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7F1" w:rsidRDefault="00060FB4" w:rsidP="009747F1">
      <w:pPr>
        <w:jc w:val="right"/>
        <w:rPr>
          <w:rFonts w:ascii="Arial" w:hAnsi="Arial"/>
          <w:spacing w:val="-6"/>
          <w:sz w:val="20"/>
        </w:rPr>
      </w:pPr>
      <w:r>
        <w:rPr>
          <w:rFonts w:ascii="Arial" w:hAnsi="Arial"/>
          <w:noProof/>
          <w:spacing w:val="-6"/>
          <w:sz w:val="20"/>
          <w:lang w:val="es-MX" w:eastAsia="es-MX"/>
        </w:rPr>
        <mc:AlternateContent>
          <mc:Choice Requires="wps">
            <w:drawing>
              <wp:anchor distT="0" distB="0" distL="114300" distR="114300" simplePos="0" relativeHeight="251657728" behindDoc="0" locked="0" layoutInCell="1" allowOverlap="1" wp14:anchorId="0BF7D6F1" wp14:editId="3DFD8177">
                <wp:simplePos x="0" y="0"/>
                <wp:positionH relativeFrom="column">
                  <wp:posOffset>-59690</wp:posOffset>
                </wp:positionH>
                <wp:positionV relativeFrom="paragraph">
                  <wp:posOffset>-166370</wp:posOffset>
                </wp:positionV>
                <wp:extent cx="6047740" cy="880745"/>
                <wp:effectExtent l="0" t="0" r="0" b="0"/>
                <wp:wrapTight wrapText="bothSides">
                  <wp:wrapPolygon edited="0">
                    <wp:start x="136" y="1402"/>
                    <wp:lineTo x="136" y="20089"/>
                    <wp:lineTo x="21364" y="20089"/>
                    <wp:lineTo x="21364" y="1402"/>
                    <wp:lineTo x="136" y="140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A14" w:rsidRDefault="00C65A14" w:rsidP="00C65A14">
                            <w:pPr>
                              <w:jc w:val="center"/>
                              <w:rPr>
                                <w:rFonts w:ascii="Arial" w:hAnsi="Arial" w:cs="Arial"/>
                                <w:b/>
                                <w:spacing w:val="30"/>
                                <w:sz w:val="30"/>
                                <w:szCs w:val="20"/>
                                <w:lang w:eastAsia="es-ES"/>
                              </w:rPr>
                            </w:pPr>
                          </w:p>
                          <w:p w:rsidR="00C65A14" w:rsidRPr="00C65A14" w:rsidRDefault="002D6AA9" w:rsidP="00C65A14">
                            <w:pPr>
                              <w:jc w:val="center"/>
                              <w:rPr>
                                <w:rFonts w:ascii="Arial" w:hAnsi="Arial" w:cs="Arial"/>
                                <w:b/>
                                <w:spacing w:val="30"/>
                                <w:sz w:val="30"/>
                                <w:szCs w:val="20"/>
                                <w:lang w:eastAsia="es-ES"/>
                              </w:rPr>
                            </w:pPr>
                            <w:r>
                              <w:rPr>
                                <w:rFonts w:ascii="Arial" w:hAnsi="Arial" w:cs="Arial"/>
                                <w:b/>
                                <w:spacing w:val="30"/>
                                <w:sz w:val="30"/>
                                <w:szCs w:val="20"/>
                                <w:lang w:eastAsia="es-ES"/>
                              </w:rPr>
                              <w:t>BOLETÍN DE PRENSA</w:t>
                            </w:r>
                          </w:p>
                          <w:p w:rsidR="00060FB4" w:rsidRPr="00060FB4" w:rsidRDefault="00060FB4" w:rsidP="00E24C8E">
                            <w:pPr>
                              <w:ind w:left="851" w:hanging="851"/>
                              <w:rPr>
                                <w:rFonts w:ascii="Arial" w:hAnsi="Arial" w:cs="Arial"/>
                                <w:sz w:val="20"/>
                                <w:szCs w:val="20"/>
                                <w:lang w:val="es-ES" w:eastAsia="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7D6F1" id="_x0000_t202" coordsize="21600,21600" o:spt="202" path="m,l,21600r21600,l21600,xe">
                <v:stroke joinstyle="miter"/>
                <v:path gradientshapeok="t" o:connecttype="rect"/>
              </v:shapetype>
              <v:shape id="Text Box 2" o:spid="_x0000_s1026" type="#_x0000_t202" style="position:absolute;left:0;text-align:left;margin-left:-4.7pt;margin-top:-13.1pt;width:476.2pt;height:6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" filled="f" stroked="f">
                <v:textbox inset=",7.2pt,,7.2pt">
                  <w:txbxContent>
                    <w:p w:rsidR="00C65A14" w:rsidRDefault="00C65A14" w:rsidP="00C65A14">
                      <w:pPr>
                        <w:jc w:val="center"/>
                        <w:rPr>
                          <w:rFonts w:ascii="Arial" w:hAnsi="Arial" w:cs="Arial"/>
                          <w:b/>
                          <w:spacing w:val="30"/>
                          <w:sz w:val="30"/>
                          <w:szCs w:val="20"/>
                          <w:lang w:eastAsia="es-ES"/>
                        </w:rPr>
                      </w:pPr>
                    </w:p>
                    <w:p w:rsidR="00C65A14" w:rsidRPr="00C65A14" w:rsidRDefault="002D6AA9" w:rsidP="00C65A14">
                      <w:pPr>
                        <w:jc w:val="center"/>
                        <w:rPr>
                          <w:rFonts w:ascii="Arial" w:hAnsi="Arial" w:cs="Arial"/>
                          <w:b/>
                          <w:spacing w:val="30"/>
                          <w:sz w:val="30"/>
                          <w:szCs w:val="20"/>
                          <w:lang w:eastAsia="es-ES"/>
                        </w:rPr>
                      </w:pPr>
                      <w:r>
                        <w:rPr>
                          <w:rFonts w:ascii="Arial" w:hAnsi="Arial" w:cs="Arial"/>
                          <w:b/>
                          <w:spacing w:val="30"/>
                          <w:sz w:val="30"/>
                          <w:szCs w:val="20"/>
                          <w:lang w:eastAsia="es-ES"/>
                        </w:rPr>
                        <w:t>BOLETÍN DE PRENSA</w:t>
                      </w:r>
                    </w:p>
                    <w:p w:rsidR="00060FB4" w:rsidRPr="00060FB4" w:rsidRDefault="00060FB4" w:rsidP="00E24C8E">
                      <w:pPr>
                        <w:ind w:left="851" w:hanging="851"/>
                        <w:rPr>
                          <w:rFonts w:ascii="Arial" w:hAnsi="Arial" w:cs="Arial"/>
                          <w:sz w:val="20"/>
                          <w:szCs w:val="20"/>
                          <w:lang w:val="es-ES" w:eastAsia="es-ES"/>
                        </w:rPr>
                      </w:pPr>
                    </w:p>
                  </w:txbxContent>
                </v:textbox>
                <w10:wrap type="tight"/>
              </v:shape>
            </w:pict>
          </mc:Fallback>
        </mc:AlternateContent>
      </w:r>
    </w:p>
    <w:p w:rsidR="009747F1" w:rsidRDefault="009747F1" w:rsidP="009747F1">
      <w:pPr>
        <w:jc w:val="right"/>
        <w:rPr>
          <w:rFonts w:ascii="Arial" w:hAnsi="Arial"/>
          <w:spacing w:val="-6"/>
          <w:sz w:val="20"/>
        </w:rPr>
      </w:pPr>
    </w:p>
    <w:p w:rsidR="00C65A14" w:rsidRPr="00C65A14" w:rsidRDefault="00C65A14" w:rsidP="00E15A27">
      <w:pPr>
        <w:spacing w:before="480" w:after="480" w:line="280" w:lineRule="exact"/>
        <w:jc w:val="right"/>
        <w:rPr>
          <w:rFonts w:ascii="Arial" w:hAnsi="Arial"/>
          <w:szCs w:val="20"/>
          <w:lang w:eastAsia="es-ES"/>
        </w:rPr>
      </w:pPr>
      <w:r>
        <w:rPr>
          <w:rFonts w:ascii="Arial" w:hAnsi="Arial"/>
          <w:szCs w:val="20"/>
          <w:lang w:eastAsia="es-ES"/>
        </w:rPr>
        <w:t xml:space="preserve">       </w:t>
      </w:r>
      <w:r w:rsidR="00AB793D">
        <w:rPr>
          <w:rFonts w:ascii="Arial" w:hAnsi="Arial"/>
          <w:szCs w:val="20"/>
          <w:lang w:eastAsia="es-ES"/>
        </w:rPr>
        <w:t>México</w:t>
      </w:r>
      <w:r w:rsidR="002B5842">
        <w:rPr>
          <w:rFonts w:ascii="Arial" w:hAnsi="Arial"/>
          <w:szCs w:val="20"/>
          <w:lang w:eastAsia="es-ES"/>
        </w:rPr>
        <w:t>, D. F., 19</w:t>
      </w:r>
      <w:r w:rsidR="004449ED">
        <w:rPr>
          <w:rFonts w:ascii="Arial" w:hAnsi="Arial"/>
          <w:szCs w:val="20"/>
          <w:lang w:eastAsia="es-ES"/>
        </w:rPr>
        <w:t xml:space="preserve"> de diciembre de 2014</w:t>
      </w:r>
    </w:p>
    <w:tbl>
      <w:tblPr>
        <w:tblW w:w="0" w:type="auto"/>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88"/>
      </w:tblGrid>
      <w:tr w:rsidR="00C65A14" w:rsidRPr="00C65A14" w:rsidTr="00C9021E">
        <w:trPr>
          <w:trHeight w:val="3861"/>
        </w:trPr>
        <w:tc>
          <w:tcPr>
            <w:tcW w:w="8588" w:type="dxa"/>
            <w:tcBorders>
              <w:top w:val="single" w:sz="6" w:space="0" w:color="auto"/>
              <w:left w:val="single" w:sz="6" w:space="0" w:color="auto"/>
              <w:bottom w:val="single" w:sz="6" w:space="0" w:color="auto"/>
              <w:right w:val="single" w:sz="6" w:space="0" w:color="auto"/>
            </w:tcBorders>
            <w:shd w:val="clear" w:color="auto" w:fill="auto"/>
          </w:tcPr>
          <w:p w:rsidR="00C65A14" w:rsidRDefault="00C65A14" w:rsidP="00C65A14">
            <w:pPr>
              <w:spacing w:before="120" w:after="120" w:line="240" w:lineRule="exact"/>
              <w:ind w:right="284"/>
              <w:jc w:val="both"/>
              <w:rPr>
                <w:rFonts w:ascii="Arial" w:hAnsi="Arial"/>
                <w:szCs w:val="20"/>
                <w:lang w:eastAsia="es-ES"/>
              </w:rPr>
            </w:pPr>
          </w:p>
          <w:p w:rsidR="00C9021E" w:rsidRPr="00C65A14" w:rsidRDefault="00C9021E" w:rsidP="00C65A14">
            <w:pPr>
              <w:spacing w:before="120" w:after="120" w:line="240" w:lineRule="exact"/>
              <w:ind w:right="284"/>
              <w:jc w:val="both"/>
              <w:rPr>
                <w:rFonts w:ascii="Arial" w:hAnsi="Arial"/>
                <w:szCs w:val="20"/>
                <w:lang w:eastAsia="es-ES"/>
              </w:rPr>
            </w:pPr>
          </w:p>
          <w:p w:rsidR="00C65A14" w:rsidRPr="00C65A14" w:rsidRDefault="00C65A14" w:rsidP="00E15A27">
            <w:pPr>
              <w:numPr>
                <w:ilvl w:val="0"/>
                <w:numId w:val="9"/>
              </w:numPr>
              <w:spacing w:before="120" w:after="120"/>
              <w:ind w:left="357" w:right="284" w:hanging="357"/>
              <w:jc w:val="both"/>
              <w:rPr>
                <w:rFonts w:ascii="Arial" w:hAnsi="Arial"/>
                <w:szCs w:val="20"/>
                <w:lang w:eastAsia="es-ES"/>
              </w:rPr>
            </w:pPr>
            <w:r w:rsidRPr="00C65A14">
              <w:rPr>
                <w:rFonts w:ascii="Arial" w:hAnsi="Arial"/>
                <w:szCs w:val="20"/>
                <w:lang w:eastAsia="es-ES"/>
              </w:rPr>
              <w:t xml:space="preserve">El Consejo de Representantes de la Comisión Nacional de los Salarios Mínimos acordó otorgar un aumento general a los salarios mínimos de las </w:t>
            </w:r>
            <w:r w:rsidR="00850716">
              <w:rPr>
                <w:rFonts w:ascii="Arial" w:hAnsi="Arial"/>
                <w:szCs w:val="20"/>
                <w:lang w:eastAsia="es-ES"/>
              </w:rPr>
              <w:t>dos</w:t>
            </w:r>
            <w:r w:rsidR="00AB793D">
              <w:rPr>
                <w:rFonts w:ascii="Arial" w:hAnsi="Arial"/>
                <w:szCs w:val="20"/>
                <w:lang w:eastAsia="es-ES"/>
              </w:rPr>
              <w:t xml:space="preserve"> áreas geográficas para el 201</w:t>
            </w:r>
            <w:r w:rsidR="004449ED">
              <w:rPr>
                <w:rFonts w:ascii="Arial" w:hAnsi="Arial"/>
                <w:szCs w:val="20"/>
                <w:lang w:eastAsia="es-ES"/>
              </w:rPr>
              <w:t>5</w:t>
            </w:r>
            <w:r w:rsidRPr="00C65A14">
              <w:rPr>
                <w:rFonts w:ascii="Arial" w:hAnsi="Arial"/>
                <w:szCs w:val="20"/>
                <w:lang w:eastAsia="es-ES"/>
              </w:rPr>
              <w:t xml:space="preserve"> de </w:t>
            </w:r>
            <w:r w:rsidR="0053761A">
              <w:rPr>
                <w:rFonts w:ascii="Arial" w:hAnsi="Arial"/>
                <w:szCs w:val="20"/>
                <w:lang w:eastAsia="es-ES"/>
              </w:rPr>
              <w:t>4.2</w:t>
            </w:r>
            <w:r w:rsidRPr="00C65A14">
              <w:rPr>
                <w:rFonts w:ascii="Arial" w:hAnsi="Arial"/>
                <w:szCs w:val="20"/>
                <w:lang w:eastAsia="es-ES"/>
              </w:rPr>
              <w:t xml:space="preserve"> por ciento.</w:t>
            </w:r>
          </w:p>
          <w:p w:rsidR="00C65A14" w:rsidRPr="00C65A14" w:rsidRDefault="00C65A14" w:rsidP="00E15A27">
            <w:pPr>
              <w:numPr>
                <w:ilvl w:val="0"/>
                <w:numId w:val="9"/>
              </w:numPr>
              <w:spacing w:before="120" w:after="120"/>
              <w:ind w:left="357" w:right="284" w:hanging="357"/>
              <w:jc w:val="both"/>
              <w:rPr>
                <w:rFonts w:ascii="Arial" w:hAnsi="Arial"/>
                <w:szCs w:val="20"/>
                <w:lang w:eastAsia="es-ES"/>
              </w:rPr>
            </w:pPr>
            <w:r w:rsidRPr="00C65A14">
              <w:rPr>
                <w:rFonts w:ascii="Arial" w:hAnsi="Arial"/>
                <w:szCs w:val="20"/>
                <w:lang w:eastAsia="es-ES"/>
              </w:rPr>
              <w:t>Los nuevos salarios mínimos legales que regirán a par</w:t>
            </w:r>
            <w:r w:rsidR="00E15A27">
              <w:rPr>
                <w:rFonts w:ascii="Arial" w:hAnsi="Arial"/>
                <w:szCs w:val="20"/>
                <w:lang w:eastAsia="es-ES"/>
              </w:rPr>
              <w:t xml:space="preserve">tir del </w:t>
            </w:r>
            <w:r w:rsidR="004449ED">
              <w:rPr>
                <w:rFonts w:ascii="Arial" w:hAnsi="Arial"/>
                <w:szCs w:val="20"/>
                <w:lang w:eastAsia="es-ES"/>
              </w:rPr>
              <w:t>primero de enero de 2015</w:t>
            </w:r>
            <w:r w:rsidRPr="00C65A14">
              <w:rPr>
                <w:rFonts w:ascii="Arial" w:hAnsi="Arial"/>
                <w:szCs w:val="20"/>
                <w:lang w:eastAsia="es-ES"/>
              </w:rPr>
              <w:t xml:space="preserve"> son los siguientes: área geográfica “A”, </w:t>
            </w:r>
            <w:r w:rsidR="0053761A">
              <w:rPr>
                <w:rFonts w:ascii="Arial" w:hAnsi="Arial"/>
                <w:szCs w:val="20"/>
                <w:lang w:eastAsia="es-ES"/>
              </w:rPr>
              <w:t>70.10</w:t>
            </w:r>
            <w:r w:rsidRPr="00C65A14">
              <w:rPr>
                <w:rFonts w:ascii="Arial" w:hAnsi="Arial"/>
                <w:b/>
                <w:szCs w:val="20"/>
                <w:lang w:eastAsia="es-ES"/>
              </w:rPr>
              <w:t xml:space="preserve"> </w:t>
            </w:r>
            <w:r w:rsidRPr="00C65A14">
              <w:rPr>
                <w:rFonts w:ascii="Arial" w:hAnsi="Arial"/>
                <w:szCs w:val="20"/>
                <w:lang w:eastAsia="es-ES"/>
              </w:rPr>
              <w:t>pesos diarios</w:t>
            </w:r>
            <w:r w:rsidR="00850716">
              <w:rPr>
                <w:rFonts w:ascii="Arial" w:hAnsi="Arial"/>
                <w:szCs w:val="20"/>
                <w:lang w:eastAsia="es-ES"/>
              </w:rPr>
              <w:t xml:space="preserve"> y área geográfica “B</w:t>
            </w:r>
            <w:r w:rsidRPr="00C65A14">
              <w:rPr>
                <w:rFonts w:ascii="Arial" w:hAnsi="Arial"/>
                <w:szCs w:val="20"/>
                <w:lang w:eastAsia="es-ES"/>
              </w:rPr>
              <w:t xml:space="preserve">”, </w:t>
            </w:r>
            <w:r w:rsidR="0053761A" w:rsidRPr="0053761A">
              <w:rPr>
                <w:rFonts w:ascii="Arial" w:hAnsi="Arial"/>
                <w:szCs w:val="20"/>
                <w:lang w:eastAsia="es-ES"/>
              </w:rPr>
              <w:t>66.45</w:t>
            </w:r>
            <w:r w:rsidRPr="00C65A14">
              <w:rPr>
                <w:rFonts w:ascii="Arial" w:hAnsi="Arial"/>
                <w:szCs w:val="20"/>
                <w:lang w:eastAsia="es-ES"/>
              </w:rPr>
              <w:t xml:space="preserve">  pesos diarios. </w:t>
            </w:r>
          </w:p>
          <w:p w:rsidR="00C9021E" w:rsidRPr="00C65A14" w:rsidRDefault="00C9021E" w:rsidP="00E15A27">
            <w:pPr>
              <w:numPr>
                <w:ilvl w:val="0"/>
                <w:numId w:val="9"/>
              </w:numPr>
              <w:spacing w:before="120" w:after="360"/>
              <w:ind w:left="357" w:right="284" w:hanging="357"/>
              <w:jc w:val="both"/>
              <w:rPr>
                <w:rFonts w:ascii="Arial" w:hAnsi="Arial"/>
                <w:szCs w:val="20"/>
                <w:lang w:eastAsia="es-ES"/>
              </w:rPr>
            </w:pPr>
            <w:r w:rsidRPr="00C9021E">
              <w:rPr>
                <w:rFonts w:ascii="Arial" w:hAnsi="Arial"/>
              </w:rPr>
              <w:t>El Consejo de Representantes acordó mantener para el 2015, la actual integr</w:t>
            </w:r>
            <w:r>
              <w:rPr>
                <w:rFonts w:ascii="Arial" w:hAnsi="Arial"/>
              </w:rPr>
              <w:t xml:space="preserve">ación de las áreas geográficas </w:t>
            </w:r>
            <w:r w:rsidRPr="00C9021E">
              <w:rPr>
                <w:rFonts w:ascii="Arial" w:hAnsi="Arial"/>
              </w:rPr>
              <w:t>para la aplicación de los salarios mínimos, así como el mismo número de actividades, profesiones, oficios y trabajos especiales para los que rige un salario mínimo profesional</w:t>
            </w:r>
            <w:r w:rsidRPr="00DB0815">
              <w:rPr>
                <w:rFonts w:ascii="Arial" w:hAnsi="Arial"/>
                <w:b/>
              </w:rPr>
              <w:t>.</w:t>
            </w:r>
          </w:p>
          <w:p w:rsidR="00C65A14" w:rsidRPr="00D52813" w:rsidRDefault="00C65A14" w:rsidP="00D52813">
            <w:pPr>
              <w:tabs>
                <w:tab w:val="num" w:pos="426"/>
              </w:tabs>
              <w:spacing w:before="120" w:after="360"/>
              <w:ind w:left="357" w:right="284"/>
              <w:jc w:val="both"/>
              <w:rPr>
                <w:rFonts w:ascii="Arial" w:hAnsi="Arial"/>
                <w:szCs w:val="20"/>
                <w:lang w:eastAsia="es-ES"/>
              </w:rPr>
            </w:pPr>
          </w:p>
        </w:tc>
      </w:tr>
    </w:tbl>
    <w:p w:rsidR="00C65A14" w:rsidRPr="00C65A14" w:rsidRDefault="00C65A14" w:rsidP="00C65A14">
      <w:pPr>
        <w:spacing w:before="120" w:after="120" w:line="240" w:lineRule="exact"/>
        <w:ind w:right="284"/>
        <w:jc w:val="both"/>
        <w:rPr>
          <w:rFonts w:ascii="Arial" w:hAnsi="Arial"/>
          <w:szCs w:val="20"/>
          <w:lang w:eastAsia="es-ES"/>
        </w:rPr>
      </w:pPr>
    </w:p>
    <w:p w:rsidR="00C65A14" w:rsidRPr="00C65A14" w:rsidRDefault="00C65A14" w:rsidP="00220543">
      <w:pPr>
        <w:spacing w:after="360"/>
        <w:ind w:right="284"/>
        <w:jc w:val="both"/>
        <w:rPr>
          <w:rFonts w:ascii="Arial" w:hAnsi="Arial"/>
          <w:szCs w:val="20"/>
          <w:lang w:eastAsia="es-ES"/>
        </w:rPr>
      </w:pPr>
      <w:r w:rsidRPr="00C65A14">
        <w:rPr>
          <w:rFonts w:ascii="Arial" w:hAnsi="Arial"/>
          <w:szCs w:val="20"/>
          <w:lang w:eastAsia="es-ES"/>
        </w:rPr>
        <w:t>El Consejo de Representantes de la Comisión Nacional de los Salarios Mínimos</w:t>
      </w:r>
      <w:r w:rsidR="00EC0309">
        <w:rPr>
          <w:rFonts w:ascii="Arial" w:hAnsi="Arial"/>
          <w:szCs w:val="20"/>
          <w:lang w:eastAsia="es-ES"/>
        </w:rPr>
        <w:t xml:space="preserve"> (CONASAMI) </w:t>
      </w:r>
      <w:r w:rsidRPr="00C65A14">
        <w:rPr>
          <w:rFonts w:ascii="Arial" w:hAnsi="Arial"/>
          <w:szCs w:val="20"/>
          <w:lang w:eastAsia="es-ES"/>
        </w:rPr>
        <w:t xml:space="preserve">acordó otorgar un aumento general a </w:t>
      </w:r>
      <w:r w:rsidR="0059731B">
        <w:rPr>
          <w:rFonts w:ascii="Arial" w:hAnsi="Arial"/>
          <w:szCs w:val="20"/>
          <w:lang w:eastAsia="es-ES"/>
        </w:rPr>
        <w:t>los salarios mínimos de las do</w:t>
      </w:r>
      <w:r w:rsidR="00C9021E">
        <w:rPr>
          <w:rFonts w:ascii="Arial" w:hAnsi="Arial"/>
          <w:szCs w:val="20"/>
          <w:lang w:eastAsia="es-ES"/>
        </w:rPr>
        <w:t>s áreas geográficas para el 2015</w:t>
      </w:r>
      <w:r w:rsidRPr="00C65A14">
        <w:rPr>
          <w:rFonts w:ascii="Arial" w:hAnsi="Arial"/>
          <w:szCs w:val="20"/>
          <w:lang w:eastAsia="es-ES"/>
        </w:rPr>
        <w:t xml:space="preserve"> de </w:t>
      </w:r>
      <w:r w:rsidR="0053761A" w:rsidRPr="0053761A">
        <w:rPr>
          <w:rFonts w:ascii="Arial" w:hAnsi="Arial"/>
          <w:szCs w:val="20"/>
          <w:lang w:eastAsia="es-ES"/>
        </w:rPr>
        <w:t>4.2</w:t>
      </w:r>
      <w:r w:rsidRPr="00C65A14">
        <w:rPr>
          <w:rFonts w:ascii="Arial" w:hAnsi="Arial"/>
          <w:szCs w:val="20"/>
          <w:lang w:eastAsia="es-ES"/>
        </w:rPr>
        <w:t xml:space="preserve"> por ciento.</w:t>
      </w:r>
    </w:p>
    <w:p w:rsidR="00C65A14" w:rsidRPr="00C65A14" w:rsidRDefault="00C65A14" w:rsidP="00220543">
      <w:pPr>
        <w:spacing w:after="360"/>
        <w:ind w:right="284"/>
        <w:jc w:val="both"/>
        <w:rPr>
          <w:rFonts w:ascii="Arial" w:hAnsi="Arial"/>
          <w:szCs w:val="20"/>
          <w:lang w:eastAsia="es-ES"/>
        </w:rPr>
      </w:pPr>
      <w:r w:rsidRPr="00C65A14">
        <w:rPr>
          <w:rFonts w:ascii="Arial" w:hAnsi="Arial"/>
          <w:szCs w:val="20"/>
          <w:lang w:eastAsia="es-ES"/>
        </w:rPr>
        <w:t>Los nuevos salari</w:t>
      </w:r>
      <w:r w:rsidR="0059731B">
        <w:rPr>
          <w:rFonts w:ascii="Arial" w:hAnsi="Arial"/>
          <w:szCs w:val="20"/>
          <w:lang w:eastAsia="es-ES"/>
        </w:rPr>
        <w:t>os mínimos generales de las dos</w:t>
      </w:r>
      <w:r w:rsidRPr="00C65A14">
        <w:rPr>
          <w:rFonts w:ascii="Arial" w:hAnsi="Arial"/>
          <w:szCs w:val="20"/>
          <w:lang w:eastAsia="es-ES"/>
        </w:rPr>
        <w:t xml:space="preserve"> áreas geográficas que aplicarán </w:t>
      </w:r>
      <w:r w:rsidR="00C9021E">
        <w:rPr>
          <w:rFonts w:ascii="Arial" w:hAnsi="Arial"/>
          <w:szCs w:val="20"/>
          <w:lang w:eastAsia="es-ES"/>
        </w:rPr>
        <w:t>a partir del 1º de enero de 2015</w:t>
      </w:r>
      <w:r w:rsidRPr="00C65A14">
        <w:rPr>
          <w:rFonts w:ascii="Arial" w:hAnsi="Arial"/>
          <w:szCs w:val="20"/>
          <w:lang w:eastAsia="es-ES"/>
        </w:rPr>
        <w:t xml:space="preserve"> son los siguientes:</w:t>
      </w:r>
    </w:p>
    <w:p w:rsidR="00C65A14" w:rsidRPr="00C65A14" w:rsidRDefault="00C65A14" w:rsidP="00220543">
      <w:pPr>
        <w:spacing w:after="360"/>
        <w:ind w:right="284"/>
        <w:jc w:val="both"/>
        <w:rPr>
          <w:rFonts w:ascii="Arial" w:hAnsi="Arial"/>
          <w:szCs w:val="20"/>
          <w:lang w:eastAsia="es-ES"/>
        </w:rPr>
      </w:pPr>
      <w:r w:rsidRPr="00C65A14">
        <w:rPr>
          <w:rFonts w:ascii="Arial" w:hAnsi="Arial"/>
          <w:szCs w:val="20"/>
          <w:lang w:eastAsia="es-ES"/>
        </w:rPr>
        <w:t xml:space="preserve">Para el área geográfica "A" será de </w:t>
      </w:r>
      <w:r w:rsidR="0053761A">
        <w:rPr>
          <w:rFonts w:ascii="Arial" w:hAnsi="Arial"/>
          <w:szCs w:val="20"/>
          <w:lang w:eastAsia="es-ES"/>
        </w:rPr>
        <w:t>70.10</w:t>
      </w:r>
      <w:r w:rsidRPr="00C65A14">
        <w:rPr>
          <w:rFonts w:ascii="Arial" w:hAnsi="Arial"/>
          <w:szCs w:val="20"/>
          <w:lang w:eastAsia="es-ES"/>
        </w:rPr>
        <w:t xml:space="preserve"> pesos diarios. Esta área comprende el Distrito Federal y su área metropolitana, los estados de Baja California y Baja California Sur, las ciudades de Acapulco, Gro., Ciudad Juárez, </w:t>
      </w:r>
      <w:proofErr w:type="spellStart"/>
      <w:r w:rsidRPr="00C65A14">
        <w:rPr>
          <w:rFonts w:ascii="Arial" w:hAnsi="Arial"/>
          <w:szCs w:val="20"/>
          <w:lang w:eastAsia="es-ES"/>
        </w:rPr>
        <w:t>Chih</w:t>
      </w:r>
      <w:proofErr w:type="spellEnd"/>
      <w:r w:rsidRPr="00C65A14">
        <w:rPr>
          <w:rFonts w:ascii="Arial" w:hAnsi="Arial"/>
          <w:szCs w:val="20"/>
          <w:lang w:eastAsia="es-ES"/>
        </w:rPr>
        <w:t xml:space="preserve">., </w:t>
      </w:r>
      <w:r w:rsidR="00C02A08">
        <w:rPr>
          <w:rFonts w:ascii="Arial" w:hAnsi="Arial"/>
          <w:szCs w:val="20"/>
          <w:lang w:eastAsia="es-ES"/>
        </w:rPr>
        <w:t xml:space="preserve">Guadalajara, Jal. </w:t>
      </w:r>
      <w:proofErr w:type="gramStart"/>
      <w:r w:rsidR="00C02A08">
        <w:rPr>
          <w:rFonts w:ascii="Arial" w:hAnsi="Arial"/>
          <w:szCs w:val="20"/>
          <w:lang w:eastAsia="es-ES"/>
        </w:rPr>
        <w:t>y</w:t>
      </w:r>
      <w:proofErr w:type="gramEnd"/>
      <w:r w:rsidR="00C02A08">
        <w:rPr>
          <w:rFonts w:ascii="Arial" w:hAnsi="Arial"/>
          <w:szCs w:val="20"/>
          <w:lang w:eastAsia="es-ES"/>
        </w:rPr>
        <w:t xml:space="preserve"> </w:t>
      </w:r>
      <w:r w:rsidR="0059731B">
        <w:rPr>
          <w:rFonts w:ascii="Arial" w:hAnsi="Arial"/>
          <w:szCs w:val="20"/>
          <w:lang w:eastAsia="es-ES"/>
        </w:rPr>
        <w:t xml:space="preserve">su área </w:t>
      </w:r>
      <w:r w:rsidR="0059731B">
        <w:rPr>
          <w:rFonts w:ascii="Arial" w:hAnsi="Arial"/>
          <w:szCs w:val="20"/>
          <w:lang w:eastAsia="es-ES"/>
        </w:rPr>
        <w:lastRenderedPageBreak/>
        <w:t xml:space="preserve">conurbada, </w:t>
      </w:r>
      <w:r w:rsidR="001A6EB6">
        <w:rPr>
          <w:rFonts w:ascii="Arial" w:hAnsi="Arial"/>
          <w:szCs w:val="20"/>
          <w:lang w:eastAsia="es-ES"/>
        </w:rPr>
        <w:t xml:space="preserve"> Monterrey, N.L.</w:t>
      </w:r>
      <w:r w:rsidR="0059731B">
        <w:rPr>
          <w:rFonts w:ascii="Arial" w:hAnsi="Arial"/>
          <w:szCs w:val="20"/>
          <w:lang w:eastAsia="es-ES"/>
        </w:rPr>
        <w:t xml:space="preserve"> y su área metropolitana, </w:t>
      </w:r>
      <w:r w:rsidR="001A3AF8">
        <w:rPr>
          <w:rFonts w:ascii="Arial" w:hAnsi="Arial"/>
          <w:szCs w:val="20"/>
          <w:lang w:eastAsia="es-ES"/>
        </w:rPr>
        <w:t>Hermosillo</w:t>
      </w:r>
      <w:r w:rsidRPr="00C65A14">
        <w:rPr>
          <w:rFonts w:ascii="Arial" w:hAnsi="Arial"/>
          <w:szCs w:val="20"/>
          <w:lang w:eastAsia="es-ES"/>
        </w:rPr>
        <w:t>, Son., Matamoros</w:t>
      </w:r>
      <w:r w:rsidR="0059731B">
        <w:rPr>
          <w:rFonts w:ascii="Arial" w:hAnsi="Arial"/>
          <w:szCs w:val="20"/>
          <w:lang w:eastAsia="es-ES"/>
        </w:rPr>
        <w:t xml:space="preserve"> y Reynosa</w:t>
      </w:r>
      <w:r w:rsidRPr="00C65A14">
        <w:rPr>
          <w:rFonts w:ascii="Arial" w:hAnsi="Arial"/>
          <w:szCs w:val="20"/>
          <w:lang w:eastAsia="es-ES"/>
        </w:rPr>
        <w:t xml:space="preserve">, </w:t>
      </w:r>
      <w:proofErr w:type="spellStart"/>
      <w:r w:rsidRPr="00C65A14">
        <w:rPr>
          <w:rFonts w:ascii="Arial" w:hAnsi="Arial"/>
          <w:szCs w:val="20"/>
          <w:lang w:eastAsia="es-ES"/>
        </w:rPr>
        <w:t>Tamps</w:t>
      </w:r>
      <w:proofErr w:type="spellEnd"/>
      <w:r w:rsidRPr="00C65A14">
        <w:rPr>
          <w:rFonts w:ascii="Arial" w:hAnsi="Arial"/>
          <w:szCs w:val="20"/>
          <w:lang w:eastAsia="es-ES"/>
        </w:rPr>
        <w:t xml:space="preserve">. </w:t>
      </w:r>
      <w:proofErr w:type="gramStart"/>
      <w:r w:rsidRPr="00C65A14">
        <w:rPr>
          <w:rFonts w:ascii="Arial" w:hAnsi="Arial"/>
          <w:szCs w:val="20"/>
          <w:lang w:eastAsia="es-ES"/>
        </w:rPr>
        <w:t>y</w:t>
      </w:r>
      <w:proofErr w:type="gramEnd"/>
      <w:r w:rsidRPr="00C65A14">
        <w:rPr>
          <w:rFonts w:ascii="Arial" w:hAnsi="Arial"/>
          <w:szCs w:val="20"/>
          <w:lang w:eastAsia="es-ES"/>
        </w:rPr>
        <w:t xml:space="preserve"> Coatzacoalcos, Ver., entre otras.</w:t>
      </w:r>
    </w:p>
    <w:p w:rsidR="00C65A14" w:rsidRPr="00C65A14" w:rsidRDefault="001A3AF8" w:rsidP="00220543">
      <w:pPr>
        <w:spacing w:after="360"/>
        <w:ind w:right="284"/>
        <w:jc w:val="both"/>
        <w:rPr>
          <w:rFonts w:ascii="Arial" w:hAnsi="Arial"/>
          <w:szCs w:val="20"/>
          <w:lang w:eastAsia="es-ES"/>
        </w:rPr>
      </w:pPr>
      <w:r>
        <w:rPr>
          <w:rFonts w:ascii="Arial" w:hAnsi="Arial"/>
          <w:szCs w:val="20"/>
          <w:lang w:eastAsia="es-ES"/>
        </w:rPr>
        <w:t>En</w:t>
      </w:r>
      <w:r w:rsidR="00A245D0">
        <w:rPr>
          <w:rFonts w:ascii="Arial" w:hAnsi="Arial"/>
          <w:szCs w:val="20"/>
          <w:lang w:eastAsia="es-ES"/>
        </w:rPr>
        <w:t xml:space="preserve"> el área geográfica "B</w:t>
      </w:r>
      <w:r w:rsidR="00C65A14" w:rsidRPr="00C65A14">
        <w:rPr>
          <w:rFonts w:ascii="Arial" w:hAnsi="Arial"/>
          <w:szCs w:val="20"/>
          <w:lang w:eastAsia="es-ES"/>
        </w:rPr>
        <w:t xml:space="preserve">" el salario mínimo general será de </w:t>
      </w:r>
      <w:r w:rsidR="0053761A">
        <w:rPr>
          <w:rFonts w:ascii="Arial" w:hAnsi="Arial"/>
          <w:szCs w:val="20"/>
          <w:lang w:eastAsia="es-ES"/>
        </w:rPr>
        <w:t>66.45</w:t>
      </w:r>
      <w:r w:rsidR="00C65A14" w:rsidRPr="00C65A14">
        <w:rPr>
          <w:rFonts w:ascii="Arial" w:hAnsi="Arial"/>
          <w:szCs w:val="20"/>
          <w:lang w:eastAsia="es-ES"/>
        </w:rPr>
        <w:t xml:space="preserve"> pesos diarios. Este salario aplicará en entidades federativas como Aguascalientes, Campeche, Coahuila, Colima, Chiapas, Durango, Guanajuato, Hidalgo, Michoacán, Morelos, Nayarit, Oaxaca, Puebla, Querétaro, Quintana Roo, San Luis Potosí, Sinaloa, Tabasco, Tlaxcala, Yucatán y Zacatecas; así como en municipios específicos de los estados de Chihuahua, Guerrero, Jalisco, Estado de México, Nuevo León, Sonora, Tamaulipas y Veracruz</w:t>
      </w:r>
      <w:r w:rsidR="00683130">
        <w:rPr>
          <w:rFonts w:ascii="Arial" w:hAnsi="Arial"/>
          <w:szCs w:val="20"/>
          <w:lang w:eastAsia="es-ES"/>
        </w:rPr>
        <w:t xml:space="preserve"> que no estén en el área geográfica “A”</w:t>
      </w:r>
      <w:r w:rsidR="00C65A14" w:rsidRPr="00C65A14">
        <w:rPr>
          <w:rFonts w:ascii="Arial" w:hAnsi="Arial"/>
          <w:szCs w:val="20"/>
          <w:lang w:eastAsia="es-ES"/>
        </w:rPr>
        <w:t>.</w:t>
      </w:r>
    </w:p>
    <w:p w:rsidR="005E6D0E" w:rsidRDefault="00A245D0" w:rsidP="00220543">
      <w:pPr>
        <w:spacing w:after="360"/>
        <w:ind w:right="284"/>
        <w:jc w:val="both"/>
        <w:rPr>
          <w:rFonts w:ascii="Arial" w:hAnsi="Arial"/>
          <w:szCs w:val="20"/>
          <w:lang w:eastAsia="es-ES"/>
        </w:rPr>
      </w:pPr>
      <w:r w:rsidRPr="004A29E1">
        <w:rPr>
          <w:rFonts w:ascii="Arial" w:hAnsi="Arial"/>
          <w:szCs w:val="20"/>
          <w:lang w:eastAsia="es-ES"/>
        </w:rPr>
        <w:t xml:space="preserve">En </w:t>
      </w:r>
      <w:r w:rsidR="003534E3">
        <w:rPr>
          <w:rFonts w:ascii="Arial" w:hAnsi="Arial"/>
          <w:szCs w:val="20"/>
          <w:lang w:eastAsia="es-ES"/>
        </w:rPr>
        <w:t>lo relativo a los salarios mínimos profesionales, los miembros del C</w:t>
      </w:r>
      <w:r w:rsidR="004A29E1" w:rsidRPr="004A29E1">
        <w:rPr>
          <w:rFonts w:ascii="Arial" w:hAnsi="Arial"/>
          <w:szCs w:val="20"/>
          <w:lang w:eastAsia="es-ES"/>
        </w:rPr>
        <w:t xml:space="preserve">onsejo de Representantes </w:t>
      </w:r>
      <w:r w:rsidR="003534E3">
        <w:rPr>
          <w:rFonts w:ascii="Arial" w:hAnsi="Arial"/>
          <w:szCs w:val="20"/>
          <w:lang w:eastAsia="es-ES"/>
        </w:rPr>
        <w:t>decidieron que se aumentaran en la misma proporción en que lo hicieron los m</w:t>
      </w:r>
      <w:r w:rsidR="005E6D0E">
        <w:rPr>
          <w:rFonts w:ascii="Arial" w:hAnsi="Arial"/>
          <w:szCs w:val="20"/>
          <w:lang w:eastAsia="es-ES"/>
        </w:rPr>
        <w:t>ínimos generales para las dos ár</w:t>
      </w:r>
      <w:r w:rsidR="003534E3">
        <w:rPr>
          <w:rFonts w:ascii="Arial" w:hAnsi="Arial"/>
          <w:szCs w:val="20"/>
          <w:lang w:eastAsia="es-ES"/>
        </w:rPr>
        <w:t>eas geográficas señaladas</w:t>
      </w:r>
      <w:r w:rsidR="005E6D0E">
        <w:rPr>
          <w:rFonts w:ascii="Arial" w:hAnsi="Arial"/>
          <w:szCs w:val="20"/>
          <w:lang w:eastAsia="es-ES"/>
        </w:rPr>
        <w:t>, conservando para cada profesión, oficio o trabajo especial el mismo porcentaje de percepción por arriba del mínimo general que fue determinado en función del grado de calificación requerido para desempeñarlo.</w:t>
      </w:r>
    </w:p>
    <w:p w:rsidR="00192732" w:rsidRPr="00C02A08" w:rsidRDefault="00192732" w:rsidP="00220543">
      <w:pPr>
        <w:spacing w:after="360"/>
        <w:ind w:right="284"/>
        <w:jc w:val="both"/>
        <w:rPr>
          <w:rFonts w:ascii="Arial" w:hAnsi="Arial"/>
          <w:szCs w:val="20"/>
          <w:lang w:eastAsia="es-ES"/>
        </w:rPr>
      </w:pPr>
      <w:r w:rsidRPr="00C02A08">
        <w:rPr>
          <w:rFonts w:ascii="Arial" w:hAnsi="Arial"/>
          <w:szCs w:val="20"/>
          <w:lang w:eastAsia="es-ES"/>
        </w:rPr>
        <w:t>Basilio González Núñez, Presidente de la  Comisión, informó que al no concluir el proceso legislativo de aprobación del Proyecto de Decreto por el que se reformarán diversas disposiciones de la Constitución Política de los Estados Unidos Mexicanos, en materia de desindexación del salario mínimo, no se está en posibilidad de que el salario mínimo reinicie un proceso de recuperación gradual, toda vez que su utilización como unidad de cuenta, base o medida de referencia constituye una atadura que lejos de favorecer la recuperación del poder adquisitivo de los trabajadores, puede convertirse en un factor que los</w:t>
      </w:r>
      <w:r w:rsidR="00B463A1">
        <w:rPr>
          <w:rFonts w:ascii="Arial" w:hAnsi="Arial"/>
          <w:szCs w:val="20"/>
          <w:lang w:eastAsia="es-ES"/>
        </w:rPr>
        <w:t xml:space="preserve"> </w:t>
      </w:r>
      <w:r w:rsidRPr="00C02A08">
        <w:rPr>
          <w:rFonts w:ascii="Arial" w:hAnsi="Arial"/>
          <w:szCs w:val="20"/>
          <w:lang w:eastAsia="es-ES"/>
        </w:rPr>
        <w:t xml:space="preserve"> perjudique, este </w:t>
      </w:r>
      <w:r w:rsidR="00B463A1">
        <w:rPr>
          <w:rFonts w:ascii="Arial" w:hAnsi="Arial"/>
          <w:szCs w:val="20"/>
          <w:lang w:eastAsia="es-ES"/>
        </w:rPr>
        <w:t xml:space="preserve"> </w:t>
      </w:r>
      <w:r w:rsidRPr="00C02A08">
        <w:rPr>
          <w:rFonts w:ascii="Arial" w:hAnsi="Arial"/>
          <w:szCs w:val="20"/>
          <w:lang w:eastAsia="es-ES"/>
        </w:rPr>
        <w:t xml:space="preserve">aspecto es </w:t>
      </w:r>
      <w:r w:rsidR="00B463A1">
        <w:rPr>
          <w:rFonts w:ascii="Arial" w:hAnsi="Arial"/>
          <w:szCs w:val="20"/>
          <w:lang w:eastAsia="es-ES"/>
        </w:rPr>
        <w:t xml:space="preserve"> </w:t>
      </w:r>
      <w:r w:rsidRPr="00C02A08">
        <w:rPr>
          <w:rFonts w:ascii="Arial" w:hAnsi="Arial"/>
          <w:szCs w:val="20"/>
          <w:lang w:eastAsia="es-ES"/>
        </w:rPr>
        <w:t>particularmente</w:t>
      </w:r>
      <w:r w:rsidR="00B463A1">
        <w:rPr>
          <w:rFonts w:ascii="Arial" w:hAnsi="Arial"/>
          <w:szCs w:val="20"/>
          <w:lang w:eastAsia="es-ES"/>
        </w:rPr>
        <w:t xml:space="preserve"> </w:t>
      </w:r>
      <w:r w:rsidRPr="00C02A08">
        <w:rPr>
          <w:rFonts w:ascii="Arial" w:hAnsi="Arial"/>
          <w:szCs w:val="20"/>
          <w:lang w:eastAsia="es-ES"/>
        </w:rPr>
        <w:t xml:space="preserve"> grave si </w:t>
      </w:r>
      <w:r w:rsidR="00B463A1">
        <w:rPr>
          <w:rFonts w:ascii="Arial" w:hAnsi="Arial"/>
          <w:szCs w:val="20"/>
          <w:lang w:eastAsia="es-ES"/>
        </w:rPr>
        <w:t xml:space="preserve"> </w:t>
      </w:r>
      <w:r w:rsidRPr="00C02A08">
        <w:rPr>
          <w:rFonts w:ascii="Arial" w:hAnsi="Arial"/>
          <w:szCs w:val="20"/>
          <w:lang w:eastAsia="es-ES"/>
        </w:rPr>
        <w:t>se considera que</w:t>
      </w:r>
      <w:r w:rsidR="00B463A1">
        <w:rPr>
          <w:rFonts w:ascii="Arial" w:hAnsi="Arial"/>
          <w:szCs w:val="20"/>
          <w:lang w:eastAsia="es-ES"/>
        </w:rPr>
        <w:t xml:space="preserve">  </w:t>
      </w:r>
      <w:r w:rsidRPr="00C02A08">
        <w:rPr>
          <w:rFonts w:ascii="Arial" w:hAnsi="Arial"/>
          <w:szCs w:val="20"/>
          <w:lang w:eastAsia="es-ES"/>
        </w:rPr>
        <w:t xml:space="preserve"> casi 5 millones de trabajadores tienen contratados créditos hipotecarios con los institutos de vivienda federales, quienes verían incrementado </w:t>
      </w:r>
      <w:r w:rsidR="0053761A">
        <w:rPr>
          <w:rFonts w:ascii="Arial" w:hAnsi="Arial"/>
          <w:szCs w:val="20"/>
          <w:lang w:eastAsia="es-ES"/>
        </w:rPr>
        <w:t xml:space="preserve">el saldo total de </w:t>
      </w:r>
      <w:r w:rsidRPr="00C02A08">
        <w:rPr>
          <w:rFonts w:ascii="Arial" w:hAnsi="Arial"/>
          <w:szCs w:val="20"/>
          <w:lang w:eastAsia="es-ES"/>
        </w:rPr>
        <w:t>su adeudo, lo que pondría en riesgo su patrimonio.</w:t>
      </w:r>
    </w:p>
    <w:p w:rsidR="002B5842" w:rsidRPr="00220543" w:rsidRDefault="00AB6F56" w:rsidP="00220543">
      <w:pPr>
        <w:spacing w:after="360"/>
        <w:ind w:left="66" w:right="310"/>
        <w:jc w:val="both"/>
        <w:rPr>
          <w:rFonts w:ascii="Arial" w:hAnsi="Arial"/>
          <w:szCs w:val="20"/>
          <w:lang w:eastAsia="es-ES"/>
        </w:rPr>
      </w:pPr>
      <w:r w:rsidRPr="00220543">
        <w:rPr>
          <w:rFonts w:ascii="Arial" w:hAnsi="Arial"/>
          <w:szCs w:val="20"/>
          <w:lang w:eastAsia="es-ES"/>
        </w:rPr>
        <w:t>El licenciado</w:t>
      </w:r>
      <w:r w:rsidR="00EC0309" w:rsidRPr="00220543">
        <w:rPr>
          <w:rFonts w:ascii="Arial" w:hAnsi="Arial"/>
          <w:szCs w:val="20"/>
          <w:lang w:eastAsia="es-ES"/>
        </w:rPr>
        <w:t xml:space="preserve"> González </w:t>
      </w:r>
      <w:r w:rsidR="00C02A08" w:rsidRPr="00220543">
        <w:rPr>
          <w:rFonts w:ascii="Arial" w:hAnsi="Arial"/>
          <w:szCs w:val="20"/>
          <w:lang w:eastAsia="es-ES"/>
        </w:rPr>
        <w:t>Núñez</w:t>
      </w:r>
      <w:r w:rsidR="006A7C68" w:rsidRPr="00220543">
        <w:rPr>
          <w:rFonts w:ascii="Arial" w:hAnsi="Arial"/>
          <w:szCs w:val="20"/>
          <w:lang w:eastAsia="es-ES"/>
        </w:rPr>
        <w:t xml:space="preserve"> destacó que </w:t>
      </w:r>
      <w:r w:rsidR="002B5842" w:rsidRPr="00220543">
        <w:rPr>
          <w:rFonts w:ascii="Arial" w:hAnsi="Arial"/>
          <w:szCs w:val="20"/>
          <w:lang w:eastAsia="es-ES"/>
        </w:rPr>
        <w:t xml:space="preserve">el </w:t>
      </w:r>
      <w:r w:rsidR="006A7C68" w:rsidRPr="00220543">
        <w:rPr>
          <w:rFonts w:ascii="Arial" w:hAnsi="Arial"/>
          <w:szCs w:val="20"/>
          <w:lang w:eastAsia="es-ES"/>
        </w:rPr>
        <w:t>Consejo de Representantes tomó</w:t>
      </w:r>
      <w:r w:rsidR="002B5842" w:rsidRPr="00220543">
        <w:rPr>
          <w:rFonts w:ascii="Arial" w:hAnsi="Arial"/>
          <w:szCs w:val="20"/>
          <w:lang w:eastAsia="es-ES"/>
        </w:rPr>
        <w:t xml:space="preserve"> una decisión unánime en la fijación de los salarios mínimos generales y profesionales para 2015, que demuestra que hay disposición para conciliar los intereses diversos en beneficio de todos.</w:t>
      </w:r>
      <w:r w:rsidR="006A7C68" w:rsidRPr="00220543">
        <w:rPr>
          <w:rFonts w:ascii="Arial" w:hAnsi="Arial"/>
          <w:szCs w:val="20"/>
          <w:lang w:eastAsia="es-ES"/>
        </w:rPr>
        <w:t xml:space="preserve"> Asimismo, señaló que l</w:t>
      </w:r>
      <w:r w:rsidR="002B5842" w:rsidRPr="00220543">
        <w:rPr>
          <w:rFonts w:ascii="Arial" w:hAnsi="Arial"/>
          <w:szCs w:val="20"/>
          <w:lang w:eastAsia="es-ES"/>
        </w:rPr>
        <w:t>os sectores obrero y patronal que integran</w:t>
      </w:r>
      <w:r w:rsidR="006A7C68" w:rsidRPr="00220543">
        <w:rPr>
          <w:rFonts w:ascii="Arial" w:hAnsi="Arial"/>
          <w:szCs w:val="20"/>
          <w:lang w:eastAsia="es-ES"/>
        </w:rPr>
        <w:t xml:space="preserve"> dicho </w:t>
      </w:r>
      <w:r w:rsidR="002B5842" w:rsidRPr="00220543">
        <w:rPr>
          <w:rFonts w:ascii="Arial" w:hAnsi="Arial"/>
          <w:szCs w:val="20"/>
          <w:lang w:eastAsia="es-ES"/>
        </w:rPr>
        <w:t xml:space="preserve">Consejo reconocen que para mejorar la eficiencia de la economía y para potenciar los efectos benéficos de las reformas estructurales sobre el crecimiento potencial, el empleo y el bienestar de la población, se debe alcanzar una mejoría significativa del marco institucional en el país. Así, una transformación institucional que mejore el estado de derecho, la seguridad jurídica y, en general, la fortaleza de las instituciones con las cuales se rigen la sociedad en su conjunto y los agentes económicos en particular, no sólo redundará en un mejor desempeño económico y una mayor armonía social, sino </w:t>
      </w:r>
      <w:r w:rsidR="002B5842" w:rsidRPr="00220543">
        <w:rPr>
          <w:rFonts w:ascii="Arial" w:hAnsi="Arial"/>
          <w:szCs w:val="20"/>
          <w:lang w:eastAsia="es-ES"/>
        </w:rPr>
        <w:lastRenderedPageBreak/>
        <w:t>que también se traducirá en un aprovechamiento más adecuado de los beneficios de las reformas estructurales y una mejor distribución de dichos beneficios entre la población del país.</w:t>
      </w:r>
    </w:p>
    <w:p w:rsidR="002B5842" w:rsidRPr="002B5842" w:rsidRDefault="002B5842" w:rsidP="00220543">
      <w:pPr>
        <w:spacing w:after="360"/>
        <w:ind w:right="310"/>
        <w:jc w:val="both"/>
        <w:rPr>
          <w:rFonts w:ascii="Arial" w:hAnsi="Arial"/>
          <w:lang w:val="es-ES" w:eastAsia="es-ES"/>
        </w:rPr>
      </w:pPr>
      <w:r w:rsidRPr="002B5842">
        <w:rPr>
          <w:rFonts w:ascii="Arial" w:hAnsi="Arial"/>
          <w:lang w:val="es-ES" w:eastAsia="es-ES"/>
        </w:rPr>
        <w:t xml:space="preserve">En adición a lo anterior, </w:t>
      </w:r>
      <w:r w:rsidR="006A7C68">
        <w:rPr>
          <w:rFonts w:ascii="Arial" w:hAnsi="Arial"/>
          <w:lang w:val="es-ES" w:eastAsia="es-ES"/>
        </w:rPr>
        <w:t xml:space="preserve">precisó que </w:t>
      </w:r>
      <w:r w:rsidRPr="002B5842">
        <w:rPr>
          <w:rFonts w:ascii="Arial" w:hAnsi="Arial"/>
          <w:lang w:val="es-ES" w:eastAsia="es-ES"/>
        </w:rPr>
        <w:t>el Consejo de Representantes al establecer los salarios mínimos que habrán de regir a partir del 1º de enero de 2015, sustentó su Resolución en los siguientes factores:</w:t>
      </w:r>
    </w:p>
    <w:p w:rsidR="002B5842" w:rsidRPr="002B5842" w:rsidRDefault="002B5842" w:rsidP="00220543">
      <w:pPr>
        <w:numPr>
          <w:ilvl w:val="0"/>
          <w:numId w:val="12"/>
        </w:numPr>
        <w:autoSpaceDE w:val="0"/>
        <w:autoSpaceDN w:val="0"/>
        <w:adjustRightInd w:val="0"/>
        <w:spacing w:after="360"/>
        <w:ind w:left="851" w:right="310" w:hanging="425"/>
        <w:jc w:val="both"/>
        <w:rPr>
          <w:rFonts w:ascii="Arial" w:hAnsi="Arial"/>
          <w:lang w:val="es-ES" w:eastAsia="es-ES"/>
        </w:rPr>
      </w:pPr>
      <w:r w:rsidRPr="002B5842">
        <w:rPr>
          <w:rFonts w:ascii="Arial" w:hAnsi="Arial"/>
          <w:lang w:val="es-ES" w:eastAsia="es-ES"/>
        </w:rPr>
        <w:t>Algunos estudios recientes indican que los gobiernos cuentan con un margen apreciable para utilizar el salario mínimo como herramienta de política. Por una parte, las investigaciones indican que si bien el aumento del salario mínimo y el nivel de empleo no se contrarrestan, o bien que dicho aumento tiene un efecto muy limitado sobre el empleo, lo cual puede ser positivo o negativo. Por otra parte, varios estudios indican que el salario mínimo contribuye efectivamente a reducir la desigualdad salarial. De hecho, en los últimos años, tanto en economías desarrolladas como en economías emergentes y economías en desarrollo, un número cada vez mayor de gobiernos ha utilizado el salario mínimo como herramienta de política eficaz contra la desigualdad salarial. Cabe subrayar la importancia de que el salario mínimo se fije considerando las necesidades de los trabajadores y sus familias en equilibrio con los factores económicos.</w:t>
      </w:r>
    </w:p>
    <w:p w:rsidR="002B5842" w:rsidRPr="002B5842" w:rsidRDefault="002B5842" w:rsidP="00220543">
      <w:pPr>
        <w:numPr>
          <w:ilvl w:val="0"/>
          <w:numId w:val="12"/>
        </w:numPr>
        <w:spacing w:after="360"/>
        <w:ind w:right="310"/>
        <w:jc w:val="both"/>
        <w:rPr>
          <w:rFonts w:ascii="Arial" w:hAnsi="Arial"/>
          <w:lang w:val="es-MX" w:eastAsia="es-ES"/>
        </w:rPr>
      </w:pPr>
      <w:r w:rsidRPr="002B5842">
        <w:rPr>
          <w:rFonts w:ascii="Arial" w:hAnsi="Arial" w:cs="Arial"/>
          <w:lang w:val="es-MX" w:eastAsia="es-ES"/>
        </w:rPr>
        <w:t xml:space="preserve">El llegar a fijar un solo salario mínimo general para todo el país es una preocupación manifiesta  del Consejo de Representantes en los últimos años; así, en su Resolución del 23 noviembre del 2012, que revisó los salarios mínimos generales y profesionales vigentes desde el 1 de enero de 2012 y estableció los que habrían de regir a partir del 27 de noviembre de ese mismo año, determinó reducir a dos las áreas geográficas en que se aplica el salario mínimo, con una diferencia salarial de 5.52% entre las mismas, y resolvió que no obstante que  dicho proceso de convergencia era un avance importante, éste debía continuar profundizándose en el futuro. Reducir, sin embargo, esa diferencia salarial supone otorgar incrementos salariales mayores al área geográfica “B”, que de realizarse de manera simultánea con el incremento anual podría llegar a ocasionar distorsiones en las estructuras salariales regionales y afectar la viabilidad de empresas ubicadas en dichas áreas, sobre todo de las micro y pequeñas empresas, de ahí la motivación de haber incluido, como uno de los objetivos en los trabajos de la Comisión Consultiva para la Recuperación gradual y sostenida de los Salarios Mínimos Generales y Profesionales: “El analizar y evaluar la viabilidad para establecer un solo salario mínimo general en toda la República Mexicana y establecer la estrategia y el calendario para su instrumentación”. En este sentido, hacer un seguimiento exhaustivo al comportamiento de las </w:t>
      </w:r>
      <w:r w:rsidRPr="002B5842">
        <w:rPr>
          <w:rFonts w:ascii="Arial" w:hAnsi="Arial" w:cs="Arial"/>
          <w:lang w:val="es-MX" w:eastAsia="es-ES"/>
        </w:rPr>
        <w:lastRenderedPageBreak/>
        <w:t>principales variables del mercado laboral a nivel nacional</w:t>
      </w:r>
      <w:r w:rsidR="006A7C68">
        <w:rPr>
          <w:rFonts w:ascii="Arial" w:hAnsi="Arial" w:cs="Arial"/>
          <w:lang w:val="es-MX" w:eastAsia="es-ES"/>
        </w:rPr>
        <w:t xml:space="preserve">, estatal y regional </w:t>
      </w:r>
      <w:r w:rsidRPr="002B5842">
        <w:rPr>
          <w:rFonts w:ascii="Arial" w:hAnsi="Arial" w:cs="Arial"/>
          <w:lang w:val="es-MX" w:eastAsia="es-ES"/>
        </w:rPr>
        <w:t>durante el 2015 será una prioridad para definir los tiempos para avanzar en el cierre de las áreas geográficas vigentes y alcanzar un solo salario mínimo general para todo el país.</w:t>
      </w:r>
    </w:p>
    <w:p w:rsidR="002B5842" w:rsidRPr="002B5842" w:rsidRDefault="002B5842" w:rsidP="00220543">
      <w:pPr>
        <w:numPr>
          <w:ilvl w:val="0"/>
          <w:numId w:val="12"/>
        </w:numPr>
        <w:spacing w:after="360"/>
        <w:ind w:right="310"/>
        <w:jc w:val="both"/>
        <w:rPr>
          <w:rFonts w:ascii="Arial" w:hAnsi="Arial"/>
          <w:lang w:val="es-ES" w:eastAsia="es-ES"/>
        </w:rPr>
      </w:pPr>
      <w:r w:rsidRPr="002B5842">
        <w:rPr>
          <w:rFonts w:ascii="Arial" w:hAnsi="Arial"/>
          <w:lang w:val="es-ES" w:eastAsia="es-ES"/>
        </w:rPr>
        <w:t>El subsidio para el empleo que incrementa el ingreso de las y los trabajadores, se aplicará en los términos obligatorios y directos que se encuentren vigentes a partir del 1º de enero de 2015, con independencia de los salarios mínimos a que se refiere esta Resolución.</w:t>
      </w:r>
    </w:p>
    <w:p w:rsidR="00C65A14" w:rsidRPr="00C65A14" w:rsidRDefault="00C65A14" w:rsidP="00220543">
      <w:pPr>
        <w:spacing w:after="360"/>
        <w:ind w:right="310"/>
        <w:jc w:val="both"/>
        <w:rPr>
          <w:rFonts w:ascii="Arial" w:hAnsi="Arial"/>
          <w:szCs w:val="20"/>
          <w:lang w:eastAsia="es-ES"/>
        </w:rPr>
      </w:pPr>
      <w:r w:rsidRPr="00C65A14">
        <w:rPr>
          <w:rFonts w:ascii="Arial" w:hAnsi="Arial"/>
          <w:szCs w:val="20"/>
          <w:lang w:eastAsia="es-ES"/>
        </w:rPr>
        <w:t>A continuación se presentan algunos casos que ejemplifican las modificaciones de que fueron objeto los salarios mínimos profesionales dentro del área geográfica "A</w:t>
      </w:r>
      <w:r w:rsidRPr="00A245D0">
        <w:rPr>
          <w:rFonts w:ascii="Arial" w:hAnsi="Arial"/>
          <w:szCs w:val="20"/>
          <w:lang w:eastAsia="es-ES"/>
        </w:rPr>
        <w:t>".</w:t>
      </w:r>
    </w:p>
    <w:p w:rsidR="00D23663" w:rsidRPr="00C65A14" w:rsidRDefault="00D23663" w:rsidP="00C65A14">
      <w:pPr>
        <w:spacing w:line="300" w:lineRule="exact"/>
        <w:jc w:val="both"/>
        <w:rPr>
          <w:rFonts w:ascii="Arial" w:hAnsi="Arial"/>
          <w:szCs w:val="20"/>
          <w:lang w:eastAsia="es-ES"/>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1"/>
        <w:gridCol w:w="1438"/>
        <w:gridCol w:w="1680"/>
      </w:tblGrid>
      <w:tr w:rsidR="00C65A14" w:rsidRPr="00A245D0" w:rsidTr="00C02A08">
        <w:trPr>
          <w:trHeight w:val="1375"/>
        </w:trPr>
        <w:tc>
          <w:tcPr>
            <w:tcW w:w="4961" w:type="dxa"/>
            <w:tcBorders>
              <w:top w:val="single" w:sz="6" w:space="0" w:color="auto"/>
              <w:left w:val="single" w:sz="6" w:space="0" w:color="auto"/>
              <w:bottom w:val="single" w:sz="4" w:space="0" w:color="auto"/>
              <w:right w:val="nil"/>
            </w:tcBorders>
          </w:tcPr>
          <w:p w:rsidR="00C65A14" w:rsidRPr="00C65A14" w:rsidRDefault="00C65A14" w:rsidP="00220543">
            <w:pPr>
              <w:jc w:val="center"/>
              <w:rPr>
                <w:rFonts w:ascii="Arial" w:hAnsi="Arial"/>
                <w:sz w:val="20"/>
                <w:szCs w:val="20"/>
                <w:lang w:eastAsia="es-ES"/>
              </w:rPr>
            </w:pPr>
            <w:r w:rsidRPr="00C65A14">
              <w:rPr>
                <w:rFonts w:ascii="Arial" w:hAnsi="Arial"/>
                <w:sz w:val="20"/>
                <w:szCs w:val="20"/>
                <w:lang w:eastAsia="es-ES"/>
              </w:rPr>
              <w:t>Profesiones, oficios y trabajos especiales</w:t>
            </w:r>
          </w:p>
        </w:tc>
        <w:tc>
          <w:tcPr>
            <w:tcW w:w="3118" w:type="dxa"/>
            <w:gridSpan w:val="2"/>
            <w:tcBorders>
              <w:top w:val="single" w:sz="6" w:space="0" w:color="auto"/>
              <w:left w:val="nil"/>
              <w:bottom w:val="single" w:sz="4" w:space="0" w:color="auto"/>
              <w:right w:val="single" w:sz="6" w:space="0" w:color="auto"/>
            </w:tcBorders>
          </w:tcPr>
          <w:p w:rsidR="00C65A14" w:rsidRDefault="00C65A14" w:rsidP="00220543">
            <w:pPr>
              <w:jc w:val="center"/>
              <w:rPr>
                <w:rFonts w:ascii="Arial" w:hAnsi="Arial"/>
                <w:sz w:val="20"/>
                <w:szCs w:val="20"/>
                <w:u w:val="single"/>
                <w:lang w:eastAsia="es-ES"/>
              </w:rPr>
            </w:pPr>
            <w:r w:rsidRPr="00C65A14">
              <w:rPr>
                <w:rFonts w:ascii="Arial" w:hAnsi="Arial"/>
                <w:sz w:val="20"/>
                <w:szCs w:val="20"/>
                <w:u w:val="single"/>
                <w:lang w:eastAsia="es-ES"/>
              </w:rPr>
              <w:t xml:space="preserve">Salario Mínimo Profesional </w:t>
            </w:r>
          </w:p>
          <w:p w:rsidR="005C621C" w:rsidRPr="00C65A14" w:rsidRDefault="005C621C" w:rsidP="00220543">
            <w:pPr>
              <w:jc w:val="center"/>
              <w:rPr>
                <w:rFonts w:ascii="Arial" w:hAnsi="Arial"/>
                <w:sz w:val="20"/>
                <w:szCs w:val="20"/>
                <w:u w:val="single"/>
                <w:lang w:eastAsia="es-ES"/>
              </w:rPr>
            </w:pPr>
            <w:r>
              <w:rPr>
                <w:rFonts w:ascii="Arial" w:hAnsi="Arial"/>
                <w:sz w:val="20"/>
                <w:szCs w:val="20"/>
                <w:u w:val="single"/>
                <w:lang w:eastAsia="es-ES"/>
              </w:rPr>
              <w:t>Área Geográfica A</w:t>
            </w:r>
          </w:p>
          <w:p w:rsidR="00C65A14" w:rsidRPr="00C65A14" w:rsidRDefault="00C65A14" w:rsidP="00220543">
            <w:pPr>
              <w:jc w:val="center"/>
              <w:rPr>
                <w:rFonts w:ascii="Arial" w:hAnsi="Arial"/>
                <w:sz w:val="20"/>
                <w:szCs w:val="20"/>
                <w:lang w:eastAsia="es-ES"/>
              </w:rPr>
            </w:pPr>
            <w:r w:rsidRPr="00C65A14">
              <w:rPr>
                <w:rFonts w:ascii="Arial" w:hAnsi="Arial"/>
                <w:sz w:val="20"/>
                <w:szCs w:val="20"/>
                <w:lang w:eastAsia="es-ES"/>
              </w:rPr>
              <w:t>(pesos diarios)</w:t>
            </w:r>
          </w:p>
          <w:p w:rsidR="00C65A14" w:rsidRPr="00C65A14" w:rsidRDefault="00C65A14" w:rsidP="00220543">
            <w:pPr>
              <w:rPr>
                <w:rFonts w:ascii="Arial" w:hAnsi="Arial"/>
                <w:sz w:val="16"/>
                <w:szCs w:val="16"/>
                <w:lang w:eastAsia="es-ES"/>
              </w:rPr>
            </w:pPr>
            <w:r w:rsidRPr="00C65A14">
              <w:rPr>
                <w:rFonts w:ascii="Arial" w:hAnsi="Arial"/>
                <w:sz w:val="20"/>
                <w:szCs w:val="20"/>
                <w:lang w:eastAsia="es-ES"/>
              </w:rPr>
              <w:t xml:space="preserve">     Anterior            </w:t>
            </w:r>
            <w:r w:rsidR="00A245D0">
              <w:rPr>
                <w:rFonts w:ascii="Arial" w:hAnsi="Arial"/>
                <w:sz w:val="20"/>
                <w:szCs w:val="20"/>
                <w:lang w:eastAsia="es-ES"/>
              </w:rPr>
              <w:t xml:space="preserve"> </w:t>
            </w:r>
            <w:r w:rsidRPr="00C65A14">
              <w:rPr>
                <w:rFonts w:ascii="Arial" w:hAnsi="Arial"/>
                <w:sz w:val="20"/>
                <w:szCs w:val="20"/>
                <w:lang w:eastAsia="es-ES"/>
              </w:rPr>
              <w:t xml:space="preserve">  Nuevo     </w:t>
            </w:r>
          </w:p>
          <w:p w:rsidR="00C65A14" w:rsidRPr="00C65A14" w:rsidRDefault="00CB3852" w:rsidP="00220543">
            <w:pPr>
              <w:rPr>
                <w:rFonts w:ascii="Arial" w:hAnsi="Arial"/>
                <w:sz w:val="20"/>
                <w:szCs w:val="20"/>
                <w:lang w:eastAsia="es-ES"/>
              </w:rPr>
            </w:pPr>
            <w:r>
              <w:rPr>
                <w:rFonts w:ascii="Arial" w:hAnsi="Arial"/>
                <w:sz w:val="20"/>
                <w:szCs w:val="20"/>
                <w:lang w:eastAsia="es-ES"/>
              </w:rPr>
              <w:t xml:space="preserve">        2014</w:t>
            </w:r>
            <w:r w:rsidR="00C65A14" w:rsidRPr="00C65A14">
              <w:rPr>
                <w:rFonts w:ascii="Arial" w:hAnsi="Arial"/>
                <w:sz w:val="20"/>
                <w:szCs w:val="20"/>
                <w:lang w:eastAsia="es-ES"/>
              </w:rPr>
              <w:t xml:space="preserve">                  201</w:t>
            </w:r>
            <w:r>
              <w:rPr>
                <w:rFonts w:ascii="Arial" w:hAnsi="Arial"/>
                <w:sz w:val="20"/>
                <w:szCs w:val="20"/>
                <w:lang w:eastAsia="es-ES"/>
              </w:rPr>
              <w:t>5</w:t>
            </w:r>
          </w:p>
        </w:tc>
      </w:tr>
      <w:tr w:rsidR="00C65A14" w:rsidRPr="00C65A14" w:rsidTr="00D23663">
        <w:tc>
          <w:tcPr>
            <w:tcW w:w="4961" w:type="dxa"/>
            <w:tcBorders>
              <w:top w:val="nil"/>
              <w:left w:val="single" w:sz="6" w:space="0" w:color="auto"/>
              <w:bottom w:val="nil"/>
              <w:right w:val="nil"/>
            </w:tcBorders>
          </w:tcPr>
          <w:p w:rsidR="00C65A14" w:rsidRPr="00C65A14" w:rsidRDefault="00C65A14" w:rsidP="00220543">
            <w:pPr>
              <w:ind w:left="170"/>
              <w:rPr>
                <w:rFonts w:ascii="Arial" w:hAnsi="Arial"/>
                <w:sz w:val="20"/>
                <w:szCs w:val="20"/>
                <w:lang w:eastAsia="es-ES"/>
              </w:rPr>
            </w:pPr>
            <w:r w:rsidRPr="00C65A14">
              <w:rPr>
                <w:rFonts w:ascii="Arial" w:hAnsi="Arial"/>
                <w:sz w:val="20"/>
                <w:szCs w:val="20"/>
                <w:lang w:eastAsia="es-ES"/>
              </w:rPr>
              <w:t>Oficial de albañilería</w:t>
            </w:r>
          </w:p>
        </w:tc>
        <w:tc>
          <w:tcPr>
            <w:tcW w:w="1438" w:type="dxa"/>
            <w:tcBorders>
              <w:top w:val="nil"/>
              <w:left w:val="nil"/>
              <w:bottom w:val="nil"/>
              <w:right w:val="nil"/>
            </w:tcBorders>
          </w:tcPr>
          <w:p w:rsidR="00C65A14" w:rsidRPr="00C65A14" w:rsidRDefault="00CB3852" w:rsidP="00220543">
            <w:pPr>
              <w:jc w:val="center"/>
              <w:rPr>
                <w:rFonts w:ascii="Arial" w:hAnsi="Arial"/>
                <w:sz w:val="20"/>
                <w:szCs w:val="20"/>
                <w:lang w:eastAsia="es-ES"/>
              </w:rPr>
            </w:pPr>
            <w:r>
              <w:rPr>
                <w:rFonts w:ascii="Arial" w:hAnsi="Arial"/>
                <w:sz w:val="20"/>
                <w:szCs w:val="20"/>
                <w:lang w:eastAsia="es-ES"/>
              </w:rPr>
              <w:t>98.05</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102.20</w:t>
            </w:r>
          </w:p>
        </w:tc>
      </w:tr>
      <w:tr w:rsidR="00C65A14" w:rsidRPr="00C65A14" w:rsidTr="00D23663">
        <w:tc>
          <w:tcPr>
            <w:tcW w:w="4961" w:type="dxa"/>
            <w:tcBorders>
              <w:top w:val="nil"/>
              <w:left w:val="single" w:sz="6" w:space="0" w:color="auto"/>
              <w:bottom w:val="nil"/>
              <w:right w:val="nil"/>
            </w:tcBorders>
          </w:tcPr>
          <w:p w:rsidR="00C65A14" w:rsidRPr="00C65A14" w:rsidRDefault="00E869D0" w:rsidP="00220543">
            <w:pPr>
              <w:ind w:left="170"/>
              <w:rPr>
                <w:rFonts w:ascii="Arial" w:hAnsi="Arial"/>
                <w:sz w:val="20"/>
                <w:szCs w:val="20"/>
                <w:lang w:eastAsia="es-ES"/>
              </w:rPr>
            </w:pPr>
            <w:r>
              <w:rPr>
                <w:rFonts w:ascii="Arial" w:hAnsi="Arial"/>
                <w:sz w:val="20"/>
                <w:szCs w:val="20"/>
                <w:lang w:eastAsia="es-ES"/>
              </w:rPr>
              <w:t>O</w:t>
            </w:r>
            <w:r w:rsidR="00CB3852">
              <w:rPr>
                <w:rFonts w:ascii="Arial" w:hAnsi="Arial"/>
                <w:sz w:val="20"/>
                <w:szCs w:val="20"/>
                <w:lang w:eastAsia="es-ES"/>
              </w:rPr>
              <w:t xml:space="preserve">perador(a) de </w:t>
            </w:r>
            <w:proofErr w:type="spellStart"/>
            <w:r w:rsidR="00CB3852">
              <w:rPr>
                <w:rFonts w:ascii="Arial" w:hAnsi="Arial"/>
                <w:sz w:val="20"/>
                <w:szCs w:val="20"/>
                <w:lang w:eastAsia="es-ES"/>
              </w:rPr>
              <w:t>buldózer</w:t>
            </w:r>
            <w:proofErr w:type="spellEnd"/>
            <w:r w:rsidR="00CB3852">
              <w:rPr>
                <w:rFonts w:ascii="Arial" w:hAnsi="Arial"/>
                <w:sz w:val="20"/>
                <w:szCs w:val="20"/>
                <w:lang w:eastAsia="es-ES"/>
              </w:rPr>
              <w:t xml:space="preserve"> y/o </w:t>
            </w:r>
            <w:proofErr w:type="spellStart"/>
            <w:r w:rsidR="00CB3852">
              <w:rPr>
                <w:rFonts w:ascii="Arial" w:hAnsi="Arial"/>
                <w:sz w:val="20"/>
                <w:szCs w:val="20"/>
                <w:lang w:eastAsia="es-ES"/>
              </w:rPr>
              <w:t>traxcavo</w:t>
            </w:r>
            <w:proofErr w:type="spellEnd"/>
          </w:p>
        </w:tc>
        <w:tc>
          <w:tcPr>
            <w:tcW w:w="1438" w:type="dxa"/>
            <w:tcBorders>
              <w:top w:val="nil"/>
              <w:left w:val="nil"/>
              <w:bottom w:val="nil"/>
              <w:right w:val="nil"/>
            </w:tcBorders>
          </w:tcPr>
          <w:p w:rsidR="00C65A14" w:rsidRPr="00C65A14" w:rsidRDefault="002507FB" w:rsidP="00220543">
            <w:pPr>
              <w:rPr>
                <w:rFonts w:ascii="Arial" w:hAnsi="Arial"/>
                <w:sz w:val="20"/>
                <w:szCs w:val="20"/>
                <w:lang w:eastAsia="es-ES"/>
              </w:rPr>
            </w:pPr>
            <w:r>
              <w:rPr>
                <w:rFonts w:ascii="Arial" w:hAnsi="Arial"/>
                <w:sz w:val="20"/>
                <w:szCs w:val="20"/>
                <w:lang w:eastAsia="es-ES"/>
              </w:rPr>
              <w:t xml:space="preserve">     </w:t>
            </w:r>
            <w:r w:rsidR="00CB3852">
              <w:rPr>
                <w:rFonts w:ascii="Arial" w:hAnsi="Arial"/>
                <w:sz w:val="20"/>
                <w:szCs w:val="20"/>
                <w:lang w:eastAsia="es-ES"/>
              </w:rPr>
              <w:t>103.30</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107.65</w:t>
            </w:r>
          </w:p>
        </w:tc>
      </w:tr>
      <w:tr w:rsidR="00C65A14" w:rsidRPr="00C65A14" w:rsidTr="00D23663">
        <w:tc>
          <w:tcPr>
            <w:tcW w:w="4961" w:type="dxa"/>
            <w:tcBorders>
              <w:top w:val="nil"/>
              <w:left w:val="single" w:sz="6" w:space="0" w:color="auto"/>
              <w:bottom w:val="nil"/>
              <w:right w:val="nil"/>
            </w:tcBorders>
          </w:tcPr>
          <w:p w:rsidR="00C65A14" w:rsidRPr="00C65A14" w:rsidRDefault="00C65A14" w:rsidP="00220543">
            <w:pPr>
              <w:ind w:left="170"/>
              <w:rPr>
                <w:rFonts w:ascii="Arial" w:hAnsi="Arial"/>
                <w:sz w:val="20"/>
                <w:szCs w:val="20"/>
                <w:lang w:eastAsia="es-ES"/>
              </w:rPr>
            </w:pPr>
            <w:r w:rsidRPr="00C65A14">
              <w:rPr>
                <w:rFonts w:ascii="Arial" w:hAnsi="Arial"/>
                <w:sz w:val="20"/>
                <w:szCs w:val="20"/>
                <w:lang w:eastAsia="es-ES"/>
              </w:rPr>
              <w:t>Costurero(a) en confección de ropa en talleres o fábricas</w:t>
            </w:r>
          </w:p>
        </w:tc>
        <w:tc>
          <w:tcPr>
            <w:tcW w:w="1438" w:type="dxa"/>
            <w:tcBorders>
              <w:top w:val="nil"/>
              <w:left w:val="nil"/>
              <w:bottom w:val="nil"/>
              <w:right w:val="nil"/>
            </w:tcBorders>
          </w:tcPr>
          <w:p w:rsidR="00C65A14" w:rsidRPr="00C65A14" w:rsidRDefault="008803B8" w:rsidP="00220543">
            <w:pPr>
              <w:jc w:val="center"/>
              <w:rPr>
                <w:rFonts w:ascii="Arial" w:hAnsi="Arial"/>
                <w:sz w:val="20"/>
                <w:szCs w:val="20"/>
                <w:lang w:eastAsia="es-ES"/>
              </w:rPr>
            </w:pPr>
            <w:r>
              <w:rPr>
                <w:rFonts w:ascii="Arial" w:hAnsi="Arial"/>
                <w:sz w:val="20"/>
                <w:szCs w:val="20"/>
                <w:lang w:eastAsia="es-ES"/>
              </w:rPr>
              <w:t>86.84</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90.50</w:t>
            </w:r>
            <w:bookmarkStart w:id="0" w:name="_GoBack"/>
            <w:bookmarkEnd w:id="0"/>
          </w:p>
        </w:tc>
      </w:tr>
      <w:tr w:rsidR="00C65A14" w:rsidRPr="00C65A14" w:rsidTr="00D23663">
        <w:tc>
          <w:tcPr>
            <w:tcW w:w="4961" w:type="dxa"/>
            <w:tcBorders>
              <w:top w:val="nil"/>
              <w:left w:val="single" w:sz="6" w:space="0" w:color="auto"/>
              <w:bottom w:val="nil"/>
              <w:right w:val="nil"/>
            </w:tcBorders>
          </w:tcPr>
          <w:p w:rsidR="00C65A14" w:rsidRPr="00C65A14" w:rsidRDefault="00CB3852" w:rsidP="00220543">
            <w:pPr>
              <w:ind w:left="170"/>
              <w:rPr>
                <w:rFonts w:ascii="Arial" w:hAnsi="Arial"/>
                <w:sz w:val="20"/>
                <w:szCs w:val="20"/>
                <w:lang w:eastAsia="es-ES"/>
              </w:rPr>
            </w:pPr>
            <w:r>
              <w:rPr>
                <w:rFonts w:ascii="Arial" w:hAnsi="Arial"/>
                <w:sz w:val="20"/>
                <w:szCs w:val="20"/>
                <w:lang w:eastAsia="es-ES"/>
              </w:rPr>
              <w:t>Operador(a) de draga</w:t>
            </w:r>
          </w:p>
        </w:tc>
        <w:tc>
          <w:tcPr>
            <w:tcW w:w="1438" w:type="dxa"/>
            <w:tcBorders>
              <w:top w:val="nil"/>
              <w:left w:val="nil"/>
              <w:bottom w:val="nil"/>
              <w:right w:val="nil"/>
            </w:tcBorders>
          </w:tcPr>
          <w:p w:rsidR="00C65A14" w:rsidRPr="00C65A14" w:rsidRDefault="002507FB" w:rsidP="00220543">
            <w:pPr>
              <w:rPr>
                <w:rFonts w:ascii="Arial" w:hAnsi="Arial"/>
                <w:sz w:val="20"/>
                <w:szCs w:val="20"/>
                <w:lang w:eastAsia="es-ES"/>
              </w:rPr>
            </w:pPr>
            <w:r>
              <w:rPr>
                <w:rFonts w:ascii="Arial" w:hAnsi="Arial"/>
                <w:sz w:val="20"/>
                <w:szCs w:val="20"/>
                <w:lang w:eastAsia="es-ES"/>
              </w:rPr>
              <w:t xml:space="preserve">      </w:t>
            </w:r>
            <w:r w:rsidR="00CB3852">
              <w:rPr>
                <w:rFonts w:ascii="Arial" w:hAnsi="Arial"/>
                <w:sz w:val="20"/>
                <w:szCs w:val="20"/>
                <w:lang w:eastAsia="es-ES"/>
              </w:rPr>
              <w:t>104.37</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108.75</w:t>
            </w:r>
          </w:p>
        </w:tc>
      </w:tr>
      <w:tr w:rsidR="00C65A14" w:rsidRPr="00C65A14" w:rsidTr="00D23663">
        <w:tc>
          <w:tcPr>
            <w:tcW w:w="4961" w:type="dxa"/>
            <w:tcBorders>
              <w:top w:val="nil"/>
              <w:left w:val="single" w:sz="6" w:space="0" w:color="auto"/>
              <w:bottom w:val="nil"/>
              <w:right w:val="nil"/>
            </w:tcBorders>
          </w:tcPr>
          <w:p w:rsidR="00C65A14" w:rsidRPr="00C65A14" w:rsidRDefault="0084692B" w:rsidP="00220543">
            <w:pPr>
              <w:ind w:left="170"/>
              <w:rPr>
                <w:rFonts w:ascii="Arial" w:hAnsi="Arial"/>
                <w:sz w:val="20"/>
                <w:szCs w:val="20"/>
                <w:lang w:eastAsia="es-ES"/>
              </w:rPr>
            </w:pPr>
            <w:r>
              <w:rPr>
                <w:rFonts w:ascii="Arial" w:hAnsi="Arial"/>
                <w:sz w:val="20"/>
                <w:szCs w:val="20"/>
                <w:lang w:eastAsia="es-ES"/>
              </w:rPr>
              <w:t>O</w:t>
            </w:r>
            <w:r w:rsidR="003100C2">
              <w:rPr>
                <w:rFonts w:ascii="Arial" w:hAnsi="Arial"/>
                <w:sz w:val="20"/>
                <w:szCs w:val="20"/>
                <w:lang w:eastAsia="es-ES"/>
              </w:rPr>
              <w:t>ficial plomero(a) en instalaciones sanitarias</w:t>
            </w:r>
          </w:p>
        </w:tc>
        <w:tc>
          <w:tcPr>
            <w:tcW w:w="1438" w:type="dxa"/>
            <w:tcBorders>
              <w:top w:val="nil"/>
              <w:left w:val="nil"/>
              <w:bottom w:val="nil"/>
              <w:right w:val="nil"/>
            </w:tcBorders>
          </w:tcPr>
          <w:p w:rsidR="00C65A14" w:rsidRPr="00C65A14" w:rsidRDefault="002507FB" w:rsidP="00220543">
            <w:pPr>
              <w:jc w:val="center"/>
              <w:rPr>
                <w:rFonts w:ascii="Arial" w:hAnsi="Arial"/>
                <w:sz w:val="20"/>
                <w:szCs w:val="20"/>
                <w:lang w:eastAsia="es-ES"/>
              </w:rPr>
            </w:pPr>
            <w:r>
              <w:rPr>
                <w:rFonts w:ascii="Arial" w:hAnsi="Arial"/>
                <w:sz w:val="20"/>
                <w:szCs w:val="20"/>
                <w:lang w:eastAsia="es-ES"/>
              </w:rPr>
              <w:t xml:space="preserve"> </w:t>
            </w:r>
            <w:r w:rsidR="004B5A10">
              <w:rPr>
                <w:rFonts w:ascii="Arial" w:hAnsi="Arial"/>
                <w:sz w:val="20"/>
                <w:szCs w:val="20"/>
                <w:lang w:eastAsia="es-ES"/>
              </w:rPr>
              <w:t>9</w:t>
            </w:r>
            <w:r w:rsidR="003100C2">
              <w:rPr>
                <w:rFonts w:ascii="Arial" w:hAnsi="Arial"/>
                <w:sz w:val="20"/>
                <w:szCs w:val="20"/>
                <w:lang w:eastAsia="es-ES"/>
              </w:rPr>
              <w:t>3</w:t>
            </w:r>
            <w:r w:rsidR="004B5A10">
              <w:rPr>
                <w:rFonts w:ascii="Arial" w:hAnsi="Arial"/>
                <w:sz w:val="20"/>
                <w:szCs w:val="20"/>
                <w:lang w:eastAsia="es-ES"/>
              </w:rPr>
              <w:t>.9</w:t>
            </w:r>
            <w:r w:rsidR="003100C2">
              <w:rPr>
                <w:rFonts w:ascii="Arial" w:hAnsi="Arial"/>
                <w:sz w:val="20"/>
                <w:szCs w:val="20"/>
                <w:lang w:eastAsia="es-ES"/>
              </w:rPr>
              <w:t>4</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97.90</w:t>
            </w:r>
          </w:p>
        </w:tc>
      </w:tr>
      <w:tr w:rsidR="00C65A14" w:rsidRPr="00C65A14" w:rsidTr="00D23663">
        <w:tc>
          <w:tcPr>
            <w:tcW w:w="4961" w:type="dxa"/>
            <w:tcBorders>
              <w:top w:val="nil"/>
              <w:left w:val="single" w:sz="6" w:space="0" w:color="auto"/>
              <w:bottom w:val="nil"/>
              <w:right w:val="nil"/>
            </w:tcBorders>
          </w:tcPr>
          <w:p w:rsidR="00C65A14" w:rsidRPr="00C65A14" w:rsidRDefault="003628CC" w:rsidP="00220543">
            <w:pPr>
              <w:ind w:left="170"/>
              <w:rPr>
                <w:rFonts w:ascii="Arial" w:hAnsi="Arial"/>
                <w:sz w:val="20"/>
                <w:szCs w:val="20"/>
                <w:lang w:eastAsia="es-ES"/>
              </w:rPr>
            </w:pPr>
            <w:r>
              <w:rPr>
                <w:rFonts w:ascii="Arial" w:hAnsi="Arial"/>
                <w:sz w:val="20"/>
                <w:szCs w:val="20"/>
                <w:lang w:eastAsia="es-ES"/>
              </w:rPr>
              <w:t>Oficial Mecánico(a) en reparación de</w:t>
            </w:r>
            <w:r w:rsidR="004B5A10" w:rsidRPr="004B5A10">
              <w:rPr>
                <w:rFonts w:ascii="Arial" w:hAnsi="Arial"/>
                <w:sz w:val="20"/>
                <w:szCs w:val="20"/>
                <w:lang w:eastAsia="es-ES"/>
              </w:rPr>
              <w:t xml:space="preserve"> automóviles y camiones</w:t>
            </w:r>
          </w:p>
        </w:tc>
        <w:tc>
          <w:tcPr>
            <w:tcW w:w="1438" w:type="dxa"/>
            <w:tcBorders>
              <w:top w:val="nil"/>
              <w:left w:val="nil"/>
              <w:bottom w:val="nil"/>
              <w:right w:val="nil"/>
            </w:tcBorders>
          </w:tcPr>
          <w:p w:rsidR="00C65A14" w:rsidRPr="00C65A14" w:rsidRDefault="003628CC" w:rsidP="00220543">
            <w:pPr>
              <w:jc w:val="center"/>
              <w:rPr>
                <w:rFonts w:ascii="Arial" w:hAnsi="Arial"/>
                <w:sz w:val="20"/>
                <w:szCs w:val="20"/>
                <w:lang w:eastAsia="es-ES"/>
              </w:rPr>
            </w:pPr>
            <w:r>
              <w:rPr>
                <w:rFonts w:ascii="Arial" w:hAnsi="Arial"/>
                <w:sz w:val="20"/>
                <w:szCs w:val="20"/>
                <w:lang w:eastAsia="es-ES"/>
              </w:rPr>
              <w:t>101</w:t>
            </w:r>
            <w:r w:rsidR="004B5A10">
              <w:rPr>
                <w:rFonts w:ascii="Arial" w:hAnsi="Arial"/>
                <w:sz w:val="20"/>
                <w:szCs w:val="20"/>
                <w:lang w:eastAsia="es-ES"/>
              </w:rPr>
              <w:t>.6</w:t>
            </w:r>
            <w:r>
              <w:rPr>
                <w:rFonts w:ascii="Arial" w:hAnsi="Arial"/>
                <w:sz w:val="20"/>
                <w:szCs w:val="20"/>
                <w:lang w:eastAsia="es-ES"/>
              </w:rPr>
              <w:t>7</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105.95</w:t>
            </w:r>
          </w:p>
        </w:tc>
      </w:tr>
      <w:tr w:rsidR="00C65A14" w:rsidRPr="00C65A14" w:rsidTr="00D23663">
        <w:tc>
          <w:tcPr>
            <w:tcW w:w="4961" w:type="dxa"/>
            <w:tcBorders>
              <w:top w:val="nil"/>
              <w:left w:val="single" w:sz="6" w:space="0" w:color="auto"/>
              <w:bottom w:val="nil"/>
              <w:right w:val="nil"/>
            </w:tcBorders>
          </w:tcPr>
          <w:p w:rsidR="00C65A14" w:rsidRPr="00C65A14" w:rsidRDefault="00B70F2A" w:rsidP="00220543">
            <w:pPr>
              <w:ind w:left="170"/>
              <w:rPr>
                <w:rFonts w:ascii="Arial" w:hAnsi="Arial"/>
                <w:sz w:val="20"/>
                <w:szCs w:val="20"/>
                <w:lang w:eastAsia="es-ES"/>
              </w:rPr>
            </w:pPr>
            <w:r>
              <w:rPr>
                <w:rFonts w:ascii="Arial" w:hAnsi="Arial"/>
                <w:sz w:val="20"/>
                <w:szCs w:val="20"/>
                <w:lang w:eastAsia="es-ES"/>
              </w:rPr>
              <w:t>Recamarero(a) en hoteles, moteles y otro</w:t>
            </w:r>
            <w:r w:rsidR="007400AA">
              <w:rPr>
                <w:rFonts w:ascii="Arial" w:hAnsi="Arial"/>
                <w:sz w:val="20"/>
                <w:szCs w:val="20"/>
                <w:lang w:eastAsia="es-ES"/>
              </w:rPr>
              <w:t>s</w:t>
            </w:r>
            <w:r>
              <w:rPr>
                <w:rFonts w:ascii="Arial" w:hAnsi="Arial"/>
                <w:sz w:val="20"/>
                <w:szCs w:val="20"/>
                <w:lang w:eastAsia="es-ES"/>
              </w:rPr>
              <w:t xml:space="preserve"> establecimientos de hospedaje</w:t>
            </w:r>
          </w:p>
        </w:tc>
        <w:tc>
          <w:tcPr>
            <w:tcW w:w="1438" w:type="dxa"/>
            <w:tcBorders>
              <w:top w:val="nil"/>
              <w:left w:val="nil"/>
              <w:bottom w:val="nil"/>
              <w:right w:val="nil"/>
            </w:tcBorders>
          </w:tcPr>
          <w:p w:rsidR="00C65A14" w:rsidRPr="00C65A14" w:rsidRDefault="002507FB" w:rsidP="00220543">
            <w:pPr>
              <w:jc w:val="center"/>
              <w:rPr>
                <w:rFonts w:ascii="Arial" w:hAnsi="Arial"/>
                <w:sz w:val="20"/>
                <w:szCs w:val="20"/>
                <w:lang w:eastAsia="es-ES"/>
              </w:rPr>
            </w:pPr>
            <w:r>
              <w:rPr>
                <w:rFonts w:ascii="Arial" w:hAnsi="Arial"/>
                <w:sz w:val="20"/>
                <w:szCs w:val="20"/>
                <w:lang w:eastAsia="es-ES"/>
              </w:rPr>
              <w:t xml:space="preserve">  </w:t>
            </w:r>
            <w:r w:rsidR="003628CC">
              <w:rPr>
                <w:rFonts w:ascii="Arial" w:hAnsi="Arial"/>
                <w:sz w:val="20"/>
                <w:szCs w:val="20"/>
                <w:lang w:eastAsia="es-ES"/>
              </w:rPr>
              <w:t>85.05</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88.60</w:t>
            </w:r>
          </w:p>
        </w:tc>
      </w:tr>
      <w:tr w:rsidR="00C65A14" w:rsidRPr="00C65A14" w:rsidTr="00D23663">
        <w:tc>
          <w:tcPr>
            <w:tcW w:w="4961" w:type="dxa"/>
            <w:tcBorders>
              <w:top w:val="nil"/>
              <w:left w:val="single" w:sz="6" w:space="0" w:color="auto"/>
              <w:bottom w:val="nil"/>
              <w:right w:val="nil"/>
            </w:tcBorders>
          </w:tcPr>
          <w:p w:rsidR="00C65A14" w:rsidRPr="00C65A14" w:rsidRDefault="00C65A14" w:rsidP="00220543">
            <w:pPr>
              <w:ind w:left="170"/>
              <w:rPr>
                <w:rFonts w:ascii="Arial" w:hAnsi="Arial"/>
                <w:sz w:val="20"/>
                <w:szCs w:val="20"/>
                <w:lang w:eastAsia="es-ES"/>
              </w:rPr>
            </w:pPr>
            <w:r w:rsidRPr="00C65A14">
              <w:rPr>
                <w:rFonts w:ascii="Arial" w:hAnsi="Arial"/>
                <w:sz w:val="20"/>
                <w:szCs w:val="20"/>
                <w:lang w:eastAsia="es-ES"/>
              </w:rPr>
              <w:t>Reportero(a) en prensa diaria impresa</w:t>
            </w:r>
          </w:p>
        </w:tc>
        <w:tc>
          <w:tcPr>
            <w:tcW w:w="1438" w:type="dxa"/>
            <w:tcBorders>
              <w:top w:val="nil"/>
              <w:left w:val="nil"/>
              <w:bottom w:val="nil"/>
              <w:right w:val="nil"/>
            </w:tcBorders>
          </w:tcPr>
          <w:p w:rsidR="00C65A14" w:rsidRPr="00C65A14" w:rsidRDefault="002507FB" w:rsidP="00220543">
            <w:pPr>
              <w:jc w:val="center"/>
              <w:rPr>
                <w:rFonts w:ascii="Arial" w:hAnsi="Arial"/>
                <w:sz w:val="20"/>
                <w:szCs w:val="20"/>
                <w:lang w:eastAsia="es-ES"/>
              </w:rPr>
            </w:pPr>
            <w:r>
              <w:rPr>
                <w:rFonts w:ascii="Arial" w:hAnsi="Arial"/>
                <w:sz w:val="20"/>
                <w:szCs w:val="20"/>
                <w:lang w:eastAsia="es-ES"/>
              </w:rPr>
              <w:t xml:space="preserve"> 201.58</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210.05</w:t>
            </w:r>
          </w:p>
        </w:tc>
      </w:tr>
      <w:tr w:rsidR="00C65A14" w:rsidRPr="00C65A14" w:rsidTr="00D23663">
        <w:tc>
          <w:tcPr>
            <w:tcW w:w="4961" w:type="dxa"/>
            <w:tcBorders>
              <w:top w:val="nil"/>
              <w:left w:val="single" w:sz="6" w:space="0" w:color="auto"/>
              <w:bottom w:val="nil"/>
              <w:right w:val="nil"/>
            </w:tcBorders>
          </w:tcPr>
          <w:p w:rsidR="00C65A14" w:rsidRPr="00C65A14" w:rsidRDefault="00C65A14" w:rsidP="00220543">
            <w:pPr>
              <w:ind w:left="170"/>
              <w:rPr>
                <w:rFonts w:ascii="Arial" w:hAnsi="Arial"/>
                <w:sz w:val="20"/>
                <w:szCs w:val="20"/>
                <w:lang w:eastAsia="es-ES"/>
              </w:rPr>
            </w:pPr>
            <w:r w:rsidRPr="00C65A14">
              <w:rPr>
                <w:rFonts w:ascii="Arial" w:hAnsi="Arial"/>
                <w:sz w:val="20"/>
                <w:szCs w:val="20"/>
                <w:lang w:eastAsia="es-ES"/>
              </w:rPr>
              <w:t xml:space="preserve">Secretario(a) auxiliar </w:t>
            </w:r>
          </w:p>
        </w:tc>
        <w:tc>
          <w:tcPr>
            <w:tcW w:w="1438" w:type="dxa"/>
            <w:tcBorders>
              <w:top w:val="nil"/>
              <w:left w:val="nil"/>
              <w:bottom w:val="nil"/>
              <w:right w:val="nil"/>
            </w:tcBorders>
          </w:tcPr>
          <w:p w:rsidR="00C65A14" w:rsidRPr="00C65A14" w:rsidRDefault="002507FB" w:rsidP="00220543">
            <w:pPr>
              <w:jc w:val="center"/>
              <w:rPr>
                <w:rFonts w:ascii="Arial" w:hAnsi="Arial"/>
                <w:sz w:val="20"/>
                <w:szCs w:val="20"/>
                <w:lang w:eastAsia="es-ES"/>
              </w:rPr>
            </w:pPr>
            <w:r>
              <w:rPr>
                <w:rFonts w:ascii="Arial" w:hAnsi="Arial"/>
                <w:sz w:val="20"/>
                <w:szCs w:val="20"/>
                <w:lang w:eastAsia="es-ES"/>
              </w:rPr>
              <w:t xml:space="preserve"> 101.47</w:t>
            </w:r>
          </w:p>
        </w:tc>
        <w:tc>
          <w:tcPr>
            <w:tcW w:w="1680" w:type="dxa"/>
            <w:tcBorders>
              <w:top w:val="nil"/>
              <w:left w:val="nil"/>
              <w:bottom w:val="nil"/>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105.70</w:t>
            </w:r>
          </w:p>
        </w:tc>
      </w:tr>
      <w:tr w:rsidR="00C65A14" w:rsidRPr="00C65A14" w:rsidTr="00D23663">
        <w:tc>
          <w:tcPr>
            <w:tcW w:w="4961" w:type="dxa"/>
            <w:tcBorders>
              <w:top w:val="nil"/>
              <w:left w:val="single" w:sz="6" w:space="0" w:color="auto"/>
              <w:bottom w:val="single" w:sz="6" w:space="0" w:color="auto"/>
              <w:right w:val="nil"/>
            </w:tcBorders>
          </w:tcPr>
          <w:p w:rsidR="00C65A14" w:rsidRPr="00C65A14" w:rsidRDefault="00C65A14" w:rsidP="00220543">
            <w:pPr>
              <w:ind w:left="170"/>
              <w:rPr>
                <w:rFonts w:ascii="Arial" w:hAnsi="Arial"/>
                <w:sz w:val="20"/>
                <w:szCs w:val="20"/>
                <w:lang w:eastAsia="es-ES"/>
              </w:rPr>
            </w:pPr>
            <w:r w:rsidRPr="00C65A14">
              <w:rPr>
                <w:rFonts w:ascii="Arial" w:hAnsi="Arial"/>
                <w:sz w:val="20"/>
                <w:szCs w:val="20"/>
                <w:lang w:eastAsia="es-ES"/>
              </w:rPr>
              <w:t>V</w:t>
            </w:r>
            <w:r w:rsidR="00B70F2A">
              <w:rPr>
                <w:rFonts w:ascii="Arial" w:hAnsi="Arial"/>
                <w:sz w:val="20"/>
                <w:szCs w:val="20"/>
                <w:lang w:eastAsia="es-ES"/>
              </w:rPr>
              <w:t>endedor(a) de piso de aparatos de uso doméstico</w:t>
            </w:r>
          </w:p>
        </w:tc>
        <w:tc>
          <w:tcPr>
            <w:tcW w:w="1438" w:type="dxa"/>
            <w:tcBorders>
              <w:top w:val="nil"/>
              <w:left w:val="nil"/>
              <w:bottom w:val="single" w:sz="6" w:space="0" w:color="auto"/>
              <w:right w:val="nil"/>
            </w:tcBorders>
          </w:tcPr>
          <w:p w:rsidR="00C65A14" w:rsidRPr="00C65A14" w:rsidRDefault="002507FB" w:rsidP="00220543">
            <w:pPr>
              <w:jc w:val="center"/>
              <w:rPr>
                <w:rFonts w:ascii="Arial" w:hAnsi="Arial"/>
                <w:sz w:val="20"/>
                <w:szCs w:val="20"/>
                <w:lang w:eastAsia="es-ES"/>
              </w:rPr>
            </w:pPr>
            <w:r>
              <w:rPr>
                <w:rFonts w:ascii="Arial" w:hAnsi="Arial"/>
                <w:sz w:val="20"/>
                <w:szCs w:val="20"/>
                <w:lang w:eastAsia="es-ES"/>
              </w:rPr>
              <w:t xml:space="preserve">   </w:t>
            </w:r>
            <w:r w:rsidR="008803B8">
              <w:rPr>
                <w:rFonts w:ascii="Arial" w:hAnsi="Arial"/>
                <w:sz w:val="20"/>
                <w:szCs w:val="20"/>
                <w:lang w:eastAsia="es-ES"/>
              </w:rPr>
              <w:t>89.43</w:t>
            </w:r>
          </w:p>
        </w:tc>
        <w:tc>
          <w:tcPr>
            <w:tcW w:w="1680" w:type="dxa"/>
            <w:tcBorders>
              <w:top w:val="nil"/>
              <w:left w:val="nil"/>
              <w:bottom w:val="single" w:sz="6" w:space="0" w:color="auto"/>
              <w:right w:val="single" w:sz="6" w:space="0" w:color="auto"/>
            </w:tcBorders>
          </w:tcPr>
          <w:p w:rsidR="00C65A14" w:rsidRPr="00C65A14" w:rsidRDefault="003A4C1C" w:rsidP="00220543">
            <w:pPr>
              <w:jc w:val="center"/>
              <w:rPr>
                <w:rFonts w:ascii="Arial" w:hAnsi="Arial"/>
                <w:sz w:val="20"/>
                <w:szCs w:val="20"/>
                <w:lang w:eastAsia="es-ES"/>
              </w:rPr>
            </w:pPr>
            <w:r>
              <w:rPr>
                <w:rFonts w:ascii="Arial" w:hAnsi="Arial"/>
                <w:sz w:val="20"/>
                <w:szCs w:val="20"/>
                <w:lang w:eastAsia="es-ES"/>
              </w:rPr>
              <w:t>93.20</w:t>
            </w:r>
          </w:p>
        </w:tc>
      </w:tr>
    </w:tbl>
    <w:p w:rsidR="000800B1" w:rsidRDefault="000800B1" w:rsidP="00D23663">
      <w:pPr>
        <w:rPr>
          <w:rFonts w:ascii="Times New Roman" w:hAnsi="Times New Roman"/>
          <w:sz w:val="20"/>
          <w:szCs w:val="20"/>
          <w:lang w:val="es-MX"/>
        </w:rPr>
      </w:pPr>
    </w:p>
    <w:sectPr w:rsidR="000800B1" w:rsidSect="00413D62">
      <w:headerReference w:type="default" r:id="rId8"/>
      <w:footerReference w:type="default" r:id="rId9"/>
      <w:pgSz w:w="12240" w:h="15840"/>
      <w:pgMar w:top="2552" w:right="1440" w:bottom="567" w:left="1134" w:header="709" w:footer="8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989" w:rsidRDefault="00212989">
      <w:r>
        <w:separator/>
      </w:r>
    </w:p>
  </w:endnote>
  <w:endnote w:type="continuationSeparator" w:id="0">
    <w:p w:rsidR="00212989" w:rsidRDefault="0021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Narrow-Bold">
    <w:altName w:val="Arial Narrow"/>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62" w:rsidRDefault="00C51FDC" w:rsidP="00413D62">
    <w:pPr>
      <w:pStyle w:val="Piedepgina"/>
    </w:pPr>
    <w:r>
      <w:rPr>
        <w:noProof/>
        <w:lang w:val="es-MX" w:eastAsia="es-MX"/>
      </w:rPr>
      <w:drawing>
        <wp:anchor distT="0" distB="0" distL="114300" distR="114300" simplePos="0" relativeHeight="251658240" behindDoc="1" locked="0" layoutInCell="1" allowOverlap="1">
          <wp:simplePos x="0" y="0"/>
          <wp:positionH relativeFrom="column">
            <wp:posOffset>-331470</wp:posOffset>
          </wp:positionH>
          <wp:positionV relativeFrom="paragraph">
            <wp:posOffset>-7620</wp:posOffset>
          </wp:positionV>
          <wp:extent cx="6901180" cy="114300"/>
          <wp:effectExtent l="0" t="0" r="0" b="0"/>
          <wp:wrapNone/>
          <wp:docPr id="7" name="Imagen 7" descr="hoja3_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ja3_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1180" cy="11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E3B" w:rsidRPr="00B37A7B" w:rsidRDefault="00435E3B" w:rsidP="00435E3B">
    <w:pPr>
      <w:ind w:right="49"/>
      <w:jc w:val="center"/>
      <w:rPr>
        <w:rFonts w:ascii="Calibri" w:eastAsia="Calibri" w:hAnsi="Calibri" w:cs="Calibri"/>
        <w:sz w:val="16"/>
        <w:szCs w:val="16"/>
        <w:lang w:val="es-ES"/>
      </w:rPr>
    </w:pPr>
    <w:r w:rsidRPr="00B37A7B">
      <w:rPr>
        <w:rFonts w:ascii="Calibri" w:eastAsia="Calibri" w:hAnsi="Calibri" w:cs="Calibri"/>
        <w:color w:val="333333"/>
        <w:sz w:val="16"/>
        <w:szCs w:val="16"/>
        <w:lang w:val="es-ES"/>
      </w:rPr>
      <w:t xml:space="preserve">Av. Cuauhtémoc No. 14, </w:t>
    </w:r>
    <w:r w:rsidR="003A0093">
      <w:rPr>
        <w:rFonts w:ascii="Calibri" w:eastAsia="Calibri" w:hAnsi="Calibri" w:cs="Calibri"/>
        <w:color w:val="333333"/>
        <w:sz w:val="16"/>
        <w:szCs w:val="16"/>
        <w:lang w:val="es-ES"/>
      </w:rPr>
      <w:t xml:space="preserve">1er. Piso, </w:t>
    </w:r>
    <w:r w:rsidRPr="00B37A7B">
      <w:rPr>
        <w:rFonts w:ascii="Calibri" w:eastAsia="Calibri" w:hAnsi="Calibri" w:cs="Calibri"/>
        <w:color w:val="333333"/>
        <w:sz w:val="16"/>
        <w:szCs w:val="16"/>
        <w:lang w:val="es-ES"/>
      </w:rPr>
      <w:t>Col. Doctores, Del. Cuauhtémoc, México, D.F. 06720 Tel. 59.98.38.</w:t>
    </w:r>
    <w:r w:rsidR="003A0093">
      <w:rPr>
        <w:rFonts w:ascii="Calibri" w:eastAsia="Calibri" w:hAnsi="Calibri" w:cs="Calibri"/>
        <w:color w:val="333333"/>
        <w:sz w:val="16"/>
        <w:szCs w:val="16"/>
        <w:lang w:val="es-ES"/>
      </w:rPr>
      <w:t xml:space="preserve">69 y 59.98.38.70 </w:t>
    </w:r>
    <w:r w:rsidRPr="00B37A7B">
      <w:rPr>
        <w:rFonts w:ascii="Calibri" w:eastAsia="Calibri" w:hAnsi="Calibri" w:cs="Calibri"/>
        <w:color w:val="333333"/>
        <w:sz w:val="16"/>
        <w:szCs w:val="16"/>
        <w:lang w:val="es-ES"/>
      </w:rPr>
      <w:t xml:space="preserve"> </w:t>
    </w:r>
    <w:hyperlink r:id="rId2" w:history="1">
      <w:r w:rsidRPr="00B37A7B">
        <w:rPr>
          <w:rFonts w:ascii="Calibri" w:eastAsia="Calibri" w:hAnsi="Calibri" w:cs="Calibri"/>
          <w:color w:val="0000FF"/>
          <w:sz w:val="16"/>
          <w:szCs w:val="16"/>
          <w:u w:val="single"/>
          <w:lang w:val="es-ES"/>
        </w:rPr>
        <w:t>www.conasami.gob.mx</w:t>
      </w:r>
    </w:hyperlink>
  </w:p>
  <w:p w:rsidR="00413D62" w:rsidRPr="00435E3B" w:rsidRDefault="00413D62" w:rsidP="00435E3B">
    <w:pPr>
      <w:spacing w:line="260" w:lineRule="exact"/>
      <w:jc w:val="center"/>
      <w:rPr>
        <w:rFonts w:ascii="Times New Roman" w:hAnsi="Times New Roman" w:cs="ArialNarrow-Bold"/>
        <w:bCs/>
        <w:color w:val="808080"/>
        <w:sz w:val="16"/>
        <w:szCs w:val="16"/>
        <w:lang w:val="es-ES" w:eastAsia="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989" w:rsidRDefault="00212989">
      <w:r>
        <w:separator/>
      </w:r>
    </w:p>
  </w:footnote>
  <w:footnote w:type="continuationSeparator" w:id="0">
    <w:p w:rsidR="00212989" w:rsidRDefault="00212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62" w:rsidRDefault="000800B1">
    <w:pPr>
      <w:pStyle w:val="Encabezado"/>
    </w:pPr>
    <w:r>
      <w:rPr>
        <w:noProof/>
        <w:lang w:val="es-MX" w:eastAsia="es-MX"/>
      </w:rPr>
      <mc:AlternateContent>
        <mc:Choice Requires="wps">
          <w:drawing>
            <wp:anchor distT="0" distB="0" distL="114300" distR="114300" simplePos="0" relativeHeight="251665408" behindDoc="0" locked="0" layoutInCell="1" allowOverlap="1" wp14:editId="36B11C9B">
              <wp:simplePos x="0" y="0"/>
              <wp:positionH relativeFrom="column">
                <wp:posOffset>-191280</wp:posOffset>
              </wp:positionH>
              <wp:positionV relativeFrom="paragraph">
                <wp:posOffset>133679</wp:posOffset>
              </wp:positionV>
              <wp:extent cx="2374265" cy="782198"/>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2198"/>
                      </a:xfrm>
                      <a:prstGeom prst="rect">
                        <a:avLst/>
                      </a:prstGeom>
                      <a:solidFill>
                        <a:srgbClr val="FFFFFF"/>
                      </a:solidFill>
                      <a:ln w="9525">
                        <a:noFill/>
                        <a:miter lim="800000"/>
                        <a:headEnd/>
                        <a:tailEnd/>
                      </a:ln>
                    </wps:spPr>
                    <wps:txbx>
                      <w:txbxContent>
                        <w:p w:rsidR="000800B1" w:rsidRDefault="000800B1">
                          <w:r>
                            <w:rPr>
                              <w:noProof/>
                              <w:lang w:val="es-MX" w:eastAsia="es-MX"/>
                            </w:rPr>
                            <w:drawing>
                              <wp:inline distT="0" distB="0" distL="0" distR="0">
                                <wp:extent cx="1818005" cy="6718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671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5.05pt;margin-top:10.55pt;width:186.95pt;height:61.6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" stroked="f">
              <v:textbox>
                <w:txbxContent>
                  <w:p w:rsidR="000800B1" w:rsidRDefault="000800B1">
                    <w:r>
                      <w:rPr>
                        <w:noProof/>
                        <w:lang w:val="es-MX" w:eastAsia="es-MX"/>
                      </w:rPr>
                      <w:drawing>
                        <wp:inline distT="0" distB="0" distL="0" distR="0">
                          <wp:extent cx="1818005" cy="6718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8005" cy="671830"/>
                                  </a:xfrm>
                                  <a:prstGeom prst="rect">
                                    <a:avLst/>
                                  </a:prstGeom>
                                  <a:noFill/>
                                  <a:ln>
                                    <a:noFill/>
                                  </a:ln>
                                </pic:spPr>
                              </pic:pic>
                            </a:graphicData>
                          </a:graphic>
                        </wp:inline>
                      </w:drawing>
                    </w:r>
                  </w:p>
                </w:txbxContent>
              </v:textbox>
            </v:shape>
          </w:pict>
        </mc:Fallback>
      </mc:AlternateContent>
    </w:r>
    <w:r>
      <w:rPr>
        <w:noProof/>
        <w:lang w:val="es-MX" w:eastAsia="es-MX"/>
      </w:rPr>
      <w:drawing>
        <wp:anchor distT="0" distB="0" distL="114300" distR="114300" simplePos="0" relativeHeight="251661312" behindDoc="0" locked="0" layoutInCell="1" allowOverlap="1" wp14:anchorId="7A3ECCC3" wp14:editId="56425531">
          <wp:simplePos x="0" y="0"/>
          <wp:positionH relativeFrom="column">
            <wp:posOffset>-243840</wp:posOffset>
          </wp:positionH>
          <wp:positionV relativeFrom="paragraph">
            <wp:posOffset>77470</wp:posOffset>
          </wp:positionV>
          <wp:extent cx="7119620" cy="920750"/>
          <wp:effectExtent l="0" t="0" r="5080" b="0"/>
          <wp:wrapNone/>
          <wp:docPr id="6" name="Imagen 6" descr="hoja3-cabe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ja3-cabez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196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57542447" wp14:editId="52008D6F">
          <wp:simplePos x="0" y="0"/>
          <wp:positionH relativeFrom="column">
            <wp:posOffset>-116427</wp:posOffset>
          </wp:positionH>
          <wp:positionV relativeFrom="paragraph">
            <wp:posOffset>136525</wp:posOffset>
          </wp:positionV>
          <wp:extent cx="1828800" cy="673100"/>
          <wp:effectExtent l="0" t="0" r="0" b="0"/>
          <wp:wrapNone/>
          <wp:docPr id="4" name="Imagen 4" descr="membCNSM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CNSMcolor"/>
                  <pic:cNvPicPr>
                    <a:picLocks noChangeAspect="1" noChangeArrowheads="1"/>
                  </pic:cNvPicPr>
                </pic:nvPicPr>
                <pic:blipFill rotWithShape="1">
                  <a:blip r:embed="rId4">
                    <a:extLst>
                      <a:ext uri="{28A0092B-C50C-407E-A947-70E740481C1C}">
                        <a14:useLocalDpi xmlns:a14="http://schemas.microsoft.com/office/drawing/2010/main" val="0"/>
                      </a:ext>
                    </a:extLst>
                  </a:blip>
                  <a:srcRect t="2156" r="67018" b="61846"/>
                  <a:stretch/>
                </pic:blipFill>
                <pic:spPr bwMode="auto">
                  <a:xfrm>
                    <a:off x="0" y="0"/>
                    <a:ext cx="1828800" cy="67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16B">
      <w:rPr>
        <w:noProof/>
        <w:lang w:val="es-MX" w:eastAsia="es-MX"/>
      </w:rPr>
      <w:drawing>
        <wp:anchor distT="0" distB="0" distL="114300" distR="114300" simplePos="0" relativeHeight="251660288" behindDoc="1" locked="0" layoutInCell="1" allowOverlap="1" wp14:anchorId="5E220078" wp14:editId="5978E23F">
          <wp:simplePos x="0" y="0"/>
          <wp:positionH relativeFrom="column">
            <wp:posOffset>-56515</wp:posOffset>
          </wp:positionH>
          <wp:positionV relativeFrom="paragraph">
            <wp:posOffset>74295</wp:posOffset>
          </wp:positionV>
          <wp:extent cx="2000250" cy="741680"/>
          <wp:effectExtent l="0" t="0" r="0" b="1270"/>
          <wp:wrapNone/>
          <wp:docPr id="2" name="Imagen 2" descr="membCNSM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CNSMcolor"/>
                  <pic:cNvPicPr>
                    <a:picLocks noChangeAspect="1" noChangeArrowheads="1"/>
                  </pic:cNvPicPr>
                </pic:nvPicPr>
                <pic:blipFill rotWithShape="1">
                  <a:blip r:embed="rId4">
                    <a:extLst>
                      <a:ext uri="{28A0092B-C50C-407E-A947-70E740481C1C}">
                        <a14:useLocalDpi xmlns:a14="http://schemas.microsoft.com/office/drawing/2010/main" val="0"/>
                      </a:ext>
                    </a:extLst>
                  </a:blip>
                  <a:srcRect t="2156" r="67018" b="61846"/>
                  <a:stretch/>
                </pic:blipFill>
                <pic:spPr bwMode="auto">
                  <a:xfrm>
                    <a:off x="0" y="0"/>
                    <a:ext cx="2000250" cy="74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Logro"/>
      <w:lvlText w:val="*"/>
      <w:lvlJc w:val="left"/>
    </w:lvl>
  </w:abstractNum>
  <w:abstractNum w:abstractNumId="1">
    <w:nsid w:val="05901DE8"/>
    <w:multiLevelType w:val="hybridMultilevel"/>
    <w:tmpl w:val="1EDC45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E491B51"/>
    <w:multiLevelType w:val="hybridMultilevel"/>
    <w:tmpl w:val="4AFACDDE"/>
    <w:lvl w:ilvl="0" w:tplc="19808F7A">
      <w:start w:val="1"/>
      <w:numFmt w:val="bullet"/>
      <w:lvlText w:val=""/>
      <w:lvlJc w:val="left"/>
      <w:pPr>
        <w:tabs>
          <w:tab w:val="num" w:pos="142"/>
        </w:tabs>
        <w:ind w:left="113" w:hanging="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F2330C"/>
    <w:multiLevelType w:val="hybridMultilevel"/>
    <w:tmpl w:val="22A45E5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1666FF1"/>
    <w:multiLevelType w:val="hybridMultilevel"/>
    <w:tmpl w:val="35766C96"/>
    <w:lvl w:ilvl="0" w:tplc="A8F66970">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nsid w:val="27A34521"/>
    <w:multiLevelType w:val="hybridMultilevel"/>
    <w:tmpl w:val="B7FA69F4"/>
    <w:lvl w:ilvl="0" w:tplc="37EE0E8A">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FB97B0A"/>
    <w:multiLevelType w:val="hybridMultilevel"/>
    <w:tmpl w:val="B7F820D4"/>
    <w:lvl w:ilvl="0" w:tplc="0C0A0001">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4B8C76BE"/>
    <w:multiLevelType w:val="hybridMultilevel"/>
    <w:tmpl w:val="AA1A32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93F7D08"/>
    <w:multiLevelType w:val="hybridMultilevel"/>
    <w:tmpl w:val="AAA2B844"/>
    <w:lvl w:ilvl="0" w:tplc="F4FC320A">
      <w:start w:val="1"/>
      <w:numFmt w:val="bullet"/>
      <w:lvlText w:val=""/>
      <w:lvlJc w:val="left"/>
      <w:pPr>
        <w:tabs>
          <w:tab w:val="num" w:pos="680"/>
        </w:tabs>
        <w:ind w:left="680" w:hanging="320"/>
      </w:pPr>
      <w:rPr>
        <w:rFonts w:ascii="Symbol" w:hAnsi="Symbol" w:hint="default"/>
        <w:color w:val="auto"/>
      </w:rPr>
    </w:lvl>
    <w:lvl w:ilvl="1" w:tplc="3B989F12">
      <w:start w:val="1"/>
      <w:numFmt w:val="bullet"/>
      <w:lvlText w:val=""/>
      <w:lvlJc w:val="left"/>
      <w:pPr>
        <w:tabs>
          <w:tab w:val="num" w:pos="1440"/>
        </w:tabs>
        <w:ind w:left="1440" w:hanging="360"/>
      </w:pPr>
      <w:rPr>
        <w:rFonts w:ascii="Wingdings" w:hAnsi="Wingdings" w:hint="default"/>
        <w:color w:val="800000"/>
        <w:sz w:val="18"/>
        <w:szCs w:val="18"/>
      </w:rPr>
    </w:lvl>
    <w:lvl w:ilvl="2" w:tplc="0FCC88B4">
      <w:start w:val="1"/>
      <w:numFmt w:val="decimal"/>
      <w:lvlText w:val="%3."/>
      <w:lvlJc w:val="left"/>
      <w:pPr>
        <w:tabs>
          <w:tab w:val="num" w:pos="2160"/>
        </w:tabs>
        <w:ind w:left="2160" w:hanging="360"/>
      </w:pPr>
      <w:rPr>
        <w:rFonts w:cs="Times New Roman" w:hint="default"/>
        <w:b/>
        <w:color w:val="auto"/>
      </w:rPr>
    </w:lvl>
    <w:lvl w:ilvl="3" w:tplc="20FCE5A0">
      <w:start w:val="1"/>
      <w:numFmt w:val="lowerLetter"/>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4235F74"/>
    <w:multiLevelType w:val="hybridMultilevel"/>
    <w:tmpl w:val="83365882"/>
    <w:lvl w:ilvl="0" w:tplc="3B989F12">
      <w:start w:val="1"/>
      <w:numFmt w:val="bullet"/>
      <w:lvlText w:val=""/>
      <w:lvlJc w:val="left"/>
      <w:pPr>
        <w:tabs>
          <w:tab w:val="num" w:pos="360"/>
        </w:tabs>
        <w:ind w:left="360" w:hanging="360"/>
      </w:pPr>
      <w:rPr>
        <w:rFonts w:ascii="Wingdings" w:hAnsi="Wingdings" w:hint="default"/>
        <w:color w:val="800000"/>
        <w:sz w:val="18"/>
        <w:szCs w:val="18"/>
      </w:rPr>
    </w:lvl>
    <w:lvl w:ilvl="1" w:tplc="3B989F12">
      <w:start w:val="1"/>
      <w:numFmt w:val="bullet"/>
      <w:lvlText w:val=""/>
      <w:lvlJc w:val="left"/>
      <w:pPr>
        <w:tabs>
          <w:tab w:val="num" w:pos="-2108"/>
        </w:tabs>
        <w:ind w:left="-2108" w:hanging="360"/>
      </w:pPr>
      <w:rPr>
        <w:rFonts w:ascii="Wingdings" w:hAnsi="Wingdings" w:hint="default"/>
        <w:color w:val="800000"/>
        <w:sz w:val="18"/>
        <w:szCs w:val="18"/>
      </w:rPr>
    </w:lvl>
    <w:lvl w:ilvl="2" w:tplc="0C0A0005">
      <w:start w:val="1"/>
      <w:numFmt w:val="bullet"/>
      <w:lvlText w:val=""/>
      <w:lvlJc w:val="left"/>
      <w:pPr>
        <w:tabs>
          <w:tab w:val="num" w:pos="1154"/>
        </w:tabs>
        <w:ind w:left="1154" w:hanging="360"/>
      </w:pPr>
      <w:rPr>
        <w:rFonts w:ascii="Wingdings" w:hAnsi="Wingdings" w:hint="default"/>
      </w:rPr>
    </w:lvl>
    <w:lvl w:ilvl="3" w:tplc="0C0A0001">
      <w:start w:val="1"/>
      <w:numFmt w:val="bullet"/>
      <w:lvlText w:val=""/>
      <w:lvlJc w:val="left"/>
      <w:pPr>
        <w:tabs>
          <w:tab w:val="num" w:pos="1874"/>
        </w:tabs>
        <w:ind w:left="1874" w:hanging="360"/>
      </w:pPr>
      <w:rPr>
        <w:rFonts w:ascii="Symbol" w:hAnsi="Symbol" w:hint="default"/>
      </w:rPr>
    </w:lvl>
    <w:lvl w:ilvl="4" w:tplc="0C0A0003" w:tentative="1">
      <w:start w:val="1"/>
      <w:numFmt w:val="bullet"/>
      <w:lvlText w:val="o"/>
      <w:lvlJc w:val="left"/>
      <w:pPr>
        <w:tabs>
          <w:tab w:val="num" w:pos="2594"/>
        </w:tabs>
        <w:ind w:left="2594" w:hanging="360"/>
      </w:pPr>
      <w:rPr>
        <w:rFonts w:ascii="Courier New" w:hAnsi="Courier New" w:hint="default"/>
      </w:rPr>
    </w:lvl>
    <w:lvl w:ilvl="5" w:tplc="0C0A0005" w:tentative="1">
      <w:start w:val="1"/>
      <w:numFmt w:val="bullet"/>
      <w:lvlText w:val=""/>
      <w:lvlJc w:val="left"/>
      <w:pPr>
        <w:tabs>
          <w:tab w:val="num" w:pos="3314"/>
        </w:tabs>
        <w:ind w:left="3314" w:hanging="360"/>
      </w:pPr>
      <w:rPr>
        <w:rFonts w:ascii="Wingdings" w:hAnsi="Wingdings" w:hint="default"/>
      </w:rPr>
    </w:lvl>
    <w:lvl w:ilvl="6" w:tplc="0C0A0001" w:tentative="1">
      <w:start w:val="1"/>
      <w:numFmt w:val="bullet"/>
      <w:lvlText w:val=""/>
      <w:lvlJc w:val="left"/>
      <w:pPr>
        <w:tabs>
          <w:tab w:val="num" w:pos="4034"/>
        </w:tabs>
        <w:ind w:left="4034" w:hanging="360"/>
      </w:pPr>
      <w:rPr>
        <w:rFonts w:ascii="Symbol" w:hAnsi="Symbol" w:hint="default"/>
      </w:rPr>
    </w:lvl>
    <w:lvl w:ilvl="7" w:tplc="0C0A0003" w:tentative="1">
      <w:start w:val="1"/>
      <w:numFmt w:val="bullet"/>
      <w:lvlText w:val="o"/>
      <w:lvlJc w:val="left"/>
      <w:pPr>
        <w:tabs>
          <w:tab w:val="num" w:pos="4754"/>
        </w:tabs>
        <w:ind w:left="4754" w:hanging="360"/>
      </w:pPr>
      <w:rPr>
        <w:rFonts w:ascii="Courier New" w:hAnsi="Courier New" w:hint="default"/>
      </w:rPr>
    </w:lvl>
    <w:lvl w:ilvl="8" w:tplc="0C0A0005" w:tentative="1">
      <w:start w:val="1"/>
      <w:numFmt w:val="bullet"/>
      <w:lvlText w:val=""/>
      <w:lvlJc w:val="left"/>
      <w:pPr>
        <w:tabs>
          <w:tab w:val="num" w:pos="5474"/>
        </w:tabs>
        <w:ind w:left="5474" w:hanging="360"/>
      </w:pPr>
      <w:rPr>
        <w:rFonts w:ascii="Wingdings" w:hAnsi="Wingdings" w:hint="default"/>
      </w:rPr>
    </w:lvl>
  </w:abstractNum>
  <w:abstractNum w:abstractNumId="10">
    <w:nsid w:val="68F247FB"/>
    <w:multiLevelType w:val="hybridMultilevel"/>
    <w:tmpl w:val="8C0E8802"/>
    <w:lvl w:ilvl="0" w:tplc="3B989F12">
      <w:start w:val="1"/>
      <w:numFmt w:val="bullet"/>
      <w:lvlText w:val=""/>
      <w:lvlJc w:val="left"/>
      <w:pPr>
        <w:tabs>
          <w:tab w:val="num" w:pos="1714"/>
        </w:tabs>
        <w:ind w:left="1714" w:hanging="360"/>
      </w:pPr>
      <w:rPr>
        <w:rFonts w:ascii="Wingdings" w:hAnsi="Wingdings" w:hint="default"/>
        <w:color w:val="800000"/>
        <w:sz w:val="18"/>
        <w:szCs w:val="18"/>
      </w:rPr>
    </w:lvl>
    <w:lvl w:ilvl="1" w:tplc="E88AB470">
      <w:start w:val="1"/>
      <w:numFmt w:val="bullet"/>
      <w:lvlText w:val="→"/>
      <w:lvlJc w:val="left"/>
      <w:pPr>
        <w:tabs>
          <w:tab w:val="num" w:pos="2273"/>
        </w:tabs>
        <w:ind w:left="2273" w:hanging="547"/>
      </w:pPr>
      <w:rPr>
        <w:rFonts w:ascii="Arial" w:hAnsi="Arial" w:hint="default"/>
        <w:color w:val="FF6600"/>
      </w:rPr>
    </w:lvl>
    <w:lvl w:ilvl="2" w:tplc="0FCC88B4">
      <w:start w:val="1"/>
      <w:numFmt w:val="decimal"/>
      <w:lvlText w:val="%3."/>
      <w:lvlJc w:val="left"/>
      <w:pPr>
        <w:tabs>
          <w:tab w:val="num" w:pos="2806"/>
        </w:tabs>
        <w:ind w:left="2806" w:hanging="360"/>
      </w:pPr>
      <w:rPr>
        <w:rFonts w:cs="Times New Roman" w:hint="default"/>
        <w:b/>
        <w:color w:val="auto"/>
      </w:rPr>
    </w:lvl>
    <w:lvl w:ilvl="3" w:tplc="20FCE5A0">
      <w:start w:val="1"/>
      <w:numFmt w:val="lowerLetter"/>
      <w:lvlText w:val="%4)"/>
      <w:lvlJc w:val="left"/>
      <w:pPr>
        <w:tabs>
          <w:tab w:val="num" w:pos="3526"/>
        </w:tabs>
        <w:ind w:left="3526" w:hanging="360"/>
      </w:pPr>
      <w:rPr>
        <w:rFonts w:hint="default"/>
      </w:rPr>
    </w:lvl>
    <w:lvl w:ilvl="4" w:tplc="0C0A0003" w:tentative="1">
      <w:start w:val="1"/>
      <w:numFmt w:val="bullet"/>
      <w:lvlText w:val="o"/>
      <w:lvlJc w:val="left"/>
      <w:pPr>
        <w:tabs>
          <w:tab w:val="num" w:pos="4246"/>
        </w:tabs>
        <w:ind w:left="4246" w:hanging="360"/>
      </w:pPr>
      <w:rPr>
        <w:rFonts w:ascii="Courier New" w:hAnsi="Courier New" w:hint="default"/>
      </w:rPr>
    </w:lvl>
    <w:lvl w:ilvl="5" w:tplc="0C0A0005" w:tentative="1">
      <w:start w:val="1"/>
      <w:numFmt w:val="bullet"/>
      <w:lvlText w:val=""/>
      <w:lvlJc w:val="left"/>
      <w:pPr>
        <w:tabs>
          <w:tab w:val="num" w:pos="4966"/>
        </w:tabs>
        <w:ind w:left="4966" w:hanging="360"/>
      </w:pPr>
      <w:rPr>
        <w:rFonts w:ascii="Wingdings" w:hAnsi="Wingdings" w:hint="default"/>
      </w:rPr>
    </w:lvl>
    <w:lvl w:ilvl="6" w:tplc="0C0A0001" w:tentative="1">
      <w:start w:val="1"/>
      <w:numFmt w:val="bullet"/>
      <w:lvlText w:val=""/>
      <w:lvlJc w:val="left"/>
      <w:pPr>
        <w:tabs>
          <w:tab w:val="num" w:pos="5686"/>
        </w:tabs>
        <w:ind w:left="5686" w:hanging="360"/>
      </w:pPr>
      <w:rPr>
        <w:rFonts w:ascii="Symbol" w:hAnsi="Symbol" w:hint="default"/>
      </w:rPr>
    </w:lvl>
    <w:lvl w:ilvl="7" w:tplc="0C0A0003" w:tentative="1">
      <w:start w:val="1"/>
      <w:numFmt w:val="bullet"/>
      <w:lvlText w:val="o"/>
      <w:lvlJc w:val="left"/>
      <w:pPr>
        <w:tabs>
          <w:tab w:val="num" w:pos="6406"/>
        </w:tabs>
        <w:ind w:left="6406" w:hanging="360"/>
      </w:pPr>
      <w:rPr>
        <w:rFonts w:ascii="Courier New" w:hAnsi="Courier New" w:hint="default"/>
      </w:rPr>
    </w:lvl>
    <w:lvl w:ilvl="8" w:tplc="0C0A0005" w:tentative="1">
      <w:start w:val="1"/>
      <w:numFmt w:val="bullet"/>
      <w:lvlText w:val=""/>
      <w:lvlJc w:val="left"/>
      <w:pPr>
        <w:tabs>
          <w:tab w:val="num" w:pos="7126"/>
        </w:tabs>
        <w:ind w:left="7126" w:hanging="360"/>
      </w:pPr>
      <w:rPr>
        <w:rFonts w:ascii="Wingdings" w:hAnsi="Wingdings" w:hint="default"/>
      </w:rPr>
    </w:lvl>
  </w:abstractNum>
  <w:abstractNum w:abstractNumId="11">
    <w:nsid w:val="6D3D7E40"/>
    <w:multiLevelType w:val="hybridMultilevel"/>
    <w:tmpl w:val="2B8ACD2E"/>
    <w:lvl w:ilvl="0" w:tplc="DE1A0648">
      <w:start w:val="1"/>
      <w:numFmt w:val="decimal"/>
      <w:lvlText w:val="%1."/>
      <w:lvlJc w:val="left"/>
      <w:pPr>
        <w:tabs>
          <w:tab w:val="num" w:pos="1428"/>
        </w:tabs>
        <w:ind w:left="1428" w:hanging="360"/>
      </w:pPr>
      <w:rPr>
        <w:rFonts w:hint="default"/>
        <w:b/>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1853F32"/>
    <w:multiLevelType w:val="hybridMultilevel"/>
    <w:tmpl w:val="3350FAEE"/>
    <w:lvl w:ilvl="0" w:tplc="378AF31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4BE680C"/>
    <w:multiLevelType w:val="hybridMultilevel"/>
    <w:tmpl w:val="E13C6280"/>
    <w:lvl w:ilvl="0" w:tplc="DA32647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9"/>
  </w:num>
  <w:num w:numId="6">
    <w:abstractNumId w:val="3"/>
  </w:num>
  <w:num w:numId="7">
    <w:abstractNumId w:val="2"/>
  </w:num>
  <w:num w:numId="8">
    <w:abstractNumId w:val="0"/>
    <w:lvlOverride w:ilvl="0">
      <w:lvl w:ilvl="0">
        <w:start w:val="1"/>
        <w:numFmt w:val="bullet"/>
        <w:pStyle w:val="Logro"/>
        <w:lvlText w:val=""/>
        <w:legacy w:legacy="1" w:legacySpace="0" w:legacyIndent="240"/>
        <w:lvlJc w:val="left"/>
        <w:pPr>
          <w:ind w:left="240" w:hanging="240"/>
        </w:pPr>
        <w:rPr>
          <w:rFonts w:ascii="Wingdings" w:hAnsi="Wingdings"/>
          <w:sz w:val="12"/>
        </w:rPr>
      </w:lvl>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86"/>
    <w:rsid w:val="00005C98"/>
    <w:rsid w:val="00030239"/>
    <w:rsid w:val="00060FB4"/>
    <w:rsid w:val="00062B86"/>
    <w:rsid w:val="000800B1"/>
    <w:rsid w:val="001008F4"/>
    <w:rsid w:val="00130BEF"/>
    <w:rsid w:val="00135246"/>
    <w:rsid w:val="00172E20"/>
    <w:rsid w:val="00192732"/>
    <w:rsid w:val="001A2C5D"/>
    <w:rsid w:val="001A3895"/>
    <w:rsid w:val="001A3AF8"/>
    <w:rsid w:val="001A6EB6"/>
    <w:rsid w:val="001C0A04"/>
    <w:rsid w:val="001C64F1"/>
    <w:rsid w:val="00200A7A"/>
    <w:rsid w:val="00212989"/>
    <w:rsid w:val="00220543"/>
    <w:rsid w:val="002307F9"/>
    <w:rsid w:val="00247434"/>
    <w:rsid w:val="002507FB"/>
    <w:rsid w:val="00274B5C"/>
    <w:rsid w:val="00291A9D"/>
    <w:rsid w:val="002B126B"/>
    <w:rsid w:val="002B1DFF"/>
    <w:rsid w:val="002B5842"/>
    <w:rsid w:val="002C5F96"/>
    <w:rsid w:val="002D6AA9"/>
    <w:rsid w:val="002F6709"/>
    <w:rsid w:val="003100C2"/>
    <w:rsid w:val="00334022"/>
    <w:rsid w:val="003534E3"/>
    <w:rsid w:val="003628CC"/>
    <w:rsid w:val="00375990"/>
    <w:rsid w:val="003A0093"/>
    <w:rsid w:val="003A4C1C"/>
    <w:rsid w:val="003A4CBD"/>
    <w:rsid w:val="003A53F0"/>
    <w:rsid w:val="003B7E8E"/>
    <w:rsid w:val="003C6078"/>
    <w:rsid w:val="0040738F"/>
    <w:rsid w:val="00413D62"/>
    <w:rsid w:val="0042479D"/>
    <w:rsid w:val="00435E3B"/>
    <w:rsid w:val="004449ED"/>
    <w:rsid w:val="004A29E1"/>
    <w:rsid w:val="004B5A10"/>
    <w:rsid w:val="004D4208"/>
    <w:rsid w:val="0053761A"/>
    <w:rsid w:val="00552165"/>
    <w:rsid w:val="00567D9E"/>
    <w:rsid w:val="00590FF1"/>
    <w:rsid w:val="0059731B"/>
    <w:rsid w:val="005C621C"/>
    <w:rsid w:val="005D5356"/>
    <w:rsid w:val="005E6D0E"/>
    <w:rsid w:val="005F3404"/>
    <w:rsid w:val="00644442"/>
    <w:rsid w:val="00657324"/>
    <w:rsid w:val="00662B3E"/>
    <w:rsid w:val="00663BA0"/>
    <w:rsid w:val="00667B2A"/>
    <w:rsid w:val="00682EFD"/>
    <w:rsid w:val="00683130"/>
    <w:rsid w:val="00690053"/>
    <w:rsid w:val="006A016B"/>
    <w:rsid w:val="006A7C68"/>
    <w:rsid w:val="007230BF"/>
    <w:rsid w:val="00733ED9"/>
    <w:rsid w:val="007400AA"/>
    <w:rsid w:val="008014BC"/>
    <w:rsid w:val="008060CE"/>
    <w:rsid w:val="0084692B"/>
    <w:rsid w:val="00850716"/>
    <w:rsid w:val="0087568D"/>
    <w:rsid w:val="008803B8"/>
    <w:rsid w:val="00896688"/>
    <w:rsid w:val="008A36B7"/>
    <w:rsid w:val="008C1C69"/>
    <w:rsid w:val="008C649A"/>
    <w:rsid w:val="008E565A"/>
    <w:rsid w:val="00940D2C"/>
    <w:rsid w:val="009747F1"/>
    <w:rsid w:val="009A6C4F"/>
    <w:rsid w:val="009C0A01"/>
    <w:rsid w:val="009E52F6"/>
    <w:rsid w:val="009F7BC0"/>
    <w:rsid w:val="00A14A5A"/>
    <w:rsid w:val="00A245D0"/>
    <w:rsid w:val="00A32890"/>
    <w:rsid w:val="00A83F9C"/>
    <w:rsid w:val="00AB6F56"/>
    <w:rsid w:val="00AB793D"/>
    <w:rsid w:val="00AE3A38"/>
    <w:rsid w:val="00B26BA3"/>
    <w:rsid w:val="00B37A7B"/>
    <w:rsid w:val="00B463A1"/>
    <w:rsid w:val="00B70199"/>
    <w:rsid w:val="00B70F2A"/>
    <w:rsid w:val="00B85E02"/>
    <w:rsid w:val="00BF23F3"/>
    <w:rsid w:val="00C00930"/>
    <w:rsid w:val="00C02A08"/>
    <w:rsid w:val="00C12342"/>
    <w:rsid w:val="00C20B0D"/>
    <w:rsid w:val="00C26D85"/>
    <w:rsid w:val="00C51FDC"/>
    <w:rsid w:val="00C60AA7"/>
    <w:rsid w:val="00C63072"/>
    <w:rsid w:val="00C65A14"/>
    <w:rsid w:val="00C824F0"/>
    <w:rsid w:val="00C86C22"/>
    <w:rsid w:val="00C9021E"/>
    <w:rsid w:val="00CA144C"/>
    <w:rsid w:val="00CB3852"/>
    <w:rsid w:val="00CF57A1"/>
    <w:rsid w:val="00D23663"/>
    <w:rsid w:val="00D52813"/>
    <w:rsid w:val="00D8117E"/>
    <w:rsid w:val="00D976A6"/>
    <w:rsid w:val="00DA02E7"/>
    <w:rsid w:val="00DB4A15"/>
    <w:rsid w:val="00DC1BD3"/>
    <w:rsid w:val="00E01579"/>
    <w:rsid w:val="00E15A27"/>
    <w:rsid w:val="00E24C8E"/>
    <w:rsid w:val="00E71222"/>
    <w:rsid w:val="00E735F2"/>
    <w:rsid w:val="00E8627E"/>
    <w:rsid w:val="00E869D0"/>
    <w:rsid w:val="00EC0309"/>
    <w:rsid w:val="00ED454F"/>
    <w:rsid w:val="00EF2159"/>
    <w:rsid w:val="00F1793A"/>
    <w:rsid w:val="00F304C9"/>
    <w:rsid w:val="00F87838"/>
    <w:rsid w:val="00F939DC"/>
    <w:rsid w:val="00FF7E45"/>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300"/>
  <w15:docId w15:val="{75221ECF-920C-4654-AE84-F295213A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B86"/>
    <w:rPr>
      <w:rFonts w:ascii="Cambria" w:hAnsi="Cambria"/>
      <w:sz w:val="24"/>
      <w:szCs w:val="24"/>
      <w:lang w:val="es-ES_tradnl" w:eastAsia="en-US"/>
    </w:rPr>
  </w:style>
  <w:style w:type="paragraph" w:styleId="Ttulo1">
    <w:name w:val="heading 1"/>
    <w:basedOn w:val="Normal"/>
    <w:next w:val="Normal"/>
    <w:link w:val="Ttulo1Car"/>
    <w:qFormat/>
    <w:rsid w:val="000800B1"/>
    <w:pPr>
      <w:keepNext/>
      <w:jc w:val="center"/>
      <w:outlineLvl w:val="0"/>
    </w:pPr>
    <w:rPr>
      <w:rFonts w:ascii="Arial" w:hAnsi="Arial" w:cs="Arial"/>
      <w:b/>
      <w:bCs/>
      <w:lang w:val="es-ES" w:eastAsia="es-ES"/>
    </w:rPr>
  </w:style>
  <w:style w:type="paragraph" w:styleId="Ttulo4">
    <w:name w:val="heading 4"/>
    <w:basedOn w:val="Normal"/>
    <w:next w:val="Normal"/>
    <w:link w:val="Ttulo4Car"/>
    <w:qFormat/>
    <w:rsid w:val="000800B1"/>
    <w:pPr>
      <w:keepNext/>
      <w:jc w:val="both"/>
      <w:outlineLvl w:val="3"/>
    </w:pPr>
    <w:rPr>
      <w:rFonts w:ascii="Arial" w:hAnsi="Arial" w:cs="Arial"/>
      <w:b/>
      <w:bCs/>
      <w:sz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062B86"/>
    <w:pPr>
      <w:tabs>
        <w:tab w:val="center" w:pos="4252"/>
        <w:tab w:val="right" w:pos="8504"/>
      </w:tabs>
    </w:pPr>
  </w:style>
  <w:style w:type="character" w:customStyle="1" w:styleId="EncabezadoCar">
    <w:name w:val="Encabezado Car"/>
    <w:link w:val="Encabezado"/>
    <w:semiHidden/>
    <w:locked/>
    <w:rsid w:val="00062B86"/>
    <w:rPr>
      <w:rFonts w:ascii="Cambria" w:hAnsi="Cambria"/>
      <w:sz w:val="24"/>
      <w:szCs w:val="24"/>
      <w:lang w:val="es-ES_tradnl" w:eastAsia="en-US" w:bidi="ar-SA"/>
    </w:rPr>
  </w:style>
  <w:style w:type="paragraph" w:styleId="Piedepgina">
    <w:name w:val="footer"/>
    <w:basedOn w:val="Normal"/>
    <w:link w:val="PiedepginaCar"/>
    <w:rsid w:val="00062B86"/>
    <w:pPr>
      <w:tabs>
        <w:tab w:val="center" w:pos="4252"/>
        <w:tab w:val="right" w:pos="8504"/>
      </w:tabs>
    </w:pPr>
  </w:style>
  <w:style w:type="character" w:customStyle="1" w:styleId="PiedepginaCar">
    <w:name w:val="Pie de página Car"/>
    <w:link w:val="Piedepgina"/>
    <w:locked/>
    <w:rsid w:val="00062B86"/>
    <w:rPr>
      <w:rFonts w:ascii="Cambria" w:hAnsi="Cambria"/>
      <w:sz w:val="24"/>
      <w:szCs w:val="24"/>
      <w:lang w:val="es-ES_tradnl" w:eastAsia="en-US" w:bidi="ar-SA"/>
    </w:rPr>
  </w:style>
  <w:style w:type="character" w:styleId="Hipervnculo">
    <w:name w:val="Hyperlink"/>
    <w:rsid w:val="00997168"/>
    <w:rPr>
      <w:color w:val="0000FF"/>
      <w:u w:val="single"/>
    </w:rPr>
  </w:style>
  <w:style w:type="character" w:styleId="Refdecomentario">
    <w:name w:val="annotation reference"/>
    <w:semiHidden/>
    <w:rsid w:val="00532E17"/>
    <w:rPr>
      <w:sz w:val="16"/>
      <w:szCs w:val="16"/>
    </w:rPr>
  </w:style>
  <w:style w:type="paragraph" w:styleId="Textocomentario">
    <w:name w:val="annotation text"/>
    <w:basedOn w:val="Normal"/>
    <w:semiHidden/>
    <w:rsid w:val="00532E17"/>
    <w:rPr>
      <w:sz w:val="20"/>
      <w:szCs w:val="20"/>
    </w:rPr>
  </w:style>
  <w:style w:type="paragraph" w:styleId="Asuntodelcomentario">
    <w:name w:val="annotation subject"/>
    <w:basedOn w:val="Textocomentario"/>
    <w:next w:val="Textocomentario"/>
    <w:semiHidden/>
    <w:rsid w:val="00532E17"/>
    <w:rPr>
      <w:b/>
      <w:bCs/>
    </w:rPr>
  </w:style>
  <w:style w:type="paragraph" w:styleId="Textodeglobo">
    <w:name w:val="Balloon Text"/>
    <w:basedOn w:val="Normal"/>
    <w:link w:val="TextodegloboCar"/>
    <w:semiHidden/>
    <w:rsid w:val="00532E17"/>
    <w:rPr>
      <w:rFonts w:ascii="Tahoma" w:hAnsi="Tahoma" w:cs="Tahoma"/>
      <w:sz w:val="16"/>
      <w:szCs w:val="16"/>
    </w:rPr>
  </w:style>
  <w:style w:type="character" w:styleId="Textoennegrita">
    <w:name w:val="Strong"/>
    <w:uiPriority w:val="22"/>
    <w:qFormat/>
    <w:rsid w:val="001251AB"/>
    <w:rPr>
      <w:b/>
      <w:bCs/>
    </w:rPr>
  </w:style>
  <w:style w:type="paragraph" w:customStyle="1" w:styleId="Texto">
    <w:name w:val="Texto"/>
    <w:basedOn w:val="Normal"/>
    <w:link w:val="TextoCar"/>
    <w:rsid w:val="00F01357"/>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F01357"/>
    <w:rPr>
      <w:rFonts w:ascii="Arial" w:hAnsi="Arial" w:cs="Arial"/>
      <w:sz w:val="18"/>
      <w:lang w:val="es-ES" w:eastAsia="es-ES"/>
    </w:rPr>
  </w:style>
  <w:style w:type="paragraph" w:customStyle="1" w:styleId="Logro">
    <w:name w:val="Logro"/>
    <w:basedOn w:val="Textoindependiente"/>
    <w:rsid w:val="00C003BE"/>
    <w:pPr>
      <w:numPr>
        <w:numId w:val="8"/>
      </w:numPr>
      <w:spacing w:after="60" w:line="240" w:lineRule="atLeast"/>
      <w:jc w:val="both"/>
    </w:pPr>
    <w:rPr>
      <w:rFonts w:ascii="Garamond" w:hAnsi="Garamond"/>
      <w:sz w:val="22"/>
      <w:szCs w:val="20"/>
      <w:lang w:val="es-MX" w:eastAsia="es-MX"/>
    </w:rPr>
  </w:style>
  <w:style w:type="paragraph" w:styleId="Textoindependiente">
    <w:name w:val="Body Text"/>
    <w:basedOn w:val="Normal"/>
    <w:rsid w:val="00C003BE"/>
    <w:pPr>
      <w:spacing w:after="120"/>
    </w:pPr>
  </w:style>
  <w:style w:type="paragraph" w:styleId="Textonotapie">
    <w:name w:val="footnote text"/>
    <w:basedOn w:val="Normal"/>
    <w:link w:val="TextonotapieCar"/>
    <w:rsid w:val="00F24A23"/>
  </w:style>
  <w:style w:type="character" w:customStyle="1" w:styleId="TextonotapieCar">
    <w:name w:val="Texto nota pie Car"/>
    <w:link w:val="Textonotapie"/>
    <w:rsid w:val="00F24A23"/>
    <w:rPr>
      <w:rFonts w:ascii="Cambria" w:hAnsi="Cambria"/>
      <w:sz w:val="24"/>
      <w:szCs w:val="24"/>
      <w:lang w:eastAsia="en-US"/>
    </w:rPr>
  </w:style>
  <w:style w:type="character" w:styleId="Refdenotaalpie">
    <w:name w:val="footnote reference"/>
    <w:rsid w:val="00F24A23"/>
    <w:rPr>
      <w:vertAlign w:val="superscript"/>
    </w:rPr>
  </w:style>
  <w:style w:type="character" w:customStyle="1" w:styleId="albertolozano">
    <w:name w:val="alberto.lozano"/>
    <w:semiHidden/>
    <w:rsid w:val="00E72495"/>
    <w:rPr>
      <w:rFonts w:ascii="Arial" w:hAnsi="Arial" w:cs="Arial"/>
      <w:color w:val="auto"/>
      <w:sz w:val="20"/>
      <w:szCs w:val="20"/>
    </w:rPr>
  </w:style>
  <w:style w:type="paragraph" w:styleId="NormalWeb">
    <w:name w:val="Normal (Web)"/>
    <w:basedOn w:val="Normal"/>
    <w:rsid w:val="00E72495"/>
    <w:pPr>
      <w:spacing w:after="120"/>
    </w:pPr>
    <w:rPr>
      <w:rFonts w:ascii="Times New Roman" w:hAnsi="Times New Roman"/>
      <w:color w:val="414040"/>
      <w:sz w:val="20"/>
      <w:szCs w:val="20"/>
      <w:lang w:val="es-ES" w:eastAsia="es-ES"/>
    </w:rPr>
  </w:style>
  <w:style w:type="paragraph" w:customStyle="1" w:styleId="bodytext">
    <w:name w:val="bodytext"/>
    <w:basedOn w:val="Normal"/>
    <w:rsid w:val="00E72495"/>
    <w:pPr>
      <w:spacing w:after="120"/>
    </w:pPr>
    <w:rPr>
      <w:rFonts w:ascii="Times New Roman" w:hAnsi="Times New Roman"/>
      <w:color w:val="414040"/>
      <w:sz w:val="20"/>
      <w:szCs w:val="20"/>
      <w:lang w:val="es-ES" w:eastAsia="es-ES"/>
    </w:rPr>
  </w:style>
  <w:style w:type="paragraph" w:styleId="Mapadeldocumento">
    <w:name w:val="Document Map"/>
    <w:basedOn w:val="Normal"/>
    <w:semiHidden/>
    <w:rsid w:val="00FE0190"/>
    <w:pPr>
      <w:shd w:val="clear" w:color="auto" w:fill="000080"/>
    </w:pPr>
    <w:rPr>
      <w:rFonts w:ascii="Tahoma" w:hAnsi="Tahoma" w:cs="Tahoma"/>
      <w:sz w:val="20"/>
      <w:szCs w:val="20"/>
    </w:rPr>
  </w:style>
  <w:style w:type="paragraph" w:styleId="Textoindependiente2">
    <w:name w:val="Body Text 2"/>
    <w:basedOn w:val="Normal"/>
    <w:link w:val="Textoindependiente2Car"/>
    <w:rsid w:val="009747F1"/>
    <w:pPr>
      <w:spacing w:after="120" w:line="480" w:lineRule="auto"/>
    </w:pPr>
  </w:style>
  <w:style w:type="character" w:customStyle="1" w:styleId="Textoindependiente2Car">
    <w:name w:val="Texto independiente 2 Car"/>
    <w:link w:val="Textoindependiente2"/>
    <w:rsid w:val="009747F1"/>
    <w:rPr>
      <w:rFonts w:ascii="Cambria" w:hAnsi="Cambria"/>
      <w:sz w:val="24"/>
      <w:szCs w:val="24"/>
      <w:lang w:eastAsia="en-US"/>
    </w:rPr>
  </w:style>
  <w:style w:type="character" w:customStyle="1" w:styleId="TextodegloboCar">
    <w:name w:val="Texto de globo Car"/>
    <w:link w:val="Textodeglobo"/>
    <w:semiHidden/>
    <w:rsid w:val="009747F1"/>
    <w:rPr>
      <w:rFonts w:ascii="Tahoma" w:hAnsi="Tahoma" w:cs="Tahoma"/>
      <w:sz w:val="16"/>
      <w:szCs w:val="16"/>
      <w:lang w:eastAsia="en-US"/>
    </w:rPr>
  </w:style>
  <w:style w:type="character" w:customStyle="1" w:styleId="Ttulo1Car">
    <w:name w:val="Título 1 Car"/>
    <w:basedOn w:val="Fuentedeprrafopredeter"/>
    <w:link w:val="Ttulo1"/>
    <w:rsid w:val="000800B1"/>
    <w:rPr>
      <w:rFonts w:ascii="Arial" w:hAnsi="Arial" w:cs="Arial"/>
      <w:b/>
      <w:bCs/>
      <w:sz w:val="24"/>
      <w:szCs w:val="24"/>
      <w:lang w:val="es-ES" w:eastAsia="es-ES"/>
    </w:rPr>
  </w:style>
  <w:style w:type="character" w:customStyle="1" w:styleId="Ttulo4Car">
    <w:name w:val="Título 4 Car"/>
    <w:basedOn w:val="Fuentedeprrafopredeter"/>
    <w:link w:val="Ttulo4"/>
    <w:rsid w:val="000800B1"/>
    <w:rPr>
      <w:rFonts w:ascii="Arial" w:hAnsi="Arial" w:cs="Arial"/>
      <w:b/>
      <w:bCs/>
      <w:szCs w:val="24"/>
      <w:lang w:eastAsia="es-ES"/>
    </w:rPr>
  </w:style>
  <w:style w:type="paragraph" w:styleId="Prrafodelista">
    <w:name w:val="List Paragraph"/>
    <w:basedOn w:val="Normal"/>
    <w:uiPriority w:val="34"/>
    <w:qFormat/>
    <w:rsid w:val="00192732"/>
    <w:pPr>
      <w:spacing w:after="160" w:line="259" w:lineRule="auto"/>
      <w:ind w:left="720"/>
      <w:contextualSpacing/>
    </w:pPr>
    <w:rPr>
      <w:rFonts w:asciiTheme="minorHAnsi" w:eastAsiaTheme="minorHAnsi"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asami.gob.mx"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FC26-6BE2-4870-8157-03D9616E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1306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DIRECCIÓN GENERAL DE COMUNICACIÓN SOCIAL</vt:lpstr>
    </vt:vector>
  </TitlesOfParts>
  <Company>STPS</Company>
  <LinksUpToDate>false</LinksUpToDate>
  <CharactersWithSpaces>8528</CharactersWithSpaces>
  <SharedDoc>false</SharedDoc>
  <HLinks>
    <vt:vector size="12" baseType="variant">
      <vt:variant>
        <vt:i4>4587558</vt:i4>
      </vt:variant>
      <vt:variant>
        <vt:i4>-1</vt:i4>
      </vt:variant>
      <vt:variant>
        <vt:i4>2054</vt:i4>
      </vt:variant>
      <vt:variant>
        <vt:i4>1</vt:i4>
      </vt:variant>
      <vt:variant>
        <vt:lpwstr>hoja3-cabezal</vt:lpwstr>
      </vt:variant>
      <vt:variant>
        <vt:lpwstr/>
      </vt:variant>
      <vt:variant>
        <vt:i4>3670052</vt:i4>
      </vt:variant>
      <vt:variant>
        <vt:i4>-1</vt:i4>
      </vt:variant>
      <vt:variant>
        <vt:i4>2055</vt:i4>
      </vt:variant>
      <vt:variant>
        <vt:i4>1</vt:i4>
      </vt:variant>
      <vt:variant>
        <vt:lpwstr>hoja3_pie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COMUNICACIÓN SOCIAL</dc:title>
  <dc:creator>Administrador</dc:creator>
  <cp:lastModifiedBy>Basilio Gonzalez Nueñez</cp:lastModifiedBy>
  <cp:revision>7</cp:revision>
  <cp:lastPrinted>2014-12-19T20:36:00Z</cp:lastPrinted>
  <dcterms:created xsi:type="dcterms:W3CDTF">2014-12-19T19:59:00Z</dcterms:created>
  <dcterms:modified xsi:type="dcterms:W3CDTF">2014-12-19T21:24:00Z</dcterms:modified>
</cp:coreProperties>
</file>