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75E758" w14:textId="1FFA99C4" w:rsidR="00B01489" w:rsidRPr="001E1E00" w:rsidRDefault="00D8394F" w:rsidP="001E1E00">
      <w:pPr>
        <w:keepNext/>
        <w:pBdr>
          <w:top w:val="double" w:sz="6" w:space="10" w:color="002060"/>
          <w:bottom w:val="double" w:sz="6" w:space="1" w:color="002060"/>
        </w:pBdr>
        <w:spacing w:after="480" w:line="360" w:lineRule="auto"/>
        <w:ind w:right="-102"/>
        <w:rPr>
          <w:b/>
          <w:bCs/>
          <w:color w:val="002060"/>
          <w:sz w:val="26"/>
          <w:szCs w:val="26"/>
          <w:lang w:eastAsia="en-US"/>
        </w:rPr>
      </w:pPr>
      <w:bookmarkStart w:id="0" w:name="OLE_LINK104"/>
      <w:bookmarkStart w:id="1" w:name="OLE_LINK105"/>
      <w:bookmarkStart w:id="2" w:name="OLE_LINK90"/>
      <w:bookmarkStart w:id="3" w:name="_GoBack"/>
      <w:bookmarkEnd w:id="3"/>
      <w:r w:rsidRPr="001E1E00">
        <w:rPr>
          <w:b/>
          <w:color w:val="002060"/>
          <w:sz w:val="32"/>
          <w:szCs w:val="32"/>
        </w:rPr>
        <w:t>I</w:t>
      </w:r>
      <w:r w:rsidR="00DE6CE3" w:rsidRPr="001E1E00">
        <w:rPr>
          <w:b/>
          <w:color w:val="002060"/>
          <w:sz w:val="32"/>
          <w:szCs w:val="32"/>
        </w:rPr>
        <w:t>I.  COMERCIO EXTERIOR</w:t>
      </w:r>
    </w:p>
    <w:p w14:paraId="1881F9E6" w14:textId="77777777" w:rsidR="0084299B" w:rsidRPr="0084299B" w:rsidRDefault="0084299B" w:rsidP="0084299B">
      <w:pPr>
        <w:spacing w:after="360" w:line="360" w:lineRule="auto"/>
        <w:ind w:right="-159"/>
        <w:jc w:val="both"/>
        <w:rPr>
          <w:b/>
          <w:sz w:val="26"/>
          <w:szCs w:val="26"/>
          <w:lang w:val="es-ES"/>
        </w:rPr>
      </w:pPr>
      <w:bookmarkStart w:id="4" w:name="OLE_LINK79"/>
      <w:bookmarkStart w:id="5" w:name="OLE_LINK86"/>
      <w:bookmarkStart w:id="6" w:name="OLE_LINK97"/>
      <w:bookmarkStart w:id="7" w:name="OLE_LINK98"/>
      <w:bookmarkEnd w:id="0"/>
      <w:bookmarkEnd w:id="1"/>
      <w:bookmarkEnd w:id="2"/>
      <w:r w:rsidRPr="0084299B">
        <w:rPr>
          <w:b/>
          <w:sz w:val="26"/>
          <w:szCs w:val="26"/>
          <w:lang w:val="es-ES"/>
        </w:rPr>
        <w:t>Comercio Exterior (Banxico, INEGI, SAT, SE)</w:t>
      </w:r>
    </w:p>
    <w:p w14:paraId="4D5CA161" w14:textId="3383AE88" w:rsidR="0084299B" w:rsidRPr="0084299B" w:rsidRDefault="0084299B" w:rsidP="0084299B">
      <w:pPr>
        <w:spacing w:after="360" w:line="360" w:lineRule="auto"/>
        <w:ind w:right="-159"/>
        <w:jc w:val="both"/>
        <w:rPr>
          <w:sz w:val="26"/>
          <w:szCs w:val="26"/>
          <w:lang w:val="es-ES_tradnl"/>
        </w:rPr>
      </w:pPr>
      <w:r w:rsidRPr="0084299B">
        <w:rPr>
          <w:sz w:val="26"/>
          <w:szCs w:val="26"/>
          <w:lang w:val="es-ES"/>
        </w:rPr>
        <w:t xml:space="preserve">El 27 de marzo de 2015, el Instituto Nacional de Estadística y Geografía (INEGI) informó que, de acuerdo con información oportuna de comercio exterior elaborada por el grupo de trabajo integrado por el Banco de México (Banxico), el INEGI, el Servicio de Administración Tributaria (SAT) y la Secretaría de Economía (SE), </w:t>
      </w:r>
      <w:bookmarkStart w:id="8" w:name="OLE_LINK111"/>
      <w:bookmarkStart w:id="9" w:name="OLE_LINK112"/>
      <w:r w:rsidR="00A1771A">
        <w:rPr>
          <w:sz w:val="26"/>
          <w:szCs w:val="26"/>
          <w:lang w:val="es-ES"/>
        </w:rPr>
        <w:t xml:space="preserve">la balanza comercial </w:t>
      </w:r>
      <w:r w:rsidRPr="0084299B">
        <w:rPr>
          <w:sz w:val="26"/>
          <w:szCs w:val="26"/>
          <w:lang w:val="es-ES"/>
        </w:rPr>
        <w:t>en</w:t>
      </w:r>
      <w:r w:rsidRPr="0084299B">
        <w:rPr>
          <w:sz w:val="26"/>
          <w:szCs w:val="26"/>
        </w:rPr>
        <w:t xml:space="preserve"> </w:t>
      </w:r>
      <w:bookmarkEnd w:id="8"/>
      <w:bookmarkEnd w:id="9"/>
      <w:r w:rsidRPr="0084299B">
        <w:rPr>
          <w:sz w:val="26"/>
          <w:szCs w:val="26"/>
        </w:rPr>
        <w:t xml:space="preserve">febrero pasado </w:t>
      </w:r>
      <w:r w:rsidR="00A1771A">
        <w:rPr>
          <w:sz w:val="26"/>
          <w:szCs w:val="26"/>
        </w:rPr>
        <w:t>mostró</w:t>
      </w:r>
      <w:r w:rsidRPr="0084299B">
        <w:rPr>
          <w:sz w:val="26"/>
          <w:szCs w:val="26"/>
        </w:rPr>
        <w:t xml:space="preserve"> un superávit </w:t>
      </w:r>
      <w:r w:rsidRPr="0084299B">
        <w:rPr>
          <w:sz w:val="26"/>
          <w:szCs w:val="26"/>
          <w:lang w:val="es-ES"/>
        </w:rPr>
        <w:t>de 558.3</w:t>
      </w:r>
      <w:r w:rsidRPr="0084299B">
        <w:rPr>
          <w:sz w:val="26"/>
          <w:szCs w:val="26"/>
          <w:lang w:val="es-ES_tradnl"/>
        </w:rPr>
        <w:t xml:space="preserve"> millones de dólares, el cual se compara con el déficit de 3 mil 248 millones de dólares observado en el mes previo. Tal evolución se originó de un incremento en el saldo de la balanza de productos no petroleros, el cual pasó de un déficit de 2 mil 228 millones de dólares en enero a un superávit de 962 millones de dólares en febrero, y de una reducción en el déficit de la balanza de productos petroleros, que pasó de 1 mil 19 millones de dólares a 404 millones de dólares, en el mismo período.</w:t>
      </w:r>
      <w:r w:rsidR="007D0BB2" w:rsidRPr="007D0BB2">
        <w:rPr>
          <w:rFonts w:eastAsia="Calibri"/>
          <w:noProof/>
          <w:sz w:val="26"/>
          <w:szCs w:val="26"/>
          <w:lang w:eastAsia="en-US"/>
        </w:rPr>
        <w:t xml:space="preserve"> </w:t>
      </w:r>
    </w:p>
    <w:p w14:paraId="75A7E23F" w14:textId="5540FA4F" w:rsidR="0084299B" w:rsidRPr="0084299B" w:rsidRDefault="007D0BB2" w:rsidP="0084299B">
      <w:pPr>
        <w:spacing w:after="360" w:line="360" w:lineRule="auto"/>
        <w:ind w:right="-159"/>
        <w:jc w:val="center"/>
        <w:rPr>
          <w:sz w:val="26"/>
          <w:szCs w:val="26"/>
          <w:lang w:val="es-ES_tradnl"/>
        </w:rPr>
      </w:pPr>
      <w:r w:rsidRPr="00570084">
        <w:rPr>
          <w:rFonts w:eastAsia="Calibri"/>
          <w:noProof/>
          <w:sz w:val="26"/>
          <w:szCs w:val="26"/>
          <w:lang w:eastAsia="es-MX"/>
        </w:rPr>
        <mc:AlternateContent>
          <mc:Choice Requires="wps">
            <w:drawing>
              <wp:anchor distT="45720" distB="45720" distL="114300" distR="114300" simplePos="0" relativeHeight="251659264" behindDoc="0" locked="0" layoutInCell="1" allowOverlap="1" wp14:anchorId="29A8DEAD" wp14:editId="10480C2A">
                <wp:simplePos x="0" y="0"/>
                <wp:positionH relativeFrom="column">
                  <wp:posOffset>3272010</wp:posOffset>
                </wp:positionH>
                <wp:positionV relativeFrom="page">
                  <wp:posOffset>9455050</wp:posOffset>
                </wp:positionV>
                <wp:extent cx="2360930" cy="275590"/>
                <wp:effectExtent l="0" t="0" r="127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75590"/>
                        </a:xfrm>
                        <a:prstGeom prst="rect">
                          <a:avLst/>
                        </a:prstGeom>
                        <a:solidFill>
                          <a:srgbClr val="FFFFFF"/>
                        </a:solidFill>
                        <a:ln w="9525">
                          <a:noFill/>
                          <a:miter lim="800000"/>
                          <a:headEnd/>
                          <a:tailEnd/>
                        </a:ln>
                      </wps:spPr>
                      <wps:txbx>
                        <w:txbxContent>
                          <w:p w14:paraId="76968BEE" w14:textId="77777777" w:rsidR="007D0BB2" w:rsidRDefault="007D0BB2" w:rsidP="007D0BB2">
                            <w:pPr>
                              <w:tabs>
                                <w:tab w:val="center" w:pos="4252"/>
                                <w:tab w:val="right" w:pos="8504"/>
                              </w:tabs>
                              <w:jc w:val="right"/>
                            </w:pPr>
                            <w:r w:rsidRPr="00570084">
                              <w:rPr>
                                <w:rFonts w:eastAsia="Times New Roman"/>
                                <w:lang w:val="es-ES"/>
                              </w:rPr>
                              <w:t>F1 P-07-02  Rev.00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29A8DEAD" id="_x0000_t202" coordsize="21600,21600" o:spt="202" path="m,l,21600r21600,l21600,xe">
                <v:stroke joinstyle="miter"/>
                <v:path gradientshapeok="t" o:connecttype="rect"/>
              </v:shapetype>
              <v:shape id="Cuadro de texto 2" o:spid="_x0000_s1026" type="#_x0000_t202" style="position:absolute;left:0;text-align:left;margin-left:257.65pt;margin-top:744.5pt;width:185.9pt;height:21.7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" stroked="f">
                <v:textbox style="mso-fit-shape-to-text:t">
                  <w:txbxContent>
                    <w:p w14:paraId="76968BEE" w14:textId="77777777" w:rsidR="007D0BB2" w:rsidRDefault="007D0BB2" w:rsidP="007D0BB2">
                      <w:pPr>
                        <w:tabs>
                          <w:tab w:val="center" w:pos="4252"/>
                          <w:tab w:val="right" w:pos="8504"/>
                        </w:tabs>
                        <w:jc w:val="right"/>
                      </w:pPr>
                      <w:r w:rsidRPr="00570084">
                        <w:rPr>
                          <w:rFonts w:eastAsia="Times New Roman"/>
                          <w:lang w:val="es-ES"/>
                        </w:rPr>
                        <w:t>F1 P-07-02  Rev.00</w:t>
                      </w:r>
                    </w:p>
                  </w:txbxContent>
                </v:textbox>
                <w10:wrap type="square" anchory="page"/>
              </v:shape>
            </w:pict>
          </mc:Fallback>
        </mc:AlternateContent>
      </w:r>
      <w:r w:rsidR="0084299B" w:rsidRPr="0084299B">
        <w:rPr>
          <w:rFonts w:ascii="Calibri" w:eastAsia="Calibri" w:hAnsi="Calibri"/>
          <w:sz w:val="22"/>
          <w:szCs w:val="22"/>
          <w:lang w:eastAsia="en-US"/>
        </w:rPr>
        <w:fldChar w:fldCharType="begin"/>
      </w:r>
      <w:r w:rsidR="0084299B" w:rsidRPr="0084299B">
        <w:rPr>
          <w:rFonts w:ascii="Calibri" w:eastAsia="Calibri" w:hAnsi="Calibri"/>
          <w:sz w:val="22"/>
          <w:szCs w:val="22"/>
          <w:lang w:eastAsia="en-US"/>
        </w:rPr>
        <w:instrText xml:space="preserve"> LINK PowerPoint.Slide.8 "D:\\2015\\ABRIL\\GRÁFICAS POWER POINT\\3.- GRÁFICAS DE BAL COM.pptx!286" "" \a \p </w:instrText>
      </w:r>
      <w:r w:rsidR="0084299B" w:rsidRPr="0084299B">
        <w:rPr>
          <w:rFonts w:ascii="Calibri" w:eastAsia="Calibri" w:hAnsi="Calibri"/>
          <w:sz w:val="22"/>
          <w:szCs w:val="22"/>
          <w:lang w:eastAsia="en-US"/>
        </w:rPr>
        <w:fldChar w:fldCharType="separate"/>
      </w:r>
      <w:r w:rsidR="0084299B" w:rsidRPr="0084299B">
        <w:rPr>
          <w:rFonts w:ascii="Calibri" w:eastAsia="Calibri" w:hAnsi="Calibri"/>
          <w:noProof/>
          <w:sz w:val="22"/>
          <w:szCs w:val="22"/>
          <w:lang w:eastAsia="es-MX"/>
        </w:rPr>
        <w:drawing>
          <wp:inline distT="0" distB="0" distL="0" distR="0" wp14:anchorId="4A599363" wp14:editId="6978293C">
            <wp:extent cx="4757420" cy="3385820"/>
            <wp:effectExtent l="0" t="0" r="5080" b="508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8" cstate="print">
                      <a:extLst>
                        <a:ext uri="{28A0092B-C50C-407E-A947-70E740481C1C}">
                          <a14:useLocalDpi xmlns:a14="http://schemas.microsoft.com/office/drawing/2010/main" val="0"/>
                        </a:ext>
                      </a:extLst>
                    </a:blip>
                    <a:srcRect l="10329" r="11580"/>
                    <a:stretch>
                      <a:fillRect/>
                    </a:stretch>
                  </pic:blipFill>
                  <pic:spPr bwMode="auto">
                    <a:xfrm>
                      <a:off x="0" y="0"/>
                      <a:ext cx="4757420" cy="3385820"/>
                    </a:xfrm>
                    <a:prstGeom prst="rect">
                      <a:avLst/>
                    </a:prstGeom>
                    <a:noFill/>
                    <a:ln>
                      <a:noFill/>
                    </a:ln>
                  </pic:spPr>
                </pic:pic>
              </a:graphicData>
            </a:graphic>
          </wp:inline>
        </w:drawing>
      </w:r>
      <w:r w:rsidR="0084299B" w:rsidRPr="0084299B">
        <w:rPr>
          <w:rFonts w:ascii="Calibri" w:eastAsia="Calibri" w:hAnsi="Calibri"/>
          <w:sz w:val="22"/>
          <w:szCs w:val="22"/>
          <w:lang w:eastAsia="en-US"/>
        </w:rPr>
        <w:fldChar w:fldCharType="end"/>
      </w:r>
    </w:p>
    <w:p w14:paraId="449F8D30" w14:textId="323924AE" w:rsidR="0084299B" w:rsidRPr="0084299B" w:rsidRDefault="0084299B" w:rsidP="005C693D">
      <w:pPr>
        <w:spacing w:after="360" w:line="360" w:lineRule="auto"/>
        <w:ind w:right="-159"/>
        <w:jc w:val="both"/>
        <w:rPr>
          <w:sz w:val="26"/>
          <w:szCs w:val="26"/>
          <w:lang w:val="es-ES_tradnl"/>
        </w:rPr>
      </w:pPr>
      <w:r w:rsidRPr="0084299B">
        <w:rPr>
          <w:sz w:val="26"/>
          <w:szCs w:val="26"/>
          <w:lang w:val="es-ES_tradnl"/>
        </w:rPr>
        <w:lastRenderedPageBreak/>
        <w:t>Durante el primer bimestre de 2015, el déficit comercial de México alcanzó un monto de 2 mil 689.2 millones de dólares, cantidad superior a la observada en el mismo período del año anterior (2 mil 263.3 millones de dólares)</w:t>
      </w:r>
      <w:r w:rsidR="00A1771A">
        <w:rPr>
          <w:sz w:val="26"/>
          <w:szCs w:val="26"/>
          <w:lang w:val="es-ES_tradnl"/>
        </w:rPr>
        <w:t>.</w:t>
      </w:r>
    </w:p>
    <w:p w14:paraId="37F83F7B" w14:textId="77777777" w:rsidR="0084299B" w:rsidRPr="0084299B" w:rsidRDefault="0084299B" w:rsidP="0084299B">
      <w:pPr>
        <w:spacing w:after="360" w:line="360" w:lineRule="auto"/>
        <w:ind w:right="-159"/>
        <w:jc w:val="center"/>
        <w:rPr>
          <w:sz w:val="26"/>
          <w:szCs w:val="26"/>
          <w:lang w:val="es-ES_tradnl"/>
        </w:rPr>
      </w:pPr>
      <w:r w:rsidRPr="0084299B">
        <w:rPr>
          <w:rFonts w:ascii="Calibri" w:eastAsia="Calibri" w:hAnsi="Calibri"/>
          <w:sz w:val="22"/>
          <w:szCs w:val="22"/>
          <w:lang w:eastAsia="en-US"/>
        </w:rPr>
        <w:fldChar w:fldCharType="begin"/>
      </w:r>
      <w:r w:rsidRPr="0084299B">
        <w:rPr>
          <w:rFonts w:ascii="Calibri" w:eastAsia="Calibri" w:hAnsi="Calibri"/>
          <w:sz w:val="22"/>
          <w:szCs w:val="22"/>
          <w:lang w:eastAsia="en-US"/>
        </w:rPr>
        <w:instrText xml:space="preserve"> LINK PowerPoint.Slide.8 "D:\\2015\\ABRIL\\GRÁFICAS POWER POINT\\3.- GRÁFICAS DE BAL COM.pptx!289" "" \a \p </w:instrText>
      </w:r>
      <w:r w:rsidRPr="0084299B">
        <w:rPr>
          <w:rFonts w:ascii="Calibri" w:eastAsia="Calibri" w:hAnsi="Calibri"/>
          <w:sz w:val="22"/>
          <w:szCs w:val="22"/>
          <w:lang w:eastAsia="en-US"/>
        </w:rPr>
        <w:fldChar w:fldCharType="separate"/>
      </w:r>
      <w:r w:rsidRPr="0084299B">
        <w:rPr>
          <w:rFonts w:ascii="Calibri" w:eastAsia="Calibri" w:hAnsi="Calibri"/>
          <w:noProof/>
          <w:sz w:val="22"/>
          <w:szCs w:val="22"/>
          <w:lang w:eastAsia="es-MX"/>
        </w:rPr>
        <w:drawing>
          <wp:inline distT="0" distB="0" distL="0" distR="0" wp14:anchorId="41D2CEB2" wp14:editId="4F504BB8">
            <wp:extent cx="4572000" cy="3385820"/>
            <wp:effectExtent l="0" t="0" r="0" b="508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9" cstate="print">
                      <a:extLst>
                        <a:ext uri="{28A0092B-C50C-407E-A947-70E740481C1C}">
                          <a14:useLocalDpi xmlns:a14="http://schemas.microsoft.com/office/drawing/2010/main" val="0"/>
                        </a:ext>
                      </a:extLst>
                    </a:blip>
                    <a:srcRect l="13771" r="11580"/>
                    <a:stretch>
                      <a:fillRect/>
                    </a:stretch>
                  </pic:blipFill>
                  <pic:spPr bwMode="auto">
                    <a:xfrm>
                      <a:off x="0" y="0"/>
                      <a:ext cx="4572000" cy="3385820"/>
                    </a:xfrm>
                    <a:prstGeom prst="rect">
                      <a:avLst/>
                    </a:prstGeom>
                    <a:noFill/>
                    <a:ln>
                      <a:noFill/>
                    </a:ln>
                  </pic:spPr>
                </pic:pic>
              </a:graphicData>
            </a:graphic>
          </wp:inline>
        </w:drawing>
      </w:r>
      <w:r w:rsidRPr="0084299B">
        <w:rPr>
          <w:rFonts w:ascii="Calibri" w:eastAsia="Calibri" w:hAnsi="Calibri"/>
          <w:sz w:val="22"/>
          <w:szCs w:val="22"/>
          <w:lang w:eastAsia="en-US"/>
        </w:rPr>
        <w:fldChar w:fldCharType="end"/>
      </w:r>
    </w:p>
    <w:tbl>
      <w:tblPr>
        <w:tblW w:w="7371" w:type="dxa"/>
        <w:jc w:val="center"/>
        <w:tblLayout w:type="fixed"/>
        <w:tblLook w:val="04A0" w:firstRow="1" w:lastRow="0" w:firstColumn="1" w:lastColumn="0" w:noHBand="0" w:noVBand="1"/>
      </w:tblPr>
      <w:tblGrid>
        <w:gridCol w:w="2268"/>
        <w:gridCol w:w="993"/>
        <w:gridCol w:w="992"/>
        <w:gridCol w:w="992"/>
        <w:gridCol w:w="992"/>
        <w:gridCol w:w="1134"/>
      </w:tblGrid>
      <w:tr w:rsidR="0084299B" w:rsidRPr="0084299B" w14:paraId="61A6C60C" w14:textId="77777777" w:rsidTr="00D46FA9">
        <w:trPr>
          <w:jc w:val="center"/>
        </w:trPr>
        <w:tc>
          <w:tcPr>
            <w:tcW w:w="7371" w:type="dxa"/>
            <w:gridSpan w:val="6"/>
            <w:tcBorders>
              <w:top w:val="nil"/>
              <w:left w:val="nil"/>
              <w:bottom w:val="single" w:sz="4" w:space="0" w:color="auto"/>
              <w:right w:val="nil"/>
            </w:tcBorders>
          </w:tcPr>
          <w:p w14:paraId="54891A9E" w14:textId="77777777" w:rsidR="0084299B" w:rsidRPr="0084299B" w:rsidRDefault="0084299B" w:rsidP="0084299B">
            <w:pPr>
              <w:ind w:right="57"/>
              <w:jc w:val="center"/>
              <w:rPr>
                <w:rFonts w:eastAsia="Times New Roman"/>
                <w:b/>
                <w:sz w:val="20"/>
                <w:szCs w:val="18"/>
              </w:rPr>
            </w:pPr>
            <w:r w:rsidRPr="0084299B">
              <w:rPr>
                <w:rFonts w:eastAsia="Times New Roman"/>
                <w:b/>
                <w:sz w:val="20"/>
                <w:szCs w:val="18"/>
              </w:rPr>
              <w:t>BALANZA COMERCIAL DE MERCANCÍAS DE MÉXICO</w:t>
            </w:r>
          </w:p>
          <w:p w14:paraId="2ACEFC03" w14:textId="77777777" w:rsidR="0084299B" w:rsidRPr="0084299B" w:rsidRDefault="0084299B" w:rsidP="0084299B">
            <w:pPr>
              <w:ind w:right="57"/>
              <w:jc w:val="center"/>
              <w:rPr>
                <w:rFonts w:eastAsia="Times New Roman"/>
                <w:b/>
                <w:sz w:val="18"/>
                <w:szCs w:val="18"/>
              </w:rPr>
            </w:pPr>
            <w:r w:rsidRPr="0084299B">
              <w:rPr>
                <w:rFonts w:eastAsia="Times New Roman"/>
                <w:b/>
                <w:sz w:val="20"/>
                <w:szCs w:val="18"/>
              </w:rPr>
              <w:t>-Millones de dólares-</w:t>
            </w:r>
          </w:p>
        </w:tc>
      </w:tr>
      <w:tr w:rsidR="0084299B" w:rsidRPr="0084299B" w14:paraId="673BB4EA" w14:textId="77777777" w:rsidTr="00D46FA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560894B9" w14:textId="77777777" w:rsidR="0084299B" w:rsidRPr="0084299B" w:rsidRDefault="0084299B" w:rsidP="0084299B">
            <w:pPr>
              <w:ind w:right="57"/>
              <w:jc w:val="center"/>
              <w:rPr>
                <w:rFonts w:eastAsia="Times New Roman"/>
                <w:b/>
                <w:sz w:val="18"/>
                <w:szCs w:val="18"/>
              </w:rPr>
            </w:pPr>
            <w:r w:rsidRPr="0084299B">
              <w:rPr>
                <w:rFonts w:eastAsia="Times New Roman"/>
                <w:b/>
                <w:sz w:val="18"/>
                <w:szCs w:val="18"/>
              </w:rPr>
              <w:t>Concepto</w:t>
            </w:r>
          </w:p>
        </w:tc>
        <w:tc>
          <w:tcPr>
            <w:tcW w:w="993" w:type="dxa"/>
            <w:vMerge w:val="restart"/>
            <w:tcBorders>
              <w:top w:val="single" w:sz="4" w:space="0" w:color="auto"/>
              <w:left w:val="single" w:sz="4" w:space="0" w:color="auto"/>
              <w:bottom w:val="single" w:sz="4" w:space="0" w:color="auto"/>
              <w:right w:val="single" w:sz="4" w:space="0" w:color="auto"/>
            </w:tcBorders>
            <w:vAlign w:val="center"/>
          </w:tcPr>
          <w:p w14:paraId="223E594C" w14:textId="77777777" w:rsidR="0084299B" w:rsidRPr="0084299B" w:rsidRDefault="0084299B" w:rsidP="0084299B">
            <w:pPr>
              <w:ind w:right="57"/>
              <w:jc w:val="center"/>
              <w:rPr>
                <w:rFonts w:eastAsia="Times New Roman"/>
                <w:b/>
                <w:sz w:val="18"/>
                <w:szCs w:val="18"/>
              </w:rPr>
            </w:pPr>
            <w:r w:rsidRPr="0084299B">
              <w:rPr>
                <w:rFonts w:eastAsia="Times New Roman"/>
                <w:b/>
                <w:sz w:val="18"/>
                <w:szCs w:val="18"/>
              </w:rPr>
              <w:t>2013</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14:paraId="4CF47527" w14:textId="77777777" w:rsidR="0084299B" w:rsidRPr="0084299B" w:rsidRDefault="0084299B" w:rsidP="0084299B">
            <w:pPr>
              <w:ind w:right="57"/>
              <w:jc w:val="center"/>
              <w:rPr>
                <w:rFonts w:eastAsia="Times New Roman"/>
                <w:b/>
                <w:sz w:val="18"/>
                <w:szCs w:val="18"/>
              </w:rPr>
            </w:pPr>
            <w:r w:rsidRPr="0084299B">
              <w:rPr>
                <w:rFonts w:eastAsia="Times New Roman"/>
                <w:b/>
                <w:sz w:val="18"/>
                <w:szCs w:val="18"/>
              </w:rPr>
              <w:t>2014</w:t>
            </w:r>
          </w:p>
        </w:tc>
        <w:tc>
          <w:tcPr>
            <w:tcW w:w="3118" w:type="dxa"/>
            <w:gridSpan w:val="3"/>
            <w:tcBorders>
              <w:top w:val="single" w:sz="4" w:space="0" w:color="auto"/>
              <w:left w:val="single" w:sz="4" w:space="0" w:color="auto"/>
              <w:bottom w:val="single" w:sz="4" w:space="0" w:color="auto"/>
              <w:right w:val="single" w:sz="4" w:space="0" w:color="auto"/>
            </w:tcBorders>
            <w:vAlign w:val="center"/>
          </w:tcPr>
          <w:p w14:paraId="593F2A04" w14:textId="77777777" w:rsidR="0084299B" w:rsidRPr="0084299B" w:rsidRDefault="0084299B" w:rsidP="0084299B">
            <w:pPr>
              <w:ind w:right="57"/>
              <w:jc w:val="center"/>
              <w:rPr>
                <w:rFonts w:eastAsia="Times New Roman"/>
                <w:b/>
                <w:sz w:val="18"/>
                <w:szCs w:val="18"/>
              </w:rPr>
            </w:pPr>
            <w:r w:rsidRPr="0084299B">
              <w:rPr>
                <w:rFonts w:eastAsia="Times New Roman"/>
                <w:b/>
                <w:sz w:val="18"/>
                <w:szCs w:val="18"/>
              </w:rPr>
              <w:t>2015</w:t>
            </w:r>
          </w:p>
        </w:tc>
      </w:tr>
      <w:tr w:rsidR="0084299B" w:rsidRPr="0084299B" w14:paraId="6FF9D0F1" w14:textId="77777777" w:rsidTr="00D46FA9">
        <w:trPr>
          <w:jc w:val="center"/>
        </w:trPr>
        <w:tc>
          <w:tcPr>
            <w:tcW w:w="2268" w:type="dxa"/>
            <w:vMerge/>
            <w:tcBorders>
              <w:top w:val="single" w:sz="4" w:space="0" w:color="auto"/>
              <w:left w:val="single" w:sz="4" w:space="0" w:color="auto"/>
              <w:bottom w:val="single" w:sz="4" w:space="0" w:color="auto"/>
              <w:right w:val="single" w:sz="4" w:space="0" w:color="auto"/>
            </w:tcBorders>
          </w:tcPr>
          <w:p w14:paraId="78987090" w14:textId="77777777" w:rsidR="0084299B" w:rsidRPr="0084299B" w:rsidRDefault="0084299B" w:rsidP="0084299B">
            <w:pPr>
              <w:ind w:right="57"/>
              <w:rPr>
                <w:rFonts w:eastAsia="Times New Roman"/>
                <w:sz w:val="18"/>
                <w:szCs w:val="18"/>
              </w:rPr>
            </w:pPr>
          </w:p>
        </w:tc>
        <w:tc>
          <w:tcPr>
            <w:tcW w:w="993" w:type="dxa"/>
            <w:vMerge/>
            <w:tcBorders>
              <w:top w:val="single" w:sz="4" w:space="0" w:color="auto"/>
              <w:left w:val="single" w:sz="4" w:space="0" w:color="auto"/>
              <w:bottom w:val="single" w:sz="4" w:space="0" w:color="auto"/>
              <w:right w:val="single" w:sz="4" w:space="0" w:color="auto"/>
            </w:tcBorders>
          </w:tcPr>
          <w:p w14:paraId="0B233250" w14:textId="77777777" w:rsidR="0084299B" w:rsidRPr="0084299B" w:rsidRDefault="0084299B" w:rsidP="0084299B">
            <w:pPr>
              <w:jc w:val="center"/>
              <w:rPr>
                <w:rFonts w:eastAsia="Times New Roman"/>
                <w:b/>
                <w:sz w:val="18"/>
                <w:szCs w:val="18"/>
              </w:rPr>
            </w:pPr>
          </w:p>
        </w:tc>
        <w:tc>
          <w:tcPr>
            <w:tcW w:w="992" w:type="dxa"/>
            <w:vMerge/>
            <w:tcBorders>
              <w:top w:val="single" w:sz="4" w:space="0" w:color="auto"/>
              <w:left w:val="single" w:sz="4" w:space="0" w:color="auto"/>
              <w:bottom w:val="single" w:sz="4" w:space="0" w:color="auto"/>
              <w:right w:val="single" w:sz="4" w:space="0" w:color="auto"/>
            </w:tcBorders>
          </w:tcPr>
          <w:p w14:paraId="604DCD0D" w14:textId="77777777" w:rsidR="0084299B" w:rsidRPr="0084299B" w:rsidRDefault="0084299B" w:rsidP="0084299B">
            <w:pPr>
              <w:jc w:val="center"/>
              <w:rPr>
                <w:rFonts w:eastAsia="Times New Roman"/>
                <w:b/>
                <w:sz w:val="18"/>
                <w:szCs w:val="18"/>
              </w:rPr>
            </w:pPr>
          </w:p>
        </w:tc>
        <w:tc>
          <w:tcPr>
            <w:tcW w:w="992" w:type="dxa"/>
            <w:tcBorders>
              <w:top w:val="single" w:sz="4" w:space="0" w:color="auto"/>
              <w:left w:val="single" w:sz="4" w:space="0" w:color="auto"/>
              <w:bottom w:val="single" w:sz="4" w:space="0" w:color="auto"/>
              <w:right w:val="single" w:sz="4" w:space="0" w:color="auto"/>
            </w:tcBorders>
          </w:tcPr>
          <w:p w14:paraId="23C04916" w14:textId="77777777" w:rsidR="0084299B" w:rsidRPr="0084299B" w:rsidRDefault="0084299B" w:rsidP="0084299B">
            <w:pPr>
              <w:jc w:val="center"/>
              <w:rPr>
                <w:rFonts w:eastAsia="Times New Roman"/>
                <w:b/>
                <w:sz w:val="18"/>
                <w:szCs w:val="18"/>
              </w:rPr>
            </w:pPr>
            <w:r w:rsidRPr="0084299B">
              <w:rPr>
                <w:rFonts w:eastAsia="Times New Roman"/>
                <w:b/>
                <w:sz w:val="18"/>
                <w:szCs w:val="18"/>
              </w:rPr>
              <w:t>Ene</w:t>
            </w:r>
          </w:p>
        </w:tc>
        <w:tc>
          <w:tcPr>
            <w:tcW w:w="992" w:type="dxa"/>
            <w:tcBorders>
              <w:top w:val="single" w:sz="4" w:space="0" w:color="auto"/>
              <w:left w:val="single" w:sz="4" w:space="0" w:color="auto"/>
              <w:bottom w:val="single" w:sz="4" w:space="0" w:color="auto"/>
              <w:right w:val="single" w:sz="4" w:space="0" w:color="auto"/>
            </w:tcBorders>
          </w:tcPr>
          <w:p w14:paraId="22C090E8" w14:textId="77777777" w:rsidR="0084299B" w:rsidRPr="0084299B" w:rsidRDefault="0084299B" w:rsidP="0084299B">
            <w:pPr>
              <w:jc w:val="center"/>
              <w:rPr>
                <w:rFonts w:eastAsia="Times New Roman"/>
                <w:b/>
                <w:sz w:val="18"/>
                <w:szCs w:val="18"/>
              </w:rPr>
            </w:pPr>
            <w:r w:rsidRPr="0084299B">
              <w:rPr>
                <w:rFonts w:eastAsia="Times New Roman"/>
                <w:b/>
                <w:sz w:val="18"/>
                <w:szCs w:val="18"/>
              </w:rPr>
              <w:t>Feb*</w:t>
            </w:r>
          </w:p>
        </w:tc>
        <w:tc>
          <w:tcPr>
            <w:tcW w:w="1134" w:type="dxa"/>
            <w:tcBorders>
              <w:top w:val="single" w:sz="4" w:space="0" w:color="auto"/>
              <w:left w:val="single" w:sz="4" w:space="0" w:color="auto"/>
              <w:bottom w:val="single" w:sz="4" w:space="0" w:color="auto"/>
              <w:right w:val="single" w:sz="4" w:space="0" w:color="auto"/>
            </w:tcBorders>
          </w:tcPr>
          <w:p w14:paraId="5083EBCC" w14:textId="77777777" w:rsidR="0084299B" w:rsidRPr="0084299B" w:rsidRDefault="0084299B" w:rsidP="0084299B">
            <w:pPr>
              <w:jc w:val="center"/>
              <w:rPr>
                <w:rFonts w:eastAsia="Times New Roman"/>
                <w:b/>
                <w:sz w:val="18"/>
                <w:szCs w:val="18"/>
              </w:rPr>
            </w:pPr>
            <w:r w:rsidRPr="0084299B">
              <w:rPr>
                <w:rFonts w:eastAsia="Times New Roman"/>
                <w:b/>
                <w:sz w:val="18"/>
                <w:szCs w:val="18"/>
              </w:rPr>
              <w:t>Ene-Feb*</w:t>
            </w:r>
          </w:p>
        </w:tc>
      </w:tr>
      <w:tr w:rsidR="0084299B" w:rsidRPr="0084299B" w14:paraId="09416001" w14:textId="77777777" w:rsidTr="00D46FA9">
        <w:trPr>
          <w:jc w:val="center"/>
        </w:trPr>
        <w:tc>
          <w:tcPr>
            <w:tcW w:w="2268" w:type="dxa"/>
            <w:tcBorders>
              <w:top w:val="single" w:sz="4" w:space="0" w:color="auto"/>
              <w:left w:val="single" w:sz="4" w:space="0" w:color="auto"/>
              <w:bottom w:val="nil"/>
              <w:right w:val="single" w:sz="4" w:space="0" w:color="auto"/>
            </w:tcBorders>
          </w:tcPr>
          <w:p w14:paraId="5DD1939A" w14:textId="77777777" w:rsidR="0084299B" w:rsidRPr="0084299B" w:rsidRDefault="0084299B" w:rsidP="0084299B">
            <w:pPr>
              <w:ind w:right="57"/>
              <w:rPr>
                <w:rFonts w:eastAsia="Times New Roman"/>
                <w:b/>
                <w:sz w:val="18"/>
                <w:szCs w:val="18"/>
              </w:rPr>
            </w:pPr>
            <w:r w:rsidRPr="0084299B">
              <w:rPr>
                <w:rFonts w:eastAsia="Times New Roman"/>
                <w:b/>
                <w:sz w:val="18"/>
                <w:szCs w:val="18"/>
              </w:rPr>
              <w:t>Exportaciones Totales</w:t>
            </w:r>
          </w:p>
        </w:tc>
        <w:tc>
          <w:tcPr>
            <w:tcW w:w="993" w:type="dxa"/>
            <w:tcBorders>
              <w:top w:val="single" w:sz="4" w:space="0" w:color="auto"/>
              <w:left w:val="single" w:sz="4" w:space="0" w:color="auto"/>
              <w:bottom w:val="nil"/>
              <w:right w:val="single" w:sz="4" w:space="0" w:color="auto"/>
            </w:tcBorders>
          </w:tcPr>
          <w:p w14:paraId="4C186412" w14:textId="77777777" w:rsidR="0084299B" w:rsidRPr="0084299B" w:rsidRDefault="0084299B" w:rsidP="0084299B">
            <w:pPr>
              <w:ind w:right="113"/>
              <w:jc w:val="right"/>
              <w:rPr>
                <w:rFonts w:eastAsia="Times New Roman"/>
                <w:b/>
                <w:sz w:val="18"/>
                <w:szCs w:val="18"/>
              </w:rPr>
            </w:pPr>
            <w:r w:rsidRPr="0084299B">
              <w:rPr>
                <w:rFonts w:eastAsia="Times New Roman"/>
                <w:b/>
                <w:sz w:val="18"/>
                <w:szCs w:val="18"/>
              </w:rPr>
              <w:t>380 027</w:t>
            </w:r>
          </w:p>
        </w:tc>
        <w:tc>
          <w:tcPr>
            <w:tcW w:w="992" w:type="dxa"/>
            <w:tcBorders>
              <w:top w:val="single" w:sz="4" w:space="0" w:color="auto"/>
              <w:left w:val="single" w:sz="4" w:space="0" w:color="auto"/>
              <w:bottom w:val="nil"/>
              <w:right w:val="single" w:sz="4" w:space="0" w:color="auto"/>
            </w:tcBorders>
          </w:tcPr>
          <w:p w14:paraId="5EC3DA4F" w14:textId="77777777" w:rsidR="0084299B" w:rsidRPr="0084299B" w:rsidRDefault="0084299B" w:rsidP="0084299B">
            <w:pPr>
              <w:ind w:right="113"/>
              <w:jc w:val="right"/>
              <w:rPr>
                <w:rFonts w:eastAsia="Times New Roman"/>
                <w:b/>
                <w:sz w:val="18"/>
                <w:szCs w:val="18"/>
              </w:rPr>
            </w:pPr>
            <w:r w:rsidRPr="0084299B">
              <w:rPr>
                <w:rFonts w:eastAsia="Times New Roman"/>
                <w:b/>
                <w:sz w:val="18"/>
                <w:szCs w:val="18"/>
              </w:rPr>
              <w:t>397 535</w:t>
            </w:r>
          </w:p>
        </w:tc>
        <w:tc>
          <w:tcPr>
            <w:tcW w:w="992" w:type="dxa"/>
            <w:tcBorders>
              <w:top w:val="single" w:sz="4" w:space="0" w:color="auto"/>
              <w:left w:val="single" w:sz="4" w:space="0" w:color="auto"/>
              <w:bottom w:val="nil"/>
              <w:right w:val="single" w:sz="4" w:space="0" w:color="auto"/>
            </w:tcBorders>
          </w:tcPr>
          <w:p w14:paraId="1A9AE563" w14:textId="77777777" w:rsidR="0084299B" w:rsidRPr="0084299B" w:rsidRDefault="0084299B" w:rsidP="0084299B">
            <w:pPr>
              <w:ind w:right="170"/>
              <w:jc w:val="right"/>
              <w:rPr>
                <w:rFonts w:eastAsia="Times New Roman"/>
                <w:b/>
                <w:sz w:val="18"/>
                <w:szCs w:val="18"/>
              </w:rPr>
            </w:pPr>
            <w:r w:rsidRPr="0084299B">
              <w:rPr>
                <w:rFonts w:eastAsia="Times New Roman"/>
                <w:b/>
                <w:sz w:val="18"/>
                <w:szCs w:val="18"/>
              </w:rPr>
              <w:t>26 568</w:t>
            </w:r>
          </w:p>
        </w:tc>
        <w:tc>
          <w:tcPr>
            <w:tcW w:w="992" w:type="dxa"/>
            <w:tcBorders>
              <w:top w:val="single" w:sz="4" w:space="0" w:color="auto"/>
              <w:left w:val="single" w:sz="4" w:space="0" w:color="auto"/>
              <w:bottom w:val="nil"/>
              <w:right w:val="single" w:sz="4" w:space="0" w:color="auto"/>
            </w:tcBorders>
          </w:tcPr>
          <w:p w14:paraId="435ED4E4" w14:textId="77777777" w:rsidR="0084299B" w:rsidRPr="0084299B" w:rsidRDefault="0084299B" w:rsidP="0084299B">
            <w:pPr>
              <w:ind w:right="170"/>
              <w:jc w:val="right"/>
              <w:rPr>
                <w:rFonts w:eastAsia="Times New Roman"/>
                <w:b/>
                <w:sz w:val="18"/>
                <w:szCs w:val="18"/>
              </w:rPr>
            </w:pPr>
            <w:r w:rsidRPr="0084299B">
              <w:rPr>
                <w:rFonts w:eastAsia="Times New Roman"/>
                <w:b/>
                <w:sz w:val="18"/>
                <w:szCs w:val="18"/>
              </w:rPr>
              <w:t>29 683</w:t>
            </w:r>
          </w:p>
        </w:tc>
        <w:tc>
          <w:tcPr>
            <w:tcW w:w="1134" w:type="dxa"/>
            <w:tcBorders>
              <w:top w:val="single" w:sz="4" w:space="0" w:color="auto"/>
              <w:left w:val="single" w:sz="4" w:space="0" w:color="auto"/>
              <w:bottom w:val="nil"/>
              <w:right w:val="single" w:sz="4" w:space="0" w:color="auto"/>
            </w:tcBorders>
          </w:tcPr>
          <w:p w14:paraId="281A0513" w14:textId="77777777" w:rsidR="0084299B" w:rsidRPr="0084299B" w:rsidRDefault="0084299B" w:rsidP="0084299B">
            <w:pPr>
              <w:ind w:right="227"/>
              <w:jc w:val="right"/>
              <w:rPr>
                <w:rFonts w:eastAsia="Times New Roman"/>
                <w:b/>
                <w:sz w:val="18"/>
                <w:szCs w:val="18"/>
              </w:rPr>
            </w:pPr>
            <w:r w:rsidRPr="0084299B">
              <w:rPr>
                <w:rFonts w:eastAsia="Times New Roman"/>
                <w:b/>
                <w:sz w:val="18"/>
                <w:szCs w:val="18"/>
              </w:rPr>
              <w:t>56 251</w:t>
            </w:r>
          </w:p>
        </w:tc>
      </w:tr>
      <w:tr w:rsidR="0084299B" w:rsidRPr="0084299B" w14:paraId="4662945A" w14:textId="77777777" w:rsidTr="00D46FA9">
        <w:trPr>
          <w:jc w:val="center"/>
        </w:trPr>
        <w:tc>
          <w:tcPr>
            <w:tcW w:w="2268" w:type="dxa"/>
            <w:tcBorders>
              <w:top w:val="nil"/>
              <w:left w:val="single" w:sz="4" w:space="0" w:color="auto"/>
              <w:bottom w:val="nil"/>
              <w:right w:val="single" w:sz="4" w:space="0" w:color="auto"/>
            </w:tcBorders>
          </w:tcPr>
          <w:p w14:paraId="2C0CBF63" w14:textId="77777777" w:rsidR="0084299B" w:rsidRPr="0084299B" w:rsidRDefault="0084299B" w:rsidP="0084299B">
            <w:pPr>
              <w:ind w:right="57"/>
              <w:rPr>
                <w:rFonts w:eastAsia="Times New Roman"/>
                <w:sz w:val="18"/>
                <w:szCs w:val="18"/>
              </w:rPr>
            </w:pPr>
            <w:r w:rsidRPr="0084299B">
              <w:rPr>
                <w:rFonts w:eastAsia="Times New Roman"/>
                <w:sz w:val="18"/>
                <w:szCs w:val="18"/>
              </w:rPr>
              <w:t xml:space="preserve">     Petroleras</w:t>
            </w:r>
          </w:p>
        </w:tc>
        <w:tc>
          <w:tcPr>
            <w:tcW w:w="993" w:type="dxa"/>
            <w:tcBorders>
              <w:top w:val="nil"/>
              <w:left w:val="single" w:sz="4" w:space="0" w:color="auto"/>
              <w:bottom w:val="nil"/>
              <w:right w:val="single" w:sz="4" w:space="0" w:color="auto"/>
            </w:tcBorders>
          </w:tcPr>
          <w:p w14:paraId="0016F536" w14:textId="77777777" w:rsidR="0084299B" w:rsidRPr="0084299B" w:rsidRDefault="0084299B" w:rsidP="0084299B">
            <w:pPr>
              <w:ind w:right="113"/>
              <w:jc w:val="right"/>
              <w:rPr>
                <w:rFonts w:eastAsia="Times New Roman"/>
                <w:sz w:val="18"/>
                <w:szCs w:val="18"/>
              </w:rPr>
            </w:pPr>
            <w:r w:rsidRPr="0084299B">
              <w:rPr>
                <w:rFonts w:eastAsia="Times New Roman"/>
                <w:sz w:val="18"/>
                <w:szCs w:val="18"/>
              </w:rPr>
              <w:t>49 493</w:t>
            </w:r>
          </w:p>
        </w:tc>
        <w:tc>
          <w:tcPr>
            <w:tcW w:w="992" w:type="dxa"/>
            <w:tcBorders>
              <w:top w:val="nil"/>
              <w:left w:val="single" w:sz="4" w:space="0" w:color="auto"/>
              <w:bottom w:val="nil"/>
              <w:right w:val="single" w:sz="4" w:space="0" w:color="auto"/>
            </w:tcBorders>
          </w:tcPr>
          <w:p w14:paraId="0BC9CD98" w14:textId="77777777" w:rsidR="0084299B" w:rsidRPr="0084299B" w:rsidRDefault="0084299B" w:rsidP="0084299B">
            <w:pPr>
              <w:ind w:right="113"/>
              <w:jc w:val="right"/>
              <w:rPr>
                <w:rFonts w:eastAsia="Times New Roman"/>
                <w:sz w:val="18"/>
                <w:szCs w:val="18"/>
              </w:rPr>
            </w:pPr>
            <w:r w:rsidRPr="0084299B">
              <w:rPr>
                <w:rFonts w:eastAsia="Times New Roman"/>
                <w:sz w:val="18"/>
                <w:szCs w:val="18"/>
              </w:rPr>
              <w:t>42 979</w:t>
            </w:r>
          </w:p>
        </w:tc>
        <w:tc>
          <w:tcPr>
            <w:tcW w:w="992" w:type="dxa"/>
            <w:tcBorders>
              <w:top w:val="nil"/>
              <w:left w:val="single" w:sz="4" w:space="0" w:color="auto"/>
              <w:bottom w:val="nil"/>
              <w:right w:val="single" w:sz="4" w:space="0" w:color="auto"/>
            </w:tcBorders>
          </w:tcPr>
          <w:p w14:paraId="57E103CE" w14:textId="77777777" w:rsidR="0084299B" w:rsidRPr="0084299B" w:rsidRDefault="0084299B" w:rsidP="0084299B">
            <w:pPr>
              <w:ind w:right="170"/>
              <w:jc w:val="right"/>
              <w:rPr>
                <w:rFonts w:eastAsia="Times New Roman"/>
                <w:sz w:val="18"/>
                <w:szCs w:val="18"/>
              </w:rPr>
            </w:pPr>
            <w:r w:rsidRPr="0084299B">
              <w:rPr>
                <w:rFonts w:eastAsia="Times New Roman"/>
                <w:sz w:val="18"/>
                <w:szCs w:val="18"/>
              </w:rPr>
              <w:t>2 016</w:t>
            </w:r>
          </w:p>
        </w:tc>
        <w:tc>
          <w:tcPr>
            <w:tcW w:w="992" w:type="dxa"/>
            <w:tcBorders>
              <w:top w:val="nil"/>
              <w:left w:val="single" w:sz="4" w:space="0" w:color="auto"/>
              <w:bottom w:val="nil"/>
              <w:right w:val="single" w:sz="4" w:space="0" w:color="auto"/>
            </w:tcBorders>
          </w:tcPr>
          <w:p w14:paraId="6E5BD72F" w14:textId="77777777" w:rsidR="0084299B" w:rsidRPr="0084299B" w:rsidRDefault="0084299B" w:rsidP="0084299B">
            <w:pPr>
              <w:ind w:right="170"/>
              <w:jc w:val="right"/>
              <w:rPr>
                <w:rFonts w:eastAsia="Times New Roman"/>
                <w:sz w:val="18"/>
                <w:szCs w:val="18"/>
              </w:rPr>
            </w:pPr>
            <w:r w:rsidRPr="0084299B">
              <w:rPr>
                <w:rFonts w:eastAsia="Times New Roman"/>
                <w:sz w:val="18"/>
                <w:szCs w:val="18"/>
              </w:rPr>
              <w:t>2 085</w:t>
            </w:r>
          </w:p>
        </w:tc>
        <w:tc>
          <w:tcPr>
            <w:tcW w:w="1134" w:type="dxa"/>
            <w:tcBorders>
              <w:top w:val="nil"/>
              <w:left w:val="single" w:sz="4" w:space="0" w:color="auto"/>
              <w:bottom w:val="nil"/>
              <w:right w:val="single" w:sz="4" w:space="0" w:color="auto"/>
            </w:tcBorders>
          </w:tcPr>
          <w:p w14:paraId="545B1C89" w14:textId="77777777" w:rsidR="0084299B" w:rsidRPr="0084299B" w:rsidRDefault="0084299B" w:rsidP="0084299B">
            <w:pPr>
              <w:ind w:right="227"/>
              <w:jc w:val="right"/>
              <w:rPr>
                <w:rFonts w:eastAsia="Times New Roman"/>
                <w:sz w:val="18"/>
                <w:szCs w:val="18"/>
              </w:rPr>
            </w:pPr>
            <w:r w:rsidRPr="0084299B">
              <w:rPr>
                <w:rFonts w:eastAsia="Times New Roman"/>
                <w:sz w:val="18"/>
                <w:szCs w:val="18"/>
              </w:rPr>
              <w:t>4 100</w:t>
            </w:r>
          </w:p>
        </w:tc>
      </w:tr>
      <w:tr w:rsidR="0084299B" w:rsidRPr="0084299B" w14:paraId="373BBA48" w14:textId="77777777" w:rsidTr="00D46FA9">
        <w:trPr>
          <w:jc w:val="center"/>
        </w:trPr>
        <w:tc>
          <w:tcPr>
            <w:tcW w:w="2268" w:type="dxa"/>
            <w:tcBorders>
              <w:top w:val="nil"/>
              <w:left w:val="single" w:sz="4" w:space="0" w:color="auto"/>
              <w:bottom w:val="nil"/>
              <w:right w:val="single" w:sz="4" w:space="0" w:color="auto"/>
            </w:tcBorders>
          </w:tcPr>
          <w:p w14:paraId="4EE21FB4" w14:textId="77777777" w:rsidR="0084299B" w:rsidRPr="0084299B" w:rsidRDefault="0084299B" w:rsidP="0084299B">
            <w:pPr>
              <w:ind w:right="57"/>
              <w:rPr>
                <w:rFonts w:eastAsia="Times New Roman"/>
                <w:sz w:val="18"/>
                <w:szCs w:val="18"/>
              </w:rPr>
            </w:pPr>
            <w:r w:rsidRPr="0084299B">
              <w:rPr>
                <w:rFonts w:eastAsia="Times New Roman"/>
                <w:sz w:val="18"/>
                <w:szCs w:val="18"/>
              </w:rPr>
              <w:t xml:space="preserve">     No petroleras</w:t>
            </w:r>
          </w:p>
        </w:tc>
        <w:tc>
          <w:tcPr>
            <w:tcW w:w="993" w:type="dxa"/>
            <w:tcBorders>
              <w:top w:val="nil"/>
              <w:left w:val="single" w:sz="4" w:space="0" w:color="auto"/>
              <w:bottom w:val="nil"/>
              <w:right w:val="single" w:sz="4" w:space="0" w:color="auto"/>
            </w:tcBorders>
          </w:tcPr>
          <w:p w14:paraId="53E72284" w14:textId="77777777" w:rsidR="0084299B" w:rsidRPr="0084299B" w:rsidRDefault="0084299B" w:rsidP="0084299B">
            <w:pPr>
              <w:ind w:right="113"/>
              <w:jc w:val="right"/>
              <w:rPr>
                <w:rFonts w:eastAsia="Times New Roman"/>
                <w:sz w:val="18"/>
                <w:szCs w:val="18"/>
              </w:rPr>
            </w:pPr>
            <w:r w:rsidRPr="0084299B">
              <w:rPr>
                <w:rFonts w:eastAsia="Times New Roman"/>
                <w:sz w:val="18"/>
                <w:szCs w:val="18"/>
              </w:rPr>
              <w:t>330 534</w:t>
            </w:r>
          </w:p>
        </w:tc>
        <w:tc>
          <w:tcPr>
            <w:tcW w:w="992" w:type="dxa"/>
            <w:tcBorders>
              <w:top w:val="nil"/>
              <w:left w:val="single" w:sz="4" w:space="0" w:color="auto"/>
              <w:bottom w:val="nil"/>
              <w:right w:val="single" w:sz="4" w:space="0" w:color="auto"/>
            </w:tcBorders>
          </w:tcPr>
          <w:p w14:paraId="652411E5" w14:textId="77777777" w:rsidR="0084299B" w:rsidRPr="0084299B" w:rsidRDefault="0084299B" w:rsidP="0084299B">
            <w:pPr>
              <w:ind w:right="113"/>
              <w:jc w:val="right"/>
              <w:rPr>
                <w:rFonts w:eastAsia="Times New Roman"/>
                <w:sz w:val="18"/>
                <w:szCs w:val="18"/>
              </w:rPr>
            </w:pPr>
            <w:r w:rsidRPr="0084299B">
              <w:rPr>
                <w:rFonts w:eastAsia="Times New Roman"/>
                <w:sz w:val="18"/>
                <w:szCs w:val="18"/>
              </w:rPr>
              <w:t>354 556</w:t>
            </w:r>
          </w:p>
        </w:tc>
        <w:tc>
          <w:tcPr>
            <w:tcW w:w="992" w:type="dxa"/>
            <w:tcBorders>
              <w:top w:val="nil"/>
              <w:left w:val="single" w:sz="4" w:space="0" w:color="auto"/>
              <w:bottom w:val="nil"/>
              <w:right w:val="single" w:sz="4" w:space="0" w:color="auto"/>
            </w:tcBorders>
          </w:tcPr>
          <w:p w14:paraId="33CF6645" w14:textId="77777777" w:rsidR="0084299B" w:rsidRPr="0084299B" w:rsidRDefault="0084299B" w:rsidP="0084299B">
            <w:pPr>
              <w:ind w:right="170"/>
              <w:jc w:val="right"/>
              <w:rPr>
                <w:rFonts w:eastAsia="Times New Roman"/>
                <w:sz w:val="18"/>
                <w:szCs w:val="18"/>
              </w:rPr>
            </w:pPr>
            <w:r w:rsidRPr="0084299B">
              <w:rPr>
                <w:rFonts w:eastAsia="Times New Roman"/>
                <w:sz w:val="18"/>
                <w:szCs w:val="18"/>
              </w:rPr>
              <w:t>24 553</w:t>
            </w:r>
          </w:p>
        </w:tc>
        <w:tc>
          <w:tcPr>
            <w:tcW w:w="992" w:type="dxa"/>
            <w:tcBorders>
              <w:top w:val="nil"/>
              <w:left w:val="single" w:sz="4" w:space="0" w:color="auto"/>
              <w:bottom w:val="nil"/>
              <w:right w:val="single" w:sz="4" w:space="0" w:color="auto"/>
            </w:tcBorders>
          </w:tcPr>
          <w:p w14:paraId="36932402" w14:textId="77777777" w:rsidR="0084299B" w:rsidRPr="0084299B" w:rsidRDefault="0084299B" w:rsidP="0084299B">
            <w:pPr>
              <w:ind w:right="170"/>
              <w:jc w:val="right"/>
              <w:rPr>
                <w:rFonts w:eastAsia="Times New Roman"/>
                <w:sz w:val="18"/>
                <w:szCs w:val="18"/>
              </w:rPr>
            </w:pPr>
            <w:r w:rsidRPr="0084299B">
              <w:rPr>
                <w:rFonts w:eastAsia="Times New Roman"/>
                <w:sz w:val="18"/>
                <w:szCs w:val="18"/>
              </w:rPr>
              <w:t>27 598</w:t>
            </w:r>
          </w:p>
        </w:tc>
        <w:tc>
          <w:tcPr>
            <w:tcW w:w="1134" w:type="dxa"/>
            <w:tcBorders>
              <w:top w:val="nil"/>
              <w:left w:val="single" w:sz="4" w:space="0" w:color="auto"/>
              <w:bottom w:val="nil"/>
              <w:right w:val="single" w:sz="4" w:space="0" w:color="auto"/>
            </w:tcBorders>
          </w:tcPr>
          <w:p w14:paraId="45D92A62" w14:textId="77777777" w:rsidR="0084299B" w:rsidRPr="0084299B" w:rsidRDefault="0084299B" w:rsidP="0084299B">
            <w:pPr>
              <w:ind w:right="227"/>
              <w:jc w:val="right"/>
              <w:rPr>
                <w:rFonts w:eastAsia="Times New Roman"/>
                <w:sz w:val="18"/>
                <w:szCs w:val="18"/>
              </w:rPr>
            </w:pPr>
            <w:r w:rsidRPr="0084299B">
              <w:rPr>
                <w:rFonts w:eastAsia="Times New Roman"/>
                <w:sz w:val="18"/>
                <w:szCs w:val="18"/>
              </w:rPr>
              <w:t>52 151</w:t>
            </w:r>
          </w:p>
        </w:tc>
      </w:tr>
      <w:tr w:rsidR="0084299B" w:rsidRPr="0084299B" w14:paraId="021A0D4A" w14:textId="77777777" w:rsidTr="00D46FA9">
        <w:trPr>
          <w:jc w:val="center"/>
        </w:trPr>
        <w:tc>
          <w:tcPr>
            <w:tcW w:w="2268" w:type="dxa"/>
            <w:tcBorders>
              <w:top w:val="nil"/>
              <w:left w:val="single" w:sz="4" w:space="0" w:color="auto"/>
              <w:bottom w:val="nil"/>
              <w:right w:val="single" w:sz="4" w:space="0" w:color="auto"/>
            </w:tcBorders>
          </w:tcPr>
          <w:p w14:paraId="09663D58" w14:textId="77777777" w:rsidR="0084299B" w:rsidRPr="0084299B" w:rsidRDefault="0084299B" w:rsidP="0084299B">
            <w:pPr>
              <w:ind w:right="57"/>
              <w:rPr>
                <w:rFonts w:eastAsia="Times New Roman"/>
                <w:b/>
                <w:sz w:val="18"/>
                <w:szCs w:val="18"/>
              </w:rPr>
            </w:pPr>
            <w:r w:rsidRPr="0084299B">
              <w:rPr>
                <w:rFonts w:eastAsia="Times New Roman"/>
                <w:b/>
                <w:sz w:val="18"/>
                <w:szCs w:val="18"/>
              </w:rPr>
              <w:t>Importaciones Totales</w:t>
            </w:r>
          </w:p>
        </w:tc>
        <w:tc>
          <w:tcPr>
            <w:tcW w:w="993" w:type="dxa"/>
            <w:tcBorders>
              <w:top w:val="nil"/>
              <w:left w:val="single" w:sz="4" w:space="0" w:color="auto"/>
              <w:bottom w:val="nil"/>
              <w:right w:val="single" w:sz="4" w:space="0" w:color="auto"/>
            </w:tcBorders>
          </w:tcPr>
          <w:p w14:paraId="324BFCA3" w14:textId="77777777" w:rsidR="0084299B" w:rsidRPr="0084299B" w:rsidRDefault="0084299B" w:rsidP="0084299B">
            <w:pPr>
              <w:ind w:right="113"/>
              <w:jc w:val="right"/>
              <w:rPr>
                <w:rFonts w:eastAsia="Times New Roman"/>
                <w:b/>
                <w:sz w:val="18"/>
                <w:szCs w:val="18"/>
              </w:rPr>
            </w:pPr>
            <w:r w:rsidRPr="0084299B">
              <w:rPr>
                <w:rFonts w:eastAsia="Times New Roman"/>
                <w:b/>
                <w:sz w:val="18"/>
                <w:szCs w:val="18"/>
              </w:rPr>
              <w:t>381 210</w:t>
            </w:r>
          </w:p>
        </w:tc>
        <w:tc>
          <w:tcPr>
            <w:tcW w:w="992" w:type="dxa"/>
            <w:tcBorders>
              <w:top w:val="nil"/>
              <w:left w:val="single" w:sz="4" w:space="0" w:color="auto"/>
              <w:bottom w:val="nil"/>
              <w:right w:val="single" w:sz="4" w:space="0" w:color="auto"/>
            </w:tcBorders>
          </w:tcPr>
          <w:p w14:paraId="2827BE60" w14:textId="77777777" w:rsidR="0084299B" w:rsidRPr="0084299B" w:rsidRDefault="0084299B" w:rsidP="0084299B">
            <w:pPr>
              <w:ind w:right="113"/>
              <w:jc w:val="right"/>
              <w:rPr>
                <w:rFonts w:eastAsia="Times New Roman"/>
                <w:b/>
                <w:sz w:val="18"/>
                <w:szCs w:val="18"/>
              </w:rPr>
            </w:pPr>
            <w:r w:rsidRPr="0084299B">
              <w:rPr>
                <w:rFonts w:eastAsia="Times New Roman"/>
                <w:b/>
                <w:sz w:val="18"/>
                <w:szCs w:val="18"/>
              </w:rPr>
              <w:t>399 977</w:t>
            </w:r>
          </w:p>
        </w:tc>
        <w:tc>
          <w:tcPr>
            <w:tcW w:w="992" w:type="dxa"/>
            <w:tcBorders>
              <w:top w:val="nil"/>
              <w:left w:val="single" w:sz="4" w:space="0" w:color="auto"/>
              <w:bottom w:val="nil"/>
              <w:right w:val="single" w:sz="4" w:space="0" w:color="auto"/>
            </w:tcBorders>
          </w:tcPr>
          <w:p w14:paraId="17BF3574" w14:textId="77777777" w:rsidR="0084299B" w:rsidRPr="0084299B" w:rsidRDefault="0084299B" w:rsidP="0084299B">
            <w:pPr>
              <w:ind w:right="170"/>
              <w:jc w:val="right"/>
              <w:rPr>
                <w:rFonts w:eastAsia="Times New Roman"/>
                <w:b/>
                <w:sz w:val="18"/>
                <w:szCs w:val="18"/>
              </w:rPr>
            </w:pPr>
            <w:r w:rsidRPr="0084299B">
              <w:rPr>
                <w:rFonts w:eastAsia="Times New Roman"/>
                <w:b/>
                <w:sz w:val="18"/>
                <w:szCs w:val="18"/>
              </w:rPr>
              <w:t>29 816</w:t>
            </w:r>
          </w:p>
        </w:tc>
        <w:tc>
          <w:tcPr>
            <w:tcW w:w="992" w:type="dxa"/>
            <w:tcBorders>
              <w:top w:val="nil"/>
              <w:left w:val="single" w:sz="4" w:space="0" w:color="auto"/>
              <w:bottom w:val="nil"/>
              <w:right w:val="single" w:sz="4" w:space="0" w:color="auto"/>
            </w:tcBorders>
          </w:tcPr>
          <w:p w14:paraId="1D726F0C" w14:textId="77777777" w:rsidR="0084299B" w:rsidRPr="0084299B" w:rsidRDefault="0084299B" w:rsidP="0084299B">
            <w:pPr>
              <w:ind w:right="170"/>
              <w:jc w:val="right"/>
              <w:rPr>
                <w:rFonts w:eastAsia="Times New Roman"/>
                <w:b/>
                <w:sz w:val="18"/>
                <w:szCs w:val="18"/>
              </w:rPr>
            </w:pPr>
            <w:r w:rsidRPr="0084299B">
              <w:rPr>
                <w:rFonts w:eastAsia="Times New Roman"/>
                <w:b/>
                <w:sz w:val="18"/>
                <w:szCs w:val="18"/>
              </w:rPr>
              <w:t>29 124</w:t>
            </w:r>
          </w:p>
        </w:tc>
        <w:tc>
          <w:tcPr>
            <w:tcW w:w="1134" w:type="dxa"/>
            <w:tcBorders>
              <w:top w:val="nil"/>
              <w:left w:val="single" w:sz="4" w:space="0" w:color="auto"/>
              <w:bottom w:val="nil"/>
              <w:right w:val="single" w:sz="4" w:space="0" w:color="auto"/>
            </w:tcBorders>
          </w:tcPr>
          <w:p w14:paraId="4A1AD2E9" w14:textId="77777777" w:rsidR="0084299B" w:rsidRPr="0084299B" w:rsidRDefault="0084299B" w:rsidP="0084299B">
            <w:pPr>
              <w:ind w:right="227"/>
              <w:jc w:val="right"/>
              <w:rPr>
                <w:rFonts w:eastAsia="Times New Roman"/>
                <w:b/>
                <w:sz w:val="18"/>
                <w:szCs w:val="18"/>
              </w:rPr>
            </w:pPr>
            <w:r w:rsidRPr="0084299B">
              <w:rPr>
                <w:rFonts w:eastAsia="Times New Roman"/>
                <w:b/>
                <w:sz w:val="18"/>
                <w:szCs w:val="18"/>
              </w:rPr>
              <w:t>58 940</w:t>
            </w:r>
          </w:p>
        </w:tc>
      </w:tr>
      <w:tr w:rsidR="0084299B" w:rsidRPr="0084299B" w14:paraId="6C731916" w14:textId="77777777" w:rsidTr="00D46FA9">
        <w:trPr>
          <w:jc w:val="center"/>
        </w:trPr>
        <w:tc>
          <w:tcPr>
            <w:tcW w:w="2268" w:type="dxa"/>
            <w:tcBorders>
              <w:top w:val="nil"/>
              <w:left w:val="single" w:sz="4" w:space="0" w:color="auto"/>
              <w:bottom w:val="nil"/>
              <w:right w:val="single" w:sz="4" w:space="0" w:color="auto"/>
            </w:tcBorders>
          </w:tcPr>
          <w:p w14:paraId="3C7C7ECA" w14:textId="77777777" w:rsidR="0084299B" w:rsidRPr="0084299B" w:rsidRDefault="0084299B" w:rsidP="0084299B">
            <w:pPr>
              <w:ind w:right="57"/>
              <w:rPr>
                <w:rFonts w:eastAsia="Times New Roman"/>
                <w:sz w:val="18"/>
                <w:szCs w:val="18"/>
              </w:rPr>
            </w:pPr>
            <w:r w:rsidRPr="0084299B">
              <w:rPr>
                <w:rFonts w:eastAsia="Times New Roman"/>
                <w:sz w:val="18"/>
                <w:szCs w:val="18"/>
              </w:rPr>
              <w:t xml:space="preserve">     Petroleras</w:t>
            </w:r>
          </w:p>
        </w:tc>
        <w:tc>
          <w:tcPr>
            <w:tcW w:w="993" w:type="dxa"/>
            <w:tcBorders>
              <w:top w:val="nil"/>
              <w:left w:val="single" w:sz="4" w:space="0" w:color="auto"/>
              <w:bottom w:val="nil"/>
              <w:right w:val="single" w:sz="4" w:space="0" w:color="auto"/>
            </w:tcBorders>
          </w:tcPr>
          <w:p w14:paraId="0F18D9FD" w14:textId="77777777" w:rsidR="0084299B" w:rsidRPr="0084299B" w:rsidRDefault="0084299B" w:rsidP="0084299B">
            <w:pPr>
              <w:ind w:right="113"/>
              <w:jc w:val="right"/>
              <w:rPr>
                <w:rFonts w:eastAsia="Times New Roman"/>
                <w:sz w:val="18"/>
                <w:szCs w:val="18"/>
              </w:rPr>
            </w:pPr>
            <w:r w:rsidRPr="0084299B">
              <w:rPr>
                <w:rFonts w:eastAsia="Times New Roman"/>
                <w:sz w:val="18"/>
                <w:szCs w:val="18"/>
              </w:rPr>
              <w:t>40 868</w:t>
            </w:r>
          </w:p>
        </w:tc>
        <w:tc>
          <w:tcPr>
            <w:tcW w:w="992" w:type="dxa"/>
            <w:tcBorders>
              <w:top w:val="nil"/>
              <w:left w:val="single" w:sz="4" w:space="0" w:color="auto"/>
              <w:bottom w:val="nil"/>
              <w:right w:val="single" w:sz="4" w:space="0" w:color="auto"/>
            </w:tcBorders>
          </w:tcPr>
          <w:p w14:paraId="476F77C8" w14:textId="77777777" w:rsidR="0084299B" w:rsidRPr="0084299B" w:rsidRDefault="0084299B" w:rsidP="0084299B">
            <w:pPr>
              <w:ind w:right="113"/>
              <w:jc w:val="right"/>
              <w:rPr>
                <w:rFonts w:eastAsia="Times New Roman"/>
                <w:sz w:val="18"/>
                <w:szCs w:val="18"/>
              </w:rPr>
            </w:pPr>
            <w:r w:rsidRPr="0084299B">
              <w:rPr>
                <w:rFonts w:eastAsia="Times New Roman"/>
                <w:sz w:val="18"/>
                <w:szCs w:val="18"/>
              </w:rPr>
              <w:t>41 490</w:t>
            </w:r>
          </w:p>
        </w:tc>
        <w:tc>
          <w:tcPr>
            <w:tcW w:w="992" w:type="dxa"/>
            <w:tcBorders>
              <w:top w:val="nil"/>
              <w:left w:val="single" w:sz="4" w:space="0" w:color="auto"/>
              <w:bottom w:val="nil"/>
              <w:right w:val="single" w:sz="4" w:space="0" w:color="auto"/>
            </w:tcBorders>
          </w:tcPr>
          <w:p w14:paraId="1A530854" w14:textId="77777777" w:rsidR="0084299B" w:rsidRPr="0084299B" w:rsidRDefault="0084299B" w:rsidP="0084299B">
            <w:pPr>
              <w:ind w:right="170"/>
              <w:jc w:val="right"/>
              <w:rPr>
                <w:rFonts w:eastAsia="Times New Roman"/>
                <w:sz w:val="18"/>
                <w:szCs w:val="18"/>
              </w:rPr>
            </w:pPr>
            <w:r w:rsidRPr="0084299B">
              <w:rPr>
                <w:rFonts w:eastAsia="Times New Roman"/>
                <w:sz w:val="18"/>
                <w:szCs w:val="18"/>
              </w:rPr>
              <w:t>3 035</w:t>
            </w:r>
          </w:p>
        </w:tc>
        <w:tc>
          <w:tcPr>
            <w:tcW w:w="992" w:type="dxa"/>
            <w:tcBorders>
              <w:top w:val="nil"/>
              <w:left w:val="single" w:sz="4" w:space="0" w:color="auto"/>
              <w:bottom w:val="nil"/>
              <w:right w:val="single" w:sz="4" w:space="0" w:color="auto"/>
            </w:tcBorders>
          </w:tcPr>
          <w:p w14:paraId="7E733BBB" w14:textId="77777777" w:rsidR="0084299B" w:rsidRPr="0084299B" w:rsidRDefault="0084299B" w:rsidP="0084299B">
            <w:pPr>
              <w:ind w:right="170"/>
              <w:jc w:val="right"/>
              <w:rPr>
                <w:rFonts w:eastAsia="Times New Roman"/>
                <w:sz w:val="18"/>
                <w:szCs w:val="18"/>
              </w:rPr>
            </w:pPr>
            <w:r w:rsidRPr="0084299B">
              <w:rPr>
                <w:rFonts w:eastAsia="Times New Roman"/>
                <w:sz w:val="18"/>
                <w:szCs w:val="18"/>
              </w:rPr>
              <w:t>2 489</w:t>
            </w:r>
          </w:p>
        </w:tc>
        <w:tc>
          <w:tcPr>
            <w:tcW w:w="1134" w:type="dxa"/>
            <w:tcBorders>
              <w:top w:val="nil"/>
              <w:left w:val="single" w:sz="4" w:space="0" w:color="auto"/>
              <w:bottom w:val="nil"/>
              <w:right w:val="single" w:sz="4" w:space="0" w:color="auto"/>
            </w:tcBorders>
          </w:tcPr>
          <w:p w14:paraId="25C75E23" w14:textId="77777777" w:rsidR="0084299B" w:rsidRPr="0084299B" w:rsidRDefault="0084299B" w:rsidP="0084299B">
            <w:pPr>
              <w:ind w:right="227"/>
              <w:jc w:val="right"/>
              <w:rPr>
                <w:rFonts w:eastAsia="Times New Roman"/>
                <w:sz w:val="18"/>
                <w:szCs w:val="18"/>
              </w:rPr>
            </w:pPr>
            <w:r w:rsidRPr="0084299B">
              <w:rPr>
                <w:rFonts w:eastAsia="Times New Roman"/>
                <w:sz w:val="18"/>
                <w:szCs w:val="18"/>
              </w:rPr>
              <w:t>5 524</w:t>
            </w:r>
          </w:p>
        </w:tc>
      </w:tr>
      <w:tr w:rsidR="0084299B" w:rsidRPr="0084299B" w14:paraId="4AE0E951" w14:textId="77777777" w:rsidTr="00D46FA9">
        <w:trPr>
          <w:jc w:val="center"/>
        </w:trPr>
        <w:tc>
          <w:tcPr>
            <w:tcW w:w="2268" w:type="dxa"/>
            <w:tcBorders>
              <w:top w:val="nil"/>
              <w:left w:val="single" w:sz="4" w:space="0" w:color="auto"/>
              <w:bottom w:val="nil"/>
              <w:right w:val="single" w:sz="4" w:space="0" w:color="auto"/>
            </w:tcBorders>
          </w:tcPr>
          <w:p w14:paraId="16965FEC" w14:textId="77777777" w:rsidR="0084299B" w:rsidRPr="0084299B" w:rsidRDefault="0084299B" w:rsidP="0084299B">
            <w:pPr>
              <w:ind w:right="57"/>
              <w:rPr>
                <w:rFonts w:eastAsia="Times New Roman"/>
                <w:sz w:val="18"/>
                <w:szCs w:val="18"/>
              </w:rPr>
            </w:pPr>
            <w:r w:rsidRPr="0084299B">
              <w:rPr>
                <w:rFonts w:eastAsia="Times New Roman"/>
                <w:sz w:val="18"/>
                <w:szCs w:val="18"/>
              </w:rPr>
              <w:t xml:space="preserve">     No petroleras</w:t>
            </w:r>
          </w:p>
        </w:tc>
        <w:tc>
          <w:tcPr>
            <w:tcW w:w="993" w:type="dxa"/>
            <w:tcBorders>
              <w:top w:val="nil"/>
              <w:left w:val="single" w:sz="4" w:space="0" w:color="auto"/>
              <w:bottom w:val="nil"/>
              <w:right w:val="single" w:sz="4" w:space="0" w:color="auto"/>
            </w:tcBorders>
          </w:tcPr>
          <w:p w14:paraId="21EAAF30" w14:textId="77777777" w:rsidR="0084299B" w:rsidRPr="0084299B" w:rsidRDefault="0084299B" w:rsidP="0084299B">
            <w:pPr>
              <w:ind w:right="113"/>
              <w:jc w:val="right"/>
              <w:rPr>
                <w:rFonts w:eastAsia="Times New Roman"/>
                <w:sz w:val="18"/>
                <w:szCs w:val="18"/>
              </w:rPr>
            </w:pPr>
            <w:r w:rsidRPr="0084299B">
              <w:rPr>
                <w:rFonts w:eastAsia="Times New Roman"/>
                <w:sz w:val="18"/>
                <w:szCs w:val="18"/>
              </w:rPr>
              <w:t>340 342</w:t>
            </w:r>
          </w:p>
        </w:tc>
        <w:tc>
          <w:tcPr>
            <w:tcW w:w="992" w:type="dxa"/>
            <w:tcBorders>
              <w:top w:val="nil"/>
              <w:left w:val="single" w:sz="4" w:space="0" w:color="auto"/>
              <w:bottom w:val="nil"/>
              <w:right w:val="single" w:sz="4" w:space="0" w:color="auto"/>
            </w:tcBorders>
          </w:tcPr>
          <w:p w14:paraId="434F7EBB" w14:textId="77777777" w:rsidR="0084299B" w:rsidRPr="0084299B" w:rsidRDefault="0084299B" w:rsidP="0084299B">
            <w:pPr>
              <w:ind w:right="113"/>
              <w:jc w:val="right"/>
              <w:rPr>
                <w:rFonts w:eastAsia="Times New Roman"/>
                <w:sz w:val="18"/>
                <w:szCs w:val="18"/>
              </w:rPr>
            </w:pPr>
            <w:r w:rsidRPr="0084299B">
              <w:rPr>
                <w:rFonts w:eastAsia="Times New Roman"/>
                <w:sz w:val="18"/>
                <w:szCs w:val="18"/>
              </w:rPr>
              <w:t>358 488</w:t>
            </w:r>
          </w:p>
        </w:tc>
        <w:tc>
          <w:tcPr>
            <w:tcW w:w="992" w:type="dxa"/>
            <w:tcBorders>
              <w:top w:val="nil"/>
              <w:left w:val="single" w:sz="4" w:space="0" w:color="auto"/>
              <w:bottom w:val="nil"/>
              <w:right w:val="single" w:sz="4" w:space="0" w:color="auto"/>
            </w:tcBorders>
          </w:tcPr>
          <w:p w14:paraId="5BBDB1E9" w14:textId="77777777" w:rsidR="0084299B" w:rsidRPr="0084299B" w:rsidRDefault="0084299B" w:rsidP="0084299B">
            <w:pPr>
              <w:ind w:right="170"/>
              <w:jc w:val="right"/>
              <w:rPr>
                <w:rFonts w:eastAsia="Times New Roman"/>
                <w:sz w:val="18"/>
                <w:szCs w:val="18"/>
              </w:rPr>
            </w:pPr>
            <w:r w:rsidRPr="0084299B">
              <w:rPr>
                <w:rFonts w:eastAsia="Times New Roman"/>
                <w:sz w:val="18"/>
                <w:szCs w:val="18"/>
              </w:rPr>
              <w:t>26 781</w:t>
            </w:r>
          </w:p>
        </w:tc>
        <w:tc>
          <w:tcPr>
            <w:tcW w:w="992" w:type="dxa"/>
            <w:tcBorders>
              <w:top w:val="nil"/>
              <w:left w:val="single" w:sz="4" w:space="0" w:color="auto"/>
              <w:bottom w:val="nil"/>
              <w:right w:val="single" w:sz="4" w:space="0" w:color="auto"/>
            </w:tcBorders>
          </w:tcPr>
          <w:p w14:paraId="175F19A7" w14:textId="77777777" w:rsidR="0084299B" w:rsidRPr="0084299B" w:rsidRDefault="0084299B" w:rsidP="0084299B">
            <w:pPr>
              <w:ind w:right="170"/>
              <w:jc w:val="right"/>
              <w:rPr>
                <w:rFonts w:eastAsia="Times New Roman"/>
                <w:sz w:val="18"/>
                <w:szCs w:val="18"/>
              </w:rPr>
            </w:pPr>
            <w:r w:rsidRPr="0084299B">
              <w:rPr>
                <w:rFonts w:eastAsia="Times New Roman"/>
                <w:sz w:val="18"/>
                <w:szCs w:val="18"/>
              </w:rPr>
              <w:t>26 635</w:t>
            </w:r>
          </w:p>
        </w:tc>
        <w:tc>
          <w:tcPr>
            <w:tcW w:w="1134" w:type="dxa"/>
            <w:tcBorders>
              <w:top w:val="nil"/>
              <w:left w:val="single" w:sz="4" w:space="0" w:color="auto"/>
              <w:bottom w:val="nil"/>
              <w:right w:val="single" w:sz="4" w:space="0" w:color="auto"/>
            </w:tcBorders>
          </w:tcPr>
          <w:p w14:paraId="3667E5A0" w14:textId="77777777" w:rsidR="0084299B" w:rsidRPr="0084299B" w:rsidRDefault="0084299B" w:rsidP="0084299B">
            <w:pPr>
              <w:ind w:right="227"/>
              <w:jc w:val="right"/>
              <w:rPr>
                <w:rFonts w:eastAsia="Times New Roman"/>
                <w:sz w:val="18"/>
                <w:szCs w:val="18"/>
              </w:rPr>
            </w:pPr>
            <w:r w:rsidRPr="0084299B">
              <w:rPr>
                <w:rFonts w:eastAsia="Times New Roman"/>
                <w:sz w:val="18"/>
                <w:szCs w:val="18"/>
              </w:rPr>
              <w:t>53 417</w:t>
            </w:r>
          </w:p>
        </w:tc>
      </w:tr>
      <w:tr w:rsidR="0084299B" w:rsidRPr="0084299B" w14:paraId="4B480657" w14:textId="77777777" w:rsidTr="00D46FA9">
        <w:trPr>
          <w:jc w:val="center"/>
        </w:trPr>
        <w:tc>
          <w:tcPr>
            <w:tcW w:w="2268" w:type="dxa"/>
            <w:tcBorders>
              <w:top w:val="nil"/>
              <w:left w:val="single" w:sz="4" w:space="0" w:color="auto"/>
              <w:bottom w:val="nil"/>
              <w:right w:val="single" w:sz="4" w:space="0" w:color="auto"/>
            </w:tcBorders>
          </w:tcPr>
          <w:p w14:paraId="31639920" w14:textId="77777777" w:rsidR="0084299B" w:rsidRPr="0084299B" w:rsidRDefault="0084299B" w:rsidP="0084299B">
            <w:pPr>
              <w:ind w:right="57"/>
              <w:rPr>
                <w:rFonts w:eastAsia="Times New Roman"/>
                <w:b/>
                <w:sz w:val="18"/>
                <w:szCs w:val="18"/>
              </w:rPr>
            </w:pPr>
            <w:r w:rsidRPr="0084299B">
              <w:rPr>
                <w:rFonts w:eastAsia="Times New Roman"/>
                <w:b/>
                <w:sz w:val="18"/>
                <w:szCs w:val="18"/>
              </w:rPr>
              <w:t>Balanza Comercial Total</w:t>
            </w:r>
          </w:p>
        </w:tc>
        <w:tc>
          <w:tcPr>
            <w:tcW w:w="993" w:type="dxa"/>
            <w:tcBorders>
              <w:top w:val="nil"/>
              <w:left w:val="single" w:sz="4" w:space="0" w:color="auto"/>
              <w:bottom w:val="nil"/>
              <w:right w:val="single" w:sz="4" w:space="0" w:color="auto"/>
            </w:tcBorders>
          </w:tcPr>
          <w:p w14:paraId="54F62C27" w14:textId="77777777" w:rsidR="0084299B" w:rsidRPr="0084299B" w:rsidRDefault="0084299B" w:rsidP="0084299B">
            <w:pPr>
              <w:ind w:right="113"/>
              <w:jc w:val="right"/>
              <w:rPr>
                <w:rFonts w:eastAsia="Times New Roman"/>
                <w:b/>
                <w:sz w:val="18"/>
                <w:szCs w:val="18"/>
              </w:rPr>
            </w:pPr>
            <w:r w:rsidRPr="0084299B">
              <w:rPr>
                <w:rFonts w:eastAsia="Times New Roman"/>
                <w:b/>
                <w:sz w:val="18"/>
                <w:szCs w:val="18"/>
              </w:rPr>
              <w:t>-1 184</w:t>
            </w:r>
          </w:p>
        </w:tc>
        <w:tc>
          <w:tcPr>
            <w:tcW w:w="992" w:type="dxa"/>
            <w:tcBorders>
              <w:top w:val="nil"/>
              <w:left w:val="single" w:sz="4" w:space="0" w:color="auto"/>
              <w:bottom w:val="nil"/>
              <w:right w:val="single" w:sz="4" w:space="0" w:color="auto"/>
            </w:tcBorders>
          </w:tcPr>
          <w:p w14:paraId="0308B19C" w14:textId="77777777" w:rsidR="0084299B" w:rsidRPr="0084299B" w:rsidRDefault="0084299B" w:rsidP="0084299B">
            <w:pPr>
              <w:ind w:right="113"/>
              <w:jc w:val="right"/>
              <w:rPr>
                <w:rFonts w:eastAsia="Times New Roman"/>
                <w:b/>
                <w:sz w:val="18"/>
                <w:szCs w:val="18"/>
              </w:rPr>
            </w:pPr>
            <w:r w:rsidRPr="0084299B">
              <w:rPr>
                <w:rFonts w:eastAsia="Times New Roman"/>
                <w:b/>
                <w:sz w:val="18"/>
                <w:szCs w:val="18"/>
              </w:rPr>
              <w:t>-2 442</w:t>
            </w:r>
          </w:p>
        </w:tc>
        <w:tc>
          <w:tcPr>
            <w:tcW w:w="992" w:type="dxa"/>
            <w:tcBorders>
              <w:top w:val="nil"/>
              <w:left w:val="single" w:sz="4" w:space="0" w:color="auto"/>
              <w:bottom w:val="nil"/>
              <w:right w:val="single" w:sz="4" w:space="0" w:color="auto"/>
            </w:tcBorders>
          </w:tcPr>
          <w:p w14:paraId="7F924E30" w14:textId="77777777" w:rsidR="0084299B" w:rsidRPr="0084299B" w:rsidRDefault="0084299B" w:rsidP="0084299B">
            <w:pPr>
              <w:ind w:right="170"/>
              <w:jc w:val="right"/>
              <w:rPr>
                <w:rFonts w:eastAsia="Times New Roman"/>
                <w:b/>
                <w:sz w:val="18"/>
                <w:szCs w:val="18"/>
              </w:rPr>
            </w:pPr>
            <w:r w:rsidRPr="0084299B">
              <w:rPr>
                <w:rFonts w:eastAsia="Times New Roman"/>
                <w:b/>
                <w:sz w:val="18"/>
                <w:szCs w:val="18"/>
              </w:rPr>
              <w:t>-3 248</w:t>
            </w:r>
          </w:p>
        </w:tc>
        <w:tc>
          <w:tcPr>
            <w:tcW w:w="992" w:type="dxa"/>
            <w:tcBorders>
              <w:top w:val="nil"/>
              <w:left w:val="single" w:sz="4" w:space="0" w:color="auto"/>
              <w:bottom w:val="nil"/>
              <w:right w:val="single" w:sz="4" w:space="0" w:color="auto"/>
            </w:tcBorders>
          </w:tcPr>
          <w:p w14:paraId="2ACE8133" w14:textId="77777777" w:rsidR="0084299B" w:rsidRPr="0084299B" w:rsidRDefault="0084299B" w:rsidP="0084299B">
            <w:pPr>
              <w:ind w:right="170"/>
              <w:jc w:val="right"/>
              <w:rPr>
                <w:rFonts w:eastAsia="Times New Roman"/>
                <w:b/>
                <w:sz w:val="18"/>
                <w:szCs w:val="18"/>
              </w:rPr>
            </w:pPr>
            <w:r w:rsidRPr="0084299B">
              <w:rPr>
                <w:rFonts w:eastAsia="Times New Roman"/>
                <w:b/>
                <w:sz w:val="18"/>
                <w:szCs w:val="18"/>
              </w:rPr>
              <w:t>558</w:t>
            </w:r>
          </w:p>
        </w:tc>
        <w:tc>
          <w:tcPr>
            <w:tcW w:w="1134" w:type="dxa"/>
            <w:tcBorders>
              <w:top w:val="nil"/>
              <w:left w:val="single" w:sz="4" w:space="0" w:color="auto"/>
              <w:bottom w:val="nil"/>
              <w:right w:val="single" w:sz="4" w:space="0" w:color="auto"/>
            </w:tcBorders>
          </w:tcPr>
          <w:p w14:paraId="4F3F5260" w14:textId="77777777" w:rsidR="0084299B" w:rsidRPr="0084299B" w:rsidRDefault="0084299B" w:rsidP="0084299B">
            <w:pPr>
              <w:ind w:right="227"/>
              <w:jc w:val="right"/>
              <w:rPr>
                <w:rFonts w:eastAsia="Times New Roman"/>
                <w:b/>
                <w:sz w:val="18"/>
                <w:szCs w:val="18"/>
              </w:rPr>
            </w:pPr>
            <w:r w:rsidRPr="0084299B">
              <w:rPr>
                <w:rFonts w:eastAsia="Times New Roman"/>
                <w:b/>
                <w:sz w:val="18"/>
                <w:szCs w:val="18"/>
              </w:rPr>
              <w:t>-2 689</w:t>
            </w:r>
          </w:p>
        </w:tc>
      </w:tr>
      <w:tr w:rsidR="0084299B" w:rsidRPr="0084299B" w14:paraId="741CD2CD" w14:textId="77777777" w:rsidTr="00D46FA9">
        <w:trPr>
          <w:jc w:val="center"/>
        </w:trPr>
        <w:tc>
          <w:tcPr>
            <w:tcW w:w="2268" w:type="dxa"/>
            <w:tcBorders>
              <w:top w:val="nil"/>
              <w:left w:val="single" w:sz="4" w:space="0" w:color="auto"/>
              <w:bottom w:val="nil"/>
              <w:right w:val="single" w:sz="4" w:space="0" w:color="auto"/>
            </w:tcBorders>
          </w:tcPr>
          <w:p w14:paraId="25280CCD" w14:textId="77777777" w:rsidR="0084299B" w:rsidRPr="0084299B" w:rsidRDefault="0084299B" w:rsidP="0084299B">
            <w:pPr>
              <w:ind w:right="57"/>
              <w:rPr>
                <w:rFonts w:eastAsia="Times New Roman"/>
                <w:sz w:val="18"/>
                <w:szCs w:val="18"/>
              </w:rPr>
            </w:pPr>
            <w:r w:rsidRPr="0084299B">
              <w:rPr>
                <w:rFonts w:eastAsia="Times New Roman"/>
                <w:sz w:val="18"/>
                <w:szCs w:val="18"/>
              </w:rPr>
              <w:t xml:space="preserve">     Petroleras</w:t>
            </w:r>
          </w:p>
        </w:tc>
        <w:tc>
          <w:tcPr>
            <w:tcW w:w="993" w:type="dxa"/>
            <w:tcBorders>
              <w:top w:val="nil"/>
              <w:left w:val="single" w:sz="4" w:space="0" w:color="auto"/>
              <w:bottom w:val="nil"/>
              <w:right w:val="single" w:sz="4" w:space="0" w:color="auto"/>
            </w:tcBorders>
          </w:tcPr>
          <w:p w14:paraId="0C7FDC1C" w14:textId="77777777" w:rsidR="0084299B" w:rsidRPr="0084299B" w:rsidRDefault="0084299B" w:rsidP="0084299B">
            <w:pPr>
              <w:ind w:right="113"/>
              <w:jc w:val="right"/>
              <w:rPr>
                <w:rFonts w:eastAsia="Times New Roman"/>
                <w:sz w:val="18"/>
                <w:szCs w:val="18"/>
              </w:rPr>
            </w:pPr>
            <w:r w:rsidRPr="0084299B">
              <w:rPr>
                <w:rFonts w:eastAsia="Times New Roman"/>
                <w:sz w:val="18"/>
                <w:szCs w:val="18"/>
              </w:rPr>
              <w:t>8 625</w:t>
            </w:r>
          </w:p>
        </w:tc>
        <w:tc>
          <w:tcPr>
            <w:tcW w:w="992" w:type="dxa"/>
            <w:tcBorders>
              <w:top w:val="nil"/>
              <w:left w:val="single" w:sz="4" w:space="0" w:color="auto"/>
              <w:bottom w:val="nil"/>
              <w:right w:val="single" w:sz="4" w:space="0" w:color="auto"/>
            </w:tcBorders>
          </w:tcPr>
          <w:p w14:paraId="202BC42A" w14:textId="77777777" w:rsidR="0084299B" w:rsidRPr="0084299B" w:rsidRDefault="0084299B" w:rsidP="0084299B">
            <w:pPr>
              <w:ind w:right="113"/>
              <w:jc w:val="right"/>
              <w:rPr>
                <w:rFonts w:eastAsia="Times New Roman"/>
                <w:sz w:val="18"/>
                <w:szCs w:val="18"/>
              </w:rPr>
            </w:pPr>
            <w:r w:rsidRPr="0084299B">
              <w:rPr>
                <w:rFonts w:eastAsia="Times New Roman"/>
                <w:sz w:val="18"/>
                <w:szCs w:val="18"/>
              </w:rPr>
              <w:t>1 489</w:t>
            </w:r>
          </w:p>
        </w:tc>
        <w:tc>
          <w:tcPr>
            <w:tcW w:w="992" w:type="dxa"/>
            <w:tcBorders>
              <w:top w:val="nil"/>
              <w:left w:val="single" w:sz="4" w:space="0" w:color="auto"/>
              <w:bottom w:val="nil"/>
              <w:right w:val="single" w:sz="4" w:space="0" w:color="auto"/>
            </w:tcBorders>
          </w:tcPr>
          <w:p w14:paraId="4A113641" w14:textId="77777777" w:rsidR="0084299B" w:rsidRPr="0084299B" w:rsidRDefault="0084299B" w:rsidP="0084299B">
            <w:pPr>
              <w:ind w:right="170"/>
              <w:jc w:val="right"/>
              <w:rPr>
                <w:rFonts w:eastAsia="Times New Roman"/>
                <w:sz w:val="18"/>
                <w:szCs w:val="18"/>
              </w:rPr>
            </w:pPr>
            <w:r w:rsidRPr="0084299B">
              <w:rPr>
                <w:rFonts w:eastAsia="Times New Roman"/>
                <w:sz w:val="18"/>
                <w:szCs w:val="18"/>
              </w:rPr>
              <w:t>-1 019</w:t>
            </w:r>
          </w:p>
        </w:tc>
        <w:tc>
          <w:tcPr>
            <w:tcW w:w="992" w:type="dxa"/>
            <w:tcBorders>
              <w:top w:val="nil"/>
              <w:left w:val="single" w:sz="4" w:space="0" w:color="auto"/>
              <w:bottom w:val="nil"/>
              <w:right w:val="single" w:sz="4" w:space="0" w:color="auto"/>
            </w:tcBorders>
          </w:tcPr>
          <w:p w14:paraId="115B41E5" w14:textId="77777777" w:rsidR="0084299B" w:rsidRPr="0084299B" w:rsidRDefault="0084299B" w:rsidP="0084299B">
            <w:pPr>
              <w:ind w:right="170"/>
              <w:jc w:val="right"/>
              <w:rPr>
                <w:rFonts w:eastAsia="Times New Roman"/>
                <w:sz w:val="18"/>
                <w:szCs w:val="18"/>
              </w:rPr>
            </w:pPr>
            <w:r w:rsidRPr="0084299B">
              <w:rPr>
                <w:rFonts w:eastAsia="Times New Roman"/>
                <w:sz w:val="18"/>
                <w:szCs w:val="18"/>
              </w:rPr>
              <w:t>-404</w:t>
            </w:r>
          </w:p>
        </w:tc>
        <w:tc>
          <w:tcPr>
            <w:tcW w:w="1134" w:type="dxa"/>
            <w:tcBorders>
              <w:top w:val="nil"/>
              <w:left w:val="single" w:sz="4" w:space="0" w:color="auto"/>
              <w:bottom w:val="nil"/>
              <w:right w:val="single" w:sz="4" w:space="0" w:color="auto"/>
            </w:tcBorders>
          </w:tcPr>
          <w:p w14:paraId="74FB9F57" w14:textId="77777777" w:rsidR="0084299B" w:rsidRPr="0084299B" w:rsidRDefault="0084299B" w:rsidP="0084299B">
            <w:pPr>
              <w:ind w:right="227"/>
              <w:jc w:val="right"/>
              <w:rPr>
                <w:rFonts w:eastAsia="Times New Roman"/>
                <w:sz w:val="18"/>
                <w:szCs w:val="18"/>
              </w:rPr>
            </w:pPr>
            <w:r w:rsidRPr="0084299B">
              <w:rPr>
                <w:rFonts w:eastAsia="Times New Roman"/>
                <w:sz w:val="18"/>
                <w:szCs w:val="18"/>
              </w:rPr>
              <w:t>-1 423</w:t>
            </w:r>
          </w:p>
        </w:tc>
      </w:tr>
      <w:tr w:rsidR="0084299B" w:rsidRPr="0084299B" w14:paraId="0A61E860" w14:textId="77777777" w:rsidTr="00D46FA9">
        <w:trPr>
          <w:jc w:val="center"/>
        </w:trPr>
        <w:tc>
          <w:tcPr>
            <w:tcW w:w="2268" w:type="dxa"/>
            <w:tcBorders>
              <w:top w:val="nil"/>
              <w:left w:val="single" w:sz="4" w:space="0" w:color="auto"/>
              <w:bottom w:val="single" w:sz="4" w:space="0" w:color="auto"/>
              <w:right w:val="single" w:sz="4" w:space="0" w:color="auto"/>
            </w:tcBorders>
          </w:tcPr>
          <w:p w14:paraId="10CFE89A" w14:textId="77777777" w:rsidR="0084299B" w:rsidRPr="0084299B" w:rsidRDefault="0084299B" w:rsidP="0084299B">
            <w:pPr>
              <w:ind w:right="57"/>
              <w:rPr>
                <w:rFonts w:eastAsia="Times New Roman"/>
                <w:sz w:val="18"/>
                <w:szCs w:val="18"/>
              </w:rPr>
            </w:pPr>
            <w:r w:rsidRPr="0084299B">
              <w:rPr>
                <w:rFonts w:eastAsia="Times New Roman"/>
                <w:sz w:val="18"/>
                <w:szCs w:val="18"/>
              </w:rPr>
              <w:t xml:space="preserve">     No petroleras</w:t>
            </w:r>
          </w:p>
        </w:tc>
        <w:tc>
          <w:tcPr>
            <w:tcW w:w="993" w:type="dxa"/>
            <w:tcBorders>
              <w:top w:val="nil"/>
              <w:left w:val="single" w:sz="4" w:space="0" w:color="auto"/>
              <w:bottom w:val="single" w:sz="4" w:space="0" w:color="auto"/>
              <w:right w:val="single" w:sz="4" w:space="0" w:color="auto"/>
            </w:tcBorders>
          </w:tcPr>
          <w:p w14:paraId="131B259A" w14:textId="77777777" w:rsidR="0084299B" w:rsidRPr="0084299B" w:rsidRDefault="0084299B" w:rsidP="0084299B">
            <w:pPr>
              <w:ind w:right="113"/>
              <w:jc w:val="right"/>
              <w:rPr>
                <w:rFonts w:eastAsia="Times New Roman"/>
                <w:sz w:val="18"/>
                <w:szCs w:val="18"/>
              </w:rPr>
            </w:pPr>
            <w:r w:rsidRPr="0084299B">
              <w:rPr>
                <w:rFonts w:eastAsia="Times New Roman"/>
                <w:sz w:val="18"/>
                <w:szCs w:val="18"/>
              </w:rPr>
              <w:t>-9 809</w:t>
            </w:r>
          </w:p>
        </w:tc>
        <w:tc>
          <w:tcPr>
            <w:tcW w:w="992" w:type="dxa"/>
            <w:tcBorders>
              <w:top w:val="nil"/>
              <w:left w:val="single" w:sz="4" w:space="0" w:color="auto"/>
              <w:bottom w:val="single" w:sz="4" w:space="0" w:color="auto"/>
              <w:right w:val="single" w:sz="4" w:space="0" w:color="auto"/>
            </w:tcBorders>
          </w:tcPr>
          <w:p w14:paraId="137E4DA1" w14:textId="77777777" w:rsidR="0084299B" w:rsidRPr="0084299B" w:rsidRDefault="0084299B" w:rsidP="0084299B">
            <w:pPr>
              <w:ind w:right="113"/>
              <w:jc w:val="right"/>
              <w:rPr>
                <w:rFonts w:eastAsia="Times New Roman"/>
                <w:sz w:val="18"/>
                <w:szCs w:val="18"/>
              </w:rPr>
            </w:pPr>
            <w:r w:rsidRPr="0084299B">
              <w:rPr>
                <w:rFonts w:eastAsia="Times New Roman"/>
                <w:sz w:val="18"/>
                <w:szCs w:val="18"/>
              </w:rPr>
              <w:t>-3 931</w:t>
            </w:r>
          </w:p>
        </w:tc>
        <w:tc>
          <w:tcPr>
            <w:tcW w:w="992" w:type="dxa"/>
            <w:tcBorders>
              <w:top w:val="nil"/>
              <w:left w:val="single" w:sz="4" w:space="0" w:color="auto"/>
              <w:bottom w:val="single" w:sz="4" w:space="0" w:color="auto"/>
              <w:right w:val="single" w:sz="4" w:space="0" w:color="auto"/>
            </w:tcBorders>
          </w:tcPr>
          <w:p w14:paraId="6F74D44E" w14:textId="77777777" w:rsidR="0084299B" w:rsidRPr="0084299B" w:rsidRDefault="0084299B" w:rsidP="0084299B">
            <w:pPr>
              <w:ind w:right="170"/>
              <w:jc w:val="right"/>
              <w:rPr>
                <w:rFonts w:eastAsia="Times New Roman"/>
                <w:sz w:val="18"/>
                <w:szCs w:val="18"/>
              </w:rPr>
            </w:pPr>
            <w:r w:rsidRPr="0084299B">
              <w:rPr>
                <w:rFonts w:eastAsia="Times New Roman"/>
                <w:sz w:val="18"/>
                <w:szCs w:val="18"/>
              </w:rPr>
              <w:t>-2 228</w:t>
            </w:r>
          </w:p>
        </w:tc>
        <w:tc>
          <w:tcPr>
            <w:tcW w:w="992" w:type="dxa"/>
            <w:tcBorders>
              <w:top w:val="nil"/>
              <w:left w:val="single" w:sz="4" w:space="0" w:color="auto"/>
              <w:bottom w:val="single" w:sz="4" w:space="0" w:color="auto"/>
              <w:right w:val="single" w:sz="4" w:space="0" w:color="auto"/>
            </w:tcBorders>
          </w:tcPr>
          <w:p w14:paraId="7001A4BA" w14:textId="77777777" w:rsidR="0084299B" w:rsidRPr="0084299B" w:rsidRDefault="0084299B" w:rsidP="0084299B">
            <w:pPr>
              <w:ind w:right="170"/>
              <w:jc w:val="right"/>
              <w:rPr>
                <w:rFonts w:eastAsia="Times New Roman"/>
                <w:sz w:val="18"/>
                <w:szCs w:val="18"/>
              </w:rPr>
            </w:pPr>
            <w:r w:rsidRPr="0084299B">
              <w:rPr>
                <w:rFonts w:eastAsia="Times New Roman"/>
                <w:sz w:val="18"/>
                <w:szCs w:val="18"/>
              </w:rPr>
              <w:t>962</w:t>
            </w:r>
          </w:p>
        </w:tc>
        <w:tc>
          <w:tcPr>
            <w:tcW w:w="1134" w:type="dxa"/>
            <w:tcBorders>
              <w:top w:val="nil"/>
              <w:left w:val="single" w:sz="4" w:space="0" w:color="auto"/>
              <w:bottom w:val="single" w:sz="4" w:space="0" w:color="auto"/>
              <w:right w:val="single" w:sz="4" w:space="0" w:color="auto"/>
            </w:tcBorders>
          </w:tcPr>
          <w:p w14:paraId="0A195F19" w14:textId="77777777" w:rsidR="0084299B" w:rsidRPr="0084299B" w:rsidRDefault="0084299B" w:rsidP="0084299B">
            <w:pPr>
              <w:ind w:right="227"/>
              <w:jc w:val="right"/>
              <w:rPr>
                <w:rFonts w:eastAsia="Times New Roman"/>
                <w:sz w:val="18"/>
                <w:szCs w:val="18"/>
              </w:rPr>
            </w:pPr>
            <w:r w:rsidRPr="0084299B">
              <w:rPr>
                <w:rFonts w:eastAsia="Times New Roman"/>
                <w:sz w:val="18"/>
                <w:szCs w:val="18"/>
              </w:rPr>
              <w:t>-1 266</w:t>
            </w:r>
          </w:p>
        </w:tc>
      </w:tr>
      <w:tr w:rsidR="0084299B" w:rsidRPr="0084299B" w14:paraId="56E64080" w14:textId="77777777" w:rsidTr="00EA3974">
        <w:trPr>
          <w:jc w:val="center"/>
        </w:trPr>
        <w:tc>
          <w:tcPr>
            <w:tcW w:w="7371" w:type="dxa"/>
            <w:gridSpan w:val="6"/>
            <w:tcBorders>
              <w:left w:val="nil"/>
              <w:bottom w:val="nil"/>
              <w:right w:val="nil"/>
            </w:tcBorders>
          </w:tcPr>
          <w:p w14:paraId="691C5761" w14:textId="77777777" w:rsidR="0084299B" w:rsidRPr="0084299B" w:rsidRDefault="0084299B" w:rsidP="0084299B">
            <w:pPr>
              <w:ind w:right="227"/>
              <w:rPr>
                <w:rFonts w:eastAsia="Times New Roman"/>
                <w:sz w:val="18"/>
                <w:szCs w:val="18"/>
              </w:rPr>
            </w:pPr>
            <w:r w:rsidRPr="0084299B">
              <w:rPr>
                <w:rFonts w:eastAsia="Times New Roman"/>
                <w:sz w:val="18"/>
                <w:szCs w:val="18"/>
              </w:rPr>
              <w:t>* Cifras oportunas.</w:t>
            </w:r>
          </w:p>
          <w:p w14:paraId="7F512064" w14:textId="77777777" w:rsidR="0084299B" w:rsidRPr="0084299B" w:rsidRDefault="0084299B" w:rsidP="0084299B">
            <w:pPr>
              <w:ind w:left="454" w:hanging="454"/>
              <w:jc w:val="both"/>
              <w:rPr>
                <w:rFonts w:eastAsia="Times New Roman"/>
                <w:sz w:val="18"/>
                <w:szCs w:val="18"/>
              </w:rPr>
            </w:pPr>
            <w:r w:rsidRPr="0084299B">
              <w:rPr>
                <w:rFonts w:eastAsia="Times New Roman"/>
                <w:sz w:val="18"/>
                <w:szCs w:val="18"/>
              </w:rPr>
              <w:t>Nota: La suma de los componentes que integran la estadística de la balanza comercial de mercancías de México que se presenta en este reporte puede no coincidir con los totales debido al redondeo de las cifras.</w:t>
            </w:r>
          </w:p>
          <w:p w14:paraId="66549BB4" w14:textId="77777777" w:rsidR="0084299B" w:rsidRPr="0084299B" w:rsidRDefault="0084299B" w:rsidP="0084299B">
            <w:pPr>
              <w:ind w:right="227"/>
              <w:rPr>
                <w:rFonts w:eastAsia="Times New Roman"/>
                <w:sz w:val="18"/>
                <w:szCs w:val="18"/>
              </w:rPr>
            </w:pPr>
            <w:r w:rsidRPr="0084299B">
              <w:rPr>
                <w:rFonts w:eastAsia="Times New Roman"/>
                <w:sz w:val="18"/>
                <w:szCs w:val="18"/>
              </w:rPr>
              <w:t>FUENTE: INEGI.</w:t>
            </w:r>
          </w:p>
        </w:tc>
      </w:tr>
    </w:tbl>
    <w:p w14:paraId="5A454EDB" w14:textId="77777777" w:rsidR="0084299B" w:rsidRPr="0084299B" w:rsidRDefault="0084299B" w:rsidP="0084299B">
      <w:pPr>
        <w:spacing w:after="360" w:line="360" w:lineRule="auto"/>
        <w:ind w:right="-159"/>
        <w:jc w:val="both"/>
        <w:rPr>
          <w:sz w:val="26"/>
          <w:szCs w:val="26"/>
          <w:lang w:val="es-ES"/>
        </w:rPr>
      </w:pPr>
    </w:p>
    <w:p w14:paraId="2FEF1807" w14:textId="77777777" w:rsidR="0084299B" w:rsidRPr="0084299B" w:rsidRDefault="0084299B" w:rsidP="0084299B">
      <w:pPr>
        <w:spacing w:after="360" w:line="360" w:lineRule="auto"/>
        <w:ind w:right="-159"/>
        <w:jc w:val="both"/>
        <w:rPr>
          <w:sz w:val="26"/>
          <w:szCs w:val="26"/>
          <w:lang w:val="es-ES"/>
        </w:rPr>
      </w:pPr>
      <w:r w:rsidRPr="0084299B">
        <w:rPr>
          <w:sz w:val="26"/>
          <w:szCs w:val="26"/>
          <w:lang w:val="es-ES"/>
        </w:rPr>
        <w:t xml:space="preserve">El valor de las exportaciones petroleras en febrero pasado fue de 2 mil 84.8 millones de dólares. Este monto se integró por 1 mil 713 millones de dólares de ventas de </w:t>
      </w:r>
      <w:r w:rsidRPr="0084299B">
        <w:rPr>
          <w:sz w:val="26"/>
          <w:szCs w:val="26"/>
          <w:lang w:val="es-ES"/>
        </w:rPr>
        <w:lastRenderedPageBreak/>
        <w:t>petróleo crudo</w:t>
      </w:r>
      <w:r w:rsidRPr="0084299B">
        <w:rPr>
          <w:sz w:val="26"/>
          <w:szCs w:val="26"/>
          <w:vertAlign w:val="superscript"/>
          <w:lang w:val="es-ES"/>
        </w:rPr>
        <w:footnoteReference w:id="1"/>
      </w:r>
      <w:r w:rsidRPr="0084299B">
        <w:rPr>
          <w:sz w:val="26"/>
          <w:szCs w:val="26"/>
          <w:lang w:val="es-ES"/>
        </w:rPr>
        <w:t xml:space="preserve"> y por 372 millones de dólares de exportaciones de otros productos petroleros. En ese mes, el precio promedio de la mezcla mexicana de crudo de exportación se situó en 46.88 dólares por barril, nivel superior en 6.73 dólares respecto al del mes previo, pero inferior en 46.21 dólares en comparación con el de febrero de 2014. En cuanto al volumen de crudo exportado, éste se ubicó en el mes que se reporta en 1.305 millones de barriles diarios, cifra mayor a la de 1.261 millones de barriles diarios de enero de 2015 y a la de 1.275 millones de barriles diarios de febrero de 2014.</w:t>
      </w:r>
    </w:p>
    <w:p w14:paraId="027990AD" w14:textId="77777777" w:rsidR="0084299B" w:rsidRPr="0084299B" w:rsidRDefault="0084299B" w:rsidP="0084299B">
      <w:pPr>
        <w:spacing w:after="360" w:line="360" w:lineRule="auto"/>
        <w:ind w:right="-159"/>
        <w:jc w:val="both"/>
        <w:rPr>
          <w:b/>
          <w:sz w:val="26"/>
          <w:szCs w:val="26"/>
          <w:lang w:val="es-ES_tradnl"/>
        </w:rPr>
      </w:pPr>
      <w:r w:rsidRPr="0084299B">
        <w:rPr>
          <w:b/>
          <w:sz w:val="26"/>
          <w:szCs w:val="26"/>
          <w:lang w:val="es-ES_tradnl"/>
        </w:rPr>
        <w:t>Exportaciones Totales de Mercancías</w:t>
      </w:r>
    </w:p>
    <w:p w14:paraId="0CAFDEF2" w14:textId="77777777" w:rsidR="0084299B" w:rsidRPr="0084299B" w:rsidRDefault="0084299B" w:rsidP="0084299B">
      <w:pPr>
        <w:spacing w:after="360" w:line="360" w:lineRule="auto"/>
        <w:ind w:right="-159"/>
        <w:jc w:val="both"/>
        <w:rPr>
          <w:sz w:val="26"/>
          <w:szCs w:val="26"/>
          <w:lang w:val="es-ES_tradnl"/>
        </w:rPr>
      </w:pPr>
      <w:r w:rsidRPr="0084299B">
        <w:rPr>
          <w:sz w:val="26"/>
          <w:szCs w:val="26"/>
          <w:lang w:val="es-ES_tradnl"/>
        </w:rPr>
        <w:t xml:space="preserve">El valor de las exportaciones de mercancías en febrero de este año ascendió a 29 mil 682.6 millones de dólares, monto menor en 2.6% al reportado en igual mes de 2014. Dicha tasa fue resultado neto de un crecimiento de 4% en las exportaciones no petroleras y de una disminución de 46.9% en las petroleras. Al interior </w:t>
      </w:r>
      <w:r w:rsidRPr="005C693D">
        <w:rPr>
          <w:sz w:val="26"/>
          <w:szCs w:val="26"/>
          <w:lang w:val="es-ES_tradnl"/>
        </w:rPr>
        <w:t>de</w:t>
      </w:r>
      <w:r w:rsidRPr="0084299B">
        <w:rPr>
          <w:sz w:val="26"/>
          <w:szCs w:val="26"/>
          <w:lang w:val="es-ES_tradnl"/>
        </w:rPr>
        <w:t xml:space="preserve"> las no petroleras, las dirigidas a Estados Unidos de Norteamérica aumentaron 4.2% a tasa anual, mientras que las canalizadas al resto del mundo lo hicieron en 3 por ciento.</w:t>
      </w:r>
    </w:p>
    <w:p w14:paraId="52088FD4" w14:textId="77777777" w:rsidR="0084299B" w:rsidRPr="0084299B" w:rsidRDefault="0084299B" w:rsidP="0084299B">
      <w:pPr>
        <w:spacing w:after="360" w:line="360" w:lineRule="auto"/>
        <w:ind w:right="-159"/>
        <w:jc w:val="center"/>
        <w:rPr>
          <w:sz w:val="26"/>
          <w:szCs w:val="26"/>
          <w:lang w:val="es-ES_tradnl"/>
        </w:rPr>
      </w:pPr>
      <w:r w:rsidRPr="0084299B">
        <w:rPr>
          <w:rFonts w:ascii="Calibri" w:eastAsia="Calibri" w:hAnsi="Calibri"/>
          <w:sz w:val="22"/>
          <w:szCs w:val="22"/>
          <w:lang w:eastAsia="en-US"/>
        </w:rPr>
        <w:lastRenderedPageBreak/>
        <w:fldChar w:fldCharType="begin"/>
      </w:r>
      <w:r w:rsidRPr="0084299B">
        <w:rPr>
          <w:rFonts w:ascii="Calibri" w:eastAsia="Calibri" w:hAnsi="Calibri"/>
          <w:sz w:val="22"/>
          <w:szCs w:val="22"/>
          <w:lang w:eastAsia="en-US"/>
        </w:rPr>
        <w:instrText xml:space="preserve"> LINK PowerPoint.Slide.8 "D:\\2015\\ABRIL\\GRÁFICAS POWER POINT\\3.- GRÁFICAS DE BAL COM.pptx!287" "" \a \p </w:instrText>
      </w:r>
      <w:r w:rsidRPr="0084299B">
        <w:rPr>
          <w:rFonts w:ascii="Calibri" w:eastAsia="Calibri" w:hAnsi="Calibri"/>
          <w:sz w:val="22"/>
          <w:szCs w:val="22"/>
          <w:lang w:eastAsia="en-US"/>
        </w:rPr>
        <w:fldChar w:fldCharType="separate"/>
      </w:r>
      <w:r w:rsidRPr="0084299B">
        <w:rPr>
          <w:rFonts w:ascii="Calibri" w:eastAsia="Calibri" w:hAnsi="Calibri"/>
          <w:noProof/>
          <w:sz w:val="22"/>
          <w:szCs w:val="22"/>
          <w:lang w:eastAsia="es-MX"/>
        </w:rPr>
        <w:drawing>
          <wp:inline distT="0" distB="0" distL="0" distR="0" wp14:anchorId="5675AF81" wp14:editId="7BDAC3A6">
            <wp:extent cx="4757420" cy="3385820"/>
            <wp:effectExtent l="0" t="0" r="5080" b="508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10" cstate="print">
                      <a:extLst>
                        <a:ext uri="{28A0092B-C50C-407E-A947-70E740481C1C}">
                          <a14:useLocalDpi xmlns:a14="http://schemas.microsoft.com/office/drawing/2010/main" val="0"/>
                        </a:ext>
                      </a:extLst>
                    </a:blip>
                    <a:srcRect l="10329" r="11424"/>
                    <a:stretch>
                      <a:fillRect/>
                    </a:stretch>
                  </pic:blipFill>
                  <pic:spPr bwMode="auto">
                    <a:xfrm>
                      <a:off x="0" y="0"/>
                      <a:ext cx="4757420" cy="3385820"/>
                    </a:xfrm>
                    <a:prstGeom prst="rect">
                      <a:avLst/>
                    </a:prstGeom>
                    <a:noFill/>
                    <a:ln>
                      <a:noFill/>
                    </a:ln>
                  </pic:spPr>
                </pic:pic>
              </a:graphicData>
            </a:graphic>
          </wp:inline>
        </w:drawing>
      </w:r>
      <w:r w:rsidRPr="0084299B">
        <w:rPr>
          <w:rFonts w:ascii="Calibri" w:eastAsia="Calibri" w:hAnsi="Calibri"/>
          <w:sz w:val="22"/>
          <w:szCs w:val="22"/>
          <w:lang w:eastAsia="en-US"/>
        </w:rPr>
        <w:fldChar w:fldCharType="end"/>
      </w:r>
    </w:p>
    <w:p w14:paraId="2D82A567" w14:textId="77777777" w:rsidR="0084299B" w:rsidRPr="0084299B" w:rsidRDefault="0084299B" w:rsidP="0084299B">
      <w:pPr>
        <w:spacing w:after="360" w:line="360" w:lineRule="auto"/>
        <w:ind w:right="-159"/>
        <w:jc w:val="both"/>
        <w:rPr>
          <w:sz w:val="26"/>
          <w:szCs w:val="26"/>
          <w:lang w:val="es-ES_tradnl"/>
        </w:rPr>
      </w:pPr>
    </w:p>
    <w:tbl>
      <w:tblPr>
        <w:tblW w:w="7655" w:type="dxa"/>
        <w:jc w:val="center"/>
        <w:tblLayout w:type="fixed"/>
        <w:tblLook w:val="04A0" w:firstRow="1" w:lastRow="0" w:firstColumn="1" w:lastColumn="0" w:noHBand="0" w:noVBand="1"/>
      </w:tblPr>
      <w:tblGrid>
        <w:gridCol w:w="2911"/>
        <w:gridCol w:w="1484"/>
        <w:gridCol w:w="708"/>
        <w:gridCol w:w="709"/>
        <w:gridCol w:w="851"/>
        <w:gridCol w:w="992"/>
      </w:tblGrid>
      <w:tr w:rsidR="0084299B" w:rsidRPr="0084299B" w14:paraId="706CD518" w14:textId="77777777" w:rsidTr="00D46FA9">
        <w:trPr>
          <w:jc w:val="center"/>
        </w:trPr>
        <w:tc>
          <w:tcPr>
            <w:tcW w:w="7655" w:type="dxa"/>
            <w:gridSpan w:val="6"/>
            <w:tcBorders>
              <w:top w:val="nil"/>
              <w:left w:val="nil"/>
              <w:bottom w:val="single" w:sz="4" w:space="0" w:color="auto"/>
              <w:right w:val="nil"/>
            </w:tcBorders>
          </w:tcPr>
          <w:p w14:paraId="08103278" w14:textId="77777777" w:rsidR="0084299B" w:rsidRPr="00D46FA9" w:rsidRDefault="0084299B" w:rsidP="00D46FA9">
            <w:pPr>
              <w:jc w:val="center"/>
              <w:rPr>
                <w:rFonts w:eastAsia="Times New Roman"/>
                <w:b/>
                <w:sz w:val="18"/>
                <w:szCs w:val="18"/>
              </w:rPr>
            </w:pPr>
            <w:r w:rsidRPr="00D46FA9">
              <w:rPr>
                <w:rFonts w:eastAsia="Times New Roman"/>
                <w:b/>
                <w:sz w:val="18"/>
                <w:szCs w:val="18"/>
              </w:rPr>
              <w:t>EXPORTACIONES NO PETROLERAS A DISTINTOS MERCADOS</w:t>
            </w:r>
          </w:p>
        </w:tc>
      </w:tr>
      <w:tr w:rsidR="0084299B" w:rsidRPr="0084299B" w14:paraId="1EC197BB" w14:textId="77777777" w:rsidTr="00D46FA9">
        <w:trPr>
          <w:trHeight w:val="220"/>
          <w:jc w:val="center"/>
        </w:trPr>
        <w:tc>
          <w:tcPr>
            <w:tcW w:w="2911" w:type="dxa"/>
            <w:vMerge w:val="restart"/>
            <w:tcBorders>
              <w:top w:val="single" w:sz="4" w:space="0" w:color="auto"/>
              <w:left w:val="single" w:sz="4" w:space="0" w:color="auto"/>
              <w:bottom w:val="single" w:sz="4" w:space="0" w:color="auto"/>
              <w:right w:val="single" w:sz="4" w:space="0" w:color="auto"/>
            </w:tcBorders>
            <w:vAlign w:val="center"/>
          </w:tcPr>
          <w:p w14:paraId="1A380011" w14:textId="77777777" w:rsidR="0084299B" w:rsidRPr="00D46FA9" w:rsidRDefault="0084299B" w:rsidP="00D46FA9">
            <w:pPr>
              <w:jc w:val="center"/>
              <w:rPr>
                <w:rFonts w:eastAsia="Times New Roman"/>
                <w:b/>
                <w:sz w:val="18"/>
                <w:szCs w:val="18"/>
              </w:rPr>
            </w:pPr>
            <w:r w:rsidRPr="00D46FA9">
              <w:rPr>
                <w:rFonts w:eastAsia="Times New Roman"/>
                <w:b/>
                <w:sz w:val="18"/>
                <w:szCs w:val="18"/>
              </w:rPr>
              <w:t>Concepto</w:t>
            </w:r>
          </w:p>
        </w:tc>
        <w:tc>
          <w:tcPr>
            <w:tcW w:w="1484" w:type="dxa"/>
            <w:vMerge w:val="restart"/>
            <w:tcBorders>
              <w:top w:val="single" w:sz="4" w:space="0" w:color="auto"/>
              <w:left w:val="single" w:sz="4" w:space="0" w:color="auto"/>
              <w:bottom w:val="single" w:sz="4" w:space="0" w:color="auto"/>
              <w:right w:val="single" w:sz="4" w:space="0" w:color="auto"/>
            </w:tcBorders>
            <w:vAlign w:val="center"/>
          </w:tcPr>
          <w:p w14:paraId="716759E0" w14:textId="77777777" w:rsidR="0084299B" w:rsidRPr="00D46FA9" w:rsidRDefault="0084299B" w:rsidP="00D46FA9">
            <w:pPr>
              <w:ind w:left="-57" w:right="-57"/>
              <w:jc w:val="center"/>
              <w:rPr>
                <w:rFonts w:eastAsia="Times New Roman"/>
                <w:b/>
                <w:sz w:val="18"/>
                <w:szCs w:val="18"/>
              </w:rPr>
            </w:pPr>
            <w:r w:rsidRPr="00D46FA9">
              <w:rPr>
                <w:rFonts w:eastAsia="Times New Roman"/>
                <w:b/>
                <w:sz w:val="18"/>
                <w:szCs w:val="18"/>
              </w:rPr>
              <w:t>Estructura% Ene-Feb de 2015*</w:t>
            </w:r>
          </w:p>
        </w:tc>
        <w:tc>
          <w:tcPr>
            <w:tcW w:w="3260" w:type="dxa"/>
            <w:gridSpan w:val="4"/>
            <w:tcBorders>
              <w:top w:val="single" w:sz="4" w:space="0" w:color="auto"/>
              <w:left w:val="single" w:sz="4" w:space="0" w:color="auto"/>
              <w:bottom w:val="single" w:sz="4" w:space="0" w:color="auto"/>
              <w:right w:val="single" w:sz="4" w:space="0" w:color="auto"/>
            </w:tcBorders>
          </w:tcPr>
          <w:p w14:paraId="24EFCE14" w14:textId="77777777" w:rsidR="0084299B" w:rsidRPr="00D46FA9" w:rsidRDefault="0084299B" w:rsidP="00D46FA9">
            <w:pPr>
              <w:jc w:val="center"/>
              <w:rPr>
                <w:rFonts w:eastAsia="Times New Roman"/>
                <w:b/>
                <w:sz w:val="18"/>
                <w:szCs w:val="18"/>
              </w:rPr>
            </w:pPr>
            <w:r w:rsidRPr="00D46FA9">
              <w:rPr>
                <w:rFonts w:eastAsia="Times New Roman"/>
                <w:b/>
                <w:sz w:val="18"/>
                <w:szCs w:val="18"/>
              </w:rPr>
              <w:t>Variación porcentual anual</w:t>
            </w:r>
          </w:p>
        </w:tc>
      </w:tr>
      <w:tr w:rsidR="0084299B" w:rsidRPr="0084299B" w14:paraId="35FB5A31" w14:textId="77777777" w:rsidTr="00D46FA9">
        <w:trPr>
          <w:trHeight w:val="424"/>
          <w:jc w:val="center"/>
        </w:trPr>
        <w:tc>
          <w:tcPr>
            <w:tcW w:w="2911" w:type="dxa"/>
            <w:vMerge/>
            <w:tcBorders>
              <w:top w:val="single" w:sz="4" w:space="0" w:color="auto"/>
              <w:left w:val="single" w:sz="4" w:space="0" w:color="auto"/>
              <w:bottom w:val="single" w:sz="4" w:space="0" w:color="auto"/>
              <w:right w:val="single" w:sz="4" w:space="0" w:color="auto"/>
            </w:tcBorders>
          </w:tcPr>
          <w:p w14:paraId="03E698D6" w14:textId="77777777" w:rsidR="0084299B" w:rsidRPr="00D46FA9" w:rsidRDefault="0084299B" w:rsidP="00D46FA9">
            <w:pPr>
              <w:rPr>
                <w:rFonts w:eastAsia="Times New Roman"/>
                <w:b/>
                <w:sz w:val="18"/>
                <w:szCs w:val="18"/>
              </w:rPr>
            </w:pPr>
          </w:p>
        </w:tc>
        <w:tc>
          <w:tcPr>
            <w:tcW w:w="1484" w:type="dxa"/>
            <w:vMerge/>
            <w:tcBorders>
              <w:top w:val="single" w:sz="4" w:space="0" w:color="auto"/>
              <w:left w:val="single" w:sz="4" w:space="0" w:color="auto"/>
              <w:bottom w:val="single" w:sz="4" w:space="0" w:color="auto"/>
              <w:right w:val="single" w:sz="4" w:space="0" w:color="auto"/>
            </w:tcBorders>
          </w:tcPr>
          <w:p w14:paraId="4081EA30" w14:textId="77777777" w:rsidR="0084299B" w:rsidRPr="00D46FA9" w:rsidRDefault="0084299B" w:rsidP="00D46FA9">
            <w:pPr>
              <w:jc w:val="center"/>
              <w:rPr>
                <w:rFonts w:eastAsia="Times New Roman"/>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5301FFDD" w14:textId="77777777" w:rsidR="0084299B" w:rsidRPr="00D46FA9" w:rsidRDefault="0084299B" w:rsidP="00D46FA9">
            <w:pPr>
              <w:tabs>
                <w:tab w:val="center" w:pos="388"/>
              </w:tabs>
              <w:jc w:val="center"/>
              <w:rPr>
                <w:rFonts w:eastAsia="Times New Roman"/>
                <w:b/>
                <w:sz w:val="18"/>
                <w:szCs w:val="18"/>
              </w:rPr>
            </w:pPr>
            <w:r w:rsidRPr="00D46FA9">
              <w:rPr>
                <w:rFonts w:eastAsia="Times New Roman"/>
                <w:b/>
                <w:sz w:val="18"/>
                <w:szCs w:val="18"/>
              </w:rPr>
              <w:t>2014</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C1A59E" w14:textId="77777777" w:rsidR="0084299B" w:rsidRPr="00D46FA9" w:rsidRDefault="0084299B" w:rsidP="00D46FA9">
            <w:pPr>
              <w:tabs>
                <w:tab w:val="center" w:pos="388"/>
              </w:tabs>
              <w:jc w:val="center"/>
              <w:rPr>
                <w:rFonts w:eastAsia="Times New Roman"/>
                <w:b/>
                <w:sz w:val="18"/>
                <w:szCs w:val="18"/>
              </w:rPr>
            </w:pPr>
            <w:r w:rsidRPr="00D46FA9">
              <w:rPr>
                <w:rFonts w:eastAsia="Times New Roman"/>
                <w:b/>
                <w:sz w:val="18"/>
                <w:szCs w:val="18"/>
              </w:rPr>
              <w:t>2015</w:t>
            </w:r>
          </w:p>
        </w:tc>
      </w:tr>
      <w:tr w:rsidR="0084299B" w:rsidRPr="0084299B" w14:paraId="319DFF3F" w14:textId="77777777" w:rsidTr="00D46FA9">
        <w:trPr>
          <w:trHeight w:val="424"/>
          <w:jc w:val="center"/>
        </w:trPr>
        <w:tc>
          <w:tcPr>
            <w:tcW w:w="2911" w:type="dxa"/>
            <w:vMerge/>
            <w:tcBorders>
              <w:top w:val="single" w:sz="4" w:space="0" w:color="auto"/>
              <w:left w:val="single" w:sz="4" w:space="0" w:color="auto"/>
              <w:bottom w:val="single" w:sz="4" w:space="0" w:color="auto"/>
              <w:right w:val="single" w:sz="4" w:space="0" w:color="auto"/>
            </w:tcBorders>
          </w:tcPr>
          <w:p w14:paraId="06BFE1B2" w14:textId="77777777" w:rsidR="0084299B" w:rsidRPr="00D46FA9" w:rsidRDefault="0084299B" w:rsidP="00D46FA9">
            <w:pPr>
              <w:rPr>
                <w:rFonts w:eastAsia="Times New Roman"/>
                <w:b/>
                <w:sz w:val="18"/>
                <w:szCs w:val="18"/>
              </w:rPr>
            </w:pPr>
          </w:p>
        </w:tc>
        <w:tc>
          <w:tcPr>
            <w:tcW w:w="1484" w:type="dxa"/>
            <w:vMerge/>
            <w:tcBorders>
              <w:top w:val="single" w:sz="4" w:space="0" w:color="auto"/>
              <w:left w:val="single" w:sz="4" w:space="0" w:color="auto"/>
              <w:bottom w:val="single" w:sz="4" w:space="0" w:color="auto"/>
              <w:right w:val="single" w:sz="4" w:space="0" w:color="auto"/>
            </w:tcBorders>
          </w:tcPr>
          <w:p w14:paraId="0A421F9E" w14:textId="77777777" w:rsidR="0084299B" w:rsidRPr="00D46FA9" w:rsidRDefault="0084299B" w:rsidP="00D46FA9">
            <w:pPr>
              <w:jc w:val="center"/>
              <w:rPr>
                <w:rFonts w:eastAsia="Times New Roman"/>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25C39B7C" w14:textId="77777777" w:rsidR="0084299B" w:rsidRPr="00D46FA9" w:rsidRDefault="0084299B" w:rsidP="00D46FA9">
            <w:pPr>
              <w:tabs>
                <w:tab w:val="center" w:pos="388"/>
              </w:tabs>
              <w:jc w:val="center"/>
              <w:rPr>
                <w:rFonts w:eastAsia="Times New Roman"/>
                <w:b/>
                <w:sz w:val="18"/>
                <w:szCs w:val="18"/>
              </w:rPr>
            </w:pPr>
            <w:r w:rsidRPr="00D46FA9">
              <w:rPr>
                <w:rFonts w:eastAsia="Times New Roman"/>
                <w:b/>
                <w:sz w:val="18"/>
                <w:szCs w:val="18"/>
              </w:rPr>
              <w:t>Anual</w:t>
            </w:r>
          </w:p>
        </w:tc>
        <w:tc>
          <w:tcPr>
            <w:tcW w:w="709" w:type="dxa"/>
            <w:tcBorders>
              <w:top w:val="single" w:sz="4" w:space="0" w:color="auto"/>
              <w:left w:val="single" w:sz="4" w:space="0" w:color="auto"/>
              <w:bottom w:val="single" w:sz="4" w:space="0" w:color="auto"/>
              <w:right w:val="single" w:sz="4" w:space="0" w:color="auto"/>
            </w:tcBorders>
            <w:vAlign w:val="center"/>
          </w:tcPr>
          <w:p w14:paraId="5C30A888" w14:textId="77777777" w:rsidR="0084299B" w:rsidRPr="00D46FA9" w:rsidRDefault="0084299B" w:rsidP="00D46FA9">
            <w:pPr>
              <w:tabs>
                <w:tab w:val="center" w:pos="388"/>
              </w:tabs>
              <w:jc w:val="center"/>
              <w:rPr>
                <w:rFonts w:eastAsia="Times New Roman"/>
                <w:b/>
                <w:sz w:val="18"/>
                <w:szCs w:val="18"/>
              </w:rPr>
            </w:pPr>
            <w:r w:rsidRPr="00D46FA9">
              <w:rPr>
                <w:rFonts w:eastAsia="Times New Roman"/>
                <w:b/>
                <w:sz w:val="18"/>
                <w:szCs w:val="18"/>
              </w:rPr>
              <w:t>Ene</w:t>
            </w:r>
          </w:p>
        </w:tc>
        <w:tc>
          <w:tcPr>
            <w:tcW w:w="851" w:type="dxa"/>
            <w:tcBorders>
              <w:top w:val="single" w:sz="4" w:space="0" w:color="auto"/>
              <w:left w:val="single" w:sz="4" w:space="0" w:color="auto"/>
              <w:bottom w:val="single" w:sz="4" w:space="0" w:color="auto"/>
              <w:right w:val="single" w:sz="4" w:space="0" w:color="auto"/>
            </w:tcBorders>
            <w:vAlign w:val="center"/>
          </w:tcPr>
          <w:p w14:paraId="51BE43FE" w14:textId="77777777" w:rsidR="0084299B" w:rsidRPr="00D46FA9" w:rsidRDefault="0084299B" w:rsidP="00D46FA9">
            <w:pPr>
              <w:tabs>
                <w:tab w:val="center" w:pos="388"/>
              </w:tabs>
              <w:jc w:val="center"/>
              <w:rPr>
                <w:rFonts w:eastAsia="Times New Roman"/>
                <w:b/>
                <w:sz w:val="18"/>
                <w:szCs w:val="18"/>
              </w:rPr>
            </w:pPr>
            <w:r w:rsidRPr="00D46FA9">
              <w:rPr>
                <w:rFonts w:eastAsia="Times New Roman"/>
                <w:b/>
                <w:sz w:val="18"/>
                <w:szCs w:val="18"/>
              </w:rPr>
              <w:t>Feb*</w:t>
            </w:r>
          </w:p>
        </w:tc>
        <w:tc>
          <w:tcPr>
            <w:tcW w:w="992" w:type="dxa"/>
            <w:tcBorders>
              <w:top w:val="single" w:sz="4" w:space="0" w:color="auto"/>
              <w:left w:val="single" w:sz="4" w:space="0" w:color="auto"/>
              <w:bottom w:val="single" w:sz="4" w:space="0" w:color="auto"/>
              <w:right w:val="single" w:sz="4" w:space="0" w:color="auto"/>
            </w:tcBorders>
            <w:vAlign w:val="center"/>
          </w:tcPr>
          <w:p w14:paraId="0B435845" w14:textId="77777777" w:rsidR="0084299B" w:rsidRPr="00D46FA9" w:rsidRDefault="0084299B" w:rsidP="00D46FA9">
            <w:pPr>
              <w:tabs>
                <w:tab w:val="center" w:pos="388"/>
              </w:tabs>
              <w:jc w:val="center"/>
              <w:rPr>
                <w:rFonts w:eastAsia="Times New Roman"/>
                <w:b/>
                <w:sz w:val="18"/>
                <w:szCs w:val="18"/>
              </w:rPr>
            </w:pPr>
            <w:r w:rsidRPr="00D46FA9">
              <w:rPr>
                <w:rFonts w:eastAsia="Times New Roman"/>
                <w:b/>
                <w:sz w:val="18"/>
                <w:szCs w:val="18"/>
              </w:rPr>
              <w:t>Ene-Feb*</w:t>
            </w:r>
          </w:p>
        </w:tc>
      </w:tr>
      <w:tr w:rsidR="0084299B" w:rsidRPr="0084299B" w14:paraId="507D8F31" w14:textId="77777777" w:rsidTr="00D46FA9">
        <w:trPr>
          <w:jc w:val="center"/>
        </w:trPr>
        <w:tc>
          <w:tcPr>
            <w:tcW w:w="2911" w:type="dxa"/>
            <w:tcBorders>
              <w:top w:val="single" w:sz="4" w:space="0" w:color="auto"/>
              <w:left w:val="single" w:sz="4" w:space="0" w:color="auto"/>
              <w:bottom w:val="nil"/>
              <w:right w:val="single" w:sz="4" w:space="0" w:color="auto"/>
            </w:tcBorders>
          </w:tcPr>
          <w:p w14:paraId="1555E5DC" w14:textId="77777777" w:rsidR="0084299B" w:rsidRPr="00D46FA9" w:rsidRDefault="0084299B" w:rsidP="00D46FA9">
            <w:pPr>
              <w:rPr>
                <w:rFonts w:eastAsia="Times New Roman"/>
                <w:b/>
                <w:sz w:val="18"/>
                <w:szCs w:val="18"/>
              </w:rPr>
            </w:pPr>
            <w:r w:rsidRPr="00D46FA9">
              <w:rPr>
                <w:rFonts w:eastAsia="Times New Roman"/>
                <w:b/>
                <w:sz w:val="18"/>
                <w:szCs w:val="18"/>
              </w:rPr>
              <w:t>Total</w:t>
            </w:r>
          </w:p>
        </w:tc>
        <w:tc>
          <w:tcPr>
            <w:tcW w:w="1484" w:type="dxa"/>
            <w:tcBorders>
              <w:top w:val="single" w:sz="4" w:space="0" w:color="auto"/>
              <w:left w:val="single" w:sz="4" w:space="0" w:color="auto"/>
              <w:bottom w:val="nil"/>
              <w:right w:val="single" w:sz="4" w:space="0" w:color="auto"/>
            </w:tcBorders>
          </w:tcPr>
          <w:p w14:paraId="1B5FF7D3" w14:textId="77777777" w:rsidR="0084299B" w:rsidRPr="00D46FA9" w:rsidRDefault="0084299B" w:rsidP="00D46FA9">
            <w:pPr>
              <w:ind w:right="397"/>
              <w:jc w:val="right"/>
              <w:rPr>
                <w:rFonts w:eastAsia="Times New Roman"/>
                <w:b/>
                <w:sz w:val="18"/>
                <w:szCs w:val="18"/>
              </w:rPr>
            </w:pPr>
            <w:r w:rsidRPr="00D46FA9">
              <w:rPr>
                <w:rFonts w:eastAsia="Times New Roman"/>
                <w:b/>
                <w:sz w:val="18"/>
                <w:szCs w:val="18"/>
              </w:rPr>
              <w:t>100.00</w:t>
            </w:r>
          </w:p>
        </w:tc>
        <w:tc>
          <w:tcPr>
            <w:tcW w:w="708" w:type="dxa"/>
            <w:tcBorders>
              <w:top w:val="single" w:sz="4" w:space="0" w:color="auto"/>
              <w:left w:val="single" w:sz="4" w:space="0" w:color="auto"/>
              <w:bottom w:val="nil"/>
              <w:right w:val="single" w:sz="4" w:space="0" w:color="auto"/>
            </w:tcBorders>
          </w:tcPr>
          <w:p w14:paraId="4BB31765" w14:textId="77777777" w:rsidR="0084299B" w:rsidRPr="00D46FA9" w:rsidRDefault="0084299B" w:rsidP="00D46FA9">
            <w:pPr>
              <w:ind w:right="113"/>
              <w:jc w:val="right"/>
              <w:rPr>
                <w:rFonts w:eastAsia="Times New Roman"/>
                <w:b/>
                <w:sz w:val="18"/>
                <w:szCs w:val="18"/>
              </w:rPr>
            </w:pPr>
            <w:r w:rsidRPr="00D46FA9">
              <w:rPr>
                <w:rFonts w:eastAsia="Times New Roman"/>
                <w:b/>
                <w:sz w:val="18"/>
                <w:szCs w:val="18"/>
              </w:rPr>
              <w:t>7.3</w:t>
            </w:r>
          </w:p>
        </w:tc>
        <w:tc>
          <w:tcPr>
            <w:tcW w:w="709" w:type="dxa"/>
            <w:tcBorders>
              <w:top w:val="single" w:sz="4" w:space="0" w:color="auto"/>
              <w:left w:val="single" w:sz="4" w:space="0" w:color="auto"/>
              <w:bottom w:val="nil"/>
              <w:right w:val="single" w:sz="4" w:space="0" w:color="auto"/>
            </w:tcBorders>
          </w:tcPr>
          <w:p w14:paraId="30954AF2" w14:textId="77777777" w:rsidR="0084299B" w:rsidRPr="00D46FA9" w:rsidRDefault="0084299B" w:rsidP="00D46FA9">
            <w:pPr>
              <w:ind w:right="113"/>
              <w:jc w:val="right"/>
              <w:rPr>
                <w:rFonts w:eastAsia="Times New Roman"/>
                <w:b/>
                <w:sz w:val="18"/>
                <w:szCs w:val="18"/>
              </w:rPr>
            </w:pPr>
            <w:r w:rsidRPr="00D46FA9">
              <w:rPr>
                <w:rFonts w:eastAsia="Times New Roman"/>
                <w:b/>
                <w:sz w:val="18"/>
                <w:szCs w:val="18"/>
              </w:rPr>
              <w:t>5.7</w:t>
            </w:r>
          </w:p>
        </w:tc>
        <w:tc>
          <w:tcPr>
            <w:tcW w:w="851" w:type="dxa"/>
            <w:tcBorders>
              <w:top w:val="single" w:sz="4" w:space="0" w:color="auto"/>
              <w:left w:val="single" w:sz="4" w:space="0" w:color="auto"/>
              <w:bottom w:val="nil"/>
              <w:right w:val="single" w:sz="4" w:space="0" w:color="auto"/>
            </w:tcBorders>
          </w:tcPr>
          <w:p w14:paraId="6A68E3CD" w14:textId="77777777" w:rsidR="0084299B" w:rsidRPr="00D46FA9" w:rsidRDefault="0084299B" w:rsidP="00D46FA9">
            <w:pPr>
              <w:ind w:right="227"/>
              <w:jc w:val="right"/>
              <w:rPr>
                <w:rFonts w:eastAsia="Times New Roman"/>
                <w:b/>
                <w:sz w:val="18"/>
                <w:szCs w:val="18"/>
              </w:rPr>
            </w:pPr>
            <w:r w:rsidRPr="00D46FA9">
              <w:rPr>
                <w:rFonts w:eastAsia="Times New Roman"/>
                <w:b/>
                <w:sz w:val="18"/>
                <w:szCs w:val="18"/>
              </w:rPr>
              <w:t>4.0</w:t>
            </w:r>
          </w:p>
        </w:tc>
        <w:tc>
          <w:tcPr>
            <w:tcW w:w="992" w:type="dxa"/>
            <w:tcBorders>
              <w:top w:val="single" w:sz="4" w:space="0" w:color="auto"/>
              <w:left w:val="single" w:sz="4" w:space="0" w:color="auto"/>
              <w:bottom w:val="nil"/>
              <w:right w:val="single" w:sz="4" w:space="0" w:color="auto"/>
            </w:tcBorders>
          </w:tcPr>
          <w:p w14:paraId="54F83106" w14:textId="77777777" w:rsidR="0084299B" w:rsidRPr="00D46FA9" w:rsidRDefault="0084299B" w:rsidP="00D46FA9">
            <w:pPr>
              <w:ind w:right="284"/>
              <w:jc w:val="right"/>
              <w:rPr>
                <w:rFonts w:eastAsia="Times New Roman"/>
                <w:b/>
                <w:sz w:val="18"/>
                <w:szCs w:val="18"/>
              </w:rPr>
            </w:pPr>
            <w:r w:rsidRPr="00D46FA9">
              <w:rPr>
                <w:rFonts w:eastAsia="Times New Roman"/>
                <w:b/>
                <w:sz w:val="18"/>
                <w:szCs w:val="18"/>
              </w:rPr>
              <w:t>4.8</w:t>
            </w:r>
          </w:p>
        </w:tc>
      </w:tr>
      <w:tr w:rsidR="0084299B" w:rsidRPr="0084299B" w14:paraId="10498F54" w14:textId="77777777" w:rsidTr="00D46FA9">
        <w:trPr>
          <w:jc w:val="center"/>
        </w:trPr>
        <w:tc>
          <w:tcPr>
            <w:tcW w:w="2911" w:type="dxa"/>
            <w:tcBorders>
              <w:top w:val="nil"/>
              <w:left w:val="single" w:sz="4" w:space="0" w:color="auto"/>
              <w:bottom w:val="nil"/>
              <w:right w:val="single" w:sz="4" w:space="0" w:color="auto"/>
            </w:tcBorders>
          </w:tcPr>
          <w:p w14:paraId="7BEB26BC" w14:textId="77777777" w:rsidR="0084299B" w:rsidRPr="00D46FA9" w:rsidRDefault="0084299B" w:rsidP="00D46FA9">
            <w:pPr>
              <w:rPr>
                <w:rFonts w:eastAsia="Times New Roman"/>
                <w:b/>
                <w:sz w:val="18"/>
                <w:szCs w:val="18"/>
              </w:rPr>
            </w:pPr>
            <w:r w:rsidRPr="00D46FA9">
              <w:rPr>
                <w:rFonts w:eastAsia="Times New Roman"/>
                <w:b/>
                <w:sz w:val="18"/>
                <w:szCs w:val="18"/>
              </w:rPr>
              <w:t xml:space="preserve">  Estados Unidos de Norteamérica</w:t>
            </w:r>
          </w:p>
        </w:tc>
        <w:tc>
          <w:tcPr>
            <w:tcW w:w="1484" w:type="dxa"/>
            <w:tcBorders>
              <w:top w:val="nil"/>
              <w:left w:val="single" w:sz="4" w:space="0" w:color="auto"/>
              <w:bottom w:val="nil"/>
              <w:right w:val="single" w:sz="4" w:space="0" w:color="auto"/>
            </w:tcBorders>
          </w:tcPr>
          <w:p w14:paraId="0739F5A2" w14:textId="77777777" w:rsidR="0084299B" w:rsidRPr="00D46FA9" w:rsidRDefault="0084299B" w:rsidP="00D46FA9">
            <w:pPr>
              <w:ind w:right="397"/>
              <w:jc w:val="right"/>
              <w:rPr>
                <w:rFonts w:eastAsia="Times New Roman"/>
                <w:b/>
                <w:sz w:val="18"/>
                <w:szCs w:val="18"/>
              </w:rPr>
            </w:pPr>
            <w:r w:rsidRPr="00D46FA9">
              <w:rPr>
                <w:rFonts w:eastAsia="Times New Roman"/>
                <w:b/>
                <w:sz w:val="18"/>
                <w:szCs w:val="18"/>
              </w:rPr>
              <w:t>81.25</w:t>
            </w:r>
          </w:p>
        </w:tc>
        <w:tc>
          <w:tcPr>
            <w:tcW w:w="708" w:type="dxa"/>
            <w:tcBorders>
              <w:top w:val="nil"/>
              <w:left w:val="single" w:sz="4" w:space="0" w:color="auto"/>
              <w:bottom w:val="nil"/>
              <w:right w:val="single" w:sz="4" w:space="0" w:color="auto"/>
            </w:tcBorders>
          </w:tcPr>
          <w:p w14:paraId="5590FABA" w14:textId="77777777" w:rsidR="0084299B" w:rsidRPr="00D46FA9" w:rsidRDefault="0084299B" w:rsidP="00D46FA9">
            <w:pPr>
              <w:ind w:right="113"/>
              <w:jc w:val="right"/>
              <w:rPr>
                <w:rFonts w:eastAsia="Times New Roman"/>
                <w:b/>
                <w:sz w:val="18"/>
                <w:szCs w:val="18"/>
              </w:rPr>
            </w:pPr>
            <w:r w:rsidRPr="00D46FA9">
              <w:rPr>
                <w:rFonts w:eastAsia="Times New Roman"/>
                <w:b/>
                <w:sz w:val="18"/>
                <w:szCs w:val="18"/>
              </w:rPr>
              <w:t>9.4</w:t>
            </w:r>
          </w:p>
        </w:tc>
        <w:tc>
          <w:tcPr>
            <w:tcW w:w="709" w:type="dxa"/>
            <w:tcBorders>
              <w:top w:val="nil"/>
              <w:left w:val="single" w:sz="4" w:space="0" w:color="auto"/>
              <w:bottom w:val="nil"/>
              <w:right w:val="single" w:sz="4" w:space="0" w:color="auto"/>
            </w:tcBorders>
          </w:tcPr>
          <w:p w14:paraId="35EF9839" w14:textId="77777777" w:rsidR="0084299B" w:rsidRPr="00D46FA9" w:rsidRDefault="0084299B" w:rsidP="00D46FA9">
            <w:pPr>
              <w:ind w:right="113"/>
              <w:jc w:val="right"/>
              <w:rPr>
                <w:rFonts w:eastAsia="Times New Roman"/>
                <w:b/>
                <w:sz w:val="18"/>
                <w:szCs w:val="18"/>
              </w:rPr>
            </w:pPr>
            <w:r w:rsidRPr="00D46FA9">
              <w:rPr>
                <w:rFonts w:eastAsia="Times New Roman"/>
                <w:b/>
                <w:sz w:val="18"/>
                <w:szCs w:val="18"/>
              </w:rPr>
              <w:t>7.3</w:t>
            </w:r>
          </w:p>
        </w:tc>
        <w:tc>
          <w:tcPr>
            <w:tcW w:w="851" w:type="dxa"/>
            <w:tcBorders>
              <w:top w:val="nil"/>
              <w:left w:val="single" w:sz="4" w:space="0" w:color="auto"/>
              <w:bottom w:val="nil"/>
              <w:right w:val="single" w:sz="4" w:space="0" w:color="auto"/>
            </w:tcBorders>
          </w:tcPr>
          <w:p w14:paraId="43AF96B4" w14:textId="77777777" w:rsidR="0084299B" w:rsidRPr="00D46FA9" w:rsidRDefault="0084299B" w:rsidP="00D46FA9">
            <w:pPr>
              <w:ind w:right="227"/>
              <w:jc w:val="right"/>
              <w:rPr>
                <w:rFonts w:eastAsia="Times New Roman"/>
                <w:b/>
                <w:sz w:val="18"/>
                <w:szCs w:val="18"/>
              </w:rPr>
            </w:pPr>
            <w:r w:rsidRPr="00D46FA9">
              <w:rPr>
                <w:rFonts w:eastAsia="Times New Roman"/>
                <w:b/>
                <w:sz w:val="18"/>
                <w:szCs w:val="18"/>
              </w:rPr>
              <w:t>4.2</w:t>
            </w:r>
          </w:p>
        </w:tc>
        <w:tc>
          <w:tcPr>
            <w:tcW w:w="992" w:type="dxa"/>
            <w:tcBorders>
              <w:top w:val="nil"/>
              <w:left w:val="single" w:sz="4" w:space="0" w:color="auto"/>
              <w:bottom w:val="nil"/>
              <w:right w:val="single" w:sz="4" w:space="0" w:color="auto"/>
            </w:tcBorders>
          </w:tcPr>
          <w:p w14:paraId="4235429E" w14:textId="77777777" w:rsidR="0084299B" w:rsidRPr="00D46FA9" w:rsidRDefault="0084299B" w:rsidP="00D46FA9">
            <w:pPr>
              <w:ind w:right="284"/>
              <w:jc w:val="right"/>
              <w:rPr>
                <w:rFonts w:eastAsia="Times New Roman"/>
                <w:b/>
                <w:sz w:val="18"/>
                <w:szCs w:val="18"/>
              </w:rPr>
            </w:pPr>
            <w:r w:rsidRPr="00D46FA9">
              <w:rPr>
                <w:rFonts w:eastAsia="Times New Roman"/>
                <w:b/>
                <w:sz w:val="18"/>
                <w:szCs w:val="18"/>
              </w:rPr>
              <w:t>5.6</w:t>
            </w:r>
          </w:p>
        </w:tc>
      </w:tr>
      <w:tr w:rsidR="0084299B" w:rsidRPr="0084299B" w14:paraId="6BC9BF86" w14:textId="77777777" w:rsidTr="00D46FA9">
        <w:trPr>
          <w:jc w:val="center"/>
        </w:trPr>
        <w:tc>
          <w:tcPr>
            <w:tcW w:w="2911" w:type="dxa"/>
            <w:tcBorders>
              <w:top w:val="nil"/>
              <w:left w:val="single" w:sz="4" w:space="0" w:color="auto"/>
              <w:bottom w:val="nil"/>
              <w:right w:val="single" w:sz="4" w:space="0" w:color="auto"/>
            </w:tcBorders>
          </w:tcPr>
          <w:p w14:paraId="710C3A84" w14:textId="77777777" w:rsidR="0084299B" w:rsidRPr="00D46FA9" w:rsidRDefault="0084299B" w:rsidP="00D46FA9">
            <w:pPr>
              <w:rPr>
                <w:rFonts w:eastAsia="Times New Roman"/>
                <w:sz w:val="18"/>
                <w:szCs w:val="18"/>
              </w:rPr>
            </w:pPr>
            <w:r w:rsidRPr="00D46FA9">
              <w:rPr>
                <w:rFonts w:eastAsia="Times New Roman"/>
                <w:sz w:val="18"/>
                <w:szCs w:val="18"/>
              </w:rPr>
              <w:t xml:space="preserve">       Automotriz</w:t>
            </w:r>
          </w:p>
        </w:tc>
        <w:tc>
          <w:tcPr>
            <w:tcW w:w="1484" w:type="dxa"/>
            <w:tcBorders>
              <w:top w:val="nil"/>
              <w:left w:val="single" w:sz="4" w:space="0" w:color="auto"/>
              <w:bottom w:val="nil"/>
              <w:right w:val="single" w:sz="4" w:space="0" w:color="auto"/>
            </w:tcBorders>
          </w:tcPr>
          <w:p w14:paraId="7D2DD236" w14:textId="77777777" w:rsidR="0084299B" w:rsidRPr="00D46FA9" w:rsidRDefault="0084299B" w:rsidP="00D46FA9">
            <w:pPr>
              <w:ind w:right="397"/>
              <w:jc w:val="right"/>
              <w:rPr>
                <w:rFonts w:eastAsia="Times New Roman"/>
                <w:sz w:val="18"/>
                <w:szCs w:val="18"/>
              </w:rPr>
            </w:pPr>
            <w:r w:rsidRPr="00D46FA9">
              <w:rPr>
                <w:rFonts w:eastAsia="Times New Roman"/>
                <w:sz w:val="18"/>
                <w:szCs w:val="18"/>
              </w:rPr>
              <w:t>25.67</w:t>
            </w:r>
          </w:p>
        </w:tc>
        <w:tc>
          <w:tcPr>
            <w:tcW w:w="708" w:type="dxa"/>
            <w:tcBorders>
              <w:top w:val="nil"/>
              <w:left w:val="single" w:sz="4" w:space="0" w:color="auto"/>
              <w:bottom w:val="nil"/>
              <w:right w:val="single" w:sz="4" w:space="0" w:color="auto"/>
            </w:tcBorders>
          </w:tcPr>
          <w:p w14:paraId="61E64FFC" w14:textId="77777777" w:rsidR="0084299B" w:rsidRPr="00D46FA9" w:rsidRDefault="0084299B" w:rsidP="00D46FA9">
            <w:pPr>
              <w:ind w:right="113"/>
              <w:jc w:val="right"/>
              <w:rPr>
                <w:rFonts w:eastAsia="Times New Roman"/>
                <w:sz w:val="18"/>
                <w:szCs w:val="18"/>
              </w:rPr>
            </w:pPr>
            <w:r w:rsidRPr="00D46FA9">
              <w:rPr>
                <w:rFonts w:eastAsia="Times New Roman"/>
                <w:sz w:val="18"/>
                <w:szCs w:val="18"/>
              </w:rPr>
              <w:t>13.6</w:t>
            </w:r>
          </w:p>
        </w:tc>
        <w:tc>
          <w:tcPr>
            <w:tcW w:w="709" w:type="dxa"/>
            <w:tcBorders>
              <w:top w:val="nil"/>
              <w:left w:val="single" w:sz="4" w:space="0" w:color="auto"/>
              <w:bottom w:val="nil"/>
              <w:right w:val="single" w:sz="4" w:space="0" w:color="auto"/>
            </w:tcBorders>
          </w:tcPr>
          <w:p w14:paraId="5B9765D0" w14:textId="77777777" w:rsidR="0084299B" w:rsidRPr="00D46FA9" w:rsidRDefault="0084299B" w:rsidP="00D46FA9">
            <w:pPr>
              <w:ind w:right="113"/>
              <w:jc w:val="right"/>
              <w:rPr>
                <w:rFonts w:eastAsia="Times New Roman"/>
                <w:sz w:val="18"/>
                <w:szCs w:val="18"/>
              </w:rPr>
            </w:pPr>
            <w:r w:rsidRPr="00D46FA9">
              <w:rPr>
                <w:rFonts w:eastAsia="Times New Roman"/>
                <w:sz w:val="18"/>
                <w:szCs w:val="18"/>
              </w:rPr>
              <w:t>16.6</w:t>
            </w:r>
          </w:p>
        </w:tc>
        <w:tc>
          <w:tcPr>
            <w:tcW w:w="851" w:type="dxa"/>
            <w:tcBorders>
              <w:top w:val="nil"/>
              <w:left w:val="single" w:sz="4" w:space="0" w:color="auto"/>
              <w:bottom w:val="nil"/>
              <w:right w:val="single" w:sz="4" w:space="0" w:color="auto"/>
            </w:tcBorders>
          </w:tcPr>
          <w:p w14:paraId="5A29D2A6" w14:textId="77777777" w:rsidR="0084299B" w:rsidRPr="00D46FA9" w:rsidRDefault="0084299B" w:rsidP="00D46FA9">
            <w:pPr>
              <w:ind w:right="227"/>
              <w:jc w:val="right"/>
              <w:rPr>
                <w:rFonts w:eastAsia="Times New Roman"/>
                <w:sz w:val="18"/>
                <w:szCs w:val="18"/>
              </w:rPr>
            </w:pPr>
            <w:r w:rsidRPr="00D46FA9">
              <w:rPr>
                <w:rFonts w:eastAsia="Times New Roman"/>
                <w:sz w:val="18"/>
                <w:szCs w:val="18"/>
              </w:rPr>
              <w:t>1.5</w:t>
            </w:r>
          </w:p>
        </w:tc>
        <w:tc>
          <w:tcPr>
            <w:tcW w:w="992" w:type="dxa"/>
            <w:tcBorders>
              <w:top w:val="nil"/>
              <w:left w:val="single" w:sz="4" w:space="0" w:color="auto"/>
              <w:bottom w:val="nil"/>
              <w:right w:val="single" w:sz="4" w:space="0" w:color="auto"/>
            </w:tcBorders>
          </w:tcPr>
          <w:p w14:paraId="11830E56" w14:textId="77777777" w:rsidR="0084299B" w:rsidRPr="00D46FA9" w:rsidRDefault="0084299B" w:rsidP="00D46FA9">
            <w:pPr>
              <w:ind w:right="284"/>
              <w:jc w:val="right"/>
              <w:rPr>
                <w:rFonts w:eastAsia="Times New Roman"/>
                <w:sz w:val="18"/>
                <w:szCs w:val="18"/>
              </w:rPr>
            </w:pPr>
            <w:r w:rsidRPr="00D46FA9">
              <w:rPr>
                <w:rFonts w:eastAsia="Times New Roman"/>
                <w:sz w:val="18"/>
                <w:szCs w:val="18"/>
              </w:rPr>
              <w:t>8.1</w:t>
            </w:r>
          </w:p>
        </w:tc>
      </w:tr>
      <w:tr w:rsidR="0084299B" w:rsidRPr="0084299B" w14:paraId="228CEF1B" w14:textId="77777777" w:rsidTr="00D46FA9">
        <w:trPr>
          <w:jc w:val="center"/>
        </w:trPr>
        <w:tc>
          <w:tcPr>
            <w:tcW w:w="2911" w:type="dxa"/>
            <w:tcBorders>
              <w:top w:val="nil"/>
              <w:left w:val="single" w:sz="4" w:space="0" w:color="auto"/>
              <w:bottom w:val="nil"/>
              <w:right w:val="single" w:sz="4" w:space="0" w:color="auto"/>
            </w:tcBorders>
          </w:tcPr>
          <w:p w14:paraId="35C5600E" w14:textId="77777777" w:rsidR="0084299B" w:rsidRPr="00D46FA9" w:rsidRDefault="0084299B" w:rsidP="00D46FA9">
            <w:pPr>
              <w:rPr>
                <w:rFonts w:eastAsia="Times New Roman"/>
                <w:sz w:val="18"/>
                <w:szCs w:val="18"/>
              </w:rPr>
            </w:pPr>
            <w:r w:rsidRPr="00D46FA9">
              <w:rPr>
                <w:rFonts w:eastAsia="Times New Roman"/>
                <w:sz w:val="18"/>
                <w:szCs w:val="18"/>
              </w:rPr>
              <w:t xml:space="preserve">       Otras</w:t>
            </w:r>
          </w:p>
        </w:tc>
        <w:tc>
          <w:tcPr>
            <w:tcW w:w="1484" w:type="dxa"/>
            <w:tcBorders>
              <w:top w:val="nil"/>
              <w:left w:val="single" w:sz="4" w:space="0" w:color="auto"/>
              <w:bottom w:val="nil"/>
              <w:right w:val="single" w:sz="4" w:space="0" w:color="auto"/>
            </w:tcBorders>
          </w:tcPr>
          <w:p w14:paraId="7002D3F9" w14:textId="77777777" w:rsidR="0084299B" w:rsidRPr="00D46FA9" w:rsidRDefault="0084299B" w:rsidP="00D46FA9">
            <w:pPr>
              <w:ind w:right="397"/>
              <w:jc w:val="right"/>
              <w:rPr>
                <w:rFonts w:eastAsia="Times New Roman"/>
                <w:sz w:val="18"/>
                <w:szCs w:val="18"/>
              </w:rPr>
            </w:pPr>
            <w:r w:rsidRPr="00D46FA9">
              <w:rPr>
                <w:rFonts w:eastAsia="Times New Roman"/>
                <w:sz w:val="18"/>
                <w:szCs w:val="18"/>
              </w:rPr>
              <w:t>55.58</w:t>
            </w:r>
          </w:p>
        </w:tc>
        <w:tc>
          <w:tcPr>
            <w:tcW w:w="708" w:type="dxa"/>
            <w:tcBorders>
              <w:top w:val="nil"/>
              <w:left w:val="single" w:sz="4" w:space="0" w:color="auto"/>
              <w:bottom w:val="nil"/>
              <w:right w:val="single" w:sz="4" w:space="0" w:color="auto"/>
            </w:tcBorders>
          </w:tcPr>
          <w:p w14:paraId="378ADDF6" w14:textId="77777777" w:rsidR="0084299B" w:rsidRPr="00D46FA9" w:rsidRDefault="0084299B" w:rsidP="00D46FA9">
            <w:pPr>
              <w:ind w:right="113"/>
              <w:jc w:val="right"/>
              <w:rPr>
                <w:rFonts w:eastAsia="Times New Roman"/>
                <w:sz w:val="18"/>
                <w:szCs w:val="18"/>
              </w:rPr>
            </w:pPr>
            <w:r w:rsidRPr="00D46FA9">
              <w:rPr>
                <w:rFonts w:eastAsia="Times New Roman"/>
                <w:sz w:val="18"/>
                <w:szCs w:val="18"/>
              </w:rPr>
              <w:t>7.5</w:t>
            </w:r>
          </w:p>
        </w:tc>
        <w:tc>
          <w:tcPr>
            <w:tcW w:w="709" w:type="dxa"/>
            <w:tcBorders>
              <w:top w:val="nil"/>
              <w:left w:val="single" w:sz="4" w:space="0" w:color="auto"/>
              <w:bottom w:val="nil"/>
              <w:right w:val="single" w:sz="4" w:space="0" w:color="auto"/>
            </w:tcBorders>
          </w:tcPr>
          <w:p w14:paraId="6571EC6C" w14:textId="77777777" w:rsidR="0084299B" w:rsidRPr="00D46FA9" w:rsidRDefault="0084299B" w:rsidP="00D46FA9">
            <w:pPr>
              <w:ind w:right="113"/>
              <w:jc w:val="right"/>
              <w:rPr>
                <w:rFonts w:eastAsia="Times New Roman"/>
                <w:sz w:val="18"/>
                <w:szCs w:val="18"/>
              </w:rPr>
            </w:pPr>
            <w:r w:rsidRPr="00D46FA9">
              <w:rPr>
                <w:rFonts w:eastAsia="Times New Roman"/>
                <w:sz w:val="18"/>
                <w:szCs w:val="18"/>
              </w:rPr>
              <w:t>3.4</w:t>
            </w:r>
          </w:p>
        </w:tc>
        <w:tc>
          <w:tcPr>
            <w:tcW w:w="851" w:type="dxa"/>
            <w:tcBorders>
              <w:top w:val="nil"/>
              <w:left w:val="single" w:sz="4" w:space="0" w:color="auto"/>
              <w:bottom w:val="nil"/>
              <w:right w:val="single" w:sz="4" w:space="0" w:color="auto"/>
            </w:tcBorders>
          </w:tcPr>
          <w:p w14:paraId="5E87E511" w14:textId="77777777" w:rsidR="0084299B" w:rsidRPr="00D46FA9" w:rsidRDefault="0084299B" w:rsidP="00D46FA9">
            <w:pPr>
              <w:ind w:right="227"/>
              <w:jc w:val="right"/>
              <w:rPr>
                <w:rFonts w:eastAsia="Times New Roman"/>
                <w:sz w:val="18"/>
                <w:szCs w:val="18"/>
              </w:rPr>
            </w:pPr>
            <w:r w:rsidRPr="00D46FA9">
              <w:rPr>
                <w:rFonts w:eastAsia="Times New Roman"/>
                <w:sz w:val="18"/>
                <w:szCs w:val="18"/>
              </w:rPr>
              <w:t>5.6</w:t>
            </w:r>
          </w:p>
        </w:tc>
        <w:tc>
          <w:tcPr>
            <w:tcW w:w="992" w:type="dxa"/>
            <w:tcBorders>
              <w:top w:val="nil"/>
              <w:left w:val="single" w:sz="4" w:space="0" w:color="auto"/>
              <w:bottom w:val="nil"/>
              <w:right w:val="single" w:sz="4" w:space="0" w:color="auto"/>
            </w:tcBorders>
          </w:tcPr>
          <w:p w14:paraId="1E6BA45B" w14:textId="77777777" w:rsidR="0084299B" w:rsidRPr="00D46FA9" w:rsidRDefault="0084299B" w:rsidP="00D46FA9">
            <w:pPr>
              <w:ind w:right="284"/>
              <w:jc w:val="right"/>
              <w:rPr>
                <w:rFonts w:eastAsia="Times New Roman"/>
                <w:sz w:val="18"/>
                <w:szCs w:val="18"/>
              </w:rPr>
            </w:pPr>
            <w:r w:rsidRPr="00D46FA9">
              <w:rPr>
                <w:rFonts w:eastAsia="Times New Roman"/>
                <w:sz w:val="18"/>
                <w:szCs w:val="18"/>
              </w:rPr>
              <w:t>4.5</w:t>
            </w:r>
          </w:p>
        </w:tc>
      </w:tr>
      <w:tr w:rsidR="0084299B" w:rsidRPr="0084299B" w14:paraId="47683628" w14:textId="77777777" w:rsidTr="00D46FA9">
        <w:trPr>
          <w:jc w:val="center"/>
        </w:trPr>
        <w:tc>
          <w:tcPr>
            <w:tcW w:w="2911" w:type="dxa"/>
            <w:tcBorders>
              <w:top w:val="nil"/>
              <w:left w:val="single" w:sz="4" w:space="0" w:color="auto"/>
              <w:bottom w:val="nil"/>
              <w:right w:val="single" w:sz="4" w:space="0" w:color="auto"/>
            </w:tcBorders>
          </w:tcPr>
          <w:p w14:paraId="13BDB38E" w14:textId="77777777" w:rsidR="0084299B" w:rsidRPr="00D46FA9" w:rsidRDefault="0084299B" w:rsidP="00D46FA9">
            <w:pPr>
              <w:rPr>
                <w:rFonts w:eastAsia="Times New Roman"/>
                <w:b/>
                <w:sz w:val="18"/>
                <w:szCs w:val="18"/>
              </w:rPr>
            </w:pPr>
            <w:r w:rsidRPr="00D46FA9">
              <w:rPr>
                <w:rFonts w:eastAsia="Times New Roman"/>
                <w:b/>
                <w:sz w:val="18"/>
                <w:szCs w:val="18"/>
              </w:rPr>
              <w:t xml:space="preserve">  Resto del Mundo</w:t>
            </w:r>
          </w:p>
        </w:tc>
        <w:tc>
          <w:tcPr>
            <w:tcW w:w="1484" w:type="dxa"/>
            <w:tcBorders>
              <w:top w:val="nil"/>
              <w:left w:val="single" w:sz="4" w:space="0" w:color="auto"/>
              <w:bottom w:val="nil"/>
              <w:right w:val="single" w:sz="4" w:space="0" w:color="auto"/>
            </w:tcBorders>
          </w:tcPr>
          <w:p w14:paraId="6F9E12C5" w14:textId="77777777" w:rsidR="0084299B" w:rsidRPr="00D46FA9" w:rsidRDefault="0084299B" w:rsidP="00D46FA9">
            <w:pPr>
              <w:ind w:right="397"/>
              <w:jc w:val="right"/>
              <w:rPr>
                <w:rFonts w:eastAsia="Times New Roman"/>
                <w:b/>
                <w:sz w:val="18"/>
                <w:szCs w:val="18"/>
              </w:rPr>
            </w:pPr>
            <w:r w:rsidRPr="00D46FA9">
              <w:rPr>
                <w:rFonts w:eastAsia="Times New Roman"/>
                <w:b/>
                <w:sz w:val="18"/>
                <w:szCs w:val="18"/>
              </w:rPr>
              <w:t>18.75</w:t>
            </w:r>
          </w:p>
        </w:tc>
        <w:tc>
          <w:tcPr>
            <w:tcW w:w="708" w:type="dxa"/>
            <w:tcBorders>
              <w:top w:val="nil"/>
              <w:left w:val="single" w:sz="4" w:space="0" w:color="auto"/>
              <w:bottom w:val="nil"/>
              <w:right w:val="single" w:sz="4" w:space="0" w:color="auto"/>
            </w:tcBorders>
          </w:tcPr>
          <w:p w14:paraId="1E42F4A6" w14:textId="77777777" w:rsidR="0084299B" w:rsidRPr="00D46FA9" w:rsidRDefault="0084299B" w:rsidP="00D46FA9">
            <w:pPr>
              <w:ind w:right="113"/>
              <w:jc w:val="right"/>
              <w:rPr>
                <w:rFonts w:eastAsia="Times New Roman"/>
                <w:b/>
                <w:sz w:val="18"/>
                <w:szCs w:val="18"/>
              </w:rPr>
            </w:pPr>
            <w:r w:rsidRPr="00D46FA9">
              <w:rPr>
                <w:rFonts w:eastAsia="Times New Roman"/>
                <w:b/>
                <w:sz w:val="18"/>
                <w:szCs w:val="18"/>
              </w:rPr>
              <w:t>-1.0</w:t>
            </w:r>
          </w:p>
        </w:tc>
        <w:tc>
          <w:tcPr>
            <w:tcW w:w="709" w:type="dxa"/>
            <w:tcBorders>
              <w:top w:val="nil"/>
              <w:left w:val="single" w:sz="4" w:space="0" w:color="auto"/>
              <w:bottom w:val="nil"/>
              <w:right w:val="single" w:sz="4" w:space="0" w:color="auto"/>
            </w:tcBorders>
          </w:tcPr>
          <w:p w14:paraId="09B03922" w14:textId="77777777" w:rsidR="0084299B" w:rsidRPr="00D46FA9" w:rsidRDefault="0084299B" w:rsidP="00D46FA9">
            <w:pPr>
              <w:ind w:right="113"/>
              <w:jc w:val="right"/>
              <w:rPr>
                <w:rFonts w:eastAsia="Times New Roman"/>
                <w:b/>
                <w:sz w:val="18"/>
                <w:szCs w:val="18"/>
              </w:rPr>
            </w:pPr>
            <w:r w:rsidRPr="00D46FA9">
              <w:rPr>
                <w:rFonts w:eastAsia="Times New Roman"/>
                <w:b/>
                <w:sz w:val="18"/>
                <w:szCs w:val="18"/>
              </w:rPr>
              <w:t>-0.5</w:t>
            </w:r>
          </w:p>
        </w:tc>
        <w:tc>
          <w:tcPr>
            <w:tcW w:w="851" w:type="dxa"/>
            <w:tcBorders>
              <w:top w:val="nil"/>
              <w:left w:val="single" w:sz="4" w:space="0" w:color="auto"/>
              <w:bottom w:val="nil"/>
              <w:right w:val="single" w:sz="4" w:space="0" w:color="auto"/>
            </w:tcBorders>
          </w:tcPr>
          <w:p w14:paraId="488C8300" w14:textId="77777777" w:rsidR="0084299B" w:rsidRPr="00D46FA9" w:rsidRDefault="0084299B" w:rsidP="00D46FA9">
            <w:pPr>
              <w:ind w:right="227"/>
              <w:jc w:val="right"/>
              <w:rPr>
                <w:rFonts w:eastAsia="Times New Roman"/>
                <w:b/>
                <w:sz w:val="18"/>
                <w:szCs w:val="18"/>
              </w:rPr>
            </w:pPr>
            <w:r w:rsidRPr="00D46FA9">
              <w:rPr>
                <w:rFonts w:eastAsia="Times New Roman"/>
                <w:b/>
                <w:sz w:val="18"/>
                <w:szCs w:val="18"/>
              </w:rPr>
              <w:t>3.0</w:t>
            </w:r>
          </w:p>
        </w:tc>
        <w:tc>
          <w:tcPr>
            <w:tcW w:w="992" w:type="dxa"/>
            <w:tcBorders>
              <w:top w:val="nil"/>
              <w:left w:val="single" w:sz="4" w:space="0" w:color="auto"/>
              <w:bottom w:val="nil"/>
              <w:right w:val="single" w:sz="4" w:space="0" w:color="auto"/>
            </w:tcBorders>
          </w:tcPr>
          <w:p w14:paraId="518A72F0" w14:textId="77777777" w:rsidR="0084299B" w:rsidRPr="00D46FA9" w:rsidRDefault="0084299B" w:rsidP="00D46FA9">
            <w:pPr>
              <w:ind w:right="284"/>
              <w:jc w:val="right"/>
              <w:rPr>
                <w:rFonts w:eastAsia="Times New Roman"/>
                <w:b/>
                <w:sz w:val="18"/>
                <w:szCs w:val="18"/>
              </w:rPr>
            </w:pPr>
            <w:r w:rsidRPr="00D46FA9">
              <w:rPr>
                <w:rFonts w:eastAsia="Times New Roman"/>
                <w:b/>
                <w:sz w:val="18"/>
                <w:szCs w:val="18"/>
              </w:rPr>
              <w:t>1.3</w:t>
            </w:r>
          </w:p>
        </w:tc>
      </w:tr>
      <w:tr w:rsidR="0084299B" w:rsidRPr="0084299B" w14:paraId="733945FA" w14:textId="77777777" w:rsidTr="00D46FA9">
        <w:trPr>
          <w:jc w:val="center"/>
        </w:trPr>
        <w:tc>
          <w:tcPr>
            <w:tcW w:w="2911" w:type="dxa"/>
            <w:tcBorders>
              <w:top w:val="nil"/>
              <w:left w:val="single" w:sz="4" w:space="0" w:color="auto"/>
              <w:bottom w:val="nil"/>
              <w:right w:val="single" w:sz="4" w:space="0" w:color="auto"/>
            </w:tcBorders>
          </w:tcPr>
          <w:p w14:paraId="03F275A0" w14:textId="77777777" w:rsidR="0084299B" w:rsidRPr="00D46FA9" w:rsidRDefault="0084299B" w:rsidP="00D46FA9">
            <w:pPr>
              <w:rPr>
                <w:rFonts w:eastAsia="Times New Roman"/>
                <w:sz w:val="18"/>
                <w:szCs w:val="18"/>
              </w:rPr>
            </w:pPr>
            <w:r w:rsidRPr="00D46FA9">
              <w:rPr>
                <w:rFonts w:eastAsia="Times New Roman"/>
                <w:sz w:val="18"/>
                <w:szCs w:val="18"/>
              </w:rPr>
              <w:t xml:space="preserve">       Automotriz</w:t>
            </w:r>
          </w:p>
        </w:tc>
        <w:tc>
          <w:tcPr>
            <w:tcW w:w="1484" w:type="dxa"/>
            <w:tcBorders>
              <w:top w:val="nil"/>
              <w:left w:val="single" w:sz="4" w:space="0" w:color="auto"/>
              <w:bottom w:val="nil"/>
              <w:right w:val="single" w:sz="4" w:space="0" w:color="auto"/>
            </w:tcBorders>
          </w:tcPr>
          <w:p w14:paraId="07972D7B" w14:textId="77777777" w:rsidR="0084299B" w:rsidRPr="00D46FA9" w:rsidRDefault="0084299B" w:rsidP="00D46FA9">
            <w:pPr>
              <w:ind w:right="397"/>
              <w:jc w:val="right"/>
              <w:rPr>
                <w:rFonts w:eastAsia="Times New Roman"/>
                <w:sz w:val="18"/>
                <w:szCs w:val="18"/>
              </w:rPr>
            </w:pPr>
            <w:r w:rsidRPr="00D46FA9">
              <w:rPr>
                <w:rFonts w:eastAsia="Times New Roman"/>
                <w:sz w:val="18"/>
                <w:szCs w:val="18"/>
              </w:rPr>
              <w:t>5.18</w:t>
            </w:r>
          </w:p>
        </w:tc>
        <w:tc>
          <w:tcPr>
            <w:tcW w:w="708" w:type="dxa"/>
            <w:tcBorders>
              <w:top w:val="nil"/>
              <w:left w:val="single" w:sz="4" w:space="0" w:color="auto"/>
              <w:bottom w:val="nil"/>
              <w:right w:val="single" w:sz="4" w:space="0" w:color="auto"/>
            </w:tcBorders>
          </w:tcPr>
          <w:p w14:paraId="4DB87D8E" w14:textId="77777777" w:rsidR="0084299B" w:rsidRPr="00D46FA9" w:rsidRDefault="0084299B" w:rsidP="00D46FA9">
            <w:pPr>
              <w:ind w:right="113"/>
              <w:jc w:val="right"/>
              <w:rPr>
                <w:rFonts w:eastAsia="Times New Roman"/>
                <w:sz w:val="18"/>
                <w:szCs w:val="18"/>
              </w:rPr>
            </w:pPr>
            <w:r w:rsidRPr="00D46FA9">
              <w:rPr>
                <w:rFonts w:eastAsia="Times New Roman"/>
                <w:sz w:val="18"/>
                <w:szCs w:val="18"/>
              </w:rPr>
              <w:t>3.6</w:t>
            </w:r>
          </w:p>
        </w:tc>
        <w:tc>
          <w:tcPr>
            <w:tcW w:w="709" w:type="dxa"/>
            <w:tcBorders>
              <w:top w:val="nil"/>
              <w:left w:val="single" w:sz="4" w:space="0" w:color="auto"/>
              <w:bottom w:val="nil"/>
              <w:right w:val="single" w:sz="4" w:space="0" w:color="auto"/>
            </w:tcBorders>
          </w:tcPr>
          <w:p w14:paraId="39B5A16E" w14:textId="77777777" w:rsidR="0084299B" w:rsidRPr="00D46FA9" w:rsidRDefault="0084299B" w:rsidP="00D46FA9">
            <w:pPr>
              <w:ind w:right="113"/>
              <w:jc w:val="right"/>
              <w:rPr>
                <w:rFonts w:eastAsia="Times New Roman"/>
                <w:sz w:val="18"/>
                <w:szCs w:val="18"/>
              </w:rPr>
            </w:pPr>
            <w:r w:rsidRPr="00D46FA9">
              <w:rPr>
                <w:rFonts w:eastAsia="Times New Roman"/>
                <w:sz w:val="18"/>
                <w:szCs w:val="18"/>
              </w:rPr>
              <w:t>8.6</w:t>
            </w:r>
          </w:p>
        </w:tc>
        <w:tc>
          <w:tcPr>
            <w:tcW w:w="851" w:type="dxa"/>
            <w:tcBorders>
              <w:top w:val="nil"/>
              <w:left w:val="single" w:sz="4" w:space="0" w:color="auto"/>
              <w:bottom w:val="nil"/>
              <w:right w:val="single" w:sz="4" w:space="0" w:color="auto"/>
            </w:tcBorders>
          </w:tcPr>
          <w:p w14:paraId="07FEC192" w14:textId="77777777" w:rsidR="0084299B" w:rsidRPr="00D46FA9" w:rsidRDefault="0084299B" w:rsidP="00D46FA9">
            <w:pPr>
              <w:ind w:right="227"/>
              <w:jc w:val="right"/>
              <w:rPr>
                <w:rFonts w:eastAsia="Times New Roman"/>
                <w:sz w:val="18"/>
                <w:szCs w:val="18"/>
              </w:rPr>
            </w:pPr>
            <w:r w:rsidRPr="00D46FA9">
              <w:rPr>
                <w:rFonts w:eastAsia="Times New Roman"/>
                <w:sz w:val="18"/>
                <w:szCs w:val="18"/>
              </w:rPr>
              <w:t>14.5</w:t>
            </w:r>
          </w:p>
        </w:tc>
        <w:tc>
          <w:tcPr>
            <w:tcW w:w="992" w:type="dxa"/>
            <w:tcBorders>
              <w:top w:val="nil"/>
              <w:left w:val="single" w:sz="4" w:space="0" w:color="auto"/>
              <w:bottom w:val="nil"/>
              <w:right w:val="single" w:sz="4" w:space="0" w:color="auto"/>
            </w:tcBorders>
          </w:tcPr>
          <w:p w14:paraId="5354B1E3" w14:textId="77777777" w:rsidR="0084299B" w:rsidRPr="00D46FA9" w:rsidRDefault="0084299B" w:rsidP="00D46FA9">
            <w:pPr>
              <w:ind w:right="284"/>
              <w:jc w:val="right"/>
              <w:rPr>
                <w:rFonts w:eastAsia="Times New Roman"/>
                <w:sz w:val="18"/>
                <w:szCs w:val="18"/>
              </w:rPr>
            </w:pPr>
            <w:r w:rsidRPr="00D46FA9">
              <w:rPr>
                <w:rFonts w:eastAsia="Times New Roman"/>
                <w:sz w:val="18"/>
                <w:szCs w:val="18"/>
              </w:rPr>
              <w:t>11.8</w:t>
            </w:r>
          </w:p>
        </w:tc>
      </w:tr>
      <w:tr w:rsidR="0084299B" w:rsidRPr="0084299B" w14:paraId="1037A29D" w14:textId="77777777" w:rsidTr="00D46FA9">
        <w:trPr>
          <w:jc w:val="center"/>
        </w:trPr>
        <w:tc>
          <w:tcPr>
            <w:tcW w:w="2911" w:type="dxa"/>
            <w:tcBorders>
              <w:top w:val="nil"/>
              <w:left w:val="single" w:sz="4" w:space="0" w:color="auto"/>
              <w:bottom w:val="single" w:sz="4" w:space="0" w:color="auto"/>
              <w:right w:val="single" w:sz="4" w:space="0" w:color="auto"/>
            </w:tcBorders>
          </w:tcPr>
          <w:p w14:paraId="773E72F7" w14:textId="77777777" w:rsidR="0084299B" w:rsidRPr="00D46FA9" w:rsidRDefault="0084299B" w:rsidP="00D46FA9">
            <w:pPr>
              <w:rPr>
                <w:rFonts w:eastAsia="Times New Roman"/>
                <w:sz w:val="18"/>
                <w:szCs w:val="18"/>
              </w:rPr>
            </w:pPr>
            <w:r w:rsidRPr="00D46FA9">
              <w:rPr>
                <w:rFonts w:eastAsia="Times New Roman"/>
                <w:sz w:val="18"/>
                <w:szCs w:val="18"/>
              </w:rPr>
              <w:t xml:space="preserve">       Otras</w:t>
            </w:r>
          </w:p>
        </w:tc>
        <w:tc>
          <w:tcPr>
            <w:tcW w:w="1484" w:type="dxa"/>
            <w:tcBorders>
              <w:top w:val="nil"/>
              <w:left w:val="single" w:sz="4" w:space="0" w:color="auto"/>
              <w:bottom w:val="single" w:sz="4" w:space="0" w:color="auto"/>
              <w:right w:val="single" w:sz="4" w:space="0" w:color="auto"/>
            </w:tcBorders>
          </w:tcPr>
          <w:p w14:paraId="31CD6458" w14:textId="77777777" w:rsidR="0084299B" w:rsidRPr="00D46FA9" w:rsidRDefault="0084299B" w:rsidP="00D46FA9">
            <w:pPr>
              <w:ind w:right="397"/>
              <w:jc w:val="right"/>
              <w:rPr>
                <w:rFonts w:eastAsia="Times New Roman"/>
                <w:sz w:val="18"/>
                <w:szCs w:val="18"/>
              </w:rPr>
            </w:pPr>
            <w:r w:rsidRPr="00D46FA9">
              <w:rPr>
                <w:rFonts w:eastAsia="Times New Roman"/>
                <w:sz w:val="18"/>
                <w:szCs w:val="18"/>
              </w:rPr>
              <w:t>13.57</w:t>
            </w:r>
          </w:p>
        </w:tc>
        <w:tc>
          <w:tcPr>
            <w:tcW w:w="708" w:type="dxa"/>
            <w:tcBorders>
              <w:top w:val="nil"/>
              <w:left w:val="single" w:sz="4" w:space="0" w:color="auto"/>
              <w:bottom w:val="single" w:sz="4" w:space="0" w:color="auto"/>
              <w:right w:val="single" w:sz="4" w:space="0" w:color="auto"/>
            </w:tcBorders>
          </w:tcPr>
          <w:p w14:paraId="2F8F4C20" w14:textId="77777777" w:rsidR="0084299B" w:rsidRPr="00D46FA9" w:rsidRDefault="0084299B" w:rsidP="00D46FA9">
            <w:pPr>
              <w:ind w:right="113"/>
              <w:jc w:val="right"/>
              <w:rPr>
                <w:rFonts w:eastAsia="Times New Roman"/>
                <w:sz w:val="18"/>
                <w:szCs w:val="18"/>
              </w:rPr>
            </w:pPr>
            <w:r w:rsidRPr="00D46FA9">
              <w:rPr>
                <w:rFonts w:eastAsia="Times New Roman"/>
                <w:sz w:val="18"/>
                <w:szCs w:val="18"/>
              </w:rPr>
              <w:t>-2.5</w:t>
            </w:r>
          </w:p>
        </w:tc>
        <w:tc>
          <w:tcPr>
            <w:tcW w:w="709" w:type="dxa"/>
            <w:tcBorders>
              <w:top w:val="nil"/>
              <w:left w:val="single" w:sz="4" w:space="0" w:color="auto"/>
              <w:bottom w:val="single" w:sz="4" w:space="0" w:color="auto"/>
              <w:right w:val="single" w:sz="4" w:space="0" w:color="auto"/>
            </w:tcBorders>
          </w:tcPr>
          <w:p w14:paraId="27683E65" w14:textId="68F5A155" w:rsidR="0084299B" w:rsidRPr="00D46FA9" w:rsidRDefault="0084299B" w:rsidP="005C693D">
            <w:pPr>
              <w:ind w:right="113"/>
              <w:jc w:val="right"/>
              <w:rPr>
                <w:rFonts w:eastAsia="Times New Roman"/>
                <w:sz w:val="18"/>
                <w:szCs w:val="18"/>
              </w:rPr>
            </w:pPr>
            <w:r w:rsidRPr="00D46FA9">
              <w:rPr>
                <w:rFonts w:eastAsia="Times New Roman"/>
                <w:sz w:val="18"/>
                <w:szCs w:val="18"/>
              </w:rPr>
              <w:t>-</w:t>
            </w:r>
            <w:r w:rsidR="005C693D">
              <w:rPr>
                <w:rFonts w:eastAsia="Times New Roman"/>
                <w:sz w:val="18"/>
                <w:szCs w:val="18"/>
              </w:rPr>
              <w:t>3</w:t>
            </w:r>
            <w:r w:rsidRPr="00D46FA9">
              <w:rPr>
                <w:rFonts w:eastAsia="Times New Roman"/>
                <w:sz w:val="18"/>
                <w:szCs w:val="18"/>
              </w:rPr>
              <w:t>.3</w:t>
            </w:r>
          </w:p>
        </w:tc>
        <w:tc>
          <w:tcPr>
            <w:tcW w:w="851" w:type="dxa"/>
            <w:tcBorders>
              <w:top w:val="nil"/>
              <w:left w:val="single" w:sz="4" w:space="0" w:color="auto"/>
              <w:bottom w:val="single" w:sz="4" w:space="0" w:color="auto"/>
              <w:right w:val="single" w:sz="4" w:space="0" w:color="auto"/>
            </w:tcBorders>
          </w:tcPr>
          <w:p w14:paraId="652E6934" w14:textId="77777777" w:rsidR="0084299B" w:rsidRPr="00D46FA9" w:rsidRDefault="0084299B" w:rsidP="00D46FA9">
            <w:pPr>
              <w:ind w:right="227"/>
              <w:jc w:val="right"/>
              <w:rPr>
                <w:rFonts w:eastAsia="Times New Roman"/>
                <w:sz w:val="18"/>
                <w:szCs w:val="18"/>
              </w:rPr>
            </w:pPr>
            <w:r w:rsidRPr="00D46FA9">
              <w:rPr>
                <w:rFonts w:eastAsia="Times New Roman"/>
                <w:sz w:val="18"/>
                <w:szCs w:val="18"/>
              </w:rPr>
              <w:t>-1.2</w:t>
            </w:r>
          </w:p>
        </w:tc>
        <w:tc>
          <w:tcPr>
            <w:tcW w:w="992" w:type="dxa"/>
            <w:tcBorders>
              <w:top w:val="nil"/>
              <w:left w:val="single" w:sz="4" w:space="0" w:color="auto"/>
              <w:bottom w:val="single" w:sz="4" w:space="0" w:color="auto"/>
              <w:right w:val="single" w:sz="4" w:space="0" w:color="auto"/>
            </w:tcBorders>
          </w:tcPr>
          <w:p w14:paraId="4086D8CA" w14:textId="77777777" w:rsidR="0084299B" w:rsidRPr="00D46FA9" w:rsidRDefault="0084299B" w:rsidP="00D46FA9">
            <w:pPr>
              <w:ind w:right="284"/>
              <w:jc w:val="right"/>
              <w:rPr>
                <w:rFonts w:eastAsia="Times New Roman"/>
                <w:sz w:val="18"/>
                <w:szCs w:val="18"/>
              </w:rPr>
            </w:pPr>
            <w:r w:rsidRPr="00D46FA9">
              <w:rPr>
                <w:rFonts w:eastAsia="Times New Roman"/>
                <w:sz w:val="18"/>
                <w:szCs w:val="18"/>
              </w:rPr>
              <w:t>-2.2</w:t>
            </w:r>
          </w:p>
        </w:tc>
      </w:tr>
      <w:tr w:rsidR="0084299B" w:rsidRPr="0084299B" w14:paraId="5AB25688" w14:textId="77777777" w:rsidTr="00EA3974">
        <w:trPr>
          <w:jc w:val="center"/>
        </w:trPr>
        <w:tc>
          <w:tcPr>
            <w:tcW w:w="7655" w:type="dxa"/>
            <w:gridSpan w:val="6"/>
            <w:tcBorders>
              <w:top w:val="nil"/>
              <w:left w:val="nil"/>
              <w:bottom w:val="nil"/>
              <w:right w:val="nil"/>
            </w:tcBorders>
          </w:tcPr>
          <w:p w14:paraId="416623B9" w14:textId="77777777" w:rsidR="0084299B" w:rsidRPr="00D46FA9" w:rsidRDefault="0084299B" w:rsidP="00D46FA9">
            <w:pPr>
              <w:rPr>
                <w:rFonts w:eastAsia="Times New Roman"/>
                <w:sz w:val="18"/>
                <w:szCs w:val="18"/>
              </w:rPr>
            </w:pPr>
            <w:r w:rsidRPr="00D46FA9">
              <w:rPr>
                <w:rFonts w:eastAsia="Times New Roman"/>
                <w:sz w:val="18"/>
                <w:szCs w:val="18"/>
              </w:rPr>
              <w:t>* Cifras oportunas.</w:t>
            </w:r>
          </w:p>
          <w:p w14:paraId="06753D03" w14:textId="77777777" w:rsidR="0084299B" w:rsidRPr="00D46FA9" w:rsidRDefault="0084299B" w:rsidP="00D46FA9">
            <w:pPr>
              <w:rPr>
                <w:rFonts w:eastAsia="Times New Roman"/>
                <w:sz w:val="18"/>
                <w:szCs w:val="18"/>
              </w:rPr>
            </w:pPr>
            <w:r w:rsidRPr="00D46FA9">
              <w:rPr>
                <w:rFonts w:eastAsia="Times New Roman"/>
                <w:sz w:val="18"/>
                <w:szCs w:val="18"/>
              </w:rPr>
              <w:t>FUENTE: INEGI.</w:t>
            </w:r>
          </w:p>
        </w:tc>
      </w:tr>
    </w:tbl>
    <w:p w14:paraId="06AE9353" w14:textId="77777777" w:rsidR="0084299B" w:rsidRPr="0084299B" w:rsidRDefault="0084299B" w:rsidP="0084299B">
      <w:pPr>
        <w:spacing w:after="360" w:line="360" w:lineRule="auto"/>
        <w:ind w:right="-159"/>
        <w:jc w:val="both"/>
        <w:rPr>
          <w:sz w:val="26"/>
          <w:szCs w:val="26"/>
          <w:lang w:val="es-ES_tradnl"/>
        </w:rPr>
      </w:pPr>
    </w:p>
    <w:p w14:paraId="72568A8D" w14:textId="1C09BBD6" w:rsidR="0084299B" w:rsidRPr="0084299B" w:rsidRDefault="0084299B" w:rsidP="0084299B">
      <w:pPr>
        <w:spacing w:after="360" w:line="360" w:lineRule="auto"/>
        <w:ind w:right="-159"/>
        <w:jc w:val="both"/>
        <w:rPr>
          <w:sz w:val="26"/>
          <w:szCs w:val="26"/>
          <w:lang w:val="es-ES_tradnl"/>
        </w:rPr>
      </w:pPr>
      <w:r w:rsidRPr="0084299B">
        <w:rPr>
          <w:sz w:val="26"/>
          <w:szCs w:val="26"/>
          <w:lang w:val="es-ES_tradnl"/>
        </w:rPr>
        <w:t xml:space="preserve">En el período enero-febrero de 2015, el valor de las exportaciones totales ascendió a </w:t>
      </w:r>
      <w:r w:rsidR="001C7810">
        <w:rPr>
          <w:sz w:val="26"/>
          <w:szCs w:val="26"/>
          <w:lang w:val="es-ES_tradnl"/>
        </w:rPr>
        <w:t xml:space="preserve">   </w:t>
      </w:r>
      <w:r w:rsidRPr="0084299B">
        <w:rPr>
          <w:sz w:val="26"/>
          <w:szCs w:val="26"/>
          <w:lang w:val="es-ES_tradnl"/>
        </w:rPr>
        <w:t>56 mil 251.0 millones de dólares, lo que significó una reducción anual de 2.2%. Dicha tasa se originó de la combinación de un crecimiento de 4.8% en las exportaciones no petroleras y de una caída de 47.1% en las petroleras.</w:t>
      </w:r>
    </w:p>
    <w:p w14:paraId="7D0E3449" w14:textId="77777777" w:rsidR="0084299B" w:rsidRPr="0084299B" w:rsidRDefault="0084299B" w:rsidP="0084299B">
      <w:pPr>
        <w:spacing w:after="360" w:line="360" w:lineRule="auto"/>
        <w:ind w:right="-159"/>
        <w:jc w:val="center"/>
        <w:rPr>
          <w:sz w:val="26"/>
          <w:szCs w:val="26"/>
          <w:lang w:val="es-ES_tradnl"/>
        </w:rPr>
      </w:pPr>
      <w:r w:rsidRPr="0084299B">
        <w:rPr>
          <w:rFonts w:ascii="Calibri" w:eastAsia="Calibri" w:hAnsi="Calibri"/>
          <w:sz w:val="22"/>
          <w:szCs w:val="22"/>
          <w:lang w:eastAsia="en-US"/>
        </w:rPr>
        <w:lastRenderedPageBreak/>
        <w:fldChar w:fldCharType="begin"/>
      </w:r>
      <w:r w:rsidRPr="0084299B">
        <w:rPr>
          <w:rFonts w:ascii="Calibri" w:eastAsia="Calibri" w:hAnsi="Calibri"/>
          <w:sz w:val="22"/>
          <w:szCs w:val="22"/>
          <w:lang w:eastAsia="en-US"/>
        </w:rPr>
        <w:instrText xml:space="preserve"> LINK PowerPoint.Slide.8 "D:\\2015\\ABRIL\\GRÁFICAS POWER POINT\\3.- GRÁFICAS DE BAL COM.pptx!290" "" \a \p </w:instrText>
      </w:r>
      <w:r w:rsidRPr="0084299B">
        <w:rPr>
          <w:rFonts w:ascii="Calibri" w:eastAsia="Calibri" w:hAnsi="Calibri"/>
          <w:sz w:val="22"/>
          <w:szCs w:val="22"/>
          <w:lang w:eastAsia="en-US"/>
        </w:rPr>
        <w:fldChar w:fldCharType="separate"/>
      </w:r>
      <w:r w:rsidRPr="0084299B">
        <w:rPr>
          <w:rFonts w:ascii="Calibri" w:eastAsia="Calibri" w:hAnsi="Calibri"/>
          <w:noProof/>
          <w:sz w:val="22"/>
          <w:szCs w:val="22"/>
          <w:lang w:eastAsia="es-MX"/>
        </w:rPr>
        <w:drawing>
          <wp:inline distT="0" distB="0" distL="0" distR="0" wp14:anchorId="1290A4B4" wp14:editId="520B485C">
            <wp:extent cx="4572000" cy="3385820"/>
            <wp:effectExtent l="0" t="0" r="0" b="508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11" cstate="print">
                      <a:extLst>
                        <a:ext uri="{28A0092B-C50C-407E-A947-70E740481C1C}">
                          <a14:useLocalDpi xmlns:a14="http://schemas.microsoft.com/office/drawing/2010/main" val="0"/>
                        </a:ext>
                      </a:extLst>
                    </a:blip>
                    <a:srcRect l="15024" r="9703"/>
                    <a:stretch>
                      <a:fillRect/>
                    </a:stretch>
                  </pic:blipFill>
                  <pic:spPr bwMode="auto">
                    <a:xfrm>
                      <a:off x="0" y="0"/>
                      <a:ext cx="4572000" cy="3385820"/>
                    </a:xfrm>
                    <a:prstGeom prst="rect">
                      <a:avLst/>
                    </a:prstGeom>
                    <a:noFill/>
                    <a:ln>
                      <a:noFill/>
                    </a:ln>
                  </pic:spPr>
                </pic:pic>
              </a:graphicData>
            </a:graphic>
          </wp:inline>
        </w:drawing>
      </w:r>
      <w:r w:rsidRPr="0084299B">
        <w:rPr>
          <w:rFonts w:ascii="Calibri" w:eastAsia="Calibri" w:hAnsi="Calibri"/>
          <w:sz w:val="22"/>
          <w:szCs w:val="22"/>
          <w:lang w:eastAsia="en-US"/>
        </w:rPr>
        <w:fldChar w:fldCharType="end"/>
      </w:r>
    </w:p>
    <w:p w14:paraId="24F8D878" w14:textId="77777777" w:rsidR="0084299B" w:rsidRPr="0084299B" w:rsidRDefault="0084299B" w:rsidP="0084299B">
      <w:pPr>
        <w:spacing w:after="360" w:line="360" w:lineRule="auto"/>
        <w:ind w:right="-159"/>
        <w:jc w:val="both"/>
        <w:rPr>
          <w:b/>
          <w:sz w:val="26"/>
          <w:szCs w:val="26"/>
          <w:lang w:val="es-ES_tradnl"/>
        </w:rPr>
      </w:pPr>
      <w:r w:rsidRPr="0084299B">
        <w:rPr>
          <w:b/>
          <w:sz w:val="26"/>
          <w:szCs w:val="26"/>
          <w:lang w:val="es-ES_tradnl"/>
        </w:rPr>
        <w:t>Exportaciones por Tipo de Mercancía</w:t>
      </w:r>
    </w:p>
    <w:p w14:paraId="7995487C" w14:textId="77777777" w:rsidR="0084299B" w:rsidRPr="0084299B" w:rsidRDefault="0084299B" w:rsidP="0084299B">
      <w:pPr>
        <w:spacing w:after="360" w:line="360" w:lineRule="auto"/>
        <w:ind w:right="-159"/>
        <w:jc w:val="both"/>
        <w:rPr>
          <w:sz w:val="26"/>
          <w:szCs w:val="26"/>
          <w:lang w:val="es-ES_tradnl"/>
        </w:rPr>
      </w:pPr>
      <w:r w:rsidRPr="0084299B">
        <w:rPr>
          <w:sz w:val="26"/>
          <w:szCs w:val="26"/>
          <w:lang w:val="es-ES_tradnl"/>
        </w:rPr>
        <w:t>En el mes de referencia, las exportaciones de productos manufacturados mostraron un avance anual de 3.7%. Las alzas anuales más significativas se observaron en las exportaciones de alimentos, bebidas y tabaco (10%), de equipos y aparatos eléctricos y electrónicos (6.6%), de equipo profesional y científico (6.1%), de productos de la industria química (3.6%) y de productos de la industria automotriz (3.5%). A su vez, el incremento anual en las exportaciones de productos automotrices reflejó incrementos de 1.5% en las ventas canalizadas a Estados Unidos de Norteamérica y de 14.5% en las dirigidas a otros mercados.</w:t>
      </w:r>
    </w:p>
    <w:p w14:paraId="6F0AB587" w14:textId="77777777" w:rsidR="0084299B" w:rsidRPr="0084299B" w:rsidRDefault="0084299B" w:rsidP="0084299B">
      <w:pPr>
        <w:spacing w:after="360" w:line="360" w:lineRule="auto"/>
        <w:ind w:right="-159"/>
        <w:jc w:val="both"/>
        <w:rPr>
          <w:sz w:val="26"/>
          <w:szCs w:val="26"/>
          <w:lang w:val="es-ES"/>
        </w:rPr>
      </w:pPr>
      <w:r w:rsidRPr="0084299B">
        <w:rPr>
          <w:sz w:val="26"/>
          <w:szCs w:val="26"/>
          <w:lang w:val="es-ES"/>
        </w:rPr>
        <w:t xml:space="preserve">El valor de las exportaciones agropecuarias y pesqueras ascendió a 1 mil 154.6 millones de dólares, monto que implicó una variación de 4.8% a tasa anual. Los aumentos anuales más importantes se registraron en las exportaciones de camarón congelado (52%), de melón, sandía y papaya (51.5%), de frutas y frutos comestibles (32%), de ganado vacuno (27.5%), de aguacates (26.2%), de cebollas y ajos (22%), de café </w:t>
      </w:r>
      <w:r w:rsidRPr="0084299B">
        <w:rPr>
          <w:sz w:val="26"/>
          <w:szCs w:val="26"/>
          <w:lang w:val="es-ES"/>
        </w:rPr>
        <w:lastRenderedPageBreak/>
        <w:t>(20.9%), de cítricos (14.5%) y de legumbres y hortalizas (6.5%). En contraste, mostraron descensos anuales las exportaciones de garbanzo (42.6%), de pescados y moluscos (23.8%), de fresas frescas (11%), de pimiento (7.6%) y de jitomate (7.4%). En cuanto a las exportaciones extractivas, éstas se ubicaron en 504.0 millones de dólares en el segundo mes del presente año, con un avance de 18.7 por ciento.</w:t>
      </w:r>
    </w:p>
    <w:p w14:paraId="08E2FF3F" w14:textId="77777777" w:rsidR="0084299B" w:rsidRPr="0084299B" w:rsidRDefault="0084299B" w:rsidP="0084299B">
      <w:pPr>
        <w:spacing w:after="360" w:line="360" w:lineRule="auto"/>
        <w:ind w:right="-159"/>
        <w:jc w:val="both"/>
        <w:rPr>
          <w:b/>
          <w:sz w:val="26"/>
          <w:szCs w:val="26"/>
          <w:lang w:val="es-ES_tradnl"/>
        </w:rPr>
      </w:pPr>
      <w:r w:rsidRPr="0084299B">
        <w:rPr>
          <w:b/>
          <w:sz w:val="26"/>
          <w:szCs w:val="26"/>
          <w:lang w:val="es-ES_tradnl"/>
        </w:rPr>
        <w:t>Estructura de las Exportaciones</w:t>
      </w:r>
    </w:p>
    <w:p w14:paraId="0766C977" w14:textId="77777777" w:rsidR="0084299B" w:rsidRPr="0084299B" w:rsidRDefault="0084299B" w:rsidP="0084299B">
      <w:pPr>
        <w:spacing w:after="360" w:line="360" w:lineRule="auto"/>
        <w:ind w:right="-159"/>
        <w:jc w:val="both"/>
        <w:rPr>
          <w:sz w:val="26"/>
          <w:szCs w:val="26"/>
          <w:lang w:val="es-ES"/>
        </w:rPr>
      </w:pPr>
      <w:r w:rsidRPr="0084299B">
        <w:rPr>
          <w:sz w:val="26"/>
          <w:szCs w:val="26"/>
          <w:lang w:val="es-ES"/>
        </w:rPr>
        <w:t>La estructura del valor de las exportaciones de mercancías en el primer bimestre de 2015, fue la siguiente: bienes manufacturados 87%, productos petroleros 7.3%, bienes agropecuarios 4.2% y productos extractivos no petroleros 1.5 por ciento.</w:t>
      </w:r>
    </w:p>
    <w:p w14:paraId="0D4B88D7" w14:textId="77777777" w:rsidR="0084299B" w:rsidRPr="0084299B" w:rsidRDefault="0084299B" w:rsidP="0084299B">
      <w:pPr>
        <w:spacing w:after="360" w:line="360" w:lineRule="auto"/>
        <w:ind w:right="-159"/>
        <w:jc w:val="both"/>
        <w:rPr>
          <w:b/>
          <w:sz w:val="26"/>
          <w:szCs w:val="26"/>
          <w:lang w:val="es-ES_tradnl"/>
        </w:rPr>
      </w:pPr>
      <w:r w:rsidRPr="0084299B">
        <w:rPr>
          <w:b/>
          <w:sz w:val="26"/>
          <w:szCs w:val="26"/>
          <w:lang w:val="es-ES_tradnl"/>
        </w:rPr>
        <w:t>Importaciones Totales de Mercancías</w:t>
      </w:r>
    </w:p>
    <w:p w14:paraId="25CD52D5" w14:textId="77777777" w:rsidR="0084299B" w:rsidRPr="0084299B" w:rsidRDefault="0084299B" w:rsidP="0084299B">
      <w:pPr>
        <w:spacing w:after="360" w:line="360" w:lineRule="auto"/>
        <w:ind w:right="-159"/>
        <w:jc w:val="both"/>
        <w:rPr>
          <w:sz w:val="26"/>
          <w:szCs w:val="26"/>
          <w:lang w:val="es-ES"/>
        </w:rPr>
      </w:pPr>
      <w:r w:rsidRPr="0084299B">
        <w:rPr>
          <w:sz w:val="26"/>
          <w:szCs w:val="26"/>
          <w:lang w:val="es-ES"/>
        </w:rPr>
        <w:t>El valor de las importaciones de mercancías en febrero pasado fue de 29 mil 124.3 millones de dólares, lo que representó una caída anual de 1.4 por ciento.</w:t>
      </w:r>
    </w:p>
    <w:p w14:paraId="50EF8E18" w14:textId="77777777" w:rsidR="0084299B" w:rsidRPr="0084299B" w:rsidRDefault="0084299B" w:rsidP="0084299B">
      <w:pPr>
        <w:spacing w:after="360" w:line="360" w:lineRule="auto"/>
        <w:ind w:right="-159"/>
        <w:jc w:val="center"/>
        <w:rPr>
          <w:sz w:val="26"/>
          <w:szCs w:val="26"/>
          <w:lang w:val="es-ES"/>
        </w:rPr>
      </w:pPr>
      <w:r w:rsidRPr="0084299B">
        <w:rPr>
          <w:rFonts w:ascii="Calibri" w:eastAsia="Calibri" w:hAnsi="Calibri"/>
          <w:sz w:val="22"/>
          <w:szCs w:val="22"/>
          <w:lang w:eastAsia="en-US"/>
        </w:rPr>
        <w:fldChar w:fldCharType="begin"/>
      </w:r>
      <w:r w:rsidRPr="0084299B">
        <w:rPr>
          <w:rFonts w:ascii="Calibri" w:eastAsia="Calibri" w:hAnsi="Calibri"/>
          <w:sz w:val="22"/>
          <w:szCs w:val="22"/>
          <w:lang w:eastAsia="en-US"/>
        </w:rPr>
        <w:instrText xml:space="preserve"> LINK PowerPoint.Slide.8 "D:\\2015\\ABRIL\\GRÁFICAS POWER POINT\\3.- GRÁFICAS DE BAL COM.pptx!288" "" \a \p </w:instrText>
      </w:r>
      <w:r w:rsidRPr="0084299B">
        <w:rPr>
          <w:rFonts w:ascii="Calibri" w:eastAsia="Calibri" w:hAnsi="Calibri"/>
          <w:sz w:val="22"/>
          <w:szCs w:val="22"/>
          <w:lang w:eastAsia="en-US"/>
        </w:rPr>
        <w:fldChar w:fldCharType="separate"/>
      </w:r>
      <w:r w:rsidRPr="0084299B">
        <w:rPr>
          <w:rFonts w:ascii="Calibri" w:eastAsia="Calibri" w:hAnsi="Calibri"/>
          <w:noProof/>
          <w:sz w:val="22"/>
          <w:szCs w:val="22"/>
          <w:lang w:eastAsia="es-MX"/>
        </w:rPr>
        <w:drawing>
          <wp:inline distT="0" distB="0" distL="0" distR="0" wp14:anchorId="15E3C964" wp14:editId="5EB1BE3E">
            <wp:extent cx="4850130" cy="3385820"/>
            <wp:effectExtent l="0" t="0" r="7620" b="508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
                    <pic:cNvPicPr>
                      <a:picLocks noChangeAspect="1" noChangeArrowheads="1"/>
                    </pic:cNvPicPr>
                  </pic:nvPicPr>
                  <pic:blipFill>
                    <a:blip r:embed="rId12" cstate="print">
                      <a:extLst>
                        <a:ext uri="{28A0092B-C50C-407E-A947-70E740481C1C}">
                          <a14:useLocalDpi xmlns:a14="http://schemas.microsoft.com/office/drawing/2010/main" val="0"/>
                        </a:ext>
                      </a:extLst>
                    </a:blip>
                    <a:srcRect l="10799" r="10016"/>
                    <a:stretch>
                      <a:fillRect/>
                    </a:stretch>
                  </pic:blipFill>
                  <pic:spPr bwMode="auto">
                    <a:xfrm>
                      <a:off x="0" y="0"/>
                      <a:ext cx="4850130" cy="3385820"/>
                    </a:xfrm>
                    <a:prstGeom prst="rect">
                      <a:avLst/>
                    </a:prstGeom>
                    <a:noFill/>
                    <a:ln>
                      <a:noFill/>
                    </a:ln>
                  </pic:spPr>
                </pic:pic>
              </a:graphicData>
            </a:graphic>
          </wp:inline>
        </w:drawing>
      </w:r>
      <w:r w:rsidRPr="0084299B">
        <w:rPr>
          <w:rFonts w:ascii="Calibri" w:eastAsia="Calibri" w:hAnsi="Calibri"/>
          <w:sz w:val="22"/>
          <w:szCs w:val="22"/>
          <w:lang w:eastAsia="en-US"/>
        </w:rPr>
        <w:fldChar w:fldCharType="end"/>
      </w:r>
    </w:p>
    <w:p w14:paraId="112B0AF5" w14:textId="77777777" w:rsidR="0084299B" w:rsidRPr="0084299B" w:rsidRDefault="0084299B" w:rsidP="0084299B">
      <w:pPr>
        <w:spacing w:after="360" w:line="360" w:lineRule="auto"/>
        <w:ind w:right="-159"/>
        <w:jc w:val="both"/>
        <w:rPr>
          <w:sz w:val="26"/>
          <w:szCs w:val="26"/>
          <w:lang w:val="es-ES"/>
        </w:rPr>
      </w:pPr>
      <w:r w:rsidRPr="0084299B">
        <w:rPr>
          <w:sz w:val="26"/>
          <w:szCs w:val="26"/>
          <w:lang w:val="es-ES"/>
        </w:rPr>
        <w:lastRenderedPageBreak/>
        <w:t>En el período enero-febrero de 2015, el valor de las importaciones totales ascendió a 58 mil 940.3 millones de dólares, lo que significó una disminución anual de 1.4%. Dicha tasa fue resultado neto de un aumento de 1.1% en las importaciones no petroleras y de una reducción de 20.7% en las petroleras.</w:t>
      </w:r>
    </w:p>
    <w:p w14:paraId="3B50237C" w14:textId="77777777" w:rsidR="0084299B" w:rsidRPr="0084299B" w:rsidRDefault="0084299B" w:rsidP="0084299B">
      <w:pPr>
        <w:spacing w:after="360" w:line="360" w:lineRule="auto"/>
        <w:ind w:right="-159"/>
        <w:jc w:val="center"/>
        <w:rPr>
          <w:sz w:val="26"/>
          <w:szCs w:val="26"/>
          <w:lang w:val="es-ES"/>
        </w:rPr>
      </w:pPr>
      <w:r w:rsidRPr="0084299B">
        <w:rPr>
          <w:rFonts w:ascii="Calibri" w:eastAsia="Calibri" w:hAnsi="Calibri"/>
          <w:sz w:val="22"/>
          <w:szCs w:val="22"/>
          <w:lang w:eastAsia="en-US"/>
        </w:rPr>
        <w:fldChar w:fldCharType="begin"/>
      </w:r>
      <w:r w:rsidRPr="0084299B">
        <w:rPr>
          <w:rFonts w:ascii="Calibri" w:eastAsia="Calibri" w:hAnsi="Calibri"/>
          <w:sz w:val="22"/>
          <w:szCs w:val="22"/>
          <w:lang w:eastAsia="en-US"/>
        </w:rPr>
        <w:instrText xml:space="preserve"> LINK PowerPoint.Slide.8 "D:\\2015\\ABRIL\\GRÁFICAS POWER POINT\\3.- GRÁFICAS DE BAL COM.pptx!291" "" \a \p </w:instrText>
      </w:r>
      <w:r w:rsidRPr="0084299B">
        <w:rPr>
          <w:rFonts w:ascii="Calibri" w:eastAsia="Calibri" w:hAnsi="Calibri"/>
          <w:sz w:val="22"/>
          <w:szCs w:val="22"/>
          <w:lang w:eastAsia="en-US"/>
        </w:rPr>
        <w:fldChar w:fldCharType="separate"/>
      </w:r>
      <w:r w:rsidRPr="0084299B">
        <w:rPr>
          <w:rFonts w:ascii="Calibri" w:eastAsia="Calibri" w:hAnsi="Calibri"/>
          <w:noProof/>
          <w:sz w:val="22"/>
          <w:szCs w:val="22"/>
          <w:lang w:eastAsia="es-MX"/>
        </w:rPr>
        <w:drawing>
          <wp:inline distT="0" distB="0" distL="0" distR="0" wp14:anchorId="63DC4436" wp14:editId="1431B6D8">
            <wp:extent cx="4485640" cy="3385820"/>
            <wp:effectExtent l="0" t="0" r="0" b="508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ChangeAspect="1" noChangeArrowheads="1"/>
                    </pic:cNvPicPr>
                  </pic:nvPicPr>
                  <pic:blipFill>
                    <a:blip r:embed="rId13" cstate="print">
                      <a:extLst>
                        <a:ext uri="{28A0092B-C50C-407E-A947-70E740481C1C}">
                          <a14:useLocalDpi xmlns:a14="http://schemas.microsoft.com/office/drawing/2010/main" val="0"/>
                        </a:ext>
                      </a:extLst>
                    </a:blip>
                    <a:srcRect l="15492" r="11111"/>
                    <a:stretch>
                      <a:fillRect/>
                    </a:stretch>
                  </pic:blipFill>
                  <pic:spPr bwMode="auto">
                    <a:xfrm>
                      <a:off x="0" y="0"/>
                      <a:ext cx="4485640" cy="3385820"/>
                    </a:xfrm>
                    <a:prstGeom prst="rect">
                      <a:avLst/>
                    </a:prstGeom>
                    <a:noFill/>
                    <a:ln>
                      <a:noFill/>
                    </a:ln>
                  </pic:spPr>
                </pic:pic>
              </a:graphicData>
            </a:graphic>
          </wp:inline>
        </w:drawing>
      </w:r>
      <w:r w:rsidRPr="0084299B">
        <w:rPr>
          <w:rFonts w:ascii="Calibri" w:eastAsia="Calibri" w:hAnsi="Calibri"/>
          <w:sz w:val="22"/>
          <w:szCs w:val="22"/>
          <w:lang w:eastAsia="en-US"/>
        </w:rPr>
        <w:fldChar w:fldCharType="end"/>
      </w:r>
    </w:p>
    <w:p w14:paraId="0C6E14A8" w14:textId="77777777" w:rsidR="0084299B" w:rsidRPr="0084299B" w:rsidRDefault="0084299B" w:rsidP="0084299B">
      <w:pPr>
        <w:spacing w:after="360" w:line="360" w:lineRule="auto"/>
        <w:ind w:right="-159"/>
        <w:jc w:val="both"/>
        <w:rPr>
          <w:b/>
          <w:sz w:val="26"/>
          <w:szCs w:val="26"/>
          <w:lang w:val="es-ES_tradnl"/>
        </w:rPr>
      </w:pPr>
      <w:r w:rsidRPr="0084299B">
        <w:rPr>
          <w:b/>
          <w:sz w:val="26"/>
          <w:szCs w:val="26"/>
          <w:lang w:val="es-ES_tradnl"/>
        </w:rPr>
        <w:t>Importaciones por Tipo de Bien</w:t>
      </w:r>
    </w:p>
    <w:p w14:paraId="761B24E1" w14:textId="77777777" w:rsidR="0084299B" w:rsidRPr="0084299B" w:rsidRDefault="0084299B" w:rsidP="0084299B">
      <w:pPr>
        <w:spacing w:after="360" w:line="360" w:lineRule="auto"/>
        <w:ind w:right="-159"/>
        <w:jc w:val="both"/>
        <w:rPr>
          <w:sz w:val="26"/>
          <w:szCs w:val="26"/>
          <w:lang w:val="es-ES"/>
        </w:rPr>
      </w:pPr>
      <w:r w:rsidRPr="0084299B">
        <w:rPr>
          <w:sz w:val="26"/>
          <w:szCs w:val="26"/>
          <w:lang w:val="es-ES"/>
        </w:rPr>
        <w:t>Con relación a las importaciones de bienes de consumo, éstas sumaron 3 mil 935.9 millones de dólares, lo que implicó un descenso anual de 5.9%. Dicha tasa se derivó de la combinación de una alza de 2.3% en las importaciones de bienes de consumo no petroleros y de un decremento de 26% en las de bienes de consumo petroleros (gasolina y gas butano y propano). Por su parte, en febrero del presente año se importaron bienes de uso intermedio por 22 mil 389.5 millones de dólares, nivel inferior en 0.4% al observado en febrero de 2014. A su vez, esta tasa fue resultado neto de un incremento de 1.6% en las importaciones de bienes de uso intermedio no petroleros y de una variación negativa de 20.3% en las de productos de uso intermedio petroleros.</w:t>
      </w:r>
    </w:p>
    <w:p w14:paraId="0A62C041" w14:textId="77777777" w:rsidR="0084299B" w:rsidRPr="0084299B" w:rsidRDefault="0084299B" w:rsidP="001C7810">
      <w:pPr>
        <w:tabs>
          <w:tab w:val="center" w:pos="4498"/>
          <w:tab w:val="right" w:pos="8997"/>
        </w:tabs>
        <w:spacing w:after="360" w:line="360" w:lineRule="auto"/>
        <w:ind w:right="-159"/>
        <w:jc w:val="both"/>
        <w:rPr>
          <w:sz w:val="26"/>
          <w:szCs w:val="26"/>
          <w:lang w:val="es-ES_tradnl"/>
        </w:rPr>
      </w:pPr>
      <w:r w:rsidRPr="0084299B">
        <w:rPr>
          <w:sz w:val="26"/>
          <w:szCs w:val="26"/>
          <w:lang w:val="es-ES_tradnl"/>
        </w:rPr>
        <w:lastRenderedPageBreak/>
        <w:t>En lo que corresponde a las importaciones de bienes de capital, en el mes que se reporta éstas alcanzaron a 2 mil 798.8 millones de dólares, cifra que implicó un retroceso de 3.1% con relación al monto registrado en igual mes de 2014.</w:t>
      </w:r>
    </w:p>
    <w:p w14:paraId="0976427A" w14:textId="77777777" w:rsidR="0084299B" w:rsidRPr="0084299B" w:rsidRDefault="0084299B" w:rsidP="0084299B">
      <w:pPr>
        <w:spacing w:after="360" w:line="360" w:lineRule="auto"/>
        <w:ind w:right="-159"/>
        <w:jc w:val="both"/>
        <w:rPr>
          <w:b/>
          <w:sz w:val="26"/>
          <w:szCs w:val="26"/>
          <w:lang w:val="es-ES_tradnl"/>
        </w:rPr>
      </w:pPr>
      <w:r w:rsidRPr="0084299B">
        <w:rPr>
          <w:b/>
          <w:sz w:val="26"/>
          <w:szCs w:val="26"/>
          <w:lang w:val="es-ES_tradnl"/>
        </w:rPr>
        <w:t>Estructura de las Importaciones</w:t>
      </w:r>
    </w:p>
    <w:p w14:paraId="18E0F307" w14:textId="323B1F68" w:rsidR="0084299B" w:rsidRPr="0084299B" w:rsidRDefault="0084299B" w:rsidP="0084299B">
      <w:pPr>
        <w:spacing w:after="360" w:line="360" w:lineRule="auto"/>
        <w:ind w:right="-159"/>
        <w:jc w:val="both"/>
        <w:rPr>
          <w:sz w:val="26"/>
          <w:szCs w:val="26"/>
          <w:lang w:val="es-ES"/>
        </w:rPr>
      </w:pPr>
      <w:r w:rsidRPr="0084299B">
        <w:rPr>
          <w:sz w:val="26"/>
          <w:szCs w:val="26"/>
          <w:lang w:val="es-ES"/>
        </w:rPr>
        <w:t>La estructura del valor de las importaciones en los primeros dos meses de 2015 fue la siguiente: bienes de uso intermedio 75.3%, bienes de capital 10.5% y bienes de consumo 14.2 por ciento.</w:t>
      </w:r>
    </w:p>
    <w:p w14:paraId="08D80992" w14:textId="77777777" w:rsidR="0084299B" w:rsidRPr="0084299B" w:rsidRDefault="0084299B" w:rsidP="0084299B">
      <w:pPr>
        <w:spacing w:after="360" w:line="360" w:lineRule="auto"/>
        <w:ind w:right="-159"/>
        <w:jc w:val="both"/>
        <w:rPr>
          <w:rFonts w:eastAsia="Times New Roman"/>
          <w:b/>
          <w:sz w:val="26"/>
          <w:szCs w:val="26"/>
        </w:rPr>
      </w:pPr>
      <w:r w:rsidRPr="0084299B">
        <w:rPr>
          <w:rFonts w:eastAsia="Times New Roman"/>
          <w:b/>
          <w:sz w:val="26"/>
          <w:szCs w:val="26"/>
        </w:rPr>
        <w:t>Cifras ajustadas por estacionalidad</w:t>
      </w:r>
    </w:p>
    <w:p w14:paraId="62F3D817" w14:textId="77777777" w:rsidR="0084299B" w:rsidRPr="0084299B" w:rsidRDefault="0084299B" w:rsidP="0084299B">
      <w:pPr>
        <w:spacing w:after="360" w:line="360" w:lineRule="auto"/>
        <w:ind w:right="-159"/>
        <w:jc w:val="both"/>
        <w:rPr>
          <w:sz w:val="26"/>
          <w:szCs w:val="26"/>
          <w:lang w:val="es-ES_tradnl"/>
        </w:rPr>
      </w:pPr>
      <w:r w:rsidRPr="0084299B">
        <w:rPr>
          <w:sz w:val="26"/>
          <w:szCs w:val="26"/>
          <w:lang w:val="es-ES_tradnl"/>
        </w:rPr>
        <w:t xml:space="preserve">Con cifras </w:t>
      </w:r>
      <w:proofErr w:type="spellStart"/>
      <w:r w:rsidRPr="0084299B">
        <w:rPr>
          <w:sz w:val="26"/>
          <w:szCs w:val="26"/>
          <w:lang w:val="es-ES_tradnl"/>
        </w:rPr>
        <w:t>desestacionalizadas</w:t>
      </w:r>
      <w:proofErr w:type="spellEnd"/>
      <w:r w:rsidRPr="0084299B">
        <w:rPr>
          <w:sz w:val="26"/>
          <w:szCs w:val="26"/>
          <w:lang w:val="es-ES_tradnl"/>
        </w:rPr>
        <w:t xml:space="preserve">, en febrero de 2015, la balanza comercial registró un déficit de 44 millones de dólares, mientras que en enero el saldo de esta balanza fue deficitario en 1 mil 815 millones de dólares. El cambio en el saldo comercial </w:t>
      </w:r>
      <w:proofErr w:type="spellStart"/>
      <w:r w:rsidRPr="0084299B">
        <w:rPr>
          <w:sz w:val="26"/>
          <w:szCs w:val="26"/>
          <w:lang w:val="es-ES_tradnl"/>
        </w:rPr>
        <w:t>desestacionalizado</w:t>
      </w:r>
      <w:proofErr w:type="spellEnd"/>
      <w:r w:rsidRPr="0084299B">
        <w:rPr>
          <w:sz w:val="26"/>
          <w:szCs w:val="26"/>
          <w:lang w:val="es-ES_tradnl"/>
        </w:rPr>
        <w:t xml:space="preserve"> entre enero y febrero se derivó de un aumento en el saldo de la balanza de productos no petroleros, el cual pasó de un déficit de 842 millones de dólares en enero a un superávit de 454 millones de dólares en febrero, y de una reducción en el déficit de la balanza productos petroleros, que pasó de 973 millones de dólares a           497 millones de dólares, en esa misma comparación.</w:t>
      </w:r>
    </w:p>
    <w:p w14:paraId="3FB5D115" w14:textId="77777777" w:rsidR="0084299B" w:rsidRPr="0084299B" w:rsidRDefault="0084299B" w:rsidP="0084299B">
      <w:pPr>
        <w:spacing w:after="360" w:line="360" w:lineRule="auto"/>
        <w:ind w:right="-159"/>
        <w:jc w:val="center"/>
        <w:rPr>
          <w:sz w:val="26"/>
          <w:szCs w:val="26"/>
          <w:lang w:val="es-ES_tradnl"/>
        </w:rPr>
      </w:pPr>
      <w:r w:rsidRPr="0084299B">
        <w:rPr>
          <w:rFonts w:ascii="Calibri" w:eastAsia="Calibri" w:hAnsi="Calibri"/>
          <w:sz w:val="22"/>
          <w:szCs w:val="22"/>
          <w:lang w:eastAsia="en-US"/>
        </w:rPr>
        <w:lastRenderedPageBreak/>
        <w:fldChar w:fldCharType="begin"/>
      </w:r>
      <w:r w:rsidRPr="0084299B">
        <w:rPr>
          <w:rFonts w:ascii="Calibri" w:eastAsia="Calibri" w:hAnsi="Calibri"/>
          <w:sz w:val="22"/>
          <w:szCs w:val="22"/>
          <w:lang w:eastAsia="en-US"/>
        </w:rPr>
        <w:instrText xml:space="preserve"> LINK PowerPoint.Slide.8 "D:\\2015\\ABRIL\\GRÁFICAS POWER POINT\\3.- GRÁFICAS DE BAL COM.pptx!285" "" \a \p </w:instrText>
      </w:r>
      <w:r w:rsidRPr="0084299B">
        <w:rPr>
          <w:rFonts w:ascii="Calibri" w:eastAsia="Calibri" w:hAnsi="Calibri"/>
          <w:sz w:val="22"/>
          <w:szCs w:val="22"/>
          <w:lang w:eastAsia="en-US"/>
        </w:rPr>
        <w:fldChar w:fldCharType="separate"/>
      </w:r>
      <w:r w:rsidRPr="0084299B">
        <w:rPr>
          <w:rFonts w:ascii="Calibri" w:eastAsia="Calibri" w:hAnsi="Calibri"/>
          <w:noProof/>
          <w:sz w:val="22"/>
          <w:szCs w:val="22"/>
          <w:lang w:eastAsia="es-MX"/>
        </w:rPr>
        <w:drawing>
          <wp:inline distT="0" distB="0" distL="0" distR="0" wp14:anchorId="52402D2C" wp14:editId="0311CD60">
            <wp:extent cx="4850130" cy="3200400"/>
            <wp:effectExtent l="0" t="0" r="762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ChangeAspect="1" noChangeArrowheads="1"/>
                    </pic:cNvPicPr>
                  </pic:nvPicPr>
                  <pic:blipFill>
                    <a:blip r:embed="rId14" cstate="print">
                      <a:extLst>
                        <a:ext uri="{28A0092B-C50C-407E-A947-70E740481C1C}">
                          <a14:useLocalDpi xmlns:a14="http://schemas.microsoft.com/office/drawing/2010/main" val="0"/>
                        </a:ext>
                      </a:extLst>
                    </a:blip>
                    <a:srcRect l="10954" t="3055" r="9859" b="2777"/>
                    <a:stretch>
                      <a:fillRect/>
                    </a:stretch>
                  </pic:blipFill>
                  <pic:spPr bwMode="auto">
                    <a:xfrm>
                      <a:off x="0" y="0"/>
                      <a:ext cx="4850130" cy="3200400"/>
                    </a:xfrm>
                    <a:prstGeom prst="rect">
                      <a:avLst/>
                    </a:prstGeom>
                    <a:noFill/>
                    <a:ln>
                      <a:noFill/>
                    </a:ln>
                  </pic:spPr>
                </pic:pic>
              </a:graphicData>
            </a:graphic>
          </wp:inline>
        </w:drawing>
      </w:r>
      <w:r w:rsidRPr="0084299B">
        <w:rPr>
          <w:rFonts w:ascii="Calibri" w:eastAsia="Calibri" w:hAnsi="Calibri"/>
          <w:sz w:val="22"/>
          <w:szCs w:val="22"/>
          <w:lang w:eastAsia="en-US"/>
        </w:rPr>
        <w:fldChar w:fldCharType="end"/>
      </w:r>
    </w:p>
    <w:p w14:paraId="3D22ED98" w14:textId="77777777" w:rsidR="0084299B" w:rsidRPr="0084299B" w:rsidRDefault="0084299B" w:rsidP="0084299B">
      <w:pPr>
        <w:spacing w:after="360" w:line="360" w:lineRule="auto"/>
        <w:ind w:right="-159"/>
        <w:jc w:val="both"/>
        <w:rPr>
          <w:sz w:val="26"/>
          <w:szCs w:val="26"/>
          <w:lang w:val="es-ES_tradnl"/>
        </w:rPr>
      </w:pPr>
      <w:r w:rsidRPr="0084299B">
        <w:rPr>
          <w:sz w:val="26"/>
          <w:szCs w:val="26"/>
          <w:lang w:val="es-ES_tradnl"/>
        </w:rPr>
        <w:t xml:space="preserve">En el mes en cuestión, las exportaciones totales </w:t>
      </w:r>
      <w:proofErr w:type="spellStart"/>
      <w:r w:rsidRPr="0084299B">
        <w:rPr>
          <w:sz w:val="26"/>
          <w:szCs w:val="26"/>
          <w:lang w:val="es-ES_tradnl"/>
        </w:rPr>
        <w:t>desestacionalizadas</w:t>
      </w:r>
      <w:proofErr w:type="spellEnd"/>
      <w:r w:rsidRPr="0084299B">
        <w:rPr>
          <w:sz w:val="26"/>
          <w:szCs w:val="26"/>
          <w:lang w:val="es-ES_tradnl"/>
        </w:rPr>
        <w:t xml:space="preserve"> reportaron un incremento mensual de 0.42%, la cual reflejó alzas de 0.03% en las exportaciones no petroleras y de 6.02% en las petroleras. Al interior de las exportaciones no petroleras, las manufactureras mostraron un descenso mensual de 0.25%. A su vez, dicha tasa se originó de la combinación de una caída de 2.12% en las exportaciones automotrices y de un avance de 0.67% en las manufacturas no automotrices.</w:t>
      </w:r>
    </w:p>
    <w:tbl>
      <w:tblPr>
        <w:tblW w:w="0" w:type="auto"/>
        <w:tblLook w:val="04A0" w:firstRow="1" w:lastRow="0" w:firstColumn="1" w:lastColumn="0" w:noHBand="0" w:noVBand="1"/>
      </w:tblPr>
      <w:tblGrid>
        <w:gridCol w:w="8828"/>
      </w:tblGrid>
      <w:tr w:rsidR="0084299B" w:rsidRPr="0084299B" w14:paraId="5A7D0374" w14:textId="77777777" w:rsidTr="00EA3974">
        <w:tc>
          <w:tcPr>
            <w:tcW w:w="8828" w:type="dxa"/>
          </w:tcPr>
          <w:p w14:paraId="0001A754" w14:textId="77777777" w:rsidR="0084299B" w:rsidRPr="0084299B" w:rsidRDefault="0084299B" w:rsidP="0084299B">
            <w:pPr>
              <w:spacing w:after="200" w:line="276" w:lineRule="auto"/>
              <w:jc w:val="center"/>
              <w:rPr>
                <w:rFonts w:ascii="Calibri" w:eastAsia="Calibri" w:hAnsi="Calibri"/>
                <w:sz w:val="22"/>
                <w:szCs w:val="22"/>
                <w:lang w:eastAsia="en-US"/>
              </w:rPr>
            </w:pPr>
            <w:r w:rsidRPr="0084299B">
              <w:rPr>
                <w:rFonts w:ascii="Calibri" w:eastAsia="Calibri" w:hAnsi="Calibri"/>
                <w:sz w:val="22"/>
                <w:szCs w:val="22"/>
                <w:lang w:eastAsia="en-US"/>
              </w:rPr>
              <w:fldChar w:fldCharType="begin"/>
            </w:r>
            <w:r w:rsidRPr="0084299B">
              <w:rPr>
                <w:rFonts w:ascii="Calibri" w:eastAsia="Calibri" w:hAnsi="Calibri"/>
                <w:sz w:val="22"/>
                <w:szCs w:val="22"/>
                <w:lang w:eastAsia="en-US"/>
              </w:rPr>
              <w:instrText xml:space="preserve"> LINK PowerPoint.Slide.8 "D:\\2015\\ABRIL\\GRÁFICAS POWER POINT\\3.- GRÁFICAS DE BAL COM.pptx!281" "" \a \p </w:instrText>
            </w:r>
            <w:r w:rsidRPr="0084299B">
              <w:rPr>
                <w:rFonts w:ascii="Calibri" w:eastAsia="Calibri" w:hAnsi="Calibri"/>
                <w:sz w:val="22"/>
                <w:szCs w:val="22"/>
                <w:lang w:eastAsia="en-US"/>
              </w:rPr>
              <w:fldChar w:fldCharType="separate"/>
            </w:r>
            <w:r w:rsidRPr="0084299B">
              <w:rPr>
                <w:rFonts w:ascii="Calibri" w:eastAsia="Calibri" w:hAnsi="Calibri"/>
                <w:noProof/>
                <w:sz w:val="22"/>
                <w:szCs w:val="22"/>
                <w:lang w:eastAsia="es-MX"/>
              </w:rPr>
              <w:drawing>
                <wp:inline distT="0" distB="0" distL="0" distR="0" wp14:anchorId="5D008DED" wp14:editId="7951A3D3">
                  <wp:extent cx="5300980" cy="2471420"/>
                  <wp:effectExtent l="0" t="0" r="0" b="508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
                          <pic:cNvPicPr>
                            <a:picLocks noChangeAspect="1" noChangeArrowheads="1"/>
                          </pic:cNvPicPr>
                        </pic:nvPicPr>
                        <pic:blipFill>
                          <a:blip r:embed="rId15" cstate="print">
                            <a:extLst>
                              <a:ext uri="{28A0092B-C50C-407E-A947-70E740481C1C}">
                                <a14:useLocalDpi xmlns:a14="http://schemas.microsoft.com/office/drawing/2010/main" val="0"/>
                              </a:ext>
                            </a:extLst>
                          </a:blip>
                          <a:srcRect l="4382" t="3334" r="8920" b="24722"/>
                          <a:stretch>
                            <a:fillRect/>
                          </a:stretch>
                        </pic:blipFill>
                        <pic:spPr bwMode="auto">
                          <a:xfrm>
                            <a:off x="0" y="0"/>
                            <a:ext cx="5300980" cy="2471420"/>
                          </a:xfrm>
                          <a:prstGeom prst="rect">
                            <a:avLst/>
                          </a:prstGeom>
                          <a:noFill/>
                          <a:ln>
                            <a:noFill/>
                          </a:ln>
                        </pic:spPr>
                      </pic:pic>
                    </a:graphicData>
                  </a:graphic>
                </wp:inline>
              </w:drawing>
            </w:r>
            <w:r w:rsidRPr="0084299B">
              <w:rPr>
                <w:rFonts w:ascii="Calibri" w:eastAsia="Calibri" w:hAnsi="Calibri"/>
                <w:sz w:val="22"/>
                <w:szCs w:val="22"/>
                <w:lang w:eastAsia="en-US"/>
              </w:rPr>
              <w:fldChar w:fldCharType="end"/>
            </w:r>
          </w:p>
        </w:tc>
      </w:tr>
      <w:tr w:rsidR="0084299B" w:rsidRPr="0084299B" w14:paraId="05685111" w14:textId="77777777" w:rsidTr="00EA3974">
        <w:tc>
          <w:tcPr>
            <w:tcW w:w="8828" w:type="dxa"/>
          </w:tcPr>
          <w:p w14:paraId="08FA4CFE" w14:textId="77777777" w:rsidR="0084299B" w:rsidRPr="0084299B" w:rsidRDefault="0084299B" w:rsidP="0084299B">
            <w:pPr>
              <w:spacing w:after="200" w:line="276" w:lineRule="auto"/>
              <w:jc w:val="center"/>
              <w:rPr>
                <w:rFonts w:ascii="Calibri" w:eastAsia="Calibri" w:hAnsi="Calibri"/>
                <w:sz w:val="22"/>
                <w:szCs w:val="22"/>
                <w:lang w:eastAsia="en-US"/>
              </w:rPr>
            </w:pPr>
            <w:r w:rsidRPr="0084299B">
              <w:rPr>
                <w:rFonts w:ascii="Calibri" w:eastAsia="Calibri" w:hAnsi="Calibri"/>
                <w:sz w:val="22"/>
                <w:szCs w:val="22"/>
                <w:lang w:eastAsia="en-US"/>
              </w:rPr>
              <w:lastRenderedPageBreak/>
              <w:fldChar w:fldCharType="begin"/>
            </w:r>
            <w:r w:rsidRPr="0084299B">
              <w:rPr>
                <w:rFonts w:ascii="Calibri" w:eastAsia="Calibri" w:hAnsi="Calibri"/>
                <w:sz w:val="22"/>
                <w:szCs w:val="22"/>
                <w:lang w:eastAsia="en-US"/>
              </w:rPr>
              <w:instrText xml:space="preserve"> LINK PowerPoint.Slide.8 "D:\\2015\\ABRIL\\GRÁFICAS POWER POINT\\3.- GRÁFICAS DE BAL COM.pptx!264" "" \a \p </w:instrText>
            </w:r>
            <w:r w:rsidRPr="0084299B">
              <w:rPr>
                <w:rFonts w:ascii="Calibri" w:eastAsia="Calibri" w:hAnsi="Calibri"/>
                <w:sz w:val="22"/>
                <w:szCs w:val="22"/>
                <w:lang w:eastAsia="en-US"/>
              </w:rPr>
              <w:fldChar w:fldCharType="separate"/>
            </w:r>
            <w:r w:rsidRPr="0084299B">
              <w:rPr>
                <w:rFonts w:ascii="Calibri" w:eastAsia="Calibri" w:hAnsi="Calibri"/>
                <w:noProof/>
                <w:sz w:val="22"/>
                <w:szCs w:val="22"/>
                <w:lang w:eastAsia="es-MX"/>
              </w:rPr>
              <w:drawing>
                <wp:inline distT="0" distB="0" distL="0" distR="0" wp14:anchorId="4C06C79E" wp14:editId="3B24DCE1">
                  <wp:extent cx="5300980" cy="210058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
                          <pic:cNvPicPr>
                            <a:picLocks noChangeAspect="1" noChangeArrowheads="1"/>
                          </pic:cNvPicPr>
                        </pic:nvPicPr>
                        <pic:blipFill>
                          <a:blip r:embed="rId16" cstate="print">
                            <a:extLst>
                              <a:ext uri="{28A0092B-C50C-407E-A947-70E740481C1C}">
                                <a14:useLocalDpi xmlns:a14="http://schemas.microsoft.com/office/drawing/2010/main" val="0"/>
                              </a:ext>
                            </a:extLst>
                          </a:blip>
                          <a:srcRect l="4539" t="14999" r="7825" b="23611"/>
                          <a:stretch>
                            <a:fillRect/>
                          </a:stretch>
                        </pic:blipFill>
                        <pic:spPr bwMode="auto">
                          <a:xfrm>
                            <a:off x="0" y="0"/>
                            <a:ext cx="5300980" cy="2100580"/>
                          </a:xfrm>
                          <a:prstGeom prst="rect">
                            <a:avLst/>
                          </a:prstGeom>
                          <a:noFill/>
                          <a:ln>
                            <a:noFill/>
                          </a:ln>
                        </pic:spPr>
                      </pic:pic>
                    </a:graphicData>
                  </a:graphic>
                </wp:inline>
              </w:drawing>
            </w:r>
            <w:r w:rsidRPr="0084299B">
              <w:rPr>
                <w:rFonts w:ascii="Calibri" w:eastAsia="Calibri" w:hAnsi="Calibri"/>
                <w:sz w:val="22"/>
                <w:szCs w:val="22"/>
                <w:lang w:eastAsia="en-US"/>
              </w:rPr>
              <w:fldChar w:fldCharType="end"/>
            </w:r>
          </w:p>
        </w:tc>
      </w:tr>
      <w:tr w:rsidR="0084299B" w:rsidRPr="0084299B" w14:paraId="65CF680D" w14:textId="77777777" w:rsidTr="00EA3974">
        <w:tc>
          <w:tcPr>
            <w:tcW w:w="8828" w:type="dxa"/>
          </w:tcPr>
          <w:p w14:paraId="0DFAB3C6" w14:textId="77777777" w:rsidR="0084299B" w:rsidRPr="0084299B" w:rsidRDefault="0084299B" w:rsidP="0084299B">
            <w:pPr>
              <w:spacing w:after="200" w:line="276" w:lineRule="auto"/>
              <w:jc w:val="center"/>
              <w:rPr>
                <w:rFonts w:ascii="Calibri" w:eastAsia="Calibri" w:hAnsi="Calibri"/>
                <w:sz w:val="22"/>
                <w:szCs w:val="22"/>
                <w:lang w:eastAsia="en-US"/>
              </w:rPr>
            </w:pPr>
            <w:r w:rsidRPr="0084299B">
              <w:rPr>
                <w:rFonts w:ascii="Calibri" w:eastAsia="Calibri" w:hAnsi="Calibri"/>
                <w:sz w:val="22"/>
                <w:szCs w:val="22"/>
                <w:lang w:eastAsia="en-US"/>
              </w:rPr>
              <w:fldChar w:fldCharType="begin"/>
            </w:r>
            <w:r w:rsidRPr="0084299B">
              <w:rPr>
                <w:rFonts w:ascii="Calibri" w:eastAsia="Calibri" w:hAnsi="Calibri"/>
                <w:sz w:val="22"/>
                <w:szCs w:val="22"/>
                <w:lang w:eastAsia="en-US"/>
              </w:rPr>
              <w:instrText xml:space="preserve"> LINK PowerPoint.Slide.8 "D:\\2015\\ABRIL\\GRÁFICAS POWER POINT\\3.- GRÁFICAS DE BAL COM.pptx!265" "" \a \p </w:instrText>
            </w:r>
            <w:r w:rsidRPr="0084299B">
              <w:rPr>
                <w:rFonts w:ascii="Calibri" w:eastAsia="Calibri" w:hAnsi="Calibri"/>
                <w:sz w:val="22"/>
                <w:szCs w:val="22"/>
                <w:lang w:eastAsia="en-US"/>
              </w:rPr>
              <w:fldChar w:fldCharType="separate"/>
            </w:r>
            <w:r w:rsidRPr="0084299B">
              <w:rPr>
                <w:rFonts w:ascii="Calibri" w:eastAsia="Calibri" w:hAnsi="Calibri"/>
                <w:noProof/>
                <w:sz w:val="22"/>
                <w:szCs w:val="22"/>
                <w:lang w:eastAsia="es-MX"/>
              </w:rPr>
              <w:drawing>
                <wp:inline distT="0" distB="0" distL="0" distR="0" wp14:anchorId="103A6D79" wp14:editId="2C86643E">
                  <wp:extent cx="5393690" cy="274320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7"/>
                          <pic:cNvPicPr>
                            <a:picLocks noChangeAspect="1" noChangeArrowheads="1"/>
                          </pic:cNvPicPr>
                        </pic:nvPicPr>
                        <pic:blipFill>
                          <a:blip r:embed="rId17" cstate="print">
                            <a:extLst>
                              <a:ext uri="{28A0092B-C50C-407E-A947-70E740481C1C}">
                                <a14:useLocalDpi xmlns:a14="http://schemas.microsoft.com/office/drawing/2010/main" val="0"/>
                              </a:ext>
                            </a:extLst>
                          </a:blip>
                          <a:srcRect l="4538" t="13333" r="7042" b="7777"/>
                          <a:stretch>
                            <a:fillRect/>
                          </a:stretch>
                        </pic:blipFill>
                        <pic:spPr bwMode="auto">
                          <a:xfrm>
                            <a:off x="0" y="0"/>
                            <a:ext cx="5393690" cy="2743200"/>
                          </a:xfrm>
                          <a:prstGeom prst="rect">
                            <a:avLst/>
                          </a:prstGeom>
                          <a:noFill/>
                          <a:ln>
                            <a:noFill/>
                          </a:ln>
                        </pic:spPr>
                      </pic:pic>
                    </a:graphicData>
                  </a:graphic>
                </wp:inline>
              </w:drawing>
            </w:r>
            <w:r w:rsidRPr="0084299B">
              <w:rPr>
                <w:rFonts w:ascii="Calibri" w:eastAsia="Calibri" w:hAnsi="Calibri"/>
                <w:sz w:val="22"/>
                <w:szCs w:val="22"/>
                <w:lang w:eastAsia="en-US"/>
              </w:rPr>
              <w:fldChar w:fldCharType="end"/>
            </w:r>
          </w:p>
        </w:tc>
      </w:tr>
    </w:tbl>
    <w:p w14:paraId="60D7B29B" w14:textId="77777777" w:rsidR="0084299B" w:rsidRPr="0084299B" w:rsidRDefault="0084299B" w:rsidP="0084299B">
      <w:pPr>
        <w:spacing w:after="360" w:line="360" w:lineRule="auto"/>
        <w:ind w:right="-159"/>
        <w:jc w:val="both"/>
        <w:rPr>
          <w:sz w:val="26"/>
          <w:szCs w:val="26"/>
          <w:lang w:val="es-ES"/>
        </w:rPr>
      </w:pPr>
    </w:p>
    <w:p w14:paraId="4DEBD620" w14:textId="77777777" w:rsidR="0084299B" w:rsidRPr="0084299B" w:rsidRDefault="0084299B" w:rsidP="0084299B">
      <w:pPr>
        <w:spacing w:after="360" w:line="360" w:lineRule="auto"/>
        <w:ind w:right="-159"/>
        <w:jc w:val="both"/>
        <w:rPr>
          <w:sz w:val="26"/>
          <w:szCs w:val="26"/>
          <w:lang w:val="es-ES"/>
        </w:rPr>
      </w:pPr>
      <w:r w:rsidRPr="0084299B">
        <w:rPr>
          <w:sz w:val="26"/>
          <w:szCs w:val="26"/>
          <w:lang w:val="es-ES"/>
        </w:rPr>
        <w:t xml:space="preserve">Las importaciones totales de mercancías en el segundo mes de 2015 presentaron un decremento mensual </w:t>
      </w:r>
      <w:proofErr w:type="spellStart"/>
      <w:r w:rsidRPr="0084299B">
        <w:rPr>
          <w:sz w:val="26"/>
          <w:szCs w:val="26"/>
          <w:lang w:val="es-ES"/>
        </w:rPr>
        <w:t>desestacionalizado</w:t>
      </w:r>
      <w:proofErr w:type="spellEnd"/>
      <w:r w:rsidRPr="0084299B">
        <w:rPr>
          <w:sz w:val="26"/>
          <w:szCs w:val="26"/>
          <w:lang w:val="es-ES"/>
        </w:rPr>
        <w:t xml:space="preserve"> de 4.88%. Esta cifra fue resultado de disminuciones de 4.21% en las importaciones no petroleras y de una reducción de 11.55% en las petroleras. Por tipo de bien, se observaron reducciones mensuales </w:t>
      </w:r>
      <w:proofErr w:type="spellStart"/>
      <w:r w:rsidRPr="0084299B">
        <w:rPr>
          <w:sz w:val="26"/>
          <w:szCs w:val="26"/>
          <w:lang w:val="es-ES"/>
        </w:rPr>
        <w:t>desestacionalizadas</w:t>
      </w:r>
      <w:proofErr w:type="spellEnd"/>
      <w:r w:rsidRPr="0084299B">
        <w:rPr>
          <w:sz w:val="26"/>
          <w:szCs w:val="26"/>
          <w:lang w:val="es-ES"/>
        </w:rPr>
        <w:t xml:space="preserve"> de 7.11% en las importaciones de bienes de consumo (de 1.34% en el caso de las importaciones de bienes de consumo no petroleros), de 3.70% en las de bienes de uso intermedio (de 3.72% en el caso de las importaciones de bienes de uso intermedio no petroleros) y de 10.20% en las importaciones de bienes de capital.</w:t>
      </w:r>
    </w:p>
    <w:tbl>
      <w:tblPr>
        <w:tblStyle w:val="Tablaconcuadrcula16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8"/>
      </w:tblGrid>
      <w:tr w:rsidR="0084299B" w:rsidRPr="0084299B" w14:paraId="03AD43BA" w14:textId="77777777" w:rsidTr="00EA3974">
        <w:tc>
          <w:tcPr>
            <w:tcW w:w="8828" w:type="dxa"/>
          </w:tcPr>
          <w:p w14:paraId="6B826017" w14:textId="77777777" w:rsidR="0084299B" w:rsidRPr="0084299B" w:rsidRDefault="0084299B" w:rsidP="0084299B">
            <w:pPr>
              <w:widowControl/>
              <w:adjustRightInd/>
              <w:spacing w:after="200" w:line="276" w:lineRule="auto"/>
              <w:jc w:val="center"/>
              <w:textAlignment w:val="auto"/>
              <w:rPr>
                <w:rFonts w:ascii="Calibri" w:eastAsia="Calibri" w:hAnsi="Calibri"/>
                <w:sz w:val="22"/>
                <w:szCs w:val="22"/>
                <w:lang w:eastAsia="en-US"/>
              </w:rPr>
            </w:pPr>
            <w:r w:rsidRPr="0084299B">
              <w:rPr>
                <w:rFonts w:ascii="Calibri" w:eastAsia="Calibri" w:hAnsi="Calibri"/>
                <w:sz w:val="22"/>
                <w:szCs w:val="22"/>
                <w:lang w:eastAsia="en-US"/>
              </w:rPr>
              <w:lastRenderedPageBreak/>
              <w:fldChar w:fldCharType="begin"/>
            </w:r>
            <w:r w:rsidRPr="0084299B">
              <w:rPr>
                <w:rFonts w:ascii="Calibri" w:eastAsia="Calibri" w:hAnsi="Calibri"/>
                <w:sz w:val="22"/>
                <w:szCs w:val="22"/>
                <w:lang w:eastAsia="en-US"/>
              </w:rPr>
              <w:instrText xml:space="preserve"> LINK PowerPoint.Slide.8 "D:\\2015\\ABRIL\\GRÁFICAS POWER POINT\\3.- GRÁFICAS DE BAL COM.pptx!266" "" \a \p </w:instrText>
            </w:r>
            <w:r w:rsidRPr="0084299B">
              <w:rPr>
                <w:rFonts w:ascii="Calibri" w:eastAsia="Calibri" w:hAnsi="Calibri"/>
                <w:sz w:val="22"/>
                <w:szCs w:val="22"/>
                <w:lang w:eastAsia="en-US"/>
              </w:rPr>
              <w:fldChar w:fldCharType="separate"/>
            </w:r>
            <w:r w:rsidRPr="0084299B">
              <w:rPr>
                <w:rFonts w:ascii="Calibri" w:eastAsia="Calibri" w:hAnsi="Calibri"/>
                <w:noProof/>
                <w:sz w:val="22"/>
                <w:szCs w:val="22"/>
                <w:lang w:eastAsia="es-MX"/>
              </w:rPr>
              <w:drawing>
                <wp:inline distT="0" distB="0" distL="0" distR="0" wp14:anchorId="3AC07B96" wp14:editId="0551F3E6">
                  <wp:extent cx="5393690" cy="2564130"/>
                  <wp:effectExtent l="0" t="0" r="0" b="762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1"/>
                          <pic:cNvPicPr>
                            <a:picLocks noChangeAspect="1" noChangeArrowheads="1"/>
                          </pic:cNvPicPr>
                        </pic:nvPicPr>
                        <pic:blipFill>
                          <a:blip r:embed="rId18" cstate="print">
                            <a:extLst>
                              <a:ext uri="{28A0092B-C50C-407E-A947-70E740481C1C}">
                                <a14:useLocalDpi xmlns:a14="http://schemas.microsoft.com/office/drawing/2010/main" val="0"/>
                              </a:ext>
                            </a:extLst>
                          </a:blip>
                          <a:srcRect l="3442" t="2499" r="7825" b="23334"/>
                          <a:stretch>
                            <a:fillRect/>
                          </a:stretch>
                        </pic:blipFill>
                        <pic:spPr bwMode="auto">
                          <a:xfrm>
                            <a:off x="0" y="0"/>
                            <a:ext cx="5393690" cy="2564130"/>
                          </a:xfrm>
                          <a:prstGeom prst="rect">
                            <a:avLst/>
                          </a:prstGeom>
                          <a:noFill/>
                          <a:ln>
                            <a:noFill/>
                          </a:ln>
                        </pic:spPr>
                      </pic:pic>
                    </a:graphicData>
                  </a:graphic>
                </wp:inline>
              </w:drawing>
            </w:r>
            <w:r w:rsidRPr="0084299B">
              <w:rPr>
                <w:rFonts w:ascii="Calibri" w:eastAsia="Calibri" w:hAnsi="Calibri"/>
                <w:sz w:val="22"/>
                <w:szCs w:val="22"/>
                <w:lang w:eastAsia="en-US"/>
              </w:rPr>
              <w:fldChar w:fldCharType="end"/>
            </w:r>
          </w:p>
        </w:tc>
      </w:tr>
      <w:tr w:rsidR="0084299B" w:rsidRPr="0084299B" w14:paraId="481BEBAC" w14:textId="77777777" w:rsidTr="00EA3974">
        <w:tc>
          <w:tcPr>
            <w:tcW w:w="8828" w:type="dxa"/>
          </w:tcPr>
          <w:p w14:paraId="290BE34E" w14:textId="77777777" w:rsidR="0084299B" w:rsidRPr="0084299B" w:rsidRDefault="0084299B" w:rsidP="0084299B">
            <w:pPr>
              <w:widowControl/>
              <w:adjustRightInd/>
              <w:spacing w:after="200" w:line="276" w:lineRule="auto"/>
              <w:jc w:val="center"/>
              <w:textAlignment w:val="auto"/>
              <w:rPr>
                <w:rFonts w:ascii="Calibri" w:eastAsia="Calibri" w:hAnsi="Calibri"/>
                <w:sz w:val="22"/>
                <w:szCs w:val="22"/>
                <w:lang w:eastAsia="en-US"/>
              </w:rPr>
            </w:pPr>
            <w:r w:rsidRPr="0084299B">
              <w:rPr>
                <w:rFonts w:ascii="Calibri" w:eastAsia="Calibri" w:hAnsi="Calibri"/>
                <w:sz w:val="22"/>
                <w:szCs w:val="22"/>
                <w:lang w:eastAsia="en-US"/>
              </w:rPr>
              <w:fldChar w:fldCharType="begin"/>
            </w:r>
            <w:r w:rsidRPr="0084299B">
              <w:rPr>
                <w:rFonts w:ascii="Calibri" w:eastAsia="Calibri" w:hAnsi="Calibri"/>
                <w:sz w:val="22"/>
                <w:szCs w:val="22"/>
                <w:lang w:eastAsia="en-US"/>
              </w:rPr>
              <w:instrText xml:space="preserve"> LINK PowerPoint.Slide.8 "D:\\2015\\ABRIL\\GRÁFICAS POWER POINT\\3.- GRÁFICAS DE BAL COM.pptx!267" "" \a \p </w:instrText>
            </w:r>
            <w:r w:rsidRPr="0084299B">
              <w:rPr>
                <w:rFonts w:ascii="Calibri" w:eastAsia="Calibri" w:hAnsi="Calibri"/>
                <w:sz w:val="22"/>
                <w:szCs w:val="22"/>
                <w:lang w:eastAsia="en-US"/>
              </w:rPr>
              <w:fldChar w:fldCharType="separate"/>
            </w:r>
            <w:r w:rsidRPr="0084299B">
              <w:rPr>
                <w:rFonts w:ascii="Calibri" w:eastAsia="Calibri" w:hAnsi="Calibri"/>
                <w:noProof/>
                <w:sz w:val="22"/>
                <w:szCs w:val="22"/>
                <w:lang w:eastAsia="es-MX"/>
              </w:rPr>
              <w:drawing>
                <wp:inline distT="0" distB="0" distL="0" distR="0" wp14:anchorId="34068031" wp14:editId="7870B622">
                  <wp:extent cx="5393690" cy="219329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2"/>
                          <pic:cNvPicPr>
                            <a:picLocks noChangeAspect="1" noChangeArrowheads="1"/>
                          </pic:cNvPicPr>
                        </pic:nvPicPr>
                        <pic:blipFill>
                          <a:blip r:embed="rId19" cstate="print">
                            <a:extLst>
                              <a:ext uri="{28A0092B-C50C-407E-A947-70E740481C1C}">
                                <a14:useLocalDpi xmlns:a14="http://schemas.microsoft.com/office/drawing/2010/main" val="0"/>
                              </a:ext>
                            </a:extLst>
                          </a:blip>
                          <a:srcRect l="3912" t="13333" r="8138" b="23611"/>
                          <a:stretch>
                            <a:fillRect/>
                          </a:stretch>
                        </pic:blipFill>
                        <pic:spPr bwMode="auto">
                          <a:xfrm>
                            <a:off x="0" y="0"/>
                            <a:ext cx="5393690" cy="2193290"/>
                          </a:xfrm>
                          <a:prstGeom prst="rect">
                            <a:avLst/>
                          </a:prstGeom>
                          <a:noFill/>
                          <a:ln>
                            <a:noFill/>
                          </a:ln>
                        </pic:spPr>
                      </pic:pic>
                    </a:graphicData>
                  </a:graphic>
                </wp:inline>
              </w:drawing>
            </w:r>
            <w:r w:rsidRPr="0084299B">
              <w:rPr>
                <w:rFonts w:ascii="Calibri" w:eastAsia="Calibri" w:hAnsi="Calibri"/>
                <w:sz w:val="22"/>
                <w:szCs w:val="22"/>
                <w:lang w:eastAsia="en-US"/>
              </w:rPr>
              <w:fldChar w:fldCharType="end"/>
            </w:r>
          </w:p>
        </w:tc>
      </w:tr>
      <w:tr w:rsidR="0084299B" w:rsidRPr="0084299B" w14:paraId="4151FB96" w14:textId="77777777" w:rsidTr="00EA3974">
        <w:tc>
          <w:tcPr>
            <w:tcW w:w="8828" w:type="dxa"/>
          </w:tcPr>
          <w:p w14:paraId="722CF222" w14:textId="77777777" w:rsidR="0084299B" w:rsidRPr="0084299B" w:rsidRDefault="0084299B" w:rsidP="0084299B">
            <w:pPr>
              <w:widowControl/>
              <w:adjustRightInd/>
              <w:spacing w:after="200" w:line="276" w:lineRule="auto"/>
              <w:jc w:val="center"/>
              <w:textAlignment w:val="auto"/>
              <w:rPr>
                <w:rFonts w:ascii="Calibri" w:eastAsia="Calibri" w:hAnsi="Calibri"/>
                <w:sz w:val="22"/>
                <w:szCs w:val="22"/>
                <w:lang w:eastAsia="en-US"/>
              </w:rPr>
            </w:pPr>
            <w:r w:rsidRPr="0084299B">
              <w:rPr>
                <w:rFonts w:ascii="Calibri" w:eastAsia="Calibri" w:hAnsi="Calibri"/>
                <w:sz w:val="22"/>
                <w:szCs w:val="22"/>
                <w:lang w:eastAsia="en-US"/>
              </w:rPr>
              <w:fldChar w:fldCharType="begin"/>
            </w:r>
            <w:r w:rsidRPr="0084299B">
              <w:rPr>
                <w:rFonts w:ascii="Calibri" w:eastAsia="Calibri" w:hAnsi="Calibri"/>
                <w:sz w:val="22"/>
                <w:szCs w:val="22"/>
                <w:lang w:eastAsia="en-US"/>
              </w:rPr>
              <w:instrText xml:space="preserve"> LINK PowerPoint.Slide.8 "D:\\2015\\ABRIL\\GRÁFICAS POWER POINT\\3.- GRÁFICAS DE BAL COM.pptx!268" "" \a \p </w:instrText>
            </w:r>
            <w:r w:rsidRPr="0084299B">
              <w:rPr>
                <w:rFonts w:ascii="Calibri" w:eastAsia="Calibri" w:hAnsi="Calibri"/>
                <w:sz w:val="22"/>
                <w:szCs w:val="22"/>
                <w:lang w:eastAsia="en-US"/>
              </w:rPr>
              <w:fldChar w:fldCharType="separate"/>
            </w:r>
            <w:r w:rsidRPr="0084299B">
              <w:rPr>
                <w:rFonts w:ascii="Calibri" w:eastAsia="Calibri" w:hAnsi="Calibri"/>
                <w:noProof/>
                <w:sz w:val="22"/>
                <w:szCs w:val="22"/>
                <w:lang w:eastAsia="es-MX"/>
              </w:rPr>
              <w:drawing>
                <wp:inline distT="0" distB="0" distL="0" distR="0" wp14:anchorId="17082A7E" wp14:editId="2F52EC3B">
                  <wp:extent cx="5393690" cy="265049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3"/>
                          <pic:cNvPicPr>
                            <a:picLocks noChangeAspect="1" noChangeArrowheads="1"/>
                          </pic:cNvPicPr>
                        </pic:nvPicPr>
                        <pic:blipFill>
                          <a:blip r:embed="rId20" cstate="print">
                            <a:extLst>
                              <a:ext uri="{28A0092B-C50C-407E-A947-70E740481C1C}">
                                <a14:useLocalDpi xmlns:a14="http://schemas.microsoft.com/office/drawing/2010/main" val="0"/>
                              </a:ext>
                            </a:extLst>
                          </a:blip>
                          <a:srcRect l="3912" t="13333" r="7512" b="9723"/>
                          <a:stretch>
                            <a:fillRect/>
                          </a:stretch>
                        </pic:blipFill>
                        <pic:spPr bwMode="auto">
                          <a:xfrm>
                            <a:off x="0" y="0"/>
                            <a:ext cx="5393690" cy="2650490"/>
                          </a:xfrm>
                          <a:prstGeom prst="rect">
                            <a:avLst/>
                          </a:prstGeom>
                          <a:noFill/>
                          <a:ln>
                            <a:noFill/>
                          </a:ln>
                        </pic:spPr>
                      </pic:pic>
                    </a:graphicData>
                  </a:graphic>
                </wp:inline>
              </w:drawing>
            </w:r>
            <w:r w:rsidRPr="0084299B">
              <w:rPr>
                <w:rFonts w:ascii="Calibri" w:eastAsia="Calibri" w:hAnsi="Calibri"/>
                <w:sz w:val="22"/>
                <w:szCs w:val="22"/>
                <w:lang w:eastAsia="en-US"/>
              </w:rPr>
              <w:fldChar w:fldCharType="end"/>
            </w:r>
          </w:p>
        </w:tc>
      </w:tr>
    </w:tbl>
    <w:p w14:paraId="012D7F70" w14:textId="77777777" w:rsidR="0084299B" w:rsidRPr="0084299B" w:rsidRDefault="0084299B" w:rsidP="0084299B">
      <w:pPr>
        <w:spacing w:after="360" w:line="360" w:lineRule="auto"/>
        <w:ind w:right="-159"/>
        <w:jc w:val="center"/>
        <w:rPr>
          <w:b/>
          <w:sz w:val="22"/>
          <w:szCs w:val="22"/>
          <w:lang w:val="es-ES_tradnl"/>
        </w:rPr>
      </w:pPr>
    </w:p>
    <w:tbl>
      <w:tblPr>
        <w:tblW w:w="894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81"/>
        <w:gridCol w:w="1550"/>
        <w:gridCol w:w="1172"/>
        <w:gridCol w:w="113"/>
        <w:gridCol w:w="1134"/>
        <w:gridCol w:w="1275"/>
        <w:gridCol w:w="1418"/>
      </w:tblGrid>
      <w:tr w:rsidR="0084299B" w:rsidRPr="0084299B" w14:paraId="3387D28A" w14:textId="77777777" w:rsidTr="00EA3974">
        <w:trPr>
          <w:jc w:val="right"/>
        </w:trPr>
        <w:tc>
          <w:tcPr>
            <w:tcW w:w="8943" w:type="dxa"/>
            <w:gridSpan w:val="7"/>
            <w:tcBorders>
              <w:top w:val="nil"/>
              <w:left w:val="nil"/>
              <w:right w:val="nil"/>
            </w:tcBorders>
            <w:vAlign w:val="center"/>
          </w:tcPr>
          <w:p w14:paraId="1BA3E94D" w14:textId="77777777" w:rsidR="0084299B" w:rsidRPr="0084299B" w:rsidRDefault="0084299B" w:rsidP="0084299B">
            <w:pPr>
              <w:widowControl w:val="0"/>
              <w:adjustRightInd w:val="0"/>
              <w:jc w:val="center"/>
              <w:textAlignment w:val="baseline"/>
              <w:rPr>
                <w:b/>
                <w:sz w:val="22"/>
                <w:szCs w:val="22"/>
              </w:rPr>
            </w:pPr>
            <w:r w:rsidRPr="0084299B">
              <w:rPr>
                <w:b/>
                <w:sz w:val="22"/>
                <w:szCs w:val="22"/>
              </w:rPr>
              <w:lastRenderedPageBreak/>
              <w:t>COMERCIO EXTERIOR DE MÉXICO</w:t>
            </w:r>
          </w:p>
          <w:p w14:paraId="7A39F52D" w14:textId="6F3644B2" w:rsidR="0084299B" w:rsidRPr="0084299B" w:rsidRDefault="002F148F" w:rsidP="0084299B">
            <w:pPr>
              <w:widowControl w:val="0"/>
              <w:adjustRightInd w:val="0"/>
              <w:jc w:val="center"/>
              <w:textAlignment w:val="baseline"/>
              <w:rPr>
                <w:b/>
                <w:sz w:val="22"/>
                <w:szCs w:val="22"/>
              </w:rPr>
            </w:pPr>
            <w:r>
              <w:rPr>
                <w:b/>
                <w:sz w:val="22"/>
                <w:szCs w:val="22"/>
              </w:rPr>
              <w:t>Enero-</w:t>
            </w:r>
            <w:r w:rsidR="0084299B" w:rsidRPr="0084299B">
              <w:rPr>
                <w:b/>
                <w:sz w:val="22"/>
                <w:szCs w:val="22"/>
              </w:rPr>
              <w:t>Febrero</w:t>
            </w:r>
          </w:p>
          <w:p w14:paraId="1C7FC71F" w14:textId="77777777" w:rsidR="0084299B" w:rsidRPr="0084299B" w:rsidRDefault="0084299B" w:rsidP="0084299B">
            <w:pPr>
              <w:widowControl w:val="0"/>
              <w:adjustRightInd w:val="0"/>
              <w:jc w:val="center"/>
              <w:textAlignment w:val="baseline"/>
              <w:rPr>
                <w:b/>
                <w:sz w:val="22"/>
                <w:szCs w:val="22"/>
              </w:rPr>
            </w:pPr>
            <w:r w:rsidRPr="0084299B">
              <w:rPr>
                <w:b/>
                <w:sz w:val="22"/>
                <w:szCs w:val="22"/>
              </w:rPr>
              <w:t>2013-2015</w:t>
            </w:r>
          </w:p>
          <w:p w14:paraId="6D06A8D5" w14:textId="77777777" w:rsidR="0084299B" w:rsidRPr="0084299B" w:rsidRDefault="0084299B" w:rsidP="0084299B">
            <w:pPr>
              <w:widowControl w:val="0"/>
              <w:adjustRightInd w:val="0"/>
              <w:spacing w:after="120"/>
              <w:jc w:val="center"/>
              <w:textAlignment w:val="baseline"/>
              <w:rPr>
                <w:b/>
                <w:sz w:val="22"/>
                <w:szCs w:val="22"/>
              </w:rPr>
            </w:pPr>
            <w:r w:rsidRPr="0084299B">
              <w:rPr>
                <w:b/>
                <w:sz w:val="22"/>
                <w:szCs w:val="22"/>
              </w:rPr>
              <w:t>-Millones de dólares-</w:t>
            </w:r>
          </w:p>
        </w:tc>
      </w:tr>
      <w:tr w:rsidR="0084299B" w:rsidRPr="0084299B" w14:paraId="41B94385" w14:textId="77777777" w:rsidTr="00EA3974">
        <w:trPr>
          <w:jc w:val="right"/>
        </w:trPr>
        <w:tc>
          <w:tcPr>
            <w:tcW w:w="2281" w:type="dxa"/>
            <w:vMerge w:val="restart"/>
            <w:tcBorders>
              <w:top w:val="single" w:sz="4" w:space="0" w:color="auto"/>
              <w:left w:val="single" w:sz="4" w:space="0" w:color="auto"/>
              <w:right w:val="nil"/>
            </w:tcBorders>
            <w:vAlign w:val="center"/>
          </w:tcPr>
          <w:p w14:paraId="7CA4C5FB" w14:textId="77777777" w:rsidR="0084299B" w:rsidRPr="0084299B" w:rsidRDefault="0084299B" w:rsidP="0084299B">
            <w:pPr>
              <w:widowControl w:val="0"/>
              <w:adjustRightInd w:val="0"/>
              <w:jc w:val="center"/>
              <w:textAlignment w:val="baseline"/>
              <w:rPr>
                <w:b/>
                <w:sz w:val="20"/>
                <w:szCs w:val="20"/>
              </w:rPr>
            </w:pPr>
            <w:bookmarkStart w:id="10" w:name="_Hlk267652580"/>
            <w:r w:rsidRPr="0084299B">
              <w:rPr>
                <w:b/>
                <w:sz w:val="20"/>
                <w:szCs w:val="20"/>
              </w:rPr>
              <w:t>Concepto</w:t>
            </w:r>
          </w:p>
        </w:tc>
        <w:tc>
          <w:tcPr>
            <w:tcW w:w="1550" w:type="dxa"/>
            <w:tcBorders>
              <w:top w:val="single" w:sz="4" w:space="0" w:color="auto"/>
              <w:left w:val="nil"/>
              <w:bottom w:val="nil"/>
              <w:right w:val="nil"/>
            </w:tcBorders>
          </w:tcPr>
          <w:p w14:paraId="584C23D2" w14:textId="77777777" w:rsidR="0084299B" w:rsidRPr="0084299B" w:rsidRDefault="0084299B" w:rsidP="0084299B">
            <w:pPr>
              <w:widowControl w:val="0"/>
              <w:adjustRightInd w:val="0"/>
              <w:jc w:val="center"/>
              <w:textAlignment w:val="baseline"/>
              <w:rPr>
                <w:b/>
                <w:sz w:val="20"/>
                <w:szCs w:val="20"/>
              </w:rPr>
            </w:pPr>
            <w:r w:rsidRPr="0084299B">
              <w:rPr>
                <w:b/>
                <w:sz w:val="20"/>
                <w:szCs w:val="20"/>
              </w:rPr>
              <w:t>2013</w:t>
            </w:r>
          </w:p>
        </w:tc>
        <w:tc>
          <w:tcPr>
            <w:tcW w:w="1172" w:type="dxa"/>
            <w:tcBorders>
              <w:top w:val="single" w:sz="4" w:space="0" w:color="auto"/>
              <w:left w:val="nil"/>
              <w:bottom w:val="nil"/>
              <w:right w:val="nil"/>
            </w:tcBorders>
          </w:tcPr>
          <w:p w14:paraId="7C071005" w14:textId="77777777" w:rsidR="0084299B" w:rsidRPr="0084299B" w:rsidRDefault="0084299B" w:rsidP="0084299B">
            <w:pPr>
              <w:widowControl w:val="0"/>
              <w:adjustRightInd w:val="0"/>
              <w:jc w:val="center"/>
              <w:textAlignment w:val="baseline"/>
              <w:rPr>
                <w:b/>
                <w:sz w:val="20"/>
                <w:szCs w:val="20"/>
              </w:rPr>
            </w:pPr>
            <w:r w:rsidRPr="0084299B">
              <w:rPr>
                <w:b/>
                <w:sz w:val="20"/>
                <w:szCs w:val="20"/>
              </w:rPr>
              <w:t>2014</w:t>
            </w:r>
          </w:p>
        </w:tc>
        <w:tc>
          <w:tcPr>
            <w:tcW w:w="1247" w:type="dxa"/>
            <w:gridSpan w:val="2"/>
            <w:tcBorders>
              <w:top w:val="single" w:sz="4" w:space="0" w:color="auto"/>
              <w:left w:val="nil"/>
              <w:bottom w:val="nil"/>
              <w:right w:val="nil"/>
            </w:tcBorders>
          </w:tcPr>
          <w:p w14:paraId="35FE7CC3" w14:textId="77777777" w:rsidR="0084299B" w:rsidRPr="0084299B" w:rsidRDefault="0084299B" w:rsidP="0084299B">
            <w:pPr>
              <w:widowControl w:val="0"/>
              <w:adjustRightInd w:val="0"/>
              <w:jc w:val="center"/>
              <w:textAlignment w:val="baseline"/>
              <w:rPr>
                <w:b/>
                <w:sz w:val="20"/>
                <w:szCs w:val="20"/>
              </w:rPr>
            </w:pPr>
            <w:r w:rsidRPr="0084299B">
              <w:rPr>
                <w:b/>
                <w:sz w:val="20"/>
                <w:szCs w:val="20"/>
              </w:rPr>
              <w:t>2015</w:t>
            </w:r>
          </w:p>
        </w:tc>
        <w:tc>
          <w:tcPr>
            <w:tcW w:w="1275" w:type="dxa"/>
            <w:tcBorders>
              <w:top w:val="single" w:sz="4" w:space="0" w:color="auto"/>
              <w:left w:val="nil"/>
              <w:bottom w:val="nil"/>
              <w:right w:val="nil"/>
            </w:tcBorders>
          </w:tcPr>
          <w:p w14:paraId="7F0522DF" w14:textId="77777777" w:rsidR="0084299B" w:rsidRPr="0084299B" w:rsidRDefault="0084299B" w:rsidP="0084299B">
            <w:pPr>
              <w:widowControl w:val="0"/>
              <w:adjustRightInd w:val="0"/>
              <w:ind w:right="-57"/>
              <w:jc w:val="center"/>
              <w:textAlignment w:val="baseline"/>
              <w:rPr>
                <w:b/>
                <w:sz w:val="20"/>
                <w:szCs w:val="20"/>
              </w:rPr>
            </w:pPr>
            <w:r w:rsidRPr="0084299B">
              <w:rPr>
                <w:b/>
                <w:sz w:val="20"/>
                <w:szCs w:val="20"/>
              </w:rPr>
              <w:t>Variación %</w:t>
            </w:r>
          </w:p>
        </w:tc>
        <w:tc>
          <w:tcPr>
            <w:tcW w:w="1418" w:type="dxa"/>
            <w:tcBorders>
              <w:top w:val="single" w:sz="4" w:space="0" w:color="auto"/>
              <w:left w:val="nil"/>
              <w:bottom w:val="nil"/>
              <w:right w:val="single" w:sz="4" w:space="0" w:color="auto"/>
            </w:tcBorders>
          </w:tcPr>
          <w:p w14:paraId="0317C3A5" w14:textId="77777777" w:rsidR="0084299B" w:rsidRPr="0084299B" w:rsidRDefault="0084299B" w:rsidP="0084299B">
            <w:pPr>
              <w:widowControl w:val="0"/>
              <w:adjustRightInd w:val="0"/>
              <w:ind w:right="-57"/>
              <w:jc w:val="center"/>
              <w:textAlignment w:val="baseline"/>
              <w:rPr>
                <w:b/>
                <w:sz w:val="20"/>
                <w:szCs w:val="20"/>
              </w:rPr>
            </w:pPr>
            <w:r w:rsidRPr="0084299B">
              <w:rPr>
                <w:b/>
                <w:sz w:val="20"/>
                <w:szCs w:val="20"/>
              </w:rPr>
              <w:t>Estructura %</w:t>
            </w:r>
          </w:p>
        </w:tc>
      </w:tr>
      <w:tr w:rsidR="0084299B" w:rsidRPr="0084299B" w14:paraId="10A5F063" w14:textId="77777777" w:rsidTr="00EA3974">
        <w:trPr>
          <w:jc w:val="right"/>
        </w:trPr>
        <w:tc>
          <w:tcPr>
            <w:tcW w:w="2281" w:type="dxa"/>
            <w:vMerge/>
            <w:tcBorders>
              <w:left w:val="single" w:sz="4" w:space="0" w:color="auto"/>
              <w:bottom w:val="single" w:sz="4" w:space="0" w:color="auto"/>
              <w:right w:val="nil"/>
            </w:tcBorders>
          </w:tcPr>
          <w:p w14:paraId="7B601018" w14:textId="77777777" w:rsidR="0084299B" w:rsidRPr="0084299B" w:rsidRDefault="0084299B" w:rsidP="0084299B">
            <w:pPr>
              <w:widowControl w:val="0"/>
              <w:adjustRightInd w:val="0"/>
              <w:jc w:val="center"/>
              <w:textAlignment w:val="baseline"/>
              <w:rPr>
                <w:b/>
                <w:sz w:val="20"/>
                <w:szCs w:val="20"/>
              </w:rPr>
            </w:pPr>
          </w:p>
        </w:tc>
        <w:tc>
          <w:tcPr>
            <w:tcW w:w="1550" w:type="dxa"/>
            <w:tcBorders>
              <w:top w:val="nil"/>
              <w:left w:val="nil"/>
              <w:bottom w:val="single" w:sz="4" w:space="0" w:color="auto"/>
              <w:right w:val="nil"/>
            </w:tcBorders>
          </w:tcPr>
          <w:p w14:paraId="2F566434" w14:textId="77777777" w:rsidR="0084299B" w:rsidRPr="0084299B" w:rsidRDefault="0084299B" w:rsidP="0084299B">
            <w:pPr>
              <w:widowControl w:val="0"/>
              <w:adjustRightInd w:val="0"/>
              <w:ind w:left="170" w:right="113"/>
              <w:jc w:val="center"/>
              <w:textAlignment w:val="baseline"/>
              <w:rPr>
                <w:b/>
                <w:sz w:val="20"/>
                <w:szCs w:val="20"/>
              </w:rPr>
            </w:pPr>
            <w:r w:rsidRPr="0084299B">
              <w:rPr>
                <w:b/>
                <w:sz w:val="20"/>
                <w:szCs w:val="20"/>
              </w:rPr>
              <w:t>(a)</w:t>
            </w:r>
          </w:p>
        </w:tc>
        <w:tc>
          <w:tcPr>
            <w:tcW w:w="1172" w:type="dxa"/>
            <w:tcBorders>
              <w:top w:val="nil"/>
              <w:left w:val="nil"/>
              <w:bottom w:val="single" w:sz="4" w:space="0" w:color="auto"/>
              <w:right w:val="nil"/>
            </w:tcBorders>
          </w:tcPr>
          <w:p w14:paraId="204EDF8E" w14:textId="77777777" w:rsidR="0084299B" w:rsidRPr="0084299B" w:rsidRDefault="0084299B" w:rsidP="0084299B">
            <w:pPr>
              <w:widowControl w:val="0"/>
              <w:adjustRightInd w:val="0"/>
              <w:jc w:val="center"/>
              <w:textAlignment w:val="baseline"/>
              <w:rPr>
                <w:b/>
                <w:sz w:val="20"/>
                <w:szCs w:val="20"/>
              </w:rPr>
            </w:pPr>
            <w:r w:rsidRPr="0084299B">
              <w:rPr>
                <w:b/>
                <w:sz w:val="20"/>
                <w:szCs w:val="20"/>
              </w:rPr>
              <w:t>(b)</w:t>
            </w:r>
          </w:p>
        </w:tc>
        <w:tc>
          <w:tcPr>
            <w:tcW w:w="1247" w:type="dxa"/>
            <w:gridSpan w:val="2"/>
            <w:tcBorders>
              <w:top w:val="nil"/>
              <w:left w:val="nil"/>
              <w:bottom w:val="single" w:sz="4" w:space="0" w:color="auto"/>
              <w:right w:val="nil"/>
            </w:tcBorders>
          </w:tcPr>
          <w:p w14:paraId="0CE31B10" w14:textId="77777777" w:rsidR="0084299B" w:rsidRPr="0084299B" w:rsidRDefault="0084299B" w:rsidP="0084299B">
            <w:pPr>
              <w:widowControl w:val="0"/>
              <w:adjustRightInd w:val="0"/>
              <w:jc w:val="center"/>
              <w:textAlignment w:val="baseline"/>
              <w:rPr>
                <w:b/>
                <w:sz w:val="20"/>
                <w:szCs w:val="20"/>
              </w:rPr>
            </w:pPr>
            <w:r w:rsidRPr="0084299B">
              <w:rPr>
                <w:b/>
                <w:sz w:val="20"/>
                <w:szCs w:val="20"/>
              </w:rPr>
              <w:t>(c)</w:t>
            </w:r>
          </w:p>
        </w:tc>
        <w:tc>
          <w:tcPr>
            <w:tcW w:w="1275" w:type="dxa"/>
            <w:tcBorders>
              <w:top w:val="nil"/>
              <w:left w:val="nil"/>
              <w:bottom w:val="single" w:sz="4" w:space="0" w:color="auto"/>
              <w:right w:val="nil"/>
            </w:tcBorders>
          </w:tcPr>
          <w:p w14:paraId="7F91EB6F" w14:textId="77777777" w:rsidR="0084299B" w:rsidRPr="0084299B" w:rsidRDefault="0084299B" w:rsidP="0084299B">
            <w:pPr>
              <w:widowControl w:val="0"/>
              <w:adjustRightInd w:val="0"/>
              <w:jc w:val="center"/>
              <w:textAlignment w:val="baseline"/>
              <w:rPr>
                <w:b/>
                <w:sz w:val="20"/>
                <w:szCs w:val="20"/>
              </w:rPr>
            </w:pPr>
            <w:r w:rsidRPr="0084299B">
              <w:rPr>
                <w:b/>
                <w:sz w:val="20"/>
                <w:szCs w:val="20"/>
              </w:rPr>
              <w:t>(c/b)</w:t>
            </w:r>
          </w:p>
        </w:tc>
        <w:tc>
          <w:tcPr>
            <w:tcW w:w="1418" w:type="dxa"/>
            <w:tcBorders>
              <w:top w:val="nil"/>
              <w:left w:val="nil"/>
              <w:bottom w:val="single" w:sz="4" w:space="0" w:color="auto"/>
              <w:right w:val="single" w:sz="4" w:space="0" w:color="auto"/>
            </w:tcBorders>
          </w:tcPr>
          <w:p w14:paraId="1C01EB20" w14:textId="77777777" w:rsidR="0084299B" w:rsidRPr="0084299B" w:rsidRDefault="0084299B" w:rsidP="0084299B">
            <w:pPr>
              <w:widowControl w:val="0"/>
              <w:adjustRightInd w:val="0"/>
              <w:jc w:val="center"/>
              <w:textAlignment w:val="baseline"/>
              <w:rPr>
                <w:b/>
                <w:sz w:val="20"/>
                <w:szCs w:val="20"/>
              </w:rPr>
            </w:pPr>
            <w:r w:rsidRPr="0084299B">
              <w:rPr>
                <w:b/>
                <w:sz w:val="20"/>
                <w:szCs w:val="20"/>
              </w:rPr>
              <w:t>2015</w:t>
            </w:r>
          </w:p>
        </w:tc>
      </w:tr>
      <w:tr w:rsidR="0084299B" w:rsidRPr="0084299B" w14:paraId="29063CC7" w14:textId="77777777" w:rsidTr="00EA3974">
        <w:trPr>
          <w:jc w:val="right"/>
        </w:trPr>
        <w:tc>
          <w:tcPr>
            <w:tcW w:w="2281" w:type="dxa"/>
            <w:tcBorders>
              <w:top w:val="single" w:sz="4" w:space="0" w:color="auto"/>
              <w:left w:val="single" w:sz="4" w:space="0" w:color="auto"/>
              <w:bottom w:val="nil"/>
              <w:right w:val="nil"/>
            </w:tcBorders>
          </w:tcPr>
          <w:p w14:paraId="4903BD90" w14:textId="77777777" w:rsidR="0084299B" w:rsidRPr="0084299B" w:rsidRDefault="0084299B" w:rsidP="0084299B">
            <w:pPr>
              <w:widowControl w:val="0"/>
              <w:adjustRightInd w:val="0"/>
              <w:textAlignment w:val="baseline"/>
              <w:rPr>
                <w:b/>
                <w:bCs/>
                <w:sz w:val="20"/>
                <w:szCs w:val="20"/>
              </w:rPr>
            </w:pPr>
            <w:bookmarkStart w:id="11" w:name="_Hlk255918650"/>
            <w:bookmarkEnd w:id="10"/>
            <w:r w:rsidRPr="0084299B">
              <w:rPr>
                <w:b/>
                <w:bCs/>
                <w:sz w:val="20"/>
                <w:szCs w:val="20"/>
              </w:rPr>
              <w:t>SALDO COMERCIAL (Incluye maquila)</w:t>
            </w:r>
          </w:p>
        </w:tc>
        <w:tc>
          <w:tcPr>
            <w:tcW w:w="1550" w:type="dxa"/>
            <w:tcBorders>
              <w:top w:val="single" w:sz="4" w:space="0" w:color="auto"/>
              <w:left w:val="nil"/>
              <w:bottom w:val="nil"/>
              <w:right w:val="nil"/>
            </w:tcBorders>
            <w:vAlign w:val="center"/>
          </w:tcPr>
          <w:p w14:paraId="2F8C0E9C" w14:textId="77777777" w:rsidR="0084299B" w:rsidRPr="0084299B" w:rsidRDefault="0084299B" w:rsidP="0084299B">
            <w:pPr>
              <w:widowControl w:val="0"/>
              <w:adjustRightInd w:val="0"/>
              <w:ind w:left="170" w:right="113"/>
              <w:contextualSpacing/>
              <w:jc w:val="right"/>
              <w:textAlignment w:val="baseline"/>
              <w:rPr>
                <w:b/>
                <w:bCs/>
                <w:sz w:val="20"/>
                <w:szCs w:val="20"/>
              </w:rPr>
            </w:pPr>
            <w:r w:rsidRPr="0084299B">
              <w:rPr>
                <w:b/>
                <w:bCs/>
                <w:sz w:val="20"/>
                <w:szCs w:val="20"/>
              </w:rPr>
              <w:t>-2 829.0</w:t>
            </w:r>
          </w:p>
        </w:tc>
        <w:tc>
          <w:tcPr>
            <w:tcW w:w="1285" w:type="dxa"/>
            <w:gridSpan w:val="2"/>
            <w:tcBorders>
              <w:top w:val="single" w:sz="4" w:space="0" w:color="auto"/>
              <w:left w:val="nil"/>
              <w:bottom w:val="nil"/>
              <w:right w:val="nil"/>
            </w:tcBorders>
            <w:vAlign w:val="center"/>
          </w:tcPr>
          <w:p w14:paraId="2B195396" w14:textId="77777777" w:rsidR="0084299B" w:rsidRPr="0084299B" w:rsidRDefault="0084299B" w:rsidP="0084299B">
            <w:pPr>
              <w:widowControl w:val="0"/>
              <w:adjustRightInd w:val="0"/>
              <w:ind w:left="-57" w:right="113"/>
              <w:jc w:val="right"/>
              <w:textAlignment w:val="baseline"/>
              <w:rPr>
                <w:b/>
                <w:bCs/>
                <w:sz w:val="20"/>
                <w:szCs w:val="20"/>
              </w:rPr>
            </w:pPr>
            <w:r w:rsidRPr="0084299B">
              <w:rPr>
                <w:b/>
                <w:bCs/>
                <w:sz w:val="20"/>
                <w:szCs w:val="20"/>
              </w:rPr>
              <w:t>-2 263.3</w:t>
            </w:r>
          </w:p>
        </w:tc>
        <w:tc>
          <w:tcPr>
            <w:tcW w:w="1134" w:type="dxa"/>
            <w:tcBorders>
              <w:top w:val="single" w:sz="4" w:space="0" w:color="auto"/>
              <w:left w:val="nil"/>
              <w:bottom w:val="nil"/>
              <w:right w:val="nil"/>
            </w:tcBorders>
            <w:vAlign w:val="center"/>
          </w:tcPr>
          <w:p w14:paraId="05A85DF7" w14:textId="77777777" w:rsidR="0084299B" w:rsidRPr="0084299B" w:rsidRDefault="0084299B" w:rsidP="0084299B">
            <w:pPr>
              <w:widowControl w:val="0"/>
              <w:adjustRightInd w:val="0"/>
              <w:ind w:right="113"/>
              <w:jc w:val="right"/>
              <w:textAlignment w:val="baseline"/>
              <w:rPr>
                <w:b/>
                <w:bCs/>
                <w:sz w:val="20"/>
                <w:szCs w:val="20"/>
              </w:rPr>
            </w:pPr>
            <w:r w:rsidRPr="0084299B">
              <w:rPr>
                <w:b/>
                <w:bCs/>
                <w:sz w:val="20"/>
                <w:szCs w:val="20"/>
              </w:rPr>
              <w:t>-2 689.2</w:t>
            </w:r>
          </w:p>
        </w:tc>
        <w:tc>
          <w:tcPr>
            <w:tcW w:w="1275" w:type="dxa"/>
            <w:tcBorders>
              <w:top w:val="single" w:sz="4" w:space="0" w:color="auto"/>
              <w:left w:val="nil"/>
              <w:bottom w:val="nil"/>
              <w:right w:val="nil"/>
            </w:tcBorders>
            <w:vAlign w:val="center"/>
          </w:tcPr>
          <w:p w14:paraId="27297040" w14:textId="77777777" w:rsidR="0084299B" w:rsidRPr="0084299B" w:rsidRDefault="0084299B" w:rsidP="0084299B">
            <w:pPr>
              <w:widowControl w:val="0"/>
              <w:adjustRightInd w:val="0"/>
              <w:ind w:right="397"/>
              <w:jc w:val="right"/>
              <w:textAlignment w:val="baseline"/>
              <w:rPr>
                <w:b/>
                <w:bCs/>
                <w:sz w:val="20"/>
                <w:szCs w:val="20"/>
              </w:rPr>
            </w:pPr>
            <w:r w:rsidRPr="0084299B">
              <w:rPr>
                <w:b/>
                <w:bCs/>
                <w:sz w:val="20"/>
                <w:szCs w:val="20"/>
              </w:rPr>
              <w:t>18.8</w:t>
            </w:r>
          </w:p>
        </w:tc>
        <w:tc>
          <w:tcPr>
            <w:tcW w:w="1418" w:type="dxa"/>
            <w:tcBorders>
              <w:top w:val="single" w:sz="4" w:space="0" w:color="auto"/>
              <w:left w:val="nil"/>
              <w:bottom w:val="nil"/>
              <w:right w:val="single" w:sz="4" w:space="0" w:color="auto"/>
            </w:tcBorders>
            <w:vAlign w:val="center"/>
          </w:tcPr>
          <w:p w14:paraId="7BC3FE78" w14:textId="77777777" w:rsidR="0084299B" w:rsidRPr="0084299B" w:rsidRDefault="0084299B" w:rsidP="0084299B">
            <w:pPr>
              <w:widowControl w:val="0"/>
              <w:adjustRightInd w:val="0"/>
              <w:ind w:right="340"/>
              <w:jc w:val="right"/>
              <w:textAlignment w:val="baseline"/>
              <w:rPr>
                <w:b/>
                <w:bCs/>
                <w:sz w:val="20"/>
                <w:szCs w:val="20"/>
              </w:rPr>
            </w:pPr>
          </w:p>
        </w:tc>
      </w:tr>
      <w:bookmarkEnd w:id="11"/>
      <w:tr w:rsidR="0084299B" w:rsidRPr="0084299B" w14:paraId="7C75C7CF" w14:textId="77777777" w:rsidTr="00EA3974">
        <w:trPr>
          <w:jc w:val="right"/>
        </w:trPr>
        <w:tc>
          <w:tcPr>
            <w:tcW w:w="2281" w:type="dxa"/>
            <w:tcBorders>
              <w:top w:val="nil"/>
              <w:left w:val="single" w:sz="4" w:space="0" w:color="auto"/>
              <w:bottom w:val="nil"/>
              <w:right w:val="nil"/>
            </w:tcBorders>
          </w:tcPr>
          <w:p w14:paraId="6F566972" w14:textId="77777777" w:rsidR="0084299B" w:rsidRPr="0084299B" w:rsidRDefault="0084299B" w:rsidP="0084299B">
            <w:pPr>
              <w:widowControl w:val="0"/>
              <w:adjustRightInd w:val="0"/>
              <w:textAlignment w:val="baseline"/>
              <w:rPr>
                <w:b/>
                <w:bCs/>
                <w:sz w:val="20"/>
                <w:szCs w:val="20"/>
              </w:rPr>
            </w:pPr>
            <w:r w:rsidRPr="0084299B">
              <w:rPr>
                <w:b/>
                <w:bCs/>
                <w:sz w:val="20"/>
                <w:szCs w:val="20"/>
              </w:rPr>
              <w:t>EXPORTACIONES TOTALES</w:t>
            </w:r>
          </w:p>
        </w:tc>
        <w:tc>
          <w:tcPr>
            <w:tcW w:w="1550" w:type="dxa"/>
            <w:tcBorders>
              <w:top w:val="nil"/>
              <w:left w:val="nil"/>
              <w:bottom w:val="nil"/>
              <w:right w:val="nil"/>
            </w:tcBorders>
            <w:vAlign w:val="center"/>
          </w:tcPr>
          <w:p w14:paraId="61181B5F" w14:textId="77777777" w:rsidR="0084299B" w:rsidRPr="0084299B" w:rsidRDefault="0084299B" w:rsidP="0084299B">
            <w:pPr>
              <w:widowControl w:val="0"/>
              <w:adjustRightInd w:val="0"/>
              <w:ind w:left="170" w:right="113"/>
              <w:contextualSpacing/>
              <w:jc w:val="right"/>
              <w:textAlignment w:val="baseline"/>
              <w:rPr>
                <w:b/>
                <w:bCs/>
                <w:sz w:val="20"/>
                <w:szCs w:val="20"/>
              </w:rPr>
            </w:pPr>
            <w:r w:rsidRPr="0084299B">
              <w:rPr>
                <w:b/>
                <w:bCs/>
                <w:sz w:val="20"/>
                <w:szCs w:val="20"/>
              </w:rPr>
              <w:t>56 390.0</w:t>
            </w:r>
          </w:p>
        </w:tc>
        <w:tc>
          <w:tcPr>
            <w:tcW w:w="1285" w:type="dxa"/>
            <w:gridSpan w:val="2"/>
            <w:tcBorders>
              <w:top w:val="nil"/>
              <w:left w:val="nil"/>
              <w:bottom w:val="nil"/>
              <w:right w:val="nil"/>
            </w:tcBorders>
            <w:vAlign w:val="center"/>
          </w:tcPr>
          <w:p w14:paraId="74DEE725" w14:textId="77777777" w:rsidR="0084299B" w:rsidRPr="0084299B" w:rsidRDefault="0084299B" w:rsidP="0084299B">
            <w:pPr>
              <w:widowControl w:val="0"/>
              <w:adjustRightInd w:val="0"/>
              <w:ind w:left="-57" w:right="113"/>
              <w:jc w:val="right"/>
              <w:textAlignment w:val="baseline"/>
              <w:rPr>
                <w:b/>
                <w:bCs/>
                <w:sz w:val="20"/>
                <w:szCs w:val="20"/>
              </w:rPr>
            </w:pPr>
            <w:r w:rsidRPr="0084299B">
              <w:rPr>
                <w:b/>
                <w:bCs/>
                <w:sz w:val="20"/>
                <w:szCs w:val="20"/>
              </w:rPr>
              <w:t>57 513.7</w:t>
            </w:r>
          </w:p>
        </w:tc>
        <w:tc>
          <w:tcPr>
            <w:tcW w:w="1134" w:type="dxa"/>
            <w:tcBorders>
              <w:top w:val="nil"/>
              <w:left w:val="nil"/>
              <w:bottom w:val="nil"/>
              <w:right w:val="nil"/>
            </w:tcBorders>
            <w:vAlign w:val="center"/>
          </w:tcPr>
          <w:p w14:paraId="26567C44" w14:textId="77777777" w:rsidR="0084299B" w:rsidRPr="0084299B" w:rsidRDefault="0084299B" w:rsidP="0084299B">
            <w:pPr>
              <w:widowControl w:val="0"/>
              <w:adjustRightInd w:val="0"/>
              <w:ind w:right="113"/>
              <w:jc w:val="right"/>
              <w:textAlignment w:val="baseline"/>
              <w:rPr>
                <w:b/>
                <w:bCs/>
                <w:sz w:val="20"/>
                <w:szCs w:val="20"/>
              </w:rPr>
            </w:pPr>
            <w:r w:rsidRPr="0084299B">
              <w:rPr>
                <w:b/>
                <w:bCs/>
                <w:sz w:val="20"/>
                <w:szCs w:val="20"/>
              </w:rPr>
              <w:t>56 251.0</w:t>
            </w:r>
          </w:p>
        </w:tc>
        <w:tc>
          <w:tcPr>
            <w:tcW w:w="1275" w:type="dxa"/>
            <w:tcBorders>
              <w:top w:val="nil"/>
              <w:left w:val="nil"/>
              <w:bottom w:val="nil"/>
              <w:right w:val="nil"/>
            </w:tcBorders>
            <w:vAlign w:val="center"/>
          </w:tcPr>
          <w:p w14:paraId="5EEA0010" w14:textId="77777777" w:rsidR="0084299B" w:rsidRPr="0084299B" w:rsidRDefault="0084299B" w:rsidP="0084299B">
            <w:pPr>
              <w:widowControl w:val="0"/>
              <w:adjustRightInd w:val="0"/>
              <w:ind w:right="397"/>
              <w:jc w:val="right"/>
              <w:textAlignment w:val="baseline"/>
              <w:rPr>
                <w:b/>
                <w:bCs/>
                <w:sz w:val="20"/>
                <w:szCs w:val="20"/>
              </w:rPr>
            </w:pPr>
            <w:r w:rsidRPr="0084299B">
              <w:rPr>
                <w:b/>
                <w:bCs/>
                <w:sz w:val="20"/>
                <w:szCs w:val="20"/>
              </w:rPr>
              <w:t>-2.2</w:t>
            </w:r>
          </w:p>
        </w:tc>
        <w:tc>
          <w:tcPr>
            <w:tcW w:w="1418" w:type="dxa"/>
            <w:tcBorders>
              <w:top w:val="nil"/>
              <w:left w:val="nil"/>
              <w:bottom w:val="nil"/>
              <w:right w:val="single" w:sz="4" w:space="0" w:color="auto"/>
            </w:tcBorders>
            <w:vAlign w:val="center"/>
          </w:tcPr>
          <w:p w14:paraId="52114AF7" w14:textId="77777777" w:rsidR="0084299B" w:rsidRPr="0084299B" w:rsidRDefault="0084299B" w:rsidP="0084299B">
            <w:pPr>
              <w:widowControl w:val="0"/>
              <w:adjustRightInd w:val="0"/>
              <w:ind w:right="340"/>
              <w:jc w:val="right"/>
              <w:textAlignment w:val="baseline"/>
              <w:rPr>
                <w:b/>
                <w:bCs/>
                <w:sz w:val="20"/>
                <w:szCs w:val="20"/>
              </w:rPr>
            </w:pPr>
            <w:r w:rsidRPr="0084299B">
              <w:rPr>
                <w:b/>
                <w:bCs/>
                <w:sz w:val="20"/>
                <w:szCs w:val="20"/>
              </w:rPr>
              <w:t>100.0</w:t>
            </w:r>
          </w:p>
        </w:tc>
      </w:tr>
      <w:tr w:rsidR="0084299B" w:rsidRPr="0084299B" w14:paraId="51733FFF" w14:textId="77777777" w:rsidTr="00EA3974">
        <w:trPr>
          <w:jc w:val="right"/>
        </w:trPr>
        <w:tc>
          <w:tcPr>
            <w:tcW w:w="2281" w:type="dxa"/>
            <w:tcBorders>
              <w:top w:val="nil"/>
              <w:left w:val="single" w:sz="4" w:space="0" w:color="auto"/>
              <w:bottom w:val="nil"/>
              <w:right w:val="nil"/>
            </w:tcBorders>
          </w:tcPr>
          <w:p w14:paraId="4D7F477C" w14:textId="77777777" w:rsidR="0084299B" w:rsidRPr="0084299B" w:rsidRDefault="0084299B" w:rsidP="0084299B">
            <w:pPr>
              <w:widowControl w:val="0"/>
              <w:adjustRightInd w:val="0"/>
              <w:textAlignment w:val="baseline"/>
              <w:rPr>
                <w:sz w:val="20"/>
                <w:szCs w:val="20"/>
              </w:rPr>
            </w:pPr>
            <w:r w:rsidRPr="0084299B">
              <w:rPr>
                <w:sz w:val="20"/>
                <w:szCs w:val="20"/>
              </w:rPr>
              <w:t xml:space="preserve">   Petroleras</w:t>
            </w:r>
          </w:p>
        </w:tc>
        <w:tc>
          <w:tcPr>
            <w:tcW w:w="1550" w:type="dxa"/>
            <w:tcBorders>
              <w:top w:val="nil"/>
              <w:left w:val="nil"/>
              <w:bottom w:val="nil"/>
              <w:right w:val="nil"/>
            </w:tcBorders>
            <w:vAlign w:val="center"/>
          </w:tcPr>
          <w:p w14:paraId="26E6407B" w14:textId="77777777" w:rsidR="0084299B" w:rsidRPr="0084299B" w:rsidRDefault="0084299B" w:rsidP="0084299B">
            <w:pPr>
              <w:widowControl w:val="0"/>
              <w:adjustRightInd w:val="0"/>
              <w:ind w:left="170" w:right="113"/>
              <w:jc w:val="right"/>
              <w:textAlignment w:val="baseline"/>
              <w:rPr>
                <w:b/>
                <w:bCs/>
                <w:sz w:val="20"/>
                <w:szCs w:val="20"/>
              </w:rPr>
            </w:pPr>
            <w:r w:rsidRPr="0084299B">
              <w:rPr>
                <w:b/>
                <w:bCs/>
                <w:sz w:val="20"/>
                <w:szCs w:val="20"/>
              </w:rPr>
              <w:t>8 634.3</w:t>
            </w:r>
          </w:p>
        </w:tc>
        <w:tc>
          <w:tcPr>
            <w:tcW w:w="1285" w:type="dxa"/>
            <w:gridSpan w:val="2"/>
            <w:tcBorders>
              <w:top w:val="nil"/>
              <w:left w:val="nil"/>
              <w:bottom w:val="nil"/>
              <w:right w:val="nil"/>
            </w:tcBorders>
            <w:vAlign w:val="center"/>
          </w:tcPr>
          <w:p w14:paraId="6A447FC1" w14:textId="77777777" w:rsidR="0084299B" w:rsidRPr="0084299B" w:rsidRDefault="0084299B" w:rsidP="0084299B">
            <w:pPr>
              <w:widowControl w:val="0"/>
              <w:adjustRightInd w:val="0"/>
              <w:ind w:left="-57" w:right="113"/>
              <w:jc w:val="right"/>
              <w:textAlignment w:val="baseline"/>
              <w:rPr>
                <w:b/>
                <w:bCs/>
                <w:sz w:val="20"/>
                <w:szCs w:val="20"/>
              </w:rPr>
            </w:pPr>
            <w:r w:rsidRPr="0084299B">
              <w:rPr>
                <w:b/>
                <w:bCs/>
                <w:sz w:val="20"/>
                <w:szCs w:val="20"/>
              </w:rPr>
              <w:t>7 752.2</w:t>
            </w:r>
          </w:p>
        </w:tc>
        <w:tc>
          <w:tcPr>
            <w:tcW w:w="1134" w:type="dxa"/>
            <w:tcBorders>
              <w:top w:val="nil"/>
              <w:left w:val="nil"/>
              <w:bottom w:val="nil"/>
              <w:right w:val="nil"/>
            </w:tcBorders>
            <w:vAlign w:val="center"/>
          </w:tcPr>
          <w:p w14:paraId="60E5FD7B" w14:textId="77777777" w:rsidR="0084299B" w:rsidRPr="0084299B" w:rsidRDefault="0084299B" w:rsidP="0084299B">
            <w:pPr>
              <w:widowControl w:val="0"/>
              <w:adjustRightInd w:val="0"/>
              <w:ind w:right="113"/>
              <w:jc w:val="right"/>
              <w:textAlignment w:val="baseline"/>
              <w:rPr>
                <w:b/>
                <w:bCs/>
                <w:sz w:val="20"/>
                <w:szCs w:val="20"/>
              </w:rPr>
            </w:pPr>
            <w:r w:rsidRPr="0084299B">
              <w:rPr>
                <w:b/>
                <w:bCs/>
                <w:sz w:val="20"/>
                <w:szCs w:val="20"/>
              </w:rPr>
              <w:t>4 100.4</w:t>
            </w:r>
          </w:p>
        </w:tc>
        <w:tc>
          <w:tcPr>
            <w:tcW w:w="1275" w:type="dxa"/>
            <w:tcBorders>
              <w:top w:val="nil"/>
              <w:left w:val="nil"/>
              <w:bottom w:val="nil"/>
              <w:right w:val="nil"/>
            </w:tcBorders>
            <w:vAlign w:val="center"/>
          </w:tcPr>
          <w:p w14:paraId="723A46E0" w14:textId="77777777" w:rsidR="0084299B" w:rsidRPr="0084299B" w:rsidRDefault="0084299B" w:rsidP="0084299B">
            <w:pPr>
              <w:widowControl w:val="0"/>
              <w:adjustRightInd w:val="0"/>
              <w:ind w:right="397"/>
              <w:jc w:val="right"/>
              <w:textAlignment w:val="baseline"/>
              <w:rPr>
                <w:b/>
                <w:bCs/>
                <w:sz w:val="20"/>
                <w:szCs w:val="20"/>
              </w:rPr>
            </w:pPr>
            <w:r w:rsidRPr="0084299B">
              <w:rPr>
                <w:b/>
                <w:bCs/>
                <w:sz w:val="20"/>
                <w:szCs w:val="20"/>
              </w:rPr>
              <w:t>-47.1</w:t>
            </w:r>
          </w:p>
        </w:tc>
        <w:tc>
          <w:tcPr>
            <w:tcW w:w="1418" w:type="dxa"/>
            <w:tcBorders>
              <w:top w:val="nil"/>
              <w:left w:val="nil"/>
              <w:bottom w:val="nil"/>
              <w:right w:val="single" w:sz="4" w:space="0" w:color="auto"/>
            </w:tcBorders>
          </w:tcPr>
          <w:p w14:paraId="40BDEE7E" w14:textId="77777777" w:rsidR="0084299B" w:rsidRPr="0084299B" w:rsidRDefault="0084299B" w:rsidP="0084299B">
            <w:pPr>
              <w:widowControl w:val="0"/>
              <w:adjustRightInd w:val="0"/>
              <w:ind w:right="340"/>
              <w:jc w:val="right"/>
              <w:textAlignment w:val="baseline"/>
              <w:rPr>
                <w:sz w:val="20"/>
                <w:szCs w:val="20"/>
              </w:rPr>
            </w:pPr>
            <w:r w:rsidRPr="0084299B">
              <w:rPr>
                <w:sz w:val="20"/>
                <w:szCs w:val="20"/>
              </w:rPr>
              <w:t>7.3</w:t>
            </w:r>
          </w:p>
        </w:tc>
      </w:tr>
      <w:tr w:rsidR="0084299B" w:rsidRPr="0084299B" w14:paraId="53F46385" w14:textId="77777777" w:rsidTr="00EA3974">
        <w:trPr>
          <w:jc w:val="right"/>
        </w:trPr>
        <w:tc>
          <w:tcPr>
            <w:tcW w:w="2281" w:type="dxa"/>
            <w:tcBorders>
              <w:top w:val="nil"/>
              <w:left w:val="single" w:sz="4" w:space="0" w:color="auto"/>
              <w:bottom w:val="nil"/>
              <w:right w:val="nil"/>
            </w:tcBorders>
          </w:tcPr>
          <w:p w14:paraId="4D6B0CE0" w14:textId="77777777" w:rsidR="0084299B" w:rsidRPr="0084299B" w:rsidRDefault="0084299B" w:rsidP="0084299B">
            <w:pPr>
              <w:widowControl w:val="0"/>
              <w:adjustRightInd w:val="0"/>
              <w:textAlignment w:val="baseline"/>
              <w:rPr>
                <w:sz w:val="20"/>
                <w:szCs w:val="20"/>
              </w:rPr>
            </w:pPr>
            <w:r w:rsidRPr="0084299B">
              <w:rPr>
                <w:sz w:val="20"/>
                <w:szCs w:val="20"/>
              </w:rPr>
              <w:t xml:space="preserve">   No petroleras</w:t>
            </w:r>
          </w:p>
        </w:tc>
        <w:tc>
          <w:tcPr>
            <w:tcW w:w="1550" w:type="dxa"/>
            <w:tcBorders>
              <w:top w:val="nil"/>
              <w:left w:val="nil"/>
              <w:bottom w:val="nil"/>
              <w:right w:val="nil"/>
            </w:tcBorders>
          </w:tcPr>
          <w:p w14:paraId="1ED9D527" w14:textId="77777777" w:rsidR="0084299B" w:rsidRPr="0084299B" w:rsidRDefault="0084299B" w:rsidP="0084299B">
            <w:pPr>
              <w:widowControl w:val="0"/>
              <w:adjustRightInd w:val="0"/>
              <w:ind w:left="170" w:right="113"/>
              <w:jc w:val="right"/>
              <w:textAlignment w:val="baseline"/>
              <w:rPr>
                <w:sz w:val="20"/>
                <w:szCs w:val="20"/>
              </w:rPr>
            </w:pPr>
            <w:r w:rsidRPr="0084299B">
              <w:rPr>
                <w:sz w:val="20"/>
                <w:szCs w:val="20"/>
              </w:rPr>
              <w:t>47 755.7</w:t>
            </w:r>
          </w:p>
        </w:tc>
        <w:tc>
          <w:tcPr>
            <w:tcW w:w="1285" w:type="dxa"/>
            <w:gridSpan w:val="2"/>
            <w:tcBorders>
              <w:top w:val="nil"/>
              <w:left w:val="nil"/>
              <w:bottom w:val="nil"/>
              <w:right w:val="nil"/>
            </w:tcBorders>
          </w:tcPr>
          <w:p w14:paraId="25D3029A" w14:textId="77777777" w:rsidR="0084299B" w:rsidRPr="0084299B" w:rsidRDefault="0084299B" w:rsidP="0084299B">
            <w:pPr>
              <w:widowControl w:val="0"/>
              <w:adjustRightInd w:val="0"/>
              <w:ind w:left="-57" w:right="113"/>
              <w:jc w:val="right"/>
              <w:textAlignment w:val="baseline"/>
              <w:rPr>
                <w:sz w:val="20"/>
                <w:szCs w:val="20"/>
              </w:rPr>
            </w:pPr>
            <w:r w:rsidRPr="0084299B">
              <w:rPr>
                <w:sz w:val="20"/>
                <w:szCs w:val="20"/>
              </w:rPr>
              <w:t>49 761.5</w:t>
            </w:r>
          </w:p>
        </w:tc>
        <w:tc>
          <w:tcPr>
            <w:tcW w:w="1134" w:type="dxa"/>
            <w:tcBorders>
              <w:top w:val="nil"/>
              <w:left w:val="nil"/>
              <w:bottom w:val="nil"/>
              <w:right w:val="nil"/>
            </w:tcBorders>
          </w:tcPr>
          <w:p w14:paraId="2B1781B9" w14:textId="77777777" w:rsidR="0084299B" w:rsidRPr="0084299B" w:rsidRDefault="0084299B" w:rsidP="0084299B">
            <w:pPr>
              <w:widowControl w:val="0"/>
              <w:adjustRightInd w:val="0"/>
              <w:ind w:right="113"/>
              <w:jc w:val="right"/>
              <w:textAlignment w:val="baseline"/>
              <w:rPr>
                <w:bCs/>
                <w:sz w:val="20"/>
                <w:szCs w:val="20"/>
              </w:rPr>
            </w:pPr>
            <w:r w:rsidRPr="0084299B">
              <w:rPr>
                <w:bCs/>
                <w:sz w:val="20"/>
                <w:szCs w:val="20"/>
              </w:rPr>
              <w:t>52 150.6</w:t>
            </w:r>
          </w:p>
        </w:tc>
        <w:tc>
          <w:tcPr>
            <w:tcW w:w="1275" w:type="dxa"/>
            <w:tcBorders>
              <w:top w:val="nil"/>
              <w:left w:val="nil"/>
              <w:bottom w:val="nil"/>
              <w:right w:val="nil"/>
            </w:tcBorders>
          </w:tcPr>
          <w:p w14:paraId="3FD85D64" w14:textId="77777777" w:rsidR="0084299B" w:rsidRPr="0084299B" w:rsidRDefault="0084299B" w:rsidP="0084299B">
            <w:pPr>
              <w:widowControl w:val="0"/>
              <w:adjustRightInd w:val="0"/>
              <w:ind w:right="397"/>
              <w:jc w:val="right"/>
              <w:textAlignment w:val="baseline"/>
              <w:rPr>
                <w:sz w:val="20"/>
                <w:szCs w:val="20"/>
              </w:rPr>
            </w:pPr>
            <w:r w:rsidRPr="0084299B">
              <w:rPr>
                <w:sz w:val="20"/>
                <w:szCs w:val="20"/>
              </w:rPr>
              <w:t>4.8</w:t>
            </w:r>
          </w:p>
        </w:tc>
        <w:tc>
          <w:tcPr>
            <w:tcW w:w="1418" w:type="dxa"/>
            <w:tcBorders>
              <w:top w:val="nil"/>
              <w:left w:val="nil"/>
              <w:bottom w:val="nil"/>
              <w:right w:val="single" w:sz="4" w:space="0" w:color="auto"/>
            </w:tcBorders>
          </w:tcPr>
          <w:p w14:paraId="6A838E3B" w14:textId="77777777" w:rsidR="0084299B" w:rsidRPr="0084299B" w:rsidRDefault="0084299B" w:rsidP="0084299B">
            <w:pPr>
              <w:widowControl w:val="0"/>
              <w:adjustRightInd w:val="0"/>
              <w:ind w:right="340"/>
              <w:jc w:val="right"/>
              <w:textAlignment w:val="baseline"/>
              <w:rPr>
                <w:sz w:val="20"/>
                <w:szCs w:val="20"/>
              </w:rPr>
            </w:pPr>
            <w:r w:rsidRPr="0084299B">
              <w:rPr>
                <w:sz w:val="20"/>
                <w:szCs w:val="20"/>
              </w:rPr>
              <w:t>92.7</w:t>
            </w:r>
          </w:p>
        </w:tc>
      </w:tr>
      <w:tr w:rsidR="0084299B" w:rsidRPr="0084299B" w14:paraId="020E4829" w14:textId="77777777" w:rsidTr="00EA3974">
        <w:trPr>
          <w:jc w:val="right"/>
        </w:trPr>
        <w:tc>
          <w:tcPr>
            <w:tcW w:w="2281" w:type="dxa"/>
            <w:tcBorders>
              <w:top w:val="nil"/>
              <w:left w:val="single" w:sz="4" w:space="0" w:color="auto"/>
              <w:bottom w:val="nil"/>
              <w:right w:val="nil"/>
            </w:tcBorders>
          </w:tcPr>
          <w:p w14:paraId="619AC958" w14:textId="77777777" w:rsidR="0084299B" w:rsidRPr="0084299B" w:rsidRDefault="0084299B" w:rsidP="0084299B">
            <w:pPr>
              <w:widowControl w:val="0"/>
              <w:adjustRightInd w:val="0"/>
              <w:textAlignment w:val="baseline"/>
              <w:rPr>
                <w:sz w:val="20"/>
                <w:szCs w:val="20"/>
              </w:rPr>
            </w:pPr>
            <w:r w:rsidRPr="0084299B">
              <w:rPr>
                <w:sz w:val="20"/>
                <w:szCs w:val="20"/>
              </w:rPr>
              <w:t xml:space="preserve">     Agropecuarias</w:t>
            </w:r>
          </w:p>
        </w:tc>
        <w:tc>
          <w:tcPr>
            <w:tcW w:w="1550" w:type="dxa"/>
            <w:tcBorders>
              <w:top w:val="nil"/>
              <w:left w:val="nil"/>
              <w:bottom w:val="nil"/>
              <w:right w:val="nil"/>
            </w:tcBorders>
          </w:tcPr>
          <w:p w14:paraId="0A2B219E" w14:textId="77777777" w:rsidR="0084299B" w:rsidRPr="0084299B" w:rsidRDefault="0084299B" w:rsidP="0084299B">
            <w:pPr>
              <w:widowControl w:val="0"/>
              <w:adjustRightInd w:val="0"/>
              <w:ind w:left="170" w:right="113"/>
              <w:jc w:val="right"/>
              <w:textAlignment w:val="baseline"/>
              <w:rPr>
                <w:sz w:val="20"/>
                <w:szCs w:val="20"/>
              </w:rPr>
            </w:pPr>
            <w:r w:rsidRPr="0084299B">
              <w:rPr>
                <w:sz w:val="20"/>
                <w:szCs w:val="20"/>
              </w:rPr>
              <w:t>2 033.9</w:t>
            </w:r>
          </w:p>
        </w:tc>
        <w:tc>
          <w:tcPr>
            <w:tcW w:w="1285" w:type="dxa"/>
            <w:gridSpan w:val="2"/>
            <w:tcBorders>
              <w:top w:val="nil"/>
              <w:left w:val="nil"/>
              <w:bottom w:val="nil"/>
              <w:right w:val="nil"/>
            </w:tcBorders>
          </w:tcPr>
          <w:p w14:paraId="33B56C69" w14:textId="77777777" w:rsidR="0084299B" w:rsidRPr="0084299B" w:rsidRDefault="0084299B" w:rsidP="0084299B">
            <w:pPr>
              <w:widowControl w:val="0"/>
              <w:adjustRightInd w:val="0"/>
              <w:ind w:left="-57" w:right="113"/>
              <w:jc w:val="right"/>
              <w:textAlignment w:val="baseline"/>
              <w:rPr>
                <w:sz w:val="20"/>
                <w:szCs w:val="20"/>
              </w:rPr>
            </w:pPr>
            <w:r w:rsidRPr="0084299B">
              <w:rPr>
                <w:sz w:val="20"/>
                <w:szCs w:val="20"/>
              </w:rPr>
              <w:t>2 174.1</w:t>
            </w:r>
          </w:p>
        </w:tc>
        <w:tc>
          <w:tcPr>
            <w:tcW w:w="1134" w:type="dxa"/>
            <w:tcBorders>
              <w:top w:val="nil"/>
              <w:left w:val="nil"/>
              <w:bottom w:val="nil"/>
              <w:right w:val="nil"/>
            </w:tcBorders>
          </w:tcPr>
          <w:p w14:paraId="520CD2F5" w14:textId="77777777" w:rsidR="0084299B" w:rsidRPr="0084299B" w:rsidRDefault="0084299B" w:rsidP="0084299B">
            <w:pPr>
              <w:widowControl w:val="0"/>
              <w:adjustRightInd w:val="0"/>
              <w:ind w:right="113"/>
              <w:jc w:val="right"/>
              <w:textAlignment w:val="baseline"/>
              <w:rPr>
                <w:bCs/>
                <w:sz w:val="20"/>
                <w:szCs w:val="20"/>
              </w:rPr>
            </w:pPr>
            <w:r w:rsidRPr="0084299B">
              <w:rPr>
                <w:bCs/>
                <w:sz w:val="20"/>
                <w:szCs w:val="20"/>
              </w:rPr>
              <w:t>2 387.0</w:t>
            </w:r>
          </w:p>
        </w:tc>
        <w:tc>
          <w:tcPr>
            <w:tcW w:w="1275" w:type="dxa"/>
            <w:tcBorders>
              <w:top w:val="nil"/>
              <w:left w:val="nil"/>
              <w:bottom w:val="nil"/>
              <w:right w:val="nil"/>
            </w:tcBorders>
          </w:tcPr>
          <w:p w14:paraId="5105E089" w14:textId="77777777" w:rsidR="0084299B" w:rsidRPr="0084299B" w:rsidRDefault="0084299B" w:rsidP="0084299B">
            <w:pPr>
              <w:widowControl w:val="0"/>
              <w:adjustRightInd w:val="0"/>
              <w:ind w:right="397"/>
              <w:jc w:val="right"/>
              <w:textAlignment w:val="baseline"/>
              <w:rPr>
                <w:sz w:val="20"/>
                <w:szCs w:val="20"/>
              </w:rPr>
            </w:pPr>
            <w:r w:rsidRPr="0084299B">
              <w:rPr>
                <w:sz w:val="20"/>
                <w:szCs w:val="20"/>
              </w:rPr>
              <w:t>9.8</w:t>
            </w:r>
          </w:p>
        </w:tc>
        <w:tc>
          <w:tcPr>
            <w:tcW w:w="1418" w:type="dxa"/>
            <w:tcBorders>
              <w:top w:val="nil"/>
              <w:left w:val="nil"/>
              <w:bottom w:val="nil"/>
              <w:right w:val="single" w:sz="4" w:space="0" w:color="auto"/>
            </w:tcBorders>
          </w:tcPr>
          <w:p w14:paraId="6983D84F" w14:textId="77777777" w:rsidR="0084299B" w:rsidRPr="0084299B" w:rsidRDefault="0084299B" w:rsidP="0084299B">
            <w:pPr>
              <w:widowControl w:val="0"/>
              <w:adjustRightInd w:val="0"/>
              <w:ind w:right="340"/>
              <w:jc w:val="right"/>
              <w:textAlignment w:val="baseline"/>
              <w:rPr>
                <w:sz w:val="20"/>
                <w:szCs w:val="20"/>
              </w:rPr>
            </w:pPr>
            <w:r w:rsidRPr="0084299B">
              <w:rPr>
                <w:sz w:val="20"/>
                <w:szCs w:val="20"/>
              </w:rPr>
              <w:t>4.2</w:t>
            </w:r>
          </w:p>
        </w:tc>
      </w:tr>
      <w:tr w:rsidR="0084299B" w:rsidRPr="0084299B" w14:paraId="71556A8E" w14:textId="77777777" w:rsidTr="00EA3974">
        <w:trPr>
          <w:jc w:val="right"/>
        </w:trPr>
        <w:tc>
          <w:tcPr>
            <w:tcW w:w="2281" w:type="dxa"/>
            <w:tcBorders>
              <w:top w:val="nil"/>
              <w:left w:val="single" w:sz="4" w:space="0" w:color="auto"/>
              <w:bottom w:val="nil"/>
              <w:right w:val="nil"/>
            </w:tcBorders>
          </w:tcPr>
          <w:p w14:paraId="78F3113A" w14:textId="77777777" w:rsidR="0084299B" w:rsidRPr="0084299B" w:rsidRDefault="0084299B" w:rsidP="0084299B">
            <w:pPr>
              <w:widowControl w:val="0"/>
              <w:adjustRightInd w:val="0"/>
              <w:textAlignment w:val="baseline"/>
              <w:rPr>
                <w:sz w:val="20"/>
                <w:szCs w:val="20"/>
              </w:rPr>
            </w:pPr>
            <w:r w:rsidRPr="0084299B">
              <w:rPr>
                <w:sz w:val="20"/>
                <w:szCs w:val="20"/>
              </w:rPr>
              <w:t xml:space="preserve">     Extractivas</w:t>
            </w:r>
          </w:p>
        </w:tc>
        <w:tc>
          <w:tcPr>
            <w:tcW w:w="1550" w:type="dxa"/>
            <w:tcBorders>
              <w:top w:val="nil"/>
              <w:left w:val="nil"/>
              <w:bottom w:val="nil"/>
              <w:right w:val="nil"/>
            </w:tcBorders>
          </w:tcPr>
          <w:p w14:paraId="1FE8D117" w14:textId="77777777" w:rsidR="0084299B" w:rsidRPr="0084299B" w:rsidRDefault="0084299B" w:rsidP="0084299B">
            <w:pPr>
              <w:widowControl w:val="0"/>
              <w:adjustRightInd w:val="0"/>
              <w:ind w:left="170" w:right="113"/>
              <w:jc w:val="right"/>
              <w:textAlignment w:val="baseline"/>
              <w:rPr>
                <w:sz w:val="20"/>
                <w:szCs w:val="20"/>
              </w:rPr>
            </w:pPr>
            <w:r w:rsidRPr="0084299B">
              <w:rPr>
                <w:sz w:val="20"/>
                <w:szCs w:val="20"/>
              </w:rPr>
              <w:t>607.0</w:t>
            </w:r>
          </w:p>
        </w:tc>
        <w:tc>
          <w:tcPr>
            <w:tcW w:w="1285" w:type="dxa"/>
            <w:gridSpan w:val="2"/>
            <w:tcBorders>
              <w:top w:val="nil"/>
              <w:left w:val="nil"/>
              <w:bottom w:val="nil"/>
              <w:right w:val="nil"/>
            </w:tcBorders>
          </w:tcPr>
          <w:p w14:paraId="41AA22DE" w14:textId="77777777" w:rsidR="0084299B" w:rsidRPr="0084299B" w:rsidRDefault="0084299B" w:rsidP="0084299B">
            <w:pPr>
              <w:widowControl w:val="0"/>
              <w:adjustRightInd w:val="0"/>
              <w:ind w:left="-57" w:right="113"/>
              <w:jc w:val="right"/>
              <w:textAlignment w:val="baseline"/>
              <w:rPr>
                <w:sz w:val="20"/>
                <w:szCs w:val="20"/>
              </w:rPr>
            </w:pPr>
            <w:r w:rsidRPr="0084299B">
              <w:rPr>
                <w:sz w:val="20"/>
                <w:szCs w:val="20"/>
              </w:rPr>
              <w:t>786.5</w:t>
            </w:r>
          </w:p>
        </w:tc>
        <w:tc>
          <w:tcPr>
            <w:tcW w:w="1134" w:type="dxa"/>
            <w:tcBorders>
              <w:top w:val="nil"/>
              <w:left w:val="nil"/>
              <w:bottom w:val="nil"/>
              <w:right w:val="nil"/>
            </w:tcBorders>
          </w:tcPr>
          <w:p w14:paraId="37086B60" w14:textId="77777777" w:rsidR="0084299B" w:rsidRPr="0084299B" w:rsidRDefault="0084299B" w:rsidP="0084299B">
            <w:pPr>
              <w:widowControl w:val="0"/>
              <w:adjustRightInd w:val="0"/>
              <w:ind w:right="113"/>
              <w:jc w:val="right"/>
              <w:textAlignment w:val="baseline"/>
              <w:rPr>
                <w:bCs/>
                <w:sz w:val="20"/>
                <w:szCs w:val="20"/>
              </w:rPr>
            </w:pPr>
            <w:r w:rsidRPr="0084299B">
              <w:rPr>
                <w:bCs/>
                <w:sz w:val="20"/>
                <w:szCs w:val="20"/>
              </w:rPr>
              <w:t>822.2</w:t>
            </w:r>
          </w:p>
        </w:tc>
        <w:tc>
          <w:tcPr>
            <w:tcW w:w="1275" w:type="dxa"/>
            <w:tcBorders>
              <w:top w:val="nil"/>
              <w:left w:val="nil"/>
              <w:bottom w:val="nil"/>
              <w:right w:val="nil"/>
            </w:tcBorders>
          </w:tcPr>
          <w:p w14:paraId="590C1BB6" w14:textId="77777777" w:rsidR="0084299B" w:rsidRPr="0084299B" w:rsidRDefault="0084299B" w:rsidP="0084299B">
            <w:pPr>
              <w:widowControl w:val="0"/>
              <w:adjustRightInd w:val="0"/>
              <w:ind w:right="397"/>
              <w:jc w:val="right"/>
              <w:textAlignment w:val="baseline"/>
              <w:rPr>
                <w:sz w:val="20"/>
                <w:szCs w:val="20"/>
              </w:rPr>
            </w:pPr>
            <w:r w:rsidRPr="0084299B">
              <w:rPr>
                <w:sz w:val="20"/>
                <w:szCs w:val="20"/>
              </w:rPr>
              <w:t>4.5</w:t>
            </w:r>
          </w:p>
        </w:tc>
        <w:tc>
          <w:tcPr>
            <w:tcW w:w="1418" w:type="dxa"/>
            <w:tcBorders>
              <w:top w:val="nil"/>
              <w:left w:val="nil"/>
              <w:bottom w:val="nil"/>
              <w:right w:val="single" w:sz="4" w:space="0" w:color="auto"/>
            </w:tcBorders>
          </w:tcPr>
          <w:p w14:paraId="40900D27" w14:textId="77777777" w:rsidR="0084299B" w:rsidRPr="0084299B" w:rsidRDefault="0084299B" w:rsidP="0084299B">
            <w:pPr>
              <w:widowControl w:val="0"/>
              <w:adjustRightInd w:val="0"/>
              <w:ind w:right="340"/>
              <w:jc w:val="right"/>
              <w:textAlignment w:val="baseline"/>
              <w:rPr>
                <w:sz w:val="20"/>
                <w:szCs w:val="20"/>
              </w:rPr>
            </w:pPr>
            <w:r w:rsidRPr="0084299B">
              <w:rPr>
                <w:sz w:val="20"/>
                <w:szCs w:val="20"/>
              </w:rPr>
              <w:t>1.5</w:t>
            </w:r>
          </w:p>
        </w:tc>
      </w:tr>
      <w:tr w:rsidR="0084299B" w:rsidRPr="0084299B" w14:paraId="75CA1020" w14:textId="77777777" w:rsidTr="00EA3974">
        <w:trPr>
          <w:jc w:val="right"/>
        </w:trPr>
        <w:tc>
          <w:tcPr>
            <w:tcW w:w="2281" w:type="dxa"/>
            <w:tcBorders>
              <w:top w:val="nil"/>
              <w:left w:val="single" w:sz="4" w:space="0" w:color="auto"/>
              <w:bottom w:val="nil"/>
              <w:right w:val="nil"/>
            </w:tcBorders>
          </w:tcPr>
          <w:p w14:paraId="74E5BE2C" w14:textId="77777777" w:rsidR="0084299B" w:rsidRPr="0084299B" w:rsidRDefault="0084299B" w:rsidP="0084299B">
            <w:pPr>
              <w:widowControl w:val="0"/>
              <w:adjustRightInd w:val="0"/>
              <w:textAlignment w:val="baseline"/>
              <w:rPr>
                <w:sz w:val="20"/>
                <w:szCs w:val="20"/>
              </w:rPr>
            </w:pPr>
            <w:r w:rsidRPr="0084299B">
              <w:rPr>
                <w:sz w:val="20"/>
                <w:szCs w:val="20"/>
              </w:rPr>
              <w:t xml:space="preserve">     Manufactureras</w:t>
            </w:r>
          </w:p>
        </w:tc>
        <w:tc>
          <w:tcPr>
            <w:tcW w:w="1550" w:type="dxa"/>
            <w:tcBorders>
              <w:top w:val="nil"/>
              <w:left w:val="nil"/>
              <w:bottom w:val="nil"/>
              <w:right w:val="nil"/>
            </w:tcBorders>
          </w:tcPr>
          <w:p w14:paraId="2CBD901A" w14:textId="77777777" w:rsidR="0084299B" w:rsidRPr="0084299B" w:rsidRDefault="0084299B" w:rsidP="0084299B">
            <w:pPr>
              <w:widowControl w:val="0"/>
              <w:adjustRightInd w:val="0"/>
              <w:ind w:left="170" w:right="113"/>
              <w:jc w:val="right"/>
              <w:textAlignment w:val="baseline"/>
              <w:rPr>
                <w:sz w:val="20"/>
                <w:szCs w:val="20"/>
              </w:rPr>
            </w:pPr>
            <w:r w:rsidRPr="0084299B">
              <w:rPr>
                <w:sz w:val="20"/>
                <w:szCs w:val="20"/>
              </w:rPr>
              <w:t>45 114.8</w:t>
            </w:r>
          </w:p>
        </w:tc>
        <w:tc>
          <w:tcPr>
            <w:tcW w:w="1285" w:type="dxa"/>
            <w:gridSpan w:val="2"/>
            <w:tcBorders>
              <w:top w:val="nil"/>
              <w:left w:val="nil"/>
              <w:bottom w:val="nil"/>
              <w:right w:val="nil"/>
            </w:tcBorders>
          </w:tcPr>
          <w:p w14:paraId="7F4E017E" w14:textId="77777777" w:rsidR="0084299B" w:rsidRPr="0084299B" w:rsidRDefault="0084299B" w:rsidP="0084299B">
            <w:pPr>
              <w:widowControl w:val="0"/>
              <w:adjustRightInd w:val="0"/>
              <w:ind w:left="-57" w:right="113"/>
              <w:jc w:val="right"/>
              <w:textAlignment w:val="baseline"/>
              <w:rPr>
                <w:sz w:val="20"/>
                <w:szCs w:val="20"/>
              </w:rPr>
            </w:pPr>
            <w:r w:rsidRPr="0084299B">
              <w:rPr>
                <w:sz w:val="20"/>
                <w:szCs w:val="20"/>
              </w:rPr>
              <w:t>46 800.9</w:t>
            </w:r>
          </w:p>
        </w:tc>
        <w:tc>
          <w:tcPr>
            <w:tcW w:w="1134" w:type="dxa"/>
            <w:tcBorders>
              <w:top w:val="nil"/>
              <w:left w:val="nil"/>
              <w:bottom w:val="nil"/>
              <w:right w:val="nil"/>
            </w:tcBorders>
          </w:tcPr>
          <w:p w14:paraId="6E9C4CFC" w14:textId="77777777" w:rsidR="0084299B" w:rsidRPr="0084299B" w:rsidRDefault="0084299B" w:rsidP="0084299B">
            <w:pPr>
              <w:widowControl w:val="0"/>
              <w:adjustRightInd w:val="0"/>
              <w:ind w:right="113"/>
              <w:jc w:val="right"/>
              <w:textAlignment w:val="baseline"/>
              <w:rPr>
                <w:bCs/>
                <w:sz w:val="20"/>
                <w:szCs w:val="20"/>
              </w:rPr>
            </w:pPr>
            <w:r w:rsidRPr="0084299B">
              <w:rPr>
                <w:bCs/>
                <w:sz w:val="20"/>
                <w:szCs w:val="20"/>
              </w:rPr>
              <w:t>48 941.4</w:t>
            </w:r>
          </w:p>
        </w:tc>
        <w:tc>
          <w:tcPr>
            <w:tcW w:w="1275" w:type="dxa"/>
            <w:tcBorders>
              <w:top w:val="nil"/>
              <w:left w:val="nil"/>
              <w:bottom w:val="nil"/>
              <w:right w:val="nil"/>
            </w:tcBorders>
          </w:tcPr>
          <w:p w14:paraId="7D425674" w14:textId="77777777" w:rsidR="0084299B" w:rsidRPr="0084299B" w:rsidRDefault="0084299B" w:rsidP="0084299B">
            <w:pPr>
              <w:widowControl w:val="0"/>
              <w:adjustRightInd w:val="0"/>
              <w:ind w:right="397"/>
              <w:jc w:val="right"/>
              <w:textAlignment w:val="baseline"/>
              <w:rPr>
                <w:sz w:val="20"/>
                <w:szCs w:val="20"/>
              </w:rPr>
            </w:pPr>
            <w:r w:rsidRPr="0084299B">
              <w:rPr>
                <w:sz w:val="20"/>
                <w:szCs w:val="20"/>
              </w:rPr>
              <w:t>4.6</w:t>
            </w:r>
          </w:p>
        </w:tc>
        <w:tc>
          <w:tcPr>
            <w:tcW w:w="1418" w:type="dxa"/>
            <w:tcBorders>
              <w:top w:val="nil"/>
              <w:left w:val="nil"/>
              <w:bottom w:val="nil"/>
              <w:right w:val="single" w:sz="4" w:space="0" w:color="auto"/>
            </w:tcBorders>
          </w:tcPr>
          <w:p w14:paraId="74FBAA88" w14:textId="77777777" w:rsidR="0084299B" w:rsidRPr="0084299B" w:rsidRDefault="0084299B" w:rsidP="0084299B">
            <w:pPr>
              <w:widowControl w:val="0"/>
              <w:adjustRightInd w:val="0"/>
              <w:ind w:right="340"/>
              <w:jc w:val="right"/>
              <w:textAlignment w:val="baseline"/>
              <w:rPr>
                <w:sz w:val="20"/>
                <w:szCs w:val="20"/>
              </w:rPr>
            </w:pPr>
            <w:r w:rsidRPr="0084299B">
              <w:rPr>
                <w:sz w:val="20"/>
                <w:szCs w:val="20"/>
              </w:rPr>
              <w:t>87.0</w:t>
            </w:r>
          </w:p>
        </w:tc>
      </w:tr>
      <w:tr w:rsidR="0084299B" w:rsidRPr="0084299B" w14:paraId="3611A042" w14:textId="77777777" w:rsidTr="00EA3974">
        <w:trPr>
          <w:jc w:val="right"/>
        </w:trPr>
        <w:tc>
          <w:tcPr>
            <w:tcW w:w="2281" w:type="dxa"/>
            <w:tcBorders>
              <w:top w:val="nil"/>
              <w:left w:val="single" w:sz="4" w:space="0" w:color="auto"/>
              <w:bottom w:val="nil"/>
              <w:right w:val="nil"/>
            </w:tcBorders>
          </w:tcPr>
          <w:p w14:paraId="63D98B0B" w14:textId="77777777" w:rsidR="0084299B" w:rsidRPr="0084299B" w:rsidRDefault="0084299B" w:rsidP="0084299B">
            <w:pPr>
              <w:widowControl w:val="0"/>
              <w:adjustRightInd w:val="0"/>
              <w:textAlignment w:val="baseline"/>
              <w:rPr>
                <w:b/>
                <w:bCs/>
                <w:sz w:val="20"/>
                <w:szCs w:val="20"/>
              </w:rPr>
            </w:pPr>
            <w:r w:rsidRPr="0084299B">
              <w:rPr>
                <w:b/>
                <w:bCs/>
                <w:sz w:val="20"/>
                <w:szCs w:val="20"/>
              </w:rPr>
              <w:t>IMPORTACIONES TOTALES</w:t>
            </w:r>
          </w:p>
        </w:tc>
        <w:tc>
          <w:tcPr>
            <w:tcW w:w="1550" w:type="dxa"/>
            <w:tcBorders>
              <w:top w:val="nil"/>
              <w:left w:val="nil"/>
              <w:bottom w:val="nil"/>
              <w:right w:val="nil"/>
            </w:tcBorders>
            <w:vAlign w:val="center"/>
          </w:tcPr>
          <w:p w14:paraId="2BB802BC" w14:textId="77777777" w:rsidR="0084299B" w:rsidRPr="0084299B" w:rsidRDefault="0084299B" w:rsidP="0084299B">
            <w:pPr>
              <w:widowControl w:val="0"/>
              <w:adjustRightInd w:val="0"/>
              <w:ind w:left="170" w:right="113"/>
              <w:jc w:val="right"/>
              <w:textAlignment w:val="baseline"/>
              <w:rPr>
                <w:b/>
                <w:bCs/>
                <w:sz w:val="20"/>
                <w:szCs w:val="20"/>
              </w:rPr>
            </w:pPr>
            <w:r w:rsidRPr="0084299B">
              <w:rPr>
                <w:b/>
                <w:bCs/>
                <w:sz w:val="20"/>
                <w:szCs w:val="20"/>
              </w:rPr>
              <w:t>59 219.0</w:t>
            </w:r>
          </w:p>
        </w:tc>
        <w:tc>
          <w:tcPr>
            <w:tcW w:w="1285" w:type="dxa"/>
            <w:gridSpan w:val="2"/>
            <w:tcBorders>
              <w:top w:val="nil"/>
              <w:left w:val="nil"/>
              <w:bottom w:val="nil"/>
              <w:right w:val="nil"/>
            </w:tcBorders>
            <w:vAlign w:val="center"/>
          </w:tcPr>
          <w:p w14:paraId="4D4DA2B0" w14:textId="77777777" w:rsidR="0084299B" w:rsidRPr="0084299B" w:rsidRDefault="0084299B" w:rsidP="0084299B">
            <w:pPr>
              <w:widowControl w:val="0"/>
              <w:adjustRightInd w:val="0"/>
              <w:ind w:left="-57" w:right="113"/>
              <w:jc w:val="right"/>
              <w:textAlignment w:val="baseline"/>
              <w:rPr>
                <w:b/>
                <w:bCs/>
                <w:sz w:val="20"/>
                <w:szCs w:val="20"/>
              </w:rPr>
            </w:pPr>
            <w:r w:rsidRPr="0084299B">
              <w:rPr>
                <w:b/>
                <w:bCs/>
                <w:sz w:val="20"/>
                <w:szCs w:val="20"/>
              </w:rPr>
              <w:t>59 777.0</w:t>
            </w:r>
          </w:p>
        </w:tc>
        <w:tc>
          <w:tcPr>
            <w:tcW w:w="1134" w:type="dxa"/>
            <w:tcBorders>
              <w:top w:val="nil"/>
              <w:left w:val="nil"/>
              <w:bottom w:val="nil"/>
              <w:right w:val="nil"/>
            </w:tcBorders>
            <w:vAlign w:val="center"/>
          </w:tcPr>
          <w:p w14:paraId="36672336" w14:textId="77777777" w:rsidR="0084299B" w:rsidRPr="0084299B" w:rsidRDefault="0084299B" w:rsidP="0084299B">
            <w:pPr>
              <w:widowControl w:val="0"/>
              <w:adjustRightInd w:val="0"/>
              <w:ind w:right="113"/>
              <w:jc w:val="right"/>
              <w:textAlignment w:val="baseline"/>
              <w:rPr>
                <w:b/>
                <w:bCs/>
                <w:sz w:val="20"/>
                <w:szCs w:val="20"/>
              </w:rPr>
            </w:pPr>
            <w:r w:rsidRPr="0084299B">
              <w:rPr>
                <w:b/>
                <w:bCs/>
                <w:sz w:val="20"/>
                <w:szCs w:val="20"/>
              </w:rPr>
              <w:t>58 940.3</w:t>
            </w:r>
          </w:p>
        </w:tc>
        <w:tc>
          <w:tcPr>
            <w:tcW w:w="1275" w:type="dxa"/>
            <w:tcBorders>
              <w:top w:val="nil"/>
              <w:left w:val="nil"/>
              <w:bottom w:val="nil"/>
              <w:right w:val="nil"/>
            </w:tcBorders>
            <w:vAlign w:val="center"/>
          </w:tcPr>
          <w:p w14:paraId="2DBEB053" w14:textId="77777777" w:rsidR="0084299B" w:rsidRPr="0084299B" w:rsidRDefault="0084299B" w:rsidP="0084299B">
            <w:pPr>
              <w:widowControl w:val="0"/>
              <w:adjustRightInd w:val="0"/>
              <w:ind w:right="397"/>
              <w:jc w:val="right"/>
              <w:textAlignment w:val="baseline"/>
              <w:rPr>
                <w:b/>
                <w:bCs/>
                <w:sz w:val="20"/>
                <w:szCs w:val="20"/>
              </w:rPr>
            </w:pPr>
            <w:r w:rsidRPr="0084299B">
              <w:rPr>
                <w:b/>
                <w:bCs/>
                <w:sz w:val="20"/>
                <w:szCs w:val="20"/>
              </w:rPr>
              <w:t>-1.4</w:t>
            </w:r>
          </w:p>
        </w:tc>
        <w:tc>
          <w:tcPr>
            <w:tcW w:w="1418" w:type="dxa"/>
            <w:tcBorders>
              <w:top w:val="nil"/>
              <w:left w:val="nil"/>
              <w:bottom w:val="nil"/>
              <w:right w:val="single" w:sz="4" w:space="0" w:color="auto"/>
            </w:tcBorders>
            <w:vAlign w:val="center"/>
          </w:tcPr>
          <w:p w14:paraId="077F349A" w14:textId="77777777" w:rsidR="0084299B" w:rsidRPr="0084299B" w:rsidRDefault="0084299B" w:rsidP="0084299B">
            <w:pPr>
              <w:widowControl w:val="0"/>
              <w:adjustRightInd w:val="0"/>
              <w:ind w:right="340"/>
              <w:jc w:val="right"/>
              <w:textAlignment w:val="baseline"/>
              <w:rPr>
                <w:b/>
                <w:bCs/>
                <w:sz w:val="20"/>
                <w:szCs w:val="20"/>
              </w:rPr>
            </w:pPr>
            <w:r w:rsidRPr="0084299B">
              <w:rPr>
                <w:b/>
                <w:bCs/>
                <w:sz w:val="20"/>
                <w:szCs w:val="20"/>
              </w:rPr>
              <w:t>100.0</w:t>
            </w:r>
          </w:p>
        </w:tc>
      </w:tr>
      <w:tr w:rsidR="0084299B" w:rsidRPr="0084299B" w14:paraId="0F29EBBA" w14:textId="77777777" w:rsidTr="00EA3974">
        <w:trPr>
          <w:jc w:val="right"/>
        </w:trPr>
        <w:tc>
          <w:tcPr>
            <w:tcW w:w="2281" w:type="dxa"/>
            <w:tcBorders>
              <w:top w:val="nil"/>
              <w:left w:val="single" w:sz="4" w:space="0" w:color="auto"/>
              <w:bottom w:val="nil"/>
              <w:right w:val="nil"/>
            </w:tcBorders>
          </w:tcPr>
          <w:p w14:paraId="5D3DD32D" w14:textId="77777777" w:rsidR="0084299B" w:rsidRPr="0084299B" w:rsidRDefault="0084299B" w:rsidP="0084299B">
            <w:pPr>
              <w:widowControl w:val="0"/>
              <w:adjustRightInd w:val="0"/>
              <w:textAlignment w:val="baseline"/>
              <w:rPr>
                <w:sz w:val="20"/>
                <w:szCs w:val="20"/>
              </w:rPr>
            </w:pPr>
            <w:r w:rsidRPr="0084299B">
              <w:rPr>
                <w:sz w:val="20"/>
                <w:szCs w:val="20"/>
              </w:rPr>
              <w:t>Bienes de consumo</w:t>
            </w:r>
          </w:p>
        </w:tc>
        <w:tc>
          <w:tcPr>
            <w:tcW w:w="1550" w:type="dxa"/>
            <w:tcBorders>
              <w:top w:val="nil"/>
              <w:left w:val="nil"/>
              <w:bottom w:val="nil"/>
              <w:right w:val="nil"/>
            </w:tcBorders>
          </w:tcPr>
          <w:p w14:paraId="27DB3EF7" w14:textId="77777777" w:rsidR="0084299B" w:rsidRPr="0084299B" w:rsidRDefault="0084299B" w:rsidP="0084299B">
            <w:pPr>
              <w:widowControl w:val="0"/>
              <w:adjustRightInd w:val="0"/>
              <w:ind w:left="170" w:right="113"/>
              <w:jc w:val="right"/>
              <w:textAlignment w:val="baseline"/>
              <w:rPr>
                <w:sz w:val="20"/>
                <w:szCs w:val="20"/>
              </w:rPr>
            </w:pPr>
            <w:r w:rsidRPr="0084299B">
              <w:rPr>
                <w:sz w:val="20"/>
                <w:szCs w:val="20"/>
              </w:rPr>
              <w:t>8 928.6</w:t>
            </w:r>
          </w:p>
        </w:tc>
        <w:tc>
          <w:tcPr>
            <w:tcW w:w="1285" w:type="dxa"/>
            <w:gridSpan w:val="2"/>
            <w:tcBorders>
              <w:top w:val="nil"/>
              <w:left w:val="nil"/>
              <w:bottom w:val="nil"/>
              <w:right w:val="nil"/>
            </w:tcBorders>
          </w:tcPr>
          <w:p w14:paraId="210B4680" w14:textId="77777777" w:rsidR="0084299B" w:rsidRPr="0084299B" w:rsidRDefault="0084299B" w:rsidP="0084299B">
            <w:pPr>
              <w:widowControl w:val="0"/>
              <w:adjustRightInd w:val="0"/>
              <w:ind w:left="-57" w:right="113"/>
              <w:jc w:val="right"/>
              <w:textAlignment w:val="baseline"/>
              <w:rPr>
                <w:sz w:val="20"/>
                <w:szCs w:val="20"/>
              </w:rPr>
            </w:pPr>
            <w:r w:rsidRPr="0084299B">
              <w:rPr>
                <w:sz w:val="20"/>
                <w:szCs w:val="20"/>
              </w:rPr>
              <w:t>8 929.9</w:t>
            </w:r>
          </w:p>
        </w:tc>
        <w:tc>
          <w:tcPr>
            <w:tcW w:w="1134" w:type="dxa"/>
            <w:tcBorders>
              <w:top w:val="nil"/>
              <w:left w:val="nil"/>
              <w:bottom w:val="nil"/>
              <w:right w:val="nil"/>
            </w:tcBorders>
          </w:tcPr>
          <w:p w14:paraId="489C5BE4" w14:textId="77777777" w:rsidR="0084299B" w:rsidRPr="0084299B" w:rsidRDefault="0084299B" w:rsidP="0084299B">
            <w:pPr>
              <w:widowControl w:val="0"/>
              <w:adjustRightInd w:val="0"/>
              <w:ind w:right="113"/>
              <w:jc w:val="right"/>
              <w:textAlignment w:val="baseline"/>
              <w:rPr>
                <w:bCs/>
                <w:sz w:val="20"/>
                <w:szCs w:val="20"/>
              </w:rPr>
            </w:pPr>
            <w:r w:rsidRPr="0084299B">
              <w:rPr>
                <w:bCs/>
                <w:sz w:val="20"/>
                <w:szCs w:val="20"/>
              </w:rPr>
              <w:t>8 367.6</w:t>
            </w:r>
          </w:p>
        </w:tc>
        <w:tc>
          <w:tcPr>
            <w:tcW w:w="1275" w:type="dxa"/>
            <w:tcBorders>
              <w:top w:val="nil"/>
              <w:left w:val="nil"/>
              <w:bottom w:val="nil"/>
              <w:right w:val="nil"/>
            </w:tcBorders>
          </w:tcPr>
          <w:p w14:paraId="317E06EE" w14:textId="77777777" w:rsidR="0084299B" w:rsidRPr="0084299B" w:rsidRDefault="0084299B" w:rsidP="0084299B">
            <w:pPr>
              <w:widowControl w:val="0"/>
              <w:adjustRightInd w:val="0"/>
              <w:ind w:right="397"/>
              <w:jc w:val="right"/>
              <w:textAlignment w:val="baseline"/>
              <w:rPr>
                <w:sz w:val="20"/>
                <w:szCs w:val="20"/>
              </w:rPr>
            </w:pPr>
            <w:r w:rsidRPr="0084299B">
              <w:rPr>
                <w:sz w:val="20"/>
                <w:szCs w:val="20"/>
              </w:rPr>
              <w:t>-6.3</w:t>
            </w:r>
          </w:p>
        </w:tc>
        <w:tc>
          <w:tcPr>
            <w:tcW w:w="1418" w:type="dxa"/>
            <w:tcBorders>
              <w:top w:val="nil"/>
              <w:left w:val="nil"/>
              <w:bottom w:val="nil"/>
              <w:right w:val="single" w:sz="4" w:space="0" w:color="auto"/>
            </w:tcBorders>
          </w:tcPr>
          <w:p w14:paraId="4ADCAEC7" w14:textId="77777777" w:rsidR="0084299B" w:rsidRPr="0084299B" w:rsidRDefault="0084299B" w:rsidP="0084299B">
            <w:pPr>
              <w:widowControl w:val="0"/>
              <w:adjustRightInd w:val="0"/>
              <w:ind w:right="340"/>
              <w:jc w:val="right"/>
              <w:textAlignment w:val="baseline"/>
              <w:rPr>
                <w:sz w:val="20"/>
                <w:szCs w:val="20"/>
              </w:rPr>
            </w:pPr>
            <w:r w:rsidRPr="0084299B">
              <w:rPr>
                <w:sz w:val="20"/>
                <w:szCs w:val="20"/>
              </w:rPr>
              <w:t>14.2</w:t>
            </w:r>
          </w:p>
        </w:tc>
      </w:tr>
      <w:tr w:rsidR="0084299B" w:rsidRPr="0084299B" w14:paraId="7E45183D" w14:textId="77777777" w:rsidTr="00EA3974">
        <w:trPr>
          <w:jc w:val="right"/>
        </w:trPr>
        <w:tc>
          <w:tcPr>
            <w:tcW w:w="2281" w:type="dxa"/>
            <w:tcBorders>
              <w:top w:val="nil"/>
              <w:left w:val="single" w:sz="4" w:space="0" w:color="auto"/>
              <w:bottom w:val="nil"/>
              <w:right w:val="nil"/>
            </w:tcBorders>
          </w:tcPr>
          <w:p w14:paraId="5644F378" w14:textId="77777777" w:rsidR="0084299B" w:rsidRPr="0084299B" w:rsidRDefault="0084299B" w:rsidP="0084299B">
            <w:pPr>
              <w:widowControl w:val="0"/>
              <w:adjustRightInd w:val="0"/>
              <w:textAlignment w:val="baseline"/>
              <w:rPr>
                <w:sz w:val="20"/>
                <w:szCs w:val="20"/>
              </w:rPr>
            </w:pPr>
            <w:r w:rsidRPr="0084299B">
              <w:rPr>
                <w:sz w:val="20"/>
                <w:szCs w:val="20"/>
              </w:rPr>
              <w:t>Bienes intermedios</w:t>
            </w:r>
          </w:p>
        </w:tc>
        <w:tc>
          <w:tcPr>
            <w:tcW w:w="1550" w:type="dxa"/>
            <w:tcBorders>
              <w:top w:val="nil"/>
              <w:left w:val="nil"/>
              <w:bottom w:val="nil"/>
              <w:right w:val="nil"/>
            </w:tcBorders>
          </w:tcPr>
          <w:p w14:paraId="2E3D2593" w14:textId="77777777" w:rsidR="0084299B" w:rsidRPr="0084299B" w:rsidRDefault="0084299B" w:rsidP="0084299B">
            <w:pPr>
              <w:widowControl w:val="0"/>
              <w:adjustRightInd w:val="0"/>
              <w:ind w:left="170" w:right="113"/>
              <w:jc w:val="right"/>
              <w:textAlignment w:val="baseline"/>
              <w:rPr>
                <w:sz w:val="20"/>
                <w:szCs w:val="20"/>
              </w:rPr>
            </w:pPr>
            <w:r w:rsidRPr="0084299B">
              <w:rPr>
                <w:sz w:val="20"/>
                <w:szCs w:val="20"/>
              </w:rPr>
              <w:t>44 131.1</w:t>
            </w:r>
          </w:p>
        </w:tc>
        <w:tc>
          <w:tcPr>
            <w:tcW w:w="1285" w:type="dxa"/>
            <w:gridSpan w:val="2"/>
            <w:tcBorders>
              <w:top w:val="nil"/>
              <w:left w:val="nil"/>
              <w:bottom w:val="nil"/>
              <w:right w:val="nil"/>
            </w:tcBorders>
          </w:tcPr>
          <w:p w14:paraId="7AD75037" w14:textId="77777777" w:rsidR="0084299B" w:rsidRPr="0084299B" w:rsidRDefault="0084299B" w:rsidP="0084299B">
            <w:pPr>
              <w:widowControl w:val="0"/>
              <w:adjustRightInd w:val="0"/>
              <w:ind w:left="-57" w:right="113"/>
              <w:jc w:val="right"/>
              <w:textAlignment w:val="baseline"/>
              <w:rPr>
                <w:sz w:val="20"/>
                <w:szCs w:val="20"/>
              </w:rPr>
            </w:pPr>
            <w:r w:rsidRPr="0084299B">
              <w:rPr>
                <w:sz w:val="20"/>
                <w:szCs w:val="20"/>
              </w:rPr>
              <w:t>44 797.0</w:t>
            </w:r>
          </w:p>
        </w:tc>
        <w:tc>
          <w:tcPr>
            <w:tcW w:w="1134" w:type="dxa"/>
            <w:tcBorders>
              <w:top w:val="nil"/>
              <w:left w:val="nil"/>
              <w:bottom w:val="nil"/>
              <w:right w:val="nil"/>
            </w:tcBorders>
          </w:tcPr>
          <w:p w14:paraId="312D49B0" w14:textId="77777777" w:rsidR="0084299B" w:rsidRPr="0084299B" w:rsidRDefault="0084299B" w:rsidP="0084299B">
            <w:pPr>
              <w:widowControl w:val="0"/>
              <w:adjustRightInd w:val="0"/>
              <w:ind w:right="113"/>
              <w:jc w:val="right"/>
              <w:textAlignment w:val="baseline"/>
              <w:rPr>
                <w:bCs/>
                <w:sz w:val="20"/>
                <w:szCs w:val="20"/>
              </w:rPr>
            </w:pPr>
            <w:r w:rsidRPr="0084299B">
              <w:rPr>
                <w:bCs/>
                <w:sz w:val="20"/>
                <w:szCs w:val="20"/>
              </w:rPr>
              <w:t>44 353.7</w:t>
            </w:r>
          </w:p>
        </w:tc>
        <w:tc>
          <w:tcPr>
            <w:tcW w:w="1275" w:type="dxa"/>
            <w:tcBorders>
              <w:top w:val="nil"/>
              <w:left w:val="nil"/>
              <w:bottom w:val="nil"/>
              <w:right w:val="nil"/>
            </w:tcBorders>
          </w:tcPr>
          <w:p w14:paraId="3170BA95" w14:textId="77777777" w:rsidR="0084299B" w:rsidRPr="0084299B" w:rsidRDefault="0084299B" w:rsidP="0084299B">
            <w:pPr>
              <w:widowControl w:val="0"/>
              <w:adjustRightInd w:val="0"/>
              <w:ind w:right="397"/>
              <w:jc w:val="right"/>
              <w:textAlignment w:val="baseline"/>
              <w:rPr>
                <w:sz w:val="20"/>
                <w:szCs w:val="20"/>
              </w:rPr>
            </w:pPr>
            <w:r w:rsidRPr="0084299B">
              <w:rPr>
                <w:sz w:val="20"/>
                <w:szCs w:val="20"/>
              </w:rPr>
              <w:t>-1.0</w:t>
            </w:r>
          </w:p>
        </w:tc>
        <w:tc>
          <w:tcPr>
            <w:tcW w:w="1418" w:type="dxa"/>
            <w:tcBorders>
              <w:top w:val="nil"/>
              <w:left w:val="nil"/>
              <w:bottom w:val="nil"/>
              <w:right w:val="single" w:sz="4" w:space="0" w:color="auto"/>
            </w:tcBorders>
          </w:tcPr>
          <w:p w14:paraId="4CB2B135" w14:textId="77777777" w:rsidR="0084299B" w:rsidRPr="0084299B" w:rsidRDefault="0084299B" w:rsidP="0084299B">
            <w:pPr>
              <w:widowControl w:val="0"/>
              <w:adjustRightInd w:val="0"/>
              <w:ind w:right="340"/>
              <w:jc w:val="right"/>
              <w:textAlignment w:val="baseline"/>
              <w:rPr>
                <w:sz w:val="20"/>
                <w:szCs w:val="20"/>
              </w:rPr>
            </w:pPr>
            <w:r w:rsidRPr="0084299B">
              <w:rPr>
                <w:sz w:val="20"/>
                <w:szCs w:val="20"/>
              </w:rPr>
              <w:t>75.3</w:t>
            </w:r>
          </w:p>
        </w:tc>
      </w:tr>
      <w:tr w:rsidR="0084299B" w:rsidRPr="0084299B" w14:paraId="0229E93A" w14:textId="77777777" w:rsidTr="00EA3974">
        <w:trPr>
          <w:jc w:val="right"/>
        </w:trPr>
        <w:tc>
          <w:tcPr>
            <w:tcW w:w="2281" w:type="dxa"/>
            <w:tcBorders>
              <w:top w:val="nil"/>
              <w:left w:val="single" w:sz="4" w:space="0" w:color="auto"/>
              <w:bottom w:val="single" w:sz="4" w:space="0" w:color="auto"/>
              <w:right w:val="nil"/>
            </w:tcBorders>
          </w:tcPr>
          <w:p w14:paraId="3BBFE222" w14:textId="77777777" w:rsidR="0084299B" w:rsidRPr="0084299B" w:rsidRDefault="0084299B" w:rsidP="0084299B">
            <w:pPr>
              <w:widowControl w:val="0"/>
              <w:adjustRightInd w:val="0"/>
              <w:textAlignment w:val="baseline"/>
              <w:rPr>
                <w:sz w:val="20"/>
                <w:szCs w:val="20"/>
              </w:rPr>
            </w:pPr>
            <w:r w:rsidRPr="0084299B">
              <w:rPr>
                <w:sz w:val="20"/>
                <w:szCs w:val="20"/>
              </w:rPr>
              <w:t>Bienes de capital</w:t>
            </w:r>
          </w:p>
        </w:tc>
        <w:tc>
          <w:tcPr>
            <w:tcW w:w="1550" w:type="dxa"/>
            <w:tcBorders>
              <w:top w:val="nil"/>
              <w:left w:val="nil"/>
              <w:bottom w:val="single" w:sz="4" w:space="0" w:color="auto"/>
              <w:right w:val="nil"/>
            </w:tcBorders>
          </w:tcPr>
          <w:p w14:paraId="4B530380" w14:textId="77777777" w:rsidR="0084299B" w:rsidRPr="0084299B" w:rsidRDefault="0084299B" w:rsidP="0084299B">
            <w:pPr>
              <w:widowControl w:val="0"/>
              <w:adjustRightInd w:val="0"/>
              <w:ind w:left="170" w:right="113"/>
              <w:jc w:val="right"/>
              <w:textAlignment w:val="baseline"/>
              <w:rPr>
                <w:sz w:val="20"/>
                <w:szCs w:val="20"/>
              </w:rPr>
            </w:pPr>
            <w:r w:rsidRPr="0084299B">
              <w:rPr>
                <w:sz w:val="20"/>
                <w:szCs w:val="20"/>
              </w:rPr>
              <w:t>6 159.2</w:t>
            </w:r>
          </w:p>
        </w:tc>
        <w:tc>
          <w:tcPr>
            <w:tcW w:w="1285" w:type="dxa"/>
            <w:gridSpan w:val="2"/>
            <w:tcBorders>
              <w:top w:val="nil"/>
              <w:left w:val="nil"/>
              <w:bottom w:val="single" w:sz="4" w:space="0" w:color="auto"/>
              <w:right w:val="nil"/>
            </w:tcBorders>
          </w:tcPr>
          <w:p w14:paraId="4ABA1479" w14:textId="77777777" w:rsidR="0084299B" w:rsidRPr="0084299B" w:rsidRDefault="0084299B" w:rsidP="0084299B">
            <w:pPr>
              <w:widowControl w:val="0"/>
              <w:adjustRightInd w:val="0"/>
              <w:ind w:left="-57" w:right="113"/>
              <w:jc w:val="right"/>
              <w:textAlignment w:val="baseline"/>
              <w:rPr>
                <w:sz w:val="20"/>
                <w:szCs w:val="20"/>
              </w:rPr>
            </w:pPr>
            <w:r w:rsidRPr="0084299B">
              <w:rPr>
                <w:sz w:val="20"/>
                <w:szCs w:val="20"/>
              </w:rPr>
              <w:t>6 050.1</w:t>
            </w:r>
          </w:p>
        </w:tc>
        <w:tc>
          <w:tcPr>
            <w:tcW w:w="1134" w:type="dxa"/>
            <w:tcBorders>
              <w:top w:val="nil"/>
              <w:left w:val="nil"/>
              <w:bottom w:val="single" w:sz="4" w:space="0" w:color="auto"/>
              <w:right w:val="nil"/>
            </w:tcBorders>
          </w:tcPr>
          <w:p w14:paraId="5FB05107" w14:textId="77777777" w:rsidR="0084299B" w:rsidRPr="0084299B" w:rsidRDefault="0084299B" w:rsidP="0084299B">
            <w:pPr>
              <w:widowControl w:val="0"/>
              <w:adjustRightInd w:val="0"/>
              <w:ind w:right="113"/>
              <w:jc w:val="right"/>
              <w:textAlignment w:val="baseline"/>
              <w:rPr>
                <w:bCs/>
                <w:sz w:val="20"/>
                <w:szCs w:val="20"/>
              </w:rPr>
            </w:pPr>
            <w:r w:rsidRPr="0084299B">
              <w:rPr>
                <w:bCs/>
                <w:sz w:val="20"/>
                <w:szCs w:val="20"/>
              </w:rPr>
              <w:t>6 218.9</w:t>
            </w:r>
          </w:p>
        </w:tc>
        <w:tc>
          <w:tcPr>
            <w:tcW w:w="1275" w:type="dxa"/>
            <w:tcBorders>
              <w:top w:val="nil"/>
              <w:left w:val="nil"/>
              <w:bottom w:val="single" w:sz="4" w:space="0" w:color="auto"/>
              <w:right w:val="nil"/>
            </w:tcBorders>
          </w:tcPr>
          <w:p w14:paraId="0A21690A" w14:textId="77777777" w:rsidR="0084299B" w:rsidRPr="0084299B" w:rsidRDefault="0084299B" w:rsidP="0084299B">
            <w:pPr>
              <w:widowControl w:val="0"/>
              <w:adjustRightInd w:val="0"/>
              <w:ind w:right="397"/>
              <w:jc w:val="right"/>
              <w:textAlignment w:val="baseline"/>
              <w:rPr>
                <w:sz w:val="20"/>
                <w:szCs w:val="20"/>
              </w:rPr>
            </w:pPr>
            <w:r w:rsidRPr="0084299B">
              <w:rPr>
                <w:sz w:val="20"/>
                <w:szCs w:val="20"/>
              </w:rPr>
              <w:t>2.8</w:t>
            </w:r>
          </w:p>
        </w:tc>
        <w:tc>
          <w:tcPr>
            <w:tcW w:w="1418" w:type="dxa"/>
            <w:tcBorders>
              <w:top w:val="nil"/>
              <w:left w:val="nil"/>
              <w:bottom w:val="single" w:sz="4" w:space="0" w:color="auto"/>
              <w:right w:val="single" w:sz="4" w:space="0" w:color="auto"/>
            </w:tcBorders>
          </w:tcPr>
          <w:p w14:paraId="3EC762E6" w14:textId="77777777" w:rsidR="0084299B" w:rsidRPr="0084299B" w:rsidRDefault="0084299B" w:rsidP="0084299B">
            <w:pPr>
              <w:widowControl w:val="0"/>
              <w:adjustRightInd w:val="0"/>
              <w:ind w:right="340"/>
              <w:jc w:val="right"/>
              <w:textAlignment w:val="baseline"/>
              <w:rPr>
                <w:sz w:val="20"/>
                <w:szCs w:val="20"/>
              </w:rPr>
            </w:pPr>
            <w:r w:rsidRPr="0084299B">
              <w:rPr>
                <w:sz w:val="20"/>
                <w:szCs w:val="20"/>
              </w:rPr>
              <w:t>10.5</w:t>
            </w:r>
          </w:p>
        </w:tc>
      </w:tr>
      <w:tr w:rsidR="0084299B" w:rsidRPr="0084299B" w14:paraId="017FBDB3" w14:textId="77777777" w:rsidTr="00EA3974">
        <w:trPr>
          <w:jc w:val="right"/>
        </w:trPr>
        <w:tc>
          <w:tcPr>
            <w:tcW w:w="8943" w:type="dxa"/>
            <w:gridSpan w:val="7"/>
            <w:tcBorders>
              <w:top w:val="single" w:sz="4" w:space="0" w:color="auto"/>
              <w:left w:val="nil"/>
              <w:bottom w:val="nil"/>
              <w:right w:val="nil"/>
            </w:tcBorders>
          </w:tcPr>
          <w:p w14:paraId="1CE4F71E" w14:textId="77777777" w:rsidR="0084299B" w:rsidRPr="0084299B" w:rsidRDefault="0084299B" w:rsidP="0084299B">
            <w:pPr>
              <w:widowControl w:val="0"/>
              <w:adjustRightInd w:val="0"/>
              <w:jc w:val="both"/>
              <w:textAlignment w:val="baseline"/>
              <w:rPr>
                <w:sz w:val="20"/>
                <w:szCs w:val="20"/>
              </w:rPr>
            </w:pPr>
            <w:r w:rsidRPr="0084299B">
              <w:rPr>
                <w:sz w:val="20"/>
                <w:szCs w:val="20"/>
              </w:rPr>
              <w:t>Nota: Debido al redondeo, la suma de los parciales puede no coincidir con el total.</w:t>
            </w:r>
          </w:p>
          <w:p w14:paraId="16E8F15A" w14:textId="77777777" w:rsidR="0084299B" w:rsidRPr="0084299B" w:rsidRDefault="0084299B" w:rsidP="0084299B">
            <w:pPr>
              <w:widowControl w:val="0"/>
              <w:adjustRightInd w:val="0"/>
              <w:ind w:left="907" w:hanging="907"/>
              <w:jc w:val="both"/>
              <w:textAlignment w:val="baseline"/>
              <w:rPr>
                <w:sz w:val="20"/>
                <w:szCs w:val="20"/>
              </w:rPr>
            </w:pPr>
            <w:r w:rsidRPr="0084299B">
              <w:rPr>
                <w:sz w:val="20"/>
                <w:szCs w:val="20"/>
              </w:rPr>
              <w:t>FUENTE: Elaborado por la Comisión Nacional de los Salarios Mínimos con información revisada del Banco de México (Banxico).</w:t>
            </w:r>
          </w:p>
        </w:tc>
      </w:tr>
    </w:tbl>
    <w:p w14:paraId="1C9D31C1" w14:textId="77777777" w:rsidR="0084299B" w:rsidRPr="0084299B" w:rsidRDefault="0084299B" w:rsidP="0084299B">
      <w:pPr>
        <w:ind w:right="-159"/>
        <w:jc w:val="both"/>
        <w:rPr>
          <w:b/>
          <w:sz w:val="20"/>
          <w:szCs w:val="20"/>
        </w:rPr>
      </w:pPr>
    </w:p>
    <w:p w14:paraId="558A75A8" w14:textId="77777777" w:rsidR="0084299B" w:rsidRPr="0084299B" w:rsidRDefault="0084299B" w:rsidP="0084299B">
      <w:pPr>
        <w:ind w:right="-159"/>
        <w:jc w:val="both"/>
        <w:rPr>
          <w:b/>
          <w:sz w:val="20"/>
          <w:szCs w:val="20"/>
        </w:rPr>
      </w:pPr>
      <w:r w:rsidRPr="0084299B">
        <w:rPr>
          <w:b/>
          <w:sz w:val="20"/>
          <w:szCs w:val="20"/>
        </w:rPr>
        <w:t>Fuente de información:</w:t>
      </w:r>
    </w:p>
    <w:p w14:paraId="3BD08A62" w14:textId="77777777" w:rsidR="0084299B" w:rsidRPr="00BC7BEB" w:rsidRDefault="00D936FE" w:rsidP="00BC7BEB">
      <w:pPr>
        <w:spacing w:after="720" w:line="276" w:lineRule="auto"/>
        <w:ind w:left="709" w:hanging="709"/>
        <w:rPr>
          <w:rFonts w:eastAsia="Times New Roman"/>
          <w:color w:val="0000FF"/>
          <w:sz w:val="20"/>
          <w:szCs w:val="20"/>
          <w:lang w:eastAsia="es-MX"/>
        </w:rPr>
      </w:pPr>
      <w:hyperlink r:id="rId21" w:history="1">
        <w:r w:rsidR="0084299B" w:rsidRPr="00BC7BEB">
          <w:rPr>
            <w:rFonts w:eastAsia="Times New Roman"/>
            <w:color w:val="0000FF"/>
            <w:sz w:val="20"/>
            <w:szCs w:val="20"/>
            <w:u w:val="single"/>
            <w:lang w:eastAsia="es-MX"/>
          </w:rPr>
          <w:t>http://www.inegi.org.mx/saladeprensa/boletines/2015/balcom_o/balcom_o2015_03.pdf</w:t>
        </w:r>
      </w:hyperlink>
      <w:r w:rsidR="0084299B" w:rsidRPr="00BC7BEB">
        <w:rPr>
          <w:rFonts w:eastAsia="Times New Roman"/>
          <w:color w:val="0000FF"/>
          <w:sz w:val="20"/>
          <w:szCs w:val="20"/>
          <w:lang w:eastAsia="es-MX"/>
        </w:rPr>
        <w:t xml:space="preserve"> </w:t>
      </w:r>
    </w:p>
    <w:p w14:paraId="709D5D40" w14:textId="77777777" w:rsidR="00FE2F2C" w:rsidRPr="00FE2F2C" w:rsidRDefault="00FE2F2C" w:rsidP="00FE2F2C">
      <w:pPr>
        <w:spacing w:after="360" w:line="360" w:lineRule="auto"/>
        <w:ind w:right="-159"/>
        <w:jc w:val="both"/>
        <w:rPr>
          <w:rFonts w:eastAsia="Calibri"/>
          <w:b/>
          <w:sz w:val="26"/>
          <w:szCs w:val="26"/>
          <w:lang w:eastAsia="en-US"/>
        </w:rPr>
      </w:pPr>
      <w:r w:rsidRPr="00FE2F2C">
        <w:rPr>
          <w:rFonts w:eastAsia="Calibri"/>
          <w:b/>
          <w:sz w:val="26"/>
          <w:szCs w:val="26"/>
          <w:lang w:eastAsia="en-US"/>
        </w:rPr>
        <w:t xml:space="preserve">Inversión extranjera, la esperanza de las reformas (Forbes México) </w:t>
      </w:r>
    </w:p>
    <w:p w14:paraId="600F46E6"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El 20 de abril de 2015, la edición online de la revista de negocios Forbes México señaló  que mientras los indicadores de la economía languidecen ante la caída de los precios del petróleo, la devaluación del peso, la inseguridad, la violencia y los casos de corrupción, los inversionistas y especialistas financieros aseguran que seguirán fluyendo las inversiones foráneas hacia México.</w:t>
      </w:r>
    </w:p>
    <w:p w14:paraId="451FE010"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El arranque de 2015 llegó a México con tanta incertidumbre como hace algunos años no sucedía; durante el último trimestre de 2014, el escenario político y económico cambió totalmente luego de las expectativas de crecimiento que se gestaron a raíz de las reformas.</w:t>
      </w:r>
    </w:p>
    <w:p w14:paraId="72E39EF9"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lastRenderedPageBreak/>
        <w:t xml:space="preserve">El primer sobresalto sobrevino a mitad de año, cuando inició el </w:t>
      </w:r>
      <w:r w:rsidRPr="00FE2F2C">
        <w:rPr>
          <w:rFonts w:eastAsia="Calibri"/>
          <w:i/>
          <w:sz w:val="26"/>
          <w:szCs w:val="26"/>
          <w:lang w:val="es-ES" w:eastAsia="en-US"/>
        </w:rPr>
        <w:t>rally</w:t>
      </w:r>
      <w:r w:rsidRPr="00FE2F2C">
        <w:rPr>
          <w:rFonts w:eastAsia="Calibri"/>
          <w:sz w:val="26"/>
          <w:szCs w:val="26"/>
          <w:lang w:val="es-ES" w:eastAsia="en-US"/>
        </w:rPr>
        <w:t xml:space="preserve"> a la baja de los precios internacionales del petróleo: principal fuente de apalancamiento del gobierno federal.</w:t>
      </w:r>
    </w:p>
    <w:p w14:paraId="2156BC82"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 xml:space="preserve">El segundo sobresalto llegó en septiembre; los titulares de la prensa mexicana dieron cuenta de la desaparición de 43 estudiantes de la normal rural de </w:t>
      </w:r>
      <w:proofErr w:type="spellStart"/>
      <w:r w:rsidRPr="00FE2F2C">
        <w:rPr>
          <w:rFonts w:eastAsia="Calibri"/>
          <w:sz w:val="26"/>
          <w:szCs w:val="26"/>
          <w:lang w:val="es-ES" w:eastAsia="en-US"/>
        </w:rPr>
        <w:t>Ayotzinapa</w:t>
      </w:r>
      <w:proofErr w:type="spellEnd"/>
      <w:r w:rsidRPr="00FE2F2C">
        <w:rPr>
          <w:rFonts w:eastAsia="Calibri"/>
          <w:sz w:val="26"/>
          <w:szCs w:val="26"/>
          <w:lang w:val="es-ES" w:eastAsia="en-US"/>
        </w:rPr>
        <w:t>, en el estado de Guerrero.</w:t>
      </w:r>
    </w:p>
    <w:p w14:paraId="178A790F"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Al escenario anterior, debe sumarse el factor de inseguridad que, a decir del director de Estudios Económicos de Banamex, “es un factor que impacta fuertemente la percepción pública, y aunque no son claras las cifras de medición, los datos señalan que el secuestro y la extorsión, por ejemplo, vienen a la baja”.</w:t>
      </w:r>
    </w:p>
    <w:p w14:paraId="3652DFE9"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Bajo ese escenario, en febrero pasado la Secretaría de Economía (SE) reportó que la Inversión Extranjera Directa (IED) en México descendió 48.9% durante 2014.</w:t>
      </w:r>
    </w:p>
    <w:p w14:paraId="2464AE9C"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De los 22 mil 568 millones de dólares captados el año anterior, 56.6% correspondió a inversiones de empresas que ya estaban instaladas en el país. Aunado a lo anterior, las expectativas de crecimiento del Producto Interno Bruto (PIB) se redujeron de 3.4 a 2.1% en 2014, y el pronóstico para 2015 se situó en 2.5%, mientras que el peso pasó de 13.07 en septiembre a 15.18 pesos por dólar al cierre de la primera semana de marzo.</w:t>
      </w:r>
    </w:p>
    <w:p w14:paraId="458B5CA8" w14:textId="77777777" w:rsidR="00FE2F2C" w:rsidRPr="00FE2F2C" w:rsidRDefault="00FE2F2C" w:rsidP="00FE2F2C">
      <w:pPr>
        <w:spacing w:after="360" w:line="360" w:lineRule="auto"/>
        <w:ind w:right="-159"/>
        <w:jc w:val="both"/>
        <w:rPr>
          <w:rFonts w:eastAsia="Calibri"/>
          <w:b/>
          <w:sz w:val="26"/>
          <w:szCs w:val="26"/>
          <w:lang w:val="es-ES" w:eastAsia="en-US"/>
        </w:rPr>
      </w:pPr>
      <w:r w:rsidRPr="00FE2F2C">
        <w:rPr>
          <w:rFonts w:eastAsia="Calibri"/>
          <w:b/>
          <w:sz w:val="26"/>
          <w:szCs w:val="26"/>
          <w:lang w:val="es-ES" w:eastAsia="en-US"/>
        </w:rPr>
        <w:t>Confianza en el destino</w:t>
      </w:r>
    </w:p>
    <w:p w14:paraId="0E6E6589"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Durante los últimos días del mes pasado, el Consejo de Empresas Globales, en voz del ejecutivo federal, anunció inversiones por 11 mil 172 millones de dólares para 2015; la apuesta del gremio: generar 9 mil empleos con la inyección de ese capital.</w:t>
      </w:r>
    </w:p>
    <w:p w14:paraId="3C39FDB4" w14:textId="6CADF0BA"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 xml:space="preserve">El vicepresidente de Comunicación Corporativa de Nestlé México menciona que la inversión de </w:t>
      </w:r>
      <w:r w:rsidR="00BC7BEB">
        <w:rPr>
          <w:rFonts w:eastAsia="Calibri"/>
          <w:sz w:val="26"/>
          <w:szCs w:val="26"/>
          <w:lang w:val="es-ES" w:eastAsia="en-US"/>
        </w:rPr>
        <w:t>un</w:t>
      </w:r>
      <w:r w:rsidRPr="00FE2F2C">
        <w:rPr>
          <w:rFonts w:eastAsia="Calibri"/>
          <w:sz w:val="26"/>
          <w:szCs w:val="26"/>
          <w:lang w:val="es-ES" w:eastAsia="en-US"/>
        </w:rPr>
        <w:t xml:space="preserve"> mil millones de dólares anunciada hace un año por la empresa será </w:t>
      </w:r>
      <w:r w:rsidRPr="00FE2F2C">
        <w:rPr>
          <w:rFonts w:eastAsia="Calibri"/>
          <w:sz w:val="26"/>
          <w:szCs w:val="26"/>
          <w:lang w:val="es-ES" w:eastAsia="en-US"/>
        </w:rPr>
        <w:lastRenderedPageBreak/>
        <w:t>ejercida en un período de cuatro años, y que la construcción de dos nuevas plantas sigue adelante, una para producir alimentos para mascotas en Silao y otra más en Ocotlán para producir fórmulas para bebés.</w:t>
      </w:r>
    </w:p>
    <w:p w14:paraId="17C6C06E" w14:textId="77777777" w:rsidR="00FE2F2C" w:rsidRPr="00FE2F2C" w:rsidRDefault="00FE2F2C" w:rsidP="00FE2F2C">
      <w:pPr>
        <w:spacing w:after="360" w:line="360" w:lineRule="auto"/>
        <w:ind w:right="-159"/>
        <w:jc w:val="both"/>
        <w:rPr>
          <w:rFonts w:eastAsia="Calibri"/>
          <w:sz w:val="26"/>
          <w:szCs w:val="26"/>
          <w:lang w:val="es-ES" w:eastAsia="en-US"/>
        </w:rPr>
      </w:pPr>
      <w:proofErr w:type="spellStart"/>
      <w:r w:rsidRPr="00FE2F2C">
        <w:rPr>
          <w:rFonts w:eastAsia="Calibri"/>
          <w:sz w:val="26"/>
          <w:szCs w:val="26"/>
          <w:lang w:val="es-ES" w:eastAsia="en-US"/>
        </w:rPr>
        <w:t>Pepsico</w:t>
      </w:r>
      <w:proofErr w:type="spellEnd"/>
      <w:r w:rsidRPr="00FE2F2C">
        <w:rPr>
          <w:rFonts w:eastAsia="Calibri"/>
          <w:sz w:val="26"/>
          <w:szCs w:val="26"/>
          <w:lang w:val="es-ES" w:eastAsia="en-US"/>
        </w:rPr>
        <w:t xml:space="preserve"> anunció inversiones por 5 mil millones de dólares y tiene planes para expandir su producción e implementar nuevos sistemas de reparto; “generalmente, las inversiones se miden por su capacidad para generar flujo de efectivo y aunque los montos anunciados hace 12 meses hoy valen 14% menos, la mayoría de las empresas apuestan a compensarlo con las exportaciones”, señala el socio líder de Asesoría de KPMG México.</w:t>
      </w:r>
    </w:p>
    <w:p w14:paraId="3ED0EDDD"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Las inversiones no vienen solas y generalmente son precedidas por otras más. KIA Motors anunció una inversión de 1 mil 500 millones de dólares para colocar una planta de producción en Pesquería, Nuevo León; sólo esta operación traerá a la entidad 14 empresas fabricantes de autopartes que se sumarán a la cadena de valor de la armadora surcoreana.</w:t>
      </w:r>
    </w:p>
    <w:p w14:paraId="70421013"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De acuerdo con la SE, el sector automotriz sigue siendo el más dinámico en la generación de IED en México y en los últimos cuatro años las principales armadoras que operan en el país anunciaron inyecciones de capital por 19 mil millones de dólares.</w:t>
      </w:r>
    </w:p>
    <w:p w14:paraId="316F8C1C"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Es un hecho que el sector industrial sigue siendo el principal tractor de IED a México. De acuerdo con la SE, durante 2014 la división de manufactura captó 12 mil 870 millones de dólares, 57% del total recibido, mientras que el sector automotriz atrajo 33.7% de la inversión de ese segmento.</w:t>
      </w:r>
    </w:p>
    <w:p w14:paraId="1F5ED488"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 xml:space="preserve">De acuerdo con el Instituto Nacional de Estadística y Geografía (INEGI), las exportaciones manufactureras en 2014 crecieron 7.2% y las automotrices lo hicieron 11.9%, con respecto al año anterior. En total, las exportaciones en el último año aumentaron 4.6%. Mientras que durante el primer mes de 2015, las ventas al exterior </w:t>
      </w:r>
      <w:r w:rsidRPr="00FE2F2C">
        <w:rPr>
          <w:rFonts w:eastAsia="Calibri"/>
          <w:sz w:val="26"/>
          <w:szCs w:val="26"/>
          <w:lang w:val="es-ES" w:eastAsia="en-US"/>
        </w:rPr>
        <w:lastRenderedPageBreak/>
        <w:t>del sector manufacturero aumentaron 5.6% y las automotrices lo hicieron 15.3 por ciento.</w:t>
      </w:r>
    </w:p>
    <w:p w14:paraId="140C2E64"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“La recuperación que comienza a observar la economía en Estados Unidos de Norteamérica será un factor determinante para el sector manufacturero en México, ya que se prevé un incremento de las exportaciones hacia el vecino país del norte, lo que hace suponer que podría aumentar el número de inversiones”, dice el director de Estudios Económicos de Banamex.</w:t>
      </w:r>
    </w:p>
    <w:p w14:paraId="325C62A8"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Analistas financieros estiman que las inversiones anunciadas por parte de las armadoras de autos, aún no genera toda la derrama que se espera del sector, por lo que se prevé que veamos cada vez más empresas de autopartes llegando al país para integrarse a la cadena de valor del sector automotriz. Tan sólo al cierre del año pasado, las empresas fabricantes de autopartes invirtieron 1 mil 903 millones de dólares, 64% más que en 2013.</w:t>
      </w:r>
    </w:p>
    <w:p w14:paraId="1D41A6F1"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 xml:space="preserve">Apenas en febrero pasado, la </w:t>
      </w:r>
      <w:proofErr w:type="spellStart"/>
      <w:r w:rsidRPr="00FE2F2C">
        <w:rPr>
          <w:rFonts w:eastAsia="Calibri"/>
          <w:sz w:val="26"/>
          <w:szCs w:val="26"/>
          <w:lang w:val="es-ES" w:eastAsia="en-US"/>
        </w:rPr>
        <w:t>autopartera</w:t>
      </w:r>
      <w:proofErr w:type="spellEnd"/>
      <w:r w:rsidRPr="00FE2F2C">
        <w:rPr>
          <w:rFonts w:eastAsia="Calibri"/>
          <w:sz w:val="26"/>
          <w:szCs w:val="26"/>
          <w:lang w:val="es-ES" w:eastAsia="en-US"/>
        </w:rPr>
        <w:t xml:space="preserve"> japonesa </w:t>
      </w:r>
      <w:proofErr w:type="spellStart"/>
      <w:r w:rsidRPr="00FE2F2C">
        <w:rPr>
          <w:rFonts w:eastAsia="Calibri"/>
          <w:sz w:val="26"/>
          <w:szCs w:val="26"/>
          <w:lang w:val="es-ES" w:eastAsia="en-US"/>
        </w:rPr>
        <w:t>Nissin</w:t>
      </w:r>
      <w:proofErr w:type="spellEnd"/>
      <w:r w:rsidRPr="00FE2F2C">
        <w:rPr>
          <w:rFonts w:eastAsia="Calibri"/>
          <w:sz w:val="26"/>
          <w:szCs w:val="26"/>
          <w:lang w:val="es-ES" w:eastAsia="en-US"/>
        </w:rPr>
        <w:t xml:space="preserve"> </w:t>
      </w:r>
      <w:proofErr w:type="spellStart"/>
      <w:r w:rsidRPr="00FE2F2C">
        <w:rPr>
          <w:rFonts w:eastAsia="Calibri"/>
          <w:sz w:val="26"/>
          <w:szCs w:val="26"/>
          <w:lang w:val="es-ES" w:eastAsia="en-US"/>
        </w:rPr>
        <w:t>Manufacturing</w:t>
      </w:r>
      <w:proofErr w:type="spellEnd"/>
      <w:r w:rsidRPr="00FE2F2C">
        <w:rPr>
          <w:rFonts w:eastAsia="Calibri"/>
          <w:sz w:val="26"/>
          <w:szCs w:val="26"/>
          <w:lang w:val="es-ES" w:eastAsia="en-US"/>
        </w:rPr>
        <w:t xml:space="preserve"> anunció su llegada a San Luis Potosí, entidad donde instalará una planta para la fabricación de balancines para proveer a Honda de México; la inversión anunciada fue de 41 millones de dólares en una planta en la ciudad de México, mientras que el Banco Santander divulgó que realizaría inversiones por 10 mil millones de dólares en los próximos años, con el fin de modernizar su infraestructura y destinar créditos a las pequeñas y medianas empresas.</w:t>
      </w:r>
    </w:p>
    <w:p w14:paraId="7AAE3234"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No obstante, la expectativas de crecimiento siguen centradas en los efectos que pueden traer las reformas en energía y telecomunicaciones (este último sector, en enero pasado, generó el primer impacto con la compra de Iusacell y Nextel por parte del gigante AT&amp;T, por 4 mil 375 millones de dólares.</w:t>
      </w:r>
    </w:p>
    <w:p w14:paraId="07C9001C"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lastRenderedPageBreak/>
        <w:t>En el sector energético, el escenario de los bajos precios del petróleo hace suponer que las inversiones en este sector se detendrán; la realidad es que la definición de la licitación.</w:t>
      </w:r>
    </w:p>
    <w:p w14:paraId="4515F888"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 xml:space="preserve">Por su parte, Hyundai </w:t>
      </w:r>
      <w:proofErr w:type="spellStart"/>
      <w:r w:rsidRPr="00FE2F2C">
        <w:rPr>
          <w:rFonts w:eastAsia="Calibri"/>
          <w:sz w:val="26"/>
          <w:szCs w:val="26"/>
          <w:lang w:val="es-ES" w:eastAsia="en-US"/>
        </w:rPr>
        <w:t>Mobis</w:t>
      </w:r>
      <w:proofErr w:type="spellEnd"/>
      <w:r w:rsidRPr="00FE2F2C">
        <w:rPr>
          <w:rFonts w:eastAsia="Calibri"/>
          <w:sz w:val="26"/>
          <w:szCs w:val="26"/>
          <w:lang w:val="es-ES" w:eastAsia="en-US"/>
        </w:rPr>
        <w:t xml:space="preserve"> —filial de Hyundai y </w:t>
      </w:r>
      <w:proofErr w:type="spellStart"/>
      <w:r w:rsidRPr="00FE2F2C">
        <w:rPr>
          <w:rFonts w:eastAsia="Calibri"/>
          <w:sz w:val="26"/>
          <w:szCs w:val="26"/>
          <w:lang w:val="es-ES" w:eastAsia="en-US"/>
        </w:rPr>
        <w:t>Kia</w:t>
      </w:r>
      <w:proofErr w:type="spellEnd"/>
      <w:r w:rsidRPr="00FE2F2C">
        <w:rPr>
          <w:rFonts w:eastAsia="Calibri"/>
          <w:sz w:val="26"/>
          <w:szCs w:val="26"/>
          <w:lang w:val="es-ES" w:eastAsia="en-US"/>
        </w:rPr>
        <w:t>— realizó una inversión por 418 millones de dólares destinada a la construcción de una planta en el estado de Nuevo León, en donde producirá módulos y focos para ambas armadoras a partir del año 2016.</w:t>
      </w:r>
    </w:p>
    <w:p w14:paraId="76EC4262"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Solamente el puerto interior de Guanajuato tiene compromisos de recepción de inversiones por 2 mil 900 millones de dólares para los siguientes años, que se destinarán principalmente al sector automotriz y de autopartes.</w:t>
      </w:r>
    </w:p>
    <w:p w14:paraId="60BBA6A8"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Empresas del sector servicios también han anunciado inversiones en el país. Cisco invertirá 1 mil 500 millones de dólares para la fabricación de componentes de la Ronda I será determinante para conocer los primeros efectos de las reformas.</w:t>
      </w:r>
    </w:p>
    <w:p w14:paraId="19F55B04"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“Por lo pronto, los proyectos de exploración en aguas profundas quedarán en espera y las inversiones se concentrarán en fortalecer y desarrollar la infraestructura de gasoductos y oleoductos que requiere el sector, para ser eficientes y abaratar los costos de suministro al sector industrial”, apunta el socio líder de Asesoría de KPMG México.</w:t>
      </w:r>
    </w:p>
    <w:p w14:paraId="74B17613" w14:textId="55D9B38A"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 xml:space="preserve">En este mismo sentido, tres corporativos anunciaron ya su interés para invertir en el sector energético. Grupo </w:t>
      </w:r>
      <w:proofErr w:type="spellStart"/>
      <w:r w:rsidRPr="00FE2F2C">
        <w:rPr>
          <w:rFonts w:eastAsia="Calibri"/>
          <w:sz w:val="26"/>
          <w:szCs w:val="26"/>
          <w:lang w:val="es-ES" w:eastAsia="en-US"/>
        </w:rPr>
        <w:t>Bal</w:t>
      </w:r>
      <w:proofErr w:type="spellEnd"/>
      <w:r w:rsidRPr="00FE2F2C">
        <w:rPr>
          <w:rFonts w:eastAsia="Calibri"/>
          <w:sz w:val="26"/>
          <w:szCs w:val="26"/>
          <w:lang w:val="es-ES" w:eastAsia="en-US"/>
        </w:rPr>
        <w:t xml:space="preserve"> comunicó la creación de </w:t>
      </w:r>
      <w:proofErr w:type="spellStart"/>
      <w:r w:rsidRPr="00FE2F2C">
        <w:rPr>
          <w:rFonts w:eastAsia="Calibri"/>
          <w:sz w:val="26"/>
          <w:szCs w:val="26"/>
          <w:lang w:val="es-ES" w:eastAsia="en-US"/>
        </w:rPr>
        <w:t>Petrobal</w:t>
      </w:r>
      <w:proofErr w:type="spellEnd"/>
      <w:r w:rsidRPr="00FE2F2C">
        <w:rPr>
          <w:rFonts w:eastAsia="Calibri"/>
          <w:sz w:val="26"/>
          <w:szCs w:val="26"/>
          <w:lang w:val="es-ES" w:eastAsia="en-US"/>
        </w:rPr>
        <w:t xml:space="preserve">, con el objetivo de participar en la exploración y extracción de petróleo. Mientras que Cemex hizo lo propio anunciando planes para desarrollar proyectos de gas natural y de energías renovables; en tanto que la refresquera </w:t>
      </w:r>
      <w:proofErr w:type="spellStart"/>
      <w:r w:rsidR="00BC7BEB">
        <w:rPr>
          <w:rFonts w:eastAsia="Calibri"/>
          <w:sz w:val="26"/>
          <w:szCs w:val="26"/>
          <w:lang w:val="es-ES" w:eastAsia="en-US"/>
        </w:rPr>
        <w:t>F</w:t>
      </w:r>
      <w:r w:rsidRPr="00FE2F2C">
        <w:rPr>
          <w:rFonts w:eastAsia="Calibri"/>
          <w:sz w:val="26"/>
          <w:szCs w:val="26"/>
          <w:lang w:val="es-ES" w:eastAsia="en-US"/>
        </w:rPr>
        <w:t>emsa</w:t>
      </w:r>
      <w:proofErr w:type="spellEnd"/>
      <w:r w:rsidRPr="00FE2F2C">
        <w:rPr>
          <w:rFonts w:eastAsia="Calibri"/>
          <w:sz w:val="26"/>
          <w:szCs w:val="26"/>
          <w:lang w:val="es-ES" w:eastAsia="en-US"/>
        </w:rPr>
        <w:t xml:space="preserve"> manifestó la compra de 227 estaciones de gasolina por 430 millones de dólares.</w:t>
      </w:r>
    </w:p>
    <w:p w14:paraId="570BBDFF"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 xml:space="preserve">Las cifras del INEGI revelan que hasta noviembre pasado la inversión fija bruta en México creció 4.7% con respecto al mismo período del año anterior, mientras que el </w:t>
      </w:r>
      <w:r w:rsidRPr="00FE2F2C">
        <w:rPr>
          <w:rFonts w:eastAsia="Calibri"/>
          <w:sz w:val="26"/>
          <w:szCs w:val="26"/>
          <w:lang w:val="es-ES" w:eastAsia="en-US"/>
        </w:rPr>
        <w:lastRenderedPageBreak/>
        <w:t>acumulado enero-noviembre apenas aumentó 2%. La inversión de maquinaria y equipo creció 8.8% en los últimos 12 meses con respecto a noviembre, y el acumulado durante 2014 fue de 4.9 por ciento.</w:t>
      </w:r>
    </w:p>
    <w:p w14:paraId="7884CCA7" w14:textId="77777777" w:rsidR="00FE2F2C" w:rsidRPr="00FE2F2C" w:rsidRDefault="00FE2F2C" w:rsidP="00FE2F2C">
      <w:pPr>
        <w:spacing w:after="360" w:line="360" w:lineRule="auto"/>
        <w:ind w:right="-159"/>
        <w:jc w:val="both"/>
        <w:rPr>
          <w:rFonts w:eastAsia="Calibri"/>
          <w:b/>
          <w:sz w:val="26"/>
          <w:szCs w:val="26"/>
          <w:lang w:val="es-ES" w:eastAsia="en-US"/>
        </w:rPr>
      </w:pPr>
      <w:r w:rsidRPr="00FE2F2C">
        <w:rPr>
          <w:rFonts w:eastAsia="Calibri"/>
          <w:b/>
          <w:sz w:val="26"/>
          <w:szCs w:val="26"/>
          <w:lang w:val="es-ES" w:eastAsia="en-US"/>
        </w:rPr>
        <w:t xml:space="preserve">Claroscuros </w:t>
      </w:r>
    </w:p>
    <w:p w14:paraId="19AC2DE3"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En el actual contexto, parece complicado suponer que la economía mexicana crecerá más allá de 2.5% este año. De hecho, de acuerdo con las calificadoras de riesgo, México aumentó 14 puntos base su nivel de riesgo país, y aunque es menor al observado por Brasil y Rusia —que duplicaron su horizonte de contingencia—, los fundamentales de la economía mexicana parecen no ser suficientes como para pensar en un mayor crecimiento.</w:t>
      </w:r>
    </w:p>
    <w:p w14:paraId="7D6923D2"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Ante este panorama, “el inversionista tendrá que ser más cauteloso en los próximos meses y, sin duda, una mayor volatilidad podría ser un factor para revisar los planes de inversión por parte de las empresas”, advierte el socio líder de Asesoría de KPMG México.</w:t>
      </w:r>
    </w:p>
    <w:p w14:paraId="45901EA2"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Sin embargo, mientras el mercado interno continúe deprimido, difícilmente se podrá pensar en una pronta recuperación económica, que es otra de las pinzas para atraer IED. Al respecto, el vicepresidente de Comunicación Corporativa de Nestlé México señala: “Si se hiciera más dinámico el consumo interno, tendríamos más oportunidades de crecimiento, además de los planes que estamos implementando”.</w:t>
      </w:r>
    </w:p>
    <w:p w14:paraId="44F403B2"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“El fortalecimiento del mercado interno será uno de los principales retos de la actual administración. En el caso de la industria automotriz, incentivar el crédito para la compra de autos nuevos será fundamental para el sector”, explica un experto de GM con base en su experiencia.</w:t>
      </w:r>
    </w:p>
    <w:p w14:paraId="603E8B25"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lastRenderedPageBreak/>
        <w:t>Lo cierto es que regularmente las inversiones de las empresas, por lo general foráneas, comienzan a ser tangibles hasta tres o cuatros años después de haber sido anunciadas, por lo que algunos de los proyectos dados a conocer durante 2014 se verán reflejados hasta 2017 o 2018, y en el mejor de los casos hasta después de la mitad del siguiente año.</w:t>
      </w:r>
    </w:p>
    <w:p w14:paraId="5A6CEF38" w14:textId="77777777" w:rsidR="00FE2F2C" w:rsidRPr="00FE2F2C" w:rsidRDefault="00FE2F2C" w:rsidP="00FE2F2C">
      <w:pPr>
        <w:spacing w:after="360" w:line="360" w:lineRule="auto"/>
        <w:ind w:right="-159"/>
        <w:jc w:val="both"/>
        <w:rPr>
          <w:rFonts w:eastAsia="Calibri"/>
          <w:sz w:val="26"/>
          <w:szCs w:val="26"/>
          <w:lang w:val="es-ES" w:eastAsia="en-US"/>
        </w:rPr>
      </w:pPr>
      <w:r w:rsidRPr="00FE2F2C">
        <w:rPr>
          <w:rFonts w:eastAsia="Calibri"/>
          <w:sz w:val="26"/>
          <w:szCs w:val="26"/>
          <w:lang w:val="es-ES" w:eastAsia="en-US"/>
        </w:rPr>
        <w:t>“Aunque los inversionistas serán más selectivos a la hora de decidir hacia dónde dirigirán sus capitales, México sigue presentando ventajas que lo siguen haciendo atractivo para el inversionista foráneo, por lo que pese al actual clima político y económico, más empresas seguirán llegando a nuestro país en los siguientes años”, concluye el socio líder de Asesoría de KPMG México.</w:t>
      </w:r>
    </w:p>
    <w:p w14:paraId="20221CF3" w14:textId="77777777" w:rsidR="00FE2F2C" w:rsidRPr="00FE2F2C" w:rsidRDefault="00FE2F2C" w:rsidP="00FE2F2C">
      <w:pPr>
        <w:ind w:right="-159"/>
        <w:jc w:val="both"/>
        <w:rPr>
          <w:rFonts w:eastAsia="Calibri"/>
          <w:b/>
          <w:sz w:val="20"/>
          <w:szCs w:val="20"/>
          <w:lang w:eastAsia="en-US"/>
        </w:rPr>
      </w:pPr>
      <w:r w:rsidRPr="00FE2F2C">
        <w:rPr>
          <w:rFonts w:eastAsia="Calibri"/>
          <w:b/>
          <w:sz w:val="20"/>
          <w:szCs w:val="20"/>
          <w:lang w:eastAsia="en-US"/>
        </w:rPr>
        <w:t>Fuente de información:</w:t>
      </w:r>
    </w:p>
    <w:p w14:paraId="57BD5571" w14:textId="77777777" w:rsidR="00FE2F2C" w:rsidRPr="00BC7BEB" w:rsidRDefault="00D936FE" w:rsidP="00BC7BEB">
      <w:pPr>
        <w:spacing w:after="720"/>
        <w:ind w:right="-159"/>
        <w:jc w:val="both"/>
        <w:rPr>
          <w:rFonts w:eastAsia="Calibri"/>
          <w:b/>
          <w:color w:val="0000FF"/>
          <w:sz w:val="20"/>
          <w:szCs w:val="20"/>
          <w:lang w:val="es-ES" w:eastAsia="en-US"/>
        </w:rPr>
      </w:pPr>
      <w:hyperlink r:id="rId22" w:history="1">
        <w:r w:rsidR="00FE2F2C" w:rsidRPr="00BC7BEB">
          <w:rPr>
            <w:rFonts w:eastAsia="Calibri"/>
            <w:color w:val="0000FF"/>
            <w:sz w:val="20"/>
            <w:szCs w:val="20"/>
            <w:u w:val="single"/>
            <w:lang w:val="es-ES" w:eastAsia="en-US"/>
          </w:rPr>
          <w:t>http://www.forbes.com.mx/inversion-extranjera-la-esperanza-de-las-reformas/</w:t>
        </w:r>
      </w:hyperlink>
    </w:p>
    <w:p w14:paraId="7CC466A6" w14:textId="77777777" w:rsidR="00FC49FF" w:rsidRPr="00FC49FF" w:rsidRDefault="00FC49FF" w:rsidP="00FC49FF">
      <w:pPr>
        <w:rPr>
          <w:rFonts w:eastAsia="Calibri"/>
          <w:b/>
          <w:sz w:val="26"/>
          <w:szCs w:val="26"/>
          <w:lang w:eastAsia="en-US"/>
        </w:rPr>
      </w:pPr>
      <w:r w:rsidRPr="00FC49FF">
        <w:rPr>
          <w:rFonts w:eastAsia="Calibri"/>
          <w:b/>
          <w:sz w:val="26"/>
          <w:szCs w:val="26"/>
          <w:lang w:eastAsia="en-US"/>
        </w:rPr>
        <w:t>El nuevo régimen de las IMMEX</w:t>
      </w:r>
    </w:p>
    <w:p w14:paraId="15A2D87B" w14:textId="77777777" w:rsidR="00FC49FF" w:rsidRPr="00FC49FF" w:rsidRDefault="00FC49FF" w:rsidP="00FC49FF">
      <w:pPr>
        <w:spacing w:after="360" w:line="360" w:lineRule="auto"/>
        <w:ind w:right="-159"/>
        <w:jc w:val="both"/>
        <w:rPr>
          <w:rFonts w:eastAsia="Calibri"/>
          <w:b/>
          <w:sz w:val="26"/>
          <w:szCs w:val="26"/>
          <w:lang w:eastAsia="en-US"/>
        </w:rPr>
      </w:pPr>
      <w:r w:rsidRPr="00FC49FF">
        <w:rPr>
          <w:rFonts w:eastAsia="Calibri"/>
          <w:b/>
          <w:sz w:val="26"/>
          <w:szCs w:val="26"/>
          <w:lang w:eastAsia="en-US"/>
        </w:rPr>
        <w:t>(Cámara de Diputados)</w:t>
      </w:r>
    </w:p>
    <w:p w14:paraId="2357A8FF"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El 31 de marzo de 2015, el Centro de Estudios de las Finanzas Públicas (CEFP), de la Cámara de Diputados, presentó el reporte sobre “El nuevo régimen de las IMMEX”. A continuación se presenta la información.</w:t>
      </w:r>
    </w:p>
    <w:p w14:paraId="74FB0EF5" w14:textId="77777777" w:rsidR="00FC49FF" w:rsidRPr="00FC49FF" w:rsidRDefault="00FC49FF" w:rsidP="00FC49FF">
      <w:pPr>
        <w:spacing w:after="360" w:line="360" w:lineRule="auto"/>
        <w:ind w:right="-159"/>
        <w:jc w:val="both"/>
        <w:rPr>
          <w:rFonts w:eastAsia="Calibri"/>
          <w:b/>
          <w:sz w:val="26"/>
          <w:szCs w:val="26"/>
          <w:lang w:eastAsia="en-US"/>
        </w:rPr>
      </w:pPr>
      <w:r w:rsidRPr="00FC49FF">
        <w:rPr>
          <w:rFonts w:eastAsia="Calibri"/>
          <w:b/>
          <w:sz w:val="26"/>
          <w:szCs w:val="26"/>
          <w:lang w:eastAsia="en-US"/>
        </w:rPr>
        <w:t>I. Aspectos generales</w:t>
      </w:r>
    </w:p>
    <w:p w14:paraId="5E79C26A"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En México la Industria Manufacturera, Maquiladora y de Servicios de Exportación (IMMEX) ha evolucionado favorablemente en los últimos años, hasta convertirse en uno de los motores de crecimiento de la economía nacional, ya que cuenta con una aportación importante en el comercio exterior (importaciones y exportaciones) y en el mercado laboral mediante la generación de empleos directos e indirectos, lo que hace que la derrama económica que las IMMEX generan a los distintos sectores productivos proporcionen una importante estabilización económica al país.</w:t>
      </w:r>
    </w:p>
    <w:p w14:paraId="00244EA1" w14:textId="35DE6769"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lastRenderedPageBreak/>
        <w:t>Así, la importancia de las IMMEX en la economía se confirma con algunos datos del Instituto Nacional de Estadística y Geografía (INEGI). Al cuarto trimestre de 2014</w:t>
      </w:r>
      <w:r w:rsidR="00177A9B">
        <w:rPr>
          <w:rFonts w:eastAsia="Calibri"/>
          <w:sz w:val="26"/>
          <w:szCs w:val="26"/>
          <w:lang w:eastAsia="en-US"/>
        </w:rPr>
        <w:t>,</w:t>
      </w:r>
      <w:r w:rsidRPr="00FC49FF">
        <w:rPr>
          <w:rFonts w:eastAsia="Calibri"/>
          <w:sz w:val="26"/>
          <w:szCs w:val="26"/>
          <w:lang w:eastAsia="en-US"/>
        </w:rPr>
        <w:t xml:space="preserve"> el número de establecimientos que se tiene registrados es de 6 mil 138 industrias, entre manufactureras y no manufactureras, los cuales contribuyen con 44% de las exportaciones totales y dan empleo a más de 2.5 millones de personas (por cada un empleo generado formalmente se genera a su alrededor tres empleos indirectos), asimismo los ingresos que dicha industria ha generado en los últimos tres años han representado alrededor una quinta parte del producto interno bruto (PIB), tan es así que en 2014 constituyeron 20.8% del </w:t>
      </w:r>
      <w:r w:rsidR="00ED5B4F">
        <w:rPr>
          <w:rFonts w:eastAsia="Calibri"/>
          <w:sz w:val="26"/>
          <w:szCs w:val="26"/>
          <w:lang w:eastAsia="en-US"/>
        </w:rPr>
        <w:t>Producto Interno Bruto (</w:t>
      </w:r>
      <w:r w:rsidRPr="00FC49FF">
        <w:rPr>
          <w:rFonts w:eastAsia="Calibri"/>
          <w:sz w:val="26"/>
          <w:szCs w:val="26"/>
          <w:lang w:eastAsia="en-US"/>
        </w:rPr>
        <w:t>PIB</w:t>
      </w:r>
      <w:r w:rsidR="00ED5B4F">
        <w:rPr>
          <w:rFonts w:eastAsia="Calibri"/>
          <w:sz w:val="26"/>
          <w:szCs w:val="26"/>
          <w:lang w:eastAsia="en-US"/>
        </w:rPr>
        <w:t>)</w:t>
      </w:r>
      <w:r w:rsidRPr="00FC49FF">
        <w:rPr>
          <w:rFonts w:eastAsia="Calibri"/>
          <w:sz w:val="26"/>
          <w:szCs w:val="26"/>
          <w:lang w:eastAsia="en-US"/>
        </w:rPr>
        <w:t xml:space="preserve"> nacional.</w:t>
      </w:r>
    </w:p>
    <w:p w14:paraId="0BE91C1B" w14:textId="77777777" w:rsidR="00FC49FF" w:rsidRPr="00FC49FF" w:rsidRDefault="00FC49FF" w:rsidP="00FC49FF">
      <w:pPr>
        <w:spacing w:after="360" w:line="360" w:lineRule="auto"/>
        <w:ind w:right="-159"/>
        <w:jc w:val="center"/>
        <w:rPr>
          <w:rFonts w:eastAsia="Calibri"/>
          <w:sz w:val="26"/>
          <w:szCs w:val="26"/>
          <w:lang w:eastAsia="en-US"/>
        </w:rPr>
      </w:pPr>
      <w:r w:rsidRPr="00FC49FF">
        <w:rPr>
          <w:rFonts w:eastAsia="Calibri"/>
          <w:noProof/>
          <w:sz w:val="22"/>
          <w:szCs w:val="22"/>
          <w:lang w:eastAsia="es-MX"/>
        </w:rPr>
        <w:drawing>
          <wp:inline distT="0" distB="0" distL="0" distR="0" wp14:anchorId="296E483C" wp14:editId="06D5F6E0">
            <wp:extent cx="4559260" cy="2376577"/>
            <wp:effectExtent l="0" t="0" r="0" b="5080"/>
            <wp:docPr id="1779" name="Imagen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229" b="29488"/>
                    <a:stretch/>
                  </pic:blipFill>
                  <pic:spPr bwMode="auto">
                    <a:xfrm>
                      <a:off x="0" y="0"/>
                      <a:ext cx="4559300" cy="2376598"/>
                    </a:xfrm>
                    <a:prstGeom prst="rect">
                      <a:avLst/>
                    </a:prstGeom>
                    <a:noFill/>
                    <a:ln>
                      <a:noFill/>
                    </a:ln>
                    <a:extLst>
                      <a:ext uri="{53640926-AAD7-44D8-BBD7-CCE9431645EC}">
                        <a14:shadowObscured xmlns:a14="http://schemas.microsoft.com/office/drawing/2010/main"/>
                      </a:ext>
                    </a:extLst>
                  </pic:spPr>
                </pic:pic>
              </a:graphicData>
            </a:graphic>
          </wp:inline>
        </w:drawing>
      </w:r>
    </w:p>
    <w:p w14:paraId="08E7F255" w14:textId="109F7DAA"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En este sentido, se tiene que los beneficios socioeconómicos y comerciales asociados al establecimiento de las empresas IMMEX son sustanciales para el desarrollo de las regiones donde se establecen. Así, los estados en los que se tiene mayor presencia de dicha industria son: Baja California, Sonora, Nuevo León, Jalisco, Chihuahua, Coahuila y Tamaulipas, los cuales se caracterizan por contar con buena infraestructura, bajas tasas de desempleo, mejores servicios de salud y educativos; entre otros.</w:t>
      </w:r>
    </w:p>
    <w:p w14:paraId="45486369" w14:textId="51A4A0A6"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 xml:space="preserve">Por lo anterior, el Gobierno Federal ha promovido la aplicación de regímenes o tratamientos especiales en materia de impuestos y/o beneficios fiscales a lo largo de la vigencia del programa. Estas medidas se han realizado con el fin de mejorar la </w:t>
      </w:r>
      <w:r w:rsidRPr="00FC49FF">
        <w:rPr>
          <w:rFonts w:eastAsia="Calibri"/>
          <w:sz w:val="26"/>
          <w:szCs w:val="26"/>
          <w:lang w:eastAsia="en-US"/>
        </w:rPr>
        <w:lastRenderedPageBreak/>
        <w:t>competitividad de las maquiladoras y así poderlas posicionar en las mismas condiciones que nuestros principales competidores en el mundo.</w:t>
      </w:r>
    </w:p>
    <w:p w14:paraId="051A9B1A" w14:textId="77777777" w:rsidR="00FC49FF" w:rsidRPr="00FC49FF" w:rsidRDefault="00FC49FF" w:rsidP="00FC49FF">
      <w:pPr>
        <w:spacing w:after="360" w:line="360" w:lineRule="auto"/>
        <w:ind w:right="-159"/>
        <w:jc w:val="both"/>
        <w:rPr>
          <w:rFonts w:eastAsia="Calibri"/>
          <w:b/>
          <w:sz w:val="26"/>
          <w:szCs w:val="26"/>
          <w:lang w:eastAsia="en-US"/>
        </w:rPr>
      </w:pPr>
      <w:r w:rsidRPr="00FC49FF">
        <w:rPr>
          <w:rFonts w:eastAsia="Calibri"/>
          <w:b/>
          <w:sz w:val="26"/>
          <w:szCs w:val="26"/>
          <w:lang w:eastAsia="en-US"/>
        </w:rPr>
        <w:t>II. Antecedentes fiscales de las IMMEX en México</w:t>
      </w:r>
    </w:p>
    <w:p w14:paraId="68BCECDD" w14:textId="33B3DB7E"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La industria maquiladora surge en el año de 1964, tras la suspensión del programa bracero, con el objetivo de generar empleos para los mexicanos que se quedaron desempleados por la terminación de dicho programa. Así, desde su creación hasta la fecha, la industria ha tenido diversas modificaciones fiscales, las cuales se han ido adaptando a las exigencias nacionales e internacionales del sector manufacturero.</w:t>
      </w:r>
    </w:p>
    <w:p w14:paraId="32D7D1DF" w14:textId="6FE286C6"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En 1966, el Gobierno Federal emitió las primeras reglas que permitieron la importación temporal de maquinaria e insumos a la zona fronteriza. Posteriormente, para 1971 se creó un nuevo reglamento que permitió el establecimiento de plantas en regiones no fronterizas y la creación de empresas con la totalidad capital extranjero</w:t>
      </w:r>
      <w:r w:rsidRPr="00FC49FF">
        <w:rPr>
          <w:rFonts w:eastAsia="Calibri"/>
          <w:sz w:val="26"/>
          <w:szCs w:val="26"/>
          <w:vertAlign w:val="superscript"/>
          <w:lang w:eastAsia="en-US"/>
        </w:rPr>
        <w:footnoteReference w:id="2"/>
      </w:r>
      <w:r w:rsidR="00522F10">
        <w:rPr>
          <w:rFonts w:eastAsia="Calibri"/>
          <w:sz w:val="26"/>
          <w:szCs w:val="26"/>
          <w:lang w:eastAsia="en-US"/>
        </w:rPr>
        <w:t>.</w:t>
      </w:r>
    </w:p>
    <w:p w14:paraId="1C9B2DF5"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En 1982, el establecimiento de la industria maquiladora en México se caracterizó por la recepción de pequeños segmentos de procesos productivos, con tecnología rudimentaria y uso excesivo de mano de obra, donde predomina la femenina y la de los jóvenes.</w:t>
      </w:r>
    </w:p>
    <w:p w14:paraId="083ED099" w14:textId="15F84CCA"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Posteriormente</w:t>
      </w:r>
      <w:r w:rsidR="00177A9B">
        <w:rPr>
          <w:rFonts w:eastAsia="Calibri"/>
          <w:sz w:val="26"/>
          <w:szCs w:val="26"/>
          <w:lang w:eastAsia="en-US"/>
        </w:rPr>
        <w:t>,</w:t>
      </w:r>
      <w:r w:rsidRPr="00FC49FF">
        <w:rPr>
          <w:rFonts w:eastAsia="Calibri"/>
          <w:sz w:val="26"/>
          <w:szCs w:val="26"/>
          <w:lang w:eastAsia="en-US"/>
        </w:rPr>
        <w:t xml:space="preserve"> en 1983, se emitió el Decreto para el fomento y operación de la industria maquiladora de exportación, el cual se les concedió a las maquiladoras el estatus de sociedades mercantiles mexicanas, y se les permitió vender un porcentajes de su producción en territorio nacional (hasta un 20%), a partir de ese momento fueron consideradas como un factor de desarrollo industrial.</w:t>
      </w:r>
    </w:p>
    <w:p w14:paraId="6CD520B9" w14:textId="0AC844F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lastRenderedPageBreak/>
        <w:t>Así</w:t>
      </w:r>
      <w:r w:rsidR="00297CBE">
        <w:rPr>
          <w:rFonts w:eastAsia="Calibri"/>
          <w:sz w:val="26"/>
          <w:szCs w:val="26"/>
          <w:lang w:eastAsia="en-US"/>
        </w:rPr>
        <w:t>,</w:t>
      </w:r>
      <w:r w:rsidRPr="00FC49FF">
        <w:rPr>
          <w:rFonts w:eastAsia="Calibri"/>
          <w:sz w:val="26"/>
          <w:szCs w:val="26"/>
          <w:lang w:eastAsia="en-US"/>
        </w:rPr>
        <w:t xml:space="preserve"> en la década de los años noventa</w:t>
      </w:r>
      <w:r w:rsidR="00297CBE">
        <w:rPr>
          <w:rFonts w:eastAsia="Calibri"/>
          <w:sz w:val="26"/>
          <w:szCs w:val="26"/>
          <w:lang w:eastAsia="en-US"/>
        </w:rPr>
        <w:t>,</w:t>
      </w:r>
      <w:r w:rsidRPr="00FC49FF">
        <w:rPr>
          <w:rFonts w:eastAsia="Calibri"/>
          <w:sz w:val="26"/>
          <w:szCs w:val="26"/>
          <w:lang w:eastAsia="en-US"/>
        </w:rPr>
        <w:t xml:space="preserve"> el crecimiento de la industria maquiladora constituyó el principal factor de la expansión del empleo manufacturero en el norte de México. Además, en ese período se observó una tendencia a la creciente calificación de la fuerza de trabajo empleada, lo que se vio reflejada en un incremento más acelerado en el empleo de técnicos y empleados administrativos.</w:t>
      </w:r>
    </w:p>
    <w:p w14:paraId="47553A50"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En dicho período surgieron nuevos programas gubernamentales tendientes a promover las exportaciones, entre los que se encuentra, el Programa de Importación Temporal para la Exportación (PITEX), mediante el cual las empresas podían importar componentes libres de impuestos, siempre y cuando exportaran cuando menos el 30% de sus ventas totales.</w:t>
      </w:r>
    </w:p>
    <w:p w14:paraId="2BAAF87D" w14:textId="0B95B9E0"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 xml:space="preserve">A inicios de la década del 2000, la Industria Maquiladora en México sufrió varias adecuaciones, derivado de la competencia a nivel mundial con la que se enfrentó México </w:t>
      </w:r>
      <w:r w:rsidR="00297CBE">
        <w:rPr>
          <w:rFonts w:eastAsia="Calibri"/>
          <w:sz w:val="26"/>
          <w:szCs w:val="26"/>
          <w:lang w:eastAsia="en-US"/>
        </w:rPr>
        <w:t>con</w:t>
      </w:r>
      <w:r w:rsidRPr="00FC49FF">
        <w:rPr>
          <w:rFonts w:eastAsia="Calibri"/>
          <w:sz w:val="26"/>
          <w:szCs w:val="26"/>
          <w:lang w:eastAsia="en-US"/>
        </w:rPr>
        <w:t xml:space="preserve"> la globalización de la industria y el comercio, lo que generó nuevas formas de organización industrial dando origen a una nueva relocalización de empresas en otros países como Brasil, China, Costa Rica, y otros de Centroamérica.</w:t>
      </w:r>
    </w:p>
    <w:p w14:paraId="590B9CB0" w14:textId="77777777" w:rsidR="00FC49FF" w:rsidRPr="00FC49FF" w:rsidRDefault="00FC49FF" w:rsidP="00FC49FF">
      <w:pPr>
        <w:spacing w:after="360" w:line="360" w:lineRule="auto"/>
        <w:ind w:right="-159"/>
        <w:jc w:val="center"/>
        <w:rPr>
          <w:rFonts w:eastAsia="Calibri"/>
          <w:b/>
          <w:sz w:val="26"/>
          <w:szCs w:val="26"/>
          <w:lang w:eastAsia="en-US"/>
        </w:rPr>
      </w:pPr>
      <w:r w:rsidRPr="00FC49FF">
        <w:rPr>
          <w:rFonts w:ascii="Calibri" w:eastAsia="Calibri" w:hAnsi="Calibri"/>
          <w:noProof/>
          <w:sz w:val="22"/>
          <w:szCs w:val="22"/>
          <w:lang w:eastAsia="es-MX"/>
        </w:rPr>
        <w:drawing>
          <wp:inline distT="0" distB="0" distL="0" distR="0" wp14:anchorId="596C9104" wp14:editId="350435A6">
            <wp:extent cx="4557749" cy="1250970"/>
            <wp:effectExtent l="0" t="0" r="0" b="6350"/>
            <wp:docPr id="1780" name="Imagen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9462" b="54057"/>
                    <a:stretch/>
                  </pic:blipFill>
                  <pic:spPr bwMode="auto">
                    <a:xfrm>
                      <a:off x="0" y="0"/>
                      <a:ext cx="4559300" cy="1251396"/>
                    </a:xfrm>
                    <a:prstGeom prst="rect">
                      <a:avLst/>
                    </a:prstGeom>
                    <a:noFill/>
                    <a:ln>
                      <a:noFill/>
                    </a:ln>
                    <a:extLst>
                      <a:ext uri="{53640926-AAD7-44D8-BBD7-CCE9431645EC}">
                        <a14:shadowObscured xmlns:a14="http://schemas.microsoft.com/office/drawing/2010/main"/>
                      </a:ext>
                    </a:extLst>
                  </pic:spPr>
                </pic:pic>
              </a:graphicData>
            </a:graphic>
          </wp:inline>
        </w:drawing>
      </w:r>
    </w:p>
    <w:p w14:paraId="2D86FE81" w14:textId="57D50339"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En ese orden de ideas, y en aras de hacer más competitivo el sector exportador mexicano, el 1</w:t>
      </w:r>
      <w:r w:rsidR="00297CBE">
        <w:rPr>
          <w:rFonts w:eastAsia="Calibri"/>
          <w:sz w:val="26"/>
          <w:szCs w:val="26"/>
          <w:lang w:eastAsia="en-US"/>
        </w:rPr>
        <w:t xml:space="preserve">º </w:t>
      </w:r>
      <w:r w:rsidRPr="00FC49FF">
        <w:rPr>
          <w:rFonts w:eastAsia="Calibri"/>
          <w:sz w:val="26"/>
          <w:szCs w:val="26"/>
          <w:lang w:eastAsia="en-US"/>
        </w:rPr>
        <w:t>de noviembre de 2006</w:t>
      </w:r>
      <w:r w:rsidR="00297CBE">
        <w:rPr>
          <w:rFonts w:eastAsia="Calibri"/>
          <w:sz w:val="26"/>
          <w:szCs w:val="26"/>
          <w:lang w:eastAsia="en-US"/>
        </w:rPr>
        <w:t>,</w:t>
      </w:r>
      <w:r w:rsidRPr="00FC49FF">
        <w:rPr>
          <w:rFonts w:eastAsia="Calibri"/>
          <w:sz w:val="26"/>
          <w:szCs w:val="26"/>
          <w:lang w:eastAsia="en-US"/>
        </w:rPr>
        <w:t xml:space="preserve"> el Gobierno Federal publicó el Decreto para el Fomento de la Industria Manufacturera, Maquiladora y de Servicios de Exportación (Decreto IMMEX), con el objetivo de fortalecer el sector exportador mexicano; este instrumento integró los programas para el Fomento y Operación de la Industria Maquiladora de Exportación (Maquila) y el de Programa de Importación Temporal para </w:t>
      </w:r>
      <w:r w:rsidRPr="00FC49FF">
        <w:rPr>
          <w:rFonts w:eastAsia="Calibri"/>
          <w:sz w:val="26"/>
          <w:szCs w:val="26"/>
          <w:lang w:eastAsia="en-US"/>
        </w:rPr>
        <w:lastRenderedPageBreak/>
        <w:t>Producir Artículos de Exportación (PITEX), los cuales regían a las industrias maquiladoras y las que elaboraban artículos de exportación, con ello se buscó la simplificación de los trámites, requisitos y formatos relativos a la autorización, aplicación y reporte anual, lo anterior con el objeto de crear un entorno de mayor eficiencia para la actividad exportadora.</w:t>
      </w:r>
    </w:p>
    <w:p w14:paraId="2EDE6A4A" w14:textId="0BC2630A"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 xml:space="preserve">De acuerdo con el Decreto mencionado antes citado, el Programa IMMEX es un mecanismo de beneficio fiscal que el Gobierno Federal otorga al sector maquilador, mediante el cual se permite importar temporalmente los bienes necesarios para ser utilizados en un proceso industrial o de servicio destinado a la elaboración, transformación o reparación de mercancías de procedencia extranjera importadas temporalmente para su exportación o a la prestación de servicios de exportación, sin cubrir el pago del </w:t>
      </w:r>
      <w:r w:rsidR="00ED5B4F">
        <w:rPr>
          <w:rFonts w:eastAsia="Calibri"/>
          <w:sz w:val="26"/>
          <w:szCs w:val="26"/>
          <w:lang w:eastAsia="en-US"/>
        </w:rPr>
        <w:t>I</w:t>
      </w:r>
      <w:r w:rsidRPr="00FC49FF">
        <w:rPr>
          <w:rFonts w:eastAsia="Calibri"/>
          <w:sz w:val="26"/>
          <w:szCs w:val="26"/>
          <w:lang w:eastAsia="en-US"/>
        </w:rPr>
        <w:t xml:space="preserve">mpuesto </w:t>
      </w:r>
      <w:r w:rsidR="00ED5B4F">
        <w:rPr>
          <w:rFonts w:eastAsia="Calibri"/>
          <w:sz w:val="26"/>
          <w:szCs w:val="26"/>
          <w:lang w:eastAsia="en-US"/>
        </w:rPr>
        <w:t>G</w:t>
      </w:r>
      <w:r w:rsidRPr="00FC49FF">
        <w:rPr>
          <w:rFonts w:eastAsia="Calibri"/>
          <w:sz w:val="26"/>
          <w:szCs w:val="26"/>
          <w:lang w:eastAsia="en-US"/>
        </w:rPr>
        <w:t xml:space="preserve">eneral de </w:t>
      </w:r>
      <w:r w:rsidR="00ED5B4F">
        <w:rPr>
          <w:rFonts w:eastAsia="Calibri"/>
          <w:sz w:val="26"/>
          <w:szCs w:val="26"/>
          <w:lang w:eastAsia="en-US"/>
        </w:rPr>
        <w:t>I</w:t>
      </w:r>
      <w:r w:rsidRPr="00FC49FF">
        <w:rPr>
          <w:rFonts w:eastAsia="Calibri"/>
          <w:sz w:val="26"/>
          <w:szCs w:val="26"/>
          <w:lang w:eastAsia="en-US"/>
        </w:rPr>
        <w:t xml:space="preserve">mportación (IGI), del </w:t>
      </w:r>
      <w:r w:rsidR="00ED5B4F">
        <w:rPr>
          <w:rFonts w:eastAsia="Calibri"/>
          <w:sz w:val="26"/>
          <w:szCs w:val="26"/>
          <w:lang w:eastAsia="en-US"/>
        </w:rPr>
        <w:t>I</w:t>
      </w:r>
      <w:r w:rsidRPr="00FC49FF">
        <w:rPr>
          <w:rFonts w:eastAsia="Calibri"/>
          <w:sz w:val="26"/>
          <w:szCs w:val="26"/>
          <w:lang w:eastAsia="en-US"/>
        </w:rPr>
        <w:t xml:space="preserve">mpuesto al </w:t>
      </w:r>
      <w:r w:rsidR="00ED5B4F">
        <w:rPr>
          <w:rFonts w:eastAsia="Calibri"/>
          <w:sz w:val="26"/>
          <w:szCs w:val="26"/>
          <w:lang w:eastAsia="en-US"/>
        </w:rPr>
        <w:t>V</w:t>
      </w:r>
      <w:r w:rsidRPr="00FC49FF">
        <w:rPr>
          <w:rFonts w:eastAsia="Calibri"/>
          <w:sz w:val="26"/>
          <w:szCs w:val="26"/>
          <w:lang w:eastAsia="en-US"/>
        </w:rPr>
        <w:t xml:space="preserve">alor </w:t>
      </w:r>
      <w:r w:rsidR="00ED5B4F">
        <w:rPr>
          <w:rFonts w:eastAsia="Calibri"/>
          <w:sz w:val="26"/>
          <w:szCs w:val="26"/>
          <w:lang w:eastAsia="en-US"/>
        </w:rPr>
        <w:t>A</w:t>
      </w:r>
      <w:r w:rsidRPr="00FC49FF">
        <w:rPr>
          <w:rFonts w:eastAsia="Calibri"/>
          <w:sz w:val="26"/>
          <w:szCs w:val="26"/>
          <w:lang w:eastAsia="en-US"/>
        </w:rPr>
        <w:t xml:space="preserve">gregado (IVA) y, en su caso, de las </w:t>
      </w:r>
      <w:r w:rsidR="00ED5B4F">
        <w:rPr>
          <w:rFonts w:eastAsia="Calibri"/>
          <w:sz w:val="26"/>
          <w:szCs w:val="26"/>
          <w:lang w:eastAsia="en-US"/>
        </w:rPr>
        <w:t>C</w:t>
      </w:r>
      <w:r w:rsidRPr="00FC49FF">
        <w:rPr>
          <w:rFonts w:eastAsia="Calibri"/>
          <w:sz w:val="26"/>
          <w:szCs w:val="26"/>
          <w:lang w:eastAsia="en-US"/>
        </w:rPr>
        <w:t xml:space="preserve">uotas </w:t>
      </w:r>
      <w:r w:rsidR="00ED5B4F">
        <w:rPr>
          <w:rFonts w:eastAsia="Calibri"/>
          <w:sz w:val="26"/>
          <w:szCs w:val="26"/>
          <w:lang w:eastAsia="en-US"/>
        </w:rPr>
        <w:t>C</w:t>
      </w:r>
      <w:r w:rsidRPr="00FC49FF">
        <w:rPr>
          <w:rFonts w:eastAsia="Calibri"/>
          <w:sz w:val="26"/>
          <w:szCs w:val="26"/>
          <w:lang w:eastAsia="en-US"/>
        </w:rPr>
        <w:t>ompensatorias (CC) que tuviesen que pagar originalmente, otorgando los siguientes beneficios:</w:t>
      </w:r>
    </w:p>
    <w:p w14:paraId="25A0610A" w14:textId="77777777" w:rsidR="00FC49FF" w:rsidRPr="00FC49FF" w:rsidRDefault="00FC49FF" w:rsidP="00FC49FF">
      <w:pPr>
        <w:spacing w:after="360" w:line="360" w:lineRule="auto"/>
        <w:ind w:right="-159"/>
        <w:jc w:val="center"/>
        <w:rPr>
          <w:rFonts w:eastAsia="Calibri"/>
          <w:sz w:val="26"/>
          <w:szCs w:val="26"/>
          <w:lang w:eastAsia="en-US"/>
        </w:rPr>
      </w:pPr>
      <w:r w:rsidRPr="00FC49FF">
        <w:rPr>
          <w:rFonts w:ascii="Calibri" w:eastAsia="Calibri" w:hAnsi="Calibri"/>
          <w:noProof/>
          <w:sz w:val="22"/>
          <w:szCs w:val="22"/>
          <w:lang w:eastAsia="es-MX"/>
        </w:rPr>
        <w:drawing>
          <wp:inline distT="0" distB="0" distL="0" distR="0" wp14:anchorId="7D8AEA0E" wp14:editId="55422999">
            <wp:extent cx="4557681" cy="1495320"/>
            <wp:effectExtent l="0" t="0" r="0" b="0"/>
            <wp:docPr id="1781" name="Imagen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4670" b="51722"/>
                    <a:stretch/>
                  </pic:blipFill>
                  <pic:spPr bwMode="auto">
                    <a:xfrm>
                      <a:off x="0" y="0"/>
                      <a:ext cx="4559300" cy="1495851"/>
                    </a:xfrm>
                    <a:prstGeom prst="rect">
                      <a:avLst/>
                    </a:prstGeom>
                    <a:noFill/>
                    <a:ln>
                      <a:noFill/>
                    </a:ln>
                    <a:extLst>
                      <a:ext uri="{53640926-AAD7-44D8-BBD7-CCE9431645EC}">
                        <a14:shadowObscured xmlns:a14="http://schemas.microsoft.com/office/drawing/2010/main"/>
                      </a:ext>
                    </a:extLst>
                  </pic:spPr>
                </pic:pic>
              </a:graphicData>
            </a:graphic>
          </wp:inline>
        </w:drawing>
      </w:r>
    </w:p>
    <w:p w14:paraId="14B79367" w14:textId="77777777" w:rsidR="00FC49FF" w:rsidRPr="00FC49FF" w:rsidRDefault="00FC49FF" w:rsidP="00FC49FF">
      <w:pPr>
        <w:spacing w:after="360" w:line="360" w:lineRule="auto"/>
        <w:ind w:right="-159"/>
        <w:jc w:val="both"/>
        <w:rPr>
          <w:rFonts w:eastAsia="Calibri"/>
          <w:b/>
          <w:sz w:val="26"/>
          <w:szCs w:val="26"/>
          <w:lang w:eastAsia="en-US"/>
        </w:rPr>
      </w:pPr>
      <w:r w:rsidRPr="00FC49FF">
        <w:rPr>
          <w:rFonts w:eastAsia="Calibri"/>
          <w:b/>
          <w:sz w:val="26"/>
          <w:szCs w:val="26"/>
          <w:lang w:eastAsia="en-US"/>
        </w:rPr>
        <w:t>III. Reformas de 2013</w:t>
      </w:r>
    </w:p>
    <w:p w14:paraId="619E96EE"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 xml:space="preserve">El 9 de diciembre de 2013, se publicó en el Diario Oficial de la Federación, el paquete fiscal para 2014, en el cual se modificó sustancialmente la regulación del sector manufacturero. El objeto de la reforma tuvo su razón en las irregularidades observadas en la operación de las empresas maquiladoras y por recomendaciones que hizo la </w:t>
      </w:r>
      <w:r w:rsidRPr="00FC49FF">
        <w:rPr>
          <w:rFonts w:eastAsia="Calibri"/>
          <w:sz w:val="26"/>
          <w:szCs w:val="26"/>
          <w:lang w:eastAsia="en-US"/>
        </w:rPr>
        <w:lastRenderedPageBreak/>
        <w:t>Organización para la Cooperación y el Desarrollo Económicos (OCDE) a México en relación al tema.</w:t>
      </w:r>
    </w:p>
    <w:p w14:paraId="1C11115D" w14:textId="28D3925A"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Así</w:t>
      </w:r>
      <w:r w:rsidR="00297CBE">
        <w:rPr>
          <w:rFonts w:eastAsia="Calibri"/>
          <w:sz w:val="26"/>
          <w:szCs w:val="26"/>
          <w:lang w:eastAsia="en-US"/>
        </w:rPr>
        <w:t>,</w:t>
      </w:r>
      <w:r w:rsidRPr="00FC49FF">
        <w:rPr>
          <w:rFonts w:eastAsia="Calibri"/>
          <w:sz w:val="26"/>
          <w:szCs w:val="26"/>
          <w:lang w:eastAsia="en-US"/>
        </w:rPr>
        <w:t xml:space="preserve"> e</w:t>
      </w:r>
      <w:r w:rsidR="00297CBE">
        <w:rPr>
          <w:rFonts w:eastAsia="Calibri"/>
          <w:sz w:val="26"/>
          <w:szCs w:val="26"/>
          <w:lang w:eastAsia="en-US"/>
        </w:rPr>
        <w:t>n</w:t>
      </w:r>
      <w:r w:rsidRPr="00FC49FF">
        <w:rPr>
          <w:rFonts w:eastAsia="Calibri"/>
          <w:sz w:val="26"/>
          <w:szCs w:val="26"/>
          <w:lang w:eastAsia="en-US"/>
        </w:rPr>
        <w:t xml:space="preserve"> la exposición de motivos de la “Ley del Impuesto Sobre la Renta”, incluida en el Presupuesto de Egresos de la Federación para 2014, justificó el cambio al establecer que en la década de los años noventa, se crearon diversos programas de promoción a la exportación, para lo cual, considerando diversos factores, se otorgaron una serie de beneficios fiscales en impuestos directos, indirectos y de comercio exterior, además de una serie de facilidades administrativas. Sin embargo, con el paso del tiempo, los diferentes programas de exportación confluyeron en la figura de cual los beneficios fiscales y las facilidades administrativas se generalizaron, ocasionando distorsiones y abusos.</w:t>
      </w:r>
    </w:p>
    <w:p w14:paraId="55D3DBA6"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 xml:space="preserve">Una revisión del régimen de maquila mostró que los requisitos para obtener el registro correspondiente habían sido flexibilizados con el transcurso del tiempo y el esquema fiscal no se había ajustado a esos cambios, lo que propició diversas planeaciones. Como resultado del relajamiento del régimen, se beneficiaron del tratamiento preferencial empresas que no cubrían con el perfil para el que fue diseñado el programa, como aquéllas que no eran netamente exportadoras, o se ubicaban fuera de la zona fronteriza o incluso aquéllas que únicamente prestaban servicios. También se consideró que los factores que justificaron la creación del régimen habían desaparecido, así como que la amplia red de tratados para evitar la doble imposición garantizaba, el </w:t>
      </w:r>
      <w:proofErr w:type="spellStart"/>
      <w:r w:rsidRPr="00FC49FF">
        <w:rPr>
          <w:rFonts w:eastAsia="Calibri"/>
          <w:sz w:val="26"/>
          <w:szCs w:val="26"/>
          <w:lang w:eastAsia="en-US"/>
        </w:rPr>
        <w:t>acreditamiento</w:t>
      </w:r>
      <w:proofErr w:type="spellEnd"/>
      <w:r w:rsidRPr="00FC49FF">
        <w:rPr>
          <w:rFonts w:eastAsia="Calibri"/>
          <w:sz w:val="26"/>
          <w:szCs w:val="26"/>
          <w:lang w:eastAsia="en-US"/>
        </w:rPr>
        <w:t xml:space="preserve"> de los impuestos pagados en México en el país de origen del residente en el extranjero, tratamiento que antes no era posible aplicar.</w:t>
      </w:r>
    </w:p>
    <w:p w14:paraId="3B9E585B"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 xml:space="preserve">Por otra parte, México es uno de los países con mayor número de acuerdos de libre comercio en el contexto internacional, con la consecuente reducción de aranceles y la disminución de barreras no arancelarias al comercio. Ello disminuyó sensiblemente los </w:t>
      </w:r>
      <w:r w:rsidRPr="00FC49FF">
        <w:rPr>
          <w:rFonts w:eastAsia="Calibri"/>
          <w:sz w:val="26"/>
          <w:szCs w:val="26"/>
          <w:lang w:eastAsia="en-US"/>
        </w:rPr>
        <w:lastRenderedPageBreak/>
        <w:t>costos en la importación de insumos y la exportación de productos, lo cual benefició a todos los sectores.</w:t>
      </w:r>
    </w:p>
    <w:p w14:paraId="44B067DC"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Con el fin de evitar planeaciones fiscales en el régimen de maquila y precisar que sólo pudieran aplicarlo aquellas empresas maquiladoras dedicadas exclusivamente a la exportación, se propuso establecer en la nueva Ley del ISR la definición de operación de maquila para efectos de estar en posibilidades de tributar de conformidad con el régimen de maquiladora, dentro de la cual se incluyó el requisito de exportar su facturación anual total. En virtud de que el tratamiento de maquiladora tiene efectos eminentemente fiscales, se consideró adecuado establecer en la propia Ley del ISR la definición de lo que debe considerarse como empresa maquiladora, de tal forma que sea la autoridad tributaria la que determine los requisitos para tributar en este régimen.</w:t>
      </w:r>
    </w:p>
    <w:p w14:paraId="3E8D43BB"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Esa modificación permitió retomar uno de los requisitos que motivaron el diseño de un régimen especial de tributación para estas empresas, como lo fue que exporten totalmente su producción. Asimismo, aseguró que la autoridad tributaria i) determine quiénes pueden acceder a este régimen; ii) verifique y fiscalice la operación en los términos de las disposiciones fiscales, y iii) establezca las sanciones a los contribuyentes que abusen del régimen o bien sin tener derecho a éste apliquen sus beneficios. Es decir, la autoridad tributaria asumiría el control sobre quienes tributan en este régimen; asegurándose que el beneficio fiscal sólo lo aplicarían las empresas que exclusivamente realizan actividad de maquila.</w:t>
      </w:r>
    </w:p>
    <w:p w14:paraId="4C6C2A7C"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 xml:space="preserve">Asimismo se expuso que, en el caso de las importaciones temporales que efectúan las empresas maquiladoras, la “Ley del Impuesto al Valor Agregado” las exentaba de dicho impuesto siempre que retornaran las mercancías directamente al extranjero, ya sea en el mismo estado o después de haber sufrido un proceso de transformación. Por su parte, las mercancías que hubieran sido importadas temporalmente y se destinen al mercado nacional estaban sujetas al pago del IVA, a los impuestos al comercio exterior y a las </w:t>
      </w:r>
      <w:r w:rsidRPr="00FC49FF">
        <w:rPr>
          <w:rFonts w:eastAsia="Calibri"/>
          <w:sz w:val="26"/>
          <w:szCs w:val="26"/>
          <w:lang w:eastAsia="en-US"/>
        </w:rPr>
        <w:lastRenderedPageBreak/>
        <w:t>cuotas compensatorias correspondientes, en el momento en que se realizara el cambio de régimen de importación temporal a definitiva. En la práctica, este régimen generaba problemas de control, ya que conlleva a generar incentivos para realizar prácticas de evasión y elusión fiscal que, en el extremo, incluyen la introducción al país de mercancías para fines de venta sin cumplir con el pago de impuestos correspondiente y la solicitud de devolución del IVA de insumos importados temporalmente sin este impuesto.</w:t>
      </w:r>
    </w:p>
    <w:p w14:paraId="6CA6B0CF"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Por otro lado, las operaciones virtuales a las cuales tenían derecho, dificultaban aún más el control y administración del esquema, toda vez que las mercancías no salían del país y se descargaban de una empresa maquiladora a través de un pedimento virtual de exportación, quedándose a cargo de otra empresa maquiladora a través de un pedimento virtual de importación temporal. La exención del IVA en las importaciones temporales, lejos de promover la integración de contenido nacional en los insumos que utiliza la industria maquiladora, promueve preferencias hacia insumos extranjeros. Por lo tanto, uno de los efectos asociados a la exención del IVA en las importaciones temporales, ha sido inhibir el desarrollo de la proveeduría nacional en esta industria.</w:t>
      </w:r>
    </w:p>
    <w:p w14:paraId="51D9E644"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Es importante destacar que esta propuesta se hizo acorde con lo señalado por la Organización para la Cooperación y el Desarrollo Económicos (OCDE)</w:t>
      </w:r>
      <w:r w:rsidRPr="00FC49FF">
        <w:rPr>
          <w:rFonts w:eastAsia="Calibri"/>
          <w:sz w:val="26"/>
          <w:szCs w:val="26"/>
          <w:vertAlign w:val="superscript"/>
          <w:lang w:eastAsia="en-US"/>
        </w:rPr>
        <w:footnoteReference w:id="3"/>
      </w:r>
      <w:r w:rsidRPr="00FC49FF">
        <w:rPr>
          <w:rFonts w:eastAsia="Calibri"/>
          <w:sz w:val="26"/>
          <w:szCs w:val="26"/>
          <w:lang w:eastAsia="en-US"/>
        </w:rPr>
        <w:t xml:space="preserve">, respecto a que los regímenes especiales complican las leyes tributarias y facilitan a las empresas la planeación fiscal o la evasión, mediante la subestimación o la falta de declaración de sus ingresos. Además, generaban distorsiones al favorecer sólo a empresas que podían hacer uso de ese beneficio fiscal. Por lo anterior, los regímenes especiales resultan herramientas poco efectivas para cumplir los fines </w:t>
      </w:r>
      <w:proofErr w:type="spellStart"/>
      <w:r w:rsidRPr="00FC49FF">
        <w:rPr>
          <w:rFonts w:eastAsia="Calibri"/>
          <w:sz w:val="26"/>
          <w:szCs w:val="26"/>
          <w:lang w:eastAsia="en-US"/>
        </w:rPr>
        <w:t>extrafiscales</w:t>
      </w:r>
      <w:proofErr w:type="spellEnd"/>
      <w:r w:rsidRPr="00FC49FF">
        <w:rPr>
          <w:rFonts w:eastAsia="Calibri"/>
          <w:sz w:val="26"/>
          <w:szCs w:val="26"/>
          <w:lang w:eastAsia="en-US"/>
        </w:rPr>
        <w:t xml:space="preserve"> para los que fueron diseñados.</w:t>
      </w:r>
    </w:p>
    <w:p w14:paraId="2F639C4A"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lastRenderedPageBreak/>
        <w:t>Derivado de todo lo anterior, se llevaron a cabo las siguientes modificaciones:</w:t>
      </w:r>
    </w:p>
    <w:p w14:paraId="1B6F97B4" w14:textId="77777777" w:rsidR="00FC49FF" w:rsidRPr="00FC49FF" w:rsidRDefault="00FC49FF" w:rsidP="00FC49FF">
      <w:pPr>
        <w:spacing w:after="360" w:line="360" w:lineRule="auto"/>
        <w:ind w:right="-159"/>
        <w:jc w:val="center"/>
        <w:rPr>
          <w:rFonts w:eastAsia="Calibri"/>
          <w:sz w:val="26"/>
          <w:szCs w:val="26"/>
          <w:lang w:eastAsia="en-US"/>
        </w:rPr>
      </w:pPr>
      <w:r w:rsidRPr="00FC49FF">
        <w:rPr>
          <w:rFonts w:ascii="Calibri" w:eastAsia="Calibri" w:hAnsi="Calibri"/>
          <w:noProof/>
          <w:sz w:val="22"/>
          <w:szCs w:val="22"/>
          <w:lang w:eastAsia="es-MX"/>
        </w:rPr>
        <w:drawing>
          <wp:inline distT="0" distB="0" distL="0" distR="0" wp14:anchorId="6642BF00" wp14:editId="29A65CD6">
            <wp:extent cx="4557954" cy="1828230"/>
            <wp:effectExtent l="0" t="0" r="0" b="635"/>
            <wp:docPr id="1782" name="Imagen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3071" b="43617"/>
                    <a:stretch/>
                  </pic:blipFill>
                  <pic:spPr bwMode="auto">
                    <a:xfrm>
                      <a:off x="0" y="0"/>
                      <a:ext cx="4559300" cy="1828770"/>
                    </a:xfrm>
                    <a:prstGeom prst="rect">
                      <a:avLst/>
                    </a:prstGeom>
                    <a:noFill/>
                    <a:ln>
                      <a:noFill/>
                    </a:ln>
                    <a:extLst>
                      <a:ext uri="{53640926-AAD7-44D8-BBD7-CCE9431645EC}">
                        <a14:shadowObscured xmlns:a14="http://schemas.microsoft.com/office/drawing/2010/main"/>
                      </a:ext>
                    </a:extLst>
                  </pic:spPr>
                </pic:pic>
              </a:graphicData>
            </a:graphic>
          </wp:inline>
        </w:drawing>
      </w:r>
    </w:p>
    <w:p w14:paraId="231B9F8C"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Así, con la reforma fiscal que entró en vigor el 1 de enero de 2014, las contribuciones del sector manufacturero y en particular las de las maquiladoras se vieron modificadas en el cobro de ISR, IVA y IEPS. A continuación, se presenta un análisis de las principales modificaciones fiscales realizadas al Programa IMMEX.</w:t>
      </w:r>
    </w:p>
    <w:tbl>
      <w:tblPr>
        <w:tblW w:w="9062" w:type="dxa"/>
        <w:jc w:val="center"/>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Layout w:type="fixed"/>
        <w:tblLook w:val="04A0" w:firstRow="1" w:lastRow="0" w:firstColumn="1" w:lastColumn="0" w:noHBand="0" w:noVBand="1"/>
      </w:tblPr>
      <w:tblGrid>
        <w:gridCol w:w="1617"/>
        <w:gridCol w:w="1775"/>
        <w:gridCol w:w="2268"/>
        <w:gridCol w:w="3402"/>
      </w:tblGrid>
      <w:tr w:rsidR="00FC49FF" w:rsidRPr="00FC49FF" w14:paraId="0D4DD5A2" w14:textId="77777777" w:rsidTr="00650298">
        <w:trPr>
          <w:trHeight w:val="106"/>
          <w:jc w:val="center"/>
        </w:trPr>
        <w:tc>
          <w:tcPr>
            <w:tcW w:w="9062" w:type="dxa"/>
            <w:gridSpan w:val="4"/>
            <w:tcBorders>
              <w:top w:val="nil"/>
              <w:left w:val="nil"/>
              <w:bottom w:val="single" w:sz="2" w:space="0" w:color="auto"/>
              <w:right w:val="nil"/>
            </w:tcBorders>
            <w:shd w:val="clear" w:color="auto" w:fill="auto"/>
            <w:vAlign w:val="center"/>
          </w:tcPr>
          <w:p w14:paraId="75C47873" w14:textId="77777777" w:rsidR="00FC49FF" w:rsidRPr="00FC49FF" w:rsidRDefault="00FC49FF" w:rsidP="00FC49FF">
            <w:pPr>
              <w:autoSpaceDE w:val="0"/>
              <w:autoSpaceDN w:val="0"/>
              <w:adjustRightInd w:val="0"/>
              <w:spacing w:after="240"/>
              <w:jc w:val="center"/>
              <w:rPr>
                <w:rFonts w:eastAsia="Calibri"/>
                <w:b/>
                <w:sz w:val="22"/>
                <w:szCs w:val="22"/>
                <w:lang w:eastAsia="en-US"/>
              </w:rPr>
            </w:pPr>
            <w:r w:rsidRPr="00FC49FF">
              <w:rPr>
                <w:rFonts w:eastAsia="Calibri"/>
                <w:b/>
                <w:bCs/>
                <w:sz w:val="22"/>
                <w:szCs w:val="22"/>
                <w:lang w:eastAsia="en-US"/>
              </w:rPr>
              <w:t>ANÁLISIS A LAS MODIFICACIONES FISCALES DE LAS IMMEX</w:t>
            </w:r>
          </w:p>
        </w:tc>
      </w:tr>
      <w:tr w:rsidR="00FC49FF" w:rsidRPr="00FC49FF" w14:paraId="651A1FAF" w14:textId="77777777" w:rsidTr="00FC49FF">
        <w:trPr>
          <w:trHeight w:val="106"/>
          <w:jc w:val="center"/>
        </w:trPr>
        <w:tc>
          <w:tcPr>
            <w:tcW w:w="1617" w:type="dxa"/>
            <w:tcBorders>
              <w:top w:val="single" w:sz="2" w:space="0" w:color="auto"/>
              <w:left w:val="single" w:sz="2" w:space="0" w:color="auto"/>
              <w:bottom w:val="single" w:sz="2" w:space="0" w:color="auto"/>
              <w:right w:val="single" w:sz="2" w:space="0" w:color="auto"/>
            </w:tcBorders>
            <w:shd w:val="clear" w:color="auto" w:fill="C5E0B3"/>
            <w:vAlign w:val="center"/>
          </w:tcPr>
          <w:p w14:paraId="7E095315" w14:textId="77777777" w:rsidR="00FC49FF" w:rsidRPr="00FC49FF" w:rsidRDefault="00FC49FF" w:rsidP="00FC49FF">
            <w:pPr>
              <w:autoSpaceDE w:val="0"/>
              <w:autoSpaceDN w:val="0"/>
              <w:adjustRightInd w:val="0"/>
              <w:jc w:val="center"/>
              <w:rPr>
                <w:rFonts w:eastAsia="Calibri"/>
                <w:b/>
                <w:bCs/>
                <w:sz w:val="22"/>
                <w:szCs w:val="22"/>
                <w:lang w:eastAsia="en-US"/>
              </w:rPr>
            </w:pPr>
            <w:r w:rsidRPr="00FC49FF">
              <w:rPr>
                <w:rFonts w:eastAsia="Calibri"/>
                <w:b/>
                <w:bCs/>
                <w:sz w:val="22"/>
                <w:szCs w:val="22"/>
                <w:lang w:eastAsia="en-US"/>
              </w:rPr>
              <w:t>Medida</w:t>
            </w:r>
          </w:p>
        </w:tc>
        <w:tc>
          <w:tcPr>
            <w:tcW w:w="1775" w:type="dxa"/>
            <w:tcBorders>
              <w:top w:val="single" w:sz="2" w:space="0" w:color="auto"/>
              <w:left w:val="single" w:sz="2" w:space="0" w:color="auto"/>
              <w:bottom w:val="single" w:sz="2" w:space="0" w:color="auto"/>
              <w:right w:val="single" w:sz="2" w:space="0" w:color="auto"/>
            </w:tcBorders>
            <w:shd w:val="clear" w:color="auto" w:fill="C5E0B3"/>
            <w:vAlign w:val="center"/>
          </w:tcPr>
          <w:p w14:paraId="46C5456A" w14:textId="77777777" w:rsidR="00FC49FF" w:rsidRPr="00FC49FF" w:rsidRDefault="00FC49FF" w:rsidP="00FC49FF">
            <w:pPr>
              <w:autoSpaceDE w:val="0"/>
              <w:autoSpaceDN w:val="0"/>
              <w:adjustRightInd w:val="0"/>
              <w:jc w:val="center"/>
              <w:rPr>
                <w:rFonts w:eastAsia="Calibri"/>
                <w:b/>
                <w:sz w:val="22"/>
                <w:szCs w:val="22"/>
                <w:lang w:eastAsia="en-US"/>
              </w:rPr>
            </w:pPr>
            <w:r w:rsidRPr="00FC49FF">
              <w:rPr>
                <w:rFonts w:eastAsia="Calibri"/>
                <w:b/>
                <w:sz w:val="22"/>
                <w:szCs w:val="22"/>
                <w:lang w:eastAsia="en-US"/>
              </w:rPr>
              <w:t>Antes de la Reforma</w:t>
            </w:r>
          </w:p>
        </w:tc>
        <w:tc>
          <w:tcPr>
            <w:tcW w:w="2268" w:type="dxa"/>
            <w:tcBorders>
              <w:top w:val="single" w:sz="2" w:space="0" w:color="auto"/>
              <w:left w:val="single" w:sz="2" w:space="0" w:color="auto"/>
              <w:bottom w:val="single" w:sz="2" w:space="0" w:color="auto"/>
              <w:right w:val="single" w:sz="2" w:space="0" w:color="auto"/>
            </w:tcBorders>
            <w:shd w:val="clear" w:color="auto" w:fill="C5E0B3"/>
            <w:vAlign w:val="center"/>
          </w:tcPr>
          <w:p w14:paraId="1904C5DB" w14:textId="77777777" w:rsidR="00FC49FF" w:rsidRPr="00FC49FF" w:rsidRDefault="00FC49FF" w:rsidP="00FC49FF">
            <w:pPr>
              <w:autoSpaceDE w:val="0"/>
              <w:autoSpaceDN w:val="0"/>
              <w:adjustRightInd w:val="0"/>
              <w:jc w:val="center"/>
              <w:rPr>
                <w:rFonts w:eastAsia="Calibri"/>
                <w:b/>
                <w:sz w:val="22"/>
                <w:szCs w:val="22"/>
                <w:lang w:eastAsia="en-US"/>
              </w:rPr>
            </w:pPr>
            <w:r w:rsidRPr="00FC49FF">
              <w:rPr>
                <w:rFonts w:eastAsia="Calibri"/>
                <w:b/>
                <w:sz w:val="22"/>
                <w:szCs w:val="22"/>
                <w:lang w:eastAsia="en-US"/>
              </w:rPr>
              <w:t>Con la Reforma</w:t>
            </w:r>
          </w:p>
        </w:tc>
        <w:tc>
          <w:tcPr>
            <w:tcW w:w="3402" w:type="dxa"/>
            <w:tcBorders>
              <w:top w:val="single" w:sz="2" w:space="0" w:color="auto"/>
              <w:left w:val="single" w:sz="2" w:space="0" w:color="auto"/>
              <w:bottom w:val="single" w:sz="2" w:space="0" w:color="auto"/>
              <w:right w:val="single" w:sz="2" w:space="0" w:color="auto"/>
            </w:tcBorders>
            <w:shd w:val="clear" w:color="auto" w:fill="C5E0B3"/>
            <w:vAlign w:val="center"/>
          </w:tcPr>
          <w:p w14:paraId="67272DEF" w14:textId="77777777" w:rsidR="00FC49FF" w:rsidRPr="00FC49FF" w:rsidRDefault="00FC49FF" w:rsidP="00FC49FF">
            <w:pPr>
              <w:autoSpaceDE w:val="0"/>
              <w:autoSpaceDN w:val="0"/>
              <w:adjustRightInd w:val="0"/>
              <w:jc w:val="center"/>
              <w:rPr>
                <w:rFonts w:eastAsia="Calibri"/>
                <w:b/>
                <w:sz w:val="22"/>
                <w:szCs w:val="22"/>
                <w:lang w:eastAsia="en-US"/>
              </w:rPr>
            </w:pPr>
            <w:r w:rsidRPr="00FC49FF">
              <w:rPr>
                <w:rFonts w:eastAsia="Calibri"/>
                <w:b/>
                <w:sz w:val="22"/>
                <w:szCs w:val="22"/>
                <w:lang w:eastAsia="en-US"/>
              </w:rPr>
              <w:t>Modificación y efecto</w:t>
            </w:r>
          </w:p>
        </w:tc>
      </w:tr>
      <w:tr w:rsidR="00FC49FF" w:rsidRPr="00FC49FF" w14:paraId="7E13F078" w14:textId="77777777" w:rsidTr="00FC49FF">
        <w:trPr>
          <w:trHeight w:val="106"/>
          <w:jc w:val="center"/>
        </w:trPr>
        <w:tc>
          <w:tcPr>
            <w:tcW w:w="1617" w:type="dxa"/>
            <w:tcBorders>
              <w:top w:val="single" w:sz="2" w:space="0" w:color="auto"/>
              <w:left w:val="single" w:sz="2" w:space="0" w:color="auto"/>
              <w:bottom w:val="single" w:sz="2" w:space="0" w:color="auto"/>
              <w:right w:val="single" w:sz="2" w:space="0" w:color="auto"/>
            </w:tcBorders>
            <w:shd w:val="clear" w:color="auto" w:fill="FFFFFF"/>
            <w:vAlign w:val="center"/>
          </w:tcPr>
          <w:p w14:paraId="363E7210" w14:textId="77777777" w:rsidR="00FC49FF" w:rsidRPr="00FC49FF" w:rsidRDefault="00FC49FF" w:rsidP="00FC49FF">
            <w:pPr>
              <w:autoSpaceDE w:val="0"/>
              <w:autoSpaceDN w:val="0"/>
              <w:adjustRightInd w:val="0"/>
              <w:jc w:val="both"/>
              <w:rPr>
                <w:rFonts w:eastAsia="Calibri"/>
                <w:bCs/>
                <w:sz w:val="22"/>
                <w:szCs w:val="22"/>
                <w:lang w:eastAsia="en-US"/>
              </w:rPr>
            </w:pPr>
            <w:r w:rsidRPr="00FC49FF">
              <w:rPr>
                <w:rFonts w:eastAsia="Calibri"/>
                <w:bCs/>
                <w:sz w:val="22"/>
                <w:szCs w:val="22"/>
                <w:lang w:eastAsia="en-US"/>
              </w:rPr>
              <w:t>Tasa del Impuesto sobre la Renta</w:t>
            </w:r>
          </w:p>
        </w:tc>
        <w:tc>
          <w:tcPr>
            <w:tcW w:w="1775" w:type="dxa"/>
            <w:tcBorders>
              <w:top w:val="single" w:sz="2" w:space="0" w:color="auto"/>
              <w:left w:val="single" w:sz="2" w:space="0" w:color="auto"/>
              <w:bottom w:val="single" w:sz="2" w:space="0" w:color="auto"/>
              <w:right w:val="single" w:sz="2" w:space="0" w:color="auto"/>
            </w:tcBorders>
            <w:shd w:val="clear" w:color="auto" w:fill="FFFFFF"/>
            <w:vAlign w:val="center"/>
          </w:tcPr>
          <w:p w14:paraId="14AAA276"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La carga fiscal era de 17.5%</w:t>
            </w:r>
          </w:p>
        </w:tc>
        <w:tc>
          <w:tcPr>
            <w:tcW w:w="2268" w:type="dxa"/>
            <w:tcBorders>
              <w:top w:val="single" w:sz="2" w:space="0" w:color="auto"/>
              <w:left w:val="single" w:sz="2" w:space="0" w:color="auto"/>
              <w:bottom w:val="single" w:sz="2" w:space="0" w:color="auto"/>
              <w:right w:val="single" w:sz="2" w:space="0" w:color="auto"/>
            </w:tcBorders>
            <w:shd w:val="clear" w:color="auto" w:fill="FFFFFF"/>
            <w:vAlign w:val="center"/>
          </w:tcPr>
          <w:p w14:paraId="712749C1"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La tasa impositiva se modificó a 30%</w:t>
            </w:r>
          </w:p>
        </w:tc>
        <w:tc>
          <w:tcPr>
            <w:tcW w:w="3402" w:type="dxa"/>
            <w:tcBorders>
              <w:top w:val="single" w:sz="2" w:space="0" w:color="auto"/>
              <w:left w:val="single" w:sz="2" w:space="0" w:color="auto"/>
              <w:bottom w:val="single" w:sz="2" w:space="0" w:color="auto"/>
              <w:right w:val="single" w:sz="2" w:space="0" w:color="auto"/>
            </w:tcBorders>
            <w:shd w:val="clear" w:color="auto" w:fill="FFFFFF"/>
            <w:vAlign w:val="center"/>
          </w:tcPr>
          <w:p w14:paraId="0B45567F"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Se elimina el beneficio fiscal a los contribuyentes dados de alta el 30 de octubre de 2003, provocando mayor carga fiscal a las empresas</w:t>
            </w:r>
          </w:p>
        </w:tc>
      </w:tr>
      <w:tr w:rsidR="00FC49FF" w:rsidRPr="00FC49FF" w14:paraId="462374D7" w14:textId="77777777" w:rsidTr="00FC49FF">
        <w:trPr>
          <w:trHeight w:val="106"/>
          <w:jc w:val="center"/>
        </w:trPr>
        <w:tc>
          <w:tcPr>
            <w:tcW w:w="1617" w:type="dxa"/>
            <w:tcBorders>
              <w:top w:val="single" w:sz="2" w:space="0" w:color="auto"/>
              <w:left w:val="single" w:sz="2" w:space="0" w:color="auto"/>
              <w:bottom w:val="single" w:sz="2" w:space="0" w:color="auto"/>
              <w:right w:val="single" w:sz="2" w:space="0" w:color="auto"/>
            </w:tcBorders>
            <w:shd w:val="clear" w:color="auto" w:fill="B4C6E7"/>
            <w:vAlign w:val="center"/>
          </w:tcPr>
          <w:p w14:paraId="5DFD1D7C" w14:textId="77777777" w:rsidR="00FC49FF" w:rsidRPr="00FC49FF" w:rsidRDefault="00FC49FF" w:rsidP="00FC49FF">
            <w:pPr>
              <w:autoSpaceDE w:val="0"/>
              <w:autoSpaceDN w:val="0"/>
              <w:adjustRightInd w:val="0"/>
              <w:jc w:val="both"/>
              <w:rPr>
                <w:rFonts w:eastAsia="Calibri"/>
                <w:bCs/>
                <w:sz w:val="22"/>
                <w:szCs w:val="22"/>
                <w:lang w:eastAsia="en-US"/>
              </w:rPr>
            </w:pPr>
            <w:r w:rsidRPr="00FC49FF">
              <w:rPr>
                <w:rFonts w:eastAsia="Calibri"/>
                <w:bCs/>
                <w:sz w:val="22"/>
                <w:szCs w:val="22"/>
                <w:lang w:eastAsia="en-US"/>
              </w:rPr>
              <w:t>Definición de maquila</w:t>
            </w:r>
          </w:p>
        </w:tc>
        <w:tc>
          <w:tcPr>
            <w:tcW w:w="1775" w:type="dxa"/>
            <w:tcBorders>
              <w:top w:val="single" w:sz="2" w:space="0" w:color="auto"/>
              <w:left w:val="single" w:sz="2" w:space="0" w:color="auto"/>
              <w:bottom w:val="single" w:sz="2" w:space="0" w:color="auto"/>
              <w:right w:val="single" w:sz="2" w:space="0" w:color="auto"/>
            </w:tcBorders>
            <w:shd w:val="clear" w:color="auto" w:fill="B4C6E7"/>
            <w:vAlign w:val="center"/>
          </w:tcPr>
          <w:p w14:paraId="5260FB7B"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La LISR deroga el 31 de diciembre de 2013, no contenía la definición de maquila</w:t>
            </w:r>
          </w:p>
        </w:tc>
        <w:tc>
          <w:tcPr>
            <w:tcW w:w="2268" w:type="dxa"/>
            <w:tcBorders>
              <w:top w:val="single" w:sz="2" w:space="0" w:color="auto"/>
              <w:left w:val="single" w:sz="2" w:space="0" w:color="auto"/>
              <w:bottom w:val="single" w:sz="2" w:space="0" w:color="auto"/>
              <w:right w:val="single" w:sz="2" w:space="0" w:color="auto"/>
            </w:tcBorders>
            <w:shd w:val="clear" w:color="auto" w:fill="B4C6E7"/>
            <w:vAlign w:val="center"/>
          </w:tcPr>
          <w:p w14:paraId="6D9C8AED"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 xml:space="preserve">Se retoma el artículo 33 del decreto IMMEX, adicionando puntos, como: 1) exigencia de que todos los ingresos de la actividad provenga sólo de la operación de maquila; y 2) las empresas maquiladoras que al 31 de diciembre de 2009 cumplieron con sus obligaciones fiscales conforme al artículo 216-Bis de la Ley ISR vigente hasta el 31 de diciembre de 2013, tendrán un plazo de 2 </w:t>
            </w:r>
            <w:r w:rsidRPr="00FC49FF">
              <w:rPr>
                <w:rFonts w:eastAsia="Calibri"/>
                <w:sz w:val="22"/>
                <w:szCs w:val="22"/>
                <w:lang w:eastAsia="en-US"/>
              </w:rPr>
              <w:lastRenderedPageBreak/>
              <w:t>años a partir del 1 de enero de 2014, para que por lo menos el 30% de la Maquinaria y Equipo utilizado en la operación de maquila sea conforme a la nueva definición contenida en el artículo 181 de la Ley</w:t>
            </w:r>
          </w:p>
        </w:tc>
        <w:tc>
          <w:tcPr>
            <w:tcW w:w="3402" w:type="dxa"/>
            <w:tcBorders>
              <w:top w:val="single" w:sz="2" w:space="0" w:color="auto"/>
              <w:left w:val="single" w:sz="2" w:space="0" w:color="auto"/>
              <w:bottom w:val="single" w:sz="2" w:space="0" w:color="auto"/>
              <w:right w:val="single" w:sz="2" w:space="0" w:color="auto"/>
            </w:tcBorders>
            <w:shd w:val="clear" w:color="auto" w:fill="B4C6E7"/>
            <w:vAlign w:val="center"/>
          </w:tcPr>
          <w:p w14:paraId="298A9FDC"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lastRenderedPageBreak/>
              <w:t>En caso de que no cumplan con el plazo establecido, la maquila será considerada como establecimiento permanente del residente en el extranjero con el que tengan celebrado al contrato de maquila, y tendrá la carga impositiva como residente en territorio nacional</w:t>
            </w:r>
          </w:p>
        </w:tc>
      </w:tr>
      <w:tr w:rsidR="00FC49FF" w:rsidRPr="00FC49FF" w14:paraId="12F04B22" w14:textId="77777777" w:rsidTr="00FC49FF">
        <w:trPr>
          <w:trHeight w:val="106"/>
          <w:jc w:val="center"/>
        </w:trPr>
        <w:tc>
          <w:tcPr>
            <w:tcW w:w="1617" w:type="dxa"/>
            <w:tcBorders>
              <w:top w:val="single" w:sz="2" w:space="0" w:color="auto"/>
              <w:left w:val="single" w:sz="2" w:space="0" w:color="auto"/>
              <w:bottom w:val="single" w:sz="2" w:space="0" w:color="auto"/>
              <w:right w:val="single" w:sz="2" w:space="0" w:color="auto"/>
            </w:tcBorders>
            <w:shd w:val="clear" w:color="auto" w:fill="FFFFFF"/>
            <w:vAlign w:val="center"/>
          </w:tcPr>
          <w:p w14:paraId="5946459A" w14:textId="77777777" w:rsidR="00FC49FF" w:rsidRPr="00FC49FF" w:rsidRDefault="00FC49FF" w:rsidP="00FC49FF">
            <w:pPr>
              <w:autoSpaceDE w:val="0"/>
              <w:autoSpaceDN w:val="0"/>
              <w:adjustRightInd w:val="0"/>
              <w:jc w:val="both"/>
              <w:rPr>
                <w:rFonts w:eastAsia="Calibri"/>
                <w:bCs/>
                <w:sz w:val="22"/>
                <w:szCs w:val="22"/>
                <w:lang w:eastAsia="en-US"/>
              </w:rPr>
            </w:pPr>
            <w:r w:rsidRPr="00FC49FF">
              <w:rPr>
                <w:rFonts w:eastAsia="Calibri"/>
                <w:bCs/>
                <w:sz w:val="22"/>
                <w:szCs w:val="22"/>
                <w:lang w:eastAsia="en-US"/>
              </w:rPr>
              <w:lastRenderedPageBreak/>
              <w:t xml:space="preserve">Deducciones </w:t>
            </w:r>
          </w:p>
        </w:tc>
        <w:tc>
          <w:tcPr>
            <w:tcW w:w="1775" w:type="dxa"/>
            <w:tcBorders>
              <w:top w:val="single" w:sz="2" w:space="0" w:color="auto"/>
              <w:left w:val="single" w:sz="2" w:space="0" w:color="auto"/>
              <w:bottom w:val="single" w:sz="2" w:space="0" w:color="auto"/>
              <w:right w:val="single" w:sz="2" w:space="0" w:color="auto"/>
            </w:tcBorders>
            <w:shd w:val="clear" w:color="auto" w:fill="FFFFFF"/>
            <w:vAlign w:val="center"/>
          </w:tcPr>
          <w:p w14:paraId="77E91B8E"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Derecho a deducir todo lo generado por mano de obra</w:t>
            </w:r>
          </w:p>
        </w:tc>
        <w:tc>
          <w:tcPr>
            <w:tcW w:w="2268" w:type="dxa"/>
            <w:tcBorders>
              <w:top w:val="single" w:sz="2" w:space="0" w:color="auto"/>
              <w:left w:val="single" w:sz="2" w:space="0" w:color="auto"/>
              <w:bottom w:val="single" w:sz="2" w:space="0" w:color="auto"/>
              <w:right w:val="single" w:sz="2" w:space="0" w:color="auto"/>
            </w:tcBorders>
            <w:shd w:val="clear" w:color="auto" w:fill="FFFFFF"/>
            <w:vAlign w:val="center"/>
          </w:tcPr>
          <w:p w14:paraId="44D30508"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Se restringen todas las deducibilidades relacionadas con la mano de obra</w:t>
            </w:r>
          </w:p>
        </w:tc>
        <w:tc>
          <w:tcPr>
            <w:tcW w:w="3402" w:type="dxa"/>
            <w:tcBorders>
              <w:top w:val="single" w:sz="2" w:space="0" w:color="auto"/>
              <w:left w:val="single" w:sz="2" w:space="0" w:color="auto"/>
              <w:bottom w:val="single" w:sz="2" w:space="0" w:color="auto"/>
              <w:right w:val="single" w:sz="2" w:space="0" w:color="auto"/>
            </w:tcBorders>
            <w:shd w:val="clear" w:color="auto" w:fill="FFFFFF"/>
            <w:vAlign w:val="center"/>
          </w:tcPr>
          <w:p w14:paraId="6E74D3DA"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Se deduce la deducibilidad del 53% de los ingresos exentos de los trabajadores, incrementando la carga fiscal</w:t>
            </w:r>
          </w:p>
        </w:tc>
      </w:tr>
      <w:tr w:rsidR="00FC49FF" w:rsidRPr="00FC49FF" w14:paraId="68317A3F" w14:textId="77777777" w:rsidTr="00FC49FF">
        <w:trPr>
          <w:trHeight w:val="106"/>
          <w:jc w:val="center"/>
        </w:trPr>
        <w:tc>
          <w:tcPr>
            <w:tcW w:w="1617" w:type="dxa"/>
            <w:tcBorders>
              <w:top w:val="single" w:sz="2" w:space="0" w:color="auto"/>
              <w:left w:val="single" w:sz="2" w:space="0" w:color="auto"/>
              <w:bottom w:val="single" w:sz="2" w:space="0" w:color="auto"/>
              <w:right w:val="single" w:sz="2" w:space="0" w:color="auto"/>
            </w:tcBorders>
            <w:shd w:val="clear" w:color="auto" w:fill="B4C6E7"/>
            <w:vAlign w:val="center"/>
          </w:tcPr>
          <w:p w14:paraId="277F116C" w14:textId="77777777" w:rsidR="00FC49FF" w:rsidRPr="00FC49FF" w:rsidRDefault="00FC49FF" w:rsidP="00FC49FF">
            <w:pPr>
              <w:autoSpaceDE w:val="0"/>
              <w:autoSpaceDN w:val="0"/>
              <w:adjustRightInd w:val="0"/>
              <w:jc w:val="both"/>
              <w:rPr>
                <w:rFonts w:eastAsia="Calibri"/>
                <w:bCs/>
                <w:sz w:val="22"/>
                <w:szCs w:val="22"/>
                <w:lang w:eastAsia="en-US"/>
              </w:rPr>
            </w:pPr>
            <w:r w:rsidRPr="00FC49FF">
              <w:rPr>
                <w:rFonts w:eastAsia="Calibri"/>
                <w:bCs/>
                <w:sz w:val="22"/>
                <w:szCs w:val="22"/>
                <w:lang w:eastAsia="en-US"/>
              </w:rPr>
              <w:t xml:space="preserve">Impuesto al Valor Agregado </w:t>
            </w:r>
          </w:p>
        </w:tc>
        <w:tc>
          <w:tcPr>
            <w:tcW w:w="1775" w:type="dxa"/>
            <w:tcBorders>
              <w:top w:val="single" w:sz="2" w:space="0" w:color="auto"/>
              <w:left w:val="single" w:sz="2" w:space="0" w:color="auto"/>
              <w:bottom w:val="single" w:sz="2" w:space="0" w:color="auto"/>
              <w:right w:val="single" w:sz="2" w:space="0" w:color="auto"/>
            </w:tcBorders>
            <w:shd w:val="clear" w:color="auto" w:fill="B4C6E7"/>
            <w:vAlign w:val="center"/>
          </w:tcPr>
          <w:p w14:paraId="50CC2D4E"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Exento</w:t>
            </w:r>
          </w:p>
        </w:tc>
        <w:tc>
          <w:tcPr>
            <w:tcW w:w="2268" w:type="dxa"/>
            <w:tcBorders>
              <w:top w:val="single" w:sz="2" w:space="0" w:color="auto"/>
              <w:left w:val="single" w:sz="2" w:space="0" w:color="auto"/>
              <w:bottom w:val="single" w:sz="2" w:space="0" w:color="auto"/>
              <w:right w:val="single" w:sz="2" w:space="0" w:color="auto"/>
            </w:tcBorders>
            <w:shd w:val="clear" w:color="auto" w:fill="B4C6E7"/>
            <w:vAlign w:val="center"/>
          </w:tcPr>
          <w:p w14:paraId="43F2F7B5"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Se establece la tasa de 16%</w:t>
            </w:r>
          </w:p>
        </w:tc>
        <w:tc>
          <w:tcPr>
            <w:tcW w:w="3402" w:type="dxa"/>
            <w:tcBorders>
              <w:top w:val="single" w:sz="2" w:space="0" w:color="auto"/>
              <w:left w:val="single" w:sz="2" w:space="0" w:color="auto"/>
              <w:bottom w:val="single" w:sz="2" w:space="0" w:color="auto"/>
              <w:right w:val="single" w:sz="2" w:space="0" w:color="auto"/>
            </w:tcBorders>
            <w:shd w:val="clear" w:color="auto" w:fill="B4C6E7"/>
            <w:vAlign w:val="center"/>
          </w:tcPr>
          <w:p w14:paraId="5B15A395"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Las empresas que importen temporalmente insumos deberán pagar IVA al momento de la importación, excepto que el SAT les otorgue una certificación que permita obtener un crédito fiscal por el monto a pagar por el impuesto</w:t>
            </w:r>
          </w:p>
        </w:tc>
      </w:tr>
      <w:tr w:rsidR="00FC49FF" w:rsidRPr="00FC49FF" w14:paraId="033EC81B" w14:textId="77777777" w:rsidTr="00FC49FF">
        <w:trPr>
          <w:trHeight w:val="106"/>
          <w:jc w:val="center"/>
        </w:trPr>
        <w:tc>
          <w:tcPr>
            <w:tcW w:w="1617" w:type="dxa"/>
            <w:tcBorders>
              <w:top w:val="single" w:sz="2" w:space="0" w:color="auto"/>
              <w:left w:val="single" w:sz="2" w:space="0" w:color="auto"/>
              <w:bottom w:val="single" w:sz="2" w:space="0" w:color="auto"/>
              <w:right w:val="single" w:sz="2" w:space="0" w:color="auto"/>
            </w:tcBorders>
            <w:shd w:val="clear" w:color="auto" w:fill="FFFFFF"/>
            <w:vAlign w:val="center"/>
          </w:tcPr>
          <w:p w14:paraId="4D2BAB09" w14:textId="77777777" w:rsidR="00FC49FF" w:rsidRPr="00FC49FF" w:rsidRDefault="00FC49FF" w:rsidP="00FC49FF">
            <w:pPr>
              <w:autoSpaceDE w:val="0"/>
              <w:autoSpaceDN w:val="0"/>
              <w:adjustRightInd w:val="0"/>
              <w:jc w:val="both"/>
              <w:rPr>
                <w:rFonts w:eastAsia="Calibri"/>
                <w:bCs/>
                <w:sz w:val="22"/>
                <w:szCs w:val="22"/>
                <w:lang w:eastAsia="en-US"/>
              </w:rPr>
            </w:pPr>
            <w:r w:rsidRPr="00FC49FF">
              <w:rPr>
                <w:rFonts w:eastAsia="Calibri"/>
                <w:bCs/>
                <w:sz w:val="22"/>
                <w:szCs w:val="22"/>
                <w:lang w:eastAsia="en-US"/>
              </w:rPr>
              <w:t>Retención de IMMEX a proveedores nacionales</w:t>
            </w:r>
          </w:p>
        </w:tc>
        <w:tc>
          <w:tcPr>
            <w:tcW w:w="1775" w:type="dxa"/>
            <w:tcBorders>
              <w:top w:val="single" w:sz="2" w:space="0" w:color="auto"/>
              <w:left w:val="single" w:sz="2" w:space="0" w:color="auto"/>
              <w:bottom w:val="single" w:sz="2" w:space="0" w:color="auto"/>
              <w:right w:val="single" w:sz="2" w:space="0" w:color="auto"/>
            </w:tcBorders>
            <w:shd w:val="clear" w:color="auto" w:fill="FFFFFF"/>
            <w:vAlign w:val="center"/>
          </w:tcPr>
          <w:p w14:paraId="1F4D648B"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Retención del IVA, Art. 1 fracción IV</w:t>
            </w:r>
          </w:p>
        </w:tc>
        <w:tc>
          <w:tcPr>
            <w:tcW w:w="2268" w:type="dxa"/>
            <w:tcBorders>
              <w:top w:val="single" w:sz="2" w:space="0" w:color="auto"/>
              <w:left w:val="single" w:sz="2" w:space="0" w:color="auto"/>
              <w:bottom w:val="single" w:sz="2" w:space="0" w:color="auto"/>
              <w:right w:val="single" w:sz="2" w:space="0" w:color="auto"/>
            </w:tcBorders>
            <w:shd w:val="clear" w:color="auto" w:fill="FFFFFF"/>
            <w:vAlign w:val="center"/>
          </w:tcPr>
          <w:p w14:paraId="7716EE07"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Elimina la obligación de la retención</w:t>
            </w:r>
          </w:p>
        </w:tc>
        <w:tc>
          <w:tcPr>
            <w:tcW w:w="3402" w:type="dxa"/>
            <w:tcBorders>
              <w:top w:val="single" w:sz="2" w:space="0" w:color="auto"/>
              <w:left w:val="single" w:sz="2" w:space="0" w:color="auto"/>
              <w:bottom w:val="single" w:sz="2" w:space="0" w:color="auto"/>
              <w:right w:val="single" w:sz="2" w:space="0" w:color="auto"/>
            </w:tcBorders>
            <w:shd w:val="clear" w:color="auto" w:fill="FFFFFF"/>
            <w:vAlign w:val="center"/>
          </w:tcPr>
          <w:p w14:paraId="45B671F6"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 xml:space="preserve">Se deroga la obligación (art. 1°-A, fracción IV), generando menos </w:t>
            </w:r>
            <w:proofErr w:type="spellStart"/>
            <w:r w:rsidRPr="00FC49FF">
              <w:rPr>
                <w:rFonts w:eastAsia="Calibri"/>
                <w:sz w:val="22"/>
                <w:szCs w:val="22"/>
                <w:lang w:eastAsia="en-US"/>
              </w:rPr>
              <w:t>flujode</w:t>
            </w:r>
            <w:proofErr w:type="spellEnd"/>
            <w:r w:rsidRPr="00FC49FF">
              <w:rPr>
                <w:rFonts w:eastAsia="Calibri"/>
                <w:sz w:val="22"/>
                <w:szCs w:val="22"/>
                <w:lang w:eastAsia="en-US"/>
              </w:rPr>
              <w:t xml:space="preserve"> efectivo para empresas</w:t>
            </w:r>
          </w:p>
        </w:tc>
      </w:tr>
      <w:tr w:rsidR="00FC49FF" w:rsidRPr="00FC49FF" w14:paraId="3ACB19A4" w14:textId="77777777" w:rsidTr="00FC49FF">
        <w:trPr>
          <w:trHeight w:val="106"/>
          <w:jc w:val="center"/>
        </w:trPr>
        <w:tc>
          <w:tcPr>
            <w:tcW w:w="1617" w:type="dxa"/>
            <w:tcBorders>
              <w:top w:val="single" w:sz="2" w:space="0" w:color="auto"/>
              <w:left w:val="single" w:sz="2" w:space="0" w:color="auto"/>
              <w:bottom w:val="single" w:sz="2" w:space="0" w:color="auto"/>
              <w:right w:val="single" w:sz="2" w:space="0" w:color="auto"/>
            </w:tcBorders>
            <w:shd w:val="clear" w:color="auto" w:fill="B4C6E7"/>
            <w:vAlign w:val="center"/>
          </w:tcPr>
          <w:p w14:paraId="1A8F7034" w14:textId="77777777" w:rsidR="00FC49FF" w:rsidRPr="00FC49FF" w:rsidRDefault="00FC49FF" w:rsidP="00FC49FF">
            <w:pPr>
              <w:autoSpaceDE w:val="0"/>
              <w:autoSpaceDN w:val="0"/>
              <w:adjustRightInd w:val="0"/>
              <w:jc w:val="both"/>
              <w:rPr>
                <w:rFonts w:eastAsia="Calibri"/>
                <w:bCs/>
                <w:sz w:val="22"/>
                <w:szCs w:val="22"/>
                <w:lang w:eastAsia="en-US"/>
              </w:rPr>
            </w:pPr>
            <w:r w:rsidRPr="00FC49FF">
              <w:rPr>
                <w:rFonts w:eastAsia="Calibri"/>
                <w:bCs/>
                <w:sz w:val="22"/>
                <w:szCs w:val="22"/>
                <w:lang w:eastAsia="en-US"/>
              </w:rPr>
              <w:t>Región Fronteriza</w:t>
            </w:r>
          </w:p>
        </w:tc>
        <w:tc>
          <w:tcPr>
            <w:tcW w:w="1775" w:type="dxa"/>
            <w:tcBorders>
              <w:top w:val="single" w:sz="2" w:space="0" w:color="auto"/>
              <w:left w:val="single" w:sz="2" w:space="0" w:color="auto"/>
              <w:bottom w:val="single" w:sz="2" w:space="0" w:color="auto"/>
              <w:right w:val="single" w:sz="2" w:space="0" w:color="auto"/>
            </w:tcBorders>
            <w:shd w:val="clear" w:color="auto" w:fill="B4C6E7"/>
            <w:vAlign w:val="center"/>
          </w:tcPr>
          <w:p w14:paraId="0BD03DCF"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La tasa impositiva era de 11%</w:t>
            </w:r>
          </w:p>
        </w:tc>
        <w:tc>
          <w:tcPr>
            <w:tcW w:w="2268" w:type="dxa"/>
            <w:tcBorders>
              <w:top w:val="single" w:sz="2" w:space="0" w:color="auto"/>
              <w:left w:val="single" w:sz="2" w:space="0" w:color="auto"/>
              <w:bottom w:val="single" w:sz="2" w:space="0" w:color="auto"/>
              <w:right w:val="single" w:sz="2" w:space="0" w:color="auto"/>
            </w:tcBorders>
            <w:shd w:val="clear" w:color="auto" w:fill="B4C6E7"/>
            <w:vAlign w:val="center"/>
          </w:tcPr>
          <w:p w14:paraId="4EDFDA2E"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Se homologó la tasa a 16%</w:t>
            </w:r>
          </w:p>
        </w:tc>
        <w:tc>
          <w:tcPr>
            <w:tcW w:w="3402" w:type="dxa"/>
            <w:tcBorders>
              <w:top w:val="single" w:sz="2" w:space="0" w:color="auto"/>
              <w:left w:val="single" w:sz="2" w:space="0" w:color="auto"/>
              <w:bottom w:val="single" w:sz="2" w:space="0" w:color="auto"/>
              <w:right w:val="single" w:sz="2" w:space="0" w:color="auto"/>
            </w:tcBorders>
            <w:shd w:val="clear" w:color="auto" w:fill="B4C6E7"/>
            <w:vAlign w:val="center"/>
          </w:tcPr>
          <w:p w14:paraId="7CC20873"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Se deroga la tasa de 11% en operaciones de residentes de la zona fronteriza, quedando una tasa de 16% (artículo segundo).</w:t>
            </w:r>
          </w:p>
        </w:tc>
      </w:tr>
      <w:tr w:rsidR="00FC49FF" w:rsidRPr="00FC49FF" w14:paraId="28F35EA8" w14:textId="77777777" w:rsidTr="00FC49FF">
        <w:trPr>
          <w:trHeight w:val="106"/>
          <w:jc w:val="center"/>
        </w:trPr>
        <w:tc>
          <w:tcPr>
            <w:tcW w:w="1617" w:type="dxa"/>
            <w:tcBorders>
              <w:top w:val="single" w:sz="2" w:space="0" w:color="auto"/>
              <w:left w:val="single" w:sz="2" w:space="0" w:color="auto"/>
              <w:bottom w:val="single" w:sz="2" w:space="0" w:color="auto"/>
              <w:right w:val="single" w:sz="2" w:space="0" w:color="auto"/>
            </w:tcBorders>
            <w:shd w:val="clear" w:color="auto" w:fill="FFFFFF"/>
            <w:vAlign w:val="center"/>
          </w:tcPr>
          <w:p w14:paraId="1CA377C8" w14:textId="77777777" w:rsidR="00FC49FF" w:rsidRPr="00FC49FF" w:rsidRDefault="00FC49FF" w:rsidP="00FC49FF">
            <w:pPr>
              <w:autoSpaceDE w:val="0"/>
              <w:autoSpaceDN w:val="0"/>
              <w:adjustRightInd w:val="0"/>
              <w:jc w:val="both"/>
              <w:rPr>
                <w:rFonts w:eastAsia="Calibri"/>
                <w:bCs/>
                <w:sz w:val="22"/>
                <w:szCs w:val="22"/>
                <w:lang w:eastAsia="en-US"/>
              </w:rPr>
            </w:pPr>
            <w:r w:rsidRPr="00FC49FF">
              <w:rPr>
                <w:rFonts w:eastAsia="Calibri"/>
                <w:bCs/>
                <w:sz w:val="22"/>
                <w:szCs w:val="22"/>
                <w:lang w:eastAsia="en-US"/>
              </w:rPr>
              <w:t>Enajenación de un residente en el extranjero a una persona con IMMEX</w:t>
            </w:r>
          </w:p>
        </w:tc>
        <w:tc>
          <w:tcPr>
            <w:tcW w:w="1775" w:type="dxa"/>
            <w:tcBorders>
              <w:top w:val="single" w:sz="2" w:space="0" w:color="auto"/>
              <w:left w:val="single" w:sz="2" w:space="0" w:color="auto"/>
              <w:bottom w:val="single" w:sz="2" w:space="0" w:color="auto"/>
              <w:right w:val="single" w:sz="2" w:space="0" w:color="auto"/>
            </w:tcBorders>
            <w:shd w:val="clear" w:color="auto" w:fill="FFFFFF"/>
            <w:vAlign w:val="center"/>
          </w:tcPr>
          <w:p w14:paraId="4636E6E8"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Se encontraba exenta</w:t>
            </w:r>
          </w:p>
        </w:tc>
        <w:tc>
          <w:tcPr>
            <w:tcW w:w="2268" w:type="dxa"/>
            <w:tcBorders>
              <w:top w:val="single" w:sz="2" w:space="0" w:color="auto"/>
              <w:left w:val="single" w:sz="2" w:space="0" w:color="auto"/>
              <w:bottom w:val="single" w:sz="2" w:space="0" w:color="auto"/>
              <w:right w:val="single" w:sz="2" w:space="0" w:color="auto"/>
            </w:tcBorders>
            <w:shd w:val="clear" w:color="auto" w:fill="FFFFFF"/>
            <w:vAlign w:val="center"/>
          </w:tcPr>
          <w:p w14:paraId="43453569"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Se gravará la venta al 16% y será cobrado por el residente en México a través de una retención de IVA</w:t>
            </w:r>
          </w:p>
        </w:tc>
        <w:tc>
          <w:tcPr>
            <w:tcW w:w="3402" w:type="dxa"/>
            <w:tcBorders>
              <w:top w:val="single" w:sz="2" w:space="0" w:color="auto"/>
              <w:left w:val="single" w:sz="2" w:space="0" w:color="auto"/>
              <w:bottom w:val="single" w:sz="2" w:space="0" w:color="auto"/>
              <w:right w:val="single" w:sz="2" w:space="0" w:color="auto"/>
            </w:tcBorders>
            <w:shd w:val="clear" w:color="auto" w:fill="FFFFFF"/>
            <w:vAlign w:val="center"/>
          </w:tcPr>
          <w:p w14:paraId="511EE2E5"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Se elimina la exención del artículo 9°, fracción IX, lo que aumenta el costo de la venta, provocando una mayor carga fiscal</w:t>
            </w:r>
          </w:p>
        </w:tc>
      </w:tr>
      <w:tr w:rsidR="00FC49FF" w:rsidRPr="00FC49FF" w14:paraId="19521F6B" w14:textId="77777777" w:rsidTr="00FC49FF">
        <w:trPr>
          <w:trHeight w:val="106"/>
          <w:jc w:val="center"/>
        </w:trPr>
        <w:tc>
          <w:tcPr>
            <w:tcW w:w="1617" w:type="dxa"/>
            <w:tcBorders>
              <w:top w:val="single" w:sz="2" w:space="0" w:color="auto"/>
              <w:left w:val="single" w:sz="2" w:space="0" w:color="auto"/>
              <w:bottom w:val="single" w:sz="2" w:space="0" w:color="auto"/>
              <w:right w:val="single" w:sz="2" w:space="0" w:color="auto"/>
            </w:tcBorders>
            <w:shd w:val="clear" w:color="auto" w:fill="B4C6E7"/>
            <w:vAlign w:val="center"/>
          </w:tcPr>
          <w:p w14:paraId="1B83295A" w14:textId="77777777" w:rsidR="00FC49FF" w:rsidRPr="00FC49FF" w:rsidRDefault="00FC49FF" w:rsidP="00FC49FF">
            <w:pPr>
              <w:autoSpaceDE w:val="0"/>
              <w:autoSpaceDN w:val="0"/>
              <w:adjustRightInd w:val="0"/>
              <w:jc w:val="both"/>
              <w:rPr>
                <w:rFonts w:eastAsia="Calibri"/>
                <w:bCs/>
                <w:sz w:val="22"/>
                <w:szCs w:val="22"/>
                <w:lang w:eastAsia="en-US"/>
              </w:rPr>
            </w:pPr>
            <w:r w:rsidRPr="00FC49FF">
              <w:rPr>
                <w:rFonts w:eastAsia="Calibri"/>
                <w:bCs/>
                <w:sz w:val="22"/>
                <w:szCs w:val="22"/>
                <w:lang w:eastAsia="en-US"/>
              </w:rPr>
              <w:t>IETU</w:t>
            </w:r>
          </w:p>
        </w:tc>
        <w:tc>
          <w:tcPr>
            <w:tcW w:w="1775" w:type="dxa"/>
            <w:tcBorders>
              <w:top w:val="single" w:sz="2" w:space="0" w:color="auto"/>
              <w:left w:val="single" w:sz="2" w:space="0" w:color="auto"/>
              <w:bottom w:val="single" w:sz="2" w:space="0" w:color="auto"/>
              <w:right w:val="single" w:sz="2" w:space="0" w:color="auto"/>
            </w:tcBorders>
            <w:shd w:val="clear" w:color="auto" w:fill="B4C6E7"/>
            <w:vAlign w:val="center"/>
          </w:tcPr>
          <w:p w14:paraId="11D61EC4"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La tasa impositiva era del 17.5%, de IETU e ISR</w:t>
            </w:r>
          </w:p>
        </w:tc>
        <w:tc>
          <w:tcPr>
            <w:tcW w:w="2268" w:type="dxa"/>
            <w:tcBorders>
              <w:top w:val="single" w:sz="2" w:space="0" w:color="auto"/>
              <w:left w:val="single" w:sz="2" w:space="0" w:color="auto"/>
              <w:bottom w:val="single" w:sz="2" w:space="0" w:color="auto"/>
              <w:right w:val="single" w:sz="2" w:space="0" w:color="auto"/>
            </w:tcBorders>
            <w:shd w:val="clear" w:color="auto" w:fill="B4C6E7"/>
            <w:vAlign w:val="center"/>
          </w:tcPr>
          <w:p w14:paraId="5E66FA1A"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Eliminado</w:t>
            </w:r>
          </w:p>
        </w:tc>
        <w:tc>
          <w:tcPr>
            <w:tcW w:w="3402" w:type="dxa"/>
            <w:tcBorders>
              <w:top w:val="single" w:sz="2" w:space="0" w:color="auto"/>
              <w:left w:val="single" w:sz="2" w:space="0" w:color="auto"/>
              <w:bottom w:val="single" w:sz="2" w:space="0" w:color="auto"/>
              <w:right w:val="single" w:sz="2" w:space="0" w:color="auto"/>
            </w:tcBorders>
            <w:shd w:val="clear" w:color="auto" w:fill="B4C6E7"/>
            <w:vAlign w:val="center"/>
          </w:tcPr>
          <w:p w14:paraId="2F959A6D" w14:textId="77777777" w:rsidR="00FC49FF" w:rsidRPr="00FC49FF" w:rsidRDefault="00FC49FF" w:rsidP="00FC49FF">
            <w:pPr>
              <w:autoSpaceDE w:val="0"/>
              <w:autoSpaceDN w:val="0"/>
              <w:adjustRightInd w:val="0"/>
              <w:jc w:val="both"/>
              <w:rPr>
                <w:rFonts w:eastAsia="Calibri"/>
                <w:sz w:val="22"/>
                <w:szCs w:val="22"/>
                <w:lang w:eastAsia="en-US"/>
              </w:rPr>
            </w:pPr>
            <w:r w:rsidRPr="00FC49FF">
              <w:rPr>
                <w:rFonts w:eastAsia="Calibri"/>
                <w:sz w:val="22"/>
                <w:szCs w:val="22"/>
                <w:lang w:eastAsia="en-US"/>
              </w:rPr>
              <w:t>Se elimina el IETU y con ello los beneficios derivados del mismo a través del Decreto, por lo cual tienen la tasa de 30% del ISR</w:t>
            </w:r>
          </w:p>
        </w:tc>
      </w:tr>
      <w:tr w:rsidR="00FC49FF" w:rsidRPr="00FC49FF" w14:paraId="5B2352C3" w14:textId="77777777" w:rsidTr="00FC49FF">
        <w:trPr>
          <w:trHeight w:val="106"/>
          <w:jc w:val="center"/>
        </w:trPr>
        <w:tc>
          <w:tcPr>
            <w:tcW w:w="9062" w:type="dxa"/>
            <w:gridSpan w:val="4"/>
            <w:tcBorders>
              <w:top w:val="single" w:sz="2" w:space="0" w:color="auto"/>
              <w:left w:val="nil"/>
              <w:bottom w:val="nil"/>
              <w:right w:val="nil"/>
            </w:tcBorders>
            <w:shd w:val="clear" w:color="auto" w:fill="FFFFFF"/>
            <w:vAlign w:val="center"/>
          </w:tcPr>
          <w:p w14:paraId="7E8BFAD9" w14:textId="77777777" w:rsidR="00FC49FF" w:rsidRPr="00FC49FF" w:rsidRDefault="00FC49FF" w:rsidP="00FC49FF">
            <w:pPr>
              <w:autoSpaceDE w:val="0"/>
              <w:autoSpaceDN w:val="0"/>
              <w:adjustRightInd w:val="0"/>
              <w:spacing w:before="120"/>
              <w:jc w:val="both"/>
              <w:rPr>
                <w:rFonts w:eastAsia="Calibri"/>
                <w:bCs/>
                <w:sz w:val="22"/>
                <w:szCs w:val="22"/>
                <w:lang w:eastAsia="en-US"/>
              </w:rPr>
            </w:pPr>
            <w:r w:rsidRPr="00FC49FF">
              <w:rPr>
                <w:rFonts w:eastAsia="Calibri"/>
                <w:bCs/>
                <w:sz w:val="22"/>
                <w:szCs w:val="22"/>
                <w:lang w:eastAsia="en-US"/>
              </w:rPr>
              <w:t>FUENTE: Cámara de Diputados.</w:t>
            </w:r>
          </w:p>
        </w:tc>
      </w:tr>
    </w:tbl>
    <w:p w14:paraId="752AED76" w14:textId="77777777" w:rsidR="00FC49FF" w:rsidRPr="00FC49FF" w:rsidRDefault="00FC49FF" w:rsidP="00FC49FF">
      <w:pPr>
        <w:spacing w:after="360" w:line="360" w:lineRule="auto"/>
        <w:ind w:right="-159"/>
        <w:jc w:val="both"/>
        <w:rPr>
          <w:rFonts w:eastAsia="Calibri"/>
          <w:sz w:val="26"/>
          <w:szCs w:val="26"/>
          <w:lang w:eastAsia="en-US"/>
        </w:rPr>
      </w:pPr>
    </w:p>
    <w:p w14:paraId="0AE4B3EB"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 xml:space="preserve">Como ya quedó plasmado, con las modificaciones realizadas al Programa IMMEX, durante la Reforma Hacendaria de 2013, se logró terminar con los regímenes especiales que complicaban la aplicación de las leyes tributarias y facilitaban a las empresas la evasión fiscal, mediante la manipulación de sus ingresos, al momento de realizar sus declaraciones antes las autoridades fiscales, asimismo se logró concluir con la exención </w:t>
      </w:r>
      <w:r w:rsidRPr="00FC49FF">
        <w:rPr>
          <w:rFonts w:eastAsia="Calibri"/>
          <w:sz w:val="26"/>
          <w:szCs w:val="26"/>
          <w:lang w:eastAsia="en-US"/>
        </w:rPr>
        <w:lastRenderedPageBreak/>
        <w:t>del IVA en las importaciones temporales, así como la homologación del IVA en todo el territorio nacional, que lejos de promover la integración de contenido nacional en los insumos que utiliza la industria maquiladora, sólo promovía preferencias hacia insumos extranjeros, por lo tanto, se buscó desactivar el efecto asociado a la importación, el cual consistía en inhibir el desarrollo de la proveeduría nacional en esta industria.</w:t>
      </w:r>
    </w:p>
    <w:p w14:paraId="02D6EF27" w14:textId="57A243E9"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Como ya quedó claramente expresado, el motivo de la reforma tuvo su origen en los abusos que se dieron en dicho régimen, además del reconocimiento de que los fines por los cuales se otorgaron los beneficios han cambiado, es por ello la gran importancia de reforzar, otorgando legalidad y certidumbre jurídica a dicho régimen, para que las empresas que operan en la actualidad bajo esta modalidad tengan la certeza jurídica que la operación que llevan a cabo es totalmente segura y generadora de estabilidad económica.</w:t>
      </w:r>
    </w:p>
    <w:p w14:paraId="0AA1682A" w14:textId="605945C0"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Por otro lado, es importante conocer que en 2012 se realizó por la Firma KPMG el “Estudio de la Competitividad Fiscal Internacional de la Industria Maquiladora”, de acuerdo con el mismo, algunos países han desarrollado esquemas para promover actividades económicas, industriales y comerciales, acentuando sus ventajas competitivas y ofreciendo un tratamiento aduanero especial, destacando otro tipo de incentivos, como son los fiscales, con ello se facilita la instalación y operación de empresas manufactureras por contrato (“</w:t>
      </w:r>
      <w:proofErr w:type="spellStart"/>
      <w:r w:rsidRPr="00FC49FF">
        <w:rPr>
          <w:rFonts w:eastAsia="Calibri"/>
          <w:sz w:val="26"/>
          <w:szCs w:val="26"/>
          <w:lang w:eastAsia="en-US"/>
        </w:rPr>
        <w:t>contrac</w:t>
      </w:r>
      <w:proofErr w:type="spellEnd"/>
      <w:r w:rsidRPr="00FC49FF">
        <w:rPr>
          <w:rFonts w:eastAsia="Calibri"/>
          <w:sz w:val="26"/>
          <w:szCs w:val="26"/>
          <w:lang w:eastAsia="en-US"/>
        </w:rPr>
        <w:t xml:space="preserve"> </w:t>
      </w:r>
      <w:proofErr w:type="spellStart"/>
      <w:r w:rsidRPr="00FC49FF">
        <w:rPr>
          <w:rFonts w:eastAsia="Calibri"/>
          <w:sz w:val="26"/>
          <w:szCs w:val="26"/>
          <w:lang w:eastAsia="en-US"/>
        </w:rPr>
        <w:t>manufacturer</w:t>
      </w:r>
      <w:proofErr w:type="spellEnd"/>
      <w:r w:rsidRPr="00FC49FF">
        <w:rPr>
          <w:rFonts w:eastAsia="Calibri"/>
          <w:sz w:val="26"/>
          <w:szCs w:val="26"/>
          <w:lang w:eastAsia="en-US"/>
        </w:rPr>
        <w:t>”)</w:t>
      </w:r>
      <w:r w:rsidRPr="00FC49FF">
        <w:rPr>
          <w:rFonts w:eastAsia="Calibri"/>
          <w:sz w:val="26"/>
          <w:szCs w:val="26"/>
          <w:vertAlign w:val="superscript"/>
          <w:lang w:eastAsia="en-US"/>
        </w:rPr>
        <w:footnoteReference w:id="4"/>
      </w:r>
      <w:r w:rsidR="00522F10">
        <w:rPr>
          <w:rFonts w:eastAsia="Calibri"/>
          <w:sz w:val="26"/>
          <w:szCs w:val="26"/>
          <w:lang w:eastAsia="en-US"/>
        </w:rPr>
        <w:t>.</w:t>
      </w:r>
      <w:r w:rsidRPr="00FC49FF">
        <w:rPr>
          <w:rFonts w:eastAsia="Calibri"/>
          <w:sz w:val="26"/>
          <w:szCs w:val="26"/>
          <w:lang w:eastAsia="en-US"/>
        </w:rPr>
        <w:t xml:space="preserve"> En dicho estudio se midió a México contra naciones como China, Brasil, Costa Rica, Corea del Sur y Tailandia, países que son competidores con México en la captación de inversiones manufactureras.</w:t>
      </w:r>
    </w:p>
    <w:p w14:paraId="6D25C130" w14:textId="2BBC7B35"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 xml:space="preserve">El estudio revela que México dejó de ser un país atractivo para las inversiones de este tipo, por el alto costo fiscal que representaba la operación de una manufacturera en </w:t>
      </w:r>
      <w:r w:rsidRPr="00FC49FF">
        <w:rPr>
          <w:rFonts w:eastAsia="Calibri"/>
          <w:sz w:val="26"/>
          <w:szCs w:val="26"/>
          <w:lang w:eastAsia="en-US"/>
        </w:rPr>
        <w:lastRenderedPageBreak/>
        <w:t xml:space="preserve">territorio nacional y la tramitología complicada que resultaba la regulación de </w:t>
      </w:r>
      <w:r w:rsidR="00297CBE">
        <w:rPr>
          <w:rFonts w:eastAsia="Calibri"/>
          <w:sz w:val="26"/>
          <w:szCs w:val="26"/>
          <w:lang w:eastAsia="en-US"/>
        </w:rPr>
        <w:t>é</w:t>
      </w:r>
      <w:r w:rsidRPr="00FC49FF">
        <w:rPr>
          <w:rFonts w:eastAsia="Calibri"/>
          <w:sz w:val="26"/>
          <w:szCs w:val="26"/>
          <w:lang w:eastAsia="en-US"/>
        </w:rPr>
        <w:t>stas. De acuerdo con la información disponible, la brecha de la carga fiscal que hoy tiene las IMMEX en México gracias a la reforma efectuada, en materia de ISR e IVA contra las economías de los principales competidores de México como China, Brasil y Costa Rica, comparado contra los resultados obtenidos del estudio en comento, se observa que México pierde competitividad en atracción de inversión extranjera en manufacturas por los elevados costos fiscales que representa, como podemos observar en la siguiente gráfica:</w:t>
      </w:r>
    </w:p>
    <w:p w14:paraId="5C714C88" w14:textId="77777777" w:rsidR="00FC49FF" w:rsidRPr="00FC49FF" w:rsidRDefault="00FC49FF" w:rsidP="00FC49FF">
      <w:pPr>
        <w:spacing w:after="360" w:line="360" w:lineRule="auto"/>
        <w:ind w:right="-159"/>
        <w:jc w:val="center"/>
        <w:rPr>
          <w:rFonts w:eastAsia="Calibri"/>
          <w:sz w:val="26"/>
          <w:szCs w:val="26"/>
          <w:lang w:eastAsia="en-US"/>
        </w:rPr>
      </w:pPr>
      <w:r w:rsidRPr="00FC49FF">
        <w:rPr>
          <w:rFonts w:ascii="Calibri" w:eastAsia="Calibri" w:hAnsi="Calibri"/>
          <w:noProof/>
          <w:sz w:val="22"/>
          <w:szCs w:val="22"/>
          <w:lang w:eastAsia="es-MX"/>
        </w:rPr>
        <w:drawing>
          <wp:inline distT="0" distB="0" distL="0" distR="0" wp14:anchorId="6E443E8D" wp14:editId="4B20ABFF">
            <wp:extent cx="4558560" cy="2468886"/>
            <wp:effectExtent l="0" t="0" r="0" b="7620"/>
            <wp:docPr id="1783" name="Imagen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2703" b="25312"/>
                    <a:stretch/>
                  </pic:blipFill>
                  <pic:spPr bwMode="auto">
                    <a:xfrm>
                      <a:off x="0" y="0"/>
                      <a:ext cx="4559300" cy="2469287"/>
                    </a:xfrm>
                    <a:prstGeom prst="rect">
                      <a:avLst/>
                    </a:prstGeom>
                    <a:noFill/>
                    <a:ln>
                      <a:noFill/>
                    </a:ln>
                    <a:extLst>
                      <a:ext uri="{53640926-AAD7-44D8-BBD7-CCE9431645EC}">
                        <a14:shadowObscured xmlns:a14="http://schemas.microsoft.com/office/drawing/2010/main"/>
                      </a:ext>
                    </a:extLst>
                  </pic:spPr>
                </pic:pic>
              </a:graphicData>
            </a:graphic>
          </wp:inline>
        </w:drawing>
      </w:r>
    </w:p>
    <w:p w14:paraId="0191E2F0" w14:textId="77777777" w:rsid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Así, de acuerdo con la gráfica anterior, México se ubicó como el país con la mayor carga fiscal de los impuestos corporativos, con una tasa efectiva de ISR de 17.5%, situación que contrasta con la tasa efectiva de ISR para los corporativos de Brasil y Tailandia que pagaron durante 2012 una tasa efectiva de 8.5 y 4.5%, respectivamente. Aunque es importante reconocer ante la simplificación del esquema que hoy en día se ha planteado las empresas tendrán mayor certidumbre jurídica en su actuar, con ello evitaran riesgos fiscales que sólo obstruyen la correcta operación de las mismas.</w:t>
      </w:r>
    </w:p>
    <w:p w14:paraId="09DFDC38" w14:textId="77777777" w:rsidR="00AE0C82" w:rsidRDefault="00AE0C82" w:rsidP="00FC49FF">
      <w:pPr>
        <w:spacing w:after="360" w:line="360" w:lineRule="auto"/>
        <w:ind w:right="-159"/>
        <w:jc w:val="both"/>
        <w:rPr>
          <w:rFonts w:eastAsia="Calibri"/>
          <w:sz w:val="26"/>
          <w:szCs w:val="26"/>
          <w:lang w:eastAsia="en-US"/>
        </w:rPr>
      </w:pPr>
    </w:p>
    <w:p w14:paraId="6C100085" w14:textId="77777777" w:rsidR="00AE0C82" w:rsidRPr="00FC49FF" w:rsidRDefault="00AE0C82" w:rsidP="00FC49FF">
      <w:pPr>
        <w:spacing w:after="360" w:line="360" w:lineRule="auto"/>
        <w:ind w:right="-159"/>
        <w:jc w:val="both"/>
        <w:rPr>
          <w:rFonts w:eastAsia="Calibri"/>
          <w:sz w:val="26"/>
          <w:szCs w:val="26"/>
          <w:lang w:eastAsia="en-US"/>
        </w:rPr>
      </w:pPr>
    </w:p>
    <w:p w14:paraId="54BBC962"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b/>
          <w:sz w:val="26"/>
          <w:szCs w:val="26"/>
          <w:lang w:eastAsia="en-US"/>
        </w:rPr>
        <w:lastRenderedPageBreak/>
        <w:t>Conclusiones</w:t>
      </w:r>
    </w:p>
    <w:p w14:paraId="43299749"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Con las reformas planteadas existe mayor claridad en cuanto a la regulación de las IMMEX, lo anterior es así, debido a que la regulación que fue derogada se encontraba en distintos Decretos presidenciales, lo que dificultaba entender el procedimiento fiscal para que el contribuyente cumpliera cabalmente con sus obligaciones. Por ello, hoy en día las reglas las encontramos derivadas de Ley lo que otorga mayor certidumbre jurídica, así como da el tratamiento fiscal a las empresas que realmente cumplen con el esquema planteado, ya que la flexibilización del rubro sólo trae consigo abusos por parte de las empresas.</w:t>
      </w:r>
    </w:p>
    <w:p w14:paraId="2D9D92ED" w14:textId="7777777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Por otro lado, con relación a la reforma efectuada del pago de IVA y IEPS, como ya quedó establecido todo 2014 se otorgó a las empresas el plazo para realizar la certificación de IVA y IEPS como el fin de que la autoridad fiscal otorgue un crédito fiscal por las importaciones temporales que realice de los insumos, en ese sentido la carga tributaria que podría haber representado el pago de dichos impuestos se verá compensado en su mayoría con la liquidación que otorgue la Autoridad Hacendaria, aunque se debe de reconocer que sí tendrá una carga administrativa mucho mayor ya que representa para las empresas  nuevas obligaciones, como lo es llevar el reporte mensual de la temporalidad de los bienes.</w:t>
      </w:r>
    </w:p>
    <w:p w14:paraId="111A6BE9" w14:textId="4A5ADE97" w:rsidR="00FC49FF" w:rsidRPr="00FC49FF" w:rsidRDefault="00FC49FF" w:rsidP="00FC49FF">
      <w:pPr>
        <w:spacing w:after="360" w:line="360" w:lineRule="auto"/>
        <w:ind w:right="-159"/>
        <w:jc w:val="both"/>
        <w:rPr>
          <w:rFonts w:eastAsia="Calibri"/>
          <w:sz w:val="26"/>
          <w:szCs w:val="26"/>
          <w:lang w:eastAsia="en-US"/>
        </w:rPr>
      </w:pPr>
      <w:r w:rsidRPr="00FC49FF">
        <w:rPr>
          <w:rFonts w:eastAsia="Calibri"/>
          <w:sz w:val="26"/>
          <w:szCs w:val="26"/>
          <w:lang w:eastAsia="en-US"/>
        </w:rPr>
        <w:t>En su conjunto, las reformas son necesarias como un primer paso para combatir los delitos fiscales cometidos en el régimen maquilador, pero también se debe seguir trabajando para lograr que el régimen sea competitivo a nivel internacional, con la finalidad de atraer mayor inversión extranjera directa, que posicion</w:t>
      </w:r>
      <w:r w:rsidR="00297CBE">
        <w:rPr>
          <w:rFonts w:eastAsia="Calibri"/>
          <w:sz w:val="26"/>
          <w:szCs w:val="26"/>
          <w:lang w:eastAsia="en-US"/>
        </w:rPr>
        <w:t>e</w:t>
      </w:r>
      <w:r w:rsidRPr="00FC49FF">
        <w:rPr>
          <w:rFonts w:eastAsia="Calibri"/>
          <w:sz w:val="26"/>
          <w:szCs w:val="26"/>
          <w:lang w:eastAsia="en-US"/>
        </w:rPr>
        <w:t xml:space="preserve"> a México como un país que otorga certidumbre jurídica y crecimiento a las empresas constituidas en su territorio.</w:t>
      </w:r>
    </w:p>
    <w:p w14:paraId="3DAA8D01" w14:textId="77777777" w:rsidR="00FC49FF" w:rsidRPr="00FC49FF" w:rsidRDefault="00FC49FF" w:rsidP="00FC49FF">
      <w:pPr>
        <w:rPr>
          <w:rFonts w:eastAsia="Calibri"/>
          <w:sz w:val="20"/>
          <w:szCs w:val="20"/>
          <w:lang w:eastAsia="en-US"/>
        </w:rPr>
      </w:pPr>
      <w:r w:rsidRPr="00FC49FF">
        <w:rPr>
          <w:rFonts w:eastAsia="Calibri"/>
          <w:b/>
          <w:sz w:val="20"/>
          <w:szCs w:val="20"/>
          <w:lang w:eastAsia="en-US"/>
        </w:rPr>
        <w:t>Fuente de información</w:t>
      </w:r>
      <w:r w:rsidRPr="00FC49FF">
        <w:rPr>
          <w:rFonts w:eastAsia="Calibri"/>
          <w:sz w:val="20"/>
          <w:szCs w:val="20"/>
          <w:lang w:eastAsia="en-US"/>
        </w:rPr>
        <w:t>:</w:t>
      </w:r>
    </w:p>
    <w:p w14:paraId="52F04484" w14:textId="77777777" w:rsidR="00FC49FF" w:rsidRPr="00BC7BEB" w:rsidRDefault="00D936FE" w:rsidP="00FC49FF">
      <w:pPr>
        <w:rPr>
          <w:rFonts w:eastAsia="Calibri"/>
          <w:color w:val="0000FF"/>
          <w:sz w:val="20"/>
          <w:szCs w:val="20"/>
          <w:u w:val="single"/>
          <w:lang w:eastAsia="en-US"/>
        </w:rPr>
      </w:pPr>
      <w:hyperlink r:id="rId28" w:history="1">
        <w:r w:rsidR="00FC49FF" w:rsidRPr="00BC7BEB">
          <w:rPr>
            <w:rFonts w:eastAsia="Calibri"/>
            <w:color w:val="0000FF"/>
            <w:sz w:val="20"/>
            <w:szCs w:val="20"/>
            <w:u w:val="single"/>
            <w:lang w:eastAsia="en-US"/>
          </w:rPr>
          <w:t>http://www.cefp.gob.mx/publicaciones/nota/2015/marzo/notacefp0132015.pdf</w:t>
        </w:r>
      </w:hyperlink>
      <w:r w:rsidR="00FC49FF" w:rsidRPr="00BC7BEB">
        <w:rPr>
          <w:rFonts w:eastAsia="Calibri"/>
          <w:color w:val="0000FF"/>
          <w:sz w:val="20"/>
          <w:szCs w:val="20"/>
          <w:u w:val="single"/>
          <w:lang w:eastAsia="en-US"/>
        </w:rPr>
        <w:t xml:space="preserve"> </w:t>
      </w:r>
    </w:p>
    <w:p w14:paraId="0C015032" w14:textId="77777777" w:rsidR="00FC49FF" w:rsidRPr="00FC49FF" w:rsidRDefault="00FC49FF" w:rsidP="00FC49FF">
      <w:pPr>
        <w:spacing w:after="360" w:line="360" w:lineRule="auto"/>
        <w:ind w:right="-159"/>
        <w:jc w:val="both"/>
        <w:rPr>
          <w:rFonts w:eastAsia="Calibri"/>
          <w:sz w:val="26"/>
          <w:szCs w:val="26"/>
          <w:lang w:eastAsia="en-US"/>
        </w:rPr>
      </w:pPr>
    </w:p>
    <w:p w14:paraId="7475FA83" w14:textId="77777777" w:rsidR="000A74DB" w:rsidRPr="000A74DB" w:rsidRDefault="000A74DB" w:rsidP="000A74DB">
      <w:pPr>
        <w:rPr>
          <w:rFonts w:eastAsia="Calibri"/>
          <w:b/>
          <w:sz w:val="26"/>
          <w:szCs w:val="26"/>
          <w:lang w:eastAsia="en-US"/>
        </w:rPr>
      </w:pPr>
      <w:r w:rsidRPr="000A74DB">
        <w:rPr>
          <w:rFonts w:eastAsia="Calibri"/>
          <w:b/>
          <w:sz w:val="26"/>
          <w:szCs w:val="26"/>
          <w:lang w:eastAsia="en-US"/>
        </w:rPr>
        <w:lastRenderedPageBreak/>
        <w:t>Se  negocia  con  Malasia  la  exportación de</w:t>
      </w:r>
    </w:p>
    <w:p w14:paraId="6D186720" w14:textId="77777777" w:rsidR="000A74DB" w:rsidRPr="000A74DB" w:rsidRDefault="000A74DB" w:rsidP="000A74DB">
      <w:pPr>
        <w:spacing w:after="360" w:line="360" w:lineRule="auto"/>
        <w:ind w:right="-159"/>
        <w:jc w:val="both"/>
        <w:rPr>
          <w:rFonts w:eastAsia="Calibri"/>
          <w:b/>
          <w:sz w:val="26"/>
          <w:szCs w:val="26"/>
          <w:lang w:eastAsia="en-US"/>
        </w:rPr>
      </w:pPr>
      <w:proofErr w:type="gramStart"/>
      <w:r w:rsidRPr="000A74DB">
        <w:rPr>
          <w:rFonts w:eastAsia="Calibri"/>
          <w:b/>
          <w:sz w:val="26"/>
          <w:szCs w:val="26"/>
          <w:lang w:eastAsia="en-US"/>
        </w:rPr>
        <w:t>productos</w:t>
      </w:r>
      <w:proofErr w:type="gramEnd"/>
      <w:r w:rsidRPr="000A74DB">
        <w:rPr>
          <w:rFonts w:eastAsia="Calibri"/>
          <w:b/>
          <w:sz w:val="26"/>
          <w:szCs w:val="26"/>
          <w:lang w:eastAsia="en-US"/>
        </w:rPr>
        <w:t xml:space="preserve"> agrícolas mexicanos (SAGARPA)</w:t>
      </w:r>
    </w:p>
    <w:p w14:paraId="5C393A6C"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El 17 de marzo de 2015, la Secretaría de Agricultura, Ganadería, Desarrollo Rural, Pesca y Alimentación (SAGARPA) comunicó que las organizaciones nacionales de protección fitosanitaria de México y Malasia trabajan en la revisión de los procesos de acceso de productos agrícolas mexicanos a esa nación. A continuación se presenta la información.</w:t>
      </w:r>
    </w:p>
    <w:p w14:paraId="1A832E8F"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Con la finalidad incrementar la exportación de productos agrícolas de origen mexicano a Malasia, técnicos del Servicio Nacional de Sanidad, Inocuidad y Calidad Agroalimentaria (SENASICA) se reunieron en la ciudad de Kuala Lumpur con funcionarios de la División de Bioseguridad de Plantas del Departamento de Agricultura de ese país.</w:t>
      </w:r>
    </w:p>
    <w:p w14:paraId="359DD7F3"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Los técnicos de la Dirección General de Sanidad Vegetal del organismo de la SAGARPA indicaron que las organizaciones nacionales de protección fitosanitaria de ambos países trabajan en la revisión de los procesos de acceso de productos agrícolas mexicanos a esa nación.</w:t>
      </w:r>
    </w:p>
    <w:p w14:paraId="0372615E"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Con estas acciones, se espera beneficiar a los productores de fibra de algodón, garbanzo, uva de mesa, pimiento, zarzamora, frambuesa, aguacate, limón persa, mango y chile, quienes podrán comercializar sus productos a precios competitivos en el mercado de Malasia, una vez que cumplan con los requisitos fitosanitarios establecidos por el país importador.</w:t>
      </w:r>
    </w:p>
    <w:p w14:paraId="560E0FB1"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Informaron que los productos agrícolas mexicanos que actualmente se pueden exportar a Malasia son: semilla de chía (Salvia hispánica), ajonjolí (</w:t>
      </w:r>
      <w:proofErr w:type="spellStart"/>
      <w:r w:rsidRPr="000A74DB">
        <w:rPr>
          <w:rFonts w:eastAsia="Calibri"/>
          <w:sz w:val="26"/>
          <w:szCs w:val="26"/>
          <w:lang w:eastAsia="en-US"/>
        </w:rPr>
        <w:t>Sesamum</w:t>
      </w:r>
      <w:proofErr w:type="spellEnd"/>
      <w:r w:rsidRPr="000A74DB">
        <w:rPr>
          <w:rFonts w:eastAsia="Calibri"/>
          <w:sz w:val="26"/>
          <w:szCs w:val="26"/>
          <w:lang w:eastAsia="en-US"/>
        </w:rPr>
        <w:t xml:space="preserve"> </w:t>
      </w:r>
      <w:proofErr w:type="spellStart"/>
      <w:r w:rsidRPr="000A74DB">
        <w:rPr>
          <w:rFonts w:eastAsia="Calibri"/>
          <w:sz w:val="26"/>
          <w:szCs w:val="26"/>
          <w:lang w:eastAsia="en-US"/>
        </w:rPr>
        <w:t>indicum</w:t>
      </w:r>
      <w:proofErr w:type="spellEnd"/>
      <w:r w:rsidRPr="000A74DB">
        <w:rPr>
          <w:rFonts w:eastAsia="Calibri"/>
          <w:sz w:val="26"/>
          <w:szCs w:val="26"/>
          <w:lang w:eastAsia="en-US"/>
        </w:rPr>
        <w:t>), café (</w:t>
      </w:r>
      <w:proofErr w:type="spellStart"/>
      <w:r w:rsidRPr="000A74DB">
        <w:rPr>
          <w:rFonts w:eastAsia="Calibri"/>
          <w:sz w:val="26"/>
          <w:szCs w:val="26"/>
          <w:lang w:eastAsia="en-US"/>
        </w:rPr>
        <w:t>Coffea</w:t>
      </w:r>
      <w:proofErr w:type="spellEnd"/>
      <w:r w:rsidRPr="000A74DB">
        <w:rPr>
          <w:rFonts w:eastAsia="Calibri"/>
          <w:sz w:val="26"/>
          <w:szCs w:val="26"/>
          <w:lang w:eastAsia="en-US"/>
        </w:rPr>
        <w:t xml:space="preserve"> </w:t>
      </w:r>
      <w:proofErr w:type="spellStart"/>
      <w:r w:rsidRPr="000A74DB">
        <w:rPr>
          <w:rFonts w:eastAsia="Calibri"/>
          <w:sz w:val="26"/>
          <w:szCs w:val="26"/>
          <w:lang w:eastAsia="en-US"/>
        </w:rPr>
        <w:t>arabica</w:t>
      </w:r>
      <w:proofErr w:type="spellEnd"/>
      <w:r w:rsidRPr="000A74DB">
        <w:rPr>
          <w:rFonts w:eastAsia="Calibri"/>
          <w:sz w:val="26"/>
          <w:szCs w:val="26"/>
          <w:lang w:eastAsia="en-US"/>
        </w:rPr>
        <w:t xml:space="preserve">, C. </w:t>
      </w:r>
      <w:proofErr w:type="spellStart"/>
      <w:r w:rsidRPr="000A74DB">
        <w:rPr>
          <w:rFonts w:eastAsia="Calibri"/>
          <w:sz w:val="26"/>
          <w:szCs w:val="26"/>
          <w:lang w:eastAsia="en-US"/>
        </w:rPr>
        <w:t>canephora</w:t>
      </w:r>
      <w:proofErr w:type="spellEnd"/>
      <w:r w:rsidRPr="000A74DB">
        <w:rPr>
          <w:rFonts w:eastAsia="Calibri"/>
          <w:sz w:val="26"/>
          <w:szCs w:val="26"/>
          <w:lang w:eastAsia="en-US"/>
        </w:rPr>
        <w:t xml:space="preserve"> y C. </w:t>
      </w:r>
      <w:proofErr w:type="spellStart"/>
      <w:r w:rsidRPr="000A74DB">
        <w:rPr>
          <w:rFonts w:eastAsia="Calibri"/>
          <w:sz w:val="26"/>
          <w:szCs w:val="26"/>
          <w:lang w:eastAsia="en-US"/>
        </w:rPr>
        <w:t>liberica</w:t>
      </w:r>
      <w:proofErr w:type="spellEnd"/>
      <w:r w:rsidRPr="000A74DB">
        <w:rPr>
          <w:rFonts w:eastAsia="Calibri"/>
          <w:sz w:val="26"/>
          <w:szCs w:val="26"/>
          <w:lang w:eastAsia="en-US"/>
        </w:rPr>
        <w:t>), agave (Agave lechuguilla), yute (</w:t>
      </w:r>
      <w:proofErr w:type="spellStart"/>
      <w:r w:rsidRPr="000A74DB">
        <w:rPr>
          <w:rFonts w:eastAsia="Calibri"/>
          <w:sz w:val="26"/>
          <w:szCs w:val="26"/>
          <w:lang w:eastAsia="en-US"/>
        </w:rPr>
        <w:t>Corchorus</w:t>
      </w:r>
      <w:proofErr w:type="spellEnd"/>
      <w:r w:rsidRPr="000A74DB">
        <w:rPr>
          <w:rFonts w:eastAsia="Calibri"/>
          <w:sz w:val="26"/>
          <w:szCs w:val="26"/>
          <w:lang w:eastAsia="en-US"/>
        </w:rPr>
        <w:t xml:space="preserve"> </w:t>
      </w:r>
      <w:proofErr w:type="spellStart"/>
      <w:r w:rsidRPr="000A74DB">
        <w:rPr>
          <w:rFonts w:eastAsia="Calibri"/>
          <w:sz w:val="26"/>
          <w:szCs w:val="26"/>
          <w:lang w:eastAsia="en-US"/>
        </w:rPr>
        <w:t>capsularis</w:t>
      </w:r>
      <w:proofErr w:type="spellEnd"/>
      <w:r w:rsidRPr="000A74DB">
        <w:rPr>
          <w:rFonts w:eastAsia="Calibri"/>
          <w:sz w:val="26"/>
          <w:szCs w:val="26"/>
          <w:lang w:eastAsia="en-US"/>
        </w:rPr>
        <w:t>) y tabaco (</w:t>
      </w:r>
      <w:proofErr w:type="spellStart"/>
      <w:r w:rsidRPr="000A74DB">
        <w:rPr>
          <w:rFonts w:eastAsia="Calibri"/>
          <w:sz w:val="26"/>
          <w:szCs w:val="26"/>
          <w:lang w:eastAsia="en-US"/>
        </w:rPr>
        <w:t>Nicotiana</w:t>
      </w:r>
      <w:proofErr w:type="spellEnd"/>
      <w:r w:rsidRPr="000A74DB">
        <w:rPr>
          <w:rFonts w:eastAsia="Calibri"/>
          <w:sz w:val="26"/>
          <w:szCs w:val="26"/>
          <w:lang w:eastAsia="en-US"/>
        </w:rPr>
        <w:t xml:space="preserve"> </w:t>
      </w:r>
      <w:proofErr w:type="spellStart"/>
      <w:r w:rsidRPr="000A74DB">
        <w:rPr>
          <w:rFonts w:eastAsia="Calibri"/>
          <w:sz w:val="26"/>
          <w:szCs w:val="26"/>
          <w:lang w:eastAsia="en-US"/>
        </w:rPr>
        <w:t>tabacum</w:t>
      </w:r>
      <w:proofErr w:type="spellEnd"/>
      <w:r w:rsidRPr="000A74DB">
        <w:rPr>
          <w:rFonts w:eastAsia="Calibri"/>
          <w:sz w:val="26"/>
          <w:szCs w:val="26"/>
          <w:lang w:eastAsia="en-US"/>
        </w:rPr>
        <w:t>).</w:t>
      </w:r>
    </w:p>
    <w:p w14:paraId="747CCA25"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lastRenderedPageBreak/>
        <w:t>Señalaron que están en proceso avanzado de autorización la fibra de algodón y el garbanzo, para lo cual técnicos de Malasia realizan los Análisis de Riesgo de Plagas correspondientes, a partir de los cuales se establecen los requisitos fitosanitarios para la exportación.</w:t>
      </w:r>
    </w:p>
    <w:p w14:paraId="7263ED44"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Durante la reunión los funcionarios de SAGARPA entregaron el expediente técnico de la uva de mesa.</w:t>
      </w:r>
    </w:p>
    <w:p w14:paraId="7E924568"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Fue enviado también el expediente de pimiento, y posteriormente se mandarán los de zarzamora, frambuesa, aguacate, limón persa, mango y chile, a fin de que el personal fitosanitario de Malasia inicie los análisis de riesgo para lograr la incursión de estos productos al país asiático.</w:t>
      </w:r>
    </w:p>
    <w:p w14:paraId="4C7DA2CA"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Además de los técnicos del SENASICA, la delegación mexicana estuvo integrada por representantes de la Embajada de México en Malasia y PROMEXICO.</w:t>
      </w:r>
    </w:p>
    <w:p w14:paraId="0ADAEA8A" w14:textId="77777777" w:rsidR="000A74DB" w:rsidRPr="000A74DB" w:rsidRDefault="000A74DB" w:rsidP="000A74DB">
      <w:pPr>
        <w:ind w:right="-159"/>
        <w:jc w:val="both"/>
        <w:rPr>
          <w:rFonts w:eastAsia="Calibri"/>
          <w:b/>
          <w:sz w:val="20"/>
          <w:szCs w:val="20"/>
          <w:lang w:eastAsia="en-US"/>
        </w:rPr>
      </w:pPr>
      <w:r w:rsidRPr="000A74DB">
        <w:rPr>
          <w:rFonts w:eastAsia="Calibri"/>
          <w:b/>
          <w:sz w:val="20"/>
          <w:szCs w:val="20"/>
          <w:lang w:eastAsia="en-US"/>
        </w:rPr>
        <w:t>Fuente de información:</w:t>
      </w:r>
    </w:p>
    <w:p w14:paraId="0B646ABB" w14:textId="77777777" w:rsidR="000A74DB" w:rsidRPr="00BC7BEB" w:rsidRDefault="00D936FE" w:rsidP="00BC7BEB">
      <w:pPr>
        <w:spacing w:after="720"/>
        <w:ind w:right="-159"/>
        <w:jc w:val="both"/>
        <w:rPr>
          <w:rFonts w:eastAsia="Calibri"/>
          <w:color w:val="0000FF"/>
          <w:sz w:val="20"/>
          <w:szCs w:val="20"/>
          <w:lang w:eastAsia="en-US"/>
        </w:rPr>
      </w:pPr>
      <w:hyperlink r:id="rId29" w:history="1">
        <w:r w:rsidR="000A74DB" w:rsidRPr="00BC7BEB">
          <w:rPr>
            <w:rFonts w:eastAsia="Calibri"/>
            <w:color w:val="0000FF"/>
            <w:sz w:val="20"/>
            <w:szCs w:val="20"/>
            <w:u w:val="single"/>
            <w:lang w:eastAsia="en-US"/>
          </w:rPr>
          <w:t>http://www.sagarpa.gob.mx/saladeprensa/2012/Paginas/2015B201.aspx</w:t>
        </w:r>
      </w:hyperlink>
    </w:p>
    <w:p w14:paraId="704EDAB5" w14:textId="77777777" w:rsidR="00FE369E" w:rsidRPr="00FE369E" w:rsidRDefault="00FE369E" w:rsidP="00FE369E">
      <w:pPr>
        <w:ind w:right="-159"/>
        <w:jc w:val="both"/>
        <w:rPr>
          <w:rFonts w:eastAsia="Calibri"/>
          <w:b/>
          <w:sz w:val="26"/>
          <w:szCs w:val="26"/>
          <w:lang w:eastAsia="en-US"/>
        </w:rPr>
      </w:pPr>
      <w:r w:rsidRPr="00FE369E">
        <w:rPr>
          <w:rFonts w:eastAsia="Calibri"/>
          <w:b/>
          <w:sz w:val="26"/>
          <w:szCs w:val="26"/>
          <w:lang w:eastAsia="en-US"/>
        </w:rPr>
        <w:t>Avanzan  las  conversaciones  sobre  el</w:t>
      </w:r>
    </w:p>
    <w:p w14:paraId="1C294419" w14:textId="77777777" w:rsidR="00FE369E" w:rsidRPr="00FE369E" w:rsidRDefault="00FE369E" w:rsidP="00FE369E">
      <w:pPr>
        <w:spacing w:after="360" w:line="360" w:lineRule="auto"/>
        <w:ind w:right="-159"/>
        <w:jc w:val="both"/>
        <w:rPr>
          <w:rFonts w:eastAsia="Calibri"/>
          <w:b/>
          <w:sz w:val="26"/>
          <w:szCs w:val="26"/>
          <w:lang w:eastAsia="en-US"/>
        </w:rPr>
      </w:pPr>
      <w:r w:rsidRPr="00FE369E">
        <w:rPr>
          <w:rFonts w:eastAsia="Calibri"/>
          <w:b/>
          <w:sz w:val="26"/>
          <w:szCs w:val="26"/>
          <w:lang w:eastAsia="en-US"/>
        </w:rPr>
        <w:t>Programa de Trabajo de Doha (OMC)</w:t>
      </w:r>
    </w:p>
    <w:p w14:paraId="76262DBF"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 xml:space="preserve">El 18 de marzo de 2015, el Director General de la Organización Mundial del Comercio (OMC) comunicó que siguen avanzando las conversaciones sobre el programa de trabajo de Doha. A continuación se presenta la </w:t>
      </w:r>
      <w:proofErr w:type="spellStart"/>
      <w:r w:rsidRPr="00FE369E">
        <w:rPr>
          <w:rFonts w:eastAsia="Calibri"/>
          <w:sz w:val="26"/>
          <w:szCs w:val="26"/>
          <w:lang w:eastAsia="en-US"/>
        </w:rPr>
        <w:t>informaicón</w:t>
      </w:r>
      <w:proofErr w:type="spellEnd"/>
      <w:r w:rsidRPr="00FE369E">
        <w:rPr>
          <w:rFonts w:eastAsia="Calibri"/>
          <w:sz w:val="26"/>
          <w:szCs w:val="26"/>
          <w:lang w:eastAsia="en-US"/>
        </w:rPr>
        <w:t>.</w:t>
      </w:r>
    </w:p>
    <w:p w14:paraId="31B60135"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El Director General de la OMC convocó (el 18 de marzo) a una reunión de todos los miembros para dotarles de información sobre las negociaciones encaminadas a acordar un programa de trabajo sobre las cuestiones restantes del Programa de Doha para el Desarrollo y examinar los progresos logrados en dichas negociaciones.</w:t>
      </w:r>
    </w:p>
    <w:p w14:paraId="2E591BCE" w14:textId="5592754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lastRenderedPageBreak/>
        <w:t>Después de escuchar los informes de los Presidentes de los grupos de negociación sobre agricultura, acceso a los mercados para los productos no agrícolas y los servicios, el Director General informó a los miembros lo siguiente:</w:t>
      </w:r>
    </w:p>
    <w:p w14:paraId="2B8C879A"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“Seguimos haciendo progresos constantes en la comprensión de las cuestiones y de las aspiraciones y limitaciones de cada uno, algo fundamental si queremos hacer avanzar estas negociaciones. Es particularmente alentador ver que se están presentando ideas nuevas en algunas esferas en forma de diversos documentos y propuestas. Naturalmente, esto no resta importancia a los textos que ya tenemos sobre la mesa, pero proporciona enfoques nuevos y creativos que se pueden explorar más a fondo.”</w:t>
      </w:r>
    </w:p>
    <w:p w14:paraId="493AE9A6"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“Hay una clara sensación de que los miembros empiezan a estar dispuestos a encontrar soluciones. El debate está mucho más centrado que nunca. Pero el hecho de que estemos haciendo progresos no significa que ya hayamos logrado la convergencia. Quedan muchas dificultades por superar antes de poder llegar a soluciones, pero al menos ahora estamos tratando de hallarlas.”</w:t>
      </w:r>
    </w:p>
    <w:p w14:paraId="742262D0" w14:textId="77777777" w:rsid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“A medida que avanzamos, también tenemos que asegurarnos de estar en condiciones de progresar en las cuestiones relativas al desarrollo, como las que revisten especial interés para los países menos adelantados, incluida la cuestión del algodón.”</w:t>
      </w:r>
    </w:p>
    <w:p w14:paraId="6635B9C6"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En las próximas semanas proseguirán los debates en los distintos grupos de negociación sobre cuestiones de Doha específicas. El Director General complementará este proceso celebrando sus propias consultas con el fin de abordar las cuestiones políticas más difíciles y de ver dónde es posible hacer compensaciones entre las distintas esferas.</w:t>
      </w:r>
    </w:p>
    <w:p w14:paraId="3624D6A5" w14:textId="77777777" w:rsidR="00FE369E" w:rsidRPr="00FE369E" w:rsidRDefault="00FE369E" w:rsidP="00FE369E">
      <w:pPr>
        <w:ind w:right="-159"/>
        <w:jc w:val="both"/>
        <w:rPr>
          <w:rFonts w:eastAsia="Calibri"/>
          <w:b/>
          <w:sz w:val="20"/>
          <w:szCs w:val="20"/>
          <w:lang w:eastAsia="en-US"/>
        </w:rPr>
      </w:pPr>
      <w:r w:rsidRPr="00FE369E">
        <w:rPr>
          <w:rFonts w:eastAsia="Calibri"/>
          <w:b/>
          <w:sz w:val="20"/>
          <w:szCs w:val="20"/>
          <w:lang w:eastAsia="en-US"/>
        </w:rPr>
        <w:t>Fuente de información:</w:t>
      </w:r>
    </w:p>
    <w:p w14:paraId="3E4B3921" w14:textId="77777777" w:rsidR="00FE369E" w:rsidRPr="00BC7BEB" w:rsidRDefault="00D936FE" w:rsidP="00FE369E">
      <w:pPr>
        <w:ind w:right="-159"/>
        <w:jc w:val="both"/>
        <w:rPr>
          <w:rFonts w:eastAsia="Calibri"/>
          <w:color w:val="0000FF"/>
          <w:sz w:val="20"/>
          <w:szCs w:val="20"/>
          <w:lang w:eastAsia="en-US"/>
        </w:rPr>
      </w:pPr>
      <w:hyperlink r:id="rId30" w:history="1">
        <w:r w:rsidR="00FE369E" w:rsidRPr="00BC7BEB">
          <w:rPr>
            <w:rFonts w:eastAsia="Calibri"/>
            <w:color w:val="0000FF"/>
            <w:sz w:val="20"/>
            <w:szCs w:val="20"/>
            <w:u w:val="single"/>
            <w:lang w:eastAsia="en-US"/>
          </w:rPr>
          <w:t>https://www.wto.org/spanish/news_s/news15_s/hod_18mar15_s.htm</w:t>
        </w:r>
      </w:hyperlink>
      <w:r w:rsidR="00FE369E" w:rsidRPr="00BC7BEB">
        <w:rPr>
          <w:rFonts w:eastAsia="Calibri"/>
          <w:color w:val="0000FF"/>
          <w:sz w:val="20"/>
          <w:szCs w:val="20"/>
          <w:lang w:eastAsia="en-US"/>
        </w:rPr>
        <w:t xml:space="preserve"> </w:t>
      </w:r>
    </w:p>
    <w:p w14:paraId="1AA43C14" w14:textId="77777777" w:rsidR="00FE369E" w:rsidRDefault="00FE369E" w:rsidP="0089502E">
      <w:pPr>
        <w:spacing w:after="360" w:line="360" w:lineRule="auto"/>
        <w:ind w:right="-159"/>
        <w:jc w:val="both"/>
        <w:rPr>
          <w:sz w:val="26"/>
          <w:szCs w:val="26"/>
          <w:lang w:val="es-ES"/>
        </w:rPr>
      </w:pPr>
    </w:p>
    <w:p w14:paraId="3CF0E6A7" w14:textId="77777777" w:rsidR="00AE0C82" w:rsidRDefault="00AE0C82" w:rsidP="0089502E">
      <w:pPr>
        <w:spacing w:after="360" w:line="360" w:lineRule="auto"/>
        <w:ind w:right="-159"/>
        <w:jc w:val="both"/>
        <w:rPr>
          <w:sz w:val="26"/>
          <w:szCs w:val="26"/>
          <w:lang w:val="es-ES"/>
        </w:rPr>
      </w:pPr>
    </w:p>
    <w:p w14:paraId="05D93977" w14:textId="77777777" w:rsidR="00FE369E" w:rsidRPr="00FE369E" w:rsidRDefault="00FE369E" w:rsidP="00FE369E">
      <w:pPr>
        <w:ind w:right="-159"/>
        <w:jc w:val="both"/>
        <w:rPr>
          <w:rFonts w:eastAsia="Calibri"/>
          <w:b/>
          <w:sz w:val="26"/>
          <w:szCs w:val="26"/>
          <w:lang w:eastAsia="en-US"/>
        </w:rPr>
      </w:pPr>
      <w:r w:rsidRPr="00FE369E">
        <w:rPr>
          <w:rFonts w:eastAsia="Calibri"/>
          <w:b/>
          <w:sz w:val="26"/>
          <w:szCs w:val="26"/>
          <w:lang w:eastAsia="en-US"/>
        </w:rPr>
        <w:lastRenderedPageBreak/>
        <w:t>El  Fondo  Monetario Internacional analiza</w:t>
      </w:r>
    </w:p>
    <w:p w14:paraId="797E3E74" w14:textId="77777777" w:rsidR="00FE369E" w:rsidRPr="00FE369E" w:rsidRDefault="00FE369E" w:rsidP="00FE369E">
      <w:pPr>
        <w:ind w:right="-159"/>
        <w:jc w:val="both"/>
        <w:rPr>
          <w:rFonts w:eastAsia="Calibri"/>
          <w:b/>
          <w:sz w:val="26"/>
          <w:szCs w:val="26"/>
          <w:lang w:eastAsia="en-US"/>
        </w:rPr>
      </w:pPr>
      <w:proofErr w:type="gramStart"/>
      <w:r w:rsidRPr="00FE369E">
        <w:rPr>
          <w:rFonts w:eastAsia="Calibri"/>
          <w:b/>
          <w:sz w:val="26"/>
          <w:szCs w:val="26"/>
          <w:lang w:eastAsia="en-US"/>
        </w:rPr>
        <w:t>cómo</w:t>
      </w:r>
      <w:proofErr w:type="gramEnd"/>
      <w:r w:rsidRPr="00FE369E">
        <w:rPr>
          <w:rFonts w:eastAsia="Calibri"/>
          <w:b/>
          <w:sz w:val="26"/>
          <w:szCs w:val="26"/>
          <w:lang w:eastAsia="en-US"/>
        </w:rPr>
        <w:t xml:space="preserve"> aprovechar el comercio internacional</w:t>
      </w:r>
    </w:p>
    <w:p w14:paraId="7B2ED921" w14:textId="77777777" w:rsidR="00FE369E" w:rsidRPr="00FE369E" w:rsidRDefault="00FE369E" w:rsidP="00FE369E">
      <w:pPr>
        <w:spacing w:after="360" w:line="360" w:lineRule="auto"/>
        <w:ind w:right="-159"/>
        <w:jc w:val="both"/>
        <w:rPr>
          <w:rFonts w:eastAsia="Calibri"/>
          <w:b/>
          <w:sz w:val="26"/>
          <w:szCs w:val="26"/>
          <w:lang w:eastAsia="en-US"/>
        </w:rPr>
      </w:pPr>
      <w:proofErr w:type="gramStart"/>
      <w:r w:rsidRPr="00FE369E">
        <w:rPr>
          <w:rFonts w:eastAsia="Calibri"/>
          <w:b/>
          <w:sz w:val="26"/>
          <w:szCs w:val="26"/>
          <w:lang w:eastAsia="en-US"/>
        </w:rPr>
        <w:t>para</w:t>
      </w:r>
      <w:proofErr w:type="gramEnd"/>
      <w:r w:rsidRPr="00FE369E">
        <w:rPr>
          <w:rFonts w:eastAsia="Calibri"/>
          <w:b/>
          <w:sz w:val="26"/>
          <w:szCs w:val="26"/>
          <w:lang w:eastAsia="en-US"/>
        </w:rPr>
        <w:t xml:space="preserve">  promover  el  crecimiento  (FMI)</w:t>
      </w:r>
    </w:p>
    <w:p w14:paraId="4F4CC3E5"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El 23 de marzo de 2015, el Fondo Monetario Internacional (FMI) informa en el análisis del comercio internacional que publica cada cinco años, el FMI hace un balance de los cambios ocurridos en este ámbito y describe temas críticos para su futuro plan de trabajo.</w:t>
      </w:r>
    </w:p>
    <w:p w14:paraId="4F03FA3D"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 xml:space="preserve">La renovada expansión del comercio internacional, que ha perdido impulso en los últimos años, podría afectar significativamente al crecimiento de los países individualmente y de la economía mundial en su conjunto, afirma el informe. </w:t>
      </w:r>
    </w:p>
    <w:p w14:paraId="66A3CC07"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 xml:space="preserve">En una charla con el Boletín del FMI, dos de los autores —Martin </w:t>
      </w:r>
      <w:proofErr w:type="spellStart"/>
      <w:r w:rsidRPr="00FE369E">
        <w:rPr>
          <w:rFonts w:eastAsia="Calibri"/>
          <w:sz w:val="26"/>
          <w:szCs w:val="26"/>
          <w:lang w:eastAsia="en-US"/>
        </w:rPr>
        <w:t>Kaufman</w:t>
      </w:r>
      <w:proofErr w:type="spellEnd"/>
      <w:r w:rsidRPr="00FE369E">
        <w:rPr>
          <w:rFonts w:eastAsia="Calibri"/>
          <w:sz w:val="26"/>
          <w:szCs w:val="26"/>
          <w:lang w:eastAsia="en-US"/>
        </w:rPr>
        <w:t xml:space="preserve"> y </w:t>
      </w:r>
      <w:proofErr w:type="spellStart"/>
      <w:r w:rsidRPr="00FE369E">
        <w:rPr>
          <w:rFonts w:eastAsia="Calibri"/>
          <w:sz w:val="26"/>
          <w:szCs w:val="26"/>
          <w:lang w:eastAsia="en-US"/>
        </w:rPr>
        <w:t>Varapat</w:t>
      </w:r>
      <w:proofErr w:type="spellEnd"/>
      <w:r w:rsidRPr="00FE369E">
        <w:rPr>
          <w:rFonts w:eastAsia="Calibri"/>
          <w:sz w:val="26"/>
          <w:szCs w:val="26"/>
          <w:lang w:eastAsia="en-US"/>
        </w:rPr>
        <w:t xml:space="preserve"> </w:t>
      </w:r>
      <w:proofErr w:type="spellStart"/>
      <w:r w:rsidRPr="00FE369E">
        <w:rPr>
          <w:rFonts w:eastAsia="Calibri"/>
          <w:sz w:val="26"/>
          <w:szCs w:val="26"/>
          <w:lang w:eastAsia="en-US"/>
        </w:rPr>
        <w:t>Chensavasdijai</w:t>
      </w:r>
      <w:proofErr w:type="spellEnd"/>
      <w:r w:rsidRPr="00FE369E">
        <w:rPr>
          <w:rFonts w:eastAsia="Calibri"/>
          <w:sz w:val="26"/>
          <w:szCs w:val="26"/>
          <w:lang w:eastAsia="en-US"/>
        </w:rPr>
        <w:t>, del Departamento de Estrategia, Políticas y Evaluación del FMI— hablan del potencial de crecimiento que encierra la reforma del comercio exterior y de su efecto catalizador en otras reformas estructurales.</w:t>
      </w:r>
    </w:p>
    <w:p w14:paraId="34D70887"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Boletín del FMI: ¿Por qué se está desacelerando el comercio mundial?</w:t>
      </w:r>
    </w:p>
    <w:p w14:paraId="386EF0AB" w14:textId="77777777" w:rsidR="00FE369E" w:rsidRPr="00FE369E" w:rsidRDefault="00FE369E" w:rsidP="00FE369E">
      <w:pPr>
        <w:spacing w:after="360" w:line="360" w:lineRule="auto"/>
        <w:ind w:right="-159"/>
        <w:jc w:val="both"/>
        <w:rPr>
          <w:rFonts w:eastAsia="Calibri"/>
          <w:sz w:val="26"/>
          <w:szCs w:val="26"/>
          <w:lang w:eastAsia="en-US"/>
        </w:rPr>
      </w:pPr>
      <w:proofErr w:type="spellStart"/>
      <w:r w:rsidRPr="00FE369E">
        <w:rPr>
          <w:rFonts w:eastAsia="Calibri"/>
          <w:sz w:val="26"/>
          <w:szCs w:val="26"/>
          <w:lang w:eastAsia="en-US"/>
        </w:rPr>
        <w:t>Kaufman</w:t>
      </w:r>
      <w:proofErr w:type="spellEnd"/>
      <w:r w:rsidRPr="00FE369E">
        <w:rPr>
          <w:rFonts w:eastAsia="Calibri"/>
          <w:sz w:val="26"/>
          <w:szCs w:val="26"/>
          <w:lang w:eastAsia="en-US"/>
        </w:rPr>
        <w:t>: Después de la crisis financiera internacional, el comercio internacional se desaceleró porque hubo un enfriamiento sincronizado de la economía mundial. En los años siguientes, se produjo una recuperación drástica del comercio, pero en los últimos tiempos ese crecimiento ha sido mucho más lento que en el pasado. Lo que queríamos averiguar es si se trata de un fenómeno cíclico (pasajero) o algo más estructural (permanente).</w:t>
      </w:r>
    </w:p>
    <w:p w14:paraId="1313B0DB" w14:textId="77777777" w:rsidR="00FE369E" w:rsidRPr="00FE369E" w:rsidRDefault="00FE369E" w:rsidP="00FE369E">
      <w:pPr>
        <w:spacing w:after="360" w:line="360" w:lineRule="auto"/>
        <w:ind w:right="-159"/>
        <w:jc w:val="both"/>
        <w:rPr>
          <w:rFonts w:eastAsia="Calibri"/>
          <w:sz w:val="26"/>
          <w:szCs w:val="26"/>
          <w:lang w:eastAsia="en-US"/>
        </w:rPr>
      </w:pPr>
      <w:proofErr w:type="spellStart"/>
      <w:r w:rsidRPr="00FE369E">
        <w:rPr>
          <w:rFonts w:eastAsia="Calibri"/>
          <w:sz w:val="26"/>
          <w:szCs w:val="26"/>
          <w:lang w:eastAsia="en-US"/>
        </w:rPr>
        <w:t>Chensavasdijai</w:t>
      </w:r>
      <w:proofErr w:type="spellEnd"/>
      <w:r w:rsidRPr="00FE369E">
        <w:rPr>
          <w:rFonts w:eastAsia="Calibri"/>
          <w:sz w:val="26"/>
          <w:szCs w:val="26"/>
          <w:lang w:eastAsia="en-US"/>
        </w:rPr>
        <w:t xml:space="preserve">: Lo que descubrimos es que alrededor de la mitad de la desaceleración del comercio exterior se debe a factores cíclicos. Pero existen otras razones de índole más estructural, relacionadas con la maduración de los procesos que llevaron a la rápida expansión del comercio internacional en las dos últimas décadas; por ejemplo, el </w:t>
      </w:r>
      <w:r w:rsidRPr="00FE369E">
        <w:rPr>
          <w:rFonts w:eastAsia="Calibri"/>
          <w:sz w:val="26"/>
          <w:szCs w:val="26"/>
          <w:lang w:eastAsia="en-US"/>
        </w:rPr>
        <w:lastRenderedPageBreak/>
        <w:t>surgimiento de cadenas de valor internacionales. Hay cada vez más productos finales —como los automotores— que se producen en un país con insumos provenientes de muchos otros, en parte gracias a la eliminación de barreras comerciales y al abaratamiento del transporte y las comunicaciones resultante del avance tecnológico. Cuando aparecieron, estas cadenas de valor internacionales fueron fuentes muy importantes de innovación en el ámbito comercial.</w:t>
      </w:r>
    </w:p>
    <w:p w14:paraId="75748823"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A medida que este modelo de negocio madura en los países participantes en el proceso, ya no contribuye tanto a la expansión del comercio. Lo mismo ocurre con el ingreso de nuevos miembros en la Organización Mundial del Comercio (OMC). Además, los esfuerzos por hacer avanzar la política comercial multilateral han sido arduos y lentos. Todos estos factores han restado impulso a la expansión del comercio.</w:t>
      </w:r>
    </w:p>
    <w:p w14:paraId="1297AAF7"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Boletín del FMI: ¿Por qué es tan importante reactivar el crecimiento del comercio en este entorno de bajo crecimiento mundial?</w:t>
      </w:r>
    </w:p>
    <w:p w14:paraId="5F869022" w14:textId="77777777" w:rsidR="00FE369E" w:rsidRPr="00FE369E" w:rsidRDefault="00FE369E" w:rsidP="00FE369E">
      <w:pPr>
        <w:spacing w:after="360" w:line="360" w:lineRule="auto"/>
        <w:ind w:right="-159"/>
        <w:jc w:val="both"/>
        <w:rPr>
          <w:rFonts w:eastAsia="Calibri"/>
          <w:sz w:val="26"/>
          <w:szCs w:val="26"/>
          <w:lang w:eastAsia="en-US"/>
        </w:rPr>
      </w:pPr>
      <w:proofErr w:type="spellStart"/>
      <w:r w:rsidRPr="00FE369E">
        <w:rPr>
          <w:rFonts w:eastAsia="Calibri"/>
          <w:sz w:val="26"/>
          <w:szCs w:val="26"/>
          <w:lang w:eastAsia="en-US"/>
        </w:rPr>
        <w:t>Kaufman</w:t>
      </w:r>
      <w:proofErr w:type="spellEnd"/>
      <w:r w:rsidRPr="00FE369E">
        <w:rPr>
          <w:rFonts w:eastAsia="Calibri"/>
          <w:sz w:val="26"/>
          <w:szCs w:val="26"/>
          <w:lang w:eastAsia="en-US"/>
        </w:rPr>
        <w:t>: El FMI tiene la atención puesta en las políticas que son necesarias para evitar que a mediano plazo el crecimiento mundial se estanque en una “nueva mediocridad”. El comercio, que complementa las reformas estructurales tradicionales, es uno de los focos; además, puede tener un efecto catalizador en otras reformas estructurales. Por esta razón, creemos que es un componente fundamental de la Agenda Mundial de Políticas del FMI y una de las reformas fundamentales que se necesitan para estimular el crecimiento mundial a mediano plazo.</w:t>
      </w:r>
    </w:p>
    <w:p w14:paraId="4854505A"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Boletín del FMI: ¿Qué reformas contribuirán a estimular el comercio?</w:t>
      </w:r>
    </w:p>
    <w:p w14:paraId="659B6B07" w14:textId="77777777" w:rsidR="00FE369E" w:rsidRPr="00FE369E" w:rsidRDefault="00FE369E" w:rsidP="00FE369E">
      <w:pPr>
        <w:spacing w:after="360" w:line="360" w:lineRule="auto"/>
        <w:ind w:right="-159"/>
        <w:jc w:val="both"/>
        <w:rPr>
          <w:rFonts w:eastAsia="Calibri"/>
          <w:sz w:val="26"/>
          <w:szCs w:val="26"/>
          <w:lang w:eastAsia="en-US"/>
        </w:rPr>
      </w:pPr>
      <w:proofErr w:type="spellStart"/>
      <w:r w:rsidRPr="00FE369E">
        <w:rPr>
          <w:rFonts w:eastAsia="Calibri"/>
          <w:sz w:val="26"/>
          <w:szCs w:val="26"/>
          <w:lang w:eastAsia="en-US"/>
        </w:rPr>
        <w:t>Kaufman</w:t>
      </w:r>
      <w:proofErr w:type="spellEnd"/>
      <w:r w:rsidRPr="00FE369E">
        <w:rPr>
          <w:rFonts w:eastAsia="Calibri"/>
          <w:sz w:val="26"/>
          <w:szCs w:val="26"/>
          <w:lang w:eastAsia="en-US"/>
        </w:rPr>
        <w:t xml:space="preserve">: Los países de bajo ingreso (y algunos países de mercados emergentes) tienen que centrarse en integrarse al sistema de comercio internacional; es decir, desarrollar infraestructuras, mejorar las aduanas, crear un clima empresarial propicio y fortalecer </w:t>
      </w:r>
      <w:r w:rsidRPr="00FE369E">
        <w:rPr>
          <w:rFonts w:eastAsia="Calibri"/>
          <w:sz w:val="26"/>
          <w:szCs w:val="26"/>
          <w:lang w:eastAsia="en-US"/>
        </w:rPr>
        <w:lastRenderedPageBreak/>
        <w:t xml:space="preserve">los marcos de política y las instituciones económicas para imprimirles predictibilidad y credibilidad. </w:t>
      </w:r>
    </w:p>
    <w:p w14:paraId="1665DFAF" w14:textId="0E3DB4A0"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 xml:space="preserve">Pero una mejor integración con el sistema de comercio mundial también implicaría su liberalización, que consiste en reducir los obstáculos. En el caso de las economías avanzadas, esto significa centrarse cada vez más en la inversión, los servicios y la coherencia regulatoria. </w:t>
      </w:r>
      <w:r w:rsidR="002F148F">
        <w:rPr>
          <w:rFonts w:eastAsia="Calibri"/>
          <w:sz w:val="26"/>
          <w:szCs w:val="26"/>
          <w:lang w:eastAsia="en-US"/>
        </w:rPr>
        <w:t>É</w:t>
      </w:r>
      <w:r w:rsidRPr="00FE369E">
        <w:rPr>
          <w:rFonts w:eastAsia="Calibri"/>
          <w:sz w:val="26"/>
          <w:szCs w:val="26"/>
          <w:lang w:eastAsia="en-US"/>
        </w:rPr>
        <w:t>stas son las nuevas fronteras en el ámbito de la política de comercio internacional.</w:t>
      </w:r>
    </w:p>
    <w:p w14:paraId="5D4304E1"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 xml:space="preserve">Afianzar la coherencia de las regulaciones no es una tarea sencilla porque no concierne a un solo sector. Los alimentos son muy diferentes de la seguridad de los automotores y de los servicios financieros. El proceso es complejo, pero los beneficios de expandir la frontera comercial a la esfera de los servicios y de reducir los costos del comercio   —para cada país a nivel individual y para la economía mundial en su conjunto— podrían ser sustanciales. </w:t>
      </w:r>
    </w:p>
    <w:p w14:paraId="6F1F1070"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Boletín del FMI: La expansión de las cadenas de valor internacionales contribuyó a estimular el crecimiento del comercio internacional en los últimos años. En su opinión, ¿cómo irán evolucionando estas cadenas de oferta?</w:t>
      </w:r>
    </w:p>
    <w:p w14:paraId="15C69DB0" w14:textId="77777777" w:rsidR="00FE369E" w:rsidRPr="00FE369E" w:rsidRDefault="00FE369E" w:rsidP="00FE369E">
      <w:pPr>
        <w:spacing w:after="360" w:line="360" w:lineRule="auto"/>
        <w:ind w:right="-159"/>
        <w:jc w:val="both"/>
        <w:rPr>
          <w:rFonts w:eastAsia="Calibri"/>
          <w:sz w:val="26"/>
          <w:szCs w:val="26"/>
          <w:lang w:eastAsia="en-US"/>
        </w:rPr>
      </w:pPr>
      <w:proofErr w:type="spellStart"/>
      <w:r w:rsidRPr="00FE369E">
        <w:rPr>
          <w:rFonts w:eastAsia="Calibri"/>
          <w:sz w:val="26"/>
          <w:szCs w:val="26"/>
          <w:lang w:eastAsia="en-US"/>
        </w:rPr>
        <w:t>Kaufman</w:t>
      </w:r>
      <w:proofErr w:type="spellEnd"/>
      <w:r w:rsidRPr="00FE369E">
        <w:rPr>
          <w:rFonts w:eastAsia="Calibri"/>
          <w:sz w:val="26"/>
          <w:szCs w:val="26"/>
          <w:lang w:eastAsia="en-US"/>
        </w:rPr>
        <w:t xml:space="preserve">: Las cadenas de valor internacionales que aparecieron en los últimos años crecieron de manera orgánica. Las primeras surgieron en los países con una inclinación natural a comerciar entre sí; por ejemplo, la cadena mundial de suministro de América del Norte, o las de Europa o Asia. </w:t>
      </w:r>
    </w:p>
    <w:p w14:paraId="7F9C2C4B"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 xml:space="preserve">Para que otros países puedan sumarse a las cadenas de valor internacionales, necesitarán un cambio de mentalidad sobre el papel del comercio en las estrategias de crecimiento y desarrollo. No se trata de pensar en exportar bienes, sino en exportar tareas o partes de un bien final que pueden aportar una eficiencia significativa local y a nivel mundial. </w:t>
      </w:r>
    </w:p>
    <w:p w14:paraId="255C44C4"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lastRenderedPageBreak/>
        <w:t xml:space="preserve">Boletín del FMI: Las medidas no arancelarias se plantean como nueva forma de proteccionismo. ¿En qué consisten y por qué </w:t>
      </w:r>
      <w:proofErr w:type="gramStart"/>
      <w:r w:rsidRPr="00FE369E">
        <w:rPr>
          <w:rFonts w:eastAsia="Calibri"/>
          <w:sz w:val="26"/>
          <w:szCs w:val="26"/>
          <w:lang w:eastAsia="en-US"/>
        </w:rPr>
        <w:t>son</w:t>
      </w:r>
      <w:proofErr w:type="gramEnd"/>
      <w:r w:rsidRPr="00FE369E">
        <w:rPr>
          <w:rFonts w:eastAsia="Calibri"/>
          <w:sz w:val="26"/>
          <w:szCs w:val="26"/>
          <w:lang w:eastAsia="en-US"/>
        </w:rPr>
        <w:t xml:space="preserve"> un tema de reforma importante? </w:t>
      </w:r>
    </w:p>
    <w:p w14:paraId="5FC6CF12" w14:textId="77777777" w:rsidR="00FE369E" w:rsidRPr="00FE369E" w:rsidRDefault="00FE369E" w:rsidP="00FE369E">
      <w:pPr>
        <w:spacing w:after="360" w:line="360" w:lineRule="auto"/>
        <w:ind w:right="-159"/>
        <w:jc w:val="both"/>
        <w:rPr>
          <w:rFonts w:eastAsia="Calibri"/>
          <w:sz w:val="26"/>
          <w:szCs w:val="26"/>
          <w:lang w:eastAsia="en-US"/>
        </w:rPr>
      </w:pPr>
      <w:proofErr w:type="spellStart"/>
      <w:r w:rsidRPr="00FE369E">
        <w:rPr>
          <w:rFonts w:eastAsia="Calibri"/>
          <w:sz w:val="26"/>
          <w:szCs w:val="26"/>
          <w:lang w:eastAsia="en-US"/>
        </w:rPr>
        <w:t>Chensavasdijai</w:t>
      </w:r>
      <w:proofErr w:type="spellEnd"/>
      <w:r w:rsidRPr="00FE369E">
        <w:rPr>
          <w:rFonts w:eastAsia="Calibri"/>
          <w:sz w:val="26"/>
          <w:szCs w:val="26"/>
          <w:lang w:eastAsia="en-US"/>
        </w:rPr>
        <w:t>: Las barreras no arancelarias juegan un papel cada vez más importante. Por ejemplo, los países tienen diferentes requisitos para comprobar la seguridad de los automóviles o de los medicamentos. Aquí entran en juego a menudo preferencias internas; por ejemplo, en materia de higiene, calidad de los alimentos o seguridad. Eso es lo que denominamos barreras “no arancelarias” al comercio internacional, y parte del problema radica en la falta de datos porque estas barreras varían según el país y no están registradas de manera sistemática. Creemos que existe un riesgo de que algunas tendencias proteccionistas vayan tomando la forma de esas medidas, y carecemos de los mecanismos y las instituciones para impedirlo. No debemos quedarnos cruzados de brazos frente a estas nuevas formas de proteccionismo.</w:t>
      </w:r>
    </w:p>
    <w:p w14:paraId="6902C465"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Boletín del FMI: Las negociaciones sobre comercio mundial se paralizaron en los últimos años, y dejaron un vacío que llenaron otros vehículos, como los acuerdos comerciales preferenciales, los acuerdos comerciales regionales y los acuerdos plurilaterales. Los acuerdos internacionales de comercio, ¿todavía tienen importancia?</w:t>
      </w:r>
    </w:p>
    <w:p w14:paraId="2A35553F" w14:textId="77777777" w:rsidR="00FE369E" w:rsidRPr="00FE369E" w:rsidRDefault="00FE369E" w:rsidP="00FE369E">
      <w:pPr>
        <w:spacing w:after="360" w:line="360" w:lineRule="auto"/>
        <w:ind w:right="-159"/>
        <w:jc w:val="both"/>
        <w:rPr>
          <w:rFonts w:eastAsia="Calibri"/>
          <w:sz w:val="26"/>
          <w:szCs w:val="26"/>
          <w:lang w:eastAsia="en-US"/>
        </w:rPr>
      </w:pPr>
      <w:proofErr w:type="spellStart"/>
      <w:r w:rsidRPr="00FE369E">
        <w:rPr>
          <w:rFonts w:eastAsia="Calibri"/>
          <w:sz w:val="26"/>
          <w:szCs w:val="26"/>
          <w:lang w:eastAsia="en-US"/>
        </w:rPr>
        <w:t>Kaufman</w:t>
      </w:r>
      <w:proofErr w:type="spellEnd"/>
      <w:r w:rsidRPr="00FE369E">
        <w:rPr>
          <w:rFonts w:eastAsia="Calibri"/>
          <w:sz w:val="26"/>
          <w:szCs w:val="26"/>
          <w:lang w:eastAsia="en-US"/>
        </w:rPr>
        <w:t xml:space="preserve">: Sí; el hecho de que el Acuerdo de Bali se haya concretado en diciembre de 2013 es algo positivo. Primero, porque es muestra de un renovado compromiso de la comunidad internacional con los esfuerzos multilaterales y la OMC; y, segundo, porque reanimó la facilitación del comercio, que ayuda a las economías en desarrollo a integrarse al sistema de comercio mundial. </w:t>
      </w:r>
    </w:p>
    <w:p w14:paraId="5B1423B5"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 xml:space="preserve">Es verdad que en los últimos tiempos los acuerdos preferenciales han sido un canal muy activo. Estas iniciativas ofrecen una oportunidad para promover la política sobre comercio internacional, que se estaba quedando estancada, y les permite a los países moverse a distintas velocidades. Estos acuerdos están bien siempre que se limite la fragmentación del sistema, que funcionen de manera abierta y transparente, y que </w:t>
      </w:r>
      <w:r w:rsidRPr="00FE369E">
        <w:rPr>
          <w:rFonts w:eastAsia="Calibri"/>
          <w:sz w:val="26"/>
          <w:szCs w:val="26"/>
          <w:lang w:eastAsia="en-US"/>
        </w:rPr>
        <w:lastRenderedPageBreak/>
        <w:t xml:space="preserve">terminen adquiriendo dimensiones multilaterales. Pero la mejor garantía de inclusión es que haya avance también en el plano multilateral. </w:t>
      </w:r>
    </w:p>
    <w:p w14:paraId="2EAABE15"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Boletín del FMI: ¿Podrían darnos una idea de la supervisión y el análisis del comercio internacional que hará el FMI?</w:t>
      </w:r>
    </w:p>
    <w:p w14:paraId="674AF19C" w14:textId="77777777" w:rsidR="00FE369E" w:rsidRDefault="00FE369E" w:rsidP="00FE369E">
      <w:pPr>
        <w:spacing w:after="360" w:line="360" w:lineRule="auto"/>
        <w:ind w:right="-159"/>
        <w:jc w:val="both"/>
        <w:rPr>
          <w:rFonts w:eastAsia="Calibri"/>
          <w:sz w:val="26"/>
          <w:szCs w:val="26"/>
          <w:lang w:eastAsia="en-US"/>
        </w:rPr>
      </w:pPr>
      <w:proofErr w:type="spellStart"/>
      <w:r w:rsidRPr="00FE369E">
        <w:rPr>
          <w:rFonts w:eastAsia="Calibri"/>
          <w:sz w:val="26"/>
          <w:szCs w:val="26"/>
          <w:lang w:eastAsia="en-US"/>
        </w:rPr>
        <w:t>Kaufman</w:t>
      </w:r>
      <w:proofErr w:type="spellEnd"/>
      <w:r w:rsidRPr="00FE369E">
        <w:rPr>
          <w:rFonts w:eastAsia="Calibri"/>
          <w:sz w:val="26"/>
          <w:szCs w:val="26"/>
          <w:lang w:eastAsia="en-US"/>
        </w:rPr>
        <w:t xml:space="preserve">: Los expertos externos destacaron la gran calidad de la labor analítica del FMI en este campo y su relevancia para las políticas. Pero el análisis también permite ver que hay margen para que la supervisión bilateral que realiza el FMI considere en mayor medida dicha labor. Tenemos que seguir haciendo una excelente labor analítica para comprender la evolución del comercio; tenemos que afinar cómo esta evolución está repercutiendo en los países; y, por ende, tendremos que actualizar las pautas que le transmitimos al personal técnico sobre las dimensiones del comercio que tienen relevancia macroeconómica y las cuestiones de política comercial. </w:t>
      </w:r>
    </w:p>
    <w:p w14:paraId="4123E08A" w14:textId="77777777" w:rsidR="00FE369E" w:rsidRPr="00FE369E" w:rsidRDefault="00FE369E" w:rsidP="00FE369E">
      <w:pPr>
        <w:spacing w:after="360" w:line="360" w:lineRule="auto"/>
        <w:ind w:right="-159"/>
        <w:jc w:val="both"/>
        <w:rPr>
          <w:rFonts w:eastAsia="Calibri"/>
          <w:sz w:val="26"/>
          <w:szCs w:val="26"/>
          <w:lang w:eastAsia="en-US"/>
        </w:rPr>
      </w:pPr>
      <w:r w:rsidRPr="00FE369E">
        <w:rPr>
          <w:rFonts w:eastAsia="Calibri"/>
          <w:sz w:val="26"/>
          <w:szCs w:val="26"/>
          <w:lang w:eastAsia="en-US"/>
        </w:rPr>
        <w:t>La política sobre comercio internacional ha cobrado nuevo ímpetu a escala mundial, y los países deberían tenerlo en cuenta. En lugar de pensar en reformas estructurales en un mundo donde el panorama comercial no cambia, el FMI y sus países miembros se las tienen que replantear en este contexto nuevo. En otras palabras, si a alguien le importa el crecimiento pero no está pensando en el comercio internacional, se le va a pasar el tren.</w:t>
      </w:r>
    </w:p>
    <w:p w14:paraId="1869D312" w14:textId="77777777" w:rsidR="00FE369E" w:rsidRPr="00FE369E" w:rsidRDefault="00FE369E" w:rsidP="00FE369E">
      <w:pPr>
        <w:ind w:right="-159"/>
        <w:jc w:val="both"/>
        <w:rPr>
          <w:rFonts w:eastAsia="Calibri"/>
          <w:b/>
          <w:sz w:val="20"/>
          <w:szCs w:val="20"/>
          <w:lang w:eastAsia="en-US"/>
        </w:rPr>
      </w:pPr>
      <w:r w:rsidRPr="00FE369E">
        <w:rPr>
          <w:rFonts w:eastAsia="Calibri"/>
          <w:b/>
          <w:sz w:val="20"/>
          <w:szCs w:val="20"/>
          <w:lang w:eastAsia="en-US"/>
        </w:rPr>
        <w:t>Fuente de información:</w:t>
      </w:r>
    </w:p>
    <w:p w14:paraId="2ED31136" w14:textId="77777777" w:rsidR="00FE369E" w:rsidRPr="00BC7BEB" w:rsidRDefault="00D936FE" w:rsidP="00FE369E">
      <w:pPr>
        <w:ind w:right="-159"/>
        <w:jc w:val="both"/>
        <w:rPr>
          <w:rFonts w:eastAsia="Calibri"/>
          <w:color w:val="0000FF"/>
          <w:sz w:val="20"/>
          <w:szCs w:val="20"/>
          <w:lang w:eastAsia="en-US"/>
        </w:rPr>
      </w:pPr>
      <w:hyperlink r:id="rId31" w:history="1">
        <w:r w:rsidR="00FE369E" w:rsidRPr="00BC7BEB">
          <w:rPr>
            <w:rFonts w:eastAsia="Calibri"/>
            <w:color w:val="0000FF"/>
            <w:sz w:val="20"/>
            <w:szCs w:val="20"/>
            <w:u w:val="single"/>
            <w:lang w:eastAsia="en-US"/>
          </w:rPr>
          <w:t>http://www.imf.org/external/Spanish/pubs/ft/survey/so/2015/POL032315AS.htm</w:t>
        </w:r>
      </w:hyperlink>
      <w:r w:rsidR="00FE369E" w:rsidRPr="00BC7BEB">
        <w:rPr>
          <w:rFonts w:eastAsia="Calibri"/>
          <w:color w:val="0000FF"/>
          <w:sz w:val="20"/>
          <w:szCs w:val="20"/>
          <w:lang w:eastAsia="en-US"/>
        </w:rPr>
        <w:t xml:space="preserve"> </w:t>
      </w:r>
    </w:p>
    <w:p w14:paraId="7507833C" w14:textId="7E241798" w:rsidR="007B288B" w:rsidRDefault="007B288B" w:rsidP="00FF4306">
      <w:pPr>
        <w:spacing w:after="360" w:line="360" w:lineRule="auto"/>
        <w:ind w:right="-159"/>
        <w:jc w:val="both"/>
        <w:rPr>
          <w:sz w:val="26"/>
          <w:szCs w:val="26"/>
          <w:lang w:val="es-ES"/>
        </w:rPr>
      </w:pPr>
    </w:p>
    <w:p w14:paraId="678A5DB7" w14:textId="77777777" w:rsidR="004D07F1" w:rsidRDefault="004D07F1" w:rsidP="00FF4306">
      <w:pPr>
        <w:spacing w:after="360" w:line="360" w:lineRule="auto"/>
        <w:ind w:right="-159"/>
        <w:jc w:val="both"/>
        <w:rPr>
          <w:sz w:val="26"/>
          <w:szCs w:val="26"/>
          <w:lang w:val="es-ES"/>
        </w:rPr>
      </w:pPr>
    </w:p>
    <w:p w14:paraId="423A2D5E" w14:textId="77777777" w:rsidR="004D07F1" w:rsidRDefault="004D07F1" w:rsidP="00FF4306">
      <w:pPr>
        <w:spacing w:after="360" w:line="360" w:lineRule="auto"/>
        <w:ind w:right="-159"/>
        <w:jc w:val="both"/>
        <w:rPr>
          <w:sz w:val="26"/>
          <w:szCs w:val="26"/>
          <w:lang w:val="es-ES"/>
        </w:rPr>
      </w:pPr>
    </w:p>
    <w:p w14:paraId="4CEB3A9A" w14:textId="77777777" w:rsidR="004D07F1" w:rsidRDefault="004D07F1" w:rsidP="00FF4306">
      <w:pPr>
        <w:spacing w:after="360" w:line="360" w:lineRule="auto"/>
        <w:ind w:right="-159"/>
        <w:jc w:val="both"/>
        <w:rPr>
          <w:sz w:val="26"/>
          <w:szCs w:val="26"/>
          <w:lang w:val="es-ES"/>
        </w:rPr>
      </w:pPr>
    </w:p>
    <w:p w14:paraId="51D88A94" w14:textId="77777777" w:rsidR="00EF4A2D" w:rsidRPr="00EF4A2D" w:rsidRDefault="00EF4A2D" w:rsidP="00EF4A2D">
      <w:pPr>
        <w:ind w:right="-159"/>
        <w:jc w:val="both"/>
        <w:rPr>
          <w:rFonts w:eastAsia="Calibri"/>
          <w:b/>
          <w:sz w:val="26"/>
          <w:szCs w:val="26"/>
          <w:lang w:eastAsia="en-US"/>
        </w:rPr>
      </w:pPr>
      <w:r w:rsidRPr="00EF4A2D">
        <w:rPr>
          <w:rFonts w:eastAsia="Calibri"/>
          <w:b/>
          <w:sz w:val="26"/>
          <w:szCs w:val="26"/>
          <w:lang w:eastAsia="en-US"/>
        </w:rPr>
        <w:lastRenderedPageBreak/>
        <w:t>Proseguirá la modesta recuperación</w:t>
      </w:r>
    </w:p>
    <w:p w14:paraId="7B49361D" w14:textId="77777777" w:rsidR="00EF4A2D" w:rsidRPr="00EF4A2D" w:rsidRDefault="00EF4A2D" w:rsidP="00EF4A2D">
      <w:pPr>
        <w:spacing w:after="360" w:line="360" w:lineRule="auto"/>
        <w:ind w:right="-159"/>
        <w:jc w:val="both"/>
        <w:rPr>
          <w:rFonts w:eastAsia="Calibri"/>
          <w:b/>
          <w:sz w:val="26"/>
          <w:szCs w:val="26"/>
          <w:lang w:eastAsia="en-US"/>
        </w:rPr>
      </w:pPr>
      <w:proofErr w:type="gramStart"/>
      <w:r w:rsidRPr="00EF4A2D">
        <w:rPr>
          <w:rFonts w:eastAsia="Calibri"/>
          <w:b/>
          <w:sz w:val="26"/>
          <w:szCs w:val="26"/>
          <w:lang w:eastAsia="en-US"/>
        </w:rPr>
        <w:t>del</w:t>
      </w:r>
      <w:proofErr w:type="gramEnd"/>
      <w:r w:rsidRPr="00EF4A2D">
        <w:rPr>
          <w:rFonts w:eastAsia="Calibri"/>
          <w:b/>
          <w:sz w:val="26"/>
          <w:szCs w:val="26"/>
          <w:lang w:eastAsia="en-US"/>
        </w:rPr>
        <w:t xml:space="preserve"> comercio en 2015 y 2016 (OMC)</w:t>
      </w:r>
    </w:p>
    <w:p w14:paraId="42ADFB62"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El 14 de abril de 2015, la Organización Mundial del Comercio (OMC) informó que “Proseguirá la modesta recuperación del comercio en 2015 y 2016 después de tres años de débil expansión”. A continuación se presenta el contenido de la nota.</w:t>
      </w:r>
    </w:p>
    <w:p w14:paraId="2791BA64"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El crecimiento del volumen del comercio mundial de mercancías se acelerará sólo ligeramente durante los próximos dos años, pasando de 2.8% en 2014 a 3.3% en 2015 y, finalmente, hasta 4.0% en 2016, anunciaron los economistas de la OMC. El Director General de la OMC dijo que mediante la retirada de las medidas proteccionistas, la mejora del acceso a los mercados, evitando las políticas que distorsionan la competencia y desplegando esfuerzos para acordar reformas de las normas sobre el comercio mundial, los gobiernos pueden impulsar el comercio y aprovechar las oportunidades que este ofrece para todos.</w:t>
      </w:r>
    </w:p>
    <w:p w14:paraId="1CA8555D"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El volumen del comercio mundial de mercancías crecerá solo ligeramente en los próximos dos años, en 2.8% en 2014, 3.3% en 2015, y finalmente 4.0% en 2016, anunció la OMC.</w:t>
      </w:r>
    </w:p>
    <w:p w14:paraId="00DF8BC2"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Por lo tanto, la expansión del comercio permanecerá muy por debajo del promedio anual de 5.1% registrado desde 1990.</w:t>
      </w:r>
    </w:p>
    <w:p w14:paraId="1B014315" w14:textId="77777777" w:rsid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Con el moderado incremento de 2014, el comercio presenta un crecimiento inferior a 3% por tercer año consecutivo. Entre 2012 y 2014, el comercio creció solo 2.4% por término medio, el ritmo más lento registrado en un trienio en el que hubo expansión del comercio (es decir, excluyendo años como 1975 y 2009, en que el comercio mundial de hecho disminuyó).</w:t>
      </w:r>
    </w:p>
    <w:p w14:paraId="7733FC69" w14:textId="77777777" w:rsidR="004D07F1" w:rsidRPr="00EF4A2D" w:rsidRDefault="004D07F1" w:rsidP="00EF4A2D">
      <w:pPr>
        <w:spacing w:after="360" w:line="360" w:lineRule="auto"/>
        <w:ind w:right="-159"/>
        <w:jc w:val="both"/>
        <w:rPr>
          <w:rFonts w:eastAsia="Calibri"/>
          <w:sz w:val="26"/>
          <w:szCs w:val="26"/>
          <w:lang w:eastAsia="en-US"/>
        </w:rPr>
      </w:pPr>
    </w:p>
    <w:p w14:paraId="1A77398D" w14:textId="12BBC7D0"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lastRenderedPageBreak/>
        <w:t>Director General de la OMC:</w:t>
      </w:r>
    </w:p>
    <w:p w14:paraId="6AE788AF"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“En los últimos años el crecimiento del comercio ha sido decepcionante, debido en gran medida a la prolongada atonía del crecimiento del PIB después de la crisis financiera. Según nuestras previsiones, va a continuar la lenta recuperación del comercio, pero esta tendencia podría verse fácilmente debilitada, habida cuenta del crecimiento económico todavía frágil y las constantes tensiones geopolíticas.</w:t>
      </w:r>
    </w:p>
    <w:p w14:paraId="4F739B72"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“Pero no estamos desvalidos ante este sombrío panorama. El comercio puede ser un instrumento de política poderoso para potenciar el crecimiento económico y el desarrollo. Eliminando las medidas proteccionistas, mejorando el acceso a los mercados, evitando políticas que distorsionen la competencia y procurando acordar reformas de las normas del comercio mundial, los gobiernos pueden impulsar el comercio y aprovechar las oportunidades que este ofrece a todos.”</w:t>
      </w:r>
    </w:p>
    <w:p w14:paraId="211F3C02"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Al menos a corto plazo, la expansión del comercio ya no sobrepasará ampliamente el crecimiento económico general, como venía sucediendo desde hacía décadas. El aumento del comercio mundial en 2014 (2.8%) superó escasamente el incremento del PIB mundial de ese año y, según las previsiones, el crecimiento del comercio en 2015 y 2016 rebasará solo por un pequeño margen el aumento de la producción.</w:t>
      </w:r>
    </w:p>
    <w:p w14:paraId="464DD92A" w14:textId="77777777" w:rsidR="00EF4A2D" w:rsidRPr="00EF4A2D" w:rsidRDefault="00EF4A2D" w:rsidP="00EF4A2D">
      <w:pPr>
        <w:spacing w:after="360" w:line="360" w:lineRule="auto"/>
        <w:ind w:right="-159"/>
        <w:jc w:val="center"/>
        <w:rPr>
          <w:rFonts w:eastAsia="Calibri"/>
          <w:sz w:val="26"/>
          <w:szCs w:val="26"/>
          <w:lang w:eastAsia="en-US"/>
        </w:rPr>
      </w:pPr>
      <w:r w:rsidRPr="00EF4A2D">
        <w:rPr>
          <w:rFonts w:ascii="Calibri" w:eastAsia="Calibri" w:hAnsi="Calibri"/>
          <w:noProof/>
          <w:sz w:val="22"/>
          <w:szCs w:val="22"/>
          <w:lang w:eastAsia="es-MX"/>
        </w:rPr>
        <w:lastRenderedPageBreak/>
        <w:drawing>
          <wp:inline distT="0" distB="0" distL="0" distR="0" wp14:anchorId="1B81FC31" wp14:editId="64B4915B">
            <wp:extent cx="4558261" cy="3180893"/>
            <wp:effectExtent l="0" t="0" r="0" b="635"/>
            <wp:docPr id="1787" name="Imagen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2457" b="4791"/>
                    <a:stretch/>
                  </pic:blipFill>
                  <pic:spPr bwMode="auto">
                    <a:xfrm>
                      <a:off x="0" y="0"/>
                      <a:ext cx="4559300" cy="3181618"/>
                    </a:xfrm>
                    <a:prstGeom prst="rect">
                      <a:avLst/>
                    </a:prstGeom>
                    <a:noFill/>
                    <a:ln>
                      <a:noFill/>
                    </a:ln>
                    <a:extLst>
                      <a:ext uri="{53640926-AAD7-44D8-BBD7-CCE9431645EC}">
                        <a14:shadowObscured xmlns:a14="http://schemas.microsoft.com/office/drawing/2010/main"/>
                      </a:ext>
                    </a:extLst>
                  </pic:spPr>
                </pic:pic>
              </a:graphicData>
            </a:graphic>
          </wp:inline>
        </w:drawing>
      </w:r>
    </w:p>
    <w:p w14:paraId="33910231"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Varios factores contribuyeron a la desaceleración del comercio y la producción en 2014 y a principios de 2015, entre ellos un crecimiento más lento del PIB en las economías emergentes, la desigual recuperación en los países desarrollados y las crecientes tensiones geopolíticas. Las acusadas fluctuaciones de los tipos de cambio, incluida la apreciación del dólar estadounidense (14%) frente a otras monedas entre julio y marzo, han complicado aún más la situación y las perspectivas del comercio.</w:t>
      </w:r>
    </w:p>
    <w:p w14:paraId="5D0DD4C9"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La caída de los precios mundiales del petróleo en 2014 (de 47% entre el 15 de julio y el 31 de diciembre) y la debilidad de otras clases de productos básicos incidieron negativamente en los ingresos de exportación y redujeron la demanda de importaciones en los países exportadores, pero también impulsaron los ingresos reales y las importaciones de los países importadores. Desde entonces los precios han seguido bajando, lo que parece indicar un exceso de oferta, una demanda insuficiente, o ambas cosas. Aún está por verse si, en general, esta evolución tendrá consecuencias positivas o negativas para el comercio mundial en 2015.</w:t>
      </w:r>
    </w:p>
    <w:p w14:paraId="76A90BB1"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lastRenderedPageBreak/>
        <w:t>La estimación preliminar de 2.8% de crecimiento del comercio mundial en 2014 representa el promedio de las exportaciones y las importaciones de mercancías en términos de volumen, es decir, que se ha ajustado para tener en cuenta las diferencias en las tasas de inflación y los tipos de cambio de los distintos países. Esta cifra se acerca a la previsión más reciente, de 3.1%, realizada el pasado septiembre, pero es inferior al aumento de 4.7% previsto en estas fechas el año pasado. Diversos factores contribuyeron a esta sobrestimación inicial, la mayoría de los cuales no habrían podido preverse.</w:t>
      </w:r>
    </w:p>
    <w:p w14:paraId="4E327BFD"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Los bruscos descensos de los precios de los productos básicos registrados a partir de julio no se habían previsto, por lo que no constaban en las estimaciones del año pasado. La caída de los precios del petróleo se debió al aumento de la producción en América del Norte, pero también, en parte, a la disminución de la demanda en los mercados emergentes, que afectó igualmente a los precios de otros productos básicos.</w:t>
      </w:r>
    </w:p>
    <w:p w14:paraId="01CB67F7"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Hace un año los analistas económicos pronosticaron para 2014 un crecimiento del PIB por encima de la tendencia en Estados Unidos de Norteamérica y un crecimiento cercano a la tendencia en la zona del euro. Ambas predicciones auguraban un crecimiento más sólido del comercio, pero ninguna de las dos se hizo realidad, ya que, debido a una combinación de resultados trimestrales fuertes y débiles en Estados Unidos de Norteamérica, al final del año el crecimiento fue medio, mientras que la actividad en la zona del euro fue floja a lo largo de todo el período.</w:t>
      </w:r>
    </w:p>
    <w:p w14:paraId="7360140B"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 xml:space="preserve">También las tensiones geopolíticas y los fenómenos naturales lastraron el crecimiento del comercio el año pasado. La crisis de Ucrania persistió a lo largo de todo el año, con la consiguiente tensión en las relaciones comerciales entre Rusia por un lado y los Estados Unidos de Norteamérica y la Unión Europea por otro. Por otra parte, los conflictos en Oriente Medio agravaron la inestabilidad en la región, y en África Occidental la situación también empeoró debido al brote de fiebre hemorrágica causado </w:t>
      </w:r>
      <w:r w:rsidRPr="00EF4A2D">
        <w:rPr>
          <w:rFonts w:eastAsia="Calibri"/>
          <w:sz w:val="26"/>
          <w:szCs w:val="26"/>
          <w:lang w:eastAsia="en-US"/>
        </w:rPr>
        <w:lastRenderedPageBreak/>
        <w:t xml:space="preserve">por el </w:t>
      </w:r>
      <w:proofErr w:type="spellStart"/>
      <w:r w:rsidRPr="00EF4A2D">
        <w:rPr>
          <w:rFonts w:eastAsia="Calibri"/>
          <w:sz w:val="26"/>
          <w:szCs w:val="26"/>
          <w:lang w:eastAsia="en-US"/>
        </w:rPr>
        <w:t>Ébola</w:t>
      </w:r>
      <w:proofErr w:type="spellEnd"/>
      <w:r w:rsidRPr="00EF4A2D">
        <w:rPr>
          <w:rFonts w:eastAsia="Calibri"/>
          <w:sz w:val="26"/>
          <w:szCs w:val="26"/>
          <w:lang w:eastAsia="en-US"/>
        </w:rPr>
        <w:t xml:space="preserve">. Por último, en Estados Unidos de Norteamérica la disminución del comercio y de la producción durante el primer trimestre se </w:t>
      </w:r>
      <w:proofErr w:type="gramStart"/>
      <w:r w:rsidRPr="00EF4A2D">
        <w:rPr>
          <w:rFonts w:eastAsia="Calibri"/>
          <w:sz w:val="26"/>
          <w:szCs w:val="26"/>
          <w:lang w:eastAsia="en-US"/>
        </w:rPr>
        <w:t>atribuyeron</w:t>
      </w:r>
      <w:proofErr w:type="gramEnd"/>
      <w:r w:rsidRPr="00EF4A2D">
        <w:rPr>
          <w:rFonts w:eastAsia="Calibri"/>
          <w:sz w:val="26"/>
          <w:szCs w:val="26"/>
          <w:lang w:eastAsia="en-US"/>
        </w:rPr>
        <w:t xml:space="preserve"> a un invierno excepcionalmente riguroso.</w:t>
      </w:r>
    </w:p>
    <w:p w14:paraId="47EDD55F"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Las previsiones de la OMC sobre el comercio son con base en proyecciones del PIB realizadas por otras organizaciones, y estas proyecciones se han exagerado sistemáticamente desde la crisis financiera de 2008-2009, por lo que ha habido un sesgo por exceso en nuestras previsiones sobre el comercio.</w:t>
      </w:r>
    </w:p>
    <w:p w14:paraId="0A1F7329"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 xml:space="preserve">Estudios recientes sobre la actividad y la confianza de las empresas señalan un afianzamiento de la recuperación económica en la Unión Europea, un crecimiento limitado en Estados Unidos de Norteamérica y una actividad moderada en determinadas economías emergentes, en especial Brasil y Rusia. Estos indicadores coinciden con la actual previsión del comercio, pero los economistas de la OMC advirtieron que la existencia de varios factores de riesgo </w:t>
      </w:r>
      <w:proofErr w:type="gramStart"/>
      <w:r w:rsidRPr="00EF4A2D">
        <w:rPr>
          <w:rFonts w:eastAsia="Calibri"/>
          <w:sz w:val="26"/>
          <w:szCs w:val="26"/>
          <w:lang w:eastAsia="en-US"/>
        </w:rPr>
        <w:t>hicieron</w:t>
      </w:r>
      <w:proofErr w:type="gramEnd"/>
      <w:r w:rsidRPr="00EF4A2D">
        <w:rPr>
          <w:rFonts w:eastAsia="Calibri"/>
          <w:sz w:val="26"/>
          <w:szCs w:val="26"/>
          <w:lang w:eastAsia="en-US"/>
        </w:rPr>
        <w:t xml:space="preserve"> sus estimaciones más inciertas.</w:t>
      </w:r>
    </w:p>
    <w:p w14:paraId="7391909B"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El principal riesgo es la divergencia entre las políticas monetarias de Estados Unidos de Norteamérica y de la zona del euro, ya que la Reserva Federal contempla la posibilidad de subir los tipos de interés este año, mientras que el Banco Central Europeo acaba de iniciar su propio programa de flexibilización cuantitativa. Otros riesgos incluyen el reavivamiento de la crisis de la deuda en la zona del euro y una desaceleración mayor de la esperada en los mercados emergentes (sobre todo en las regiones exportadoras de recursos, como África, Oriente Medio, la Comunidad de Estados Independientes (CEI) y América del Sur).</w:t>
      </w:r>
    </w:p>
    <w:p w14:paraId="32658AA9"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 xml:space="preserve">Por último, parece que ya no es válida la relación de aproximadamente dos a uno que existió durante muchos años entre el crecimiento del comercio mundial y el crecimiento del PIB mundial, como lo demuestra el hecho de que el comercio y la producción hayan crecido a un ritmo comparable durante los últimos tres años. Debido a esta relación </w:t>
      </w:r>
      <w:r w:rsidRPr="00EF4A2D">
        <w:rPr>
          <w:rFonts w:eastAsia="Calibri"/>
          <w:sz w:val="26"/>
          <w:szCs w:val="26"/>
          <w:lang w:eastAsia="en-US"/>
        </w:rPr>
        <w:lastRenderedPageBreak/>
        <w:t>cambiante, en los últimos años ha sido especialmente difícil hacer previsiones sobre el comercio, y el panorama seguirá siendo igual de turbio en 2015 y 2016.</w:t>
      </w:r>
    </w:p>
    <w:p w14:paraId="7C855513" w14:textId="77777777" w:rsidR="00EF4A2D" w:rsidRPr="00EF4A2D" w:rsidRDefault="00EF4A2D" w:rsidP="00EF4A2D">
      <w:pPr>
        <w:spacing w:after="360" w:line="360" w:lineRule="auto"/>
        <w:ind w:right="-159"/>
        <w:jc w:val="both"/>
        <w:rPr>
          <w:rFonts w:eastAsia="Calibri"/>
          <w:b/>
          <w:sz w:val="26"/>
          <w:szCs w:val="26"/>
          <w:lang w:eastAsia="en-US"/>
        </w:rPr>
      </w:pPr>
      <w:r w:rsidRPr="00EF4A2D">
        <w:rPr>
          <w:rFonts w:eastAsia="Calibri"/>
          <w:b/>
          <w:sz w:val="26"/>
          <w:szCs w:val="26"/>
          <w:lang w:eastAsia="en-US"/>
        </w:rPr>
        <w:t>La evolución del comercio en 2014</w:t>
      </w:r>
    </w:p>
    <w:p w14:paraId="221DB862"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 xml:space="preserve">En los cuadros del apéndice se presentan los datos anuales del comercio de mercancías y servicios comerciales en dólares estadounidenses corrientes. El valor en dólares del comercio mundial de mercancías registró un estancamiento en 2014, mientras que las exportaciones aumentaron tan solo 0.7%, cifrándose en 18.95 billones de dólares. Esta tasa de crecimiento es inferior a la del comercio de mercancías en términos de volumen mencionada </w:t>
      </w:r>
      <w:r w:rsidRPr="00EF4A2D">
        <w:rPr>
          <w:rFonts w:eastAsia="Calibri"/>
          <w:i/>
          <w:iCs/>
          <w:sz w:val="26"/>
          <w:szCs w:val="26"/>
          <w:lang w:eastAsia="en-US"/>
        </w:rPr>
        <w:t>supra</w:t>
      </w:r>
      <w:r w:rsidRPr="00EF4A2D">
        <w:rPr>
          <w:rFonts w:eastAsia="Calibri"/>
          <w:sz w:val="26"/>
          <w:szCs w:val="26"/>
          <w:lang w:eastAsia="en-US"/>
        </w:rPr>
        <w:t xml:space="preserve"> (2.8% para el promedio de exportaciones e importaciones), lo que refleja una disminución de los precios de las exportaciones y las importaciones de un año a otro, en especial en el caso de los productos básicos.</w:t>
      </w:r>
    </w:p>
    <w:p w14:paraId="69375274" w14:textId="4DA307CC"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En comparación, el crecimiento del valor en dólares de las exportaciones mundiales de servicios comerciales en 2014 fue mayor, con un incremento de 4%, alcanzando la cifra de 4.85 billones de dólares. Se señala que los valores de los servicios comerciales se compilan utilizando una nueva clasificación de servicios en la balanza de pagos. Por consiguiente, las cifras no pueden compararse directamente con las de años anteriores. Los datos anuales, trimestrales y mensuales detallados sobre el comercio de mercancías y servicios comerciales pueden descargarse en el sitio Web de la OMC</w:t>
      </w:r>
      <w:r w:rsidRPr="00EF4A2D">
        <w:rPr>
          <w:rFonts w:eastAsia="Calibri"/>
          <w:sz w:val="26"/>
          <w:szCs w:val="26"/>
          <w:vertAlign w:val="superscript"/>
          <w:lang w:eastAsia="en-US"/>
        </w:rPr>
        <w:footnoteReference w:id="5"/>
      </w:r>
      <w:r w:rsidR="000A364F">
        <w:rPr>
          <w:rFonts w:eastAsia="Calibri"/>
          <w:sz w:val="26"/>
          <w:szCs w:val="26"/>
          <w:lang w:eastAsia="en-US"/>
        </w:rPr>
        <w:t>.</w:t>
      </w:r>
    </w:p>
    <w:p w14:paraId="0A631797" w14:textId="6541051E"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 xml:space="preserve">Un rasgo llamativo observado al analizar los valores del comercio de mercancías en 2014 es la debilidad de las corrientes comerciales en las regiones exportadoras de recursos naturales. El valor en dólares de las exportaciones de América del Sur, la CEI, África y Oriente Medio disminuyó 6.0, 5.9, 7.6 y 3.9%, respectivamente, ya que la reducción de los precios de los productos básicos redundó en un descenso de los ingresos de exportación. La fuerte caída de las importaciones en América del Sur </w:t>
      </w:r>
      <w:r w:rsidR="00432922">
        <w:rPr>
          <w:rFonts w:eastAsia="Calibri"/>
          <w:sz w:val="26"/>
          <w:szCs w:val="26"/>
          <w:lang w:eastAsia="en-US"/>
        </w:rPr>
        <w:t xml:space="preserve">              </w:t>
      </w:r>
      <w:r w:rsidRPr="00EF4A2D">
        <w:rPr>
          <w:rFonts w:eastAsia="Calibri"/>
          <w:sz w:val="26"/>
          <w:szCs w:val="26"/>
          <w:lang w:eastAsia="en-US"/>
        </w:rPr>
        <w:lastRenderedPageBreak/>
        <w:t>(-4.2%) reflejó una tendencia recesiva en las principales economías de la región, mientras que la disminución aún mayor de las importaciones de la CEI (</w:t>
      </w:r>
      <w:r w:rsidRPr="00EF4A2D">
        <w:rPr>
          <w:rFonts w:eastAsia="Calibri"/>
          <w:sz w:val="26"/>
          <w:szCs w:val="26"/>
          <w:lang w:eastAsia="en-US"/>
        </w:rPr>
        <w:noBreakHyphen/>
        <w:t>11.2%) fue resultado de una combinación de factores, entre ellos la caída de los precios del petróleo y los conflictos en la región.</w:t>
      </w:r>
    </w:p>
    <w:p w14:paraId="168CC177" w14:textId="16ED7E70"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 xml:space="preserve">En el caso de los grandes agregados de países y las regiones donde la exportación de recursos naturales no es predominante, las estadísticas del comercio en términos de volumen pueden ofrecer una perspectiva más clara de la evolución del comercio. La OMC y la </w:t>
      </w:r>
      <w:r w:rsidR="00432922">
        <w:rPr>
          <w:rFonts w:eastAsia="Calibri"/>
          <w:sz w:val="26"/>
          <w:szCs w:val="26"/>
          <w:lang w:eastAsia="en-US"/>
        </w:rPr>
        <w:t>Conferencia de las Naciones Unidas sobre Comercio y Desarrollo (</w:t>
      </w:r>
      <w:r w:rsidRPr="00EF4A2D">
        <w:rPr>
          <w:rFonts w:eastAsia="Calibri"/>
          <w:sz w:val="26"/>
          <w:szCs w:val="26"/>
          <w:lang w:eastAsia="en-US"/>
        </w:rPr>
        <w:t>UNCTAD</w:t>
      </w:r>
      <w:r w:rsidR="00432922">
        <w:rPr>
          <w:rFonts w:eastAsia="Calibri"/>
          <w:sz w:val="26"/>
          <w:szCs w:val="26"/>
          <w:lang w:eastAsia="en-US"/>
        </w:rPr>
        <w:t>)</w:t>
      </w:r>
      <w:r w:rsidRPr="00EF4A2D">
        <w:rPr>
          <w:rFonts w:eastAsia="Calibri"/>
          <w:sz w:val="26"/>
          <w:szCs w:val="26"/>
          <w:lang w:eastAsia="en-US"/>
        </w:rPr>
        <w:t xml:space="preserve"> elaboran conjuntamente una serie de estadísticas de comercio a corto plazo, que incluyen los índices trimestrales del volumen del comercio de mercancías ajustados en función de las variaciones estacionales. En el gráfico siguiente se muestran estos índices por nivel de desarrollo.</w:t>
      </w:r>
    </w:p>
    <w:p w14:paraId="30E6C241" w14:textId="77777777" w:rsidR="00EF4A2D" w:rsidRPr="00EF4A2D" w:rsidRDefault="00EF4A2D" w:rsidP="00EF4A2D">
      <w:pPr>
        <w:spacing w:after="360" w:line="360" w:lineRule="auto"/>
        <w:ind w:right="-159"/>
        <w:jc w:val="center"/>
        <w:rPr>
          <w:rFonts w:eastAsia="Calibri"/>
          <w:sz w:val="26"/>
          <w:szCs w:val="26"/>
          <w:lang w:eastAsia="en-US"/>
        </w:rPr>
      </w:pPr>
      <w:r w:rsidRPr="00EF4A2D">
        <w:rPr>
          <w:rFonts w:ascii="Calibri" w:eastAsia="Calibri" w:hAnsi="Calibri"/>
          <w:noProof/>
          <w:sz w:val="22"/>
          <w:szCs w:val="22"/>
          <w:lang w:eastAsia="es-MX"/>
        </w:rPr>
        <w:drawing>
          <wp:inline distT="0" distB="0" distL="0" distR="0" wp14:anchorId="7E393AAE" wp14:editId="748D1141">
            <wp:extent cx="4559300" cy="3038168"/>
            <wp:effectExtent l="0" t="0" r="0" b="0"/>
            <wp:docPr id="1788" name="Imagen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b="11431"/>
                    <a:stretch/>
                  </pic:blipFill>
                  <pic:spPr bwMode="auto">
                    <a:xfrm>
                      <a:off x="0" y="0"/>
                      <a:ext cx="4559300" cy="3038168"/>
                    </a:xfrm>
                    <a:prstGeom prst="rect">
                      <a:avLst/>
                    </a:prstGeom>
                    <a:noFill/>
                    <a:ln>
                      <a:noFill/>
                    </a:ln>
                    <a:extLst>
                      <a:ext uri="{53640926-AAD7-44D8-BBD7-CCE9431645EC}">
                        <a14:shadowObscured xmlns:a14="http://schemas.microsoft.com/office/drawing/2010/main"/>
                      </a:ext>
                    </a:extLst>
                  </pic:spPr>
                </pic:pic>
              </a:graphicData>
            </a:graphic>
          </wp:inline>
        </w:drawing>
      </w:r>
    </w:p>
    <w:p w14:paraId="1FB71128"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 xml:space="preserve">Las exportaciones mundiales en términos de volumen solo aumentaron 1.9% en el primer semestre de 2014 con respecto al mismo período en 2013, pero en el segundo semestre el crecimiento interanual fue de 3.7%. Las exportaciones de las economías </w:t>
      </w:r>
      <w:r w:rsidRPr="00EF4A2D">
        <w:rPr>
          <w:rFonts w:eastAsia="Calibri"/>
          <w:sz w:val="26"/>
          <w:szCs w:val="26"/>
          <w:lang w:eastAsia="en-US"/>
        </w:rPr>
        <w:lastRenderedPageBreak/>
        <w:t>desarrolladas y en desarrollo/emergentes perdieron impulso en el primer semestre del año (1.8 y 2.1%, respectivamente), pero las expediciones de los países en desarrollo/emergentes aumentaron más deprisa en el segundo semestre (2.5% en los países desarrollados, 5.1% en los países en desarrollo).</w:t>
      </w:r>
    </w:p>
    <w:p w14:paraId="4D19E154"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La escasa demanda de importaciones en la Unión Europea (UE) ha lastrado considerablemente el comercio mundial en los últimos años debido a la gran participación de la UE en las importaciones mundiales (32% en 2014 incluyendo el comercio entre los países miembros de la UE, 15% excluyéndolos). En el gráfico que sigue se muestra la evolución del volumen del comercio de la UE.</w:t>
      </w:r>
    </w:p>
    <w:p w14:paraId="74E63D63" w14:textId="77777777" w:rsidR="00EF4A2D" w:rsidRPr="00EF4A2D" w:rsidRDefault="00EF4A2D" w:rsidP="00EF4A2D">
      <w:pPr>
        <w:spacing w:after="360" w:line="360" w:lineRule="auto"/>
        <w:ind w:right="-159"/>
        <w:jc w:val="center"/>
        <w:rPr>
          <w:rFonts w:eastAsia="Calibri"/>
          <w:sz w:val="26"/>
          <w:szCs w:val="26"/>
          <w:lang w:eastAsia="en-US"/>
        </w:rPr>
      </w:pPr>
      <w:r w:rsidRPr="00EF4A2D">
        <w:rPr>
          <w:rFonts w:ascii="Calibri" w:eastAsia="Calibri" w:hAnsi="Calibri"/>
          <w:noProof/>
          <w:sz w:val="22"/>
          <w:szCs w:val="22"/>
          <w:lang w:eastAsia="es-MX"/>
        </w:rPr>
        <w:drawing>
          <wp:inline distT="0" distB="0" distL="0" distR="0" wp14:anchorId="62DBE81E" wp14:editId="2964AA54">
            <wp:extent cx="4558876" cy="2898837"/>
            <wp:effectExtent l="0" t="0" r="0" b="0"/>
            <wp:docPr id="1789" name="Imagen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1720" b="13765"/>
                    <a:stretch/>
                  </pic:blipFill>
                  <pic:spPr bwMode="auto">
                    <a:xfrm>
                      <a:off x="0" y="0"/>
                      <a:ext cx="4559300" cy="2899107"/>
                    </a:xfrm>
                    <a:prstGeom prst="rect">
                      <a:avLst/>
                    </a:prstGeom>
                    <a:noFill/>
                    <a:ln>
                      <a:noFill/>
                    </a:ln>
                    <a:extLst>
                      <a:ext uri="{53640926-AAD7-44D8-BBD7-CCE9431645EC}">
                        <a14:shadowObscured xmlns:a14="http://schemas.microsoft.com/office/drawing/2010/main"/>
                      </a:ext>
                    </a:extLst>
                  </pic:spPr>
                </pic:pic>
              </a:graphicData>
            </a:graphic>
          </wp:inline>
        </w:drawing>
      </w:r>
    </w:p>
    <w:p w14:paraId="3FCDF20E"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 xml:space="preserve">Las exportaciones extracomunitarias no registraron variaciones en términos de volumen durante gran parte de 2014 debido a la escasa demanda de sus interlocutores comerciales. Paralelamente, las importaciones de la UE experimentaron una recuperación parcial, incrementándose 1.9% las importaciones totales (es decir, las intracomunitarias y las extracomunitarias) con respecto al año anterior. Sin embargo, hacia finales del año las importaciones se estancaron y en el cuarto trimestre se redujeron 0.4%. Tal vez sea necesaria una recuperación económica más sólida en </w:t>
      </w:r>
      <w:r w:rsidRPr="00EF4A2D">
        <w:rPr>
          <w:rFonts w:eastAsia="Calibri"/>
          <w:sz w:val="26"/>
          <w:szCs w:val="26"/>
          <w:lang w:eastAsia="en-US"/>
        </w:rPr>
        <w:lastRenderedPageBreak/>
        <w:t>Europa antes de que puedan esperarse mayores ritmos de crecimiento del comercio mundial.</w:t>
      </w:r>
    </w:p>
    <w:p w14:paraId="5ACBDCEC"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En el gráfico siguiente se muestra la evolución del comercio regional en términos de volumen. En 2014, Asia y América del Norte fueron las regiones que experimentaron un crecimiento de exportaciones más rápido. Las expediciones de América del Sur y otras regiones (es decir, África, Oriente Medio y la CEI) en general no registraron variaciones, como era de prever habida cuenta de que el volumen de los intercambios de petróleo y otros recursos naturales normalmente no se ve afectado por las variaciones de precios. Las exportaciones europeas aumentaron más lentamente, condicionadas por la débil demanda de importaciones en la región.</w:t>
      </w:r>
    </w:p>
    <w:p w14:paraId="59E741C5" w14:textId="77777777" w:rsidR="00EF4A2D" w:rsidRPr="00EF4A2D" w:rsidRDefault="00EF4A2D" w:rsidP="00EF4A2D">
      <w:pPr>
        <w:spacing w:after="360" w:line="360" w:lineRule="auto"/>
        <w:ind w:right="-159"/>
        <w:jc w:val="center"/>
        <w:rPr>
          <w:rFonts w:eastAsia="Calibri"/>
          <w:sz w:val="26"/>
          <w:szCs w:val="26"/>
          <w:lang w:eastAsia="en-US"/>
        </w:rPr>
      </w:pPr>
      <w:r w:rsidRPr="00EF4A2D">
        <w:rPr>
          <w:rFonts w:ascii="Calibri" w:eastAsia="Calibri" w:hAnsi="Calibri"/>
          <w:noProof/>
          <w:sz w:val="22"/>
          <w:szCs w:val="22"/>
          <w:lang w:eastAsia="es-MX"/>
        </w:rPr>
        <w:drawing>
          <wp:inline distT="0" distB="0" distL="0" distR="0" wp14:anchorId="15E733C8" wp14:editId="61BA3C46">
            <wp:extent cx="4559300" cy="3021312"/>
            <wp:effectExtent l="0" t="0" r="0" b="8255"/>
            <wp:docPr id="1790" name="Imagen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b="11922"/>
                    <a:stretch/>
                  </pic:blipFill>
                  <pic:spPr bwMode="auto">
                    <a:xfrm>
                      <a:off x="0" y="0"/>
                      <a:ext cx="4559300" cy="3021312"/>
                    </a:xfrm>
                    <a:prstGeom prst="rect">
                      <a:avLst/>
                    </a:prstGeom>
                    <a:noFill/>
                    <a:ln>
                      <a:noFill/>
                    </a:ln>
                    <a:extLst>
                      <a:ext uri="{53640926-AAD7-44D8-BBD7-CCE9431645EC}">
                        <a14:shadowObscured xmlns:a14="http://schemas.microsoft.com/office/drawing/2010/main"/>
                      </a:ext>
                    </a:extLst>
                  </pic:spPr>
                </pic:pic>
              </a:graphicData>
            </a:graphic>
          </wp:inline>
        </w:drawing>
      </w:r>
    </w:p>
    <w:p w14:paraId="17D2FBF5"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 xml:space="preserve">Las importaciones de América del Norte aumentaron en términos de volumen a un ritmo constante en 2014, como ocurrió con las importaciones asiáticas tras una disminución en el segundo trimestre. Las importaciones de otras regiones (es decir, África, Oriente Medio y la CEI) también crecieron en el segundo semestre del año pese a la caída de los precios de los productos básicos, pero las importaciones de América </w:t>
      </w:r>
      <w:r w:rsidRPr="00EF4A2D">
        <w:rPr>
          <w:rFonts w:eastAsia="Calibri"/>
          <w:sz w:val="26"/>
          <w:szCs w:val="26"/>
          <w:lang w:eastAsia="en-US"/>
        </w:rPr>
        <w:lastRenderedPageBreak/>
        <w:t>del Sur continuaron su tendencia a la baja después de alcanzar su nivel máximo en el segundo trimestre de 2013. Por último, las importaciones europeas permanecieron en un nivel bajo, y no volvieron a alcanzar su nivel del tercer trimestre de 2011 hasta fecha reciente.</w:t>
      </w:r>
    </w:p>
    <w:p w14:paraId="1418B43B"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Las estadísticas mensuales del comercio de mercancías en dólares corrientes están disponibles antes y para un mayor número de países que las estadísticas trimestrales en términos de volumen. Pueden verse en el gráfico “Exportaciones e importaciones de mercancías de determinadas economías, enero de 2009 a enero de 2014” del apéndice hasta los meses de enero o febrero, según la disponibilidad de la información.</w:t>
      </w:r>
    </w:p>
    <w:p w14:paraId="12C70730"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Parece que en los primeros meses de 2015 las corrientes comerciales en dólares han disminuido drásticamente en muchos países. En enero, por ejemplo, las exportaciones extracomunitarias en dólares se redujeron en torno a 17% interanual, situándose en su nivel más bajo desde abril de 2010, mientras que las importaciones bajaron en una proporción similar. Sin embargo, el alcance de este descenso tal vez se vea exagerado por la apreciación del dólar, que hace que se infravalore el comercio expresado en otras monedas, y por la caída de los precios del petróleo, que reduce el valor en dólares de una cantidad determinada de importaciones de petróleo. En comparación, si los valores del comercio se expresan en euros, las exportaciones extracomunitarias solo se redujeron 2.5% en enero. Puede que los tipos de cambio y los precios del petróleo no expliquen en su totalidad este reciente retroceso, y en ese caso, es posible que el comercio haya efectivamente empezado a desacelerar en el primer trimestre de 2015. Sin embargo, sí ponen de relieve la necesidad de interpretar los valores del comercio expresados en dólares con mucho cuidado en vista de las recientes variaciones de precios.</w:t>
      </w:r>
    </w:p>
    <w:p w14:paraId="786B8869" w14:textId="77777777" w:rsid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 xml:space="preserve">En el gráfico siguiente se muestra el crecimiento interanual del comercio mundial estimado en dólares para determinadas categorías de bienes manufacturados. En el </w:t>
      </w:r>
      <w:r w:rsidRPr="00EF4A2D">
        <w:rPr>
          <w:rFonts w:eastAsia="Calibri"/>
          <w:sz w:val="26"/>
          <w:szCs w:val="26"/>
          <w:lang w:eastAsia="en-US"/>
        </w:rPr>
        <w:lastRenderedPageBreak/>
        <w:t>cuarto trimestre de 2014, el comercio del hierro y el acero había aumentado 2.4% en comparación con el mismo trimestre de 2013, mientras que las expediciones de equipo de oficina y telecomunicaciones se incrementaron 3%. Sin embargo, el crecimiento interanual en dólares del comercio de otros bienes manufacturados entró en cifras negativas en el cuarto trimestre, con descensos de entre 1 y 3%. Desde la crisis financiera de 2008-2009, se ha tendido a tomar el comercio de productos de la industria automotriz como un indicador prospectivo del comercio mundial, mientras que el comercio del hierro y el acero ha sido un indicador retrospectivo. Al reducirse la demanda de automóviles, es posible que los exportadores de acero, como China, tengan que hacer frente a una disminución de la demanda exterior de sus productos. En cuanto a valores, este gráfico, al igual que los gráficos del apéndice, debe interpretarse con cautela porque los datos son igual de sensibles a las fluctuaciones de los precios y los tipos de cambio.</w:t>
      </w:r>
    </w:p>
    <w:p w14:paraId="4D03DC14" w14:textId="7C492406" w:rsidR="002D683D" w:rsidRPr="00EF4A2D" w:rsidRDefault="002D683D" w:rsidP="002D683D">
      <w:pPr>
        <w:spacing w:after="360" w:line="360" w:lineRule="auto"/>
        <w:ind w:right="-159"/>
        <w:jc w:val="center"/>
        <w:rPr>
          <w:rFonts w:eastAsia="Calibri"/>
          <w:sz w:val="26"/>
          <w:szCs w:val="26"/>
          <w:lang w:eastAsia="en-US"/>
        </w:rPr>
      </w:pPr>
      <w:r w:rsidRPr="008C6C7A">
        <w:rPr>
          <w:noProof/>
          <w:lang w:eastAsia="es-MX"/>
        </w:rPr>
        <w:drawing>
          <wp:inline distT="0" distB="0" distL="0" distR="0" wp14:anchorId="1CF7F55D" wp14:editId="6F8CBBF0">
            <wp:extent cx="4559300" cy="3185652"/>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7131"/>
                    <a:stretch/>
                  </pic:blipFill>
                  <pic:spPr bwMode="auto">
                    <a:xfrm>
                      <a:off x="0" y="0"/>
                      <a:ext cx="4559300" cy="3185652"/>
                    </a:xfrm>
                    <a:prstGeom prst="rect">
                      <a:avLst/>
                    </a:prstGeom>
                    <a:noFill/>
                    <a:ln>
                      <a:noFill/>
                    </a:ln>
                    <a:extLst>
                      <a:ext uri="{53640926-AAD7-44D8-BBD7-CCE9431645EC}">
                        <a14:shadowObscured xmlns:a14="http://schemas.microsoft.com/office/drawing/2010/main"/>
                      </a:ext>
                    </a:extLst>
                  </pic:spPr>
                </pic:pic>
              </a:graphicData>
            </a:graphic>
          </wp:inline>
        </w:drawing>
      </w:r>
    </w:p>
    <w:p w14:paraId="505D2B64"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 xml:space="preserve">Por último, el gráfico </w:t>
      </w:r>
      <w:r w:rsidRPr="00EF4A2D">
        <w:rPr>
          <w:rFonts w:eastAsia="Calibri"/>
          <w:i/>
          <w:iCs/>
          <w:sz w:val="26"/>
          <w:szCs w:val="26"/>
          <w:lang w:eastAsia="en-US"/>
        </w:rPr>
        <w:t>infra</w:t>
      </w:r>
      <w:r w:rsidRPr="00EF4A2D">
        <w:rPr>
          <w:rFonts w:eastAsia="Calibri"/>
          <w:sz w:val="26"/>
          <w:szCs w:val="26"/>
          <w:lang w:eastAsia="en-US"/>
        </w:rPr>
        <w:t xml:space="preserve"> ofrece un desglose de las exportaciones de servicios comerciales por regiones geográficas de la OMC. En 2014 todas las regiones experimentaron incrementos moderados de las exportaciones de servicios, de entre 1 y </w:t>
      </w:r>
      <w:r w:rsidRPr="00EF4A2D">
        <w:rPr>
          <w:rFonts w:eastAsia="Calibri"/>
          <w:sz w:val="26"/>
          <w:szCs w:val="26"/>
          <w:lang w:eastAsia="en-US"/>
        </w:rPr>
        <w:lastRenderedPageBreak/>
        <w:t>6%, salvo la Comunidad de Estados Independientes (CEI), que registró un fuerte descenso, de 8%, con caídas en servicios de transporte (-3%), viajes (-12%) y otros servicios comerciales (-5%). En dicho gráfico no se muestran las importaciones, pero estas presentan una situación análoga: todas las regiones registran incrementos moderados salvo la CEI, cuyas importaciones disminuyeron 4 por ciento.</w:t>
      </w:r>
    </w:p>
    <w:p w14:paraId="21566FED" w14:textId="74808B68"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A nivel mundial, el componente más débil del comercio de servicios en 2014 fue el sector de los servicios de manufactura sobre insumos físicos pertenecientes a otros</w:t>
      </w:r>
      <w:bookmarkStart w:id="12" w:name="fnt1"/>
      <w:bookmarkEnd w:id="12"/>
      <w:r w:rsidRPr="00EF4A2D">
        <w:rPr>
          <w:rFonts w:eastAsia="Calibri"/>
          <w:sz w:val="26"/>
          <w:szCs w:val="26"/>
          <w:vertAlign w:val="superscript"/>
          <w:lang w:eastAsia="en-US"/>
        </w:rPr>
        <w:footnoteReference w:id="6"/>
      </w:r>
      <w:r w:rsidR="000A364F">
        <w:rPr>
          <w:rFonts w:eastAsia="Calibri"/>
          <w:sz w:val="26"/>
          <w:szCs w:val="26"/>
          <w:lang w:eastAsia="en-US"/>
        </w:rPr>
        <w:t>,</w:t>
      </w:r>
      <w:r w:rsidRPr="00EF4A2D">
        <w:rPr>
          <w:rFonts w:eastAsia="Calibri"/>
          <w:sz w:val="26"/>
          <w:szCs w:val="26"/>
          <w:lang w:eastAsia="en-US"/>
        </w:rPr>
        <w:t xml:space="preserve"> que disminuyó 3%, medido en función de las exportaciones. Paralelamente, el año pasado las exportaciones de otros servicios comerciales, que incluyen los servicios financieros y representan más de la mitad (52%) del comercio mundial de servicios comerciales, se incrementaron 5 por ciento.</w:t>
      </w:r>
    </w:p>
    <w:p w14:paraId="0C108D59" w14:textId="77777777" w:rsidR="00EF4A2D" w:rsidRPr="00EF4A2D" w:rsidRDefault="00EF4A2D" w:rsidP="00EF4A2D">
      <w:pPr>
        <w:spacing w:after="360" w:line="360" w:lineRule="auto"/>
        <w:ind w:right="-159"/>
        <w:jc w:val="center"/>
        <w:rPr>
          <w:rFonts w:eastAsia="Calibri"/>
          <w:sz w:val="26"/>
          <w:szCs w:val="26"/>
          <w:lang w:eastAsia="en-US"/>
        </w:rPr>
      </w:pPr>
      <w:r w:rsidRPr="00EF4A2D">
        <w:rPr>
          <w:rFonts w:ascii="Calibri" w:eastAsia="Calibri" w:hAnsi="Calibri"/>
          <w:noProof/>
          <w:sz w:val="22"/>
          <w:szCs w:val="22"/>
          <w:lang w:eastAsia="es-MX"/>
        </w:rPr>
        <w:drawing>
          <wp:inline distT="0" distB="0" distL="0" distR="0" wp14:anchorId="40A7213F" wp14:editId="66B3433A">
            <wp:extent cx="4558946" cy="3219108"/>
            <wp:effectExtent l="0" t="0" r="0" b="635"/>
            <wp:docPr id="1791" name="Imagen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1843" b="4306"/>
                    <a:stretch/>
                  </pic:blipFill>
                  <pic:spPr bwMode="auto">
                    <a:xfrm>
                      <a:off x="0" y="0"/>
                      <a:ext cx="4559300" cy="3219358"/>
                    </a:xfrm>
                    <a:prstGeom prst="rect">
                      <a:avLst/>
                    </a:prstGeom>
                    <a:noFill/>
                    <a:ln>
                      <a:noFill/>
                    </a:ln>
                    <a:extLst>
                      <a:ext uri="{53640926-AAD7-44D8-BBD7-CCE9431645EC}">
                        <a14:shadowObscured xmlns:a14="http://schemas.microsoft.com/office/drawing/2010/main"/>
                      </a:ext>
                    </a:extLst>
                  </pic:spPr>
                </pic:pic>
              </a:graphicData>
            </a:graphic>
          </wp:inline>
        </w:drawing>
      </w:r>
    </w:p>
    <w:p w14:paraId="0512C726" w14:textId="77777777" w:rsidR="002D683D" w:rsidRDefault="002D683D" w:rsidP="00EF4A2D">
      <w:pPr>
        <w:spacing w:after="360" w:line="360" w:lineRule="auto"/>
        <w:ind w:right="-159"/>
        <w:jc w:val="both"/>
        <w:rPr>
          <w:rFonts w:eastAsia="Calibri"/>
          <w:b/>
          <w:sz w:val="26"/>
          <w:szCs w:val="26"/>
          <w:lang w:eastAsia="en-US"/>
        </w:rPr>
      </w:pPr>
    </w:p>
    <w:p w14:paraId="720B5649" w14:textId="77777777" w:rsidR="00EF4A2D" w:rsidRPr="00EF4A2D" w:rsidRDefault="00EF4A2D" w:rsidP="00EF4A2D">
      <w:pPr>
        <w:spacing w:after="360" w:line="360" w:lineRule="auto"/>
        <w:ind w:right="-159"/>
        <w:jc w:val="both"/>
        <w:rPr>
          <w:rFonts w:eastAsia="Calibri"/>
          <w:b/>
          <w:sz w:val="26"/>
          <w:szCs w:val="26"/>
          <w:lang w:eastAsia="en-US"/>
        </w:rPr>
      </w:pPr>
      <w:r w:rsidRPr="00EF4A2D">
        <w:rPr>
          <w:rFonts w:eastAsia="Calibri"/>
          <w:b/>
          <w:sz w:val="26"/>
          <w:szCs w:val="26"/>
          <w:lang w:eastAsia="en-US"/>
        </w:rPr>
        <w:lastRenderedPageBreak/>
        <w:t>Perspectivas del comercio en 2015 y 2016</w:t>
      </w:r>
    </w:p>
    <w:p w14:paraId="37FA2F3F"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Las previsiones de la OMC de que el volumen del comercio mundial de mercancías crecerá 3.3% en 2015 y 4.0% en 2016 se basan en las estimaciones consensuales del PIB real mundial calculado a los tipos de cambio del mercado de otros organismos (cuadro siguiente). Estas cifras suponen que la relación entre el crecimiento del comercio y el crecimiento del PIB será ligeramente superior a uno en 2015 y 2016, es decir algo menos que la razón de exactamente uno a uno registrada en 2012-2014 pero mucho menos que la razón de dos a uno que se registraba normalmente hace no mucho tiempo.</w:t>
      </w:r>
    </w:p>
    <w:p w14:paraId="13F36020"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Se prevé que en 2015 las exportaciones de las economías en desarrollo/emergentes aumenten 3.6%, y sus importaciones en 3.7%. En cuanto a las economías desarrolladas, se espera un incremento de 3.2% tanto de sus exportaciones como de sus importaciones.</w:t>
      </w:r>
    </w:p>
    <w:p w14:paraId="7ABB761A" w14:textId="77777777" w:rsid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Este año Asia debería ser la región con mayor actividad exportadora (5.0%), seguida de cerca por América del Norte (4.5%). Las exportaciones de Europa también mejorarán, aumentando las expediciones en 3.0% en 2015, frente al 1.9% el año pasado. Este año el crecimiento más débil de las exportaciones se registrará en América del Sur (0.2%) y en otras regiones (-0.6%), un agregado que comprende África, Oriente Medio y la CEI, aunque en las regiones ricas en recursos es normal que se produzcan pequeños cambios en el volumen de las exportaciones de un año a otro.</w:t>
      </w:r>
    </w:p>
    <w:p w14:paraId="3C6EB214" w14:textId="77777777" w:rsidR="002D683D" w:rsidRDefault="002D683D" w:rsidP="00EF4A2D">
      <w:pPr>
        <w:spacing w:after="360" w:line="360" w:lineRule="auto"/>
        <w:ind w:right="-159"/>
        <w:jc w:val="both"/>
        <w:rPr>
          <w:rFonts w:eastAsia="Calibri"/>
          <w:sz w:val="26"/>
          <w:szCs w:val="26"/>
          <w:lang w:eastAsia="en-US"/>
        </w:rPr>
      </w:pPr>
    </w:p>
    <w:p w14:paraId="7DB288B9" w14:textId="77777777" w:rsidR="002D683D" w:rsidRDefault="002D683D" w:rsidP="00EF4A2D">
      <w:pPr>
        <w:spacing w:after="360" w:line="360" w:lineRule="auto"/>
        <w:ind w:right="-159"/>
        <w:jc w:val="both"/>
        <w:rPr>
          <w:rFonts w:eastAsia="Calibri"/>
          <w:sz w:val="26"/>
          <w:szCs w:val="26"/>
          <w:lang w:eastAsia="en-US"/>
        </w:rPr>
      </w:pPr>
    </w:p>
    <w:p w14:paraId="45340AC8" w14:textId="77777777" w:rsidR="002D683D" w:rsidRDefault="002D683D" w:rsidP="00EF4A2D">
      <w:pPr>
        <w:spacing w:after="360" w:line="360" w:lineRule="auto"/>
        <w:ind w:right="-159"/>
        <w:jc w:val="both"/>
        <w:rPr>
          <w:rFonts w:eastAsia="Calibri"/>
          <w:sz w:val="26"/>
          <w:szCs w:val="26"/>
          <w:lang w:eastAsia="en-US"/>
        </w:rPr>
      </w:pPr>
    </w:p>
    <w:p w14:paraId="788E71F2" w14:textId="77777777" w:rsidR="002D683D" w:rsidRPr="00EF4A2D" w:rsidRDefault="002D683D" w:rsidP="00EF4A2D">
      <w:pPr>
        <w:spacing w:after="360" w:line="360" w:lineRule="auto"/>
        <w:ind w:right="-159"/>
        <w:jc w:val="both"/>
        <w:rPr>
          <w:rFonts w:eastAsia="Calibri"/>
          <w:sz w:val="26"/>
          <w:szCs w:val="26"/>
          <w:lang w:eastAsia="en-US"/>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943"/>
        <w:gridCol w:w="616"/>
        <w:gridCol w:w="616"/>
        <w:gridCol w:w="616"/>
        <w:gridCol w:w="616"/>
        <w:gridCol w:w="616"/>
        <w:gridCol w:w="616"/>
      </w:tblGrid>
      <w:tr w:rsidR="00EF4A2D" w:rsidRPr="00EF4A2D" w14:paraId="77F91918" w14:textId="77777777" w:rsidTr="00C55D09">
        <w:trPr>
          <w:jc w:val="center"/>
        </w:trPr>
        <w:tc>
          <w:tcPr>
            <w:tcW w:w="0" w:type="auto"/>
            <w:gridSpan w:val="7"/>
            <w:tcBorders>
              <w:top w:val="nil"/>
              <w:left w:val="nil"/>
              <w:right w:val="nil"/>
            </w:tcBorders>
            <w:shd w:val="clear" w:color="auto" w:fill="auto"/>
          </w:tcPr>
          <w:p w14:paraId="04AEB26B" w14:textId="77777777" w:rsidR="00EF4A2D" w:rsidRPr="00EF4A2D" w:rsidRDefault="00EF4A2D" w:rsidP="00EF4A2D">
            <w:pPr>
              <w:jc w:val="center"/>
              <w:rPr>
                <w:rFonts w:eastAsia="Calibri"/>
                <w:b/>
                <w:bCs/>
                <w:sz w:val="22"/>
                <w:szCs w:val="22"/>
                <w:lang w:eastAsia="en-US"/>
              </w:rPr>
            </w:pPr>
            <w:r w:rsidRPr="00EF4A2D">
              <w:rPr>
                <w:rFonts w:eastAsia="Calibri"/>
                <w:b/>
                <w:bCs/>
                <w:sz w:val="22"/>
                <w:szCs w:val="22"/>
                <w:lang w:eastAsia="en-US"/>
              </w:rPr>
              <w:lastRenderedPageBreak/>
              <w:t xml:space="preserve">VOLUMEN DEL COMERCIO DE MERCANCÍAS, 2010-2016 </w:t>
            </w:r>
            <w:r w:rsidRPr="00EF4A2D">
              <w:rPr>
                <w:rFonts w:eastAsia="Calibri"/>
                <w:b/>
                <w:bCs/>
                <w:sz w:val="22"/>
                <w:szCs w:val="22"/>
                <w:u w:val="single"/>
                <w:vertAlign w:val="superscript"/>
                <w:lang w:eastAsia="en-US"/>
              </w:rPr>
              <w:t>a</w:t>
            </w:r>
            <w:r w:rsidRPr="00EF4A2D">
              <w:rPr>
                <w:rFonts w:eastAsia="Calibri"/>
                <w:b/>
                <w:bCs/>
                <w:sz w:val="22"/>
                <w:szCs w:val="22"/>
                <w:vertAlign w:val="superscript"/>
                <w:lang w:eastAsia="en-US"/>
              </w:rPr>
              <w:t>/</w:t>
            </w:r>
          </w:p>
          <w:p w14:paraId="3CFF66CC" w14:textId="77777777" w:rsidR="00EF4A2D" w:rsidRPr="00EF4A2D" w:rsidRDefault="00EF4A2D" w:rsidP="00EF4A2D">
            <w:pPr>
              <w:jc w:val="center"/>
              <w:rPr>
                <w:rFonts w:eastAsia="Calibri"/>
                <w:b/>
                <w:sz w:val="22"/>
                <w:szCs w:val="22"/>
                <w:lang w:val="es-ES" w:eastAsia="en-US"/>
              </w:rPr>
            </w:pPr>
            <w:r w:rsidRPr="00EF4A2D">
              <w:rPr>
                <w:rFonts w:eastAsia="Calibri"/>
                <w:b/>
                <w:sz w:val="22"/>
                <w:szCs w:val="22"/>
                <w:lang w:val="es-ES" w:eastAsia="en-US"/>
              </w:rPr>
              <w:t>-Variación porcentual anual-</w:t>
            </w:r>
          </w:p>
          <w:p w14:paraId="2D17753B" w14:textId="77777777" w:rsidR="00EF4A2D" w:rsidRPr="00EF4A2D" w:rsidRDefault="00EF4A2D" w:rsidP="00EF4A2D">
            <w:pPr>
              <w:jc w:val="center"/>
              <w:rPr>
                <w:rFonts w:eastAsia="Calibri"/>
                <w:sz w:val="20"/>
                <w:szCs w:val="20"/>
                <w:lang w:val="es-ES" w:eastAsia="en-US"/>
              </w:rPr>
            </w:pPr>
          </w:p>
        </w:tc>
      </w:tr>
      <w:tr w:rsidR="00EF4A2D" w:rsidRPr="00EF4A2D" w14:paraId="14C056B0" w14:textId="77777777" w:rsidTr="00C55D09">
        <w:trPr>
          <w:jc w:val="center"/>
        </w:trPr>
        <w:tc>
          <w:tcPr>
            <w:tcW w:w="0" w:type="auto"/>
            <w:shd w:val="clear" w:color="auto" w:fill="auto"/>
          </w:tcPr>
          <w:p w14:paraId="2A44A48F" w14:textId="77777777" w:rsidR="00EF4A2D" w:rsidRPr="00EF4A2D" w:rsidRDefault="00EF4A2D" w:rsidP="00EF4A2D">
            <w:pPr>
              <w:jc w:val="both"/>
              <w:rPr>
                <w:rFonts w:eastAsia="Calibri"/>
                <w:sz w:val="20"/>
                <w:szCs w:val="20"/>
                <w:lang w:val="es-ES" w:eastAsia="en-US"/>
              </w:rPr>
            </w:pPr>
          </w:p>
        </w:tc>
        <w:tc>
          <w:tcPr>
            <w:tcW w:w="0" w:type="auto"/>
            <w:shd w:val="clear" w:color="auto" w:fill="auto"/>
          </w:tcPr>
          <w:p w14:paraId="2669B8B9" w14:textId="77777777" w:rsidR="00EF4A2D" w:rsidRPr="00EF4A2D" w:rsidRDefault="00EF4A2D" w:rsidP="00EF4A2D">
            <w:pPr>
              <w:jc w:val="center"/>
              <w:rPr>
                <w:rFonts w:eastAsia="Calibri"/>
                <w:b/>
                <w:sz w:val="20"/>
                <w:szCs w:val="20"/>
                <w:lang w:val="es-ES" w:eastAsia="en-US"/>
              </w:rPr>
            </w:pPr>
            <w:r w:rsidRPr="00EF4A2D">
              <w:rPr>
                <w:rFonts w:eastAsia="Calibri"/>
                <w:b/>
                <w:sz w:val="20"/>
                <w:szCs w:val="20"/>
                <w:lang w:val="es-ES" w:eastAsia="en-US"/>
              </w:rPr>
              <w:t>2011</w:t>
            </w:r>
          </w:p>
        </w:tc>
        <w:tc>
          <w:tcPr>
            <w:tcW w:w="0" w:type="auto"/>
            <w:shd w:val="clear" w:color="auto" w:fill="auto"/>
          </w:tcPr>
          <w:p w14:paraId="40E06294" w14:textId="77777777" w:rsidR="00EF4A2D" w:rsidRPr="00EF4A2D" w:rsidRDefault="00EF4A2D" w:rsidP="00EF4A2D">
            <w:pPr>
              <w:jc w:val="center"/>
              <w:rPr>
                <w:rFonts w:eastAsia="Calibri"/>
                <w:b/>
                <w:sz w:val="20"/>
                <w:szCs w:val="20"/>
                <w:lang w:val="es-ES" w:eastAsia="en-US"/>
              </w:rPr>
            </w:pPr>
            <w:r w:rsidRPr="00EF4A2D">
              <w:rPr>
                <w:rFonts w:eastAsia="Calibri"/>
                <w:b/>
                <w:sz w:val="20"/>
                <w:szCs w:val="20"/>
                <w:lang w:val="es-ES" w:eastAsia="en-US"/>
              </w:rPr>
              <w:t>2012</w:t>
            </w:r>
          </w:p>
        </w:tc>
        <w:tc>
          <w:tcPr>
            <w:tcW w:w="0" w:type="auto"/>
            <w:shd w:val="clear" w:color="auto" w:fill="auto"/>
          </w:tcPr>
          <w:p w14:paraId="7B32ABA4" w14:textId="77777777" w:rsidR="00EF4A2D" w:rsidRPr="00EF4A2D" w:rsidRDefault="00EF4A2D" w:rsidP="00EF4A2D">
            <w:pPr>
              <w:jc w:val="center"/>
              <w:rPr>
                <w:rFonts w:eastAsia="Calibri"/>
                <w:b/>
                <w:sz w:val="20"/>
                <w:szCs w:val="20"/>
                <w:lang w:val="es-ES" w:eastAsia="en-US"/>
              </w:rPr>
            </w:pPr>
            <w:r w:rsidRPr="00EF4A2D">
              <w:rPr>
                <w:rFonts w:eastAsia="Calibri"/>
                <w:b/>
                <w:sz w:val="20"/>
                <w:szCs w:val="20"/>
                <w:lang w:val="es-ES" w:eastAsia="en-US"/>
              </w:rPr>
              <w:t>2013</w:t>
            </w:r>
          </w:p>
        </w:tc>
        <w:tc>
          <w:tcPr>
            <w:tcW w:w="0" w:type="auto"/>
            <w:shd w:val="clear" w:color="auto" w:fill="auto"/>
          </w:tcPr>
          <w:p w14:paraId="61EFB7A6" w14:textId="77777777" w:rsidR="00EF4A2D" w:rsidRPr="00EF4A2D" w:rsidRDefault="00EF4A2D" w:rsidP="00EF4A2D">
            <w:pPr>
              <w:jc w:val="center"/>
              <w:rPr>
                <w:rFonts w:eastAsia="Calibri"/>
                <w:b/>
                <w:sz w:val="20"/>
                <w:szCs w:val="20"/>
                <w:lang w:val="es-ES" w:eastAsia="en-US"/>
              </w:rPr>
            </w:pPr>
            <w:r w:rsidRPr="00EF4A2D">
              <w:rPr>
                <w:rFonts w:eastAsia="Calibri"/>
                <w:b/>
                <w:sz w:val="20"/>
                <w:szCs w:val="20"/>
                <w:lang w:val="es-ES" w:eastAsia="en-US"/>
              </w:rPr>
              <w:t>2014</w:t>
            </w:r>
          </w:p>
        </w:tc>
        <w:tc>
          <w:tcPr>
            <w:tcW w:w="0" w:type="auto"/>
            <w:shd w:val="clear" w:color="auto" w:fill="auto"/>
          </w:tcPr>
          <w:p w14:paraId="44654BEC" w14:textId="77777777" w:rsidR="00EF4A2D" w:rsidRPr="00EF4A2D" w:rsidRDefault="00EF4A2D" w:rsidP="00EF4A2D">
            <w:pPr>
              <w:jc w:val="center"/>
              <w:rPr>
                <w:rFonts w:eastAsia="Calibri"/>
                <w:b/>
                <w:sz w:val="20"/>
                <w:szCs w:val="20"/>
                <w:lang w:val="es-ES" w:eastAsia="en-US"/>
              </w:rPr>
            </w:pPr>
            <w:r w:rsidRPr="00EF4A2D">
              <w:rPr>
                <w:rFonts w:eastAsia="Calibri"/>
                <w:b/>
                <w:sz w:val="20"/>
                <w:szCs w:val="20"/>
                <w:lang w:val="es-ES" w:eastAsia="en-US"/>
              </w:rPr>
              <w:t>2015</w:t>
            </w:r>
          </w:p>
        </w:tc>
        <w:tc>
          <w:tcPr>
            <w:tcW w:w="0" w:type="auto"/>
            <w:shd w:val="clear" w:color="auto" w:fill="auto"/>
          </w:tcPr>
          <w:p w14:paraId="7D1E76CB" w14:textId="77777777" w:rsidR="00EF4A2D" w:rsidRPr="00EF4A2D" w:rsidRDefault="00EF4A2D" w:rsidP="00EF4A2D">
            <w:pPr>
              <w:jc w:val="center"/>
              <w:rPr>
                <w:rFonts w:eastAsia="Calibri"/>
                <w:b/>
                <w:sz w:val="20"/>
                <w:szCs w:val="20"/>
                <w:lang w:val="es-ES" w:eastAsia="en-US"/>
              </w:rPr>
            </w:pPr>
            <w:r w:rsidRPr="00EF4A2D">
              <w:rPr>
                <w:rFonts w:eastAsia="Calibri"/>
                <w:b/>
                <w:sz w:val="20"/>
                <w:szCs w:val="20"/>
                <w:lang w:val="es-ES" w:eastAsia="en-US"/>
              </w:rPr>
              <w:t>2016</w:t>
            </w:r>
          </w:p>
        </w:tc>
      </w:tr>
      <w:tr w:rsidR="00EF4A2D" w:rsidRPr="00EF4A2D" w14:paraId="5B323536" w14:textId="77777777" w:rsidTr="000A364F">
        <w:trPr>
          <w:jc w:val="center"/>
        </w:trPr>
        <w:tc>
          <w:tcPr>
            <w:tcW w:w="0" w:type="auto"/>
            <w:tcBorders>
              <w:bottom w:val="nil"/>
            </w:tcBorders>
            <w:shd w:val="clear" w:color="auto" w:fill="auto"/>
          </w:tcPr>
          <w:p w14:paraId="31CA6B0A" w14:textId="77777777" w:rsidR="00EF4A2D" w:rsidRPr="00EF4A2D" w:rsidRDefault="00EF4A2D" w:rsidP="00EF4A2D">
            <w:pPr>
              <w:jc w:val="both"/>
              <w:rPr>
                <w:rFonts w:eastAsia="Calibri"/>
                <w:sz w:val="20"/>
                <w:szCs w:val="20"/>
                <w:lang w:val="es-ES" w:eastAsia="en-US"/>
              </w:rPr>
            </w:pPr>
            <w:r w:rsidRPr="00EF4A2D">
              <w:rPr>
                <w:rFonts w:eastAsia="Calibri"/>
                <w:sz w:val="20"/>
                <w:szCs w:val="20"/>
                <w:lang w:val="es-ES" w:eastAsia="en-US"/>
              </w:rPr>
              <w:t>Volumen del comercio mundial de mercancías</w:t>
            </w:r>
          </w:p>
        </w:tc>
        <w:tc>
          <w:tcPr>
            <w:tcW w:w="0" w:type="auto"/>
            <w:tcBorders>
              <w:bottom w:val="nil"/>
            </w:tcBorders>
            <w:shd w:val="clear" w:color="auto" w:fill="auto"/>
          </w:tcPr>
          <w:p w14:paraId="3D7934F3"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5.4</w:t>
            </w:r>
          </w:p>
        </w:tc>
        <w:tc>
          <w:tcPr>
            <w:tcW w:w="0" w:type="auto"/>
            <w:tcBorders>
              <w:bottom w:val="nil"/>
            </w:tcBorders>
            <w:shd w:val="clear" w:color="auto" w:fill="auto"/>
          </w:tcPr>
          <w:p w14:paraId="6DF131B4"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2.2</w:t>
            </w:r>
          </w:p>
        </w:tc>
        <w:tc>
          <w:tcPr>
            <w:tcW w:w="0" w:type="auto"/>
            <w:tcBorders>
              <w:bottom w:val="nil"/>
            </w:tcBorders>
            <w:shd w:val="clear" w:color="auto" w:fill="auto"/>
          </w:tcPr>
          <w:p w14:paraId="590CC804"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2.4</w:t>
            </w:r>
          </w:p>
        </w:tc>
        <w:tc>
          <w:tcPr>
            <w:tcW w:w="0" w:type="auto"/>
            <w:tcBorders>
              <w:bottom w:val="nil"/>
            </w:tcBorders>
            <w:shd w:val="clear" w:color="auto" w:fill="auto"/>
          </w:tcPr>
          <w:p w14:paraId="5A622495"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 xml:space="preserve">2.8 </w:t>
            </w:r>
          </w:p>
        </w:tc>
        <w:tc>
          <w:tcPr>
            <w:tcW w:w="0" w:type="auto"/>
            <w:tcBorders>
              <w:bottom w:val="nil"/>
            </w:tcBorders>
            <w:shd w:val="clear" w:color="auto" w:fill="auto"/>
          </w:tcPr>
          <w:p w14:paraId="02224DE3"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 xml:space="preserve">3.3 </w:t>
            </w:r>
          </w:p>
        </w:tc>
        <w:tc>
          <w:tcPr>
            <w:tcW w:w="0" w:type="auto"/>
            <w:tcBorders>
              <w:bottom w:val="nil"/>
            </w:tcBorders>
            <w:shd w:val="clear" w:color="auto" w:fill="auto"/>
          </w:tcPr>
          <w:p w14:paraId="7912A433"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4.0</w:t>
            </w:r>
          </w:p>
        </w:tc>
      </w:tr>
      <w:tr w:rsidR="00EF4A2D" w:rsidRPr="00EF4A2D" w14:paraId="5C4F15D9" w14:textId="77777777" w:rsidTr="000A364F">
        <w:trPr>
          <w:jc w:val="center"/>
        </w:trPr>
        <w:tc>
          <w:tcPr>
            <w:tcW w:w="0" w:type="auto"/>
            <w:tcBorders>
              <w:top w:val="nil"/>
              <w:bottom w:val="nil"/>
            </w:tcBorders>
            <w:shd w:val="clear" w:color="auto" w:fill="auto"/>
          </w:tcPr>
          <w:p w14:paraId="30302CC3" w14:textId="77777777" w:rsidR="00EF4A2D" w:rsidRPr="00EF4A2D" w:rsidRDefault="00EF4A2D" w:rsidP="00EF4A2D">
            <w:pPr>
              <w:jc w:val="both"/>
              <w:rPr>
                <w:rFonts w:eastAsia="Calibri"/>
                <w:b/>
                <w:sz w:val="20"/>
                <w:szCs w:val="20"/>
                <w:lang w:val="es-ES" w:eastAsia="en-US"/>
              </w:rPr>
            </w:pPr>
            <w:r w:rsidRPr="00EF4A2D">
              <w:rPr>
                <w:rFonts w:eastAsia="Calibri"/>
                <w:b/>
                <w:sz w:val="20"/>
                <w:szCs w:val="20"/>
                <w:lang w:val="es-ES" w:eastAsia="en-US"/>
              </w:rPr>
              <w:t>Exportaciones</w:t>
            </w:r>
          </w:p>
        </w:tc>
        <w:tc>
          <w:tcPr>
            <w:tcW w:w="0" w:type="auto"/>
            <w:tcBorders>
              <w:top w:val="nil"/>
              <w:bottom w:val="nil"/>
            </w:tcBorders>
            <w:shd w:val="clear" w:color="auto" w:fill="auto"/>
          </w:tcPr>
          <w:p w14:paraId="43320E01" w14:textId="77777777" w:rsidR="00EF4A2D" w:rsidRPr="00EF4A2D" w:rsidRDefault="00EF4A2D" w:rsidP="00EF4A2D">
            <w:pPr>
              <w:jc w:val="right"/>
              <w:rPr>
                <w:rFonts w:eastAsia="Calibri"/>
                <w:sz w:val="20"/>
                <w:szCs w:val="20"/>
                <w:lang w:val="es-ES" w:eastAsia="en-US"/>
              </w:rPr>
            </w:pPr>
          </w:p>
        </w:tc>
        <w:tc>
          <w:tcPr>
            <w:tcW w:w="0" w:type="auto"/>
            <w:tcBorders>
              <w:top w:val="nil"/>
              <w:bottom w:val="nil"/>
            </w:tcBorders>
            <w:shd w:val="clear" w:color="auto" w:fill="auto"/>
          </w:tcPr>
          <w:p w14:paraId="72501C0B" w14:textId="77777777" w:rsidR="00EF4A2D" w:rsidRPr="00EF4A2D" w:rsidRDefault="00EF4A2D" w:rsidP="00EF4A2D">
            <w:pPr>
              <w:jc w:val="right"/>
              <w:rPr>
                <w:rFonts w:eastAsia="Calibri"/>
                <w:sz w:val="20"/>
                <w:szCs w:val="20"/>
                <w:lang w:val="es-ES" w:eastAsia="en-US"/>
              </w:rPr>
            </w:pPr>
          </w:p>
        </w:tc>
        <w:tc>
          <w:tcPr>
            <w:tcW w:w="0" w:type="auto"/>
            <w:tcBorders>
              <w:top w:val="nil"/>
              <w:bottom w:val="nil"/>
            </w:tcBorders>
            <w:shd w:val="clear" w:color="auto" w:fill="auto"/>
          </w:tcPr>
          <w:p w14:paraId="0650D07B" w14:textId="77777777" w:rsidR="00EF4A2D" w:rsidRPr="00EF4A2D" w:rsidRDefault="00EF4A2D" w:rsidP="00EF4A2D">
            <w:pPr>
              <w:jc w:val="right"/>
              <w:rPr>
                <w:rFonts w:eastAsia="Calibri"/>
                <w:sz w:val="20"/>
                <w:szCs w:val="20"/>
                <w:lang w:val="es-ES" w:eastAsia="en-US"/>
              </w:rPr>
            </w:pPr>
          </w:p>
        </w:tc>
        <w:tc>
          <w:tcPr>
            <w:tcW w:w="0" w:type="auto"/>
            <w:tcBorders>
              <w:top w:val="nil"/>
              <w:bottom w:val="nil"/>
            </w:tcBorders>
            <w:shd w:val="clear" w:color="auto" w:fill="auto"/>
          </w:tcPr>
          <w:p w14:paraId="655AA32C" w14:textId="77777777" w:rsidR="00EF4A2D" w:rsidRPr="00EF4A2D" w:rsidRDefault="00EF4A2D" w:rsidP="00EF4A2D">
            <w:pPr>
              <w:jc w:val="right"/>
              <w:rPr>
                <w:rFonts w:eastAsia="Calibri"/>
                <w:sz w:val="20"/>
                <w:szCs w:val="20"/>
                <w:lang w:val="es-ES" w:eastAsia="en-US"/>
              </w:rPr>
            </w:pPr>
          </w:p>
        </w:tc>
        <w:tc>
          <w:tcPr>
            <w:tcW w:w="0" w:type="auto"/>
            <w:tcBorders>
              <w:top w:val="nil"/>
              <w:bottom w:val="nil"/>
            </w:tcBorders>
            <w:shd w:val="clear" w:color="auto" w:fill="auto"/>
          </w:tcPr>
          <w:p w14:paraId="6132BA6E" w14:textId="77777777" w:rsidR="00EF4A2D" w:rsidRPr="00EF4A2D" w:rsidRDefault="00EF4A2D" w:rsidP="00EF4A2D">
            <w:pPr>
              <w:jc w:val="right"/>
              <w:rPr>
                <w:rFonts w:eastAsia="Calibri"/>
                <w:sz w:val="20"/>
                <w:szCs w:val="20"/>
                <w:lang w:val="es-ES" w:eastAsia="en-US"/>
              </w:rPr>
            </w:pPr>
          </w:p>
        </w:tc>
        <w:tc>
          <w:tcPr>
            <w:tcW w:w="0" w:type="auto"/>
            <w:tcBorders>
              <w:top w:val="nil"/>
              <w:bottom w:val="nil"/>
            </w:tcBorders>
            <w:shd w:val="clear" w:color="auto" w:fill="auto"/>
          </w:tcPr>
          <w:p w14:paraId="7226F9EE" w14:textId="77777777" w:rsidR="00EF4A2D" w:rsidRPr="00EF4A2D" w:rsidRDefault="00EF4A2D" w:rsidP="00EF4A2D">
            <w:pPr>
              <w:jc w:val="right"/>
              <w:rPr>
                <w:rFonts w:eastAsia="Calibri"/>
                <w:sz w:val="20"/>
                <w:szCs w:val="20"/>
                <w:lang w:val="es-ES" w:eastAsia="en-US"/>
              </w:rPr>
            </w:pPr>
          </w:p>
        </w:tc>
      </w:tr>
      <w:tr w:rsidR="00EF4A2D" w:rsidRPr="00EF4A2D" w14:paraId="5F1586D2" w14:textId="77777777" w:rsidTr="000A364F">
        <w:trPr>
          <w:jc w:val="center"/>
        </w:trPr>
        <w:tc>
          <w:tcPr>
            <w:tcW w:w="0" w:type="auto"/>
            <w:tcBorders>
              <w:top w:val="nil"/>
              <w:bottom w:val="nil"/>
            </w:tcBorders>
            <w:shd w:val="clear" w:color="auto" w:fill="auto"/>
          </w:tcPr>
          <w:p w14:paraId="6105FF5F" w14:textId="77777777" w:rsidR="00EF4A2D" w:rsidRPr="00EF4A2D" w:rsidRDefault="00EF4A2D" w:rsidP="00EF4A2D">
            <w:pPr>
              <w:jc w:val="both"/>
              <w:rPr>
                <w:rFonts w:eastAsia="Calibri"/>
                <w:sz w:val="20"/>
                <w:szCs w:val="20"/>
                <w:lang w:val="es-ES" w:eastAsia="en-US"/>
              </w:rPr>
            </w:pPr>
            <w:r w:rsidRPr="00EF4A2D">
              <w:rPr>
                <w:rFonts w:eastAsia="Calibri"/>
                <w:sz w:val="20"/>
                <w:szCs w:val="20"/>
                <w:lang w:val="es-ES" w:eastAsia="en-US"/>
              </w:rPr>
              <w:t>Economías desarrolladas</w:t>
            </w:r>
          </w:p>
        </w:tc>
        <w:tc>
          <w:tcPr>
            <w:tcW w:w="0" w:type="auto"/>
            <w:tcBorders>
              <w:top w:val="nil"/>
              <w:bottom w:val="nil"/>
            </w:tcBorders>
            <w:shd w:val="clear" w:color="auto" w:fill="auto"/>
          </w:tcPr>
          <w:p w14:paraId="3E22BBAD"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5.2</w:t>
            </w:r>
          </w:p>
        </w:tc>
        <w:tc>
          <w:tcPr>
            <w:tcW w:w="0" w:type="auto"/>
            <w:tcBorders>
              <w:top w:val="nil"/>
              <w:bottom w:val="nil"/>
            </w:tcBorders>
            <w:shd w:val="clear" w:color="auto" w:fill="auto"/>
          </w:tcPr>
          <w:p w14:paraId="55869F5B"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1.1</w:t>
            </w:r>
          </w:p>
        </w:tc>
        <w:tc>
          <w:tcPr>
            <w:tcW w:w="0" w:type="auto"/>
            <w:tcBorders>
              <w:top w:val="nil"/>
              <w:bottom w:val="nil"/>
            </w:tcBorders>
            <w:shd w:val="clear" w:color="auto" w:fill="auto"/>
          </w:tcPr>
          <w:p w14:paraId="289C5926"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1.6</w:t>
            </w:r>
          </w:p>
        </w:tc>
        <w:tc>
          <w:tcPr>
            <w:tcW w:w="0" w:type="auto"/>
            <w:tcBorders>
              <w:top w:val="nil"/>
              <w:bottom w:val="nil"/>
            </w:tcBorders>
            <w:shd w:val="clear" w:color="auto" w:fill="auto"/>
          </w:tcPr>
          <w:p w14:paraId="1114E0A6"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2.2</w:t>
            </w:r>
          </w:p>
        </w:tc>
        <w:tc>
          <w:tcPr>
            <w:tcW w:w="0" w:type="auto"/>
            <w:tcBorders>
              <w:top w:val="nil"/>
              <w:bottom w:val="nil"/>
            </w:tcBorders>
            <w:shd w:val="clear" w:color="auto" w:fill="auto"/>
          </w:tcPr>
          <w:p w14:paraId="68FAEB9C"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3.2</w:t>
            </w:r>
          </w:p>
        </w:tc>
        <w:tc>
          <w:tcPr>
            <w:tcW w:w="0" w:type="auto"/>
            <w:tcBorders>
              <w:top w:val="nil"/>
              <w:bottom w:val="nil"/>
            </w:tcBorders>
            <w:shd w:val="clear" w:color="auto" w:fill="auto"/>
          </w:tcPr>
          <w:p w14:paraId="7D2DBF6C"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4.4</w:t>
            </w:r>
          </w:p>
        </w:tc>
      </w:tr>
      <w:tr w:rsidR="00EF4A2D" w:rsidRPr="00EF4A2D" w14:paraId="1521A418" w14:textId="77777777" w:rsidTr="000A364F">
        <w:trPr>
          <w:jc w:val="center"/>
        </w:trPr>
        <w:tc>
          <w:tcPr>
            <w:tcW w:w="0" w:type="auto"/>
            <w:tcBorders>
              <w:top w:val="nil"/>
              <w:bottom w:val="nil"/>
            </w:tcBorders>
            <w:shd w:val="clear" w:color="auto" w:fill="auto"/>
          </w:tcPr>
          <w:p w14:paraId="57E21867" w14:textId="77777777" w:rsidR="00EF4A2D" w:rsidRPr="00EF4A2D" w:rsidRDefault="00EF4A2D" w:rsidP="00EF4A2D">
            <w:pPr>
              <w:jc w:val="both"/>
              <w:rPr>
                <w:rFonts w:eastAsia="Calibri"/>
                <w:sz w:val="20"/>
                <w:szCs w:val="20"/>
                <w:lang w:val="es-ES" w:eastAsia="en-US"/>
              </w:rPr>
            </w:pPr>
            <w:r w:rsidRPr="00EF4A2D">
              <w:rPr>
                <w:rFonts w:eastAsia="Calibri"/>
                <w:sz w:val="20"/>
                <w:szCs w:val="20"/>
                <w:lang w:val="es-ES" w:eastAsia="en-US"/>
              </w:rPr>
              <w:t>Economías en desarrollo y emergentes</w:t>
            </w:r>
          </w:p>
        </w:tc>
        <w:tc>
          <w:tcPr>
            <w:tcW w:w="0" w:type="auto"/>
            <w:tcBorders>
              <w:top w:val="nil"/>
              <w:bottom w:val="nil"/>
            </w:tcBorders>
            <w:shd w:val="clear" w:color="auto" w:fill="auto"/>
          </w:tcPr>
          <w:p w14:paraId="17CF19C3"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5.8</w:t>
            </w:r>
          </w:p>
        </w:tc>
        <w:tc>
          <w:tcPr>
            <w:tcW w:w="0" w:type="auto"/>
            <w:tcBorders>
              <w:top w:val="nil"/>
              <w:bottom w:val="nil"/>
            </w:tcBorders>
            <w:shd w:val="clear" w:color="auto" w:fill="auto"/>
          </w:tcPr>
          <w:p w14:paraId="7F1C085B"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3.7</w:t>
            </w:r>
          </w:p>
        </w:tc>
        <w:tc>
          <w:tcPr>
            <w:tcW w:w="0" w:type="auto"/>
            <w:tcBorders>
              <w:top w:val="nil"/>
              <w:bottom w:val="nil"/>
            </w:tcBorders>
            <w:shd w:val="clear" w:color="auto" w:fill="auto"/>
          </w:tcPr>
          <w:p w14:paraId="717985F0"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3.9</w:t>
            </w:r>
          </w:p>
        </w:tc>
        <w:tc>
          <w:tcPr>
            <w:tcW w:w="0" w:type="auto"/>
            <w:tcBorders>
              <w:top w:val="nil"/>
              <w:bottom w:val="nil"/>
            </w:tcBorders>
            <w:shd w:val="clear" w:color="auto" w:fill="auto"/>
          </w:tcPr>
          <w:p w14:paraId="5E144431"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3.3</w:t>
            </w:r>
          </w:p>
        </w:tc>
        <w:tc>
          <w:tcPr>
            <w:tcW w:w="0" w:type="auto"/>
            <w:tcBorders>
              <w:top w:val="nil"/>
              <w:bottom w:val="nil"/>
            </w:tcBorders>
            <w:shd w:val="clear" w:color="auto" w:fill="auto"/>
          </w:tcPr>
          <w:p w14:paraId="4A88FD51"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3.6</w:t>
            </w:r>
          </w:p>
        </w:tc>
        <w:tc>
          <w:tcPr>
            <w:tcW w:w="0" w:type="auto"/>
            <w:tcBorders>
              <w:top w:val="nil"/>
              <w:bottom w:val="nil"/>
            </w:tcBorders>
            <w:shd w:val="clear" w:color="auto" w:fill="auto"/>
          </w:tcPr>
          <w:p w14:paraId="046AED63"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4.1</w:t>
            </w:r>
          </w:p>
        </w:tc>
      </w:tr>
      <w:tr w:rsidR="00EF4A2D" w:rsidRPr="00EF4A2D" w14:paraId="5CD2553F" w14:textId="77777777" w:rsidTr="000A364F">
        <w:trPr>
          <w:jc w:val="center"/>
        </w:trPr>
        <w:tc>
          <w:tcPr>
            <w:tcW w:w="0" w:type="auto"/>
            <w:tcBorders>
              <w:top w:val="nil"/>
              <w:bottom w:val="nil"/>
            </w:tcBorders>
            <w:shd w:val="clear" w:color="auto" w:fill="auto"/>
          </w:tcPr>
          <w:p w14:paraId="46A0D7E1" w14:textId="77777777" w:rsidR="00EF4A2D" w:rsidRPr="00EF4A2D" w:rsidRDefault="00EF4A2D" w:rsidP="00EF4A2D">
            <w:pPr>
              <w:jc w:val="both"/>
              <w:rPr>
                <w:rFonts w:eastAsia="Calibri"/>
                <w:sz w:val="20"/>
                <w:szCs w:val="20"/>
                <w:lang w:val="es-ES" w:eastAsia="en-US"/>
              </w:rPr>
            </w:pPr>
            <w:r w:rsidRPr="00EF4A2D">
              <w:rPr>
                <w:rFonts w:eastAsia="Calibri"/>
                <w:sz w:val="20"/>
                <w:szCs w:val="20"/>
                <w:lang w:val="es-ES" w:eastAsia="en-US"/>
              </w:rPr>
              <w:t>América del Norte</w:t>
            </w:r>
          </w:p>
        </w:tc>
        <w:tc>
          <w:tcPr>
            <w:tcW w:w="0" w:type="auto"/>
            <w:tcBorders>
              <w:top w:val="nil"/>
              <w:bottom w:val="nil"/>
            </w:tcBorders>
            <w:shd w:val="clear" w:color="auto" w:fill="auto"/>
          </w:tcPr>
          <w:p w14:paraId="23869E31"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6.6</w:t>
            </w:r>
          </w:p>
        </w:tc>
        <w:tc>
          <w:tcPr>
            <w:tcW w:w="0" w:type="auto"/>
            <w:tcBorders>
              <w:top w:val="nil"/>
              <w:bottom w:val="nil"/>
            </w:tcBorders>
            <w:shd w:val="clear" w:color="auto" w:fill="auto"/>
          </w:tcPr>
          <w:p w14:paraId="7E6F9444"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4.5</w:t>
            </w:r>
          </w:p>
        </w:tc>
        <w:tc>
          <w:tcPr>
            <w:tcW w:w="0" w:type="auto"/>
            <w:tcBorders>
              <w:top w:val="nil"/>
              <w:bottom w:val="nil"/>
            </w:tcBorders>
            <w:shd w:val="clear" w:color="auto" w:fill="auto"/>
          </w:tcPr>
          <w:p w14:paraId="1997E613"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2.8</w:t>
            </w:r>
          </w:p>
        </w:tc>
        <w:tc>
          <w:tcPr>
            <w:tcW w:w="0" w:type="auto"/>
            <w:tcBorders>
              <w:top w:val="nil"/>
              <w:bottom w:val="nil"/>
            </w:tcBorders>
            <w:shd w:val="clear" w:color="auto" w:fill="auto"/>
          </w:tcPr>
          <w:p w14:paraId="736213A2"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4.3</w:t>
            </w:r>
          </w:p>
        </w:tc>
        <w:tc>
          <w:tcPr>
            <w:tcW w:w="0" w:type="auto"/>
            <w:tcBorders>
              <w:top w:val="nil"/>
              <w:bottom w:val="nil"/>
            </w:tcBorders>
            <w:shd w:val="clear" w:color="auto" w:fill="auto"/>
          </w:tcPr>
          <w:p w14:paraId="1498188D"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4.5</w:t>
            </w:r>
          </w:p>
        </w:tc>
        <w:tc>
          <w:tcPr>
            <w:tcW w:w="0" w:type="auto"/>
            <w:tcBorders>
              <w:top w:val="nil"/>
              <w:bottom w:val="nil"/>
            </w:tcBorders>
            <w:shd w:val="clear" w:color="auto" w:fill="auto"/>
          </w:tcPr>
          <w:p w14:paraId="29F2A5E0"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4.9</w:t>
            </w:r>
          </w:p>
        </w:tc>
      </w:tr>
      <w:tr w:rsidR="00EF4A2D" w:rsidRPr="00EF4A2D" w14:paraId="18CB19B6" w14:textId="77777777" w:rsidTr="000A364F">
        <w:trPr>
          <w:jc w:val="center"/>
        </w:trPr>
        <w:tc>
          <w:tcPr>
            <w:tcW w:w="0" w:type="auto"/>
            <w:tcBorders>
              <w:top w:val="nil"/>
              <w:bottom w:val="nil"/>
            </w:tcBorders>
            <w:shd w:val="clear" w:color="auto" w:fill="auto"/>
          </w:tcPr>
          <w:p w14:paraId="0C1D27AF" w14:textId="77777777" w:rsidR="00EF4A2D" w:rsidRPr="00EF4A2D" w:rsidRDefault="00EF4A2D" w:rsidP="00EF4A2D">
            <w:pPr>
              <w:ind w:left="340" w:hanging="340"/>
              <w:jc w:val="both"/>
              <w:rPr>
                <w:rFonts w:eastAsia="Calibri"/>
                <w:sz w:val="20"/>
                <w:szCs w:val="20"/>
                <w:lang w:val="es-ES" w:eastAsia="en-US"/>
              </w:rPr>
            </w:pPr>
            <w:r w:rsidRPr="00EF4A2D">
              <w:rPr>
                <w:rFonts w:eastAsia="Calibri"/>
                <w:sz w:val="20"/>
                <w:szCs w:val="20"/>
                <w:lang w:val="es-ES" w:eastAsia="en-US"/>
              </w:rPr>
              <w:t>América del Sur y Central</w:t>
            </w:r>
          </w:p>
        </w:tc>
        <w:tc>
          <w:tcPr>
            <w:tcW w:w="0" w:type="auto"/>
            <w:tcBorders>
              <w:top w:val="nil"/>
              <w:bottom w:val="nil"/>
            </w:tcBorders>
            <w:shd w:val="clear" w:color="auto" w:fill="auto"/>
          </w:tcPr>
          <w:p w14:paraId="5588173A"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6.6</w:t>
            </w:r>
          </w:p>
        </w:tc>
        <w:tc>
          <w:tcPr>
            <w:tcW w:w="0" w:type="auto"/>
            <w:tcBorders>
              <w:top w:val="nil"/>
              <w:bottom w:val="nil"/>
            </w:tcBorders>
            <w:shd w:val="clear" w:color="auto" w:fill="auto"/>
          </w:tcPr>
          <w:p w14:paraId="60EFDDD1"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0.8</w:t>
            </w:r>
          </w:p>
        </w:tc>
        <w:tc>
          <w:tcPr>
            <w:tcW w:w="0" w:type="auto"/>
            <w:tcBorders>
              <w:top w:val="nil"/>
              <w:bottom w:val="nil"/>
            </w:tcBorders>
            <w:shd w:val="clear" w:color="auto" w:fill="auto"/>
          </w:tcPr>
          <w:p w14:paraId="6D1D7B48"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1.5</w:t>
            </w:r>
          </w:p>
        </w:tc>
        <w:tc>
          <w:tcPr>
            <w:tcW w:w="0" w:type="auto"/>
            <w:tcBorders>
              <w:top w:val="nil"/>
              <w:bottom w:val="nil"/>
            </w:tcBorders>
            <w:shd w:val="clear" w:color="auto" w:fill="auto"/>
          </w:tcPr>
          <w:p w14:paraId="1F0F69A0"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-2.5</w:t>
            </w:r>
          </w:p>
        </w:tc>
        <w:tc>
          <w:tcPr>
            <w:tcW w:w="0" w:type="auto"/>
            <w:tcBorders>
              <w:top w:val="nil"/>
              <w:bottom w:val="nil"/>
            </w:tcBorders>
            <w:shd w:val="clear" w:color="auto" w:fill="auto"/>
          </w:tcPr>
          <w:p w14:paraId="2D53EB54"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0.2</w:t>
            </w:r>
          </w:p>
        </w:tc>
        <w:tc>
          <w:tcPr>
            <w:tcW w:w="0" w:type="auto"/>
            <w:tcBorders>
              <w:top w:val="nil"/>
              <w:bottom w:val="nil"/>
            </w:tcBorders>
            <w:shd w:val="clear" w:color="auto" w:fill="auto"/>
          </w:tcPr>
          <w:p w14:paraId="0777C4F2"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1.6</w:t>
            </w:r>
          </w:p>
        </w:tc>
      </w:tr>
      <w:tr w:rsidR="00EF4A2D" w:rsidRPr="00EF4A2D" w14:paraId="20205046" w14:textId="77777777" w:rsidTr="000A364F">
        <w:trPr>
          <w:jc w:val="center"/>
        </w:trPr>
        <w:tc>
          <w:tcPr>
            <w:tcW w:w="0" w:type="auto"/>
            <w:tcBorders>
              <w:top w:val="nil"/>
              <w:bottom w:val="nil"/>
            </w:tcBorders>
            <w:shd w:val="clear" w:color="auto" w:fill="auto"/>
          </w:tcPr>
          <w:p w14:paraId="42A60B85" w14:textId="77777777" w:rsidR="00EF4A2D" w:rsidRPr="00EF4A2D" w:rsidRDefault="00EF4A2D" w:rsidP="00EF4A2D">
            <w:pPr>
              <w:jc w:val="both"/>
              <w:rPr>
                <w:rFonts w:eastAsia="Calibri"/>
                <w:sz w:val="20"/>
                <w:szCs w:val="20"/>
                <w:lang w:val="es-ES" w:eastAsia="en-US"/>
              </w:rPr>
            </w:pPr>
            <w:r w:rsidRPr="00EF4A2D">
              <w:rPr>
                <w:rFonts w:eastAsia="Calibri"/>
                <w:sz w:val="20"/>
                <w:szCs w:val="20"/>
                <w:lang w:val="es-ES" w:eastAsia="en-US"/>
              </w:rPr>
              <w:t>Europa</w:t>
            </w:r>
          </w:p>
        </w:tc>
        <w:tc>
          <w:tcPr>
            <w:tcW w:w="0" w:type="auto"/>
            <w:tcBorders>
              <w:top w:val="nil"/>
              <w:bottom w:val="nil"/>
            </w:tcBorders>
            <w:shd w:val="clear" w:color="auto" w:fill="auto"/>
          </w:tcPr>
          <w:p w14:paraId="7714D431"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5.6</w:t>
            </w:r>
          </w:p>
        </w:tc>
        <w:tc>
          <w:tcPr>
            <w:tcW w:w="0" w:type="auto"/>
            <w:tcBorders>
              <w:top w:val="nil"/>
              <w:bottom w:val="nil"/>
            </w:tcBorders>
            <w:shd w:val="clear" w:color="auto" w:fill="auto"/>
          </w:tcPr>
          <w:p w14:paraId="751D44B3"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0.8</w:t>
            </w:r>
          </w:p>
        </w:tc>
        <w:tc>
          <w:tcPr>
            <w:tcW w:w="0" w:type="auto"/>
            <w:tcBorders>
              <w:top w:val="nil"/>
              <w:bottom w:val="nil"/>
            </w:tcBorders>
            <w:shd w:val="clear" w:color="auto" w:fill="auto"/>
          </w:tcPr>
          <w:p w14:paraId="7EE16C41"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1.6</w:t>
            </w:r>
          </w:p>
        </w:tc>
        <w:tc>
          <w:tcPr>
            <w:tcW w:w="0" w:type="auto"/>
            <w:tcBorders>
              <w:top w:val="nil"/>
              <w:bottom w:val="nil"/>
            </w:tcBorders>
            <w:shd w:val="clear" w:color="auto" w:fill="auto"/>
          </w:tcPr>
          <w:p w14:paraId="2902E2BD"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1.9</w:t>
            </w:r>
          </w:p>
        </w:tc>
        <w:tc>
          <w:tcPr>
            <w:tcW w:w="0" w:type="auto"/>
            <w:tcBorders>
              <w:top w:val="nil"/>
              <w:bottom w:val="nil"/>
            </w:tcBorders>
            <w:shd w:val="clear" w:color="auto" w:fill="auto"/>
          </w:tcPr>
          <w:p w14:paraId="6EC14081"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3.0</w:t>
            </w:r>
          </w:p>
        </w:tc>
        <w:tc>
          <w:tcPr>
            <w:tcW w:w="0" w:type="auto"/>
            <w:tcBorders>
              <w:top w:val="nil"/>
              <w:bottom w:val="nil"/>
            </w:tcBorders>
            <w:shd w:val="clear" w:color="auto" w:fill="auto"/>
          </w:tcPr>
          <w:p w14:paraId="06D47886"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3.7</w:t>
            </w:r>
          </w:p>
        </w:tc>
      </w:tr>
      <w:tr w:rsidR="00EF4A2D" w:rsidRPr="00EF4A2D" w14:paraId="0C859051" w14:textId="77777777" w:rsidTr="000A364F">
        <w:trPr>
          <w:jc w:val="center"/>
        </w:trPr>
        <w:tc>
          <w:tcPr>
            <w:tcW w:w="0" w:type="auto"/>
            <w:tcBorders>
              <w:top w:val="nil"/>
              <w:bottom w:val="nil"/>
            </w:tcBorders>
            <w:shd w:val="clear" w:color="auto" w:fill="auto"/>
          </w:tcPr>
          <w:p w14:paraId="12B44BA0" w14:textId="77777777" w:rsidR="00EF4A2D" w:rsidRPr="00EF4A2D" w:rsidRDefault="00EF4A2D" w:rsidP="00EF4A2D">
            <w:pPr>
              <w:jc w:val="both"/>
              <w:rPr>
                <w:rFonts w:eastAsia="Calibri"/>
                <w:sz w:val="20"/>
                <w:szCs w:val="20"/>
                <w:lang w:val="es-ES" w:eastAsia="en-US"/>
              </w:rPr>
            </w:pPr>
            <w:r w:rsidRPr="00EF4A2D">
              <w:rPr>
                <w:rFonts w:eastAsia="Calibri"/>
                <w:sz w:val="20"/>
                <w:szCs w:val="20"/>
                <w:lang w:val="es-ES" w:eastAsia="en-US"/>
              </w:rPr>
              <w:t>Asia</w:t>
            </w:r>
          </w:p>
        </w:tc>
        <w:tc>
          <w:tcPr>
            <w:tcW w:w="0" w:type="auto"/>
            <w:tcBorders>
              <w:top w:val="nil"/>
              <w:bottom w:val="nil"/>
            </w:tcBorders>
            <w:shd w:val="clear" w:color="auto" w:fill="auto"/>
          </w:tcPr>
          <w:p w14:paraId="29C5E376"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6.4</w:t>
            </w:r>
          </w:p>
        </w:tc>
        <w:tc>
          <w:tcPr>
            <w:tcW w:w="0" w:type="auto"/>
            <w:tcBorders>
              <w:top w:val="nil"/>
              <w:bottom w:val="nil"/>
            </w:tcBorders>
            <w:shd w:val="clear" w:color="auto" w:fill="auto"/>
          </w:tcPr>
          <w:p w14:paraId="27B3F166"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2.7</w:t>
            </w:r>
          </w:p>
        </w:tc>
        <w:tc>
          <w:tcPr>
            <w:tcW w:w="0" w:type="auto"/>
            <w:tcBorders>
              <w:top w:val="nil"/>
              <w:bottom w:val="nil"/>
            </w:tcBorders>
            <w:shd w:val="clear" w:color="auto" w:fill="auto"/>
          </w:tcPr>
          <w:p w14:paraId="3D408D21"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5.0</w:t>
            </w:r>
          </w:p>
        </w:tc>
        <w:tc>
          <w:tcPr>
            <w:tcW w:w="0" w:type="auto"/>
            <w:tcBorders>
              <w:top w:val="nil"/>
              <w:bottom w:val="nil"/>
            </w:tcBorders>
            <w:shd w:val="clear" w:color="auto" w:fill="auto"/>
          </w:tcPr>
          <w:p w14:paraId="7072F1DE"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4.9</w:t>
            </w:r>
          </w:p>
        </w:tc>
        <w:tc>
          <w:tcPr>
            <w:tcW w:w="0" w:type="auto"/>
            <w:tcBorders>
              <w:top w:val="nil"/>
              <w:bottom w:val="nil"/>
            </w:tcBorders>
            <w:shd w:val="clear" w:color="auto" w:fill="auto"/>
          </w:tcPr>
          <w:p w14:paraId="04B5CB69"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5.0</w:t>
            </w:r>
          </w:p>
        </w:tc>
        <w:tc>
          <w:tcPr>
            <w:tcW w:w="0" w:type="auto"/>
            <w:tcBorders>
              <w:top w:val="nil"/>
              <w:bottom w:val="nil"/>
            </w:tcBorders>
            <w:shd w:val="clear" w:color="auto" w:fill="auto"/>
          </w:tcPr>
          <w:p w14:paraId="4D493510"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5.4</w:t>
            </w:r>
          </w:p>
        </w:tc>
      </w:tr>
      <w:tr w:rsidR="00EF4A2D" w:rsidRPr="00EF4A2D" w14:paraId="52113576" w14:textId="77777777" w:rsidTr="000A364F">
        <w:trPr>
          <w:jc w:val="center"/>
        </w:trPr>
        <w:tc>
          <w:tcPr>
            <w:tcW w:w="0" w:type="auto"/>
            <w:tcBorders>
              <w:top w:val="nil"/>
              <w:bottom w:val="nil"/>
            </w:tcBorders>
            <w:shd w:val="clear" w:color="auto" w:fill="auto"/>
          </w:tcPr>
          <w:p w14:paraId="7AFE1D4F" w14:textId="77777777" w:rsidR="00EF4A2D" w:rsidRPr="00EF4A2D" w:rsidRDefault="00EF4A2D" w:rsidP="00EF4A2D">
            <w:pPr>
              <w:jc w:val="both"/>
              <w:rPr>
                <w:rFonts w:eastAsia="Calibri"/>
                <w:sz w:val="20"/>
                <w:szCs w:val="20"/>
                <w:lang w:val="es-ES" w:eastAsia="en-US"/>
              </w:rPr>
            </w:pPr>
            <w:r w:rsidRPr="00EF4A2D">
              <w:rPr>
                <w:rFonts w:eastAsia="Calibri"/>
                <w:sz w:val="20"/>
                <w:szCs w:val="20"/>
                <w:lang w:val="es-ES" w:eastAsia="en-US"/>
              </w:rPr>
              <w:t xml:space="preserve">Otras regiones </w:t>
            </w:r>
            <w:proofErr w:type="spellStart"/>
            <w:r w:rsidRPr="00EF4A2D">
              <w:rPr>
                <w:rFonts w:eastAsia="Calibri"/>
                <w:sz w:val="20"/>
                <w:szCs w:val="20"/>
                <w:u w:val="single"/>
                <w:vertAlign w:val="superscript"/>
                <w:lang w:val="es-ES" w:eastAsia="en-US"/>
              </w:rPr>
              <w:t>b</w:t>
            </w:r>
            <w:r w:rsidRPr="00EF4A2D">
              <w:rPr>
                <w:rFonts w:eastAsia="Calibri"/>
                <w:sz w:val="20"/>
                <w:szCs w:val="20"/>
                <w:vertAlign w:val="superscript"/>
                <w:lang w:val="es-ES" w:eastAsia="en-US"/>
              </w:rPr>
              <w:t>/</w:t>
            </w:r>
            <w:proofErr w:type="spellEnd"/>
          </w:p>
        </w:tc>
        <w:tc>
          <w:tcPr>
            <w:tcW w:w="0" w:type="auto"/>
            <w:tcBorders>
              <w:top w:val="nil"/>
              <w:bottom w:val="nil"/>
            </w:tcBorders>
            <w:shd w:val="clear" w:color="auto" w:fill="auto"/>
          </w:tcPr>
          <w:p w14:paraId="01B74E26"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2.0</w:t>
            </w:r>
          </w:p>
        </w:tc>
        <w:tc>
          <w:tcPr>
            <w:tcW w:w="0" w:type="auto"/>
            <w:tcBorders>
              <w:top w:val="nil"/>
              <w:bottom w:val="nil"/>
            </w:tcBorders>
            <w:shd w:val="clear" w:color="auto" w:fill="auto"/>
          </w:tcPr>
          <w:p w14:paraId="703DB163"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4.0</w:t>
            </w:r>
          </w:p>
        </w:tc>
        <w:tc>
          <w:tcPr>
            <w:tcW w:w="0" w:type="auto"/>
            <w:tcBorders>
              <w:top w:val="nil"/>
              <w:bottom w:val="nil"/>
            </w:tcBorders>
            <w:shd w:val="clear" w:color="auto" w:fill="auto"/>
          </w:tcPr>
          <w:p w14:paraId="09CB1BE8"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0.7</w:t>
            </w:r>
          </w:p>
        </w:tc>
        <w:tc>
          <w:tcPr>
            <w:tcW w:w="0" w:type="auto"/>
            <w:tcBorders>
              <w:top w:val="nil"/>
              <w:bottom w:val="nil"/>
            </w:tcBorders>
            <w:shd w:val="clear" w:color="auto" w:fill="auto"/>
          </w:tcPr>
          <w:p w14:paraId="4FFA3DEA"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0.1</w:t>
            </w:r>
          </w:p>
        </w:tc>
        <w:tc>
          <w:tcPr>
            <w:tcW w:w="0" w:type="auto"/>
            <w:tcBorders>
              <w:top w:val="nil"/>
              <w:bottom w:val="nil"/>
            </w:tcBorders>
            <w:shd w:val="clear" w:color="auto" w:fill="auto"/>
          </w:tcPr>
          <w:p w14:paraId="4E262169"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-0.6</w:t>
            </w:r>
          </w:p>
        </w:tc>
        <w:tc>
          <w:tcPr>
            <w:tcW w:w="0" w:type="auto"/>
            <w:tcBorders>
              <w:top w:val="nil"/>
              <w:bottom w:val="nil"/>
            </w:tcBorders>
            <w:shd w:val="clear" w:color="auto" w:fill="auto"/>
          </w:tcPr>
          <w:p w14:paraId="27DC8619"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0.3</w:t>
            </w:r>
          </w:p>
        </w:tc>
      </w:tr>
      <w:tr w:rsidR="00EF4A2D" w:rsidRPr="00EF4A2D" w14:paraId="231D6240" w14:textId="77777777" w:rsidTr="000A364F">
        <w:trPr>
          <w:jc w:val="center"/>
        </w:trPr>
        <w:tc>
          <w:tcPr>
            <w:tcW w:w="0" w:type="auto"/>
            <w:tcBorders>
              <w:top w:val="nil"/>
              <w:bottom w:val="nil"/>
            </w:tcBorders>
            <w:shd w:val="clear" w:color="auto" w:fill="auto"/>
          </w:tcPr>
          <w:p w14:paraId="793CDB89" w14:textId="77777777" w:rsidR="00EF4A2D" w:rsidRPr="00EF4A2D" w:rsidRDefault="00EF4A2D" w:rsidP="00EF4A2D">
            <w:pPr>
              <w:jc w:val="both"/>
              <w:rPr>
                <w:rFonts w:eastAsia="Calibri"/>
                <w:b/>
                <w:sz w:val="20"/>
                <w:szCs w:val="20"/>
                <w:lang w:val="es-ES" w:eastAsia="en-US"/>
              </w:rPr>
            </w:pPr>
            <w:r w:rsidRPr="00EF4A2D">
              <w:rPr>
                <w:rFonts w:eastAsia="Calibri"/>
                <w:b/>
                <w:sz w:val="20"/>
                <w:szCs w:val="20"/>
                <w:lang w:val="es-ES" w:eastAsia="en-US"/>
              </w:rPr>
              <w:t>Importaciones</w:t>
            </w:r>
          </w:p>
        </w:tc>
        <w:tc>
          <w:tcPr>
            <w:tcW w:w="0" w:type="auto"/>
            <w:tcBorders>
              <w:top w:val="nil"/>
              <w:bottom w:val="nil"/>
            </w:tcBorders>
            <w:shd w:val="clear" w:color="auto" w:fill="auto"/>
          </w:tcPr>
          <w:p w14:paraId="2EBF17A6" w14:textId="77777777" w:rsidR="00EF4A2D" w:rsidRPr="00EF4A2D" w:rsidRDefault="00EF4A2D" w:rsidP="00EF4A2D">
            <w:pPr>
              <w:jc w:val="right"/>
              <w:rPr>
                <w:rFonts w:eastAsia="Calibri"/>
                <w:sz w:val="20"/>
                <w:szCs w:val="20"/>
                <w:lang w:val="es-ES" w:eastAsia="en-US"/>
              </w:rPr>
            </w:pPr>
          </w:p>
        </w:tc>
        <w:tc>
          <w:tcPr>
            <w:tcW w:w="0" w:type="auto"/>
            <w:tcBorders>
              <w:top w:val="nil"/>
              <w:bottom w:val="nil"/>
            </w:tcBorders>
            <w:shd w:val="clear" w:color="auto" w:fill="auto"/>
          </w:tcPr>
          <w:p w14:paraId="73FAFEF6" w14:textId="77777777" w:rsidR="00EF4A2D" w:rsidRPr="00EF4A2D" w:rsidRDefault="00EF4A2D" w:rsidP="00EF4A2D">
            <w:pPr>
              <w:jc w:val="right"/>
              <w:rPr>
                <w:rFonts w:eastAsia="Calibri"/>
                <w:sz w:val="20"/>
                <w:szCs w:val="20"/>
                <w:lang w:val="es-ES" w:eastAsia="en-US"/>
              </w:rPr>
            </w:pPr>
          </w:p>
        </w:tc>
        <w:tc>
          <w:tcPr>
            <w:tcW w:w="0" w:type="auto"/>
            <w:tcBorders>
              <w:top w:val="nil"/>
              <w:bottom w:val="nil"/>
            </w:tcBorders>
            <w:shd w:val="clear" w:color="auto" w:fill="auto"/>
          </w:tcPr>
          <w:p w14:paraId="7F142464" w14:textId="77777777" w:rsidR="00EF4A2D" w:rsidRPr="00EF4A2D" w:rsidRDefault="00EF4A2D" w:rsidP="00EF4A2D">
            <w:pPr>
              <w:jc w:val="right"/>
              <w:rPr>
                <w:rFonts w:eastAsia="Calibri"/>
                <w:sz w:val="20"/>
                <w:szCs w:val="20"/>
                <w:lang w:val="es-ES" w:eastAsia="en-US"/>
              </w:rPr>
            </w:pPr>
          </w:p>
        </w:tc>
        <w:tc>
          <w:tcPr>
            <w:tcW w:w="0" w:type="auto"/>
            <w:tcBorders>
              <w:top w:val="nil"/>
              <w:bottom w:val="nil"/>
            </w:tcBorders>
            <w:shd w:val="clear" w:color="auto" w:fill="auto"/>
          </w:tcPr>
          <w:p w14:paraId="42C50870" w14:textId="77777777" w:rsidR="00EF4A2D" w:rsidRPr="00EF4A2D" w:rsidRDefault="00EF4A2D" w:rsidP="00EF4A2D">
            <w:pPr>
              <w:jc w:val="right"/>
              <w:rPr>
                <w:rFonts w:eastAsia="Calibri"/>
                <w:sz w:val="20"/>
                <w:szCs w:val="20"/>
                <w:lang w:val="es-ES" w:eastAsia="en-US"/>
              </w:rPr>
            </w:pPr>
          </w:p>
        </w:tc>
        <w:tc>
          <w:tcPr>
            <w:tcW w:w="0" w:type="auto"/>
            <w:tcBorders>
              <w:top w:val="nil"/>
              <w:bottom w:val="nil"/>
            </w:tcBorders>
            <w:shd w:val="clear" w:color="auto" w:fill="auto"/>
          </w:tcPr>
          <w:p w14:paraId="1BE1911F" w14:textId="77777777" w:rsidR="00EF4A2D" w:rsidRPr="00EF4A2D" w:rsidRDefault="00EF4A2D" w:rsidP="00EF4A2D">
            <w:pPr>
              <w:jc w:val="right"/>
              <w:rPr>
                <w:rFonts w:eastAsia="Calibri"/>
                <w:sz w:val="20"/>
                <w:szCs w:val="20"/>
                <w:lang w:val="es-ES" w:eastAsia="en-US"/>
              </w:rPr>
            </w:pPr>
          </w:p>
        </w:tc>
        <w:tc>
          <w:tcPr>
            <w:tcW w:w="0" w:type="auto"/>
            <w:tcBorders>
              <w:top w:val="nil"/>
              <w:bottom w:val="nil"/>
            </w:tcBorders>
            <w:shd w:val="clear" w:color="auto" w:fill="auto"/>
          </w:tcPr>
          <w:p w14:paraId="37892356" w14:textId="77777777" w:rsidR="00EF4A2D" w:rsidRPr="00EF4A2D" w:rsidRDefault="00EF4A2D" w:rsidP="00EF4A2D">
            <w:pPr>
              <w:jc w:val="right"/>
              <w:rPr>
                <w:rFonts w:eastAsia="Calibri"/>
                <w:sz w:val="20"/>
                <w:szCs w:val="20"/>
                <w:lang w:val="es-ES" w:eastAsia="en-US"/>
              </w:rPr>
            </w:pPr>
          </w:p>
        </w:tc>
      </w:tr>
      <w:tr w:rsidR="00EF4A2D" w:rsidRPr="00EF4A2D" w14:paraId="1F2F65B4" w14:textId="77777777" w:rsidTr="000A364F">
        <w:trPr>
          <w:jc w:val="center"/>
        </w:trPr>
        <w:tc>
          <w:tcPr>
            <w:tcW w:w="0" w:type="auto"/>
            <w:tcBorders>
              <w:top w:val="nil"/>
              <w:bottom w:val="nil"/>
            </w:tcBorders>
            <w:shd w:val="clear" w:color="auto" w:fill="auto"/>
          </w:tcPr>
          <w:p w14:paraId="394EFA15" w14:textId="77777777" w:rsidR="00EF4A2D" w:rsidRPr="00EF4A2D" w:rsidRDefault="00EF4A2D" w:rsidP="00EF4A2D">
            <w:pPr>
              <w:jc w:val="both"/>
              <w:rPr>
                <w:rFonts w:eastAsia="Calibri"/>
                <w:sz w:val="20"/>
                <w:szCs w:val="20"/>
                <w:lang w:val="es-ES" w:eastAsia="en-US"/>
              </w:rPr>
            </w:pPr>
            <w:r w:rsidRPr="00EF4A2D">
              <w:rPr>
                <w:rFonts w:eastAsia="Calibri"/>
                <w:sz w:val="20"/>
                <w:szCs w:val="20"/>
                <w:lang w:val="es-ES" w:eastAsia="en-US"/>
              </w:rPr>
              <w:t>Economías desarrolladas</w:t>
            </w:r>
          </w:p>
        </w:tc>
        <w:tc>
          <w:tcPr>
            <w:tcW w:w="0" w:type="auto"/>
            <w:tcBorders>
              <w:top w:val="nil"/>
              <w:bottom w:val="nil"/>
            </w:tcBorders>
            <w:shd w:val="clear" w:color="auto" w:fill="auto"/>
          </w:tcPr>
          <w:p w14:paraId="25DCC063"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3.4</w:t>
            </w:r>
          </w:p>
        </w:tc>
        <w:tc>
          <w:tcPr>
            <w:tcW w:w="0" w:type="auto"/>
            <w:tcBorders>
              <w:top w:val="nil"/>
              <w:bottom w:val="nil"/>
            </w:tcBorders>
            <w:shd w:val="clear" w:color="auto" w:fill="auto"/>
          </w:tcPr>
          <w:p w14:paraId="20CD57C1"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-0.1</w:t>
            </w:r>
          </w:p>
        </w:tc>
        <w:tc>
          <w:tcPr>
            <w:tcW w:w="0" w:type="auto"/>
            <w:tcBorders>
              <w:top w:val="nil"/>
              <w:bottom w:val="nil"/>
            </w:tcBorders>
            <w:shd w:val="clear" w:color="auto" w:fill="auto"/>
          </w:tcPr>
          <w:p w14:paraId="00AC4D07"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-0.2</w:t>
            </w:r>
          </w:p>
        </w:tc>
        <w:tc>
          <w:tcPr>
            <w:tcW w:w="0" w:type="auto"/>
            <w:tcBorders>
              <w:top w:val="nil"/>
              <w:bottom w:val="nil"/>
            </w:tcBorders>
            <w:shd w:val="clear" w:color="auto" w:fill="auto"/>
          </w:tcPr>
          <w:p w14:paraId="6D13A4B6"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3.2</w:t>
            </w:r>
          </w:p>
        </w:tc>
        <w:tc>
          <w:tcPr>
            <w:tcW w:w="0" w:type="auto"/>
            <w:tcBorders>
              <w:top w:val="nil"/>
              <w:bottom w:val="nil"/>
            </w:tcBorders>
            <w:shd w:val="clear" w:color="auto" w:fill="auto"/>
          </w:tcPr>
          <w:p w14:paraId="25A2C98A"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3.2</w:t>
            </w:r>
          </w:p>
        </w:tc>
        <w:tc>
          <w:tcPr>
            <w:tcW w:w="0" w:type="auto"/>
            <w:tcBorders>
              <w:top w:val="nil"/>
              <w:bottom w:val="nil"/>
            </w:tcBorders>
            <w:shd w:val="clear" w:color="auto" w:fill="auto"/>
          </w:tcPr>
          <w:p w14:paraId="711A760B"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3.5</w:t>
            </w:r>
          </w:p>
        </w:tc>
      </w:tr>
      <w:tr w:rsidR="00EF4A2D" w:rsidRPr="00EF4A2D" w14:paraId="1A4E1EAC" w14:textId="77777777" w:rsidTr="000A364F">
        <w:trPr>
          <w:jc w:val="center"/>
        </w:trPr>
        <w:tc>
          <w:tcPr>
            <w:tcW w:w="0" w:type="auto"/>
            <w:tcBorders>
              <w:top w:val="nil"/>
              <w:bottom w:val="nil"/>
            </w:tcBorders>
            <w:shd w:val="clear" w:color="auto" w:fill="auto"/>
          </w:tcPr>
          <w:p w14:paraId="785D7ED5" w14:textId="77777777" w:rsidR="00EF4A2D" w:rsidRPr="00EF4A2D" w:rsidRDefault="00EF4A2D" w:rsidP="00EF4A2D">
            <w:pPr>
              <w:jc w:val="both"/>
              <w:rPr>
                <w:rFonts w:eastAsia="Calibri"/>
                <w:sz w:val="20"/>
                <w:szCs w:val="20"/>
                <w:lang w:val="es-ES" w:eastAsia="en-US"/>
              </w:rPr>
            </w:pPr>
            <w:r w:rsidRPr="00EF4A2D">
              <w:rPr>
                <w:rFonts w:eastAsia="Calibri"/>
                <w:sz w:val="20"/>
                <w:szCs w:val="20"/>
                <w:lang w:val="es-ES" w:eastAsia="en-US"/>
              </w:rPr>
              <w:t>Economías en desarrollo y emergentes</w:t>
            </w:r>
          </w:p>
        </w:tc>
        <w:tc>
          <w:tcPr>
            <w:tcW w:w="0" w:type="auto"/>
            <w:tcBorders>
              <w:top w:val="nil"/>
              <w:bottom w:val="nil"/>
            </w:tcBorders>
            <w:shd w:val="clear" w:color="auto" w:fill="auto"/>
          </w:tcPr>
          <w:p w14:paraId="35D7A66B"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7.8</w:t>
            </w:r>
          </w:p>
        </w:tc>
        <w:tc>
          <w:tcPr>
            <w:tcW w:w="0" w:type="auto"/>
            <w:tcBorders>
              <w:top w:val="nil"/>
              <w:bottom w:val="nil"/>
            </w:tcBorders>
            <w:shd w:val="clear" w:color="auto" w:fill="auto"/>
          </w:tcPr>
          <w:p w14:paraId="2D182639"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4.9</w:t>
            </w:r>
          </w:p>
        </w:tc>
        <w:tc>
          <w:tcPr>
            <w:tcW w:w="0" w:type="auto"/>
            <w:tcBorders>
              <w:top w:val="nil"/>
              <w:bottom w:val="nil"/>
            </w:tcBorders>
            <w:shd w:val="clear" w:color="auto" w:fill="auto"/>
          </w:tcPr>
          <w:p w14:paraId="127F19E6"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5.3</w:t>
            </w:r>
          </w:p>
        </w:tc>
        <w:tc>
          <w:tcPr>
            <w:tcW w:w="0" w:type="auto"/>
            <w:tcBorders>
              <w:top w:val="nil"/>
              <w:bottom w:val="nil"/>
            </w:tcBorders>
            <w:shd w:val="clear" w:color="auto" w:fill="auto"/>
          </w:tcPr>
          <w:p w14:paraId="31114115"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2.0</w:t>
            </w:r>
          </w:p>
        </w:tc>
        <w:tc>
          <w:tcPr>
            <w:tcW w:w="0" w:type="auto"/>
            <w:tcBorders>
              <w:top w:val="nil"/>
              <w:bottom w:val="nil"/>
            </w:tcBorders>
            <w:shd w:val="clear" w:color="auto" w:fill="auto"/>
          </w:tcPr>
          <w:p w14:paraId="7DFA82C4"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3.7</w:t>
            </w:r>
          </w:p>
        </w:tc>
        <w:tc>
          <w:tcPr>
            <w:tcW w:w="0" w:type="auto"/>
            <w:tcBorders>
              <w:top w:val="nil"/>
              <w:bottom w:val="nil"/>
            </w:tcBorders>
            <w:shd w:val="clear" w:color="auto" w:fill="auto"/>
          </w:tcPr>
          <w:p w14:paraId="0E7785A1"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5.0</w:t>
            </w:r>
          </w:p>
        </w:tc>
      </w:tr>
      <w:tr w:rsidR="00EF4A2D" w:rsidRPr="00EF4A2D" w14:paraId="2CC404BF" w14:textId="77777777" w:rsidTr="000A364F">
        <w:trPr>
          <w:jc w:val="center"/>
        </w:trPr>
        <w:tc>
          <w:tcPr>
            <w:tcW w:w="0" w:type="auto"/>
            <w:tcBorders>
              <w:top w:val="nil"/>
              <w:bottom w:val="nil"/>
            </w:tcBorders>
            <w:shd w:val="clear" w:color="auto" w:fill="auto"/>
          </w:tcPr>
          <w:p w14:paraId="41FB7444" w14:textId="77777777" w:rsidR="00EF4A2D" w:rsidRPr="00EF4A2D" w:rsidRDefault="00EF4A2D" w:rsidP="00EF4A2D">
            <w:pPr>
              <w:jc w:val="both"/>
              <w:rPr>
                <w:rFonts w:eastAsia="Calibri"/>
                <w:sz w:val="20"/>
                <w:szCs w:val="20"/>
                <w:lang w:val="es-ES" w:eastAsia="en-US"/>
              </w:rPr>
            </w:pPr>
            <w:r w:rsidRPr="00EF4A2D">
              <w:rPr>
                <w:rFonts w:eastAsia="Calibri"/>
                <w:sz w:val="20"/>
                <w:szCs w:val="20"/>
                <w:lang w:val="es-ES" w:eastAsia="en-US"/>
              </w:rPr>
              <w:t>América del Norte</w:t>
            </w:r>
          </w:p>
        </w:tc>
        <w:tc>
          <w:tcPr>
            <w:tcW w:w="0" w:type="auto"/>
            <w:tcBorders>
              <w:top w:val="nil"/>
              <w:bottom w:val="nil"/>
            </w:tcBorders>
            <w:shd w:val="clear" w:color="auto" w:fill="auto"/>
          </w:tcPr>
          <w:p w14:paraId="66A82EFD"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4.4</w:t>
            </w:r>
          </w:p>
        </w:tc>
        <w:tc>
          <w:tcPr>
            <w:tcW w:w="0" w:type="auto"/>
            <w:tcBorders>
              <w:top w:val="nil"/>
              <w:bottom w:val="nil"/>
            </w:tcBorders>
            <w:shd w:val="clear" w:color="auto" w:fill="auto"/>
          </w:tcPr>
          <w:p w14:paraId="5D1F9B64"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3.2</w:t>
            </w:r>
          </w:p>
        </w:tc>
        <w:tc>
          <w:tcPr>
            <w:tcW w:w="0" w:type="auto"/>
            <w:tcBorders>
              <w:top w:val="nil"/>
              <w:bottom w:val="nil"/>
            </w:tcBorders>
            <w:shd w:val="clear" w:color="auto" w:fill="auto"/>
          </w:tcPr>
          <w:p w14:paraId="2099325B"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1.1</w:t>
            </w:r>
          </w:p>
        </w:tc>
        <w:tc>
          <w:tcPr>
            <w:tcW w:w="0" w:type="auto"/>
            <w:tcBorders>
              <w:top w:val="nil"/>
              <w:bottom w:val="nil"/>
            </w:tcBorders>
            <w:shd w:val="clear" w:color="auto" w:fill="auto"/>
          </w:tcPr>
          <w:p w14:paraId="302D9D88"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4.4</w:t>
            </w:r>
          </w:p>
        </w:tc>
        <w:tc>
          <w:tcPr>
            <w:tcW w:w="0" w:type="auto"/>
            <w:tcBorders>
              <w:top w:val="nil"/>
              <w:bottom w:val="nil"/>
            </w:tcBorders>
            <w:shd w:val="clear" w:color="auto" w:fill="auto"/>
          </w:tcPr>
          <w:p w14:paraId="61014764"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4.9</w:t>
            </w:r>
          </w:p>
        </w:tc>
        <w:tc>
          <w:tcPr>
            <w:tcW w:w="0" w:type="auto"/>
            <w:tcBorders>
              <w:top w:val="nil"/>
              <w:bottom w:val="nil"/>
            </w:tcBorders>
            <w:shd w:val="clear" w:color="auto" w:fill="auto"/>
          </w:tcPr>
          <w:p w14:paraId="091CB121"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5.1</w:t>
            </w:r>
          </w:p>
        </w:tc>
      </w:tr>
      <w:tr w:rsidR="00EF4A2D" w:rsidRPr="00EF4A2D" w14:paraId="25CBCA36" w14:textId="77777777" w:rsidTr="000A364F">
        <w:trPr>
          <w:jc w:val="center"/>
        </w:trPr>
        <w:tc>
          <w:tcPr>
            <w:tcW w:w="0" w:type="auto"/>
            <w:tcBorders>
              <w:top w:val="nil"/>
              <w:bottom w:val="nil"/>
            </w:tcBorders>
            <w:shd w:val="clear" w:color="auto" w:fill="auto"/>
          </w:tcPr>
          <w:p w14:paraId="76F6F158" w14:textId="77777777" w:rsidR="00EF4A2D" w:rsidRPr="00EF4A2D" w:rsidRDefault="00EF4A2D" w:rsidP="00EF4A2D">
            <w:pPr>
              <w:ind w:left="340" w:hanging="340"/>
              <w:jc w:val="both"/>
              <w:rPr>
                <w:rFonts w:eastAsia="Calibri"/>
                <w:sz w:val="20"/>
                <w:szCs w:val="20"/>
                <w:lang w:val="es-ES" w:eastAsia="en-US"/>
              </w:rPr>
            </w:pPr>
            <w:r w:rsidRPr="00EF4A2D">
              <w:rPr>
                <w:rFonts w:eastAsia="Calibri"/>
                <w:sz w:val="20"/>
                <w:szCs w:val="20"/>
                <w:lang w:val="es-ES" w:eastAsia="en-US"/>
              </w:rPr>
              <w:t>América del Sur y Central</w:t>
            </w:r>
          </w:p>
        </w:tc>
        <w:tc>
          <w:tcPr>
            <w:tcW w:w="0" w:type="auto"/>
            <w:tcBorders>
              <w:top w:val="nil"/>
              <w:bottom w:val="nil"/>
            </w:tcBorders>
            <w:shd w:val="clear" w:color="auto" w:fill="auto"/>
          </w:tcPr>
          <w:p w14:paraId="7A95B4A0"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12.6</w:t>
            </w:r>
          </w:p>
        </w:tc>
        <w:tc>
          <w:tcPr>
            <w:tcW w:w="0" w:type="auto"/>
            <w:tcBorders>
              <w:top w:val="nil"/>
              <w:bottom w:val="nil"/>
            </w:tcBorders>
            <w:shd w:val="clear" w:color="auto" w:fill="auto"/>
          </w:tcPr>
          <w:p w14:paraId="5C3F6179"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2.3</w:t>
            </w:r>
          </w:p>
        </w:tc>
        <w:tc>
          <w:tcPr>
            <w:tcW w:w="0" w:type="auto"/>
            <w:tcBorders>
              <w:top w:val="nil"/>
              <w:bottom w:val="nil"/>
            </w:tcBorders>
            <w:shd w:val="clear" w:color="auto" w:fill="auto"/>
          </w:tcPr>
          <w:p w14:paraId="068B48D6"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3.2</w:t>
            </w:r>
          </w:p>
        </w:tc>
        <w:tc>
          <w:tcPr>
            <w:tcW w:w="0" w:type="auto"/>
            <w:tcBorders>
              <w:top w:val="nil"/>
              <w:bottom w:val="nil"/>
            </w:tcBorders>
            <w:shd w:val="clear" w:color="auto" w:fill="auto"/>
          </w:tcPr>
          <w:p w14:paraId="2875E01B"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-3.0</w:t>
            </w:r>
          </w:p>
        </w:tc>
        <w:tc>
          <w:tcPr>
            <w:tcW w:w="0" w:type="auto"/>
            <w:tcBorders>
              <w:top w:val="nil"/>
              <w:bottom w:val="nil"/>
            </w:tcBorders>
            <w:shd w:val="clear" w:color="auto" w:fill="auto"/>
          </w:tcPr>
          <w:p w14:paraId="4D2345A6"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-0.5</w:t>
            </w:r>
          </w:p>
        </w:tc>
        <w:tc>
          <w:tcPr>
            <w:tcW w:w="0" w:type="auto"/>
            <w:tcBorders>
              <w:top w:val="nil"/>
              <w:bottom w:val="nil"/>
            </w:tcBorders>
            <w:shd w:val="clear" w:color="auto" w:fill="auto"/>
          </w:tcPr>
          <w:p w14:paraId="5D33C2FA"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3.1</w:t>
            </w:r>
          </w:p>
        </w:tc>
      </w:tr>
      <w:tr w:rsidR="00EF4A2D" w:rsidRPr="00EF4A2D" w14:paraId="7FCA4DCA" w14:textId="77777777" w:rsidTr="000A364F">
        <w:trPr>
          <w:jc w:val="center"/>
        </w:trPr>
        <w:tc>
          <w:tcPr>
            <w:tcW w:w="0" w:type="auto"/>
            <w:tcBorders>
              <w:top w:val="nil"/>
              <w:bottom w:val="nil"/>
            </w:tcBorders>
            <w:shd w:val="clear" w:color="auto" w:fill="auto"/>
          </w:tcPr>
          <w:p w14:paraId="161947D8" w14:textId="77777777" w:rsidR="00EF4A2D" w:rsidRPr="00EF4A2D" w:rsidRDefault="00EF4A2D" w:rsidP="00EF4A2D">
            <w:pPr>
              <w:jc w:val="both"/>
              <w:rPr>
                <w:rFonts w:eastAsia="Calibri"/>
                <w:sz w:val="20"/>
                <w:szCs w:val="20"/>
                <w:lang w:val="es-ES" w:eastAsia="en-US"/>
              </w:rPr>
            </w:pPr>
            <w:r w:rsidRPr="00EF4A2D">
              <w:rPr>
                <w:rFonts w:eastAsia="Calibri"/>
                <w:sz w:val="20"/>
                <w:szCs w:val="20"/>
                <w:lang w:val="es-ES" w:eastAsia="en-US"/>
              </w:rPr>
              <w:t>Europa</w:t>
            </w:r>
          </w:p>
        </w:tc>
        <w:tc>
          <w:tcPr>
            <w:tcW w:w="0" w:type="auto"/>
            <w:tcBorders>
              <w:top w:val="nil"/>
              <w:bottom w:val="nil"/>
            </w:tcBorders>
            <w:shd w:val="clear" w:color="auto" w:fill="auto"/>
          </w:tcPr>
          <w:p w14:paraId="62E5F538"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3.2</w:t>
            </w:r>
          </w:p>
        </w:tc>
        <w:tc>
          <w:tcPr>
            <w:tcW w:w="0" w:type="auto"/>
            <w:tcBorders>
              <w:top w:val="nil"/>
              <w:bottom w:val="nil"/>
            </w:tcBorders>
            <w:shd w:val="clear" w:color="auto" w:fill="auto"/>
          </w:tcPr>
          <w:p w14:paraId="2AFD57B0"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-1.8</w:t>
            </w:r>
          </w:p>
        </w:tc>
        <w:tc>
          <w:tcPr>
            <w:tcW w:w="0" w:type="auto"/>
            <w:tcBorders>
              <w:top w:val="nil"/>
              <w:bottom w:val="nil"/>
            </w:tcBorders>
            <w:shd w:val="clear" w:color="auto" w:fill="auto"/>
          </w:tcPr>
          <w:p w14:paraId="5419B575"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-0.3</w:t>
            </w:r>
          </w:p>
        </w:tc>
        <w:tc>
          <w:tcPr>
            <w:tcW w:w="0" w:type="auto"/>
            <w:tcBorders>
              <w:top w:val="nil"/>
              <w:bottom w:val="nil"/>
            </w:tcBorders>
            <w:shd w:val="clear" w:color="auto" w:fill="auto"/>
          </w:tcPr>
          <w:p w14:paraId="79531E05"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2.8</w:t>
            </w:r>
          </w:p>
        </w:tc>
        <w:tc>
          <w:tcPr>
            <w:tcW w:w="0" w:type="auto"/>
            <w:tcBorders>
              <w:top w:val="nil"/>
              <w:bottom w:val="nil"/>
            </w:tcBorders>
            <w:shd w:val="clear" w:color="auto" w:fill="auto"/>
          </w:tcPr>
          <w:p w14:paraId="04B3A1D4"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2.7</w:t>
            </w:r>
          </w:p>
        </w:tc>
        <w:tc>
          <w:tcPr>
            <w:tcW w:w="0" w:type="auto"/>
            <w:tcBorders>
              <w:top w:val="nil"/>
              <w:bottom w:val="nil"/>
            </w:tcBorders>
            <w:shd w:val="clear" w:color="auto" w:fill="auto"/>
          </w:tcPr>
          <w:p w14:paraId="7A53E6CD"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3.1</w:t>
            </w:r>
          </w:p>
        </w:tc>
      </w:tr>
      <w:tr w:rsidR="00EF4A2D" w:rsidRPr="00EF4A2D" w14:paraId="18B59006" w14:textId="77777777" w:rsidTr="000A364F">
        <w:trPr>
          <w:jc w:val="center"/>
        </w:trPr>
        <w:tc>
          <w:tcPr>
            <w:tcW w:w="0" w:type="auto"/>
            <w:tcBorders>
              <w:top w:val="nil"/>
              <w:bottom w:val="nil"/>
            </w:tcBorders>
            <w:shd w:val="clear" w:color="auto" w:fill="auto"/>
          </w:tcPr>
          <w:p w14:paraId="0F174063" w14:textId="77777777" w:rsidR="00EF4A2D" w:rsidRPr="00EF4A2D" w:rsidRDefault="00EF4A2D" w:rsidP="00EF4A2D">
            <w:pPr>
              <w:jc w:val="both"/>
              <w:rPr>
                <w:rFonts w:eastAsia="Calibri"/>
                <w:sz w:val="20"/>
                <w:szCs w:val="20"/>
                <w:lang w:val="es-ES" w:eastAsia="en-US"/>
              </w:rPr>
            </w:pPr>
            <w:r w:rsidRPr="00EF4A2D">
              <w:rPr>
                <w:rFonts w:eastAsia="Calibri"/>
                <w:sz w:val="20"/>
                <w:szCs w:val="20"/>
                <w:lang w:val="es-ES" w:eastAsia="en-US"/>
              </w:rPr>
              <w:t>Asia</w:t>
            </w:r>
          </w:p>
        </w:tc>
        <w:tc>
          <w:tcPr>
            <w:tcW w:w="0" w:type="auto"/>
            <w:tcBorders>
              <w:top w:val="nil"/>
              <w:bottom w:val="nil"/>
            </w:tcBorders>
            <w:shd w:val="clear" w:color="auto" w:fill="auto"/>
          </w:tcPr>
          <w:p w14:paraId="0A0DCF24"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6.5</w:t>
            </w:r>
          </w:p>
        </w:tc>
        <w:tc>
          <w:tcPr>
            <w:tcW w:w="0" w:type="auto"/>
            <w:tcBorders>
              <w:top w:val="nil"/>
              <w:bottom w:val="nil"/>
            </w:tcBorders>
            <w:shd w:val="clear" w:color="auto" w:fill="auto"/>
          </w:tcPr>
          <w:p w14:paraId="4ED03BE5"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3.6</w:t>
            </w:r>
          </w:p>
        </w:tc>
        <w:tc>
          <w:tcPr>
            <w:tcW w:w="0" w:type="auto"/>
            <w:tcBorders>
              <w:top w:val="nil"/>
              <w:bottom w:val="nil"/>
            </w:tcBorders>
            <w:shd w:val="clear" w:color="auto" w:fill="auto"/>
          </w:tcPr>
          <w:p w14:paraId="2596934A"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4.8</w:t>
            </w:r>
          </w:p>
        </w:tc>
        <w:tc>
          <w:tcPr>
            <w:tcW w:w="0" w:type="auto"/>
            <w:tcBorders>
              <w:top w:val="nil"/>
              <w:bottom w:val="nil"/>
            </w:tcBorders>
            <w:shd w:val="clear" w:color="auto" w:fill="auto"/>
          </w:tcPr>
          <w:p w14:paraId="1C9D4238"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3.6</w:t>
            </w:r>
          </w:p>
        </w:tc>
        <w:tc>
          <w:tcPr>
            <w:tcW w:w="0" w:type="auto"/>
            <w:tcBorders>
              <w:top w:val="nil"/>
              <w:bottom w:val="nil"/>
            </w:tcBorders>
            <w:shd w:val="clear" w:color="auto" w:fill="auto"/>
          </w:tcPr>
          <w:p w14:paraId="58022AFF"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5.1</w:t>
            </w:r>
          </w:p>
        </w:tc>
        <w:tc>
          <w:tcPr>
            <w:tcW w:w="0" w:type="auto"/>
            <w:tcBorders>
              <w:top w:val="nil"/>
              <w:bottom w:val="nil"/>
            </w:tcBorders>
            <w:shd w:val="clear" w:color="auto" w:fill="auto"/>
          </w:tcPr>
          <w:p w14:paraId="66384B81"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eastAsia="en-US"/>
              </w:rPr>
              <w:t>5.1</w:t>
            </w:r>
          </w:p>
        </w:tc>
      </w:tr>
      <w:tr w:rsidR="00EF4A2D" w:rsidRPr="00EF4A2D" w14:paraId="127BC209" w14:textId="77777777" w:rsidTr="000A364F">
        <w:trPr>
          <w:jc w:val="center"/>
        </w:trPr>
        <w:tc>
          <w:tcPr>
            <w:tcW w:w="0" w:type="auto"/>
            <w:tcBorders>
              <w:top w:val="nil"/>
              <w:bottom w:val="single" w:sz="2" w:space="0" w:color="auto"/>
            </w:tcBorders>
            <w:shd w:val="clear" w:color="auto" w:fill="auto"/>
          </w:tcPr>
          <w:p w14:paraId="0862E8D6" w14:textId="77777777" w:rsidR="00EF4A2D" w:rsidRPr="00EF4A2D" w:rsidRDefault="00EF4A2D" w:rsidP="00EF4A2D">
            <w:pPr>
              <w:jc w:val="both"/>
              <w:rPr>
                <w:rFonts w:eastAsia="Calibri"/>
                <w:sz w:val="20"/>
                <w:szCs w:val="20"/>
                <w:lang w:val="es-ES" w:eastAsia="en-US"/>
              </w:rPr>
            </w:pPr>
            <w:r w:rsidRPr="00EF4A2D">
              <w:rPr>
                <w:rFonts w:eastAsia="Calibri"/>
                <w:sz w:val="20"/>
                <w:szCs w:val="20"/>
                <w:lang w:val="es-ES" w:eastAsia="en-US"/>
              </w:rPr>
              <w:t xml:space="preserve">Otras regiones </w:t>
            </w:r>
            <w:proofErr w:type="spellStart"/>
            <w:r w:rsidRPr="00EF4A2D">
              <w:rPr>
                <w:rFonts w:eastAsia="Calibri"/>
                <w:sz w:val="20"/>
                <w:szCs w:val="20"/>
                <w:u w:val="single"/>
                <w:vertAlign w:val="superscript"/>
                <w:lang w:val="es-ES" w:eastAsia="en-US"/>
              </w:rPr>
              <w:t>b</w:t>
            </w:r>
            <w:r w:rsidRPr="00EF4A2D">
              <w:rPr>
                <w:rFonts w:eastAsia="Calibri"/>
                <w:sz w:val="20"/>
                <w:szCs w:val="20"/>
                <w:vertAlign w:val="superscript"/>
                <w:lang w:val="es-ES" w:eastAsia="en-US"/>
              </w:rPr>
              <w:t>/</w:t>
            </w:r>
            <w:proofErr w:type="spellEnd"/>
          </w:p>
        </w:tc>
        <w:tc>
          <w:tcPr>
            <w:tcW w:w="0" w:type="auto"/>
            <w:tcBorders>
              <w:top w:val="nil"/>
              <w:bottom w:val="single" w:sz="2" w:space="0" w:color="auto"/>
            </w:tcBorders>
            <w:shd w:val="clear" w:color="auto" w:fill="auto"/>
          </w:tcPr>
          <w:p w14:paraId="558B0520"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7.9</w:t>
            </w:r>
          </w:p>
        </w:tc>
        <w:tc>
          <w:tcPr>
            <w:tcW w:w="0" w:type="auto"/>
            <w:tcBorders>
              <w:top w:val="nil"/>
              <w:bottom w:val="single" w:sz="2" w:space="0" w:color="auto"/>
            </w:tcBorders>
            <w:shd w:val="clear" w:color="auto" w:fill="auto"/>
          </w:tcPr>
          <w:p w14:paraId="51507CFB"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9.9</w:t>
            </w:r>
          </w:p>
        </w:tc>
        <w:tc>
          <w:tcPr>
            <w:tcW w:w="0" w:type="auto"/>
            <w:tcBorders>
              <w:top w:val="nil"/>
              <w:bottom w:val="single" w:sz="2" w:space="0" w:color="auto"/>
            </w:tcBorders>
            <w:shd w:val="clear" w:color="auto" w:fill="auto"/>
          </w:tcPr>
          <w:p w14:paraId="17D799A7"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3.9</w:t>
            </w:r>
          </w:p>
        </w:tc>
        <w:tc>
          <w:tcPr>
            <w:tcW w:w="0" w:type="auto"/>
            <w:tcBorders>
              <w:top w:val="nil"/>
              <w:bottom w:val="single" w:sz="2" w:space="0" w:color="auto"/>
            </w:tcBorders>
            <w:shd w:val="clear" w:color="auto" w:fill="auto"/>
          </w:tcPr>
          <w:p w14:paraId="452E67CC"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0.0</w:t>
            </w:r>
          </w:p>
        </w:tc>
        <w:tc>
          <w:tcPr>
            <w:tcW w:w="0" w:type="auto"/>
            <w:tcBorders>
              <w:top w:val="nil"/>
              <w:bottom w:val="single" w:sz="2" w:space="0" w:color="auto"/>
            </w:tcBorders>
            <w:shd w:val="clear" w:color="auto" w:fill="auto"/>
          </w:tcPr>
          <w:p w14:paraId="2050C591"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-2.4</w:t>
            </w:r>
          </w:p>
        </w:tc>
        <w:tc>
          <w:tcPr>
            <w:tcW w:w="0" w:type="auto"/>
            <w:tcBorders>
              <w:top w:val="nil"/>
              <w:bottom w:val="single" w:sz="2" w:space="0" w:color="auto"/>
            </w:tcBorders>
            <w:shd w:val="clear" w:color="auto" w:fill="auto"/>
          </w:tcPr>
          <w:p w14:paraId="55B817F4" w14:textId="77777777" w:rsidR="00EF4A2D" w:rsidRPr="00EF4A2D" w:rsidRDefault="00EF4A2D" w:rsidP="00EF4A2D">
            <w:pPr>
              <w:jc w:val="right"/>
              <w:rPr>
                <w:rFonts w:eastAsia="Calibri"/>
                <w:sz w:val="20"/>
                <w:szCs w:val="20"/>
                <w:lang w:val="es-ES" w:eastAsia="en-US"/>
              </w:rPr>
            </w:pPr>
            <w:r w:rsidRPr="00EF4A2D">
              <w:rPr>
                <w:rFonts w:eastAsia="Calibri"/>
                <w:sz w:val="20"/>
                <w:szCs w:val="20"/>
                <w:lang w:val="es-ES" w:eastAsia="en-US"/>
              </w:rPr>
              <w:t>1.0</w:t>
            </w:r>
          </w:p>
        </w:tc>
      </w:tr>
      <w:tr w:rsidR="00EF4A2D" w:rsidRPr="00EF4A2D" w14:paraId="47CE5224" w14:textId="77777777" w:rsidTr="00C55D09">
        <w:trPr>
          <w:jc w:val="center"/>
        </w:trPr>
        <w:tc>
          <w:tcPr>
            <w:tcW w:w="0" w:type="auto"/>
            <w:gridSpan w:val="7"/>
            <w:tcBorders>
              <w:left w:val="nil"/>
              <w:bottom w:val="nil"/>
              <w:right w:val="nil"/>
            </w:tcBorders>
            <w:shd w:val="clear" w:color="auto" w:fill="auto"/>
          </w:tcPr>
          <w:p w14:paraId="30CF974E" w14:textId="77777777" w:rsidR="00EF4A2D" w:rsidRPr="00EF4A2D" w:rsidRDefault="00EF4A2D" w:rsidP="00EF4A2D">
            <w:pPr>
              <w:spacing w:before="120"/>
              <w:jc w:val="both"/>
              <w:rPr>
                <w:rFonts w:eastAsia="Calibri"/>
                <w:sz w:val="20"/>
                <w:szCs w:val="20"/>
                <w:lang w:eastAsia="en-US"/>
              </w:rPr>
            </w:pPr>
            <w:proofErr w:type="gramStart"/>
            <w:r w:rsidRPr="00EF4A2D">
              <w:rPr>
                <w:rFonts w:eastAsia="Calibri"/>
                <w:sz w:val="20"/>
                <w:szCs w:val="20"/>
                <w:u w:val="single"/>
                <w:lang w:eastAsia="en-US"/>
              </w:rPr>
              <w:t>a</w:t>
            </w:r>
            <w:proofErr w:type="gramEnd"/>
            <w:r w:rsidRPr="00EF4A2D">
              <w:rPr>
                <w:rFonts w:eastAsia="Calibri"/>
                <w:sz w:val="20"/>
                <w:szCs w:val="20"/>
                <w:lang w:eastAsia="en-US"/>
              </w:rPr>
              <w:t>/ Las cifras correspondientes a 2015 y 2016 son proyecciones.</w:t>
            </w:r>
          </w:p>
          <w:p w14:paraId="26EC627B" w14:textId="77777777" w:rsidR="00EF4A2D" w:rsidRPr="00EF4A2D" w:rsidRDefault="00EF4A2D" w:rsidP="00EF4A2D">
            <w:pPr>
              <w:jc w:val="both"/>
              <w:rPr>
                <w:rFonts w:eastAsia="Calibri"/>
                <w:sz w:val="20"/>
                <w:szCs w:val="20"/>
                <w:lang w:eastAsia="en-US"/>
              </w:rPr>
            </w:pPr>
            <w:proofErr w:type="spellStart"/>
            <w:proofErr w:type="gramStart"/>
            <w:r w:rsidRPr="00EF4A2D">
              <w:rPr>
                <w:rFonts w:eastAsia="Calibri"/>
                <w:sz w:val="20"/>
                <w:szCs w:val="20"/>
                <w:u w:val="single"/>
                <w:lang w:eastAsia="en-US"/>
              </w:rPr>
              <w:t>b</w:t>
            </w:r>
            <w:proofErr w:type="gramEnd"/>
            <w:r w:rsidRPr="00EF4A2D">
              <w:rPr>
                <w:rFonts w:eastAsia="Calibri"/>
                <w:sz w:val="20"/>
                <w:szCs w:val="20"/>
                <w:lang w:eastAsia="en-US"/>
              </w:rPr>
              <w:t>/</w:t>
            </w:r>
            <w:proofErr w:type="spellEnd"/>
            <w:r w:rsidRPr="00EF4A2D">
              <w:rPr>
                <w:rFonts w:eastAsia="Calibri"/>
                <w:sz w:val="20"/>
                <w:szCs w:val="20"/>
                <w:lang w:eastAsia="en-US"/>
              </w:rPr>
              <w:t xml:space="preserve"> Otras regiones comprende África, la CEI y Oriente Medio.</w:t>
            </w:r>
          </w:p>
          <w:p w14:paraId="558AC5AD" w14:textId="77777777" w:rsidR="00EF4A2D" w:rsidRPr="00EF4A2D" w:rsidRDefault="00EF4A2D" w:rsidP="00EF4A2D">
            <w:pPr>
              <w:jc w:val="both"/>
              <w:rPr>
                <w:rFonts w:eastAsia="Calibri"/>
                <w:sz w:val="20"/>
                <w:szCs w:val="20"/>
                <w:lang w:val="es-ES" w:eastAsia="en-US"/>
              </w:rPr>
            </w:pPr>
            <w:r w:rsidRPr="00EF4A2D">
              <w:rPr>
                <w:rFonts w:eastAsia="Calibri"/>
                <w:sz w:val="20"/>
                <w:szCs w:val="20"/>
                <w:lang w:eastAsia="en-US"/>
              </w:rPr>
              <w:t>FUENTE: Secretaría de la OMC.</w:t>
            </w:r>
          </w:p>
        </w:tc>
      </w:tr>
    </w:tbl>
    <w:p w14:paraId="5132162E" w14:textId="77777777" w:rsidR="00EF4A2D" w:rsidRPr="00EF4A2D" w:rsidRDefault="00EF4A2D" w:rsidP="00EF4A2D">
      <w:pPr>
        <w:spacing w:after="360" w:line="360" w:lineRule="auto"/>
        <w:ind w:right="-159"/>
        <w:jc w:val="both"/>
        <w:rPr>
          <w:rFonts w:eastAsia="Calibri"/>
          <w:sz w:val="26"/>
          <w:szCs w:val="26"/>
          <w:lang w:eastAsia="en-US"/>
        </w:rPr>
      </w:pPr>
    </w:p>
    <w:p w14:paraId="0989BA28"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En América del Norte y Asia las importaciones deberían aumentar alrededor de 5% en 2015, mientras que en Europa el crecimiento de las importaciones será inferior a 3%. En contraste con esta mejora, se prevé que en América del Sur y otras regiones se registren descensos de 0.5 y 2.4%, respectivamente.</w:t>
      </w:r>
    </w:p>
    <w:p w14:paraId="03B74309"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 xml:space="preserve">Existen riesgos que ponen en peligro la confirmación de las previsiones sobre comercio inclinándolas más bien a la baja. Uno de esos riesgos es el desequilibrio que caracteriza la recuperación económica mundial. En Estados Unidos de Norteamérica, tras un descenso inesperado de la producción en el primer trimestre de 2014, se aceleró el crecimiento del PIB y disminuyó la tasa de desempleo durante el resto del año, lo que a su vez conllevó un aumento de las importaciones estadounidenses. Si la economía estadounidense logra mantenerse sólida, respaldará la demanda mundial y reforzará la recuperación del comercio. Al contrario, si la actividad estadounidense flaquea, quedarán pocas fuentes alternativas para impulsar la demanda de importaciones. El crecimiento del PIB estadounidense podría situarse en niveles decepcionantes si unas </w:t>
      </w:r>
      <w:r w:rsidRPr="00EF4A2D">
        <w:rPr>
          <w:rFonts w:eastAsia="Calibri"/>
          <w:sz w:val="26"/>
          <w:szCs w:val="26"/>
          <w:lang w:eastAsia="en-US"/>
        </w:rPr>
        <w:lastRenderedPageBreak/>
        <w:t>condiciones monetarias más restrictivas y unos precios del petróleo más bajos asfixian las inversiones, incluso en el sector energético.</w:t>
      </w:r>
    </w:p>
    <w:p w14:paraId="28937415"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La situación económica en la Unión Europea mejora, aunque el desempleo sigue siendo elevado en toda la UE (9.8% en febrero), y las conflictivas negociaciones sobre el rescate de Grecia entre este país y el resto de la zona del euro amenazan con agravar la inestabilidad económica.</w:t>
      </w:r>
    </w:p>
    <w:p w14:paraId="3BD90BDE"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Para China, las perspectivas también entrañan mayor incertidumbre que antes, ya que ha disminuido la actividad en la mayor economía del mundo (medida en función de la paridad del poder adquisitivo). El incremento del PIB chino de 7.4% en 2014 fue el menor en 24 años, y los funcionarios chinos han rebajado los objetivos de producción para el futuro. Aun así, este año y el próximo el crecimiento de China superará probablemente el de las demás economías importantes, pero quizá por un margen menor que en el pasado. Esto induce a pensar que la demanda de importaciones en China se estabilizará en lugar de seguir acelerándose.</w:t>
      </w:r>
    </w:p>
    <w:p w14:paraId="10A90D02" w14:textId="77777777" w:rsidR="00EF4A2D" w:rsidRPr="00EF4A2D" w:rsidRDefault="00EF4A2D" w:rsidP="00EF4A2D">
      <w:pPr>
        <w:spacing w:after="360" w:line="360" w:lineRule="auto"/>
        <w:ind w:right="-159"/>
        <w:jc w:val="center"/>
        <w:rPr>
          <w:rFonts w:eastAsia="Calibri"/>
          <w:sz w:val="26"/>
          <w:szCs w:val="26"/>
          <w:lang w:eastAsia="en-US"/>
        </w:rPr>
      </w:pPr>
      <w:r w:rsidRPr="00EF4A2D">
        <w:rPr>
          <w:rFonts w:ascii="Calibri" w:eastAsia="Calibri" w:hAnsi="Calibri"/>
          <w:noProof/>
          <w:sz w:val="22"/>
          <w:szCs w:val="22"/>
          <w:lang w:eastAsia="es-MX"/>
        </w:rPr>
        <w:drawing>
          <wp:inline distT="0" distB="0" distL="0" distR="0" wp14:anchorId="06270401" wp14:editId="21D15E7A">
            <wp:extent cx="4559300" cy="2945464"/>
            <wp:effectExtent l="0" t="0" r="0" b="7620"/>
            <wp:docPr id="1792" name="Imagen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4133"/>
                    <a:stretch/>
                  </pic:blipFill>
                  <pic:spPr bwMode="auto">
                    <a:xfrm>
                      <a:off x="0" y="0"/>
                      <a:ext cx="4559300" cy="2945464"/>
                    </a:xfrm>
                    <a:prstGeom prst="rect">
                      <a:avLst/>
                    </a:prstGeom>
                    <a:noFill/>
                    <a:ln>
                      <a:noFill/>
                    </a:ln>
                    <a:extLst>
                      <a:ext uri="{53640926-AAD7-44D8-BBD7-CCE9431645EC}">
                        <a14:shadowObscured xmlns:a14="http://schemas.microsoft.com/office/drawing/2010/main"/>
                      </a:ext>
                    </a:extLst>
                  </pic:spPr>
                </pic:pic>
              </a:graphicData>
            </a:graphic>
          </wp:inline>
        </w:drawing>
      </w:r>
    </w:p>
    <w:p w14:paraId="4064B289"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lastRenderedPageBreak/>
        <w:t>Con la disminución de los precios del petróleo y otros productos básicos, las previsiones pueden llegar a superarse si los efectos positivos en los importadores netos de estos productos son mayores que los efectos negativos en los exportadores netos. En el gráfico anterior se muestra el alcance del reciente deslizamiento de los precios de los productos básicos. El comercio mundial también podría crecer con mayor rapidez de la prevista si se consolida la recuperación económica en la zona del euro como resultado del programa de relajación monetaria anunciado recientemente por el Banco Central Europeo. Toda recuperación de la demanda en la Unión Europea (UE) tendrá un efecto desproporcionado en las estadísticas del comercio mundial porque el comercio entre los miembros de la UE se calcula en los totales mundiales.</w:t>
      </w:r>
    </w:p>
    <w:p w14:paraId="7221FD12"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Se ha prestado mucha atención al hecho de que la relación de aproximadamente dos a uno que durante muchos años existió entre el crecimiento del comercio mundial y el crecimiento del PIB mundial aparentemente ya no es válida, como lo demuestra el dato de que el comercio y la producción hayan crecido a un ritmo comparable durante los últimos tres años (gráfico “Crecimiento del volumen del comercio mundial de mercancías y del PIB real mundial, 2007-2016”). Se han ofrecido diversas explicaciones para esta desaceleración del crecimiento observada en los últimos tiempos, entre ellas las condiciones macroeconómicas adversas, la maduración de las cadenas de suministro mundiales y la acumulación de medidas proteccionistas poscrisis.</w:t>
      </w:r>
    </w:p>
    <w:p w14:paraId="1CF68A6F" w14:textId="77777777" w:rsidR="00EF4A2D" w:rsidRP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 xml:space="preserve">No se ha dado ninguna explicación definitiva, pero al menos es posible distinguir ciertos hechos estilizados. En primer lugar, la razón entre el crecimiento del comercio mundial y el crecimiento del PIB mundial (lo que los economistas llaman “elasticidad del comercio mundial con respecto a los ingresos”) alcanzó un punto máximo en algún momento del decenio de 1990, mucho antes de la crisis financiera, pero ha disminuido desde entonces (gráfico siguiente). En segundo lugar, es normal que, tras una convulsión económica mundial, el comercio mundial crezca lentamente durante un </w:t>
      </w:r>
      <w:r w:rsidRPr="00EF4A2D">
        <w:rPr>
          <w:rFonts w:eastAsia="Calibri"/>
          <w:sz w:val="26"/>
          <w:szCs w:val="26"/>
          <w:lang w:eastAsia="en-US"/>
        </w:rPr>
        <w:lastRenderedPageBreak/>
        <w:t>tiempo antes de volver a registrarse un crecimiento más rápido (por ejemplo, después de las crisis del petróleo del decenio de 1970 y principios del de 1980). Finalmente, una elasticidad del comercio mundial menor no implica una razón comercio mundial/PIB menor, que se mantiene a niveles sin precedentes o casi.</w:t>
      </w:r>
    </w:p>
    <w:p w14:paraId="39299792" w14:textId="77777777" w:rsidR="00EF4A2D" w:rsidRPr="00EF4A2D" w:rsidRDefault="00EF4A2D" w:rsidP="00EF4A2D">
      <w:pPr>
        <w:spacing w:after="360" w:line="360" w:lineRule="auto"/>
        <w:ind w:right="-159"/>
        <w:jc w:val="center"/>
        <w:rPr>
          <w:rFonts w:eastAsia="Calibri"/>
          <w:sz w:val="26"/>
          <w:szCs w:val="26"/>
          <w:lang w:eastAsia="en-US"/>
        </w:rPr>
      </w:pPr>
      <w:r w:rsidRPr="00EF4A2D">
        <w:rPr>
          <w:rFonts w:ascii="Calibri" w:eastAsia="Calibri" w:hAnsi="Calibri"/>
          <w:noProof/>
          <w:sz w:val="22"/>
          <w:szCs w:val="22"/>
          <w:lang w:eastAsia="es-MX"/>
        </w:rPr>
        <w:drawing>
          <wp:inline distT="0" distB="0" distL="0" distR="0" wp14:anchorId="78222610" wp14:editId="511B3969">
            <wp:extent cx="4558696" cy="3189436"/>
            <wp:effectExtent l="0" t="0" r="0" b="0"/>
            <wp:docPr id="1793" name="Imagen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1598" b="5411"/>
                    <a:stretch/>
                  </pic:blipFill>
                  <pic:spPr bwMode="auto">
                    <a:xfrm>
                      <a:off x="0" y="0"/>
                      <a:ext cx="4559300" cy="3189859"/>
                    </a:xfrm>
                    <a:prstGeom prst="rect">
                      <a:avLst/>
                    </a:prstGeom>
                    <a:noFill/>
                    <a:ln>
                      <a:noFill/>
                    </a:ln>
                    <a:extLst>
                      <a:ext uri="{53640926-AAD7-44D8-BBD7-CCE9431645EC}">
                        <a14:shadowObscured xmlns:a14="http://schemas.microsoft.com/office/drawing/2010/main"/>
                      </a:ext>
                    </a:extLst>
                  </pic:spPr>
                </pic:pic>
              </a:graphicData>
            </a:graphic>
          </wp:inline>
        </w:drawing>
      </w:r>
    </w:p>
    <w:p w14:paraId="5C685778" w14:textId="77777777" w:rsidR="00EF4A2D" w:rsidRDefault="00EF4A2D" w:rsidP="00EF4A2D">
      <w:pPr>
        <w:spacing w:after="360" w:line="360" w:lineRule="auto"/>
        <w:ind w:right="-159"/>
        <w:jc w:val="both"/>
        <w:rPr>
          <w:rFonts w:eastAsia="Calibri"/>
          <w:sz w:val="26"/>
          <w:szCs w:val="26"/>
          <w:lang w:eastAsia="en-US"/>
        </w:rPr>
      </w:pPr>
      <w:r w:rsidRPr="00EF4A2D">
        <w:rPr>
          <w:rFonts w:eastAsia="Calibri"/>
          <w:sz w:val="26"/>
          <w:szCs w:val="26"/>
          <w:lang w:eastAsia="en-US"/>
        </w:rPr>
        <w:t>Estos hechos llevan a pensar que en la ralentización del comercio ha intervenido una combinación de factores estructurales y cíclicos. Por lo tanto, si bien la OMC prevé un crecimiento lento del comercio en 2015 y 2016, no descarta un retorno a un ritmo de crecimiento más rápido en fecha posterior.</w:t>
      </w:r>
    </w:p>
    <w:p w14:paraId="0BB64236" w14:textId="77777777" w:rsidR="002D683D" w:rsidRDefault="002D683D" w:rsidP="00EF4A2D">
      <w:pPr>
        <w:spacing w:after="360" w:line="360" w:lineRule="auto"/>
        <w:ind w:right="-159"/>
        <w:jc w:val="both"/>
        <w:rPr>
          <w:rFonts w:eastAsia="Calibri"/>
          <w:sz w:val="26"/>
          <w:szCs w:val="26"/>
          <w:lang w:eastAsia="en-US"/>
        </w:rPr>
      </w:pPr>
    </w:p>
    <w:p w14:paraId="6A16B74E" w14:textId="77777777" w:rsidR="002D683D" w:rsidRDefault="002D683D" w:rsidP="00EF4A2D">
      <w:pPr>
        <w:spacing w:after="360" w:line="360" w:lineRule="auto"/>
        <w:ind w:right="-159"/>
        <w:jc w:val="both"/>
        <w:rPr>
          <w:rFonts w:eastAsia="Calibri"/>
          <w:sz w:val="26"/>
          <w:szCs w:val="26"/>
          <w:lang w:eastAsia="en-US"/>
        </w:rPr>
      </w:pPr>
    </w:p>
    <w:p w14:paraId="04831331" w14:textId="77777777" w:rsidR="002D683D" w:rsidRDefault="002D683D" w:rsidP="00EF4A2D">
      <w:pPr>
        <w:spacing w:after="360" w:line="360" w:lineRule="auto"/>
        <w:ind w:right="-159"/>
        <w:jc w:val="both"/>
        <w:rPr>
          <w:rFonts w:eastAsia="Calibri"/>
          <w:sz w:val="26"/>
          <w:szCs w:val="26"/>
          <w:lang w:eastAsia="en-US"/>
        </w:rPr>
      </w:pPr>
    </w:p>
    <w:p w14:paraId="3383E8D6" w14:textId="77777777" w:rsidR="002D683D" w:rsidRPr="00EF4A2D" w:rsidRDefault="002D683D" w:rsidP="00EF4A2D">
      <w:pPr>
        <w:spacing w:after="360" w:line="360" w:lineRule="auto"/>
        <w:ind w:right="-159"/>
        <w:jc w:val="both"/>
        <w:rPr>
          <w:rFonts w:eastAsia="Calibri"/>
          <w:sz w:val="26"/>
          <w:szCs w:val="26"/>
          <w:lang w:eastAsia="en-US"/>
        </w:rPr>
      </w:pPr>
    </w:p>
    <w:tbl>
      <w:tblPr>
        <w:tblW w:w="0" w:type="auto"/>
        <w:jc w:val="center"/>
        <w:tblLook w:val="04A0" w:firstRow="1" w:lastRow="0" w:firstColumn="1" w:lastColumn="0" w:noHBand="0" w:noVBand="1"/>
      </w:tblPr>
      <w:tblGrid>
        <w:gridCol w:w="8840"/>
      </w:tblGrid>
      <w:tr w:rsidR="00EF4A2D" w:rsidRPr="00EF4A2D" w14:paraId="3F193559" w14:textId="77777777" w:rsidTr="00B9606F">
        <w:trPr>
          <w:jc w:val="center"/>
        </w:trPr>
        <w:tc>
          <w:tcPr>
            <w:tcW w:w="0" w:type="auto"/>
          </w:tcPr>
          <w:p w14:paraId="206F3A1F" w14:textId="77777777" w:rsidR="00EF4A2D" w:rsidRPr="00EF4A2D" w:rsidRDefault="00EF4A2D" w:rsidP="00EF4A2D">
            <w:pPr>
              <w:jc w:val="center"/>
              <w:rPr>
                <w:rFonts w:eastAsia="Calibri"/>
                <w:b/>
                <w:bCs/>
                <w:sz w:val="22"/>
                <w:szCs w:val="22"/>
                <w:lang w:eastAsia="en-US"/>
              </w:rPr>
            </w:pPr>
            <w:r w:rsidRPr="00EF4A2D">
              <w:rPr>
                <w:rFonts w:eastAsia="Calibri"/>
                <w:b/>
                <w:bCs/>
                <w:sz w:val="22"/>
                <w:szCs w:val="22"/>
                <w:lang w:eastAsia="en-US"/>
              </w:rPr>
              <w:lastRenderedPageBreak/>
              <w:t>EXPORTACIONES E IMPORTACIONES DE MERCANCÍAS DE DETERMINADAS ECONOMÍAS, ENERO DE 2009 A ENERO DE 2014</w:t>
            </w:r>
          </w:p>
          <w:p w14:paraId="63C5AB9E" w14:textId="48ED40F7" w:rsidR="00EF4A2D" w:rsidRDefault="00EF4A2D" w:rsidP="00EF4A2D">
            <w:pPr>
              <w:jc w:val="center"/>
              <w:rPr>
                <w:rFonts w:eastAsia="Calibri"/>
                <w:b/>
                <w:bCs/>
                <w:sz w:val="22"/>
                <w:szCs w:val="22"/>
                <w:lang w:eastAsia="en-US"/>
              </w:rPr>
            </w:pPr>
            <w:r w:rsidRPr="00EF4A2D">
              <w:rPr>
                <w:rFonts w:eastAsia="Calibri"/>
                <w:b/>
                <w:bCs/>
                <w:sz w:val="22"/>
                <w:szCs w:val="22"/>
                <w:lang w:eastAsia="en-US"/>
              </w:rPr>
              <w:t>-Miles de millones de dólares-</w:t>
            </w:r>
          </w:p>
          <w:p w14:paraId="7867BEFB" w14:textId="77777777" w:rsidR="00BC7BEB" w:rsidRPr="00EF4A2D" w:rsidRDefault="00BC7BEB" w:rsidP="00EF4A2D">
            <w:pPr>
              <w:jc w:val="center"/>
              <w:rPr>
                <w:rFonts w:eastAsia="Calibri"/>
                <w:sz w:val="22"/>
                <w:szCs w:val="22"/>
                <w:lang w:eastAsia="en-US"/>
              </w:rPr>
            </w:pPr>
          </w:p>
          <w:p w14:paraId="3155AEA1" w14:textId="77777777" w:rsidR="00EF4A2D" w:rsidRPr="00EF4A2D" w:rsidRDefault="00EF4A2D" w:rsidP="00EF4A2D">
            <w:pPr>
              <w:jc w:val="center"/>
              <w:rPr>
                <w:rFonts w:eastAsia="Calibri"/>
                <w:sz w:val="22"/>
                <w:szCs w:val="22"/>
                <w:lang w:val="es-ES" w:eastAsia="en-US"/>
              </w:rPr>
            </w:pPr>
            <w:r w:rsidRPr="00EF4A2D">
              <w:rPr>
                <w:rFonts w:ascii="Calibri" w:eastAsia="Calibri" w:hAnsi="Calibri"/>
                <w:noProof/>
                <w:sz w:val="22"/>
                <w:szCs w:val="22"/>
                <w:lang w:eastAsia="es-MX"/>
              </w:rPr>
              <w:drawing>
                <wp:inline distT="0" distB="0" distL="0" distR="0" wp14:anchorId="1C7645E4" wp14:editId="00640004">
                  <wp:extent cx="5376860" cy="1786662"/>
                  <wp:effectExtent l="0" t="0" r="0" b="4445"/>
                  <wp:docPr id="1794" name="Imagen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11195" t="17900" r="19420" b="45212"/>
                          <a:stretch/>
                        </pic:blipFill>
                        <pic:spPr bwMode="auto">
                          <a:xfrm>
                            <a:off x="0" y="0"/>
                            <a:ext cx="5450650" cy="1811182"/>
                          </a:xfrm>
                          <a:prstGeom prst="rect">
                            <a:avLst/>
                          </a:prstGeom>
                          <a:ln>
                            <a:noFill/>
                          </a:ln>
                          <a:extLst>
                            <a:ext uri="{53640926-AAD7-44D8-BBD7-CCE9431645EC}">
                              <a14:shadowObscured xmlns:a14="http://schemas.microsoft.com/office/drawing/2010/main"/>
                            </a:ext>
                          </a:extLst>
                        </pic:spPr>
                      </pic:pic>
                    </a:graphicData>
                  </a:graphic>
                </wp:inline>
              </w:drawing>
            </w:r>
          </w:p>
        </w:tc>
      </w:tr>
      <w:tr w:rsidR="00EF4A2D" w:rsidRPr="00EF4A2D" w14:paraId="08633981" w14:textId="77777777" w:rsidTr="00B9606F">
        <w:trPr>
          <w:jc w:val="center"/>
        </w:trPr>
        <w:tc>
          <w:tcPr>
            <w:tcW w:w="0" w:type="auto"/>
          </w:tcPr>
          <w:p w14:paraId="45206F86" w14:textId="77777777" w:rsidR="00EF4A2D" w:rsidRPr="00EF4A2D" w:rsidRDefault="00EF4A2D" w:rsidP="00EF4A2D">
            <w:pPr>
              <w:jc w:val="center"/>
              <w:rPr>
                <w:rFonts w:eastAsia="Calibri"/>
                <w:sz w:val="22"/>
                <w:szCs w:val="22"/>
                <w:lang w:val="es-ES" w:eastAsia="en-US"/>
              </w:rPr>
            </w:pPr>
          </w:p>
        </w:tc>
      </w:tr>
      <w:tr w:rsidR="00EF4A2D" w:rsidRPr="00EF4A2D" w14:paraId="16EEED00" w14:textId="77777777" w:rsidTr="00B9606F">
        <w:trPr>
          <w:jc w:val="center"/>
        </w:trPr>
        <w:tc>
          <w:tcPr>
            <w:tcW w:w="0" w:type="auto"/>
          </w:tcPr>
          <w:p w14:paraId="61A1CAD3" w14:textId="77777777" w:rsidR="00EF4A2D" w:rsidRPr="00EF4A2D" w:rsidRDefault="00EF4A2D" w:rsidP="00EF4A2D">
            <w:pPr>
              <w:jc w:val="center"/>
              <w:rPr>
                <w:rFonts w:eastAsia="Calibri"/>
                <w:sz w:val="22"/>
                <w:szCs w:val="22"/>
                <w:lang w:val="es-ES" w:eastAsia="en-US"/>
              </w:rPr>
            </w:pPr>
            <w:r w:rsidRPr="00EF4A2D">
              <w:rPr>
                <w:rFonts w:ascii="Calibri" w:eastAsia="Calibri" w:hAnsi="Calibri"/>
                <w:noProof/>
                <w:sz w:val="22"/>
                <w:szCs w:val="22"/>
                <w:lang w:eastAsia="es-MX"/>
              </w:rPr>
              <w:drawing>
                <wp:inline distT="0" distB="0" distL="0" distR="0" wp14:anchorId="1761582C" wp14:editId="0C8044BD">
                  <wp:extent cx="5558257" cy="1918446"/>
                  <wp:effectExtent l="0" t="0" r="4445" b="5715"/>
                  <wp:docPr id="1795" name="Imagen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1266" t="30875" r="19778" b="31046"/>
                          <a:stretch/>
                        </pic:blipFill>
                        <pic:spPr bwMode="auto">
                          <a:xfrm>
                            <a:off x="0" y="0"/>
                            <a:ext cx="5625156" cy="1941536"/>
                          </a:xfrm>
                          <a:prstGeom prst="rect">
                            <a:avLst/>
                          </a:prstGeom>
                          <a:ln>
                            <a:noFill/>
                          </a:ln>
                          <a:extLst>
                            <a:ext uri="{53640926-AAD7-44D8-BBD7-CCE9431645EC}">
                              <a14:shadowObscured xmlns:a14="http://schemas.microsoft.com/office/drawing/2010/main"/>
                            </a:ext>
                          </a:extLst>
                        </pic:spPr>
                      </pic:pic>
                    </a:graphicData>
                  </a:graphic>
                </wp:inline>
              </w:drawing>
            </w:r>
          </w:p>
        </w:tc>
      </w:tr>
      <w:tr w:rsidR="00EF4A2D" w:rsidRPr="00EF4A2D" w14:paraId="0E9F4ACD" w14:textId="77777777" w:rsidTr="00B9606F">
        <w:trPr>
          <w:jc w:val="center"/>
        </w:trPr>
        <w:tc>
          <w:tcPr>
            <w:tcW w:w="0" w:type="auto"/>
          </w:tcPr>
          <w:p w14:paraId="6706E580" w14:textId="77777777" w:rsidR="00EF4A2D" w:rsidRPr="00EF4A2D" w:rsidRDefault="00EF4A2D" w:rsidP="00EF4A2D">
            <w:pPr>
              <w:jc w:val="center"/>
              <w:rPr>
                <w:rFonts w:eastAsia="Calibri"/>
                <w:sz w:val="22"/>
                <w:szCs w:val="22"/>
                <w:lang w:val="es-ES" w:eastAsia="en-US"/>
              </w:rPr>
            </w:pPr>
          </w:p>
        </w:tc>
      </w:tr>
      <w:tr w:rsidR="00EF4A2D" w:rsidRPr="00EF4A2D" w14:paraId="372D2DB5" w14:textId="77777777" w:rsidTr="00B9606F">
        <w:trPr>
          <w:jc w:val="center"/>
        </w:trPr>
        <w:tc>
          <w:tcPr>
            <w:tcW w:w="0" w:type="auto"/>
          </w:tcPr>
          <w:p w14:paraId="10055226" w14:textId="77777777" w:rsidR="00EF4A2D" w:rsidRPr="00EF4A2D" w:rsidRDefault="00EF4A2D" w:rsidP="00EF4A2D">
            <w:pPr>
              <w:jc w:val="center"/>
              <w:rPr>
                <w:rFonts w:eastAsia="Calibri"/>
                <w:sz w:val="22"/>
                <w:szCs w:val="22"/>
                <w:lang w:val="es-ES" w:eastAsia="en-US"/>
              </w:rPr>
            </w:pPr>
          </w:p>
        </w:tc>
      </w:tr>
      <w:tr w:rsidR="00EF4A2D" w:rsidRPr="00EF4A2D" w14:paraId="272824B4" w14:textId="77777777" w:rsidTr="00B9606F">
        <w:trPr>
          <w:jc w:val="center"/>
        </w:trPr>
        <w:tc>
          <w:tcPr>
            <w:tcW w:w="0" w:type="auto"/>
          </w:tcPr>
          <w:p w14:paraId="5B3F518B" w14:textId="6D8E4909" w:rsidR="00EF4A2D" w:rsidRPr="00EF4A2D" w:rsidRDefault="00EF4A2D" w:rsidP="00EF4A2D">
            <w:pPr>
              <w:ind w:left="907" w:hanging="907"/>
              <w:jc w:val="right"/>
              <w:rPr>
                <w:rFonts w:eastAsia="Calibri"/>
                <w:sz w:val="20"/>
                <w:szCs w:val="20"/>
                <w:lang w:val="es-ES" w:eastAsia="en-US"/>
              </w:rPr>
            </w:pPr>
          </w:p>
        </w:tc>
      </w:tr>
      <w:tr w:rsidR="00EF4A2D" w:rsidRPr="00EF4A2D" w14:paraId="1D5B6309" w14:textId="77777777" w:rsidTr="00B9606F">
        <w:trPr>
          <w:jc w:val="center"/>
        </w:trPr>
        <w:tc>
          <w:tcPr>
            <w:tcW w:w="0" w:type="auto"/>
          </w:tcPr>
          <w:p w14:paraId="1B761DA1" w14:textId="77777777" w:rsidR="00EF4A2D" w:rsidRPr="00EF4A2D" w:rsidRDefault="00EF4A2D" w:rsidP="00EF4A2D">
            <w:pPr>
              <w:jc w:val="center"/>
              <w:rPr>
                <w:rFonts w:eastAsia="Calibri"/>
                <w:sz w:val="22"/>
                <w:szCs w:val="22"/>
                <w:lang w:val="es-ES" w:eastAsia="en-US"/>
              </w:rPr>
            </w:pPr>
            <w:r w:rsidRPr="00EF4A2D">
              <w:rPr>
                <w:rFonts w:ascii="Calibri" w:eastAsia="Calibri" w:hAnsi="Calibri"/>
                <w:noProof/>
                <w:sz w:val="22"/>
                <w:szCs w:val="22"/>
                <w:lang w:eastAsia="es-MX"/>
              </w:rPr>
              <w:drawing>
                <wp:inline distT="0" distB="0" distL="0" distR="0" wp14:anchorId="2FD9C3B6" wp14:editId="5035D9DD">
                  <wp:extent cx="5474998" cy="1869829"/>
                  <wp:effectExtent l="0" t="0" r="0" b="0"/>
                  <wp:docPr id="1796" name="Imagen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15623" t="23306" r="15344" b="38974"/>
                          <a:stretch/>
                        </pic:blipFill>
                        <pic:spPr bwMode="auto">
                          <a:xfrm>
                            <a:off x="0" y="0"/>
                            <a:ext cx="5543058" cy="1893073"/>
                          </a:xfrm>
                          <a:prstGeom prst="rect">
                            <a:avLst/>
                          </a:prstGeom>
                          <a:ln>
                            <a:noFill/>
                          </a:ln>
                          <a:extLst>
                            <a:ext uri="{53640926-AAD7-44D8-BBD7-CCE9431645EC}">
                              <a14:shadowObscured xmlns:a14="http://schemas.microsoft.com/office/drawing/2010/main"/>
                            </a:ext>
                          </a:extLst>
                        </pic:spPr>
                      </pic:pic>
                    </a:graphicData>
                  </a:graphic>
                </wp:inline>
              </w:drawing>
            </w:r>
          </w:p>
        </w:tc>
      </w:tr>
      <w:tr w:rsidR="00EF4A2D" w:rsidRPr="00EF4A2D" w14:paraId="69C366F3" w14:textId="77777777" w:rsidTr="00B9606F">
        <w:trPr>
          <w:jc w:val="center"/>
        </w:trPr>
        <w:tc>
          <w:tcPr>
            <w:tcW w:w="0" w:type="auto"/>
          </w:tcPr>
          <w:p w14:paraId="55F316ED" w14:textId="77777777" w:rsidR="00EF4A2D" w:rsidRPr="00EF4A2D" w:rsidRDefault="00EF4A2D" w:rsidP="00EF4A2D">
            <w:pPr>
              <w:jc w:val="center"/>
              <w:rPr>
                <w:rFonts w:eastAsia="Calibri"/>
                <w:sz w:val="22"/>
                <w:szCs w:val="22"/>
                <w:lang w:val="es-ES" w:eastAsia="en-US"/>
              </w:rPr>
            </w:pPr>
          </w:p>
        </w:tc>
      </w:tr>
      <w:tr w:rsidR="00EF4A2D" w:rsidRPr="00EF4A2D" w14:paraId="3596BA3D" w14:textId="77777777" w:rsidTr="00B9606F">
        <w:trPr>
          <w:jc w:val="center"/>
        </w:trPr>
        <w:tc>
          <w:tcPr>
            <w:tcW w:w="0" w:type="auto"/>
          </w:tcPr>
          <w:p w14:paraId="085164DA" w14:textId="77777777" w:rsidR="00EF4A2D" w:rsidRPr="00EF4A2D" w:rsidRDefault="00EF4A2D" w:rsidP="00EF4A2D">
            <w:pPr>
              <w:jc w:val="center"/>
              <w:rPr>
                <w:rFonts w:eastAsia="Calibri"/>
                <w:sz w:val="22"/>
                <w:szCs w:val="22"/>
                <w:lang w:val="es-ES" w:eastAsia="en-US"/>
              </w:rPr>
            </w:pPr>
            <w:r w:rsidRPr="00EF4A2D">
              <w:rPr>
                <w:rFonts w:ascii="Calibri" w:eastAsia="Calibri" w:hAnsi="Calibri"/>
                <w:noProof/>
                <w:sz w:val="22"/>
                <w:szCs w:val="22"/>
                <w:lang w:eastAsia="es-MX"/>
              </w:rPr>
              <w:lastRenderedPageBreak/>
              <w:drawing>
                <wp:inline distT="0" distB="0" distL="0" distR="0" wp14:anchorId="3CF3E0E8" wp14:editId="7307F427">
                  <wp:extent cx="5368413" cy="1789779"/>
                  <wp:effectExtent l="0" t="0" r="3810" b="1270"/>
                  <wp:docPr id="1797" name="Imagen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2549" t="20788" r="18096" b="42218"/>
                          <a:stretch/>
                        </pic:blipFill>
                        <pic:spPr bwMode="auto">
                          <a:xfrm>
                            <a:off x="0" y="0"/>
                            <a:ext cx="5448014" cy="1816317"/>
                          </a:xfrm>
                          <a:prstGeom prst="rect">
                            <a:avLst/>
                          </a:prstGeom>
                          <a:ln>
                            <a:noFill/>
                          </a:ln>
                          <a:extLst>
                            <a:ext uri="{53640926-AAD7-44D8-BBD7-CCE9431645EC}">
                              <a14:shadowObscured xmlns:a14="http://schemas.microsoft.com/office/drawing/2010/main"/>
                            </a:ext>
                          </a:extLst>
                        </pic:spPr>
                      </pic:pic>
                    </a:graphicData>
                  </a:graphic>
                </wp:inline>
              </w:drawing>
            </w:r>
          </w:p>
        </w:tc>
      </w:tr>
      <w:tr w:rsidR="00EF4A2D" w:rsidRPr="00EF4A2D" w14:paraId="572B98E0" w14:textId="77777777" w:rsidTr="00B9606F">
        <w:trPr>
          <w:jc w:val="center"/>
        </w:trPr>
        <w:tc>
          <w:tcPr>
            <w:tcW w:w="0" w:type="auto"/>
          </w:tcPr>
          <w:p w14:paraId="72739517" w14:textId="77777777" w:rsidR="00EF4A2D" w:rsidRPr="00EF4A2D" w:rsidRDefault="00EF4A2D" w:rsidP="00EF4A2D">
            <w:pPr>
              <w:jc w:val="center"/>
              <w:rPr>
                <w:rFonts w:eastAsia="Calibri"/>
                <w:sz w:val="22"/>
                <w:szCs w:val="22"/>
                <w:lang w:val="es-ES" w:eastAsia="en-US"/>
              </w:rPr>
            </w:pPr>
          </w:p>
        </w:tc>
      </w:tr>
      <w:tr w:rsidR="00EF4A2D" w:rsidRPr="00EF4A2D" w14:paraId="6B3A1921" w14:textId="77777777" w:rsidTr="00B9606F">
        <w:trPr>
          <w:jc w:val="center"/>
        </w:trPr>
        <w:tc>
          <w:tcPr>
            <w:tcW w:w="0" w:type="auto"/>
          </w:tcPr>
          <w:p w14:paraId="3E94BD97" w14:textId="77777777" w:rsidR="00EF4A2D" w:rsidRPr="00EF4A2D" w:rsidRDefault="00EF4A2D" w:rsidP="00EF4A2D">
            <w:pPr>
              <w:ind w:left="907" w:hanging="907"/>
              <w:jc w:val="both"/>
              <w:rPr>
                <w:rFonts w:eastAsia="Calibri"/>
                <w:sz w:val="20"/>
                <w:szCs w:val="20"/>
                <w:lang w:val="es-ES" w:eastAsia="en-US"/>
              </w:rPr>
            </w:pPr>
            <w:r w:rsidRPr="00EF4A2D">
              <w:rPr>
                <w:rFonts w:eastAsia="Calibri"/>
                <w:sz w:val="20"/>
                <w:szCs w:val="20"/>
                <w:lang w:eastAsia="en-US"/>
              </w:rPr>
              <w:t xml:space="preserve">FUENTE: Estadísticas financieras internacionales del FMI, base de datos GTA de </w:t>
            </w:r>
            <w:r w:rsidRPr="00EF4A2D">
              <w:rPr>
                <w:rFonts w:eastAsia="Calibri"/>
                <w:i/>
                <w:sz w:val="20"/>
                <w:szCs w:val="20"/>
                <w:lang w:eastAsia="en-US"/>
              </w:rPr>
              <w:t xml:space="preserve">Global </w:t>
            </w:r>
            <w:proofErr w:type="spellStart"/>
            <w:r w:rsidRPr="00EF4A2D">
              <w:rPr>
                <w:rFonts w:eastAsia="Calibri"/>
                <w:i/>
                <w:sz w:val="20"/>
                <w:szCs w:val="20"/>
                <w:lang w:eastAsia="en-US"/>
              </w:rPr>
              <w:t>Trade</w:t>
            </w:r>
            <w:proofErr w:type="spellEnd"/>
            <w:r w:rsidRPr="00EF4A2D">
              <w:rPr>
                <w:rFonts w:eastAsia="Calibri"/>
                <w:i/>
                <w:sz w:val="20"/>
                <w:szCs w:val="20"/>
                <w:lang w:eastAsia="en-US"/>
              </w:rPr>
              <w:t xml:space="preserve"> </w:t>
            </w:r>
            <w:proofErr w:type="spellStart"/>
            <w:r w:rsidRPr="00EF4A2D">
              <w:rPr>
                <w:rFonts w:eastAsia="Calibri"/>
                <w:i/>
                <w:sz w:val="20"/>
                <w:szCs w:val="20"/>
                <w:lang w:eastAsia="en-US"/>
              </w:rPr>
              <w:t>Information</w:t>
            </w:r>
            <w:proofErr w:type="spellEnd"/>
            <w:r w:rsidRPr="00EF4A2D">
              <w:rPr>
                <w:rFonts w:eastAsia="Calibri"/>
                <w:i/>
                <w:sz w:val="20"/>
                <w:szCs w:val="20"/>
                <w:lang w:eastAsia="en-US"/>
              </w:rPr>
              <w:t xml:space="preserve"> </w:t>
            </w:r>
            <w:proofErr w:type="spellStart"/>
            <w:r w:rsidRPr="00EF4A2D">
              <w:rPr>
                <w:rFonts w:eastAsia="Calibri"/>
                <w:i/>
                <w:sz w:val="20"/>
                <w:szCs w:val="20"/>
                <w:lang w:eastAsia="en-US"/>
              </w:rPr>
              <w:t>Services</w:t>
            </w:r>
            <w:proofErr w:type="spellEnd"/>
            <w:r w:rsidRPr="00EF4A2D">
              <w:rPr>
                <w:rFonts w:eastAsia="Calibri"/>
                <w:sz w:val="20"/>
                <w:szCs w:val="20"/>
                <w:lang w:eastAsia="en-US"/>
              </w:rPr>
              <w:t xml:space="preserve"> y estadísticas nacionales.</w:t>
            </w:r>
          </w:p>
        </w:tc>
      </w:tr>
    </w:tbl>
    <w:p w14:paraId="2EE2E792" w14:textId="77777777" w:rsidR="00EF4A2D" w:rsidRPr="00EF4A2D" w:rsidRDefault="00EF4A2D" w:rsidP="00EF4A2D">
      <w:pPr>
        <w:spacing w:after="360" w:line="360" w:lineRule="auto"/>
        <w:ind w:right="-159"/>
        <w:jc w:val="both"/>
        <w:rPr>
          <w:rFonts w:eastAsia="Calibri"/>
          <w:sz w:val="26"/>
          <w:szCs w:val="26"/>
          <w:lang w:val="es-ES" w:eastAsia="en-US"/>
        </w:rPr>
      </w:pPr>
    </w:p>
    <w:p w14:paraId="51DAAB1F" w14:textId="77777777" w:rsidR="00EF4A2D" w:rsidRPr="00EF4A2D" w:rsidRDefault="00EF4A2D" w:rsidP="00EF4A2D">
      <w:pPr>
        <w:spacing w:after="200" w:line="276" w:lineRule="auto"/>
        <w:rPr>
          <w:rFonts w:eastAsia="Calibri"/>
          <w:sz w:val="26"/>
          <w:szCs w:val="26"/>
          <w:lang w:val="es-ES" w:eastAsia="en-US"/>
        </w:rPr>
      </w:pPr>
      <w:r w:rsidRPr="00EF4A2D">
        <w:rPr>
          <w:rFonts w:eastAsia="Calibri"/>
          <w:sz w:val="26"/>
          <w:szCs w:val="26"/>
          <w:lang w:val="es-ES" w:eastAsia="en-US"/>
        </w:rPr>
        <w:br w:type="page"/>
      </w:r>
    </w:p>
    <w:tbl>
      <w:tblPr>
        <w:tblW w:w="9083" w:type="dxa"/>
        <w:jc w:val="center"/>
        <w:tblLook w:val="01E0" w:firstRow="1" w:lastRow="1" w:firstColumn="1" w:lastColumn="1" w:noHBand="0" w:noVBand="0"/>
      </w:tblPr>
      <w:tblGrid>
        <w:gridCol w:w="3100"/>
        <w:gridCol w:w="667"/>
        <w:gridCol w:w="588"/>
        <w:gridCol w:w="588"/>
        <w:gridCol w:w="652"/>
        <w:gridCol w:w="635"/>
        <w:gridCol w:w="630"/>
        <w:gridCol w:w="528"/>
        <w:gridCol w:w="593"/>
        <w:gridCol w:w="574"/>
        <w:gridCol w:w="528"/>
      </w:tblGrid>
      <w:tr w:rsidR="00EF4A2D" w:rsidRPr="00EF4A2D" w14:paraId="627D0DD4" w14:textId="77777777" w:rsidTr="00B9606F">
        <w:trPr>
          <w:jc w:val="center"/>
        </w:trPr>
        <w:tc>
          <w:tcPr>
            <w:tcW w:w="9083" w:type="dxa"/>
            <w:gridSpan w:val="11"/>
            <w:tcBorders>
              <w:bottom w:val="single" w:sz="4" w:space="0" w:color="auto"/>
            </w:tcBorders>
            <w:vAlign w:val="center"/>
          </w:tcPr>
          <w:p w14:paraId="5617DBE1" w14:textId="77777777" w:rsidR="00EF4A2D" w:rsidRPr="00EF4A2D" w:rsidRDefault="00EF4A2D" w:rsidP="00EF4A2D">
            <w:pPr>
              <w:jc w:val="center"/>
              <w:rPr>
                <w:rFonts w:eastAsia="Calibri"/>
                <w:b/>
                <w:sz w:val="22"/>
                <w:szCs w:val="22"/>
                <w:lang w:eastAsia="en-US"/>
              </w:rPr>
            </w:pPr>
            <w:r w:rsidRPr="00EF4A2D">
              <w:rPr>
                <w:rFonts w:eastAsia="Calibri"/>
                <w:b/>
                <w:sz w:val="22"/>
                <w:szCs w:val="22"/>
                <w:lang w:eastAsia="en-US"/>
              </w:rPr>
              <w:lastRenderedPageBreak/>
              <w:t>COMERCIO MUNDIAL DE MERCANCÍAS POR REGIONES</w:t>
            </w:r>
          </w:p>
          <w:p w14:paraId="6C5B2F30" w14:textId="77777777" w:rsidR="00EF4A2D" w:rsidRPr="00EF4A2D" w:rsidRDefault="00EF4A2D" w:rsidP="00EF4A2D">
            <w:pPr>
              <w:jc w:val="center"/>
              <w:rPr>
                <w:rFonts w:eastAsia="Calibri"/>
                <w:b/>
                <w:sz w:val="22"/>
                <w:szCs w:val="22"/>
                <w:lang w:eastAsia="en-US"/>
              </w:rPr>
            </w:pPr>
            <w:r w:rsidRPr="00EF4A2D">
              <w:rPr>
                <w:rFonts w:eastAsia="Calibri"/>
                <w:b/>
                <w:sz w:val="22"/>
                <w:szCs w:val="22"/>
                <w:lang w:eastAsia="en-US"/>
              </w:rPr>
              <w:t>Y POR DETERMINADAS ECONOMÍAS, 2014</w:t>
            </w:r>
          </w:p>
          <w:p w14:paraId="012E2639" w14:textId="3F16A316" w:rsidR="00EF4A2D" w:rsidRPr="00EF4A2D" w:rsidRDefault="00EF4A2D" w:rsidP="00EF4A2D">
            <w:pPr>
              <w:spacing w:after="120"/>
              <w:jc w:val="center"/>
              <w:rPr>
                <w:rFonts w:eastAsia="Calibri"/>
                <w:b/>
                <w:sz w:val="14"/>
                <w:szCs w:val="14"/>
                <w:lang w:eastAsia="en-US"/>
              </w:rPr>
            </w:pPr>
            <w:r w:rsidRPr="00EF4A2D">
              <w:rPr>
                <w:rFonts w:eastAsia="Calibri"/>
                <w:b/>
                <w:sz w:val="22"/>
                <w:szCs w:val="22"/>
                <w:lang w:eastAsia="en-US"/>
              </w:rPr>
              <w:t xml:space="preserve">-En miles de millones de dólares </w:t>
            </w:r>
            <w:r w:rsidR="00BC7BEB">
              <w:rPr>
                <w:rFonts w:eastAsia="Calibri"/>
                <w:b/>
                <w:sz w:val="22"/>
                <w:szCs w:val="22"/>
                <w:lang w:eastAsia="en-US"/>
              </w:rPr>
              <w:t xml:space="preserve">estadounidenses </w:t>
            </w:r>
            <w:r w:rsidRPr="00EF4A2D">
              <w:rPr>
                <w:rFonts w:eastAsia="Calibri"/>
                <w:b/>
                <w:sz w:val="22"/>
                <w:szCs w:val="22"/>
                <w:lang w:eastAsia="en-US"/>
              </w:rPr>
              <w:t>y en porcentajes-</w:t>
            </w:r>
          </w:p>
        </w:tc>
      </w:tr>
      <w:tr w:rsidR="00EF4A2D" w:rsidRPr="00EF4A2D" w14:paraId="5799F588" w14:textId="77777777" w:rsidTr="00B9606F">
        <w:trPr>
          <w:jc w:val="center"/>
        </w:trPr>
        <w:tc>
          <w:tcPr>
            <w:tcW w:w="3100" w:type="dxa"/>
            <w:vMerge w:val="restart"/>
            <w:tcBorders>
              <w:top w:val="single" w:sz="4" w:space="0" w:color="auto"/>
              <w:left w:val="single" w:sz="4" w:space="0" w:color="auto"/>
              <w:right w:val="single" w:sz="4" w:space="0" w:color="auto"/>
            </w:tcBorders>
            <w:vAlign w:val="center"/>
          </w:tcPr>
          <w:p w14:paraId="728875E6"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Concepto</w:t>
            </w:r>
          </w:p>
        </w:tc>
        <w:tc>
          <w:tcPr>
            <w:tcW w:w="3130" w:type="dxa"/>
            <w:gridSpan w:val="5"/>
            <w:tcBorders>
              <w:top w:val="single" w:sz="4" w:space="0" w:color="auto"/>
              <w:left w:val="single" w:sz="4" w:space="0" w:color="auto"/>
              <w:bottom w:val="single" w:sz="4" w:space="0" w:color="auto"/>
              <w:right w:val="single" w:sz="4" w:space="0" w:color="auto"/>
            </w:tcBorders>
            <w:vAlign w:val="center"/>
          </w:tcPr>
          <w:p w14:paraId="781FF5D5"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Exportaciones</w:t>
            </w:r>
          </w:p>
        </w:tc>
        <w:tc>
          <w:tcPr>
            <w:tcW w:w="28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D26E130"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Importaciones</w:t>
            </w:r>
          </w:p>
        </w:tc>
      </w:tr>
      <w:tr w:rsidR="00EF4A2D" w:rsidRPr="00EF4A2D" w14:paraId="7ACFE773" w14:textId="77777777" w:rsidTr="00B9606F">
        <w:trPr>
          <w:jc w:val="center"/>
        </w:trPr>
        <w:tc>
          <w:tcPr>
            <w:tcW w:w="3100" w:type="dxa"/>
            <w:vMerge/>
            <w:tcBorders>
              <w:left w:val="single" w:sz="4" w:space="0" w:color="auto"/>
              <w:right w:val="single" w:sz="4" w:space="0" w:color="auto"/>
            </w:tcBorders>
            <w:vAlign w:val="center"/>
          </w:tcPr>
          <w:p w14:paraId="486D4F6D" w14:textId="77777777" w:rsidR="00EF4A2D" w:rsidRPr="00EF4A2D" w:rsidRDefault="00EF4A2D" w:rsidP="00EF4A2D">
            <w:pPr>
              <w:jc w:val="center"/>
              <w:rPr>
                <w:rFonts w:eastAsia="Calibri"/>
                <w:b/>
                <w:sz w:val="14"/>
                <w:szCs w:val="14"/>
                <w:lang w:eastAsia="en-US"/>
              </w:rPr>
            </w:pPr>
          </w:p>
        </w:tc>
        <w:tc>
          <w:tcPr>
            <w:tcW w:w="667" w:type="dxa"/>
            <w:tcBorders>
              <w:left w:val="single" w:sz="4" w:space="0" w:color="auto"/>
              <w:bottom w:val="single" w:sz="4" w:space="0" w:color="auto"/>
              <w:right w:val="single" w:sz="4" w:space="0" w:color="auto"/>
            </w:tcBorders>
            <w:vAlign w:val="center"/>
          </w:tcPr>
          <w:p w14:paraId="248CED74"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Valor</w:t>
            </w:r>
          </w:p>
        </w:tc>
        <w:tc>
          <w:tcPr>
            <w:tcW w:w="2463" w:type="dxa"/>
            <w:gridSpan w:val="4"/>
            <w:tcBorders>
              <w:left w:val="single" w:sz="4" w:space="0" w:color="auto"/>
              <w:bottom w:val="single" w:sz="4" w:space="0" w:color="auto"/>
              <w:right w:val="single" w:sz="4" w:space="0" w:color="auto"/>
            </w:tcBorders>
            <w:vAlign w:val="center"/>
          </w:tcPr>
          <w:p w14:paraId="4D7E4159"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Variación % anual</w:t>
            </w:r>
          </w:p>
        </w:tc>
        <w:tc>
          <w:tcPr>
            <w:tcW w:w="630" w:type="dxa"/>
            <w:tcBorders>
              <w:left w:val="single" w:sz="4" w:space="0" w:color="auto"/>
              <w:bottom w:val="single" w:sz="4" w:space="0" w:color="auto"/>
              <w:right w:val="single" w:sz="4" w:space="0" w:color="auto"/>
            </w:tcBorders>
            <w:shd w:val="clear" w:color="auto" w:fill="auto"/>
            <w:vAlign w:val="center"/>
          </w:tcPr>
          <w:p w14:paraId="7F9DD4BC"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Valor</w:t>
            </w:r>
          </w:p>
        </w:tc>
        <w:tc>
          <w:tcPr>
            <w:tcW w:w="2223" w:type="dxa"/>
            <w:gridSpan w:val="4"/>
            <w:tcBorders>
              <w:left w:val="single" w:sz="4" w:space="0" w:color="auto"/>
              <w:bottom w:val="single" w:sz="4" w:space="0" w:color="auto"/>
              <w:right w:val="single" w:sz="4" w:space="0" w:color="auto"/>
            </w:tcBorders>
            <w:shd w:val="clear" w:color="auto" w:fill="auto"/>
            <w:vAlign w:val="center"/>
          </w:tcPr>
          <w:p w14:paraId="64F73598"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Variación % anual</w:t>
            </w:r>
          </w:p>
        </w:tc>
      </w:tr>
      <w:tr w:rsidR="00EF4A2D" w:rsidRPr="00EF4A2D" w14:paraId="36B4EDC0" w14:textId="77777777" w:rsidTr="00B9606F">
        <w:trPr>
          <w:jc w:val="center"/>
        </w:trPr>
        <w:tc>
          <w:tcPr>
            <w:tcW w:w="3100" w:type="dxa"/>
            <w:vMerge/>
            <w:tcBorders>
              <w:left w:val="single" w:sz="4" w:space="0" w:color="auto"/>
              <w:bottom w:val="single" w:sz="4" w:space="0" w:color="auto"/>
              <w:right w:val="single" w:sz="4" w:space="0" w:color="auto"/>
            </w:tcBorders>
            <w:vAlign w:val="center"/>
          </w:tcPr>
          <w:p w14:paraId="14EF21D0" w14:textId="77777777" w:rsidR="00EF4A2D" w:rsidRPr="00EF4A2D" w:rsidRDefault="00EF4A2D" w:rsidP="00EF4A2D">
            <w:pPr>
              <w:jc w:val="center"/>
              <w:rPr>
                <w:rFonts w:eastAsia="Calibri"/>
                <w:b/>
                <w:sz w:val="14"/>
                <w:szCs w:val="14"/>
                <w:lang w:eastAsia="en-US"/>
              </w:rPr>
            </w:pPr>
          </w:p>
        </w:tc>
        <w:tc>
          <w:tcPr>
            <w:tcW w:w="667" w:type="dxa"/>
            <w:tcBorders>
              <w:left w:val="single" w:sz="4" w:space="0" w:color="auto"/>
              <w:bottom w:val="single" w:sz="4" w:space="0" w:color="auto"/>
              <w:right w:val="single" w:sz="4" w:space="0" w:color="auto"/>
            </w:tcBorders>
            <w:vAlign w:val="center"/>
          </w:tcPr>
          <w:p w14:paraId="34F0E5EE"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2014</w:t>
            </w:r>
          </w:p>
        </w:tc>
        <w:tc>
          <w:tcPr>
            <w:tcW w:w="588" w:type="dxa"/>
            <w:tcBorders>
              <w:left w:val="single" w:sz="4" w:space="0" w:color="auto"/>
              <w:bottom w:val="single" w:sz="4" w:space="0" w:color="auto"/>
              <w:right w:val="single" w:sz="4" w:space="0" w:color="auto"/>
            </w:tcBorders>
            <w:vAlign w:val="center"/>
          </w:tcPr>
          <w:p w14:paraId="18B1AC3D" w14:textId="77777777" w:rsidR="00EF4A2D" w:rsidRPr="00EF4A2D" w:rsidRDefault="00EF4A2D" w:rsidP="00EF4A2D">
            <w:pPr>
              <w:ind w:left="-113" w:right="-113"/>
              <w:jc w:val="center"/>
              <w:rPr>
                <w:rFonts w:eastAsia="Calibri"/>
                <w:b/>
                <w:sz w:val="14"/>
                <w:szCs w:val="14"/>
                <w:lang w:eastAsia="en-US"/>
              </w:rPr>
            </w:pPr>
            <w:r w:rsidRPr="00EF4A2D">
              <w:rPr>
                <w:rFonts w:eastAsia="Calibri"/>
                <w:b/>
                <w:sz w:val="14"/>
                <w:szCs w:val="14"/>
                <w:lang w:eastAsia="en-US"/>
              </w:rPr>
              <w:t>2005-2014</w:t>
            </w:r>
          </w:p>
        </w:tc>
        <w:tc>
          <w:tcPr>
            <w:tcW w:w="588" w:type="dxa"/>
            <w:tcBorders>
              <w:left w:val="single" w:sz="4" w:space="0" w:color="auto"/>
              <w:bottom w:val="single" w:sz="4" w:space="0" w:color="auto"/>
              <w:right w:val="single" w:sz="4" w:space="0" w:color="auto"/>
            </w:tcBorders>
            <w:vAlign w:val="center"/>
          </w:tcPr>
          <w:p w14:paraId="73294C4A"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2012</w:t>
            </w:r>
          </w:p>
        </w:tc>
        <w:tc>
          <w:tcPr>
            <w:tcW w:w="652" w:type="dxa"/>
            <w:tcBorders>
              <w:left w:val="single" w:sz="4" w:space="0" w:color="auto"/>
              <w:bottom w:val="single" w:sz="4" w:space="0" w:color="auto"/>
              <w:right w:val="single" w:sz="4" w:space="0" w:color="auto"/>
            </w:tcBorders>
            <w:vAlign w:val="center"/>
          </w:tcPr>
          <w:p w14:paraId="1260B290"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2013</w:t>
            </w:r>
          </w:p>
        </w:tc>
        <w:tc>
          <w:tcPr>
            <w:tcW w:w="635" w:type="dxa"/>
            <w:tcBorders>
              <w:left w:val="single" w:sz="4" w:space="0" w:color="auto"/>
              <w:bottom w:val="single" w:sz="4" w:space="0" w:color="auto"/>
              <w:right w:val="single" w:sz="4" w:space="0" w:color="auto"/>
            </w:tcBorders>
            <w:vAlign w:val="center"/>
          </w:tcPr>
          <w:p w14:paraId="22AF0592"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2014</w:t>
            </w:r>
          </w:p>
        </w:tc>
        <w:tc>
          <w:tcPr>
            <w:tcW w:w="630" w:type="dxa"/>
            <w:tcBorders>
              <w:left w:val="single" w:sz="4" w:space="0" w:color="auto"/>
              <w:bottom w:val="single" w:sz="4" w:space="0" w:color="auto"/>
              <w:right w:val="single" w:sz="4" w:space="0" w:color="auto"/>
            </w:tcBorders>
            <w:shd w:val="clear" w:color="auto" w:fill="auto"/>
            <w:vAlign w:val="center"/>
          </w:tcPr>
          <w:p w14:paraId="2F7581EA"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2014</w:t>
            </w:r>
          </w:p>
        </w:tc>
        <w:tc>
          <w:tcPr>
            <w:tcW w:w="528" w:type="dxa"/>
            <w:tcBorders>
              <w:left w:val="single" w:sz="4" w:space="0" w:color="auto"/>
              <w:bottom w:val="single" w:sz="4" w:space="0" w:color="auto"/>
              <w:right w:val="single" w:sz="4" w:space="0" w:color="auto"/>
            </w:tcBorders>
            <w:shd w:val="clear" w:color="auto" w:fill="auto"/>
            <w:vAlign w:val="center"/>
          </w:tcPr>
          <w:p w14:paraId="4A05B99C" w14:textId="77777777" w:rsidR="00EF4A2D" w:rsidRPr="00EF4A2D" w:rsidRDefault="00EF4A2D" w:rsidP="00EF4A2D">
            <w:pPr>
              <w:ind w:left="-113" w:right="-113"/>
              <w:jc w:val="center"/>
              <w:rPr>
                <w:rFonts w:eastAsia="Calibri"/>
                <w:b/>
                <w:sz w:val="14"/>
                <w:szCs w:val="14"/>
                <w:lang w:eastAsia="en-US"/>
              </w:rPr>
            </w:pPr>
            <w:r w:rsidRPr="00EF4A2D">
              <w:rPr>
                <w:rFonts w:eastAsia="Calibri"/>
                <w:b/>
                <w:sz w:val="14"/>
                <w:szCs w:val="14"/>
                <w:lang w:eastAsia="en-US"/>
              </w:rPr>
              <w:t>2005-2014</w:t>
            </w:r>
          </w:p>
        </w:tc>
        <w:tc>
          <w:tcPr>
            <w:tcW w:w="593" w:type="dxa"/>
            <w:tcBorders>
              <w:top w:val="single" w:sz="4" w:space="0" w:color="auto"/>
              <w:left w:val="single" w:sz="4" w:space="0" w:color="auto"/>
              <w:bottom w:val="single" w:sz="4" w:space="0" w:color="auto"/>
              <w:right w:val="single" w:sz="4" w:space="0" w:color="auto"/>
            </w:tcBorders>
            <w:vAlign w:val="center"/>
          </w:tcPr>
          <w:p w14:paraId="58AE7A13"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2012</w:t>
            </w:r>
          </w:p>
        </w:tc>
        <w:tc>
          <w:tcPr>
            <w:tcW w:w="574" w:type="dxa"/>
            <w:tcBorders>
              <w:top w:val="single" w:sz="4" w:space="0" w:color="auto"/>
              <w:left w:val="single" w:sz="4" w:space="0" w:color="auto"/>
              <w:bottom w:val="single" w:sz="4" w:space="0" w:color="auto"/>
              <w:right w:val="single" w:sz="4" w:space="0" w:color="auto"/>
            </w:tcBorders>
            <w:vAlign w:val="center"/>
          </w:tcPr>
          <w:p w14:paraId="388E1407"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2013</w:t>
            </w:r>
          </w:p>
        </w:tc>
        <w:tc>
          <w:tcPr>
            <w:tcW w:w="528" w:type="dxa"/>
            <w:tcBorders>
              <w:top w:val="single" w:sz="4" w:space="0" w:color="auto"/>
              <w:left w:val="single" w:sz="4" w:space="0" w:color="auto"/>
              <w:bottom w:val="single" w:sz="4" w:space="0" w:color="auto"/>
              <w:right w:val="single" w:sz="4" w:space="0" w:color="auto"/>
            </w:tcBorders>
            <w:vAlign w:val="center"/>
          </w:tcPr>
          <w:p w14:paraId="3DA32450"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2014</w:t>
            </w:r>
          </w:p>
        </w:tc>
      </w:tr>
      <w:tr w:rsidR="00EF4A2D" w:rsidRPr="00EF4A2D" w14:paraId="73B5134E" w14:textId="77777777" w:rsidTr="00B9606F">
        <w:trPr>
          <w:jc w:val="center"/>
        </w:trPr>
        <w:tc>
          <w:tcPr>
            <w:tcW w:w="3100" w:type="dxa"/>
            <w:tcBorders>
              <w:top w:val="single" w:sz="4" w:space="0" w:color="auto"/>
              <w:left w:val="single" w:sz="4" w:space="0" w:color="auto"/>
              <w:right w:val="single" w:sz="4" w:space="0" w:color="auto"/>
            </w:tcBorders>
            <w:vAlign w:val="center"/>
          </w:tcPr>
          <w:p w14:paraId="5611ACAD" w14:textId="77777777" w:rsidR="00EF4A2D" w:rsidRPr="00EF4A2D" w:rsidRDefault="00EF4A2D" w:rsidP="00EF4A2D">
            <w:pPr>
              <w:spacing w:before="120" w:after="120"/>
              <w:rPr>
                <w:rFonts w:eastAsia="Calibri"/>
                <w:b/>
                <w:sz w:val="14"/>
                <w:szCs w:val="14"/>
                <w:lang w:eastAsia="en-US"/>
              </w:rPr>
            </w:pPr>
            <w:r w:rsidRPr="00EF4A2D">
              <w:rPr>
                <w:rFonts w:eastAsia="Calibri"/>
                <w:b/>
                <w:sz w:val="14"/>
                <w:szCs w:val="14"/>
                <w:lang w:eastAsia="en-US"/>
              </w:rPr>
              <w:t>Todo el mundo</w:t>
            </w:r>
          </w:p>
        </w:tc>
        <w:tc>
          <w:tcPr>
            <w:tcW w:w="667" w:type="dxa"/>
            <w:tcBorders>
              <w:top w:val="single" w:sz="4" w:space="0" w:color="auto"/>
              <w:left w:val="single" w:sz="4" w:space="0" w:color="auto"/>
              <w:right w:val="single" w:sz="4" w:space="0" w:color="auto"/>
            </w:tcBorders>
            <w:vAlign w:val="center"/>
          </w:tcPr>
          <w:p w14:paraId="7F1A3F16"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18 427</w:t>
            </w:r>
          </w:p>
        </w:tc>
        <w:tc>
          <w:tcPr>
            <w:tcW w:w="588" w:type="dxa"/>
            <w:tcBorders>
              <w:top w:val="single" w:sz="4" w:space="0" w:color="auto"/>
              <w:left w:val="single" w:sz="4" w:space="0" w:color="auto"/>
              <w:right w:val="single" w:sz="4" w:space="0" w:color="auto"/>
            </w:tcBorders>
            <w:vAlign w:val="center"/>
          </w:tcPr>
          <w:p w14:paraId="2CF331D2" w14:textId="77777777" w:rsidR="00EF4A2D" w:rsidRPr="00EF4A2D" w:rsidRDefault="00EF4A2D" w:rsidP="00EF4A2D">
            <w:pPr>
              <w:spacing w:before="120" w:after="120"/>
              <w:ind w:right="113"/>
              <w:jc w:val="right"/>
              <w:rPr>
                <w:rFonts w:eastAsia="Calibri"/>
                <w:b/>
                <w:sz w:val="14"/>
                <w:szCs w:val="14"/>
                <w:lang w:eastAsia="en-US"/>
              </w:rPr>
            </w:pPr>
            <w:r w:rsidRPr="00EF4A2D">
              <w:rPr>
                <w:rFonts w:eastAsia="Calibri"/>
                <w:b/>
                <w:sz w:val="14"/>
                <w:szCs w:val="14"/>
                <w:lang w:eastAsia="en-US"/>
              </w:rPr>
              <w:t>7</w:t>
            </w:r>
          </w:p>
        </w:tc>
        <w:tc>
          <w:tcPr>
            <w:tcW w:w="588" w:type="dxa"/>
            <w:tcBorders>
              <w:top w:val="single" w:sz="4" w:space="0" w:color="auto"/>
              <w:left w:val="single" w:sz="4" w:space="0" w:color="auto"/>
              <w:right w:val="single" w:sz="4" w:space="0" w:color="auto"/>
            </w:tcBorders>
            <w:vAlign w:val="center"/>
          </w:tcPr>
          <w:p w14:paraId="08CAFE77" w14:textId="77777777" w:rsidR="00EF4A2D" w:rsidRPr="00EF4A2D" w:rsidRDefault="00EF4A2D" w:rsidP="00EF4A2D">
            <w:pPr>
              <w:spacing w:before="120" w:after="120"/>
              <w:ind w:right="113"/>
              <w:jc w:val="right"/>
              <w:rPr>
                <w:rFonts w:eastAsia="Calibri"/>
                <w:b/>
                <w:sz w:val="14"/>
                <w:szCs w:val="14"/>
                <w:lang w:eastAsia="en-US"/>
              </w:rPr>
            </w:pPr>
            <w:r w:rsidRPr="00EF4A2D">
              <w:rPr>
                <w:rFonts w:eastAsia="Calibri"/>
                <w:b/>
                <w:sz w:val="14"/>
                <w:szCs w:val="14"/>
                <w:lang w:eastAsia="en-US"/>
              </w:rPr>
              <w:t>0</w:t>
            </w:r>
          </w:p>
        </w:tc>
        <w:tc>
          <w:tcPr>
            <w:tcW w:w="652" w:type="dxa"/>
            <w:tcBorders>
              <w:top w:val="single" w:sz="4" w:space="0" w:color="auto"/>
              <w:left w:val="single" w:sz="4" w:space="0" w:color="auto"/>
              <w:right w:val="single" w:sz="4" w:space="0" w:color="auto"/>
            </w:tcBorders>
            <w:vAlign w:val="center"/>
          </w:tcPr>
          <w:p w14:paraId="6E90BF0B" w14:textId="77777777" w:rsidR="00EF4A2D" w:rsidRPr="00EF4A2D" w:rsidRDefault="00EF4A2D" w:rsidP="00EF4A2D">
            <w:pPr>
              <w:spacing w:before="120" w:after="120"/>
              <w:ind w:right="113"/>
              <w:jc w:val="right"/>
              <w:rPr>
                <w:rFonts w:eastAsia="Calibri"/>
                <w:b/>
                <w:sz w:val="14"/>
                <w:szCs w:val="14"/>
                <w:lang w:eastAsia="en-US"/>
              </w:rPr>
            </w:pPr>
            <w:r w:rsidRPr="00EF4A2D">
              <w:rPr>
                <w:rFonts w:eastAsia="Calibri"/>
                <w:b/>
                <w:sz w:val="14"/>
                <w:szCs w:val="14"/>
                <w:lang w:eastAsia="en-US"/>
              </w:rPr>
              <w:t>2</w:t>
            </w:r>
          </w:p>
        </w:tc>
        <w:tc>
          <w:tcPr>
            <w:tcW w:w="635" w:type="dxa"/>
            <w:tcBorders>
              <w:top w:val="single" w:sz="4" w:space="0" w:color="auto"/>
              <w:left w:val="single" w:sz="4" w:space="0" w:color="auto"/>
              <w:right w:val="single" w:sz="4" w:space="0" w:color="auto"/>
            </w:tcBorders>
            <w:vAlign w:val="center"/>
          </w:tcPr>
          <w:p w14:paraId="41FE0274" w14:textId="77777777" w:rsidR="00EF4A2D" w:rsidRPr="00EF4A2D" w:rsidRDefault="00EF4A2D" w:rsidP="00EF4A2D">
            <w:pPr>
              <w:spacing w:before="120" w:after="120"/>
              <w:ind w:right="113"/>
              <w:jc w:val="right"/>
              <w:rPr>
                <w:rFonts w:eastAsia="Calibri"/>
                <w:b/>
                <w:sz w:val="14"/>
                <w:szCs w:val="14"/>
                <w:lang w:eastAsia="en-US"/>
              </w:rPr>
            </w:pPr>
            <w:r w:rsidRPr="00EF4A2D">
              <w:rPr>
                <w:rFonts w:eastAsia="Calibri"/>
                <w:b/>
                <w:sz w:val="14"/>
                <w:szCs w:val="14"/>
                <w:lang w:eastAsia="en-US"/>
              </w:rPr>
              <w:t>1</w:t>
            </w:r>
          </w:p>
        </w:tc>
        <w:tc>
          <w:tcPr>
            <w:tcW w:w="630" w:type="dxa"/>
            <w:tcBorders>
              <w:top w:val="single" w:sz="4" w:space="0" w:color="auto"/>
              <w:left w:val="single" w:sz="4" w:space="0" w:color="auto"/>
              <w:right w:val="single" w:sz="4" w:space="0" w:color="auto"/>
            </w:tcBorders>
            <w:vAlign w:val="center"/>
          </w:tcPr>
          <w:p w14:paraId="48B106EA"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18 574</w:t>
            </w:r>
          </w:p>
        </w:tc>
        <w:tc>
          <w:tcPr>
            <w:tcW w:w="528" w:type="dxa"/>
            <w:tcBorders>
              <w:top w:val="single" w:sz="4" w:space="0" w:color="auto"/>
              <w:left w:val="single" w:sz="4" w:space="0" w:color="auto"/>
              <w:right w:val="single" w:sz="4" w:space="0" w:color="auto"/>
            </w:tcBorders>
            <w:vAlign w:val="center"/>
          </w:tcPr>
          <w:p w14:paraId="4A6312A1" w14:textId="77777777" w:rsidR="00EF4A2D" w:rsidRPr="00EF4A2D" w:rsidRDefault="00EF4A2D" w:rsidP="00EF4A2D">
            <w:pPr>
              <w:spacing w:before="120" w:after="120"/>
              <w:ind w:right="57"/>
              <w:jc w:val="right"/>
              <w:rPr>
                <w:rFonts w:eastAsia="Calibri"/>
                <w:b/>
                <w:sz w:val="14"/>
                <w:szCs w:val="14"/>
                <w:lang w:eastAsia="en-US"/>
              </w:rPr>
            </w:pPr>
            <w:r w:rsidRPr="00EF4A2D">
              <w:rPr>
                <w:rFonts w:eastAsia="Calibri"/>
                <w:b/>
                <w:sz w:val="14"/>
                <w:szCs w:val="14"/>
                <w:lang w:eastAsia="en-US"/>
              </w:rPr>
              <w:t>6</w:t>
            </w:r>
          </w:p>
        </w:tc>
        <w:tc>
          <w:tcPr>
            <w:tcW w:w="593" w:type="dxa"/>
            <w:tcBorders>
              <w:top w:val="single" w:sz="4" w:space="0" w:color="auto"/>
              <w:left w:val="single" w:sz="4" w:space="0" w:color="auto"/>
              <w:right w:val="single" w:sz="4" w:space="0" w:color="auto"/>
            </w:tcBorders>
            <w:vAlign w:val="center"/>
          </w:tcPr>
          <w:p w14:paraId="55CE793D" w14:textId="77777777" w:rsidR="00EF4A2D" w:rsidRPr="00EF4A2D" w:rsidRDefault="00EF4A2D" w:rsidP="00EF4A2D">
            <w:pPr>
              <w:spacing w:before="120" w:after="120"/>
              <w:ind w:right="57"/>
              <w:jc w:val="right"/>
              <w:rPr>
                <w:rFonts w:eastAsia="Calibri"/>
                <w:b/>
                <w:sz w:val="14"/>
                <w:szCs w:val="14"/>
                <w:lang w:eastAsia="en-US"/>
              </w:rPr>
            </w:pPr>
            <w:r w:rsidRPr="00EF4A2D">
              <w:rPr>
                <w:rFonts w:eastAsia="Calibri"/>
                <w:b/>
                <w:sz w:val="14"/>
                <w:szCs w:val="14"/>
                <w:lang w:eastAsia="en-US"/>
              </w:rPr>
              <w:t>0</w:t>
            </w:r>
          </w:p>
        </w:tc>
        <w:tc>
          <w:tcPr>
            <w:tcW w:w="574" w:type="dxa"/>
            <w:tcBorders>
              <w:top w:val="single" w:sz="4" w:space="0" w:color="auto"/>
              <w:left w:val="single" w:sz="4" w:space="0" w:color="auto"/>
              <w:right w:val="single" w:sz="4" w:space="0" w:color="auto"/>
            </w:tcBorders>
            <w:vAlign w:val="center"/>
          </w:tcPr>
          <w:p w14:paraId="6D0DEF53" w14:textId="77777777" w:rsidR="00EF4A2D" w:rsidRPr="00EF4A2D" w:rsidRDefault="00EF4A2D" w:rsidP="00EF4A2D">
            <w:pPr>
              <w:spacing w:before="120" w:after="120"/>
              <w:ind w:right="57"/>
              <w:jc w:val="right"/>
              <w:rPr>
                <w:rFonts w:eastAsia="Calibri"/>
                <w:b/>
                <w:sz w:val="14"/>
                <w:szCs w:val="14"/>
                <w:lang w:eastAsia="en-US"/>
              </w:rPr>
            </w:pPr>
            <w:r w:rsidRPr="00EF4A2D">
              <w:rPr>
                <w:rFonts w:eastAsia="Calibri"/>
                <w:b/>
                <w:sz w:val="14"/>
                <w:szCs w:val="14"/>
                <w:lang w:eastAsia="en-US"/>
              </w:rPr>
              <w:t>1</w:t>
            </w:r>
          </w:p>
        </w:tc>
        <w:tc>
          <w:tcPr>
            <w:tcW w:w="528" w:type="dxa"/>
            <w:tcBorders>
              <w:top w:val="single" w:sz="4" w:space="0" w:color="auto"/>
              <w:left w:val="single" w:sz="4" w:space="0" w:color="auto"/>
              <w:right w:val="single" w:sz="4" w:space="0" w:color="auto"/>
            </w:tcBorders>
            <w:vAlign w:val="center"/>
          </w:tcPr>
          <w:p w14:paraId="4AA33F02" w14:textId="77777777" w:rsidR="00EF4A2D" w:rsidRPr="00EF4A2D" w:rsidRDefault="00EF4A2D" w:rsidP="00EF4A2D">
            <w:pPr>
              <w:spacing w:before="120" w:after="120"/>
              <w:ind w:right="57"/>
              <w:jc w:val="right"/>
              <w:rPr>
                <w:rFonts w:eastAsia="Calibri"/>
                <w:b/>
                <w:sz w:val="14"/>
                <w:szCs w:val="14"/>
                <w:lang w:eastAsia="en-US"/>
              </w:rPr>
            </w:pPr>
            <w:r w:rsidRPr="00EF4A2D">
              <w:rPr>
                <w:rFonts w:eastAsia="Calibri"/>
                <w:b/>
                <w:sz w:val="14"/>
                <w:szCs w:val="14"/>
                <w:lang w:eastAsia="en-US"/>
              </w:rPr>
              <w:t>1</w:t>
            </w:r>
          </w:p>
        </w:tc>
      </w:tr>
      <w:tr w:rsidR="00EF4A2D" w:rsidRPr="00EF4A2D" w14:paraId="415013E5" w14:textId="77777777" w:rsidTr="00B9606F">
        <w:trPr>
          <w:jc w:val="center"/>
        </w:trPr>
        <w:tc>
          <w:tcPr>
            <w:tcW w:w="3100" w:type="dxa"/>
            <w:tcBorders>
              <w:left w:val="single" w:sz="4" w:space="0" w:color="auto"/>
              <w:right w:val="single" w:sz="4" w:space="0" w:color="auto"/>
            </w:tcBorders>
            <w:shd w:val="clear" w:color="auto" w:fill="auto"/>
            <w:vAlign w:val="center"/>
          </w:tcPr>
          <w:p w14:paraId="04B2808A" w14:textId="77777777" w:rsidR="00EF4A2D" w:rsidRPr="00EF4A2D" w:rsidRDefault="00EF4A2D" w:rsidP="00EF4A2D">
            <w:pPr>
              <w:rPr>
                <w:rFonts w:eastAsia="Calibri"/>
                <w:b/>
                <w:sz w:val="14"/>
                <w:szCs w:val="14"/>
                <w:lang w:eastAsia="en-US"/>
              </w:rPr>
            </w:pPr>
            <w:r w:rsidRPr="00EF4A2D">
              <w:rPr>
                <w:rFonts w:eastAsia="Calibri"/>
                <w:b/>
                <w:sz w:val="14"/>
                <w:szCs w:val="14"/>
                <w:lang w:eastAsia="en-US"/>
              </w:rPr>
              <w:t>América del Norte</w:t>
            </w:r>
          </w:p>
        </w:tc>
        <w:tc>
          <w:tcPr>
            <w:tcW w:w="667" w:type="dxa"/>
            <w:tcBorders>
              <w:left w:val="single" w:sz="4" w:space="0" w:color="auto"/>
              <w:right w:val="single" w:sz="4" w:space="0" w:color="auto"/>
            </w:tcBorders>
            <w:shd w:val="clear" w:color="auto" w:fill="auto"/>
            <w:vAlign w:val="center"/>
          </w:tcPr>
          <w:p w14:paraId="4EF9E282" w14:textId="77777777" w:rsidR="00EF4A2D" w:rsidRPr="00EF4A2D" w:rsidRDefault="00EF4A2D" w:rsidP="00EF4A2D">
            <w:pPr>
              <w:jc w:val="right"/>
              <w:rPr>
                <w:rFonts w:eastAsia="Calibri"/>
                <w:b/>
                <w:sz w:val="14"/>
                <w:szCs w:val="14"/>
                <w:lang w:eastAsia="en-US"/>
              </w:rPr>
            </w:pPr>
            <w:r w:rsidRPr="00EF4A2D">
              <w:rPr>
                <w:rFonts w:eastAsia="Calibri"/>
                <w:b/>
                <w:sz w:val="14"/>
                <w:szCs w:val="14"/>
                <w:lang w:eastAsia="en-US"/>
              </w:rPr>
              <w:t>2 495</w:t>
            </w:r>
          </w:p>
        </w:tc>
        <w:tc>
          <w:tcPr>
            <w:tcW w:w="588" w:type="dxa"/>
            <w:tcBorders>
              <w:left w:val="single" w:sz="4" w:space="0" w:color="auto"/>
              <w:right w:val="single" w:sz="4" w:space="0" w:color="auto"/>
            </w:tcBorders>
            <w:shd w:val="clear" w:color="auto" w:fill="auto"/>
            <w:vAlign w:val="center"/>
          </w:tcPr>
          <w:p w14:paraId="63736DCA"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6</w:t>
            </w:r>
          </w:p>
        </w:tc>
        <w:tc>
          <w:tcPr>
            <w:tcW w:w="588" w:type="dxa"/>
            <w:tcBorders>
              <w:left w:val="single" w:sz="4" w:space="0" w:color="auto"/>
              <w:right w:val="single" w:sz="4" w:space="0" w:color="auto"/>
            </w:tcBorders>
            <w:shd w:val="clear" w:color="auto" w:fill="auto"/>
            <w:vAlign w:val="center"/>
          </w:tcPr>
          <w:p w14:paraId="5E47D30B"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4</w:t>
            </w:r>
          </w:p>
        </w:tc>
        <w:tc>
          <w:tcPr>
            <w:tcW w:w="652" w:type="dxa"/>
            <w:tcBorders>
              <w:left w:val="single" w:sz="4" w:space="0" w:color="auto"/>
              <w:right w:val="single" w:sz="4" w:space="0" w:color="auto"/>
            </w:tcBorders>
            <w:shd w:val="clear" w:color="auto" w:fill="auto"/>
            <w:vAlign w:val="center"/>
          </w:tcPr>
          <w:p w14:paraId="04784616"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2</w:t>
            </w:r>
          </w:p>
        </w:tc>
        <w:tc>
          <w:tcPr>
            <w:tcW w:w="635" w:type="dxa"/>
            <w:tcBorders>
              <w:left w:val="single" w:sz="4" w:space="0" w:color="auto"/>
              <w:right w:val="single" w:sz="4" w:space="0" w:color="auto"/>
            </w:tcBorders>
            <w:shd w:val="clear" w:color="auto" w:fill="auto"/>
            <w:vAlign w:val="center"/>
          </w:tcPr>
          <w:p w14:paraId="15255B7D"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3</w:t>
            </w:r>
          </w:p>
        </w:tc>
        <w:tc>
          <w:tcPr>
            <w:tcW w:w="630" w:type="dxa"/>
            <w:tcBorders>
              <w:left w:val="single" w:sz="4" w:space="0" w:color="auto"/>
              <w:right w:val="single" w:sz="4" w:space="0" w:color="auto"/>
            </w:tcBorders>
            <w:shd w:val="clear" w:color="auto" w:fill="auto"/>
            <w:vAlign w:val="center"/>
          </w:tcPr>
          <w:p w14:paraId="5533854E" w14:textId="77777777" w:rsidR="00EF4A2D" w:rsidRPr="00EF4A2D" w:rsidRDefault="00EF4A2D" w:rsidP="00EF4A2D">
            <w:pPr>
              <w:jc w:val="right"/>
              <w:rPr>
                <w:rFonts w:eastAsia="Calibri"/>
                <w:b/>
                <w:sz w:val="14"/>
                <w:szCs w:val="14"/>
                <w:lang w:eastAsia="en-US"/>
              </w:rPr>
            </w:pPr>
            <w:r w:rsidRPr="00EF4A2D">
              <w:rPr>
                <w:rFonts w:eastAsia="Calibri"/>
                <w:b/>
                <w:sz w:val="14"/>
                <w:szCs w:val="14"/>
                <w:lang w:eastAsia="en-US"/>
              </w:rPr>
              <w:t>3 297</w:t>
            </w:r>
          </w:p>
        </w:tc>
        <w:tc>
          <w:tcPr>
            <w:tcW w:w="528" w:type="dxa"/>
            <w:tcBorders>
              <w:left w:val="single" w:sz="4" w:space="0" w:color="auto"/>
              <w:right w:val="single" w:sz="4" w:space="0" w:color="auto"/>
            </w:tcBorders>
            <w:shd w:val="clear" w:color="auto" w:fill="auto"/>
            <w:vAlign w:val="center"/>
          </w:tcPr>
          <w:p w14:paraId="348DD256"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4</w:t>
            </w:r>
          </w:p>
        </w:tc>
        <w:tc>
          <w:tcPr>
            <w:tcW w:w="593" w:type="dxa"/>
            <w:tcBorders>
              <w:left w:val="single" w:sz="4" w:space="0" w:color="auto"/>
              <w:right w:val="single" w:sz="4" w:space="0" w:color="auto"/>
            </w:tcBorders>
            <w:shd w:val="clear" w:color="auto" w:fill="auto"/>
            <w:vAlign w:val="center"/>
          </w:tcPr>
          <w:p w14:paraId="3FCAEE48"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3</w:t>
            </w:r>
          </w:p>
        </w:tc>
        <w:tc>
          <w:tcPr>
            <w:tcW w:w="574" w:type="dxa"/>
            <w:tcBorders>
              <w:left w:val="single" w:sz="4" w:space="0" w:color="auto"/>
              <w:right w:val="single" w:sz="4" w:space="0" w:color="auto"/>
            </w:tcBorders>
            <w:shd w:val="clear" w:color="auto" w:fill="auto"/>
            <w:vAlign w:val="center"/>
          </w:tcPr>
          <w:p w14:paraId="67240D1B"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0</w:t>
            </w:r>
          </w:p>
        </w:tc>
        <w:tc>
          <w:tcPr>
            <w:tcW w:w="528" w:type="dxa"/>
            <w:tcBorders>
              <w:left w:val="single" w:sz="4" w:space="0" w:color="auto"/>
              <w:right w:val="single" w:sz="4" w:space="0" w:color="auto"/>
            </w:tcBorders>
            <w:shd w:val="clear" w:color="auto" w:fill="auto"/>
            <w:vAlign w:val="center"/>
          </w:tcPr>
          <w:p w14:paraId="6D17B38D"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3</w:t>
            </w:r>
          </w:p>
        </w:tc>
      </w:tr>
      <w:tr w:rsidR="00EF4A2D" w:rsidRPr="00EF4A2D" w14:paraId="3D6333AE" w14:textId="77777777" w:rsidTr="00B9606F">
        <w:trPr>
          <w:jc w:val="center"/>
        </w:trPr>
        <w:tc>
          <w:tcPr>
            <w:tcW w:w="3100" w:type="dxa"/>
            <w:tcBorders>
              <w:left w:val="single" w:sz="4" w:space="0" w:color="auto"/>
              <w:right w:val="single" w:sz="4" w:space="0" w:color="auto"/>
            </w:tcBorders>
            <w:shd w:val="clear" w:color="auto" w:fill="auto"/>
            <w:vAlign w:val="center"/>
          </w:tcPr>
          <w:p w14:paraId="381812C8" w14:textId="77777777" w:rsidR="00EF4A2D" w:rsidRPr="00EF4A2D" w:rsidRDefault="00EF4A2D" w:rsidP="00EF4A2D">
            <w:pPr>
              <w:ind w:left="170"/>
              <w:rPr>
                <w:rFonts w:eastAsia="Calibri"/>
                <w:sz w:val="14"/>
                <w:szCs w:val="14"/>
                <w:lang w:eastAsia="en-US"/>
              </w:rPr>
            </w:pPr>
            <w:r w:rsidRPr="00EF4A2D">
              <w:rPr>
                <w:rFonts w:eastAsia="Calibri"/>
                <w:sz w:val="14"/>
                <w:szCs w:val="14"/>
                <w:lang w:eastAsia="en-US"/>
              </w:rPr>
              <w:t>Estados Unidos de Norteamérica</w:t>
            </w:r>
          </w:p>
        </w:tc>
        <w:tc>
          <w:tcPr>
            <w:tcW w:w="667" w:type="dxa"/>
            <w:tcBorders>
              <w:left w:val="single" w:sz="4" w:space="0" w:color="auto"/>
              <w:right w:val="single" w:sz="4" w:space="0" w:color="auto"/>
            </w:tcBorders>
            <w:shd w:val="clear" w:color="auto" w:fill="auto"/>
            <w:vAlign w:val="center"/>
          </w:tcPr>
          <w:p w14:paraId="0E954D4A"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1 623</w:t>
            </w:r>
          </w:p>
        </w:tc>
        <w:tc>
          <w:tcPr>
            <w:tcW w:w="588" w:type="dxa"/>
            <w:tcBorders>
              <w:left w:val="single" w:sz="4" w:space="0" w:color="auto"/>
              <w:right w:val="single" w:sz="4" w:space="0" w:color="auto"/>
            </w:tcBorders>
            <w:shd w:val="clear" w:color="auto" w:fill="auto"/>
            <w:vAlign w:val="center"/>
          </w:tcPr>
          <w:p w14:paraId="10C2C011"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7</w:t>
            </w:r>
          </w:p>
        </w:tc>
        <w:tc>
          <w:tcPr>
            <w:tcW w:w="588" w:type="dxa"/>
            <w:tcBorders>
              <w:left w:val="single" w:sz="4" w:space="0" w:color="auto"/>
              <w:right w:val="single" w:sz="4" w:space="0" w:color="auto"/>
            </w:tcBorders>
            <w:shd w:val="clear" w:color="auto" w:fill="auto"/>
            <w:vAlign w:val="center"/>
          </w:tcPr>
          <w:p w14:paraId="1A4EF7C9"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4</w:t>
            </w:r>
          </w:p>
        </w:tc>
        <w:tc>
          <w:tcPr>
            <w:tcW w:w="652" w:type="dxa"/>
            <w:tcBorders>
              <w:left w:val="single" w:sz="4" w:space="0" w:color="auto"/>
              <w:right w:val="single" w:sz="4" w:space="0" w:color="auto"/>
            </w:tcBorders>
            <w:shd w:val="clear" w:color="auto" w:fill="auto"/>
            <w:vAlign w:val="center"/>
          </w:tcPr>
          <w:p w14:paraId="6284A8EB"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2</w:t>
            </w:r>
          </w:p>
        </w:tc>
        <w:tc>
          <w:tcPr>
            <w:tcW w:w="635" w:type="dxa"/>
            <w:tcBorders>
              <w:left w:val="single" w:sz="4" w:space="0" w:color="auto"/>
              <w:right w:val="single" w:sz="4" w:space="0" w:color="auto"/>
            </w:tcBorders>
            <w:shd w:val="clear" w:color="auto" w:fill="auto"/>
            <w:vAlign w:val="center"/>
          </w:tcPr>
          <w:p w14:paraId="1651237A"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3</w:t>
            </w:r>
          </w:p>
        </w:tc>
        <w:tc>
          <w:tcPr>
            <w:tcW w:w="630" w:type="dxa"/>
            <w:tcBorders>
              <w:left w:val="single" w:sz="4" w:space="0" w:color="auto"/>
              <w:right w:val="single" w:sz="4" w:space="0" w:color="auto"/>
            </w:tcBorders>
            <w:shd w:val="clear" w:color="auto" w:fill="auto"/>
            <w:vAlign w:val="center"/>
          </w:tcPr>
          <w:p w14:paraId="41CACC92"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2 409</w:t>
            </w:r>
          </w:p>
        </w:tc>
        <w:tc>
          <w:tcPr>
            <w:tcW w:w="528" w:type="dxa"/>
            <w:tcBorders>
              <w:left w:val="single" w:sz="4" w:space="0" w:color="auto"/>
              <w:right w:val="single" w:sz="4" w:space="0" w:color="auto"/>
            </w:tcBorders>
            <w:shd w:val="clear" w:color="auto" w:fill="auto"/>
            <w:vAlign w:val="center"/>
          </w:tcPr>
          <w:p w14:paraId="1C16E14C"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4</w:t>
            </w:r>
          </w:p>
        </w:tc>
        <w:tc>
          <w:tcPr>
            <w:tcW w:w="593" w:type="dxa"/>
            <w:tcBorders>
              <w:left w:val="single" w:sz="4" w:space="0" w:color="auto"/>
              <w:right w:val="single" w:sz="4" w:space="0" w:color="auto"/>
            </w:tcBorders>
            <w:shd w:val="clear" w:color="auto" w:fill="auto"/>
            <w:vAlign w:val="center"/>
          </w:tcPr>
          <w:p w14:paraId="34CDD56F"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3</w:t>
            </w:r>
          </w:p>
        </w:tc>
        <w:tc>
          <w:tcPr>
            <w:tcW w:w="574" w:type="dxa"/>
            <w:tcBorders>
              <w:left w:val="single" w:sz="4" w:space="0" w:color="auto"/>
              <w:right w:val="single" w:sz="4" w:space="0" w:color="auto"/>
            </w:tcBorders>
            <w:shd w:val="clear" w:color="auto" w:fill="auto"/>
            <w:vAlign w:val="center"/>
          </w:tcPr>
          <w:p w14:paraId="5781DF56"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0</w:t>
            </w:r>
          </w:p>
        </w:tc>
        <w:tc>
          <w:tcPr>
            <w:tcW w:w="528" w:type="dxa"/>
            <w:tcBorders>
              <w:left w:val="single" w:sz="4" w:space="0" w:color="auto"/>
              <w:right w:val="single" w:sz="4" w:space="0" w:color="auto"/>
            </w:tcBorders>
            <w:shd w:val="clear" w:color="auto" w:fill="auto"/>
            <w:vAlign w:val="center"/>
          </w:tcPr>
          <w:p w14:paraId="2C61C22E"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3</w:t>
            </w:r>
          </w:p>
        </w:tc>
      </w:tr>
      <w:tr w:rsidR="00EF4A2D" w:rsidRPr="00EF4A2D" w14:paraId="7C736CE6" w14:textId="77777777" w:rsidTr="00B9606F">
        <w:trPr>
          <w:jc w:val="center"/>
        </w:trPr>
        <w:tc>
          <w:tcPr>
            <w:tcW w:w="3100" w:type="dxa"/>
            <w:tcBorders>
              <w:left w:val="single" w:sz="4" w:space="0" w:color="auto"/>
              <w:right w:val="single" w:sz="4" w:space="0" w:color="auto"/>
            </w:tcBorders>
            <w:shd w:val="clear" w:color="auto" w:fill="auto"/>
            <w:vAlign w:val="center"/>
          </w:tcPr>
          <w:p w14:paraId="21C2734E" w14:textId="77777777" w:rsidR="00EF4A2D" w:rsidRPr="00EF4A2D" w:rsidRDefault="00EF4A2D" w:rsidP="00EF4A2D">
            <w:pPr>
              <w:ind w:left="170"/>
              <w:rPr>
                <w:rFonts w:eastAsia="Calibri"/>
                <w:sz w:val="14"/>
                <w:szCs w:val="14"/>
                <w:lang w:eastAsia="en-US"/>
              </w:rPr>
            </w:pPr>
            <w:r w:rsidRPr="00EF4A2D">
              <w:rPr>
                <w:rFonts w:eastAsia="Calibri"/>
                <w:sz w:val="14"/>
                <w:szCs w:val="14"/>
                <w:lang w:eastAsia="en-US"/>
              </w:rPr>
              <w:t>Canadá</w:t>
            </w:r>
            <w:r w:rsidRPr="00EF4A2D">
              <w:rPr>
                <w:rFonts w:eastAsia="Calibri"/>
                <w:sz w:val="14"/>
                <w:szCs w:val="14"/>
                <w:u w:val="single"/>
                <w:vertAlign w:val="superscript"/>
                <w:lang w:eastAsia="en-US"/>
              </w:rPr>
              <w:t xml:space="preserve"> a</w:t>
            </w:r>
            <w:r w:rsidRPr="00EF4A2D">
              <w:rPr>
                <w:rFonts w:eastAsia="Calibri"/>
                <w:sz w:val="14"/>
                <w:szCs w:val="14"/>
                <w:vertAlign w:val="superscript"/>
                <w:lang w:eastAsia="en-US"/>
              </w:rPr>
              <w:t>/</w:t>
            </w:r>
          </w:p>
        </w:tc>
        <w:tc>
          <w:tcPr>
            <w:tcW w:w="667" w:type="dxa"/>
            <w:tcBorders>
              <w:left w:val="single" w:sz="4" w:space="0" w:color="auto"/>
              <w:right w:val="single" w:sz="4" w:space="0" w:color="auto"/>
            </w:tcBorders>
            <w:shd w:val="clear" w:color="auto" w:fill="auto"/>
            <w:vAlign w:val="center"/>
          </w:tcPr>
          <w:p w14:paraId="3BCE29B0"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474</w:t>
            </w:r>
          </w:p>
        </w:tc>
        <w:tc>
          <w:tcPr>
            <w:tcW w:w="588" w:type="dxa"/>
            <w:tcBorders>
              <w:left w:val="single" w:sz="4" w:space="0" w:color="auto"/>
              <w:right w:val="single" w:sz="4" w:space="0" w:color="auto"/>
            </w:tcBorders>
            <w:shd w:val="clear" w:color="auto" w:fill="auto"/>
            <w:vAlign w:val="center"/>
          </w:tcPr>
          <w:p w14:paraId="6F22212C"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3</w:t>
            </w:r>
          </w:p>
        </w:tc>
        <w:tc>
          <w:tcPr>
            <w:tcW w:w="588" w:type="dxa"/>
            <w:tcBorders>
              <w:left w:val="single" w:sz="4" w:space="0" w:color="auto"/>
              <w:right w:val="single" w:sz="4" w:space="0" w:color="auto"/>
            </w:tcBorders>
            <w:shd w:val="clear" w:color="auto" w:fill="auto"/>
            <w:vAlign w:val="center"/>
          </w:tcPr>
          <w:p w14:paraId="0B5F85D4"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1</w:t>
            </w:r>
          </w:p>
        </w:tc>
        <w:tc>
          <w:tcPr>
            <w:tcW w:w="652" w:type="dxa"/>
            <w:tcBorders>
              <w:left w:val="single" w:sz="4" w:space="0" w:color="auto"/>
              <w:right w:val="single" w:sz="4" w:space="0" w:color="auto"/>
            </w:tcBorders>
            <w:shd w:val="clear" w:color="auto" w:fill="auto"/>
            <w:vAlign w:val="center"/>
          </w:tcPr>
          <w:p w14:paraId="6A9DDEC5"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1</w:t>
            </w:r>
          </w:p>
        </w:tc>
        <w:tc>
          <w:tcPr>
            <w:tcW w:w="635" w:type="dxa"/>
            <w:tcBorders>
              <w:left w:val="single" w:sz="4" w:space="0" w:color="auto"/>
              <w:right w:val="single" w:sz="4" w:space="0" w:color="auto"/>
            </w:tcBorders>
            <w:shd w:val="clear" w:color="auto" w:fill="auto"/>
            <w:vAlign w:val="center"/>
          </w:tcPr>
          <w:p w14:paraId="457813B7"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3</w:t>
            </w:r>
          </w:p>
        </w:tc>
        <w:tc>
          <w:tcPr>
            <w:tcW w:w="630" w:type="dxa"/>
            <w:tcBorders>
              <w:left w:val="single" w:sz="4" w:space="0" w:color="auto"/>
              <w:right w:val="single" w:sz="4" w:space="0" w:color="auto"/>
            </w:tcBorders>
            <w:shd w:val="clear" w:color="auto" w:fill="auto"/>
            <w:vAlign w:val="center"/>
          </w:tcPr>
          <w:p w14:paraId="2A993FC1"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475</w:t>
            </w:r>
          </w:p>
        </w:tc>
        <w:tc>
          <w:tcPr>
            <w:tcW w:w="528" w:type="dxa"/>
            <w:tcBorders>
              <w:left w:val="single" w:sz="4" w:space="0" w:color="auto"/>
              <w:right w:val="single" w:sz="4" w:space="0" w:color="auto"/>
            </w:tcBorders>
            <w:shd w:val="clear" w:color="auto" w:fill="auto"/>
            <w:vAlign w:val="center"/>
          </w:tcPr>
          <w:p w14:paraId="542F94A5"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4</w:t>
            </w:r>
          </w:p>
        </w:tc>
        <w:tc>
          <w:tcPr>
            <w:tcW w:w="593" w:type="dxa"/>
            <w:tcBorders>
              <w:left w:val="single" w:sz="4" w:space="0" w:color="auto"/>
              <w:right w:val="single" w:sz="4" w:space="0" w:color="auto"/>
            </w:tcBorders>
            <w:shd w:val="clear" w:color="auto" w:fill="auto"/>
            <w:vAlign w:val="center"/>
          </w:tcPr>
          <w:p w14:paraId="40666D5C"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2</w:t>
            </w:r>
          </w:p>
        </w:tc>
        <w:tc>
          <w:tcPr>
            <w:tcW w:w="574" w:type="dxa"/>
            <w:tcBorders>
              <w:left w:val="single" w:sz="4" w:space="0" w:color="auto"/>
              <w:right w:val="single" w:sz="4" w:space="0" w:color="auto"/>
            </w:tcBorders>
            <w:shd w:val="clear" w:color="auto" w:fill="auto"/>
            <w:vAlign w:val="center"/>
          </w:tcPr>
          <w:p w14:paraId="347E4015"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0</w:t>
            </w:r>
          </w:p>
        </w:tc>
        <w:tc>
          <w:tcPr>
            <w:tcW w:w="528" w:type="dxa"/>
            <w:tcBorders>
              <w:left w:val="single" w:sz="4" w:space="0" w:color="auto"/>
              <w:right w:val="single" w:sz="4" w:space="0" w:color="auto"/>
            </w:tcBorders>
            <w:shd w:val="clear" w:color="auto" w:fill="auto"/>
            <w:vAlign w:val="center"/>
          </w:tcPr>
          <w:p w14:paraId="6A6D416A"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0</w:t>
            </w:r>
          </w:p>
        </w:tc>
      </w:tr>
      <w:tr w:rsidR="00EF4A2D" w:rsidRPr="00EF4A2D" w14:paraId="646AE7D7" w14:textId="77777777" w:rsidTr="00B9606F">
        <w:trPr>
          <w:jc w:val="center"/>
        </w:trPr>
        <w:tc>
          <w:tcPr>
            <w:tcW w:w="3100" w:type="dxa"/>
            <w:tcBorders>
              <w:left w:val="single" w:sz="4" w:space="0" w:color="auto"/>
              <w:right w:val="single" w:sz="4" w:space="0" w:color="auto"/>
            </w:tcBorders>
            <w:shd w:val="clear" w:color="auto" w:fill="auto"/>
            <w:vAlign w:val="center"/>
          </w:tcPr>
          <w:p w14:paraId="7325BB3F" w14:textId="77777777" w:rsidR="00EF4A2D" w:rsidRPr="00EF4A2D" w:rsidRDefault="00EF4A2D" w:rsidP="00EF4A2D">
            <w:pPr>
              <w:spacing w:after="120"/>
              <w:ind w:left="170"/>
              <w:rPr>
                <w:rFonts w:eastAsia="Calibri"/>
                <w:sz w:val="14"/>
                <w:szCs w:val="14"/>
                <w:lang w:eastAsia="en-US"/>
              </w:rPr>
            </w:pPr>
            <w:r w:rsidRPr="00EF4A2D">
              <w:rPr>
                <w:rFonts w:eastAsia="Calibri"/>
                <w:sz w:val="14"/>
                <w:szCs w:val="14"/>
                <w:lang w:eastAsia="en-US"/>
              </w:rPr>
              <w:t>México</w:t>
            </w:r>
          </w:p>
        </w:tc>
        <w:tc>
          <w:tcPr>
            <w:tcW w:w="667" w:type="dxa"/>
            <w:tcBorders>
              <w:left w:val="single" w:sz="4" w:space="0" w:color="auto"/>
              <w:right w:val="single" w:sz="4" w:space="0" w:color="auto"/>
            </w:tcBorders>
            <w:shd w:val="clear" w:color="auto" w:fill="auto"/>
            <w:vAlign w:val="center"/>
          </w:tcPr>
          <w:p w14:paraId="098D5E4B" w14:textId="77777777" w:rsidR="00EF4A2D" w:rsidRPr="00EF4A2D" w:rsidRDefault="00EF4A2D" w:rsidP="00EF4A2D">
            <w:pPr>
              <w:spacing w:after="120"/>
              <w:jc w:val="right"/>
              <w:rPr>
                <w:rFonts w:eastAsia="Calibri"/>
                <w:sz w:val="14"/>
                <w:szCs w:val="14"/>
                <w:lang w:eastAsia="en-US"/>
              </w:rPr>
            </w:pPr>
            <w:r w:rsidRPr="00EF4A2D">
              <w:rPr>
                <w:rFonts w:eastAsia="Calibri"/>
                <w:sz w:val="14"/>
                <w:szCs w:val="14"/>
                <w:lang w:eastAsia="en-US"/>
              </w:rPr>
              <w:t>398</w:t>
            </w:r>
          </w:p>
        </w:tc>
        <w:tc>
          <w:tcPr>
            <w:tcW w:w="588" w:type="dxa"/>
            <w:tcBorders>
              <w:left w:val="single" w:sz="4" w:space="0" w:color="auto"/>
              <w:right w:val="single" w:sz="4" w:space="0" w:color="auto"/>
            </w:tcBorders>
            <w:shd w:val="clear" w:color="auto" w:fill="auto"/>
            <w:vAlign w:val="center"/>
          </w:tcPr>
          <w:p w14:paraId="0F672736"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7</w:t>
            </w:r>
          </w:p>
        </w:tc>
        <w:tc>
          <w:tcPr>
            <w:tcW w:w="588" w:type="dxa"/>
            <w:tcBorders>
              <w:left w:val="single" w:sz="4" w:space="0" w:color="auto"/>
              <w:right w:val="single" w:sz="4" w:space="0" w:color="auto"/>
            </w:tcBorders>
            <w:shd w:val="clear" w:color="auto" w:fill="auto"/>
            <w:vAlign w:val="center"/>
          </w:tcPr>
          <w:p w14:paraId="0357EC6E"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6</w:t>
            </w:r>
          </w:p>
        </w:tc>
        <w:tc>
          <w:tcPr>
            <w:tcW w:w="652" w:type="dxa"/>
            <w:tcBorders>
              <w:left w:val="single" w:sz="4" w:space="0" w:color="auto"/>
              <w:right w:val="single" w:sz="4" w:space="0" w:color="auto"/>
            </w:tcBorders>
            <w:shd w:val="clear" w:color="auto" w:fill="auto"/>
            <w:vAlign w:val="center"/>
          </w:tcPr>
          <w:p w14:paraId="5F15F912"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3</w:t>
            </w:r>
          </w:p>
        </w:tc>
        <w:tc>
          <w:tcPr>
            <w:tcW w:w="635" w:type="dxa"/>
            <w:tcBorders>
              <w:left w:val="single" w:sz="4" w:space="0" w:color="auto"/>
              <w:right w:val="single" w:sz="4" w:space="0" w:color="auto"/>
            </w:tcBorders>
            <w:shd w:val="clear" w:color="auto" w:fill="auto"/>
            <w:vAlign w:val="center"/>
          </w:tcPr>
          <w:p w14:paraId="690121D2"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5</w:t>
            </w:r>
          </w:p>
        </w:tc>
        <w:tc>
          <w:tcPr>
            <w:tcW w:w="630" w:type="dxa"/>
            <w:tcBorders>
              <w:left w:val="single" w:sz="4" w:space="0" w:color="auto"/>
              <w:right w:val="single" w:sz="4" w:space="0" w:color="auto"/>
            </w:tcBorders>
            <w:shd w:val="clear" w:color="auto" w:fill="auto"/>
            <w:vAlign w:val="center"/>
          </w:tcPr>
          <w:p w14:paraId="6B7B5FE9" w14:textId="77777777" w:rsidR="00EF4A2D" w:rsidRPr="00EF4A2D" w:rsidRDefault="00EF4A2D" w:rsidP="00EF4A2D">
            <w:pPr>
              <w:spacing w:after="120"/>
              <w:jc w:val="right"/>
              <w:rPr>
                <w:rFonts w:eastAsia="Calibri"/>
                <w:sz w:val="14"/>
                <w:szCs w:val="14"/>
                <w:lang w:eastAsia="en-US"/>
              </w:rPr>
            </w:pPr>
            <w:r w:rsidRPr="00EF4A2D">
              <w:rPr>
                <w:rFonts w:eastAsia="Calibri"/>
                <w:sz w:val="14"/>
                <w:szCs w:val="14"/>
                <w:lang w:eastAsia="en-US"/>
              </w:rPr>
              <w:t>412</w:t>
            </w:r>
          </w:p>
        </w:tc>
        <w:tc>
          <w:tcPr>
            <w:tcW w:w="528" w:type="dxa"/>
            <w:tcBorders>
              <w:left w:val="single" w:sz="4" w:space="0" w:color="auto"/>
              <w:right w:val="single" w:sz="4" w:space="0" w:color="auto"/>
            </w:tcBorders>
            <w:shd w:val="clear" w:color="auto" w:fill="auto"/>
            <w:vAlign w:val="center"/>
          </w:tcPr>
          <w:p w14:paraId="771B59B0"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7</w:t>
            </w:r>
          </w:p>
        </w:tc>
        <w:tc>
          <w:tcPr>
            <w:tcW w:w="593" w:type="dxa"/>
            <w:tcBorders>
              <w:left w:val="single" w:sz="4" w:space="0" w:color="auto"/>
              <w:right w:val="single" w:sz="4" w:space="0" w:color="auto"/>
            </w:tcBorders>
            <w:shd w:val="clear" w:color="auto" w:fill="auto"/>
            <w:vAlign w:val="center"/>
          </w:tcPr>
          <w:p w14:paraId="6F4CB271"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5</w:t>
            </w:r>
          </w:p>
        </w:tc>
        <w:tc>
          <w:tcPr>
            <w:tcW w:w="574" w:type="dxa"/>
            <w:tcBorders>
              <w:left w:val="single" w:sz="4" w:space="0" w:color="auto"/>
              <w:right w:val="single" w:sz="4" w:space="0" w:color="auto"/>
            </w:tcBorders>
            <w:shd w:val="clear" w:color="auto" w:fill="auto"/>
            <w:vAlign w:val="center"/>
          </w:tcPr>
          <w:p w14:paraId="6C667C7A"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3</w:t>
            </w:r>
          </w:p>
        </w:tc>
        <w:tc>
          <w:tcPr>
            <w:tcW w:w="528" w:type="dxa"/>
            <w:tcBorders>
              <w:left w:val="single" w:sz="4" w:space="0" w:color="auto"/>
              <w:right w:val="single" w:sz="4" w:space="0" w:color="auto"/>
            </w:tcBorders>
            <w:shd w:val="clear" w:color="auto" w:fill="auto"/>
            <w:vAlign w:val="center"/>
          </w:tcPr>
          <w:p w14:paraId="32C25606"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5</w:t>
            </w:r>
          </w:p>
        </w:tc>
      </w:tr>
      <w:tr w:rsidR="00EF4A2D" w:rsidRPr="00EF4A2D" w14:paraId="2337435F" w14:textId="77777777" w:rsidTr="00B9606F">
        <w:trPr>
          <w:jc w:val="center"/>
        </w:trPr>
        <w:tc>
          <w:tcPr>
            <w:tcW w:w="3100" w:type="dxa"/>
            <w:tcBorders>
              <w:left w:val="single" w:sz="4" w:space="0" w:color="auto"/>
              <w:right w:val="single" w:sz="4" w:space="0" w:color="auto"/>
            </w:tcBorders>
            <w:shd w:val="clear" w:color="auto" w:fill="auto"/>
            <w:vAlign w:val="center"/>
          </w:tcPr>
          <w:p w14:paraId="744CFDC4" w14:textId="77777777" w:rsidR="00EF4A2D" w:rsidRPr="00EF4A2D" w:rsidRDefault="00EF4A2D" w:rsidP="00EF4A2D">
            <w:pPr>
              <w:rPr>
                <w:rFonts w:eastAsia="Calibri"/>
                <w:b/>
                <w:sz w:val="14"/>
                <w:szCs w:val="14"/>
                <w:lang w:eastAsia="en-US"/>
              </w:rPr>
            </w:pPr>
            <w:r w:rsidRPr="00EF4A2D">
              <w:rPr>
                <w:rFonts w:eastAsia="Calibri"/>
                <w:b/>
                <w:sz w:val="14"/>
                <w:szCs w:val="14"/>
                <w:lang w:eastAsia="en-US"/>
              </w:rPr>
              <w:t xml:space="preserve">América Central y del </w:t>
            </w:r>
            <w:proofErr w:type="spellStart"/>
            <w:r w:rsidRPr="00EF4A2D">
              <w:rPr>
                <w:rFonts w:eastAsia="Calibri"/>
                <w:b/>
                <w:sz w:val="14"/>
                <w:szCs w:val="14"/>
                <w:lang w:eastAsia="en-US"/>
              </w:rPr>
              <w:t>Sur</w:t>
            </w:r>
            <w:r w:rsidRPr="00EF4A2D">
              <w:rPr>
                <w:rFonts w:eastAsia="Calibri"/>
                <w:b/>
                <w:sz w:val="14"/>
                <w:szCs w:val="14"/>
                <w:u w:val="single"/>
                <w:vertAlign w:val="superscript"/>
                <w:lang w:eastAsia="en-US"/>
              </w:rPr>
              <w:t>b</w:t>
            </w:r>
            <w:proofErr w:type="spellEnd"/>
            <w:r w:rsidRPr="00EF4A2D">
              <w:rPr>
                <w:rFonts w:eastAsia="Calibri"/>
                <w:b/>
                <w:sz w:val="14"/>
                <w:szCs w:val="14"/>
                <w:vertAlign w:val="superscript"/>
                <w:lang w:eastAsia="en-US"/>
              </w:rPr>
              <w:t>/</w:t>
            </w:r>
          </w:p>
        </w:tc>
        <w:tc>
          <w:tcPr>
            <w:tcW w:w="667" w:type="dxa"/>
            <w:tcBorders>
              <w:left w:val="single" w:sz="4" w:space="0" w:color="auto"/>
              <w:right w:val="single" w:sz="4" w:space="0" w:color="auto"/>
            </w:tcBorders>
            <w:shd w:val="clear" w:color="auto" w:fill="auto"/>
            <w:vAlign w:val="center"/>
          </w:tcPr>
          <w:p w14:paraId="48B0402A" w14:textId="77777777" w:rsidR="00EF4A2D" w:rsidRPr="00EF4A2D" w:rsidRDefault="00EF4A2D" w:rsidP="00EF4A2D">
            <w:pPr>
              <w:jc w:val="right"/>
              <w:rPr>
                <w:rFonts w:eastAsia="Calibri"/>
                <w:b/>
                <w:sz w:val="14"/>
                <w:szCs w:val="14"/>
                <w:lang w:eastAsia="en-US"/>
              </w:rPr>
            </w:pPr>
            <w:r w:rsidRPr="00EF4A2D">
              <w:rPr>
                <w:rFonts w:eastAsia="Calibri"/>
                <w:b/>
                <w:sz w:val="14"/>
                <w:szCs w:val="14"/>
                <w:lang w:eastAsia="en-US"/>
              </w:rPr>
              <w:t>695</w:t>
            </w:r>
          </w:p>
        </w:tc>
        <w:tc>
          <w:tcPr>
            <w:tcW w:w="588" w:type="dxa"/>
            <w:tcBorders>
              <w:left w:val="single" w:sz="4" w:space="0" w:color="auto"/>
              <w:right w:val="single" w:sz="4" w:space="0" w:color="auto"/>
            </w:tcBorders>
            <w:shd w:val="clear" w:color="auto" w:fill="auto"/>
            <w:vAlign w:val="center"/>
          </w:tcPr>
          <w:p w14:paraId="2C9A5DC1"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7</w:t>
            </w:r>
          </w:p>
        </w:tc>
        <w:tc>
          <w:tcPr>
            <w:tcW w:w="588" w:type="dxa"/>
            <w:tcBorders>
              <w:left w:val="single" w:sz="4" w:space="0" w:color="auto"/>
              <w:right w:val="single" w:sz="4" w:space="0" w:color="auto"/>
            </w:tcBorders>
            <w:shd w:val="clear" w:color="auto" w:fill="auto"/>
            <w:vAlign w:val="center"/>
          </w:tcPr>
          <w:p w14:paraId="390B8E6E"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-1</w:t>
            </w:r>
          </w:p>
        </w:tc>
        <w:tc>
          <w:tcPr>
            <w:tcW w:w="652" w:type="dxa"/>
            <w:tcBorders>
              <w:left w:val="single" w:sz="4" w:space="0" w:color="auto"/>
              <w:right w:val="single" w:sz="4" w:space="0" w:color="auto"/>
            </w:tcBorders>
            <w:shd w:val="clear" w:color="auto" w:fill="auto"/>
            <w:vAlign w:val="center"/>
          </w:tcPr>
          <w:p w14:paraId="0B63D939"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-2</w:t>
            </w:r>
          </w:p>
        </w:tc>
        <w:tc>
          <w:tcPr>
            <w:tcW w:w="635" w:type="dxa"/>
            <w:tcBorders>
              <w:left w:val="single" w:sz="4" w:space="0" w:color="auto"/>
              <w:right w:val="single" w:sz="4" w:space="0" w:color="auto"/>
            </w:tcBorders>
            <w:shd w:val="clear" w:color="auto" w:fill="auto"/>
            <w:vAlign w:val="center"/>
          </w:tcPr>
          <w:p w14:paraId="10910938"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-6</w:t>
            </w:r>
          </w:p>
        </w:tc>
        <w:tc>
          <w:tcPr>
            <w:tcW w:w="630" w:type="dxa"/>
            <w:tcBorders>
              <w:left w:val="single" w:sz="4" w:space="0" w:color="auto"/>
              <w:right w:val="single" w:sz="4" w:space="0" w:color="auto"/>
            </w:tcBorders>
            <w:shd w:val="clear" w:color="auto" w:fill="auto"/>
            <w:vAlign w:val="center"/>
          </w:tcPr>
          <w:p w14:paraId="271B74F3" w14:textId="77777777" w:rsidR="00EF4A2D" w:rsidRPr="00EF4A2D" w:rsidRDefault="00EF4A2D" w:rsidP="00EF4A2D">
            <w:pPr>
              <w:jc w:val="right"/>
              <w:rPr>
                <w:rFonts w:eastAsia="Calibri"/>
                <w:b/>
                <w:sz w:val="14"/>
                <w:szCs w:val="14"/>
                <w:lang w:eastAsia="en-US"/>
              </w:rPr>
            </w:pPr>
            <w:r w:rsidRPr="00EF4A2D">
              <w:rPr>
                <w:rFonts w:eastAsia="Calibri"/>
                <w:b/>
                <w:sz w:val="14"/>
                <w:szCs w:val="14"/>
                <w:lang w:eastAsia="en-US"/>
              </w:rPr>
              <w:t>742</w:t>
            </w:r>
          </w:p>
        </w:tc>
        <w:tc>
          <w:tcPr>
            <w:tcW w:w="528" w:type="dxa"/>
            <w:tcBorders>
              <w:left w:val="single" w:sz="4" w:space="0" w:color="auto"/>
              <w:right w:val="single" w:sz="4" w:space="0" w:color="auto"/>
            </w:tcBorders>
            <w:shd w:val="clear" w:color="auto" w:fill="auto"/>
            <w:vAlign w:val="center"/>
          </w:tcPr>
          <w:p w14:paraId="63624C51"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10</w:t>
            </w:r>
          </w:p>
        </w:tc>
        <w:tc>
          <w:tcPr>
            <w:tcW w:w="593" w:type="dxa"/>
            <w:tcBorders>
              <w:left w:val="single" w:sz="4" w:space="0" w:color="auto"/>
              <w:right w:val="single" w:sz="4" w:space="0" w:color="auto"/>
            </w:tcBorders>
            <w:shd w:val="clear" w:color="auto" w:fill="auto"/>
            <w:vAlign w:val="center"/>
          </w:tcPr>
          <w:p w14:paraId="4D16A88D"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3</w:t>
            </w:r>
          </w:p>
        </w:tc>
        <w:tc>
          <w:tcPr>
            <w:tcW w:w="574" w:type="dxa"/>
            <w:tcBorders>
              <w:left w:val="single" w:sz="4" w:space="0" w:color="auto"/>
              <w:right w:val="single" w:sz="4" w:space="0" w:color="auto"/>
            </w:tcBorders>
            <w:shd w:val="clear" w:color="auto" w:fill="auto"/>
            <w:vAlign w:val="center"/>
          </w:tcPr>
          <w:p w14:paraId="794CFCFD"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3</w:t>
            </w:r>
          </w:p>
        </w:tc>
        <w:tc>
          <w:tcPr>
            <w:tcW w:w="528" w:type="dxa"/>
            <w:tcBorders>
              <w:left w:val="single" w:sz="4" w:space="0" w:color="auto"/>
              <w:right w:val="single" w:sz="4" w:space="0" w:color="auto"/>
            </w:tcBorders>
            <w:shd w:val="clear" w:color="auto" w:fill="auto"/>
            <w:vAlign w:val="center"/>
          </w:tcPr>
          <w:p w14:paraId="199278F6"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-4</w:t>
            </w:r>
          </w:p>
        </w:tc>
      </w:tr>
      <w:tr w:rsidR="00EF4A2D" w:rsidRPr="00EF4A2D" w14:paraId="6E06FE27" w14:textId="77777777" w:rsidTr="00B9606F">
        <w:trPr>
          <w:jc w:val="center"/>
        </w:trPr>
        <w:tc>
          <w:tcPr>
            <w:tcW w:w="3100" w:type="dxa"/>
            <w:tcBorders>
              <w:left w:val="single" w:sz="4" w:space="0" w:color="auto"/>
              <w:right w:val="single" w:sz="4" w:space="0" w:color="auto"/>
            </w:tcBorders>
            <w:shd w:val="clear" w:color="auto" w:fill="auto"/>
            <w:vAlign w:val="center"/>
          </w:tcPr>
          <w:p w14:paraId="1A204A5D" w14:textId="77777777" w:rsidR="00EF4A2D" w:rsidRPr="00EF4A2D" w:rsidRDefault="00EF4A2D" w:rsidP="00EF4A2D">
            <w:pPr>
              <w:ind w:left="170"/>
              <w:rPr>
                <w:rFonts w:eastAsia="Calibri"/>
                <w:sz w:val="14"/>
                <w:szCs w:val="14"/>
                <w:lang w:eastAsia="en-US"/>
              </w:rPr>
            </w:pPr>
            <w:r w:rsidRPr="00EF4A2D">
              <w:rPr>
                <w:rFonts w:eastAsia="Calibri"/>
                <w:sz w:val="14"/>
                <w:szCs w:val="14"/>
                <w:lang w:eastAsia="en-US"/>
              </w:rPr>
              <w:t>Brasil</w:t>
            </w:r>
          </w:p>
        </w:tc>
        <w:tc>
          <w:tcPr>
            <w:tcW w:w="667" w:type="dxa"/>
            <w:tcBorders>
              <w:left w:val="single" w:sz="4" w:space="0" w:color="auto"/>
              <w:right w:val="single" w:sz="4" w:space="0" w:color="auto"/>
            </w:tcBorders>
            <w:shd w:val="clear" w:color="auto" w:fill="auto"/>
            <w:vAlign w:val="center"/>
          </w:tcPr>
          <w:p w14:paraId="63D183C3"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225</w:t>
            </w:r>
          </w:p>
        </w:tc>
        <w:tc>
          <w:tcPr>
            <w:tcW w:w="588" w:type="dxa"/>
            <w:tcBorders>
              <w:left w:val="single" w:sz="4" w:space="0" w:color="auto"/>
              <w:right w:val="single" w:sz="4" w:space="0" w:color="auto"/>
            </w:tcBorders>
            <w:shd w:val="clear" w:color="auto" w:fill="auto"/>
            <w:vAlign w:val="center"/>
          </w:tcPr>
          <w:p w14:paraId="77B8AF98"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7</w:t>
            </w:r>
          </w:p>
        </w:tc>
        <w:tc>
          <w:tcPr>
            <w:tcW w:w="588" w:type="dxa"/>
            <w:tcBorders>
              <w:left w:val="single" w:sz="4" w:space="0" w:color="auto"/>
              <w:right w:val="single" w:sz="4" w:space="0" w:color="auto"/>
            </w:tcBorders>
            <w:shd w:val="clear" w:color="auto" w:fill="auto"/>
            <w:vAlign w:val="center"/>
          </w:tcPr>
          <w:p w14:paraId="03355FAC"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-5</w:t>
            </w:r>
          </w:p>
        </w:tc>
        <w:tc>
          <w:tcPr>
            <w:tcW w:w="652" w:type="dxa"/>
            <w:tcBorders>
              <w:left w:val="single" w:sz="4" w:space="0" w:color="auto"/>
              <w:right w:val="single" w:sz="4" w:space="0" w:color="auto"/>
            </w:tcBorders>
            <w:shd w:val="clear" w:color="auto" w:fill="auto"/>
            <w:vAlign w:val="center"/>
          </w:tcPr>
          <w:p w14:paraId="31A3E9EE"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-0</w:t>
            </w:r>
          </w:p>
        </w:tc>
        <w:tc>
          <w:tcPr>
            <w:tcW w:w="635" w:type="dxa"/>
            <w:tcBorders>
              <w:left w:val="single" w:sz="4" w:space="0" w:color="auto"/>
              <w:right w:val="single" w:sz="4" w:space="0" w:color="auto"/>
            </w:tcBorders>
            <w:shd w:val="clear" w:color="auto" w:fill="auto"/>
            <w:vAlign w:val="center"/>
          </w:tcPr>
          <w:p w14:paraId="78521BE3"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-7</w:t>
            </w:r>
          </w:p>
        </w:tc>
        <w:tc>
          <w:tcPr>
            <w:tcW w:w="630" w:type="dxa"/>
            <w:tcBorders>
              <w:left w:val="single" w:sz="4" w:space="0" w:color="auto"/>
              <w:right w:val="single" w:sz="4" w:space="0" w:color="auto"/>
            </w:tcBorders>
            <w:shd w:val="clear" w:color="auto" w:fill="auto"/>
            <w:vAlign w:val="center"/>
          </w:tcPr>
          <w:p w14:paraId="0104CECD"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239</w:t>
            </w:r>
          </w:p>
        </w:tc>
        <w:tc>
          <w:tcPr>
            <w:tcW w:w="528" w:type="dxa"/>
            <w:tcBorders>
              <w:left w:val="single" w:sz="4" w:space="0" w:color="auto"/>
              <w:right w:val="single" w:sz="4" w:space="0" w:color="auto"/>
            </w:tcBorders>
            <w:shd w:val="clear" w:color="auto" w:fill="auto"/>
            <w:vAlign w:val="center"/>
          </w:tcPr>
          <w:p w14:paraId="307E415A"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13</w:t>
            </w:r>
          </w:p>
        </w:tc>
        <w:tc>
          <w:tcPr>
            <w:tcW w:w="593" w:type="dxa"/>
            <w:tcBorders>
              <w:left w:val="single" w:sz="4" w:space="0" w:color="auto"/>
              <w:right w:val="single" w:sz="4" w:space="0" w:color="auto"/>
            </w:tcBorders>
            <w:shd w:val="clear" w:color="auto" w:fill="auto"/>
            <w:vAlign w:val="center"/>
          </w:tcPr>
          <w:p w14:paraId="769DD9FB"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-2</w:t>
            </w:r>
          </w:p>
        </w:tc>
        <w:tc>
          <w:tcPr>
            <w:tcW w:w="574" w:type="dxa"/>
            <w:tcBorders>
              <w:left w:val="single" w:sz="4" w:space="0" w:color="auto"/>
              <w:right w:val="single" w:sz="4" w:space="0" w:color="auto"/>
            </w:tcBorders>
            <w:shd w:val="clear" w:color="auto" w:fill="auto"/>
            <w:vAlign w:val="center"/>
          </w:tcPr>
          <w:p w14:paraId="20C0780C"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7</w:t>
            </w:r>
          </w:p>
        </w:tc>
        <w:tc>
          <w:tcPr>
            <w:tcW w:w="528" w:type="dxa"/>
            <w:tcBorders>
              <w:left w:val="single" w:sz="4" w:space="0" w:color="auto"/>
              <w:right w:val="single" w:sz="4" w:space="0" w:color="auto"/>
            </w:tcBorders>
            <w:shd w:val="clear" w:color="auto" w:fill="auto"/>
            <w:vAlign w:val="center"/>
          </w:tcPr>
          <w:p w14:paraId="12CA17FD"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-5</w:t>
            </w:r>
          </w:p>
        </w:tc>
      </w:tr>
      <w:tr w:rsidR="00EF4A2D" w:rsidRPr="00EF4A2D" w14:paraId="3DB7247D" w14:textId="77777777" w:rsidTr="00B9606F">
        <w:trPr>
          <w:jc w:val="center"/>
        </w:trPr>
        <w:tc>
          <w:tcPr>
            <w:tcW w:w="3100" w:type="dxa"/>
            <w:tcBorders>
              <w:left w:val="single" w:sz="4" w:space="0" w:color="auto"/>
              <w:right w:val="single" w:sz="4" w:space="0" w:color="auto"/>
            </w:tcBorders>
            <w:shd w:val="clear" w:color="auto" w:fill="auto"/>
            <w:vAlign w:val="center"/>
          </w:tcPr>
          <w:p w14:paraId="1D5115AE" w14:textId="77777777" w:rsidR="00EF4A2D" w:rsidRPr="00EF4A2D" w:rsidRDefault="00EF4A2D" w:rsidP="00EF4A2D">
            <w:pPr>
              <w:spacing w:after="120"/>
              <w:ind w:left="170"/>
              <w:rPr>
                <w:rFonts w:eastAsia="Calibri"/>
                <w:sz w:val="14"/>
                <w:szCs w:val="14"/>
                <w:lang w:eastAsia="en-US"/>
              </w:rPr>
            </w:pPr>
            <w:r w:rsidRPr="00EF4A2D">
              <w:rPr>
                <w:rFonts w:eastAsia="Calibri"/>
                <w:sz w:val="14"/>
                <w:szCs w:val="14"/>
                <w:lang w:eastAsia="en-US"/>
              </w:rPr>
              <w:t xml:space="preserve">Otras economías de América Central y del </w:t>
            </w:r>
            <w:proofErr w:type="spellStart"/>
            <w:r w:rsidRPr="00EF4A2D">
              <w:rPr>
                <w:rFonts w:eastAsia="Calibri"/>
                <w:sz w:val="14"/>
                <w:szCs w:val="14"/>
                <w:lang w:eastAsia="en-US"/>
              </w:rPr>
              <w:t>Sur</w:t>
            </w:r>
            <w:r w:rsidRPr="00EF4A2D">
              <w:rPr>
                <w:rFonts w:eastAsia="Calibri"/>
                <w:sz w:val="14"/>
                <w:szCs w:val="14"/>
                <w:u w:val="single"/>
                <w:vertAlign w:val="superscript"/>
                <w:lang w:eastAsia="en-US"/>
              </w:rPr>
              <w:t>b</w:t>
            </w:r>
            <w:proofErr w:type="spellEnd"/>
            <w:r w:rsidRPr="00EF4A2D">
              <w:rPr>
                <w:rFonts w:eastAsia="Calibri"/>
                <w:sz w:val="14"/>
                <w:szCs w:val="14"/>
                <w:vertAlign w:val="superscript"/>
                <w:lang w:eastAsia="en-US"/>
              </w:rPr>
              <w:t>/</w:t>
            </w:r>
          </w:p>
        </w:tc>
        <w:tc>
          <w:tcPr>
            <w:tcW w:w="667" w:type="dxa"/>
            <w:tcBorders>
              <w:left w:val="single" w:sz="4" w:space="0" w:color="auto"/>
              <w:right w:val="single" w:sz="4" w:space="0" w:color="auto"/>
            </w:tcBorders>
            <w:shd w:val="clear" w:color="auto" w:fill="auto"/>
            <w:vAlign w:val="center"/>
          </w:tcPr>
          <w:p w14:paraId="4AB98343" w14:textId="77777777" w:rsidR="00EF4A2D" w:rsidRPr="00EF4A2D" w:rsidRDefault="00EF4A2D" w:rsidP="00EF4A2D">
            <w:pPr>
              <w:spacing w:after="120"/>
              <w:jc w:val="right"/>
              <w:rPr>
                <w:rFonts w:eastAsia="Calibri"/>
                <w:sz w:val="14"/>
                <w:szCs w:val="14"/>
                <w:lang w:eastAsia="en-US"/>
              </w:rPr>
            </w:pPr>
            <w:r w:rsidRPr="00EF4A2D">
              <w:rPr>
                <w:rFonts w:eastAsia="Calibri"/>
                <w:sz w:val="14"/>
                <w:szCs w:val="14"/>
                <w:lang w:eastAsia="en-US"/>
              </w:rPr>
              <w:t>470</w:t>
            </w:r>
          </w:p>
        </w:tc>
        <w:tc>
          <w:tcPr>
            <w:tcW w:w="588" w:type="dxa"/>
            <w:tcBorders>
              <w:left w:val="single" w:sz="4" w:space="0" w:color="auto"/>
              <w:right w:val="single" w:sz="4" w:space="0" w:color="auto"/>
            </w:tcBorders>
            <w:shd w:val="clear" w:color="auto" w:fill="auto"/>
            <w:vAlign w:val="center"/>
          </w:tcPr>
          <w:p w14:paraId="49ED6D04"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7</w:t>
            </w:r>
          </w:p>
        </w:tc>
        <w:tc>
          <w:tcPr>
            <w:tcW w:w="588" w:type="dxa"/>
            <w:tcBorders>
              <w:left w:val="single" w:sz="4" w:space="0" w:color="auto"/>
              <w:right w:val="single" w:sz="4" w:space="0" w:color="auto"/>
            </w:tcBorders>
            <w:shd w:val="clear" w:color="auto" w:fill="auto"/>
            <w:vAlign w:val="center"/>
          </w:tcPr>
          <w:p w14:paraId="347C1DD4"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1</w:t>
            </w:r>
          </w:p>
        </w:tc>
        <w:tc>
          <w:tcPr>
            <w:tcW w:w="652" w:type="dxa"/>
            <w:tcBorders>
              <w:left w:val="single" w:sz="4" w:space="0" w:color="auto"/>
              <w:right w:val="single" w:sz="4" w:space="0" w:color="auto"/>
            </w:tcBorders>
            <w:shd w:val="clear" w:color="auto" w:fill="auto"/>
            <w:vAlign w:val="center"/>
          </w:tcPr>
          <w:p w14:paraId="18910CA9"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-3</w:t>
            </w:r>
          </w:p>
        </w:tc>
        <w:tc>
          <w:tcPr>
            <w:tcW w:w="635" w:type="dxa"/>
            <w:tcBorders>
              <w:left w:val="single" w:sz="4" w:space="0" w:color="auto"/>
              <w:right w:val="single" w:sz="4" w:space="0" w:color="auto"/>
            </w:tcBorders>
            <w:shd w:val="clear" w:color="auto" w:fill="auto"/>
            <w:vAlign w:val="center"/>
          </w:tcPr>
          <w:p w14:paraId="0F9F5D2E"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-5</w:t>
            </w:r>
          </w:p>
        </w:tc>
        <w:tc>
          <w:tcPr>
            <w:tcW w:w="630" w:type="dxa"/>
            <w:tcBorders>
              <w:left w:val="single" w:sz="4" w:space="0" w:color="auto"/>
              <w:right w:val="single" w:sz="4" w:space="0" w:color="auto"/>
            </w:tcBorders>
            <w:shd w:val="clear" w:color="auto" w:fill="auto"/>
            <w:vAlign w:val="center"/>
          </w:tcPr>
          <w:p w14:paraId="6FC66082" w14:textId="77777777" w:rsidR="00EF4A2D" w:rsidRPr="00EF4A2D" w:rsidRDefault="00EF4A2D" w:rsidP="00EF4A2D">
            <w:pPr>
              <w:spacing w:after="120"/>
              <w:jc w:val="right"/>
              <w:rPr>
                <w:rFonts w:eastAsia="Calibri"/>
                <w:sz w:val="14"/>
                <w:szCs w:val="14"/>
                <w:lang w:eastAsia="en-US"/>
              </w:rPr>
            </w:pPr>
            <w:r w:rsidRPr="00EF4A2D">
              <w:rPr>
                <w:rFonts w:eastAsia="Calibri"/>
                <w:sz w:val="14"/>
                <w:szCs w:val="14"/>
                <w:lang w:eastAsia="en-US"/>
              </w:rPr>
              <w:t>503</w:t>
            </w:r>
          </w:p>
        </w:tc>
        <w:tc>
          <w:tcPr>
            <w:tcW w:w="528" w:type="dxa"/>
            <w:tcBorders>
              <w:left w:val="single" w:sz="4" w:space="0" w:color="auto"/>
              <w:right w:val="single" w:sz="4" w:space="0" w:color="auto"/>
            </w:tcBorders>
            <w:shd w:val="clear" w:color="auto" w:fill="auto"/>
            <w:vAlign w:val="center"/>
          </w:tcPr>
          <w:p w14:paraId="28716146"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9</w:t>
            </w:r>
          </w:p>
        </w:tc>
        <w:tc>
          <w:tcPr>
            <w:tcW w:w="593" w:type="dxa"/>
            <w:tcBorders>
              <w:left w:val="single" w:sz="4" w:space="0" w:color="auto"/>
              <w:right w:val="single" w:sz="4" w:space="0" w:color="auto"/>
            </w:tcBorders>
            <w:shd w:val="clear" w:color="auto" w:fill="auto"/>
            <w:vAlign w:val="center"/>
          </w:tcPr>
          <w:p w14:paraId="20AD929F"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5</w:t>
            </w:r>
          </w:p>
        </w:tc>
        <w:tc>
          <w:tcPr>
            <w:tcW w:w="574" w:type="dxa"/>
            <w:tcBorders>
              <w:left w:val="single" w:sz="4" w:space="0" w:color="auto"/>
              <w:right w:val="single" w:sz="4" w:space="0" w:color="auto"/>
            </w:tcBorders>
            <w:shd w:val="clear" w:color="auto" w:fill="auto"/>
            <w:vAlign w:val="center"/>
          </w:tcPr>
          <w:p w14:paraId="3DDEAF95"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0</w:t>
            </w:r>
          </w:p>
        </w:tc>
        <w:tc>
          <w:tcPr>
            <w:tcW w:w="528" w:type="dxa"/>
            <w:tcBorders>
              <w:left w:val="single" w:sz="4" w:space="0" w:color="auto"/>
              <w:right w:val="single" w:sz="4" w:space="0" w:color="auto"/>
            </w:tcBorders>
            <w:shd w:val="clear" w:color="auto" w:fill="auto"/>
            <w:vAlign w:val="center"/>
          </w:tcPr>
          <w:p w14:paraId="2302CE75"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-4</w:t>
            </w:r>
          </w:p>
        </w:tc>
      </w:tr>
      <w:tr w:rsidR="00EF4A2D" w:rsidRPr="00EF4A2D" w14:paraId="68DAFF20" w14:textId="77777777" w:rsidTr="00B9606F">
        <w:trPr>
          <w:jc w:val="center"/>
        </w:trPr>
        <w:tc>
          <w:tcPr>
            <w:tcW w:w="3100" w:type="dxa"/>
            <w:tcBorders>
              <w:left w:val="single" w:sz="4" w:space="0" w:color="auto"/>
              <w:right w:val="single" w:sz="4" w:space="0" w:color="auto"/>
            </w:tcBorders>
            <w:shd w:val="clear" w:color="auto" w:fill="auto"/>
            <w:vAlign w:val="center"/>
          </w:tcPr>
          <w:p w14:paraId="35FF9BEA" w14:textId="77777777" w:rsidR="00EF4A2D" w:rsidRPr="00EF4A2D" w:rsidRDefault="00EF4A2D" w:rsidP="00EF4A2D">
            <w:pPr>
              <w:rPr>
                <w:rFonts w:eastAsia="Calibri"/>
                <w:b/>
                <w:sz w:val="14"/>
                <w:szCs w:val="14"/>
                <w:lang w:eastAsia="en-US"/>
              </w:rPr>
            </w:pPr>
            <w:r w:rsidRPr="00EF4A2D">
              <w:rPr>
                <w:rFonts w:eastAsia="Calibri"/>
                <w:b/>
                <w:sz w:val="14"/>
                <w:szCs w:val="14"/>
                <w:lang w:eastAsia="en-US"/>
              </w:rPr>
              <w:t>Europa</w:t>
            </w:r>
          </w:p>
        </w:tc>
        <w:tc>
          <w:tcPr>
            <w:tcW w:w="667" w:type="dxa"/>
            <w:tcBorders>
              <w:left w:val="single" w:sz="4" w:space="0" w:color="auto"/>
              <w:right w:val="single" w:sz="4" w:space="0" w:color="auto"/>
            </w:tcBorders>
            <w:shd w:val="clear" w:color="auto" w:fill="auto"/>
            <w:vAlign w:val="center"/>
          </w:tcPr>
          <w:p w14:paraId="2A0D24F2" w14:textId="77777777" w:rsidR="00EF4A2D" w:rsidRPr="00EF4A2D" w:rsidRDefault="00EF4A2D" w:rsidP="00EF4A2D">
            <w:pPr>
              <w:jc w:val="right"/>
              <w:rPr>
                <w:rFonts w:eastAsia="Calibri"/>
                <w:b/>
                <w:sz w:val="14"/>
                <w:szCs w:val="14"/>
                <w:lang w:eastAsia="en-US"/>
              </w:rPr>
            </w:pPr>
            <w:r w:rsidRPr="00EF4A2D">
              <w:rPr>
                <w:rFonts w:eastAsia="Calibri"/>
                <w:b/>
                <w:sz w:val="14"/>
                <w:szCs w:val="14"/>
                <w:lang w:eastAsia="en-US"/>
              </w:rPr>
              <w:t>6 736</w:t>
            </w:r>
          </w:p>
        </w:tc>
        <w:tc>
          <w:tcPr>
            <w:tcW w:w="588" w:type="dxa"/>
            <w:tcBorders>
              <w:left w:val="single" w:sz="4" w:space="0" w:color="auto"/>
              <w:right w:val="single" w:sz="4" w:space="0" w:color="auto"/>
            </w:tcBorders>
            <w:shd w:val="clear" w:color="auto" w:fill="auto"/>
            <w:vAlign w:val="center"/>
          </w:tcPr>
          <w:p w14:paraId="554F0F96"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5</w:t>
            </w:r>
          </w:p>
        </w:tc>
        <w:tc>
          <w:tcPr>
            <w:tcW w:w="588" w:type="dxa"/>
            <w:tcBorders>
              <w:left w:val="single" w:sz="4" w:space="0" w:color="auto"/>
              <w:right w:val="single" w:sz="4" w:space="0" w:color="auto"/>
            </w:tcBorders>
            <w:shd w:val="clear" w:color="auto" w:fill="auto"/>
            <w:vAlign w:val="center"/>
          </w:tcPr>
          <w:p w14:paraId="5515C5C2"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-4</w:t>
            </w:r>
          </w:p>
        </w:tc>
        <w:tc>
          <w:tcPr>
            <w:tcW w:w="652" w:type="dxa"/>
            <w:tcBorders>
              <w:left w:val="single" w:sz="4" w:space="0" w:color="auto"/>
              <w:right w:val="single" w:sz="4" w:space="0" w:color="auto"/>
            </w:tcBorders>
            <w:shd w:val="clear" w:color="auto" w:fill="auto"/>
            <w:vAlign w:val="center"/>
          </w:tcPr>
          <w:p w14:paraId="3F507C44"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4</w:t>
            </w:r>
          </w:p>
        </w:tc>
        <w:tc>
          <w:tcPr>
            <w:tcW w:w="635" w:type="dxa"/>
            <w:tcBorders>
              <w:left w:val="single" w:sz="4" w:space="0" w:color="auto"/>
              <w:right w:val="single" w:sz="4" w:space="0" w:color="auto"/>
            </w:tcBorders>
            <w:shd w:val="clear" w:color="auto" w:fill="auto"/>
            <w:vAlign w:val="center"/>
          </w:tcPr>
          <w:p w14:paraId="0DBC1FE9"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1</w:t>
            </w:r>
          </w:p>
        </w:tc>
        <w:tc>
          <w:tcPr>
            <w:tcW w:w="630" w:type="dxa"/>
            <w:tcBorders>
              <w:left w:val="single" w:sz="4" w:space="0" w:color="auto"/>
              <w:right w:val="single" w:sz="4" w:space="0" w:color="auto"/>
            </w:tcBorders>
            <w:shd w:val="clear" w:color="auto" w:fill="auto"/>
            <w:vAlign w:val="center"/>
          </w:tcPr>
          <w:p w14:paraId="0520F402" w14:textId="77777777" w:rsidR="00EF4A2D" w:rsidRPr="00EF4A2D" w:rsidRDefault="00EF4A2D" w:rsidP="00EF4A2D">
            <w:pPr>
              <w:jc w:val="right"/>
              <w:rPr>
                <w:rFonts w:eastAsia="Calibri"/>
                <w:b/>
                <w:sz w:val="14"/>
                <w:szCs w:val="14"/>
                <w:lang w:eastAsia="en-US"/>
              </w:rPr>
            </w:pPr>
            <w:r w:rsidRPr="00EF4A2D">
              <w:rPr>
                <w:rFonts w:eastAsia="Calibri"/>
                <w:b/>
                <w:sz w:val="14"/>
                <w:szCs w:val="14"/>
                <w:lang w:eastAsia="en-US"/>
              </w:rPr>
              <w:t>6 717</w:t>
            </w:r>
          </w:p>
        </w:tc>
        <w:tc>
          <w:tcPr>
            <w:tcW w:w="528" w:type="dxa"/>
            <w:tcBorders>
              <w:left w:val="single" w:sz="4" w:space="0" w:color="auto"/>
              <w:right w:val="single" w:sz="4" w:space="0" w:color="auto"/>
            </w:tcBorders>
            <w:shd w:val="clear" w:color="auto" w:fill="auto"/>
            <w:vAlign w:val="center"/>
          </w:tcPr>
          <w:p w14:paraId="5C3D9358"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4</w:t>
            </w:r>
          </w:p>
        </w:tc>
        <w:tc>
          <w:tcPr>
            <w:tcW w:w="593" w:type="dxa"/>
            <w:tcBorders>
              <w:left w:val="single" w:sz="4" w:space="0" w:color="auto"/>
              <w:right w:val="single" w:sz="4" w:space="0" w:color="auto"/>
            </w:tcBorders>
            <w:shd w:val="clear" w:color="auto" w:fill="auto"/>
            <w:vAlign w:val="center"/>
          </w:tcPr>
          <w:p w14:paraId="414A6DA9"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-6</w:t>
            </w:r>
          </w:p>
        </w:tc>
        <w:tc>
          <w:tcPr>
            <w:tcW w:w="574" w:type="dxa"/>
            <w:tcBorders>
              <w:left w:val="single" w:sz="4" w:space="0" w:color="auto"/>
              <w:right w:val="single" w:sz="4" w:space="0" w:color="auto"/>
            </w:tcBorders>
            <w:shd w:val="clear" w:color="auto" w:fill="auto"/>
            <w:vAlign w:val="center"/>
          </w:tcPr>
          <w:p w14:paraId="5F5DCC4D"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1</w:t>
            </w:r>
          </w:p>
        </w:tc>
        <w:tc>
          <w:tcPr>
            <w:tcW w:w="528" w:type="dxa"/>
            <w:tcBorders>
              <w:left w:val="single" w:sz="4" w:space="0" w:color="auto"/>
              <w:right w:val="single" w:sz="4" w:space="0" w:color="auto"/>
            </w:tcBorders>
            <w:shd w:val="clear" w:color="auto" w:fill="auto"/>
            <w:vAlign w:val="center"/>
          </w:tcPr>
          <w:p w14:paraId="2C7392FF"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2</w:t>
            </w:r>
          </w:p>
        </w:tc>
      </w:tr>
      <w:tr w:rsidR="00EF4A2D" w:rsidRPr="00EF4A2D" w14:paraId="7C335B05" w14:textId="77777777" w:rsidTr="00B9606F">
        <w:trPr>
          <w:jc w:val="center"/>
        </w:trPr>
        <w:tc>
          <w:tcPr>
            <w:tcW w:w="3100" w:type="dxa"/>
            <w:tcBorders>
              <w:left w:val="single" w:sz="4" w:space="0" w:color="auto"/>
              <w:right w:val="single" w:sz="4" w:space="0" w:color="auto"/>
            </w:tcBorders>
            <w:shd w:val="clear" w:color="auto" w:fill="auto"/>
            <w:vAlign w:val="center"/>
          </w:tcPr>
          <w:p w14:paraId="347A5B32" w14:textId="77777777" w:rsidR="00EF4A2D" w:rsidRPr="00EF4A2D" w:rsidRDefault="00EF4A2D" w:rsidP="00EF4A2D">
            <w:pPr>
              <w:ind w:left="170"/>
              <w:rPr>
                <w:rFonts w:eastAsia="Calibri"/>
                <w:sz w:val="14"/>
                <w:szCs w:val="14"/>
                <w:lang w:eastAsia="en-US"/>
              </w:rPr>
            </w:pPr>
            <w:r w:rsidRPr="00EF4A2D">
              <w:rPr>
                <w:rFonts w:eastAsia="Calibri"/>
                <w:sz w:val="14"/>
                <w:szCs w:val="14"/>
                <w:lang w:eastAsia="en-US"/>
              </w:rPr>
              <w:t>Unión Europea (28)</w:t>
            </w:r>
          </w:p>
        </w:tc>
        <w:tc>
          <w:tcPr>
            <w:tcW w:w="667" w:type="dxa"/>
            <w:tcBorders>
              <w:left w:val="single" w:sz="4" w:space="0" w:color="auto"/>
              <w:right w:val="single" w:sz="4" w:space="0" w:color="auto"/>
            </w:tcBorders>
            <w:shd w:val="clear" w:color="auto" w:fill="auto"/>
            <w:vAlign w:val="center"/>
          </w:tcPr>
          <w:p w14:paraId="55096E92"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6 161</w:t>
            </w:r>
          </w:p>
        </w:tc>
        <w:tc>
          <w:tcPr>
            <w:tcW w:w="588" w:type="dxa"/>
            <w:tcBorders>
              <w:left w:val="single" w:sz="4" w:space="0" w:color="auto"/>
              <w:right w:val="single" w:sz="4" w:space="0" w:color="auto"/>
            </w:tcBorders>
            <w:shd w:val="clear" w:color="auto" w:fill="auto"/>
            <w:vAlign w:val="center"/>
          </w:tcPr>
          <w:p w14:paraId="65E3B5F9"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5</w:t>
            </w:r>
          </w:p>
        </w:tc>
        <w:tc>
          <w:tcPr>
            <w:tcW w:w="588" w:type="dxa"/>
            <w:tcBorders>
              <w:left w:val="single" w:sz="4" w:space="0" w:color="auto"/>
              <w:right w:val="single" w:sz="4" w:space="0" w:color="auto"/>
            </w:tcBorders>
            <w:shd w:val="clear" w:color="auto" w:fill="auto"/>
            <w:vAlign w:val="center"/>
          </w:tcPr>
          <w:p w14:paraId="6BC8F09D"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-5</w:t>
            </w:r>
          </w:p>
        </w:tc>
        <w:tc>
          <w:tcPr>
            <w:tcW w:w="652" w:type="dxa"/>
            <w:tcBorders>
              <w:left w:val="single" w:sz="4" w:space="0" w:color="auto"/>
              <w:right w:val="single" w:sz="4" w:space="0" w:color="auto"/>
            </w:tcBorders>
            <w:shd w:val="clear" w:color="auto" w:fill="auto"/>
            <w:vAlign w:val="center"/>
          </w:tcPr>
          <w:p w14:paraId="16C3AB1A"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5</w:t>
            </w:r>
          </w:p>
        </w:tc>
        <w:tc>
          <w:tcPr>
            <w:tcW w:w="635" w:type="dxa"/>
            <w:tcBorders>
              <w:left w:val="single" w:sz="4" w:space="0" w:color="auto"/>
              <w:right w:val="single" w:sz="4" w:space="0" w:color="auto"/>
            </w:tcBorders>
            <w:shd w:val="clear" w:color="auto" w:fill="auto"/>
            <w:vAlign w:val="center"/>
          </w:tcPr>
          <w:p w14:paraId="6B87C5DB"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1</w:t>
            </w:r>
          </w:p>
        </w:tc>
        <w:tc>
          <w:tcPr>
            <w:tcW w:w="630" w:type="dxa"/>
            <w:tcBorders>
              <w:left w:val="single" w:sz="4" w:space="0" w:color="auto"/>
              <w:right w:val="single" w:sz="4" w:space="0" w:color="auto"/>
            </w:tcBorders>
            <w:shd w:val="clear" w:color="auto" w:fill="auto"/>
            <w:vAlign w:val="center"/>
          </w:tcPr>
          <w:p w14:paraId="52BE525A"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6 129</w:t>
            </w:r>
          </w:p>
        </w:tc>
        <w:tc>
          <w:tcPr>
            <w:tcW w:w="528" w:type="dxa"/>
            <w:tcBorders>
              <w:left w:val="single" w:sz="4" w:space="0" w:color="auto"/>
              <w:right w:val="single" w:sz="4" w:space="0" w:color="auto"/>
            </w:tcBorders>
            <w:shd w:val="clear" w:color="auto" w:fill="auto"/>
            <w:vAlign w:val="center"/>
          </w:tcPr>
          <w:p w14:paraId="6A6A20D5"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4</w:t>
            </w:r>
          </w:p>
        </w:tc>
        <w:tc>
          <w:tcPr>
            <w:tcW w:w="593" w:type="dxa"/>
            <w:tcBorders>
              <w:left w:val="single" w:sz="4" w:space="0" w:color="auto"/>
              <w:right w:val="single" w:sz="4" w:space="0" w:color="auto"/>
            </w:tcBorders>
            <w:shd w:val="clear" w:color="auto" w:fill="auto"/>
            <w:vAlign w:val="center"/>
          </w:tcPr>
          <w:p w14:paraId="047A78EE"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-6</w:t>
            </w:r>
          </w:p>
        </w:tc>
        <w:tc>
          <w:tcPr>
            <w:tcW w:w="574" w:type="dxa"/>
            <w:tcBorders>
              <w:left w:val="single" w:sz="4" w:space="0" w:color="auto"/>
              <w:right w:val="single" w:sz="4" w:space="0" w:color="auto"/>
            </w:tcBorders>
            <w:shd w:val="clear" w:color="auto" w:fill="auto"/>
            <w:vAlign w:val="center"/>
          </w:tcPr>
          <w:p w14:paraId="697DE500"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w:t>
            </w:r>
          </w:p>
        </w:tc>
        <w:tc>
          <w:tcPr>
            <w:tcW w:w="528" w:type="dxa"/>
            <w:tcBorders>
              <w:left w:val="single" w:sz="4" w:space="0" w:color="auto"/>
              <w:right w:val="single" w:sz="4" w:space="0" w:color="auto"/>
            </w:tcBorders>
            <w:shd w:val="clear" w:color="auto" w:fill="auto"/>
            <w:vAlign w:val="center"/>
          </w:tcPr>
          <w:p w14:paraId="1DC72717"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2</w:t>
            </w:r>
          </w:p>
        </w:tc>
      </w:tr>
      <w:tr w:rsidR="00EF4A2D" w:rsidRPr="00EF4A2D" w14:paraId="1BF73827" w14:textId="77777777" w:rsidTr="00B9606F">
        <w:trPr>
          <w:jc w:val="center"/>
        </w:trPr>
        <w:tc>
          <w:tcPr>
            <w:tcW w:w="3100" w:type="dxa"/>
            <w:tcBorders>
              <w:left w:val="single" w:sz="4" w:space="0" w:color="auto"/>
              <w:right w:val="single" w:sz="4" w:space="0" w:color="auto"/>
            </w:tcBorders>
            <w:shd w:val="clear" w:color="auto" w:fill="auto"/>
            <w:vAlign w:val="center"/>
          </w:tcPr>
          <w:p w14:paraId="5937BB76" w14:textId="77777777" w:rsidR="00EF4A2D" w:rsidRPr="00EF4A2D" w:rsidRDefault="00EF4A2D" w:rsidP="00EF4A2D">
            <w:pPr>
              <w:ind w:left="284"/>
              <w:rPr>
                <w:rFonts w:eastAsia="Calibri"/>
                <w:sz w:val="14"/>
                <w:szCs w:val="14"/>
                <w:lang w:eastAsia="en-US"/>
              </w:rPr>
            </w:pPr>
            <w:r w:rsidRPr="00EF4A2D">
              <w:rPr>
                <w:rFonts w:eastAsia="Calibri"/>
                <w:sz w:val="14"/>
                <w:szCs w:val="14"/>
                <w:lang w:eastAsia="en-US"/>
              </w:rPr>
              <w:t>Alemania</w:t>
            </w:r>
          </w:p>
        </w:tc>
        <w:tc>
          <w:tcPr>
            <w:tcW w:w="667" w:type="dxa"/>
            <w:tcBorders>
              <w:left w:val="single" w:sz="4" w:space="0" w:color="auto"/>
              <w:right w:val="single" w:sz="4" w:space="0" w:color="auto"/>
            </w:tcBorders>
            <w:shd w:val="clear" w:color="auto" w:fill="auto"/>
            <w:vAlign w:val="center"/>
          </w:tcPr>
          <w:p w14:paraId="4A1F8664"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1 511</w:t>
            </w:r>
          </w:p>
        </w:tc>
        <w:tc>
          <w:tcPr>
            <w:tcW w:w="588" w:type="dxa"/>
            <w:tcBorders>
              <w:left w:val="single" w:sz="4" w:space="0" w:color="auto"/>
              <w:right w:val="single" w:sz="4" w:space="0" w:color="auto"/>
            </w:tcBorders>
            <w:shd w:val="clear" w:color="auto" w:fill="auto"/>
            <w:vAlign w:val="center"/>
          </w:tcPr>
          <w:p w14:paraId="36739314"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5</w:t>
            </w:r>
          </w:p>
        </w:tc>
        <w:tc>
          <w:tcPr>
            <w:tcW w:w="588" w:type="dxa"/>
            <w:tcBorders>
              <w:left w:val="single" w:sz="4" w:space="0" w:color="auto"/>
              <w:right w:val="single" w:sz="4" w:space="0" w:color="auto"/>
            </w:tcBorders>
            <w:shd w:val="clear" w:color="auto" w:fill="auto"/>
            <w:vAlign w:val="center"/>
          </w:tcPr>
          <w:p w14:paraId="0ADE3D90"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-5</w:t>
            </w:r>
          </w:p>
        </w:tc>
        <w:tc>
          <w:tcPr>
            <w:tcW w:w="652" w:type="dxa"/>
            <w:tcBorders>
              <w:left w:val="single" w:sz="4" w:space="0" w:color="auto"/>
              <w:right w:val="single" w:sz="4" w:space="0" w:color="auto"/>
            </w:tcBorders>
            <w:shd w:val="clear" w:color="auto" w:fill="auto"/>
            <w:vAlign w:val="center"/>
          </w:tcPr>
          <w:p w14:paraId="0AEC61E2"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3</w:t>
            </w:r>
          </w:p>
        </w:tc>
        <w:tc>
          <w:tcPr>
            <w:tcW w:w="635" w:type="dxa"/>
            <w:tcBorders>
              <w:left w:val="single" w:sz="4" w:space="0" w:color="auto"/>
              <w:right w:val="single" w:sz="4" w:space="0" w:color="auto"/>
            </w:tcBorders>
            <w:shd w:val="clear" w:color="auto" w:fill="auto"/>
            <w:vAlign w:val="center"/>
          </w:tcPr>
          <w:p w14:paraId="2973C0CB"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4</w:t>
            </w:r>
          </w:p>
        </w:tc>
        <w:tc>
          <w:tcPr>
            <w:tcW w:w="630" w:type="dxa"/>
            <w:tcBorders>
              <w:left w:val="single" w:sz="4" w:space="0" w:color="auto"/>
              <w:right w:val="single" w:sz="4" w:space="0" w:color="auto"/>
            </w:tcBorders>
            <w:shd w:val="clear" w:color="auto" w:fill="auto"/>
            <w:vAlign w:val="center"/>
          </w:tcPr>
          <w:p w14:paraId="58B7ED3B"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1 217</w:t>
            </w:r>
          </w:p>
        </w:tc>
        <w:tc>
          <w:tcPr>
            <w:tcW w:w="528" w:type="dxa"/>
            <w:tcBorders>
              <w:left w:val="single" w:sz="4" w:space="0" w:color="auto"/>
              <w:right w:val="single" w:sz="4" w:space="0" w:color="auto"/>
            </w:tcBorders>
            <w:shd w:val="clear" w:color="auto" w:fill="auto"/>
            <w:vAlign w:val="center"/>
          </w:tcPr>
          <w:p w14:paraId="2314E732"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5</w:t>
            </w:r>
          </w:p>
        </w:tc>
        <w:tc>
          <w:tcPr>
            <w:tcW w:w="593" w:type="dxa"/>
            <w:tcBorders>
              <w:left w:val="single" w:sz="4" w:space="0" w:color="auto"/>
              <w:right w:val="single" w:sz="4" w:space="0" w:color="auto"/>
            </w:tcBorders>
            <w:shd w:val="clear" w:color="auto" w:fill="auto"/>
            <w:vAlign w:val="center"/>
          </w:tcPr>
          <w:p w14:paraId="73F63F2E"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-7</w:t>
            </w:r>
          </w:p>
        </w:tc>
        <w:tc>
          <w:tcPr>
            <w:tcW w:w="574" w:type="dxa"/>
            <w:tcBorders>
              <w:left w:val="single" w:sz="4" w:space="0" w:color="auto"/>
              <w:right w:val="single" w:sz="4" w:space="0" w:color="auto"/>
            </w:tcBorders>
            <w:shd w:val="clear" w:color="auto" w:fill="auto"/>
            <w:vAlign w:val="center"/>
          </w:tcPr>
          <w:p w14:paraId="48E2B5A1"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2</w:t>
            </w:r>
          </w:p>
        </w:tc>
        <w:tc>
          <w:tcPr>
            <w:tcW w:w="528" w:type="dxa"/>
            <w:tcBorders>
              <w:left w:val="single" w:sz="4" w:space="0" w:color="auto"/>
              <w:right w:val="single" w:sz="4" w:space="0" w:color="auto"/>
            </w:tcBorders>
            <w:shd w:val="clear" w:color="auto" w:fill="auto"/>
            <w:vAlign w:val="center"/>
          </w:tcPr>
          <w:p w14:paraId="3C5ECD50"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2</w:t>
            </w:r>
          </w:p>
        </w:tc>
      </w:tr>
      <w:tr w:rsidR="00EF4A2D" w:rsidRPr="00EF4A2D" w14:paraId="407D0AD4" w14:textId="77777777" w:rsidTr="00B9606F">
        <w:trPr>
          <w:jc w:val="center"/>
        </w:trPr>
        <w:tc>
          <w:tcPr>
            <w:tcW w:w="3100" w:type="dxa"/>
            <w:tcBorders>
              <w:left w:val="single" w:sz="4" w:space="0" w:color="auto"/>
              <w:right w:val="single" w:sz="4" w:space="0" w:color="auto"/>
            </w:tcBorders>
            <w:shd w:val="clear" w:color="auto" w:fill="auto"/>
            <w:vAlign w:val="center"/>
          </w:tcPr>
          <w:p w14:paraId="7631EB95" w14:textId="77777777" w:rsidR="00EF4A2D" w:rsidRPr="00EF4A2D" w:rsidRDefault="00EF4A2D" w:rsidP="00EF4A2D">
            <w:pPr>
              <w:ind w:left="284"/>
              <w:rPr>
                <w:rFonts w:eastAsia="Calibri"/>
                <w:sz w:val="14"/>
                <w:szCs w:val="14"/>
                <w:lang w:eastAsia="en-US"/>
              </w:rPr>
            </w:pPr>
            <w:r w:rsidRPr="00EF4A2D">
              <w:rPr>
                <w:rFonts w:eastAsia="Calibri"/>
                <w:sz w:val="14"/>
                <w:szCs w:val="14"/>
                <w:lang w:eastAsia="en-US"/>
              </w:rPr>
              <w:t>Francia</w:t>
            </w:r>
          </w:p>
        </w:tc>
        <w:tc>
          <w:tcPr>
            <w:tcW w:w="667" w:type="dxa"/>
            <w:tcBorders>
              <w:left w:val="single" w:sz="4" w:space="0" w:color="auto"/>
              <w:right w:val="single" w:sz="4" w:space="0" w:color="auto"/>
            </w:tcBorders>
            <w:shd w:val="clear" w:color="auto" w:fill="auto"/>
            <w:vAlign w:val="center"/>
          </w:tcPr>
          <w:p w14:paraId="7427B4E7"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583</w:t>
            </w:r>
          </w:p>
        </w:tc>
        <w:tc>
          <w:tcPr>
            <w:tcW w:w="588" w:type="dxa"/>
            <w:tcBorders>
              <w:left w:val="single" w:sz="4" w:space="0" w:color="auto"/>
              <w:right w:val="single" w:sz="4" w:space="0" w:color="auto"/>
            </w:tcBorders>
            <w:shd w:val="clear" w:color="auto" w:fill="auto"/>
            <w:vAlign w:val="center"/>
          </w:tcPr>
          <w:p w14:paraId="3253F2D6"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3</w:t>
            </w:r>
          </w:p>
        </w:tc>
        <w:tc>
          <w:tcPr>
            <w:tcW w:w="588" w:type="dxa"/>
            <w:tcBorders>
              <w:left w:val="single" w:sz="4" w:space="0" w:color="auto"/>
              <w:right w:val="single" w:sz="4" w:space="0" w:color="auto"/>
            </w:tcBorders>
            <w:shd w:val="clear" w:color="auto" w:fill="auto"/>
            <w:vAlign w:val="center"/>
          </w:tcPr>
          <w:p w14:paraId="5997CB64"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-5</w:t>
            </w:r>
          </w:p>
        </w:tc>
        <w:tc>
          <w:tcPr>
            <w:tcW w:w="652" w:type="dxa"/>
            <w:tcBorders>
              <w:left w:val="single" w:sz="4" w:space="0" w:color="auto"/>
              <w:right w:val="single" w:sz="4" w:space="0" w:color="auto"/>
            </w:tcBorders>
            <w:shd w:val="clear" w:color="auto" w:fill="auto"/>
            <w:vAlign w:val="center"/>
          </w:tcPr>
          <w:p w14:paraId="2F629864"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2</w:t>
            </w:r>
          </w:p>
        </w:tc>
        <w:tc>
          <w:tcPr>
            <w:tcW w:w="635" w:type="dxa"/>
            <w:tcBorders>
              <w:left w:val="single" w:sz="4" w:space="0" w:color="auto"/>
              <w:right w:val="single" w:sz="4" w:space="0" w:color="auto"/>
            </w:tcBorders>
            <w:shd w:val="clear" w:color="auto" w:fill="auto"/>
            <w:vAlign w:val="center"/>
          </w:tcPr>
          <w:p w14:paraId="747CFEBB"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0</w:t>
            </w:r>
          </w:p>
        </w:tc>
        <w:tc>
          <w:tcPr>
            <w:tcW w:w="630" w:type="dxa"/>
            <w:tcBorders>
              <w:left w:val="single" w:sz="4" w:space="0" w:color="auto"/>
              <w:right w:val="single" w:sz="4" w:space="0" w:color="auto"/>
            </w:tcBorders>
            <w:shd w:val="clear" w:color="auto" w:fill="auto"/>
            <w:vAlign w:val="center"/>
          </w:tcPr>
          <w:p w14:paraId="7A4533EE"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679</w:t>
            </w:r>
          </w:p>
        </w:tc>
        <w:tc>
          <w:tcPr>
            <w:tcW w:w="528" w:type="dxa"/>
            <w:tcBorders>
              <w:left w:val="single" w:sz="4" w:space="0" w:color="auto"/>
              <w:right w:val="single" w:sz="4" w:space="0" w:color="auto"/>
            </w:tcBorders>
            <w:shd w:val="clear" w:color="auto" w:fill="auto"/>
            <w:vAlign w:val="center"/>
          </w:tcPr>
          <w:p w14:paraId="4BE63629"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3</w:t>
            </w:r>
          </w:p>
        </w:tc>
        <w:tc>
          <w:tcPr>
            <w:tcW w:w="593" w:type="dxa"/>
            <w:tcBorders>
              <w:left w:val="single" w:sz="4" w:space="0" w:color="auto"/>
              <w:right w:val="single" w:sz="4" w:space="0" w:color="auto"/>
            </w:tcBorders>
            <w:shd w:val="clear" w:color="auto" w:fill="auto"/>
            <w:vAlign w:val="center"/>
          </w:tcPr>
          <w:p w14:paraId="59B890BE"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-6</w:t>
            </w:r>
          </w:p>
        </w:tc>
        <w:tc>
          <w:tcPr>
            <w:tcW w:w="574" w:type="dxa"/>
            <w:tcBorders>
              <w:left w:val="single" w:sz="4" w:space="0" w:color="auto"/>
              <w:right w:val="single" w:sz="4" w:space="0" w:color="auto"/>
            </w:tcBorders>
            <w:shd w:val="clear" w:color="auto" w:fill="auto"/>
            <w:vAlign w:val="center"/>
          </w:tcPr>
          <w:p w14:paraId="1895BEAA"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w:t>
            </w:r>
          </w:p>
        </w:tc>
        <w:tc>
          <w:tcPr>
            <w:tcW w:w="528" w:type="dxa"/>
            <w:tcBorders>
              <w:left w:val="single" w:sz="4" w:space="0" w:color="auto"/>
              <w:right w:val="single" w:sz="4" w:space="0" w:color="auto"/>
            </w:tcBorders>
            <w:shd w:val="clear" w:color="auto" w:fill="auto"/>
            <w:vAlign w:val="center"/>
          </w:tcPr>
          <w:p w14:paraId="43C039FA"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0</w:t>
            </w:r>
          </w:p>
        </w:tc>
      </w:tr>
      <w:tr w:rsidR="00EF4A2D" w:rsidRPr="00EF4A2D" w14:paraId="00CD45EE" w14:textId="77777777" w:rsidTr="00B9606F">
        <w:trPr>
          <w:jc w:val="center"/>
        </w:trPr>
        <w:tc>
          <w:tcPr>
            <w:tcW w:w="3100" w:type="dxa"/>
            <w:tcBorders>
              <w:left w:val="single" w:sz="4" w:space="0" w:color="auto"/>
              <w:right w:val="single" w:sz="4" w:space="0" w:color="auto"/>
            </w:tcBorders>
            <w:shd w:val="clear" w:color="auto" w:fill="auto"/>
            <w:vAlign w:val="center"/>
          </w:tcPr>
          <w:p w14:paraId="18154D25" w14:textId="77777777" w:rsidR="00EF4A2D" w:rsidRPr="00EF4A2D" w:rsidRDefault="00EF4A2D" w:rsidP="00EF4A2D">
            <w:pPr>
              <w:ind w:left="284"/>
              <w:rPr>
                <w:rFonts w:eastAsia="Calibri"/>
                <w:sz w:val="14"/>
                <w:szCs w:val="14"/>
                <w:lang w:eastAsia="en-US"/>
              </w:rPr>
            </w:pPr>
            <w:r w:rsidRPr="00EF4A2D">
              <w:rPr>
                <w:rFonts w:eastAsia="Calibri"/>
                <w:sz w:val="14"/>
                <w:szCs w:val="14"/>
                <w:lang w:eastAsia="en-US"/>
              </w:rPr>
              <w:t>Países Bajos</w:t>
            </w:r>
          </w:p>
        </w:tc>
        <w:tc>
          <w:tcPr>
            <w:tcW w:w="667" w:type="dxa"/>
            <w:tcBorders>
              <w:left w:val="single" w:sz="4" w:space="0" w:color="auto"/>
              <w:right w:val="single" w:sz="4" w:space="0" w:color="auto"/>
            </w:tcBorders>
            <w:shd w:val="clear" w:color="auto" w:fill="auto"/>
            <w:vAlign w:val="center"/>
          </w:tcPr>
          <w:p w14:paraId="043D4E06"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672</w:t>
            </w:r>
          </w:p>
        </w:tc>
        <w:tc>
          <w:tcPr>
            <w:tcW w:w="588" w:type="dxa"/>
            <w:tcBorders>
              <w:left w:val="single" w:sz="4" w:space="0" w:color="auto"/>
              <w:right w:val="single" w:sz="4" w:space="0" w:color="auto"/>
            </w:tcBorders>
            <w:shd w:val="clear" w:color="auto" w:fill="auto"/>
            <w:vAlign w:val="center"/>
          </w:tcPr>
          <w:p w14:paraId="3EE6FDE4"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6</w:t>
            </w:r>
          </w:p>
        </w:tc>
        <w:tc>
          <w:tcPr>
            <w:tcW w:w="588" w:type="dxa"/>
            <w:tcBorders>
              <w:left w:val="single" w:sz="4" w:space="0" w:color="auto"/>
              <w:right w:val="single" w:sz="4" w:space="0" w:color="auto"/>
            </w:tcBorders>
            <w:shd w:val="clear" w:color="auto" w:fill="auto"/>
            <w:vAlign w:val="center"/>
          </w:tcPr>
          <w:p w14:paraId="3EA6F922"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-2</w:t>
            </w:r>
          </w:p>
        </w:tc>
        <w:tc>
          <w:tcPr>
            <w:tcW w:w="652" w:type="dxa"/>
            <w:tcBorders>
              <w:left w:val="single" w:sz="4" w:space="0" w:color="auto"/>
              <w:right w:val="single" w:sz="4" w:space="0" w:color="auto"/>
            </w:tcBorders>
            <w:shd w:val="clear" w:color="auto" w:fill="auto"/>
            <w:vAlign w:val="center"/>
          </w:tcPr>
          <w:p w14:paraId="26B05702"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2</w:t>
            </w:r>
          </w:p>
        </w:tc>
        <w:tc>
          <w:tcPr>
            <w:tcW w:w="635" w:type="dxa"/>
            <w:tcBorders>
              <w:left w:val="single" w:sz="4" w:space="0" w:color="auto"/>
              <w:right w:val="single" w:sz="4" w:space="0" w:color="auto"/>
            </w:tcBorders>
            <w:shd w:val="clear" w:color="auto" w:fill="auto"/>
            <w:vAlign w:val="center"/>
          </w:tcPr>
          <w:p w14:paraId="5606B068"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0</w:t>
            </w:r>
          </w:p>
        </w:tc>
        <w:tc>
          <w:tcPr>
            <w:tcW w:w="630" w:type="dxa"/>
            <w:tcBorders>
              <w:left w:val="single" w:sz="4" w:space="0" w:color="auto"/>
              <w:right w:val="single" w:sz="4" w:space="0" w:color="auto"/>
            </w:tcBorders>
            <w:shd w:val="clear" w:color="auto" w:fill="auto"/>
            <w:vAlign w:val="center"/>
          </w:tcPr>
          <w:p w14:paraId="59AA66F6"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587</w:t>
            </w:r>
          </w:p>
        </w:tc>
        <w:tc>
          <w:tcPr>
            <w:tcW w:w="528" w:type="dxa"/>
            <w:tcBorders>
              <w:left w:val="single" w:sz="4" w:space="0" w:color="auto"/>
              <w:right w:val="single" w:sz="4" w:space="0" w:color="auto"/>
            </w:tcBorders>
            <w:shd w:val="clear" w:color="auto" w:fill="auto"/>
            <w:vAlign w:val="center"/>
          </w:tcPr>
          <w:p w14:paraId="793CDBC2"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5</w:t>
            </w:r>
          </w:p>
        </w:tc>
        <w:tc>
          <w:tcPr>
            <w:tcW w:w="593" w:type="dxa"/>
            <w:tcBorders>
              <w:left w:val="single" w:sz="4" w:space="0" w:color="auto"/>
              <w:right w:val="single" w:sz="4" w:space="0" w:color="auto"/>
            </w:tcBorders>
            <w:shd w:val="clear" w:color="auto" w:fill="auto"/>
            <w:vAlign w:val="center"/>
          </w:tcPr>
          <w:p w14:paraId="2EC78D00"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-2</w:t>
            </w:r>
          </w:p>
        </w:tc>
        <w:tc>
          <w:tcPr>
            <w:tcW w:w="574" w:type="dxa"/>
            <w:tcBorders>
              <w:left w:val="single" w:sz="4" w:space="0" w:color="auto"/>
              <w:right w:val="single" w:sz="4" w:space="0" w:color="auto"/>
            </w:tcBorders>
            <w:shd w:val="clear" w:color="auto" w:fill="auto"/>
            <w:vAlign w:val="center"/>
          </w:tcPr>
          <w:p w14:paraId="387905A7"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0</w:t>
            </w:r>
          </w:p>
        </w:tc>
        <w:tc>
          <w:tcPr>
            <w:tcW w:w="528" w:type="dxa"/>
            <w:tcBorders>
              <w:left w:val="single" w:sz="4" w:space="0" w:color="auto"/>
              <w:right w:val="single" w:sz="4" w:space="0" w:color="auto"/>
            </w:tcBorders>
            <w:shd w:val="clear" w:color="auto" w:fill="auto"/>
            <w:vAlign w:val="center"/>
          </w:tcPr>
          <w:p w14:paraId="15DAAA8B"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0</w:t>
            </w:r>
          </w:p>
        </w:tc>
      </w:tr>
      <w:tr w:rsidR="00EF4A2D" w:rsidRPr="00EF4A2D" w14:paraId="40B059BE" w14:textId="77777777" w:rsidTr="00B9606F">
        <w:trPr>
          <w:jc w:val="center"/>
        </w:trPr>
        <w:tc>
          <w:tcPr>
            <w:tcW w:w="3100" w:type="dxa"/>
            <w:tcBorders>
              <w:left w:val="single" w:sz="4" w:space="0" w:color="auto"/>
              <w:right w:val="single" w:sz="4" w:space="0" w:color="auto"/>
            </w:tcBorders>
            <w:shd w:val="clear" w:color="auto" w:fill="auto"/>
            <w:vAlign w:val="center"/>
          </w:tcPr>
          <w:p w14:paraId="5E006E1C" w14:textId="77777777" w:rsidR="00EF4A2D" w:rsidRPr="00EF4A2D" w:rsidRDefault="00EF4A2D" w:rsidP="00EF4A2D">
            <w:pPr>
              <w:ind w:left="284"/>
              <w:rPr>
                <w:rFonts w:eastAsia="Calibri"/>
                <w:sz w:val="14"/>
                <w:szCs w:val="14"/>
                <w:lang w:eastAsia="en-US"/>
              </w:rPr>
            </w:pPr>
            <w:r w:rsidRPr="00EF4A2D">
              <w:rPr>
                <w:rFonts w:eastAsia="Calibri"/>
                <w:sz w:val="14"/>
                <w:szCs w:val="14"/>
                <w:lang w:eastAsia="en-US"/>
              </w:rPr>
              <w:t>Reino Unido</w:t>
            </w:r>
          </w:p>
        </w:tc>
        <w:tc>
          <w:tcPr>
            <w:tcW w:w="667" w:type="dxa"/>
            <w:tcBorders>
              <w:left w:val="single" w:sz="4" w:space="0" w:color="auto"/>
              <w:right w:val="single" w:sz="4" w:space="0" w:color="auto"/>
            </w:tcBorders>
            <w:shd w:val="clear" w:color="auto" w:fill="auto"/>
            <w:vAlign w:val="center"/>
          </w:tcPr>
          <w:p w14:paraId="518D2048"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507</w:t>
            </w:r>
          </w:p>
        </w:tc>
        <w:tc>
          <w:tcPr>
            <w:tcW w:w="588" w:type="dxa"/>
            <w:tcBorders>
              <w:left w:val="single" w:sz="4" w:space="0" w:color="auto"/>
              <w:right w:val="single" w:sz="4" w:space="0" w:color="auto"/>
            </w:tcBorders>
            <w:shd w:val="clear" w:color="auto" w:fill="auto"/>
            <w:vAlign w:val="center"/>
          </w:tcPr>
          <w:p w14:paraId="2E1C55FB"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3</w:t>
            </w:r>
          </w:p>
        </w:tc>
        <w:tc>
          <w:tcPr>
            <w:tcW w:w="588" w:type="dxa"/>
            <w:tcBorders>
              <w:left w:val="single" w:sz="4" w:space="0" w:color="auto"/>
              <w:right w:val="single" w:sz="4" w:space="0" w:color="auto"/>
            </w:tcBorders>
            <w:shd w:val="clear" w:color="auto" w:fill="auto"/>
            <w:vAlign w:val="center"/>
          </w:tcPr>
          <w:p w14:paraId="101B4046"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-7</w:t>
            </w:r>
          </w:p>
        </w:tc>
        <w:tc>
          <w:tcPr>
            <w:tcW w:w="652" w:type="dxa"/>
            <w:tcBorders>
              <w:left w:val="single" w:sz="4" w:space="0" w:color="auto"/>
              <w:right w:val="single" w:sz="4" w:space="0" w:color="auto"/>
            </w:tcBorders>
            <w:shd w:val="clear" w:color="auto" w:fill="auto"/>
            <w:vAlign w:val="center"/>
          </w:tcPr>
          <w:p w14:paraId="007D78DA"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14</w:t>
            </w:r>
          </w:p>
        </w:tc>
        <w:tc>
          <w:tcPr>
            <w:tcW w:w="635" w:type="dxa"/>
            <w:tcBorders>
              <w:left w:val="single" w:sz="4" w:space="0" w:color="auto"/>
              <w:right w:val="single" w:sz="4" w:space="0" w:color="auto"/>
            </w:tcBorders>
            <w:shd w:val="clear" w:color="auto" w:fill="auto"/>
            <w:vAlign w:val="center"/>
          </w:tcPr>
          <w:p w14:paraId="6891F83E"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-6</w:t>
            </w:r>
          </w:p>
        </w:tc>
        <w:tc>
          <w:tcPr>
            <w:tcW w:w="630" w:type="dxa"/>
            <w:tcBorders>
              <w:left w:val="single" w:sz="4" w:space="0" w:color="auto"/>
              <w:right w:val="single" w:sz="4" w:space="0" w:color="auto"/>
            </w:tcBorders>
            <w:shd w:val="clear" w:color="auto" w:fill="auto"/>
            <w:vAlign w:val="center"/>
          </w:tcPr>
          <w:p w14:paraId="42ED5371"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683</w:t>
            </w:r>
          </w:p>
        </w:tc>
        <w:tc>
          <w:tcPr>
            <w:tcW w:w="528" w:type="dxa"/>
            <w:tcBorders>
              <w:left w:val="single" w:sz="4" w:space="0" w:color="auto"/>
              <w:right w:val="single" w:sz="4" w:space="0" w:color="auto"/>
            </w:tcBorders>
            <w:shd w:val="clear" w:color="auto" w:fill="auto"/>
            <w:vAlign w:val="center"/>
          </w:tcPr>
          <w:p w14:paraId="25A6F117"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3</w:t>
            </w:r>
          </w:p>
        </w:tc>
        <w:tc>
          <w:tcPr>
            <w:tcW w:w="593" w:type="dxa"/>
            <w:tcBorders>
              <w:left w:val="single" w:sz="4" w:space="0" w:color="auto"/>
              <w:right w:val="single" w:sz="4" w:space="0" w:color="auto"/>
            </w:tcBorders>
            <w:shd w:val="clear" w:color="auto" w:fill="auto"/>
            <w:vAlign w:val="center"/>
          </w:tcPr>
          <w:p w14:paraId="107BCD6F"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2</w:t>
            </w:r>
          </w:p>
        </w:tc>
        <w:tc>
          <w:tcPr>
            <w:tcW w:w="574" w:type="dxa"/>
            <w:tcBorders>
              <w:left w:val="single" w:sz="4" w:space="0" w:color="auto"/>
              <w:right w:val="single" w:sz="4" w:space="0" w:color="auto"/>
            </w:tcBorders>
            <w:shd w:val="clear" w:color="auto" w:fill="auto"/>
            <w:vAlign w:val="center"/>
          </w:tcPr>
          <w:p w14:paraId="7884D923"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-5</w:t>
            </w:r>
          </w:p>
        </w:tc>
        <w:tc>
          <w:tcPr>
            <w:tcW w:w="528" w:type="dxa"/>
            <w:tcBorders>
              <w:left w:val="single" w:sz="4" w:space="0" w:color="auto"/>
              <w:right w:val="single" w:sz="4" w:space="0" w:color="auto"/>
            </w:tcBorders>
            <w:shd w:val="clear" w:color="auto" w:fill="auto"/>
            <w:vAlign w:val="center"/>
          </w:tcPr>
          <w:p w14:paraId="1B8B0E4D"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4</w:t>
            </w:r>
          </w:p>
        </w:tc>
      </w:tr>
      <w:tr w:rsidR="00EF4A2D" w:rsidRPr="00EF4A2D" w14:paraId="5A513C0C" w14:textId="77777777" w:rsidTr="00B9606F">
        <w:trPr>
          <w:jc w:val="center"/>
        </w:trPr>
        <w:tc>
          <w:tcPr>
            <w:tcW w:w="3100" w:type="dxa"/>
            <w:tcBorders>
              <w:left w:val="single" w:sz="4" w:space="0" w:color="auto"/>
              <w:right w:val="single" w:sz="4" w:space="0" w:color="auto"/>
            </w:tcBorders>
            <w:shd w:val="clear" w:color="auto" w:fill="auto"/>
            <w:vAlign w:val="center"/>
          </w:tcPr>
          <w:p w14:paraId="486FA996" w14:textId="77777777" w:rsidR="00EF4A2D" w:rsidRPr="00EF4A2D" w:rsidRDefault="00EF4A2D" w:rsidP="00EF4A2D">
            <w:pPr>
              <w:spacing w:after="120"/>
              <w:ind w:left="284"/>
              <w:rPr>
                <w:rFonts w:eastAsia="Calibri"/>
                <w:sz w:val="14"/>
                <w:szCs w:val="14"/>
                <w:lang w:eastAsia="en-US"/>
              </w:rPr>
            </w:pPr>
            <w:r w:rsidRPr="00EF4A2D">
              <w:rPr>
                <w:rFonts w:eastAsia="Calibri"/>
                <w:sz w:val="14"/>
                <w:szCs w:val="14"/>
                <w:lang w:eastAsia="en-US"/>
              </w:rPr>
              <w:t>Italia</w:t>
            </w:r>
          </w:p>
        </w:tc>
        <w:tc>
          <w:tcPr>
            <w:tcW w:w="667" w:type="dxa"/>
            <w:tcBorders>
              <w:left w:val="single" w:sz="4" w:space="0" w:color="auto"/>
              <w:right w:val="single" w:sz="4" w:space="0" w:color="auto"/>
            </w:tcBorders>
            <w:shd w:val="clear" w:color="auto" w:fill="auto"/>
            <w:vAlign w:val="center"/>
          </w:tcPr>
          <w:p w14:paraId="7EC9B7FB" w14:textId="77777777" w:rsidR="00EF4A2D" w:rsidRPr="00EF4A2D" w:rsidRDefault="00EF4A2D" w:rsidP="00EF4A2D">
            <w:pPr>
              <w:spacing w:after="120"/>
              <w:jc w:val="right"/>
              <w:rPr>
                <w:rFonts w:eastAsia="Calibri"/>
                <w:sz w:val="14"/>
                <w:szCs w:val="14"/>
                <w:lang w:eastAsia="en-US"/>
              </w:rPr>
            </w:pPr>
            <w:r w:rsidRPr="00EF4A2D">
              <w:rPr>
                <w:rFonts w:eastAsia="Calibri"/>
                <w:sz w:val="14"/>
                <w:szCs w:val="14"/>
                <w:lang w:eastAsia="en-US"/>
              </w:rPr>
              <w:t>529</w:t>
            </w:r>
          </w:p>
        </w:tc>
        <w:tc>
          <w:tcPr>
            <w:tcW w:w="588" w:type="dxa"/>
            <w:tcBorders>
              <w:left w:val="single" w:sz="4" w:space="0" w:color="auto"/>
              <w:right w:val="single" w:sz="4" w:space="0" w:color="auto"/>
            </w:tcBorders>
            <w:shd w:val="clear" w:color="auto" w:fill="auto"/>
            <w:vAlign w:val="center"/>
          </w:tcPr>
          <w:p w14:paraId="1BA405E2"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4</w:t>
            </w:r>
          </w:p>
        </w:tc>
        <w:tc>
          <w:tcPr>
            <w:tcW w:w="588" w:type="dxa"/>
            <w:tcBorders>
              <w:left w:val="single" w:sz="4" w:space="0" w:color="auto"/>
              <w:right w:val="single" w:sz="4" w:space="0" w:color="auto"/>
            </w:tcBorders>
            <w:shd w:val="clear" w:color="auto" w:fill="auto"/>
            <w:vAlign w:val="center"/>
          </w:tcPr>
          <w:p w14:paraId="7E825F94"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-4</w:t>
            </w:r>
          </w:p>
        </w:tc>
        <w:tc>
          <w:tcPr>
            <w:tcW w:w="652" w:type="dxa"/>
            <w:tcBorders>
              <w:left w:val="single" w:sz="4" w:space="0" w:color="auto"/>
              <w:right w:val="single" w:sz="4" w:space="0" w:color="auto"/>
            </w:tcBorders>
            <w:shd w:val="clear" w:color="auto" w:fill="auto"/>
            <w:vAlign w:val="center"/>
          </w:tcPr>
          <w:p w14:paraId="6A999E9C"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3</w:t>
            </w:r>
          </w:p>
        </w:tc>
        <w:tc>
          <w:tcPr>
            <w:tcW w:w="635" w:type="dxa"/>
            <w:tcBorders>
              <w:left w:val="single" w:sz="4" w:space="0" w:color="auto"/>
              <w:right w:val="single" w:sz="4" w:space="0" w:color="auto"/>
            </w:tcBorders>
            <w:shd w:val="clear" w:color="auto" w:fill="auto"/>
            <w:vAlign w:val="center"/>
          </w:tcPr>
          <w:p w14:paraId="2266AB9A"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2</w:t>
            </w:r>
          </w:p>
        </w:tc>
        <w:tc>
          <w:tcPr>
            <w:tcW w:w="630" w:type="dxa"/>
            <w:tcBorders>
              <w:left w:val="single" w:sz="4" w:space="0" w:color="auto"/>
              <w:right w:val="single" w:sz="4" w:space="0" w:color="auto"/>
            </w:tcBorders>
            <w:shd w:val="clear" w:color="auto" w:fill="auto"/>
            <w:vAlign w:val="center"/>
          </w:tcPr>
          <w:p w14:paraId="57D2001F" w14:textId="77777777" w:rsidR="00EF4A2D" w:rsidRPr="00EF4A2D" w:rsidRDefault="00EF4A2D" w:rsidP="00EF4A2D">
            <w:pPr>
              <w:spacing w:after="120"/>
              <w:jc w:val="right"/>
              <w:rPr>
                <w:rFonts w:eastAsia="Calibri"/>
                <w:sz w:val="14"/>
                <w:szCs w:val="14"/>
                <w:lang w:eastAsia="en-US"/>
              </w:rPr>
            </w:pPr>
            <w:r w:rsidRPr="00EF4A2D">
              <w:rPr>
                <w:rFonts w:eastAsia="Calibri"/>
                <w:sz w:val="14"/>
                <w:szCs w:val="14"/>
                <w:lang w:eastAsia="en-US"/>
              </w:rPr>
              <w:t>472</w:t>
            </w:r>
          </w:p>
        </w:tc>
        <w:tc>
          <w:tcPr>
            <w:tcW w:w="528" w:type="dxa"/>
            <w:tcBorders>
              <w:left w:val="single" w:sz="4" w:space="0" w:color="auto"/>
              <w:right w:val="single" w:sz="4" w:space="0" w:color="auto"/>
            </w:tcBorders>
            <w:shd w:val="clear" w:color="auto" w:fill="auto"/>
            <w:vAlign w:val="center"/>
          </w:tcPr>
          <w:p w14:paraId="2E5B828D"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2</w:t>
            </w:r>
          </w:p>
        </w:tc>
        <w:tc>
          <w:tcPr>
            <w:tcW w:w="593" w:type="dxa"/>
            <w:tcBorders>
              <w:left w:val="single" w:sz="4" w:space="0" w:color="auto"/>
              <w:right w:val="single" w:sz="4" w:space="0" w:color="auto"/>
            </w:tcBorders>
            <w:shd w:val="clear" w:color="auto" w:fill="auto"/>
            <w:vAlign w:val="center"/>
          </w:tcPr>
          <w:p w14:paraId="07AC142C"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-13</w:t>
            </w:r>
          </w:p>
        </w:tc>
        <w:tc>
          <w:tcPr>
            <w:tcW w:w="574" w:type="dxa"/>
            <w:tcBorders>
              <w:left w:val="single" w:sz="4" w:space="0" w:color="auto"/>
              <w:right w:val="single" w:sz="4" w:space="0" w:color="auto"/>
            </w:tcBorders>
            <w:shd w:val="clear" w:color="auto" w:fill="auto"/>
            <w:vAlign w:val="center"/>
          </w:tcPr>
          <w:p w14:paraId="6F8E9141"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-2</w:t>
            </w:r>
          </w:p>
        </w:tc>
        <w:tc>
          <w:tcPr>
            <w:tcW w:w="528" w:type="dxa"/>
            <w:tcBorders>
              <w:left w:val="single" w:sz="4" w:space="0" w:color="auto"/>
              <w:right w:val="single" w:sz="4" w:space="0" w:color="auto"/>
            </w:tcBorders>
            <w:shd w:val="clear" w:color="auto" w:fill="auto"/>
            <w:vAlign w:val="center"/>
          </w:tcPr>
          <w:p w14:paraId="4B67706F"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-2</w:t>
            </w:r>
          </w:p>
        </w:tc>
      </w:tr>
      <w:tr w:rsidR="00EF4A2D" w:rsidRPr="00EF4A2D" w14:paraId="1E61712F" w14:textId="77777777" w:rsidTr="00B9606F">
        <w:trPr>
          <w:jc w:val="center"/>
        </w:trPr>
        <w:tc>
          <w:tcPr>
            <w:tcW w:w="3100" w:type="dxa"/>
            <w:tcBorders>
              <w:left w:val="single" w:sz="4" w:space="0" w:color="auto"/>
              <w:right w:val="single" w:sz="4" w:space="0" w:color="auto"/>
            </w:tcBorders>
            <w:shd w:val="clear" w:color="auto" w:fill="auto"/>
            <w:vAlign w:val="center"/>
          </w:tcPr>
          <w:p w14:paraId="79797D82" w14:textId="77777777" w:rsidR="00EF4A2D" w:rsidRPr="00EF4A2D" w:rsidRDefault="00EF4A2D" w:rsidP="00EF4A2D">
            <w:pPr>
              <w:rPr>
                <w:rFonts w:eastAsia="Calibri"/>
                <w:b/>
                <w:sz w:val="14"/>
                <w:szCs w:val="14"/>
                <w:lang w:eastAsia="en-US"/>
              </w:rPr>
            </w:pPr>
            <w:r w:rsidRPr="00EF4A2D">
              <w:rPr>
                <w:rFonts w:eastAsia="Calibri"/>
                <w:b/>
                <w:sz w:val="14"/>
                <w:szCs w:val="14"/>
                <w:lang w:eastAsia="en-US"/>
              </w:rPr>
              <w:t>Comunidad de Estados Independientes (CEI)</w:t>
            </w:r>
          </w:p>
        </w:tc>
        <w:tc>
          <w:tcPr>
            <w:tcW w:w="667" w:type="dxa"/>
            <w:tcBorders>
              <w:left w:val="single" w:sz="4" w:space="0" w:color="auto"/>
              <w:right w:val="single" w:sz="4" w:space="0" w:color="auto"/>
            </w:tcBorders>
            <w:shd w:val="clear" w:color="auto" w:fill="auto"/>
            <w:vAlign w:val="center"/>
          </w:tcPr>
          <w:p w14:paraId="44D0ECAC" w14:textId="77777777" w:rsidR="00EF4A2D" w:rsidRPr="00EF4A2D" w:rsidRDefault="00EF4A2D" w:rsidP="00EF4A2D">
            <w:pPr>
              <w:jc w:val="right"/>
              <w:rPr>
                <w:rFonts w:eastAsia="Calibri"/>
                <w:b/>
                <w:sz w:val="14"/>
                <w:szCs w:val="14"/>
                <w:lang w:eastAsia="en-US"/>
              </w:rPr>
            </w:pPr>
            <w:r w:rsidRPr="00EF4A2D">
              <w:rPr>
                <w:rFonts w:eastAsia="Calibri"/>
                <w:b/>
                <w:sz w:val="14"/>
                <w:szCs w:val="14"/>
                <w:lang w:eastAsia="en-US"/>
              </w:rPr>
              <w:t>735</w:t>
            </w:r>
          </w:p>
        </w:tc>
        <w:tc>
          <w:tcPr>
            <w:tcW w:w="588" w:type="dxa"/>
            <w:tcBorders>
              <w:left w:val="single" w:sz="4" w:space="0" w:color="auto"/>
              <w:right w:val="single" w:sz="4" w:space="0" w:color="auto"/>
            </w:tcBorders>
            <w:shd w:val="clear" w:color="auto" w:fill="auto"/>
            <w:vAlign w:val="center"/>
          </w:tcPr>
          <w:p w14:paraId="1E14537C"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9</w:t>
            </w:r>
          </w:p>
        </w:tc>
        <w:tc>
          <w:tcPr>
            <w:tcW w:w="588" w:type="dxa"/>
            <w:tcBorders>
              <w:left w:val="single" w:sz="4" w:space="0" w:color="auto"/>
              <w:right w:val="single" w:sz="4" w:space="0" w:color="auto"/>
            </w:tcBorders>
            <w:shd w:val="clear" w:color="auto" w:fill="auto"/>
            <w:vAlign w:val="center"/>
          </w:tcPr>
          <w:p w14:paraId="0CD37D17"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2</w:t>
            </w:r>
          </w:p>
        </w:tc>
        <w:tc>
          <w:tcPr>
            <w:tcW w:w="652" w:type="dxa"/>
            <w:tcBorders>
              <w:left w:val="single" w:sz="4" w:space="0" w:color="auto"/>
              <w:right w:val="single" w:sz="4" w:space="0" w:color="auto"/>
            </w:tcBorders>
            <w:shd w:val="clear" w:color="auto" w:fill="auto"/>
            <w:vAlign w:val="center"/>
          </w:tcPr>
          <w:p w14:paraId="287281F2"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-2</w:t>
            </w:r>
          </w:p>
        </w:tc>
        <w:tc>
          <w:tcPr>
            <w:tcW w:w="635" w:type="dxa"/>
            <w:tcBorders>
              <w:left w:val="single" w:sz="4" w:space="0" w:color="auto"/>
              <w:right w:val="single" w:sz="4" w:space="0" w:color="auto"/>
            </w:tcBorders>
            <w:shd w:val="clear" w:color="auto" w:fill="auto"/>
            <w:vAlign w:val="center"/>
          </w:tcPr>
          <w:p w14:paraId="4BEFE94B"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-6</w:t>
            </w:r>
          </w:p>
        </w:tc>
        <w:tc>
          <w:tcPr>
            <w:tcW w:w="630" w:type="dxa"/>
            <w:tcBorders>
              <w:left w:val="single" w:sz="4" w:space="0" w:color="auto"/>
              <w:right w:val="single" w:sz="4" w:space="0" w:color="auto"/>
            </w:tcBorders>
            <w:shd w:val="clear" w:color="auto" w:fill="auto"/>
            <w:vAlign w:val="center"/>
          </w:tcPr>
          <w:p w14:paraId="4DD5CDEB" w14:textId="77777777" w:rsidR="00EF4A2D" w:rsidRPr="00EF4A2D" w:rsidRDefault="00EF4A2D" w:rsidP="00EF4A2D">
            <w:pPr>
              <w:jc w:val="right"/>
              <w:rPr>
                <w:rFonts w:eastAsia="Calibri"/>
                <w:b/>
                <w:sz w:val="14"/>
                <w:szCs w:val="14"/>
                <w:lang w:eastAsia="en-US"/>
              </w:rPr>
            </w:pPr>
            <w:r w:rsidRPr="00EF4A2D">
              <w:rPr>
                <w:rFonts w:eastAsia="Calibri"/>
                <w:b/>
                <w:sz w:val="14"/>
                <w:szCs w:val="14"/>
                <w:lang w:eastAsia="en-US"/>
              </w:rPr>
              <w:t>506</w:t>
            </w:r>
          </w:p>
        </w:tc>
        <w:tc>
          <w:tcPr>
            <w:tcW w:w="528" w:type="dxa"/>
            <w:tcBorders>
              <w:left w:val="single" w:sz="4" w:space="0" w:color="auto"/>
              <w:right w:val="single" w:sz="4" w:space="0" w:color="auto"/>
            </w:tcBorders>
            <w:shd w:val="clear" w:color="auto" w:fill="auto"/>
            <w:vAlign w:val="center"/>
          </w:tcPr>
          <w:p w14:paraId="1E498AE3"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10</w:t>
            </w:r>
          </w:p>
        </w:tc>
        <w:tc>
          <w:tcPr>
            <w:tcW w:w="593" w:type="dxa"/>
            <w:tcBorders>
              <w:left w:val="single" w:sz="4" w:space="0" w:color="auto"/>
              <w:right w:val="single" w:sz="4" w:space="0" w:color="auto"/>
            </w:tcBorders>
            <w:shd w:val="clear" w:color="auto" w:fill="auto"/>
            <w:vAlign w:val="center"/>
          </w:tcPr>
          <w:p w14:paraId="0661EA21"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6</w:t>
            </w:r>
          </w:p>
        </w:tc>
        <w:tc>
          <w:tcPr>
            <w:tcW w:w="574" w:type="dxa"/>
            <w:tcBorders>
              <w:left w:val="single" w:sz="4" w:space="0" w:color="auto"/>
              <w:right w:val="single" w:sz="4" w:space="0" w:color="auto"/>
            </w:tcBorders>
            <w:shd w:val="clear" w:color="auto" w:fill="auto"/>
            <w:vAlign w:val="center"/>
          </w:tcPr>
          <w:p w14:paraId="755FA849"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0</w:t>
            </w:r>
          </w:p>
        </w:tc>
        <w:tc>
          <w:tcPr>
            <w:tcW w:w="528" w:type="dxa"/>
            <w:tcBorders>
              <w:left w:val="single" w:sz="4" w:space="0" w:color="auto"/>
              <w:right w:val="single" w:sz="4" w:space="0" w:color="auto"/>
            </w:tcBorders>
            <w:shd w:val="clear" w:color="auto" w:fill="auto"/>
            <w:vAlign w:val="center"/>
          </w:tcPr>
          <w:p w14:paraId="71C7F07A"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-12</w:t>
            </w:r>
          </w:p>
        </w:tc>
      </w:tr>
      <w:tr w:rsidR="00EF4A2D" w:rsidRPr="00EF4A2D" w14:paraId="22ED9FE7" w14:textId="77777777" w:rsidTr="00B9606F">
        <w:trPr>
          <w:jc w:val="center"/>
        </w:trPr>
        <w:tc>
          <w:tcPr>
            <w:tcW w:w="3100" w:type="dxa"/>
            <w:tcBorders>
              <w:left w:val="single" w:sz="4" w:space="0" w:color="auto"/>
              <w:right w:val="single" w:sz="4" w:space="0" w:color="auto"/>
            </w:tcBorders>
            <w:shd w:val="clear" w:color="auto" w:fill="auto"/>
            <w:vAlign w:val="center"/>
          </w:tcPr>
          <w:p w14:paraId="1B3FCB1A" w14:textId="77777777" w:rsidR="00EF4A2D" w:rsidRPr="00EF4A2D" w:rsidRDefault="00EF4A2D" w:rsidP="00EF4A2D">
            <w:pPr>
              <w:spacing w:after="120"/>
              <w:ind w:left="170"/>
              <w:rPr>
                <w:rFonts w:eastAsia="Calibri"/>
                <w:sz w:val="14"/>
                <w:szCs w:val="14"/>
                <w:lang w:eastAsia="en-US"/>
              </w:rPr>
            </w:pPr>
            <w:r w:rsidRPr="00EF4A2D">
              <w:rPr>
                <w:rFonts w:eastAsia="Calibri"/>
                <w:sz w:val="14"/>
                <w:szCs w:val="14"/>
                <w:lang w:eastAsia="en-US"/>
              </w:rPr>
              <w:t xml:space="preserve">Federación de Rusia </w:t>
            </w:r>
            <w:r w:rsidRPr="00EF4A2D">
              <w:rPr>
                <w:rFonts w:eastAsia="Calibri"/>
                <w:sz w:val="14"/>
                <w:szCs w:val="14"/>
                <w:u w:val="single"/>
                <w:vertAlign w:val="superscript"/>
                <w:lang w:eastAsia="en-US"/>
              </w:rPr>
              <w:t>a</w:t>
            </w:r>
            <w:r w:rsidRPr="00EF4A2D">
              <w:rPr>
                <w:rFonts w:eastAsia="Calibri"/>
                <w:sz w:val="14"/>
                <w:szCs w:val="14"/>
                <w:vertAlign w:val="superscript"/>
                <w:lang w:eastAsia="en-US"/>
              </w:rPr>
              <w:t>/</w:t>
            </w:r>
          </w:p>
        </w:tc>
        <w:tc>
          <w:tcPr>
            <w:tcW w:w="667" w:type="dxa"/>
            <w:tcBorders>
              <w:left w:val="single" w:sz="4" w:space="0" w:color="auto"/>
              <w:right w:val="single" w:sz="4" w:space="0" w:color="auto"/>
            </w:tcBorders>
            <w:shd w:val="clear" w:color="auto" w:fill="auto"/>
            <w:vAlign w:val="center"/>
          </w:tcPr>
          <w:p w14:paraId="795F72AB" w14:textId="77777777" w:rsidR="00EF4A2D" w:rsidRPr="00EF4A2D" w:rsidRDefault="00EF4A2D" w:rsidP="00EF4A2D">
            <w:pPr>
              <w:spacing w:after="120"/>
              <w:jc w:val="right"/>
              <w:rPr>
                <w:rFonts w:eastAsia="Calibri"/>
                <w:sz w:val="14"/>
                <w:szCs w:val="14"/>
                <w:lang w:eastAsia="en-US"/>
              </w:rPr>
            </w:pPr>
            <w:r w:rsidRPr="00EF4A2D">
              <w:rPr>
                <w:rFonts w:eastAsia="Calibri"/>
                <w:sz w:val="14"/>
                <w:szCs w:val="14"/>
                <w:lang w:eastAsia="en-US"/>
              </w:rPr>
              <w:t>497</w:t>
            </w:r>
          </w:p>
        </w:tc>
        <w:tc>
          <w:tcPr>
            <w:tcW w:w="588" w:type="dxa"/>
            <w:tcBorders>
              <w:left w:val="single" w:sz="4" w:space="0" w:color="auto"/>
              <w:right w:val="single" w:sz="4" w:space="0" w:color="auto"/>
            </w:tcBorders>
            <w:shd w:val="clear" w:color="auto" w:fill="auto"/>
            <w:vAlign w:val="center"/>
          </w:tcPr>
          <w:p w14:paraId="5DBEFC3C"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8</w:t>
            </w:r>
          </w:p>
        </w:tc>
        <w:tc>
          <w:tcPr>
            <w:tcW w:w="588" w:type="dxa"/>
            <w:tcBorders>
              <w:left w:val="single" w:sz="4" w:space="0" w:color="auto"/>
              <w:right w:val="single" w:sz="4" w:space="0" w:color="auto"/>
            </w:tcBorders>
            <w:shd w:val="clear" w:color="auto" w:fill="auto"/>
            <w:vAlign w:val="center"/>
          </w:tcPr>
          <w:p w14:paraId="02DF7C37"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1</w:t>
            </w:r>
          </w:p>
        </w:tc>
        <w:tc>
          <w:tcPr>
            <w:tcW w:w="652" w:type="dxa"/>
            <w:tcBorders>
              <w:left w:val="single" w:sz="4" w:space="0" w:color="auto"/>
              <w:right w:val="single" w:sz="4" w:space="0" w:color="auto"/>
            </w:tcBorders>
            <w:shd w:val="clear" w:color="auto" w:fill="auto"/>
            <w:vAlign w:val="center"/>
          </w:tcPr>
          <w:p w14:paraId="52AD0B78"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-1</w:t>
            </w:r>
          </w:p>
        </w:tc>
        <w:tc>
          <w:tcPr>
            <w:tcW w:w="635" w:type="dxa"/>
            <w:tcBorders>
              <w:left w:val="single" w:sz="4" w:space="0" w:color="auto"/>
              <w:right w:val="single" w:sz="4" w:space="0" w:color="auto"/>
            </w:tcBorders>
            <w:shd w:val="clear" w:color="auto" w:fill="auto"/>
            <w:vAlign w:val="center"/>
          </w:tcPr>
          <w:p w14:paraId="539DCAFE"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-5</w:t>
            </w:r>
          </w:p>
        </w:tc>
        <w:tc>
          <w:tcPr>
            <w:tcW w:w="630" w:type="dxa"/>
            <w:tcBorders>
              <w:left w:val="single" w:sz="4" w:space="0" w:color="auto"/>
              <w:right w:val="single" w:sz="4" w:space="0" w:color="auto"/>
            </w:tcBorders>
            <w:shd w:val="clear" w:color="auto" w:fill="auto"/>
            <w:vAlign w:val="center"/>
          </w:tcPr>
          <w:p w14:paraId="67815F4B" w14:textId="77777777" w:rsidR="00EF4A2D" w:rsidRPr="00EF4A2D" w:rsidRDefault="00EF4A2D" w:rsidP="00EF4A2D">
            <w:pPr>
              <w:spacing w:after="120"/>
              <w:jc w:val="right"/>
              <w:rPr>
                <w:rFonts w:eastAsia="Calibri"/>
                <w:sz w:val="14"/>
                <w:szCs w:val="14"/>
                <w:lang w:eastAsia="en-US"/>
              </w:rPr>
            </w:pPr>
            <w:r w:rsidRPr="00EF4A2D">
              <w:rPr>
                <w:rFonts w:eastAsia="Calibri"/>
                <w:sz w:val="14"/>
                <w:szCs w:val="14"/>
                <w:lang w:eastAsia="en-US"/>
              </w:rPr>
              <w:t>308</w:t>
            </w:r>
          </w:p>
        </w:tc>
        <w:tc>
          <w:tcPr>
            <w:tcW w:w="528" w:type="dxa"/>
            <w:tcBorders>
              <w:left w:val="single" w:sz="4" w:space="0" w:color="auto"/>
              <w:right w:val="single" w:sz="4" w:space="0" w:color="auto"/>
            </w:tcBorders>
            <w:shd w:val="clear" w:color="auto" w:fill="auto"/>
            <w:vAlign w:val="center"/>
          </w:tcPr>
          <w:p w14:paraId="6931A519"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10</w:t>
            </w:r>
          </w:p>
        </w:tc>
        <w:tc>
          <w:tcPr>
            <w:tcW w:w="593" w:type="dxa"/>
            <w:tcBorders>
              <w:left w:val="single" w:sz="4" w:space="0" w:color="auto"/>
              <w:right w:val="single" w:sz="4" w:space="0" w:color="auto"/>
            </w:tcBorders>
            <w:shd w:val="clear" w:color="auto" w:fill="auto"/>
            <w:vAlign w:val="center"/>
          </w:tcPr>
          <w:p w14:paraId="30979CA8"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4</w:t>
            </w:r>
          </w:p>
        </w:tc>
        <w:tc>
          <w:tcPr>
            <w:tcW w:w="574" w:type="dxa"/>
            <w:tcBorders>
              <w:left w:val="single" w:sz="4" w:space="0" w:color="auto"/>
              <w:right w:val="single" w:sz="4" w:space="0" w:color="auto"/>
            </w:tcBorders>
            <w:shd w:val="clear" w:color="auto" w:fill="auto"/>
            <w:vAlign w:val="center"/>
          </w:tcPr>
          <w:p w14:paraId="43619413"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2</w:t>
            </w:r>
          </w:p>
        </w:tc>
        <w:tc>
          <w:tcPr>
            <w:tcW w:w="528" w:type="dxa"/>
            <w:tcBorders>
              <w:left w:val="single" w:sz="4" w:space="0" w:color="auto"/>
              <w:right w:val="single" w:sz="4" w:space="0" w:color="auto"/>
            </w:tcBorders>
            <w:shd w:val="clear" w:color="auto" w:fill="auto"/>
            <w:vAlign w:val="center"/>
          </w:tcPr>
          <w:p w14:paraId="117A7BD7"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-10</w:t>
            </w:r>
          </w:p>
        </w:tc>
      </w:tr>
      <w:tr w:rsidR="00EF4A2D" w:rsidRPr="00EF4A2D" w14:paraId="576167F7" w14:textId="77777777" w:rsidTr="00B9606F">
        <w:trPr>
          <w:jc w:val="center"/>
        </w:trPr>
        <w:tc>
          <w:tcPr>
            <w:tcW w:w="3100" w:type="dxa"/>
            <w:tcBorders>
              <w:left w:val="single" w:sz="4" w:space="0" w:color="auto"/>
              <w:right w:val="single" w:sz="4" w:space="0" w:color="auto"/>
            </w:tcBorders>
            <w:shd w:val="clear" w:color="auto" w:fill="auto"/>
            <w:vAlign w:val="center"/>
          </w:tcPr>
          <w:p w14:paraId="111C2E9F" w14:textId="77777777" w:rsidR="00EF4A2D" w:rsidRPr="00EF4A2D" w:rsidRDefault="00EF4A2D" w:rsidP="00EF4A2D">
            <w:pPr>
              <w:rPr>
                <w:rFonts w:eastAsia="Calibri"/>
                <w:b/>
                <w:sz w:val="14"/>
                <w:szCs w:val="14"/>
                <w:lang w:eastAsia="en-US"/>
              </w:rPr>
            </w:pPr>
            <w:r w:rsidRPr="00EF4A2D">
              <w:rPr>
                <w:rFonts w:eastAsia="Calibri"/>
                <w:b/>
                <w:sz w:val="14"/>
                <w:szCs w:val="14"/>
                <w:lang w:eastAsia="en-US"/>
              </w:rPr>
              <w:t>África</w:t>
            </w:r>
          </w:p>
        </w:tc>
        <w:tc>
          <w:tcPr>
            <w:tcW w:w="667" w:type="dxa"/>
            <w:tcBorders>
              <w:left w:val="single" w:sz="4" w:space="0" w:color="auto"/>
              <w:right w:val="single" w:sz="4" w:space="0" w:color="auto"/>
            </w:tcBorders>
            <w:shd w:val="clear" w:color="auto" w:fill="auto"/>
            <w:vAlign w:val="center"/>
          </w:tcPr>
          <w:p w14:paraId="01354B1A" w14:textId="77777777" w:rsidR="00EF4A2D" w:rsidRPr="00EF4A2D" w:rsidRDefault="00EF4A2D" w:rsidP="00EF4A2D">
            <w:pPr>
              <w:jc w:val="right"/>
              <w:rPr>
                <w:rFonts w:eastAsia="Calibri"/>
                <w:b/>
                <w:sz w:val="14"/>
                <w:szCs w:val="14"/>
                <w:lang w:eastAsia="en-US"/>
              </w:rPr>
            </w:pPr>
            <w:r w:rsidRPr="00EF4A2D">
              <w:rPr>
                <w:rFonts w:eastAsia="Calibri"/>
                <w:b/>
                <w:sz w:val="14"/>
                <w:szCs w:val="14"/>
                <w:lang w:eastAsia="en-US"/>
              </w:rPr>
              <w:t>557</w:t>
            </w:r>
          </w:p>
        </w:tc>
        <w:tc>
          <w:tcPr>
            <w:tcW w:w="588" w:type="dxa"/>
            <w:tcBorders>
              <w:left w:val="single" w:sz="4" w:space="0" w:color="auto"/>
              <w:right w:val="single" w:sz="4" w:space="0" w:color="auto"/>
            </w:tcBorders>
            <w:shd w:val="clear" w:color="auto" w:fill="auto"/>
            <w:vAlign w:val="center"/>
          </w:tcPr>
          <w:p w14:paraId="748EE6E7"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7</w:t>
            </w:r>
          </w:p>
        </w:tc>
        <w:tc>
          <w:tcPr>
            <w:tcW w:w="588" w:type="dxa"/>
            <w:tcBorders>
              <w:left w:val="single" w:sz="4" w:space="0" w:color="auto"/>
              <w:right w:val="single" w:sz="4" w:space="0" w:color="auto"/>
            </w:tcBorders>
            <w:shd w:val="clear" w:color="auto" w:fill="auto"/>
            <w:vAlign w:val="center"/>
          </w:tcPr>
          <w:p w14:paraId="293D308B"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5</w:t>
            </w:r>
          </w:p>
        </w:tc>
        <w:tc>
          <w:tcPr>
            <w:tcW w:w="652" w:type="dxa"/>
            <w:tcBorders>
              <w:left w:val="single" w:sz="4" w:space="0" w:color="auto"/>
              <w:right w:val="single" w:sz="4" w:space="0" w:color="auto"/>
            </w:tcBorders>
            <w:shd w:val="clear" w:color="auto" w:fill="auto"/>
            <w:vAlign w:val="center"/>
          </w:tcPr>
          <w:p w14:paraId="2B7C16D8"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-6</w:t>
            </w:r>
          </w:p>
        </w:tc>
        <w:tc>
          <w:tcPr>
            <w:tcW w:w="635" w:type="dxa"/>
            <w:tcBorders>
              <w:left w:val="single" w:sz="4" w:space="0" w:color="auto"/>
              <w:right w:val="single" w:sz="4" w:space="0" w:color="auto"/>
            </w:tcBorders>
            <w:shd w:val="clear" w:color="auto" w:fill="auto"/>
            <w:vAlign w:val="center"/>
          </w:tcPr>
          <w:p w14:paraId="528527D9"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-8</w:t>
            </w:r>
          </w:p>
        </w:tc>
        <w:tc>
          <w:tcPr>
            <w:tcW w:w="630" w:type="dxa"/>
            <w:tcBorders>
              <w:left w:val="single" w:sz="4" w:space="0" w:color="auto"/>
              <w:right w:val="single" w:sz="4" w:space="0" w:color="auto"/>
            </w:tcBorders>
            <w:shd w:val="clear" w:color="auto" w:fill="auto"/>
            <w:vAlign w:val="center"/>
          </w:tcPr>
          <w:p w14:paraId="59567F54" w14:textId="77777777" w:rsidR="00EF4A2D" w:rsidRPr="00EF4A2D" w:rsidRDefault="00EF4A2D" w:rsidP="00EF4A2D">
            <w:pPr>
              <w:jc w:val="right"/>
              <w:rPr>
                <w:rFonts w:eastAsia="Calibri"/>
                <w:b/>
                <w:sz w:val="14"/>
                <w:szCs w:val="14"/>
                <w:lang w:eastAsia="en-US"/>
              </w:rPr>
            </w:pPr>
            <w:r w:rsidRPr="00EF4A2D">
              <w:rPr>
                <w:rFonts w:eastAsia="Calibri"/>
                <w:b/>
                <w:sz w:val="14"/>
                <w:szCs w:val="14"/>
                <w:lang w:eastAsia="en-US"/>
              </w:rPr>
              <w:t>647</w:t>
            </w:r>
          </w:p>
        </w:tc>
        <w:tc>
          <w:tcPr>
            <w:tcW w:w="528" w:type="dxa"/>
            <w:tcBorders>
              <w:left w:val="single" w:sz="4" w:space="0" w:color="auto"/>
              <w:right w:val="single" w:sz="4" w:space="0" w:color="auto"/>
            </w:tcBorders>
            <w:shd w:val="clear" w:color="auto" w:fill="auto"/>
            <w:vAlign w:val="center"/>
          </w:tcPr>
          <w:p w14:paraId="665FAF00"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11</w:t>
            </w:r>
          </w:p>
        </w:tc>
        <w:tc>
          <w:tcPr>
            <w:tcW w:w="593" w:type="dxa"/>
            <w:tcBorders>
              <w:left w:val="single" w:sz="4" w:space="0" w:color="auto"/>
              <w:right w:val="single" w:sz="4" w:space="0" w:color="auto"/>
            </w:tcBorders>
            <w:shd w:val="clear" w:color="auto" w:fill="auto"/>
            <w:vAlign w:val="center"/>
          </w:tcPr>
          <w:p w14:paraId="7FC98C01"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9</w:t>
            </w:r>
          </w:p>
        </w:tc>
        <w:tc>
          <w:tcPr>
            <w:tcW w:w="574" w:type="dxa"/>
            <w:tcBorders>
              <w:left w:val="single" w:sz="4" w:space="0" w:color="auto"/>
              <w:right w:val="single" w:sz="4" w:space="0" w:color="auto"/>
            </w:tcBorders>
            <w:shd w:val="clear" w:color="auto" w:fill="auto"/>
            <w:vAlign w:val="center"/>
          </w:tcPr>
          <w:p w14:paraId="720D0FFA"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3</w:t>
            </w:r>
          </w:p>
        </w:tc>
        <w:tc>
          <w:tcPr>
            <w:tcW w:w="528" w:type="dxa"/>
            <w:tcBorders>
              <w:left w:val="single" w:sz="4" w:space="0" w:color="auto"/>
              <w:right w:val="single" w:sz="4" w:space="0" w:color="auto"/>
            </w:tcBorders>
            <w:shd w:val="clear" w:color="auto" w:fill="auto"/>
            <w:vAlign w:val="center"/>
          </w:tcPr>
          <w:p w14:paraId="7A2ACF58"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2</w:t>
            </w:r>
          </w:p>
        </w:tc>
      </w:tr>
      <w:tr w:rsidR="00EF4A2D" w:rsidRPr="00EF4A2D" w14:paraId="56DD8858" w14:textId="77777777" w:rsidTr="00B9606F">
        <w:trPr>
          <w:jc w:val="center"/>
        </w:trPr>
        <w:tc>
          <w:tcPr>
            <w:tcW w:w="3100" w:type="dxa"/>
            <w:tcBorders>
              <w:left w:val="single" w:sz="4" w:space="0" w:color="auto"/>
              <w:right w:val="single" w:sz="4" w:space="0" w:color="auto"/>
            </w:tcBorders>
            <w:shd w:val="clear" w:color="auto" w:fill="auto"/>
            <w:vAlign w:val="center"/>
          </w:tcPr>
          <w:p w14:paraId="4EDE5874" w14:textId="77777777" w:rsidR="00EF4A2D" w:rsidRPr="00EF4A2D" w:rsidRDefault="00EF4A2D" w:rsidP="00EF4A2D">
            <w:pPr>
              <w:ind w:left="170"/>
              <w:rPr>
                <w:rFonts w:eastAsia="Calibri"/>
                <w:sz w:val="14"/>
                <w:szCs w:val="14"/>
                <w:lang w:eastAsia="en-US"/>
              </w:rPr>
            </w:pPr>
            <w:r w:rsidRPr="00EF4A2D">
              <w:rPr>
                <w:rFonts w:eastAsia="Calibri"/>
                <w:sz w:val="14"/>
                <w:szCs w:val="14"/>
                <w:lang w:eastAsia="en-US"/>
              </w:rPr>
              <w:t>Sudáfrica</w:t>
            </w:r>
          </w:p>
        </w:tc>
        <w:tc>
          <w:tcPr>
            <w:tcW w:w="667" w:type="dxa"/>
            <w:tcBorders>
              <w:left w:val="single" w:sz="4" w:space="0" w:color="auto"/>
              <w:right w:val="single" w:sz="4" w:space="0" w:color="auto"/>
            </w:tcBorders>
            <w:shd w:val="clear" w:color="auto" w:fill="auto"/>
            <w:vAlign w:val="center"/>
          </w:tcPr>
          <w:p w14:paraId="42F43F4B"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91</w:t>
            </w:r>
          </w:p>
        </w:tc>
        <w:tc>
          <w:tcPr>
            <w:tcW w:w="588" w:type="dxa"/>
            <w:tcBorders>
              <w:left w:val="single" w:sz="4" w:space="0" w:color="auto"/>
              <w:right w:val="single" w:sz="4" w:space="0" w:color="auto"/>
            </w:tcBorders>
            <w:shd w:val="clear" w:color="auto" w:fill="auto"/>
            <w:vAlign w:val="center"/>
          </w:tcPr>
          <w:p w14:paraId="2F2D0254"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7</w:t>
            </w:r>
          </w:p>
        </w:tc>
        <w:tc>
          <w:tcPr>
            <w:tcW w:w="588" w:type="dxa"/>
            <w:tcBorders>
              <w:left w:val="single" w:sz="4" w:space="0" w:color="auto"/>
              <w:right w:val="single" w:sz="4" w:space="0" w:color="auto"/>
            </w:tcBorders>
            <w:shd w:val="clear" w:color="auto" w:fill="auto"/>
            <w:vAlign w:val="center"/>
          </w:tcPr>
          <w:p w14:paraId="6CBF2170"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-8</w:t>
            </w:r>
          </w:p>
        </w:tc>
        <w:tc>
          <w:tcPr>
            <w:tcW w:w="652" w:type="dxa"/>
            <w:tcBorders>
              <w:left w:val="single" w:sz="4" w:space="0" w:color="auto"/>
              <w:right w:val="single" w:sz="4" w:space="0" w:color="auto"/>
            </w:tcBorders>
            <w:shd w:val="clear" w:color="auto" w:fill="auto"/>
            <w:vAlign w:val="center"/>
          </w:tcPr>
          <w:p w14:paraId="7B72A61E"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-4</w:t>
            </w:r>
          </w:p>
        </w:tc>
        <w:tc>
          <w:tcPr>
            <w:tcW w:w="635" w:type="dxa"/>
            <w:tcBorders>
              <w:left w:val="single" w:sz="4" w:space="0" w:color="auto"/>
              <w:right w:val="single" w:sz="4" w:space="0" w:color="auto"/>
            </w:tcBorders>
            <w:shd w:val="clear" w:color="auto" w:fill="auto"/>
            <w:vAlign w:val="center"/>
          </w:tcPr>
          <w:p w14:paraId="785BC468"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-5</w:t>
            </w:r>
          </w:p>
        </w:tc>
        <w:tc>
          <w:tcPr>
            <w:tcW w:w="630" w:type="dxa"/>
            <w:tcBorders>
              <w:left w:val="single" w:sz="4" w:space="0" w:color="auto"/>
              <w:right w:val="single" w:sz="4" w:space="0" w:color="auto"/>
            </w:tcBorders>
            <w:shd w:val="clear" w:color="auto" w:fill="auto"/>
            <w:vAlign w:val="center"/>
          </w:tcPr>
          <w:p w14:paraId="738ABF31"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122</w:t>
            </w:r>
          </w:p>
        </w:tc>
        <w:tc>
          <w:tcPr>
            <w:tcW w:w="528" w:type="dxa"/>
            <w:tcBorders>
              <w:left w:val="single" w:sz="4" w:space="0" w:color="auto"/>
              <w:right w:val="single" w:sz="4" w:space="0" w:color="auto"/>
            </w:tcBorders>
            <w:shd w:val="clear" w:color="auto" w:fill="auto"/>
            <w:vAlign w:val="center"/>
          </w:tcPr>
          <w:p w14:paraId="2CD5ACEB"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8</w:t>
            </w:r>
          </w:p>
        </w:tc>
        <w:tc>
          <w:tcPr>
            <w:tcW w:w="593" w:type="dxa"/>
            <w:tcBorders>
              <w:left w:val="single" w:sz="4" w:space="0" w:color="auto"/>
              <w:right w:val="single" w:sz="4" w:space="0" w:color="auto"/>
            </w:tcBorders>
            <w:shd w:val="clear" w:color="auto" w:fill="auto"/>
            <w:vAlign w:val="center"/>
          </w:tcPr>
          <w:p w14:paraId="1C577F6D"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2</w:t>
            </w:r>
          </w:p>
        </w:tc>
        <w:tc>
          <w:tcPr>
            <w:tcW w:w="574" w:type="dxa"/>
            <w:tcBorders>
              <w:left w:val="single" w:sz="4" w:space="0" w:color="auto"/>
              <w:right w:val="single" w:sz="4" w:space="0" w:color="auto"/>
            </w:tcBorders>
            <w:shd w:val="clear" w:color="auto" w:fill="auto"/>
            <w:vAlign w:val="center"/>
          </w:tcPr>
          <w:p w14:paraId="63C03A15"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w:t>
            </w:r>
          </w:p>
        </w:tc>
        <w:tc>
          <w:tcPr>
            <w:tcW w:w="528" w:type="dxa"/>
            <w:tcBorders>
              <w:left w:val="single" w:sz="4" w:space="0" w:color="auto"/>
              <w:right w:val="single" w:sz="4" w:space="0" w:color="auto"/>
            </w:tcBorders>
            <w:shd w:val="clear" w:color="auto" w:fill="auto"/>
            <w:vAlign w:val="center"/>
          </w:tcPr>
          <w:p w14:paraId="60812E63"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-3</w:t>
            </w:r>
          </w:p>
        </w:tc>
      </w:tr>
      <w:tr w:rsidR="00EF4A2D" w:rsidRPr="00EF4A2D" w14:paraId="59A72C3C" w14:textId="77777777" w:rsidTr="00B9606F">
        <w:trPr>
          <w:jc w:val="center"/>
        </w:trPr>
        <w:tc>
          <w:tcPr>
            <w:tcW w:w="3100" w:type="dxa"/>
            <w:tcBorders>
              <w:left w:val="single" w:sz="4" w:space="0" w:color="auto"/>
              <w:right w:val="single" w:sz="4" w:space="0" w:color="auto"/>
            </w:tcBorders>
            <w:shd w:val="clear" w:color="auto" w:fill="auto"/>
            <w:vAlign w:val="center"/>
          </w:tcPr>
          <w:p w14:paraId="0BC485E4" w14:textId="77777777" w:rsidR="00EF4A2D" w:rsidRPr="00EF4A2D" w:rsidRDefault="00EF4A2D" w:rsidP="00EF4A2D">
            <w:pPr>
              <w:ind w:left="170"/>
              <w:rPr>
                <w:rFonts w:eastAsia="Calibri"/>
                <w:sz w:val="14"/>
                <w:szCs w:val="14"/>
                <w:lang w:eastAsia="en-US"/>
              </w:rPr>
            </w:pPr>
            <w:r w:rsidRPr="00EF4A2D">
              <w:rPr>
                <w:rFonts w:eastAsia="Calibri"/>
                <w:sz w:val="14"/>
                <w:szCs w:val="14"/>
                <w:lang w:eastAsia="en-US"/>
              </w:rPr>
              <w:t>África excepto Sudáfrica</w:t>
            </w:r>
          </w:p>
        </w:tc>
        <w:tc>
          <w:tcPr>
            <w:tcW w:w="667" w:type="dxa"/>
            <w:tcBorders>
              <w:left w:val="single" w:sz="4" w:space="0" w:color="auto"/>
              <w:right w:val="single" w:sz="4" w:space="0" w:color="auto"/>
            </w:tcBorders>
            <w:shd w:val="clear" w:color="auto" w:fill="auto"/>
            <w:vAlign w:val="center"/>
          </w:tcPr>
          <w:p w14:paraId="0D514137"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466</w:t>
            </w:r>
          </w:p>
        </w:tc>
        <w:tc>
          <w:tcPr>
            <w:tcW w:w="588" w:type="dxa"/>
            <w:tcBorders>
              <w:left w:val="single" w:sz="4" w:space="0" w:color="auto"/>
              <w:right w:val="single" w:sz="4" w:space="0" w:color="auto"/>
            </w:tcBorders>
            <w:shd w:val="clear" w:color="auto" w:fill="auto"/>
            <w:vAlign w:val="center"/>
          </w:tcPr>
          <w:p w14:paraId="013F961A"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7</w:t>
            </w:r>
          </w:p>
        </w:tc>
        <w:tc>
          <w:tcPr>
            <w:tcW w:w="588" w:type="dxa"/>
            <w:tcBorders>
              <w:left w:val="single" w:sz="4" w:space="0" w:color="auto"/>
              <w:right w:val="single" w:sz="4" w:space="0" w:color="auto"/>
            </w:tcBorders>
            <w:shd w:val="clear" w:color="auto" w:fill="auto"/>
            <w:vAlign w:val="center"/>
          </w:tcPr>
          <w:p w14:paraId="7F6E22FB"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8</w:t>
            </w:r>
          </w:p>
        </w:tc>
        <w:tc>
          <w:tcPr>
            <w:tcW w:w="652" w:type="dxa"/>
            <w:tcBorders>
              <w:left w:val="single" w:sz="4" w:space="0" w:color="auto"/>
              <w:right w:val="single" w:sz="4" w:space="0" w:color="auto"/>
            </w:tcBorders>
            <w:shd w:val="clear" w:color="auto" w:fill="auto"/>
            <w:vAlign w:val="center"/>
          </w:tcPr>
          <w:p w14:paraId="3F40F896"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-6</w:t>
            </w:r>
          </w:p>
        </w:tc>
        <w:tc>
          <w:tcPr>
            <w:tcW w:w="635" w:type="dxa"/>
            <w:tcBorders>
              <w:left w:val="single" w:sz="4" w:space="0" w:color="auto"/>
              <w:right w:val="single" w:sz="4" w:space="0" w:color="auto"/>
            </w:tcBorders>
            <w:shd w:val="clear" w:color="auto" w:fill="auto"/>
            <w:vAlign w:val="center"/>
          </w:tcPr>
          <w:p w14:paraId="3A8D6C2F"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-8</w:t>
            </w:r>
          </w:p>
        </w:tc>
        <w:tc>
          <w:tcPr>
            <w:tcW w:w="630" w:type="dxa"/>
            <w:tcBorders>
              <w:left w:val="single" w:sz="4" w:space="0" w:color="auto"/>
              <w:right w:val="single" w:sz="4" w:space="0" w:color="auto"/>
            </w:tcBorders>
            <w:shd w:val="clear" w:color="auto" w:fill="auto"/>
            <w:vAlign w:val="center"/>
          </w:tcPr>
          <w:p w14:paraId="5E7C0ACF"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525</w:t>
            </w:r>
          </w:p>
        </w:tc>
        <w:tc>
          <w:tcPr>
            <w:tcW w:w="528" w:type="dxa"/>
            <w:tcBorders>
              <w:left w:val="single" w:sz="4" w:space="0" w:color="auto"/>
              <w:right w:val="single" w:sz="4" w:space="0" w:color="auto"/>
            </w:tcBorders>
            <w:shd w:val="clear" w:color="auto" w:fill="auto"/>
            <w:vAlign w:val="center"/>
          </w:tcPr>
          <w:p w14:paraId="57B788D4"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12</w:t>
            </w:r>
          </w:p>
        </w:tc>
        <w:tc>
          <w:tcPr>
            <w:tcW w:w="593" w:type="dxa"/>
            <w:tcBorders>
              <w:left w:val="single" w:sz="4" w:space="0" w:color="auto"/>
              <w:right w:val="single" w:sz="4" w:space="0" w:color="auto"/>
            </w:tcBorders>
            <w:shd w:val="clear" w:color="auto" w:fill="auto"/>
            <w:vAlign w:val="center"/>
          </w:tcPr>
          <w:p w14:paraId="370920DB"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11</w:t>
            </w:r>
          </w:p>
        </w:tc>
        <w:tc>
          <w:tcPr>
            <w:tcW w:w="574" w:type="dxa"/>
            <w:tcBorders>
              <w:left w:val="single" w:sz="4" w:space="0" w:color="auto"/>
              <w:right w:val="single" w:sz="4" w:space="0" w:color="auto"/>
            </w:tcBorders>
            <w:shd w:val="clear" w:color="auto" w:fill="auto"/>
            <w:vAlign w:val="center"/>
          </w:tcPr>
          <w:p w14:paraId="743E445A"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4</w:t>
            </w:r>
          </w:p>
        </w:tc>
        <w:tc>
          <w:tcPr>
            <w:tcW w:w="528" w:type="dxa"/>
            <w:tcBorders>
              <w:left w:val="single" w:sz="4" w:space="0" w:color="auto"/>
              <w:right w:val="single" w:sz="4" w:space="0" w:color="auto"/>
            </w:tcBorders>
            <w:shd w:val="clear" w:color="auto" w:fill="auto"/>
            <w:vAlign w:val="center"/>
          </w:tcPr>
          <w:p w14:paraId="13D125E3"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3</w:t>
            </w:r>
          </w:p>
        </w:tc>
      </w:tr>
      <w:tr w:rsidR="00EF4A2D" w:rsidRPr="00EF4A2D" w14:paraId="22595CCB" w14:textId="77777777" w:rsidTr="00B9606F">
        <w:trPr>
          <w:jc w:val="center"/>
        </w:trPr>
        <w:tc>
          <w:tcPr>
            <w:tcW w:w="3100" w:type="dxa"/>
            <w:tcBorders>
              <w:left w:val="single" w:sz="4" w:space="0" w:color="auto"/>
              <w:right w:val="single" w:sz="4" w:space="0" w:color="auto"/>
            </w:tcBorders>
            <w:shd w:val="clear" w:color="auto" w:fill="auto"/>
            <w:vAlign w:val="center"/>
          </w:tcPr>
          <w:p w14:paraId="7D58F187" w14:textId="77777777" w:rsidR="00EF4A2D" w:rsidRPr="00EF4A2D" w:rsidRDefault="00EF4A2D" w:rsidP="00EF4A2D">
            <w:pPr>
              <w:ind w:left="284"/>
              <w:rPr>
                <w:rFonts w:eastAsia="Calibri"/>
                <w:sz w:val="14"/>
                <w:szCs w:val="14"/>
                <w:lang w:eastAsia="en-US"/>
              </w:rPr>
            </w:pPr>
            <w:r w:rsidRPr="00EF4A2D">
              <w:rPr>
                <w:rFonts w:eastAsia="Calibri"/>
                <w:sz w:val="14"/>
                <w:szCs w:val="14"/>
                <w:lang w:eastAsia="en-US"/>
              </w:rPr>
              <w:t xml:space="preserve">Países exportadores de </w:t>
            </w:r>
            <w:proofErr w:type="spellStart"/>
            <w:r w:rsidRPr="00EF4A2D">
              <w:rPr>
                <w:rFonts w:eastAsia="Calibri"/>
                <w:sz w:val="14"/>
                <w:szCs w:val="14"/>
                <w:lang w:eastAsia="en-US"/>
              </w:rPr>
              <w:t>petróleo</w:t>
            </w:r>
            <w:r w:rsidRPr="00EF4A2D">
              <w:rPr>
                <w:rFonts w:eastAsia="Calibri"/>
                <w:sz w:val="14"/>
                <w:szCs w:val="14"/>
                <w:u w:val="single"/>
                <w:vertAlign w:val="superscript"/>
                <w:lang w:eastAsia="en-US"/>
              </w:rPr>
              <w:t>c</w:t>
            </w:r>
            <w:proofErr w:type="spellEnd"/>
            <w:r w:rsidRPr="00EF4A2D">
              <w:rPr>
                <w:rFonts w:eastAsia="Calibri"/>
                <w:sz w:val="14"/>
                <w:szCs w:val="14"/>
                <w:vertAlign w:val="superscript"/>
                <w:lang w:eastAsia="en-US"/>
              </w:rPr>
              <w:t>/</w:t>
            </w:r>
          </w:p>
        </w:tc>
        <w:tc>
          <w:tcPr>
            <w:tcW w:w="667" w:type="dxa"/>
            <w:tcBorders>
              <w:left w:val="single" w:sz="4" w:space="0" w:color="auto"/>
              <w:right w:val="single" w:sz="4" w:space="0" w:color="auto"/>
            </w:tcBorders>
            <w:shd w:val="clear" w:color="auto" w:fill="auto"/>
            <w:vAlign w:val="center"/>
          </w:tcPr>
          <w:p w14:paraId="5836D249"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286</w:t>
            </w:r>
          </w:p>
        </w:tc>
        <w:tc>
          <w:tcPr>
            <w:tcW w:w="588" w:type="dxa"/>
            <w:tcBorders>
              <w:left w:val="single" w:sz="4" w:space="0" w:color="auto"/>
              <w:right w:val="single" w:sz="4" w:space="0" w:color="auto"/>
            </w:tcBorders>
            <w:shd w:val="clear" w:color="auto" w:fill="auto"/>
            <w:vAlign w:val="center"/>
          </w:tcPr>
          <w:p w14:paraId="4A2E194E"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5</w:t>
            </w:r>
          </w:p>
        </w:tc>
        <w:tc>
          <w:tcPr>
            <w:tcW w:w="588" w:type="dxa"/>
            <w:tcBorders>
              <w:left w:val="single" w:sz="4" w:space="0" w:color="auto"/>
              <w:right w:val="single" w:sz="4" w:space="0" w:color="auto"/>
            </w:tcBorders>
            <w:shd w:val="clear" w:color="auto" w:fill="auto"/>
            <w:vAlign w:val="center"/>
          </w:tcPr>
          <w:p w14:paraId="658D968E"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12</w:t>
            </w:r>
          </w:p>
        </w:tc>
        <w:tc>
          <w:tcPr>
            <w:tcW w:w="652" w:type="dxa"/>
            <w:tcBorders>
              <w:left w:val="single" w:sz="4" w:space="0" w:color="auto"/>
              <w:right w:val="single" w:sz="4" w:space="0" w:color="auto"/>
            </w:tcBorders>
            <w:shd w:val="clear" w:color="auto" w:fill="auto"/>
            <w:vAlign w:val="center"/>
          </w:tcPr>
          <w:p w14:paraId="03D5C1E5"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-11</w:t>
            </w:r>
          </w:p>
        </w:tc>
        <w:tc>
          <w:tcPr>
            <w:tcW w:w="635" w:type="dxa"/>
            <w:tcBorders>
              <w:left w:val="single" w:sz="4" w:space="0" w:color="auto"/>
              <w:right w:val="single" w:sz="4" w:space="0" w:color="auto"/>
            </w:tcBorders>
            <w:shd w:val="clear" w:color="auto" w:fill="auto"/>
            <w:vAlign w:val="center"/>
          </w:tcPr>
          <w:p w14:paraId="3A7C2EC8"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-13</w:t>
            </w:r>
          </w:p>
        </w:tc>
        <w:tc>
          <w:tcPr>
            <w:tcW w:w="630" w:type="dxa"/>
            <w:tcBorders>
              <w:left w:val="single" w:sz="4" w:space="0" w:color="auto"/>
              <w:right w:val="single" w:sz="4" w:space="0" w:color="auto"/>
            </w:tcBorders>
            <w:shd w:val="clear" w:color="auto" w:fill="auto"/>
            <w:vAlign w:val="center"/>
          </w:tcPr>
          <w:p w14:paraId="491B7829"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206</w:t>
            </w:r>
          </w:p>
        </w:tc>
        <w:tc>
          <w:tcPr>
            <w:tcW w:w="528" w:type="dxa"/>
            <w:tcBorders>
              <w:left w:val="single" w:sz="4" w:space="0" w:color="auto"/>
              <w:right w:val="single" w:sz="4" w:space="0" w:color="auto"/>
            </w:tcBorders>
            <w:shd w:val="clear" w:color="auto" w:fill="auto"/>
            <w:vAlign w:val="center"/>
          </w:tcPr>
          <w:p w14:paraId="3DDD9E01"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13</w:t>
            </w:r>
          </w:p>
        </w:tc>
        <w:tc>
          <w:tcPr>
            <w:tcW w:w="593" w:type="dxa"/>
            <w:tcBorders>
              <w:left w:val="single" w:sz="4" w:space="0" w:color="auto"/>
              <w:right w:val="single" w:sz="4" w:space="0" w:color="auto"/>
            </w:tcBorders>
            <w:shd w:val="clear" w:color="auto" w:fill="auto"/>
            <w:vAlign w:val="center"/>
          </w:tcPr>
          <w:p w14:paraId="7A034F6C"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10</w:t>
            </w:r>
          </w:p>
        </w:tc>
        <w:tc>
          <w:tcPr>
            <w:tcW w:w="574" w:type="dxa"/>
            <w:tcBorders>
              <w:left w:val="single" w:sz="4" w:space="0" w:color="auto"/>
              <w:right w:val="single" w:sz="4" w:space="0" w:color="auto"/>
            </w:tcBorders>
            <w:shd w:val="clear" w:color="auto" w:fill="auto"/>
            <w:vAlign w:val="center"/>
          </w:tcPr>
          <w:p w14:paraId="6C0AD1E0"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10</w:t>
            </w:r>
          </w:p>
        </w:tc>
        <w:tc>
          <w:tcPr>
            <w:tcW w:w="528" w:type="dxa"/>
            <w:tcBorders>
              <w:left w:val="single" w:sz="4" w:space="0" w:color="auto"/>
              <w:right w:val="single" w:sz="4" w:space="0" w:color="auto"/>
            </w:tcBorders>
            <w:shd w:val="clear" w:color="auto" w:fill="auto"/>
            <w:vAlign w:val="center"/>
          </w:tcPr>
          <w:p w14:paraId="76227116"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3</w:t>
            </w:r>
          </w:p>
        </w:tc>
      </w:tr>
      <w:tr w:rsidR="00EF4A2D" w:rsidRPr="00EF4A2D" w14:paraId="30C6F9D3" w14:textId="77777777" w:rsidTr="00B9606F">
        <w:trPr>
          <w:jc w:val="center"/>
        </w:trPr>
        <w:tc>
          <w:tcPr>
            <w:tcW w:w="3100" w:type="dxa"/>
            <w:tcBorders>
              <w:left w:val="single" w:sz="4" w:space="0" w:color="auto"/>
              <w:right w:val="single" w:sz="4" w:space="0" w:color="auto"/>
            </w:tcBorders>
            <w:shd w:val="clear" w:color="auto" w:fill="auto"/>
            <w:vAlign w:val="center"/>
          </w:tcPr>
          <w:p w14:paraId="59499EB4" w14:textId="77777777" w:rsidR="00EF4A2D" w:rsidRPr="00EF4A2D" w:rsidRDefault="00EF4A2D" w:rsidP="00EF4A2D">
            <w:pPr>
              <w:spacing w:after="120"/>
              <w:ind w:left="284"/>
              <w:rPr>
                <w:rFonts w:eastAsia="Calibri"/>
                <w:sz w:val="14"/>
                <w:szCs w:val="14"/>
                <w:lang w:eastAsia="en-US"/>
              </w:rPr>
            </w:pPr>
            <w:r w:rsidRPr="00EF4A2D">
              <w:rPr>
                <w:rFonts w:eastAsia="Calibri"/>
                <w:sz w:val="14"/>
                <w:szCs w:val="14"/>
                <w:lang w:eastAsia="en-US"/>
              </w:rPr>
              <w:t>Países no exportadores de petróleo</w:t>
            </w:r>
          </w:p>
        </w:tc>
        <w:tc>
          <w:tcPr>
            <w:tcW w:w="667" w:type="dxa"/>
            <w:tcBorders>
              <w:left w:val="single" w:sz="4" w:space="0" w:color="auto"/>
              <w:right w:val="single" w:sz="4" w:space="0" w:color="auto"/>
            </w:tcBorders>
            <w:shd w:val="clear" w:color="auto" w:fill="auto"/>
            <w:vAlign w:val="center"/>
          </w:tcPr>
          <w:p w14:paraId="785A39C0" w14:textId="77777777" w:rsidR="00EF4A2D" w:rsidRPr="00EF4A2D" w:rsidRDefault="00EF4A2D" w:rsidP="00EF4A2D">
            <w:pPr>
              <w:spacing w:after="120"/>
              <w:jc w:val="right"/>
              <w:rPr>
                <w:rFonts w:eastAsia="Calibri"/>
                <w:sz w:val="14"/>
                <w:szCs w:val="14"/>
                <w:lang w:eastAsia="en-US"/>
              </w:rPr>
            </w:pPr>
            <w:r w:rsidRPr="00EF4A2D">
              <w:rPr>
                <w:rFonts w:eastAsia="Calibri"/>
                <w:sz w:val="14"/>
                <w:szCs w:val="14"/>
                <w:lang w:eastAsia="en-US"/>
              </w:rPr>
              <w:t>180</w:t>
            </w:r>
          </w:p>
        </w:tc>
        <w:tc>
          <w:tcPr>
            <w:tcW w:w="588" w:type="dxa"/>
            <w:tcBorders>
              <w:left w:val="single" w:sz="4" w:space="0" w:color="auto"/>
              <w:right w:val="single" w:sz="4" w:space="0" w:color="auto"/>
            </w:tcBorders>
            <w:shd w:val="clear" w:color="auto" w:fill="auto"/>
            <w:vAlign w:val="center"/>
          </w:tcPr>
          <w:p w14:paraId="38667D33"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9</w:t>
            </w:r>
          </w:p>
        </w:tc>
        <w:tc>
          <w:tcPr>
            <w:tcW w:w="588" w:type="dxa"/>
            <w:tcBorders>
              <w:left w:val="single" w:sz="4" w:space="0" w:color="auto"/>
              <w:right w:val="single" w:sz="4" w:space="0" w:color="auto"/>
            </w:tcBorders>
            <w:shd w:val="clear" w:color="auto" w:fill="auto"/>
            <w:vAlign w:val="center"/>
          </w:tcPr>
          <w:p w14:paraId="4EDDF082"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1</w:t>
            </w:r>
          </w:p>
        </w:tc>
        <w:tc>
          <w:tcPr>
            <w:tcW w:w="652" w:type="dxa"/>
            <w:tcBorders>
              <w:left w:val="single" w:sz="4" w:space="0" w:color="auto"/>
              <w:right w:val="single" w:sz="4" w:space="0" w:color="auto"/>
            </w:tcBorders>
            <w:shd w:val="clear" w:color="auto" w:fill="auto"/>
            <w:vAlign w:val="center"/>
          </w:tcPr>
          <w:p w14:paraId="3360830B"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3</w:t>
            </w:r>
          </w:p>
        </w:tc>
        <w:tc>
          <w:tcPr>
            <w:tcW w:w="635" w:type="dxa"/>
            <w:tcBorders>
              <w:left w:val="single" w:sz="4" w:space="0" w:color="auto"/>
              <w:right w:val="single" w:sz="4" w:space="0" w:color="auto"/>
            </w:tcBorders>
            <w:shd w:val="clear" w:color="auto" w:fill="auto"/>
            <w:vAlign w:val="center"/>
          </w:tcPr>
          <w:p w14:paraId="18901258"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1</w:t>
            </w:r>
          </w:p>
        </w:tc>
        <w:tc>
          <w:tcPr>
            <w:tcW w:w="630" w:type="dxa"/>
            <w:tcBorders>
              <w:left w:val="single" w:sz="4" w:space="0" w:color="auto"/>
              <w:right w:val="single" w:sz="4" w:space="0" w:color="auto"/>
            </w:tcBorders>
            <w:shd w:val="clear" w:color="auto" w:fill="auto"/>
            <w:vAlign w:val="center"/>
          </w:tcPr>
          <w:p w14:paraId="6A1C692C" w14:textId="77777777" w:rsidR="00EF4A2D" w:rsidRPr="00EF4A2D" w:rsidRDefault="00EF4A2D" w:rsidP="00EF4A2D">
            <w:pPr>
              <w:spacing w:after="120"/>
              <w:jc w:val="right"/>
              <w:rPr>
                <w:rFonts w:eastAsia="Calibri"/>
                <w:sz w:val="14"/>
                <w:szCs w:val="14"/>
                <w:lang w:eastAsia="en-US"/>
              </w:rPr>
            </w:pPr>
            <w:r w:rsidRPr="00EF4A2D">
              <w:rPr>
                <w:rFonts w:eastAsia="Calibri"/>
                <w:sz w:val="14"/>
                <w:szCs w:val="14"/>
                <w:lang w:eastAsia="en-US"/>
              </w:rPr>
              <w:t>320</w:t>
            </w:r>
          </w:p>
        </w:tc>
        <w:tc>
          <w:tcPr>
            <w:tcW w:w="528" w:type="dxa"/>
            <w:tcBorders>
              <w:left w:val="single" w:sz="4" w:space="0" w:color="auto"/>
              <w:right w:val="single" w:sz="4" w:space="0" w:color="auto"/>
            </w:tcBorders>
            <w:shd w:val="clear" w:color="auto" w:fill="auto"/>
            <w:vAlign w:val="center"/>
          </w:tcPr>
          <w:p w14:paraId="5EFBA775"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11</w:t>
            </w:r>
          </w:p>
        </w:tc>
        <w:tc>
          <w:tcPr>
            <w:tcW w:w="593" w:type="dxa"/>
            <w:tcBorders>
              <w:left w:val="single" w:sz="4" w:space="0" w:color="auto"/>
              <w:right w:val="single" w:sz="4" w:space="0" w:color="auto"/>
            </w:tcBorders>
            <w:shd w:val="clear" w:color="auto" w:fill="auto"/>
            <w:vAlign w:val="center"/>
          </w:tcPr>
          <w:p w14:paraId="7754119C"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11</w:t>
            </w:r>
          </w:p>
        </w:tc>
        <w:tc>
          <w:tcPr>
            <w:tcW w:w="574" w:type="dxa"/>
            <w:tcBorders>
              <w:left w:val="single" w:sz="4" w:space="0" w:color="auto"/>
              <w:right w:val="single" w:sz="4" w:space="0" w:color="auto"/>
            </w:tcBorders>
            <w:shd w:val="clear" w:color="auto" w:fill="auto"/>
            <w:vAlign w:val="center"/>
          </w:tcPr>
          <w:p w14:paraId="6F349344"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0</w:t>
            </w:r>
          </w:p>
        </w:tc>
        <w:tc>
          <w:tcPr>
            <w:tcW w:w="528" w:type="dxa"/>
            <w:tcBorders>
              <w:left w:val="single" w:sz="4" w:space="0" w:color="auto"/>
              <w:right w:val="single" w:sz="4" w:space="0" w:color="auto"/>
            </w:tcBorders>
            <w:shd w:val="clear" w:color="auto" w:fill="auto"/>
            <w:vAlign w:val="center"/>
          </w:tcPr>
          <w:p w14:paraId="4F0292CF"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4</w:t>
            </w:r>
          </w:p>
        </w:tc>
      </w:tr>
      <w:tr w:rsidR="00EF4A2D" w:rsidRPr="00EF4A2D" w14:paraId="3911A1F2" w14:textId="77777777" w:rsidTr="00B9606F">
        <w:trPr>
          <w:jc w:val="center"/>
        </w:trPr>
        <w:tc>
          <w:tcPr>
            <w:tcW w:w="3100" w:type="dxa"/>
            <w:tcBorders>
              <w:left w:val="single" w:sz="4" w:space="0" w:color="auto"/>
              <w:right w:val="single" w:sz="4" w:space="0" w:color="auto"/>
            </w:tcBorders>
            <w:shd w:val="clear" w:color="auto" w:fill="auto"/>
            <w:vAlign w:val="center"/>
          </w:tcPr>
          <w:p w14:paraId="5C6AD956" w14:textId="77777777" w:rsidR="00EF4A2D" w:rsidRPr="00EF4A2D" w:rsidRDefault="00EF4A2D" w:rsidP="00EF4A2D">
            <w:pPr>
              <w:rPr>
                <w:rFonts w:eastAsia="Calibri"/>
                <w:b/>
                <w:sz w:val="14"/>
                <w:szCs w:val="14"/>
                <w:lang w:eastAsia="en-US"/>
              </w:rPr>
            </w:pPr>
            <w:r w:rsidRPr="00EF4A2D">
              <w:rPr>
                <w:rFonts w:eastAsia="Calibri"/>
                <w:b/>
                <w:sz w:val="14"/>
                <w:szCs w:val="14"/>
                <w:lang w:eastAsia="en-US"/>
              </w:rPr>
              <w:t>Oriente Medio</w:t>
            </w:r>
          </w:p>
        </w:tc>
        <w:tc>
          <w:tcPr>
            <w:tcW w:w="667" w:type="dxa"/>
            <w:tcBorders>
              <w:left w:val="single" w:sz="4" w:space="0" w:color="auto"/>
              <w:right w:val="single" w:sz="4" w:space="0" w:color="auto"/>
            </w:tcBorders>
            <w:shd w:val="clear" w:color="auto" w:fill="auto"/>
            <w:vAlign w:val="center"/>
          </w:tcPr>
          <w:p w14:paraId="0A208F3D" w14:textId="77777777" w:rsidR="00EF4A2D" w:rsidRPr="00EF4A2D" w:rsidRDefault="00EF4A2D" w:rsidP="00EF4A2D">
            <w:pPr>
              <w:jc w:val="right"/>
              <w:rPr>
                <w:rFonts w:eastAsia="Calibri"/>
                <w:b/>
                <w:sz w:val="14"/>
                <w:szCs w:val="14"/>
                <w:lang w:eastAsia="en-US"/>
              </w:rPr>
            </w:pPr>
            <w:r w:rsidRPr="00EF4A2D">
              <w:rPr>
                <w:rFonts w:eastAsia="Calibri"/>
                <w:b/>
                <w:sz w:val="14"/>
                <w:szCs w:val="14"/>
                <w:lang w:eastAsia="en-US"/>
              </w:rPr>
              <w:t>1 293</w:t>
            </w:r>
          </w:p>
        </w:tc>
        <w:tc>
          <w:tcPr>
            <w:tcW w:w="588" w:type="dxa"/>
            <w:tcBorders>
              <w:left w:val="single" w:sz="4" w:space="0" w:color="auto"/>
              <w:right w:val="single" w:sz="4" w:space="0" w:color="auto"/>
            </w:tcBorders>
            <w:shd w:val="clear" w:color="auto" w:fill="auto"/>
            <w:vAlign w:val="center"/>
          </w:tcPr>
          <w:p w14:paraId="1E23C638"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10</w:t>
            </w:r>
          </w:p>
        </w:tc>
        <w:tc>
          <w:tcPr>
            <w:tcW w:w="588" w:type="dxa"/>
            <w:tcBorders>
              <w:left w:val="single" w:sz="4" w:space="0" w:color="auto"/>
              <w:right w:val="single" w:sz="4" w:space="0" w:color="auto"/>
            </w:tcBorders>
            <w:shd w:val="clear" w:color="auto" w:fill="auto"/>
            <w:vAlign w:val="center"/>
          </w:tcPr>
          <w:p w14:paraId="5D780884"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6</w:t>
            </w:r>
          </w:p>
        </w:tc>
        <w:tc>
          <w:tcPr>
            <w:tcW w:w="652" w:type="dxa"/>
            <w:tcBorders>
              <w:left w:val="single" w:sz="4" w:space="0" w:color="auto"/>
              <w:right w:val="single" w:sz="4" w:space="0" w:color="auto"/>
            </w:tcBorders>
            <w:shd w:val="clear" w:color="auto" w:fill="auto"/>
            <w:vAlign w:val="center"/>
          </w:tcPr>
          <w:p w14:paraId="60EB964E"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0</w:t>
            </w:r>
          </w:p>
        </w:tc>
        <w:tc>
          <w:tcPr>
            <w:tcW w:w="635" w:type="dxa"/>
            <w:tcBorders>
              <w:left w:val="single" w:sz="4" w:space="0" w:color="auto"/>
              <w:right w:val="single" w:sz="4" w:space="0" w:color="auto"/>
            </w:tcBorders>
            <w:shd w:val="clear" w:color="auto" w:fill="auto"/>
            <w:vAlign w:val="center"/>
          </w:tcPr>
          <w:p w14:paraId="48F20CD2" w14:textId="77777777" w:rsidR="00EF4A2D" w:rsidRPr="00EF4A2D" w:rsidRDefault="00EF4A2D" w:rsidP="00EF4A2D">
            <w:pPr>
              <w:ind w:right="113"/>
              <w:jc w:val="right"/>
              <w:rPr>
                <w:rFonts w:eastAsia="Calibri"/>
                <w:b/>
                <w:sz w:val="14"/>
                <w:szCs w:val="14"/>
                <w:lang w:eastAsia="en-US"/>
              </w:rPr>
            </w:pPr>
            <w:r w:rsidRPr="00EF4A2D">
              <w:rPr>
                <w:rFonts w:eastAsia="Calibri"/>
                <w:b/>
                <w:sz w:val="14"/>
                <w:szCs w:val="14"/>
                <w:lang w:eastAsia="en-US"/>
              </w:rPr>
              <w:t>-4</w:t>
            </w:r>
          </w:p>
        </w:tc>
        <w:tc>
          <w:tcPr>
            <w:tcW w:w="630" w:type="dxa"/>
            <w:tcBorders>
              <w:left w:val="single" w:sz="4" w:space="0" w:color="auto"/>
              <w:right w:val="single" w:sz="4" w:space="0" w:color="auto"/>
            </w:tcBorders>
            <w:shd w:val="clear" w:color="auto" w:fill="auto"/>
            <w:vAlign w:val="center"/>
          </w:tcPr>
          <w:p w14:paraId="08E2B001" w14:textId="77777777" w:rsidR="00EF4A2D" w:rsidRPr="00EF4A2D" w:rsidRDefault="00EF4A2D" w:rsidP="00EF4A2D">
            <w:pPr>
              <w:jc w:val="right"/>
              <w:rPr>
                <w:rFonts w:eastAsia="Calibri"/>
                <w:b/>
                <w:sz w:val="14"/>
                <w:szCs w:val="14"/>
                <w:lang w:eastAsia="en-US"/>
              </w:rPr>
            </w:pPr>
            <w:r w:rsidRPr="00EF4A2D">
              <w:rPr>
                <w:rFonts w:eastAsia="Calibri"/>
                <w:b/>
                <w:sz w:val="14"/>
                <w:szCs w:val="14"/>
                <w:lang w:eastAsia="en-US"/>
              </w:rPr>
              <w:t>790</w:t>
            </w:r>
          </w:p>
        </w:tc>
        <w:tc>
          <w:tcPr>
            <w:tcW w:w="528" w:type="dxa"/>
            <w:tcBorders>
              <w:left w:val="single" w:sz="4" w:space="0" w:color="auto"/>
              <w:right w:val="single" w:sz="4" w:space="0" w:color="auto"/>
            </w:tcBorders>
            <w:shd w:val="clear" w:color="auto" w:fill="auto"/>
            <w:vAlign w:val="center"/>
          </w:tcPr>
          <w:p w14:paraId="7B86D66C"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10</w:t>
            </w:r>
          </w:p>
        </w:tc>
        <w:tc>
          <w:tcPr>
            <w:tcW w:w="593" w:type="dxa"/>
            <w:tcBorders>
              <w:left w:val="single" w:sz="4" w:space="0" w:color="auto"/>
              <w:right w:val="single" w:sz="4" w:space="0" w:color="auto"/>
            </w:tcBorders>
            <w:shd w:val="clear" w:color="auto" w:fill="auto"/>
            <w:vAlign w:val="center"/>
          </w:tcPr>
          <w:p w14:paraId="7EDCF90C"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8</w:t>
            </w:r>
          </w:p>
        </w:tc>
        <w:tc>
          <w:tcPr>
            <w:tcW w:w="574" w:type="dxa"/>
            <w:tcBorders>
              <w:left w:val="single" w:sz="4" w:space="0" w:color="auto"/>
              <w:right w:val="single" w:sz="4" w:space="0" w:color="auto"/>
            </w:tcBorders>
            <w:shd w:val="clear" w:color="auto" w:fill="auto"/>
            <w:vAlign w:val="center"/>
          </w:tcPr>
          <w:p w14:paraId="7E4B3F76"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6</w:t>
            </w:r>
          </w:p>
        </w:tc>
        <w:tc>
          <w:tcPr>
            <w:tcW w:w="528" w:type="dxa"/>
            <w:tcBorders>
              <w:left w:val="single" w:sz="4" w:space="0" w:color="auto"/>
              <w:right w:val="single" w:sz="4" w:space="0" w:color="auto"/>
            </w:tcBorders>
            <w:shd w:val="clear" w:color="auto" w:fill="auto"/>
            <w:vAlign w:val="center"/>
          </w:tcPr>
          <w:p w14:paraId="27CE86AF" w14:textId="77777777" w:rsidR="00EF4A2D" w:rsidRPr="00EF4A2D" w:rsidRDefault="00EF4A2D" w:rsidP="00EF4A2D">
            <w:pPr>
              <w:ind w:right="57"/>
              <w:jc w:val="right"/>
              <w:rPr>
                <w:rFonts w:eastAsia="Calibri"/>
                <w:b/>
                <w:sz w:val="14"/>
                <w:szCs w:val="14"/>
                <w:lang w:eastAsia="en-US"/>
              </w:rPr>
            </w:pPr>
            <w:r w:rsidRPr="00EF4A2D">
              <w:rPr>
                <w:rFonts w:eastAsia="Calibri"/>
                <w:b/>
                <w:sz w:val="14"/>
                <w:szCs w:val="14"/>
                <w:lang w:eastAsia="en-US"/>
              </w:rPr>
              <w:t>1</w:t>
            </w:r>
          </w:p>
        </w:tc>
      </w:tr>
      <w:tr w:rsidR="00EF4A2D" w:rsidRPr="00EF4A2D" w14:paraId="3B365E2F" w14:textId="77777777" w:rsidTr="00B9606F">
        <w:trPr>
          <w:jc w:val="center"/>
        </w:trPr>
        <w:tc>
          <w:tcPr>
            <w:tcW w:w="3100" w:type="dxa"/>
            <w:tcBorders>
              <w:left w:val="single" w:sz="4" w:space="0" w:color="auto"/>
              <w:right w:val="single" w:sz="4" w:space="0" w:color="auto"/>
            </w:tcBorders>
            <w:shd w:val="clear" w:color="auto" w:fill="auto"/>
            <w:vAlign w:val="center"/>
          </w:tcPr>
          <w:p w14:paraId="747E877E" w14:textId="77777777" w:rsidR="00EF4A2D" w:rsidRPr="00EF4A2D" w:rsidRDefault="00EF4A2D" w:rsidP="00EF4A2D">
            <w:pPr>
              <w:ind w:left="170"/>
              <w:rPr>
                <w:rFonts w:eastAsia="Calibri"/>
                <w:sz w:val="14"/>
                <w:szCs w:val="14"/>
                <w:lang w:eastAsia="en-US"/>
              </w:rPr>
            </w:pPr>
            <w:r w:rsidRPr="00EF4A2D">
              <w:rPr>
                <w:rFonts w:eastAsia="Calibri"/>
                <w:sz w:val="14"/>
                <w:szCs w:val="14"/>
                <w:lang w:eastAsia="en-US"/>
              </w:rPr>
              <w:t>Asia</w:t>
            </w:r>
          </w:p>
        </w:tc>
        <w:tc>
          <w:tcPr>
            <w:tcW w:w="667" w:type="dxa"/>
            <w:tcBorders>
              <w:left w:val="single" w:sz="4" w:space="0" w:color="auto"/>
              <w:right w:val="single" w:sz="4" w:space="0" w:color="auto"/>
            </w:tcBorders>
            <w:shd w:val="clear" w:color="auto" w:fill="auto"/>
            <w:vAlign w:val="center"/>
          </w:tcPr>
          <w:p w14:paraId="3520F106"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5 916</w:t>
            </w:r>
          </w:p>
        </w:tc>
        <w:tc>
          <w:tcPr>
            <w:tcW w:w="588" w:type="dxa"/>
            <w:tcBorders>
              <w:left w:val="single" w:sz="4" w:space="0" w:color="auto"/>
              <w:right w:val="single" w:sz="4" w:space="0" w:color="auto"/>
            </w:tcBorders>
            <w:shd w:val="clear" w:color="auto" w:fill="auto"/>
            <w:vAlign w:val="center"/>
          </w:tcPr>
          <w:p w14:paraId="4BCB3D95"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9</w:t>
            </w:r>
          </w:p>
        </w:tc>
        <w:tc>
          <w:tcPr>
            <w:tcW w:w="588" w:type="dxa"/>
            <w:tcBorders>
              <w:left w:val="single" w:sz="4" w:space="0" w:color="auto"/>
              <w:right w:val="single" w:sz="4" w:space="0" w:color="auto"/>
            </w:tcBorders>
            <w:shd w:val="clear" w:color="auto" w:fill="auto"/>
            <w:vAlign w:val="center"/>
          </w:tcPr>
          <w:p w14:paraId="4F066521"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2</w:t>
            </w:r>
          </w:p>
        </w:tc>
        <w:tc>
          <w:tcPr>
            <w:tcW w:w="652" w:type="dxa"/>
            <w:tcBorders>
              <w:left w:val="single" w:sz="4" w:space="0" w:color="auto"/>
              <w:right w:val="single" w:sz="4" w:space="0" w:color="auto"/>
            </w:tcBorders>
            <w:shd w:val="clear" w:color="auto" w:fill="auto"/>
            <w:vAlign w:val="center"/>
          </w:tcPr>
          <w:p w14:paraId="43628153"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2</w:t>
            </w:r>
          </w:p>
        </w:tc>
        <w:tc>
          <w:tcPr>
            <w:tcW w:w="635" w:type="dxa"/>
            <w:tcBorders>
              <w:left w:val="single" w:sz="4" w:space="0" w:color="auto"/>
              <w:right w:val="single" w:sz="4" w:space="0" w:color="auto"/>
            </w:tcBorders>
            <w:shd w:val="clear" w:color="auto" w:fill="auto"/>
            <w:vAlign w:val="center"/>
          </w:tcPr>
          <w:p w14:paraId="35081AEE"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2</w:t>
            </w:r>
          </w:p>
        </w:tc>
        <w:tc>
          <w:tcPr>
            <w:tcW w:w="630" w:type="dxa"/>
            <w:tcBorders>
              <w:left w:val="single" w:sz="4" w:space="0" w:color="auto"/>
              <w:right w:val="single" w:sz="4" w:space="0" w:color="auto"/>
            </w:tcBorders>
            <w:shd w:val="clear" w:color="auto" w:fill="auto"/>
            <w:vAlign w:val="center"/>
          </w:tcPr>
          <w:p w14:paraId="12FDE4C5"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5 874</w:t>
            </w:r>
          </w:p>
        </w:tc>
        <w:tc>
          <w:tcPr>
            <w:tcW w:w="528" w:type="dxa"/>
            <w:tcBorders>
              <w:left w:val="single" w:sz="4" w:space="0" w:color="auto"/>
              <w:right w:val="single" w:sz="4" w:space="0" w:color="auto"/>
            </w:tcBorders>
            <w:shd w:val="clear" w:color="auto" w:fill="auto"/>
            <w:vAlign w:val="center"/>
          </w:tcPr>
          <w:p w14:paraId="313E17E8"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9</w:t>
            </w:r>
          </w:p>
        </w:tc>
        <w:tc>
          <w:tcPr>
            <w:tcW w:w="593" w:type="dxa"/>
            <w:tcBorders>
              <w:left w:val="single" w:sz="4" w:space="0" w:color="auto"/>
              <w:right w:val="single" w:sz="4" w:space="0" w:color="auto"/>
            </w:tcBorders>
            <w:shd w:val="clear" w:color="auto" w:fill="auto"/>
            <w:vAlign w:val="center"/>
          </w:tcPr>
          <w:p w14:paraId="3627FDEB"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4</w:t>
            </w:r>
          </w:p>
        </w:tc>
        <w:tc>
          <w:tcPr>
            <w:tcW w:w="574" w:type="dxa"/>
            <w:tcBorders>
              <w:left w:val="single" w:sz="4" w:space="0" w:color="auto"/>
              <w:right w:val="single" w:sz="4" w:space="0" w:color="auto"/>
            </w:tcBorders>
            <w:shd w:val="clear" w:color="auto" w:fill="auto"/>
            <w:vAlign w:val="center"/>
          </w:tcPr>
          <w:p w14:paraId="3744E3A8"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w:t>
            </w:r>
          </w:p>
        </w:tc>
        <w:tc>
          <w:tcPr>
            <w:tcW w:w="528" w:type="dxa"/>
            <w:tcBorders>
              <w:left w:val="single" w:sz="4" w:space="0" w:color="auto"/>
              <w:right w:val="single" w:sz="4" w:space="0" w:color="auto"/>
            </w:tcBorders>
            <w:shd w:val="clear" w:color="auto" w:fill="auto"/>
            <w:vAlign w:val="center"/>
          </w:tcPr>
          <w:p w14:paraId="68DE8237"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0</w:t>
            </w:r>
          </w:p>
        </w:tc>
      </w:tr>
      <w:tr w:rsidR="00EF4A2D" w:rsidRPr="00EF4A2D" w14:paraId="156DFA49" w14:textId="77777777" w:rsidTr="00B9606F">
        <w:trPr>
          <w:jc w:val="center"/>
        </w:trPr>
        <w:tc>
          <w:tcPr>
            <w:tcW w:w="3100" w:type="dxa"/>
            <w:tcBorders>
              <w:left w:val="single" w:sz="4" w:space="0" w:color="auto"/>
              <w:right w:val="single" w:sz="4" w:space="0" w:color="auto"/>
            </w:tcBorders>
            <w:shd w:val="clear" w:color="auto" w:fill="auto"/>
            <w:vAlign w:val="center"/>
          </w:tcPr>
          <w:p w14:paraId="2FC801A0" w14:textId="77777777" w:rsidR="00EF4A2D" w:rsidRPr="00EF4A2D" w:rsidRDefault="00EF4A2D" w:rsidP="00EF4A2D">
            <w:pPr>
              <w:ind w:left="284"/>
              <w:rPr>
                <w:rFonts w:eastAsia="Calibri"/>
                <w:sz w:val="14"/>
                <w:szCs w:val="14"/>
                <w:lang w:eastAsia="en-US"/>
              </w:rPr>
            </w:pPr>
            <w:r w:rsidRPr="00EF4A2D">
              <w:rPr>
                <w:rFonts w:eastAsia="Calibri"/>
                <w:sz w:val="14"/>
                <w:szCs w:val="14"/>
                <w:lang w:eastAsia="en-US"/>
              </w:rPr>
              <w:t>China</w:t>
            </w:r>
          </w:p>
        </w:tc>
        <w:tc>
          <w:tcPr>
            <w:tcW w:w="667" w:type="dxa"/>
            <w:tcBorders>
              <w:left w:val="single" w:sz="4" w:space="0" w:color="auto"/>
              <w:right w:val="single" w:sz="4" w:space="0" w:color="auto"/>
            </w:tcBorders>
            <w:shd w:val="clear" w:color="auto" w:fill="auto"/>
            <w:vAlign w:val="center"/>
          </w:tcPr>
          <w:p w14:paraId="26F314B8"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2 343</w:t>
            </w:r>
          </w:p>
        </w:tc>
        <w:tc>
          <w:tcPr>
            <w:tcW w:w="588" w:type="dxa"/>
            <w:tcBorders>
              <w:left w:val="single" w:sz="4" w:space="0" w:color="auto"/>
              <w:right w:val="single" w:sz="4" w:space="0" w:color="auto"/>
            </w:tcBorders>
            <w:shd w:val="clear" w:color="auto" w:fill="auto"/>
            <w:vAlign w:val="center"/>
          </w:tcPr>
          <w:p w14:paraId="566E9628"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13</w:t>
            </w:r>
          </w:p>
        </w:tc>
        <w:tc>
          <w:tcPr>
            <w:tcW w:w="588" w:type="dxa"/>
            <w:tcBorders>
              <w:left w:val="single" w:sz="4" w:space="0" w:color="auto"/>
              <w:right w:val="single" w:sz="4" w:space="0" w:color="auto"/>
            </w:tcBorders>
            <w:shd w:val="clear" w:color="auto" w:fill="auto"/>
            <w:vAlign w:val="center"/>
          </w:tcPr>
          <w:p w14:paraId="6B836906"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8</w:t>
            </w:r>
          </w:p>
        </w:tc>
        <w:tc>
          <w:tcPr>
            <w:tcW w:w="652" w:type="dxa"/>
            <w:tcBorders>
              <w:left w:val="single" w:sz="4" w:space="0" w:color="auto"/>
              <w:right w:val="single" w:sz="4" w:space="0" w:color="auto"/>
            </w:tcBorders>
            <w:shd w:val="clear" w:color="auto" w:fill="auto"/>
            <w:vAlign w:val="center"/>
          </w:tcPr>
          <w:p w14:paraId="2B610BFC"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8</w:t>
            </w:r>
          </w:p>
        </w:tc>
        <w:tc>
          <w:tcPr>
            <w:tcW w:w="635" w:type="dxa"/>
            <w:tcBorders>
              <w:left w:val="single" w:sz="4" w:space="0" w:color="auto"/>
              <w:right w:val="single" w:sz="4" w:space="0" w:color="auto"/>
            </w:tcBorders>
            <w:shd w:val="clear" w:color="auto" w:fill="auto"/>
            <w:vAlign w:val="center"/>
          </w:tcPr>
          <w:p w14:paraId="45157F50"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6</w:t>
            </w:r>
          </w:p>
        </w:tc>
        <w:tc>
          <w:tcPr>
            <w:tcW w:w="630" w:type="dxa"/>
            <w:tcBorders>
              <w:left w:val="single" w:sz="4" w:space="0" w:color="auto"/>
              <w:right w:val="single" w:sz="4" w:space="0" w:color="auto"/>
            </w:tcBorders>
            <w:shd w:val="clear" w:color="auto" w:fill="auto"/>
            <w:vAlign w:val="center"/>
          </w:tcPr>
          <w:p w14:paraId="64C205D0"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1 960</w:t>
            </w:r>
          </w:p>
        </w:tc>
        <w:tc>
          <w:tcPr>
            <w:tcW w:w="528" w:type="dxa"/>
            <w:tcBorders>
              <w:left w:val="single" w:sz="4" w:space="0" w:color="auto"/>
              <w:right w:val="single" w:sz="4" w:space="0" w:color="auto"/>
            </w:tcBorders>
            <w:shd w:val="clear" w:color="auto" w:fill="auto"/>
            <w:vAlign w:val="center"/>
          </w:tcPr>
          <w:p w14:paraId="0265F008"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13</w:t>
            </w:r>
          </w:p>
        </w:tc>
        <w:tc>
          <w:tcPr>
            <w:tcW w:w="593" w:type="dxa"/>
            <w:tcBorders>
              <w:left w:val="single" w:sz="4" w:space="0" w:color="auto"/>
              <w:right w:val="single" w:sz="4" w:space="0" w:color="auto"/>
            </w:tcBorders>
            <w:shd w:val="clear" w:color="auto" w:fill="auto"/>
            <w:vAlign w:val="center"/>
          </w:tcPr>
          <w:p w14:paraId="1BB612DD"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4</w:t>
            </w:r>
          </w:p>
        </w:tc>
        <w:tc>
          <w:tcPr>
            <w:tcW w:w="574" w:type="dxa"/>
            <w:tcBorders>
              <w:left w:val="single" w:sz="4" w:space="0" w:color="auto"/>
              <w:right w:val="single" w:sz="4" w:space="0" w:color="auto"/>
            </w:tcBorders>
            <w:shd w:val="clear" w:color="auto" w:fill="auto"/>
            <w:vAlign w:val="center"/>
          </w:tcPr>
          <w:p w14:paraId="32FE655B"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7</w:t>
            </w:r>
          </w:p>
        </w:tc>
        <w:tc>
          <w:tcPr>
            <w:tcW w:w="528" w:type="dxa"/>
            <w:tcBorders>
              <w:left w:val="single" w:sz="4" w:space="0" w:color="auto"/>
              <w:right w:val="single" w:sz="4" w:space="0" w:color="auto"/>
            </w:tcBorders>
            <w:shd w:val="clear" w:color="auto" w:fill="auto"/>
            <w:vAlign w:val="center"/>
          </w:tcPr>
          <w:p w14:paraId="64831FF6"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w:t>
            </w:r>
          </w:p>
        </w:tc>
      </w:tr>
      <w:tr w:rsidR="00EF4A2D" w:rsidRPr="00EF4A2D" w14:paraId="61AEFF21" w14:textId="77777777" w:rsidTr="00B9606F">
        <w:trPr>
          <w:jc w:val="center"/>
        </w:trPr>
        <w:tc>
          <w:tcPr>
            <w:tcW w:w="3100" w:type="dxa"/>
            <w:tcBorders>
              <w:left w:val="single" w:sz="4" w:space="0" w:color="auto"/>
              <w:right w:val="single" w:sz="4" w:space="0" w:color="auto"/>
            </w:tcBorders>
            <w:shd w:val="clear" w:color="auto" w:fill="auto"/>
            <w:vAlign w:val="center"/>
          </w:tcPr>
          <w:p w14:paraId="372774CC" w14:textId="77777777" w:rsidR="00EF4A2D" w:rsidRPr="00EF4A2D" w:rsidRDefault="00EF4A2D" w:rsidP="00EF4A2D">
            <w:pPr>
              <w:ind w:left="284"/>
              <w:rPr>
                <w:rFonts w:eastAsia="Calibri"/>
                <w:sz w:val="14"/>
                <w:szCs w:val="14"/>
                <w:lang w:eastAsia="en-US"/>
              </w:rPr>
            </w:pPr>
            <w:r w:rsidRPr="00EF4A2D">
              <w:rPr>
                <w:rFonts w:eastAsia="Calibri"/>
                <w:sz w:val="14"/>
                <w:szCs w:val="14"/>
                <w:lang w:eastAsia="en-US"/>
              </w:rPr>
              <w:t>Japón</w:t>
            </w:r>
          </w:p>
        </w:tc>
        <w:tc>
          <w:tcPr>
            <w:tcW w:w="667" w:type="dxa"/>
            <w:tcBorders>
              <w:left w:val="single" w:sz="4" w:space="0" w:color="auto"/>
              <w:right w:val="single" w:sz="4" w:space="0" w:color="auto"/>
            </w:tcBorders>
            <w:shd w:val="clear" w:color="auto" w:fill="auto"/>
            <w:vAlign w:val="center"/>
          </w:tcPr>
          <w:p w14:paraId="7FB88B60"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684</w:t>
            </w:r>
          </w:p>
        </w:tc>
        <w:tc>
          <w:tcPr>
            <w:tcW w:w="588" w:type="dxa"/>
            <w:tcBorders>
              <w:left w:val="single" w:sz="4" w:space="0" w:color="auto"/>
              <w:right w:val="single" w:sz="4" w:space="0" w:color="auto"/>
            </w:tcBorders>
            <w:shd w:val="clear" w:color="auto" w:fill="auto"/>
            <w:vAlign w:val="center"/>
          </w:tcPr>
          <w:p w14:paraId="65C7D6D6"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2</w:t>
            </w:r>
          </w:p>
        </w:tc>
        <w:tc>
          <w:tcPr>
            <w:tcW w:w="588" w:type="dxa"/>
            <w:tcBorders>
              <w:left w:val="single" w:sz="4" w:space="0" w:color="auto"/>
              <w:right w:val="single" w:sz="4" w:space="0" w:color="auto"/>
            </w:tcBorders>
            <w:shd w:val="clear" w:color="auto" w:fill="auto"/>
            <w:vAlign w:val="center"/>
          </w:tcPr>
          <w:p w14:paraId="3E89BE69"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-3</w:t>
            </w:r>
          </w:p>
        </w:tc>
        <w:tc>
          <w:tcPr>
            <w:tcW w:w="652" w:type="dxa"/>
            <w:tcBorders>
              <w:left w:val="single" w:sz="4" w:space="0" w:color="auto"/>
              <w:right w:val="single" w:sz="4" w:space="0" w:color="auto"/>
            </w:tcBorders>
            <w:shd w:val="clear" w:color="auto" w:fill="auto"/>
            <w:vAlign w:val="center"/>
          </w:tcPr>
          <w:p w14:paraId="455AA6D9"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-10</w:t>
            </w:r>
          </w:p>
        </w:tc>
        <w:tc>
          <w:tcPr>
            <w:tcW w:w="635" w:type="dxa"/>
            <w:tcBorders>
              <w:left w:val="single" w:sz="4" w:space="0" w:color="auto"/>
              <w:right w:val="single" w:sz="4" w:space="0" w:color="auto"/>
            </w:tcBorders>
            <w:shd w:val="clear" w:color="auto" w:fill="auto"/>
            <w:vAlign w:val="center"/>
          </w:tcPr>
          <w:p w14:paraId="41BFB177"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-4</w:t>
            </w:r>
          </w:p>
        </w:tc>
        <w:tc>
          <w:tcPr>
            <w:tcW w:w="630" w:type="dxa"/>
            <w:tcBorders>
              <w:left w:val="single" w:sz="4" w:space="0" w:color="auto"/>
              <w:right w:val="single" w:sz="4" w:space="0" w:color="auto"/>
            </w:tcBorders>
            <w:shd w:val="clear" w:color="auto" w:fill="auto"/>
            <w:vAlign w:val="center"/>
          </w:tcPr>
          <w:p w14:paraId="72080BE0"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822</w:t>
            </w:r>
          </w:p>
        </w:tc>
        <w:tc>
          <w:tcPr>
            <w:tcW w:w="528" w:type="dxa"/>
            <w:tcBorders>
              <w:left w:val="single" w:sz="4" w:space="0" w:color="auto"/>
              <w:right w:val="single" w:sz="4" w:space="0" w:color="auto"/>
            </w:tcBorders>
            <w:shd w:val="clear" w:color="auto" w:fill="auto"/>
            <w:vAlign w:val="center"/>
          </w:tcPr>
          <w:p w14:paraId="39BC94ED"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5</w:t>
            </w:r>
          </w:p>
        </w:tc>
        <w:tc>
          <w:tcPr>
            <w:tcW w:w="593" w:type="dxa"/>
            <w:tcBorders>
              <w:left w:val="single" w:sz="4" w:space="0" w:color="auto"/>
              <w:right w:val="single" w:sz="4" w:space="0" w:color="auto"/>
            </w:tcBorders>
            <w:shd w:val="clear" w:color="auto" w:fill="auto"/>
            <w:vAlign w:val="center"/>
          </w:tcPr>
          <w:p w14:paraId="12AA0804"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4</w:t>
            </w:r>
          </w:p>
        </w:tc>
        <w:tc>
          <w:tcPr>
            <w:tcW w:w="574" w:type="dxa"/>
            <w:tcBorders>
              <w:left w:val="single" w:sz="4" w:space="0" w:color="auto"/>
              <w:right w:val="single" w:sz="4" w:space="0" w:color="auto"/>
            </w:tcBorders>
            <w:shd w:val="clear" w:color="auto" w:fill="auto"/>
            <w:vAlign w:val="center"/>
          </w:tcPr>
          <w:p w14:paraId="2002329C"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-6</w:t>
            </w:r>
          </w:p>
        </w:tc>
        <w:tc>
          <w:tcPr>
            <w:tcW w:w="528" w:type="dxa"/>
            <w:tcBorders>
              <w:left w:val="single" w:sz="4" w:space="0" w:color="auto"/>
              <w:right w:val="single" w:sz="4" w:space="0" w:color="auto"/>
            </w:tcBorders>
            <w:shd w:val="clear" w:color="auto" w:fill="auto"/>
            <w:vAlign w:val="center"/>
          </w:tcPr>
          <w:p w14:paraId="0F5C4425"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w:t>
            </w:r>
          </w:p>
        </w:tc>
      </w:tr>
      <w:tr w:rsidR="00EF4A2D" w:rsidRPr="00EF4A2D" w14:paraId="5049FE14" w14:textId="77777777" w:rsidTr="00B9606F">
        <w:trPr>
          <w:jc w:val="center"/>
        </w:trPr>
        <w:tc>
          <w:tcPr>
            <w:tcW w:w="3100" w:type="dxa"/>
            <w:tcBorders>
              <w:left w:val="single" w:sz="4" w:space="0" w:color="auto"/>
              <w:right w:val="single" w:sz="4" w:space="0" w:color="auto"/>
            </w:tcBorders>
            <w:shd w:val="clear" w:color="auto" w:fill="auto"/>
            <w:vAlign w:val="center"/>
          </w:tcPr>
          <w:p w14:paraId="117E7DF7" w14:textId="77777777" w:rsidR="00EF4A2D" w:rsidRPr="00EF4A2D" w:rsidRDefault="00EF4A2D" w:rsidP="00EF4A2D">
            <w:pPr>
              <w:ind w:left="284"/>
              <w:rPr>
                <w:rFonts w:eastAsia="Calibri"/>
                <w:sz w:val="14"/>
                <w:szCs w:val="14"/>
                <w:lang w:eastAsia="en-US"/>
              </w:rPr>
            </w:pPr>
            <w:r w:rsidRPr="00EF4A2D">
              <w:rPr>
                <w:rFonts w:eastAsia="Calibri"/>
                <w:sz w:val="14"/>
                <w:szCs w:val="14"/>
                <w:lang w:eastAsia="en-US"/>
              </w:rPr>
              <w:t>India</w:t>
            </w:r>
          </w:p>
        </w:tc>
        <w:tc>
          <w:tcPr>
            <w:tcW w:w="667" w:type="dxa"/>
            <w:tcBorders>
              <w:left w:val="single" w:sz="4" w:space="0" w:color="auto"/>
              <w:right w:val="single" w:sz="4" w:space="0" w:color="auto"/>
            </w:tcBorders>
            <w:shd w:val="clear" w:color="auto" w:fill="auto"/>
            <w:vAlign w:val="center"/>
          </w:tcPr>
          <w:p w14:paraId="3CB33290"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317</w:t>
            </w:r>
          </w:p>
        </w:tc>
        <w:tc>
          <w:tcPr>
            <w:tcW w:w="588" w:type="dxa"/>
            <w:tcBorders>
              <w:left w:val="single" w:sz="4" w:space="0" w:color="auto"/>
              <w:right w:val="single" w:sz="4" w:space="0" w:color="auto"/>
            </w:tcBorders>
            <w:shd w:val="clear" w:color="auto" w:fill="auto"/>
            <w:vAlign w:val="center"/>
          </w:tcPr>
          <w:p w14:paraId="41A7A33E"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14</w:t>
            </w:r>
          </w:p>
        </w:tc>
        <w:tc>
          <w:tcPr>
            <w:tcW w:w="588" w:type="dxa"/>
            <w:tcBorders>
              <w:left w:val="single" w:sz="4" w:space="0" w:color="auto"/>
              <w:right w:val="single" w:sz="4" w:space="0" w:color="auto"/>
            </w:tcBorders>
            <w:shd w:val="clear" w:color="auto" w:fill="auto"/>
            <w:vAlign w:val="center"/>
          </w:tcPr>
          <w:p w14:paraId="572E4EB3"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-2</w:t>
            </w:r>
          </w:p>
        </w:tc>
        <w:tc>
          <w:tcPr>
            <w:tcW w:w="652" w:type="dxa"/>
            <w:tcBorders>
              <w:left w:val="single" w:sz="4" w:space="0" w:color="auto"/>
              <w:right w:val="single" w:sz="4" w:space="0" w:color="auto"/>
            </w:tcBorders>
            <w:shd w:val="clear" w:color="auto" w:fill="auto"/>
            <w:vAlign w:val="center"/>
          </w:tcPr>
          <w:p w14:paraId="268E0651"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6</w:t>
            </w:r>
          </w:p>
        </w:tc>
        <w:tc>
          <w:tcPr>
            <w:tcW w:w="635" w:type="dxa"/>
            <w:tcBorders>
              <w:left w:val="single" w:sz="4" w:space="0" w:color="auto"/>
              <w:right w:val="single" w:sz="4" w:space="0" w:color="auto"/>
            </w:tcBorders>
            <w:shd w:val="clear" w:color="auto" w:fill="auto"/>
            <w:vAlign w:val="center"/>
          </w:tcPr>
          <w:p w14:paraId="31950A5F"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1</w:t>
            </w:r>
          </w:p>
        </w:tc>
        <w:tc>
          <w:tcPr>
            <w:tcW w:w="630" w:type="dxa"/>
            <w:tcBorders>
              <w:left w:val="single" w:sz="4" w:space="0" w:color="auto"/>
              <w:right w:val="single" w:sz="4" w:space="0" w:color="auto"/>
            </w:tcBorders>
            <w:shd w:val="clear" w:color="auto" w:fill="auto"/>
            <w:vAlign w:val="center"/>
          </w:tcPr>
          <w:p w14:paraId="3DBBBA26"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460</w:t>
            </w:r>
          </w:p>
        </w:tc>
        <w:tc>
          <w:tcPr>
            <w:tcW w:w="528" w:type="dxa"/>
            <w:tcBorders>
              <w:left w:val="single" w:sz="4" w:space="0" w:color="auto"/>
              <w:right w:val="single" w:sz="4" w:space="0" w:color="auto"/>
            </w:tcBorders>
            <w:shd w:val="clear" w:color="auto" w:fill="auto"/>
            <w:vAlign w:val="center"/>
          </w:tcPr>
          <w:p w14:paraId="65E12343"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14</w:t>
            </w:r>
          </w:p>
        </w:tc>
        <w:tc>
          <w:tcPr>
            <w:tcW w:w="593" w:type="dxa"/>
            <w:tcBorders>
              <w:left w:val="single" w:sz="4" w:space="0" w:color="auto"/>
              <w:right w:val="single" w:sz="4" w:space="0" w:color="auto"/>
            </w:tcBorders>
            <w:shd w:val="clear" w:color="auto" w:fill="auto"/>
            <w:vAlign w:val="center"/>
          </w:tcPr>
          <w:p w14:paraId="0912AAEB"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5</w:t>
            </w:r>
          </w:p>
        </w:tc>
        <w:tc>
          <w:tcPr>
            <w:tcW w:w="574" w:type="dxa"/>
            <w:tcBorders>
              <w:left w:val="single" w:sz="4" w:space="0" w:color="auto"/>
              <w:right w:val="single" w:sz="4" w:space="0" w:color="auto"/>
            </w:tcBorders>
            <w:shd w:val="clear" w:color="auto" w:fill="auto"/>
            <w:vAlign w:val="center"/>
          </w:tcPr>
          <w:p w14:paraId="2C33AA3A"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-5</w:t>
            </w:r>
          </w:p>
        </w:tc>
        <w:tc>
          <w:tcPr>
            <w:tcW w:w="528" w:type="dxa"/>
            <w:tcBorders>
              <w:left w:val="single" w:sz="4" w:space="0" w:color="auto"/>
              <w:right w:val="single" w:sz="4" w:space="0" w:color="auto"/>
            </w:tcBorders>
            <w:shd w:val="clear" w:color="auto" w:fill="auto"/>
            <w:vAlign w:val="center"/>
          </w:tcPr>
          <w:p w14:paraId="55163708"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w:t>
            </w:r>
          </w:p>
        </w:tc>
      </w:tr>
      <w:tr w:rsidR="00EF4A2D" w:rsidRPr="00EF4A2D" w14:paraId="5DF09309" w14:textId="77777777" w:rsidTr="00B9606F">
        <w:trPr>
          <w:jc w:val="center"/>
        </w:trPr>
        <w:tc>
          <w:tcPr>
            <w:tcW w:w="3100" w:type="dxa"/>
            <w:tcBorders>
              <w:left w:val="single" w:sz="4" w:space="0" w:color="auto"/>
              <w:right w:val="single" w:sz="4" w:space="0" w:color="auto"/>
            </w:tcBorders>
            <w:shd w:val="clear" w:color="auto" w:fill="auto"/>
            <w:vAlign w:val="center"/>
          </w:tcPr>
          <w:p w14:paraId="41A52CBE" w14:textId="77777777" w:rsidR="00EF4A2D" w:rsidRPr="00EF4A2D" w:rsidRDefault="00EF4A2D" w:rsidP="00EF4A2D">
            <w:pPr>
              <w:spacing w:after="120"/>
              <w:ind w:left="284"/>
              <w:rPr>
                <w:rFonts w:eastAsia="Calibri"/>
                <w:sz w:val="14"/>
                <w:szCs w:val="14"/>
                <w:lang w:eastAsia="en-US"/>
              </w:rPr>
            </w:pPr>
            <w:r w:rsidRPr="00EF4A2D">
              <w:rPr>
                <w:rFonts w:eastAsia="Calibri"/>
                <w:sz w:val="14"/>
                <w:szCs w:val="14"/>
                <w:lang w:eastAsia="en-US"/>
              </w:rPr>
              <w:t xml:space="preserve">Países con economías de reciente </w:t>
            </w:r>
            <w:proofErr w:type="spellStart"/>
            <w:r w:rsidRPr="00EF4A2D">
              <w:rPr>
                <w:rFonts w:eastAsia="Calibri"/>
                <w:sz w:val="14"/>
                <w:szCs w:val="14"/>
                <w:lang w:eastAsia="en-US"/>
              </w:rPr>
              <w:t>Industrialización</w:t>
            </w:r>
            <w:r w:rsidRPr="00EF4A2D">
              <w:rPr>
                <w:rFonts w:eastAsia="Calibri"/>
                <w:sz w:val="14"/>
                <w:szCs w:val="14"/>
                <w:u w:val="single"/>
                <w:vertAlign w:val="superscript"/>
                <w:lang w:eastAsia="en-US"/>
              </w:rPr>
              <w:t>d</w:t>
            </w:r>
            <w:proofErr w:type="spellEnd"/>
            <w:r w:rsidRPr="00EF4A2D">
              <w:rPr>
                <w:rFonts w:eastAsia="Calibri"/>
                <w:sz w:val="14"/>
                <w:szCs w:val="14"/>
                <w:vertAlign w:val="superscript"/>
                <w:lang w:eastAsia="en-US"/>
              </w:rPr>
              <w:t>/</w:t>
            </w:r>
          </w:p>
        </w:tc>
        <w:tc>
          <w:tcPr>
            <w:tcW w:w="667" w:type="dxa"/>
            <w:tcBorders>
              <w:left w:val="single" w:sz="4" w:space="0" w:color="auto"/>
              <w:right w:val="single" w:sz="4" w:space="0" w:color="auto"/>
            </w:tcBorders>
            <w:shd w:val="clear" w:color="auto" w:fill="auto"/>
            <w:vAlign w:val="center"/>
          </w:tcPr>
          <w:p w14:paraId="78B248F1" w14:textId="77777777" w:rsidR="00EF4A2D" w:rsidRPr="00EF4A2D" w:rsidRDefault="00EF4A2D" w:rsidP="00EF4A2D">
            <w:pPr>
              <w:spacing w:after="120"/>
              <w:jc w:val="right"/>
              <w:rPr>
                <w:rFonts w:eastAsia="Calibri"/>
                <w:sz w:val="14"/>
                <w:szCs w:val="14"/>
                <w:lang w:eastAsia="en-US"/>
              </w:rPr>
            </w:pPr>
            <w:r w:rsidRPr="00EF4A2D">
              <w:rPr>
                <w:rFonts w:eastAsia="Calibri"/>
                <w:sz w:val="14"/>
                <w:szCs w:val="14"/>
                <w:lang w:eastAsia="en-US"/>
              </w:rPr>
              <w:t>1 312</w:t>
            </w:r>
          </w:p>
        </w:tc>
        <w:tc>
          <w:tcPr>
            <w:tcW w:w="588" w:type="dxa"/>
            <w:tcBorders>
              <w:left w:val="single" w:sz="4" w:space="0" w:color="auto"/>
              <w:right w:val="single" w:sz="4" w:space="0" w:color="auto"/>
            </w:tcBorders>
            <w:shd w:val="clear" w:color="auto" w:fill="auto"/>
            <w:vAlign w:val="center"/>
          </w:tcPr>
          <w:p w14:paraId="6AA5302C"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7</w:t>
            </w:r>
          </w:p>
        </w:tc>
        <w:tc>
          <w:tcPr>
            <w:tcW w:w="588" w:type="dxa"/>
            <w:tcBorders>
              <w:left w:val="single" w:sz="4" w:space="0" w:color="auto"/>
              <w:right w:val="single" w:sz="4" w:space="0" w:color="auto"/>
            </w:tcBorders>
            <w:shd w:val="clear" w:color="auto" w:fill="auto"/>
            <w:vAlign w:val="center"/>
          </w:tcPr>
          <w:p w14:paraId="5E35F41B"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-1</w:t>
            </w:r>
          </w:p>
        </w:tc>
        <w:tc>
          <w:tcPr>
            <w:tcW w:w="652" w:type="dxa"/>
            <w:tcBorders>
              <w:left w:val="single" w:sz="4" w:space="0" w:color="auto"/>
              <w:right w:val="single" w:sz="4" w:space="0" w:color="auto"/>
            </w:tcBorders>
            <w:shd w:val="clear" w:color="auto" w:fill="auto"/>
            <w:vAlign w:val="center"/>
          </w:tcPr>
          <w:p w14:paraId="56E28DC5"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1</w:t>
            </w:r>
          </w:p>
        </w:tc>
        <w:tc>
          <w:tcPr>
            <w:tcW w:w="635" w:type="dxa"/>
            <w:tcBorders>
              <w:left w:val="single" w:sz="4" w:space="0" w:color="auto"/>
              <w:right w:val="single" w:sz="4" w:space="0" w:color="auto"/>
            </w:tcBorders>
            <w:shd w:val="clear" w:color="auto" w:fill="auto"/>
            <w:vAlign w:val="center"/>
          </w:tcPr>
          <w:p w14:paraId="4C658FDD"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1</w:t>
            </w:r>
          </w:p>
        </w:tc>
        <w:tc>
          <w:tcPr>
            <w:tcW w:w="630" w:type="dxa"/>
            <w:tcBorders>
              <w:left w:val="single" w:sz="4" w:space="0" w:color="auto"/>
              <w:right w:val="single" w:sz="4" w:space="0" w:color="auto"/>
            </w:tcBorders>
            <w:shd w:val="clear" w:color="auto" w:fill="auto"/>
            <w:vAlign w:val="center"/>
          </w:tcPr>
          <w:p w14:paraId="6F4CEE32" w14:textId="77777777" w:rsidR="00EF4A2D" w:rsidRPr="00EF4A2D" w:rsidRDefault="00EF4A2D" w:rsidP="00EF4A2D">
            <w:pPr>
              <w:spacing w:after="120"/>
              <w:jc w:val="right"/>
              <w:rPr>
                <w:rFonts w:eastAsia="Calibri"/>
                <w:sz w:val="14"/>
                <w:szCs w:val="14"/>
                <w:lang w:eastAsia="en-US"/>
              </w:rPr>
            </w:pPr>
            <w:r w:rsidRPr="00EF4A2D">
              <w:rPr>
                <w:rFonts w:eastAsia="Calibri"/>
                <w:sz w:val="14"/>
                <w:szCs w:val="14"/>
                <w:lang w:eastAsia="en-US"/>
              </w:rPr>
              <w:t>1 316</w:t>
            </w:r>
          </w:p>
        </w:tc>
        <w:tc>
          <w:tcPr>
            <w:tcW w:w="528" w:type="dxa"/>
            <w:tcBorders>
              <w:left w:val="single" w:sz="4" w:space="0" w:color="auto"/>
              <w:right w:val="single" w:sz="4" w:space="0" w:color="auto"/>
            </w:tcBorders>
            <w:shd w:val="clear" w:color="auto" w:fill="auto"/>
            <w:vAlign w:val="center"/>
          </w:tcPr>
          <w:p w14:paraId="755AD6FE"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7</w:t>
            </w:r>
          </w:p>
        </w:tc>
        <w:tc>
          <w:tcPr>
            <w:tcW w:w="593" w:type="dxa"/>
            <w:tcBorders>
              <w:left w:val="single" w:sz="4" w:space="0" w:color="auto"/>
              <w:right w:val="single" w:sz="4" w:space="0" w:color="auto"/>
            </w:tcBorders>
            <w:shd w:val="clear" w:color="auto" w:fill="auto"/>
            <w:vAlign w:val="center"/>
          </w:tcPr>
          <w:p w14:paraId="38F6BE97"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0</w:t>
            </w:r>
          </w:p>
        </w:tc>
        <w:tc>
          <w:tcPr>
            <w:tcW w:w="574" w:type="dxa"/>
            <w:tcBorders>
              <w:left w:val="single" w:sz="4" w:space="0" w:color="auto"/>
              <w:right w:val="single" w:sz="4" w:space="0" w:color="auto"/>
            </w:tcBorders>
            <w:shd w:val="clear" w:color="auto" w:fill="auto"/>
            <w:vAlign w:val="center"/>
          </w:tcPr>
          <w:p w14:paraId="6CFA8B7B"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0</w:t>
            </w:r>
          </w:p>
        </w:tc>
        <w:tc>
          <w:tcPr>
            <w:tcW w:w="528" w:type="dxa"/>
            <w:tcBorders>
              <w:left w:val="single" w:sz="4" w:space="0" w:color="auto"/>
              <w:right w:val="single" w:sz="4" w:space="0" w:color="auto"/>
            </w:tcBorders>
            <w:shd w:val="clear" w:color="auto" w:fill="auto"/>
            <w:vAlign w:val="center"/>
          </w:tcPr>
          <w:p w14:paraId="62C5EBB6"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1</w:t>
            </w:r>
          </w:p>
        </w:tc>
      </w:tr>
      <w:tr w:rsidR="00EF4A2D" w:rsidRPr="00EF4A2D" w14:paraId="5586E4B3" w14:textId="77777777" w:rsidTr="00B9606F">
        <w:trPr>
          <w:jc w:val="center"/>
        </w:trPr>
        <w:tc>
          <w:tcPr>
            <w:tcW w:w="3100" w:type="dxa"/>
            <w:tcBorders>
              <w:left w:val="single" w:sz="4" w:space="0" w:color="auto"/>
              <w:right w:val="single" w:sz="4" w:space="0" w:color="auto"/>
            </w:tcBorders>
            <w:shd w:val="clear" w:color="auto" w:fill="auto"/>
            <w:vAlign w:val="center"/>
          </w:tcPr>
          <w:p w14:paraId="7145AC04" w14:textId="77777777" w:rsidR="00EF4A2D" w:rsidRPr="00EF4A2D" w:rsidRDefault="00EF4A2D" w:rsidP="00EF4A2D">
            <w:pPr>
              <w:rPr>
                <w:rFonts w:eastAsia="Calibri"/>
                <w:b/>
                <w:sz w:val="14"/>
                <w:szCs w:val="14"/>
                <w:lang w:eastAsia="en-US"/>
              </w:rPr>
            </w:pPr>
            <w:r w:rsidRPr="00EF4A2D">
              <w:rPr>
                <w:rFonts w:eastAsia="Calibri"/>
                <w:b/>
                <w:sz w:val="14"/>
                <w:szCs w:val="14"/>
                <w:lang w:eastAsia="en-US"/>
              </w:rPr>
              <w:t>Pro memoria</w:t>
            </w:r>
          </w:p>
        </w:tc>
        <w:tc>
          <w:tcPr>
            <w:tcW w:w="667" w:type="dxa"/>
            <w:tcBorders>
              <w:left w:val="single" w:sz="4" w:space="0" w:color="auto"/>
              <w:right w:val="single" w:sz="4" w:space="0" w:color="auto"/>
            </w:tcBorders>
            <w:shd w:val="clear" w:color="auto" w:fill="auto"/>
            <w:vAlign w:val="center"/>
          </w:tcPr>
          <w:p w14:paraId="18E4F6F0" w14:textId="77777777" w:rsidR="00EF4A2D" w:rsidRPr="00EF4A2D" w:rsidRDefault="00EF4A2D" w:rsidP="00EF4A2D">
            <w:pPr>
              <w:jc w:val="right"/>
              <w:rPr>
                <w:rFonts w:eastAsia="Calibri"/>
                <w:b/>
                <w:sz w:val="14"/>
                <w:szCs w:val="14"/>
                <w:lang w:eastAsia="en-US"/>
              </w:rPr>
            </w:pPr>
          </w:p>
        </w:tc>
        <w:tc>
          <w:tcPr>
            <w:tcW w:w="588" w:type="dxa"/>
            <w:tcBorders>
              <w:left w:val="single" w:sz="4" w:space="0" w:color="auto"/>
              <w:right w:val="single" w:sz="4" w:space="0" w:color="auto"/>
            </w:tcBorders>
            <w:shd w:val="clear" w:color="auto" w:fill="auto"/>
            <w:vAlign w:val="center"/>
          </w:tcPr>
          <w:p w14:paraId="22E214CE" w14:textId="77777777" w:rsidR="00EF4A2D" w:rsidRPr="00EF4A2D" w:rsidRDefault="00EF4A2D" w:rsidP="00EF4A2D">
            <w:pPr>
              <w:ind w:right="113"/>
              <w:jc w:val="right"/>
              <w:rPr>
                <w:rFonts w:eastAsia="Calibri"/>
                <w:b/>
                <w:sz w:val="14"/>
                <w:szCs w:val="14"/>
                <w:lang w:eastAsia="en-US"/>
              </w:rPr>
            </w:pPr>
          </w:p>
        </w:tc>
        <w:tc>
          <w:tcPr>
            <w:tcW w:w="588" w:type="dxa"/>
            <w:tcBorders>
              <w:left w:val="single" w:sz="4" w:space="0" w:color="auto"/>
              <w:right w:val="single" w:sz="4" w:space="0" w:color="auto"/>
            </w:tcBorders>
            <w:shd w:val="clear" w:color="auto" w:fill="auto"/>
            <w:vAlign w:val="center"/>
          </w:tcPr>
          <w:p w14:paraId="5644DE7A" w14:textId="77777777" w:rsidR="00EF4A2D" w:rsidRPr="00EF4A2D" w:rsidRDefault="00EF4A2D" w:rsidP="00EF4A2D">
            <w:pPr>
              <w:ind w:right="113"/>
              <w:jc w:val="right"/>
              <w:rPr>
                <w:rFonts w:eastAsia="Calibri"/>
                <w:b/>
                <w:sz w:val="14"/>
                <w:szCs w:val="14"/>
                <w:lang w:eastAsia="en-US"/>
              </w:rPr>
            </w:pPr>
          </w:p>
        </w:tc>
        <w:tc>
          <w:tcPr>
            <w:tcW w:w="652" w:type="dxa"/>
            <w:tcBorders>
              <w:left w:val="single" w:sz="4" w:space="0" w:color="auto"/>
              <w:right w:val="single" w:sz="4" w:space="0" w:color="auto"/>
            </w:tcBorders>
            <w:shd w:val="clear" w:color="auto" w:fill="auto"/>
            <w:vAlign w:val="center"/>
          </w:tcPr>
          <w:p w14:paraId="2B17DEA4" w14:textId="77777777" w:rsidR="00EF4A2D" w:rsidRPr="00EF4A2D" w:rsidRDefault="00EF4A2D" w:rsidP="00EF4A2D">
            <w:pPr>
              <w:ind w:right="113"/>
              <w:jc w:val="right"/>
              <w:rPr>
                <w:rFonts w:eastAsia="Calibri"/>
                <w:b/>
                <w:sz w:val="14"/>
                <w:szCs w:val="14"/>
                <w:lang w:eastAsia="en-US"/>
              </w:rPr>
            </w:pPr>
          </w:p>
        </w:tc>
        <w:tc>
          <w:tcPr>
            <w:tcW w:w="635" w:type="dxa"/>
            <w:tcBorders>
              <w:left w:val="single" w:sz="4" w:space="0" w:color="auto"/>
              <w:right w:val="single" w:sz="4" w:space="0" w:color="auto"/>
            </w:tcBorders>
            <w:shd w:val="clear" w:color="auto" w:fill="auto"/>
            <w:vAlign w:val="center"/>
          </w:tcPr>
          <w:p w14:paraId="4DC4F7C5" w14:textId="77777777" w:rsidR="00EF4A2D" w:rsidRPr="00EF4A2D" w:rsidRDefault="00EF4A2D" w:rsidP="00EF4A2D">
            <w:pPr>
              <w:ind w:right="113"/>
              <w:jc w:val="right"/>
              <w:rPr>
                <w:rFonts w:eastAsia="Calibri"/>
                <w:b/>
                <w:sz w:val="14"/>
                <w:szCs w:val="14"/>
                <w:lang w:eastAsia="en-US"/>
              </w:rPr>
            </w:pPr>
          </w:p>
        </w:tc>
        <w:tc>
          <w:tcPr>
            <w:tcW w:w="630" w:type="dxa"/>
            <w:tcBorders>
              <w:left w:val="single" w:sz="4" w:space="0" w:color="auto"/>
              <w:right w:val="single" w:sz="4" w:space="0" w:color="auto"/>
            </w:tcBorders>
            <w:shd w:val="clear" w:color="auto" w:fill="auto"/>
            <w:vAlign w:val="center"/>
          </w:tcPr>
          <w:p w14:paraId="18621144" w14:textId="77777777" w:rsidR="00EF4A2D" w:rsidRPr="00EF4A2D" w:rsidRDefault="00EF4A2D" w:rsidP="00EF4A2D">
            <w:pPr>
              <w:jc w:val="right"/>
              <w:rPr>
                <w:rFonts w:eastAsia="Calibri"/>
                <w:b/>
                <w:sz w:val="14"/>
                <w:szCs w:val="14"/>
                <w:lang w:eastAsia="en-US"/>
              </w:rPr>
            </w:pPr>
          </w:p>
        </w:tc>
        <w:tc>
          <w:tcPr>
            <w:tcW w:w="528" w:type="dxa"/>
            <w:tcBorders>
              <w:left w:val="single" w:sz="4" w:space="0" w:color="auto"/>
              <w:right w:val="single" w:sz="4" w:space="0" w:color="auto"/>
            </w:tcBorders>
            <w:shd w:val="clear" w:color="auto" w:fill="auto"/>
            <w:vAlign w:val="center"/>
          </w:tcPr>
          <w:p w14:paraId="053D293C" w14:textId="77777777" w:rsidR="00EF4A2D" w:rsidRPr="00EF4A2D" w:rsidRDefault="00EF4A2D" w:rsidP="00EF4A2D">
            <w:pPr>
              <w:ind w:right="57"/>
              <w:jc w:val="right"/>
              <w:rPr>
                <w:rFonts w:eastAsia="Calibri"/>
                <w:b/>
                <w:sz w:val="14"/>
                <w:szCs w:val="14"/>
                <w:lang w:eastAsia="en-US"/>
              </w:rPr>
            </w:pPr>
          </w:p>
        </w:tc>
        <w:tc>
          <w:tcPr>
            <w:tcW w:w="593" w:type="dxa"/>
            <w:tcBorders>
              <w:left w:val="single" w:sz="4" w:space="0" w:color="auto"/>
              <w:right w:val="single" w:sz="4" w:space="0" w:color="auto"/>
            </w:tcBorders>
            <w:shd w:val="clear" w:color="auto" w:fill="auto"/>
            <w:vAlign w:val="center"/>
          </w:tcPr>
          <w:p w14:paraId="166399DF" w14:textId="77777777" w:rsidR="00EF4A2D" w:rsidRPr="00EF4A2D" w:rsidRDefault="00EF4A2D" w:rsidP="00EF4A2D">
            <w:pPr>
              <w:ind w:right="57"/>
              <w:jc w:val="right"/>
              <w:rPr>
                <w:rFonts w:eastAsia="Calibri"/>
                <w:b/>
                <w:sz w:val="14"/>
                <w:szCs w:val="14"/>
                <w:lang w:eastAsia="en-US"/>
              </w:rPr>
            </w:pPr>
          </w:p>
        </w:tc>
        <w:tc>
          <w:tcPr>
            <w:tcW w:w="574" w:type="dxa"/>
            <w:tcBorders>
              <w:left w:val="single" w:sz="4" w:space="0" w:color="auto"/>
              <w:right w:val="single" w:sz="4" w:space="0" w:color="auto"/>
            </w:tcBorders>
            <w:shd w:val="clear" w:color="auto" w:fill="auto"/>
            <w:vAlign w:val="center"/>
          </w:tcPr>
          <w:p w14:paraId="0612C6E6" w14:textId="77777777" w:rsidR="00EF4A2D" w:rsidRPr="00EF4A2D" w:rsidRDefault="00EF4A2D" w:rsidP="00EF4A2D">
            <w:pPr>
              <w:ind w:right="57"/>
              <w:jc w:val="right"/>
              <w:rPr>
                <w:rFonts w:eastAsia="Calibri"/>
                <w:b/>
                <w:sz w:val="14"/>
                <w:szCs w:val="14"/>
                <w:lang w:eastAsia="en-US"/>
              </w:rPr>
            </w:pPr>
          </w:p>
        </w:tc>
        <w:tc>
          <w:tcPr>
            <w:tcW w:w="528" w:type="dxa"/>
            <w:tcBorders>
              <w:left w:val="single" w:sz="4" w:space="0" w:color="auto"/>
              <w:right w:val="single" w:sz="4" w:space="0" w:color="auto"/>
            </w:tcBorders>
            <w:shd w:val="clear" w:color="auto" w:fill="auto"/>
            <w:vAlign w:val="center"/>
          </w:tcPr>
          <w:p w14:paraId="19651297" w14:textId="77777777" w:rsidR="00EF4A2D" w:rsidRPr="00EF4A2D" w:rsidRDefault="00EF4A2D" w:rsidP="00EF4A2D">
            <w:pPr>
              <w:ind w:right="57"/>
              <w:jc w:val="right"/>
              <w:rPr>
                <w:rFonts w:eastAsia="Calibri"/>
                <w:b/>
                <w:sz w:val="14"/>
                <w:szCs w:val="14"/>
                <w:lang w:eastAsia="en-US"/>
              </w:rPr>
            </w:pPr>
          </w:p>
        </w:tc>
      </w:tr>
      <w:tr w:rsidR="00EF4A2D" w:rsidRPr="00EF4A2D" w14:paraId="02D1E63E" w14:textId="77777777" w:rsidTr="00B9606F">
        <w:trPr>
          <w:jc w:val="center"/>
        </w:trPr>
        <w:tc>
          <w:tcPr>
            <w:tcW w:w="3100" w:type="dxa"/>
            <w:tcBorders>
              <w:left w:val="single" w:sz="4" w:space="0" w:color="auto"/>
              <w:right w:val="single" w:sz="4" w:space="0" w:color="auto"/>
            </w:tcBorders>
            <w:shd w:val="clear" w:color="auto" w:fill="auto"/>
            <w:vAlign w:val="center"/>
          </w:tcPr>
          <w:p w14:paraId="3300898F" w14:textId="77777777" w:rsidR="00EF4A2D" w:rsidRPr="00EF4A2D" w:rsidRDefault="00EF4A2D" w:rsidP="00EF4A2D">
            <w:pPr>
              <w:ind w:left="170"/>
              <w:rPr>
                <w:rFonts w:eastAsia="Calibri"/>
                <w:sz w:val="14"/>
                <w:szCs w:val="14"/>
                <w:lang w:eastAsia="en-US"/>
              </w:rPr>
            </w:pPr>
            <w:r w:rsidRPr="00EF4A2D">
              <w:rPr>
                <w:rFonts w:eastAsia="Calibri"/>
                <w:sz w:val="14"/>
                <w:szCs w:val="14"/>
                <w:lang w:eastAsia="en-US"/>
              </w:rPr>
              <w:t xml:space="preserve">MERCOSUR </w:t>
            </w:r>
            <w:r w:rsidRPr="00EF4A2D">
              <w:rPr>
                <w:rFonts w:eastAsia="Calibri"/>
                <w:sz w:val="14"/>
                <w:szCs w:val="14"/>
                <w:u w:val="single"/>
                <w:vertAlign w:val="superscript"/>
                <w:lang w:eastAsia="en-US"/>
              </w:rPr>
              <w:t>e</w:t>
            </w:r>
            <w:r w:rsidRPr="00EF4A2D">
              <w:rPr>
                <w:rFonts w:eastAsia="Calibri"/>
                <w:sz w:val="14"/>
                <w:szCs w:val="14"/>
                <w:vertAlign w:val="superscript"/>
                <w:lang w:eastAsia="en-US"/>
              </w:rPr>
              <w:t>/</w:t>
            </w:r>
          </w:p>
        </w:tc>
        <w:tc>
          <w:tcPr>
            <w:tcW w:w="667" w:type="dxa"/>
            <w:tcBorders>
              <w:left w:val="single" w:sz="4" w:space="0" w:color="auto"/>
              <w:right w:val="single" w:sz="4" w:space="0" w:color="auto"/>
            </w:tcBorders>
            <w:shd w:val="clear" w:color="auto" w:fill="auto"/>
            <w:vAlign w:val="center"/>
          </w:tcPr>
          <w:p w14:paraId="36AA0752"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316</w:t>
            </w:r>
          </w:p>
        </w:tc>
        <w:tc>
          <w:tcPr>
            <w:tcW w:w="588" w:type="dxa"/>
            <w:tcBorders>
              <w:left w:val="single" w:sz="4" w:space="0" w:color="auto"/>
              <w:right w:val="single" w:sz="4" w:space="0" w:color="auto"/>
            </w:tcBorders>
            <w:shd w:val="clear" w:color="auto" w:fill="auto"/>
            <w:vAlign w:val="center"/>
          </w:tcPr>
          <w:p w14:paraId="33E79C7F"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7</w:t>
            </w:r>
          </w:p>
        </w:tc>
        <w:tc>
          <w:tcPr>
            <w:tcW w:w="588" w:type="dxa"/>
            <w:tcBorders>
              <w:left w:val="single" w:sz="4" w:space="0" w:color="auto"/>
              <w:right w:val="single" w:sz="4" w:space="0" w:color="auto"/>
            </w:tcBorders>
            <w:shd w:val="clear" w:color="auto" w:fill="auto"/>
            <w:vAlign w:val="center"/>
          </w:tcPr>
          <w:p w14:paraId="576B8775"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-5</w:t>
            </w:r>
          </w:p>
        </w:tc>
        <w:tc>
          <w:tcPr>
            <w:tcW w:w="652" w:type="dxa"/>
            <w:tcBorders>
              <w:left w:val="single" w:sz="4" w:space="0" w:color="auto"/>
              <w:right w:val="single" w:sz="4" w:space="0" w:color="auto"/>
            </w:tcBorders>
            <w:shd w:val="clear" w:color="auto" w:fill="auto"/>
            <w:vAlign w:val="center"/>
          </w:tcPr>
          <w:p w14:paraId="53386CBE"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1</w:t>
            </w:r>
          </w:p>
        </w:tc>
        <w:tc>
          <w:tcPr>
            <w:tcW w:w="635" w:type="dxa"/>
            <w:tcBorders>
              <w:left w:val="single" w:sz="4" w:space="0" w:color="auto"/>
              <w:right w:val="single" w:sz="4" w:space="0" w:color="auto"/>
            </w:tcBorders>
            <w:shd w:val="clear" w:color="auto" w:fill="auto"/>
            <w:vAlign w:val="center"/>
          </w:tcPr>
          <w:p w14:paraId="36B09BAD"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-8</w:t>
            </w:r>
          </w:p>
        </w:tc>
        <w:tc>
          <w:tcPr>
            <w:tcW w:w="630" w:type="dxa"/>
            <w:tcBorders>
              <w:left w:val="single" w:sz="4" w:space="0" w:color="auto"/>
              <w:right w:val="single" w:sz="4" w:space="0" w:color="auto"/>
            </w:tcBorders>
            <w:shd w:val="clear" w:color="auto" w:fill="auto"/>
            <w:vAlign w:val="center"/>
          </w:tcPr>
          <w:p w14:paraId="30510FD8"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328</w:t>
            </w:r>
          </w:p>
        </w:tc>
        <w:tc>
          <w:tcPr>
            <w:tcW w:w="528" w:type="dxa"/>
            <w:tcBorders>
              <w:left w:val="single" w:sz="4" w:space="0" w:color="auto"/>
              <w:right w:val="single" w:sz="4" w:space="0" w:color="auto"/>
            </w:tcBorders>
            <w:shd w:val="clear" w:color="auto" w:fill="auto"/>
            <w:vAlign w:val="center"/>
          </w:tcPr>
          <w:p w14:paraId="30D99CB3"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12</w:t>
            </w:r>
          </w:p>
        </w:tc>
        <w:tc>
          <w:tcPr>
            <w:tcW w:w="593" w:type="dxa"/>
            <w:tcBorders>
              <w:left w:val="single" w:sz="4" w:space="0" w:color="auto"/>
              <w:right w:val="single" w:sz="4" w:space="0" w:color="auto"/>
            </w:tcBorders>
            <w:shd w:val="clear" w:color="auto" w:fill="auto"/>
            <w:vAlign w:val="center"/>
          </w:tcPr>
          <w:p w14:paraId="275D4097"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-3</w:t>
            </w:r>
          </w:p>
        </w:tc>
        <w:tc>
          <w:tcPr>
            <w:tcW w:w="574" w:type="dxa"/>
            <w:tcBorders>
              <w:left w:val="single" w:sz="4" w:space="0" w:color="auto"/>
              <w:right w:val="single" w:sz="4" w:space="0" w:color="auto"/>
            </w:tcBorders>
            <w:shd w:val="clear" w:color="auto" w:fill="auto"/>
            <w:vAlign w:val="center"/>
          </w:tcPr>
          <w:p w14:paraId="3F83B839"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7</w:t>
            </w:r>
          </w:p>
        </w:tc>
        <w:tc>
          <w:tcPr>
            <w:tcW w:w="528" w:type="dxa"/>
            <w:tcBorders>
              <w:left w:val="single" w:sz="4" w:space="0" w:color="auto"/>
              <w:right w:val="single" w:sz="4" w:space="0" w:color="auto"/>
            </w:tcBorders>
            <w:shd w:val="clear" w:color="auto" w:fill="auto"/>
            <w:vAlign w:val="center"/>
          </w:tcPr>
          <w:p w14:paraId="3B3F349B"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-6</w:t>
            </w:r>
          </w:p>
        </w:tc>
      </w:tr>
      <w:tr w:rsidR="00EF4A2D" w:rsidRPr="00EF4A2D" w14:paraId="0C984238" w14:textId="77777777" w:rsidTr="00B9606F">
        <w:trPr>
          <w:jc w:val="center"/>
        </w:trPr>
        <w:tc>
          <w:tcPr>
            <w:tcW w:w="3100" w:type="dxa"/>
            <w:tcBorders>
              <w:left w:val="single" w:sz="4" w:space="0" w:color="auto"/>
              <w:right w:val="single" w:sz="4" w:space="0" w:color="auto"/>
            </w:tcBorders>
            <w:shd w:val="clear" w:color="auto" w:fill="auto"/>
            <w:vAlign w:val="center"/>
          </w:tcPr>
          <w:p w14:paraId="497A9A63" w14:textId="77777777" w:rsidR="00EF4A2D" w:rsidRPr="00EF4A2D" w:rsidRDefault="00EF4A2D" w:rsidP="00EF4A2D">
            <w:pPr>
              <w:ind w:left="170"/>
              <w:rPr>
                <w:rFonts w:eastAsia="Calibri"/>
                <w:sz w:val="14"/>
                <w:szCs w:val="14"/>
                <w:lang w:eastAsia="en-US"/>
              </w:rPr>
            </w:pPr>
            <w:r w:rsidRPr="00EF4A2D">
              <w:rPr>
                <w:rFonts w:eastAsia="Calibri"/>
                <w:sz w:val="14"/>
                <w:szCs w:val="14"/>
                <w:lang w:eastAsia="en-US"/>
              </w:rPr>
              <w:t xml:space="preserve">ASEAN </w:t>
            </w:r>
            <w:r w:rsidRPr="00EF4A2D">
              <w:rPr>
                <w:rFonts w:eastAsia="Calibri"/>
                <w:sz w:val="14"/>
                <w:szCs w:val="14"/>
                <w:u w:val="single"/>
                <w:vertAlign w:val="superscript"/>
                <w:lang w:eastAsia="en-US"/>
              </w:rPr>
              <w:t>f</w:t>
            </w:r>
            <w:r w:rsidRPr="00EF4A2D">
              <w:rPr>
                <w:rFonts w:eastAsia="Calibri"/>
                <w:sz w:val="14"/>
                <w:szCs w:val="14"/>
                <w:vertAlign w:val="superscript"/>
                <w:lang w:eastAsia="en-US"/>
              </w:rPr>
              <w:t>/</w:t>
            </w:r>
          </w:p>
        </w:tc>
        <w:tc>
          <w:tcPr>
            <w:tcW w:w="667" w:type="dxa"/>
            <w:tcBorders>
              <w:left w:val="single" w:sz="4" w:space="0" w:color="auto"/>
              <w:right w:val="single" w:sz="4" w:space="0" w:color="auto"/>
            </w:tcBorders>
            <w:shd w:val="clear" w:color="auto" w:fill="auto"/>
            <w:vAlign w:val="center"/>
          </w:tcPr>
          <w:p w14:paraId="7F8194D7"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1 299</w:t>
            </w:r>
          </w:p>
        </w:tc>
        <w:tc>
          <w:tcPr>
            <w:tcW w:w="588" w:type="dxa"/>
            <w:tcBorders>
              <w:left w:val="single" w:sz="4" w:space="0" w:color="auto"/>
              <w:right w:val="single" w:sz="4" w:space="0" w:color="auto"/>
            </w:tcBorders>
            <w:shd w:val="clear" w:color="auto" w:fill="auto"/>
            <w:vAlign w:val="center"/>
          </w:tcPr>
          <w:p w14:paraId="2937FAE3"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8</w:t>
            </w:r>
          </w:p>
        </w:tc>
        <w:tc>
          <w:tcPr>
            <w:tcW w:w="588" w:type="dxa"/>
            <w:tcBorders>
              <w:left w:val="single" w:sz="4" w:space="0" w:color="auto"/>
              <w:right w:val="single" w:sz="4" w:space="0" w:color="auto"/>
            </w:tcBorders>
            <w:shd w:val="clear" w:color="auto" w:fill="auto"/>
            <w:vAlign w:val="center"/>
          </w:tcPr>
          <w:p w14:paraId="63A096D4"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1</w:t>
            </w:r>
          </w:p>
        </w:tc>
        <w:tc>
          <w:tcPr>
            <w:tcW w:w="652" w:type="dxa"/>
            <w:tcBorders>
              <w:left w:val="single" w:sz="4" w:space="0" w:color="auto"/>
              <w:right w:val="single" w:sz="4" w:space="0" w:color="auto"/>
            </w:tcBorders>
            <w:shd w:val="clear" w:color="auto" w:fill="auto"/>
            <w:vAlign w:val="center"/>
          </w:tcPr>
          <w:p w14:paraId="22C71DFB"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1</w:t>
            </w:r>
          </w:p>
        </w:tc>
        <w:tc>
          <w:tcPr>
            <w:tcW w:w="635" w:type="dxa"/>
            <w:tcBorders>
              <w:left w:val="single" w:sz="4" w:space="0" w:color="auto"/>
              <w:right w:val="single" w:sz="4" w:space="0" w:color="auto"/>
            </w:tcBorders>
            <w:shd w:val="clear" w:color="auto" w:fill="auto"/>
            <w:vAlign w:val="center"/>
          </w:tcPr>
          <w:p w14:paraId="4BD5ED4A"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2</w:t>
            </w:r>
          </w:p>
        </w:tc>
        <w:tc>
          <w:tcPr>
            <w:tcW w:w="630" w:type="dxa"/>
            <w:tcBorders>
              <w:left w:val="single" w:sz="4" w:space="0" w:color="auto"/>
              <w:right w:val="single" w:sz="4" w:space="0" w:color="auto"/>
            </w:tcBorders>
            <w:shd w:val="clear" w:color="auto" w:fill="auto"/>
            <w:vAlign w:val="center"/>
          </w:tcPr>
          <w:p w14:paraId="68FD182E"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1 236</w:t>
            </w:r>
          </w:p>
        </w:tc>
        <w:tc>
          <w:tcPr>
            <w:tcW w:w="528" w:type="dxa"/>
            <w:tcBorders>
              <w:left w:val="single" w:sz="4" w:space="0" w:color="auto"/>
              <w:right w:val="single" w:sz="4" w:space="0" w:color="auto"/>
            </w:tcBorders>
            <w:shd w:val="clear" w:color="auto" w:fill="auto"/>
            <w:vAlign w:val="center"/>
          </w:tcPr>
          <w:p w14:paraId="509596EB"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8</w:t>
            </w:r>
          </w:p>
        </w:tc>
        <w:tc>
          <w:tcPr>
            <w:tcW w:w="593" w:type="dxa"/>
            <w:tcBorders>
              <w:left w:val="single" w:sz="4" w:space="0" w:color="auto"/>
              <w:right w:val="single" w:sz="4" w:space="0" w:color="auto"/>
            </w:tcBorders>
            <w:shd w:val="clear" w:color="auto" w:fill="auto"/>
            <w:vAlign w:val="center"/>
          </w:tcPr>
          <w:p w14:paraId="15CB9907"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6</w:t>
            </w:r>
          </w:p>
        </w:tc>
        <w:tc>
          <w:tcPr>
            <w:tcW w:w="574" w:type="dxa"/>
            <w:tcBorders>
              <w:left w:val="single" w:sz="4" w:space="0" w:color="auto"/>
              <w:right w:val="single" w:sz="4" w:space="0" w:color="auto"/>
            </w:tcBorders>
            <w:shd w:val="clear" w:color="auto" w:fill="auto"/>
            <w:vAlign w:val="center"/>
          </w:tcPr>
          <w:p w14:paraId="3EBA6B59"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2</w:t>
            </w:r>
          </w:p>
        </w:tc>
        <w:tc>
          <w:tcPr>
            <w:tcW w:w="528" w:type="dxa"/>
            <w:tcBorders>
              <w:left w:val="single" w:sz="4" w:space="0" w:color="auto"/>
              <w:right w:val="single" w:sz="4" w:space="0" w:color="auto"/>
            </w:tcBorders>
            <w:shd w:val="clear" w:color="auto" w:fill="auto"/>
            <w:vAlign w:val="center"/>
          </w:tcPr>
          <w:p w14:paraId="10B50BF4"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-1</w:t>
            </w:r>
          </w:p>
        </w:tc>
      </w:tr>
      <w:tr w:rsidR="00EF4A2D" w:rsidRPr="00EF4A2D" w14:paraId="62FA463E" w14:textId="77777777" w:rsidTr="00B9606F">
        <w:trPr>
          <w:jc w:val="center"/>
        </w:trPr>
        <w:tc>
          <w:tcPr>
            <w:tcW w:w="3100" w:type="dxa"/>
            <w:tcBorders>
              <w:left w:val="single" w:sz="4" w:space="0" w:color="auto"/>
              <w:right w:val="single" w:sz="4" w:space="0" w:color="auto"/>
            </w:tcBorders>
            <w:shd w:val="clear" w:color="auto" w:fill="auto"/>
            <w:vAlign w:val="center"/>
          </w:tcPr>
          <w:p w14:paraId="4831291F" w14:textId="77777777" w:rsidR="00EF4A2D" w:rsidRPr="00EF4A2D" w:rsidRDefault="00EF4A2D" w:rsidP="00EF4A2D">
            <w:pPr>
              <w:ind w:left="170"/>
              <w:rPr>
                <w:rFonts w:eastAsia="Calibri"/>
                <w:sz w:val="14"/>
                <w:szCs w:val="14"/>
                <w:lang w:eastAsia="en-US"/>
              </w:rPr>
            </w:pPr>
            <w:r w:rsidRPr="00EF4A2D">
              <w:rPr>
                <w:rFonts w:eastAsia="Calibri"/>
                <w:sz w:val="14"/>
                <w:szCs w:val="14"/>
                <w:lang w:eastAsia="en-US"/>
              </w:rPr>
              <w:t>UE (28) comercio extracomunitario</w:t>
            </w:r>
          </w:p>
        </w:tc>
        <w:tc>
          <w:tcPr>
            <w:tcW w:w="667" w:type="dxa"/>
            <w:tcBorders>
              <w:left w:val="single" w:sz="4" w:space="0" w:color="auto"/>
              <w:right w:val="single" w:sz="4" w:space="0" w:color="auto"/>
            </w:tcBorders>
            <w:shd w:val="clear" w:color="auto" w:fill="auto"/>
            <w:vAlign w:val="center"/>
          </w:tcPr>
          <w:p w14:paraId="21036EBE"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2 266</w:t>
            </w:r>
          </w:p>
        </w:tc>
        <w:tc>
          <w:tcPr>
            <w:tcW w:w="588" w:type="dxa"/>
            <w:tcBorders>
              <w:left w:val="single" w:sz="4" w:space="0" w:color="auto"/>
              <w:right w:val="single" w:sz="4" w:space="0" w:color="auto"/>
            </w:tcBorders>
            <w:shd w:val="clear" w:color="auto" w:fill="auto"/>
            <w:vAlign w:val="center"/>
          </w:tcPr>
          <w:p w14:paraId="1BBC38C1"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6</w:t>
            </w:r>
          </w:p>
        </w:tc>
        <w:tc>
          <w:tcPr>
            <w:tcW w:w="588" w:type="dxa"/>
            <w:tcBorders>
              <w:left w:val="single" w:sz="4" w:space="0" w:color="auto"/>
              <w:right w:val="single" w:sz="4" w:space="0" w:color="auto"/>
            </w:tcBorders>
            <w:shd w:val="clear" w:color="auto" w:fill="auto"/>
            <w:vAlign w:val="center"/>
          </w:tcPr>
          <w:p w14:paraId="1EDA13C4"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0</w:t>
            </w:r>
          </w:p>
        </w:tc>
        <w:tc>
          <w:tcPr>
            <w:tcW w:w="652" w:type="dxa"/>
            <w:tcBorders>
              <w:left w:val="single" w:sz="4" w:space="0" w:color="auto"/>
              <w:right w:val="single" w:sz="4" w:space="0" w:color="auto"/>
            </w:tcBorders>
            <w:shd w:val="clear" w:color="auto" w:fill="auto"/>
            <w:vAlign w:val="center"/>
          </w:tcPr>
          <w:p w14:paraId="2F34FCE7"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7</w:t>
            </w:r>
          </w:p>
        </w:tc>
        <w:tc>
          <w:tcPr>
            <w:tcW w:w="635" w:type="dxa"/>
            <w:tcBorders>
              <w:left w:val="single" w:sz="4" w:space="0" w:color="auto"/>
              <w:right w:val="single" w:sz="4" w:space="0" w:color="auto"/>
            </w:tcBorders>
            <w:shd w:val="clear" w:color="auto" w:fill="auto"/>
            <w:vAlign w:val="center"/>
          </w:tcPr>
          <w:p w14:paraId="1ED6F453" w14:textId="77777777" w:rsidR="00EF4A2D" w:rsidRPr="00EF4A2D" w:rsidRDefault="00EF4A2D" w:rsidP="00EF4A2D">
            <w:pPr>
              <w:ind w:right="113"/>
              <w:jc w:val="right"/>
              <w:rPr>
                <w:rFonts w:eastAsia="Calibri"/>
                <w:sz w:val="14"/>
                <w:szCs w:val="14"/>
                <w:lang w:eastAsia="en-US"/>
              </w:rPr>
            </w:pPr>
            <w:r w:rsidRPr="00EF4A2D">
              <w:rPr>
                <w:rFonts w:eastAsia="Calibri"/>
                <w:sz w:val="14"/>
                <w:szCs w:val="14"/>
                <w:lang w:eastAsia="en-US"/>
              </w:rPr>
              <w:t>-2</w:t>
            </w:r>
          </w:p>
        </w:tc>
        <w:tc>
          <w:tcPr>
            <w:tcW w:w="630" w:type="dxa"/>
            <w:tcBorders>
              <w:left w:val="single" w:sz="4" w:space="0" w:color="auto"/>
              <w:right w:val="single" w:sz="4" w:space="0" w:color="auto"/>
            </w:tcBorders>
            <w:shd w:val="clear" w:color="auto" w:fill="auto"/>
            <w:vAlign w:val="center"/>
          </w:tcPr>
          <w:p w14:paraId="3767D5CA" w14:textId="77777777" w:rsidR="00EF4A2D" w:rsidRPr="00EF4A2D" w:rsidRDefault="00EF4A2D" w:rsidP="00EF4A2D">
            <w:pPr>
              <w:jc w:val="right"/>
              <w:rPr>
                <w:rFonts w:eastAsia="Calibri"/>
                <w:sz w:val="14"/>
                <w:szCs w:val="14"/>
                <w:lang w:eastAsia="en-US"/>
              </w:rPr>
            </w:pPr>
            <w:r w:rsidRPr="00EF4A2D">
              <w:rPr>
                <w:rFonts w:eastAsia="Calibri"/>
                <w:sz w:val="14"/>
                <w:szCs w:val="14"/>
                <w:lang w:eastAsia="en-US"/>
              </w:rPr>
              <w:t>2 233</w:t>
            </w:r>
          </w:p>
        </w:tc>
        <w:tc>
          <w:tcPr>
            <w:tcW w:w="528" w:type="dxa"/>
            <w:tcBorders>
              <w:left w:val="single" w:sz="4" w:space="0" w:color="auto"/>
              <w:right w:val="single" w:sz="4" w:space="0" w:color="auto"/>
            </w:tcBorders>
            <w:shd w:val="clear" w:color="auto" w:fill="auto"/>
            <w:vAlign w:val="center"/>
          </w:tcPr>
          <w:p w14:paraId="258184B8"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5</w:t>
            </w:r>
          </w:p>
        </w:tc>
        <w:tc>
          <w:tcPr>
            <w:tcW w:w="593" w:type="dxa"/>
            <w:tcBorders>
              <w:left w:val="single" w:sz="4" w:space="0" w:color="auto"/>
              <w:right w:val="single" w:sz="4" w:space="0" w:color="auto"/>
            </w:tcBorders>
            <w:shd w:val="clear" w:color="auto" w:fill="auto"/>
            <w:vAlign w:val="center"/>
          </w:tcPr>
          <w:p w14:paraId="74CD549E"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-4</w:t>
            </w:r>
          </w:p>
        </w:tc>
        <w:tc>
          <w:tcPr>
            <w:tcW w:w="574" w:type="dxa"/>
            <w:tcBorders>
              <w:left w:val="single" w:sz="4" w:space="0" w:color="auto"/>
              <w:right w:val="single" w:sz="4" w:space="0" w:color="auto"/>
            </w:tcBorders>
            <w:shd w:val="clear" w:color="auto" w:fill="auto"/>
            <w:vAlign w:val="center"/>
          </w:tcPr>
          <w:p w14:paraId="04342012"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3</w:t>
            </w:r>
          </w:p>
        </w:tc>
        <w:tc>
          <w:tcPr>
            <w:tcW w:w="528" w:type="dxa"/>
            <w:tcBorders>
              <w:left w:val="single" w:sz="4" w:space="0" w:color="auto"/>
              <w:right w:val="single" w:sz="4" w:space="0" w:color="auto"/>
            </w:tcBorders>
            <w:shd w:val="clear" w:color="auto" w:fill="auto"/>
            <w:vAlign w:val="center"/>
          </w:tcPr>
          <w:p w14:paraId="5EBF10F4" w14:textId="77777777" w:rsidR="00EF4A2D" w:rsidRPr="00EF4A2D" w:rsidRDefault="00EF4A2D" w:rsidP="00EF4A2D">
            <w:pPr>
              <w:ind w:right="57"/>
              <w:jc w:val="right"/>
              <w:rPr>
                <w:rFonts w:eastAsia="Calibri"/>
                <w:sz w:val="14"/>
                <w:szCs w:val="14"/>
                <w:lang w:eastAsia="en-US"/>
              </w:rPr>
            </w:pPr>
            <w:r w:rsidRPr="00EF4A2D">
              <w:rPr>
                <w:rFonts w:eastAsia="Calibri"/>
                <w:sz w:val="14"/>
                <w:szCs w:val="14"/>
                <w:lang w:eastAsia="en-US"/>
              </w:rPr>
              <w:t>0</w:t>
            </w:r>
          </w:p>
        </w:tc>
      </w:tr>
      <w:tr w:rsidR="00EF4A2D" w:rsidRPr="00EF4A2D" w14:paraId="1E551AFF" w14:textId="77777777" w:rsidTr="00B9606F">
        <w:trPr>
          <w:jc w:val="center"/>
        </w:trPr>
        <w:tc>
          <w:tcPr>
            <w:tcW w:w="3100" w:type="dxa"/>
            <w:tcBorders>
              <w:left w:val="single" w:sz="4" w:space="0" w:color="auto"/>
              <w:right w:val="single" w:sz="4" w:space="0" w:color="auto"/>
            </w:tcBorders>
            <w:vAlign w:val="center"/>
          </w:tcPr>
          <w:p w14:paraId="36659E0D" w14:textId="77777777" w:rsidR="00EF4A2D" w:rsidRPr="00EF4A2D" w:rsidRDefault="00EF4A2D" w:rsidP="00EF4A2D">
            <w:pPr>
              <w:spacing w:after="120"/>
              <w:ind w:left="170"/>
              <w:rPr>
                <w:rFonts w:eastAsia="Calibri"/>
                <w:sz w:val="14"/>
                <w:szCs w:val="14"/>
                <w:lang w:eastAsia="en-US"/>
              </w:rPr>
            </w:pPr>
            <w:r w:rsidRPr="00EF4A2D">
              <w:rPr>
                <w:rFonts w:eastAsia="Calibri"/>
                <w:sz w:val="14"/>
                <w:szCs w:val="14"/>
                <w:lang w:eastAsia="en-US"/>
              </w:rPr>
              <w:t>Países menos adelantados (PMA)</w:t>
            </w:r>
          </w:p>
        </w:tc>
        <w:tc>
          <w:tcPr>
            <w:tcW w:w="667" w:type="dxa"/>
            <w:tcBorders>
              <w:left w:val="single" w:sz="4" w:space="0" w:color="auto"/>
              <w:right w:val="single" w:sz="4" w:space="0" w:color="auto"/>
            </w:tcBorders>
            <w:vAlign w:val="center"/>
          </w:tcPr>
          <w:p w14:paraId="736D3748" w14:textId="77777777" w:rsidR="00EF4A2D" w:rsidRPr="00EF4A2D" w:rsidRDefault="00EF4A2D" w:rsidP="00EF4A2D">
            <w:pPr>
              <w:spacing w:after="120"/>
              <w:jc w:val="right"/>
              <w:rPr>
                <w:rFonts w:eastAsia="Calibri"/>
                <w:sz w:val="14"/>
                <w:szCs w:val="14"/>
                <w:lang w:eastAsia="en-US"/>
              </w:rPr>
            </w:pPr>
            <w:r w:rsidRPr="00EF4A2D">
              <w:rPr>
                <w:rFonts w:eastAsia="Calibri"/>
                <w:sz w:val="14"/>
                <w:szCs w:val="14"/>
                <w:lang w:eastAsia="en-US"/>
              </w:rPr>
              <w:t>211</w:t>
            </w:r>
          </w:p>
        </w:tc>
        <w:tc>
          <w:tcPr>
            <w:tcW w:w="588" w:type="dxa"/>
            <w:tcBorders>
              <w:left w:val="single" w:sz="4" w:space="0" w:color="auto"/>
              <w:right w:val="single" w:sz="4" w:space="0" w:color="auto"/>
            </w:tcBorders>
            <w:vAlign w:val="center"/>
          </w:tcPr>
          <w:p w14:paraId="3FEEA7D6"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11</w:t>
            </w:r>
          </w:p>
        </w:tc>
        <w:tc>
          <w:tcPr>
            <w:tcW w:w="588" w:type="dxa"/>
            <w:tcBorders>
              <w:left w:val="single" w:sz="4" w:space="0" w:color="auto"/>
              <w:right w:val="single" w:sz="4" w:space="0" w:color="auto"/>
            </w:tcBorders>
            <w:vAlign w:val="center"/>
          </w:tcPr>
          <w:p w14:paraId="41A99F20"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1</w:t>
            </w:r>
          </w:p>
        </w:tc>
        <w:tc>
          <w:tcPr>
            <w:tcW w:w="652" w:type="dxa"/>
            <w:tcBorders>
              <w:left w:val="single" w:sz="4" w:space="0" w:color="auto"/>
              <w:right w:val="single" w:sz="4" w:space="0" w:color="auto"/>
            </w:tcBorders>
            <w:vAlign w:val="center"/>
          </w:tcPr>
          <w:p w14:paraId="234A550F"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5</w:t>
            </w:r>
          </w:p>
        </w:tc>
        <w:tc>
          <w:tcPr>
            <w:tcW w:w="635" w:type="dxa"/>
            <w:tcBorders>
              <w:left w:val="single" w:sz="4" w:space="0" w:color="auto"/>
              <w:right w:val="single" w:sz="4" w:space="0" w:color="auto"/>
            </w:tcBorders>
            <w:vAlign w:val="center"/>
          </w:tcPr>
          <w:p w14:paraId="75ADF065" w14:textId="77777777" w:rsidR="00EF4A2D" w:rsidRPr="00EF4A2D" w:rsidRDefault="00EF4A2D" w:rsidP="00EF4A2D">
            <w:pPr>
              <w:spacing w:after="120"/>
              <w:ind w:right="113"/>
              <w:jc w:val="right"/>
              <w:rPr>
                <w:rFonts w:eastAsia="Calibri"/>
                <w:sz w:val="14"/>
                <w:szCs w:val="14"/>
                <w:lang w:eastAsia="en-US"/>
              </w:rPr>
            </w:pPr>
            <w:r w:rsidRPr="00EF4A2D">
              <w:rPr>
                <w:rFonts w:eastAsia="Calibri"/>
                <w:sz w:val="14"/>
                <w:szCs w:val="14"/>
                <w:lang w:eastAsia="en-US"/>
              </w:rPr>
              <w:t>-2</w:t>
            </w:r>
          </w:p>
        </w:tc>
        <w:tc>
          <w:tcPr>
            <w:tcW w:w="630" w:type="dxa"/>
            <w:tcBorders>
              <w:left w:val="single" w:sz="4" w:space="0" w:color="auto"/>
              <w:right w:val="single" w:sz="4" w:space="0" w:color="auto"/>
            </w:tcBorders>
            <w:vAlign w:val="center"/>
          </w:tcPr>
          <w:p w14:paraId="2CEC4BA1" w14:textId="77777777" w:rsidR="00EF4A2D" w:rsidRPr="00EF4A2D" w:rsidRDefault="00EF4A2D" w:rsidP="00EF4A2D">
            <w:pPr>
              <w:spacing w:after="120"/>
              <w:jc w:val="right"/>
              <w:rPr>
                <w:rFonts w:eastAsia="Calibri"/>
                <w:sz w:val="14"/>
                <w:szCs w:val="14"/>
                <w:lang w:eastAsia="en-US"/>
              </w:rPr>
            </w:pPr>
            <w:r w:rsidRPr="00EF4A2D">
              <w:rPr>
                <w:rFonts w:eastAsia="Calibri"/>
                <w:sz w:val="14"/>
                <w:szCs w:val="14"/>
                <w:lang w:eastAsia="en-US"/>
              </w:rPr>
              <w:t>271</w:t>
            </w:r>
          </w:p>
        </w:tc>
        <w:tc>
          <w:tcPr>
            <w:tcW w:w="528" w:type="dxa"/>
            <w:tcBorders>
              <w:left w:val="single" w:sz="4" w:space="0" w:color="auto"/>
              <w:right w:val="single" w:sz="4" w:space="0" w:color="auto"/>
            </w:tcBorders>
            <w:vAlign w:val="center"/>
          </w:tcPr>
          <w:p w14:paraId="001E1990"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13</w:t>
            </w:r>
          </w:p>
        </w:tc>
        <w:tc>
          <w:tcPr>
            <w:tcW w:w="593" w:type="dxa"/>
            <w:tcBorders>
              <w:left w:val="single" w:sz="4" w:space="0" w:color="auto"/>
              <w:right w:val="single" w:sz="4" w:space="0" w:color="auto"/>
            </w:tcBorders>
            <w:vAlign w:val="center"/>
          </w:tcPr>
          <w:p w14:paraId="1DC75406"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11</w:t>
            </w:r>
          </w:p>
        </w:tc>
        <w:tc>
          <w:tcPr>
            <w:tcW w:w="574" w:type="dxa"/>
            <w:tcBorders>
              <w:left w:val="single" w:sz="4" w:space="0" w:color="auto"/>
              <w:right w:val="single" w:sz="4" w:space="0" w:color="auto"/>
            </w:tcBorders>
            <w:vAlign w:val="center"/>
          </w:tcPr>
          <w:p w14:paraId="02EF3231"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8</w:t>
            </w:r>
          </w:p>
        </w:tc>
        <w:tc>
          <w:tcPr>
            <w:tcW w:w="528" w:type="dxa"/>
            <w:tcBorders>
              <w:left w:val="single" w:sz="4" w:space="0" w:color="auto"/>
              <w:right w:val="single" w:sz="4" w:space="0" w:color="auto"/>
            </w:tcBorders>
            <w:vAlign w:val="center"/>
          </w:tcPr>
          <w:p w14:paraId="2D6532A8" w14:textId="77777777" w:rsidR="00EF4A2D" w:rsidRPr="00EF4A2D" w:rsidRDefault="00EF4A2D" w:rsidP="00EF4A2D">
            <w:pPr>
              <w:spacing w:after="120"/>
              <w:ind w:right="57"/>
              <w:jc w:val="right"/>
              <w:rPr>
                <w:rFonts w:eastAsia="Calibri"/>
                <w:sz w:val="14"/>
                <w:szCs w:val="14"/>
                <w:lang w:eastAsia="en-US"/>
              </w:rPr>
            </w:pPr>
            <w:r w:rsidRPr="00EF4A2D">
              <w:rPr>
                <w:rFonts w:eastAsia="Calibri"/>
                <w:sz w:val="14"/>
                <w:szCs w:val="14"/>
                <w:lang w:eastAsia="en-US"/>
              </w:rPr>
              <w:t>8</w:t>
            </w:r>
          </w:p>
        </w:tc>
      </w:tr>
      <w:tr w:rsidR="00EF4A2D" w:rsidRPr="00EF4A2D" w14:paraId="1EAA6365" w14:textId="77777777" w:rsidTr="00B9606F">
        <w:trPr>
          <w:jc w:val="center"/>
        </w:trPr>
        <w:tc>
          <w:tcPr>
            <w:tcW w:w="9083" w:type="dxa"/>
            <w:gridSpan w:val="11"/>
            <w:tcBorders>
              <w:top w:val="single" w:sz="4" w:space="0" w:color="auto"/>
            </w:tcBorders>
            <w:vAlign w:val="center"/>
          </w:tcPr>
          <w:p w14:paraId="41F96973" w14:textId="77777777" w:rsidR="00EF4A2D" w:rsidRPr="00EF4A2D" w:rsidRDefault="00EF4A2D" w:rsidP="003518F4">
            <w:pPr>
              <w:numPr>
                <w:ilvl w:val="0"/>
                <w:numId w:val="133"/>
              </w:numPr>
              <w:spacing w:before="120" w:after="200" w:line="276" w:lineRule="auto"/>
              <w:ind w:left="284" w:hanging="284"/>
              <w:contextualSpacing/>
              <w:jc w:val="both"/>
              <w:rPr>
                <w:rFonts w:eastAsia="Calibri"/>
                <w:sz w:val="18"/>
                <w:szCs w:val="18"/>
                <w:lang w:eastAsia="en-US"/>
              </w:rPr>
            </w:pPr>
            <w:r w:rsidRPr="00EF4A2D">
              <w:rPr>
                <w:rFonts w:eastAsia="Calibri"/>
                <w:sz w:val="18"/>
                <w:szCs w:val="18"/>
                <w:lang w:eastAsia="en-US"/>
              </w:rPr>
              <w:t xml:space="preserve">Las importaciones se expresan en valor </w:t>
            </w:r>
            <w:proofErr w:type="spellStart"/>
            <w:r w:rsidRPr="00EF4A2D">
              <w:rPr>
                <w:rFonts w:eastAsia="Calibri"/>
                <w:sz w:val="18"/>
                <w:szCs w:val="18"/>
                <w:lang w:eastAsia="en-US"/>
              </w:rPr>
              <w:t>f.o.b</w:t>
            </w:r>
            <w:proofErr w:type="spellEnd"/>
            <w:r w:rsidRPr="00EF4A2D">
              <w:rPr>
                <w:rFonts w:eastAsia="Calibri"/>
                <w:sz w:val="18"/>
                <w:szCs w:val="18"/>
                <w:lang w:eastAsia="en-US"/>
              </w:rPr>
              <w:t>.</w:t>
            </w:r>
          </w:p>
          <w:p w14:paraId="184F3F31" w14:textId="320124EA" w:rsidR="00EF4A2D" w:rsidRPr="00EF4A2D" w:rsidRDefault="00EF4A2D" w:rsidP="003518F4">
            <w:pPr>
              <w:numPr>
                <w:ilvl w:val="0"/>
                <w:numId w:val="133"/>
              </w:numPr>
              <w:spacing w:after="200" w:line="276" w:lineRule="auto"/>
              <w:ind w:left="284" w:hanging="284"/>
              <w:contextualSpacing/>
              <w:jc w:val="both"/>
              <w:rPr>
                <w:rFonts w:eastAsia="Calibri"/>
                <w:sz w:val="18"/>
                <w:szCs w:val="18"/>
                <w:lang w:eastAsia="en-US"/>
              </w:rPr>
            </w:pPr>
            <w:r w:rsidRPr="00EF4A2D">
              <w:rPr>
                <w:rFonts w:eastAsia="Calibri"/>
                <w:sz w:val="18"/>
                <w:szCs w:val="18"/>
                <w:lang w:eastAsia="en-US"/>
              </w:rPr>
              <w:t>Incluye el Caribe. Véase la composición de los grupos de países en las Notas técnicas de las “Estadísticas del Comercio Internacional 201</w:t>
            </w:r>
            <w:r w:rsidR="00BC7BEB">
              <w:rPr>
                <w:rFonts w:eastAsia="Calibri"/>
                <w:sz w:val="18"/>
                <w:szCs w:val="18"/>
                <w:lang w:eastAsia="en-US"/>
              </w:rPr>
              <w:t>4</w:t>
            </w:r>
            <w:r w:rsidRPr="00EF4A2D">
              <w:rPr>
                <w:rFonts w:eastAsia="Calibri"/>
                <w:sz w:val="18"/>
                <w:szCs w:val="18"/>
                <w:lang w:eastAsia="en-US"/>
              </w:rPr>
              <w:t>” de la OMC.</w:t>
            </w:r>
          </w:p>
          <w:p w14:paraId="3337E92F" w14:textId="77777777" w:rsidR="00EF4A2D" w:rsidRPr="00EF4A2D" w:rsidRDefault="00EF4A2D" w:rsidP="003518F4">
            <w:pPr>
              <w:numPr>
                <w:ilvl w:val="0"/>
                <w:numId w:val="133"/>
              </w:numPr>
              <w:spacing w:after="200" w:line="276" w:lineRule="auto"/>
              <w:ind w:left="284" w:hanging="284"/>
              <w:contextualSpacing/>
              <w:jc w:val="both"/>
              <w:rPr>
                <w:rFonts w:eastAsia="Calibri"/>
                <w:sz w:val="18"/>
                <w:szCs w:val="18"/>
                <w:lang w:eastAsia="en-US"/>
              </w:rPr>
            </w:pPr>
            <w:r w:rsidRPr="00EF4A2D">
              <w:rPr>
                <w:rFonts w:eastAsia="Calibri"/>
                <w:sz w:val="18"/>
                <w:szCs w:val="18"/>
                <w:lang w:eastAsia="en-US"/>
              </w:rPr>
              <w:t>Argelia, Angola, Camerún, Chad, Congo, Gabón, Guinea Ecuatorial, Libia, Nigeria, Sudán.</w:t>
            </w:r>
          </w:p>
          <w:p w14:paraId="02F97443" w14:textId="77777777" w:rsidR="00EF4A2D" w:rsidRPr="00EF4A2D" w:rsidRDefault="00EF4A2D" w:rsidP="003518F4">
            <w:pPr>
              <w:numPr>
                <w:ilvl w:val="0"/>
                <w:numId w:val="133"/>
              </w:numPr>
              <w:spacing w:after="200" w:line="276" w:lineRule="auto"/>
              <w:ind w:left="284" w:hanging="284"/>
              <w:contextualSpacing/>
              <w:jc w:val="both"/>
              <w:rPr>
                <w:rFonts w:eastAsia="Calibri"/>
                <w:sz w:val="18"/>
                <w:szCs w:val="18"/>
                <w:lang w:eastAsia="en-US"/>
              </w:rPr>
            </w:pPr>
            <w:r w:rsidRPr="00EF4A2D">
              <w:rPr>
                <w:rFonts w:eastAsia="Calibri"/>
                <w:sz w:val="18"/>
                <w:szCs w:val="18"/>
                <w:lang w:eastAsia="en-US"/>
              </w:rPr>
              <w:t xml:space="preserve">Hong Kong, China; República de Corea; Singapur y </w:t>
            </w:r>
            <w:proofErr w:type="spellStart"/>
            <w:r w:rsidRPr="00EF4A2D">
              <w:rPr>
                <w:rFonts w:eastAsia="Calibri"/>
                <w:sz w:val="18"/>
                <w:szCs w:val="18"/>
                <w:lang w:eastAsia="en-US"/>
              </w:rPr>
              <w:t>Taipei</w:t>
            </w:r>
            <w:proofErr w:type="spellEnd"/>
            <w:r w:rsidRPr="00EF4A2D">
              <w:rPr>
                <w:rFonts w:eastAsia="Calibri"/>
                <w:sz w:val="18"/>
                <w:szCs w:val="18"/>
                <w:lang w:eastAsia="en-US"/>
              </w:rPr>
              <w:t xml:space="preserve"> Chino.</w:t>
            </w:r>
          </w:p>
          <w:p w14:paraId="36EDED0E" w14:textId="77777777" w:rsidR="00EF4A2D" w:rsidRPr="00EF4A2D" w:rsidRDefault="00EF4A2D" w:rsidP="003518F4">
            <w:pPr>
              <w:numPr>
                <w:ilvl w:val="0"/>
                <w:numId w:val="133"/>
              </w:numPr>
              <w:spacing w:after="200" w:line="276" w:lineRule="auto"/>
              <w:ind w:left="284" w:hanging="284"/>
              <w:contextualSpacing/>
              <w:jc w:val="both"/>
              <w:rPr>
                <w:rFonts w:eastAsia="Calibri"/>
                <w:sz w:val="18"/>
                <w:szCs w:val="18"/>
                <w:lang w:eastAsia="en-US"/>
              </w:rPr>
            </w:pPr>
            <w:r w:rsidRPr="00EF4A2D">
              <w:rPr>
                <w:rFonts w:eastAsia="Calibri"/>
                <w:sz w:val="18"/>
                <w:szCs w:val="18"/>
                <w:lang w:eastAsia="en-US"/>
              </w:rPr>
              <w:t>Mercado Común del Sur: Argentina, Brasil, Paraguay; Uruguay.</w:t>
            </w:r>
          </w:p>
          <w:p w14:paraId="60AC0D33" w14:textId="78784FED" w:rsidR="00EF4A2D" w:rsidRPr="00EF4A2D" w:rsidRDefault="00EF4A2D" w:rsidP="003518F4">
            <w:pPr>
              <w:numPr>
                <w:ilvl w:val="0"/>
                <w:numId w:val="133"/>
              </w:numPr>
              <w:spacing w:after="200" w:line="276" w:lineRule="auto"/>
              <w:ind w:left="284" w:hanging="284"/>
              <w:contextualSpacing/>
              <w:jc w:val="both"/>
              <w:rPr>
                <w:rFonts w:eastAsia="Calibri"/>
                <w:sz w:val="18"/>
                <w:szCs w:val="18"/>
                <w:lang w:eastAsia="en-US"/>
              </w:rPr>
            </w:pPr>
            <w:r w:rsidRPr="00EF4A2D">
              <w:rPr>
                <w:rFonts w:eastAsia="Calibri"/>
                <w:sz w:val="18"/>
                <w:szCs w:val="18"/>
                <w:lang w:eastAsia="en-US"/>
              </w:rPr>
              <w:t xml:space="preserve">Asociación de </w:t>
            </w:r>
            <w:r w:rsidR="006F0847">
              <w:rPr>
                <w:rFonts w:eastAsia="Calibri"/>
                <w:sz w:val="18"/>
                <w:szCs w:val="18"/>
                <w:lang w:eastAsia="en-US"/>
              </w:rPr>
              <w:t>N</w:t>
            </w:r>
            <w:r w:rsidRPr="00EF4A2D">
              <w:rPr>
                <w:rFonts w:eastAsia="Calibri"/>
                <w:sz w:val="18"/>
                <w:szCs w:val="18"/>
                <w:lang w:eastAsia="en-US"/>
              </w:rPr>
              <w:t>aciones del Asia Sudoriental; Brunei, Camboya, Indonesia, República Democrática Popular Lao, Malasia, Myanmar, Filipinas, Singapur, Tailandia y Vietnam.</w:t>
            </w:r>
          </w:p>
          <w:p w14:paraId="43834993" w14:textId="77777777" w:rsidR="00EF4A2D" w:rsidRPr="00EF4A2D" w:rsidRDefault="00EF4A2D" w:rsidP="00EF4A2D">
            <w:pPr>
              <w:ind w:left="170" w:right="57" w:hanging="170"/>
              <w:jc w:val="both"/>
              <w:rPr>
                <w:rFonts w:eastAsia="Calibri"/>
                <w:sz w:val="18"/>
                <w:szCs w:val="18"/>
                <w:lang w:eastAsia="en-US"/>
              </w:rPr>
            </w:pPr>
            <w:r w:rsidRPr="00EF4A2D">
              <w:rPr>
                <w:rFonts w:eastAsia="Calibri"/>
                <w:sz w:val="18"/>
                <w:szCs w:val="18"/>
                <w:lang w:eastAsia="en-US"/>
              </w:rPr>
              <w:t>FUENTE: Secretaría de la OMC.</w:t>
            </w:r>
          </w:p>
        </w:tc>
      </w:tr>
    </w:tbl>
    <w:p w14:paraId="09B3EF1D" w14:textId="77777777" w:rsidR="00EF4A2D" w:rsidRPr="00EF4A2D" w:rsidRDefault="00EF4A2D" w:rsidP="00EF4A2D">
      <w:pPr>
        <w:spacing w:after="360" w:line="360" w:lineRule="auto"/>
        <w:ind w:right="-159"/>
        <w:jc w:val="center"/>
        <w:rPr>
          <w:rFonts w:eastAsia="Calibri"/>
          <w:sz w:val="26"/>
          <w:szCs w:val="26"/>
          <w:lang w:eastAsia="en-US"/>
        </w:rPr>
      </w:pPr>
    </w:p>
    <w:p w14:paraId="56E8E1B5" w14:textId="77777777" w:rsidR="00EF4A2D" w:rsidRPr="00EF4A2D" w:rsidRDefault="00EF4A2D" w:rsidP="00EF4A2D">
      <w:pPr>
        <w:spacing w:after="360" w:line="360" w:lineRule="auto"/>
        <w:ind w:right="-159"/>
        <w:jc w:val="center"/>
        <w:rPr>
          <w:rFonts w:eastAsia="Calibri"/>
          <w:sz w:val="26"/>
          <w:szCs w:val="26"/>
          <w:lang w:eastAsia="en-US"/>
        </w:rPr>
      </w:pPr>
    </w:p>
    <w:p w14:paraId="3F27C31B" w14:textId="77777777" w:rsidR="00EF4A2D" w:rsidRDefault="00EF4A2D" w:rsidP="00EF4A2D">
      <w:pPr>
        <w:spacing w:after="360" w:line="360" w:lineRule="auto"/>
        <w:ind w:right="-159"/>
        <w:jc w:val="center"/>
        <w:rPr>
          <w:rFonts w:eastAsia="Calibri"/>
          <w:sz w:val="26"/>
          <w:szCs w:val="26"/>
          <w:lang w:eastAsia="en-US"/>
        </w:rPr>
      </w:pPr>
    </w:p>
    <w:p w14:paraId="20673983" w14:textId="77777777" w:rsidR="004D07F1" w:rsidRPr="00EF4A2D" w:rsidRDefault="004D07F1" w:rsidP="00EF4A2D">
      <w:pPr>
        <w:spacing w:after="360" w:line="360" w:lineRule="auto"/>
        <w:ind w:right="-159"/>
        <w:jc w:val="center"/>
        <w:rPr>
          <w:rFonts w:eastAsia="Calibri"/>
          <w:sz w:val="26"/>
          <w:szCs w:val="26"/>
          <w:lang w:eastAsia="en-US"/>
        </w:rPr>
      </w:pPr>
    </w:p>
    <w:tbl>
      <w:tblPr>
        <w:tblW w:w="9083" w:type="dxa"/>
        <w:jc w:val="center"/>
        <w:tblLook w:val="01E0" w:firstRow="1" w:lastRow="1" w:firstColumn="1" w:lastColumn="1" w:noHBand="0" w:noVBand="0"/>
      </w:tblPr>
      <w:tblGrid>
        <w:gridCol w:w="3100"/>
        <w:gridCol w:w="667"/>
        <w:gridCol w:w="588"/>
        <w:gridCol w:w="588"/>
        <w:gridCol w:w="652"/>
        <w:gridCol w:w="635"/>
        <w:gridCol w:w="630"/>
        <w:gridCol w:w="528"/>
        <w:gridCol w:w="593"/>
        <w:gridCol w:w="574"/>
        <w:gridCol w:w="528"/>
      </w:tblGrid>
      <w:tr w:rsidR="00EF4A2D" w:rsidRPr="00EF4A2D" w14:paraId="6D3D4519" w14:textId="77777777" w:rsidTr="00B9606F">
        <w:trPr>
          <w:trHeight w:val="173"/>
          <w:jc w:val="center"/>
        </w:trPr>
        <w:tc>
          <w:tcPr>
            <w:tcW w:w="9083" w:type="dxa"/>
            <w:gridSpan w:val="11"/>
            <w:tcBorders>
              <w:bottom w:val="single" w:sz="4" w:space="0" w:color="auto"/>
            </w:tcBorders>
            <w:vAlign w:val="center"/>
          </w:tcPr>
          <w:p w14:paraId="7374C14A" w14:textId="77777777" w:rsidR="00EF4A2D" w:rsidRPr="00EF4A2D" w:rsidRDefault="00EF4A2D" w:rsidP="004D07F1">
            <w:pPr>
              <w:jc w:val="center"/>
              <w:rPr>
                <w:rFonts w:eastAsia="Calibri"/>
                <w:b/>
                <w:sz w:val="22"/>
                <w:szCs w:val="22"/>
                <w:lang w:eastAsia="en-US"/>
              </w:rPr>
            </w:pPr>
            <w:r w:rsidRPr="00EF4A2D">
              <w:rPr>
                <w:rFonts w:eastAsia="Calibri"/>
                <w:b/>
                <w:sz w:val="22"/>
                <w:szCs w:val="22"/>
                <w:lang w:eastAsia="en-US"/>
              </w:rPr>
              <w:lastRenderedPageBreak/>
              <w:t>COMERCIO MUNDIAL DE SERVICIOS COMERCIALES POR</w:t>
            </w:r>
          </w:p>
          <w:p w14:paraId="612835F5" w14:textId="77777777" w:rsidR="00EF4A2D" w:rsidRPr="00EF4A2D" w:rsidRDefault="00EF4A2D" w:rsidP="004D07F1">
            <w:pPr>
              <w:jc w:val="center"/>
              <w:rPr>
                <w:rFonts w:eastAsia="Calibri"/>
                <w:b/>
                <w:sz w:val="22"/>
                <w:szCs w:val="22"/>
                <w:lang w:eastAsia="en-US"/>
              </w:rPr>
            </w:pPr>
            <w:r w:rsidRPr="00EF4A2D">
              <w:rPr>
                <w:rFonts w:eastAsia="Calibri"/>
                <w:b/>
                <w:sz w:val="22"/>
                <w:szCs w:val="22"/>
                <w:lang w:eastAsia="en-US"/>
              </w:rPr>
              <w:t>REGIONES Y POR DETERMINADAS ECONOMÍAS, 2014</w:t>
            </w:r>
          </w:p>
          <w:p w14:paraId="5C24076A" w14:textId="70F1ED9C" w:rsidR="00EF4A2D" w:rsidRPr="00EF4A2D" w:rsidRDefault="00EF4A2D" w:rsidP="004D07F1">
            <w:pPr>
              <w:jc w:val="center"/>
              <w:rPr>
                <w:rFonts w:eastAsia="Calibri"/>
                <w:b/>
                <w:sz w:val="22"/>
                <w:szCs w:val="22"/>
                <w:lang w:eastAsia="en-US"/>
              </w:rPr>
            </w:pPr>
            <w:r w:rsidRPr="00EF4A2D">
              <w:rPr>
                <w:rFonts w:eastAsia="Calibri"/>
                <w:b/>
                <w:sz w:val="22"/>
                <w:szCs w:val="22"/>
                <w:lang w:eastAsia="en-US"/>
              </w:rPr>
              <w:t xml:space="preserve">-En miles de millones de dólares </w:t>
            </w:r>
            <w:r w:rsidR="00BC7BEB">
              <w:rPr>
                <w:rFonts w:eastAsia="Calibri"/>
                <w:b/>
                <w:sz w:val="22"/>
                <w:szCs w:val="22"/>
                <w:lang w:eastAsia="en-US"/>
              </w:rPr>
              <w:t xml:space="preserve">estadounidenses </w:t>
            </w:r>
            <w:r w:rsidRPr="00EF4A2D">
              <w:rPr>
                <w:rFonts w:eastAsia="Calibri"/>
                <w:b/>
                <w:sz w:val="22"/>
                <w:szCs w:val="22"/>
                <w:lang w:eastAsia="en-US"/>
              </w:rPr>
              <w:t>y en porcentajes-</w:t>
            </w:r>
          </w:p>
        </w:tc>
      </w:tr>
      <w:tr w:rsidR="00EF4A2D" w:rsidRPr="00EF4A2D" w14:paraId="1FD7204A" w14:textId="77777777" w:rsidTr="00B9606F">
        <w:trPr>
          <w:jc w:val="center"/>
        </w:trPr>
        <w:tc>
          <w:tcPr>
            <w:tcW w:w="3100" w:type="dxa"/>
            <w:vMerge w:val="restart"/>
            <w:tcBorders>
              <w:left w:val="single" w:sz="4" w:space="0" w:color="auto"/>
              <w:right w:val="single" w:sz="4" w:space="0" w:color="auto"/>
            </w:tcBorders>
            <w:vAlign w:val="center"/>
          </w:tcPr>
          <w:p w14:paraId="6290B6E2"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Concepto</w:t>
            </w:r>
          </w:p>
        </w:tc>
        <w:tc>
          <w:tcPr>
            <w:tcW w:w="3130" w:type="dxa"/>
            <w:gridSpan w:val="5"/>
            <w:tcBorders>
              <w:left w:val="single" w:sz="4" w:space="0" w:color="auto"/>
              <w:bottom w:val="single" w:sz="4" w:space="0" w:color="auto"/>
              <w:right w:val="single" w:sz="4" w:space="0" w:color="auto"/>
            </w:tcBorders>
            <w:vAlign w:val="center"/>
          </w:tcPr>
          <w:p w14:paraId="64C4DE08"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Exportaciones</w:t>
            </w:r>
          </w:p>
        </w:tc>
        <w:tc>
          <w:tcPr>
            <w:tcW w:w="2853" w:type="dxa"/>
            <w:gridSpan w:val="5"/>
            <w:tcBorders>
              <w:left w:val="single" w:sz="4" w:space="0" w:color="auto"/>
              <w:bottom w:val="single" w:sz="4" w:space="0" w:color="auto"/>
              <w:right w:val="single" w:sz="4" w:space="0" w:color="auto"/>
            </w:tcBorders>
            <w:shd w:val="clear" w:color="auto" w:fill="auto"/>
            <w:vAlign w:val="center"/>
          </w:tcPr>
          <w:p w14:paraId="6F86C241"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Importaciones</w:t>
            </w:r>
          </w:p>
        </w:tc>
      </w:tr>
      <w:tr w:rsidR="00EF4A2D" w:rsidRPr="00EF4A2D" w14:paraId="01B8DE11" w14:textId="77777777" w:rsidTr="00B9606F">
        <w:trPr>
          <w:jc w:val="center"/>
        </w:trPr>
        <w:tc>
          <w:tcPr>
            <w:tcW w:w="3100" w:type="dxa"/>
            <w:vMerge/>
            <w:tcBorders>
              <w:left w:val="single" w:sz="4" w:space="0" w:color="auto"/>
              <w:right w:val="single" w:sz="4" w:space="0" w:color="auto"/>
            </w:tcBorders>
            <w:vAlign w:val="center"/>
          </w:tcPr>
          <w:p w14:paraId="1AFE8749" w14:textId="77777777" w:rsidR="00EF4A2D" w:rsidRPr="00EF4A2D" w:rsidRDefault="00EF4A2D" w:rsidP="004D07F1">
            <w:pPr>
              <w:jc w:val="center"/>
              <w:rPr>
                <w:rFonts w:eastAsia="Calibri"/>
                <w:b/>
                <w:sz w:val="14"/>
                <w:szCs w:val="14"/>
                <w:lang w:eastAsia="en-US"/>
              </w:rPr>
            </w:pPr>
          </w:p>
        </w:tc>
        <w:tc>
          <w:tcPr>
            <w:tcW w:w="667" w:type="dxa"/>
            <w:tcBorders>
              <w:left w:val="single" w:sz="4" w:space="0" w:color="auto"/>
              <w:bottom w:val="single" w:sz="4" w:space="0" w:color="auto"/>
              <w:right w:val="single" w:sz="4" w:space="0" w:color="auto"/>
            </w:tcBorders>
            <w:vAlign w:val="center"/>
          </w:tcPr>
          <w:p w14:paraId="3198AB2D"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Valor</w:t>
            </w:r>
          </w:p>
        </w:tc>
        <w:tc>
          <w:tcPr>
            <w:tcW w:w="2463" w:type="dxa"/>
            <w:gridSpan w:val="4"/>
            <w:tcBorders>
              <w:left w:val="single" w:sz="4" w:space="0" w:color="auto"/>
              <w:bottom w:val="single" w:sz="4" w:space="0" w:color="auto"/>
              <w:right w:val="single" w:sz="4" w:space="0" w:color="auto"/>
            </w:tcBorders>
            <w:vAlign w:val="center"/>
          </w:tcPr>
          <w:p w14:paraId="48EBA4E7"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Variación % anual</w:t>
            </w:r>
          </w:p>
        </w:tc>
        <w:tc>
          <w:tcPr>
            <w:tcW w:w="630" w:type="dxa"/>
            <w:tcBorders>
              <w:left w:val="single" w:sz="4" w:space="0" w:color="auto"/>
              <w:bottom w:val="single" w:sz="4" w:space="0" w:color="auto"/>
              <w:right w:val="single" w:sz="4" w:space="0" w:color="auto"/>
            </w:tcBorders>
            <w:shd w:val="clear" w:color="auto" w:fill="auto"/>
            <w:vAlign w:val="center"/>
          </w:tcPr>
          <w:p w14:paraId="13221DAB"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Valor</w:t>
            </w:r>
          </w:p>
        </w:tc>
        <w:tc>
          <w:tcPr>
            <w:tcW w:w="2223" w:type="dxa"/>
            <w:gridSpan w:val="4"/>
            <w:tcBorders>
              <w:left w:val="single" w:sz="4" w:space="0" w:color="auto"/>
              <w:bottom w:val="single" w:sz="4" w:space="0" w:color="auto"/>
              <w:right w:val="single" w:sz="4" w:space="0" w:color="auto"/>
            </w:tcBorders>
            <w:shd w:val="clear" w:color="auto" w:fill="auto"/>
            <w:vAlign w:val="center"/>
          </w:tcPr>
          <w:p w14:paraId="1ED8E43E"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Variación % anual</w:t>
            </w:r>
          </w:p>
        </w:tc>
      </w:tr>
      <w:tr w:rsidR="00EF4A2D" w:rsidRPr="00EF4A2D" w14:paraId="3DC4A8AE" w14:textId="77777777" w:rsidTr="00B9606F">
        <w:trPr>
          <w:jc w:val="center"/>
        </w:trPr>
        <w:tc>
          <w:tcPr>
            <w:tcW w:w="3100" w:type="dxa"/>
            <w:vMerge/>
            <w:tcBorders>
              <w:left w:val="single" w:sz="4" w:space="0" w:color="auto"/>
              <w:bottom w:val="single" w:sz="4" w:space="0" w:color="auto"/>
              <w:right w:val="single" w:sz="4" w:space="0" w:color="auto"/>
            </w:tcBorders>
            <w:vAlign w:val="center"/>
          </w:tcPr>
          <w:p w14:paraId="2C2BE6DA" w14:textId="77777777" w:rsidR="00EF4A2D" w:rsidRPr="00EF4A2D" w:rsidRDefault="00EF4A2D" w:rsidP="004D07F1">
            <w:pPr>
              <w:jc w:val="center"/>
              <w:rPr>
                <w:rFonts w:eastAsia="Calibri"/>
                <w:b/>
                <w:sz w:val="14"/>
                <w:szCs w:val="14"/>
                <w:lang w:eastAsia="en-US"/>
              </w:rPr>
            </w:pPr>
          </w:p>
        </w:tc>
        <w:tc>
          <w:tcPr>
            <w:tcW w:w="667" w:type="dxa"/>
            <w:tcBorders>
              <w:left w:val="single" w:sz="4" w:space="0" w:color="auto"/>
              <w:bottom w:val="single" w:sz="4" w:space="0" w:color="auto"/>
              <w:right w:val="single" w:sz="4" w:space="0" w:color="auto"/>
            </w:tcBorders>
            <w:vAlign w:val="center"/>
          </w:tcPr>
          <w:p w14:paraId="2B440746"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2014</w:t>
            </w:r>
          </w:p>
        </w:tc>
        <w:tc>
          <w:tcPr>
            <w:tcW w:w="588" w:type="dxa"/>
            <w:tcBorders>
              <w:left w:val="single" w:sz="4" w:space="0" w:color="auto"/>
              <w:bottom w:val="single" w:sz="4" w:space="0" w:color="auto"/>
              <w:right w:val="single" w:sz="4" w:space="0" w:color="auto"/>
            </w:tcBorders>
            <w:vAlign w:val="center"/>
          </w:tcPr>
          <w:p w14:paraId="6BD7DD3F" w14:textId="77777777" w:rsidR="00EF4A2D" w:rsidRPr="00EF4A2D" w:rsidRDefault="00EF4A2D" w:rsidP="004D07F1">
            <w:pPr>
              <w:ind w:left="-113" w:right="-113"/>
              <w:jc w:val="center"/>
              <w:rPr>
                <w:rFonts w:eastAsia="Calibri"/>
                <w:b/>
                <w:sz w:val="14"/>
                <w:szCs w:val="14"/>
                <w:lang w:eastAsia="en-US"/>
              </w:rPr>
            </w:pPr>
            <w:r w:rsidRPr="00EF4A2D">
              <w:rPr>
                <w:rFonts w:eastAsia="Calibri"/>
                <w:b/>
                <w:sz w:val="14"/>
                <w:szCs w:val="14"/>
                <w:lang w:eastAsia="en-US"/>
              </w:rPr>
              <w:t>2005-2014</w:t>
            </w:r>
          </w:p>
        </w:tc>
        <w:tc>
          <w:tcPr>
            <w:tcW w:w="588" w:type="dxa"/>
            <w:tcBorders>
              <w:left w:val="single" w:sz="4" w:space="0" w:color="auto"/>
              <w:bottom w:val="single" w:sz="4" w:space="0" w:color="auto"/>
              <w:right w:val="single" w:sz="4" w:space="0" w:color="auto"/>
            </w:tcBorders>
            <w:vAlign w:val="center"/>
          </w:tcPr>
          <w:p w14:paraId="534FAB67"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2012</w:t>
            </w:r>
          </w:p>
        </w:tc>
        <w:tc>
          <w:tcPr>
            <w:tcW w:w="652" w:type="dxa"/>
            <w:tcBorders>
              <w:left w:val="single" w:sz="4" w:space="0" w:color="auto"/>
              <w:bottom w:val="single" w:sz="4" w:space="0" w:color="auto"/>
              <w:right w:val="single" w:sz="4" w:space="0" w:color="auto"/>
            </w:tcBorders>
            <w:vAlign w:val="center"/>
          </w:tcPr>
          <w:p w14:paraId="326F6F74"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2013</w:t>
            </w:r>
          </w:p>
        </w:tc>
        <w:tc>
          <w:tcPr>
            <w:tcW w:w="635" w:type="dxa"/>
            <w:tcBorders>
              <w:left w:val="single" w:sz="4" w:space="0" w:color="auto"/>
              <w:bottom w:val="single" w:sz="4" w:space="0" w:color="auto"/>
              <w:right w:val="single" w:sz="4" w:space="0" w:color="auto"/>
            </w:tcBorders>
            <w:vAlign w:val="center"/>
          </w:tcPr>
          <w:p w14:paraId="7813713B"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2014</w:t>
            </w:r>
          </w:p>
        </w:tc>
        <w:tc>
          <w:tcPr>
            <w:tcW w:w="630" w:type="dxa"/>
            <w:tcBorders>
              <w:left w:val="single" w:sz="4" w:space="0" w:color="auto"/>
              <w:bottom w:val="single" w:sz="4" w:space="0" w:color="auto"/>
              <w:right w:val="single" w:sz="4" w:space="0" w:color="auto"/>
            </w:tcBorders>
            <w:shd w:val="clear" w:color="auto" w:fill="auto"/>
            <w:vAlign w:val="center"/>
          </w:tcPr>
          <w:p w14:paraId="1CEBD833"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2014</w:t>
            </w:r>
          </w:p>
        </w:tc>
        <w:tc>
          <w:tcPr>
            <w:tcW w:w="528" w:type="dxa"/>
            <w:tcBorders>
              <w:left w:val="single" w:sz="4" w:space="0" w:color="auto"/>
              <w:bottom w:val="single" w:sz="4" w:space="0" w:color="auto"/>
              <w:right w:val="single" w:sz="4" w:space="0" w:color="auto"/>
            </w:tcBorders>
            <w:shd w:val="clear" w:color="auto" w:fill="auto"/>
            <w:vAlign w:val="center"/>
          </w:tcPr>
          <w:p w14:paraId="1ED1E86F" w14:textId="77777777" w:rsidR="00EF4A2D" w:rsidRPr="00EF4A2D" w:rsidRDefault="00EF4A2D" w:rsidP="004D07F1">
            <w:pPr>
              <w:ind w:left="-113" w:right="-113"/>
              <w:jc w:val="center"/>
              <w:rPr>
                <w:rFonts w:eastAsia="Calibri"/>
                <w:b/>
                <w:sz w:val="14"/>
                <w:szCs w:val="14"/>
                <w:lang w:eastAsia="en-US"/>
              </w:rPr>
            </w:pPr>
            <w:r w:rsidRPr="00EF4A2D">
              <w:rPr>
                <w:rFonts w:eastAsia="Calibri"/>
                <w:b/>
                <w:sz w:val="14"/>
                <w:szCs w:val="14"/>
                <w:lang w:eastAsia="en-US"/>
              </w:rPr>
              <w:t>2005-2014</w:t>
            </w:r>
          </w:p>
        </w:tc>
        <w:tc>
          <w:tcPr>
            <w:tcW w:w="593" w:type="dxa"/>
            <w:tcBorders>
              <w:top w:val="single" w:sz="4" w:space="0" w:color="auto"/>
              <w:left w:val="single" w:sz="4" w:space="0" w:color="auto"/>
              <w:bottom w:val="single" w:sz="4" w:space="0" w:color="auto"/>
              <w:right w:val="single" w:sz="4" w:space="0" w:color="auto"/>
            </w:tcBorders>
            <w:vAlign w:val="center"/>
          </w:tcPr>
          <w:p w14:paraId="75CE9DDF"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2012</w:t>
            </w:r>
          </w:p>
        </w:tc>
        <w:tc>
          <w:tcPr>
            <w:tcW w:w="574" w:type="dxa"/>
            <w:tcBorders>
              <w:top w:val="single" w:sz="4" w:space="0" w:color="auto"/>
              <w:left w:val="single" w:sz="4" w:space="0" w:color="auto"/>
              <w:bottom w:val="single" w:sz="4" w:space="0" w:color="auto"/>
              <w:right w:val="single" w:sz="4" w:space="0" w:color="auto"/>
            </w:tcBorders>
            <w:vAlign w:val="center"/>
          </w:tcPr>
          <w:p w14:paraId="128B7305"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2013</w:t>
            </w:r>
          </w:p>
        </w:tc>
        <w:tc>
          <w:tcPr>
            <w:tcW w:w="528" w:type="dxa"/>
            <w:tcBorders>
              <w:top w:val="single" w:sz="4" w:space="0" w:color="auto"/>
              <w:left w:val="single" w:sz="4" w:space="0" w:color="auto"/>
              <w:bottom w:val="single" w:sz="4" w:space="0" w:color="auto"/>
              <w:right w:val="single" w:sz="4" w:space="0" w:color="auto"/>
            </w:tcBorders>
            <w:vAlign w:val="center"/>
          </w:tcPr>
          <w:p w14:paraId="0AC835CD"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2014</w:t>
            </w:r>
          </w:p>
        </w:tc>
      </w:tr>
      <w:tr w:rsidR="00EF4A2D" w:rsidRPr="00EF4A2D" w14:paraId="350BC739" w14:textId="77777777" w:rsidTr="00B9606F">
        <w:trPr>
          <w:jc w:val="center"/>
        </w:trPr>
        <w:tc>
          <w:tcPr>
            <w:tcW w:w="3100" w:type="dxa"/>
            <w:tcBorders>
              <w:top w:val="single" w:sz="4" w:space="0" w:color="auto"/>
              <w:left w:val="single" w:sz="4" w:space="0" w:color="auto"/>
              <w:right w:val="single" w:sz="4" w:space="0" w:color="auto"/>
            </w:tcBorders>
          </w:tcPr>
          <w:p w14:paraId="3C87DF52"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Todo el mundo</w:t>
            </w:r>
          </w:p>
        </w:tc>
        <w:tc>
          <w:tcPr>
            <w:tcW w:w="667" w:type="dxa"/>
            <w:tcBorders>
              <w:top w:val="single" w:sz="4" w:space="0" w:color="auto"/>
              <w:left w:val="single" w:sz="4" w:space="0" w:color="auto"/>
              <w:right w:val="single" w:sz="4" w:space="0" w:color="auto"/>
            </w:tcBorders>
            <w:vAlign w:val="bottom"/>
          </w:tcPr>
          <w:p w14:paraId="438F2AE6"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4 860</w:t>
            </w:r>
          </w:p>
        </w:tc>
        <w:tc>
          <w:tcPr>
            <w:tcW w:w="588" w:type="dxa"/>
            <w:tcBorders>
              <w:top w:val="single" w:sz="4" w:space="0" w:color="auto"/>
              <w:left w:val="single" w:sz="4" w:space="0" w:color="auto"/>
              <w:right w:val="single" w:sz="4" w:space="0" w:color="auto"/>
            </w:tcBorders>
            <w:vAlign w:val="bottom"/>
          </w:tcPr>
          <w:p w14:paraId="666D98C9"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7</w:t>
            </w:r>
          </w:p>
        </w:tc>
        <w:tc>
          <w:tcPr>
            <w:tcW w:w="588" w:type="dxa"/>
            <w:tcBorders>
              <w:top w:val="single" w:sz="4" w:space="0" w:color="auto"/>
              <w:left w:val="single" w:sz="4" w:space="0" w:color="auto"/>
              <w:right w:val="single" w:sz="4" w:space="0" w:color="auto"/>
            </w:tcBorders>
            <w:vAlign w:val="bottom"/>
          </w:tcPr>
          <w:p w14:paraId="158B520E"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3</w:t>
            </w:r>
          </w:p>
        </w:tc>
        <w:tc>
          <w:tcPr>
            <w:tcW w:w="652" w:type="dxa"/>
            <w:tcBorders>
              <w:top w:val="single" w:sz="4" w:space="0" w:color="auto"/>
              <w:left w:val="single" w:sz="4" w:space="0" w:color="auto"/>
              <w:right w:val="single" w:sz="4" w:space="0" w:color="auto"/>
            </w:tcBorders>
            <w:vAlign w:val="bottom"/>
          </w:tcPr>
          <w:p w14:paraId="1CD7A04E"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5</w:t>
            </w:r>
          </w:p>
        </w:tc>
        <w:tc>
          <w:tcPr>
            <w:tcW w:w="635" w:type="dxa"/>
            <w:tcBorders>
              <w:top w:val="single" w:sz="4" w:space="0" w:color="auto"/>
              <w:left w:val="single" w:sz="4" w:space="0" w:color="auto"/>
              <w:right w:val="single" w:sz="4" w:space="0" w:color="auto"/>
            </w:tcBorders>
            <w:vAlign w:val="bottom"/>
          </w:tcPr>
          <w:p w14:paraId="172D932D" w14:textId="77777777" w:rsidR="00EF4A2D" w:rsidRPr="00EF4A2D" w:rsidRDefault="00EF4A2D" w:rsidP="004D07F1">
            <w:pPr>
              <w:ind w:right="170"/>
              <w:jc w:val="right"/>
              <w:rPr>
                <w:rFonts w:eastAsia="Calibri"/>
                <w:b/>
                <w:sz w:val="14"/>
                <w:szCs w:val="14"/>
                <w:lang w:eastAsia="en-US"/>
              </w:rPr>
            </w:pPr>
            <w:r w:rsidRPr="00EF4A2D">
              <w:rPr>
                <w:rFonts w:eastAsia="Calibri"/>
                <w:b/>
                <w:sz w:val="14"/>
                <w:szCs w:val="14"/>
                <w:lang w:eastAsia="en-US"/>
              </w:rPr>
              <w:t>4</w:t>
            </w:r>
          </w:p>
        </w:tc>
        <w:tc>
          <w:tcPr>
            <w:tcW w:w="630" w:type="dxa"/>
            <w:tcBorders>
              <w:top w:val="single" w:sz="4" w:space="0" w:color="auto"/>
              <w:left w:val="single" w:sz="4" w:space="0" w:color="auto"/>
              <w:right w:val="single" w:sz="4" w:space="0" w:color="auto"/>
            </w:tcBorders>
            <w:vAlign w:val="bottom"/>
          </w:tcPr>
          <w:p w14:paraId="4A73D9B9"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4 740</w:t>
            </w:r>
          </w:p>
        </w:tc>
        <w:tc>
          <w:tcPr>
            <w:tcW w:w="528" w:type="dxa"/>
            <w:tcBorders>
              <w:top w:val="single" w:sz="4" w:space="0" w:color="auto"/>
              <w:left w:val="single" w:sz="4" w:space="0" w:color="auto"/>
              <w:right w:val="single" w:sz="4" w:space="0" w:color="auto"/>
            </w:tcBorders>
            <w:vAlign w:val="bottom"/>
          </w:tcPr>
          <w:p w14:paraId="597466C5"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7</w:t>
            </w:r>
          </w:p>
        </w:tc>
        <w:tc>
          <w:tcPr>
            <w:tcW w:w="593" w:type="dxa"/>
            <w:tcBorders>
              <w:top w:val="single" w:sz="4" w:space="0" w:color="auto"/>
              <w:left w:val="single" w:sz="4" w:space="0" w:color="auto"/>
              <w:right w:val="single" w:sz="4" w:space="0" w:color="auto"/>
            </w:tcBorders>
            <w:vAlign w:val="bottom"/>
          </w:tcPr>
          <w:p w14:paraId="6197883A"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4</w:t>
            </w:r>
          </w:p>
        </w:tc>
        <w:tc>
          <w:tcPr>
            <w:tcW w:w="574" w:type="dxa"/>
            <w:tcBorders>
              <w:top w:val="single" w:sz="4" w:space="0" w:color="auto"/>
              <w:left w:val="single" w:sz="4" w:space="0" w:color="auto"/>
              <w:right w:val="single" w:sz="4" w:space="0" w:color="auto"/>
            </w:tcBorders>
            <w:vAlign w:val="bottom"/>
          </w:tcPr>
          <w:p w14:paraId="0D521228"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6</w:t>
            </w:r>
          </w:p>
        </w:tc>
        <w:tc>
          <w:tcPr>
            <w:tcW w:w="528" w:type="dxa"/>
            <w:tcBorders>
              <w:top w:val="single" w:sz="4" w:space="0" w:color="auto"/>
              <w:left w:val="single" w:sz="4" w:space="0" w:color="auto"/>
              <w:right w:val="single" w:sz="4" w:space="0" w:color="auto"/>
            </w:tcBorders>
            <w:vAlign w:val="bottom"/>
          </w:tcPr>
          <w:p w14:paraId="208F5064"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5</w:t>
            </w:r>
          </w:p>
        </w:tc>
      </w:tr>
      <w:tr w:rsidR="00EF4A2D" w:rsidRPr="00EF4A2D" w14:paraId="7174C0F1" w14:textId="77777777" w:rsidTr="00B9606F">
        <w:trPr>
          <w:jc w:val="center"/>
        </w:trPr>
        <w:tc>
          <w:tcPr>
            <w:tcW w:w="3100" w:type="dxa"/>
            <w:tcBorders>
              <w:left w:val="single" w:sz="4" w:space="0" w:color="auto"/>
              <w:right w:val="single" w:sz="4" w:space="0" w:color="auto"/>
            </w:tcBorders>
            <w:shd w:val="clear" w:color="auto" w:fill="auto"/>
          </w:tcPr>
          <w:p w14:paraId="1FE6A6B5"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América del Norte</w:t>
            </w:r>
          </w:p>
        </w:tc>
        <w:tc>
          <w:tcPr>
            <w:tcW w:w="667" w:type="dxa"/>
            <w:tcBorders>
              <w:left w:val="single" w:sz="4" w:space="0" w:color="auto"/>
              <w:right w:val="single" w:sz="4" w:space="0" w:color="auto"/>
            </w:tcBorders>
            <w:shd w:val="clear" w:color="auto" w:fill="auto"/>
            <w:vAlign w:val="bottom"/>
          </w:tcPr>
          <w:p w14:paraId="6E962ECA"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793</w:t>
            </w:r>
          </w:p>
        </w:tc>
        <w:tc>
          <w:tcPr>
            <w:tcW w:w="588" w:type="dxa"/>
            <w:tcBorders>
              <w:left w:val="single" w:sz="4" w:space="0" w:color="auto"/>
              <w:right w:val="single" w:sz="4" w:space="0" w:color="auto"/>
            </w:tcBorders>
            <w:shd w:val="clear" w:color="auto" w:fill="auto"/>
            <w:vAlign w:val="bottom"/>
          </w:tcPr>
          <w:p w14:paraId="128DEEB3"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7</w:t>
            </w:r>
          </w:p>
        </w:tc>
        <w:tc>
          <w:tcPr>
            <w:tcW w:w="588" w:type="dxa"/>
            <w:tcBorders>
              <w:left w:val="single" w:sz="4" w:space="0" w:color="auto"/>
              <w:right w:val="single" w:sz="4" w:space="0" w:color="auto"/>
            </w:tcBorders>
            <w:shd w:val="clear" w:color="auto" w:fill="auto"/>
            <w:vAlign w:val="bottom"/>
          </w:tcPr>
          <w:p w14:paraId="6A0B117B"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5</w:t>
            </w:r>
          </w:p>
        </w:tc>
        <w:tc>
          <w:tcPr>
            <w:tcW w:w="652" w:type="dxa"/>
            <w:tcBorders>
              <w:left w:val="single" w:sz="4" w:space="0" w:color="auto"/>
              <w:right w:val="single" w:sz="4" w:space="0" w:color="auto"/>
            </w:tcBorders>
            <w:shd w:val="clear" w:color="auto" w:fill="auto"/>
            <w:vAlign w:val="bottom"/>
          </w:tcPr>
          <w:p w14:paraId="45AA8E53"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5</w:t>
            </w:r>
          </w:p>
        </w:tc>
        <w:tc>
          <w:tcPr>
            <w:tcW w:w="635" w:type="dxa"/>
            <w:tcBorders>
              <w:left w:val="single" w:sz="4" w:space="0" w:color="auto"/>
              <w:right w:val="single" w:sz="4" w:space="0" w:color="auto"/>
            </w:tcBorders>
            <w:shd w:val="clear" w:color="auto" w:fill="auto"/>
            <w:vAlign w:val="bottom"/>
          </w:tcPr>
          <w:p w14:paraId="3B22DC8C" w14:textId="77777777" w:rsidR="00EF4A2D" w:rsidRPr="00EF4A2D" w:rsidRDefault="00EF4A2D" w:rsidP="004D07F1">
            <w:pPr>
              <w:ind w:right="170"/>
              <w:jc w:val="right"/>
              <w:rPr>
                <w:rFonts w:eastAsia="Calibri"/>
                <w:b/>
                <w:sz w:val="14"/>
                <w:szCs w:val="14"/>
                <w:lang w:eastAsia="en-US"/>
              </w:rPr>
            </w:pPr>
            <w:r w:rsidRPr="00EF4A2D">
              <w:rPr>
                <w:rFonts w:eastAsia="Calibri"/>
                <w:b/>
                <w:sz w:val="14"/>
                <w:szCs w:val="14"/>
                <w:lang w:eastAsia="en-US"/>
              </w:rPr>
              <w:t>3</w:t>
            </w:r>
          </w:p>
        </w:tc>
        <w:tc>
          <w:tcPr>
            <w:tcW w:w="630" w:type="dxa"/>
            <w:tcBorders>
              <w:left w:val="single" w:sz="4" w:space="0" w:color="auto"/>
              <w:right w:val="single" w:sz="4" w:space="0" w:color="auto"/>
            </w:tcBorders>
            <w:shd w:val="clear" w:color="auto" w:fill="auto"/>
            <w:vAlign w:val="bottom"/>
          </w:tcPr>
          <w:p w14:paraId="4373AAE5"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593</w:t>
            </w:r>
          </w:p>
        </w:tc>
        <w:tc>
          <w:tcPr>
            <w:tcW w:w="528" w:type="dxa"/>
            <w:tcBorders>
              <w:left w:val="single" w:sz="4" w:space="0" w:color="auto"/>
              <w:right w:val="single" w:sz="4" w:space="0" w:color="auto"/>
            </w:tcBorders>
            <w:shd w:val="clear" w:color="auto" w:fill="auto"/>
            <w:vAlign w:val="bottom"/>
          </w:tcPr>
          <w:p w14:paraId="476FEA55"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6</w:t>
            </w:r>
          </w:p>
        </w:tc>
        <w:tc>
          <w:tcPr>
            <w:tcW w:w="593" w:type="dxa"/>
            <w:tcBorders>
              <w:left w:val="single" w:sz="4" w:space="0" w:color="auto"/>
              <w:right w:val="single" w:sz="4" w:space="0" w:color="auto"/>
            </w:tcBorders>
            <w:shd w:val="clear" w:color="auto" w:fill="auto"/>
            <w:vAlign w:val="bottom"/>
          </w:tcPr>
          <w:p w14:paraId="2B7DA23C"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4</w:t>
            </w:r>
          </w:p>
        </w:tc>
        <w:tc>
          <w:tcPr>
            <w:tcW w:w="574" w:type="dxa"/>
            <w:tcBorders>
              <w:left w:val="single" w:sz="4" w:space="0" w:color="auto"/>
              <w:right w:val="single" w:sz="4" w:space="0" w:color="auto"/>
            </w:tcBorders>
            <w:shd w:val="clear" w:color="auto" w:fill="auto"/>
            <w:vAlign w:val="bottom"/>
          </w:tcPr>
          <w:p w14:paraId="0DC5AC18"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3</w:t>
            </w:r>
          </w:p>
        </w:tc>
        <w:tc>
          <w:tcPr>
            <w:tcW w:w="528" w:type="dxa"/>
            <w:tcBorders>
              <w:left w:val="single" w:sz="4" w:space="0" w:color="auto"/>
              <w:right w:val="single" w:sz="4" w:space="0" w:color="auto"/>
            </w:tcBorders>
            <w:shd w:val="clear" w:color="auto" w:fill="auto"/>
            <w:vAlign w:val="bottom"/>
          </w:tcPr>
          <w:p w14:paraId="7367D574"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3</w:t>
            </w:r>
          </w:p>
        </w:tc>
      </w:tr>
      <w:tr w:rsidR="00EF4A2D" w:rsidRPr="00EF4A2D" w14:paraId="2508595F" w14:textId="77777777" w:rsidTr="00B9606F">
        <w:trPr>
          <w:jc w:val="center"/>
        </w:trPr>
        <w:tc>
          <w:tcPr>
            <w:tcW w:w="3100" w:type="dxa"/>
            <w:tcBorders>
              <w:left w:val="single" w:sz="4" w:space="0" w:color="auto"/>
              <w:right w:val="single" w:sz="4" w:space="0" w:color="auto"/>
            </w:tcBorders>
            <w:shd w:val="clear" w:color="auto" w:fill="auto"/>
          </w:tcPr>
          <w:p w14:paraId="271ADCDB" w14:textId="77777777" w:rsidR="00EF4A2D" w:rsidRPr="00EF4A2D" w:rsidRDefault="00EF4A2D" w:rsidP="004D07F1">
            <w:pPr>
              <w:ind w:left="170"/>
              <w:rPr>
                <w:rFonts w:eastAsia="Calibri"/>
                <w:sz w:val="14"/>
                <w:szCs w:val="14"/>
                <w:lang w:eastAsia="en-US"/>
              </w:rPr>
            </w:pPr>
            <w:r w:rsidRPr="00EF4A2D">
              <w:rPr>
                <w:rFonts w:eastAsia="Calibri"/>
                <w:sz w:val="14"/>
                <w:szCs w:val="14"/>
                <w:lang w:eastAsia="en-US"/>
              </w:rPr>
              <w:t>Estados Unidos de Norteamérica</w:t>
            </w:r>
          </w:p>
        </w:tc>
        <w:tc>
          <w:tcPr>
            <w:tcW w:w="667" w:type="dxa"/>
            <w:tcBorders>
              <w:left w:val="single" w:sz="4" w:space="0" w:color="auto"/>
              <w:right w:val="single" w:sz="4" w:space="0" w:color="auto"/>
            </w:tcBorders>
            <w:shd w:val="clear" w:color="auto" w:fill="auto"/>
            <w:vAlign w:val="bottom"/>
          </w:tcPr>
          <w:p w14:paraId="4C978869"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686</w:t>
            </w:r>
          </w:p>
        </w:tc>
        <w:tc>
          <w:tcPr>
            <w:tcW w:w="588" w:type="dxa"/>
            <w:tcBorders>
              <w:left w:val="single" w:sz="4" w:space="0" w:color="auto"/>
              <w:right w:val="single" w:sz="4" w:space="0" w:color="auto"/>
            </w:tcBorders>
            <w:shd w:val="clear" w:color="auto" w:fill="auto"/>
            <w:vAlign w:val="bottom"/>
          </w:tcPr>
          <w:p w14:paraId="6C590F97"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8</w:t>
            </w:r>
          </w:p>
        </w:tc>
        <w:tc>
          <w:tcPr>
            <w:tcW w:w="588" w:type="dxa"/>
            <w:tcBorders>
              <w:left w:val="single" w:sz="4" w:space="0" w:color="auto"/>
              <w:right w:val="single" w:sz="4" w:space="0" w:color="auto"/>
            </w:tcBorders>
            <w:shd w:val="clear" w:color="auto" w:fill="auto"/>
            <w:vAlign w:val="bottom"/>
          </w:tcPr>
          <w:p w14:paraId="2FB7FFD4"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4</w:t>
            </w:r>
          </w:p>
        </w:tc>
        <w:tc>
          <w:tcPr>
            <w:tcW w:w="652" w:type="dxa"/>
            <w:tcBorders>
              <w:left w:val="single" w:sz="4" w:space="0" w:color="auto"/>
              <w:right w:val="single" w:sz="4" w:space="0" w:color="auto"/>
            </w:tcBorders>
            <w:shd w:val="clear" w:color="auto" w:fill="auto"/>
            <w:vAlign w:val="bottom"/>
          </w:tcPr>
          <w:p w14:paraId="40DE381D"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5</w:t>
            </w:r>
          </w:p>
        </w:tc>
        <w:tc>
          <w:tcPr>
            <w:tcW w:w="635" w:type="dxa"/>
            <w:tcBorders>
              <w:left w:val="single" w:sz="4" w:space="0" w:color="auto"/>
              <w:right w:val="single" w:sz="4" w:space="0" w:color="auto"/>
            </w:tcBorders>
            <w:shd w:val="clear" w:color="auto" w:fill="auto"/>
            <w:vAlign w:val="bottom"/>
          </w:tcPr>
          <w:p w14:paraId="281B910B"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3</w:t>
            </w:r>
          </w:p>
        </w:tc>
        <w:tc>
          <w:tcPr>
            <w:tcW w:w="630" w:type="dxa"/>
            <w:tcBorders>
              <w:left w:val="single" w:sz="4" w:space="0" w:color="auto"/>
              <w:right w:val="single" w:sz="4" w:space="0" w:color="auto"/>
            </w:tcBorders>
            <w:shd w:val="clear" w:color="auto" w:fill="auto"/>
            <w:vAlign w:val="bottom"/>
          </w:tcPr>
          <w:p w14:paraId="44982B09"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454</w:t>
            </w:r>
          </w:p>
        </w:tc>
        <w:tc>
          <w:tcPr>
            <w:tcW w:w="528" w:type="dxa"/>
            <w:tcBorders>
              <w:left w:val="single" w:sz="4" w:space="0" w:color="auto"/>
              <w:right w:val="single" w:sz="4" w:space="0" w:color="auto"/>
            </w:tcBorders>
            <w:shd w:val="clear" w:color="auto" w:fill="auto"/>
            <w:vAlign w:val="bottom"/>
          </w:tcPr>
          <w:p w14:paraId="1CB7E28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w:t>
            </w:r>
          </w:p>
        </w:tc>
        <w:tc>
          <w:tcPr>
            <w:tcW w:w="593" w:type="dxa"/>
            <w:tcBorders>
              <w:left w:val="single" w:sz="4" w:space="0" w:color="auto"/>
              <w:right w:val="single" w:sz="4" w:space="0" w:color="auto"/>
            </w:tcBorders>
            <w:shd w:val="clear" w:color="auto" w:fill="auto"/>
            <w:vAlign w:val="bottom"/>
          </w:tcPr>
          <w:p w14:paraId="5579D18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c>
          <w:tcPr>
            <w:tcW w:w="574" w:type="dxa"/>
            <w:tcBorders>
              <w:left w:val="single" w:sz="4" w:space="0" w:color="auto"/>
              <w:right w:val="single" w:sz="4" w:space="0" w:color="auto"/>
            </w:tcBorders>
            <w:shd w:val="clear" w:color="auto" w:fill="auto"/>
            <w:vAlign w:val="bottom"/>
          </w:tcPr>
          <w:p w14:paraId="3D67C6E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w:t>
            </w:r>
          </w:p>
        </w:tc>
        <w:tc>
          <w:tcPr>
            <w:tcW w:w="528" w:type="dxa"/>
            <w:tcBorders>
              <w:left w:val="single" w:sz="4" w:space="0" w:color="auto"/>
              <w:right w:val="single" w:sz="4" w:space="0" w:color="auto"/>
            </w:tcBorders>
            <w:shd w:val="clear" w:color="auto" w:fill="auto"/>
            <w:vAlign w:val="bottom"/>
          </w:tcPr>
          <w:p w14:paraId="5146D28D"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r>
      <w:tr w:rsidR="00EF4A2D" w:rsidRPr="00EF4A2D" w14:paraId="7F829C26" w14:textId="77777777" w:rsidTr="00B9606F">
        <w:trPr>
          <w:jc w:val="center"/>
        </w:trPr>
        <w:tc>
          <w:tcPr>
            <w:tcW w:w="3100" w:type="dxa"/>
            <w:tcBorders>
              <w:left w:val="single" w:sz="4" w:space="0" w:color="auto"/>
              <w:right w:val="single" w:sz="4" w:space="0" w:color="auto"/>
            </w:tcBorders>
            <w:shd w:val="clear" w:color="auto" w:fill="auto"/>
          </w:tcPr>
          <w:p w14:paraId="4C594570"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 xml:space="preserve">América Central y del Sur </w:t>
            </w:r>
            <w:r w:rsidRPr="00EF4A2D">
              <w:rPr>
                <w:rFonts w:eastAsia="Calibri"/>
                <w:b/>
                <w:sz w:val="14"/>
                <w:szCs w:val="14"/>
                <w:u w:val="single"/>
                <w:vertAlign w:val="superscript"/>
                <w:lang w:eastAsia="en-US"/>
              </w:rPr>
              <w:t>a</w:t>
            </w:r>
            <w:r w:rsidRPr="00EF4A2D">
              <w:rPr>
                <w:rFonts w:eastAsia="Calibri"/>
                <w:b/>
                <w:sz w:val="14"/>
                <w:szCs w:val="14"/>
                <w:vertAlign w:val="superscript"/>
                <w:lang w:eastAsia="en-US"/>
              </w:rPr>
              <w:t>/</w:t>
            </w:r>
          </w:p>
        </w:tc>
        <w:tc>
          <w:tcPr>
            <w:tcW w:w="667" w:type="dxa"/>
            <w:tcBorders>
              <w:left w:val="single" w:sz="4" w:space="0" w:color="auto"/>
              <w:right w:val="single" w:sz="4" w:space="0" w:color="auto"/>
            </w:tcBorders>
            <w:shd w:val="clear" w:color="auto" w:fill="auto"/>
            <w:vAlign w:val="bottom"/>
          </w:tcPr>
          <w:p w14:paraId="17C9AECF"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156</w:t>
            </w:r>
          </w:p>
        </w:tc>
        <w:tc>
          <w:tcPr>
            <w:tcW w:w="588" w:type="dxa"/>
            <w:tcBorders>
              <w:left w:val="single" w:sz="4" w:space="0" w:color="auto"/>
              <w:right w:val="single" w:sz="4" w:space="0" w:color="auto"/>
            </w:tcBorders>
            <w:shd w:val="clear" w:color="auto" w:fill="auto"/>
            <w:vAlign w:val="bottom"/>
          </w:tcPr>
          <w:p w14:paraId="2F43FBDD"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9</w:t>
            </w:r>
          </w:p>
        </w:tc>
        <w:tc>
          <w:tcPr>
            <w:tcW w:w="588" w:type="dxa"/>
            <w:tcBorders>
              <w:left w:val="single" w:sz="4" w:space="0" w:color="auto"/>
              <w:right w:val="single" w:sz="4" w:space="0" w:color="auto"/>
            </w:tcBorders>
            <w:shd w:val="clear" w:color="auto" w:fill="auto"/>
            <w:vAlign w:val="bottom"/>
          </w:tcPr>
          <w:p w14:paraId="5E221DC2"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6</w:t>
            </w:r>
          </w:p>
        </w:tc>
        <w:tc>
          <w:tcPr>
            <w:tcW w:w="652" w:type="dxa"/>
            <w:tcBorders>
              <w:left w:val="single" w:sz="4" w:space="0" w:color="auto"/>
              <w:right w:val="single" w:sz="4" w:space="0" w:color="auto"/>
            </w:tcBorders>
            <w:shd w:val="clear" w:color="auto" w:fill="auto"/>
            <w:vAlign w:val="bottom"/>
          </w:tcPr>
          <w:p w14:paraId="5DDC7876"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2</w:t>
            </w:r>
          </w:p>
        </w:tc>
        <w:tc>
          <w:tcPr>
            <w:tcW w:w="635" w:type="dxa"/>
            <w:tcBorders>
              <w:left w:val="single" w:sz="4" w:space="0" w:color="auto"/>
              <w:right w:val="single" w:sz="4" w:space="0" w:color="auto"/>
            </w:tcBorders>
            <w:shd w:val="clear" w:color="auto" w:fill="auto"/>
            <w:vAlign w:val="bottom"/>
          </w:tcPr>
          <w:p w14:paraId="6E0630AA" w14:textId="77777777" w:rsidR="00EF4A2D" w:rsidRPr="00EF4A2D" w:rsidRDefault="00EF4A2D" w:rsidP="004D07F1">
            <w:pPr>
              <w:ind w:right="170"/>
              <w:jc w:val="right"/>
              <w:rPr>
                <w:rFonts w:eastAsia="Calibri"/>
                <w:b/>
                <w:sz w:val="14"/>
                <w:szCs w:val="14"/>
                <w:lang w:eastAsia="en-US"/>
              </w:rPr>
            </w:pPr>
            <w:r w:rsidRPr="00EF4A2D">
              <w:rPr>
                <w:rFonts w:eastAsia="Calibri"/>
                <w:b/>
                <w:sz w:val="14"/>
                <w:szCs w:val="14"/>
                <w:lang w:eastAsia="en-US"/>
              </w:rPr>
              <w:t>4</w:t>
            </w:r>
          </w:p>
        </w:tc>
        <w:tc>
          <w:tcPr>
            <w:tcW w:w="630" w:type="dxa"/>
            <w:tcBorders>
              <w:left w:val="single" w:sz="4" w:space="0" w:color="auto"/>
              <w:right w:val="single" w:sz="4" w:space="0" w:color="auto"/>
            </w:tcBorders>
            <w:shd w:val="clear" w:color="auto" w:fill="auto"/>
            <w:vAlign w:val="bottom"/>
          </w:tcPr>
          <w:p w14:paraId="7E85D5E0"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202</w:t>
            </w:r>
          </w:p>
        </w:tc>
        <w:tc>
          <w:tcPr>
            <w:tcW w:w="528" w:type="dxa"/>
            <w:tcBorders>
              <w:left w:val="single" w:sz="4" w:space="0" w:color="auto"/>
              <w:right w:val="single" w:sz="4" w:space="0" w:color="auto"/>
            </w:tcBorders>
            <w:shd w:val="clear" w:color="auto" w:fill="auto"/>
            <w:vAlign w:val="bottom"/>
          </w:tcPr>
          <w:p w14:paraId="6F6AF6C5"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12</w:t>
            </w:r>
          </w:p>
        </w:tc>
        <w:tc>
          <w:tcPr>
            <w:tcW w:w="593" w:type="dxa"/>
            <w:tcBorders>
              <w:left w:val="single" w:sz="4" w:space="0" w:color="auto"/>
              <w:right w:val="single" w:sz="4" w:space="0" w:color="auto"/>
            </w:tcBorders>
            <w:shd w:val="clear" w:color="auto" w:fill="auto"/>
            <w:vAlign w:val="bottom"/>
          </w:tcPr>
          <w:p w14:paraId="7589E244"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6</w:t>
            </w:r>
          </w:p>
        </w:tc>
        <w:tc>
          <w:tcPr>
            <w:tcW w:w="574" w:type="dxa"/>
            <w:tcBorders>
              <w:left w:val="single" w:sz="4" w:space="0" w:color="auto"/>
              <w:right w:val="single" w:sz="4" w:space="0" w:color="auto"/>
            </w:tcBorders>
            <w:shd w:val="clear" w:color="auto" w:fill="auto"/>
            <w:vAlign w:val="bottom"/>
          </w:tcPr>
          <w:p w14:paraId="45BA50E6"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7</w:t>
            </w:r>
          </w:p>
        </w:tc>
        <w:tc>
          <w:tcPr>
            <w:tcW w:w="528" w:type="dxa"/>
            <w:tcBorders>
              <w:left w:val="single" w:sz="4" w:space="0" w:color="auto"/>
              <w:right w:val="single" w:sz="4" w:space="0" w:color="auto"/>
            </w:tcBorders>
            <w:shd w:val="clear" w:color="auto" w:fill="auto"/>
            <w:vAlign w:val="bottom"/>
          </w:tcPr>
          <w:p w14:paraId="17BE6DAF"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1</w:t>
            </w:r>
          </w:p>
        </w:tc>
      </w:tr>
      <w:tr w:rsidR="00EF4A2D" w:rsidRPr="00EF4A2D" w14:paraId="5F3F5D05" w14:textId="77777777" w:rsidTr="00B9606F">
        <w:trPr>
          <w:jc w:val="center"/>
        </w:trPr>
        <w:tc>
          <w:tcPr>
            <w:tcW w:w="3100" w:type="dxa"/>
            <w:tcBorders>
              <w:left w:val="single" w:sz="4" w:space="0" w:color="auto"/>
              <w:right w:val="single" w:sz="4" w:space="0" w:color="auto"/>
            </w:tcBorders>
            <w:shd w:val="clear" w:color="auto" w:fill="auto"/>
          </w:tcPr>
          <w:p w14:paraId="50AD6C3E" w14:textId="77777777" w:rsidR="00EF4A2D" w:rsidRPr="00EF4A2D" w:rsidRDefault="00EF4A2D" w:rsidP="004D07F1">
            <w:pPr>
              <w:ind w:left="170"/>
              <w:rPr>
                <w:rFonts w:eastAsia="Calibri"/>
                <w:sz w:val="14"/>
                <w:szCs w:val="14"/>
                <w:lang w:eastAsia="en-US"/>
              </w:rPr>
            </w:pPr>
            <w:r w:rsidRPr="00EF4A2D">
              <w:rPr>
                <w:rFonts w:eastAsia="Calibri"/>
                <w:sz w:val="14"/>
                <w:szCs w:val="14"/>
                <w:lang w:eastAsia="en-US"/>
              </w:rPr>
              <w:t>Brasil</w:t>
            </w:r>
          </w:p>
        </w:tc>
        <w:tc>
          <w:tcPr>
            <w:tcW w:w="667" w:type="dxa"/>
            <w:tcBorders>
              <w:left w:val="single" w:sz="4" w:space="0" w:color="auto"/>
              <w:right w:val="single" w:sz="4" w:space="0" w:color="auto"/>
            </w:tcBorders>
            <w:shd w:val="clear" w:color="auto" w:fill="auto"/>
            <w:vAlign w:val="bottom"/>
          </w:tcPr>
          <w:p w14:paraId="281E6BE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40</w:t>
            </w:r>
          </w:p>
        </w:tc>
        <w:tc>
          <w:tcPr>
            <w:tcW w:w="588" w:type="dxa"/>
            <w:tcBorders>
              <w:left w:val="single" w:sz="4" w:space="0" w:color="auto"/>
              <w:right w:val="single" w:sz="4" w:space="0" w:color="auto"/>
            </w:tcBorders>
            <w:shd w:val="clear" w:color="auto" w:fill="auto"/>
            <w:vAlign w:val="bottom"/>
          </w:tcPr>
          <w:p w14:paraId="321E4D8B"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12</w:t>
            </w:r>
          </w:p>
        </w:tc>
        <w:tc>
          <w:tcPr>
            <w:tcW w:w="588" w:type="dxa"/>
            <w:tcBorders>
              <w:left w:val="single" w:sz="4" w:space="0" w:color="auto"/>
              <w:right w:val="single" w:sz="4" w:space="0" w:color="auto"/>
            </w:tcBorders>
            <w:shd w:val="clear" w:color="auto" w:fill="auto"/>
            <w:vAlign w:val="bottom"/>
          </w:tcPr>
          <w:p w14:paraId="4F91920E"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5</w:t>
            </w:r>
          </w:p>
        </w:tc>
        <w:tc>
          <w:tcPr>
            <w:tcW w:w="652" w:type="dxa"/>
            <w:tcBorders>
              <w:left w:val="single" w:sz="4" w:space="0" w:color="auto"/>
              <w:right w:val="single" w:sz="4" w:space="0" w:color="auto"/>
            </w:tcBorders>
            <w:shd w:val="clear" w:color="auto" w:fill="auto"/>
            <w:vAlign w:val="bottom"/>
          </w:tcPr>
          <w:p w14:paraId="1E9D04A5"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-2</w:t>
            </w:r>
          </w:p>
        </w:tc>
        <w:tc>
          <w:tcPr>
            <w:tcW w:w="635" w:type="dxa"/>
            <w:tcBorders>
              <w:left w:val="single" w:sz="4" w:space="0" w:color="auto"/>
              <w:right w:val="single" w:sz="4" w:space="0" w:color="auto"/>
            </w:tcBorders>
            <w:shd w:val="clear" w:color="auto" w:fill="auto"/>
            <w:vAlign w:val="bottom"/>
          </w:tcPr>
          <w:p w14:paraId="08C7F474"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6</w:t>
            </w:r>
          </w:p>
        </w:tc>
        <w:tc>
          <w:tcPr>
            <w:tcW w:w="630" w:type="dxa"/>
            <w:tcBorders>
              <w:left w:val="single" w:sz="4" w:space="0" w:color="auto"/>
              <w:right w:val="single" w:sz="4" w:space="0" w:color="auto"/>
            </w:tcBorders>
            <w:shd w:val="clear" w:color="auto" w:fill="auto"/>
            <w:vAlign w:val="bottom"/>
          </w:tcPr>
          <w:p w14:paraId="79F9B6B1"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87</w:t>
            </w:r>
          </w:p>
        </w:tc>
        <w:tc>
          <w:tcPr>
            <w:tcW w:w="528" w:type="dxa"/>
            <w:tcBorders>
              <w:left w:val="single" w:sz="4" w:space="0" w:color="auto"/>
              <w:right w:val="single" w:sz="4" w:space="0" w:color="auto"/>
            </w:tcBorders>
            <w:shd w:val="clear" w:color="auto" w:fill="auto"/>
            <w:vAlign w:val="bottom"/>
          </w:tcPr>
          <w:p w14:paraId="7BE2991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17</w:t>
            </w:r>
          </w:p>
        </w:tc>
        <w:tc>
          <w:tcPr>
            <w:tcW w:w="593" w:type="dxa"/>
            <w:tcBorders>
              <w:left w:val="single" w:sz="4" w:space="0" w:color="auto"/>
              <w:right w:val="single" w:sz="4" w:space="0" w:color="auto"/>
            </w:tcBorders>
            <w:shd w:val="clear" w:color="auto" w:fill="auto"/>
            <w:vAlign w:val="bottom"/>
          </w:tcPr>
          <w:p w14:paraId="3F18CE4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7</w:t>
            </w:r>
          </w:p>
        </w:tc>
        <w:tc>
          <w:tcPr>
            <w:tcW w:w="574" w:type="dxa"/>
            <w:tcBorders>
              <w:left w:val="single" w:sz="4" w:space="0" w:color="auto"/>
              <w:right w:val="single" w:sz="4" w:space="0" w:color="auto"/>
            </w:tcBorders>
            <w:shd w:val="clear" w:color="auto" w:fill="auto"/>
            <w:vAlign w:val="bottom"/>
          </w:tcPr>
          <w:p w14:paraId="35ADF3B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7</w:t>
            </w:r>
          </w:p>
        </w:tc>
        <w:tc>
          <w:tcPr>
            <w:tcW w:w="528" w:type="dxa"/>
            <w:tcBorders>
              <w:left w:val="single" w:sz="4" w:space="0" w:color="auto"/>
              <w:right w:val="single" w:sz="4" w:space="0" w:color="auto"/>
            </w:tcBorders>
            <w:shd w:val="clear" w:color="auto" w:fill="auto"/>
            <w:vAlign w:val="bottom"/>
          </w:tcPr>
          <w:p w14:paraId="6D6BE50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w:t>
            </w:r>
          </w:p>
        </w:tc>
      </w:tr>
      <w:tr w:rsidR="00EF4A2D" w:rsidRPr="00EF4A2D" w14:paraId="72E9255B" w14:textId="77777777" w:rsidTr="00B9606F">
        <w:trPr>
          <w:jc w:val="center"/>
        </w:trPr>
        <w:tc>
          <w:tcPr>
            <w:tcW w:w="3100" w:type="dxa"/>
            <w:tcBorders>
              <w:left w:val="single" w:sz="4" w:space="0" w:color="auto"/>
              <w:right w:val="single" w:sz="4" w:space="0" w:color="auto"/>
            </w:tcBorders>
            <w:shd w:val="clear" w:color="auto" w:fill="auto"/>
          </w:tcPr>
          <w:p w14:paraId="1CE06A4D"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Europa</w:t>
            </w:r>
          </w:p>
        </w:tc>
        <w:tc>
          <w:tcPr>
            <w:tcW w:w="667" w:type="dxa"/>
            <w:tcBorders>
              <w:left w:val="single" w:sz="4" w:space="0" w:color="auto"/>
              <w:right w:val="single" w:sz="4" w:space="0" w:color="auto"/>
            </w:tcBorders>
            <w:shd w:val="clear" w:color="auto" w:fill="auto"/>
            <w:vAlign w:val="bottom"/>
          </w:tcPr>
          <w:p w14:paraId="685ACB82"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2 349</w:t>
            </w:r>
          </w:p>
        </w:tc>
        <w:tc>
          <w:tcPr>
            <w:tcW w:w="588" w:type="dxa"/>
            <w:tcBorders>
              <w:left w:val="single" w:sz="4" w:space="0" w:color="auto"/>
              <w:right w:val="single" w:sz="4" w:space="0" w:color="auto"/>
            </w:tcBorders>
            <w:shd w:val="clear" w:color="auto" w:fill="auto"/>
            <w:vAlign w:val="bottom"/>
          </w:tcPr>
          <w:p w14:paraId="7E3E3BA0"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6</w:t>
            </w:r>
          </w:p>
        </w:tc>
        <w:tc>
          <w:tcPr>
            <w:tcW w:w="588" w:type="dxa"/>
            <w:tcBorders>
              <w:left w:val="single" w:sz="4" w:space="0" w:color="auto"/>
              <w:right w:val="single" w:sz="4" w:space="0" w:color="auto"/>
            </w:tcBorders>
            <w:shd w:val="clear" w:color="auto" w:fill="auto"/>
            <w:vAlign w:val="bottom"/>
          </w:tcPr>
          <w:p w14:paraId="34825D91"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0</w:t>
            </w:r>
          </w:p>
        </w:tc>
        <w:tc>
          <w:tcPr>
            <w:tcW w:w="652" w:type="dxa"/>
            <w:tcBorders>
              <w:left w:val="single" w:sz="4" w:space="0" w:color="auto"/>
              <w:right w:val="single" w:sz="4" w:space="0" w:color="auto"/>
            </w:tcBorders>
            <w:shd w:val="clear" w:color="auto" w:fill="auto"/>
            <w:vAlign w:val="bottom"/>
          </w:tcPr>
          <w:p w14:paraId="084C41A5"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7</w:t>
            </w:r>
          </w:p>
        </w:tc>
        <w:tc>
          <w:tcPr>
            <w:tcW w:w="635" w:type="dxa"/>
            <w:tcBorders>
              <w:left w:val="single" w:sz="4" w:space="0" w:color="auto"/>
              <w:right w:val="single" w:sz="4" w:space="0" w:color="auto"/>
            </w:tcBorders>
            <w:shd w:val="clear" w:color="auto" w:fill="auto"/>
            <w:vAlign w:val="bottom"/>
          </w:tcPr>
          <w:p w14:paraId="707F12BB" w14:textId="77777777" w:rsidR="00EF4A2D" w:rsidRPr="00EF4A2D" w:rsidRDefault="00EF4A2D" w:rsidP="004D07F1">
            <w:pPr>
              <w:ind w:right="170"/>
              <w:jc w:val="right"/>
              <w:rPr>
                <w:rFonts w:eastAsia="Calibri"/>
                <w:b/>
                <w:sz w:val="14"/>
                <w:szCs w:val="14"/>
                <w:lang w:eastAsia="en-US"/>
              </w:rPr>
            </w:pPr>
            <w:r w:rsidRPr="00EF4A2D">
              <w:rPr>
                <w:rFonts w:eastAsia="Calibri"/>
                <w:b/>
                <w:sz w:val="14"/>
                <w:szCs w:val="14"/>
                <w:lang w:eastAsia="en-US"/>
              </w:rPr>
              <w:t>5</w:t>
            </w:r>
          </w:p>
        </w:tc>
        <w:tc>
          <w:tcPr>
            <w:tcW w:w="630" w:type="dxa"/>
            <w:tcBorders>
              <w:left w:val="single" w:sz="4" w:space="0" w:color="auto"/>
              <w:right w:val="single" w:sz="4" w:space="0" w:color="auto"/>
            </w:tcBorders>
            <w:shd w:val="clear" w:color="auto" w:fill="auto"/>
            <w:vAlign w:val="bottom"/>
          </w:tcPr>
          <w:p w14:paraId="55FE8E30"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1 988</w:t>
            </w:r>
          </w:p>
        </w:tc>
        <w:tc>
          <w:tcPr>
            <w:tcW w:w="528" w:type="dxa"/>
            <w:tcBorders>
              <w:left w:val="single" w:sz="4" w:space="0" w:color="auto"/>
              <w:right w:val="single" w:sz="4" w:space="0" w:color="auto"/>
            </w:tcBorders>
            <w:shd w:val="clear" w:color="auto" w:fill="auto"/>
            <w:vAlign w:val="bottom"/>
          </w:tcPr>
          <w:p w14:paraId="21A1A3D4"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6</w:t>
            </w:r>
          </w:p>
        </w:tc>
        <w:tc>
          <w:tcPr>
            <w:tcW w:w="593" w:type="dxa"/>
            <w:tcBorders>
              <w:left w:val="single" w:sz="4" w:space="0" w:color="auto"/>
              <w:right w:val="single" w:sz="4" w:space="0" w:color="auto"/>
            </w:tcBorders>
            <w:shd w:val="clear" w:color="auto" w:fill="auto"/>
            <w:vAlign w:val="bottom"/>
          </w:tcPr>
          <w:p w14:paraId="5116AE11"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-1</w:t>
            </w:r>
          </w:p>
        </w:tc>
        <w:tc>
          <w:tcPr>
            <w:tcW w:w="574" w:type="dxa"/>
            <w:tcBorders>
              <w:left w:val="single" w:sz="4" w:space="0" w:color="auto"/>
              <w:right w:val="single" w:sz="4" w:space="0" w:color="auto"/>
            </w:tcBorders>
            <w:shd w:val="clear" w:color="auto" w:fill="auto"/>
            <w:vAlign w:val="bottom"/>
          </w:tcPr>
          <w:p w14:paraId="6E20A8E6"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8</w:t>
            </w:r>
          </w:p>
        </w:tc>
        <w:tc>
          <w:tcPr>
            <w:tcW w:w="528" w:type="dxa"/>
            <w:tcBorders>
              <w:left w:val="single" w:sz="4" w:space="0" w:color="auto"/>
              <w:right w:val="single" w:sz="4" w:space="0" w:color="auto"/>
            </w:tcBorders>
            <w:shd w:val="clear" w:color="auto" w:fill="auto"/>
            <w:vAlign w:val="bottom"/>
          </w:tcPr>
          <w:p w14:paraId="75FC80E1"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5</w:t>
            </w:r>
          </w:p>
        </w:tc>
      </w:tr>
      <w:tr w:rsidR="00EF4A2D" w:rsidRPr="00EF4A2D" w14:paraId="1C1CDB4D" w14:textId="77777777" w:rsidTr="00B9606F">
        <w:trPr>
          <w:jc w:val="center"/>
        </w:trPr>
        <w:tc>
          <w:tcPr>
            <w:tcW w:w="3100" w:type="dxa"/>
            <w:tcBorders>
              <w:left w:val="single" w:sz="4" w:space="0" w:color="auto"/>
              <w:right w:val="single" w:sz="4" w:space="0" w:color="auto"/>
            </w:tcBorders>
            <w:shd w:val="clear" w:color="auto" w:fill="auto"/>
          </w:tcPr>
          <w:p w14:paraId="754B0A5E" w14:textId="77777777" w:rsidR="00EF4A2D" w:rsidRPr="00EF4A2D" w:rsidRDefault="00EF4A2D" w:rsidP="004D07F1">
            <w:pPr>
              <w:ind w:left="170"/>
              <w:rPr>
                <w:rFonts w:eastAsia="Calibri"/>
                <w:sz w:val="14"/>
                <w:szCs w:val="14"/>
                <w:lang w:eastAsia="en-US"/>
              </w:rPr>
            </w:pPr>
            <w:r w:rsidRPr="00EF4A2D">
              <w:rPr>
                <w:rFonts w:eastAsia="Calibri"/>
                <w:sz w:val="14"/>
                <w:szCs w:val="14"/>
                <w:lang w:eastAsia="en-US"/>
              </w:rPr>
              <w:t>Unión Europea (28)</w:t>
            </w:r>
          </w:p>
        </w:tc>
        <w:tc>
          <w:tcPr>
            <w:tcW w:w="667" w:type="dxa"/>
            <w:tcBorders>
              <w:left w:val="single" w:sz="4" w:space="0" w:color="auto"/>
              <w:right w:val="single" w:sz="4" w:space="0" w:color="auto"/>
            </w:tcBorders>
            <w:shd w:val="clear" w:color="auto" w:fill="auto"/>
            <w:vAlign w:val="bottom"/>
          </w:tcPr>
          <w:p w14:paraId="5AD9B12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2 153</w:t>
            </w:r>
          </w:p>
        </w:tc>
        <w:tc>
          <w:tcPr>
            <w:tcW w:w="588" w:type="dxa"/>
            <w:tcBorders>
              <w:left w:val="single" w:sz="4" w:space="0" w:color="auto"/>
              <w:right w:val="single" w:sz="4" w:space="0" w:color="auto"/>
            </w:tcBorders>
            <w:shd w:val="clear" w:color="auto" w:fill="auto"/>
            <w:vAlign w:val="bottom"/>
          </w:tcPr>
          <w:p w14:paraId="6C6E32DB"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w:t>
            </w:r>
          </w:p>
        </w:tc>
        <w:tc>
          <w:tcPr>
            <w:tcW w:w="588" w:type="dxa"/>
            <w:tcBorders>
              <w:left w:val="single" w:sz="4" w:space="0" w:color="auto"/>
              <w:right w:val="single" w:sz="4" w:space="0" w:color="auto"/>
            </w:tcBorders>
            <w:shd w:val="clear" w:color="auto" w:fill="auto"/>
            <w:vAlign w:val="bottom"/>
          </w:tcPr>
          <w:p w14:paraId="5AA1E7E7"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w:t>
            </w:r>
          </w:p>
        </w:tc>
        <w:tc>
          <w:tcPr>
            <w:tcW w:w="652" w:type="dxa"/>
            <w:tcBorders>
              <w:left w:val="single" w:sz="4" w:space="0" w:color="auto"/>
              <w:right w:val="single" w:sz="4" w:space="0" w:color="auto"/>
            </w:tcBorders>
            <w:shd w:val="clear" w:color="auto" w:fill="auto"/>
            <w:vAlign w:val="bottom"/>
          </w:tcPr>
          <w:p w14:paraId="104A7BF0"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8</w:t>
            </w:r>
          </w:p>
        </w:tc>
        <w:tc>
          <w:tcPr>
            <w:tcW w:w="635" w:type="dxa"/>
            <w:tcBorders>
              <w:left w:val="single" w:sz="4" w:space="0" w:color="auto"/>
              <w:right w:val="single" w:sz="4" w:space="0" w:color="auto"/>
            </w:tcBorders>
            <w:shd w:val="clear" w:color="auto" w:fill="auto"/>
            <w:vAlign w:val="bottom"/>
          </w:tcPr>
          <w:p w14:paraId="148152B3"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5</w:t>
            </w:r>
          </w:p>
        </w:tc>
        <w:tc>
          <w:tcPr>
            <w:tcW w:w="630" w:type="dxa"/>
            <w:tcBorders>
              <w:left w:val="single" w:sz="4" w:space="0" w:color="auto"/>
              <w:right w:val="single" w:sz="4" w:space="0" w:color="auto"/>
            </w:tcBorders>
            <w:shd w:val="clear" w:color="auto" w:fill="auto"/>
            <w:vAlign w:val="bottom"/>
          </w:tcPr>
          <w:p w14:paraId="404E4C75"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1 810</w:t>
            </w:r>
          </w:p>
        </w:tc>
        <w:tc>
          <w:tcPr>
            <w:tcW w:w="528" w:type="dxa"/>
            <w:tcBorders>
              <w:left w:val="single" w:sz="4" w:space="0" w:color="auto"/>
              <w:right w:val="single" w:sz="4" w:space="0" w:color="auto"/>
            </w:tcBorders>
            <w:shd w:val="clear" w:color="auto" w:fill="auto"/>
            <w:vAlign w:val="bottom"/>
          </w:tcPr>
          <w:p w14:paraId="16D7FD8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w:t>
            </w:r>
          </w:p>
        </w:tc>
        <w:tc>
          <w:tcPr>
            <w:tcW w:w="593" w:type="dxa"/>
            <w:tcBorders>
              <w:left w:val="single" w:sz="4" w:space="0" w:color="auto"/>
              <w:right w:val="single" w:sz="4" w:space="0" w:color="auto"/>
            </w:tcBorders>
            <w:shd w:val="clear" w:color="auto" w:fill="auto"/>
            <w:vAlign w:val="bottom"/>
          </w:tcPr>
          <w:p w14:paraId="7725A90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w:t>
            </w:r>
          </w:p>
        </w:tc>
        <w:tc>
          <w:tcPr>
            <w:tcW w:w="574" w:type="dxa"/>
            <w:tcBorders>
              <w:left w:val="single" w:sz="4" w:space="0" w:color="auto"/>
              <w:right w:val="single" w:sz="4" w:space="0" w:color="auto"/>
            </w:tcBorders>
            <w:shd w:val="clear" w:color="auto" w:fill="auto"/>
            <w:vAlign w:val="bottom"/>
          </w:tcPr>
          <w:p w14:paraId="7AD3AB2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8</w:t>
            </w:r>
          </w:p>
        </w:tc>
        <w:tc>
          <w:tcPr>
            <w:tcW w:w="528" w:type="dxa"/>
            <w:tcBorders>
              <w:left w:val="single" w:sz="4" w:space="0" w:color="auto"/>
              <w:right w:val="single" w:sz="4" w:space="0" w:color="auto"/>
            </w:tcBorders>
            <w:shd w:val="clear" w:color="auto" w:fill="auto"/>
            <w:vAlign w:val="bottom"/>
          </w:tcPr>
          <w:p w14:paraId="255A813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w:t>
            </w:r>
          </w:p>
        </w:tc>
      </w:tr>
      <w:tr w:rsidR="00EF4A2D" w:rsidRPr="00EF4A2D" w14:paraId="20F31A3B" w14:textId="77777777" w:rsidTr="00B9606F">
        <w:trPr>
          <w:jc w:val="center"/>
        </w:trPr>
        <w:tc>
          <w:tcPr>
            <w:tcW w:w="3100" w:type="dxa"/>
            <w:tcBorders>
              <w:left w:val="single" w:sz="4" w:space="0" w:color="auto"/>
              <w:right w:val="single" w:sz="4" w:space="0" w:color="auto"/>
            </w:tcBorders>
            <w:shd w:val="clear" w:color="auto" w:fill="auto"/>
          </w:tcPr>
          <w:p w14:paraId="1A15E028" w14:textId="77777777" w:rsidR="00EF4A2D" w:rsidRPr="00EF4A2D" w:rsidRDefault="00EF4A2D" w:rsidP="004D07F1">
            <w:pPr>
              <w:ind w:left="284"/>
              <w:rPr>
                <w:rFonts w:eastAsia="Calibri"/>
                <w:sz w:val="14"/>
                <w:szCs w:val="14"/>
                <w:lang w:eastAsia="en-US"/>
              </w:rPr>
            </w:pPr>
            <w:r w:rsidRPr="00EF4A2D">
              <w:rPr>
                <w:rFonts w:eastAsia="Calibri"/>
                <w:sz w:val="14"/>
                <w:szCs w:val="14"/>
                <w:lang w:eastAsia="en-US"/>
              </w:rPr>
              <w:t>Alemania</w:t>
            </w:r>
          </w:p>
        </w:tc>
        <w:tc>
          <w:tcPr>
            <w:tcW w:w="667" w:type="dxa"/>
            <w:tcBorders>
              <w:left w:val="single" w:sz="4" w:space="0" w:color="auto"/>
              <w:right w:val="single" w:sz="4" w:space="0" w:color="auto"/>
            </w:tcBorders>
            <w:shd w:val="clear" w:color="auto" w:fill="auto"/>
            <w:vAlign w:val="bottom"/>
          </w:tcPr>
          <w:p w14:paraId="5445277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267</w:t>
            </w:r>
          </w:p>
        </w:tc>
        <w:tc>
          <w:tcPr>
            <w:tcW w:w="588" w:type="dxa"/>
            <w:tcBorders>
              <w:left w:val="single" w:sz="4" w:space="0" w:color="auto"/>
              <w:right w:val="single" w:sz="4" w:space="0" w:color="auto"/>
            </w:tcBorders>
            <w:shd w:val="clear" w:color="auto" w:fill="auto"/>
            <w:vAlign w:val="bottom"/>
          </w:tcPr>
          <w:p w14:paraId="7C06C368"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6</w:t>
            </w:r>
          </w:p>
        </w:tc>
        <w:tc>
          <w:tcPr>
            <w:tcW w:w="588" w:type="dxa"/>
            <w:tcBorders>
              <w:left w:val="single" w:sz="4" w:space="0" w:color="auto"/>
              <w:right w:val="single" w:sz="4" w:space="0" w:color="auto"/>
            </w:tcBorders>
            <w:shd w:val="clear" w:color="auto" w:fill="auto"/>
            <w:vAlign w:val="bottom"/>
          </w:tcPr>
          <w:p w14:paraId="2A83772D"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-3</w:t>
            </w:r>
          </w:p>
        </w:tc>
        <w:tc>
          <w:tcPr>
            <w:tcW w:w="652" w:type="dxa"/>
            <w:tcBorders>
              <w:left w:val="single" w:sz="4" w:space="0" w:color="auto"/>
              <w:right w:val="single" w:sz="4" w:space="0" w:color="auto"/>
            </w:tcBorders>
            <w:shd w:val="clear" w:color="auto" w:fill="auto"/>
            <w:vAlign w:val="bottom"/>
          </w:tcPr>
          <w:p w14:paraId="107FBFB5"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8</w:t>
            </w:r>
          </w:p>
        </w:tc>
        <w:tc>
          <w:tcPr>
            <w:tcW w:w="635" w:type="dxa"/>
            <w:tcBorders>
              <w:left w:val="single" w:sz="4" w:space="0" w:color="auto"/>
              <w:right w:val="single" w:sz="4" w:space="0" w:color="auto"/>
            </w:tcBorders>
            <w:shd w:val="clear" w:color="auto" w:fill="auto"/>
            <w:vAlign w:val="bottom"/>
          </w:tcPr>
          <w:p w14:paraId="0FEA4BBD"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5</w:t>
            </w:r>
          </w:p>
        </w:tc>
        <w:tc>
          <w:tcPr>
            <w:tcW w:w="630" w:type="dxa"/>
            <w:tcBorders>
              <w:left w:val="single" w:sz="4" w:space="0" w:color="auto"/>
              <w:right w:val="single" w:sz="4" w:space="0" w:color="auto"/>
            </w:tcBorders>
            <w:shd w:val="clear" w:color="auto" w:fill="auto"/>
            <w:vAlign w:val="bottom"/>
          </w:tcPr>
          <w:p w14:paraId="2A6841FE"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327</w:t>
            </w:r>
          </w:p>
        </w:tc>
        <w:tc>
          <w:tcPr>
            <w:tcW w:w="528" w:type="dxa"/>
            <w:tcBorders>
              <w:left w:val="single" w:sz="4" w:space="0" w:color="auto"/>
              <w:right w:val="single" w:sz="4" w:space="0" w:color="auto"/>
            </w:tcBorders>
            <w:shd w:val="clear" w:color="auto" w:fill="auto"/>
            <w:vAlign w:val="bottom"/>
          </w:tcPr>
          <w:p w14:paraId="7CB866D1"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w:t>
            </w:r>
          </w:p>
        </w:tc>
        <w:tc>
          <w:tcPr>
            <w:tcW w:w="593" w:type="dxa"/>
            <w:tcBorders>
              <w:left w:val="single" w:sz="4" w:space="0" w:color="auto"/>
              <w:right w:val="single" w:sz="4" w:space="0" w:color="auto"/>
            </w:tcBorders>
            <w:shd w:val="clear" w:color="auto" w:fill="auto"/>
            <w:vAlign w:val="bottom"/>
          </w:tcPr>
          <w:p w14:paraId="494D4CF2"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w:t>
            </w:r>
          </w:p>
        </w:tc>
        <w:tc>
          <w:tcPr>
            <w:tcW w:w="574" w:type="dxa"/>
            <w:tcBorders>
              <w:left w:val="single" w:sz="4" w:space="0" w:color="auto"/>
              <w:right w:val="single" w:sz="4" w:space="0" w:color="auto"/>
            </w:tcBorders>
            <w:shd w:val="clear" w:color="auto" w:fill="auto"/>
            <w:vAlign w:val="bottom"/>
          </w:tcPr>
          <w:p w14:paraId="358DC4D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13</w:t>
            </w:r>
          </w:p>
        </w:tc>
        <w:tc>
          <w:tcPr>
            <w:tcW w:w="528" w:type="dxa"/>
            <w:tcBorders>
              <w:left w:val="single" w:sz="4" w:space="0" w:color="auto"/>
              <w:right w:val="single" w:sz="4" w:space="0" w:color="auto"/>
            </w:tcBorders>
            <w:shd w:val="clear" w:color="auto" w:fill="auto"/>
            <w:vAlign w:val="bottom"/>
          </w:tcPr>
          <w:p w14:paraId="1AC55FA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w:t>
            </w:r>
          </w:p>
        </w:tc>
      </w:tr>
      <w:tr w:rsidR="00EF4A2D" w:rsidRPr="00EF4A2D" w14:paraId="39CDC877" w14:textId="77777777" w:rsidTr="00B9606F">
        <w:trPr>
          <w:jc w:val="center"/>
        </w:trPr>
        <w:tc>
          <w:tcPr>
            <w:tcW w:w="3100" w:type="dxa"/>
            <w:tcBorders>
              <w:left w:val="single" w:sz="4" w:space="0" w:color="auto"/>
              <w:right w:val="single" w:sz="4" w:space="0" w:color="auto"/>
            </w:tcBorders>
            <w:shd w:val="clear" w:color="auto" w:fill="auto"/>
          </w:tcPr>
          <w:p w14:paraId="29420261" w14:textId="77777777" w:rsidR="00EF4A2D" w:rsidRPr="00EF4A2D" w:rsidRDefault="00EF4A2D" w:rsidP="004D07F1">
            <w:pPr>
              <w:ind w:left="284"/>
              <w:rPr>
                <w:rFonts w:eastAsia="Calibri"/>
                <w:sz w:val="14"/>
                <w:szCs w:val="14"/>
                <w:lang w:eastAsia="en-US"/>
              </w:rPr>
            </w:pPr>
            <w:r w:rsidRPr="00EF4A2D">
              <w:rPr>
                <w:rFonts w:eastAsia="Calibri"/>
                <w:sz w:val="14"/>
                <w:szCs w:val="14"/>
                <w:lang w:eastAsia="en-US"/>
              </w:rPr>
              <w:t>Reino Unido</w:t>
            </w:r>
          </w:p>
        </w:tc>
        <w:tc>
          <w:tcPr>
            <w:tcW w:w="667" w:type="dxa"/>
            <w:tcBorders>
              <w:left w:val="single" w:sz="4" w:space="0" w:color="auto"/>
              <w:right w:val="single" w:sz="4" w:space="0" w:color="auto"/>
            </w:tcBorders>
            <w:shd w:val="clear" w:color="auto" w:fill="auto"/>
            <w:vAlign w:val="bottom"/>
          </w:tcPr>
          <w:p w14:paraId="64621EE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329</w:t>
            </w:r>
          </w:p>
        </w:tc>
        <w:tc>
          <w:tcPr>
            <w:tcW w:w="588" w:type="dxa"/>
            <w:tcBorders>
              <w:left w:val="single" w:sz="4" w:space="0" w:color="auto"/>
              <w:right w:val="single" w:sz="4" w:space="0" w:color="auto"/>
            </w:tcBorders>
            <w:shd w:val="clear" w:color="auto" w:fill="auto"/>
            <w:vAlign w:val="bottom"/>
          </w:tcPr>
          <w:p w14:paraId="234756D6"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4</w:t>
            </w:r>
          </w:p>
        </w:tc>
        <w:tc>
          <w:tcPr>
            <w:tcW w:w="588" w:type="dxa"/>
            <w:tcBorders>
              <w:left w:val="single" w:sz="4" w:space="0" w:color="auto"/>
              <w:right w:val="single" w:sz="4" w:space="0" w:color="auto"/>
            </w:tcBorders>
            <w:shd w:val="clear" w:color="auto" w:fill="auto"/>
            <w:vAlign w:val="bottom"/>
          </w:tcPr>
          <w:p w14:paraId="02DB12F5"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1</w:t>
            </w:r>
          </w:p>
        </w:tc>
        <w:tc>
          <w:tcPr>
            <w:tcW w:w="652" w:type="dxa"/>
            <w:tcBorders>
              <w:left w:val="single" w:sz="4" w:space="0" w:color="auto"/>
              <w:right w:val="single" w:sz="4" w:space="0" w:color="auto"/>
            </w:tcBorders>
            <w:shd w:val="clear" w:color="auto" w:fill="auto"/>
            <w:vAlign w:val="bottom"/>
          </w:tcPr>
          <w:p w14:paraId="2972F1DC"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3</w:t>
            </w:r>
          </w:p>
        </w:tc>
        <w:tc>
          <w:tcPr>
            <w:tcW w:w="635" w:type="dxa"/>
            <w:tcBorders>
              <w:left w:val="single" w:sz="4" w:space="0" w:color="auto"/>
              <w:right w:val="single" w:sz="4" w:space="0" w:color="auto"/>
            </w:tcBorders>
            <w:shd w:val="clear" w:color="auto" w:fill="auto"/>
            <w:vAlign w:val="bottom"/>
          </w:tcPr>
          <w:p w14:paraId="39B548E3"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4</w:t>
            </w:r>
          </w:p>
        </w:tc>
        <w:tc>
          <w:tcPr>
            <w:tcW w:w="630" w:type="dxa"/>
            <w:tcBorders>
              <w:left w:val="single" w:sz="4" w:space="0" w:color="auto"/>
              <w:right w:val="single" w:sz="4" w:space="0" w:color="auto"/>
            </w:tcBorders>
            <w:shd w:val="clear" w:color="auto" w:fill="auto"/>
            <w:vAlign w:val="bottom"/>
          </w:tcPr>
          <w:p w14:paraId="7AB9ED46"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189</w:t>
            </w:r>
          </w:p>
        </w:tc>
        <w:tc>
          <w:tcPr>
            <w:tcW w:w="528" w:type="dxa"/>
            <w:tcBorders>
              <w:left w:val="single" w:sz="4" w:space="0" w:color="auto"/>
              <w:right w:val="single" w:sz="4" w:space="0" w:color="auto"/>
            </w:tcBorders>
            <w:shd w:val="clear" w:color="auto" w:fill="auto"/>
            <w:vAlign w:val="bottom"/>
          </w:tcPr>
          <w:p w14:paraId="49D09B34"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w:t>
            </w:r>
          </w:p>
        </w:tc>
        <w:tc>
          <w:tcPr>
            <w:tcW w:w="593" w:type="dxa"/>
            <w:tcBorders>
              <w:left w:val="single" w:sz="4" w:space="0" w:color="auto"/>
              <w:right w:val="single" w:sz="4" w:space="0" w:color="auto"/>
            </w:tcBorders>
            <w:shd w:val="clear" w:color="auto" w:fill="auto"/>
            <w:vAlign w:val="bottom"/>
          </w:tcPr>
          <w:p w14:paraId="62DEEEA2"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w:t>
            </w:r>
          </w:p>
        </w:tc>
        <w:tc>
          <w:tcPr>
            <w:tcW w:w="574" w:type="dxa"/>
            <w:tcBorders>
              <w:left w:val="single" w:sz="4" w:space="0" w:color="auto"/>
              <w:right w:val="single" w:sz="4" w:space="0" w:color="auto"/>
            </w:tcBorders>
            <w:shd w:val="clear" w:color="auto" w:fill="auto"/>
            <w:vAlign w:val="bottom"/>
          </w:tcPr>
          <w:p w14:paraId="1D75A76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c>
          <w:tcPr>
            <w:tcW w:w="528" w:type="dxa"/>
            <w:tcBorders>
              <w:left w:val="single" w:sz="4" w:space="0" w:color="auto"/>
              <w:right w:val="single" w:sz="4" w:space="0" w:color="auto"/>
            </w:tcBorders>
            <w:shd w:val="clear" w:color="auto" w:fill="auto"/>
            <w:vAlign w:val="bottom"/>
          </w:tcPr>
          <w:p w14:paraId="45A3D922"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w:t>
            </w:r>
          </w:p>
        </w:tc>
      </w:tr>
      <w:tr w:rsidR="00EF4A2D" w:rsidRPr="00EF4A2D" w14:paraId="427C4AA6" w14:textId="77777777" w:rsidTr="00B9606F">
        <w:trPr>
          <w:jc w:val="center"/>
        </w:trPr>
        <w:tc>
          <w:tcPr>
            <w:tcW w:w="3100" w:type="dxa"/>
            <w:tcBorders>
              <w:left w:val="single" w:sz="4" w:space="0" w:color="auto"/>
              <w:right w:val="single" w:sz="4" w:space="0" w:color="auto"/>
            </w:tcBorders>
            <w:shd w:val="clear" w:color="auto" w:fill="auto"/>
          </w:tcPr>
          <w:p w14:paraId="26905247" w14:textId="77777777" w:rsidR="00EF4A2D" w:rsidRPr="00EF4A2D" w:rsidRDefault="00EF4A2D" w:rsidP="004D07F1">
            <w:pPr>
              <w:ind w:left="284"/>
              <w:rPr>
                <w:rFonts w:eastAsia="Calibri"/>
                <w:sz w:val="14"/>
                <w:szCs w:val="14"/>
                <w:lang w:eastAsia="en-US"/>
              </w:rPr>
            </w:pPr>
            <w:r w:rsidRPr="00EF4A2D">
              <w:rPr>
                <w:rFonts w:eastAsia="Calibri"/>
                <w:sz w:val="14"/>
                <w:szCs w:val="14"/>
                <w:lang w:eastAsia="en-US"/>
              </w:rPr>
              <w:t>Francia</w:t>
            </w:r>
          </w:p>
        </w:tc>
        <w:tc>
          <w:tcPr>
            <w:tcW w:w="667" w:type="dxa"/>
            <w:tcBorders>
              <w:left w:val="single" w:sz="4" w:space="0" w:color="auto"/>
              <w:right w:val="single" w:sz="4" w:space="0" w:color="auto"/>
            </w:tcBorders>
            <w:shd w:val="clear" w:color="auto" w:fill="auto"/>
            <w:vAlign w:val="bottom"/>
          </w:tcPr>
          <w:p w14:paraId="09B1277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263</w:t>
            </w:r>
          </w:p>
        </w:tc>
        <w:tc>
          <w:tcPr>
            <w:tcW w:w="588" w:type="dxa"/>
            <w:tcBorders>
              <w:left w:val="single" w:sz="4" w:space="0" w:color="auto"/>
              <w:right w:val="single" w:sz="4" w:space="0" w:color="auto"/>
            </w:tcBorders>
            <w:shd w:val="clear" w:color="auto" w:fill="auto"/>
            <w:vAlign w:val="bottom"/>
          </w:tcPr>
          <w:p w14:paraId="6C44BB00"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6</w:t>
            </w:r>
          </w:p>
        </w:tc>
        <w:tc>
          <w:tcPr>
            <w:tcW w:w="588" w:type="dxa"/>
            <w:tcBorders>
              <w:left w:val="single" w:sz="4" w:space="0" w:color="auto"/>
              <w:right w:val="single" w:sz="4" w:space="0" w:color="auto"/>
            </w:tcBorders>
            <w:shd w:val="clear" w:color="auto" w:fill="auto"/>
            <w:vAlign w:val="bottom"/>
          </w:tcPr>
          <w:p w14:paraId="23C6F1FA"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0</w:t>
            </w:r>
          </w:p>
        </w:tc>
        <w:tc>
          <w:tcPr>
            <w:tcW w:w="652" w:type="dxa"/>
            <w:tcBorders>
              <w:left w:val="single" w:sz="4" w:space="0" w:color="auto"/>
              <w:right w:val="single" w:sz="4" w:space="0" w:color="auto"/>
            </w:tcBorders>
            <w:shd w:val="clear" w:color="auto" w:fill="auto"/>
            <w:vAlign w:val="bottom"/>
          </w:tcPr>
          <w:p w14:paraId="223DCAC8"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7</w:t>
            </w:r>
          </w:p>
        </w:tc>
        <w:tc>
          <w:tcPr>
            <w:tcW w:w="635" w:type="dxa"/>
            <w:tcBorders>
              <w:left w:val="single" w:sz="4" w:space="0" w:color="auto"/>
              <w:right w:val="single" w:sz="4" w:space="0" w:color="auto"/>
            </w:tcBorders>
            <w:shd w:val="clear" w:color="auto" w:fill="auto"/>
            <w:vAlign w:val="bottom"/>
          </w:tcPr>
          <w:p w14:paraId="37990EA8"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4</w:t>
            </w:r>
          </w:p>
        </w:tc>
        <w:tc>
          <w:tcPr>
            <w:tcW w:w="630" w:type="dxa"/>
            <w:tcBorders>
              <w:left w:val="single" w:sz="4" w:space="0" w:color="auto"/>
              <w:right w:val="single" w:sz="4" w:space="0" w:color="auto"/>
            </w:tcBorders>
            <w:shd w:val="clear" w:color="auto" w:fill="auto"/>
            <w:vAlign w:val="bottom"/>
          </w:tcPr>
          <w:p w14:paraId="05D41F1F"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244</w:t>
            </w:r>
          </w:p>
        </w:tc>
        <w:tc>
          <w:tcPr>
            <w:tcW w:w="528" w:type="dxa"/>
            <w:tcBorders>
              <w:left w:val="single" w:sz="4" w:space="0" w:color="auto"/>
              <w:right w:val="single" w:sz="4" w:space="0" w:color="auto"/>
            </w:tcBorders>
            <w:shd w:val="clear" w:color="auto" w:fill="auto"/>
            <w:vAlign w:val="bottom"/>
          </w:tcPr>
          <w:p w14:paraId="35BAA4C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7</w:t>
            </w:r>
          </w:p>
        </w:tc>
        <w:tc>
          <w:tcPr>
            <w:tcW w:w="593" w:type="dxa"/>
            <w:tcBorders>
              <w:left w:val="single" w:sz="4" w:space="0" w:color="auto"/>
              <w:right w:val="single" w:sz="4" w:space="0" w:color="auto"/>
            </w:tcBorders>
            <w:shd w:val="clear" w:color="auto" w:fill="auto"/>
            <w:vAlign w:val="bottom"/>
          </w:tcPr>
          <w:p w14:paraId="545143A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0</w:t>
            </w:r>
          </w:p>
        </w:tc>
        <w:tc>
          <w:tcPr>
            <w:tcW w:w="574" w:type="dxa"/>
            <w:tcBorders>
              <w:left w:val="single" w:sz="4" w:space="0" w:color="auto"/>
              <w:right w:val="single" w:sz="4" w:space="0" w:color="auto"/>
            </w:tcBorders>
            <w:shd w:val="clear" w:color="auto" w:fill="auto"/>
            <w:vAlign w:val="bottom"/>
          </w:tcPr>
          <w:p w14:paraId="4C9E6A0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14</w:t>
            </w:r>
          </w:p>
        </w:tc>
        <w:tc>
          <w:tcPr>
            <w:tcW w:w="528" w:type="dxa"/>
            <w:tcBorders>
              <w:left w:val="single" w:sz="4" w:space="0" w:color="auto"/>
              <w:right w:val="single" w:sz="4" w:space="0" w:color="auto"/>
            </w:tcBorders>
            <w:shd w:val="clear" w:color="auto" w:fill="auto"/>
            <w:vAlign w:val="bottom"/>
          </w:tcPr>
          <w:p w14:paraId="7456D6D3"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w:t>
            </w:r>
          </w:p>
        </w:tc>
      </w:tr>
      <w:tr w:rsidR="00EF4A2D" w:rsidRPr="00EF4A2D" w14:paraId="10BDA698" w14:textId="77777777" w:rsidTr="00B9606F">
        <w:trPr>
          <w:jc w:val="center"/>
        </w:trPr>
        <w:tc>
          <w:tcPr>
            <w:tcW w:w="3100" w:type="dxa"/>
            <w:tcBorders>
              <w:left w:val="single" w:sz="4" w:space="0" w:color="auto"/>
              <w:right w:val="single" w:sz="4" w:space="0" w:color="auto"/>
            </w:tcBorders>
            <w:shd w:val="clear" w:color="auto" w:fill="auto"/>
          </w:tcPr>
          <w:p w14:paraId="35488EA8" w14:textId="77777777" w:rsidR="00EF4A2D" w:rsidRPr="00EF4A2D" w:rsidRDefault="00EF4A2D" w:rsidP="004D07F1">
            <w:pPr>
              <w:ind w:left="284"/>
              <w:rPr>
                <w:rFonts w:eastAsia="Calibri"/>
                <w:sz w:val="14"/>
                <w:szCs w:val="14"/>
                <w:lang w:eastAsia="en-US"/>
              </w:rPr>
            </w:pPr>
            <w:r w:rsidRPr="00EF4A2D">
              <w:rPr>
                <w:rFonts w:eastAsia="Calibri"/>
                <w:sz w:val="14"/>
                <w:szCs w:val="14"/>
                <w:lang w:eastAsia="en-US"/>
              </w:rPr>
              <w:t>Países Bajos</w:t>
            </w:r>
          </w:p>
        </w:tc>
        <w:tc>
          <w:tcPr>
            <w:tcW w:w="667" w:type="dxa"/>
            <w:tcBorders>
              <w:left w:val="single" w:sz="4" w:space="0" w:color="auto"/>
              <w:right w:val="single" w:sz="4" w:space="0" w:color="auto"/>
            </w:tcBorders>
            <w:shd w:val="clear" w:color="auto" w:fill="auto"/>
            <w:vAlign w:val="bottom"/>
          </w:tcPr>
          <w:p w14:paraId="3B95A064"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156</w:t>
            </w:r>
          </w:p>
        </w:tc>
        <w:tc>
          <w:tcPr>
            <w:tcW w:w="588" w:type="dxa"/>
            <w:tcBorders>
              <w:left w:val="single" w:sz="4" w:space="0" w:color="auto"/>
              <w:right w:val="single" w:sz="4" w:space="0" w:color="auto"/>
            </w:tcBorders>
            <w:shd w:val="clear" w:color="auto" w:fill="auto"/>
            <w:vAlign w:val="bottom"/>
          </w:tcPr>
          <w:p w14:paraId="7637029A"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w:t>
            </w:r>
          </w:p>
        </w:tc>
        <w:tc>
          <w:tcPr>
            <w:tcW w:w="588" w:type="dxa"/>
            <w:tcBorders>
              <w:left w:val="single" w:sz="4" w:space="0" w:color="auto"/>
              <w:right w:val="single" w:sz="4" w:space="0" w:color="auto"/>
            </w:tcBorders>
            <w:shd w:val="clear" w:color="auto" w:fill="auto"/>
            <w:vAlign w:val="bottom"/>
          </w:tcPr>
          <w:p w14:paraId="376BCBD3"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-4</w:t>
            </w:r>
          </w:p>
        </w:tc>
        <w:tc>
          <w:tcPr>
            <w:tcW w:w="652" w:type="dxa"/>
            <w:tcBorders>
              <w:left w:val="single" w:sz="4" w:space="0" w:color="auto"/>
              <w:right w:val="single" w:sz="4" w:space="0" w:color="auto"/>
            </w:tcBorders>
            <w:shd w:val="clear" w:color="auto" w:fill="auto"/>
            <w:vAlign w:val="bottom"/>
          </w:tcPr>
          <w:p w14:paraId="3D773D7C"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8</w:t>
            </w:r>
          </w:p>
        </w:tc>
        <w:tc>
          <w:tcPr>
            <w:tcW w:w="635" w:type="dxa"/>
            <w:tcBorders>
              <w:left w:val="single" w:sz="4" w:space="0" w:color="auto"/>
              <w:right w:val="single" w:sz="4" w:space="0" w:color="auto"/>
            </w:tcBorders>
            <w:shd w:val="clear" w:color="auto" w:fill="auto"/>
            <w:vAlign w:val="bottom"/>
          </w:tcPr>
          <w:p w14:paraId="227EA41A"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11</w:t>
            </w:r>
          </w:p>
        </w:tc>
        <w:tc>
          <w:tcPr>
            <w:tcW w:w="630" w:type="dxa"/>
            <w:tcBorders>
              <w:left w:val="single" w:sz="4" w:space="0" w:color="auto"/>
              <w:right w:val="single" w:sz="4" w:space="0" w:color="auto"/>
            </w:tcBorders>
            <w:shd w:val="clear" w:color="auto" w:fill="auto"/>
            <w:vAlign w:val="bottom"/>
          </w:tcPr>
          <w:p w14:paraId="6F6A3C0E"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165</w:t>
            </w:r>
          </w:p>
        </w:tc>
        <w:tc>
          <w:tcPr>
            <w:tcW w:w="528" w:type="dxa"/>
            <w:tcBorders>
              <w:left w:val="single" w:sz="4" w:space="0" w:color="auto"/>
              <w:right w:val="single" w:sz="4" w:space="0" w:color="auto"/>
            </w:tcBorders>
            <w:shd w:val="clear" w:color="auto" w:fill="auto"/>
            <w:vAlign w:val="bottom"/>
          </w:tcPr>
          <w:p w14:paraId="598ED14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10</w:t>
            </w:r>
          </w:p>
        </w:tc>
        <w:tc>
          <w:tcPr>
            <w:tcW w:w="593" w:type="dxa"/>
            <w:tcBorders>
              <w:left w:val="single" w:sz="4" w:space="0" w:color="auto"/>
              <w:right w:val="single" w:sz="4" w:space="0" w:color="auto"/>
            </w:tcBorders>
            <w:shd w:val="clear" w:color="auto" w:fill="auto"/>
            <w:vAlign w:val="bottom"/>
          </w:tcPr>
          <w:p w14:paraId="56FF9C1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c>
          <w:tcPr>
            <w:tcW w:w="574" w:type="dxa"/>
            <w:tcBorders>
              <w:left w:val="single" w:sz="4" w:space="0" w:color="auto"/>
              <w:right w:val="single" w:sz="4" w:space="0" w:color="auto"/>
            </w:tcBorders>
            <w:shd w:val="clear" w:color="auto" w:fill="auto"/>
            <w:vAlign w:val="bottom"/>
          </w:tcPr>
          <w:p w14:paraId="2713C52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w:t>
            </w:r>
          </w:p>
        </w:tc>
        <w:tc>
          <w:tcPr>
            <w:tcW w:w="528" w:type="dxa"/>
            <w:tcBorders>
              <w:left w:val="single" w:sz="4" w:space="0" w:color="auto"/>
              <w:right w:val="single" w:sz="4" w:space="0" w:color="auto"/>
            </w:tcBorders>
            <w:shd w:val="clear" w:color="auto" w:fill="auto"/>
            <w:vAlign w:val="bottom"/>
          </w:tcPr>
          <w:p w14:paraId="3C7FDFE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8</w:t>
            </w:r>
          </w:p>
        </w:tc>
      </w:tr>
      <w:tr w:rsidR="00EF4A2D" w:rsidRPr="00EF4A2D" w14:paraId="09992E2A" w14:textId="77777777" w:rsidTr="00B9606F">
        <w:trPr>
          <w:jc w:val="center"/>
        </w:trPr>
        <w:tc>
          <w:tcPr>
            <w:tcW w:w="3100" w:type="dxa"/>
            <w:tcBorders>
              <w:left w:val="single" w:sz="4" w:space="0" w:color="auto"/>
              <w:right w:val="single" w:sz="4" w:space="0" w:color="auto"/>
            </w:tcBorders>
            <w:shd w:val="clear" w:color="auto" w:fill="auto"/>
          </w:tcPr>
          <w:p w14:paraId="56ACCA7E" w14:textId="77777777" w:rsidR="00EF4A2D" w:rsidRPr="00EF4A2D" w:rsidRDefault="00EF4A2D" w:rsidP="004D07F1">
            <w:pPr>
              <w:ind w:left="284"/>
              <w:rPr>
                <w:rFonts w:eastAsia="Calibri"/>
                <w:sz w:val="14"/>
                <w:szCs w:val="14"/>
                <w:lang w:eastAsia="en-US"/>
              </w:rPr>
            </w:pPr>
            <w:r w:rsidRPr="00EF4A2D">
              <w:rPr>
                <w:rFonts w:eastAsia="Calibri"/>
                <w:sz w:val="14"/>
                <w:szCs w:val="14"/>
                <w:lang w:eastAsia="en-US"/>
              </w:rPr>
              <w:t>Irlanda</w:t>
            </w:r>
          </w:p>
        </w:tc>
        <w:tc>
          <w:tcPr>
            <w:tcW w:w="667" w:type="dxa"/>
            <w:tcBorders>
              <w:left w:val="single" w:sz="4" w:space="0" w:color="auto"/>
              <w:right w:val="single" w:sz="4" w:space="0" w:color="auto"/>
            </w:tcBorders>
            <w:shd w:val="clear" w:color="auto" w:fill="auto"/>
            <w:vAlign w:val="bottom"/>
          </w:tcPr>
          <w:p w14:paraId="3DE1233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133</w:t>
            </w:r>
          </w:p>
        </w:tc>
        <w:tc>
          <w:tcPr>
            <w:tcW w:w="588" w:type="dxa"/>
            <w:tcBorders>
              <w:left w:val="single" w:sz="4" w:space="0" w:color="auto"/>
              <w:right w:val="single" w:sz="4" w:space="0" w:color="auto"/>
            </w:tcBorders>
            <w:shd w:val="clear" w:color="auto" w:fill="auto"/>
            <w:vAlign w:val="bottom"/>
          </w:tcPr>
          <w:p w14:paraId="01117803"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5</w:t>
            </w:r>
          </w:p>
        </w:tc>
        <w:tc>
          <w:tcPr>
            <w:tcW w:w="588" w:type="dxa"/>
            <w:tcBorders>
              <w:left w:val="single" w:sz="4" w:space="0" w:color="auto"/>
              <w:right w:val="single" w:sz="4" w:space="0" w:color="auto"/>
            </w:tcBorders>
            <w:shd w:val="clear" w:color="auto" w:fill="auto"/>
            <w:vAlign w:val="bottom"/>
          </w:tcPr>
          <w:p w14:paraId="1635BBF2"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12</w:t>
            </w:r>
          </w:p>
        </w:tc>
        <w:tc>
          <w:tcPr>
            <w:tcW w:w="652" w:type="dxa"/>
            <w:tcBorders>
              <w:left w:val="single" w:sz="4" w:space="0" w:color="auto"/>
              <w:right w:val="single" w:sz="4" w:space="0" w:color="auto"/>
            </w:tcBorders>
            <w:shd w:val="clear" w:color="auto" w:fill="auto"/>
            <w:vAlign w:val="bottom"/>
          </w:tcPr>
          <w:p w14:paraId="2677F6E1"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9</w:t>
            </w:r>
          </w:p>
        </w:tc>
        <w:tc>
          <w:tcPr>
            <w:tcW w:w="635" w:type="dxa"/>
            <w:tcBorders>
              <w:left w:val="single" w:sz="4" w:space="0" w:color="auto"/>
              <w:right w:val="single" w:sz="4" w:space="0" w:color="auto"/>
            </w:tcBorders>
            <w:shd w:val="clear" w:color="auto" w:fill="auto"/>
            <w:vAlign w:val="bottom"/>
          </w:tcPr>
          <w:p w14:paraId="6346CB0C"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10</w:t>
            </w:r>
          </w:p>
        </w:tc>
        <w:tc>
          <w:tcPr>
            <w:tcW w:w="630" w:type="dxa"/>
            <w:tcBorders>
              <w:left w:val="single" w:sz="4" w:space="0" w:color="auto"/>
              <w:right w:val="single" w:sz="4" w:space="0" w:color="auto"/>
            </w:tcBorders>
            <w:shd w:val="clear" w:color="auto" w:fill="auto"/>
            <w:vAlign w:val="bottom"/>
          </w:tcPr>
          <w:p w14:paraId="2DE8817C"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142</w:t>
            </w:r>
          </w:p>
        </w:tc>
        <w:tc>
          <w:tcPr>
            <w:tcW w:w="528" w:type="dxa"/>
            <w:tcBorders>
              <w:left w:val="single" w:sz="4" w:space="0" w:color="auto"/>
              <w:right w:val="single" w:sz="4" w:space="0" w:color="auto"/>
            </w:tcBorders>
            <w:shd w:val="clear" w:color="auto" w:fill="auto"/>
            <w:vAlign w:val="bottom"/>
          </w:tcPr>
          <w:p w14:paraId="4BBC466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w:t>
            </w:r>
          </w:p>
        </w:tc>
        <w:tc>
          <w:tcPr>
            <w:tcW w:w="593" w:type="dxa"/>
            <w:tcBorders>
              <w:left w:val="single" w:sz="4" w:space="0" w:color="auto"/>
              <w:right w:val="single" w:sz="4" w:space="0" w:color="auto"/>
            </w:tcBorders>
            <w:shd w:val="clear" w:color="auto" w:fill="auto"/>
            <w:vAlign w:val="bottom"/>
          </w:tcPr>
          <w:p w14:paraId="10E63E9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w:t>
            </w:r>
          </w:p>
        </w:tc>
        <w:tc>
          <w:tcPr>
            <w:tcW w:w="574" w:type="dxa"/>
            <w:tcBorders>
              <w:left w:val="single" w:sz="4" w:space="0" w:color="auto"/>
              <w:right w:val="single" w:sz="4" w:space="0" w:color="auto"/>
            </w:tcBorders>
            <w:shd w:val="clear" w:color="auto" w:fill="auto"/>
            <w:vAlign w:val="bottom"/>
          </w:tcPr>
          <w:p w14:paraId="6BFB871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16</w:t>
            </w:r>
          </w:p>
        </w:tc>
        <w:tc>
          <w:tcPr>
            <w:tcW w:w="528" w:type="dxa"/>
            <w:tcBorders>
              <w:left w:val="single" w:sz="4" w:space="0" w:color="auto"/>
              <w:right w:val="single" w:sz="4" w:space="0" w:color="auto"/>
            </w:tcBorders>
            <w:shd w:val="clear" w:color="auto" w:fill="auto"/>
            <w:vAlign w:val="bottom"/>
          </w:tcPr>
          <w:p w14:paraId="2B7A303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8</w:t>
            </w:r>
          </w:p>
        </w:tc>
      </w:tr>
      <w:tr w:rsidR="00EF4A2D" w:rsidRPr="00EF4A2D" w14:paraId="61A2AA48" w14:textId="77777777" w:rsidTr="00B9606F">
        <w:trPr>
          <w:jc w:val="center"/>
        </w:trPr>
        <w:tc>
          <w:tcPr>
            <w:tcW w:w="3100" w:type="dxa"/>
            <w:tcBorders>
              <w:left w:val="single" w:sz="4" w:space="0" w:color="auto"/>
              <w:right w:val="single" w:sz="4" w:space="0" w:color="auto"/>
            </w:tcBorders>
            <w:shd w:val="clear" w:color="auto" w:fill="auto"/>
          </w:tcPr>
          <w:p w14:paraId="548CB5DB"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Comunidad de Estados Independientes (CEI)</w:t>
            </w:r>
          </w:p>
        </w:tc>
        <w:tc>
          <w:tcPr>
            <w:tcW w:w="667" w:type="dxa"/>
            <w:tcBorders>
              <w:left w:val="single" w:sz="4" w:space="0" w:color="auto"/>
              <w:right w:val="single" w:sz="4" w:space="0" w:color="auto"/>
            </w:tcBorders>
            <w:shd w:val="clear" w:color="auto" w:fill="auto"/>
            <w:vAlign w:val="bottom"/>
          </w:tcPr>
          <w:p w14:paraId="35298008"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110</w:t>
            </w:r>
          </w:p>
        </w:tc>
        <w:tc>
          <w:tcPr>
            <w:tcW w:w="588" w:type="dxa"/>
            <w:tcBorders>
              <w:left w:val="single" w:sz="4" w:space="0" w:color="auto"/>
              <w:right w:val="single" w:sz="4" w:space="0" w:color="auto"/>
            </w:tcBorders>
            <w:shd w:val="clear" w:color="auto" w:fill="auto"/>
            <w:vAlign w:val="bottom"/>
          </w:tcPr>
          <w:p w14:paraId="142174D9"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10</w:t>
            </w:r>
          </w:p>
        </w:tc>
        <w:tc>
          <w:tcPr>
            <w:tcW w:w="588" w:type="dxa"/>
            <w:tcBorders>
              <w:left w:val="single" w:sz="4" w:space="0" w:color="auto"/>
              <w:right w:val="single" w:sz="4" w:space="0" w:color="auto"/>
            </w:tcBorders>
            <w:shd w:val="clear" w:color="auto" w:fill="auto"/>
            <w:vAlign w:val="bottom"/>
          </w:tcPr>
          <w:p w14:paraId="628C5650"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9</w:t>
            </w:r>
          </w:p>
        </w:tc>
        <w:tc>
          <w:tcPr>
            <w:tcW w:w="652" w:type="dxa"/>
            <w:tcBorders>
              <w:left w:val="single" w:sz="4" w:space="0" w:color="auto"/>
              <w:right w:val="single" w:sz="4" w:space="0" w:color="auto"/>
            </w:tcBorders>
            <w:shd w:val="clear" w:color="auto" w:fill="auto"/>
            <w:vAlign w:val="bottom"/>
          </w:tcPr>
          <w:p w14:paraId="3CD81EB8"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9</w:t>
            </w:r>
          </w:p>
        </w:tc>
        <w:tc>
          <w:tcPr>
            <w:tcW w:w="635" w:type="dxa"/>
            <w:tcBorders>
              <w:left w:val="single" w:sz="4" w:space="0" w:color="auto"/>
              <w:right w:val="single" w:sz="4" w:space="0" w:color="auto"/>
            </w:tcBorders>
            <w:shd w:val="clear" w:color="auto" w:fill="auto"/>
            <w:vAlign w:val="bottom"/>
          </w:tcPr>
          <w:p w14:paraId="4A1F42A6" w14:textId="77777777" w:rsidR="00EF4A2D" w:rsidRPr="00EF4A2D" w:rsidRDefault="00EF4A2D" w:rsidP="004D07F1">
            <w:pPr>
              <w:ind w:right="170"/>
              <w:jc w:val="right"/>
              <w:rPr>
                <w:rFonts w:eastAsia="Calibri"/>
                <w:b/>
                <w:sz w:val="14"/>
                <w:szCs w:val="14"/>
                <w:lang w:eastAsia="en-US"/>
              </w:rPr>
            </w:pPr>
            <w:r w:rsidRPr="00EF4A2D">
              <w:rPr>
                <w:rFonts w:eastAsia="Calibri"/>
                <w:b/>
                <w:sz w:val="14"/>
                <w:szCs w:val="14"/>
                <w:lang w:eastAsia="en-US"/>
              </w:rPr>
              <w:t>-8</w:t>
            </w:r>
          </w:p>
        </w:tc>
        <w:tc>
          <w:tcPr>
            <w:tcW w:w="630" w:type="dxa"/>
            <w:tcBorders>
              <w:left w:val="single" w:sz="4" w:space="0" w:color="auto"/>
              <w:right w:val="single" w:sz="4" w:space="0" w:color="auto"/>
            </w:tcBorders>
            <w:shd w:val="clear" w:color="auto" w:fill="auto"/>
            <w:vAlign w:val="bottom"/>
          </w:tcPr>
          <w:p w14:paraId="2C4CB0EC"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169</w:t>
            </w:r>
          </w:p>
        </w:tc>
        <w:tc>
          <w:tcPr>
            <w:tcW w:w="528" w:type="dxa"/>
            <w:tcBorders>
              <w:left w:val="single" w:sz="4" w:space="0" w:color="auto"/>
              <w:right w:val="single" w:sz="4" w:space="0" w:color="auto"/>
            </w:tcBorders>
            <w:shd w:val="clear" w:color="auto" w:fill="auto"/>
            <w:vAlign w:val="bottom"/>
          </w:tcPr>
          <w:p w14:paraId="152C26AD"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12</w:t>
            </w:r>
          </w:p>
        </w:tc>
        <w:tc>
          <w:tcPr>
            <w:tcW w:w="593" w:type="dxa"/>
            <w:tcBorders>
              <w:left w:val="single" w:sz="4" w:space="0" w:color="auto"/>
              <w:right w:val="single" w:sz="4" w:space="0" w:color="auto"/>
            </w:tcBorders>
            <w:shd w:val="clear" w:color="auto" w:fill="auto"/>
            <w:vAlign w:val="bottom"/>
          </w:tcPr>
          <w:p w14:paraId="59D485A0"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18</w:t>
            </w:r>
          </w:p>
        </w:tc>
        <w:tc>
          <w:tcPr>
            <w:tcW w:w="574" w:type="dxa"/>
            <w:tcBorders>
              <w:left w:val="single" w:sz="4" w:space="0" w:color="auto"/>
              <w:right w:val="single" w:sz="4" w:space="0" w:color="auto"/>
            </w:tcBorders>
            <w:shd w:val="clear" w:color="auto" w:fill="auto"/>
            <w:vAlign w:val="bottom"/>
          </w:tcPr>
          <w:p w14:paraId="49172F9B"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15</w:t>
            </w:r>
          </w:p>
        </w:tc>
        <w:tc>
          <w:tcPr>
            <w:tcW w:w="528" w:type="dxa"/>
            <w:tcBorders>
              <w:left w:val="single" w:sz="4" w:space="0" w:color="auto"/>
              <w:right w:val="single" w:sz="4" w:space="0" w:color="auto"/>
            </w:tcBorders>
            <w:shd w:val="clear" w:color="auto" w:fill="auto"/>
            <w:vAlign w:val="bottom"/>
          </w:tcPr>
          <w:p w14:paraId="198A170A"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-4</w:t>
            </w:r>
          </w:p>
        </w:tc>
      </w:tr>
      <w:tr w:rsidR="00EF4A2D" w:rsidRPr="00EF4A2D" w14:paraId="7DE45706" w14:textId="77777777" w:rsidTr="00B9606F">
        <w:trPr>
          <w:jc w:val="center"/>
        </w:trPr>
        <w:tc>
          <w:tcPr>
            <w:tcW w:w="3100" w:type="dxa"/>
            <w:tcBorders>
              <w:left w:val="single" w:sz="4" w:space="0" w:color="auto"/>
              <w:right w:val="single" w:sz="4" w:space="0" w:color="auto"/>
            </w:tcBorders>
            <w:shd w:val="clear" w:color="auto" w:fill="auto"/>
          </w:tcPr>
          <w:p w14:paraId="386B6938" w14:textId="77777777" w:rsidR="00EF4A2D" w:rsidRPr="00EF4A2D" w:rsidRDefault="00EF4A2D" w:rsidP="004D07F1">
            <w:pPr>
              <w:ind w:left="170"/>
              <w:rPr>
                <w:rFonts w:eastAsia="Calibri"/>
                <w:sz w:val="14"/>
                <w:szCs w:val="14"/>
                <w:lang w:eastAsia="en-US"/>
              </w:rPr>
            </w:pPr>
            <w:r w:rsidRPr="00EF4A2D">
              <w:rPr>
                <w:rFonts w:eastAsia="Calibri"/>
                <w:sz w:val="14"/>
                <w:szCs w:val="14"/>
                <w:lang w:eastAsia="en-US"/>
              </w:rPr>
              <w:t>Federación de Rusia</w:t>
            </w:r>
          </w:p>
        </w:tc>
        <w:tc>
          <w:tcPr>
            <w:tcW w:w="667" w:type="dxa"/>
            <w:tcBorders>
              <w:left w:val="single" w:sz="4" w:space="0" w:color="auto"/>
              <w:right w:val="single" w:sz="4" w:space="0" w:color="auto"/>
            </w:tcBorders>
            <w:shd w:val="clear" w:color="auto" w:fill="auto"/>
            <w:vAlign w:val="bottom"/>
          </w:tcPr>
          <w:p w14:paraId="0BB053C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66</w:t>
            </w:r>
          </w:p>
        </w:tc>
        <w:tc>
          <w:tcPr>
            <w:tcW w:w="588" w:type="dxa"/>
            <w:tcBorders>
              <w:left w:val="single" w:sz="4" w:space="0" w:color="auto"/>
              <w:right w:val="single" w:sz="4" w:space="0" w:color="auto"/>
            </w:tcBorders>
            <w:shd w:val="clear" w:color="auto" w:fill="auto"/>
            <w:vAlign w:val="bottom"/>
          </w:tcPr>
          <w:p w14:paraId="0689AE64"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10</w:t>
            </w:r>
          </w:p>
        </w:tc>
        <w:tc>
          <w:tcPr>
            <w:tcW w:w="588" w:type="dxa"/>
            <w:tcBorders>
              <w:left w:val="single" w:sz="4" w:space="0" w:color="auto"/>
              <w:right w:val="single" w:sz="4" w:space="0" w:color="auto"/>
            </w:tcBorders>
            <w:shd w:val="clear" w:color="auto" w:fill="auto"/>
            <w:vAlign w:val="bottom"/>
          </w:tcPr>
          <w:p w14:paraId="6AF3EA4C"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7</w:t>
            </w:r>
          </w:p>
        </w:tc>
        <w:tc>
          <w:tcPr>
            <w:tcW w:w="652" w:type="dxa"/>
            <w:tcBorders>
              <w:left w:val="single" w:sz="4" w:space="0" w:color="auto"/>
              <w:right w:val="single" w:sz="4" w:space="0" w:color="auto"/>
            </w:tcBorders>
            <w:shd w:val="clear" w:color="auto" w:fill="auto"/>
            <w:vAlign w:val="bottom"/>
          </w:tcPr>
          <w:p w14:paraId="2A7059C0"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12</w:t>
            </w:r>
          </w:p>
        </w:tc>
        <w:tc>
          <w:tcPr>
            <w:tcW w:w="635" w:type="dxa"/>
            <w:tcBorders>
              <w:left w:val="single" w:sz="4" w:space="0" w:color="auto"/>
              <w:right w:val="single" w:sz="4" w:space="0" w:color="auto"/>
            </w:tcBorders>
            <w:shd w:val="clear" w:color="auto" w:fill="auto"/>
            <w:vAlign w:val="bottom"/>
          </w:tcPr>
          <w:p w14:paraId="332FE335"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-5</w:t>
            </w:r>
          </w:p>
        </w:tc>
        <w:tc>
          <w:tcPr>
            <w:tcW w:w="630" w:type="dxa"/>
            <w:tcBorders>
              <w:left w:val="single" w:sz="4" w:space="0" w:color="auto"/>
              <w:right w:val="single" w:sz="4" w:space="0" w:color="auto"/>
            </w:tcBorders>
            <w:shd w:val="clear" w:color="auto" w:fill="auto"/>
            <w:vAlign w:val="bottom"/>
          </w:tcPr>
          <w:p w14:paraId="4F2C3488"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119</w:t>
            </w:r>
          </w:p>
        </w:tc>
        <w:tc>
          <w:tcPr>
            <w:tcW w:w="528" w:type="dxa"/>
            <w:tcBorders>
              <w:left w:val="single" w:sz="4" w:space="0" w:color="auto"/>
              <w:right w:val="single" w:sz="4" w:space="0" w:color="auto"/>
            </w:tcBorders>
            <w:shd w:val="clear" w:color="auto" w:fill="auto"/>
            <w:vAlign w:val="bottom"/>
          </w:tcPr>
          <w:p w14:paraId="6DE81BC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13</w:t>
            </w:r>
          </w:p>
        </w:tc>
        <w:tc>
          <w:tcPr>
            <w:tcW w:w="593" w:type="dxa"/>
            <w:tcBorders>
              <w:left w:val="single" w:sz="4" w:space="0" w:color="auto"/>
              <w:right w:val="single" w:sz="4" w:space="0" w:color="auto"/>
            </w:tcBorders>
            <w:shd w:val="clear" w:color="auto" w:fill="auto"/>
            <w:vAlign w:val="bottom"/>
          </w:tcPr>
          <w:p w14:paraId="7C7F4B81"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19</w:t>
            </w:r>
          </w:p>
        </w:tc>
        <w:tc>
          <w:tcPr>
            <w:tcW w:w="574" w:type="dxa"/>
            <w:tcBorders>
              <w:left w:val="single" w:sz="4" w:space="0" w:color="auto"/>
              <w:right w:val="single" w:sz="4" w:space="0" w:color="auto"/>
            </w:tcBorders>
            <w:shd w:val="clear" w:color="auto" w:fill="auto"/>
            <w:vAlign w:val="bottom"/>
          </w:tcPr>
          <w:p w14:paraId="3A80915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18</w:t>
            </w:r>
          </w:p>
        </w:tc>
        <w:tc>
          <w:tcPr>
            <w:tcW w:w="528" w:type="dxa"/>
            <w:tcBorders>
              <w:left w:val="single" w:sz="4" w:space="0" w:color="auto"/>
              <w:right w:val="single" w:sz="4" w:space="0" w:color="auto"/>
            </w:tcBorders>
            <w:shd w:val="clear" w:color="auto" w:fill="auto"/>
            <w:vAlign w:val="bottom"/>
          </w:tcPr>
          <w:p w14:paraId="7155A693"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w:t>
            </w:r>
          </w:p>
        </w:tc>
      </w:tr>
      <w:tr w:rsidR="00EF4A2D" w:rsidRPr="00EF4A2D" w14:paraId="0FB268DE" w14:textId="77777777" w:rsidTr="00B9606F">
        <w:trPr>
          <w:jc w:val="center"/>
        </w:trPr>
        <w:tc>
          <w:tcPr>
            <w:tcW w:w="3100" w:type="dxa"/>
            <w:tcBorders>
              <w:left w:val="single" w:sz="4" w:space="0" w:color="auto"/>
              <w:right w:val="single" w:sz="4" w:space="0" w:color="auto"/>
            </w:tcBorders>
            <w:shd w:val="clear" w:color="auto" w:fill="auto"/>
          </w:tcPr>
          <w:p w14:paraId="3BEB8AAC" w14:textId="77777777" w:rsidR="00EF4A2D" w:rsidRPr="00EF4A2D" w:rsidRDefault="00EF4A2D" w:rsidP="004D07F1">
            <w:pPr>
              <w:ind w:left="170"/>
              <w:rPr>
                <w:rFonts w:eastAsia="Calibri"/>
                <w:sz w:val="14"/>
                <w:szCs w:val="14"/>
                <w:lang w:eastAsia="en-US"/>
              </w:rPr>
            </w:pPr>
            <w:r w:rsidRPr="00EF4A2D">
              <w:rPr>
                <w:rFonts w:eastAsia="Calibri"/>
                <w:sz w:val="14"/>
                <w:szCs w:val="14"/>
                <w:lang w:eastAsia="en-US"/>
              </w:rPr>
              <w:t>Ucrania</w:t>
            </w:r>
          </w:p>
        </w:tc>
        <w:tc>
          <w:tcPr>
            <w:tcW w:w="667" w:type="dxa"/>
            <w:tcBorders>
              <w:left w:val="single" w:sz="4" w:space="0" w:color="auto"/>
              <w:right w:val="single" w:sz="4" w:space="0" w:color="auto"/>
            </w:tcBorders>
            <w:shd w:val="clear" w:color="auto" w:fill="auto"/>
            <w:vAlign w:val="bottom"/>
          </w:tcPr>
          <w:p w14:paraId="5633CE5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14</w:t>
            </w:r>
          </w:p>
        </w:tc>
        <w:tc>
          <w:tcPr>
            <w:tcW w:w="588" w:type="dxa"/>
            <w:tcBorders>
              <w:left w:val="single" w:sz="4" w:space="0" w:color="auto"/>
              <w:right w:val="single" w:sz="4" w:space="0" w:color="auto"/>
            </w:tcBorders>
            <w:shd w:val="clear" w:color="auto" w:fill="auto"/>
            <w:vAlign w:val="bottom"/>
          </w:tcPr>
          <w:p w14:paraId="1C7EA722"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4</w:t>
            </w:r>
          </w:p>
        </w:tc>
        <w:tc>
          <w:tcPr>
            <w:tcW w:w="588" w:type="dxa"/>
            <w:tcBorders>
              <w:left w:val="single" w:sz="4" w:space="0" w:color="auto"/>
              <w:right w:val="single" w:sz="4" w:space="0" w:color="auto"/>
            </w:tcBorders>
            <w:shd w:val="clear" w:color="auto" w:fill="auto"/>
            <w:vAlign w:val="bottom"/>
          </w:tcPr>
          <w:p w14:paraId="41DE958C"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4</w:t>
            </w:r>
          </w:p>
        </w:tc>
        <w:tc>
          <w:tcPr>
            <w:tcW w:w="652" w:type="dxa"/>
            <w:tcBorders>
              <w:left w:val="single" w:sz="4" w:space="0" w:color="auto"/>
              <w:right w:val="single" w:sz="4" w:space="0" w:color="auto"/>
            </w:tcBorders>
            <w:shd w:val="clear" w:color="auto" w:fill="auto"/>
            <w:vAlign w:val="bottom"/>
          </w:tcPr>
          <w:p w14:paraId="131BFFAB"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2</w:t>
            </w:r>
          </w:p>
        </w:tc>
        <w:tc>
          <w:tcPr>
            <w:tcW w:w="635" w:type="dxa"/>
            <w:tcBorders>
              <w:left w:val="single" w:sz="4" w:space="0" w:color="auto"/>
              <w:right w:val="single" w:sz="4" w:space="0" w:color="auto"/>
            </w:tcBorders>
            <w:shd w:val="clear" w:color="auto" w:fill="auto"/>
            <w:vAlign w:val="bottom"/>
          </w:tcPr>
          <w:p w14:paraId="342BF480"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-35</w:t>
            </w:r>
          </w:p>
        </w:tc>
        <w:tc>
          <w:tcPr>
            <w:tcW w:w="630" w:type="dxa"/>
            <w:tcBorders>
              <w:left w:val="single" w:sz="4" w:space="0" w:color="auto"/>
              <w:right w:val="single" w:sz="4" w:space="0" w:color="auto"/>
            </w:tcBorders>
            <w:shd w:val="clear" w:color="auto" w:fill="auto"/>
            <w:vAlign w:val="bottom"/>
          </w:tcPr>
          <w:p w14:paraId="154FA0E1"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12</w:t>
            </w:r>
          </w:p>
        </w:tc>
        <w:tc>
          <w:tcPr>
            <w:tcW w:w="528" w:type="dxa"/>
            <w:tcBorders>
              <w:left w:val="single" w:sz="4" w:space="0" w:color="auto"/>
              <w:right w:val="single" w:sz="4" w:space="0" w:color="auto"/>
            </w:tcBorders>
            <w:shd w:val="clear" w:color="auto" w:fill="auto"/>
            <w:vAlign w:val="bottom"/>
          </w:tcPr>
          <w:p w14:paraId="2ADB8B11"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w:t>
            </w:r>
          </w:p>
        </w:tc>
        <w:tc>
          <w:tcPr>
            <w:tcW w:w="593" w:type="dxa"/>
            <w:tcBorders>
              <w:left w:val="single" w:sz="4" w:space="0" w:color="auto"/>
              <w:right w:val="single" w:sz="4" w:space="0" w:color="auto"/>
            </w:tcBorders>
            <w:shd w:val="clear" w:color="auto" w:fill="auto"/>
            <w:vAlign w:val="bottom"/>
          </w:tcPr>
          <w:p w14:paraId="4372CEE9"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10</w:t>
            </w:r>
          </w:p>
        </w:tc>
        <w:tc>
          <w:tcPr>
            <w:tcW w:w="574" w:type="dxa"/>
            <w:tcBorders>
              <w:left w:val="single" w:sz="4" w:space="0" w:color="auto"/>
              <w:right w:val="single" w:sz="4" w:space="0" w:color="auto"/>
            </w:tcBorders>
            <w:shd w:val="clear" w:color="auto" w:fill="auto"/>
            <w:vAlign w:val="bottom"/>
          </w:tcPr>
          <w:p w14:paraId="2678A24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w:t>
            </w:r>
          </w:p>
        </w:tc>
        <w:tc>
          <w:tcPr>
            <w:tcW w:w="528" w:type="dxa"/>
            <w:tcBorders>
              <w:left w:val="single" w:sz="4" w:space="0" w:color="auto"/>
              <w:right w:val="single" w:sz="4" w:space="0" w:color="auto"/>
            </w:tcBorders>
            <w:shd w:val="clear" w:color="auto" w:fill="auto"/>
            <w:vAlign w:val="bottom"/>
          </w:tcPr>
          <w:p w14:paraId="7CF64B44"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-23</w:t>
            </w:r>
          </w:p>
        </w:tc>
      </w:tr>
      <w:tr w:rsidR="00EF4A2D" w:rsidRPr="00EF4A2D" w14:paraId="47F5FA23" w14:textId="77777777" w:rsidTr="00B9606F">
        <w:trPr>
          <w:jc w:val="center"/>
        </w:trPr>
        <w:tc>
          <w:tcPr>
            <w:tcW w:w="3100" w:type="dxa"/>
            <w:tcBorders>
              <w:left w:val="single" w:sz="4" w:space="0" w:color="auto"/>
              <w:right w:val="single" w:sz="4" w:space="0" w:color="auto"/>
            </w:tcBorders>
            <w:shd w:val="clear" w:color="auto" w:fill="auto"/>
          </w:tcPr>
          <w:p w14:paraId="4A6DB52F"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África</w:t>
            </w:r>
          </w:p>
        </w:tc>
        <w:tc>
          <w:tcPr>
            <w:tcW w:w="667" w:type="dxa"/>
            <w:tcBorders>
              <w:left w:val="single" w:sz="4" w:space="0" w:color="auto"/>
              <w:right w:val="single" w:sz="4" w:space="0" w:color="auto"/>
            </w:tcBorders>
            <w:shd w:val="clear" w:color="auto" w:fill="auto"/>
            <w:vAlign w:val="bottom"/>
          </w:tcPr>
          <w:p w14:paraId="6DCCB02D"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94</w:t>
            </w:r>
          </w:p>
        </w:tc>
        <w:tc>
          <w:tcPr>
            <w:tcW w:w="588" w:type="dxa"/>
            <w:tcBorders>
              <w:left w:val="single" w:sz="4" w:space="0" w:color="auto"/>
              <w:right w:val="single" w:sz="4" w:space="0" w:color="auto"/>
            </w:tcBorders>
            <w:shd w:val="clear" w:color="auto" w:fill="auto"/>
            <w:vAlign w:val="bottom"/>
          </w:tcPr>
          <w:p w14:paraId="608FA1F6"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6</w:t>
            </w:r>
          </w:p>
        </w:tc>
        <w:tc>
          <w:tcPr>
            <w:tcW w:w="588" w:type="dxa"/>
            <w:tcBorders>
              <w:left w:val="single" w:sz="4" w:space="0" w:color="auto"/>
              <w:right w:val="single" w:sz="4" w:space="0" w:color="auto"/>
            </w:tcBorders>
            <w:shd w:val="clear" w:color="auto" w:fill="auto"/>
            <w:vAlign w:val="bottom"/>
          </w:tcPr>
          <w:p w14:paraId="01453EB3"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7</w:t>
            </w:r>
          </w:p>
        </w:tc>
        <w:tc>
          <w:tcPr>
            <w:tcW w:w="652" w:type="dxa"/>
            <w:tcBorders>
              <w:left w:val="single" w:sz="4" w:space="0" w:color="auto"/>
              <w:right w:val="single" w:sz="4" w:space="0" w:color="auto"/>
            </w:tcBorders>
            <w:shd w:val="clear" w:color="auto" w:fill="auto"/>
            <w:vAlign w:val="bottom"/>
          </w:tcPr>
          <w:p w14:paraId="588314D2"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-4</w:t>
            </w:r>
          </w:p>
        </w:tc>
        <w:tc>
          <w:tcPr>
            <w:tcW w:w="635" w:type="dxa"/>
            <w:tcBorders>
              <w:left w:val="single" w:sz="4" w:space="0" w:color="auto"/>
              <w:right w:val="single" w:sz="4" w:space="0" w:color="auto"/>
            </w:tcBorders>
            <w:shd w:val="clear" w:color="auto" w:fill="auto"/>
            <w:vAlign w:val="bottom"/>
          </w:tcPr>
          <w:p w14:paraId="37C2942F" w14:textId="77777777" w:rsidR="00EF4A2D" w:rsidRPr="00EF4A2D" w:rsidRDefault="00EF4A2D" w:rsidP="004D07F1">
            <w:pPr>
              <w:ind w:right="170"/>
              <w:jc w:val="right"/>
              <w:rPr>
                <w:rFonts w:eastAsia="Calibri"/>
                <w:b/>
                <w:sz w:val="14"/>
                <w:szCs w:val="14"/>
                <w:lang w:eastAsia="en-US"/>
              </w:rPr>
            </w:pPr>
            <w:r w:rsidRPr="00EF4A2D">
              <w:rPr>
                <w:rFonts w:eastAsia="Calibri"/>
                <w:b/>
                <w:sz w:val="14"/>
                <w:szCs w:val="14"/>
                <w:lang w:eastAsia="en-US"/>
              </w:rPr>
              <w:t>3</w:t>
            </w:r>
          </w:p>
        </w:tc>
        <w:tc>
          <w:tcPr>
            <w:tcW w:w="630" w:type="dxa"/>
            <w:tcBorders>
              <w:left w:val="single" w:sz="4" w:space="0" w:color="auto"/>
              <w:right w:val="single" w:sz="4" w:space="0" w:color="auto"/>
            </w:tcBorders>
            <w:shd w:val="clear" w:color="auto" w:fill="auto"/>
            <w:vAlign w:val="bottom"/>
          </w:tcPr>
          <w:p w14:paraId="3EBB907D"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169</w:t>
            </w:r>
          </w:p>
        </w:tc>
        <w:tc>
          <w:tcPr>
            <w:tcW w:w="528" w:type="dxa"/>
            <w:tcBorders>
              <w:left w:val="single" w:sz="4" w:space="0" w:color="auto"/>
              <w:right w:val="single" w:sz="4" w:space="0" w:color="auto"/>
            </w:tcBorders>
            <w:shd w:val="clear" w:color="auto" w:fill="auto"/>
            <w:vAlign w:val="bottom"/>
          </w:tcPr>
          <w:p w14:paraId="3CA2D4D7"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10</w:t>
            </w:r>
          </w:p>
        </w:tc>
        <w:tc>
          <w:tcPr>
            <w:tcW w:w="593" w:type="dxa"/>
            <w:tcBorders>
              <w:left w:val="single" w:sz="4" w:space="0" w:color="auto"/>
              <w:right w:val="single" w:sz="4" w:space="0" w:color="auto"/>
            </w:tcBorders>
            <w:shd w:val="clear" w:color="auto" w:fill="auto"/>
            <w:vAlign w:val="bottom"/>
          </w:tcPr>
          <w:p w14:paraId="4DCC163E"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2</w:t>
            </w:r>
          </w:p>
        </w:tc>
        <w:tc>
          <w:tcPr>
            <w:tcW w:w="574" w:type="dxa"/>
            <w:tcBorders>
              <w:left w:val="single" w:sz="4" w:space="0" w:color="auto"/>
              <w:right w:val="single" w:sz="4" w:space="0" w:color="auto"/>
            </w:tcBorders>
            <w:shd w:val="clear" w:color="auto" w:fill="auto"/>
            <w:vAlign w:val="bottom"/>
          </w:tcPr>
          <w:p w14:paraId="297E3612"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1</w:t>
            </w:r>
          </w:p>
        </w:tc>
        <w:tc>
          <w:tcPr>
            <w:tcW w:w="528" w:type="dxa"/>
            <w:tcBorders>
              <w:left w:val="single" w:sz="4" w:space="0" w:color="auto"/>
              <w:right w:val="single" w:sz="4" w:space="0" w:color="auto"/>
            </w:tcBorders>
            <w:shd w:val="clear" w:color="auto" w:fill="auto"/>
            <w:vAlign w:val="bottom"/>
          </w:tcPr>
          <w:p w14:paraId="69ED1971"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5</w:t>
            </w:r>
          </w:p>
        </w:tc>
      </w:tr>
      <w:tr w:rsidR="00EF4A2D" w:rsidRPr="00EF4A2D" w14:paraId="3B9A9706" w14:textId="77777777" w:rsidTr="00B9606F">
        <w:trPr>
          <w:jc w:val="center"/>
        </w:trPr>
        <w:tc>
          <w:tcPr>
            <w:tcW w:w="3100" w:type="dxa"/>
            <w:tcBorders>
              <w:left w:val="single" w:sz="4" w:space="0" w:color="auto"/>
              <w:right w:val="single" w:sz="4" w:space="0" w:color="auto"/>
            </w:tcBorders>
            <w:shd w:val="clear" w:color="auto" w:fill="auto"/>
          </w:tcPr>
          <w:p w14:paraId="4289F4BF" w14:textId="77777777" w:rsidR="00EF4A2D" w:rsidRPr="00EF4A2D" w:rsidRDefault="00EF4A2D" w:rsidP="004D07F1">
            <w:pPr>
              <w:ind w:left="170"/>
              <w:rPr>
                <w:rFonts w:eastAsia="Calibri"/>
                <w:sz w:val="14"/>
                <w:szCs w:val="14"/>
                <w:lang w:eastAsia="en-US"/>
              </w:rPr>
            </w:pPr>
            <w:r w:rsidRPr="00EF4A2D">
              <w:rPr>
                <w:rFonts w:eastAsia="Calibri"/>
                <w:sz w:val="14"/>
                <w:szCs w:val="14"/>
                <w:lang w:eastAsia="en-US"/>
              </w:rPr>
              <w:t>Egipto</w:t>
            </w:r>
          </w:p>
        </w:tc>
        <w:tc>
          <w:tcPr>
            <w:tcW w:w="667" w:type="dxa"/>
            <w:tcBorders>
              <w:left w:val="single" w:sz="4" w:space="0" w:color="auto"/>
              <w:right w:val="single" w:sz="4" w:space="0" w:color="auto"/>
            </w:tcBorders>
            <w:shd w:val="clear" w:color="auto" w:fill="auto"/>
            <w:vAlign w:val="bottom"/>
          </w:tcPr>
          <w:p w14:paraId="417F09A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19</w:t>
            </w:r>
          </w:p>
        </w:tc>
        <w:tc>
          <w:tcPr>
            <w:tcW w:w="588" w:type="dxa"/>
            <w:tcBorders>
              <w:left w:val="single" w:sz="4" w:space="0" w:color="auto"/>
              <w:right w:val="single" w:sz="4" w:space="0" w:color="auto"/>
            </w:tcBorders>
            <w:shd w:val="clear" w:color="auto" w:fill="auto"/>
            <w:vAlign w:val="bottom"/>
          </w:tcPr>
          <w:p w14:paraId="41A2CD7F"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3</w:t>
            </w:r>
          </w:p>
        </w:tc>
        <w:tc>
          <w:tcPr>
            <w:tcW w:w="588" w:type="dxa"/>
            <w:tcBorders>
              <w:left w:val="single" w:sz="4" w:space="0" w:color="auto"/>
              <w:right w:val="single" w:sz="4" w:space="0" w:color="auto"/>
            </w:tcBorders>
            <w:shd w:val="clear" w:color="auto" w:fill="auto"/>
            <w:vAlign w:val="bottom"/>
          </w:tcPr>
          <w:p w14:paraId="1DB25BF4"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12</w:t>
            </w:r>
          </w:p>
        </w:tc>
        <w:tc>
          <w:tcPr>
            <w:tcW w:w="652" w:type="dxa"/>
            <w:tcBorders>
              <w:left w:val="single" w:sz="4" w:space="0" w:color="auto"/>
              <w:right w:val="single" w:sz="4" w:space="0" w:color="auto"/>
            </w:tcBorders>
            <w:shd w:val="clear" w:color="auto" w:fill="auto"/>
            <w:vAlign w:val="bottom"/>
          </w:tcPr>
          <w:p w14:paraId="5E7E58CF"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-16</w:t>
            </w:r>
          </w:p>
        </w:tc>
        <w:tc>
          <w:tcPr>
            <w:tcW w:w="635" w:type="dxa"/>
            <w:tcBorders>
              <w:left w:val="single" w:sz="4" w:space="0" w:color="auto"/>
              <w:right w:val="single" w:sz="4" w:space="0" w:color="auto"/>
            </w:tcBorders>
            <w:shd w:val="clear" w:color="auto" w:fill="auto"/>
            <w:vAlign w:val="bottom"/>
          </w:tcPr>
          <w:p w14:paraId="3021EDBE"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7</w:t>
            </w:r>
          </w:p>
        </w:tc>
        <w:tc>
          <w:tcPr>
            <w:tcW w:w="630" w:type="dxa"/>
            <w:tcBorders>
              <w:left w:val="single" w:sz="4" w:space="0" w:color="auto"/>
              <w:right w:val="single" w:sz="4" w:space="0" w:color="auto"/>
            </w:tcBorders>
            <w:shd w:val="clear" w:color="auto" w:fill="auto"/>
            <w:vAlign w:val="bottom"/>
          </w:tcPr>
          <w:p w14:paraId="20AA651F"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16</w:t>
            </w:r>
          </w:p>
        </w:tc>
        <w:tc>
          <w:tcPr>
            <w:tcW w:w="528" w:type="dxa"/>
            <w:tcBorders>
              <w:left w:val="single" w:sz="4" w:space="0" w:color="auto"/>
              <w:right w:val="single" w:sz="4" w:space="0" w:color="auto"/>
            </w:tcBorders>
            <w:shd w:val="clear" w:color="auto" w:fill="auto"/>
            <w:vAlign w:val="bottom"/>
          </w:tcPr>
          <w:p w14:paraId="43F61A99"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w:t>
            </w:r>
          </w:p>
        </w:tc>
        <w:tc>
          <w:tcPr>
            <w:tcW w:w="593" w:type="dxa"/>
            <w:tcBorders>
              <w:left w:val="single" w:sz="4" w:space="0" w:color="auto"/>
              <w:right w:val="single" w:sz="4" w:space="0" w:color="auto"/>
            </w:tcBorders>
            <w:shd w:val="clear" w:color="auto" w:fill="auto"/>
            <w:vAlign w:val="bottom"/>
          </w:tcPr>
          <w:p w14:paraId="53672C3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18</w:t>
            </w:r>
          </w:p>
        </w:tc>
        <w:tc>
          <w:tcPr>
            <w:tcW w:w="574" w:type="dxa"/>
            <w:tcBorders>
              <w:left w:val="single" w:sz="4" w:space="0" w:color="auto"/>
              <w:right w:val="single" w:sz="4" w:space="0" w:color="auto"/>
            </w:tcBorders>
            <w:shd w:val="clear" w:color="auto" w:fill="auto"/>
            <w:vAlign w:val="bottom"/>
          </w:tcPr>
          <w:p w14:paraId="3818CCA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c>
          <w:tcPr>
            <w:tcW w:w="528" w:type="dxa"/>
            <w:tcBorders>
              <w:left w:val="single" w:sz="4" w:space="0" w:color="auto"/>
              <w:right w:val="single" w:sz="4" w:space="0" w:color="auto"/>
            </w:tcBorders>
            <w:shd w:val="clear" w:color="auto" w:fill="auto"/>
            <w:vAlign w:val="bottom"/>
          </w:tcPr>
          <w:p w14:paraId="2A7091E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w:t>
            </w:r>
          </w:p>
        </w:tc>
      </w:tr>
      <w:tr w:rsidR="00EF4A2D" w:rsidRPr="00EF4A2D" w14:paraId="1197BBF7" w14:textId="77777777" w:rsidTr="00B9606F">
        <w:trPr>
          <w:jc w:val="center"/>
        </w:trPr>
        <w:tc>
          <w:tcPr>
            <w:tcW w:w="3100" w:type="dxa"/>
            <w:tcBorders>
              <w:left w:val="single" w:sz="4" w:space="0" w:color="auto"/>
              <w:right w:val="single" w:sz="4" w:space="0" w:color="auto"/>
            </w:tcBorders>
            <w:shd w:val="clear" w:color="auto" w:fill="auto"/>
          </w:tcPr>
          <w:p w14:paraId="34A092ED" w14:textId="77777777" w:rsidR="00EF4A2D" w:rsidRPr="00EF4A2D" w:rsidRDefault="00EF4A2D" w:rsidP="004D07F1">
            <w:pPr>
              <w:ind w:left="170"/>
              <w:rPr>
                <w:rFonts w:eastAsia="Calibri"/>
                <w:sz w:val="14"/>
                <w:szCs w:val="14"/>
                <w:lang w:eastAsia="en-US"/>
              </w:rPr>
            </w:pPr>
            <w:r w:rsidRPr="00EF4A2D">
              <w:rPr>
                <w:rFonts w:eastAsia="Calibri"/>
                <w:sz w:val="14"/>
                <w:szCs w:val="14"/>
                <w:lang w:eastAsia="en-US"/>
              </w:rPr>
              <w:t>Sudáfrica</w:t>
            </w:r>
          </w:p>
        </w:tc>
        <w:tc>
          <w:tcPr>
            <w:tcW w:w="667" w:type="dxa"/>
            <w:tcBorders>
              <w:left w:val="single" w:sz="4" w:space="0" w:color="auto"/>
              <w:right w:val="single" w:sz="4" w:space="0" w:color="auto"/>
            </w:tcBorders>
            <w:shd w:val="clear" w:color="auto" w:fill="auto"/>
            <w:vAlign w:val="bottom"/>
          </w:tcPr>
          <w:p w14:paraId="0F316E7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14</w:t>
            </w:r>
          </w:p>
        </w:tc>
        <w:tc>
          <w:tcPr>
            <w:tcW w:w="588" w:type="dxa"/>
            <w:tcBorders>
              <w:left w:val="single" w:sz="4" w:space="0" w:color="auto"/>
              <w:right w:val="single" w:sz="4" w:space="0" w:color="auto"/>
            </w:tcBorders>
            <w:shd w:val="clear" w:color="auto" w:fill="auto"/>
            <w:vAlign w:val="bottom"/>
          </w:tcPr>
          <w:p w14:paraId="7667489B"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3</w:t>
            </w:r>
          </w:p>
        </w:tc>
        <w:tc>
          <w:tcPr>
            <w:tcW w:w="588" w:type="dxa"/>
            <w:tcBorders>
              <w:left w:val="single" w:sz="4" w:space="0" w:color="auto"/>
              <w:right w:val="single" w:sz="4" w:space="0" w:color="auto"/>
            </w:tcBorders>
            <w:shd w:val="clear" w:color="auto" w:fill="auto"/>
            <w:vAlign w:val="bottom"/>
          </w:tcPr>
          <w:p w14:paraId="735954CC"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2</w:t>
            </w:r>
          </w:p>
        </w:tc>
        <w:tc>
          <w:tcPr>
            <w:tcW w:w="652" w:type="dxa"/>
            <w:tcBorders>
              <w:left w:val="single" w:sz="4" w:space="0" w:color="auto"/>
              <w:right w:val="single" w:sz="4" w:space="0" w:color="auto"/>
            </w:tcBorders>
            <w:shd w:val="clear" w:color="auto" w:fill="auto"/>
            <w:vAlign w:val="bottom"/>
          </w:tcPr>
          <w:p w14:paraId="451704EE"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6</w:t>
            </w:r>
          </w:p>
        </w:tc>
        <w:tc>
          <w:tcPr>
            <w:tcW w:w="635" w:type="dxa"/>
            <w:tcBorders>
              <w:left w:val="single" w:sz="4" w:space="0" w:color="auto"/>
              <w:right w:val="single" w:sz="4" w:space="0" w:color="auto"/>
            </w:tcBorders>
            <w:shd w:val="clear" w:color="auto" w:fill="auto"/>
            <w:vAlign w:val="bottom"/>
          </w:tcPr>
          <w:p w14:paraId="1F24EAD1"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3</w:t>
            </w:r>
          </w:p>
        </w:tc>
        <w:tc>
          <w:tcPr>
            <w:tcW w:w="630" w:type="dxa"/>
            <w:tcBorders>
              <w:left w:val="single" w:sz="4" w:space="0" w:color="auto"/>
              <w:right w:val="single" w:sz="4" w:space="0" w:color="auto"/>
            </w:tcBorders>
            <w:shd w:val="clear" w:color="auto" w:fill="auto"/>
            <w:vAlign w:val="bottom"/>
          </w:tcPr>
          <w:p w14:paraId="66510AEC"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15</w:t>
            </w:r>
          </w:p>
        </w:tc>
        <w:tc>
          <w:tcPr>
            <w:tcW w:w="528" w:type="dxa"/>
            <w:tcBorders>
              <w:left w:val="single" w:sz="4" w:space="0" w:color="auto"/>
              <w:right w:val="single" w:sz="4" w:space="0" w:color="auto"/>
            </w:tcBorders>
            <w:shd w:val="clear" w:color="auto" w:fill="auto"/>
            <w:vAlign w:val="bottom"/>
          </w:tcPr>
          <w:p w14:paraId="4E1CE603"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w:t>
            </w:r>
          </w:p>
        </w:tc>
        <w:tc>
          <w:tcPr>
            <w:tcW w:w="593" w:type="dxa"/>
            <w:tcBorders>
              <w:left w:val="single" w:sz="4" w:space="0" w:color="auto"/>
              <w:right w:val="single" w:sz="4" w:space="0" w:color="auto"/>
            </w:tcBorders>
            <w:shd w:val="clear" w:color="auto" w:fill="auto"/>
            <w:vAlign w:val="bottom"/>
          </w:tcPr>
          <w:p w14:paraId="45B0D89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w:t>
            </w:r>
          </w:p>
        </w:tc>
        <w:tc>
          <w:tcPr>
            <w:tcW w:w="574" w:type="dxa"/>
            <w:tcBorders>
              <w:left w:val="single" w:sz="4" w:space="0" w:color="auto"/>
              <w:right w:val="single" w:sz="4" w:space="0" w:color="auto"/>
            </w:tcBorders>
            <w:shd w:val="clear" w:color="auto" w:fill="auto"/>
            <w:vAlign w:val="bottom"/>
          </w:tcPr>
          <w:p w14:paraId="2C72922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-7</w:t>
            </w:r>
          </w:p>
        </w:tc>
        <w:tc>
          <w:tcPr>
            <w:tcW w:w="528" w:type="dxa"/>
            <w:tcBorders>
              <w:left w:val="single" w:sz="4" w:space="0" w:color="auto"/>
              <w:right w:val="single" w:sz="4" w:space="0" w:color="auto"/>
            </w:tcBorders>
            <w:shd w:val="clear" w:color="auto" w:fill="auto"/>
            <w:vAlign w:val="bottom"/>
          </w:tcPr>
          <w:p w14:paraId="425D5521"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w:t>
            </w:r>
          </w:p>
        </w:tc>
      </w:tr>
      <w:tr w:rsidR="00EF4A2D" w:rsidRPr="00EF4A2D" w14:paraId="2D9978CD" w14:textId="77777777" w:rsidTr="00B9606F">
        <w:trPr>
          <w:jc w:val="center"/>
        </w:trPr>
        <w:tc>
          <w:tcPr>
            <w:tcW w:w="3100" w:type="dxa"/>
            <w:tcBorders>
              <w:left w:val="single" w:sz="4" w:space="0" w:color="auto"/>
              <w:right w:val="single" w:sz="4" w:space="0" w:color="auto"/>
            </w:tcBorders>
            <w:shd w:val="clear" w:color="auto" w:fill="auto"/>
          </w:tcPr>
          <w:p w14:paraId="0512B891" w14:textId="77777777" w:rsidR="00EF4A2D" w:rsidRPr="00EF4A2D" w:rsidRDefault="00EF4A2D" w:rsidP="004D07F1">
            <w:pPr>
              <w:ind w:left="170"/>
              <w:rPr>
                <w:rFonts w:eastAsia="Calibri"/>
                <w:sz w:val="14"/>
                <w:szCs w:val="14"/>
                <w:lang w:eastAsia="en-US"/>
              </w:rPr>
            </w:pPr>
            <w:r w:rsidRPr="00EF4A2D">
              <w:rPr>
                <w:rFonts w:eastAsia="Calibri"/>
                <w:sz w:val="14"/>
                <w:szCs w:val="14"/>
                <w:lang w:eastAsia="en-US"/>
              </w:rPr>
              <w:t>Nigeria</w:t>
            </w:r>
          </w:p>
        </w:tc>
        <w:tc>
          <w:tcPr>
            <w:tcW w:w="667" w:type="dxa"/>
            <w:tcBorders>
              <w:left w:val="single" w:sz="4" w:space="0" w:color="auto"/>
              <w:right w:val="single" w:sz="4" w:space="0" w:color="auto"/>
            </w:tcBorders>
            <w:shd w:val="clear" w:color="auto" w:fill="auto"/>
            <w:vAlign w:val="bottom"/>
          </w:tcPr>
          <w:p w14:paraId="3A3F513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w:t>
            </w:r>
          </w:p>
        </w:tc>
        <w:tc>
          <w:tcPr>
            <w:tcW w:w="588" w:type="dxa"/>
            <w:tcBorders>
              <w:left w:val="single" w:sz="4" w:space="0" w:color="auto"/>
              <w:right w:val="single" w:sz="4" w:space="0" w:color="auto"/>
            </w:tcBorders>
            <w:shd w:val="clear" w:color="auto" w:fill="auto"/>
            <w:vAlign w:val="bottom"/>
          </w:tcPr>
          <w:p w14:paraId="2A1C84B4"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0</w:t>
            </w:r>
          </w:p>
        </w:tc>
        <w:tc>
          <w:tcPr>
            <w:tcW w:w="588" w:type="dxa"/>
            <w:tcBorders>
              <w:left w:val="single" w:sz="4" w:space="0" w:color="auto"/>
              <w:right w:val="single" w:sz="4" w:space="0" w:color="auto"/>
            </w:tcBorders>
            <w:shd w:val="clear" w:color="auto" w:fill="auto"/>
            <w:vAlign w:val="bottom"/>
          </w:tcPr>
          <w:p w14:paraId="231BA451"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-10</w:t>
            </w:r>
          </w:p>
        </w:tc>
        <w:tc>
          <w:tcPr>
            <w:tcW w:w="652" w:type="dxa"/>
            <w:tcBorders>
              <w:left w:val="single" w:sz="4" w:space="0" w:color="auto"/>
              <w:right w:val="single" w:sz="4" w:space="0" w:color="auto"/>
            </w:tcBorders>
            <w:shd w:val="clear" w:color="auto" w:fill="auto"/>
            <w:vAlign w:val="bottom"/>
          </w:tcPr>
          <w:p w14:paraId="767B705E"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-7</w:t>
            </w:r>
          </w:p>
        </w:tc>
        <w:tc>
          <w:tcPr>
            <w:tcW w:w="635" w:type="dxa"/>
            <w:tcBorders>
              <w:left w:val="single" w:sz="4" w:space="0" w:color="auto"/>
              <w:right w:val="single" w:sz="4" w:space="0" w:color="auto"/>
            </w:tcBorders>
            <w:shd w:val="clear" w:color="auto" w:fill="auto"/>
            <w:vAlign w:val="bottom"/>
          </w:tcPr>
          <w:p w14:paraId="7892C825"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-22</w:t>
            </w:r>
          </w:p>
        </w:tc>
        <w:tc>
          <w:tcPr>
            <w:tcW w:w="630" w:type="dxa"/>
            <w:tcBorders>
              <w:left w:val="single" w:sz="4" w:space="0" w:color="auto"/>
              <w:right w:val="single" w:sz="4" w:space="0" w:color="auto"/>
            </w:tcBorders>
            <w:shd w:val="clear" w:color="auto" w:fill="auto"/>
            <w:vAlign w:val="bottom"/>
          </w:tcPr>
          <w:p w14:paraId="3215395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22</w:t>
            </w:r>
          </w:p>
        </w:tc>
        <w:tc>
          <w:tcPr>
            <w:tcW w:w="528" w:type="dxa"/>
            <w:tcBorders>
              <w:left w:val="single" w:sz="4" w:space="0" w:color="auto"/>
              <w:right w:val="single" w:sz="4" w:space="0" w:color="auto"/>
            </w:tcBorders>
            <w:shd w:val="clear" w:color="auto" w:fill="auto"/>
            <w:vAlign w:val="bottom"/>
          </w:tcPr>
          <w:p w14:paraId="734588D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15</w:t>
            </w:r>
          </w:p>
        </w:tc>
        <w:tc>
          <w:tcPr>
            <w:tcW w:w="593" w:type="dxa"/>
            <w:tcBorders>
              <w:left w:val="single" w:sz="4" w:space="0" w:color="auto"/>
              <w:right w:val="single" w:sz="4" w:space="0" w:color="auto"/>
            </w:tcBorders>
            <w:shd w:val="clear" w:color="auto" w:fill="auto"/>
            <w:vAlign w:val="bottom"/>
          </w:tcPr>
          <w:p w14:paraId="4DA039F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0</w:t>
            </w:r>
          </w:p>
        </w:tc>
        <w:tc>
          <w:tcPr>
            <w:tcW w:w="574" w:type="dxa"/>
            <w:tcBorders>
              <w:left w:val="single" w:sz="4" w:space="0" w:color="auto"/>
              <w:right w:val="single" w:sz="4" w:space="0" w:color="auto"/>
            </w:tcBorders>
            <w:shd w:val="clear" w:color="auto" w:fill="auto"/>
            <w:vAlign w:val="bottom"/>
          </w:tcPr>
          <w:p w14:paraId="16DD5F4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-8</w:t>
            </w:r>
          </w:p>
        </w:tc>
        <w:tc>
          <w:tcPr>
            <w:tcW w:w="528" w:type="dxa"/>
            <w:tcBorders>
              <w:left w:val="single" w:sz="4" w:space="0" w:color="auto"/>
              <w:right w:val="single" w:sz="4" w:space="0" w:color="auto"/>
            </w:tcBorders>
            <w:shd w:val="clear" w:color="auto" w:fill="auto"/>
            <w:vAlign w:val="bottom"/>
          </w:tcPr>
          <w:p w14:paraId="459CDB6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9</w:t>
            </w:r>
          </w:p>
        </w:tc>
      </w:tr>
      <w:tr w:rsidR="00EF4A2D" w:rsidRPr="00EF4A2D" w14:paraId="258FA791" w14:textId="77777777" w:rsidTr="00B9606F">
        <w:trPr>
          <w:jc w:val="center"/>
        </w:trPr>
        <w:tc>
          <w:tcPr>
            <w:tcW w:w="3100" w:type="dxa"/>
            <w:tcBorders>
              <w:left w:val="single" w:sz="4" w:space="0" w:color="auto"/>
              <w:right w:val="single" w:sz="4" w:space="0" w:color="auto"/>
            </w:tcBorders>
            <w:shd w:val="clear" w:color="auto" w:fill="auto"/>
          </w:tcPr>
          <w:p w14:paraId="73BC1268"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Oriente Medio</w:t>
            </w:r>
          </w:p>
        </w:tc>
        <w:tc>
          <w:tcPr>
            <w:tcW w:w="667" w:type="dxa"/>
            <w:tcBorders>
              <w:left w:val="single" w:sz="4" w:space="0" w:color="auto"/>
              <w:right w:val="single" w:sz="4" w:space="0" w:color="auto"/>
            </w:tcBorders>
            <w:shd w:val="clear" w:color="auto" w:fill="auto"/>
            <w:vAlign w:val="bottom"/>
          </w:tcPr>
          <w:p w14:paraId="111B19FE"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124</w:t>
            </w:r>
          </w:p>
        </w:tc>
        <w:tc>
          <w:tcPr>
            <w:tcW w:w="588" w:type="dxa"/>
            <w:tcBorders>
              <w:left w:val="single" w:sz="4" w:space="0" w:color="auto"/>
              <w:right w:val="single" w:sz="4" w:space="0" w:color="auto"/>
            </w:tcBorders>
            <w:shd w:val="clear" w:color="auto" w:fill="auto"/>
            <w:vAlign w:val="bottom"/>
          </w:tcPr>
          <w:p w14:paraId="57C0E2A3"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w:t>
            </w:r>
          </w:p>
        </w:tc>
        <w:tc>
          <w:tcPr>
            <w:tcW w:w="588" w:type="dxa"/>
            <w:tcBorders>
              <w:left w:val="single" w:sz="4" w:space="0" w:color="auto"/>
              <w:right w:val="single" w:sz="4" w:space="0" w:color="auto"/>
            </w:tcBorders>
            <w:shd w:val="clear" w:color="auto" w:fill="auto"/>
            <w:vAlign w:val="bottom"/>
          </w:tcPr>
          <w:p w14:paraId="1DC37E5A"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4</w:t>
            </w:r>
          </w:p>
        </w:tc>
        <w:tc>
          <w:tcPr>
            <w:tcW w:w="652" w:type="dxa"/>
            <w:tcBorders>
              <w:left w:val="single" w:sz="4" w:space="0" w:color="auto"/>
              <w:right w:val="single" w:sz="4" w:space="0" w:color="auto"/>
            </w:tcBorders>
            <w:shd w:val="clear" w:color="auto" w:fill="auto"/>
            <w:vAlign w:val="bottom"/>
          </w:tcPr>
          <w:p w14:paraId="6FD31530"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2</w:t>
            </w:r>
          </w:p>
        </w:tc>
        <w:tc>
          <w:tcPr>
            <w:tcW w:w="635" w:type="dxa"/>
            <w:tcBorders>
              <w:left w:val="single" w:sz="4" w:space="0" w:color="auto"/>
              <w:right w:val="single" w:sz="4" w:space="0" w:color="auto"/>
            </w:tcBorders>
            <w:shd w:val="clear" w:color="auto" w:fill="auto"/>
            <w:vAlign w:val="bottom"/>
          </w:tcPr>
          <w:p w14:paraId="0FE0D21E" w14:textId="77777777" w:rsidR="00EF4A2D" w:rsidRPr="00EF4A2D" w:rsidRDefault="00EF4A2D" w:rsidP="004D07F1">
            <w:pPr>
              <w:ind w:right="170"/>
              <w:jc w:val="right"/>
              <w:rPr>
                <w:rFonts w:eastAsia="Calibri"/>
                <w:b/>
                <w:sz w:val="14"/>
                <w:szCs w:val="14"/>
                <w:lang w:eastAsia="en-US"/>
              </w:rPr>
            </w:pPr>
            <w:r w:rsidRPr="00EF4A2D">
              <w:rPr>
                <w:rFonts w:eastAsia="Calibri"/>
                <w:b/>
                <w:sz w:val="14"/>
                <w:szCs w:val="14"/>
                <w:lang w:eastAsia="en-US"/>
              </w:rPr>
              <w:t>6</w:t>
            </w:r>
          </w:p>
        </w:tc>
        <w:tc>
          <w:tcPr>
            <w:tcW w:w="630" w:type="dxa"/>
            <w:tcBorders>
              <w:left w:val="single" w:sz="4" w:space="0" w:color="auto"/>
              <w:right w:val="single" w:sz="4" w:space="0" w:color="auto"/>
            </w:tcBorders>
            <w:shd w:val="clear" w:color="auto" w:fill="auto"/>
            <w:vAlign w:val="bottom"/>
          </w:tcPr>
          <w:p w14:paraId="3EE99028"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271</w:t>
            </w:r>
          </w:p>
        </w:tc>
        <w:tc>
          <w:tcPr>
            <w:tcW w:w="528" w:type="dxa"/>
            <w:tcBorders>
              <w:left w:val="single" w:sz="4" w:space="0" w:color="auto"/>
              <w:right w:val="single" w:sz="4" w:space="0" w:color="auto"/>
            </w:tcBorders>
            <w:shd w:val="clear" w:color="auto" w:fill="auto"/>
            <w:vAlign w:val="bottom"/>
          </w:tcPr>
          <w:p w14:paraId="214C1E68"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w:t>
            </w:r>
          </w:p>
        </w:tc>
        <w:tc>
          <w:tcPr>
            <w:tcW w:w="593" w:type="dxa"/>
            <w:tcBorders>
              <w:left w:val="single" w:sz="4" w:space="0" w:color="auto"/>
              <w:right w:val="single" w:sz="4" w:space="0" w:color="auto"/>
            </w:tcBorders>
            <w:shd w:val="clear" w:color="auto" w:fill="auto"/>
            <w:vAlign w:val="bottom"/>
          </w:tcPr>
          <w:p w14:paraId="00374763"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5</w:t>
            </w:r>
          </w:p>
        </w:tc>
        <w:tc>
          <w:tcPr>
            <w:tcW w:w="574" w:type="dxa"/>
            <w:tcBorders>
              <w:left w:val="single" w:sz="4" w:space="0" w:color="auto"/>
              <w:right w:val="single" w:sz="4" w:space="0" w:color="auto"/>
            </w:tcBorders>
            <w:shd w:val="clear" w:color="auto" w:fill="auto"/>
            <w:vAlign w:val="bottom"/>
          </w:tcPr>
          <w:p w14:paraId="63BA5F01"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5</w:t>
            </w:r>
          </w:p>
        </w:tc>
        <w:tc>
          <w:tcPr>
            <w:tcW w:w="528" w:type="dxa"/>
            <w:tcBorders>
              <w:left w:val="single" w:sz="4" w:space="0" w:color="auto"/>
              <w:right w:val="single" w:sz="4" w:space="0" w:color="auto"/>
            </w:tcBorders>
            <w:shd w:val="clear" w:color="auto" w:fill="auto"/>
            <w:vAlign w:val="bottom"/>
          </w:tcPr>
          <w:p w14:paraId="7FDB927C"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9</w:t>
            </w:r>
          </w:p>
        </w:tc>
      </w:tr>
      <w:tr w:rsidR="00EF4A2D" w:rsidRPr="00EF4A2D" w14:paraId="322B8503" w14:textId="77777777" w:rsidTr="00B9606F">
        <w:trPr>
          <w:jc w:val="center"/>
        </w:trPr>
        <w:tc>
          <w:tcPr>
            <w:tcW w:w="3100" w:type="dxa"/>
            <w:tcBorders>
              <w:left w:val="single" w:sz="4" w:space="0" w:color="auto"/>
              <w:right w:val="single" w:sz="4" w:space="0" w:color="auto"/>
            </w:tcBorders>
            <w:shd w:val="clear" w:color="auto" w:fill="auto"/>
          </w:tcPr>
          <w:p w14:paraId="131C3DB8" w14:textId="77777777" w:rsidR="00EF4A2D" w:rsidRPr="00EF4A2D" w:rsidRDefault="00EF4A2D" w:rsidP="004D07F1">
            <w:pPr>
              <w:ind w:left="170"/>
              <w:rPr>
                <w:rFonts w:eastAsia="Calibri"/>
                <w:sz w:val="14"/>
                <w:szCs w:val="14"/>
                <w:lang w:eastAsia="en-US"/>
              </w:rPr>
            </w:pPr>
            <w:r w:rsidRPr="00EF4A2D">
              <w:rPr>
                <w:rFonts w:eastAsia="Calibri"/>
                <w:sz w:val="14"/>
                <w:szCs w:val="14"/>
                <w:lang w:eastAsia="en-US"/>
              </w:rPr>
              <w:t xml:space="preserve">Emiratos Árabes </w:t>
            </w:r>
            <w:proofErr w:type="spellStart"/>
            <w:r w:rsidRPr="00EF4A2D">
              <w:rPr>
                <w:rFonts w:eastAsia="Calibri"/>
                <w:sz w:val="14"/>
                <w:szCs w:val="14"/>
                <w:lang w:eastAsia="en-US"/>
              </w:rPr>
              <w:t>Unidos</w:t>
            </w:r>
            <w:r w:rsidRPr="00EF4A2D">
              <w:rPr>
                <w:rFonts w:eastAsia="Calibri"/>
                <w:sz w:val="14"/>
                <w:szCs w:val="14"/>
                <w:u w:val="single"/>
                <w:vertAlign w:val="superscript"/>
                <w:lang w:eastAsia="en-US"/>
              </w:rPr>
              <w:t>b</w:t>
            </w:r>
            <w:proofErr w:type="spellEnd"/>
            <w:r w:rsidRPr="00EF4A2D">
              <w:rPr>
                <w:rFonts w:eastAsia="Calibri"/>
                <w:sz w:val="14"/>
                <w:szCs w:val="14"/>
                <w:vertAlign w:val="superscript"/>
                <w:lang w:eastAsia="en-US"/>
              </w:rPr>
              <w:t xml:space="preserve">/, </w:t>
            </w:r>
            <w:r w:rsidRPr="00EF4A2D">
              <w:rPr>
                <w:rFonts w:eastAsia="Calibri"/>
                <w:sz w:val="14"/>
                <w:szCs w:val="14"/>
                <w:u w:val="single"/>
                <w:vertAlign w:val="superscript"/>
                <w:lang w:eastAsia="en-US"/>
              </w:rPr>
              <w:t>c</w:t>
            </w:r>
            <w:r w:rsidRPr="00EF4A2D">
              <w:rPr>
                <w:rFonts w:eastAsia="Calibri"/>
                <w:sz w:val="14"/>
                <w:szCs w:val="14"/>
                <w:vertAlign w:val="superscript"/>
                <w:lang w:eastAsia="en-US"/>
              </w:rPr>
              <w:t>/</w:t>
            </w:r>
          </w:p>
        </w:tc>
        <w:tc>
          <w:tcPr>
            <w:tcW w:w="667" w:type="dxa"/>
            <w:tcBorders>
              <w:left w:val="single" w:sz="4" w:space="0" w:color="auto"/>
              <w:right w:val="single" w:sz="4" w:space="0" w:color="auto"/>
            </w:tcBorders>
            <w:shd w:val="clear" w:color="auto" w:fill="auto"/>
            <w:vAlign w:val="bottom"/>
          </w:tcPr>
          <w:p w14:paraId="3D787FB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17</w:t>
            </w:r>
          </w:p>
        </w:tc>
        <w:tc>
          <w:tcPr>
            <w:tcW w:w="588" w:type="dxa"/>
            <w:tcBorders>
              <w:left w:val="single" w:sz="4" w:space="0" w:color="auto"/>
              <w:right w:val="single" w:sz="4" w:space="0" w:color="auto"/>
            </w:tcBorders>
            <w:shd w:val="clear" w:color="auto" w:fill="auto"/>
            <w:vAlign w:val="bottom"/>
          </w:tcPr>
          <w:p w14:paraId="52C8F223"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w:t>
            </w:r>
          </w:p>
        </w:tc>
        <w:tc>
          <w:tcPr>
            <w:tcW w:w="588" w:type="dxa"/>
            <w:tcBorders>
              <w:left w:val="single" w:sz="4" w:space="0" w:color="auto"/>
              <w:right w:val="single" w:sz="4" w:space="0" w:color="auto"/>
            </w:tcBorders>
            <w:shd w:val="clear" w:color="auto" w:fill="auto"/>
            <w:vAlign w:val="bottom"/>
          </w:tcPr>
          <w:p w14:paraId="01FE1451"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18</w:t>
            </w:r>
          </w:p>
        </w:tc>
        <w:tc>
          <w:tcPr>
            <w:tcW w:w="652" w:type="dxa"/>
            <w:tcBorders>
              <w:left w:val="single" w:sz="4" w:space="0" w:color="auto"/>
              <w:right w:val="single" w:sz="4" w:space="0" w:color="auto"/>
            </w:tcBorders>
            <w:shd w:val="clear" w:color="auto" w:fill="auto"/>
            <w:vAlign w:val="bottom"/>
          </w:tcPr>
          <w:p w14:paraId="0B5E149C"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15</w:t>
            </w:r>
          </w:p>
        </w:tc>
        <w:tc>
          <w:tcPr>
            <w:tcW w:w="635" w:type="dxa"/>
            <w:tcBorders>
              <w:left w:val="single" w:sz="4" w:space="0" w:color="auto"/>
              <w:right w:val="single" w:sz="4" w:space="0" w:color="auto"/>
            </w:tcBorders>
            <w:shd w:val="clear" w:color="auto" w:fill="auto"/>
            <w:vAlign w:val="bottom"/>
          </w:tcPr>
          <w:p w14:paraId="33496C75"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w:t>
            </w:r>
          </w:p>
        </w:tc>
        <w:tc>
          <w:tcPr>
            <w:tcW w:w="630" w:type="dxa"/>
            <w:tcBorders>
              <w:left w:val="single" w:sz="4" w:space="0" w:color="auto"/>
              <w:right w:val="single" w:sz="4" w:space="0" w:color="auto"/>
            </w:tcBorders>
            <w:shd w:val="clear" w:color="auto" w:fill="auto"/>
            <w:vAlign w:val="bottom"/>
          </w:tcPr>
          <w:p w14:paraId="22D28F6D"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72</w:t>
            </w:r>
          </w:p>
        </w:tc>
        <w:tc>
          <w:tcPr>
            <w:tcW w:w="528" w:type="dxa"/>
            <w:tcBorders>
              <w:left w:val="single" w:sz="4" w:space="0" w:color="auto"/>
              <w:right w:val="single" w:sz="4" w:space="0" w:color="auto"/>
            </w:tcBorders>
            <w:shd w:val="clear" w:color="auto" w:fill="auto"/>
            <w:vAlign w:val="bottom"/>
          </w:tcPr>
          <w:p w14:paraId="02D5056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w:t>
            </w:r>
          </w:p>
        </w:tc>
        <w:tc>
          <w:tcPr>
            <w:tcW w:w="593" w:type="dxa"/>
            <w:tcBorders>
              <w:left w:val="single" w:sz="4" w:space="0" w:color="auto"/>
              <w:right w:val="single" w:sz="4" w:space="0" w:color="auto"/>
            </w:tcBorders>
            <w:shd w:val="clear" w:color="auto" w:fill="auto"/>
            <w:vAlign w:val="bottom"/>
          </w:tcPr>
          <w:p w14:paraId="413D1679"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12</w:t>
            </w:r>
          </w:p>
        </w:tc>
        <w:tc>
          <w:tcPr>
            <w:tcW w:w="574" w:type="dxa"/>
            <w:tcBorders>
              <w:left w:val="single" w:sz="4" w:space="0" w:color="auto"/>
              <w:right w:val="single" w:sz="4" w:space="0" w:color="auto"/>
            </w:tcBorders>
            <w:shd w:val="clear" w:color="auto" w:fill="auto"/>
            <w:vAlign w:val="bottom"/>
          </w:tcPr>
          <w:p w14:paraId="5F93FE2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12</w:t>
            </w:r>
          </w:p>
        </w:tc>
        <w:tc>
          <w:tcPr>
            <w:tcW w:w="528" w:type="dxa"/>
            <w:tcBorders>
              <w:left w:val="single" w:sz="4" w:space="0" w:color="auto"/>
              <w:right w:val="single" w:sz="4" w:space="0" w:color="auto"/>
            </w:tcBorders>
            <w:shd w:val="clear" w:color="auto" w:fill="auto"/>
            <w:vAlign w:val="bottom"/>
          </w:tcPr>
          <w:p w14:paraId="4B8B182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w:t>
            </w:r>
          </w:p>
        </w:tc>
      </w:tr>
      <w:tr w:rsidR="00EF4A2D" w:rsidRPr="00EF4A2D" w14:paraId="35F1C72F" w14:textId="77777777" w:rsidTr="00B9606F">
        <w:trPr>
          <w:jc w:val="center"/>
        </w:trPr>
        <w:tc>
          <w:tcPr>
            <w:tcW w:w="3100" w:type="dxa"/>
            <w:tcBorders>
              <w:left w:val="single" w:sz="4" w:space="0" w:color="auto"/>
              <w:right w:val="single" w:sz="4" w:space="0" w:color="auto"/>
            </w:tcBorders>
            <w:shd w:val="clear" w:color="auto" w:fill="auto"/>
          </w:tcPr>
          <w:p w14:paraId="4A9A97EF" w14:textId="77777777" w:rsidR="00EF4A2D" w:rsidRPr="00EF4A2D" w:rsidRDefault="00EF4A2D" w:rsidP="004D07F1">
            <w:pPr>
              <w:ind w:left="170"/>
              <w:rPr>
                <w:rFonts w:eastAsia="Calibri"/>
                <w:sz w:val="14"/>
                <w:szCs w:val="14"/>
                <w:lang w:eastAsia="en-US"/>
              </w:rPr>
            </w:pPr>
            <w:r w:rsidRPr="00EF4A2D">
              <w:rPr>
                <w:rFonts w:eastAsia="Calibri"/>
                <w:sz w:val="14"/>
                <w:szCs w:val="14"/>
                <w:lang w:eastAsia="en-US"/>
              </w:rPr>
              <w:t>Arabia Saudita, Reino de la</w:t>
            </w:r>
          </w:p>
        </w:tc>
        <w:tc>
          <w:tcPr>
            <w:tcW w:w="667" w:type="dxa"/>
            <w:tcBorders>
              <w:left w:val="single" w:sz="4" w:space="0" w:color="auto"/>
              <w:right w:val="single" w:sz="4" w:space="0" w:color="auto"/>
            </w:tcBorders>
            <w:shd w:val="clear" w:color="auto" w:fill="auto"/>
            <w:vAlign w:val="bottom"/>
          </w:tcPr>
          <w:p w14:paraId="27C38F7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12</w:t>
            </w:r>
          </w:p>
        </w:tc>
        <w:tc>
          <w:tcPr>
            <w:tcW w:w="588" w:type="dxa"/>
            <w:tcBorders>
              <w:left w:val="single" w:sz="4" w:space="0" w:color="auto"/>
              <w:right w:val="single" w:sz="4" w:space="0" w:color="auto"/>
            </w:tcBorders>
            <w:shd w:val="clear" w:color="auto" w:fill="auto"/>
            <w:vAlign w:val="bottom"/>
          </w:tcPr>
          <w:p w14:paraId="14642B7E"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w:t>
            </w:r>
          </w:p>
        </w:tc>
        <w:tc>
          <w:tcPr>
            <w:tcW w:w="588" w:type="dxa"/>
            <w:tcBorders>
              <w:left w:val="single" w:sz="4" w:space="0" w:color="auto"/>
              <w:right w:val="single" w:sz="4" w:space="0" w:color="auto"/>
            </w:tcBorders>
            <w:shd w:val="clear" w:color="auto" w:fill="auto"/>
            <w:vAlign w:val="bottom"/>
          </w:tcPr>
          <w:p w14:paraId="61E53107"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-5</w:t>
            </w:r>
          </w:p>
        </w:tc>
        <w:tc>
          <w:tcPr>
            <w:tcW w:w="652" w:type="dxa"/>
            <w:tcBorders>
              <w:left w:val="single" w:sz="4" w:space="0" w:color="auto"/>
              <w:right w:val="single" w:sz="4" w:space="0" w:color="auto"/>
            </w:tcBorders>
            <w:shd w:val="clear" w:color="auto" w:fill="auto"/>
            <w:vAlign w:val="bottom"/>
          </w:tcPr>
          <w:p w14:paraId="3096B27C"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5</w:t>
            </w:r>
          </w:p>
        </w:tc>
        <w:tc>
          <w:tcPr>
            <w:tcW w:w="635" w:type="dxa"/>
            <w:tcBorders>
              <w:left w:val="single" w:sz="4" w:space="0" w:color="auto"/>
              <w:right w:val="single" w:sz="4" w:space="0" w:color="auto"/>
            </w:tcBorders>
            <w:shd w:val="clear" w:color="auto" w:fill="auto"/>
            <w:vAlign w:val="bottom"/>
          </w:tcPr>
          <w:p w14:paraId="204A09D4"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7</w:t>
            </w:r>
          </w:p>
        </w:tc>
        <w:tc>
          <w:tcPr>
            <w:tcW w:w="630" w:type="dxa"/>
            <w:tcBorders>
              <w:left w:val="single" w:sz="4" w:space="0" w:color="auto"/>
              <w:right w:val="single" w:sz="4" w:space="0" w:color="auto"/>
            </w:tcBorders>
            <w:shd w:val="clear" w:color="auto" w:fill="auto"/>
            <w:vAlign w:val="bottom"/>
          </w:tcPr>
          <w:p w14:paraId="5367C821"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60</w:t>
            </w:r>
          </w:p>
        </w:tc>
        <w:tc>
          <w:tcPr>
            <w:tcW w:w="528" w:type="dxa"/>
            <w:tcBorders>
              <w:left w:val="single" w:sz="4" w:space="0" w:color="auto"/>
              <w:right w:val="single" w:sz="4" w:space="0" w:color="auto"/>
            </w:tcBorders>
            <w:shd w:val="clear" w:color="auto" w:fill="auto"/>
            <w:vAlign w:val="bottom"/>
          </w:tcPr>
          <w:p w14:paraId="4F758A1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w:t>
            </w:r>
          </w:p>
        </w:tc>
        <w:tc>
          <w:tcPr>
            <w:tcW w:w="593" w:type="dxa"/>
            <w:tcBorders>
              <w:left w:val="single" w:sz="4" w:space="0" w:color="auto"/>
              <w:right w:val="single" w:sz="4" w:space="0" w:color="auto"/>
            </w:tcBorders>
            <w:shd w:val="clear" w:color="auto" w:fill="auto"/>
            <w:vAlign w:val="bottom"/>
          </w:tcPr>
          <w:p w14:paraId="6B3F174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-9</w:t>
            </w:r>
          </w:p>
        </w:tc>
        <w:tc>
          <w:tcPr>
            <w:tcW w:w="574" w:type="dxa"/>
            <w:tcBorders>
              <w:left w:val="single" w:sz="4" w:space="0" w:color="auto"/>
              <w:right w:val="single" w:sz="4" w:space="0" w:color="auto"/>
            </w:tcBorders>
            <w:shd w:val="clear" w:color="auto" w:fill="auto"/>
            <w:vAlign w:val="bottom"/>
          </w:tcPr>
          <w:p w14:paraId="6E6CDBD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c>
          <w:tcPr>
            <w:tcW w:w="528" w:type="dxa"/>
            <w:tcBorders>
              <w:left w:val="single" w:sz="4" w:space="0" w:color="auto"/>
              <w:right w:val="single" w:sz="4" w:space="0" w:color="auto"/>
            </w:tcBorders>
            <w:shd w:val="clear" w:color="auto" w:fill="auto"/>
            <w:vAlign w:val="bottom"/>
          </w:tcPr>
          <w:p w14:paraId="613B2B1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17</w:t>
            </w:r>
          </w:p>
        </w:tc>
      </w:tr>
      <w:tr w:rsidR="00EF4A2D" w:rsidRPr="00EF4A2D" w14:paraId="629EC6AF" w14:textId="77777777" w:rsidTr="00B9606F">
        <w:trPr>
          <w:jc w:val="center"/>
        </w:trPr>
        <w:tc>
          <w:tcPr>
            <w:tcW w:w="3100" w:type="dxa"/>
            <w:tcBorders>
              <w:left w:val="single" w:sz="4" w:space="0" w:color="auto"/>
              <w:right w:val="single" w:sz="4" w:space="0" w:color="auto"/>
            </w:tcBorders>
            <w:shd w:val="clear" w:color="auto" w:fill="auto"/>
          </w:tcPr>
          <w:p w14:paraId="17733323"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Asia</w:t>
            </w:r>
          </w:p>
        </w:tc>
        <w:tc>
          <w:tcPr>
            <w:tcW w:w="667" w:type="dxa"/>
            <w:tcBorders>
              <w:left w:val="single" w:sz="4" w:space="0" w:color="auto"/>
              <w:right w:val="single" w:sz="4" w:space="0" w:color="auto"/>
            </w:tcBorders>
            <w:shd w:val="clear" w:color="auto" w:fill="auto"/>
            <w:vAlign w:val="bottom"/>
          </w:tcPr>
          <w:p w14:paraId="397D901F"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1 236</w:t>
            </w:r>
          </w:p>
        </w:tc>
        <w:tc>
          <w:tcPr>
            <w:tcW w:w="588" w:type="dxa"/>
            <w:tcBorders>
              <w:left w:val="single" w:sz="4" w:space="0" w:color="auto"/>
              <w:right w:val="single" w:sz="4" w:space="0" w:color="auto"/>
            </w:tcBorders>
            <w:shd w:val="clear" w:color="auto" w:fill="auto"/>
            <w:vAlign w:val="bottom"/>
          </w:tcPr>
          <w:p w14:paraId="210EB6E7"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10</w:t>
            </w:r>
          </w:p>
        </w:tc>
        <w:tc>
          <w:tcPr>
            <w:tcW w:w="588" w:type="dxa"/>
            <w:tcBorders>
              <w:left w:val="single" w:sz="4" w:space="0" w:color="auto"/>
              <w:right w:val="single" w:sz="4" w:space="0" w:color="auto"/>
            </w:tcBorders>
            <w:shd w:val="clear" w:color="auto" w:fill="auto"/>
            <w:vAlign w:val="bottom"/>
          </w:tcPr>
          <w:p w14:paraId="4C8B73E4"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8</w:t>
            </w:r>
          </w:p>
        </w:tc>
        <w:tc>
          <w:tcPr>
            <w:tcW w:w="652" w:type="dxa"/>
            <w:tcBorders>
              <w:left w:val="single" w:sz="4" w:space="0" w:color="auto"/>
              <w:right w:val="single" w:sz="4" w:space="0" w:color="auto"/>
            </w:tcBorders>
            <w:shd w:val="clear" w:color="auto" w:fill="auto"/>
            <w:vAlign w:val="bottom"/>
          </w:tcPr>
          <w:p w14:paraId="1CE9BF9B" w14:textId="77777777" w:rsidR="00EF4A2D" w:rsidRPr="00EF4A2D" w:rsidRDefault="00EF4A2D" w:rsidP="004D07F1">
            <w:pPr>
              <w:ind w:right="113"/>
              <w:jc w:val="right"/>
              <w:rPr>
                <w:rFonts w:eastAsia="Calibri"/>
                <w:b/>
                <w:sz w:val="14"/>
                <w:szCs w:val="14"/>
                <w:lang w:eastAsia="en-US"/>
              </w:rPr>
            </w:pPr>
            <w:r w:rsidRPr="00EF4A2D">
              <w:rPr>
                <w:rFonts w:eastAsia="Calibri"/>
                <w:b/>
                <w:sz w:val="14"/>
                <w:szCs w:val="14"/>
                <w:lang w:eastAsia="en-US"/>
              </w:rPr>
              <w:t>3</w:t>
            </w:r>
          </w:p>
        </w:tc>
        <w:tc>
          <w:tcPr>
            <w:tcW w:w="635" w:type="dxa"/>
            <w:tcBorders>
              <w:left w:val="single" w:sz="4" w:space="0" w:color="auto"/>
              <w:right w:val="single" w:sz="4" w:space="0" w:color="auto"/>
            </w:tcBorders>
            <w:shd w:val="clear" w:color="auto" w:fill="auto"/>
            <w:vAlign w:val="bottom"/>
          </w:tcPr>
          <w:p w14:paraId="4E68659D" w14:textId="77777777" w:rsidR="00EF4A2D" w:rsidRPr="00EF4A2D" w:rsidRDefault="00EF4A2D" w:rsidP="004D07F1">
            <w:pPr>
              <w:ind w:right="170"/>
              <w:jc w:val="right"/>
              <w:rPr>
                <w:rFonts w:eastAsia="Calibri"/>
                <w:b/>
                <w:sz w:val="14"/>
                <w:szCs w:val="14"/>
                <w:lang w:eastAsia="en-US"/>
              </w:rPr>
            </w:pPr>
            <w:r w:rsidRPr="00EF4A2D">
              <w:rPr>
                <w:rFonts w:eastAsia="Calibri"/>
                <w:b/>
                <w:sz w:val="14"/>
                <w:szCs w:val="14"/>
                <w:lang w:eastAsia="en-US"/>
              </w:rPr>
              <w:t>5</w:t>
            </w:r>
          </w:p>
        </w:tc>
        <w:tc>
          <w:tcPr>
            <w:tcW w:w="630" w:type="dxa"/>
            <w:tcBorders>
              <w:left w:val="single" w:sz="4" w:space="0" w:color="auto"/>
              <w:right w:val="single" w:sz="4" w:space="0" w:color="auto"/>
            </w:tcBorders>
            <w:shd w:val="clear" w:color="auto" w:fill="auto"/>
            <w:vAlign w:val="bottom"/>
          </w:tcPr>
          <w:p w14:paraId="160F1CBE"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1 349</w:t>
            </w:r>
          </w:p>
        </w:tc>
        <w:tc>
          <w:tcPr>
            <w:tcW w:w="528" w:type="dxa"/>
            <w:tcBorders>
              <w:left w:val="single" w:sz="4" w:space="0" w:color="auto"/>
              <w:right w:val="single" w:sz="4" w:space="0" w:color="auto"/>
            </w:tcBorders>
            <w:shd w:val="clear" w:color="auto" w:fill="auto"/>
            <w:vAlign w:val="bottom"/>
          </w:tcPr>
          <w:p w14:paraId="5CCE5D4B"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9</w:t>
            </w:r>
          </w:p>
        </w:tc>
        <w:tc>
          <w:tcPr>
            <w:tcW w:w="593" w:type="dxa"/>
            <w:tcBorders>
              <w:left w:val="single" w:sz="4" w:space="0" w:color="auto"/>
              <w:right w:val="single" w:sz="4" w:space="0" w:color="auto"/>
            </w:tcBorders>
            <w:shd w:val="clear" w:color="auto" w:fill="auto"/>
            <w:vAlign w:val="bottom"/>
          </w:tcPr>
          <w:p w14:paraId="73DDEFE4"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8</w:t>
            </w:r>
          </w:p>
        </w:tc>
        <w:tc>
          <w:tcPr>
            <w:tcW w:w="574" w:type="dxa"/>
            <w:tcBorders>
              <w:left w:val="single" w:sz="4" w:space="0" w:color="auto"/>
              <w:right w:val="single" w:sz="4" w:space="0" w:color="auto"/>
            </w:tcBorders>
            <w:shd w:val="clear" w:color="auto" w:fill="auto"/>
            <w:vAlign w:val="bottom"/>
          </w:tcPr>
          <w:p w14:paraId="24490261"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4</w:t>
            </w:r>
          </w:p>
        </w:tc>
        <w:tc>
          <w:tcPr>
            <w:tcW w:w="528" w:type="dxa"/>
            <w:tcBorders>
              <w:left w:val="single" w:sz="4" w:space="0" w:color="auto"/>
              <w:right w:val="single" w:sz="4" w:space="0" w:color="auto"/>
            </w:tcBorders>
            <w:shd w:val="clear" w:color="auto" w:fill="auto"/>
            <w:vAlign w:val="bottom"/>
          </w:tcPr>
          <w:p w14:paraId="1FED0328"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6</w:t>
            </w:r>
          </w:p>
        </w:tc>
      </w:tr>
      <w:tr w:rsidR="00EF4A2D" w:rsidRPr="00EF4A2D" w14:paraId="355A083D" w14:textId="77777777" w:rsidTr="00B9606F">
        <w:trPr>
          <w:jc w:val="center"/>
        </w:trPr>
        <w:tc>
          <w:tcPr>
            <w:tcW w:w="3100" w:type="dxa"/>
            <w:tcBorders>
              <w:left w:val="single" w:sz="4" w:space="0" w:color="auto"/>
              <w:right w:val="single" w:sz="4" w:space="0" w:color="auto"/>
            </w:tcBorders>
            <w:shd w:val="clear" w:color="auto" w:fill="auto"/>
          </w:tcPr>
          <w:p w14:paraId="00390769" w14:textId="77777777" w:rsidR="00EF4A2D" w:rsidRPr="00EF4A2D" w:rsidRDefault="00EF4A2D" w:rsidP="004D07F1">
            <w:pPr>
              <w:ind w:left="284"/>
              <w:rPr>
                <w:rFonts w:eastAsia="Calibri"/>
                <w:sz w:val="14"/>
                <w:szCs w:val="14"/>
                <w:lang w:eastAsia="en-US"/>
              </w:rPr>
            </w:pPr>
            <w:proofErr w:type="spellStart"/>
            <w:r w:rsidRPr="00EF4A2D">
              <w:rPr>
                <w:rFonts w:eastAsia="Calibri"/>
                <w:sz w:val="14"/>
                <w:szCs w:val="14"/>
                <w:lang w:eastAsia="en-US"/>
              </w:rPr>
              <w:t>China</w:t>
            </w:r>
            <w:r w:rsidRPr="00EF4A2D">
              <w:rPr>
                <w:rFonts w:eastAsia="Calibri"/>
                <w:sz w:val="14"/>
                <w:szCs w:val="14"/>
                <w:u w:val="single"/>
                <w:vertAlign w:val="superscript"/>
                <w:lang w:eastAsia="en-US"/>
              </w:rPr>
              <w:t>c</w:t>
            </w:r>
            <w:proofErr w:type="spellEnd"/>
            <w:r w:rsidRPr="00EF4A2D">
              <w:rPr>
                <w:rFonts w:eastAsia="Calibri"/>
                <w:sz w:val="14"/>
                <w:szCs w:val="14"/>
                <w:vertAlign w:val="superscript"/>
                <w:lang w:eastAsia="en-US"/>
              </w:rPr>
              <w:t>/</w:t>
            </w:r>
          </w:p>
        </w:tc>
        <w:tc>
          <w:tcPr>
            <w:tcW w:w="667" w:type="dxa"/>
            <w:tcBorders>
              <w:left w:val="single" w:sz="4" w:space="0" w:color="auto"/>
              <w:right w:val="single" w:sz="4" w:space="0" w:color="auto"/>
            </w:tcBorders>
            <w:shd w:val="clear" w:color="auto" w:fill="auto"/>
            <w:vAlign w:val="bottom"/>
          </w:tcPr>
          <w:p w14:paraId="26DE06D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222</w:t>
            </w:r>
          </w:p>
        </w:tc>
        <w:tc>
          <w:tcPr>
            <w:tcW w:w="588" w:type="dxa"/>
            <w:tcBorders>
              <w:left w:val="single" w:sz="4" w:space="0" w:color="auto"/>
              <w:right w:val="single" w:sz="4" w:space="0" w:color="auto"/>
            </w:tcBorders>
            <w:shd w:val="clear" w:color="auto" w:fill="auto"/>
            <w:vAlign w:val="bottom"/>
          </w:tcPr>
          <w:p w14:paraId="2EB9025B"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11</w:t>
            </w:r>
          </w:p>
        </w:tc>
        <w:tc>
          <w:tcPr>
            <w:tcW w:w="588" w:type="dxa"/>
            <w:tcBorders>
              <w:left w:val="single" w:sz="4" w:space="0" w:color="auto"/>
              <w:right w:val="single" w:sz="4" w:space="0" w:color="auto"/>
            </w:tcBorders>
            <w:shd w:val="clear" w:color="auto" w:fill="auto"/>
            <w:vAlign w:val="bottom"/>
          </w:tcPr>
          <w:p w14:paraId="0A9C3148"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17</w:t>
            </w:r>
          </w:p>
        </w:tc>
        <w:tc>
          <w:tcPr>
            <w:tcW w:w="652" w:type="dxa"/>
            <w:tcBorders>
              <w:left w:val="single" w:sz="4" w:space="0" w:color="auto"/>
              <w:right w:val="single" w:sz="4" w:space="0" w:color="auto"/>
            </w:tcBorders>
            <w:shd w:val="clear" w:color="auto" w:fill="auto"/>
            <w:vAlign w:val="bottom"/>
          </w:tcPr>
          <w:p w14:paraId="251B50EE"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-4</w:t>
            </w:r>
          </w:p>
        </w:tc>
        <w:tc>
          <w:tcPr>
            <w:tcW w:w="635" w:type="dxa"/>
            <w:tcBorders>
              <w:left w:val="single" w:sz="4" w:space="0" w:color="auto"/>
              <w:right w:val="single" w:sz="4" w:space="0" w:color="auto"/>
            </w:tcBorders>
            <w:shd w:val="clear" w:color="auto" w:fill="auto"/>
            <w:vAlign w:val="bottom"/>
          </w:tcPr>
          <w:p w14:paraId="23FC6FA9"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8</w:t>
            </w:r>
          </w:p>
        </w:tc>
        <w:tc>
          <w:tcPr>
            <w:tcW w:w="630" w:type="dxa"/>
            <w:tcBorders>
              <w:left w:val="single" w:sz="4" w:space="0" w:color="auto"/>
              <w:right w:val="single" w:sz="4" w:space="0" w:color="auto"/>
            </w:tcBorders>
            <w:shd w:val="clear" w:color="auto" w:fill="auto"/>
            <w:vAlign w:val="bottom"/>
          </w:tcPr>
          <w:p w14:paraId="26547EE3"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382</w:t>
            </w:r>
          </w:p>
        </w:tc>
        <w:tc>
          <w:tcPr>
            <w:tcW w:w="528" w:type="dxa"/>
            <w:tcBorders>
              <w:left w:val="single" w:sz="4" w:space="0" w:color="auto"/>
              <w:right w:val="single" w:sz="4" w:space="0" w:color="auto"/>
            </w:tcBorders>
            <w:shd w:val="clear" w:color="auto" w:fill="auto"/>
            <w:vAlign w:val="bottom"/>
          </w:tcPr>
          <w:p w14:paraId="129491CD"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18</w:t>
            </w:r>
          </w:p>
        </w:tc>
        <w:tc>
          <w:tcPr>
            <w:tcW w:w="593" w:type="dxa"/>
            <w:tcBorders>
              <w:left w:val="single" w:sz="4" w:space="0" w:color="auto"/>
              <w:right w:val="single" w:sz="4" w:space="0" w:color="auto"/>
            </w:tcBorders>
            <w:shd w:val="clear" w:color="auto" w:fill="auto"/>
            <w:vAlign w:val="bottom"/>
          </w:tcPr>
          <w:p w14:paraId="68AA15F3"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18</w:t>
            </w:r>
          </w:p>
        </w:tc>
        <w:tc>
          <w:tcPr>
            <w:tcW w:w="574" w:type="dxa"/>
            <w:tcBorders>
              <w:left w:val="single" w:sz="4" w:space="0" w:color="auto"/>
              <w:right w:val="single" w:sz="4" w:space="0" w:color="auto"/>
            </w:tcBorders>
            <w:shd w:val="clear" w:color="auto" w:fill="auto"/>
            <w:vAlign w:val="bottom"/>
          </w:tcPr>
          <w:p w14:paraId="6018F91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17</w:t>
            </w:r>
          </w:p>
        </w:tc>
        <w:tc>
          <w:tcPr>
            <w:tcW w:w="528" w:type="dxa"/>
            <w:tcBorders>
              <w:left w:val="single" w:sz="4" w:space="0" w:color="auto"/>
              <w:right w:val="single" w:sz="4" w:space="0" w:color="auto"/>
            </w:tcBorders>
            <w:shd w:val="clear" w:color="auto" w:fill="auto"/>
            <w:vAlign w:val="bottom"/>
          </w:tcPr>
          <w:p w14:paraId="3919FF0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16</w:t>
            </w:r>
          </w:p>
        </w:tc>
      </w:tr>
      <w:tr w:rsidR="00EF4A2D" w:rsidRPr="00EF4A2D" w14:paraId="3951FC67" w14:textId="77777777" w:rsidTr="00B9606F">
        <w:trPr>
          <w:jc w:val="center"/>
        </w:trPr>
        <w:tc>
          <w:tcPr>
            <w:tcW w:w="3100" w:type="dxa"/>
            <w:tcBorders>
              <w:left w:val="single" w:sz="4" w:space="0" w:color="auto"/>
              <w:right w:val="single" w:sz="4" w:space="0" w:color="auto"/>
            </w:tcBorders>
            <w:shd w:val="clear" w:color="auto" w:fill="auto"/>
          </w:tcPr>
          <w:p w14:paraId="59FACB53" w14:textId="77777777" w:rsidR="00EF4A2D" w:rsidRPr="00EF4A2D" w:rsidRDefault="00EF4A2D" w:rsidP="004D07F1">
            <w:pPr>
              <w:ind w:left="284"/>
              <w:rPr>
                <w:rFonts w:eastAsia="Calibri"/>
                <w:sz w:val="14"/>
                <w:szCs w:val="14"/>
                <w:lang w:eastAsia="en-US"/>
              </w:rPr>
            </w:pPr>
            <w:r w:rsidRPr="00EF4A2D">
              <w:rPr>
                <w:rFonts w:eastAsia="Calibri"/>
                <w:sz w:val="14"/>
                <w:szCs w:val="14"/>
                <w:lang w:eastAsia="en-US"/>
              </w:rPr>
              <w:t>Japón</w:t>
            </w:r>
          </w:p>
        </w:tc>
        <w:tc>
          <w:tcPr>
            <w:tcW w:w="667" w:type="dxa"/>
            <w:tcBorders>
              <w:left w:val="single" w:sz="4" w:space="0" w:color="auto"/>
              <w:right w:val="single" w:sz="4" w:space="0" w:color="auto"/>
            </w:tcBorders>
            <w:shd w:val="clear" w:color="auto" w:fill="auto"/>
            <w:vAlign w:val="bottom"/>
          </w:tcPr>
          <w:p w14:paraId="05570DB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158</w:t>
            </w:r>
          </w:p>
        </w:tc>
        <w:tc>
          <w:tcPr>
            <w:tcW w:w="588" w:type="dxa"/>
            <w:tcBorders>
              <w:left w:val="single" w:sz="4" w:space="0" w:color="auto"/>
              <w:right w:val="single" w:sz="4" w:space="0" w:color="auto"/>
            </w:tcBorders>
            <w:shd w:val="clear" w:color="auto" w:fill="auto"/>
            <w:vAlign w:val="bottom"/>
          </w:tcPr>
          <w:p w14:paraId="77B5E1CB"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5</w:t>
            </w:r>
          </w:p>
        </w:tc>
        <w:tc>
          <w:tcPr>
            <w:tcW w:w="588" w:type="dxa"/>
            <w:tcBorders>
              <w:left w:val="single" w:sz="4" w:space="0" w:color="auto"/>
              <w:right w:val="single" w:sz="4" w:space="0" w:color="auto"/>
            </w:tcBorders>
            <w:shd w:val="clear" w:color="auto" w:fill="auto"/>
            <w:vAlign w:val="bottom"/>
          </w:tcPr>
          <w:p w14:paraId="17A4316B"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-3</w:t>
            </w:r>
          </w:p>
        </w:tc>
        <w:tc>
          <w:tcPr>
            <w:tcW w:w="652" w:type="dxa"/>
            <w:tcBorders>
              <w:left w:val="single" w:sz="4" w:space="0" w:color="auto"/>
              <w:right w:val="single" w:sz="4" w:space="0" w:color="auto"/>
            </w:tcBorders>
            <w:shd w:val="clear" w:color="auto" w:fill="auto"/>
            <w:vAlign w:val="bottom"/>
          </w:tcPr>
          <w:p w14:paraId="11089557"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1</w:t>
            </w:r>
          </w:p>
        </w:tc>
        <w:tc>
          <w:tcPr>
            <w:tcW w:w="635" w:type="dxa"/>
            <w:tcBorders>
              <w:left w:val="single" w:sz="4" w:space="0" w:color="auto"/>
              <w:right w:val="single" w:sz="4" w:space="0" w:color="auto"/>
            </w:tcBorders>
            <w:shd w:val="clear" w:color="auto" w:fill="auto"/>
            <w:vAlign w:val="bottom"/>
          </w:tcPr>
          <w:p w14:paraId="1155D851"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19</w:t>
            </w:r>
          </w:p>
        </w:tc>
        <w:tc>
          <w:tcPr>
            <w:tcW w:w="630" w:type="dxa"/>
            <w:tcBorders>
              <w:left w:val="single" w:sz="4" w:space="0" w:color="auto"/>
              <w:right w:val="single" w:sz="4" w:space="0" w:color="auto"/>
            </w:tcBorders>
            <w:shd w:val="clear" w:color="auto" w:fill="auto"/>
            <w:vAlign w:val="bottom"/>
          </w:tcPr>
          <w:p w14:paraId="25584743"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190</w:t>
            </w:r>
          </w:p>
        </w:tc>
        <w:tc>
          <w:tcPr>
            <w:tcW w:w="528" w:type="dxa"/>
            <w:tcBorders>
              <w:left w:val="single" w:sz="4" w:space="0" w:color="auto"/>
              <w:right w:val="single" w:sz="4" w:space="0" w:color="auto"/>
            </w:tcBorders>
            <w:shd w:val="clear" w:color="auto" w:fill="auto"/>
            <w:vAlign w:val="bottom"/>
          </w:tcPr>
          <w:p w14:paraId="46B292C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c>
          <w:tcPr>
            <w:tcW w:w="593" w:type="dxa"/>
            <w:tcBorders>
              <w:left w:val="single" w:sz="4" w:space="0" w:color="auto"/>
              <w:right w:val="single" w:sz="4" w:space="0" w:color="auto"/>
            </w:tcBorders>
            <w:shd w:val="clear" w:color="auto" w:fill="auto"/>
            <w:vAlign w:val="bottom"/>
          </w:tcPr>
          <w:p w14:paraId="4BB5DA6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w:t>
            </w:r>
          </w:p>
        </w:tc>
        <w:tc>
          <w:tcPr>
            <w:tcW w:w="574" w:type="dxa"/>
            <w:tcBorders>
              <w:left w:val="single" w:sz="4" w:space="0" w:color="auto"/>
              <w:right w:val="single" w:sz="4" w:space="0" w:color="auto"/>
            </w:tcBorders>
            <w:shd w:val="clear" w:color="auto" w:fill="auto"/>
            <w:vAlign w:val="bottom"/>
          </w:tcPr>
          <w:p w14:paraId="1A88496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-8</w:t>
            </w:r>
          </w:p>
        </w:tc>
        <w:tc>
          <w:tcPr>
            <w:tcW w:w="528" w:type="dxa"/>
            <w:tcBorders>
              <w:left w:val="single" w:sz="4" w:space="0" w:color="auto"/>
              <w:right w:val="single" w:sz="4" w:space="0" w:color="auto"/>
            </w:tcBorders>
            <w:shd w:val="clear" w:color="auto" w:fill="auto"/>
            <w:vAlign w:val="bottom"/>
          </w:tcPr>
          <w:p w14:paraId="7975DAA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12</w:t>
            </w:r>
          </w:p>
        </w:tc>
      </w:tr>
      <w:tr w:rsidR="00EF4A2D" w:rsidRPr="00EF4A2D" w14:paraId="5BFC74E2" w14:textId="77777777" w:rsidTr="00B9606F">
        <w:trPr>
          <w:jc w:val="center"/>
        </w:trPr>
        <w:tc>
          <w:tcPr>
            <w:tcW w:w="3100" w:type="dxa"/>
            <w:tcBorders>
              <w:left w:val="single" w:sz="4" w:space="0" w:color="auto"/>
              <w:right w:val="single" w:sz="4" w:space="0" w:color="auto"/>
            </w:tcBorders>
            <w:shd w:val="clear" w:color="auto" w:fill="auto"/>
          </w:tcPr>
          <w:p w14:paraId="194CDD0D" w14:textId="77777777" w:rsidR="00EF4A2D" w:rsidRPr="00EF4A2D" w:rsidRDefault="00EF4A2D" w:rsidP="004D07F1">
            <w:pPr>
              <w:ind w:left="284"/>
              <w:rPr>
                <w:rFonts w:eastAsia="Calibri"/>
                <w:sz w:val="14"/>
                <w:szCs w:val="14"/>
                <w:lang w:eastAsia="en-US"/>
              </w:rPr>
            </w:pPr>
            <w:r w:rsidRPr="00EF4A2D">
              <w:rPr>
                <w:rFonts w:eastAsia="Calibri"/>
                <w:sz w:val="14"/>
                <w:szCs w:val="14"/>
                <w:lang w:eastAsia="en-US"/>
              </w:rPr>
              <w:t>India</w:t>
            </w:r>
          </w:p>
        </w:tc>
        <w:tc>
          <w:tcPr>
            <w:tcW w:w="667" w:type="dxa"/>
            <w:tcBorders>
              <w:left w:val="single" w:sz="4" w:space="0" w:color="auto"/>
              <w:right w:val="single" w:sz="4" w:space="0" w:color="auto"/>
            </w:tcBorders>
            <w:shd w:val="clear" w:color="auto" w:fill="auto"/>
            <w:vAlign w:val="bottom"/>
          </w:tcPr>
          <w:p w14:paraId="34C90933"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154</w:t>
            </w:r>
          </w:p>
        </w:tc>
        <w:tc>
          <w:tcPr>
            <w:tcW w:w="588" w:type="dxa"/>
            <w:tcBorders>
              <w:left w:val="single" w:sz="4" w:space="0" w:color="auto"/>
              <w:right w:val="single" w:sz="4" w:space="0" w:color="auto"/>
            </w:tcBorders>
            <w:shd w:val="clear" w:color="auto" w:fill="auto"/>
            <w:vAlign w:val="bottom"/>
          </w:tcPr>
          <w:p w14:paraId="1F72BC53"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13</w:t>
            </w:r>
          </w:p>
        </w:tc>
        <w:tc>
          <w:tcPr>
            <w:tcW w:w="588" w:type="dxa"/>
            <w:tcBorders>
              <w:left w:val="single" w:sz="4" w:space="0" w:color="auto"/>
              <w:right w:val="single" w:sz="4" w:space="0" w:color="auto"/>
            </w:tcBorders>
            <w:shd w:val="clear" w:color="auto" w:fill="auto"/>
            <w:vAlign w:val="bottom"/>
          </w:tcPr>
          <w:p w14:paraId="0FAF8AFB"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5</w:t>
            </w:r>
          </w:p>
        </w:tc>
        <w:tc>
          <w:tcPr>
            <w:tcW w:w="652" w:type="dxa"/>
            <w:tcBorders>
              <w:left w:val="single" w:sz="4" w:space="0" w:color="auto"/>
              <w:right w:val="single" w:sz="4" w:space="0" w:color="auto"/>
            </w:tcBorders>
            <w:shd w:val="clear" w:color="auto" w:fill="auto"/>
            <w:vAlign w:val="bottom"/>
          </w:tcPr>
          <w:p w14:paraId="5C7375F4"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2</w:t>
            </w:r>
          </w:p>
        </w:tc>
        <w:tc>
          <w:tcPr>
            <w:tcW w:w="635" w:type="dxa"/>
            <w:tcBorders>
              <w:left w:val="single" w:sz="4" w:space="0" w:color="auto"/>
              <w:right w:val="single" w:sz="4" w:space="0" w:color="auto"/>
            </w:tcBorders>
            <w:shd w:val="clear" w:color="auto" w:fill="auto"/>
            <w:vAlign w:val="bottom"/>
          </w:tcPr>
          <w:p w14:paraId="54810960"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4</w:t>
            </w:r>
          </w:p>
        </w:tc>
        <w:tc>
          <w:tcPr>
            <w:tcW w:w="630" w:type="dxa"/>
            <w:tcBorders>
              <w:left w:val="single" w:sz="4" w:space="0" w:color="auto"/>
              <w:right w:val="single" w:sz="4" w:space="0" w:color="auto"/>
            </w:tcBorders>
            <w:shd w:val="clear" w:color="auto" w:fill="auto"/>
            <w:vAlign w:val="bottom"/>
          </w:tcPr>
          <w:p w14:paraId="75518BC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124</w:t>
            </w:r>
          </w:p>
        </w:tc>
        <w:tc>
          <w:tcPr>
            <w:tcW w:w="528" w:type="dxa"/>
            <w:tcBorders>
              <w:left w:val="single" w:sz="4" w:space="0" w:color="auto"/>
              <w:right w:val="single" w:sz="4" w:space="0" w:color="auto"/>
            </w:tcBorders>
            <w:shd w:val="clear" w:color="auto" w:fill="auto"/>
            <w:vAlign w:val="bottom"/>
          </w:tcPr>
          <w:p w14:paraId="546B49D2"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w:t>
            </w:r>
          </w:p>
        </w:tc>
        <w:tc>
          <w:tcPr>
            <w:tcW w:w="593" w:type="dxa"/>
            <w:tcBorders>
              <w:left w:val="single" w:sz="4" w:space="0" w:color="auto"/>
              <w:right w:val="single" w:sz="4" w:space="0" w:color="auto"/>
            </w:tcBorders>
            <w:shd w:val="clear" w:color="auto" w:fill="auto"/>
            <w:vAlign w:val="bottom"/>
          </w:tcPr>
          <w:p w14:paraId="32FBEDE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c>
          <w:tcPr>
            <w:tcW w:w="574" w:type="dxa"/>
            <w:tcBorders>
              <w:left w:val="single" w:sz="4" w:space="0" w:color="auto"/>
              <w:right w:val="single" w:sz="4" w:space="0" w:color="auto"/>
            </w:tcBorders>
            <w:shd w:val="clear" w:color="auto" w:fill="auto"/>
            <w:vAlign w:val="bottom"/>
          </w:tcPr>
          <w:p w14:paraId="05E2B759"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w:t>
            </w:r>
          </w:p>
        </w:tc>
        <w:tc>
          <w:tcPr>
            <w:tcW w:w="528" w:type="dxa"/>
            <w:tcBorders>
              <w:left w:val="single" w:sz="4" w:space="0" w:color="auto"/>
              <w:right w:val="single" w:sz="4" w:space="0" w:color="auto"/>
            </w:tcBorders>
            <w:shd w:val="clear" w:color="auto" w:fill="auto"/>
            <w:vAlign w:val="bottom"/>
          </w:tcPr>
          <w:p w14:paraId="65A0918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w:t>
            </w:r>
          </w:p>
        </w:tc>
      </w:tr>
      <w:tr w:rsidR="00EF4A2D" w:rsidRPr="00EF4A2D" w14:paraId="66E0F6E4" w14:textId="77777777" w:rsidTr="00B9606F">
        <w:trPr>
          <w:jc w:val="center"/>
        </w:trPr>
        <w:tc>
          <w:tcPr>
            <w:tcW w:w="3100" w:type="dxa"/>
            <w:tcBorders>
              <w:left w:val="single" w:sz="4" w:space="0" w:color="auto"/>
              <w:right w:val="single" w:sz="4" w:space="0" w:color="auto"/>
            </w:tcBorders>
            <w:shd w:val="clear" w:color="auto" w:fill="auto"/>
          </w:tcPr>
          <w:p w14:paraId="7F1CF7CF" w14:textId="77777777" w:rsidR="00EF4A2D" w:rsidRPr="00EF4A2D" w:rsidRDefault="00EF4A2D" w:rsidP="004D07F1">
            <w:pPr>
              <w:ind w:left="284"/>
              <w:rPr>
                <w:rFonts w:eastAsia="Calibri"/>
                <w:sz w:val="14"/>
                <w:szCs w:val="14"/>
                <w:lang w:eastAsia="en-US"/>
              </w:rPr>
            </w:pPr>
            <w:r w:rsidRPr="00EF4A2D">
              <w:rPr>
                <w:rFonts w:eastAsia="Calibri"/>
                <w:sz w:val="14"/>
                <w:szCs w:val="14"/>
                <w:lang w:eastAsia="en-US"/>
              </w:rPr>
              <w:t>Singapur</w:t>
            </w:r>
          </w:p>
        </w:tc>
        <w:tc>
          <w:tcPr>
            <w:tcW w:w="667" w:type="dxa"/>
            <w:tcBorders>
              <w:left w:val="single" w:sz="4" w:space="0" w:color="auto"/>
              <w:right w:val="single" w:sz="4" w:space="0" w:color="auto"/>
            </w:tcBorders>
            <w:shd w:val="clear" w:color="auto" w:fill="auto"/>
            <w:vAlign w:val="bottom"/>
          </w:tcPr>
          <w:p w14:paraId="155BCE1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133</w:t>
            </w:r>
          </w:p>
        </w:tc>
        <w:tc>
          <w:tcPr>
            <w:tcW w:w="588" w:type="dxa"/>
            <w:tcBorders>
              <w:left w:val="single" w:sz="4" w:space="0" w:color="auto"/>
              <w:right w:val="single" w:sz="4" w:space="0" w:color="auto"/>
            </w:tcBorders>
            <w:shd w:val="clear" w:color="auto" w:fill="auto"/>
            <w:vAlign w:val="bottom"/>
          </w:tcPr>
          <w:p w14:paraId="7DFF0992"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12</w:t>
            </w:r>
          </w:p>
        </w:tc>
        <w:tc>
          <w:tcPr>
            <w:tcW w:w="588" w:type="dxa"/>
            <w:tcBorders>
              <w:left w:val="single" w:sz="4" w:space="0" w:color="auto"/>
              <w:right w:val="single" w:sz="4" w:space="0" w:color="auto"/>
            </w:tcBorders>
            <w:shd w:val="clear" w:color="auto" w:fill="auto"/>
            <w:vAlign w:val="bottom"/>
          </w:tcPr>
          <w:p w14:paraId="3C1F1A7A"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7</w:t>
            </w:r>
          </w:p>
        </w:tc>
        <w:tc>
          <w:tcPr>
            <w:tcW w:w="652" w:type="dxa"/>
            <w:tcBorders>
              <w:left w:val="single" w:sz="4" w:space="0" w:color="auto"/>
              <w:right w:val="single" w:sz="4" w:space="0" w:color="auto"/>
            </w:tcBorders>
            <w:shd w:val="clear" w:color="auto" w:fill="auto"/>
            <w:vAlign w:val="bottom"/>
          </w:tcPr>
          <w:p w14:paraId="10479EA7"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4</w:t>
            </w:r>
          </w:p>
        </w:tc>
        <w:tc>
          <w:tcPr>
            <w:tcW w:w="635" w:type="dxa"/>
            <w:tcBorders>
              <w:left w:val="single" w:sz="4" w:space="0" w:color="auto"/>
              <w:right w:val="single" w:sz="4" w:space="0" w:color="auto"/>
            </w:tcBorders>
            <w:shd w:val="clear" w:color="auto" w:fill="auto"/>
            <w:vAlign w:val="bottom"/>
          </w:tcPr>
          <w:p w14:paraId="269E2876"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2</w:t>
            </w:r>
          </w:p>
        </w:tc>
        <w:tc>
          <w:tcPr>
            <w:tcW w:w="630" w:type="dxa"/>
            <w:tcBorders>
              <w:left w:val="single" w:sz="4" w:space="0" w:color="auto"/>
              <w:right w:val="single" w:sz="4" w:space="0" w:color="auto"/>
            </w:tcBorders>
            <w:shd w:val="clear" w:color="auto" w:fill="auto"/>
            <w:vAlign w:val="bottom"/>
          </w:tcPr>
          <w:p w14:paraId="1C830EC3"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130</w:t>
            </w:r>
          </w:p>
        </w:tc>
        <w:tc>
          <w:tcPr>
            <w:tcW w:w="528" w:type="dxa"/>
            <w:tcBorders>
              <w:left w:val="single" w:sz="4" w:space="0" w:color="auto"/>
              <w:right w:val="single" w:sz="4" w:space="0" w:color="auto"/>
            </w:tcBorders>
            <w:shd w:val="clear" w:color="auto" w:fill="auto"/>
            <w:vAlign w:val="bottom"/>
          </w:tcPr>
          <w:p w14:paraId="6ADA04C9"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10</w:t>
            </w:r>
          </w:p>
        </w:tc>
        <w:tc>
          <w:tcPr>
            <w:tcW w:w="593" w:type="dxa"/>
            <w:tcBorders>
              <w:left w:val="single" w:sz="4" w:space="0" w:color="auto"/>
              <w:right w:val="single" w:sz="4" w:space="0" w:color="auto"/>
            </w:tcBorders>
            <w:shd w:val="clear" w:color="auto" w:fill="auto"/>
            <w:vAlign w:val="bottom"/>
          </w:tcPr>
          <w:p w14:paraId="48F68AD4"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9</w:t>
            </w:r>
          </w:p>
        </w:tc>
        <w:tc>
          <w:tcPr>
            <w:tcW w:w="574" w:type="dxa"/>
            <w:tcBorders>
              <w:left w:val="single" w:sz="4" w:space="0" w:color="auto"/>
              <w:right w:val="single" w:sz="4" w:space="0" w:color="auto"/>
            </w:tcBorders>
            <w:shd w:val="clear" w:color="auto" w:fill="auto"/>
            <w:vAlign w:val="bottom"/>
          </w:tcPr>
          <w:p w14:paraId="3538D1F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c>
          <w:tcPr>
            <w:tcW w:w="528" w:type="dxa"/>
            <w:tcBorders>
              <w:left w:val="single" w:sz="4" w:space="0" w:color="auto"/>
              <w:right w:val="single" w:sz="4" w:space="0" w:color="auto"/>
            </w:tcBorders>
            <w:shd w:val="clear" w:color="auto" w:fill="auto"/>
            <w:vAlign w:val="bottom"/>
          </w:tcPr>
          <w:p w14:paraId="5FDAC5B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0</w:t>
            </w:r>
          </w:p>
        </w:tc>
      </w:tr>
      <w:tr w:rsidR="00EF4A2D" w:rsidRPr="00EF4A2D" w14:paraId="3342A348" w14:textId="77777777" w:rsidTr="00B9606F">
        <w:trPr>
          <w:jc w:val="center"/>
        </w:trPr>
        <w:tc>
          <w:tcPr>
            <w:tcW w:w="3100" w:type="dxa"/>
            <w:tcBorders>
              <w:left w:val="single" w:sz="4" w:space="0" w:color="auto"/>
              <w:right w:val="single" w:sz="4" w:space="0" w:color="auto"/>
            </w:tcBorders>
            <w:shd w:val="clear" w:color="auto" w:fill="auto"/>
          </w:tcPr>
          <w:p w14:paraId="5F6C861B" w14:textId="77777777" w:rsidR="00EF4A2D" w:rsidRPr="00EF4A2D" w:rsidRDefault="00EF4A2D" w:rsidP="004D07F1">
            <w:pPr>
              <w:ind w:left="284"/>
              <w:rPr>
                <w:rFonts w:eastAsia="Calibri"/>
                <w:sz w:val="14"/>
                <w:szCs w:val="14"/>
                <w:lang w:eastAsia="en-US"/>
              </w:rPr>
            </w:pPr>
            <w:r w:rsidRPr="00EF4A2D">
              <w:rPr>
                <w:rFonts w:eastAsia="Calibri"/>
                <w:sz w:val="14"/>
                <w:szCs w:val="14"/>
                <w:lang w:eastAsia="en-US"/>
              </w:rPr>
              <w:t>Corea, República de</w:t>
            </w:r>
          </w:p>
        </w:tc>
        <w:tc>
          <w:tcPr>
            <w:tcW w:w="667" w:type="dxa"/>
            <w:tcBorders>
              <w:left w:val="single" w:sz="4" w:space="0" w:color="auto"/>
              <w:right w:val="single" w:sz="4" w:space="0" w:color="auto"/>
            </w:tcBorders>
            <w:shd w:val="clear" w:color="auto" w:fill="auto"/>
            <w:vAlign w:val="bottom"/>
          </w:tcPr>
          <w:p w14:paraId="6161AE9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106</w:t>
            </w:r>
          </w:p>
        </w:tc>
        <w:tc>
          <w:tcPr>
            <w:tcW w:w="588" w:type="dxa"/>
            <w:tcBorders>
              <w:left w:val="single" w:sz="4" w:space="0" w:color="auto"/>
              <w:right w:val="single" w:sz="4" w:space="0" w:color="auto"/>
            </w:tcBorders>
            <w:shd w:val="clear" w:color="auto" w:fill="auto"/>
            <w:vAlign w:val="bottom"/>
          </w:tcPr>
          <w:p w14:paraId="7B74EA6A"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9</w:t>
            </w:r>
          </w:p>
        </w:tc>
        <w:tc>
          <w:tcPr>
            <w:tcW w:w="588" w:type="dxa"/>
            <w:tcBorders>
              <w:left w:val="single" w:sz="4" w:space="0" w:color="auto"/>
              <w:right w:val="single" w:sz="4" w:space="0" w:color="auto"/>
            </w:tcBorders>
            <w:shd w:val="clear" w:color="auto" w:fill="auto"/>
            <w:vAlign w:val="bottom"/>
          </w:tcPr>
          <w:p w14:paraId="4F51F0D9"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14</w:t>
            </w:r>
          </w:p>
        </w:tc>
        <w:tc>
          <w:tcPr>
            <w:tcW w:w="652" w:type="dxa"/>
            <w:tcBorders>
              <w:left w:val="single" w:sz="4" w:space="0" w:color="auto"/>
              <w:right w:val="single" w:sz="4" w:space="0" w:color="auto"/>
            </w:tcBorders>
            <w:shd w:val="clear" w:color="auto" w:fill="auto"/>
            <w:vAlign w:val="bottom"/>
          </w:tcPr>
          <w:p w14:paraId="159196EB"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0</w:t>
            </w:r>
          </w:p>
        </w:tc>
        <w:tc>
          <w:tcPr>
            <w:tcW w:w="635" w:type="dxa"/>
            <w:tcBorders>
              <w:left w:val="single" w:sz="4" w:space="0" w:color="auto"/>
              <w:right w:val="single" w:sz="4" w:space="0" w:color="auto"/>
            </w:tcBorders>
            <w:shd w:val="clear" w:color="auto" w:fill="auto"/>
            <w:vAlign w:val="bottom"/>
          </w:tcPr>
          <w:p w14:paraId="0D575FEF"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3</w:t>
            </w:r>
          </w:p>
        </w:tc>
        <w:tc>
          <w:tcPr>
            <w:tcW w:w="630" w:type="dxa"/>
            <w:tcBorders>
              <w:left w:val="single" w:sz="4" w:space="0" w:color="auto"/>
              <w:right w:val="single" w:sz="4" w:space="0" w:color="auto"/>
            </w:tcBorders>
            <w:shd w:val="clear" w:color="auto" w:fill="auto"/>
            <w:vAlign w:val="bottom"/>
          </w:tcPr>
          <w:p w14:paraId="6C080DE4"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114</w:t>
            </w:r>
          </w:p>
        </w:tc>
        <w:tc>
          <w:tcPr>
            <w:tcW w:w="528" w:type="dxa"/>
            <w:tcBorders>
              <w:left w:val="single" w:sz="4" w:space="0" w:color="auto"/>
              <w:right w:val="single" w:sz="4" w:space="0" w:color="auto"/>
            </w:tcBorders>
            <w:shd w:val="clear" w:color="auto" w:fill="auto"/>
            <w:vAlign w:val="bottom"/>
          </w:tcPr>
          <w:p w14:paraId="0C09DB44"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8</w:t>
            </w:r>
          </w:p>
        </w:tc>
        <w:tc>
          <w:tcPr>
            <w:tcW w:w="593" w:type="dxa"/>
            <w:tcBorders>
              <w:left w:val="single" w:sz="4" w:space="0" w:color="auto"/>
              <w:right w:val="single" w:sz="4" w:space="0" w:color="auto"/>
            </w:tcBorders>
            <w:shd w:val="clear" w:color="auto" w:fill="auto"/>
            <w:vAlign w:val="bottom"/>
          </w:tcPr>
          <w:p w14:paraId="712D87D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w:t>
            </w:r>
          </w:p>
        </w:tc>
        <w:tc>
          <w:tcPr>
            <w:tcW w:w="574" w:type="dxa"/>
            <w:tcBorders>
              <w:left w:val="single" w:sz="4" w:space="0" w:color="auto"/>
              <w:right w:val="single" w:sz="4" w:space="0" w:color="auto"/>
            </w:tcBorders>
            <w:shd w:val="clear" w:color="auto" w:fill="auto"/>
            <w:vAlign w:val="bottom"/>
          </w:tcPr>
          <w:p w14:paraId="7AC1D9B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w:t>
            </w:r>
          </w:p>
        </w:tc>
        <w:tc>
          <w:tcPr>
            <w:tcW w:w="528" w:type="dxa"/>
            <w:tcBorders>
              <w:left w:val="single" w:sz="4" w:space="0" w:color="auto"/>
              <w:right w:val="single" w:sz="4" w:space="0" w:color="auto"/>
            </w:tcBorders>
            <w:shd w:val="clear" w:color="auto" w:fill="auto"/>
            <w:vAlign w:val="bottom"/>
          </w:tcPr>
          <w:p w14:paraId="79C91BF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r>
      <w:tr w:rsidR="00EF4A2D" w:rsidRPr="00EF4A2D" w14:paraId="072CECA8" w14:textId="77777777" w:rsidTr="00B9606F">
        <w:trPr>
          <w:jc w:val="center"/>
        </w:trPr>
        <w:tc>
          <w:tcPr>
            <w:tcW w:w="3100" w:type="dxa"/>
            <w:tcBorders>
              <w:left w:val="single" w:sz="4" w:space="0" w:color="auto"/>
              <w:right w:val="single" w:sz="4" w:space="0" w:color="auto"/>
            </w:tcBorders>
            <w:shd w:val="clear" w:color="auto" w:fill="auto"/>
          </w:tcPr>
          <w:p w14:paraId="1E7EBED3" w14:textId="77777777" w:rsidR="00EF4A2D" w:rsidRPr="00EF4A2D" w:rsidRDefault="00EF4A2D" w:rsidP="004D07F1">
            <w:pPr>
              <w:ind w:left="284"/>
              <w:rPr>
                <w:rFonts w:eastAsia="Calibri"/>
                <w:sz w:val="14"/>
                <w:szCs w:val="14"/>
                <w:lang w:eastAsia="en-US"/>
              </w:rPr>
            </w:pPr>
            <w:r w:rsidRPr="00EF4A2D">
              <w:rPr>
                <w:rFonts w:eastAsia="Calibri"/>
                <w:sz w:val="14"/>
                <w:szCs w:val="14"/>
                <w:lang w:eastAsia="en-US"/>
              </w:rPr>
              <w:t>Hong Kong, China</w:t>
            </w:r>
          </w:p>
        </w:tc>
        <w:tc>
          <w:tcPr>
            <w:tcW w:w="667" w:type="dxa"/>
            <w:tcBorders>
              <w:left w:val="single" w:sz="4" w:space="0" w:color="auto"/>
              <w:right w:val="single" w:sz="4" w:space="0" w:color="auto"/>
            </w:tcBorders>
            <w:shd w:val="clear" w:color="auto" w:fill="auto"/>
            <w:vAlign w:val="bottom"/>
          </w:tcPr>
          <w:p w14:paraId="7F6B6AE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107</w:t>
            </w:r>
          </w:p>
        </w:tc>
        <w:tc>
          <w:tcPr>
            <w:tcW w:w="588" w:type="dxa"/>
            <w:tcBorders>
              <w:left w:val="single" w:sz="4" w:space="0" w:color="auto"/>
              <w:right w:val="single" w:sz="4" w:space="0" w:color="auto"/>
            </w:tcBorders>
            <w:shd w:val="clear" w:color="auto" w:fill="auto"/>
            <w:vAlign w:val="bottom"/>
          </w:tcPr>
          <w:p w14:paraId="56F23B33"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9</w:t>
            </w:r>
          </w:p>
        </w:tc>
        <w:tc>
          <w:tcPr>
            <w:tcW w:w="588" w:type="dxa"/>
            <w:tcBorders>
              <w:left w:val="single" w:sz="4" w:space="0" w:color="auto"/>
              <w:right w:val="single" w:sz="4" w:space="0" w:color="auto"/>
            </w:tcBorders>
            <w:shd w:val="clear" w:color="auto" w:fill="auto"/>
            <w:vAlign w:val="bottom"/>
          </w:tcPr>
          <w:p w14:paraId="25D5EE6B"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8</w:t>
            </w:r>
          </w:p>
        </w:tc>
        <w:tc>
          <w:tcPr>
            <w:tcW w:w="652" w:type="dxa"/>
            <w:tcBorders>
              <w:left w:val="single" w:sz="4" w:space="0" w:color="auto"/>
              <w:right w:val="single" w:sz="4" w:space="0" w:color="auto"/>
            </w:tcBorders>
            <w:shd w:val="clear" w:color="auto" w:fill="auto"/>
            <w:vAlign w:val="bottom"/>
          </w:tcPr>
          <w:p w14:paraId="1B283F03"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7</w:t>
            </w:r>
          </w:p>
        </w:tc>
        <w:tc>
          <w:tcPr>
            <w:tcW w:w="635" w:type="dxa"/>
            <w:tcBorders>
              <w:left w:val="single" w:sz="4" w:space="0" w:color="auto"/>
              <w:right w:val="single" w:sz="4" w:space="0" w:color="auto"/>
            </w:tcBorders>
            <w:shd w:val="clear" w:color="auto" w:fill="auto"/>
            <w:vAlign w:val="bottom"/>
          </w:tcPr>
          <w:p w14:paraId="72061C25"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2</w:t>
            </w:r>
          </w:p>
        </w:tc>
        <w:tc>
          <w:tcPr>
            <w:tcW w:w="630" w:type="dxa"/>
            <w:tcBorders>
              <w:left w:val="single" w:sz="4" w:space="0" w:color="auto"/>
              <w:right w:val="single" w:sz="4" w:space="0" w:color="auto"/>
            </w:tcBorders>
            <w:shd w:val="clear" w:color="auto" w:fill="auto"/>
            <w:vAlign w:val="bottom"/>
          </w:tcPr>
          <w:p w14:paraId="6F72B146"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78</w:t>
            </w:r>
          </w:p>
        </w:tc>
        <w:tc>
          <w:tcPr>
            <w:tcW w:w="528" w:type="dxa"/>
            <w:tcBorders>
              <w:left w:val="single" w:sz="4" w:space="0" w:color="auto"/>
              <w:right w:val="single" w:sz="4" w:space="0" w:color="auto"/>
            </w:tcBorders>
            <w:shd w:val="clear" w:color="auto" w:fill="auto"/>
            <w:vAlign w:val="bottom"/>
          </w:tcPr>
          <w:p w14:paraId="1E07B1C2"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c>
          <w:tcPr>
            <w:tcW w:w="593" w:type="dxa"/>
            <w:tcBorders>
              <w:left w:val="single" w:sz="4" w:space="0" w:color="auto"/>
              <w:right w:val="single" w:sz="4" w:space="0" w:color="auto"/>
            </w:tcBorders>
            <w:shd w:val="clear" w:color="auto" w:fill="auto"/>
            <w:vAlign w:val="bottom"/>
          </w:tcPr>
          <w:p w14:paraId="283B2589"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w:t>
            </w:r>
          </w:p>
        </w:tc>
        <w:tc>
          <w:tcPr>
            <w:tcW w:w="574" w:type="dxa"/>
            <w:tcBorders>
              <w:left w:val="single" w:sz="4" w:space="0" w:color="auto"/>
              <w:right w:val="single" w:sz="4" w:space="0" w:color="auto"/>
            </w:tcBorders>
            <w:shd w:val="clear" w:color="auto" w:fill="auto"/>
            <w:vAlign w:val="bottom"/>
          </w:tcPr>
          <w:p w14:paraId="001BCC3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0</w:t>
            </w:r>
          </w:p>
        </w:tc>
        <w:tc>
          <w:tcPr>
            <w:tcW w:w="528" w:type="dxa"/>
            <w:tcBorders>
              <w:left w:val="single" w:sz="4" w:space="0" w:color="auto"/>
              <w:right w:val="single" w:sz="4" w:space="0" w:color="auto"/>
            </w:tcBorders>
            <w:shd w:val="clear" w:color="auto" w:fill="auto"/>
            <w:vAlign w:val="bottom"/>
          </w:tcPr>
          <w:p w14:paraId="4577275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w:t>
            </w:r>
          </w:p>
        </w:tc>
      </w:tr>
      <w:tr w:rsidR="00EF4A2D" w:rsidRPr="00EF4A2D" w14:paraId="47D5416E" w14:textId="77777777" w:rsidTr="00B9606F">
        <w:trPr>
          <w:jc w:val="center"/>
        </w:trPr>
        <w:tc>
          <w:tcPr>
            <w:tcW w:w="3100" w:type="dxa"/>
            <w:tcBorders>
              <w:left w:val="single" w:sz="4" w:space="0" w:color="auto"/>
              <w:right w:val="single" w:sz="4" w:space="0" w:color="auto"/>
            </w:tcBorders>
            <w:shd w:val="clear" w:color="auto" w:fill="auto"/>
          </w:tcPr>
          <w:p w14:paraId="617FA5CC" w14:textId="77777777" w:rsidR="00EF4A2D" w:rsidRPr="00EF4A2D" w:rsidRDefault="00EF4A2D" w:rsidP="004D07F1">
            <w:pPr>
              <w:ind w:left="284"/>
              <w:rPr>
                <w:rFonts w:eastAsia="Calibri"/>
                <w:sz w:val="14"/>
                <w:szCs w:val="14"/>
                <w:lang w:eastAsia="en-US"/>
              </w:rPr>
            </w:pPr>
            <w:r w:rsidRPr="00EF4A2D">
              <w:rPr>
                <w:rFonts w:eastAsia="Calibri"/>
                <w:sz w:val="14"/>
                <w:szCs w:val="14"/>
                <w:lang w:eastAsia="en-US"/>
              </w:rPr>
              <w:t>Australia</w:t>
            </w:r>
          </w:p>
        </w:tc>
        <w:tc>
          <w:tcPr>
            <w:tcW w:w="667" w:type="dxa"/>
            <w:tcBorders>
              <w:left w:val="single" w:sz="4" w:space="0" w:color="auto"/>
              <w:right w:val="single" w:sz="4" w:space="0" w:color="auto"/>
            </w:tcBorders>
            <w:shd w:val="clear" w:color="auto" w:fill="auto"/>
            <w:vAlign w:val="bottom"/>
          </w:tcPr>
          <w:p w14:paraId="790868D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52</w:t>
            </w:r>
          </w:p>
        </w:tc>
        <w:tc>
          <w:tcPr>
            <w:tcW w:w="588" w:type="dxa"/>
            <w:tcBorders>
              <w:left w:val="single" w:sz="4" w:space="0" w:color="auto"/>
              <w:right w:val="single" w:sz="4" w:space="0" w:color="auto"/>
            </w:tcBorders>
            <w:shd w:val="clear" w:color="auto" w:fill="auto"/>
            <w:vAlign w:val="bottom"/>
          </w:tcPr>
          <w:p w14:paraId="52ABB363"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6</w:t>
            </w:r>
          </w:p>
        </w:tc>
        <w:tc>
          <w:tcPr>
            <w:tcW w:w="588" w:type="dxa"/>
            <w:tcBorders>
              <w:left w:val="single" w:sz="4" w:space="0" w:color="auto"/>
              <w:right w:val="single" w:sz="4" w:space="0" w:color="auto"/>
            </w:tcBorders>
            <w:shd w:val="clear" w:color="auto" w:fill="auto"/>
            <w:vAlign w:val="bottom"/>
          </w:tcPr>
          <w:p w14:paraId="200DB35C"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3</w:t>
            </w:r>
          </w:p>
        </w:tc>
        <w:tc>
          <w:tcPr>
            <w:tcW w:w="652" w:type="dxa"/>
            <w:tcBorders>
              <w:left w:val="single" w:sz="4" w:space="0" w:color="auto"/>
              <w:right w:val="single" w:sz="4" w:space="0" w:color="auto"/>
            </w:tcBorders>
            <w:shd w:val="clear" w:color="auto" w:fill="auto"/>
            <w:vAlign w:val="bottom"/>
          </w:tcPr>
          <w:p w14:paraId="48A69475"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0</w:t>
            </w:r>
          </w:p>
        </w:tc>
        <w:tc>
          <w:tcPr>
            <w:tcW w:w="635" w:type="dxa"/>
            <w:tcBorders>
              <w:left w:val="single" w:sz="4" w:space="0" w:color="auto"/>
              <w:right w:val="single" w:sz="4" w:space="0" w:color="auto"/>
            </w:tcBorders>
            <w:shd w:val="clear" w:color="auto" w:fill="auto"/>
            <w:vAlign w:val="bottom"/>
          </w:tcPr>
          <w:p w14:paraId="399A23A5" w14:textId="77777777" w:rsidR="00EF4A2D" w:rsidRPr="00EF4A2D" w:rsidRDefault="00EF4A2D" w:rsidP="004D07F1">
            <w:pPr>
              <w:ind w:right="170"/>
              <w:jc w:val="right"/>
              <w:rPr>
                <w:rFonts w:eastAsia="Calibri"/>
                <w:sz w:val="14"/>
                <w:szCs w:val="14"/>
                <w:lang w:eastAsia="en-US"/>
              </w:rPr>
            </w:pPr>
            <w:r w:rsidRPr="00EF4A2D">
              <w:rPr>
                <w:rFonts w:eastAsia="Calibri"/>
                <w:sz w:val="14"/>
                <w:szCs w:val="14"/>
                <w:lang w:eastAsia="en-US"/>
              </w:rPr>
              <w:t>0</w:t>
            </w:r>
          </w:p>
        </w:tc>
        <w:tc>
          <w:tcPr>
            <w:tcW w:w="630" w:type="dxa"/>
            <w:tcBorders>
              <w:left w:val="single" w:sz="4" w:space="0" w:color="auto"/>
              <w:right w:val="single" w:sz="4" w:space="0" w:color="auto"/>
            </w:tcBorders>
            <w:shd w:val="clear" w:color="auto" w:fill="auto"/>
            <w:vAlign w:val="bottom"/>
          </w:tcPr>
          <w:p w14:paraId="6956544B"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62</w:t>
            </w:r>
          </w:p>
        </w:tc>
        <w:tc>
          <w:tcPr>
            <w:tcW w:w="528" w:type="dxa"/>
            <w:tcBorders>
              <w:left w:val="single" w:sz="4" w:space="0" w:color="auto"/>
              <w:right w:val="single" w:sz="4" w:space="0" w:color="auto"/>
            </w:tcBorders>
            <w:shd w:val="clear" w:color="auto" w:fill="auto"/>
            <w:vAlign w:val="bottom"/>
          </w:tcPr>
          <w:p w14:paraId="2FECBBE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8</w:t>
            </w:r>
          </w:p>
        </w:tc>
        <w:tc>
          <w:tcPr>
            <w:tcW w:w="593" w:type="dxa"/>
            <w:tcBorders>
              <w:left w:val="single" w:sz="4" w:space="0" w:color="auto"/>
              <w:right w:val="single" w:sz="4" w:space="0" w:color="auto"/>
            </w:tcBorders>
            <w:shd w:val="clear" w:color="auto" w:fill="auto"/>
            <w:vAlign w:val="bottom"/>
          </w:tcPr>
          <w:p w14:paraId="27F1740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w:t>
            </w:r>
          </w:p>
        </w:tc>
        <w:tc>
          <w:tcPr>
            <w:tcW w:w="574" w:type="dxa"/>
            <w:tcBorders>
              <w:left w:val="single" w:sz="4" w:space="0" w:color="auto"/>
              <w:right w:val="single" w:sz="4" w:space="0" w:color="auto"/>
            </w:tcBorders>
            <w:shd w:val="clear" w:color="auto" w:fill="auto"/>
            <w:vAlign w:val="bottom"/>
          </w:tcPr>
          <w:p w14:paraId="74FCBB41"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w:t>
            </w:r>
          </w:p>
        </w:tc>
        <w:tc>
          <w:tcPr>
            <w:tcW w:w="528" w:type="dxa"/>
            <w:tcBorders>
              <w:left w:val="single" w:sz="4" w:space="0" w:color="auto"/>
              <w:right w:val="single" w:sz="4" w:space="0" w:color="auto"/>
            </w:tcBorders>
            <w:shd w:val="clear" w:color="auto" w:fill="auto"/>
            <w:vAlign w:val="bottom"/>
          </w:tcPr>
          <w:p w14:paraId="1EA8ABD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-7</w:t>
            </w:r>
          </w:p>
        </w:tc>
      </w:tr>
      <w:tr w:rsidR="00EF4A2D" w:rsidRPr="00EF4A2D" w14:paraId="17E1180E" w14:textId="77777777" w:rsidTr="00B9606F">
        <w:trPr>
          <w:jc w:val="center"/>
        </w:trPr>
        <w:tc>
          <w:tcPr>
            <w:tcW w:w="3100" w:type="dxa"/>
            <w:tcBorders>
              <w:left w:val="single" w:sz="4" w:space="0" w:color="auto"/>
              <w:right w:val="single" w:sz="4" w:space="0" w:color="auto"/>
            </w:tcBorders>
            <w:shd w:val="clear" w:color="auto" w:fill="auto"/>
          </w:tcPr>
          <w:p w14:paraId="5B3BE922"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Pro memoria</w:t>
            </w:r>
          </w:p>
        </w:tc>
        <w:tc>
          <w:tcPr>
            <w:tcW w:w="667" w:type="dxa"/>
            <w:tcBorders>
              <w:left w:val="single" w:sz="4" w:space="0" w:color="auto"/>
              <w:right w:val="single" w:sz="4" w:space="0" w:color="auto"/>
            </w:tcBorders>
            <w:shd w:val="clear" w:color="auto" w:fill="auto"/>
            <w:vAlign w:val="bottom"/>
          </w:tcPr>
          <w:p w14:paraId="246BA4D4" w14:textId="77777777" w:rsidR="00EF4A2D" w:rsidRPr="00EF4A2D" w:rsidRDefault="00EF4A2D" w:rsidP="004D07F1">
            <w:pPr>
              <w:ind w:right="57"/>
              <w:jc w:val="right"/>
              <w:rPr>
                <w:rFonts w:eastAsia="Calibri"/>
                <w:b/>
                <w:sz w:val="14"/>
                <w:szCs w:val="14"/>
                <w:lang w:eastAsia="en-US"/>
              </w:rPr>
            </w:pPr>
          </w:p>
        </w:tc>
        <w:tc>
          <w:tcPr>
            <w:tcW w:w="588" w:type="dxa"/>
            <w:tcBorders>
              <w:left w:val="single" w:sz="4" w:space="0" w:color="auto"/>
              <w:right w:val="single" w:sz="4" w:space="0" w:color="auto"/>
            </w:tcBorders>
            <w:shd w:val="clear" w:color="auto" w:fill="auto"/>
            <w:vAlign w:val="bottom"/>
          </w:tcPr>
          <w:p w14:paraId="509F2CEF" w14:textId="77777777" w:rsidR="00EF4A2D" w:rsidRPr="00EF4A2D" w:rsidRDefault="00EF4A2D" w:rsidP="004D07F1">
            <w:pPr>
              <w:ind w:right="113"/>
              <w:jc w:val="right"/>
              <w:rPr>
                <w:rFonts w:eastAsia="Calibri"/>
                <w:b/>
                <w:sz w:val="14"/>
                <w:szCs w:val="14"/>
                <w:lang w:eastAsia="en-US"/>
              </w:rPr>
            </w:pPr>
          </w:p>
        </w:tc>
        <w:tc>
          <w:tcPr>
            <w:tcW w:w="588" w:type="dxa"/>
            <w:tcBorders>
              <w:left w:val="single" w:sz="4" w:space="0" w:color="auto"/>
              <w:right w:val="single" w:sz="4" w:space="0" w:color="auto"/>
            </w:tcBorders>
            <w:shd w:val="clear" w:color="auto" w:fill="auto"/>
            <w:vAlign w:val="bottom"/>
          </w:tcPr>
          <w:p w14:paraId="058BB773" w14:textId="77777777" w:rsidR="00EF4A2D" w:rsidRPr="00EF4A2D" w:rsidRDefault="00EF4A2D" w:rsidP="004D07F1">
            <w:pPr>
              <w:ind w:right="113"/>
              <w:jc w:val="right"/>
              <w:rPr>
                <w:rFonts w:eastAsia="Calibri"/>
                <w:b/>
                <w:sz w:val="14"/>
                <w:szCs w:val="14"/>
                <w:lang w:eastAsia="en-US"/>
              </w:rPr>
            </w:pPr>
          </w:p>
        </w:tc>
        <w:tc>
          <w:tcPr>
            <w:tcW w:w="652" w:type="dxa"/>
            <w:tcBorders>
              <w:left w:val="single" w:sz="4" w:space="0" w:color="auto"/>
              <w:right w:val="single" w:sz="4" w:space="0" w:color="auto"/>
            </w:tcBorders>
            <w:shd w:val="clear" w:color="auto" w:fill="auto"/>
            <w:vAlign w:val="bottom"/>
          </w:tcPr>
          <w:p w14:paraId="5C097C76" w14:textId="77777777" w:rsidR="00EF4A2D" w:rsidRPr="00EF4A2D" w:rsidRDefault="00EF4A2D" w:rsidP="004D07F1">
            <w:pPr>
              <w:ind w:right="113"/>
              <w:jc w:val="right"/>
              <w:rPr>
                <w:rFonts w:eastAsia="Calibri"/>
                <w:b/>
                <w:sz w:val="14"/>
                <w:szCs w:val="14"/>
                <w:lang w:eastAsia="en-US"/>
              </w:rPr>
            </w:pPr>
          </w:p>
        </w:tc>
        <w:tc>
          <w:tcPr>
            <w:tcW w:w="635" w:type="dxa"/>
            <w:tcBorders>
              <w:left w:val="single" w:sz="4" w:space="0" w:color="auto"/>
              <w:right w:val="single" w:sz="4" w:space="0" w:color="auto"/>
            </w:tcBorders>
            <w:shd w:val="clear" w:color="auto" w:fill="auto"/>
            <w:vAlign w:val="bottom"/>
          </w:tcPr>
          <w:p w14:paraId="72F891DB" w14:textId="77777777" w:rsidR="00EF4A2D" w:rsidRPr="00EF4A2D" w:rsidRDefault="00EF4A2D" w:rsidP="004D07F1">
            <w:pPr>
              <w:ind w:right="170"/>
              <w:jc w:val="right"/>
              <w:rPr>
                <w:rFonts w:eastAsia="Calibri"/>
                <w:b/>
                <w:sz w:val="14"/>
                <w:szCs w:val="14"/>
                <w:lang w:eastAsia="en-US"/>
              </w:rPr>
            </w:pPr>
          </w:p>
        </w:tc>
        <w:tc>
          <w:tcPr>
            <w:tcW w:w="630" w:type="dxa"/>
            <w:tcBorders>
              <w:left w:val="single" w:sz="4" w:space="0" w:color="auto"/>
              <w:right w:val="single" w:sz="4" w:space="0" w:color="auto"/>
            </w:tcBorders>
            <w:shd w:val="clear" w:color="auto" w:fill="auto"/>
            <w:vAlign w:val="bottom"/>
          </w:tcPr>
          <w:p w14:paraId="45007A57" w14:textId="77777777" w:rsidR="00EF4A2D" w:rsidRPr="00EF4A2D" w:rsidRDefault="00EF4A2D" w:rsidP="004D07F1">
            <w:pPr>
              <w:jc w:val="right"/>
              <w:rPr>
                <w:rFonts w:eastAsia="Calibri"/>
                <w:b/>
                <w:sz w:val="14"/>
                <w:szCs w:val="14"/>
                <w:lang w:eastAsia="en-US"/>
              </w:rPr>
            </w:pPr>
          </w:p>
        </w:tc>
        <w:tc>
          <w:tcPr>
            <w:tcW w:w="528" w:type="dxa"/>
            <w:tcBorders>
              <w:left w:val="single" w:sz="4" w:space="0" w:color="auto"/>
              <w:right w:val="single" w:sz="4" w:space="0" w:color="auto"/>
            </w:tcBorders>
            <w:shd w:val="clear" w:color="auto" w:fill="auto"/>
            <w:vAlign w:val="bottom"/>
          </w:tcPr>
          <w:p w14:paraId="3E623824" w14:textId="77777777" w:rsidR="00EF4A2D" w:rsidRPr="00EF4A2D" w:rsidRDefault="00EF4A2D" w:rsidP="004D07F1">
            <w:pPr>
              <w:ind w:right="57"/>
              <w:jc w:val="right"/>
              <w:rPr>
                <w:rFonts w:eastAsia="Calibri"/>
                <w:b/>
                <w:sz w:val="14"/>
                <w:szCs w:val="14"/>
                <w:lang w:eastAsia="en-US"/>
              </w:rPr>
            </w:pPr>
          </w:p>
        </w:tc>
        <w:tc>
          <w:tcPr>
            <w:tcW w:w="593" w:type="dxa"/>
            <w:tcBorders>
              <w:left w:val="single" w:sz="4" w:space="0" w:color="auto"/>
              <w:right w:val="single" w:sz="4" w:space="0" w:color="auto"/>
            </w:tcBorders>
            <w:shd w:val="clear" w:color="auto" w:fill="auto"/>
            <w:vAlign w:val="bottom"/>
          </w:tcPr>
          <w:p w14:paraId="5910A36E" w14:textId="77777777" w:rsidR="00EF4A2D" w:rsidRPr="00EF4A2D" w:rsidRDefault="00EF4A2D" w:rsidP="004D07F1">
            <w:pPr>
              <w:ind w:right="57"/>
              <w:jc w:val="right"/>
              <w:rPr>
                <w:rFonts w:eastAsia="Calibri"/>
                <w:b/>
                <w:sz w:val="14"/>
                <w:szCs w:val="14"/>
                <w:lang w:eastAsia="en-US"/>
              </w:rPr>
            </w:pPr>
          </w:p>
        </w:tc>
        <w:tc>
          <w:tcPr>
            <w:tcW w:w="574" w:type="dxa"/>
            <w:tcBorders>
              <w:left w:val="single" w:sz="4" w:space="0" w:color="auto"/>
              <w:right w:val="single" w:sz="4" w:space="0" w:color="auto"/>
            </w:tcBorders>
            <w:shd w:val="clear" w:color="auto" w:fill="auto"/>
            <w:vAlign w:val="bottom"/>
          </w:tcPr>
          <w:p w14:paraId="6E5A9171" w14:textId="77777777" w:rsidR="00EF4A2D" w:rsidRPr="00EF4A2D" w:rsidRDefault="00EF4A2D" w:rsidP="004D07F1">
            <w:pPr>
              <w:ind w:right="57"/>
              <w:jc w:val="right"/>
              <w:rPr>
                <w:rFonts w:eastAsia="Calibri"/>
                <w:b/>
                <w:sz w:val="14"/>
                <w:szCs w:val="14"/>
                <w:lang w:eastAsia="en-US"/>
              </w:rPr>
            </w:pPr>
          </w:p>
        </w:tc>
        <w:tc>
          <w:tcPr>
            <w:tcW w:w="528" w:type="dxa"/>
            <w:tcBorders>
              <w:left w:val="single" w:sz="4" w:space="0" w:color="auto"/>
              <w:right w:val="single" w:sz="4" w:space="0" w:color="auto"/>
            </w:tcBorders>
            <w:shd w:val="clear" w:color="auto" w:fill="auto"/>
            <w:vAlign w:val="bottom"/>
          </w:tcPr>
          <w:p w14:paraId="238A9E21" w14:textId="77777777" w:rsidR="00EF4A2D" w:rsidRPr="00EF4A2D" w:rsidRDefault="00EF4A2D" w:rsidP="004D07F1">
            <w:pPr>
              <w:ind w:right="57"/>
              <w:jc w:val="right"/>
              <w:rPr>
                <w:rFonts w:eastAsia="Calibri"/>
                <w:b/>
                <w:sz w:val="14"/>
                <w:szCs w:val="14"/>
                <w:lang w:eastAsia="en-US"/>
              </w:rPr>
            </w:pPr>
          </w:p>
        </w:tc>
      </w:tr>
      <w:tr w:rsidR="00EF4A2D" w:rsidRPr="00EF4A2D" w14:paraId="16D6A858" w14:textId="77777777" w:rsidTr="00B9606F">
        <w:trPr>
          <w:jc w:val="center"/>
        </w:trPr>
        <w:tc>
          <w:tcPr>
            <w:tcW w:w="3100" w:type="dxa"/>
            <w:tcBorders>
              <w:left w:val="single" w:sz="4" w:space="0" w:color="auto"/>
              <w:right w:val="single" w:sz="4" w:space="0" w:color="auto"/>
            </w:tcBorders>
          </w:tcPr>
          <w:p w14:paraId="3164902D" w14:textId="77777777" w:rsidR="00EF4A2D" w:rsidRPr="00EF4A2D" w:rsidRDefault="00EF4A2D" w:rsidP="004D07F1">
            <w:pPr>
              <w:ind w:left="284"/>
              <w:rPr>
                <w:rFonts w:eastAsia="Calibri"/>
                <w:sz w:val="14"/>
                <w:szCs w:val="14"/>
                <w:lang w:eastAsia="en-US"/>
              </w:rPr>
            </w:pPr>
            <w:r w:rsidRPr="00EF4A2D">
              <w:rPr>
                <w:rFonts w:eastAsia="Calibri"/>
                <w:sz w:val="14"/>
                <w:szCs w:val="14"/>
                <w:lang w:eastAsia="en-US"/>
              </w:rPr>
              <w:t>UE(28) Comercio extracomunitario</w:t>
            </w:r>
          </w:p>
        </w:tc>
        <w:tc>
          <w:tcPr>
            <w:tcW w:w="667" w:type="dxa"/>
            <w:tcBorders>
              <w:left w:val="single" w:sz="4" w:space="0" w:color="auto"/>
              <w:right w:val="single" w:sz="4" w:space="0" w:color="auto"/>
            </w:tcBorders>
            <w:vAlign w:val="bottom"/>
          </w:tcPr>
          <w:p w14:paraId="79FBE5F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994</w:t>
            </w:r>
          </w:p>
        </w:tc>
        <w:tc>
          <w:tcPr>
            <w:tcW w:w="588" w:type="dxa"/>
            <w:tcBorders>
              <w:left w:val="single" w:sz="4" w:space="0" w:color="auto"/>
              <w:right w:val="single" w:sz="4" w:space="0" w:color="auto"/>
            </w:tcBorders>
            <w:vAlign w:val="bottom"/>
          </w:tcPr>
          <w:p w14:paraId="4FB10EFD" w14:textId="77777777" w:rsidR="00EF4A2D" w:rsidRPr="00EF4A2D" w:rsidRDefault="00EF4A2D" w:rsidP="004D07F1">
            <w:pPr>
              <w:ind w:right="113"/>
              <w:jc w:val="right"/>
              <w:rPr>
                <w:rFonts w:eastAsia="Calibri"/>
                <w:sz w:val="14"/>
                <w:szCs w:val="14"/>
                <w:lang w:eastAsia="en-US"/>
              </w:rPr>
            </w:pPr>
            <w:r w:rsidRPr="00EF4A2D">
              <w:rPr>
                <w:rFonts w:eastAsia="Calibri"/>
                <w:sz w:val="14"/>
                <w:szCs w:val="14"/>
                <w:lang w:eastAsia="en-US"/>
              </w:rPr>
              <w:t>…</w:t>
            </w:r>
          </w:p>
        </w:tc>
        <w:tc>
          <w:tcPr>
            <w:tcW w:w="588" w:type="dxa"/>
            <w:tcBorders>
              <w:left w:val="single" w:sz="4" w:space="0" w:color="auto"/>
              <w:right w:val="single" w:sz="4" w:space="0" w:color="auto"/>
            </w:tcBorders>
            <w:vAlign w:val="bottom"/>
          </w:tcPr>
          <w:p w14:paraId="5698E1D7" w14:textId="302A5A5A" w:rsidR="00EF4A2D" w:rsidRPr="00EF4A2D" w:rsidRDefault="00432922" w:rsidP="004D07F1">
            <w:pPr>
              <w:ind w:right="113"/>
              <w:jc w:val="right"/>
              <w:rPr>
                <w:rFonts w:eastAsia="Calibri"/>
                <w:sz w:val="14"/>
                <w:szCs w:val="14"/>
                <w:lang w:eastAsia="en-US"/>
              </w:rPr>
            </w:pPr>
            <w:r>
              <w:rPr>
                <w:rFonts w:eastAsia="Calibri"/>
                <w:sz w:val="14"/>
                <w:szCs w:val="14"/>
                <w:lang w:eastAsia="en-US"/>
              </w:rPr>
              <w:t>5</w:t>
            </w:r>
          </w:p>
        </w:tc>
        <w:tc>
          <w:tcPr>
            <w:tcW w:w="652" w:type="dxa"/>
            <w:tcBorders>
              <w:left w:val="single" w:sz="4" w:space="0" w:color="auto"/>
              <w:right w:val="single" w:sz="4" w:space="0" w:color="auto"/>
            </w:tcBorders>
            <w:vAlign w:val="bottom"/>
          </w:tcPr>
          <w:p w14:paraId="421CDE74" w14:textId="13D6933C" w:rsidR="00EF4A2D" w:rsidRPr="00EF4A2D" w:rsidRDefault="00432922" w:rsidP="004D07F1">
            <w:pPr>
              <w:ind w:right="113"/>
              <w:jc w:val="right"/>
              <w:rPr>
                <w:rFonts w:eastAsia="Calibri"/>
                <w:sz w:val="14"/>
                <w:szCs w:val="14"/>
                <w:lang w:eastAsia="en-US"/>
              </w:rPr>
            </w:pPr>
            <w:r>
              <w:rPr>
                <w:rFonts w:eastAsia="Calibri"/>
                <w:sz w:val="14"/>
                <w:szCs w:val="14"/>
                <w:lang w:eastAsia="en-US"/>
              </w:rPr>
              <w:t>9</w:t>
            </w:r>
          </w:p>
        </w:tc>
        <w:tc>
          <w:tcPr>
            <w:tcW w:w="635" w:type="dxa"/>
            <w:tcBorders>
              <w:left w:val="single" w:sz="4" w:space="0" w:color="auto"/>
              <w:right w:val="single" w:sz="4" w:space="0" w:color="auto"/>
            </w:tcBorders>
            <w:vAlign w:val="bottom"/>
          </w:tcPr>
          <w:p w14:paraId="688EF0D0" w14:textId="573BD036" w:rsidR="00EF4A2D" w:rsidRPr="00EF4A2D" w:rsidRDefault="00432922" w:rsidP="004D07F1">
            <w:pPr>
              <w:ind w:right="170"/>
              <w:jc w:val="right"/>
              <w:rPr>
                <w:rFonts w:eastAsia="Calibri"/>
                <w:sz w:val="14"/>
                <w:szCs w:val="14"/>
                <w:lang w:eastAsia="en-US"/>
              </w:rPr>
            </w:pPr>
            <w:r>
              <w:rPr>
                <w:rFonts w:eastAsia="Calibri"/>
                <w:sz w:val="14"/>
                <w:szCs w:val="14"/>
                <w:lang w:eastAsia="en-US"/>
              </w:rPr>
              <w:t>7</w:t>
            </w:r>
          </w:p>
        </w:tc>
        <w:tc>
          <w:tcPr>
            <w:tcW w:w="630" w:type="dxa"/>
            <w:tcBorders>
              <w:left w:val="single" w:sz="4" w:space="0" w:color="auto"/>
              <w:right w:val="single" w:sz="4" w:space="0" w:color="auto"/>
            </w:tcBorders>
            <w:vAlign w:val="bottom"/>
          </w:tcPr>
          <w:p w14:paraId="4EB9524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739</w:t>
            </w:r>
          </w:p>
        </w:tc>
        <w:tc>
          <w:tcPr>
            <w:tcW w:w="528" w:type="dxa"/>
            <w:tcBorders>
              <w:left w:val="single" w:sz="4" w:space="0" w:color="auto"/>
              <w:right w:val="single" w:sz="4" w:space="0" w:color="auto"/>
            </w:tcBorders>
            <w:vAlign w:val="bottom"/>
          </w:tcPr>
          <w:p w14:paraId="3695304D"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w:t>
            </w:r>
          </w:p>
        </w:tc>
        <w:tc>
          <w:tcPr>
            <w:tcW w:w="593" w:type="dxa"/>
            <w:tcBorders>
              <w:left w:val="single" w:sz="4" w:space="0" w:color="auto"/>
              <w:right w:val="single" w:sz="4" w:space="0" w:color="auto"/>
            </w:tcBorders>
            <w:vAlign w:val="bottom"/>
          </w:tcPr>
          <w:p w14:paraId="146AC5A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w:t>
            </w:r>
          </w:p>
        </w:tc>
        <w:tc>
          <w:tcPr>
            <w:tcW w:w="574" w:type="dxa"/>
            <w:tcBorders>
              <w:left w:val="single" w:sz="4" w:space="0" w:color="auto"/>
              <w:right w:val="single" w:sz="4" w:space="0" w:color="auto"/>
            </w:tcBorders>
            <w:vAlign w:val="bottom"/>
          </w:tcPr>
          <w:p w14:paraId="5F2D5CAD"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7</w:t>
            </w:r>
          </w:p>
        </w:tc>
        <w:tc>
          <w:tcPr>
            <w:tcW w:w="528" w:type="dxa"/>
            <w:tcBorders>
              <w:left w:val="single" w:sz="4" w:space="0" w:color="auto"/>
              <w:right w:val="single" w:sz="4" w:space="0" w:color="auto"/>
            </w:tcBorders>
            <w:vAlign w:val="bottom"/>
          </w:tcPr>
          <w:p w14:paraId="6A493DD9"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w:t>
            </w:r>
          </w:p>
        </w:tc>
      </w:tr>
      <w:tr w:rsidR="00EF4A2D" w:rsidRPr="00EF4A2D" w14:paraId="4A729773" w14:textId="77777777" w:rsidTr="00B9606F">
        <w:trPr>
          <w:jc w:val="center"/>
        </w:trPr>
        <w:tc>
          <w:tcPr>
            <w:tcW w:w="9083" w:type="dxa"/>
            <w:gridSpan w:val="11"/>
            <w:tcBorders>
              <w:top w:val="single" w:sz="4" w:space="0" w:color="auto"/>
            </w:tcBorders>
          </w:tcPr>
          <w:p w14:paraId="4404EAC5" w14:textId="77777777" w:rsidR="00EF4A2D" w:rsidRPr="00EF4A2D" w:rsidRDefault="00EF4A2D" w:rsidP="004D07F1">
            <w:pPr>
              <w:numPr>
                <w:ilvl w:val="0"/>
                <w:numId w:val="134"/>
              </w:numPr>
              <w:ind w:left="284" w:hanging="284"/>
              <w:jc w:val="both"/>
              <w:rPr>
                <w:rFonts w:eastAsia="Calibri"/>
                <w:sz w:val="20"/>
                <w:szCs w:val="20"/>
                <w:lang w:eastAsia="en-US"/>
              </w:rPr>
            </w:pPr>
            <w:r w:rsidRPr="00EF4A2D">
              <w:rPr>
                <w:rFonts w:eastAsia="Calibri"/>
                <w:sz w:val="20"/>
                <w:szCs w:val="20"/>
                <w:lang w:eastAsia="en-US"/>
              </w:rPr>
              <w:t>Incluye el Caribe. Véase la composición de los grupos de países en los meta datos del capítulo IV de las “Estadísticas del Comercio Internacional 2014” de la OMC.</w:t>
            </w:r>
          </w:p>
          <w:p w14:paraId="0BAF6741" w14:textId="77777777" w:rsidR="00EF4A2D" w:rsidRPr="00EF4A2D" w:rsidRDefault="00EF4A2D" w:rsidP="004D07F1">
            <w:pPr>
              <w:numPr>
                <w:ilvl w:val="0"/>
                <w:numId w:val="134"/>
              </w:numPr>
              <w:ind w:left="284" w:hanging="284"/>
              <w:jc w:val="both"/>
              <w:rPr>
                <w:rFonts w:eastAsia="Calibri"/>
                <w:sz w:val="20"/>
                <w:szCs w:val="20"/>
                <w:lang w:eastAsia="en-US"/>
              </w:rPr>
            </w:pPr>
            <w:r w:rsidRPr="00EF4A2D">
              <w:rPr>
                <w:rFonts w:eastAsia="Calibri"/>
                <w:sz w:val="20"/>
                <w:szCs w:val="20"/>
                <w:lang w:eastAsia="en-US"/>
              </w:rPr>
              <w:t>Estimaciones de la Secretaría.</w:t>
            </w:r>
          </w:p>
          <w:p w14:paraId="6318DA5D" w14:textId="7A9FB766" w:rsidR="00EF4A2D" w:rsidRPr="00EF4A2D" w:rsidRDefault="00EF4A2D" w:rsidP="004D07F1">
            <w:pPr>
              <w:numPr>
                <w:ilvl w:val="0"/>
                <w:numId w:val="134"/>
              </w:numPr>
              <w:ind w:left="284" w:hanging="284"/>
              <w:jc w:val="both"/>
              <w:rPr>
                <w:rFonts w:eastAsia="Calibri"/>
                <w:sz w:val="20"/>
                <w:szCs w:val="20"/>
                <w:lang w:eastAsia="en-US"/>
              </w:rPr>
            </w:pPr>
            <w:r w:rsidRPr="00EF4A2D">
              <w:rPr>
                <w:rFonts w:eastAsia="Calibri"/>
                <w:sz w:val="20"/>
                <w:szCs w:val="20"/>
                <w:lang w:eastAsia="en-US"/>
              </w:rPr>
              <w:t>Datos según la metodología del MBP</w:t>
            </w:r>
            <w:r w:rsidR="00BC7BEB">
              <w:rPr>
                <w:rFonts w:eastAsia="Calibri"/>
                <w:sz w:val="20"/>
                <w:szCs w:val="20"/>
                <w:lang w:eastAsia="en-US"/>
              </w:rPr>
              <w:t>5</w:t>
            </w:r>
            <w:r w:rsidRPr="00EF4A2D">
              <w:rPr>
                <w:rFonts w:eastAsia="Calibri"/>
                <w:sz w:val="20"/>
                <w:szCs w:val="20"/>
                <w:lang w:eastAsia="en-US"/>
              </w:rPr>
              <w:t>.</w:t>
            </w:r>
          </w:p>
          <w:p w14:paraId="4B7E1300" w14:textId="77777777" w:rsidR="00EF4A2D" w:rsidRPr="00EF4A2D" w:rsidRDefault="00EF4A2D" w:rsidP="004D07F1">
            <w:pPr>
              <w:ind w:right="57"/>
              <w:jc w:val="both"/>
              <w:rPr>
                <w:rFonts w:eastAsia="Calibri"/>
                <w:sz w:val="20"/>
                <w:szCs w:val="20"/>
                <w:lang w:eastAsia="en-US"/>
              </w:rPr>
            </w:pPr>
            <w:r w:rsidRPr="00EF4A2D">
              <w:rPr>
                <w:rFonts w:eastAsia="Calibri"/>
                <w:sz w:val="20"/>
                <w:szCs w:val="20"/>
                <w:lang w:eastAsia="en-US"/>
              </w:rPr>
              <w:t>… Cifras no disponibles o no comparables.</w:t>
            </w:r>
          </w:p>
          <w:p w14:paraId="3EABD273" w14:textId="77777777" w:rsidR="00EF4A2D" w:rsidRPr="00EF4A2D" w:rsidRDefault="00EF4A2D" w:rsidP="004D07F1">
            <w:pPr>
              <w:ind w:left="284" w:right="57" w:hanging="284"/>
              <w:jc w:val="both"/>
              <w:rPr>
                <w:rFonts w:eastAsia="Calibri"/>
                <w:sz w:val="20"/>
                <w:szCs w:val="20"/>
                <w:lang w:eastAsia="en-US"/>
              </w:rPr>
            </w:pPr>
            <w:r w:rsidRPr="00EF4A2D">
              <w:rPr>
                <w:rFonts w:eastAsia="Calibri"/>
                <w:sz w:val="20"/>
                <w:szCs w:val="20"/>
                <w:lang w:eastAsia="en-US"/>
              </w:rPr>
              <w:t>-    No aplicable.</w:t>
            </w:r>
          </w:p>
          <w:p w14:paraId="6270B2E8" w14:textId="77777777" w:rsidR="00BC7BEB" w:rsidRDefault="00BC7BEB" w:rsidP="00143341">
            <w:pPr>
              <w:ind w:left="676" w:right="57" w:hanging="662"/>
              <w:jc w:val="both"/>
              <w:rPr>
                <w:rFonts w:eastAsia="Calibri"/>
                <w:sz w:val="20"/>
                <w:szCs w:val="20"/>
                <w:lang w:eastAsia="en-US"/>
              </w:rPr>
            </w:pPr>
            <w:proofErr w:type="spellStart"/>
            <w:r>
              <w:rPr>
                <w:rFonts w:eastAsia="Calibri"/>
                <w:sz w:val="20"/>
                <w:szCs w:val="20"/>
                <w:lang w:eastAsia="en-US"/>
              </w:rPr>
              <w:t>Norta</w:t>
            </w:r>
            <w:proofErr w:type="spellEnd"/>
            <w:proofErr w:type="gramStart"/>
            <w:r>
              <w:rPr>
                <w:rFonts w:eastAsia="Calibri"/>
                <w:sz w:val="20"/>
                <w:szCs w:val="20"/>
                <w:lang w:eastAsia="en-US"/>
              </w:rPr>
              <w:t>:  Si</w:t>
            </w:r>
            <w:proofErr w:type="gramEnd"/>
            <w:r>
              <w:rPr>
                <w:rFonts w:eastAsia="Calibri"/>
                <w:sz w:val="20"/>
                <w:szCs w:val="20"/>
                <w:lang w:eastAsia="en-US"/>
              </w:rPr>
              <w:t xml:space="preserve"> bien se disponía a mediados de marzo de datos provisionales relativos a todo el año, para los 50 países cuyo comercio de servicios comerciales representa más de las dos terceras partes del total del comercio de dichos servicios, las estimaciones correspondientes a la mayoría de los demás países se basaron en datos relativos a los tres primeros trimestres.</w:t>
            </w:r>
          </w:p>
          <w:p w14:paraId="2619E4FD" w14:textId="5AD4069E" w:rsidR="00EF4A2D" w:rsidRPr="00EF4A2D" w:rsidRDefault="00EF4A2D" w:rsidP="00BC7BEB">
            <w:pPr>
              <w:ind w:left="284" w:right="57" w:hanging="284"/>
              <w:jc w:val="both"/>
              <w:rPr>
                <w:rFonts w:eastAsia="Calibri"/>
                <w:sz w:val="20"/>
                <w:szCs w:val="20"/>
                <w:lang w:eastAsia="en-US"/>
              </w:rPr>
            </w:pPr>
            <w:r w:rsidRPr="00EF4A2D">
              <w:rPr>
                <w:rFonts w:eastAsia="Calibri"/>
                <w:sz w:val="20"/>
                <w:szCs w:val="20"/>
                <w:lang w:eastAsia="en-US"/>
              </w:rPr>
              <w:t>FUENTE: Secretaría de la OMC y de la UNCTAD.</w:t>
            </w:r>
          </w:p>
        </w:tc>
      </w:tr>
    </w:tbl>
    <w:p w14:paraId="2928F2F1" w14:textId="77777777" w:rsidR="00EF4A2D" w:rsidRPr="00EF4A2D" w:rsidRDefault="00EF4A2D" w:rsidP="00EF4A2D">
      <w:pPr>
        <w:spacing w:after="360" w:line="360" w:lineRule="auto"/>
        <w:ind w:right="-159"/>
        <w:jc w:val="both"/>
        <w:rPr>
          <w:rFonts w:eastAsia="Calibri"/>
          <w:sz w:val="26"/>
          <w:szCs w:val="26"/>
          <w:lang w:val="es-ES" w:eastAsia="en-US"/>
        </w:rPr>
      </w:pPr>
    </w:p>
    <w:p w14:paraId="22FCCB10" w14:textId="77777777" w:rsidR="00EF4A2D" w:rsidRDefault="00EF4A2D" w:rsidP="00EF4A2D">
      <w:pPr>
        <w:spacing w:after="360" w:line="360" w:lineRule="auto"/>
        <w:ind w:right="-159"/>
        <w:jc w:val="both"/>
        <w:rPr>
          <w:rFonts w:eastAsia="Calibri"/>
          <w:sz w:val="26"/>
          <w:szCs w:val="26"/>
          <w:lang w:val="es-ES" w:eastAsia="en-US"/>
        </w:rPr>
      </w:pPr>
    </w:p>
    <w:p w14:paraId="0325432B" w14:textId="77777777" w:rsidR="004D07F1" w:rsidRDefault="004D07F1" w:rsidP="00EF4A2D">
      <w:pPr>
        <w:spacing w:after="360" w:line="360" w:lineRule="auto"/>
        <w:ind w:right="-159"/>
        <w:jc w:val="both"/>
        <w:rPr>
          <w:rFonts w:eastAsia="Calibri"/>
          <w:sz w:val="26"/>
          <w:szCs w:val="26"/>
          <w:lang w:val="es-ES" w:eastAsia="en-US"/>
        </w:rPr>
      </w:pPr>
    </w:p>
    <w:p w14:paraId="478E7727" w14:textId="77777777" w:rsidR="004D07F1" w:rsidRDefault="004D07F1" w:rsidP="00EF4A2D">
      <w:pPr>
        <w:spacing w:after="360" w:line="360" w:lineRule="auto"/>
        <w:ind w:right="-159"/>
        <w:jc w:val="both"/>
        <w:rPr>
          <w:rFonts w:eastAsia="Calibri"/>
          <w:sz w:val="26"/>
          <w:szCs w:val="26"/>
          <w:lang w:val="es-ES" w:eastAsia="en-US"/>
        </w:rPr>
      </w:pPr>
    </w:p>
    <w:p w14:paraId="3F7DE54B" w14:textId="77777777" w:rsidR="004D07F1" w:rsidRPr="00EF4A2D" w:rsidRDefault="004D07F1" w:rsidP="00EF4A2D">
      <w:pPr>
        <w:spacing w:after="360" w:line="360" w:lineRule="auto"/>
        <w:ind w:right="-159"/>
        <w:jc w:val="both"/>
        <w:rPr>
          <w:rFonts w:eastAsia="Calibri"/>
          <w:sz w:val="26"/>
          <w:szCs w:val="26"/>
          <w:lang w:val="es-ES" w:eastAsia="en-US"/>
        </w:rPr>
      </w:pPr>
    </w:p>
    <w:tbl>
      <w:tblPr>
        <w:tblW w:w="9356" w:type="dxa"/>
        <w:jc w:val="center"/>
        <w:tblLayout w:type="fixed"/>
        <w:tblLook w:val="01E0" w:firstRow="1" w:lastRow="1" w:firstColumn="1" w:lastColumn="1" w:noHBand="0" w:noVBand="0"/>
      </w:tblPr>
      <w:tblGrid>
        <w:gridCol w:w="709"/>
        <w:gridCol w:w="1843"/>
        <w:gridCol w:w="709"/>
        <w:gridCol w:w="708"/>
        <w:gridCol w:w="567"/>
        <w:gridCol w:w="284"/>
        <w:gridCol w:w="709"/>
        <w:gridCol w:w="1842"/>
        <w:gridCol w:w="709"/>
        <w:gridCol w:w="709"/>
        <w:gridCol w:w="567"/>
      </w:tblGrid>
      <w:tr w:rsidR="00EF4A2D" w:rsidRPr="00EF4A2D" w14:paraId="45EC2C77" w14:textId="77777777" w:rsidTr="00B9606F">
        <w:trPr>
          <w:jc w:val="center"/>
        </w:trPr>
        <w:tc>
          <w:tcPr>
            <w:tcW w:w="9356" w:type="dxa"/>
            <w:gridSpan w:val="11"/>
          </w:tcPr>
          <w:p w14:paraId="406D14F9" w14:textId="77777777" w:rsidR="00EF4A2D" w:rsidRPr="00EF4A2D" w:rsidRDefault="00EF4A2D" w:rsidP="00EF4A2D">
            <w:pPr>
              <w:jc w:val="center"/>
              <w:rPr>
                <w:rFonts w:eastAsia="Calibri"/>
                <w:b/>
                <w:sz w:val="22"/>
                <w:szCs w:val="22"/>
                <w:lang w:eastAsia="en-US"/>
              </w:rPr>
            </w:pPr>
            <w:r w:rsidRPr="00EF4A2D">
              <w:rPr>
                <w:rFonts w:eastAsia="Calibri"/>
                <w:b/>
                <w:sz w:val="22"/>
                <w:szCs w:val="22"/>
                <w:lang w:eastAsia="en-US"/>
              </w:rPr>
              <w:lastRenderedPageBreak/>
              <w:t>PRINCIPALES EXPORTADORES E IMPORTADORES DE MERCANCÍAS, 2014</w:t>
            </w:r>
          </w:p>
          <w:p w14:paraId="33CA6621" w14:textId="433679D8" w:rsidR="00EF4A2D" w:rsidRPr="00EF4A2D" w:rsidRDefault="00EF4A2D" w:rsidP="00EF4A2D">
            <w:pPr>
              <w:jc w:val="center"/>
              <w:rPr>
                <w:rFonts w:eastAsia="Calibri"/>
                <w:b/>
                <w:sz w:val="22"/>
                <w:szCs w:val="22"/>
                <w:lang w:eastAsia="en-US"/>
              </w:rPr>
            </w:pPr>
            <w:r w:rsidRPr="00EF4A2D">
              <w:rPr>
                <w:rFonts w:eastAsia="Calibri"/>
                <w:b/>
                <w:sz w:val="22"/>
                <w:szCs w:val="22"/>
                <w:lang w:eastAsia="en-US"/>
              </w:rPr>
              <w:t xml:space="preserve">-En miles de millones de dólares </w:t>
            </w:r>
            <w:r w:rsidR="00EC0263">
              <w:rPr>
                <w:rFonts w:eastAsia="Calibri"/>
                <w:b/>
                <w:sz w:val="22"/>
                <w:szCs w:val="22"/>
                <w:lang w:eastAsia="en-US"/>
              </w:rPr>
              <w:t xml:space="preserve">estadounidenses </w:t>
            </w:r>
            <w:r w:rsidRPr="00EF4A2D">
              <w:rPr>
                <w:rFonts w:eastAsia="Calibri"/>
                <w:b/>
                <w:sz w:val="22"/>
                <w:szCs w:val="22"/>
                <w:lang w:eastAsia="en-US"/>
              </w:rPr>
              <w:t>y en porcentajes-</w:t>
            </w:r>
          </w:p>
          <w:p w14:paraId="76BCD960" w14:textId="77777777" w:rsidR="00EF4A2D" w:rsidRPr="00EF4A2D" w:rsidRDefault="00EF4A2D" w:rsidP="00EF4A2D">
            <w:pPr>
              <w:jc w:val="center"/>
              <w:rPr>
                <w:rFonts w:eastAsia="Calibri"/>
                <w:b/>
                <w:sz w:val="22"/>
                <w:szCs w:val="22"/>
                <w:lang w:eastAsia="en-US"/>
              </w:rPr>
            </w:pPr>
          </w:p>
        </w:tc>
      </w:tr>
      <w:tr w:rsidR="00EF4A2D" w:rsidRPr="00EF4A2D" w14:paraId="72C5AD6C" w14:textId="77777777" w:rsidTr="00B9606F">
        <w:trPr>
          <w:jc w:val="center"/>
        </w:trPr>
        <w:tc>
          <w:tcPr>
            <w:tcW w:w="709" w:type="dxa"/>
            <w:tcBorders>
              <w:top w:val="single" w:sz="4" w:space="0" w:color="auto"/>
              <w:left w:val="single" w:sz="4" w:space="0" w:color="auto"/>
              <w:bottom w:val="single" w:sz="4" w:space="0" w:color="auto"/>
              <w:right w:val="single" w:sz="4" w:space="0" w:color="auto"/>
            </w:tcBorders>
            <w:vAlign w:val="center"/>
          </w:tcPr>
          <w:p w14:paraId="10729CFC"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 xml:space="preserve">Lugar en la </w:t>
            </w:r>
            <w:proofErr w:type="spellStart"/>
            <w:r w:rsidRPr="00EF4A2D">
              <w:rPr>
                <w:rFonts w:eastAsia="Calibri"/>
                <w:b/>
                <w:sz w:val="14"/>
                <w:szCs w:val="14"/>
                <w:lang w:eastAsia="en-US"/>
              </w:rPr>
              <w:t>clasif</w:t>
            </w:r>
            <w:proofErr w:type="spellEnd"/>
            <w:r w:rsidRPr="00EF4A2D">
              <w:rPr>
                <w:rFonts w:eastAsia="Calibri"/>
                <w:b/>
                <w:sz w:val="14"/>
                <w:szCs w:val="14"/>
                <w:lang w:eastAsia="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17FD3B87"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Exportadores</w:t>
            </w:r>
          </w:p>
        </w:tc>
        <w:tc>
          <w:tcPr>
            <w:tcW w:w="709" w:type="dxa"/>
            <w:tcBorders>
              <w:top w:val="single" w:sz="4" w:space="0" w:color="auto"/>
              <w:left w:val="single" w:sz="4" w:space="0" w:color="auto"/>
              <w:bottom w:val="single" w:sz="4" w:space="0" w:color="auto"/>
              <w:right w:val="single" w:sz="4" w:space="0" w:color="auto"/>
            </w:tcBorders>
            <w:vAlign w:val="center"/>
          </w:tcPr>
          <w:p w14:paraId="68E1648F"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Valor</w:t>
            </w:r>
          </w:p>
        </w:tc>
        <w:tc>
          <w:tcPr>
            <w:tcW w:w="708" w:type="dxa"/>
            <w:tcBorders>
              <w:top w:val="single" w:sz="4" w:space="0" w:color="auto"/>
              <w:left w:val="single" w:sz="4" w:space="0" w:color="auto"/>
              <w:bottom w:val="single" w:sz="4" w:space="0" w:color="auto"/>
              <w:right w:val="single" w:sz="4" w:space="0" w:color="auto"/>
            </w:tcBorders>
            <w:vAlign w:val="center"/>
          </w:tcPr>
          <w:p w14:paraId="29DBBCD5"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w:t>
            </w:r>
          </w:p>
        </w:tc>
        <w:tc>
          <w:tcPr>
            <w:tcW w:w="567" w:type="dxa"/>
            <w:tcBorders>
              <w:top w:val="single" w:sz="4" w:space="0" w:color="auto"/>
              <w:left w:val="single" w:sz="4" w:space="0" w:color="auto"/>
              <w:bottom w:val="single" w:sz="4" w:space="0" w:color="auto"/>
              <w:right w:val="single" w:sz="4" w:space="0" w:color="auto"/>
            </w:tcBorders>
            <w:vAlign w:val="center"/>
          </w:tcPr>
          <w:p w14:paraId="6DE80D05"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Varia</w:t>
            </w:r>
          </w:p>
          <w:p w14:paraId="7A486A41" w14:textId="77777777" w:rsidR="00EF4A2D" w:rsidRPr="00EF4A2D" w:rsidRDefault="00EF4A2D" w:rsidP="00EF4A2D">
            <w:pPr>
              <w:jc w:val="center"/>
              <w:rPr>
                <w:rFonts w:eastAsia="Calibri"/>
                <w:b/>
                <w:sz w:val="14"/>
                <w:szCs w:val="14"/>
                <w:lang w:eastAsia="en-US"/>
              </w:rPr>
            </w:pPr>
            <w:proofErr w:type="spellStart"/>
            <w:r w:rsidRPr="00EF4A2D">
              <w:rPr>
                <w:rFonts w:eastAsia="Calibri"/>
                <w:b/>
                <w:sz w:val="14"/>
                <w:szCs w:val="14"/>
                <w:lang w:eastAsia="en-US"/>
              </w:rPr>
              <w:t>ción</w:t>
            </w:r>
            <w:proofErr w:type="spellEnd"/>
          </w:p>
          <w:p w14:paraId="4721401D"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 anual</w:t>
            </w:r>
          </w:p>
        </w:tc>
        <w:tc>
          <w:tcPr>
            <w:tcW w:w="284" w:type="dxa"/>
            <w:tcBorders>
              <w:left w:val="single" w:sz="4" w:space="0" w:color="auto"/>
              <w:right w:val="single" w:sz="4" w:space="0" w:color="auto"/>
            </w:tcBorders>
            <w:vAlign w:val="center"/>
          </w:tcPr>
          <w:p w14:paraId="61A58627" w14:textId="77777777" w:rsidR="00EF4A2D" w:rsidRPr="00EF4A2D" w:rsidRDefault="00EF4A2D" w:rsidP="00EF4A2D">
            <w:pPr>
              <w:jc w:val="center"/>
              <w:rPr>
                <w:rFonts w:eastAsia="Calibri"/>
                <w:b/>
                <w:sz w:val="14"/>
                <w:szCs w:val="14"/>
                <w:lang w:eastAsia="en-US"/>
              </w:rPr>
            </w:pPr>
          </w:p>
        </w:tc>
        <w:tc>
          <w:tcPr>
            <w:tcW w:w="709" w:type="dxa"/>
            <w:tcBorders>
              <w:top w:val="single" w:sz="4" w:space="0" w:color="auto"/>
              <w:left w:val="single" w:sz="4" w:space="0" w:color="auto"/>
              <w:bottom w:val="single" w:sz="4" w:space="0" w:color="auto"/>
              <w:right w:val="single" w:sz="4" w:space="0" w:color="auto"/>
            </w:tcBorders>
            <w:vAlign w:val="center"/>
          </w:tcPr>
          <w:p w14:paraId="26187C68"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 xml:space="preserve">Lugar en la </w:t>
            </w:r>
            <w:proofErr w:type="spellStart"/>
            <w:r w:rsidRPr="00EF4A2D">
              <w:rPr>
                <w:rFonts w:eastAsia="Calibri"/>
                <w:b/>
                <w:sz w:val="14"/>
                <w:szCs w:val="14"/>
                <w:lang w:eastAsia="en-US"/>
              </w:rPr>
              <w:t>clasif</w:t>
            </w:r>
            <w:proofErr w:type="spellEnd"/>
            <w:r w:rsidRPr="00EF4A2D">
              <w:rPr>
                <w:rFonts w:eastAsia="Calibri"/>
                <w:b/>
                <w:sz w:val="14"/>
                <w:szCs w:val="14"/>
                <w:lang w:eastAsia="en-US"/>
              </w:rPr>
              <w:t>.</w:t>
            </w:r>
          </w:p>
        </w:tc>
        <w:tc>
          <w:tcPr>
            <w:tcW w:w="1842" w:type="dxa"/>
            <w:tcBorders>
              <w:top w:val="single" w:sz="4" w:space="0" w:color="auto"/>
              <w:left w:val="single" w:sz="4" w:space="0" w:color="auto"/>
              <w:bottom w:val="single" w:sz="4" w:space="0" w:color="auto"/>
              <w:right w:val="single" w:sz="4" w:space="0" w:color="auto"/>
            </w:tcBorders>
            <w:vAlign w:val="center"/>
          </w:tcPr>
          <w:p w14:paraId="14696D63"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Importadores</w:t>
            </w:r>
          </w:p>
        </w:tc>
        <w:tc>
          <w:tcPr>
            <w:tcW w:w="709" w:type="dxa"/>
            <w:tcBorders>
              <w:top w:val="single" w:sz="4" w:space="0" w:color="auto"/>
              <w:left w:val="single" w:sz="4" w:space="0" w:color="auto"/>
              <w:bottom w:val="single" w:sz="4" w:space="0" w:color="auto"/>
              <w:right w:val="single" w:sz="4" w:space="0" w:color="auto"/>
            </w:tcBorders>
            <w:vAlign w:val="center"/>
          </w:tcPr>
          <w:p w14:paraId="2B962D02" w14:textId="77777777" w:rsidR="00EF4A2D" w:rsidRPr="00EF4A2D" w:rsidRDefault="00EF4A2D" w:rsidP="00EF4A2D">
            <w:pPr>
              <w:contextualSpacing/>
              <w:jc w:val="center"/>
              <w:rPr>
                <w:rFonts w:eastAsia="Calibri"/>
                <w:b/>
                <w:sz w:val="14"/>
                <w:szCs w:val="14"/>
                <w:lang w:eastAsia="en-US"/>
              </w:rPr>
            </w:pPr>
            <w:r w:rsidRPr="00EF4A2D">
              <w:rPr>
                <w:rFonts w:eastAsia="Calibri"/>
                <w:b/>
                <w:sz w:val="14"/>
                <w:szCs w:val="14"/>
                <w:lang w:eastAsia="en-US"/>
              </w:rPr>
              <w:t>Valor</w:t>
            </w:r>
          </w:p>
        </w:tc>
        <w:tc>
          <w:tcPr>
            <w:tcW w:w="709" w:type="dxa"/>
            <w:tcBorders>
              <w:top w:val="single" w:sz="4" w:space="0" w:color="auto"/>
              <w:left w:val="single" w:sz="4" w:space="0" w:color="auto"/>
              <w:bottom w:val="single" w:sz="4" w:space="0" w:color="auto"/>
              <w:right w:val="single" w:sz="4" w:space="0" w:color="auto"/>
            </w:tcBorders>
            <w:vAlign w:val="center"/>
          </w:tcPr>
          <w:p w14:paraId="3B49687D" w14:textId="77777777" w:rsidR="00EF4A2D" w:rsidRPr="00EF4A2D" w:rsidRDefault="00EF4A2D" w:rsidP="00EF4A2D">
            <w:pPr>
              <w:contextualSpacing/>
              <w:jc w:val="center"/>
              <w:rPr>
                <w:rFonts w:eastAsia="Calibri"/>
                <w:b/>
                <w:sz w:val="14"/>
                <w:szCs w:val="14"/>
                <w:lang w:eastAsia="en-US"/>
              </w:rPr>
            </w:pPr>
            <w:r w:rsidRPr="00EF4A2D">
              <w:rPr>
                <w:rFonts w:eastAsia="Calibri"/>
                <w:b/>
                <w:sz w:val="14"/>
                <w:szCs w:val="14"/>
                <w:lang w:eastAsia="en-US"/>
              </w:rPr>
              <w:t>%</w:t>
            </w:r>
          </w:p>
        </w:tc>
        <w:tc>
          <w:tcPr>
            <w:tcW w:w="567" w:type="dxa"/>
            <w:tcBorders>
              <w:top w:val="single" w:sz="4" w:space="0" w:color="auto"/>
              <w:left w:val="single" w:sz="4" w:space="0" w:color="auto"/>
              <w:bottom w:val="single" w:sz="4" w:space="0" w:color="auto"/>
              <w:right w:val="single" w:sz="4" w:space="0" w:color="auto"/>
            </w:tcBorders>
            <w:vAlign w:val="center"/>
          </w:tcPr>
          <w:p w14:paraId="0A3A572F" w14:textId="77777777" w:rsidR="00EF4A2D" w:rsidRPr="00EF4A2D" w:rsidRDefault="00EF4A2D" w:rsidP="00EF4A2D">
            <w:pPr>
              <w:contextualSpacing/>
              <w:jc w:val="center"/>
              <w:rPr>
                <w:rFonts w:eastAsia="Calibri"/>
                <w:b/>
                <w:sz w:val="14"/>
                <w:szCs w:val="14"/>
                <w:lang w:eastAsia="en-US"/>
              </w:rPr>
            </w:pPr>
            <w:r w:rsidRPr="00EF4A2D">
              <w:rPr>
                <w:rFonts w:eastAsia="Calibri"/>
                <w:b/>
                <w:sz w:val="14"/>
                <w:szCs w:val="14"/>
                <w:lang w:eastAsia="en-US"/>
              </w:rPr>
              <w:t>Varia</w:t>
            </w:r>
          </w:p>
          <w:p w14:paraId="7B2F5C65" w14:textId="77777777" w:rsidR="00EF4A2D" w:rsidRPr="00EF4A2D" w:rsidRDefault="00EF4A2D" w:rsidP="00EF4A2D">
            <w:pPr>
              <w:contextualSpacing/>
              <w:jc w:val="center"/>
              <w:rPr>
                <w:rFonts w:eastAsia="Calibri"/>
                <w:b/>
                <w:sz w:val="14"/>
                <w:szCs w:val="14"/>
                <w:lang w:eastAsia="en-US"/>
              </w:rPr>
            </w:pPr>
            <w:proofErr w:type="spellStart"/>
            <w:r w:rsidRPr="00EF4A2D">
              <w:rPr>
                <w:rFonts w:eastAsia="Calibri"/>
                <w:b/>
                <w:sz w:val="14"/>
                <w:szCs w:val="14"/>
                <w:lang w:eastAsia="en-US"/>
              </w:rPr>
              <w:t>ción</w:t>
            </w:r>
            <w:proofErr w:type="spellEnd"/>
          </w:p>
          <w:p w14:paraId="62F882FA" w14:textId="77777777" w:rsidR="00EF4A2D" w:rsidRPr="00EF4A2D" w:rsidRDefault="00EF4A2D" w:rsidP="00EF4A2D">
            <w:pPr>
              <w:contextualSpacing/>
              <w:jc w:val="center"/>
              <w:rPr>
                <w:rFonts w:eastAsia="Calibri"/>
                <w:b/>
                <w:sz w:val="14"/>
                <w:szCs w:val="14"/>
                <w:lang w:eastAsia="en-US"/>
              </w:rPr>
            </w:pPr>
            <w:r w:rsidRPr="00EF4A2D">
              <w:rPr>
                <w:rFonts w:eastAsia="Calibri"/>
                <w:b/>
                <w:sz w:val="14"/>
                <w:szCs w:val="14"/>
                <w:lang w:eastAsia="en-US"/>
              </w:rPr>
              <w:t>% anual</w:t>
            </w:r>
          </w:p>
        </w:tc>
      </w:tr>
      <w:tr w:rsidR="00EF4A2D" w:rsidRPr="00EF4A2D" w14:paraId="4A47B740" w14:textId="77777777" w:rsidTr="00B9606F">
        <w:trPr>
          <w:jc w:val="center"/>
        </w:trPr>
        <w:tc>
          <w:tcPr>
            <w:tcW w:w="709" w:type="dxa"/>
            <w:tcBorders>
              <w:left w:val="single" w:sz="4" w:space="0" w:color="auto"/>
              <w:right w:val="single" w:sz="4" w:space="0" w:color="auto"/>
            </w:tcBorders>
            <w:shd w:val="clear" w:color="auto" w:fill="auto"/>
            <w:vAlign w:val="center"/>
          </w:tcPr>
          <w:p w14:paraId="249B0B10" w14:textId="77777777" w:rsidR="00EF4A2D" w:rsidRPr="00EF4A2D" w:rsidRDefault="00EF4A2D" w:rsidP="00EF4A2D">
            <w:pPr>
              <w:spacing w:before="120" w:after="40"/>
              <w:jc w:val="center"/>
              <w:rPr>
                <w:rFonts w:eastAsia="Calibri"/>
                <w:sz w:val="14"/>
                <w:szCs w:val="14"/>
                <w:lang w:eastAsia="en-US"/>
              </w:rPr>
            </w:pPr>
            <w:r w:rsidRPr="00EF4A2D">
              <w:rPr>
                <w:rFonts w:eastAsia="Calibri"/>
                <w:sz w:val="14"/>
                <w:szCs w:val="14"/>
                <w:lang w:eastAsia="en-US"/>
              </w:rPr>
              <w:t>1</w:t>
            </w:r>
          </w:p>
        </w:tc>
        <w:tc>
          <w:tcPr>
            <w:tcW w:w="1843" w:type="dxa"/>
            <w:tcBorders>
              <w:left w:val="single" w:sz="4" w:space="0" w:color="auto"/>
              <w:right w:val="single" w:sz="4" w:space="0" w:color="auto"/>
            </w:tcBorders>
            <w:shd w:val="clear" w:color="auto" w:fill="auto"/>
            <w:vAlign w:val="center"/>
          </w:tcPr>
          <w:p w14:paraId="6B041DFB" w14:textId="77777777" w:rsidR="00EF4A2D" w:rsidRPr="00EF4A2D" w:rsidRDefault="00EF4A2D" w:rsidP="00EF4A2D">
            <w:pPr>
              <w:spacing w:before="120" w:after="40"/>
              <w:rPr>
                <w:rFonts w:eastAsia="Calibri"/>
                <w:sz w:val="14"/>
                <w:szCs w:val="14"/>
                <w:lang w:eastAsia="en-US"/>
              </w:rPr>
            </w:pPr>
            <w:r w:rsidRPr="00EF4A2D">
              <w:rPr>
                <w:rFonts w:eastAsia="Calibri"/>
                <w:sz w:val="14"/>
                <w:szCs w:val="14"/>
                <w:lang w:eastAsia="en-US"/>
              </w:rPr>
              <w:t>China</w:t>
            </w:r>
          </w:p>
        </w:tc>
        <w:tc>
          <w:tcPr>
            <w:tcW w:w="709" w:type="dxa"/>
            <w:tcBorders>
              <w:left w:val="single" w:sz="4" w:space="0" w:color="auto"/>
              <w:right w:val="single" w:sz="4" w:space="0" w:color="auto"/>
            </w:tcBorders>
            <w:shd w:val="clear" w:color="auto" w:fill="auto"/>
            <w:vAlign w:val="center"/>
          </w:tcPr>
          <w:p w14:paraId="17FF16BB" w14:textId="77777777" w:rsidR="00EF4A2D" w:rsidRPr="00EF4A2D" w:rsidRDefault="00EF4A2D" w:rsidP="00EF4A2D">
            <w:pPr>
              <w:spacing w:before="120" w:after="40"/>
              <w:jc w:val="right"/>
              <w:rPr>
                <w:rFonts w:eastAsia="Calibri"/>
                <w:sz w:val="14"/>
                <w:szCs w:val="14"/>
                <w:lang w:eastAsia="en-US"/>
              </w:rPr>
            </w:pPr>
            <w:r w:rsidRPr="00EF4A2D">
              <w:rPr>
                <w:rFonts w:eastAsia="Calibri"/>
                <w:sz w:val="14"/>
                <w:szCs w:val="14"/>
                <w:lang w:eastAsia="en-US"/>
              </w:rPr>
              <w:t>2 343</w:t>
            </w:r>
          </w:p>
        </w:tc>
        <w:tc>
          <w:tcPr>
            <w:tcW w:w="708" w:type="dxa"/>
            <w:tcBorders>
              <w:left w:val="single" w:sz="4" w:space="0" w:color="auto"/>
              <w:right w:val="single" w:sz="4" w:space="0" w:color="auto"/>
            </w:tcBorders>
            <w:shd w:val="clear" w:color="auto" w:fill="auto"/>
            <w:vAlign w:val="center"/>
          </w:tcPr>
          <w:p w14:paraId="3017B0D1" w14:textId="77777777" w:rsidR="00EF4A2D" w:rsidRPr="00EF4A2D" w:rsidRDefault="00EF4A2D" w:rsidP="00EF4A2D">
            <w:pPr>
              <w:spacing w:before="120" w:after="40"/>
              <w:jc w:val="right"/>
              <w:rPr>
                <w:rFonts w:eastAsia="Calibri"/>
                <w:sz w:val="14"/>
                <w:szCs w:val="14"/>
                <w:lang w:eastAsia="en-US"/>
              </w:rPr>
            </w:pPr>
            <w:r w:rsidRPr="00EF4A2D">
              <w:rPr>
                <w:rFonts w:eastAsia="Calibri"/>
                <w:sz w:val="14"/>
                <w:szCs w:val="14"/>
                <w:lang w:eastAsia="en-US"/>
              </w:rPr>
              <w:t>12.4</w:t>
            </w:r>
          </w:p>
        </w:tc>
        <w:tc>
          <w:tcPr>
            <w:tcW w:w="567" w:type="dxa"/>
            <w:tcBorders>
              <w:left w:val="single" w:sz="4" w:space="0" w:color="auto"/>
              <w:right w:val="single" w:sz="4" w:space="0" w:color="auto"/>
            </w:tcBorders>
            <w:shd w:val="clear" w:color="auto" w:fill="auto"/>
            <w:vAlign w:val="center"/>
          </w:tcPr>
          <w:p w14:paraId="17E71433" w14:textId="77777777" w:rsidR="00EF4A2D" w:rsidRPr="00EF4A2D" w:rsidRDefault="00EF4A2D" w:rsidP="00EF4A2D">
            <w:pPr>
              <w:spacing w:before="120" w:after="40"/>
              <w:jc w:val="right"/>
              <w:rPr>
                <w:rFonts w:eastAsia="Calibri"/>
                <w:sz w:val="14"/>
                <w:szCs w:val="14"/>
                <w:lang w:eastAsia="en-US"/>
              </w:rPr>
            </w:pPr>
            <w:r w:rsidRPr="00EF4A2D">
              <w:rPr>
                <w:rFonts w:eastAsia="Calibri"/>
                <w:sz w:val="14"/>
                <w:szCs w:val="14"/>
                <w:lang w:eastAsia="en-US"/>
              </w:rPr>
              <w:t>6</w:t>
            </w:r>
          </w:p>
        </w:tc>
        <w:tc>
          <w:tcPr>
            <w:tcW w:w="284" w:type="dxa"/>
            <w:tcBorders>
              <w:left w:val="single" w:sz="4" w:space="0" w:color="auto"/>
              <w:right w:val="single" w:sz="4" w:space="0" w:color="auto"/>
            </w:tcBorders>
            <w:vAlign w:val="center"/>
          </w:tcPr>
          <w:p w14:paraId="16FEACF1" w14:textId="77777777" w:rsidR="00EF4A2D" w:rsidRPr="00EF4A2D" w:rsidRDefault="00EF4A2D" w:rsidP="00EF4A2D">
            <w:pPr>
              <w:spacing w:before="120" w:after="40"/>
              <w:jc w:val="right"/>
              <w:rPr>
                <w:rFonts w:eastAsia="Calibri"/>
                <w:sz w:val="14"/>
                <w:szCs w:val="14"/>
                <w:lang w:eastAsia="en-US"/>
              </w:rPr>
            </w:pPr>
          </w:p>
        </w:tc>
        <w:tc>
          <w:tcPr>
            <w:tcW w:w="709" w:type="dxa"/>
            <w:tcBorders>
              <w:top w:val="single" w:sz="4" w:space="0" w:color="auto"/>
              <w:left w:val="single" w:sz="4" w:space="0" w:color="auto"/>
              <w:right w:val="single" w:sz="4" w:space="0" w:color="auto"/>
            </w:tcBorders>
            <w:shd w:val="clear" w:color="auto" w:fill="auto"/>
            <w:vAlign w:val="center"/>
          </w:tcPr>
          <w:p w14:paraId="433D46CF" w14:textId="77777777" w:rsidR="00EF4A2D" w:rsidRPr="00EF4A2D" w:rsidRDefault="00EF4A2D" w:rsidP="00EF4A2D">
            <w:pPr>
              <w:spacing w:before="120" w:after="40"/>
              <w:jc w:val="center"/>
              <w:rPr>
                <w:rFonts w:eastAsia="Calibri"/>
                <w:sz w:val="14"/>
                <w:szCs w:val="14"/>
                <w:lang w:eastAsia="en-US"/>
              </w:rPr>
            </w:pPr>
            <w:r w:rsidRPr="00EF4A2D">
              <w:rPr>
                <w:rFonts w:eastAsia="Calibri"/>
                <w:sz w:val="14"/>
                <w:szCs w:val="14"/>
                <w:lang w:eastAsia="en-US"/>
              </w:rPr>
              <w:t>1</w:t>
            </w:r>
          </w:p>
        </w:tc>
        <w:tc>
          <w:tcPr>
            <w:tcW w:w="1842" w:type="dxa"/>
            <w:tcBorders>
              <w:top w:val="single" w:sz="4" w:space="0" w:color="auto"/>
              <w:left w:val="single" w:sz="4" w:space="0" w:color="auto"/>
              <w:right w:val="single" w:sz="4" w:space="0" w:color="auto"/>
            </w:tcBorders>
            <w:shd w:val="clear" w:color="auto" w:fill="auto"/>
            <w:vAlign w:val="center"/>
          </w:tcPr>
          <w:p w14:paraId="20D241F3" w14:textId="77777777" w:rsidR="00EF4A2D" w:rsidRPr="00EF4A2D" w:rsidRDefault="00EF4A2D" w:rsidP="00EF4A2D">
            <w:pPr>
              <w:spacing w:before="120" w:after="40"/>
              <w:jc w:val="both"/>
              <w:rPr>
                <w:rFonts w:eastAsia="Calibri"/>
                <w:sz w:val="14"/>
                <w:szCs w:val="14"/>
                <w:lang w:eastAsia="en-US"/>
              </w:rPr>
            </w:pPr>
            <w:r w:rsidRPr="00EF4A2D">
              <w:rPr>
                <w:rFonts w:eastAsia="Calibri"/>
                <w:sz w:val="14"/>
                <w:szCs w:val="14"/>
                <w:lang w:eastAsia="en-US"/>
              </w:rPr>
              <w:t>Estados Unidos de N.</w:t>
            </w:r>
          </w:p>
        </w:tc>
        <w:tc>
          <w:tcPr>
            <w:tcW w:w="709" w:type="dxa"/>
            <w:tcBorders>
              <w:top w:val="single" w:sz="4" w:space="0" w:color="auto"/>
              <w:left w:val="single" w:sz="4" w:space="0" w:color="auto"/>
              <w:right w:val="single" w:sz="4" w:space="0" w:color="auto"/>
            </w:tcBorders>
            <w:shd w:val="clear" w:color="auto" w:fill="auto"/>
            <w:vAlign w:val="center"/>
          </w:tcPr>
          <w:p w14:paraId="3D38DD72" w14:textId="77777777" w:rsidR="00EF4A2D" w:rsidRPr="00EF4A2D" w:rsidRDefault="00EF4A2D" w:rsidP="00EF4A2D">
            <w:pPr>
              <w:spacing w:before="120" w:after="40"/>
              <w:jc w:val="right"/>
              <w:rPr>
                <w:rFonts w:eastAsia="Calibri"/>
                <w:sz w:val="14"/>
                <w:szCs w:val="14"/>
                <w:lang w:eastAsia="en-US"/>
              </w:rPr>
            </w:pPr>
            <w:r w:rsidRPr="00EF4A2D">
              <w:rPr>
                <w:rFonts w:eastAsia="Calibri"/>
                <w:sz w:val="14"/>
                <w:szCs w:val="14"/>
                <w:lang w:eastAsia="en-US"/>
              </w:rPr>
              <w:t>2 409</w:t>
            </w:r>
          </w:p>
        </w:tc>
        <w:tc>
          <w:tcPr>
            <w:tcW w:w="709" w:type="dxa"/>
            <w:tcBorders>
              <w:top w:val="single" w:sz="4" w:space="0" w:color="auto"/>
              <w:left w:val="single" w:sz="4" w:space="0" w:color="auto"/>
              <w:right w:val="single" w:sz="4" w:space="0" w:color="auto"/>
            </w:tcBorders>
            <w:shd w:val="clear" w:color="auto" w:fill="auto"/>
            <w:vAlign w:val="center"/>
          </w:tcPr>
          <w:p w14:paraId="499433E8" w14:textId="77777777" w:rsidR="00EF4A2D" w:rsidRPr="00EF4A2D" w:rsidRDefault="00EF4A2D" w:rsidP="00EF4A2D">
            <w:pPr>
              <w:spacing w:before="120" w:after="40"/>
              <w:jc w:val="right"/>
              <w:rPr>
                <w:rFonts w:eastAsia="Calibri"/>
                <w:sz w:val="14"/>
                <w:szCs w:val="14"/>
                <w:lang w:eastAsia="en-US"/>
              </w:rPr>
            </w:pPr>
            <w:r w:rsidRPr="00EF4A2D">
              <w:rPr>
                <w:rFonts w:eastAsia="Calibri"/>
                <w:sz w:val="14"/>
                <w:szCs w:val="14"/>
                <w:lang w:eastAsia="en-US"/>
              </w:rPr>
              <w:t>12.7</w:t>
            </w:r>
          </w:p>
        </w:tc>
        <w:tc>
          <w:tcPr>
            <w:tcW w:w="567" w:type="dxa"/>
            <w:tcBorders>
              <w:top w:val="single" w:sz="4" w:space="0" w:color="auto"/>
              <w:left w:val="single" w:sz="4" w:space="0" w:color="auto"/>
              <w:right w:val="single" w:sz="4" w:space="0" w:color="auto"/>
            </w:tcBorders>
            <w:shd w:val="clear" w:color="auto" w:fill="auto"/>
            <w:vAlign w:val="center"/>
          </w:tcPr>
          <w:p w14:paraId="55982EC9" w14:textId="77777777" w:rsidR="00EF4A2D" w:rsidRPr="00EF4A2D" w:rsidRDefault="00EF4A2D" w:rsidP="00EF4A2D">
            <w:pPr>
              <w:spacing w:before="120" w:after="40"/>
              <w:jc w:val="right"/>
              <w:rPr>
                <w:rFonts w:eastAsia="Calibri"/>
                <w:sz w:val="14"/>
                <w:szCs w:val="14"/>
                <w:lang w:eastAsia="en-US"/>
              </w:rPr>
            </w:pPr>
            <w:r w:rsidRPr="00EF4A2D">
              <w:rPr>
                <w:rFonts w:eastAsia="Calibri"/>
                <w:sz w:val="14"/>
                <w:szCs w:val="14"/>
                <w:lang w:eastAsia="en-US"/>
              </w:rPr>
              <w:t>3</w:t>
            </w:r>
          </w:p>
        </w:tc>
      </w:tr>
      <w:tr w:rsidR="00EF4A2D" w:rsidRPr="00EF4A2D" w14:paraId="36A6C03E" w14:textId="77777777" w:rsidTr="00B9606F">
        <w:trPr>
          <w:jc w:val="center"/>
        </w:trPr>
        <w:tc>
          <w:tcPr>
            <w:tcW w:w="709" w:type="dxa"/>
            <w:tcBorders>
              <w:left w:val="single" w:sz="4" w:space="0" w:color="auto"/>
              <w:right w:val="single" w:sz="4" w:space="0" w:color="auto"/>
            </w:tcBorders>
            <w:shd w:val="clear" w:color="auto" w:fill="auto"/>
            <w:vAlign w:val="center"/>
          </w:tcPr>
          <w:p w14:paraId="3C4DF11C"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w:t>
            </w:r>
          </w:p>
        </w:tc>
        <w:tc>
          <w:tcPr>
            <w:tcW w:w="1843" w:type="dxa"/>
            <w:tcBorders>
              <w:left w:val="single" w:sz="4" w:space="0" w:color="auto"/>
              <w:right w:val="single" w:sz="4" w:space="0" w:color="auto"/>
            </w:tcBorders>
            <w:shd w:val="clear" w:color="auto" w:fill="auto"/>
            <w:vAlign w:val="center"/>
          </w:tcPr>
          <w:p w14:paraId="1527975E"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Estados Unidos de N.</w:t>
            </w:r>
          </w:p>
        </w:tc>
        <w:tc>
          <w:tcPr>
            <w:tcW w:w="709" w:type="dxa"/>
            <w:tcBorders>
              <w:left w:val="single" w:sz="4" w:space="0" w:color="auto"/>
              <w:right w:val="single" w:sz="4" w:space="0" w:color="auto"/>
            </w:tcBorders>
            <w:shd w:val="clear" w:color="auto" w:fill="auto"/>
            <w:vAlign w:val="center"/>
          </w:tcPr>
          <w:p w14:paraId="2AE69C9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1 623</w:t>
            </w:r>
          </w:p>
        </w:tc>
        <w:tc>
          <w:tcPr>
            <w:tcW w:w="708" w:type="dxa"/>
            <w:tcBorders>
              <w:left w:val="single" w:sz="4" w:space="0" w:color="auto"/>
              <w:right w:val="single" w:sz="4" w:space="0" w:color="auto"/>
            </w:tcBorders>
            <w:shd w:val="clear" w:color="auto" w:fill="auto"/>
            <w:vAlign w:val="center"/>
          </w:tcPr>
          <w:p w14:paraId="6C12CDA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8.6</w:t>
            </w:r>
          </w:p>
        </w:tc>
        <w:tc>
          <w:tcPr>
            <w:tcW w:w="567" w:type="dxa"/>
            <w:tcBorders>
              <w:left w:val="single" w:sz="4" w:space="0" w:color="auto"/>
              <w:right w:val="single" w:sz="4" w:space="0" w:color="auto"/>
            </w:tcBorders>
            <w:shd w:val="clear" w:color="auto" w:fill="auto"/>
            <w:vAlign w:val="center"/>
          </w:tcPr>
          <w:p w14:paraId="2867AC3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w:t>
            </w:r>
          </w:p>
        </w:tc>
        <w:tc>
          <w:tcPr>
            <w:tcW w:w="284" w:type="dxa"/>
            <w:tcBorders>
              <w:left w:val="single" w:sz="4" w:space="0" w:color="auto"/>
              <w:right w:val="single" w:sz="4" w:space="0" w:color="auto"/>
            </w:tcBorders>
            <w:vAlign w:val="center"/>
          </w:tcPr>
          <w:p w14:paraId="2C45ED2E"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11A8D096"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w:t>
            </w:r>
          </w:p>
        </w:tc>
        <w:tc>
          <w:tcPr>
            <w:tcW w:w="1842" w:type="dxa"/>
            <w:tcBorders>
              <w:left w:val="single" w:sz="4" w:space="0" w:color="auto"/>
              <w:right w:val="single" w:sz="4" w:space="0" w:color="auto"/>
            </w:tcBorders>
            <w:shd w:val="clear" w:color="auto" w:fill="auto"/>
            <w:vAlign w:val="center"/>
          </w:tcPr>
          <w:p w14:paraId="1456B9ED"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China</w:t>
            </w:r>
          </w:p>
        </w:tc>
        <w:tc>
          <w:tcPr>
            <w:tcW w:w="709" w:type="dxa"/>
            <w:tcBorders>
              <w:left w:val="single" w:sz="4" w:space="0" w:color="auto"/>
              <w:right w:val="single" w:sz="4" w:space="0" w:color="auto"/>
            </w:tcBorders>
            <w:shd w:val="clear" w:color="auto" w:fill="auto"/>
            <w:vAlign w:val="center"/>
          </w:tcPr>
          <w:p w14:paraId="5E276BB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1 960</w:t>
            </w:r>
          </w:p>
        </w:tc>
        <w:tc>
          <w:tcPr>
            <w:tcW w:w="709" w:type="dxa"/>
            <w:tcBorders>
              <w:left w:val="single" w:sz="4" w:space="0" w:color="auto"/>
              <w:right w:val="single" w:sz="4" w:space="0" w:color="auto"/>
            </w:tcBorders>
            <w:shd w:val="clear" w:color="auto" w:fill="auto"/>
            <w:vAlign w:val="center"/>
          </w:tcPr>
          <w:p w14:paraId="295D768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10.3</w:t>
            </w:r>
          </w:p>
        </w:tc>
        <w:tc>
          <w:tcPr>
            <w:tcW w:w="567" w:type="dxa"/>
            <w:tcBorders>
              <w:left w:val="single" w:sz="4" w:space="0" w:color="auto"/>
              <w:right w:val="single" w:sz="4" w:space="0" w:color="auto"/>
            </w:tcBorders>
            <w:shd w:val="clear" w:color="auto" w:fill="auto"/>
            <w:vAlign w:val="center"/>
          </w:tcPr>
          <w:p w14:paraId="0197C68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r>
      <w:tr w:rsidR="00EF4A2D" w:rsidRPr="00EF4A2D" w14:paraId="4B8A2278" w14:textId="77777777" w:rsidTr="00B9606F">
        <w:trPr>
          <w:jc w:val="center"/>
        </w:trPr>
        <w:tc>
          <w:tcPr>
            <w:tcW w:w="709" w:type="dxa"/>
            <w:tcBorders>
              <w:left w:val="single" w:sz="4" w:space="0" w:color="auto"/>
              <w:right w:val="single" w:sz="4" w:space="0" w:color="auto"/>
            </w:tcBorders>
            <w:shd w:val="clear" w:color="auto" w:fill="auto"/>
            <w:vAlign w:val="center"/>
          </w:tcPr>
          <w:p w14:paraId="3629D6A7"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3</w:t>
            </w:r>
          </w:p>
        </w:tc>
        <w:tc>
          <w:tcPr>
            <w:tcW w:w="1843" w:type="dxa"/>
            <w:tcBorders>
              <w:left w:val="single" w:sz="4" w:space="0" w:color="auto"/>
              <w:right w:val="single" w:sz="4" w:space="0" w:color="auto"/>
            </w:tcBorders>
            <w:shd w:val="clear" w:color="auto" w:fill="auto"/>
            <w:vAlign w:val="center"/>
          </w:tcPr>
          <w:p w14:paraId="7E1C9896"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Alemania</w:t>
            </w:r>
          </w:p>
        </w:tc>
        <w:tc>
          <w:tcPr>
            <w:tcW w:w="709" w:type="dxa"/>
            <w:tcBorders>
              <w:left w:val="single" w:sz="4" w:space="0" w:color="auto"/>
              <w:right w:val="single" w:sz="4" w:space="0" w:color="auto"/>
            </w:tcBorders>
            <w:shd w:val="clear" w:color="auto" w:fill="auto"/>
            <w:vAlign w:val="center"/>
          </w:tcPr>
          <w:p w14:paraId="2A169D1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1 511</w:t>
            </w:r>
          </w:p>
        </w:tc>
        <w:tc>
          <w:tcPr>
            <w:tcW w:w="708" w:type="dxa"/>
            <w:tcBorders>
              <w:left w:val="single" w:sz="4" w:space="0" w:color="auto"/>
              <w:right w:val="single" w:sz="4" w:space="0" w:color="auto"/>
            </w:tcBorders>
            <w:shd w:val="clear" w:color="auto" w:fill="auto"/>
            <w:vAlign w:val="center"/>
          </w:tcPr>
          <w:p w14:paraId="40964DA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8.0</w:t>
            </w:r>
          </w:p>
        </w:tc>
        <w:tc>
          <w:tcPr>
            <w:tcW w:w="567" w:type="dxa"/>
            <w:tcBorders>
              <w:left w:val="single" w:sz="4" w:space="0" w:color="auto"/>
              <w:right w:val="single" w:sz="4" w:space="0" w:color="auto"/>
            </w:tcBorders>
            <w:shd w:val="clear" w:color="auto" w:fill="auto"/>
            <w:vAlign w:val="center"/>
          </w:tcPr>
          <w:p w14:paraId="612E03F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w:t>
            </w:r>
          </w:p>
        </w:tc>
        <w:tc>
          <w:tcPr>
            <w:tcW w:w="284" w:type="dxa"/>
            <w:tcBorders>
              <w:left w:val="single" w:sz="4" w:space="0" w:color="auto"/>
              <w:right w:val="single" w:sz="4" w:space="0" w:color="auto"/>
            </w:tcBorders>
            <w:vAlign w:val="center"/>
          </w:tcPr>
          <w:p w14:paraId="3D5BF892"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0C5BD5F4"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3</w:t>
            </w:r>
          </w:p>
        </w:tc>
        <w:tc>
          <w:tcPr>
            <w:tcW w:w="1842" w:type="dxa"/>
            <w:tcBorders>
              <w:left w:val="single" w:sz="4" w:space="0" w:color="auto"/>
              <w:right w:val="single" w:sz="4" w:space="0" w:color="auto"/>
            </w:tcBorders>
            <w:shd w:val="clear" w:color="auto" w:fill="auto"/>
            <w:vAlign w:val="center"/>
          </w:tcPr>
          <w:p w14:paraId="3A2BAE1C"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Alemania</w:t>
            </w:r>
          </w:p>
        </w:tc>
        <w:tc>
          <w:tcPr>
            <w:tcW w:w="709" w:type="dxa"/>
            <w:tcBorders>
              <w:left w:val="single" w:sz="4" w:space="0" w:color="auto"/>
              <w:right w:val="single" w:sz="4" w:space="0" w:color="auto"/>
            </w:tcBorders>
            <w:shd w:val="clear" w:color="auto" w:fill="auto"/>
            <w:vAlign w:val="center"/>
          </w:tcPr>
          <w:p w14:paraId="38C3320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1 217</w:t>
            </w:r>
          </w:p>
        </w:tc>
        <w:tc>
          <w:tcPr>
            <w:tcW w:w="709" w:type="dxa"/>
            <w:tcBorders>
              <w:left w:val="single" w:sz="4" w:space="0" w:color="auto"/>
              <w:right w:val="single" w:sz="4" w:space="0" w:color="auto"/>
            </w:tcBorders>
            <w:shd w:val="clear" w:color="auto" w:fill="auto"/>
            <w:vAlign w:val="center"/>
          </w:tcPr>
          <w:p w14:paraId="3363FA4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6.4</w:t>
            </w:r>
          </w:p>
        </w:tc>
        <w:tc>
          <w:tcPr>
            <w:tcW w:w="567" w:type="dxa"/>
            <w:tcBorders>
              <w:left w:val="single" w:sz="4" w:space="0" w:color="auto"/>
              <w:right w:val="single" w:sz="4" w:space="0" w:color="auto"/>
            </w:tcBorders>
            <w:shd w:val="clear" w:color="auto" w:fill="auto"/>
            <w:vAlign w:val="center"/>
          </w:tcPr>
          <w:p w14:paraId="1D867D8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r>
      <w:tr w:rsidR="00EF4A2D" w:rsidRPr="00EF4A2D" w14:paraId="6141398F" w14:textId="77777777" w:rsidTr="00B9606F">
        <w:trPr>
          <w:jc w:val="center"/>
        </w:trPr>
        <w:tc>
          <w:tcPr>
            <w:tcW w:w="709" w:type="dxa"/>
            <w:tcBorders>
              <w:left w:val="single" w:sz="4" w:space="0" w:color="auto"/>
              <w:right w:val="single" w:sz="4" w:space="0" w:color="auto"/>
            </w:tcBorders>
            <w:shd w:val="clear" w:color="auto" w:fill="auto"/>
            <w:vAlign w:val="center"/>
          </w:tcPr>
          <w:p w14:paraId="0D59368E"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4</w:t>
            </w:r>
          </w:p>
        </w:tc>
        <w:tc>
          <w:tcPr>
            <w:tcW w:w="1843" w:type="dxa"/>
            <w:tcBorders>
              <w:left w:val="single" w:sz="4" w:space="0" w:color="auto"/>
              <w:right w:val="single" w:sz="4" w:space="0" w:color="auto"/>
            </w:tcBorders>
            <w:shd w:val="clear" w:color="auto" w:fill="auto"/>
            <w:vAlign w:val="center"/>
          </w:tcPr>
          <w:p w14:paraId="328E9AB6"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Japón</w:t>
            </w:r>
          </w:p>
        </w:tc>
        <w:tc>
          <w:tcPr>
            <w:tcW w:w="709" w:type="dxa"/>
            <w:tcBorders>
              <w:left w:val="single" w:sz="4" w:space="0" w:color="auto"/>
              <w:right w:val="single" w:sz="4" w:space="0" w:color="auto"/>
            </w:tcBorders>
            <w:shd w:val="clear" w:color="auto" w:fill="auto"/>
            <w:vAlign w:val="center"/>
          </w:tcPr>
          <w:p w14:paraId="23D209A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684</w:t>
            </w:r>
          </w:p>
        </w:tc>
        <w:tc>
          <w:tcPr>
            <w:tcW w:w="708" w:type="dxa"/>
            <w:tcBorders>
              <w:left w:val="single" w:sz="4" w:space="0" w:color="auto"/>
              <w:right w:val="single" w:sz="4" w:space="0" w:color="auto"/>
            </w:tcBorders>
            <w:shd w:val="clear" w:color="auto" w:fill="auto"/>
            <w:vAlign w:val="center"/>
          </w:tcPr>
          <w:p w14:paraId="4BC8A40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3.6</w:t>
            </w:r>
          </w:p>
        </w:tc>
        <w:tc>
          <w:tcPr>
            <w:tcW w:w="567" w:type="dxa"/>
            <w:tcBorders>
              <w:left w:val="single" w:sz="4" w:space="0" w:color="auto"/>
              <w:right w:val="single" w:sz="4" w:space="0" w:color="auto"/>
            </w:tcBorders>
            <w:shd w:val="clear" w:color="auto" w:fill="auto"/>
            <w:vAlign w:val="center"/>
          </w:tcPr>
          <w:p w14:paraId="6B499D5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w:t>
            </w:r>
          </w:p>
        </w:tc>
        <w:tc>
          <w:tcPr>
            <w:tcW w:w="284" w:type="dxa"/>
            <w:tcBorders>
              <w:left w:val="single" w:sz="4" w:space="0" w:color="auto"/>
              <w:right w:val="single" w:sz="4" w:space="0" w:color="auto"/>
            </w:tcBorders>
            <w:vAlign w:val="center"/>
          </w:tcPr>
          <w:p w14:paraId="022736E2"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357128D6"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4</w:t>
            </w:r>
          </w:p>
        </w:tc>
        <w:tc>
          <w:tcPr>
            <w:tcW w:w="1842" w:type="dxa"/>
            <w:tcBorders>
              <w:left w:val="single" w:sz="4" w:space="0" w:color="auto"/>
              <w:right w:val="single" w:sz="4" w:space="0" w:color="auto"/>
            </w:tcBorders>
            <w:shd w:val="clear" w:color="auto" w:fill="auto"/>
            <w:vAlign w:val="center"/>
          </w:tcPr>
          <w:p w14:paraId="51385E14"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Japón</w:t>
            </w:r>
          </w:p>
        </w:tc>
        <w:tc>
          <w:tcPr>
            <w:tcW w:w="709" w:type="dxa"/>
            <w:tcBorders>
              <w:left w:val="single" w:sz="4" w:space="0" w:color="auto"/>
              <w:right w:val="single" w:sz="4" w:space="0" w:color="auto"/>
            </w:tcBorders>
            <w:shd w:val="clear" w:color="auto" w:fill="auto"/>
            <w:vAlign w:val="center"/>
          </w:tcPr>
          <w:p w14:paraId="7A7E08E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822</w:t>
            </w:r>
          </w:p>
        </w:tc>
        <w:tc>
          <w:tcPr>
            <w:tcW w:w="709" w:type="dxa"/>
            <w:tcBorders>
              <w:left w:val="single" w:sz="4" w:space="0" w:color="auto"/>
              <w:right w:val="single" w:sz="4" w:space="0" w:color="auto"/>
            </w:tcBorders>
            <w:shd w:val="clear" w:color="auto" w:fill="auto"/>
            <w:vAlign w:val="center"/>
          </w:tcPr>
          <w:p w14:paraId="50290F8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4.3</w:t>
            </w:r>
          </w:p>
        </w:tc>
        <w:tc>
          <w:tcPr>
            <w:tcW w:w="567" w:type="dxa"/>
            <w:tcBorders>
              <w:left w:val="single" w:sz="4" w:space="0" w:color="auto"/>
              <w:right w:val="single" w:sz="4" w:space="0" w:color="auto"/>
            </w:tcBorders>
            <w:shd w:val="clear" w:color="auto" w:fill="auto"/>
            <w:vAlign w:val="center"/>
          </w:tcPr>
          <w:p w14:paraId="5245F7D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r>
      <w:tr w:rsidR="00EF4A2D" w:rsidRPr="00EF4A2D" w14:paraId="4A6E75A8" w14:textId="77777777" w:rsidTr="00B9606F">
        <w:trPr>
          <w:jc w:val="center"/>
        </w:trPr>
        <w:tc>
          <w:tcPr>
            <w:tcW w:w="709" w:type="dxa"/>
            <w:tcBorders>
              <w:left w:val="single" w:sz="4" w:space="0" w:color="auto"/>
              <w:right w:val="single" w:sz="4" w:space="0" w:color="auto"/>
            </w:tcBorders>
            <w:shd w:val="clear" w:color="auto" w:fill="auto"/>
            <w:vAlign w:val="center"/>
          </w:tcPr>
          <w:p w14:paraId="1E4A0FF9"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5</w:t>
            </w:r>
          </w:p>
        </w:tc>
        <w:tc>
          <w:tcPr>
            <w:tcW w:w="1843" w:type="dxa"/>
            <w:tcBorders>
              <w:left w:val="single" w:sz="4" w:space="0" w:color="auto"/>
              <w:right w:val="single" w:sz="4" w:space="0" w:color="auto"/>
            </w:tcBorders>
            <w:shd w:val="clear" w:color="auto" w:fill="auto"/>
            <w:vAlign w:val="center"/>
          </w:tcPr>
          <w:p w14:paraId="1A5381F3"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Países Bajos</w:t>
            </w:r>
          </w:p>
        </w:tc>
        <w:tc>
          <w:tcPr>
            <w:tcW w:w="709" w:type="dxa"/>
            <w:tcBorders>
              <w:left w:val="single" w:sz="4" w:space="0" w:color="auto"/>
              <w:right w:val="single" w:sz="4" w:space="0" w:color="auto"/>
            </w:tcBorders>
            <w:shd w:val="clear" w:color="auto" w:fill="auto"/>
            <w:vAlign w:val="center"/>
          </w:tcPr>
          <w:p w14:paraId="10AD0D7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672</w:t>
            </w:r>
          </w:p>
        </w:tc>
        <w:tc>
          <w:tcPr>
            <w:tcW w:w="708" w:type="dxa"/>
            <w:tcBorders>
              <w:left w:val="single" w:sz="4" w:space="0" w:color="auto"/>
              <w:right w:val="single" w:sz="4" w:space="0" w:color="auto"/>
            </w:tcBorders>
            <w:shd w:val="clear" w:color="auto" w:fill="auto"/>
            <w:vAlign w:val="center"/>
          </w:tcPr>
          <w:p w14:paraId="59EB2F7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3.6</w:t>
            </w:r>
          </w:p>
        </w:tc>
        <w:tc>
          <w:tcPr>
            <w:tcW w:w="567" w:type="dxa"/>
            <w:tcBorders>
              <w:left w:val="single" w:sz="4" w:space="0" w:color="auto"/>
              <w:right w:val="single" w:sz="4" w:space="0" w:color="auto"/>
            </w:tcBorders>
            <w:shd w:val="clear" w:color="auto" w:fill="auto"/>
            <w:vAlign w:val="center"/>
          </w:tcPr>
          <w:p w14:paraId="2E88541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w:t>
            </w:r>
          </w:p>
        </w:tc>
        <w:tc>
          <w:tcPr>
            <w:tcW w:w="284" w:type="dxa"/>
            <w:tcBorders>
              <w:left w:val="single" w:sz="4" w:space="0" w:color="auto"/>
              <w:right w:val="single" w:sz="4" w:space="0" w:color="auto"/>
            </w:tcBorders>
            <w:vAlign w:val="center"/>
          </w:tcPr>
          <w:p w14:paraId="3F0E3C10"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2022FF84"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5</w:t>
            </w:r>
          </w:p>
        </w:tc>
        <w:tc>
          <w:tcPr>
            <w:tcW w:w="1842" w:type="dxa"/>
            <w:tcBorders>
              <w:left w:val="single" w:sz="4" w:space="0" w:color="auto"/>
              <w:right w:val="single" w:sz="4" w:space="0" w:color="auto"/>
            </w:tcBorders>
            <w:shd w:val="clear" w:color="auto" w:fill="auto"/>
            <w:vAlign w:val="center"/>
          </w:tcPr>
          <w:p w14:paraId="79B12C4A"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Reino Unido</w:t>
            </w:r>
          </w:p>
        </w:tc>
        <w:tc>
          <w:tcPr>
            <w:tcW w:w="709" w:type="dxa"/>
            <w:tcBorders>
              <w:left w:val="single" w:sz="4" w:space="0" w:color="auto"/>
              <w:right w:val="single" w:sz="4" w:space="0" w:color="auto"/>
            </w:tcBorders>
            <w:shd w:val="clear" w:color="auto" w:fill="auto"/>
            <w:vAlign w:val="center"/>
          </w:tcPr>
          <w:p w14:paraId="1CFCFBB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683</w:t>
            </w:r>
          </w:p>
        </w:tc>
        <w:tc>
          <w:tcPr>
            <w:tcW w:w="709" w:type="dxa"/>
            <w:tcBorders>
              <w:left w:val="single" w:sz="4" w:space="0" w:color="auto"/>
              <w:right w:val="single" w:sz="4" w:space="0" w:color="auto"/>
            </w:tcBorders>
            <w:shd w:val="clear" w:color="auto" w:fill="auto"/>
            <w:vAlign w:val="center"/>
          </w:tcPr>
          <w:p w14:paraId="30512D17"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3.6</w:t>
            </w:r>
          </w:p>
        </w:tc>
        <w:tc>
          <w:tcPr>
            <w:tcW w:w="567" w:type="dxa"/>
            <w:tcBorders>
              <w:left w:val="single" w:sz="4" w:space="0" w:color="auto"/>
              <w:right w:val="single" w:sz="4" w:space="0" w:color="auto"/>
            </w:tcBorders>
            <w:shd w:val="clear" w:color="auto" w:fill="auto"/>
            <w:vAlign w:val="center"/>
          </w:tcPr>
          <w:p w14:paraId="353B992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w:t>
            </w:r>
          </w:p>
        </w:tc>
      </w:tr>
      <w:tr w:rsidR="00EF4A2D" w:rsidRPr="00EF4A2D" w14:paraId="636A4274" w14:textId="77777777" w:rsidTr="00B9606F">
        <w:trPr>
          <w:jc w:val="center"/>
        </w:trPr>
        <w:tc>
          <w:tcPr>
            <w:tcW w:w="709" w:type="dxa"/>
            <w:tcBorders>
              <w:left w:val="single" w:sz="4" w:space="0" w:color="auto"/>
              <w:right w:val="single" w:sz="4" w:space="0" w:color="auto"/>
            </w:tcBorders>
            <w:shd w:val="clear" w:color="auto" w:fill="auto"/>
            <w:vAlign w:val="center"/>
          </w:tcPr>
          <w:p w14:paraId="0AA492BD"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6</w:t>
            </w:r>
          </w:p>
        </w:tc>
        <w:tc>
          <w:tcPr>
            <w:tcW w:w="1843" w:type="dxa"/>
            <w:tcBorders>
              <w:left w:val="single" w:sz="4" w:space="0" w:color="auto"/>
              <w:right w:val="single" w:sz="4" w:space="0" w:color="auto"/>
            </w:tcBorders>
            <w:shd w:val="clear" w:color="auto" w:fill="auto"/>
            <w:vAlign w:val="center"/>
          </w:tcPr>
          <w:p w14:paraId="669E14EE"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Francia</w:t>
            </w:r>
          </w:p>
        </w:tc>
        <w:tc>
          <w:tcPr>
            <w:tcW w:w="709" w:type="dxa"/>
            <w:tcBorders>
              <w:left w:val="single" w:sz="4" w:space="0" w:color="auto"/>
              <w:right w:val="single" w:sz="4" w:space="0" w:color="auto"/>
            </w:tcBorders>
            <w:shd w:val="clear" w:color="auto" w:fill="auto"/>
            <w:vAlign w:val="center"/>
          </w:tcPr>
          <w:p w14:paraId="5995D81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583</w:t>
            </w:r>
          </w:p>
        </w:tc>
        <w:tc>
          <w:tcPr>
            <w:tcW w:w="708" w:type="dxa"/>
            <w:tcBorders>
              <w:left w:val="single" w:sz="4" w:space="0" w:color="auto"/>
              <w:right w:val="single" w:sz="4" w:space="0" w:color="auto"/>
            </w:tcBorders>
            <w:shd w:val="clear" w:color="auto" w:fill="auto"/>
            <w:vAlign w:val="center"/>
          </w:tcPr>
          <w:p w14:paraId="6490885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3.1</w:t>
            </w:r>
          </w:p>
        </w:tc>
        <w:tc>
          <w:tcPr>
            <w:tcW w:w="567" w:type="dxa"/>
            <w:tcBorders>
              <w:left w:val="single" w:sz="4" w:space="0" w:color="auto"/>
              <w:right w:val="single" w:sz="4" w:space="0" w:color="auto"/>
            </w:tcBorders>
            <w:shd w:val="clear" w:color="auto" w:fill="auto"/>
            <w:vAlign w:val="center"/>
          </w:tcPr>
          <w:p w14:paraId="17CBF14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w:t>
            </w:r>
          </w:p>
        </w:tc>
        <w:tc>
          <w:tcPr>
            <w:tcW w:w="284" w:type="dxa"/>
            <w:tcBorders>
              <w:left w:val="single" w:sz="4" w:space="0" w:color="auto"/>
              <w:right w:val="single" w:sz="4" w:space="0" w:color="auto"/>
            </w:tcBorders>
            <w:vAlign w:val="center"/>
          </w:tcPr>
          <w:p w14:paraId="05F367E4"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65E5536B"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6</w:t>
            </w:r>
          </w:p>
        </w:tc>
        <w:tc>
          <w:tcPr>
            <w:tcW w:w="1842" w:type="dxa"/>
            <w:tcBorders>
              <w:left w:val="single" w:sz="4" w:space="0" w:color="auto"/>
              <w:right w:val="single" w:sz="4" w:space="0" w:color="auto"/>
            </w:tcBorders>
            <w:shd w:val="clear" w:color="auto" w:fill="auto"/>
            <w:vAlign w:val="center"/>
          </w:tcPr>
          <w:p w14:paraId="29BE158D"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Francia</w:t>
            </w:r>
          </w:p>
        </w:tc>
        <w:tc>
          <w:tcPr>
            <w:tcW w:w="709" w:type="dxa"/>
            <w:tcBorders>
              <w:left w:val="single" w:sz="4" w:space="0" w:color="auto"/>
              <w:right w:val="single" w:sz="4" w:space="0" w:color="auto"/>
            </w:tcBorders>
            <w:shd w:val="clear" w:color="auto" w:fill="auto"/>
            <w:vAlign w:val="center"/>
          </w:tcPr>
          <w:p w14:paraId="7C4D885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679</w:t>
            </w:r>
          </w:p>
        </w:tc>
        <w:tc>
          <w:tcPr>
            <w:tcW w:w="709" w:type="dxa"/>
            <w:tcBorders>
              <w:left w:val="single" w:sz="4" w:space="0" w:color="auto"/>
              <w:right w:val="single" w:sz="4" w:space="0" w:color="auto"/>
            </w:tcBorders>
            <w:shd w:val="clear" w:color="auto" w:fill="auto"/>
            <w:vAlign w:val="center"/>
          </w:tcPr>
          <w:p w14:paraId="4574E57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3.6</w:t>
            </w:r>
          </w:p>
        </w:tc>
        <w:tc>
          <w:tcPr>
            <w:tcW w:w="567" w:type="dxa"/>
            <w:tcBorders>
              <w:left w:val="single" w:sz="4" w:space="0" w:color="auto"/>
              <w:right w:val="single" w:sz="4" w:space="0" w:color="auto"/>
            </w:tcBorders>
            <w:shd w:val="clear" w:color="auto" w:fill="auto"/>
            <w:vAlign w:val="center"/>
          </w:tcPr>
          <w:p w14:paraId="30951C4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w:t>
            </w:r>
          </w:p>
        </w:tc>
      </w:tr>
      <w:tr w:rsidR="00EF4A2D" w:rsidRPr="00EF4A2D" w14:paraId="649DBE6E" w14:textId="77777777" w:rsidTr="00B9606F">
        <w:trPr>
          <w:jc w:val="center"/>
        </w:trPr>
        <w:tc>
          <w:tcPr>
            <w:tcW w:w="709" w:type="dxa"/>
            <w:tcBorders>
              <w:left w:val="single" w:sz="4" w:space="0" w:color="auto"/>
              <w:right w:val="single" w:sz="4" w:space="0" w:color="auto"/>
            </w:tcBorders>
            <w:shd w:val="clear" w:color="auto" w:fill="auto"/>
            <w:vAlign w:val="center"/>
          </w:tcPr>
          <w:p w14:paraId="7E844F9A"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7</w:t>
            </w:r>
          </w:p>
        </w:tc>
        <w:tc>
          <w:tcPr>
            <w:tcW w:w="1843" w:type="dxa"/>
            <w:tcBorders>
              <w:left w:val="single" w:sz="4" w:space="0" w:color="auto"/>
              <w:right w:val="single" w:sz="4" w:space="0" w:color="auto"/>
            </w:tcBorders>
            <w:shd w:val="clear" w:color="auto" w:fill="auto"/>
            <w:vAlign w:val="center"/>
          </w:tcPr>
          <w:p w14:paraId="34EEC3A1"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Corea, República de</w:t>
            </w:r>
          </w:p>
        </w:tc>
        <w:tc>
          <w:tcPr>
            <w:tcW w:w="709" w:type="dxa"/>
            <w:tcBorders>
              <w:left w:val="single" w:sz="4" w:space="0" w:color="auto"/>
              <w:right w:val="single" w:sz="4" w:space="0" w:color="auto"/>
            </w:tcBorders>
            <w:shd w:val="clear" w:color="auto" w:fill="auto"/>
            <w:vAlign w:val="center"/>
          </w:tcPr>
          <w:p w14:paraId="46D3B48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573</w:t>
            </w:r>
          </w:p>
        </w:tc>
        <w:tc>
          <w:tcPr>
            <w:tcW w:w="708" w:type="dxa"/>
            <w:tcBorders>
              <w:left w:val="single" w:sz="4" w:space="0" w:color="auto"/>
              <w:right w:val="single" w:sz="4" w:space="0" w:color="auto"/>
            </w:tcBorders>
            <w:shd w:val="clear" w:color="auto" w:fill="auto"/>
            <w:vAlign w:val="center"/>
          </w:tcPr>
          <w:p w14:paraId="42C286D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3.0</w:t>
            </w:r>
          </w:p>
        </w:tc>
        <w:tc>
          <w:tcPr>
            <w:tcW w:w="567" w:type="dxa"/>
            <w:tcBorders>
              <w:left w:val="single" w:sz="4" w:space="0" w:color="auto"/>
              <w:right w:val="single" w:sz="4" w:space="0" w:color="auto"/>
            </w:tcBorders>
            <w:shd w:val="clear" w:color="auto" w:fill="auto"/>
            <w:vAlign w:val="center"/>
          </w:tcPr>
          <w:p w14:paraId="3BBC15D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c>
          <w:tcPr>
            <w:tcW w:w="284" w:type="dxa"/>
            <w:tcBorders>
              <w:left w:val="single" w:sz="4" w:space="0" w:color="auto"/>
              <w:right w:val="single" w:sz="4" w:space="0" w:color="auto"/>
            </w:tcBorders>
            <w:vAlign w:val="center"/>
          </w:tcPr>
          <w:p w14:paraId="399DA461"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6FB7F294"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7</w:t>
            </w:r>
          </w:p>
        </w:tc>
        <w:tc>
          <w:tcPr>
            <w:tcW w:w="1842" w:type="dxa"/>
            <w:tcBorders>
              <w:left w:val="single" w:sz="4" w:space="0" w:color="auto"/>
              <w:right w:val="single" w:sz="4" w:space="0" w:color="auto"/>
            </w:tcBorders>
            <w:shd w:val="clear" w:color="auto" w:fill="auto"/>
            <w:vAlign w:val="center"/>
          </w:tcPr>
          <w:p w14:paraId="7EE213B2"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Hong Kong, China</w:t>
            </w:r>
          </w:p>
        </w:tc>
        <w:tc>
          <w:tcPr>
            <w:tcW w:w="709" w:type="dxa"/>
            <w:tcBorders>
              <w:left w:val="single" w:sz="4" w:space="0" w:color="auto"/>
              <w:right w:val="single" w:sz="4" w:space="0" w:color="auto"/>
            </w:tcBorders>
            <w:shd w:val="clear" w:color="auto" w:fill="auto"/>
            <w:vAlign w:val="center"/>
          </w:tcPr>
          <w:p w14:paraId="421A7E4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601</w:t>
            </w:r>
          </w:p>
        </w:tc>
        <w:tc>
          <w:tcPr>
            <w:tcW w:w="709" w:type="dxa"/>
            <w:tcBorders>
              <w:left w:val="single" w:sz="4" w:space="0" w:color="auto"/>
              <w:right w:val="single" w:sz="4" w:space="0" w:color="auto"/>
            </w:tcBorders>
            <w:shd w:val="clear" w:color="auto" w:fill="auto"/>
            <w:vAlign w:val="center"/>
          </w:tcPr>
          <w:p w14:paraId="0D6BA2A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3.2</w:t>
            </w:r>
          </w:p>
        </w:tc>
        <w:tc>
          <w:tcPr>
            <w:tcW w:w="567" w:type="dxa"/>
            <w:tcBorders>
              <w:left w:val="single" w:sz="4" w:space="0" w:color="auto"/>
              <w:right w:val="single" w:sz="4" w:space="0" w:color="auto"/>
            </w:tcBorders>
            <w:shd w:val="clear" w:color="auto" w:fill="auto"/>
            <w:vAlign w:val="center"/>
          </w:tcPr>
          <w:p w14:paraId="754B4B8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w:t>
            </w:r>
          </w:p>
        </w:tc>
      </w:tr>
      <w:tr w:rsidR="00EF4A2D" w:rsidRPr="00EF4A2D" w14:paraId="541B2DAC" w14:textId="77777777" w:rsidTr="00B9606F">
        <w:trPr>
          <w:jc w:val="center"/>
        </w:trPr>
        <w:tc>
          <w:tcPr>
            <w:tcW w:w="709" w:type="dxa"/>
            <w:tcBorders>
              <w:left w:val="single" w:sz="4" w:space="0" w:color="auto"/>
              <w:right w:val="single" w:sz="4" w:space="0" w:color="auto"/>
            </w:tcBorders>
            <w:shd w:val="clear" w:color="auto" w:fill="auto"/>
            <w:vAlign w:val="center"/>
          </w:tcPr>
          <w:p w14:paraId="129F5EF3" w14:textId="77777777" w:rsidR="00EF4A2D" w:rsidRPr="00EF4A2D" w:rsidRDefault="00EF4A2D" w:rsidP="00EF4A2D">
            <w:pPr>
              <w:spacing w:before="40" w:after="40"/>
              <w:jc w:val="center"/>
              <w:rPr>
                <w:rFonts w:eastAsia="Calibri"/>
                <w:sz w:val="14"/>
                <w:szCs w:val="14"/>
                <w:lang w:eastAsia="en-US"/>
              </w:rPr>
            </w:pPr>
          </w:p>
        </w:tc>
        <w:tc>
          <w:tcPr>
            <w:tcW w:w="1843" w:type="dxa"/>
            <w:tcBorders>
              <w:left w:val="single" w:sz="4" w:space="0" w:color="auto"/>
              <w:right w:val="single" w:sz="4" w:space="0" w:color="auto"/>
            </w:tcBorders>
            <w:shd w:val="clear" w:color="auto" w:fill="auto"/>
            <w:vAlign w:val="center"/>
          </w:tcPr>
          <w:p w14:paraId="070A53B7" w14:textId="77777777" w:rsidR="00EF4A2D" w:rsidRPr="00EF4A2D" w:rsidRDefault="00EF4A2D" w:rsidP="00EF4A2D">
            <w:pPr>
              <w:spacing w:before="40" w:after="40"/>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323A593D" w14:textId="77777777" w:rsidR="00EF4A2D" w:rsidRPr="00EF4A2D" w:rsidRDefault="00EF4A2D" w:rsidP="00EF4A2D">
            <w:pPr>
              <w:spacing w:before="40" w:after="40"/>
              <w:jc w:val="right"/>
              <w:rPr>
                <w:rFonts w:eastAsia="Calibri"/>
                <w:sz w:val="14"/>
                <w:szCs w:val="14"/>
                <w:lang w:eastAsia="en-US"/>
              </w:rPr>
            </w:pPr>
          </w:p>
        </w:tc>
        <w:tc>
          <w:tcPr>
            <w:tcW w:w="708" w:type="dxa"/>
            <w:tcBorders>
              <w:left w:val="single" w:sz="4" w:space="0" w:color="auto"/>
              <w:right w:val="single" w:sz="4" w:space="0" w:color="auto"/>
            </w:tcBorders>
            <w:shd w:val="clear" w:color="auto" w:fill="auto"/>
            <w:vAlign w:val="center"/>
          </w:tcPr>
          <w:p w14:paraId="037E5720" w14:textId="77777777" w:rsidR="00EF4A2D" w:rsidRPr="00EF4A2D" w:rsidRDefault="00EF4A2D" w:rsidP="00EF4A2D">
            <w:pPr>
              <w:spacing w:before="40" w:after="40"/>
              <w:jc w:val="right"/>
              <w:rPr>
                <w:rFonts w:eastAsia="Calibri"/>
                <w:sz w:val="14"/>
                <w:szCs w:val="14"/>
                <w:lang w:eastAsia="en-US"/>
              </w:rPr>
            </w:pPr>
          </w:p>
        </w:tc>
        <w:tc>
          <w:tcPr>
            <w:tcW w:w="567" w:type="dxa"/>
            <w:tcBorders>
              <w:left w:val="single" w:sz="4" w:space="0" w:color="auto"/>
              <w:right w:val="single" w:sz="4" w:space="0" w:color="auto"/>
            </w:tcBorders>
            <w:shd w:val="clear" w:color="auto" w:fill="auto"/>
            <w:vAlign w:val="center"/>
          </w:tcPr>
          <w:p w14:paraId="20E11190" w14:textId="77777777" w:rsidR="00EF4A2D" w:rsidRPr="00EF4A2D" w:rsidRDefault="00EF4A2D" w:rsidP="00EF4A2D">
            <w:pPr>
              <w:spacing w:before="40" w:after="40"/>
              <w:jc w:val="right"/>
              <w:rPr>
                <w:rFonts w:eastAsia="Calibri"/>
                <w:sz w:val="14"/>
                <w:szCs w:val="14"/>
                <w:lang w:eastAsia="en-US"/>
              </w:rPr>
            </w:pPr>
          </w:p>
        </w:tc>
        <w:tc>
          <w:tcPr>
            <w:tcW w:w="284" w:type="dxa"/>
            <w:tcBorders>
              <w:left w:val="single" w:sz="4" w:space="0" w:color="auto"/>
              <w:right w:val="single" w:sz="4" w:space="0" w:color="auto"/>
            </w:tcBorders>
            <w:vAlign w:val="center"/>
          </w:tcPr>
          <w:p w14:paraId="756B77DB"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36E215C1" w14:textId="77777777" w:rsidR="00EF4A2D" w:rsidRPr="00EF4A2D" w:rsidRDefault="00EF4A2D" w:rsidP="00EF4A2D">
            <w:pPr>
              <w:spacing w:before="40" w:after="40"/>
              <w:jc w:val="center"/>
              <w:rPr>
                <w:rFonts w:eastAsia="Calibri"/>
                <w:sz w:val="14"/>
                <w:szCs w:val="14"/>
                <w:lang w:eastAsia="en-US"/>
              </w:rPr>
            </w:pPr>
          </w:p>
        </w:tc>
        <w:tc>
          <w:tcPr>
            <w:tcW w:w="1842" w:type="dxa"/>
            <w:tcBorders>
              <w:left w:val="single" w:sz="4" w:space="0" w:color="auto"/>
              <w:right w:val="single" w:sz="4" w:space="0" w:color="auto"/>
            </w:tcBorders>
            <w:shd w:val="clear" w:color="auto" w:fill="auto"/>
            <w:vAlign w:val="center"/>
          </w:tcPr>
          <w:p w14:paraId="1A695712"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-Importaciones definitivas</w:t>
            </w:r>
          </w:p>
        </w:tc>
        <w:tc>
          <w:tcPr>
            <w:tcW w:w="709" w:type="dxa"/>
            <w:tcBorders>
              <w:left w:val="single" w:sz="4" w:space="0" w:color="auto"/>
              <w:right w:val="single" w:sz="4" w:space="0" w:color="auto"/>
            </w:tcBorders>
            <w:shd w:val="clear" w:color="auto" w:fill="auto"/>
            <w:vAlign w:val="center"/>
          </w:tcPr>
          <w:p w14:paraId="563E0BB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151</w:t>
            </w:r>
          </w:p>
        </w:tc>
        <w:tc>
          <w:tcPr>
            <w:tcW w:w="709" w:type="dxa"/>
            <w:tcBorders>
              <w:left w:val="single" w:sz="4" w:space="0" w:color="auto"/>
              <w:right w:val="single" w:sz="4" w:space="0" w:color="auto"/>
            </w:tcBorders>
            <w:shd w:val="clear" w:color="auto" w:fill="auto"/>
            <w:vAlign w:val="center"/>
          </w:tcPr>
          <w:p w14:paraId="2554D5A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0.8</w:t>
            </w:r>
          </w:p>
        </w:tc>
        <w:tc>
          <w:tcPr>
            <w:tcW w:w="567" w:type="dxa"/>
            <w:tcBorders>
              <w:left w:val="single" w:sz="4" w:space="0" w:color="auto"/>
              <w:right w:val="single" w:sz="4" w:space="0" w:color="auto"/>
            </w:tcBorders>
            <w:shd w:val="clear" w:color="auto" w:fill="auto"/>
            <w:vAlign w:val="center"/>
          </w:tcPr>
          <w:p w14:paraId="4294736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w:t>
            </w:r>
          </w:p>
        </w:tc>
      </w:tr>
      <w:tr w:rsidR="00EF4A2D" w:rsidRPr="00EF4A2D" w14:paraId="08260D42" w14:textId="77777777" w:rsidTr="00B9606F">
        <w:trPr>
          <w:jc w:val="center"/>
        </w:trPr>
        <w:tc>
          <w:tcPr>
            <w:tcW w:w="709" w:type="dxa"/>
            <w:tcBorders>
              <w:left w:val="single" w:sz="4" w:space="0" w:color="auto"/>
              <w:right w:val="single" w:sz="4" w:space="0" w:color="auto"/>
            </w:tcBorders>
            <w:shd w:val="clear" w:color="auto" w:fill="auto"/>
            <w:vAlign w:val="center"/>
          </w:tcPr>
          <w:p w14:paraId="31B40CBB"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8</w:t>
            </w:r>
          </w:p>
        </w:tc>
        <w:tc>
          <w:tcPr>
            <w:tcW w:w="1843" w:type="dxa"/>
            <w:tcBorders>
              <w:left w:val="single" w:sz="4" w:space="0" w:color="auto"/>
              <w:right w:val="single" w:sz="4" w:space="0" w:color="auto"/>
            </w:tcBorders>
            <w:shd w:val="clear" w:color="auto" w:fill="auto"/>
            <w:vAlign w:val="center"/>
          </w:tcPr>
          <w:p w14:paraId="63593554"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Italia</w:t>
            </w:r>
          </w:p>
        </w:tc>
        <w:tc>
          <w:tcPr>
            <w:tcW w:w="709" w:type="dxa"/>
            <w:tcBorders>
              <w:left w:val="single" w:sz="4" w:space="0" w:color="auto"/>
              <w:right w:val="single" w:sz="4" w:space="0" w:color="auto"/>
            </w:tcBorders>
            <w:shd w:val="clear" w:color="auto" w:fill="auto"/>
            <w:vAlign w:val="center"/>
          </w:tcPr>
          <w:p w14:paraId="705FB7B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529</w:t>
            </w:r>
          </w:p>
        </w:tc>
        <w:tc>
          <w:tcPr>
            <w:tcW w:w="708" w:type="dxa"/>
            <w:tcBorders>
              <w:left w:val="single" w:sz="4" w:space="0" w:color="auto"/>
              <w:right w:val="single" w:sz="4" w:space="0" w:color="auto"/>
            </w:tcBorders>
            <w:shd w:val="clear" w:color="auto" w:fill="auto"/>
            <w:vAlign w:val="center"/>
          </w:tcPr>
          <w:p w14:paraId="231816B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2.8</w:t>
            </w:r>
          </w:p>
        </w:tc>
        <w:tc>
          <w:tcPr>
            <w:tcW w:w="567" w:type="dxa"/>
            <w:tcBorders>
              <w:left w:val="single" w:sz="4" w:space="0" w:color="auto"/>
              <w:right w:val="single" w:sz="4" w:space="0" w:color="auto"/>
            </w:tcBorders>
            <w:shd w:val="clear" w:color="auto" w:fill="auto"/>
            <w:vAlign w:val="center"/>
          </w:tcPr>
          <w:p w14:paraId="6E2D251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c>
          <w:tcPr>
            <w:tcW w:w="284" w:type="dxa"/>
            <w:tcBorders>
              <w:left w:val="single" w:sz="4" w:space="0" w:color="auto"/>
              <w:right w:val="single" w:sz="4" w:space="0" w:color="auto"/>
            </w:tcBorders>
            <w:vAlign w:val="center"/>
          </w:tcPr>
          <w:p w14:paraId="54F54B7B"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615DA365"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8</w:t>
            </w:r>
          </w:p>
        </w:tc>
        <w:tc>
          <w:tcPr>
            <w:tcW w:w="1842" w:type="dxa"/>
            <w:tcBorders>
              <w:left w:val="single" w:sz="4" w:space="0" w:color="auto"/>
              <w:right w:val="single" w:sz="4" w:space="0" w:color="auto"/>
            </w:tcBorders>
            <w:shd w:val="clear" w:color="auto" w:fill="auto"/>
            <w:vAlign w:val="center"/>
          </w:tcPr>
          <w:p w14:paraId="6052413E"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Países bajos</w:t>
            </w:r>
          </w:p>
        </w:tc>
        <w:tc>
          <w:tcPr>
            <w:tcW w:w="709" w:type="dxa"/>
            <w:tcBorders>
              <w:left w:val="single" w:sz="4" w:space="0" w:color="auto"/>
              <w:right w:val="single" w:sz="4" w:space="0" w:color="auto"/>
            </w:tcBorders>
            <w:shd w:val="clear" w:color="auto" w:fill="auto"/>
            <w:vAlign w:val="center"/>
          </w:tcPr>
          <w:p w14:paraId="4E9DC26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587</w:t>
            </w:r>
          </w:p>
        </w:tc>
        <w:tc>
          <w:tcPr>
            <w:tcW w:w="709" w:type="dxa"/>
            <w:tcBorders>
              <w:left w:val="single" w:sz="4" w:space="0" w:color="auto"/>
              <w:right w:val="single" w:sz="4" w:space="0" w:color="auto"/>
            </w:tcBorders>
            <w:shd w:val="clear" w:color="auto" w:fill="auto"/>
            <w:vAlign w:val="center"/>
          </w:tcPr>
          <w:p w14:paraId="15381CA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3.1</w:t>
            </w:r>
          </w:p>
        </w:tc>
        <w:tc>
          <w:tcPr>
            <w:tcW w:w="567" w:type="dxa"/>
            <w:tcBorders>
              <w:left w:val="single" w:sz="4" w:space="0" w:color="auto"/>
              <w:right w:val="single" w:sz="4" w:space="0" w:color="auto"/>
            </w:tcBorders>
            <w:shd w:val="clear" w:color="auto" w:fill="auto"/>
            <w:vAlign w:val="center"/>
          </w:tcPr>
          <w:p w14:paraId="24AFD25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w:t>
            </w:r>
          </w:p>
        </w:tc>
      </w:tr>
      <w:tr w:rsidR="00EF4A2D" w:rsidRPr="00EF4A2D" w14:paraId="459EC063" w14:textId="77777777" w:rsidTr="00B9606F">
        <w:trPr>
          <w:jc w:val="center"/>
        </w:trPr>
        <w:tc>
          <w:tcPr>
            <w:tcW w:w="709" w:type="dxa"/>
            <w:tcBorders>
              <w:left w:val="single" w:sz="4" w:space="0" w:color="auto"/>
              <w:right w:val="single" w:sz="4" w:space="0" w:color="auto"/>
            </w:tcBorders>
            <w:shd w:val="clear" w:color="auto" w:fill="auto"/>
            <w:vAlign w:val="center"/>
          </w:tcPr>
          <w:p w14:paraId="36D75DCA"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9</w:t>
            </w:r>
          </w:p>
        </w:tc>
        <w:tc>
          <w:tcPr>
            <w:tcW w:w="1843" w:type="dxa"/>
            <w:tcBorders>
              <w:left w:val="single" w:sz="4" w:space="0" w:color="auto"/>
              <w:right w:val="single" w:sz="4" w:space="0" w:color="auto"/>
            </w:tcBorders>
            <w:shd w:val="clear" w:color="auto" w:fill="auto"/>
            <w:vAlign w:val="center"/>
          </w:tcPr>
          <w:p w14:paraId="7F35ECCA"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Hong Kong, China</w:t>
            </w:r>
          </w:p>
        </w:tc>
        <w:tc>
          <w:tcPr>
            <w:tcW w:w="709" w:type="dxa"/>
            <w:tcBorders>
              <w:left w:val="single" w:sz="4" w:space="0" w:color="auto"/>
              <w:right w:val="single" w:sz="4" w:space="0" w:color="auto"/>
            </w:tcBorders>
            <w:shd w:val="clear" w:color="auto" w:fill="auto"/>
            <w:vAlign w:val="center"/>
          </w:tcPr>
          <w:p w14:paraId="52C9FC7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524</w:t>
            </w:r>
          </w:p>
        </w:tc>
        <w:tc>
          <w:tcPr>
            <w:tcW w:w="708" w:type="dxa"/>
            <w:tcBorders>
              <w:left w:val="single" w:sz="4" w:space="0" w:color="auto"/>
              <w:right w:val="single" w:sz="4" w:space="0" w:color="auto"/>
            </w:tcBorders>
            <w:shd w:val="clear" w:color="auto" w:fill="auto"/>
            <w:vAlign w:val="center"/>
          </w:tcPr>
          <w:p w14:paraId="29E8320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2.8</w:t>
            </w:r>
          </w:p>
        </w:tc>
        <w:tc>
          <w:tcPr>
            <w:tcW w:w="567" w:type="dxa"/>
            <w:tcBorders>
              <w:left w:val="single" w:sz="4" w:space="0" w:color="auto"/>
              <w:right w:val="single" w:sz="4" w:space="0" w:color="auto"/>
            </w:tcBorders>
            <w:shd w:val="clear" w:color="auto" w:fill="auto"/>
            <w:vAlign w:val="center"/>
          </w:tcPr>
          <w:p w14:paraId="4BD448F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c>
          <w:tcPr>
            <w:tcW w:w="284" w:type="dxa"/>
            <w:tcBorders>
              <w:left w:val="single" w:sz="4" w:space="0" w:color="auto"/>
              <w:right w:val="single" w:sz="4" w:space="0" w:color="auto"/>
            </w:tcBorders>
            <w:vAlign w:val="center"/>
          </w:tcPr>
          <w:p w14:paraId="29FF8FA2"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4C360F45"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9</w:t>
            </w:r>
          </w:p>
        </w:tc>
        <w:tc>
          <w:tcPr>
            <w:tcW w:w="1842" w:type="dxa"/>
            <w:tcBorders>
              <w:left w:val="single" w:sz="4" w:space="0" w:color="auto"/>
              <w:right w:val="single" w:sz="4" w:space="0" w:color="auto"/>
            </w:tcBorders>
            <w:shd w:val="clear" w:color="auto" w:fill="auto"/>
            <w:vAlign w:val="center"/>
          </w:tcPr>
          <w:p w14:paraId="50F4A69A"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Corea, República de</w:t>
            </w:r>
          </w:p>
        </w:tc>
        <w:tc>
          <w:tcPr>
            <w:tcW w:w="709" w:type="dxa"/>
            <w:tcBorders>
              <w:left w:val="single" w:sz="4" w:space="0" w:color="auto"/>
              <w:right w:val="single" w:sz="4" w:space="0" w:color="auto"/>
            </w:tcBorders>
            <w:shd w:val="clear" w:color="auto" w:fill="auto"/>
            <w:vAlign w:val="center"/>
          </w:tcPr>
          <w:p w14:paraId="54A8484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526</w:t>
            </w:r>
          </w:p>
        </w:tc>
        <w:tc>
          <w:tcPr>
            <w:tcW w:w="709" w:type="dxa"/>
            <w:tcBorders>
              <w:left w:val="single" w:sz="4" w:space="0" w:color="auto"/>
              <w:right w:val="single" w:sz="4" w:space="0" w:color="auto"/>
            </w:tcBorders>
            <w:shd w:val="clear" w:color="auto" w:fill="auto"/>
            <w:vAlign w:val="center"/>
          </w:tcPr>
          <w:p w14:paraId="56EA6A1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2.8</w:t>
            </w:r>
          </w:p>
        </w:tc>
        <w:tc>
          <w:tcPr>
            <w:tcW w:w="567" w:type="dxa"/>
            <w:tcBorders>
              <w:left w:val="single" w:sz="4" w:space="0" w:color="auto"/>
              <w:right w:val="single" w:sz="4" w:space="0" w:color="auto"/>
            </w:tcBorders>
            <w:shd w:val="clear" w:color="auto" w:fill="auto"/>
            <w:vAlign w:val="center"/>
          </w:tcPr>
          <w:p w14:paraId="79F4F66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r>
      <w:tr w:rsidR="00EF4A2D" w:rsidRPr="00EF4A2D" w14:paraId="1E158C92" w14:textId="77777777" w:rsidTr="00B9606F">
        <w:trPr>
          <w:jc w:val="center"/>
        </w:trPr>
        <w:tc>
          <w:tcPr>
            <w:tcW w:w="709" w:type="dxa"/>
            <w:tcBorders>
              <w:left w:val="single" w:sz="4" w:space="0" w:color="auto"/>
              <w:right w:val="single" w:sz="4" w:space="0" w:color="auto"/>
            </w:tcBorders>
            <w:shd w:val="clear" w:color="auto" w:fill="auto"/>
            <w:vAlign w:val="center"/>
          </w:tcPr>
          <w:p w14:paraId="76477B7D" w14:textId="77777777" w:rsidR="00EF4A2D" w:rsidRPr="00EF4A2D" w:rsidRDefault="00EF4A2D" w:rsidP="00EF4A2D">
            <w:pPr>
              <w:spacing w:before="40" w:after="40"/>
              <w:jc w:val="center"/>
              <w:rPr>
                <w:rFonts w:eastAsia="Calibri"/>
                <w:sz w:val="14"/>
                <w:szCs w:val="14"/>
                <w:lang w:eastAsia="en-US"/>
              </w:rPr>
            </w:pPr>
          </w:p>
        </w:tc>
        <w:tc>
          <w:tcPr>
            <w:tcW w:w="1843" w:type="dxa"/>
            <w:tcBorders>
              <w:left w:val="single" w:sz="4" w:space="0" w:color="auto"/>
              <w:right w:val="single" w:sz="4" w:space="0" w:color="auto"/>
            </w:tcBorders>
            <w:shd w:val="clear" w:color="auto" w:fill="auto"/>
            <w:vAlign w:val="center"/>
          </w:tcPr>
          <w:p w14:paraId="2F596F56"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-exportaciones nacionales</w:t>
            </w:r>
          </w:p>
        </w:tc>
        <w:tc>
          <w:tcPr>
            <w:tcW w:w="709" w:type="dxa"/>
            <w:tcBorders>
              <w:left w:val="single" w:sz="4" w:space="0" w:color="auto"/>
              <w:right w:val="single" w:sz="4" w:space="0" w:color="auto"/>
            </w:tcBorders>
            <w:shd w:val="clear" w:color="auto" w:fill="auto"/>
            <w:vAlign w:val="center"/>
          </w:tcPr>
          <w:p w14:paraId="1510F2B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16</w:t>
            </w:r>
          </w:p>
        </w:tc>
        <w:tc>
          <w:tcPr>
            <w:tcW w:w="708" w:type="dxa"/>
            <w:tcBorders>
              <w:left w:val="single" w:sz="4" w:space="0" w:color="auto"/>
              <w:right w:val="single" w:sz="4" w:space="0" w:color="auto"/>
            </w:tcBorders>
            <w:shd w:val="clear" w:color="auto" w:fill="auto"/>
            <w:vAlign w:val="center"/>
          </w:tcPr>
          <w:p w14:paraId="463BF9F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0.1</w:t>
            </w:r>
          </w:p>
        </w:tc>
        <w:tc>
          <w:tcPr>
            <w:tcW w:w="567" w:type="dxa"/>
            <w:tcBorders>
              <w:left w:val="single" w:sz="4" w:space="0" w:color="auto"/>
              <w:right w:val="single" w:sz="4" w:space="0" w:color="auto"/>
            </w:tcBorders>
            <w:shd w:val="clear" w:color="auto" w:fill="auto"/>
            <w:vAlign w:val="center"/>
          </w:tcPr>
          <w:p w14:paraId="05F2893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-20</w:t>
            </w:r>
          </w:p>
        </w:tc>
        <w:tc>
          <w:tcPr>
            <w:tcW w:w="284" w:type="dxa"/>
            <w:tcBorders>
              <w:left w:val="single" w:sz="4" w:space="0" w:color="auto"/>
              <w:right w:val="single" w:sz="4" w:space="0" w:color="auto"/>
            </w:tcBorders>
            <w:vAlign w:val="center"/>
          </w:tcPr>
          <w:p w14:paraId="44872487"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0F911A33" w14:textId="77777777" w:rsidR="00EF4A2D" w:rsidRPr="00EF4A2D" w:rsidRDefault="00EF4A2D" w:rsidP="00EF4A2D">
            <w:pPr>
              <w:spacing w:before="40" w:after="40"/>
              <w:jc w:val="center"/>
              <w:rPr>
                <w:rFonts w:eastAsia="Calibri"/>
                <w:sz w:val="14"/>
                <w:szCs w:val="14"/>
                <w:lang w:eastAsia="en-US"/>
              </w:rPr>
            </w:pPr>
          </w:p>
        </w:tc>
        <w:tc>
          <w:tcPr>
            <w:tcW w:w="1842" w:type="dxa"/>
            <w:tcBorders>
              <w:left w:val="single" w:sz="4" w:space="0" w:color="auto"/>
              <w:right w:val="single" w:sz="4" w:space="0" w:color="auto"/>
            </w:tcBorders>
            <w:shd w:val="clear" w:color="auto" w:fill="auto"/>
            <w:vAlign w:val="center"/>
          </w:tcPr>
          <w:p w14:paraId="4CA6D11F" w14:textId="77777777" w:rsidR="00EF4A2D" w:rsidRPr="00EF4A2D" w:rsidRDefault="00EF4A2D" w:rsidP="00EF4A2D">
            <w:pPr>
              <w:spacing w:before="40" w:after="40"/>
              <w:jc w:val="both"/>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36B16DC0"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4FCC3045" w14:textId="77777777" w:rsidR="00EF4A2D" w:rsidRPr="00EF4A2D" w:rsidRDefault="00EF4A2D" w:rsidP="00EF4A2D">
            <w:pPr>
              <w:spacing w:before="40" w:after="40"/>
              <w:jc w:val="right"/>
              <w:rPr>
                <w:rFonts w:eastAsia="Calibri"/>
                <w:sz w:val="14"/>
                <w:szCs w:val="14"/>
                <w:lang w:eastAsia="en-US"/>
              </w:rPr>
            </w:pPr>
          </w:p>
        </w:tc>
        <w:tc>
          <w:tcPr>
            <w:tcW w:w="567" w:type="dxa"/>
            <w:tcBorders>
              <w:left w:val="single" w:sz="4" w:space="0" w:color="auto"/>
              <w:right w:val="single" w:sz="4" w:space="0" w:color="auto"/>
            </w:tcBorders>
            <w:shd w:val="clear" w:color="auto" w:fill="auto"/>
            <w:vAlign w:val="center"/>
          </w:tcPr>
          <w:p w14:paraId="6764B8E1" w14:textId="77777777" w:rsidR="00EF4A2D" w:rsidRPr="00EF4A2D" w:rsidRDefault="00EF4A2D" w:rsidP="00EF4A2D">
            <w:pPr>
              <w:spacing w:before="40" w:after="40"/>
              <w:jc w:val="right"/>
              <w:rPr>
                <w:rFonts w:eastAsia="Calibri"/>
                <w:sz w:val="14"/>
                <w:szCs w:val="14"/>
                <w:lang w:eastAsia="en-US"/>
              </w:rPr>
            </w:pPr>
          </w:p>
        </w:tc>
      </w:tr>
      <w:tr w:rsidR="00EF4A2D" w:rsidRPr="00EF4A2D" w14:paraId="072549F2" w14:textId="77777777" w:rsidTr="00B9606F">
        <w:trPr>
          <w:jc w:val="center"/>
        </w:trPr>
        <w:tc>
          <w:tcPr>
            <w:tcW w:w="709" w:type="dxa"/>
            <w:tcBorders>
              <w:left w:val="single" w:sz="4" w:space="0" w:color="auto"/>
              <w:right w:val="single" w:sz="4" w:space="0" w:color="auto"/>
            </w:tcBorders>
            <w:shd w:val="clear" w:color="auto" w:fill="auto"/>
            <w:vAlign w:val="center"/>
          </w:tcPr>
          <w:p w14:paraId="3BBE880B" w14:textId="77777777" w:rsidR="00EF4A2D" w:rsidRPr="00EF4A2D" w:rsidRDefault="00EF4A2D" w:rsidP="00EF4A2D">
            <w:pPr>
              <w:spacing w:before="40" w:after="40"/>
              <w:jc w:val="center"/>
              <w:rPr>
                <w:rFonts w:eastAsia="Calibri"/>
                <w:sz w:val="14"/>
                <w:szCs w:val="14"/>
                <w:lang w:eastAsia="en-US"/>
              </w:rPr>
            </w:pPr>
          </w:p>
        </w:tc>
        <w:tc>
          <w:tcPr>
            <w:tcW w:w="1843" w:type="dxa"/>
            <w:tcBorders>
              <w:left w:val="single" w:sz="4" w:space="0" w:color="auto"/>
              <w:right w:val="single" w:sz="4" w:space="0" w:color="auto"/>
            </w:tcBorders>
            <w:shd w:val="clear" w:color="auto" w:fill="auto"/>
            <w:vAlign w:val="center"/>
          </w:tcPr>
          <w:p w14:paraId="1775E105"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-reexportaciones</w:t>
            </w:r>
          </w:p>
        </w:tc>
        <w:tc>
          <w:tcPr>
            <w:tcW w:w="709" w:type="dxa"/>
            <w:tcBorders>
              <w:left w:val="single" w:sz="4" w:space="0" w:color="auto"/>
              <w:right w:val="single" w:sz="4" w:space="0" w:color="auto"/>
            </w:tcBorders>
            <w:shd w:val="clear" w:color="auto" w:fill="auto"/>
            <w:vAlign w:val="center"/>
          </w:tcPr>
          <w:p w14:paraId="20463A2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508</w:t>
            </w:r>
          </w:p>
        </w:tc>
        <w:tc>
          <w:tcPr>
            <w:tcW w:w="708" w:type="dxa"/>
            <w:tcBorders>
              <w:left w:val="single" w:sz="4" w:space="0" w:color="auto"/>
              <w:right w:val="single" w:sz="4" w:space="0" w:color="auto"/>
            </w:tcBorders>
            <w:shd w:val="clear" w:color="auto" w:fill="auto"/>
            <w:vAlign w:val="center"/>
          </w:tcPr>
          <w:p w14:paraId="4132EDD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2.7</w:t>
            </w:r>
          </w:p>
        </w:tc>
        <w:tc>
          <w:tcPr>
            <w:tcW w:w="567" w:type="dxa"/>
            <w:tcBorders>
              <w:left w:val="single" w:sz="4" w:space="0" w:color="auto"/>
              <w:right w:val="single" w:sz="4" w:space="0" w:color="auto"/>
            </w:tcBorders>
            <w:shd w:val="clear" w:color="auto" w:fill="auto"/>
            <w:vAlign w:val="center"/>
          </w:tcPr>
          <w:p w14:paraId="59DB705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c>
          <w:tcPr>
            <w:tcW w:w="284" w:type="dxa"/>
            <w:tcBorders>
              <w:left w:val="single" w:sz="4" w:space="0" w:color="auto"/>
              <w:right w:val="single" w:sz="4" w:space="0" w:color="auto"/>
            </w:tcBorders>
            <w:vAlign w:val="center"/>
          </w:tcPr>
          <w:p w14:paraId="52711FD4"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58DEF5A2" w14:textId="77777777" w:rsidR="00EF4A2D" w:rsidRPr="00EF4A2D" w:rsidRDefault="00EF4A2D" w:rsidP="00EF4A2D">
            <w:pPr>
              <w:spacing w:before="40" w:after="40"/>
              <w:jc w:val="center"/>
              <w:rPr>
                <w:rFonts w:eastAsia="Calibri"/>
                <w:sz w:val="14"/>
                <w:szCs w:val="14"/>
                <w:lang w:eastAsia="en-US"/>
              </w:rPr>
            </w:pPr>
          </w:p>
        </w:tc>
        <w:tc>
          <w:tcPr>
            <w:tcW w:w="1842" w:type="dxa"/>
            <w:tcBorders>
              <w:left w:val="single" w:sz="4" w:space="0" w:color="auto"/>
              <w:right w:val="single" w:sz="4" w:space="0" w:color="auto"/>
            </w:tcBorders>
            <w:shd w:val="clear" w:color="auto" w:fill="auto"/>
            <w:vAlign w:val="center"/>
          </w:tcPr>
          <w:p w14:paraId="7C823E16" w14:textId="77777777" w:rsidR="00EF4A2D" w:rsidRPr="00EF4A2D" w:rsidRDefault="00EF4A2D" w:rsidP="00EF4A2D">
            <w:pPr>
              <w:spacing w:before="40" w:after="40"/>
              <w:jc w:val="both"/>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2B94C3F6"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052E727D" w14:textId="77777777" w:rsidR="00EF4A2D" w:rsidRPr="00EF4A2D" w:rsidRDefault="00EF4A2D" w:rsidP="00EF4A2D">
            <w:pPr>
              <w:spacing w:before="40" w:after="40"/>
              <w:jc w:val="right"/>
              <w:rPr>
                <w:rFonts w:eastAsia="Calibri"/>
                <w:sz w:val="14"/>
                <w:szCs w:val="14"/>
                <w:lang w:eastAsia="en-US"/>
              </w:rPr>
            </w:pPr>
          </w:p>
        </w:tc>
        <w:tc>
          <w:tcPr>
            <w:tcW w:w="567" w:type="dxa"/>
            <w:tcBorders>
              <w:left w:val="single" w:sz="4" w:space="0" w:color="auto"/>
              <w:right w:val="single" w:sz="4" w:space="0" w:color="auto"/>
            </w:tcBorders>
            <w:shd w:val="clear" w:color="auto" w:fill="auto"/>
            <w:vAlign w:val="center"/>
          </w:tcPr>
          <w:p w14:paraId="61EAC8C6" w14:textId="77777777" w:rsidR="00EF4A2D" w:rsidRPr="00EF4A2D" w:rsidRDefault="00EF4A2D" w:rsidP="00EF4A2D">
            <w:pPr>
              <w:spacing w:before="40" w:after="40"/>
              <w:jc w:val="right"/>
              <w:rPr>
                <w:rFonts w:eastAsia="Calibri"/>
                <w:sz w:val="14"/>
                <w:szCs w:val="14"/>
                <w:lang w:eastAsia="en-US"/>
              </w:rPr>
            </w:pPr>
          </w:p>
        </w:tc>
      </w:tr>
      <w:tr w:rsidR="00EF4A2D" w:rsidRPr="00EF4A2D" w14:paraId="66DB6272" w14:textId="77777777" w:rsidTr="00B9606F">
        <w:trPr>
          <w:jc w:val="center"/>
        </w:trPr>
        <w:tc>
          <w:tcPr>
            <w:tcW w:w="709" w:type="dxa"/>
            <w:tcBorders>
              <w:left w:val="single" w:sz="4" w:space="0" w:color="auto"/>
              <w:right w:val="single" w:sz="4" w:space="0" w:color="auto"/>
            </w:tcBorders>
            <w:shd w:val="clear" w:color="auto" w:fill="auto"/>
            <w:vAlign w:val="center"/>
          </w:tcPr>
          <w:p w14:paraId="3C927F9D"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10</w:t>
            </w:r>
          </w:p>
        </w:tc>
        <w:tc>
          <w:tcPr>
            <w:tcW w:w="1843" w:type="dxa"/>
            <w:tcBorders>
              <w:left w:val="single" w:sz="4" w:space="0" w:color="auto"/>
              <w:right w:val="single" w:sz="4" w:space="0" w:color="auto"/>
            </w:tcBorders>
            <w:shd w:val="clear" w:color="auto" w:fill="auto"/>
            <w:vAlign w:val="center"/>
          </w:tcPr>
          <w:p w14:paraId="5B367470"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Reino Unido</w:t>
            </w:r>
          </w:p>
        </w:tc>
        <w:tc>
          <w:tcPr>
            <w:tcW w:w="709" w:type="dxa"/>
            <w:tcBorders>
              <w:left w:val="single" w:sz="4" w:space="0" w:color="auto"/>
              <w:right w:val="single" w:sz="4" w:space="0" w:color="auto"/>
            </w:tcBorders>
            <w:shd w:val="clear" w:color="auto" w:fill="auto"/>
            <w:vAlign w:val="center"/>
          </w:tcPr>
          <w:p w14:paraId="531DD4B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507</w:t>
            </w:r>
          </w:p>
        </w:tc>
        <w:tc>
          <w:tcPr>
            <w:tcW w:w="708" w:type="dxa"/>
            <w:tcBorders>
              <w:left w:val="single" w:sz="4" w:space="0" w:color="auto"/>
              <w:right w:val="single" w:sz="4" w:space="0" w:color="auto"/>
            </w:tcBorders>
            <w:shd w:val="clear" w:color="auto" w:fill="auto"/>
            <w:vAlign w:val="center"/>
          </w:tcPr>
          <w:p w14:paraId="3A75424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2.7</w:t>
            </w:r>
          </w:p>
        </w:tc>
        <w:tc>
          <w:tcPr>
            <w:tcW w:w="567" w:type="dxa"/>
            <w:tcBorders>
              <w:left w:val="single" w:sz="4" w:space="0" w:color="auto"/>
              <w:right w:val="single" w:sz="4" w:space="0" w:color="auto"/>
            </w:tcBorders>
            <w:shd w:val="clear" w:color="auto" w:fill="auto"/>
            <w:vAlign w:val="center"/>
          </w:tcPr>
          <w:p w14:paraId="3F7C453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w:t>
            </w:r>
          </w:p>
        </w:tc>
        <w:tc>
          <w:tcPr>
            <w:tcW w:w="284" w:type="dxa"/>
            <w:tcBorders>
              <w:left w:val="single" w:sz="4" w:space="0" w:color="auto"/>
              <w:right w:val="single" w:sz="4" w:space="0" w:color="auto"/>
            </w:tcBorders>
            <w:vAlign w:val="center"/>
          </w:tcPr>
          <w:p w14:paraId="1D77CA90"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17A2B4A8"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10</w:t>
            </w:r>
          </w:p>
        </w:tc>
        <w:tc>
          <w:tcPr>
            <w:tcW w:w="1842" w:type="dxa"/>
            <w:tcBorders>
              <w:left w:val="single" w:sz="4" w:space="0" w:color="auto"/>
              <w:right w:val="single" w:sz="4" w:space="0" w:color="auto"/>
            </w:tcBorders>
            <w:shd w:val="clear" w:color="auto" w:fill="auto"/>
            <w:vAlign w:val="center"/>
          </w:tcPr>
          <w:p w14:paraId="57F9494D"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 xml:space="preserve">Canadá </w:t>
            </w:r>
            <w:r w:rsidRPr="00EF4A2D">
              <w:rPr>
                <w:rFonts w:eastAsia="Calibri"/>
                <w:sz w:val="14"/>
                <w:szCs w:val="14"/>
                <w:u w:val="single"/>
                <w:vertAlign w:val="superscript"/>
                <w:lang w:eastAsia="en-US"/>
              </w:rPr>
              <w:t>a</w:t>
            </w:r>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117DF8A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475</w:t>
            </w:r>
          </w:p>
        </w:tc>
        <w:tc>
          <w:tcPr>
            <w:tcW w:w="709" w:type="dxa"/>
            <w:tcBorders>
              <w:left w:val="single" w:sz="4" w:space="0" w:color="auto"/>
              <w:right w:val="single" w:sz="4" w:space="0" w:color="auto"/>
            </w:tcBorders>
            <w:shd w:val="clear" w:color="auto" w:fill="auto"/>
            <w:vAlign w:val="center"/>
          </w:tcPr>
          <w:p w14:paraId="28B7C9F3" w14:textId="2CAF807C" w:rsidR="00EF4A2D" w:rsidRPr="00EF4A2D" w:rsidRDefault="00432922" w:rsidP="00EF4A2D">
            <w:pPr>
              <w:spacing w:before="40" w:after="40"/>
              <w:jc w:val="right"/>
              <w:rPr>
                <w:rFonts w:eastAsia="Calibri"/>
                <w:sz w:val="14"/>
                <w:szCs w:val="14"/>
                <w:lang w:eastAsia="en-US"/>
              </w:rPr>
            </w:pPr>
            <w:r>
              <w:rPr>
                <w:rFonts w:eastAsia="Calibri"/>
                <w:sz w:val="14"/>
                <w:szCs w:val="14"/>
                <w:lang w:eastAsia="en-US"/>
              </w:rPr>
              <w:t>2.5</w:t>
            </w:r>
          </w:p>
        </w:tc>
        <w:tc>
          <w:tcPr>
            <w:tcW w:w="567" w:type="dxa"/>
            <w:tcBorders>
              <w:left w:val="single" w:sz="4" w:space="0" w:color="auto"/>
              <w:right w:val="single" w:sz="4" w:space="0" w:color="auto"/>
            </w:tcBorders>
            <w:shd w:val="clear" w:color="auto" w:fill="auto"/>
            <w:vAlign w:val="center"/>
          </w:tcPr>
          <w:p w14:paraId="2DCB2F1E" w14:textId="63E0D8DB" w:rsidR="00EF4A2D" w:rsidRPr="00EF4A2D" w:rsidRDefault="00432922" w:rsidP="00EF4A2D">
            <w:pPr>
              <w:spacing w:before="40" w:after="40"/>
              <w:jc w:val="right"/>
              <w:rPr>
                <w:rFonts w:eastAsia="Calibri"/>
                <w:sz w:val="14"/>
                <w:szCs w:val="14"/>
                <w:lang w:eastAsia="en-US"/>
              </w:rPr>
            </w:pPr>
            <w:r>
              <w:rPr>
                <w:rFonts w:eastAsia="Calibri"/>
                <w:sz w:val="14"/>
                <w:szCs w:val="14"/>
                <w:lang w:eastAsia="en-US"/>
              </w:rPr>
              <w:t>0</w:t>
            </w:r>
          </w:p>
        </w:tc>
      </w:tr>
      <w:tr w:rsidR="00EF4A2D" w:rsidRPr="00EF4A2D" w14:paraId="3D800E94" w14:textId="77777777" w:rsidTr="00B9606F">
        <w:trPr>
          <w:jc w:val="center"/>
        </w:trPr>
        <w:tc>
          <w:tcPr>
            <w:tcW w:w="709" w:type="dxa"/>
            <w:tcBorders>
              <w:left w:val="single" w:sz="4" w:space="0" w:color="auto"/>
              <w:right w:val="single" w:sz="4" w:space="0" w:color="auto"/>
            </w:tcBorders>
            <w:shd w:val="clear" w:color="auto" w:fill="auto"/>
            <w:vAlign w:val="center"/>
          </w:tcPr>
          <w:p w14:paraId="095C935F"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11</w:t>
            </w:r>
          </w:p>
        </w:tc>
        <w:tc>
          <w:tcPr>
            <w:tcW w:w="1843" w:type="dxa"/>
            <w:tcBorders>
              <w:left w:val="single" w:sz="4" w:space="0" w:color="auto"/>
              <w:right w:val="single" w:sz="4" w:space="0" w:color="auto"/>
            </w:tcBorders>
            <w:shd w:val="clear" w:color="auto" w:fill="auto"/>
            <w:vAlign w:val="center"/>
          </w:tcPr>
          <w:p w14:paraId="3F8E62D4"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Federación de Rusia</w:t>
            </w:r>
          </w:p>
        </w:tc>
        <w:tc>
          <w:tcPr>
            <w:tcW w:w="709" w:type="dxa"/>
            <w:tcBorders>
              <w:left w:val="single" w:sz="4" w:space="0" w:color="auto"/>
              <w:right w:val="single" w:sz="4" w:space="0" w:color="auto"/>
            </w:tcBorders>
            <w:shd w:val="clear" w:color="auto" w:fill="auto"/>
            <w:vAlign w:val="center"/>
          </w:tcPr>
          <w:p w14:paraId="5472252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497</w:t>
            </w:r>
          </w:p>
        </w:tc>
        <w:tc>
          <w:tcPr>
            <w:tcW w:w="708" w:type="dxa"/>
            <w:tcBorders>
              <w:left w:val="single" w:sz="4" w:space="0" w:color="auto"/>
              <w:right w:val="single" w:sz="4" w:space="0" w:color="auto"/>
            </w:tcBorders>
            <w:shd w:val="clear" w:color="auto" w:fill="auto"/>
            <w:vAlign w:val="center"/>
          </w:tcPr>
          <w:p w14:paraId="3A07FD3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2.6</w:t>
            </w:r>
          </w:p>
        </w:tc>
        <w:tc>
          <w:tcPr>
            <w:tcW w:w="567" w:type="dxa"/>
            <w:tcBorders>
              <w:left w:val="single" w:sz="4" w:space="0" w:color="auto"/>
              <w:right w:val="single" w:sz="4" w:space="0" w:color="auto"/>
            </w:tcBorders>
            <w:shd w:val="clear" w:color="auto" w:fill="auto"/>
            <w:vAlign w:val="center"/>
          </w:tcPr>
          <w:p w14:paraId="5F8B169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c>
          <w:tcPr>
            <w:tcW w:w="284" w:type="dxa"/>
            <w:tcBorders>
              <w:left w:val="single" w:sz="4" w:space="0" w:color="auto"/>
              <w:right w:val="single" w:sz="4" w:space="0" w:color="auto"/>
            </w:tcBorders>
            <w:vAlign w:val="center"/>
          </w:tcPr>
          <w:p w14:paraId="75EE0A8C"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48179472"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11</w:t>
            </w:r>
          </w:p>
        </w:tc>
        <w:tc>
          <w:tcPr>
            <w:tcW w:w="1842" w:type="dxa"/>
            <w:tcBorders>
              <w:left w:val="single" w:sz="4" w:space="0" w:color="auto"/>
              <w:right w:val="single" w:sz="4" w:space="0" w:color="auto"/>
            </w:tcBorders>
            <w:shd w:val="clear" w:color="auto" w:fill="auto"/>
            <w:vAlign w:val="center"/>
          </w:tcPr>
          <w:p w14:paraId="4BA6AF5B"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Italia</w:t>
            </w:r>
          </w:p>
        </w:tc>
        <w:tc>
          <w:tcPr>
            <w:tcW w:w="709" w:type="dxa"/>
            <w:tcBorders>
              <w:left w:val="single" w:sz="4" w:space="0" w:color="auto"/>
              <w:right w:val="single" w:sz="4" w:space="0" w:color="auto"/>
            </w:tcBorders>
            <w:shd w:val="clear" w:color="auto" w:fill="auto"/>
            <w:vAlign w:val="center"/>
          </w:tcPr>
          <w:p w14:paraId="54A21D0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472</w:t>
            </w:r>
          </w:p>
        </w:tc>
        <w:tc>
          <w:tcPr>
            <w:tcW w:w="709" w:type="dxa"/>
            <w:tcBorders>
              <w:left w:val="single" w:sz="4" w:space="0" w:color="auto"/>
              <w:right w:val="single" w:sz="4" w:space="0" w:color="auto"/>
            </w:tcBorders>
            <w:shd w:val="clear" w:color="auto" w:fill="auto"/>
            <w:vAlign w:val="center"/>
          </w:tcPr>
          <w:p w14:paraId="6A3FC59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2.5</w:t>
            </w:r>
          </w:p>
        </w:tc>
        <w:tc>
          <w:tcPr>
            <w:tcW w:w="567" w:type="dxa"/>
            <w:tcBorders>
              <w:left w:val="single" w:sz="4" w:space="0" w:color="auto"/>
              <w:right w:val="single" w:sz="4" w:space="0" w:color="auto"/>
            </w:tcBorders>
            <w:shd w:val="clear" w:color="auto" w:fill="auto"/>
            <w:vAlign w:val="center"/>
          </w:tcPr>
          <w:p w14:paraId="2B8C3954" w14:textId="574D1840" w:rsidR="00EF4A2D" w:rsidRPr="00EF4A2D" w:rsidRDefault="00432922" w:rsidP="00432922">
            <w:pPr>
              <w:spacing w:before="40" w:after="40"/>
              <w:jc w:val="right"/>
              <w:rPr>
                <w:rFonts w:eastAsia="Calibri"/>
                <w:sz w:val="14"/>
                <w:szCs w:val="14"/>
                <w:lang w:eastAsia="en-US"/>
              </w:rPr>
            </w:pPr>
            <w:r>
              <w:rPr>
                <w:rFonts w:eastAsia="Calibri"/>
                <w:sz w:val="14"/>
                <w:szCs w:val="14"/>
                <w:lang w:eastAsia="en-US"/>
              </w:rPr>
              <w:t>-2</w:t>
            </w:r>
          </w:p>
        </w:tc>
      </w:tr>
      <w:tr w:rsidR="00EF4A2D" w:rsidRPr="00EF4A2D" w14:paraId="35FFB1F9" w14:textId="77777777" w:rsidTr="00B9606F">
        <w:trPr>
          <w:jc w:val="center"/>
        </w:trPr>
        <w:tc>
          <w:tcPr>
            <w:tcW w:w="709" w:type="dxa"/>
            <w:tcBorders>
              <w:left w:val="single" w:sz="4" w:space="0" w:color="auto"/>
              <w:right w:val="single" w:sz="4" w:space="0" w:color="auto"/>
            </w:tcBorders>
            <w:shd w:val="clear" w:color="auto" w:fill="auto"/>
            <w:vAlign w:val="center"/>
          </w:tcPr>
          <w:p w14:paraId="74BC0D0B"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12</w:t>
            </w:r>
          </w:p>
        </w:tc>
        <w:tc>
          <w:tcPr>
            <w:tcW w:w="1843" w:type="dxa"/>
            <w:tcBorders>
              <w:left w:val="single" w:sz="4" w:space="0" w:color="auto"/>
              <w:right w:val="single" w:sz="4" w:space="0" w:color="auto"/>
            </w:tcBorders>
            <w:shd w:val="clear" w:color="auto" w:fill="auto"/>
            <w:vAlign w:val="center"/>
          </w:tcPr>
          <w:p w14:paraId="6D4D518F"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Canadá</w:t>
            </w:r>
          </w:p>
        </w:tc>
        <w:tc>
          <w:tcPr>
            <w:tcW w:w="709" w:type="dxa"/>
            <w:tcBorders>
              <w:left w:val="single" w:sz="4" w:space="0" w:color="auto"/>
              <w:right w:val="single" w:sz="4" w:space="0" w:color="auto"/>
            </w:tcBorders>
            <w:shd w:val="clear" w:color="auto" w:fill="auto"/>
            <w:vAlign w:val="center"/>
          </w:tcPr>
          <w:p w14:paraId="4A3ED0D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474</w:t>
            </w:r>
          </w:p>
        </w:tc>
        <w:tc>
          <w:tcPr>
            <w:tcW w:w="708" w:type="dxa"/>
            <w:tcBorders>
              <w:left w:val="single" w:sz="4" w:space="0" w:color="auto"/>
              <w:right w:val="single" w:sz="4" w:space="0" w:color="auto"/>
            </w:tcBorders>
            <w:shd w:val="clear" w:color="auto" w:fill="auto"/>
            <w:vAlign w:val="center"/>
          </w:tcPr>
          <w:p w14:paraId="66DD8AC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2.5</w:t>
            </w:r>
          </w:p>
        </w:tc>
        <w:tc>
          <w:tcPr>
            <w:tcW w:w="567" w:type="dxa"/>
            <w:tcBorders>
              <w:left w:val="single" w:sz="4" w:space="0" w:color="auto"/>
              <w:right w:val="single" w:sz="4" w:space="0" w:color="auto"/>
            </w:tcBorders>
            <w:shd w:val="clear" w:color="auto" w:fill="auto"/>
            <w:vAlign w:val="center"/>
          </w:tcPr>
          <w:p w14:paraId="5C21347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w:t>
            </w:r>
          </w:p>
        </w:tc>
        <w:tc>
          <w:tcPr>
            <w:tcW w:w="284" w:type="dxa"/>
            <w:tcBorders>
              <w:left w:val="single" w:sz="4" w:space="0" w:color="auto"/>
              <w:right w:val="single" w:sz="4" w:space="0" w:color="auto"/>
            </w:tcBorders>
            <w:vAlign w:val="center"/>
          </w:tcPr>
          <w:p w14:paraId="00E62946"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18CA21D2"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12</w:t>
            </w:r>
          </w:p>
        </w:tc>
        <w:tc>
          <w:tcPr>
            <w:tcW w:w="1842" w:type="dxa"/>
            <w:tcBorders>
              <w:left w:val="single" w:sz="4" w:space="0" w:color="auto"/>
              <w:right w:val="single" w:sz="4" w:space="0" w:color="auto"/>
            </w:tcBorders>
            <w:shd w:val="clear" w:color="auto" w:fill="auto"/>
            <w:vAlign w:val="center"/>
          </w:tcPr>
          <w:p w14:paraId="1D804265"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India</w:t>
            </w:r>
          </w:p>
        </w:tc>
        <w:tc>
          <w:tcPr>
            <w:tcW w:w="709" w:type="dxa"/>
            <w:tcBorders>
              <w:left w:val="single" w:sz="4" w:space="0" w:color="auto"/>
              <w:right w:val="single" w:sz="4" w:space="0" w:color="auto"/>
            </w:tcBorders>
            <w:shd w:val="clear" w:color="auto" w:fill="auto"/>
            <w:vAlign w:val="center"/>
          </w:tcPr>
          <w:p w14:paraId="5C7FD82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460</w:t>
            </w:r>
          </w:p>
        </w:tc>
        <w:tc>
          <w:tcPr>
            <w:tcW w:w="709" w:type="dxa"/>
            <w:tcBorders>
              <w:left w:val="single" w:sz="4" w:space="0" w:color="auto"/>
              <w:right w:val="single" w:sz="4" w:space="0" w:color="auto"/>
            </w:tcBorders>
            <w:shd w:val="clear" w:color="auto" w:fill="auto"/>
            <w:vAlign w:val="center"/>
          </w:tcPr>
          <w:p w14:paraId="2F93F58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2.4</w:t>
            </w:r>
          </w:p>
        </w:tc>
        <w:tc>
          <w:tcPr>
            <w:tcW w:w="567" w:type="dxa"/>
            <w:tcBorders>
              <w:left w:val="single" w:sz="4" w:space="0" w:color="auto"/>
              <w:right w:val="single" w:sz="4" w:space="0" w:color="auto"/>
            </w:tcBorders>
            <w:shd w:val="clear" w:color="auto" w:fill="auto"/>
            <w:vAlign w:val="center"/>
          </w:tcPr>
          <w:p w14:paraId="5A3ECB07" w14:textId="243D548A" w:rsidR="00EF4A2D" w:rsidRPr="00EF4A2D" w:rsidRDefault="00EF4A2D" w:rsidP="00432922">
            <w:pPr>
              <w:spacing w:before="40" w:after="40"/>
              <w:jc w:val="right"/>
              <w:rPr>
                <w:rFonts w:eastAsia="Calibri"/>
                <w:sz w:val="14"/>
                <w:szCs w:val="14"/>
                <w:lang w:eastAsia="en-US"/>
              </w:rPr>
            </w:pPr>
            <w:r w:rsidRPr="00EF4A2D">
              <w:rPr>
                <w:rFonts w:eastAsia="Calibri"/>
                <w:sz w:val="14"/>
                <w:szCs w:val="14"/>
                <w:lang w:eastAsia="en-US"/>
              </w:rPr>
              <w:t>-</w:t>
            </w:r>
            <w:r w:rsidR="00432922">
              <w:rPr>
                <w:rFonts w:eastAsia="Calibri"/>
                <w:sz w:val="14"/>
                <w:szCs w:val="14"/>
                <w:lang w:eastAsia="en-US"/>
              </w:rPr>
              <w:t>1</w:t>
            </w:r>
          </w:p>
        </w:tc>
      </w:tr>
      <w:tr w:rsidR="00EF4A2D" w:rsidRPr="00EF4A2D" w14:paraId="5D607E1E" w14:textId="77777777" w:rsidTr="00B9606F">
        <w:trPr>
          <w:jc w:val="center"/>
        </w:trPr>
        <w:tc>
          <w:tcPr>
            <w:tcW w:w="709" w:type="dxa"/>
            <w:tcBorders>
              <w:left w:val="single" w:sz="4" w:space="0" w:color="auto"/>
              <w:right w:val="single" w:sz="4" w:space="0" w:color="auto"/>
            </w:tcBorders>
            <w:shd w:val="clear" w:color="auto" w:fill="auto"/>
            <w:vAlign w:val="center"/>
          </w:tcPr>
          <w:p w14:paraId="2D5B5C8C"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13</w:t>
            </w:r>
          </w:p>
        </w:tc>
        <w:tc>
          <w:tcPr>
            <w:tcW w:w="1843" w:type="dxa"/>
            <w:tcBorders>
              <w:left w:val="single" w:sz="4" w:space="0" w:color="auto"/>
              <w:right w:val="single" w:sz="4" w:space="0" w:color="auto"/>
            </w:tcBorders>
            <w:shd w:val="clear" w:color="auto" w:fill="auto"/>
            <w:vAlign w:val="center"/>
          </w:tcPr>
          <w:p w14:paraId="24FA3E74"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Bélgica</w:t>
            </w:r>
          </w:p>
        </w:tc>
        <w:tc>
          <w:tcPr>
            <w:tcW w:w="709" w:type="dxa"/>
            <w:tcBorders>
              <w:left w:val="single" w:sz="4" w:space="0" w:color="auto"/>
              <w:right w:val="single" w:sz="4" w:space="0" w:color="auto"/>
            </w:tcBorders>
            <w:shd w:val="clear" w:color="auto" w:fill="auto"/>
            <w:vAlign w:val="center"/>
          </w:tcPr>
          <w:p w14:paraId="2F3AA89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469</w:t>
            </w:r>
          </w:p>
        </w:tc>
        <w:tc>
          <w:tcPr>
            <w:tcW w:w="708" w:type="dxa"/>
            <w:tcBorders>
              <w:left w:val="single" w:sz="4" w:space="0" w:color="auto"/>
              <w:right w:val="single" w:sz="4" w:space="0" w:color="auto"/>
            </w:tcBorders>
            <w:shd w:val="clear" w:color="auto" w:fill="auto"/>
            <w:vAlign w:val="center"/>
          </w:tcPr>
          <w:p w14:paraId="786217B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2.5</w:t>
            </w:r>
          </w:p>
        </w:tc>
        <w:tc>
          <w:tcPr>
            <w:tcW w:w="567" w:type="dxa"/>
            <w:tcBorders>
              <w:left w:val="single" w:sz="4" w:space="0" w:color="auto"/>
              <w:right w:val="single" w:sz="4" w:space="0" w:color="auto"/>
            </w:tcBorders>
            <w:shd w:val="clear" w:color="auto" w:fill="auto"/>
            <w:vAlign w:val="center"/>
          </w:tcPr>
          <w:p w14:paraId="6633F10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w:t>
            </w:r>
          </w:p>
        </w:tc>
        <w:tc>
          <w:tcPr>
            <w:tcW w:w="284" w:type="dxa"/>
            <w:tcBorders>
              <w:left w:val="single" w:sz="4" w:space="0" w:color="auto"/>
              <w:right w:val="single" w:sz="4" w:space="0" w:color="auto"/>
            </w:tcBorders>
            <w:vAlign w:val="center"/>
          </w:tcPr>
          <w:p w14:paraId="71B1E8E9"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51413744"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13</w:t>
            </w:r>
          </w:p>
        </w:tc>
        <w:tc>
          <w:tcPr>
            <w:tcW w:w="1842" w:type="dxa"/>
            <w:tcBorders>
              <w:left w:val="single" w:sz="4" w:space="0" w:color="auto"/>
              <w:right w:val="single" w:sz="4" w:space="0" w:color="auto"/>
            </w:tcBorders>
            <w:shd w:val="clear" w:color="auto" w:fill="auto"/>
            <w:vAlign w:val="center"/>
          </w:tcPr>
          <w:p w14:paraId="4DF21906"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Bélgica</w:t>
            </w:r>
          </w:p>
        </w:tc>
        <w:tc>
          <w:tcPr>
            <w:tcW w:w="709" w:type="dxa"/>
            <w:tcBorders>
              <w:left w:val="single" w:sz="4" w:space="0" w:color="auto"/>
              <w:right w:val="single" w:sz="4" w:space="0" w:color="auto"/>
            </w:tcBorders>
            <w:shd w:val="clear" w:color="auto" w:fill="auto"/>
            <w:vAlign w:val="center"/>
          </w:tcPr>
          <w:p w14:paraId="5BB6D58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451</w:t>
            </w:r>
          </w:p>
        </w:tc>
        <w:tc>
          <w:tcPr>
            <w:tcW w:w="709" w:type="dxa"/>
            <w:tcBorders>
              <w:left w:val="single" w:sz="4" w:space="0" w:color="auto"/>
              <w:right w:val="single" w:sz="4" w:space="0" w:color="auto"/>
            </w:tcBorders>
            <w:shd w:val="clear" w:color="auto" w:fill="auto"/>
            <w:vAlign w:val="center"/>
          </w:tcPr>
          <w:p w14:paraId="102B119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2.4</w:t>
            </w:r>
          </w:p>
        </w:tc>
        <w:tc>
          <w:tcPr>
            <w:tcW w:w="567" w:type="dxa"/>
            <w:tcBorders>
              <w:left w:val="single" w:sz="4" w:space="0" w:color="auto"/>
              <w:right w:val="single" w:sz="4" w:space="0" w:color="auto"/>
            </w:tcBorders>
            <w:shd w:val="clear" w:color="auto" w:fill="auto"/>
            <w:vAlign w:val="center"/>
          </w:tcPr>
          <w:p w14:paraId="5F4E6408" w14:textId="0D9B3BA3" w:rsidR="00EF4A2D" w:rsidRPr="00EF4A2D" w:rsidRDefault="00432922" w:rsidP="00EF4A2D">
            <w:pPr>
              <w:spacing w:before="40" w:after="40"/>
              <w:jc w:val="right"/>
              <w:rPr>
                <w:rFonts w:eastAsia="Calibri"/>
                <w:sz w:val="14"/>
                <w:szCs w:val="14"/>
                <w:lang w:eastAsia="en-US"/>
              </w:rPr>
            </w:pPr>
            <w:r>
              <w:rPr>
                <w:rFonts w:eastAsia="Calibri"/>
                <w:sz w:val="14"/>
                <w:szCs w:val="14"/>
                <w:lang w:eastAsia="en-US"/>
              </w:rPr>
              <w:t>0</w:t>
            </w:r>
          </w:p>
        </w:tc>
      </w:tr>
      <w:tr w:rsidR="00EF4A2D" w:rsidRPr="00EF4A2D" w14:paraId="5170A514" w14:textId="77777777" w:rsidTr="00B9606F">
        <w:trPr>
          <w:jc w:val="center"/>
        </w:trPr>
        <w:tc>
          <w:tcPr>
            <w:tcW w:w="709" w:type="dxa"/>
            <w:tcBorders>
              <w:left w:val="single" w:sz="4" w:space="0" w:color="auto"/>
              <w:right w:val="single" w:sz="4" w:space="0" w:color="auto"/>
            </w:tcBorders>
            <w:shd w:val="clear" w:color="auto" w:fill="auto"/>
            <w:vAlign w:val="center"/>
          </w:tcPr>
          <w:p w14:paraId="59D31E5D"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14</w:t>
            </w:r>
          </w:p>
        </w:tc>
        <w:tc>
          <w:tcPr>
            <w:tcW w:w="1843" w:type="dxa"/>
            <w:tcBorders>
              <w:left w:val="single" w:sz="4" w:space="0" w:color="auto"/>
              <w:right w:val="single" w:sz="4" w:space="0" w:color="auto"/>
            </w:tcBorders>
            <w:shd w:val="clear" w:color="auto" w:fill="auto"/>
            <w:vAlign w:val="center"/>
          </w:tcPr>
          <w:p w14:paraId="1340AAFB"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Singapur</w:t>
            </w:r>
          </w:p>
        </w:tc>
        <w:tc>
          <w:tcPr>
            <w:tcW w:w="709" w:type="dxa"/>
            <w:tcBorders>
              <w:left w:val="single" w:sz="4" w:space="0" w:color="auto"/>
              <w:right w:val="single" w:sz="4" w:space="0" w:color="auto"/>
            </w:tcBorders>
            <w:shd w:val="clear" w:color="auto" w:fill="auto"/>
            <w:vAlign w:val="center"/>
          </w:tcPr>
          <w:p w14:paraId="32EC26D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410</w:t>
            </w:r>
          </w:p>
        </w:tc>
        <w:tc>
          <w:tcPr>
            <w:tcW w:w="708" w:type="dxa"/>
            <w:tcBorders>
              <w:left w:val="single" w:sz="4" w:space="0" w:color="auto"/>
              <w:right w:val="single" w:sz="4" w:space="0" w:color="auto"/>
            </w:tcBorders>
            <w:shd w:val="clear" w:color="auto" w:fill="auto"/>
            <w:vAlign w:val="center"/>
          </w:tcPr>
          <w:p w14:paraId="2899EC4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2.2</w:t>
            </w:r>
          </w:p>
        </w:tc>
        <w:tc>
          <w:tcPr>
            <w:tcW w:w="567" w:type="dxa"/>
            <w:tcBorders>
              <w:left w:val="single" w:sz="4" w:space="0" w:color="auto"/>
              <w:right w:val="single" w:sz="4" w:space="0" w:color="auto"/>
            </w:tcBorders>
            <w:shd w:val="clear" w:color="auto" w:fill="auto"/>
            <w:vAlign w:val="center"/>
          </w:tcPr>
          <w:p w14:paraId="340A3D2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w:t>
            </w:r>
          </w:p>
        </w:tc>
        <w:tc>
          <w:tcPr>
            <w:tcW w:w="284" w:type="dxa"/>
            <w:tcBorders>
              <w:left w:val="single" w:sz="4" w:space="0" w:color="auto"/>
              <w:right w:val="single" w:sz="4" w:space="0" w:color="auto"/>
            </w:tcBorders>
            <w:vAlign w:val="center"/>
          </w:tcPr>
          <w:p w14:paraId="07D8E773"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2733D7EF"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14</w:t>
            </w:r>
          </w:p>
        </w:tc>
        <w:tc>
          <w:tcPr>
            <w:tcW w:w="1842" w:type="dxa"/>
            <w:tcBorders>
              <w:left w:val="single" w:sz="4" w:space="0" w:color="auto"/>
              <w:right w:val="single" w:sz="4" w:space="0" w:color="auto"/>
            </w:tcBorders>
            <w:shd w:val="clear" w:color="auto" w:fill="auto"/>
            <w:vAlign w:val="center"/>
          </w:tcPr>
          <w:p w14:paraId="0AEFA54C" w14:textId="77777777" w:rsidR="00EF4A2D" w:rsidRPr="00EF4A2D" w:rsidRDefault="00EF4A2D" w:rsidP="00EF4A2D">
            <w:pPr>
              <w:spacing w:before="40" w:after="40"/>
              <w:jc w:val="both"/>
              <w:rPr>
                <w:rFonts w:eastAsia="Calibri"/>
                <w:b/>
                <w:sz w:val="14"/>
                <w:szCs w:val="14"/>
                <w:lang w:eastAsia="en-US"/>
              </w:rPr>
            </w:pPr>
            <w:r w:rsidRPr="00EF4A2D">
              <w:rPr>
                <w:rFonts w:eastAsia="Calibri"/>
                <w:b/>
                <w:sz w:val="14"/>
                <w:szCs w:val="14"/>
                <w:lang w:eastAsia="en-US"/>
              </w:rPr>
              <w:t>México</w:t>
            </w:r>
          </w:p>
        </w:tc>
        <w:tc>
          <w:tcPr>
            <w:tcW w:w="709" w:type="dxa"/>
            <w:tcBorders>
              <w:left w:val="single" w:sz="4" w:space="0" w:color="auto"/>
              <w:right w:val="single" w:sz="4" w:space="0" w:color="auto"/>
            </w:tcBorders>
            <w:shd w:val="clear" w:color="auto" w:fill="auto"/>
            <w:vAlign w:val="center"/>
          </w:tcPr>
          <w:p w14:paraId="26A5144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412</w:t>
            </w:r>
          </w:p>
        </w:tc>
        <w:tc>
          <w:tcPr>
            <w:tcW w:w="709" w:type="dxa"/>
            <w:tcBorders>
              <w:left w:val="single" w:sz="4" w:space="0" w:color="auto"/>
              <w:right w:val="single" w:sz="4" w:space="0" w:color="auto"/>
            </w:tcBorders>
            <w:shd w:val="clear" w:color="auto" w:fill="auto"/>
            <w:vAlign w:val="center"/>
          </w:tcPr>
          <w:p w14:paraId="2608909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2.2</w:t>
            </w:r>
          </w:p>
        </w:tc>
        <w:tc>
          <w:tcPr>
            <w:tcW w:w="567" w:type="dxa"/>
            <w:tcBorders>
              <w:left w:val="single" w:sz="4" w:space="0" w:color="auto"/>
              <w:right w:val="single" w:sz="4" w:space="0" w:color="auto"/>
            </w:tcBorders>
            <w:shd w:val="clear" w:color="auto" w:fill="auto"/>
            <w:vAlign w:val="center"/>
          </w:tcPr>
          <w:p w14:paraId="319F9054" w14:textId="4B5DEDBF" w:rsidR="00EF4A2D" w:rsidRPr="00EF4A2D" w:rsidRDefault="00432922" w:rsidP="00432922">
            <w:pPr>
              <w:spacing w:before="40" w:after="40"/>
              <w:jc w:val="right"/>
              <w:rPr>
                <w:rFonts w:eastAsia="Calibri"/>
                <w:sz w:val="14"/>
                <w:szCs w:val="14"/>
                <w:lang w:eastAsia="en-US"/>
              </w:rPr>
            </w:pPr>
            <w:r>
              <w:rPr>
                <w:rFonts w:eastAsia="Calibri"/>
                <w:sz w:val="14"/>
                <w:szCs w:val="14"/>
                <w:lang w:eastAsia="en-US"/>
              </w:rPr>
              <w:t>5</w:t>
            </w:r>
          </w:p>
        </w:tc>
      </w:tr>
      <w:tr w:rsidR="00EF4A2D" w:rsidRPr="00EF4A2D" w14:paraId="297D50FC" w14:textId="77777777" w:rsidTr="00B9606F">
        <w:trPr>
          <w:jc w:val="center"/>
        </w:trPr>
        <w:tc>
          <w:tcPr>
            <w:tcW w:w="709" w:type="dxa"/>
            <w:tcBorders>
              <w:left w:val="single" w:sz="4" w:space="0" w:color="auto"/>
              <w:right w:val="single" w:sz="4" w:space="0" w:color="auto"/>
            </w:tcBorders>
            <w:shd w:val="clear" w:color="auto" w:fill="auto"/>
            <w:vAlign w:val="center"/>
          </w:tcPr>
          <w:p w14:paraId="6979E3CE" w14:textId="77777777" w:rsidR="00EF4A2D" w:rsidRPr="00EF4A2D" w:rsidRDefault="00EF4A2D" w:rsidP="00EF4A2D">
            <w:pPr>
              <w:spacing w:before="40" w:after="40"/>
              <w:jc w:val="center"/>
              <w:rPr>
                <w:rFonts w:eastAsia="Calibri"/>
                <w:sz w:val="14"/>
                <w:szCs w:val="14"/>
                <w:lang w:eastAsia="en-US"/>
              </w:rPr>
            </w:pPr>
          </w:p>
        </w:tc>
        <w:tc>
          <w:tcPr>
            <w:tcW w:w="1843" w:type="dxa"/>
            <w:tcBorders>
              <w:left w:val="single" w:sz="4" w:space="0" w:color="auto"/>
              <w:right w:val="single" w:sz="4" w:space="0" w:color="auto"/>
            </w:tcBorders>
            <w:shd w:val="clear" w:color="auto" w:fill="auto"/>
            <w:vAlign w:val="center"/>
          </w:tcPr>
          <w:p w14:paraId="04253320"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-exportaciones nacionales</w:t>
            </w:r>
          </w:p>
        </w:tc>
        <w:tc>
          <w:tcPr>
            <w:tcW w:w="709" w:type="dxa"/>
            <w:tcBorders>
              <w:left w:val="single" w:sz="4" w:space="0" w:color="auto"/>
              <w:right w:val="single" w:sz="4" w:space="0" w:color="auto"/>
            </w:tcBorders>
            <w:shd w:val="clear" w:color="auto" w:fill="auto"/>
            <w:vAlign w:val="center"/>
          </w:tcPr>
          <w:p w14:paraId="22270B9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216</w:t>
            </w:r>
          </w:p>
        </w:tc>
        <w:tc>
          <w:tcPr>
            <w:tcW w:w="708" w:type="dxa"/>
            <w:tcBorders>
              <w:left w:val="single" w:sz="4" w:space="0" w:color="auto"/>
              <w:right w:val="single" w:sz="4" w:space="0" w:color="auto"/>
            </w:tcBorders>
            <w:shd w:val="clear" w:color="auto" w:fill="auto"/>
            <w:vAlign w:val="center"/>
          </w:tcPr>
          <w:p w14:paraId="4EF3BBA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1.1</w:t>
            </w:r>
          </w:p>
        </w:tc>
        <w:tc>
          <w:tcPr>
            <w:tcW w:w="567" w:type="dxa"/>
            <w:tcBorders>
              <w:left w:val="single" w:sz="4" w:space="0" w:color="auto"/>
              <w:right w:val="single" w:sz="4" w:space="0" w:color="auto"/>
            </w:tcBorders>
            <w:shd w:val="clear" w:color="auto" w:fill="auto"/>
            <w:vAlign w:val="center"/>
          </w:tcPr>
          <w:p w14:paraId="7773BB4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c>
          <w:tcPr>
            <w:tcW w:w="284" w:type="dxa"/>
            <w:tcBorders>
              <w:left w:val="single" w:sz="4" w:space="0" w:color="auto"/>
              <w:right w:val="single" w:sz="4" w:space="0" w:color="auto"/>
            </w:tcBorders>
            <w:vAlign w:val="center"/>
          </w:tcPr>
          <w:p w14:paraId="2DE588E9"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59C229EF" w14:textId="77777777" w:rsidR="00EF4A2D" w:rsidRPr="00EF4A2D" w:rsidRDefault="00EF4A2D" w:rsidP="00EF4A2D">
            <w:pPr>
              <w:spacing w:before="40" w:after="40"/>
              <w:jc w:val="center"/>
              <w:rPr>
                <w:rFonts w:eastAsia="Calibri"/>
                <w:sz w:val="14"/>
                <w:szCs w:val="14"/>
                <w:lang w:eastAsia="en-US"/>
              </w:rPr>
            </w:pPr>
          </w:p>
        </w:tc>
        <w:tc>
          <w:tcPr>
            <w:tcW w:w="1842" w:type="dxa"/>
            <w:tcBorders>
              <w:left w:val="single" w:sz="4" w:space="0" w:color="auto"/>
              <w:right w:val="single" w:sz="4" w:space="0" w:color="auto"/>
            </w:tcBorders>
            <w:shd w:val="clear" w:color="auto" w:fill="auto"/>
            <w:vAlign w:val="center"/>
          </w:tcPr>
          <w:p w14:paraId="08CFA71F" w14:textId="77777777" w:rsidR="00EF4A2D" w:rsidRPr="00EF4A2D" w:rsidRDefault="00EF4A2D" w:rsidP="00EF4A2D">
            <w:pPr>
              <w:spacing w:before="40" w:after="40"/>
              <w:jc w:val="both"/>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214AF5F4"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53CA5321" w14:textId="77777777" w:rsidR="00EF4A2D" w:rsidRPr="00EF4A2D" w:rsidRDefault="00EF4A2D" w:rsidP="00EF4A2D">
            <w:pPr>
              <w:spacing w:before="40" w:after="40"/>
              <w:jc w:val="right"/>
              <w:rPr>
                <w:rFonts w:eastAsia="Calibri"/>
                <w:sz w:val="14"/>
                <w:szCs w:val="14"/>
                <w:lang w:eastAsia="en-US"/>
              </w:rPr>
            </w:pPr>
          </w:p>
        </w:tc>
        <w:tc>
          <w:tcPr>
            <w:tcW w:w="567" w:type="dxa"/>
            <w:tcBorders>
              <w:left w:val="single" w:sz="4" w:space="0" w:color="auto"/>
              <w:right w:val="single" w:sz="4" w:space="0" w:color="auto"/>
            </w:tcBorders>
            <w:shd w:val="clear" w:color="auto" w:fill="auto"/>
            <w:vAlign w:val="center"/>
          </w:tcPr>
          <w:p w14:paraId="13E3E964" w14:textId="6D768722" w:rsidR="00EF4A2D" w:rsidRPr="00EF4A2D" w:rsidRDefault="00EF4A2D" w:rsidP="00EF4A2D">
            <w:pPr>
              <w:spacing w:before="40" w:after="40"/>
              <w:jc w:val="right"/>
              <w:rPr>
                <w:rFonts w:eastAsia="Calibri"/>
                <w:sz w:val="14"/>
                <w:szCs w:val="14"/>
                <w:lang w:eastAsia="en-US"/>
              </w:rPr>
            </w:pPr>
          </w:p>
        </w:tc>
      </w:tr>
      <w:tr w:rsidR="00EF4A2D" w:rsidRPr="00EF4A2D" w14:paraId="1B504A67" w14:textId="77777777" w:rsidTr="00B9606F">
        <w:trPr>
          <w:jc w:val="center"/>
        </w:trPr>
        <w:tc>
          <w:tcPr>
            <w:tcW w:w="709" w:type="dxa"/>
            <w:tcBorders>
              <w:left w:val="single" w:sz="4" w:space="0" w:color="auto"/>
              <w:right w:val="single" w:sz="4" w:space="0" w:color="auto"/>
            </w:tcBorders>
            <w:shd w:val="clear" w:color="auto" w:fill="auto"/>
            <w:vAlign w:val="center"/>
          </w:tcPr>
          <w:p w14:paraId="47989B1A" w14:textId="77777777" w:rsidR="00EF4A2D" w:rsidRPr="00EF4A2D" w:rsidRDefault="00EF4A2D" w:rsidP="00EF4A2D">
            <w:pPr>
              <w:spacing w:before="40" w:after="40"/>
              <w:jc w:val="center"/>
              <w:rPr>
                <w:rFonts w:eastAsia="Calibri"/>
                <w:sz w:val="14"/>
                <w:szCs w:val="14"/>
                <w:lang w:eastAsia="en-US"/>
              </w:rPr>
            </w:pPr>
          </w:p>
        </w:tc>
        <w:tc>
          <w:tcPr>
            <w:tcW w:w="1843" w:type="dxa"/>
            <w:tcBorders>
              <w:left w:val="single" w:sz="4" w:space="0" w:color="auto"/>
              <w:right w:val="single" w:sz="4" w:space="0" w:color="auto"/>
            </w:tcBorders>
            <w:shd w:val="clear" w:color="auto" w:fill="auto"/>
            <w:vAlign w:val="center"/>
          </w:tcPr>
          <w:p w14:paraId="44832031"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-reexportaciones</w:t>
            </w:r>
          </w:p>
        </w:tc>
        <w:tc>
          <w:tcPr>
            <w:tcW w:w="709" w:type="dxa"/>
            <w:tcBorders>
              <w:left w:val="single" w:sz="4" w:space="0" w:color="auto"/>
              <w:right w:val="single" w:sz="4" w:space="0" w:color="auto"/>
            </w:tcBorders>
            <w:shd w:val="clear" w:color="auto" w:fill="auto"/>
            <w:vAlign w:val="center"/>
          </w:tcPr>
          <w:p w14:paraId="7576D94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194</w:t>
            </w:r>
          </w:p>
        </w:tc>
        <w:tc>
          <w:tcPr>
            <w:tcW w:w="708" w:type="dxa"/>
            <w:tcBorders>
              <w:left w:val="single" w:sz="4" w:space="0" w:color="auto"/>
              <w:right w:val="single" w:sz="4" w:space="0" w:color="auto"/>
            </w:tcBorders>
            <w:shd w:val="clear" w:color="auto" w:fill="auto"/>
            <w:vAlign w:val="center"/>
          </w:tcPr>
          <w:p w14:paraId="6B7A850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1.0</w:t>
            </w:r>
          </w:p>
        </w:tc>
        <w:tc>
          <w:tcPr>
            <w:tcW w:w="567" w:type="dxa"/>
            <w:tcBorders>
              <w:left w:val="single" w:sz="4" w:space="0" w:color="auto"/>
              <w:right w:val="single" w:sz="4" w:space="0" w:color="auto"/>
            </w:tcBorders>
            <w:shd w:val="clear" w:color="auto" w:fill="auto"/>
            <w:vAlign w:val="center"/>
          </w:tcPr>
          <w:p w14:paraId="564F6B7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c>
          <w:tcPr>
            <w:tcW w:w="284" w:type="dxa"/>
            <w:tcBorders>
              <w:left w:val="single" w:sz="4" w:space="0" w:color="auto"/>
              <w:right w:val="single" w:sz="4" w:space="0" w:color="auto"/>
            </w:tcBorders>
            <w:vAlign w:val="center"/>
          </w:tcPr>
          <w:p w14:paraId="3FDB6890"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5F472118" w14:textId="77777777" w:rsidR="00EF4A2D" w:rsidRPr="00EF4A2D" w:rsidRDefault="00EF4A2D" w:rsidP="00EF4A2D">
            <w:pPr>
              <w:spacing w:before="40" w:after="40"/>
              <w:jc w:val="center"/>
              <w:rPr>
                <w:rFonts w:eastAsia="Calibri"/>
                <w:sz w:val="14"/>
                <w:szCs w:val="14"/>
                <w:lang w:eastAsia="en-US"/>
              </w:rPr>
            </w:pPr>
          </w:p>
        </w:tc>
        <w:tc>
          <w:tcPr>
            <w:tcW w:w="1842" w:type="dxa"/>
            <w:tcBorders>
              <w:left w:val="single" w:sz="4" w:space="0" w:color="auto"/>
              <w:right w:val="single" w:sz="4" w:space="0" w:color="auto"/>
            </w:tcBorders>
            <w:shd w:val="clear" w:color="auto" w:fill="auto"/>
            <w:vAlign w:val="center"/>
          </w:tcPr>
          <w:p w14:paraId="46CD8C2E" w14:textId="77777777" w:rsidR="00EF4A2D" w:rsidRPr="00EF4A2D" w:rsidRDefault="00EF4A2D" w:rsidP="00EF4A2D">
            <w:pPr>
              <w:spacing w:before="40" w:after="40"/>
              <w:jc w:val="both"/>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5687A138"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2C40B963" w14:textId="77777777" w:rsidR="00EF4A2D" w:rsidRPr="00EF4A2D" w:rsidRDefault="00EF4A2D" w:rsidP="00EF4A2D">
            <w:pPr>
              <w:spacing w:before="40" w:after="40"/>
              <w:jc w:val="right"/>
              <w:rPr>
                <w:rFonts w:eastAsia="Calibri"/>
                <w:sz w:val="14"/>
                <w:szCs w:val="14"/>
                <w:lang w:eastAsia="en-US"/>
              </w:rPr>
            </w:pPr>
          </w:p>
        </w:tc>
        <w:tc>
          <w:tcPr>
            <w:tcW w:w="567" w:type="dxa"/>
            <w:tcBorders>
              <w:left w:val="single" w:sz="4" w:space="0" w:color="auto"/>
              <w:right w:val="single" w:sz="4" w:space="0" w:color="auto"/>
            </w:tcBorders>
            <w:shd w:val="clear" w:color="auto" w:fill="auto"/>
            <w:vAlign w:val="center"/>
          </w:tcPr>
          <w:p w14:paraId="4A14CED9" w14:textId="77777777" w:rsidR="00EF4A2D" w:rsidRPr="00EF4A2D" w:rsidRDefault="00EF4A2D" w:rsidP="00EF4A2D">
            <w:pPr>
              <w:spacing w:before="40" w:after="40"/>
              <w:jc w:val="right"/>
              <w:rPr>
                <w:rFonts w:eastAsia="Calibri"/>
                <w:sz w:val="14"/>
                <w:szCs w:val="14"/>
                <w:lang w:eastAsia="en-US"/>
              </w:rPr>
            </w:pPr>
          </w:p>
        </w:tc>
      </w:tr>
      <w:tr w:rsidR="00EF4A2D" w:rsidRPr="00EF4A2D" w14:paraId="0E6E8C1F" w14:textId="77777777" w:rsidTr="00B9606F">
        <w:trPr>
          <w:jc w:val="center"/>
        </w:trPr>
        <w:tc>
          <w:tcPr>
            <w:tcW w:w="709" w:type="dxa"/>
            <w:tcBorders>
              <w:left w:val="single" w:sz="4" w:space="0" w:color="auto"/>
              <w:right w:val="single" w:sz="4" w:space="0" w:color="auto"/>
            </w:tcBorders>
            <w:shd w:val="clear" w:color="auto" w:fill="auto"/>
            <w:vAlign w:val="center"/>
          </w:tcPr>
          <w:p w14:paraId="724316A6"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15</w:t>
            </w:r>
          </w:p>
        </w:tc>
        <w:tc>
          <w:tcPr>
            <w:tcW w:w="1843" w:type="dxa"/>
            <w:tcBorders>
              <w:left w:val="single" w:sz="4" w:space="0" w:color="auto"/>
              <w:right w:val="single" w:sz="4" w:space="0" w:color="auto"/>
            </w:tcBorders>
            <w:shd w:val="clear" w:color="auto" w:fill="auto"/>
            <w:vAlign w:val="center"/>
          </w:tcPr>
          <w:p w14:paraId="12C8D837" w14:textId="77777777" w:rsidR="00EF4A2D" w:rsidRPr="00EF4A2D" w:rsidRDefault="00EF4A2D" w:rsidP="00EF4A2D">
            <w:pPr>
              <w:spacing w:before="40" w:after="40"/>
              <w:rPr>
                <w:rFonts w:eastAsia="Calibri"/>
                <w:b/>
                <w:sz w:val="14"/>
                <w:szCs w:val="14"/>
                <w:lang w:eastAsia="en-US"/>
              </w:rPr>
            </w:pPr>
            <w:r w:rsidRPr="00EF4A2D">
              <w:rPr>
                <w:rFonts w:eastAsia="Calibri"/>
                <w:b/>
                <w:sz w:val="14"/>
                <w:szCs w:val="14"/>
                <w:lang w:eastAsia="en-US"/>
              </w:rPr>
              <w:t>México</w:t>
            </w:r>
          </w:p>
        </w:tc>
        <w:tc>
          <w:tcPr>
            <w:tcW w:w="709" w:type="dxa"/>
            <w:tcBorders>
              <w:left w:val="single" w:sz="4" w:space="0" w:color="auto"/>
              <w:right w:val="single" w:sz="4" w:space="0" w:color="auto"/>
            </w:tcBorders>
            <w:shd w:val="clear" w:color="auto" w:fill="auto"/>
            <w:vAlign w:val="center"/>
          </w:tcPr>
          <w:p w14:paraId="3E1B7DD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398</w:t>
            </w:r>
          </w:p>
        </w:tc>
        <w:tc>
          <w:tcPr>
            <w:tcW w:w="708" w:type="dxa"/>
            <w:tcBorders>
              <w:left w:val="single" w:sz="4" w:space="0" w:color="auto"/>
              <w:right w:val="single" w:sz="4" w:space="0" w:color="auto"/>
            </w:tcBorders>
            <w:shd w:val="clear" w:color="auto" w:fill="auto"/>
            <w:vAlign w:val="center"/>
          </w:tcPr>
          <w:p w14:paraId="3FB75C0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2.1</w:t>
            </w:r>
          </w:p>
        </w:tc>
        <w:tc>
          <w:tcPr>
            <w:tcW w:w="567" w:type="dxa"/>
            <w:tcBorders>
              <w:left w:val="single" w:sz="4" w:space="0" w:color="auto"/>
              <w:right w:val="single" w:sz="4" w:space="0" w:color="auto"/>
            </w:tcBorders>
            <w:shd w:val="clear" w:color="auto" w:fill="auto"/>
            <w:vAlign w:val="center"/>
          </w:tcPr>
          <w:p w14:paraId="78513CF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c>
          <w:tcPr>
            <w:tcW w:w="284" w:type="dxa"/>
            <w:tcBorders>
              <w:left w:val="single" w:sz="4" w:space="0" w:color="auto"/>
              <w:right w:val="single" w:sz="4" w:space="0" w:color="auto"/>
            </w:tcBorders>
            <w:vAlign w:val="center"/>
          </w:tcPr>
          <w:p w14:paraId="5F9DEA09"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48284E96"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15</w:t>
            </w:r>
          </w:p>
        </w:tc>
        <w:tc>
          <w:tcPr>
            <w:tcW w:w="1842" w:type="dxa"/>
            <w:tcBorders>
              <w:left w:val="single" w:sz="4" w:space="0" w:color="auto"/>
              <w:right w:val="single" w:sz="4" w:space="0" w:color="auto"/>
            </w:tcBorders>
            <w:shd w:val="clear" w:color="auto" w:fill="auto"/>
            <w:vAlign w:val="center"/>
          </w:tcPr>
          <w:p w14:paraId="4D5B98DF"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Singapur</w:t>
            </w:r>
          </w:p>
        </w:tc>
        <w:tc>
          <w:tcPr>
            <w:tcW w:w="709" w:type="dxa"/>
            <w:tcBorders>
              <w:left w:val="single" w:sz="4" w:space="0" w:color="auto"/>
              <w:right w:val="single" w:sz="4" w:space="0" w:color="auto"/>
            </w:tcBorders>
            <w:shd w:val="clear" w:color="auto" w:fill="auto"/>
            <w:vAlign w:val="center"/>
          </w:tcPr>
          <w:p w14:paraId="4E048EA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366</w:t>
            </w:r>
          </w:p>
        </w:tc>
        <w:tc>
          <w:tcPr>
            <w:tcW w:w="709" w:type="dxa"/>
            <w:tcBorders>
              <w:left w:val="single" w:sz="4" w:space="0" w:color="auto"/>
              <w:right w:val="single" w:sz="4" w:space="0" w:color="auto"/>
            </w:tcBorders>
            <w:shd w:val="clear" w:color="auto" w:fill="auto"/>
            <w:vAlign w:val="center"/>
          </w:tcPr>
          <w:p w14:paraId="1FE2AA17"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1.9</w:t>
            </w:r>
          </w:p>
        </w:tc>
        <w:tc>
          <w:tcPr>
            <w:tcW w:w="567" w:type="dxa"/>
            <w:tcBorders>
              <w:left w:val="single" w:sz="4" w:space="0" w:color="auto"/>
              <w:right w:val="single" w:sz="4" w:space="0" w:color="auto"/>
            </w:tcBorders>
            <w:shd w:val="clear" w:color="auto" w:fill="auto"/>
            <w:vAlign w:val="center"/>
          </w:tcPr>
          <w:p w14:paraId="55A3F80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r>
      <w:tr w:rsidR="00EF4A2D" w:rsidRPr="00EF4A2D" w14:paraId="38BF929D" w14:textId="77777777" w:rsidTr="00B9606F">
        <w:trPr>
          <w:jc w:val="center"/>
        </w:trPr>
        <w:tc>
          <w:tcPr>
            <w:tcW w:w="709" w:type="dxa"/>
            <w:tcBorders>
              <w:left w:val="single" w:sz="4" w:space="0" w:color="auto"/>
              <w:right w:val="single" w:sz="4" w:space="0" w:color="auto"/>
            </w:tcBorders>
            <w:shd w:val="clear" w:color="auto" w:fill="auto"/>
            <w:vAlign w:val="center"/>
          </w:tcPr>
          <w:p w14:paraId="42022C7F" w14:textId="77777777" w:rsidR="00EF4A2D" w:rsidRPr="00EF4A2D" w:rsidRDefault="00EF4A2D" w:rsidP="00EF4A2D">
            <w:pPr>
              <w:spacing w:before="40" w:after="40"/>
              <w:jc w:val="center"/>
              <w:rPr>
                <w:rFonts w:eastAsia="Calibri"/>
                <w:sz w:val="14"/>
                <w:szCs w:val="14"/>
                <w:lang w:eastAsia="en-US"/>
              </w:rPr>
            </w:pPr>
          </w:p>
        </w:tc>
        <w:tc>
          <w:tcPr>
            <w:tcW w:w="1843" w:type="dxa"/>
            <w:tcBorders>
              <w:left w:val="single" w:sz="4" w:space="0" w:color="auto"/>
              <w:right w:val="single" w:sz="4" w:space="0" w:color="auto"/>
            </w:tcBorders>
            <w:shd w:val="clear" w:color="auto" w:fill="auto"/>
            <w:vAlign w:val="center"/>
          </w:tcPr>
          <w:p w14:paraId="6871D68E" w14:textId="77777777" w:rsidR="00EF4A2D" w:rsidRPr="00EF4A2D" w:rsidRDefault="00EF4A2D" w:rsidP="00EF4A2D">
            <w:pPr>
              <w:spacing w:before="40" w:after="40"/>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7240FE4B" w14:textId="77777777" w:rsidR="00EF4A2D" w:rsidRPr="00EF4A2D" w:rsidRDefault="00EF4A2D" w:rsidP="00EF4A2D">
            <w:pPr>
              <w:spacing w:before="40" w:after="40"/>
              <w:jc w:val="right"/>
              <w:rPr>
                <w:rFonts w:eastAsia="Calibri"/>
                <w:sz w:val="14"/>
                <w:szCs w:val="14"/>
                <w:lang w:eastAsia="en-US"/>
              </w:rPr>
            </w:pPr>
          </w:p>
        </w:tc>
        <w:tc>
          <w:tcPr>
            <w:tcW w:w="708" w:type="dxa"/>
            <w:tcBorders>
              <w:left w:val="single" w:sz="4" w:space="0" w:color="auto"/>
              <w:right w:val="single" w:sz="4" w:space="0" w:color="auto"/>
            </w:tcBorders>
            <w:shd w:val="clear" w:color="auto" w:fill="auto"/>
            <w:vAlign w:val="center"/>
          </w:tcPr>
          <w:p w14:paraId="426874FD" w14:textId="77777777" w:rsidR="00EF4A2D" w:rsidRPr="00EF4A2D" w:rsidRDefault="00EF4A2D" w:rsidP="00EF4A2D">
            <w:pPr>
              <w:spacing w:before="40" w:after="40"/>
              <w:jc w:val="right"/>
              <w:rPr>
                <w:rFonts w:eastAsia="Calibri"/>
                <w:sz w:val="14"/>
                <w:szCs w:val="14"/>
                <w:lang w:eastAsia="en-US"/>
              </w:rPr>
            </w:pPr>
          </w:p>
        </w:tc>
        <w:tc>
          <w:tcPr>
            <w:tcW w:w="567" w:type="dxa"/>
            <w:tcBorders>
              <w:left w:val="single" w:sz="4" w:space="0" w:color="auto"/>
              <w:right w:val="single" w:sz="4" w:space="0" w:color="auto"/>
            </w:tcBorders>
            <w:shd w:val="clear" w:color="auto" w:fill="auto"/>
            <w:vAlign w:val="center"/>
          </w:tcPr>
          <w:p w14:paraId="3C5CDD8F" w14:textId="77777777" w:rsidR="00EF4A2D" w:rsidRPr="00EF4A2D" w:rsidRDefault="00EF4A2D" w:rsidP="00EF4A2D">
            <w:pPr>
              <w:spacing w:before="40" w:after="40"/>
              <w:jc w:val="right"/>
              <w:rPr>
                <w:rFonts w:eastAsia="Calibri"/>
                <w:sz w:val="14"/>
                <w:szCs w:val="14"/>
                <w:lang w:eastAsia="en-US"/>
              </w:rPr>
            </w:pPr>
          </w:p>
        </w:tc>
        <w:tc>
          <w:tcPr>
            <w:tcW w:w="284" w:type="dxa"/>
            <w:tcBorders>
              <w:left w:val="single" w:sz="4" w:space="0" w:color="auto"/>
              <w:right w:val="single" w:sz="4" w:space="0" w:color="auto"/>
            </w:tcBorders>
            <w:vAlign w:val="center"/>
          </w:tcPr>
          <w:p w14:paraId="51AC9402"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64B7017E" w14:textId="77777777" w:rsidR="00EF4A2D" w:rsidRPr="00EF4A2D" w:rsidRDefault="00EF4A2D" w:rsidP="00EF4A2D">
            <w:pPr>
              <w:spacing w:before="40" w:after="40"/>
              <w:jc w:val="center"/>
              <w:rPr>
                <w:rFonts w:eastAsia="Calibri"/>
                <w:sz w:val="14"/>
                <w:szCs w:val="14"/>
                <w:lang w:eastAsia="en-US"/>
              </w:rPr>
            </w:pPr>
          </w:p>
        </w:tc>
        <w:tc>
          <w:tcPr>
            <w:tcW w:w="1842" w:type="dxa"/>
            <w:tcBorders>
              <w:left w:val="single" w:sz="4" w:space="0" w:color="auto"/>
              <w:right w:val="single" w:sz="4" w:space="0" w:color="auto"/>
            </w:tcBorders>
            <w:shd w:val="clear" w:color="auto" w:fill="auto"/>
            <w:vAlign w:val="center"/>
          </w:tcPr>
          <w:p w14:paraId="5BC126C6"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 xml:space="preserve">-Importaciones </w:t>
            </w:r>
            <w:proofErr w:type="spellStart"/>
            <w:r w:rsidRPr="00EF4A2D">
              <w:rPr>
                <w:rFonts w:eastAsia="Calibri"/>
                <w:sz w:val="14"/>
                <w:szCs w:val="14"/>
                <w:lang w:eastAsia="en-US"/>
              </w:rPr>
              <w:t>definitivas</w:t>
            </w:r>
            <w:r w:rsidRPr="00EF4A2D">
              <w:rPr>
                <w:rFonts w:eastAsia="Calibri"/>
                <w:sz w:val="14"/>
                <w:szCs w:val="14"/>
                <w:u w:val="single"/>
                <w:vertAlign w:val="superscript"/>
                <w:lang w:eastAsia="en-US"/>
              </w:rPr>
              <w:t>b</w:t>
            </w:r>
            <w:proofErr w:type="spellEnd"/>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1BF9584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173</w:t>
            </w:r>
          </w:p>
        </w:tc>
        <w:tc>
          <w:tcPr>
            <w:tcW w:w="709" w:type="dxa"/>
            <w:tcBorders>
              <w:left w:val="single" w:sz="4" w:space="0" w:color="auto"/>
              <w:right w:val="single" w:sz="4" w:space="0" w:color="auto"/>
            </w:tcBorders>
            <w:shd w:val="clear" w:color="auto" w:fill="auto"/>
            <w:vAlign w:val="center"/>
          </w:tcPr>
          <w:p w14:paraId="47BBF67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0.9</w:t>
            </w:r>
          </w:p>
        </w:tc>
        <w:tc>
          <w:tcPr>
            <w:tcW w:w="567" w:type="dxa"/>
            <w:tcBorders>
              <w:left w:val="single" w:sz="4" w:space="0" w:color="auto"/>
              <w:right w:val="single" w:sz="4" w:space="0" w:color="auto"/>
            </w:tcBorders>
            <w:shd w:val="clear" w:color="auto" w:fill="auto"/>
            <w:vAlign w:val="center"/>
          </w:tcPr>
          <w:p w14:paraId="10EB94F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r>
      <w:tr w:rsidR="00EF4A2D" w:rsidRPr="00EF4A2D" w14:paraId="453DA412" w14:textId="77777777" w:rsidTr="00B9606F">
        <w:trPr>
          <w:jc w:val="center"/>
        </w:trPr>
        <w:tc>
          <w:tcPr>
            <w:tcW w:w="709" w:type="dxa"/>
            <w:tcBorders>
              <w:left w:val="single" w:sz="4" w:space="0" w:color="auto"/>
              <w:right w:val="single" w:sz="4" w:space="0" w:color="auto"/>
            </w:tcBorders>
            <w:shd w:val="clear" w:color="auto" w:fill="auto"/>
            <w:vAlign w:val="center"/>
          </w:tcPr>
          <w:p w14:paraId="28686FAC"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16</w:t>
            </w:r>
          </w:p>
        </w:tc>
        <w:tc>
          <w:tcPr>
            <w:tcW w:w="1843" w:type="dxa"/>
            <w:tcBorders>
              <w:left w:val="single" w:sz="4" w:space="0" w:color="auto"/>
              <w:right w:val="single" w:sz="4" w:space="0" w:color="auto"/>
            </w:tcBorders>
            <w:shd w:val="clear" w:color="auto" w:fill="auto"/>
            <w:vAlign w:val="center"/>
          </w:tcPr>
          <w:p w14:paraId="4990DCC5"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 xml:space="preserve">Emiratos Árabes </w:t>
            </w:r>
            <w:proofErr w:type="spellStart"/>
            <w:r w:rsidRPr="00EF4A2D">
              <w:rPr>
                <w:rFonts w:eastAsia="Calibri"/>
                <w:sz w:val="14"/>
                <w:szCs w:val="14"/>
                <w:lang w:eastAsia="en-US"/>
              </w:rPr>
              <w:t>Unidos</w:t>
            </w:r>
            <w:r w:rsidRPr="00EF4A2D">
              <w:rPr>
                <w:rFonts w:eastAsia="Calibri"/>
                <w:sz w:val="14"/>
                <w:szCs w:val="14"/>
                <w:u w:val="single"/>
                <w:vertAlign w:val="superscript"/>
                <w:lang w:eastAsia="en-US"/>
              </w:rPr>
              <w:t>c</w:t>
            </w:r>
            <w:proofErr w:type="spellEnd"/>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55724FC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359</w:t>
            </w:r>
          </w:p>
        </w:tc>
        <w:tc>
          <w:tcPr>
            <w:tcW w:w="708" w:type="dxa"/>
            <w:tcBorders>
              <w:left w:val="single" w:sz="4" w:space="0" w:color="auto"/>
              <w:right w:val="single" w:sz="4" w:space="0" w:color="auto"/>
            </w:tcBorders>
            <w:shd w:val="clear" w:color="auto" w:fill="auto"/>
            <w:vAlign w:val="center"/>
          </w:tcPr>
          <w:p w14:paraId="1D6A5EF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1.9</w:t>
            </w:r>
          </w:p>
        </w:tc>
        <w:tc>
          <w:tcPr>
            <w:tcW w:w="567" w:type="dxa"/>
            <w:tcBorders>
              <w:left w:val="single" w:sz="4" w:space="0" w:color="auto"/>
              <w:right w:val="single" w:sz="4" w:space="0" w:color="auto"/>
            </w:tcBorders>
            <w:shd w:val="clear" w:color="auto" w:fill="auto"/>
            <w:vAlign w:val="center"/>
          </w:tcPr>
          <w:p w14:paraId="14C9873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c>
          <w:tcPr>
            <w:tcW w:w="284" w:type="dxa"/>
            <w:tcBorders>
              <w:left w:val="single" w:sz="4" w:space="0" w:color="auto"/>
              <w:right w:val="single" w:sz="4" w:space="0" w:color="auto"/>
            </w:tcBorders>
            <w:vAlign w:val="center"/>
          </w:tcPr>
          <w:p w14:paraId="12542065"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406B8202"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16</w:t>
            </w:r>
          </w:p>
        </w:tc>
        <w:tc>
          <w:tcPr>
            <w:tcW w:w="1842" w:type="dxa"/>
            <w:tcBorders>
              <w:left w:val="single" w:sz="4" w:space="0" w:color="auto"/>
              <w:right w:val="single" w:sz="4" w:space="0" w:color="auto"/>
            </w:tcBorders>
            <w:shd w:val="clear" w:color="auto" w:fill="auto"/>
            <w:vAlign w:val="center"/>
          </w:tcPr>
          <w:p w14:paraId="77674CDB"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España</w:t>
            </w:r>
          </w:p>
        </w:tc>
        <w:tc>
          <w:tcPr>
            <w:tcW w:w="709" w:type="dxa"/>
            <w:tcBorders>
              <w:left w:val="single" w:sz="4" w:space="0" w:color="auto"/>
              <w:right w:val="single" w:sz="4" w:space="0" w:color="auto"/>
            </w:tcBorders>
            <w:shd w:val="clear" w:color="auto" w:fill="auto"/>
            <w:vAlign w:val="center"/>
          </w:tcPr>
          <w:p w14:paraId="50FC6E5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356</w:t>
            </w:r>
          </w:p>
        </w:tc>
        <w:tc>
          <w:tcPr>
            <w:tcW w:w="709" w:type="dxa"/>
            <w:tcBorders>
              <w:left w:val="single" w:sz="4" w:space="0" w:color="auto"/>
              <w:right w:val="single" w:sz="4" w:space="0" w:color="auto"/>
            </w:tcBorders>
            <w:shd w:val="clear" w:color="auto" w:fill="auto"/>
            <w:vAlign w:val="center"/>
          </w:tcPr>
          <w:p w14:paraId="7F22A28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1.9</w:t>
            </w:r>
          </w:p>
        </w:tc>
        <w:tc>
          <w:tcPr>
            <w:tcW w:w="567" w:type="dxa"/>
            <w:tcBorders>
              <w:left w:val="single" w:sz="4" w:space="0" w:color="auto"/>
              <w:right w:val="single" w:sz="4" w:space="0" w:color="auto"/>
            </w:tcBorders>
            <w:shd w:val="clear" w:color="auto" w:fill="auto"/>
            <w:vAlign w:val="center"/>
          </w:tcPr>
          <w:p w14:paraId="6EC2E0F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r>
      <w:tr w:rsidR="00EF4A2D" w:rsidRPr="00EF4A2D" w14:paraId="2198B153" w14:textId="77777777" w:rsidTr="00B9606F">
        <w:trPr>
          <w:jc w:val="center"/>
        </w:trPr>
        <w:tc>
          <w:tcPr>
            <w:tcW w:w="709" w:type="dxa"/>
            <w:tcBorders>
              <w:left w:val="single" w:sz="4" w:space="0" w:color="auto"/>
              <w:right w:val="single" w:sz="4" w:space="0" w:color="auto"/>
            </w:tcBorders>
            <w:shd w:val="clear" w:color="auto" w:fill="auto"/>
            <w:vAlign w:val="center"/>
          </w:tcPr>
          <w:p w14:paraId="68CC2ADE"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17</w:t>
            </w:r>
          </w:p>
        </w:tc>
        <w:tc>
          <w:tcPr>
            <w:tcW w:w="1843" w:type="dxa"/>
            <w:tcBorders>
              <w:left w:val="single" w:sz="4" w:space="0" w:color="auto"/>
              <w:right w:val="single" w:sz="4" w:space="0" w:color="auto"/>
            </w:tcBorders>
            <w:shd w:val="clear" w:color="auto" w:fill="auto"/>
            <w:vAlign w:val="center"/>
          </w:tcPr>
          <w:p w14:paraId="7B9568CD"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 xml:space="preserve">Arabia </w:t>
            </w:r>
            <w:proofErr w:type="spellStart"/>
            <w:r w:rsidRPr="00EF4A2D">
              <w:rPr>
                <w:rFonts w:eastAsia="Calibri"/>
                <w:sz w:val="14"/>
                <w:szCs w:val="14"/>
                <w:lang w:eastAsia="en-US"/>
              </w:rPr>
              <w:t>Saudita</w:t>
            </w:r>
            <w:r w:rsidRPr="00EF4A2D">
              <w:rPr>
                <w:rFonts w:eastAsia="Calibri"/>
                <w:sz w:val="14"/>
                <w:szCs w:val="14"/>
                <w:u w:val="single"/>
                <w:vertAlign w:val="superscript"/>
                <w:lang w:eastAsia="en-US"/>
              </w:rPr>
              <w:t>c</w:t>
            </w:r>
            <w:proofErr w:type="spellEnd"/>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2DE27EB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354</w:t>
            </w:r>
          </w:p>
        </w:tc>
        <w:tc>
          <w:tcPr>
            <w:tcW w:w="708" w:type="dxa"/>
            <w:tcBorders>
              <w:left w:val="single" w:sz="4" w:space="0" w:color="auto"/>
              <w:right w:val="single" w:sz="4" w:space="0" w:color="auto"/>
            </w:tcBorders>
            <w:shd w:val="clear" w:color="auto" w:fill="auto"/>
            <w:vAlign w:val="center"/>
          </w:tcPr>
          <w:p w14:paraId="652481F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1.9</w:t>
            </w:r>
          </w:p>
        </w:tc>
        <w:tc>
          <w:tcPr>
            <w:tcW w:w="567" w:type="dxa"/>
            <w:tcBorders>
              <w:left w:val="single" w:sz="4" w:space="0" w:color="auto"/>
              <w:right w:val="single" w:sz="4" w:space="0" w:color="auto"/>
            </w:tcBorders>
            <w:shd w:val="clear" w:color="auto" w:fill="auto"/>
            <w:vAlign w:val="center"/>
          </w:tcPr>
          <w:p w14:paraId="449A6C6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w:t>
            </w:r>
          </w:p>
        </w:tc>
        <w:tc>
          <w:tcPr>
            <w:tcW w:w="284" w:type="dxa"/>
            <w:tcBorders>
              <w:left w:val="single" w:sz="4" w:space="0" w:color="auto"/>
              <w:right w:val="single" w:sz="4" w:space="0" w:color="auto"/>
            </w:tcBorders>
            <w:vAlign w:val="center"/>
          </w:tcPr>
          <w:p w14:paraId="733E2B98"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331B678C"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17</w:t>
            </w:r>
          </w:p>
        </w:tc>
        <w:tc>
          <w:tcPr>
            <w:tcW w:w="1842" w:type="dxa"/>
            <w:tcBorders>
              <w:left w:val="single" w:sz="4" w:space="0" w:color="auto"/>
              <w:right w:val="single" w:sz="4" w:space="0" w:color="auto"/>
            </w:tcBorders>
            <w:shd w:val="clear" w:color="auto" w:fill="auto"/>
            <w:vAlign w:val="center"/>
          </w:tcPr>
          <w:p w14:paraId="3D602D1E"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 xml:space="preserve">Federación de Rusia </w:t>
            </w:r>
            <w:r w:rsidRPr="00EF4A2D">
              <w:rPr>
                <w:rFonts w:eastAsia="Calibri"/>
                <w:sz w:val="14"/>
                <w:szCs w:val="14"/>
                <w:u w:val="single"/>
                <w:vertAlign w:val="superscript"/>
                <w:lang w:eastAsia="en-US"/>
              </w:rPr>
              <w:t>a</w:t>
            </w:r>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2DAFA7C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308</w:t>
            </w:r>
          </w:p>
        </w:tc>
        <w:tc>
          <w:tcPr>
            <w:tcW w:w="709" w:type="dxa"/>
            <w:tcBorders>
              <w:left w:val="single" w:sz="4" w:space="0" w:color="auto"/>
              <w:right w:val="single" w:sz="4" w:space="0" w:color="auto"/>
            </w:tcBorders>
            <w:shd w:val="clear" w:color="auto" w:fill="auto"/>
            <w:vAlign w:val="center"/>
          </w:tcPr>
          <w:p w14:paraId="46C4228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1.6</w:t>
            </w:r>
          </w:p>
        </w:tc>
        <w:tc>
          <w:tcPr>
            <w:tcW w:w="567" w:type="dxa"/>
            <w:tcBorders>
              <w:left w:val="single" w:sz="4" w:space="0" w:color="auto"/>
              <w:right w:val="single" w:sz="4" w:space="0" w:color="auto"/>
            </w:tcBorders>
            <w:shd w:val="clear" w:color="auto" w:fill="auto"/>
            <w:vAlign w:val="center"/>
          </w:tcPr>
          <w:p w14:paraId="6D6D9FC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-10</w:t>
            </w:r>
          </w:p>
        </w:tc>
      </w:tr>
      <w:tr w:rsidR="00EF4A2D" w:rsidRPr="00EF4A2D" w14:paraId="0517BE0A" w14:textId="77777777" w:rsidTr="00B9606F">
        <w:trPr>
          <w:jc w:val="center"/>
        </w:trPr>
        <w:tc>
          <w:tcPr>
            <w:tcW w:w="709" w:type="dxa"/>
            <w:tcBorders>
              <w:left w:val="single" w:sz="4" w:space="0" w:color="auto"/>
              <w:right w:val="single" w:sz="4" w:space="0" w:color="auto"/>
            </w:tcBorders>
            <w:shd w:val="clear" w:color="auto" w:fill="auto"/>
            <w:vAlign w:val="center"/>
          </w:tcPr>
          <w:p w14:paraId="79D790FE"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18</w:t>
            </w:r>
          </w:p>
        </w:tc>
        <w:tc>
          <w:tcPr>
            <w:tcW w:w="1843" w:type="dxa"/>
            <w:tcBorders>
              <w:left w:val="single" w:sz="4" w:space="0" w:color="auto"/>
              <w:right w:val="single" w:sz="4" w:space="0" w:color="auto"/>
            </w:tcBorders>
            <w:shd w:val="clear" w:color="auto" w:fill="auto"/>
            <w:vAlign w:val="center"/>
          </w:tcPr>
          <w:p w14:paraId="5DE26A4A"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España</w:t>
            </w:r>
          </w:p>
        </w:tc>
        <w:tc>
          <w:tcPr>
            <w:tcW w:w="709" w:type="dxa"/>
            <w:tcBorders>
              <w:left w:val="single" w:sz="4" w:space="0" w:color="auto"/>
              <w:right w:val="single" w:sz="4" w:space="0" w:color="auto"/>
            </w:tcBorders>
            <w:shd w:val="clear" w:color="auto" w:fill="auto"/>
            <w:vAlign w:val="center"/>
          </w:tcPr>
          <w:p w14:paraId="5214893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323</w:t>
            </w:r>
          </w:p>
        </w:tc>
        <w:tc>
          <w:tcPr>
            <w:tcW w:w="708" w:type="dxa"/>
            <w:tcBorders>
              <w:left w:val="single" w:sz="4" w:space="0" w:color="auto"/>
              <w:right w:val="single" w:sz="4" w:space="0" w:color="auto"/>
            </w:tcBorders>
            <w:shd w:val="clear" w:color="auto" w:fill="auto"/>
            <w:vAlign w:val="center"/>
          </w:tcPr>
          <w:p w14:paraId="78E04E1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1.7</w:t>
            </w:r>
          </w:p>
        </w:tc>
        <w:tc>
          <w:tcPr>
            <w:tcW w:w="567" w:type="dxa"/>
            <w:tcBorders>
              <w:left w:val="single" w:sz="4" w:space="0" w:color="auto"/>
              <w:right w:val="single" w:sz="4" w:space="0" w:color="auto"/>
            </w:tcBorders>
            <w:shd w:val="clear" w:color="auto" w:fill="auto"/>
            <w:vAlign w:val="center"/>
          </w:tcPr>
          <w:p w14:paraId="50204C5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c>
          <w:tcPr>
            <w:tcW w:w="284" w:type="dxa"/>
            <w:tcBorders>
              <w:left w:val="single" w:sz="4" w:space="0" w:color="auto"/>
              <w:right w:val="single" w:sz="4" w:space="0" w:color="auto"/>
            </w:tcBorders>
            <w:vAlign w:val="center"/>
          </w:tcPr>
          <w:p w14:paraId="021CFE1F"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2D4DA94E"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18</w:t>
            </w:r>
          </w:p>
        </w:tc>
        <w:tc>
          <w:tcPr>
            <w:tcW w:w="1842" w:type="dxa"/>
            <w:tcBorders>
              <w:left w:val="single" w:sz="4" w:space="0" w:color="auto"/>
              <w:right w:val="single" w:sz="4" w:space="0" w:color="auto"/>
            </w:tcBorders>
            <w:shd w:val="clear" w:color="auto" w:fill="auto"/>
            <w:vAlign w:val="center"/>
          </w:tcPr>
          <w:p w14:paraId="1764D81A" w14:textId="77777777" w:rsidR="00EF4A2D" w:rsidRPr="00EF4A2D" w:rsidRDefault="00EF4A2D" w:rsidP="00EF4A2D">
            <w:pPr>
              <w:spacing w:before="40" w:after="40"/>
              <w:jc w:val="both"/>
              <w:rPr>
                <w:rFonts w:eastAsia="Calibri"/>
                <w:sz w:val="14"/>
                <w:szCs w:val="14"/>
                <w:lang w:eastAsia="en-US"/>
              </w:rPr>
            </w:pPr>
            <w:proofErr w:type="spellStart"/>
            <w:r w:rsidRPr="00EF4A2D">
              <w:rPr>
                <w:rFonts w:eastAsia="Calibri"/>
                <w:sz w:val="14"/>
                <w:szCs w:val="14"/>
                <w:lang w:eastAsia="en-US"/>
              </w:rPr>
              <w:t>Taipei</w:t>
            </w:r>
            <w:proofErr w:type="spellEnd"/>
            <w:r w:rsidRPr="00EF4A2D">
              <w:rPr>
                <w:rFonts w:eastAsia="Calibri"/>
                <w:sz w:val="14"/>
                <w:szCs w:val="14"/>
                <w:lang w:eastAsia="en-US"/>
              </w:rPr>
              <w:t xml:space="preserve"> Chino</w:t>
            </w:r>
          </w:p>
        </w:tc>
        <w:tc>
          <w:tcPr>
            <w:tcW w:w="709" w:type="dxa"/>
            <w:tcBorders>
              <w:left w:val="single" w:sz="4" w:space="0" w:color="auto"/>
              <w:right w:val="single" w:sz="4" w:space="0" w:color="auto"/>
            </w:tcBorders>
            <w:shd w:val="clear" w:color="auto" w:fill="auto"/>
            <w:vAlign w:val="center"/>
          </w:tcPr>
          <w:p w14:paraId="12C321D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274</w:t>
            </w:r>
          </w:p>
        </w:tc>
        <w:tc>
          <w:tcPr>
            <w:tcW w:w="709" w:type="dxa"/>
            <w:tcBorders>
              <w:left w:val="single" w:sz="4" w:space="0" w:color="auto"/>
              <w:right w:val="single" w:sz="4" w:space="0" w:color="auto"/>
            </w:tcBorders>
            <w:shd w:val="clear" w:color="auto" w:fill="auto"/>
            <w:vAlign w:val="center"/>
          </w:tcPr>
          <w:p w14:paraId="62F6A22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1.4</w:t>
            </w:r>
          </w:p>
        </w:tc>
        <w:tc>
          <w:tcPr>
            <w:tcW w:w="567" w:type="dxa"/>
            <w:tcBorders>
              <w:left w:val="single" w:sz="4" w:space="0" w:color="auto"/>
              <w:right w:val="single" w:sz="4" w:space="0" w:color="auto"/>
            </w:tcBorders>
            <w:shd w:val="clear" w:color="auto" w:fill="auto"/>
            <w:vAlign w:val="center"/>
          </w:tcPr>
          <w:p w14:paraId="2AB88D7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r>
      <w:tr w:rsidR="00EF4A2D" w:rsidRPr="00EF4A2D" w14:paraId="64DB9240" w14:textId="77777777" w:rsidTr="00B9606F">
        <w:trPr>
          <w:jc w:val="center"/>
        </w:trPr>
        <w:tc>
          <w:tcPr>
            <w:tcW w:w="709" w:type="dxa"/>
            <w:tcBorders>
              <w:left w:val="single" w:sz="4" w:space="0" w:color="auto"/>
              <w:right w:val="single" w:sz="4" w:space="0" w:color="auto"/>
            </w:tcBorders>
            <w:shd w:val="clear" w:color="auto" w:fill="auto"/>
            <w:vAlign w:val="center"/>
          </w:tcPr>
          <w:p w14:paraId="7AE234C2"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19</w:t>
            </w:r>
          </w:p>
        </w:tc>
        <w:tc>
          <w:tcPr>
            <w:tcW w:w="1843" w:type="dxa"/>
            <w:tcBorders>
              <w:left w:val="single" w:sz="4" w:space="0" w:color="auto"/>
              <w:right w:val="single" w:sz="4" w:space="0" w:color="auto"/>
            </w:tcBorders>
            <w:shd w:val="clear" w:color="auto" w:fill="auto"/>
            <w:vAlign w:val="center"/>
          </w:tcPr>
          <w:p w14:paraId="530F0058"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India</w:t>
            </w:r>
          </w:p>
        </w:tc>
        <w:tc>
          <w:tcPr>
            <w:tcW w:w="709" w:type="dxa"/>
            <w:tcBorders>
              <w:left w:val="single" w:sz="4" w:space="0" w:color="auto"/>
              <w:right w:val="single" w:sz="4" w:space="0" w:color="auto"/>
            </w:tcBorders>
            <w:shd w:val="clear" w:color="auto" w:fill="auto"/>
            <w:vAlign w:val="center"/>
          </w:tcPr>
          <w:p w14:paraId="018D123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317</w:t>
            </w:r>
          </w:p>
        </w:tc>
        <w:tc>
          <w:tcPr>
            <w:tcW w:w="708" w:type="dxa"/>
            <w:tcBorders>
              <w:left w:val="single" w:sz="4" w:space="0" w:color="auto"/>
              <w:right w:val="single" w:sz="4" w:space="0" w:color="auto"/>
            </w:tcBorders>
            <w:shd w:val="clear" w:color="auto" w:fill="auto"/>
            <w:vAlign w:val="center"/>
          </w:tcPr>
          <w:p w14:paraId="1C000D6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1.7</w:t>
            </w:r>
          </w:p>
        </w:tc>
        <w:tc>
          <w:tcPr>
            <w:tcW w:w="567" w:type="dxa"/>
            <w:tcBorders>
              <w:left w:val="single" w:sz="4" w:space="0" w:color="auto"/>
              <w:right w:val="single" w:sz="4" w:space="0" w:color="auto"/>
            </w:tcBorders>
            <w:shd w:val="clear" w:color="auto" w:fill="auto"/>
            <w:vAlign w:val="center"/>
          </w:tcPr>
          <w:p w14:paraId="490E672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c>
          <w:tcPr>
            <w:tcW w:w="284" w:type="dxa"/>
            <w:tcBorders>
              <w:left w:val="single" w:sz="4" w:space="0" w:color="auto"/>
              <w:right w:val="single" w:sz="4" w:space="0" w:color="auto"/>
            </w:tcBorders>
            <w:vAlign w:val="center"/>
          </w:tcPr>
          <w:p w14:paraId="489846DB"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14E30F23"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19</w:t>
            </w:r>
          </w:p>
        </w:tc>
        <w:tc>
          <w:tcPr>
            <w:tcW w:w="1842" w:type="dxa"/>
            <w:tcBorders>
              <w:left w:val="single" w:sz="4" w:space="0" w:color="auto"/>
              <w:right w:val="single" w:sz="4" w:space="0" w:color="auto"/>
            </w:tcBorders>
            <w:shd w:val="clear" w:color="auto" w:fill="auto"/>
            <w:vAlign w:val="center"/>
          </w:tcPr>
          <w:p w14:paraId="65C86171"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 xml:space="preserve">Emiratos Árabes Unidos </w:t>
            </w:r>
            <w:r w:rsidRPr="00EF4A2D">
              <w:rPr>
                <w:rFonts w:eastAsia="Calibri"/>
                <w:sz w:val="14"/>
                <w:szCs w:val="14"/>
                <w:u w:val="single"/>
                <w:vertAlign w:val="superscript"/>
                <w:lang w:eastAsia="en-US"/>
              </w:rPr>
              <w:t>c</w:t>
            </w:r>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534F20F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262</w:t>
            </w:r>
          </w:p>
        </w:tc>
        <w:tc>
          <w:tcPr>
            <w:tcW w:w="709" w:type="dxa"/>
            <w:tcBorders>
              <w:left w:val="single" w:sz="4" w:space="0" w:color="auto"/>
              <w:right w:val="single" w:sz="4" w:space="0" w:color="auto"/>
            </w:tcBorders>
            <w:shd w:val="clear" w:color="auto" w:fill="auto"/>
            <w:vAlign w:val="center"/>
          </w:tcPr>
          <w:p w14:paraId="1DAF7ED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1.4</w:t>
            </w:r>
          </w:p>
        </w:tc>
        <w:tc>
          <w:tcPr>
            <w:tcW w:w="567" w:type="dxa"/>
            <w:tcBorders>
              <w:left w:val="single" w:sz="4" w:space="0" w:color="auto"/>
              <w:right w:val="single" w:sz="4" w:space="0" w:color="auto"/>
            </w:tcBorders>
            <w:shd w:val="clear" w:color="auto" w:fill="auto"/>
            <w:vAlign w:val="center"/>
          </w:tcPr>
          <w:p w14:paraId="70A0D36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w:t>
            </w:r>
          </w:p>
        </w:tc>
      </w:tr>
      <w:tr w:rsidR="00EF4A2D" w:rsidRPr="00EF4A2D" w14:paraId="7BFC70A7" w14:textId="77777777" w:rsidTr="00B9606F">
        <w:trPr>
          <w:jc w:val="center"/>
        </w:trPr>
        <w:tc>
          <w:tcPr>
            <w:tcW w:w="709" w:type="dxa"/>
            <w:tcBorders>
              <w:left w:val="single" w:sz="4" w:space="0" w:color="auto"/>
              <w:right w:val="single" w:sz="4" w:space="0" w:color="auto"/>
            </w:tcBorders>
            <w:shd w:val="clear" w:color="auto" w:fill="auto"/>
            <w:vAlign w:val="center"/>
          </w:tcPr>
          <w:p w14:paraId="56868E1F"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20</w:t>
            </w:r>
          </w:p>
        </w:tc>
        <w:tc>
          <w:tcPr>
            <w:tcW w:w="1843" w:type="dxa"/>
            <w:tcBorders>
              <w:left w:val="single" w:sz="4" w:space="0" w:color="auto"/>
              <w:right w:val="single" w:sz="4" w:space="0" w:color="auto"/>
            </w:tcBorders>
            <w:shd w:val="clear" w:color="auto" w:fill="auto"/>
            <w:vAlign w:val="center"/>
          </w:tcPr>
          <w:p w14:paraId="0307122F" w14:textId="77777777" w:rsidR="00EF4A2D" w:rsidRPr="00EF4A2D" w:rsidRDefault="00EF4A2D" w:rsidP="00EF4A2D">
            <w:pPr>
              <w:spacing w:before="40" w:after="40"/>
              <w:rPr>
                <w:rFonts w:eastAsia="Calibri"/>
                <w:sz w:val="14"/>
                <w:szCs w:val="14"/>
                <w:lang w:eastAsia="en-US"/>
              </w:rPr>
            </w:pPr>
            <w:proofErr w:type="spellStart"/>
            <w:r w:rsidRPr="00EF4A2D">
              <w:rPr>
                <w:rFonts w:eastAsia="Calibri"/>
                <w:sz w:val="14"/>
                <w:szCs w:val="14"/>
                <w:lang w:eastAsia="en-US"/>
              </w:rPr>
              <w:t>Taipei</w:t>
            </w:r>
            <w:proofErr w:type="spellEnd"/>
            <w:r w:rsidRPr="00EF4A2D">
              <w:rPr>
                <w:rFonts w:eastAsia="Calibri"/>
                <w:sz w:val="14"/>
                <w:szCs w:val="14"/>
                <w:lang w:eastAsia="en-US"/>
              </w:rPr>
              <w:t xml:space="preserve"> Chino</w:t>
            </w:r>
          </w:p>
        </w:tc>
        <w:tc>
          <w:tcPr>
            <w:tcW w:w="709" w:type="dxa"/>
            <w:tcBorders>
              <w:left w:val="single" w:sz="4" w:space="0" w:color="auto"/>
              <w:right w:val="single" w:sz="4" w:space="0" w:color="auto"/>
            </w:tcBorders>
            <w:shd w:val="clear" w:color="auto" w:fill="auto"/>
            <w:vAlign w:val="center"/>
          </w:tcPr>
          <w:p w14:paraId="41513D2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314</w:t>
            </w:r>
          </w:p>
        </w:tc>
        <w:tc>
          <w:tcPr>
            <w:tcW w:w="708" w:type="dxa"/>
            <w:tcBorders>
              <w:left w:val="single" w:sz="4" w:space="0" w:color="auto"/>
              <w:right w:val="single" w:sz="4" w:space="0" w:color="auto"/>
            </w:tcBorders>
            <w:shd w:val="clear" w:color="auto" w:fill="auto"/>
            <w:vAlign w:val="center"/>
          </w:tcPr>
          <w:p w14:paraId="64A42E8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1.7</w:t>
            </w:r>
          </w:p>
        </w:tc>
        <w:tc>
          <w:tcPr>
            <w:tcW w:w="567" w:type="dxa"/>
            <w:tcBorders>
              <w:left w:val="single" w:sz="4" w:space="0" w:color="auto"/>
              <w:right w:val="single" w:sz="4" w:space="0" w:color="auto"/>
            </w:tcBorders>
            <w:shd w:val="clear" w:color="auto" w:fill="auto"/>
            <w:vAlign w:val="center"/>
          </w:tcPr>
          <w:p w14:paraId="099AD43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w:t>
            </w:r>
          </w:p>
        </w:tc>
        <w:tc>
          <w:tcPr>
            <w:tcW w:w="284" w:type="dxa"/>
            <w:tcBorders>
              <w:left w:val="single" w:sz="4" w:space="0" w:color="auto"/>
              <w:right w:val="single" w:sz="4" w:space="0" w:color="auto"/>
            </w:tcBorders>
            <w:vAlign w:val="center"/>
          </w:tcPr>
          <w:p w14:paraId="13CBA7D5"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06F26129"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20</w:t>
            </w:r>
          </w:p>
        </w:tc>
        <w:tc>
          <w:tcPr>
            <w:tcW w:w="1842" w:type="dxa"/>
            <w:tcBorders>
              <w:left w:val="single" w:sz="4" w:space="0" w:color="auto"/>
              <w:right w:val="single" w:sz="4" w:space="0" w:color="auto"/>
            </w:tcBorders>
            <w:shd w:val="clear" w:color="auto" w:fill="auto"/>
            <w:vAlign w:val="center"/>
          </w:tcPr>
          <w:p w14:paraId="1B862003"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Turquía</w:t>
            </w:r>
          </w:p>
        </w:tc>
        <w:tc>
          <w:tcPr>
            <w:tcW w:w="709" w:type="dxa"/>
            <w:tcBorders>
              <w:left w:val="single" w:sz="4" w:space="0" w:color="auto"/>
              <w:right w:val="single" w:sz="4" w:space="0" w:color="auto"/>
            </w:tcBorders>
            <w:shd w:val="clear" w:color="auto" w:fill="auto"/>
            <w:vAlign w:val="center"/>
          </w:tcPr>
          <w:p w14:paraId="0386DCD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242</w:t>
            </w:r>
          </w:p>
        </w:tc>
        <w:tc>
          <w:tcPr>
            <w:tcW w:w="709" w:type="dxa"/>
            <w:tcBorders>
              <w:left w:val="single" w:sz="4" w:space="0" w:color="auto"/>
              <w:right w:val="single" w:sz="4" w:space="0" w:color="auto"/>
            </w:tcBorders>
            <w:shd w:val="clear" w:color="auto" w:fill="auto"/>
            <w:vAlign w:val="center"/>
          </w:tcPr>
          <w:p w14:paraId="67D233F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1.3</w:t>
            </w:r>
          </w:p>
        </w:tc>
        <w:tc>
          <w:tcPr>
            <w:tcW w:w="567" w:type="dxa"/>
            <w:tcBorders>
              <w:left w:val="single" w:sz="4" w:space="0" w:color="auto"/>
              <w:right w:val="single" w:sz="4" w:space="0" w:color="auto"/>
            </w:tcBorders>
            <w:shd w:val="clear" w:color="auto" w:fill="auto"/>
            <w:vAlign w:val="center"/>
          </w:tcPr>
          <w:p w14:paraId="061F5B4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w:t>
            </w:r>
          </w:p>
        </w:tc>
      </w:tr>
      <w:tr w:rsidR="00EF4A2D" w:rsidRPr="00EF4A2D" w14:paraId="2CDE64FA" w14:textId="77777777" w:rsidTr="00B9606F">
        <w:trPr>
          <w:jc w:val="center"/>
        </w:trPr>
        <w:tc>
          <w:tcPr>
            <w:tcW w:w="709" w:type="dxa"/>
            <w:tcBorders>
              <w:left w:val="single" w:sz="4" w:space="0" w:color="auto"/>
              <w:right w:val="single" w:sz="4" w:space="0" w:color="auto"/>
            </w:tcBorders>
            <w:shd w:val="clear" w:color="auto" w:fill="auto"/>
            <w:vAlign w:val="center"/>
          </w:tcPr>
          <w:p w14:paraId="1E7A9EAC"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21</w:t>
            </w:r>
          </w:p>
        </w:tc>
        <w:tc>
          <w:tcPr>
            <w:tcW w:w="1843" w:type="dxa"/>
            <w:tcBorders>
              <w:left w:val="single" w:sz="4" w:space="0" w:color="auto"/>
              <w:right w:val="single" w:sz="4" w:space="0" w:color="auto"/>
            </w:tcBorders>
            <w:shd w:val="clear" w:color="auto" w:fill="auto"/>
            <w:vAlign w:val="center"/>
          </w:tcPr>
          <w:p w14:paraId="6125E474"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Australia</w:t>
            </w:r>
          </w:p>
        </w:tc>
        <w:tc>
          <w:tcPr>
            <w:tcW w:w="709" w:type="dxa"/>
            <w:tcBorders>
              <w:left w:val="single" w:sz="4" w:space="0" w:color="auto"/>
              <w:right w:val="single" w:sz="4" w:space="0" w:color="auto"/>
            </w:tcBorders>
            <w:shd w:val="clear" w:color="auto" w:fill="auto"/>
            <w:vAlign w:val="center"/>
          </w:tcPr>
          <w:p w14:paraId="05BA2A4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240</w:t>
            </w:r>
          </w:p>
        </w:tc>
        <w:tc>
          <w:tcPr>
            <w:tcW w:w="708" w:type="dxa"/>
            <w:tcBorders>
              <w:left w:val="single" w:sz="4" w:space="0" w:color="auto"/>
              <w:right w:val="single" w:sz="4" w:space="0" w:color="auto"/>
            </w:tcBorders>
            <w:shd w:val="clear" w:color="auto" w:fill="auto"/>
            <w:vAlign w:val="center"/>
          </w:tcPr>
          <w:p w14:paraId="51F4D47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1.3</w:t>
            </w:r>
          </w:p>
        </w:tc>
        <w:tc>
          <w:tcPr>
            <w:tcW w:w="567" w:type="dxa"/>
            <w:tcBorders>
              <w:left w:val="single" w:sz="4" w:space="0" w:color="auto"/>
              <w:right w:val="single" w:sz="4" w:space="0" w:color="auto"/>
            </w:tcBorders>
            <w:shd w:val="clear" w:color="auto" w:fill="auto"/>
            <w:vAlign w:val="center"/>
          </w:tcPr>
          <w:p w14:paraId="3887979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c>
          <w:tcPr>
            <w:tcW w:w="284" w:type="dxa"/>
            <w:tcBorders>
              <w:left w:val="single" w:sz="4" w:space="0" w:color="auto"/>
              <w:right w:val="single" w:sz="4" w:space="0" w:color="auto"/>
            </w:tcBorders>
            <w:vAlign w:val="center"/>
          </w:tcPr>
          <w:p w14:paraId="44CE9AAC"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4510A222"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21</w:t>
            </w:r>
          </w:p>
        </w:tc>
        <w:tc>
          <w:tcPr>
            <w:tcW w:w="1842" w:type="dxa"/>
            <w:tcBorders>
              <w:left w:val="single" w:sz="4" w:space="0" w:color="auto"/>
              <w:right w:val="single" w:sz="4" w:space="0" w:color="auto"/>
            </w:tcBorders>
            <w:shd w:val="clear" w:color="auto" w:fill="auto"/>
            <w:vAlign w:val="center"/>
          </w:tcPr>
          <w:p w14:paraId="2A28D08A"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Brasil</w:t>
            </w:r>
          </w:p>
        </w:tc>
        <w:tc>
          <w:tcPr>
            <w:tcW w:w="709" w:type="dxa"/>
            <w:tcBorders>
              <w:left w:val="single" w:sz="4" w:space="0" w:color="auto"/>
              <w:right w:val="single" w:sz="4" w:space="0" w:color="auto"/>
            </w:tcBorders>
            <w:shd w:val="clear" w:color="auto" w:fill="auto"/>
            <w:vAlign w:val="center"/>
          </w:tcPr>
          <w:p w14:paraId="7AD4FDF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239</w:t>
            </w:r>
          </w:p>
        </w:tc>
        <w:tc>
          <w:tcPr>
            <w:tcW w:w="709" w:type="dxa"/>
            <w:tcBorders>
              <w:left w:val="single" w:sz="4" w:space="0" w:color="auto"/>
              <w:right w:val="single" w:sz="4" w:space="0" w:color="auto"/>
            </w:tcBorders>
            <w:shd w:val="clear" w:color="auto" w:fill="auto"/>
            <w:vAlign w:val="center"/>
          </w:tcPr>
          <w:p w14:paraId="58200A0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1.3</w:t>
            </w:r>
          </w:p>
        </w:tc>
        <w:tc>
          <w:tcPr>
            <w:tcW w:w="567" w:type="dxa"/>
            <w:tcBorders>
              <w:left w:val="single" w:sz="4" w:space="0" w:color="auto"/>
              <w:right w:val="single" w:sz="4" w:space="0" w:color="auto"/>
            </w:tcBorders>
            <w:shd w:val="clear" w:color="auto" w:fill="auto"/>
            <w:vAlign w:val="center"/>
          </w:tcPr>
          <w:p w14:paraId="602CAC6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r>
      <w:tr w:rsidR="00EF4A2D" w:rsidRPr="00EF4A2D" w14:paraId="3575AA7B" w14:textId="77777777" w:rsidTr="00B9606F">
        <w:trPr>
          <w:jc w:val="center"/>
        </w:trPr>
        <w:tc>
          <w:tcPr>
            <w:tcW w:w="709" w:type="dxa"/>
            <w:tcBorders>
              <w:left w:val="single" w:sz="4" w:space="0" w:color="auto"/>
              <w:right w:val="single" w:sz="4" w:space="0" w:color="auto"/>
            </w:tcBorders>
            <w:shd w:val="clear" w:color="auto" w:fill="auto"/>
            <w:vAlign w:val="center"/>
          </w:tcPr>
          <w:p w14:paraId="6AD48CD4"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22</w:t>
            </w:r>
          </w:p>
        </w:tc>
        <w:tc>
          <w:tcPr>
            <w:tcW w:w="1843" w:type="dxa"/>
            <w:tcBorders>
              <w:left w:val="single" w:sz="4" w:space="0" w:color="auto"/>
              <w:right w:val="single" w:sz="4" w:space="0" w:color="auto"/>
            </w:tcBorders>
            <w:shd w:val="clear" w:color="auto" w:fill="auto"/>
            <w:vAlign w:val="center"/>
          </w:tcPr>
          <w:p w14:paraId="772BA230"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 xml:space="preserve">Suiza </w:t>
            </w:r>
          </w:p>
        </w:tc>
        <w:tc>
          <w:tcPr>
            <w:tcW w:w="709" w:type="dxa"/>
            <w:tcBorders>
              <w:left w:val="single" w:sz="4" w:space="0" w:color="auto"/>
              <w:right w:val="single" w:sz="4" w:space="0" w:color="auto"/>
            </w:tcBorders>
            <w:shd w:val="clear" w:color="auto" w:fill="auto"/>
            <w:vAlign w:val="center"/>
          </w:tcPr>
          <w:p w14:paraId="5FFA115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239</w:t>
            </w:r>
          </w:p>
        </w:tc>
        <w:tc>
          <w:tcPr>
            <w:tcW w:w="708" w:type="dxa"/>
            <w:tcBorders>
              <w:left w:val="single" w:sz="4" w:space="0" w:color="auto"/>
              <w:right w:val="single" w:sz="4" w:space="0" w:color="auto"/>
            </w:tcBorders>
            <w:shd w:val="clear" w:color="auto" w:fill="auto"/>
            <w:vAlign w:val="center"/>
          </w:tcPr>
          <w:p w14:paraId="1777DA8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1.3</w:t>
            </w:r>
          </w:p>
        </w:tc>
        <w:tc>
          <w:tcPr>
            <w:tcW w:w="567" w:type="dxa"/>
            <w:tcBorders>
              <w:left w:val="single" w:sz="4" w:space="0" w:color="auto"/>
              <w:right w:val="single" w:sz="4" w:space="0" w:color="auto"/>
            </w:tcBorders>
            <w:shd w:val="clear" w:color="auto" w:fill="auto"/>
            <w:vAlign w:val="center"/>
          </w:tcPr>
          <w:p w14:paraId="6C06143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w:t>
            </w:r>
          </w:p>
        </w:tc>
        <w:tc>
          <w:tcPr>
            <w:tcW w:w="284" w:type="dxa"/>
            <w:tcBorders>
              <w:left w:val="single" w:sz="4" w:space="0" w:color="auto"/>
              <w:right w:val="single" w:sz="4" w:space="0" w:color="auto"/>
            </w:tcBorders>
            <w:vAlign w:val="center"/>
          </w:tcPr>
          <w:p w14:paraId="4041CF1B"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37B30BE9"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22</w:t>
            </w:r>
          </w:p>
        </w:tc>
        <w:tc>
          <w:tcPr>
            <w:tcW w:w="1842" w:type="dxa"/>
            <w:tcBorders>
              <w:left w:val="single" w:sz="4" w:space="0" w:color="auto"/>
              <w:right w:val="single" w:sz="4" w:space="0" w:color="auto"/>
            </w:tcBorders>
            <w:shd w:val="clear" w:color="auto" w:fill="auto"/>
            <w:vAlign w:val="center"/>
          </w:tcPr>
          <w:p w14:paraId="6ADCBFF6"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Australia</w:t>
            </w:r>
          </w:p>
        </w:tc>
        <w:tc>
          <w:tcPr>
            <w:tcW w:w="709" w:type="dxa"/>
            <w:tcBorders>
              <w:left w:val="single" w:sz="4" w:space="0" w:color="auto"/>
              <w:right w:val="single" w:sz="4" w:space="0" w:color="auto"/>
            </w:tcBorders>
            <w:shd w:val="clear" w:color="auto" w:fill="auto"/>
            <w:vAlign w:val="center"/>
          </w:tcPr>
          <w:p w14:paraId="31BD23C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238</w:t>
            </w:r>
          </w:p>
        </w:tc>
        <w:tc>
          <w:tcPr>
            <w:tcW w:w="709" w:type="dxa"/>
            <w:tcBorders>
              <w:left w:val="single" w:sz="4" w:space="0" w:color="auto"/>
              <w:right w:val="single" w:sz="4" w:space="0" w:color="auto"/>
            </w:tcBorders>
            <w:shd w:val="clear" w:color="auto" w:fill="auto"/>
            <w:vAlign w:val="center"/>
          </w:tcPr>
          <w:p w14:paraId="4013247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1.2</w:t>
            </w:r>
          </w:p>
        </w:tc>
        <w:tc>
          <w:tcPr>
            <w:tcW w:w="567" w:type="dxa"/>
            <w:tcBorders>
              <w:left w:val="single" w:sz="4" w:space="0" w:color="auto"/>
              <w:right w:val="single" w:sz="4" w:space="0" w:color="auto"/>
            </w:tcBorders>
            <w:shd w:val="clear" w:color="auto" w:fill="auto"/>
            <w:vAlign w:val="center"/>
          </w:tcPr>
          <w:p w14:paraId="396A135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r>
      <w:tr w:rsidR="00EF4A2D" w:rsidRPr="00EF4A2D" w14:paraId="73641F39" w14:textId="77777777" w:rsidTr="00B9606F">
        <w:trPr>
          <w:jc w:val="center"/>
        </w:trPr>
        <w:tc>
          <w:tcPr>
            <w:tcW w:w="709" w:type="dxa"/>
            <w:tcBorders>
              <w:left w:val="single" w:sz="4" w:space="0" w:color="auto"/>
              <w:right w:val="single" w:sz="4" w:space="0" w:color="auto"/>
            </w:tcBorders>
            <w:shd w:val="clear" w:color="auto" w:fill="auto"/>
            <w:vAlign w:val="center"/>
          </w:tcPr>
          <w:p w14:paraId="7E1A0666"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23</w:t>
            </w:r>
          </w:p>
        </w:tc>
        <w:tc>
          <w:tcPr>
            <w:tcW w:w="1843" w:type="dxa"/>
            <w:tcBorders>
              <w:left w:val="single" w:sz="4" w:space="0" w:color="auto"/>
              <w:right w:val="single" w:sz="4" w:space="0" w:color="auto"/>
            </w:tcBorders>
            <w:shd w:val="clear" w:color="auto" w:fill="auto"/>
            <w:vAlign w:val="center"/>
          </w:tcPr>
          <w:p w14:paraId="47746F77"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 xml:space="preserve">Malasia </w:t>
            </w:r>
          </w:p>
        </w:tc>
        <w:tc>
          <w:tcPr>
            <w:tcW w:w="709" w:type="dxa"/>
            <w:tcBorders>
              <w:left w:val="single" w:sz="4" w:space="0" w:color="auto"/>
              <w:right w:val="single" w:sz="4" w:space="0" w:color="auto"/>
            </w:tcBorders>
            <w:shd w:val="clear" w:color="auto" w:fill="auto"/>
            <w:vAlign w:val="center"/>
          </w:tcPr>
          <w:p w14:paraId="58E4FE2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234</w:t>
            </w:r>
          </w:p>
        </w:tc>
        <w:tc>
          <w:tcPr>
            <w:tcW w:w="708" w:type="dxa"/>
            <w:tcBorders>
              <w:left w:val="single" w:sz="4" w:space="0" w:color="auto"/>
              <w:right w:val="single" w:sz="4" w:space="0" w:color="auto"/>
            </w:tcBorders>
            <w:shd w:val="clear" w:color="auto" w:fill="auto"/>
            <w:vAlign w:val="center"/>
          </w:tcPr>
          <w:p w14:paraId="63F7C4E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1.2</w:t>
            </w:r>
          </w:p>
        </w:tc>
        <w:tc>
          <w:tcPr>
            <w:tcW w:w="567" w:type="dxa"/>
            <w:tcBorders>
              <w:left w:val="single" w:sz="4" w:space="0" w:color="auto"/>
              <w:right w:val="single" w:sz="4" w:space="0" w:color="auto"/>
            </w:tcBorders>
            <w:shd w:val="clear" w:color="auto" w:fill="auto"/>
            <w:vAlign w:val="center"/>
          </w:tcPr>
          <w:p w14:paraId="334AF4B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w:t>
            </w:r>
          </w:p>
        </w:tc>
        <w:tc>
          <w:tcPr>
            <w:tcW w:w="284" w:type="dxa"/>
            <w:tcBorders>
              <w:left w:val="single" w:sz="4" w:space="0" w:color="auto"/>
              <w:right w:val="single" w:sz="4" w:space="0" w:color="auto"/>
            </w:tcBorders>
            <w:vAlign w:val="center"/>
          </w:tcPr>
          <w:p w14:paraId="5D9A0B68"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79B47E34"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23</w:t>
            </w:r>
          </w:p>
        </w:tc>
        <w:tc>
          <w:tcPr>
            <w:tcW w:w="1842" w:type="dxa"/>
            <w:tcBorders>
              <w:left w:val="single" w:sz="4" w:space="0" w:color="auto"/>
              <w:right w:val="single" w:sz="4" w:space="0" w:color="auto"/>
            </w:tcBorders>
            <w:shd w:val="clear" w:color="auto" w:fill="auto"/>
            <w:vAlign w:val="center"/>
          </w:tcPr>
          <w:p w14:paraId="1C5A8089"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Tailandia</w:t>
            </w:r>
          </w:p>
        </w:tc>
        <w:tc>
          <w:tcPr>
            <w:tcW w:w="709" w:type="dxa"/>
            <w:tcBorders>
              <w:left w:val="single" w:sz="4" w:space="0" w:color="auto"/>
              <w:right w:val="single" w:sz="4" w:space="0" w:color="auto"/>
            </w:tcBorders>
            <w:shd w:val="clear" w:color="auto" w:fill="auto"/>
            <w:vAlign w:val="center"/>
          </w:tcPr>
          <w:p w14:paraId="5701D41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228</w:t>
            </w:r>
          </w:p>
        </w:tc>
        <w:tc>
          <w:tcPr>
            <w:tcW w:w="709" w:type="dxa"/>
            <w:tcBorders>
              <w:left w:val="single" w:sz="4" w:space="0" w:color="auto"/>
              <w:right w:val="single" w:sz="4" w:space="0" w:color="auto"/>
            </w:tcBorders>
            <w:shd w:val="clear" w:color="auto" w:fill="auto"/>
            <w:vAlign w:val="center"/>
          </w:tcPr>
          <w:p w14:paraId="7C33869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1.2</w:t>
            </w:r>
          </w:p>
        </w:tc>
        <w:tc>
          <w:tcPr>
            <w:tcW w:w="567" w:type="dxa"/>
            <w:tcBorders>
              <w:left w:val="single" w:sz="4" w:space="0" w:color="auto"/>
              <w:right w:val="single" w:sz="4" w:space="0" w:color="auto"/>
            </w:tcBorders>
            <w:shd w:val="clear" w:color="auto" w:fill="auto"/>
            <w:vAlign w:val="center"/>
          </w:tcPr>
          <w:p w14:paraId="5FC0680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-9</w:t>
            </w:r>
          </w:p>
        </w:tc>
      </w:tr>
      <w:tr w:rsidR="00EF4A2D" w:rsidRPr="00EF4A2D" w14:paraId="05A2E27B" w14:textId="77777777" w:rsidTr="00B9606F">
        <w:trPr>
          <w:jc w:val="center"/>
        </w:trPr>
        <w:tc>
          <w:tcPr>
            <w:tcW w:w="709" w:type="dxa"/>
            <w:tcBorders>
              <w:left w:val="single" w:sz="4" w:space="0" w:color="auto"/>
              <w:right w:val="single" w:sz="4" w:space="0" w:color="auto"/>
            </w:tcBorders>
            <w:shd w:val="clear" w:color="auto" w:fill="auto"/>
            <w:vAlign w:val="center"/>
          </w:tcPr>
          <w:p w14:paraId="630EB482"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24</w:t>
            </w:r>
          </w:p>
        </w:tc>
        <w:tc>
          <w:tcPr>
            <w:tcW w:w="1843" w:type="dxa"/>
            <w:tcBorders>
              <w:left w:val="single" w:sz="4" w:space="0" w:color="auto"/>
              <w:right w:val="single" w:sz="4" w:space="0" w:color="auto"/>
            </w:tcBorders>
            <w:shd w:val="clear" w:color="auto" w:fill="auto"/>
            <w:vAlign w:val="center"/>
          </w:tcPr>
          <w:p w14:paraId="462FC128"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Tailandia</w:t>
            </w:r>
          </w:p>
        </w:tc>
        <w:tc>
          <w:tcPr>
            <w:tcW w:w="709" w:type="dxa"/>
            <w:tcBorders>
              <w:left w:val="single" w:sz="4" w:space="0" w:color="auto"/>
              <w:right w:val="single" w:sz="4" w:space="0" w:color="auto"/>
            </w:tcBorders>
            <w:shd w:val="clear" w:color="auto" w:fill="auto"/>
            <w:vAlign w:val="center"/>
          </w:tcPr>
          <w:p w14:paraId="311204E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228</w:t>
            </w:r>
          </w:p>
        </w:tc>
        <w:tc>
          <w:tcPr>
            <w:tcW w:w="708" w:type="dxa"/>
            <w:tcBorders>
              <w:left w:val="single" w:sz="4" w:space="0" w:color="auto"/>
              <w:right w:val="single" w:sz="4" w:space="0" w:color="auto"/>
            </w:tcBorders>
            <w:shd w:val="clear" w:color="auto" w:fill="auto"/>
            <w:vAlign w:val="center"/>
          </w:tcPr>
          <w:p w14:paraId="1B52146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1.2</w:t>
            </w:r>
          </w:p>
        </w:tc>
        <w:tc>
          <w:tcPr>
            <w:tcW w:w="567" w:type="dxa"/>
            <w:tcBorders>
              <w:left w:val="single" w:sz="4" w:space="0" w:color="auto"/>
              <w:right w:val="single" w:sz="4" w:space="0" w:color="auto"/>
            </w:tcBorders>
            <w:shd w:val="clear" w:color="auto" w:fill="auto"/>
            <w:vAlign w:val="center"/>
          </w:tcPr>
          <w:p w14:paraId="36E5F6D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w:t>
            </w:r>
          </w:p>
        </w:tc>
        <w:tc>
          <w:tcPr>
            <w:tcW w:w="284" w:type="dxa"/>
            <w:tcBorders>
              <w:left w:val="single" w:sz="4" w:space="0" w:color="auto"/>
              <w:right w:val="single" w:sz="4" w:space="0" w:color="auto"/>
            </w:tcBorders>
            <w:vAlign w:val="center"/>
          </w:tcPr>
          <w:p w14:paraId="2F3B186E"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0924FFA4"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24</w:t>
            </w:r>
          </w:p>
        </w:tc>
        <w:tc>
          <w:tcPr>
            <w:tcW w:w="1842" w:type="dxa"/>
            <w:tcBorders>
              <w:left w:val="single" w:sz="4" w:space="0" w:color="auto"/>
              <w:right w:val="single" w:sz="4" w:space="0" w:color="auto"/>
            </w:tcBorders>
            <w:shd w:val="clear" w:color="auto" w:fill="auto"/>
            <w:vAlign w:val="center"/>
          </w:tcPr>
          <w:p w14:paraId="6B6FFB96"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Polonia</w:t>
            </w:r>
          </w:p>
        </w:tc>
        <w:tc>
          <w:tcPr>
            <w:tcW w:w="709" w:type="dxa"/>
            <w:tcBorders>
              <w:left w:val="single" w:sz="4" w:space="0" w:color="auto"/>
              <w:right w:val="single" w:sz="4" w:space="0" w:color="auto"/>
            </w:tcBorders>
            <w:shd w:val="clear" w:color="auto" w:fill="auto"/>
            <w:vAlign w:val="center"/>
          </w:tcPr>
          <w:p w14:paraId="42138E7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218</w:t>
            </w:r>
          </w:p>
        </w:tc>
        <w:tc>
          <w:tcPr>
            <w:tcW w:w="709" w:type="dxa"/>
            <w:tcBorders>
              <w:left w:val="single" w:sz="4" w:space="0" w:color="auto"/>
              <w:right w:val="single" w:sz="4" w:space="0" w:color="auto"/>
            </w:tcBorders>
            <w:shd w:val="clear" w:color="auto" w:fill="auto"/>
            <w:vAlign w:val="center"/>
          </w:tcPr>
          <w:p w14:paraId="034E724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1.1</w:t>
            </w:r>
          </w:p>
        </w:tc>
        <w:tc>
          <w:tcPr>
            <w:tcW w:w="567" w:type="dxa"/>
            <w:tcBorders>
              <w:left w:val="single" w:sz="4" w:space="0" w:color="auto"/>
              <w:right w:val="single" w:sz="4" w:space="0" w:color="auto"/>
            </w:tcBorders>
            <w:shd w:val="clear" w:color="auto" w:fill="auto"/>
            <w:vAlign w:val="center"/>
          </w:tcPr>
          <w:p w14:paraId="73830D5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r>
      <w:tr w:rsidR="00EF4A2D" w:rsidRPr="00EF4A2D" w14:paraId="3D7793F1" w14:textId="77777777" w:rsidTr="00B9606F">
        <w:trPr>
          <w:jc w:val="center"/>
        </w:trPr>
        <w:tc>
          <w:tcPr>
            <w:tcW w:w="709" w:type="dxa"/>
            <w:tcBorders>
              <w:left w:val="single" w:sz="4" w:space="0" w:color="auto"/>
              <w:right w:val="single" w:sz="4" w:space="0" w:color="auto"/>
            </w:tcBorders>
            <w:shd w:val="clear" w:color="auto" w:fill="auto"/>
            <w:vAlign w:val="center"/>
          </w:tcPr>
          <w:p w14:paraId="54D72B13"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25</w:t>
            </w:r>
          </w:p>
        </w:tc>
        <w:tc>
          <w:tcPr>
            <w:tcW w:w="1843" w:type="dxa"/>
            <w:tcBorders>
              <w:left w:val="single" w:sz="4" w:space="0" w:color="auto"/>
              <w:right w:val="single" w:sz="4" w:space="0" w:color="auto"/>
            </w:tcBorders>
            <w:shd w:val="clear" w:color="auto" w:fill="auto"/>
            <w:vAlign w:val="center"/>
          </w:tcPr>
          <w:p w14:paraId="5D9C600D"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Brasil</w:t>
            </w:r>
          </w:p>
        </w:tc>
        <w:tc>
          <w:tcPr>
            <w:tcW w:w="709" w:type="dxa"/>
            <w:tcBorders>
              <w:left w:val="single" w:sz="4" w:space="0" w:color="auto"/>
              <w:right w:val="single" w:sz="4" w:space="0" w:color="auto"/>
            </w:tcBorders>
            <w:shd w:val="clear" w:color="auto" w:fill="auto"/>
            <w:vAlign w:val="center"/>
          </w:tcPr>
          <w:p w14:paraId="531DBEF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225</w:t>
            </w:r>
          </w:p>
        </w:tc>
        <w:tc>
          <w:tcPr>
            <w:tcW w:w="708" w:type="dxa"/>
            <w:tcBorders>
              <w:left w:val="single" w:sz="4" w:space="0" w:color="auto"/>
              <w:right w:val="single" w:sz="4" w:space="0" w:color="auto"/>
            </w:tcBorders>
            <w:shd w:val="clear" w:color="auto" w:fill="auto"/>
            <w:vAlign w:val="center"/>
          </w:tcPr>
          <w:p w14:paraId="3735022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1.2</w:t>
            </w:r>
          </w:p>
        </w:tc>
        <w:tc>
          <w:tcPr>
            <w:tcW w:w="567" w:type="dxa"/>
            <w:tcBorders>
              <w:left w:val="single" w:sz="4" w:space="0" w:color="auto"/>
              <w:right w:val="single" w:sz="4" w:space="0" w:color="auto"/>
            </w:tcBorders>
            <w:shd w:val="clear" w:color="auto" w:fill="auto"/>
            <w:vAlign w:val="center"/>
          </w:tcPr>
          <w:p w14:paraId="07A11B0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-7</w:t>
            </w:r>
          </w:p>
        </w:tc>
        <w:tc>
          <w:tcPr>
            <w:tcW w:w="284" w:type="dxa"/>
            <w:tcBorders>
              <w:left w:val="single" w:sz="4" w:space="0" w:color="auto"/>
              <w:right w:val="single" w:sz="4" w:space="0" w:color="auto"/>
            </w:tcBorders>
            <w:vAlign w:val="center"/>
          </w:tcPr>
          <w:p w14:paraId="4A972C4B"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248B1509"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25</w:t>
            </w:r>
          </w:p>
        </w:tc>
        <w:tc>
          <w:tcPr>
            <w:tcW w:w="1842" w:type="dxa"/>
            <w:tcBorders>
              <w:left w:val="single" w:sz="4" w:space="0" w:color="auto"/>
              <w:right w:val="single" w:sz="4" w:space="0" w:color="auto"/>
            </w:tcBorders>
            <w:shd w:val="clear" w:color="auto" w:fill="auto"/>
            <w:vAlign w:val="center"/>
          </w:tcPr>
          <w:p w14:paraId="06B2C14E"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Malasia</w:t>
            </w:r>
          </w:p>
        </w:tc>
        <w:tc>
          <w:tcPr>
            <w:tcW w:w="709" w:type="dxa"/>
            <w:tcBorders>
              <w:left w:val="single" w:sz="4" w:space="0" w:color="auto"/>
              <w:right w:val="single" w:sz="4" w:space="0" w:color="auto"/>
            </w:tcBorders>
            <w:shd w:val="clear" w:color="auto" w:fill="auto"/>
            <w:vAlign w:val="center"/>
          </w:tcPr>
          <w:p w14:paraId="12AE884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209</w:t>
            </w:r>
          </w:p>
        </w:tc>
        <w:tc>
          <w:tcPr>
            <w:tcW w:w="709" w:type="dxa"/>
            <w:tcBorders>
              <w:left w:val="single" w:sz="4" w:space="0" w:color="auto"/>
              <w:right w:val="single" w:sz="4" w:space="0" w:color="auto"/>
            </w:tcBorders>
            <w:shd w:val="clear" w:color="auto" w:fill="auto"/>
            <w:vAlign w:val="center"/>
          </w:tcPr>
          <w:p w14:paraId="4CAFF04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1.1</w:t>
            </w:r>
          </w:p>
        </w:tc>
        <w:tc>
          <w:tcPr>
            <w:tcW w:w="567" w:type="dxa"/>
            <w:tcBorders>
              <w:left w:val="single" w:sz="4" w:space="0" w:color="auto"/>
              <w:right w:val="single" w:sz="4" w:space="0" w:color="auto"/>
            </w:tcBorders>
            <w:shd w:val="clear" w:color="auto" w:fill="auto"/>
            <w:vAlign w:val="center"/>
          </w:tcPr>
          <w:p w14:paraId="14A29D4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r>
      <w:tr w:rsidR="00EF4A2D" w:rsidRPr="00EF4A2D" w14:paraId="34D098C4" w14:textId="77777777" w:rsidTr="00B9606F">
        <w:trPr>
          <w:jc w:val="center"/>
        </w:trPr>
        <w:tc>
          <w:tcPr>
            <w:tcW w:w="709" w:type="dxa"/>
            <w:tcBorders>
              <w:left w:val="single" w:sz="4" w:space="0" w:color="auto"/>
              <w:right w:val="single" w:sz="4" w:space="0" w:color="auto"/>
            </w:tcBorders>
            <w:shd w:val="clear" w:color="auto" w:fill="auto"/>
            <w:vAlign w:val="center"/>
          </w:tcPr>
          <w:p w14:paraId="2F734969"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26</w:t>
            </w:r>
          </w:p>
        </w:tc>
        <w:tc>
          <w:tcPr>
            <w:tcW w:w="1843" w:type="dxa"/>
            <w:tcBorders>
              <w:left w:val="single" w:sz="4" w:space="0" w:color="auto"/>
              <w:right w:val="single" w:sz="4" w:space="0" w:color="auto"/>
            </w:tcBorders>
            <w:shd w:val="clear" w:color="auto" w:fill="auto"/>
            <w:vAlign w:val="center"/>
          </w:tcPr>
          <w:p w14:paraId="74D41835"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Polonia</w:t>
            </w:r>
          </w:p>
        </w:tc>
        <w:tc>
          <w:tcPr>
            <w:tcW w:w="709" w:type="dxa"/>
            <w:tcBorders>
              <w:left w:val="single" w:sz="4" w:space="0" w:color="auto"/>
              <w:right w:val="single" w:sz="4" w:space="0" w:color="auto"/>
            </w:tcBorders>
            <w:shd w:val="clear" w:color="auto" w:fill="auto"/>
            <w:vAlign w:val="center"/>
          </w:tcPr>
          <w:p w14:paraId="07B1AC0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217</w:t>
            </w:r>
          </w:p>
        </w:tc>
        <w:tc>
          <w:tcPr>
            <w:tcW w:w="708" w:type="dxa"/>
            <w:tcBorders>
              <w:left w:val="single" w:sz="4" w:space="0" w:color="auto"/>
              <w:right w:val="single" w:sz="4" w:space="0" w:color="auto"/>
            </w:tcBorders>
            <w:shd w:val="clear" w:color="auto" w:fill="auto"/>
            <w:vAlign w:val="center"/>
          </w:tcPr>
          <w:p w14:paraId="46207AD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1.1</w:t>
            </w:r>
          </w:p>
        </w:tc>
        <w:tc>
          <w:tcPr>
            <w:tcW w:w="567" w:type="dxa"/>
            <w:tcBorders>
              <w:left w:val="single" w:sz="4" w:space="0" w:color="auto"/>
              <w:right w:val="single" w:sz="4" w:space="0" w:color="auto"/>
            </w:tcBorders>
            <w:shd w:val="clear" w:color="auto" w:fill="auto"/>
            <w:vAlign w:val="center"/>
          </w:tcPr>
          <w:p w14:paraId="6715EAE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w:t>
            </w:r>
          </w:p>
        </w:tc>
        <w:tc>
          <w:tcPr>
            <w:tcW w:w="284" w:type="dxa"/>
            <w:tcBorders>
              <w:left w:val="single" w:sz="4" w:space="0" w:color="auto"/>
              <w:right w:val="single" w:sz="4" w:space="0" w:color="auto"/>
            </w:tcBorders>
            <w:vAlign w:val="center"/>
          </w:tcPr>
          <w:p w14:paraId="4EE103AB"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2956A4F8"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26</w:t>
            </w:r>
          </w:p>
        </w:tc>
        <w:tc>
          <w:tcPr>
            <w:tcW w:w="1842" w:type="dxa"/>
            <w:tcBorders>
              <w:left w:val="single" w:sz="4" w:space="0" w:color="auto"/>
              <w:right w:val="single" w:sz="4" w:space="0" w:color="auto"/>
            </w:tcBorders>
            <w:shd w:val="clear" w:color="auto" w:fill="auto"/>
            <w:vAlign w:val="center"/>
          </w:tcPr>
          <w:p w14:paraId="7C037C81"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Suiza</w:t>
            </w:r>
          </w:p>
        </w:tc>
        <w:tc>
          <w:tcPr>
            <w:tcW w:w="709" w:type="dxa"/>
            <w:tcBorders>
              <w:left w:val="single" w:sz="4" w:space="0" w:color="auto"/>
              <w:right w:val="single" w:sz="4" w:space="0" w:color="auto"/>
            </w:tcBorders>
            <w:shd w:val="clear" w:color="auto" w:fill="auto"/>
            <w:vAlign w:val="center"/>
          </w:tcPr>
          <w:p w14:paraId="2CCC6CD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203</w:t>
            </w:r>
          </w:p>
        </w:tc>
        <w:tc>
          <w:tcPr>
            <w:tcW w:w="709" w:type="dxa"/>
            <w:tcBorders>
              <w:left w:val="single" w:sz="4" w:space="0" w:color="auto"/>
              <w:right w:val="single" w:sz="4" w:space="0" w:color="auto"/>
            </w:tcBorders>
            <w:shd w:val="clear" w:color="auto" w:fill="auto"/>
            <w:vAlign w:val="center"/>
          </w:tcPr>
          <w:p w14:paraId="3977E68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1.1</w:t>
            </w:r>
          </w:p>
        </w:tc>
        <w:tc>
          <w:tcPr>
            <w:tcW w:w="567" w:type="dxa"/>
            <w:tcBorders>
              <w:left w:val="single" w:sz="4" w:space="0" w:color="auto"/>
              <w:right w:val="single" w:sz="4" w:space="0" w:color="auto"/>
            </w:tcBorders>
            <w:shd w:val="clear" w:color="auto" w:fill="auto"/>
            <w:vAlign w:val="center"/>
          </w:tcPr>
          <w:p w14:paraId="47D4410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r>
      <w:tr w:rsidR="00EF4A2D" w:rsidRPr="00EF4A2D" w14:paraId="74F66FF0" w14:textId="77777777" w:rsidTr="00B9606F">
        <w:trPr>
          <w:jc w:val="center"/>
        </w:trPr>
        <w:tc>
          <w:tcPr>
            <w:tcW w:w="709" w:type="dxa"/>
            <w:tcBorders>
              <w:left w:val="single" w:sz="4" w:space="0" w:color="auto"/>
              <w:right w:val="single" w:sz="4" w:space="0" w:color="auto"/>
            </w:tcBorders>
            <w:shd w:val="clear" w:color="auto" w:fill="auto"/>
            <w:vAlign w:val="center"/>
          </w:tcPr>
          <w:p w14:paraId="41817982"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27</w:t>
            </w:r>
          </w:p>
        </w:tc>
        <w:tc>
          <w:tcPr>
            <w:tcW w:w="1843" w:type="dxa"/>
            <w:tcBorders>
              <w:left w:val="single" w:sz="4" w:space="0" w:color="auto"/>
              <w:right w:val="single" w:sz="4" w:space="0" w:color="auto"/>
            </w:tcBorders>
            <w:shd w:val="clear" w:color="auto" w:fill="auto"/>
            <w:vAlign w:val="center"/>
          </w:tcPr>
          <w:p w14:paraId="1F1F560E"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Austria</w:t>
            </w:r>
          </w:p>
        </w:tc>
        <w:tc>
          <w:tcPr>
            <w:tcW w:w="709" w:type="dxa"/>
            <w:tcBorders>
              <w:left w:val="single" w:sz="4" w:space="0" w:color="auto"/>
              <w:right w:val="single" w:sz="4" w:space="0" w:color="auto"/>
            </w:tcBorders>
            <w:shd w:val="clear" w:color="auto" w:fill="auto"/>
            <w:vAlign w:val="center"/>
          </w:tcPr>
          <w:p w14:paraId="10352B2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177</w:t>
            </w:r>
          </w:p>
        </w:tc>
        <w:tc>
          <w:tcPr>
            <w:tcW w:w="708" w:type="dxa"/>
            <w:tcBorders>
              <w:left w:val="single" w:sz="4" w:space="0" w:color="auto"/>
              <w:right w:val="single" w:sz="4" w:space="0" w:color="auto"/>
            </w:tcBorders>
            <w:shd w:val="clear" w:color="auto" w:fill="auto"/>
            <w:vAlign w:val="center"/>
          </w:tcPr>
          <w:p w14:paraId="62C56FB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0.9</w:t>
            </w:r>
          </w:p>
        </w:tc>
        <w:tc>
          <w:tcPr>
            <w:tcW w:w="567" w:type="dxa"/>
            <w:tcBorders>
              <w:left w:val="single" w:sz="4" w:space="0" w:color="auto"/>
              <w:right w:val="single" w:sz="4" w:space="0" w:color="auto"/>
            </w:tcBorders>
            <w:shd w:val="clear" w:color="auto" w:fill="auto"/>
            <w:vAlign w:val="center"/>
          </w:tcPr>
          <w:p w14:paraId="4B5C166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c>
          <w:tcPr>
            <w:tcW w:w="284" w:type="dxa"/>
            <w:tcBorders>
              <w:left w:val="single" w:sz="4" w:space="0" w:color="auto"/>
              <w:right w:val="single" w:sz="4" w:space="0" w:color="auto"/>
            </w:tcBorders>
            <w:vAlign w:val="center"/>
          </w:tcPr>
          <w:p w14:paraId="26D3389E"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102FD3C7"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27</w:t>
            </w:r>
          </w:p>
        </w:tc>
        <w:tc>
          <w:tcPr>
            <w:tcW w:w="1842" w:type="dxa"/>
            <w:tcBorders>
              <w:left w:val="single" w:sz="4" w:space="0" w:color="auto"/>
              <w:right w:val="single" w:sz="4" w:space="0" w:color="auto"/>
            </w:tcBorders>
            <w:shd w:val="clear" w:color="auto" w:fill="auto"/>
            <w:vAlign w:val="center"/>
          </w:tcPr>
          <w:p w14:paraId="15DC2C9F"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Austria</w:t>
            </w:r>
          </w:p>
        </w:tc>
        <w:tc>
          <w:tcPr>
            <w:tcW w:w="709" w:type="dxa"/>
            <w:tcBorders>
              <w:left w:val="single" w:sz="4" w:space="0" w:color="auto"/>
              <w:right w:val="single" w:sz="4" w:space="0" w:color="auto"/>
            </w:tcBorders>
            <w:shd w:val="clear" w:color="auto" w:fill="auto"/>
            <w:vAlign w:val="center"/>
          </w:tcPr>
          <w:p w14:paraId="3AA8937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182</w:t>
            </w:r>
          </w:p>
        </w:tc>
        <w:tc>
          <w:tcPr>
            <w:tcW w:w="709" w:type="dxa"/>
            <w:tcBorders>
              <w:left w:val="single" w:sz="4" w:space="0" w:color="auto"/>
              <w:right w:val="single" w:sz="4" w:space="0" w:color="auto"/>
            </w:tcBorders>
            <w:shd w:val="clear" w:color="auto" w:fill="auto"/>
            <w:vAlign w:val="center"/>
          </w:tcPr>
          <w:p w14:paraId="702F50C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1.0</w:t>
            </w:r>
          </w:p>
        </w:tc>
        <w:tc>
          <w:tcPr>
            <w:tcW w:w="567" w:type="dxa"/>
            <w:tcBorders>
              <w:left w:val="single" w:sz="4" w:space="0" w:color="auto"/>
              <w:right w:val="single" w:sz="4" w:space="0" w:color="auto"/>
            </w:tcBorders>
            <w:shd w:val="clear" w:color="auto" w:fill="auto"/>
            <w:vAlign w:val="center"/>
          </w:tcPr>
          <w:p w14:paraId="623A630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r>
      <w:tr w:rsidR="00EF4A2D" w:rsidRPr="00EF4A2D" w14:paraId="72DA197B" w14:textId="77777777" w:rsidTr="00B9606F">
        <w:trPr>
          <w:jc w:val="center"/>
        </w:trPr>
        <w:tc>
          <w:tcPr>
            <w:tcW w:w="709" w:type="dxa"/>
            <w:tcBorders>
              <w:left w:val="single" w:sz="4" w:space="0" w:color="auto"/>
              <w:right w:val="single" w:sz="4" w:space="0" w:color="auto"/>
            </w:tcBorders>
            <w:shd w:val="clear" w:color="auto" w:fill="auto"/>
            <w:vAlign w:val="center"/>
          </w:tcPr>
          <w:p w14:paraId="2D314D50"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28</w:t>
            </w:r>
          </w:p>
        </w:tc>
        <w:tc>
          <w:tcPr>
            <w:tcW w:w="1843" w:type="dxa"/>
            <w:tcBorders>
              <w:left w:val="single" w:sz="4" w:space="0" w:color="auto"/>
              <w:right w:val="single" w:sz="4" w:space="0" w:color="auto"/>
            </w:tcBorders>
            <w:shd w:val="clear" w:color="auto" w:fill="auto"/>
            <w:vAlign w:val="center"/>
          </w:tcPr>
          <w:p w14:paraId="576FCB1B"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 xml:space="preserve">Indonesia </w:t>
            </w:r>
          </w:p>
        </w:tc>
        <w:tc>
          <w:tcPr>
            <w:tcW w:w="709" w:type="dxa"/>
            <w:tcBorders>
              <w:left w:val="single" w:sz="4" w:space="0" w:color="auto"/>
              <w:right w:val="single" w:sz="4" w:space="0" w:color="auto"/>
            </w:tcBorders>
            <w:shd w:val="clear" w:color="auto" w:fill="auto"/>
            <w:vAlign w:val="center"/>
          </w:tcPr>
          <w:p w14:paraId="76CFAAD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176</w:t>
            </w:r>
          </w:p>
        </w:tc>
        <w:tc>
          <w:tcPr>
            <w:tcW w:w="708" w:type="dxa"/>
            <w:tcBorders>
              <w:left w:val="single" w:sz="4" w:space="0" w:color="auto"/>
              <w:right w:val="single" w:sz="4" w:space="0" w:color="auto"/>
            </w:tcBorders>
            <w:shd w:val="clear" w:color="auto" w:fill="auto"/>
            <w:vAlign w:val="center"/>
          </w:tcPr>
          <w:p w14:paraId="17DADB3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0.9</w:t>
            </w:r>
          </w:p>
        </w:tc>
        <w:tc>
          <w:tcPr>
            <w:tcW w:w="567" w:type="dxa"/>
            <w:tcBorders>
              <w:left w:val="single" w:sz="4" w:space="0" w:color="auto"/>
              <w:right w:val="single" w:sz="4" w:space="0" w:color="auto"/>
            </w:tcBorders>
            <w:shd w:val="clear" w:color="auto" w:fill="auto"/>
            <w:vAlign w:val="center"/>
          </w:tcPr>
          <w:p w14:paraId="4219B63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w:t>
            </w:r>
          </w:p>
        </w:tc>
        <w:tc>
          <w:tcPr>
            <w:tcW w:w="284" w:type="dxa"/>
            <w:tcBorders>
              <w:left w:val="single" w:sz="4" w:space="0" w:color="auto"/>
              <w:right w:val="single" w:sz="4" w:space="0" w:color="auto"/>
            </w:tcBorders>
            <w:vAlign w:val="center"/>
          </w:tcPr>
          <w:p w14:paraId="6F70038A"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3744C1BD"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28</w:t>
            </w:r>
          </w:p>
        </w:tc>
        <w:tc>
          <w:tcPr>
            <w:tcW w:w="1842" w:type="dxa"/>
            <w:tcBorders>
              <w:left w:val="single" w:sz="4" w:space="0" w:color="auto"/>
              <w:right w:val="single" w:sz="4" w:space="0" w:color="auto"/>
            </w:tcBorders>
            <w:shd w:val="clear" w:color="auto" w:fill="auto"/>
            <w:vAlign w:val="center"/>
          </w:tcPr>
          <w:p w14:paraId="63C94C32"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 xml:space="preserve">Indonesia </w:t>
            </w:r>
          </w:p>
        </w:tc>
        <w:tc>
          <w:tcPr>
            <w:tcW w:w="709" w:type="dxa"/>
            <w:tcBorders>
              <w:left w:val="single" w:sz="4" w:space="0" w:color="auto"/>
              <w:right w:val="single" w:sz="4" w:space="0" w:color="auto"/>
            </w:tcBorders>
            <w:shd w:val="clear" w:color="auto" w:fill="auto"/>
            <w:vAlign w:val="center"/>
          </w:tcPr>
          <w:p w14:paraId="3C7D008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178</w:t>
            </w:r>
          </w:p>
        </w:tc>
        <w:tc>
          <w:tcPr>
            <w:tcW w:w="709" w:type="dxa"/>
            <w:tcBorders>
              <w:left w:val="single" w:sz="4" w:space="0" w:color="auto"/>
              <w:right w:val="single" w:sz="4" w:space="0" w:color="auto"/>
            </w:tcBorders>
            <w:shd w:val="clear" w:color="auto" w:fill="auto"/>
            <w:vAlign w:val="center"/>
          </w:tcPr>
          <w:p w14:paraId="2289A67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0.9</w:t>
            </w:r>
          </w:p>
        </w:tc>
        <w:tc>
          <w:tcPr>
            <w:tcW w:w="567" w:type="dxa"/>
            <w:tcBorders>
              <w:left w:val="single" w:sz="4" w:space="0" w:color="auto"/>
              <w:right w:val="single" w:sz="4" w:space="0" w:color="auto"/>
            </w:tcBorders>
            <w:shd w:val="clear" w:color="auto" w:fill="auto"/>
            <w:vAlign w:val="center"/>
          </w:tcPr>
          <w:p w14:paraId="15C2F267"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r>
      <w:tr w:rsidR="00EF4A2D" w:rsidRPr="00EF4A2D" w14:paraId="30613800" w14:textId="77777777" w:rsidTr="00B9606F">
        <w:trPr>
          <w:jc w:val="center"/>
        </w:trPr>
        <w:tc>
          <w:tcPr>
            <w:tcW w:w="709" w:type="dxa"/>
            <w:tcBorders>
              <w:left w:val="single" w:sz="4" w:space="0" w:color="auto"/>
              <w:right w:val="single" w:sz="4" w:space="0" w:color="auto"/>
            </w:tcBorders>
            <w:shd w:val="clear" w:color="auto" w:fill="auto"/>
            <w:vAlign w:val="center"/>
          </w:tcPr>
          <w:p w14:paraId="34106923"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29</w:t>
            </w:r>
          </w:p>
        </w:tc>
        <w:tc>
          <w:tcPr>
            <w:tcW w:w="1843" w:type="dxa"/>
            <w:tcBorders>
              <w:left w:val="single" w:sz="4" w:space="0" w:color="auto"/>
              <w:right w:val="single" w:sz="4" w:space="0" w:color="auto"/>
            </w:tcBorders>
            <w:shd w:val="clear" w:color="auto" w:fill="auto"/>
            <w:vAlign w:val="center"/>
          </w:tcPr>
          <w:p w14:paraId="749E3B74"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República Checa</w:t>
            </w:r>
          </w:p>
        </w:tc>
        <w:tc>
          <w:tcPr>
            <w:tcW w:w="709" w:type="dxa"/>
            <w:tcBorders>
              <w:left w:val="single" w:sz="4" w:space="0" w:color="auto"/>
              <w:right w:val="single" w:sz="4" w:space="0" w:color="auto"/>
            </w:tcBorders>
            <w:shd w:val="clear" w:color="auto" w:fill="auto"/>
            <w:vAlign w:val="center"/>
          </w:tcPr>
          <w:p w14:paraId="755BC5E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174</w:t>
            </w:r>
          </w:p>
        </w:tc>
        <w:tc>
          <w:tcPr>
            <w:tcW w:w="708" w:type="dxa"/>
            <w:tcBorders>
              <w:left w:val="single" w:sz="4" w:space="0" w:color="auto"/>
              <w:right w:val="single" w:sz="4" w:space="0" w:color="auto"/>
            </w:tcBorders>
            <w:shd w:val="clear" w:color="auto" w:fill="auto"/>
            <w:vAlign w:val="center"/>
          </w:tcPr>
          <w:p w14:paraId="5CC3229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0.9</w:t>
            </w:r>
          </w:p>
        </w:tc>
        <w:tc>
          <w:tcPr>
            <w:tcW w:w="567" w:type="dxa"/>
            <w:tcBorders>
              <w:left w:val="single" w:sz="4" w:space="0" w:color="auto"/>
              <w:right w:val="single" w:sz="4" w:space="0" w:color="auto"/>
            </w:tcBorders>
            <w:shd w:val="clear" w:color="auto" w:fill="auto"/>
            <w:vAlign w:val="center"/>
          </w:tcPr>
          <w:p w14:paraId="4512598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7</w:t>
            </w:r>
          </w:p>
        </w:tc>
        <w:tc>
          <w:tcPr>
            <w:tcW w:w="284" w:type="dxa"/>
            <w:tcBorders>
              <w:left w:val="single" w:sz="4" w:space="0" w:color="auto"/>
              <w:right w:val="single" w:sz="4" w:space="0" w:color="auto"/>
            </w:tcBorders>
            <w:vAlign w:val="center"/>
          </w:tcPr>
          <w:p w14:paraId="6C00D6F2"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7742F261" w14:textId="77777777" w:rsidR="00EF4A2D" w:rsidRPr="00EF4A2D" w:rsidRDefault="00EF4A2D" w:rsidP="00EF4A2D">
            <w:pPr>
              <w:spacing w:before="40" w:after="40"/>
              <w:jc w:val="center"/>
              <w:rPr>
                <w:rFonts w:eastAsia="Calibri"/>
                <w:sz w:val="14"/>
                <w:szCs w:val="14"/>
                <w:lang w:eastAsia="en-US"/>
              </w:rPr>
            </w:pPr>
            <w:r w:rsidRPr="00EF4A2D">
              <w:rPr>
                <w:rFonts w:eastAsia="Calibri"/>
                <w:sz w:val="14"/>
                <w:szCs w:val="14"/>
                <w:lang w:eastAsia="en-US"/>
              </w:rPr>
              <w:t>29</w:t>
            </w:r>
          </w:p>
        </w:tc>
        <w:tc>
          <w:tcPr>
            <w:tcW w:w="1842" w:type="dxa"/>
            <w:tcBorders>
              <w:left w:val="single" w:sz="4" w:space="0" w:color="auto"/>
              <w:right w:val="single" w:sz="4" w:space="0" w:color="auto"/>
            </w:tcBorders>
            <w:shd w:val="clear" w:color="auto" w:fill="auto"/>
            <w:vAlign w:val="center"/>
          </w:tcPr>
          <w:p w14:paraId="5E5965CD"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Arabia Saudita</w:t>
            </w:r>
          </w:p>
        </w:tc>
        <w:tc>
          <w:tcPr>
            <w:tcW w:w="709" w:type="dxa"/>
            <w:tcBorders>
              <w:left w:val="single" w:sz="4" w:space="0" w:color="auto"/>
              <w:right w:val="single" w:sz="4" w:space="0" w:color="auto"/>
            </w:tcBorders>
            <w:shd w:val="clear" w:color="auto" w:fill="auto"/>
            <w:vAlign w:val="center"/>
          </w:tcPr>
          <w:p w14:paraId="26A35F5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163</w:t>
            </w:r>
          </w:p>
        </w:tc>
        <w:tc>
          <w:tcPr>
            <w:tcW w:w="709" w:type="dxa"/>
            <w:tcBorders>
              <w:left w:val="single" w:sz="4" w:space="0" w:color="auto"/>
              <w:right w:val="single" w:sz="4" w:space="0" w:color="auto"/>
            </w:tcBorders>
            <w:shd w:val="clear" w:color="auto" w:fill="auto"/>
            <w:vAlign w:val="center"/>
          </w:tcPr>
          <w:p w14:paraId="648D355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0.9</w:t>
            </w:r>
          </w:p>
        </w:tc>
        <w:tc>
          <w:tcPr>
            <w:tcW w:w="567" w:type="dxa"/>
            <w:tcBorders>
              <w:left w:val="single" w:sz="4" w:space="0" w:color="auto"/>
              <w:right w:val="single" w:sz="4" w:space="0" w:color="auto"/>
            </w:tcBorders>
            <w:shd w:val="clear" w:color="auto" w:fill="auto"/>
            <w:vAlign w:val="center"/>
          </w:tcPr>
          <w:p w14:paraId="184529C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w:t>
            </w:r>
          </w:p>
        </w:tc>
      </w:tr>
      <w:tr w:rsidR="00EF4A2D" w:rsidRPr="00EF4A2D" w14:paraId="22E254D8" w14:textId="77777777" w:rsidTr="00B9606F">
        <w:trPr>
          <w:jc w:val="center"/>
        </w:trPr>
        <w:tc>
          <w:tcPr>
            <w:tcW w:w="709" w:type="dxa"/>
            <w:tcBorders>
              <w:left w:val="single" w:sz="4" w:space="0" w:color="auto"/>
              <w:right w:val="single" w:sz="4" w:space="0" w:color="auto"/>
            </w:tcBorders>
            <w:shd w:val="clear" w:color="auto" w:fill="auto"/>
            <w:vAlign w:val="center"/>
          </w:tcPr>
          <w:p w14:paraId="1CAE1704" w14:textId="77777777" w:rsidR="00EF4A2D" w:rsidRPr="00EF4A2D" w:rsidRDefault="00EF4A2D" w:rsidP="00EF4A2D">
            <w:pPr>
              <w:spacing w:before="40" w:after="120"/>
              <w:jc w:val="center"/>
              <w:rPr>
                <w:rFonts w:eastAsia="Calibri"/>
                <w:sz w:val="14"/>
                <w:szCs w:val="14"/>
                <w:lang w:eastAsia="en-US"/>
              </w:rPr>
            </w:pPr>
            <w:r w:rsidRPr="00EF4A2D">
              <w:rPr>
                <w:rFonts w:eastAsia="Calibri"/>
                <w:sz w:val="14"/>
                <w:szCs w:val="14"/>
                <w:lang w:eastAsia="en-US"/>
              </w:rPr>
              <w:t>30</w:t>
            </w:r>
          </w:p>
        </w:tc>
        <w:tc>
          <w:tcPr>
            <w:tcW w:w="1843" w:type="dxa"/>
            <w:tcBorders>
              <w:left w:val="single" w:sz="4" w:space="0" w:color="auto"/>
              <w:right w:val="single" w:sz="4" w:space="0" w:color="auto"/>
            </w:tcBorders>
            <w:shd w:val="clear" w:color="auto" w:fill="auto"/>
            <w:vAlign w:val="center"/>
          </w:tcPr>
          <w:p w14:paraId="5DB5C513" w14:textId="77777777" w:rsidR="00EF4A2D" w:rsidRPr="00EF4A2D" w:rsidRDefault="00EF4A2D" w:rsidP="00EF4A2D">
            <w:pPr>
              <w:spacing w:before="40" w:after="120"/>
              <w:rPr>
                <w:rFonts w:eastAsia="Calibri"/>
                <w:sz w:val="14"/>
                <w:szCs w:val="14"/>
                <w:lang w:eastAsia="en-US"/>
              </w:rPr>
            </w:pPr>
            <w:r w:rsidRPr="00EF4A2D">
              <w:rPr>
                <w:rFonts w:eastAsia="Calibri"/>
                <w:sz w:val="14"/>
                <w:szCs w:val="14"/>
                <w:lang w:eastAsia="en-US"/>
              </w:rPr>
              <w:t>Suecia</w:t>
            </w:r>
          </w:p>
        </w:tc>
        <w:tc>
          <w:tcPr>
            <w:tcW w:w="709" w:type="dxa"/>
            <w:tcBorders>
              <w:left w:val="single" w:sz="4" w:space="0" w:color="auto"/>
              <w:right w:val="single" w:sz="4" w:space="0" w:color="auto"/>
            </w:tcBorders>
            <w:shd w:val="clear" w:color="auto" w:fill="auto"/>
            <w:vAlign w:val="center"/>
          </w:tcPr>
          <w:p w14:paraId="215654D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165</w:t>
            </w:r>
          </w:p>
        </w:tc>
        <w:tc>
          <w:tcPr>
            <w:tcW w:w="708" w:type="dxa"/>
            <w:tcBorders>
              <w:left w:val="single" w:sz="4" w:space="0" w:color="auto"/>
              <w:right w:val="single" w:sz="4" w:space="0" w:color="auto"/>
            </w:tcBorders>
            <w:shd w:val="clear" w:color="auto" w:fill="auto"/>
            <w:vAlign w:val="center"/>
          </w:tcPr>
          <w:p w14:paraId="08010436" w14:textId="77777777" w:rsidR="00EF4A2D" w:rsidRPr="00EF4A2D" w:rsidRDefault="00EF4A2D" w:rsidP="00EF4A2D">
            <w:pPr>
              <w:spacing w:before="40" w:after="120"/>
              <w:jc w:val="right"/>
              <w:rPr>
                <w:rFonts w:eastAsia="Calibri"/>
                <w:sz w:val="14"/>
                <w:szCs w:val="14"/>
                <w:lang w:eastAsia="en-US"/>
              </w:rPr>
            </w:pPr>
            <w:r w:rsidRPr="00EF4A2D">
              <w:rPr>
                <w:rFonts w:eastAsia="Calibri"/>
                <w:sz w:val="14"/>
                <w:szCs w:val="14"/>
                <w:lang w:eastAsia="en-US"/>
              </w:rPr>
              <w:t>0.9</w:t>
            </w:r>
          </w:p>
        </w:tc>
        <w:tc>
          <w:tcPr>
            <w:tcW w:w="567" w:type="dxa"/>
            <w:tcBorders>
              <w:left w:val="single" w:sz="4" w:space="0" w:color="auto"/>
              <w:right w:val="single" w:sz="4" w:space="0" w:color="auto"/>
            </w:tcBorders>
            <w:shd w:val="clear" w:color="auto" w:fill="auto"/>
            <w:vAlign w:val="center"/>
          </w:tcPr>
          <w:p w14:paraId="2A0B5220" w14:textId="77777777" w:rsidR="00EF4A2D" w:rsidRPr="00EF4A2D" w:rsidRDefault="00EF4A2D" w:rsidP="00EF4A2D">
            <w:pPr>
              <w:spacing w:before="40" w:after="120"/>
              <w:jc w:val="right"/>
              <w:rPr>
                <w:rFonts w:eastAsia="Calibri"/>
                <w:sz w:val="14"/>
                <w:szCs w:val="14"/>
                <w:lang w:eastAsia="en-US"/>
              </w:rPr>
            </w:pPr>
            <w:r w:rsidRPr="00EF4A2D">
              <w:rPr>
                <w:rFonts w:eastAsia="Calibri"/>
                <w:sz w:val="14"/>
                <w:szCs w:val="14"/>
                <w:lang w:eastAsia="en-US"/>
              </w:rPr>
              <w:t>-2</w:t>
            </w:r>
          </w:p>
        </w:tc>
        <w:tc>
          <w:tcPr>
            <w:tcW w:w="284" w:type="dxa"/>
            <w:tcBorders>
              <w:left w:val="single" w:sz="4" w:space="0" w:color="auto"/>
              <w:right w:val="single" w:sz="4" w:space="0" w:color="auto"/>
            </w:tcBorders>
            <w:vAlign w:val="center"/>
          </w:tcPr>
          <w:p w14:paraId="0F5A6C8C" w14:textId="77777777" w:rsidR="00EF4A2D" w:rsidRPr="00EF4A2D" w:rsidRDefault="00EF4A2D" w:rsidP="00EF4A2D">
            <w:pPr>
              <w:spacing w:before="40" w:after="12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1B02DEF3" w14:textId="77777777" w:rsidR="00EF4A2D" w:rsidRPr="00EF4A2D" w:rsidRDefault="00EF4A2D" w:rsidP="00EF4A2D">
            <w:pPr>
              <w:spacing w:before="40" w:after="120"/>
              <w:jc w:val="center"/>
              <w:rPr>
                <w:rFonts w:eastAsia="Calibri"/>
                <w:sz w:val="14"/>
                <w:szCs w:val="14"/>
                <w:lang w:eastAsia="en-US"/>
              </w:rPr>
            </w:pPr>
            <w:r w:rsidRPr="00EF4A2D">
              <w:rPr>
                <w:rFonts w:eastAsia="Calibri"/>
                <w:sz w:val="14"/>
                <w:szCs w:val="14"/>
                <w:lang w:eastAsia="en-US"/>
              </w:rPr>
              <w:t>30</w:t>
            </w:r>
          </w:p>
        </w:tc>
        <w:tc>
          <w:tcPr>
            <w:tcW w:w="1842" w:type="dxa"/>
            <w:tcBorders>
              <w:left w:val="single" w:sz="4" w:space="0" w:color="auto"/>
              <w:right w:val="single" w:sz="4" w:space="0" w:color="auto"/>
            </w:tcBorders>
            <w:shd w:val="clear" w:color="auto" w:fill="auto"/>
            <w:vAlign w:val="center"/>
          </w:tcPr>
          <w:p w14:paraId="582FCA92" w14:textId="77777777" w:rsidR="00EF4A2D" w:rsidRPr="00EF4A2D" w:rsidRDefault="00EF4A2D" w:rsidP="00EF4A2D">
            <w:pPr>
              <w:spacing w:before="40" w:after="120"/>
              <w:jc w:val="both"/>
              <w:rPr>
                <w:rFonts w:eastAsia="Calibri"/>
                <w:sz w:val="14"/>
                <w:szCs w:val="14"/>
                <w:lang w:eastAsia="en-US"/>
              </w:rPr>
            </w:pPr>
            <w:r w:rsidRPr="00EF4A2D">
              <w:rPr>
                <w:rFonts w:eastAsia="Calibri"/>
                <w:sz w:val="14"/>
                <w:szCs w:val="14"/>
                <w:lang w:eastAsia="en-US"/>
              </w:rPr>
              <w:t>Suecia</w:t>
            </w:r>
          </w:p>
        </w:tc>
        <w:tc>
          <w:tcPr>
            <w:tcW w:w="709" w:type="dxa"/>
            <w:tcBorders>
              <w:left w:val="single" w:sz="4" w:space="0" w:color="auto"/>
              <w:right w:val="single" w:sz="4" w:space="0" w:color="auto"/>
            </w:tcBorders>
            <w:shd w:val="clear" w:color="auto" w:fill="auto"/>
            <w:vAlign w:val="center"/>
          </w:tcPr>
          <w:p w14:paraId="3C7B2904" w14:textId="77777777" w:rsidR="00EF4A2D" w:rsidRPr="00EF4A2D" w:rsidRDefault="00EF4A2D" w:rsidP="00EF4A2D">
            <w:pPr>
              <w:spacing w:before="40" w:after="120"/>
              <w:jc w:val="right"/>
              <w:rPr>
                <w:rFonts w:eastAsia="Calibri"/>
                <w:sz w:val="14"/>
                <w:szCs w:val="14"/>
                <w:lang w:eastAsia="en-US"/>
              </w:rPr>
            </w:pPr>
            <w:r w:rsidRPr="00EF4A2D">
              <w:rPr>
                <w:rFonts w:eastAsia="Calibri"/>
                <w:sz w:val="14"/>
                <w:szCs w:val="14"/>
                <w:lang w:eastAsia="en-US"/>
              </w:rPr>
              <w:t>161</w:t>
            </w:r>
          </w:p>
        </w:tc>
        <w:tc>
          <w:tcPr>
            <w:tcW w:w="709" w:type="dxa"/>
            <w:tcBorders>
              <w:left w:val="single" w:sz="4" w:space="0" w:color="auto"/>
              <w:right w:val="single" w:sz="4" w:space="0" w:color="auto"/>
            </w:tcBorders>
            <w:shd w:val="clear" w:color="auto" w:fill="auto"/>
            <w:vAlign w:val="center"/>
          </w:tcPr>
          <w:p w14:paraId="5BE16075" w14:textId="77777777" w:rsidR="00EF4A2D" w:rsidRPr="00EF4A2D" w:rsidRDefault="00EF4A2D" w:rsidP="00EF4A2D">
            <w:pPr>
              <w:spacing w:before="40" w:after="120"/>
              <w:jc w:val="right"/>
              <w:rPr>
                <w:rFonts w:eastAsia="Calibri"/>
                <w:sz w:val="14"/>
                <w:szCs w:val="14"/>
                <w:lang w:eastAsia="en-US"/>
              </w:rPr>
            </w:pPr>
            <w:r w:rsidRPr="00EF4A2D">
              <w:rPr>
                <w:rFonts w:eastAsia="Calibri"/>
                <w:sz w:val="14"/>
                <w:szCs w:val="14"/>
                <w:lang w:eastAsia="en-US"/>
              </w:rPr>
              <w:t>0.8</w:t>
            </w:r>
          </w:p>
        </w:tc>
        <w:tc>
          <w:tcPr>
            <w:tcW w:w="567" w:type="dxa"/>
            <w:tcBorders>
              <w:left w:val="single" w:sz="4" w:space="0" w:color="auto"/>
              <w:right w:val="single" w:sz="4" w:space="0" w:color="auto"/>
            </w:tcBorders>
            <w:shd w:val="clear" w:color="auto" w:fill="auto"/>
            <w:vAlign w:val="center"/>
          </w:tcPr>
          <w:p w14:paraId="703E58D2" w14:textId="77777777" w:rsidR="00EF4A2D" w:rsidRPr="00EF4A2D" w:rsidRDefault="00EF4A2D" w:rsidP="00EF4A2D">
            <w:pPr>
              <w:spacing w:before="40" w:after="120"/>
              <w:jc w:val="right"/>
              <w:rPr>
                <w:rFonts w:eastAsia="Calibri"/>
                <w:sz w:val="14"/>
                <w:szCs w:val="14"/>
                <w:lang w:eastAsia="en-US"/>
              </w:rPr>
            </w:pPr>
            <w:r w:rsidRPr="00EF4A2D">
              <w:rPr>
                <w:rFonts w:eastAsia="Calibri"/>
                <w:sz w:val="14"/>
                <w:szCs w:val="14"/>
                <w:lang w:eastAsia="en-US"/>
              </w:rPr>
              <w:t>1</w:t>
            </w:r>
          </w:p>
        </w:tc>
      </w:tr>
      <w:tr w:rsidR="00EF4A2D" w:rsidRPr="00EF4A2D" w14:paraId="54D39970" w14:textId="77777777" w:rsidTr="00B9606F">
        <w:trPr>
          <w:jc w:val="center"/>
        </w:trPr>
        <w:tc>
          <w:tcPr>
            <w:tcW w:w="709" w:type="dxa"/>
            <w:tcBorders>
              <w:left w:val="single" w:sz="4" w:space="0" w:color="auto"/>
              <w:right w:val="single" w:sz="4" w:space="0" w:color="auto"/>
            </w:tcBorders>
            <w:shd w:val="clear" w:color="auto" w:fill="auto"/>
            <w:vAlign w:val="center"/>
          </w:tcPr>
          <w:p w14:paraId="5FDDB351" w14:textId="77777777" w:rsidR="00EF4A2D" w:rsidRPr="00EF4A2D" w:rsidRDefault="00EF4A2D" w:rsidP="00EF4A2D">
            <w:pPr>
              <w:spacing w:before="120" w:after="120"/>
              <w:jc w:val="center"/>
              <w:rPr>
                <w:rFonts w:eastAsia="Calibri"/>
                <w:b/>
                <w:sz w:val="14"/>
                <w:szCs w:val="14"/>
                <w:lang w:eastAsia="en-US"/>
              </w:rPr>
            </w:pPr>
          </w:p>
        </w:tc>
        <w:tc>
          <w:tcPr>
            <w:tcW w:w="1843" w:type="dxa"/>
            <w:tcBorders>
              <w:left w:val="single" w:sz="4" w:space="0" w:color="auto"/>
              <w:right w:val="single" w:sz="4" w:space="0" w:color="auto"/>
            </w:tcBorders>
            <w:shd w:val="clear" w:color="auto" w:fill="auto"/>
            <w:vAlign w:val="center"/>
          </w:tcPr>
          <w:p w14:paraId="573503E4" w14:textId="77777777" w:rsidR="00EF4A2D" w:rsidRPr="00EF4A2D" w:rsidRDefault="00EF4A2D" w:rsidP="00EF4A2D">
            <w:pPr>
              <w:spacing w:before="120" w:after="120"/>
              <w:rPr>
                <w:rFonts w:eastAsia="Calibri"/>
                <w:b/>
                <w:sz w:val="14"/>
                <w:szCs w:val="14"/>
                <w:lang w:eastAsia="en-US"/>
              </w:rPr>
            </w:pPr>
            <w:r w:rsidRPr="00EF4A2D">
              <w:rPr>
                <w:rFonts w:eastAsia="Calibri"/>
                <w:b/>
                <w:sz w:val="14"/>
                <w:szCs w:val="14"/>
                <w:lang w:eastAsia="en-US"/>
              </w:rPr>
              <w:t xml:space="preserve">Total de las </w:t>
            </w:r>
            <w:proofErr w:type="spellStart"/>
            <w:r w:rsidRPr="00EF4A2D">
              <w:rPr>
                <w:rFonts w:eastAsia="Calibri"/>
                <w:b/>
                <w:sz w:val="14"/>
                <w:szCs w:val="14"/>
                <w:lang w:eastAsia="en-US"/>
              </w:rPr>
              <w:t>econ.</w:t>
            </w:r>
            <w:proofErr w:type="spellEnd"/>
            <w:r w:rsidRPr="00EF4A2D">
              <w:rPr>
                <w:rFonts w:eastAsia="Calibri"/>
                <w:b/>
                <w:sz w:val="14"/>
                <w:szCs w:val="14"/>
                <w:lang w:eastAsia="en-US"/>
              </w:rPr>
              <w:t xml:space="preserve"> </w:t>
            </w:r>
            <w:proofErr w:type="spellStart"/>
            <w:r w:rsidRPr="00EF4A2D">
              <w:rPr>
                <w:rFonts w:eastAsia="Calibri"/>
                <w:b/>
                <w:sz w:val="14"/>
                <w:szCs w:val="14"/>
                <w:lang w:eastAsia="en-US"/>
              </w:rPr>
              <w:t>Enum.</w:t>
            </w:r>
            <w:r w:rsidRPr="00EF4A2D">
              <w:rPr>
                <w:rFonts w:eastAsia="Calibri"/>
                <w:b/>
                <w:sz w:val="14"/>
                <w:szCs w:val="14"/>
                <w:u w:val="single"/>
                <w:vertAlign w:val="superscript"/>
                <w:lang w:eastAsia="en-US"/>
              </w:rPr>
              <w:t>d</w:t>
            </w:r>
            <w:proofErr w:type="spellEnd"/>
            <w:r w:rsidRPr="00EF4A2D">
              <w:rPr>
                <w:rFonts w:eastAsia="Calibri"/>
                <w:b/>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27E31706"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15 537</w:t>
            </w:r>
          </w:p>
        </w:tc>
        <w:tc>
          <w:tcPr>
            <w:tcW w:w="708" w:type="dxa"/>
            <w:tcBorders>
              <w:left w:val="single" w:sz="4" w:space="0" w:color="auto"/>
              <w:right w:val="single" w:sz="4" w:space="0" w:color="auto"/>
            </w:tcBorders>
            <w:shd w:val="clear" w:color="auto" w:fill="auto"/>
            <w:vAlign w:val="center"/>
          </w:tcPr>
          <w:p w14:paraId="4DF708D0"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82.1</w:t>
            </w:r>
          </w:p>
        </w:tc>
        <w:tc>
          <w:tcPr>
            <w:tcW w:w="567" w:type="dxa"/>
            <w:tcBorders>
              <w:left w:val="single" w:sz="4" w:space="0" w:color="auto"/>
              <w:right w:val="single" w:sz="4" w:space="0" w:color="auto"/>
            </w:tcBorders>
            <w:shd w:val="clear" w:color="auto" w:fill="auto"/>
            <w:vAlign w:val="center"/>
          </w:tcPr>
          <w:p w14:paraId="1919DFEB"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w:t>
            </w:r>
          </w:p>
        </w:tc>
        <w:tc>
          <w:tcPr>
            <w:tcW w:w="284" w:type="dxa"/>
            <w:tcBorders>
              <w:left w:val="single" w:sz="4" w:space="0" w:color="auto"/>
              <w:right w:val="single" w:sz="4" w:space="0" w:color="auto"/>
            </w:tcBorders>
            <w:vAlign w:val="center"/>
          </w:tcPr>
          <w:p w14:paraId="10AFF15F" w14:textId="77777777" w:rsidR="00EF4A2D" w:rsidRPr="00EF4A2D" w:rsidRDefault="00EF4A2D" w:rsidP="00EF4A2D">
            <w:pPr>
              <w:spacing w:before="120" w:after="120"/>
              <w:jc w:val="right"/>
              <w:rPr>
                <w:rFonts w:eastAsia="Calibri"/>
                <w:b/>
                <w:sz w:val="14"/>
                <w:szCs w:val="14"/>
                <w:lang w:eastAsia="en-US"/>
              </w:rPr>
            </w:pPr>
          </w:p>
        </w:tc>
        <w:tc>
          <w:tcPr>
            <w:tcW w:w="709" w:type="dxa"/>
            <w:tcBorders>
              <w:left w:val="single" w:sz="4" w:space="0" w:color="auto"/>
              <w:right w:val="single" w:sz="4" w:space="0" w:color="auto"/>
            </w:tcBorders>
            <w:shd w:val="clear" w:color="auto" w:fill="auto"/>
            <w:vAlign w:val="center"/>
          </w:tcPr>
          <w:p w14:paraId="48CB896D" w14:textId="77777777" w:rsidR="00EF4A2D" w:rsidRPr="00EF4A2D" w:rsidRDefault="00EF4A2D" w:rsidP="00EF4A2D">
            <w:pPr>
              <w:spacing w:before="120" w:after="120"/>
              <w:jc w:val="center"/>
              <w:rPr>
                <w:rFonts w:eastAsia="Calibri"/>
                <w:b/>
                <w:sz w:val="14"/>
                <w:szCs w:val="14"/>
                <w:lang w:eastAsia="en-US"/>
              </w:rPr>
            </w:pPr>
          </w:p>
        </w:tc>
        <w:tc>
          <w:tcPr>
            <w:tcW w:w="1842" w:type="dxa"/>
            <w:tcBorders>
              <w:left w:val="single" w:sz="4" w:space="0" w:color="auto"/>
              <w:right w:val="single" w:sz="4" w:space="0" w:color="auto"/>
            </w:tcBorders>
            <w:shd w:val="clear" w:color="auto" w:fill="auto"/>
            <w:vAlign w:val="center"/>
          </w:tcPr>
          <w:p w14:paraId="4363F21D" w14:textId="77777777" w:rsidR="00EF4A2D" w:rsidRPr="00EF4A2D" w:rsidRDefault="00EF4A2D" w:rsidP="00EF4A2D">
            <w:pPr>
              <w:spacing w:before="120" w:after="120"/>
              <w:jc w:val="both"/>
              <w:rPr>
                <w:rFonts w:eastAsia="Calibri"/>
                <w:b/>
                <w:sz w:val="14"/>
                <w:szCs w:val="14"/>
                <w:lang w:eastAsia="en-US"/>
              </w:rPr>
            </w:pPr>
            <w:r w:rsidRPr="00EF4A2D">
              <w:rPr>
                <w:rFonts w:eastAsia="Calibri"/>
                <w:b/>
                <w:sz w:val="14"/>
                <w:szCs w:val="14"/>
                <w:lang w:eastAsia="en-US"/>
              </w:rPr>
              <w:t xml:space="preserve">Total de las </w:t>
            </w:r>
            <w:proofErr w:type="spellStart"/>
            <w:r w:rsidRPr="00EF4A2D">
              <w:rPr>
                <w:rFonts w:eastAsia="Calibri"/>
                <w:b/>
                <w:sz w:val="14"/>
                <w:szCs w:val="14"/>
                <w:lang w:eastAsia="en-US"/>
              </w:rPr>
              <w:t>econ.</w:t>
            </w:r>
            <w:proofErr w:type="spellEnd"/>
            <w:r w:rsidRPr="00EF4A2D">
              <w:rPr>
                <w:rFonts w:eastAsia="Calibri"/>
                <w:b/>
                <w:sz w:val="14"/>
                <w:szCs w:val="14"/>
                <w:lang w:eastAsia="en-US"/>
              </w:rPr>
              <w:t xml:space="preserve"> </w:t>
            </w:r>
            <w:proofErr w:type="spellStart"/>
            <w:r w:rsidRPr="00EF4A2D">
              <w:rPr>
                <w:rFonts w:eastAsia="Calibri"/>
                <w:b/>
                <w:sz w:val="14"/>
                <w:szCs w:val="14"/>
                <w:lang w:eastAsia="en-US"/>
              </w:rPr>
              <w:t>Enum.</w:t>
            </w:r>
            <w:r w:rsidRPr="00EF4A2D">
              <w:rPr>
                <w:rFonts w:eastAsia="Calibri"/>
                <w:b/>
                <w:sz w:val="14"/>
                <w:szCs w:val="14"/>
                <w:u w:val="single"/>
                <w:vertAlign w:val="superscript"/>
                <w:lang w:eastAsia="en-US"/>
              </w:rPr>
              <w:t>d</w:t>
            </w:r>
            <w:proofErr w:type="spellEnd"/>
            <w:r w:rsidRPr="00EF4A2D">
              <w:rPr>
                <w:rFonts w:eastAsia="Calibri"/>
                <w:b/>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6C4C225E"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15 581</w:t>
            </w:r>
          </w:p>
        </w:tc>
        <w:tc>
          <w:tcPr>
            <w:tcW w:w="709" w:type="dxa"/>
            <w:tcBorders>
              <w:left w:val="single" w:sz="4" w:space="0" w:color="auto"/>
              <w:right w:val="single" w:sz="4" w:space="0" w:color="auto"/>
            </w:tcBorders>
            <w:shd w:val="clear" w:color="auto" w:fill="auto"/>
            <w:vAlign w:val="center"/>
          </w:tcPr>
          <w:p w14:paraId="3FCF5633"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81.9</w:t>
            </w:r>
          </w:p>
        </w:tc>
        <w:tc>
          <w:tcPr>
            <w:tcW w:w="567" w:type="dxa"/>
            <w:tcBorders>
              <w:left w:val="single" w:sz="4" w:space="0" w:color="auto"/>
              <w:right w:val="single" w:sz="4" w:space="0" w:color="auto"/>
            </w:tcBorders>
            <w:shd w:val="clear" w:color="auto" w:fill="auto"/>
            <w:vAlign w:val="center"/>
          </w:tcPr>
          <w:p w14:paraId="102ACBA8"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w:t>
            </w:r>
          </w:p>
        </w:tc>
      </w:tr>
      <w:tr w:rsidR="00EF4A2D" w:rsidRPr="00EF4A2D" w14:paraId="0C92287E" w14:textId="77777777" w:rsidTr="00B9606F">
        <w:trPr>
          <w:jc w:val="center"/>
        </w:trPr>
        <w:tc>
          <w:tcPr>
            <w:tcW w:w="709" w:type="dxa"/>
            <w:tcBorders>
              <w:left w:val="single" w:sz="4" w:space="0" w:color="auto"/>
              <w:bottom w:val="single" w:sz="4" w:space="0" w:color="auto"/>
              <w:right w:val="single" w:sz="4" w:space="0" w:color="auto"/>
            </w:tcBorders>
            <w:shd w:val="clear" w:color="auto" w:fill="auto"/>
            <w:vAlign w:val="center"/>
          </w:tcPr>
          <w:p w14:paraId="54B23A5F" w14:textId="77777777" w:rsidR="00EF4A2D" w:rsidRPr="00EF4A2D" w:rsidRDefault="00EF4A2D" w:rsidP="00EF4A2D">
            <w:pPr>
              <w:spacing w:before="120" w:after="120"/>
              <w:jc w:val="right"/>
              <w:rPr>
                <w:rFonts w:eastAsia="Calibri"/>
                <w:b/>
                <w:sz w:val="14"/>
                <w:szCs w:val="14"/>
                <w:lang w:eastAsia="en-US"/>
              </w:rPr>
            </w:pPr>
          </w:p>
        </w:tc>
        <w:tc>
          <w:tcPr>
            <w:tcW w:w="1843" w:type="dxa"/>
            <w:tcBorders>
              <w:left w:val="single" w:sz="4" w:space="0" w:color="auto"/>
              <w:bottom w:val="single" w:sz="4" w:space="0" w:color="auto"/>
              <w:right w:val="single" w:sz="4" w:space="0" w:color="auto"/>
            </w:tcBorders>
            <w:shd w:val="clear" w:color="auto" w:fill="auto"/>
            <w:vAlign w:val="center"/>
          </w:tcPr>
          <w:p w14:paraId="547642CD" w14:textId="77777777" w:rsidR="00EF4A2D" w:rsidRPr="00EF4A2D" w:rsidRDefault="00EF4A2D" w:rsidP="00EF4A2D">
            <w:pPr>
              <w:spacing w:before="120" w:after="120"/>
              <w:rPr>
                <w:rFonts w:eastAsia="Calibri"/>
                <w:b/>
                <w:sz w:val="14"/>
                <w:szCs w:val="14"/>
                <w:lang w:eastAsia="en-US"/>
              </w:rPr>
            </w:pPr>
            <w:r w:rsidRPr="00EF4A2D">
              <w:rPr>
                <w:rFonts w:eastAsia="Calibri"/>
                <w:b/>
                <w:sz w:val="14"/>
                <w:szCs w:val="14"/>
                <w:lang w:eastAsia="en-US"/>
              </w:rPr>
              <w:t xml:space="preserve">Todo el </w:t>
            </w:r>
            <w:proofErr w:type="spellStart"/>
            <w:r w:rsidRPr="00EF4A2D">
              <w:rPr>
                <w:rFonts w:eastAsia="Calibri"/>
                <w:b/>
                <w:sz w:val="14"/>
                <w:szCs w:val="14"/>
                <w:lang w:eastAsia="en-US"/>
              </w:rPr>
              <w:t>mundo</w:t>
            </w:r>
            <w:r w:rsidRPr="00EF4A2D">
              <w:rPr>
                <w:rFonts w:eastAsia="Calibri"/>
                <w:b/>
                <w:sz w:val="14"/>
                <w:szCs w:val="14"/>
                <w:u w:val="single"/>
                <w:vertAlign w:val="superscript"/>
                <w:lang w:eastAsia="en-US"/>
              </w:rPr>
              <w:t>d</w:t>
            </w:r>
            <w:proofErr w:type="spellEnd"/>
            <w:r w:rsidRPr="00EF4A2D">
              <w:rPr>
                <w:rFonts w:eastAsia="Calibri"/>
                <w:b/>
                <w:sz w:val="14"/>
                <w:szCs w:val="14"/>
                <w:vertAlign w:val="superscript"/>
                <w:lang w:eastAsia="en-US"/>
              </w:rPr>
              <w:t>/</w:t>
            </w:r>
          </w:p>
        </w:tc>
        <w:tc>
          <w:tcPr>
            <w:tcW w:w="709" w:type="dxa"/>
            <w:tcBorders>
              <w:left w:val="single" w:sz="4" w:space="0" w:color="auto"/>
              <w:bottom w:val="single" w:sz="4" w:space="0" w:color="auto"/>
              <w:right w:val="single" w:sz="4" w:space="0" w:color="auto"/>
            </w:tcBorders>
            <w:shd w:val="clear" w:color="auto" w:fill="auto"/>
            <w:vAlign w:val="center"/>
          </w:tcPr>
          <w:p w14:paraId="57ED88B7"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18 935</w:t>
            </w:r>
          </w:p>
        </w:tc>
        <w:tc>
          <w:tcPr>
            <w:tcW w:w="708" w:type="dxa"/>
            <w:tcBorders>
              <w:left w:val="single" w:sz="4" w:space="0" w:color="auto"/>
              <w:bottom w:val="single" w:sz="4" w:space="0" w:color="auto"/>
              <w:right w:val="single" w:sz="4" w:space="0" w:color="auto"/>
            </w:tcBorders>
            <w:shd w:val="clear" w:color="auto" w:fill="auto"/>
            <w:vAlign w:val="center"/>
          </w:tcPr>
          <w:p w14:paraId="4EA2B0F1"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100.0</w:t>
            </w:r>
          </w:p>
        </w:tc>
        <w:tc>
          <w:tcPr>
            <w:tcW w:w="567" w:type="dxa"/>
            <w:tcBorders>
              <w:left w:val="single" w:sz="4" w:space="0" w:color="auto"/>
              <w:bottom w:val="single" w:sz="4" w:space="0" w:color="auto"/>
              <w:right w:val="single" w:sz="4" w:space="0" w:color="auto"/>
            </w:tcBorders>
            <w:shd w:val="clear" w:color="auto" w:fill="auto"/>
            <w:vAlign w:val="center"/>
          </w:tcPr>
          <w:p w14:paraId="526AECEF"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1</w:t>
            </w:r>
          </w:p>
        </w:tc>
        <w:tc>
          <w:tcPr>
            <w:tcW w:w="284" w:type="dxa"/>
            <w:tcBorders>
              <w:left w:val="single" w:sz="4" w:space="0" w:color="auto"/>
              <w:right w:val="single" w:sz="4" w:space="0" w:color="auto"/>
            </w:tcBorders>
            <w:vAlign w:val="center"/>
          </w:tcPr>
          <w:p w14:paraId="6B106F6D" w14:textId="77777777" w:rsidR="00EF4A2D" w:rsidRPr="00EF4A2D" w:rsidRDefault="00EF4A2D" w:rsidP="00EF4A2D">
            <w:pPr>
              <w:spacing w:before="120" w:after="120"/>
              <w:jc w:val="right"/>
              <w:rPr>
                <w:rFonts w:eastAsia="Calibri"/>
                <w:b/>
                <w:sz w:val="14"/>
                <w:szCs w:val="14"/>
                <w:lang w:eastAsia="en-US"/>
              </w:rPr>
            </w:pPr>
          </w:p>
        </w:tc>
        <w:tc>
          <w:tcPr>
            <w:tcW w:w="709" w:type="dxa"/>
            <w:tcBorders>
              <w:left w:val="single" w:sz="4" w:space="0" w:color="auto"/>
              <w:bottom w:val="single" w:sz="4" w:space="0" w:color="auto"/>
              <w:right w:val="single" w:sz="4" w:space="0" w:color="auto"/>
            </w:tcBorders>
            <w:shd w:val="clear" w:color="auto" w:fill="auto"/>
            <w:vAlign w:val="center"/>
          </w:tcPr>
          <w:p w14:paraId="708FAA4C" w14:textId="77777777" w:rsidR="00EF4A2D" w:rsidRPr="00EF4A2D" w:rsidRDefault="00EF4A2D" w:rsidP="00EF4A2D">
            <w:pPr>
              <w:spacing w:before="120" w:after="120"/>
              <w:jc w:val="center"/>
              <w:rPr>
                <w:rFonts w:eastAsia="Calibri"/>
                <w:b/>
                <w:sz w:val="14"/>
                <w:szCs w:val="14"/>
                <w:lang w:eastAsia="en-US"/>
              </w:rPr>
            </w:pPr>
          </w:p>
        </w:tc>
        <w:tc>
          <w:tcPr>
            <w:tcW w:w="1842" w:type="dxa"/>
            <w:tcBorders>
              <w:left w:val="single" w:sz="4" w:space="0" w:color="auto"/>
              <w:bottom w:val="single" w:sz="4" w:space="0" w:color="auto"/>
              <w:right w:val="single" w:sz="4" w:space="0" w:color="auto"/>
            </w:tcBorders>
            <w:shd w:val="clear" w:color="auto" w:fill="auto"/>
            <w:vAlign w:val="center"/>
          </w:tcPr>
          <w:p w14:paraId="52850FA2" w14:textId="77777777" w:rsidR="00EF4A2D" w:rsidRPr="00EF4A2D" w:rsidRDefault="00EF4A2D" w:rsidP="00EF4A2D">
            <w:pPr>
              <w:spacing w:before="120" w:after="120"/>
              <w:jc w:val="both"/>
              <w:rPr>
                <w:rFonts w:eastAsia="Calibri"/>
                <w:b/>
                <w:sz w:val="14"/>
                <w:szCs w:val="14"/>
                <w:lang w:eastAsia="en-US"/>
              </w:rPr>
            </w:pPr>
            <w:r w:rsidRPr="00EF4A2D">
              <w:rPr>
                <w:rFonts w:eastAsia="Calibri"/>
                <w:b/>
                <w:sz w:val="14"/>
                <w:szCs w:val="14"/>
                <w:lang w:eastAsia="en-US"/>
              </w:rPr>
              <w:t xml:space="preserve">Todo el </w:t>
            </w:r>
            <w:proofErr w:type="spellStart"/>
            <w:r w:rsidRPr="00EF4A2D">
              <w:rPr>
                <w:rFonts w:eastAsia="Calibri"/>
                <w:b/>
                <w:sz w:val="14"/>
                <w:szCs w:val="14"/>
                <w:lang w:eastAsia="en-US"/>
              </w:rPr>
              <w:t>mundo</w:t>
            </w:r>
            <w:r w:rsidRPr="00EF4A2D">
              <w:rPr>
                <w:rFonts w:eastAsia="Calibri"/>
                <w:b/>
                <w:sz w:val="14"/>
                <w:szCs w:val="14"/>
                <w:u w:val="single"/>
                <w:vertAlign w:val="superscript"/>
                <w:lang w:eastAsia="en-US"/>
              </w:rPr>
              <w:t>d</w:t>
            </w:r>
            <w:proofErr w:type="spellEnd"/>
            <w:r w:rsidRPr="00EF4A2D">
              <w:rPr>
                <w:rFonts w:eastAsia="Calibri"/>
                <w:b/>
                <w:sz w:val="14"/>
                <w:szCs w:val="14"/>
                <w:vertAlign w:val="superscript"/>
                <w:lang w:eastAsia="en-US"/>
              </w:rPr>
              <w:t>/</w:t>
            </w:r>
          </w:p>
        </w:tc>
        <w:tc>
          <w:tcPr>
            <w:tcW w:w="709" w:type="dxa"/>
            <w:tcBorders>
              <w:left w:val="single" w:sz="4" w:space="0" w:color="auto"/>
              <w:bottom w:val="single" w:sz="4" w:space="0" w:color="auto"/>
              <w:right w:val="single" w:sz="4" w:space="0" w:color="auto"/>
            </w:tcBorders>
            <w:shd w:val="clear" w:color="auto" w:fill="auto"/>
            <w:vAlign w:val="center"/>
          </w:tcPr>
          <w:p w14:paraId="55B59497"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19 024</w:t>
            </w:r>
          </w:p>
        </w:tc>
        <w:tc>
          <w:tcPr>
            <w:tcW w:w="709" w:type="dxa"/>
            <w:tcBorders>
              <w:left w:val="single" w:sz="4" w:space="0" w:color="auto"/>
              <w:bottom w:val="single" w:sz="4" w:space="0" w:color="auto"/>
              <w:right w:val="single" w:sz="4" w:space="0" w:color="auto"/>
            </w:tcBorders>
            <w:shd w:val="clear" w:color="auto" w:fill="auto"/>
            <w:vAlign w:val="center"/>
          </w:tcPr>
          <w:p w14:paraId="32123D6C"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100.0</w:t>
            </w:r>
          </w:p>
        </w:tc>
        <w:tc>
          <w:tcPr>
            <w:tcW w:w="567" w:type="dxa"/>
            <w:tcBorders>
              <w:left w:val="single" w:sz="4" w:space="0" w:color="auto"/>
              <w:bottom w:val="single" w:sz="4" w:space="0" w:color="auto"/>
              <w:right w:val="single" w:sz="4" w:space="0" w:color="auto"/>
            </w:tcBorders>
            <w:shd w:val="clear" w:color="auto" w:fill="auto"/>
            <w:vAlign w:val="center"/>
          </w:tcPr>
          <w:p w14:paraId="00CB268A"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1</w:t>
            </w:r>
          </w:p>
        </w:tc>
      </w:tr>
      <w:tr w:rsidR="00EF4A2D" w:rsidRPr="00EF4A2D" w14:paraId="43EC1AD9" w14:textId="77777777" w:rsidTr="00B9606F">
        <w:trPr>
          <w:jc w:val="center"/>
        </w:trPr>
        <w:tc>
          <w:tcPr>
            <w:tcW w:w="9356" w:type="dxa"/>
            <w:gridSpan w:val="11"/>
          </w:tcPr>
          <w:p w14:paraId="5E2831A1" w14:textId="77777777" w:rsidR="00EF4A2D" w:rsidRPr="00EF4A2D" w:rsidRDefault="00EF4A2D" w:rsidP="003518F4">
            <w:pPr>
              <w:numPr>
                <w:ilvl w:val="0"/>
                <w:numId w:val="137"/>
              </w:numPr>
              <w:spacing w:before="120" w:after="200" w:line="276" w:lineRule="auto"/>
              <w:ind w:left="284" w:hanging="284"/>
              <w:contextualSpacing/>
              <w:jc w:val="both"/>
              <w:rPr>
                <w:rFonts w:eastAsia="Calibri"/>
                <w:sz w:val="20"/>
                <w:szCs w:val="20"/>
                <w:lang w:eastAsia="en-US"/>
              </w:rPr>
            </w:pPr>
            <w:r w:rsidRPr="00EF4A2D">
              <w:rPr>
                <w:rFonts w:eastAsia="Calibri"/>
                <w:sz w:val="20"/>
                <w:szCs w:val="20"/>
                <w:lang w:eastAsia="en-US"/>
              </w:rPr>
              <w:t xml:space="preserve">Importaciones según valores </w:t>
            </w:r>
            <w:proofErr w:type="spellStart"/>
            <w:r w:rsidRPr="00EF4A2D">
              <w:rPr>
                <w:rFonts w:eastAsia="Calibri"/>
                <w:sz w:val="20"/>
                <w:szCs w:val="20"/>
                <w:lang w:eastAsia="en-US"/>
              </w:rPr>
              <w:t>f.o.b</w:t>
            </w:r>
            <w:proofErr w:type="spellEnd"/>
            <w:r w:rsidRPr="00EF4A2D">
              <w:rPr>
                <w:rFonts w:eastAsia="Calibri"/>
                <w:sz w:val="20"/>
                <w:szCs w:val="20"/>
                <w:lang w:eastAsia="en-US"/>
              </w:rPr>
              <w:t>.</w:t>
            </w:r>
          </w:p>
          <w:p w14:paraId="4704DA3F" w14:textId="77777777" w:rsidR="00EF4A2D" w:rsidRPr="00EF4A2D" w:rsidRDefault="00EF4A2D" w:rsidP="003518F4">
            <w:pPr>
              <w:numPr>
                <w:ilvl w:val="0"/>
                <w:numId w:val="137"/>
              </w:numPr>
              <w:spacing w:after="200" w:line="276" w:lineRule="auto"/>
              <w:ind w:left="284" w:hanging="284"/>
              <w:contextualSpacing/>
              <w:jc w:val="both"/>
              <w:rPr>
                <w:rFonts w:eastAsia="Calibri"/>
                <w:sz w:val="20"/>
                <w:szCs w:val="20"/>
                <w:lang w:eastAsia="en-US"/>
              </w:rPr>
            </w:pPr>
            <w:r w:rsidRPr="00EF4A2D">
              <w:rPr>
                <w:rFonts w:eastAsia="Calibri"/>
                <w:sz w:val="20"/>
                <w:szCs w:val="20"/>
                <w:lang w:eastAsia="en-US"/>
              </w:rPr>
              <w:t>Por importaciones definitivas de Singapur se entiende las importaciones menos las reexportaciones.</w:t>
            </w:r>
          </w:p>
          <w:p w14:paraId="2035827F" w14:textId="77777777" w:rsidR="00EF4A2D" w:rsidRPr="00EF4A2D" w:rsidRDefault="00EF4A2D" w:rsidP="003518F4">
            <w:pPr>
              <w:numPr>
                <w:ilvl w:val="0"/>
                <w:numId w:val="137"/>
              </w:numPr>
              <w:spacing w:after="200" w:line="276" w:lineRule="auto"/>
              <w:ind w:left="284" w:hanging="284"/>
              <w:contextualSpacing/>
              <w:jc w:val="both"/>
              <w:rPr>
                <w:rFonts w:eastAsia="Calibri"/>
                <w:sz w:val="20"/>
                <w:szCs w:val="20"/>
                <w:lang w:eastAsia="en-US"/>
              </w:rPr>
            </w:pPr>
            <w:r w:rsidRPr="00EF4A2D">
              <w:rPr>
                <w:rFonts w:eastAsia="Calibri"/>
                <w:sz w:val="20"/>
                <w:szCs w:val="20"/>
                <w:lang w:eastAsia="en-US"/>
              </w:rPr>
              <w:t>Estimaciones de la Secretaría.</w:t>
            </w:r>
          </w:p>
          <w:p w14:paraId="3FDC1349" w14:textId="77777777" w:rsidR="00EF4A2D" w:rsidRPr="00EF4A2D" w:rsidRDefault="00EF4A2D" w:rsidP="003518F4">
            <w:pPr>
              <w:numPr>
                <w:ilvl w:val="0"/>
                <w:numId w:val="137"/>
              </w:numPr>
              <w:spacing w:after="200" w:line="276" w:lineRule="auto"/>
              <w:ind w:left="284" w:hanging="284"/>
              <w:contextualSpacing/>
              <w:jc w:val="both"/>
              <w:rPr>
                <w:rFonts w:eastAsia="Calibri"/>
                <w:sz w:val="20"/>
                <w:szCs w:val="20"/>
                <w:lang w:eastAsia="en-US"/>
              </w:rPr>
            </w:pPr>
            <w:r w:rsidRPr="00EF4A2D">
              <w:rPr>
                <w:rFonts w:eastAsia="Calibri"/>
                <w:sz w:val="20"/>
                <w:szCs w:val="20"/>
                <w:lang w:eastAsia="en-US"/>
              </w:rPr>
              <w:t>Incluye un volumen considerable de reexportaciones o importaciones destinadas a la reexportación.</w:t>
            </w:r>
          </w:p>
          <w:p w14:paraId="78DCA67E" w14:textId="77777777" w:rsidR="00EF4A2D" w:rsidRPr="00EF4A2D" w:rsidRDefault="00EF4A2D" w:rsidP="00EF4A2D">
            <w:pPr>
              <w:ind w:right="57"/>
              <w:jc w:val="both"/>
              <w:rPr>
                <w:rFonts w:eastAsia="Calibri"/>
                <w:sz w:val="20"/>
                <w:szCs w:val="20"/>
                <w:lang w:eastAsia="en-US"/>
              </w:rPr>
            </w:pPr>
            <w:r w:rsidRPr="00EF4A2D">
              <w:rPr>
                <w:rFonts w:eastAsia="Calibri"/>
                <w:sz w:val="20"/>
                <w:szCs w:val="20"/>
                <w:lang w:eastAsia="en-US"/>
              </w:rPr>
              <w:t>FUENTE: Secretaría de la OMC.</w:t>
            </w:r>
          </w:p>
        </w:tc>
      </w:tr>
    </w:tbl>
    <w:p w14:paraId="53CEC009" w14:textId="77777777" w:rsidR="00EF4A2D" w:rsidRPr="00EF4A2D" w:rsidRDefault="00EF4A2D" w:rsidP="00EF4A2D">
      <w:pPr>
        <w:spacing w:after="360" w:line="360" w:lineRule="auto"/>
        <w:ind w:right="-159"/>
        <w:jc w:val="both"/>
        <w:rPr>
          <w:rFonts w:eastAsia="Calibri"/>
          <w:sz w:val="26"/>
          <w:szCs w:val="26"/>
          <w:lang w:val="es-ES" w:eastAsia="en-US"/>
        </w:rPr>
      </w:pPr>
    </w:p>
    <w:tbl>
      <w:tblPr>
        <w:tblW w:w="9356" w:type="dxa"/>
        <w:jc w:val="center"/>
        <w:tblLayout w:type="fixed"/>
        <w:tblLook w:val="01E0" w:firstRow="1" w:lastRow="1" w:firstColumn="1" w:lastColumn="1" w:noHBand="0" w:noVBand="0"/>
      </w:tblPr>
      <w:tblGrid>
        <w:gridCol w:w="709"/>
        <w:gridCol w:w="1843"/>
        <w:gridCol w:w="709"/>
        <w:gridCol w:w="708"/>
        <w:gridCol w:w="567"/>
        <w:gridCol w:w="284"/>
        <w:gridCol w:w="709"/>
        <w:gridCol w:w="1842"/>
        <w:gridCol w:w="709"/>
        <w:gridCol w:w="709"/>
        <w:gridCol w:w="567"/>
      </w:tblGrid>
      <w:tr w:rsidR="00EF4A2D" w:rsidRPr="00EF4A2D" w14:paraId="0D4B6F03" w14:textId="77777777" w:rsidTr="00B9606F">
        <w:trPr>
          <w:jc w:val="center"/>
        </w:trPr>
        <w:tc>
          <w:tcPr>
            <w:tcW w:w="9356" w:type="dxa"/>
            <w:gridSpan w:val="11"/>
            <w:vAlign w:val="center"/>
          </w:tcPr>
          <w:p w14:paraId="3DAA04DE" w14:textId="77777777" w:rsidR="00EF4A2D" w:rsidRPr="00EF4A2D" w:rsidRDefault="00EF4A2D" w:rsidP="00EF4A2D">
            <w:pPr>
              <w:jc w:val="center"/>
              <w:rPr>
                <w:rFonts w:eastAsia="Calibri"/>
                <w:b/>
                <w:sz w:val="22"/>
                <w:szCs w:val="22"/>
                <w:lang w:eastAsia="en-US"/>
              </w:rPr>
            </w:pPr>
            <w:r w:rsidRPr="00EF4A2D">
              <w:rPr>
                <w:rFonts w:eastAsia="Calibri"/>
                <w:b/>
                <w:sz w:val="22"/>
                <w:szCs w:val="22"/>
                <w:lang w:eastAsia="en-US"/>
              </w:rPr>
              <w:lastRenderedPageBreak/>
              <w:t>PRINCIPALES EXPORTADORES E IMPORTADORES DE MERCANCÍAS, 2014</w:t>
            </w:r>
          </w:p>
          <w:p w14:paraId="3E898C32" w14:textId="77777777" w:rsidR="00EF4A2D" w:rsidRPr="00EF4A2D" w:rsidRDefault="00EF4A2D" w:rsidP="00EF4A2D">
            <w:pPr>
              <w:jc w:val="center"/>
              <w:rPr>
                <w:rFonts w:eastAsia="Calibri"/>
                <w:b/>
                <w:sz w:val="22"/>
                <w:szCs w:val="22"/>
                <w:lang w:eastAsia="en-US"/>
              </w:rPr>
            </w:pPr>
            <w:r w:rsidRPr="00EF4A2D">
              <w:rPr>
                <w:rFonts w:eastAsia="Calibri"/>
                <w:b/>
                <w:sz w:val="22"/>
                <w:szCs w:val="22"/>
                <w:lang w:eastAsia="en-US"/>
              </w:rPr>
              <w:t>(Se excluye el comercio intracomunitario de la UE-28)</w:t>
            </w:r>
          </w:p>
          <w:p w14:paraId="3DD421F2" w14:textId="1BED39FA" w:rsidR="00EF4A2D" w:rsidRPr="00EF4A2D" w:rsidRDefault="00EF4A2D" w:rsidP="00EF4A2D">
            <w:pPr>
              <w:jc w:val="center"/>
              <w:rPr>
                <w:rFonts w:eastAsia="Calibri"/>
                <w:b/>
                <w:sz w:val="22"/>
                <w:szCs w:val="22"/>
                <w:lang w:eastAsia="en-US"/>
              </w:rPr>
            </w:pPr>
            <w:r w:rsidRPr="00EF4A2D">
              <w:rPr>
                <w:rFonts w:eastAsia="Calibri"/>
                <w:b/>
                <w:sz w:val="22"/>
                <w:szCs w:val="22"/>
                <w:lang w:eastAsia="en-US"/>
              </w:rPr>
              <w:t xml:space="preserve">-En miles de millones de dólares </w:t>
            </w:r>
            <w:r w:rsidR="00EC0263">
              <w:rPr>
                <w:rFonts w:eastAsia="Calibri"/>
                <w:b/>
                <w:sz w:val="22"/>
                <w:szCs w:val="22"/>
                <w:lang w:eastAsia="en-US"/>
              </w:rPr>
              <w:t xml:space="preserve">estadounidenses </w:t>
            </w:r>
            <w:r w:rsidRPr="00EF4A2D">
              <w:rPr>
                <w:rFonts w:eastAsia="Calibri"/>
                <w:b/>
                <w:sz w:val="22"/>
                <w:szCs w:val="22"/>
                <w:lang w:eastAsia="en-US"/>
              </w:rPr>
              <w:t>y en porcentajes-</w:t>
            </w:r>
          </w:p>
          <w:p w14:paraId="0E271B35" w14:textId="77777777" w:rsidR="00EF4A2D" w:rsidRPr="00EF4A2D" w:rsidRDefault="00EF4A2D" w:rsidP="00EF4A2D">
            <w:pPr>
              <w:jc w:val="center"/>
              <w:rPr>
                <w:rFonts w:eastAsia="Calibri"/>
                <w:b/>
                <w:sz w:val="22"/>
                <w:szCs w:val="22"/>
                <w:lang w:eastAsia="en-US"/>
              </w:rPr>
            </w:pPr>
          </w:p>
        </w:tc>
      </w:tr>
      <w:tr w:rsidR="00EF4A2D" w:rsidRPr="00EF4A2D" w14:paraId="1FC97615" w14:textId="77777777" w:rsidTr="00B9606F">
        <w:trPr>
          <w:jc w:val="center"/>
        </w:trPr>
        <w:tc>
          <w:tcPr>
            <w:tcW w:w="709" w:type="dxa"/>
            <w:tcBorders>
              <w:top w:val="single" w:sz="4" w:space="0" w:color="auto"/>
              <w:left w:val="single" w:sz="4" w:space="0" w:color="auto"/>
              <w:bottom w:val="single" w:sz="4" w:space="0" w:color="auto"/>
              <w:right w:val="single" w:sz="4" w:space="0" w:color="auto"/>
            </w:tcBorders>
            <w:vAlign w:val="center"/>
          </w:tcPr>
          <w:p w14:paraId="21EE86C1"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 xml:space="preserve">Lugar en la </w:t>
            </w:r>
            <w:proofErr w:type="spellStart"/>
            <w:r w:rsidRPr="00EF4A2D">
              <w:rPr>
                <w:rFonts w:eastAsia="Calibri"/>
                <w:b/>
                <w:sz w:val="14"/>
                <w:szCs w:val="14"/>
                <w:lang w:eastAsia="en-US"/>
              </w:rPr>
              <w:t>clasif</w:t>
            </w:r>
            <w:proofErr w:type="spellEnd"/>
            <w:r w:rsidRPr="00EF4A2D">
              <w:rPr>
                <w:rFonts w:eastAsia="Calibri"/>
                <w:b/>
                <w:sz w:val="14"/>
                <w:szCs w:val="14"/>
                <w:lang w:eastAsia="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56B46A96"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Exportadores</w:t>
            </w:r>
          </w:p>
        </w:tc>
        <w:tc>
          <w:tcPr>
            <w:tcW w:w="709" w:type="dxa"/>
            <w:tcBorders>
              <w:top w:val="single" w:sz="4" w:space="0" w:color="auto"/>
              <w:left w:val="single" w:sz="4" w:space="0" w:color="auto"/>
              <w:bottom w:val="single" w:sz="4" w:space="0" w:color="auto"/>
              <w:right w:val="single" w:sz="4" w:space="0" w:color="auto"/>
            </w:tcBorders>
            <w:vAlign w:val="center"/>
          </w:tcPr>
          <w:p w14:paraId="6269D97A"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Valor</w:t>
            </w:r>
          </w:p>
        </w:tc>
        <w:tc>
          <w:tcPr>
            <w:tcW w:w="708" w:type="dxa"/>
            <w:tcBorders>
              <w:top w:val="single" w:sz="4" w:space="0" w:color="auto"/>
              <w:left w:val="single" w:sz="4" w:space="0" w:color="auto"/>
              <w:bottom w:val="single" w:sz="4" w:space="0" w:color="auto"/>
              <w:right w:val="single" w:sz="4" w:space="0" w:color="auto"/>
            </w:tcBorders>
            <w:vAlign w:val="center"/>
          </w:tcPr>
          <w:p w14:paraId="11C9071F"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w:t>
            </w:r>
          </w:p>
        </w:tc>
        <w:tc>
          <w:tcPr>
            <w:tcW w:w="567" w:type="dxa"/>
            <w:tcBorders>
              <w:top w:val="single" w:sz="4" w:space="0" w:color="auto"/>
              <w:left w:val="single" w:sz="4" w:space="0" w:color="auto"/>
              <w:bottom w:val="single" w:sz="4" w:space="0" w:color="auto"/>
              <w:right w:val="single" w:sz="4" w:space="0" w:color="auto"/>
            </w:tcBorders>
            <w:vAlign w:val="center"/>
          </w:tcPr>
          <w:p w14:paraId="6822F605"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Varia</w:t>
            </w:r>
          </w:p>
          <w:p w14:paraId="2044FBC7" w14:textId="77777777" w:rsidR="00EF4A2D" w:rsidRPr="00EF4A2D" w:rsidRDefault="00EF4A2D" w:rsidP="00EF4A2D">
            <w:pPr>
              <w:jc w:val="center"/>
              <w:rPr>
                <w:rFonts w:eastAsia="Calibri"/>
                <w:b/>
                <w:sz w:val="14"/>
                <w:szCs w:val="14"/>
                <w:lang w:eastAsia="en-US"/>
              </w:rPr>
            </w:pPr>
            <w:proofErr w:type="spellStart"/>
            <w:r w:rsidRPr="00EF4A2D">
              <w:rPr>
                <w:rFonts w:eastAsia="Calibri"/>
                <w:b/>
                <w:sz w:val="14"/>
                <w:szCs w:val="14"/>
                <w:lang w:eastAsia="en-US"/>
              </w:rPr>
              <w:t>ción</w:t>
            </w:r>
            <w:proofErr w:type="spellEnd"/>
          </w:p>
          <w:p w14:paraId="117BD298"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 anual</w:t>
            </w:r>
          </w:p>
        </w:tc>
        <w:tc>
          <w:tcPr>
            <w:tcW w:w="284" w:type="dxa"/>
            <w:tcBorders>
              <w:left w:val="single" w:sz="4" w:space="0" w:color="auto"/>
              <w:right w:val="single" w:sz="4" w:space="0" w:color="auto"/>
            </w:tcBorders>
            <w:vAlign w:val="center"/>
          </w:tcPr>
          <w:p w14:paraId="564AC7C4" w14:textId="77777777" w:rsidR="00EF4A2D" w:rsidRPr="00EF4A2D" w:rsidRDefault="00EF4A2D" w:rsidP="00EF4A2D">
            <w:pPr>
              <w:jc w:val="center"/>
              <w:rPr>
                <w:rFonts w:eastAsia="Calibri"/>
                <w:b/>
                <w:sz w:val="14"/>
                <w:szCs w:val="14"/>
                <w:lang w:eastAsia="en-US"/>
              </w:rPr>
            </w:pPr>
          </w:p>
        </w:tc>
        <w:tc>
          <w:tcPr>
            <w:tcW w:w="709" w:type="dxa"/>
            <w:tcBorders>
              <w:top w:val="single" w:sz="4" w:space="0" w:color="auto"/>
              <w:left w:val="single" w:sz="4" w:space="0" w:color="auto"/>
              <w:bottom w:val="single" w:sz="4" w:space="0" w:color="auto"/>
              <w:right w:val="single" w:sz="4" w:space="0" w:color="auto"/>
            </w:tcBorders>
            <w:vAlign w:val="center"/>
          </w:tcPr>
          <w:p w14:paraId="0DDE8D09"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 xml:space="preserve">Lugar en la </w:t>
            </w:r>
            <w:proofErr w:type="spellStart"/>
            <w:r w:rsidRPr="00EF4A2D">
              <w:rPr>
                <w:rFonts w:eastAsia="Calibri"/>
                <w:b/>
                <w:sz w:val="14"/>
                <w:szCs w:val="14"/>
                <w:lang w:eastAsia="en-US"/>
              </w:rPr>
              <w:t>clasif</w:t>
            </w:r>
            <w:proofErr w:type="spellEnd"/>
            <w:r w:rsidRPr="00EF4A2D">
              <w:rPr>
                <w:rFonts w:eastAsia="Calibri"/>
                <w:b/>
                <w:sz w:val="14"/>
                <w:szCs w:val="14"/>
                <w:lang w:eastAsia="en-US"/>
              </w:rPr>
              <w:t>.</w:t>
            </w:r>
          </w:p>
        </w:tc>
        <w:tc>
          <w:tcPr>
            <w:tcW w:w="1842" w:type="dxa"/>
            <w:tcBorders>
              <w:top w:val="single" w:sz="4" w:space="0" w:color="auto"/>
              <w:left w:val="single" w:sz="4" w:space="0" w:color="auto"/>
              <w:bottom w:val="single" w:sz="4" w:space="0" w:color="auto"/>
              <w:right w:val="single" w:sz="4" w:space="0" w:color="auto"/>
            </w:tcBorders>
            <w:vAlign w:val="center"/>
          </w:tcPr>
          <w:p w14:paraId="2DD55C26" w14:textId="77777777" w:rsidR="00EF4A2D" w:rsidRPr="00EF4A2D" w:rsidRDefault="00EF4A2D" w:rsidP="00EF4A2D">
            <w:pPr>
              <w:jc w:val="center"/>
              <w:rPr>
                <w:rFonts w:eastAsia="Calibri"/>
                <w:b/>
                <w:sz w:val="14"/>
                <w:szCs w:val="14"/>
                <w:lang w:eastAsia="en-US"/>
              </w:rPr>
            </w:pPr>
            <w:r w:rsidRPr="00EF4A2D">
              <w:rPr>
                <w:rFonts w:eastAsia="Calibri"/>
                <w:b/>
                <w:sz w:val="14"/>
                <w:szCs w:val="14"/>
                <w:lang w:eastAsia="en-US"/>
              </w:rPr>
              <w:t>Importadores</w:t>
            </w:r>
          </w:p>
        </w:tc>
        <w:tc>
          <w:tcPr>
            <w:tcW w:w="709" w:type="dxa"/>
            <w:tcBorders>
              <w:top w:val="single" w:sz="4" w:space="0" w:color="auto"/>
              <w:left w:val="single" w:sz="4" w:space="0" w:color="auto"/>
              <w:bottom w:val="single" w:sz="4" w:space="0" w:color="auto"/>
              <w:right w:val="single" w:sz="4" w:space="0" w:color="auto"/>
            </w:tcBorders>
            <w:vAlign w:val="center"/>
          </w:tcPr>
          <w:p w14:paraId="6D3CFB63" w14:textId="77777777" w:rsidR="00EF4A2D" w:rsidRPr="00EF4A2D" w:rsidRDefault="00EF4A2D" w:rsidP="00EF4A2D">
            <w:pPr>
              <w:contextualSpacing/>
              <w:jc w:val="center"/>
              <w:rPr>
                <w:rFonts w:eastAsia="Calibri"/>
                <w:b/>
                <w:sz w:val="14"/>
                <w:szCs w:val="14"/>
                <w:lang w:eastAsia="en-US"/>
              </w:rPr>
            </w:pPr>
            <w:r w:rsidRPr="00EF4A2D">
              <w:rPr>
                <w:rFonts w:eastAsia="Calibri"/>
                <w:b/>
                <w:sz w:val="14"/>
                <w:szCs w:val="14"/>
                <w:lang w:eastAsia="en-US"/>
              </w:rPr>
              <w:t>Valor</w:t>
            </w:r>
          </w:p>
        </w:tc>
        <w:tc>
          <w:tcPr>
            <w:tcW w:w="709" w:type="dxa"/>
            <w:tcBorders>
              <w:top w:val="single" w:sz="4" w:space="0" w:color="auto"/>
              <w:left w:val="single" w:sz="4" w:space="0" w:color="auto"/>
              <w:bottom w:val="single" w:sz="4" w:space="0" w:color="auto"/>
              <w:right w:val="single" w:sz="4" w:space="0" w:color="auto"/>
            </w:tcBorders>
            <w:vAlign w:val="center"/>
          </w:tcPr>
          <w:p w14:paraId="57850025" w14:textId="77777777" w:rsidR="00EF4A2D" w:rsidRPr="00EF4A2D" w:rsidRDefault="00EF4A2D" w:rsidP="00EF4A2D">
            <w:pPr>
              <w:contextualSpacing/>
              <w:jc w:val="center"/>
              <w:rPr>
                <w:rFonts w:eastAsia="Calibri"/>
                <w:b/>
                <w:sz w:val="14"/>
                <w:szCs w:val="14"/>
                <w:lang w:eastAsia="en-US"/>
              </w:rPr>
            </w:pPr>
            <w:r w:rsidRPr="00EF4A2D">
              <w:rPr>
                <w:rFonts w:eastAsia="Calibri"/>
                <w:b/>
                <w:sz w:val="14"/>
                <w:szCs w:val="14"/>
                <w:lang w:eastAsia="en-US"/>
              </w:rPr>
              <w:t>%</w:t>
            </w:r>
          </w:p>
        </w:tc>
        <w:tc>
          <w:tcPr>
            <w:tcW w:w="567" w:type="dxa"/>
            <w:tcBorders>
              <w:top w:val="single" w:sz="4" w:space="0" w:color="auto"/>
              <w:left w:val="single" w:sz="4" w:space="0" w:color="auto"/>
              <w:bottom w:val="single" w:sz="4" w:space="0" w:color="auto"/>
              <w:right w:val="single" w:sz="4" w:space="0" w:color="auto"/>
            </w:tcBorders>
            <w:vAlign w:val="center"/>
          </w:tcPr>
          <w:p w14:paraId="24637CF6" w14:textId="77777777" w:rsidR="00EF4A2D" w:rsidRPr="00EF4A2D" w:rsidRDefault="00EF4A2D" w:rsidP="00EF4A2D">
            <w:pPr>
              <w:contextualSpacing/>
              <w:jc w:val="center"/>
              <w:rPr>
                <w:rFonts w:eastAsia="Calibri"/>
                <w:b/>
                <w:sz w:val="14"/>
                <w:szCs w:val="14"/>
                <w:lang w:eastAsia="en-US"/>
              </w:rPr>
            </w:pPr>
            <w:r w:rsidRPr="00EF4A2D">
              <w:rPr>
                <w:rFonts w:eastAsia="Calibri"/>
                <w:b/>
                <w:sz w:val="14"/>
                <w:szCs w:val="14"/>
                <w:lang w:eastAsia="en-US"/>
              </w:rPr>
              <w:t>Varia</w:t>
            </w:r>
          </w:p>
          <w:p w14:paraId="17BDA3F7" w14:textId="77777777" w:rsidR="00EF4A2D" w:rsidRPr="00EF4A2D" w:rsidRDefault="00EF4A2D" w:rsidP="00EF4A2D">
            <w:pPr>
              <w:contextualSpacing/>
              <w:jc w:val="center"/>
              <w:rPr>
                <w:rFonts w:eastAsia="Calibri"/>
                <w:b/>
                <w:sz w:val="14"/>
                <w:szCs w:val="14"/>
                <w:lang w:eastAsia="en-US"/>
              </w:rPr>
            </w:pPr>
            <w:proofErr w:type="spellStart"/>
            <w:r w:rsidRPr="00EF4A2D">
              <w:rPr>
                <w:rFonts w:eastAsia="Calibri"/>
                <w:b/>
                <w:sz w:val="14"/>
                <w:szCs w:val="14"/>
                <w:lang w:eastAsia="en-US"/>
              </w:rPr>
              <w:t>ción</w:t>
            </w:r>
            <w:proofErr w:type="spellEnd"/>
          </w:p>
          <w:p w14:paraId="6147EFDA" w14:textId="77777777" w:rsidR="00EF4A2D" w:rsidRPr="00EF4A2D" w:rsidRDefault="00EF4A2D" w:rsidP="00EF4A2D">
            <w:pPr>
              <w:contextualSpacing/>
              <w:jc w:val="center"/>
              <w:rPr>
                <w:rFonts w:eastAsia="Calibri"/>
                <w:b/>
                <w:sz w:val="14"/>
                <w:szCs w:val="14"/>
                <w:lang w:eastAsia="en-US"/>
              </w:rPr>
            </w:pPr>
            <w:r w:rsidRPr="00EF4A2D">
              <w:rPr>
                <w:rFonts w:eastAsia="Calibri"/>
                <w:b/>
                <w:sz w:val="14"/>
                <w:szCs w:val="14"/>
                <w:lang w:eastAsia="en-US"/>
              </w:rPr>
              <w:t>% anual</w:t>
            </w:r>
          </w:p>
        </w:tc>
      </w:tr>
      <w:tr w:rsidR="00EF4A2D" w:rsidRPr="00EF4A2D" w14:paraId="14A540C8" w14:textId="77777777" w:rsidTr="00B9606F">
        <w:trPr>
          <w:jc w:val="center"/>
        </w:trPr>
        <w:tc>
          <w:tcPr>
            <w:tcW w:w="709" w:type="dxa"/>
            <w:tcBorders>
              <w:left w:val="single" w:sz="4" w:space="0" w:color="auto"/>
              <w:right w:val="single" w:sz="4" w:space="0" w:color="auto"/>
            </w:tcBorders>
            <w:shd w:val="clear" w:color="auto" w:fill="auto"/>
            <w:vAlign w:val="center"/>
          </w:tcPr>
          <w:p w14:paraId="0EC3CF16" w14:textId="77777777" w:rsidR="00EF4A2D" w:rsidRPr="00EF4A2D" w:rsidRDefault="00EF4A2D" w:rsidP="00EC0263">
            <w:pPr>
              <w:spacing w:before="120" w:after="40"/>
              <w:ind w:right="170"/>
              <w:jc w:val="right"/>
              <w:rPr>
                <w:rFonts w:eastAsia="Calibri"/>
                <w:sz w:val="14"/>
                <w:szCs w:val="14"/>
                <w:lang w:eastAsia="en-US"/>
              </w:rPr>
            </w:pPr>
            <w:r w:rsidRPr="00EF4A2D">
              <w:rPr>
                <w:rFonts w:eastAsia="Calibri"/>
                <w:sz w:val="14"/>
                <w:szCs w:val="14"/>
                <w:lang w:eastAsia="en-US"/>
              </w:rPr>
              <w:t>1</w:t>
            </w:r>
          </w:p>
        </w:tc>
        <w:tc>
          <w:tcPr>
            <w:tcW w:w="1843" w:type="dxa"/>
            <w:tcBorders>
              <w:left w:val="single" w:sz="4" w:space="0" w:color="auto"/>
              <w:right w:val="single" w:sz="4" w:space="0" w:color="auto"/>
            </w:tcBorders>
            <w:shd w:val="clear" w:color="auto" w:fill="auto"/>
            <w:vAlign w:val="center"/>
          </w:tcPr>
          <w:p w14:paraId="08EC2F1A" w14:textId="77777777" w:rsidR="00EF4A2D" w:rsidRPr="00EF4A2D" w:rsidRDefault="00EF4A2D" w:rsidP="00EF4A2D">
            <w:pPr>
              <w:spacing w:before="120" w:after="40"/>
              <w:rPr>
                <w:rFonts w:eastAsia="Calibri"/>
                <w:sz w:val="14"/>
                <w:szCs w:val="14"/>
                <w:lang w:eastAsia="en-US"/>
              </w:rPr>
            </w:pPr>
            <w:r w:rsidRPr="00EF4A2D">
              <w:rPr>
                <w:rFonts w:eastAsia="Calibri"/>
                <w:sz w:val="14"/>
                <w:szCs w:val="14"/>
                <w:lang w:eastAsia="en-US"/>
              </w:rPr>
              <w:t xml:space="preserve">China </w:t>
            </w:r>
          </w:p>
        </w:tc>
        <w:tc>
          <w:tcPr>
            <w:tcW w:w="709" w:type="dxa"/>
            <w:tcBorders>
              <w:left w:val="single" w:sz="4" w:space="0" w:color="auto"/>
              <w:right w:val="single" w:sz="4" w:space="0" w:color="auto"/>
            </w:tcBorders>
            <w:shd w:val="clear" w:color="auto" w:fill="auto"/>
            <w:vAlign w:val="center"/>
          </w:tcPr>
          <w:p w14:paraId="67D79D15" w14:textId="77777777" w:rsidR="00EF4A2D" w:rsidRPr="00EF4A2D" w:rsidRDefault="00EF4A2D" w:rsidP="00EF4A2D">
            <w:pPr>
              <w:spacing w:before="120" w:after="40"/>
              <w:jc w:val="right"/>
              <w:rPr>
                <w:rFonts w:eastAsia="Calibri"/>
                <w:sz w:val="14"/>
                <w:szCs w:val="14"/>
                <w:lang w:eastAsia="en-US"/>
              </w:rPr>
            </w:pPr>
            <w:r w:rsidRPr="00EF4A2D">
              <w:rPr>
                <w:rFonts w:eastAsia="Calibri"/>
                <w:sz w:val="14"/>
                <w:szCs w:val="14"/>
                <w:lang w:eastAsia="en-US"/>
              </w:rPr>
              <w:t>2 343</w:t>
            </w:r>
          </w:p>
        </w:tc>
        <w:tc>
          <w:tcPr>
            <w:tcW w:w="708" w:type="dxa"/>
            <w:tcBorders>
              <w:left w:val="single" w:sz="4" w:space="0" w:color="auto"/>
              <w:right w:val="single" w:sz="4" w:space="0" w:color="auto"/>
            </w:tcBorders>
            <w:shd w:val="clear" w:color="auto" w:fill="auto"/>
            <w:vAlign w:val="center"/>
          </w:tcPr>
          <w:p w14:paraId="55B22803" w14:textId="77777777" w:rsidR="00EF4A2D" w:rsidRPr="00EF4A2D" w:rsidRDefault="00EF4A2D" w:rsidP="00EF4A2D">
            <w:pPr>
              <w:spacing w:before="120" w:after="40"/>
              <w:jc w:val="right"/>
              <w:rPr>
                <w:rFonts w:eastAsia="Calibri"/>
                <w:sz w:val="14"/>
                <w:szCs w:val="14"/>
                <w:lang w:eastAsia="en-US"/>
              </w:rPr>
            </w:pPr>
            <w:r w:rsidRPr="00EF4A2D">
              <w:rPr>
                <w:rFonts w:eastAsia="Calibri"/>
                <w:sz w:val="14"/>
                <w:szCs w:val="14"/>
                <w:lang w:eastAsia="en-US"/>
              </w:rPr>
              <w:t>15.6</w:t>
            </w:r>
          </w:p>
        </w:tc>
        <w:tc>
          <w:tcPr>
            <w:tcW w:w="567" w:type="dxa"/>
            <w:tcBorders>
              <w:left w:val="single" w:sz="4" w:space="0" w:color="auto"/>
              <w:right w:val="single" w:sz="4" w:space="0" w:color="auto"/>
            </w:tcBorders>
            <w:shd w:val="clear" w:color="auto" w:fill="auto"/>
            <w:vAlign w:val="center"/>
          </w:tcPr>
          <w:p w14:paraId="2EB5DED2" w14:textId="77777777" w:rsidR="00EF4A2D" w:rsidRPr="00EF4A2D" w:rsidRDefault="00EF4A2D" w:rsidP="00EF4A2D">
            <w:pPr>
              <w:spacing w:before="120" w:after="40"/>
              <w:jc w:val="right"/>
              <w:rPr>
                <w:rFonts w:eastAsia="Calibri"/>
                <w:sz w:val="14"/>
                <w:szCs w:val="14"/>
                <w:lang w:eastAsia="en-US"/>
              </w:rPr>
            </w:pPr>
            <w:r w:rsidRPr="00EF4A2D">
              <w:rPr>
                <w:rFonts w:eastAsia="Calibri"/>
                <w:sz w:val="14"/>
                <w:szCs w:val="14"/>
                <w:lang w:eastAsia="en-US"/>
              </w:rPr>
              <w:t>6</w:t>
            </w:r>
          </w:p>
        </w:tc>
        <w:tc>
          <w:tcPr>
            <w:tcW w:w="284" w:type="dxa"/>
            <w:tcBorders>
              <w:left w:val="single" w:sz="4" w:space="0" w:color="auto"/>
              <w:right w:val="single" w:sz="4" w:space="0" w:color="auto"/>
            </w:tcBorders>
            <w:vAlign w:val="center"/>
          </w:tcPr>
          <w:p w14:paraId="1231EF11" w14:textId="77777777" w:rsidR="00EF4A2D" w:rsidRPr="00EF4A2D" w:rsidRDefault="00EF4A2D" w:rsidP="00EF4A2D">
            <w:pPr>
              <w:spacing w:before="120" w:after="40"/>
              <w:jc w:val="right"/>
              <w:rPr>
                <w:rFonts w:eastAsia="Calibri"/>
                <w:sz w:val="14"/>
                <w:szCs w:val="14"/>
                <w:lang w:eastAsia="en-US"/>
              </w:rPr>
            </w:pPr>
          </w:p>
        </w:tc>
        <w:tc>
          <w:tcPr>
            <w:tcW w:w="709" w:type="dxa"/>
            <w:tcBorders>
              <w:top w:val="single" w:sz="4" w:space="0" w:color="auto"/>
              <w:left w:val="single" w:sz="4" w:space="0" w:color="auto"/>
              <w:right w:val="single" w:sz="4" w:space="0" w:color="auto"/>
            </w:tcBorders>
            <w:shd w:val="clear" w:color="auto" w:fill="auto"/>
            <w:vAlign w:val="center"/>
          </w:tcPr>
          <w:p w14:paraId="20AD0B50" w14:textId="77777777" w:rsidR="00EF4A2D" w:rsidRPr="00EF4A2D" w:rsidRDefault="00EF4A2D" w:rsidP="00EC0263">
            <w:pPr>
              <w:spacing w:before="120" w:after="40"/>
              <w:ind w:right="170"/>
              <w:jc w:val="right"/>
              <w:rPr>
                <w:rFonts w:eastAsia="Calibri"/>
                <w:sz w:val="14"/>
                <w:szCs w:val="14"/>
                <w:lang w:eastAsia="en-US"/>
              </w:rPr>
            </w:pPr>
            <w:r w:rsidRPr="00EF4A2D">
              <w:rPr>
                <w:rFonts w:eastAsia="Calibri"/>
                <w:sz w:val="14"/>
                <w:szCs w:val="14"/>
                <w:lang w:eastAsia="en-US"/>
              </w:rPr>
              <w:t>1</w:t>
            </w:r>
          </w:p>
        </w:tc>
        <w:tc>
          <w:tcPr>
            <w:tcW w:w="1842" w:type="dxa"/>
            <w:tcBorders>
              <w:top w:val="single" w:sz="4" w:space="0" w:color="auto"/>
              <w:left w:val="single" w:sz="4" w:space="0" w:color="auto"/>
              <w:right w:val="single" w:sz="4" w:space="0" w:color="auto"/>
            </w:tcBorders>
            <w:shd w:val="clear" w:color="auto" w:fill="auto"/>
            <w:vAlign w:val="center"/>
          </w:tcPr>
          <w:p w14:paraId="2997AF04" w14:textId="77777777" w:rsidR="00EF4A2D" w:rsidRPr="00EF4A2D" w:rsidRDefault="00EF4A2D" w:rsidP="00EF4A2D">
            <w:pPr>
              <w:spacing w:before="120" w:after="40"/>
              <w:jc w:val="both"/>
              <w:rPr>
                <w:rFonts w:eastAsia="Calibri"/>
                <w:sz w:val="14"/>
                <w:szCs w:val="14"/>
                <w:lang w:eastAsia="en-US"/>
              </w:rPr>
            </w:pPr>
            <w:r w:rsidRPr="00EF4A2D">
              <w:rPr>
                <w:rFonts w:eastAsia="Calibri"/>
                <w:sz w:val="14"/>
                <w:szCs w:val="14"/>
                <w:lang w:eastAsia="en-US"/>
              </w:rPr>
              <w:t>Estados Unidos de N.</w:t>
            </w:r>
          </w:p>
        </w:tc>
        <w:tc>
          <w:tcPr>
            <w:tcW w:w="709" w:type="dxa"/>
            <w:tcBorders>
              <w:top w:val="single" w:sz="4" w:space="0" w:color="auto"/>
              <w:left w:val="single" w:sz="4" w:space="0" w:color="auto"/>
              <w:right w:val="single" w:sz="4" w:space="0" w:color="auto"/>
            </w:tcBorders>
            <w:shd w:val="clear" w:color="auto" w:fill="auto"/>
            <w:vAlign w:val="center"/>
          </w:tcPr>
          <w:p w14:paraId="3B21F3B6" w14:textId="77777777" w:rsidR="00EF4A2D" w:rsidRPr="00EF4A2D" w:rsidRDefault="00EF4A2D" w:rsidP="00EF4A2D">
            <w:pPr>
              <w:spacing w:before="120" w:after="40"/>
              <w:jc w:val="right"/>
              <w:rPr>
                <w:rFonts w:eastAsia="Calibri"/>
                <w:sz w:val="14"/>
                <w:szCs w:val="14"/>
                <w:lang w:eastAsia="en-US"/>
              </w:rPr>
            </w:pPr>
            <w:r w:rsidRPr="00EF4A2D">
              <w:rPr>
                <w:rFonts w:eastAsia="Calibri"/>
                <w:sz w:val="14"/>
                <w:szCs w:val="14"/>
                <w:lang w:eastAsia="en-US"/>
              </w:rPr>
              <w:t>2 409</w:t>
            </w:r>
          </w:p>
        </w:tc>
        <w:tc>
          <w:tcPr>
            <w:tcW w:w="709" w:type="dxa"/>
            <w:tcBorders>
              <w:top w:val="single" w:sz="4" w:space="0" w:color="auto"/>
              <w:left w:val="single" w:sz="4" w:space="0" w:color="auto"/>
              <w:right w:val="single" w:sz="4" w:space="0" w:color="auto"/>
            </w:tcBorders>
            <w:shd w:val="clear" w:color="auto" w:fill="auto"/>
            <w:vAlign w:val="center"/>
          </w:tcPr>
          <w:p w14:paraId="208F5CFE" w14:textId="77777777" w:rsidR="00EF4A2D" w:rsidRPr="00EF4A2D" w:rsidRDefault="00EF4A2D" w:rsidP="00EF4A2D">
            <w:pPr>
              <w:spacing w:before="120" w:after="40"/>
              <w:jc w:val="right"/>
              <w:rPr>
                <w:rFonts w:eastAsia="Calibri"/>
                <w:sz w:val="14"/>
                <w:szCs w:val="14"/>
                <w:lang w:eastAsia="en-US"/>
              </w:rPr>
            </w:pPr>
            <w:r w:rsidRPr="00EF4A2D">
              <w:rPr>
                <w:rFonts w:eastAsia="Calibri"/>
                <w:sz w:val="14"/>
                <w:szCs w:val="14"/>
                <w:lang w:eastAsia="en-US"/>
              </w:rPr>
              <w:t>15.9</w:t>
            </w:r>
          </w:p>
        </w:tc>
        <w:tc>
          <w:tcPr>
            <w:tcW w:w="567" w:type="dxa"/>
            <w:tcBorders>
              <w:top w:val="single" w:sz="4" w:space="0" w:color="auto"/>
              <w:left w:val="single" w:sz="4" w:space="0" w:color="auto"/>
              <w:right w:val="single" w:sz="4" w:space="0" w:color="auto"/>
            </w:tcBorders>
            <w:shd w:val="clear" w:color="auto" w:fill="auto"/>
            <w:vAlign w:val="center"/>
          </w:tcPr>
          <w:p w14:paraId="36EF47E1" w14:textId="77777777" w:rsidR="00EF4A2D" w:rsidRPr="00EF4A2D" w:rsidRDefault="00EF4A2D" w:rsidP="00EF4A2D">
            <w:pPr>
              <w:spacing w:before="120" w:after="40"/>
              <w:jc w:val="right"/>
              <w:rPr>
                <w:rFonts w:eastAsia="Calibri"/>
                <w:sz w:val="14"/>
                <w:szCs w:val="14"/>
                <w:lang w:eastAsia="en-US"/>
              </w:rPr>
            </w:pPr>
            <w:r w:rsidRPr="00EF4A2D">
              <w:rPr>
                <w:rFonts w:eastAsia="Calibri"/>
                <w:sz w:val="14"/>
                <w:szCs w:val="14"/>
                <w:lang w:eastAsia="en-US"/>
              </w:rPr>
              <w:t>3</w:t>
            </w:r>
          </w:p>
        </w:tc>
      </w:tr>
      <w:tr w:rsidR="00EF4A2D" w:rsidRPr="00EF4A2D" w14:paraId="691BACCC" w14:textId="77777777" w:rsidTr="00B9606F">
        <w:trPr>
          <w:jc w:val="center"/>
        </w:trPr>
        <w:tc>
          <w:tcPr>
            <w:tcW w:w="709" w:type="dxa"/>
            <w:tcBorders>
              <w:left w:val="single" w:sz="4" w:space="0" w:color="auto"/>
              <w:right w:val="single" w:sz="4" w:space="0" w:color="auto"/>
            </w:tcBorders>
            <w:shd w:val="clear" w:color="auto" w:fill="auto"/>
            <w:vAlign w:val="center"/>
          </w:tcPr>
          <w:p w14:paraId="22B2FB6B"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w:t>
            </w:r>
          </w:p>
        </w:tc>
        <w:tc>
          <w:tcPr>
            <w:tcW w:w="1843" w:type="dxa"/>
            <w:tcBorders>
              <w:left w:val="single" w:sz="4" w:space="0" w:color="auto"/>
              <w:right w:val="single" w:sz="4" w:space="0" w:color="auto"/>
            </w:tcBorders>
            <w:shd w:val="clear" w:color="auto" w:fill="auto"/>
            <w:vAlign w:val="center"/>
          </w:tcPr>
          <w:p w14:paraId="47640BA4"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UE (28)Exportaciones extracomunitarias)</w:t>
            </w:r>
          </w:p>
        </w:tc>
        <w:tc>
          <w:tcPr>
            <w:tcW w:w="709" w:type="dxa"/>
            <w:tcBorders>
              <w:left w:val="single" w:sz="4" w:space="0" w:color="auto"/>
              <w:right w:val="single" w:sz="4" w:space="0" w:color="auto"/>
            </w:tcBorders>
            <w:shd w:val="clear" w:color="auto" w:fill="auto"/>
            <w:vAlign w:val="center"/>
          </w:tcPr>
          <w:p w14:paraId="641F6F4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2 266</w:t>
            </w:r>
          </w:p>
        </w:tc>
        <w:tc>
          <w:tcPr>
            <w:tcW w:w="708" w:type="dxa"/>
            <w:tcBorders>
              <w:left w:val="single" w:sz="4" w:space="0" w:color="auto"/>
              <w:right w:val="single" w:sz="4" w:space="0" w:color="auto"/>
            </w:tcBorders>
            <w:shd w:val="clear" w:color="auto" w:fill="auto"/>
            <w:vAlign w:val="center"/>
          </w:tcPr>
          <w:p w14:paraId="24FC51A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15.1</w:t>
            </w:r>
          </w:p>
        </w:tc>
        <w:tc>
          <w:tcPr>
            <w:tcW w:w="567" w:type="dxa"/>
            <w:tcBorders>
              <w:left w:val="single" w:sz="4" w:space="0" w:color="auto"/>
              <w:right w:val="single" w:sz="4" w:space="0" w:color="auto"/>
            </w:tcBorders>
            <w:shd w:val="clear" w:color="auto" w:fill="auto"/>
            <w:vAlign w:val="center"/>
          </w:tcPr>
          <w:p w14:paraId="7ED463B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c>
          <w:tcPr>
            <w:tcW w:w="284" w:type="dxa"/>
            <w:tcBorders>
              <w:left w:val="single" w:sz="4" w:space="0" w:color="auto"/>
              <w:right w:val="single" w:sz="4" w:space="0" w:color="auto"/>
            </w:tcBorders>
            <w:vAlign w:val="center"/>
          </w:tcPr>
          <w:p w14:paraId="3502D965"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495AD73A"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w:t>
            </w:r>
          </w:p>
        </w:tc>
        <w:tc>
          <w:tcPr>
            <w:tcW w:w="1842" w:type="dxa"/>
            <w:tcBorders>
              <w:left w:val="single" w:sz="4" w:space="0" w:color="auto"/>
              <w:right w:val="single" w:sz="4" w:space="0" w:color="auto"/>
            </w:tcBorders>
            <w:shd w:val="clear" w:color="auto" w:fill="auto"/>
            <w:vAlign w:val="center"/>
          </w:tcPr>
          <w:p w14:paraId="3CFF9640"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UE (28)Exportaciones extracomunitarias)</w:t>
            </w:r>
          </w:p>
        </w:tc>
        <w:tc>
          <w:tcPr>
            <w:tcW w:w="709" w:type="dxa"/>
            <w:tcBorders>
              <w:left w:val="single" w:sz="4" w:space="0" w:color="auto"/>
              <w:right w:val="single" w:sz="4" w:space="0" w:color="auto"/>
            </w:tcBorders>
            <w:shd w:val="clear" w:color="auto" w:fill="auto"/>
            <w:vAlign w:val="center"/>
          </w:tcPr>
          <w:p w14:paraId="3433E85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2 233</w:t>
            </w:r>
          </w:p>
        </w:tc>
        <w:tc>
          <w:tcPr>
            <w:tcW w:w="709" w:type="dxa"/>
            <w:tcBorders>
              <w:left w:val="single" w:sz="4" w:space="0" w:color="auto"/>
              <w:right w:val="single" w:sz="4" w:space="0" w:color="auto"/>
            </w:tcBorders>
            <w:shd w:val="clear" w:color="auto" w:fill="auto"/>
            <w:vAlign w:val="center"/>
          </w:tcPr>
          <w:p w14:paraId="466562A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14.8</w:t>
            </w:r>
          </w:p>
        </w:tc>
        <w:tc>
          <w:tcPr>
            <w:tcW w:w="567" w:type="dxa"/>
            <w:tcBorders>
              <w:left w:val="single" w:sz="4" w:space="0" w:color="auto"/>
              <w:right w:val="single" w:sz="4" w:space="0" w:color="auto"/>
            </w:tcBorders>
            <w:shd w:val="clear" w:color="auto" w:fill="auto"/>
            <w:vAlign w:val="center"/>
          </w:tcPr>
          <w:p w14:paraId="3A8706C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w:t>
            </w:r>
          </w:p>
        </w:tc>
      </w:tr>
      <w:tr w:rsidR="00EF4A2D" w:rsidRPr="00EF4A2D" w14:paraId="77EB30D7" w14:textId="77777777" w:rsidTr="00B9606F">
        <w:trPr>
          <w:jc w:val="center"/>
        </w:trPr>
        <w:tc>
          <w:tcPr>
            <w:tcW w:w="709" w:type="dxa"/>
            <w:tcBorders>
              <w:left w:val="single" w:sz="4" w:space="0" w:color="auto"/>
              <w:right w:val="single" w:sz="4" w:space="0" w:color="auto"/>
            </w:tcBorders>
            <w:shd w:val="clear" w:color="auto" w:fill="auto"/>
            <w:vAlign w:val="center"/>
          </w:tcPr>
          <w:p w14:paraId="65C10A43"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3</w:t>
            </w:r>
          </w:p>
        </w:tc>
        <w:tc>
          <w:tcPr>
            <w:tcW w:w="1843" w:type="dxa"/>
            <w:tcBorders>
              <w:left w:val="single" w:sz="4" w:space="0" w:color="auto"/>
              <w:right w:val="single" w:sz="4" w:space="0" w:color="auto"/>
            </w:tcBorders>
            <w:shd w:val="clear" w:color="auto" w:fill="auto"/>
            <w:vAlign w:val="center"/>
          </w:tcPr>
          <w:p w14:paraId="39B3ABB8"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 xml:space="preserve">Estados Unidos de N. </w:t>
            </w:r>
          </w:p>
        </w:tc>
        <w:tc>
          <w:tcPr>
            <w:tcW w:w="709" w:type="dxa"/>
            <w:tcBorders>
              <w:left w:val="single" w:sz="4" w:space="0" w:color="auto"/>
              <w:right w:val="single" w:sz="4" w:space="0" w:color="auto"/>
            </w:tcBorders>
            <w:shd w:val="clear" w:color="auto" w:fill="auto"/>
            <w:vAlign w:val="center"/>
          </w:tcPr>
          <w:p w14:paraId="3CCF8397"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1 623</w:t>
            </w:r>
          </w:p>
        </w:tc>
        <w:tc>
          <w:tcPr>
            <w:tcW w:w="708" w:type="dxa"/>
            <w:tcBorders>
              <w:left w:val="single" w:sz="4" w:space="0" w:color="auto"/>
              <w:right w:val="single" w:sz="4" w:space="0" w:color="auto"/>
            </w:tcBorders>
            <w:shd w:val="clear" w:color="auto" w:fill="auto"/>
            <w:vAlign w:val="center"/>
          </w:tcPr>
          <w:p w14:paraId="7FF8183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10.8</w:t>
            </w:r>
          </w:p>
        </w:tc>
        <w:tc>
          <w:tcPr>
            <w:tcW w:w="567" w:type="dxa"/>
            <w:tcBorders>
              <w:left w:val="single" w:sz="4" w:space="0" w:color="auto"/>
              <w:right w:val="single" w:sz="4" w:space="0" w:color="auto"/>
            </w:tcBorders>
            <w:shd w:val="clear" w:color="auto" w:fill="auto"/>
            <w:vAlign w:val="center"/>
          </w:tcPr>
          <w:p w14:paraId="6BC5C01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w:t>
            </w:r>
          </w:p>
        </w:tc>
        <w:tc>
          <w:tcPr>
            <w:tcW w:w="284" w:type="dxa"/>
            <w:tcBorders>
              <w:left w:val="single" w:sz="4" w:space="0" w:color="auto"/>
              <w:right w:val="single" w:sz="4" w:space="0" w:color="auto"/>
            </w:tcBorders>
            <w:vAlign w:val="center"/>
          </w:tcPr>
          <w:p w14:paraId="1C66D832"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3080C5AA"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3</w:t>
            </w:r>
          </w:p>
        </w:tc>
        <w:tc>
          <w:tcPr>
            <w:tcW w:w="1842" w:type="dxa"/>
            <w:tcBorders>
              <w:left w:val="single" w:sz="4" w:space="0" w:color="auto"/>
              <w:right w:val="single" w:sz="4" w:space="0" w:color="auto"/>
            </w:tcBorders>
            <w:shd w:val="clear" w:color="auto" w:fill="auto"/>
            <w:vAlign w:val="center"/>
          </w:tcPr>
          <w:p w14:paraId="572BD9E2"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China</w:t>
            </w:r>
          </w:p>
        </w:tc>
        <w:tc>
          <w:tcPr>
            <w:tcW w:w="709" w:type="dxa"/>
            <w:tcBorders>
              <w:left w:val="single" w:sz="4" w:space="0" w:color="auto"/>
              <w:right w:val="single" w:sz="4" w:space="0" w:color="auto"/>
            </w:tcBorders>
            <w:shd w:val="clear" w:color="auto" w:fill="auto"/>
            <w:vAlign w:val="center"/>
          </w:tcPr>
          <w:p w14:paraId="485285B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1 960</w:t>
            </w:r>
          </w:p>
        </w:tc>
        <w:tc>
          <w:tcPr>
            <w:tcW w:w="709" w:type="dxa"/>
            <w:tcBorders>
              <w:left w:val="single" w:sz="4" w:space="0" w:color="auto"/>
              <w:right w:val="single" w:sz="4" w:space="0" w:color="auto"/>
            </w:tcBorders>
            <w:shd w:val="clear" w:color="auto" w:fill="auto"/>
            <w:vAlign w:val="center"/>
          </w:tcPr>
          <w:p w14:paraId="20E1D7A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13.0</w:t>
            </w:r>
          </w:p>
        </w:tc>
        <w:tc>
          <w:tcPr>
            <w:tcW w:w="567" w:type="dxa"/>
            <w:tcBorders>
              <w:left w:val="single" w:sz="4" w:space="0" w:color="auto"/>
              <w:right w:val="single" w:sz="4" w:space="0" w:color="auto"/>
            </w:tcBorders>
            <w:shd w:val="clear" w:color="auto" w:fill="auto"/>
            <w:vAlign w:val="center"/>
          </w:tcPr>
          <w:p w14:paraId="131A6D9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r>
      <w:tr w:rsidR="00EF4A2D" w:rsidRPr="00EF4A2D" w14:paraId="19C511D8" w14:textId="77777777" w:rsidTr="00B9606F">
        <w:trPr>
          <w:jc w:val="center"/>
        </w:trPr>
        <w:tc>
          <w:tcPr>
            <w:tcW w:w="709" w:type="dxa"/>
            <w:tcBorders>
              <w:left w:val="single" w:sz="4" w:space="0" w:color="auto"/>
              <w:right w:val="single" w:sz="4" w:space="0" w:color="auto"/>
            </w:tcBorders>
            <w:shd w:val="clear" w:color="auto" w:fill="auto"/>
            <w:vAlign w:val="center"/>
          </w:tcPr>
          <w:p w14:paraId="14BD9308"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4</w:t>
            </w:r>
          </w:p>
        </w:tc>
        <w:tc>
          <w:tcPr>
            <w:tcW w:w="1843" w:type="dxa"/>
            <w:tcBorders>
              <w:left w:val="single" w:sz="4" w:space="0" w:color="auto"/>
              <w:right w:val="single" w:sz="4" w:space="0" w:color="auto"/>
            </w:tcBorders>
            <w:shd w:val="clear" w:color="auto" w:fill="auto"/>
            <w:vAlign w:val="center"/>
          </w:tcPr>
          <w:p w14:paraId="47BE552D"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Japón</w:t>
            </w:r>
          </w:p>
        </w:tc>
        <w:tc>
          <w:tcPr>
            <w:tcW w:w="709" w:type="dxa"/>
            <w:tcBorders>
              <w:left w:val="single" w:sz="4" w:space="0" w:color="auto"/>
              <w:right w:val="single" w:sz="4" w:space="0" w:color="auto"/>
            </w:tcBorders>
            <w:shd w:val="clear" w:color="auto" w:fill="auto"/>
            <w:vAlign w:val="center"/>
          </w:tcPr>
          <w:p w14:paraId="6BD66CD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684</w:t>
            </w:r>
          </w:p>
        </w:tc>
        <w:tc>
          <w:tcPr>
            <w:tcW w:w="708" w:type="dxa"/>
            <w:tcBorders>
              <w:left w:val="single" w:sz="4" w:space="0" w:color="auto"/>
              <w:right w:val="single" w:sz="4" w:space="0" w:color="auto"/>
            </w:tcBorders>
            <w:shd w:val="clear" w:color="auto" w:fill="auto"/>
            <w:vAlign w:val="center"/>
          </w:tcPr>
          <w:p w14:paraId="1C19AD7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4.5</w:t>
            </w:r>
          </w:p>
        </w:tc>
        <w:tc>
          <w:tcPr>
            <w:tcW w:w="567" w:type="dxa"/>
            <w:tcBorders>
              <w:left w:val="single" w:sz="4" w:space="0" w:color="auto"/>
              <w:right w:val="single" w:sz="4" w:space="0" w:color="auto"/>
            </w:tcBorders>
            <w:shd w:val="clear" w:color="auto" w:fill="auto"/>
            <w:vAlign w:val="center"/>
          </w:tcPr>
          <w:p w14:paraId="201FE3A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w:t>
            </w:r>
          </w:p>
        </w:tc>
        <w:tc>
          <w:tcPr>
            <w:tcW w:w="284" w:type="dxa"/>
            <w:tcBorders>
              <w:left w:val="single" w:sz="4" w:space="0" w:color="auto"/>
              <w:right w:val="single" w:sz="4" w:space="0" w:color="auto"/>
            </w:tcBorders>
            <w:vAlign w:val="center"/>
          </w:tcPr>
          <w:p w14:paraId="026E47F5"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5BCB28E4"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4</w:t>
            </w:r>
          </w:p>
        </w:tc>
        <w:tc>
          <w:tcPr>
            <w:tcW w:w="1842" w:type="dxa"/>
            <w:tcBorders>
              <w:left w:val="single" w:sz="4" w:space="0" w:color="auto"/>
              <w:right w:val="single" w:sz="4" w:space="0" w:color="auto"/>
            </w:tcBorders>
            <w:shd w:val="clear" w:color="auto" w:fill="auto"/>
            <w:vAlign w:val="center"/>
          </w:tcPr>
          <w:p w14:paraId="1BEC9716"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Japón</w:t>
            </w:r>
          </w:p>
        </w:tc>
        <w:tc>
          <w:tcPr>
            <w:tcW w:w="709" w:type="dxa"/>
            <w:tcBorders>
              <w:left w:val="single" w:sz="4" w:space="0" w:color="auto"/>
              <w:right w:val="single" w:sz="4" w:space="0" w:color="auto"/>
            </w:tcBorders>
            <w:shd w:val="clear" w:color="auto" w:fill="auto"/>
            <w:vAlign w:val="center"/>
          </w:tcPr>
          <w:p w14:paraId="5E6CF2D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822</w:t>
            </w:r>
          </w:p>
        </w:tc>
        <w:tc>
          <w:tcPr>
            <w:tcW w:w="709" w:type="dxa"/>
            <w:tcBorders>
              <w:left w:val="single" w:sz="4" w:space="0" w:color="auto"/>
              <w:right w:val="single" w:sz="4" w:space="0" w:color="auto"/>
            </w:tcBorders>
            <w:shd w:val="clear" w:color="auto" w:fill="auto"/>
            <w:vAlign w:val="center"/>
          </w:tcPr>
          <w:p w14:paraId="14AC353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5.4</w:t>
            </w:r>
          </w:p>
        </w:tc>
        <w:tc>
          <w:tcPr>
            <w:tcW w:w="567" w:type="dxa"/>
            <w:tcBorders>
              <w:left w:val="single" w:sz="4" w:space="0" w:color="auto"/>
              <w:right w:val="single" w:sz="4" w:space="0" w:color="auto"/>
            </w:tcBorders>
            <w:shd w:val="clear" w:color="auto" w:fill="auto"/>
            <w:vAlign w:val="center"/>
          </w:tcPr>
          <w:p w14:paraId="2D831B8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r>
      <w:tr w:rsidR="00EF4A2D" w:rsidRPr="00EF4A2D" w14:paraId="0F33ED18" w14:textId="77777777" w:rsidTr="00B9606F">
        <w:trPr>
          <w:jc w:val="center"/>
        </w:trPr>
        <w:tc>
          <w:tcPr>
            <w:tcW w:w="709" w:type="dxa"/>
            <w:tcBorders>
              <w:left w:val="single" w:sz="4" w:space="0" w:color="auto"/>
              <w:right w:val="single" w:sz="4" w:space="0" w:color="auto"/>
            </w:tcBorders>
            <w:shd w:val="clear" w:color="auto" w:fill="auto"/>
            <w:vAlign w:val="center"/>
          </w:tcPr>
          <w:p w14:paraId="384A5D97"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5</w:t>
            </w:r>
          </w:p>
        </w:tc>
        <w:tc>
          <w:tcPr>
            <w:tcW w:w="1843" w:type="dxa"/>
            <w:tcBorders>
              <w:left w:val="single" w:sz="4" w:space="0" w:color="auto"/>
              <w:right w:val="single" w:sz="4" w:space="0" w:color="auto"/>
            </w:tcBorders>
            <w:shd w:val="clear" w:color="auto" w:fill="auto"/>
            <w:vAlign w:val="center"/>
          </w:tcPr>
          <w:p w14:paraId="17F546B2"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Corea, República de</w:t>
            </w:r>
          </w:p>
        </w:tc>
        <w:tc>
          <w:tcPr>
            <w:tcW w:w="709" w:type="dxa"/>
            <w:tcBorders>
              <w:left w:val="single" w:sz="4" w:space="0" w:color="auto"/>
              <w:right w:val="single" w:sz="4" w:space="0" w:color="auto"/>
            </w:tcBorders>
            <w:shd w:val="clear" w:color="auto" w:fill="auto"/>
            <w:vAlign w:val="center"/>
          </w:tcPr>
          <w:p w14:paraId="37A5D02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573</w:t>
            </w:r>
          </w:p>
        </w:tc>
        <w:tc>
          <w:tcPr>
            <w:tcW w:w="708" w:type="dxa"/>
            <w:tcBorders>
              <w:left w:val="single" w:sz="4" w:space="0" w:color="auto"/>
              <w:right w:val="single" w:sz="4" w:space="0" w:color="auto"/>
            </w:tcBorders>
            <w:shd w:val="clear" w:color="auto" w:fill="auto"/>
            <w:vAlign w:val="center"/>
          </w:tcPr>
          <w:p w14:paraId="6F2FA94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3.8</w:t>
            </w:r>
          </w:p>
        </w:tc>
        <w:tc>
          <w:tcPr>
            <w:tcW w:w="567" w:type="dxa"/>
            <w:tcBorders>
              <w:left w:val="single" w:sz="4" w:space="0" w:color="auto"/>
              <w:right w:val="single" w:sz="4" w:space="0" w:color="auto"/>
            </w:tcBorders>
            <w:shd w:val="clear" w:color="auto" w:fill="auto"/>
            <w:vAlign w:val="center"/>
          </w:tcPr>
          <w:p w14:paraId="127D263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c>
          <w:tcPr>
            <w:tcW w:w="284" w:type="dxa"/>
            <w:tcBorders>
              <w:left w:val="single" w:sz="4" w:space="0" w:color="auto"/>
              <w:right w:val="single" w:sz="4" w:space="0" w:color="auto"/>
            </w:tcBorders>
            <w:vAlign w:val="center"/>
          </w:tcPr>
          <w:p w14:paraId="662ED7C7"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2E18CD0E"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5</w:t>
            </w:r>
          </w:p>
        </w:tc>
        <w:tc>
          <w:tcPr>
            <w:tcW w:w="1842" w:type="dxa"/>
            <w:tcBorders>
              <w:left w:val="single" w:sz="4" w:space="0" w:color="auto"/>
              <w:right w:val="single" w:sz="4" w:space="0" w:color="auto"/>
            </w:tcBorders>
            <w:shd w:val="clear" w:color="auto" w:fill="auto"/>
            <w:vAlign w:val="center"/>
          </w:tcPr>
          <w:p w14:paraId="087F4ACF"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Hong Kong, China</w:t>
            </w:r>
          </w:p>
        </w:tc>
        <w:tc>
          <w:tcPr>
            <w:tcW w:w="709" w:type="dxa"/>
            <w:tcBorders>
              <w:left w:val="single" w:sz="4" w:space="0" w:color="auto"/>
              <w:right w:val="single" w:sz="4" w:space="0" w:color="auto"/>
            </w:tcBorders>
            <w:shd w:val="clear" w:color="auto" w:fill="auto"/>
            <w:vAlign w:val="center"/>
          </w:tcPr>
          <w:p w14:paraId="1665ADE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601</w:t>
            </w:r>
          </w:p>
        </w:tc>
        <w:tc>
          <w:tcPr>
            <w:tcW w:w="709" w:type="dxa"/>
            <w:tcBorders>
              <w:left w:val="single" w:sz="4" w:space="0" w:color="auto"/>
              <w:right w:val="single" w:sz="4" w:space="0" w:color="auto"/>
            </w:tcBorders>
            <w:shd w:val="clear" w:color="auto" w:fill="auto"/>
            <w:vAlign w:val="center"/>
          </w:tcPr>
          <w:p w14:paraId="55CE6F4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4.0</w:t>
            </w:r>
          </w:p>
        </w:tc>
        <w:tc>
          <w:tcPr>
            <w:tcW w:w="567" w:type="dxa"/>
            <w:tcBorders>
              <w:left w:val="single" w:sz="4" w:space="0" w:color="auto"/>
              <w:right w:val="single" w:sz="4" w:space="0" w:color="auto"/>
            </w:tcBorders>
            <w:shd w:val="clear" w:color="auto" w:fill="auto"/>
            <w:vAlign w:val="center"/>
          </w:tcPr>
          <w:p w14:paraId="6B90059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w:t>
            </w:r>
          </w:p>
        </w:tc>
      </w:tr>
      <w:tr w:rsidR="00EF4A2D" w:rsidRPr="00EF4A2D" w14:paraId="5E5B2FA5" w14:textId="77777777" w:rsidTr="00B9606F">
        <w:trPr>
          <w:jc w:val="center"/>
        </w:trPr>
        <w:tc>
          <w:tcPr>
            <w:tcW w:w="709" w:type="dxa"/>
            <w:tcBorders>
              <w:left w:val="single" w:sz="4" w:space="0" w:color="auto"/>
              <w:right w:val="single" w:sz="4" w:space="0" w:color="auto"/>
            </w:tcBorders>
            <w:shd w:val="clear" w:color="auto" w:fill="auto"/>
            <w:vAlign w:val="center"/>
          </w:tcPr>
          <w:p w14:paraId="561B66D8" w14:textId="77777777" w:rsidR="00EF4A2D" w:rsidRPr="00EF4A2D" w:rsidRDefault="00EF4A2D" w:rsidP="00EC0263">
            <w:pPr>
              <w:spacing w:before="40" w:after="40"/>
              <w:ind w:right="170"/>
              <w:jc w:val="right"/>
              <w:rPr>
                <w:rFonts w:eastAsia="Calibri"/>
                <w:sz w:val="14"/>
                <w:szCs w:val="14"/>
                <w:lang w:eastAsia="en-US"/>
              </w:rPr>
            </w:pPr>
          </w:p>
        </w:tc>
        <w:tc>
          <w:tcPr>
            <w:tcW w:w="1843" w:type="dxa"/>
            <w:tcBorders>
              <w:left w:val="single" w:sz="4" w:space="0" w:color="auto"/>
              <w:right w:val="single" w:sz="4" w:space="0" w:color="auto"/>
            </w:tcBorders>
            <w:shd w:val="clear" w:color="auto" w:fill="auto"/>
            <w:vAlign w:val="center"/>
          </w:tcPr>
          <w:p w14:paraId="74453DFD" w14:textId="77777777" w:rsidR="00EF4A2D" w:rsidRPr="00EF4A2D" w:rsidRDefault="00EF4A2D" w:rsidP="00EF4A2D">
            <w:pPr>
              <w:spacing w:before="40" w:after="40"/>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1F6804BB" w14:textId="77777777" w:rsidR="00EF4A2D" w:rsidRPr="00EF4A2D" w:rsidRDefault="00EF4A2D" w:rsidP="00EF4A2D">
            <w:pPr>
              <w:spacing w:before="40" w:after="40"/>
              <w:jc w:val="right"/>
              <w:rPr>
                <w:rFonts w:eastAsia="Calibri"/>
                <w:sz w:val="14"/>
                <w:szCs w:val="14"/>
                <w:lang w:eastAsia="en-US"/>
              </w:rPr>
            </w:pPr>
          </w:p>
        </w:tc>
        <w:tc>
          <w:tcPr>
            <w:tcW w:w="708" w:type="dxa"/>
            <w:tcBorders>
              <w:left w:val="single" w:sz="4" w:space="0" w:color="auto"/>
              <w:right w:val="single" w:sz="4" w:space="0" w:color="auto"/>
            </w:tcBorders>
            <w:shd w:val="clear" w:color="auto" w:fill="auto"/>
            <w:vAlign w:val="center"/>
          </w:tcPr>
          <w:p w14:paraId="748A2A1C" w14:textId="77777777" w:rsidR="00EF4A2D" w:rsidRPr="00EF4A2D" w:rsidRDefault="00EF4A2D" w:rsidP="00EF4A2D">
            <w:pPr>
              <w:spacing w:before="40" w:after="40"/>
              <w:jc w:val="right"/>
              <w:rPr>
                <w:rFonts w:eastAsia="Calibri"/>
                <w:sz w:val="14"/>
                <w:szCs w:val="14"/>
                <w:lang w:eastAsia="en-US"/>
              </w:rPr>
            </w:pPr>
          </w:p>
        </w:tc>
        <w:tc>
          <w:tcPr>
            <w:tcW w:w="567" w:type="dxa"/>
            <w:tcBorders>
              <w:left w:val="single" w:sz="4" w:space="0" w:color="auto"/>
              <w:right w:val="single" w:sz="4" w:space="0" w:color="auto"/>
            </w:tcBorders>
            <w:shd w:val="clear" w:color="auto" w:fill="auto"/>
            <w:vAlign w:val="center"/>
          </w:tcPr>
          <w:p w14:paraId="737E6C81" w14:textId="77777777" w:rsidR="00EF4A2D" w:rsidRPr="00EF4A2D" w:rsidRDefault="00EF4A2D" w:rsidP="00EF4A2D">
            <w:pPr>
              <w:spacing w:before="40" w:after="40"/>
              <w:jc w:val="right"/>
              <w:rPr>
                <w:rFonts w:eastAsia="Calibri"/>
                <w:sz w:val="14"/>
                <w:szCs w:val="14"/>
                <w:lang w:eastAsia="en-US"/>
              </w:rPr>
            </w:pPr>
          </w:p>
        </w:tc>
        <w:tc>
          <w:tcPr>
            <w:tcW w:w="284" w:type="dxa"/>
            <w:tcBorders>
              <w:left w:val="single" w:sz="4" w:space="0" w:color="auto"/>
              <w:right w:val="single" w:sz="4" w:space="0" w:color="auto"/>
            </w:tcBorders>
            <w:vAlign w:val="center"/>
          </w:tcPr>
          <w:p w14:paraId="54158646"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58CD1D8B" w14:textId="77777777" w:rsidR="00EF4A2D" w:rsidRPr="00EF4A2D" w:rsidRDefault="00EF4A2D" w:rsidP="00EC0263">
            <w:pPr>
              <w:spacing w:before="40" w:after="40"/>
              <w:ind w:right="170"/>
              <w:jc w:val="right"/>
              <w:rPr>
                <w:rFonts w:eastAsia="Calibri"/>
                <w:sz w:val="14"/>
                <w:szCs w:val="14"/>
                <w:lang w:eastAsia="en-US"/>
              </w:rPr>
            </w:pPr>
          </w:p>
        </w:tc>
        <w:tc>
          <w:tcPr>
            <w:tcW w:w="1842" w:type="dxa"/>
            <w:tcBorders>
              <w:left w:val="single" w:sz="4" w:space="0" w:color="auto"/>
              <w:right w:val="single" w:sz="4" w:space="0" w:color="auto"/>
            </w:tcBorders>
            <w:shd w:val="clear" w:color="auto" w:fill="auto"/>
            <w:vAlign w:val="center"/>
          </w:tcPr>
          <w:p w14:paraId="4FF34FD6"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-Importaciones definitivas</w:t>
            </w:r>
          </w:p>
        </w:tc>
        <w:tc>
          <w:tcPr>
            <w:tcW w:w="709" w:type="dxa"/>
            <w:tcBorders>
              <w:left w:val="single" w:sz="4" w:space="0" w:color="auto"/>
              <w:right w:val="single" w:sz="4" w:space="0" w:color="auto"/>
            </w:tcBorders>
            <w:shd w:val="clear" w:color="auto" w:fill="auto"/>
            <w:vAlign w:val="center"/>
          </w:tcPr>
          <w:p w14:paraId="444AA5A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151</w:t>
            </w:r>
          </w:p>
        </w:tc>
        <w:tc>
          <w:tcPr>
            <w:tcW w:w="709" w:type="dxa"/>
            <w:tcBorders>
              <w:left w:val="single" w:sz="4" w:space="0" w:color="auto"/>
              <w:right w:val="single" w:sz="4" w:space="0" w:color="auto"/>
            </w:tcBorders>
            <w:shd w:val="clear" w:color="auto" w:fill="auto"/>
            <w:vAlign w:val="center"/>
          </w:tcPr>
          <w:p w14:paraId="7EC0BFA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1.0</w:t>
            </w:r>
          </w:p>
        </w:tc>
        <w:tc>
          <w:tcPr>
            <w:tcW w:w="567" w:type="dxa"/>
            <w:tcBorders>
              <w:left w:val="single" w:sz="4" w:space="0" w:color="auto"/>
              <w:right w:val="single" w:sz="4" w:space="0" w:color="auto"/>
            </w:tcBorders>
            <w:shd w:val="clear" w:color="auto" w:fill="auto"/>
            <w:vAlign w:val="center"/>
          </w:tcPr>
          <w:p w14:paraId="4384F29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w:t>
            </w:r>
          </w:p>
        </w:tc>
      </w:tr>
      <w:tr w:rsidR="00EF4A2D" w:rsidRPr="00EF4A2D" w14:paraId="0667D73F" w14:textId="77777777" w:rsidTr="00B9606F">
        <w:trPr>
          <w:jc w:val="center"/>
        </w:trPr>
        <w:tc>
          <w:tcPr>
            <w:tcW w:w="709" w:type="dxa"/>
            <w:tcBorders>
              <w:left w:val="single" w:sz="4" w:space="0" w:color="auto"/>
              <w:right w:val="single" w:sz="4" w:space="0" w:color="auto"/>
            </w:tcBorders>
            <w:shd w:val="clear" w:color="auto" w:fill="auto"/>
            <w:vAlign w:val="center"/>
          </w:tcPr>
          <w:p w14:paraId="6B3FADE5"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6</w:t>
            </w:r>
          </w:p>
        </w:tc>
        <w:tc>
          <w:tcPr>
            <w:tcW w:w="1843" w:type="dxa"/>
            <w:tcBorders>
              <w:left w:val="single" w:sz="4" w:space="0" w:color="auto"/>
              <w:right w:val="single" w:sz="4" w:space="0" w:color="auto"/>
            </w:tcBorders>
            <w:shd w:val="clear" w:color="auto" w:fill="auto"/>
            <w:vAlign w:val="center"/>
          </w:tcPr>
          <w:p w14:paraId="04FF2C0C"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Hong Kong, China</w:t>
            </w:r>
          </w:p>
        </w:tc>
        <w:tc>
          <w:tcPr>
            <w:tcW w:w="709" w:type="dxa"/>
            <w:tcBorders>
              <w:left w:val="single" w:sz="4" w:space="0" w:color="auto"/>
              <w:right w:val="single" w:sz="4" w:space="0" w:color="auto"/>
            </w:tcBorders>
            <w:shd w:val="clear" w:color="auto" w:fill="auto"/>
            <w:vAlign w:val="center"/>
          </w:tcPr>
          <w:p w14:paraId="4C49739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524</w:t>
            </w:r>
          </w:p>
        </w:tc>
        <w:tc>
          <w:tcPr>
            <w:tcW w:w="708" w:type="dxa"/>
            <w:tcBorders>
              <w:left w:val="single" w:sz="4" w:space="0" w:color="auto"/>
              <w:right w:val="single" w:sz="4" w:space="0" w:color="auto"/>
            </w:tcBorders>
            <w:shd w:val="clear" w:color="auto" w:fill="auto"/>
            <w:vAlign w:val="center"/>
          </w:tcPr>
          <w:p w14:paraId="38E460A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3.5</w:t>
            </w:r>
          </w:p>
        </w:tc>
        <w:tc>
          <w:tcPr>
            <w:tcW w:w="567" w:type="dxa"/>
            <w:tcBorders>
              <w:left w:val="single" w:sz="4" w:space="0" w:color="auto"/>
              <w:right w:val="single" w:sz="4" w:space="0" w:color="auto"/>
            </w:tcBorders>
            <w:shd w:val="clear" w:color="auto" w:fill="auto"/>
            <w:vAlign w:val="center"/>
          </w:tcPr>
          <w:p w14:paraId="2C5C45E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c>
          <w:tcPr>
            <w:tcW w:w="284" w:type="dxa"/>
            <w:tcBorders>
              <w:left w:val="single" w:sz="4" w:space="0" w:color="auto"/>
              <w:right w:val="single" w:sz="4" w:space="0" w:color="auto"/>
            </w:tcBorders>
            <w:vAlign w:val="center"/>
          </w:tcPr>
          <w:p w14:paraId="6AF36079"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15C8F7D2"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6</w:t>
            </w:r>
          </w:p>
        </w:tc>
        <w:tc>
          <w:tcPr>
            <w:tcW w:w="1842" w:type="dxa"/>
            <w:tcBorders>
              <w:left w:val="single" w:sz="4" w:space="0" w:color="auto"/>
              <w:right w:val="single" w:sz="4" w:space="0" w:color="auto"/>
            </w:tcBorders>
            <w:shd w:val="clear" w:color="auto" w:fill="auto"/>
            <w:vAlign w:val="center"/>
          </w:tcPr>
          <w:p w14:paraId="59D8027D"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Corea, República de</w:t>
            </w:r>
          </w:p>
        </w:tc>
        <w:tc>
          <w:tcPr>
            <w:tcW w:w="709" w:type="dxa"/>
            <w:tcBorders>
              <w:left w:val="single" w:sz="4" w:space="0" w:color="auto"/>
              <w:right w:val="single" w:sz="4" w:space="0" w:color="auto"/>
            </w:tcBorders>
            <w:shd w:val="clear" w:color="auto" w:fill="auto"/>
            <w:vAlign w:val="center"/>
          </w:tcPr>
          <w:p w14:paraId="4EE44F0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526</w:t>
            </w:r>
          </w:p>
        </w:tc>
        <w:tc>
          <w:tcPr>
            <w:tcW w:w="709" w:type="dxa"/>
            <w:tcBorders>
              <w:left w:val="single" w:sz="4" w:space="0" w:color="auto"/>
              <w:right w:val="single" w:sz="4" w:space="0" w:color="auto"/>
            </w:tcBorders>
            <w:shd w:val="clear" w:color="auto" w:fill="auto"/>
            <w:vAlign w:val="center"/>
          </w:tcPr>
          <w:p w14:paraId="27B87C5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3.5</w:t>
            </w:r>
          </w:p>
        </w:tc>
        <w:tc>
          <w:tcPr>
            <w:tcW w:w="567" w:type="dxa"/>
            <w:tcBorders>
              <w:left w:val="single" w:sz="4" w:space="0" w:color="auto"/>
              <w:right w:val="single" w:sz="4" w:space="0" w:color="auto"/>
            </w:tcBorders>
            <w:shd w:val="clear" w:color="auto" w:fill="auto"/>
            <w:vAlign w:val="center"/>
          </w:tcPr>
          <w:p w14:paraId="6B85C87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r>
      <w:tr w:rsidR="00EF4A2D" w:rsidRPr="00EF4A2D" w14:paraId="6AD8F632" w14:textId="77777777" w:rsidTr="00B9606F">
        <w:trPr>
          <w:jc w:val="center"/>
        </w:trPr>
        <w:tc>
          <w:tcPr>
            <w:tcW w:w="709" w:type="dxa"/>
            <w:tcBorders>
              <w:left w:val="single" w:sz="4" w:space="0" w:color="auto"/>
              <w:right w:val="single" w:sz="4" w:space="0" w:color="auto"/>
            </w:tcBorders>
            <w:shd w:val="clear" w:color="auto" w:fill="auto"/>
            <w:vAlign w:val="center"/>
          </w:tcPr>
          <w:p w14:paraId="58B93BEA" w14:textId="77777777" w:rsidR="00EF4A2D" w:rsidRPr="00EF4A2D" w:rsidRDefault="00EF4A2D" w:rsidP="00EC0263">
            <w:pPr>
              <w:spacing w:before="40" w:after="40"/>
              <w:ind w:right="170"/>
              <w:jc w:val="right"/>
              <w:rPr>
                <w:rFonts w:eastAsia="Calibri"/>
                <w:sz w:val="14"/>
                <w:szCs w:val="14"/>
                <w:lang w:eastAsia="en-US"/>
              </w:rPr>
            </w:pPr>
          </w:p>
        </w:tc>
        <w:tc>
          <w:tcPr>
            <w:tcW w:w="1843" w:type="dxa"/>
            <w:tcBorders>
              <w:left w:val="single" w:sz="4" w:space="0" w:color="auto"/>
              <w:right w:val="single" w:sz="4" w:space="0" w:color="auto"/>
            </w:tcBorders>
            <w:shd w:val="clear" w:color="auto" w:fill="auto"/>
            <w:vAlign w:val="center"/>
          </w:tcPr>
          <w:p w14:paraId="553C6A68"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-exportaciones nacionales</w:t>
            </w:r>
          </w:p>
        </w:tc>
        <w:tc>
          <w:tcPr>
            <w:tcW w:w="709" w:type="dxa"/>
            <w:tcBorders>
              <w:left w:val="single" w:sz="4" w:space="0" w:color="auto"/>
              <w:right w:val="single" w:sz="4" w:space="0" w:color="auto"/>
            </w:tcBorders>
            <w:shd w:val="clear" w:color="auto" w:fill="auto"/>
            <w:vAlign w:val="center"/>
          </w:tcPr>
          <w:p w14:paraId="09CAEEE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16</w:t>
            </w:r>
          </w:p>
        </w:tc>
        <w:tc>
          <w:tcPr>
            <w:tcW w:w="708" w:type="dxa"/>
            <w:tcBorders>
              <w:left w:val="single" w:sz="4" w:space="0" w:color="auto"/>
              <w:right w:val="single" w:sz="4" w:space="0" w:color="auto"/>
            </w:tcBorders>
            <w:shd w:val="clear" w:color="auto" w:fill="auto"/>
            <w:vAlign w:val="center"/>
          </w:tcPr>
          <w:p w14:paraId="493CB717"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0.1</w:t>
            </w:r>
          </w:p>
        </w:tc>
        <w:tc>
          <w:tcPr>
            <w:tcW w:w="567" w:type="dxa"/>
            <w:tcBorders>
              <w:left w:val="single" w:sz="4" w:space="0" w:color="auto"/>
              <w:right w:val="single" w:sz="4" w:space="0" w:color="auto"/>
            </w:tcBorders>
            <w:shd w:val="clear" w:color="auto" w:fill="auto"/>
            <w:vAlign w:val="center"/>
          </w:tcPr>
          <w:p w14:paraId="3948C1A7"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-20</w:t>
            </w:r>
          </w:p>
        </w:tc>
        <w:tc>
          <w:tcPr>
            <w:tcW w:w="284" w:type="dxa"/>
            <w:tcBorders>
              <w:left w:val="single" w:sz="4" w:space="0" w:color="auto"/>
              <w:right w:val="single" w:sz="4" w:space="0" w:color="auto"/>
            </w:tcBorders>
            <w:vAlign w:val="center"/>
          </w:tcPr>
          <w:p w14:paraId="3739E468"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42FC4139" w14:textId="77777777" w:rsidR="00EF4A2D" w:rsidRPr="00EF4A2D" w:rsidRDefault="00EF4A2D" w:rsidP="00EC0263">
            <w:pPr>
              <w:spacing w:before="40" w:after="40"/>
              <w:ind w:right="170"/>
              <w:jc w:val="right"/>
              <w:rPr>
                <w:rFonts w:eastAsia="Calibri"/>
                <w:sz w:val="14"/>
                <w:szCs w:val="14"/>
                <w:lang w:eastAsia="en-US"/>
              </w:rPr>
            </w:pPr>
          </w:p>
        </w:tc>
        <w:tc>
          <w:tcPr>
            <w:tcW w:w="1842" w:type="dxa"/>
            <w:tcBorders>
              <w:left w:val="single" w:sz="4" w:space="0" w:color="auto"/>
              <w:right w:val="single" w:sz="4" w:space="0" w:color="auto"/>
            </w:tcBorders>
            <w:shd w:val="clear" w:color="auto" w:fill="auto"/>
            <w:vAlign w:val="center"/>
          </w:tcPr>
          <w:p w14:paraId="625F0092" w14:textId="77777777" w:rsidR="00EF4A2D" w:rsidRPr="00EF4A2D" w:rsidRDefault="00EF4A2D" w:rsidP="00EF4A2D">
            <w:pPr>
              <w:spacing w:before="40" w:after="40"/>
              <w:jc w:val="both"/>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71A5CB36"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0071BF39" w14:textId="77777777" w:rsidR="00EF4A2D" w:rsidRPr="00EF4A2D" w:rsidRDefault="00EF4A2D" w:rsidP="00EF4A2D">
            <w:pPr>
              <w:spacing w:before="40" w:after="40"/>
              <w:jc w:val="right"/>
              <w:rPr>
                <w:rFonts w:eastAsia="Calibri"/>
                <w:sz w:val="14"/>
                <w:szCs w:val="14"/>
                <w:lang w:eastAsia="en-US"/>
              </w:rPr>
            </w:pPr>
          </w:p>
        </w:tc>
        <w:tc>
          <w:tcPr>
            <w:tcW w:w="567" w:type="dxa"/>
            <w:tcBorders>
              <w:left w:val="single" w:sz="4" w:space="0" w:color="auto"/>
              <w:right w:val="single" w:sz="4" w:space="0" w:color="auto"/>
            </w:tcBorders>
            <w:shd w:val="clear" w:color="auto" w:fill="auto"/>
            <w:vAlign w:val="center"/>
          </w:tcPr>
          <w:p w14:paraId="26C190B3" w14:textId="77777777" w:rsidR="00EF4A2D" w:rsidRPr="00EF4A2D" w:rsidRDefault="00EF4A2D" w:rsidP="00EF4A2D">
            <w:pPr>
              <w:spacing w:before="40" w:after="40"/>
              <w:jc w:val="right"/>
              <w:rPr>
                <w:rFonts w:eastAsia="Calibri"/>
                <w:sz w:val="14"/>
                <w:szCs w:val="14"/>
                <w:lang w:eastAsia="en-US"/>
              </w:rPr>
            </w:pPr>
          </w:p>
        </w:tc>
      </w:tr>
      <w:tr w:rsidR="00EF4A2D" w:rsidRPr="00EF4A2D" w14:paraId="2F510A4D" w14:textId="77777777" w:rsidTr="00B9606F">
        <w:trPr>
          <w:jc w:val="center"/>
        </w:trPr>
        <w:tc>
          <w:tcPr>
            <w:tcW w:w="709" w:type="dxa"/>
            <w:tcBorders>
              <w:left w:val="single" w:sz="4" w:space="0" w:color="auto"/>
              <w:right w:val="single" w:sz="4" w:space="0" w:color="auto"/>
            </w:tcBorders>
            <w:shd w:val="clear" w:color="auto" w:fill="auto"/>
            <w:vAlign w:val="center"/>
          </w:tcPr>
          <w:p w14:paraId="2069D956" w14:textId="77777777" w:rsidR="00EF4A2D" w:rsidRPr="00EF4A2D" w:rsidRDefault="00EF4A2D" w:rsidP="00EC0263">
            <w:pPr>
              <w:spacing w:before="40" w:after="40"/>
              <w:ind w:right="170"/>
              <w:jc w:val="right"/>
              <w:rPr>
                <w:rFonts w:eastAsia="Calibri"/>
                <w:sz w:val="14"/>
                <w:szCs w:val="14"/>
                <w:lang w:eastAsia="en-US"/>
              </w:rPr>
            </w:pPr>
          </w:p>
        </w:tc>
        <w:tc>
          <w:tcPr>
            <w:tcW w:w="1843" w:type="dxa"/>
            <w:tcBorders>
              <w:left w:val="single" w:sz="4" w:space="0" w:color="auto"/>
              <w:right w:val="single" w:sz="4" w:space="0" w:color="auto"/>
            </w:tcBorders>
            <w:shd w:val="clear" w:color="auto" w:fill="auto"/>
            <w:vAlign w:val="center"/>
          </w:tcPr>
          <w:p w14:paraId="17C3692C"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-reexportaciones</w:t>
            </w:r>
          </w:p>
        </w:tc>
        <w:tc>
          <w:tcPr>
            <w:tcW w:w="709" w:type="dxa"/>
            <w:tcBorders>
              <w:left w:val="single" w:sz="4" w:space="0" w:color="auto"/>
              <w:right w:val="single" w:sz="4" w:space="0" w:color="auto"/>
            </w:tcBorders>
            <w:shd w:val="clear" w:color="auto" w:fill="auto"/>
            <w:vAlign w:val="center"/>
          </w:tcPr>
          <w:p w14:paraId="3EA687E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508</w:t>
            </w:r>
          </w:p>
        </w:tc>
        <w:tc>
          <w:tcPr>
            <w:tcW w:w="708" w:type="dxa"/>
            <w:tcBorders>
              <w:left w:val="single" w:sz="4" w:space="0" w:color="auto"/>
              <w:right w:val="single" w:sz="4" w:space="0" w:color="auto"/>
            </w:tcBorders>
            <w:shd w:val="clear" w:color="auto" w:fill="auto"/>
            <w:vAlign w:val="center"/>
          </w:tcPr>
          <w:p w14:paraId="15B8E81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3.4</w:t>
            </w:r>
          </w:p>
        </w:tc>
        <w:tc>
          <w:tcPr>
            <w:tcW w:w="567" w:type="dxa"/>
            <w:tcBorders>
              <w:left w:val="single" w:sz="4" w:space="0" w:color="auto"/>
              <w:right w:val="single" w:sz="4" w:space="0" w:color="auto"/>
            </w:tcBorders>
            <w:shd w:val="clear" w:color="auto" w:fill="auto"/>
            <w:vAlign w:val="center"/>
          </w:tcPr>
          <w:p w14:paraId="71AB6F4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c>
          <w:tcPr>
            <w:tcW w:w="284" w:type="dxa"/>
            <w:tcBorders>
              <w:left w:val="single" w:sz="4" w:space="0" w:color="auto"/>
              <w:right w:val="single" w:sz="4" w:space="0" w:color="auto"/>
            </w:tcBorders>
            <w:vAlign w:val="center"/>
          </w:tcPr>
          <w:p w14:paraId="58D9AD5F"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31DCEB9B" w14:textId="77777777" w:rsidR="00EF4A2D" w:rsidRPr="00EF4A2D" w:rsidRDefault="00EF4A2D" w:rsidP="00EC0263">
            <w:pPr>
              <w:spacing w:before="40" w:after="40"/>
              <w:ind w:right="170"/>
              <w:jc w:val="right"/>
              <w:rPr>
                <w:rFonts w:eastAsia="Calibri"/>
                <w:sz w:val="14"/>
                <w:szCs w:val="14"/>
                <w:lang w:eastAsia="en-US"/>
              </w:rPr>
            </w:pPr>
          </w:p>
        </w:tc>
        <w:tc>
          <w:tcPr>
            <w:tcW w:w="1842" w:type="dxa"/>
            <w:tcBorders>
              <w:left w:val="single" w:sz="4" w:space="0" w:color="auto"/>
              <w:right w:val="single" w:sz="4" w:space="0" w:color="auto"/>
            </w:tcBorders>
            <w:shd w:val="clear" w:color="auto" w:fill="auto"/>
            <w:vAlign w:val="center"/>
          </w:tcPr>
          <w:p w14:paraId="034767D6" w14:textId="77777777" w:rsidR="00EF4A2D" w:rsidRPr="00EF4A2D" w:rsidRDefault="00EF4A2D" w:rsidP="00EF4A2D">
            <w:pPr>
              <w:spacing w:before="40" w:after="40"/>
              <w:jc w:val="both"/>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65673E01"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44C28E39" w14:textId="77777777" w:rsidR="00EF4A2D" w:rsidRPr="00EF4A2D" w:rsidRDefault="00EF4A2D" w:rsidP="00EF4A2D">
            <w:pPr>
              <w:spacing w:before="40" w:after="40"/>
              <w:jc w:val="right"/>
              <w:rPr>
                <w:rFonts w:eastAsia="Calibri"/>
                <w:sz w:val="14"/>
                <w:szCs w:val="14"/>
                <w:lang w:eastAsia="en-US"/>
              </w:rPr>
            </w:pPr>
          </w:p>
        </w:tc>
        <w:tc>
          <w:tcPr>
            <w:tcW w:w="567" w:type="dxa"/>
            <w:tcBorders>
              <w:left w:val="single" w:sz="4" w:space="0" w:color="auto"/>
              <w:right w:val="single" w:sz="4" w:space="0" w:color="auto"/>
            </w:tcBorders>
            <w:shd w:val="clear" w:color="auto" w:fill="auto"/>
            <w:vAlign w:val="center"/>
          </w:tcPr>
          <w:p w14:paraId="76D6F3B9" w14:textId="77777777" w:rsidR="00EF4A2D" w:rsidRPr="00EF4A2D" w:rsidRDefault="00EF4A2D" w:rsidP="00EF4A2D">
            <w:pPr>
              <w:spacing w:before="40" w:after="40"/>
              <w:jc w:val="right"/>
              <w:rPr>
                <w:rFonts w:eastAsia="Calibri"/>
                <w:sz w:val="14"/>
                <w:szCs w:val="14"/>
                <w:lang w:eastAsia="en-US"/>
              </w:rPr>
            </w:pPr>
          </w:p>
        </w:tc>
      </w:tr>
      <w:tr w:rsidR="00EF4A2D" w:rsidRPr="00EF4A2D" w14:paraId="18780280" w14:textId="77777777" w:rsidTr="00B9606F">
        <w:trPr>
          <w:jc w:val="center"/>
        </w:trPr>
        <w:tc>
          <w:tcPr>
            <w:tcW w:w="709" w:type="dxa"/>
            <w:tcBorders>
              <w:left w:val="single" w:sz="4" w:space="0" w:color="auto"/>
              <w:right w:val="single" w:sz="4" w:space="0" w:color="auto"/>
            </w:tcBorders>
            <w:shd w:val="clear" w:color="auto" w:fill="auto"/>
            <w:vAlign w:val="center"/>
          </w:tcPr>
          <w:p w14:paraId="5304FCD2"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7</w:t>
            </w:r>
          </w:p>
        </w:tc>
        <w:tc>
          <w:tcPr>
            <w:tcW w:w="1843" w:type="dxa"/>
            <w:tcBorders>
              <w:left w:val="single" w:sz="4" w:space="0" w:color="auto"/>
              <w:right w:val="single" w:sz="4" w:space="0" w:color="auto"/>
            </w:tcBorders>
            <w:shd w:val="clear" w:color="auto" w:fill="auto"/>
            <w:vAlign w:val="center"/>
          </w:tcPr>
          <w:p w14:paraId="0163DDC2"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Federación de Rusia</w:t>
            </w:r>
          </w:p>
        </w:tc>
        <w:tc>
          <w:tcPr>
            <w:tcW w:w="709" w:type="dxa"/>
            <w:tcBorders>
              <w:left w:val="single" w:sz="4" w:space="0" w:color="auto"/>
              <w:right w:val="single" w:sz="4" w:space="0" w:color="auto"/>
            </w:tcBorders>
            <w:shd w:val="clear" w:color="auto" w:fill="auto"/>
            <w:vAlign w:val="center"/>
          </w:tcPr>
          <w:p w14:paraId="6F3F0A4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497</w:t>
            </w:r>
          </w:p>
        </w:tc>
        <w:tc>
          <w:tcPr>
            <w:tcW w:w="708" w:type="dxa"/>
            <w:tcBorders>
              <w:left w:val="single" w:sz="4" w:space="0" w:color="auto"/>
              <w:right w:val="single" w:sz="4" w:space="0" w:color="auto"/>
            </w:tcBorders>
            <w:shd w:val="clear" w:color="auto" w:fill="auto"/>
            <w:vAlign w:val="center"/>
          </w:tcPr>
          <w:p w14:paraId="607B405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3.3</w:t>
            </w:r>
          </w:p>
        </w:tc>
        <w:tc>
          <w:tcPr>
            <w:tcW w:w="567" w:type="dxa"/>
            <w:tcBorders>
              <w:left w:val="single" w:sz="4" w:space="0" w:color="auto"/>
              <w:right w:val="single" w:sz="4" w:space="0" w:color="auto"/>
            </w:tcBorders>
            <w:shd w:val="clear" w:color="auto" w:fill="auto"/>
            <w:vAlign w:val="center"/>
          </w:tcPr>
          <w:p w14:paraId="735FD4C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c>
          <w:tcPr>
            <w:tcW w:w="284" w:type="dxa"/>
            <w:tcBorders>
              <w:left w:val="single" w:sz="4" w:space="0" w:color="auto"/>
              <w:right w:val="single" w:sz="4" w:space="0" w:color="auto"/>
            </w:tcBorders>
            <w:vAlign w:val="center"/>
          </w:tcPr>
          <w:p w14:paraId="3E7265E1"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45BB3A2F"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7</w:t>
            </w:r>
          </w:p>
        </w:tc>
        <w:tc>
          <w:tcPr>
            <w:tcW w:w="1842" w:type="dxa"/>
            <w:tcBorders>
              <w:left w:val="single" w:sz="4" w:space="0" w:color="auto"/>
              <w:right w:val="single" w:sz="4" w:space="0" w:color="auto"/>
            </w:tcBorders>
            <w:shd w:val="clear" w:color="auto" w:fill="auto"/>
            <w:vAlign w:val="center"/>
          </w:tcPr>
          <w:p w14:paraId="3AB407EC"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 xml:space="preserve">Canadá </w:t>
            </w:r>
            <w:r w:rsidRPr="00EF4A2D">
              <w:rPr>
                <w:rFonts w:eastAsia="Calibri"/>
                <w:sz w:val="14"/>
                <w:szCs w:val="14"/>
                <w:u w:val="single"/>
                <w:vertAlign w:val="superscript"/>
                <w:lang w:eastAsia="en-US"/>
              </w:rPr>
              <w:t>a</w:t>
            </w:r>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27A0C35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475</w:t>
            </w:r>
          </w:p>
        </w:tc>
        <w:tc>
          <w:tcPr>
            <w:tcW w:w="709" w:type="dxa"/>
            <w:tcBorders>
              <w:left w:val="single" w:sz="4" w:space="0" w:color="auto"/>
              <w:right w:val="single" w:sz="4" w:space="0" w:color="auto"/>
            </w:tcBorders>
            <w:shd w:val="clear" w:color="auto" w:fill="auto"/>
            <w:vAlign w:val="center"/>
          </w:tcPr>
          <w:p w14:paraId="5D7211C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3.1</w:t>
            </w:r>
          </w:p>
        </w:tc>
        <w:tc>
          <w:tcPr>
            <w:tcW w:w="567" w:type="dxa"/>
            <w:tcBorders>
              <w:left w:val="single" w:sz="4" w:space="0" w:color="auto"/>
              <w:right w:val="single" w:sz="4" w:space="0" w:color="auto"/>
            </w:tcBorders>
            <w:shd w:val="clear" w:color="auto" w:fill="auto"/>
            <w:vAlign w:val="center"/>
          </w:tcPr>
          <w:p w14:paraId="7C20FC3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w:t>
            </w:r>
          </w:p>
        </w:tc>
      </w:tr>
      <w:tr w:rsidR="00EF4A2D" w:rsidRPr="00EF4A2D" w14:paraId="5259338C" w14:textId="77777777" w:rsidTr="00B9606F">
        <w:trPr>
          <w:jc w:val="center"/>
        </w:trPr>
        <w:tc>
          <w:tcPr>
            <w:tcW w:w="709" w:type="dxa"/>
            <w:tcBorders>
              <w:left w:val="single" w:sz="4" w:space="0" w:color="auto"/>
              <w:right w:val="single" w:sz="4" w:space="0" w:color="auto"/>
            </w:tcBorders>
            <w:shd w:val="clear" w:color="auto" w:fill="auto"/>
            <w:vAlign w:val="center"/>
          </w:tcPr>
          <w:p w14:paraId="4F04B78C"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8</w:t>
            </w:r>
          </w:p>
        </w:tc>
        <w:tc>
          <w:tcPr>
            <w:tcW w:w="1843" w:type="dxa"/>
            <w:tcBorders>
              <w:left w:val="single" w:sz="4" w:space="0" w:color="auto"/>
              <w:right w:val="single" w:sz="4" w:space="0" w:color="auto"/>
            </w:tcBorders>
            <w:shd w:val="clear" w:color="auto" w:fill="auto"/>
            <w:vAlign w:val="center"/>
          </w:tcPr>
          <w:p w14:paraId="030267E7"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Canadá</w:t>
            </w:r>
          </w:p>
        </w:tc>
        <w:tc>
          <w:tcPr>
            <w:tcW w:w="709" w:type="dxa"/>
            <w:tcBorders>
              <w:left w:val="single" w:sz="4" w:space="0" w:color="auto"/>
              <w:right w:val="single" w:sz="4" w:space="0" w:color="auto"/>
            </w:tcBorders>
            <w:shd w:val="clear" w:color="auto" w:fill="auto"/>
            <w:vAlign w:val="center"/>
          </w:tcPr>
          <w:p w14:paraId="0E58CDE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474</w:t>
            </w:r>
          </w:p>
        </w:tc>
        <w:tc>
          <w:tcPr>
            <w:tcW w:w="708" w:type="dxa"/>
            <w:tcBorders>
              <w:left w:val="single" w:sz="4" w:space="0" w:color="auto"/>
              <w:right w:val="single" w:sz="4" w:space="0" w:color="auto"/>
            </w:tcBorders>
            <w:shd w:val="clear" w:color="auto" w:fill="auto"/>
            <w:vAlign w:val="center"/>
          </w:tcPr>
          <w:p w14:paraId="7FE0E21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3.2</w:t>
            </w:r>
          </w:p>
        </w:tc>
        <w:tc>
          <w:tcPr>
            <w:tcW w:w="567" w:type="dxa"/>
            <w:tcBorders>
              <w:left w:val="single" w:sz="4" w:space="0" w:color="auto"/>
              <w:right w:val="single" w:sz="4" w:space="0" w:color="auto"/>
            </w:tcBorders>
            <w:shd w:val="clear" w:color="auto" w:fill="auto"/>
            <w:vAlign w:val="center"/>
          </w:tcPr>
          <w:p w14:paraId="714EEA97"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w:t>
            </w:r>
          </w:p>
        </w:tc>
        <w:tc>
          <w:tcPr>
            <w:tcW w:w="284" w:type="dxa"/>
            <w:tcBorders>
              <w:left w:val="single" w:sz="4" w:space="0" w:color="auto"/>
              <w:right w:val="single" w:sz="4" w:space="0" w:color="auto"/>
            </w:tcBorders>
            <w:vAlign w:val="center"/>
          </w:tcPr>
          <w:p w14:paraId="7B8A9977"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0F2E58C1"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8</w:t>
            </w:r>
          </w:p>
        </w:tc>
        <w:tc>
          <w:tcPr>
            <w:tcW w:w="1842" w:type="dxa"/>
            <w:tcBorders>
              <w:left w:val="single" w:sz="4" w:space="0" w:color="auto"/>
              <w:right w:val="single" w:sz="4" w:space="0" w:color="auto"/>
            </w:tcBorders>
            <w:shd w:val="clear" w:color="auto" w:fill="auto"/>
            <w:vAlign w:val="center"/>
          </w:tcPr>
          <w:p w14:paraId="000F9499"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India</w:t>
            </w:r>
          </w:p>
        </w:tc>
        <w:tc>
          <w:tcPr>
            <w:tcW w:w="709" w:type="dxa"/>
            <w:tcBorders>
              <w:left w:val="single" w:sz="4" w:space="0" w:color="auto"/>
              <w:right w:val="single" w:sz="4" w:space="0" w:color="auto"/>
            </w:tcBorders>
            <w:shd w:val="clear" w:color="auto" w:fill="auto"/>
            <w:vAlign w:val="center"/>
          </w:tcPr>
          <w:p w14:paraId="70C452B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460</w:t>
            </w:r>
          </w:p>
        </w:tc>
        <w:tc>
          <w:tcPr>
            <w:tcW w:w="709" w:type="dxa"/>
            <w:tcBorders>
              <w:left w:val="single" w:sz="4" w:space="0" w:color="auto"/>
              <w:right w:val="single" w:sz="4" w:space="0" w:color="auto"/>
            </w:tcBorders>
            <w:shd w:val="clear" w:color="auto" w:fill="auto"/>
            <w:vAlign w:val="center"/>
          </w:tcPr>
          <w:p w14:paraId="36A581C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3.0</w:t>
            </w:r>
          </w:p>
        </w:tc>
        <w:tc>
          <w:tcPr>
            <w:tcW w:w="567" w:type="dxa"/>
            <w:tcBorders>
              <w:left w:val="single" w:sz="4" w:space="0" w:color="auto"/>
              <w:right w:val="single" w:sz="4" w:space="0" w:color="auto"/>
            </w:tcBorders>
            <w:shd w:val="clear" w:color="auto" w:fill="auto"/>
            <w:vAlign w:val="center"/>
          </w:tcPr>
          <w:p w14:paraId="0671AF2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r>
      <w:tr w:rsidR="00EF4A2D" w:rsidRPr="00EF4A2D" w14:paraId="6EF546BB" w14:textId="77777777" w:rsidTr="00B9606F">
        <w:trPr>
          <w:jc w:val="center"/>
        </w:trPr>
        <w:tc>
          <w:tcPr>
            <w:tcW w:w="709" w:type="dxa"/>
            <w:tcBorders>
              <w:left w:val="single" w:sz="4" w:space="0" w:color="auto"/>
              <w:right w:val="single" w:sz="4" w:space="0" w:color="auto"/>
            </w:tcBorders>
            <w:shd w:val="clear" w:color="auto" w:fill="auto"/>
            <w:vAlign w:val="center"/>
          </w:tcPr>
          <w:p w14:paraId="431B6D88"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9</w:t>
            </w:r>
          </w:p>
        </w:tc>
        <w:tc>
          <w:tcPr>
            <w:tcW w:w="1843" w:type="dxa"/>
            <w:tcBorders>
              <w:left w:val="single" w:sz="4" w:space="0" w:color="auto"/>
              <w:right w:val="single" w:sz="4" w:space="0" w:color="auto"/>
            </w:tcBorders>
            <w:shd w:val="clear" w:color="auto" w:fill="auto"/>
            <w:vAlign w:val="center"/>
          </w:tcPr>
          <w:p w14:paraId="0E45D4EC"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Singapur</w:t>
            </w:r>
          </w:p>
        </w:tc>
        <w:tc>
          <w:tcPr>
            <w:tcW w:w="709" w:type="dxa"/>
            <w:tcBorders>
              <w:left w:val="single" w:sz="4" w:space="0" w:color="auto"/>
              <w:right w:val="single" w:sz="4" w:space="0" w:color="auto"/>
            </w:tcBorders>
            <w:shd w:val="clear" w:color="auto" w:fill="auto"/>
            <w:vAlign w:val="center"/>
          </w:tcPr>
          <w:p w14:paraId="2806256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410</w:t>
            </w:r>
          </w:p>
        </w:tc>
        <w:tc>
          <w:tcPr>
            <w:tcW w:w="708" w:type="dxa"/>
            <w:tcBorders>
              <w:left w:val="single" w:sz="4" w:space="0" w:color="auto"/>
              <w:right w:val="single" w:sz="4" w:space="0" w:color="auto"/>
            </w:tcBorders>
            <w:shd w:val="clear" w:color="auto" w:fill="auto"/>
            <w:vAlign w:val="center"/>
          </w:tcPr>
          <w:p w14:paraId="0ED56E5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2.7</w:t>
            </w:r>
          </w:p>
        </w:tc>
        <w:tc>
          <w:tcPr>
            <w:tcW w:w="567" w:type="dxa"/>
            <w:tcBorders>
              <w:left w:val="single" w:sz="4" w:space="0" w:color="auto"/>
              <w:right w:val="single" w:sz="4" w:space="0" w:color="auto"/>
            </w:tcBorders>
            <w:shd w:val="clear" w:color="auto" w:fill="auto"/>
            <w:vAlign w:val="center"/>
          </w:tcPr>
          <w:p w14:paraId="2CF76AA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w:t>
            </w:r>
          </w:p>
        </w:tc>
        <w:tc>
          <w:tcPr>
            <w:tcW w:w="284" w:type="dxa"/>
            <w:tcBorders>
              <w:left w:val="single" w:sz="4" w:space="0" w:color="auto"/>
              <w:right w:val="single" w:sz="4" w:space="0" w:color="auto"/>
            </w:tcBorders>
            <w:vAlign w:val="center"/>
          </w:tcPr>
          <w:p w14:paraId="2AC38174"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294A117D"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9</w:t>
            </w:r>
          </w:p>
        </w:tc>
        <w:tc>
          <w:tcPr>
            <w:tcW w:w="1842" w:type="dxa"/>
            <w:tcBorders>
              <w:left w:val="single" w:sz="4" w:space="0" w:color="auto"/>
              <w:right w:val="single" w:sz="4" w:space="0" w:color="auto"/>
            </w:tcBorders>
            <w:shd w:val="clear" w:color="auto" w:fill="auto"/>
            <w:vAlign w:val="center"/>
          </w:tcPr>
          <w:p w14:paraId="198DB3CA" w14:textId="77777777" w:rsidR="00EF4A2D" w:rsidRPr="00EF4A2D" w:rsidRDefault="00EF4A2D" w:rsidP="00EF4A2D">
            <w:pPr>
              <w:spacing w:before="40" w:after="40"/>
              <w:jc w:val="both"/>
              <w:rPr>
                <w:rFonts w:eastAsia="Calibri"/>
                <w:b/>
                <w:sz w:val="14"/>
                <w:szCs w:val="14"/>
                <w:lang w:eastAsia="en-US"/>
              </w:rPr>
            </w:pPr>
            <w:r w:rsidRPr="00EF4A2D">
              <w:rPr>
                <w:rFonts w:eastAsia="Calibri"/>
                <w:b/>
                <w:sz w:val="14"/>
                <w:szCs w:val="14"/>
                <w:lang w:eastAsia="en-US"/>
              </w:rPr>
              <w:t>México</w:t>
            </w:r>
          </w:p>
        </w:tc>
        <w:tc>
          <w:tcPr>
            <w:tcW w:w="709" w:type="dxa"/>
            <w:tcBorders>
              <w:left w:val="single" w:sz="4" w:space="0" w:color="auto"/>
              <w:right w:val="single" w:sz="4" w:space="0" w:color="auto"/>
            </w:tcBorders>
            <w:shd w:val="clear" w:color="auto" w:fill="auto"/>
            <w:vAlign w:val="center"/>
          </w:tcPr>
          <w:p w14:paraId="6C371BE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412</w:t>
            </w:r>
          </w:p>
        </w:tc>
        <w:tc>
          <w:tcPr>
            <w:tcW w:w="709" w:type="dxa"/>
            <w:tcBorders>
              <w:left w:val="single" w:sz="4" w:space="0" w:color="auto"/>
              <w:right w:val="single" w:sz="4" w:space="0" w:color="auto"/>
            </w:tcBorders>
            <w:shd w:val="clear" w:color="auto" w:fill="auto"/>
            <w:vAlign w:val="center"/>
          </w:tcPr>
          <w:p w14:paraId="19357C3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2.7</w:t>
            </w:r>
          </w:p>
        </w:tc>
        <w:tc>
          <w:tcPr>
            <w:tcW w:w="567" w:type="dxa"/>
            <w:tcBorders>
              <w:left w:val="single" w:sz="4" w:space="0" w:color="auto"/>
              <w:right w:val="single" w:sz="4" w:space="0" w:color="auto"/>
            </w:tcBorders>
            <w:shd w:val="clear" w:color="auto" w:fill="auto"/>
            <w:vAlign w:val="center"/>
          </w:tcPr>
          <w:p w14:paraId="33EB8FB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r>
      <w:tr w:rsidR="00EF4A2D" w:rsidRPr="00EF4A2D" w14:paraId="13AE1695" w14:textId="77777777" w:rsidTr="00B9606F">
        <w:trPr>
          <w:jc w:val="center"/>
        </w:trPr>
        <w:tc>
          <w:tcPr>
            <w:tcW w:w="709" w:type="dxa"/>
            <w:tcBorders>
              <w:left w:val="single" w:sz="4" w:space="0" w:color="auto"/>
              <w:right w:val="single" w:sz="4" w:space="0" w:color="auto"/>
            </w:tcBorders>
            <w:shd w:val="clear" w:color="auto" w:fill="auto"/>
            <w:vAlign w:val="center"/>
          </w:tcPr>
          <w:p w14:paraId="52A75950" w14:textId="77777777" w:rsidR="00EF4A2D" w:rsidRPr="00EF4A2D" w:rsidRDefault="00EF4A2D" w:rsidP="00EC0263">
            <w:pPr>
              <w:spacing w:before="40" w:after="40"/>
              <w:ind w:right="170"/>
              <w:jc w:val="right"/>
              <w:rPr>
                <w:rFonts w:eastAsia="Calibri"/>
                <w:sz w:val="14"/>
                <w:szCs w:val="14"/>
                <w:lang w:eastAsia="en-US"/>
              </w:rPr>
            </w:pPr>
          </w:p>
        </w:tc>
        <w:tc>
          <w:tcPr>
            <w:tcW w:w="1843" w:type="dxa"/>
            <w:tcBorders>
              <w:left w:val="single" w:sz="4" w:space="0" w:color="auto"/>
              <w:right w:val="single" w:sz="4" w:space="0" w:color="auto"/>
            </w:tcBorders>
            <w:shd w:val="clear" w:color="auto" w:fill="auto"/>
            <w:vAlign w:val="center"/>
          </w:tcPr>
          <w:p w14:paraId="791A22C2"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-exportaciones nacionales</w:t>
            </w:r>
          </w:p>
        </w:tc>
        <w:tc>
          <w:tcPr>
            <w:tcW w:w="709" w:type="dxa"/>
            <w:tcBorders>
              <w:left w:val="single" w:sz="4" w:space="0" w:color="auto"/>
              <w:right w:val="single" w:sz="4" w:space="0" w:color="auto"/>
            </w:tcBorders>
            <w:shd w:val="clear" w:color="auto" w:fill="auto"/>
            <w:vAlign w:val="center"/>
          </w:tcPr>
          <w:p w14:paraId="7AB45E5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216</w:t>
            </w:r>
          </w:p>
        </w:tc>
        <w:tc>
          <w:tcPr>
            <w:tcW w:w="708" w:type="dxa"/>
            <w:tcBorders>
              <w:left w:val="single" w:sz="4" w:space="0" w:color="auto"/>
              <w:right w:val="single" w:sz="4" w:space="0" w:color="auto"/>
            </w:tcBorders>
            <w:shd w:val="clear" w:color="auto" w:fill="auto"/>
            <w:vAlign w:val="center"/>
          </w:tcPr>
          <w:p w14:paraId="7495199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1.4</w:t>
            </w:r>
          </w:p>
        </w:tc>
        <w:tc>
          <w:tcPr>
            <w:tcW w:w="567" w:type="dxa"/>
            <w:tcBorders>
              <w:left w:val="single" w:sz="4" w:space="0" w:color="auto"/>
              <w:right w:val="single" w:sz="4" w:space="0" w:color="auto"/>
            </w:tcBorders>
            <w:shd w:val="clear" w:color="auto" w:fill="auto"/>
            <w:vAlign w:val="center"/>
          </w:tcPr>
          <w:p w14:paraId="1703567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c>
          <w:tcPr>
            <w:tcW w:w="284" w:type="dxa"/>
            <w:tcBorders>
              <w:left w:val="single" w:sz="4" w:space="0" w:color="auto"/>
              <w:right w:val="single" w:sz="4" w:space="0" w:color="auto"/>
            </w:tcBorders>
            <w:vAlign w:val="center"/>
          </w:tcPr>
          <w:p w14:paraId="76185436"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1E63A50A" w14:textId="77777777" w:rsidR="00EF4A2D" w:rsidRPr="00EF4A2D" w:rsidRDefault="00EF4A2D" w:rsidP="00EC0263">
            <w:pPr>
              <w:spacing w:before="40" w:after="40"/>
              <w:ind w:right="170"/>
              <w:jc w:val="right"/>
              <w:rPr>
                <w:rFonts w:eastAsia="Calibri"/>
                <w:sz w:val="14"/>
                <w:szCs w:val="14"/>
                <w:lang w:eastAsia="en-US"/>
              </w:rPr>
            </w:pPr>
          </w:p>
        </w:tc>
        <w:tc>
          <w:tcPr>
            <w:tcW w:w="1842" w:type="dxa"/>
            <w:tcBorders>
              <w:left w:val="single" w:sz="4" w:space="0" w:color="auto"/>
              <w:right w:val="single" w:sz="4" w:space="0" w:color="auto"/>
            </w:tcBorders>
            <w:shd w:val="clear" w:color="auto" w:fill="auto"/>
            <w:vAlign w:val="center"/>
          </w:tcPr>
          <w:p w14:paraId="6FBF2933" w14:textId="77777777" w:rsidR="00EF4A2D" w:rsidRPr="00EF4A2D" w:rsidRDefault="00EF4A2D" w:rsidP="00EF4A2D">
            <w:pPr>
              <w:spacing w:before="40" w:after="40"/>
              <w:jc w:val="both"/>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139C8F0D"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7828B392" w14:textId="77777777" w:rsidR="00EF4A2D" w:rsidRPr="00EF4A2D" w:rsidRDefault="00EF4A2D" w:rsidP="00EF4A2D">
            <w:pPr>
              <w:spacing w:before="40" w:after="40"/>
              <w:jc w:val="right"/>
              <w:rPr>
                <w:rFonts w:eastAsia="Calibri"/>
                <w:sz w:val="14"/>
                <w:szCs w:val="14"/>
                <w:lang w:eastAsia="en-US"/>
              </w:rPr>
            </w:pPr>
          </w:p>
        </w:tc>
        <w:tc>
          <w:tcPr>
            <w:tcW w:w="567" w:type="dxa"/>
            <w:tcBorders>
              <w:left w:val="single" w:sz="4" w:space="0" w:color="auto"/>
              <w:right w:val="single" w:sz="4" w:space="0" w:color="auto"/>
            </w:tcBorders>
            <w:shd w:val="clear" w:color="auto" w:fill="auto"/>
            <w:vAlign w:val="center"/>
          </w:tcPr>
          <w:p w14:paraId="4C7DDDAD" w14:textId="77777777" w:rsidR="00EF4A2D" w:rsidRPr="00EF4A2D" w:rsidRDefault="00EF4A2D" w:rsidP="00EF4A2D">
            <w:pPr>
              <w:spacing w:before="40" w:after="40"/>
              <w:jc w:val="right"/>
              <w:rPr>
                <w:rFonts w:eastAsia="Calibri"/>
                <w:sz w:val="14"/>
                <w:szCs w:val="14"/>
                <w:lang w:eastAsia="en-US"/>
              </w:rPr>
            </w:pPr>
          </w:p>
        </w:tc>
      </w:tr>
      <w:tr w:rsidR="00EF4A2D" w:rsidRPr="00EF4A2D" w14:paraId="26DF33A9" w14:textId="77777777" w:rsidTr="00B9606F">
        <w:trPr>
          <w:jc w:val="center"/>
        </w:trPr>
        <w:tc>
          <w:tcPr>
            <w:tcW w:w="709" w:type="dxa"/>
            <w:tcBorders>
              <w:left w:val="single" w:sz="4" w:space="0" w:color="auto"/>
              <w:right w:val="single" w:sz="4" w:space="0" w:color="auto"/>
            </w:tcBorders>
            <w:shd w:val="clear" w:color="auto" w:fill="auto"/>
            <w:vAlign w:val="center"/>
          </w:tcPr>
          <w:p w14:paraId="18A518B7" w14:textId="77777777" w:rsidR="00EF4A2D" w:rsidRPr="00EF4A2D" w:rsidRDefault="00EF4A2D" w:rsidP="00EC0263">
            <w:pPr>
              <w:spacing w:before="40" w:after="40"/>
              <w:ind w:right="170"/>
              <w:jc w:val="right"/>
              <w:rPr>
                <w:rFonts w:eastAsia="Calibri"/>
                <w:sz w:val="14"/>
                <w:szCs w:val="14"/>
                <w:lang w:eastAsia="en-US"/>
              </w:rPr>
            </w:pPr>
          </w:p>
        </w:tc>
        <w:tc>
          <w:tcPr>
            <w:tcW w:w="1843" w:type="dxa"/>
            <w:tcBorders>
              <w:left w:val="single" w:sz="4" w:space="0" w:color="auto"/>
              <w:right w:val="single" w:sz="4" w:space="0" w:color="auto"/>
            </w:tcBorders>
            <w:shd w:val="clear" w:color="auto" w:fill="auto"/>
            <w:vAlign w:val="center"/>
          </w:tcPr>
          <w:p w14:paraId="10B1DC01"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-reexportaciones</w:t>
            </w:r>
          </w:p>
        </w:tc>
        <w:tc>
          <w:tcPr>
            <w:tcW w:w="709" w:type="dxa"/>
            <w:tcBorders>
              <w:left w:val="single" w:sz="4" w:space="0" w:color="auto"/>
              <w:right w:val="single" w:sz="4" w:space="0" w:color="auto"/>
            </w:tcBorders>
            <w:shd w:val="clear" w:color="auto" w:fill="auto"/>
            <w:vAlign w:val="center"/>
          </w:tcPr>
          <w:p w14:paraId="1251DCB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194</w:t>
            </w:r>
          </w:p>
        </w:tc>
        <w:tc>
          <w:tcPr>
            <w:tcW w:w="708" w:type="dxa"/>
            <w:tcBorders>
              <w:left w:val="single" w:sz="4" w:space="0" w:color="auto"/>
              <w:right w:val="single" w:sz="4" w:space="0" w:color="auto"/>
            </w:tcBorders>
            <w:shd w:val="clear" w:color="auto" w:fill="auto"/>
            <w:vAlign w:val="center"/>
          </w:tcPr>
          <w:p w14:paraId="698C535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1.3</w:t>
            </w:r>
          </w:p>
        </w:tc>
        <w:tc>
          <w:tcPr>
            <w:tcW w:w="567" w:type="dxa"/>
            <w:tcBorders>
              <w:left w:val="single" w:sz="4" w:space="0" w:color="auto"/>
              <w:right w:val="single" w:sz="4" w:space="0" w:color="auto"/>
            </w:tcBorders>
            <w:shd w:val="clear" w:color="auto" w:fill="auto"/>
            <w:vAlign w:val="center"/>
          </w:tcPr>
          <w:p w14:paraId="4765C65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c>
          <w:tcPr>
            <w:tcW w:w="284" w:type="dxa"/>
            <w:tcBorders>
              <w:left w:val="single" w:sz="4" w:space="0" w:color="auto"/>
              <w:right w:val="single" w:sz="4" w:space="0" w:color="auto"/>
            </w:tcBorders>
            <w:vAlign w:val="center"/>
          </w:tcPr>
          <w:p w14:paraId="26769EA5"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2FB0EBC5" w14:textId="77777777" w:rsidR="00EF4A2D" w:rsidRPr="00EF4A2D" w:rsidRDefault="00EF4A2D" w:rsidP="00EC0263">
            <w:pPr>
              <w:spacing w:before="40" w:after="40"/>
              <w:ind w:right="170"/>
              <w:jc w:val="right"/>
              <w:rPr>
                <w:rFonts w:eastAsia="Calibri"/>
                <w:sz w:val="14"/>
                <w:szCs w:val="14"/>
                <w:lang w:eastAsia="en-US"/>
              </w:rPr>
            </w:pPr>
          </w:p>
        </w:tc>
        <w:tc>
          <w:tcPr>
            <w:tcW w:w="1842" w:type="dxa"/>
            <w:tcBorders>
              <w:left w:val="single" w:sz="4" w:space="0" w:color="auto"/>
              <w:right w:val="single" w:sz="4" w:space="0" w:color="auto"/>
            </w:tcBorders>
            <w:shd w:val="clear" w:color="auto" w:fill="auto"/>
            <w:vAlign w:val="center"/>
          </w:tcPr>
          <w:p w14:paraId="3151B783" w14:textId="77777777" w:rsidR="00EF4A2D" w:rsidRPr="00EF4A2D" w:rsidRDefault="00EF4A2D" w:rsidP="00EF4A2D">
            <w:pPr>
              <w:spacing w:before="40" w:after="40"/>
              <w:jc w:val="both"/>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26F9F95A"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5EDFC696" w14:textId="77777777" w:rsidR="00EF4A2D" w:rsidRPr="00EF4A2D" w:rsidRDefault="00EF4A2D" w:rsidP="00EF4A2D">
            <w:pPr>
              <w:spacing w:before="40" w:after="40"/>
              <w:jc w:val="right"/>
              <w:rPr>
                <w:rFonts w:eastAsia="Calibri"/>
                <w:sz w:val="14"/>
                <w:szCs w:val="14"/>
                <w:lang w:eastAsia="en-US"/>
              </w:rPr>
            </w:pPr>
          </w:p>
        </w:tc>
        <w:tc>
          <w:tcPr>
            <w:tcW w:w="567" w:type="dxa"/>
            <w:tcBorders>
              <w:left w:val="single" w:sz="4" w:space="0" w:color="auto"/>
              <w:right w:val="single" w:sz="4" w:space="0" w:color="auto"/>
            </w:tcBorders>
            <w:shd w:val="clear" w:color="auto" w:fill="auto"/>
            <w:vAlign w:val="center"/>
          </w:tcPr>
          <w:p w14:paraId="49D260FA" w14:textId="77777777" w:rsidR="00EF4A2D" w:rsidRPr="00EF4A2D" w:rsidRDefault="00EF4A2D" w:rsidP="00EF4A2D">
            <w:pPr>
              <w:spacing w:before="40" w:after="40"/>
              <w:jc w:val="right"/>
              <w:rPr>
                <w:rFonts w:eastAsia="Calibri"/>
                <w:sz w:val="14"/>
                <w:szCs w:val="14"/>
                <w:lang w:eastAsia="en-US"/>
              </w:rPr>
            </w:pPr>
          </w:p>
        </w:tc>
      </w:tr>
      <w:tr w:rsidR="00EF4A2D" w:rsidRPr="00EF4A2D" w14:paraId="0C4054AB" w14:textId="77777777" w:rsidTr="00B9606F">
        <w:trPr>
          <w:jc w:val="center"/>
        </w:trPr>
        <w:tc>
          <w:tcPr>
            <w:tcW w:w="709" w:type="dxa"/>
            <w:tcBorders>
              <w:left w:val="single" w:sz="4" w:space="0" w:color="auto"/>
              <w:right w:val="single" w:sz="4" w:space="0" w:color="auto"/>
            </w:tcBorders>
            <w:shd w:val="clear" w:color="auto" w:fill="auto"/>
            <w:vAlign w:val="center"/>
          </w:tcPr>
          <w:p w14:paraId="5BCD8FE4"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10</w:t>
            </w:r>
          </w:p>
        </w:tc>
        <w:tc>
          <w:tcPr>
            <w:tcW w:w="1843" w:type="dxa"/>
            <w:tcBorders>
              <w:left w:val="single" w:sz="4" w:space="0" w:color="auto"/>
              <w:right w:val="single" w:sz="4" w:space="0" w:color="auto"/>
            </w:tcBorders>
            <w:shd w:val="clear" w:color="auto" w:fill="auto"/>
            <w:vAlign w:val="center"/>
          </w:tcPr>
          <w:p w14:paraId="78161230" w14:textId="77777777" w:rsidR="00EF4A2D" w:rsidRPr="00EF4A2D" w:rsidRDefault="00EF4A2D" w:rsidP="00EF4A2D">
            <w:pPr>
              <w:spacing w:before="40" w:after="40"/>
              <w:rPr>
                <w:rFonts w:eastAsia="Calibri"/>
                <w:b/>
                <w:sz w:val="14"/>
                <w:szCs w:val="14"/>
                <w:lang w:eastAsia="en-US"/>
              </w:rPr>
            </w:pPr>
            <w:r w:rsidRPr="00EF4A2D">
              <w:rPr>
                <w:rFonts w:eastAsia="Calibri"/>
                <w:b/>
                <w:sz w:val="14"/>
                <w:szCs w:val="14"/>
                <w:lang w:eastAsia="en-US"/>
              </w:rPr>
              <w:t>México</w:t>
            </w:r>
          </w:p>
        </w:tc>
        <w:tc>
          <w:tcPr>
            <w:tcW w:w="709" w:type="dxa"/>
            <w:tcBorders>
              <w:left w:val="single" w:sz="4" w:space="0" w:color="auto"/>
              <w:right w:val="single" w:sz="4" w:space="0" w:color="auto"/>
            </w:tcBorders>
            <w:shd w:val="clear" w:color="auto" w:fill="auto"/>
            <w:vAlign w:val="center"/>
          </w:tcPr>
          <w:p w14:paraId="01C4BF0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398</w:t>
            </w:r>
          </w:p>
        </w:tc>
        <w:tc>
          <w:tcPr>
            <w:tcW w:w="708" w:type="dxa"/>
            <w:tcBorders>
              <w:left w:val="single" w:sz="4" w:space="0" w:color="auto"/>
              <w:right w:val="single" w:sz="4" w:space="0" w:color="auto"/>
            </w:tcBorders>
            <w:shd w:val="clear" w:color="auto" w:fill="auto"/>
            <w:vAlign w:val="center"/>
          </w:tcPr>
          <w:p w14:paraId="73E0AE6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2.6</w:t>
            </w:r>
          </w:p>
        </w:tc>
        <w:tc>
          <w:tcPr>
            <w:tcW w:w="567" w:type="dxa"/>
            <w:tcBorders>
              <w:left w:val="single" w:sz="4" w:space="0" w:color="auto"/>
              <w:right w:val="single" w:sz="4" w:space="0" w:color="auto"/>
            </w:tcBorders>
            <w:shd w:val="clear" w:color="auto" w:fill="auto"/>
            <w:vAlign w:val="center"/>
          </w:tcPr>
          <w:p w14:paraId="0D9091B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c>
          <w:tcPr>
            <w:tcW w:w="284" w:type="dxa"/>
            <w:tcBorders>
              <w:left w:val="single" w:sz="4" w:space="0" w:color="auto"/>
              <w:right w:val="single" w:sz="4" w:space="0" w:color="auto"/>
            </w:tcBorders>
            <w:vAlign w:val="center"/>
          </w:tcPr>
          <w:p w14:paraId="7E333601"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0DABAF5D"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10</w:t>
            </w:r>
          </w:p>
        </w:tc>
        <w:tc>
          <w:tcPr>
            <w:tcW w:w="1842" w:type="dxa"/>
            <w:tcBorders>
              <w:left w:val="single" w:sz="4" w:space="0" w:color="auto"/>
              <w:right w:val="single" w:sz="4" w:space="0" w:color="auto"/>
            </w:tcBorders>
            <w:shd w:val="clear" w:color="auto" w:fill="auto"/>
            <w:vAlign w:val="center"/>
          </w:tcPr>
          <w:p w14:paraId="0E7344F3"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Singapur</w:t>
            </w:r>
          </w:p>
        </w:tc>
        <w:tc>
          <w:tcPr>
            <w:tcW w:w="709" w:type="dxa"/>
            <w:tcBorders>
              <w:left w:val="single" w:sz="4" w:space="0" w:color="auto"/>
              <w:right w:val="single" w:sz="4" w:space="0" w:color="auto"/>
            </w:tcBorders>
            <w:shd w:val="clear" w:color="auto" w:fill="auto"/>
            <w:vAlign w:val="center"/>
          </w:tcPr>
          <w:p w14:paraId="7728E0A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366</w:t>
            </w:r>
          </w:p>
        </w:tc>
        <w:tc>
          <w:tcPr>
            <w:tcW w:w="709" w:type="dxa"/>
            <w:tcBorders>
              <w:left w:val="single" w:sz="4" w:space="0" w:color="auto"/>
              <w:right w:val="single" w:sz="4" w:space="0" w:color="auto"/>
            </w:tcBorders>
            <w:shd w:val="clear" w:color="auto" w:fill="auto"/>
            <w:vAlign w:val="center"/>
          </w:tcPr>
          <w:p w14:paraId="763FB10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2.4</w:t>
            </w:r>
          </w:p>
        </w:tc>
        <w:tc>
          <w:tcPr>
            <w:tcW w:w="567" w:type="dxa"/>
            <w:tcBorders>
              <w:left w:val="single" w:sz="4" w:space="0" w:color="auto"/>
              <w:right w:val="single" w:sz="4" w:space="0" w:color="auto"/>
            </w:tcBorders>
            <w:shd w:val="clear" w:color="auto" w:fill="auto"/>
            <w:vAlign w:val="center"/>
          </w:tcPr>
          <w:p w14:paraId="04780AB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r>
      <w:tr w:rsidR="00EF4A2D" w:rsidRPr="00EF4A2D" w14:paraId="43BB6242" w14:textId="77777777" w:rsidTr="00B9606F">
        <w:trPr>
          <w:jc w:val="center"/>
        </w:trPr>
        <w:tc>
          <w:tcPr>
            <w:tcW w:w="709" w:type="dxa"/>
            <w:tcBorders>
              <w:left w:val="single" w:sz="4" w:space="0" w:color="auto"/>
              <w:right w:val="single" w:sz="4" w:space="0" w:color="auto"/>
            </w:tcBorders>
            <w:shd w:val="clear" w:color="auto" w:fill="auto"/>
            <w:vAlign w:val="center"/>
          </w:tcPr>
          <w:p w14:paraId="1AFCE875" w14:textId="77777777" w:rsidR="00EF4A2D" w:rsidRPr="00EF4A2D" w:rsidRDefault="00EF4A2D" w:rsidP="00EC0263">
            <w:pPr>
              <w:spacing w:before="40" w:after="40"/>
              <w:ind w:right="170"/>
              <w:jc w:val="right"/>
              <w:rPr>
                <w:rFonts w:eastAsia="Calibri"/>
                <w:sz w:val="14"/>
                <w:szCs w:val="14"/>
                <w:lang w:eastAsia="en-US"/>
              </w:rPr>
            </w:pPr>
          </w:p>
        </w:tc>
        <w:tc>
          <w:tcPr>
            <w:tcW w:w="1843" w:type="dxa"/>
            <w:tcBorders>
              <w:left w:val="single" w:sz="4" w:space="0" w:color="auto"/>
              <w:right w:val="single" w:sz="4" w:space="0" w:color="auto"/>
            </w:tcBorders>
            <w:shd w:val="clear" w:color="auto" w:fill="auto"/>
            <w:vAlign w:val="center"/>
          </w:tcPr>
          <w:p w14:paraId="736E9D27" w14:textId="77777777" w:rsidR="00EF4A2D" w:rsidRPr="00EF4A2D" w:rsidRDefault="00EF4A2D" w:rsidP="00EF4A2D">
            <w:pPr>
              <w:spacing w:before="40" w:after="40"/>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758FDA66" w14:textId="77777777" w:rsidR="00EF4A2D" w:rsidRPr="00EF4A2D" w:rsidRDefault="00EF4A2D" w:rsidP="00EF4A2D">
            <w:pPr>
              <w:spacing w:before="40" w:after="40"/>
              <w:jc w:val="right"/>
              <w:rPr>
                <w:rFonts w:eastAsia="Calibri"/>
                <w:sz w:val="14"/>
                <w:szCs w:val="14"/>
                <w:lang w:eastAsia="en-US"/>
              </w:rPr>
            </w:pPr>
          </w:p>
        </w:tc>
        <w:tc>
          <w:tcPr>
            <w:tcW w:w="708" w:type="dxa"/>
            <w:tcBorders>
              <w:left w:val="single" w:sz="4" w:space="0" w:color="auto"/>
              <w:right w:val="single" w:sz="4" w:space="0" w:color="auto"/>
            </w:tcBorders>
            <w:shd w:val="clear" w:color="auto" w:fill="auto"/>
            <w:vAlign w:val="center"/>
          </w:tcPr>
          <w:p w14:paraId="2ABA775D" w14:textId="77777777" w:rsidR="00EF4A2D" w:rsidRPr="00EF4A2D" w:rsidRDefault="00EF4A2D" w:rsidP="00EF4A2D">
            <w:pPr>
              <w:spacing w:before="40" w:after="40"/>
              <w:jc w:val="right"/>
              <w:rPr>
                <w:rFonts w:eastAsia="Calibri"/>
                <w:sz w:val="14"/>
                <w:szCs w:val="14"/>
                <w:lang w:eastAsia="en-US"/>
              </w:rPr>
            </w:pPr>
          </w:p>
        </w:tc>
        <w:tc>
          <w:tcPr>
            <w:tcW w:w="567" w:type="dxa"/>
            <w:tcBorders>
              <w:left w:val="single" w:sz="4" w:space="0" w:color="auto"/>
              <w:right w:val="single" w:sz="4" w:space="0" w:color="auto"/>
            </w:tcBorders>
            <w:shd w:val="clear" w:color="auto" w:fill="auto"/>
            <w:vAlign w:val="center"/>
          </w:tcPr>
          <w:p w14:paraId="4E81EB73" w14:textId="77777777" w:rsidR="00EF4A2D" w:rsidRPr="00EF4A2D" w:rsidRDefault="00EF4A2D" w:rsidP="00EF4A2D">
            <w:pPr>
              <w:spacing w:before="40" w:after="40"/>
              <w:jc w:val="right"/>
              <w:rPr>
                <w:rFonts w:eastAsia="Calibri"/>
                <w:sz w:val="14"/>
                <w:szCs w:val="14"/>
                <w:lang w:eastAsia="en-US"/>
              </w:rPr>
            </w:pPr>
          </w:p>
        </w:tc>
        <w:tc>
          <w:tcPr>
            <w:tcW w:w="284" w:type="dxa"/>
            <w:tcBorders>
              <w:left w:val="single" w:sz="4" w:space="0" w:color="auto"/>
              <w:right w:val="single" w:sz="4" w:space="0" w:color="auto"/>
            </w:tcBorders>
            <w:vAlign w:val="center"/>
          </w:tcPr>
          <w:p w14:paraId="69326B40"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4E49533C" w14:textId="77777777" w:rsidR="00EF4A2D" w:rsidRPr="00EF4A2D" w:rsidRDefault="00EF4A2D" w:rsidP="00EC0263">
            <w:pPr>
              <w:spacing w:before="40" w:after="40"/>
              <w:ind w:right="170"/>
              <w:jc w:val="right"/>
              <w:rPr>
                <w:rFonts w:eastAsia="Calibri"/>
                <w:sz w:val="14"/>
                <w:szCs w:val="14"/>
                <w:lang w:eastAsia="en-US"/>
              </w:rPr>
            </w:pPr>
          </w:p>
        </w:tc>
        <w:tc>
          <w:tcPr>
            <w:tcW w:w="1842" w:type="dxa"/>
            <w:tcBorders>
              <w:left w:val="single" w:sz="4" w:space="0" w:color="auto"/>
              <w:right w:val="single" w:sz="4" w:space="0" w:color="auto"/>
            </w:tcBorders>
            <w:shd w:val="clear" w:color="auto" w:fill="auto"/>
            <w:vAlign w:val="center"/>
          </w:tcPr>
          <w:p w14:paraId="6E0B0E98"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 xml:space="preserve">-Importaciones </w:t>
            </w:r>
            <w:proofErr w:type="spellStart"/>
            <w:r w:rsidRPr="00EF4A2D">
              <w:rPr>
                <w:rFonts w:eastAsia="Calibri"/>
                <w:sz w:val="14"/>
                <w:szCs w:val="14"/>
                <w:lang w:eastAsia="en-US"/>
              </w:rPr>
              <w:t>definitivas</w:t>
            </w:r>
            <w:r w:rsidRPr="00EF4A2D">
              <w:rPr>
                <w:rFonts w:eastAsia="Calibri"/>
                <w:sz w:val="14"/>
                <w:szCs w:val="14"/>
                <w:u w:val="single"/>
                <w:vertAlign w:val="superscript"/>
                <w:lang w:eastAsia="en-US"/>
              </w:rPr>
              <w:t>b</w:t>
            </w:r>
            <w:proofErr w:type="spellEnd"/>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393BC957"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173</w:t>
            </w:r>
          </w:p>
        </w:tc>
        <w:tc>
          <w:tcPr>
            <w:tcW w:w="709" w:type="dxa"/>
            <w:tcBorders>
              <w:left w:val="single" w:sz="4" w:space="0" w:color="auto"/>
              <w:right w:val="single" w:sz="4" w:space="0" w:color="auto"/>
            </w:tcBorders>
            <w:shd w:val="clear" w:color="auto" w:fill="auto"/>
            <w:vAlign w:val="center"/>
          </w:tcPr>
          <w:p w14:paraId="45A7ECA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1.1</w:t>
            </w:r>
          </w:p>
        </w:tc>
        <w:tc>
          <w:tcPr>
            <w:tcW w:w="567" w:type="dxa"/>
            <w:tcBorders>
              <w:left w:val="single" w:sz="4" w:space="0" w:color="auto"/>
              <w:right w:val="single" w:sz="4" w:space="0" w:color="auto"/>
            </w:tcBorders>
            <w:shd w:val="clear" w:color="auto" w:fill="auto"/>
            <w:vAlign w:val="center"/>
          </w:tcPr>
          <w:p w14:paraId="562E27D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r>
      <w:tr w:rsidR="00EF4A2D" w:rsidRPr="00EF4A2D" w14:paraId="3C1B04C3" w14:textId="77777777" w:rsidTr="00B9606F">
        <w:trPr>
          <w:jc w:val="center"/>
        </w:trPr>
        <w:tc>
          <w:tcPr>
            <w:tcW w:w="709" w:type="dxa"/>
            <w:tcBorders>
              <w:left w:val="single" w:sz="4" w:space="0" w:color="auto"/>
              <w:right w:val="single" w:sz="4" w:space="0" w:color="auto"/>
            </w:tcBorders>
            <w:shd w:val="clear" w:color="auto" w:fill="auto"/>
            <w:vAlign w:val="center"/>
          </w:tcPr>
          <w:p w14:paraId="06B5612F"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11</w:t>
            </w:r>
          </w:p>
        </w:tc>
        <w:tc>
          <w:tcPr>
            <w:tcW w:w="1843" w:type="dxa"/>
            <w:tcBorders>
              <w:left w:val="single" w:sz="4" w:space="0" w:color="auto"/>
              <w:right w:val="single" w:sz="4" w:space="0" w:color="auto"/>
            </w:tcBorders>
            <w:shd w:val="clear" w:color="auto" w:fill="auto"/>
            <w:vAlign w:val="center"/>
          </w:tcPr>
          <w:p w14:paraId="775E0E6E"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 xml:space="preserve">Emiratos Árabes Unidos </w:t>
            </w:r>
            <w:r w:rsidRPr="00EF4A2D">
              <w:rPr>
                <w:rFonts w:eastAsia="Calibri"/>
                <w:sz w:val="14"/>
                <w:szCs w:val="14"/>
                <w:u w:val="single"/>
                <w:vertAlign w:val="superscript"/>
                <w:lang w:eastAsia="en-US"/>
              </w:rPr>
              <w:t>c</w:t>
            </w:r>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6E5C814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359</w:t>
            </w:r>
          </w:p>
        </w:tc>
        <w:tc>
          <w:tcPr>
            <w:tcW w:w="708" w:type="dxa"/>
            <w:tcBorders>
              <w:left w:val="single" w:sz="4" w:space="0" w:color="auto"/>
              <w:right w:val="single" w:sz="4" w:space="0" w:color="auto"/>
            </w:tcBorders>
            <w:shd w:val="clear" w:color="auto" w:fill="auto"/>
            <w:vAlign w:val="center"/>
          </w:tcPr>
          <w:p w14:paraId="6DD9642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2.4</w:t>
            </w:r>
          </w:p>
        </w:tc>
        <w:tc>
          <w:tcPr>
            <w:tcW w:w="567" w:type="dxa"/>
            <w:tcBorders>
              <w:left w:val="single" w:sz="4" w:space="0" w:color="auto"/>
              <w:right w:val="single" w:sz="4" w:space="0" w:color="auto"/>
            </w:tcBorders>
            <w:shd w:val="clear" w:color="auto" w:fill="auto"/>
            <w:vAlign w:val="center"/>
          </w:tcPr>
          <w:p w14:paraId="47E5004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c>
          <w:tcPr>
            <w:tcW w:w="284" w:type="dxa"/>
            <w:tcBorders>
              <w:left w:val="single" w:sz="4" w:space="0" w:color="auto"/>
              <w:right w:val="single" w:sz="4" w:space="0" w:color="auto"/>
            </w:tcBorders>
            <w:vAlign w:val="center"/>
          </w:tcPr>
          <w:p w14:paraId="37481C87"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647B2921"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11</w:t>
            </w:r>
          </w:p>
        </w:tc>
        <w:tc>
          <w:tcPr>
            <w:tcW w:w="1842" w:type="dxa"/>
            <w:tcBorders>
              <w:left w:val="single" w:sz="4" w:space="0" w:color="auto"/>
              <w:right w:val="single" w:sz="4" w:space="0" w:color="auto"/>
            </w:tcBorders>
            <w:shd w:val="clear" w:color="auto" w:fill="auto"/>
            <w:vAlign w:val="center"/>
          </w:tcPr>
          <w:p w14:paraId="63E5B8C5"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 xml:space="preserve">Federación de </w:t>
            </w:r>
            <w:proofErr w:type="spellStart"/>
            <w:r w:rsidRPr="00EF4A2D">
              <w:rPr>
                <w:rFonts w:eastAsia="Calibri"/>
                <w:sz w:val="14"/>
                <w:szCs w:val="14"/>
                <w:lang w:eastAsia="en-US"/>
              </w:rPr>
              <w:t>Rusia</w:t>
            </w:r>
            <w:r w:rsidRPr="00EF4A2D">
              <w:rPr>
                <w:rFonts w:eastAsia="Calibri"/>
                <w:sz w:val="14"/>
                <w:szCs w:val="14"/>
                <w:u w:val="single"/>
                <w:vertAlign w:val="superscript"/>
                <w:lang w:eastAsia="en-US"/>
              </w:rPr>
              <w:t>a</w:t>
            </w:r>
            <w:proofErr w:type="spellEnd"/>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7EEE38F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308</w:t>
            </w:r>
          </w:p>
        </w:tc>
        <w:tc>
          <w:tcPr>
            <w:tcW w:w="709" w:type="dxa"/>
            <w:tcBorders>
              <w:left w:val="single" w:sz="4" w:space="0" w:color="auto"/>
              <w:right w:val="single" w:sz="4" w:space="0" w:color="auto"/>
            </w:tcBorders>
            <w:shd w:val="clear" w:color="auto" w:fill="auto"/>
            <w:vAlign w:val="center"/>
          </w:tcPr>
          <w:p w14:paraId="140CBFB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2.0</w:t>
            </w:r>
          </w:p>
        </w:tc>
        <w:tc>
          <w:tcPr>
            <w:tcW w:w="567" w:type="dxa"/>
            <w:tcBorders>
              <w:left w:val="single" w:sz="4" w:space="0" w:color="auto"/>
              <w:right w:val="single" w:sz="4" w:space="0" w:color="auto"/>
            </w:tcBorders>
            <w:shd w:val="clear" w:color="auto" w:fill="auto"/>
            <w:vAlign w:val="center"/>
          </w:tcPr>
          <w:p w14:paraId="4824854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-10</w:t>
            </w:r>
          </w:p>
        </w:tc>
      </w:tr>
      <w:tr w:rsidR="00EF4A2D" w:rsidRPr="00EF4A2D" w14:paraId="308E3C83" w14:textId="77777777" w:rsidTr="00B9606F">
        <w:trPr>
          <w:jc w:val="center"/>
        </w:trPr>
        <w:tc>
          <w:tcPr>
            <w:tcW w:w="709" w:type="dxa"/>
            <w:tcBorders>
              <w:left w:val="single" w:sz="4" w:space="0" w:color="auto"/>
              <w:right w:val="single" w:sz="4" w:space="0" w:color="auto"/>
            </w:tcBorders>
            <w:shd w:val="clear" w:color="auto" w:fill="auto"/>
            <w:vAlign w:val="center"/>
          </w:tcPr>
          <w:p w14:paraId="7392773E"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12</w:t>
            </w:r>
          </w:p>
        </w:tc>
        <w:tc>
          <w:tcPr>
            <w:tcW w:w="1843" w:type="dxa"/>
            <w:tcBorders>
              <w:left w:val="single" w:sz="4" w:space="0" w:color="auto"/>
              <w:right w:val="single" w:sz="4" w:space="0" w:color="auto"/>
            </w:tcBorders>
            <w:shd w:val="clear" w:color="auto" w:fill="auto"/>
            <w:vAlign w:val="center"/>
          </w:tcPr>
          <w:p w14:paraId="54F56D86"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 xml:space="preserve">Arabia </w:t>
            </w:r>
            <w:proofErr w:type="spellStart"/>
            <w:r w:rsidRPr="00EF4A2D">
              <w:rPr>
                <w:rFonts w:eastAsia="Calibri"/>
                <w:sz w:val="14"/>
                <w:szCs w:val="14"/>
                <w:lang w:eastAsia="en-US"/>
              </w:rPr>
              <w:t>Saudita</w:t>
            </w:r>
            <w:r w:rsidRPr="00EF4A2D">
              <w:rPr>
                <w:rFonts w:eastAsia="Calibri"/>
                <w:sz w:val="14"/>
                <w:szCs w:val="14"/>
                <w:u w:val="single"/>
                <w:vertAlign w:val="superscript"/>
                <w:lang w:eastAsia="en-US"/>
              </w:rPr>
              <w:t>c</w:t>
            </w:r>
            <w:proofErr w:type="spellEnd"/>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66778C0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354</w:t>
            </w:r>
          </w:p>
        </w:tc>
        <w:tc>
          <w:tcPr>
            <w:tcW w:w="708" w:type="dxa"/>
            <w:tcBorders>
              <w:left w:val="single" w:sz="4" w:space="0" w:color="auto"/>
              <w:right w:val="single" w:sz="4" w:space="0" w:color="auto"/>
            </w:tcBorders>
            <w:shd w:val="clear" w:color="auto" w:fill="auto"/>
            <w:vAlign w:val="center"/>
          </w:tcPr>
          <w:p w14:paraId="1343433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2.4</w:t>
            </w:r>
          </w:p>
        </w:tc>
        <w:tc>
          <w:tcPr>
            <w:tcW w:w="567" w:type="dxa"/>
            <w:tcBorders>
              <w:left w:val="single" w:sz="4" w:space="0" w:color="auto"/>
              <w:right w:val="single" w:sz="4" w:space="0" w:color="auto"/>
            </w:tcBorders>
            <w:shd w:val="clear" w:color="auto" w:fill="auto"/>
            <w:vAlign w:val="center"/>
          </w:tcPr>
          <w:p w14:paraId="1676F6B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w:t>
            </w:r>
          </w:p>
        </w:tc>
        <w:tc>
          <w:tcPr>
            <w:tcW w:w="284" w:type="dxa"/>
            <w:tcBorders>
              <w:left w:val="single" w:sz="4" w:space="0" w:color="auto"/>
              <w:right w:val="single" w:sz="4" w:space="0" w:color="auto"/>
            </w:tcBorders>
            <w:vAlign w:val="center"/>
          </w:tcPr>
          <w:p w14:paraId="6CE4955D"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1842EF6C"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12</w:t>
            </w:r>
          </w:p>
        </w:tc>
        <w:tc>
          <w:tcPr>
            <w:tcW w:w="1842" w:type="dxa"/>
            <w:tcBorders>
              <w:left w:val="single" w:sz="4" w:space="0" w:color="auto"/>
              <w:right w:val="single" w:sz="4" w:space="0" w:color="auto"/>
            </w:tcBorders>
            <w:shd w:val="clear" w:color="auto" w:fill="auto"/>
            <w:vAlign w:val="center"/>
          </w:tcPr>
          <w:p w14:paraId="5AE7C598" w14:textId="77777777" w:rsidR="00EF4A2D" w:rsidRPr="00EF4A2D" w:rsidRDefault="00EF4A2D" w:rsidP="00EF4A2D">
            <w:pPr>
              <w:spacing w:before="40" w:after="40"/>
              <w:jc w:val="both"/>
              <w:rPr>
                <w:rFonts w:eastAsia="Calibri"/>
                <w:sz w:val="14"/>
                <w:szCs w:val="14"/>
                <w:lang w:eastAsia="en-US"/>
              </w:rPr>
            </w:pPr>
            <w:proofErr w:type="spellStart"/>
            <w:r w:rsidRPr="00EF4A2D">
              <w:rPr>
                <w:rFonts w:eastAsia="Calibri"/>
                <w:sz w:val="14"/>
                <w:szCs w:val="14"/>
                <w:lang w:eastAsia="en-US"/>
              </w:rPr>
              <w:t>Taipei</w:t>
            </w:r>
            <w:proofErr w:type="spellEnd"/>
            <w:r w:rsidRPr="00EF4A2D">
              <w:rPr>
                <w:rFonts w:eastAsia="Calibri"/>
                <w:sz w:val="14"/>
                <w:szCs w:val="14"/>
                <w:lang w:eastAsia="en-US"/>
              </w:rPr>
              <w:t xml:space="preserve"> Chino</w:t>
            </w:r>
          </w:p>
        </w:tc>
        <w:tc>
          <w:tcPr>
            <w:tcW w:w="709" w:type="dxa"/>
            <w:tcBorders>
              <w:left w:val="single" w:sz="4" w:space="0" w:color="auto"/>
              <w:right w:val="single" w:sz="4" w:space="0" w:color="auto"/>
            </w:tcBorders>
            <w:shd w:val="clear" w:color="auto" w:fill="auto"/>
            <w:vAlign w:val="center"/>
          </w:tcPr>
          <w:p w14:paraId="08943D6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274</w:t>
            </w:r>
          </w:p>
        </w:tc>
        <w:tc>
          <w:tcPr>
            <w:tcW w:w="709" w:type="dxa"/>
            <w:tcBorders>
              <w:left w:val="single" w:sz="4" w:space="0" w:color="auto"/>
              <w:right w:val="single" w:sz="4" w:space="0" w:color="auto"/>
            </w:tcBorders>
            <w:shd w:val="clear" w:color="auto" w:fill="auto"/>
            <w:vAlign w:val="center"/>
          </w:tcPr>
          <w:p w14:paraId="3A03479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1.8</w:t>
            </w:r>
          </w:p>
        </w:tc>
        <w:tc>
          <w:tcPr>
            <w:tcW w:w="567" w:type="dxa"/>
            <w:tcBorders>
              <w:left w:val="single" w:sz="4" w:space="0" w:color="auto"/>
              <w:right w:val="single" w:sz="4" w:space="0" w:color="auto"/>
            </w:tcBorders>
            <w:shd w:val="clear" w:color="auto" w:fill="auto"/>
            <w:vAlign w:val="center"/>
          </w:tcPr>
          <w:p w14:paraId="2ADE632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r>
      <w:tr w:rsidR="00EF4A2D" w:rsidRPr="00EF4A2D" w14:paraId="67692000" w14:textId="77777777" w:rsidTr="00B9606F">
        <w:trPr>
          <w:jc w:val="center"/>
        </w:trPr>
        <w:tc>
          <w:tcPr>
            <w:tcW w:w="709" w:type="dxa"/>
            <w:tcBorders>
              <w:left w:val="single" w:sz="4" w:space="0" w:color="auto"/>
              <w:right w:val="single" w:sz="4" w:space="0" w:color="auto"/>
            </w:tcBorders>
            <w:shd w:val="clear" w:color="auto" w:fill="auto"/>
            <w:vAlign w:val="center"/>
          </w:tcPr>
          <w:p w14:paraId="5BB43EA9"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13</w:t>
            </w:r>
          </w:p>
        </w:tc>
        <w:tc>
          <w:tcPr>
            <w:tcW w:w="1843" w:type="dxa"/>
            <w:tcBorders>
              <w:left w:val="single" w:sz="4" w:space="0" w:color="auto"/>
              <w:right w:val="single" w:sz="4" w:space="0" w:color="auto"/>
            </w:tcBorders>
            <w:shd w:val="clear" w:color="auto" w:fill="auto"/>
            <w:vAlign w:val="center"/>
          </w:tcPr>
          <w:p w14:paraId="2CD4C7C4"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India</w:t>
            </w:r>
          </w:p>
        </w:tc>
        <w:tc>
          <w:tcPr>
            <w:tcW w:w="709" w:type="dxa"/>
            <w:tcBorders>
              <w:left w:val="single" w:sz="4" w:space="0" w:color="auto"/>
              <w:right w:val="single" w:sz="4" w:space="0" w:color="auto"/>
            </w:tcBorders>
            <w:shd w:val="clear" w:color="auto" w:fill="auto"/>
            <w:vAlign w:val="center"/>
          </w:tcPr>
          <w:p w14:paraId="7A00730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317</w:t>
            </w:r>
          </w:p>
        </w:tc>
        <w:tc>
          <w:tcPr>
            <w:tcW w:w="708" w:type="dxa"/>
            <w:tcBorders>
              <w:left w:val="single" w:sz="4" w:space="0" w:color="auto"/>
              <w:right w:val="single" w:sz="4" w:space="0" w:color="auto"/>
            </w:tcBorders>
            <w:shd w:val="clear" w:color="auto" w:fill="auto"/>
            <w:vAlign w:val="center"/>
          </w:tcPr>
          <w:p w14:paraId="7E49E90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2.1</w:t>
            </w:r>
          </w:p>
        </w:tc>
        <w:tc>
          <w:tcPr>
            <w:tcW w:w="567" w:type="dxa"/>
            <w:tcBorders>
              <w:left w:val="single" w:sz="4" w:space="0" w:color="auto"/>
              <w:right w:val="single" w:sz="4" w:space="0" w:color="auto"/>
            </w:tcBorders>
            <w:shd w:val="clear" w:color="auto" w:fill="auto"/>
            <w:vAlign w:val="center"/>
          </w:tcPr>
          <w:p w14:paraId="747D7367"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c>
          <w:tcPr>
            <w:tcW w:w="284" w:type="dxa"/>
            <w:tcBorders>
              <w:left w:val="single" w:sz="4" w:space="0" w:color="auto"/>
              <w:right w:val="single" w:sz="4" w:space="0" w:color="auto"/>
            </w:tcBorders>
            <w:vAlign w:val="center"/>
          </w:tcPr>
          <w:p w14:paraId="0BC129BC"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0C6AD9C2"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13</w:t>
            </w:r>
          </w:p>
        </w:tc>
        <w:tc>
          <w:tcPr>
            <w:tcW w:w="1842" w:type="dxa"/>
            <w:tcBorders>
              <w:left w:val="single" w:sz="4" w:space="0" w:color="auto"/>
              <w:right w:val="single" w:sz="4" w:space="0" w:color="auto"/>
            </w:tcBorders>
            <w:shd w:val="clear" w:color="auto" w:fill="auto"/>
            <w:vAlign w:val="center"/>
          </w:tcPr>
          <w:p w14:paraId="7A308D63"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 xml:space="preserve">Emiratos Árabes Unidos </w:t>
            </w:r>
            <w:r w:rsidRPr="00EF4A2D">
              <w:rPr>
                <w:rFonts w:eastAsia="Calibri"/>
                <w:sz w:val="14"/>
                <w:szCs w:val="14"/>
                <w:u w:val="single"/>
                <w:vertAlign w:val="superscript"/>
                <w:lang w:eastAsia="en-US"/>
              </w:rPr>
              <w:t>c</w:t>
            </w:r>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33AD0BB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262</w:t>
            </w:r>
          </w:p>
        </w:tc>
        <w:tc>
          <w:tcPr>
            <w:tcW w:w="709" w:type="dxa"/>
            <w:tcBorders>
              <w:left w:val="single" w:sz="4" w:space="0" w:color="auto"/>
              <w:right w:val="single" w:sz="4" w:space="0" w:color="auto"/>
            </w:tcBorders>
            <w:shd w:val="clear" w:color="auto" w:fill="auto"/>
            <w:vAlign w:val="center"/>
          </w:tcPr>
          <w:p w14:paraId="10A77C5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1.7</w:t>
            </w:r>
          </w:p>
        </w:tc>
        <w:tc>
          <w:tcPr>
            <w:tcW w:w="567" w:type="dxa"/>
            <w:tcBorders>
              <w:left w:val="single" w:sz="4" w:space="0" w:color="auto"/>
              <w:right w:val="single" w:sz="4" w:space="0" w:color="auto"/>
            </w:tcBorders>
            <w:shd w:val="clear" w:color="auto" w:fill="auto"/>
            <w:vAlign w:val="center"/>
          </w:tcPr>
          <w:p w14:paraId="04590D8A" w14:textId="5101850D"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w:t>
            </w:r>
          </w:p>
        </w:tc>
      </w:tr>
      <w:tr w:rsidR="00EF4A2D" w:rsidRPr="00EF4A2D" w14:paraId="5497A933" w14:textId="77777777" w:rsidTr="00B9606F">
        <w:trPr>
          <w:jc w:val="center"/>
        </w:trPr>
        <w:tc>
          <w:tcPr>
            <w:tcW w:w="709" w:type="dxa"/>
            <w:tcBorders>
              <w:left w:val="single" w:sz="4" w:space="0" w:color="auto"/>
              <w:right w:val="single" w:sz="4" w:space="0" w:color="auto"/>
            </w:tcBorders>
            <w:shd w:val="clear" w:color="auto" w:fill="auto"/>
            <w:vAlign w:val="center"/>
          </w:tcPr>
          <w:p w14:paraId="46FD9B08"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14</w:t>
            </w:r>
          </w:p>
        </w:tc>
        <w:tc>
          <w:tcPr>
            <w:tcW w:w="1843" w:type="dxa"/>
            <w:tcBorders>
              <w:left w:val="single" w:sz="4" w:space="0" w:color="auto"/>
              <w:right w:val="single" w:sz="4" w:space="0" w:color="auto"/>
            </w:tcBorders>
            <w:shd w:val="clear" w:color="auto" w:fill="auto"/>
            <w:vAlign w:val="center"/>
          </w:tcPr>
          <w:p w14:paraId="0A31657D" w14:textId="77777777" w:rsidR="00EF4A2D" w:rsidRPr="00EF4A2D" w:rsidRDefault="00EF4A2D" w:rsidP="00EF4A2D">
            <w:pPr>
              <w:spacing w:before="40" w:after="40"/>
              <w:rPr>
                <w:rFonts w:eastAsia="Calibri"/>
                <w:sz w:val="14"/>
                <w:szCs w:val="14"/>
                <w:lang w:eastAsia="en-US"/>
              </w:rPr>
            </w:pPr>
            <w:proofErr w:type="spellStart"/>
            <w:r w:rsidRPr="00EF4A2D">
              <w:rPr>
                <w:rFonts w:eastAsia="Calibri"/>
                <w:sz w:val="14"/>
                <w:szCs w:val="14"/>
                <w:lang w:eastAsia="en-US"/>
              </w:rPr>
              <w:t>Taipei</w:t>
            </w:r>
            <w:proofErr w:type="spellEnd"/>
            <w:r w:rsidRPr="00EF4A2D">
              <w:rPr>
                <w:rFonts w:eastAsia="Calibri"/>
                <w:sz w:val="14"/>
                <w:szCs w:val="14"/>
                <w:lang w:eastAsia="en-US"/>
              </w:rPr>
              <w:t xml:space="preserve"> Chino</w:t>
            </w:r>
          </w:p>
        </w:tc>
        <w:tc>
          <w:tcPr>
            <w:tcW w:w="709" w:type="dxa"/>
            <w:tcBorders>
              <w:left w:val="single" w:sz="4" w:space="0" w:color="auto"/>
              <w:right w:val="single" w:sz="4" w:space="0" w:color="auto"/>
            </w:tcBorders>
            <w:shd w:val="clear" w:color="auto" w:fill="auto"/>
            <w:vAlign w:val="center"/>
          </w:tcPr>
          <w:p w14:paraId="240F2F4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314</w:t>
            </w:r>
          </w:p>
        </w:tc>
        <w:tc>
          <w:tcPr>
            <w:tcW w:w="708" w:type="dxa"/>
            <w:tcBorders>
              <w:left w:val="single" w:sz="4" w:space="0" w:color="auto"/>
              <w:right w:val="single" w:sz="4" w:space="0" w:color="auto"/>
            </w:tcBorders>
            <w:shd w:val="clear" w:color="auto" w:fill="auto"/>
            <w:vAlign w:val="center"/>
          </w:tcPr>
          <w:p w14:paraId="75945E9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2.1</w:t>
            </w:r>
          </w:p>
        </w:tc>
        <w:tc>
          <w:tcPr>
            <w:tcW w:w="567" w:type="dxa"/>
            <w:tcBorders>
              <w:left w:val="single" w:sz="4" w:space="0" w:color="auto"/>
              <w:right w:val="single" w:sz="4" w:space="0" w:color="auto"/>
            </w:tcBorders>
            <w:shd w:val="clear" w:color="auto" w:fill="auto"/>
            <w:vAlign w:val="center"/>
          </w:tcPr>
          <w:p w14:paraId="57FEF8B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w:t>
            </w:r>
          </w:p>
        </w:tc>
        <w:tc>
          <w:tcPr>
            <w:tcW w:w="284" w:type="dxa"/>
            <w:tcBorders>
              <w:left w:val="single" w:sz="4" w:space="0" w:color="auto"/>
              <w:right w:val="single" w:sz="4" w:space="0" w:color="auto"/>
            </w:tcBorders>
            <w:vAlign w:val="center"/>
          </w:tcPr>
          <w:p w14:paraId="6B976CC0"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2B33E269"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14</w:t>
            </w:r>
          </w:p>
        </w:tc>
        <w:tc>
          <w:tcPr>
            <w:tcW w:w="1842" w:type="dxa"/>
            <w:tcBorders>
              <w:left w:val="single" w:sz="4" w:space="0" w:color="auto"/>
              <w:right w:val="single" w:sz="4" w:space="0" w:color="auto"/>
            </w:tcBorders>
            <w:shd w:val="clear" w:color="auto" w:fill="auto"/>
            <w:vAlign w:val="center"/>
          </w:tcPr>
          <w:p w14:paraId="008195EA"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 xml:space="preserve">Turquía </w:t>
            </w:r>
          </w:p>
        </w:tc>
        <w:tc>
          <w:tcPr>
            <w:tcW w:w="709" w:type="dxa"/>
            <w:tcBorders>
              <w:left w:val="single" w:sz="4" w:space="0" w:color="auto"/>
              <w:right w:val="single" w:sz="4" w:space="0" w:color="auto"/>
            </w:tcBorders>
            <w:shd w:val="clear" w:color="auto" w:fill="auto"/>
            <w:vAlign w:val="center"/>
          </w:tcPr>
          <w:p w14:paraId="0660D53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242</w:t>
            </w:r>
          </w:p>
        </w:tc>
        <w:tc>
          <w:tcPr>
            <w:tcW w:w="709" w:type="dxa"/>
            <w:tcBorders>
              <w:left w:val="single" w:sz="4" w:space="0" w:color="auto"/>
              <w:right w:val="single" w:sz="4" w:space="0" w:color="auto"/>
            </w:tcBorders>
            <w:shd w:val="clear" w:color="auto" w:fill="auto"/>
            <w:vAlign w:val="center"/>
          </w:tcPr>
          <w:p w14:paraId="4BE0D3C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1.6</w:t>
            </w:r>
          </w:p>
        </w:tc>
        <w:tc>
          <w:tcPr>
            <w:tcW w:w="567" w:type="dxa"/>
            <w:tcBorders>
              <w:left w:val="single" w:sz="4" w:space="0" w:color="auto"/>
              <w:right w:val="single" w:sz="4" w:space="0" w:color="auto"/>
            </w:tcBorders>
            <w:shd w:val="clear" w:color="auto" w:fill="auto"/>
            <w:vAlign w:val="center"/>
          </w:tcPr>
          <w:p w14:paraId="0B29907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w:t>
            </w:r>
          </w:p>
        </w:tc>
      </w:tr>
      <w:tr w:rsidR="00EF4A2D" w:rsidRPr="00EF4A2D" w14:paraId="5CB8CC60" w14:textId="77777777" w:rsidTr="00B9606F">
        <w:trPr>
          <w:jc w:val="center"/>
        </w:trPr>
        <w:tc>
          <w:tcPr>
            <w:tcW w:w="709" w:type="dxa"/>
            <w:tcBorders>
              <w:left w:val="single" w:sz="4" w:space="0" w:color="auto"/>
              <w:right w:val="single" w:sz="4" w:space="0" w:color="auto"/>
            </w:tcBorders>
            <w:shd w:val="clear" w:color="auto" w:fill="auto"/>
            <w:vAlign w:val="center"/>
          </w:tcPr>
          <w:p w14:paraId="5942FB6B"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15</w:t>
            </w:r>
          </w:p>
        </w:tc>
        <w:tc>
          <w:tcPr>
            <w:tcW w:w="1843" w:type="dxa"/>
            <w:tcBorders>
              <w:left w:val="single" w:sz="4" w:space="0" w:color="auto"/>
              <w:right w:val="single" w:sz="4" w:space="0" w:color="auto"/>
            </w:tcBorders>
            <w:shd w:val="clear" w:color="auto" w:fill="auto"/>
            <w:vAlign w:val="center"/>
          </w:tcPr>
          <w:p w14:paraId="79B4154E"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Australia</w:t>
            </w:r>
          </w:p>
        </w:tc>
        <w:tc>
          <w:tcPr>
            <w:tcW w:w="709" w:type="dxa"/>
            <w:tcBorders>
              <w:left w:val="single" w:sz="4" w:space="0" w:color="auto"/>
              <w:right w:val="single" w:sz="4" w:space="0" w:color="auto"/>
            </w:tcBorders>
            <w:shd w:val="clear" w:color="auto" w:fill="auto"/>
            <w:vAlign w:val="center"/>
          </w:tcPr>
          <w:p w14:paraId="0CA23E9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240</w:t>
            </w:r>
          </w:p>
        </w:tc>
        <w:tc>
          <w:tcPr>
            <w:tcW w:w="708" w:type="dxa"/>
            <w:tcBorders>
              <w:left w:val="single" w:sz="4" w:space="0" w:color="auto"/>
              <w:right w:val="single" w:sz="4" w:space="0" w:color="auto"/>
            </w:tcBorders>
            <w:shd w:val="clear" w:color="auto" w:fill="auto"/>
            <w:vAlign w:val="center"/>
          </w:tcPr>
          <w:p w14:paraId="4747ADA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1.6</w:t>
            </w:r>
          </w:p>
        </w:tc>
        <w:tc>
          <w:tcPr>
            <w:tcW w:w="567" w:type="dxa"/>
            <w:tcBorders>
              <w:left w:val="single" w:sz="4" w:space="0" w:color="auto"/>
              <w:right w:val="single" w:sz="4" w:space="0" w:color="auto"/>
            </w:tcBorders>
            <w:shd w:val="clear" w:color="auto" w:fill="auto"/>
            <w:vAlign w:val="center"/>
          </w:tcPr>
          <w:p w14:paraId="23DE8DA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c>
          <w:tcPr>
            <w:tcW w:w="284" w:type="dxa"/>
            <w:tcBorders>
              <w:left w:val="single" w:sz="4" w:space="0" w:color="auto"/>
              <w:right w:val="single" w:sz="4" w:space="0" w:color="auto"/>
            </w:tcBorders>
            <w:vAlign w:val="center"/>
          </w:tcPr>
          <w:p w14:paraId="2BEC33C7"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1F8B2E6A"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15</w:t>
            </w:r>
          </w:p>
        </w:tc>
        <w:tc>
          <w:tcPr>
            <w:tcW w:w="1842" w:type="dxa"/>
            <w:tcBorders>
              <w:left w:val="single" w:sz="4" w:space="0" w:color="auto"/>
              <w:right w:val="single" w:sz="4" w:space="0" w:color="auto"/>
            </w:tcBorders>
            <w:shd w:val="clear" w:color="auto" w:fill="auto"/>
            <w:vAlign w:val="center"/>
          </w:tcPr>
          <w:p w14:paraId="3980592C"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Brasil</w:t>
            </w:r>
          </w:p>
        </w:tc>
        <w:tc>
          <w:tcPr>
            <w:tcW w:w="709" w:type="dxa"/>
            <w:tcBorders>
              <w:left w:val="single" w:sz="4" w:space="0" w:color="auto"/>
              <w:right w:val="single" w:sz="4" w:space="0" w:color="auto"/>
            </w:tcBorders>
            <w:shd w:val="clear" w:color="auto" w:fill="auto"/>
            <w:vAlign w:val="center"/>
          </w:tcPr>
          <w:p w14:paraId="0BE9BD7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239</w:t>
            </w:r>
          </w:p>
        </w:tc>
        <w:tc>
          <w:tcPr>
            <w:tcW w:w="709" w:type="dxa"/>
            <w:tcBorders>
              <w:left w:val="single" w:sz="4" w:space="0" w:color="auto"/>
              <w:right w:val="single" w:sz="4" w:space="0" w:color="auto"/>
            </w:tcBorders>
            <w:shd w:val="clear" w:color="auto" w:fill="auto"/>
            <w:vAlign w:val="center"/>
          </w:tcPr>
          <w:p w14:paraId="21160E7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1.6</w:t>
            </w:r>
          </w:p>
        </w:tc>
        <w:tc>
          <w:tcPr>
            <w:tcW w:w="567" w:type="dxa"/>
            <w:tcBorders>
              <w:left w:val="single" w:sz="4" w:space="0" w:color="auto"/>
              <w:right w:val="single" w:sz="4" w:space="0" w:color="auto"/>
            </w:tcBorders>
            <w:shd w:val="clear" w:color="auto" w:fill="auto"/>
            <w:vAlign w:val="center"/>
          </w:tcPr>
          <w:p w14:paraId="6636BB3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r>
      <w:tr w:rsidR="00EF4A2D" w:rsidRPr="00EF4A2D" w14:paraId="16AA1D87" w14:textId="77777777" w:rsidTr="00B9606F">
        <w:trPr>
          <w:jc w:val="center"/>
        </w:trPr>
        <w:tc>
          <w:tcPr>
            <w:tcW w:w="709" w:type="dxa"/>
            <w:tcBorders>
              <w:left w:val="single" w:sz="4" w:space="0" w:color="auto"/>
              <w:right w:val="single" w:sz="4" w:space="0" w:color="auto"/>
            </w:tcBorders>
            <w:shd w:val="clear" w:color="auto" w:fill="auto"/>
            <w:vAlign w:val="center"/>
          </w:tcPr>
          <w:p w14:paraId="38855CD6"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16</w:t>
            </w:r>
          </w:p>
        </w:tc>
        <w:tc>
          <w:tcPr>
            <w:tcW w:w="1843" w:type="dxa"/>
            <w:tcBorders>
              <w:left w:val="single" w:sz="4" w:space="0" w:color="auto"/>
              <w:right w:val="single" w:sz="4" w:space="0" w:color="auto"/>
            </w:tcBorders>
            <w:shd w:val="clear" w:color="auto" w:fill="auto"/>
            <w:vAlign w:val="center"/>
          </w:tcPr>
          <w:p w14:paraId="6F474F09"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Suiza</w:t>
            </w:r>
          </w:p>
        </w:tc>
        <w:tc>
          <w:tcPr>
            <w:tcW w:w="709" w:type="dxa"/>
            <w:tcBorders>
              <w:left w:val="single" w:sz="4" w:space="0" w:color="auto"/>
              <w:right w:val="single" w:sz="4" w:space="0" w:color="auto"/>
            </w:tcBorders>
            <w:shd w:val="clear" w:color="auto" w:fill="auto"/>
            <w:vAlign w:val="center"/>
          </w:tcPr>
          <w:p w14:paraId="1DB00F8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239</w:t>
            </w:r>
          </w:p>
        </w:tc>
        <w:tc>
          <w:tcPr>
            <w:tcW w:w="708" w:type="dxa"/>
            <w:tcBorders>
              <w:left w:val="single" w:sz="4" w:space="0" w:color="auto"/>
              <w:right w:val="single" w:sz="4" w:space="0" w:color="auto"/>
            </w:tcBorders>
            <w:shd w:val="clear" w:color="auto" w:fill="auto"/>
            <w:vAlign w:val="center"/>
          </w:tcPr>
          <w:p w14:paraId="06512A5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1.6</w:t>
            </w:r>
          </w:p>
        </w:tc>
        <w:tc>
          <w:tcPr>
            <w:tcW w:w="567" w:type="dxa"/>
            <w:tcBorders>
              <w:left w:val="single" w:sz="4" w:space="0" w:color="auto"/>
              <w:right w:val="single" w:sz="4" w:space="0" w:color="auto"/>
            </w:tcBorders>
            <w:shd w:val="clear" w:color="auto" w:fill="auto"/>
            <w:vAlign w:val="center"/>
          </w:tcPr>
          <w:p w14:paraId="72D1A26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w:t>
            </w:r>
          </w:p>
        </w:tc>
        <w:tc>
          <w:tcPr>
            <w:tcW w:w="284" w:type="dxa"/>
            <w:tcBorders>
              <w:left w:val="single" w:sz="4" w:space="0" w:color="auto"/>
              <w:right w:val="single" w:sz="4" w:space="0" w:color="auto"/>
            </w:tcBorders>
            <w:vAlign w:val="center"/>
          </w:tcPr>
          <w:p w14:paraId="6F4FDA46"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6575AAAF"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16</w:t>
            </w:r>
          </w:p>
        </w:tc>
        <w:tc>
          <w:tcPr>
            <w:tcW w:w="1842" w:type="dxa"/>
            <w:tcBorders>
              <w:left w:val="single" w:sz="4" w:space="0" w:color="auto"/>
              <w:right w:val="single" w:sz="4" w:space="0" w:color="auto"/>
            </w:tcBorders>
            <w:shd w:val="clear" w:color="auto" w:fill="auto"/>
            <w:vAlign w:val="center"/>
          </w:tcPr>
          <w:p w14:paraId="6E21F422"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Australia</w:t>
            </w:r>
          </w:p>
        </w:tc>
        <w:tc>
          <w:tcPr>
            <w:tcW w:w="709" w:type="dxa"/>
            <w:tcBorders>
              <w:left w:val="single" w:sz="4" w:space="0" w:color="auto"/>
              <w:right w:val="single" w:sz="4" w:space="0" w:color="auto"/>
            </w:tcBorders>
            <w:shd w:val="clear" w:color="auto" w:fill="auto"/>
            <w:vAlign w:val="center"/>
          </w:tcPr>
          <w:p w14:paraId="279FA02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238</w:t>
            </w:r>
          </w:p>
        </w:tc>
        <w:tc>
          <w:tcPr>
            <w:tcW w:w="709" w:type="dxa"/>
            <w:tcBorders>
              <w:left w:val="single" w:sz="4" w:space="0" w:color="auto"/>
              <w:right w:val="single" w:sz="4" w:space="0" w:color="auto"/>
            </w:tcBorders>
            <w:shd w:val="clear" w:color="auto" w:fill="auto"/>
            <w:vAlign w:val="center"/>
          </w:tcPr>
          <w:p w14:paraId="31CFF64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1.6</w:t>
            </w:r>
          </w:p>
        </w:tc>
        <w:tc>
          <w:tcPr>
            <w:tcW w:w="567" w:type="dxa"/>
            <w:tcBorders>
              <w:left w:val="single" w:sz="4" w:space="0" w:color="auto"/>
              <w:right w:val="single" w:sz="4" w:space="0" w:color="auto"/>
            </w:tcBorders>
            <w:shd w:val="clear" w:color="auto" w:fill="auto"/>
            <w:vAlign w:val="center"/>
          </w:tcPr>
          <w:p w14:paraId="1227A9C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r>
      <w:tr w:rsidR="00EF4A2D" w:rsidRPr="00EF4A2D" w14:paraId="6B058528" w14:textId="77777777" w:rsidTr="00B9606F">
        <w:trPr>
          <w:jc w:val="center"/>
        </w:trPr>
        <w:tc>
          <w:tcPr>
            <w:tcW w:w="709" w:type="dxa"/>
            <w:tcBorders>
              <w:left w:val="single" w:sz="4" w:space="0" w:color="auto"/>
              <w:right w:val="single" w:sz="4" w:space="0" w:color="auto"/>
            </w:tcBorders>
            <w:shd w:val="clear" w:color="auto" w:fill="auto"/>
            <w:vAlign w:val="center"/>
          </w:tcPr>
          <w:p w14:paraId="173B87C8"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17</w:t>
            </w:r>
          </w:p>
        </w:tc>
        <w:tc>
          <w:tcPr>
            <w:tcW w:w="1843" w:type="dxa"/>
            <w:tcBorders>
              <w:left w:val="single" w:sz="4" w:space="0" w:color="auto"/>
              <w:right w:val="single" w:sz="4" w:space="0" w:color="auto"/>
            </w:tcBorders>
            <w:shd w:val="clear" w:color="auto" w:fill="auto"/>
            <w:vAlign w:val="center"/>
          </w:tcPr>
          <w:p w14:paraId="61D4BEEC"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Malasia</w:t>
            </w:r>
          </w:p>
        </w:tc>
        <w:tc>
          <w:tcPr>
            <w:tcW w:w="709" w:type="dxa"/>
            <w:tcBorders>
              <w:left w:val="single" w:sz="4" w:space="0" w:color="auto"/>
              <w:right w:val="single" w:sz="4" w:space="0" w:color="auto"/>
            </w:tcBorders>
            <w:shd w:val="clear" w:color="auto" w:fill="auto"/>
            <w:vAlign w:val="center"/>
          </w:tcPr>
          <w:p w14:paraId="39AD579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234</w:t>
            </w:r>
          </w:p>
        </w:tc>
        <w:tc>
          <w:tcPr>
            <w:tcW w:w="708" w:type="dxa"/>
            <w:tcBorders>
              <w:left w:val="single" w:sz="4" w:space="0" w:color="auto"/>
              <w:right w:val="single" w:sz="4" w:space="0" w:color="auto"/>
            </w:tcBorders>
            <w:shd w:val="clear" w:color="auto" w:fill="auto"/>
            <w:vAlign w:val="center"/>
          </w:tcPr>
          <w:p w14:paraId="4A05753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1.6</w:t>
            </w:r>
          </w:p>
        </w:tc>
        <w:tc>
          <w:tcPr>
            <w:tcW w:w="567" w:type="dxa"/>
            <w:tcBorders>
              <w:left w:val="single" w:sz="4" w:space="0" w:color="auto"/>
              <w:right w:val="single" w:sz="4" w:space="0" w:color="auto"/>
            </w:tcBorders>
            <w:shd w:val="clear" w:color="auto" w:fill="auto"/>
            <w:vAlign w:val="center"/>
          </w:tcPr>
          <w:p w14:paraId="4E6DF45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w:t>
            </w:r>
          </w:p>
        </w:tc>
        <w:tc>
          <w:tcPr>
            <w:tcW w:w="284" w:type="dxa"/>
            <w:tcBorders>
              <w:left w:val="single" w:sz="4" w:space="0" w:color="auto"/>
              <w:right w:val="single" w:sz="4" w:space="0" w:color="auto"/>
            </w:tcBorders>
            <w:vAlign w:val="center"/>
          </w:tcPr>
          <w:p w14:paraId="6B43FDD4"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2A6DA5C1"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17</w:t>
            </w:r>
          </w:p>
        </w:tc>
        <w:tc>
          <w:tcPr>
            <w:tcW w:w="1842" w:type="dxa"/>
            <w:tcBorders>
              <w:left w:val="single" w:sz="4" w:space="0" w:color="auto"/>
              <w:right w:val="single" w:sz="4" w:space="0" w:color="auto"/>
            </w:tcBorders>
            <w:shd w:val="clear" w:color="auto" w:fill="auto"/>
            <w:vAlign w:val="center"/>
          </w:tcPr>
          <w:p w14:paraId="4B7C9AC7"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Tailandia</w:t>
            </w:r>
          </w:p>
        </w:tc>
        <w:tc>
          <w:tcPr>
            <w:tcW w:w="709" w:type="dxa"/>
            <w:tcBorders>
              <w:left w:val="single" w:sz="4" w:space="0" w:color="auto"/>
              <w:right w:val="single" w:sz="4" w:space="0" w:color="auto"/>
            </w:tcBorders>
            <w:shd w:val="clear" w:color="auto" w:fill="auto"/>
            <w:vAlign w:val="center"/>
          </w:tcPr>
          <w:p w14:paraId="064AB0F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228</w:t>
            </w:r>
          </w:p>
        </w:tc>
        <w:tc>
          <w:tcPr>
            <w:tcW w:w="709" w:type="dxa"/>
            <w:tcBorders>
              <w:left w:val="single" w:sz="4" w:space="0" w:color="auto"/>
              <w:right w:val="single" w:sz="4" w:space="0" w:color="auto"/>
            </w:tcBorders>
            <w:shd w:val="clear" w:color="auto" w:fill="auto"/>
            <w:vAlign w:val="center"/>
          </w:tcPr>
          <w:p w14:paraId="7A72CF8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1.5</w:t>
            </w:r>
          </w:p>
        </w:tc>
        <w:tc>
          <w:tcPr>
            <w:tcW w:w="567" w:type="dxa"/>
            <w:tcBorders>
              <w:left w:val="single" w:sz="4" w:space="0" w:color="auto"/>
              <w:right w:val="single" w:sz="4" w:space="0" w:color="auto"/>
            </w:tcBorders>
            <w:shd w:val="clear" w:color="auto" w:fill="auto"/>
            <w:vAlign w:val="center"/>
          </w:tcPr>
          <w:p w14:paraId="2191A22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-9</w:t>
            </w:r>
          </w:p>
        </w:tc>
      </w:tr>
      <w:tr w:rsidR="00EF4A2D" w:rsidRPr="00EF4A2D" w14:paraId="0F56F7EF" w14:textId="77777777" w:rsidTr="00B9606F">
        <w:trPr>
          <w:jc w:val="center"/>
        </w:trPr>
        <w:tc>
          <w:tcPr>
            <w:tcW w:w="709" w:type="dxa"/>
            <w:tcBorders>
              <w:left w:val="single" w:sz="4" w:space="0" w:color="auto"/>
              <w:right w:val="single" w:sz="4" w:space="0" w:color="auto"/>
            </w:tcBorders>
            <w:shd w:val="clear" w:color="auto" w:fill="auto"/>
            <w:vAlign w:val="center"/>
          </w:tcPr>
          <w:p w14:paraId="4DD24013"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18</w:t>
            </w:r>
          </w:p>
        </w:tc>
        <w:tc>
          <w:tcPr>
            <w:tcW w:w="1843" w:type="dxa"/>
            <w:tcBorders>
              <w:left w:val="single" w:sz="4" w:space="0" w:color="auto"/>
              <w:right w:val="single" w:sz="4" w:space="0" w:color="auto"/>
            </w:tcBorders>
            <w:shd w:val="clear" w:color="auto" w:fill="auto"/>
            <w:vAlign w:val="center"/>
          </w:tcPr>
          <w:p w14:paraId="15F0EC27"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Tailandia</w:t>
            </w:r>
          </w:p>
        </w:tc>
        <w:tc>
          <w:tcPr>
            <w:tcW w:w="709" w:type="dxa"/>
            <w:tcBorders>
              <w:left w:val="single" w:sz="4" w:space="0" w:color="auto"/>
              <w:right w:val="single" w:sz="4" w:space="0" w:color="auto"/>
            </w:tcBorders>
            <w:shd w:val="clear" w:color="auto" w:fill="auto"/>
            <w:vAlign w:val="center"/>
          </w:tcPr>
          <w:p w14:paraId="56A0401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228</w:t>
            </w:r>
          </w:p>
        </w:tc>
        <w:tc>
          <w:tcPr>
            <w:tcW w:w="708" w:type="dxa"/>
            <w:tcBorders>
              <w:left w:val="single" w:sz="4" w:space="0" w:color="auto"/>
              <w:right w:val="single" w:sz="4" w:space="0" w:color="auto"/>
            </w:tcBorders>
            <w:shd w:val="clear" w:color="auto" w:fill="auto"/>
            <w:vAlign w:val="center"/>
          </w:tcPr>
          <w:p w14:paraId="5CC703A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1.5</w:t>
            </w:r>
          </w:p>
        </w:tc>
        <w:tc>
          <w:tcPr>
            <w:tcW w:w="567" w:type="dxa"/>
            <w:tcBorders>
              <w:left w:val="single" w:sz="4" w:space="0" w:color="auto"/>
              <w:right w:val="single" w:sz="4" w:space="0" w:color="auto"/>
            </w:tcBorders>
            <w:shd w:val="clear" w:color="auto" w:fill="auto"/>
            <w:vAlign w:val="center"/>
          </w:tcPr>
          <w:p w14:paraId="59E4D777"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w:t>
            </w:r>
          </w:p>
        </w:tc>
        <w:tc>
          <w:tcPr>
            <w:tcW w:w="284" w:type="dxa"/>
            <w:tcBorders>
              <w:left w:val="single" w:sz="4" w:space="0" w:color="auto"/>
              <w:right w:val="single" w:sz="4" w:space="0" w:color="auto"/>
            </w:tcBorders>
            <w:vAlign w:val="center"/>
          </w:tcPr>
          <w:p w14:paraId="3B2AE558"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77AD3722"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shd w:val="clear" w:color="auto" w:fill="FDE9D9"/>
                <w:lang w:eastAsia="en-US"/>
              </w:rPr>
              <w:t>1</w:t>
            </w:r>
            <w:r w:rsidRPr="00EF4A2D">
              <w:rPr>
                <w:rFonts w:eastAsia="Calibri"/>
                <w:sz w:val="14"/>
                <w:szCs w:val="14"/>
                <w:lang w:eastAsia="en-US"/>
              </w:rPr>
              <w:t>8</w:t>
            </w:r>
          </w:p>
        </w:tc>
        <w:tc>
          <w:tcPr>
            <w:tcW w:w="1842" w:type="dxa"/>
            <w:tcBorders>
              <w:left w:val="single" w:sz="4" w:space="0" w:color="auto"/>
              <w:right w:val="single" w:sz="4" w:space="0" w:color="auto"/>
            </w:tcBorders>
            <w:shd w:val="clear" w:color="auto" w:fill="auto"/>
            <w:vAlign w:val="center"/>
          </w:tcPr>
          <w:p w14:paraId="4B290F35"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 xml:space="preserve">Malasia </w:t>
            </w:r>
          </w:p>
        </w:tc>
        <w:tc>
          <w:tcPr>
            <w:tcW w:w="709" w:type="dxa"/>
            <w:tcBorders>
              <w:left w:val="single" w:sz="4" w:space="0" w:color="auto"/>
              <w:right w:val="single" w:sz="4" w:space="0" w:color="auto"/>
            </w:tcBorders>
            <w:shd w:val="clear" w:color="auto" w:fill="auto"/>
            <w:vAlign w:val="center"/>
          </w:tcPr>
          <w:p w14:paraId="013947D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209</w:t>
            </w:r>
          </w:p>
        </w:tc>
        <w:tc>
          <w:tcPr>
            <w:tcW w:w="709" w:type="dxa"/>
            <w:tcBorders>
              <w:left w:val="single" w:sz="4" w:space="0" w:color="auto"/>
              <w:right w:val="single" w:sz="4" w:space="0" w:color="auto"/>
            </w:tcBorders>
            <w:shd w:val="clear" w:color="auto" w:fill="auto"/>
            <w:vAlign w:val="center"/>
          </w:tcPr>
          <w:p w14:paraId="0D859F9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1.4</w:t>
            </w:r>
          </w:p>
        </w:tc>
        <w:tc>
          <w:tcPr>
            <w:tcW w:w="567" w:type="dxa"/>
            <w:tcBorders>
              <w:left w:val="single" w:sz="4" w:space="0" w:color="auto"/>
              <w:right w:val="single" w:sz="4" w:space="0" w:color="auto"/>
            </w:tcBorders>
            <w:shd w:val="clear" w:color="auto" w:fill="auto"/>
            <w:vAlign w:val="center"/>
          </w:tcPr>
          <w:p w14:paraId="5A47CB8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r>
      <w:tr w:rsidR="00EF4A2D" w:rsidRPr="00EF4A2D" w14:paraId="25C2267D" w14:textId="77777777" w:rsidTr="00B9606F">
        <w:trPr>
          <w:jc w:val="center"/>
        </w:trPr>
        <w:tc>
          <w:tcPr>
            <w:tcW w:w="709" w:type="dxa"/>
            <w:tcBorders>
              <w:left w:val="single" w:sz="4" w:space="0" w:color="auto"/>
              <w:right w:val="single" w:sz="4" w:space="0" w:color="auto"/>
            </w:tcBorders>
            <w:shd w:val="clear" w:color="auto" w:fill="auto"/>
            <w:vAlign w:val="center"/>
          </w:tcPr>
          <w:p w14:paraId="16724260"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19</w:t>
            </w:r>
          </w:p>
        </w:tc>
        <w:tc>
          <w:tcPr>
            <w:tcW w:w="1843" w:type="dxa"/>
            <w:tcBorders>
              <w:left w:val="single" w:sz="4" w:space="0" w:color="auto"/>
              <w:right w:val="single" w:sz="4" w:space="0" w:color="auto"/>
            </w:tcBorders>
            <w:shd w:val="clear" w:color="auto" w:fill="auto"/>
            <w:vAlign w:val="center"/>
          </w:tcPr>
          <w:p w14:paraId="38691958"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Brasil</w:t>
            </w:r>
          </w:p>
        </w:tc>
        <w:tc>
          <w:tcPr>
            <w:tcW w:w="709" w:type="dxa"/>
            <w:tcBorders>
              <w:left w:val="single" w:sz="4" w:space="0" w:color="auto"/>
              <w:right w:val="single" w:sz="4" w:space="0" w:color="auto"/>
            </w:tcBorders>
            <w:shd w:val="clear" w:color="auto" w:fill="auto"/>
            <w:vAlign w:val="center"/>
          </w:tcPr>
          <w:p w14:paraId="32FE0ED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225</w:t>
            </w:r>
          </w:p>
        </w:tc>
        <w:tc>
          <w:tcPr>
            <w:tcW w:w="708" w:type="dxa"/>
            <w:tcBorders>
              <w:left w:val="single" w:sz="4" w:space="0" w:color="auto"/>
              <w:right w:val="single" w:sz="4" w:space="0" w:color="auto"/>
            </w:tcBorders>
            <w:shd w:val="clear" w:color="auto" w:fill="auto"/>
            <w:vAlign w:val="center"/>
          </w:tcPr>
          <w:p w14:paraId="578C786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1.5</w:t>
            </w:r>
          </w:p>
        </w:tc>
        <w:tc>
          <w:tcPr>
            <w:tcW w:w="567" w:type="dxa"/>
            <w:tcBorders>
              <w:left w:val="single" w:sz="4" w:space="0" w:color="auto"/>
              <w:right w:val="single" w:sz="4" w:space="0" w:color="auto"/>
            </w:tcBorders>
            <w:shd w:val="clear" w:color="auto" w:fill="auto"/>
            <w:vAlign w:val="center"/>
          </w:tcPr>
          <w:p w14:paraId="42F475B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-7</w:t>
            </w:r>
          </w:p>
        </w:tc>
        <w:tc>
          <w:tcPr>
            <w:tcW w:w="284" w:type="dxa"/>
            <w:tcBorders>
              <w:left w:val="single" w:sz="4" w:space="0" w:color="auto"/>
              <w:right w:val="single" w:sz="4" w:space="0" w:color="auto"/>
            </w:tcBorders>
            <w:vAlign w:val="center"/>
          </w:tcPr>
          <w:p w14:paraId="3753D274"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25BD8D1A"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19</w:t>
            </w:r>
          </w:p>
        </w:tc>
        <w:tc>
          <w:tcPr>
            <w:tcW w:w="1842" w:type="dxa"/>
            <w:tcBorders>
              <w:left w:val="single" w:sz="4" w:space="0" w:color="auto"/>
              <w:right w:val="single" w:sz="4" w:space="0" w:color="auto"/>
            </w:tcBorders>
            <w:shd w:val="clear" w:color="auto" w:fill="auto"/>
            <w:vAlign w:val="center"/>
          </w:tcPr>
          <w:p w14:paraId="73DAD391"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Suiza</w:t>
            </w:r>
          </w:p>
        </w:tc>
        <w:tc>
          <w:tcPr>
            <w:tcW w:w="709" w:type="dxa"/>
            <w:tcBorders>
              <w:left w:val="single" w:sz="4" w:space="0" w:color="auto"/>
              <w:right w:val="single" w:sz="4" w:space="0" w:color="auto"/>
            </w:tcBorders>
            <w:shd w:val="clear" w:color="auto" w:fill="auto"/>
            <w:vAlign w:val="center"/>
          </w:tcPr>
          <w:p w14:paraId="2CF3599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203</w:t>
            </w:r>
          </w:p>
        </w:tc>
        <w:tc>
          <w:tcPr>
            <w:tcW w:w="709" w:type="dxa"/>
            <w:tcBorders>
              <w:left w:val="single" w:sz="4" w:space="0" w:color="auto"/>
              <w:right w:val="single" w:sz="4" w:space="0" w:color="auto"/>
            </w:tcBorders>
            <w:shd w:val="clear" w:color="auto" w:fill="auto"/>
            <w:vAlign w:val="center"/>
          </w:tcPr>
          <w:p w14:paraId="0EBFB4C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1.3</w:t>
            </w:r>
          </w:p>
        </w:tc>
        <w:tc>
          <w:tcPr>
            <w:tcW w:w="567" w:type="dxa"/>
            <w:tcBorders>
              <w:left w:val="single" w:sz="4" w:space="0" w:color="auto"/>
              <w:right w:val="single" w:sz="4" w:space="0" w:color="auto"/>
            </w:tcBorders>
            <w:shd w:val="clear" w:color="auto" w:fill="auto"/>
            <w:vAlign w:val="center"/>
          </w:tcPr>
          <w:p w14:paraId="6B8699A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r>
      <w:tr w:rsidR="00EF4A2D" w:rsidRPr="00EF4A2D" w14:paraId="1581BAD9" w14:textId="77777777" w:rsidTr="00B9606F">
        <w:trPr>
          <w:jc w:val="center"/>
        </w:trPr>
        <w:tc>
          <w:tcPr>
            <w:tcW w:w="709" w:type="dxa"/>
            <w:tcBorders>
              <w:left w:val="single" w:sz="4" w:space="0" w:color="auto"/>
              <w:right w:val="single" w:sz="4" w:space="0" w:color="auto"/>
            </w:tcBorders>
            <w:shd w:val="clear" w:color="auto" w:fill="auto"/>
            <w:vAlign w:val="center"/>
          </w:tcPr>
          <w:p w14:paraId="244B5C82"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20</w:t>
            </w:r>
          </w:p>
        </w:tc>
        <w:tc>
          <w:tcPr>
            <w:tcW w:w="1843" w:type="dxa"/>
            <w:tcBorders>
              <w:left w:val="single" w:sz="4" w:space="0" w:color="auto"/>
              <w:right w:val="single" w:sz="4" w:space="0" w:color="auto"/>
            </w:tcBorders>
            <w:shd w:val="clear" w:color="auto" w:fill="auto"/>
            <w:vAlign w:val="center"/>
          </w:tcPr>
          <w:p w14:paraId="7A28AB8F"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Indonesia</w:t>
            </w:r>
          </w:p>
        </w:tc>
        <w:tc>
          <w:tcPr>
            <w:tcW w:w="709" w:type="dxa"/>
            <w:tcBorders>
              <w:left w:val="single" w:sz="4" w:space="0" w:color="auto"/>
              <w:right w:val="single" w:sz="4" w:space="0" w:color="auto"/>
            </w:tcBorders>
            <w:shd w:val="clear" w:color="auto" w:fill="auto"/>
            <w:vAlign w:val="center"/>
          </w:tcPr>
          <w:p w14:paraId="054A7FF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176</w:t>
            </w:r>
          </w:p>
        </w:tc>
        <w:tc>
          <w:tcPr>
            <w:tcW w:w="708" w:type="dxa"/>
            <w:tcBorders>
              <w:left w:val="single" w:sz="4" w:space="0" w:color="auto"/>
              <w:right w:val="single" w:sz="4" w:space="0" w:color="auto"/>
            </w:tcBorders>
            <w:shd w:val="clear" w:color="auto" w:fill="auto"/>
            <w:vAlign w:val="center"/>
          </w:tcPr>
          <w:p w14:paraId="161BF9A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1.2</w:t>
            </w:r>
          </w:p>
        </w:tc>
        <w:tc>
          <w:tcPr>
            <w:tcW w:w="567" w:type="dxa"/>
            <w:tcBorders>
              <w:left w:val="single" w:sz="4" w:space="0" w:color="auto"/>
              <w:right w:val="single" w:sz="4" w:space="0" w:color="auto"/>
            </w:tcBorders>
            <w:shd w:val="clear" w:color="auto" w:fill="auto"/>
            <w:vAlign w:val="center"/>
          </w:tcPr>
          <w:p w14:paraId="4A463E9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w:t>
            </w:r>
          </w:p>
        </w:tc>
        <w:tc>
          <w:tcPr>
            <w:tcW w:w="284" w:type="dxa"/>
            <w:tcBorders>
              <w:left w:val="single" w:sz="4" w:space="0" w:color="auto"/>
              <w:right w:val="single" w:sz="4" w:space="0" w:color="auto"/>
            </w:tcBorders>
            <w:vAlign w:val="center"/>
          </w:tcPr>
          <w:p w14:paraId="03DCBB92"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46147BCC"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20</w:t>
            </w:r>
          </w:p>
        </w:tc>
        <w:tc>
          <w:tcPr>
            <w:tcW w:w="1842" w:type="dxa"/>
            <w:tcBorders>
              <w:left w:val="single" w:sz="4" w:space="0" w:color="auto"/>
              <w:right w:val="single" w:sz="4" w:space="0" w:color="auto"/>
            </w:tcBorders>
            <w:shd w:val="clear" w:color="auto" w:fill="auto"/>
            <w:vAlign w:val="center"/>
          </w:tcPr>
          <w:p w14:paraId="1ADE1DF3"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Indonesia</w:t>
            </w:r>
          </w:p>
        </w:tc>
        <w:tc>
          <w:tcPr>
            <w:tcW w:w="709" w:type="dxa"/>
            <w:tcBorders>
              <w:left w:val="single" w:sz="4" w:space="0" w:color="auto"/>
              <w:right w:val="single" w:sz="4" w:space="0" w:color="auto"/>
            </w:tcBorders>
            <w:shd w:val="clear" w:color="auto" w:fill="auto"/>
            <w:vAlign w:val="center"/>
          </w:tcPr>
          <w:p w14:paraId="562FA8C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178</w:t>
            </w:r>
          </w:p>
        </w:tc>
        <w:tc>
          <w:tcPr>
            <w:tcW w:w="709" w:type="dxa"/>
            <w:tcBorders>
              <w:left w:val="single" w:sz="4" w:space="0" w:color="auto"/>
              <w:right w:val="single" w:sz="4" w:space="0" w:color="auto"/>
            </w:tcBorders>
            <w:shd w:val="clear" w:color="auto" w:fill="auto"/>
            <w:vAlign w:val="center"/>
          </w:tcPr>
          <w:p w14:paraId="7D6AA84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1.2</w:t>
            </w:r>
          </w:p>
        </w:tc>
        <w:tc>
          <w:tcPr>
            <w:tcW w:w="567" w:type="dxa"/>
            <w:tcBorders>
              <w:left w:val="single" w:sz="4" w:space="0" w:color="auto"/>
              <w:right w:val="single" w:sz="4" w:space="0" w:color="auto"/>
            </w:tcBorders>
            <w:shd w:val="clear" w:color="auto" w:fill="auto"/>
            <w:vAlign w:val="center"/>
          </w:tcPr>
          <w:p w14:paraId="7FC7227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r>
      <w:tr w:rsidR="00EF4A2D" w:rsidRPr="00EF4A2D" w14:paraId="5318B0E9" w14:textId="77777777" w:rsidTr="00B9606F">
        <w:trPr>
          <w:jc w:val="center"/>
        </w:trPr>
        <w:tc>
          <w:tcPr>
            <w:tcW w:w="709" w:type="dxa"/>
            <w:tcBorders>
              <w:left w:val="single" w:sz="4" w:space="0" w:color="auto"/>
              <w:right w:val="single" w:sz="4" w:space="0" w:color="auto"/>
            </w:tcBorders>
            <w:shd w:val="clear" w:color="auto" w:fill="auto"/>
            <w:vAlign w:val="center"/>
          </w:tcPr>
          <w:p w14:paraId="2CE9D04E"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21</w:t>
            </w:r>
          </w:p>
        </w:tc>
        <w:tc>
          <w:tcPr>
            <w:tcW w:w="1843" w:type="dxa"/>
            <w:tcBorders>
              <w:left w:val="single" w:sz="4" w:space="0" w:color="auto"/>
              <w:right w:val="single" w:sz="4" w:space="0" w:color="auto"/>
            </w:tcBorders>
            <w:shd w:val="clear" w:color="auto" w:fill="auto"/>
            <w:vAlign w:val="center"/>
          </w:tcPr>
          <w:p w14:paraId="20E90007"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Turquía</w:t>
            </w:r>
          </w:p>
        </w:tc>
        <w:tc>
          <w:tcPr>
            <w:tcW w:w="709" w:type="dxa"/>
            <w:tcBorders>
              <w:left w:val="single" w:sz="4" w:space="0" w:color="auto"/>
              <w:right w:val="single" w:sz="4" w:space="0" w:color="auto"/>
            </w:tcBorders>
            <w:shd w:val="clear" w:color="auto" w:fill="auto"/>
            <w:vAlign w:val="center"/>
          </w:tcPr>
          <w:p w14:paraId="25B2CF2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158</w:t>
            </w:r>
          </w:p>
        </w:tc>
        <w:tc>
          <w:tcPr>
            <w:tcW w:w="708" w:type="dxa"/>
            <w:tcBorders>
              <w:left w:val="single" w:sz="4" w:space="0" w:color="auto"/>
              <w:right w:val="single" w:sz="4" w:space="0" w:color="auto"/>
            </w:tcBorders>
            <w:shd w:val="clear" w:color="auto" w:fill="auto"/>
            <w:vAlign w:val="center"/>
          </w:tcPr>
          <w:p w14:paraId="57C1F75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1.0</w:t>
            </w:r>
          </w:p>
        </w:tc>
        <w:tc>
          <w:tcPr>
            <w:tcW w:w="567" w:type="dxa"/>
            <w:tcBorders>
              <w:left w:val="single" w:sz="4" w:space="0" w:color="auto"/>
              <w:right w:val="single" w:sz="4" w:space="0" w:color="auto"/>
            </w:tcBorders>
            <w:shd w:val="clear" w:color="auto" w:fill="auto"/>
            <w:vAlign w:val="center"/>
          </w:tcPr>
          <w:p w14:paraId="473B8FB7"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4</w:t>
            </w:r>
          </w:p>
        </w:tc>
        <w:tc>
          <w:tcPr>
            <w:tcW w:w="284" w:type="dxa"/>
            <w:tcBorders>
              <w:left w:val="single" w:sz="4" w:space="0" w:color="auto"/>
              <w:right w:val="single" w:sz="4" w:space="0" w:color="auto"/>
            </w:tcBorders>
            <w:vAlign w:val="center"/>
          </w:tcPr>
          <w:p w14:paraId="53052CA8"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088F0652"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21</w:t>
            </w:r>
          </w:p>
        </w:tc>
        <w:tc>
          <w:tcPr>
            <w:tcW w:w="1842" w:type="dxa"/>
            <w:tcBorders>
              <w:left w:val="single" w:sz="4" w:space="0" w:color="auto"/>
              <w:right w:val="single" w:sz="4" w:space="0" w:color="auto"/>
            </w:tcBorders>
            <w:shd w:val="clear" w:color="auto" w:fill="auto"/>
            <w:vAlign w:val="center"/>
          </w:tcPr>
          <w:p w14:paraId="71F230BB"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Arabia Saudita</w:t>
            </w:r>
          </w:p>
        </w:tc>
        <w:tc>
          <w:tcPr>
            <w:tcW w:w="709" w:type="dxa"/>
            <w:tcBorders>
              <w:left w:val="single" w:sz="4" w:space="0" w:color="auto"/>
              <w:right w:val="single" w:sz="4" w:space="0" w:color="auto"/>
            </w:tcBorders>
            <w:shd w:val="clear" w:color="auto" w:fill="auto"/>
            <w:vAlign w:val="center"/>
          </w:tcPr>
          <w:p w14:paraId="734477E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163</w:t>
            </w:r>
          </w:p>
        </w:tc>
        <w:tc>
          <w:tcPr>
            <w:tcW w:w="709" w:type="dxa"/>
            <w:tcBorders>
              <w:left w:val="single" w:sz="4" w:space="0" w:color="auto"/>
              <w:right w:val="single" w:sz="4" w:space="0" w:color="auto"/>
            </w:tcBorders>
            <w:shd w:val="clear" w:color="auto" w:fill="auto"/>
            <w:vAlign w:val="center"/>
          </w:tcPr>
          <w:p w14:paraId="24B9EB5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1.1</w:t>
            </w:r>
          </w:p>
        </w:tc>
        <w:tc>
          <w:tcPr>
            <w:tcW w:w="567" w:type="dxa"/>
            <w:tcBorders>
              <w:left w:val="single" w:sz="4" w:space="0" w:color="auto"/>
              <w:right w:val="single" w:sz="4" w:space="0" w:color="auto"/>
            </w:tcBorders>
            <w:shd w:val="clear" w:color="auto" w:fill="auto"/>
            <w:vAlign w:val="center"/>
          </w:tcPr>
          <w:p w14:paraId="0B86F2A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w:t>
            </w:r>
          </w:p>
        </w:tc>
      </w:tr>
      <w:tr w:rsidR="00EF4A2D" w:rsidRPr="00EF4A2D" w14:paraId="5B4FDD35" w14:textId="77777777" w:rsidTr="00B9606F">
        <w:trPr>
          <w:jc w:val="center"/>
        </w:trPr>
        <w:tc>
          <w:tcPr>
            <w:tcW w:w="709" w:type="dxa"/>
            <w:tcBorders>
              <w:left w:val="single" w:sz="4" w:space="0" w:color="auto"/>
              <w:right w:val="single" w:sz="4" w:space="0" w:color="auto"/>
            </w:tcBorders>
            <w:shd w:val="clear" w:color="auto" w:fill="auto"/>
            <w:vAlign w:val="center"/>
          </w:tcPr>
          <w:p w14:paraId="7547C138"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22</w:t>
            </w:r>
          </w:p>
        </w:tc>
        <w:tc>
          <w:tcPr>
            <w:tcW w:w="1843" w:type="dxa"/>
            <w:tcBorders>
              <w:left w:val="single" w:sz="4" w:space="0" w:color="auto"/>
              <w:right w:val="single" w:sz="4" w:space="0" w:color="auto"/>
            </w:tcBorders>
            <w:shd w:val="clear" w:color="auto" w:fill="auto"/>
            <w:vAlign w:val="center"/>
          </w:tcPr>
          <w:p w14:paraId="5CCC74BB"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Vietnam</w:t>
            </w:r>
          </w:p>
        </w:tc>
        <w:tc>
          <w:tcPr>
            <w:tcW w:w="709" w:type="dxa"/>
            <w:tcBorders>
              <w:left w:val="single" w:sz="4" w:space="0" w:color="auto"/>
              <w:right w:val="single" w:sz="4" w:space="0" w:color="auto"/>
            </w:tcBorders>
            <w:shd w:val="clear" w:color="auto" w:fill="auto"/>
            <w:vAlign w:val="center"/>
          </w:tcPr>
          <w:p w14:paraId="2AA71FA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150</w:t>
            </w:r>
          </w:p>
        </w:tc>
        <w:tc>
          <w:tcPr>
            <w:tcW w:w="708" w:type="dxa"/>
            <w:tcBorders>
              <w:left w:val="single" w:sz="4" w:space="0" w:color="auto"/>
              <w:right w:val="single" w:sz="4" w:space="0" w:color="auto"/>
            </w:tcBorders>
            <w:shd w:val="clear" w:color="auto" w:fill="auto"/>
            <w:vAlign w:val="center"/>
          </w:tcPr>
          <w:p w14:paraId="6875E47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1.0</w:t>
            </w:r>
          </w:p>
        </w:tc>
        <w:tc>
          <w:tcPr>
            <w:tcW w:w="567" w:type="dxa"/>
            <w:tcBorders>
              <w:left w:val="single" w:sz="4" w:space="0" w:color="auto"/>
              <w:right w:val="single" w:sz="4" w:space="0" w:color="auto"/>
            </w:tcBorders>
            <w:shd w:val="clear" w:color="auto" w:fill="auto"/>
            <w:vAlign w:val="center"/>
          </w:tcPr>
          <w:p w14:paraId="0DCB90A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14</w:t>
            </w:r>
          </w:p>
        </w:tc>
        <w:tc>
          <w:tcPr>
            <w:tcW w:w="284" w:type="dxa"/>
            <w:tcBorders>
              <w:left w:val="single" w:sz="4" w:space="0" w:color="auto"/>
              <w:right w:val="single" w:sz="4" w:space="0" w:color="auto"/>
            </w:tcBorders>
            <w:vAlign w:val="center"/>
          </w:tcPr>
          <w:p w14:paraId="557989E5"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32AC029D"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22</w:t>
            </w:r>
          </w:p>
        </w:tc>
        <w:tc>
          <w:tcPr>
            <w:tcW w:w="1842" w:type="dxa"/>
            <w:tcBorders>
              <w:left w:val="single" w:sz="4" w:space="0" w:color="auto"/>
              <w:right w:val="single" w:sz="4" w:space="0" w:color="auto"/>
            </w:tcBorders>
            <w:shd w:val="clear" w:color="auto" w:fill="auto"/>
            <w:vAlign w:val="center"/>
          </w:tcPr>
          <w:p w14:paraId="0BED1482"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 xml:space="preserve">Vietnam </w:t>
            </w:r>
          </w:p>
        </w:tc>
        <w:tc>
          <w:tcPr>
            <w:tcW w:w="709" w:type="dxa"/>
            <w:tcBorders>
              <w:left w:val="single" w:sz="4" w:space="0" w:color="auto"/>
              <w:right w:val="single" w:sz="4" w:space="0" w:color="auto"/>
            </w:tcBorders>
            <w:shd w:val="clear" w:color="auto" w:fill="auto"/>
            <w:vAlign w:val="center"/>
          </w:tcPr>
          <w:p w14:paraId="2138800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149</w:t>
            </w:r>
          </w:p>
        </w:tc>
        <w:tc>
          <w:tcPr>
            <w:tcW w:w="709" w:type="dxa"/>
            <w:tcBorders>
              <w:left w:val="single" w:sz="4" w:space="0" w:color="auto"/>
              <w:right w:val="single" w:sz="4" w:space="0" w:color="auto"/>
            </w:tcBorders>
            <w:shd w:val="clear" w:color="auto" w:fill="auto"/>
            <w:vAlign w:val="center"/>
          </w:tcPr>
          <w:p w14:paraId="0F94DE0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1.0</w:t>
            </w:r>
          </w:p>
        </w:tc>
        <w:tc>
          <w:tcPr>
            <w:tcW w:w="567" w:type="dxa"/>
            <w:tcBorders>
              <w:left w:val="single" w:sz="4" w:space="0" w:color="auto"/>
              <w:right w:val="single" w:sz="4" w:space="0" w:color="auto"/>
            </w:tcBorders>
            <w:shd w:val="clear" w:color="auto" w:fill="auto"/>
            <w:vAlign w:val="center"/>
          </w:tcPr>
          <w:p w14:paraId="5D1720B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13</w:t>
            </w:r>
          </w:p>
        </w:tc>
      </w:tr>
      <w:tr w:rsidR="00EF4A2D" w:rsidRPr="00EF4A2D" w14:paraId="0C346490" w14:textId="77777777" w:rsidTr="00B9606F">
        <w:trPr>
          <w:jc w:val="center"/>
        </w:trPr>
        <w:tc>
          <w:tcPr>
            <w:tcW w:w="709" w:type="dxa"/>
            <w:tcBorders>
              <w:left w:val="single" w:sz="4" w:space="0" w:color="auto"/>
              <w:right w:val="single" w:sz="4" w:space="0" w:color="auto"/>
            </w:tcBorders>
            <w:shd w:val="clear" w:color="auto" w:fill="auto"/>
            <w:vAlign w:val="center"/>
          </w:tcPr>
          <w:p w14:paraId="21E61F56"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23</w:t>
            </w:r>
          </w:p>
        </w:tc>
        <w:tc>
          <w:tcPr>
            <w:tcW w:w="1843" w:type="dxa"/>
            <w:tcBorders>
              <w:left w:val="single" w:sz="4" w:space="0" w:color="auto"/>
              <w:right w:val="single" w:sz="4" w:space="0" w:color="auto"/>
            </w:tcBorders>
            <w:shd w:val="clear" w:color="auto" w:fill="auto"/>
            <w:vAlign w:val="center"/>
          </w:tcPr>
          <w:p w14:paraId="144CDAFF"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Noruega</w:t>
            </w:r>
          </w:p>
        </w:tc>
        <w:tc>
          <w:tcPr>
            <w:tcW w:w="709" w:type="dxa"/>
            <w:tcBorders>
              <w:left w:val="single" w:sz="4" w:space="0" w:color="auto"/>
              <w:right w:val="single" w:sz="4" w:space="0" w:color="auto"/>
            </w:tcBorders>
            <w:shd w:val="clear" w:color="auto" w:fill="auto"/>
            <w:vAlign w:val="center"/>
          </w:tcPr>
          <w:p w14:paraId="637A175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143</w:t>
            </w:r>
          </w:p>
        </w:tc>
        <w:tc>
          <w:tcPr>
            <w:tcW w:w="708" w:type="dxa"/>
            <w:tcBorders>
              <w:left w:val="single" w:sz="4" w:space="0" w:color="auto"/>
              <w:right w:val="single" w:sz="4" w:space="0" w:color="auto"/>
            </w:tcBorders>
            <w:shd w:val="clear" w:color="auto" w:fill="auto"/>
            <w:vAlign w:val="center"/>
          </w:tcPr>
          <w:p w14:paraId="5DDD5E7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0.9</w:t>
            </w:r>
          </w:p>
        </w:tc>
        <w:tc>
          <w:tcPr>
            <w:tcW w:w="567" w:type="dxa"/>
            <w:tcBorders>
              <w:left w:val="single" w:sz="4" w:space="0" w:color="auto"/>
              <w:right w:val="single" w:sz="4" w:space="0" w:color="auto"/>
            </w:tcBorders>
            <w:shd w:val="clear" w:color="auto" w:fill="auto"/>
            <w:vAlign w:val="center"/>
          </w:tcPr>
          <w:p w14:paraId="107E8FA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-7</w:t>
            </w:r>
          </w:p>
        </w:tc>
        <w:tc>
          <w:tcPr>
            <w:tcW w:w="284" w:type="dxa"/>
            <w:tcBorders>
              <w:left w:val="single" w:sz="4" w:space="0" w:color="auto"/>
              <w:right w:val="single" w:sz="4" w:space="0" w:color="auto"/>
            </w:tcBorders>
            <w:vAlign w:val="center"/>
          </w:tcPr>
          <w:p w14:paraId="62596330"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1A3F15C3"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23</w:t>
            </w:r>
          </w:p>
        </w:tc>
        <w:tc>
          <w:tcPr>
            <w:tcW w:w="1842" w:type="dxa"/>
            <w:tcBorders>
              <w:left w:val="single" w:sz="4" w:space="0" w:color="auto"/>
              <w:right w:val="single" w:sz="4" w:space="0" w:color="auto"/>
            </w:tcBorders>
            <w:shd w:val="clear" w:color="auto" w:fill="auto"/>
            <w:vAlign w:val="center"/>
          </w:tcPr>
          <w:p w14:paraId="01328DD8"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 xml:space="preserve">Sudáfrica </w:t>
            </w:r>
            <w:r w:rsidRPr="00EF4A2D">
              <w:rPr>
                <w:rFonts w:eastAsia="Calibri"/>
                <w:sz w:val="14"/>
                <w:szCs w:val="14"/>
                <w:u w:val="single"/>
                <w:vertAlign w:val="superscript"/>
                <w:lang w:eastAsia="en-US"/>
              </w:rPr>
              <w:t>c</w:t>
            </w:r>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0B784D3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122</w:t>
            </w:r>
          </w:p>
        </w:tc>
        <w:tc>
          <w:tcPr>
            <w:tcW w:w="709" w:type="dxa"/>
            <w:tcBorders>
              <w:left w:val="single" w:sz="4" w:space="0" w:color="auto"/>
              <w:right w:val="single" w:sz="4" w:space="0" w:color="auto"/>
            </w:tcBorders>
            <w:shd w:val="clear" w:color="auto" w:fill="auto"/>
            <w:vAlign w:val="center"/>
          </w:tcPr>
          <w:p w14:paraId="213633B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0.8</w:t>
            </w:r>
          </w:p>
        </w:tc>
        <w:tc>
          <w:tcPr>
            <w:tcW w:w="567" w:type="dxa"/>
            <w:tcBorders>
              <w:left w:val="single" w:sz="4" w:space="0" w:color="auto"/>
              <w:right w:val="single" w:sz="4" w:space="0" w:color="auto"/>
            </w:tcBorders>
            <w:shd w:val="clear" w:color="auto" w:fill="auto"/>
            <w:vAlign w:val="center"/>
          </w:tcPr>
          <w:p w14:paraId="376A831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w:t>
            </w:r>
          </w:p>
        </w:tc>
      </w:tr>
      <w:tr w:rsidR="00EF4A2D" w:rsidRPr="00EF4A2D" w14:paraId="28DD0763" w14:textId="77777777" w:rsidTr="00B9606F">
        <w:trPr>
          <w:jc w:val="center"/>
        </w:trPr>
        <w:tc>
          <w:tcPr>
            <w:tcW w:w="709" w:type="dxa"/>
            <w:tcBorders>
              <w:left w:val="single" w:sz="4" w:space="0" w:color="auto"/>
              <w:right w:val="single" w:sz="4" w:space="0" w:color="auto"/>
            </w:tcBorders>
            <w:shd w:val="clear" w:color="auto" w:fill="auto"/>
            <w:vAlign w:val="center"/>
          </w:tcPr>
          <w:p w14:paraId="51029784"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24</w:t>
            </w:r>
          </w:p>
        </w:tc>
        <w:tc>
          <w:tcPr>
            <w:tcW w:w="1843" w:type="dxa"/>
            <w:tcBorders>
              <w:left w:val="single" w:sz="4" w:space="0" w:color="auto"/>
              <w:right w:val="single" w:sz="4" w:space="0" w:color="auto"/>
            </w:tcBorders>
            <w:shd w:val="clear" w:color="auto" w:fill="auto"/>
            <w:vAlign w:val="center"/>
          </w:tcPr>
          <w:p w14:paraId="6B7B8D6D"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 xml:space="preserve">Qatar </w:t>
            </w:r>
            <w:r w:rsidRPr="00EF4A2D">
              <w:rPr>
                <w:rFonts w:eastAsia="Calibri"/>
                <w:sz w:val="14"/>
                <w:szCs w:val="14"/>
                <w:u w:val="single"/>
                <w:vertAlign w:val="superscript"/>
                <w:lang w:eastAsia="en-US"/>
              </w:rPr>
              <w:t>c</w:t>
            </w:r>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7DED6CB4"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134</w:t>
            </w:r>
          </w:p>
        </w:tc>
        <w:tc>
          <w:tcPr>
            <w:tcW w:w="708" w:type="dxa"/>
            <w:tcBorders>
              <w:left w:val="single" w:sz="4" w:space="0" w:color="auto"/>
              <w:right w:val="single" w:sz="4" w:space="0" w:color="auto"/>
            </w:tcBorders>
            <w:shd w:val="clear" w:color="auto" w:fill="auto"/>
            <w:vAlign w:val="center"/>
          </w:tcPr>
          <w:p w14:paraId="18703AF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0.9</w:t>
            </w:r>
          </w:p>
        </w:tc>
        <w:tc>
          <w:tcPr>
            <w:tcW w:w="567" w:type="dxa"/>
            <w:tcBorders>
              <w:left w:val="single" w:sz="4" w:space="0" w:color="auto"/>
              <w:right w:val="single" w:sz="4" w:space="0" w:color="auto"/>
            </w:tcBorders>
            <w:shd w:val="clear" w:color="auto" w:fill="auto"/>
            <w:vAlign w:val="center"/>
          </w:tcPr>
          <w:p w14:paraId="2493D0A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-2</w:t>
            </w:r>
          </w:p>
        </w:tc>
        <w:tc>
          <w:tcPr>
            <w:tcW w:w="284" w:type="dxa"/>
            <w:tcBorders>
              <w:left w:val="single" w:sz="4" w:space="0" w:color="auto"/>
              <w:right w:val="single" w:sz="4" w:space="0" w:color="auto"/>
            </w:tcBorders>
            <w:vAlign w:val="center"/>
          </w:tcPr>
          <w:p w14:paraId="55B88137"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22420010"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24</w:t>
            </w:r>
          </w:p>
        </w:tc>
        <w:tc>
          <w:tcPr>
            <w:tcW w:w="1842" w:type="dxa"/>
            <w:tcBorders>
              <w:left w:val="single" w:sz="4" w:space="0" w:color="auto"/>
              <w:right w:val="single" w:sz="4" w:space="0" w:color="auto"/>
            </w:tcBorders>
            <w:shd w:val="clear" w:color="auto" w:fill="auto"/>
            <w:vAlign w:val="center"/>
          </w:tcPr>
          <w:p w14:paraId="59091A90"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Noruega</w:t>
            </w:r>
          </w:p>
        </w:tc>
        <w:tc>
          <w:tcPr>
            <w:tcW w:w="709" w:type="dxa"/>
            <w:tcBorders>
              <w:left w:val="single" w:sz="4" w:space="0" w:color="auto"/>
              <w:right w:val="single" w:sz="4" w:space="0" w:color="auto"/>
            </w:tcBorders>
            <w:shd w:val="clear" w:color="auto" w:fill="auto"/>
            <w:vAlign w:val="center"/>
          </w:tcPr>
          <w:p w14:paraId="4D4CDB5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89</w:t>
            </w:r>
          </w:p>
        </w:tc>
        <w:tc>
          <w:tcPr>
            <w:tcW w:w="709" w:type="dxa"/>
            <w:tcBorders>
              <w:left w:val="single" w:sz="4" w:space="0" w:color="auto"/>
              <w:right w:val="single" w:sz="4" w:space="0" w:color="auto"/>
            </w:tcBorders>
            <w:shd w:val="clear" w:color="auto" w:fill="auto"/>
            <w:vAlign w:val="center"/>
          </w:tcPr>
          <w:p w14:paraId="1888121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0.6</w:t>
            </w:r>
          </w:p>
        </w:tc>
        <w:tc>
          <w:tcPr>
            <w:tcW w:w="567" w:type="dxa"/>
            <w:tcBorders>
              <w:left w:val="single" w:sz="4" w:space="0" w:color="auto"/>
              <w:right w:val="single" w:sz="4" w:space="0" w:color="auto"/>
            </w:tcBorders>
            <w:shd w:val="clear" w:color="auto" w:fill="auto"/>
            <w:vAlign w:val="center"/>
          </w:tcPr>
          <w:p w14:paraId="372BDD7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r>
      <w:tr w:rsidR="00EF4A2D" w:rsidRPr="00EF4A2D" w14:paraId="3E24B43C" w14:textId="77777777" w:rsidTr="00B9606F">
        <w:trPr>
          <w:jc w:val="center"/>
        </w:trPr>
        <w:tc>
          <w:tcPr>
            <w:tcW w:w="709" w:type="dxa"/>
            <w:tcBorders>
              <w:left w:val="single" w:sz="4" w:space="0" w:color="auto"/>
              <w:right w:val="single" w:sz="4" w:space="0" w:color="auto"/>
            </w:tcBorders>
            <w:shd w:val="clear" w:color="auto" w:fill="auto"/>
            <w:vAlign w:val="center"/>
          </w:tcPr>
          <w:p w14:paraId="427127EC"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25</w:t>
            </w:r>
          </w:p>
        </w:tc>
        <w:tc>
          <w:tcPr>
            <w:tcW w:w="1843" w:type="dxa"/>
            <w:tcBorders>
              <w:left w:val="single" w:sz="4" w:space="0" w:color="auto"/>
              <w:right w:val="single" w:sz="4" w:space="0" w:color="auto"/>
            </w:tcBorders>
            <w:shd w:val="clear" w:color="auto" w:fill="auto"/>
            <w:vAlign w:val="center"/>
          </w:tcPr>
          <w:p w14:paraId="0A15631A"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 xml:space="preserve">Kuwait </w:t>
            </w:r>
            <w:r w:rsidRPr="00EF4A2D">
              <w:rPr>
                <w:rFonts w:eastAsia="Calibri"/>
                <w:sz w:val="14"/>
                <w:szCs w:val="14"/>
                <w:u w:val="single"/>
                <w:vertAlign w:val="superscript"/>
                <w:lang w:eastAsia="en-US"/>
              </w:rPr>
              <w:t>c</w:t>
            </w:r>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7187922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109</w:t>
            </w:r>
          </w:p>
        </w:tc>
        <w:tc>
          <w:tcPr>
            <w:tcW w:w="708" w:type="dxa"/>
            <w:tcBorders>
              <w:left w:val="single" w:sz="4" w:space="0" w:color="auto"/>
              <w:right w:val="single" w:sz="4" w:space="0" w:color="auto"/>
            </w:tcBorders>
            <w:shd w:val="clear" w:color="auto" w:fill="auto"/>
            <w:vAlign w:val="center"/>
          </w:tcPr>
          <w:p w14:paraId="78FF5E8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0.7</w:t>
            </w:r>
          </w:p>
        </w:tc>
        <w:tc>
          <w:tcPr>
            <w:tcW w:w="567" w:type="dxa"/>
            <w:tcBorders>
              <w:left w:val="single" w:sz="4" w:space="0" w:color="auto"/>
              <w:right w:val="single" w:sz="4" w:space="0" w:color="auto"/>
            </w:tcBorders>
            <w:shd w:val="clear" w:color="auto" w:fill="auto"/>
            <w:vAlign w:val="center"/>
          </w:tcPr>
          <w:p w14:paraId="77DA31E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c>
          <w:tcPr>
            <w:tcW w:w="284" w:type="dxa"/>
            <w:tcBorders>
              <w:left w:val="single" w:sz="4" w:space="0" w:color="auto"/>
              <w:right w:val="single" w:sz="4" w:space="0" w:color="auto"/>
            </w:tcBorders>
            <w:vAlign w:val="center"/>
          </w:tcPr>
          <w:p w14:paraId="08B8D15F"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3544DF63"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25</w:t>
            </w:r>
          </w:p>
        </w:tc>
        <w:tc>
          <w:tcPr>
            <w:tcW w:w="1842" w:type="dxa"/>
            <w:tcBorders>
              <w:left w:val="single" w:sz="4" w:space="0" w:color="auto"/>
              <w:right w:val="single" w:sz="4" w:space="0" w:color="auto"/>
            </w:tcBorders>
            <w:shd w:val="clear" w:color="auto" w:fill="auto"/>
            <w:vAlign w:val="center"/>
          </w:tcPr>
          <w:p w14:paraId="2E3AA372"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 xml:space="preserve">Israel </w:t>
            </w:r>
            <w:r w:rsidRPr="00EF4A2D">
              <w:rPr>
                <w:rFonts w:eastAsia="Calibri"/>
                <w:sz w:val="14"/>
                <w:szCs w:val="14"/>
                <w:u w:val="single"/>
                <w:vertAlign w:val="superscript"/>
                <w:lang w:eastAsia="en-US"/>
              </w:rPr>
              <w:t>c</w:t>
            </w:r>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1A9D150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75</w:t>
            </w:r>
          </w:p>
        </w:tc>
        <w:tc>
          <w:tcPr>
            <w:tcW w:w="709" w:type="dxa"/>
            <w:tcBorders>
              <w:left w:val="single" w:sz="4" w:space="0" w:color="auto"/>
              <w:right w:val="single" w:sz="4" w:space="0" w:color="auto"/>
            </w:tcBorders>
            <w:shd w:val="clear" w:color="auto" w:fill="auto"/>
            <w:vAlign w:val="center"/>
          </w:tcPr>
          <w:p w14:paraId="173C3B0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0.5</w:t>
            </w:r>
          </w:p>
        </w:tc>
        <w:tc>
          <w:tcPr>
            <w:tcW w:w="567" w:type="dxa"/>
            <w:tcBorders>
              <w:left w:val="single" w:sz="4" w:space="0" w:color="auto"/>
              <w:right w:val="single" w:sz="4" w:space="0" w:color="auto"/>
            </w:tcBorders>
            <w:shd w:val="clear" w:color="auto" w:fill="auto"/>
            <w:vAlign w:val="center"/>
          </w:tcPr>
          <w:p w14:paraId="7CB1700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r>
      <w:tr w:rsidR="00EF4A2D" w:rsidRPr="00EF4A2D" w14:paraId="2DD2B260" w14:textId="77777777" w:rsidTr="00B9606F">
        <w:trPr>
          <w:jc w:val="center"/>
        </w:trPr>
        <w:tc>
          <w:tcPr>
            <w:tcW w:w="709" w:type="dxa"/>
            <w:tcBorders>
              <w:left w:val="single" w:sz="4" w:space="0" w:color="auto"/>
              <w:right w:val="single" w:sz="4" w:space="0" w:color="auto"/>
            </w:tcBorders>
            <w:shd w:val="clear" w:color="auto" w:fill="auto"/>
            <w:vAlign w:val="center"/>
          </w:tcPr>
          <w:p w14:paraId="2123320C"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26</w:t>
            </w:r>
          </w:p>
        </w:tc>
        <w:tc>
          <w:tcPr>
            <w:tcW w:w="1843" w:type="dxa"/>
            <w:tcBorders>
              <w:left w:val="single" w:sz="4" w:space="0" w:color="auto"/>
              <w:right w:val="single" w:sz="4" w:space="0" w:color="auto"/>
            </w:tcBorders>
            <w:shd w:val="clear" w:color="auto" w:fill="auto"/>
            <w:vAlign w:val="center"/>
          </w:tcPr>
          <w:p w14:paraId="5E43BE70"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Nigeria</w:t>
            </w:r>
            <w:r w:rsidRPr="00EF4A2D">
              <w:rPr>
                <w:rFonts w:eastAsia="Calibri"/>
                <w:sz w:val="14"/>
                <w:szCs w:val="14"/>
                <w:vertAlign w:val="superscript"/>
                <w:lang w:eastAsia="en-US"/>
              </w:rPr>
              <w:t xml:space="preserve"> </w:t>
            </w:r>
            <w:r w:rsidRPr="00EF4A2D">
              <w:rPr>
                <w:rFonts w:eastAsia="Calibri"/>
                <w:sz w:val="14"/>
                <w:szCs w:val="14"/>
                <w:u w:val="single"/>
                <w:vertAlign w:val="superscript"/>
                <w:lang w:eastAsia="en-US"/>
              </w:rPr>
              <w:t>c</w:t>
            </w:r>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67EDC4D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98</w:t>
            </w:r>
          </w:p>
        </w:tc>
        <w:tc>
          <w:tcPr>
            <w:tcW w:w="708" w:type="dxa"/>
            <w:tcBorders>
              <w:left w:val="single" w:sz="4" w:space="0" w:color="auto"/>
              <w:right w:val="single" w:sz="4" w:space="0" w:color="auto"/>
            </w:tcBorders>
            <w:shd w:val="clear" w:color="auto" w:fill="auto"/>
            <w:vAlign w:val="center"/>
          </w:tcPr>
          <w:p w14:paraId="27A5A3D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0.7</w:t>
            </w:r>
          </w:p>
        </w:tc>
        <w:tc>
          <w:tcPr>
            <w:tcW w:w="567" w:type="dxa"/>
            <w:tcBorders>
              <w:left w:val="single" w:sz="4" w:space="0" w:color="auto"/>
              <w:right w:val="single" w:sz="4" w:space="0" w:color="auto"/>
            </w:tcBorders>
            <w:shd w:val="clear" w:color="auto" w:fill="auto"/>
            <w:vAlign w:val="center"/>
          </w:tcPr>
          <w:p w14:paraId="188AE48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c>
          <w:tcPr>
            <w:tcW w:w="284" w:type="dxa"/>
            <w:tcBorders>
              <w:left w:val="single" w:sz="4" w:space="0" w:color="auto"/>
              <w:right w:val="single" w:sz="4" w:space="0" w:color="auto"/>
            </w:tcBorders>
            <w:vAlign w:val="center"/>
          </w:tcPr>
          <w:p w14:paraId="236E6AE2"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5E073764"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26</w:t>
            </w:r>
          </w:p>
        </w:tc>
        <w:tc>
          <w:tcPr>
            <w:tcW w:w="1842" w:type="dxa"/>
            <w:tcBorders>
              <w:left w:val="single" w:sz="4" w:space="0" w:color="auto"/>
              <w:right w:val="single" w:sz="4" w:space="0" w:color="auto"/>
            </w:tcBorders>
            <w:shd w:val="clear" w:color="auto" w:fill="auto"/>
            <w:vAlign w:val="center"/>
          </w:tcPr>
          <w:p w14:paraId="55E4E89E"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Chile</w:t>
            </w:r>
          </w:p>
        </w:tc>
        <w:tc>
          <w:tcPr>
            <w:tcW w:w="709" w:type="dxa"/>
            <w:tcBorders>
              <w:left w:val="single" w:sz="4" w:space="0" w:color="auto"/>
              <w:right w:val="single" w:sz="4" w:space="0" w:color="auto"/>
            </w:tcBorders>
            <w:shd w:val="clear" w:color="auto" w:fill="auto"/>
            <w:vAlign w:val="center"/>
          </w:tcPr>
          <w:p w14:paraId="49BCE7D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72</w:t>
            </w:r>
          </w:p>
        </w:tc>
        <w:tc>
          <w:tcPr>
            <w:tcW w:w="709" w:type="dxa"/>
            <w:tcBorders>
              <w:left w:val="single" w:sz="4" w:space="0" w:color="auto"/>
              <w:right w:val="single" w:sz="4" w:space="0" w:color="auto"/>
            </w:tcBorders>
            <w:shd w:val="clear" w:color="auto" w:fill="auto"/>
            <w:vAlign w:val="center"/>
          </w:tcPr>
          <w:p w14:paraId="6F15FE6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0.5</w:t>
            </w:r>
          </w:p>
        </w:tc>
        <w:tc>
          <w:tcPr>
            <w:tcW w:w="567" w:type="dxa"/>
            <w:tcBorders>
              <w:left w:val="single" w:sz="4" w:space="0" w:color="auto"/>
              <w:right w:val="single" w:sz="4" w:space="0" w:color="auto"/>
            </w:tcBorders>
            <w:shd w:val="clear" w:color="auto" w:fill="auto"/>
            <w:vAlign w:val="center"/>
          </w:tcPr>
          <w:p w14:paraId="39CDF8E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-9</w:t>
            </w:r>
          </w:p>
        </w:tc>
      </w:tr>
      <w:tr w:rsidR="00EF4A2D" w:rsidRPr="00EF4A2D" w14:paraId="4C9EEA18" w14:textId="77777777" w:rsidTr="00B9606F">
        <w:trPr>
          <w:jc w:val="center"/>
        </w:trPr>
        <w:tc>
          <w:tcPr>
            <w:tcW w:w="709" w:type="dxa"/>
            <w:tcBorders>
              <w:left w:val="single" w:sz="4" w:space="0" w:color="auto"/>
              <w:right w:val="single" w:sz="4" w:space="0" w:color="auto"/>
            </w:tcBorders>
            <w:shd w:val="clear" w:color="auto" w:fill="auto"/>
            <w:vAlign w:val="center"/>
          </w:tcPr>
          <w:p w14:paraId="0711DB67"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27</w:t>
            </w:r>
          </w:p>
        </w:tc>
        <w:tc>
          <w:tcPr>
            <w:tcW w:w="1843" w:type="dxa"/>
            <w:tcBorders>
              <w:left w:val="single" w:sz="4" w:space="0" w:color="auto"/>
              <w:right w:val="single" w:sz="4" w:space="0" w:color="auto"/>
            </w:tcBorders>
            <w:shd w:val="clear" w:color="auto" w:fill="auto"/>
            <w:vAlign w:val="center"/>
          </w:tcPr>
          <w:p w14:paraId="531ABFAE"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Sudáfrica</w:t>
            </w:r>
          </w:p>
        </w:tc>
        <w:tc>
          <w:tcPr>
            <w:tcW w:w="709" w:type="dxa"/>
            <w:tcBorders>
              <w:left w:val="single" w:sz="4" w:space="0" w:color="auto"/>
              <w:right w:val="single" w:sz="4" w:space="0" w:color="auto"/>
            </w:tcBorders>
            <w:shd w:val="clear" w:color="auto" w:fill="auto"/>
            <w:vAlign w:val="center"/>
          </w:tcPr>
          <w:p w14:paraId="4438581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91</w:t>
            </w:r>
          </w:p>
        </w:tc>
        <w:tc>
          <w:tcPr>
            <w:tcW w:w="708" w:type="dxa"/>
            <w:tcBorders>
              <w:left w:val="single" w:sz="4" w:space="0" w:color="auto"/>
              <w:right w:val="single" w:sz="4" w:space="0" w:color="auto"/>
            </w:tcBorders>
            <w:shd w:val="clear" w:color="auto" w:fill="auto"/>
            <w:vAlign w:val="center"/>
          </w:tcPr>
          <w:p w14:paraId="4097668F"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0.6</w:t>
            </w:r>
          </w:p>
        </w:tc>
        <w:tc>
          <w:tcPr>
            <w:tcW w:w="567" w:type="dxa"/>
            <w:tcBorders>
              <w:left w:val="single" w:sz="4" w:space="0" w:color="auto"/>
              <w:right w:val="single" w:sz="4" w:space="0" w:color="auto"/>
            </w:tcBorders>
            <w:shd w:val="clear" w:color="auto" w:fill="auto"/>
            <w:vAlign w:val="center"/>
          </w:tcPr>
          <w:p w14:paraId="0B464263"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-5</w:t>
            </w:r>
          </w:p>
        </w:tc>
        <w:tc>
          <w:tcPr>
            <w:tcW w:w="284" w:type="dxa"/>
            <w:tcBorders>
              <w:left w:val="single" w:sz="4" w:space="0" w:color="auto"/>
              <w:right w:val="single" w:sz="4" w:space="0" w:color="auto"/>
            </w:tcBorders>
            <w:vAlign w:val="center"/>
          </w:tcPr>
          <w:p w14:paraId="216D798D"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7FDCE8CA"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27</w:t>
            </w:r>
          </w:p>
        </w:tc>
        <w:tc>
          <w:tcPr>
            <w:tcW w:w="1842" w:type="dxa"/>
            <w:tcBorders>
              <w:left w:val="single" w:sz="4" w:space="0" w:color="auto"/>
              <w:right w:val="single" w:sz="4" w:space="0" w:color="auto"/>
            </w:tcBorders>
            <w:shd w:val="clear" w:color="auto" w:fill="auto"/>
            <w:vAlign w:val="center"/>
          </w:tcPr>
          <w:p w14:paraId="58DB9407"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Egipto</w:t>
            </w:r>
          </w:p>
        </w:tc>
        <w:tc>
          <w:tcPr>
            <w:tcW w:w="709" w:type="dxa"/>
            <w:tcBorders>
              <w:left w:val="single" w:sz="4" w:space="0" w:color="auto"/>
              <w:right w:val="single" w:sz="4" w:space="0" w:color="auto"/>
            </w:tcBorders>
            <w:shd w:val="clear" w:color="auto" w:fill="auto"/>
            <w:vAlign w:val="center"/>
          </w:tcPr>
          <w:p w14:paraId="7ACABA1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67</w:t>
            </w:r>
          </w:p>
        </w:tc>
        <w:tc>
          <w:tcPr>
            <w:tcW w:w="709" w:type="dxa"/>
            <w:tcBorders>
              <w:left w:val="single" w:sz="4" w:space="0" w:color="auto"/>
              <w:right w:val="single" w:sz="4" w:space="0" w:color="auto"/>
            </w:tcBorders>
            <w:shd w:val="clear" w:color="auto" w:fill="auto"/>
            <w:vAlign w:val="center"/>
          </w:tcPr>
          <w:p w14:paraId="4E52E81D"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0.4</w:t>
            </w:r>
          </w:p>
        </w:tc>
        <w:tc>
          <w:tcPr>
            <w:tcW w:w="567" w:type="dxa"/>
            <w:tcBorders>
              <w:left w:val="single" w:sz="4" w:space="0" w:color="auto"/>
              <w:right w:val="single" w:sz="4" w:space="0" w:color="auto"/>
            </w:tcBorders>
            <w:shd w:val="clear" w:color="auto" w:fill="auto"/>
            <w:vAlign w:val="center"/>
          </w:tcPr>
          <w:p w14:paraId="5D9F8AD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16</w:t>
            </w:r>
          </w:p>
        </w:tc>
      </w:tr>
      <w:tr w:rsidR="00EF4A2D" w:rsidRPr="00EF4A2D" w14:paraId="49325F12" w14:textId="77777777" w:rsidTr="00B9606F">
        <w:trPr>
          <w:jc w:val="center"/>
        </w:trPr>
        <w:tc>
          <w:tcPr>
            <w:tcW w:w="709" w:type="dxa"/>
            <w:tcBorders>
              <w:left w:val="single" w:sz="4" w:space="0" w:color="auto"/>
              <w:right w:val="single" w:sz="4" w:space="0" w:color="auto"/>
            </w:tcBorders>
            <w:shd w:val="clear" w:color="auto" w:fill="auto"/>
            <w:vAlign w:val="center"/>
          </w:tcPr>
          <w:p w14:paraId="07878233"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28</w:t>
            </w:r>
          </w:p>
        </w:tc>
        <w:tc>
          <w:tcPr>
            <w:tcW w:w="1843" w:type="dxa"/>
            <w:tcBorders>
              <w:left w:val="single" w:sz="4" w:space="0" w:color="auto"/>
              <w:right w:val="single" w:sz="4" w:space="0" w:color="auto"/>
            </w:tcBorders>
            <w:shd w:val="clear" w:color="auto" w:fill="auto"/>
            <w:vAlign w:val="center"/>
          </w:tcPr>
          <w:p w14:paraId="749A8C15" w14:textId="77777777" w:rsidR="00EF4A2D" w:rsidRPr="00EF4A2D" w:rsidRDefault="00EF4A2D" w:rsidP="00EF4A2D">
            <w:pPr>
              <w:spacing w:before="40" w:after="40"/>
              <w:rPr>
                <w:rFonts w:eastAsia="Calibri"/>
                <w:sz w:val="14"/>
                <w:szCs w:val="14"/>
                <w:lang w:eastAsia="en-US"/>
              </w:rPr>
            </w:pPr>
            <w:proofErr w:type="spellStart"/>
            <w:r w:rsidRPr="00EF4A2D">
              <w:rPr>
                <w:rFonts w:eastAsia="Calibri"/>
                <w:sz w:val="14"/>
                <w:szCs w:val="14"/>
                <w:lang w:eastAsia="en-US"/>
              </w:rPr>
              <w:t>Iraq</w:t>
            </w:r>
            <w:r w:rsidRPr="00EF4A2D">
              <w:rPr>
                <w:rFonts w:eastAsia="Calibri"/>
                <w:sz w:val="14"/>
                <w:szCs w:val="14"/>
                <w:u w:val="single"/>
                <w:vertAlign w:val="superscript"/>
                <w:lang w:eastAsia="en-US"/>
              </w:rPr>
              <w:t>c</w:t>
            </w:r>
            <w:proofErr w:type="spellEnd"/>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67FCEC40"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89</w:t>
            </w:r>
          </w:p>
        </w:tc>
        <w:tc>
          <w:tcPr>
            <w:tcW w:w="708" w:type="dxa"/>
            <w:tcBorders>
              <w:left w:val="single" w:sz="4" w:space="0" w:color="auto"/>
              <w:right w:val="single" w:sz="4" w:space="0" w:color="auto"/>
            </w:tcBorders>
            <w:shd w:val="clear" w:color="auto" w:fill="auto"/>
            <w:vAlign w:val="center"/>
          </w:tcPr>
          <w:p w14:paraId="6D003F5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0.6</w:t>
            </w:r>
          </w:p>
        </w:tc>
        <w:tc>
          <w:tcPr>
            <w:tcW w:w="567" w:type="dxa"/>
            <w:tcBorders>
              <w:left w:val="single" w:sz="4" w:space="0" w:color="auto"/>
              <w:right w:val="single" w:sz="4" w:space="0" w:color="auto"/>
            </w:tcBorders>
            <w:shd w:val="clear" w:color="auto" w:fill="auto"/>
            <w:vAlign w:val="center"/>
          </w:tcPr>
          <w:p w14:paraId="3D8BFD7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w:t>
            </w:r>
          </w:p>
        </w:tc>
        <w:tc>
          <w:tcPr>
            <w:tcW w:w="284" w:type="dxa"/>
            <w:tcBorders>
              <w:left w:val="single" w:sz="4" w:space="0" w:color="auto"/>
              <w:right w:val="single" w:sz="4" w:space="0" w:color="auto"/>
            </w:tcBorders>
            <w:vAlign w:val="center"/>
          </w:tcPr>
          <w:p w14:paraId="3E87DC68"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7D1F4643"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28</w:t>
            </w:r>
          </w:p>
        </w:tc>
        <w:tc>
          <w:tcPr>
            <w:tcW w:w="1842" w:type="dxa"/>
            <w:tcBorders>
              <w:left w:val="single" w:sz="4" w:space="0" w:color="auto"/>
              <w:right w:val="single" w:sz="4" w:space="0" w:color="auto"/>
            </w:tcBorders>
            <w:shd w:val="clear" w:color="auto" w:fill="auto"/>
            <w:vAlign w:val="center"/>
          </w:tcPr>
          <w:p w14:paraId="33D7794B"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Filipinas</w:t>
            </w:r>
          </w:p>
        </w:tc>
        <w:tc>
          <w:tcPr>
            <w:tcW w:w="709" w:type="dxa"/>
            <w:tcBorders>
              <w:left w:val="single" w:sz="4" w:space="0" w:color="auto"/>
              <w:right w:val="single" w:sz="4" w:space="0" w:color="auto"/>
            </w:tcBorders>
            <w:shd w:val="clear" w:color="auto" w:fill="auto"/>
            <w:vAlign w:val="center"/>
          </w:tcPr>
          <w:p w14:paraId="6C54FCF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67</w:t>
            </w:r>
          </w:p>
        </w:tc>
        <w:tc>
          <w:tcPr>
            <w:tcW w:w="709" w:type="dxa"/>
            <w:tcBorders>
              <w:left w:val="single" w:sz="4" w:space="0" w:color="auto"/>
              <w:right w:val="single" w:sz="4" w:space="0" w:color="auto"/>
            </w:tcBorders>
            <w:shd w:val="clear" w:color="auto" w:fill="auto"/>
            <w:vAlign w:val="center"/>
          </w:tcPr>
          <w:p w14:paraId="1378D3CA"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0.4</w:t>
            </w:r>
          </w:p>
        </w:tc>
        <w:tc>
          <w:tcPr>
            <w:tcW w:w="567" w:type="dxa"/>
            <w:tcBorders>
              <w:left w:val="single" w:sz="4" w:space="0" w:color="auto"/>
              <w:right w:val="single" w:sz="4" w:space="0" w:color="auto"/>
            </w:tcBorders>
            <w:shd w:val="clear" w:color="auto" w:fill="auto"/>
            <w:vAlign w:val="center"/>
          </w:tcPr>
          <w:p w14:paraId="1D61BA3C"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3</w:t>
            </w:r>
          </w:p>
        </w:tc>
      </w:tr>
      <w:tr w:rsidR="00EF4A2D" w:rsidRPr="00EF4A2D" w14:paraId="52A8E654" w14:textId="77777777" w:rsidTr="00B9606F">
        <w:trPr>
          <w:jc w:val="center"/>
        </w:trPr>
        <w:tc>
          <w:tcPr>
            <w:tcW w:w="709" w:type="dxa"/>
            <w:tcBorders>
              <w:left w:val="single" w:sz="4" w:space="0" w:color="auto"/>
              <w:right w:val="single" w:sz="4" w:space="0" w:color="auto"/>
            </w:tcBorders>
            <w:shd w:val="clear" w:color="auto" w:fill="auto"/>
            <w:vAlign w:val="center"/>
          </w:tcPr>
          <w:p w14:paraId="2C761620"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29</w:t>
            </w:r>
          </w:p>
        </w:tc>
        <w:tc>
          <w:tcPr>
            <w:tcW w:w="1843" w:type="dxa"/>
            <w:tcBorders>
              <w:left w:val="single" w:sz="4" w:space="0" w:color="auto"/>
              <w:right w:val="single" w:sz="4" w:space="0" w:color="auto"/>
            </w:tcBorders>
            <w:shd w:val="clear" w:color="auto" w:fill="auto"/>
            <w:vAlign w:val="center"/>
          </w:tcPr>
          <w:p w14:paraId="493B8245" w14:textId="77777777" w:rsidR="00EF4A2D" w:rsidRPr="00EF4A2D" w:rsidRDefault="00EF4A2D" w:rsidP="00EF4A2D">
            <w:pPr>
              <w:spacing w:before="40" w:after="40"/>
              <w:rPr>
                <w:rFonts w:eastAsia="Calibri"/>
                <w:sz w:val="14"/>
                <w:szCs w:val="14"/>
                <w:lang w:eastAsia="en-US"/>
              </w:rPr>
            </w:pPr>
            <w:proofErr w:type="spellStart"/>
            <w:r w:rsidRPr="00EF4A2D">
              <w:rPr>
                <w:rFonts w:eastAsia="Calibri"/>
                <w:sz w:val="14"/>
                <w:szCs w:val="14"/>
                <w:lang w:eastAsia="en-US"/>
              </w:rPr>
              <w:t>Irán</w:t>
            </w:r>
            <w:r w:rsidRPr="00EF4A2D">
              <w:rPr>
                <w:rFonts w:eastAsia="Calibri"/>
                <w:sz w:val="14"/>
                <w:szCs w:val="14"/>
                <w:u w:val="single"/>
                <w:vertAlign w:val="superscript"/>
                <w:lang w:eastAsia="en-US"/>
              </w:rPr>
              <w:t>c</w:t>
            </w:r>
            <w:proofErr w:type="spellEnd"/>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0B01773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89</w:t>
            </w:r>
          </w:p>
        </w:tc>
        <w:tc>
          <w:tcPr>
            <w:tcW w:w="708" w:type="dxa"/>
            <w:tcBorders>
              <w:left w:val="single" w:sz="4" w:space="0" w:color="auto"/>
              <w:right w:val="single" w:sz="4" w:space="0" w:color="auto"/>
            </w:tcBorders>
            <w:shd w:val="clear" w:color="auto" w:fill="auto"/>
            <w:vAlign w:val="center"/>
          </w:tcPr>
          <w:p w14:paraId="524682B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0.6</w:t>
            </w:r>
          </w:p>
        </w:tc>
        <w:tc>
          <w:tcPr>
            <w:tcW w:w="567" w:type="dxa"/>
            <w:tcBorders>
              <w:left w:val="single" w:sz="4" w:space="0" w:color="auto"/>
              <w:right w:val="single" w:sz="4" w:space="0" w:color="auto"/>
            </w:tcBorders>
            <w:shd w:val="clear" w:color="auto" w:fill="auto"/>
            <w:vAlign w:val="center"/>
          </w:tcPr>
          <w:p w14:paraId="76129B19"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8</w:t>
            </w:r>
          </w:p>
        </w:tc>
        <w:tc>
          <w:tcPr>
            <w:tcW w:w="284" w:type="dxa"/>
            <w:tcBorders>
              <w:left w:val="single" w:sz="4" w:space="0" w:color="auto"/>
              <w:right w:val="single" w:sz="4" w:space="0" w:color="auto"/>
            </w:tcBorders>
            <w:vAlign w:val="center"/>
          </w:tcPr>
          <w:p w14:paraId="42D4F363"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7E89E69E"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29</w:t>
            </w:r>
          </w:p>
        </w:tc>
        <w:tc>
          <w:tcPr>
            <w:tcW w:w="1842" w:type="dxa"/>
            <w:tcBorders>
              <w:left w:val="single" w:sz="4" w:space="0" w:color="auto"/>
              <w:right w:val="single" w:sz="4" w:space="0" w:color="auto"/>
            </w:tcBorders>
            <w:shd w:val="clear" w:color="auto" w:fill="auto"/>
            <w:vAlign w:val="center"/>
          </w:tcPr>
          <w:p w14:paraId="0B612A72"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Argentina</w:t>
            </w:r>
          </w:p>
        </w:tc>
        <w:tc>
          <w:tcPr>
            <w:tcW w:w="709" w:type="dxa"/>
            <w:tcBorders>
              <w:left w:val="single" w:sz="4" w:space="0" w:color="auto"/>
              <w:right w:val="single" w:sz="4" w:space="0" w:color="auto"/>
            </w:tcBorders>
            <w:shd w:val="clear" w:color="auto" w:fill="auto"/>
            <w:vAlign w:val="center"/>
          </w:tcPr>
          <w:p w14:paraId="29A61262"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65</w:t>
            </w:r>
          </w:p>
        </w:tc>
        <w:tc>
          <w:tcPr>
            <w:tcW w:w="709" w:type="dxa"/>
            <w:tcBorders>
              <w:left w:val="single" w:sz="4" w:space="0" w:color="auto"/>
              <w:right w:val="single" w:sz="4" w:space="0" w:color="auto"/>
            </w:tcBorders>
            <w:shd w:val="clear" w:color="auto" w:fill="auto"/>
            <w:vAlign w:val="center"/>
          </w:tcPr>
          <w:p w14:paraId="631C1191"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0.4</w:t>
            </w:r>
          </w:p>
        </w:tc>
        <w:tc>
          <w:tcPr>
            <w:tcW w:w="567" w:type="dxa"/>
            <w:tcBorders>
              <w:left w:val="single" w:sz="4" w:space="0" w:color="auto"/>
              <w:right w:val="single" w:sz="4" w:space="0" w:color="auto"/>
            </w:tcBorders>
            <w:shd w:val="clear" w:color="auto" w:fill="auto"/>
            <w:vAlign w:val="center"/>
          </w:tcPr>
          <w:p w14:paraId="46DACAF5"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-11</w:t>
            </w:r>
          </w:p>
        </w:tc>
      </w:tr>
      <w:tr w:rsidR="00EF4A2D" w:rsidRPr="00EF4A2D" w14:paraId="5042EDA5" w14:textId="77777777" w:rsidTr="00B9606F">
        <w:trPr>
          <w:jc w:val="center"/>
        </w:trPr>
        <w:tc>
          <w:tcPr>
            <w:tcW w:w="709" w:type="dxa"/>
            <w:tcBorders>
              <w:left w:val="single" w:sz="4" w:space="0" w:color="auto"/>
              <w:right w:val="single" w:sz="4" w:space="0" w:color="auto"/>
            </w:tcBorders>
            <w:shd w:val="clear" w:color="auto" w:fill="auto"/>
            <w:vAlign w:val="center"/>
          </w:tcPr>
          <w:p w14:paraId="34990FBD"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30</w:t>
            </w:r>
          </w:p>
        </w:tc>
        <w:tc>
          <w:tcPr>
            <w:tcW w:w="1843" w:type="dxa"/>
            <w:tcBorders>
              <w:left w:val="single" w:sz="4" w:space="0" w:color="auto"/>
              <w:right w:val="single" w:sz="4" w:space="0" w:color="auto"/>
            </w:tcBorders>
            <w:shd w:val="clear" w:color="auto" w:fill="auto"/>
            <w:vAlign w:val="center"/>
          </w:tcPr>
          <w:p w14:paraId="6EFD9CB9" w14:textId="77777777" w:rsidR="00EF4A2D" w:rsidRPr="00EF4A2D" w:rsidRDefault="00EF4A2D" w:rsidP="00EF4A2D">
            <w:pPr>
              <w:spacing w:before="40" w:after="40"/>
              <w:rPr>
                <w:rFonts w:eastAsia="Calibri"/>
                <w:sz w:val="14"/>
                <w:szCs w:val="14"/>
                <w:lang w:eastAsia="en-US"/>
              </w:rPr>
            </w:pPr>
            <w:r w:rsidRPr="00EF4A2D">
              <w:rPr>
                <w:rFonts w:eastAsia="Calibri"/>
                <w:sz w:val="14"/>
                <w:szCs w:val="14"/>
                <w:lang w:eastAsia="en-US"/>
              </w:rPr>
              <w:t>Venezuela</w:t>
            </w:r>
          </w:p>
        </w:tc>
        <w:tc>
          <w:tcPr>
            <w:tcW w:w="709" w:type="dxa"/>
            <w:tcBorders>
              <w:left w:val="single" w:sz="4" w:space="0" w:color="auto"/>
              <w:right w:val="single" w:sz="4" w:space="0" w:color="auto"/>
            </w:tcBorders>
            <w:shd w:val="clear" w:color="auto" w:fill="auto"/>
            <w:vAlign w:val="center"/>
          </w:tcPr>
          <w:p w14:paraId="127267F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80</w:t>
            </w:r>
          </w:p>
        </w:tc>
        <w:tc>
          <w:tcPr>
            <w:tcW w:w="708" w:type="dxa"/>
            <w:tcBorders>
              <w:left w:val="single" w:sz="4" w:space="0" w:color="auto"/>
              <w:right w:val="single" w:sz="4" w:space="0" w:color="auto"/>
            </w:tcBorders>
            <w:shd w:val="clear" w:color="auto" w:fill="auto"/>
            <w:vAlign w:val="center"/>
          </w:tcPr>
          <w:p w14:paraId="4A0AFA7E"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0.5</w:t>
            </w:r>
          </w:p>
        </w:tc>
        <w:tc>
          <w:tcPr>
            <w:tcW w:w="567" w:type="dxa"/>
            <w:tcBorders>
              <w:left w:val="single" w:sz="4" w:space="0" w:color="auto"/>
              <w:right w:val="single" w:sz="4" w:space="0" w:color="auto"/>
            </w:tcBorders>
            <w:shd w:val="clear" w:color="auto" w:fill="auto"/>
            <w:vAlign w:val="center"/>
          </w:tcPr>
          <w:p w14:paraId="2238A178"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-10</w:t>
            </w:r>
          </w:p>
        </w:tc>
        <w:tc>
          <w:tcPr>
            <w:tcW w:w="284" w:type="dxa"/>
            <w:tcBorders>
              <w:left w:val="single" w:sz="4" w:space="0" w:color="auto"/>
              <w:right w:val="single" w:sz="4" w:space="0" w:color="auto"/>
            </w:tcBorders>
            <w:vAlign w:val="center"/>
          </w:tcPr>
          <w:p w14:paraId="71974F6F"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54CF432B" w14:textId="77777777" w:rsidR="00EF4A2D" w:rsidRPr="00EF4A2D" w:rsidRDefault="00EF4A2D" w:rsidP="00EC0263">
            <w:pPr>
              <w:spacing w:before="40" w:after="40"/>
              <w:ind w:right="170"/>
              <w:jc w:val="right"/>
              <w:rPr>
                <w:rFonts w:eastAsia="Calibri"/>
                <w:sz w:val="14"/>
                <w:szCs w:val="14"/>
                <w:lang w:eastAsia="en-US"/>
              </w:rPr>
            </w:pPr>
            <w:r w:rsidRPr="00EF4A2D">
              <w:rPr>
                <w:rFonts w:eastAsia="Calibri"/>
                <w:sz w:val="14"/>
                <w:szCs w:val="14"/>
                <w:lang w:eastAsia="en-US"/>
              </w:rPr>
              <w:t>30</w:t>
            </w:r>
          </w:p>
        </w:tc>
        <w:tc>
          <w:tcPr>
            <w:tcW w:w="1842" w:type="dxa"/>
            <w:tcBorders>
              <w:left w:val="single" w:sz="4" w:space="0" w:color="auto"/>
              <w:right w:val="single" w:sz="4" w:space="0" w:color="auto"/>
            </w:tcBorders>
            <w:shd w:val="clear" w:color="auto" w:fill="auto"/>
            <w:vAlign w:val="center"/>
          </w:tcPr>
          <w:p w14:paraId="2E50AD8D" w14:textId="77777777" w:rsidR="00EF4A2D" w:rsidRPr="00EF4A2D" w:rsidRDefault="00EF4A2D" w:rsidP="00EF4A2D">
            <w:pPr>
              <w:spacing w:before="40" w:after="40"/>
              <w:jc w:val="both"/>
              <w:rPr>
                <w:rFonts w:eastAsia="Calibri"/>
                <w:sz w:val="14"/>
                <w:szCs w:val="14"/>
                <w:lang w:eastAsia="en-US"/>
              </w:rPr>
            </w:pPr>
            <w:r w:rsidRPr="00EF4A2D">
              <w:rPr>
                <w:rFonts w:eastAsia="Calibri"/>
                <w:sz w:val="14"/>
                <w:szCs w:val="14"/>
                <w:lang w:eastAsia="en-US"/>
              </w:rPr>
              <w:t xml:space="preserve">Colombia </w:t>
            </w:r>
          </w:p>
        </w:tc>
        <w:tc>
          <w:tcPr>
            <w:tcW w:w="709" w:type="dxa"/>
            <w:tcBorders>
              <w:left w:val="single" w:sz="4" w:space="0" w:color="auto"/>
              <w:right w:val="single" w:sz="4" w:space="0" w:color="auto"/>
            </w:tcBorders>
            <w:shd w:val="clear" w:color="auto" w:fill="auto"/>
            <w:vAlign w:val="center"/>
          </w:tcPr>
          <w:p w14:paraId="681EC76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64</w:t>
            </w:r>
          </w:p>
        </w:tc>
        <w:tc>
          <w:tcPr>
            <w:tcW w:w="709" w:type="dxa"/>
            <w:tcBorders>
              <w:left w:val="single" w:sz="4" w:space="0" w:color="auto"/>
              <w:right w:val="single" w:sz="4" w:space="0" w:color="auto"/>
            </w:tcBorders>
            <w:shd w:val="clear" w:color="auto" w:fill="auto"/>
            <w:vAlign w:val="center"/>
          </w:tcPr>
          <w:p w14:paraId="7FD47156"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0.4</w:t>
            </w:r>
          </w:p>
        </w:tc>
        <w:tc>
          <w:tcPr>
            <w:tcW w:w="567" w:type="dxa"/>
            <w:tcBorders>
              <w:left w:val="single" w:sz="4" w:space="0" w:color="auto"/>
              <w:right w:val="single" w:sz="4" w:space="0" w:color="auto"/>
            </w:tcBorders>
            <w:shd w:val="clear" w:color="auto" w:fill="auto"/>
            <w:vAlign w:val="center"/>
          </w:tcPr>
          <w:p w14:paraId="140CF5EB" w14:textId="77777777" w:rsidR="00EF4A2D" w:rsidRPr="00EF4A2D" w:rsidRDefault="00EF4A2D" w:rsidP="00EF4A2D">
            <w:pPr>
              <w:spacing w:before="40" w:after="40"/>
              <w:jc w:val="right"/>
              <w:rPr>
                <w:rFonts w:eastAsia="Calibri"/>
                <w:sz w:val="14"/>
                <w:szCs w:val="14"/>
                <w:lang w:eastAsia="en-US"/>
              </w:rPr>
            </w:pPr>
            <w:r w:rsidRPr="00EF4A2D">
              <w:rPr>
                <w:rFonts w:eastAsia="Calibri"/>
                <w:sz w:val="14"/>
                <w:szCs w:val="14"/>
                <w:lang w:eastAsia="en-US"/>
              </w:rPr>
              <w:t>8</w:t>
            </w:r>
          </w:p>
        </w:tc>
      </w:tr>
      <w:tr w:rsidR="00EF4A2D" w:rsidRPr="00EF4A2D" w14:paraId="306CEED2" w14:textId="77777777" w:rsidTr="00B9606F">
        <w:trPr>
          <w:jc w:val="center"/>
        </w:trPr>
        <w:tc>
          <w:tcPr>
            <w:tcW w:w="709" w:type="dxa"/>
            <w:tcBorders>
              <w:left w:val="single" w:sz="4" w:space="0" w:color="auto"/>
              <w:right w:val="single" w:sz="4" w:space="0" w:color="auto"/>
            </w:tcBorders>
            <w:shd w:val="clear" w:color="auto" w:fill="auto"/>
            <w:vAlign w:val="center"/>
          </w:tcPr>
          <w:p w14:paraId="32A3B267" w14:textId="77777777" w:rsidR="00EF4A2D" w:rsidRPr="00EF4A2D" w:rsidRDefault="00EF4A2D" w:rsidP="00EC0263">
            <w:pPr>
              <w:spacing w:before="40" w:after="40"/>
              <w:ind w:right="170"/>
              <w:jc w:val="right"/>
              <w:rPr>
                <w:rFonts w:eastAsia="Calibri"/>
                <w:sz w:val="14"/>
                <w:szCs w:val="14"/>
                <w:lang w:eastAsia="en-US"/>
              </w:rPr>
            </w:pPr>
          </w:p>
        </w:tc>
        <w:tc>
          <w:tcPr>
            <w:tcW w:w="1843" w:type="dxa"/>
            <w:tcBorders>
              <w:left w:val="single" w:sz="4" w:space="0" w:color="auto"/>
              <w:right w:val="single" w:sz="4" w:space="0" w:color="auto"/>
            </w:tcBorders>
            <w:shd w:val="clear" w:color="auto" w:fill="auto"/>
            <w:vAlign w:val="center"/>
          </w:tcPr>
          <w:p w14:paraId="4CFFDCA1" w14:textId="77777777" w:rsidR="00EF4A2D" w:rsidRPr="00EF4A2D" w:rsidRDefault="00EF4A2D" w:rsidP="00EF4A2D">
            <w:pPr>
              <w:spacing w:before="40" w:after="40"/>
              <w:rPr>
                <w:rFonts w:eastAsia="Calibri"/>
                <w:b/>
                <w:sz w:val="14"/>
                <w:szCs w:val="14"/>
                <w:lang w:eastAsia="en-US"/>
              </w:rPr>
            </w:pPr>
            <w:r w:rsidRPr="00EF4A2D">
              <w:rPr>
                <w:rFonts w:eastAsia="Calibri"/>
                <w:b/>
                <w:sz w:val="14"/>
                <w:szCs w:val="14"/>
                <w:lang w:eastAsia="en-US"/>
              </w:rPr>
              <w:t xml:space="preserve">Total de las </w:t>
            </w:r>
            <w:proofErr w:type="spellStart"/>
            <w:r w:rsidRPr="00EF4A2D">
              <w:rPr>
                <w:rFonts w:eastAsia="Calibri"/>
                <w:b/>
                <w:sz w:val="14"/>
                <w:szCs w:val="14"/>
                <w:lang w:eastAsia="en-US"/>
              </w:rPr>
              <w:t>econ.</w:t>
            </w:r>
            <w:proofErr w:type="spellEnd"/>
            <w:r w:rsidRPr="00EF4A2D">
              <w:rPr>
                <w:rFonts w:eastAsia="Calibri"/>
                <w:b/>
                <w:sz w:val="14"/>
                <w:szCs w:val="14"/>
                <w:lang w:eastAsia="en-US"/>
              </w:rPr>
              <w:t xml:space="preserve"> </w:t>
            </w:r>
            <w:proofErr w:type="spellStart"/>
            <w:r w:rsidRPr="00EF4A2D">
              <w:rPr>
                <w:rFonts w:eastAsia="Calibri"/>
                <w:b/>
                <w:sz w:val="14"/>
                <w:szCs w:val="14"/>
                <w:lang w:eastAsia="en-US"/>
              </w:rPr>
              <w:t>Enum</w:t>
            </w:r>
            <w:proofErr w:type="spellEnd"/>
            <w:r w:rsidRPr="00EF4A2D">
              <w:rPr>
                <w:rFonts w:eastAsia="Calibri"/>
                <w:b/>
                <w:sz w:val="14"/>
                <w:szCs w:val="14"/>
                <w:lang w:eastAsia="en-US"/>
              </w:rPr>
              <w:t xml:space="preserve">. </w:t>
            </w:r>
            <w:r w:rsidRPr="00EF4A2D">
              <w:rPr>
                <w:rFonts w:eastAsia="Calibri"/>
                <w:sz w:val="14"/>
                <w:szCs w:val="14"/>
                <w:u w:val="single"/>
                <w:vertAlign w:val="superscript"/>
                <w:lang w:eastAsia="en-US"/>
              </w:rPr>
              <w:t>d</w:t>
            </w:r>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0EBFE3B5" w14:textId="77777777" w:rsidR="00EF4A2D" w:rsidRPr="00EF4A2D" w:rsidRDefault="00EF4A2D" w:rsidP="00EF4A2D">
            <w:pPr>
              <w:spacing w:before="40" w:after="40"/>
              <w:jc w:val="right"/>
              <w:rPr>
                <w:rFonts w:eastAsia="Calibri"/>
                <w:b/>
                <w:sz w:val="14"/>
                <w:szCs w:val="14"/>
                <w:lang w:eastAsia="en-US"/>
              </w:rPr>
            </w:pPr>
            <w:r w:rsidRPr="00EF4A2D">
              <w:rPr>
                <w:rFonts w:eastAsia="Calibri"/>
                <w:b/>
                <w:sz w:val="14"/>
                <w:szCs w:val="14"/>
                <w:lang w:eastAsia="en-US"/>
              </w:rPr>
              <w:t>13 617</w:t>
            </w:r>
          </w:p>
        </w:tc>
        <w:tc>
          <w:tcPr>
            <w:tcW w:w="708" w:type="dxa"/>
            <w:tcBorders>
              <w:left w:val="single" w:sz="4" w:space="0" w:color="auto"/>
              <w:right w:val="single" w:sz="4" w:space="0" w:color="auto"/>
            </w:tcBorders>
            <w:shd w:val="clear" w:color="auto" w:fill="auto"/>
            <w:vAlign w:val="center"/>
          </w:tcPr>
          <w:p w14:paraId="728F5AB6" w14:textId="77777777" w:rsidR="00EF4A2D" w:rsidRPr="00EF4A2D" w:rsidRDefault="00EF4A2D" w:rsidP="00EF4A2D">
            <w:pPr>
              <w:spacing w:before="40" w:after="40"/>
              <w:jc w:val="right"/>
              <w:rPr>
                <w:rFonts w:eastAsia="Calibri"/>
                <w:b/>
                <w:sz w:val="14"/>
                <w:szCs w:val="14"/>
                <w:lang w:eastAsia="en-US"/>
              </w:rPr>
            </w:pPr>
            <w:r w:rsidRPr="00EF4A2D">
              <w:rPr>
                <w:rFonts w:eastAsia="Calibri"/>
                <w:b/>
                <w:sz w:val="14"/>
                <w:szCs w:val="14"/>
                <w:lang w:eastAsia="en-US"/>
              </w:rPr>
              <w:t>90.5</w:t>
            </w:r>
          </w:p>
        </w:tc>
        <w:tc>
          <w:tcPr>
            <w:tcW w:w="567" w:type="dxa"/>
            <w:tcBorders>
              <w:left w:val="single" w:sz="4" w:space="0" w:color="auto"/>
              <w:right w:val="single" w:sz="4" w:space="0" w:color="auto"/>
            </w:tcBorders>
            <w:shd w:val="clear" w:color="auto" w:fill="auto"/>
            <w:vAlign w:val="center"/>
          </w:tcPr>
          <w:p w14:paraId="0097EEA8" w14:textId="77777777" w:rsidR="00EF4A2D" w:rsidRPr="00EF4A2D" w:rsidRDefault="00EF4A2D" w:rsidP="00EF4A2D">
            <w:pPr>
              <w:spacing w:before="40" w:after="40"/>
              <w:jc w:val="right"/>
              <w:rPr>
                <w:rFonts w:eastAsia="Calibri"/>
                <w:b/>
                <w:sz w:val="14"/>
                <w:szCs w:val="14"/>
                <w:lang w:eastAsia="en-US"/>
              </w:rPr>
            </w:pPr>
            <w:r w:rsidRPr="00EF4A2D">
              <w:rPr>
                <w:rFonts w:eastAsia="Calibri"/>
                <w:b/>
                <w:sz w:val="14"/>
                <w:szCs w:val="14"/>
                <w:lang w:eastAsia="en-US"/>
              </w:rPr>
              <w:t>-</w:t>
            </w:r>
          </w:p>
        </w:tc>
        <w:tc>
          <w:tcPr>
            <w:tcW w:w="284" w:type="dxa"/>
            <w:tcBorders>
              <w:left w:val="single" w:sz="4" w:space="0" w:color="auto"/>
              <w:right w:val="single" w:sz="4" w:space="0" w:color="auto"/>
            </w:tcBorders>
            <w:vAlign w:val="center"/>
          </w:tcPr>
          <w:p w14:paraId="5FAB644B" w14:textId="77777777" w:rsidR="00EF4A2D" w:rsidRPr="00EF4A2D" w:rsidRDefault="00EF4A2D" w:rsidP="00EF4A2D">
            <w:pPr>
              <w:spacing w:before="40" w:after="40"/>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4D33731A" w14:textId="77777777" w:rsidR="00EF4A2D" w:rsidRPr="00EF4A2D" w:rsidRDefault="00EF4A2D" w:rsidP="00EC0263">
            <w:pPr>
              <w:spacing w:before="40" w:after="40"/>
              <w:ind w:right="170"/>
              <w:jc w:val="right"/>
              <w:rPr>
                <w:rFonts w:eastAsia="Calibri"/>
                <w:sz w:val="14"/>
                <w:szCs w:val="14"/>
                <w:lang w:eastAsia="en-US"/>
              </w:rPr>
            </w:pPr>
          </w:p>
        </w:tc>
        <w:tc>
          <w:tcPr>
            <w:tcW w:w="1842" w:type="dxa"/>
            <w:tcBorders>
              <w:left w:val="single" w:sz="4" w:space="0" w:color="auto"/>
              <w:right w:val="single" w:sz="4" w:space="0" w:color="auto"/>
            </w:tcBorders>
            <w:shd w:val="clear" w:color="auto" w:fill="auto"/>
            <w:vAlign w:val="center"/>
          </w:tcPr>
          <w:p w14:paraId="49D39A4A" w14:textId="77777777" w:rsidR="00EF4A2D" w:rsidRPr="00EF4A2D" w:rsidRDefault="00EF4A2D" w:rsidP="00EF4A2D">
            <w:pPr>
              <w:spacing w:before="120" w:after="120"/>
              <w:jc w:val="both"/>
              <w:rPr>
                <w:rFonts w:eastAsia="Calibri"/>
                <w:b/>
                <w:sz w:val="14"/>
                <w:szCs w:val="14"/>
                <w:lang w:eastAsia="en-US"/>
              </w:rPr>
            </w:pPr>
            <w:r w:rsidRPr="00EF4A2D">
              <w:rPr>
                <w:rFonts w:eastAsia="Calibri"/>
                <w:b/>
                <w:sz w:val="14"/>
                <w:szCs w:val="14"/>
                <w:lang w:eastAsia="en-US"/>
              </w:rPr>
              <w:t xml:space="preserve">Total de las </w:t>
            </w:r>
            <w:proofErr w:type="spellStart"/>
            <w:r w:rsidRPr="00EF4A2D">
              <w:rPr>
                <w:rFonts w:eastAsia="Calibri"/>
                <w:b/>
                <w:sz w:val="14"/>
                <w:szCs w:val="14"/>
                <w:lang w:eastAsia="en-US"/>
              </w:rPr>
              <w:t>econ.</w:t>
            </w:r>
            <w:proofErr w:type="spellEnd"/>
            <w:r w:rsidRPr="00EF4A2D">
              <w:rPr>
                <w:rFonts w:eastAsia="Calibri"/>
                <w:b/>
                <w:sz w:val="14"/>
                <w:szCs w:val="14"/>
                <w:lang w:eastAsia="en-US"/>
              </w:rPr>
              <w:t xml:space="preserve"> </w:t>
            </w:r>
            <w:proofErr w:type="spellStart"/>
            <w:r w:rsidRPr="00EF4A2D">
              <w:rPr>
                <w:rFonts w:eastAsia="Calibri"/>
                <w:b/>
                <w:sz w:val="14"/>
                <w:szCs w:val="14"/>
                <w:lang w:eastAsia="en-US"/>
              </w:rPr>
              <w:t>Enum.</w:t>
            </w:r>
            <w:r w:rsidRPr="00EF4A2D">
              <w:rPr>
                <w:rFonts w:eastAsia="Calibri"/>
                <w:b/>
                <w:sz w:val="14"/>
                <w:szCs w:val="14"/>
                <w:u w:val="single"/>
                <w:vertAlign w:val="superscript"/>
                <w:lang w:eastAsia="en-US"/>
              </w:rPr>
              <w:t>d</w:t>
            </w:r>
            <w:proofErr w:type="spellEnd"/>
            <w:r w:rsidRPr="00EF4A2D">
              <w:rPr>
                <w:rFonts w:eastAsia="Calibri"/>
                <w:b/>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55D2EDA9"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13 580</w:t>
            </w:r>
          </w:p>
        </w:tc>
        <w:tc>
          <w:tcPr>
            <w:tcW w:w="709" w:type="dxa"/>
            <w:tcBorders>
              <w:left w:val="single" w:sz="4" w:space="0" w:color="auto"/>
              <w:right w:val="single" w:sz="4" w:space="0" w:color="auto"/>
            </w:tcBorders>
            <w:shd w:val="clear" w:color="auto" w:fill="auto"/>
            <w:vAlign w:val="center"/>
          </w:tcPr>
          <w:p w14:paraId="17F45200"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89.8</w:t>
            </w:r>
          </w:p>
        </w:tc>
        <w:tc>
          <w:tcPr>
            <w:tcW w:w="567" w:type="dxa"/>
            <w:tcBorders>
              <w:left w:val="single" w:sz="4" w:space="0" w:color="auto"/>
              <w:right w:val="single" w:sz="4" w:space="0" w:color="auto"/>
            </w:tcBorders>
            <w:shd w:val="clear" w:color="auto" w:fill="auto"/>
            <w:vAlign w:val="center"/>
          </w:tcPr>
          <w:p w14:paraId="12FA892B"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w:t>
            </w:r>
          </w:p>
        </w:tc>
      </w:tr>
      <w:tr w:rsidR="00EF4A2D" w:rsidRPr="00EF4A2D" w14:paraId="37131C86" w14:textId="77777777" w:rsidTr="00B9606F">
        <w:trPr>
          <w:jc w:val="center"/>
        </w:trPr>
        <w:tc>
          <w:tcPr>
            <w:tcW w:w="709" w:type="dxa"/>
            <w:tcBorders>
              <w:left w:val="single" w:sz="4" w:space="0" w:color="auto"/>
              <w:bottom w:val="single" w:sz="4" w:space="0" w:color="auto"/>
              <w:right w:val="single" w:sz="4" w:space="0" w:color="auto"/>
            </w:tcBorders>
            <w:shd w:val="clear" w:color="auto" w:fill="auto"/>
            <w:vAlign w:val="center"/>
          </w:tcPr>
          <w:p w14:paraId="5E12AA9B" w14:textId="77777777" w:rsidR="00EF4A2D" w:rsidRPr="00EF4A2D" w:rsidRDefault="00EF4A2D" w:rsidP="00EC0263">
            <w:pPr>
              <w:spacing w:before="40" w:after="120"/>
              <w:ind w:right="170"/>
              <w:jc w:val="right"/>
              <w:rPr>
                <w:rFonts w:eastAsia="Calibri"/>
                <w:sz w:val="14"/>
                <w:szCs w:val="14"/>
                <w:lang w:eastAsia="en-US"/>
              </w:rPr>
            </w:pPr>
          </w:p>
        </w:tc>
        <w:tc>
          <w:tcPr>
            <w:tcW w:w="1843" w:type="dxa"/>
            <w:tcBorders>
              <w:left w:val="single" w:sz="4" w:space="0" w:color="auto"/>
              <w:bottom w:val="single" w:sz="4" w:space="0" w:color="auto"/>
              <w:right w:val="single" w:sz="4" w:space="0" w:color="auto"/>
            </w:tcBorders>
            <w:shd w:val="clear" w:color="auto" w:fill="auto"/>
            <w:vAlign w:val="center"/>
          </w:tcPr>
          <w:p w14:paraId="0D27DE9E" w14:textId="77777777" w:rsidR="00EF4A2D" w:rsidRPr="00EF4A2D" w:rsidRDefault="00EF4A2D" w:rsidP="00EF4A2D">
            <w:pPr>
              <w:spacing w:before="40" w:after="120"/>
              <w:rPr>
                <w:rFonts w:eastAsia="Calibri"/>
                <w:b/>
                <w:sz w:val="14"/>
                <w:szCs w:val="14"/>
                <w:lang w:eastAsia="en-US"/>
              </w:rPr>
            </w:pPr>
            <w:r w:rsidRPr="00EF4A2D">
              <w:rPr>
                <w:rFonts w:eastAsia="Calibri"/>
                <w:b/>
                <w:sz w:val="14"/>
                <w:szCs w:val="14"/>
                <w:lang w:eastAsia="en-US"/>
              </w:rPr>
              <w:t>Todo el mundo (excl. el comercio intracomunitario UE(28)</w:t>
            </w:r>
            <w:r w:rsidRPr="00EF4A2D">
              <w:rPr>
                <w:rFonts w:eastAsia="Calibri"/>
                <w:sz w:val="14"/>
                <w:szCs w:val="14"/>
                <w:u w:val="single"/>
                <w:vertAlign w:val="superscript"/>
                <w:lang w:eastAsia="en-US"/>
              </w:rPr>
              <w:t>d</w:t>
            </w:r>
            <w:r w:rsidRPr="00EF4A2D">
              <w:rPr>
                <w:rFonts w:eastAsia="Calibri"/>
                <w:sz w:val="14"/>
                <w:szCs w:val="14"/>
                <w:vertAlign w:val="superscript"/>
                <w:lang w:eastAsia="en-US"/>
              </w:rPr>
              <w:t>/</w:t>
            </w:r>
          </w:p>
        </w:tc>
        <w:tc>
          <w:tcPr>
            <w:tcW w:w="709" w:type="dxa"/>
            <w:tcBorders>
              <w:left w:val="single" w:sz="4" w:space="0" w:color="auto"/>
              <w:bottom w:val="single" w:sz="4" w:space="0" w:color="auto"/>
              <w:right w:val="single" w:sz="4" w:space="0" w:color="auto"/>
            </w:tcBorders>
            <w:shd w:val="clear" w:color="auto" w:fill="auto"/>
            <w:vAlign w:val="center"/>
          </w:tcPr>
          <w:p w14:paraId="4D9412DD" w14:textId="77777777" w:rsidR="00EF4A2D" w:rsidRPr="00EF4A2D" w:rsidRDefault="00EF4A2D" w:rsidP="00EF4A2D">
            <w:pPr>
              <w:spacing w:before="40" w:after="120"/>
              <w:jc w:val="right"/>
              <w:rPr>
                <w:rFonts w:eastAsia="Calibri"/>
                <w:b/>
                <w:sz w:val="14"/>
                <w:szCs w:val="14"/>
                <w:lang w:eastAsia="en-US"/>
              </w:rPr>
            </w:pPr>
            <w:r w:rsidRPr="00EF4A2D">
              <w:rPr>
                <w:rFonts w:eastAsia="Calibri"/>
                <w:b/>
                <w:sz w:val="14"/>
                <w:szCs w:val="14"/>
                <w:lang w:eastAsia="en-US"/>
              </w:rPr>
              <w:t>15 039</w:t>
            </w:r>
          </w:p>
        </w:tc>
        <w:tc>
          <w:tcPr>
            <w:tcW w:w="708" w:type="dxa"/>
            <w:tcBorders>
              <w:left w:val="single" w:sz="4" w:space="0" w:color="auto"/>
              <w:bottom w:val="single" w:sz="4" w:space="0" w:color="auto"/>
              <w:right w:val="single" w:sz="4" w:space="0" w:color="auto"/>
            </w:tcBorders>
            <w:shd w:val="clear" w:color="auto" w:fill="auto"/>
            <w:vAlign w:val="center"/>
          </w:tcPr>
          <w:p w14:paraId="44A47C5B" w14:textId="77777777" w:rsidR="00EF4A2D" w:rsidRPr="00EF4A2D" w:rsidRDefault="00EF4A2D" w:rsidP="00EF4A2D">
            <w:pPr>
              <w:spacing w:before="40" w:after="120"/>
              <w:jc w:val="right"/>
              <w:rPr>
                <w:rFonts w:eastAsia="Calibri"/>
                <w:b/>
                <w:sz w:val="14"/>
                <w:szCs w:val="14"/>
                <w:lang w:eastAsia="en-US"/>
              </w:rPr>
            </w:pPr>
            <w:r w:rsidRPr="00EF4A2D">
              <w:rPr>
                <w:rFonts w:eastAsia="Calibri"/>
                <w:b/>
                <w:sz w:val="14"/>
                <w:szCs w:val="14"/>
                <w:lang w:eastAsia="en-US"/>
              </w:rPr>
              <w:t>100.0</w:t>
            </w:r>
          </w:p>
        </w:tc>
        <w:tc>
          <w:tcPr>
            <w:tcW w:w="567" w:type="dxa"/>
            <w:tcBorders>
              <w:left w:val="single" w:sz="4" w:space="0" w:color="auto"/>
              <w:bottom w:val="single" w:sz="4" w:space="0" w:color="auto"/>
              <w:right w:val="single" w:sz="4" w:space="0" w:color="auto"/>
            </w:tcBorders>
            <w:shd w:val="clear" w:color="auto" w:fill="auto"/>
            <w:vAlign w:val="center"/>
          </w:tcPr>
          <w:p w14:paraId="75438141" w14:textId="17D65BD9" w:rsidR="00EF4A2D" w:rsidRPr="00EF4A2D" w:rsidRDefault="00702486" w:rsidP="00702486">
            <w:pPr>
              <w:spacing w:before="40" w:after="120"/>
              <w:jc w:val="right"/>
              <w:rPr>
                <w:rFonts w:eastAsia="Calibri"/>
                <w:b/>
                <w:sz w:val="14"/>
                <w:szCs w:val="14"/>
                <w:lang w:eastAsia="en-US"/>
              </w:rPr>
            </w:pPr>
            <w:r>
              <w:rPr>
                <w:rFonts w:eastAsia="Calibri"/>
                <w:b/>
                <w:sz w:val="14"/>
                <w:szCs w:val="14"/>
                <w:lang w:eastAsia="en-US"/>
              </w:rPr>
              <w:t>0</w:t>
            </w:r>
          </w:p>
        </w:tc>
        <w:tc>
          <w:tcPr>
            <w:tcW w:w="284" w:type="dxa"/>
            <w:tcBorders>
              <w:left w:val="single" w:sz="4" w:space="0" w:color="auto"/>
              <w:right w:val="single" w:sz="4" w:space="0" w:color="auto"/>
            </w:tcBorders>
            <w:vAlign w:val="center"/>
          </w:tcPr>
          <w:p w14:paraId="39C27E6B" w14:textId="77777777" w:rsidR="00EF4A2D" w:rsidRPr="00EF4A2D" w:rsidRDefault="00EF4A2D" w:rsidP="00EF4A2D">
            <w:pPr>
              <w:spacing w:before="40" w:after="120"/>
              <w:jc w:val="right"/>
              <w:rPr>
                <w:rFonts w:eastAsia="Calibri"/>
                <w:sz w:val="14"/>
                <w:szCs w:val="14"/>
                <w:lang w:eastAsia="en-US"/>
              </w:rPr>
            </w:pPr>
          </w:p>
        </w:tc>
        <w:tc>
          <w:tcPr>
            <w:tcW w:w="709" w:type="dxa"/>
            <w:tcBorders>
              <w:left w:val="single" w:sz="4" w:space="0" w:color="auto"/>
              <w:bottom w:val="single" w:sz="4" w:space="0" w:color="auto"/>
              <w:right w:val="single" w:sz="4" w:space="0" w:color="auto"/>
            </w:tcBorders>
            <w:shd w:val="clear" w:color="auto" w:fill="auto"/>
            <w:vAlign w:val="center"/>
          </w:tcPr>
          <w:p w14:paraId="7578A69C" w14:textId="77777777" w:rsidR="00EF4A2D" w:rsidRPr="00EF4A2D" w:rsidRDefault="00EF4A2D" w:rsidP="00EC0263">
            <w:pPr>
              <w:spacing w:before="40" w:after="120"/>
              <w:ind w:right="170"/>
              <w:jc w:val="right"/>
              <w:rPr>
                <w:rFonts w:eastAsia="Calibri"/>
                <w:sz w:val="14"/>
                <w:szCs w:val="14"/>
                <w:lang w:eastAsia="en-US"/>
              </w:rPr>
            </w:pPr>
          </w:p>
        </w:tc>
        <w:tc>
          <w:tcPr>
            <w:tcW w:w="1842" w:type="dxa"/>
            <w:tcBorders>
              <w:left w:val="single" w:sz="4" w:space="0" w:color="auto"/>
              <w:bottom w:val="single" w:sz="4" w:space="0" w:color="auto"/>
              <w:right w:val="single" w:sz="4" w:space="0" w:color="auto"/>
            </w:tcBorders>
            <w:shd w:val="clear" w:color="auto" w:fill="auto"/>
            <w:vAlign w:val="center"/>
          </w:tcPr>
          <w:p w14:paraId="309CA369" w14:textId="77777777" w:rsidR="00EF4A2D" w:rsidRPr="00EF4A2D" w:rsidRDefault="00EF4A2D" w:rsidP="00EF4A2D">
            <w:pPr>
              <w:spacing w:before="40" w:after="120"/>
              <w:rPr>
                <w:rFonts w:eastAsia="Calibri"/>
                <w:b/>
                <w:sz w:val="14"/>
                <w:szCs w:val="14"/>
                <w:lang w:eastAsia="en-US"/>
              </w:rPr>
            </w:pPr>
            <w:r w:rsidRPr="00EF4A2D">
              <w:rPr>
                <w:rFonts w:eastAsia="Calibri"/>
                <w:b/>
                <w:sz w:val="14"/>
                <w:szCs w:val="14"/>
                <w:lang w:eastAsia="en-US"/>
              </w:rPr>
              <w:t>Todo el mundo (excl. el comercio intracomunitario UE(28)</w:t>
            </w:r>
            <w:r w:rsidRPr="00EF4A2D">
              <w:rPr>
                <w:rFonts w:eastAsia="Calibri"/>
                <w:sz w:val="14"/>
                <w:szCs w:val="14"/>
                <w:u w:val="single"/>
                <w:vertAlign w:val="superscript"/>
                <w:lang w:eastAsia="en-US"/>
              </w:rPr>
              <w:t>d</w:t>
            </w:r>
            <w:r w:rsidRPr="00EF4A2D">
              <w:rPr>
                <w:rFonts w:eastAsia="Calibri"/>
                <w:sz w:val="14"/>
                <w:szCs w:val="14"/>
                <w:vertAlign w:val="superscript"/>
                <w:lang w:eastAsia="en-US"/>
              </w:rPr>
              <w:t>/</w:t>
            </w:r>
          </w:p>
        </w:tc>
        <w:tc>
          <w:tcPr>
            <w:tcW w:w="709" w:type="dxa"/>
            <w:tcBorders>
              <w:left w:val="single" w:sz="4" w:space="0" w:color="auto"/>
              <w:bottom w:val="single" w:sz="4" w:space="0" w:color="auto"/>
              <w:right w:val="single" w:sz="4" w:space="0" w:color="auto"/>
            </w:tcBorders>
            <w:shd w:val="clear" w:color="auto" w:fill="auto"/>
            <w:vAlign w:val="center"/>
          </w:tcPr>
          <w:p w14:paraId="0435CCFD" w14:textId="2523C4EC" w:rsidR="00EF4A2D" w:rsidRPr="00EF4A2D" w:rsidRDefault="00EC0263" w:rsidP="00EC0263">
            <w:pPr>
              <w:spacing w:before="120" w:after="120"/>
              <w:jc w:val="right"/>
              <w:rPr>
                <w:rFonts w:eastAsia="Calibri"/>
                <w:b/>
                <w:sz w:val="14"/>
                <w:szCs w:val="14"/>
                <w:lang w:eastAsia="en-US"/>
              </w:rPr>
            </w:pPr>
            <w:r>
              <w:rPr>
                <w:rFonts w:eastAsia="Calibri"/>
                <w:b/>
                <w:sz w:val="14"/>
                <w:szCs w:val="14"/>
                <w:lang w:eastAsia="en-US"/>
              </w:rPr>
              <w:t>15 128</w:t>
            </w:r>
          </w:p>
        </w:tc>
        <w:tc>
          <w:tcPr>
            <w:tcW w:w="709" w:type="dxa"/>
            <w:tcBorders>
              <w:left w:val="single" w:sz="4" w:space="0" w:color="auto"/>
              <w:bottom w:val="single" w:sz="4" w:space="0" w:color="auto"/>
              <w:right w:val="single" w:sz="4" w:space="0" w:color="auto"/>
            </w:tcBorders>
            <w:shd w:val="clear" w:color="auto" w:fill="auto"/>
            <w:vAlign w:val="center"/>
          </w:tcPr>
          <w:p w14:paraId="1F05B139"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100.0</w:t>
            </w:r>
          </w:p>
        </w:tc>
        <w:tc>
          <w:tcPr>
            <w:tcW w:w="567" w:type="dxa"/>
            <w:tcBorders>
              <w:left w:val="single" w:sz="4" w:space="0" w:color="auto"/>
              <w:bottom w:val="single" w:sz="4" w:space="0" w:color="auto"/>
              <w:right w:val="single" w:sz="4" w:space="0" w:color="auto"/>
            </w:tcBorders>
            <w:shd w:val="clear" w:color="auto" w:fill="auto"/>
            <w:vAlign w:val="center"/>
          </w:tcPr>
          <w:p w14:paraId="386C8ABC" w14:textId="77777777" w:rsidR="00EF4A2D" w:rsidRPr="00EF4A2D" w:rsidRDefault="00EF4A2D" w:rsidP="00EF4A2D">
            <w:pPr>
              <w:spacing w:before="120" w:after="120"/>
              <w:jc w:val="right"/>
              <w:rPr>
                <w:rFonts w:eastAsia="Calibri"/>
                <w:b/>
                <w:sz w:val="14"/>
                <w:szCs w:val="14"/>
                <w:lang w:eastAsia="en-US"/>
              </w:rPr>
            </w:pPr>
            <w:r w:rsidRPr="00EF4A2D">
              <w:rPr>
                <w:rFonts w:eastAsia="Calibri"/>
                <w:b/>
                <w:sz w:val="14"/>
                <w:szCs w:val="14"/>
                <w:lang w:eastAsia="en-US"/>
              </w:rPr>
              <w:t>0</w:t>
            </w:r>
          </w:p>
        </w:tc>
      </w:tr>
      <w:tr w:rsidR="00EF4A2D" w:rsidRPr="00EF4A2D" w14:paraId="5C85AC20" w14:textId="77777777" w:rsidTr="00B9606F">
        <w:trPr>
          <w:jc w:val="center"/>
        </w:trPr>
        <w:tc>
          <w:tcPr>
            <w:tcW w:w="9356" w:type="dxa"/>
            <w:gridSpan w:val="11"/>
            <w:vAlign w:val="center"/>
          </w:tcPr>
          <w:p w14:paraId="733A0C6E" w14:textId="77777777" w:rsidR="00EF4A2D" w:rsidRPr="00EF4A2D" w:rsidRDefault="00EF4A2D" w:rsidP="003518F4">
            <w:pPr>
              <w:numPr>
                <w:ilvl w:val="0"/>
                <w:numId w:val="136"/>
              </w:numPr>
              <w:spacing w:before="120" w:after="200" w:line="276" w:lineRule="auto"/>
              <w:ind w:left="284" w:hanging="284"/>
              <w:contextualSpacing/>
              <w:jc w:val="both"/>
              <w:rPr>
                <w:rFonts w:eastAsia="Calibri"/>
                <w:sz w:val="18"/>
                <w:szCs w:val="18"/>
                <w:lang w:eastAsia="en-US"/>
              </w:rPr>
            </w:pPr>
            <w:r w:rsidRPr="00EF4A2D">
              <w:rPr>
                <w:rFonts w:eastAsia="Calibri"/>
                <w:sz w:val="18"/>
                <w:szCs w:val="18"/>
                <w:lang w:eastAsia="en-US"/>
              </w:rPr>
              <w:t xml:space="preserve">Importaciones según valores </w:t>
            </w:r>
            <w:proofErr w:type="spellStart"/>
            <w:r w:rsidRPr="00EF4A2D">
              <w:rPr>
                <w:rFonts w:eastAsia="Calibri"/>
                <w:sz w:val="18"/>
                <w:szCs w:val="18"/>
                <w:lang w:eastAsia="en-US"/>
              </w:rPr>
              <w:t>f.o.b</w:t>
            </w:r>
            <w:proofErr w:type="spellEnd"/>
            <w:r w:rsidRPr="00EF4A2D">
              <w:rPr>
                <w:rFonts w:eastAsia="Calibri"/>
                <w:sz w:val="18"/>
                <w:szCs w:val="18"/>
                <w:lang w:eastAsia="en-US"/>
              </w:rPr>
              <w:t>.</w:t>
            </w:r>
          </w:p>
          <w:p w14:paraId="14FBCA4E" w14:textId="77777777" w:rsidR="00EF4A2D" w:rsidRPr="00EF4A2D" w:rsidRDefault="00EF4A2D" w:rsidP="003518F4">
            <w:pPr>
              <w:numPr>
                <w:ilvl w:val="0"/>
                <w:numId w:val="136"/>
              </w:numPr>
              <w:spacing w:after="200" w:line="276" w:lineRule="auto"/>
              <w:ind w:left="284" w:hanging="284"/>
              <w:contextualSpacing/>
              <w:jc w:val="both"/>
              <w:rPr>
                <w:rFonts w:eastAsia="Calibri"/>
                <w:sz w:val="18"/>
                <w:szCs w:val="18"/>
                <w:lang w:eastAsia="en-US"/>
              </w:rPr>
            </w:pPr>
            <w:r w:rsidRPr="00EF4A2D">
              <w:rPr>
                <w:rFonts w:eastAsia="Calibri"/>
                <w:sz w:val="18"/>
                <w:szCs w:val="18"/>
                <w:lang w:eastAsia="en-US"/>
              </w:rPr>
              <w:t>Por importaciones definitivas de Singapur se entiende las importaciones menos las reexportaciones.</w:t>
            </w:r>
          </w:p>
          <w:p w14:paraId="1A8CCD02" w14:textId="77777777" w:rsidR="00EF4A2D" w:rsidRPr="00EF4A2D" w:rsidRDefault="00EF4A2D" w:rsidP="003518F4">
            <w:pPr>
              <w:numPr>
                <w:ilvl w:val="0"/>
                <w:numId w:val="136"/>
              </w:numPr>
              <w:spacing w:after="200" w:line="276" w:lineRule="auto"/>
              <w:ind w:left="284" w:hanging="284"/>
              <w:contextualSpacing/>
              <w:jc w:val="both"/>
              <w:rPr>
                <w:rFonts w:eastAsia="Calibri"/>
                <w:sz w:val="18"/>
                <w:szCs w:val="18"/>
                <w:lang w:eastAsia="en-US"/>
              </w:rPr>
            </w:pPr>
            <w:r w:rsidRPr="00EF4A2D">
              <w:rPr>
                <w:rFonts w:eastAsia="Calibri"/>
                <w:sz w:val="18"/>
                <w:szCs w:val="18"/>
                <w:lang w:eastAsia="en-US"/>
              </w:rPr>
              <w:t>Estimaciones de la Secretaría.</w:t>
            </w:r>
          </w:p>
          <w:p w14:paraId="26A181D2" w14:textId="77777777" w:rsidR="00EF4A2D" w:rsidRPr="00EF4A2D" w:rsidRDefault="00EF4A2D" w:rsidP="003518F4">
            <w:pPr>
              <w:numPr>
                <w:ilvl w:val="0"/>
                <w:numId w:val="136"/>
              </w:numPr>
              <w:spacing w:after="200" w:line="276" w:lineRule="auto"/>
              <w:ind w:left="284" w:hanging="284"/>
              <w:contextualSpacing/>
              <w:jc w:val="both"/>
              <w:rPr>
                <w:rFonts w:eastAsia="Calibri"/>
                <w:sz w:val="18"/>
                <w:szCs w:val="18"/>
                <w:lang w:eastAsia="en-US"/>
              </w:rPr>
            </w:pPr>
            <w:r w:rsidRPr="00EF4A2D">
              <w:rPr>
                <w:rFonts w:eastAsia="Calibri"/>
                <w:sz w:val="18"/>
                <w:szCs w:val="18"/>
                <w:lang w:eastAsia="en-US"/>
              </w:rPr>
              <w:t>Incluye un volumen considerable de reexportaciones o importaciones destinadas a la reexportación.</w:t>
            </w:r>
          </w:p>
          <w:p w14:paraId="1CFE22B1" w14:textId="77777777" w:rsidR="00EF4A2D" w:rsidRPr="00EF4A2D" w:rsidRDefault="00EF4A2D" w:rsidP="00EF4A2D">
            <w:pPr>
              <w:ind w:right="57"/>
              <w:jc w:val="both"/>
              <w:rPr>
                <w:rFonts w:eastAsia="Calibri"/>
                <w:sz w:val="18"/>
                <w:szCs w:val="18"/>
                <w:lang w:eastAsia="en-US"/>
              </w:rPr>
            </w:pPr>
            <w:r w:rsidRPr="00EF4A2D">
              <w:rPr>
                <w:rFonts w:eastAsia="Calibri"/>
                <w:sz w:val="18"/>
                <w:szCs w:val="18"/>
                <w:lang w:eastAsia="en-US"/>
              </w:rPr>
              <w:t>FUENTE: Secretaría de la OMC.</w:t>
            </w:r>
          </w:p>
        </w:tc>
      </w:tr>
    </w:tbl>
    <w:p w14:paraId="0F2940F0" w14:textId="77777777" w:rsidR="00EF4A2D" w:rsidRPr="00EF4A2D" w:rsidRDefault="00EF4A2D" w:rsidP="00EF4A2D">
      <w:pPr>
        <w:spacing w:after="360" w:line="360" w:lineRule="auto"/>
        <w:ind w:right="-159"/>
        <w:jc w:val="both"/>
        <w:rPr>
          <w:rFonts w:eastAsia="Calibri"/>
          <w:sz w:val="26"/>
          <w:szCs w:val="26"/>
          <w:lang w:val="es-ES" w:eastAsia="en-US"/>
        </w:rPr>
      </w:pPr>
    </w:p>
    <w:tbl>
      <w:tblPr>
        <w:tblW w:w="8931" w:type="dxa"/>
        <w:jc w:val="center"/>
        <w:tblLayout w:type="fixed"/>
        <w:tblLook w:val="01E0" w:firstRow="1" w:lastRow="1" w:firstColumn="1" w:lastColumn="1" w:noHBand="0" w:noVBand="0"/>
      </w:tblPr>
      <w:tblGrid>
        <w:gridCol w:w="709"/>
        <w:gridCol w:w="1701"/>
        <w:gridCol w:w="709"/>
        <w:gridCol w:w="708"/>
        <w:gridCol w:w="567"/>
        <w:gridCol w:w="284"/>
        <w:gridCol w:w="709"/>
        <w:gridCol w:w="1606"/>
        <w:gridCol w:w="662"/>
        <w:gridCol w:w="709"/>
        <w:gridCol w:w="567"/>
      </w:tblGrid>
      <w:tr w:rsidR="00EF4A2D" w:rsidRPr="00EF4A2D" w14:paraId="58AB18E0" w14:textId="77777777" w:rsidTr="00B9606F">
        <w:trPr>
          <w:jc w:val="center"/>
        </w:trPr>
        <w:tc>
          <w:tcPr>
            <w:tcW w:w="8931" w:type="dxa"/>
            <w:gridSpan w:val="11"/>
            <w:vAlign w:val="center"/>
          </w:tcPr>
          <w:p w14:paraId="3CACED96" w14:textId="77777777" w:rsidR="00EF4A2D" w:rsidRPr="00EF4A2D" w:rsidRDefault="00EF4A2D" w:rsidP="004D07F1">
            <w:pPr>
              <w:jc w:val="center"/>
              <w:rPr>
                <w:rFonts w:eastAsia="Calibri"/>
                <w:b/>
                <w:sz w:val="22"/>
                <w:szCs w:val="22"/>
                <w:lang w:eastAsia="en-US"/>
              </w:rPr>
            </w:pPr>
            <w:r w:rsidRPr="00EF4A2D">
              <w:rPr>
                <w:rFonts w:eastAsia="Calibri"/>
                <w:b/>
                <w:sz w:val="22"/>
                <w:szCs w:val="22"/>
                <w:lang w:eastAsia="en-US"/>
              </w:rPr>
              <w:t>PRINCIPALES EXPORTADORES E IMPORTADORES</w:t>
            </w:r>
          </w:p>
          <w:p w14:paraId="51236863" w14:textId="77777777" w:rsidR="00EF4A2D" w:rsidRPr="00EF4A2D" w:rsidRDefault="00EF4A2D" w:rsidP="004D07F1">
            <w:pPr>
              <w:jc w:val="center"/>
              <w:rPr>
                <w:rFonts w:eastAsia="Calibri"/>
                <w:b/>
                <w:sz w:val="22"/>
                <w:szCs w:val="22"/>
                <w:lang w:eastAsia="en-US"/>
              </w:rPr>
            </w:pPr>
            <w:r w:rsidRPr="00EF4A2D">
              <w:rPr>
                <w:rFonts w:eastAsia="Calibri"/>
                <w:b/>
                <w:sz w:val="22"/>
                <w:szCs w:val="22"/>
                <w:lang w:eastAsia="en-US"/>
              </w:rPr>
              <w:t>DE SERVICIOS COMERCIALES, 2014</w:t>
            </w:r>
          </w:p>
          <w:p w14:paraId="56687016" w14:textId="39241B4B" w:rsidR="00EF4A2D" w:rsidRPr="00EF4A2D" w:rsidRDefault="00EF4A2D" w:rsidP="004D07F1">
            <w:pPr>
              <w:jc w:val="center"/>
              <w:rPr>
                <w:rFonts w:eastAsia="Calibri"/>
                <w:b/>
                <w:sz w:val="22"/>
                <w:szCs w:val="22"/>
                <w:lang w:eastAsia="en-US"/>
              </w:rPr>
            </w:pPr>
            <w:r w:rsidRPr="00EF4A2D">
              <w:rPr>
                <w:rFonts w:eastAsia="Calibri"/>
                <w:b/>
                <w:sz w:val="22"/>
                <w:szCs w:val="22"/>
                <w:lang w:eastAsia="en-US"/>
              </w:rPr>
              <w:t xml:space="preserve">-En miles de millones de dólares </w:t>
            </w:r>
            <w:r w:rsidR="00EC0263">
              <w:rPr>
                <w:rFonts w:eastAsia="Calibri"/>
                <w:b/>
                <w:sz w:val="22"/>
                <w:szCs w:val="22"/>
                <w:lang w:eastAsia="en-US"/>
              </w:rPr>
              <w:t xml:space="preserve">estadounidenses </w:t>
            </w:r>
            <w:r w:rsidRPr="00EF4A2D">
              <w:rPr>
                <w:rFonts w:eastAsia="Calibri"/>
                <w:b/>
                <w:sz w:val="22"/>
                <w:szCs w:val="22"/>
                <w:lang w:eastAsia="en-US"/>
              </w:rPr>
              <w:t>y en porcentajes-</w:t>
            </w:r>
          </w:p>
          <w:p w14:paraId="7FA0D8D3" w14:textId="77777777" w:rsidR="00EF4A2D" w:rsidRPr="00EF4A2D" w:rsidRDefault="00EF4A2D" w:rsidP="004D07F1">
            <w:pPr>
              <w:jc w:val="center"/>
              <w:rPr>
                <w:rFonts w:eastAsia="Calibri"/>
                <w:b/>
                <w:sz w:val="22"/>
                <w:szCs w:val="22"/>
                <w:lang w:eastAsia="en-US"/>
              </w:rPr>
            </w:pPr>
          </w:p>
        </w:tc>
      </w:tr>
      <w:tr w:rsidR="00EF4A2D" w:rsidRPr="00EF4A2D" w14:paraId="20EFA1DF" w14:textId="77777777" w:rsidTr="00B9606F">
        <w:trPr>
          <w:jc w:val="center"/>
        </w:trPr>
        <w:tc>
          <w:tcPr>
            <w:tcW w:w="709" w:type="dxa"/>
            <w:tcBorders>
              <w:top w:val="single" w:sz="4" w:space="0" w:color="auto"/>
              <w:left w:val="single" w:sz="4" w:space="0" w:color="auto"/>
              <w:bottom w:val="single" w:sz="4" w:space="0" w:color="auto"/>
              <w:right w:val="single" w:sz="4" w:space="0" w:color="auto"/>
            </w:tcBorders>
            <w:vAlign w:val="center"/>
          </w:tcPr>
          <w:p w14:paraId="36E63DE4"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 xml:space="preserve">Lugar en la </w:t>
            </w:r>
            <w:proofErr w:type="spellStart"/>
            <w:r w:rsidRPr="00EF4A2D">
              <w:rPr>
                <w:rFonts w:eastAsia="Calibri"/>
                <w:b/>
                <w:sz w:val="14"/>
                <w:szCs w:val="14"/>
                <w:lang w:eastAsia="en-US"/>
              </w:rPr>
              <w:t>clasif</w:t>
            </w:r>
            <w:proofErr w:type="spellEnd"/>
            <w:r w:rsidRPr="00EF4A2D">
              <w:rPr>
                <w:rFonts w:eastAsia="Calibri"/>
                <w:b/>
                <w:sz w:val="14"/>
                <w:szCs w:val="14"/>
                <w:lang w:eastAsia="en-US"/>
              </w:rPr>
              <w:t>.</w:t>
            </w:r>
          </w:p>
        </w:tc>
        <w:tc>
          <w:tcPr>
            <w:tcW w:w="1701" w:type="dxa"/>
            <w:tcBorders>
              <w:top w:val="single" w:sz="4" w:space="0" w:color="auto"/>
              <w:left w:val="single" w:sz="4" w:space="0" w:color="auto"/>
              <w:bottom w:val="single" w:sz="4" w:space="0" w:color="auto"/>
              <w:right w:val="single" w:sz="4" w:space="0" w:color="auto"/>
            </w:tcBorders>
            <w:vAlign w:val="center"/>
          </w:tcPr>
          <w:p w14:paraId="39E1189D"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Exportadores</w:t>
            </w:r>
          </w:p>
        </w:tc>
        <w:tc>
          <w:tcPr>
            <w:tcW w:w="709" w:type="dxa"/>
            <w:tcBorders>
              <w:top w:val="single" w:sz="4" w:space="0" w:color="auto"/>
              <w:left w:val="single" w:sz="4" w:space="0" w:color="auto"/>
              <w:bottom w:val="single" w:sz="4" w:space="0" w:color="auto"/>
              <w:right w:val="single" w:sz="4" w:space="0" w:color="auto"/>
            </w:tcBorders>
            <w:vAlign w:val="center"/>
          </w:tcPr>
          <w:p w14:paraId="0B7A0F23"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Valor</w:t>
            </w:r>
          </w:p>
        </w:tc>
        <w:tc>
          <w:tcPr>
            <w:tcW w:w="708" w:type="dxa"/>
            <w:tcBorders>
              <w:top w:val="single" w:sz="4" w:space="0" w:color="auto"/>
              <w:left w:val="single" w:sz="4" w:space="0" w:color="auto"/>
              <w:bottom w:val="single" w:sz="4" w:space="0" w:color="auto"/>
              <w:right w:val="single" w:sz="4" w:space="0" w:color="auto"/>
            </w:tcBorders>
            <w:vAlign w:val="center"/>
          </w:tcPr>
          <w:p w14:paraId="64A36BDB"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w:t>
            </w:r>
          </w:p>
        </w:tc>
        <w:tc>
          <w:tcPr>
            <w:tcW w:w="567" w:type="dxa"/>
            <w:tcBorders>
              <w:top w:val="single" w:sz="4" w:space="0" w:color="auto"/>
              <w:left w:val="single" w:sz="4" w:space="0" w:color="auto"/>
              <w:bottom w:val="single" w:sz="4" w:space="0" w:color="auto"/>
              <w:right w:val="single" w:sz="4" w:space="0" w:color="auto"/>
            </w:tcBorders>
            <w:vAlign w:val="center"/>
          </w:tcPr>
          <w:p w14:paraId="6C6DAEF6"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Varia</w:t>
            </w:r>
          </w:p>
          <w:p w14:paraId="46DDFD9E" w14:textId="77777777" w:rsidR="00EF4A2D" w:rsidRPr="00EF4A2D" w:rsidRDefault="00EF4A2D" w:rsidP="004D07F1">
            <w:pPr>
              <w:jc w:val="center"/>
              <w:rPr>
                <w:rFonts w:eastAsia="Calibri"/>
                <w:b/>
                <w:sz w:val="14"/>
                <w:szCs w:val="14"/>
                <w:lang w:eastAsia="en-US"/>
              </w:rPr>
            </w:pPr>
            <w:proofErr w:type="spellStart"/>
            <w:r w:rsidRPr="00EF4A2D">
              <w:rPr>
                <w:rFonts w:eastAsia="Calibri"/>
                <w:b/>
                <w:sz w:val="14"/>
                <w:szCs w:val="14"/>
                <w:lang w:eastAsia="en-US"/>
              </w:rPr>
              <w:t>ción</w:t>
            </w:r>
            <w:proofErr w:type="spellEnd"/>
          </w:p>
          <w:p w14:paraId="4D575FC1"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 anual</w:t>
            </w:r>
          </w:p>
        </w:tc>
        <w:tc>
          <w:tcPr>
            <w:tcW w:w="284" w:type="dxa"/>
            <w:tcBorders>
              <w:left w:val="single" w:sz="4" w:space="0" w:color="auto"/>
              <w:right w:val="single" w:sz="4" w:space="0" w:color="auto"/>
            </w:tcBorders>
            <w:vAlign w:val="center"/>
          </w:tcPr>
          <w:p w14:paraId="2C014249" w14:textId="77777777" w:rsidR="00EF4A2D" w:rsidRPr="00EF4A2D" w:rsidRDefault="00EF4A2D" w:rsidP="004D07F1">
            <w:pPr>
              <w:jc w:val="center"/>
              <w:rPr>
                <w:rFonts w:eastAsia="Calibri"/>
                <w:b/>
                <w:sz w:val="14"/>
                <w:szCs w:val="14"/>
                <w:lang w:eastAsia="en-US"/>
              </w:rPr>
            </w:pPr>
          </w:p>
        </w:tc>
        <w:tc>
          <w:tcPr>
            <w:tcW w:w="709" w:type="dxa"/>
            <w:tcBorders>
              <w:top w:val="single" w:sz="4" w:space="0" w:color="auto"/>
              <w:left w:val="single" w:sz="4" w:space="0" w:color="auto"/>
              <w:bottom w:val="single" w:sz="4" w:space="0" w:color="auto"/>
              <w:right w:val="single" w:sz="4" w:space="0" w:color="auto"/>
            </w:tcBorders>
            <w:vAlign w:val="center"/>
          </w:tcPr>
          <w:p w14:paraId="4758B5D3"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 xml:space="preserve">Lugar en la </w:t>
            </w:r>
            <w:proofErr w:type="spellStart"/>
            <w:r w:rsidRPr="00EF4A2D">
              <w:rPr>
                <w:rFonts w:eastAsia="Calibri"/>
                <w:b/>
                <w:sz w:val="14"/>
                <w:szCs w:val="14"/>
                <w:lang w:eastAsia="en-US"/>
              </w:rPr>
              <w:t>clasif</w:t>
            </w:r>
            <w:proofErr w:type="spellEnd"/>
            <w:r w:rsidRPr="00EF4A2D">
              <w:rPr>
                <w:rFonts w:eastAsia="Calibri"/>
                <w:b/>
                <w:sz w:val="14"/>
                <w:szCs w:val="14"/>
                <w:lang w:eastAsia="en-US"/>
              </w:rPr>
              <w:t>.</w:t>
            </w:r>
          </w:p>
        </w:tc>
        <w:tc>
          <w:tcPr>
            <w:tcW w:w="1606" w:type="dxa"/>
            <w:tcBorders>
              <w:top w:val="single" w:sz="4" w:space="0" w:color="auto"/>
              <w:left w:val="single" w:sz="4" w:space="0" w:color="auto"/>
              <w:bottom w:val="single" w:sz="4" w:space="0" w:color="auto"/>
              <w:right w:val="single" w:sz="4" w:space="0" w:color="auto"/>
            </w:tcBorders>
            <w:vAlign w:val="center"/>
          </w:tcPr>
          <w:p w14:paraId="3144282F"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Importadores</w:t>
            </w:r>
          </w:p>
        </w:tc>
        <w:tc>
          <w:tcPr>
            <w:tcW w:w="662" w:type="dxa"/>
            <w:tcBorders>
              <w:top w:val="single" w:sz="4" w:space="0" w:color="auto"/>
              <w:left w:val="single" w:sz="4" w:space="0" w:color="auto"/>
              <w:bottom w:val="single" w:sz="4" w:space="0" w:color="auto"/>
              <w:right w:val="single" w:sz="4" w:space="0" w:color="auto"/>
            </w:tcBorders>
            <w:vAlign w:val="center"/>
          </w:tcPr>
          <w:p w14:paraId="1EC66652" w14:textId="77777777" w:rsidR="00EF4A2D" w:rsidRPr="00EF4A2D" w:rsidRDefault="00EF4A2D" w:rsidP="004D07F1">
            <w:pPr>
              <w:contextualSpacing/>
              <w:jc w:val="center"/>
              <w:rPr>
                <w:rFonts w:eastAsia="Calibri"/>
                <w:b/>
                <w:sz w:val="14"/>
                <w:szCs w:val="14"/>
                <w:lang w:eastAsia="en-US"/>
              </w:rPr>
            </w:pPr>
            <w:r w:rsidRPr="00EF4A2D">
              <w:rPr>
                <w:rFonts w:eastAsia="Calibri"/>
                <w:b/>
                <w:sz w:val="14"/>
                <w:szCs w:val="14"/>
                <w:lang w:eastAsia="en-US"/>
              </w:rPr>
              <w:t>Valor</w:t>
            </w:r>
          </w:p>
        </w:tc>
        <w:tc>
          <w:tcPr>
            <w:tcW w:w="709" w:type="dxa"/>
            <w:tcBorders>
              <w:top w:val="single" w:sz="4" w:space="0" w:color="auto"/>
              <w:left w:val="single" w:sz="4" w:space="0" w:color="auto"/>
              <w:bottom w:val="single" w:sz="4" w:space="0" w:color="auto"/>
              <w:right w:val="single" w:sz="4" w:space="0" w:color="auto"/>
            </w:tcBorders>
            <w:vAlign w:val="center"/>
          </w:tcPr>
          <w:p w14:paraId="3C502A10" w14:textId="77777777" w:rsidR="00EF4A2D" w:rsidRPr="00EF4A2D" w:rsidRDefault="00EF4A2D" w:rsidP="004D07F1">
            <w:pPr>
              <w:contextualSpacing/>
              <w:jc w:val="center"/>
              <w:rPr>
                <w:rFonts w:eastAsia="Calibri"/>
                <w:b/>
                <w:sz w:val="14"/>
                <w:szCs w:val="14"/>
                <w:lang w:eastAsia="en-US"/>
              </w:rPr>
            </w:pPr>
            <w:r w:rsidRPr="00EF4A2D">
              <w:rPr>
                <w:rFonts w:eastAsia="Calibri"/>
                <w:b/>
                <w:sz w:val="14"/>
                <w:szCs w:val="14"/>
                <w:lang w:eastAsia="en-US"/>
              </w:rPr>
              <w:t>%</w:t>
            </w:r>
          </w:p>
        </w:tc>
        <w:tc>
          <w:tcPr>
            <w:tcW w:w="567" w:type="dxa"/>
            <w:tcBorders>
              <w:top w:val="single" w:sz="4" w:space="0" w:color="auto"/>
              <w:left w:val="single" w:sz="4" w:space="0" w:color="auto"/>
              <w:bottom w:val="single" w:sz="4" w:space="0" w:color="auto"/>
              <w:right w:val="single" w:sz="4" w:space="0" w:color="auto"/>
            </w:tcBorders>
            <w:vAlign w:val="center"/>
          </w:tcPr>
          <w:p w14:paraId="6A6A6C38" w14:textId="77777777" w:rsidR="00EF4A2D" w:rsidRPr="00EF4A2D" w:rsidRDefault="00EF4A2D" w:rsidP="004D07F1">
            <w:pPr>
              <w:contextualSpacing/>
              <w:jc w:val="center"/>
              <w:rPr>
                <w:rFonts w:eastAsia="Calibri"/>
                <w:b/>
                <w:sz w:val="14"/>
                <w:szCs w:val="14"/>
                <w:lang w:eastAsia="en-US"/>
              </w:rPr>
            </w:pPr>
            <w:r w:rsidRPr="00EF4A2D">
              <w:rPr>
                <w:rFonts w:eastAsia="Calibri"/>
                <w:b/>
                <w:sz w:val="14"/>
                <w:szCs w:val="14"/>
                <w:lang w:eastAsia="en-US"/>
              </w:rPr>
              <w:t>Varia</w:t>
            </w:r>
          </w:p>
          <w:p w14:paraId="0FC69A55" w14:textId="77777777" w:rsidR="00EF4A2D" w:rsidRPr="00EF4A2D" w:rsidRDefault="00EF4A2D" w:rsidP="004D07F1">
            <w:pPr>
              <w:contextualSpacing/>
              <w:jc w:val="center"/>
              <w:rPr>
                <w:rFonts w:eastAsia="Calibri"/>
                <w:b/>
                <w:sz w:val="14"/>
                <w:szCs w:val="14"/>
                <w:lang w:eastAsia="en-US"/>
              </w:rPr>
            </w:pPr>
            <w:proofErr w:type="spellStart"/>
            <w:r w:rsidRPr="00EF4A2D">
              <w:rPr>
                <w:rFonts w:eastAsia="Calibri"/>
                <w:b/>
                <w:sz w:val="14"/>
                <w:szCs w:val="14"/>
                <w:lang w:eastAsia="en-US"/>
              </w:rPr>
              <w:t>ción</w:t>
            </w:r>
            <w:proofErr w:type="spellEnd"/>
          </w:p>
          <w:p w14:paraId="511B5744" w14:textId="77777777" w:rsidR="00EF4A2D" w:rsidRPr="00EF4A2D" w:rsidRDefault="00EF4A2D" w:rsidP="004D07F1">
            <w:pPr>
              <w:contextualSpacing/>
              <w:jc w:val="center"/>
              <w:rPr>
                <w:rFonts w:eastAsia="Calibri"/>
                <w:b/>
                <w:sz w:val="14"/>
                <w:szCs w:val="14"/>
                <w:lang w:eastAsia="en-US"/>
              </w:rPr>
            </w:pPr>
            <w:r w:rsidRPr="00EF4A2D">
              <w:rPr>
                <w:rFonts w:eastAsia="Calibri"/>
                <w:b/>
                <w:sz w:val="14"/>
                <w:szCs w:val="14"/>
                <w:lang w:eastAsia="en-US"/>
              </w:rPr>
              <w:t>% anual</w:t>
            </w:r>
          </w:p>
        </w:tc>
      </w:tr>
      <w:tr w:rsidR="00EF4A2D" w:rsidRPr="00EF4A2D" w14:paraId="39027988" w14:textId="77777777" w:rsidTr="00B9606F">
        <w:trPr>
          <w:jc w:val="center"/>
        </w:trPr>
        <w:tc>
          <w:tcPr>
            <w:tcW w:w="709" w:type="dxa"/>
            <w:tcBorders>
              <w:left w:val="single" w:sz="4" w:space="0" w:color="auto"/>
              <w:right w:val="single" w:sz="4" w:space="0" w:color="auto"/>
            </w:tcBorders>
            <w:shd w:val="clear" w:color="auto" w:fill="auto"/>
            <w:vAlign w:val="bottom"/>
          </w:tcPr>
          <w:p w14:paraId="2421BD82"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w:t>
            </w:r>
          </w:p>
        </w:tc>
        <w:tc>
          <w:tcPr>
            <w:tcW w:w="1701" w:type="dxa"/>
            <w:tcBorders>
              <w:left w:val="single" w:sz="4" w:space="0" w:color="auto"/>
              <w:right w:val="single" w:sz="4" w:space="0" w:color="auto"/>
            </w:tcBorders>
            <w:shd w:val="clear" w:color="auto" w:fill="auto"/>
          </w:tcPr>
          <w:p w14:paraId="3D6FE15E" w14:textId="77777777" w:rsidR="00EF4A2D" w:rsidRPr="00EF4A2D" w:rsidRDefault="00EF4A2D" w:rsidP="004D07F1">
            <w:pPr>
              <w:rPr>
                <w:rFonts w:eastAsia="Calibri"/>
                <w:sz w:val="14"/>
                <w:szCs w:val="14"/>
                <w:lang w:eastAsia="en-US"/>
              </w:rPr>
            </w:pPr>
            <w:r w:rsidRPr="00EF4A2D">
              <w:rPr>
                <w:rFonts w:eastAsia="Calibri"/>
                <w:sz w:val="14"/>
                <w:szCs w:val="14"/>
                <w:lang w:eastAsia="en-US"/>
              </w:rPr>
              <w:t>Estados Unidos de N.</w:t>
            </w:r>
          </w:p>
        </w:tc>
        <w:tc>
          <w:tcPr>
            <w:tcW w:w="709" w:type="dxa"/>
            <w:tcBorders>
              <w:left w:val="single" w:sz="4" w:space="0" w:color="auto"/>
              <w:right w:val="single" w:sz="4" w:space="0" w:color="auto"/>
            </w:tcBorders>
            <w:shd w:val="clear" w:color="auto" w:fill="auto"/>
            <w:vAlign w:val="center"/>
          </w:tcPr>
          <w:p w14:paraId="0825B562"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686</w:t>
            </w:r>
          </w:p>
        </w:tc>
        <w:tc>
          <w:tcPr>
            <w:tcW w:w="708" w:type="dxa"/>
            <w:tcBorders>
              <w:left w:val="single" w:sz="4" w:space="0" w:color="auto"/>
              <w:right w:val="single" w:sz="4" w:space="0" w:color="auto"/>
            </w:tcBorders>
            <w:shd w:val="clear" w:color="auto" w:fill="auto"/>
            <w:vAlign w:val="center"/>
          </w:tcPr>
          <w:p w14:paraId="29AC2919"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14.1</w:t>
            </w:r>
          </w:p>
        </w:tc>
        <w:tc>
          <w:tcPr>
            <w:tcW w:w="567" w:type="dxa"/>
            <w:tcBorders>
              <w:left w:val="single" w:sz="4" w:space="0" w:color="auto"/>
              <w:right w:val="single" w:sz="4" w:space="0" w:color="auto"/>
            </w:tcBorders>
            <w:shd w:val="clear" w:color="auto" w:fill="auto"/>
            <w:vAlign w:val="center"/>
          </w:tcPr>
          <w:p w14:paraId="4CB17C4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w:t>
            </w:r>
          </w:p>
        </w:tc>
        <w:tc>
          <w:tcPr>
            <w:tcW w:w="284" w:type="dxa"/>
            <w:tcBorders>
              <w:left w:val="single" w:sz="4" w:space="0" w:color="auto"/>
              <w:right w:val="single" w:sz="4" w:space="0" w:color="auto"/>
            </w:tcBorders>
            <w:vAlign w:val="center"/>
          </w:tcPr>
          <w:p w14:paraId="4FF95B40" w14:textId="77777777" w:rsidR="00EF4A2D" w:rsidRPr="00EF4A2D" w:rsidRDefault="00EF4A2D" w:rsidP="004D07F1">
            <w:pPr>
              <w:jc w:val="right"/>
              <w:rPr>
                <w:rFonts w:eastAsia="Calibri"/>
                <w:sz w:val="14"/>
                <w:szCs w:val="14"/>
                <w:lang w:eastAsia="en-US"/>
              </w:rPr>
            </w:pPr>
          </w:p>
        </w:tc>
        <w:tc>
          <w:tcPr>
            <w:tcW w:w="709" w:type="dxa"/>
            <w:tcBorders>
              <w:top w:val="single" w:sz="4" w:space="0" w:color="auto"/>
              <w:left w:val="single" w:sz="4" w:space="0" w:color="auto"/>
              <w:right w:val="single" w:sz="4" w:space="0" w:color="auto"/>
            </w:tcBorders>
            <w:shd w:val="clear" w:color="auto" w:fill="auto"/>
            <w:vAlign w:val="bottom"/>
          </w:tcPr>
          <w:p w14:paraId="2C2E8D94"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w:t>
            </w:r>
          </w:p>
        </w:tc>
        <w:tc>
          <w:tcPr>
            <w:tcW w:w="1606" w:type="dxa"/>
            <w:tcBorders>
              <w:top w:val="single" w:sz="4" w:space="0" w:color="auto"/>
              <w:left w:val="single" w:sz="4" w:space="0" w:color="auto"/>
              <w:right w:val="single" w:sz="4" w:space="0" w:color="auto"/>
            </w:tcBorders>
            <w:shd w:val="clear" w:color="auto" w:fill="auto"/>
          </w:tcPr>
          <w:p w14:paraId="10FA2CC0" w14:textId="77777777" w:rsidR="00EF4A2D" w:rsidRPr="00EF4A2D" w:rsidRDefault="00EF4A2D" w:rsidP="004D07F1">
            <w:pPr>
              <w:rPr>
                <w:rFonts w:eastAsia="Calibri"/>
                <w:sz w:val="14"/>
                <w:szCs w:val="14"/>
                <w:lang w:eastAsia="en-US"/>
              </w:rPr>
            </w:pPr>
            <w:r w:rsidRPr="00EF4A2D">
              <w:rPr>
                <w:rFonts w:eastAsia="Calibri"/>
                <w:sz w:val="14"/>
                <w:szCs w:val="14"/>
                <w:lang w:eastAsia="en-US"/>
              </w:rPr>
              <w:t>Estados Unidos de N.</w:t>
            </w:r>
          </w:p>
        </w:tc>
        <w:tc>
          <w:tcPr>
            <w:tcW w:w="662" w:type="dxa"/>
            <w:tcBorders>
              <w:top w:val="single" w:sz="4" w:space="0" w:color="auto"/>
              <w:left w:val="single" w:sz="4" w:space="0" w:color="auto"/>
              <w:right w:val="single" w:sz="4" w:space="0" w:color="auto"/>
            </w:tcBorders>
            <w:shd w:val="clear" w:color="auto" w:fill="auto"/>
            <w:vAlign w:val="center"/>
          </w:tcPr>
          <w:p w14:paraId="68938E4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454</w:t>
            </w:r>
          </w:p>
        </w:tc>
        <w:tc>
          <w:tcPr>
            <w:tcW w:w="709" w:type="dxa"/>
            <w:tcBorders>
              <w:top w:val="single" w:sz="4" w:space="0" w:color="auto"/>
              <w:left w:val="single" w:sz="4" w:space="0" w:color="auto"/>
              <w:right w:val="single" w:sz="4" w:space="0" w:color="auto"/>
            </w:tcBorders>
            <w:shd w:val="clear" w:color="auto" w:fill="auto"/>
            <w:vAlign w:val="center"/>
          </w:tcPr>
          <w:p w14:paraId="7FC5188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9.6</w:t>
            </w:r>
          </w:p>
        </w:tc>
        <w:tc>
          <w:tcPr>
            <w:tcW w:w="567" w:type="dxa"/>
            <w:tcBorders>
              <w:top w:val="single" w:sz="4" w:space="0" w:color="auto"/>
              <w:left w:val="single" w:sz="4" w:space="0" w:color="auto"/>
              <w:right w:val="single" w:sz="4" w:space="0" w:color="auto"/>
            </w:tcBorders>
            <w:shd w:val="clear" w:color="auto" w:fill="auto"/>
            <w:vAlign w:val="center"/>
          </w:tcPr>
          <w:p w14:paraId="474B90E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r>
      <w:tr w:rsidR="00EF4A2D" w:rsidRPr="00EF4A2D" w14:paraId="5EDB5BAA" w14:textId="77777777" w:rsidTr="00B9606F">
        <w:trPr>
          <w:jc w:val="center"/>
        </w:trPr>
        <w:tc>
          <w:tcPr>
            <w:tcW w:w="709" w:type="dxa"/>
            <w:tcBorders>
              <w:left w:val="single" w:sz="4" w:space="0" w:color="auto"/>
              <w:right w:val="single" w:sz="4" w:space="0" w:color="auto"/>
            </w:tcBorders>
            <w:shd w:val="clear" w:color="auto" w:fill="auto"/>
            <w:vAlign w:val="bottom"/>
          </w:tcPr>
          <w:p w14:paraId="2EFD362A"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w:t>
            </w:r>
          </w:p>
        </w:tc>
        <w:tc>
          <w:tcPr>
            <w:tcW w:w="1701" w:type="dxa"/>
            <w:tcBorders>
              <w:left w:val="single" w:sz="4" w:space="0" w:color="auto"/>
              <w:right w:val="single" w:sz="4" w:space="0" w:color="auto"/>
            </w:tcBorders>
            <w:shd w:val="clear" w:color="auto" w:fill="auto"/>
          </w:tcPr>
          <w:p w14:paraId="4313C858" w14:textId="77777777" w:rsidR="00EF4A2D" w:rsidRPr="00EF4A2D" w:rsidRDefault="00EF4A2D" w:rsidP="004D07F1">
            <w:pPr>
              <w:rPr>
                <w:rFonts w:eastAsia="Calibri"/>
                <w:sz w:val="14"/>
                <w:szCs w:val="14"/>
                <w:lang w:eastAsia="en-US"/>
              </w:rPr>
            </w:pPr>
            <w:r w:rsidRPr="00EF4A2D">
              <w:rPr>
                <w:rFonts w:eastAsia="Calibri"/>
                <w:sz w:val="14"/>
                <w:szCs w:val="14"/>
                <w:lang w:eastAsia="en-US"/>
              </w:rPr>
              <w:t>Reino Unido</w:t>
            </w:r>
          </w:p>
        </w:tc>
        <w:tc>
          <w:tcPr>
            <w:tcW w:w="709" w:type="dxa"/>
            <w:tcBorders>
              <w:left w:val="single" w:sz="4" w:space="0" w:color="auto"/>
              <w:right w:val="single" w:sz="4" w:space="0" w:color="auto"/>
            </w:tcBorders>
            <w:shd w:val="clear" w:color="auto" w:fill="auto"/>
            <w:vAlign w:val="center"/>
          </w:tcPr>
          <w:p w14:paraId="68F99EB3"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329</w:t>
            </w:r>
          </w:p>
        </w:tc>
        <w:tc>
          <w:tcPr>
            <w:tcW w:w="708" w:type="dxa"/>
            <w:tcBorders>
              <w:left w:val="single" w:sz="4" w:space="0" w:color="auto"/>
              <w:right w:val="single" w:sz="4" w:space="0" w:color="auto"/>
            </w:tcBorders>
            <w:shd w:val="clear" w:color="auto" w:fill="auto"/>
            <w:vAlign w:val="center"/>
          </w:tcPr>
          <w:p w14:paraId="4B4A24D9"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6.8</w:t>
            </w:r>
          </w:p>
        </w:tc>
        <w:tc>
          <w:tcPr>
            <w:tcW w:w="567" w:type="dxa"/>
            <w:tcBorders>
              <w:left w:val="single" w:sz="4" w:space="0" w:color="auto"/>
              <w:right w:val="single" w:sz="4" w:space="0" w:color="auto"/>
            </w:tcBorders>
            <w:shd w:val="clear" w:color="auto" w:fill="auto"/>
            <w:vAlign w:val="center"/>
          </w:tcPr>
          <w:p w14:paraId="7674814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c>
          <w:tcPr>
            <w:tcW w:w="284" w:type="dxa"/>
            <w:tcBorders>
              <w:left w:val="single" w:sz="4" w:space="0" w:color="auto"/>
              <w:right w:val="single" w:sz="4" w:space="0" w:color="auto"/>
            </w:tcBorders>
            <w:vAlign w:val="center"/>
          </w:tcPr>
          <w:p w14:paraId="6E9088EF"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39E23AAD"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w:t>
            </w:r>
          </w:p>
        </w:tc>
        <w:tc>
          <w:tcPr>
            <w:tcW w:w="1606" w:type="dxa"/>
            <w:tcBorders>
              <w:left w:val="single" w:sz="4" w:space="0" w:color="auto"/>
              <w:right w:val="single" w:sz="4" w:space="0" w:color="auto"/>
            </w:tcBorders>
            <w:shd w:val="clear" w:color="auto" w:fill="auto"/>
          </w:tcPr>
          <w:p w14:paraId="36F1D072"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 xml:space="preserve">China </w:t>
            </w:r>
          </w:p>
        </w:tc>
        <w:tc>
          <w:tcPr>
            <w:tcW w:w="662" w:type="dxa"/>
            <w:tcBorders>
              <w:left w:val="single" w:sz="4" w:space="0" w:color="auto"/>
              <w:right w:val="single" w:sz="4" w:space="0" w:color="auto"/>
            </w:tcBorders>
            <w:shd w:val="clear" w:color="auto" w:fill="auto"/>
            <w:vAlign w:val="center"/>
          </w:tcPr>
          <w:p w14:paraId="75D677D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382</w:t>
            </w:r>
          </w:p>
        </w:tc>
        <w:tc>
          <w:tcPr>
            <w:tcW w:w="709" w:type="dxa"/>
            <w:tcBorders>
              <w:left w:val="single" w:sz="4" w:space="0" w:color="auto"/>
              <w:right w:val="single" w:sz="4" w:space="0" w:color="auto"/>
            </w:tcBorders>
            <w:shd w:val="clear" w:color="auto" w:fill="auto"/>
            <w:vAlign w:val="center"/>
          </w:tcPr>
          <w:p w14:paraId="3FC01F1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8.1</w:t>
            </w:r>
          </w:p>
        </w:tc>
        <w:tc>
          <w:tcPr>
            <w:tcW w:w="567" w:type="dxa"/>
            <w:tcBorders>
              <w:left w:val="single" w:sz="4" w:space="0" w:color="auto"/>
              <w:right w:val="single" w:sz="4" w:space="0" w:color="auto"/>
            </w:tcBorders>
            <w:shd w:val="clear" w:color="auto" w:fill="auto"/>
            <w:vAlign w:val="center"/>
          </w:tcPr>
          <w:p w14:paraId="487580C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16</w:t>
            </w:r>
          </w:p>
        </w:tc>
      </w:tr>
      <w:tr w:rsidR="00EF4A2D" w:rsidRPr="00EF4A2D" w14:paraId="1FECB457" w14:textId="77777777" w:rsidTr="00B9606F">
        <w:trPr>
          <w:jc w:val="center"/>
        </w:trPr>
        <w:tc>
          <w:tcPr>
            <w:tcW w:w="709" w:type="dxa"/>
            <w:tcBorders>
              <w:left w:val="single" w:sz="4" w:space="0" w:color="auto"/>
              <w:right w:val="single" w:sz="4" w:space="0" w:color="auto"/>
            </w:tcBorders>
            <w:shd w:val="clear" w:color="auto" w:fill="auto"/>
            <w:vAlign w:val="bottom"/>
          </w:tcPr>
          <w:p w14:paraId="20587A20"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3</w:t>
            </w:r>
          </w:p>
        </w:tc>
        <w:tc>
          <w:tcPr>
            <w:tcW w:w="1701" w:type="dxa"/>
            <w:tcBorders>
              <w:left w:val="single" w:sz="4" w:space="0" w:color="auto"/>
              <w:right w:val="single" w:sz="4" w:space="0" w:color="auto"/>
            </w:tcBorders>
            <w:shd w:val="clear" w:color="auto" w:fill="auto"/>
          </w:tcPr>
          <w:p w14:paraId="7D51F0A4" w14:textId="77777777" w:rsidR="00EF4A2D" w:rsidRPr="00EF4A2D" w:rsidRDefault="00EF4A2D" w:rsidP="004D07F1">
            <w:pPr>
              <w:rPr>
                <w:rFonts w:eastAsia="Calibri"/>
                <w:sz w:val="14"/>
                <w:szCs w:val="14"/>
                <w:lang w:eastAsia="en-US"/>
              </w:rPr>
            </w:pPr>
            <w:r w:rsidRPr="00EF4A2D">
              <w:rPr>
                <w:rFonts w:eastAsia="Calibri"/>
                <w:sz w:val="14"/>
                <w:szCs w:val="14"/>
                <w:lang w:eastAsia="en-US"/>
              </w:rPr>
              <w:t>Alemania</w:t>
            </w:r>
          </w:p>
        </w:tc>
        <w:tc>
          <w:tcPr>
            <w:tcW w:w="709" w:type="dxa"/>
            <w:tcBorders>
              <w:left w:val="single" w:sz="4" w:space="0" w:color="auto"/>
              <w:right w:val="single" w:sz="4" w:space="0" w:color="auto"/>
            </w:tcBorders>
            <w:shd w:val="clear" w:color="auto" w:fill="auto"/>
            <w:vAlign w:val="center"/>
          </w:tcPr>
          <w:p w14:paraId="4B89CDA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267</w:t>
            </w:r>
          </w:p>
        </w:tc>
        <w:tc>
          <w:tcPr>
            <w:tcW w:w="708" w:type="dxa"/>
            <w:tcBorders>
              <w:left w:val="single" w:sz="4" w:space="0" w:color="auto"/>
              <w:right w:val="single" w:sz="4" w:space="0" w:color="auto"/>
            </w:tcBorders>
            <w:shd w:val="clear" w:color="auto" w:fill="auto"/>
            <w:vAlign w:val="center"/>
          </w:tcPr>
          <w:p w14:paraId="00A4105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5.5</w:t>
            </w:r>
          </w:p>
        </w:tc>
        <w:tc>
          <w:tcPr>
            <w:tcW w:w="567" w:type="dxa"/>
            <w:tcBorders>
              <w:left w:val="single" w:sz="4" w:space="0" w:color="auto"/>
              <w:right w:val="single" w:sz="4" w:space="0" w:color="auto"/>
            </w:tcBorders>
            <w:shd w:val="clear" w:color="auto" w:fill="auto"/>
            <w:vAlign w:val="center"/>
          </w:tcPr>
          <w:p w14:paraId="3113665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w:t>
            </w:r>
          </w:p>
        </w:tc>
        <w:tc>
          <w:tcPr>
            <w:tcW w:w="284" w:type="dxa"/>
            <w:tcBorders>
              <w:left w:val="single" w:sz="4" w:space="0" w:color="auto"/>
              <w:right w:val="single" w:sz="4" w:space="0" w:color="auto"/>
            </w:tcBorders>
            <w:vAlign w:val="center"/>
          </w:tcPr>
          <w:p w14:paraId="504A132A"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44CE0564"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3</w:t>
            </w:r>
          </w:p>
        </w:tc>
        <w:tc>
          <w:tcPr>
            <w:tcW w:w="1606" w:type="dxa"/>
            <w:tcBorders>
              <w:left w:val="single" w:sz="4" w:space="0" w:color="auto"/>
              <w:right w:val="single" w:sz="4" w:space="0" w:color="auto"/>
            </w:tcBorders>
            <w:shd w:val="clear" w:color="auto" w:fill="auto"/>
          </w:tcPr>
          <w:p w14:paraId="2EB1A84B"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Alemania</w:t>
            </w:r>
          </w:p>
        </w:tc>
        <w:tc>
          <w:tcPr>
            <w:tcW w:w="662" w:type="dxa"/>
            <w:tcBorders>
              <w:left w:val="single" w:sz="4" w:space="0" w:color="auto"/>
              <w:right w:val="single" w:sz="4" w:space="0" w:color="auto"/>
            </w:tcBorders>
            <w:shd w:val="clear" w:color="auto" w:fill="auto"/>
            <w:vAlign w:val="center"/>
          </w:tcPr>
          <w:p w14:paraId="70920C5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327</w:t>
            </w:r>
          </w:p>
        </w:tc>
        <w:tc>
          <w:tcPr>
            <w:tcW w:w="709" w:type="dxa"/>
            <w:tcBorders>
              <w:left w:val="single" w:sz="4" w:space="0" w:color="auto"/>
              <w:right w:val="single" w:sz="4" w:space="0" w:color="auto"/>
            </w:tcBorders>
            <w:shd w:val="clear" w:color="auto" w:fill="auto"/>
            <w:vAlign w:val="center"/>
          </w:tcPr>
          <w:p w14:paraId="2DF0C0F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6.9</w:t>
            </w:r>
          </w:p>
        </w:tc>
        <w:tc>
          <w:tcPr>
            <w:tcW w:w="567" w:type="dxa"/>
            <w:tcBorders>
              <w:left w:val="single" w:sz="4" w:space="0" w:color="auto"/>
              <w:right w:val="single" w:sz="4" w:space="0" w:color="auto"/>
            </w:tcBorders>
            <w:shd w:val="clear" w:color="auto" w:fill="auto"/>
            <w:vAlign w:val="center"/>
          </w:tcPr>
          <w:p w14:paraId="0828CA7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w:t>
            </w:r>
          </w:p>
        </w:tc>
      </w:tr>
      <w:tr w:rsidR="00EF4A2D" w:rsidRPr="00EF4A2D" w14:paraId="6C67C315" w14:textId="77777777" w:rsidTr="00B9606F">
        <w:trPr>
          <w:jc w:val="center"/>
        </w:trPr>
        <w:tc>
          <w:tcPr>
            <w:tcW w:w="709" w:type="dxa"/>
            <w:tcBorders>
              <w:left w:val="single" w:sz="4" w:space="0" w:color="auto"/>
              <w:right w:val="single" w:sz="4" w:space="0" w:color="auto"/>
            </w:tcBorders>
            <w:shd w:val="clear" w:color="auto" w:fill="auto"/>
            <w:vAlign w:val="bottom"/>
          </w:tcPr>
          <w:p w14:paraId="56CF3769"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4</w:t>
            </w:r>
          </w:p>
        </w:tc>
        <w:tc>
          <w:tcPr>
            <w:tcW w:w="1701" w:type="dxa"/>
            <w:tcBorders>
              <w:left w:val="single" w:sz="4" w:space="0" w:color="auto"/>
              <w:right w:val="single" w:sz="4" w:space="0" w:color="auto"/>
            </w:tcBorders>
            <w:shd w:val="clear" w:color="auto" w:fill="auto"/>
          </w:tcPr>
          <w:p w14:paraId="668D8DC2" w14:textId="77777777" w:rsidR="00EF4A2D" w:rsidRPr="00EF4A2D" w:rsidRDefault="00EF4A2D" w:rsidP="004D07F1">
            <w:pPr>
              <w:rPr>
                <w:rFonts w:eastAsia="Calibri"/>
                <w:sz w:val="14"/>
                <w:szCs w:val="14"/>
                <w:lang w:eastAsia="en-US"/>
              </w:rPr>
            </w:pPr>
            <w:r w:rsidRPr="00EF4A2D">
              <w:rPr>
                <w:rFonts w:eastAsia="Calibri"/>
                <w:sz w:val="14"/>
                <w:szCs w:val="14"/>
                <w:lang w:eastAsia="en-US"/>
              </w:rPr>
              <w:t>Francia</w:t>
            </w:r>
          </w:p>
        </w:tc>
        <w:tc>
          <w:tcPr>
            <w:tcW w:w="709" w:type="dxa"/>
            <w:tcBorders>
              <w:left w:val="single" w:sz="4" w:space="0" w:color="auto"/>
              <w:right w:val="single" w:sz="4" w:space="0" w:color="auto"/>
            </w:tcBorders>
            <w:shd w:val="clear" w:color="auto" w:fill="auto"/>
            <w:vAlign w:val="center"/>
          </w:tcPr>
          <w:p w14:paraId="5F844AC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263</w:t>
            </w:r>
          </w:p>
        </w:tc>
        <w:tc>
          <w:tcPr>
            <w:tcW w:w="708" w:type="dxa"/>
            <w:tcBorders>
              <w:left w:val="single" w:sz="4" w:space="0" w:color="auto"/>
              <w:right w:val="single" w:sz="4" w:space="0" w:color="auto"/>
            </w:tcBorders>
            <w:shd w:val="clear" w:color="auto" w:fill="auto"/>
            <w:vAlign w:val="center"/>
          </w:tcPr>
          <w:p w14:paraId="7135A56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5.4</w:t>
            </w:r>
          </w:p>
        </w:tc>
        <w:tc>
          <w:tcPr>
            <w:tcW w:w="567" w:type="dxa"/>
            <w:tcBorders>
              <w:left w:val="single" w:sz="4" w:space="0" w:color="auto"/>
              <w:right w:val="single" w:sz="4" w:space="0" w:color="auto"/>
            </w:tcBorders>
            <w:shd w:val="clear" w:color="auto" w:fill="auto"/>
            <w:vAlign w:val="center"/>
          </w:tcPr>
          <w:p w14:paraId="321877C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c>
          <w:tcPr>
            <w:tcW w:w="284" w:type="dxa"/>
            <w:tcBorders>
              <w:left w:val="single" w:sz="4" w:space="0" w:color="auto"/>
              <w:right w:val="single" w:sz="4" w:space="0" w:color="auto"/>
            </w:tcBorders>
            <w:vAlign w:val="center"/>
          </w:tcPr>
          <w:p w14:paraId="6FB8E3A3"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2301E133"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4</w:t>
            </w:r>
          </w:p>
        </w:tc>
        <w:tc>
          <w:tcPr>
            <w:tcW w:w="1606" w:type="dxa"/>
            <w:tcBorders>
              <w:left w:val="single" w:sz="4" w:space="0" w:color="auto"/>
              <w:right w:val="single" w:sz="4" w:space="0" w:color="auto"/>
            </w:tcBorders>
            <w:shd w:val="clear" w:color="auto" w:fill="auto"/>
          </w:tcPr>
          <w:p w14:paraId="1A29141B"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 xml:space="preserve">Francia </w:t>
            </w:r>
          </w:p>
        </w:tc>
        <w:tc>
          <w:tcPr>
            <w:tcW w:w="662" w:type="dxa"/>
            <w:tcBorders>
              <w:left w:val="single" w:sz="4" w:space="0" w:color="auto"/>
              <w:right w:val="single" w:sz="4" w:space="0" w:color="auto"/>
            </w:tcBorders>
            <w:shd w:val="clear" w:color="auto" w:fill="auto"/>
            <w:vAlign w:val="center"/>
          </w:tcPr>
          <w:p w14:paraId="34F51A9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244</w:t>
            </w:r>
          </w:p>
        </w:tc>
        <w:tc>
          <w:tcPr>
            <w:tcW w:w="709" w:type="dxa"/>
            <w:tcBorders>
              <w:left w:val="single" w:sz="4" w:space="0" w:color="auto"/>
              <w:right w:val="single" w:sz="4" w:space="0" w:color="auto"/>
            </w:tcBorders>
            <w:shd w:val="clear" w:color="auto" w:fill="auto"/>
            <w:vAlign w:val="center"/>
          </w:tcPr>
          <w:p w14:paraId="3A09D0F9"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5.1</w:t>
            </w:r>
          </w:p>
        </w:tc>
        <w:tc>
          <w:tcPr>
            <w:tcW w:w="567" w:type="dxa"/>
            <w:tcBorders>
              <w:left w:val="single" w:sz="4" w:space="0" w:color="auto"/>
              <w:right w:val="single" w:sz="4" w:space="0" w:color="auto"/>
            </w:tcBorders>
            <w:shd w:val="clear" w:color="auto" w:fill="auto"/>
            <w:vAlign w:val="center"/>
          </w:tcPr>
          <w:p w14:paraId="25A2AA3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w:t>
            </w:r>
          </w:p>
        </w:tc>
      </w:tr>
      <w:tr w:rsidR="00EF4A2D" w:rsidRPr="00EF4A2D" w14:paraId="26BAF6BC" w14:textId="77777777" w:rsidTr="00B9606F">
        <w:trPr>
          <w:jc w:val="center"/>
        </w:trPr>
        <w:tc>
          <w:tcPr>
            <w:tcW w:w="709" w:type="dxa"/>
            <w:tcBorders>
              <w:left w:val="single" w:sz="4" w:space="0" w:color="auto"/>
              <w:right w:val="single" w:sz="4" w:space="0" w:color="auto"/>
            </w:tcBorders>
            <w:shd w:val="clear" w:color="auto" w:fill="auto"/>
            <w:vAlign w:val="bottom"/>
          </w:tcPr>
          <w:p w14:paraId="63B4000D"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5</w:t>
            </w:r>
          </w:p>
        </w:tc>
        <w:tc>
          <w:tcPr>
            <w:tcW w:w="1701" w:type="dxa"/>
            <w:tcBorders>
              <w:left w:val="single" w:sz="4" w:space="0" w:color="auto"/>
              <w:right w:val="single" w:sz="4" w:space="0" w:color="auto"/>
            </w:tcBorders>
            <w:shd w:val="clear" w:color="auto" w:fill="auto"/>
          </w:tcPr>
          <w:p w14:paraId="0B72E3A5" w14:textId="77777777" w:rsidR="00EF4A2D" w:rsidRPr="00EF4A2D" w:rsidRDefault="00EF4A2D" w:rsidP="004D07F1">
            <w:pPr>
              <w:rPr>
                <w:rFonts w:eastAsia="Calibri"/>
                <w:sz w:val="14"/>
                <w:szCs w:val="14"/>
                <w:lang w:eastAsia="en-US"/>
              </w:rPr>
            </w:pPr>
            <w:r w:rsidRPr="00EF4A2D">
              <w:rPr>
                <w:rFonts w:eastAsia="Calibri"/>
                <w:sz w:val="14"/>
                <w:szCs w:val="14"/>
                <w:lang w:eastAsia="en-US"/>
              </w:rPr>
              <w:t>China</w:t>
            </w:r>
          </w:p>
        </w:tc>
        <w:tc>
          <w:tcPr>
            <w:tcW w:w="709" w:type="dxa"/>
            <w:tcBorders>
              <w:left w:val="single" w:sz="4" w:space="0" w:color="auto"/>
              <w:right w:val="single" w:sz="4" w:space="0" w:color="auto"/>
            </w:tcBorders>
            <w:shd w:val="clear" w:color="auto" w:fill="auto"/>
            <w:vAlign w:val="center"/>
          </w:tcPr>
          <w:p w14:paraId="5193DA2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222</w:t>
            </w:r>
          </w:p>
        </w:tc>
        <w:tc>
          <w:tcPr>
            <w:tcW w:w="708" w:type="dxa"/>
            <w:tcBorders>
              <w:left w:val="single" w:sz="4" w:space="0" w:color="auto"/>
              <w:right w:val="single" w:sz="4" w:space="0" w:color="auto"/>
            </w:tcBorders>
            <w:shd w:val="clear" w:color="auto" w:fill="auto"/>
            <w:vAlign w:val="center"/>
          </w:tcPr>
          <w:p w14:paraId="3024E043"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4.6</w:t>
            </w:r>
          </w:p>
        </w:tc>
        <w:tc>
          <w:tcPr>
            <w:tcW w:w="567" w:type="dxa"/>
            <w:tcBorders>
              <w:left w:val="single" w:sz="4" w:space="0" w:color="auto"/>
              <w:right w:val="single" w:sz="4" w:space="0" w:color="auto"/>
            </w:tcBorders>
            <w:shd w:val="clear" w:color="auto" w:fill="auto"/>
            <w:vAlign w:val="center"/>
          </w:tcPr>
          <w:p w14:paraId="11BC38D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8</w:t>
            </w:r>
          </w:p>
        </w:tc>
        <w:tc>
          <w:tcPr>
            <w:tcW w:w="284" w:type="dxa"/>
            <w:tcBorders>
              <w:left w:val="single" w:sz="4" w:space="0" w:color="auto"/>
              <w:right w:val="single" w:sz="4" w:space="0" w:color="auto"/>
            </w:tcBorders>
            <w:vAlign w:val="center"/>
          </w:tcPr>
          <w:p w14:paraId="7CDE5DE8"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bottom"/>
          </w:tcPr>
          <w:p w14:paraId="79C5957F"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5</w:t>
            </w:r>
          </w:p>
        </w:tc>
        <w:tc>
          <w:tcPr>
            <w:tcW w:w="1606" w:type="dxa"/>
            <w:tcBorders>
              <w:left w:val="single" w:sz="4" w:space="0" w:color="auto"/>
              <w:right w:val="single" w:sz="4" w:space="0" w:color="auto"/>
            </w:tcBorders>
            <w:shd w:val="clear" w:color="auto" w:fill="auto"/>
            <w:vAlign w:val="bottom"/>
          </w:tcPr>
          <w:p w14:paraId="2C053208"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Japón</w:t>
            </w:r>
          </w:p>
        </w:tc>
        <w:tc>
          <w:tcPr>
            <w:tcW w:w="662" w:type="dxa"/>
            <w:tcBorders>
              <w:left w:val="single" w:sz="4" w:space="0" w:color="auto"/>
              <w:right w:val="single" w:sz="4" w:space="0" w:color="auto"/>
            </w:tcBorders>
            <w:shd w:val="clear" w:color="auto" w:fill="auto"/>
            <w:vAlign w:val="center"/>
          </w:tcPr>
          <w:p w14:paraId="5E5D3159"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190</w:t>
            </w:r>
          </w:p>
        </w:tc>
        <w:tc>
          <w:tcPr>
            <w:tcW w:w="709" w:type="dxa"/>
            <w:tcBorders>
              <w:left w:val="single" w:sz="4" w:space="0" w:color="auto"/>
              <w:right w:val="single" w:sz="4" w:space="0" w:color="auto"/>
            </w:tcBorders>
            <w:shd w:val="clear" w:color="auto" w:fill="auto"/>
            <w:vAlign w:val="center"/>
          </w:tcPr>
          <w:p w14:paraId="383B185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4.0</w:t>
            </w:r>
          </w:p>
        </w:tc>
        <w:tc>
          <w:tcPr>
            <w:tcW w:w="567" w:type="dxa"/>
            <w:tcBorders>
              <w:left w:val="single" w:sz="4" w:space="0" w:color="auto"/>
              <w:right w:val="single" w:sz="4" w:space="0" w:color="auto"/>
            </w:tcBorders>
            <w:shd w:val="clear" w:color="auto" w:fill="auto"/>
            <w:vAlign w:val="center"/>
          </w:tcPr>
          <w:p w14:paraId="4E22C3B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12</w:t>
            </w:r>
          </w:p>
        </w:tc>
      </w:tr>
      <w:tr w:rsidR="00EF4A2D" w:rsidRPr="00EF4A2D" w14:paraId="408BE6A1" w14:textId="77777777" w:rsidTr="00B9606F">
        <w:trPr>
          <w:jc w:val="center"/>
        </w:trPr>
        <w:tc>
          <w:tcPr>
            <w:tcW w:w="709" w:type="dxa"/>
            <w:tcBorders>
              <w:left w:val="single" w:sz="4" w:space="0" w:color="auto"/>
              <w:right w:val="single" w:sz="4" w:space="0" w:color="auto"/>
            </w:tcBorders>
            <w:shd w:val="clear" w:color="auto" w:fill="auto"/>
            <w:vAlign w:val="bottom"/>
          </w:tcPr>
          <w:p w14:paraId="6D984710"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6</w:t>
            </w:r>
          </w:p>
        </w:tc>
        <w:tc>
          <w:tcPr>
            <w:tcW w:w="1701" w:type="dxa"/>
            <w:tcBorders>
              <w:left w:val="single" w:sz="4" w:space="0" w:color="auto"/>
              <w:right w:val="single" w:sz="4" w:space="0" w:color="auto"/>
            </w:tcBorders>
            <w:shd w:val="clear" w:color="auto" w:fill="auto"/>
          </w:tcPr>
          <w:p w14:paraId="05EB1692" w14:textId="77777777" w:rsidR="00EF4A2D" w:rsidRPr="00EF4A2D" w:rsidRDefault="00EF4A2D" w:rsidP="004D07F1">
            <w:pPr>
              <w:rPr>
                <w:rFonts w:eastAsia="Calibri"/>
                <w:sz w:val="14"/>
                <w:szCs w:val="14"/>
                <w:lang w:eastAsia="en-US"/>
              </w:rPr>
            </w:pPr>
            <w:r w:rsidRPr="00EF4A2D">
              <w:rPr>
                <w:rFonts w:eastAsia="Calibri"/>
                <w:sz w:val="14"/>
                <w:szCs w:val="14"/>
                <w:lang w:eastAsia="en-US"/>
              </w:rPr>
              <w:t>Japón</w:t>
            </w:r>
          </w:p>
        </w:tc>
        <w:tc>
          <w:tcPr>
            <w:tcW w:w="709" w:type="dxa"/>
            <w:tcBorders>
              <w:left w:val="single" w:sz="4" w:space="0" w:color="auto"/>
              <w:right w:val="single" w:sz="4" w:space="0" w:color="auto"/>
            </w:tcBorders>
            <w:shd w:val="clear" w:color="auto" w:fill="auto"/>
            <w:vAlign w:val="center"/>
          </w:tcPr>
          <w:p w14:paraId="26CD85E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158</w:t>
            </w:r>
          </w:p>
        </w:tc>
        <w:tc>
          <w:tcPr>
            <w:tcW w:w="708" w:type="dxa"/>
            <w:tcBorders>
              <w:left w:val="single" w:sz="4" w:space="0" w:color="auto"/>
              <w:right w:val="single" w:sz="4" w:space="0" w:color="auto"/>
            </w:tcBorders>
            <w:shd w:val="clear" w:color="auto" w:fill="auto"/>
            <w:vAlign w:val="center"/>
          </w:tcPr>
          <w:p w14:paraId="3597B95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3.3</w:t>
            </w:r>
          </w:p>
        </w:tc>
        <w:tc>
          <w:tcPr>
            <w:tcW w:w="567" w:type="dxa"/>
            <w:tcBorders>
              <w:left w:val="single" w:sz="4" w:space="0" w:color="auto"/>
              <w:right w:val="single" w:sz="4" w:space="0" w:color="auto"/>
            </w:tcBorders>
            <w:shd w:val="clear" w:color="auto" w:fill="auto"/>
            <w:vAlign w:val="center"/>
          </w:tcPr>
          <w:p w14:paraId="18AE8CE3"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19</w:t>
            </w:r>
          </w:p>
        </w:tc>
        <w:tc>
          <w:tcPr>
            <w:tcW w:w="284" w:type="dxa"/>
            <w:tcBorders>
              <w:left w:val="single" w:sz="4" w:space="0" w:color="auto"/>
              <w:right w:val="single" w:sz="4" w:space="0" w:color="auto"/>
            </w:tcBorders>
            <w:vAlign w:val="center"/>
          </w:tcPr>
          <w:p w14:paraId="7B5F961C"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1D0EB27A"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6</w:t>
            </w:r>
          </w:p>
        </w:tc>
        <w:tc>
          <w:tcPr>
            <w:tcW w:w="1606" w:type="dxa"/>
            <w:tcBorders>
              <w:left w:val="single" w:sz="4" w:space="0" w:color="auto"/>
              <w:right w:val="single" w:sz="4" w:space="0" w:color="auto"/>
            </w:tcBorders>
            <w:shd w:val="clear" w:color="auto" w:fill="auto"/>
          </w:tcPr>
          <w:p w14:paraId="57E1A100"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Reino Unido</w:t>
            </w:r>
          </w:p>
        </w:tc>
        <w:tc>
          <w:tcPr>
            <w:tcW w:w="662" w:type="dxa"/>
            <w:tcBorders>
              <w:left w:val="single" w:sz="4" w:space="0" w:color="auto"/>
              <w:right w:val="single" w:sz="4" w:space="0" w:color="auto"/>
            </w:tcBorders>
            <w:shd w:val="clear" w:color="auto" w:fill="auto"/>
            <w:vAlign w:val="center"/>
          </w:tcPr>
          <w:p w14:paraId="05EA5D1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189</w:t>
            </w:r>
          </w:p>
        </w:tc>
        <w:tc>
          <w:tcPr>
            <w:tcW w:w="709" w:type="dxa"/>
            <w:tcBorders>
              <w:left w:val="single" w:sz="4" w:space="0" w:color="auto"/>
              <w:right w:val="single" w:sz="4" w:space="0" w:color="auto"/>
            </w:tcBorders>
            <w:shd w:val="clear" w:color="auto" w:fill="auto"/>
            <w:vAlign w:val="center"/>
          </w:tcPr>
          <w:p w14:paraId="0B00DD0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4.0</w:t>
            </w:r>
          </w:p>
        </w:tc>
        <w:tc>
          <w:tcPr>
            <w:tcW w:w="567" w:type="dxa"/>
            <w:tcBorders>
              <w:left w:val="single" w:sz="4" w:space="0" w:color="auto"/>
              <w:right w:val="single" w:sz="4" w:space="0" w:color="auto"/>
            </w:tcBorders>
            <w:shd w:val="clear" w:color="auto" w:fill="auto"/>
            <w:vAlign w:val="center"/>
          </w:tcPr>
          <w:p w14:paraId="3B2CCB9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w:t>
            </w:r>
          </w:p>
        </w:tc>
      </w:tr>
      <w:tr w:rsidR="00EF4A2D" w:rsidRPr="00EF4A2D" w14:paraId="5861AF72" w14:textId="77777777" w:rsidTr="00B9606F">
        <w:trPr>
          <w:jc w:val="center"/>
        </w:trPr>
        <w:tc>
          <w:tcPr>
            <w:tcW w:w="709" w:type="dxa"/>
            <w:tcBorders>
              <w:left w:val="single" w:sz="4" w:space="0" w:color="auto"/>
              <w:right w:val="single" w:sz="4" w:space="0" w:color="auto"/>
            </w:tcBorders>
            <w:shd w:val="clear" w:color="auto" w:fill="auto"/>
            <w:vAlign w:val="bottom"/>
          </w:tcPr>
          <w:p w14:paraId="521B88DA"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7</w:t>
            </w:r>
          </w:p>
        </w:tc>
        <w:tc>
          <w:tcPr>
            <w:tcW w:w="1701" w:type="dxa"/>
            <w:tcBorders>
              <w:left w:val="single" w:sz="4" w:space="0" w:color="auto"/>
              <w:right w:val="single" w:sz="4" w:space="0" w:color="auto"/>
            </w:tcBorders>
            <w:shd w:val="clear" w:color="auto" w:fill="auto"/>
          </w:tcPr>
          <w:p w14:paraId="055DEF49" w14:textId="77777777" w:rsidR="00EF4A2D" w:rsidRPr="00EF4A2D" w:rsidRDefault="00EF4A2D" w:rsidP="004D07F1">
            <w:pPr>
              <w:rPr>
                <w:rFonts w:eastAsia="Calibri"/>
                <w:sz w:val="14"/>
                <w:szCs w:val="14"/>
                <w:lang w:eastAsia="en-US"/>
              </w:rPr>
            </w:pPr>
            <w:r w:rsidRPr="00EF4A2D">
              <w:rPr>
                <w:rFonts w:eastAsia="Calibri"/>
                <w:sz w:val="14"/>
                <w:szCs w:val="14"/>
                <w:lang w:eastAsia="en-US"/>
              </w:rPr>
              <w:t>Países Bajos</w:t>
            </w:r>
          </w:p>
        </w:tc>
        <w:tc>
          <w:tcPr>
            <w:tcW w:w="709" w:type="dxa"/>
            <w:tcBorders>
              <w:left w:val="single" w:sz="4" w:space="0" w:color="auto"/>
              <w:right w:val="single" w:sz="4" w:space="0" w:color="auto"/>
            </w:tcBorders>
            <w:shd w:val="clear" w:color="auto" w:fill="auto"/>
            <w:vAlign w:val="center"/>
          </w:tcPr>
          <w:p w14:paraId="7FB1800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156</w:t>
            </w:r>
          </w:p>
        </w:tc>
        <w:tc>
          <w:tcPr>
            <w:tcW w:w="708" w:type="dxa"/>
            <w:tcBorders>
              <w:left w:val="single" w:sz="4" w:space="0" w:color="auto"/>
              <w:right w:val="single" w:sz="4" w:space="0" w:color="auto"/>
            </w:tcBorders>
            <w:shd w:val="clear" w:color="auto" w:fill="auto"/>
            <w:vAlign w:val="center"/>
          </w:tcPr>
          <w:p w14:paraId="578AB6A9"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3.2</w:t>
            </w:r>
          </w:p>
        </w:tc>
        <w:tc>
          <w:tcPr>
            <w:tcW w:w="567" w:type="dxa"/>
            <w:tcBorders>
              <w:left w:val="single" w:sz="4" w:space="0" w:color="auto"/>
              <w:right w:val="single" w:sz="4" w:space="0" w:color="auto"/>
            </w:tcBorders>
            <w:shd w:val="clear" w:color="auto" w:fill="auto"/>
            <w:vAlign w:val="center"/>
          </w:tcPr>
          <w:p w14:paraId="7F8E4AE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w:t>
            </w:r>
          </w:p>
        </w:tc>
        <w:tc>
          <w:tcPr>
            <w:tcW w:w="284" w:type="dxa"/>
            <w:tcBorders>
              <w:left w:val="single" w:sz="4" w:space="0" w:color="auto"/>
              <w:right w:val="single" w:sz="4" w:space="0" w:color="auto"/>
            </w:tcBorders>
            <w:vAlign w:val="center"/>
          </w:tcPr>
          <w:p w14:paraId="10DD8EFD"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1EC34393"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7</w:t>
            </w:r>
          </w:p>
        </w:tc>
        <w:tc>
          <w:tcPr>
            <w:tcW w:w="1606" w:type="dxa"/>
            <w:tcBorders>
              <w:left w:val="single" w:sz="4" w:space="0" w:color="auto"/>
              <w:right w:val="single" w:sz="4" w:space="0" w:color="auto"/>
            </w:tcBorders>
            <w:shd w:val="clear" w:color="auto" w:fill="auto"/>
          </w:tcPr>
          <w:p w14:paraId="440412B4"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 xml:space="preserve">Países Bajos </w:t>
            </w:r>
          </w:p>
        </w:tc>
        <w:tc>
          <w:tcPr>
            <w:tcW w:w="662" w:type="dxa"/>
            <w:tcBorders>
              <w:left w:val="single" w:sz="4" w:space="0" w:color="auto"/>
              <w:right w:val="single" w:sz="4" w:space="0" w:color="auto"/>
            </w:tcBorders>
            <w:shd w:val="clear" w:color="auto" w:fill="auto"/>
            <w:vAlign w:val="center"/>
          </w:tcPr>
          <w:p w14:paraId="6B4E54F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165</w:t>
            </w:r>
          </w:p>
        </w:tc>
        <w:tc>
          <w:tcPr>
            <w:tcW w:w="709" w:type="dxa"/>
            <w:tcBorders>
              <w:left w:val="single" w:sz="4" w:space="0" w:color="auto"/>
              <w:right w:val="single" w:sz="4" w:space="0" w:color="auto"/>
            </w:tcBorders>
            <w:shd w:val="clear" w:color="auto" w:fill="auto"/>
            <w:vAlign w:val="center"/>
          </w:tcPr>
          <w:p w14:paraId="371F405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3.5</w:t>
            </w:r>
          </w:p>
        </w:tc>
        <w:tc>
          <w:tcPr>
            <w:tcW w:w="567" w:type="dxa"/>
            <w:tcBorders>
              <w:left w:val="single" w:sz="4" w:space="0" w:color="auto"/>
              <w:right w:val="single" w:sz="4" w:space="0" w:color="auto"/>
            </w:tcBorders>
            <w:shd w:val="clear" w:color="auto" w:fill="auto"/>
            <w:vAlign w:val="center"/>
          </w:tcPr>
          <w:p w14:paraId="44F3CF3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8</w:t>
            </w:r>
          </w:p>
        </w:tc>
      </w:tr>
      <w:tr w:rsidR="00EF4A2D" w:rsidRPr="00EF4A2D" w14:paraId="5F05EC67" w14:textId="77777777" w:rsidTr="00B9606F">
        <w:trPr>
          <w:jc w:val="center"/>
        </w:trPr>
        <w:tc>
          <w:tcPr>
            <w:tcW w:w="709" w:type="dxa"/>
            <w:tcBorders>
              <w:left w:val="single" w:sz="4" w:space="0" w:color="auto"/>
              <w:right w:val="single" w:sz="4" w:space="0" w:color="auto"/>
            </w:tcBorders>
            <w:shd w:val="clear" w:color="auto" w:fill="auto"/>
            <w:vAlign w:val="bottom"/>
          </w:tcPr>
          <w:p w14:paraId="36949E47"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8</w:t>
            </w:r>
          </w:p>
        </w:tc>
        <w:tc>
          <w:tcPr>
            <w:tcW w:w="1701" w:type="dxa"/>
            <w:tcBorders>
              <w:left w:val="single" w:sz="4" w:space="0" w:color="auto"/>
              <w:right w:val="single" w:sz="4" w:space="0" w:color="auto"/>
            </w:tcBorders>
            <w:shd w:val="clear" w:color="auto" w:fill="auto"/>
          </w:tcPr>
          <w:p w14:paraId="7E88D8EA" w14:textId="77777777" w:rsidR="00EF4A2D" w:rsidRPr="00EF4A2D" w:rsidRDefault="00EF4A2D" w:rsidP="004D07F1">
            <w:pPr>
              <w:rPr>
                <w:rFonts w:eastAsia="Calibri"/>
                <w:sz w:val="14"/>
                <w:szCs w:val="14"/>
                <w:lang w:eastAsia="en-US"/>
              </w:rPr>
            </w:pPr>
            <w:r w:rsidRPr="00EF4A2D">
              <w:rPr>
                <w:rFonts w:eastAsia="Calibri"/>
                <w:sz w:val="14"/>
                <w:szCs w:val="14"/>
                <w:lang w:eastAsia="en-US"/>
              </w:rPr>
              <w:t>India</w:t>
            </w:r>
          </w:p>
        </w:tc>
        <w:tc>
          <w:tcPr>
            <w:tcW w:w="709" w:type="dxa"/>
            <w:tcBorders>
              <w:left w:val="single" w:sz="4" w:space="0" w:color="auto"/>
              <w:right w:val="single" w:sz="4" w:space="0" w:color="auto"/>
            </w:tcBorders>
            <w:shd w:val="clear" w:color="auto" w:fill="auto"/>
            <w:vAlign w:val="center"/>
          </w:tcPr>
          <w:p w14:paraId="62F68204"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154</w:t>
            </w:r>
          </w:p>
        </w:tc>
        <w:tc>
          <w:tcPr>
            <w:tcW w:w="708" w:type="dxa"/>
            <w:tcBorders>
              <w:left w:val="single" w:sz="4" w:space="0" w:color="auto"/>
              <w:right w:val="single" w:sz="4" w:space="0" w:color="auto"/>
            </w:tcBorders>
            <w:shd w:val="clear" w:color="auto" w:fill="auto"/>
            <w:vAlign w:val="center"/>
          </w:tcPr>
          <w:p w14:paraId="25E6BAC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3.2</w:t>
            </w:r>
          </w:p>
        </w:tc>
        <w:tc>
          <w:tcPr>
            <w:tcW w:w="567" w:type="dxa"/>
            <w:tcBorders>
              <w:left w:val="single" w:sz="4" w:space="0" w:color="auto"/>
              <w:right w:val="single" w:sz="4" w:space="0" w:color="auto"/>
            </w:tcBorders>
            <w:shd w:val="clear" w:color="auto" w:fill="auto"/>
            <w:vAlign w:val="center"/>
          </w:tcPr>
          <w:p w14:paraId="1F9850A4"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c>
          <w:tcPr>
            <w:tcW w:w="284" w:type="dxa"/>
            <w:tcBorders>
              <w:left w:val="single" w:sz="4" w:space="0" w:color="auto"/>
              <w:right w:val="single" w:sz="4" w:space="0" w:color="auto"/>
            </w:tcBorders>
            <w:vAlign w:val="center"/>
          </w:tcPr>
          <w:p w14:paraId="315A7015"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758A9A8F"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8</w:t>
            </w:r>
          </w:p>
        </w:tc>
        <w:tc>
          <w:tcPr>
            <w:tcW w:w="1606" w:type="dxa"/>
            <w:tcBorders>
              <w:left w:val="single" w:sz="4" w:space="0" w:color="auto"/>
              <w:right w:val="single" w:sz="4" w:space="0" w:color="auto"/>
            </w:tcBorders>
            <w:shd w:val="clear" w:color="auto" w:fill="auto"/>
          </w:tcPr>
          <w:p w14:paraId="61586459"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 xml:space="preserve">Irlanda </w:t>
            </w:r>
          </w:p>
        </w:tc>
        <w:tc>
          <w:tcPr>
            <w:tcW w:w="662" w:type="dxa"/>
            <w:tcBorders>
              <w:left w:val="single" w:sz="4" w:space="0" w:color="auto"/>
              <w:right w:val="single" w:sz="4" w:space="0" w:color="auto"/>
            </w:tcBorders>
            <w:shd w:val="clear" w:color="auto" w:fill="auto"/>
            <w:vAlign w:val="center"/>
          </w:tcPr>
          <w:p w14:paraId="170E82AD"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142</w:t>
            </w:r>
          </w:p>
        </w:tc>
        <w:tc>
          <w:tcPr>
            <w:tcW w:w="709" w:type="dxa"/>
            <w:tcBorders>
              <w:left w:val="single" w:sz="4" w:space="0" w:color="auto"/>
              <w:right w:val="single" w:sz="4" w:space="0" w:color="auto"/>
            </w:tcBorders>
            <w:shd w:val="clear" w:color="auto" w:fill="auto"/>
            <w:vAlign w:val="center"/>
          </w:tcPr>
          <w:p w14:paraId="22B7E03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3.0</w:t>
            </w:r>
          </w:p>
        </w:tc>
        <w:tc>
          <w:tcPr>
            <w:tcW w:w="567" w:type="dxa"/>
            <w:tcBorders>
              <w:left w:val="single" w:sz="4" w:space="0" w:color="auto"/>
              <w:right w:val="single" w:sz="4" w:space="0" w:color="auto"/>
            </w:tcBorders>
            <w:shd w:val="clear" w:color="auto" w:fill="auto"/>
            <w:vAlign w:val="center"/>
          </w:tcPr>
          <w:p w14:paraId="0322899D"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16</w:t>
            </w:r>
          </w:p>
        </w:tc>
      </w:tr>
      <w:tr w:rsidR="00EF4A2D" w:rsidRPr="00EF4A2D" w14:paraId="261D6BBB" w14:textId="77777777" w:rsidTr="00B9606F">
        <w:trPr>
          <w:jc w:val="center"/>
        </w:trPr>
        <w:tc>
          <w:tcPr>
            <w:tcW w:w="709" w:type="dxa"/>
            <w:tcBorders>
              <w:left w:val="single" w:sz="4" w:space="0" w:color="auto"/>
              <w:right w:val="single" w:sz="4" w:space="0" w:color="auto"/>
            </w:tcBorders>
            <w:shd w:val="clear" w:color="auto" w:fill="auto"/>
            <w:vAlign w:val="bottom"/>
          </w:tcPr>
          <w:p w14:paraId="014B173F"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9</w:t>
            </w:r>
          </w:p>
        </w:tc>
        <w:tc>
          <w:tcPr>
            <w:tcW w:w="1701" w:type="dxa"/>
            <w:tcBorders>
              <w:left w:val="single" w:sz="4" w:space="0" w:color="auto"/>
              <w:right w:val="single" w:sz="4" w:space="0" w:color="auto"/>
            </w:tcBorders>
            <w:shd w:val="clear" w:color="auto" w:fill="auto"/>
          </w:tcPr>
          <w:p w14:paraId="38C77E9D" w14:textId="77777777" w:rsidR="00EF4A2D" w:rsidRPr="00EF4A2D" w:rsidRDefault="00EF4A2D" w:rsidP="004D07F1">
            <w:pPr>
              <w:rPr>
                <w:rFonts w:eastAsia="Calibri"/>
                <w:sz w:val="14"/>
                <w:szCs w:val="14"/>
                <w:lang w:eastAsia="en-US"/>
              </w:rPr>
            </w:pPr>
            <w:r w:rsidRPr="00EF4A2D">
              <w:rPr>
                <w:rFonts w:eastAsia="Calibri"/>
                <w:sz w:val="14"/>
                <w:szCs w:val="14"/>
                <w:lang w:eastAsia="en-US"/>
              </w:rPr>
              <w:t>España</w:t>
            </w:r>
          </w:p>
        </w:tc>
        <w:tc>
          <w:tcPr>
            <w:tcW w:w="709" w:type="dxa"/>
            <w:tcBorders>
              <w:left w:val="single" w:sz="4" w:space="0" w:color="auto"/>
              <w:right w:val="single" w:sz="4" w:space="0" w:color="auto"/>
            </w:tcBorders>
            <w:shd w:val="clear" w:color="auto" w:fill="auto"/>
            <w:vAlign w:val="center"/>
          </w:tcPr>
          <w:p w14:paraId="585125C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135</w:t>
            </w:r>
          </w:p>
        </w:tc>
        <w:tc>
          <w:tcPr>
            <w:tcW w:w="708" w:type="dxa"/>
            <w:tcBorders>
              <w:left w:val="single" w:sz="4" w:space="0" w:color="auto"/>
              <w:right w:val="single" w:sz="4" w:space="0" w:color="auto"/>
            </w:tcBorders>
            <w:shd w:val="clear" w:color="auto" w:fill="auto"/>
            <w:vAlign w:val="center"/>
          </w:tcPr>
          <w:p w14:paraId="3C221E74"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2.8</w:t>
            </w:r>
          </w:p>
        </w:tc>
        <w:tc>
          <w:tcPr>
            <w:tcW w:w="567" w:type="dxa"/>
            <w:tcBorders>
              <w:left w:val="single" w:sz="4" w:space="0" w:color="auto"/>
              <w:right w:val="single" w:sz="4" w:space="0" w:color="auto"/>
            </w:tcBorders>
            <w:shd w:val="clear" w:color="auto" w:fill="auto"/>
            <w:vAlign w:val="center"/>
          </w:tcPr>
          <w:p w14:paraId="03F70A9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w:t>
            </w:r>
          </w:p>
        </w:tc>
        <w:tc>
          <w:tcPr>
            <w:tcW w:w="284" w:type="dxa"/>
            <w:tcBorders>
              <w:left w:val="single" w:sz="4" w:space="0" w:color="auto"/>
              <w:right w:val="single" w:sz="4" w:space="0" w:color="auto"/>
            </w:tcBorders>
            <w:vAlign w:val="center"/>
          </w:tcPr>
          <w:p w14:paraId="375E9435"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42687C10"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9</w:t>
            </w:r>
          </w:p>
        </w:tc>
        <w:tc>
          <w:tcPr>
            <w:tcW w:w="1606" w:type="dxa"/>
            <w:tcBorders>
              <w:left w:val="single" w:sz="4" w:space="0" w:color="auto"/>
              <w:right w:val="single" w:sz="4" w:space="0" w:color="auto"/>
            </w:tcBorders>
            <w:shd w:val="clear" w:color="auto" w:fill="auto"/>
          </w:tcPr>
          <w:p w14:paraId="3D6C3E3D"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Singapur</w:t>
            </w:r>
          </w:p>
        </w:tc>
        <w:tc>
          <w:tcPr>
            <w:tcW w:w="662" w:type="dxa"/>
            <w:tcBorders>
              <w:left w:val="single" w:sz="4" w:space="0" w:color="auto"/>
              <w:right w:val="single" w:sz="4" w:space="0" w:color="auto"/>
            </w:tcBorders>
            <w:shd w:val="clear" w:color="auto" w:fill="auto"/>
            <w:vAlign w:val="center"/>
          </w:tcPr>
          <w:p w14:paraId="7C9C8E7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130</w:t>
            </w:r>
          </w:p>
        </w:tc>
        <w:tc>
          <w:tcPr>
            <w:tcW w:w="709" w:type="dxa"/>
            <w:tcBorders>
              <w:left w:val="single" w:sz="4" w:space="0" w:color="auto"/>
              <w:right w:val="single" w:sz="4" w:space="0" w:color="auto"/>
            </w:tcBorders>
            <w:shd w:val="clear" w:color="auto" w:fill="auto"/>
            <w:vAlign w:val="center"/>
          </w:tcPr>
          <w:p w14:paraId="1D133392"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2.7</w:t>
            </w:r>
          </w:p>
        </w:tc>
        <w:tc>
          <w:tcPr>
            <w:tcW w:w="567" w:type="dxa"/>
            <w:tcBorders>
              <w:left w:val="single" w:sz="4" w:space="0" w:color="auto"/>
              <w:right w:val="single" w:sz="4" w:space="0" w:color="auto"/>
            </w:tcBorders>
            <w:shd w:val="clear" w:color="auto" w:fill="auto"/>
            <w:vAlign w:val="center"/>
          </w:tcPr>
          <w:p w14:paraId="04AE19B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0</w:t>
            </w:r>
          </w:p>
        </w:tc>
      </w:tr>
      <w:tr w:rsidR="00EF4A2D" w:rsidRPr="00EF4A2D" w14:paraId="4B2D8001" w14:textId="77777777" w:rsidTr="00B9606F">
        <w:trPr>
          <w:jc w:val="center"/>
        </w:trPr>
        <w:tc>
          <w:tcPr>
            <w:tcW w:w="709" w:type="dxa"/>
            <w:tcBorders>
              <w:left w:val="single" w:sz="4" w:space="0" w:color="auto"/>
              <w:right w:val="single" w:sz="4" w:space="0" w:color="auto"/>
            </w:tcBorders>
            <w:shd w:val="clear" w:color="auto" w:fill="auto"/>
            <w:vAlign w:val="bottom"/>
          </w:tcPr>
          <w:p w14:paraId="51BAAE23"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10</w:t>
            </w:r>
          </w:p>
        </w:tc>
        <w:tc>
          <w:tcPr>
            <w:tcW w:w="1701" w:type="dxa"/>
            <w:tcBorders>
              <w:left w:val="single" w:sz="4" w:space="0" w:color="auto"/>
              <w:right w:val="single" w:sz="4" w:space="0" w:color="auto"/>
            </w:tcBorders>
            <w:shd w:val="clear" w:color="auto" w:fill="auto"/>
          </w:tcPr>
          <w:p w14:paraId="01B76051" w14:textId="77777777" w:rsidR="00EF4A2D" w:rsidRPr="00EF4A2D" w:rsidRDefault="00EF4A2D" w:rsidP="004D07F1">
            <w:pPr>
              <w:rPr>
                <w:rFonts w:eastAsia="Calibri"/>
                <w:sz w:val="14"/>
                <w:szCs w:val="14"/>
                <w:lang w:eastAsia="en-US"/>
              </w:rPr>
            </w:pPr>
            <w:r w:rsidRPr="00EF4A2D">
              <w:rPr>
                <w:rFonts w:eastAsia="Calibri"/>
                <w:sz w:val="14"/>
                <w:szCs w:val="14"/>
                <w:lang w:eastAsia="en-US"/>
              </w:rPr>
              <w:t>Irlanda</w:t>
            </w:r>
          </w:p>
        </w:tc>
        <w:tc>
          <w:tcPr>
            <w:tcW w:w="709" w:type="dxa"/>
            <w:tcBorders>
              <w:left w:val="single" w:sz="4" w:space="0" w:color="auto"/>
              <w:right w:val="single" w:sz="4" w:space="0" w:color="auto"/>
            </w:tcBorders>
            <w:shd w:val="clear" w:color="auto" w:fill="auto"/>
            <w:vAlign w:val="center"/>
          </w:tcPr>
          <w:p w14:paraId="72F6B09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133</w:t>
            </w:r>
          </w:p>
        </w:tc>
        <w:tc>
          <w:tcPr>
            <w:tcW w:w="708" w:type="dxa"/>
            <w:tcBorders>
              <w:left w:val="single" w:sz="4" w:space="0" w:color="auto"/>
              <w:right w:val="single" w:sz="4" w:space="0" w:color="auto"/>
            </w:tcBorders>
            <w:shd w:val="clear" w:color="auto" w:fill="auto"/>
            <w:vAlign w:val="center"/>
          </w:tcPr>
          <w:p w14:paraId="7CE21874"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2.7</w:t>
            </w:r>
          </w:p>
        </w:tc>
        <w:tc>
          <w:tcPr>
            <w:tcW w:w="567" w:type="dxa"/>
            <w:tcBorders>
              <w:left w:val="single" w:sz="4" w:space="0" w:color="auto"/>
              <w:right w:val="single" w:sz="4" w:space="0" w:color="auto"/>
            </w:tcBorders>
            <w:shd w:val="clear" w:color="auto" w:fill="auto"/>
            <w:vAlign w:val="center"/>
          </w:tcPr>
          <w:p w14:paraId="08D10B83"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9</w:t>
            </w:r>
          </w:p>
        </w:tc>
        <w:tc>
          <w:tcPr>
            <w:tcW w:w="284" w:type="dxa"/>
            <w:tcBorders>
              <w:left w:val="single" w:sz="4" w:space="0" w:color="auto"/>
              <w:right w:val="single" w:sz="4" w:space="0" w:color="auto"/>
            </w:tcBorders>
            <w:vAlign w:val="center"/>
          </w:tcPr>
          <w:p w14:paraId="56B34D52"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37AA2D7D"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10</w:t>
            </w:r>
          </w:p>
        </w:tc>
        <w:tc>
          <w:tcPr>
            <w:tcW w:w="1606" w:type="dxa"/>
            <w:tcBorders>
              <w:left w:val="single" w:sz="4" w:space="0" w:color="auto"/>
              <w:right w:val="single" w:sz="4" w:space="0" w:color="auto"/>
            </w:tcBorders>
            <w:shd w:val="clear" w:color="auto" w:fill="auto"/>
          </w:tcPr>
          <w:p w14:paraId="169FE111"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India</w:t>
            </w:r>
          </w:p>
        </w:tc>
        <w:tc>
          <w:tcPr>
            <w:tcW w:w="662" w:type="dxa"/>
            <w:tcBorders>
              <w:left w:val="single" w:sz="4" w:space="0" w:color="auto"/>
              <w:right w:val="single" w:sz="4" w:space="0" w:color="auto"/>
            </w:tcBorders>
            <w:shd w:val="clear" w:color="auto" w:fill="auto"/>
            <w:vAlign w:val="center"/>
          </w:tcPr>
          <w:p w14:paraId="0E89F5B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124</w:t>
            </w:r>
          </w:p>
        </w:tc>
        <w:tc>
          <w:tcPr>
            <w:tcW w:w="709" w:type="dxa"/>
            <w:tcBorders>
              <w:left w:val="single" w:sz="4" w:space="0" w:color="auto"/>
              <w:right w:val="single" w:sz="4" w:space="0" w:color="auto"/>
            </w:tcBorders>
            <w:shd w:val="clear" w:color="auto" w:fill="auto"/>
            <w:vAlign w:val="center"/>
          </w:tcPr>
          <w:p w14:paraId="5DA3105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2.6</w:t>
            </w:r>
          </w:p>
        </w:tc>
        <w:tc>
          <w:tcPr>
            <w:tcW w:w="567" w:type="dxa"/>
            <w:tcBorders>
              <w:left w:val="single" w:sz="4" w:space="0" w:color="auto"/>
              <w:right w:val="single" w:sz="4" w:space="0" w:color="auto"/>
            </w:tcBorders>
            <w:shd w:val="clear" w:color="auto" w:fill="auto"/>
            <w:vAlign w:val="center"/>
          </w:tcPr>
          <w:p w14:paraId="53B7BF2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w:t>
            </w:r>
          </w:p>
        </w:tc>
      </w:tr>
      <w:tr w:rsidR="00EF4A2D" w:rsidRPr="00EF4A2D" w14:paraId="6E5C29FA" w14:textId="77777777" w:rsidTr="00B9606F">
        <w:trPr>
          <w:jc w:val="center"/>
        </w:trPr>
        <w:tc>
          <w:tcPr>
            <w:tcW w:w="709" w:type="dxa"/>
            <w:tcBorders>
              <w:left w:val="single" w:sz="4" w:space="0" w:color="auto"/>
              <w:right w:val="single" w:sz="4" w:space="0" w:color="auto"/>
            </w:tcBorders>
            <w:shd w:val="clear" w:color="auto" w:fill="auto"/>
            <w:vAlign w:val="bottom"/>
          </w:tcPr>
          <w:p w14:paraId="2B9486B9"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11</w:t>
            </w:r>
          </w:p>
        </w:tc>
        <w:tc>
          <w:tcPr>
            <w:tcW w:w="1701" w:type="dxa"/>
            <w:tcBorders>
              <w:left w:val="single" w:sz="4" w:space="0" w:color="auto"/>
              <w:right w:val="single" w:sz="4" w:space="0" w:color="auto"/>
            </w:tcBorders>
            <w:shd w:val="clear" w:color="auto" w:fill="auto"/>
          </w:tcPr>
          <w:p w14:paraId="7C01314F" w14:textId="77777777" w:rsidR="00EF4A2D" w:rsidRPr="00EF4A2D" w:rsidRDefault="00EF4A2D" w:rsidP="004D07F1">
            <w:pPr>
              <w:rPr>
                <w:rFonts w:eastAsia="Calibri"/>
                <w:sz w:val="14"/>
                <w:szCs w:val="14"/>
                <w:lang w:eastAsia="en-US"/>
              </w:rPr>
            </w:pPr>
            <w:r w:rsidRPr="00EF4A2D">
              <w:rPr>
                <w:rFonts w:eastAsia="Calibri"/>
                <w:sz w:val="14"/>
                <w:szCs w:val="14"/>
                <w:lang w:eastAsia="en-US"/>
              </w:rPr>
              <w:t>Singapur</w:t>
            </w:r>
          </w:p>
        </w:tc>
        <w:tc>
          <w:tcPr>
            <w:tcW w:w="709" w:type="dxa"/>
            <w:tcBorders>
              <w:left w:val="single" w:sz="4" w:space="0" w:color="auto"/>
              <w:right w:val="single" w:sz="4" w:space="0" w:color="auto"/>
            </w:tcBorders>
            <w:shd w:val="clear" w:color="auto" w:fill="auto"/>
            <w:vAlign w:val="center"/>
          </w:tcPr>
          <w:p w14:paraId="54CD963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133</w:t>
            </w:r>
          </w:p>
        </w:tc>
        <w:tc>
          <w:tcPr>
            <w:tcW w:w="708" w:type="dxa"/>
            <w:tcBorders>
              <w:left w:val="single" w:sz="4" w:space="0" w:color="auto"/>
              <w:right w:val="single" w:sz="4" w:space="0" w:color="auto"/>
            </w:tcBorders>
            <w:shd w:val="clear" w:color="auto" w:fill="auto"/>
            <w:vAlign w:val="center"/>
          </w:tcPr>
          <w:p w14:paraId="6E079E41"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2.7</w:t>
            </w:r>
          </w:p>
        </w:tc>
        <w:tc>
          <w:tcPr>
            <w:tcW w:w="567" w:type="dxa"/>
            <w:tcBorders>
              <w:left w:val="single" w:sz="4" w:space="0" w:color="auto"/>
              <w:right w:val="single" w:sz="4" w:space="0" w:color="auto"/>
            </w:tcBorders>
            <w:shd w:val="clear" w:color="auto" w:fill="auto"/>
            <w:vAlign w:val="center"/>
          </w:tcPr>
          <w:p w14:paraId="354F1641"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w:t>
            </w:r>
          </w:p>
        </w:tc>
        <w:tc>
          <w:tcPr>
            <w:tcW w:w="284" w:type="dxa"/>
            <w:tcBorders>
              <w:left w:val="single" w:sz="4" w:space="0" w:color="auto"/>
              <w:right w:val="single" w:sz="4" w:space="0" w:color="auto"/>
            </w:tcBorders>
            <w:vAlign w:val="center"/>
          </w:tcPr>
          <w:p w14:paraId="36159228"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7494DA80"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11</w:t>
            </w:r>
          </w:p>
        </w:tc>
        <w:tc>
          <w:tcPr>
            <w:tcW w:w="1606" w:type="dxa"/>
            <w:tcBorders>
              <w:left w:val="single" w:sz="4" w:space="0" w:color="auto"/>
              <w:right w:val="single" w:sz="4" w:space="0" w:color="auto"/>
            </w:tcBorders>
            <w:shd w:val="clear" w:color="auto" w:fill="auto"/>
          </w:tcPr>
          <w:p w14:paraId="0D8F55C4"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 xml:space="preserve">Federación de Rusia </w:t>
            </w:r>
          </w:p>
        </w:tc>
        <w:tc>
          <w:tcPr>
            <w:tcW w:w="662" w:type="dxa"/>
            <w:tcBorders>
              <w:left w:val="single" w:sz="4" w:space="0" w:color="auto"/>
              <w:right w:val="single" w:sz="4" w:space="0" w:color="auto"/>
            </w:tcBorders>
            <w:shd w:val="clear" w:color="auto" w:fill="auto"/>
            <w:vAlign w:val="center"/>
          </w:tcPr>
          <w:p w14:paraId="4ED9FE0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119</w:t>
            </w:r>
          </w:p>
        </w:tc>
        <w:tc>
          <w:tcPr>
            <w:tcW w:w="709" w:type="dxa"/>
            <w:tcBorders>
              <w:left w:val="single" w:sz="4" w:space="0" w:color="auto"/>
              <w:right w:val="single" w:sz="4" w:space="0" w:color="auto"/>
            </w:tcBorders>
            <w:shd w:val="clear" w:color="auto" w:fill="auto"/>
            <w:vAlign w:val="center"/>
          </w:tcPr>
          <w:p w14:paraId="1BF2DA0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2.5</w:t>
            </w:r>
          </w:p>
        </w:tc>
        <w:tc>
          <w:tcPr>
            <w:tcW w:w="567" w:type="dxa"/>
            <w:tcBorders>
              <w:left w:val="single" w:sz="4" w:space="0" w:color="auto"/>
              <w:right w:val="single" w:sz="4" w:space="0" w:color="auto"/>
            </w:tcBorders>
            <w:shd w:val="clear" w:color="auto" w:fill="auto"/>
            <w:vAlign w:val="center"/>
          </w:tcPr>
          <w:p w14:paraId="4EA36B6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w:t>
            </w:r>
          </w:p>
        </w:tc>
      </w:tr>
      <w:tr w:rsidR="00EF4A2D" w:rsidRPr="00EF4A2D" w14:paraId="45993362" w14:textId="77777777" w:rsidTr="00B9606F">
        <w:trPr>
          <w:jc w:val="center"/>
        </w:trPr>
        <w:tc>
          <w:tcPr>
            <w:tcW w:w="709" w:type="dxa"/>
            <w:tcBorders>
              <w:left w:val="single" w:sz="4" w:space="0" w:color="auto"/>
              <w:right w:val="single" w:sz="4" w:space="0" w:color="auto"/>
            </w:tcBorders>
            <w:shd w:val="clear" w:color="auto" w:fill="auto"/>
            <w:vAlign w:val="bottom"/>
          </w:tcPr>
          <w:p w14:paraId="60C35AAC"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12</w:t>
            </w:r>
          </w:p>
        </w:tc>
        <w:tc>
          <w:tcPr>
            <w:tcW w:w="1701" w:type="dxa"/>
            <w:tcBorders>
              <w:left w:val="single" w:sz="4" w:space="0" w:color="auto"/>
              <w:right w:val="single" w:sz="4" w:space="0" w:color="auto"/>
            </w:tcBorders>
            <w:shd w:val="clear" w:color="auto" w:fill="auto"/>
          </w:tcPr>
          <w:p w14:paraId="417A6641" w14:textId="77777777" w:rsidR="00EF4A2D" w:rsidRPr="00EF4A2D" w:rsidRDefault="00EF4A2D" w:rsidP="004D07F1">
            <w:pPr>
              <w:rPr>
                <w:rFonts w:eastAsia="Calibri"/>
                <w:sz w:val="14"/>
                <w:szCs w:val="14"/>
                <w:lang w:eastAsia="en-US"/>
              </w:rPr>
            </w:pPr>
            <w:r w:rsidRPr="00EF4A2D">
              <w:rPr>
                <w:rFonts w:eastAsia="Calibri"/>
                <w:sz w:val="14"/>
                <w:szCs w:val="14"/>
                <w:lang w:eastAsia="en-US"/>
              </w:rPr>
              <w:t>Bélgica</w:t>
            </w:r>
          </w:p>
        </w:tc>
        <w:tc>
          <w:tcPr>
            <w:tcW w:w="709" w:type="dxa"/>
            <w:tcBorders>
              <w:left w:val="single" w:sz="4" w:space="0" w:color="auto"/>
              <w:right w:val="single" w:sz="4" w:space="0" w:color="auto"/>
            </w:tcBorders>
            <w:shd w:val="clear" w:color="auto" w:fill="auto"/>
            <w:vAlign w:val="center"/>
          </w:tcPr>
          <w:p w14:paraId="0FB1A96D"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117</w:t>
            </w:r>
          </w:p>
        </w:tc>
        <w:tc>
          <w:tcPr>
            <w:tcW w:w="708" w:type="dxa"/>
            <w:tcBorders>
              <w:left w:val="single" w:sz="4" w:space="0" w:color="auto"/>
              <w:right w:val="single" w:sz="4" w:space="0" w:color="auto"/>
            </w:tcBorders>
            <w:shd w:val="clear" w:color="auto" w:fill="auto"/>
            <w:vAlign w:val="center"/>
          </w:tcPr>
          <w:p w14:paraId="2DBD7DF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2.4</w:t>
            </w:r>
          </w:p>
        </w:tc>
        <w:tc>
          <w:tcPr>
            <w:tcW w:w="567" w:type="dxa"/>
            <w:tcBorders>
              <w:left w:val="single" w:sz="4" w:space="0" w:color="auto"/>
              <w:right w:val="single" w:sz="4" w:space="0" w:color="auto"/>
            </w:tcBorders>
            <w:shd w:val="clear" w:color="auto" w:fill="auto"/>
            <w:vAlign w:val="center"/>
          </w:tcPr>
          <w:p w14:paraId="5996052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c>
          <w:tcPr>
            <w:tcW w:w="284" w:type="dxa"/>
            <w:tcBorders>
              <w:left w:val="single" w:sz="4" w:space="0" w:color="auto"/>
              <w:right w:val="single" w:sz="4" w:space="0" w:color="auto"/>
            </w:tcBorders>
            <w:vAlign w:val="center"/>
          </w:tcPr>
          <w:p w14:paraId="6B50B19C"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11BAA4F6"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12</w:t>
            </w:r>
          </w:p>
        </w:tc>
        <w:tc>
          <w:tcPr>
            <w:tcW w:w="1606" w:type="dxa"/>
            <w:tcBorders>
              <w:left w:val="single" w:sz="4" w:space="0" w:color="auto"/>
              <w:right w:val="single" w:sz="4" w:space="0" w:color="auto"/>
            </w:tcBorders>
            <w:shd w:val="clear" w:color="auto" w:fill="auto"/>
          </w:tcPr>
          <w:p w14:paraId="40572B70"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Corea, República de</w:t>
            </w:r>
          </w:p>
        </w:tc>
        <w:tc>
          <w:tcPr>
            <w:tcW w:w="662" w:type="dxa"/>
            <w:tcBorders>
              <w:left w:val="single" w:sz="4" w:space="0" w:color="auto"/>
              <w:right w:val="single" w:sz="4" w:space="0" w:color="auto"/>
            </w:tcBorders>
            <w:shd w:val="clear" w:color="auto" w:fill="auto"/>
            <w:vAlign w:val="center"/>
          </w:tcPr>
          <w:p w14:paraId="6B2A38C2"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114</w:t>
            </w:r>
          </w:p>
        </w:tc>
        <w:tc>
          <w:tcPr>
            <w:tcW w:w="709" w:type="dxa"/>
            <w:tcBorders>
              <w:left w:val="single" w:sz="4" w:space="0" w:color="auto"/>
              <w:right w:val="single" w:sz="4" w:space="0" w:color="auto"/>
            </w:tcBorders>
            <w:shd w:val="clear" w:color="auto" w:fill="auto"/>
            <w:vAlign w:val="center"/>
          </w:tcPr>
          <w:p w14:paraId="4DD058D8" w14:textId="0ED6AD6D" w:rsidR="00EF4A2D" w:rsidRPr="00EF4A2D" w:rsidRDefault="00702486" w:rsidP="004D07F1">
            <w:pPr>
              <w:ind w:right="57"/>
              <w:jc w:val="right"/>
              <w:rPr>
                <w:rFonts w:eastAsia="Calibri"/>
                <w:sz w:val="14"/>
                <w:szCs w:val="14"/>
                <w:lang w:eastAsia="en-US"/>
              </w:rPr>
            </w:pPr>
            <w:r>
              <w:rPr>
                <w:rFonts w:eastAsia="Calibri"/>
                <w:sz w:val="14"/>
                <w:szCs w:val="14"/>
                <w:lang w:eastAsia="en-US"/>
              </w:rPr>
              <w:t>2</w:t>
            </w:r>
            <w:r w:rsidR="00EF4A2D" w:rsidRPr="00EF4A2D">
              <w:rPr>
                <w:rFonts w:eastAsia="Calibri"/>
                <w:sz w:val="14"/>
                <w:szCs w:val="14"/>
                <w:lang w:eastAsia="en-US"/>
              </w:rPr>
              <w:t>.4</w:t>
            </w:r>
          </w:p>
        </w:tc>
        <w:tc>
          <w:tcPr>
            <w:tcW w:w="567" w:type="dxa"/>
            <w:tcBorders>
              <w:left w:val="single" w:sz="4" w:space="0" w:color="auto"/>
              <w:right w:val="single" w:sz="4" w:space="0" w:color="auto"/>
            </w:tcBorders>
            <w:shd w:val="clear" w:color="auto" w:fill="auto"/>
            <w:vAlign w:val="center"/>
          </w:tcPr>
          <w:p w14:paraId="4CED45BD"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r>
      <w:tr w:rsidR="00EF4A2D" w:rsidRPr="00EF4A2D" w14:paraId="2B0B3FA5" w14:textId="77777777" w:rsidTr="00B9606F">
        <w:trPr>
          <w:jc w:val="center"/>
        </w:trPr>
        <w:tc>
          <w:tcPr>
            <w:tcW w:w="709" w:type="dxa"/>
            <w:tcBorders>
              <w:left w:val="single" w:sz="4" w:space="0" w:color="auto"/>
              <w:right w:val="single" w:sz="4" w:space="0" w:color="auto"/>
            </w:tcBorders>
            <w:shd w:val="clear" w:color="auto" w:fill="auto"/>
            <w:vAlign w:val="bottom"/>
          </w:tcPr>
          <w:p w14:paraId="21551AA2"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13</w:t>
            </w:r>
          </w:p>
        </w:tc>
        <w:tc>
          <w:tcPr>
            <w:tcW w:w="1701" w:type="dxa"/>
            <w:tcBorders>
              <w:left w:val="single" w:sz="4" w:space="0" w:color="auto"/>
              <w:right w:val="single" w:sz="4" w:space="0" w:color="auto"/>
            </w:tcBorders>
            <w:shd w:val="clear" w:color="auto" w:fill="auto"/>
          </w:tcPr>
          <w:p w14:paraId="58EB7F22" w14:textId="77777777" w:rsidR="00EF4A2D" w:rsidRPr="00EF4A2D" w:rsidRDefault="00EF4A2D" w:rsidP="004D07F1">
            <w:pPr>
              <w:rPr>
                <w:rFonts w:eastAsia="Calibri"/>
                <w:sz w:val="14"/>
                <w:szCs w:val="14"/>
                <w:lang w:eastAsia="en-US"/>
              </w:rPr>
            </w:pPr>
            <w:r w:rsidRPr="00EF4A2D">
              <w:rPr>
                <w:rFonts w:eastAsia="Calibri"/>
                <w:sz w:val="14"/>
                <w:szCs w:val="14"/>
                <w:lang w:eastAsia="en-US"/>
              </w:rPr>
              <w:t>Suiza</w:t>
            </w:r>
          </w:p>
        </w:tc>
        <w:tc>
          <w:tcPr>
            <w:tcW w:w="709" w:type="dxa"/>
            <w:tcBorders>
              <w:left w:val="single" w:sz="4" w:space="0" w:color="auto"/>
              <w:right w:val="single" w:sz="4" w:space="0" w:color="auto"/>
            </w:tcBorders>
            <w:shd w:val="clear" w:color="auto" w:fill="auto"/>
            <w:vAlign w:val="center"/>
          </w:tcPr>
          <w:p w14:paraId="5D7923B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114</w:t>
            </w:r>
          </w:p>
        </w:tc>
        <w:tc>
          <w:tcPr>
            <w:tcW w:w="708" w:type="dxa"/>
            <w:tcBorders>
              <w:left w:val="single" w:sz="4" w:space="0" w:color="auto"/>
              <w:right w:val="single" w:sz="4" w:space="0" w:color="auto"/>
            </w:tcBorders>
            <w:shd w:val="clear" w:color="auto" w:fill="auto"/>
            <w:vAlign w:val="center"/>
          </w:tcPr>
          <w:p w14:paraId="0B5C7163"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2.3</w:t>
            </w:r>
          </w:p>
        </w:tc>
        <w:tc>
          <w:tcPr>
            <w:tcW w:w="567" w:type="dxa"/>
            <w:tcBorders>
              <w:left w:val="single" w:sz="4" w:space="0" w:color="auto"/>
              <w:right w:val="single" w:sz="4" w:space="0" w:color="auto"/>
            </w:tcBorders>
            <w:shd w:val="clear" w:color="auto" w:fill="auto"/>
            <w:vAlign w:val="center"/>
          </w:tcPr>
          <w:p w14:paraId="74769C22"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w:t>
            </w:r>
          </w:p>
        </w:tc>
        <w:tc>
          <w:tcPr>
            <w:tcW w:w="284" w:type="dxa"/>
            <w:tcBorders>
              <w:left w:val="single" w:sz="4" w:space="0" w:color="auto"/>
              <w:right w:val="single" w:sz="4" w:space="0" w:color="auto"/>
            </w:tcBorders>
            <w:vAlign w:val="center"/>
          </w:tcPr>
          <w:p w14:paraId="0550B4E6"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04388871"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13</w:t>
            </w:r>
          </w:p>
        </w:tc>
        <w:tc>
          <w:tcPr>
            <w:tcW w:w="1606" w:type="dxa"/>
            <w:tcBorders>
              <w:left w:val="single" w:sz="4" w:space="0" w:color="auto"/>
              <w:right w:val="single" w:sz="4" w:space="0" w:color="auto"/>
            </w:tcBorders>
            <w:shd w:val="clear" w:color="auto" w:fill="auto"/>
          </w:tcPr>
          <w:p w14:paraId="07D702F6"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Italia</w:t>
            </w:r>
          </w:p>
        </w:tc>
        <w:tc>
          <w:tcPr>
            <w:tcW w:w="662" w:type="dxa"/>
            <w:tcBorders>
              <w:left w:val="single" w:sz="4" w:space="0" w:color="auto"/>
              <w:right w:val="single" w:sz="4" w:space="0" w:color="auto"/>
            </w:tcBorders>
            <w:shd w:val="clear" w:color="auto" w:fill="auto"/>
            <w:vAlign w:val="center"/>
          </w:tcPr>
          <w:p w14:paraId="5E995BC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112</w:t>
            </w:r>
          </w:p>
        </w:tc>
        <w:tc>
          <w:tcPr>
            <w:tcW w:w="709" w:type="dxa"/>
            <w:tcBorders>
              <w:left w:val="single" w:sz="4" w:space="0" w:color="auto"/>
              <w:right w:val="single" w:sz="4" w:space="0" w:color="auto"/>
            </w:tcBorders>
            <w:shd w:val="clear" w:color="auto" w:fill="auto"/>
            <w:vAlign w:val="center"/>
          </w:tcPr>
          <w:p w14:paraId="3C62B4E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2.4</w:t>
            </w:r>
          </w:p>
        </w:tc>
        <w:tc>
          <w:tcPr>
            <w:tcW w:w="567" w:type="dxa"/>
            <w:tcBorders>
              <w:left w:val="single" w:sz="4" w:space="0" w:color="auto"/>
              <w:right w:val="single" w:sz="4" w:space="0" w:color="auto"/>
            </w:tcBorders>
            <w:shd w:val="clear" w:color="auto" w:fill="auto"/>
            <w:vAlign w:val="center"/>
          </w:tcPr>
          <w:p w14:paraId="31C343C2"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r>
      <w:tr w:rsidR="00EF4A2D" w:rsidRPr="00EF4A2D" w14:paraId="45FA2119" w14:textId="77777777" w:rsidTr="00B9606F">
        <w:trPr>
          <w:jc w:val="center"/>
        </w:trPr>
        <w:tc>
          <w:tcPr>
            <w:tcW w:w="709" w:type="dxa"/>
            <w:tcBorders>
              <w:left w:val="single" w:sz="4" w:space="0" w:color="auto"/>
              <w:right w:val="single" w:sz="4" w:space="0" w:color="auto"/>
            </w:tcBorders>
            <w:shd w:val="clear" w:color="auto" w:fill="auto"/>
            <w:vAlign w:val="bottom"/>
          </w:tcPr>
          <w:p w14:paraId="6995726F"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14</w:t>
            </w:r>
          </w:p>
        </w:tc>
        <w:tc>
          <w:tcPr>
            <w:tcW w:w="1701" w:type="dxa"/>
            <w:tcBorders>
              <w:left w:val="single" w:sz="4" w:space="0" w:color="auto"/>
              <w:right w:val="single" w:sz="4" w:space="0" w:color="auto"/>
            </w:tcBorders>
            <w:shd w:val="clear" w:color="auto" w:fill="auto"/>
          </w:tcPr>
          <w:p w14:paraId="2553EFD5" w14:textId="77777777" w:rsidR="00EF4A2D" w:rsidRPr="00EF4A2D" w:rsidRDefault="00EF4A2D" w:rsidP="004D07F1">
            <w:pPr>
              <w:rPr>
                <w:rFonts w:eastAsia="Calibri"/>
                <w:sz w:val="14"/>
                <w:szCs w:val="14"/>
                <w:lang w:eastAsia="en-US"/>
              </w:rPr>
            </w:pPr>
            <w:r w:rsidRPr="00EF4A2D">
              <w:rPr>
                <w:rFonts w:eastAsia="Calibri"/>
                <w:sz w:val="14"/>
                <w:szCs w:val="14"/>
                <w:lang w:eastAsia="en-US"/>
              </w:rPr>
              <w:t>Italia</w:t>
            </w:r>
          </w:p>
        </w:tc>
        <w:tc>
          <w:tcPr>
            <w:tcW w:w="709" w:type="dxa"/>
            <w:tcBorders>
              <w:left w:val="single" w:sz="4" w:space="0" w:color="auto"/>
              <w:right w:val="single" w:sz="4" w:space="0" w:color="auto"/>
            </w:tcBorders>
            <w:shd w:val="clear" w:color="auto" w:fill="auto"/>
            <w:vAlign w:val="center"/>
          </w:tcPr>
          <w:p w14:paraId="20247A4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114</w:t>
            </w:r>
          </w:p>
        </w:tc>
        <w:tc>
          <w:tcPr>
            <w:tcW w:w="708" w:type="dxa"/>
            <w:tcBorders>
              <w:left w:val="single" w:sz="4" w:space="0" w:color="auto"/>
              <w:right w:val="single" w:sz="4" w:space="0" w:color="auto"/>
            </w:tcBorders>
            <w:shd w:val="clear" w:color="auto" w:fill="auto"/>
            <w:vAlign w:val="center"/>
          </w:tcPr>
          <w:p w14:paraId="3272A1B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2.3</w:t>
            </w:r>
          </w:p>
        </w:tc>
        <w:tc>
          <w:tcPr>
            <w:tcW w:w="567" w:type="dxa"/>
            <w:tcBorders>
              <w:left w:val="single" w:sz="4" w:space="0" w:color="auto"/>
              <w:right w:val="single" w:sz="4" w:space="0" w:color="auto"/>
            </w:tcBorders>
            <w:shd w:val="clear" w:color="auto" w:fill="auto"/>
            <w:vAlign w:val="center"/>
          </w:tcPr>
          <w:p w14:paraId="72B3F493"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w:t>
            </w:r>
          </w:p>
        </w:tc>
        <w:tc>
          <w:tcPr>
            <w:tcW w:w="284" w:type="dxa"/>
            <w:tcBorders>
              <w:left w:val="single" w:sz="4" w:space="0" w:color="auto"/>
              <w:right w:val="single" w:sz="4" w:space="0" w:color="auto"/>
            </w:tcBorders>
            <w:vAlign w:val="center"/>
          </w:tcPr>
          <w:p w14:paraId="7CBAA395"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1F2298D2"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14</w:t>
            </w:r>
          </w:p>
        </w:tc>
        <w:tc>
          <w:tcPr>
            <w:tcW w:w="1606" w:type="dxa"/>
            <w:tcBorders>
              <w:left w:val="single" w:sz="4" w:space="0" w:color="auto"/>
              <w:right w:val="single" w:sz="4" w:space="0" w:color="auto"/>
            </w:tcBorders>
            <w:shd w:val="clear" w:color="auto" w:fill="auto"/>
          </w:tcPr>
          <w:p w14:paraId="0D4D765A"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Bélgica</w:t>
            </w:r>
          </w:p>
        </w:tc>
        <w:tc>
          <w:tcPr>
            <w:tcW w:w="662" w:type="dxa"/>
            <w:tcBorders>
              <w:left w:val="single" w:sz="4" w:space="0" w:color="auto"/>
              <w:right w:val="single" w:sz="4" w:space="0" w:color="auto"/>
            </w:tcBorders>
            <w:shd w:val="clear" w:color="auto" w:fill="auto"/>
            <w:vAlign w:val="center"/>
          </w:tcPr>
          <w:p w14:paraId="6FC207CD"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108</w:t>
            </w:r>
          </w:p>
        </w:tc>
        <w:tc>
          <w:tcPr>
            <w:tcW w:w="709" w:type="dxa"/>
            <w:tcBorders>
              <w:left w:val="single" w:sz="4" w:space="0" w:color="auto"/>
              <w:right w:val="single" w:sz="4" w:space="0" w:color="auto"/>
            </w:tcBorders>
            <w:shd w:val="clear" w:color="auto" w:fill="auto"/>
            <w:vAlign w:val="center"/>
          </w:tcPr>
          <w:p w14:paraId="01B22AA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2.3</w:t>
            </w:r>
          </w:p>
        </w:tc>
        <w:tc>
          <w:tcPr>
            <w:tcW w:w="567" w:type="dxa"/>
            <w:tcBorders>
              <w:left w:val="single" w:sz="4" w:space="0" w:color="auto"/>
              <w:right w:val="single" w:sz="4" w:space="0" w:color="auto"/>
            </w:tcBorders>
            <w:shd w:val="clear" w:color="auto" w:fill="auto"/>
            <w:vAlign w:val="center"/>
          </w:tcPr>
          <w:p w14:paraId="2B1B00C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r>
      <w:tr w:rsidR="00EF4A2D" w:rsidRPr="00EF4A2D" w14:paraId="1C5491ED" w14:textId="77777777" w:rsidTr="00B9606F">
        <w:trPr>
          <w:jc w:val="center"/>
        </w:trPr>
        <w:tc>
          <w:tcPr>
            <w:tcW w:w="709" w:type="dxa"/>
            <w:tcBorders>
              <w:left w:val="single" w:sz="4" w:space="0" w:color="auto"/>
              <w:right w:val="single" w:sz="4" w:space="0" w:color="auto"/>
            </w:tcBorders>
            <w:shd w:val="clear" w:color="auto" w:fill="auto"/>
            <w:vAlign w:val="bottom"/>
          </w:tcPr>
          <w:p w14:paraId="27D49327"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15</w:t>
            </w:r>
          </w:p>
        </w:tc>
        <w:tc>
          <w:tcPr>
            <w:tcW w:w="1701" w:type="dxa"/>
            <w:tcBorders>
              <w:left w:val="single" w:sz="4" w:space="0" w:color="auto"/>
              <w:right w:val="single" w:sz="4" w:space="0" w:color="auto"/>
            </w:tcBorders>
            <w:shd w:val="clear" w:color="auto" w:fill="auto"/>
          </w:tcPr>
          <w:p w14:paraId="211DF532" w14:textId="77777777" w:rsidR="00EF4A2D" w:rsidRPr="00EF4A2D" w:rsidRDefault="00EF4A2D" w:rsidP="004D07F1">
            <w:pPr>
              <w:rPr>
                <w:rFonts w:eastAsia="Calibri"/>
                <w:sz w:val="14"/>
                <w:szCs w:val="14"/>
                <w:lang w:eastAsia="en-US"/>
              </w:rPr>
            </w:pPr>
            <w:r w:rsidRPr="00EF4A2D">
              <w:rPr>
                <w:rFonts w:eastAsia="Calibri"/>
                <w:sz w:val="14"/>
                <w:szCs w:val="14"/>
                <w:lang w:eastAsia="en-US"/>
              </w:rPr>
              <w:t>Hong Kong, China</w:t>
            </w:r>
          </w:p>
        </w:tc>
        <w:tc>
          <w:tcPr>
            <w:tcW w:w="709" w:type="dxa"/>
            <w:tcBorders>
              <w:left w:val="single" w:sz="4" w:space="0" w:color="auto"/>
              <w:right w:val="single" w:sz="4" w:space="0" w:color="auto"/>
            </w:tcBorders>
            <w:shd w:val="clear" w:color="auto" w:fill="auto"/>
            <w:vAlign w:val="center"/>
          </w:tcPr>
          <w:p w14:paraId="1554313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107</w:t>
            </w:r>
          </w:p>
        </w:tc>
        <w:tc>
          <w:tcPr>
            <w:tcW w:w="708" w:type="dxa"/>
            <w:tcBorders>
              <w:left w:val="single" w:sz="4" w:space="0" w:color="auto"/>
              <w:right w:val="single" w:sz="4" w:space="0" w:color="auto"/>
            </w:tcBorders>
            <w:shd w:val="clear" w:color="auto" w:fill="auto"/>
            <w:vAlign w:val="center"/>
          </w:tcPr>
          <w:p w14:paraId="59F0F1B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2.2</w:t>
            </w:r>
          </w:p>
        </w:tc>
        <w:tc>
          <w:tcPr>
            <w:tcW w:w="567" w:type="dxa"/>
            <w:tcBorders>
              <w:left w:val="single" w:sz="4" w:space="0" w:color="auto"/>
              <w:right w:val="single" w:sz="4" w:space="0" w:color="auto"/>
            </w:tcBorders>
            <w:shd w:val="clear" w:color="auto" w:fill="auto"/>
            <w:vAlign w:val="center"/>
          </w:tcPr>
          <w:p w14:paraId="0B7587B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w:t>
            </w:r>
          </w:p>
        </w:tc>
        <w:tc>
          <w:tcPr>
            <w:tcW w:w="284" w:type="dxa"/>
            <w:tcBorders>
              <w:left w:val="single" w:sz="4" w:space="0" w:color="auto"/>
              <w:right w:val="single" w:sz="4" w:space="0" w:color="auto"/>
            </w:tcBorders>
            <w:vAlign w:val="center"/>
          </w:tcPr>
          <w:p w14:paraId="36E464F4"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7301A693"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15</w:t>
            </w:r>
          </w:p>
        </w:tc>
        <w:tc>
          <w:tcPr>
            <w:tcW w:w="1606" w:type="dxa"/>
            <w:tcBorders>
              <w:left w:val="single" w:sz="4" w:space="0" w:color="auto"/>
              <w:right w:val="single" w:sz="4" w:space="0" w:color="auto"/>
            </w:tcBorders>
            <w:shd w:val="clear" w:color="auto" w:fill="auto"/>
          </w:tcPr>
          <w:p w14:paraId="21604F9D"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Canadá</w:t>
            </w:r>
          </w:p>
        </w:tc>
        <w:tc>
          <w:tcPr>
            <w:tcW w:w="662" w:type="dxa"/>
            <w:tcBorders>
              <w:left w:val="single" w:sz="4" w:space="0" w:color="auto"/>
              <w:right w:val="single" w:sz="4" w:space="0" w:color="auto"/>
            </w:tcBorders>
            <w:shd w:val="clear" w:color="auto" w:fill="auto"/>
            <w:vAlign w:val="center"/>
          </w:tcPr>
          <w:p w14:paraId="06DAF76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106</w:t>
            </w:r>
          </w:p>
        </w:tc>
        <w:tc>
          <w:tcPr>
            <w:tcW w:w="709" w:type="dxa"/>
            <w:tcBorders>
              <w:left w:val="single" w:sz="4" w:space="0" w:color="auto"/>
              <w:right w:val="single" w:sz="4" w:space="0" w:color="auto"/>
            </w:tcBorders>
            <w:shd w:val="clear" w:color="auto" w:fill="auto"/>
            <w:vAlign w:val="center"/>
          </w:tcPr>
          <w:p w14:paraId="1951FB31"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2.2</w:t>
            </w:r>
          </w:p>
        </w:tc>
        <w:tc>
          <w:tcPr>
            <w:tcW w:w="567" w:type="dxa"/>
            <w:tcBorders>
              <w:left w:val="single" w:sz="4" w:space="0" w:color="auto"/>
              <w:right w:val="single" w:sz="4" w:space="0" w:color="auto"/>
            </w:tcBorders>
            <w:shd w:val="clear" w:color="auto" w:fill="auto"/>
            <w:vAlign w:val="center"/>
          </w:tcPr>
          <w:p w14:paraId="791E594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w:t>
            </w:r>
          </w:p>
        </w:tc>
      </w:tr>
      <w:tr w:rsidR="00EF4A2D" w:rsidRPr="00EF4A2D" w14:paraId="5677169F" w14:textId="77777777" w:rsidTr="00B9606F">
        <w:trPr>
          <w:jc w:val="center"/>
        </w:trPr>
        <w:tc>
          <w:tcPr>
            <w:tcW w:w="709" w:type="dxa"/>
            <w:tcBorders>
              <w:left w:val="single" w:sz="4" w:space="0" w:color="auto"/>
              <w:right w:val="single" w:sz="4" w:space="0" w:color="auto"/>
            </w:tcBorders>
            <w:shd w:val="clear" w:color="auto" w:fill="auto"/>
            <w:vAlign w:val="bottom"/>
          </w:tcPr>
          <w:p w14:paraId="736EF85A"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16</w:t>
            </w:r>
          </w:p>
        </w:tc>
        <w:tc>
          <w:tcPr>
            <w:tcW w:w="1701" w:type="dxa"/>
            <w:tcBorders>
              <w:left w:val="single" w:sz="4" w:space="0" w:color="auto"/>
              <w:right w:val="single" w:sz="4" w:space="0" w:color="auto"/>
            </w:tcBorders>
            <w:shd w:val="clear" w:color="auto" w:fill="auto"/>
          </w:tcPr>
          <w:p w14:paraId="033A8AF0" w14:textId="77777777" w:rsidR="00EF4A2D" w:rsidRPr="00EF4A2D" w:rsidRDefault="00EF4A2D" w:rsidP="004D07F1">
            <w:pPr>
              <w:rPr>
                <w:rFonts w:eastAsia="Calibri"/>
                <w:sz w:val="14"/>
                <w:szCs w:val="14"/>
                <w:lang w:eastAsia="en-US"/>
              </w:rPr>
            </w:pPr>
            <w:r w:rsidRPr="00EF4A2D">
              <w:rPr>
                <w:rFonts w:eastAsia="Calibri"/>
                <w:sz w:val="14"/>
                <w:szCs w:val="14"/>
                <w:lang w:eastAsia="en-US"/>
              </w:rPr>
              <w:t>Corea, República de</w:t>
            </w:r>
          </w:p>
        </w:tc>
        <w:tc>
          <w:tcPr>
            <w:tcW w:w="709" w:type="dxa"/>
            <w:tcBorders>
              <w:left w:val="single" w:sz="4" w:space="0" w:color="auto"/>
              <w:right w:val="single" w:sz="4" w:space="0" w:color="auto"/>
            </w:tcBorders>
            <w:shd w:val="clear" w:color="auto" w:fill="auto"/>
            <w:vAlign w:val="center"/>
          </w:tcPr>
          <w:p w14:paraId="77F0BE93"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106</w:t>
            </w:r>
          </w:p>
        </w:tc>
        <w:tc>
          <w:tcPr>
            <w:tcW w:w="708" w:type="dxa"/>
            <w:tcBorders>
              <w:left w:val="single" w:sz="4" w:space="0" w:color="auto"/>
              <w:right w:val="single" w:sz="4" w:space="0" w:color="auto"/>
            </w:tcBorders>
            <w:shd w:val="clear" w:color="auto" w:fill="auto"/>
            <w:vAlign w:val="center"/>
          </w:tcPr>
          <w:p w14:paraId="69CBFFB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2.2</w:t>
            </w:r>
          </w:p>
        </w:tc>
        <w:tc>
          <w:tcPr>
            <w:tcW w:w="567" w:type="dxa"/>
            <w:tcBorders>
              <w:left w:val="single" w:sz="4" w:space="0" w:color="auto"/>
              <w:right w:val="single" w:sz="4" w:space="0" w:color="auto"/>
            </w:tcBorders>
            <w:shd w:val="clear" w:color="auto" w:fill="auto"/>
            <w:vAlign w:val="center"/>
          </w:tcPr>
          <w:p w14:paraId="521F13F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w:t>
            </w:r>
          </w:p>
        </w:tc>
        <w:tc>
          <w:tcPr>
            <w:tcW w:w="284" w:type="dxa"/>
            <w:tcBorders>
              <w:left w:val="single" w:sz="4" w:space="0" w:color="auto"/>
              <w:right w:val="single" w:sz="4" w:space="0" w:color="auto"/>
            </w:tcBorders>
            <w:vAlign w:val="center"/>
          </w:tcPr>
          <w:p w14:paraId="0D4E7CF9"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171D0871"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16</w:t>
            </w:r>
          </w:p>
        </w:tc>
        <w:tc>
          <w:tcPr>
            <w:tcW w:w="1606" w:type="dxa"/>
            <w:tcBorders>
              <w:left w:val="single" w:sz="4" w:space="0" w:color="auto"/>
              <w:right w:val="single" w:sz="4" w:space="0" w:color="auto"/>
            </w:tcBorders>
            <w:shd w:val="clear" w:color="auto" w:fill="auto"/>
          </w:tcPr>
          <w:p w14:paraId="4FD9A26E"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 xml:space="preserve">Suiza </w:t>
            </w:r>
          </w:p>
        </w:tc>
        <w:tc>
          <w:tcPr>
            <w:tcW w:w="662" w:type="dxa"/>
            <w:tcBorders>
              <w:left w:val="single" w:sz="4" w:space="0" w:color="auto"/>
              <w:right w:val="single" w:sz="4" w:space="0" w:color="auto"/>
            </w:tcBorders>
            <w:shd w:val="clear" w:color="auto" w:fill="auto"/>
            <w:vAlign w:val="center"/>
          </w:tcPr>
          <w:p w14:paraId="6B39257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93</w:t>
            </w:r>
          </w:p>
        </w:tc>
        <w:tc>
          <w:tcPr>
            <w:tcW w:w="709" w:type="dxa"/>
            <w:tcBorders>
              <w:left w:val="single" w:sz="4" w:space="0" w:color="auto"/>
              <w:right w:val="single" w:sz="4" w:space="0" w:color="auto"/>
            </w:tcBorders>
            <w:shd w:val="clear" w:color="auto" w:fill="auto"/>
            <w:vAlign w:val="center"/>
          </w:tcPr>
          <w:p w14:paraId="0A5EEEF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2.0</w:t>
            </w:r>
          </w:p>
        </w:tc>
        <w:tc>
          <w:tcPr>
            <w:tcW w:w="567" w:type="dxa"/>
            <w:tcBorders>
              <w:left w:val="single" w:sz="4" w:space="0" w:color="auto"/>
              <w:right w:val="single" w:sz="4" w:space="0" w:color="auto"/>
            </w:tcBorders>
            <w:shd w:val="clear" w:color="auto" w:fill="auto"/>
            <w:vAlign w:val="center"/>
          </w:tcPr>
          <w:p w14:paraId="770358E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w:t>
            </w:r>
          </w:p>
        </w:tc>
      </w:tr>
      <w:tr w:rsidR="00EF4A2D" w:rsidRPr="00EF4A2D" w14:paraId="053281EB" w14:textId="77777777" w:rsidTr="00B9606F">
        <w:trPr>
          <w:jc w:val="center"/>
        </w:trPr>
        <w:tc>
          <w:tcPr>
            <w:tcW w:w="709" w:type="dxa"/>
            <w:tcBorders>
              <w:left w:val="single" w:sz="4" w:space="0" w:color="auto"/>
              <w:right w:val="single" w:sz="4" w:space="0" w:color="auto"/>
            </w:tcBorders>
            <w:shd w:val="clear" w:color="auto" w:fill="auto"/>
            <w:vAlign w:val="bottom"/>
          </w:tcPr>
          <w:p w14:paraId="31ABB74A"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17</w:t>
            </w:r>
          </w:p>
        </w:tc>
        <w:tc>
          <w:tcPr>
            <w:tcW w:w="1701" w:type="dxa"/>
            <w:tcBorders>
              <w:left w:val="single" w:sz="4" w:space="0" w:color="auto"/>
              <w:right w:val="single" w:sz="4" w:space="0" w:color="auto"/>
            </w:tcBorders>
            <w:shd w:val="clear" w:color="auto" w:fill="auto"/>
          </w:tcPr>
          <w:p w14:paraId="23A37072" w14:textId="77777777" w:rsidR="00EF4A2D" w:rsidRPr="00EF4A2D" w:rsidRDefault="00EF4A2D" w:rsidP="004D07F1">
            <w:pPr>
              <w:rPr>
                <w:rFonts w:eastAsia="Calibri"/>
                <w:sz w:val="14"/>
                <w:szCs w:val="14"/>
                <w:lang w:eastAsia="en-US"/>
              </w:rPr>
            </w:pPr>
            <w:r w:rsidRPr="00EF4A2D">
              <w:rPr>
                <w:rFonts w:eastAsia="Calibri"/>
                <w:sz w:val="14"/>
                <w:szCs w:val="14"/>
                <w:lang w:eastAsia="en-US"/>
              </w:rPr>
              <w:t>Luxemburgo</w:t>
            </w:r>
          </w:p>
        </w:tc>
        <w:tc>
          <w:tcPr>
            <w:tcW w:w="709" w:type="dxa"/>
            <w:tcBorders>
              <w:left w:val="single" w:sz="4" w:space="0" w:color="auto"/>
              <w:right w:val="single" w:sz="4" w:space="0" w:color="auto"/>
            </w:tcBorders>
            <w:shd w:val="clear" w:color="auto" w:fill="auto"/>
            <w:vAlign w:val="center"/>
          </w:tcPr>
          <w:p w14:paraId="501D81B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98</w:t>
            </w:r>
          </w:p>
        </w:tc>
        <w:tc>
          <w:tcPr>
            <w:tcW w:w="708" w:type="dxa"/>
            <w:tcBorders>
              <w:left w:val="single" w:sz="4" w:space="0" w:color="auto"/>
              <w:right w:val="single" w:sz="4" w:space="0" w:color="auto"/>
            </w:tcBorders>
            <w:shd w:val="clear" w:color="auto" w:fill="auto"/>
            <w:vAlign w:val="center"/>
          </w:tcPr>
          <w:p w14:paraId="1706C53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2.0</w:t>
            </w:r>
          </w:p>
        </w:tc>
        <w:tc>
          <w:tcPr>
            <w:tcW w:w="567" w:type="dxa"/>
            <w:tcBorders>
              <w:left w:val="single" w:sz="4" w:space="0" w:color="auto"/>
              <w:right w:val="single" w:sz="4" w:space="0" w:color="auto"/>
            </w:tcBorders>
            <w:shd w:val="clear" w:color="auto" w:fill="auto"/>
            <w:vAlign w:val="center"/>
          </w:tcPr>
          <w:p w14:paraId="79C99AF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w:t>
            </w:r>
          </w:p>
        </w:tc>
        <w:tc>
          <w:tcPr>
            <w:tcW w:w="284" w:type="dxa"/>
            <w:tcBorders>
              <w:left w:val="single" w:sz="4" w:space="0" w:color="auto"/>
              <w:right w:val="single" w:sz="4" w:space="0" w:color="auto"/>
            </w:tcBorders>
            <w:vAlign w:val="center"/>
          </w:tcPr>
          <w:p w14:paraId="464BAFFB"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60AB0287"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17</w:t>
            </w:r>
          </w:p>
        </w:tc>
        <w:tc>
          <w:tcPr>
            <w:tcW w:w="1606" w:type="dxa"/>
            <w:tcBorders>
              <w:left w:val="single" w:sz="4" w:space="0" w:color="auto"/>
              <w:right w:val="single" w:sz="4" w:space="0" w:color="auto"/>
            </w:tcBorders>
            <w:shd w:val="clear" w:color="auto" w:fill="auto"/>
          </w:tcPr>
          <w:p w14:paraId="1B8CE6C9"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Brasil</w:t>
            </w:r>
          </w:p>
        </w:tc>
        <w:tc>
          <w:tcPr>
            <w:tcW w:w="662" w:type="dxa"/>
            <w:tcBorders>
              <w:left w:val="single" w:sz="4" w:space="0" w:color="auto"/>
              <w:right w:val="single" w:sz="4" w:space="0" w:color="auto"/>
            </w:tcBorders>
            <w:shd w:val="clear" w:color="auto" w:fill="auto"/>
            <w:vAlign w:val="center"/>
          </w:tcPr>
          <w:p w14:paraId="077E7C8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87</w:t>
            </w:r>
          </w:p>
        </w:tc>
        <w:tc>
          <w:tcPr>
            <w:tcW w:w="709" w:type="dxa"/>
            <w:tcBorders>
              <w:left w:val="single" w:sz="4" w:space="0" w:color="auto"/>
              <w:right w:val="single" w:sz="4" w:space="0" w:color="auto"/>
            </w:tcBorders>
            <w:shd w:val="clear" w:color="auto" w:fill="auto"/>
            <w:vAlign w:val="center"/>
          </w:tcPr>
          <w:p w14:paraId="1A7BC971"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1.8</w:t>
            </w:r>
          </w:p>
        </w:tc>
        <w:tc>
          <w:tcPr>
            <w:tcW w:w="567" w:type="dxa"/>
            <w:tcBorders>
              <w:left w:val="single" w:sz="4" w:space="0" w:color="auto"/>
              <w:right w:val="single" w:sz="4" w:space="0" w:color="auto"/>
            </w:tcBorders>
            <w:shd w:val="clear" w:color="auto" w:fill="auto"/>
            <w:vAlign w:val="center"/>
          </w:tcPr>
          <w:p w14:paraId="19EBC6B3"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w:t>
            </w:r>
          </w:p>
        </w:tc>
      </w:tr>
      <w:tr w:rsidR="00EF4A2D" w:rsidRPr="00EF4A2D" w14:paraId="6C871576" w14:textId="77777777" w:rsidTr="00B9606F">
        <w:trPr>
          <w:jc w:val="center"/>
        </w:trPr>
        <w:tc>
          <w:tcPr>
            <w:tcW w:w="709" w:type="dxa"/>
            <w:tcBorders>
              <w:left w:val="single" w:sz="4" w:space="0" w:color="auto"/>
              <w:right w:val="single" w:sz="4" w:space="0" w:color="auto"/>
            </w:tcBorders>
            <w:shd w:val="clear" w:color="auto" w:fill="auto"/>
            <w:vAlign w:val="bottom"/>
          </w:tcPr>
          <w:p w14:paraId="7DAED362"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18</w:t>
            </w:r>
          </w:p>
        </w:tc>
        <w:tc>
          <w:tcPr>
            <w:tcW w:w="1701" w:type="dxa"/>
            <w:tcBorders>
              <w:left w:val="single" w:sz="4" w:space="0" w:color="auto"/>
              <w:right w:val="single" w:sz="4" w:space="0" w:color="auto"/>
            </w:tcBorders>
            <w:shd w:val="clear" w:color="auto" w:fill="auto"/>
          </w:tcPr>
          <w:p w14:paraId="36F04D97" w14:textId="77777777" w:rsidR="00EF4A2D" w:rsidRPr="00EF4A2D" w:rsidRDefault="00EF4A2D" w:rsidP="004D07F1">
            <w:pPr>
              <w:rPr>
                <w:rFonts w:eastAsia="Calibri"/>
                <w:sz w:val="14"/>
                <w:szCs w:val="14"/>
                <w:lang w:eastAsia="en-US"/>
              </w:rPr>
            </w:pPr>
            <w:r w:rsidRPr="00EF4A2D">
              <w:rPr>
                <w:rFonts w:eastAsia="Calibri"/>
                <w:sz w:val="14"/>
                <w:szCs w:val="14"/>
                <w:lang w:eastAsia="en-US"/>
              </w:rPr>
              <w:t>Canadá</w:t>
            </w:r>
          </w:p>
        </w:tc>
        <w:tc>
          <w:tcPr>
            <w:tcW w:w="709" w:type="dxa"/>
            <w:tcBorders>
              <w:left w:val="single" w:sz="4" w:space="0" w:color="auto"/>
              <w:right w:val="single" w:sz="4" w:space="0" w:color="auto"/>
            </w:tcBorders>
            <w:shd w:val="clear" w:color="auto" w:fill="auto"/>
            <w:vAlign w:val="center"/>
          </w:tcPr>
          <w:p w14:paraId="3BDD5E6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85</w:t>
            </w:r>
          </w:p>
        </w:tc>
        <w:tc>
          <w:tcPr>
            <w:tcW w:w="708" w:type="dxa"/>
            <w:tcBorders>
              <w:left w:val="single" w:sz="4" w:space="0" w:color="auto"/>
              <w:right w:val="single" w:sz="4" w:space="0" w:color="auto"/>
            </w:tcBorders>
            <w:shd w:val="clear" w:color="auto" w:fill="auto"/>
            <w:vAlign w:val="center"/>
          </w:tcPr>
          <w:p w14:paraId="367BEA11"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1.7</w:t>
            </w:r>
          </w:p>
        </w:tc>
        <w:tc>
          <w:tcPr>
            <w:tcW w:w="567" w:type="dxa"/>
            <w:tcBorders>
              <w:left w:val="single" w:sz="4" w:space="0" w:color="auto"/>
              <w:right w:val="single" w:sz="4" w:space="0" w:color="auto"/>
            </w:tcBorders>
            <w:shd w:val="clear" w:color="auto" w:fill="auto"/>
            <w:vAlign w:val="center"/>
          </w:tcPr>
          <w:p w14:paraId="4ACF54A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c>
          <w:tcPr>
            <w:tcW w:w="284" w:type="dxa"/>
            <w:tcBorders>
              <w:left w:val="single" w:sz="4" w:space="0" w:color="auto"/>
              <w:right w:val="single" w:sz="4" w:space="0" w:color="auto"/>
            </w:tcBorders>
            <w:vAlign w:val="center"/>
          </w:tcPr>
          <w:p w14:paraId="0EF0947F"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3E7D7439"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18</w:t>
            </w:r>
          </w:p>
        </w:tc>
        <w:tc>
          <w:tcPr>
            <w:tcW w:w="1606" w:type="dxa"/>
            <w:tcBorders>
              <w:left w:val="single" w:sz="4" w:space="0" w:color="auto"/>
              <w:right w:val="single" w:sz="4" w:space="0" w:color="auto"/>
            </w:tcBorders>
            <w:shd w:val="clear" w:color="auto" w:fill="auto"/>
          </w:tcPr>
          <w:p w14:paraId="6DE08F5D"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 xml:space="preserve">Hong Kong, China </w:t>
            </w:r>
          </w:p>
        </w:tc>
        <w:tc>
          <w:tcPr>
            <w:tcW w:w="662" w:type="dxa"/>
            <w:tcBorders>
              <w:left w:val="single" w:sz="4" w:space="0" w:color="auto"/>
              <w:right w:val="single" w:sz="4" w:space="0" w:color="auto"/>
            </w:tcBorders>
            <w:shd w:val="clear" w:color="auto" w:fill="auto"/>
            <w:vAlign w:val="center"/>
          </w:tcPr>
          <w:p w14:paraId="5AE8C8C3"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78</w:t>
            </w:r>
          </w:p>
        </w:tc>
        <w:tc>
          <w:tcPr>
            <w:tcW w:w="709" w:type="dxa"/>
            <w:tcBorders>
              <w:left w:val="single" w:sz="4" w:space="0" w:color="auto"/>
              <w:right w:val="single" w:sz="4" w:space="0" w:color="auto"/>
            </w:tcBorders>
            <w:shd w:val="clear" w:color="auto" w:fill="auto"/>
            <w:vAlign w:val="center"/>
          </w:tcPr>
          <w:p w14:paraId="2F6AC2E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1.6</w:t>
            </w:r>
          </w:p>
        </w:tc>
        <w:tc>
          <w:tcPr>
            <w:tcW w:w="567" w:type="dxa"/>
            <w:tcBorders>
              <w:left w:val="single" w:sz="4" w:space="0" w:color="auto"/>
              <w:right w:val="single" w:sz="4" w:space="0" w:color="auto"/>
            </w:tcBorders>
            <w:shd w:val="clear" w:color="auto" w:fill="auto"/>
            <w:vAlign w:val="center"/>
          </w:tcPr>
          <w:p w14:paraId="2DC4A8A9"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w:t>
            </w:r>
          </w:p>
        </w:tc>
      </w:tr>
      <w:tr w:rsidR="00EF4A2D" w:rsidRPr="00EF4A2D" w14:paraId="3AD5341F" w14:textId="77777777" w:rsidTr="00B9606F">
        <w:trPr>
          <w:jc w:val="center"/>
        </w:trPr>
        <w:tc>
          <w:tcPr>
            <w:tcW w:w="709" w:type="dxa"/>
            <w:tcBorders>
              <w:left w:val="single" w:sz="4" w:space="0" w:color="auto"/>
              <w:right w:val="single" w:sz="4" w:space="0" w:color="auto"/>
            </w:tcBorders>
            <w:shd w:val="clear" w:color="auto" w:fill="auto"/>
            <w:vAlign w:val="bottom"/>
          </w:tcPr>
          <w:p w14:paraId="154F474E"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19</w:t>
            </w:r>
          </w:p>
        </w:tc>
        <w:tc>
          <w:tcPr>
            <w:tcW w:w="1701" w:type="dxa"/>
            <w:tcBorders>
              <w:left w:val="single" w:sz="4" w:space="0" w:color="auto"/>
              <w:right w:val="single" w:sz="4" w:space="0" w:color="auto"/>
            </w:tcBorders>
            <w:shd w:val="clear" w:color="auto" w:fill="auto"/>
          </w:tcPr>
          <w:p w14:paraId="1D6F437F" w14:textId="77777777" w:rsidR="00EF4A2D" w:rsidRPr="00EF4A2D" w:rsidRDefault="00EF4A2D" w:rsidP="004D07F1">
            <w:pPr>
              <w:rPr>
                <w:rFonts w:eastAsia="Calibri"/>
                <w:sz w:val="14"/>
                <w:szCs w:val="14"/>
                <w:lang w:eastAsia="en-US"/>
              </w:rPr>
            </w:pPr>
            <w:r w:rsidRPr="00EF4A2D">
              <w:rPr>
                <w:rFonts w:eastAsia="Calibri"/>
                <w:sz w:val="14"/>
                <w:szCs w:val="14"/>
                <w:lang w:eastAsia="en-US"/>
              </w:rPr>
              <w:t>Suecia</w:t>
            </w:r>
          </w:p>
        </w:tc>
        <w:tc>
          <w:tcPr>
            <w:tcW w:w="709" w:type="dxa"/>
            <w:tcBorders>
              <w:left w:val="single" w:sz="4" w:space="0" w:color="auto"/>
              <w:right w:val="single" w:sz="4" w:space="0" w:color="auto"/>
            </w:tcBorders>
            <w:shd w:val="clear" w:color="auto" w:fill="auto"/>
            <w:vAlign w:val="center"/>
          </w:tcPr>
          <w:p w14:paraId="507D0F8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75</w:t>
            </w:r>
          </w:p>
        </w:tc>
        <w:tc>
          <w:tcPr>
            <w:tcW w:w="708" w:type="dxa"/>
            <w:tcBorders>
              <w:left w:val="single" w:sz="4" w:space="0" w:color="auto"/>
              <w:right w:val="single" w:sz="4" w:space="0" w:color="auto"/>
            </w:tcBorders>
            <w:shd w:val="clear" w:color="auto" w:fill="auto"/>
            <w:vAlign w:val="center"/>
          </w:tcPr>
          <w:p w14:paraId="68CA0802"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1.5</w:t>
            </w:r>
          </w:p>
        </w:tc>
        <w:tc>
          <w:tcPr>
            <w:tcW w:w="567" w:type="dxa"/>
            <w:tcBorders>
              <w:left w:val="single" w:sz="4" w:space="0" w:color="auto"/>
              <w:right w:val="single" w:sz="4" w:space="0" w:color="auto"/>
            </w:tcBorders>
            <w:shd w:val="clear" w:color="auto" w:fill="auto"/>
            <w:vAlign w:val="center"/>
          </w:tcPr>
          <w:p w14:paraId="29A21DA1"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w:t>
            </w:r>
          </w:p>
        </w:tc>
        <w:tc>
          <w:tcPr>
            <w:tcW w:w="284" w:type="dxa"/>
            <w:tcBorders>
              <w:left w:val="single" w:sz="4" w:space="0" w:color="auto"/>
              <w:right w:val="single" w:sz="4" w:space="0" w:color="auto"/>
            </w:tcBorders>
            <w:vAlign w:val="center"/>
          </w:tcPr>
          <w:p w14:paraId="4B57685A"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734B2DBE"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19</w:t>
            </w:r>
          </w:p>
        </w:tc>
        <w:tc>
          <w:tcPr>
            <w:tcW w:w="1606" w:type="dxa"/>
            <w:tcBorders>
              <w:left w:val="single" w:sz="4" w:space="0" w:color="auto"/>
              <w:right w:val="single" w:sz="4" w:space="0" w:color="auto"/>
            </w:tcBorders>
            <w:shd w:val="clear" w:color="auto" w:fill="auto"/>
          </w:tcPr>
          <w:p w14:paraId="2626C531" w14:textId="30ADC9BA" w:rsidR="00EF4A2D" w:rsidRPr="00EF4A2D" w:rsidRDefault="00EF4A2D" w:rsidP="00EC0263">
            <w:pPr>
              <w:rPr>
                <w:rFonts w:eastAsia="Calibri"/>
                <w:sz w:val="14"/>
                <w:szCs w:val="14"/>
                <w:lang w:eastAsia="en-US"/>
              </w:rPr>
            </w:pPr>
            <w:r w:rsidRPr="00EF4A2D">
              <w:rPr>
                <w:rFonts w:eastAsia="Calibri"/>
                <w:sz w:val="14"/>
                <w:szCs w:val="14"/>
                <w:lang w:eastAsia="en-US"/>
              </w:rPr>
              <w:t>Emiratos</w:t>
            </w:r>
            <w:r w:rsidR="00EC0263">
              <w:rPr>
                <w:rFonts w:eastAsia="Calibri"/>
                <w:sz w:val="14"/>
                <w:szCs w:val="14"/>
                <w:lang w:eastAsia="en-US"/>
              </w:rPr>
              <w:t xml:space="preserve"> </w:t>
            </w:r>
            <w:r w:rsidRPr="00EF4A2D">
              <w:rPr>
                <w:rFonts w:eastAsia="Calibri"/>
                <w:sz w:val="14"/>
                <w:szCs w:val="14"/>
                <w:lang w:eastAsia="en-US"/>
              </w:rPr>
              <w:t xml:space="preserve">Árabes </w:t>
            </w:r>
            <w:proofErr w:type="spellStart"/>
            <w:r w:rsidRPr="00EF4A2D">
              <w:rPr>
                <w:rFonts w:eastAsia="Calibri"/>
                <w:sz w:val="14"/>
                <w:szCs w:val="14"/>
                <w:lang w:eastAsia="en-US"/>
              </w:rPr>
              <w:t>Unidos</w:t>
            </w:r>
            <w:r w:rsidRPr="00EF4A2D">
              <w:rPr>
                <w:rFonts w:eastAsia="Calibri"/>
                <w:sz w:val="14"/>
                <w:szCs w:val="14"/>
                <w:u w:val="single"/>
                <w:vertAlign w:val="superscript"/>
                <w:lang w:eastAsia="en-US"/>
              </w:rPr>
              <w:t>a</w:t>
            </w:r>
            <w:proofErr w:type="spellEnd"/>
            <w:r w:rsidRPr="00EF4A2D">
              <w:rPr>
                <w:rFonts w:eastAsia="Calibri"/>
                <w:sz w:val="14"/>
                <w:szCs w:val="14"/>
                <w:u w:val="single"/>
                <w:vertAlign w:val="superscript"/>
                <w:lang w:eastAsia="en-US"/>
              </w:rPr>
              <w:t>/</w:t>
            </w:r>
            <w:r w:rsidRPr="00EF4A2D">
              <w:rPr>
                <w:rFonts w:eastAsia="Calibri"/>
                <w:sz w:val="14"/>
                <w:szCs w:val="14"/>
                <w:vertAlign w:val="superscript"/>
                <w:lang w:eastAsia="en-US"/>
              </w:rPr>
              <w:t xml:space="preserve"> </w:t>
            </w:r>
            <w:proofErr w:type="spellStart"/>
            <w:r w:rsidRPr="00EF4A2D">
              <w:rPr>
                <w:rFonts w:eastAsia="Calibri"/>
                <w:sz w:val="14"/>
                <w:szCs w:val="14"/>
                <w:u w:val="single"/>
                <w:vertAlign w:val="superscript"/>
                <w:lang w:eastAsia="en-US"/>
              </w:rPr>
              <w:t>b/</w:t>
            </w:r>
            <w:proofErr w:type="spellEnd"/>
          </w:p>
        </w:tc>
        <w:tc>
          <w:tcPr>
            <w:tcW w:w="662" w:type="dxa"/>
            <w:tcBorders>
              <w:left w:val="single" w:sz="4" w:space="0" w:color="auto"/>
              <w:right w:val="single" w:sz="4" w:space="0" w:color="auto"/>
            </w:tcBorders>
            <w:shd w:val="clear" w:color="auto" w:fill="auto"/>
            <w:vAlign w:val="center"/>
          </w:tcPr>
          <w:p w14:paraId="3867A352"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72</w:t>
            </w:r>
          </w:p>
        </w:tc>
        <w:tc>
          <w:tcPr>
            <w:tcW w:w="709" w:type="dxa"/>
            <w:tcBorders>
              <w:left w:val="single" w:sz="4" w:space="0" w:color="auto"/>
              <w:right w:val="single" w:sz="4" w:space="0" w:color="auto"/>
            </w:tcBorders>
            <w:shd w:val="clear" w:color="auto" w:fill="auto"/>
            <w:vAlign w:val="center"/>
          </w:tcPr>
          <w:p w14:paraId="7AF1554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1.5</w:t>
            </w:r>
          </w:p>
        </w:tc>
        <w:tc>
          <w:tcPr>
            <w:tcW w:w="567" w:type="dxa"/>
            <w:tcBorders>
              <w:left w:val="single" w:sz="4" w:space="0" w:color="auto"/>
              <w:right w:val="single" w:sz="4" w:space="0" w:color="auto"/>
            </w:tcBorders>
            <w:shd w:val="clear" w:color="auto" w:fill="auto"/>
            <w:vAlign w:val="center"/>
          </w:tcPr>
          <w:p w14:paraId="17628D5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w:t>
            </w:r>
          </w:p>
        </w:tc>
      </w:tr>
      <w:tr w:rsidR="00EF4A2D" w:rsidRPr="00EF4A2D" w14:paraId="66A91C73" w14:textId="77777777" w:rsidTr="00B9606F">
        <w:trPr>
          <w:jc w:val="center"/>
        </w:trPr>
        <w:tc>
          <w:tcPr>
            <w:tcW w:w="709" w:type="dxa"/>
            <w:tcBorders>
              <w:left w:val="single" w:sz="4" w:space="0" w:color="auto"/>
              <w:right w:val="single" w:sz="4" w:space="0" w:color="auto"/>
            </w:tcBorders>
            <w:shd w:val="clear" w:color="auto" w:fill="auto"/>
            <w:vAlign w:val="bottom"/>
          </w:tcPr>
          <w:p w14:paraId="203D6A39"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20</w:t>
            </w:r>
          </w:p>
        </w:tc>
        <w:tc>
          <w:tcPr>
            <w:tcW w:w="1701" w:type="dxa"/>
            <w:tcBorders>
              <w:left w:val="single" w:sz="4" w:space="0" w:color="auto"/>
              <w:right w:val="single" w:sz="4" w:space="0" w:color="auto"/>
            </w:tcBorders>
            <w:shd w:val="clear" w:color="auto" w:fill="auto"/>
          </w:tcPr>
          <w:p w14:paraId="6F20C1D4" w14:textId="77777777" w:rsidR="00EF4A2D" w:rsidRPr="00EF4A2D" w:rsidRDefault="00EF4A2D" w:rsidP="004D07F1">
            <w:pPr>
              <w:rPr>
                <w:rFonts w:eastAsia="Calibri"/>
                <w:sz w:val="14"/>
                <w:szCs w:val="14"/>
                <w:lang w:eastAsia="en-US"/>
              </w:rPr>
            </w:pPr>
            <w:r w:rsidRPr="00EF4A2D">
              <w:rPr>
                <w:rFonts w:eastAsia="Calibri"/>
                <w:sz w:val="14"/>
                <w:szCs w:val="14"/>
                <w:lang w:eastAsia="en-US"/>
              </w:rPr>
              <w:t>Dinamarca</w:t>
            </w:r>
          </w:p>
        </w:tc>
        <w:tc>
          <w:tcPr>
            <w:tcW w:w="709" w:type="dxa"/>
            <w:tcBorders>
              <w:left w:val="single" w:sz="4" w:space="0" w:color="auto"/>
              <w:right w:val="single" w:sz="4" w:space="0" w:color="auto"/>
            </w:tcBorders>
            <w:shd w:val="clear" w:color="auto" w:fill="auto"/>
            <w:vAlign w:val="center"/>
          </w:tcPr>
          <w:p w14:paraId="56B8D9E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72</w:t>
            </w:r>
          </w:p>
        </w:tc>
        <w:tc>
          <w:tcPr>
            <w:tcW w:w="708" w:type="dxa"/>
            <w:tcBorders>
              <w:left w:val="single" w:sz="4" w:space="0" w:color="auto"/>
              <w:right w:val="single" w:sz="4" w:space="0" w:color="auto"/>
            </w:tcBorders>
            <w:shd w:val="clear" w:color="auto" w:fill="auto"/>
            <w:vAlign w:val="center"/>
          </w:tcPr>
          <w:p w14:paraId="0C8C3E6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1.5</w:t>
            </w:r>
          </w:p>
        </w:tc>
        <w:tc>
          <w:tcPr>
            <w:tcW w:w="567" w:type="dxa"/>
            <w:tcBorders>
              <w:left w:val="single" w:sz="4" w:space="0" w:color="auto"/>
              <w:right w:val="single" w:sz="4" w:space="0" w:color="auto"/>
            </w:tcBorders>
            <w:shd w:val="clear" w:color="auto" w:fill="auto"/>
            <w:vAlign w:val="center"/>
          </w:tcPr>
          <w:p w14:paraId="7B4198F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w:t>
            </w:r>
          </w:p>
        </w:tc>
        <w:tc>
          <w:tcPr>
            <w:tcW w:w="284" w:type="dxa"/>
            <w:tcBorders>
              <w:left w:val="single" w:sz="4" w:space="0" w:color="auto"/>
              <w:right w:val="single" w:sz="4" w:space="0" w:color="auto"/>
            </w:tcBorders>
            <w:vAlign w:val="center"/>
          </w:tcPr>
          <w:p w14:paraId="1E96A030"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138C2489"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20</w:t>
            </w:r>
          </w:p>
        </w:tc>
        <w:tc>
          <w:tcPr>
            <w:tcW w:w="1606" w:type="dxa"/>
            <w:tcBorders>
              <w:left w:val="single" w:sz="4" w:space="0" w:color="auto"/>
              <w:right w:val="single" w:sz="4" w:space="0" w:color="auto"/>
            </w:tcBorders>
            <w:shd w:val="clear" w:color="auto" w:fill="auto"/>
          </w:tcPr>
          <w:p w14:paraId="0262601C"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España</w:t>
            </w:r>
          </w:p>
        </w:tc>
        <w:tc>
          <w:tcPr>
            <w:tcW w:w="662" w:type="dxa"/>
            <w:tcBorders>
              <w:left w:val="single" w:sz="4" w:space="0" w:color="auto"/>
              <w:right w:val="single" w:sz="4" w:space="0" w:color="auto"/>
            </w:tcBorders>
            <w:shd w:val="clear" w:color="auto" w:fill="auto"/>
            <w:vAlign w:val="center"/>
          </w:tcPr>
          <w:p w14:paraId="130DB87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72</w:t>
            </w:r>
          </w:p>
        </w:tc>
        <w:tc>
          <w:tcPr>
            <w:tcW w:w="709" w:type="dxa"/>
            <w:tcBorders>
              <w:left w:val="single" w:sz="4" w:space="0" w:color="auto"/>
              <w:right w:val="single" w:sz="4" w:space="0" w:color="auto"/>
            </w:tcBorders>
            <w:shd w:val="clear" w:color="auto" w:fill="auto"/>
            <w:vAlign w:val="center"/>
          </w:tcPr>
          <w:p w14:paraId="106A59B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1.5</w:t>
            </w:r>
          </w:p>
        </w:tc>
        <w:tc>
          <w:tcPr>
            <w:tcW w:w="567" w:type="dxa"/>
            <w:tcBorders>
              <w:left w:val="single" w:sz="4" w:space="0" w:color="auto"/>
              <w:right w:val="single" w:sz="4" w:space="0" w:color="auto"/>
            </w:tcBorders>
            <w:shd w:val="clear" w:color="auto" w:fill="auto"/>
            <w:vAlign w:val="center"/>
          </w:tcPr>
          <w:p w14:paraId="5B019474"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w:t>
            </w:r>
          </w:p>
        </w:tc>
      </w:tr>
      <w:tr w:rsidR="00EF4A2D" w:rsidRPr="00EF4A2D" w14:paraId="073A9124" w14:textId="77777777" w:rsidTr="00B9606F">
        <w:trPr>
          <w:jc w:val="center"/>
        </w:trPr>
        <w:tc>
          <w:tcPr>
            <w:tcW w:w="709" w:type="dxa"/>
            <w:tcBorders>
              <w:left w:val="single" w:sz="4" w:space="0" w:color="auto"/>
              <w:right w:val="single" w:sz="4" w:space="0" w:color="auto"/>
            </w:tcBorders>
            <w:shd w:val="clear" w:color="auto" w:fill="auto"/>
            <w:vAlign w:val="bottom"/>
          </w:tcPr>
          <w:p w14:paraId="00B560B7"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21</w:t>
            </w:r>
          </w:p>
        </w:tc>
        <w:tc>
          <w:tcPr>
            <w:tcW w:w="1701" w:type="dxa"/>
            <w:tcBorders>
              <w:left w:val="single" w:sz="4" w:space="0" w:color="auto"/>
              <w:right w:val="single" w:sz="4" w:space="0" w:color="auto"/>
            </w:tcBorders>
            <w:shd w:val="clear" w:color="auto" w:fill="auto"/>
          </w:tcPr>
          <w:p w14:paraId="494C0666" w14:textId="77777777" w:rsidR="00EF4A2D" w:rsidRPr="00EF4A2D" w:rsidRDefault="00EF4A2D" w:rsidP="004D07F1">
            <w:pPr>
              <w:rPr>
                <w:rFonts w:eastAsia="Calibri"/>
                <w:sz w:val="14"/>
                <w:szCs w:val="14"/>
                <w:lang w:eastAsia="en-US"/>
              </w:rPr>
            </w:pPr>
            <w:r w:rsidRPr="00EF4A2D">
              <w:rPr>
                <w:rFonts w:eastAsia="Calibri"/>
                <w:sz w:val="14"/>
                <w:szCs w:val="14"/>
                <w:lang w:eastAsia="en-US"/>
              </w:rPr>
              <w:t>Federación de Rusia</w:t>
            </w:r>
          </w:p>
        </w:tc>
        <w:tc>
          <w:tcPr>
            <w:tcW w:w="709" w:type="dxa"/>
            <w:tcBorders>
              <w:left w:val="single" w:sz="4" w:space="0" w:color="auto"/>
              <w:right w:val="single" w:sz="4" w:space="0" w:color="auto"/>
            </w:tcBorders>
            <w:shd w:val="clear" w:color="auto" w:fill="auto"/>
            <w:vAlign w:val="center"/>
          </w:tcPr>
          <w:p w14:paraId="049E608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66</w:t>
            </w:r>
          </w:p>
        </w:tc>
        <w:tc>
          <w:tcPr>
            <w:tcW w:w="708" w:type="dxa"/>
            <w:tcBorders>
              <w:left w:val="single" w:sz="4" w:space="0" w:color="auto"/>
              <w:right w:val="single" w:sz="4" w:space="0" w:color="auto"/>
            </w:tcBorders>
            <w:shd w:val="clear" w:color="auto" w:fill="auto"/>
            <w:vAlign w:val="center"/>
          </w:tcPr>
          <w:p w14:paraId="4AEB034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1.4</w:t>
            </w:r>
          </w:p>
        </w:tc>
        <w:tc>
          <w:tcPr>
            <w:tcW w:w="567" w:type="dxa"/>
            <w:tcBorders>
              <w:left w:val="single" w:sz="4" w:space="0" w:color="auto"/>
              <w:right w:val="single" w:sz="4" w:space="0" w:color="auto"/>
            </w:tcBorders>
            <w:shd w:val="clear" w:color="auto" w:fill="auto"/>
            <w:vAlign w:val="center"/>
          </w:tcPr>
          <w:p w14:paraId="34EA610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w:t>
            </w:r>
          </w:p>
        </w:tc>
        <w:tc>
          <w:tcPr>
            <w:tcW w:w="284" w:type="dxa"/>
            <w:tcBorders>
              <w:left w:val="single" w:sz="4" w:space="0" w:color="auto"/>
              <w:right w:val="single" w:sz="4" w:space="0" w:color="auto"/>
            </w:tcBorders>
            <w:vAlign w:val="center"/>
          </w:tcPr>
          <w:p w14:paraId="1E997BBA"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012C3FCD"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21</w:t>
            </w:r>
          </w:p>
        </w:tc>
        <w:tc>
          <w:tcPr>
            <w:tcW w:w="1606" w:type="dxa"/>
            <w:tcBorders>
              <w:left w:val="single" w:sz="4" w:space="0" w:color="auto"/>
              <w:right w:val="single" w:sz="4" w:space="0" w:color="auto"/>
            </w:tcBorders>
            <w:shd w:val="clear" w:color="auto" w:fill="auto"/>
          </w:tcPr>
          <w:p w14:paraId="19985BEA"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 xml:space="preserve">Luxemburgo </w:t>
            </w:r>
          </w:p>
        </w:tc>
        <w:tc>
          <w:tcPr>
            <w:tcW w:w="662" w:type="dxa"/>
            <w:tcBorders>
              <w:left w:val="single" w:sz="4" w:space="0" w:color="auto"/>
              <w:right w:val="single" w:sz="4" w:space="0" w:color="auto"/>
            </w:tcBorders>
            <w:shd w:val="clear" w:color="auto" w:fill="auto"/>
            <w:vAlign w:val="center"/>
          </w:tcPr>
          <w:p w14:paraId="050ADB9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67</w:t>
            </w:r>
          </w:p>
        </w:tc>
        <w:tc>
          <w:tcPr>
            <w:tcW w:w="709" w:type="dxa"/>
            <w:tcBorders>
              <w:left w:val="single" w:sz="4" w:space="0" w:color="auto"/>
              <w:right w:val="single" w:sz="4" w:space="0" w:color="auto"/>
            </w:tcBorders>
            <w:shd w:val="clear" w:color="auto" w:fill="auto"/>
            <w:vAlign w:val="center"/>
          </w:tcPr>
          <w:p w14:paraId="0C968B42"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1.4</w:t>
            </w:r>
          </w:p>
        </w:tc>
        <w:tc>
          <w:tcPr>
            <w:tcW w:w="567" w:type="dxa"/>
            <w:tcBorders>
              <w:left w:val="single" w:sz="4" w:space="0" w:color="auto"/>
              <w:right w:val="single" w:sz="4" w:space="0" w:color="auto"/>
            </w:tcBorders>
            <w:shd w:val="clear" w:color="auto" w:fill="auto"/>
            <w:vAlign w:val="center"/>
          </w:tcPr>
          <w:p w14:paraId="06690D94"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13</w:t>
            </w:r>
          </w:p>
        </w:tc>
      </w:tr>
      <w:tr w:rsidR="00EF4A2D" w:rsidRPr="00EF4A2D" w14:paraId="4D28BBFD" w14:textId="77777777" w:rsidTr="00B9606F">
        <w:trPr>
          <w:jc w:val="center"/>
        </w:trPr>
        <w:tc>
          <w:tcPr>
            <w:tcW w:w="709" w:type="dxa"/>
            <w:tcBorders>
              <w:left w:val="single" w:sz="4" w:space="0" w:color="auto"/>
              <w:right w:val="single" w:sz="4" w:space="0" w:color="auto"/>
            </w:tcBorders>
            <w:shd w:val="clear" w:color="auto" w:fill="auto"/>
            <w:vAlign w:val="bottom"/>
          </w:tcPr>
          <w:p w14:paraId="6CDECDE8"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22</w:t>
            </w:r>
          </w:p>
        </w:tc>
        <w:tc>
          <w:tcPr>
            <w:tcW w:w="1701" w:type="dxa"/>
            <w:tcBorders>
              <w:left w:val="single" w:sz="4" w:space="0" w:color="auto"/>
              <w:right w:val="single" w:sz="4" w:space="0" w:color="auto"/>
            </w:tcBorders>
            <w:shd w:val="clear" w:color="auto" w:fill="auto"/>
          </w:tcPr>
          <w:p w14:paraId="3A8E2BD7" w14:textId="77777777" w:rsidR="00EF4A2D" w:rsidRPr="00EF4A2D" w:rsidRDefault="00EF4A2D" w:rsidP="004D07F1">
            <w:pPr>
              <w:rPr>
                <w:rFonts w:eastAsia="Calibri"/>
                <w:sz w:val="14"/>
                <w:szCs w:val="14"/>
                <w:lang w:eastAsia="en-US"/>
              </w:rPr>
            </w:pPr>
            <w:r w:rsidRPr="00EF4A2D">
              <w:rPr>
                <w:rFonts w:eastAsia="Calibri"/>
                <w:sz w:val="14"/>
                <w:szCs w:val="14"/>
                <w:lang w:eastAsia="en-US"/>
              </w:rPr>
              <w:t>Austria</w:t>
            </w:r>
          </w:p>
        </w:tc>
        <w:tc>
          <w:tcPr>
            <w:tcW w:w="709" w:type="dxa"/>
            <w:tcBorders>
              <w:left w:val="single" w:sz="4" w:space="0" w:color="auto"/>
              <w:right w:val="single" w:sz="4" w:space="0" w:color="auto"/>
            </w:tcBorders>
            <w:shd w:val="clear" w:color="auto" w:fill="auto"/>
            <w:vAlign w:val="center"/>
          </w:tcPr>
          <w:p w14:paraId="7B349E3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65</w:t>
            </w:r>
          </w:p>
        </w:tc>
        <w:tc>
          <w:tcPr>
            <w:tcW w:w="708" w:type="dxa"/>
            <w:tcBorders>
              <w:left w:val="single" w:sz="4" w:space="0" w:color="auto"/>
              <w:right w:val="single" w:sz="4" w:space="0" w:color="auto"/>
            </w:tcBorders>
            <w:shd w:val="clear" w:color="auto" w:fill="auto"/>
            <w:vAlign w:val="center"/>
          </w:tcPr>
          <w:p w14:paraId="2CA665E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1.3</w:t>
            </w:r>
          </w:p>
        </w:tc>
        <w:tc>
          <w:tcPr>
            <w:tcW w:w="567" w:type="dxa"/>
            <w:tcBorders>
              <w:left w:val="single" w:sz="4" w:space="0" w:color="auto"/>
              <w:right w:val="single" w:sz="4" w:space="0" w:color="auto"/>
            </w:tcBorders>
            <w:shd w:val="clear" w:color="auto" w:fill="auto"/>
            <w:vAlign w:val="center"/>
          </w:tcPr>
          <w:p w14:paraId="06A0BC3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w:t>
            </w:r>
          </w:p>
        </w:tc>
        <w:tc>
          <w:tcPr>
            <w:tcW w:w="284" w:type="dxa"/>
            <w:tcBorders>
              <w:left w:val="single" w:sz="4" w:space="0" w:color="auto"/>
              <w:right w:val="single" w:sz="4" w:space="0" w:color="auto"/>
            </w:tcBorders>
            <w:vAlign w:val="center"/>
          </w:tcPr>
          <w:p w14:paraId="5F616DA2"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37B7D005"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22</w:t>
            </w:r>
          </w:p>
        </w:tc>
        <w:tc>
          <w:tcPr>
            <w:tcW w:w="1606" w:type="dxa"/>
            <w:tcBorders>
              <w:left w:val="single" w:sz="4" w:space="0" w:color="auto"/>
              <w:right w:val="single" w:sz="4" w:space="0" w:color="auto"/>
            </w:tcBorders>
            <w:shd w:val="clear" w:color="auto" w:fill="auto"/>
          </w:tcPr>
          <w:p w14:paraId="21B42670"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Suecia</w:t>
            </w:r>
          </w:p>
        </w:tc>
        <w:tc>
          <w:tcPr>
            <w:tcW w:w="662" w:type="dxa"/>
            <w:tcBorders>
              <w:left w:val="single" w:sz="4" w:space="0" w:color="auto"/>
              <w:right w:val="single" w:sz="4" w:space="0" w:color="auto"/>
            </w:tcBorders>
            <w:shd w:val="clear" w:color="auto" w:fill="auto"/>
            <w:vAlign w:val="center"/>
          </w:tcPr>
          <w:p w14:paraId="17334944"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65</w:t>
            </w:r>
          </w:p>
        </w:tc>
        <w:tc>
          <w:tcPr>
            <w:tcW w:w="709" w:type="dxa"/>
            <w:tcBorders>
              <w:left w:val="single" w:sz="4" w:space="0" w:color="auto"/>
              <w:right w:val="single" w:sz="4" w:space="0" w:color="auto"/>
            </w:tcBorders>
            <w:shd w:val="clear" w:color="auto" w:fill="auto"/>
            <w:vAlign w:val="center"/>
          </w:tcPr>
          <w:p w14:paraId="258E807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1.4</w:t>
            </w:r>
          </w:p>
        </w:tc>
        <w:tc>
          <w:tcPr>
            <w:tcW w:w="567" w:type="dxa"/>
            <w:tcBorders>
              <w:left w:val="single" w:sz="4" w:space="0" w:color="auto"/>
              <w:right w:val="single" w:sz="4" w:space="0" w:color="auto"/>
            </w:tcBorders>
            <w:shd w:val="clear" w:color="auto" w:fill="auto"/>
            <w:vAlign w:val="center"/>
          </w:tcPr>
          <w:p w14:paraId="66E3D329"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8</w:t>
            </w:r>
          </w:p>
        </w:tc>
      </w:tr>
      <w:tr w:rsidR="00EF4A2D" w:rsidRPr="00EF4A2D" w14:paraId="7DD88D51" w14:textId="77777777" w:rsidTr="00B9606F">
        <w:trPr>
          <w:jc w:val="center"/>
        </w:trPr>
        <w:tc>
          <w:tcPr>
            <w:tcW w:w="709" w:type="dxa"/>
            <w:tcBorders>
              <w:left w:val="single" w:sz="4" w:space="0" w:color="auto"/>
              <w:right w:val="single" w:sz="4" w:space="0" w:color="auto"/>
            </w:tcBorders>
            <w:shd w:val="clear" w:color="auto" w:fill="auto"/>
            <w:vAlign w:val="bottom"/>
          </w:tcPr>
          <w:p w14:paraId="2EC0A88F"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23</w:t>
            </w:r>
          </w:p>
        </w:tc>
        <w:tc>
          <w:tcPr>
            <w:tcW w:w="1701" w:type="dxa"/>
            <w:tcBorders>
              <w:left w:val="single" w:sz="4" w:space="0" w:color="auto"/>
              <w:right w:val="single" w:sz="4" w:space="0" w:color="auto"/>
            </w:tcBorders>
            <w:shd w:val="clear" w:color="auto" w:fill="auto"/>
          </w:tcPr>
          <w:p w14:paraId="300F5303" w14:textId="77777777" w:rsidR="00EF4A2D" w:rsidRPr="00EF4A2D" w:rsidRDefault="00EF4A2D" w:rsidP="004D07F1">
            <w:pPr>
              <w:rPr>
                <w:rFonts w:eastAsia="Calibri"/>
                <w:sz w:val="14"/>
                <w:szCs w:val="14"/>
                <w:lang w:eastAsia="en-US"/>
              </w:rPr>
            </w:pPr>
            <w:proofErr w:type="spellStart"/>
            <w:r w:rsidRPr="00EF4A2D">
              <w:rPr>
                <w:rFonts w:eastAsia="Calibri"/>
                <w:sz w:val="14"/>
                <w:szCs w:val="14"/>
                <w:lang w:eastAsia="en-US"/>
              </w:rPr>
              <w:t>Taipei</w:t>
            </w:r>
            <w:proofErr w:type="spellEnd"/>
            <w:r w:rsidRPr="00EF4A2D">
              <w:rPr>
                <w:rFonts w:eastAsia="Calibri"/>
                <w:sz w:val="14"/>
                <w:szCs w:val="14"/>
                <w:lang w:eastAsia="en-US"/>
              </w:rPr>
              <w:t xml:space="preserve"> </w:t>
            </w:r>
            <w:proofErr w:type="spellStart"/>
            <w:r w:rsidRPr="00EF4A2D">
              <w:rPr>
                <w:rFonts w:eastAsia="Calibri"/>
                <w:sz w:val="14"/>
                <w:szCs w:val="14"/>
                <w:lang w:eastAsia="en-US"/>
              </w:rPr>
              <w:t>Chino</w:t>
            </w:r>
            <w:r w:rsidRPr="00EF4A2D">
              <w:rPr>
                <w:rFonts w:eastAsia="Calibri"/>
                <w:sz w:val="14"/>
                <w:szCs w:val="14"/>
                <w:u w:val="single"/>
                <w:vertAlign w:val="superscript"/>
                <w:lang w:eastAsia="en-US"/>
              </w:rPr>
              <w:t>a</w:t>
            </w:r>
            <w:proofErr w:type="spellEnd"/>
            <w:r w:rsidRPr="00EF4A2D">
              <w:rPr>
                <w:rFonts w:eastAsia="Calibri"/>
                <w:sz w:val="14"/>
                <w:szCs w:val="14"/>
                <w:vertAlign w:val="superscript"/>
                <w:lang w:eastAsia="en-US"/>
              </w:rPr>
              <w:t>/</w:t>
            </w:r>
          </w:p>
        </w:tc>
        <w:tc>
          <w:tcPr>
            <w:tcW w:w="709" w:type="dxa"/>
            <w:tcBorders>
              <w:left w:val="single" w:sz="4" w:space="0" w:color="auto"/>
              <w:right w:val="single" w:sz="4" w:space="0" w:color="auto"/>
            </w:tcBorders>
            <w:shd w:val="clear" w:color="auto" w:fill="auto"/>
            <w:vAlign w:val="center"/>
          </w:tcPr>
          <w:p w14:paraId="56F0647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57</w:t>
            </w:r>
          </w:p>
        </w:tc>
        <w:tc>
          <w:tcPr>
            <w:tcW w:w="708" w:type="dxa"/>
            <w:tcBorders>
              <w:left w:val="single" w:sz="4" w:space="0" w:color="auto"/>
              <w:right w:val="single" w:sz="4" w:space="0" w:color="auto"/>
            </w:tcBorders>
            <w:shd w:val="clear" w:color="auto" w:fill="auto"/>
            <w:vAlign w:val="center"/>
          </w:tcPr>
          <w:p w14:paraId="5F4C1DC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1.2</w:t>
            </w:r>
          </w:p>
        </w:tc>
        <w:tc>
          <w:tcPr>
            <w:tcW w:w="567" w:type="dxa"/>
            <w:tcBorders>
              <w:left w:val="single" w:sz="4" w:space="0" w:color="auto"/>
              <w:right w:val="single" w:sz="4" w:space="0" w:color="auto"/>
            </w:tcBorders>
            <w:shd w:val="clear" w:color="auto" w:fill="auto"/>
            <w:vAlign w:val="center"/>
          </w:tcPr>
          <w:p w14:paraId="061F134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12</w:t>
            </w:r>
          </w:p>
        </w:tc>
        <w:tc>
          <w:tcPr>
            <w:tcW w:w="284" w:type="dxa"/>
            <w:tcBorders>
              <w:left w:val="single" w:sz="4" w:space="0" w:color="auto"/>
              <w:right w:val="single" w:sz="4" w:space="0" w:color="auto"/>
            </w:tcBorders>
            <w:vAlign w:val="center"/>
          </w:tcPr>
          <w:p w14:paraId="7132E57A"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489A67FD"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23</w:t>
            </w:r>
          </w:p>
        </w:tc>
        <w:tc>
          <w:tcPr>
            <w:tcW w:w="1606" w:type="dxa"/>
            <w:tcBorders>
              <w:left w:val="single" w:sz="4" w:space="0" w:color="auto"/>
              <w:right w:val="single" w:sz="4" w:space="0" w:color="auto"/>
            </w:tcBorders>
            <w:shd w:val="clear" w:color="auto" w:fill="auto"/>
          </w:tcPr>
          <w:p w14:paraId="669439B0"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 xml:space="preserve">Dinamarca </w:t>
            </w:r>
          </w:p>
        </w:tc>
        <w:tc>
          <w:tcPr>
            <w:tcW w:w="662" w:type="dxa"/>
            <w:tcBorders>
              <w:left w:val="single" w:sz="4" w:space="0" w:color="auto"/>
              <w:right w:val="single" w:sz="4" w:space="0" w:color="auto"/>
            </w:tcBorders>
            <w:shd w:val="clear" w:color="auto" w:fill="auto"/>
            <w:vAlign w:val="center"/>
          </w:tcPr>
          <w:p w14:paraId="5F75FA8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64</w:t>
            </w:r>
          </w:p>
        </w:tc>
        <w:tc>
          <w:tcPr>
            <w:tcW w:w="709" w:type="dxa"/>
            <w:tcBorders>
              <w:left w:val="single" w:sz="4" w:space="0" w:color="auto"/>
              <w:right w:val="single" w:sz="4" w:space="0" w:color="auto"/>
            </w:tcBorders>
            <w:shd w:val="clear" w:color="auto" w:fill="auto"/>
            <w:vAlign w:val="center"/>
          </w:tcPr>
          <w:p w14:paraId="4C1965A9"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1.3</w:t>
            </w:r>
          </w:p>
        </w:tc>
        <w:tc>
          <w:tcPr>
            <w:tcW w:w="567" w:type="dxa"/>
            <w:tcBorders>
              <w:left w:val="single" w:sz="4" w:space="0" w:color="auto"/>
              <w:right w:val="single" w:sz="4" w:space="0" w:color="auto"/>
            </w:tcBorders>
            <w:shd w:val="clear" w:color="auto" w:fill="auto"/>
            <w:vAlign w:val="center"/>
          </w:tcPr>
          <w:p w14:paraId="055DE2F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w:t>
            </w:r>
          </w:p>
        </w:tc>
      </w:tr>
      <w:tr w:rsidR="00EF4A2D" w:rsidRPr="00EF4A2D" w14:paraId="407FC1FA" w14:textId="77777777" w:rsidTr="00B9606F">
        <w:trPr>
          <w:jc w:val="center"/>
        </w:trPr>
        <w:tc>
          <w:tcPr>
            <w:tcW w:w="709" w:type="dxa"/>
            <w:tcBorders>
              <w:left w:val="single" w:sz="4" w:space="0" w:color="auto"/>
              <w:right w:val="single" w:sz="4" w:space="0" w:color="auto"/>
            </w:tcBorders>
            <w:shd w:val="clear" w:color="auto" w:fill="auto"/>
            <w:vAlign w:val="bottom"/>
          </w:tcPr>
          <w:p w14:paraId="77B26518"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24</w:t>
            </w:r>
          </w:p>
        </w:tc>
        <w:tc>
          <w:tcPr>
            <w:tcW w:w="1701" w:type="dxa"/>
            <w:tcBorders>
              <w:left w:val="single" w:sz="4" w:space="0" w:color="auto"/>
              <w:right w:val="single" w:sz="4" w:space="0" w:color="auto"/>
            </w:tcBorders>
            <w:shd w:val="clear" w:color="auto" w:fill="auto"/>
          </w:tcPr>
          <w:p w14:paraId="11DD2F8D" w14:textId="77777777" w:rsidR="00EF4A2D" w:rsidRPr="00EF4A2D" w:rsidRDefault="00EF4A2D" w:rsidP="004D07F1">
            <w:pPr>
              <w:rPr>
                <w:rFonts w:eastAsia="Calibri"/>
                <w:sz w:val="14"/>
                <w:szCs w:val="14"/>
                <w:lang w:eastAsia="en-US"/>
              </w:rPr>
            </w:pPr>
            <w:r w:rsidRPr="00EF4A2D">
              <w:rPr>
                <w:rFonts w:eastAsia="Calibri"/>
                <w:sz w:val="14"/>
                <w:szCs w:val="14"/>
                <w:lang w:eastAsia="en-US"/>
              </w:rPr>
              <w:t>Tailandia</w:t>
            </w:r>
          </w:p>
        </w:tc>
        <w:tc>
          <w:tcPr>
            <w:tcW w:w="709" w:type="dxa"/>
            <w:tcBorders>
              <w:left w:val="single" w:sz="4" w:space="0" w:color="auto"/>
              <w:right w:val="single" w:sz="4" w:space="0" w:color="auto"/>
            </w:tcBorders>
            <w:shd w:val="clear" w:color="auto" w:fill="auto"/>
            <w:vAlign w:val="center"/>
          </w:tcPr>
          <w:p w14:paraId="6D75E20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55</w:t>
            </w:r>
          </w:p>
        </w:tc>
        <w:tc>
          <w:tcPr>
            <w:tcW w:w="708" w:type="dxa"/>
            <w:tcBorders>
              <w:left w:val="single" w:sz="4" w:space="0" w:color="auto"/>
              <w:right w:val="single" w:sz="4" w:space="0" w:color="auto"/>
            </w:tcBorders>
            <w:shd w:val="clear" w:color="auto" w:fill="auto"/>
            <w:vAlign w:val="center"/>
          </w:tcPr>
          <w:p w14:paraId="5E6C198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w:t>
            </w:r>
          </w:p>
        </w:tc>
        <w:tc>
          <w:tcPr>
            <w:tcW w:w="567" w:type="dxa"/>
            <w:tcBorders>
              <w:left w:val="single" w:sz="4" w:space="0" w:color="auto"/>
              <w:right w:val="single" w:sz="4" w:space="0" w:color="auto"/>
            </w:tcBorders>
            <w:shd w:val="clear" w:color="auto" w:fill="auto"/>
            <w:vAlign w:val="center"/>
          </w:tcPr>
          <w:p w14:paraId="741C2FE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w:t>
            </w:r>
          </w:p>
        </w:tc>
        <w:tc>
          <w:tcPr>
            <w:tcW w:w="284" w:type="dxa"/>
            <w:tcBorders>
              <w:left w:val="single" w:sz="4" w:space="0" w:color="auto"/>
              <w:right w:val="single" w:sz="4" w:space="0" w:color="auto"/>
            </w:tcBorders>
            <w:vAlign w:val="center"/>
          </w:tcPr>
          <w:p w14:paraId="78658A6D"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6A7C60B8"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24</w:t>
            </w:r>
          </w:p>
        </w:tc>
        <w:tc>
          <w:tcPr>
            <w:tcW w:w="1606" w:type="dxa"/>
            <w:tcBorders>
              <w:left w:val="single" w:sz="4" w:space="0" w:color="auto"/>
              <w:right w:val="single" w:sz="4" w:space="0" w:color="auto"/>
            </w:tcBorders>
            <w:shd w:val="clear" w:color="auto" w:fill="auto"/>
          </w:tcPr>
          <w:p w14:paraId="40976D0D"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 xml:space="preserve">Australia </w:t>
            </w:r>
          </w:p>
        </w:tc>
        <w:tc>
          <w:tcPr>
            <w:tcW w:w="662" w:type="dxa"/>
            <w:tcBorders>
              <w:left w:val="single" w:sz="4" w:space="0" w:color="auto"/>
              <w:right w:val="single" w:sz="4" w:space="0" w:color="auto"/>
            </w:tcBorders>
            <w:shd w:val="clear" w:color="auto" w:fill="auto"/>
            <w:vAlign w:val="center"/>
          </w:tcPr>
          <w:p w14:paraId="0C3F6F61"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62</w:t>
            </w:r>
          </w:p>
        </w:tc>
        <w:tc>
          <w:tcPr>
            <w:tcW w:w="709" w:type="dxa"/>
            <w:tcBorders>
              <w:left w:val="single" w:sz="4" w:space="0" w:color="auto"/>
              <w:right w:val="single" w:sz="4" w:space="0" w:color="auto"/>
            </w:tcBorders>
            <w:shd w:val="clear" w:color="auto" w:fill="auto"/>
            <w:vAlign w:val="center"/>
          </w:tcPr>
          <w:p w14:paraId="78A0A60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1.3</w:t>
            </w:r>
          </w:p>
        </w:tc>
        <w:tc>
          <w:tcPr>
            <w:tcW w:w="567" w:type="dxa"/>
            <w:tcBorders>
              <w:left w:val="single" w:sz="4" w:space="0" w:color="auto"/>
              <w:right w:val="single" w:sz="4" w:space="0" w:color="auto"/>
            </w:tcBorders>
            <w:shd w:val="clear" w:color="auto" w:fill="auto"/>
            <w:vAlign w:val="center"/>
          </w:tcPr>
          <w:p w14:paraId="460ECA9D"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-7</w:t>
            </w:r>
          </w:p>
        </w:tc>
      </w:tr>
      <w:tr w:rsidR="00EF4A2D" w:rsidRPr="00EF4A2D" w14:paraId="1AFCBBF9" w14:textId="77777777" w:rsidTr="00B9606F">
        <w:trPr>
          <w:jc w:val="center"/>
        </w:trPr>
        <w:tc>
          <w:tcPr>
            <w:tcW w:w="709" w:type="dxa"/>
            <w:tcBorders>
              <w:left w:val="single" w:sz="4" w:space="0" w:color="auto"/>
              <w:right w:val="single" w:sz="4" w:space="0" w:color="auto"/>
            </w:tcBorders>
            <w:shd w:val="clear" w:color="auto" w:fill="auto"/>
            <w:vAlign w:val="bottom"/>
          </w:tcPr>
          <w:p w14:paraId="00415E9A"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25</w:t>
            </w:r>
          </w:p>
        </w:tc>
        <w:tc>
          <w:tcPr>
            <w:tcW w:w="1701" w:type="dxa"/>
            <w:tcBorders>
              <w:left w:val="single" w:sz="4" w:space="0" w:color="auto"/>
              <w:right w:val="single" w:sz="4" w:space="0" w:color="auto"/>
            </w:tcBorders>
            <w:shd w:val="clear" w:color="auto" w:fill="auto"/>
          </w:tcPr>
          <w:p w14:paraId="66D6F80F" w14:textId="77777777" w:rsidR="00EF4A2D" w:rsidRPr="00EF4A2D" w:rsidRDefault="00EF4A2D" w:rsidP="004D07F1">
            <w:pPr>
              <w:rPr>
                <w:rFonts w:eastAsia="Calibri"/>
                <w:sz w:val="14"/>
                <w:szCs w:val="14"/>
                <w:lang w:eastAsia="en-US"/>
              </w:rPr>
            </w:pPr>
            <w:r w:rsidRPr="00EF4A2D">
              <w:rPr>
                <w:rFonts w:eastAsia="Calibri"/>
                <w:sz w:val="14"/>
                <w:szCs w:val="14"/>
                <w:lang w:eastAsia="en-US"/>
              </w:rPr>
              <w:t>Macao, China</w:t>
            </w:r>
          </w:p>
        </w:tc>
        <w:tc>
          <w:tcPr>
            <w:tcW w:w="709" w:type="dxa"/>
            <w:tcBorders>
              <w:left w:val="single" w:sz="4" w:space="0" w:color="auto"/>
              <w:right w:val="single" w:sz="4" w:space="0" w:color="auto"/>
            </w:tcBorders>
            <w:shd w:val="clear" w:color="auto" w:fill="auto"/>
            <w:vAlign w:val="center"/>
          </w:tcPr>
          <w:p w14:paraId="5FF7478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53</w:t>
            </w:r>
          </w:p>
        </w:tc>
        <w:tc>
          <w:tcPr>
            <w:tcW w:w="708" w:type="dxa"/>
            <w:tcBorders>
              <w:left w:val="single" w:sz="4" w:space="0" w:color="auto"/>
              <w:right w:val="single" w:sz="4" w:space="0" w:color="auto"/>
            </w:tcBorders>
            <w:shd w:val="clear" w:color="auto" w:fill="auto"/>
            <w:vAlign w:val="center"/>
          </w:tcPr>
          <w:p w14:paraId="2C807D8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w:t>
            </w:r>
          </w:p>
        </w:tc>
        <w:tc>
          <w:tcPr>
            <w:tcW w:w="567" w:type="dxa"/>
            <w:tcBorders>
              <w:left w:val="single" w:sz="4" w:space="0" w:color="auto"/>
              <w:right w:val="single" w:sz="4" w:space="0" w:color="auto"/>
            </w:tcBorders>
            <w:shd w:val="clear" w:color="auto" w:fill="auto"/>
            <w:vAlign w:val="center"/>
          </w:tcPr>
          <w:p w14:paraId="585CA2A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w:t>
            </w:r>
          </w:p>
        </w:tc>
        <w:tc>
          <w:tcPr>
            <w:tcW w:w="284" w:type="dxa"/>
            <w:tcBorders>
              <w:left w:val="single" w:sz="4" w:space="0" w:color="auto"/>
              <w:right w:val="single" w:sz="4" w:space="0" w:color="auto"/>
            </w:tcBorders>
            <w:vAlign w:val="center"/>
          </w:tcPr>
          <w:p w14:paraId="74D97946"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560E55A2"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25</w:t>
            </w:r>
          </w:p>
        </w:tc>
        <w:tc>
          <w:tcPr>
            <w:tcW w:w="1606" w:type="dxa"/>
            <w:tcBorders>
              <w:left w:val="single" w:sz="4" w:space="0" w:color="auto"/>
              <w:right w:val="single" w:sz="4" w:space="0" w:color="auto"/>
            </w:tcBorders>
            <w:shd w:val="clear" w:color="auto" w:fill="auto"/>
          </w:tcPr>
          <w:p w14:paraId="7EF81492"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Arabia Saudita, reino de la</w:t>
            </w:r>
          </w:p>
        </w:tc>
        <w:tc>
          <w:tcPr>
            <w:tcW w:w="662" w:type="dxa"/>
            <w:tcBorders>
              <w:left w:val="single" w:sz="4" w:space="0" w:color="auto"/>
              <w:right w:val="single" w:sz="4" w:space="0" w:color="auto"/>
            </w:tcBorders>
            <w:shd w:val="clear" w:color="auto" w:fill="auto"/>
            <w:vAlign w:val="center"/>
          </w:tcPr>
          <w:p w14:paraId="0E3A1463"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60</w:t>
            </w:r>
          </w:p>
        </w:tc>
        <w:tc>
          <w:tcPr>
            <w:tcW w:w="709" w:type="dxa"/>
            <w:tcBorders>
              <w:left w:val="single" w:sz="4" w:space="0" w:color="auto"/>
              <w:right w:val="single" w:sz="4" w:space="0" w:color="auto"/>
            </w:tcBorders>
            <w:shd w:val="clear" w:color="auto" w:fill="auto"/>
            <w:vAlign w:val="center"/>
          </w:tcPr>
          <w:p w14:paraId="652CCA71"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1.3</w:t>
            </w:r>
          </w:p>
        </w:tc>
        <w:tc>
          <w:tcPr>
            <w:tcW w:w="567" w:type="dxa"/>
            <w:tcBorders>
              <w:left w:val="single" w:sz="4" w:space="0" w:color="auto"/>
              <w:right w:val="single" w:sz="4" w:space="0" w:color="auto"/>
            </w:tcBorders>
            <w:shd w:val="clear" w:color="auto" w:fill="auto"/>
            <w:vAlign w:val="center"/>
          </w:tcPr>
          <w:p w14:paraId="025F3EE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17</w:t>
            </w:r>
          </w:p>
        </w:tc>
      </w:tr>
      <w:tr w:rsidR="00EF4A2D" w:rsidRPr="00EF4A2D" w14:paraId="7C208B62" w14:textId="77777777" w:rsidTr="00B9606F">
        <w:trPr>
          <w:jc w:val="center"/>
        </w:trPr>
        <w:tc>
          <w:tcPr>
            <w:tcW w:w="709" w:type="dxa"/>
            <w:tcBorders>
              <w:left w:val="single" w:sz="4" w:space="0" w:color="auto"/>
              <w:right w:val="single" w:sz="4" w:space="0" w:color="auto"/>
            </w:tcBorders>
            <w:shd w:val="clear" w:color="auto" w:fill="auto"/>
            <w:vAlign w:val="bottom"/>
          </w:tcPr>
          <w:p w14:paraId="6CC3FEB2"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26</w:t>
            </w:r>
          </w:p>
        </w:tc>
        <w:tc>
          <w:tcPr>
            <w:tcW w:w="1701" w:type="dxa"/>
            <w:tcBorders>
              <w:left w:val="single" w:sz="4" w:space="0" w:color="auto"/>
              <w:right w:val="single" w:sz="4" w:space="0" w:color="auto"/>
            </w:tcBorders>
            <w:shd w:val="clear" w:color="auto" w:fill="auto"/>
          </w:tcPr>
          <w:p w14:paraId="360EEF32" w14:textId="77777777" w:rsidR="00EF4A2D" w:rsidRPr="00EF4A2D" w:rsidRDefault="00EF4A2D" w:rsidP="004D07F1">
            <w:pPr>
              <w:rPr>
                <w:rFonts w:eastAsia="Calibri"/>
                <w:sz w:val="14"/>
                <w:szCs w:val="14"/>
                <w:lang w:eastAsia="en-US"/>
              </w:rPr>
            </w:pPr>
            <w:r w:rsidRPr="00EF4A2D">
              <w:rPr>
                <w:rFonts w:eastAsia="Calibri"/>
                <w:sz w:val="14"/>
                <w:szCs w:val="14"/>
                <w:lang w:eastAsia="en-US"/>
              </w:rPr>
              <w:t>Australia</w:t>
            </w:r>
          </w:p>
        </w:tc>
        <w:tc>
          <w:tcPr>
            <w:tcW w:w="709" w:type="dxa"/>
            <w:tcBorders>
              <w:left w:val="single" w:sz="4" w:space="0" w:color="auto"/>
              <w:right w:val="single" w:sz="4" w:space="0" w:color="auto"/>
            </w:tcBorders>
            <w:shd w:val="clear" w:color="auto" w:fill="auto"/>
            <w:vAlign w:val="center"/>
          </w:tcPr>
          <w:p w14:paraId="75FB26C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52</w:t>
            </w:r>
          </w:p>
        </w:tc>
        <w:tc>
          <w:tcPr>
            <w:tcW w:w="708" w:type="dxa"/>
            <w:tcBorders>
              <w:left w:val="single" w:sz="4" w:space="0" w:color="auto"/>
              <w:right w:val="single" w:sz="4" w:space="0" w:color="auto"/>
            </w:tcBorders>
            <w:shd w:val="clear" w:color="auto" w:fill="auto"/>
            <w:vAlign w:val="center"/>
          </w:tcPr>
          <w:p w14:paraId="3F0C9E4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w:t>
            </w:r>
          </w:p>
        </w:tc>
        <w:tc>
          <w:tcPr>
            <w:tcW w:w="567" w:type="dxa"/>
            <w:tcBorders>
              <w:left w:val="single" w:sz="4" w:space="0" w:color="auto"/>
              <w:right w:val="single" w:sz="4" w:space="0" w:color="auto"/>
            </w:tcBorders>
            <w:shd w:val="clear" w:color="auto" w:fill="auto"/>
            <w:vAlign w:val="center"/>
          </w:tcPr>
          <w:p w14:paraId="6220E3EE"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0</w:t>
            </w:r>
          </w:p>
        </w:tc>
        <w:tc>
          <w:tcPr>
            <w:tcW w:w="284" w:type="dxa"/>
            <w:tcBorders>
              <w:left w:val="single" w:sz="4" w:space="0" w:color="auto"/>
              <w:right w:val="single" w:sz="4" w:space="0" w:color="auto"/>
            </w:tcBorders>
            <w:vAlign w:val="center"/>
          </w:tcPr>
          <w:p w14:paraId="22D50F02"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62AD88A1"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26</w:t>
            </w:r>
          </w:p>
        </w:tc>
        <w:tc>
          <w:tcPr>
            <w:tcW w:w="1606" w:type="dxa"/>
            <w:tcBorders>
              <w:left w:val="single" w:sz="4" w:space="0" w:color="auto"/>
              <w:right w:val="single" w:sz="4" w:space="0" w:color="auto"/>
            </w:tcBorders>
            <w:shd w:val="clear" w:color="auto" w:fill="auto"/>
          </w:tcPr>
          <w:p w14:paraId="365F7E94"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 xml:space="preserve">Tailandia </w:t>
            </w:r>
          </w:p>
        </w:tc>
        <w:tc>
          <w:tcPr>
            <w:tcW w:w="662" w:type="dxa"/>
            <w:tcBorders>
              <w:left w:val="single" w:sz="4" w:space="0" w:color="auto"/>
              <w:right w:val="single" w:sz="4" w:space="0" w:color="auto"/>
            </w:tcBorders>
            <w:shd w:val="clear" w:color="auto" w:fill="auto"/>
            <w:vAlign w:val="center"/>
          </w:tcPr>
          <w:p w14:paraId="0887B16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53</w:t>
            </w:r>
          </w:p>
        </w:tc>
        <w:tc>
          <w:tcPr>
            <w:tcW w:w="709" w:type="dxa"/>
            <w:tcBorders>
              <w:left w:val="single" w:sz="4" w:space="0" w:color="auto"/>
              <w:right w:val="single" w:sz="4" w:space="0" w:color="auto"/>
            </w:tcBorders>
            <w:shd w:val="clear" w:color="auto" w:fill="auto"/>
            <w:vAlign w:val="center"/>
          </w:tcPr>
          <w:p w14:paraId="58AEB59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w:t>
            </w:r>
          </w:p>
        </w:tc>
        <w:tc>
          <w:tcPr>
            <w:tcW w:w="567" w:type="dxa"/>
            <w:tcBorders>
              <w:left w:val="single" w:sz="4" w:space="0" w:color="auto"/>
              <w:right w:val="single" w:sz="4" w:space="0" w:color="auto"/>
            </w:tcBorders>
            <w:shd w:val="clear" w:color="auto" w:fill="auto"/>
            <w:vAlign w:val="center"/>
          </w:tcPr>
          <w:p w14:paraId="4179E3A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w:t>
            </w:r>
          </w:p>
        </w:tc>
      </w:tr>
      <w:tr w:rsidR="00EF4A2D" w:rsidRPr="00EF4A2D" w14:paraId="20147E3F" w14:textId="77777777" w:rsidTr="00B9606F">
        <w:trPr>
          <w:jc w:val="center"/>
        </w:trPr>
        <w:tc>
          <w:tcPr>
            <w:tcW w:w="709" w:type="dxa"/>
            <w:tcBorders>
              <w:left w:val="single" w:sz="4" w:space="0" w:color="auto"/>
              <w:right w:val="single" w:sz="4" w:space="0" w:color="auto"/>
            </w:tcBorders>
            <w:shd w:val="clear" w:color="auto" w:fill="auto"/>
            <w:vAlign w:val="bottom"/>
          </w:tcPr>
          <w:p w14:paraId="07903481"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27</w:t>
            </w:r>
          </w:p>
        </w:tc>
        <w:tc>
          <w:tcPr>
            <w:tcW w:w="1701" w:type="dxa"/>
            <w:tcBorders>
              <w:left w:val="single" w:sz="4" w:space="0" w:color="auto"/>
              <w:right w:val="single" w:sz="4" w:space="0" w:color="auto"/>
            </w:tcBorders>
            <w:shd w:val="clear" w:color="auto" w:fill="auto"/>
          </w:tcPr>
          <w:p w14:paraId="423ADCC1" w14:textId="77777777" w:rsidR="00EF4A2D" w:rsidRPr="00EF4A2D" w:rsidRDefault="00EF4A2D" w:rsidP="004D07F1">
            <w:pPr>
              <w:rPr>
                <w:rFonts w:eastAsia="Calibri"/>
                <w:sz w:val="14"/>
                <w:szCs w:val="14"/>
                <w:lang w:eastAsia="en-US"/>
              </w:rPr>
            </w:pPr>
            <w:r w:rsidRPr="00EF4A2D">
              <w:rPr>
                <w:rFonts w:eastAsia="Calibri"/>
                <w:sz w:val="14"/>
                <w:szCs w:val="14"/>
                <w:lang w:eastAsia="en-US"/>
              </w:rPr>
              <w:t>Turquía</w:t>
            </w:r>
          </w:p>
        </w:tc>
        <w:tc>
          <w:tcPr>
            <w:tcW w:w="709" w:type="dxa"/>
            <w:tcBorders>
              <w:left w:val="single" w:sz="4" w:space="0" w:color="auto"/>
              <w:right w:val="single" w:sz="4" w:space="0" w:color="auto"/>
            </w:tcBorders>
            <w:shd w:val="clear" w:color="auto" w:fill="auto"/>
            <w:vAlign w:val="center"/>
          </w:tcPr>
          <w:p w14:paraId="6733B22D"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50</w:t>
            </w:r>
          </w:p>
        </w:tc>
        <w:tc>
          <w:tcPr>
            <w:tcW w:w="708" w:type="dxa"/>
            <w:tcBorders>
              <w:left w:val="single" w:sz="4" w:space="0" w:color="auto"/>
              <w:right w:val="single" w:sz="4" w:space="0" w:color="auto"/>
            </w:tcBorders>
            <w:shd w:val="clear" w:color="auto" w:fill="auto"/>
            <w:vAlign w:val="center"/>
          </w:tcPr>
          <w:p w14:paraId="45474EED"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1.0</w:t>
            </w:r>
          </w:p>
        </w:tc>
        <w:tc>
          <w:tcPr>
            <w:tcW w:w="567" w:type="dxa"/>
            <w:tcBorders>
              <w:left w:val="single" w:sz="4" w:space="0" w:color="auto"/>
              <w:right w:val="single" w:sz="4" w:space="0" w:color="auto"/>
            </w:tcBorders>
            <w:shd w:val="clear" w:color="auto" w:fill="auto"/>
            <w:vAlign w:val="center"/>
          </w:tcPr>
          <w:p w14:paraId="5BABA71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9</w:t>
            </w:r>
          </w:p>
        </w:tc>
        <w:tc>
          <w:tcPr>
            <w:tcW w:w="284" w:type="dxa"/>
            <w:tcBorders>
              <w:left w:val="single" w:sz="4" w:space="0" w:color="auto"/>
              <w:right w:val="single" w:sz="4" w:space="0" w:color="auto"/>
            </w:tcBorders>
            <w:vAlign w:val="center"/>
          </w:tcPr>
          <w:p w14:paraId="633745F9"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5A844902"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27</w:t>
            </w:r>
          </w:p>
        </w:tc>
        <w:tc>
          <w:tcPr>
            <w:tcW w:w="1606" w:type="dxa"/>
            <w:tcBorders>
              <w:left w:val="single" w:sz="4" w:space="0" w:color="auto"/>
              <w:right w:val="single" w:sz="4" w:space="0" w:color="auto"/>
            </w:tcBorders>
            <w:shd w:val="clear" w:color="auto" w:fill="auto"/>
          </w:tcPr>
          <w:p w14:paraId="1FF1AC9E"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 xml:space="preserve">Noruega </w:t>
            </w:r>
          </w:p>
        </w:tc>
        <w:tc>
          <w:tcPr>
            <w:tcW w:w="662" w:type="dxa"/>
            <w:tcBorders>
              <w:left w:val="single" w:sz="4" w:space="0" w:color="auto"/>
              <w:right w:val="single" w:sz="4" w:space="0" w:color="auto"/>
            </w:tcBorders>
            <w:shd w:val="clear" w:color="auto" w:fill="auto"/>
            <w:vAlign w:val="center"/>
          </w:tcPr>
          <w:p w14:paraId="1577E98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53</w:t>
            </w:r>
          </w:p>
        </w:tc>
        <w:tc>
          <w:tcPr>
            <w:tcW w:w="709" w:type="dxa"/>
            <w:tcBorders>
              <w:left w:val="single" w:sz="4" w:space="0" w:color="auto"/>
              <w:right w:val="single" w:sz="4" w:space="0" w:color="auto"/>
            </w:tcBorders>
            <w:shd w:val="clear" w:color="auto" w:fill="auto"/>
            <w:vAlign w:val="center"/>
          </w:tcPr>
          <w:p w14:paraId="34471931"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w:t>
            </w:r>
          </w:p>
        </w:tc>
        <w:tc>
          <w:tcPr>
            <w:tcW w:w="567" w:type="dxa"/>
            <w:tcBorders>
              <w:left w:val="single" w:sz="4" w:space="0" w:color="auto"/>
              <w:right w:val="single" w:sz="4" w:space="0" w:color="auto"/>
            </w:tcBorders>
            <w:shd w:val="clear" w:color="auto" w:fill="auto"/>
            <w:vAlign w:val="center"/>
          </w:tcPr>
          <w:p w14:paraId="269E404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-5-5</w:t>
            </w:r>
          </w:p>
        </w:tc>
      </w:tr>
      <w:tr w:rsidR="00EF4A2D" w:rsidRPr="00EF4A2D" w14:paraId="00586A26" w14:textId="77777777" w:rsidTr="00B9606F">
        <w:trPr>
          <w:jc w:val="center"/>
        </w:trPr>
        <w:tc>
          <w:tcPr>
            <w:tcW w:w="709" w:type="dxa"/>
            <w:tcBorders>
              <w:left w:val="single" w:sz="4" w:space="0" w:color="auto"/>
              <w:right w:val="single" w:sz="4" w:space="0" w:color="auto"/>
            </w:tcBorders>
            <w:shd w:val="clear" w:color="auto" w:fill="auto"/>
            <w:vAlign w:val="bottom"/>
          </w:tcPr>
          <w:p w14:paraId="4D3BEEEF"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28</w:t>
            </w:r>
          </w:p>
        </w:tc>
        <w:tc>
          <w:tcPr>
            <w:tcW w:w="1701" w:type="dxa"/>
            <w:tcBorders>
              <w:left w:val="single" w:sz="4" w:space="0" w:color="auto"/>
              <w:right w:val="single" w:sz="4" w:space="0" w:color="auto"/>
            </w:tcBorders>
            <w:shd w:val="clear" w:color="auto" w:fill="auto"/>
          </w:tcPr>
          <w:p w14:paraId="0F4A1B92" w14:textId="77777777" w:rsidR="00EF4A2D" w:rsidRPr="00EF4A2D" w:rsidRDefault="00EF4A2D" w:rsidP="004D07F1">
            <w:pPr>
              <w:rPr>
                <w:rFonts w:eastAsia="Calibri"/>
                <w:sz w:val="14"/>
                <w:szCs w:val="14"/>
                <w:lang w:eastAsia="en-US"/>
              </w:rPr>
            </w:pPr>
            <w:r w:rsidRPr="00EF4A2D">
              <w:rPr>
                <w:rFonts w:eastAsia="Calibri"/>
                <w:sz w:val="14"/>
                <w:szCs w:val="14"/>
                <w:lang w:eastAsia="en-US"/>
              </w:rPr>
              <w:t>Noruega</w:t>
            </w:r>
          </w:p>
        </w:tc>
        <w:tc>
          <w:tcPr>
            <w:tcW w:w="709" w:type="dxa"/>
            <w:tcBorders>
              <w:left w:val="single" w:sz="4" w:space="0" w:color="auto"/>
              <w:right w:val="single" w:sz="4" w:space="0" w:color="auto"/>
            </w:tcBorders>
            <w:shd w:val="clear" w:color="auto" w:fill="auto"/>
            <w:vAlign w:val="center"/>
          </w:tcPr>
          <w:p w14:paraId="2910743A"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49</w:t>
            </w:r>
          </w:p>
        </w:tc>
        <w:tc>
          <w:tcPr>
            <w:tcW w:w="708" w:type="dxa"/>
            <w:tcBorders>
              <w:left w:val="single" w:sz="4" w:space="0" w:color="auto"/>
              <w:right w:val="single" w:sz="4" w:space="0" w:color="auto"/>
            </w:tcBorders>
            <w:shd w:val="clear" w:color="auto" w:fill="auto"/>
            <w:vAlign w:val="center"/>
          </w:tcPr>
          <w:p w14:paraId="774793C8"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1.0</w:t>
            </w:r>
          </w:p>
        </w:tc>
        <w:tc>
          <w:tcPr>
            <w:tcW w:w="567" w:type="dxa"/>
            <w:tcBorders>
              <w:left w:val="single" w:sz="4" w:space="0" w:color="auto"/>
              <w:right w:val="single" w:sz="4" w:space="0" w:color="auto"/>
            </w:tcBorders>
            <w:shd w:val="clear" w:color="auto" w:fill="auto"/>
            <w:vAlign w:val="center"/>
          </w:tcPr>
          <w:p w14:paraId="0FFD6123"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w:t>
            </w:r>
          </w:p>
        </w:tc>
        <w:tc>
          <w:tcPr>
            <w:tcW w:w="284" w:type="dxa"/>
            <w:tcBorders>
              <w:left w:val="single" w:sz="4" w:space="0" w:color="auto"/>
              <w:right w:val="single" w:sz="4" w:space="0" w:color="auto"/>
            </w:tcBorders>
            <w:vAlign w:val="center"/>
          </w:tcPr>
          <w:p w14:paraId="06842A66"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175B44C1"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28</w:t>
            </w:r>
          </w:p>
        </w:tc>
        <w:tc>
          <w:tcPr>
            <w:tcW w:w="1606" w:type="dxa"/>
            <w:tcBorders>
              <w:left w:val="single" w:sz="4" w:space="0" w:color="auto"/>
              <w:right w:val="single" w:sz="4" w:space="0" w:color="auto"/>
            </w:tcBorders>
            <w:shd w:val="clear" w:color="auto" w:fill="auto"/>
          </w:tcPr>
          <w:p w14:paraId="23694E59"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 xml:space="preserve">Austria </w:t>
            </w:r>
          </w:p>
        </w:tc>
        <w:tc>
          <w:tcPr>
            <w:tcW w:w="662" w:type="dxa"/>
            <w:tcBorders>
              <w:left w:val="single" w:sz="4" w:space="0" w:color="auto"/>
              <w:right w:val="single" w:sz="4" w:space="0" w:color="auto"/>
            </w:tcBorders>
            <w:shd w:val="clear" w:color="auto" w:fill="auto"/>
            <w:vAlign w:val="center"/>
          </w:tcPr>
          <w:p w14:paraId="19EF629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51</w:t>
            </w:r>
          </w:p>
        </w:tc>
        <w:tc>
          <w:tcPr>
            <w:tcW w:w="709" w:type="dxa"/>
            <w:tcBorders>
              <w:left w:val="single" w:sz="4" w:space="0" w:color="auto"/>
              <w:right w:val="single" w:sz="4" w:space="0" w:color="auto"/>
            </w:tcBorders>
            <w:shd w:val="clear" w:color="auto" w:fill="auto"/>
            <w:vAlign w:val="center"/>
          </w:tcPr>
          <w:p w14:paraId="0FA5B51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1.1</w:t>
            </w:r>
          </w:p>
        </w:tc>
        <w:tc>
          <w:tcPr>
            <w:tcW w:w="567" w:type="dxa"/>
            <w:tcBorders>
              <w:left w:val="single" w:sz="4" w:space="0" w:color="auto"/>
              <w:right w:val="single" w:sz="4" w:space="0" w:color="auto"/>
            </w:tcBorders>
            <w:shd w:val="clear" w:color="auto" w:fill="auto"/>
            <w:vAlign w:val="center"/>
          </w:tcPr>
          <w:p w14:paraId="6320E75B"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33</w:t>
            </w:r>
          </w:p>
        </w:tc>
      </w:tr>
      <w:tr w:rsidR="00EF4A2D" w:rsidRPr="00EF4A2D" w14:paraId="3414034C" w14:textId="77777777" w:rsidTr="00B9606F">
        <w:trPr>
          <w:jc w:val="center"/>
        </w:trPr>
        <w:tc>
          <w:tcPr>
            <w:tcW w:w="709" w:type="dxa"/>
            <w:tcBorders>
              <w:left w:val="single" w:sz="4" w:space="0" w:color="auto"/>
              <w:right w:val="single" w:sz="4" w:space="0" w:color="auto"/>
            </w:tcBorders>
            <w:shd w:val="clear" w:color="auto" w:fill="auto"/>
            <w:vAlign w:val="bottom"/>
          </w:tcPr>
          <w:p w14:paraId="5AECF058"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29</w:t>
            </w:r>
          </w:p>
        </w:tc>
        <w:tc>
          <w:tcPr>
            <w:tcW w:w="1701" w:type="dxa"/>
            <w:tcBorders>
              <w:left w:val="single" w:sz="4" w:space="0" w:color="auto"/>
              <w:right w:val="single" w:sz="4" w:space="0" w:color="auto"/>
            </w:tcBorders>
            <w:shd w:val="clear" w:color="auto" w:fill="auto"/>
          </w:tcPr>
          <w:p w14:paraId="4ECD572E" w14:textId="77777777" w:rsidR="00EF4A2D" w:rsidRPr="00EF4A2D" w:rsidRDefault="00EF4A2D" w:rsidP="004D07F1">
            <w:pPr>
              <w:rPr>
                <w:rFonts w:eastAsia="Calibri"/>
                <w:sz w:val="14"/>
                <w:szCs w:val="14"/>
                <w:lang w:eastAsia="en-US"/>
              </w:rPr>
            </w:pPr>
            <w:r w:rsidRPr="00EF4A2D">
              <w:rPr>
                <w:rFonts w:eastAsia="Calibri"/>
                <w:sz w:val="14"/>
                <w:szCs w:val="14"/>
                <w:lang w:eastAsia="en-US"/>
              </w:rPr>
              <w:t>Polonia</w:t>
            </w:r>
          </w:p>
        </w:tc>
        <w:tc>
          <w:tcPr>
            <w:tcW w:w="709" w:type="dxa"/>
            <w:tcBorders>
              <w:left w:val="single" w:sz="4" w:space="0" w:color="auto"/>
              <w:right w:val="single" w:sz="4" w:space="0" w:color="auto"/>
            </w:tcBorders>
            <w:shd w:val="clear" w:color="auto" w:fill="auto"/>
            <w:vAlign w:val="center"/>
          </w:tcPr>
          <w:p w14:paraId="3696679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46</w:t>
            </w:r>
          </w:p>
        </w:tc>
        <w:tc>
          <w:tcPr>
            <w:tcW w:w="708" w:type="dxa"/>
            <w:tcBorders>
              <w:left w:val="single" w:sz="4" w:space="0" w:color="auto"/>
              <w:right w:val="single" w:sz="4" w:space="0" w:color="auto"/>
            </w:tcBorders>
            <w:shd w:val="clear" w:color="auto" w:fill="auto"/>
            <w:vAlign w:val="center"/>
          </w:tcPr>
          <w:p w14:paraId="430FCFB6"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0.9</w:t>
            </w:r>
          </w:p>
        </w:tc>
        <w:tc>
          <w:tcPr>
            <w:tcW w:w="567" w:type="dxa"/>
            <w:tcBorders>
              <w:left w:val="single" w:sz="4" w:space="0" w:color="auto"/>
              <w:right w:val="single" w:sz="4" w:space="0" w:color="auto"/>
            </w:tcBorders>
            <w:shd w:val="clear" w:color="auto" w:fill="auto"/>
            <w:vAlign w:val="center"/>
          </w:tcPr>
          <w:p w14:paraId="50A04F22"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w:t>
            </w:r>
          </w:p>
        </w:tc>
        <w:tc>
          <w:tcPr>
            <w:tcW w:w="284" w:type="dxa"/>
            <w:tcBorders>
              <w:left w:val="single" w:sz="4" w:space="0" w:color="auto"/>
              <w:right w:val="single" w:sz="4" w:space="0" w:color="auto"/>
            </w:tcBorders>
            <w:vAlign w:val="center"/>
          </w:tcPr>
          <w:p w14:paraId="3108B946"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36B877D0"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29</w:t>
            </w:r>
          </w:p>
        </w:tc>
        <w:tc>
          <w:tcPr>
            <w:tcW w:w="1606" w:type="dxa"/>
            <w:tcBorders>
              <w:left w:val="single" w:sz="4" w:space="0" w:color="auto"/>
              <w:right w:val="single" w:sz="4" w:space="0" w:color="auto"/>
            </w:tcBorders>
            <w:shd w:val="clear" w:color="auto" w:fill="auto"/>
          </w:tcPr>
          <w:p w14:paraId="5DD9480B" w14:textId="77777777" w:rsidR="00EF4A2D" w:rsidRPr="00EF4A2D" w:rsidRDefault="00EF4A2D" w:rsidP="004D07F1">
            <w:pPr>
              <w:rPr>
                <w:rFonts w:eastAsia="Calibri"/>
                <w:sz w:val="14"/>
                <w:szCs w:val="14"/>
                <w:lang w:eastAsia="en-US"/>
              </w:rPr>
            </w:pPr>
            <w:proofErr w:type="spellStart"/>
            <w:r w:rsidRPr="00EF4A2D">
              <w:rPr>
                <w:rFonts w:eastAsia="Calibri"/>
                <w:sz w:val="14"/>
                <w:szCs w:val="14"/>
                <w:lang w:eastAsia="en-US"/>
              </w:rPr>
              <w:t>Taipei</w:t>
            </w:r>
            <w:proofErr w:type="spellEnd"/>
            <w:r w:rsidRPr="00EF4A2D">
              <w:rPr>
                <w:rFonts w:eastAsia="Calibri"/>
                <w:sz w:val="14"/>
                <w:szCs w:val="14"/>
                <w:lang w:eastAsia="en-US"/>
              </w:rPr>
              <w:t xml:space="preserve"> </w:t>
            </w:r>
            <w:proofErr w:type="spellStart"/>
            <w:r w:rsidRPr="00EF4A2D">
              <w:rPr>
                <w:rFonts w:eastAsia="Calibri"/>
                <w:sz w:val="14"/>
                <w:szCs w:val="14"/>
                <w:lang w:eastAsia="en-US"/>
              </w:rPr>
              <w:t>Chino</w:t>
            </w:r>
            <w:r w:rsidRPr="00EF4A2D">
              <w:rPr>
                <w:rFonts w:eastAsia="Calibri"/>
                <w:sz w:val="14"/>
                <w:szCs w:val="14"/>
                <w:u w:val="single"/>
                <w:vertAlign w:val="superscript"/>
                <w:lang w:eastAsia="en-US"/>
              </w:rPr>
              <w:t>a</w:t>
            </w:r>
            <w:proofErr w:type="spellEnd"/>
            <w:r w:rsidRPr="00EF4A2D">
              <w:rPr>
                <w:rFonts w:eastAsia="Calibri"/>
                <w:sz w:val="14"/>
                <w:szCs w:val="14"/>
                <w:vertAlign w:val="superscript"/>
                <w:lang w:eastAsia="en-US"/>
              </w:rPr>
              <w:t>/</w:t>
            </w:r>
          </w:p>
        </w:tc>
        <w:tc>
          <w:tcPr>
            <w:tcW w:w="662" w:type="dxa"/>
            <w:tcBorders>
              <w:left w:val="single" w:sz="4" w:space="0" w:color="auto"/>
              <w:right w:val="single" w:sz="4" w:space="0" w:color="auto"/>
            </w:tcBorders>
            <w:shd w:val="clear" w:color="auto" w:fill="auto"/>
            <w:vAlign w:val="center"/>
          </w:tcPr>
          <w:p w14:paraId="73ADB3E5"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46</w:t>
            </w:r>
          </w:p>
        </w:tc>
        <w:tc>
          <w:tcPr>
            <w:tcW w:w="709" w:type="dxa"/>
            <w:tcBorders>
              <w:left w:val="single" w:sz="4" w:space="0" w:color="auto"/>
              <w:right w:val="single" w:sz="4" w:space="0" w:color="auto"/>
            </w:tcBorders>
            <w:shd w:val="clear" w:color="auto" w:fill="auto"/>
            <w:vAlign w:val="center"/>
          </w:tcPr>
          <w:p w14:paraId="69DB5997"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1.0</w:t>
            </w:r>
          </w:p>
        </w:tc>
        <w:tc>
          <w:tcPr>
            <w:tcW w:w="567" w:type="dxa"/>
            <w:tcBorders>
              <w:left w:val="single" w:sz="4" w:space="0" w:color="auto"/>
              <w:right w:val="single" w:sz="4" w:space="0" w:color="auto"/>
            </w:tcBorders>
            <w:shd w:val="clear" w:color="auto" w:fill="auto"/>
            <w:vAlign w:val="center"/>
          </w:tcPr>
          <w:p w14:paraId="1F08EA5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88</w:t>
            </w:r>
          </w:p>
        </w:tc>
      </w:tr>
      <w:tr w:rsidR="00EF4A2D" w:rsidRPr="00EF4A2D" w14:paraId="3B3E7B86" w14:textId="77777777" w:rsidTr="00B9606F">
        <w:trPr>
          <w:jc w:val="center"/>
        </w:trPr>
        <w:tc>
          <w:tcPr>
            <w:tcW w:w="709" w:type="dxa"/>
            <w:tcBorders>
              <w:left w:val="single" w:sz="4" w:space="0" w:color="auto"/>
              <w:right w:val="single" w:sz="4" w:space="0" w:color="auto"/>
            </w:tcBorders>
            <w:shd w:val="clear" w:color="auto" w:fill="auto"/>
            <w:vAlign w:val="bottom"/>
          </w:tcPr>
          <w:p w14:paraId="7ECF4AB4"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30</w:t>
            </w:r>
          </w:p>
        </w:tc>
        <w:tc>
          <w:tcPr>
            <w:tcW w:w="1701" w:type="dxa"/>
            <w:tcBorders>
              <w:left w:val="single" w:sz="4" w:space="0" w:color="auto"/>
              <w:right w:val="single" w:sz="4" w:space="0" w:color="auto"/>
            </w:tcBorders>
            <w:shd w:val="clear" w:color="auto" w:fill="auto"/>
          </w:tcPr>
          <w:p w14:paraId="7171E242" w14:textId="77777777" w:rsidR="00EF4A2D" w:rsidRPr="00EF4A2D" w:rsidRDefault="00EF4A2D" w:rsidP="004D07F1">
            <w:pPr>
              <w:rPr>
                <w:rFonts w:eastAsia="Calibri"/>
                <w:sz w:val="14"/>
                <w:szCs w:val="14"/>
                <w:lang w:eastAsia="en-US"/>
              </w:rPr>
            </w:pPr>
            <w:r w:rsidRPr="00EF4A2D">
              <w:rPr>
                <w:rFonts w:eastAsia="Calibri"/>
                <w:sz w:val="14"/>
                <w:szCs w:val="14"/>
                <w:lang w:eastAsia="en-US"/>
              </w:rPr>
              <w:t>Grecia</w:t>
            </w:r>
          </w:p>
        </w:tc>
        <w:tc>
          <w:tcPr>
            <w:tcW w:w="709" w:type="dxa"/>
            <w:tcBorders>
              <w:left w:val="single" w:sz="4" w:space="0" w:color="auto"/>
              <w:right w:val="single" w:sz="4" w:space="0" w:color="auto"/>
            </w:tcBorders>
            <w:shd w:val="clear" w:color="auto" w:fill="auto"/>
            <w:vAlign w:val="center"/>
          </w:tcPr>
          <w:p w14:paraId="3901FC62"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42</w:t>
            </w:r>
          </w:p>
        </w:tc>
        <w:tc>
          <w:tcPr>
            <w:tcW w:w="708" w:type="dxa"/>
            <w:tcBorders>
              <w:left w:val="single" w:sz="4" w:space="0" w:color="auto"/>
              <w:right w:val="single" w:sz="4" w:space="0" w:color="auto"/>
            </w:tcBorders>
            <w:shd w:val="clear" w:color="auto" w:fill="auto"/>
            <w:vAlign w:val="center"/>
          </w:tcPr>
          <w:p w14:paraId="1C3BFF9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0.9</w:t>
            </w:r>
          </w:p>
        </w:tc>
        <w:tc>
          <w:tcPr>
            <w:tcW w:w="567" w:type="dxa"/>
            <w:tcBorders>
              <w:left w:val="single" w:sz="4" w:space="0" w:color="auto"/>
              <w:right w:val="single" w:sz="4" w:space="0" w:color="auto"/>
            </w:tcBorders>
            <w:shd w:val="clear" w:color="auto" w:fill="auto"/>
            <w:vAlign w:val="center"/>
          </w:tcPr>
          <w:p w14:paraId="44C8077C"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14</w:t>
            </w:r>
          </w:p>
        </w:tc>
        <w:tc>
          <w:tcPr>
            <w:tcW w:w="284" w:type="dxa"/>
            <w:tcBorders>
              <w:left w:val="single" w:sz="4" w:space="0" w:color="auto"/>
              <w:right w:val="single" w:sz="4" w:space="0" w:color="auto"/>
            </w:tcBorders>
            <w:vAlign w:val="center"/>
          </w:tcPr>
          <w:p w14:paraId="48D40786"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tcPr>
          <w:p w14:paraId="0931739A" w14:textId="77777777" w:rsidR="00EF4A2D" w:rsidRPr="00EF4A2D" w:rsidRDefault="00EF4A2D" w:rsidP="00CE32F2">
            <w:pPr>
              <w:ind w:right="170"/>
              <w:jc w:val="right"/>
              <w:rPr>
                <w:rFonts w:eastAsia="Calibri"/>
                <w:sz w:val="14"/>
                <w:szCs w:val="14"/>
                <w:lang w:eastAsia="en-US"/>
              </w:rPr>
            </w:pPr>
            <w:r w:rsidRPr="00EF4A2D">
              <w:rPr>
                <w:rFonts w:eastAsia="Calibri"/>
                <w:sz w:val="14"/>
                <w:szCs w:val="14"/>
                <w:lang w:eastAsia="en-US"/>
              </w:rPr>
              <w:t>30</w:t>
            </w:r>
          </w:p>
        </w:tc>
        <w:tc>
          <w:tcPr>
            <w:tcW w:w="1606" w:type="dxa"/>
            <w:tcBorders>
              <w:left w:val="single" w:sz="4" w:space="0" w:color="auto"/>
              <w:right w:val="single" w:sz="4" w:space="0" w:color="auto"/>
            </w:tcBorders>
            <w:shd w:val="clear" w:color="auto" w:fill="auto"/>
            <w:vAlign w:val="center"/>
          </w:tcPr>
          <w:p w14:paraId="492C9F34"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Malasia</w:t>
            </w:r>
          </w:p>
        </w:tc>
        <w:tc>
          <w:tcPr>
            <w:tcW w:w="662" w:type="dxa"/>
            <w:tcBorders>
              <w:left w:val="single" w:sz="4" w:space="0" w:color="auto"/>
              <w:right w:val="single" w:sz="4" w:space="0" w:color="auto"/>
            </w:tcBorders>
            <w:shd w:val="clear" w:color="auto" w:fill="auto"/>
            <w:vAlign w:val="center"/>
          </w:tcPr>
          <w:p w14:paraId="4FE479F0"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44</w:t>
            </w:r>
          </w:p>
        </w:tc>
        <w:tc>
          <w:tcPr>
            <w:tcW w:w="709" w:type="dxa"/>
            <w:tcBorders>
              <w:left w:val="single" w:sz="4" w:space="0" w:color="auto"/>
              <w:right w:val="single" w:sz="4" w:space="0" w:color="auto"/>
            </w:tcBorders>
            <w:shd w:val="clear" w:color="auto" w:fill="auto"/>
            <w:vAlign w:val="center"/>
          </w:tcPr>
          <w:p w14:paraId="0B26C32F"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0.9</w:t>
            </w:r>
          </w:p>
        </w:tc>
        <w:tc>
          <w:tcPr>
            <w:tcW w:w="567" w:type="dxa"/>
            <w:tcBorders>
              <w:left w:val="single" w:sz="4" w:space="0" w:color="auto"/>
              <w:right w:val="single" w:sz="4" w:space="0" w:color="auto"/>
            </w:tcBorders>
            <w:shd w:val="clear" w:color="auto" w:fill="auto"/>
            <w:vAlign w:val="center"/>
          </w:tcPr>
          <w:p w14:paraId="691A9121" w14:textId="77777777" w:rsidR="00EF4A2D" w:rsidRPr="00EF4A2D" w:rsidRDefault="00EF4A2D" w:rsidP="004D07F1">
            <w:pPr>
              <w:ind w:right="57"/>
              <w:jc w:val="right"/>
              <w:rPr>
                <w:rFonts w:eastAsia="Calibri"/>
                <w:sz w:val="14"/>
                <w:szCs w:val="14"/>
                <w:lang w:eastAsia="en-US"/>
              </w:rPr>
            </w:pPr>
            <w:r w:rsidRPr="00EF4A2D">
              <w:rPr>
                <w:rFonts w:eastAsia="Calibri"/>
                <w:sz w:val="14"/>
                <w:szCs w:val="14"/>
                <w:lang w:eastAsia="en-US"/>
              </w:rPr>
              <w:t>-2</w:t>
            </w:r>
          </w:p>
        </w:tc>
      </w:tr>
      <w:tr w:rsidR="00EF4A2D" w:rsidRPr="00EF4A2D" w14:paraId="35A072DE" w14:textId="77777777" w:rsidTr="00B9606F">
        <w:trPr>
          <w:jc w:val="center"/>
        </w:trPr>
        <w:tc>
          <w:tcPr>
            <w:tcW w:w="709" w:type="dxa"/>
            <w:tcBorders>
              <w:left w:val="single" w:sz="4" w:space="0" w:color="auto"/>
              <w:right w:val="single" w:sz="4" w:space="0" w:color="auto"/>
            </w:tcBorders>
            <w:shd w:val="clear" w:color="auto" w:fill="auto"/>
            <w:vAlign w:val="center"/>
          </w:tcPr>
          <w:p w14:paraId="6715AA08" w14:textId="77777777" w:rsidR="00EF4A2D" w:rsidRPr="00EF4A2D" w:rsidRDefault="00EF4A2D" w:rsidP="00CE32F2">
            <w:pPr>
              <w:ind w:right="170"/>
              <w:jc w:val="right"/>
              <w:rPr>
                <w:rFonts w:eastAsia="Calibri"/>
                <w:sz w:val="14"/>
                <w:szCs w:val="14"/>
                <w:lang w:eastAsia="en-US"/>
              </w:rPr>
            </w:pPr>
          </w:p>
        </w:tc>
        <w:tc>
          <w:tcPr>
            <w:tcW w:w="1701" w:type="dxa"/>
            <w:tcBorders>
              <w:left w:val="single" w:sz="4" w:space="0" w:color="auto"/>
              <w:right w:val="single" w:sz="4" w:space="0" w:color="auto"/>
            </w:tcBorders>
            <w:shd w:val="clear" w:color="auto" w:fill="auto"/>
            <w:vAlign w:val="center"/>
          </w:tcPr>
          <w:p w14:paraId="4528D364"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Total de las economías enumeradas</w:t>
            </w:r>
          </w:p>
        </w:tc>
        <w:tc>
          <w:tcPr>
            <w:tcW w:w="709" w:type="dxa"/>
            <w:tcBorders>
              <w:left w:val="single" w:sz="4" w:space="0" w:color="auto"/>
              <w:right w:val="single" w:sz="4" w:space="0" w:color="auto"/>
            </w:tcBorders>
            <w:shd w:val="clear" w:color="auto" w:fill="auto"/>
            <w:vAlign w:val="center"/>
          </w:tcPr>
          <w:p w14:paraId="4A427F0A"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4 058</w:t>
            </w:r>
          </w:p>
        </w:tc>
        <w:tc>
          <w:tcPr>
            <w:tcW w:w="708" w:type="dxa"/>
            <w:tcBorders>
              <w:left w:val="single" w:sz="4" w:space="0" w:color="auto"/>
              <w:right w:val="single" w:sz="4" w:space="0" w:color="auto"/>
            </w:tcBorders>
            <w:shd w:val="clear" w:color="auto" w:fill="auto"/>
            <w:vAlign w:val="center"/>
          </w:tcPr>
          <w:p w14:paraId="7410890F"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83.5</w:t>
            </w:r>
          </w:p>
        </w:tc>
        <w:tc>
          <w:tcPr>
            <w:tcW w:w="567" w:type="dxa"/>
            <w:tcBorders>
              <w:left w:val="single" w:sz="4" w:space="0" w:color="auto"/>
              <w:right w:val="single" w:sz="4" w:space="0" w:color="auto"/>
            </w:tcBorders>
            <w:shd w:val="clear" w:color="auto" w:fill="auto"/>
            <w:vAlign w:val="center"/>
          </w:tcPr>
          <w:p w14:paraId="3966E9E7"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w:t>
            </w:r>
          </w:p>
        </w:tc>
        <w:tc>
          <w:tcPr>
            <w:tcW w:w="284" w:type="dxa"/>
            <w:tcBorders>
              <w:left w:val="single" w:sz="4" w:space="0" w:color="auto"/>
              <w:right w:val="single" w:sz="4" w:space="0" w:color="auto"/>
            </w:tcBorders>
            <w:vAlign w:val="center"/>
          </w:tcPr>
          <w:p w14:paraId="3C281AA9"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right w:val="single" w:sz="4" w:space="0" w:color="auto"/>
            </w:tcBorders>
            <w:shd w:val="clear" w:color="auto" w:fill="auto"/>
            <w:vAlign w:val="center"/>
          </w:tcPr>
          <w:p w14:paraId="699393C4" w14:textId="77777777" w:rsidR="00EF4A2D" w:rsidRPr="00EF4A2D" w:rsidRDefault="00EF4A2D" w:rsidP="00CE32F2">
            <w:pPr>
              <w:ind w:right="170"/>
              <w:jc w:val="right"/>
              <w:rPr>
                <w:rFonts w:eastAsia="Calibri"/>
                <w:sz w:val="14"/>
                <w:szCs w:val="14"/>
                <w:lang w:eastAsia="en-US"/>
              </w:rPr>
            </w:pPr>
          </w:p>
        </w:tc>
        <w:tc>
          <w:tcPr>
            <w:tcW w:w="1606" w:type="dxa"/>
            <w:tcBorders>
              <w:left w:val="single" w:sz="4" w:space="0" w:color="auto"/>
              <w:right w:val="single" w:sz="4" w:space="0" w:color="auto"/>
            </w:tcBorders>
            <w:shd w:val="clear" w:color="auto" w:fill="auto"/>
            <w:vAlign w:val="center"/>
          </w:tcPr>
          <w:p w14:paraId="5D98C641" w14:textId="77777777" w:rsidR="00EF4A2D" w:rsidRPr="00EF4A2D" w:rsidRDefault="00EF4A2D" w:rsidP="004D07F1">
            <w:pPr>
              <w:jc w:val="both"/>
              <w:rPr>
                <w:rFonts w:eastAsia="Calibri"/>
                <w:b/>
                <w:sz w:val="14"/>
                <w:szCs w:val="14"/>
                <w:lang w:eastAsia="en-US"/>
              </w:rPr>
            </w:pPr>
            <w:r w:rsidRPr="00EF4A2D">
              <w:rPr>
                <w:rFonts w:eastAsia="Calibri"/>
                <w:b/>
                <w:sz w:val="14"/>
                <w:szCs w:val="14"/>
                <w:lang w:eastAsia="en-US"/>
              </w:rPr>
              <w:t>Total de las economías enumeradas</w:t>
            </w:r>
          </w:p>
        </w:tc>
        <w:tc>
          <w:tcPr>
            <w:tcW w:w="662" w:type="dxa"/>
            <w:tcBorders>
              <w:left w:val="single" w:sz="4" w:space="0" w:color="auto"/>
              <w:right w:val="single" w:sz="4" w:space="0" w:color="auto"/>
            </w:tcBorders>
            <w:shd w:val="clear" w:color="auto" w:fill="auto"/>
            <w:vAlign w:val="center"/>
          </w:tcPr>
          <w:p w14:paraId="48FA95B6"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3 871</w:t>
            </w:r>
          </w:p>
        </w:tc>
        <w:tc>
          <w:tcPr>
            <w:tcW w:w="709" w:type="dxa"/>
            <w:tcBorders>
              <w:left w:val="single" w:sz="4" w:space="0" w:color="auto"/>
              <w:right w:val="single" w:sz="4" w:space="0" w:color="auto"/>
            </w:tcBorders>
            <w:shd w:val="clear" w:color="auto" w:fill="auto"/>
            <w:vAlign w:val="center"/>
          </w:tcPr>
          <w:p w14:paraId="504E48C0"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81.7</w:t>
            </w:r>
          </w:p>
        </w:tc>
        <w:tc>
          <w:tcPr>
            <w:tcW w:w="567" w:type="dxa"/>
            <w:tcBorders>
              <w:left w:val="single" w:sz="4" w:space="0" w:color="auto"/>
              <w:right w:val="single" w:sz="4" w:space="0" w:color="auto"/>
            </w:tcBorders>
            <w:shd w:val="clear" w:color="auto" w:fill="auto"/>
            <w:vAlign w:val="center"/>
          </w:tcPr>
          <w:p w14:paraId="6649BB39"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w:t>
            </w:r>
          </w:p>
        </w:tc>
      </w:tr>
      <w:tr w:rsidR="00EF4A2D" w:rsidRPr="00EF4A2D" w14:paraId="02DD32E0" w14:textId="77777777" w:rsidTr="00B9606F">
        <w:trPr>
          <w:jc w:val="center"/>
        </w:trPr>
        <w:tc>
          <w:tcPr>
            <w:tcW w:w="709" w:type="dxa"/>
            <w:tcBorders>
              <w:left w:val="single" w:sz="4" w:space="0" w:color="auto"/>
              <w:bottom w:val="single" w:sz="4" w:space="0" w:color="auto"/>
              <w:right w:val="single" w:sz="4" w:space="0" w:color="auto"/>
            </w:tcBorders>
            <w:shd w:val="clear" w:color="auto" w:fill="auto"/>
            <w:vAlign w:val="center"/>
          </w:tcPr>
          <w:p w14:paraId="67637D79" w14:textId="77777777" w:rsidR="00EF4A2D" w:rsidRPr="00EF4A2D" w:rsidRDefault="00EF4A2D" w:rsidP="004D07F1">
            <w:pPr>
              <w:jc w:val="right"/>
              <w:rPr>
                <w:rFonts w:eastAsia="Calibri"/>
                <w:sz w:val="14"/>
                <w:szCs w:val="14"/>
                <w:lang w:eastAsia="en-US"/>
              </w:rPr>
            </w:pPr>
          </w:p>
        </w:tc>
        <w:tc>
          <w:tcPr>
            <w:tcW w:w="1701" w:type="dxa"/>
            <w:tcBorders>
              <w:left w:val="single" w:sz="4" w:space="0" w:color="auto"/>
              <w:bottom w:val="single" w:sz="4" w:space="0" w:color="auto"/>
              <w:right w:val="single" w:sz="4" w:space="0" w:color="auto"/>
            </w:tcBorders>
            <w:shd w:val="clear" w:color="auto" w:fill="auto"/>
            <w:vAlign w:val="center"/>
          </w:tcPr>
          <w:p w14:paraId="6ED16817"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Todo el mundo</w:t>
            </w:r>
          </w:p>
        </w:tc>
        <w:tc>
          <w:tcPr>
            <w:tcW w:w="709" w:type="dxa"/>
            <w:tcBorders>
              <w:left w:val="single" w:sz="4" w:space="0" w:color="auto"/>
              <w:bottom w:val="single" w:sz="4" w:space="0" w:color="auto"/>
              <w:right w:val="single" w:sz="4" w:space="0" w:color="auto"/>
            </w:tcBorders>
            <w:shd w:val="clear" w:color="auto" w:fill="auto"/>
            <w:vAlign w:val="center"/>
          </w:tcPr>
          <w:p w14:paraId="72933217"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4 860</w:t>
            </w:r>
          </w:p>
        </w:tc>
        <w:tc>
          <w:tcPr>
            <w:tcW w:w="708" w:type="dxa"/>
            <w:tcBorders>
              <w:left w:val="single" w:sz="4" w:space="0" w:color="auto"/>
              <w:bottom w:val="single" w:sz="4" w:space="0" w:color="auto"/>
              <w:right w:val="single" w:sz="4" w:space="0" w:color="auto"/>
            </w:tcBorders>
            <w:shd w:val="clear" w:color="auto" w:fill="auto"/>
            <w:vAlign w:val="center"/>
          </w:tcPr>
          <w:p w14:paraId="13F58063"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100.0</w:t>
            </w:r>
          </w:p>
        </w:tc>
        <w:tc>
          <w:tcPr>
            <w:tcW w:w="567" w:type="dxa"/>
            <w:tcBorders>
              <w:left w:val="single" w:sz="4" w:space="0" w:color="auto"/>
              <w:bottom w:val="single" w:sz="4" w:space="0" w:color="auto"/>
              <w:right w:val="single" w:sz="4" w:space="0" w:color="auto"/>
            </w:tcBorders>
            <w:shd w:val="clear" w:color="auto" w:fill="auto"/>
            <w:vAlign w:val="center"/>
          </w:tcPr>
          <w:p w14:paraId="4C4B1C52"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4</w:t>
            </w:r>
          </w:p>
        </w:tc>
        <w:tc>
          <w:tcPr>
            <w:tcW w:w="284" w:type="dxa"/>
            <w:tcBorders>
              <w:left w:val="single" w:sz="4" w:space="0" w:color="auto"/>
              <w:right w:val="single" w:sz="4" w:space="0" w:color="auto"/>
            </w:tcBorders>
            <w:vAlign w:val="center"/>
          </w:tcPr>
          <w:p w14:paraId="788A6521" w14:textId="77777777" w:rsidR="00EF4A2D" w:rsidRPr="00EF4A2D" w:rsidRDefault="00EF4A2D" w:rsidP="004D07F1">
            <w:pPr>
              <w:jc w:val="right"/>
              <w:rPr>
                <w:rFonts w:eastAsia="Calibri"/>
                <w:sz w:val="14"/>
                <w:szCs w:val="14"/>
                <w:lang w:eastAsia="en-US"/>
              </w:rPr>
            </w:pPr>
          </w:p>
        </w:tc>
        <w:tc>
          <w:tcPr>
            <w:tcW w:w="709" w:type="dxa"/>
            <w:tcBorders>
              <w:left w:val="single" w:sz="4" w:space="0" w:color="auto"/>
              <w:bottom w:val="single" w:sz="4" w:space="0" w:color="auto"/>
              <w:right w:val="single" w:sz="4" w:space="0" w:color="auto"/>
            </w:tcBorders>
            <w:shd w:val="clear" w:color="auto" w:fill="auto"/>
            <w:vAlign w:val="center"/>
          </w:tcPr>
          <w:p w14:paraId="7056A00A" w14:textId="77777777" w:rsidR="00EF4A2D" w:rsidRPr="00EF4A2D" w:rsidRDefault="00EF4A2D" w:rsidP="004D07F1">
            <w:pPr>
              <w:jc w:val="center"/>
              <w:rPr>
                <w:rFonts w:eastAsia="Calibri"/>
                <w:sz w:val="14"/>
                <w:szCs w:val="14"/>
                <w:lang w:eastAsia="en-US"/>
              </w:rPr>
            </w:pPr>
          </w:p>
        </w:tc>
        <w:tc>
          <w:tcPr>
            <w:tcW w:w="1606" w:type="dxa"/>
            <w:tcBorders>
              <w:left w:val="single" w:sz="4" w:space="0" w:color="auto"/>
              <w:bottom w:val="single" w:sz="4" w:space="0" w:color="auto"/>
              <w:right w:val="single" w:sz="4" w:space="0" w:color="auto"/>
            </w:tcBorders>
            <w:shd w:val="clear" w:color="auto" w:fill="auto"/>
            <w:vAlign w:val="center"/>
          </w:tcPr>
          <w:p w14:paraId="4646A5FB"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Todo el mundo</w:t>
            </w:r>
          </w:p>
        </w:tc>
        <w:tc>
          <w:tcPr>
            <w:tcW w:w="662" w:type="dxa"/>
            <w:tcBorders>
              <w:left w:val="single" w:sz="4" w:space="0" w:color="auto"/>
              <w:bottom w:val="single" w:sz="4" w:space="0" w:color="auto"/>
              <w:right w:val="single" w:sz="4" w:space="0" w:color="auto"/>
            </w:tcBorders>
            <w:shd w:val="clear" w:color="auto" w:fill="auto"/>
            <w:vAlign w:val="center"/>
          </w:tcPr>
          <w:p w14:paraId="1F5A5BE3"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4 740</w:t>
            </w:r>
          </w:p>
        </w:tc>
        <w:tc>
          <w:tcPr>
            <w:tcW w:w="709" w:type="dxa"/>
            <w:tcBorders>
              <w:left w:val="single" w:sz="4" w:space="0" w:color="auto"/>
              <w:bottom w:val="single" w:sz="4" w:space="0" w:color="auto"/>
              <w:right w:val="single" w:sz="4" w:space="0" w:color="auto"/>
            </w:tcBorders>
            <w:shd w:val="clear" w:color="auto" w:fill="auto"/>
            <w:vAlign w:val="center"/>
          </w:tcPr>
          <w:p w14:paraId="6883D4CD"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100.0</w:t>
            </w:r>
          </w:p>
        </w:tc>
        <w:tc>
          <w:tcPr>
            <w:tcW w:w="567" w:type="dxa"/>
            <w:tcBorders>
              <w:left w:val="single" w:sz="4" w:space="0" w:color="auto"/>
              <w:bottom w:val="single" w:sz="4" w:space="0" w:color="auto"/>
              <w:right w:val="single" w:sz="4" w:space="0" w:color="auto"/>
            </w:tcBorders>
            <w:shd w:val="clear" w:color="auto" w:fill="auto"/>
            <w:vAlign w:val="center"/>
          </w:tcPr>
          <w:p w14:paraId="2487A54D" w14:textId="77777777" w:rsidR="00EF4A2D" w:rsidRPr="00EF4A2D" w:rsidRDefault="00EF4A2D" w:rsidP="004D07F1">
            <w:pPr>
              <w:ind w:right="57"/>
              <w:jc w:val="right"/>
              <w:rPr>
                <w:rFonts w:eastAsia="Calibri"/>
                <w:b/>
                <w:sz w:val="14"/>
                <w:szCs w:val="14"/>
                <w:lang w:eastAsia="en-US"/>
              </w:rPr>
            </w:pPr>
            <w:r w:rsidRPr="00EF4A2D">
              <w:rPr>
                <w:rFonts w:eastAsia="Calibri"/>
                <w:b/>
                <w:sz w:val="14"/>
                <w:szCs w:val="14"/>
                <w:lang w:eastAsia="en-US"/>
              </w:rPr>
              <w:t>5</w:t>
            </w:r>
          </w:p>
        </w:tc>
      </w:tr>
      <w:tr w:rsidR="00EF4A2D" w:rsidRPr="00EF4A2D" w14:paraId="4481C90B" w14:textId="77777777" w:rsidTr="00B9606F">
        <w:trPr>
          <w:jc w:val="center"/>
        </w:trPr>
        <w:tc>
          <w:tcPr>
            <w:tcW w:w="8931" w:type="dxa"/>
            <w:gridSpan w:val="11"/>
            <w:vAlign w:val="center"/>
          </w:tcPr>
          <w:p w14:paraId="7AF55BD1" w14:textId="15B69F32" w:rsidR="00EF4A2D" w:rsidRPr="00EF4A2D" w:rsidRDefault="00EF4A2D" w:rsidP="004D07F1">
            <w:pPr>
              <w:numPr>
                <w:ilvl w:val="0"/>
                <w:numId w:val="135"/>
              </w:numPr>
              <w:ind w:left="284" w:hanging="284"/>
              <w:jc w:val="both"/>
              <w:rPr>
                <w:rFonts w:eastAsia="Calibri"/>
                <w:sz w:val="18"/>
                <w:szCs w:val="18"/>
                <w:lang w:eastAsia="en-US"/>
              </w:rPr>
            </w:pPr>
            <w:r w:rsidRPr="00EF4A2D">
              <w:rPr>
                <w:rFonts w:eastAsia="Calibri"/>
                <w:sz w:val="18"/>
                <w:szCs w:val="18"/>
                <w:lang w:eastAsia="en-US"/>
              </w:rPr>
              <w:t>Datos según la metodología del MBP5</w:t>
            </w:r>
            <w:r w:rsidR="00EC0263">
              <w:rPr>
                <w:rFonts w:eastAsia="Calibri"/>
                <w:sz w:val="18"/>
                <w:szCs w:val="18"/>
                <w:lang w:eastAsia="en-US"/>
              </w:rPr>
              <w:t>.</w:t>
            </w:r>
          </w:p>
          <w:p w14:paraId="31D053B8" w14:textId="77777777" w:rsidR="00EF4A2D" w:rsidRPr="00EF4A2D" w:rsidRDefault="00EF4A2D" w:rsidP="004D07F1">
            <w:pPr>
              <w:numPr>
                <w:ilvl w:val="0"/>
                <w:numId w:val="135"/>
              </w:numPr>
              <w:ind w:left="284" w:hanging="284"/>
              <w:jc w:val="both"/>
              <w:rPr>
                <w:rFonts w:eastAsia="Calibri"/>
                <w:sz w:val="18"/>
                <w:szCs w:val="18"/>
                <w:lang w:eastAsia="en-US"/>
              </w:rPr>
            </w:pPr>
            <w:r w:rsidRPr="00EF4A2D">
              <w:rPr>
                <w:rFonts w:eastAsia="Calibri"/>
                <w:sz w:val="18"/>
                <w:szCs w:val="18"/>
                <w:lang w:eastAsia="en-US"/>
              </w:rPr>
              <w:t>Estimaciones de la Secretaría.</w:t>
            </w:r>
          </w:p>
          <w:p w14:paraId="20288EE4" w14:textId="77777777" w:rsidR="00EF4A2D" w:rsidRPr="00EF4A2D" w:rsidRDefault="00EF4A2D" w:rsidP="004D07F1">
            <w:pPr>
              <w:ind w:right="57"/>
              <w:jc w:val="both"/>
              <w:rPr>
                <w:rFonts w:eastAsia="Calibri"/>
                <w:sz w:val="18"/>
                <w:szCs w:val="18"/>
                <w:lang w:eastAsia="en-US"/>
              </w:rPr>
            </w:pPr>
            <w:r w:rsidRPr="00EF4A2D">
              <w:rPr>
                <w:rFonts w:eastAsia="Calibri"/>
                <w:sz w:val="18"/>
                <w:szCs w:val="18"/>
                <w:lang w:eastAsia="en-US"/>
              </w:rPr>
              <w:t>…  Cifras no disponibles.</w:t>
            </w:r>
          </w:p>
          <w:p w14:paraId="4EFE7A86" w14:textId="77777777" w:rsidR="00EF4A2D" w:rsidRDefault="00EF4A2D" w:rsidP="004D07F1">
            <w:pPr>
              <w:ind w:right="57"/>
              <w:jc w:val="both"/>
              <w:rPr>
                <w:rFonts w:eastAsia="Calibri"/>
                <w:sz w:val="18"/>
                <w:szCs w:val="18"/>
                <w:lang w:eastAsia="en-US"/>
              </w:rPr>
            </w:pPr>
            <w:r w:rsidRPr="00EF4A2D">
              <w:rPr>
                <w:rFonts w:eastAsia="Calibri"/>
                <w:sz w:val="18"/>
                <w:szCs w:val="18"/>
                <w:lang w:eastAsia="en-US"/>
              </w:rPr>
              <w:t>-    No aplicable.</w:t>
            </w:r>
          </w:p>
          <w:p w14:paraId="061CB2A9" w14:textId="67B77140" w:rsidR="00EC0263" w:rsidRPr="00EF4A2D" w:rsidRDefault="00EC0263" w:rsidP="00EC0263">
            <w:pPr>
              <w:ind w:left="494" w:right="57" w:hanging="494"/>
              <w:jc w:val="both"/>
              <w:rPr>
                <w:rFonts w:eastAsia="Calibri"/>
                <w:sz w:val="18"/>
                <w:szCs w:val="18"/>
                <w:lang w:eastAsia="en-US"/>
              </w:rPr>
            </w:pPr>
            <w:r>
              <w:rPr>
                <w:rFonts w:eastAsia="Calibri"/>
                <w:sz w:val="18"/>
                <w:szCs w:val="18"/>
                <w:lang w:eastAsia="en-US"/>
              </w:rPr>
              <w:t>Nota</w:t>
            </w:r>
            <w:proofErr w:type="gramStart"/>
            <w:r>
              <w:rPr>
                <w:rFonts w:eastAsia="Calibri"/>
                <w:sz w:val="18"/>
                <w:szCs w:val="18"/>
                <w:lang w:eastAsia="en-US"/>
              </w:rPr>
              <w:t xml:space="preserve">:  </w:t>
            </w:r>
            <w:r w:rsidRPr="00EF4A2D">
              <w:rPr>
                <w:rFonts w:eastAsia="Calibri"/>
                <w:sz w:val="18"/>
                <w:szCs w:val="18"/>
                <w:lang w:eastAsia="en-US"/>
              </w:rPr>
              <w:t>Las</w:t>
            </w:r>
            <w:proofErr w:type="gramEnd"/>
            <w:r w:rsidRPr="00EF4A2D">
              <w:rPr>
                <w:rFonts w:eastAsia="Calibri"/>
                <w:sz w:val="18"/>
                <w:szCs w:val="18"/>
                <w:lang w:eastAsia="en-US"/>
              </w:rPr>
              <w:t xml:space="preserve"> cifras correspondientes a varios países y territorios han sido estimadas por la Secretaría. Las interrupciones en la continuidad de las series correspondientes a un gran número de economías y las limitaciones de la comparabilidad de los datos entre países afectan a las variaciones porcentuales anuales y al lugar ocupado en la clasificación.</w:t>
            </w:r>
          </w:p>
          <w:p w14:paraId="13AF3B47" w14:textId="4F9E4728" w:rsidR="00EF4A2D" w:rsidRPr="00EF4A2D" w:rsidRDefault="00EF4A2D" w:rsidP="00EC0263">
            <w:pPr>
              <w:ind w:left="794" w:right="57" w:hanging="794"/>
              <w:jc w:val="both"/>
              <w:rPr>
                <w:rFonts w:eastAsia="Calibri"/>
                <w:sz w:val="18"/>
                <w:szCs w:val="18"/>
                <w:lang w:eastAsia="en-US"/>
              </w:rPr>
            </w:pPr>
            <w:r w:rsidRPr="00EF4A2D">
              <w:rPr>
                <w:rFonts w:eastAsia="Calibri"/>
                <w:sz w:val="18"/>
                <w:szCs w:val="18"/>
                <w:lang w:eastAsia="en-US"/>
              </w:rPr>
              <w:t xml:space="preserve">FUENTE: Secretaría de la OMC y la UNCTAD. </w:t>
            </w:r>
          </w:p>
        </w:tc>
      </w:tr>
    </w:tbl>
    <w:p w14:paraId="420A71F4" w14:textId="77777777" w:rsidR="00EF4A2D" w:rsidRDefault="00EF4A2D" w:rsidP="00EF4A2D">
      <w:pPr>
        <w:spacing w:after="360" w:line="360" w:lineRule="auto"/>
        <w:ind w:right="-159"/>
        <w:jc w:val="both"/>
        <w:rPr>
          <w:rFonts w:eastAsia="Calibri"/>
          <w:sz w:val="26"/>
          <w:szCs w:val="26"/>
          <w:lang w:val="es-ES" w:eastAsia="en-US"/>
        </w:rPr>
      </w:pPr>
    </w:p>
    <w:p w14:paraId="40C887AB" w14:textId="77777777" w:rsidR="004D07F1" w:rsidRDefault="004D07F1" w:rsidP="00EF4A2D">
      <w:pPr>
        <w:spacing w:after="360" w:line="360" w:lineRule="auto"/>
        <w:ind w:right="-159"/>
        <w:jc w:val="both"/>
        <w:rPr>
          <w:rFonts w:eastAsia="Calibri"/>
          <w:sz w:val="26"/>
          <w:szCs w:val="26"/>
          <w:lang w:val="es-ES" w:eastAsia="en-US"/>
        </w:rPr>
      </w:pPr>
    </w:p>
    <w:p w14:paraId="68097EF7" w14:textId="77777777" w:rsidR="004D07F1" w:rsidRDefault="004D07F1" w:rsidP="00EF4A2D">
      <w:pPr>
        <w:spacing w:after="360" w:line="360" w:lineRule="auto"/>
        <w:ind w:right="-159"/>
        <w:jc w:val="both"/>
        <w:rPr>
          <w:rFonts w:eastAsia="Calibri"/>
          <w:sz w:val="26"/>
          <w:szCs w:val="26"/>
          <w:lang w:val="es-ES" w:eastAsia="en-US"/>
        </w:rPr>
      </w:pPr>
    </w:p>
    <w:p w14:paraId="4F58AD62" w14:textId="77777777" w:rsidR="004D07F1" w:rsidRPr="00EF4A2D" w:rsidRDefault="004D07F1" w:rsidP="00EF4A2D">
      <w:pPr>
        <w:spacing w:after="360" w:line="360" w:lineRule="auto"/>
        <w:ind w:right="-159"/>
        <w:jc w:val="both"/>
        <w:rPr>
          <w:rFonts w:eastAsia="Calibri"/>
          <w:sz w:val="26"/>
          <w:szCs w:val="26"/>
          <w:lang w:val="es-ES" w:eastAsia="en-US"/>
        </w:rPr>
      </w:pPr>
    </w:p>
    <w:tbl>
      <w:tblPr>
        <w:tblW w:w="9109" w:type="dxa"/>
        <w:jc w:val="center"/>
        <w:tblLook w:val="01E0" w:firstRow="1" w:lastRow="1" w:firstColumn="1" w:lastColumn="1" w:noHBand="0" w:noVBand="0"/>
      </w:tblPr>
      <w:tblGrid>
        <w:gridCol w:w="590"/>
        <w:gridCol w:w="2053"/>
        <w:gridCol w:w="559"/>
        <w:gridCol w:w="545"/>
        <w:gridCol w:w="808"/>
        <w:gridCol w:w="590"/>
        <w:gridCol w:w="2060"/>
        <w:gridCol w:w="559"/>
        <w:gridCol w:w="537"/>
        <w:gridCol w:w="808"/>
      </w:tblGrid>
      <w:tr w:rsidR="00EF4A2D" w:rsidRPr="00EF4A2D" w14:paraId="0D88BA39" w14:textId="77777777" w:rsidTr="00B9606F">
        <w:trPr>
          <w:jc w:val="center"/>
        </w:trPr>
        <w:tc>
          <w:tcPr>
            <w:tcW w:w="9109" w:type="dxa"/>
            <w:gridSpan w:val="10"/>
            <w:tcBorders>
              <w:bottom w:val="single" w:sz="4" w:space="0" w:color="auto"/>
            </w:tcBorders>
          </w:tcPr>
          <w:p w14:paraId="25C27802" w14:textId="77777777" w:rsidR="00EF4A2D" w:rsidRPr="00EF4A2D" w:rsidRDefault="00EF4A2D" w:rsidP="004D07F1">
            <w:pPr>
              <w:jc w:val="center"/>
              <w:rPr>
                <w:rFonts w:eastAsia="Calibri"/>
                <w:b/>
                <w:sz w:val="22"/>
                <w:szCs w:val="22"/>
                <w:lang w:eastAsia="en-US"/>
              </w:rPr>
            </w:pPr>
            <w:r w:rsidRPr="00EF4A2D">
              <w:rPr>
                <w:rFonts w:eastAsia="Calibri"/>
                <w:b/>
                <w:sz w:val="22"/>
                <w:szCs w:val="22"/>
                <w:lang w:eastAsia="en-US"/>
              </w:rPr>
              <w:lastRenderedPageBreak/>
              <w:t>PRINCIPALES EXPORTADORES E IMPORTADORES</w:t>
            </w:r>
          </w:p>
          <w:p w14:paraId="30829A74" w14:textId="77777777" w:rsidR="00EF4A2D" w:rsidRPr="00EF4A2D" w:rsidRDefault="00EF4A2D" w:rsidP="004D07F1">
            <w:pPr>
              <w:jc w:val="center"/>
              <w:rPr>
                <w:rFonts w:eastAsia="Calibri"/>
                <w:b/>
                <w:sz w:val="22"/>
                <w:szCs w:val="22"/>
                <w:lang w:eastAsia="en-US"/>
              </w:rPr>
            </w:pPr>
            <w:r w:rsidRPr="00EF4A2D">
              <w:rPr>
                <w:rFonts w:eastAsia="Calibri"/>
                <w:b/>
                <w:sz w:val="22"/>
                <w:szCs w:val="22"/>
                <w:lang w:eastAsia="en-US"/>
              </w:rPr>
              <w:t>DE SERVICIOS COMERCIALES</w:t>
            </w:r>
          </w:p>
          <w:p w14:paraId="1D6C10AF" w14:textId="77777777" w:rsidR="00EF4A2D" w:rsidRPr="00EF4A2D" w:rsidRDefault="00EF4A2D" w:rsidP="004D07F1">
            <w:pPr>
              <w:jc w:val="center"/>
              <w:rPr>
                <w:rFonts w:eastAsia="Calibri"/>
                <w:b/>
                <w:sz w:val="22"/>
                <w:szCs w:val="22"/>
                <w:lang w:eastAsia="en-US"/>
              </w:rPr>
            </w:pPr>
            <w:r w:rsidRPr="00EF4A2D">
              <w:rPr>
                <w:rFonts w:eastAsia="Calibri"/>
                <w:b/>
                <w:sz w:val="22"/>
                <w:szCs w:val="22"/>
                <w:lang w:eastAsia="en-US"/>
              </w:rPr>
              <w:t>(Se excluye el comercio intracomunitario de la UE-28)</w:t>
            </w:r>
          </w:p>
          <w:p w14:paraId="55C8DA6C" w14:textId="7D92AE3A" w:rsidR="00EF4A2D" w:rsidRPr="00EF4A2D" w:rsidRDefault="00EF4A2D" w:rsidP="004D07F1">
            <w:pPr>
              <w:jc w:val="center"/>
              <w:rPr>
                <w:rFonts w:eastAsia="Calibri"/>
                <w:b/>
                <w:sz w:val="22"/>
                <w:szCs w:val="22"/>
                <w:lang w:eastAsia="en-US"/>
              </w:rPr>
            </w:pPr>
            <w:r w:rsidRPr="00EF4A2D">
              <w:rPr>
                <w:rFonts w:eastAsia="Calibri"/>
                <w:b/>
                <w:sz w:val="22"/>
                <w:szCs w:val="22"/>
                <w:lang w:eastAsia="en-US"/>
              </w:rPr>
              <w:t>-En miles de millones de dólares</w:t>
            </w:r>
            <w:r w:rsidR="00525B73">
              <w:rPr>
                <w:rFonts w:eastAsia="Calibri"/>
                <w:b/>
                <w:sz w:val="22"/>
                <w:szCs w:val="22"/>
                <w:lang w:eastAsia="en-US"/>
              </w:rPr>
              <w:t xml:space="preserve"> estadounidenses </w:t>
            </w:r>
            <w:r w:rsidRPr="00EF4A2D">
              <w:rPr>
                <w:rFonts w:eastAsia="Calibri"/>
                <w:b/>
                <w:sz w:val="22"/>
                <w:szCs w:val="22"/>
                <w:lang w:eastAsia="en-US"/>
              </w:rPr>
              <w:t xml:space="preserve"> y en porcentajes-</w:t>
            </w:r>
          </w:p>
          <w:p w14:paraId="15703AB4" w14:textId="77777777" w:rsidR="00EF4A2D" w:rsidRPr="00EF4A2D" w:rsidRDefault="00EF4A2D" w:rsidP="004D07F1">
            <w:pPr>
              <w:jc w:val="center"/>
              <w:rPr>
                <w:rFonts w:eastAsia="Calibri"/>
                <w:b/>
                <w:sz w:val="14"/>
                <w:szCs w:val="14"/>
                <w:lang w:eastAsia="en-US"/>
              </w:rPr>
            </w:pPr>
          </w:p>
        </w:tc>
      </w:tr>
      <w:tr w:rsidR="00EF4A2D" w:rsidRPr="00EF4A2D" w14:paraId="0EA6DDEF" w14:textId="77777777" w:rsidTr="00B9606F">
        <w:trPr>
          <w:jc w:val="center"/>
        </w:trPr>
        <w:tc>
          <w:tcPr>
            <w:tcW w:w="590" w:type="dxa"/>
            <w:tcBorders>
              <w:top w:val="single" w:sz="4" w:space="0" w:color="auto"/>
              <w:left w:val="single" w:sz="4" w:space="0" w:color="auto"/>
              <w:bottom w:val="single" w:sz="4" w:space="0" w:color="auto"/>
              <w:right w:val="single" w:sz="4" w:space="0" w:color="auto"/>
            </w:tcBorders>
          </w:tcPr>
          <w:p w14:paraId="515CE456"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 xml:space="preserve">Lugar en la </w:t>
            </w:r>
            <w:proofErr w:type="spellStart"/>
            <w:r w:rsidRPr="00EF4A2D">
              <w:rPr>
                <w:rFonts w:eastAsia="Calibri"/>
                <w:b/>
                <w:sz w:val="14"/>
                <w:szCs w:val="14"/>
                <w:lang w:eastAsia="en-US"/>
              </w:rPr>
              <w:t>clasif</w:t>
            </w:r>
            <w:proofErr w:type="spellEnd"/>
            <w:r w:rsidRPr="00EF4A2D">
              <w:rPr>
                <w:rFonts w:eastAsia="Calibri"/>
                <w:b/>
                <w:sz w:val="14"/>
                <w:szCs w:val="14"/>
                <w:lang w:eastAsia="en-US"/>
              </w:rPr>
              <w:t>.</w:t>
            </w:r>
          </w:p>
        </w:tc>
        <w:tc>
          <w:tcPr>
            <w:tcW w:w="2053" w:type="dxa"/>
            <w:tcBorders>
              <w:top w:val="single" w:sz="4" w:space="0" w:color="auto"/>
              <w:left w:val="single" w:sz="4" w:space="0" w:color="auto"/>
              <w:bottom w:val="single" w:sz="4" w:space="0" w:color="auto"/>
              <w:right w:val="single" w:sz="4" w:space="0" w:color="auto"/>
            </w:tcBorders>
            <w:vAlign w:val="center"/>
          </w:tcPr>
          <w:p w14:paraId="73B0A9F4"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Exportadores</w:t>
            </w:r>
          </w:p>
        </w:tc>
        <w:tc>
          <w:tcPr>
            <w:tcW w:w="559" w:type="dxa"/>
            <w:tcBorders>
              <w:top w:val="single" w:sz="4" w:space="0" w:color="auto"/>
              <w:left w:val="single" w:sz="4" w:space="0" w:color="auto"/>
              <w:bottom w:val="single" w:sz="4" w:space="0" w:color="auto"/>
              <w:right w:val="single" w:sz="4" w:space="0" w:color="auto"/>
            </w:tcBorders>
            <w:vAlign w:val="center"/>
          </w:tcPr>
          <w:p w14:paraId="5B74F95D"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Valor</w:t>
            </w:r>
          </w:p>
        </w:tc>
        <w:tc>
          <w:tcPr>
            <w:tcW w:w="545" w:type="dxa"/>
            <w:tcBorders>
              <w:top w:val="single" w:sz="4" w:space="0" w:color="auto"/>
              <w:left w:val="single" w:sz="4" w:space="0" w:color="auto"/>
              <w:bottom w:val="single" w:sz="4" w:space="0" w:color="auto"/>
              <w:right w:val="single" w:sz="4" w:space="0" w:color="auto"/>
            </w:tcBorders>
            <w:vAlign w:val="center"/>
          </w:tcPr>
          <w:p w14:paraId="318F4B37"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w:t>
            </w:r>
          </w:p>
        </w:tc>
        <w:tc>
          <w:tcPr>
            <w:tcW w:w="808" w:type="dxa"/>
            <w:tcBorders>
              <w:top w:val="single" w:sz="4" w:space="0" w:color="auto"/>
              <w:left w:val="single" w:sz="4" w:space="0" w:color="auto"/>
              <w:bottom w:val="single" w:sz="4" w:space="0" w:color="auto"/>
              <w:right w:val="single" w:sz="4" w:space="0" w:color="auto"/>
            </w:tcBorders>
            <w:vAlign w:val="center"/>
          </w:tcPr>
          <w:p w14:paraId="61453C12"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Variación</w:t>
            </w:r>
          </w:p>
          <w:p w14:paraId="381E5622"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w:t>
            </w:r>
          </w:p>
          <w:p w14:paraId="7EDB16C9"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anual</w:t>
            </w:r>
          </w:p>
        </w:tc>
        <w:tc>
          <w:tcPr>
            <w:tcW w:w="590" w:type="dxa"/>
            <w:tcBorders>
              <w:top w:val="single" w:sz="4" w:space="0" w:color="auto"/>
              <w:left w:val="single" w:sz="4" w:space="0" w:color="auto"/>
              <w:bottom w:val="single" w:sz="4" w:space="0" w:color="auto"/>
              <w:right w:val="single" w:sz="4" w:space="0" w:color="auto"/>
            </w:tcBorders>
          </w:tcPr>
          <w:p w14:paraId="36062551"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 xml:space="preserve">Lugar en la </w:t>
            </w:r>
            <w:proofErr w:type="spellStart"/>
            <w:r w:rsidRPr="00EF4A2D">
              <w:rPr>
                <w:rFonts w:eastAsia="Calibri"/>
                <w:b/>
                <w:sz w:val="14"/>
                <w:szCs w:val="14"/>
                <w:lang w:eastAsia="en-US"/>
              </w:rPr>
              <w:t>clasif</w:t>
            </w:r>
            <w:proofErr w:type="spellEnd"/>
            <w:r w:rsidRPr="00EF4A2D">
              <w:rPr>
                <w:rFonts w:eastAsia="Calibri"/>
                <w:b/>
                <w:sz w:val="14"/>
                <w:szCs w:val="14"/>
                <w:lang w:eastAsia="en-US"/>
              </w:rPr>
              <w:t>.</w:t>
            </w:r>
          </w:p>
        </w:tc>
        <w:tc>
          <w:tcPr>
            <w:tcW w:w="2060" w:type="dxa"/>
            <w:tcBorders>
              <w:top w:val="single" w:sz="4" w:space="0" w:color="auto"/>
              <w:left w:val="single" w:sz="4" w:space="0" w:color="auto"/>
              <w:bottom w:val="single" w:sz="4" w:space="0" w:color="auto"/>
              <w:right w:val="single" w:sz="4" w:space="0" w:color="auto"/>
            </w:tcBorders>
            <w:vAlign w:val="center"/>
          </w:tcPr>
          <w:p w14:paraId="24D2577D"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Importadores</w:t>
            </w:r>
          </w:p>
        </w:tc>
        <w:tc>
          <w:tcPr>
            <w:tcW w:w="559" w:type="dxa"/>
            <w:tcBorders>
              <w:top w:val="single" w:sz="4" w:space="0" w:color="auto"/>
              <w:left w:val="single" w:sz="4" w:space="0" w:color="auto"/>
              <w:bottom w:val="single" w:sz="4" w:space="0" w:color="auto"/>
              <w:right w:val="single" w:sz="4" w:space="0" w:color="auto"/>
            </w:tcBorders>
            <w:vAlign w:val="center"/>
          </w:tcPr>
          <w:p w14:paraId="34731FB1"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Valor</w:t>
            </w:r>
          </w:p>
        </w:tc>
        <w:tc>
          <w:tcPr>
            <w:tcW w:w="537" w:type="dxa"/>
            <w:tcBorders>
              <w:top w:val="single" w:sz="4" w:space="0" w:color="auto"/>
              <w:left w:val="single" w:sz="4" w:space="0" w:color="auto"/>
              <w:bottom w:val="single" w:sz="4" w:space="0" w:color="auto"/>
              <w:right w:val="single" w:sz="4" w:space="0" w:color="auto"/>
            </w:tcBorders>
            <w:vAlign w:val="center"/>
          </w:tcPr>
          <w:p w14:paraId="3F939581"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w:t>
            </w:r>
          </w:p>
        </w:tc>
        <w:tc>
          <w:tcPr>
            <w:tcW w:w="808" w:type="dxa"/>
            <w:tcBorders>
              <w:top w:val="single" w:sz="4" w:space="0" w:color="auto"/>
              <w:left w:val="single" w:sz="4" w:space="0" w:color="auto"/>
              <w:bottom w:val="single" w:sz="4" w:space="0" w:color="auto"/>
              <w:right w:val="single" w:sz="4" w:space="0" w:color="auto"/>
            </w:tcBorders>
            <w:vAlign w:val="center"/>
          </w:tcPr>
          <w:p w14:paraId="1BDB454A"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Variación</w:t>
            </w:r>
          </w:p>
          <w:p w14:paraId="45FDF00A"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w:t>
            </w:r>
          </w:p>
          <w:p w14:paraId="39EE8667" w14:textId="77777777" w:rsidR="00EF4A2D" w:rsidRPr="00EF4A2D" w:rsidRDefault="00EF4A2D" w:rsidP="004D07F1">
            <w:pPr>
              <w:jc w:val="center"/>
              <w:rPr>
                <w:rFonts w:eastAsia="Calibri"/>
                <w:b/>
                <w:sz w:val="14"/>
                <w:szCs w:val="14"/>
                <w:lang w:eastAsia="en-US"/>
              </w:rPr>
            </w:pPr>
            <w:r w:rsidRPr="00EF4A2D">
              <w:rPr>
                <w:rFonts w:eastAsia="Calibri"/>
                <w:b/>
                <w:sz w:val="14"/>
                <w:szCs w:val="14"/>
                <w:lang w:eastAsia="en-US"/>
              </w:rPr>
              <w:t>anual</w:t>
            </w:r>
          </w:p>
        </w:tc>
      </w:tr>
      <w:tr w:rsidR="00EF4A2D" w:rsidRPr="00EF4A2D" w14:paraId="2DDC78A8" w14:textId="77777777" w:rsidTr="00B9606F">
        <w:trPr>
          <w:jc w:val="center"/>
        </w:trPr>
        <w:tc>
          <w:tcPr>
            <w:tcW w:w="590" w:type="dxa"/>
            <w:tcBorders>
              <w:top w:val="single" w:sz="4" w:space="0" w:color="auto"/>
              <w:left w:val="single" w:sz="4" w:space="0" w:color="auto"/>
              <w:right w:val="single" w:sz="4" w:space="0" w:color="auto"/>
            </w:tcBorders>
            <w:shd w:val="clear" w:color="auto" w:fill="auto"/>
            <w:vAlign w:val="center"/>
          </w:tcPr>
          <w:p w14:paraId="329CDC5D"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w:t>
            </w:r>
          </w:p>
        </w:tc>
        <w:tc>
          <w:tcPr>
            <w:tcW w:w="2053" w:type="dxa"/>
            <w:tcBorders>
              <w:top w:val="single" w:sz="4" w:space="0" w:color="auto"/>
              <w:left w:val="single" w:sz="4" w:space="0" w:color="auto"/>
              <w:right w:val="single" w:sz="4" w:space="0" w:color="auto"/>
            </w:tcBorders>
            <w:shd w:val="clear" w:color="auto" w:fill="auto"/>
          </w:tcPr>
          <w:p w14:paraId="46BE9AA6" w14:textId="77777777" w:rsidR="00EF4A2D" w:rsidRPr="00EF4A2D" w:rsidRDefault="00EF4A2D" w:rsidP="004D07F1">
            <w:pPr>
              <w:rPr>
                <w:rFonts w:eastAsia="Calibri"/>
                <w:sz w:val="14"/>
                <w:szCs w:val="14"/>
                <w:lang w:eastAsia="en-US"/>
              </w:rPr>
            </w:pPr>
            <w:r w:rsidRPr="00EF4A2D">
              <w:rPr>
                <w:rFonts w:eastAsia="Calibri"/>
                <w:sz w:val="14"/>
                <w:szCs w:val="14"/>
                <w:lang w:eastAsia="en-US"/>
              </w:rPr>
              <w:t>UE(28), exportaciones extracomunitarias</w:t>
            </w:r>
          </w:p>
        </w:tc>
        <w:tc>
          <w:tcPr>
            <w:tcW w:w="559" w:type="dxa"/>
            <w:tcBorders>
              <w:top w:val="single" w:sz="4" w:space="0" w:color="auto"/>
              <w:left w:val="single" w:sz="4" w:space="0" w:color="auto"/>
              <w:right w:val="single" w:sz="4" w:space="0" w:color="auto"/>
            </w:tcBorders>
            <w:shd w:val="clear" w:color="auto" w:fill="auto"/>
            <w:vAlign w:val="bottom"/>
          </w:tcPr>
          <w:p w14:paraId="193FBB5B"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994</w:t>
            </w:r>
          </w:p>
        </w:tc>
        <w:tc>
          <w:tcPr>
            <w:tcW w:w="545" w:type="dxa"/>
            <w:tcBorders>
              <w:top w:val="single" w:sz="4" w:space="0" w:color="auto"/>
              <w:left w:val="single" w:sz="4" w:space="0" w:color="auto"/>
              <w:right w:val="single" w:sz="4" w:space="0" w:color="auto"/>
            </w:tcBorders>
            <w:shd w:val="clear" w:color="auto" w:fill="auto"/>
            <w:vAlign w:val="bottom"/>
          </w:tcPr>
          <w:p w14:paraId="3D035EDC"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26.8</w:t>
            </w:r>
          </w:p>
        </w:tc>
        <w:tc>
          <w:tcPr>
            <w:tcW w:w="808" w:type="dxa"/>
            <w:tcBorders>
              <w:top w:val="single" w:sz="4" w:space="0" w:color="auto"/>
              <w:left w:val="single" w:sz="4" w:space="0" w:color="auto"/>
              <w:right w:val="single" w:sz="4" w:space="0" w:color="auto"/>
            </w:tcBorders>
            <w:shd w:val="clear" w:color="auto" w:fill="auto"/>
            <w:vAlign w:val="bottom"/>
          </w:tcPr>
          <w:p w14:paraId="455AFEBB"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7</w:t>
            </w:r>
          </w:p>
        </w:tc>
        <w:tc>
          <w:tcPr>
            <w:tcW w:w="590" w:type="dxa"/>
            <w:tcBorders>
              <w:top w:val="single" w:sz="4" w:space="0" w:color="auto"/>
              <w:left w:val="single" w:sz="4" w:space="0" w:color="auto"/>
              <w:right w:val="single" w:sz="4" w:space="0" w:color="auto"/>
            </w:tcBorders>
            <w:shd w:val="clear" w:color="auto" w:fill="auto"/>
            <w:vAlign w:val="center"/>
          </w:tcPr>
          <w:p w14:paraId="4EEB197C"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w:t>
            </w:r>
          </w:p>
        </w:tc>
        <w:tc>
          <w:tcPr>
            <w:tcW w:w="2060" w:type="dxa"/>
            <w:tcBorders>
              <w:top w:val="single" w:sz="4" w:space="0" w:color="auto"/>
              <w:left w:val="single" w:sz="4" w:space="0" w:color="auto"/>
              <w:right w:val="single" w:sz="4" w:space="0" w:color="auto"/>
            </w:tcBorders>
            <w:shd w:val="clear" w:color="auto" w:fill="auto"/>
            <w:vAlign w:val="bottom"/>
          </w:tcPr>
          <w:p w14:paraId="2C3D83D0"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UE(28), importaciones extracomunitarias</w:t>
            </w:r>
          </w:p>
        </w:tc>
        <w:tc>
          <w:tcPr>
            <w:tcW w:w="559" w:type="dxa"/>
            <w:tcBorders>
              <w:top w:val="single" w:sz="4" w:space="0" w:color="auto"/>
              <w:left w:val="single" w:sz="4" w:space="0" w:color="auto"/>
              <w:right w:val="single" w:sz="4" w:space="0" w:color="auto"/>
            </w:tcBorders>
            <w:shd w:val="clear" w:color="auto" w:fill="auto"/>
            <w:vAlign w:val="bottom"/>
          </w:tcPr>
          <w:p w14:paraId="4EF68D44"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739</w:t>
            </w:r>
          </w:p>
        </w:tc>
        <w:tc>
          <w:tcPr>
            <w:tcW w:w="537" w:type="dxa"/>
            <w:tcBorders>
              <w:top w:val="single" w:sz="4" w:space="0" w:color="auto"/>
              <w:left w:val="single" w:sz="4" w:space="0" w:color="auto"/>
              <w:right w:val="single" w:sz="4" w:space="0" w:color="auto"/>
            </w:tcBorders>
            <w:shd w:val="clear" w:color="auto" w:fill="auto"/>
            <w:vAlign w:val="bottom"/>
          </w:tcPr>
          <w:p w14:paraId="63964736"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20.1</w:t>
            </w:r>
          </w:p>
        </w:tc>
        <w:tc>
          <w:tcPr>
            <w:tcW w:w="808" w:type="dxa"/>
            <w:tcBorders>
              <w:top w:val="single" w:sz="4" w:space="0" w:color="auto"/>
              <w:left w:val="single" w:sz="4" w:space="0" w:color="auto"/>
              <w:right w:val="single" w:sz="4" w:space="0" w:color="auto"/>
            </w:tcBorders>
            <w:shd w:val="clear" w:color="auto" w:fill="auto"/>
            <w:vAlign w:val="bottom"/>
          </w:tcPr>
          <w:p w14:paraId="1736D6D5"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6</w:t>
            </w:r>
          </w:p>
        </w:tc>
      </w:tr>
      <w:tr w:rsidR="00EF4A2D" w:rsidRPr="00EF4A2D" w14:paraId="12F3E906" w14:textId="77777777" w:rsidTr="00B9606F">
        <w:trPr>
          <w:jc w:val="center"/>
        </w:trPr>
        <w:tc>
          <w:tcPr>
            <w:tcW w:w="590" w:type="dxa"/>
            <w:tcBorders>
              <w:left w:val="single" w:sz="4" w:space="0" w:color="auto"/>
              <w:right w:val="single" w:sz="4" w:space="0" w:color="auto"/>
            </w:tcBorders>
            <w:shd w:val="clear" w:color="auto" w:fill="auto"/>
            <w:vAlign w:val="bottom"/>
          </w:tcPr>
          <w:p w14:paraId="7E0D7F3F"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w:t>
            </w:r>
          </w:p>
        </w:tc>
        <w:tc>
          <w:tcPr>
            <w:tcW w:w="2053" w:type="dxa"/>
            <w:tcBorders>
              <w:left w:val="single" w:sz="4" w:space="0" w:color="auto"/>
              <w:right w:val="single" w:sz="4" w:space="0" w:color="auto"/>
            </w:tcBorders>
            <w:shd w:val="clear" w:color="auto" w:fill="auto"/>
          </w:tcPr>
          <w:p w14:paraId="66D79942" w14:textId="77777777" w:rsidR="00EF4A2D" w:rsidRPr="00EF4A2D" w:rsidRDefault="00EF4A2D" w:rsidP="004D07F1">
            <w:pPr>
              <w:rPr>
                <w:rFonts w:eastAsia="Calibri"/>
                <w:sz w:val="14"/>
                <w:szCs w:val="14"/>
                <w:lang w:eastAsia="en-US"/>
              </w:rPr>
            </w:pPr>
            <w:r w:rsidRPr="00EF4A2D">
              <w:rPr>
                <w:rFonts w:eastAsia="Calibri"/>
                <w:sz w:val="14"/>
                <w:szCs w:val="14"/>
                <w:lang w:eastAsia="en-US"/>
              </w:rPr>
              <w:t>Estados Unidos de N.</w:t>
            </w:r>
          </w:p>
        </w:tc>
        <w:tc>
          <w:tcPr>
            <w:tcW w:w="559" w:type="dxa"/>
            <w:tcBorders>
              <w:left w:val="single" w:sz="4" w:space="0" w:color="auto"/>
              <w:right w:val="single" w:sz="4" w:space="0" w:color="auto"/>
            </w:tcBorders>
            <w:shd w:val="clear" w:color="auto" w:fill="auto"/>
          </w:tcPr>
          <w:p w14:paraId="781F5F1A"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686</w:t>
            </w:r>
          </w:p>
        </w:tc>
        <w:tc>
          <w:tcPr>
            <w:tcW w:w="545" w:type="dxa"/>
            <w:tcBorders>
              <w:left w:val="single" w:sz="4" w:space="0" w:color="auto"/>
              <w:right w:val="single" w:sz="4" w:space="0" w:color="auto"/>
            </w:tcBorders>
            <w:shd w:val="clear" w:color="auto" w:fill="auto"/>
          </w:tcPr>
          <w:p w14:paraId="66905863"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18.5</w:t>
            </w:r>
          </w:p>
        </w:tc>
        <w:tc>
          <w:tcPr>
            <w:tcW w:w="808" w:type="dxa"/>
            <w:tcBorders>
              <w:left w:val="single" w:sz="4" w:space="0" w:color="auto"/>
              <w:right w:val="single" w:sz="4" w:space="0" w:color="auto"/>
            </w:tcBorders>
            <w:shd w:val="clear" w:color="auto" w:fill="auto"/>
          </w:tcPr>
          <w:p w14:paraId="4A9BB631"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w:t>
            </w:r>
          </w:p>
        </w:tc>
        <w:tc>
          <w:tcPr>
            <w:tcW w:w="590" w:type="dxa"/>
            <w:tcBorders>
              <w:left w:val="single" w:sz="4" w:space="0" w:color="auto"/>
              <w:right w:val="single" w:sz="4" w:space="0" w:color="auto"/>
            </w:tcBorders>
            <w:shd w:val="clear" w:color="auto" w:fill="auto"/>
          </w:tcPr>
          <w:p w14:paraId="52A942AD"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w:t>
            </w:r>
          </w:p>
        </w:tc>
        <w:tc>
          <w:tcPr>
            <w:tcW w:w="2060" w:type="dxa"/>
            <w:tcBorders>
              <w:left w:val="single" w:sz="4" w:space="0" w:color="auto"/>
              <w:right w:val="single" w:sz="4" w:space="0" w:color="auto"/>
            </w:tcBorders>
            <w:shd w:val="clear" w:color="auto" w:fill="auto"/>
          </w:tcPr>
          <w:p w14:paraId="426FCEA0"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Estados Unidos de N.</w:t>
            </w:r>
          </w:p>
        </w:tc>
        <w:tc>
          <w:tcPr>
            <w:tcW w:w="559" w:type="dxa"/>
            <w:tcBorders>
              <w:left w:val="single" w:sz="4" w:space="0" w:color="auto"/>
              <w:right w:val="single" w:sz="4" w:space="0" w:color="auto"/>
            </w:tcBorders>
            <w:shd w:val="clear" w:color="auto" w:fill="auto"/>
            <w:vAlign w:val="bottom"/>
          </w:tcPr>
          <w:p w14:paraId="5656998E"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454</w:t>
            </w:r>
          </w:p>
        </w:tc>
        <w:tc>
          <w:tcPr>
            <w:tcW w:w="537" w:type="dxa"/>
            <w:tcBorders>
              <w:left w:val="single" w:sz="4" w:space="0" w:color="auto"/>
              <w:right w:val="single" w:sz="4" w:space="0" w:color="auto"/>
            </w:tcBorders>
            <w:shd w:val="clear" w:color="auto" w:fill="auto"/>
            <w:vAlign w:val="bottom"/>
          </w:tcPr>
          <w:p w14:paraId="534DB6B9"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12.4</w:t>
            </w:r>
          </w:p>
        </w:tc>
        <w:tc>
          <w:tcPr>
            <w:tcW w:w="808" w:type="dxa"/>
            <w:tcBorders>
              <w:left w:val="single" w:sz="4" w:space="0" w:color="auto"/>
              <w:right w:val="single" w:sz="4" w:space="0" w:color="auto"/>
            </w:tcBorders>
            <w:shd w:val="clear" w:color="auto" w:fill="auto"/>
            <w:vAlign w:val="bottom"/>
          </w:tcPr>
          <w:p w14:paraId="6767C4C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4</w:t>
            </w:r>
          </w:p>
        </w:tc>
      </w:tr>
      <w:tr w:rsidR="00EF4A2D" w:rsidRPr="00EF4A2D" w14:paraId="43D976B0" w14:textId="77777777" w:rsidTr="00B9606F">
        <w:trPr>
          <w:jc w:val="center"/>
        </w:trPr>
        <w:tc>
          <w:tcPr>
            <w:tcW w:w="590" w:type="dxa"/>
            <w:tcBorders>
              <w:left w:val="single" w:sz="4" w:space="0" w:color="auto"/>
              <w:right w:val="single" w:sz="4" w:space="0" w:color="auto"/>
            </w:tcBorders>
            <w:shd w:val="clear" w:color="auto" w:fill="auto"/>
            <w:vAlign w:val="bottom"/>
          </w:tcPr>
          <w:p w14:paraId="323F348B"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3</w:t>
            </w:r>
          </w:p>
        </w:tc>
        <w:tc>
          <w:tcPr>
            <w:tcW w:w="2053" w:type="dxa"/>
            <w:tcBorders>
              <w:left w:val="single" w:sz="4" w:space="0" w:color="auto"/>
              <w:right w:val="single" w:sz="4" w:space="0" w:color="auto"/>
            </w:tcBorders>
            <w:shd w:val="clear" w:color="auto" w:fill="auto"/>
          </w:tcPr>
          <w:p w14:paraId="3DCF762A" w14:textId="77777777" w:rsidR="00EF4A2D" w:rsidRPr="00EF4A2D" w:rsidRDefault="00EF4A2D" w:rsidP="004D07F1">
            <w:pPr>
              <w:rPr>
                <w:rFonts w:eastAsia="Calibri"/>
                <w:sz w:val="14"/>
                <w:szCs w:val="14"/>
                <w:lang w:eastAsia="en-US"/>
              </w:rPr>
            </w:pPr>
            <w:r w:rsidRPr="00EF4A2D">
              <w:rPr>
                <w:rFonts w:eastAsia="Calibri"/>
                <w:sz w:val="14"/>
                <w:szCs w:val="14"/>
                <w:lang w:eastAsia="en-US"/>
              </w:rPr>
              <w:t>China</w:t>
            </w:r>
          </w:p>
        </w:tc>
        <w:tc>
          <w:tcPr>
            <w:tcW w:w="559" w:type="dxa"/>
            <w:tcBorders>
              <w:left w:val="single" w:sz="4" w:space="0" w:color="auto"/>
              <w:right w:val="single" w:sz="4" w:space="0" w:color="auto"/>
            </w:tcBorders>
            <w:shd w:val="clear" w:color="auto" w:fill="auto"/>
          </w:tcPr>
          <w:p w14:paraId="5AF4EF8A"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222</w:t>
            </w:r>
          </w:p>
        </w:tc>
        <w:tc>
          <w:tcPr>
            <w:tcW w:w="545" w:type="dxa"/>
            <w:tcBorders>
              <w:left w:val="single" w:sz="4" w:space="0" w:color="auto"/>
              <w:right w:val="single" w:sz="4" w:space="0" w:color="auto"/>
            </w:tcBorders>
            <w:shd w:val="clear" w:color="auto" w:fill="auto"/>
          </w:tcPr>
          <w:p w14:paraId="01966983"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6.0</w:t>
            </w:r>
          </w:p>
        </w:tc>
        <w:tc>
          <w:tcPr>
            <w:tcW w:w="808" w:type="dxa"/>
            <w:tcBorders>
              <w:left w:val="single" w:sz="4" w:space="0" w:color="auto"/>
              <w:right w:val="single" w:sz="4" w:space="0" w:color="auto"/>
            </w:tcBorders>
            <w:shd w:val="clear" w:color="auto" w:fill="auto"/>
          </w:tcPr>
          <w:p w14:paraId="025A7B0B"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8</w:t>
            </w:r>
          </w:p>
        </w:tc>
        <w:tc>
          <w:tcPr>
            <w:tcW w:w="590" w:type="dxa"/>
            <w:tcBorders>
              <w:left w:val="single" w:sz="4" w:space="0" w:color="auto"/>
              <w:right w:val="single" w:sz="4" w:space="0" w:color="auto"/>
            </w:tcBorders>
            <w:shd w:val="clear" w:color="auto" w:fill="auto"/>
          </w:tcPr>
          <w:p w14:paraId="642F0E2A"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3</w:t>
            </w:r>
          </w:p>
        </w:tc>
        <w:tc>
          <w:tcPr>
            <w:tcW w:w="2060" w:type="dxa"/>
            <w:tcBorders>
              <w:left w:val="single" w:sz="4" w:space="0" w:color="auto"/>
              <w:right w:val="single" w:sz="4" w:space="0" w:color="auto"/>
            </w:tcBorders>
            <w:shd w:val="clear" w:color="auto" w:fill="auto"/>
          </w:tcPr>
          <w:p w14:paraId="7C3F5D4C"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China</w:t>
            </w:r>
          </w:p>
        </w:tc>
        <w:tc>
          <w:tcPr>
            <w:tcW w:w="559" w:type="dxa"/>
            <w:tcBorders>
              <w:left w:val="single" w:sz="4" w:space="0" w:color="auto"/>
              <w:right w:val="single" w:sz="4" w:space="0" w:color="auto"/>
            </w:tcBorders>
            <w:shd w:val="clear" w:color="auto" w:fill="auto"/>
            <w:vAlign w:val="bottom"/>
          </w:tcPr>
          <w:p w14:paraId="25EB1DC1"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382</w:t>
            </w:r>
          </w:p>
        </w:tc>
        <w:tc>
          <w:tcPr>
            <w:tcW w:w="537" w:type="dxa"/>
            <w:tcBorders>
              <w:left w:val="single" w:sz="4" w:space="0" w:color="auto"/>
              <w:right w:val="single" w:sz="4" w:space="0" w:color="auto"/>
            </w:tcBorders>
            <w:shd w:val="clear" w:color="auto" w:fill="auto"/>
            <w:vAlign w:val="bottom"/>
          </w:tcPr>
          <w:p w14:paraId="47E13361"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10.4</w:t>
            </w:r>
          </w:p>
        </w:tc>
        <w:tc>
          <w:tcPr>
            <w:tcW w:w="808" w:type="dxa"/>
            <w:tcBorders>
              <w:left w:val="single" w:sz="4" w:space="0" w:color="auto"/>
              <w:right w:val="single" w:sz="4" w:space="0" w:color="auto"/>
            </w:tcBorders>
            <w:shd w:val="clear" w:color="auto" w:fill="auto"/>
            <w:vAlign w:val="bottom"/>
          </w:tcPr>
          <w:p w14:paraId="257CE7E8"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16</w:t>
            </w:r>
          </w:p>
        </w:tc>
      </w:tr>
      <w:tr w:rsidR="00EF4A2D" w:rsidRPr="00EF4A2D" w14:paraId="325908EF" w14:textId="77777777" w:rsidTr="00B9606F">
        <w:trPr>
          <w:jc w:val="center"/>
        </w:trPr>
        <w:tc>
          <w:tcPr>
            <w:tcW w:w="590" w:type="dxa"/>
            <w:tcBorders>
              <w:left w:val="single" w:sz="4" w:space="0" w:color="auto"/>
              <w:right w:val="single" w:sz="4" w:space="0" w:color="auto"/>
            </w:tcBorders>
            <w:shd w:val="clear" w:color="auto" w:fill="auto"/>
            <w:vAlign w:val="bottom"/>
          </w:tcPr>
          <w:p w14:paraId="08AB1BC0"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4</w:t>
            </w:r>
          </w:p>
        </w:tc>
        <w:tc>
          <w:tcPr>
            <w:tcW w:w="2053" w:type="dxa"/>
            <w:tcBorders>
              <w:left w:val="single" w:sz="4" w:space="0" w:color="auto"/>
              <w:right w:val="single" w:sz="4" w:space="0" w:color="auto"/>
            </w:tcBorders>
            <w:shd w:val="clear" w:color="auto" w:fill="auto"/>
          </w:tcPr>
          <w:p w14:paraId="2754581D" w14:textId="77777777" w:rsidR="00EF4A2D" w:rsidRPr="00EF4A2D" w:rsidRDefault="00EF4A2D" w:rsidP="004D07F1">
            <w:pPr>
              <w:rPr>
                <w:rFonts w:eastAsia="Calibri"/>
                <w:sz w:val="14"/>
                <w:szCs w:val="14"/>
                <w:lang w:eastAsia="en-US"/>
              </w:rPr>
            </w:pPr>
            <w:r w:rsidRPr="00EF4A2D">
              <w:rPr>
                <w:rFonts w:eastAsia="Calibri"/>
                <w:sz w:val="14"/>
                <w:szCs w:val="14"/>
                <w:lang w:eastAsia="en-US"/>
              </w:rPr>
              <w:t>Japón</w:t>
            </w:r>
          </w:p>
        </w:tc>
        <w:tc>
          <w:tcPr>
            <w:tcW w:w="559" w:type="dxa"/>
            <w:tcBorders>
              <w:left w:val="single" w:sz="4" w:space="0" w:color="auto"/>
              <w:right w:val="single" w:sz="4" w:space="0" w:color="auto"/>
            </w:tcBorders>
            <w:shd w:val="clear" w:color="auto" w:fill="auto"/>
          </w:tcPr>
          <w:p w14:paraId="69C50F53"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158</w:t>
            </w:r>
          </w:p>
        </w:tc>
        <w:tc>
          <w:tcPr>
            <w:tcW w:w="545" w:type="dxa"/>
            <w:tcBorders>
              <w:left w:val="single" w:sz="4" w:space="0" w:color="auto"/>
              <w:right w:val="single" w:sz="4" w:space="0" w:color="auto"/>
            </w:tcBorders>
            <w:shd w:val="clear" w:color="auto" w:fill="auto"/>
          </w:tcPr>
          <w:p w14:paraId="47E9C53C"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4.3</w:t>
            </w:r>
          </w:p>
        </w:tc>
        <w:tc>
          <w:tcPr>
            <w:tcW w:w="808" w:type="dxa"/>
            <w:tcBorders>
              <w:left w:val="single" w:sz="4" w:space="0" w:color="auto"/>
              <w:right w:val="single" w:sz="4" w:space="0" w:color="auto"/>
            </w:tcBorders>
            <w:shd w:val="clear" w:color="auto" w:fill="auto"/>
          </w:tcPr>
          <w:p w14:paraId="6E405FB8"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19</w:t>
            </w:r>
          </w:p>
        </w:tc>
        <w:tc>
          <w:tcPr>
            <w:tcW w:w="590" w:type="dxa"/>
            <w:tcBorders>
              <w:left w:val="single" w:sz="4" w:space="0" w:color="auto"/>
              <w:right w:val="single" w:sz="4" w:space="0" w:color="auto"/>
            </w:tcBorders>
            <w:shd w:val="clear" w:color="auto" w:fill="auto"/>
          </w:tcPr>
          <w:p w14:paraId="36A4F647"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4</w:t>
            </w:r>
          </w:p>
        </w:tc>
        <w:tc>
          <w:tcPr>
            <w:tcW w:w="2060" w:type="dxa"/>
            <w:tcBorders>
              <w:left w:val="single" w:sz="4" w:space="0" w:color="auto"/>
              <w:right w:val="single" w:sz="4" w:space="0" w:color="auto"/>
            </w:tcBorders>
            <w:shd w:val="clear" w:color="auto" w:fill="auto"/>
          </w:tcPr>
          <w:p w14:paraId="7188D2F0"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Japón</w:t>
            </w:r>
          </w:p>
        </w:tc>
        <w:tc>
          <w:tcPr>
            <w:tcW w:w="559" w:type="dxa"/>
            <w:tcBorders>
              <w:left w:val="single" w:sz="4" w:space="0" w:color="auto"/>
              <w:right w:val="single" w:sz="4" w:space="0" w:color="auto"/>
            </w:tcBorders>
            <w:shd w:val="clear" w:color="auto" w:fill="auto"/>
            <w:vAlign w:val="bottom"/>
          </w:tcPr>
          <w:p w14:paraId="2911368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190</w:t>
            </w:r>
          </w:p>
        </w:tc>
        <w:tc>
          <w:tcPr>
            <w:tcW w:w="537" w:type="dxa"/>
            <w:tcBorders>
              <w:left w:val="single" w:sz="4" w:space="0" w:color="auto"/>
              <w:right w:val="single" w:sz="4" w:space="0" w:color="auto"/>
            </w:tcBorders>
            <w:shd w:val="clear" w:color="auto" w:fill="auto"/>
            <w:vAlign w:val="bottom"/>
          </w:tcPr>
          <w:p w14:paraId="14659DE8"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5.2</w:t>
            </w:r>
          </w:p>
        </w:tc>
        <w:tc>
          <w:tcPr>
            <w:tcW w:w="808" w:type="dxa"/>
            <w:tcBorders>
              <w:left w:val="single" w:sz="4" w:space="0" w:color="auto"/>
              <w:right w:val="single" w:sz="4" w:space="0" w:color="auto"/>
            </w:tcBorders>
            <w:shd w:val="clear" w:color="auto" w:fill="auto"/>
            <w:vAlign w:val="bottom"/>
          </w:tcPr>
          <w:p w14:paraId="19677DFD"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12</w:t>
            </w:r>
          </w:p>
        </w:tc>
      </w:tr>
      <w:tr w:rsidR="00EF4A2D" w:rsidRPr="00EF4A2D" w14:paraId="266F66D0" w14:textId="77777777" w:rsidTr="00B9606F">
        <w:trPr>
          <w:jc w:val="center"/>
        </w:trPr>
        <w:tc>
          <w:tcPr>
            <w:tcW w:w="590" w:type="dxa"/>
            <w:tcBorders>
              <w:left w:val="single" w:sz="4" w:space="0" w:color="auto"/>
              <w:right w:val="single" w:sz="4" w:space="0" w:color="auto"/>
            </w:tcBorders>
            <w:shd w:val="clear" w:color="auto" w:fill="auto"/>
            <w:vAlign w:val="bottom"/>
          </w:tcPr>
          <w:p w14:paraId="1CB8913E"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5</w:t>
            </w:r>
          </w:p>
        </w:tc>
        <w:tc>
          <w:tcPr>
            <w:tcW w:w="2053" w:type="dxa"/>
            <w:tcBorders>
              <w:left w:val="single" w:sz="4" w:space="0" w:color="auto"/>
              <w:right w:val="single" w:sz="4" w:space="0" w:color="auto"/>
            </w:tcBorders>
            <w:shd w:val="clear" w:color="auto" w:fill="auto"/>
          </w:tcPr>
          <w:p w14:paraId="6FA8B7E2" w14:textId="77777777" w:rsidR="00EF4A2D" w:rsidRPr="00EF4A2D" w:rsidRDefault="00EF4A2D" w:rsidP="004D07F1">
            <w:pPr>
              <w:rPr>
                <w:rFonts w:eastAsia="Calibri"/>
                <w:sz w:val="14"/>
                <w:szCs w:val="14"/>
                <w:lang w:eastAsia="en-US"/>
              </w:rPr>
            </w:pPr>
            <w:r w:rsidRPr="00EF4A2D">
              <w:rPr>
                <w:rFonts w:eastAsia="Calibri"/>
                <w:sz w:val="14"/>
                <w:szCs w:val="14"/>
                <w:lang w:eastAsia="en-US"/>
              </w:rPr>
              <w:t>India</w:t>
            </w:r>
          </w:p>
        </w:tc>
        <w:tc>
          <w:tcPr>
            <w:tcW w:w="559" w:type="dxa"/>
            <w:tcBorders>
              <w:left w:val="single" w:sz="4" w:space="0" w:color="auto"/>
              <w:right w:val="single" w:sz="4" w:space="0" w:color="auto"/>
            </w:tcBorders>
            <w:shd w:val="clear" w:color="auto" w:fill="auto"/>
          </w:tcPr>
          <w:p w14:paraId="36A35A6E"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154</w:t>
            </w:r>
          </w:p>
        </w:tc>
        <w:tc>
          <w:tcPr>
            <w:tcW w:w="545" w:type="dxa"/>
            <w:tcBorders>
              <w:left w:val="single" w:sz="4" w:space="0" w:color="auto"/>
              <w:right w:val="single" w:sz="4" w:space="0" w:color="auto"/>
            </w:tcBorders>
            <w:shd w:val="clear" w:color="auto" w:fill="auto"/>
          </w:tcPr>
          <w:p w14:paraId="33D0F538"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4.2</w:t>
            </w:r>
          </w:p>
        </w:tc>
        <w:tc>
          <w:tcPr>
            <w:tcW w:w="808" w:type="dxa"/>
            <w:tcBorders>
              <w:left w:val="single" w:sz="4" w:space="0" w:color="auto"/>
              <w:right w:val="single" w:sz="4" w:space="0" w:color="auto"/>
            </w:tcBorders>
            <w:shd w:val="clear" w:color="auto" w:fill="auto"/>
          </w:tcPr>
          <w:p w14:paraId="725C353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4</w:t>
            </w:r>
          </w:p>
        </w:tc>
        <w:tc>
          <w:tcPr>
            <w:tcW w:w="590" w:type="dxa"/>
            <w:tcBorders>
              <w:left w:val="single" w:sz="4" w:space="0" w:color="auto"/>
              <w:right w:val="single" w:sz="4" w:space="0" w:color="auto"/>
            </w:tcBorders>
            <w:shd w:val="clear" w:color="auto" w:fill="auto"/>
            <w:vAlign w:val="bottom"/>
          </w:tcPr>
          <w:p w14:paraId="567270F2"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5</w:t>
            </w:r>
          </w:p>
        </w:tc>
        <w:tc>
          <w:tcPr>
            <w:tcW w:w="2060" w:type="dxa"/>
            <w:tcBorders>
              <w:left w:val="single" w:sz="4" w:space="0" w:color="auto"/>
              <w:right w:val="single" w:sz="4" w:space="0" w:color="auto"/>
            </w:tcBorders>
            <w:shd w:val="clear" w:color="auto" w:fill="auto"/>
            <w:vAlign w:val="bottom"/>
          </w:tcPr>
          <w:p w14:paraId="7F63D864"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Singapur</w:t>
            </w:r>
          </w:p>
        </w:tc>
        <w:tc>
          <w:tcPr>
            <w:tcW w:w="559" w:type="dxa"/>
            <w:tcBorders>
              <w:left w:val="single" w:sz="4" w:space="0" w:color="auto"/>
              <w:right w:val="single" w:sz="4" w:space="0" w:color="auto"/>
            </w:tcBorders>
            <w:shd w:val="clear" w:color="auto" w:fill="auto"/>
            <w:vAlign w:val="bottom"/>
          </w:tcPr>
          <w:p w14:paraId="3471646C"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130</w:t>
            </w:r>
          </w:p>
        </w:tc>
        <w:tc>
          <w:tcPr>
            <w:tcW w:w="537" w:type="dxa"/>
            <w:tcBorders>
              <w:left w:val="single" w:sz="4" w:space="0" w:color="auto"/>
              <w:right w:val="single" w:sz="4" w:space="0" w:color="auto"/>
            </w:tcBorders>
            <w:shd w:val="clear" w:color="auto" w:fill="auto"/>
            <w:vAlign w:val="bottom"/>
          </w:tcPr>
          <w:p w14:paraId="7D2652E1"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3.5</w:t>
            </w:r>
          </w:p>
        </w:tc>
        <w:tc>
          <w:tcPr>
            <w:tcW w:w="808" w:type="dxa"/>
            <w:tcBorders>
              <w:left w:val="single" w:sz="4" w:space="0" w:color="auto"/>
              <w:right w:val="single" w:sz="4" w:space="0" w:color="auto"/>
            </w:tcBorders>
            <w:shd w:val="clear" w:color="auto" w:fill="auto"/>
            <w:vAlign w:val="bottom"/>
          </w:tcPr>
          <w:p w14:paraId="4246852A"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w:t>
            </w:r>
          </w:p>
        </w:tc>
      </w:tr>
      <w:tr w:rsidR="00EF4A2D" w:rsidRPr="00EF4A2D" w14:paraId="6ECB633D" w14:textId="77777777" w:rsidTr="00B9606F">
        <w:trPr>
          <w:jc w:val="center"/>
        </w:trPr>
        <w:tc>
          <w:tcPr>
            <w:tcW w:w="590" w:type="dxa"/>
            <w:tcBorders>
              <w:left w:val="single" w:sz="4" w:space="0" w:color="auto"/>
              <w:right w:val="single" w:sz="4" w:space="0" w:color="auto"/>
            </w:tcBorders>
            <w:shd w:val="clear" w:color="auto" w:fill="auto"/>
            <w:vAlign w:val="bottom"/>
          </w:tcPr>
          <w:p w14:paraId="1AC80924"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6</w:t>
            </w:r>
          </w:p>
        </w:tc>
        <w:tc>
          <w:tcPr>
            <w:tcW w:w="2053" w:type="dxa"/>
            <w:tcBorders>
              <w:left w:val="single" w:sz="4" w:space="0" w:color="auto"/>
              <w:right w:val="single" w:sz="4" w:space="0" w:color="auto"/>
            </w:tcBorders>
            <w:shd w:val="clear" w:color="auto" w:fill="auto"/>
          </w:tcPr>
          <w:p w14:paraId="071359D0" w14:textId="77777777" w:rsidR="00EF4A2D" w:rsidRPr="00EF4A2D" w:rsidRDefault="00EF4A2D" w:rsidP="004D07F1">
            <w:pPr>
              <w:rPr>
                <w:rFonts w:eastAsia="Calibri"/>
                <w:sz w:val="14"/>
                <w:szCs w:val="14"/>
                <w:lang w:eastAsia="en-US"/>
              </w:rPr>
            </w:pPr>
            <w:r w:rsidRPr="00EF4A2D">
              <w:rPr>
                <w:rFonts w:eastAsia="Calibri"/>
                <w:sz w:val="14"/>
                <w:szCs w:val="14"/>
                <w:lang w:eastAsia="en-US"/>
              </w:rPr>
              <w:t>Singapur</w:t>
            </w:r>
          </w:p>
        </w:tc>
        <w:tc>
          <w:tcPr>
            <w:tcW w:w="559" w:type="dxa"/>
            <w:tcBorders>
              <w:left w:val="single" w:sz="4" w:space="0" w:color="auto"/>
              <w:right w:val="single" w:sz="4" w:space="0" w:color="auto"/>
            </w:tcBorders>
            <w:shd w:val="clear" w:color="auto" w:fill="auto"/>
          </w:tcPr>
          <w:p w14:paraId="0C6928BA"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133</w:t>
            </w:r>
          </w:p>
        </w:tc>
        <w:tc>
          <w:tcPr>
            <w:tcW w:w="545" w:type="dxa"/>
            <w:tcBorders>
              <w:left w:val="single" w:sz="4" w:space="0" w:color="auto"/>
              <w:right w:val="single" w:sz="4" w:space="0" w:color="auto"/>
            </w:tcBorders>
            <w:shd w:val="clear" w:color="auto" w:fill="auto"/>
          </w:tcPr>
          <w:p w14:paraId="394C28D5"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3.6</w:t>
            </w:r>
          </w:p>
        </w:tc>
        <w:tc>
          <w:tcPr>
            <w:tcW w:w="808" w:type="dxa"/>
            <w:tcBorders>
              <w:left w:val="single" w:sz="4" w:space="0" w:color="auto"/>
              <w:right w:val="single" w:sz="4" w:space="0" w:color="auto"/>
            </w:tcBorders>
            <w:shd w:val="clear" w:color="auto" w:fill="auto"/>
          </w:tcPr>
          <w:p w14:paraId="39C7553C"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w:t>
            </w:r>
          </w:p>
        </w:tc>
        <w:tc>
          <w:tcPr>
            <w:tcW w:w="590" w:type="dxa"/>
            <w:tcBorders>
              <w:left w:val="single" w:sz="4" w:space="0" w:color="auto"/>
              <w:right w:val="single" w:sz="4" w:space="0" w:color="auto"/>
            </w:tcBorders>
            <w:shd w:val="clear" w:color="auto" w:fill="auto"/>
          </w:tcPr>
          <w:p w14:paraId="2F1DC12E"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6</w:t>
            </w:r>
          </w:p>
        </w:tc>
        <w:tc>
          <w:tcPr>
            <w:tcW w:w="2060" w:type="dxa"/>
            <w:tcBorders>
              <w:left w:val="single" w:sz="4" w:space="0" w:color="auto"/>
              <w:right w:val="single" w:sz="4" w:space="0" w:color="auto"/>
            </w:tcBorders>
            <w:shd w:val="clear" w:color="auto" w:fill="auto"/>
          </w:tcPr>
          <w:p w14:paraId="2388C825"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India</w:t>
            </w:r>
          </w:p>
        </w:tc>
        <w:tc>
          <w:tcPr>
            <w:tcW w:w="559" w:type="dxa"/>
            <w:tcBorders>
              <w:left w:val="single" w:sz="4" w:space="0" w:color="auto"/>
              <w:right w:val="single" w:sz="4" w:space="0" w:color="auto"/>
            </w:tcBorders>
            <w:shd w:val="clear" w:color="auto" w:fill="auto"/>
          </w:tcPr>
          <w:p w14:paraId="51730364"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124</w:t>
            </w:r>
          </w:p>
        </w:tc>
        <w:tc>
          <w:tcPr>
            <w:tcW w:w="537" w:type="dxa"/>
            <w:tcBorders>
              <w:left w:val="single" w:sz="4" w:space="0" w:color="auto"/>
              <w:right w:val="single" w:sz="4" w:space="0" w:color="auto"/>
            </w:tcBorders>
            <w:shd w:val="clear" w:color="auto" w:fill="auto"/>
            <w:vAlign w:val="bottom"/>
          </w:tcPr>
          <w:p w14:paraId="4455E5E6"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3.4</w:t>
            </w:r>
          </w:p>
        </w:tc>
        <w:tc>
          <w:tcPr>
            <w:tcW w:w="808" w:type="dxa"/>
            <w:tcBorders>
              <w:left w:val="single" w:sz="4" w:space="0" w:color="auto"/>
              <w:right w:val="single" w:sz="4" w:space="0" w:color="auto"/>
            </w:tcBorders>
            <w:shd w:val="clear" w:color="auto" w:fill="auto"/>
            <w:vAlign w:val="bottom"/>
          </w:tcPr>
          <w:p w14:paraId="2E6188D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w:t>
            </w:r>
          </w:p>
        </w:tc>
      </w:tr>
      <w:tr w:rsidR="00EF4A2D" w:rsidRPr="00EF4A2D" w14:paraId="553216AB" w14:textId="77777777" w:rsidTr="00B9606F">
        <w:trPr>
          <w:jc w:val="center"/>
        </w:trPr>
        <w:tc>
          <w:tcPr>
            <w:tcW w:w="590" w:type="dxa"/>
            <w:tcBorders>
              <w:left w:val="single" w:sz="4" w:space="0" w:color="auto"/>
              <w:right w:val="single" w:sz="4" w:space="0" w:color="auto"/>
            </w:tcBorders>
            <w:shd w:val="clear" w:color="auto" w:fill="auto"/>
            <w:vAlign w:val="bottom"/>
          </w:tcPr>
          <w:p w14:paraId="0BAB11C6"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7</w:t>
            </w:r>
          </w:p>
        </w:tc>
        <w:tc>
          <w:tcPr>
            <w:tcW w:w="2053" w:type="dxa"/>
            <w:tcBorders>
              <w:left w:val="single" w:sz="4" w:space="0" w:color="auto"/>
              <w:right w:val="single" w:sz="4" w:space="0" w:color="auto"/>
            </w:tcBorders>
            <w:shd w:val="clear" w:color="auto" w:fill="auto"/>
          </w:tcPr>
          <w:p w14:paraId="3CD5A116" w14:textId="77777777" w:rsidR="00EF4A2D" w:rsidRPr="00EF4A2D" w:rsidRDefault="00EF4A2D" w:rsidP="004D07F1">
            <w:pPr>
              <w:rPr>
                <w:rFonts w:eastAsia="Calibri"/>
                <w:sz w:val="14"/>
                <w:szCs w:val="14"/>
                <w:lang w:eastAsia="en-US"/>
              </w:rPr>
            </w:pPr>
            <w:r w:rsidRPr="00EF4A2D">
              <w:rPr>
                <w:rFonts w:eastAsia="Calibri"/>
                <w:sz w:val="14"/>
                <w:szCs w:val="14"/>
                <w:lang w:eastAsia="en-US"/>
              </w:rPr>
              <w:t>Suiza</w:t>
            </w:r>
          </w:p>
        </w:tc>
        <w:tc>
          <w:tcPr>
            <w:tcW w:w="559" w:type="dxa"/>
            <w:tcBorders>
              <w:left w:val="single" w:sz="4" w:space="0" w:color="auto"/>
              <w:right w:val="single" w:sz="4" w:space="0" w:color="auto"/>
            </w:tcBorders>
            <w:shd w:val="clear" w:color="auto" w:fill="auto"/>
          </w:tcPr>
          <w:p w14:paraId="6A919FC2"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114</w:t>
            </w:r>
          </w:p>
        </w:tc>
        <w:tc>
          <w:tcPr>
            <w:tcW w:w="545" w:type="dxa"/>
            <w:tcBorders>
              <w:left w:val="single" w:sz="4" w:space="0" w:color="auto"/>
              <w:right w:val="single" w:sz="4" w:space="0" w:color="auto"/>
            </w:tcBorders>
            <w:shd w:val="clear" w:color="auto" w:fill="auto"/>
          </w:tcPr>
          <w:p w14:paraId="6FAABC5A"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3.1</w:t>
            </w:r>
          </w:p>
        </w:tc>
        <w:tc>
          <w:tcPr>
            <w:tcW w:w="808" w:type="dxa"/>
            <w:tcBorders>
              <w:left w:val="single" w:sz="4" w:space="0" w:color="auto"/>
              <w:right w:val="single" w:sz="4" w:space="0" w:color="auto"/>
            </w:tcBorders>
            <w:shd w:val="clear" w:color="auto" w:fill="auto"/>
          </w:tcPr>
          <w:p w14:paraId="0408B199"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w:t>
            </w:r>
          </w:p>
        </w:tc>
        <w:tc>
          <w:tcPr>
            <w:tcW w:w="590" w:type="dxa"/>
            <w:tcBorders>
              <w:left w:val="single" w:sz="4" w:space="0" w:color="auto"/>
              <w:right w:val="single" w:sz="4" w:space="0" w:color="auto"/>
            </w:tcBorders>
            <w:shd w:val="clear" w:color="auto" w:fill="auto"/>
          </w:tcPr>
          <w:p w14:paraId="5C91F972"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7</w:t>
            </w:r>
          </w:p>
        </w:tc>
        <w:tc>
          <w:tcPr>
            <w:tcW w:w="2060" w:type="dxa"/>
            <w:tcBorders>
              <w:left w:val="single" w:sz="4" w:space="0" w:color="auto"/>
              <w:right w:val="single" w:sz="4" w:space="0" w:color="auto"/>
            </w:tcBorders>
            <w:shd w:val="clear" w:color="auto" w:fill="auto"/>
          </w:tcPr>
          <w:p w14:paraId="671B7376"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Federación de Rusia</w:t>
            </w:r>
          </w:p>
        </w:tc>
        <w:tc>
          <w:tcPr>
            <w:tcW w:w="559" w:type="dxa"/>
            <w:tcBorders>
              <w:left w:val="single" w:sz="4" w:space="0" w:color="auto"/>
              <w:right w:val="single" w:sz="4" w:space="0" w:color="auto"/>
            </w:tcBorders>
            <w:shd w:val="clear" w:color="auto" w:fill="auto"/>
          </w:tcPr>
          <w:p w14:paraId="23296909"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119</w:t>
            </w:r>
          </w:p>
        </w:tc>
        <w:tc>
          <w:tcPr>
            <w:tcW w:w="537" w:type="dxa"/>
            <w:tcBorders>
              <w:left w:val="single" w:sz="4" w:space="0" w:color="auto"/>
              <w:right w:val="single" w:sz="4" w:space="0" w:color="auto"/>
            </w:tcBorders>
            <w:shd w:val="clear" w:color="auto" w:fill="auto"/>
            <w:vAlign w:val="bottom"/>
          </w:tcPr>
          <w:p w14:paraId="06AF38B8"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3.2</w:t>
            </w:r>
          </w:p>
        </w:tc>
        <w:tc>
          <w:tcPr>
            <w:tcW w:w="808" w:type="dxa"/>
            <w:tcBorders>
              <w:left w:val="single" w:sz="4" w:space="0" w:color="auto"/>
              <w:right w:val="single" w:sz="4" w:space="0" w:color="auto"/>
            </w:tcBorders>
            <w:shd w:val="clear" w:color="auto" w:fill="auto"/>
            <w:vAlign w:val="bottom"/>
          </w:tcPr>
          <w:p w14:paraId="0B1F9209"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-5</w:t>
            </w:r>
          </w:p>
        </w:tc>
      </w:tr>
      <w:tr w:rsidR="00EF4A2D" w:rsidRPr="00EF4A2D" w14:paraId="3E0F6544" w14:textId="77777777" w:rsidTr="00B9606F">
        <w:trPr>
          <w:jc w:val="center"/>
        </w:trPr>
        <w:tc>
          <w:tcPr>
            <w:tcW w:w="590" w:type="dxa"/>
            <w:tcBorders>
              <w:left w:val="single" w:sz="4" w:space="0" w:color="auto"/>
              <w:right w:val="single" w:sz="4" w:space="0" w:color="auto"/>
            </w:tcBorders>
            <w:shd w:val="clear" w:color="auto" w:fill="auto"/>
            <w:vAlign w:val="bottom"/>
          </w:tcPr>
          <w:p w14:paraId="7D9C8F2F"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8</w:t>
            </w:r>
          </w:p>
        </w:tc>
        <w:tc>
          <w:tcPr>
            <w:tcW w:w="2053" w:type="dxa"/>
            <w:tcBorders>
              <w:left w:val="single" w:sz="4" w:space="0" w:color="auto"/>
              <w:right w:val="single" w:sz="4" w:space="0" w:color="auto"/>
            </w:tcBorders>
            <w:shd w:val="clear" w:color="auto" w:fill="auto"/>
          </w:tcPr>
          <w:p w14:paraId="7A2E01F2" w14:textId="77777777" w:rsidR="00EF4A2D" w:rsidRPr="00EF4A2D" w:rsidRDefault="00EF4A2D" w:rsidP="004D07F1">
            <w:pPr>
              <w:rPr>
                <w:rFonts w:eastAsia="Calibri"/>
                <w:sz w:val="14"/>
                <w:szCs w:val="14"/>
                <w:lang w:eastAsia="en-US"/>
              </w:rPr>
            </w:pPr>
            <w:r w:rsidRPr="00EF4A2D">
              <w:rPr>
                <w:rFonts w:eastAsia="Calibri"/>
                <w:sz w:val="14"/>
                <w:szCs w:val="14"/>
                <w:lang w:eastAsia="en-US"/>
              </w:rPr>
              <w:t>Hong Kong, China</w:t>
            </w:r>
          </w:p>
        </w:tc>
        <w:tc>
          <w:tcPr>
            <w:tcW w:w="559" w:type="dxa"/>
            <w:tcBorders>
              <w:left w:val="single" w:sz="4" w:space="0" w:color="auto"/>
              <w:right w:val="single" w:sz="4" w:space="0" w:color="auto"/>
            </w:tcBorders>
            <w:shd w:val="clear" w:color="auto" w:fill="auto"/>
          </w:tcPr>
          <w:p w14:paraId="520D9521"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107</w:t>
            </w:r>
          </w:p>
        </w:tc>
        <w:tc>
          <w:tcPr>
            <w:tcW w:w="545" w:type="dxa"/>
            <w:tcBorders>
              <w:left w:val="single" w:sz="4" w:space="0" w:color="auto"/>
              <w:right w:val="single" w:sz="4" w:space="0" w:color="auto"/>
            </w:tcBorders>
            <w:shd w:val="clear" w:color="auto" w:fill="auto"/>
          </w:tcPr>
          <w:p w14:paraId="6E1EE256"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2.9</w:t>
            </w:r>
          </w:p>
        </w:tc>
        <w:tc>
          <w:tcPr>
            <w:tcW w:w="808" w:type="dxa"/>
            <w:tcBorders>
              <w:left w:val="single" w:sz="4" w:space="0" w:color="auto"/>
              <w:right w:val="single" w:sz="4" w:space="0" w:color="auto"/>
            </w:tcBorders>
            <w:shd w:val="clear" w:color="auto" w:fill="auto"/>
          </w:tcPr>
          <w:p w14:paraId="31DDE4CB"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w:t>
            </w:r>
          </w:p>
        </w:tc>
        <w:tc>
          <w:tcPr>
            <w:tcW w:w="590" w:type="dxa"/>
            <w:tcBorders>
              <w:left w:val="single" w:sz="4" w:space="0" w:color="auto"/>
              <w:right w:val="single" w:sz="4" w:space="0" w:color="auto"/>
            </w:tcBorders>
            <w:shd w:val="clear" w:color="auto" w:fill="auto"/>
          </w:tcPr>
          <w:p w14:paraId="289F1AC9"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8</w:t>
            </w:r>
          </w:p>
        </w:tc>
        <w:tc>
          <w:tcPr>
            <w:tcW w:w="2060" w:type="dxa"/>
            <w:tcBorders>
              <w:left w:val="single" w:sz="4" w:space="0" w:color="auto"/>
              <w:right w:val="single" w:sz="4" w:space="0" w:color="auto"/>
            </w:tcBorders>
            <w:shd w:val="clear" w:color="auto" w:fill="auto"/>
          </w:tcPr>
          <w:p w14:paraId="7AD35F17"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Corea, República de</w:t>
            </w:r>
          </w:p>
        </w:tc>
        <w:tc>
          <w:tcPr>
            <w:tcW w:w="559" w:type="dxa"/>
            <w:tcBorders>
              <w:left w:val="single" w:sz="4" w:space="0" w:color="auto"/>
              <w:right w:val="single" w:sz="4" w:space="0" w:color="auto"/>
            </w:tcBorders>
            <w:shd w:val="clear" w:color="auto" w:fill="auto"/>
            <w:vAlign w:val="bottom"/>
          </w:tcPr>
          <w:p w14:paraId="19F3FFE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114</w:t>
            </w:r>
          </w:p>
        </w:tc>
        <w:tc>
          <w:tcPr>
            <w:tcW w:w="537" w:type="dxa"/>
            <w:tcBorders>
              <w:left w:val="single" w:sz="4" w:space="0" w:color="auto"/>
              <w:right w:val="single" w:sz="4" w:space="0" w:color="auto"/>
            </w:tcBorders>
            <w:shd w:val="clear" w:color="auto" w:fill="auto"/>
            <w:vAlign w:val="bottom"/>
          </w:tcPr>
          <w:p w14:paraId="40ACEED9"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3.1</w:t>
            </w:r>
          </w:p>
        </w:tc>
        <w:tc>
          <w:tcPr>
            <w:tcW w:w="808" w:type="dxa"/>
            <w:tcBorders>
              <w:left w:val="single" w:sz="4" w:space="0" w:color="auto"/>
              <w:right w:val="single" w:sz="4" w:space="0" w:color="auto"/>
            </w:tcBorders>
            <w:shd w:val="clear" w:color="auto" w:fill="auto"/>
            <w:vAlign w:val="bottom"/>
          </w:tcPr>
          <w:p w14:paraId="4553E1EF"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4</w:t>
            </w:r>
          </w:p>
        </w:tc>
      </w:tr>
      <w:tr w:rsidR="00EF4A2D" w:rsidRPr="00EF4A2D" w14:paraId="72CA8890" w14:textId="77777777" w:rsidTr="00B9606F">
        <w:trPr>
          <w:jc w:val="center"/>
        </w:trPr>
        <w:tc>
          <w:tcPr>
            <w:tcW w:w="590" w:type="dxa"/>
            <w:tcBorders>
              <w:left w:val="single" w:sz="4" w:space="0" w:color="auto"/>
              <w:right w:val="single" w:sz="4" w:space="0" w:color="auto"/>
            </w:tcBorders>
            <w:shd w:val="clear" w:color="auto" w:fill="auto"/>
            <w:vAlign w:val="bottom"/>
          </w:tcPr>
          <w:p w14:paraId="6FACBA91"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9</w:t>
            </w:r>
          </w:p>
        </w:tc>
        <w:tc>
          <w:tcPr>
            <w:tcW w:w="2053" w:type="dxa"/>
            <w:tcBorders>
              <w:left w:val="single" w:sz="4" w:space="0" w:color="auto"/>
              <w:right w:val="single" w:sz="4" w:space="0" w:color="auto"/>
            </w:tcBorders>
            <w:shd w:val="clear" w:color="auto" w:fill="auto"/>
          </w:tcPr>
          <w:p w14:paraId="507E36D9" w14:textId="77777777" w:rsidR="00EF4A2D" w:rsidRPr="00EF4A2D" w:rsidRDefault="00EF4A2D" w:rsidP="004D07F1">
            <w:pPr>
              <w:rPr>
                <w:rFonts w:eastAsia="Calibri"/>
                <w:sz w:val="14"/>
                <w:szCs w:val="14"/>
                <w:lang w:eastAsia="en-US"/>
              </w:rPr>
            </w:pPr>
            <w:r w:rsidRPr="00EF4A2D">
              <w:rPr>
                <w:rFonts w:eastAsia="Calibri"/>
                <w:sz w:val="14"/>
                <w:szCs w:val="14"/>
                <w:lang w:eastAsia="en-US"/>
              </w:rPr>
              <w:t>Corea, República de</w:t>
            </w:r>
          </w:p>
        </w:tc>
        <w:tc>
          <w:tcPr>
            <w:tcW w:w="559" w:type="dxa"/>
            <w:tcBorders>
              <w:left w:val="single" w:sz="4" w:space="0" w:color="auto"/>
              <w:right w:val="single" w:sz="4" w:space="0" w:color="auto"/>
            </w:tcBorders>
            <w:shd w:val="clear" w:color="auto" w:fill="auto"/>
          </w:tcPr>
          <w:p w14:paraId="150B0B83"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106</w:t>
            </w:r>
          </w:p>
        </w:tc>
        <w:tc>
          <w:tcPr>
            <w:tcW w:w="545" w:type="dxa"/>
            <w:tcBorders>
              <w:left w:val="single" w:sz="4" w:space="0" w:color="auto"/>
              <w:right w:val="single" w:sz="4" w:space="0" w:color="auto"/>
            </w:tcBorders>
            <w:shd w:val="clear" w:color="auto" w:fill="auto"/>
          </w:tcPr>
          <w:p w14:paraId="63C54A8C"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2.9</w:t>
            </w:r>
          </w:p>
        </w:tc>
        <w:tc>
          <w:tcPr>
            <w:tcW w:w="808" w:type="dxa"/>
            <w:tcBorders>
              <w:left w:val="single" w:sz="4" w:space="0" w:color="auto"/>
              <w:right w:val="single" w:sz="4" w:space="0" w:color="auto"/>
            </w:tcBorders>
            <w:shd w:val="clear" w:color="auto" w:fill="auto"/>
          </w:tcPr>
          <w:p w14:paraId="22C9D246"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w:t>
            </w:r>
          </w:p>
        </w:tc>
        <w:tc>
          <w:tcPr>
            <w:tcW w:w="590" w:type="dxa"/>
            <w:tcBorders>
              <w:left w:val="single" w:sz="4" w:space="0" w:color="auto"/>
              <w:right w:val="single" w:sz="4" w:space="0" w:color="auto"/>
            </w:tcBorders>
            <w:shd w:val="clear" w:color="auto" w:fill="auto"/>
          </w:tcPr>
          <w:p w14:paraId="3394931C"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9</w:t>
            </w:r>
          </w:p>
        </w:tc>
        <w:tc>
          <w:tcPr>
            <w:tcW w:w="2060" w:type="dxa"/>
            <w:tcBorders>
              <w:left w:val="single" w:sz="4" w:space="0" w:color="auto"/>
              <w:right w:val="single" w:sz="4" w:space="0" w:color="auto"/>
            </w:tcBorders>
            <w:shd w:val="clear" w:color="auto" w:fill="auto"/>
          </w:tcPr>
          <w:p w14:paraId="65DC5E2E"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Canadá</w:t>
            </w:r>
          </w:p>
        </w:tc>
        <w:tc>
          <w:tcPr>
            <w:tcW w:w="559" w:type="dxa"/>
            <w:tcBorders>
              <w:left w:val="single" w:sz="4" w:space="0" w:color="auto"/>
              <w:right w:val="single" w:sz="4" w:space="0" w:color="auto"/>
            </w:tcBorders>
            <w:shd w:val="clear" w:color="auto" w:fill="auto"/>
          </w:tcPr>
          <w:p w14:paraId="5215EFB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106</w:t>
            </w:r>
          </w:p>
        </w:tc>
        <w:tc>
          <w:tcPr>
            <w:tcW w:w="537" w:type="dxa"/>
            <w:tcBorders>
              <w:left w:val="single" w:sz="4" w:space="0" w:color="auto"/>
              <w:right w:val="single" w:sz="4" w:space="0" w:color="auto"/>
            </w:tcBorders>
            <w:shd w:val="clear" w:color="auto" w:fill="auto"/>
            <w:vAlign w:val="bottom"/>
          </w:tcPr>
          <w:p w14:paraId="2E9A13A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2.9</w:t>
            </w:r>
          </w:p>
        </w:tc>
        <w:tc>
          <w:tcPr>
            <w:tcW w:w="808" w:type="dxa"/>
            <w:tcBorders>
              <w:left w:val="single" w:sz="4" w:space="0" w:color="auto"/>
              <w:right w:val="single" w:sz="4" w:space="0" w:color="auto"/>
            </w:tcBorders>
            <w:shd w:val="clear" w:color="auto" w:fill="auto"/>
            <w:vAlign w:val="bottom"/>
          </w:tcPr>
          <w:p w14:paraId="67EFBA4A"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-5</w:t>
            </w:r>
          </w:p>
        </w:tc>
      </w:tr>
      <w:tr w:rsidR="00EF4A2D" w:rsidRPr="00EF4A2D" w14:paraId="5C6C29D6" w14:textId="77777777" w:rsidTr="00B9606F">
        <w:trPr>
          <w:jc w:val="center"/>
        </w:trPr>
        <w:tc>
          <w:tcPr>
            <w:tcW w:w="590" w:type="dxa"/>
            <w:tcBorders>
              <w:left w:val="single" w:sz="4" w:space="0" w:color="auto"/>
              <w:right w:val="single" w:sz="4" w:space="0" w:color="auto"/>
            </w:tcBorders>
            <w:shd w:val="clear" w:color="auto" w:fill="auto"/>
            <w:vAlign w:val="bottom"/>
          </w:tcPr>
          <w:p w14:paraId="5EE5FACA"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10</w:t>
            </w:r>
          </w:p>
        </w:tc>
        <w:tc>
          <w:tcPr>
            <w:tcW w:w="2053" w:type="dxa"/>
            <w:tcBorders>
              <w:left w:val="single" w:sz="4" w:space="0" w:color="auto"/>
              <w:right w:val="single" w:sz="4" w:space="0" w:color="auto"/>
            </w:tcBorders>
            <w:shd w:val="clear" w:color="auto" w:fill="auto"/>
          </w:tcPr>
          <w:p w14:paraId="37D3089A" w14:textId="77777777" w:rsidR="00EF4A2D" w:rsidRPr="00EF4A2D" w:rsidRDefault="00EF4A2D" w:rsidP="004D07F1">
            <w:pPr>
              <w:rPr>
                <w:rFonts w:eastAsia="Calibri"/>
                <w:sz w:val="14"/>
                <w:szCs w:val="14"/>
                <w:lang w:eastAsia="en-US"/>
              </w:rPr>
            </w:pPr>
            <w:r w:rsidRPr="00EF4A2D">
              <w:rPr>
                <w:rFonts w:eastAsia="Calibri"/>
                <w:sz w:val="14"/>
                <w:szCs w:val="14"/>
                <w:lang w:eastAsia="en-US"/>
              </w:rPr>
              <w:t>Canadá</w:t>
            </w:r>
          </w:p>
        </w:tc>
        <w:tc>
          <w:tcPr>
            <w:tcW w:w="559" w:type="dxa"/>
            <w:tcBorders>
              <w:left w:val="single" w:sz="4" w:space="0" w:color="auto"/>
              <w:right w:val="single" w:sz="4" w:space="0" w:color="auto"/>
            </w:tcBorders>
            <w:shd w:val="clear" w:color="auto" w:fill="auto"/>
          </w:tcPr>
          <w:p w14:paraId="35FDC108"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85</w:t>
            </w:r>
          </w:p>
        </w:tc>
        <w:tc>
          <w:tcPr>
            <w:tcW w:w="545" w:type="dxa"/>
            <w:tcBorders>
              <w:left w:val="single" w:sz="4" w:space="0" w:color="auto"/>
              <w:right w:val="single" w:sz="4" w:space="0" w:color="auto"/>
            </w:tcBorders>
            <w:shd w:val="clear" w:color="auto" w:fill="auto"/>
          </w:tcPr>
          <w:p w14:paraId="62E31583"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2.3</w:t>
            </w:r>
          </w:p>
        </w:tc>
        <w:tc>
          <w:tcPr>
            <w:tcW w:w="808" w:type="dxa"/>
            <w:tcBorders>
              <w:left w:val="single" w:sz="4" w:space="0" w:color="auto"/>
              <w:right w:val="single" w:sz="4" w:space="0" w:color="auto"/>
            </w:tcBorders>
            <w:shd w:val="clear" w:color="auto" w:fill="auto"/>
          </w:tcPr>
          <w:p w14:paraId="3CBD38FA"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-4</w:t>
            </w:r>
          </w:p>
        </w:tc>
        <w:tc>
          <w:tcPr>
            <w:tcW w:w="590" w:type="dxa"/>
            <w:tcBorders>
              <w:left w:val="single" w:sz="4" w:space="0" w:color="auto"/>
              <w:right w:val="single" w:sz="4" w:space="0" w:color="auto"/>
            </w:tcBorders>
            <w:shd w:val="clear" w:color="auto" w:fill="auto"/>
          </w:tcPr>
          <w:p w14:paraId="423FA85C"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10</w:t>
            </w:r>
          </w:p>
        </w:tc>
        <w:tc>
          <w:tcPr>
            <w:tcW w:w="2060" w:type="dxa"/>
            <w:tcBorders>
              <w:left w:val="single" w:sz="4" w:space="0" w:color="auto"/>
              <w:right w:val="single" w:sz="4" w:space="0" w:color="auto"/>
            </w:tcBorders>
            <w:shd w:val="clear" w:color="auto" w:fill="auto"/>
          </w:tcPr>
          <w:p w14:paraId="1F2AAD96"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Suiza</w:t>
            </w:r>
          </w:p>
        </w:tc>
        <w:tc>
          <w:tcPr>
            <w:tcW w:w="559" w:type="dxa"/>
            <w:tcBorders>
              <w:left w:val="single" w:sz="4" w:space="0" w:color="auto"/>
              <w:right w:val="single" w:sz="4" w:space="0" w:color="auto"/>
            </w:tcBorders>
            <w:shd w:val="clear" w:color="auto" w:fill="auto"/>
          </w:tcPr>
          <w:p w14:paraId="43521701"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93</w:t>
            </w:r>
          </w:p>
        </w:tc>
        <w:tc>
          <w:tcPr>
            <w:tcW w:w="537" w:type="dxa"/>
            <w:tcBorders>
              <w:left w:val="single" w:sz="4" w:space="0" w:color="auto"/>
              <w:right w:val="single" w:sz="4" w:space="0" w:color="auto"/>
            </w:tcBorders>
            <w:shd w:val="clear" w:color="auto" w:fill="auto"/>
            <w:vAlign w:val="bottom"/>
          </w:tcPr>
          <w:p w14:paraId="3F494E1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2.5</w:t>
            </w:r>
          </w:p>
        </w:tc>
        <w:tc>
          <w:tcPr>
            <w:tcW w:w="808" w:type="dxa"/>
            <w:tcBorders>
              <w:left w:val="single" w:sz="4" w:space="0" w:color="auto"/>
              <w:right w:val="single" w:sz="4" w:space="0" w:color="auto"/>
            </w:tcBorders>
            <w:shd w:val="clear" w:color="auto" w:fill="auto"/>
            <w:vAlign w:val="bottom"/>
          </w:tcPr>
          <w:p w14:paraId="7A45A231"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w:t>
            </w:r>
          </w:p>
        </w:tc>
      </w:tr>
      <w:tr w:rsidR="00EF4A2D" w:rsidRPr="00EF4A2D" w14:paraId="0E75E2EE" w14:textId="77777777" w:rsidTr="00B9606F">
        <w:trPr>
          <w:jc w:val="center"/>
        </w:trPr>
        <w:tc>
          <w:tcPr>
            <w:tcW w:w="590" w:type="dxa"/>
            <w:tcBorders>
              <w:left w:val="single" w:sz="4" w:space="0" w:color="auto"/>
              <w:right w:val="single" w:sz="4" w:space="0" w:color="auto"/>
            </w:tcBorders>
            <w:shd w:val="clear" w:color="auto" w:fill="auto"/>
            <w:vAlign w:val="bottom"/>
          </w:tcPr>
          <w:p w14:paraId="3C8DD048"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11</w:t>
            </w:r>
          </w:p>
        </w:tc>
        <w:tc>
          <w:tcPr>
            <w:tcW w:w="2053" w:type="dxa"/>
            <w:tcBorders>
              <w:left w:val="single" w:sz="4" w:space="0" w:color="auto"/>
              <w:right w:val="single" w:sz="4" w:space="0" w:color="auto"/>
            </w:tcBorders>
            <w:shd w:val="clear" w:color="auto" w:fill="auto"/>
          </w:tcPr>
          <w:p w14:paraId="277C3652" w14:textId="77777777" w:rsidR="00EF4A2D" w:rsidRPr="00EF4A2D" w:rsidRDefault="00EF4A2D" w:rsidP="004D07F1">
            <w:pPr>
              <w:rPr>
                <w:rFonts w:eastAsia="Calibri"/>
                <w:sz w:val="14"/>
                <w:szCs w:val="14"/>
                <w:lang w:eastAsia="en-US"/>
              </w:rPr>
            </w:pPr>
            <w:r w:rsidRPr="00EF4A2D">
              <w:rPr>
                <w:rFonts w:eastAsia="Calibri"/>
                <w:sz w:val="14"/>
                <w:szCs w:val="14"/>
                <w:lang w:eastAsia="en-US"/>
              </w:rPr>
              <w:t>Federación de Rusia</w:t>
            </w:r>
          </w:p>
        </w:tc>
        <w:tc>
          <w:tcPr>
            <w:tcW w:w="559" w:type="dxa"/>
            <w:tcBorders>
              <w:left w:val="single" w:sz="4" w:space="0" w:color="auto"/>
              <w:right w:val="single" w:sz="4" w:space="0" w:color="auto"/>
            </w:tcBorders>
            <w:shd w:val="clear" w:color="auto" w:fill="auto"/>
          </w:tcPr>
          <w:p w14:paraId="633CAB4C"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66</w:t>
            </w:r>
          </w:p>
        </w:tc>
        <w:tc>
          <w:tcPr>
            <w:tcW w:w="545" w:type="dxa"/>
            <w:tcBorders>
              <w:left w:val="single" w:sz="4" w:space="0" w:color="auto"/>
              <w:right w:val="single" w:sz="4" w:space="0" w:color="auto"/>
            </w:tcBorders>
            <w:shd w:val="clear" w:color="auto" w:fill="auto"/>
          </w:tcPr>
          <w:p w14:paraId="298475B3"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1.8</w:t>
            </w:r>
          </w:p>
        </w:tc>
        <w:tc>
          <w:tcPr>
            <w:tcW w:w="808" w:type="dxa"/>
            <w:tcBorders>
              <w:left w:val="single" w:sz="4" w:space="0" w:color="auto"/>
              <w:right w:val="single" w:sz="4" w:space="0" w:color="auto"/>
            </w:tcBorders>
            <w:shd w:val="clear" w:color="auto" w:fill="auto"/>
          </w:tcPr>
          <w:p w14:paraId="59A42DDD"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-5</w:t>
            </w:r>
          </w:p>
        </w:tc>
        <w:tc>
          <w:tcPr>
            <w:tcW w:w="590" w:type="dxa"/>
            <w:tcBorders>
              <w:left w:val="single" w:sz="4" w:space="0" w:color="auto"/>
              <w:right w:val="single" w:sz="4" w:space="0" w:color="auto"/>
            </w:tcBorders>
            <w:shd w:val="clear" w:color="auto" w:fill="auto"/>
          </w:tcPr>
          <w:p w14:paraId="0A806F53"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11</w:t>
            </w:r>
          </w:p>
        </w:tc>
        <w:tc>
          <w:tcPr>
            <w:tcW w:w="2060" w:type="dxa"/>
            <w:tcBorders>
              <w:left w:val="single" w:sz="4" w:space="0" w:color="auto"/>
              <w:right w:val="single" w:sz="4" w:space="0" w:color="auto"/>
            </w:tcBorders>
            <w:shd w:val="clear" w:color="auto" w:fill="auto"/>
          </w:tcPr>
          <w:p w14:paraId="7C3B762D"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Brasil</w:t>
            </w:r>
          </w:p>
        </w:tc>
        <w:tc>
          <w:tcPr>
            <w:tcW w:w="559" w:type="dxa"/>
            <w:tcBorders>
              <w:left w:val="single" w:sz="4" w:space="0" w:color="auto"/>
              <w:right w:val="single" w:sz="4" w:space="0" w:color="auto"/>
            </w:tcBorders>
            <w:shd w:val="clear" w:color="auto" w:fill="auto"/>
          </w:tcPr>
          <w:p w14:paraId="103190F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87</w:t>
            </w:r>
          </w:p>
        </w:tc>
        <w:tc>
          <w:tcPr>
            <w:tcW w:w="537" w:type="dxa"/>
            <w:tcBorders>
              <w:left w:val="single" w:sz="4" w:space="0" w:color="auto"/>
              <w:right w:val="single" w:sz="4" w:space="0" w:color="auto"/>
            </w:tcBorders>
            <w:shd w:val="clear" w:color="auto" w:fill="auto"/>
            <w:vAlign w:val="bottom"/>
          </w:tcPr>
          <w:p w14:paraId="589212F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2.4</w:t>
            </w:r>
          </w:p>
        </w:tc>
        <w:tc>
          <w:tcPr>
            <w:tcW w:w="808" w:type="dxa"/>
            <w:tcBorders>
              <w:left w:val="single" w:sz="4" w:space="0" w:color="auto"/>
              <w:right w:val="single" w:sz="4" w:space="0" w:color="auto"/>
            </w:tcBorders>
            <w:shd w:val="clear" w:color="auto" w:fill="auto"/>
            <w:vAlign w:val="bottom"/>
          </w:tcPr>
          <w:p w14:paraId="76ED7386"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5</w:t>
            </w:r>
          </w:p>
        </w:tc>
      </w:tr>
      <w:tr w:rsidR="00EF4A2D" w:rsidRPr="00EF4A2D" w14:paraId="27C9F5D9" w14:textId="77777777" w:rsidTr="00B9606F">
        <w:trPr>
          <w:jc w:val="center"/>
        </w:trPr>
        <w:tc>
          <w:tcPr>
            <w:tcW w:w="590" w:type="dxa"/>
            <w:tcBorders>
              <w:left w:val="single" w:sz="4" w:space="0" w:color="auto"/>
              <w:right w:val="single" w:sz="4" w:space="0" w:color="auto"/>
            </w:tcBorders>
            <w:shd w:val="clear" w:color="auto" w:fill="auto"/>
            <w:vAlign w:val="bottom"/>
          </w:tcPr>
          <w:p w14:paraId="5B8F72B1"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12</w:t>
            </w:r>
          </w:p>
        </w:tc>
        <w:tc>
          <w:tcPr>
            <w:tcW w:w="2053" w:type="dxa"/>
            <w:tcBorders>
              <w:left w:val="single" w:sz="4" w:space="0" w:color="auto"/>
              <w:right w:val="single" w:sz="4" w:space="0" w:color="auto"/>
            </w:tcBorders>
            <w:shd w:val="clear" w:color="auto" w:fill="auto"/>
          </w:tcPr>
          <w:p w14:paraId="292FCCEA" w14:textId="77777777" w:rsidR="00EF4A2D" w:rsidRPr="00EF4A2D" w:rsidRDefault="00EF4A2D" w:rsidP="004D07F1">
            <w:pPr>
              <w:rPr>
                <w:rFonts w:eastAsia="Calibri"/>
                <w:sz w:val="14"/>
                <w:szCs w:val="14"/>
                <w:lang w:eastAsia="en-US"/>
              </w:rPr>
            </w:pPr>
            <w:proofErr w:type="spellStart"/>
            <w:r w:rsidRPr="00EF4A2D">
              <w:rPr>
                <w:rFonts w:eastAsia="Calibri"/>
                <w:sz w:val="14"/>
                <w:szCs w:val="14"/>
                <w:lang w:eastAsia="en-US"/>
              </w:rPr>
              <w:t>Taipei</w:t>
            </w:r>
            <w:proofErr w:type="spellEnd"/>
            <w:r w:rsidRPr="00EF4A2D">
              <w:rPr>
                <w:rFonts w:eastAsia="Calibri"/>
                <w:sz w:val="14"/>
                <w:szCs w:val="14"/>
                <w:lang w:eastAsia="en-US"/>
              </w:rPr>
              <w:t xml:space="preserve"> Chino </w:t>
            </w:r>
            <w:r w:rsidRPr="00EF4A2D">
              <w:rPr>
                <w:rFonts w:eastAsia="Calibri"/>
                <w:sz w:val="14"/>
                <w:szCs w:val="14"/>
                <w:u w:val="single"/>
                <w:lang w:eastAsia="en-US"/>
              </w:rPr>
              <w:t>a</w:t>
            </w:r>
            <w:r w:rsidRPr="00EF4A2D">
              <w:rPr>
                <w:rFonts w:eastAsia="Calibri"/>
                <w:sz w:val="14"/>
                <w:szCs w:val="14"/>
                <w:lang w:eastAsia="en-US"/>
              </w:rPr>
              <w:t>/</w:t>
            </w:r>
          </w:p>
        </w:tc>
        <w:tc>
          <w:tcPr>
            <w:tcW w:w="559" w:type="dxa"/>
            <w:tcBorders>
              <w:left w:val="single" w:sz="4" w:space="0" w:color="auto"/>
              <w:right w:val="single" w:sz="4" w:space="0" w:color="auto"/>
            </w:tcBorders>
            <w:shd w:val="clear" w:color="auto" w:fill="auto"/>
          </w:tcPr>
          <w:p w14:paraId="29D4F3F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57</w:t>
            </w:r>
          </w:p>
        </w:tc>
        <w:tc>
          <w:tcPr>
            <w:tcW w:w="545" w:type="dxa"/>
            <w:tcBorders>
              <w:left w:val="single" w:sz="4" w:space="0" w:color="auto"/>
              <w:right w:val="single" w:sz="4" w:space="0" w:color="auto"/>
            </w:tcBorders>
            <w:shd w:val="clear" w:color="auto" w:fill="auto"/>
          </w:tcPr>
          <w:p w14:paraId="69A0251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1.5</w:t>
            </w:r>
          </w:p>
        </w:tc>
        <w:tc>
          <w:tcPr>
            <w:tcW w:w="808" w:type="dxa"/>
            <w:tcBorders>
              <w:left w:val="single" w:sz="4" w:space="0" w:color="auto"/>
              <w:right w:val="single" w:sz="4" w:space="0" w:color="auto"/>
            </w:tcBorders>
            <w:shd w:val="clear" w:color="auto" w:fill="auto"/>
          </w:tcPr>
          <w:p w14:paraId="3FBBE5CE"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12</w:t>
            </w:r>
          </w:p>
        </w:tc>
        <w:tc>
          <w:tcPr>
            <w:tcW w:w="590" w:type="dxa"/>
            <w:tcBorders>
              <w:left w:val="single" w:sz="4" w:space="0" w:color="auto"/>
              <w:right w:val="single" w:sz="4" w:space="0" w:color="auto"/>
            </w:tcBorders>
            <w:shd w:val="clear" w:color="auto" w:fill="auto"/>
          </w:tcPr>
          <w:p w14:paraId="266BF2BE"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12</w:t>
            </w:r>
          </w:p>
        </w:tc>
        <w:tc>
          <w:tcPr>
            <w:tcW w:w="2060" w:type="dxa"/>
            <w:tcBorders>
              <w:left w:val="single" w:sz="4" w:space="0" w:color="auto"/>
              <w:right w:val="single" w:sz="4" w:space="0" w:color="auto"/>
            </w:tcBorders>
            <w:shd w:val="clear" w:color="auto" w:fill="auto"/>
          </w:tcPr>
          <w:p w14:paraId="164C33E0"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Hong Kong, China</w:t>
            </w:r>
          </w:p>
        </w:tc>
        <w:tc>
          <w:tcPr>
            <w:tcW w:w="559" w:type="dxa"/>
            <w:tcBorders>
              <w:left w:val="single" w:sz="4" w:space="0" w:color="auto"/>
              <w:right w:val="single" w:sz="4" w:space="0" w:color="auto"/>
            </w:tcBorders>
            <w:shd w:val="clear" w:color="auto" w:fill="auto"/>
          </w:tcPr>
          <w:p w14:paraId="046ECB7B"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78</w:t>
            </w:r>
          </w:p>
        </w:tc>
        <w:tc>
          <w:tcPr>
            <w:tcW w:w="537" w:type="dxa"/>
            <w:tcBorders>
              <w:left w:val="single" w:sz="4" w:space="0" w:color="auto"/>
              <w:right w:val="single" w:sz="4" w:space="0" w:color="auto"/>
            </w:tcBorders>
            <w:shd w:val="clear" w:color="auto" w:fill="auto"/>
            <w:vAlign w:val="bottom"/>
          </w:tcPr>
          <w:p w14:paraId="2980DC84"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2.1</w:t>
            </w:r>
          </w:p>
        </w:tc>
        <w:tc>
          <w:tcPr>
            <w:tcW w:w="808" w:type="dxa"/>
            <w:tcBorders>
              <w:left w:val="single" w:sz="4" w:space="0" w:color="auto"/>
              <w:right w:val="single" w:sz="4" w:space="0" w:color="auto"/>
            </w:tcBorders>
            <w:shd w:val="clear" w:color="auto" w:fill="auto"/>
            <w:vAlign w:val="bottom"/>
          </w:tcPr>
          <w:p w14:paraId="4F987B95"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w:t>
            </w:r>
          </w:p>
        </w:tc>
      </w:tr>
      <w:tr w:rsidR="00EF4A2D" w:rsidRPr="00EF4A2D" w14:paraId="07A7F7E6" w14:textId="77777777" w:rsidTr="00B9606F">
        <w:trPr>
          <w:jc w:val="center"/>
        </w:trPr>
        <w:tc>
          <w:tcPr>
            <w:tcW w:w="590" w:type="dxa"/>
            <w:tcBorders>
              <w:left w:val="single" w:sz="4" w:space="0" w:color="auto"/>
              <w:right w:val="single" w:sz="4" w:space="0" w:color="auto"/>
            </w:tcBorders>
            <w:shd w:val="clear" w:color="auto" w:fill="auto"/>
            <w:vAlign w:val="bottom"/>
          </w:tcPr>
          <w:p w14:paraId="09E93CD5"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13</w:t>
            </w:r>
          </w:p>
        </w:tc>
        <w:tc>
          <w:tcPr>
            <w:tcW w:w="2053" w:type="dxa"/>
            <w:tcBorders>
              <w:left w:val="single" w:sz="4" w:space="0" w:color="auto"/>
              <w:right w:val="single" w:sz="4" w:space="0" w:color="auto"/>
            </w:tcBorders>
            <w:shd w:val="clear" w:color="auto" w:fill="auto"/>
          </w:tcPr>
          <w:p w14:paraId="53CF774B" w14:textId="77777777" w:rsidR="00EF4A2D" w:rsidRPr="00EF4A2D" w:rsidRDefault="00EF4A2D" w:rsidP="004D07F1">
            <w:pPr>
              <w:rPr>
                <w:rFonts w:eastAsia="Calibri"/>
                <w:sz w:val="14"/>
                <w:szCs w:val="14"/>
                <w:lang w:eastAsia="en-US"/>
              </w:rPr>
            </w:pPr>
            <w:r w:rsidRPr="00EF4A2D">
              <w:rPr>
                <w:rFonts w:eastAsia="Calibri"/>
                <w:sz w:val="14"/>
                <w:szCs w:val="14"/>
                <w:lang w:eastAsia="en-US"/>
              </w:rPr>
              <w:t>Tailandia</w:t>
            </w:r>
          </w:p>
        </w:tc>
        <w:tc>
          <w:tcPr>
            <w:tcW w:w="559" w:type="dxa"/>
            <w:tcBorders>
              <w:left w:val="single" w:sz="4" w:space="0" w:color="auto"/>
              <w:right w:val="single" w:sz="4" w:space="0" w:color="auto"/>
            </w:tcBorders>
            <w:shd w:val="clear" w:color="auto" w:fill="auto"/>
          </w:tcPr>
          <w:p w14:paraId="59204FC3"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55</w:t>
            </w:r>
          </w:p>
        </w:tc>
        <w:tc>
          <w:tcPr>
            <w:tcW w:w="545" w:type="dxa"/>
            <w:tcBorders>
              <w:left w:val="single" w:sz="4" w:space="0" w:color="auto"/>
              <w:right w:val="single" w:sz="4" w:space="0" w:color="auto"/>
            </w:tcBorders>
            <w:shd w:val="clear" w:color="auto" w:fill="auto"/>
          </w:tcPr>
          <w:p w14:paraId="47A0CBAC"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1.5</w:t>
            </w:r>
          </w:p>
        </w:tc>
        <w:tc>
          <w:tcPr>
            <w:tcW w:w="808" w:type="dxa"/>
            <w:tcBorders>
              <w:left w:val="single" w:sz="4" w:space="0" w:color="auto"/>
              <w:right w:val="single" w:sz="4" w:space="0" w:color="auto"/>
            </w:tcBorders>
            <w:shd w:val="clear" w:color="auto" w:fill="auto"/>
          </w:tcPr>
          <w:p w14:paraId="7EB26B89"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-6</w:t>
            </w:r>
          </w:p>
        </w:tc>
        <w:tc>
          <w:tcPr>
            <w:tcW w:w="590" w:type="dxa"/>
            <w:tcBorders>
              <w:left w:val="single" w:sz="4" w:space="0" w:color="auto"/>
              <w:right w:val="single" w:sz="4" w:space="0" w:color="auto"/>
            </w:tcBorders>
            <w:shd w:val="clear" w:color="auto" w:fill="auto"/>
          </w:tcPr>
          <w:p w14:paraId="1DD44FBF"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13</w:t>
            </w:r>
          </w:p>
        </w:tc>
        <w:tc>
          <w:tcPr>
            <w:tcW w:w="2060" w:type="dxa"/>
            <w:tcBorders>
              <w:left w:val="single" w:sz="4" w:space="0" w:color="auto"/>
              <w:right w:val="single" w:sz="4" w:space="0" w:color="auto"/>
            </w:tcBorders>
            <w:shd w:val="clear" w:color="auto" w:fill="auto"/>
          </w:tcPr>
          <w:p w14:paraId="7504184B"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 xml:space="preserve">Emiratos Árabes Unidos </w:t>
            </w:r>
            <w:r w:rsidRPr="00EF4A2D">
              <w:rPr>
                <w:rFonts w:eastAsia="Calibri"/>
                <w:sz w:val="14"/>
                <w:szCs w:val="14"/>
                <w:u w:val="single"/>
                <w:vertAlign w:val="superscript"/>
                <w:lang w:eastAsia="en-US"/>
              </w:rPr>
              <w:t>a</w:t>
            </w:r>
            <w:r w:rsidRPr="00EF4A2D">
              <w:rPr>
                <w:rFonts w:eastAsia="Calibri"/>
                <w:sz w:val="14"/>
                <w:szCs w:val="14"/>
                <w:vertAlign w:val="superscript"/>
                <w:lang w:eastAsia="en-US"/>
              </w:rPr>
              <w:t>/,</w:t>
            </w:r>
            <w:r w:rsidRPr="00EF4A2D">
              <w:rPr>
                <w:rFonts w:eastAsia="Calibri"/>
                <w:sz w:val="14"/>
                <w:szCs w:val="14"/>
                <w:u w:val="single"/>
                <w:vertAlign w:val="superscript"/>
                <w:lang w:eastAsia="en-US"/>
              </w:rPr>
              <w:t>b</w:t>
            </w:r>
            <w:r w:rsidRPr="00EF4A2D">
              <w:rPr>
                <w:rFonts w:eastAsia="Calibri"/>
                <w:sz w:val="14"/>
                <w:szCs w:val="14"/>
                <w:vertAlign w:val="superscript"/>
                <w:lang w:eastAsia="en-US"/>
              </w:rPr>
              <w:t>/</w:t>
            </w:r>
          </w:p>
        </w:tc>
        <w:tc>
          <w:tcPr>
            <w:tcW w:w="559" w:type="dxa"/>
            <w:tcBorders>
              <w:left w:val="single" w:sz="4" w:space="0" w:color="auto"/>
              <w:right w:val="single" w:sz="4" w:space="0" w:color="auto"/>
            </w:tcBorders>
            <w:shd w:val="clear" w:color="auto" w:fill="auto"/>
          </w:tcPr>
          <w:p w14:paraId="3924E125"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72</w:t>
            </w:r>
          </w:p>
        </w:tc>
        <w:tc>
          <w:tcPr>
            <w:tcW w:w="537" w:type="dxa"/>
            <w:tcBorders>
              <w:left w:val="single" w:sz="4" w:space="0" w:color="auto"/>
              <w:right w:val="single" w:sz="4" w:space="0" w:color="auto"/>
            </w:tcBorders>
            <w:shd w:val="clear" w:color="auto" w:fill="auto"/>
          </w:tcPr>
          <w:p w14:paraId="56DE117F"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2.0</w:t>
            </w:r>
          </w:p>
        </w:tc>
        <w:tc>
          <w:tcPr>
            <w:tcW w:w="808" w:type="dxa"/>
            <w:tcBorders>
              <w:left w:val="single" w:sz="4" w:space="0" w:color="auto"/>
              <w:right w:val="single" w:sz="4" w:space="0" w:color="auto"/>
            </w:tcBorders>
            <w:shd w:val="clear" w:color="auto" w:fill="auto"/>
          </w:tcPr>
          <w:p w14:paraId="205212CD"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w:t>
            </w:r>
          </w:p>
        </w:tc>
      </w:tr>
      <w:tr w:rsidR="00EF4A2D" w:rsidRPr="00EF4A2D" w14:paraId="5619FACB" w14:textId="77777777" w:rsidTr="00B9606F">
        <w:trPr>
          <w:jc w:val="center"/>
        </w:trPr>
        <w:tc>
          <w:tcPr>
            <w:tcW w:w="590" w:type="dxa"/>
            <w:tcBorders>
              <w:left w:val="single" w:sz="4" w:space="0" w:color="auto"/>
              <w:right w:val="single" w:sz="4" w:space="0" w:color="auto"/>
            </w:tcBorders>
            <w:shd w:val="clear" w:color="auto" w:fill="auto"/>
            <w:vAlign w:val="bottom"/>
          </w:tcPr>
          <w:p w14:paraId="51DDF996"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14</w:t>
            </w:r>
          </w:p>
        </w:tc>
        <w:tc>
          <w:tcPr>
            <w:tcW w:w="2053" w:type="dxa"/>
            <w:tcBorders>
              <w:left w:val="single" w:sz="4" w:space="0" w:color="auto"/>
              <w:right w:val="single" w:sz="4" w:space="0" w:color="auto"/>
            </w:tcBorders>
            <w:shd w:val="clear" w:color="auto" w:fill="auto"/>
          </w:tcPr>
          <w:p w14:paraId="4BBCD0D3" w14:textId="77777777" w:rsidR="00EF4A2D" w:rsidRPr="00EF4A2D" w:rsidRDefault="00EF4A2D" w:rsidP="004D07F1">
            <w:pPr>
              <w:rPr>
                <w:rFonts w:eastAsia="Calibri"/>
                <w:sz w:val="14"/>
                <w:szCs w:val="14"/>
                <w:lang w:eastAsia="en-US"/>
              </w:rPr>
            </w:pPr>
            <w:r w:rsidRPr="00EF4A2D">
              <w:rPr>
                <w:rFonts w:eastAsia="Calibri"/>
                <w:sz w:val="14"/>
                <w:szCs w:val="14"/>
                <w:lang w:eastAsia="en-US"/>
              </w:rPr>
              <w:t>Macao, China</w:t>
            </w:r>
          </w:p>
        </w:tc>
        <w:tc>
          <w:tcPr>
            <w:tcW w:w="559" w:type="dxa"/>
            <w:tcBorders>
              <w:left w:val="single" w:sz="4" w:space="0" w:color="auto"/>
              <w:right w:val="single" w:sz="4" w:space="0" w:color="auto"/>
            </w:tcBorders>
            <w:shd w:val="clear" w:color="auto" w:fill="auto"/>
          </w:tcPr>
          <w:p w14:paraId="25A4069F"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53</w:t>
            </w:r>
          </w:p>
        </w:tc>
        <w:tc>
          <w:tcPr>
            <w:tcW w:w="545" w:type="dxa"/>
            <w:tcBorders>
              <w:left w:val="single" w:sz="4" w:space="0" w:color="auto"/>
              <w:right w:val="single" w:sz="4" w:space="0" w:color="auto"/>
            </w:tcBorders>
            <w:shd w:val="clear" w:color="auto" w:fill="auto"/>
          </w:tcPr>
          <w:p w14:paraId="209EBEAE"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1.4</w:t>
            </w:r>
          </w:p>
        </w:tc>
        <w:tc>
          <w:tcPr>
            <w:tcW w:w="808" w:type="dxa"/>
            <w:tcBorders>
              <w:left w:val="single" w:sz="4" w:space="0" w:color="auto"/>
              <w:right w:val="single" w:sz="4" w:space="0" w:color="auto"/>
            </w:tcBorders>
            <w:shd w:val="clear" w:color="auto" w:fill="auto"/>
          </w:tcPr>
          <w:p w14:paraId="0505E68A"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w:t>
            </w:r>
          </w:p>
        </w:tc>
        <w:tc>
          <w:tcPr>
            <w:tcW w:w="590" w:type="dxa"/>
            <w:tcBorders>
              <w:left w:val="single" w:sz="4" w:space="0" w:color="auto"/>
              <w:right w:val="single" w:sz="4" w:space="0" w:color="auto"/>
            </w:tcBorders>
            <w:shd w:val="clear" w:color="auto" w:fill="auto"/>
          </w:tcPr>
          <w:p w14:paraId="4E6A00FE"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14</w:t>
            </w:r>
          </w:p>
        </w:tc>
        <w:tc>
          <w:tcPr>
            <w:tcW w:w="2060" w:type="dxa"/>
            <w:tcBorders>
              <w:left w:val="single" w:sz="4" w:space="0" w:color="auto"/>
              <w:right w:val="single" w:sz="4" w:space="0" w:color="auto"/>
            </w:tcBorders>
            <w:shd w:val="clear" w:color="auto" w:fill="auto"/>
          </w:tcPr>
          <w:p w14:paraId="53B4E757"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Australia</w:t>
            </w:r>
          </w:p>
        </w:tc>
        <w:tc>
          <w:tcPr>
            <w:tcW w:w="559" w:type="dxa"/>
            <w:tcBorders>
              <w:left w:val="single" w:sz="4" w:space="0" w:color="auto"/>
              <w:right w:val="single" w:sz="4" w:space="0" w:color="auto"/>
            </w:tcBorders>
            <w:shd w:val="clear" w:color="auto" w:fill="auto"/>
          </w:tcPr>
          <w:p w14:paraId="5E1BD0FE"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62</w:t>
            </w:r>
          </w:p>
        </w:tc>
        <w:tc>
          <w:tcPr>
            <w:tcW w:w="537" w:type="dxa"/>
            <w:tcBorders>
              <w:left w:val="single" w:sz="4" w:space="0" w:color="auto"/>
              <w:right w:val="single" w:sz="4" w:space="0" w:color="auto"/>
            </w:tcBorders>
            <w:shd w:val="clear" w:color="auto" w:fill="auto"/>
          </w:tcPr>
          <w:p w14:paraId="6C2D78B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1.7</w:t>
            </w:r>
          </w:p>
        </w:tc>
        <w:tc>
          <w:tcPr>
            <w:tcW w:w="808" w:type="dxa"/>
            <w:tcBorders>
              <w:left w:val="single" w:sz="4" w:space="0" w:color="auto"/>
              <w:right w:val="single" w:sz="4" w:space="0" w:color="auto"/>
            </w:tcBorders>
            <w:shd w:val="clear" w:color="auto" w:fill="auto"/>
          </w:tcPr>
          <w:p w14:paraId="277BDEAB"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-7</w:t>
            </w:r>
          </w:p>
        </w:tc>
      </w:tr>
      <w:tr w:rsidR="00EF4A2D" w:rsidRPr="00EF4A2D" w14:paraId="7DAA306D" w14:textId="77777777" w:rsidTr="00B9606F">
        <w:trPr>
          <w:jc w:val="center"/>
        </w:trPr>
        <w:tc>
          <w:tcPr>
            <w:tcW w:w="590" w:type="dxa"/>
            <w:tcBorders>
              <w:left w:val="single" w:sz="4" w:space="0" w:color="auto"/>
              <w:right w:val="single" w:sz="4" w:space="0" w:color="auto"/>
            </w:tcBorders>
            <w:shd w:val="clear" w:color="auto" w:fill="auto"/>
            <w:vAlign w:val="bottom"/>
          </w:tcPr>
          <w:p w14:paraId="3DB7322F"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15</w:t>
            </w:r>
          </w:p>
        </w:tc>
        <w:tc>
          <w:tcPr>
            <w:tcW w:w="2053" w:type="dxa"/>
            <w:tcBorders>
              <w:left w:val="single" w:sz="4" w:space="0" w:color="auto"/>
              <w:right w:val="single" w:sz="4" w:space="0" w:color="auto"/>
            </w:tcBorders>
            <w:shd w:val="clear" w:color="auto" w:fill="auto"/>
          </w:tcPr>
          <w:p w14:paraId="380D1941" w14:textId="77777777" w:rsidR="00EF4A2D" w:rsidRPr="00EF4A2D" w:rsidRDefault="00EF4A2D" w:rsidP="004D07F1">
            <w:pPr>
              <w:rPr>
                <w:rFonts w:eastAsia="Calibri"/>
                <w:sz w:val="14"/>
                <w:szCs w:val="14"/>
                <w:lang w:eastAsia="en-US"/>
              </w:rPr>
            </w:pPr>
            <w:r w:rsidRPr="00EF4A2D">
              <w:rPr>
                <w:rFonts w:eastAsia="Calibri"/>
                <w:sz w:val="14"/>
                <w:szCs w:val="14"/>
                <w:lang w:eastAsia="en-US"/>
              </w:rPr>
              <w:t>Australia</w:t>
            </w:r>
          </w:p>
        </w:tc>
        <w:tc>
          <w:tcPr>
            <w:tcW w:w="559" w:type="dxa"/>
            <w:tcBorders>
              <w:left w:val="single" w:sz="4" w:space="0" w:color="auto"/>
              <w:right w:val="single" w:sz="4" w:space="0" w:color="auto"/>
            </w:tcBorders>
            <w:shd w:val="clear" w:color="auto" w:fill="auto"/>
          </w:tcPr>
          <w:p w14:paraId="698EA6D5"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52</w:t>
            </w:r>
          </w:p>
        </w:tc>
        <w:tc>
          <w:tcPr>
            <w:tcW w:w="545" w:type="dxa"/>
            <w:tcBorders>
              <w:left w:val="single" w:sz="4" w:space="0" w:color="auto"/>
              <w:right w:val="single" w:sz="4" w:space="0" w:color="auto"/>
            </w:tcBorders>
            <w:shd w:val="clear" w:color="auto" w:fill="auto"/>
          </w:tcPr>
          <w:p w14:paraId="20A31984"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1.4</w:t>
            </w:r>
          </w:p>
        </w:tc>
        <w:tc>
          <w:tcPr>
            <w:tcW w:w="808" w:type="dxa"/>
            <w:tcBorders>
              <w:left w:val="single" w:sz="4" w:space="0" w:color="auto"/>
              <w:right w:val="single" w:sz="4" w:space="0" w:color="auto"/>
            </w:tcBorders>
            <w:shd w:val="clear" w:color="auto" w:fill="auto"/>
          </w:tcPr>
          <w:p w14:paraId="2C16922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w:t>
            </w:r>
          </w:p>
        </w:tc>
        <w:tc>
          <w:tcPr>
            <w:tcW w:w="590" w:type="dxa"/>
            <w:tcBorders>
              <w:left w:val="single" w:sz="4" w:space="0" w:color="auto"/>
              <w:right w:val="single" w:sz="4" w:space="0" w:color="auto"/>
            </w:tcBorders>
            <w:shd w:val="clear" w:color="auto" w:fill="auto"/>
          </w:tcPr>
          <w:p w14:paraId="78F1BAA8"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15</w:t>
            </w:r>
          </w:p>
        </w:tc>
        <w:tc>
          <w:tcPr>
            <w:tcW w:w="2060" w:type="dxa"/>
            <w:tcBorders>
              <w:left w:val="single" w:sz="4" w:space="0" w:color="auto"/>
              <w:right w:val="single" w:sz="4" w:space="0" w:color="auto"/>
            </w:tcBorders>
            <w:shd w:val="clear" w:color="auto" w:fill="auto"/>
          </w:tcPr>
          <w:p w14:paraId="6C92ACB9"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Arabia Saudita, Reino de la</w:t>
            </w:r>
          </w:p>
        </w:tc>
        <w:tc>
          <w:tcPr>
            <w:tcW w:w="559" w:type="dxa"/>
            <w:tcBorders>
              <w:left w:val="single" w:sz="4" w:space="0" w:color="auto"/>
              <w:right w:val="single" w:sz="4" w:space="0" w:color="auto"/>
            </w:tcBorders>
            <w:shd w:val="clear" w:color="auto" w:fill="auto"/>
          </w:tcPr>
          <w:p w14:paraId="51F93269"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60</w:t>
            </w:r>
          </w:p>
        </w:tc>
        <w:tc>
          <w:tcPr>
            <w:tcW w:w="537" w:type="dxa"/>
            <w:tcBorders>
              <w:left w:val="single" w:sz="4" w:space="0" w:color="auto"/>
              <w:right w:val="single" w:sz="4" w:space="0" w:color="auto"/>
            </w:tcBorders>
            <w:shd w:val="clear" w:color="auto" w:fill="auto"/>
          </w:tcPr>
          <w:p w14:paraId="600FD41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1.6</w:t>
            </w:r>
          </w:p>
        </w:tc>
        <w:tc>
          <w:tcPr>
            <w:tcW w:w="808" w:type="dxa"/>
            <w:tcBorders>
              <w:left w:val="single" w:sz="4" w:space="0" w:color="auto"/>
              <w:right w:val="single" w:sz="4" w:space="0" w:color="auto"/>
            </w:tcBorders>
            <w:shd w:val="clear" w:color="auto" w:fill="auto"/>
          </w:tcPr>
          <w:p w14:paraId="5A47558F"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17</w:t>
            </w:r>
          </w:p>
        </w:tc>
      </w:tr>
      <w:tr w:rsidR="00EF4A2D" w:rsidRPr="00EF4A2D" w14:paraId="166E167F" w14:textId="77777777" w:rsidTr="00B9606F">
        <w:trPr>
          <w:jc w:val="center"/>
        </w:trPr>
        <w:tc>
          <w:tcPr>
            <w:tcW w:w="590" w:type="dxa"/>
            <w:tcBorders>
              <w:left w:val="single" w:sz="4" w:space="0" w:color="auto"/>
              <w:right w:val="single" w:sz="4" w:space="0" w:color="auto"/>
            </w:tcBorders>
            <w:shd w:val="clear" w:color="auto" w:fill="auto"/>
            <w:vAlign w:val="bottom"/>
          </w:tcPr>
          <w:p w14:paraId="0510D1DE"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16</w:t>
            </w:r>
          </w:p>
        </w:tc>
        <w:tc>
          <w:tcPr>
            <w:tcW w:w="2053" w:type="dxa"/>
            <w:tcBorders>
              <w:left w:val="single" w:sz="4" w:space="0" w:color="auto"/>
              <w:right w:val="single" w:sz="4" w:space="0" w:color="auto"/>
            </w:tcBorders>
            <w:shd w:val="clear" w:color="auto" w:fill="auto"/>
          </w:tcPr>
          <w:p w14:paraId="714FE652" w14:textId="77777777" w:rsidR="00EF4A2D" w:rsidRPr="00EF4A2D" w:rsidRDefault="00EF4A2D" w:rsidP="004D07F1">
            <w:pPr>
              <w:rPr>
                <w:rFonts w:eastAsia="Calibri"/>
                <w:sz w:val="14"/>
                <w:szCs w:val="14"/>
                <w:lang w:eastAsia="en-US"/>
              </w:rPr>
            </w:pPr>
            <w:r w:rsidRPr="00EF4A2D">
              <w:rPr>
                <w:rFonts w:eastAsia="Calibri"/>
                <w:sz w:val="14"/>
                <w:szCs w:val="14"/>
                <w:lang w:eastAsia="en-US"/>
              </w:rPr>
              <w:t>Turquía</w:t>
            </w:r>
          </w:p>
        </w:tc>
        <w:tc>
          <w:tcPr>
            <w:tcW w:w="559" w:type="dxa"/>
            <w:tcBorders>
              <w:left w:val="single" w:sz="4" w:space="0" w:color="auto"/>
              <w:right w:val="single" w:sz="4" w:space="0" w:color="auto"/>
            </w:tcBorders>
            <w:shd w:val="clear" w:color="auto" w:fill="auto"/>
          </w:tcPr>
          <w:p w14:paraId="2143CC3B"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50</w:t>
            </w:r>
          </w:p>
        </w:tc>
        <w:tc>
          <w:tcPr>
            <w:tcW w:w="545" w:type="dxa"/>
            <w:tcBorders>
              <w:left w:val="single" w:sz="4" w:space="0" w:color="auto"/>
              <w:right w:val="single" w:sz="4" w:space="0" w:color="auto"/>
            </w:tcBorders>
            <w:shd w:val="clear" w:color="auto" w:fill="auto"/>
          </w:tcPr>
          <w:p w14:paraId="40FEB166"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1.4</w:t>
            </w:r>
          </w:p>
        </w:tc>
        <w:tc>
          <w:tcPr>
            <w:tcW w:w="808" w:type="dxa"/>
            <w:tcBorders>
              <w:left w:val="single" w:sz="4" w:space="0" w:color="auto"/>
              <w:right w:val="single" w:sz="4" w:space="0" w:color="auto"/>
            </w:tcBorders>
            <w:shd w:val="clear" w:color="auto" w:fill="auto"/>
          </w:tcPr>
          <w:p w14:paraId="05E8783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9</w:t>
            </w:r>
          </w:p>
        </w:tc>
        <w:tc>
          <w:tcPr>
            <w:tcW w:w="590" w:type="dxa"/>
            <w:tcBorders>
              <w:left w:val="single" w:sz="4" w:space="0" w:color="auto"/>
              <w:right w:val="single" w:sz="4" w:space="0" w:color="auto"/>
            </w:tcBorders>
            <w:shd w:val="clear" w:color="auto" w:fill="auto"/>
          </w:tcPr>
          <w:p w14:paraId="42588782"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16</w:t>
            </w:r>
          </w:p>
        </w:tc>
        <w:tc>
          <w:tcPr>
            <w:tcW w:w="2060" w:type="dxa"/>
            <w:tcBorders>
              <w:left w:val="single" w:sz="4" w:space="0" w:color="auto"/>
              <w:right w:val="single" w:sz="4" w:space="0" w:color="auto"/>
            </w:tcBorders>
            <w:shd w:val="clear" w:color="auto" w:fill="auto"/>
          </w:tcPr>
          <w:p w14:paraId="59536289"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Tailandia</w:t>
            </w:r>
          </w:p>
        </w:tc>
        <w:tc>
          <w:tcPr>
            <w:tcW w:w="559" w:type="dxa"/>
            <w:tcBorders>
              <w:left w:val="single" w:sz="4" w:space="0" w:color="auto"/>
              <w:right w:val="single" w:sz="4" w:space="0" w:color="auto"/>
            </w:tcBorders>
            <w:shd w:val="clear" w:color="auto" w:fill="auto"/>
          </w:tcPr>
          <w:p w14:paraId="6EF81994"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53</w:t>
            </w:r>
          </w:p>
        </w:tc>
        <w:tc>
          <w:tcPr>
            <w:tcW w:w="537" w:type="dxa"/>
            <w:tcBorders>
              <w:left w:val="single" w:sz="4" w:space="0" w:color="auto"/>
              <w:right w:val="single" w:sz="4" w:space="0" w:color="auto"/>
            </w:tcBorders>
            <w:shd w:val="clear" w:color="auto" w:fill="auto"/>
          </w:tcPr>
          <w:p w14:paraId="3EFA2D9D"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1.4</w:t>
            </w:r>
          </w:p>
        </w:tc>
        <w:tc>
          <w:tcPr>
            <w:tcW w:w="808" w:type="dxa"/>
            <w:tcBorders>
              <w:left w:val="single" w:sz="4" w:space="0" w:color="auto"/>
              <w:right w:val="single" w:sz="4" w:space="0" w:color="auto"/>
            </w:tcBorders>
            <w:shd w:val="clear" w:color="auto" w:fill="auto"/>
          </w:tcPr>
          <w:p w14:paraId="1EB4BAC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-4</w:t>
            </w:r>
          </w:p>
        </w:tc>
      </w:tr>
      <w:tr w:rsidR="00EF4A2D" w:rsidRPr="00EF4A2D" w14:paraId="2D045819" w14:textId="77777777" w:rsidTr="00B9606F">
        <w:trPr>
          <w:jc w:val="center"/>
        </w:trPr>
        <w:tc>
          <w:tcPr>
            <w:tcW w:w="590" w:type="dxa"/>
            <w:tcBorders>
              <w:left w:val="single" w:sz="4" w:space="0" w:color="auto"/>
              <w:right w:val="single" w:sz="4" w:space="0" w:color="auto"/>
            </w:tcBorders>
            <w:shd w:val="clear" w:color="auto" w:fill="auto"/>
            <w:vAlign w:val="bottom"/>
          </w:tcPr>
          <w:p w14:paraId="1861D471"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17</w:t>
            </w:r>
          </w:p>
        </w:tc>
        <w:tc>
          <w:tcPr>
            <w:tcW w:w="2053" w:type="dxa"/>
            <w:tcBorders>
              <w:left w:val="single" w:sz="4" w:space="0" w:color="auto"/>
              <w:right w:val="single" w:sz="4" w:space="0" w:color="auto"/>
            </w:tcBorders>
            <w:shd w:val="clear" w:color="auto" w:fill="auto"/>
          </w:tcPr>
          <w:p w14:paraId="7C1F9F68" w14:textId="77777777" w:rsidR="00EF4A2D" w:rsidRPr="00EF4A2D" w:rsidRDefault="00EF4A2D" w:rsidP="004D07F1">
            <w:pPr>
              <w:rPr>
                <w:rFonts w:eastAsia="Calibri"/>
                <w:sz w:val="14"/>
                <w:szCs w:val="14"/>
                <w:lang w:eastAsia="en-US"/>
              </w:rPr>
            </w:pPr>
            <w:r w:rsidRPr="00EF4A2D">
              <w:rPr>
                <w:rFonts w:eastAsia="Calibri"/>
                <w:sz w:val="14"/>
                <w:szCs w:val="14"/>
                <w:lang w:eastAsia="en-US"/>
              </w:rPr>
              <w:t>Noruega</w:t>
            </w:r>
          </w:p>
        </w:tc>
        <w:tc>
          <w:tcPr>
            <w:tcW w:w="559" w:type="dxa"/>
            <w:tcBorders>
              <w:left w:val="single" w:sz="4" w:space="0" w:color="auto"/>
              <w:right w:val="single" w:sz="4" w:space="0" w:color="auto"/>
            </w:tcBorders>
            <w:shd w:val="clear" w:color="auto" w:fill="auto"/>
          </w:tcPr>
          <w:p w14:paraId="6433470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49</w:t>
            </w:r>
          </w:p>
        </w:tc>
        <w:tc>
          <w:tcPr>
            <w:tcW w:w="545" w:type="dxa"/>
            <w:tcBorders>
              <w:left w:val="single" w:sz="4" w:space="0" w:color="auto"/>
              <w:right w:val="single" w:sz="4" w:space="0" w:color="auto"/>
            </w:tcBorders>
            <w:shd w:val="clear" w:color="auto" w:fill="auto"/>
          </w:tcPr>
          <w:p w14:paraId="1E37AC56"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1.3</w:t>
            </w:r>
          </w:p>
        </w:tc>
        <w:tc>
          <w:tcPr>
            <w:tcW w:w="808" w:type="dxa"/>
            <w:tcBorders>
              <w:left w:val="single" w:sz="4" w:space="0" w:color="auto"/>
              <w:right w:val="single" w:sz="4" w:space="0" w:color="auto"/>
            </w:tcBorders>
            <w:shd w:val="clear" w:color="auto" w:fill="auto"/>
          </w:tcPr>
          <w:p w14:paraId="58DB10D8"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w:t>
            </w:r>
          </w:p>
        </w:tc>
        <w:tc>
          <w:tcPr>
            <w:tcW w:w="590" w:type="dxa"/>
            <w:tcBorders>
              <w:left w:val="single" w:sz="4" w:space="0" w:color="auto"/>
              <w:right w:val="single" w:sz="4" w:space="0" w:color="auto"/>
            </w:tcBorders>
            <w:shd w:val="clear" w:color="auto" w:fill="auto"/>
          </w:tcPr>
          <w:p w14:paraId="672211BF"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17</w:t>
            </w:r>
          </w:p>
        </w:tc>
        <w:tc>
          <w:tcPr>
            <w:tcW w:w="2060" w:type="dxa"/>
            <w:tcBorders>
              <w:left w:val="single" w:sz="4" w:space="0" w:color="auto"/>
              <w:right w:val="single" w:sz="4" w:space="0" w:color="auto"/>
            </w:tcBorders>
            <w:shd w:val="clear" w:color="auto" w:fill="auto"/>
          </w:tcPr>
          <w:p w14:paraId="210FC014"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Noruega</w:t>
            </w:r>
          </w:p>
        </w:tc>
        <w:tc>
          <w:tcPr>
            <w:tcW w:w="559" w:type="dxa"/>
            <w:tcBorders>
              <w:left w:val="single" w:sz="4" w:space="0" w:color="auto"/>
              <w:right w:val="single" w:sz="4" w:space="0" w:color="auto"/>
            </w:tcBorders>
            <w:shd w:val="clear" w:color="auto" w:fill="auto"/>
          </w:tcPr>
          <w:p w14:paraId="7448841F"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53</w:t>
            </w:r>
          </w:p>
        </w:tc>
        <w:tc>
          <w:tcPr>
            <w:tcW w:w="537" w:type="dxa"/>
            <w:tcBorders>
              <w:left w:val="single" w:sz="4" w:space="0" w:color="auto"/>
              <w:right w:val="single" w:sz="4" w:space="0" w:color="auto"/>
            </w:tcBorders>
            <w:shd w:val="clear" w:color="auto" w:fill="auto"/>
          </w:tcPr>
          <w:p w14:paraId="1D0196B2"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1.4</w:t>
            </w:r>
          </w:p>
        </w:tc>
        <w:tc>
          <w:tcPr>
            <w:tcW w:w="808" w:type="dxa"/>
            <w:tcBorders>
              <w:left w:val="single" w:sz="4" w:space="0" w:color="auto"/>
              <w:right w:val="single" w:sz="4" w:space="0" w:color="auto"/>
            </w:tcBorders>
            <w:shd w:val="clear" w:color="auto" w:fill="auto"/>
          </w:tcPr>
          <w:p w14:paraId="60FEE0D6"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-5</w:t>
            </w:r>
          </w:p>
        </w:tc>
      </w:tr>
      <w:tr w:rsidR="00EF4A2D" w:rsidRPr="00EF4A2D" w14:paraId="39179143" w14:textId="77777777" w:rsidTr="00B9606F">
        <w:trPr>
          <w:jc w:val="center"/>
        </w:trPr>
        <w:tc>
          <w:tcPr>
            <w:tcW w:w="590" w:type="dxa"/>
            <w:tcBorders>
              <w:left w:val="single" w:sz="4" w:space="0" w:color="auto"/>
              <w:right w:val="single" w:sz="4" w:space="0" w:color="auto"/>
            </w:tcBorders>
            <w:shd w:val="clear" w:color="auto" w:fill="auto"/>
            <w:vAlign w:val="bottom"/>
          </w:tcPr>
          <w:p w14:paraId="1AB46F35"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18</w:t>
            </w:r>
          </w:p>
        </w:tc>
        <w:tc>
          <w:tcPr>
            <w:tcW w:w="2053" w:type="dxa"/>
            <w:tcBorders>
              <w:left w:val="single" w:sz="4" w:space="0" w:color="auto"/>
              <w:right w:val="single" w:sz="4" w:space="0" w:color="auto"/>
            </w:tcBorders>
            <w:shd w:val="clear" w:color="auto" w:fill="auto"/>
          </w:tcPr>
          <w:p w14:paraId="171AF99B" w14:textId="77777777" w:rsidR="00EF4A2D" w:rsidRPr="00EF4A2D" w:rsidRDefault="00EF4A2D" w:rsidP="004D07F1">
            <w:pPr>
              <w:rPr>
                <w:rFonts w:eastAsia="Calibri"/>
                <w:sz w:val="14"/>
                <w:szCs w:val="14"/>
                <w:lang w:eastAsia="en-US"/>
              </w:rPr>
            </w:pPr>
            <w:r w:rsidRPr="00EF4A2D">
              <w:rPr>
                <w:rFonts w:eastAsia="Calibri"/>
                <w:sz w:val="14"/>
                <w:szCs w:val="14"/>
                <w:lang w:eastAsia="en-US"/>
              </w:rPr>
              <w:t>Brasil</w:t>
            </w:r>
          </w:p>
        </w:tc>
        <w:tc>
          <w:tcPr>
            <w:tcW w:w="559" w:type="dxa"/>
            <w:tcBorders>
              <w:left w:val="single" w:sz="4" w:space="0" w:color="auto"/>
              <w:right w:val="single" w:sz="4" w:space="0" w:color="auto"/>
            </w:tcBorders>
            <w:shd w:val="clear" w:color="auto" w:fill="auto"/>
          </w:tcPr>
          <w:p w14:paraId="00E66F6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40</w:t>
            </w:r>
          </w:p>
        </w:tc>
        <w:tc>
          <w:tcPr>
            <w:tcW w:w="545" w:type="dxa"/>
            <w:tcBorders>
              <w:left w:val="single" w:sz="4" w:space="0" w:color="auto"/>
              <w:right w:val="single" w:sz="4" w:space="0" w:color="auto"/>
            </w:tcBorders>
            <w:shd w:val="clear" w:color="auto" w:fill="auto"/>
          </w:tcPr>
          <w:p w14:paraId="234B74F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1.1</w:t>
            </w:r>
          </w:p>
        </w:tc>
        <w:tc>
          <w:tcPr>
            <w:tcW w:w="808" w:type="dxa"/>
            <w:tcBorders>
              <w:left w:val="single" w:sz="4" w:space="0" w:color="auto"/>
              <w:right w:val="single" w:sz="4" w:space="0" w:color="auto"/>
            </w:tcBorders>
            <w:shd w:val="clear" w:color="auto" w:fill="auto"/>
          </w:tcPr>
          <w:p w14:paraId="20D2FF53"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6</w:t>
            </w:r>
          </w:p>
        </w:tc>
        <w:tc>
          <w:tcPr>
            <w:tcW w:w="590" w:type="dxa"/>
            <w:tcBorders>
              <w:left w:val="single" w:sz="4" w:space="0" w:color="auto"/>
              <w:right w:val="single" w:sz="4" w:space="0" w:color="auto"/>
            </w:tcBorders>
            <w:shd w:val="clear" w:color="auto" w:fill="auto"/>
          </w:tcPr>
          <w:p w14:paraId="5999DF17"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18</w:t>
            </w:r>
          </w:p>
        </w:tc>
        <w:tc>
          <w:tcPr>
            <w:tcW w:w="2060" w:type="dxa"/>
            <w:tcBorders>
              <w:left w:val="single" w:sz="4" w:space="0" w:color="auto"/>
              <w:right w:val="single" w:sz="4" w:space="0" w:color="auto"/>
            </w:tcBorders>
            <w:shd w:val="clear" w:color="auto" w:fill="auto"/>
          </w:tcPr>
          <w:p w14:paraId="7F1065EF" w14:textId="77777777" w:rsidR="00EF4A2D" w:rsidRPr="00EF4A2D" w:rsidRDefault="00EF4A2D" w:rsidP="004D07F1">
            <w:pPr>
              <w:jc w:val="both"/>
              <w:rPr>
                <w:rFonts w:eastAsia="Calibri"/>
                <w:sz w:val="14"/>
                <w:szCs w:val="14"/>
                <w:lang w:eastAsia="en-US"/>
              </w:rPr>
            </w:pPr>
            <w:proofErr w:type="spellStart"/>
            <w:r w:rsidRPr="00EF4A2D">
              <w:rPr>
                <w:rFonts w:eastAsia="Calibri"/>
                <w:sz w:val="14"/>
                <w:szCs w:val="14"/>
                <w:lang w:eastAsia="en-US"/>
              </w:rPr>
              <w:t>Taipei</w:t>
            </w:r>
            <w:proofErr w:type="spellEnd"/>
            <w:r w:rsidRPr="00EF4A2D">
              <w:rPr>
                <w:rFonts w:eastAsia="Calibri"/>
                <w:sz w:val="14"/>
                <w:szCs w:val="14"/>
                <w:lang w:eastAsia="en-US"/>
              </w:rPr>
              <w:t xml:space="preserve"> Chino</w:t>
            </w:r>
            <w:r w:rsidRPr="00EF4A2D">
              <w:rPr>
                <w:rFonts w:eastAsia="Calibri"/>
                <w:sz w:val="14"/>
                <w:szCs w:val="14"/>
                <w:vertAlign w:val="superscript"/>
                <w:lang w:eastAsia="en-US"/>
              </w:rPr>
              <w:t xml:space="preserve"> </w:t>
            </w:r>
            <w:r w:rsidRPr="00EF4A2D">
              <w:rPr>
                <w:rFonts w:eastAsia="Calibri"/>
                <w:sz w:val="14"/>
                <w:szCs w:val="14"/>
                <w:u w:val="single"/>
                <w:vertAlign w:val="superscript"/>
                <w:lang w:eastAsia="en-US"/>
              </w:rPr>
              <w:t>a</w:t>
            </w:r>
            <w:r w:rsidRPr="00EF4A2D">
              <w:rPr>
                <w:rFonts w:eastAsia="Calibri"/>
                <w:sz w:val="14"/>
                <w:szCs w:val="14"/>
                <w:vertAlign w:val="superscript"/>
                <w:lang w:eastAsia="en-US"/>
              </w:rPr>
              <w:t>/</w:t>
            </w:r>
          </w:p>
        </w:tc>
        <w:tc>
          <w:tcPr>
            <w:tcW w:w="559" w:type="dxa"/>
            <w:tcBorders>
              <w:left w:val="single" w:sz="4" w:space="0" w:color="auto"/>
              <w:right w:val="single" w:sz="4" w:space="0" w:color="auto"/>
            </w:tcBorders>
            <w:shd w:val="clear" w:color="auto" w:fill="auto"/>
          </w:tcPr>
          <w:p w14:paraId="33236BA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46</w:t>
            </w:r>
          </w:p>
        </w:tc>
        <w:tc>
          <w:tcPr>
            <w:tcW w:w="537" w:type="dxa"/>
            <w:tcBorders>
              <w:left w:val="single" w:sz="4" w:space="0" w:color="auto"/>
              <w:right w:val="single" w:sz="4" w:space="0" w:color="auto"/>
            </w:tcBorders>
            <w:shd w:val="clear" w:color="auto" w:fill="auto"/>
          </w:tcPr>
          <w:p w14:paraId="70E49EE1"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1.2</w:t>
            </w:r>
          </w:p>
        </w:tc>
        <w:tc>
          <w:tcPr>
            <w:tcW w:w="808" w:type="dxa"/>
            <w:tcBorders>
              <w:left w:val="single" w:sz="4" w:space="0" w:color="auto"/>
              <w:right w:val="single" w:sz="4" w:space="0" w:color="auto"/>
            </w:tcBorders>
            <w:shd w:val="clear" w:color="auto" w:fill="auto"/>
          </w:tcPr>
          <w:p w14:paraId="0DB02211"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8</w:t>
            </w:r>
          </w:p>
        </w:tc>
      </w:tr>
      <w:tr w:rsidR="00EF4A2D" w:rsidRPr="00EF4A2D" w14:paraId="3286E434" w14:textId="77777777" w:rsidTr="00B9606F">
        <w:trPr>
          <w:jc w:val="center"/>
        </w:trPr>
        <w:tc>
          <w:tcPr>
            <w:tcW w:w="590" w:type="dxa"/>
            <w:tcBorders>
              <w:left w:val="single" w:sz="4" w:space="0" w:color="auto"/>
              <w:right w:val="single" w:sz="4" w:space="0" w:color="auto"/>
            </w:tcBorders>
            <w:shd w:val="clear" w:color="auto" w:fill="auto"/>
            <w:vAlign w:val="bottom"/>
          </w:tcPr>
          <w:p w14:paraId="582C7BD3"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19</w:t>
            </w:r>
          </w:p>
        </w:tc>
        <w:tc>
          <w:tcPr>
            <w:tcW w:w="2053" w:type="dxa"/>
            <w:tcBorders>
              <w:left w:val="single" w:sz="4" w:space="0" w:color="auto"/>
              <w:right w:val="single" w:sz="4" w:space="0" w:color="auto"/>
            </w:tcBorders>
            <w:shd w:val="clear" w:color="auto" w:fill="auto"/>
          </w:tcPr>
          <w:p w14:paraId="3D97283E" w14:textId="77777777" w:rsidR="00EF4A2D" w:rsidRPr="00EF4A2D" w:rsidRDefault="00EF4A2D" w:rsidP="004D07F1">
            <w:pPr>
              <w:rPr>
                <w:rFonts w:eastAsia="Calibri"/>
                <w:sz w:val="14"/>
                <w:szCs w:val="14"/>
                <w:lang w:eastAsia="en-US"/>
              </w:rPr>
            </w:pPr>
            <w:r w:rsidRPr="00EF4A2D">
              <w:rPr>
                <w:rFonts w:eastAsia="Calibri"/>
                <w:sz w:val="14"/>
                <w:szCs w:val="14"/>
                <w:lang w:eastAsia="en-US"/>
              </w:rPr>
              <w:t>Malasia</w:t>
            </w:r>
          </w:p>
        </w:tc>
        <w:tc>
          <w:tcPr>
            <w:tcW w:w="559" w:type="dxa"/>
            <w:tcBorders>
              <w:left w:val="single" w:sz="4" w:space="0" w:color="auto"/>
              <w:right w:val="single" w:sz="4" w:space="0" w:color="auto"/>
            </w:tcBorders>
            <w:shd w:val="clear" w:color="auto" w:fill="auto"/>
          </w:tcPr>
          <w:p w14:paraId="6AEF9D26"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38</w:t>
            </w:r>
          </w:p>
        </w:tc>
        <w:tc>
          <w:tcPr>
            <w:tcW w:w="545" w:type="dxa"/>
            <w:tcBorders>
              <w:left w:val="single" w:sz="4" w:space="0" w:color="auto"/>
              <w:right w:val="single" w:sz="4" w:space="0" w:color="auto"/>
            </w:tcBorders>
            <w:shd w:val="clear" w:color="auto" w:fill="auto"/>
          </w:tcPr>
          <w:p w14:paraId="056CB7B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1.0</w:t>
            </w:r>
          </w:p>
        </w:tc>
        <w:tc>
          <w:tcPr>
            <w:tcW w:w="808" w:type="dxa"/>
            <w:tcBorders>
              <w:left w:val="single" w:sz="4" w:space="0" w:color="auto"/>
              <w:right w:val="single" w:sz="4" w:space="0" w:color="auto"/>
            </w:tcBorders>
            <w:shd w:val="clear" w:color="auto" w:fill="auto"/>
          </w:tcPr>
          <w:p w14:paraId="36D0932A"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-4</w:t>
            </w:r>
          </w:p>
        </w:tc>
        <w:tc>
          <w:tcPr>
            <w:tcW w:w="590" w:type="dxa"/>
            <w:tcBorders>
              <w:left w:val="single" w:sz="4" w:space="0" w:color="auto"/>
              <w:right w:val="single" w:sz="4" w:space="0" w:color="auto"/>
            </w:tcBorders>
            <w:shd w:val="clear" w:color="auto" w:fill="auto"/>
          </w:tcPr>
          <w:p w14:paraId="7AAA881F"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19</w:t>
            </w:r>
          </w:p>
        </w:tc>
        <w:tc>
          <w:tcPr>
            <w:tcW w:w="2060" w:type="dxa"/>
            <w:tcBorders>
              <w:left w:val="single" w:sz="4" w:space="0" w:color="auto"/>
              <w:right w:val="single" w:sz="4" w:space="0" w:color="auto"/>
            </w:tcBorders>
            <w:shd w:val="clear" w:color="auto" w:fill="auto"/>
          </w:tcPr>
          <w:p w14:paraId="7B35139B"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Malasia</w:t>
            </w:r>
          </w:p>
        </w:tc>
        <w:tc>
          <w:tcPr>
            <w:tcW w:w="559" w:type="dxa"/>
            <w:tcBorders>
              <w:left w:val="single" w:sz="4" w:space="0" w:color="auto"/>
              <w:right w:val="single" w:sz="4" w:space="0" w:color="auto"/>
            </w:tcBorders>
            <w:shd w:val="clear" w:color="auto" w:fill="auto"/>
          </w:tcPr>
          <w:p w14:paraId="3E3E155F"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44</w:t>
            </w:r>
          </w:p>
        </w:tc>
        <w:tc>
          <w:tcPr>
            <w:tcW w:w="537" w:type="dxa"/>
            <w:tcBorders>
              <w:left w:val="single" w:sz="4" w:space="0" w:color="auto"/>
              <w:right w:val="single" w:sz="4" w:space="0" w:color="auto"/>
            </w:tcBorders>
            <w:shd w:val="clear" w:color="auto" w:fill="auto"/>
          </w:tcPr>
          <w:p w14:paraId="6EC6C549"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1.2</w:t>
            </w:r>
          </w:p>
        </w:tc>
        <w:tc>
          <w:tcPr>
            <w:tcW w:w="808" w:type="dxa"/>
            <w:tcBorders>
              <w:left w:val="single" w:sz="4" w:space="0" w:color="auto"/>
              <w:right w:val="single" w:sz="4" w:space="0" w:color="auto"/>
            </w:tcBorders>
            <w:shd w:val="clear" w:color="auto" w:fill="auto"/>
          </w:tcPr>
          <w:p w14:paraId="5A8B715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w:t>
            </w:r>
          </w:p>
        </w:tc>
      </w:tr>
      <w:tr w:rsidR="00EF4A2D" w:rsidRPr="00EF4A2D" w14:paraId="6E16A3CD" w14:textId="77777777" w:rsidTr="00B9606F">
        <w:trPr>
          <w:jc w:val="center"/>
        </w:trPr>
        <w:tc>
          <w:tcPr>
            <w:tcW w:w="590" w:type="dxa"/>
            <w:tcBorders>
              <w:left w:val="single" w:sz="4" w:space="0" w:color="auto"/>
              <w:right w:val="single" w:sz="4" w:space="0" w:color="auto"/>
            </w:tcBorders>
            <w:shd w:val="clear" w:color="auto" w:fill="auto"/>
            <w:vAlign w:val="bottom"/>
          </w:tcPr>
          <w:p w14:paraId="7BED6612"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20</w:t>
            </w:r>
          </w:p>
        </w:tc>
        <w:tc>
          <w:tcPr>
            <w:tcW w:w="2053" w:type="dxa"/>
            <w:tcBorders>
              <w:left w:val="single" w:sz="4" w:space="0" w:color="auto"/>
              <w:right w:val="single" w:sz="4" w:space="0" w:color="auto"/>
            </w:tcBorders>
            <w:shd w:val="clear" w:color="auto" w:fill="auto"/>
          </w:tcPr>
          <w:p w14:paraId="5D71AFCE" w14:textId="77777777" w:rsidR="00EF4A2D" w:rsidRPr="00EF4A2D" w:rsidRDefault="00EF4A2D" w:rsidP="004D07F1">
            <w:pPr>
              <w:rPr>
                <w:rFonts w:eastAsia="Calibri"/>
                <w:sz w:val="14"/>
                <w:szCs w:val="14"/>
                <w:lang w:eastAsia="en-US"/>
              </w:rPr>
            </w:pPr>
            <w:r w:rsidRPr="00EF4A2D">
              <w:rPr>
                <w:rFonts w:eastAsia="Calibri"/>
                <w:sz w:val="14"/>
                <w:szCs w:val="14"/>
                <w:lang w:eastAsia="en-US"/>
              </w:rPr>
              <w:t>Israel</w:t>
            </w:r>
          </w:p>
        </w:tc>
        <w:tc>
          <w:tcPr>
            <w:tcW w:w="559" w:type="dxa"/>
            <w:tcBorders>
              <w:left w:val="single" w:sz="4" w:space="0" w:color="auto"/>
              <w:right w:val="single" w:sz="4" w:space="0" w:color="auto"/>
            </w:tcBorders>
            <w:shd w:val="clear" w:color="auto" w:fill="auto"/>
          </w:tcPr>
          <w:p w14:paraId="6D7267FF"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34</w:t>
            </w:r>
          </w:p>
        </w:tc>
        <w:tc>
          <w:tcPr>
            <w:tcW w:w="545" w:type="dxa"/>
            <w:tcBorders>
              <w:left w:val="single" w:sz="4" w:space="0" w:color="auto"/>
              <w:right w:val="single" w:sz="4" w:space="0" w:color="auto"/>
            </w:tcBorders>
            <w:shd w:val="clear" w:color="auto" w:fill="auto"/>
          </w:tcPr>
          <w:p w14:paraId="590C8CA2"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0.9</w:t>
            </w:r>
          </w:p>
        </w:tc>
        <w:tc>
          <w:tcPr>
            <w:tcW w:w="808" w:type="dxa"/>
            <w:tcBorders>
              <w:left w:val="single" w:sz="4" w:space="0" w:color="auto"/>
              <w:right w:val="single" w:sz="4" w:space="0" w:color="auto"/>
            </w:tcBorders>
            <w:shd w:val="clear" w:color="auto" w:fill="auto"/>
          </w:tcPr>
          <w:p w14:paraId="517C0B6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w:t>
            </w:r>
          </w:p>
        </w:tc>
        <w:tc>
          <w:tcPr>
            <w:tcW w:w="590" w:type="dxa"/>
            <w:tcBorders>
              <w:left w:val="single" w:sz="4" w:space="0" w:color="auto"/>
              <w:right w:val="single" w:sz="4" w:space="0" w:color="auto"/>
            </w:tcBorders>
            <w:shd w:val="clear" w:color="auto" w:fill="auto"/>
          </w:tcPr>
          <w:p w14:paraId="1ECD4AA1"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20</w:t>
            </w:r>
          </w:p>
        </w:tc>
        <w:tc>
          <w:tcPr>
            <w:tcW w:w="2060" w:type="dxa"/>
            <w:tcBorders>
              <w:left w:val="single" w:sz="4" w:space="0" w:color="auto"/>
              <w:right w:val="single" w:sz="4" w:space="0" w:color="auto"/>
            </w:tcBorders>
            <w:shd w:val="clear" w:color="auto" w:fill="auto"/>
          </w:tcPr>
          <w:p w14:paraId="44B4B36B"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Indonesia</w:t>
            </w:r>
          </w:p>
        </w:tc>
        <w:tc>
          <w:tcPr>
            <w:tcW w:w="559" w:type="dxa"/>
            <w:tcBorders>
              <w:left w:val="single" w:sz="4" w:space="0" w:color="auto"/>
              <w:right w:val="single" w:sz="4" w:space="0" w:color="auto"/>
            </w:tcBorders>
            <w:shd w:val="clear" w:color="auto" w:fill="auto"/>
          </w:tcPr>
          <w:p w14:paraId="6353DACC"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33</w:t>
            </w:r>
          </w:p>
        </w:tc>
        <w:tc>
          <w:tcPr>
            <w:tcW w:w="537" w:type="dxa"/>
            <w:tcBorders>
              <w:left w:val="single" w:sz="4" w:space="0" w:color="auto"/>
              <w:right w:val="single" w:sz="4" w:space="0" w:color="auto"/>
            </w:tcBorders>
            <w:shd w:val="clear" w:color="auto" w:fill="auto"/>
          </w:tcPr>
          <w:p w14:paraId="22FDB68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0.9</w:t>
            </w:r>
          </w:p>
        </w:tc>
        <w:tc>
          <w:tcPr>
            <w:tcW w:w="808" w:type="dxa"/>
            <w:tcBorders>
              <w:left w:val="single" w:sz="4" w:space="0" w:color="auto"/>
              <w:right w:val="single" w:sz="4" w:space="0" w:color="auto"/>
            </w:tcBorders>
            <w:shd w:val="clear" w:color="auto" w:fill="auto"/>
          </w:tcPr>
          <w:p w14:paraId="7A501A8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-4</w:t>
            </w:r>
          </w:p>
        </w:tc>
      </w:tr>
      <w:tr w:rsidR="00EF4A2D" w:rsidRPr="00EF4A2D" w14:paraId="21A2CC8F" w14:textId="77777777" w:rsidTr="00B9606F">
        <w:trPr>
          <w:jc w:val="center"/>
        </w:trPr>
        <w:tc>
          <w:tcPr>
            <w:tcW w:w="590" w:type="dxa"/>
            <w:tcBorders>
              <w:left w:val="single" w:sz="4" w:space="0" w:color="auto"/>
              <w:right w:val="single" w:sz="4" w:space="0" w:color="auto"/>
            </w:tcBorders>
            <w:shd w:val="clear" w:color="auto" w:fill="auto"/>
            <w:vAlign w:val="bottom"/>
          </w:tcPr>
          <w:p w14:paraId="7596EBED"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21</w:t>
            </w:r>
          </w:p>
        </w:tc>
        <w:tc>
          <w:tcPr>
            <w:tcW w:w="2053" w:type="dxa"/>
            <w:tcBorders>
              <w:left w:val="single" w:sz="4" w:space="0" w:color="auto"/>
              <w:right w:val="single" w:sz="4" w:space="0" w:color="auto"/>
            </w:tcBorders>
            <w:shd w:val="clear" w:color="auto" w:fill="auto"/>
          </w:tcPr>
          <w:p w14:paraId="39E5D810" w14:textId="77777777" w:rsidR="00EF4A2D" w:rsidRPr="00EF4A2D" w:rsidRDefault="00EF4A2D" w:rsidP="004D07F1">
            <w:pPr>
              <w:rPr>
                <w:rFonts w:eastAsia="Calibri"/>
                <w:sz w:val="14"/>
                <w:szCs w:val="14"/>
                <w:lang w:eastAsia="en-US"/>
              </w:rPr>
            </w:pPr>
            <w:r w:rsidRPr="00EF4A2D">
              <w:rPr>
                <w:rFonts w:eastAsia="Calibri"/>
                <w:sz w:val="14"/>
                <w:szCs w:val="14"/>
                <w:lang w:eastAsia="en-US"/>
              </w:rPr>
              <w:t>Filipinas</w:t>
            </w:r>
          </w:p>
        </w:tc>
        <w:tc>
          <w:tcPr>
            <w:tcW w:w="559" w:type="dxa"/>
            <w:tcBorders>
              <w:left w:val="single" w:sz="4" w:space="0" w:color="auto"/>
              <w:right w:val="single" w:sz="4" w:space="0" w:color="auto"/>
            </w:tcBorders>
            <w:shd w:val="clear" w:color="auto" w:fill="auto"/>
          </w:tcPr>
          <w:p w14:paraId="419EA61E"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24</w:t>
            </w:r>
          </w:p>
        </w:tc>
        <w:tc>
          <w:tcPr>
            <w:tcW w:w="545" w:type="dxa"/>
            <w:tcBorders>
              <w:left w:val="single" w:sz="4" w:space="0" w:color="auto"/>
              <w:right w:val="single" w:sz="4" w:space="0" w:color="auto"/>
            </w:tcBorders>
            <w:shd w:val="clear" w:color="auto" w:fill="auto"/>
          </w:tcPr>
          <w:p w14:paraId="7E57B199"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0.7</w:t>
            </w:r>
          </w:p>
        </w:tc>
        <w:tc>
          <w:tcPr>
            <w:tcW w:w="808" w:type="dxa"/>
            <w:tcBorders>
              <w:left w:val="single" w:sz="4" w:space="0" w:color="auto"/>
              <w:right w:val="single" w:sz="4" w:space="0" w:color="auto"/>
            </w:tcBorders>
            <w:shd w:val="clear" w:color="auto" w:fill="auto"/>
          </w:tcPr>
          <w:p w14:paraId="05453F95"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7</w:t>
            </w:r>
          </w:p>
        </w:tc>
        <w:tc>
          <w:tcPr>
            <w:tcW w:w="590" w:type="dxa"/>
            <w:tcBorders>
              <w:left w:val="single" w:sz="4" w:space="0" w:color="auto"/>
              <w:right w:val="single" w:sz="4" w:space="0" w:color="auto"/>
            </w:tcBorders>
            <w:shd w:val="clear" w:color="auto" w:fill="auto"/>
          </w:tcPr>
          <w:p w14:paraId="4CA4FA7D"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21</w:t>
            </w:r>
          </w:p>
        </w:tc>
        <w:tc>
          <w:tcPr>
            <w:tcW w:w="2060" w:type="dxa"/>
            <w:tcBorders>
              <w:left w:val="single" w:sz="4" w:space="0" w:color="auto"/>
              <w:right w:val="single" w:sz="4" w:space="0" w:color="auto"/>
            </w:tcBorders>
            <w:shd w:val="clear" w:color="auto" w:fill="auto"/>
          </w:tcPr>
          <w:p w14:paraId="702A7290" w14:textId="77777777" w:rsidR="00EF4A2D" w:rsidRPr="00EF4A2D" w:rsidRDefault="00EF4A2D" w:rsidP="004D07F1">
            <w:pPr>
              <w:jc w:val="both"/>
              <w:rPr>
                <w:rFonts w:eastAsia="Calibri"/>
                <w:b/>
                <w:sz w:val="14"/>
                <w:szCs w:val="14"/>
                <w:lang w:eastAsia="en-US"/>
              </w:rPr>
            </w:pPr>
            <w:r w:rsidRPr="00EF4A2D">
              <w:rPr>
                <w:rFonts w:eastAsia="Calibri"/>
                <w:b/>
                <w:sz w:val="14"/>
                <w:szCs w:val="14"/>
                <w:lang w:eastAsia="en-US"/>
              </w:rPr>
              <w:t>México</w:t>
            </w:r>
          </w:p>
        </w:tc>
        <w:tc>
          <w:tcPr>
            <w:tcW w:w="559" w:type="dxa"/>
            <w:tcBorders>
              <w:left w:val="single" w:sz="4" w:space="0" w:color="auto"/>
              <w:right w:val="single" w:sz="4" w:space="0" w:color="auto"/>
            </w:tcBorders>
            <w:shd w:val="clear" w:color="auto" w:fill="auto"/>
          </w:tcPr>
          <w:p w14:paraId="2779E065"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32</w:t>
            </w:r>
          </w:p>
        </w:tc>
        <w:tc>
          <w:tcPr>
            <w:tcW w:w="537" w:type="dxa"/>
            <w:tcBorders>
              <w:left w:val="single" w:sz="4" w:space="0" w:color="auto"/>
              <w:right w:val="single" w:sz="4" w:space="0" w:color="auto"/>
            </w:tcBorders>
            <w:shd w:val="clear" w:color="auto" w:fill="auto"/>
          </w:tcPr>
          <w:p w14:paraId="09A253B1"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0.9</w:t>
            </w:r>
          </w:p>
        </w:tc>
        <w:tc>
          <w:tcPr>
            <w:tcW w:w="808" w:type="dxa"/>
            <w:tcBorders>
              <w:left w:val="single" w:sz="4" w:space="0" w:color="auto"/>
              <w:right w:val="single" w:sz="4" w:space="0" w:color="auto"/>
            </w:tcBorders>
            <w:shd w:val="clear" w:color="auto" w:fill="auto"/>
          </w:tcPr>
          <w:p w14:paraId="33716E5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9</w:t>
            </w:r>
          </w:p>
        </w:tc>
      </w:tr>
      <w:tr w:rsidR="00EF4A2D" w:rsidRPr="00EF4A2D" w14:paraId="1553DA35" w14:textId="77777777" w:rsidTr="00B9606F">
        <w:trPr>
          <w:jc w:val="center"/>
        </w:trPr>
        <w:tc>
          <w:tcPr>
            <w:tcW w:w="590" w:type="dxa"/>
            <w:tcBorders>
              <w:left w:val="single" w:sz="4" w:space="0" w:color="auto"/>
              <w:right w:val="single" w:sz="4" w:space="0" w:color="auto"/>
            </w:tcBorders>
            <w:shd w:val="clear" w:color="auto" w:fill="auto"/>
            <w:vAlign w:val="bottom"/>
          </w:tcPr>
          <w:p w14:paraId="7D8E5254"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22</w:t>
            </w:r>
          </w:p>
        </w:tc>
        <w:tc>
          <w:tcPr>
            <w:tcW w:w="2053" w:type="dxa"/>
            <w:tcBorders>
              <w:left w:val="single" w:sz="4" w:space="0" w:color="auto"/>
              <w:right w:val="single" w:sz="4" w:space="0" w:color="auto"/>
            </w:tcBorders>
            <w:shd w:val="clear" w:color="auto" w:fill="auto"/>
          </w:tcPr>
          <w:p w14:paraId="57F94C30" w14:textId="77777777" w:rsidR="00EF4A2D" w:rsidRPr="00EF4A2D" w:rsidRDefault="00EF4A2D" w:rsidP="004D07F1">
            <w:pPr>
              <w:rPr>
                <w:rFonts w:eastAsia="Calibri"/>
                <w:sz w:val="14"/>
                <w:szCs w:val="14"/>
                <w:lang w:eastAsia="en-US"/>
              </w:rPr>
            </w:pPr>
            <w:r w:rsidRPr="00EF4A2D">
              <w:rPr>
                <w:rFonts w:eastAsia="Calibri"/>
                <w:sz w:val="14"/>
                <w:szCs w:val="14"/>
                <w:lang w:eastAsia="en-US"/>
              </w:rPr>
              <w:t>Indonesia</w:t>
            </w:r>
          </w:p>
        </w:tc>
        <w:tc>
          <w:tcPr>
            <w:tcW w:w="559" w:type="dxa"/>
            <w:tcBorders>
              <w:left w:val="single" w:sz="4" w:space="0" w:color="auto"/>
              <w:right w:val="single" w:sz="4" w:space="0" w:color="auto"/>
            </w:tcBorders>
            <w:shd w:val="clear" w:color="auto" w:fill="auto"/>
          </w:tcPr>
          <w:p w14:paraId="11ECA80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23</w:t>
            </w:r>
          </w:p>
        </w:tc>
        <w:tc>
          <w:tcPr>
            <w:tcW w:w="545" w:type="dxa"/>
            <w:tcBorders>
              <w:left w:val="single" w:sz="4" w:space="0" w:color="auto"/>
              <w:right w:val="single" w:sz="4" w:space="0" w:color="auto"/>
            </w:tcBorders>
            <w:shd w:val="clear" w:color="auto" w:fill="auto"/>
          </w:tcPr>
          <w:p w14:paraId="3EF6DF2C"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0.6</w:t>
            </w:r>
          </w:p>
        </w:tc>
        <w:tc>
          <w:tcPr>
            <w:tcW w:w="808" w:type="dxa"/>
            <w:tcBorders>
              <w:left w:val="single" w:sz="4" w:space="0" w:color="auto"/>
              <w:right w:val="single" w:sz="4" w:space="0" w:color="auto"/>
            </w:tcBorders>
            <w:shd w:val="clear" w:color="auto" w:fill="auto"/>
          </w:tcPr>
          <w:p w14:paraId="1FDC718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w:t>
            </w:r>
          </w:p>
        </w:tc>
        <w:tc>
          <w:tcPr>
            <w:tcW w:w="590" w:type="dxa"/>
            <w:tcBorders>
              <w:left w:val="single" w:sz="4" w:space="0" w:color="auto"/>
              <w:right w:val="single" w:sz="4" w:space="0" w:color="auto"/>
            </w:tcBorders>
            <w:shd w:val="clear" w:color="auto" w:fill="auto"/>
          </w:tcPr>
          <w:p w14:paraId="66FC1A03"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22</w:t>
            </w:r>
          </w:p>
        </w:tc>
        <w:tc>
          <w:tcPr>
            <w:tcW w:w="2060" w:type="dxa"/>
            <w:tcBorders>
              <w:left w:val="single" w:sz="4" w:space="0" w:color="auto"/>
              <w:right w:val="single" w:sz="4" w:space="0" w:color="auto"/>
            </w:tcBorders>
            <w:shd w:val="clear" w:color="auto" w:fill="auto"/>
          </w:tcPr>
          <w:p w14:paraId="707EDA5A"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Qatar</w:t>
            </w:r>
          </w:p>
        </w:tc>
        <w:tc>
          <w:tcPr>
            <w:tcW w:w="559" w:type="dxa"/>
            <w:tcBorders>
              <w:left w:val="single" w:sz="4" w:space="0" w:color="auto"/>
              <w:right w:val="single" w:sz="4" w:space="0" w:color="auto"/>
            </w:tcBorders>
            <w:shd w:val="clear" w:color="auto" w:fill="auto"/>
          </w:tcPr>
          <w:p w14:paraId="4D8B92CD"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31</w:t>
            </w:r>
          </w:p>
        </w:tc>
        <w:tc>
          <w:tcPr>
            <w:tcW w:w="537" w:type="dxa"/>
            <w:tcBorders>
              <w:left w:val="single" w:sz="4" w:space="0" w:color="auto"/>
              <w:right w:val="single" w:sz="4" w:space="0" w:color="auto"/>
            </w:tcBorders>
            <w:shd w:val="clear" w:color="auto" w:fill="auto"/>
          </w:tcPr>
          <w:p w14:paraId="7E8B8FB8"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0.8</w:t>
            </w:r>
          </w:p>
        </w:tc>
        <w:tc>
          <w:tcPr>
            <w:tcW w:w="808" w:type="dxa"/>
            <w:tcBorders>
              <w:left w:val="single" w:sz="4" w:space="0" w:color="auto"/>
              <w:right w:val="single" w:sz="4" w:space="0" w:color="auto"/>
            </w:tcBorders>
            <w:shd w:val="clear" w:color="auto" w:fill="auto"/>
          </w:tcPr>
          <w:p w14:paraId="4B159076"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24</w:t>
            </w:r>
          </w:p>
        </w:tc>
      </w:tr>
      <w:tr w:rsidR="00EF4A2D" w:rsidRPr="00EF4A2D" w14:paraId="1D4C9EDC" w14:textId="77777777" w:rsidTr="00B9606F">
        <w:trPr>
          <w:jc w:val="center"/>
        </w:trPr>
        <w:tc>
          <w:tcPr>
            <w:tcW w:w="590" w:type="dxa"/>
            <w:tcBorders>
              <w:left w:val="single" w:sz="4" w:space="0" w:color="auto"/>
              <w:right w:val="single" w:sz="4" w:space="0" w:color="auto"/>
            </w:tcBorders>
            <w:shd w:val="clear" w:color="auto" w:fill="auto"/>
            <w:vAlign w:val="bottom"/>
          </w:tcPr>
          <w:p w14:paraId="4CE6E6D7"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23</w:t>
            </w:r>
          </w:p>
        </w:tc>
        <w:tc>
          <w:tcPr>
            <w:tcW w:w="2053" w:type="dxa"/>
            <w:tcBorders>
              <w:left w:val="single" w:sz="4" w:space="0" w:color="auto"/>
              <w:right w:val="single" w:sz="4" w:space="0" w:color="auto"/>
            </w:tcBorders>
            <w:shd w:val="clear" w:color="auto" w:fill="auto"/>
          </w:tcPr>
          <w:p w14:paraId="513299CD"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México</w:t>
            </w:r>
          </w:p>
        </w:tc>
        <w:tc>
          <w:tcPr>
            <w:tcW w:w="559" w:type="dxa"/>
            <w:tcBorders>
              <w:left w:val="single" w:sz="4" w:space="0" w:color="auto"/>
              <w:right w:val="single" w:sz="4" w:space="0" w:color="auto"/>
            </w:tcBorders>
            <w:shd w:val="clear" w:color="auto" w:fill="auto"/>
          </w:tcPr>
          <w:p w14:paraId="1D432331"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21</w:t>
            </w:r>
          </w:p>
        </w:tc>
        <w:tc>
          <w:tcPr>
            <w:tcW w:w="545" w:type="dxa"/>
            <w:tcBorders>
              <w:left w:val="single" w:sz="4" w:space="0" w:color="auto"/>
              <w:right w:val="single" w:sz="4" w:space="0" w:color="auto"/>
            </w:tcBorders>
            <w:shd w:val="clear" w:color="auto" w:fill="auto"/>
          </w:tcPr>
          <w:p w14:paraId="33A9E0D9"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0.6</w:t>
            </w:r>
          </w:p>
        </w:tc>
        <w:tc>
          <w:tcPr>
            <w:tcW w:w="808" w:type="dxa"/>
            <w:tcBorders>
              <w:left w:val="single" w:sz="4" w:space="0" w:color="auto"/>
              <w:right w:val="single" w:sz="4" w:space="0" w:color="auto"/>
            </w:tcBorders>
            <w:shd w:val="clear" w:color="auto" w:fill="auto"/>
          </w:tcPr>
          <w:p w14:paraId="1723BAB4"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5</w:t>
            </w:r>
          </w:p>
        </w:tc>
        <w:tc>
          <w:tcPr>
            <w:tcW w:w="590" w:type="dxa"/>
            <w:tcBorders>
              <w:left w:val="single" w:sz="4" w:space="0" w:color="auto"/>
              <w:right w:val="single" w:sz="4" w:space="0" w:color="auto"/>
            </w:tcBorders>
            <w:shd w:val="clear" w:color="auto" w:fill="auto"/>
          </w:tcPr>
          <w:p w14:paraId="50BE4503"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23</w:t>
            </w:r>
          </w:p>
        </w:tc>
        <w:tc>
          <w:tcPr>
            <w:tcW w:w="2060" w:type="dxa"/>
            <w:tcBorders>
              <w:left w:val="single" w:sz="4" w:space="0" w:color="auto"/>
              <w:right w:val="single" w:sz="4" w:space="0" w:color="auto"/>
            </w:tcBorders>
            <w:shd w:val="clear" w:color="auto" w:fill="auto"/>
          </w:tcPr>
          <w:p w14:paraId="2E6A51B8"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Turquía</w:t>
            </w:r>
          </w:p>
        </w:tc>
        <w:tc>
          <w:tcPr>
            <w:tcW w:w="559" w:type="dxa"/>
            <w:tcBorders>
              <w:left w:val="single" w:sz="4" w:space="0" w:color="auto"/>
              <w:right w:val="single" w:sz="4" w:space="0" w:color="auto"/>
            </w:tcBorders>
            <w:shd w:val="clear" w:color="auto" w:fill="auto"/>
          </w:tcPr>
          <w:p w14:paraId="3FCDBA3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23</w:t>
            </w:r>
          </w:p>
        </w:tc>
        <w:tc>
          <w:tcPr>
            <w:tcW w:w="537" w:type="dxa"/>
            <w:tcBorders>
              <w:left w:val="single" w:sz="4" w:space="0" w:color="auto"/>
              <w:right w:val="single" w:sz="4" w:space="0" w:color="auto"/>
            </w:tcBorders>
            <w:shd w:val="clear" w:color="auto" w:fill="auto"/>
          </w:tcPr>
          <w:p w14:paraId="526D969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0.6</w:t>
            </w:r>
          </w:p>
        </w:tc>
        <w:tc>
          <w:tcPr>
            <w:tcW w:w="808" w:type="dxa"/>
            <w:tcBorders>
              <w:left w:val="single" w:sz="4" w:space="0" w:color="auto"/>
              <w:right w:val="single" w:sz="4" w:space="0" w:color="auto"/>
            </w:tcBorders>
            <w:shd w:val="clear" w:color="auto" w:fill="auto"/>
          </w:tcPr>
          <w:p w14:paraId="5135F032"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w:t>
            </w:r>
          </w:p>
        </w:tc>
      </w:tr>
      <w:tr w:rsidR="00EF4A2D" w:rsidRPr="00EF4A2D" w14:paraId="3BCEA043" w14:textId="77777777" w:rsidTr="00B9606F">
        <w:trPr>
          <w:jc w:val="center"/>
        </w:trPr>
        <w:tc>
          <w:tcPr>
            <w:tcW w:w="590" w:type="dxa"/>
            <w:tcBorders>
              <w:left w:val="single" w:sz="4" w:space="0" w:color="auto"/>
              <w:right w:val="single" w:sz="4" w:space="0" w:color="auto"/>
            </w:tcBorders>
            <w:shd w:val="clear" w:color="auto" w:fill="auto"/>
            <w:vAlign w:val="bottom"/>
          </w:tcPr>
          <w:p w14:paraId="1F771898"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24</w:t>
            </w:r>
          </w:p>
        </w:tc>
        <w:tc>
          <w:tcPr>
            <w:tcW w:w="2053" w:type="dxa"/>
            <w:tcBorders>
              <w:left w:val="single" w:sz="4" w:space="0" w:color="auto"/>
              <w:right w:val="single" w:sz="4" w:space="0" w:color="auto"/>
            </w:tcBorders>
            <w:shd w:val="clear" w:color="auto" w:fill="auto"/>
          </w:tcPr>
          <w:p w14:paraId="36F73B50" w14:textId="77777777" w:rsidR="00EF4A2D" w:rsidRPr="00EF4A2D" w:rsidRDefault="00EF4A2D" w:rsidP="004D07F1">
            <w:pPr>
              <w:rPr>
                <w:rFonts w:eastAsia="Calibri"/>
                <w:sz w:val="14"/>
                <w:szCs w:val="14"/>
                <w:lang w:eastAsia="en-US"/>
              </w:rPr>
            </w:pPr>
            <w:r w:rsidRPr="00EF4A2D">
              <w:rPr>
                <w:rFonts w:eastAsia="Calibri"/>
                <w:sz w:val="14"/>
                <w:szCs w:val="14"/>
                <w:lang w:eastAsia="en-US"/>
              </w:rPr>
              <w:t>Egipto</w:t>
            </w:r>
          </w:p>
        </w:tc>
        <w:tc>
          <w:tcPr>
            <w:tcW w:w="559" w:type="dxa"/>
            <w:tcBorders>
              <w:left w:val="single" w:sz="4" w:space="0" w:color="auto"/>
              <w:right w:val="single" w:sz="4" w:space="0" w:color="auto"/>
            </w:tcBorders>
            <w:shd w:val="clear" w:color="auto" w:fill="auto"/>
          </w:tcPr>
          <w:p w14:paraId="45AB397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19</w:t>
            </w:r>
          </w:p>
        </w:tc>
        <w:tc>
          <w:tcPr>
            <w:tcW w:w="545" w:type="dxa"/>
            <w:tcBorders>
              <w:left w:val="single" w:sz="4" w:space="0" w:color="auto"/>
              <w:right w:val="single" w:sz="4" w:space="0" w:color="auto"/>
            </w:tcBorders>
            <w:shd w:val="clear" w:color="auto" w:fill="auto"/>
          </w:tcPr>
          <w:p w14:paraId="54C8560F"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0.5</w:t>
            </w:r>
          </w:p>
        </w:tc>
        <w:tc>
          <w:tcPr>
            <w:tcW w:w="808" w:type="dxa"/>
            <w:tcBorders>
              <w:left w:val="single" w:sz="4" w:space="0" w:color="auto"/>
              <w:right w:val="single" w:sz="4" w:space="0" w:color="auto"/>
            </w:tcBorders>
            <w:shd w:val="clear" w:color="auto" w:fill="auto"/>
          </w:tcPr>
          <w:p w14:paraId="249A5066"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7</w:t>
            </w:r>
          </w:p>
        </w:tc>
        <w:tc>
          <w:tcPr>
            <w:tcW w:w="590" w:type="dxa"/>
            <w:tcBorders>
              <w:left w:val="single" w:sz="4" w:space="0" w:color="auto"/>
              <w:right w:val="single" w:sz="4" w:space="0" w:color="auto"/>
            </w:tcBorders>
            <w:shd w:val="clear" w:color="auto" w:fill="auto"/>
          </w:tcPr>
          <w:p w14:paraId="4F0B0F74"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24</w:t>
            </w:r>
          </w:p>
        </w:tc>
        <w:tc>
          <w:tcPr>
            <w:tcW w:w="2060" w:type="dxa"/>
            <w:tcBorders>
              <w:left w:val="single" w:sz="4" w:space="0" w:color="auto"/>
              <w:right w:val="single" w:sz="4" w:space="0" w:color="auto"/>
            </w:tcBorders>
            <w:shd w:val="clear" w:color="auto" w:fill="auto"/>
          </w:tcPr>
          <w:p w14:paraId="765CAA08"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Nigeria</w:t>
            </w:r>
          </w:p>
        </w:tc>
        <w:tc>
          <w:tcPr>
            <w:tcW w:w="559" w:type="dxa"/>
            <w:tcBorders>
              <w:left w:val="single" w:sz="4" w:space="0" w:color="auto"/>
              <w:right w:val="single" w:sz="4" w:space="0" w:color="auto"/>
            </w:tcBorders>
            <w:shd w:val="clear" w:color="auto" w:fill="auto"/>
          </w:tcPr>
          <w:p w14:paraId="5BF3ED64"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22</w:t>
            </w:r>
          </w:p>
        </w:tc>
        <w:tc>
          <w:tcPr>
            <w:tcW w:w="537" w:type="dxa"/>
            <w:tcBorders>
              <w:left w:val="single" w:sz="4" w:space="0" w:color="auto"/>
              <w:right w:val="single" w:sz="4" w:space="0" w:color="auto"/>
            </w:tcBorders>
            <w:shd w:val="clear" w:color="auto" w:fill="auto"/>
          </w:tcPr>
          <w:p w14:paraId="37E6F22A"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0.6</w:t>
            </w:r>
          </w:p>
        </w:tc>
        <w:tc>
          <w:tcPr>
            <w:tcW w:w="808" w:type="dxa"/>
            <w:tcBorders>
              <w:left w:val="single" w:sz="4" w:space="0" w:color="auto"/>
              <w:right w:val="single" w:sz="4" w:space="0" w:color="auto"/>
            </w:tcBorders>
            <w:shd w:val="clear" w:color="auto" w:fill="auto"/>
          </w:tcPr>
          <w:p w14:paraId="31E5111F"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9</w:t>
            </w:r>
          </w:p>
        </w:tc>
      </w:tr>
      <w:tr w:rsidR="00EF4A2D" w:rsidRPr="00EF4A2D" w14:paraId="004F73CD" w14:textId="77777777" w:rsidTr="00B9606F">
        <w:trPr>
          <w:jc w:val="center"/>
        </w:trPr>
        <w:tc>
          <w:tcPr>
            <w:tcW w:w="590" w:type="dxa"/>
            <w:tcBorders>
              <w:left w:val="single" w:sz="4" w:space="0" w:color="auto"/>
              <w:right w:val="single" w:sz="4" w:space="0" w:color="auto"/>
            </w:tcBorders>
            <w:shd w:val="clear" w:color="auto" w:fill="auto"/>
            <w:vAlign w:val="bottom"/>
          </w:tcPr>
          <w:p w14:paraId="00E7078E"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25</w:t>
            </w:r>
          </w:p>
        </w:tc>
        <w:tc>
          <w:tcPr>
            <w:tcW w:w="2053" w:type="dxa"/>
            <w:tcBorders>
              <w:left w:val="single" w:sz="4" w:space="0" w:color="auto"/>
              <w:right w:val="single" w:sz="4" w:space="0" w:color="auto"/>
            </w:tcBorders>
            <w:shd w:val="clear" w:color="auto" w:fill="auto"/>
          </w:tcPr>
          <w:p w14:paraId="3A198490" w14:textId="77777777" w:rsidR="00EF4A2D" w:rsidRPr="00EF4A2D" w:rsidRDefault="00EF4A2D" w:rsidP="004D07F1">
            <w:pPr>
              <w:rPr>
                <w:rFonts w:eastAsia="Calibri"/>
                <w:sz w:val="14"/>
                <w:szCs w:val="14"/>
                <w:lang w:eastAsia="en-US"/>
              </w:rPr>
            </w:pPr>
            <w:r w:rsidRPr="00EF4A2D">
              <w:rPr>
                <w:rFonts w:eastAsia="Calibri"/>
                <w:sz w:val="14"/>
                <w:szCs w:val="14"/>
                <w:lang w:eastAsia="en-US"/>
              </w:rPr>
              <w:t xml:space="preserve">Emiratos Árabes Unidos </w:t>
            </w:r>
            <w:r w:rsidRPr="00EF4A2D">
              <w:rPr>
                <w:rFonts w:eastAsia="Calibri"/>
                <w:sz w:val="14"/>
                <w:szCs w:val="14"/>
                <w:u w:val="single"/>
                <w:vertAlign w:val="superscript"/>
                <w:lang w:eastAsia="en-US"/>
              </w:rPr>
              <w:t>a</w:t>
            </w:r>
            <w:r w:rsidRPr="00EF4A2D">
              <w:rPr>
                <w:rFonts w:eastAsia="Calibri"/>
                <w:sz w:val="14"/>
                <w:szCs w:val="14"/>
                <w:vertAlign w:val="superscript"/>
                <w:lang w:eastAsia="en-US"/>
              </w:rPr>
              <w:t>/,</w:t>
            </w:r>
            <w:r w:rsidRPr="00EF4A2D">
              <w:rPr>
                <w:rFonts w:eastAsia="Calibri"/>
                <w:sz w:val="14"/>
                <w:szCs w:val="14"/>
                <w:u w:val="single"/>
                <w:vertAlign w:val="superscript"/>
                <w:lang w:eastAsia="en-US"/>
              </w:rPr>
              <w:t>b</w:t>
            </w:r>
            <w:r w:rsidRPr="00EF4A2D">
              <w:rPr>
                <w:rFonts w:eastAsia="Calibri"/>
                <w:sz w:val="14"/>
                <w:szCs w:val="14"/>
                <w:vertAlign w:val="superscript"/>
                <w:lang w:eastAsia="en-US"/>
              </w:rPr>
              <w:t>/</w:t>
            </w:r>
          </w:p>
        </w:tc>
        <w:tc>
          <w:tcPr>
            <w:tcW w:w="559" w:type="dxa"/>
            <w:tcBorders>
              <w:left w:val="single" w:sz="4" w:space="0" w:color="auto"/>
              <w:right w:val="single" w:sz="4" w:space="0" w:color="auto"/>
            </w:tcBorders>
            <w:shd w:val="clear" w:color="auto" w:fill="auto"/>
          </w:tcPr>
          <w:p w14:paraId="7FFF6812"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17</w:t>
            </w:r>
          </w:p>
        </w:tc>
        <w:tc>
          <w:tcPr>
            <w:tcW w:w="545" w:type="dxa"/>
            <w:tcBorders>
              <w:left w:val="single" w:sz="4" w:space="0" w:color="auto"/>
              <w:right w:val="single" w:sz="4" w:space="0" w:color="auto"/>
            </w:tcBorders>
            <w:shd w:val="clear" w:color="auto" w:fill="auto"/>
          </w:tcPr>
          <w:p w14:paraId="0448651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0.5</w:t>
            </w:r>
          </w:p>
        </w:tc>
        <w:tc>
          <w:tcPr>
            <w:tcW w:w="808" w:type="dxa"/>
            <w:tcBorders>
              <w:left w:val="single" w:sz="4" w:space="0" w:color="auto"/>
              <w:right w:val="single" w:sz="4" w:space="0" w:color="auto"/>
            </w:tcBorders>
            <w:shd w:val="clear" w:color="auto" w:fill="auto"/>
          </w:tcPr>
          <w:p w14:paraId="685AE238"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w:t>
            </w:r>
          </w:p>
        </w:tc>
        <w:tc>
          <w:tcPr>
            <w:tcW w:w="590" w:type="dxa"/>
            <w:tcBorders>
              <w:left w:val="single" w:sz="4" w:space="0" w:color="auto"/>
              <w:right w:val="single" w:sz="4" w:space="0" w:color="auto"/>
            </w:tcBorders>
            <w:shd w:val="clear" w:color="auto" w:fill="auto"/>
          </w:tcPr>
          <w:p w14:paraId="01A56766"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25</w:t>
            </w:r>
          </w:p>
        </w:tc>
        <w:tc>
          <w:tcPr>
            <w:tcW w:w="2060" w:type="dxa"/>
            <w:tcBorders>
              <w:left w:val="single" w:sz="4" w:space="0" w:color="auto"/>
              <w:right w:val="single" w:sz="4" w:space="0" w:color="auto"/>
            </w:tcBorders>
            <w:shd w:val="clear" w:color="auto" w:fill="auto"/>
          </w:tcPr>
          <w:p w14:paraId="417C5A7E" w14:textId="77777777" w:rsidR="00EF4A2D" w:rsidRPr="00EF4A2D" w:rsidRDefault="00EF4A2D" w:rsidP="004D07F1">
            <w:pPr>
              <w:jc w:val="both"/>
              <w:rPr>
                <w:rFonts w:eastAsia="Calibri"/>
                <w:sz w:val="14"/>
                <w:szCs w:val="14"/>
                <w:lang w:eastAsia="en-US"/>
              </w:rPr>
            </w:pPr>
            <w:proofErr w:type="spellStart"/>
            <w:r w:rsidRPr="00EF4A2D">
              <w:rPr>
                <w:rFonts w:eastAsia="Calibri"/>
                <w:sz w:val="14"/>
                <w:szCs w:val="14"/>
                <w:lang w:eastAsia="en-US"/>
              </w:rPr>
              <w:t>Ángola</w:t>
            </w:r>
            <w:proofErr w:type="spellEnd"/>
            <w:r w:rsidRPr="00EF4A2D">
              <w:rPr>
                <w:rFonts w:eastAsia="Calibri"/>
                <w:sz w:val="14"/>
                <w:szCs w:val="14"/>
                <w:lang w:eastAsia="en-US"/>
              </w:rPr>
              <w:t xml:space="preserve"> </w:t>
            </w:r>
            <w:proofErr w:type="spellStart"/>
            <w:r w:rsidRPr="00EF4A2D">
              <w:rPr>
                <w:rFonts w:eastAsia="Calibri"/>
                <w:sz w:val="14"/>
                <w:szCs w:val="14"/>
                <w:u w:val="single"/>
                <w:vertAlign w:val="superscript"/>
                <w:lang w:eastAsia="en-US"/>
              </w:rPr>
              <w:t>b</w:t>
            </w:r>
            <w:r w:rsidRPr="00EF4A2D">
              <w:rPr>
                <w:rFonts w:eastAsia="Calibri"/>
                <w:sz w:val="14"/>
                <w:szCs w:val="14"/>
                <w:vertAlign w:val="superscript"/>
                <w:lang w:eastAsia="en-US"/>
              </w:rPr>
              <w:t>/</w:t>
            </w:r>
            <w:proofErr w:type="spellEnd"/>
          </w:p>
        </w:tc>
        <w:tc>
          <w:tcPr>
            <w:tcW w:w="559" w:type="dxa"/>
            <w:tcBorders>
              <w:left w:val="single" w:sz="4" w:space="0" w:color="auto"/>
              <w:right w:val="single" w:sz="4" w:space="0" w:color="auto"/>
            </w:tcBorders>
            <w:shd w:val="clear" w:color="auto" w:fill="auto"/>
          </w:tcPr>
          <w:p w14:paraId="5AA87495"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22</w:t>
            </w:r>
          </w:p>
        </w:tc>
        <w:tc>
          <w:tcPr>
            <w:tcW w:w="537" w:type="dxa"/>
            <w:tcBorders>
              <w:left w:val="single" w:sz="4" w:space="0" w:color="auto"/>
              <w:right w:val="single" w:sz="4" w:space="0" w:color="auto"/>
            </w:tcBorders>
            <w:shd w:val="clear" w:color="auto" w:fill="auto"/>
          </w:tcPr>
          <w:p w14:paraId="0B8D5126"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0.6</w:t>
            </w:r>
          </w:p>
        </w:tc>
        <w:tc>
          <w:tcPr>
            <w:tcW w:w="808" w:type="dxa"/>
            <w:tcBorders>
              <w:left w:val="single" w:sz="4" w:space="0" w:color="auto"/>
              <w:right w:val="single" w:sz="4" w:space="0" w:color="auto"/>
            </w:tcBorders>
            <w:shd w:val="clear" w:color="auto" w:fill="auto"/>
          </w:tcPr>
          <w:p w14:paraId="476ECA3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w:t>
            </w:r>
          </w:p>
        </w:tc>
      </w:tr>
      <w:tr w:rsidR="00EF4A2D" w:rsidRPr="00EF4A2D" w14:paraId="2893C8E5" w14:textId="77777777" w:rsidTr="00B9606F">
        <w:trPr>
          <w:jc w:val="center"/>
        </w:trPr>
        <w:tc>
          <w:tcPr>
            <w:tcW w:w="590" w:type="dxa"/>
            <w:tcBorders>
              <w:left w:val="single" w:sz="4" w:space="0" w:color="auto"/>
              <w:right w:val="single" w:sz="4" w:space="0" w:color="auto"/>
            </w:tcBorders>
            <w:shd w:val="clear" w:color="auto" w:fill="auto"/>
            <w:vAlign w:val="bottom"/>
          </w:tcPr>
          <w:p w14:paraId="031A2338"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26</w:t>
            </w:r>
          </w:p>
        </w:tc>
        <w:tc>
          <w:tcPr>
            <w:tcW w:w="2053" w:type="dxa"/>
            <w:tcBorders>
              <w:left w:val="single" w:sz="4" w:space="0" w:color="auto"/>
              <w:right w:val="single" w:sz="4" w:space="0" w:color="auto"/>
            </w:tcBorders>
            <w:shd w:val="clear" w:color="auto" w:fill="auto"/>
          </w:tcPr>
          <w:p w14:paraId="1CC5C11D" w14:textId="77777777" w:rsidR="00EF4A2D" w:rsidRPr="00EF4A2D" w:rsidRDefault="00EF4A2D" w:rsidP="004D07F1">
            <w:pPr>
              <w:rPr>
                <w:rFonts w:eastAsia="Calibri"/>
                <w:sz w:val="14"/>
                <w:szCs w:val="14"/>
                <w:lang w:eastAsia="en-US"/>
              </w:rPr>
            </w:pPr>
            <w:r w:rsidRPr="00EF4A2D">
              <w:rPr>
                <w:rFonts w:eastAsia="Calibri"/>
                <w:sz w:val="14"/>
                <w:szCs w:val="14"/>
                <w:lang w:eastAsia="en-US"/>
              </w:rPr>
              <w:t>Líbano</w:t>
            </w:r>
          </w:p>
        </w:tc>
        <w:tc>
          <w:tcPr>
            <w:tcW w:w="559" w:type="dxa"/>
            <w:tcBorders>
              <w:left w:val="single" w:sz="4" w:space="0" w:color="auto"/>
              <w:right w:val="single" w:sz="4" w:space="0" w:color="auto"/>
            </w:tcBorders>
            <w:shd w:val="clear" w:color="auto" w:fill="auto"/>
          </w:tcPr>
          <w:p w14:paraId="698E260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15</w:t>
            </w:r>
          </w:p>
        </w:tc>
        <w:tc>
          <w:tcPr>
            <w:tcW w:w="545" w:type="dxa"/>
            <w:tcBorders>
              <w:left w:val="single" w:sz="4" w:space="0" w:color="auto"/>
              <w:right w:val="single" w:sz="4" w:space="0" w:color="auto"/>
            </w:tcBorders>
            <w:shd w:val="clear" w:color="auto" w:fill="auto"/>
          </w:tcPr>
          <w:p w14:paraId="0D54BBF6"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0.4</w:t>
            </w:r>
          </w:p>
        </w:tc>
        <w:tc>
          <w:tcPr>
            <w:tcW w:w="808" w:type="dxa"/>
            <w:tcBorders>
              <w:left w:val="single" w:sz="4" w:space="0" w:color="auto"/>
              <w:right w:val="single" w:sz="4" w:space="0" w:color="auto"/>
            </w:tcBorders>
            <w:shd w:val="clear" w:color="auto" w:fill="auto"/>
          </w:tcPr>
          <w:p w14:paraId="06BB8205"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6</w:t>
            </w:r>
          </w:p>
        </w:tc>
        <w:tc>
          <w:tcPr>
            <w:tcW w:w="590" w:type="dxa"/>
            <w:tcBorders>
              <w:left w:val="single" w:sz="4" w:space="0" w:color="auto"/>
              <w:right w:val="single" w:sz="4" w:space="0" w:color="auto"/>
            </w:tcBorders>
            <w:shd w:val="clear" w:color="auto" w:fill="auto"/>
          </w:tcPr>
          <w:p w14:paraId="6277AF63"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26</w:t>
            </w:r>
          </w:p>
        </w:tc>
        <w:tc>
          <w:tcPr>
            <w:tcW w:w="2060" w:type="dxa"/>
            <w:tcBorders>
              <w:left w:val="single" w:sz="4" w:space="0" w:color="auto"/>
              <w:right w:val="single" w:sz="4" w:space="0" w:color="auto"/>
            </w:tcBorders>
            <w:shd w:val="clear" w:color="auto" w:fill="auto"/>
          </w:tcPr>
          <w:p w14:paraId="2490644C"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Israel</w:t>
            </w:r>
          </w:p>
        </w:tc>
        <w:tc>
          <w:tcPr>
            <w:tcW w:w="559" w:type="dxa"/>
            <w:tcBorders>
              <w:left w:val="single" w:sz="4" w:space="0" w:color="auto"/>
              <w:right w:val="single" w:sz="4" w:space="0" w:color="auto"/>
            </w:tcBorders>
            <w:shd w:val="clear" w:color="auto" w:fill="auto"/>
          </w:tcPr>
          <w:p w14:paraId="526490B3"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22</w:t>
            </w:r>
          </w:p>
        </w:tc>
        <w:tc>
          <w:tcPr>
            <w:tcW w:w="537" w:type="dxa"/>
            <w:tcBorders>
              <w:left w:val="single" w:sz="4" w:space="0" w:color="auto"/>
              <w:right w:val="single" w:sz="4" w:space="0" w:color="auto"/>
            </w:tcBorders>
            <w:shd w:val="clear" w:color="auto" w:fill="auto"/>
          </w:tcPr>
          <w:p w14:paraId="770FFBBD"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0.6</w:t>
            </w:r>
          </w:p>
        </w:tc>
        <w:tc>
          <w:tcPr>
            <w:tcW w:w="808" w:type="dxa"/>
            <w:tcBorders>
              <w:left w:val="single" w:sz="4" w:space="0" w:color="auto"/>
              <w:right w:val="single" w:sz="4" w:space="0" w:color="auto"/>
            </w:tcBorders>
            <w:shd w:val="clear" w:color="auto" w:fill="auto"/>
          </w:tcPr>
          <w:p w14:paraId="3B398443"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9</w:t>
            </w:r>
          </w:p>
        </w:tc>
      </w:tr>
      <w:tr w:rsidR="00EF4A2D" w:rsidRPr="00EF4A2D" w14:paraId="426EB21C" w14:textId="77777777" w:rsidTr="00B9606F">
        <w:trPr>
          <w:jc w:val="center"/>
        </w:trPr>
        <w:tc>
          <w:tcPr>
            <w:tcW w:w="590" w:type="dxa"/>
            <w:tcBorders>
              <w:left w:val="single" w:sz="4" w:space="0" w:color="auto"/>
              <w:right w:val="single" w:sz="4" w:space="0" w:color="auto"/>
            </w:tcBorders>
            <w:shd w:val="clear" w:color="auto" w:fill="auto"/>
            <w:vAlign w:val="bottom"/>
          </w:tcPr>
          <w:p w14:paraId="488EC8C4"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27</w:t>
            </w:r>
          </w:p>
        </w:tc>
        <w:tc>
          <w:tcPr>
            <w:tcW w:w="2053" w:type="dxa"/>
            <w:tcBorders>
              <w:left w:val="single" w:sz="4" w:space="0" w:color="auto"/>
              <w:right w:val="single" w:sz="4" w:space="0" w:color="auto"/>
            </w:tcBorders>
            <w:shd w:val="clear" w:color="auto" w:fill="auto"/>
          </w:tcPr>
          <w:p w14:paraId="28B8DD4C" w14:textId="77777777" w:rsidR="00EF4A2D" w:rsidRPr="00EF4A2D" w:rsidRDefault="00EF4A2D" w:rsidP="004D07F1">
            <w:pPr>
              <w:rPr>
                <w:rFonts w:eastAsia="Calibri"/>
                <w:sz w:val="14"/>
                <w:szCs w:val="14"/>
                <w:lang w:eastAsia="en-US"/>
              </w:rPr>
            </w:pPr>
            <w:r w:rsidRPr="00EF4A2D">
              <w:rPr>
                <w:rFonts w:eastAsia="Calibri"/>
                <w:sz w:val="14"/>
                <w:szCs w:val="14"/>
                <w:lang w:eastAsia="en-US"/>
              </w:rPr>
              <w:t>Marruecos</w:t>
            </w:r>
          </w:p>
        </w:tc>
        <w:tc>
          <w:tcPr>
            <w:tcW w:w="559" w:type="dxa"/>
            <w:tcBorders>
              <w:left w:val="single" w:sz="4" w:space="0" w:color="auto"/>
              <w:right w:val="single" w:sz="4" w:space="0" w:color="auto"/>
            </w:tcBorders>
            <w:shd w:val="clear" w:color="auto" w:fill="auto"/>
          </w:tcPr>
          <w:p w14:paraId="570E7B22"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15</w:t>
            </w:r>
          </w:p>
        </w:tc>
        <w:tc>
          <w:tcPr>
            <w:tcW w:w="545" w:type="dxa"/>
            <w:tcBorders>
              <w:left w:val="single" w:sz="4" w:space="0" w:color="auto"/>
              <w:right w:val="single" w:sz="4" w:space="0" w:color="auto"/>
            </w:tcBorders>
            <w:shd w:val="clear" w:color="auto" w:fill="auto"/>
          </w:tcPr>
          <w:p w14:paraId="6196AEFA"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0.4</w:t>
            </w:r>
          </w:p>
        </w:tc>
        <w:tc>
          <w:tcPr>
            <w:tcW w:w="808" w:type="dxa"/>
            <w:tcBorders>
              <w:left w:val="single" w:sz="4" w:space="0" w:color="auto"/>
              <w:right w:val="single" w:sz="4" w:space="0" w:color="auto"/>
            </w:tcBorders>
            <w:shd w:val="clear" w:color="auto" w:fill="auto"/>
          </w:tcPr>
          <w:p w14:paraId="6CC38EAD"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11</w:t>
            </w:r>
          </w:p>
        </w:tc>
        <w:tc>
          <w:tcPr>
            <w:tcW w:w="590" w:type="dxa"/>
            <w:tcBorders>
              <w:left w:val="single" w:sz="4" w:space="0" w:color="auto"/>
              <w:right w:val="single" w:sz="4" w:space="0" w:color="auto"/>
            </w:tcBorders>
            <w:shd w:val="clear" w:color="auto" w:fill="auto"/>
          </w:tcPr>
          <w:p w14:paraId="2545653B"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27</w:t>
            </w:r>
          </w:p>
        </w:tc>
        <w:tc>
          <w:tcPr>
            <w:tcW w:w="2060" w:type="dxa"/>
            <w:tcBorders>
              <w:left w:val="single" w:sz="4" w:space="0" w:color="auto"/>
              <w:right w:val="single" w:sz="4" w:space="0" w:color="auto"/>
            </w:tcBorders>
            <w:shd w:val="clear" w:color="auto" w:fill="auto"/>
          </w:tcPr>
          <w:p w14:paraId="72494EF0"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 xml:space="preserve">Kuwait </w:t>
            </w:r>
            <w:proofErr w:type="spellStart"/>
            <w:r w:rsidRPr="00EF4A2D">
              <w:rPr>
                <w:rFonts w:eastAsia="Calibri"/>
                <w:sz w:val="14"/>
                <w:szCs w:val="14"/>
                <w:u w:val="single"/>
                <w:vertAlign w:val="superscript"/>
                <w:lang w:eastAsia="en-US"/>
              </w:rPr>
              <w:t>b</w:t>
            </w:r>
            <w:r w:rsidRPr="00EF4A2D">
              <w:rPr>
                <w:rFonts w:eastAsia="Calibri"/>
                <w:sz w:val="14"/>
                <w:szCs w:val="14"/>
                <w:vertAlign w:val="superscript"/>
                <w:lang w:eastAsia="en-US"/>
              </w:rPr>
              <w:t>/</w:t>
            </w:r>
            <w:proofErr w:type="spellEnd"/>
          </w:p>
        </w:tc>
        <w:tc>
          <w:tcPr>
            <w:tcW w:w="559" w:type="dxa"/>
            <w:tcBorders>
              <w:left w:val="single" w:sz="4" w:space="0" w:color="auto"/>
              <w:right w:val="single" w:sz="4" w:space="0" w:color="auto"/>
            </w:tcBorders>
            <w:shd w:val="clear" w:color="auto" w:fill="auto"/>
          </w:tcPr>
          <w:p w14:paraId="01664A79"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21</w:t>
            </w:r>
          </w:p>
        </w:tc>
        <w:tc>
          <w:tcPr>
            <w:tcW w:w="537" w:type="dxa"/>
            <w:tcBorders>
              <w:left w:val="single" w:sz="4" w:space="0" w:color="auto"/>
              <w:right w:val="single" w:sz="4" w:space="0" w:color="auto"/>
            </w:tcBorders>
            <w:shd w:val="clear" w:color="auto" w:fill="auto"/>
          </w:tcPr>
          <w:p w14:paraId="4C43AC0B"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0.6</w:t>
            </w:r>
          </w:p>
        </w:tc>
        <w:tc>
          <w:tcPr>
            <w:tcW w:w="808" w:type="dxa"/>
            <w:tcBorders>
              <w:left w:val="single" w:sz="4" w:space="0" w:color="auto"/>
              <w:right w:val="single" w:sz="4" w:space="0" w:color="auto"/>
            </w:tcBorders>
            <w:shd w:val="clear" w:color="auto" w:fill="auto"/>
          </w:tcPr>
          <w:p w14:paraId="5B2C02A7"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w:t>
            </w:r>
          </w:p>
        </w:tc>
      </w:tr>
      <w:tr w:rsidR="00EF4A2D" w:rsidRPr="00EF4A2D" w14:paraId="644F5CF3" w14:textId="77777777" w:rsidTr="00B9606F">
        <w:trPr>
          <w:jc w:val="center"/>
        </w:trPr>
        <w:tc>
          <w:tcPr>
            <w:tcW w:w="590" w:type="dxa"/>
            <w:tcBorders>
              <w:left w:val="single" w:sz="4" w:space="0" w:color="auto"/>
              <w:right w:val="single" w:sz="4" w:space="0" w:color="auto"/>
            </w:tcBorders>
            <w:shd w:val="clear" w:color="auto" w:fill="auto"/>
            <w:vAlign w:val="bottom"/>
          </w:tcPr>
          <w:p w14:paraId="2BB3B62A"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28</w:t>
            </w:r>
          </w:p>
        </w:tc>
        <w:tc>
          <w:tcPr>
            <w:tcW w:w="2053" w:type="dxa"/>
            <w:tcBorders>
              <w:left w:val="single" w:sz="4" w:space="0" w:color="auto"/>
              <w:right w:val="single" w:sz="4" w:space="0" w:color="auto"/>
            </w:tcBorders>
            <w:shd w:val="clear" w:color="auto" w:fill="auto"/>
          </w:tcPr>
          <w:p w14:paraId="28602281" w14:textId="77777777" w:rsidR="00EF4A2D" w:rsidRPr="00EF4A2D" w:rsidRDefault="00EF4A2D" w:rsidP="004D07F1">
            <w:pPr>
              <w:rPr>
                <w:rFonts w:eastAsia="Calibri"/>
                <w:sz w:val="14"/>
                <w:szCs w:val="14"/>
                <w:lang w:eastAsia="en-US"/>
              </w:rPr>
            </w:pPr>
            <w:r w:rsidRPr="00EF4A2D">
              <w:rPr>
                <w:rFonts w:eastAsia="Calibri"/>
                <w:sz w:val="14"/>
                <w:szCs w:val="14"/>
                <w:lang w:eastAsia="en-US"/>
              </w:rPr>
              <w:t>Ucrania</w:t>
            </w:r>
          </w:p>
        </w:tc>
        <w:tc>
          <w:tcPr>
            <w:tcW w:w="559" w:type="dxa"/>
            <w:tcBorders>
              <w:left w:val="single" w:sz="4" w:space="0" w:color="auto"/>
              <w:right w:val="single" w:sz="4" w:space="0" w:color="auto"/>
            </w:tcBorders>
            <w:shd w:val="clear" w:color="auto" w:fill="auto"/>
          </w:tcPr>
          <w:p w14:paraId="0B188004"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14</w:t>
            </w:r>
          </w:p>
        </w:tc>
        <w:tc>
          <w:tcPr>
            <w:tcW w:w="545" w:type="dxa"/>
            <w:tcBorders>
              <w:left w:val="single" w:sz="4" w:space="0" w:color="auto"/>
              <w:right w:val="single" w:sz="4" w:space="0" w:color="auto"/>
            </w:tcBorders>
            <w:shd w:val="clear" w:color="auto" w:fill="auto"/>
          </w:tcPr>
          <w:p w14:paraId="45F3C21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0.4</w:t>
            </w:r>
          </w:p>
        </w:tc>
        <w:tc>
          <w:tcPr>
            <w:tcW w:w="808" w:type="dxa"/>
            <w:tcBorders>
              <w:left w:val="single" w:sz="4" w:space="0" w:color="auto"/>
              <w:right w:val="single" w:sz="4" w:space="0" w:color="auto"/>
            </w:tcBorders>
            <w:shd w:val="clear" w:color="auto" w:fill="auto"/>
          </w:tcPr>
          <w:p w14:paraId="3368CAE3"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-35</w:t>
            </w:r>
          </w:p>
        </w:tc>
        <w:tc>
          <w:tcPr>
            <w:tcW w:w="590" w:type="dxa"/>
            <w:tcBorders>
              <w:left w:val="single" w:sz="4" w:space="0" w:color="auto"/>
              <w:right w:val="single" w:sz="4" w:space="0" w:color="auto"/>
            </w:tcBorders>
            <w:shd w:val="clear" w:color="auto" w:fill="auto"/>
          </w:tcPr>
          <w:p w14:paraId="563C2F98"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28</w:t>
            </w:r>
          </w:p>
        </w:tc>
        <w:tc>
          <w:tcPr>
            <w:tcW w:w="2060" w:type="dxa"/>
            <w:tcBorders>
              <w:left w:val="single" w:sz="4" w:space="0" w:color="auto"/>
              <w:right w:val="single" w:sz="4" w:space="0" w:color="auto"/>
            </w:tcBorders>
            <w:shd w:val="clear" w:color="auto" w:fill="auto"/>
          </w:tcPr>
          <w:p w14:paraId="5DFABED9"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Filipinas</w:t>
            </w:r>
          </w:p>
        </w:tc>
        <w:tc>
          <w:tcPr>
            <w:tcW w:w="559" w:type="dxa"/>
            <w:tcBorders>
              <w:left w:val="single" w:sz="4" w:space="0" w:color="auto"/>
              <w:right w:val="single" w:sz="4" w:space="0" w:color="auto"/>
            </w:tcBorders>
            <w:shd w:val="clear" w:color="auto" w:fill="auto"/>
          </w:tcPr>
          <w:p w14:paraId="7778627F"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20</w:t>
            </w:r>
          </w:p>
        </w:tc>
        <w:tc>
          <w:tcPr>
            <w:tcW w:w="537" w:type="dxa"/>
            <w:tcBorders>
              <w:left w:val="single" w:sz="4" w:space="0" w:color="auto"/>
              <w:right w:val="single" w:sz="4" w:space="0" w:color="auto"/>
            </w:tcBorders>
            <w:shd w:val="clear" w:color="auto" w:fill="auto"/>
          </w:tcPr>
          <w:p w14:paraId="60678FE8"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0.5</w:t>
            </w:r>
          </w:p>
        </w:tc>
        <w:tc>
          <w:tcPr>
            <w:tcW w:w="808" w:type="dxa"/>
            <w:tcBorders>
              <w:left w:val="single" w:sz="4" w:space="0" w:color="auto"/>
              <w:right w:val="single" w:sz="4" w:space="0" w:color="auto"/>
            </w:tcBorders>
            <w:shd w:val="clear" w:color="auto" w:fill="auto"/>
          </w:tcPr>
          <w:p w14:paraId="0008952C"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23</w:t>
            </w:r>
          </w:p>
        </w:tc>
      </w:tr>
      <w:tr w:rsidR="00EF4A2D" w:rsidRPr="00EF4A2D" w14:paraId="1EEE9430" w14:textId="77777777" w:rsidTr="00B9606F">
        <w:trPr>
          <w:jc w:val="center"/>
        </w:trPr>
        <w:tc>
          <w:tcPr>
            <w:tcW w:w="590" w:type="dxa"/>
            <w:tcBorders>
              <w:left w:val="single" w:sz="4" w:space="0" w:color="auto"/>
              <w:right w:val="single" w:sz="4" w:space="0" w:color="auto"/>
            </w:tcBorders>
            <w:shd w:val="clear" w:color="auto" w:fill="auto"/>
            <w:vAlign w:val="bottom"/>
          </w:tcPr>
          <w:p w14:paraId="53ADB74F"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29</w:t>
            </w:r>
          </w:p>
        </w:tc>
        <w:tc>
          <w:tcPr>
            <w:tcW w:w="2053" w:type="dxa"/>
            <w:tcBorders>
              <w:left w:val="single" w:sz="4" w:space="0" w:color="auto"/>
              <w:right w:val="single" w:sz="4" w:space="0" w:color="auto"/>
            </w:tcBorders>
            <w:shd w:val="clear" w:color="auto" w:fill="auto"/>
          </w:tcPr>
          <w:p w14:paraId="4A5E41CB" w14:textId="77777777" w:rsidR="00EF4A2D" w:rsidRPr="00EF4A2D" w:rsidRDefault="00EF4A2D" w:rsidP="004D07F1">
            <w:pPr>
              <w:rPr>
                <w:rFonts w:eastAsia="Calibri"/>
                <w:sz w:val="14"/>
                <w:szCs w:val="14"/>
                <w:lang w:eastAsia="en-US"/>
              </w:rPr>
            </w:pPr>
            <w:r w:rsidRPr="00EF4A2D">
              <w:rPr>
                <w:rFonts w:eastAsia="Calibri"/>
                <w:sz w:val="14"/>
                <w:szCs w:val="14"/>
                <w:lang w:eastAsia="en-US"/>
              </w:rPr>
              <w:t>Argentina</w:t>
            </w:r>
          </w:p>
        </w:tc>
        <w:tc>
          <w:tcPr>
            <w:tcW w:w="559" w:type="dxa"/>
            <w:tcBorders>
              <w:left w:val="single" w:sz="4" w:space="0" w:color="auto"/>
              <w:right w:val="single" w:sz="4" w:space="0" w:color="auto"/>
            </w:tcBorders>
            <w:shd w:val="clear" w:color="auto" w:fill="auto"/>
          </w:tcPr>
          <w:p w14:paraId="1D0ED866"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14</w:t>
            </w:r>
          </w:p>
        </w:tc>
        <w:tc>
          <w:tcPr>
            <w:tcW w:w="545" w:type="dxa"/>
            <w:tcBorders>
              <w:left w:val="single" w:sz="4" w:space="0" w:color="auto"/>
              <w:right w:val="single" w:sz="4" w:space="0" w:color="auto"/>
            </w:tcBorders>
            <w:shd w:val="clear" w:color="auto" w:fill="auto"/>
          </w:tcPr>
          <w:p w14:paraId="5D9077C0"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0.4</w:t>
            </w:r>
          </w:p>
        </w:tc>
        <w:tc>
          <w:tcPr>
            <w:tcW w:w="808" w:type="dxa"/>
            <w:tcBorders>
              <w:left w:val="single" w:sz="4" w:space="0" w:color="auto"/>
              <w:right w:val="single" w:sz="4" w:space="0" w:color="auto"/>
            </w:tcBorders>
            <w:shd w:val="clear" w:color="auto" w:fill="auto"/>
          </w:tcPr>
          <w:p w14:paraId="0A4EF185"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-3</w:t>
            </w:r>
          </w:p>
        </w:tc>
        <w:tc>
          <w:tcPr>
            <w:tcW w:w="590" w:type="dxa"/>
            <w:tcBorders>
              <w:left w:val="single" w:sz="4" w:space="0" w:color="auto"/>
              <w:right w:val="single" w:sz="4" w:space="0" w:color="auto"/>
            </w:tcBorders>
            <w:shd w:val="clear" w:color="auto" w:fill="auto"/>
          </w:tcPr>
          <w:p w14:paraId="11943CF5"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29</w:t>
            </w:r>
          </w:p>
        </w:tc>
        <w:tc>
          <w:tcPr>
            <w:tcW w:w="2060" w:type="dxa"/>
            <w:tcBorders>
              <w:left w:val="single" w:sz="4" w:space="0" w:color="auto"/>
              <w:right w:val="single" w:sz="4" w:space="0" w:color="auto"/>
            </w:tcBorders>
            <w:shd w:val="clear" w:color="auto" w:fill="auto"/>
          </w:tcPr>
          <w:p w14:paraId="7EF33AF9"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Argentina</w:t>
            </w:r>
          </w:p>
        </w:tc>
        <w:tc>
          <w:tcPr>
            <w:tcW w:w="559" w:type="dxa"/>
            <w:tcBorders>
              <w:left w:val="single" w:sz="4" w:space="0" w:color="auto"/>
              <w:right w:val="single" w:sz="4" w:space="0" w:color="auto"/>
            </w:tcBorders>
            <w:shd w:val="clear" w:color="auto" w:fill="auto"/>
          </w:tcPr>
          <w:p w14:paraId="542A5698"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17</w:t>
            </w:r>
          </w:p>
        </w:tc>
        <w:tc>
          <w:tcPr>
            <w:tcW w:w="537" w:type="dxa"/>
            <w:tcBorders>
              <w:left w:val="single" w:sz="4" w:space="0" w:color="auto"/>
              <w:right w:val="single" w:sz="4" w:space="0" w:color="auto"/>
            </w:tcBorders>
            <w:shd w:val="clear" w:color="auto" w:fill="auto"/>
          </w:tcPr>
          <w:p w14:paraId="7748F409"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0.5</w:t>
            </w:r>
          </w:p>
        </w:tc>
        <w:tc>
          <w:tcPr>
            <w:tcW w:w="808" w:type="dxa"/>
            <w:tcBorders>
              <w:left w:val="single" w:sz="4" w:space="0" w:color="auto"/>
              <w:right w:val="single" w:sz="4" w:space="0" w:color="auto"/>
            </w:tcBorders>
            <w:shd w:val="clear" w:color="auto" w:fill="auto"/>
          </w:tcPr>
          <w:p w14:paraId="44C6EFE9"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-8</w:t>
            </w:r>
          </w:p>
        </w:tc>
      </w:tr>
      <w:tr w:rsidR="00EF4A2D" w:rsidRPr="00EF4A2D" w14:paraId="04F4F279" w14:textId="77777777" w:rsidTr="00B9606F">
        <w:trPr>
          <w:jc w:val="center"/>
        </w:trPr>
        <w:tc>
          <w:tcPr>
            <w:tcW w:w="590" w:type="dxa"/>
            <w:tcBorders>
              <w:left w:val="single" w:sz="4" w:space="0" w:color="auto"/>
              <w:right w:val="single" w:sz="4" w:space="0" w:color="auto"/>
            </w:tcBorders>
            <w:shd w:val="clear" w:color="auto" w:fill="auto"/>
            <w:vAlign w:val="bottom"/>
          </w:tcPr>
          <w:p w14:paraId="41B7C769"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30</w:t>
            </w:r>
          </w:p>
        </w:tc>
        <w:tc>
          <w:tcPr>
            <w:tcW w:w="2053" w:type="dxa"/>
            <w:tcBorders>
              <w:left w:val="single" w:sz="4" w:space="0" w:color="auto"/>
              <w:right w:val="single" w:sz="4" w:space="0" w:color="auto"/>
            </w:tcBorders>
            <w:shd w:val="clear" w:color="auto" w:fill="auto"/>
          </w:tcPr>
          <w:p w14:paraId="4269D60B" w14:textId="77777777" w:rsidR="00EF4A2D" w:rsidRPr="00EF4A2D" w:rsidRDefault="00EF4A2D" w:rsidP="004D07F1">
            <w:pPr>
              <w:rPr>
                <w:rFonts w:eastAsia="Calibri"/>
                <w:sz w:val="14"/>
                <w:szCs w:val="14"/>
                <w:lang w:eastAsia="en-US"/>
              </w:rPr>
            </w:pPr>
            <w:r w:rsidRPr="00EF4A2D">
              <w:rPr>
                <w:rFonts w:eastAsia="Calibri"/>
                <w:sz w:val="14"/>
                <w:szCs w:val="14"/>
                <w:lang w:eastAsia="en-US"/>
              </w:rPr>
              <w:t>Sudáfrica</w:t>
            </w:r>
          </w:p>
        </w:tc>
        <w:tc>
          <w:tcPr>
            <w:tcW w:w="559" w:type="dxa"/>
            <w:tcBorders>
              <w:left w:val="single" w:sz="4" w:space="0" w:color="auto"/>
              <w:right w:val="single" w:sz="4" w:space="0" w:color="auto"/>
            </w:tcBorders>
            <w:shd w:val="clear" w:color="auto" w:fill="auto"/>
          </w:tcPr>
          <w:p w14:paraId="71454819"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14</w:t>
            </w:r>
          </w:p>
        </w:tc>
        <w:tc>
          <w:tcPr>
            <w:tcW w:w="545" w:type="dxa"/>
            <w:tcBorders>
              <w:left w:val="single" w:sz="4" w:space="0" w:color="auto"/>
              <w:right w:val="single" w:sz="4" w:space="0" w:color="auto"/>
            </w:tcBorders>
            <w:shd w:val="clear" w:color="auto" w:fill="auto"/>
          </w:tcPr>
          <w:p w14:paraId="09EBDAB3"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0.4</w:t>
            </w:r>
          </w:p>
        </w:tc>
        <w:tc>
          <w:tcPr>
            <w:tcW w:w="808" w:type="dxa"/>
            <w:tcBorders>
              <w:left w:val="single" w:sz="4" w:space="0" w:color="auto"/>
              <w:right w:val="single" w:sz="4" w:space="0" w:color="auto"/>
            </w:tcBorders>
            <w:shd w:val="clear" w:color="auto" w:fill="auto"/>
          </w:tcPr>
          <w:p w14:paraId="3831C2FE"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w:t>
            </w:r>
          </w:p>
        </w:tc>
        <w:tc>
          <w:tcPr>
            <w:tcW w:w="590" w:type="dxa"/>
            <w:tcBorders>
              <w:left w:val="single" w:sz="4" w:space="0" w:color="auto"/>
              <w:right w:val="single" w:sz="4" w:space="0" w:color="auto"/>
            </w:tcBorders>
            <w:shd w:val="clear" w:color="auto" w:fill="auto"/>
          </w:tcPr>
          <w:p w14:paraId="68126C6D" w14:textId="77777777" w:rsidR="00EF4A2D" w:rsidRPr="00EF4A2D" w:rsidRDefault="00EF4A2D" w:rsidP="00CE32F2">
            <w:pPr>
              <w:ind w:right="113"/>
              <w:jc w:val="right"/>
              <w:rPr>
                <w:rFonts w:eastAsia="Calibri"/>
                <w:sz w:val="14"/>
                <w:szCs w:val="14"/>
                <w:lang w:eastAsia="en-US"/>
              </w:rPr>
            </w:pPr>
            <w:r w:rsidRPr="00EF4A2D">
              <w:rPr>
                <w:rFonts w:eastAsia="Calibri"/>
                <w:sz w:val="14"/>
                <w:szCs w:val="14"/>
                <w:lang w:eastAsia="en-US"/>
              </w:rPr>
              <w:t>30</w:t>
            </w:r>
          </w:p>
        </w:tc>
        <w:tc>
          <w:tcPr>
            <w:tcW w:w="2060" w:type="dxa"/>
            <w:tcBorders>
              <w:left w:val="single" w:sz="4" w:space="0" w:color="auto"/>
              <w:right w:val="single" w:sz="4" w:space="0" w:color="auto"/>
            </w:tcBorders>
            <w:shd w:val="clear" w:color="auto" w:fill="auto"/>
          </w:tcPr>
          <w:p w14:paraId="25D68FDB" w14:textId="77777777" w:rsidR="00EF4A2D" w:rsidRPr="00EF4A2D" w:rsidRDefault="00EF4A2D" w:rsidP="004D07F1">
            <w:pPr>
              <w:jc w:val="both"/>
              <w:rPr>
                <w:rFonts w:eastAsia="Calibri"/>
                <w:sz w:val="14"/>
                <w:szCs w:val="14"/>
                <w:lang w:eastAsia="en-US"/>
              </w:rPr>
            </w:pPr>
            <w:r w:rsidRPr="00EF4A2D">
              <w:rPr>
                <w:rFonts w:eastAsia="Calibri"/>
                <w:sz w:val="14"/>
                <w:szCs w:val="14"/>
                <w:lang w:eastAsia="en-US"/>
              </w:rPr>
              <w:t>Venezuela</w:t>
            </w:r>
          </w:p>
        </w:tc>
        <w:tc>
          <w:tcPr>
            <w:tcW w:w="559" w:type="dxa"/>
            <w:tcBorders>
              <w:left w:val="single" w:sz="4" w:space="0" w:color="auto"/>
              <w:right w:val="single" w:sz="4" w:space="0" w:color="auto"/>
            </w:tcBorders>
            <w:shd w:val="clear" w:color="auto" w:fill="auto"/>
          </w:tcPr>
          <w:p w14:paraId="33597A82"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17</w:t>
            </w:r>
          </w:p>
        </w:tc>
        <w:tc>
          <w:tcPr>
            <w:tcW w:w="537" w:type="dxa"/>
            <w:tcBorders>
              <w:left w:val="single" w:sz="4" w:space="0" w:color="auto"/>
              <w:right w:val="single" w:sz="4" w:space="0" w:color="auto"/>
            </w:tcBorders>
            <w:shd w:val="clear" w:color="auto" w:fill="auto"/>
          </w:tcPr>
          <w:p w14:paraId="0ABD9EAD"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0.5</w:t>
            </w:r>
          </w:p>
        </w:tc>
        <w:tc>
          <w:tcPr>
            <w:tcW w:w="808" w:type="dxa"/>
            <w:tcBorders>
              <w:left w:val="single" w:sz="4" w:space="0" w:color="auto"/>
              <w:right w:val="single" w:sz="4" w:space="0" w:color="auto"/>
            </w:tcBorders>
            <w:shd w:val="clear" w:color="auto" w:fill="auto"/>
          </w:tcPr>
          <w:p w14:paraId="277D1755" w14:textId="77777777" w:rsidR="00EF4A2D" w:rsidRPr="00EF4A2D" w:rsidRDefault="00EF4A2D" w:rsidP="004D07F1">
            <w:pPr>
              <w:jc w:val="right"/>
              <w:rPr>
                <w:rFonts w:eastAsia="Calibri"/>
                <w:sz w:val="14"/>
                <w:szCs w:val="14"/>
                <w:lang w:eastAsia="en-US"/>
              </w:rPr>
            </w:pPr>
            <w:r w:rsidRPr="00EF4A2D">
              <w:rPr>
                <w:rFonts w:eastAsia="Calibri"/>
                <w:sz w:val="14"/>
                <w:szCs w:val="14"/>
                <w:lang w:eastAsia="en-US"/>
              </w:rPr>
              <w:t>-13</w:t>
            </w:r>
          </w:p>
        </w:tc>
      </w:tr>
      <w:tr w:rsidR="00EF4A2D" w:rsidRPr="00EF4A2D" w14:paraId="184E981F" w14:textId="77777777" w:rsidTr="00B9606F">
        <w:trPr>
          <w:jc w:val="center"/>
        </w:trPr>
        <w:tc>
          <w:tcPr>
            <w:tcW w:w="590" w:type="dxa"/>
            <w:tcBorders>
              <w:left w:val="single" w:sz="4" w:space="0" w:color="auto"/>
              <w:right w:val="single" w:sz="4" w:space="0" w:color="auto"/>
            </w:tcBorders>
            <w:shd w:val="clear" w:color="auto" w:fill="auto"/>
            <w:vAlign w:val="bottom"/>
          </w:tcPr>
          <w:p w14:paraId="4406B039" w14:textId="77777777" w:rsidR="00EF4A2D" w:rsidRPr="00EF4A2D" w:rsidRDefault="00EF4A2D" w:rsidP="00CE32F2">
            <w:pPr>
              <w:ind w:right="113"/>
              <w:jc w:val="right"/>
              <w:rPr>
                <w:rFonts w:eastAsia="Calibri"/>
                <w:sz w:val="14"/>
                <w:szCs w:val="14"/>
                <w:lang w:eastAsia="en-US"/>
              </w:rPr>
            </w:pPr>
          </w:p>
        </w:tc>
        <w:tc>
          <w:tcPr>
            <w:tcW w:w="2053" w:type="dxa"/>
            <w:tcBorders>
              <w:left w:val="single" w:sz="4" w:space="0" w:color="auto"/>
              <w:right w:val="single" w:sz="4" w:space="0" w:color="auto"/>
            </w:tcBorders>
            <w:shd w:val="clear" w:color="auto" w:fill="auto"/>
          </w:tcPr>
          <w:p w14:paraId="4FA35140"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Total de las economías enumeradas</w:t>
            </w:r>
          </w:p>
        </w:tc>
        <w:tc>
          <w:tcPr>
            <w:tcW w:w="559" w:type="dxa"/>
            <w:tcBorders>
              <w:left w:val="single" w:sz="4" w:space="0" w:color="auto"/>
              <w:right w:val="single" w:sz="4" w:space="0" w:color="auto"/>
            </w:tcBorders>
            <w:shd w:val="clear" w:color="auto" w:fill="auto"/>
          </w:tcPr>
          <w:p w14:paraId="3736CE81" w14:textId="77777777" w:rsidR="00525B73" w:rsidRDefault="00525B73" w:rsidP="004D07F1">
            <w:pPr>
              <w:jc w:val="right"/>
              <w:rPr>
                <w:rFonts w:eastAsia="Calibri"/>
                <w:b/>
                <w:sz w:val="14"/>
                <w:szCs w:val="14"/>
                <w:lang w:eastAsia="en-US"/>
              </w:rPr>
            </w:pPr>
          </w:p>
          <w:p w14:paraId="4770D639"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3 429</w:t>
            </w:r>
          </w:p>
        </w:tc>
        <w:tc>
          <w:tcPr>
            <w:tcW w:w="545" w:type="dxa"/>
            <w:tcBorders>
              <w:left w:val="single" w:sz="4" w:space="0" w:color="auto"/>
              <w:right w:val="single" w:sz="4" w:space="0" w:color="auto"/>
            </w:tcBorders>
            <w:shd w:val="clear" w:color="auto" w:fill="auto"/>
          </w:tcPr>
          <w:p w14:paraId="4C9CFCFC" w14:textId="77777777" w:rsidR="00525B73" w:rsidRDefault="00525B73" w:rsidP="004D07F1">
            <w:pPr>
              <w:jc w:val="right"/>
              <w:rPr>
                <w:rFonts w:eastAsia="Calibri"/>
                <w:b/>
                <w:sz w:val="14"/>
                <w:szCs w:val="14"/>
                <w:lang w:eastAsia="en-US"/>
              </w:rPr>
            </w:pPr>
          </w:p>
          <w:p w14:paraId="4ED7179B"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92.6</w:t>
            </w:r>
          </w:p>
        </w:tc>
        <w:tc>
          <w:tcPr>
            <w:tcW w:w="808" w:type="dxa"/>
            <w:tcBorders>
              <w:left w:val="single" w:sz="4" w:space="0" w:color="auto"/>
              <w:right w:val="single" w:sz="4" w:space="0" w:color="auto"/>
            </w:tcBorders>
            <w:shd w:val="clear" w:color="auto" w:fill="auto"/>
          </w:tcPr>
          <w:p w14:paraId="2CB1796A" w14:textId="77777777" w:rsidR="00EF4A2D" w:rsidRPr="00EF4A2D" w:rsidRDefault="00EF4A2D" w:rsidP="004D07F1">
            <w:pPr>
              <w:jc w:val="right"/>
              <w:rPr>
                <w:rFonts w:eastAsia="Calibri"/>
                <w:b/>
                <w:sz w:val="14"/>
                <w:szCs w:val="14"/>
                <w:lang w:eastAsia="en-US"/>
              </w:rPr>
            </w:pPr>
            <w:r w:rsidRPr="00EF4A2D">
              <w:rPr>
                <w:rFonts w:eastAsia="Calibri"/>
                <w:sz w:val="14"/>
                <w:szCs w:val="14"/>
                <w:lang w:eastAsia="en-US"/>
              </w:rPr>
              <w:sym w:font="Symbol" w:char="F02D"/>
            </w:r>
          </w:p>
        </w:tc>
        <w:tc>
          <w:tcPr>
            <w:tcW w:w="590" w:type="dxa"/>
            <w:tcBorders>
              <w:left w:val="single" w:sz="4" w:space="0" w:color="auto"/>
              <w:right w:val="single" w:sz="4" w:space="0" w:color="auto"/>
            </w:tcBorders>
            <w:shd w:val="clear" w:color="auto" w:fill="auto"/>
          </w:tcPr>
          <w:p w14:paraId="2F8BA4C3" w14:textId="77777777" w:rsidR="00EF4A2D" w:rsidRPr="00EF4A2D" w:rsidRDefault="00EF4A2D" w:rsidP="00CE32F2">
            <w:pPr>
              <w:ind w:right="113"/>
              <w:jc w:val="right"/>
              <w:rPr>
                <w:rFonts w:eastAsia="Calibri"/>
                <w:b/>
                <w:sz w:val="14"/>
                <w:szCs w:val="14"/>
                <w:lang w:eastAsia="en-US"/>
              </w:rPr>
            </w:pPr>
          </w:p>
        </w:tc>
        <w:tc>
          <w:tcPr>
            <w:tcW w:w="2060" w:type="dxa"/>
            <w:tcBorders>
              <w:left w:val="single" w:sz="4" w:space="0" w:color="auto"/>
              <w:right w:val="single" w:sz="4" w:space="0" w:color="auto"/>
            </w:tcBorders>
            <w:shd w:val="clear" w:color="auto" w:fill="auto"/>
          </w:tcPr>
          <w:p w14:paraId="1B3C8ABC"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Total de las economías enumeradas</w:t>
            </w:r>
          </w:p>
        </w:tc>
        <w:tc>
          <w:tcPr>
            <w:tcW w:w="559" w:type="dxa"/>
            <w:tcBorders>
              <w:left w:val="single" w:sz="4" w:space="0" w:color="auto"/>
              <w:right w:val="single" w:sz="4" w:space="0" w:color="auto"/>
            </w:tcBorders>
            <w:shd w:val="clear" w:color="auto" w:fill="auto"/>
          </w:tcPr>
          <w:p w14:paraId="3DA22C62" w14:textId="77777777" w:rsidR="00525B73" w:rsidRDefault="00525B73" w:rsidP="004D07F1">
            <w:pPr>
              <w:jc w:val="right"/>
              <w:rPr>
                <w:rFonts w:eastAsia="Calibri"/>
                <w:b/>
                <w:sz w:val="14"/>
                <w:szCs w:val="14"/>
                <w:lang w:eastAsia="en-US"/>
              </w:rPr>
            </w:pPr>
          </w:p>
          <w:p w14:paraId="7CA3031E"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3 266</w:t>
            </w:r>
          </w:p>
        </w:tc>
        <w:tc>
          <w:tcPr>
            <w:tcW w:w="537" w:type="dxa"/>
            <w:tcBorders>
              <w:left w:val="single" w:sz="4" w:space="0" w:color="auto"/>
              <w:right w:val="single" w:sz="4" w:space="0" w:color="auto"/>
            </w:tcBorders>
            <w:shd w:val="clear" w:color="auto" w:fill="auto"/>
          </w:tcPr>
          <w:p w14:paraId="118D8778" w14:textId="77777777" w:rsidR="00525B73" w:rsidRDefault="00525B73" w:rsidP="004D07F1">
            <w:pPr>
              <w:jc w:val="right"/>
              <w:rPr>
                <w:rFonts w:eastAsia="Calibri"/>
                <w:b/>
                <w:sz w:val="14"/>
                <w:szCs w:val="14"/>
                <w:lang w:eastAsia="en-US"/>
              </w:rPr>
            </w:pPr>
          </w:p>
          <w:p w14:paraId="14BB9847"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89.0</w:t>
            </w:r>
          </w:p>
        </w:tc>
        <w:tc>
          <w:tcPr>
            <w:tcW w:w="808" w:type="dxa"/>
            <w:tcBorders>
              <w:left w:val="single" w:sz="4" w:space="0" w:color="auto"/>
              <w:right w:val="single" w:sz="4" w:space="0" w:color="auto"/>
            </w:tcBorders>
            <w:shd w:val="clear" w:color="auto" w:fill="auto"/>
          </w:tcPr>
          <w:p w14:paraId="7BCD915D" w14:textId="77777777" w:rsidR="00EF4A2D" w:rsidRPr="00EF4A2D" w:rsidRDefault="00EF4A2D" w:rsidP="004D07F1">
            <w:pPr>
              <w:jc w:val="right"/>
              <w:rPr>
                <w:rFonts w:eastAsia="Calibri"/>
                <w:b/>
                <w:sz w:val="14"/>
                <w:szCs w:val="14"/>
                <w:lang w:eastAsia="en-US"/>
              </w:rPr>
            </w:pPr>
            <w:r w:rsidRPr="00EF4A2D">
              <w:rPr>
                <w:rFonts w:eastAsia="Calibri"/>
                <w:sz w:val="14"/>
                <w:szCs w:val="14"/>
                <w:lang w:eastAsia="en-US"/>
              </w:rPr>
              <w:sym w:font="Symbol" w:char="F02D"/>
            </w:r>
          </w:p>
        </w:tc>
      </w:tr>
      <w:tr w:rsidR="00EF4A2D" w:rsidRPr="00EF4A2D" w14:paraId="63DB43FE" w14:textId="77777777" w:rsidTr="00B9606F">
        <w:trPr>
          <w:jc w:val="center"/>
        </w:trPr>
        <w:tc>
          <w:tcPr>
            <w:tcW w:w="590" w:type="dxa"/>
            <w:tcBorders>
              <w:left w:val="single" w:sz="4" w:space="0" w:color="auto"/>
              <w:bottom w:val="single" w:sz="4" w:space="0" w:color="auto"/>
              <w:right w:val="single" w:sz="4" w:space="0" w:color="auto"/>
            </w:tcBorders>
            <w:shd w:val="clear" w:color="auto" w:fill="auto"/>
            <w:vAlign w:val="bottom"/>
          </w:tcPr>
          <w:p w14:paraId="1A2E9024" w14:textId="77777777" w:rsidR="00EF4A2D" w:rsidRPr="00EF4A2D" w:rsidRDefault="00EF4A2D" w:rsidP="004D07F1">
            <w:pPr>
              <w:jc w:val="right"/>
              <w:rPr>
                <w:rFonts w:eastAsia="Calibri"/>
                <w:sz w:val="14"/>
                <w:szCs w:val="14"/>
                <w:lang w:eastAsia="en-US"/>
              </w:rPr>
            </w:pPr>
          </w:p>
        </w:tc>
        <w:tc>
          <w:tcPr>
            <w:tcW w:w="2053" w:type="dxa"/>
            <w:tcBorders>
              <w:left w:val="single" w:sz="4" w:space="0" w:color="auto"/>
              <w:bottom w:val="single" w:sz="4" w:space="0" w:color="auto"/>
              <w:right w:val="single" w:sz="4" w:space="0" w:color="auto"/>
            </w:tcBorders>
            <w:shd w:val="clear" w:color="auto" w:fill="auto"/>
          </w:tcPr>
          <w:p w14:paraId="075C755F"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Todo el mundo (excluyendo el comercio intracomunitario de la UE-28)</w:t>
            </w:r>
          </w:p>
        </w:tc>
        <w:tc>
          <w:tcPr>
            <w:tcW w:w="559" w:type="dxa"/>
            <w:tcBorders>
              <w:left w:val="single" w:sz="4" w:space="0" w:color="auto"/>
              <w:bottom w:val="single" w:sz="4" w:space="0" w:color="auto"/>
              <w:right w:val="single" w:sz="4" w:space="0" w:color="auto"/>
            </w:tcBorders>
            <w:shd w:val="clear" w:color="auto" w:fill="auto"/>
            <w:vAlign w:val="bottom"/>
          </w:tcPr>
          <w:p w14:paraId="010F6B26"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3 700</w:t>
            </w:r>
          </w:p>
        </w:tc>
        <w:tc>
          <w:tcPr>
            <w:tcW w:w="545" w:type="dxa"/>
            <w:tcBorders>
              <w:left w:val="single" w:sz="4" w:space="0" w:color="auto"/>
              <w:bottom w:val="single" w:sz="4" w:space="0" w:color="auto"/>
              <w:right w:val="single" w:sz="4" w:space="0" w:color="auto"/>
            </w:tcBorders>
            <w:shd w:val="clear" w:color="auto" w:fill="auto"/>
            <w:vAlign w:val="bottom"/>
          </w:tcPr>
          <w:p w14:paraId="478E35AB"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100.0</w:t>
            </w:r>
          </w:p>
        </w:tc>
        <w:tc>
          <w:tcPr>
            <w:tcW w:w="808" w:type="dxa"/>
            <w:tcBorders>
              <w:left w:val="single" w:sz="4" w:space="0" w:color="auto"/>
              <w:bottom w:val="single" w:sz="4" w:space="0" w:color="auto"/>
              <w:right w:val="single" w:sz="4" w:space="0" w:color="auto"/>
            </w:tcBorders>
            <w:shd w:val="clear" w:color="auto" w:fill="auto"/>
            <w:vAlign w:val="bottom"/>
          </w:tcPr>
          <w:p w14:paraId="35ADC90C"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4</w:t>
            </w:r>
          </w:p>
        </w:tc>
        <w:tc>
          <w:tcPr>
            <w:tcW w:w="590" w:type="dxa"/>
            <w:tcBorders>
              <w:left w:val="single" w:sz="4" w:space="0" w:color="auto"/>
              <w:bottom w:val="single" w:sz="4" w:space="0" w:color="auto"/>
              <w:right w:val="single" w:sz="4" w:space="0" w:color="auto"/>
            </w:tcBorders>
            <w:shd w:val="clear" w:color="auto" w:fill="auto"/>
            <w:vAlign w:val="bottom"/>
          </w:tcPr>
          <w:p w14:paraId="6706B430" w14:textId="77777777" w:rsidR="00EF4A2D" w:rsidRPr="00EF4A2D" w:rsidRDefault="00EF4A2D" w:rsidP="00CE32F2">
            <w:pPr>
              <w:ind w:right="113"/>
              <w:jc w:val="right"/>
              <w:rPr>
                <w:rFonts w:eastAsia="Calibri"/>
                <w:b/>
                <w:sz w:val="14"/>
                <w:szCs w:val="14"/>
                <w:lang w:eastAsia="en-US"/>
              </w:rPr>
            </w:pPr>
          </w:p>
        </w:tc>
        <w:tc>
          <w:tcPr>
            <w:tcW w:w="2060" w:type="dxa"/>
            <w:tcBorders>
              <w:left w:val="single" w:sz="4" w:space="0" w:color="auto"/>
              <w:bottom w:val="single" w:sz="4" w:space="0" w:color="auto"/>
              <w:right w:val="single" w:sz="4" w:space="0" w:color="auto"/>
            </w:tcBorders>
            <w:shd w:val="clear" w:color="auto" w:fill="auto"/>
          </w:tcPr>
          <w:p w14:paraId="073B85AF" w14:textId="77777777" w:rsidR="00EF4A2D" w:rsidRPr="00EF4A2D" w:rsidRDefault="00EF4A2D" w:rsidP="004D07F1">
            <w:pPr>
              <w:rPr>
                <w:rFonts w:eastAsia="Calibri"/>
                <w:b/>
                <w:sz w:val="14"/>
                <w:szCs w:val="14"/>
                <w:lang w:eastAsia="en-US"/>
              </w:rPr>
            </w:pPr>
            <w:r w:rsidRPr="00EF4A2D">
              <w:rPr>
                <w:rFonts w:eastAsia="Calibri"/>
                <w:b/>
                <w:sz w:val="14"/>
                <w:szCs w:val="14"/>
                <w:lang w:eastAsia="en-US"/>
              </w:rPr>
              <w:t>Todo el mundo (excluyendo el comercio intracomunitario de la UE-28)</w:t>
            </w:r>
          </w:p>
        </w:tc>
        <w:tc>
          <w:tcPr>
            <w:tcW w:w="559" w:type="dxa"/>
            <w:tcBorders>
              <w:left w:val="single" w:sz="4" w:space="0" w:color="auto"/>
              <w:bottom w:val="single" w:sz="4" w:space="0" w:color="auto"/>
              <w:right w:val="single" w:sz="4" w:space="0" w:color="auto"/>
            </w:tcBorders>
            <w:shd w:val="clear" w:color="auto" w:fill="auto"/>
            <w:vAlign w:val="bottom"/>
          </w:tcPr>
          <w:p w14:paraId="118441CD"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3 670</w:t>
            </w:r>
          </w:p>
        </w:tc>
        <w:tc>
          <w:tcPr>
            <w:tcW w:w="537" w:type="dxa"/>
            <w:tcBorders>
              <w:left w:val="single" w:sz="4" w:space="0" w:color="auto"/>
              <w:bottom w:val="single" w:sz="4" w:space="0" w:color="auto"/>
              <w:right w:val="single" w:sz="4" w:space="0" w:color="auto"/>
            </w:tcBorders>
            <w:shd w:val="clear" w:color="auto" w:fill="auto"/>
            <w:vAlign w:val="bottom"/>
          </w:tcPr>
          <w:p w14:paraId="19DD03EE"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100.0</w:t>
            </w:r>
          </w:p>
        </w:tc>
        <w:tc>
          <w:tcPr>
            <w:tcW w:w="808" w:type="dxa"/>
            <w:tcBorders>
              <w:left w:val="single" w:sz="4" w:space="0" w:color="auto"/>
              <w:bottom w:val="single" w:sz="4" w:space="0" w:color="auto"/>
              <w:right w:val="single" w:sz="4" w:space="0" w:color="auto"/>
            </w:tcBorders>
            <w:shd w:val="clear" w:color="auto" w:fill="auto"/>
            <w:vAlign w:val="bottom"/>
          </w:tcPr>
          <w:p w14:paraId="4EEC8C9D" w14:textId="77777777" w:rsidR="00EF4A2D" w:rsidRPr="00EF4A2D" w:rsidRDefault="00EF4A2D" w:rsidP="004D07F1">
            <w:pPr>
              <w:jc w:val="right"/>
              <w:rPr>
                <w:rFonts w:eastAsia="Calibri"/>
                <w:b/>
                <w:sz w:val="14"/>
                <w:szCs w:val="14"/>
                <w:lang w:eastAsia="en-US"/>
              </w:rPr>
            </w:pPr>
            <w:r w:rsidRPr="00EF4A2D">
              <w:rPr>
                <w:rFonts w:eastAsia="Calibri"/>
                <w:b/>
                <w:sz w:val="14"/>
                <w:szCs w:val="14"/>
                <w:lang w:eastAsia="en-US"/>
              </w:rPr>
              <w:t>5</w:t>
            </w:r>
          </w:p>
        </w:tc>
      </w:tr>
      <w:tr w:rsidR="00EF4A2D" w:rsidRPr="00EF4A2D" w14:paraId="3A134B68" w14:textId="77777777" w:rsidTr="00B9606F">
        <w:trPr>
          <w:jc w:val="center"/>
        </w:trPr>
        <w:tc>
          <w:tcPr>
            <w:tcW w:w="9109" w:type="dxa"/>
            <w:gridSpan w:val="10"/>
            <w:tcBorders>
              <w:top w:val="single" w:sz="4" w:space="0" w:color="auto"/>
            </w:tcBorders>
          </w:tcPr>
          <w:p w14:paraId="6DCC42C2" w14:textId="77777777" w:rsidR="00EF4A2D" w:rsidRPr="00EF4A2D" w:rsidRDefault="00EF4A2D" w:rsidP="004D07F1">
            <w:pPr>
              <w:jc w:val="both"/>
              <w:rPr>
                <w:rFonts w:eastAsia="Calibri"/>
                <w:sz w:val="18"/>
                <w:szCs w:val="18"/>
                <w:lang w:eastAsia="en-US"/>
              </w:rPr>
            </w:pPr>
            <w:proofErr w:type="gramStart"/>
            <w:r w:rsidRPr="00EF4A2D">
              <w:rPr>
                <w:rFonts w:eastAsia="Calibri"/>
                <w:sz w:val="18"/>
                <w:szCs w:val="18"/>
                <w:u w:val="single"/>
                <w:lang w:eastAsia="en-US"/>
              </w:rPr>
              <w:t>a</w:t>
            </w:r>
            <w:proofErr w:type="gramEnd"/>
            <w:r w:rsidRPr="00EF4A2D">
              <w:rPr>
                <w:rFonts w:eastAsia="Calibri"/>
                <w:sz w:val="18"/>
                <w:szCs w:val="18"/>
                <w:lang w:eastAsia="en-US"/>
              </w:rPr>
              <w:t>/ Datos según la metodología del MBP5.</w:t>
            </w:r>
          </w:p>
          <w:p w14:paraId="502A045C" w14:textId="77777777" w:rsidR="00EF4A2D" w:rsidRPr="00EF4A2D" w:rsidRDefault="00EF4A2D" w:rsidP="004D07F1">
            <w:pPr>
              <w:jc w:val="both"/>
              <w:rPr>
                <w:rFonts w:eastAsia="Calibri"/>
                <w:sz w:val="18"/>
                <w:szCs w:val="18"/>
                <w:lang w:eastAsia="en-US"/>
              </w:rPr>
            </w:pPr>
            <w:proofErr w:type="spellStart"/>
            <w:proofErr w:type="gramStart"/>
            <w:r w:rsidRPr="00EF4A2D">
              <w:rPr>
                <w:rFonts w:eastAsia="Calibri"/>
                <w:sz w:val="18"/>
                <w:szCs w:val="18"/>
                <w:u w:val="single"/>
                <w:lang w:eastAsia="en-US"/>
              </w:rPr>
              <w:t>b</w:t>
            </w:r>
            <w:proofErr w:type="gramEnd"/>
            <w:r w:rsidRPr="00EF4A2D">
              <w:rPr>
                <w:rFonts w:eastAsia="Calibri"/>
                <w:sz w:val="18"/>
                <w:szCs w:val="18"/>
                <w:lang w:eastAsia="en-US"/>
              </w:rPr>
              <w:t>/</w:t>
            </w:r>
            <w:proofErr w:type="spellEnd"/>
            <w:r w:rsidRPr="00EF4A2D">
              <w:rPr>
                <w:rFonts w:eastAsia="Calibri"/>
                <w:sz w:val="18"/>
                <w:szCs w:val="18"/>
                <w:lang w:eastAsia="en-US"/>
              </w:rPr>
              <w:t xml:space="preserve"> Estimaciones de la Secretaría.</w:t>
            </w:r>
          </w:p>
          <w:p w14:paraId="76F62F3C" w14:textId="77777777" w:rsidR="00EF4A2D" w:rsidRPr="00EF4A2D" w:rsidRDefault="00EF4A2D" w:rsidP="004D07F1">
            <w:pPr>
              <w:jc w:val="both"/>
              <w:rPr>
                <w:rFonts w:eastAsia="Calibri"/>
                <w:sz w:val="18"/>
                <w:szCs w:val="18"/>
                <w:lang w:eastAsia="en-US"/>
              </w:rPr>
            </w:pPr>
            <w:r w:rsidRPr="00EF4A2D">
              <w:rPr>
                <w:rFonts w:eastAsia="Calibri"/>
                <w:sz w:val="18"/>
                <w:szCs w:val="18"/>
                <w:lang w:eastAsia="en-US"/>
              </w:rPr>
              <w:t>-- Indica cifras no disponibles o no comparables.</w:t>
            </w:r>
          </w:p>
          <w:p w14:paraId="5D7F0DA0" w14:textId="77777777" w:rsidR="00EF4A2D" w:rsidRPr="00EF4A2D" w:rsidRDefault="00EF4A2D" w:rsidP="004D07F1">
            <w:pPr>
              <w:jc w:val="both"/>
              <w:rPr>
                <w:rFonts w:eastAsia="Calibri"/>
                <w:sz w:val="18"/>
                <w:szCs w:val="18"/>
                <w:lang w:eastAsia="en-US"/>
              </w:rPr>
            </w:pPr>
            <w:r w:rsidRPr="00EF4A2D">
              <w:rPr>
                <w:rFonts w:eastAsia="Calibri"/>
                <w:sz w:val="18"/>
                <w:szCs w:val="18"/>
                <w:lang w:eastAsia="en-US"/>
              </w:rPr>
              <w:sym w:font="Symbol" w:char="F02D"/>
            </w:r>
            <w:r w:rsidRPr="00EF4A2D">
              <w:rPr>
                <w:rFonts w:eastAsia="Calibri"/>
                <w:sz w:val="18"/>
                <w:szCs w:val="18"/>
                <w:lang w:eastAsia="en-US"/>
              </w:rPr>
              <w:t xml:space="preserve"> No aplicable.</w:t>
            </w:r>
          </w:p>
          <w:p w14:paraId="6E3AA4A4" w14:textId="77777777" w:rsidR="00EF4A2D" w:rsidRPr="00EF4A2D" w:rsidRDefault="00EF4A2D" w:rsidP="004D07F1">
            <w:pPr>
              <w:ind w:left="113" w:hanging="113"/>
              <w:jc w:val="both"/>
              <w:rPr>
                <w:rFonts w:eastAsia="Calibri"/>
                <w:sz w:val="18"/>
                <w:szCs w:val="18"/>
                <w:lang w:eastAsia="en-US"/>
              </w:rPr>
            </w:pPr>
            <w:r w:rsidRPr="00EF4A2D">
              <w:rPr>
                <w:rFonts w:eastAsia="Calibri"/>
                <w:sz w:val="18"/>
                <w:szCs w:val="18"/>
                <w:lang w:eastAsia="en-US"/>
              </w:rPr>
              <w:t>* Las cifras correspondientes a varios países y territorios han sido estimadas por la Secretaría. Las interrupciones en la continuidad de las series correspondientes a un gran número de economías y las limitaciones de la comparabilidad de los datos entre países afectan a las variaciones porcentuales anuales y al lugar ocupado en la clasificación.</w:t>
            </w:r>
          </w:p>
          <w:p w14:paraId="5ACB0889" w14:textId="77777777" w:rsidR="00EF4A2D" w:rsidRPr="00EF4A2D" w:rsidRDefault="00EF4A2D" w:rsidP="004D07F1">
            <w:pPr>
              <w:jc w:val="both"/>
              <w:rPr>
                <w:rFonts w:eastAsia="Calibri"/>
                <w:sz w:val="14"/>
                <w:szCs w:val="14"/>
                <w:lang w:eastAsia="en-US"/>
              </w:rPr>
            </w:pPr>
            <w:r w:rsidRPr="00EF4A2D">
              <w:rPr>
                <w:rFonts w:eastAsia="Calibri"/>
                <w:sz w:val="18"/>
                <w:szCs w:val="18"/>
                <w:lang w:eastAsia="en-US"/>
              </w:rPr>
              <w:t>FUENTE: Secretarías de la OMC y la UNCTAD.</w:t>
            </w:r>
          </w:p>
        </w:tc>
      </w:tr>
    </w:tbl>
    <w:p w14:paraId="1140B43E" w14:textId="77777777" w:rsidR="00EF4A2D" w:rsidRPr="00EF4A2D" w:rsidRDefault="00EF4A2D" w:rsidP="00EF4A2D">
      <w:pPr>
        <w:spacing w:after="360" w:line="360" w:lineRule="auto"/>
        <w:ind w:right="-159"/>
        <w:jc w:val="both"/>
        <w:rPr>
          <w:rFonts w:eastAsia="Calibri"/>
          <w:sz w:val="26"/>
          <w:szCs w:val="26"/>
          <w:lang w:eastAsia="en-US"/>
        </w:rPr>
      </w:pPr>
    </w:p>
    <w:p w14:paraId="7A4F71BB" w14:textId="77777777" w:rsidR="00EF4A2D" w:rsidRPr="00EF4A2D" w:rsidRDefault="00EF4A2D" w:rsidP="00EF4A2D">
      <w:pPr>
        <w:ind w:right="-159"/>
        <w:jc w:val="both"/>
        <w:rPr>
          <w:rFonts w:eastAsia="Calibri"/>
          <w:b/>
          <w:sz w:val="20"/>
          <w:szCs w:val="20"/>
          <w:lang w:eastAsia="en-US"/>
        </w:rPr>
      </w:pPr>
      <w:r w:rsidRPr="00EF4A2D">
        <w:rPr>
          <w:rFonts w:eastAsia="Calibri"/>
          <w:b/>
          <w:sz w:val="20"/>
          <w:szCs w:val="20"/>
          <w:lang w:eastAsia="en-US"/>
        </w:rPr>
        <w:t>Fuente de información:</w:t>
      </w:r>
    </w:p>
    <w:p w14:paraId="54CB1083" w14:textId="77777777" w:rsidR="00EF4A2D" w:rsidRPr="00525B73" w:rsidRDefault="00D936FE" w:rsidP="00EF4A2D">
      <w:pPr>
        <w:ind w:right="-159"/>
        <w:jc w:val="both"/>
        <w:rPr>
          <w:rFonts w:eastAsia="Calibri"/>
          <w:color w:val="0000FF"/>
          <w:sz w:val="20"/>
          <w:szCs w:val="20"/>
          <w:lang w:eastAsia="en-US"/>
        </w:rPr>
      </w:pPr>
      <w:hyperlink r:id="rId44" w:history="1">
        <w:r w:rsidR="00EF4A2D" w:rsidRPr="00525B73">
          <w:rPr>
            <w:rFonts w:eastAsia="Calibri"/>
            <w:color w:val="0000FF"/>
            <w:sz w:val="20"/>
            <w:szCs w:val="20"/>
            <w:u w:val="single"/>
            <w:lang w:eastAsia="en-US"/>
          </w:rPr>
          <w:t>https://www.wto.org/spanish/news_s/pres15_s/pr739_s.htm</w:t>
        </w:r>
      </w:hyperlink>
      <w:r w:rsidR="00EF4A2D" w:rsidRPr="00525B73">
        <w:rPr>
          <w:rFonts w:eastAsia="Calibri"/>
          <w:color w:val="0000FF"/>
          <w:sz w:val="20"/>
          <w:szCs w:val="20"/>
          <w:lang w:eastAsia="en-US"/>
        </w:rPr>
        <w:t xml:space="preserve"> </w:t>
      </w:r>
    </w:p>
    <w:p w14:paraId="0D455BEB" w14:textId="77777777" w:rsidR="00EF4A2D" w:rsidRPr="00525B73" w:rsidRDefault="00D936FE" w:rsidP="00EF4A2D">
      <w:pPr>
        <w:ind w:right="-159"/>
        <w:jc w:val="both"/>
        <w:rPr>
          <w:rFonts w:eastAsia="Calibri"/>
          <w:color w:val="0000FF"/>
          <w:sz w:val="20"/>
          <w:szCs w:val="20"/>
          <w:lang w:eastAsia="en-US"/>
        </w:rPr>
      </w:pPr>
      <w:hyperlink r:id="rId45" w:history="1">
        <w:r w:rsidR="00EF4A2D" w:rsidRPr="00525B73">
          <w:rPr>
            <w:rFonts w:eastAsia="Calibri"/>
            <w:color w:val="0000FF"/>
            <w:sz w:val="20"/>
            <w:szCs w:val="20"/>
            <w:u w:val="single"/>
            <w:lang w:eastAsia="en-US"/>
          </w:rPr>
          <w:t>https://www.wto.org/spanish/news_s/pres15_s/pr739_s.pdf</w:t>
        </w:r>
      </w:hyperlink>
      <w:r w:rsidR="00EF4A2D" w:rsidRPr="00525B73">
        <w:rPr>
          <w:rFonts w:eastAsia="Calibri"/>
          <w:color w:val="0000FF"/>
          <w:sz w:val="20"/>
          <w:szCs w:val="20"/>
          <w:lang w:eastAsia="en-US"/>
        </w:rPr>
        <w:t xml:space="preserve"> </w:t>
      </w:r>
    </w:p>
    <w:p w14:paraId="38E3F02F" w14:textId="77777777" w:rsidR="00EF4A2D" w:rsidRPr="00EF4A2D" w:rsidRDefault="00EF4A2D" w:rsidP="00EF4A2D">
      <w:pPr>
        <w:spacing w:after="360" w:line="360" w:lineRule="auto"/>
        <w:ind w:right="-159"/>
        <w:jc w:val="both"/>
        <w:rPr>
          <w:rFonts w:eastAsia="Calibri"/>
          <w:sz w:val="26"/>
          <w:szCs w:val="26"/>
          <w:lang w:eastAsia="en-US"/>
        </w:rPr>
      </w:pPr>
    </w:p>
    <w:p w14:paraId="2D700074" w14:textId="77777777" w:rsidR="00EF4A2D" w:rsidRDefault="00EF4A2D" w:rsidP="00FF4306">
      <w:pPr>
        <w:spacing w:after="360" w:line="360" w:lineRule="auto"/>
        <w:ind w:right="-159"/>
        <w:jc w:val="both"/>
        <w:rPr>
          <w:sz w:val="26"/>
          <w:szCs w:val="26"/>
          <w:lang w:val="es-ES"/>
        </w:rPr>
      </w:pPr>
    </w:p>
    <w:p w14:paraId="37574026" w14:textId="77777777" w:rsidR="00EF4A2D" w:rsidRDefault="00EF4A2D" w:rsidP="00FF4306">
      <w:pPr>
        <w:spacing w:after="360" w:line="360" w:lineRule="auto"/>
        <w:ind w:right="-159"/>
        <w:jc w:val="both"/>
        <w:rPr>
          <w:sz w:val="26"/>
          <w:szCs w:val="26"/>
          <w:lang w:val="es-ES"/>
        </w:rPr>
      </w:pPr>
    </w:p>
    <w:bookmarkEnd w:id="4"/>
    <w:bookmarkEnd w:id="5"/>
    <w:p w14:paraId="5A017785" w14:textId="77777777" w:rsidR="00397047" w:rsidRPr="00397047" w:rsidRDefault="00397047" w:rsidP="00397047">
      <w:pPr>
        <w:ind w:right="-159"/>
        <w:rPr>
          <w:rFonts w:eastAsia="Calibri"/>
          <w:b/>
          <w:sz w:val="26"/>
          <w:szCs w:val="26"/>
          <w:lang w:eastAsia="en-US"/>
        </w:rPr>
      </w:pPr>
      <w:r w:rsidRPr="00397047">
        <w:rPr>
          <w:rFonts w:eastAsia="Calibri"/>
          <w:b/>
          <w:sz w:val="26"/>
          <w:szCs w:val="26"/>
          <w:lang w:eastAsia="en-US"/>
        </w:rPr>
        <w:lastRenderedPageBreak/>
        <w:t>Empresarios estrechan lazos comerciales y de</w:t>
      </w:r>
    </w:p>
    <w:p w14:paraId="0553173D" w14:textId="20CD6CF0" w:rsidR="00397047" w:rsidRPr="00397047" w:rsidRDefault="00397047" w:rsidP="00397047">
      <w:pPr>
        <w:ind w:right="-159"/>
        <w:rPr>
          <w:rFonts w:eastAsia="Calibri"/>
          <w:b/>
          <w:sz w:val="26"/>
          <w:szCs w:val="26"/>
          <w:lang w:eastAsia="en-US"/>
        </w:rPr>
      </w:pPr>
      <w:proofErr w:type="gramStart"/>
      <w:r w:rsidRPr="00397047">
        <w:rPr>
          <w:rFonts w:eastAsia="Calibri"/>
          <w:b/>
          <w:sz w:val="26"/>
          <w:szCs w:val="26"/>
          <w:lang w:eastAsia="en-US"/>
        </w:rPr>
        <w:t>inversión</w:t>
      </w:r>
      <w:proofErr w:type="gramEnd"/>
      <w:r w:rsidRPr="00397047">
        <w:rPr>
          <w:rFonts w:eastAsia="Calibri"/>
          <w:b/>
          <w:sz w:val="26"/>
          <w:szCs w:val="26"/>
          <w:lang w:eastAsia="en-US"/>
        </w:rPr>
        <w:t xml:space="preserve"> </w:t>
      </w:r>
      <w:r w:rsidR="00D46FA9">
        <w:rPr>
          <w:rFonts w:eastAsia="Calibri"/>
          <w:b/>
          <w:sz w:val="26"/>
          <w:szCs w:val="26"/>
          <w:lang w:eastAsia="en-US"/>
        </w:rPr>
        <w:t xml:space="preserve"> </w:t>
      </w:r>
      <w:r w:rsidRPr="00397047">
        <w:rPr>
          <w:rFonts w:eastAsia="Calibri"/>
          <w:b/>
          <w:sz w:val="26"/>
          <w:szCs w:val="26"/>
          <w:lang w:eastAsia="en-US"/>
        </w:rPr>
        <w:t>entre Corea y América Latina  y  el</w:t>
      </w:r>
    </w:p>
    <w:p w14:paraId="5FAF448B" w14:textId="77777777" w:rsidR="00397047" w:rsidRPr="00397047" w:rsidRDefault="00397047" w:rsidP="00397047">
      <w:pPr>
        <w:spacing w:after="360" w:line="360" w:lineRule="auto"/>
        <w:ind w:right="-159"/>
        <w:jc w:val="both"/>
        <w:rPr>
          <w:rFonts w:eastAsia="Calibri"/>
          <w:b/>
          <w:sz w:val="26"/>
          <w:szCs w:val="26"/>
          <w:lang w:eastAsia="en-US"/>
        </w:rPr>
      </w:pPr>
      <w:r w:rsidRPr="00397047">
        <w:rPr>
          <w:rFonts w:eastAsia="Calibri"/>
          <w:b/>
          <w:sz w:val="26"/>
          <w:szCs w:val="26"/>
          <w:lang w:eastAsia="en-US"/>
        </w:rPr>
        <w:t>Caribe en la Cumbre de Negocios (BID)</w:t>
      </w:r>
    </w:p>
    <w:p w14:paraId="61E569FA" w14:textId="704718CB"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El 26 de marzo de 2015, el Presidente del Banco Interamericano de Desarrollo (BID) y el Ministro de Estrategia y Finanzas de la República de Corea inauguraron la cumbre de negocios en la 56ª Reunión Anual de Gobernadores del BID. A continuación se presentan los detalles de la información.</w:t>
      </w:r>
    </w:p>
    <w:p w14:paraId="391F81B9"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 xml:space="preserve">Más de un mil empresarios y altos funcionarios gubernamentales participaron en la Cumbre Empresarial Corea-América Latina y el Caribe celebrado del 26 al 27 de marzo en la ciudad portuaria de </w:t>
      </w:r>
      <w:proofErr w:type="spellStart"/>
      <w:r w:rsidRPr="00397047">
        <w:rPr>
          <w:rFonts w:eastAsia="Calibri"/>
          <w:sz w:val="26"/>
          <w:szCs w:val="26"/>
          <w:lang w:eastAsia="en-US"/>
        </w:rPr>
        <w:t>Busán</w:t>
      </w:r>
      <w:proofErr w:type="spellEnd"/>
      <w:r w:rsidRPr="00397047">
        <w:rPr>
          <w:rFonts w:eastAsia="Calibri"/>
          <w:sz w:val="26"/>
          <w:szCs w:val="26"/>
          <w:lang w:eastAsia="en-US"/>
        </w:rPr>
        <w:t>, Corea del Sur, para estrechar la estratégica relación comercial y de inversión entre estas dos dinámicas regiones.</w:t>
      </w:r>
    </w:p>
    <w:p w14:paraId="08C07140"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Durante el último cuarto de siglo, el comercio entre Corea del Sur y América Latina y el Caribe creció a un promedio de 17% anual, alcanzando 54 mil millones de dólares en 2014. A su vez, la inversión directa coreana en la región se multiplicó por diez tan sólo en la última década.</w:t>
      </w:r>
    </w:p>
    <w:p w14:paraId="59C54BF6"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Durante el evento, empresarios, funcionarios de agencias de promoción de exportación e inversiones y oficiales de gobierno de alto nivel analizaron oportunidades de negocio e inversión en áreas como informática, transporte, medio ambiente y energía. Paneles de destacados expertos de ambas regiones examinaron diversas opciones de financiamiento, así como el gran potencial de mercado que representan los consumidores latinoamericanos de la llamada base de la pirámide, es decir, el grupo de ciudadanos con menores ingresos.</w:t>
      </w:r>
    </w:p>
    <w:p w14:paraId="0100008D"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“Las empresas coreanas emplean a miles de personas en nuestros países, desde obreros hasta ingenieros”, destacó el Presidente del BID en la inauguración del evento.</w:t>
      </w:r>
    </w:p>
    <w:p w14:paraId="7821CF13"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lastRenderedPageBreak/>
        <w:t>“Además de crear empleos bien remunerados, la presencia de estas empresas en la región nos ayuda a expandir y mejorar nuestra capacidad industrial. Además, facilita la incorporación de muchas pequeñas empresas latinoamericanas a cadenas globales de valor que fabrican algunos de los productos más complejos e innovadores del mundo”, afirmó.</w:t>
      </w:r>
    </w:p>
    <w:p w14:paraId="44121266"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 xml:space="preserve">Corea del Sur, país de origen de innovadoras empresas multinacionales con presencia mundial, tiene el potencial de absorber una gama más diversa y sofisticada de productos procedentes de América Latina y el Caribe, lo que facilitaría la diversificación de la canasta exportadora de la región con una mayor proporción de productos manufacturados. Así lo destaca un nuevo informe del BID presentado en la cumbre, </w:t>
      </w:r>
      <w:proofErr w:type="spellStart"/>
      <w:r w:rsidRPr="00397047">
        <w:rPr>
          <w:rFonts w:eastAsia="Calibri"/>
          <w:i/>
          <w:sz w:val="26"/>
          <w:szCs w:val="26"/>
          <w:lang w:eastAsia="en-US"/>
        </w:rPr>
        <w:t>Korea</w:t>
      </w:r>
      <w:proofErr w:type="spellEnd"/>
      <w:r w:rsidRPr="00397047">
        <w:rPr>
          <w:rFonts w:eastAsia="Calibri"/>
          <w:i/>
          <w:sz w:val="26"/>
          <w:szCs w:val="26"/>
          <w:lang w:eastAsia="en-US"/>
        </w:rPr>
        <w:t xml:space="preserve"> and </w:t>
      </w:r>
      <w:proofErr w:type="spellStart"/>
      <w:r w:rsidRPr="00397047">
        <w:rPr>
          <w:rFonts w:eastAsia="Calibri"/>
          <w:i/>
          <w:sz w:val="26"/>
          <w:szCs w:val="26"/>
          <w:lang w:eastAsia="en-US"/>
        </w:rPr>
        <w:t>Latin</w:t>
      </w:r>
      <w:proofErr w:type="spellEnd"/>
      <w:r w:rsidRPr="00397047">
        <w:rPr>
          <w:rFonts w:eastAsia="Calibri"/>
          <w:i/>
          <w:sz w:val="26"/>
          <w:szCs w:val="26"/>
          <w:lang w:eastAsia="en-US"/>
        </w:rPr>
        <w:t xml:space="preserve"> </w:t>
      </w:r>
      <w:proofErr w:type="spellStart"/>
      <w:r w:rsidRPr="00397047">
        <w:rPr>
          <w:rFonts w:eastAsia="Calibri"/>
          <w:i/>
          <w:sz w:val="26"/>
          <w:szCs w:val="26"/>
          <w:lang w:eastAsia="en-US"/>
        </w:rPr>
        <w:t>America</w:t>
      </w:r>
      <w:proofErr w:type="spellEnd"/>
      <w:r w:rsidRPr="00397047">
        <w:rPr>
          <w:rFonts w:eastAsia="Calibri"/>
          <w:i/>
          <w:sz w:val="26"/>
          <w:szCs w:val="26"/>
          <w:lang w:eastAsia="en-US"/>
        </w:rPr>
        <w:t xml:space="preserve"> and </w:t>
      </w:r>
      <w:proofErr w:type="spellStart"/>
      <w:r w:rsidRPr="00397047">
        <w:rPr>
          <w:rFonts w:eastAsia="Calibri"/>
          <w:i/>
          <w:sz w:val="26"/>
          <w:szCs w:val="26"/>
          <w:lang w:eastAsia="en-US"/>
        </w:rPr>
        <w:t>the</w:t>
      </w:r>
      <w:proofErr w:type="spellEnd"/>
      <w:r w:rsidRPr="00397047">
        <w:rPr>
          <w:rFonts w:eastAsia="Calibri"/>
          <w:i/>
          <w:sz w:val="26"/>
          <w:szCs w:val="26"/>
          <w:lang w:eastAsia="en-US"/>
        </w:rPr>
        <w:t xml:space="preserve"> </w:t>
      </w:r>
      <w:proofErr w:type="spellStart"/>
      <w:r w:rsidRPr="00397047">
        <w:rPr>
          <w:rFonts w:eastAsia="Calibri"/>
          <w:i/>
          <w:sz w:val="26"/>
          <w:szCs w:val="26"/>
          <w:lang w:eastAsia="en-US"/>
        </w:rPr>
        <w:t>Caribbean</w:t>
      </w:r>
      <w:proofErr w:type="spellEnd"/>
      <w:r w:rsidRPr="00397047">
        <w:rPr>
          <w:rFonts w:eastAsia="Calibri"/>
          <w:i/>
          <w:sz w:val="26"/>
          <w:szCs w:val="26"/>
          <w:lang w:eastAsia="en-US"/>
        </w:rPr>
        <w:t xml:space="preserve">: </w:t>
      </w:r>
      <w:proofErr w:type="spellStart"/>
      <w:r w:rsidRPr="00397047">
        <w:rPr>
          <w:rFonts w:eastAsia="Calibri"/>
          <w:i/>
          <w:sz w:val="26"/>
          <w:szCs w:val="26"/>
          <w:lang w:eastAsia="en-US"/>
        </w:rPr>
        <w:t>Striving</w:t>
      </w:r>
      <w:proofErr w:type="spellEnd"/>
      <w:r w:rsidRPr="00397047">
        <w:rPr>
          <w:rFonts w:eastAsia="Calibri"/>
          <w:i/>
          <w:sz w:val="26"/>
          <w:szCs w:val="26"/>
          <w:lang w:eastAsia="en-US"/>
        </w:rPr>
        <w:t xml:space="preserve"> </w:t>
      </w:r>
      <w:proofErr w:type="spellStart"/>
      <w:r w:rsidRPr="00397047">
        <w:rPr>
          <w:rFonts w:eastAsia="Calibri"/>
          <w:i/>
          <w:sz w:val="26"/>
          <w:szCs w:val="26"/>
          <w:lang w:eastAsia="en-US"/>
        </w:rPr>
        <w:t>for</w:t>
      </w:r>
      <w:proofErr w:type="spellEnd"/>
      <w:r w:rsidRPr="00397047">
        <w:rPr>
          <w:rFonts w:eastAsia="Calibri"/>
          <w:i/>
          <w:sz w:val="26"/>
          <w:szCs w:val="26"/>
          <w:lang w:eastAsia="en-US"/>
        </w:rPr>
        <w:t xml:space="preserve"> a </w:t>
      </w:r>
      <w:proofErr w:type="spellStart"/>
      <w:r w:rsidRPr="00397047">
        <w:rPr>
          <w:rFonts w:eastAsia="Calibri"/>
          <w:i/>
          <w:sz w:val="26"/>
          <w:szCs w:val="26"/>
          <w:lang w:eastAsia="en-US"/>
        </w:rPr>
        <w:t>Diverse</w:t>
      </w:r>
      <w:proofErr w:type="spellEnd"/>
      <w:r w:rsidRPr="00397047">
        <w:rPr>
          <w:rFonts w:eastAsia="Calibri"/>
          <w:i/>
          <w:sz w:val="26"/>
          <w:szCs w:val="26"/>
          <w:lang w:eastAsia="en-US"/>
        </w:rPr>
        <w:t xml:space="preserve"> and </w:t>
      </w:r>
      <w:proofErr w:type="spellStart"/>
      <w:r w:rsidRPr="00397047">
        <w:rPr>
          <w:rFonts w:eastAsia="Calibri"/>
          <w:i/>
          <w:sz w:val="26"/>
          <w:szCs w:val="26"/>
          <w:lang w:eastAsia="en-US"/>
        </w:rPr>
        <w:t>Dynamic</w:t>
      </w:r>
      <w:proofErr w:type="spellEnd"/>
      <w:r w:rsidRPr="00397047">
        <w:rPr>
          <w:rFonts w:eastAsia="Calibri"/>
          <w:i/>
          <w:sz w:val="26"/>
          <w:szCs w:val="26"/>
          <w:lang w:eastAsia="en-US"/>
        </w:rPr>
        <w:t xml:space="preserve"> </w:t>
      </w:r>
      <w:proofErr w:type="spellStart"/>
      <w:r w:rsidRPr="00397047">
        <w:rPr>
          <w:rFonts w:eastAsia="Calibri"/>
          <w:i/>
          <w:sz w:val="26"/>
          <w:szCs w:val="26"/>
          <w:lang w:eastAsia="en-US"/>
        </w:rPr>
        <w:t>Relationship</w:t>
      </w:r>
      <w:proofErr w:type="spellEnd"/>
      <w:r w:rsidRPr="00397047">
        <w:rPr>
          <w:rFonts w:eastAsia="Calibri"/>
          <w:sz w:val="26"/>
          <w:szCs w:val="26"/>
          <w:vertAlign w:val="superscript"/>
          <w:lang w:eastAsia="en-US"/>
        </w:rPr>
        <w:footnoteReference w:id="7"/>
      </w:r>
      <w:r w:rsidRPr="00397047">
        <w:rPr>
          <w:rFonts w:eastAsia="Calibri"/>
          <w:sz w:val="26"/>
          <w:szCs w:val="26"/>
          <w:lang w:eastAsia="en-US"/>
        </w:rPr>
        <w:t>.</w:t>
      </w:r>
    </w:p>
    <w:p w14:paraId="0458BA3C" w14:textId="077B4865"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 xml:space="preserve">Para facilitar el acercamiento entre empresas latinoamericanas, caribeñas y coreanas, la cumbre incluyó reuniones bilaterales entre potenciales socios y se presentó la plataforma </w:t>
      </w:r>
      <w:r w:rsidRPr="00397047">
        <w:rPr>
          <w:rFonts w:eastAsia="Calibri"/>
          <w:i/>
          <w:sz w:val="26"/>
          <w:szCs w:val="26"/>
          <w:lang w:eastAsia="en-US"/>
        </w:rPr>
        <w:t>ConnectAmericas.com</w:t>
      </w:r>
      <w:r w:rsidRPr="00397047">
        <w:rPr>
          <w:rFonts w:eastAsia="Calibri"/>
          <w:sz w:val="26"/>
          <w:szCs w:val="26"/>
          <w:vertAlign w:val="superscript"/>
          <w:lang w:eastAsia="en-US"/>
        </w:rPr>
        <w:footnoteReference w:id="8"/>
      </w:r>
      <w:r w:rsidRPr="00397047">
        <w:rPr>
          <w:rFonts w:eastAsia="Calibri"/>
          <w:sz w:val="26"/>
          <w:szCs w:val="26"/>
          <w:lang w:eastAsia="en-US"/>
        </w:rPr>
        <w:t xml:space="preserve">, la primera red social empresarial de las Américas que facilita el contacto entre potenciales clientes, proveedores e </w:t>
      </w:r>
      <w:r w:rsidR="00BA61DD">
        <w:rPr>
          <w:rFonts w:eastAsia="Calibri"/>
          <w:sz w:val="26"/>
          <w:szCs w:val="26"/>
          <w:lang w:eastAsia="en-US"/>
        </w:rPr>
        <w:t>inversionistas</w:t>
      </w:r>
      <w:r w:rsidRPr="00397047">
        <w:rPr>
          <w:rFonts w:eastAsia="Calibri"/>
          <w:sz w:val="26"/>
          <w:szCs w:val="26"/>
          <w:lang w:eastAsia="en-US"/>
        </w:rPr>
        <w:t xml:space="preserve"> de manera virtual. El portal también ofrece cursos virtuales de capacitación, información sobre fuentes de financiamiento, así como artículos y bases de datos que facilitan la internacionalización de las empresas.</w:t>
      </w:r>
    </w:p>
    <w:p w14:paraId="5AED47D8"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 xml:space="preserve">“Para los empresarios latinoamericanos que visitan </w:t>
      </w:r>
      <w:proofErr w:type="spellStart"/>
      <w:r w:rsidRPr="00397047">
        <w:rPr>
          <w:rFonts w:eastAsia="Calibri"/>
          <w:sz w:val="26"/>
          <w:szCs w:val="26"/>
          <w:lang w:eastAsia="en-US"/>
        </w:rPr>
        <w:t>Busán</w:t>
      </w:r>
      <w:proofErr w:type="spellEnd"/>
      <w:r w:rsidRPr="00397047">
        <w:rPr>
          <w:rFonts w:eastAsia="Calibri"/>
          <w:sz w:val="26"/>
          <w:szCs w:val="26"/>
          <w:lang w:eastAsia="en-US"/>
        </w:rPr>
        <w:t xml:space="preserve">, este foro representa una oportunidad de </w:t>
      </w:r>
      <w:proofErr w:type="spellStart"/>
      <w:r w:rsidRPr="00397047">
        <w:rPr>
          <w:rFonts w:eastAsia="Calibri"/>
          <w:i/>
          <w:sz w:val="26"/>
          <w:szCs w:val="26"/>
          <w:lang w:eastAsia="en-US"/>
        </w:rPr>
        <w:t>networking</w:t>
      </w:r>
      <w:proofErr w:type="spellEnd"/>
      <w:r w:rsidRPr="00397047">
        <w:rPr>
          <w:rFonts w:eastAsia="Calibri"/>
          <w:sz w:val="26"/>
          <w:szCs w:val="26"/>
          <w:lang w:eastAsia="en-US"/>
        </w:rPr>
        <w:t xml:space="preserve"> única”, comenta el Coordinador de comercio e inversión del BID. “Para los que no pudieron venir tan lejos, </w:t>
      </w:r>
      <w:proofErr w:type="spellStart"/>
      <w:r w:rsidRPr="00397047">
        <w:rPr>
          <w:rFonts w:eastAsia="Calibri"/>
          <w:i/>
          <w:sz w:val="26"/>
          <w:szCs w:val="26"/>
          <w:lang w:eastAsia="en-US"/>
        </w:rPr>
        <w:t>ConnectAmericas</w:t>
      </w:r>
      <w:proofErr w:type="spellEnd"/>
      <w:r w:rsidRPr="00397047">
        <w:rPr>
          <w:rFonts w:eastAsia="Calibri"/>
          <w:sz w:val="26"/>
          <w:szCs w:val="26"/>
          <w:lang w:eastAsia="en-US"/>
        </w:rPr>
        <w:t xml:space="preserve"> ofrece la oportunidad </w:t>
      </w:r>
      <w:r w:rsidRPr="00397047">
        <w:rPr>
          <w:rFonts w:eastAsia="Calibri"/>
          <w:sz w:val="26"/>
          <w:szCs w:val="26"/>
          <w:lang w:eastAsia="en-US"/>
        </w:rPr>
        <w:lastRenderedPageBreak/>
        <w:t>de establecer valiosos contactos de manera virtual, que les permitirá incursionar en esta región tan dinámica que es Asia.”</w:t>
      </w:r>
    </w:p>
    <w:p w14:paraId="5BE9FE36"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La cumbre se realizó en el marco de la 56ª Reunión Anual de Gobernadores del BID, que este año se lleva a cabo en Corea del Sur, país que ingresó al BID en 2005. La cumbre fue organizada por el BID, el Ministerio de Estrategia y Finanzas de Corea, la Agencia de Promoción de Comercio e Inversiones de Corea, el Banco de Importaciones y Exportaciones de Corea (</w:t>
      </w:r>
      <w:proofErr w:type="spellStart"/>
      <w:r w:rsidRPr="00397047">
        <w:rPr>
          <w:rFonts w:eastAsia="Calibri"/>
          <w:sz w:val="26"/>
          <w:szCs w:val="26"/>
          <w:lang w:eastAsia="en-US"/>
        </w:rPr>
        <w:t>Korea</w:t>
      </w:r>
      <w:proofErr w:type="spellEnd"/>
      <w:r w:rsidRPr="00397047">
        <w:rPr>
          <w:rFonts w:eastAsia="Calibri"/>
          <w:sz w:val="26"/>
          <w:szCs w:val="26"/>
          <w:lang w:eastAsia="en-US"/>
        </w:rPr>
        <w:t xml:space="preserve"> </w:t>
      </w:r>
      <w:proofErr w:type="spellStart"/>
      <w:r w:rsidRPr="00397047">
        <w:rPr>
          <w:rFonts w:eastAsia="Calibri"/>
          <w:sz w:val="26"/>
          <w:szCs w:val="26"/>
          <w:lang w:eastAsia="en-US"/>
        </w:rPr>
        <w:t>Eximbank</w:t>
      </w:r>
      <w:proofErr w:type="spellEnd"/>
      <w:r w:rsidRPr="00397047">
        <w:rPr>
          <w:rFonts w:eastAsia="Calibri"/>
          <w:sz w:val="26"/>
          <w:szCs w:val="26"/>
          <w:lang w:eastAsia="en-US"/>
        </w:rPr>
        <w:t>), la Asociación de Comercio Internacional de Corea y la Cámara de Comercio e Industria de Corea.</w:t>
      </w:r>
    </w:p>
    <w:p w14:paraId="3ACA482A" w14:textId="73EDC670"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En lo que sigue</w:t>
      </w:r>
      <w:r w:rsidR="002F148F">
        <w:rPr>
          <w:rFonts w:eastAsia="Calibri"/>
          <w:sz w:val="26"/>
          <w:szCs w:val="26"/>
          <w:lang w:eastAsia="en-US"/>
        </w:rPr>
        <w:t xml:space="preserve"> se presentan</w:t>
      </w:r>
      <w:r w:rsidRPr="00397047">
        <w:rPr>
          <w:rFonts w:eastAsia="Calibri"/>
          <w:sz w:val="26"/>
          <w:szCs w:val="26"/>
          <w:lang w:eastAsia="en-US"/>
        </w:rPr>
        <w:t xml:space="preserve"> los segmentos “Datos a resaltar”, “Introducción” y “Conclusión” del documento del BID.</w:t>
      </w:r>
    </w:p>
    <w:p w14:paraId="7D3F5855" w14:textId="77777777" w:rsidR="00397047" w:rsidRPr="00397047" w:rsidRDefault="00397047" w:rsidP="00397047">
      <w:pPr>
        <w:spacing w:after="360" w:line="360" w:lineRule="auto"/>
        <w:ind w:right="-159"/>
        <w:jc w:val="both"/>
        <w:rPr>
          <w:rFonts w:eastAsia="Calibri"/>
          <w:b/>
          <w:sz w:val="26"/>
          <w:szCs w:val="26"/>
          <w:lang w:eastAsia="en-US"/>
        </w:rPr>
      </w:pPr>
      <w:r w:rsidRPr="00397047">
        <w:rPr>
          <w:rFonts w:eastAsia="Calibri"/>
          <w:b/>
          <w:sz w:val="26"/>
          <w:szCs w:val="26"/>
          <w:lang w:eastAsia="en-US"/>
        </w:rPr>
        <w:t>Corea y América Latina y el Caribe: Hacia una relación diversa y dinámica</w:t>
      </w:r>
    </w:p>
    <w:p w14:paraId="022CB65C" w14:textId="77777777" w:rsidR="00397047" w:rsidRPr="00397047" w:rsidRDefault="00397047" w:rsidP="003B27DE">
      <w:pPr>
        <w:numPr>
          <w:ilvl w:val="0"/>
          <w:numId w:val="45"/>
        </w:numPr>
        <w:spacing w:after="360" w:line="360" w:lineRule="auto"/>
        <w:ind w:left="357" w:right="-159" w:hanging="357"/>
        <w:jc w:val="both"/>
        <w:rPr>
          <w:rFonts w:eastAsia="Calibri"/>
          <w:b/>
          <w:sz w:val="26"/>
          <w:szCs w:val="26"/>
          <w:lang w:val="en-US" w:eastAsia="en-US"/>
        </w:rPr>
      </w:pPr>
      <w:proofErr w:type="spellStart"/>
      <w:r w:rsidRPr="00397047">
        <w:rPr>
          <w:rFonts w:eastAsia="Calibri"/>
          <w:b/>
          <w:sz w:val="26"/>
          <w:szCs w:val="26"/>
          <w:lang w:val="en-US" w:eastAsia="en-US"/>
        </w:rPr>
        <w:t>Datos</w:t>
      </w:r>
      <w:proofErr w:type="spellEnd"/>
      <w:r w:rsidRPr="00397047">
        <w:rPr>
          <w:rFonts w:eastAsia="Calibri"/>
          <w:b/>
          <w:sz w:val="26"/>
          <w:szCs w:val="26"/>
          <w:lang w:val="en-US" w:eastAsia="en-US"/>
        </w:rPr>
        <w:t xml:space="preserve"> a </w:t>
      </w:r>
      <w:proofErr w:type="spellStart"/>
      <w:r w:rsidRPr="00397047">
        <w:rPr>
          <w:rFonts w:eastAsia="Calibri"/>
          <w:b/>
          <w:sz w:val="26"/>
          <w:szCs w:val="26"/>
          <w:lang w:val="en-US" w:eastAsia="en-US"/>
        </w:rPr>
        <w:t>resaltar</w:t>
      </w:r>
      <w:proofErr w:type="spellEnd"/>
    </w:p>
    <w:p w14:paraId="085C961B" w14:textId="77777777" w:rsidR="00397047" w:rsidRPr="00397047" w:rsidRDefault="00397047" w:rsidP="00762467">
      <w:pPr>
        <w:numPr>
          <w:ilvl w:val="0"/>
          <w:numId w:val="63"/>
        </w:numPr>
        <w:spacing w:after="360" w:line="360" w:lineRule="auto"/>
        <w:ind w:left="714" w:right="-159" w:hanging="357"/>
        <w:jc w:val="both"/>
        <w:rPr>
          <w:rFonts w:eastAsia="Calibri"/>
          <w:sz w:val="26"/>
          <w:szCs w:val="26"/>
          <w:lang w:eastAsia="en-US"/>
        </w:rPr>
      </w:pPr>
      <w:r w:rsidRPr="00397047">
        <w:rPr>
          <w:rFonts w:eastAsia="Calibri"/>
          <w:sz w:val="26"/>
          <w:szCs w:val="26"/>
          <w:lang w:eastAsia="en-US"/>
        </w:rPr>
        <w:t>El comercio entre Corea y América Latina y el Caribe (</w:t>
      </w:r>
      <w:proofErr w:type="spellStart"/>
      <w:r w:rsidRPr="00397047">
        <w:rPr>
          <w:rFonts w:eastAsia="Calibri"/>
          <w:sz w:val="26"/>
          <w:szCs w:val="26"/>
          <w:lang w:eastAsia="en-US"/>
        </w:rPr>
        <w:t>ALyC</w:t>
      </w:r>
      <w:proofErr w:type="spellEnd"/>
      <w:r w:rsidRPr="00397047">
        <w:rPr>
          <w:rFonts w:eastAsia="Calibri"/>
          <w:sz w:val="26"/>
          <w:szCs w:val="26"/>
          <w:lang w:eastAsia="en-US"/>
        </w:rPr>
        <w:t>) ha tenido un crecimiento rápido y sostenido, aumentando en promedio 17% al año desde 1990 hasta alcanzar 54 millardos de dólares estadounidenses en 2014.</w:t>
      </w:r>
    </w:p>
    <w:p w14:paraId="62F74381" w14:textId="77777777" w:rsidR="00397047" w:rsidRPr="00397047" w:rsidRDefault="00397047" w:rsidP="00762467">
      <w:pPr>
        <w:numPr>
          <w:ilvl w:val="0"/>
          <w:numId w:val="63"/>
        </w:numPr>
        <w:spacing w:after="360" w:line="360" w:lineRule="auto"/>
        <w:ind w:left="714" w:right="-159" w:hanging="357"/>
        <w:jc w:val="both"/>
        <w:rPr>
          <w:rFonts w:eastAsia="Calibri"/>
          <w:sz w:val="26"/>
          <w:szCs w:val="26"/>
          <w:lang w:eastAsia="en-US"/>
        </w:rPr>
      </w:pPr>
      <w:r w:rsidRPr="00397047">
        <w:rPr>
          <w:rFonts w:eastAsia="Calibri"/>
          <w:sz w:val="26"/>
          <w:szCs w:val="26"/>
          <w:lang w:eastAsia="en-US"/>
        </w:rPr>
        <w:t>Mientras el comercio Corea-</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comparte algunas similitudes con el comercio de la región con China, hay diferencias importantes: Las exportaciones de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a Corea son más diversificadas y ponderadas hacia productos manufacturados.</w:t>
      </w:r>
    </w:p>
    <w:p w14:paraId="42E59773" w14:textId="77777777" w:rsidR="00397047" w:rsidRPr="00397047" w:rsidRDefault="00397047" w:rsidP="00762467">
      <w:pPr>
        <w:numPr>
          <w:ilvl w:val="0"/>
          <w:numId w:val="63"/>
        </w:numPr>
        <w:spacing w:after="360" w:line="360" w:lineRule="auto"/>
        <w:ind w:left="714" w:right="-159" w:hanging="357"/>
        <w:jc w:val="both"/>
        <w:rPr>
          <w:rFonts w:eastAsia="Calibri"/>
          <w:sz w:val="26"/>
          <w:szCs w:val="26"/>
          <w:lang w:eastAsia="en-US"/>
        </w:rPr>
      </w:pPr>
      <w:r w:rsidRPr="00397047">
        <w:rPr>
          <w:rFonts w:eastAsia="Calibri"/>
          <w:sz w:val="26"/>
          <w:szCs w:val="26"/>
          <w:lang w:eastAsia="en-US"/>
        </w:rPr>
        <w:t xml:space="preserve">La Inversión Extranjera Directa (IED) de Corea hacia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también creció de forma impresionante, aumentando diez veces desde 2004, con más del 80% en sectores manufactureros.</w:t>
      </w:r>
    </w:p>
    <w:p w14:paraId="7CF00166" w14:textId="77777777" w:rsidR="00397047" w:rsidRPr="00397047" w:rsidRDefault="00397047" w:rsidP="00762467">
      <w:pPr>
        <w:numPr>
          <w:ilvl w:val="0"/>
          <w:numId w:val="63"/>
        </w:numPr>
        <w:spacing w:after="360" w:line="360" w:lineRule="auto"/>
        <w:ind w:left="714" w:right="-159" w:hanging="357"/>
        <w:jc w:val="both"/>
        <w:rPr>
          <w:rFonts w:eastAsia="Calibri"/>
          <w:sz w:val="26"/>
          <w:szCs w:val="26"/>
          <w:lang w:eastAsia="en-US"/>
        </w:rPr>
      </w:pPr>
      <w:r w:rsidRPr="00397047">
        <w:rPr>
          <w:rFonts w:eastAsia="Calibri"/>
          <w:sz w:val="26"/>
          <w:szCs w:val="26"/>
          <w:lang w:eastAsia="en-US"/>
        </w:rPr>
        <w:lastRenderedPageBreak/>
        <w:t>Corea también ha entrado en Tratados de Libre Comercio (TLC) con Chile, Perú, y Colombia, al igual que en diversos proyectos de cooperación con gobiernos a través de la región.</w:t>
      </w:r>
    </w:p>
    <w:p w14:paraId="1E72921B" w14:textId="77777777" w:rsidR="00397047" w:rsidRPr="00397047" w:rsidRDefault="00397047" w:rsidP="00762467">
      <w:pPr>
        <w:numPr>
          <w:ilvl w:val="0"/>
          <w:numId w:val="63"/>
        </w:numPr>
        <w:spacing w:after="360" w:line="360" w:lineRule="auto"/>
        <w:ind w:left="714" w:right="-159" w:hanging="357"/>
        <w:jc w:val="both"/>
        <w:rPr>
          <w:rFonts w:eastAsia="Calibri"/>
          <w:sz w:val="26"/>
          <w:szCs w:val="26"/>
          <w:lang w:eastAsia="en-US"/>
        </w:rPr>
      </w:pPr>
      <w:r w:rsidRPr="00397047">
        <w:rPr>
          <w:rFonts w:eastAsia="Calibri"/>
          <w:sz w:val="26"/>
          <w:szCs w:val="26"/>
          <w:lang w:eastAsia="en-US"/>
        </w:rPr>
        <w:t xml:space="preserve">Estas iniciativas son fundamentales para abordar los restantes obstáculos al comercio y la inversión, para lograr los mayores beneficios de esta dinámica y diversa relación </w:t>
      </w:r>
      <w:proofErr w:type="gramStart"/>
      <w:r w:rsidRPr="00397047">
        <w:rPr>
          <w:rFonts w:eastAsia="Calibri"/>
          <w:sz w:val="26"/>
          <w:szCs w:val="26"/>
          <w:lang w:eastAsia="en-US"/>
        </w:rPr>
        <w:t>transpacífico</w:t>
      </w:r>
      <w:proofErr w:type="gramEnd"/>
      <w:r w:rsidRPr="00397047">
        <w:rPr>
          <w:rFonts w:eastAsia="Calibri"/>
          <w:sz w:val="26"/>
          <w:szCs w:val="26"/>
          <w:lang w:eastAsia="en-US"/>
        </w:rPr>
        <w:t>.</w:t>
      </w:r>
    </w:p>
    <w:p w14:paraId="2C5BC697" w14:textId="77777777" w:rsidR="00397047" w:rsidRPr="00397047" w:rsidRDefault="00397047" w:rsidP="003B27DE">
      <w:pPr>
        <w:numPr>
          <w:ilvl w:val="0"/>
          <w:numId w:val="45"/>
        </w:numPr>
        <w:spacing w:after="360" w:line="360" w:lineRule="auto"/>
        <w:ind w:left="357" w:right="-159" w:hanging="357"/>
        <w:jc w:val="both"/>
        <w:rPr>
          <w:rFonts w:eastAsia="Calibri"/>
          <w:b/>
          <w:sz w:val="26"/>
          <w:szCs w:val="26"/>
          <w:lang w:eastAsia="en-US"/>
        </w:rPr>
      </w:pPr>
      <w:r w:rsidRPr="00397047">
        <w:rPr>
          <w:rFonts w:eastAsia="Calibri"/>
          <w:b/>
          <w:sz w:val="26"/>
          <w:szCs w:val="26"/>
          <w:lang w:eastAsia="en-US"/>
        </w:rPr>
        <w:t>Introducción</w:t>
      </w:r>
    </w:p>
    <w:p w14:paraId="57DE4BD9"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bCs/>
          <w:sz w:val="26"/>
          <w:szCs w:val="26"/>
          <w:lang w:eastAsia="en-US"/>
        </w:rPr>
        <w:t>D</w:t>
      </w:r>
      <w:r w:rsidRPr="00397047">
        <w:rPr>
          <w:rFonts w:eastAsia="Calibri"/>
          <w:sz w:val="26"/>
          <w:szCs w:val="26"/>
          <w:lang w:eastAsia="en-US"/>
        </w:rPr>
        <w:t>urante la última década, Asia ha pasado de ser una idea tardía a ser una pieza central de las relaciones económicas para América Latina y el Caribe (</w:t>
      </w:r>
      <w:proofErr w:type="spellStart"/>
      <w:r w:rsidRPr="00397047">
        <w:rPr>
          <w:rFonts w:eastAsia="Calibri"/>
          <w:sz w:val="26"/>
          <w:szCs w:val="26"/>
          <w:lang w:eastAsia="en-US"/>
        </w:rPr>
        <w:t>ALyC</w:t>
      </w:r>
      <w:proofErr w:type="spellEnd"/>
      <w:r w:rsidRPr="00397047">
        <w:rPr>
          <w:rFonts w:eastAsia="Calibri"/>
          <w:sz w:val="26"/>
          <w:szCs w:val="26"/>
          <w:lang w:eastAsia="en-US"/>
        </w:rPr>
        <w:t>). Aparentemente de la nada, economías asiáticas de rápido crecimiento se convirtieron en socios comerciales importantes, comprando sin dejar escapar las exportaciones de minerales y agropecuarias de la región a un ritmo asombroso, mientras suministraban un flujo constante de productos manufacturados y productos de consumo a sus mercados domésticos en expansión.</w:t>
      </w:r>
    </w:p>
    <w:p w14:paraId="06109821"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 xml:space="preserve">El intercambio de productos básicos por productos manufacturados, con concomitantes preocupaciones sobre especialización y desindustrialización en la región, ha venido a definir la relación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-Asia para muchos en la región. Pero este punto de vista pasa por alto las características distintivas de la inversión y comercio de la región con las diferentes economías asiáticas, y al hacerlo arriesga perder oportunidades importantes para profundizar y diversificar los enlaces de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con Asia-Pacífico.</w:t>
      </w:r>
    </w:p>
    <w:p w14:paraId="45A8EABA"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 xml:space="preserve">Corea es un ejemplo de ello. El comercio entre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y Corea ha tenido un crecimiento rápido y sostenido durante las últimas dos décadas y media, aumentando en promedio 17% al año desde 1990 hasta alcanzar más de 54 millardos de dólares en 2014. Mientras el amplio patrón de productos básicos por máquinas se puede ver en los flujos comerciales de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-Corea, sería un error agrupar a Corea simplemente como otra </w:t>
      </w:r>
      <w:r w:rsidRPr="00397047">
        <w:rPr>
          <w:rFonts w:eastAsia="Calibri"/>
          <w:sz w:val="26"/>
          <w:szCs w:val="26"/>
          <w:lang w:eastAsia="en-US"/>
        </w:rPr>
        <w:lastRenderedPageBreak/>
        <w:t>nación asiática hambrienta por productos básicos. Como ilustra este informe, Corea, con un producto interno bruto (PIB) per cápita de alrededor de 26 mil dólares y un depósito de empresas nacionales altamente innovadoras, ofrece un grupo diferente de oportunidades para vínculos de inversión y comercio con la región que China u otras economías asiáticas.</w:t>
      </w:r>
    </w:p>
    <w:p w14:paraId="7C41B902"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 xml:space="preserve">El alto nivel de vida de Corea, y su base de manufactura avanzada crean las condiciones para absorber de la región una amplia gama de productos más sofisticados y diversos. Las exportaciones de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a Corea tienen una mayor parte de productos manufacturados y muestran menos concentración general que sus exportaciones a China o a Japón.</w:t>
      </w:r>
    </w:p>
    <w:p w14:paraId="006380F6"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 xml:space="preserve">Adicionalmente, Corea ha sido una fuente importante de IED para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con flujos de entrada de inversiones acumuladas de 10.3 millardos de dólares desde 2003. Críticamente, más del 80% de esa inversión ha sido en manufactura, distinguiendo la IED de Corea de la de China y proporcionando una base sólida para diversificar la relación económica. Las empresas coreanas emplean miles de trabajadores a través de la región, incluyendo ingenieros altamente cualificados, diseñadores, y técnicos. Su presencia permite a los países de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expandir su capacidad de manufactura, mejorar el mercadeo y la infraestructura logística, y participar en cadenas de valor para algunos de los productos más innovadores y tecnológicamente complejos del mundo.</w:t>
      </w:r>
    </w:p>
    <w:p w14:paraId="0456FAF8"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 xml:space="preserve">Por último, Corea presume de una reserva de conocimiento de políticas de desarrollo de su propia experiencia extraordinaria. Creciendo en un promedio anual de 7% durante cerca de cinco décadas, Corea se levantó de ser uno de los países más pobres del planeta a las filas de las economías industrializadas avanzadas. Los encargados de formular políticas en Corea han establecido un marco robusto para compartir lecciones de políticas con países en desarrollo, las cuales han beneficiado a un número de países de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a través de la cooperación gobierno a gobierno.</w:t>
      </w:r>
    </w:p>
    <w:p w14:paraId="17E6A5E8"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lastRenderedPageBreak/>
        <w:t xml:space="preserve">Por lo tanto, las bases están situadas para que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y Corea disfruten de una relación diversa, dinámica y sostenible que construye sobre las numerosas complementariedades existentes. Llegar a esa meta, sin embargo, requiere más que simplemente poner la relación económica en marcha automática. Para subrayar este punto, la proporción de productos manufacturados en las exportaciones de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a Corea declinó en los primeros años de esta década, en comparación a los finales de la anterior. Mientras esta medida captura solo una faceta del vínculo de manufactura entre las economías —inversiones coreanas impulsan las exportaciones de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a terceros mercados, por ejemplo —el mensaje más amplio se mantiene: los gobiernos deben guiar activamente la relación </w:t>
      </w:r>
      <w:proofErr w:type="spellStart"/>
      <w:r w:rsidRPr="00397047">
        <w:rPr>
          <w:rFonts w:eastAsia="Calibri"/>
          <w:sz w:val="26"/>
          <w:szCs w:val="26"/>
          <w:lang w:eastAsia="en-US"/>
        </w:rPr>
        <w:t>ALyC</w:t>
      </w:r>
      <w:proofErr w:type="spellEnd"/>
      <w:r w:rsidRPr="00397047">
        <w:rPr>
          <w:rFonts w:eastAsia="Calibri"/>
          <w:sz w:val="26"/>
          <w:szCs w:val="26"/>
          <w:lang w:eastAsia="en-US"/>
        </w:rPr>
        <w:t>-Corea para poder lograr las ganancias potenciales para ambas partes.</w:t>
      </w:r>
    </w:p>
    <w:p w14:paraId="067784C5" w14:textId="03E2B6E5"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Afortunadamente, estos esfuerzos ya están encaminados. Corea tiene Tratados de Libre Comercio (</w:t>
      </w:r>
      <w:proofErr w:type="spellStart"/>
      <w:r w:rsidRPr="00397047">
        <w:rPr>
          <w:rFonts w:eastAsia="Calibri"/>
          <w:sz w:val="26"/>
          <w:szCs w:val="26"/>
          <w:lang w:eastAsia="en-US"/>
        </w:rPr>
        <w:t>TLCs</w:t>
      </w:r>
      <w:proofErr w:type="spellEnd"/>
      <w:r w:rsidRPr="00397047">
        <w:rPr>
          <w:rFonts w:eastAsia="Calibri"/>
          <w:sz w:val="26"/>
          <w:szCs w:val="26"/>
          <w:lang w:eastAsia="en-US"/>
        </w:rPr>
        <w:t xml:space="preserve">) con Chile y Perú, tratados que han ayudado a impulsar el comercio bilateral y han abierto oportunidades importantes para exportaciones chilenas y peruanas. Un TLC adicional con Colombia está listo para entrar en vigencia en 2015, y negociaciones con Centroamérica y otros socios potenciales están en curso. Además, Corea ha mostrado interés en unirse al Acuerdo de Asociación Transpacífico (TPP por sus siglas en idioma inglés), un bloque comercial interregional que incluye a Chile, Perú y </w:t>
      </w:r>
      <w:r w:rsidRPr="002F148F">
        <w:rPr>
          <w:rFonts w:eastAsia="Calibri"/>
          <w:sz w:val="26"/>
          <w:szCs w:val="26"/>
          <w:lang w:eastAsia="en-US"/>
        </w:rPr>
        <w:t>México;</w:t>
      </w:r>
      <w:r w:rsidRPr="00397047">
        <w:rPr>
          <w:rFonts w:eastAsia="Calibri"/>
          <w:sz w:val="26"/>
          <w:szCs w:val="26"/>
          <w:lang w:eastAsia="en-US"/>
        </w:rPr>
        <w:t xml:space="preserve"> y tiene estatus de observador en la Alianza del Pacífico, un proyecto ambicioso de integración regional en </w:t>
      </w:r>
      <w:proofErr w:type="spellStart"/>
      <w:r w:rsidRPr="00397047">
        <w:rPr>
          <w:rFonts w:eastAsia="Calibri"/>
          <w:sz w:val="26"/>
          <w:szCs w:val="26"/>
          <w:lang w:eastAsia="en-US"/>
        </w:rPr>
        <w:t>ALyC</w:t>
      </w:r>
      <w:proofErr w:type="spellEnd"/>
      <w:r w:rsidRPr="00397047">
        <w:rPr>
          <w:rFonts w:eastAsia="Calibri"/>
          <w:sz w:val="26"/>
          <w:szCs w:val="26"/>
          <w:lang w:eastAsia="en-US"/>
        </w:rPr>
        <w:t>. Estas iniciativas garantizan que Corea será una pieza importante en la emergente arquitectura comercial de la región, abriendo nuevas oportunidades para profundizar la integración y la cooperación.</w:t>
      </w:r>
    </w:p>
    <w:p w14:paraId="322D31CD" w14:textId="77777777" w:rsid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 xml:space="preserve">Este informe presenta un panorama amplio del comercio, la inversión, y la cooperación entre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y Corea, resaltando los éxitos importantes en esta creciente relación </w:t>
      </w:r>
      <w:proofErr w:type="gramStart"/>
      <w:r w:rsidRPr="00397047">
        <w:rPr>
          <w:rFonts w:eastAsia="Calibri"/>
          <w:sz w:val="26"/>
          <w:szCs w:val="26"/>
          <w:lang w:eastAsia="en-US"/>
        </w:rPr>
        <w:t>transpacífico</w:t>
      </w:r>
      <w:proofErr w:type="gramEnd"/>
      <w:r w:rsidRPr="00397047">
        <w:rPr>
          <w:rFonts w:eastAsia="Calibri"/>
          <w:sz w:val="26"/>
          <w:szCs w:val="26"/>
          <w:lang w:eastAsia="en-US"/>
        </w:rPr>
        <w:t>, al igual que los retos que los gobiernos de ambas partes deben abordar para garantizar que estos enlaces prometedores florezcan bien hacia el futuro.</w:t>
      </w:r>
    </w:p>
    <w:p w14:paraId="180078C6" w14:textId="77777777" w:rsidR="004D07F1" w:rsidRPr="00397047" w:rsidRDefault="004D07F1" w:rsidP="00397047">
      <w:pPr>
        <w:spacing w:after="360" w:line="360" w:lineRule="auto"/>
        <w:ind w:right="-159"/>
        <w:jc w:val="both"/>
        <w:rPr>
          <w:rFonts w:eastAsia="Calibri"/>
          <w:sz w:val="26"/>
          <w:szCs w:val="26"/>
          <w:lang w:eastAsia="en-US"/>
        </w:rPr>
      </w:pPr>
    </w:p>
    <w:p w14:paraId="423A4D91" w14:textId="77777777" w:rsidR="00397047" w:rsidRPr="00397047" w:rsidRDefault="00397047" w:rsidP="003B27DE">
      <w:pPr>
        <w:numPr>
          <w:ilvl w:val="0"/>
          <w:numId w:val="45"/>
        </w:numPr>
        <w:spacing w:after="360" w:line="360" w:lineRule="auto"/>
        <w:ind w:left="357" w:right="-159" w:hanging="357"/>
        <w:jc w:val="both"/>
        <w:rPr>
          <w:rFonts w:eastAsia="Calibri"/>
          <w:b/>
          <w:sz w:val="26"/>
          <w:szCs w:val="26"/>
          <w:lang w:eastAsia="en-US"/>
        </w:rPr>
      </w:pPr>
      <w:r w:rsidRPr="00397047">
        <w:rPr>
          <w:rFonts w:eastAsia="Calibri"/>
          <w:b/>
          <w:sz w:val="26"/>
          <w:szCs w:val="26"/>
          <w:lang w:eastAsia="en-US"/>
        </w:rPr>
        <w:lastRenderedPageBreak/>
        <w:t>Conclusión</w:t>
      </w:r>
    </w:p>
    <w:p w14:paraId="51BE99B1"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bCs/>
          <w:sz w:val="26"/>
          <w:szCs w:val="26"/>
          <w:lang w:eastAsia="en-US"/>
        </w:rPr>
        <w:t>L</w:t>
      </w:r>
      <w:r w:rsidRPr="00397047">
        <w:rPr>
          <w:rFonts w:eastAsia="Calibri"/>
          <w:sz w:val="26"/>
          <w:szCs w:val="26"/>
          <w:lang w:eastAsia="en-US"/>
        </w:rPr>
        <w:t xml:space="preserve">as relaciones económicas entre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y Corea han experimentado un enorme crecimiento durante la década pasada, con beneficios considerables fluyendo en ambas direcciones. Al igual que los otros socios comerciales asiáticos de la región, Corea ha recurrido a los productores agropecuarios y mineros de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para alimentar su rápido crecimiento frente a una dotación limitada de recursos naturales, mientras que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ha comprobado ser un mercado ávido para los bienes manufacturados coreanos de alta competitividad. Sin embargo, las relaciones </w:t>
      </w:r>
      <w:proofErr w:type="spellStart"/>
      <w:r w:rsidRPr="00397047">
        <w:rPr>
          <w:rFonts w:eastAsia="Calibri"/>
          <w:sz w:val="26"/>
          <w:szCs w:val="26"/>
          <w:lang w:eastAsia="en-US"/>
        </w:rPr>
        <w:t>ALyC</w:t>
      </w:r>
      <w:proofErr w:type="spellEnd"/>
      <w:r w:rsidRPr="00397047">
        <w:rPr>
          <w:rFonts w:eastAsia="Calibri"/>
          <w:sz w:val="26"/>
          <w:szCs w:val="26"/>
          <w:lang w:eastAsia="en-US"/>
        </w:rPr>
        <w:t>-Corea son más matizadas y complejas que este intercambio de productos básicos por productos manufacturados impulsado por factores de dotación.</w:t>
      </w:r>
    </w:p>
    <w:p w14:paraId="181AED93"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 xml:space="preserve">Las exportaciones de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hacia Corea han sido más diversas y sofisticadas que en el caso de otras economías asiáticas, reflejando el más alto ingreso per cápita coreano y su posicionamiento en los segmentos de alta tecnología en las cadenas de valor. Al mismo tiempo, Corea ha sido una fuente importante de IED en manufactura para </w:t>
      </w:r>
      <w:proofErr w:type="spellStart"/>
      <w:r w:rsidRPr="00397047">
        <w:rPr>
          <w:rFonts w:eastAsia="Calibri"/>
          <w:sz w:val="26"/>
          <w:szCs w:val="26"/>
          <w:lang w:eastAsia="en-US"/>
        </w:rPr>
        <w:t>ALyC</w:t>
      </w:r>
      <w:proofErr w:type="spellEnd"/>
      <w:r w:rsidRPr="00397047">
        <w:rPr>
          <w:rFonts w:eastAsia="Calibri"/>
          <w:sz w:val="26"/>
          <w:szCs w:val="26"/>
          <w:lang w:eastAsia="en-US"/>
        </w:rPr>
        <w:t>, lo que significa que la sofisticación tecnológica y el poderío industrial coreanos no necesitan ser solamente una fuente de competencia en la región. Al contrario, la presencia de firmas coreanas de primera clase ayuda a transferir tecnología, a desarrollar capacidades en nuevos sectores productivos, y a emplear trabajadores cualificados en la región.</w:t>
      </w:r>
    </w:p>
    <w:p w14:paraId="5C18E4CF"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 xml:space="preserve">Para las empresas coreanas,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ofrece una creciente base de consumidores al igual que una plataforma estratégica de producción para servir al mercado estadounidense. No es sorprendente entonces, que Corea esté ansiosa por entablar vínculos más estrechos con la región, como se observa en las nuevas negociaciones comerciales iniciadas entre Corea y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tanto bilateralmente como en el contexto de bloques regionales e interregionales emergentes. Por supuesto, el alcance de la acción gubernamental para profundizar vínculos va más allá de los </w:t>
      </w:r>
      <w:proofErr w:type="spellStart"/>
      <w:r w:rsidRPr="00397047">
        <w:rPr>
          <w:rFonts w:eastAsia="Calibri"/>
          <w:sz w:val="26"/>
          <w:szCs w:val="26"/>
          <w:lang w:eastAsia="en-US"/>
        </w:rPr>
        <w:t>TLCs</w:t>
      </w:r>
      <w:proofErr w:type="spellEnd"/>
      <w:r w:rsidRPr="00397047">
        <w:rPr>
          <w:rFonts w:eastAsia="Calibri"/>
          <w:sz w:val="26"/>
          <w:szCs w:val="26"/>
          <w:lang w:eastAsia="en-US"/>
        </w:rPr>
        <w:t xml:space="preserve">. Corea es un </w:t>
      </w:r>
      <w:r w:rsidRPr="00397047">
        <w:rPr>
          <w:rFonts w:eastAsia="Calibri"/>
          <w:sz w:val="26"/>
          <w:szCs w:val="26"/>
          <w:lang w:eastAsia="en-US"/>
        </w:rPr>
        <w:lastRenderedPageBreak/>
        <w:t xml:space="preserve">proveedor activo de asistencia financiera, de creación de capacidad, y de conocimientos para el apoyo del desarrollo, y países de toda </w:t>
      </w:r>
      <w:proofErr w:type="spellStart"/>
      <w:r w:rsidRPr="00397047">
        <w:rPr>
          <w:rFonts w:eastAsia="Calibri"/>
          <w:sz w:val="26"/>
          <w:szCs w:val="26"/>
          <w:lang w:eastAsia="en-US"/>
        </w:rPr>
        <w:t>ALyC</w:t>
      </w:r>
      <w:proofErr w:type="spellEnd"/>
      <w:r w:rsidRPr="00397047">
        <w:rPr>
          <w:rFonts w:eastAsia="Calibri"/>
          <w:sz w:val="26"/>
          <w:szCs w:val="26"/>
          <w:lang w:eastAsia="en-US"/>
        </w:rPr>
        <w:t xml:space="preserve"> se han beneficiado de estos tipos de programas.</w:t>
      </w:r>
    </w:p>
    <w:p w14:paraId="420ED32F" w14:textId="77777777" w:rsidR="00397047" w:rsidRPr="00397047" w:rsidRDefault="00397047" w:rsidP="00397047">
      <w:pPr>
        <w:spacing w:after="360" w:line="360" w:lineRule="auto"/>
        <w:ind w:right="-159"/>
        <w:jc w:val="both"/>
        <w:rPr>
          <w:rFonts w:eastAsia="Calibri"/>
          <w:sz w:val="26"/>
          <w:szCs w:val="26"/>
          <w:lang w:eastAsia="en-US"/>
        </w:rPr>
      </w:pPr>
      <w:r w:rsidRPr="00397047">
        <w:rPr>
          <w:rFonts w:eastAsia="Calibri"/>
          <w:sz w:val="26"/>
          <w:szCs w:val="26"/>
          <w:lang w:eastAsia="en-US"/>
        </w:rPr>
        <w:t xml:space="preserve">El auge rápido del comercio, inversión, y cooperación durante la última década ha cementado la base para una relación sostenible, diversificada, y mutuamente beneficiosa entre Corea y </w:t>
      </w:r>
      <w:proofErr w:type="spellStart"/>
      <w:r w:rsidRPr="00397047">
        <w:rPr>
          <w:rFonts w:eastAsia="Calibri"/>
          <w:sz w:val="26"/>
          <w:szCs w:val="26"/>
          <w:lang w:eastAsia="en-US"/>
        </w:rPr>
        <w:t>ALyC</w:t>
      </w:r>
      <w:proofErr w:type="spellEnd"/>
      <w:r w:rsidRPr="00397047">
        <w:rPr>
          <w:rFonts w:eastAsia="Calibri"/>
          <w:sz w:val="26"/>
          <w:szCs w:val="26"/>
          <w:lang w:eastAsia="en-US"/>
        </w:rPr>
        <w:t>, aunque permanecen retos —especialmente en áreas de barreras no-arancelarias, costos de transporte, y logística. Los gobiernos de ambas partes deben aprovechar la oportunidad para sobrepasar las barreras persistentes y construir sobre esta base sólida.</w:t>
      </w:r>
    </w:p>
    <w:p w14:paraId="4DC880D3" w14:textId="77777777" w:rsidR="00397047" w:rsidRPr="00397047" w:rsidRDefault="00397047" w:rsidP="00397047">
      <w:pPr>
        <w:ind w:right="-159"/>
        <w:jc w:val="both"/>
        <w:rPr>
          <w:rFonts w:eastAsia="Calibri"/>
          <w:sz w:val="20"/>
          <w:szCs w:val="20"/>
          <w:lang w:eastAsia="en-US"/>
        </w:rPr>
      </w:pPr>
      <w:r w:rsidRPr="00397047">
        <w:rPr>
          <w:rFonts w:eastAsia="Calibri"/>
          <w:b/>
          <w:sz w:val="20"/>
          <w:szCs w:val="20"/>
          <w:lang w:eastAsia="en-US"/>
        </w:rPr>
        <w:t>Fuente de información</w:t>
      </w:r>
      <w:r w:rsidRPr="00397047">
        <w:rPr>
          <w:rFonts w:eastAsia="Calibri"/>
          <w:sz w:val="20"/>
          <w:szCs w:val="20"/>
          <w:lang w:eastAsia="en-US"/>
        </w:rPr>
        <w:t>:</w:t>
      </w:r>
    </w:p>
    <w:p w14:paraId="2002F4D2" w14:textId="77777777" w:rsidR="00397047" w:rsidRPr="00525B73" w:rsidRDefault="00D936FE" w:rsidP="00397047">
      <w:pPr>
        <w:ind w:right="-159"/>
        <w:jc w:val="both"/>
        <w:rPr>
          <w:rFonts w:eastAsia="Calibri"/>
          <w:color w:val="0000FF"/>
          <w:sz w:val="20"/>
          <w:szCs w:val="20"/>
          <w:u w:val="single"/>
          <w:lang w:eastAsia="en-US"/>
        </w:rPr>
      </w:pPr>
      <w:hyperlink r:id="rId46" w:history="1">
        <w:r w:rsidR="00397047" w:rsidRPr="00525B73">
          <w:rPr>
            <w:rFonts w:eastAsia="Calibri"/>
            <w:color w:val="0000FF"/>
            <w:sz w:val="20"/>
            <w:szCs w:val="20"/>
            <w:u w:val="single"/>
            <w:lang w:eastAsia="en-US"/>
          </w:rPr>
          <w:t>http://www.iadb.org/es/noticias/comunicados-de-prensa/2015-03-26/cumbre-empresarial-corea-america-latina-y-el-caribe%2c11099.html?WT.mc_id=NewsEmail_Short_11099&amp;wtSrc=Email&amp;wtType=Short&amp;wtArticleID=11099</w:t>
        </w:r>
      </w:hyperlink>
    </w:p>
    <w:p w14:paraId="2C76F1C9" w14:textId="77777777" w:rsidR="00397047" w:rsidRPr="00525B73" w:rsidRDefault="00D936FE" w:rsidP="00397047">
      <w:pPr>
        <w:ind w:right="-159"/>
        <w:jc w:val="both"/>
        <w:rPr>
          <w:rFonts w:eastAsia="Calibri"/>
          <w:color w:val="0000FF"/>
          <w:sz w:val="20"/>
          <w:szCs w:val="20"/>
          <w:lang w:eastAsia="en-US"/>
        </w:rPr>
      </w:pPr>
      <w:hyperlink r:id="rId47" w:history="1">
        <w:r w:rsidR="00397047" w:rsidRPr="00525B73">
          <w:rPr>
            <w:rFonts w:eastAsia="Calibri"/>
            <w:color w:val="0000FF"/>
            <w:sz w:val="20"/>
            <w:szCs w:val="20"/>
            <w:u w:val="single"/>
            <w:lang w:eastAsia="en-US"/>
          </w:rPr>
          <w:t>http://publications.iadb.org/bitstream/handle/11319/6830/Corea_y_America_Latina_Hacia_una_relacion_diversa_y_dinamica.pdf?sequence=9</w:t>
        </w:r>
      </w:hyperlink>
      <w:r w:rsidR="00397047" w:rsidRPr="00525B73">
        <w:rPr>
          <w:rFonts w:eastAsia="Calibri"/>
          <w:color w:val="0000FF"/>
          <w:sz w:val="20"/>
          <w:szCs w:val="20"/>
          <w:lang w:eastAsia="en-US"/>
        </w:rPr>
        <w:t xml:space="preserve"> </w:t>
      </w:r>
    </w:p>
    <w:p w14:paraId="6A266929" w14:textId="77777777" w:rsidR="00397047" w:rsidRPr="00525B73" w:rsidRDefault="00397047" w:rsidP="00397047">
      <w:pPr>
        <w:ind w:right="-159"/>
        <w:jc w:val="both"/>
        <w:rPr>
          <w:rFonts w:eastAsia="Calibri"/>
          <w:sz w:val="20"/>
          <w:szCs w:val="20"/>
          <w:lang w:eastAsia="en-US"/>
        </w:rPr>
      </w:pPr>
      <w:r w:rsidRPr="00525B73">
        <w:rPr>
          <w:rFonts w:eastAsia="Calibri"/>
          <w:sz w:val="20"/>
          <w:szCs w:val="20"/>
          <w:lang w:eastAsia="en-US"/>
        </w:rPr>
        <w:t>Para tener acceso a información relacionada visite:</w:t>
      </w:r>
    </w:p>
    <w:p w14:paraId="5E9D2C20" w14:textId="77777777" w:rsidR="00397047" w:rsidRPr="00525B73" w:rsidRDefault="00D936FE" w:rsidP="00397047">
      <w:pPr>
        <w:ind w:right="-159"/>
        <w:jc w:val="both"/>
        <w:rPr>
          <w:rFonts w:eastAsia="Calibri"/>
          <w:color w:val="0000FF"/>
          <w:sz w:val="20"/>
          <w:szCs w:val="20"/>
          <w:u w:val="single"/>
          <w:lang w:eastAsia="en-US"/>
        </w:rPr>
      </w:pPr>
      <w:hyperlink r:id="rId48" w:history="1">
        <w:r w:rsidR="00397047" w:rsidRPr="00525B73">
          <w:rPr>
            <w:rFonts w:eastAsia="Calibri"/>
            <w:color w:val="0000FF"/>
            <w:sz w:val="20"/>
            <w:szCs w:val="20"/>
            <w:u w:val="single"/>
            <w:lang w:eastAsia="en-US"/>
          </w:rPr>
          <w:t>http://www.iadb.org/es/reunion-anual/2015/business-hub,18784.html</w:t>
        </w:r>
      </w:hyperlink>
    </w:p>
    <w:p w14:paraId="4EB2A67C" w14:textId="77777777" w:rsidR="00397047" w:rsidRPr="00525B73" w:rsidRDefault="00D936FE" w:rsidP="00397047">
      <w:pPr>
        <w:ind w:right="-159"/>
        <w:jc w:val="both"/>
        <w:rPr>
          <w:rFonts w:eastAsia="Calibri"/>
          <w:color w:val="0000FF"/>
          <w:sz w:val="20"/>
          <w:szCs w:val="20"/>
          <w:u w:val="single"/>
          <w:lang w:eastAsia="en-US"/>
        </w:rPr>
      </w:pPr>
      <w:hyperlink r:id="rId49" w:history="1">
        <w:r w:rsidR="00397047" w:rsidRPr="00525B73">
          <w:rPr>
            <w:rFonts w:eastAsia="Calibri"/>
            <w:color w:val="0000FF"/>
            <w:sz w:val="20"/>
            <w:szCs w:val="20"/>
            <w:u w:val="single"/>
            <w:lang w:eastAsia="en-US"/>
          </w:rPr>
          <w:t>http://www.iadb.org/es/noticias/comunicados-de-prensa/2015-03-28/bid-y-corea-afianzan-alianza%2c11103.html?WT.mc_id=NewsEmail_Short_11103&amp;wtSrc=Email&amp;wtType=Short&amp;wtArticleID=11103</w:t>
        </w:r>
      </w:hyperlink>
      <w:r w:rsidR="00397047" w:rsidRPr="00525B73">
        <w:rPr>
          <w:rFonts w:eastAsia="Calibri"/>
          <w:color w:val="0000FF"/>
          <w:sz w:val="20"/>
          <w:szCs w:val="20"/>
          <w:u w:val="single"/>
          <w:lang w:eastAsia="en-US"/>
        </w:rPr>
        <w:t xml:space="preserve"> </w:t>
      </w:r>
    </w:p>
    <w:p w14:paraId="36A9BB3D" w14:textId="77777777" w:rsidR="00397047" w:rsidRPr="00397047" w:rsidRDefault="00D936FE" w:rsidP="00525B73">
      <w:pPr>
        <w:spacing w:after="720"/>
        <w:ind w:right="-159"/>
        <w:jc w:val="both"/>
        <w:rPr>
          <w:rFonts w:eastAsia="Calibri"/>
          <w:sz w:val="20"/>
          <w:szCs w:val="20"/>
          <w:lang w:eastAsia="en-US"/>
        </w:rPr>
      </w:pPr>
      <w:hyperlink r:id="rId50" w:history="1">
        <w:r w:rsidR="00397047" w:rsidRPr="00525B73">
          <w:rPr>
            <w:rFonts w:eastAsia="Calibri"/>
            <w:color w:val="0000FF"/>
            <w:sz w:val="20"/>
            <w:szCs w:val="20"/>
            <w:u w:val="single"/>
            <w:lang w:eastAsia="en-US"/>
          </w:rPr>
          <w:t>http://www.iadb.org/es/noticias/comunicados-de-prensa/2015-03-29/cii-respaldo-a-40000-pymes-en-la-region-en-2014%2c11095.html?WT.mc_id=NewsEmail_Short_11095&amp;wtSrc=Email&amp;wtType=Short&amp;wtArticleID=11095</w:t>
        </w:r>
      </w:hyperlink>
      <w:r w:rsidR="00397047" w:rsidRPr="00397047">
        <w:rPr>
          <w:rFonts w:eastAsia="Calibri"/>
          <w:sz w:val="20"/>
          <w:szCs w:val="20"/>
          <w:lang w:eastAsia="en-US"/>
        </w:rPr>
        <w:t xml:space="preserve"> </w:t>
      </w:r>
    </w:p>
    <w:p w14:paraId="7E8E2376" w14:textId="77777777" w:rsidR="008859B3" w:rsidRPr="008859B3" w:rsidRDefault="008859B3" w:rsidP="008859B3">
      <w:pPr>
        <w:spacing w:after="360" w:line="360" w:lineRule="auto"/>
        <w:ind w:right="-159"/>
        <w:jc w:val="both"/>
        <w:rPr>
          <w:b/>
          <w:sz w:val="26"/>
          <w:szCs w:val="26"/>
          <w:lang w:val="es-ES"/>
        </w:rPr>
      </w:pPr>
      <w:bookmarkStart w:id="13" w:name="OLE_LINK88"/>
      <w:bookmarkStart w:id="14" w:name="OLE_LINK89"/>
      <w:r w:rsidRPr="008859B3">
        <w:rPr>
          <w:b/>
          <w:sz w:val="26"/>
          <w:szCs w:val="26"/>
          <w:lang w:val="es-ES"/>
        </w:rPr>
        <w:t>Turismo (Banxico-</w:t>
      </w:r>
      <w:proofErr w:type="spellStart"/>
      <w:r w:rsidRPr="008859B3">
        <w:rPr>
          <w:b/>
          <w:sz w:val="26"/>
          <w:szCs w:val="26"/>
          <w:lang w:val="es-ES"/>
        </w:rPr>
        <w:t>Sectur</w:t>
      </w:r>
      <w:proofErr w:type="spellEnd"/>
      <w:r w:rsidRPr="008859B3">
        <w:rPr>
          <w:b/>
          <w:sz w:val="26"/>
          <w:szCs w:val="26"/>
          <w:lang w:val="es-ES"/>
        </w:rPr>
        <w:t>)</w:t>
      </w:r>
    </w:p>
    <w:p w14:paraId="2DF35570" w14:textId="77777777" w:rsidR="008859B3" w:rsidRPr="008859B3" w:rsidRDefault="008859B3" w:rsidP="008859B3">
      <w:pPr>
        <w:spacing w:after="360" w:line="360" w:lineRule="auto"/>
        <w:ind w:right="-159"/>
        <w:jc w:val="both"/>
        <w:rPr>
          <w:sz w:val="26"/>
          <w:szCs w:val="26"/>
          <w:lang w:val="es-ES"/>
        </w:rPr>
      </w:pPr>
      <w:r w:rsidRPr="008859B3">
        <w:rPr>
          <w:sz w:val="26"/>
          <w:szCs w:val="26"/>
          <w:lang w:val="es-ES"/>
        </w:rPr>
        <w:t>El 13 de abril de 2015, el Banco de México (Banxico) y la Secretaría de Turismo (</w:t>
      </w:r>
      <w:proofErr w:type="spellStart"/>
      <w:r w:rsidRPr="008859B3">
        <w:rPr>
          <w:sz w:val="26"/>
          <w:szCs w:val="26"/>
          <w:lang w:val="es-ES"/>
        </w:rPr>
        <w:t>Sectur</w:t>
      </w:r>
      <w:proofErr w:type="spellEnd"/>
      <w:r w:rsidRPr="008859B3">
        <w:rPr>
          <w:sz w:val="26"/>
          <w:szCs w:val="26"/>
          <w:lang w:val="es-ES"/>
        </w:rPr>
        <w:t>) informaron que, con base en la Cuenta de Viajeros Internacionales, que sustenta los Resultados Acumulados de la Actividad Turística, durante el período enero-febrero de 2015 se registraron ingresos turísticos por 3 mil 93 millones 629.82 mil dólares, monto que significó un aumento de 11.86% con respecto al mismo lapso de 2014.</w:t>
      </w:r>
    </w:p>
    <w:p w14:paraId="6B216EFE" w14:textId="77777777" w:rsidR="008859B3" w:rsidRPr="008859B3" w:rsidRDefault="008859B3" w:rsidP="008859B3">
      <w:pPr>
        <w:spacing w:after="360" w:line="360" w:lineRule="auto"/>
        <w:ind w:right="-159"/>
        <w:jc w:val="center"/>
        <w:rPr>
          <w:sz w:val="26"/>
          <w:szCs w:val="26"/>
          <w:lang w:val="es-ES"/>
        </w:rPr>
      </w:pPr>
      <w:r w:rsidRPr="008859B3">
        <w:rPr>
          <w:rFonts w:ascii="Calibri" w:eastAsia="Calibri" w:hAnsi="Calibri"/>
          <w:sz w:val="22"/>
          <w:szCs w:val="22"/>
          <w:lang w:eastAsia="en-US"/>
        </w:rPr>
        <w:lastRenderedPageBreak/>
        <w:fldChar w:fldCharType="begin"/>
      </w:r>
      <w:r w:rsidRPr="008859B3">
        <w:rPr>
          <w:rFonts w:ascii="Calibri" w:eastAsia="Calibri" w:hAnsi="Calibri"/>
          <w:sz w:val="22"/>
          <w:szCs w:val="22"/>
          <w:lang w:eastAsia="en-US"/>
        </w:rPr>
        <w:instrText xml:space="preserve"> LINK PowerPoint.Slide.8 "D:\\2015\\ABRIL\\GRÁFICAS POWER POINT\\24.- GRÁFICAS BALANZA TURISTICA II.pptx!275" "" \a \p </w:instrText>
      </w:r>
      <w:r w:rsidRPr="008859B3">
        <w:rPr>
          <w:rFonts w:ascii="Calibri" w:eastAsia="Calibri" w:hAnsi="Calibri"/>
          <w:sz w:val="22"/>
          <w:szCs w:val="22"/>
          <w:lang w:eastAsia="en-US"/>
        </w:rPr>
        <w:fldChar w:fldCharType="separate"/>
      </w:r>
      <w:r w:rsidRPr="008859B3">
        <w:rPr>
          <w:rFonts w:ascii="Calibri" w:eastAsia="Calibri" w:hAnsi="Calibri"/>
          <w:noProof/>
          <w:sz w:val="22"/>
          <w:szCs w:val="22"/>
          <w:lang w:eastAsia="es-MX"/>
        </w:rPr>
        <w:drawing>
          <wp:inline distT="0" distB="0" distL="0" distR="0" wp14:anchorId="078D8CF7" wp14:editId="5C65948E">
            <wp:extent cx="4812665" cy="3021330"/>
            <wp:effectExtent l="0" t="0" r="6985" b="7620"/>
            <wp:docPr id="1767" name="Imagen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51" cstate="print">
                      <a:extLst>
                        <a:ext uri="{28A0092B-C50C-407E-A947-70E740481C1C}">
                          <a14:useLocalDpi xmlns:a14="http://schemas.microsoft.com/office/drawing/2010/main" val="0"/>
                        </a:ext>
                      </a:extLst>
                    </a:blip>
                    <a:srcRect l="8510" t="7547" r="12341" b="4283"/>
                    <a:stretch>
                      <a:fillRect/>
                    </a:stretch>
                  </pic:blipFill>
                  <pic:spPr bwMode="auto">
                    <a:xfrm>
                      <a:off x="0" y="0"/>
                      <a:ext cx="4812665" cy="3021330"/>
                    </a:xfrm>
                    <a:prstGeom prst="rect">
                      <a:avLst/>
                    </a:prstGeom>
                    <a:noFill/>
                    <a:ln>
                      <a:noFill/>
                    </a:ln>
                  </pic:spPr>
                </pic:pic>
              </a:graphicData>
            </a:graphic>
          </wp:inline>
        </w:drawing>
      </w:r>
      <w:r w:rsidRPr="008859B3">
        <w:rPr>
          <w:rFonts w:ascii="Calibri" w:eastAsia="Calibri" w:hAnsi="Calibri"/>
          <w:sz w:val="22"/>
          <w:szCs w:val="22"/>
          <w:lang w:eastAsia="en-US"/>
        </w:rPr>
        <w:fldChar w:fldCharType="end"/>
      </w:r>
    </w:p>
    <w:p w14:paraId="7CAC0726" w14:textId="77777777" w:rsidR="008859B3" w:rsidRPr="008859B3" w:rsidRDefault="008859B3" w:rsidP="008859B3">
      <w:pPr>
        <w:spacing w:after="360" w:line="360" w:lineRule="auto"/>
        <w:ind w:right="-159"/>
        <w:jc w:val="both"/>
        <w:rPr>
          <w:sz w:val="26"/>
          <w:szCs w:val="26"/>
          <w:lang w:val="es-ES"/>
        </w:rPr>
      </w:pPr>
      <w:r w:rsidRPr="008859B3">
        <w:rPr>
          <w:sz w:val="26"/>
          <w:szCs w:val="26"/>
          <w:lang w:val="es-ES"/>
        </w:rPr>
        <w:t>Durante el período enero-febrero de 2015, llegaron al interior del país 2 millones 925 mil 640 turistas de internación, lo que representó un aumento de 7.49% con relación al mismo período del año anterior y significó un ingreso de 2 mil 638 millones 489.29 mil dólares, lo que se tradujo en una derrama económica mayor en 12.86%, a la reportada en el lapso de referencia.</w:t>
      </w:r>
    </w:p>
    <w:p w14:paraId="6E9B26D3" w14:textId="77777777" w:rsidR="008859B3" w:rsidRPr="008859B3" w:rsidRDefault="008859B3" w:rsidP="008859B3">
      <w:pPr>
        <w:spacing w:after="360" w:line="360" w:lineRule="auto"/>
        <w:ind w:right="-159"/>
        <w:jc w:val="both"/>
        <w:rPr>
          <w:sz w:val="26"/>
          <w:szCs w:val="26"/>
          <w:lang w:val="es-ES"/>
        </w:rPr>
      </w:pPr>
      <w:r w:rsidRPr="008859B3">
        <w:rPr>
          <w:sz w:val="26"/>
          <w:szCs w:val="26"/>
          <w:lang w:val="es-ES"/>
        </w:rPr>
        <w:t>Cabe señalar que los excursionistas en cruceros, durante el período enero-febrero de 2015, sumaron un total de 1 millón 303 mil turistas, cifra 17.65% mayor a la observada en igual lapso de 2014. Asimismo, por este concepto se registró un ingreso de                      89 millones 605 mil 60 dólares por este rubro, lo que significó un aumento de 8.85 por ciento.</w:t>
      </w:r>
    </w:p>
    <w:p w14:paraId="512D6DC1" w14:textId="77777777" w:rsidR="008859B3" w:rsidRPr="008859B3" w:rsidRDefault="008859B3" w:rsidP="008859B3">
      <w:pPr>
        <w:spacing w:after="360" w:line="360" w:lineRule="auto"/>
        <w:ind w:right="-159"/>
        <w:jc w:val="both"/>
        <w:rPr>
          <w:sz w:val="26"/>
          <w:szCs w:val="26"/>
          <w:lang w:val="es-ES"/>
        </w:rPr>
      </w:pPr>
      <w:r w:rsidRPr="008859B3">
        <w:rPr>
          <w:sz w:val="26"/>
          <w:szCs w:val="26"/>
          <w:lang w:val="es-ES"/>
        </w:rPr>
        <w:t>Por su parte, el gasto medio de los turistas de internación que se internaron en el país, durante el período enero-febrero de 2015, ascendió a 901.85 dólares, cantidad 4.99% mayor a la observada en el mismo lapso de 2014. Asimismo, se registró un aumento de 9.46% en el gasto medio de los turistas fronterizos, y una disminución de 7.48% de los excursionistas en crucero.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6"/>
        <w:gridCol w:w="1805"/>
        <w:gridCol w:w="1653"/>
        <w:gridCol w:w="1457"/>
      </w:tblGrid>
      <w:tr w:rsidR="008859B3" w:rsidRPr="008859B3" w14:paraId="7AA931FB" w14:textId="77777777" w:rsidTr="00D96653">
        <w:trPr>
          <w:jc w:val="center"/>
        </w:trPr>
        <w:tc>
          <w:tcPr>
            <w:tcW w:w="7821" w:type="dxa"/>
            <w:gridSpan w:val="4"/>
            <w:tcBorders>
              <w:top w:val="nil"/>
              <w:left w:val="nil"/>
              <w:bottom w:val="single" w:sz="4" w:space="0" w:color="auto"/>
              <w:right w:val="nil"/>
            </w:tcBorders>
            <w:hideMark/>
          </w:tcPr>
          <w:p w14:paraId="05AC539E" w14:textId="77777777" w:rsidR="008859B3" w:rsidRPr="008859B3" w:rsidRDefault="008859B3" w:rsidP="008859B3">
            <w:pPr>
              <w:widowControl w:val="0"/>
              <w:adjustRightInd w:val="0"/>
              <w:spacing w:line="276" w:lineRule="auto"/>
              <w:jc w:val="center"/>
              <w:textAlignment w:val="baseline"/>
              <w:rPr>
                <w:b/>
              </w:rPr>
            </w:pPr>
            <w:r w:rsidRPr="008859B3">
              <w:rPr>
                <w:sz w:val="26"/>
                <w:szCs w:val="26"/>
              </w:rPr>
              <w:lastRenderedPageBreak/>
              <w:br w:type="page"/>
            </w:r>
            <w:r w:rsidRPr="008859B3">
              <w:rPr>
                <w:b/>
                <w:sz w:val="22"/>
                <w:szCs w:val="22"/>
              </w:rPr>
              <w:t>VIAJEROS INTERNACIONALES</w:t>
            </w:r>
          </w:p>
          <w:p w14:paraId="3F109822" w14:textId="77777777" w:rsidR="008859B3" w:rsidRPr="008859B3" w:rsidRDefault="008859B3" w:rsidP="008859B3">
            <w:pPr>
              <w:widowControl w:val="0"/>
              <w:adjustRightInd w:val="0"/>
              <w:spacing w:line="276" w:lineRule="auto"/>
              <w:jc w:val="center"/>
              <w:textAlignment w:val="baseline"/>
              <w:rPr>
                <w:b/>
              </w:rPr>
            </w:pPr>
            <w:r w:rsidRPr="008859B3">
              <w:rPr>
                <w:b/>
                <w:sz w:val="22"/>
                <w:szCs w:val="22"/>
              </w:rPr>
              <w:t>-Saldo e ingresos-</w:t>
            </w:r>
          </w:p>
        </w:tc>
      </w:tr>
      <w:tr w:rsidR="008859B3" w:rsidRPr="008859B3" w14:paraId="58EDC9DB" w14:textId="77777777" w:rsidTr="00D96653">
        <w:trPr>
          <w:jc w:val="center"/>
        </w:trPr>
        <w:tc>
          <w:tcPr>
            <w:tcW w:w="2906" w:type="dxa"/>
            <w:vMerge w:val="restart"/>
            <w:tcBorders>
              <w:top w:val="single" w:sz="4" w:space="0" w:color="auto"/>
              <w:left w:val="single" w:sz="4" w:space="0" w:color="auto"/>
              <w:bottom w:val="single" w:sz="4" w:space="0" w:color="auto"/>
              <w:right w:val="nil"/>
            </w:tcBorders>
            <w:vAlign w:val="center"/>
            <w:hideMark/>
          </w:tcPr>
          <w:p w14:paraId="47EF5E06" w14:textId="77777777" w:rsidR="008859B3" w:rsidRPr="008859B3" w:rsidRDefault="008859B3" w:rsidP="008859B3">
            <w:pPr>
              <w:widowControl w:val="0"/>
              <w:adjustRightInd w:val="0"/>
              <w:spacing w:line="276" w:lineRule="auto"/>
              <w:jc w:val="center"/>
              <w:textAlignment w:val="baseline"/>
              <w:rPr>
                <w:b/>
                <w:sz w:val="20"/>
                <w:szCs w:val="20"/>
              </w:rPr>
            </w:pPr>
            <w:r w:rsidRPr="008859B3">
              <w:rPr>
                <w:b/>
                <w:sz w:val="20"/>
                <w:szCs w:val="20"/>
              </w:rPr>
              <w:t>Concepto</w:t>
            </w:r>
          </w:p>
        </w:tc>
        <w:tc>
          <w:tcPr>
            <w:tcW w:w="3458" w:type="dxa"/>
            <w:gridSpan w:val="2"/>
            <w:tcBorders>
              <w:top w:val="single" w:sz="4" w:space="0" w:color="auto"/>
              <w:left w:val="nil"/>
              <w:bottom w:val="single" w:sz="4" w:space="0" w:color="auto"/>
              <w:right w:val="nil"/>
            </w:tcBorders>
            <w:hideMark/>
          </w:tcPr>
          <w:p w14:paraId="44F6DF20" w14:textId="77777777" w:rsidR="008859B3" w:rsidRPr="008859B3" w:rsidRDefault="008859B3" w:rsidP="008859B3">
            <w:pPr>
              <w:widowControl w:val="0"/>
              <w:adjustRightInd w:val="0"/>
              <w:spacing w:line="276" w:lineRule="auto"/>
              <w:jc w:val="center"/>
              <w:textAlignment w:val="baseline"/>
              <w:rPr>
                <w:b/>
                <w:spacing w:val="30"/>
                <w:sz w:val="20"/>
                <w:szCs w:val="20"/>
              </w:rPr>
            </w:pPr>
            <w:r w:rsidRPr="008859B3">
              <w:rPr>
                <w:b/>
                <w:spacing w:val="30"/>
                <w:sz w:val="20"/>
                <w:szCs w:val="20"/>
              </w:rPr>
              <w:t>Enero-Febrero</w:t>
            </w:r>
          </w:p>
        </w:tc>
        <w:tc>
          <w:tcPr>
            <w:tcW w:w="1457" w:type="dxa"/>
            <w:tcBorders>
              <w:top w:val="single" w:sz="4" w:space="0" w:color="auto"/>
              <w:left w:val="nil"/>
              <w:bottom w:val="nil"/>
              <w:right w:val="single" w:sz="4" w:space="0" w:color="auto"/>
            </w:tcBorders>
            <w:hideMark/>
          </w:tcPr>
          <w:p w14:paraId="4DDAAB63" w14:textId="77777777" w:rsidR="008859B3" w:rsidRPr="008859B3" w:rsidRDefault="008859B3" w:rsidP="008859B3">
            <w:pPr>
              <w:widowControl w:val="0"/>
              <w:adjustRightInd w:val="0"/>
              <w:spacing w:line="276" w:lineRule="auto"/>
              <w:jc w:val="center"/>
              <w:textAlignment w:val="baseline"/>
              <w:rPr>
                <w:b/>
                <w:sz w:val="20"/>
                <w:szCs w:val="20"/>
              </w:rPr>
            </w:pPr>
            <w:r w:rsidRPr="008859B3">
              <w:rPr>
                <w:b/>
                <w:sz w:val="20"/>
                <w:szCs w:val="20"/>
              </w:rPr>
              <w:t>Variación</w:t>
            </w:r>
          </w:p>
        </w:tc>
      </w:tr>
      <w:tr w:rsidR="008859B3" w:rsidRPr="008859B3" w14:paraId="090A71E5" w14:textId="77777777" w:rsidTr="00D96653">
        <w:trPr>
          <w:jc w:val="center"/>
        </w:trPr>
        <w:tc>
          <w:tcPr>
            <w:tcW w:w="0" w:type="auto"/>
            <w:vMerge/>
            <w:tcBorders>
              <w:top w:val="single" w:sz="4" w:space="0" w:color="auto"/>
              <w:left w:val="single" w:sz="4" w:space="0" w:color="auto"/>
              <w:bottom w:val="single" w:sz="4" w:space="0" w:color="auto"/>
              <w:right w:val="nil"/>
            </w:tcBorders>
            <w:vAlign w:val="center"/>
            <w:hideMark/>
          </w:tcPr>
          <w:p w14:paraId="3565CF0B" w14:textId="77777777" w:rsidR="008859B3" w:rsidRPr="008859B3" w:rsidRDefault="008859B3" w:rsidP="008859B3">
            <w:pPr>
              <w:rPr>
                <w:b/>
                <w:sz w:val="20"/>
                <w:szCs w:val="20"/>
              </w:rPr>
            </w:pPr>
          </w:p>
        </w:tc>
        <w:tc>
          <w:tcPr>
            <w:tcW w:w="1805" w:type="dxa"/>
            <w:tcBorders>
              <w:top w:val="single" w:sz="4" w:space="0" w:color="auto"/>
              <w:left w:val="nil"/>
              <w:bottom w:val="nil"/>
              <w:right w:val="nil"/>
            </w:tcBorders>
            <w:hideMark/>
          </w:tcPr>
          <w:p w14:paraId="1DC4B5D6" w14:textId="77777777" w:rsidR="008859B3" w:rsidRPr="008859B3" w:rsidRDefault="008859B3" w:rsidP="008859B3">
            <w:pPr>
              <w:widowControl w:val="0"/>
              <w:adjustRightInd w:val="0"/>
              <w:spacing w:line="276" w:lineRule="auto"/>
              <w:jc w:val="center"/>
              <w:textAlignment w:val="baseline"/>
              <w:rPr>
                <w:b/>
                <w:sz w:val="20"/>
                <w:szCs w:val="20"/>
              </w:rPr>
            </w:pPr>
            <w:r w:rsidRPr="008859B3">
              <w:rPr>
                <w:b/>
                <w:sz w:val="20"/>
                <w:szCs w:val="20"/>
              </w:rPr>
              <w:t>2014</w:t>
            </w:r>
          </w:p>
        </w:tc>
        <w:tc>
          <w:tcPr>
            <w:tcW w:w="1653" w:type="dxa"/>
            <w:tcBorders>
              <w:top w:val="single" w:sz="4" w:space="0" w:color="auto"/>
              <w:left w:val="nil"/>
              <w:bottom w:val="nil"/>
              <w:right w:val="nil"/>
            </w:tcBorders>
            <w:hideMark/>
          </w:tcPr>
          <w:p w14:paraId="1E80883E" w14:textId="77777777" w:rsidR="008859B3" w:rsidRPr="008859B3" w:rsidRDefault="008859B3" w:rsidP="008859B3">
            <w:pPr>
              <w:widowControl w:val="0"/>
              <w:adjustRightInd w:val="0"/>
              <w:spacing w:line="276" w:lineRule="auto"/>
              <w:jc w:val="center"/>
              <w:textAlignment w:val="baseline"/>
              <w:rPr>
                <w:b/>
                <w:sz w:val="20"/>
                <w:szCs w:val="20"/>
              </w:rPr>
            </w:pPr>
            <w:r w:rsidRPr="008859B3">
              <w:rPr>
                <w:b/>
                <w:sz w:val="20"/>
                <w:szCs w:val="20"/>
              </w:rPr>
              <w:t>2015</w:t>
            </w:r>
          </w:p>
        </w:tc>
        <w:tc>
          <w:tcPr>
            <w:tcW w:w="1457" w:type="dxa"/>
            <w:tcBorders>
              <w:top w:val="nil"/>
              <w:left w:val="nil"/>
              <w:bottom w:val="nil"/>
              <w:right w:val="single" w:sz="4" w:space="0" w:color="auto"/>
            </w:tcBorders>
            <w:hideMark/>
          </w:tcPr>
          <w:p w14:paraId="43F78086" w14:textId="77777777" w:rsidR="008859B3" w:rsidRPr="008859B3" w:rsidRDefault="008859B3" w:rsidP="008859B3">
            <w:pPr>
              <w:widowControl w:val="0"/>
              <w:adjustRightInd w:val="0"/>
              <w:spacing w:line="276" w:lineRule="auto"/>
              <w:jc w:val="center"/>
              <w:textAlignment w:val="baseline"/>
              <w:rPr>
                <w:b/>
                <w:sz w:val="20"/>
                <w:szCs w:val="20"/>
              </w:rPr>
            </w:pPr>
            <w:r w:rsidRPr="008859B3">
              <w:rPr>
                <w:b/>
                <w:sz w:val="20"/>
                <w:szCs w:val="20"/>
              </w:rPr>
              <w:t>Relativa (%)</w:t>
            </w:r>
          </w:p>
        </w:tc>
      </w:tr>
      <w:tr w:rsidR="008859B3" w:rsidRPr="008859B3" w14:paraId="5F1A88B4" w14:textId="77777777" w:rsidTr="00D96653">
        <w:trPr>
          <w:jc w:val="center"/>
        </w:trPr>
        <w:tc>
          <w:tcPr>
            <w:tcW w:w="0" w:type="auto"/>
            <w:vMerge/>
            <w:tcBorders>
              <w:top w:val="single" w:sz="4" w:space="0" w:color="auto"/>
              <w:left w:val="single" w:sz="4" w:space="0" w:color="auto"/>
              <w:bottom w:val="single" w:sz="4" w:space="0" w:color="auto"/>
              <w:right w:val="nil"/>
            </w:tcBorders>
            <w:vAlign w:val="center"/>
            <w:hideMark/>
          </w:tcPr>
          <w:p w14:paraId="70C0102A" w14:textId="77777777" w:rsidR="008859B3" w:rsidRPr="008859B3" w:rsidRDefault="008859B3" w:rsidP="008859B3">
            <w:pPr>
              <w:rPr>
                <w:b/>
                <w:sz w:val="20"/>
                <w:szCs w:val="20"/>
              </w:rPr>
            </w:pPr>
          </w:p>
        </w:tc>
        <w:tc>
          <w:tcPr>
            <w:tcW w:w="1805" w:type="dxa"/>
            <w:tcBorders>
              <w:top w:val="nil"/>
              <w:left w:val="nil"/>
              <w:bottom w:val="single" w:sz="4" w:space="0" w:color="auto"/>
              <w:right w:val="nil"/>
            </w:tcBorders>
            <w:hideMark/>
          </w:tcPr>
          <w:p w14:paraId="13392162" w14:textId="77777777" w:rsidR="008859B3" w:rsidRPr="008859B3" w:rsidRDefault="008859B3" w:rsidP="008859B3">
            <w:pPr>
              <w:widowControl w:val="0"/>
              <w:adjustRightInd w:val="0"/>
              <w:spacing w:line="276" w:lineRule="auto"/>
              <w:jc w:val="center"/>
              <w:textAlignment w:val="baseline"/>
              <w:rPr>
                <w:b/>
                <w:sz w:val="20"/>
                <w:szCs w:val="20"/>
              </w:rPr>
            </w:pPr>
            <w:r w:rsidRPr="008859B3">
              <w:rPr>
                <w:b/>
                <w:sz w:val="20"/>
                <w:szCs w:val="20"/>
              </w:rPr>
              <w:t>(A)</w:t>
            </w:r>
          </w:p>
        </w:tc>
        <w:tc>
          <w:tcPr>
            <w:tcW w:w="1653" w:type="dxa"/>
            <w:tcBorders>
              <w:top w:val="nil"/>
              <w:left w:val="nil"/>
              <w:bottom w:val="single" w:sz="4" w:space="0" w:color="auto"/>
              <w:right w:val="nil"/>
            </w:tcBorders>
            <w:hideMark/>
          </w:tcPr>
          <w:p w14:paraId="11C2657A" w14:textId="77777777" w:rsidR="008859B3" w:rsidRPr="008859B3" w:rsidRDefault="008859B3" w:rsidP="008859B3">
            <w:pPr>
              <w:widowControl w:val="0"/>
              <w:adjustRightInd w:val="0"/>
              <w:spacing w:line="276" w:lineRule="auto"/>
              <w:jc w:val="center"/>
              <w:textAlignment w:val="baseline"/>
              <w:rPr>
                <w:b/>
                <w:sz w:val="20"/>
                <w:szCs w:val="20"/>
              </w:rPr>
            </w:pPr>
            <w:r w:rsidRPr="008859B3">
              <w:rPr>
                <w:b/>
                <w:sz w:val="20"/>
                <w:szCs w:val="20"/>
              </w:rPr>
              <w:t>(B)</w:t>
            </w:r>
          </w:p>
        </w:tc>
        <w:tc>
          <w:tcPr>
            <w:tcW w:w="1457" w:type="dxa"/>
            <w:tcBorders>
              <w:top w:val="nil"/>
              <w:left w:val="nil"/>
              <w:bottom w:val="single" w:sz="4" w:space="0" w:color="auto"/>
              <w:right w:val="single" w:sz="4" w:space="0" w:color="auto"/>
            </w:tcBorders>
            <w:hideMark/>
          </w:tcPr>
          <w:p w14:paraId="69BBA7A0" w14:textId="77777777" w:rsidR="008859B3" w:rsidRPr="008859B3" w:rsidRDefault="008859B3" w:rsidP="008859B3">
            <w:pPr>
              <w:widowControl w:val="0"/>
              <w:adjustRightInd w:val="0"/>
              <w:spacing w:line="276" w:lineRule="auto"/>
              <w:jc w:val="center"/>
              <w:textAlignment w:val="baseline"/>
              <w:rPr>
                <w:b/>
                <w:sz w:val="20"/>
                <w:szCs w:val="20"/>
              </w:rPr>
            </w:pPr>
            <w:r w:rsidRPr="008859B3">
              <w:rPr>
                <w:b/>
                <w:sz w:val="20"/>
                <w:szCs w:val="20"/>
              </w:rPr>
              <w:t>(B/A)</w:t>
            </w:r>
          </w:p>
        </w:tc>
      </w:tr>
      <w:tr w:rsidR="008859B3" w:rsidRPr="008859B3" w14:paraId="24F0DD83" w14:textId="77777777" w:rsidTr="00D96653">
        <w:trPr>
          <w:jc w:val="center"/>
        </w:trPr>
        <w:tc>
          <w:tcPr>
            <w:tcW w:w="2906" w:type="dxa"/>
            <w:tcBorders>
              <w:top w:val="single" w:sz="4" w:space="0" w:color="auto"/>
              <w:left w:val="single" w:sz="4" w:space="0" w:color="auto"/>
              <w:bottom w:val="nil"/>
              <w:right w:val="nil"/>
            </w:tcBorders>
            <w:hideMark/>
          </w:tcPr>
          <w:p w14:paraId="17FB4A98"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rPr>
              <w:t>Saldo</w:t>
            </w:r>
            <w:r w:rsidRPr="008859B3">
              <w:rPr>
                <w:sz w:val="20"/>
                <w:szCs w:val="20"/>
                <w:u w:val="single"/>
                <w:vertAlign w:val="superscript"/>
              </w:rPr>
              <w:t>1</w:t>
            </w:r>
            <w:r w:rsidRPr="008859B3">
              <w:rPr>
                <w:sz w:val="20"/>
                <w:szCs w:val="20"/>
                <w:vertAlign w:val="superscript"/>
              </w:rPr>
              <w:t>/</w:t>
            </w:r>
          </w:p>
        </w:tc>
        <w:tc>
          <w:tcPr>
            <w:tcW w:w="1805" w:type="dxa"/>
            <w:tcBorders>
              <w:top w:val="single" w:sz="4" w:space="0" w:color="auto"/>
              <w:left w:val="nil"/>
              <w:bottom w:val="nil"/>
              <w:right w:val="nil"/>
            </w:tcBorders>
          </w:tcPr>
          <w:p w14:paraId="1E695D99"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1 350 980.59</w:t>
            </w:r>
          </w:p>
        </w:tc>
        <w:tc>
          <w:tcPr>
            <w:tcW w:w="1653" w:type="dxa"/>
            <w:tcBorders>
              <w:top w:val="single" w:sz="4" w:space="0" w:color="auto"/>
              <w:left w:val="nil"/>
              <w:bottom w:val="nil"/>
              <w:right w:val="nil"/>
            </w:tcBorders>
          </w:tcPr>
          <w:p w14:paraId="4B3868C9"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1 565 434.89</w:t>
            </w:r>
          </w:p>
        </w:tc>
        <w:tc>
          <w:tcPr>
            <w:tcW w:w="1457" w:type="dxa"/>
            <w:tcBorders>
              <w:top w:val="single" w:sz="4" w:space="0" w:color="auto"/>
              <w:left w:val="nil"/>
              <w:bottom w:val="nil"/>
              <w:right w:val="single" w:sz="4" w:space="0" w:color="auto"/>
            </w:tcBorders>
          </w:tcPr>
          <w:p w14:paraId="4E18B552"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15.87</w:t>
            </w:r>
          </w:p>
        </w:tc>
      </w:tr>
      <w:tr w:rsidR="008859B3" w:rsidRPr="008859B3" w14:paraId="60C3E5D0" w14:textId="77777777" w:rsidTr="00D96653">
        <w:trPr>
          <w:jc w:val="center"/>
        </w:trPr>
        <w:tc>
          <w:tcPr>
            <w:tcW w:w="2906" w:type="dxa"/>
            <w:tcBorders>
              <w:top w:val="nil"/>
              <w:left w:val="single" w:sz="4" w:space="0" w:color="auto"/>
              <w:bottom w:val="nil"/>
              <w:right w:val="nil"/>
            </w:tcBorders>
            <w:hideMark/>
          </w:tcPr>
          <w:p w14:paraId="476EB272" w14:textId="77777777" w:rsidR="008859B3" w:rsidRPr="008859B3" w:rsidRDefault="008859B3" w:rsidP="008859B3">
            <w:pPr>
              <w:widowControl w:val="0"/>
              <w:adjustRightInd w:val="0"/>
              <w:spacing w:line="276" w:lineRule="auto"/>
              <w:ind w:left="113"/>
              <w:jc w:val="both"/>
              <w:textAlignment w:val="baseline"/>
              <w:rPr>
                <w:sz w:val="20"/>
                <w:szCs w:val="20"/>
              </w:rPr>
            </w:pPr>
            <w:r w:rsidRPr="008859B3">
              <w:rPr>
                <w:sz w:val="20"/>
                <w:szCs w:val="20"/>
              </w:rPr>
              <w:t>Ingresos</w:t>
            </w:r>
            <w:r w:rsidRPr="008859B3">
              <w:rPr>
                <w:sz w:val="20"/>
                <w:szCs w:val="20"/>
                <w:u w:val="single"/>
                <w:vertAlign w:val="superscript"/>
              </w:rPr>
              <w:t>1</w:t>
            </w:r>
            <w:r w:rsidRPr="008859B3">
              <w:rPr>
                <w:sz w:val="20"/>
                <w:szCs w:val="20"/>
                <w:vertAlign w:val="superscript"/>
              </w:rPr>
              <w:t>/</w:t>
            </w:r>
          </w:p>
        </w:tc>
        <w:tc>
          <w:tcPr>
            <w:tcW w:w="1805" w:type="dxa"/>
            <w:tcBorders>
              <w:top w:val="nil"/>
              <w:left w:val="nil"/>
              <w:bottom w:val="nil"/>
              <w:right w:val="nil"/>
            </w:tcBorders>
          </w:tcPr>
          <w:p w14:paraId="7CC0A0AB"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2 765 749.61</w:t>
            </w:r>
          </w:p>
        </w:tc>
        <w:tc>
          <w:tcPr>
            <w:tcW w:w="1653" w:type="dxa"/>
            <w:tcBorders>
              <w:top w:val="nil"/>
              <w:left w:val="nil"/>
              <w:bottom w:val="nil"/>
              <w:right w:val="nil"/>
            </w:tcBorders>
          </w:tcPr>
          <w:p w14:paraId="04E0B77C"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3 093 629.82</w:t>
            </w:r>
          </w:p>
        </w:tc>
        <w:tc>
          <w:tcPr>
            <w:tcW w:w="1457" w:type="dxa"/>
            <w:tcBorders>
              <w:top w:val="nil"/>
              <w:left w:val="nil"/>
              <w:bottom w:val="nil"/>
              <w:right w:val="single" w:sz="4" w:space="0" w:color="auto"/>
            </w:tcBorders>
          </w:tcPr>
          <w:p w14:paraId="3BEBD129"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11.86</w:t>
            </w:r>
          </w:p>
        </w:tc>
      </w:tr>
      <w:tr w:rsidR="008859B3" w:rsidRPr="008859B3" w14:paraId="72177C50" w14:textId="77777777" w:rsidTr="00D96653">
        <w:trPr>
          <w:jc w:val="center"/>
        </w:trPr>
        <w:tc>
          <w:tcPr>
            <w:tcW w:w="2906" w:type="dxa"/>
            <w:tcBorders>
              <w:top w:val="nil"/>
              <w:left w:val="single" w:sz="4" w:space="0" w:color="auto"/>
              <w:bottom w:val="nil"/>
              <w:right w:val="nil"/>
            </w:tcBorders>
          </w:tcPr>
          <w:p w14:paraId="5654472F"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rPr>
              <w:t xml:space="preserve">    Turistas internacionales</w:t>
            </w:r>
          </w:p>
        </w:tc>
        <w:tc>
          <w:tcPr>
            <w:tcW w:w="1805" w:type="dxa"/>
            <w:tcBorders>
              <w:top w:val="nil"/>
              <w:left w:val="nil"/>
              <w:bottom w:val="nil"/>
              <w:right w:val="nil"/>
            </w:tcBorders>
          </w:tcPr>
          <w:p w14:paraId="7A3BC21E"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2 431 401.22</w:t>
            </w:r>
          </w:p>
        </w:tc>
        <w:tc>
          <w:tcPr>
            <w:tcW w:w="1653" w:type="dxa"/>
            <w:tcBorders>
              <w:top w:val="nil"/>
              <w:left w:val="nil"/>
              <w:bottom w:val="nil"/>
              <w:right w:val="nil"/>
            </w:tcBorders>
          </w:tcPr>
          <w:p w14:paraId="6192F640"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2 762 655.85</w:t>
            </w:r>
          </w:p>
        </w:tc>
        <w:tc>
          <w:tcPr>
            <w:tcW w:w="1457" w:type="dxa"/>
            <w:tcBorders>
              <w:top w:val="nil"/>
              <w:left w:val="nil"/>
              <w:bottom w:val="nil"/>
              <w:right w:val="single" w:sz="4" w:space="0" w:color="auto"/>
            </w:tcBorders>
          </w:tcPr>
          <w:p w14:paraId="5DFDF11B"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13.62</w:t>
            </w:r>
          </w:p>
        </w:tc>
      </w:tr>
      <w:tr w:rsidR="008859B3" w:rsidRPr="008859B3" w14:paraId="46EB07D1" w14:textId="77777777" w:rsidTr="00D96653">
        <w:trPr>
          <w:jc w:val="center"/>
        </w:trPr>
        <w:tc>
          <w:tcPr>
            <w:tcW w:w="2906" w:type="dxa"/>
            <w:tcBorders>
              <w:top w:val="nil"/>
              <w:left w:val="single" w:sz="4" w:space="0" w:color="auto"/>
              <w:bottom w:val="nil"/>
              <w:right w:val="nil"/>
            </w:tcBorders>
            <w:hideMark/>
          </w:tcPr>
          <w:p w14:paraId="0A08EB4C"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Turistas de internación</w:t>
            </w:r>
          </w:p>
        </w:tc>
        <w:tc>
          <w:tcPr>
            <w:tcW w:w="1805" w:type="dxa"/>
            <w:tcBorders>
              <w:top w:val="nil"/>
              <w:left w:val="nil"/>
              <w:bottom w:val="nil"/>
              <w:right w:val="nil"/>
            </w:tcBorders>
          </w:tcPr>
          <w:p w14:paraId="13377B2F"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2 337 840.51</w:t>
            </w:r>
          </w:p>
        </w:tc>
        <w:tc>
          <w:tcPr>
            <w:tcW w:w="1653" w:type="dxa"/>
            <w:tcBorders>
              <w:top w:val="nil"/>
              <w:left w:val="nil"/>
              <w:bottom w:val="nil"/>
              <w:right w:val="nil"/>
            </w:tcBorders>
          </w:tcPr>
          <w:p w14:paraId="527D72DE"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2 638 489.29</w:t>
            </w:r>
          </w:p>
        </w:tc>
        <w:tc>
          <w:tcPr>
            <w:tcW w:w="1457" w:type="dxa"/>
            <w:tcBorders>
              <w:top w:val="nil"/>
              <w:left w:val="nil"/>
              <w:bottom w:val="nil"/>
              <w:right w:val="single" w:sz="4" w:space="0" w:color="auto"/>
            </w:tcBorders>
          </w:tcPr>
          <w:p w14:paraId="31ACA2B7"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12.86</w:t>
            </w:r>
          </w:p>
        </w:tc>
      </w:tr>
      <w:tr w:rsidR="008859B3" w:rsidRPr="008859B3" w14:paraId="7FE48261" w14:textId="77777777" w:rsidTr="00D96653">
        <w:trPr>
          <w:jc w:val="center"/>
        </w:trPr>
        <w:tc>
          <w:tcPr>
            <w:tcW w:w="2906" w:type="dxa"/>
            <w:tcBorders>
              <w:top w:val="nil"/>
              <w:left w:val="single" w:sz="4" w:space="0" w:color="auto"/>
              <w:bottom w:val="nil"/>
              <w:right w:val="nil"/>
            </w:tcBorders>
            <w:hideMark/>
          </w:tcPr>
          <w:p w14:paraId="4197C5C0"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Turistas fronterizos</w:t>
            </w:r>
          </w:p>
        </w:tc>
        <w:tc>
          <w:tcPr>
            <w:tcW w:w="1805" w:type="dxa"/>
            <w:tcBorders>
              <w:top w:val="nil"/>
              <w:left w:val="nil"/>
              <w:bottom w:val="nil"/>
              <w:right w:val="nil"/>
            </w:tcBorders>
          </w:tcPr>
          <w:p w14:paraId="768A3502"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93 560.72</w:t>
            </w:r>
          </w:p>
        </w:tc>
        <w:tc>
          <w:tcPr>
            <w:tcW w:w="1653" w:type="dxa"/>
            <w:tcBorders>
              <w:top w:val="nil"/>
              <w:left w:val="nil"/>
              <w:bottom w:val="nil"/>
              <w:right w:val="nil"/>
            </w:tcBorders>
          </w:tcPr>
          <w:p w14:paraId="2F207AE6"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124 166.56</w:t>
            </w:r>
          </w:p>
        </w:tc>
        <w:tc>
          <w:tcPr>
            <w:tcW w:w="1457" w:type="dxa"/>
            <w:tcBorders>
              <w:top w:val="nil"/>
              <w:left w:val="nil"/>
              <w:bottom w:val="nil"/>
              <w:right w:val="single" w:sz="4" w:space="0" w:color="auto"/>
            </w:tcBorders>
          </w:tcPr>
          <w:p w14:paraId="0C17960F"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32.71</w:t>
            </w:r>
          </w:p>
        </w:tc>
      </w:tr>
      <w:tr w:rsidR="008859B3" w:rsidRPr="008859B3" w14:paraId="4B822BDC" w14:textId="77777777" w:rsidTr="00D96653">
        <w:trPr>
          <w:jc w:val="center"/>
        </w:trPr>
        <w:tc>
          <w:tcPr>
            <w:tcW w:w="2906" w:type="dxa"/>
            <w:tcBorders>
              <w:top w:val="nil"/>
              <w:left w:val="single" w:sz="4" w:space="0" w:color="auto"/>
              <w:bottom w:val="nil"/>
              <w:right w:val="nil"/>
            </w:tcBorders>
          </w:tcPr>
          <w:p w14:paraId="7C6AC7A2"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rPr>
              <w:t xml:space="preserve">    Excursionistas internacionales</w:t>
            </w:r>
          </w:p>
        </w:tc>
        <w:tc>
          <w:tcPr>
            <w:tcW w:w="1805" w:type="dxa"/>
            <w:tcBorders>
              <w:top w:val="nil"/>
              <w:left w:val="nil"/>
              <w:bottom w:val="nil"/>
              <w:right w:val="nil"/>
            </w:tcBorders>
          </w:tcPr>
          <w:p w14:paraId="2779908F"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334 348.39</w:t>
            </w:r>
          </w:p>
        </w:tc>
        <w:tc>
          <w:tcPr>
            <w:tcW w:w="1653" w:type="dxa"/>
            <w:tcBorders>
              <w:top w:val="nil"/>
              <w:left w:val="nil"/>
              <w:bottom w:val="nil"/>
              <w:right w:val="nil"/>
            </w:tcBorders>
          </w:tcPr>
          <w:p w14:paraId="7DAB776A"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330 973.97</w:t>
            </w:r>
          </w:p>
        </w:tc>
        <w:tc>
          <w:tcPr>
            <w:tcW w:w="1457" w:type="dxa"/>
            <w:tcBorders>
              <w:top w:val="nil"/>
              <w:left w:val="nil"/>
              <w:bottom w:val="nil"/>
              <w:right w:val="single" w:sz="4" w:space="0" w:color="auto"/>
            </w:tcBorders>
          </w:tcPr>
          <w:p w14:paraId="361129ED"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-1.01</w:t>
            </w:r>
          </w:p>
        </w:tc>
      </w:tr>
      <w:tr w:rsidR="008859B3" w:rsidRPr="008859B3" w14:paraId="4233AE02" w14:textId="77777777" w:rsidTr="00D96653">
        <w:trPr>
          <w:jc w:val="center"/>
        </w:trPr>
        <w:tc>
          <w:tcPr>
            <w:tcW w:w="2906" w:type="dxa"/>
            <w:tcBorders>
              <w:top w:val="nil"/>
              <w:left w:val="single" w:sz="4" w:space="0" w:color="auto"/>
              <w:bottom w:val="nil"/>
              <w:right w:val="nil"/>
            </w:tcBorders>
            <w:hideMark/>
          </w:tcPr>
          <w:p w14:paraId="5BD96AB1"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Excursionistas fronterizos</w:t>
            </w:r>
          </w:p>
        </w:tc>
        <w:tc>
          <w:tcPr>
            <w:tcW w:w="1805" w:type="dxa"/>
            <w:tcBorders>
              <w:top w:val="nil"/>
              <w:left w:val="nil"/>
              <w:bottom w:val="nil"/>
              <w:right w:val="nil"/>
            </w:tcBorders>
          </w:tcPr>
          <w:p w14:paraId="3EDEE4FD"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252 030.69</w:t>
            </w:r>
          </w:p>
        </w:tc>
        <w:tc>
          <w:tcPr>
            <w:tcW w:w="1653" w:type="dxa"/>
            <w:tcBorders>
              <w:top w:val="nil"/>
              <w:left w:val="nil"/>
              <w:bottom w:val="nil"/>
              <w:right w:val="nil"/>
            </w:tcBorders>
          </w:tcPr>
          <w:p w14:paraId="08038BD7"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241 368.91</w:t>
            </w:r>
          </w:p>
        </w:tc>
        <w:tc>
          <w:tcPr>
            <w:tcW w:w="1457" w:type="dxa"/>
            <w:tcBorders>
              <w:top w:val="nil"/>
              <w:left w:val="nil"/>
              <w:bottom w:val="nil"/>
              <w:right w:val="single" w:sz="4" w:space="0" w:color="auto"/>
            </w:tcBorders>
          </w:tcPr>
          <w:p w14:paraId="0B1866FD"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-4.23</w:t>
            </w:r>
          </w:p>
        </w:tc>
      </w:tr>
      <w:tr w:rsidR="008859B3" w:rsidRPr="008859B3" w14:paraId="1F537962" w14:textId="77777777" w:rsidTr="00D96653">
        <w:trPr>
          <w:jc w:val="center"/>
        </w:trPr>
        <w:tc>
          <w:tcPr>
            <w:tcW w:w="2906" w:type="dxa"/>
            <w:tcBorders>
              <w:top w:val="nil"/>
              <w:left w:val="single" w:sz="4" w:space="0" w:color="auto"/>
              <w:bottom w:val="nil"/>
              <w:right w:val="nil"/>
            </w:tcBorders>
            <w:hideMark/>
          </w:tcPr>
          <w:p w14:paraId="53A7621C"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Excursionistas en cruceros</w:t>
            </w:r>
          </w:p>
        </w:tc>
        <w:tc>
          <w:tcPr>
            <w:tcW w:w="1805" w:type="dxa"/>
            <w:tcBorders>
              <w:top w:val="nil"/>
              <w:left w:val="nil"/>
              <w:bottom w:val="nil"/>
              <w:right w:val="nil"/>
            </w:tcBorders>
          </w:tcPr>
          <w:p w14:paraId="576BAEC7"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82 317.70</w:t>
            </w:r>
          </w:p>
        </w:tc>
        <w:tc>
          <w:tcPr>
            <w:tcW w:w="1653" w:type="dxa"/>
            <w:tcBorders>
              <w:top w:val="nil"/>
              <w:left w:val="nil"/>
              <w:bottom w:val="nil"/>
              <w:right w:val="nil"/>
            </w:tcBorders>
          </w:tcPr>
          <w:p w14:paraId="591CE3A1"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89 605.06</w:t>
            </w:r>
          </w:p>
        </w:tc>
        <w:tc>
          <w:tcPr>
            <w:tcW w:w="1457" w:type="dxa"/>
            <w:tcBorders>
              <w:top w:val="nil"/>
              <w:left w:val="nil"/>
              <w:bottom w:val="nil"/>
              <w:right w:val="single" w:sz="4" w:space="0" w:color="auto"/>
            </w:tcBorders>
          </w:tcPr>
          <w:p w14:paraId="44558170"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8.85</w:t>
            </w:r>
          </w:p>
        </w:tc>
      </w:tr>
      <w:tr w:rsidR="008859B3" w:rsidRPr="008859B3" w14:paraId="7350BAA7" w14:textId="77777777" w:rsidTr="00D96653">
        <w:trPr>
          <w:jc w:val="center"/>
        </w:trPr>
        <w:tc>
          <w:tcPr>
            <w:tcW w:w="2906" w:type="dxa"/>
            <w:tcBorders>
              <w:top w:val="nil"/>
              <w:left w:val="single" w:sz="4" w:space="0" w:color="auto"/>
              <w:bottom w:val="nil"/>
              <w:right w:val="nil"/>
            </w:tcBorders>
            <w:hideMark/>
          </w:tcPr>
          <w:p w14:paraId="60647A51" w14:textId="77777777" w:rsidR="008859B3" w:rsidRPr="008859B3" w:rsidRDefault="008859B3" w:rsidP="008859B3">
            <w:pPr>
              <w:widowControl w:val="0"/>
              <w:adjustRightInd w:val="0"/>
              <w:spacing w:line="276" w:lineRule="auto"/>
              <w:ind w:left="113"/>
              <w:jc w:val="both"/>
              <w:textAlignment w:val="baseline"/>
              <w:rPr>
                <w:sz w:val="20"/>
                <w:szCs w:val="20"/>
              </w:rPr>
            </w:pPr>
            <w:r w:rsidRPr="008859B3">
              <w:rPr>
                <w:sz w:val="20"/>
                <w:szCs w:val="20"/>
              </w:rPr>
              <w:t>Número de viajeros</w:t>
            </w:r>
            <w:r w:rsidRPr="008859B3">
              <w:rPr>
                <w:sz w:val="20"/>
                <w:szCs w:val="20"/>
                <w:u w:val="single"/>
                <w:vertAlign w:val="superscript"/>
              </w:rPr>
              <w:t>2</w:t>
            </w:r>
            <w:r w:rsidRPr="008859B3">
              <w:rPr>
                <w:sz w:val="20"/>
                <w:szCs w:val="20"/>
                <w:vertAlign w:val="superscript"/>
              </w:rPr>
              <w:t>/</w:t>
            </w:r>
          </w:p>
        </w:tc>
        <w:tc>
          <w:tcPr>
            <w:tcW w:w="1805" w:type="dxa"/>
            <w:tcBorders>
              <w:top w:val="nil"/>
              <w:left w:val="nil"/>
              <w:bottom w:val="nil"/>
              <w:right w:val="nil"/>
            </w:tcBorders>
          </w:tcPr>
          <w:p w14:paraId="09B56DD7"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12 751.12</w:t>
            </w:r>
          </w:p>
        </w:tc>
        <w:tc>
          <w:tcPr>
            <w:tcW w:w="1653" w:type="dxa"/>
            <w:tcBorders>
              <w:top w:val="nil"/>
              <w:left w:val="nil"/>
              <w:bottom w:val="nil"/>
              <w:right w:val="nil"/>
            </w:tcBorders>
          </w:tcPr>
          <w:p w14:paraId="1043809D"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14 200.10</w:t>
            </w:r>
          </w:p>
        </w:tc>
        <w:tc>
          <w:tcPr>
            <w:tcW w:w="1457" w:type="dxa"/>
            <w:tcBorders>
              <w:top w:val="nil"/>
              <w:left w:val="nil"/>
              <w:bottom w:val="nil"/>
              <w:right w:val="single" w:sz="4" w:space="0" w:color="auto"/>
            </w:tcBorders>
          </w:tcPr>
          <w:p w14:paraId="08A9C0A9"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11.36</w:t>
            </w:r>
          </w:p>
        </w:tc>
      </w:tr>
      <w:tr w:rsidR="008859B3" w:rsidRPr="008859B3" w14:paraId="1437F5F3" w14:textId="77777777" w:rsidTr="00D96653">
        <w:trPr>
          <w:jc w:val="center"/>
        </w:trPr>
        <w:tc>
          <w:tcPr>
            <w:tcW w:w="2906" w:type="dxa"/>
            <w:tcBorders>
              <w:top w:val="nil"/>
              <w:left w:val="single" w:sz="4" w:space="0" w:color="auto"/>
              <w:bottom w:val="nil"/>
              <w:right w:val="nil"/>
            </w:tcBorders>
          </w:tcPr>
          <w:p w14:paraId="7B159FC3"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rPr>
              <w:t xml:space="preserve">    Turistas internacionales</w:t>
            </w:r>
          </w:p>
        </w:tc>
        <w:tc>
          <w:tcPr>
            <w:tcW w:w="1805" w:type="dxa"/>
            <w:tcBorders>
              <w:top w:val="nil"/>
              <w:left w:val="nil"/>
              <w:bottom w:val="nil"/>
              <w:right w:val="nil"/>
            </w:tcBorders>
          </w:tcPr>
          <w:p w14:paraId="079EE8DD"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4 512.24</w:t>
            </w:r>
          </w:p>
        </w:tc>
        <w:tc>
          <w:tcPr>
            <w:tcW w:w="1653" w:type="dxa"/>
            <w:tcBorders>
              <w:top w:val="nil"/>
              <w:left w:val="nil"/>
              <w:bottom w:val="nil"/>
              <w:right w:val="nil"/>
            </w:tcBorders>
          </w:tcPr>
          <w:p w14:paraId="765824D9"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5 096.60</w:t>
            </w:r>
          </w:p>
        </w:tc>
        <w:tc>
          <w:tcPr>
            <w:tcW w:w="1457" w:type="dxa"/>
            <w:tcBorders>
              <w:top w:val="nil"/>
              <w:left w:val="nil"/>
              <w:bottom w:val="nil"/>
              <w:right w:val="single" w:sz="4" w:space="0" w:color="auto"/>
            </w:tcBorders>
          </w:tcPr>
          <w:p w14:paraId="2E8A8C5F"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12.95</w:t>
            </w:r>
          </w:p>
        </w:tc>
      </w:tr>
      <w:tr w:rsidR="008859B3" w:rsidRPr="008859B3" w14:paraId="5179F5D5" w14:textId="77777777" w:rsidTr="00D96653">
        <w:trPr>
          <w:jc w:val="center"/>
        </w:trPr>
        <w:tc>
          <w:tcPr>
            <w:tcW w:w="2906" w:type="dxa"/>
            <w:tcBorders>
              <w:top w:val="nil"/>
              <w:left w:val="single" w:sz="4" w:space="0" w:color="auto"/>
              <w:bottom w:val="nil"/>
              <w:right w:val="nil"/>
            </w:tcBorders>
            <w:hideMark/>
          </w:tcPr>
          <w:p w14:paraId="41E33229"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Turistas de internación</w:t>
            </w:r>
          </w:p>
        </w:tc>
        <w:tc>
          <w:tcPr>
            <w:tcW w:w="1805" w:type="dxa"/>
            <w:tcBorders>
              <w:top w:val="nil"/>
              <w:left w:val="nil"/>
              <w:bottom w:val="nil"/>
              <w:right w:val="nil"/>
            </w:tcBorders>
          </w:tcPr>
          <w:p w14:paraId="4408224A"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2 721.72</w:t>
            </w:r>
          </w:p>
        </w:tc>
        <w:tc>
          <w:tcPr>
            <w:tcW w:w="1653" w:type="dxa"/>
            <w:tcBorders>
              <w:top w:val="nil"/>
              <w:left w:val="nil"/>
              <w:bottom w:val="nil"/>
              <w:right w:val="nil"/>
            </w:tcBorders>
          </w:tcPr>
          <w:p w14:paraId="07185118"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2 925.64</w:t>
            </w:r>
          </w:p>
        </w:tc>
        <w:tc>
          <w:tcPr>
            <w:tcW w:w="1457" w:type="dxa"/>
            <w:tcBorders>
              <w:top w:val="nil"/>
              <w:left w:val="nil"/>
              <w:bottom w:val="nil"/>
              <w:right w:val="single" w:sz="4" w:space="0" w:color="auto"/>
            </w:tcBorders>
          </w:tcPr>
          <w:p w14:paraId="4AEBC1E3"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7.49</w:t>
            </w:r>
          </w:p>
        </w:tc>
      </w:tr>
      <w:tr w:rsidR="008859B3" w:rsidRPr="008859B3" w14:paraId="57B4AFEA" w14:textId="77777777" w:rsidTr="00D96653">
        <w:trPr>
          <w:jc w:val="center"/>
        </w:trPr>
        <w:tc>
          <w:tcPr>
            <w:tcW w:w="2906" w:type="dxa"/>
            <w:tcBorders>
              <w:top w:val="nil"/>
              <w:left w:val="single" w:sz="4" w:space="0" w:color="auto"/>
              <w:bottom w:val="nil"/>
              <w:right w:val="nil"/>
            </w:tcBorders>
            <w:hideMark/>
          </w:tcPr>
          <w:p w14:paraId="4ED8DA73"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Turistas fronterizos</w:t>
            </w:r>
          </w:p>
        </w:tc>
        <w:tc>
          <w:tcPr>
            <w:tcW w:w="1805" w:type="dxa"/>
            <w:tcBorders>
              <w:top w:val="nil"/>
              <w:left w:val="nil"/>
              <w:bottom w:val="nil"/>
              <w:right w:val="nil"/>
            </w:tcBorders>
          </w:tcPr>
          <w:p w14:paraId="70414118"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1 790.52</w:t>
            </w:r>
          </w:p>
        </w:tc>
        <w:tc>
          <w:tcPr>
            <w:tcW w:w="1653" w:type="dxa"/>
            <w:tcBorders>
              <w:top w:val="nil"/>
              <w:left w:val="nil"/>
              <w:bottom w:val="nil"/>
              <w:right w:val="nil"/>
            </w:tcBorders>
          </w:tcPr>
          <w:p w14:paraId="126B3553"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2 170.97</w:t>
            </w:r>
          </w:p>
        </w:tc>
        <w:tc>
          <w:tcPr>
            <w:tcW w:w="1457" w:type="dxa"/>
            <w:tcBorders>
              <w:top w:val="nil"/>
              <w:left w:val="nil"/>
              <w:bottom w:val="nil"/>
              <w:right w:val="single" w:sz="4" w:space="0" w:color="auto"/>
            </w:tcBorders>
          </w:tcPr>
          <w:p w14:paraId="35E97184"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21.25</w:t>
            </w:r>
          </w:p>
        </w:tc>
      </w:tr>
      <w:tr w:rsidR="008859B3" w:rsidRPr="008859B3" w14:paraId="56F9A67B" w14:textId="77777777" w:rsidTr="00D96653">
        <w:trPr>
          <w:jc w:val="center"/>
        </w:trPr>
        <w:tc>
          <w:tcPr>
            <w:tcW w:w="2906" w:type="dxa"/>
            <w:tcBorders>
              <w:top w:val="nil"/>
              <w:left w:val="single" w:sz="4" w:space="0" w:color="auto"/>
              <w:bottom w:val="nil"/>
              <w:right w:val="nil"/>
            </w:tcBorders>
          </w:tcPr>
          <w:p w14:paraId="49CD917A"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rPr>
              <w:t xml:space="preserve">    Excursionistas internacionales</w:t>
            </w:r>
          </w:p>
        </w:tc>
        <w:tc>
          <w:tcPr>
            <w:tcW w:w="1805" w:type="dxa"/>
            <w:tcBorders>
              <w:top w:val="nil"/>
              <w:left w:val="nil"/>
              <w:bottom w:val="nil"/>
              <w:right w:val="nil"/>
            </w:tcBorders>
          </w:tcPr>
          <w:p w14:paraId="6E52DD9E"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8 238.88</w:t>
            </w:r>
          </w:p>
        </w:tc>
        <w:tc>
          <w:tcPr>
            <w:tcW w:w="1653" w:type="dxa"/>
            <w:tcBorders>
              <w:top w:val="nil"/>
              <w:left w:val="nil"/>
              <w:bottom w:val="nil"/>
              <w:right w:val="nil"/>
            </w:tcBorders>
          </w:tcPr>
          <w:p w14:paraId="7C0CF09A"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9 103.50</w:t>
            </w:r>
          </w:p>
        </w:tc>
        <w:tc>
          <w:tcPr>
            <w:tcW w:w="1457" w:type="dxa"/>
            <w:tcBorders>
              <w:top w:val="nil"/>
              <w:left w:val="nil"/>
              <w:bottom w:val="nil"/>
              <w:right w:val="single" w:sz="4" w:space="0" w:color="auto"/>
            </w:tcBorders>
          </w:tcPr>
          <w:p w14:paraId="17774E0A"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10.49</w:t>
            </w:r>
          </w:p>
        </w:tc>
      </w:tr>
      <w:tr w:rsidR="008859B3" w:rsidRPr="008859B3" w14:paraId="4CAEE740" w14:textId="77777777" w:rsidTr="00D96653">
        <w:trPr>
          <w:jc w:val="center"/>
        </w:trPr>
        <w:tc>
          <w:tcPr>
            <w:tcW w:w="2906" w:type="dxa"/>
            <w:tcBorders>
              <w:top w:val="nil"/>
              <w:left w:val="single" w:sz="4" w:space="0" w:color="auto"/>
              <w:bottom w:val="nil"/>
              <w:right w:val="nil"/>
            </w:tcBorders>
            <w:hideMark/>
          </w:tcPr>
          <w:p w14:paraId="42749626"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Excursionistas fronterizos</w:t>
            </w:r>
          </w:p>
        </w:tc>
        <w:tc>
          <w:tcPr>
            <w:tcW w:w="1805" w:type="dxa"/>
            <w:tcBorders>
              <w:top w:val="nil"/>
              <w:left w:val="nil"/>
              <w:bottom w:val="nil"/>
              <w:right w:val="nil"/>
            </w:tcBorders>
          </w:tcPr>
          <w:p w14:paraId="0DB10500"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7 131.36</w:t>
            </w:r>
          </w:p>
        </w:tc>
        <w:tc>
          <w:tcPr>
            <w:tcW w:w="1653" w:type="dxa"/>
            <w:tcBorders>
              <w:top w:val="nil"/>
              <w:left w:val="nil"/>
              <w:bottom w:val="nil"/>
              <w:right w:val="nil"/>
            </w:tcBorders>
          </w:tcPr>
          <w:p w14:paraId="5B1998A1"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7 800.50</w:t>
            </w:r>
          </w:p>
        </w:tc>
        <w:tc>
          <w:tcPr>
            <w:tcW w:w="1457" w:type="dxa"/>
            <w:tcBorders>
              <w:top w:val="nil"/>
              <w:left w:val="nil"/>
              <w:bottom w:val="nil"/>
              <w:right w:val="single" w:sz="4" w:space="0" w:color="auto"/>
            </w:tcBorders>
          </w:tcPr>
          <w:p w14:paraId="00014B35"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9.38</w:t>
            </w:r>
          </w:p>
        </w:tc>
      </w:tr>
      <w:tr w:rsidR="008859B3" w:rsidRPr="008859B3" w14:paraId="29D1A501" w14:textId="77777777" w:rsidTr="00D96653">
        <w:trPr>
          <w:jc w:val="center"/>
        </w:trPr>
        <w:tc>
          <w:tcPr>
            <w:tcW w:w="2906" w:type="dxa"/>
            <w:tcBorders>
              <w:top w:val="nil"/>
              <w:left w:val="single" w:sz="4" w:space="0" w:color="auto"/>
              <w:bottom w:val="nil"/>
              <w:right w:val="nil"/>
            </w:tcBorders>
            <w:hideMark/>
          </w:tcPr>
          <w:p w14:paraId="6CEA6887"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Excursionistas en cruceros</w:t>
            </w:r>
          </w:p>
        </w:tc>
        <w:tc>
          <w:tcPr>
            <w:tcW w:w="1805" w:type="dxa"/>
            <w:tcBorders>
              <w:top w:val="nil"/>
              <w:left w:val="nil"/>
              <w:bottom w:val="nil"/>
              <w:right w:val="nil"/>
            </w:tcBorders>
          </w:tcPr>
          <w:p w14:paraId="77B8E86B"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1 107.52</w:t>
            </w:r>
          </w:p>
        </w:tc>
        <w:tc>
          <w:tcPr>
            <w:tcW w:w="1653" w:type="dxa"/>
            <w:tcBorders>
              <w:top w:val="nil"/>
              <w:left w:val="nil"/>
              <w:bottom w:val="nil"/>
              <w:right w:val="nil"/>
            </w:tcBorders>
          </w:tcPr>
          <w:p w14:paraId="0BB947F0"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1 303.00</w:t>
            </w:r>
          </w:p>
        </w:tc>
        <w:tc>
          <w:tcPr>
            <w:tcW w:w="1457" w:type="dxa"/>
            <w:tcBorders>
              <w:top w:val="nil"/>
              <w:left w:val="nil"/>
              <w:bottom w:val="nil"/>
              <w:right w:val="single" w:sz="4" w:space="0" w:color="auto"/>
            </w:tcBorders>
          </w:tcPr>
          <w:p w14:paraId="5E09676D"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17.65</w:t>
            </w:r>
          </w:p>
        </w:tc>
      </w:tr>
      <w:tr w:rsidR="008859B3" w:rsidRPr="008859B3" w14:paraId="4A450880" w14:textId="77777777" w:rsidTr="00D96653">
        <w:trPr>
          <w:jc w:val="center"/>
        </w:trPr>
        <w:tc>
          <w:tcPr>
            <w:tcW w:w="2906" w:type="dxa"/>
            <w:tcBorders>
              <w:top w:val="nil"/>
              <w:left w:val="single" w:sz="4" w:space="0" w:color="auto"/>
              <w:bottom w:val="nil"/>
              <w:right w:val="nil"/>
            </w:tcBorders>
            <w:hideMark/>
          </w:tcPr>
          <w:p w14:paraId="6AB3DA1F" w14:textId="77777777" w:rsidR="008859B3" w:rsidRPr="008859B3" w:rsidRDefault="008859B3" w:rsidP="008859B3">
            <w:pPr>
              <w:widowControl w:val="0"/>
              <w:adjustRightInd w:val="0"/>
              <w:spacing w:line="276" w:lineRule="auto"/>
              <w:ind w:left="113"/>
              <w:jc w:val="both"/>
              <w:textAlignment w:val="baseline"/>
              <w:rPr>
                <w:sz w:val="20"/>
                <w:szCs w:val="20"/>
              </w:rPr>
            </w:pPr>
            <w:r w:rsidRPr="008859B3">
              <w:rPr>
                <w:sz w:val="20"/>
                <w:szCs w:val="20"/>
              </w:rPr>
              <w:t>Gasto medio</w:t>
            </w:r>
            <w:r w:rsidRPr="008859B3">
              <w:rPr>
                <w:sz w:val="20"/>
                <w:szCs w:val="20"/>
                <w:u w:val="single"/>
                <w:vertAlign w:val="superscript"/>
              </w:rPr>
              <w:t>3</w:t>
            </w:r>
            <w:r w:rsidRPr="008859B3">
              <w:rPr>
                <w:sz w:val="20"/>
                <w:szCs w:val="20"/>
                <w:vertAlign w:val="superscript"/>
              </w:rPr>
              <w:t>/</w:t>
            </w:r>
          </w:p>
        </w:tc>
        <w:tc>
          <w:tcPr>
            <w:tcW w:w="1805" w:type="dxa"/>
            <w:tcBorders>
              <w:top w:val="nil"/>
              <w:left w:val="nil"/>
              <w:bottom w:val="nil"/>
              <w:right w:val="nil"/>
            </w:tcBorders>
          </w:tcPr>
          <w:p w14:paraId="10C3D166"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216.90</w:t>
            </w:r>
          </w:p>
        </w:tc>
        <w:tc>
          <w:tcPr>
            <w:tcW w:w="1653" w:type="dxa"/>
            <w:tcBorders>
              <w:top w:val="nil"/>
              <w:left w:val="nil"/>
              <w:bottom w:val="nil"/>
              <w:right w:val="nil"/>
            </w:tcBorders>
          </w:tcPr>
          <w:p w14:paraId="4344EC61"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217.86</w:t>
            </w:r>
          </w:p>
        </w:tc>
        <w:tc>
          <w:tcPr>
            <w:tcW w:w="1457" w:type="dxa"/>
            <w:tcBorders>
              <w:top w:val="nil"/>
              <w:left w:val="nil"/>
              <w:bottom w:val="nil"/>
              <w:right w:val="single" w:sz="4" w:space="0" w:color="auto"/>
            </w:tcBorders>
          </w:tcPr>
          <w:p w14:paraId="462D132A"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0.44</w:t>
            </w:r>
          </w:p>
        </w:tc>
      </w:tr>
      <w:tr w:rsidR="008859B3" w:rsidRPr="008859B3" w14:paraId="52FBF8A4" w14:textId="77777777" w:rsidTr="00D96653">
        <w:trPr>
          <w:jc w:val="center"/>
        </w:trPr>
        <w:tc>
          <w:tcPr>
            <w:tcW w:w="2906" w:type="dxa"/>
            <w:tcBorders>
              <w:top w:val="nil"/>
              <w:left w:val="single" w:sz="4" w:space="0" w:color="auto"/>
              <w:bottom w:val="nil"/>
              <w:right w:val="nil"/>
            </w:tcBorders>
          </w:tcPr>
          <w:p w14:paraId="5563F2F6"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rPr>
              <w:t xml:space="preserve">    Turistas internacionales</w:t>
            </w:r>
          </w:p>
        </w:tc>
        <w:tc>
          <w:tcPr>
            <w:tcW w:w="1805" w:type="dxa"/>
            <w:tcBorders>
              <w:top w:val="nil"/>
              <w:left w:val="nil"/>
              <w:bottom w:val="nil"/>
              <w:right w:val="nil"/>
            </w:tcBorders>
          </w:tcPr>
          <w:p w14:paraId="766CA6BF"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538.85</w:t>
            </w:r>
          </w:p>
        </w:tc>
        <w:tc>
          <w:tcPr>
            <w:tcW w:w="1653" w:type="dxa"/>
            <w:tcBorders>
              <w:top w:val="nil"/>
              <w:left w:val="nil"/>
              <w:bottom w:val="nil"/>
              <w:right w:val="nil"/>
            </w:tcBorders>
          </w:tcPr>
          <w:p w14:paraId="4145F65B"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542.06</w:t>
            </w:r>
          </w:p>
        </w:tc>
        <w:tc>
          <w:tcPr>
            <w:tcW w:w="1457" w:type="dxa"/>
            <w:tcBorders>
              <w:top w:val="nil"/>
              <w:left w:val="nil"/>
              <w:bottom w:val="nil"/>
              <w:right w:val="single" w:sz="4" w:space="0" w:color="auto"/>
            </w:tcBorders>
          </w:tcPr>
          <w:p w14:paraId="3408DC66"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0.60</w:t>
            </w:r>
          </w:p>
        </w:tc>
      </w:tr>
      <w:tr w:rsidR="008859B3" w:rsidRPr="008859B3" w14:paraId="11A84BCC" w14:textId="77777777" w:rsidTr="00D96653">
        <w:trPr>
          <w:jc w:val="center"/>
        </w:trPr>
        <w:tc>
          <w:tcPr>
            <w:tcW w:w="2906" w:type="dxa"/>
            <w:tcBorders>
              <w:top w:val="nil"/>
              <w:left w:val="single" w:sz="4" w:space="0" w:color="auto"/>
              <w:bottom w:val="nil"/>
              <w:right w:val="nil"/>
            </w:tcBorders>
            <w:hideMark/>
          </w:tcPr>
          <w:p w14:paraId="277E7F46"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Turistas de internación</w:t>
            </w:r>
          </w:p>
        </w:tc>
        <w:tc>
          <w:tcPr>
            <w:tcW w:w="1805" w:type="dxa"/>
            <w:tcBorders>
              <w:top w:val="nil"/>
              <w:left w:val="nil"/>
              <w:bottom w:val="nil"/>
              <w:right w:val="nil"/>
            </w:tcBorders>
          </w:tcPr>
          <w:p w14:paraId="3AE57626"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858.96</w:t>
            </w:r>
          </w:p>
        </w:tc>
        <w:tc>
          <w:tcPr>
            <w:tcW w:w="1653" w:type="dxa"/>
            <w:tcBorders>
              <w:top w:val="nil"/>
              <w:left w:val="nil"/>
              <w:bottom w:val="nil"/>
              <w:right w:val="nil"/>
            </w:tcBorders>
          </w:tcPr>
          <w:p w14:paraId="0FF261DB"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901.85</w:t>
            </w:r>
          </w:p>
        </w:tc>
        <w:tc>
          <w:tcPr>
            <w:tcW w:w="1457" w:type="dxa"/>
            <w:tcBorders>
              <w:top w:val="nil"/>
              <w:left w:val="nil"/>
              <w:bottom w:val="nil"/>
              <w:right w:val="single" w:sz="4" w:space="0" w:color="auto"/>
            </w:tcBorders>
          </w:tcPr>
          <w:p w14:paraId="60A0BE10"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4.99</w:t>
            </w:r>
          </w:p>
        </w:tc>
      </w:tr>
      <w:tr w:rsidR="008859B3" w:rsidRPr="008859B3" w14:paraId="3A492F19" w14:textId="77777777" w:rsidTr="00D96653">
        <w:trPr>
          <w:jc w:val="center"/>
        </w:trPr>
        <w:tc>
          <w:tcPr>
            <w:tcW w:w="2906" w:type="dxa"/>
            <w:tcBorders>
              <w:top w:val="nil"/>
              <w:left w:val="single" w:sz="4" w:space="0" w:color="auto"/>
              <w:bottom w:val="nil"/>
              <w:right w:val="nil"/>
            </w:tcBorders>
            <w:hideMark/>
          </w:tcPr>
          <w:p w14:paraId="00709EBD"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Turistas fronterizos</w:t>
            </w:r>
          </w:p>
        </w:tc>
        <w:tc>
          <w:tcPr>
            <w:tcW w:w="1805" w:type="dxa"/>
            <w:tcBorders>
              <w:top w:val="nil"/>
              <w:left w:val="nil"/>
              <w:bottom w:val="nil"/>
              <w:right w:val="nil"/>
            </w:tcBorders>
          </w:tcPr>
          <w:p w14:paraId="7B867307"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52.25</w:t>
            </w:r>
          </w:p>
        </w:tc>
        <w:tc>
          <w:tcPr>
            <w:tcW w:w="1653" w:type="dxa"/>
            <w:tcBorders>
              <w:top w:val="nil"/>
              <w:left w:val="nil"/>
              <w:bottom w:val="nil"/>
              <w:right w:val="nil"/>
            </w:tcBorders>
          </w:tcPr>
          <w:p w14:paraId="6FF7C07D"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57.19</w:t>
            </w:r>
          </w:p>
        </w:tc>
        <w:tc>
          <w:tcPr>
            <w:tcW w:w="1457" w:type="dxa"/>
            <w:tcBorders>
              <w:top w:val="nil"/>
              <w:left w:val="nil"/>
              <w:bottom w:val="nil"/>
              <w:right w:val="single" w:sz="4" w:space="0" w:color="auto"/>
            </w:tcBorders>
          </w:tcPr>
          <w:p w14:paraId="0EA064D6"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9.46</w:t>
            </w:r>
          </w:p>
        </w:tc>
      </w:tr>
      <w:tr w:rsidR="008859B3" w:rsidRPr="008859B3" w14:paraId="7241BE87" w14:textId="77777777" w:rsidTr="00D96653">
        <w:trPr>
          <w:jc w:val="center"/>
        </w:trPr>
        <w:tc>
          <w:tcPr>
            <w:tcW w:w="2906" w:type="dxa"/>
            <w:tcBorders>
              <w:top w:val="nil"/>
              <w:left w:val="single" w:sz="4" w:space="0" w:color="auto"/>
              <w:bottom w:val="nil"/>
              <w:right w:val="nil"/>
            </w:tcBorders>
          </w:tcPr>
          <w:p w14:paraId="24A0A541"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rPr>
              <w:t xml:space="preserve">    Excursionistas internacionales</w:t>
            </w:r>
          </w:p>
        </w:tc>
        <w:tc>
          <w:tcPr>
            <w:tcW w:w="1805" w:type="dxa"/>
            <w:tcBorders>
              <w:top w:val="nil"/>
              <w:left w:val="nil"/>
              <w:bottom w:val="nil"/>
              <w:right w:val="nil"/>
            </w:tcBorders>
          </w:tcPr>
          <w:p w14:paraId="41F079EB"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40.58</w:t>
            </w:r>
          </w:p>
        </w:tc>
        <w:tc>
          <w:tcPr>
            <w:tcW w:w="1653" w:type="dxa"/>
            <w:tcBorders>
              <w:top w:val="nil"/>
              <w:left w:val="nil"/>
              <w:bottom w:val="nil"/>
              <w:right w:val="nil"/>
            </w:tcBorders>
          </w:tcPr>
          <w:p w14:paraId="4181F4E7"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36.36</w:t>
            </w:r>
          </w:p>
        </w:tc>
        <w:tc>
          <w:tcPr>
            <w:tcW w:w="1457" w:type="dxa"/>
            <w:tcBorders>
              <w:top w:val="nil"/>
              <w:left w:val="nil"/>
              <w:bottom w:val="nil"/>
              <w:right w:val="single" w:sz="4" w:space="0" w:color="auto"/>
            </w:tcBorders>
          </w:tcPr>
          <w:p w14:paraId="319D152A"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-10.41</w:t>
            </w:r>
          </w:p>
        </w:tc>
      </w:tr>
      <w:tr w:rsidR="008859B3" w:rsidRPr="008859B3" w14:paraId="62ACA0CD" w14:textId="77777777" w:rsidTr="00D96653">
        <w:trPr>
          <w:jc w:val="center"/>
        </w:trPr>
        <w:tc>
          <w:tcPr>
            <w:tcW w:w="2906" w:type="dxa"/>
            <w:tcBorders>
              <w:top w:val="nil"/>
              <w:left w:val="single" w:sz="4" w:space="0" w:color="auto"/>
              <w:bottom w:val="nil"/>
              <w:right w:val="nil"/>
            </w:tcBorders>
            <w:hideMark/>
          </w:tcPr>
          <w:p w14:paraId="5F372BD0"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Excursionistas fronterizos</w:t>
            </w:r>
          </w:p>
        </w:tc>
        <w:tc>
          <w:tcPr>
            <w:tcW w:w="1805" w:type="dxa"/>
            <w:tcBorders>
              <w:top w:val="nil"/>
              <w:left w:val="nil"/>
              <w:bottom w:val="nil"/>
              <w:right w:val="nil"/>
            </w:tcBorders>
          </w:tcPr>
          <w:p w14:paraId="6298C49E"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35.34</w:t>
            </w:r>
          </w:p>
        </w:tc>
        <w:tc>
          <w:tcPr>
            <w:tcW w:w="1653" w:type="dxa"/>
            <w:tcBorders>
              <w:top w:val="nil"/>
              <w:left w:val="nil"/>
              <w:bottom w:val="nil"/>
              <w:right w:val="nil"/>
            </w:tcBorders>
          </w:tcPr>
          <w:p w14:paraId="19BBDD7B"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30.94</w:t>
            </w:r>
          </w:p>
        </w:tc>
        <w:tc>
          <w:tcPr>
            <w:tcW w:w="1457" w:type="dxa"/>
            <w:tcBorders>
              <w:top w:val="nil"/>
              <w:left w:val="nil"/>
              <w:bottom w:val="nil"/>
              <w:right w:val="single" w:sz="4" w:space="0" w:color="auto"/>
            </w:tcBorders>
          </w:tcPr>
          <w:p w14:paraId="572C89BB"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-12.45</w:t>
            </w:r>
          </w:p>
        </w:tc>
      </w:tr>
      <w:tr w:rsidR="008859B3" w:rsidRPr="008859B3" w14:paraId="479A0E45" w14:textId="77777777" w:rsidTr="00D96653">
        <w:trPr>
          <w:jc w:val="center"/>
        </w:trPr>
        <w:tc>
          <w:tcPr>
            <w:tcW w:w="2906" w:type="dxa"/>
            <w:tcBorders>
              <w:top w:val="nil"/>
              <w:left w:val="single" w:sz="4" w:space="0" w:color="auto"/>
              <w:bottom w:val="nil"/>
              <w:right w:val="nil"/>
            </w:tcBorders>
            <w:hideMark/>
          </w:tcPr>
          <w:p w14:paraId="13A1B875"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Excursionistas en cruceros</w:t>
            </w:r>
          </w:p>
        </w:tc>
        <w:tc>
          <w:tcPr>
            <w:tcW w:w="1805" w:type="dxa"/>
            <w:tcBorders>
              <w:top w:val="nil"/>
              <w:left w:val="nil"/>
              <w:bottom w:val="nil"/>
              <w:right w:val="nil"/>
            </w:tcBorders>
          </w:tcPr>
          <w:p w14:paraId="3E2E2E21"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74.33</w:t>
            </w:r>
          </w:p>
        </w:tc>
        <w:tc>
          <w:tcPr>
            <w:tcW w:w="1653" w:type="dxa"/>
            <w:tcBorders>
              <w:top w:val="nil"/>
              <w:left w:val="nil"/>
              <w:bottom w:val="nil"/>
              <w:right w:val="nil"/>
            </w:tcBorders>
          </w:tcPr>
          <w:p w14:paraId="0CAC88B9"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68.77</w:t>
            </w:r>
          </w:p>
        </w:tc>
        <w:tc>
          <w:tcPr>
            <w:tcW w:w="1457" w:type="dxa"/>
            <w:tcBorders>
              <w:top w:val="nil"/>
              <w:left w:val="nil"/>
              <w:bottom w:val="nil"/>
              <w:right w:val="single" w:sz="4" w:space="0" w:color="auto"/>
            </w:tcBorders>
          </w:tcPr>
          <w:p w14:paraId="5205E7CA"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-7.48</w:t>
            </w:r>
          </w:p>
        </w:tc>
      </w:tr>
      <w:tr w:rsidR="008859B3" w:rsidRPr="008859B3" w14:paraId="0776305C" w14:textId="77777777" w:rsidTr="00D96653">
        <w:trPr>
          <w:jc w:val="center"/>
        </w:trPr>
        <w:tc>
          <w:tcPr>
            <w:tcW w:w="7821" w:type="dxa"/>
            <w:gridSpan w:val="4"/>
            <w:tcBorders>
              <w:top w:val="single" w:sz="4" w:space="0" w:color="auto"/>
              <w:left w:val="nil"/>
              <w:bottom w:val="nil"/>
              <w:right w:val="nil"/>
            </w:tcBorders>
            <w:hideMark/>
          </w:tcPr>
          <w:p w14:paraId="7C223764" w14:textId="77777777" w:rsidR="008859B3" w:rsidRPr="008859B3" w:rsidRDefault="008859B3" w:rsidP="008859B3">
            <w:pPr>
              <w:widowControl w:val="0"/>
              <w:adjustRightInd w:val="0"/>
              <w:spacing w:line="276" w:lineRule="auto"/>
              <w:ind w:left="510" w:hanging="510"/>
              <w:jc w:val="both"/>
              <w:textAlignment w:val="baseline"/>
              <w:rPr>
                <w:sz w:val="20"/>
                <w:szCs w:val="20"/>
              </w:rPr>
            </w:pPr>
            <w:r w:rsidRPr="008859B3">
              <w:rPr>
                <w:sz w:val="20"/>
                <w:szCs w:val="20"/>
              </w:rPr>
              <w:t>Nota: Con la finalidad de disponer de una estadística más precisa de las entradas al país de mexicanos residentes en el exterior, el Comité Técnico Especializado de Estadísticas Económicas del Sector Turismo acordó incorporar como fuente de información complementaria a la estadística de viajeros internacionales a partir de 2013, el número de mexicanos con residencia en el extranjero que ingresaron al interior del país en vehículos con placas foráneas importados temporalmente, el cual se obtiene a partir de registros administrativos recabados por el Banco Nacional del Ejército Fuerza Aérea y Armada (BANJERCITO).</w:t>
            </w:r>
          </w:p>
          <w:p w14:paraId="47B3FEB9"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u w:val="single"/>
              </w:rPr>
              <w:t>1</w:t>
            </w:r>
            <w:r w:rsidRPr="008859B3">
              <w:rPr>
                <w:sz w:val="20"/>
                <w:szCs w:val="20"/>
              </w:rPr>
              <w:t>/ Los conceptos referentes a saldo e ingresos se expresan en miles de dólares.</w:t>
            </w:r>
          </w:p>
          <w:p w14:paraId="5F3FE1BC"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u w:val="single"/>
              </w:rPr>
              <w:t>2</w:t>
            </w:r>
            <w:r w:rsidRPr="008859B3">
              <w:rPr>
                <w:sz w:val="20"/>
                <w:szCs w:val="20"/>
              </w:rPr>
              <w:t>/ Los conceptos referentes a número de viajeros se expresan en miles.</w:t>
            </w:r>
          </w:p>
          <w:p w14:paraId="30C3E408" w14:textId="77777777" w:rsidR="008859B3" w:rsidRPr="008859B3" w:rsidRDefault="008859B3" w:rsidP="008859B3">
            <w:pPr>
              <w:widowControl w:val="0"/>
              <w:adjustRightInd w:val="0"/>
              <w:spacing w:line="276" w:lineRule="auto"/>
              <w:ind w:left="284" w:hanging="284"/>
              <w:jc w:val="both"/>
              <w:textAlignment w:val="baseline"/>
              <w:rPr>
                <w:sz w:val="20"/>
                <w:szCs w:val="20"/>
              </w:rPr>
            </w:pPr>
            <w:r w:rsidRPr="008859B3">
              <w:rPr>
                <w:sz w:val="20"/>
                <w:szCs w:val="20"/>
                <w:u w:val="single"/>
              </w:rPr>
              <w:t>3</w:t>
            </w:r>
            <w:r w:rsidRPr="008859B3">
              <w:rPr>
                <w:sz w:val="20"/>
                <w:szCs w:val="20"/>
              </w:rPr>
              <w:t>/ Los conceptos referentes a gasto medio se expresan en dólares.</w:t>
            </w:r>
          </w:p>
          <w:p w14:paraId="660FCE9C"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rPr>
              <w:t>FUENTE: Banco de México y Secretaría de Turismo.</w:t>
            </w:r>
          </w:p>
        </w:tc>
      </w:tr>
    </w:tbl>
    <w:p w14:paraId="5C29EC4C" w14:textId="77777777" w:rsidR="008859B3" w:rsidRPr="008859B3" w:rsidRDefault="008859B3" w:rsidP="008859B3">
      <w:pPr>
        <w:spacing w:after="360" w:line="360" w:lineRule="auto"/>
        <w:ind w:right="-159"/>
        <w:jc w:val="both"/>
        <w:rPr>
          <w:sz w:val="26"/>
          <w:szCs w:val="26"/>
          <w:lang w:val="es-ES"/>
        </w:rPr>
      </w:pPr>
    </w:p>
    <w:p w14:paraId="4F5B0643" w14:textId="77777777" w:rsidR="008859B3" w:rsidRPr="008859B3" w:rsidRDefault="008859B3" w:rsidP="008859B3">
      <w:pPr>
        <w:spacing w:after="360" w:line="360" w:lineRule="auto"/>
        <w:ind w:right="-159"/>
        <w:jc w:val="both"/>
        <w:rPr>
          <w:sz w:val="26"/>
          <w:szCs w:val="26"/>
          <w:lang w:val="es-ES"/>
        </w:rPr>
      </w:pPr>
      <w:r w:rsidRPr="008859B3">
        <w:rPr>
          <w:sz w:val="26"/>
          <w:szCs w:val="26"/>
          <w:lang w:val="es-ES"/>
        </w:rPr>
        <w:t xml:space="preserve">En lo que respecta al turismo </w:t>
      </w:r>
      <w:proofErr w:type="spellStart"/>
      <w:r w:rsidRPr="008859B3">
        <w:rPr>
          <w:sz w:val="26"/>
          <w:szCs w:val="26"/>
          <w:lang w:val="es-ES"/>
        </w:rPr>
        <w:t>egresivo</w:t>
      </w:r>
      <w:proofErr w:type="spellEnd"/>
      <w:r w:rsidRPr="008859B3">
        <w:rPr>
          <w:sz w:val="26"/>
          <w:szCs w:val="26"/>
          <w:lang w:val="es-ES"/>
        </w:rPr>
        <w:t xml:space="preserve">, éste realizó erogaciones por 1 mil 528 millones 194.93 mil dólares en el período enero-febrero de 2015, lo que representó un aumento de 8.02% con relación a lo observado en el mismo lapso de 2014. Asimismo, el gasto medio que realizó el turismo de internación en el exterior fue de 594.02 dólares, lo que </w:t>
      </w:r>
      <w:r w:rsidRPr="008859B3">
        <w:rPr>
          <w:sz w:val="26"/>
          <w:szCs w:val="26"/>
          <w:lang w:val="es-ES"/>
        </w:rPr>
        <w:lastRenderedPageBreak/>
        <w:t>evidenció un aumento de 9.75%; mientras que el gasto medio de los turistas fronterizos fue de 64.62 dólares, cifra 17.50% por arriba de la registrada en el período de referencia.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6"/>
        <w:gridCol w:w="1623"/>
        <w:gridCol w:w="1800"/>
        <w:gridCol w:w="1440"/>
      </w:tblGrid>
      <w:tr w:rsidR="008859B3" w:rsidRPr="008859B3" w14:paraId="27988585" w14:textId="77777777" w:rsidTr="00D96653">
        <w:trPr>
          <w:jc w:val="center"/>
        </w:trPr>
        <w:tc>
          <w:tcPr>
            <w:tcW w:w="7769" w:type="dxa"/>
            <w:gridSpan w:val="4"/>
            <w:tcBorders>
              <w:top w:val="nil"/>
              <w:left w:val="nil"/>
              <w:bottom w:val="single" w:sz="4" w:space="0" w:color="auto"/>
              <w:right w:val="nil"/>
            </w:tcBorders>
            <w:hideMark/>
          </w:tcPr>
          <w:p w14:paraId="720C0C55" w14:textId="77777777" w:rsidR="008859B3" w:rsidRPr="008859B3" w:rsidRDefault="008859B3" w:rsidP="008859B3">
            <w:pPr>
              <w:widowControl w:val="0"/>
              <w:adjustRightInd w:val="0"/>
              <w:spacing w:line="276" w:lineRule="auto"/>
              <w:jc w:val="center"/>
              <w:textAlignment w:val="baseline"/>
              <w:rPr>
                <w:b/>
              </w:rPr>
            </w:pPr>
            <w:r w:rsidRPr="008859B3">
              <w:rPr>
                <w:b/>
                <w:sz w:val="22"/>
                <w:szCs w:val="22"/>
              </w:rPr>
              <w:t>VIAJEROS INTERNACIONALES</w:t>
            </w:r>
          </w:p>
          <w:p w14:paraId="53420A78" w14:textId="77777777" w:rsidR="008859B3" w:rsidRPr="008859B3" w:rsidRDefault="008859B3" w:rsidP="008859B3">
            <w:pPr>
              <w:widowControl w:val="0"/>
              <w:adjustRightInd w:val="0"/>
              <w:spacing w:line="276" w:lineRule="auto"/>
              <w:jc w:val="center"/>
              <w:textAlignment w:val="baseline"/>
              <w:rPr>
                <w:b/>
              </w:rPr>
            </w:pPr>
            <w:r w:rsidRPr="008859B3">
              <w:rPr>
                <w:b/>
                <w:sz w:val="22"/>
                <w:szCs w:val="22"/>
              </w:rPr>
              <w:t>-Egresos-</w:t>
            </w:r>
          </w:p>
        </w:tc>
      </w:tr>
      <w:tr w:rsidR="008859B3" w:rsidRPr="008859B3" w14:paraId="3759A2B1" w14:textId="77777777" w:rsidTr="00D96653">
        <w:trPr>
          <w:jc w:val="center"/>
        </w:trPr>
        <w:tc>
          <w:tcPr>
            <w:tcW w:w="2906" w:type="dxa"/>
            <w:vMerge w:val="restart"/>
            <w:tcBorders>
              <w:top w:val="single" w:sz="4" w:space="0" w:color="auto"/>
              <w:left w:val="single" w:sz="4" w:space="0" w:color="auto"/>
              <w:bottom w:val="single" w:sz="4" w:space="0" w:color="auto"/>
              <w:right w:val="nil"/>
            </w:tcBorders>
            <w:vAlign w:val="center"/>
            <w:hideMark/>
          </w:tcPr>
          <w:p w14:paraId="214716AF" w14:textId="77777777" w:rsidR="008859B3" w:rsidRPr="008859B3" w:rsidRDefault="008859B3" w:rsidP="008859B3">
            <w:pPr>
              <w:widowControl w:val="0"/>
              <w:adjustRightInd w:val="0"/>
              <w:spacing w:line="276" w:lineRule="auto"/>
              <w:jc w:val="center"/>
              <w:textAlignment w:val="baseline"/>
              <w:rPr>
                <w:b/>
                <w:sz w:val="20"/>
                <w:szCs w:val="20"/>
              </w:rPr>
            </w:pPr>
            <w:r w:rsidRPr="008859B3">
              <w:rPr>
                <w:b/>
                <w:sz w:val="20"/>
                <w:szCs w:val="20"/>
              </w:rPr>
              <w:t>Concepto</w:t>
            </w:r>
          </w:p>
        </w:tc>
        <w:tc>
          <w:tcPr>
            <w:tcW w:w="3423" w:type="dxa"/>
            <w:gridSpan w:val="2"/>
            <w:tcBorders>
              <w:top w:val="single" w:sz="4" w:space="0" w:color="auto"/>
              <w:left w:val="nil"/>
              <w:bottom w:val="single" w:sz="4" w:space="0" w:color="auto"/>
              <w:right w:val="nil"/>
            </w:tcBorders>
            <w:hideMark/>
          </w:tcPr>
          <w:p w14:paraId="3F3E0979" w14:textId="77777777" w:rsidR="008859B3" w:rsidRPr="008859B3" w:rsidRDefault="008859B3" w:rsidP="008859B3">
            <w:pPr>
              <w:widowControl w:val="0"/>
              <w:adjustRightInd w:val="0"/>
              <w:spacing w:line="276" w:lineRule="auto"/>
              <w:jc w:val="center"/>
              <w:textAlignment w:val="baseline"/>
              <w:rPr>
                <w:b/>
                <w:spacing w:val="30"/>
                <w:sz w:val="20"/>
                <w:szCs w:val="20"/>
              </w:rPr>
            </w:pPr>
            <w:r w:rsidRPr="008859B3">
              <w:rPr>
                <w:b/>
                <w:spacing w:val="30"/>
                <w:sz w:val="20"/>
                <w:szCs w:val="20"/>
              </w:rPr>
              <w:t>Enero-Febrero</w:t>
            </w:r>
          </w:p>
        </w:tc>
        <w:tc>
          <w:tcPr>
            <w:tcW w:w="1440" w:type="dxa"/>
            <w:tcBorders>
              <w:top w:val="single" w:sz="4" w:space="0" w:color="auto"/>
              <w:left w:val="nil"/>
              <w:bottom w:val="nil"/>
              <w:right w:val="single" w:sz="4" w:space="0" w:color="auto"/>
            </w:tcBorders>
            <w:hideMark/>
          </w:tcPr>
          <w:p w14:paraId="49FE2EE3" w14:textId="77777777" w:rsidR="008859B3" w:rsidRPr="008859B3" w:rsidRDefault="008859B3" w:rsidP="008859B3">
            <w:pPr>
              <w:widowControl w:val="0"/>
              <w:adjustRightInd w:val="0"/>
              <w:spacing w:line="276" w:lineRule="auto"/>
              <w:jc w:val="center"/>
              <w:textAlignment w:val="baseline"/>
              <w:rPr>
                <w:b/>
                <w:sz w:val="20"/>
                <w:szCs w:val="20"/>
              </w:rPr>
            </w:pPr>
            <w:r w:rsidRPr="008859B3">
              <w:rPr>
                <w:b/>
                <w:sz w:val="20"/>
                <w:szCs w:val="20"/>
              </w:rPr>
              <w:t>Variación</w:t>
            </w:r>
          </w:p>
        </w:tc>
      </w:tr>
      <w:tr w:rsidR="008859B3" w:rsidRPr="008859B3" w14:paraId="4BE9B740" w14:textId="77777777" w:rsidTr="00D96653">
        <w:trPr>
          <w:jc w:val="center"/>
        </w:trPr>
        <w:tc>
          <w:tcPr>
            <w:tcW w:w="0" w:type="auto"/>
            <w:vMerge/>
            <w:tcBorders>
              <w:top w:val="single" w:sz="4" w:space="0" w:color="auto"/>
              <w:left w:val="single" w:sz="4" w:space="0" w:color="auto"/>
              <w:bottom w:val="single" w:sz="4" w:space="0" w:color="auto"/>
              <w:right w:val="nil"/>
            </w:tcBorders>
            <w:vAlign w:val="center"/>
            <w:hideMark/>
          </w:tcPr>
          <w:p w14:paraId="04C32D2E" w14:textId="77777777" w:rsidR="008859B3" w:rsidRPr="008859B3" w:rsidRDefault="008859B3" w:rsidP="008859B3">
            <w:pPr>
              <w:rPr>
                <w:b/>
                <w:sz w:val="20"/>
                <w:szCs w:val="20"/>
              </w:rPr>
            </w:pPr>
          </w:p>
        </w:tc>
        <w:tc>
          <w:tcPr>
            <w:tcW w:w="1623" w:type="dxa"/>
            <w:tcBorders>
              <w:top w:val="single" w:sz="4" w:space="0" w:color="auto"/>
              <w:left w:val="nil"/>
              <w:bottom w:val="nil"/>
              <w:right w:val="nil"/>
            </w:tcBorders>
            <w:hideMark/>
          </w:tcPr>
          <w:p w14:paraId="4EA8FF1F" w14:textId="77777777" w:rsidR="008859B3" w:rsidRPr="008859B3" w:rsidRDefault="008859B3" w:rsidP="008859B3">
            <w:pPr>
              <w:widowControl w:val="0"/>
              <w:adjustRightInd w:val="0"/>
              <w:spacing w:line="276" w:lineRule="auto"/>
              <w:jc w:val="center"/>
              <w:textAlignment w:val="baseline"/>
              <w:rPr>
                <w:b/>
                <w:sz w:val="20"/>
                <w:szCs w:val="20"/>
              </w:rPr>
            </w:pPr>
            <w:r w:rsidRPr="008859B3">
              <w:rPr>
                <w:b/>
                <w:sz w:val="20"/>
                <w:szCs w:val="20"/>
              </w:rPr>
              <w:t>2014</w:t>
            </w:r>
          </w:p>
        </w:tc>
        <w:tc>
          <w:tcPr>
            <w:tcW w:w="1800" w:type="dxa"/>
            <w:tcBorders>
              <w:top w:val="single" w:sz="4" w:space="0" w:color="auto"/>
              <w:left w:val="nil"/>
              <w:bottom w:val="nil"/>
              <w:right w:val="nil"/>
            </w:tcBorders>
            <w:hideMark/>
          </w:tcPr>
          <w:p w14:paraId="4450380E" w14:textId="77777777" w:rsidR="008859B3" w:rsidRPr="008859B3" w:rsidRDefault="008859B3" w:rsidP="008859B3">
            <w:pPr>
              <w:widowControl w:val="0"/>
              <w:adjustRightInd w:val="0"/>
              <w:spacing w:line="276" w:lineRule="auto"/>
              <w:jc w:val="center"/>
              <w:textAlignment w:val="baseline"/>
              <w:rPr>
                <w:b/>
                <w:sz w:val="20"/>
                <w:szCs w:val="20"/>
              </w:rPr>
            </w:pPr>
            <w:r w:rsidRPr="008859B3">
              <w:rPr>
                <w:b/>
                <w:sz w:val="20"/>
                <w:szCs w:val="20"/>
              </w:rPr>
              <w:t>2015</w:t>
            </w:r>
          </w:p>
        </w:tc>
        <w:tc>
          <w:tcPr>
            <w:tcW w:w="1440" w:type="dxa"/>
            <w:tcBorders>
              <w:top w:val="nil"/>
              <w:left w:val="nil"/>
              <w:bottom w:val="nil"/>
              <w:right w:val="single" w:sz="4" w:space="0" w:color="auto"/>
            </w:tcBorders>
            <w:hideMark/>
          </w:tcPr>
          <w:p w14:paraId="54834B39" w14:textId="77777777" w:rsidR="008859B3" w:rsidRPr="008859B3" w:rsidRDefault="008859B3" w:rsidP="008859B3">
            <w:pPr>
              <w:widowControl w:val="0"/>
              <w:adjustRightInd w:val="0"/>
              <w:spacing w:line="276" w:lineRule="auto"/>
              <w:jc w:val="center"/>
              <w:textAlignment w:val="baseline"/>
              <w:rPr>
                <w:b/>
                <w:sz w:val="20"/>
                <w:szCs w:val="20"/>
              </w:rPr>
            </w:pPr>
            <w:r w:rsidRPr="008859B3">
              <w:rPr>
                <w:b/>
                <w:sz w:val="20"/>
                <w:szCs w:val="20"/>
              </w:rPr>
              <w:t>Relativa (%)</w:t>
            </w:r>
          </w:p>
        </w:tc>
      </w:tr>
      <w:tr w:rsidR="008859B3" w:rsidRPr="008859B3" w14:paraId="4EFCC9E1" w14:textId="77777777" w:rsidTr="00D96653">
        <w:trPr>
          <w:jc w:val="center"/>
        </w:trPr>
        <w:tc>
          <w:tcPr>
            <w:tcW w:w="0" w:type="auto"/>
            <w:vMerge/>
            <w:tcBorders>
              <w:top w:val="single" w:sz="4" w:space="0" w:color="auto"/>
              <w:left w:val="single" w:sz="4" w:space="0" w:color="auto"/>
              <w:bottom w:val="single" w:sz="4" w:space="0" w:color="auto"/>
              <w:right w:val="nil"/>
            </w:tcBorders>
            <w:vAlign w:val="center"/>
            <w:hideMark/>
          </w:tcPr>
          <w:p w14:paraId="60280184" w14:textId="77777777" w:rsidR="008859B3" w:rsidRPr="008859B3" w:rsidRDefault="008859B3" w:rsidP="008859B3">
            <w:pPr>
              <w:rPr>
                <w:b/>
                <w:sz w:val="20"/>
                <w:szCs w:val="20"/>
              </w:rPr>
            </w:pPr>
          </w:p>
        </w:tc>
        <w:tc>
          <w:tcPr>
            <w:tcW w:w="1623" w:type="dxa"/>
            <w:tcBorders>
              <w:top w:val="nil"/>
              <w:left w:val="nil"/>
              <w:bottom w:val="single" w:sz="4" w:space="0" w:color="auto"/>
              <w:right w:val="nil"/>
            </w:tcBorders>
            <w:hideMark/>
          </w:tcPr>
          <w:p w14:paraId="79CF1B09" w14:textId="77777777" w:rsidR="008859B3" w:rsidRPr="008859B3" w:rsidRDefault="008859B3" w:rsidP="008859B3">
            <w:pPr>
              <w:widowControl w:val="0"/>
              <w:adjustRightInd w:val="0"/>
              <w:spacing w:line="276" w:lineRule="auto"/>
              <w:jc w:val="center"/>
              <w:textAlignment w:val="baseline"/>
              <w:rPr>
                <w:b/>
                <w:sz w:val="20"/>
                <w:szCs w:val="20"/>
              </w:rPr>
            </w:pPr>
            <w:r w:rsidRPr="008859B3">
              <w:rPr>
                <w:b/>
                <w:sz w:val="20"/>
                <w:szCs w:val="20"/>
              </w:rPr>
              <w:t>(A)</w:t>
            </w:r>
          </w:p>
        </w:tc>
        <w:tc>
          <w:tcPr>
            <w:tcW w:w="1800" w:type="dxa"/>
            <w:tcBorders>
              <w:top w:val="nil"/>
              <w:left w:val="nil"/>
              <w:bottom w:val="single" w:sz="4" w:space="0" w:color="auto"/>
              <w:right w:val="nil"/>
            </w:tcBorders>
            <w:hideMark/>
          </w:tcPr>
          <w:p w14:paraId="194D32AA" w14:textId="77777777" w:rsidR="008859B3" w:rsidRPr="008859B3" w:rsidRDefault="008859B3" w:rsidP="008859B3">
            <w:pPr>
              <w:widowControl w:val="0"/>
              <w:adjustRightInd w:val="0"/>
              <w:spacing w:line="276" w:lineRule="auto"/>
              <w:jc w:val="center"/>
              <w:textAlignment w:val="baseline"/>
              <w:rPr>
                <w:b/>
                <w:sz w:val="20"/>
                <w:szCs w:val="20"/>
              </w:rPr>
            </w:pPr>
            <w:r w:rsidRPr="008859B3">
              <w:rPr>
                <w:b/>
                <w:sz w:val="20"/>
                <w:szCs w:val="20"/>
              </w:rPr>
              <w:t>(B)</w:t>
            </w:r>
          </w:p>
        </w:tc>
        <w:tc>
          <w:tcPr>
            <w:tcW w:w="1440" w:type="dxa"/>
            <w:tcBorders>
              <w:top w:val="nil"/>
              <w:left w:val="nil"/>
              <w:bottom w:val="single" w:sz="4" w:space="0" w:color="auto"/>
              <w:right w:val="single" w:sz="4" w:space="0" w:color="auto"/>
            </w:tcBorders>
            <w:hideMark/>
          </w:tcPr>
          <w:p w14:paraId="419D6A1E" w14:textId="77777777" w:rsidR="008859B3" w:rsidRPr="008859B3" w:rsidRDefault="008859B3" w:rsidP="008859B3">
            <w:pPr>
              <w:widowControl w:val="0"/>
              <w:adjustRightInd w:val="0"/>
              <w:spacing w:line="276" w:lineRule="auto"/>
              <w:jc w:val="center"/>
              <w:textAlignment w:val="baseline"/>
              <w:rPr>
                <w:b/>
                <w:sz w:val="20"/>
                <w:szCs w:val="20"/>
              </w:rPr>
            </w:pPr>
            <w:r w:rsidRPr="008859B3">
              <w:rPr>
                <w:b/>
                <w:sz w:val="20"/>
                <w:szCs w:val="20"/>
              </w:rPr>
              <w:t>(B/A)</w:t>
            </w:r>
          </w:p>
        </w:tc>
      </w:tr>
      <w:tr w:rsidR="008859B3" w:rsidRPr="008859B3" w14:paraId="35AD53E6" w14:textId="77777777" w:rsidTr="00D96653">
        <w:trPr>
          <w:jc w:val="center"/>
        </w:trPr>
        <w:tc>
          <w:tcPr>
            <w:tcW w:w="2906" w:type="dxa"/>
            <w:tcBorders>
              <w:top w:val="single" w:sz="4" w:space="0" w:color="auto"/>
              <w:left w:val="single" w:sz="4" w:space="0" w:color="auto"/>
              <w:bottom w:val="nil"/>
              <w:right w:val="nil"/>
            </w:tcBorders>
            <w:hideMark/>
          </w:tcPr>
          <w:p w14:paraId="52D9936E"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rPr>
              <w:t>Egresos</w:t>
            </w:r>
            <w:r w:rsidRPr="008859B3">
              <w:rPr>
                <w:sz w:val="20"/>
                <w:szCs w:val="20"/>
                <w:u w:val="single"/>
                <w:vertAlign w:val="superscript"/>
              </w:rPr>
              <w:t>1</w:t>
            </w:r>
            <w:r w:rsidRPr="008859B3">
              <w:rPr>
                <w:sz w:val="20"/>
                <w:szCs w:val="20"/>
                <w:vertAlign w:val="superscript"/>
              </w:rPr>
              <w:t>/</w:t>
            </w:r>
          </w:p>
        </w:tc>
        <w:tc>
          <w:tcPr>
            <w:tcW w:w="1623" w:type="dxa"/>
            <w:tcBorders>
              <w:top w:val="single" w:sz="4" w:space="0" w:color="auto"/>
              <w:left w:val="nil"/>
              <w:bottom w:val="nil"/>
              <w:right w:val="nil"/>
            </w:tcBorders>
          </w:tcPr>
          <w:p w14:paraId="7FF9C2DE"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1 414 769.03</w:t>
            </w:r>
          </w:p>
        </w:tc>
        <w:tc>
          <w:tcPr>
            <w:tcW w:w="1800" w:type="dxa"/>
            <w:tcBorders>
              <w:top w:val="single" w:sz="4" w:space="0" w:color="auto"/>
              <w:left w:val="nil"/>
              <w:bottom w:val="nil"/>
              <w:right w:val="nil"/>
            </w:tcBorders>
          </w:tcPr>
          <w:p w14:paraId="2BB5ABAC"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1 528 194.93</w:t>
            </w:r>
          </w:p>
        </w:tc>
        <w:tc>
          <w:tcPr>
            <w:tcW w:w="1440" w:type="dxa"/>
            <w:tcBorders>
              <w:top w:val="single" w:sz="4" w:space="0" w:color="auto"/>
              <w:left w:val="nil"/>
              <w:bottom w:val="nil"/>
              <w:right w:val="single" w:sz="4" w:space="0" w:color="auto"/>
            </w:tcBorders>
          </w:tcPr>
          <w:p w14:paraId="7387A40C"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8.02</w:t>
            </w:r>
          </w:p>
        </w:tc>
      </w:tr>
      <w:tr w:rsidR="008859B3" w:rsidRPr="008859B3" w14:paraId="55679DDE" w14:textId="77777777" w:rsidTr="00D96653">
        <w:trPr>
          <w:jc w:val="center"/>
        </w:trPr>
        <w:tc>
          <w:tcPr>
            <w:tcW w:w="2906" w:type="dxa"/>
            <w:tcBorders>
              <w:top w:val="nil"/>
              <w:left w:val="single" w:sz="4" w:space="0" w:color="auto"/>
              <w:bottom w:val="nil"/>
              <w:right w:val="nil"/>
            </w:tcBorders>
          </w:tcPr>
          <w:p w14:paraId="55787BFD"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Turistas internacionales</w:t>
            </w:r>
          </w:p>
        </w:tc>
        <w:tc>
          <w:tcPr>
            <w:tcW w:w="1623" w:type="dxa"/>
            <w:tcBorders>
              <w:top w:val="nil"/>
              <w:left w:val="nil"/>
              <w:bottom w:val="nil"/>
              <w:right w:val="nil"/>
            </w:tcBorders>
          </w:tcPr>
          <w:p w14:paraId="0A398629"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961 845.86</w:t>
            </w:r>
          </w:p>
        </w:tc>
        <w:tc>
          <w:tcPr>
            <w:tcW w:w="1800" w:type="dxa"/>
            <w:tcBorders>
              <w:top w:val="nil"/>
              <w:left w:val="nil"/>
              <w:bottom w:val="nil"/>
              <w:right w:val="nil"/>
            </w:tcBorders>
          </w:tcPr>
          <w:p w14:paraId="5BDC7FED"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1 028 768.22</w:t>
            </w:r>
          </w:p>
        </w:tc>
        <w:tc>
          <w:tcPr>
            <w:tcW w:w="1440" w:type="dxa"/>
            <w:tcBorders>
              <w:top w:val="nil"/>
              <w:left w:val="nil"/>
              <w:bottom w:val="nil"/>
              <w:right w:val="single" w:sz="4" w:space="0" w:color="auto"/>
            </w:tcBorders>
          </w:tcPr>
          <w:p w14:paraId="3524874E"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6.96</w:t>
            </w:r>
          </w:p>
        </w:tc>
      </w:tr>
      <w:tr w:rsidR="008859B3" w:rsidRPr="008859B3" w14:paraId="232CB741" w14:textId="77777777" w:rsidTr="00D96653">
        <w:trPr>
          <w:jc w:val="center"/>
        </w:trPr>
        <w:tc>
          <w:tcPr>
            <w:tcW w:w="2906" w:type="dxa"/>
            <w:tcBorders>
              <w:top w:val="nil"/>
              <w:left w:val="single" w:sz="4" w:space="0" w:color="auto"/>
              <w:bottom w:val="nil"/>
              <w:right w:val="nil"/>
            </w:tcBorders>
            <w:hideMark/>
          </w:tcPr>
          <w:p w14:paraId="03202206"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Turistas de internación</w:t>
            </w:r>
          </w:p>
        </w:tc>
        <w:tc>
          <w:tcPr>
            <w:tcW w:w="1623" w:type="dxa"/>
            <w:tcBorders>
              <w:top w:val="nil"/>
              <w:left w:val="nil"/>
              <w:bottom w:val="nil"/>
              <w:right w:val="nil"/>
            </w:tcBorders>
          </w:tcPr>
          <w:p w14:paraId="02C5E187"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909 900.78</w:t>
            </w:r>
          </w:p>
        </w:tc>
        <w:tc>
          <w:tcPr>
            <w:tcW w:w="1800" w:type="dxa"/>
            <w:tcBorders>
              <w:top w:val="nil"/>
              <w:left w:val="nil"/>
              <w:bottom w:val="nil"/>
              <w:right w:val="nil"/>
            </w:tcBorders>
          </w:tcPr>
          <w:p w14:paraId="7C69A500"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949 564.23</w:t>
            </w:r>
          </w:p>
        </w:tc>
        <w:tc>
          <w:tcPr>
            <w:tcW w:w="1440" w:type="dxa"/>
            <w:tcBorders>
              <w:top w:val="nil"/>
              <w:left w:val="nil"/>
              <w:bottom w:val="nil"/>
              <w:right w:val="single" w:sz="4" w:space="0" w:color="auto"/>
            </w:tcBorders>
          </w:tcPr>
          <w:p w14:paraId="7BEBE13C"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4.36</w:t>
            </w:r>
          </w:p>
        </w:tc>
      </w:tr>
      <w:tr w:rsidR="008859B3" w:rsidRPr="008859B3" w14:paraId="43C3B9EC" w14:textId="77777777" w:rsidTr="00D96653">
        <w:trPr>
          <w:jc w:val="center"/>
        </w:trPr>
        <w:tc>
          <w:tcPr>
            <w:tcW w:w="2906" w:type="dxa"/>
            <w:tcBorders>
              <w:top w:val="nil"/>
              <w:left w:val="single" w:sz="4" w:space="0" w:color="auto"/>
              <w:bottom w:val="nil"/>
              <w:right w:val="nil"/>
            </w:tcBorders>
            <w:hideMark/>
          </w:tcPr>
          <w:p w14:paraId="057F0738"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Turistas fronterizos</w:t>
            </w:r>
          </w:p>
        </w:tc>
        <w:tc>
          <w:tcPr>
            <w:tcW w:w="1623" w:type="dxa"/>
            <w:tcBorders>
              <w:top w:val="nil"/>
              <w:left w:val="nil"/>
              <w:bottom w:val="nil"/>
              <w:right w:val="nil"/>
            </w:tcBorders>
          </w:tcPr>
          <w:p w14:paraId="75449135"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51 945.08</w:t>
            </w:r>
          </w:p>
        </w:tc>
        <w:tc>
          <w:tcPr>
            <w:tcW w:w="1800" w:type="dxa"/>
            <w:tcBorders>
              <w:top w:val="nil"/>
              <w:left w:val="nil"/>
              <w:bottom w:val="nil"/>
              <w:right w:val="nil"/>
            </w:tcBorders>
          </w:tcPr>
          <w:p w14:paraId="6283A25A"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79 203.99</w:t>
            </w:r>
          </w:p>
        </w:tc>
        <w:tc>
          <w:tcPr>
            <w:tcW w:w="1440" w:type="dxa"/>
            <w:tcBorders>
              <w:top w:val="nil"/>
              <w:left w:val="nil"/>
              <w:bottom w:val="nil"/>
              <w:right w:val="single" w:sz="4" w:space="0" w:color="auto"/>
            </w:tcBorders>
          </w:tcPr>
          <w:p w14:paraId="6EF83986"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52.48</w:t>
            </w:r>
          </w:p>
        </w:tc>
      </w:tr>
      <w:tr w:rsidR="008859B3" w:rsidRPr="008859B3" w14:paraId="4BA7D6E6" w14:textId="77777777" w:rsidTr="00D96653">
        <w:trPr>
          <w:jc w:val="center"/>
        </w:trPr>
        <w:tc>
          <w:tcPr>
            <w:tcW w:w="2906" w:type="dxa"/>
            <w:tcBorders>
              <w:top w:val="nil"/>
              <w:left w:val="single" w:sz="4" w:space="0" w:color="auto"/>
              <w:bottom w:val="nil"/>
              <w:right w:val="nil"/>
            </w:tcBorders>
          </w:tcPr>
          <w:p w14:paraId="46C07078"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rPr>
              <w:t xml:space="preserve">    Excursionistas internacionales</w:t>
            </w:r>
          </w:p>
        </w:tc>
        <w:tc>
          <w:tcPr>
            <w:tcW w:w="1623" w:type="dxa"/>
            <w:tcBorders>
              <w:top w:val="nil"/>
              <w:left w:val="nil"/>
              <w:bottom w:val="nil"/>
              <w:right w:val="nil"/>
            </w:tcBorders>
          </w:tcPr>
          <w:p w14:paraId="5FA78E59"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452 923.17</w:t>
            </w:r>
          </w:p>
        </w:tc>
        <w:tc>
          <w:tcPr>
            <w:tcW w:w="1800" w:type="dxa"/>
            <w:tcBorders>
              <w:top w:val="nil"/>
              <w:left w:val="nil"/>
              <w:bottom w:val="nil"/>
              <w:right w:val="nil"/>
            </w:tcBorders>
          </w:tcPr>
          <w:p w14:paraId="3A0CD59B"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499 426.71</w:t>
            </w:r>
          </w:p>
        </w:tc>
        <w:tc>
          <w:tcPr>
            <w:tcW w:w="1440" w:type="dxa"/>
            <w:tcBorders>
              <w:top w:val="nil"/>
              <w:left w:val="nil"/>
              <w:bottom w:val="nil"/>
              <w:right w:val="single" w:sz="4" w:space="0" w:color="auto"/>
            </w:tcBorders>
          </w:tcPr>
          <w:p w14:paraId="196B7D05"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10.27</w:t>
            </w:r>
          </w:p>
        </w:tc>
      </w:tr>
      <w:tr w:rsidR="008859B3" w:rsidRPr="008859B3" w14:paraId="187BD543" w14:textId="77777777" w:rsidTr="00D96653">
        <w:trPr>
          <w:jc w:val="center"/>
        </w:trPr>
        <w:tc>
          <w:tcPr>
            <w:tcW w:w="2906" w:type="dxa"/>
            <w:tcBorders>
              <w:top w:val="nil"/>
              <w:left w:val="single" w:sz="4" w:space="0" w:color="auto"/>
              <w:bottom w:val="nil"/>
              <w:right w:val="nil"/>
            </w:tcBorders>
            <w:hideMark/>
          </w:tcPr>
          <w:p w14:paraId="00EC043C"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Excursionistas fronterizos</w:t>
            </w:r>
          </w:p>
        </w:tc>
        <w:tc>
          <w:tcPr>
            <w:tcW w:w="1623" w:type="dxa"/>
            <w:tcBorders>
              <w:top w:val="nil"/>
              <w:left w:val="nil"/>
              <w:bottom w:val="nil"/>
              <w:right w:val="nil"/>
            </w:tcBorders>
          </w:tcPr>
          <w:p w14:paraId="796B1AA1"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452 923.17</w:t>
            </w:r>
          </w:p>
        </w:tc>
        <w:tc>
          <w:tcPr>
            <w:tcW w:w="1800" w:type="dxa"/>
            <w:tcBorders>
              <w:top w:val="nil"/>
              <w:left w:val="nil"/>
              <w:bottom w:val="nil"/>
              <w:right w:val="nil"/>
            </w:tcBorders>
          </w:tcPr>
          <w:p w14:paraId="1CE99278"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499 426.71</w:t>
            </w:r>
          </w:p>
        </w:tc>
        <w:tc>
          <w:tcPr>
            <w:tcW w:w="1440" w:type="dxa"/>
            <w:tcBorders>
              <w:top w:val="nil"/>
              <w:left w:val="nil"/>
              <w:bottom w:val="nil"/>
              <w:right w:val="single" w:sz="4" w:space="0" w:color="auto"/>
            </w:tcBorders>
          </w:tcPr>
          <w:p w14:paraId="47A4CDE6"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10.27</w:t>
            </w:r>
          </w:p>
        </w:tc>
      </w:tr>
      <w:tr w:rsidR="008859B3" w:rsidRPr="008859B3" w14:paraId="282A65F2" w14:textId="77777777" w:rsidTr="00D96653">
        <w:trPr>
          <w:jc w:val="center"/>
        </w:trPr>
        <w:tc>
          <w:tcPr>
            <w:tcW w:w="2906" w:type="dxa"/>
            <w:tcBorders>
              <w:top w:val="nil"/>
              <w:left w:val="single" w:sz="4" w:space="0" w:color="auto"/>
              <w:bottom w:val="nil"/>
              <w:right w:val="nil"/>
            </w:tcBorders>
            <w:hideMark/>
          </w:tcPr>
          <w:p w14:paraId="61B1239C" w14:textId="77777777" w:rsidR="008859B3" w:rsidRPr="008859B3" w:rsidRDefault="008859B3" w:rsidP="008859B3">
            <w:pPr>
              <w:widowControl w:val="0"/>
              <w:adjustRightInd w:val="0"/>
              <w:spacing w:line="276" w:lineRule="auto"/>
              <w:ind w:left="113"/>
              <w:jc w:val="both"/>
              <w:textAlignment w:val="baseline"/>
              <w:rPr>
                <w:sz w:val="20"/>
                <w:szCs w:val="20"/>
              </w:rPr>
            </w:pPr>
            <w:r w:rsidRPr="008859B3">
              <w:rPr>
                <w:sz w:val="20"/>
                <w:szCs w:val="20"/>
              </w:rPr>
              <w:t>Número de viajeros</w:t>
            </w:r>
            <w:r w:rsidRPr="008859B3">
              <w:rPr>
                <w:sz w:val="20"/>
                <w:szCs w:val="20"/>
                <w:u w:val="single"/>
                <w:vertAlign w:val="superscript"/>
              </w:rPr>
              <w:t>2</w:t>
            </w:r>
            <w:r w:rsidRPr="008859B3">
              <w:rPr>
                <w:sz w:val="20"/>
                <w:szCs w:val="20"/>
                <w:vertAlign w:val="superscript"/>
              </w:rPr>
              <w:t>/</w:t>
            </w:r>
          </w:p>
        </w:tc>
        <w:tc>
          <w:tcPr>
            <w:tcW w:w="1623" w:type="dxa"/>
            <w:tcBorders>
              <w:top w:val="nil"/>
              <w:left w:val="nil"/>
              <w:bottom w:val="nil"/>
              <w:right w:val="nil"/>
            </w:tcBorders>
          </w:tcPr>
          <w:p w14:paraId="63B00152"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14 004.79</w:t>
            </w:r>
          </w:p>
        </w:tc>
        <w:tc>
          <w:tcPr>
            <w:tcW w:w="1800" w:type="dxa"/>
            <w:tcBorders>
              <w:top w:val="nil"/>
              <w:left w:val="nil"/>
              <w:bottom w:val="nil"/>
              <w:right w:val="nil"/>
            </w:tcBorders>
          </w:tcPr>
          <w:p w14:paraId="722F84F9"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15 140.10</w:t>
            </w:r>
          </w:p>
        </w:tc>
        <w:tc>
          <w:tcPr>
            <w:tcW w:w="1440" w:type="dxa"/>
            <w:tcBorders>
              <w:top w:val="nil"/>
              <w:left w:val="nil"/>
              <w:bottom w:val="nil"/>
              <w:right w:val="single" w:sz="4" w:space="0" w:color="auto"/>
            </w:tcBorders>
          </w:tcPr>
          <w:p w14:paraId="240D2AA9"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8.11</w:t>
            </w:r>
          </w:p>
        </w:tc>
      </w:tr>
      <w:tr w:rsidR="008859B3" w:rsidRPr="008859B3" w14:paraId="69DDE0E9" w14:textId="77777777" w:rsidTr="00D96653">
        <w:trPr>
          <w:jc w:val="center"/>
        </w:trPr>
        <w:tc>
          <w:tcPr>
            <w:tcW w:w="2906" w:type="dxa"/>
            <w:tcBorders>
              <w:top w:val="nil"/>
              <w:left w:val="single" w:sz="4" w:space="0" w:color="auto"/>
              <w:bottom w:val="nil"/>
              <w:right w:val="nil"/>
            </w:tcBorders>
          </w:tcPr>
          <w:p w14:paraId="7D95B280"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Turistas internacionales</w:t>
            </w:r>
          </w:p>
        </w:tc>
        <w:tc>
          <w:tcPr>
            <w:tcW w:w="1623" w:type="dxa"/>
            <w:tcBorders>
              <w:top w:val="nil"/>
              <w:left w:val="nil"/>
              <w:bottom w:val="nil"/>
              <w:right w:val="nil"/>
            </w:tcBorders>
          </w:tcPr>
          <w:p w14:paraId="72EDE48A"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2 625.75</w:t>
            </w:r>
          </w:p>
        </w:tc>
        <w:tc>
          <w:tcPr>
            <w:tcW w:w="1800" w:type="dxa"/>
            <w:tcBorders>
              <w:top w:val="nil"/>
              <w:left w:val="nil"/>
              <w:bottom w:val="nil"/>
              <w:right w:val="nil"/>
            </w:tcBorders>
          </w:tcPr>
          <w:p w14:paraId="2B656EB5"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2 824.28</w:t>
            </w:r>
          </w:p>
        </w:tc>
        <w:tc>
          <w:tcPr>
            <w:tcW w:w="1440" w:type="dxa"/>
            <w:tcBorders>
              <w:top w:val="nil"/>
              <w:left w:val="nil"/>
              <w:bottom w:val="nil"/>
              <w:right w:val="single" w:sz="4" w:space="0" w:color="auto"/>
            </w:tcBorders>
          </w:tcPr>
          <w:p w14:paraId="6D54D0DF"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7.56</w:t>
            </w:r>
          </w:p>
        </w:tc>
      </w:tr>
      <w:tr w:rsidR="008859B3" w:rsidRPr="008859B3" w14:paraId="58915760" w14:textId="77777777" w:rsidTr="00D96653">
        <w:trPr>
          <w:jc w:val="center"/>
        </w:trPr>
        <w:tc>
          <w:tcPr>
            <w:tcW w:w="2906" w:type="dxa"/>
            <w:tcBorders>
              <w:top w:val="nil"/>
              <w:left w:val="single" w:sz="4" w:space="0" w:color="auto"/>
              <w:bottom w:val="nil"/>
              <w:right w:val="nil"/>
            </w:tcBorders>
            <w:hideMark/>
          </w:tcPr>
          <w:p w14:paraId="000A4C0D"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Turistas de internación</w:t>
            </w:r>
          </w:p>
        </w:tc>
        <w:tc>
          <w:tcPr>
            <w:tcW w:w="1623" w:type="dxa"/>
            <w:tcBorders>
              <w:top w:val="nil"/>
              <w:left w:val="nil"/>
              <w:bottom w:val="nil"/>
              <w:right w:val="nil"/>
            </w:tcBorders>
          </w:tcPr>
          <w:p w14:paraId="26143670"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1 681.15</w:t>
            </w:r>
          </w:p>
        </w:tc>
        <w:tc>
          <w:tcPr>
            <w:tcW w:w="1800" w:type="dxa"/>
            <w:tcBorders>
              <w:top w:val="nil"/>
              <w:left w:val="nil"/>
              <w:bottom w:val="nil"/>
              <w:right w:val="nil"/>
            </w:tcBorders>
          </w:tcPr>
          <w:p w14:paraId="70792481"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1 598.53</w:t>
            </w:r>
          </w:p>
        </w:tc>
        <w:tc>
          <w:tcPr>
            <w:tcW w:w="1440" w:type="dxa"/>
            <w:tcBorders>
              <w:top w:val="nil"/>
              <w:left w:val="nil"/>
              <w:bottom w:val="nil"/>
              <w:right w:val="single" w:sz="4" w:space="0" w:color="auto"/>
            </w:tcBorders>
          </w:tcPr>
          <w:p w14:paraId="727A4AB8"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-4.91</w:t>
            </w:r>
          </w:p>
        </w:tc>
      </w:tr>
      <w:tr w:rsidR="008859B3" w:rsidRPr="008859B3" w14:paraId="50937988" w14:textId="77777777" w:rsidTr="00D96653">
        <w:trPr>
          <w:jc w:val="center"/>
        </w:trPr>
        <w:tc>
          <w:tcPr>
            <w:tcW w:w="2906" w:type="dxa"/>
            <w:tcBorders>
              <w:top w:val="nil"/>
              <w:left w:val="single" w:sz="4" w:space="0" w:color="auto"/>
              <w:bottom w:val="nil"/>
              <w:right w:val="nil"/>
            </w:tcBorders>
            <w:hideMark/>
          </w:tcPr>
          <w:p w14:paraId="5AD1D251"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Turistas fronterizos</w:t>
            </w:r>
          </w:p>
        </w:tc>
        <w:tc>
          <w:tcPr>
            <w:tcW w:w="1623" w:type="dxa"/>
            <w:tcBorders>
              <w:top w:val="nil"/>
              <w:left w:val="nil"/>
              <w:bottom w:val="nil"/>
              <w:right w:val="nil"/>
            </w:tcBorders>
          </w:tcPr>
          <w:p w14:paraId="3E7E6277"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944.60</w:t>
            </w:r>
          </w:p>
        </w:tc>
        <w:tc>
          <w:tcPr>
            <w:tcW w:w="1800" w:type="dxa"/>
            <w:tcBorders>
              <w:top w:val="nil"/>
              <w:left w:val="nil"/>
              <w:bottom w:val="nil"/>
              <w:right w:val="nil"/>
            </w:tcBorders>
          </w:tcPr>
          <w:p w14:paraId="11943E6F"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1 225.76</w:t>
            </w:r>
          </w:p>
        </w:tc>
        <w:tc>
          <w:tcPr>
            <w:tcW w:w="1440" w:type="dxa"/>
            <w:tcBorders>
              <w:top w:val="nil"/>
              <w:left w:val="nil"/>
              <w:bottom w:val="nil"/>
              <w:right w:val="single" w:sz="4" w:space="0" w:color="auto"/>
            </w:tcBorders>
          </w:tcPr>
          <w:p w14:paraId="7F2BDB92"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29.76</w:t>
            </w:r>
          </w:p>
        </w:tc>
      </w:tr>
      <w:tr w:rsidR="008859B3" w:rsidRPr="008859B3" w14:paraId="5C95A62B" w14:textId="77777777" w:rsidTr="00D96653">
        <w:trPr>
          <w:jc w:val="center"/>
        </w:trPr>
        <w:tc>
          <w:tcPr>
            <w:tcW w:w="2906" w:type="dxa"/>
            <w:tcBorders>
              <w:top w:val="nil"/>
              <w:left w:val="single" w:sz="4" w:space="0" w:color="auto"/>
              <w:bottom w:val="nil"/>
              <w:right w:val="nil"/>
            </w:tcBorders>
          </w:tcPr>
          <w:p w14:paraId="44AA3C3C"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rPr>
              <w:t xml:space="preserve">    Excursionistas internacionales</w:t>
            </w:r>
          </w:p>
        </w:tc>
        <w:tc>
          <w:tcPr>
            <w:tcW w:w="1623" w:type="dxa"/>
            <w:tcBorders>
              <w:top w:val="nil"/>
              <w:left w:val="nil"/>
              <w:bottom w:val="nil"/>
              <w:right w:val="nil"/>
            </w:tcBorders>
          </w:tcPr>
          <w:p w14:paraId="51D59DDE"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11 379.04</w:t>
            </w:r>
          </w:p>
        </w:tc>
        <w:tc>
          <w:tcPr>
            <w:tcW w:w="1800" w:type="dxa"/>
            <w:tcBorders>
              <w:top w:val="nil"/>
              <w:left w:val="nil"/>
              <w:bottom w:val="nil"/>
              <w:right w:val="nil"/>
            </w:tcBorders>
          </w:tcPr>
          <w:p w14:paraId="0B161FD9"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12 315.81</w:t>
            </w:r>
          </w:p>
        </w:tc>
        <w:tc>
          <w:tcPr>
            <w:tcW w:w="1440" w:type="dxa"/>
            <w:tcBorders>
              <w:top w:val="nil"/>
              <w:left w:val="nil"/>
              <w:bottom w:val="nil"/>
              <w:right w:val="single" w:sz="4" w:space="0" w:color="auto"/>
            </w:tcBorders>
          </w:tcPr>
          <w:p w14:paraId="6AD08545"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8.23</w:t>
            </w:r>
          </w:p>
        </w:tc>
      </w:tr>
      <w:tr w:rsidR="008859B3" w:rsidRPr="008859B3" w14:paraId="575FC2A7" w14:textId="77777777" w:rsidTr="00D96653">
        <w:trPr>
          <w:jc w:val="center"/>
        </w:trPr>
        <w:tc>
          <w:tcPr>
            <w:tcW w:w="2906" w:type="dxa"/>
            <w:tcBorders>
              <w:top w:val="nil"/>
              <w:left w:val="single" w:sz="4" w:space="0" w:color="auto"/>
              <w:bottom w:val="nil"/>
              <w:right w:val="nil"/>
            </w:tcBorders>
            <w:hideMark/>
          </w:tcPr>
          <w:p w14:paraId="7414B46E"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Excursionistas fronterizos</w:t>
            </w:r>
          </w:p>
        </w:tc>
        <w:tc>
          <w:tcPr>
            <w:tcW w:w="1623" w:type="dxa"/>
            <w:tcBorders>
              <w:top w:val="nil"/>
              <w:left w:val="nil"/>
              <w:bottom w:val="nil"/>
              <w:right w:val="nil"/>
            </w:tcBorders>
          </w:tcPr>
          <w:p w14:paraId="595AE6FB"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11 379.04</w:t>
            </w:r>
          </w:p>
        </w:tc>
        <w:tc>
          <w:tcPr>
            <w:tcW w:w="1800" w:type="dxa"/>
            <w:tcBorders>
              <w:top w:val="nil"/>
              <w:left w:val="nil"/>
              <w:bottom w:val="nil"/>
              <w:right w:val="nil"/>
            </w:tcBorders>
          </w:tcPr>
          <w:p w14:paraId="0F5C1150"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12 315.81</w:t>
            </w:r>
          </w:p>
        </w:tc>
        <w:tc>
          <w:tcPr>
            <w:tcW w:w="1440" w:type="dxa"/>
            <w:tcBorders>
              <w:top w:val="nil"/>
              <w:left w:val="nil"/>
              <w:bottom w:val="nil"/>
              <w:right w:val="single" w:sz="4" w:space="0" w:color="auto"/>
            </w:tcBorders>
          </w:tcPr>
          <w:p w14:paraId="5A10F3A4"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8.23</w:t>
            </w:r>
          </w:p>
        </w:tc>
      </w:tr>
      <w:tr w:rsidR="008859B3" w:rsidRPr="008859B3" w14:paraId="1114385D" w14:textId="77777777" w:rsidTr="00D96653">
        <w:trPr>
          <w:jc w:val="center"/>
        </w:trPr>
        <w:tc>
          <w:tcPr>
            <w:tcW w:w="2906" w:type="dxa"/>
            <w:tcBorders>
              <w:top w:val="nil"/>
              <w:left w:val="single" w:sz="4" w:space="0" w:color="auto"/>
              <w:bottom w:val="nil"/>
              <w:right w:val="nil"/>
            </w:tcBorders>
            <w:hideMark/>
          </w:tcPr>
          <w:p w14:paraId="0FBB65F9" w14:textId="77777777" w:rsidR="008859B3" w:rsidRPr="008859B3" w:rsidRDefault="008859B3" w:rsidP="008859B3">
            <w:pPr>
              <w:widowControl w:val="0"/>
              <w:adjustRightInd w:val="0"/>
              <w:spacing w:line="276" w:lineRule="auto"/>
              <w:ind w:left="113"/>
              <w:jc w:val="both"/>
              <w:textAlignment w:val="baseline"/>
              <w:rPr>
                <w:sz w:val="20"/>
                <w:szCs w:val="20"/>
              </w:rPr>
            </w:pPr>
            <w:r w:rsidRPr="008859B3">
              <w:rPr>
                <w:sz w:val="20"/>
                <w:szCs w:val="20"/>
              </w:rPr>
              <w:t>Gasto medio</w:t>
            </w:r>
            <w:r w:rsidRPr="008859B3">
              <w:rPr>
                <w:sz w:val="20"/>
                <w:szCs w:val="20"/>
                <w:u w:val="single"/>
                <w:vertAlign w:val="superscript"/>
              </w:rPr>
              <w:t>3</w:t>
            </w:r>
            <w:r w:rsidRPr="008859B3">
              <w:rPr>
                <w:sz w:val="20"/>
                <w:szCs w:val="20"/>
                <w:vertAlign w:val="superscript"/>
              </w:rPr>
              <w:t>/</w:t>
            </w:r>
          </w:p>
        </w:tc>
        <w:tc>
          <w:tcPr>
            <w:tcW w:w="1623" w:type="dxa"/>
            <w:tcBorders>
              <w:top w:val="nil"/>
              <w:left w:val="nil"/>
              <w:bottom w:val="nil"/>
              <w:right w:val="nil"/>
            </w:tcBorders>
          </w:tcPr>
          <w:p w14:paraId="2343CB1D"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101.02</w:t>
            </w:r>
          </w:p>
        </w:tc>
        <w:tc>
          <w:tcPr>
            <w:tcW w:w="1800" w:type="dxa"/>
            <w:tcBorders>
              <w:top w:val="nil"/>
              <w:left w:val="nil"/>
              <w:bottom w:val="nil"/>
              <w:right w:val="nil"/>
            </w:tcBorders>
          </w:tcPr>
          <w:p w14:paraId="7AD3E036"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100.94</w:t>
            </w:r>
          </w:p>
        </w:tc>
        <w:tc>
          <w:tcPr>
            <w:tcW w:w="1440" w:type="dxa"/>
            <w:tcBorders>
              <w:top w:val="nil"/>
              <w:left w:val="nil"/>
              <w:bottom w:val="nil"/>
              <w:right w:val="single" w:sz="4" w:space="0" w:color="auto"/>
            </w:tcBorders>
          </w:tcPr>
          <w:p w14:paraId="2D4D7F2A"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-0.08</w:t>
            </w:r>
          </w:p>
        </w:tc>
      </w:tr>
      <w:tr w:rsidR="008859B3" w:rsidRPr="008859B3" w14:paraId="08302DCD" w14:textId="77777777" w:rsidTr="00D96653">
        <w:trPr>
          <w:jc w:val="center"/>
        </w:trPr>
        <w:tc>
          <w:tcPr>
            <w:tcW w:w="2906" w:type="dxa"/>
            <w:tcBorders>
              <w:top w:val="nil"/>
              <w:left w:val="single" w:sz="4" w:space="0" w:color="auto"/>
              <w:bottom w:val="nil"/>
              <w:right w:val="nil"/>
            </w:tcBorders>
          </w:tcPr>
          <w:p w14:paraId="4FC313E9"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Turistas internacionales</w:t>
            </w:r>
          </w:p>
        </w:tc>
        <w:tc>
          <w:tcPr>
            <w:tcW w:w="1623" w:type="dxa"/>
            <w:tcBorders>
              <w:top w:val="nil"/>
              <w:left w:val="nil"/>
              <w:bottom w:val="nil"/>
              <w:right w:val="nil"/>
            </w:tcBorders>
          </w:tcPr>
          <w:p w14:paraId="09DFC078"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366.31</w:t>
            </w:r>
          </w:p>
        </w:tc>
        <w:tc>
          <w:tcPr>
            <w:tcW w:w="1800" w:type="dxa"/>
            <w:tcBorders>
              <w:top w:val="nil"/>
              <w:left w:val="nil"/>
              <w:bottom w:val="nil"/>
              <w:right w:val="nil"/>
            </w:tcBorders>
          </w:tcPr>
          <w:p w14:paraId="67E76181"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364.26</w:t>
            </w:r>
          </w:p>
        </w:tc>
        <w:tc>
          <w:tcPr>
            <w:tcW w:w="1440" w:type="dxa"/>
            <w:tcBorders>
              <w:top w:val="nil"/>
              <w:left w:val="nil"/>
              <w:bottom w:val="nil"/>
              <w:right w:val="single" w:sz="4" w:space="0" w:color="auto"/>
            </w:tcBorders>
          </w:tcPr>
          <w:p w14:paraId="32948E9F"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-0.56</w:t>
            </w:r>
          </w:p>
        </w:tc>
      </w:tr>
      <w:tr w:rsidR="008859B3" w:rsidRPr="008859B3" w14:paraId="242074AC" w14:textId="77777777" w:rsidTr="00D96653">
        <w:trPr>
          <w:jc w:val="center"/>
        </w:trPr>
        <w:tc>
          <w:tcPr>
            <w:tcW w:w="2906" w:type="dxa"/>
            <w:tcBorders>
              <w:top w:val="nil"/>
              <w:left w:val="single" w:sz="4" w:space="0" w:color="auto"/>
              <w:bottom w:val="nil"/>
              <w:right w:val="nil"/>
            </w:tcBorders>
            <w:hideMark/>
          </w:tcPr>
          <w:p w14:paraId="3B59C240"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Turistas de internación</w:t>
            </w:r>
          </w:p>
        </w:tc>
        <w:tc>
          <w:tcPr>
            <w:tcW w:w="1623" w:type="dxa"/>
            <w:tcBorders>
              <w:top w:val="nil"/>
              <w:left w:val="nil"/>
              <w:bottom w:val="nil"/>
              <w:right w:val="nil"/>
            </w:tcBorders>
          </w:tcPr>
          <w:p w14:paraId="7D7DF49A"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541.24</w:t>
            </w:r>
          </w:p>
        </w:tc>
        <w:tc>
          <w:tcPr>
            <w:tcW w:w="1800" w:type="dxa"/>
            <w:tcBorders>
              <w:top w:val="nil"/>
              <w:left w:val="nil"/>
              <w:bottom w:val="nil"/>
              <w:right w:val="nil"/>
            </w:tcBorders>
          </w:tcPr>
          <w:p w14:paraId="641DB29A"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594.02</w:t>
            </w:r>
          </w:p>
        </w:tc>
        <w:tc>
          <w:tcPr>
            <w:tcW w:w="1440" w:type="dxa"/>
            <w:tcBorders>
              <w:top w:val="nil"/>
              <w:left w:val="nil"/>
              <w:bottom w:val="nil"/>
              <w:right w:val="single" w:sz="4" w:space="0" w:color="auto"/>
            </w:tcBorders>
          </w:tcPr>
          <w:p w14:paraId="6259A51F"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9.75</w:t>
            </w:r>
          </w:p>
        </w:tc>
      </w:tr>
      <w:tr w:rsidR="008859B3" w:rsidRPr="008859B3" w14:paraId="2DC0C65F" w14:textId="77777777" w:rsidTr="00D96653">
        <w:trPr>
          <w:jc w:val="center"/>
        </w:trPr>
        <w:tc>
          <w:tcPr>
            <w:tcW w:w="2906" w:type="dxa"/>
            <w:tcBorders>
              <w:top w:val="nil"/>
              <w:left w:val="single" w:sz="4" w:space="0" w:color="auto"/>
              <w:bottom w:val="nil"/>
              <w:right w:val="nil"/>
            </w:tcBorders>
            <w:hideMark/>
          </w:tcPr>
          <w:p w14:paraId="0C28BF3B"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Turistas fronterizos</w:t>
            </w:r>
          </w:p>
        </w:tc>
        <w:tc>
          <w:tcPr>
            <w:tcW w:w="1623" w:type="dxa"/>
            <w:tcBorders>
              <w:top w:val="nil"/>
              <w:left w:val="nil"/>
              <w:bottom w:val="nil"/>
              <w:right w:val="nil"/>
            </w:tcBorders>
          </w:tcPr>
          <w:p w14:paraId="123CFE9F"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54.99</w:t>
            </w:r>
          </w:p>
        </w:tc>
        <w:tc>
          <w:tcPr>
            <w:tcW w:w="1800" w:type="dxa"/>
            <w:tcBorders>
              <w:top w:val="nil"/>
              <w:left w:val="nil"/>
              <w:bottom w:val="nil"/>
              <w:right w:val="nil"/>
            </w:tcBorders>
          </w:tcPr>
          <w:p w14:paraId="4900D87A"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64.62</w:t>
            </w:r>
          </w:p>
        </w:tc>
        <w:tc>
          <w:tcPr>
            <w:tcW w:w="1440" w:type="dxa"/>
            <w:tcBorders>
              <w:top w:val="nil"/>
              <w:left w:val="nil"/>
              <w:bottom w:val="nil"/>
              <w:right w:val="single" w:sz="4" w:space="0" w:color="auto"/>
            </w:tcBorders>
          </w:tcPr>
          <w:p w14:paraId="407D9B6F"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17.50</w:t>
            </w:r>
          </w:p>
        </w:tc>
      </w:tr>
      <w:tr w:rsidR="008859B3" w:rsidRPr="008859B3" w14:paraId="750628F2" w14:textId="77777777" w:rsidTr="00D96653">
        <w:trPr>
          <w:jc w:val="center"/>
        </w:trPr>
        <w:tc>
          <w:tcPr>
            <w:tcW w:w="2906" w:type="dxa"/>
            <w:tcBorders>
              <w:top w:val="nil"/>
              <w:left w:val="single" w:sz="4" w:space="0" w:color="auto"/>
              <w:bottom w:val="nil"/>
              <w:right w:val="nil"/>
            </w:tcBorders>
          </w:tcPr>
          <w:p w14:paraId="5786E435"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rPr>
              <w:t xml:space="preserve">    Excursionistas internacionales</w:t>
            </w:r>
          </w:p>
        </w:tc>
        <w:tc>
          <w:tcPr>
            <w:tcW w:w="1623" w:type="dxa"/>
            <w:tcBorders>
              <w:top w:val="nil"/>
              <w:left w:val="nil"/>
              <w:bottom w:val="nil"/>
              <w:right w:val="nil"/>
            </w:tcBorders>
          </w:tcPr>
          <w:p w14:paraId="6CED99D8"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39.80</w:t>
            </w:r>
          </w:p>
        </w:tc>
        <w:tc>
          <w:tcPr>
            <w:tcW w:w="1800" w:type="dxa"/>
            <w:tcBorders>
              <w:top w:val="nil"/>
              <w:left w:val="nil"/>
              <w:bottom w:val="nil"/>
              <w:right w:val="nil"/>
            </w:tcBorders>
          </w:tcPr>
          <w:p w14:paraId="7233F671"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40.55</w:t>
            </w:r>
          </w:p>
        </w:tc>
        <w:tc>
          <w:tcPr>
            <w:tcW w:w="1440" w:type="dxa"/>
            <w:tcBorders>
              <w:top w:val="nil"/>
              <w:left w:val="nil"/>
              <w:bottom w:val="nil"/>
              <w:right w:val="single" w:sz="4" w:space="0" w:color="auto"/>
            </w:tcBorders>
          </w:tcPr>
          <w:p w14:paraId="4E823A5F"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1.88</w:t>
            </w:r>
          </w:p>
        </w:tc>
      </w:tr>
      <w:tr w:rsidR="008859B3" w:rsidRPr="008859B3" w14:paraId="4AA81FFB" w14:textId="77777777" w:rsidTr="00D96653">
        <w:trPr>
          <w:jc w:val="center"/>
        </w:trPr>
        <w:tc>
          <w:tcPr>
            <w:tcW w:w="2906" w:type="dxa"/>
            <w:tcBorders>
              <w:top w:val="nil"/>
              <w:left w:val="single" w:sz="4" w:space="0" w:color="auto"/>
              <w:bottom w:val="nil"/>
              <w:right w:val="nil"/>
            </w:tcBorders>
            <w:hideMark/>
          </w:tcPr>
          <w:p w14:paraId="085DD556" w14:textId="77777777" w:rsidR="008859B3" w:rsidRPr="008859B3" w:rsidRDefault="008859B3" w:rsidP="008859B3">
            <w:pPr>
              <w:widowControl w:val="0"/>
              <w:adjustRightInd w:val="0"/>
              <w:spacing w:line="276" w:lineRule="auto"/>
              <w:ind w:left="227"/>
              <w:jc w:val="both"/>
              <w:textAlignment w:val="baseline"/>
              <w:rPr>
                <w:sz w:val="20"/>
                <w:szCs w:val="20"/>
              </w:rPr>
            </w:pPr>
            <w:r w:rsidRPr="008859B3">
              <w:rPr>
                <w:sz w:val="20"/>
                <w:szCs w:val="20"/>
              </w:rPr>
              <w:t xml:space="preserve">  Excursionistas fronterizos</w:t>
            </w:r>
          </w:p>
        </w:tc>
        <w:tc>
          <w:tcPr>
            <w:tcW w:w="1623" w:type="dxa"/>
            <w:tcBorders>
              <w:top w:val="nil"/>
              <w:left w:val="nil"/>
              <w:bottom w:val="nil"/>
              <w:right w:val="nil"/>
            </w:tcBorders>
          </w:tcPr>
          <w:p w14:paraId="12CDFCD1"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39.80</w:t>
            </w:r>
          </w:p>
        </w:tc>
        <w:tc>
          <w:tcPr>
            <w:tcW w:w="1800" w:type="dxa"/>
            <w:tcBorders>
              <w:top w:val="nil"/>
              <w:left w:val="nil"/>
              <w:bottom w:val="nil"/>
              <w:right w:val="nil"/>
            </w:tcBorders>
          </w:tcPr>
          <w:p w14:paraId="036896BA" w14:textId="77777777" w:rsidR="008859B3" w:rsidRPr="008859B3" w:rsidRDefault="008859B3" w:rsidP="008859B3">
            <w:pPr>
              <w:widowControl w:val="0"/>
              <w:adjustRightInd w:val="0"/>
              <w:spacing w:line="276" w:lineRule="auto"/>
              <w:ind w:right="284"/>
              <w:jc w:val="right"/>
              <w:textAlignment w:val="baseline"/>
              <w:rPr>
                <w:sz w:val="20"/>
                <w:szCs w:val="20"/>
              </w:rPr>
            </w:pPr>
            <w:r w:rsidRPr="008859B3">
              <w:rPr>
                <w:sz w:val="20"/>
                <w:szCs w:val="20"/>
              </w:rPr>
              <w:t>40.55</w:t>
            </w:r>
          </w:p>
        </w:tc>
        <w:tc>
          <w:tcPr>
            <w:tcW w:w="1440" w:type="dxa"/>
            <w:tcBorders>
              <w:top w:val="nil"/>
              <w:left w:val="nil"/>
              <w:bottom w:val="nil"/>
              <w:right w:val="single" w:sz="4" w:space="0" w:color="auto"/>
            </w:tcBorders>
          </w:tcPr>
          <w:p w14:paraId="5E6B04E8" w14:textId="77777777" w:rsidR="008859B3" w:rsidRPr="008859B3" w:rsidRDefault="008859B3" w:rsidP="008859B3">
            <w:pPr>
              <w:widowControl w:val="0"/>
              <w:adjustRightInd w:val="0"/>
              <w:spacing w:line="276" w:lineRule="auto"/>
              <w:ind w:right="397"/>
              <w:jc w:val="right"/>
              <w:textAlignment w:val="baseline"/>
              <w:rPr>
                <w:sz w:val="20"/>
                <w:szCs w:val="20"/>
              </w:rPr>
            </w:pPr>
            <w:r w:rsidRPr="008859B3">
              <w:rPr>
                <w:sz w:val="20"/>
                <w:szCs w:val="20"/>
              </w:rPr>
              <w:t>1.88</w:t>
            </w:r>
          </w:p>
        </w:tc>
      </w:tr>
      <w:tr w:rsidR="008859B3" w:rsidRPr="008859B3" w14:paraId="150FD9DA" w14:textId="77777777" w:rsidTr="00D96653">
        <w:trPr>
          <w:jc w:val="center"/>
        </w:trPr>
        <w:tc>
          <w:tcPr>
            <w:tcW w:w="7769" w:type="dxa"/>
            <w:gridSpan w:val="4"/>
            <w:tcBorders>
              <w:top w:val="single" w:sz="4" w:space="0" w:color="auto"/>
              <w:left w:val="nil"/>
              <w:bottom w:val="nil"/>
              <w:right w:val="nil"/>
            </w:tcBorders>
            <w:hideMark/>
          </w:tcPr>
          <w:p w14:paraId="2EDFC902" w14:textId="77777777" w:rsidR="008859B3" w:rsidRPr="008859B3" w:rsidRDefault="008859B3" w:rsidP="008859B3">
            <w:pPr>
              <w:widowControl w:val="0"/>
              <w:adjustRightInd w:val="0"/>
              <w:spacing w:line="276" w:lineRule="auto"/>
              <w:ind w:left="510" w:hanging="510"/>
              <w:jc w:val="both"/>
              <w:textAlignment w:val="baseline"/>
              <w:rPr>
                <w:sz w:val="20"/>
                <w:szCs w:val="20"/>
              </w:rPr>
            </w:pPr>
            <w:r w:rsidRPr="008859B3">
              <w:rPr>
                <w:sz w:val="20"/>
                <w:szCs w:val="20"/>
              </w:rPr>
              <w:t>Nota: Con la finalidad de disponer de una estadística más precisa de las entradas al país de mexicanos residentes en el exterior, el Comité Técnico Especializado de Estadísticas Económicas del Sector Turismo acordó incorporar como fuente de información complementaria a la estadística de viajeros internacionales a partir de 2013, el número de mexicanos con residencia en el extranjero que ingresaron al interior del país en vehículos con placas foráneas importados temporalmente, el cual se obtiene a partir de registros administrativos recabados por el Banco Nacional del Ejército Fuerza Aérea y Armada (BANJERCITO).</w:t>
            </w:r>
          </w:p>
          <w:p w14:paraId="5A2F2FFC"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u w:val="single"/>
              </w:rPr>
              <w:t>1</w:t>
            </w:r>
            <w:r w:rsidRPr="008859B3">
              <w:rPr>
                <w:sz w:val="20"/>
                <w:szCs w:val="20"/>
              </w:rPr>
              <w:t>/ Los conceptos referentes a los egresos se expresan en miles de dólares.</w:t>
            </w:r>
          </w:p>
          <w:p w14:paraId="5F50C3B7"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u w:val="single"/>
              </w:rPr>
              <w:t>2</w:t>
            </w:r>
            <w:r w:rsidRPr="008859B3">
              <w:rPr>
                <w:sz w:val="20"/>
                <w:szCs w:val="20"/>
              </w:rPr>
              <w:t>/ Los conceptos referentes a número de viajeros se expresan en miles.</w:t>
            </w:r>
          </w:p>
          <w:p w14:paraId="38713645" w14:textId="77777777" w:rsidR="008859B3" w:rsidRPr="008859B3" w:rsidRDefault="008859B3" w:rsidP="008859B3">
            <w:pPr>
              <w:widowControl w:val="0"/>
              <w:adjustRightInd w:val="0"/>
              <w:spacing w:line="276" w:lineRule="auto"/>
              <w:ind w:left="284" w:hanging="284"/>
              <w:jc w:val="both"/>
              <w:textAlignment w:val="baseline"/>
              <w:rPr>
                <w:sz w:val="20"/>
                <w:szCs w:val="20"/>
              </w:rPr>
            </w:pPr>
            <w:r w:rsidRPr="008859B3">
              <w:rPr>
                <w:sz w:val="20"/>
                <w:szCs w:val="20"/>
                <w:u w:val="single"/>
              </w:rPr>
              <w:t>3</w:t>
            </w:r>
            <w:r w:rsidRPr="008859B3">
              <w:rPr>
                <w:sz w:val="20"/>
                <w:szCs w:val="20"/>
              </w:rPr>
              <w:t>/ Los conceptos referentes a gasto medio se expresan en dólares.</w:t>
            </w:r>
          </w:p>
          <w:p w14:paraId="6A3BD965" w14:textId="77777777" w:rsidR="008859B3" w:rsidRPr="008859B3" w:rsidRDefault="008859B3" w:rsidP="008859B3">
            <w:pPr>
              <w:widowControl w:val="0"/>
              <w:adjustRightInd w:val="0"/>
              <w:spacing w:line="276" w:lineRule="auto"/>
              <w:jc w:val="both"/>
              <w:textAlignment w:val="baseline"/>
              <w:rPr>
                <w:sz w:val="20"/>
                <w:szCs w:val="20"/>
              </w:rPr>
            </w:pPr>
            <w:r w:rsidRPr="008859B3">
              <w:rPr>
                <w:sz w:val="20"/>
                <w:szCs w:val="20"/>
              </w:rPr>
              <w:t>FUENTE: Banco de México y Secretaría de Turismo.</w:t>
            </w:r>
          </w:p>
        </w:tc>
      </w:tr>
    </w:tbl>
    <w:p w14:paraId="1C2531BA" w14:textId="77777777" w:rsidR="008859B3" w:rsidRPr="008859B3" w:rsidRDefault="008859B3" w:rsidP="008859B3">
      <w:pPr>
        <w:spacing w:after="360" w:line="360" w:lineRule="auto"/>
        <w:ind w:right="-159"/>
        <w:jc w:val="center"/>
        <w:rPr>
          <w:noProof/>
          <w:lang w:eastAsia="es-MX"/>
        </w:rPr>
      </w:pPr>
    </w:p>
    <w:p w14:paraId="59F16284" w14:textId="77777777" w:rsidR="008859B3" w:rsidRPr="008859B3" w:rsidRDefault="008859B3" w:rsidP="008859B3">
      <w:pPr>
        <w:spacing w:after="360" w:line="360" w:lineRule="auto"/>
        <w:ind w:right="-159"/>
        <w:jc w:val="center"/>
      </w:pPr>
      <w:r w:rsidRPr="008859B3">
        <w:rPr>
          <w:rFonts w:ascii="Calibri" w:eastAsia="Calibri" w:hAnsi="Calibri"/>
          <w:sz w:val="22"/>
          <w:szCs w:val="22"/>
          <w:lang w:eastAsia="en-US"/>
        </w:rPr>
        <w:lastRenderedPageBreak/>
        <w:fldChar w:fldCharType="begin"/>
      </w:r>
      <w:r w:rsidRPr="008859B3">
        <w:rPr>
          <w:rFonts w:ascii="Calibri" w:eastAsia="Calibri" w:hAnsi="Calibri"/>
          <w:sz w:val="22"/>
          <w:szCs w:val="22"/>
          <w:lang w:eastAsia="en-US"/>
        </w:rPr>
        <w:instrText xml:space="preserve"> LINK PowerPoint.Slide.8 "D:\\2015\\ABRIL\\GRÁFICAS POWER POINT\\24.- GRÁFICAS BALANZA TURISTICA II.pptx!276" "" \a \p </w:instrText>
      </w:r>
      <w:r w:rsidRPr="008859B3">
        <w:rPr>
          <w:rFonts w:ascii="Calibri" w:eastAsia="Calibri" w:hAnsi="Calibri"/>
          <w:sz w:val="22"/>
          <w:szCs w:val="22"/>
          <w:lang w:eastAsia="en-US"/>
        </w:rPr>
        <w:fldChar w:fldCharType="separate"/>
      </w:r>
      <w:r w:rsidRPr="008859B3">
        <w:rPr>
          <w:rFonts w:ascii="Calibri" w:eastAsia="Calibri" w:hAnsi="Calibri"/>
          <w:noProof/>
          <w:sz w:val="22"/>
          <w:szCs w:val="22"/>
          <w:lang w:eastAsia="es-MX"/>
        </w:rPr>
        <w:drawing>
          <wp:inline distT="0" distB="0" distL="0" distR="0" wp14:anchorId="4000E799" wp14:editId="7DC1B484">
            <wp:extent cx="5683885" cy="3422650"/>
            <wp:effectExtent l="0" t="0" r="0" b="6350"/>
            <wp:docPr id="1768" name="Imagen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52" cstate="print">
                      <a:extLst>
                        <a:ext uri="{28A0092B-C50C-407E-A947-70E740481C1C}">
                          <a14:useLocalDpi xmlns:a14="http://schemas.microsoft.com/office/drawing/2010/main" val="0"/>
                        </a:ext>
                      </a:extLst>
                    </a:blip>
                    <a:srcRect l="3978" r="2548"/>
                    <a:stretch>
                      <a:fillRect/>
                    </a:stretch>
                  </pic:blipFill>
                  <pic:spPr bwMode="auto">
                    <a:xfrm>
                      <a:off x="0" y="0"/>
                      <a:ext cx="5683885" cy="3422650"/>
                    </a:xfrm>
                    <a:prstGeom prst="rect">
                      <a:avLst/>
                    </a:prstGeom>
                    <a:noFill/>
                    <a:ln>
                      <a:noFill/>
                    </a:ln>
                  </pic:spPr>
                </pic:pic>
              </a:graphicData>
            </a:graphic>
          </wp:inline>
        </w:drawing>
      </w:r>
      <w:r w:rsidRPr="008859B3">
        <w:rPr>
          <w:rFonts w:ascii="Calibri" w:eastAsia="Calibri" w:hAnsi="Calibri"/>
          <w:sz w:val="22"/>
          <w:szCs w:val="22"/>
          <w:lang w:eastAsia="en-US"/>
        </w:rPr>
        <w:fldChar w:fldCharType="end"/>
      </w:r>
    </w:p>
    <w:p w14:paraId="1C5D59C4" w14:textId="77777777" w:rsidR="008859B3" w:rsidRPr="008859B3" w:rsidRDefault="008859B3" w:rsidP="008859B3">
      <w:pPr>
        <w:spacing w:after="360" w:line="360" w:lineRule="auto"/>
        <w:ind w:right="-159"/>
        <w:jc w:val="both"/>
        <w:rPr>
          <w:sz w:val="26"/>
          <w:szCs w:val="26"/>
          <w:lang w:val="es-ES"/>
        </w:rPr>
      </w:pPr>
      <w:bookmarkStart w:id="15" w:name="OLE_LINK101"/>
      <w:bookmarkStart w:id="16" w:name="OLE_LINK96"/>
      <w:r w:rsidRPr="008859B3">
        <w:rPr>
          <w:sz w:val="26"/>
          <w:szCs w:val="26"/>
          <w:lang w:val="es-ES"/>
        </w:rPr>
        <w:t>En este entorno, durante el período enero-febrero de 2015, la balanza turística de México reportó un saldo de 1 mil 565 millones 434 mil 890 dólares, cantidad 15.87% superior con respecto al mismo período del año anterior.</w:t>
      </w:r>
      <w:bookmarkEnd w:id="15"/>
      <w:bookmarkEnd w:id="16"/>
    </w:p>
    <w:p w14:paraId="444978B0" w14:textId="77777777" w:rsidR="008859B3" w:rsidRPr="008859B3" w:rsidRDefault="008859B3" w:rsidP="008859B3">
      <w:pPr>
        <w:spacing w:after="360" w:line="360" w:lineRule="auto"/>
        <w:ind w:right="-159"/>
        <w:jc w:val="both"/>
        <w:rPr>
          <w:sz w:val="26"/>
          <w:szCs w:val="26"/>
          <w:lang w:val="es-ES"/>
        </w:rPr>
      </w:pPr>
    </w:p>
    <w:p w14:paraId="51A7D286" w14:textId="77777777" w:rsidR="008859B3" w:rsidRPr="008859B3" w:rsidRDefault="008859B3" w:rsidP="008859B3">
      <w:pPr>
        <w:spacing w:after="360" w:line="360" w:lineRule="auto"/>
        <w:ind w:right="-159"/>
        <w:jc w:val="both"/>
        <w:rPr>
          <w:sz w:val="26"/>
          <w:szCs w:val="26"/>
          <w:lang w:val="es-ES"/>
        </w:rPr>
      </w:pPr>
    </w:p>
    <w:p w14:paraId="2E444FAC" w14:textId="77777777" w:rsidR="008859B3" w:rsidRPr="008859B3" w:rsidRDefault="008859B3" w:rsidP="008859B3">
      <w:pPr>
        <w:spacing w:after="360" w:line="360" w:lineRule="auto"/>
        <w:ind w:right="-159"/>
        <w:jc w:val="both"/>
        <w:rPr>
          <w:sz w:val="26"/>
          <w:szCs w:val="26"/>
          <w:lang w:val="es-ES"/>
        </w:rPr>
      </w:pPr>
    </w:p>
    <w:p w14:paraId="0DB15008" w14:textId="77777777" w:rsidR="008859B3" w:rsidRPr="008859B3" w:rsidRDefault="008859B3" w:rsidP="008859B3">
      <w:pPr>
        <w:spacing w:after="360" w:line="360" w:lineRule="auto"/>
        <w:ind w:right="-159"/>
        <w:jc w:val="both"/>
        <w:rPr>
          <w:sz w:val="26"/>
          <w:szCs w:val="26"/>
          <w:lang w:val="es-ES"/>
        </w:rPr>
      </w:pPr>
    </w:p>
    <w:p w14:paraId="6657EE83" w14:textId="77777777" w:rsidR="008859B3" w:rsidRPr="008859B3" w:rsidRDefault="008859B3" w:rsidP="008859B3">
      <w:pPr>
        <w:spacing w:after="360" w:line="360" w:lineRule="auto"/>
        <w:ind w:right="-159"/>
        <w:jc w:val="center"/>
        <w:rPr>
          <w:sz w:val="26"/>
          <w:szCs w:val="26"/>
          <w:lang w:val="es-ES"/>
        </w:rPr>
      </w:pPr>
      <w:r w:rsidRPr="008859B3">
        <w:rPr>
          <w:rFonts w:ascii="Calibri" w:eastAsia="Calibri" w:hAnsi="Calibri"/>
          <w:sz w:val="22"/>
          <w:szCs w:val="22"/>
          <w:lang w:eastAsia="en-US"/>
        </w:rPr>
        <w:lastRenderedPageBreak/>
        <w:fldChar w:fldCharType="begin"/>
      </w:r>
      <w:r w:rsidRPr="008859B3">
        <w:rPr>
          <w:rFonts w:ascii="Calibri" w:eastAsia="Calibri" w:hAnsi="Calibri"/>
          <w:sz w:val="22"/>
          <w:szCs w:val="22"/>
          <w:lang w:eastAsia="en-US"/>
        </w:rPr>
        <w:instrText xml:space="preserve"> LINK PowerPoint.Slide.8 "D:\\2015\\ABRIL\\GRÁFICAS POWER POINT\\24.- GRÁFICAS BALANZA TURISTICA II.pptx!274" "" \a \p </w:instrText>
      </w:r>
      <w:r w:rsidRPr="008859B3">
        <w:rPr>
          <w:rFonts w:ascii="Calibri" w:eastAsia="Calibri" w:hAnsi="Calibri"/>
          <w:sz w:val="22"/>
          <w:szCs w:val="22"/>
          <w:lang w:eastAsia="en-US"/>
        </w:rPr>
        <w:fldChar w:fldCharType="separate"/>
      </w:r>
      <w:r w:rsidRPr="008859B3">
        <w:rPr>
          <w:rFonts w:ascii="Calibri" w:eastAsia="Calibri" w:hAnsi="Calibri"/>
          <w:noProof/>
          <w:sz w:val="22"/>
          <w:szCs w:val="22"/>
          <w:lang w:eastAsia="es-MX"/>
        </w:rPr>
        <w:drawing>
          <wp:inline distT="0" distB="0" distL="0" distR="0" wp14:anchorId="0B37274A" wp14:editId="5DEAF4C2">
            <wp:extent cx="4436110" cy="2897505"/>
            <wp:effectExtent l="0" t="0" r="2540" b="0"/>
            <wp:docPr id="1769" name="Imagen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53" cstate="print">
                      <a:extLst>
                        <a:ext uri="{28A0092B-C50C-407E-A947-70E740481C1C}">
                          <a14:useLocalDpi xmlns:a14="http://schemas.microsoft.com/office/drawing/2010/main" val="0"/>
                        </a:ext>
                      </a:extLst>
                    </a:blip>
                    <a:srcRect l="9782" t="11589" r="17313" b="3783"/>
                    <a:stretch>
                      <a:fillRect/>
                    </a:stretch>
                  </pic:blipFill>
                  <pic:spPr bwMode="auto">
                    <a:xfrm>
                      <a:off x="0" y="0"/>
                      <a:ext cx="4436110" cy="2897505"/>
                    </a:xfrm>
                    <a:prstGeom prst="rect">
                      <a:avLst/>
                    </a:prstGeom>
                    <a:noFill/>
                    <a:ln>
                      <a:noFill/>
                    </a:ln>
                  </pic:spPr>
                </pic:pic>
              </a:graphicData>
            </a:graphic>
          </wp:inline>
        </w:drawing>
      </w:r>
      <w:r w:rsidRPr="008859B3">
        <w:rPr>
          <w:rFonts w:ascii="Calibri" w:eastAsia="Calibri" w:hAnsi="Calibri"/>
          <w:sz w:val="22"/>
          <w:szCs w:val="22"/>
          <w:lang w:eastAsia="en-US"/>
        </w:rPr>
        <w:fldChar w:fldCharType="end"/>
      </w:r>
    </w:p>
    <w:p w14:paraId="56660CDA" w14:textId="77777777" w:rsidR="008859B3" w:rsidRPr="008859B3" w:rsidRDefault="008859B3" w:rsidP="008859B3">
      <w:pPr>
        <w:ind w:right="-159"/>
        <w:jc w:val="both"/>
        <w:rPr>
          <w:b/>
          <w:sz w:val="20"/>
          <w:szCs w:val="20"/>
          <w:lang w:val="es-ES"/>
        </w:rPr>
      </w:pPr>
      <w:r w:rsidRPr="008859B3">
        <w:rPr>
          <w:b/>
          <w:sz w:val="20"/>
          <w:szCs w:val="20"/>
          <w:lang w:val="es-ES"/>
        </w:rPr>
        <w:t xml:space="preserve">Fuente de información: </w:t>
      </w:r>
    </w:p>
    <w:p w14:paraId="2407EB4D" w14:textId="77777777" w:rsidR="008859B3" w:rsidRPr="00525B73" w:rsidRDefault="00D936FE" w:rsidP="008859B3">
      <w:pPr>
        <w:rPr>
          <w:color w:val="0000FF"/>
          <w:sz w:val="20"/>
          <w:szCs w:val="20"/>
        </w:rPr>
      </w:pPr>
      <w:hyperlink r:id="rId54" w:history="1">
        <w:r w:rsidR="008859B3" w:rsidRPr="00525B73">
          <w:rPr>
            <w:color w:val="0000FF"/>
            <w:sz w:val="20"/>
            <w:szCs w:val="20"/>
            <w:u w:val="single"/>
          </w:rPr>
          <w:t>http://www.banxico.org.mx/SieInternet/consultarDirectorioInternetAction.do?accion=consultarCuadroAnalitico&amp;idCuadro=CA198&amp;sector=1&amp;locale=es</w:t>
        </w:r>
      </w:hyperlink>
    </w:p>
    <w:p w14:paraId="5EDAB639" w14:textId="77777777" w:rsidR="008859B3" w:rsidRPr="00525B73" w:rsidRDefault="00D936FE" w:rsidP="00525B73">
      <w:pPr>
        <w:spacing w:after="720"/>
        <w:rPr>
          <w:color w:val="0000FF"/>
          <w:sz w:val="20"/>
          <w:szCs w:val="20"/>
          <w:lang w:val="es-ES"/>
        </w:rPr>
      </w:pPr>
      <w:hyperlink r:id="rId55" w:history="1">
        <w:r w:rsidR="008859B3" w:rsidRPr="00525B73">
          <w:rPr>
            <w:color w:val="0000FF"/>
            <w:sz w:val="20"/>
            <w:szCs w:val="20"/>
            <w:u w:val="single"/>
          </w:rPr>
          <w:t>http://www.banxico.org.mx/SieInternet/consultarDirectorioInternetAction.do?accion=consultarCuadroAnalitico&amp;idCuadro=CA199&amp;sector=1&amp;locale=es</w:t>
        </w:r>
      </w:hyperlink>
      <w:r w:rsidR="008859B3" w:rsidRPr="00525B73">
        <w:rPr>
          <w:color w:val="0000FF"/>
          <w:sz w:val="20"/>
          <w:szCs w:val="20"/>
        </w:rPr>
        <w:t xml:space="preserve"> </w:t>
      </w:r>
    </w:p>
    <w:p w14:paraId="5B07C5BB" w14:textId="77777777" w:rsidR="00B24F93" w:rsidRPr="00B24F93" w:rsidRDefault="00B24F93" w:rsidP="00B24F93">
      <w:pPr>
        <w:ind w:right="-159"/>
        <w:jc w:val="both"/>
        <w:rPr>
          <w:rFonts w:eastAsia="Calibri"/>
          <w:b/>
          <w:sz w:val="26"/>
          <w:szCs w:val="26"/>
          <w:lang w:eastAsia="en-US"/>
        </w:rPr>
      </w:pPr>
      <w:r w:rsidRPr="00B24F93">
        <w:rPr>
          <w:rFonts w:eastAsia="Calibri"/>
          <w:b/>
          <w:sz w:val="26"/>
          <w:szCs w:val="26"/>
          <w:lang w:eastAsia="en-US"/>
        </w:rPr>
        <w:t>El Presidente de los Estados Unidos</w:t>
      </w:r>
    </w:p>
    <w:p w14:paraId="54396C93" w14:textId="364D8FF6" w:rsidR="00B24F93" w:rsidRPr="00B24F93" w:rsidRDefault="00B24F93" w:rsidP="00B24F93">
      <w:pPr>
        <w:ind w:right="-159"/>
        <w:jc w:val="both"/>
        <w:rPr>
          <w:rFonts w:eastAsia="Calibri"/>
          <w:b/>
          <w:sz w:val="26"/>
          <w:szCs w:val="26"/>
          <w:lang w:eastAsia="en-US"/>
        </w:rPr>
      </w:pPr>
      <w:r w:rsidRPr="00B24F93">
        <w:rPr>
          <w:rFonts w:eastAsia="Calibri"/>
          <w:b/>
          <w:sz w:val="26"/>
          <w:szCs w:val="26"/>
          <w:lang w:eastAsia="en-US"/>
        </w:rPr>
        <w:t xml:space="preserve">Mexicanos,  durante  el </w:t>
      </w:r>
      <w:r w:rsidR="00522F10">
        <w:rPr>
          <w:rFonts w:eastAsia="Calibri"/>
          <w:b/>
          <w:sz w:val="26"/>
          <w:szCs w:val="26"/>
          <w:lang w:eastAsia="en-US"/>
        </w:rPr>
        <w:t xml:space="preserve"> </w:t>
      </w:r>
      <w:r w:rsidRPr="00B24F93">
        <w:rPr>
          <w:rFonts w:eastAsia="Calibri"/>
          <w:b/>
          <w:sz w:val="26"/>
          <w:szCs w:val="26"/>
          <w:lang w:eastAsia="en-US"/>
        </w:rPr>
        <w:t>Anuncio de</w:t>
      </w:r>
    </w:p>
    <w:p w14:paraId="3A0734D8" w14:textId="1C712E8C" w:rsidR="00B24F93" w:rsidRPr="00B24F93" w:rsidRDefault="00B24F93" w:rsidP="00B24F93">
      <w:pPr>
        <w:ind w:right="-159"/>
        <w:jc w:val="both"/>
        <w:rPr>
          <w:rFonts w:eastAsia="Calibri"/>
          <w:b/>
          <w:sz w:val="26"/>
          <w:szCs w:val="26"/>
          <w:lang w:eastAsia="en-US"/>
        </w:rPr>
      </w:pPr>
      <w:r w:rsidRPr="00B24F93">
        <w:rPr>
          <w:rFonts w:eastAsia="Calibri"/>
          <w:b/>
          <w:sz w:val="26"/>
          <w:szCs w:val="26"/>
          <w:lang w:eastAsia="en-US"/>
        </w:rPr>
        <w:t xml:space="preserve">Inversión </w:t>
      </w:r>
      <w:r w:rsidR="00522F10">
        <w:rPr>
          <w:rFonts w:eastAsia="Calibri"/>
          <w:b/>
          <w:sz w:val="26"/>
          <w:szCs w:val="26"/>
          <w:lang w:eastAsia="en-US"/>
        </w:rPr>
        <w:t xml:space="preserve"> </w:t>
      </w:r>
      <w:r w:rsidRPr="00B24F93">
        <w:rPr>
          <w:rFonts w:eastAsia="Calibri"/>
          <w:b/>
          <w:sz w:val="26"/>
          <w:szCs w:val="26"/>
          <w:lang w:eastAsia="en-US"/>
        </w:rPr>
        <w:t xml:space="preserve"> en </w:t>
      </w:r>
      <w:r w:rsidR="00522F10">
        <w:rPr>
          <w:rFonts w:eastAsia="Calibri"/>
          <w:b/>
          <w:sz w:val="26"/>
          <w:szCs w:val="26"/>
          <w:lang w:eastAsia="en-US"/>
        </w:rPr>
        <w:t xml:space="preserve"> </w:t>
      </w:r>
      <w:r w:rsidRPr="00B24F93">
        <w:rPr>
          <w:rFonts w:eastAsia="Calibri"/>
          <w:b/>
          <w:sz w:val="26"/>
          <w:szCs w:val="26"/>
          <w:lang w:eastAsia="en-US"/>
        </w:rPr>
        <w:t xml:space="preserve"> el </w:t>
      </w:r>
      <w:r w:rsidR="00522F10">
        <w:rPr>
          <w:rFonts w:eastAsia="Calibri"/>
          <w:b/>
          <w:sz w:val="26"/>
          <w:szCs w:val="26"/>
          <w:lang w:eastAsia="en-US"/>
        </w:rPr>
        <w:t xml:space="preserve"> </w:t>
      </w:r>
      <w:r w:rsidRPr="00B24F93">
        <w:rPr>
          <w:rFonts w:eastAsia="Calibri"/>
          <w:b/>
          <w:sz w:val="26"/>
          <w:szCs w:val="26"/>
          <w:lang w:eastAsia="en-US"/>
        </w:rPr>
        <w:t xml:space="preserve"> Sector </w:t>
      </w:r>
      <w:r w:rsidR="00522F10">
        <w:rPr>
          <w:rFonts w:eastAsia="Calibri"/>
          <w:b/>
          <w:sz w:val="26"/>
          <w:szCs w:val="26"/>
          <w:lang w:eastAsia="en-US"/>
        </w:rPr>
        <w:t xml:space="preserve"> </w:t>
      </w:r>
      <w:r w:rsidRPr="00B24F93">
        <w:rPr>
          <w:rFonts w:eastAsia="Calibri"/>
          <w:b/>
          <w:sz w:val="26"/>
          <w:szCs w:val="26"/>
          <w:lang w:eastAsia="en-US"/>
        </w:rPr>
        <w:t xml:space="preserve"> Turístico</w:t>
      </w:r>
    </w:p>
    <w:p w14:paraId="41831C75" w14:textId="77777777" w:rsidR="00B24F93" w:rsidRPr="00B24F93" w:rsidRDefault="00B24F93" w:rsidP="00B24F93">
      <w:pPr>
        <w:spacing w:after="360" w:line="360" w:lineRule="auto"/>
        <w:ind w:right="-159"/>
        <w:jc w:val="both"/>
        <w:rPr>
          <w:rFonts w:eastAsia="Calibri"/>
          <w:b/>
          <w:sz w:val="26"/>
          <w:szCs w:val="26"/>
          <w:lang w:eastAsia="en-US"/>
        </w:rPr>
      </w:pPr>
      <w:r w:rsidRPr="00B24F93">
        <w:rPr>
          <w:rFonts w:eastAsia="Calibri"/>
          <w:b/>
          <w:sz w:val="26"/>
          <w:szCs w:val="26"/>
          <w:lang w:eastAsia="en-US"/>
        </w:rPr>
        <w:t>(Presidencia de la República)</w:t>
      </w:r>
    </w:p>
    <w:p w14:paraId="5DE7941C" w14:textId="1B1A19A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El 9 de abril de 2015, la Presidencia de la República dio a conocer la participación del Presidente de los Estados Unidos Mexicanos durante el Anuncio de Inversión en el Sector Turístico. A continuación se presenta la nota.</w:t>
      </w:r>
    </w:p>
    <w:p w14:paraId="1829EDAF"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“Muchísimas gracias a todas y a todos ustedes.</w:t>
      </w:r>
    </w:p>
    <w:p w14:paraId="1B90218D"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 xml:space="preserve">Muchas gracias por su hospitalidad, muchas gracias por su amable mensaje de bienvenida y, sobre todo, por sumarse, como ya lo ha expresado en otras ocasiones, a hacer equipo entre los dos órdenes de Gobierno, precisamente para servir de mejor </w:t>
      </w:r>
      <w:r w:rsidRPr="00B24F93">
        <w:rPr>
          <w:rFonts w:eastAsia="Calibri"/>
          <w:sz w:val="26"/>
          <w:szCs w:val="26"/>
          <w:lang w:eastAsia="en-US"/>
        </w:rPr>
        <w:lastRenderedPageBreak/>
        <w:t>manera a los habitantes de este gran estado y, desde aquí, también contribuir a la grandeza nacional.</w:t>
      </w:r>
    </w:p>
    <w:p w14:paraId="0363E2F0" w14:textId="5356EA7E"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Quiero saludar a todas las autoridades del orden Federal, del orden estatal; a mandos navales y militares aquí presentes; a legisladores federales que hoy nos acompañan, pero de manera muy particular a quien es anfitrión de este evento, a Daniel Chávez Morán.</w:t>
      </w:r>
    </w:p>
    <w:p w14:paraId="2A05B3F5"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Daniel:</w:t>
      </w:r>
    </w:p>
    <w:p w14:paraId="37D57C45"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Muchas gracias.</w:t>
      </w:r>
    </w:p>
    <w:p w14:paraId="140D3ABC"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Agradezco a usted, a su familia aquí presente, o varios de los miembros de su familia, la gran oportunidad y distinción que es para el Presidente de la República acompañarles en el anuncio tan importante de esta inversión en favor de México.</w:t>
      </w:r>
    </w:p>
    <w:p w14:paraId="5A9305B4"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En seguir apoyando y creyendo en México, y de querer hoy comprometerse a seguir generando más infraestructura en el ámbito turístico para bien de nuestra Nación. Y, al hacerlo, ir formando una familia.</w:t>
      </w:r>
    </w:p>
    <w:p w14:paraId="554EA833"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 xml:space="preserve">Aquí están, y saludo con gran respeto, a quienes forman parte de Grupo </w:t>
      </w:r>
      <w:proofErr w:type="spellStart"/>
      <w:r w:rsidRPr="00B24F93">
        <w:rPr>
          <w:rFonts w:eastAsia="Calibri"/>
          <w:sz w:val="26"/>
          <w:szCs w:val="26"/>
          <w:lang w:eastAsia="en-US"/>
        </w:rPr>
        <w:t>Vidanta</w:t>
      </w:r>
      <w:proofErr w:type="spellEnd"/>
      <w:r w:rsidRPr="00B24F93">
        <w:rPr>
          <w:rFonts w:eastAsia="Calibri"/>
          <w:sz w:val="26"/>
          <w:szCs w:val="26"/>
          <w:lang w:eastAsia="en-US"/>
        </w:rPr>
        <w:t xml:space="preserve">; a quienes son jóvenes, mujeres, hombres, que en algunos años, o muchos años, ya de trabajar en esta familia de Grupo </w:t>
      </w:r>
      <w:proofErr w:type="spellStart"/>
      <w:r w:rsidRPr="00B24F93">
        <w:rPr>
          <w:rFonts w:eastAsia="Calibri"/>
          <w:sz w:val="26"/>
          <w:szCs w:val="26"/>
          <w:lang w:eastAsia="en-US"/>
        </w:rPr>
        <w:t>Vidanta</w:t>
      </w:r>
      <w:proofErr w:type="spellEnd"/>
      <w:r w:rsidRPr="00B24F93">
        <w:rPr>
          <w:rFonts w:eastAsia="Calibri"/>
          <w:sz w:val="26"/>
          <w:szCs w:val="26"/>
          <w:lang w:eastAsia="en-US"/>
        </w:rPr>
        <w:t>.</w:t>
      </w:r>
    </w:p>
    <w:p w14:paraId="45979640"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 xml:space="preserve">Les saludo de la forma coincidente que empleo, Daniel comentaba hace un momento; coincidimos, no sé quién fue el primero, seguramente ustedes por los años que tienen ya como un grupo conformado, pero, de corazón, saludo a todas y a todos los integrantes de la familia </w:t>
      </w:r>
      <w:proofErr w:type="spellStart"/>
      <w:r w:rsidRPr="00B24F93">
        <w:rPr>
          <w:rFonts w:eastAsia="Calibri"/>
          <w:sz w:val="26"/>
          <w:szCs w:val="26"/>
          <w:lang w:eastAsia="en-US"/>
        </w:rPr>
        <w:t>Vidanta</w:t>
      </w:r>
      <w:proofErr w:type="spellEnd"/>
      <w:r w:rsidRPr="00B24F93">
        <w:rPr>
          <w:rFonts w:eastAsia="Calibri"/>
          <w:sz w:val="26"/>
          <w:szCs w:val="26"/>
          <w:lang w:eastAsia="en-US"/>
        </w:rPr>
        <w:t>.</w:t>
      </w:r>
    </w:p>
    <w:p w14:paraId="636BFA67"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lastRenderedPageBreak/>
        <w:t>Hoy, nos reúne, como aquí se ha expresado ya, el anuncio de esta importante inversión, en nuestro país, México, que es un destino turístico de clase mundial.</w:t>
      </w:r>
    </w:p>
    <w:p w14:paraId="40722380"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Esto significa que México es, dentro del mundo, uno de los destinos más importantes, más reconocidos y que mayor número de turistas tiene por visitantes.</w:t>
      </w:r>
    </w:p>
    <w:p w14:paraId="75C8B66B"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México, verdaderamente, se ha venido consolidando como una Nación que, dentro de su actividad económica y social, una de las más relevantes e importantes es la actividad turística.</w:t>
      </w:r>
    </w:p>
    <w:p w14:paraId="300B2DAB"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 xml:space="preserve">Esta actividad genera empleo para millones de mexicanas y de mexicanos, de forma directa para 3 millones de mexicanas y mexicanos que viven de la actividad turística; para más de cinco millones que de forma indirecta también se benefician de esta actividad. </w:t>
      </w:r>
    </w:p>
    <w:p w14:paraId="37E3CA45"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Ese es el impacto que tiene la actividad turística de nuestro país. Y en los últimos años hemos observado cómo esta actividad se consolida, crece y ofrece oportunidades de realización personal para millones de mexicanos.</w:t>
      </w:r>
    </w:p>
    <w:p w14:paraId="38D3880B"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Hace poco, en Acapulco, anuncié cómo en 2014 el turismo en nuestro país creció de manera muy significativa.</w:t>
      </w:r>
    </w:p>
    <w:p w14:paraId="2616D2B5"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Si bien ya éramos un destino turístico consolidado e importante, ubicado por el número de visitantes en el quinceavo lugar, pasamos en 2014 a ser ya un destino entre los                10 más importantes del mundo; de tener poco más de 23 millones de turistas al año, a haber tenido en el año 2014 casi 30 millones de turistas que visitaron nuestro país.</w:t>
      </w:r>
    </w:p>
    <w:p w14:paraId="549E32E2"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Y además, con cifras muy alentadoras, porque ya en estos primeros meses del año 2015, se registran números muy importantes en el crecimiento de más turistas, de más visitantes, que por vía aérea o por vía terrestre, están visitando nuestro país.</w:t>
      </w:r>
    </w:p>
    <w:p w14:paraId="5412ECBB"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lastRenderedPageBreak/>
        <w:t>Esto, sin duda, resulta muy alentador. Y a veces pareciera que no quisiéramos o nos negáramos a reconocer los avances y a registrar las buenas noticias. Estamos en búsqueda de ellas y cuando las tenemos frente a nosotros, pareciera que no las vemos.</w:t>
      </w:r>
    </w:p>
    <w:p w14:paraId="75109999"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En este ámbito, en el ámbito turístico, son buenas las noticias que hay. México sigue avanzando, sigue creciendo su infraestructura, amplía los destinos turísticos que ofrece para los habitantes de este país y para visitantes extranjeros.</w:t>
      </w:r>
    </w:p>
    <w:p w14:paraId="18E1705B"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 xml:space="preserve">La calidad de los servicios que ofrece cada día </w:t>
      </w:r>
      <w:proofErr w:type="gramStart"/>
      <w:r w:rsidRPr="00B24F93">
        <w:rPr>
          <w:rFonts w:eastAsia="Calibri"/>
          <w:sz w:val="26"/>
          <w:szCs w:val="26"/>
          <w:lang w:eastAsia="en-US"/>
        </w:rPr>
        <w:t>son</w:t>
      </w:r>
      <w:proofErr w:type="gramEnd"/>
      <w:r w:rsidRPr="00B24F93">
        <w:rPr>
          <w:rFonts w:eastAsia="Calibri"/>
          <w:sz w:val="26"/>
          <w:szCs w:val="26"/>
          <w:lang w:eastAsia="en-US"/>
        </w:rPr>
        <w:t xml:space="preserve"> de mayor calidad. Por eso, los turistas regresan a México; por eso, más turistas quieren conocer México; por eso, el número de visitantes que se ha incrementado de esta manera.</w:t>
      </w:r>
    </w:p>
    <w:p w14:paraId="1BA00A95" w14:textId="486EC0E9"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Si bien</w:t>
      </w:r>
      <w:r w:rsidR="00297CBE">
        <w:rPr>
          <w:rFonts w:eastAsia="Calibri"/>
          <w:sz w:val="26"/>
          <w:szCs w:val="26"/>
          <w:lang w:eastAsia="en-US"/>
        </w:rPr>
        <w:t>,</w:t>
      </w:r>
      <w:r w:rsidRPr="00B24F93">
        <w:rPr>
          <w:rFonts w:eastAsia="Calibri"/>
          <w:sz w:val="26"/>
          <w:szCs w:val="26"/>
          <w:lang w:eastAsia="en-US"/>
        </w:rPr>
        <w:t xml:space="preserve"> en 2014, también ya lo he compartido, el crecimiento de la actividad turística que se registró en el mundo fue apenas o casi del cinco por ciento, 4.7%, en México el crecimiento fue de más del 20 por ciento.</w:t>
      </w:r>
    </w:p>
    <w:p w14:paraId="65C2C075"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Y qué hizo posible que esta actividad esté creciendo de forma tan relevante y significativa en nuestro país.</w:t>
      </w:r>
    </w:p>
    <w:p w14:paraId="7B5E2988"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 xml:space="preserve">Primero. La confianza que hay en los inversionistas nacionales, como es el caso de Grupo </w:t>
      </w:r>
      <w:proofErr w:type="spellStart"/>
      <w:r w:rsidRPr="00B24F93">
        <w:rPr>
          <w:rFonts w:eastAsia="Calibri"/>
          <w:sz w:val="26"/>
          <w:szCs w:val="26"/>
          <w:lang w:eastAsia="en-US"/>
        </w:rPr>
        <w:t>Vidanta</w:t>
      </w:r>
      <w:proofErr w:type="spellEnd"/>
      <w:r w:rsidRPr="00B24F93">
        <w:rPr>
          <w:rFonts w:eastAsia="Calibri"/>
          <w:sz w:val="26"/>
          <w:szCs w:val="26"/>
          <w:lang w:eastAsia="en-US"/>
        </w:rPr>
        <w:t>, que encabeza Daniel Chávez, y de otros grupos nacionales y extranjeros que ven en México un gran espacio de oportunidad.</w:t>
      </w:r>
    </w:p>
    <w:p w14:paraId="666C4F39"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Pero no sólo es eso, sino lo que anima y alienta, precisamente, este tipo de inversiones es reconocer la calidez que tienen los mexicanos.</w:t>
      </w:r>
    </w:p>
    <w:p w14:paraId="6428319F"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El ser, los mexicanos, espléndidos anfitriones; mostrar calidad humana en el trato que tiene para con otras personas, y en esa calidez, que no se encuentra en cualquier otra parte del mundo, en México la hay. Por eso, se incrementa, crece y más turistas están presentes en nuestro país.</w:t>
      </w:r>
    </w:p>
    <w:p w14:paraId="75047A86"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lastRenderedPageBreak/>
        <w:t>Por ello, es de reconocer esa calidez que tienen los mexicanos para ser motor y ser parte contribuyente muy importante a que el turismo en México se siga consolidando.</w:t>
      </w:r>
    </w:p>
    <w:p w14:paraId="47DD57BF"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Muchísimas felicidades.</w:t>
      </w:r>
    </w:p>
    <w:p w14:paraId="117C17FA"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En este espacio de reconocer y de apreciar las buenas noticias que vemos en el turismo de nuestro país, en una actividad que crece, en una actividad que genera más empleos, empleos además especialmente para mujeres y para jóvenes, que están teniendo un espacio de realización profesional dentro de la actividad turística.</w:t>
      </w:r>
    </w:p>
    <w:p w14:paraId="60B08046"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 xml:space="preserve">Al advertir este escenario, resulta relevante hoy lo que hemos escuchado en voz del Presidente de Grupo </w:t>
      </w:r>
      <w:proofErr w:type="spellStart"/>
      <w:r w:rsidRPr="00B24F93">
        <w:rPr>
          <w:rFonts w:eastAsia="Calibri"/>
          <w:sz w:val="26"/>
          <w:szCs w:val="26"/>
          <w:lang w:eastAsia="en-US"/>
        </w:rPr>
        <w:t>Vidanta</w:t>
      </w:r>
      <w:proofErr w:type="spellEnd"/>
      <w:r w:rsidRPr="00B24F93">
        <w:rPr>
          <w:rFonts w:eastAsia="Calibri"/>
          <w:sz w:val="26"/>
          <w:szCs w:val="26"/>
          <w:lang w:eastAsia="en-US"/>
        </w:rPr>
        <w:t xml:space="preserve">, y que al acompañarle en el anuncio de esta inversión, superior a los 18 mil millones de pesos para ampliar la infraestructura en distintos destinos turísticos, donde Grupo </w:t>
      </w:r>
      <w:proofErr w:type="spellStart"/>
      <w:r w:rsidRPr="00B24F93">
        <w:rPr>
          <w:rFonts w:eastAsia="Calibri"/>
          <w:sz w:val="26"/>
          <w:szCs w:val="26"/>
          <w:lang w:eastAsia="en-US"/>
        </w:rPr>
        <w:t>Vidanta</w:t>
      </w:r>
      <w:proofErr w:type="spellEnd"/>
      <w:r w:rsidRPr="00B24F93">
        <w:rPr>
          <w:rFonts w:eastAsia="Calibri"/>
          <w:sz w:val="26"/>
          <w:szCs w:val="26"/>
          <w:lang w:eastAsia="en-US"/>
        </w:rPr>
        <w:t xml:space="preserve"> tiene presencia, vale la pena destacar aquí, primero, la confianza en México.</w:t>
      </w:r>
    </w:p>
    <w:p w14:paraId="6E35EEF2"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Un grupo empresarial mexicano que reafirma su confianza en México, y que sigue invirtiendo en México; que observa lo que debemos, creo yo, observar todos como sociedad: México, hoy, abre oportunidades para los mexicanos, de poder realizarse en distintos espacios.</w:t>
      </w:r>
    </w:p>
    <w:p w14:paraId="261C9AE0"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Ésta es una de ellas: la actividad turística.</w:t>
      </w:r>
    </w:p>
    <w:p w14:paraId="326E38A6"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Por ello, a Daniel Chávez le agradezco esta oportunidad de estar aquí, y le deseo mayores éxitos a los ya cosechados.</w:t>
      </w:r>
    </w:p>
    <w:p w14:paraId="498017C3"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 xml:space="preserve">Pero que estoy seguro que la confianza que pone hoy en esta actividad y en nuestro país, habrá de reafirmarse en mayor crecimiento de este Grupo, en la generación de más empleos, como aquí lo señaló, que alcanzarán en la previsión que ustedes tienen, 18 mil empleos, partiendo de 12 mil que tenían hace apenas dos años, y que todo ello </w:t>
      </w:r>
      <w:r w:rsidRPr="00B24F93">
        <w:rPr>
          <w:rFonts w:eastAsia="Calibri"/>
          <w:sz w:val="26"/>
          <w:szCs w:val="26"/>
          <w:lang w:eastAsia="en-US"/>
        </w:rPr>
        <w:lastRenderedPageBreak/>
        <w:t>contribuya a la generación de mayor dinamismo en nuestro país, dinamismo económico, de mayor crecimiento de la industria turística de nuestro país y, sobre todo, la ampliación de oportunidades para más y para más mexicanos.</w:t>
      </w:r>
    </w:p>
    <w:p w14:paraId="521C7D6A"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Muchas felicidades, Daniel, y muchas gracias por esta oportunidad.</w:t>
      </w:r>
    </w:p>
    <w:p w14:paraId="2A0422BA"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 xml:space="preserve">Quiero también recoger, de lo expresado por el Presidente del Grupo </w:t>
      </w:r>
      <w:proofErr w:type="spellStart"/>
      <w:r w:rsidRPr="00B24F93">
        <w:rPr>
          <w:rFonts w:eastAsia="Calibri"/>
          <w:sz w:val="26"/>
          <w:szCs w:val="26"/>
          <w:lang w:eastAsia="en-US"/>
        </w:rPr>
        <w:t>Vidanta</w:t>
      </w:r>
      <w:proofErr w:type="spellEnd"/>
      <w:r w:rsidRPr="00B24F93">
        <w:rPr>
          <w:rFonts w:eastAsia="Calibri"/>
          <w:sz w:val="26"/>
          <w:szCs w:val="26"/>
          <w:lang w:eastAsia="en-US"/>
        </w:rPr>
        <w:t>, que amablemente nos ha compartido su historia de éxito, éstas que queremos tengan muchos mexicanos.</w:t>
      </w:r>
    </w:p>
    <w:p w14:paraId="7BB4FD87"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Que los mexicanos con visión positiva, constructiva puedan realmente encontrar el espacio de oportunidad para su realización personal.</w:t>
      </w:r>
    </w:p>
    <w:p w14:paraId="696F1A94"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 xml:space="preserve">Gracias, Daniel, por compartirnos esta experiencia. Esta experiencia del nacimiento, de cómo creció, de cómo se fue conformando Grupo </w:t>
      </w:r>
      <w:proofErr w:type="spellStart"/>
      <w:r w:rsidRPr="00B24F93">
        <w:rPr>
          <w:rFonts w:eastAsia="Calibri"/>
          <w:sz w:val="26"/>
          <w:szCs w:val="26"/>
          <w:lang w:eastAsia="en-US"/>
        </w:rPr>
        <w:t>Vidanta</w:t>
      </w:r>
      <w:proofErr w:type="spellEnd"/>
      <w:r w:rsidRPr="00B24F93">
        <w:rPr>
          <w:rFonts w:eastAsia="Calibri"/>
          <w:sz w:val="26"/>
          <w:szCs w:val="26"/>
          <w:lang w:eastAsia="en-US"/>
        </w:rPr>
        <w:t xml:space="preserve"> y que hoy, sin duda, es un caso de éxito empresarial en nuestro país.</w:t>
      </w:r>
    </w:p>
    <w:p w14:paraId="665B8764"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Y a final de cuentas tiene que ver con la actitud que se tenga frente a los escenarios y frente a las oportunidades.</w:t>
      </w:r>
    </w:p>
    <w:p w14:paraId="6065E92F"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Lo que el Gobierno de la República está queriendo construir son mayores oportunidades y eso, me parece, lo estamos concretando en distintos espacios.</w:t>
      </w:r>
    </w:p>
    <w:p w14:paraId="40AF9275"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Sí en el ámbito turístico y en otros en los que se han impulsado cambios, ajustes, reformas, se tienen políticas públicas, se hacen inversiones en infraestructura para ampliar los horizontes de oportunidad para más mexicanas y mexicanos.</w:t>
      </w:r>
    </w:p>
    <w:p w14:paraId="2A9258F0"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Esto es lo que el Gobierno de la República está impulsando.</w:t>
      </w:r>
    </w:p>
    <w:p w14:paraId="4B6ABF23"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 xml:space="preserve">Por ello, quiero agradecer el ofrecimiento que Daniel ha hecho a una de las indicaciones que en el Tianguis Turístico de Acapulco, hiciera a la Secretaria de Turismo para </w:t>
      </w:r>
      <w:r w:rsidRPr="00B24F93">
        <w:rPr>
          <w:rFonts w:eastAsia="Calibri"/>
          <w:sz w:val="26"/>
          <w:szCs w:val="26"/>
          <w:lang w:eastAsia="en-US"/>
        </w:rPr>
        <w:lastRenderedPageBreak/>
        <w:t>revisar, dentro de las políticas que impulsa el Gobierno, el impulso al turismo social, el lograr que más mexicanos, sin importar el estrato social al que pertenezcan o de donde vengan, puedan apreciar, reconocer y recorrer los distintos destinos turísticos que ofrece nuestro país.</w:t>
      </w:r>
    </w:p>
    <w:p w14:paraId="59337449"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Somos un país con una gran riqueza cultural, una gran riqueza natural, con playas que no encontramos en ninguna otra parte del mundo.</w:t>
      </w:r>
    </w:p>
    <w:p w14:paraId="2600F4CE"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Y queremos que los mexicanos las conozcan, todos estos sitios arqueológicos sean conocidos por los mexicanos.</w:t>
      </w:r>
    </w:p>
    <w:p w14:paraId="0DBC45FA"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Y por ello, necesitamos apoyar para que más mexicanos puedan conocer su propia Nación, puedan admirarse de la belleza que tiene nuestro país.</w:t>
      </w:r>
    </w:p>
    <w:p w14:paraId="0AD531B5"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Siempre he dicho, y estoy convencido de la gran Nación que somos todos, que como sociedad hemos venido conformando.</w:t>
      </w:r>
    </w:p>
    <w:p w14:paraId="2FE0B4D6"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Sin duda, que cuando Daniel empezó la conformación de este grupo, sin entonces a lo mejor apreciar hasta dónde habría de llegar y que todavía no concluye, sino que sigue haciendo camino, y ahora un gran camino; él mismo podrá dar testimonio del México que éramos entonces y cómo hemos cambiado positivamente y para bien como Nación.</w:t>
      </w:r>
    </w:p>
    <w:p w14:paraId="5A86458A"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Cómo se ha abierto nuevos horizontes, y cómo este Gobierno contribuye para que sigan ampliándose las rutas de oportunidad para más mexicanos.</w:t>
      </w:r>
    </w:p>
    <w:p w14:paraId="6C26AA21"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Esto, al final de cuentas, queremos que más mexicanos puedan encontrar un espacio de realización personal, construir una historia de éxito personal, a partir de conocer mejor su país.</w:t>
      </w:r>
    </w:p>
    <w:p w14:paraId="22599C84"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lastRenderedPageBreak/>
        <w:t>No sólo de visitarlo como turistas, no sólo de apreciarlo y de disfrutar la riqueza que México ofrece a los nacionales y a los extranjeros; sino, realmente, también, como mexicanos, puedan apreciar en dónde hay espacios de oportunidad y de realización personal.</w:t>
      </w:r>
    </w:p>
    <w:p w14:paraId="62D6366A"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La tarea del Gobierno de la República no es otra, sino la de sentar bases, generar condiciones y acercar apoyos para que cada mexicano pueda escribir su propia historia de éxito.</w:t>
      </w:r>
    </w:p>
    <w:p w14:paraId="4EF25EC4"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Eso es lo que buscamos, eso es lo que deseamos y queremos; y por ello, al final de cuentas, todo esto se concreta en la sinergia, en la suma de esfuerzos que hace el sector público, el sector social y el sector empresarial que tiene confianza en nuestro país.</w:t>
      </w:r>
    </w:p>
    <w:p w14:paraId="432A7260"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 xml:space="preserve">Nuevamente, al Grupo </w:t>
      </w:r>
      <w:proofErr w:type="spellStart"/>
      <w:r w:rsidRPr="00B24F93">
        <w:rPr>
          <w:rFonts w:eastAsia="Calibri"/>
          <w:sz w:val="26"/>
          <w:szCs w:val="26"/>
          <w:lang w:eastAsia="en-US"/>
        </w:rPr>
        <w:t>Vidanta</w:t>
      </w:r>
      <w:proofErr w:type="spellEnd"/>
      <w:r w:rsidRPr="00B24F93">
        <w:rPr>
          <w:rFonts w:eastAsia="Calibri"/>
          <w:sz w:val="26"/>
          <w:szCs w:val="26"/>
          <w:lang w:eastAsia="en-US"/>
        </w:rPr>
        <w:t xml:space="preserve">, a la familia de Grupo </w:t>
      </w:r>
      <w:proofErr w:type="spellStart"/>
      <w:r w:rsidRPr="00B24F93">
        <w:rPr>
          <w:rFonts w:eastAsia="Calibri"/>
          <w:sz w:val="26"/>
          <w:szCs w:val="26"/>
          <w:lang w:eastAsia="en-US"/>
        </w:rPr>
        <w:t>Vidanta</w:t>
      </w:r>
      <w:proofErr w:type="spellEnd"/>
      <w:r w:rsidRPr="00B24F93">
        <w:rPr>
          <w:rFonts w:eastAsia="Calibri"/>
          <w:sz w:val="26"/>
          <w:szCs w:val="26"/>
          <w:lang w:eastAsia="en-US"/>
        </w:rPr>
        <w:t xml:space="preserve">, a su presidente, a su familia, y a los integrantes de esta gran familia, </w:t>
      </w:r>
      <w:proofErr w:type="gramStart"/>
      <w:r w:rsidRPr="00B24F93">
        <w:rPr>
          <w:rFonts w:eastAsia="Calibri"/>
          <w:sz w:val="26"/>
          <w:szCs w:val="26"/>
          <w:lang w:eastAsia="en-US"/>
        </w:rPr>
        <w:t>les</w:t>
      </w:r>
      <w:proofErr w:type="gramEnd"/>
      <w:r w:rsidRPr="00B24F93">
        <w:rPr>
          <w:rFonts w:eastAsia="Calibri"/>
          <w:sz w:val="26"/>
          <w:szCs w:val="26"/>
          <w:lang w:eastAsia="en-US"/>
        </w:rPr>
        <w:t xml:space="preserve"> deseo mucho éxito.</w:t>
      </w:r>
    </w:p>
    <w:p w14:paraId="4E72994D"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Les felicito por lo que han alcanzado, por los logros que han obtenido con su diaria entrega, con su esfuerzo cotidiano, y por convertirse en un grupo ejemplar dentro del ámbito turístico de nuestro país.</w:t>
      </w:r>
    </w:p>
    <w:p w14:paraId="1D70034E"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Deseo que sigan cultivando mayores éxitos y gracias por permitirme acompañarles en el anuncio de esta importante inversión en favor de México, en favor del crecimiento de la industria turística de nuestro país.</w:t>
      </w:r>
    </w:p>
    <w:p w14:paraId="6D3B8320" w14:textId="77777777" w:rsidR="00B24F93" w:rsidRPr="00B24F93" w:rsidRDefault="00B24F93" w:rsidP="00B24F93">
      <w:pPr>
        <w:spacing w:after="360" w:line="360" w:lineRule="auto"/>
        <w:ind w:right="-159"/>
        <w:jc w:val="both"/>
        <w:rPr>
          <w:rFonts w:eastAsia="Calibri"/>
          <w:sz w:val="26"/>
          <w:szCs w:val="26"/>
          <w:lang w:eastAsia="en-US"/>
        </w:rPr>
      </w:pPr>
      <w:r w:rsidRPr="00B24F93">
        <w:rPr>
          <w:rFonts w:eastAsia="Calibri"/>
          <w:sz w:val="26"/>
          <w:szCs w:val="26"/>
          <w:lang w:eastAsia="en-US"/>
        </w:rPr>
        <w:t>Muchísimas gracias.”</w:t>
      </w:r>
    </w:p>
    <w:p w14:paraId="1F2260E2" w14:textId="77777777" w:rsidR="00B24F93" w:rsidRPr="00B24F93" w:rsidRDefault="00B24F93" w:rsidP="00B24F93">
      <w:pPr>
        <w:ind w:right="-159"/>
        <w:jc w:val="both"/>
        <w:rPr>
          <w:rFonts w:eastAsia="Calibri"/>
          <w:b/>
          <w:sz w:val="20"/>
          <w:szCs w:val="26"/>
          <w:lang w:eastAsia="en-US"/>
        </w:rPr>
      </w:pPr>
      <w:r w:rsidRPr="00B24F93">
        <w:rPr>
          <w:rFonts w:eastAsia="Calibri"/>
          <w:b/>
          <w:sz w:val="20"/>
          <w:szCs w:val="26"/>
          <w:lang w:eastAsia="en-US"/>
        </w:rPr>
        <w:t>Fuente de información:</w:t>
      </w:r>
    </w:p>
    <w:p w14:paraId="04EB7421" w14:textId="77777777" w:rsidR="00B24F93" w:rsidRPr="00525B73" w:rsidRDefault="00D936FE" w:rsidP="00B24F93">
      <w:pPr>
        <w:ind w:right="-159"/>
        <w:jc w:val="both"/>
        <w:rPr>
          <w:rFonts w:eastAsia="Calibri"/>
          <w:color w:val="0000FF"/>
          <w:sz w:val="20"/>
          <w:szCs w:val="20"/>
          <w:lang w:eastAsia="en-US"/>
        </w:rPr>
      </w:pPr>
      <w:hyperlink r:id="rId56" w:history="1">
        <w:r w:rsidR="00B24F93" w:rsidRPr="00525B73">
          <w:rPr>
            <w:rFonts w:eastAsia="Calibri"/>
            <w:color w:val="0000FF"/>
            <w:sz w:val="20"/>
            <w:szCs w:val="20"/>
            <w:u w:val="single"/>
            <w:lang w:eastAsia="en-US"/>
          </w:rPr>
          <w:t>http://www.presidencia.gob.mx/articulos-prensa/palabras-del-presidente-de-los-estados-unidos-mexicanos-licenciado-enrique-pena-nieto-durante-el-anuncio-de-inversion-en-el-sector-turistico/</w:t>
        </w:r>
      </w:hyperlink>
      <w:r w:rsidR="00B24F93" w:rsidRPr="00525B73">
        <w:rPr>
          <w:rFonts w:eastAsia="Calibri"/>
          <w:color w:val="0000FF"/>
          <w:sz w:val="20"/>
          <w:szCs w:val="20"/>
          <w:lang w:eastAsia="en-US"/>
        </w:rPr>
        <w:t xml:space="preserve"> </w:t>
      </w:r>
    </w:p>
    <w:p w14:paraId="6EC1E43A" w14:textId="77777777" w:rsidR="00B24F93" w:rsidRDefault="00B24F93" w:rsidP="00B8222A">
      <w:pPr>
        <w:spacing w:after="360" w:line="360" w:lineRule="auto"/>
        <w:ind w:right="-159"/>
        <w:jc w:val="both"/>
        <w:rPr>
          <w:sz w:val="26"/>
          <w:szCs w:val="26"/>
          <w:lang w:val="es-ES"/>
        </w:rPr>
      </w:pPr>
    </w:p>
    <w:p w14:paraId="75912EF9" w14:textId="77777777" w:rsidR="00786917" w:rsidRDefault="00786917" w:rsidP="00B8222A">
      <w:pPr>
        <w:spacing w:after="360" w:line="360" w:lineRule="auto"/>
        <w:ind w:right="-159"/>
        <w:jc w:val="both"/>
        <w:rPr>
          <w:sz w:val="26"/>
          <w:szCs w:val="26"/>
          <w:lang w:val="es-ES"/>
        </w:rPr>
      </w:pPr>
    </w:p>
    <w:p w14:paraId="3424BB40" w14:textId="77777777" w:rsidR="009B79F1" w:rsidRPr="009B79F1" w:rsidRDefault="009B79F1" w:rsidP="009B79F1">
      <w:pPr>
        <w:ind w:right="-159"/>
        <w:rPr>
          <w:rFonts w:eastAsia="Calibri"/>
          <w:b/>
          <w:sz w:val="26"/>
          <w:szCs w:val="26"/>
          <w:lang w:eastAsia="en-US"/>
        </w:rPr>
      </w:pPr>
      <w:r w:rsidRPr="009B79F1">
        <w:rPr>
          <w:rFonts w:eastAsia="Calibri"/>
          <w:b/>
          <w:sz w:val="26"/>
          <w:szCs w:val="26"/>
          <w:lang w:eastAsia="en-US"/>
        </w:rPr>
        <w:lastRenderedPageBreak/>
        <w:t>México se ubica nuevamente entre las diez</w:t>
      </w:r>
    </w:p>
    <w:p w14:paraId="003059CD" w14:textId="77777777" w:rsidR="009B79F1" w:rsidRPr="009B79F1" w:rsidRDefault="009B79F1" w:rsidP="009B79F1">
      <w:pPr>
        <w:ind w:right="-159"/>
        <w:rPr>
          <w:rFonts w:eastAsia="Calibri"/>
          <w:b/>
          <w:sz w:val="26"/>
          <w:szCs w:val="26"/>
          <w:lang w:eastAsia="en-US"/>
        </w:rPr>
      </w:pPr>
      <w:proofErr w:type="gramStart"/>
      <w:r w:rsidRPr="009B79F1">
        <w:rPr>
          <w:rFonts w:eastAsia="Calibri"/>
          <w:b/>
          <w:sz w:val="26"/>
          <w:szCs w:val="26"/>
          <w:lang w:eastAsia="en-US"/>
        </w:rPr>
        <w:t>naciones</w:t>
      </w:r>
      <w:proofErr w:type="gramEnd"/>
      <w:r w:rsidRPr="009B79F1">
        <w:rPr>
          <w:rFonts w:eastAsia="Calibri"/>
          <w:b/>
          <w:sz w:val="26"/>
          <w:szCs w:val="26"/>
          <w:lang w:eastAsia="en-US"/>
        </w:rPr>
        <w:t xml:space="preserve">  más  visitadas  del  mundo</w:t>
      </w:r>
    </w:p>
    <w:p w14:paraId="59F1AEE4" w14:textId="77777777" w:rsidR="009B79F1" w:rsidRPr="009B79F1" w:rsidRDefault="009B79F1" w:rsidP="009B79F1">
      <w:pPr>
        <w:spacing w:after="100" w:afterAutospacing="1" w:line="360" w:lineRule="auto"/>
        <w:ind w:right="-159"/>
        <w:jc w:val="both"/>
        <w:rPr>
          <w:rFonts w:eastAsia="Calibri"/>
          <w:b/>
          <w:sz w:val="26"/>
          <w:szCs w:val="26"/>
          <w:lang w:eastAsia="en-US"/>
        </w:rPr>
      </w:pPr>
      <w:r w:rsidRPr="009B79F1">
        <w:rPr>
          <w:rFonts w:eastAsia="Calibri"/>
          <w:b/>
          <w:sz w:val="26"/>
          <w:szCs w:val="26"/>
          <w:lang w:eastAsia="en-US"/>
        </w:rPr>
        <w:t>(Presidencia de la República)</w:t>
      </w:r>
    </w:p>
    <w:p w14:paraId="27CF3B1F"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El 23 de marzo de 2015, en el marco de la “40 Edición del Tianguis Turístico México Acapulco 2015”, el Presidente de la República afirmó que distintos indicadores reflejan que 2014 fue el mejor año en la historia del turismo para el país, e informó que gracias a ese crecimiento en el sector, “de acuerdo con los datos publicados por la Organización Mundial del Turismo (OMT), México nuevamente se ubica entre las 10 naciones más visitadas del mundo”.</w:t>
      </w:r>
    </w:p>
    <w:p w14:paraId="541BD167"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Mencionó que ésta es una gran noticia para el país “y debe ser un motivo de enorme orgullo para los mexicanos”. Añadió que el mundo está reconociendo el valor de México, y “millones de personas, de todos los continentes, están descubriendo lo que ofrece nuestra nación y se han maravillado”.</w:t>
      </w:r>
    </w:p>
    <w:p w14:paraId="4A3D3EA6"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Subrayó que el Gobierno de la República trabaja “para que México sea una potencia turística a nivel mundial. Ya lo es de hecho, pero queremos que reafirme esta vocación, esta condición, y sea sin duda un destino turístico de la mayor relevancia mundial. México es una gran Nación, tiene una vasta riqueza cultural e histórica, y una sorprendente diversidad natural que lo convierte en un destino turístico único”.</w:t>
      </w:r>
    </w:p>
    <w:p w14:paraId="2A99452A" w14:textId="5BEB7C04"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Precisó que gracias al trabajo diario de más de tres millones de mexicanos que laboran en el sector turístico, en 2014</w:t>
      </w:r>
      <w:r w:rsidR="00297CBE">
        <w:rPr>
          <w:rFonts w:eastAsia="Calibri"/>
          <w:sz w:val="26"/>
          <w:szCs w:val="26"/>
          <w:lang w:eastAsia="en-US"/>
        </w:rPr>
        <w:t>,</w:t>
      </w:r>
      <w:r w:rsidRPr="009B79F1">
        <w:rPr>
          <w:rFonts w:eastAsia="Calibri"/>
          <w:sz w:val="26"/>
          <w:szCs w:val="26"/>
          <w:lang w:eastAsia="en-US"/>
        </w:rPr>
        <w:t xml:space="preserve"> México nuevamente rompió su récord. Los indicadores del país muestran un ritmo de crecimiento sin precedentes: 4 veces la tasa de crecimiento que se ha observado a nivel mundial. Mientras que el año pasado el turismo en el mundo creció a un buen ritmo, 4.7%, en México se alcanzó un crecimiento anual de 20.5 por ciento.</w:t>
      </w:r>
    </w:p>
    <w:p w14:paraId="54FF3473"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 xml:space="preserve">Para verlo desde otra perspectiva, agregó, “del año 2000 a 2012, el número de turistas internacionales en nuestro país creció en 2.8 millones. A dos años y meses de haber </w:t>
      </w:r>
      <w:r w:rsidRPr="009B79F1">
        <w:rPr>
          <w:rFonts w:eastAsia="Calibri"/>
          <w:sz w:val="26"/>
          <w:szCs w:val="26"/>
          <w:lang w:eastAsia="en-US"/>
        </w:rPr>
        <w:lastRenderedPageBreak/>
        <w:t>iniciado esta Administración, la confianza en México sin duda se ha reafirmado, y eso ha permitido que en este tiempo el número de turistas haya crecido de manera significativa, al reportarse prácticamente 5.7 millones más de turistas en este período”.</w:t>
      </w:r>
    </w:p>
    <w:p w14:paraId="5D8BF199"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Puntualizó que entre 2013 y 2014 “nos visitaron casi 5 millones de turistas más; de 24.2 millones de visitantes, pasamos a 29.1 millones de visitantes internacionales. Para dimensionarlo, este incremento representa la mitad del turismo que reciben otros países, también importantes dentro del contexto internacional, como Egipto, Japón o Sudáfrica.</w:t>
      </w:r>
    </w:p>
    <w:p w14:paraId="5CC061E8"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Añadió que las cifras del sector para enero de 2015 indican que sigue creciendo el turismo hacia México. “De hecho, en este mes de enero hubo un incremento de 14% en el número de turistas internacionales, con relación al año pasado, que fue muy bueno para el turismo en nuestro país”.</w:t>
      </w:r>
    </w:p>
    <w:p w14:paraId="5B78EDA0" w14:textId="77777777" w:rsidR="009B79F1" w:rsidRPr="009B79F1" w:rsidRDefault="009B79F1" w:rsidP="009B79F1">
      <w:pPr>
        <w:spacing w:after="100" w:afterAutospacing="1" w:line="360" w:lineRule="auto"/>
        <w:ind w:right="-159"/>
        <w:jc w:val="both"/>
        <w:rPr>
          <w:rFonts w:eastAsia="Calibri"/>
          <w:b/>
          <w:sz w:val="26"/>
          <w:szCs w:val="26"/>
          <w:lang w:eastAsia="en-US"/>
        </w:rPr>
      </w:pPr>
      <w:r w:rsidRPr="009B79F1">
        <w:rPr>
          <w:rFonts w:eastAsia="Calibri"/>
          <w:b/>
          <w:sz w:val="26"/>
          <w:szCs w:val="26"/>
          <w:lang w:eastAsia="en-US"/>
        </w:rPr>
        <w:t xml:space="preserve">El turismo generó una derrama económica de 16 mil </w:t>
      </w:r>
      <w:proofErr w:type="spellStart"/>
      <w:r w:rsidRPr="009B79F1">
        <w:rPr>
          <w:rFonts w:eastAsia="Calibri"/>
          <w:b/>
          <w:sz w:val="26"/>
          <w:szCs w:val="26"/>
          <w:lang w:eastAsia="en-US"/>
        </w:rPr>
        <w:t>mdd</w:t>
      </w:r>
      <w:proofErr w:type="spellEnd"/>
      <w:r w:rsidRPr="009B79F1">
        <w:rPr>
          <w:rFonts w:eastAsia="Calibri"/>
          <w:b/>
          <w:sz w:val="26"/>
          <w:szCs w:val="26"/>
          <w:lang w:eastAsia="en-US"/>
        </w:rPr>
        <w:t xml:space="preserve"> en 2014</w:t>
      </w:r>
    </w:p>
    <w:p w14:paraId="494105FD"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El Presidente de la República dio a conocer, además, otra buena noticia: “no sólo están llegando más visitantes, también están gastando más. El gasto medio por turista internacional vía aérea aumentó en más de 9% el año pasado. El turismo generó una derrama económica de más de 16 mil millones de dólares”.</w:t>
      </w:r>
    </w:p>
    <w:p w14:paraId="5E8FA635"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Indicó que el Gobierno de la República seguirá “trabajando para consolidar estas tendencias positivas. Vamos a seguir sumando esfuerzos para que más personas visiten México y para que regresen quienes ya lo han vivido”.</w:t>
      </w:r>
    </w:p>
    <w:p w14:paraId="47E81D4A"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“Éstos son logros de todo México, de todos los que creen y confían en nuestro país, de millones de mujeres y hombres que con trabajo y esfuerzo proyectan a México en el mundo”, apuntó.</w:t>
      </w:r>
    </w:p>
    <w:p w14:paraId="2EB87826"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 xml:space="preserve">“Queremos que más personas de todo el mundo conozcan y se enamoren de México, de sus hermosas playas y enigmáticas zonas arqueológicas, de sus santuarios y reservas </w:t>
      </w:r>
      <w:r w:rsidRPr="009B79F1">
        <w:rPr>
          <w:rFonts w:eastAsia="Calibri"/>
          <w:sz w:val="26"/>
          <w:szCs w:val="26"/>
          <w:lang w:eastAsia="en-US"/>
        </w:rPr>
        <w:lastRenderedPageBreak/>
        <w:t>naturales, de sus ciudades y maravillosos pueblos mágicos. Pero también estamos trabajando para que cada vez más mexicanos puedan conocer y disfrutar la grandeza de su propio país”, aseveró.</w:t>
      </w:r>
    </w:p>
    <w:p w14:paraId="75E62297"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“Conocer México, sentirnos orgullosos de lo que es nuestro gran país, no debe ser privilegio de unos cuantos, sino una oportunidad para todos los mexicanos”, subrayó. Por ello, continuó, “he dado indicaciones a la Secretaria de Turismo, a los titulares del Seguro Social y del ISSSTE, para crear una Estrategia Nacional de Turismo Social que permita que más mexicanos puedan viajar y descubrir su propia nación. La Estrategia deberá brindar facilidades especiales para niños, jóvenes, adultos mayores, personas con discapacidad y familias de bajos ingresos, porque de lo que se trata es que todos los mexicanos nos movamos y conozcamos la riqueza que tiene nuestro país”.</w:t>
      </w:r>
    </w:p>
    <w:p w14:paraId="18CA046D"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Destacó que de esta manera, sumando esfuerzos y trabajando juntos, “impulsaremos la identidad nacional y consolidaremos a México como un destino turístico de clase mundial”.</w:t>
      </w:r>
    </w:p>
    <w:p w14:paraId="19188FF5"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El Primer Mandatario hizo votos porque este “Tianguis Turístico”, en el que por primera vez participan compradores de 65 países del mundo, la cifra más alta en su historia, “permita promover ampliamente a nuestro país”.</w:t>
      </w:r>
    </w:p>
    <w:p w14:paraId="5E5772FC"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Mencionó que esta edición es muy significativa, “porque celebramos 40 años de su inicio, porque promueve de manera específica a los 83 Pueblos Mágicos y la oferta ecoturística indígena del país, y porque el Tianguis Turístico regresa al destino que lo vio nacer, a nuestro bello y emblemático Puerto de Acapulco”.</w:t>
      </w:r>
    </w:p>
    <w:p w14:paraId="5BE3043D" w14:textId="77777777" w:rsid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Antes, el Presidente de México realizó un recorrido por las instalaciones de los oferentes de distintos servicios turísticos, especialmente el de “Pueblos Mágicos de México” y el de “Pueblos Indígenas del país”.</w:t>
      </w:r>
    </w:p>
    <w:p w14:paraId="6525F42E" w14:textId="77777777" w:rsidR="004D07F1" w:rsidRPr="009B79F1" w:rsidRDefault="004D07F1" w:rsidP="009B79F1">
      <w:pPr>
        <w:spacing w:after="100" w:afterAutospacing="1" w:line="360" w:lineRule="auto"/>
        <w:ind w:right="-159"/>
        <w:jc w:val="both"/>
        <w:rPr>
          <w:rFonts w:eastAsia="Calibri"/>
          <w:sz w:val="26"/>
          <w:szCs w:val="26"/>
          <w:lang w:eastAsia="en-US"/>
        </w:rPr>
      </w:pPr>
    </w:p>
    <w:p w14:paraId="71D91132" w14:textId="77777777" w:rsidR="009B79F1" w:rsidRPr="009B79F1" w:rsidRDefault="009B79F1" w:rsidP="009B79F1">
      <w:pPr>
        <w:spacing w:after="100" w:afterAutospacing="1" w:line="360" w:lineRule="auto"/>
        <w:ind w:right="-159"/>
        <w:jc w:val="both"/>
        <w:rPr>
          <w:rFonts w:eastAsia="Calibri"/>
          <w:b/>
          <w:sz w:val="26"/>
          <w:szCs w:val="26"/>
          <w:lang w:eastAsia="en-US"/>
        </w:rPr>
      </w:pPr>
      <w:r w:rsidRPr="009B79F1">
        <w:rPr>
          <w:rFonts w:eastAsia="Calibri"/>
          <w:b/>
          <w:sz w:val="26"/>
          <w:szCs w:val="26"/>
          <w:lang w:eastAsia="en-US"/>
        </w:rPr>
        <w:lastRenderedPageBreak/>
        <w:t>Diversas intervenciones:</w:t>
      </w:r>
    </w:p>
    <w:p w14:paraId="2F759005" w14:textId="77777777" w:rsidR="009B79F1" w:rsidRPr="009B79F1" w:rsidRDefault="009B79F1" w:rsidP="003518F4">
      <w:pPr>
        <w:numPr>
          <w:ilvl w:val="0"/>
          <w:numId w:val="124"/>
        </w:numPr>
        <w:spacing w:after="360"/>
        <w:ind w:left="357" w:right="-159" w:hanging="357"/>
        <w:jc w:val="both"/>
        <w:rPr>
          <w:rFonts w:eastAsia="Calibri"/>
          <w:b/>
          <w:sz w:val="26"/>
          <w:szCs w:val="26"/>
          <w:lang w:eastAsia="en-US"/>
        </w:rPr>
      </w:pPr>
      <w:r w:rsidRPr="009B79F1">
        <w:rPr>
          <w:rFonts w:eastAsia="Calibri"/>
          <w:b/>
          <w:sz w:val="26"/>
          <w:szCs w:val="26"/>
          <w:lang w:eastAsia="en-US"/>
        </w:rPr>
        <w:t>El Tianguis se consolida como una plataforma única para presentar la diversidad de destinos de México</w:t>
      </w:r>
    </w:p>
    <w:p w14:paraId="4C22D62C"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La Secretaria de Turismo</w:t>
      </w:r>
      <w:r w:rsidRPr="009B79F1">
        <w:rPr>
          <w:rFonts w:eastAsia="Calibri"/>
          <w:sz w:val="26"/>
          <w:szCs w:val="26"/>
          <w:vertAlign w:val="superscript"/>
          <w:lang w:eastAsia="en-US"/>
        </w:rPr>
        <w:footnoteReference w:id="9"/>
      </w:r>
      <w:r w:rsidRPr="009B79F1">
        <w:rPr>
          <w:rFonts w:eastAsia="Calibri"/>
          <w:sz w:val="26"/>
          <w:szCs w:val="26"/>
          <w:lang w:eastAsia="en-US"/>
        </w:rPr>
        <w:t xml:space="preserve"> del Gobierno de la República afirmó que el Tianguis Turístico en su edición 40, “se consolida como una plataforma única para presentar al mercado internacional y nacional los múltiples destinos”, la calidad de los prestadores de servicios, la modernidad de la infraestructura, y sobre todo, brinda la oportunidad de posicionar los más importantes segmentos mexicanos.</w:t>
      </w:r>
    </w:p>
    <w:p w14:paraId="6F7F4553"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Destacó que el sector turístico nacional está unido y tiene confianza en el Presidente de México y en el rumbo que le ha impreso a México, “y es en esa confianza en donde radica la fuerza de nuestro país”.</w:t>
      </w:r>
    </w:p>
    <w:p w14:paraId="00937E36"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Mencionó que se ha dado la irrupción plena del turismo como un fenómeno global de creciente importancia para el desarrollo económico y social de todas las regiones. Informó que tan sólo el año pasado se registró el flujo de más de 1 mil 130 millones de turistas a nivel global.</w:t>
      </w:r>
    </w:p>
    <w:p w14:paraId="355D973D"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Indicó que es en esta industria mundial y en su constante transformación, que el Tianguis Turístico de México se consolida como un eje de la estrategia de innovación integral que tiene el país, ya que ha evolucionado para convertirse en un punto de convergencia de la industria turística nacional, destinos, prestadores de servicios, agencias de viajes, y tour-operadores, con los socios internacionales.</w:t>
      </w:r>
    </w:p>
    <w:p w14:paraId="627FCCC9" w14:textId="77777777" w:rsidR="009B79F1" w:rsidRPr="009B79F1" w:rsidRDefault="009B79F1" w:rsidP="00853848">
      <w:pPr>
        <w:spacing w:after="360" w:line="360" w:lineRule="auto"/>
        <w:ind w:right="-159"/>
        <w:jc w:val="both"/>
        <w:rPr>
          <w:rFonts w:eastAsia="Calibri"/>
          <w:sz w:val="26"/>
          <w:szCs w:val="26"/>
          <w:lang w:eastAsia="en-US"/>
        </w:rPr>
      </w:pPr>
      <w:r w:rsidRPr="009B79F1">
        <w:rPr>
          <w:rFonts w:eastAsia="Calibri"/>
          <w:sz w:val="26"/>
          <w:szCs w:val="26"/>
          <w:lang w:eastAsia="en-US"/>
        </w:rPr>
        <w:t xml:space="preserve">“El mundo confía en México como un país seguro y de altos estándares de calidad, en el activo más importante de una persona, su salud. Esta diversificación de oferta ha </w:t>
      </w:r>
      <w:r w:rsidRPr="009B79F1">
        <w:rPr>
          <w:rFonts w:eastAsia="Calibri"/>
          <w:sz w:val="26"/>
          <w:szCs w:val="26"/>
          <w:lang w:eastAsia="en-US"/>
        </w:rPr>
        <w:lastRenderedPageBreak/>
        <w:t>demostrado ser una estrategia que funciona. Es la visión del Presidente de la República, a través de la cual dinamizamos destinos y regiones”.</w:t>
      </w:r>
    </w:p>
    <w:p w14:paraId="5BE02741" w14:textId="77777777" w:rsidR="009B79F1" w:rsidRPr="009B79F1" w:rsidRDefault="009B79F1" w:rsidP="003518F4">
      <w:pPr>
        <w:numPr>
          <w:ilvl w:val="0"/>
          <w:numId w:val="124"/>
        </w:numPr>
        <w:spacing w:after="360" w:line="360" w:lineRule="auto"/>
        <w:ind w:left="357" w:right="-159" w:hanging="357"/>
        <w:jc w:val="both"/>
        <w:rPr>
          <w:rFonts w:eastAsia="Calibri"/>
          <w:b/>
          <w:sz w:val="26"/>
          <w:szCs w:val="26"/>
          <w:lang w:eastAsia="en-US"/>
        </w:rPr>
      </w:pPr>
      <w:r w:rsidRPr="009B79F1">
        <w:rPr>
          <w:rFonts w:eastAsia="Calibri"/>
          <w:b/>
          <w:sz w:val="26"/>
          <w:szCs w:val="26"/>
          <w:lang w:eastAsia="en-US"/>
        </w:rPr>
        <w:t>Vivimos el mejor momento de la historia para el turismo en México</w:t>
      </w:r>
    </w:p>
    <w:p w14:paraId="414EBDE2" w14:textId="74018954"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El Presidente de la CONCANACO-</w:t>
      </w:r>
      <w:proofErr w:type="spellStart"/>
      <w:r w:rsidRPr="009B79F1">
        <w:rPr>
          <w:rFonts w:eastAsia="Calibri"/>
          <w:sz w:val="26"/>
          <w:szCs w:val="26"/>
          <w:lang w:eastAsia="en-US"/>
        </w:rPr>
        <w:t>Servytur</w:t>
      </w:r>
      <w:proofErr w:type="spellEnd"/>
      <w:r w:rsidRPr="009B79F1">
        <w:rPr>
          <w:rFonts w:eastAsia="Calibri"/>
          <w:sz w:val="26"/>
          <w:szCs w:val="26"/>
          <w:lang w:eastAsia="en-US"/>
        </w:rPr>
        <w:t xml:space="preserve"> afirmó que actualmente se vive el mejor momento de la historia para el turismo en México, y manifestó que esa oportunidad no puede ser desaprovechada, porque el país cuenta con un gran potencial y una ubicación estratégica envidiable. Expuso que en el sector empresarial se tiene en claro que el turismo está en crecimiento, por lo que, dijo, apostar en materia turística en México es un sinónimo de éxito.</w:t>
      </w:r>
    </w:p>
    <w:p w14:paraId="04D755B5"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Se congratuló por la acertada decisión del Presidente de la República de llevar nuevamente el Tianguis Turístico a Acapulco y felicitó al Gobierno Federal por el anuncio de la remodelación del aeropuerto internacional del puerto, lo cual, además de una mayor conectividad, le permitirá a este sitio turístico volver a ser uno de los lugares más buscados por el turismo internacional.</w:t>
      </w:r>
    </w:p>
    <w:p w14:paraId="53FFA29F"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 xml:space="preserve">“México posee un gran potencial de mercado, al contar con una posición geográfica estratégica envidiable que lo hace único en el mundo por su gran variedad de ecosistemas, flora y fauna en el territorio nacional, siendo además un destino vacacional a </w:t>
      </w:r>
      <w:proofErr w:type="spellStart"/>
      <w:r w:rsidRPr="009B79F1">
        <w:rPr>
          <w:rFonts w:eastAsia="Calibri"/>
          <w:sz w:val="26"/>
          <w:szCs w:val="26"/>
          <w:lang w:eastAsia="en-US"/>
        </w:rPr>
        <w:t>contraciclo</w:t>
      </w:r>
      <w:proofErr w:type="spellEnd"/>
      <w:r w:rsidRPr="009B79F1">
        <w:rPr>
          <w:rFonts w:eastAsia="Calibri"/>
          <w:sz w:val="26"/>
          <w:szCs w:val="26"/>
          <w:lang w:eastAsia="en-US"/>
        </w:rPr>
        <w:t>, por tener un clima tan acogedor como el que contamos, mientras en otros países se sufre de muy fuertes inviernos”, expresó.</w:t>
      </w:r>
    </w:p>
    <w:p w14:paraId="110E8B80"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Asimismo, informó que el gran proyecto del Presidente de la República de modernizar al sur de México “cuenta con todo el apoyo de la CONCANACO, porque estamos convencidos que es urgente integrar al sur con el resto del país para contar con un solo México, próspero, moderno, con las mismas oportunidades, y que cuente con el mismo nivel de ingresos y salarios para todos los mexicanos”.</w:t>
      </w:r>
    </w:p>
    <w:p w14:paraId="760A69E4"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lastRenderedPageBreak/>
        <w:t>Indicó que esto, aunado a las reformas constitucionales que se han logrado impulsar en la actual Administración Federal, ampliará los espacios de acción del sector privado, nacional e internacional, especialmente en el sector turístico.</w:t>
      </w:r>
    </w:p>
    <w:p w14:paraId="088D391B" w14:textId="77777777" w:rsidR="009B79F1" w:rsidRPr="009B79F1" w:rsidRDefault="009B79F1" w:rsidP="003518F4">
      <w:pPr>
        <w:numPr>
          <w:ilvl w:val="0"/>
          <w:numId w:val="124"/>
        </w:numPr>
        <w:spacing w:after="360" w:line="360" w:lineRule="auto"/>
        <w:ind w:left="357" w:right="-159" w:hanging="357"/>
        <w:jc w:val="both"/>
        <w:rPr>
          <w:rFonts w:eastAsia="Calibri"/>
          <w:b/>
          <w:sz w:val="26"/>
          <w:szCs w:val="26"/>
          <w:lang w:eastAsia="en-US"/>
        </w:rPr>
      </w:pPr>
      <w:r w:rsidRPr="009B79F1">
        <w:rPr>
          <w:rFonts w:eastAsia="Calibri"/>
          <w:b/>
          <w:sz w:val="26"/>
          <w:szCs w:val="26"/>
          <w:lang w:eastAsia="en-US"/>
        </w:rPr>
        <w:t>Durante la presente administración el turismo presenta cifras récord</w:t>
      </w:r>
    </w:p>
    <w:p w14:paraId="2CD47C3A"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El Presidente del Consejo de Administración de Grupo Posadas manifestó que el Tianguis Turístico es un instrumento comercial importante que ha servido para promover la riqueza turística del país y de todos sus destinos y que desde 2014 se ha fortalecido de manera notable. Por ejemplo, dijo, en 2014 “se alcanzaron tasas de crecimiento de visitantes del extranjero de dos dígitos, y en muchos destinos, cifras récord que nunca antes registradas en la historia turística reciente”.</w:t>
      </w:r>
    </w:p>
    <w:p w14:paraId="6EAE987B"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“Nosotros los empresarios del sector vemos un futuro promisorio en el turismo de México. Por ello, empeñamos nuestra palabra, nos comprometemos para apoyar con nuestras capacidades, nuestras inversiones, nuestro trabajo, toda iniciativa por parte de usted, que tenga como propósito conducir a nuestro país a mejores estadios de desarrollo y en donde el turismo pueda contribuir aún más de una forma importante”, señaló.</w:t>
      </w:r>
    </w:p>
    <w:p w14:paraId="3B1C979A" w14:textId="77777777" w:rsid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Afirmó que el país tiene que “tomar conciencia de la importancia de este momento en el turismo”, por lo que refrendó el apoyo de los empresarios al gobierno del Presidente de la República para “no perder la dinámica actual, de consolidar los destinos turísticos exitosos, y de impulsar aquellos que por diversas razones se han venido rezagando; se trata, en suma, de proponernos juntos sector privado y Gobierno, desplegar en los próximos tres años de su Administración todo el enorme potencial turístico con que cuenta México”.</w:t>
      </w:r>
    </w:p>
    <w:p w14:paraId="5DC408E8" w14:textId="77777777" w:rsidR="00786917" w:rsidRDefault="00786917" w:rsidP="009B79F1">
      <w:pPr>
        <w:spacing w:after="100" w:afterAutospacing="1" w:line="360" w:lineRule="auto"/>
        <w:ind w:right="-159"/>
        <w:jc w:val="both"/>
        <w:rPr>
          <w:rFonts w:eastAsia="Calibri"/>
          <w:sz w:val="26"/>
          <w:szCs w:val="26"/>
          <w:lang w:eastAsia="en-US"/>
        </w:rPr>
      </w:pPr>
    </w:p>
    <w:p w14:paraId="44968F43" w14:textId="77777777" w:rsidR="00786917" w:rsidRPr="009B79F1" w:rsidRDefault="00786917" w:rsidP="009B79F1">
      <w:pPr>
        <w:spacing w:after="100" w:afterAutospacing="1" w:line="360" w:lineRule="auto"/>
        <w:ind w:right="-159"/>
        <w:jc w:val="both"/>
        <w:rPr>
          <w:rFonts w:eastAsia="Calibri"/>
          <w:sz w:val="26"/>
          <w:szCs w:val="26"/>
          <w:lang w:eastAsia="en-US"/>
        </w:rPr>
      </w:pPr>
    </w:p>
    <w:p w14:paraId="5EAD568F" w14:textId="77777777" w:rsidR="009B79F1" w:rsidRPr="009B79F1" w:rsidRDefault="009B79F1" w:rsidP="003518F4">
      <w:pPr>
        <w:numPr>
          <w:ilvl w:val="0"/>
          <w:numId w:val="124"/>
        </w:numPr>
        <w:spacing w:after="360" w:line="360" w:lineRule="auto"/>
        <w:ind w:left="357" w:right="-159" w:hanging="357"/>
        <w:jc w:val="both"/>
        <w:rPr>
          <w:rFonts w:eastAsia="Calibri"/>
          <w:b/>
          <w:sz w:val="26"/>
          <w:szCs w:val="26"/>
          <w:lang w:eastAsia="en-US"/>
        </w:rPr>
      </w:pPr>
      <w:r w:rsidRPr="009B79F1">
        <w:rPr>
          <w:rFonts w:eastAsia="Calibri"/>
          <w:b/>
          <w:sz w:val="26"/>
          <w:szCs w:val="26"/>
          <w:lang w:eastAsia="en-US"/>
        </w:rPr>
        <w:lastRenderedPageBreak/>
        <w:t>Gracias al apoyo del Presidente de la República, Guerrero está fortalecido</w:t>
      </w:r>
    </w:p>
    <w:p w14:paraId="3ADE9406"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Para el Gobernador del estado de Guerrero esta edición 40 del Tianguis Turístico 2015 es el de mayor participación internacional.</w:t>
      </w:r>
    </w:p>
    <w:p w14:paraId="07E18F7D" w14:textId="77777777"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Agradeció al Presidente de la República todo el impulso que ha dado a la entidad, ya que “con su ayuda generosa, con su participación y su devoción por Guerrero y por Acapulco“, ha sido posible que el estado se recupere y no sólo eso, sino que además salga fortalecido.</w:t>
      </w:r>
    </w:p>
    <w:p w14:paraId="734A51B3" w14:textId="79FE6096" w:rsidR="009B79F1" w:rsidRPr="009B79F1" w:rsidRDefault="009B79F1" w:rsidP="009B79F1">
      <w:pPr>
        <w:spacing w:after="100" w:afterAutospacing="1" w:line="360" w:lineRule="auto"/>
        <w:ind w:right="-159"/>
        <w:jc w:val="both"/>
        <w:rPr>
          <w:rFonts w:eastAsia="Calibri"/>
          <w:sz w:val="26"/>
          <w:szCs w:val="26"/>
          <w:lang w:eastAsia="en-US"/>
        </w:rPr>
      </w:pPr>
      <w:r w:rsidRPr="009B79F1">
        <w:rPr>
          <w:rFonts w:eastAsia="Calibri"/>
          <w:sz w:val="26"/>
          <w:szCs w:val="26"/>
          <w:lang w:eastAsia="en-US"/>
        </w:rPr>
        <w:t>El Ejecutivo Estatal mencionó que con las medidas indicadas por el Presidente de la República para beneficio de Acapulco, como los descuentos en el peaje de la Autopista del Sol, en diciembre pasado se logró que este destino turístico contara con 98.5% de ocupación, medida que también benefició a Taxco, Iguala, Chilpancingo e Ixtapa Zihuatanejo, y que genera una importante derrama económica para toda la entidad.</w:t>
      </w:r>
    </w:p>
    <w:p w14:paraId="052D2F13" w14:textId="77777777" w:rsidR="009B79F1" w:rsidRPr="009B79F1" w:rsidRDefault="009B79F1" w:rsidP="009B79F1">
      <w:pPr>
        <w:ind w:right="-159"/>
        <w:jc w:val="both"/>
        <w:rPr>
          <w:rFonts w:eastAsia="Calibri"/>
          <w:sz w:val="20"/>
          <w:szCs w:val="20"/>
          <w:lang w:eastAsia="en-US"/>
        </w:rPr>
      </w:pPr>
      <w:r w:rsidRPr="009B79F1">
        <w:rPr>
          <w:rFonts w:eastAsia="Calibri"/>
          <w:b/>
          <w:sz w:val="20"/>
          <w:szCs w:val="20"/>
          <w:lang w:eastAsia="en-US"/>
        </w:rPr>
        <w:t>Fuente de información</w:t>
      </w:r>
      <w:r w:rsidRPr="009B79F1">
        <w:rPr>
          <w:rFonts w:eastAsia="Calibri"/>
          <w:sz w:val="20"/>
          <w:szCs w:val="20"/>
          <w:lang w:eastAsia="en-US"/>
        </w:rPr>
        <w:t>:</w:t>
      </w:r>
    </w:p>
    <w:p w14:paraId="3173A6DF" w14:textId="77777777" w:rsidR="009B79F1" w:rsidRPr="00525B73" w:rsidRDefault="00D936FE" w:rsidP="009B79F1">
      <w:pPr>
        <w:ind w:right="-159"/>
        <w:jc w:val="both"/>
        <w:rPr>
          <w:rFonts w:eastAsia="Calibri"/>
          <w:color w:val="0000FF"/>
          <w:sz w:val="20"/>
          <w:szCs w:val="20"/>
          <w:lang w:eastAsia="en-US"/>
        </w:rPr>
      </w:pPr>
      <w:hyperlink r:id="rId57" w:history="1">
        <w:r w:rsidR="009B79F1" w:rsidRPr="00525B73">
          <w:rPr>
            <w:rFonts w:eastAsia="Calibri"/>
            <w:color w:val="0000FF"/>
            <w:sz w:val="20"/>
            <w:szCs w:val="20"/>
            <w:u w:val="single"/>
            <w:lang w:eastAsia="en-US"/>
          </w:rPr>
          <w:t>http://www.presidencia.gob.mx/articulos-prensa/mexico-se-ubica-nuevamente-entre-las-diez-naciones-mas-visitadas-del-mundo-enrique-pena-nieto/</w:t>
        </w:r>
      </w:hyperlink>
    </w:p>
    <w:p w14:paraId="3CD590FA" w14:textId="77777777" w:rsidR="009B79F1" w:rsidRPr="00525B73" w:rsidRDefault="009B79F1" w:rsidP="009B79F1">
      <w:pPr>
        <w:ind w:right="-159"/>
        <w:jc w:val="both"/>
        <w:rPr>
          <w:rFonts w:eastAsia="Calibri"/>
          <w:sz w:val="20"/>
          <w:szCs w:val="20"/>
          <w:lang w:eastAsia="en-US"/>
        </w:rPr>
      </w:pPr>
      <w:r w:rsidRPr="00525B73">
        <w:rPr>
          <w:rFonts w:eastAsia="Calibri"/>
          <w:sz w:val="20"/>
          <w:szCs w:val="20"/>
          <w:lang w:eastAsia="en-US"/>
        </w:rPr>
        <w:t>Para tener acceso a información relacionada, visitar:</w:t>
      </w:r>
    </w:p>
    <w:p w14:paraId="6827AA19" w14:textId="77777777" w:rsidR="009B79F1" w:rsidRPr="00525B73" w:rsidRDefault="00D936FE" w:rsidP="009B79F1">
      <w:pPr>
        <w:ind w:right="-159"/>
        <w:jc w:val="both"/>
        <w:rPr>
          <w:rFonts w:eastAsia="Calibri"/>
          <w:color w:val="0000FF"/>
          <w:sz w:val="20"/>
          <w:szCs w:val="20"/>
          <w:lang w:eastAsia="en-US"/>
        </w:rPr>
      </w:pPr>
      <w:hyperlink r:id="rId58" w:history="1">
        <w:r w:rsidR="009B79F1" w:rsidRPr="00525B73">
          <w:rPr>
            <w:rFonts w:eastAsia="Calibri"/>
            <w:color w:val="0000FF"/>
            <w:sz w:val="20"/>
            <w:szCs w:val="20"/>
            <w:u w:val="single"/>
            <w:lang w:eastAsia="en-US"/>
          </w:rPr>
          <w:t>http://www.sectur.gob.mx/2015/03/23/boletin-58-inaugura-hoy-el-presidente-enrique-pena-nieto-la-40-edicion-del-tianguis-turistico/</w:t>
        </w:r>
      </w:hyperlink>
    </w:p>
    <w:p w14:paraId="54B574C5" w14:textId="77777777" w:rsidR="009B79F1" w:rsidRPr="00525B73" w:rsidRDefault="00D936FE" w:rsidP="009B79F1">
      <w:pPr>
        <w:ind w:right="-159"/>
        <w:jc w:val="both"/>
        <w:rPr>
          <w:rFonts w:eastAsia="Calibri"/>
          <w:color w:val="0000FF"/>
          <w:sz w:val="20"/>
          <w:szCs w:val="20"/>
          <w:lang w:eastAsia="en-US"/>
        </w:rPr>
      </w:pPr>
      <w:hyperlink r:id="rId59" w:history="1">
        <w:r w:rsidR="009B79F1" w:rsidRPr="00525B73">
          <w:rPr>
            <w:rFonts w:eastAsia="Calibri"/>
            <w:color w:val="0000FF"/>
            <w:sz w:val="20"/>
            <w:szCs w:val="20"/>
            <w:u w:val="single"/>
            <w:lang w:eastAsia="en-US"/>
          </w:rPr>
          <w:t>http://www.sectur.gob.mx/2015/03/23/boletin-57-arranca-este-lunes-la-40-edicion-del-tianguis-turistico-mexico-acapulco-2015/</w:t>
        </w:r>
      </w:hyperlink>
    </w:p>
    <w:p w14:paraId="504D94CA" w14:textId="77777777" w:rsidR="009B79F1" w:rsidRPr="00525B73" w:rsidRDefault="00D936FE" w:rsidP="009B79F1">
      <w:pPr>
        <w:ind w:right="-159"/>
        <w:jc w:val="both"/>
        <w:rPr>
          <w:rFonts w:eastAsia="Calibri"/>
          <w:color w:val="0000FF"/>
          <w:sz w:val="20"/>
          <w:szCs w:val="20"/>
          <w:lang w:eastAsia="en-US"/>
        </w:rPr>
      </w:pPr>
      <w:hyperlink r:id="rId60" w:history="1">
        <w:r w:rsidR="009B79F1" w:rsidRPr="00525B73">
          <w:rPr>
            <w:rFonts w:eastAsia="Calibri"/>
            <w:color w:val="0000FF"/>
            <w:sz w:val="20"/>
            <w:szCs w:val="20"/>
            <w:u w:val="single"/>
            <w:lang w:eastAsia="en-US"/>
          </w:rPr>
          <w:t>http://www.sectur.gob.mx/2015/03/26/boletin-59-participantes-al-tianguis-turistico-de-acapulco-reafirman-su-interes-por-mexico-crm/</w:t>
        </w:r>
      </w:hyperlink>
      <w:r w:rsidR="009B79F1" w:rsidRPr="00525B73">
        <w:rPr>
          <w:rFonts w:eastAsia="Calibri"/>
          <w:color w:val="0000FF"/>
          <w:sz w:val="20"/>
          <w:szCs w:val="20"/>
          <w:lang w:eastAsia="en-US"/>
        </w:rPr>
        <w:t xml:space="preserve"> </w:t>
      </w:r>
    </w:p>
    <w:p w14:paraId="4B51E073" w14:textId="77777777" w:rsidR="009B79F1" w:rsidRPr="00525B73" w:rsidRDefault="00D936FE" w:rsidP="009B79F1">
      <w:pPr>
        <w:ind w:right="-159"/>
        <w:jc w:val="both"/>
        <w:rPr>
          <w:rFonts w:eastAsia="Calibri"/>
          <w:color w:val="0000FF"/>
          <w:sz w:val="20"/>
          <w:szCs w:val="20"/>
          <w:lang w:eastAsia="en-US"/>
        </w:rPr>
      </w:pPr>
      <w:hyperlink r:id="rId61" w:history="1">
        <w:r w:rsidR="009B79F1" w:rsidRPr="00525B73">
          <w:rPr>
            <w:rFonts w:eastAsia="Calibri"/>
            <w:color w:val="0000FF"/>
            <w:sz w:val="20"/>
            <w:szCs w:val="20"/>
            <w:u w:val="single"/>
            <w:lang w:eastAsia="en-US"/>
          </w:rPr>
          <w:t>http://www.presidencia.gob.mx/el-tianguis-turistico-en-numeros/</w:t>
        </w:r>
      </w:hyperlink>
      <w:r w:rsidR="009B79F1" w:rsidRPr="00525B73">
        <w:rPr>
          <w:rFonts w:eastAsia="Calibri"/>
          <w:color w:val="0000FF"/>
          <w:sz w:val="20"/>
          <w:szCs w:val="20"/>
          <w:lang w:eastAsia="en-US"/>
        </w:rPr>
        <w:t xml:space="preserve"> </w:t>
      </w:r>
    </w:p>
    <w:p w14:paraId="1F1C782B" w14:textId="77777777" w:rsidR="009B79F1" w:rsidRPr="00525B73" w:rsidRDefault="00D936FE" w:rsidP="005D5E9A">
      <w:pPr>
        <w:spacing w:after="720"/>
        <w:ind w:right="-159"/>
        <w:jc w:val="both"/>
        <w:rPr>
          <w:rFonts w:eastAsia="Calibri"/>
          <w:color w:val="0000FF"/>
          <w:sz w:val="20"/>
          <w:szCs w:val="20"/>
          <w:lang w:eastAsia="en-US"/>
        </w:rPr>
      </w:pPr>
      <w:hyperlink r:id="rId62" w:history="1">
        <w:r w:rsidR="009B79F1" w:rsidRPr="00525B73">
          <w:rPr>
            <w:rFonts w:eastAsia="Calibri"/>
            <w:color w:val="0000FF"/>
            <w:sz w:val="20"/>
            <w:szCs w:val="20"/>
            <w:u w:val="single"/>
            <w:lang w:eastAsia="en-US"/>
          </w:rPr>
          <w:t>http://www.presidencia.gob.mx/inicia-la-40-edicion-del-tianguis-turistico-de-mexico/?ref=relacionadas</w:t>
        </w:r>
      </w:hyperlink>
      <w:r w:rsidR="009B79F1" w:rsidRPr="00525B73">
        <w:rPr>
          <w:rFonts w:eastAsia="Calibri"/>
          <w:color w:val="0000FF"/>
          <w:sz w:val="20"/>
          <w:szCs w:val="20"/>
          <w:lang w:eastAsia="en-US"/>
        </w:rPr>
        <w:t xml:space="preserve"> </w:t>
      </w:r>
    </w:p>
    <w:p w14:paraId="1F30B96E" w14:textId="77777777" w:rsidR="007F2EDE" w:rsidRPr="007F2EDE" w:rsidRDefault="007F2EDE" w:rsidP="007F2EDE">
      <w:pPr>
        <w:ind w:right="-159"/>
        <w:jc w:val="both"/>
        <w:rPr>
          <w:rFonts w:eastAsia="Calibri"/>
          <w:b/>
          <w:sz w:val="26"/>
          <w:szCs w:val="26"/>
          <w:lang w:eastAsia="en-US"/>
        </w:rPr>
      </w:pPr>
      <w:r w:rsidRPr="007F2EDE">
        <w:rPr>
          <w:rFonts w:eastAsia="Calibri"/>
          <w:b/>
          <w:sz w:val="26"/>
          <w:szCs w:val="26"/>
          <w:lang w:eastAsia="en-US"/>
        </w:rPr>
        <w:t>Crece 8.0% arribo de turistas internacionales</w:t>
      </w:r>
    </w:p>
    <w:p w14:paraId="2B4661BE" w14:textId="2ECC4B1C" w:rsidR="007F2EDE" w:rsidRPr="007F2EDE" w:rsidRDefault="007F2EDE" w:rsidP="007F2EDE">
      <w:pPr>
        <w:ind w:right="-159"/>
        <w:jc w:val="both"/>
        <w:rPr>
          <w:rFonts w:eastAsia="Calibri"/>
          <w:b/>
          <w:sz w:val="26"/>
          <w:szCs w:val="26"/>
          <w:lang w:eastAsia="en-US"/>
        </w:rPr>
      </w:pPr>
      <w:proofErr w:type="gramStart"/>
      <w:r w:rsidRPr="007F2EDE">
        <w:rPr>
          <w:rFonts w:eastAsia="Calibri"/>
          <w:b/>
          <w:sz w:val="26"/>
          <w:szCs w:val="26"/>
          <w:lang w:eastAsia="en-US"/>
        </w:rPr>
        <w:t>por</w:t>
      </w:r>
      <w:proofErr w:type="gramEnd"/>
      <w:r w:rsidRPr="007F2EDE">
        <w:rPr>
          <w:rFonts w:eastAsia="Calibri"/>
          <w:b/>
          <w:sz w:val="26"/>
          <w:szCs w:val="26"/>
          <w:lang w:eastAsia="en-US"/>
        </w:rPr>
        <w:t xml:space="preserve"> vía aérea  en  el período enero–febrero de</w:t>
      </w:r>
    </w:p>
    <w:p w14:paraId="46207304" w14:textId="77777777" w:rsidR="007F2EDE" w:rsidRPr="007F2EDE" w:rsidRDefault="007F2EDE" w:rsidP="007F2EDE">
      <w:pPr>
        <w:spacing w:after="360" w:line="360" w:lineRule="auto"/>
        <w:ind w:right="-159"/>
        <w:jc w:val="both"/>
        <w:rPr>
          <w:rFonts w:eastAsia="Calibri"/>
          <w:b/>
          <w:sz w:val="26"/>
          <w:szCs w:val="26"/>
          <w:lang w:eastAsia="en-US"/>
        </w:rPr>
      </w:pPr>
      <w:r w:rsidRPr="007F2EDE">
        <w:rPr>
          <w:rFonts w:eastAsia="Calibri"/>
          <w:b/>
          <w:sz w:val="26"/>
          <w:szCs w:val="26"/>
          <w:lang w:eastAsia="en-US"/>
        </w:rPr>
        <w:t>2015, respecto a 2014 (</w:t>
      </w:r>
      <w:proofErr w:type="spellStart"/>
      <w:r w:rsidRPr="007F2EDE">
        <w:rPr>
          <w:rFonts w:eastAsia="Calibri"/>
          <w:b/>
          <w:sz w:val="26"/>
          <w:szCs w:val="26"/>
          <w:lang w:eastAsia="en-US"/>
        </w:rPr>
        <w:t>Sectur</w:t>
      </w:r>
      <w:proofErr w:type="spellEnd"/>
      <w:r w:rsidRPr="007F2EDE">
        <w:rPr>
          <w:rFonts w:eastAsia="Calibri"/>
          <w:b/>
          <w:sz w:val="26"/>
          <w:szCs w:val="26"/>
          <w:lang w:eastAsia="en-US"/>
        </w:rPr>
        <w:t>)</w:t>
      </w:r>
    </w:p>
    <w:p w14:paraId="65E934BF"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El 31 de marzo de 2015, la Secretaría de Turismo (</w:t>
      </w:r>
      <w:proofErr w:type="spellStart"/>
      <w:r w:rsidRPr="007F2EDE">
        <w:rPr>
          <w:rFonts w:eastAsia="Calibri"/>
          <w:sz w:val="26"/>
          <w:szCs w:val="26"/>
          <w:lang w:eastAsia="en-US"/>
        </w:rPr>
        <w:t>Sectur</w:t>
      </w:r>
      <w:proofErr w:type="spellEnd"/>
      <w:r w:rsidRPr="007F2EDE">
        <w:rPr>
          <w:rFonts w:eastAsia="Calibri"/>
          <w:sz w:val="26"/>
          <w:szCs w:val="26"/>
          <w:lang w:eastAsia="en-US"/>
        </w:rPr>
        <w:t>) informó que crece 8.0% arribo de turistas internacionales por vía aérea en el período enero–febrero de 2015, respecto a 2014. A continuación se presenta la información.</w:t>
      </w:r>
    </w:p>
    <w:p w14:paraId="3E996A7D" w14:textId="6E6A4B4F"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lastRenderedPageBreak/>
        <w:t>El arribo de visitantes internacionales por vía aérea a México en los dos primeros meses de este año registró un crecimiento de 8.0% con respecto a 2014, reveló el informe más reciente del Sistema Integral de Operación Migratoria (SIOM), del Instituto Nacional de Migración (INM).</w:t>
      </w:r>
    </w:p>
    <w:p w14:paraId="1E9714DB"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De acuerdo con las cifras oficiales, se registraron 2.6 millones de pasajeros internacionales vía aérea en enero–febrero de 2015, superior a los 2.4 millones que se reportaron en el mismo lapso del 2014.</w:t>
      </w:r>
    </w:p>
    <w:p w14:paraId="2507C810"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La llegada de visitantes procedentes de Estados Unidos de Norteamérica se incrementó 10.2%, al pasar de 1.2 millones de visitantes en enero–febrero del año pasado, a              1.3 millones en igual período de este año.</w:t>
      </w:r>
    </w:p>
    <w:p w14:paraId="3692D1A0"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Por su parte, el arribo de turistas canadienses observó un incremento de 4.1%, al pasar de 517 mil visitantes internacionales que arribaron por vía aérea en 2014, a 538 mil en el primer bimestre de 2015.</w:t>
      </w:r>
    </w:p>
    <w:p w14:paraId="3980A95D"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Los resultados del SIOM revelan también que los turistas provenientes de Reino Unido pasaron de 53 mil pasajeros durante enero-febrero de 2014 a 59 mil durante el mismo período de 2015, lo que representa un incremento de 11.2 por ciento.</w:t>
      </w:r>
    </w:p>
    <w:p w14:paraId="17EE1E25"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En cuanto a países de América del Sur, los pasajeros de nacionalidad colombiana se incrementaron en 26.7%, alcanzando los 57 mil pasajeros en los dos primeros meses de 2015 contra los 45 mil de 2014.</w:t>
      </w:r>
    </w:p>
    <w:p w14:paraId="25071E40"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El informe del SIOM del Instituto Nacional de Migración, dependencia de la Secretaría de Gobernación, destacó que los pasajeros de economías emergentes a México han mantenido una tendencia positiva.</w:t>
      </w:r>
    </w:p>
    <w:p w14:paraId="1D20488E"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lastRenderedPageBreak/>
        <w:t>Los turistas internacionales provenientes de Brasil, aumentaron 23.2%, al pasar de           55 mil en enero-febrero del 2014 a 67 mil turistas este año en ese mismo lapso.</w:t>
      </w:r>
    </w:p>
    <w:p w14:paraId="7A8C381D" w14:textId="77777777" w:rsidR="007F2EDE" w:rsidRPr="007F2EDE" w:rsidRDefault="007F2EDE" w:rsidP="007F2EDE">
      <w:pPr>
        <w:spacing w:after="360" w:line="360" w:lineRule="auto"/>
        <w:ind w:right="-159"/>
        <w:jc w:val="both"/>
        <w:rPr>
          <w:rFonts w:eastAsia="Calibri"/>
          <w:sz w:val="26"/>
          <w:szCs w:val="26"/>
          <w:lang w:eastAsia="en-US"/>
        </w:rPr>
      </w:pPr>
      <w:r w:rsidRPr="007F2EDE">
        <w:rPr>
          <w:rFonts w:eastAsia="Calibri"/>
          <w:sz w:val="26"/>
          <w:szCs w:val="26"/>
          <w:lang w:eastAsia="en-US"/>
        </w:rPr>
        <w:t>Los viajeros provenientes de China pasaron de 10 mil en los primeros dos meses del año pasado a 12 mil este año, logrando un crecimiento del 21.1%, en tanto que los visitantes de Chile pasaron de 26 mil en 2014 a 29 mil en el mismo lapso de 2015, cifra 8.0% superior.</w:t>
      </w:r>
    </w:p>
    <w:p w14:paraId="7051AA24" w14:textId="77777777" w:rsidR="007F2EDE" w:rsidRPr="007F2EDE" w:rsidRDefault="007F2EDE" w:rsidP="007F2EDE">
      <w:pPr>
        <w:ind w:right="-159"/>
        <w:jc w:val="both"/>
        <w:rPr>
          <w:rFonts w:eastAsia="Calibri"/>
          <w:b/>
          <w:sz w:val="20"/>
          <w:szCs w:val="26"/>
          <w:lang w:eastAsia="en-US"/>
        </w:rPr>
      </w:pPr>
      <w:r w:rsidRPr="007F2EDE">
        <w:rPr>
          <w:rFonts w:eastAsia="Calibri"/>
          <w:b/>
          <w:sz w:val="20"/>
          <w:szCs w:val="26"/>
          <w:lang w:eastAsia="en-US"/>
        </w:rPr>
        <w:t>Fuente de información:</w:t>
      </w:r>
    </w:p>
    <w:p w14:paraId="07F91FCB" w14:textId="77777777" w:rsidR="007F2EDE" w:rsidRPr="005D5E9A" w:rsidRDefault="00D936FE" w:rsidP="005D5E9A">
      <w:pPr>
        <w:spacing w:after="720"/>
        <w:ind w:right="-159"/>
        <w:jc w:val="both"/>
        <w:rPr>
          <w:rFonts w:eastAsia="Calibri"/>
          <w:color w:val="0000FF"/>
          <w:sz w:val="20"/>
          <w:szCs w:val="20"/>
          <w:lang w:eastAsia="en-US"/>
        </w:rPr>
      </w:pPr>
      <w:hyperlink r:id="rId63" w:history="1">
        <w:r w:rsidR="007F2EDE" w:rsidRPr="005D5E9A">
          <w:rPr>
            <w:rFonts w:eastAsia="Calibri"/>
            <w:color w:val="0000FF"/>
            <w:sz w:val="20"/>
            <w:szCs w:val="20"/>
            <w:u w:val="single"/>
            <w:lang w:eastAsia="en-US"/>
          </w:rPr>
          <w:t>http://www.sectur.gob.mx/2015/03/31/boletin-65-crece-8-0-arribo-de-turistas-internacionales-por-via-aerea-en-el-periodo-enero-febrero-de-2015-respecto-a-2014/</w:t>
        </w:r>
      </w:hyperlink>
      <w:r w:rsidR="007F2EDE" w:rsidRPr="005D5E9A">
        <w:rPr>
          <w:rFonts w:eastAsia="Calibri"/>
          <w:color w:val="0000FF"/>
          <w:sz w:val="20"/>
          <w:szCs w:val="20"/>
          <w:lang w:eastAsia="en-US"/>
        </w:rPr>
        <w:t xml:space="preserve"> </w:t>
      </w:r>
    </w:p>
    <w:p w14:paraId="020232ED" w14:textId="77777777" w:rsidR="00AD5E3B" w:rsidRPr="00AD5E3B" w:rsidRDefault="00AD5E3B" w:rsidP="00AD5E3B">
      <w:pPr>
        <w:ind w:right="-159"/>
        <w:jc w:val="both"/>
        <w:rPr>
          <w:rFonts w:eastAsia="Calibri"/>
          <w:b/>
          <w:sz w:val="26"/>
          <w:szCs w:val="26"/>
          <w:lang w:eastAsia="en-US"/>
        </w:rPr>
      </w:pPr>
      <w:r w:rsidRPr="00AD5E3B">
        <w:rPr>
          <w:rFonts w:eastAsia="Calibri"/>
          <w:b/>
          <w:sz w:val="26"/>
          <w:szCs w:val="26"/>
          <w:lang w:eastAsia="en-US"/>
        </w:rPr>
        <w:t>Las  exportaciones generadas por el turismo</w:t>
      </w:r>
    </w:p>
    <w:p w14:paraId="29686B5A" w14:textId="77777777" w:rsidR="00AD5E3B" w:rsidRPr="00AD5E3B" w:rsidRDefault="00AD5E3B" w:rsidP="00AD5E3B">
      <w:pPr>
        <w:ind w:right="-159"/>
        <w:jc w:val="both"/>
        <w:rPr>
          <w:rFonts w:eastAsia="Calibri"/>
          <w:b/>
          <w:sz w:val="26"/>
          <w:szCs w:val="26"/>
          <w:lang w:eastAsia="en-US"/>
        </w:rPr>
      </w:pPr>
      <w:proofErr w:type="gramStart"/>
      <w:r w:rsidRPr="00AD5E3B">
        <w:rPr>
          <w:rFonts w:eastAsia="Calibri"/>
          <w:b/>
          <w:sz w:val="26"/>
          <w:szCs w:val="26"/>
          <w:lang w:eastAsia="en-US"/>
        </w:rPr>
        <w:t>internacional</w:t>
      </w:r>
      <w:proofErr w:type="gramEnd"/>
      <w:r w:rsidRPr="00AD5E3B">
        <w:rPr>
          <w:rFonts w:eastAsia="Calibri"/>
          <w:b/>
          <w:sz w:val="26"/>
          <w:szCs w:val="26"/>
          <w:lang w:eastAsia="en-US"/>
        </w:rPr>
        <w:t xml:space="preserve"> llegan a 1.5 billones de dólares</w:t>
      </w:r>
    </w:p>
    <w:p w14:paraId="25EB3534" w14:textId="77777777" w:rsidR="00AD5E3B" w:rsidRPr="00AD5E3B" w:rsidRDefault="00AD5E3B" w:rsidP="00AD5E3B">
      <w:pPr>
        <w:spacing w:after="360" w:line="360" w:lineRule="auto"/>
        <w:ind w:right="-159"/>
        <w:jc w:val="both"/>
        <w:rPr>
          <w:rFonts w:eastAsia="Calibri"/>
          <w:sz w:val="26"/>
          <w:szCs w:val="26"/>
          <w:lang w:eastAsia="en-US"/>
        </w:rPr>
      </w:pPr>
      <w:proofErr w:type="gramStart"/>
      <w:r w:rsidRPr="00AD5E3B">
        <w:rPr>
          <w:rFonts w:eastAsia="Calibri"/>
          <w:b/>
          <w:sz w:val="26"/>
          <w:szCs w:val="26"/>
          <w:lang w:eastAsia="en-US"/>
        </w:rPr>
        <w:t>de</w:t>
      </w:r>
      <w:proofErr w:type="gramEnd"/>
      <w:r w:rsidRPr="00AD5E3B">
        <w:rPr>
          <w:rFonts w:eastAsia="Calibri"/>
          <w:b/>
          <w:sz w:val="26"/>
          <w:szCs w:val="26"/>
          <w:lang w:eastAsia="en-US"/>
        </w:rPr>
        <w:t xml:space="preserve"> estadounidenses en 2014</w:t>
      </w:r>
      <w:r w:rsidRPr="00AD5E3B">
        <w:rPr>
          <w:rFonts w:eastAsia="Calibri"/>
          <w:sz w:val="26"/>
          <w:szCs w:val="26"/>
          <w:lang w:eastAsia="en-US"/>
        </w:rPr>
        <w:t xml:space="preserve"> </w:t>
      </w:r>
      <w:r w:rsidRPr="00AD5E3B">
        <w:rPr>
          <w:rFonts w:eastAsia="Calibri"/>
          <w:b/>
          <w:sz w:val="26"/>
          <w:szCs w:val="26"/>
          <w:lang w:eastAsia="en-US"/>
        </w:rPr>
        <w:t>(OMT)</w:t>
      </w:r>
      <w:r w:rsidRPr="00AD5E3B">
        <w:rPr>
          <w:rFonts w:eastAsia="Calibri"/>
          <w:sz w:val="26"/>
          <w:szCs w:val="26"/>
          <w:lang w:eastAsia="en-US"/>
        </w:rPr>
        <w:t xml:space="preserve">  </w:t>
      </w:r>
    </w:p>
    <w:p w14:paraId="4B64C207" w14:textId="2EA5B56E" w:rsidR="00AD5E3B" w:rsidRPr="00AD5E3B" w:rsidRDefault="00AD5E3B" w:rsidP="00AD5E3B">
      <w:pPr>
        <w:spacing w:after="360" w:line="360" w:lineRule="auto"/>
        <w:ind w:right="-159"/>
        <w:jc w:val="both"/>
        <w:rPr>
          <w:rFonts w:eastAsia="Calibri"/>
          <w:sz w:val="26"/>
          <w:szCs w:val="26"/>
          <w:lang w:eastAsia="en-US"/>
        </w:rPr>
      </w:pPr>
      <w:r w:rsidRPr="00AD5E3B">
        <w:rPr>
          <w:rFonts w:eastAsia="Calibri"/>
          <w:sz w:val="26"/>
          <w:szCs w:val="26"/>
          <w:lang w:eastAsia="en-US"/>
        </w:rPr>
        <w:t>El 15 de abril de 2015, en Madrid, España, la Organización Mundial del Turismo (OMT) informó</w:t>
      </w:r>
      <w:r w:rsidR="005D5E9A">
        <w:rPr>
          <w:rFonts w:eastAsia="Calibri"/>
          <w:sz w:val="26"/>
          <w:szCs w:val="26"/>
          <w:lang w:eastAsia="en-US"/>
        </w:rPr>
        <w:t>,</w:t>
      </w:r>
      <w:r w:rsidRPr="00AD5E3B">
        <w:rPr>
          <w:rFonts w:eastAsia="Calibri"/>
          <w:sz w:val="26"/>
          <w:szCs w:val="26"/>
          <w:lang w:eastAsia="en-US"/>
        </w:rPr>
        <w:t xml:space="preserve"> según el último número del Barómetro OMT del Turismo Mundial, que los ingresos por turismo internacional se incrementaron en 48 mil millones de dólares estadounidenses en 2014, hasta alcanzar el récord de un billón 245 mil millones de dólares. El transporte internacional de pasajeros generó otros 221 mil millones de dólares, elevándose el total de las exportaciones generadas por el turismo internacional hasta 1.5 billones de dólares.</w:t>
      </w:r>
    </w:p>
    <w:p w14:paraId="7374563A" w14:textId="33CB8AFB" w:rsidR="00AD5E3B" w:rsidRPr="00AD5E3B" w:rsidRDefault="00AD5E3B" w:rsidP="00AD5E3B">
      <w:pPr>
        <w:spacing w:after="360" w:line="360" w:lineRule="auto"/>
        <w:ind w:right="-159"/>
        <w:jc w:val="center"/>
        <w:rPr>
          <w:rFonts w:eastAsia="Calibri"/>
          <w:sz w:val="26"/>
          <w:szCs w:val="26"/>
          <w:lang w:eastAsia="en-US"/>
        </w:rPr>
      </w:pPr>
      <w:r w:rsidRPr="00AD5E3B">
        <w:rPr>
          <w:rFonts w:eastAsia="Calibri"/>
          <w:sz w:val="26"/>
          <w:szCs w:val="26"/>
          <w:lang w:eastAsia="en-US"/>
        </w:rPr>
        <w:lastRenderedPageBreak/>
        <w:fldChar w:fldCharType="begin"/>
      </w:r>
      <w:r w:rsidRPr="00AD5E3B">
        <w:rPr>
          <w:rFonts w:eastAsia="Calibri"/>
          <w:sz w:val="26"/>
          <w:szCs w:val="26"/>
          <w:lang w:eastAsia="en-US"/>
        </w:rPr>
        <w:instrText xml:space="preserve"> LINK PowerPoint.Slide.8 "D:\\2015\\ABRIL\\GRÁFICAS POWER POINT\\27.- GRÁFICAS DE TURISMO INTERNACIONAL.pptx!262" "" \a \p </w:instrText>
      </w:r>
      <w:r w:rsidRPr="00AD5E3B">
        <w:rPr>
          <w:rFonts w:eastAsia="Calibri"/>
          <w:sz w:val="26"/>
          <w:szCs w:val="26"/>
          <w:lang w:eastAsia="en-US"/>
        </w:rPr>
        <w:fldChar w:fldCharType="separate"/>
      </w:r>
      <w:r w:rsidRPr="00AD5E3B">
        <w:rPr>
          <w:rFonts w:eastAsia="Calibri"/>
          <w:noProof/>
          <w:sz w:val="26"/>
          <w:szCs w:val="26"/>
          <w:lang w:eastAsia="es-MX"/>
        </w:rPr>
        <w:drawing>
          <wp:inline distT="0" distB="0" distL="0" distR="0" wp14:anchorId="24E44F48" wp14:editId="7034C737">
            <wp:extent cx="4232275" cy="2990215"/>
            <wp:effectExtent l="0" t="0" r="0" b="635"/>
            <wp:docPr id="1807" name="Imagen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8"/>
                    <pic:cNvPicPr>
                      <a:picLocks noChangeAspect="1" noChangeArrowheads="1"/>
                    </pic:cNvPicPr>
                  </pic:nvPicPr>
                  <pic:blipFill>
                    <a:blip r:embed="rId64" cstate="print">
                      <a:extLst>
                        <a:ext uri="{28A0092B-C50C-407E-A947-70E740481C1C}">
                          <a14:useLocalDpi xmlns:a14="http://schemas.microsoft.com/office/drawing/2010/main" val="0"/>
                        </a:ext>
                      </a:extLst>
                    </a:blip>
                    <a:srcRect l="15764" t="8107" r="14561" b="4683"/>
                    <a:stretch>
                      <a:fillRect/>
                    </a:stretch>
                  </pic:blipFill>
                  <pic:spPr bwMode="auto">
                    <a:xfrm>
                      <a:off x="0" y="0"/>
                      <a:ext cx="4232275" cy="2990215"/>
                    </a:xfrm>
                    <a:prstGeom prst="rect">
                      <a:avLst/>
                    </a:prstGeom>
                    <a:noFill/>
                    <a:ln>
                      <a:noFill/>
                    </a:ln>
                  </pic:spPr>
                </pic:pic>
              </a:graphicData>
            </a:graphic>
          </wp:inline>
        </w:drawing>
      </w:r>
      <w:r w:rsidRPr="00AD5E3B">
        <w:rPr>
          <w:rFonts w:eastAsia="Calibri"/>
          <w:sz w:val="26"/>
          <w:szCs w:val="26"/>
          <w:lang w:eastAsia="en-US"/>
        </w:rPr>
        <w:fldChar w:fldCharType="end"/>
      </w:r>
    </w:p>
    <w:p w14:paraId="511CE2C2" w14:textId="77777777" w:rsidR="00AD5E3B" w:rsidRPr="00AD5E3B" w:rsidRDefault="00AD5E3B" w:rsidP="00AD5E3B">
      <w:pPr>
        <w:spacing w:after="360" w:line="360" w:lineRule="auto"/>
        <w:ind w:right="-159"/>
        <w:jc w:val="both"/>
        <w:rPr>
          <w:rFonts w:eastAsia="Calibri"/>
          <w:sz w:val="26"/>
          <w:szCs w:val="26"/>
          <w:lang w:eastAsia="en-US"/>
        </w:rPr>
      </w:pPr>
      <w:r w:rsidRPr="00AD5E3B">
        <w:rPr>
          <w:rFonts w:eastAsia="Calibri"/>
          <w:sz w:val="26"/>
          <w:szCs w:val="26"/>
          <w:lang w:eastAsia="en-US"/>
        </w:rPr>
        <w:t>Los ingresos generados por los visitantes internacionales que gastan en alojamiento, comida y bebida, entretenimiento, compras y otros bienes y servicios alcanzaron una cifra estimada de un billón 245 mil millones de dólares (937 mil millones de euros) en 2014, lo que representa un incremento del 3.7% en términos reales (teniendo en cuenta las fluctuaciones cambiarias y la inflación). Las llegadas de turistas internacionales se incrementaron 4.4% en 2014, alcanzándose un total de mil 135 millones, partiendo de mil 87 millones de 2013.</w:t>
      </w:r>
    </w:p>
    <w:p w14:paraId="5C3417B3" w14:textId="53920119" w:rsidR="00AD5E3B" w:rsidRPr="00AD5E3B" w:rsidRDefault="00AD5E3B" w:rsidP="00AD5E3B">
      <w:pPr>
        <w:spacing w:after="360" w:line="360" w:lineRule="auto"/>
        <w:ind w:right="-159"/>
        <w:jc w:val="center"/>
        <w:rPr>
          <w:rFonts w:eastAsia="Calibri"/>
          <w:sz w:val="26"/>
          <w:szCs w:val="26"/>
          <w:lang w:eastAsia="en-US"/>
        </w:rPr>
      </w:pPr>
      <w:r w:rsidRPr="00AD5E3B">
        <w:rPr>
          <w:rFonts w:eastAsia="Calibri"/>
          <w:sz w:val="26"/>
          <w:szCs w:val="26"/>
          <w:lang w:eastAsia="en-US"/>
        </w:rPr>
        <w:lastRenderedPageBreak/>
        <w:fldChar w:fldCharType="begin"/>
      </w:r>
      <w:r w:rsidRPr="00AD5E3B">
        <w:rPr>
          <w:rFonts w:eastAsia="Calibri"/>
          <w:sz w:val="26"/>
          <w:szCs w:val="26"/>
          <w:lang w:eastAsia="en-US"/>
        </w:rPr>
        <w:instrText xml:space="preserve"> LINK PowerPoint.Slide.8 "D:\\2015\\ABRIL\\GRÁFICAS POWER POINT\\27.- GRÁFICAS DE TURISMO INTERNACIONAL.pptx!258" "" \a \p </w:instrText>
      </w:r>
      <w:r w:rsidRPr="00AD5E3B">
        <w:rPr>
          <w:rFonts w:eastAsia="Calibri"/>
          <w:sz w:val="26"/>
          <w:szCs w:val="26"/>
          <w:lang w:eastAsia="en-US"/>
        </w:rPr>
        <w:fldChar w:fldCharType="separate"/>
      </w:r>
      <w:r w:rsidRPr="00AD5E3B">
        <w:rPr>
          <w:rFonts w:eastAsia="Calibri"/>
          <w:noProof/>
          <w:sz w:val="26"/>
          <w:szCs w:val="26"/>
          <w:lang w:eastAsia="es-MX"/>
        </w:rPr>
        <w:drawing>
          <wp:inline distT="0" distB="0" distL="0" distR="0" wp14:anchorId="65C23B0C" wp14:editId="3E6F6C14">
            <wp:extent cx="4621530" cy="3082925"/>
            <wp:effectExtent l="0" t="0" r="7620" b="3175"/>
            <wp:docPr id="1806" name="Imagen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9"/>
                    <pic:cNvPicPr>
                      <a:picLocks noChangeAspect="1" noChangeArrowheads="1"/>
                    </pic:cNvPicPr>
                  </pic:nvPicPr>
                  <pic:blipFill>
                    <a:blip r:embed="rId65" cstate="print">
                      <a:extLst>
                        <a:ext uri="{28A0092B-C50C-407E-A947-70E740481C1C}">
                          <a14:useLocalDpi xmlns:a14="http://schemas.microsoft.com/office/drawing/2010/main" val="0"/>
                        </a:ext>
                      </a:extLst>
                    </a:blip>
                    <a:srcRect l="14917" r="9140" b="10013"/>
                    <a:stretch>
                      <a:fillRect/>
                    </a:stretch>
                  </pic:blipFill>
                  <pic:spPr bwMode="auto">
                    <a:xfrm>
                      <a:off x="0" y="0"/>
                      <a:ext cx="4621530" cy="3082925"/>
                    </a:xfrm>
                    <a:prstGeom prst="rect">
                      <a:avLst/>
                    </a:prstGeom>
                    <a:noFill/>
                    <a:ln>
                      <a:noFill/>
                    </a:ln>
                  </pic:spPr>
                </pic:pic>
              </a:graphicData>
            </a:graphic>
          </wp:inline>
        </w:drawing>
      </w:r>
      <w:r w:rsidRPr="00AD5E3B">
        <w:rPr>
          <w:rFonts w:eastAsia="Calibri"/>
          <w:sz w:val="26"/>
          <w:szCs w:val="26"/>
          <w:lang w:eastAsia="en-US"/>
        </w:rPr>
        <w:fldChar w:fldCharType="end"/>
      </w:r>
    </w:p>
    <w:p w14:paraId="557E0518" w14:textId="51C8C129" w:rsidR="00AD5E3B" w:rsidRPr="00AD5E3B" w:rsidRDefault="00AD5E3B" w:rsidP="00AD5E3B">
      <w:pPr>
        <w:spacing w:after="360" w:line="360" w:lineRule="auto"/>
        <w:ind w:right="-159"/>
        <w:jc w:val="both"/>
        <w:rPr>
          <w:rFonts w:eastAsia="Calibri"/>
          <w:sz w:val="26"/>
          <w:szCs w:val="26"/>
          <w:lang w:eastAsia="en-US"/>
        </w:rPr>
      </w:pPr>
      <w:r w:rsidRPr="00AD5E3B">
        <w:rPr>
          <w:rFonts w:eastAsia="Calibri"/>
          <w:sz w:val="26"/>
          <w:szCs w:val="26"/>
          <w:lang w:eastAsia="en-US"/>
        </w:rPr>
        <w:t xml:space="preserve">Aparte de los ingresos por turismo internacional (la partida de viajes de la balanza de pagos), el turismo genera también ingresos de exportación a través de los servicios de transporte internacional de pasajeros (prestados a no residentes). El importe de </w:t>
      </w:r>
      <w:r w:rsidR="005D5E9A">
        <w:rPr>
          <w:rFonts w:eastAsia="Calibri"/>
          <w:sz w:val="26"/>
          <w:szCs w:val="26"/>
          <w:lang w:eastAsia="en-US"/>
        </w:rPr>
        <w:t>é</w:t>
      </w:r>
      <w:r w:rsidRPr="00AD5E3B">
        <w:rPr>
          <w:rFonts w:eastAsia="Calibri"/>
          <w:sz w:val="26"/>
          <w:szCs w:val="26"/>
          <w:lang w:eastAsia="en-US"/>
        </w:rPr>
        <w:t>stos se estima en 221 mil millones de dólares estadounidenses en 2014, elevándose el total de las exportaciones del turismo internacional a 1.5 billones de dólares estadounidenses, o lo que es lo mismo, 4 mil millones de dólares al día como promedio.</w:t>
      </w:r>
    </w:p>
    <w:p w14:paraId="5E96461B" w14:textId="77777777" w:rsidR="00AD5E3B" w:rsidRPr="00AD5E3B" w:rsidRDefault="00AD5E3B" w:rsidP="00AD5E3B">
      <w:pPr>
        <w:spacing w:after="360" w:line="360" w:lineRule="auto"/>
        <w:ind w:right="-159"/>
        <w:jc w:val="both"/>
        <w:rPr>
          <w:rFonts w:eastAsia="Calibri"/>
          <w:sz w:val="26"/>
          <w:szCs w:val="26"/>
          <w:lang w:eastAsia="en-US"/>
        </w:rPr>
      </w:pPr>
      <w:r w:rsidRPr="00AD5E3B">
        <w:rPr>
          <w:rFonts w:eastAsia="Calibri"/>
          <w:sz w:val="26"/>
          <w:szCs w:val="26"/>
          <w:lang w:eastAsia="en-US"/>
        </w:rPr>
        <w:t>“El turismo internacional es un componente cada vez más significativo del comercio internacional, como se ve en los ingresos de exportación del turismo internacional y el transporte de pasajeros, que llegaron a 1.5 billones de dólares estadounidenses en 2014”, manifestó el Secretario General de la OMT. “En un escenario de reducción de los precios de los productos básicos, el gasto en turismo internacional creció notablemente en 2014, demostrándose la capacidad del sector de estimular el crecimiento económico, impulsar las exportaciones y crear empleo”, agregó.</w:t>
      </w:r>
    </w:p>
    <w:p w14:paraId="460C5239" w14:textId="77777777" w:rsidR="00AD5E3B" w:rsidRPr="00AD5E3B" w:rsidRDefault="00AD5E3B" w:rsidP="00AD5E3B">
      <w:pPr>
        <w:spacing w:after="360" w:line="360" w:lineRule="auto"/>
        <w:ind w:right="-159"/>
        <w:jc w:val="both"/>
        <w:rPr>
          <w:rFonts w:eastAsia="Calibri"/>
          <w:sz w:val="26"/>
          <w:szCs w:val="26"/>
          <w:lang w:eastAsia="en-US"/>
        </w:rPr>
      </w:pPr>
      <w:r w:rsidRPr="00AD5E3B">
        <w:rPr>
          <w:rFonts w:eastAsia="Calibri"/>
          <w:sz w:val="26"/>
          <w:szCs w:val="26"/>
          <w:lang w:eastAsia="en-US"/>
        </w:rPr>
        <w:t xml:space="preserve">El turismo internacional (viajes y transporte de pasajeros) representa el 30% de las exportaciones de servicios del mundo y el 6% de las exportaciones totales de bienes y </w:t>
      </w:r>
      <w:r w:rsidRPr="00AD5E3B">
        <w:rPr>
          <w:rFonts w:eastAsia="Calibri"/>
          <w:sz w:val="26"/>
          <w:szCs w:val="26"/>
          <w:lang w:eastAsia="en-US"/>
        </w:rPr>
        <w:lastRenderedPageBreak/>
        <w:t>servicios. Como categoría de exportación en el ámbito internacional, el turismo se sitúa en cuarto lugar, después de los combustibles, los productos químicos y la industria agroalimentaria, y en muchos países en desarrollo ocupa el primer puesto.</w:t>
      </w:r>
    </w:p>
    <w:p w14:paraId="61BB3B6F" w14:textId="77777777" w:rsidR="00AD5E3B" w:rsidRPr="00AD5E3B" w:rsidRDefault="00AD5E3B" w:rsidP="00AD5E3B">
      <w:pPr>
        <w:spacing w:after="360" w:line="360" w:lineRule="auto"/>
        <w:ind w:right="-159"/>
        <w:jc w:val="both"/>
        <w:rPr>
          <w:rFonts w:eastAsia="Calibri"/>
          <w:b/>
          <w:sz w:val="26"/>
          <w:szCs w:val="26"/>
          <w:lang w:eastAsia="en-US"/>
        </w:rPr>
      </w:pPr>
      <w:r w:rsidRPr="00AD5E3B">
        <w:rPr>
          <w:rFonts w:eastAsia="Calibri"/>
          <w:b/>
          <w:sz w:val="26"/>
          <w:szCs w:val="26"/>
          <w:lang w:eastAsia="en-US"/>
        </w:rPr>
        <w:t xml:space="preserve">Los ingresos por turismo internacional aumentaron en todas las regiones </w:t>
      </w:r>
    </w:p>
    <w:p w14:paraId="66E3EC49" w14:textId="77777777" w:rsidR="00AD5E3B" w:rsidRPr="00AD5E3B" w:rsidRDefault="00AD5E3B" w:rsidP="00AD5E3B">
      <w:pPr>
        <w:spacing w:after="360" w:line="360" w:lineRule="auto"/>
        <w:ind w:right="-159"/>
        <w:jc w:val="both"/>
        <w:rPr>
          <w:rFonts w:eastAsia="Calibri"/>
          <w:sz w:val="26"/>
          <w:szCs w:val="26"/>
          <w:lang w:eastAsia="en-US"/>
        </w:rPr>
      </w:pPr>
      <w:r w:rsidRPr="00AD5E3B">
        <w:rPr>
          <w:rFonts w:eastAsia="Calibri"/>
          <w:sz w:val="26"/>
          <w:szCs w:val="26"/>
          <w:lang w:eastAsia="en-US"/>
        </w:rPr>
        <w:t xml:space="preserve">Europa, que recibe el 41% de los ingresos por turismo internacional del mundo, registró un incremento de sus ganancias turísticas, en términos absolutos, de 17 mil millones de dólares estadounidenses hasta llegar a los 509 mil millones de dólares (383 mil millones de euros). Asia y el Pacífico (cuota del 30%) registró un incremento de 16 mil millones de dólares, llegando a los 377 mil millones de dólares (284 mil millones de euros). </w:t>
      </w:r>
    </w:p>
    <w:p w14:paraId="50EC99FD" w14:textId="5187A7AD" w:rsidR="00AD5E3B" w:rsidRPr="00AD5E3B" w:rsidRDefault="00AD5E3B" w:rsidP="00AD5E3B">
      <w:pPr>
        <w:spacing w:after="360" w:line="360" w:lineRule="auto"/>
        <w:ind w:right="-159"/>
        <w:jc w:val="center"/>
        <w:rPr>
          <w:rFonts w:eastAsia="Calibri"/>
          <w:sz w:val="26"/>
          <w:szCs w:val="26"/>
          <w:lang w:eastAsia="en-US"/>
        </w:rPr>
      </w:pPr>
      <w:r w:rsidRPr="00AD5E3B">
        <w:rPr>
          <w:rFonts w:eastAsia="Calibri"/>
          <w:sz w:val="26"/>
          <w:szCs w:val="26"/>
          <w:lang w:eastAsia="en-US"/>
        </w:rPr>
        <w:fldChar w:fldCharType="begin"/>
      </w:r>
      <w:r w:rsidRPr="00AD5E3B">
        <w:rPr>
          <w:rFonts w:eastAsia="Calibri"/>
          <w:sz w:val="26"/>
          <w:szCs w:val="26"/>
          <w:lang w:eastAsia="en-US"/>
        </w:rPr>
        <w:instrText xml:space="preserve"> LINK PowerPoint.Slide.8 "D:\\2015\\ABRIL\\GRÁFICAS POWER POINT\\27.- GRÁFICAS DE TURISMO INTERNACIONAL.pptx!260" "" \a \p </w:instrText>
      </w:r>
      <w:r w:rsidRPr="00AD5E3B">
        <w:rPr>
          <w:rFonts w:eastAsia="Calibri"/>
          <w:sz w:val="26"/>
          <w:szCs w:val="26"/>
          <w:lang w:eastAsia="en-US"/>
        </w:rPr>
        <w:fldChar w:fldCharType="separate"/>
      </w:r>
      <w:r w:rsidRPr="00AD5E3B">
        <w:rPr>
          <w:rFonts w:eastAsia="Calibri"/>
          <w:noProof/>
          <w:sz w:val="26"/>
          <w:szCs w:val="26"/>
          <w:lang w:eastAsia="es-MX"/>
        </w:rPr>
        <w:drawing>
          <wp:inline distT="0" distB="0" distL="0" distR="0" wp14:anchorId="6760168C" wp14:editId="54621334">
            <wp:extent cx="4090035" cy="3336290"/>
            <wp:effectExtent l="0" t="0" r="5715" b="0"/>
            <wp:docPr id="1805" name="Imagen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
                    <pic:cNvPicPr>
                      <a:picLocks noChangeAspect="1" noChangeArrowheads="1"/>
                    </pic:cNvPicPr>
                  </pic:nvPicPr>
                  <pic:blipFill>
                    <a:blip r:embed="rId66" cstate="print">
                      <a:extLst>
                        <a:ext uri="{28A0092B-C50C-407E-A947-70E740481C1C}">
                          <a14:useLocalDpi xmlns:a14="http://schemas.microsoft.com/office/drawing/2010/main" val="0"/>
                        </a:ext>
                      </a:extLst>
                    </a:blip>
                    <a:srcRect l="15408" r="17329" b="2554"/>
                    <a:stretch>
                      <a:fillRect/>
                    </a:stretch>
                  </pic:blipFill>
                  <pic:spPr bwMode="auto">
                    <a:xfrm>
                      <a:off x="0" y="0"/>
                      <a:ext cx="4090035" cy="3336290"/>
                    </a:xfrm>
                    <a:prstGeom prst="rect">
                      <a:avLst/>
                    </a:prstGeom>
                    <a:noFill/>
                    <a:ln>
                      <a:noFill/>
                    </a:ln>
                  </pic:spPr>
                </pic:pic>
              </a:graphicData>
            </a:graphic>
          </wp:inline>
        </w:drawing>
      </w:r>
      <w:r w:rsidRPr="00AD5E3B">
        <w:rPr>
          <w:rFonts w:eastAsia="Calibri"/>
          <w:sz w:val="26"/>
          <w:szCs w:val="26"/>
          <w:lang w:eastAsia="en-US"/>
        </w:rPr>
        <w:fldChar w:fldCharType="end"/>
      </w:r>
    </w:p>
    <w:p w14:paraId="1FDC6736" w14:textId="77777777" w:rsidR="00AD5E3B" w:rsidRPr="00AD5E3B" w:rsidRDefault="00AD5E3B" w:rsidP="00AD5E3B">
      <w:pPr>
        <w:spacing w:after="360" w:line="360" w:lineRule="auto"/>
        <w:ind w:right="-159"/>
        <w:jc w:val="both"/>
        <w:rPr>
          <w:rFonts w:eastAsia="Calibri"/>
          <w:sz w:val="26"/>
          <w:szCs w:val="26"/>
          <w:lang w:eastAsia="en-US"/>
        </w:rPr>
      </w:pPr>
      <w:r w:rsidRPr="00AD5E3B">
        <w:rPr>
          <w:rFonts w:eastAsia="Calibri"/>
          <w:sz w:val="26"/>
          <w:szCs w:val="26"/>
          <w:lang w:eastAsia="en-US"/>
        </w:rPr>
        <w:t xml:space="preserve">En las Américas (cuota del 22%), los ingresos se incrementaron en 10 mil millones de dólares hasta un total de 274 mil millones de dólares (206 mil millones de euros). En Oriente Medio (cuota del 4%), los ingresos por turismo aumentaron según estimaciones en 4 mil millones de dólares hasta los 49 mil millones de dólares (37 mil millones de </w:t>
      </w:r>
      <w:r w:rsidRPr="00AD5E3B">
        <w:rPr>
          <w:rFonts w:eastAsia="Calibri"/>
          <w:sz w:val="26"/>
          <w:szCs w:val="26"/>
          <w:lang w:eastAsia="en-US"/>
        </w:rPr>
        <w:lastRenderedPageBreak/>
        <w:t>euros) y en África (cuota del 3%) en mil millones de dólares, hasta alcanzarse los 36 mil millones de dólares (27 mil millones de euros).</w:t>
      </w:r>
    </w:p>
    <w:p w14:paraId="65705676" w14:textId="206D0B2E" w:rsidR="00AD5E3B" w:rsidRPr="00AD5E3B" w:rsidRDefault="00AD5E3B" w:rsidP="00AD5E3B">
      <w:pPr>
        <w:spacing w:after="360" w:line="360" w:lineRule="auto"/>
        <w:ind w:right="-159"/>
        <w:jc w:val="center"/>
        <w:rPr>
          <w:rFonts w:eastAsia="Calibri"/>
          <w:sz w:val="26"/>
          <w:szCs w:val="26"/>
          <w:lang w:eastAsia="en-US"/>
        </w:rPr>
      </w:pPr>
      <w:r w:rsidRPr="00AD5E3B">
        <w:rPr>
          <w:rFonts w:eastAsia="Calibri"/>
          <w:sz w:val="26"/>
          <w:szCs w:val="26"/>
          <w:lang w:eastAsia="en-US"/>
        </w:rPr>
        <w:fldChar w:fldCharType="begin"/>
      </w:r>
      <w:r w:rsidRPr="00AD5E3B">
        <w:rPr>
          <w:rFonts w:eastAsia="Calibri"/>
          <w:sz w:val="26"/>
          <w:szCs w:val="26"/>
          <w:lang w:eastAsia="en-US"/>
        </w:rPr>
        <w:instrText xml:space="preserve"> LINK PowerPoint.Slide.8 "D:\\2015\\ABRIL\\GRÁFICAS POWER POINT\\27.- GRÁFICAS DE TURISMO INTERNACIONAL.pptx!259" "" \a \p </w:instrText>
      </w:r>
      <w:r w:rsidRPr="00AD5E3B">
        <w:rPr>
          <w:rFonts w:eastAsia="Calibri"/>
          <w:sz w:val="26"/>
          <w:szCs w:val="26"/>
          <w:lang w:eastAsia="en-US"/>
        </w:rPr>
        <w:fldChar w:fldCharType="separate"/>
      </w:r>
      <w:r w:rsidRPr="00AD5E3B">
        <w:rPr>
          <w:rFonts w:eastAsia="Calibri"/>
          <w:noProof/>
          <w:sz w:val="26"/>
          <w:szCs w:val="26"/>
          <w:lang w:eastAsia="es-MX"/>
        </w:rPr>
        <w:drawing>
          <wp:inline distT="0" distB="0" distL="0" distR="0" wp14:anchorId="6C4DD4DE" wp14:editId="39FC559C">
            <wp:extent cx="4065270" cy="3317875"/>
            <wp:effectExtent l="0" t="0" r="0" b="0"/>
            <wp:docPr id="1804" name="Imagen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1"/>
                    <pic:cNvPicPr>
                      <a:picLocks noChangeAspect="1" noChangeArrowheads="1"/>
                    </pic:cNvPicPr>
                  </pic:nvPicPr>
                  <pic:blipFill>
                    <a:blip r:embed="rId67" cstate="print">
                      <a:extLst>
                        <a:ext uri="{28A0092B-C50C-407E-A947-70E740481C1C}">
                          <a14:useLocalDpi xmlns:a14="http://schemas.microsoft.com/office/drawing/2010/main" val="0"/>
                        </a:ext>
                      </a:extLst>
                    </a:blip>
                    <a:srcRect l="15889" t="1703" r="17329" b="1703"/>
                    <a:stretch>
                      <a:fillRect/>
                    </a:stretch>
                  </pic:blipFill>
                  <pic:spPr bwMode="auto">
                    <a:xfrm>
                      <a:off x="0" y="0"/>
                      <a:ext cx="4065270" cy="3317875"/>
                    </a:xfrm>
                    <a:prstGeom prst="rect">
                      <a:avLst/>
                    </a:prstGeom>
                    <a:noFill/>
                    <a:ln>
                      <a:noFill/>
                    </a:ln>
                  </pic:spPr>
                </pic:pic>
              </a:graphicData>
            </a:graphic>
          </wp:inline>
        </w:drawing>
      </w:r>
      <w:r w:rsidRPr="00AD5E3B">
        <w:rPr>
          <w:rFonts w:eastAsia="Calibri"/>
          <w:sz w:val="26"/>
          <w:szCs w:val="26"/>
          <w:lang w:eastAsia="en-US"/>
        </w:rPr>
        <w:fldChar w:fldCharType="end"/>
      </w:r>
    </w:p>
    <w:p w14:paraId="21B1D086" w14:textId="77777777" w:rsidR="00AD5E3B" w:rsidRPr="00AD5E3B" w:rsidRDefault="00AD5E3B" w:rsidP="00AD5E3B">
      <w:pPr>
        <w:spacing w:after="360" w:line="360" w:lineRule="auto"/>
        <w:ind w:right="-159"/>
        <w:jc w:val="both"/>
        <w:rPr>
          <w:rFonts w:eastAsia="Calibri"/>
          <w:sz w:val="26"/>
          <w:szCs w:val="26"/>
          <w:lang w:eastAsia="en-US"/>
        </w:rPr>
      </w:pPr>
      <w:r w:rsidRPr="00AD5E3B">
        <w:rPr>
          <w:rFonts w:eastAsia="Calibri"/>
          <w:sz w:val="26"/>
          <w:szCs w:val="26"/>
          <w:lang w:eastAsia="en-US"/>
        </w:rPr>
        <w:t>Por subregiones, la Europa Septentrional, la Europa Meridional y Mediterránea, el Noreste Asiático, Oceanía, Asia Meridional, el Caribe, América Central, América del Sur y Oriente Medio mostraron el crecimiento más rápido en términos relativos, registrándose en todas ellas un aumento del 5% o más en cuanto a ingresos.</w:t>
      </w:r>
    </w:p>
    <w:p w14:paraId="3D996E7C" w14:textId="77777777" w:rsidR="00AD5E3B" w:rsidRPr="00AD5E3B" w:rsidRDefault="00AD5E3B" w:rsidP="000A364F">
      <w:pPr>
        <w:spacing w:after="360"/>
        <w:ind w:right="-159"/>
        <w:jc w:val="both"/>
        <w:rPr>
          <w:rFonts w:eastAsia="Calibri"/>
          <w:b/>
          <w:sz w:val="26"/>
          <w:szCs w:val="26"/>
          <w:lang w:eastAsia="en-US"/>
        </w:rPr>
      </w:pPr>
      <w:r w:rsidRPr="00AD5E3B">
        <w:rPr>
          <w:rFonts w:eastAsia="Calibri"/>
          <w:b/>
          <w:sz w:val="26"/>
          <w:szCs w:val="26"/>
          <w:lang w:eastAsia="en-US"/>
        </w:rPr>
        <w:t xml:space="preserve">Los que más ganan: China y el Reino Unido entraron en la lista de los diez primeros </w:t>
      </w:r>
    </w:p>
    <w:p w14:paraId="423061AA" w14:textId="77777777" w:rsidR="00AD5E3B" w:rsidRPr="00AD5E3B" w:rsidRDefault="00AD5E3B" w:rsidP="00AD5E3B">
      <w:pPr>
        <w:spacing w:after="360" w:line="360" w:lineRule="auto"/>
        <w:ind w:right="-159"/>
        <w:jc w:val="both"/>
        <w:rPr>
          <w:rFonts w:eastAsia="Calibri"/>
          <w:sz w:val="26"/>
          <w:szCs w:val="26"/>
          <w:lang w:eastAsia="en-US"/>
        </w:rPr>
      </w:pPr>
      <w:r w:rsidRPr="00AD5E3B">
        <w:rPr>
          <w:rFonts w:eastAsia="Calibri"/>
          <w:sz w:val="26"/>
          <w:szCs w:val="26"/>
          <w:lang w:eastAsia="en-US"/>
        </w:rPr>
        <w:t>En el ranking de los diez primeros países por ingresos turísticos, China pasó del quinto al tercer puesto, después de un incremento del 10% en los ingresos, que se elevaron a 57 mil millones de dólares en 2014. Los Estados Unidos de Norteamérica (177 mil millones de dólares) y España (65 mil millones) mantuvieron los puestos primero y segundo en el ranking.</w:t>
      </w:r>
    </w:p>
    <w:p w14:paraId="551F8FB2" w14:textId="148354DE" w:rsidR="00AD5E3B" w:rsidRPr="00AD5E3B" w:rsidRDefault="00AD5E3B" w:rsidP="00AD5E3B">
      <w:pPr>
        <w:spacing w:after="360" w:line="360" w:lineRule="auto"/>
        <w:ind w:right="-159"/>
        <w:jc w:val="center"/>
        <w:rPr>
          <w:rFonts w:eastAsia="Calibri"/>
          <w:sz w:val="26"/>
          <w:szCs w:val="26"/>
          <w:lang w:eastAsia="en-US"/>
        </w:rPr>
      </w:pPr>
      <w:r w:rsidRPr="00AD5E3B">
        <w:rPr>
          <w:rFonts w:eastAsia="Calibri"/>
          <w:sz w:val="26"/>
          <w:szCs w:val="26"/>
          <w:lang w:eastAsia="en-US"/>
        </w:rPr>
        <w:lastRenderedPageBreak/>
        <w:fldChar w:fldCharType="begin"/>
      </w:r>
      <w:r w:rsidRPr="00AD5E3B">
        <w:rPr>
          <w:rFonts w:eastAsia="Calibri"/>
          <w:sz w:val="26"/>
          <w:szCs w:val="26"/>
          <w:lang w:eastAsia="en-US"/>
        </w:rPr>
        <w:instrText xml:space="preserve"> LINK PowerPoint.Slide.8 "D:\\2015\\ABRIL\\GRÁFICAS POWER POINT\\27.- GRÁFICAS DE TURISMO INTERNACIONAL.pptx!264" "" \a \p </w:instrText>
      </w:r>
      <w:r w:rsidRPr="00AD5E3B">
        <w:rPr>
          <w:rFonts w:eastAsia="Calibri"/>
          <w:sz w:val="26"/>
          <w:szCs w:val="26"/>
          <w:lang w:eastAsia="en-US"/>
        </w:rPr>
        <w:fldChar w:fldCharType="separate"/>
      </w:r>
      <w:r w:rsidRPr="00AD5E3B">
        <w:rPr>
          <w:rFonts w:eastAsia="Calibri"/>
          <w:noProof/>
          <w:sz w:val="26"/>
          <w:szCs w:val="26"/>
          <w:lang w:eastAsia="es-MX"/>
        </w:rPr>
        <w:drawing>
          <wp:inline distT="0" distB="0" distL="0" distR="0" wp14:anchorId="00EC4AF4" wp14:editId="22899E1C">
            <wp:extent cx="4683125" cy="3435350"/>
            <wp:effectExtent l="0" t="0" r="3175" b="0"/>
            <wp:docPr id="1803" name="Imagen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2"/>
                    <pic:cNvPicPr>
                      <a:picLocks noChangeAspect="1" noChangeArrowheads="1"/>
                    </pic:cNvPicPr>
                  </pic:nvPicPr>
                  <pic:blipFill>
                    <a:blip r:embed="rId68" cstate="print">
                      <a:extLst>
                        <a:ext uri="{28A0092B-C50C-407E-A947-70E740481C1C}">
                          <a14:useLocalDpi xmlns:a14="http://schemas.microsoft.com/office/drawing/2010/main" val="0"/>
                        </a:ext>
                      </a:extLst>
                    </a:blip>
                    <a:srcRect l="13121" r="9871"/>
                    <a:stretch>
                      <a:fillRect/>
                    </a:stretch>
                  </pic:blipFill>
                  <pic:spPr bwMode="auto">
                    <a:xfrm>
                      <a:off x="0" y="0"/>
                      <a:ext cx="4683125" cy="3435350"/>
                    </a:xfrm>
                    <a:prstGeom prst="rect">
                      <a:avLst/>
                    </a:prstGeom>
                    <a:noFill/>
                    <a:ln>
                      <a:noFill/>
                    </a:ln>
                  </pic:spPr>
                </pic:pic>
              </a:graphicData>
            </a:graphic>
          </wp:inline>
        </w:drawing>
      </w:r>
      <w:r w:rsidRPr="00AD5E3B">
        <w:rPr>
          <w:rFonts w:eastAsia="Calibri"/>
          <w:sz w:val="26"/>
          <w:szCs w:val="26"/>
          <w:lang w:eastAsia="en-US"/>
        </w:rPr>
        <w:fldChar w:fldCharType="end"/>
      </w:r>
    </w:p>
    <w:p w14:paraId="36D890CF" w14:textId="2B2819C0" w:rsidR="00AD5E3B" w:rsidRPr="00AD5E3B" w:rsidRDefault="00AD5E3B" w:rsidP="00AD5E3B">
      <w:pPr>
        <w:spacing w:after="360" w:line="360" w:lineRule="auto"/>
        <w:ind w:right="-159"/>
        <w:jc w:val="center"/>
        <w:rPr>
          <w:rFonts w:eastAsia="Calibri"/>
          <w:sz w:val="26"/>
          <w:szCs w:val="26"/>
          <w:lang w:eastAsia="en-US"/>
        </w:rPr>
      </w:pPr>
      <w:r w:rsidRPr="00AD5E3B">
        <w:rPr>
          <w:rFonts w:eastAsia="Calibri"/>
          <w:sz w:val="26"/>
          <w:szCs w:val="26"/>
          <w:lang w:eastAsia="en-US"/>
        </w:rPr>
        <w:fldChar w:fldCharType="begin"/>
      </w:r>
      <w:r w:rsidRPr="00AD5E3B">
        <w:rPr>
          <w:rFonts w:eastAsia="Calibri"/>
          <w:sz w:val="26"/>
          <w:szCs w:val="26"/>
          <w:lang w:eastAsia="en-US"/>
        </w:rPr>
        <w:instrText xml:space="preserve"> LINK PowerPoint.Slide.8 "D:\\2015\\ABRIL\\GRÁFICAS POWER POINT\\27.- GRÁFICAS DE TURISMO INTERNACIONAL.pptx!263" "" \a \p </w:instrText>
      </w:r>
      <w:r w:rsidRPr="00AD5E3B">
        <w:rPr>
          <w:rFonts w:eastAsia="Calibri"/>
          <w:sz w:val="26"/>
          <w:szCs w:val="26"/>
          <w:lang w:eastAsia="en-US"/>
        </w:rPr>
        <w:fldChar w:fldCharType="separate"/>
      </w:r>
      <w:r w:rsidRPr="00AD5E3B">
        <w:rPr>
          <w:rFonts w:eastAsia="Calibri"/>
          <w:noProof/>
          <w:sz w:val="26"/>
          <w:szCs w:val="26"/>
          <w:lang w:eastAsia="es-MX"/>
        </w:rPr>
        <w:drawing>
          <wp:inline distT="0" distB="0" distL="0" distR="0" wp14:anchorId="04042153" wp14:editId="572114CE">
            <wp:extent cx="4621530" cy="3435350"/>
            <wp:effectExtent l="0" t="0" r="7620" b="0"/>
            <wp:docPr id="1802" name="Imagen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3"/>
                    <pic:cNvPicPr>
                      <a:picLocks noChangeAspect="1" noChangeArrowheads="1"/>
                    </pic:cNvPicPr>
                  </pic:nvPicPr>
                  <pic:blipFill>
                    <a:blip r:embed="rId69" cstate="print">
                      <a:extLst>
                        <a:ext uri="{28A0092B-C50C-407E-A947-70E740481C1C}">
                          <a14:useLocalDpi xmlns:a14="http://schemas.microsoft.com/office/drawing/2010/main" val="0"/>
                        </a:ext>
                      </a:extLst>
                    </a:blip>
                    <a:srcRect l="13005" r="10948"/>
                    <a:stretch>
                      <a:fillRect/>
                    </a:stretch>
                  </pic:blipFill>
                  <pic:spPr bwMode="auto">
                    <a:xfrm>
                      <a:off x="0" y="0"/>
                      <a:ext cx="4621530" cy="3435350"/>
                    </a:xfrm>
                    <a:prstGeom prst="rect">
                      <a:avLst/>
                    </a:prstGeom>
                    <a:noFill/>
                    <a:ln>
                      <a:noFill/>
                    </a:ln>
                  </pic:spPr>
                </pic:pic>
              </a:graphicData>
            </a:graphic>
          </wp:inline>
        </w:drawing>
      </w:r>
      <w:r w:rsidRPr="00AD5E3B">
        <w:rPr>
          <w:rFonts w:eastAsia="Calibri"/>
          <w:sz w:val="26"/>
          <w:szCs w:val="26"/>
          <w:lang w:eastAsia="en-US"/>
        </w:rPr>
        <w:fldChar w:fldCharType="end"/>
      </w:r>
    </w:p>
    <w:p w14:paraId="2D381351" w14:textId="77777777" w:rsidR="00AD5E3B" w:rsidRPr="00AD5E3B" w:rsidRDefault="00AD5E3B" w:rsidP="00AD5E3B">
      <w:pPr>
        <w:spacing w:after="360" w:line="360" w:lineRule="auto"/>
        <w:ind w:right="-159"/>
        <w:jc w:val="both"/>
        <w:rPr>
          <w:rFonts w:eastAsia="Calibri"/>
          <w:sz w:val="26"/>
          <w:szCs w:val="26"/>
          <w:lang w:eastAsia="en-US"/>
        </w:rPr>
      </w:pPr>
      <w:r w:rsidRPr="00AD5E3B">
        <w:rPr>
          <w:rFonts w:eastAsia="Calibri"/>
          <w:sz w:val="26"/>
          <w:szCs w:val="26"/>
          <w:lang w:eastAsia="en-US"/>
        </w:rPr>
        <w:t xml:space="preserve">El Reino Unido (45 mil millones de dólares) escaló dos posiciones hasta el puesto séptimo, gracias a los efectos aún visibles de los Juegos Olímpicos y a la apreciación </w:t>
      </w:r>
      <w:r w:rsidRPr="00AD5E3B">
        <w:rPr>
          <w:rFonts w:eastAsia="Calibri"/>
          <w:sz w:val="26"/>
          <w:szCs w:val="26"/>
          <w:lang w:eastAsia="en-US"/>
        </w:rPr>
        <w:lastRenderedPageBreak/>
        <w:t>de la libra esterlina (aunque el aumento de los ingresos se ha calculado en dólares estadounidenses). Francia, Macao (China) e Italia ocupan los puestos cuarto, quinto y sexto respectivamente, mientras que Alemania, Tailandia y Hong Kong (China) completan la lista.</w:t>
      </w:r>
    </w:p>
    <w:p w14:paraId="5B49D427" w14:textId="77777777" w:rsidR="00AD5E3B" w:rsidRPr="00AD5E3B" w:rsidRDefault="00AD5E3B" w:rsidP="00AD5E3B">
      <w:pPr>
        <w:spacing w:after="360" w:line="360" w:lineRule="auto"/>
        <w:ind w:right="-159"/>
        <w:jc w:val="both"/>
        <w:rPr>
          <w:rFonts w:eastAsia="Calibri"/>
          <w:b/>
          <w:sz w:val="26"/>
          <w:szCs w:val="26"/>
          <w:lang w:eastAsia="en-US"/>
        </w:rPr>
      </w:pPr>
      <w:r w:rsidRPr="00AD5E3B">
        <w:rPr>
          <w:rFonts w:eastAsia="Calibri"/>
          <w:b/>
          <w:sz w:val="26"/>
          <w:szCs w:val="26"/>
          <w:lang w:eastAsia="en-US"/>
        </w:rPr>
        <w:t xml:space="preserve">Los que más gastan: repunta el gasto de las economías avanzadas </w:t>
      </w:r>
    </w:p>
    <w:p w14:paraId="3A5CD22E" w14:textId="77777777" w:rsidR="00AD5E3B" w:rsidRPr="00AD5E3B" w:rsidRDefault="00AD5E3B" w:rsidP="00AD5E3B">
      <w:pPr>
        <w:spacing w:after="360" w:line="360" w:lineRule="auto"/>
        <w:ind w:right="-159"/>
        <w:jc w:val="both"/>
        <w:rPr>
          <w:rFonts w:eastAsia="Calibri"/>
          <w:sz w:val="26"/>
          <w:szCs w:val="26"/>
          <w:lang w:eastAsia="en-US"/>
        </w:rPr>
      </w:pPr>
      <w:r w:rsidRPr="00AD5E3B">
        <w:rPr>
          <w:rFonts w:eastAsia="Calibri"/>
          <w:sz w:val="26"/>
          <w:szCs w:val="26"/>
          <w:lang w:eastAsia="en-US"/>
        </w:rPr>
        <w:t xml:space="preserve">En términos de turismo emisor, el país con mayor gasto del mundo, China, mantiene su excepcional ritmo de crecimiento, con un 28% de aumento del gasto en 2014, y habiendo alcanzado un total de 165 mil millones de dólares estadounidenses. Aunque los otros dos principales mercados emergentes situados entre los diez primeros, la Federación de Rusia (-6%, en quinta posición) y Brasil (+2%, en décima posición) perdieron fuerza, varios mercados emisores de economías avanzadas recuperaron su crecimiento. </w:t>
      </w:r>
    </w:p>
    <w:p w14:paraId="15F80BC6" w14:textId="52536377" w:rsidR="00AD5E3B" w:rsidRPr="00AD5E3B" w:rsidRDefault="00AD5E3B" w:rsidP="00AD5E3B">
      <w:pPr>
        <w:spacing w:after="360" w:line="360" w:lineRule="auto"/>
        <w:ind w:right="-159"/>
        <w:jc w:val="center"/>
        <w:rPr>
          <w:rFonts w:eastAsia="Calibri"/>
          <w:sz w:val="26"/>
          <w:szCs w:val="26"/>
          <w:lang w:eastAsia="en-US"/>
        </w:rPr>
      </w:pPr>
      <w:r w:rsidRPr="00AD5E3B">
        <w:rPr>
          <w:rFonts w:eastAsia="Calibri"/>
          <w:sz w:val="26"/>
          <w:szCs w:val="26"/>
          <w:lang w:eastAsia="en-US"/>
        </w:rPr>
        <w:fldChar w:fldCharType="begin"/>
      </w:r>
      <w:r w:rsidRPr="00AD5E3B">
        <w:rPr>
          <w:rFonts w:eastAsia="Calibri"/>
          <w:sz w:val="26"/>
          <w:szCs w:val="26"/>
          <w:lang w:eastAsia="en-US"/>
        </w:rPr>
        <w:instrText xml:space="preserve"> LINK PowerPoint.Slide.8 "D:\\2015\\ABRIL\\GRÁFICAS POWER POINT\\27.- GRÁFICAS DE TURISMO INTERNACIONAL.pptx!265" "" \a \p </w:instrText>
      </w:r>
      <w:r w:rsidRPr="00AD5E3B">
        <w:rPr>
          <w:rFonts w:eastAsia="Calibri"/>
          <w:sz w:val="26"/>
          <w:szCs w:val="26"/>
          <w:lang w:eastAsia="en-US"/>
        </w:rPr>
        <w:fldChar w:fldCharType="separate"/>
      </w:r>
      <w:r w:rsidRPr="00AD5E3B">
        <w:rPr>
          <w:rFonts w:eastAsia="Calibri"/>
          <w:noProof/>
          <w:sz w:val="26"/>
          <w:szCs w:val="26"/>
          <w:lang w:eastAsia="es-MX"/>
        </w:rPr>
        <w:drawing>
          <wp:inline distT="0" distB="0" distL="0" distR="0" wp14:anchorId="2D7F26DA" wp14:editId="4DAF1F5F">
            <wp:extent cx="4528820" cy="3435350"/>
            <wp:effectExtent l="0" t="0" r="5080" b="0"/>
            <wp:docPr id="1801" name="Imagen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4"/>
                    <pic:cNvPicPr>
                      <a:picLocks noChangeAspect="1" noChangeArrowheads="1"/>
                    </pic:cNvPicPr>
                  </pic:nvPicPr>
                  <pic:blipFill>
                    <a:blip r:embed="rId70" cstate="print">
                      <a:extLst>
                        <a:ext uri="{28A0092B-C50C-407E-A947-70E740481C1C}">
                          <a14:useLocalDpi xmlns:a14="http://schemas.microsoft.com/office/drawing/2010/main" val="0"/>
                        </a:ext>
                      </a:extLst>
                    </a:blip>
                    <a:srcRect l="14677" r="10832"/>
                    <a:stretch>
                      <a:fillRect/>
                    </a:stretch>
                  </pic:blipFill>
                  <pic:spPr bwMode="auto">
                    <a:xfrm>
                      <a:off x="0" y="0"/>
                      <a:ext cx="4528820" cy="3435350"/>
                    </a:xfrm>
                    <a:prstGeom prst="rect">
                      <a:avLst/>
                    </a:prstGeom>
                    <a:noFill/>
                    <a:ln>
                      <a:noFill/>
                    </a:ln>
                  </pic:spPr>
                </pic:pic>
              </a:graphicData>
            </a:graphic>
          </wp:inline>
        </w:drawing>
      </w:r>
      <w:r w:rsidRPr="00AD5E3B">
        <w:rPr>
          <w:rFonts w:eastAsia="Calibri"/>
          <w:sz w:val="26"/>
          <w:szCs w:val="26"/>
          <w:lang w:eastAsia="en-US"/>
        </w:rPr>
        <w:fldChar w:fldCharType="end"/>
      </w:r>
    </w:p>
    <w:p w14:paraId="67E87555" w14:textId="77777777" w:rsidR="00AD5E3B" w:rsidRPr="00AD5E3B" w:rsidRDefault="00AD5E3B" w:rsidP="00AD5E3B">
      <w:pPr>
        <w:spacing w:after="360" w:line="360" w:lineRule="auto"/>
        <w:ind w:right="-159"/>
        <w:jc w:val="both"/>
        <w:rPr>
          <w:rFonts w:eastAsia="Calibri"/>
          <w:sz w:val="26"/>
          <w:szCs w:val="26"/>
          <w:lang w:eastAsia="en-US"/>
        </w:rPr>
      </w:pPr>
      <w:r w:rsidRPr="00AD5E3B">
        <w:rPr>
          <w:rFonts w:eastAsia="Calibri"/>
          <w:sz w:val="26"/>
          <w:szCs w:val="26"/>
          <w:lang w:eastAsia="en-US"/>
        </w:rPr>
        <w:lastRenderedPageBreak/>
        <w:t>El segundo país del mundo por gasto turístico, Estados Unidos de Norteamérica, arrojó un incremento del 7%. Reino Unido gastó un 4% más y pasó del quinto al cuarto puesto en el ranking. Francia incrementó el gasto en un 11%, manteniendo el sexto puesto, e Italia, con un incremento del 6%, pasó del noveno al octavo. Por su parte, Alemania (tercero), Canadá (séptimo) y Australia (noveno) ocuparon los restantes puestos entre los diez primeros.</w:t>
      </w:r>
    </w:p>
    <w:p w14:paraId="5BEA25E1" w14:textId="77777777" w:rsidR="00AD5E3B" w:rsidRPr="00AD5E3B" w:rsidRDefault="00AD5E3B" w:rsidP="00AD5E3B">
      <w:pPr>
        <w:spacing w:after="360" w:line="360" w:lineRule="auto"/>
        <w:ind w:right="-159"/>
        <w:jc w:val="both"/>
        <w:rPr>
          <w:rFonts w:eastAsia="Calibri"/>
          <w:sz w:val="26"/>
          <w:szCs w:val="26"/>
          <w:lang w:eastAsia="en-US"/>
        </w:rPr>
      </w:pPr>
      <w:r w:rsidRPr="00AD5E3B">
        <w:rPr>
          <w:rFonts w:eastAsia="Calibri"/>
          <w:sz w:val="26"/>
          <w:szCs w:val="26"/>
          <w:lang w:eastAsia="en-US"/>
        </w:rPr>
        <w:t>Téngase en cuenta que los datos aportados son preliminares y están sujetos a revisión.</w:t>
      </w:r>
    </w:p>
    <w:p w14:paraId="40BC0713" w14:textId="77777777" w:rsidR="00AD5E3B" w:rsidRPr="00AD5E3B" w:rsidRDefault="00AD5E3B" w:rsidP="00AD5E3B">
      <w:pPr>
        <w:jc w:val="both"/>
        <w:rPr>
          <w:rFonts w:eastAsia="Calibri"/>
          <w:b/>
          <w:sz w:val="20"/>
          <w:szCs w:val="20"/>
          <w:lang w:eastAsia="en-US"/>
        </w:rPr>
      </w:pPr>
      <w:r w:rsidRPr="00AD5E3B">
        <w:rPr>
          <w:rFonts w:eastAsia="Calibri"/>
          <w:b/>
          <w:sz w:val="20"/>
          <w:szCs w:val="20"/>
          <w:lang w:eastAsia="en-US"/>
        </w:rPr>
        <w:t>Fuente de información:</w:t>
      </w:r>
    </w:p>
    <w:p w14:paraId="086831AE" w14:textId="77777777" w:rsidR="00AD5E3B" w:rsidRPr="005D5E9A" w:rsidRDefault="00D936FE" w:rsidP="00AD5E3B">
      <w:pPr>
        <w:jc w:val="both"/>
        <w:rPr>
          <w:rFonts w:eastAsia="Calibri"/>
          <w:color w:val="0000FF"/>
          <w:sz w:val="20"/>
          <w:szCs w:val="20"/>
          <w:lang w:eastAsia="en-US"/>
        </w:rPr>
      </w:pPr>
      <w:hyperlink r:id="rId71" w:history="1">
        <w:r w:rsidR="00AD5E3B" w:rsidRPr="005D5E9A">
          <w:rPr>
            <w:rFonts w:eastAsia="Calibri"/>
            <w:color w:val="0000FF"/>
            <w:sz w:val="20"/>
            <w:szCs w:val="20"/>
            <w:u w:val="single"/>
            <w:lang w:eastAsia="en-US"/>
          </w:rPr>
          <w:t>http://media.unwto.org/es/press-release/2015-04-15/las-exportaciones-generadas-por-el-turismo-internacional-llegan-15-billones</w:t>
        </w:r>
      </w:hyperlink>
    </w:p>
    <w:p w14:paraId="2046A885" w14:textId="2228F1D2" w:rsidR="00AD5E3B" w:rsidRPr="005D5E9A" w:rsidRDefault="00D936FE" w:rsidP="005D5E9A">
      <w:pPr>
        <w:spacing w:after="720"/>
        <w:jc w:val="both"/>
        <w:rPr>
          <w:rFonts w:eastAsia="Calibri"/>
          <w:color w:val="0000FF"/>
          <w:sz w:val="20"/>
          <w:szCs w:val="20"/>
          <w:u w:val="single"/>
          <w:lang w:eastAsia="en-US"/>
        </w:rPr>
      </w:pPr>
      <w:hyperlink r:id="rId72" w:history="1">
        <w:r w:rsidR="005D5E9A" w:rsidRPr="005D5E9A">
          <w:rPr>
            <w:rStyle w:val="Hipervnculo"/>
            <w:rFonts w:eastAsia="Calibri"/>
            <w:sz w:val="20"/>
            <w:szCs w:val="20"/>
            <w:lang w:eastAsia="en-US"/>
          </w:rPr>
          <w:t>http://dtxtq4w60xqpw.cloudfront.net/sites/all/files/pdf/unwto_barom15_02_april_except_O.pdf</w:t>
        </w:r>
      </w:hyperlink>
    </w:p>
    <w:p w14:paraId="2A3BFA39" w14:textId="77777777" w:rsidR="00956231" w:rsidRPr="00956231" w:rsidRDefault="00956231" w:rsidP="00956231">
      <w:pPr>
        <w:spacing w:after="360" w:line="360" w:lineRule="auto"/>
        <w:ind w:right="-159"/>
        <w:jc w:val="both"/>
        <w:rPr>
          <w:b/>
          <w:sz w:val="26"/>
          <w:szCs w:val="26"/>
        </w:rPr>
      </w:pPr>
      <w:bookmarkStart w:id="17" w:name="OLE_LINK83"/>
      <w:bookmarkEnd w:id="13"/>
      <w:bookmarkEnd w:id="14"/>
      <w:r w:rsidRPr="00956231">
        <w:rPr>
          <w:b/>
          <w:sz w:val="26"/>
          <w:szCs w:val="26"/>
        </w:rPr>
        <w:t>Remesas Familiares (Banxico)</w:t>
      </w:r>
    </w:p>
    <w:p w14:paraId="59FB1520" w14:textId="77777777" w:rsidR="00956231" w:rsidRPr="00956231" w:rsidRDefault="00956231" w:rsidP="00956231">
      <w:pPr>
        <w:spacing w:after="360" w:line="360" w:lineRule="auto"/>
        <w:ind w:right="-159"/>
        <w:jc w:val="both"/>
        <w:rPr>
          <w:sz w:val="26"/>
          <w:szCs w:val="26"/>
          <w:lang w:val="es-ES"/>
        </w:rPr>
      </w:pPr>
      <w:r w:rsidRPr="00956231">
        <w:rPr>
          <w:sz w:val="26"/>
          <w:szCs w:val="26"/>
          <w:lang w:val="es-ES"/>
        </w:rPr>
        <w:t>El 1° de abril de 2015, el Banco de México (Banxico) informó que, durante el período enero-febrero de 2015, las remesas del exterior de los residentes mexicanos en el extranjero sumaron 3 mil 466.05 millones de dólares, monto 3.12% superior al reportado en el mismo lapso de 2014 (3 mil 361.31 millones de dólares).</w:t>
      </w:r>
    </w:p>
    <w:p w14:paraId="10666437" w14:textId="77777777" w:rsidR="00956231" w:rsidRPr="00956231" w:rsidRDefault="00956231" w:rsidP="00956231">
      <w:pPr>
        <w:spacing w:after="360" w:line="360" w:lineRule="auto"/>
        <w:ind w:right="-159"/>
        <w:jc w:val="center"/>
        <w:rPr>
          <w:sz w:val="26"/>
          <w:szCs w:val="26"/>
          <w:lang w:val="es-ES"/>
        </w:rPr>
      </w:pPr>
      <w:r w:rsidRPr="00956231">
        <w:lastRenderedPageBreak/>
        <w:fldChar w:fldCharType="begin"/>
      </w:r>
      <w:r w:rsidRPr="00956231">
        <w:instrText xml:space="preserve"> LINK PowerPoint.Slide.8 "D:\\2015\\ABRIL\\GRÁFICAS POWER POINT\\6.- GRÁFICAS DE REMESAS.pptx!267" "" \a \p </w:instrText>
      </w:r>
      <w:r w:rsidRPr="00956231">
        <w:fldChar w:fldCharType="separate"/>
      </w:r>
      <w:r w:rsidRPr="00956231">
        <w:rPr>
          <w:noProof/>
          <w:lang w:eastAsia="es-MX"/>
        </w:rPr>
        <w:drawing>
          <wp:inline distT="0" distB="0" distL="0" distR="0" wp14:anchorId="27919D37" wp14:editId="18491908">
            <wp:extent cx="4071620" cy="3237230"/>
            <wp:effectExtent l="0" t="0" r="5080" b="1270"/>
            <wp:docPr id="1597" name="Imagen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73" cstate="print">
                      <a:extLst>
                        <a:ext uri="{28A0092B-C50C-407E-A947-70E740481C1C}">
                          <a14:useLocalDpi xmlns:a14="http://schemas.microsoft.com/office/drawing/2010/main" val="0"/>
                        </a:ext>
                      </a:extLst>
                    </a:blip>
                    <a:srcRect l="4384" r="6471" b="5556"/>
                    <a:stretch>
                      <a:fillRect/>
                    </a:stretch>
                  </pic:blipFill>
                  <pic:spPr bwMode="auto">
                    <a:xfrm>
                      <a:off x="0" y="0"/>
                      <a:ext cx="4071620" cy="3237230"/>
                    </a:xfrm>
                    <a:prstGeom prst="rect">
                      <a:avLst/>
                    </a:prstGeom>
                    <a:noFill/>
                    <a:ln>
                      <a:noFill/>
                    </a:ln>
                  </pic:spPr>
                </pic:pic>
              </a:graphicData>
            </a:graphic>
          </wp:inline>
        </w:drawing>
      </w:r>
      <w:r w:rsidRPr="00956231">
        <w:fldChar w:fldCharType="end"/>
      </w:r>
    </w:p>
    <w:p w14:paraId="431F418F" w14:textId="2B8F1A94" w:rsidR="00956231" w:rsidRPr="00956231" w:rsidRDefault="00956231" w:rsidP="00956231">
      <w:pPr>
        <w:spacing w:after="360" w:line="360" w:lineRule="auto"/>
        <w:ind w:right="-159"/>
        <w:jc w:val="both"/>
        <w:rPr>
          <w:sz w:val="26"/>
          <w:szCs w:val="26"/>
          <w:lang w:val="es-ES"/>
        </w:rPr>
      </w:pPr>
      <w:r w:rsidRPr="00956231">
        <w:rPr>
          <w:sz w:val="26"/>
          <w:szCs w:val="26"/>
          <w:lang w:val="es-ES"/>
        </w:rPr>
        <w:t xml:space="preserve">Durante el período enero-febrero de 2015, del total de remesas del exterior, el 96.89% se realizó a través de transferencias electrónicas, lo que significó un aumento de 3.89% con respecto al mismo período de 2014. Asimismo, el 1.0% de ellas se efectuó mediante </w:t>
      </w:r>
      <w:r w:rsidRPr="00956231">
        <w:rPr>
          <w:i/>
          <w:sz w:val="26"/>
          <w:szCs w:val="26"/>
          <w:lang w:val="es-ES"/>
        </w:rPr>
        <w:t xml:space="preserve">Money </w:t>
      </w:r>
      <w:proofErr w:type="spellStart"/>
      <w:r w:rsidRPr="00956231">
        <w:rPr>
          <w:i/>
          <w:sz w:val="26"/>
          <w:szCs w:val="26"/>
          <w:lang w:val="es-ES"/>
        </w:rPr>
        <w:t>Orders</w:t>
      </w:r>
      <w:proofErr w:type="spellEnd"/>
      <w:r w:rsidRPr="00956231">
        <w:rPr>
          <w:sz w:val="26"/>
          <w:szCs w:val="26"/>
          <w:lang w:val="es-ES"/>
        </w:rPr>
        <w:t>, mismas que registraron una disminución de 48.64%; y el 2.11% se realizó en efectivo y especie, lo que representó un aumento de 19.66 por ciento.</w:t>
      </w:r>
    </w:p>
    <w:p w14:paraId="2122F1E7" w14:textId="77777777" w:rsidR="00956231" w:rsidRDefault="00956231" w:rsidP="00956231">
      <w:pPr>
        <w:spacing w:after="360" w:line="360" w:lineRule="auto"/>
        <w:ind w:right="-159"/>
        <w:jc w:val="both"/>
        <w:rPr>
          <w:sz w:val="26"/>
          <w:szCs w:val="26"/>
          <w:lang w:val="es-ES"/>
        </w:rPr>
      </w:pPr>
      <w:r w:rsidRPr="00956231">
        <w:rPr>
          <w:sz w:val="26"/>
          <w:szCs w:val="26"/>
          <w:lang w:val="es-ES"/>
        </w:rPr>
        <w:t>Por otra parte, durante el período enero-febrero de 2015, el promedio de las remesas se ubicó en 289.08 dólares, cantidad 1.16% inferior a la registrada en el mismo lapso de 2014 (292.47 dólares).</w:t>
      </w:r>
    </w:p>
    <w:p w14:paraId="7C158803" w14:textId="77777777" w:rsidR="004D07F1" w:rsidRDefault="004D07F1" w:rsidP="00956231">
      <w:pPr>
        <w:spacing w:after="360" w:line="360" w:lineRule="auto"/>
        <w:ind w:right="-159"/>
        <w:jc w:val="both"/>
        <w:rPr>
          <w:sz w:val="26"/>
          <w:szCs w:val="26"/>
          <w:lang w:val="es-ES"/>
        </w:rPr>
      </w:pPr>
    </w:p>
    <w:p w14:paraId="3EDFB57B" w14:textId="77777777" w:rsidR="004D07F1" w:rsidRDefault="004D07F1" w:rsidP="00956231">
      <w:pPr>
        <w:spacing w:after="360" w:line="360" w:lineRule="auto"/>
        <w:ind w:right="-159"/>
        <w:jc w:val="both"/>
        <w:rPr>
          <w:sz w:val="26"/>
          <w:szCs w:val="26"/>
          <w:lang w:val="es-ES"/>
        </w:rPr>
      </w:pPr>
    </w:p>
    <w:p w14:paraId="2741F718" w14:textId="77777777" w:rsidR="004D07F1" w:rsidRDefault="004D07F1" w:rsidP="00956231">
      <w:pPr>
        <w:spacing w:after="360" w:line="360" w:lineRule="auto"/>
        <w:ind w:right="-159"/>
        <w:jc w:val="both"/>
        <w:rPr>
          <w:sz w:val="26"/>
          <w:szCs w:val="26"/>
          <w:lang w:val="es-ES"/>
        </w:rPr>
      </w:pPr>
    </w:p>
    <w:p w14:paraId="28B10B2B" w14:textId="77777777" w:rsidR="004D07F1" w:rsidRDefault="004D07F1" w:rsidP="00956231">
      <w:pPr>
        <w:spacing w:after="360" w:line="360" w:lineRule="auto"/>
        <w:ind w:right="-159"/>
        <w:jc w:val="both"/>
        <w:rPr>
          <w:sz w:val="26"/>
          <w:szCs w:val="26"/>
          <w:lang w:val="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6"/>
        <w:gridCol w:w="1489"/>
        <w:gridCol w:w="1417"/>
        <w:gridCol w:w="1559"/>
      </w:tblGrid>
      <w:tr w:rsidR="00956231" w:rsidRPr="00956231" w14:paraId="0A425708" w14:textId="77777777" w:rsidTr="00956231">
        <w:trPr>
          <w:jc w:val="center"/>
        </w:trPr>
        <w:tc>
          <w:tcPr>
            <w:tcW w:w="7371" w:type="dxa"/>
            <w:gridSpan w:val="4"/>
            <w:tcBorders>
              <w:top w:val="nil"/>
              <w:left w:val="nil"/>
              <w:bottom w:val="single" w:sz="4" w:space="0" w:color="auto"/>
              <w:right w:val="nil"/>
            </w:tcBorders>
          </w:tcPr>
          <w:p w14:paraId="54A6F46C" w14:textId="77777777" w:rsidR="00956231" w:rsidRPr="00956231" w:rsidRDefault="00956231" w:rsidP="00956231">
            <w:pPr>
              <w:widowControl w:val="0"/>
              <w:adjustRightInd w:val="0"/>
              <w:jc w:val="center"/>
              <w:textAlignment w:val="baseline"/>
              <w:rPr>
                <w:b/>
                <w:sz w:val="22"/>
                <w:szCs w:val="22"/>
              </w:rPr>
            </w:pPr>
            <w:bookmarkStart w:id="18" w:name="_Hlk303150958"/>
            <w:r w:rsidRPr="00956231">
              <w:rPr>
                <w:b/>
                <w:sz w:val="22"/>
                <w:szCs w:val="22"/>
              </w:rPr>
              <w:lastRenderedPageBreak/>
              <w:t>REMESAS FAMILIARES</w:t>
            </w:r>
          </w:p>
          <w:p w14:paraId="23FBB458" w14:textId="77777777" w:rsidR="00956231" w:rsidRPr="00956231" w:rsidRDefault="00956231" w:rsidP="00956231">
            <w:pPr>
              <w:widowControl w:val="0"/>
              <w:adjustRightInd w:val="0"/>
              <w:jc w:val="center"/>
              <w:textAlignment w:val="baseline"/>
              <w:rPr>
                <w:b/>
                <w:sz w:val="22"/>
                <w:szCs w:val="22"/>
              </w:rPr>
            </w:pPr>
            <w:r w:rsidRPr="00956231">
              <w:rPr>
                <w:b/>
                <w:sz w:val="22"/>
                <w:szCs w:val="22"/>
              </w:rPr>
              <w:t>-Millones de dólares-</w:t>
            </w:r>
          </w:p>
        </w:tc>
      </w:tr>
      <w:tr w:rsidR="00956231" w:rsidRPr="00956231" w14:paraId="651E7D84" w14:textId="77777777" w:rsidTr="00956231">
        <w:trPr>
          <w:jc w:val="center"/>
        </w:trPr>
        <w:tc>
          <w:tcPr>
            <w:tcW w:w="2906" w:type="dxa"/>
            <w:vMerge w:val="restart"/>
            <w:tcBorders>
              <w:top w:val="single" w:sz="4" w:space="0" w:color="auto"/>
              <w:left w:val="single" w:sz="4" w:space="0" w:color="auto"/>
              <w:right w:val="single" w:sz="4" w:space="0" w:color="auto"/>
            </w:tcBorders>
            <w:vAlign w:val="center"/>
          </w:tcPr>
          <w:p w14:paraId="2E119730" w14:textId="77777777" w:rsidR="00956231" w:rsidRPr="00956231" w:rsidRDefault="00956231" w:rsidP="00956231">
            <w:pPr>
              <w:widowControl w:val="0"/>
              <w:adjustRightInd w:val="0"/>
              <w:jc w:val="center"/>
              <w:textAlignment w:val="baseline"/>
              <w:rPr>
                <w:b/>
                <w:sz w:val="20"/>
                <w:szCs w:val="20"/>
              </w:rPr>
            </w:pPr>
            <w:r w:rsidRPr="00956231">
              <w:rPr>
                <w:b/>
                <w:sz w:val="20"/>
                <w:szCs w:val="20"/>
              </w:rPr>
              <w:t>Concepto</w:t>
            </w:r>
          </w:p>
        </w:tc>
        <w:tc>
          <w:tcPr>
            <w:tcW w:w="2906" w:type="dxa"/>
            <w:gridSpan w:val="2"/>
            <w:tcBorders>
              <w:top w:val="single" w:sz="4" w:space="0" w:color="auto"/>
              <w:left w:val="single" w:sz="4" w:space="0" w:color="auto"/>
              <w:bottom w:val="single" w:sz="4" w:space="0" w:color="auto"/>
              <w:right w:val="single" w:sz="4" w:space="0" w:color="auto"/>
            </w:tcBorders>
          </w:tcPr>
          <w:p w14:paraId="73E1D8A3" w14:textId="77777777" w:rsidR="00956231" w:rsidRPr="00956231" w:rsidRDefault="00956231" w:rsidP="00956231">
            <w:pPr>
              <w:widowControl w:val="0"/>
              <w:adjustRightInd w:val="0"/>
              <w:jc w:val="center"/>
              <w:textAlignment w:val="baseline"/>
              <w:rPr>
                <w:rFonts w:ascii="Times" w:hAnsi="Times"/>
                <w:b/>
                <w:spacing w:val="30"/>
                <w:sz w:val="20"/>
                <w:szCs w:val="20"/>
              </w:rPr>
            </w:pPr>
            <w:r w:rsidRPr="00956231">
              <w:rPr>
                <w:rFonts w:ascii="Times" w:hAnsi="Times"/>
                <w:b/>
                <w:spacing w:val="30"/>
                <w:sz w:val="20"/>
                <w:szCs w:val="20"/>
              </w:rPr>
              <w:t>Enero-Febrero</w:t>
            </w:r>
          </w:p>
        </w:tc>
        <w:tc>
          <w:tcPr>
            <w:tcW w:w="1559" w:type="dxa"/>
            <w:tcBorders>
              <w:top w:val="single" w:sz="4" w:space="0" w:color="auto"/>
              <w:left w:val="single" w:sz="4" w:space="0" w:color="auto"/>
              <w:bottom w:val="nil"/>
              <w:right w:val="single" w:sz="4" w:space="0" w:color="auto"/>
            </w:tcBorders>
          </w:tcPr>
          <w:p w14:paraId="3A40DB01" w14:textId="77777777" w:rsidR="00956231" w:rsidRPr="00956231" w:rsidRDefault="00956231" w:rsidP="00956231">
            <w:pPr>
              <w:widowControl w:val="0"/>
              <w:adjustRightInd w:val="0"/>
              <w:jc w:val="center"/>
              <w:textAlignment w:val="baseline"/>
              <w:rPr>
                <w:b/>
                <w:sz w:val="20"/>
                <w:szCs w:val="20"/>
              </w:rPr>
            </w:pPr>
            <w:r w:rsidRPr="00956231">
              <w:rPr>
                <w:b/>
                <w:sz w:val="20"/>
                <w:szCs w:val="20"/>
              </w:rPr>
              <w:t>Variación</w:t>
            </w:r>
          </w:p>
        </w:tc>
      </w:tr>
      <w:tr w:rsidR="00956231" w:rsidRPr="00956231" w14:paraId="36E30A3A" w14:textId="77777777" w:rsidTr="00F31276">
        <w:trPr>
          <w:jc w:val="center"/>
        </w:trPr>
        <w:tc>
          <w:tcPr>
            <w:tcW w:w="2906" w:type="dxa"/>
            <w:vMerge/>
            <w:tcBorders>
              <w:left w:val="single" w:sz="4" w:space="0" w:color="auto"/>
              <w:right w:val="single" w:sz="4" w:space="0" w:color="auto"/>
            </w:tcBorders>
          </w:tcPr>
          <w:p w14:paraId="5DC22E15" w14:textId="77777777" w:rsidR="00956231" w:rsidRPr="00956231" w:rsidRDefault="00956231" w:rsidP="00956231">
            <w:pPr>
              <w:widowControl w:val="0"/>
              <w:adjustRightInd w:val="0"/>
              <w:jc w:val="center"/>
              <w:textAlignment w:val="baseline"/>
              <w:rPr>
                <w:b/>
                <w:sz w:val="20"/>
                <w:szCs w:val="20"/>
              </w:rPr>
            </w:pPr>
          </w:p>
        </w:tc>
        <w:tc>
          <w:tcPr>
            <w:tcW w:w="1489" w:type="dxa"/>
            <w:tcBorders>
              <w:top w:val="single" w:sz="4" w:space="0" w:color="auto"/>
              <w:left w:val="single" w:sz="4" w:space="0" w:color="auto"/>
              <w:bottom w:val="nil"/>
              <w:right w:val="single" w:sz="2" w:space="0" w:color="auto"/>
            </w:tcBorders>
          </w:tcPr>
          <w:p w14:paraId="7D6EC281" w14:textId="77777777" w:rsidR="00956231" w:rsidRPr="00956231" w:rsidRDefault="00956231" w:rsidP="00956231">
            <w:pPr>
              <w:widowControl w:val="0"/>
              <w:adjustRightInd w:val="0"/>
              <w:jc w:val="center"/>
              <w:textAlignment w:val="baseline"/>
              <w:rPr>
                <w:b/>
                <w:sz w:val="20"/>
                <w:szCs w:val="20"/>
              </w:rPr>
            </w:pPr>
            <w:r w:rsidRPr="00956231">
              <w:rPr>
                <w:b/>
                <w:sz w:val="20"/>
                <w:szCs w:val="20"/>
              </w:rPr>
              <w:t>2014</w:t>
            </w:r>
          </w:p>
        </w:tc>
        <w:tc>
          <w:tcPr>
            <w:tcW w:w="1417" w:type="dxa"/>
            <w:tcBorders>
              <w:top w:val="single" w:sz="4" w:space="0" w:color="auto"/>
              <w:left w:val="single" w:sz="2" w:space="0" w:color="auto"/>
              <w:bottom w:val="nil"/>
              <w:right w:val="single" w:sz="2" w:space="0" w:color="auto"/>
            </w:tcBorders>
          </w:tcPr>
          <w:p w14:paraId="1D28B7C4" w14:textId="77777777" w:rsidR="00956231" w:rsidRPr="00956231" w:rsidRDefault="00956231" w:rsidP="00956231">
            <w:pPr>
              <w:widowControl w:val="0"/>
              <w:adjustRightInd w:val="0"/>
              <w:jc w:val="center"/>
              <w:textAlignment w:val="baseline"/>
              <w:rPr>
                <w:b/>
                <w:sz w:val="20"/>
                <w:szCs w:val="20"/>
              </w:rPr>
            </w:pPr>
            <w:r w:rsidRPr="00956231">
              <w:rPr>
                <w:b/>
                <w:sz w:val="20"/>
                <w:szCs w:val="20"/>
              </w:rPr>
              <w:t>2015</w:t>
            </w:r>
          </w:p>
        </w:tc>
        <w:tc>
          <w:tcPr>
            <w:tcW w:w="1559" w:type="dxa"/>
            <w:tcBorders>
              <w:top w:val="nil"/>
              <w:left w:val="single" w:sz="2" w:space="0" w:color="auto"/>
              <w:bottom w:val="nil"/>
              <w:right w:val="single" w:sz="4" w:space="0" w:color="auto"/>
            </w:tcBorders>
          </w:tcPr>
          <w:p w14:paraId="3E1E9912" w14:textId="77777777" w:rsidR="00956231" w:rsidRPr="00956231" w:rsidRDefault="00956231" w:rsidP="00956231">
            <w:pPr>
              <w:widowControl w:val="0"/>
              <w:adjustRightInd w:val="0"/>
              <w:jc w:val="center"/>
              <w:textAlignment w:val="baseline"/>
              <w:rPr>
                <w:b/>
                <w:sz w:val="20"/>
                <w:szCs w:val="20"/>
              </w:rPr>
            </w:pPr>
            <w:r w:rsidRPr="00956231">
              <w:rPr>
                <w:b/>
                <w:sz w:val="20"/>
                <w:szCs w:val="20"/>
              </w:rPr>
              <w:t>Relativa</w:t>
            </w:r>
          </w:p>
        </w:tc>
      </w:tr>
      <w:tr w:rsidR="00956231" w:rsidRPr="00956231" w14:paraId="67A455DD" w14:textId="77777777" w:rsidTr="00F31276">
        <w:trPr>
          <w:jc w:val="center"/>
        </w:trPr>
        <w:tc>
          <w:tcPr>
            <w:tcW w:w="2906" w:type="dxa"/>
            <w:vMerge/>
            <w:tcBorders>
              <w:left w:val="single" w:sz="4" w:space="0" w:color="auto"/>
              <w:bottom w:val="single" w:sz="4" w:space="0" w:color="auto"/>
              <w:right w:val="single" w:sz="4" w:space="0" w:color="auto"/>
            </w:tcBorders>
          </w:tcPr>
          <w:p w14:paraId="3F0C1FDF" w14:textId="77777777" w:rsidR="00956231" w:rsidRPr="00956231" w:rsidRDefault="00956231" w:rsidP="00956231">
            <w:pPr>
              <w:widowControl w:val="0"/>
              <w:adjustRightInd w:val="0"/>
              <w:jc w:val="center"/>
              <w:textAlignment w:val="baseline"/>
              <w:rPr>
                <w:b/>
                <w:sz w:val="20"/>
                <w:szCs w:val="20"/>
              </w:rPr>
            </w:pPr>
          </w:p>
        </w:tc>
        <w:tc>
          <w:tcPr>
            <w:tcW w:w="1489" w:type="dxa"/>
            <w:tcBorders>
              <w:top w:val="nil"/>
              <w:left w:val="single" w:sz="4" w:space="0" w:color="auto"/>
              <w:bottom w:val="single" w:sz="4" w:space="0" w:color="auto"/>
              <w:right w:val="single" w:sz="2" w:space="0" w:color="auto"/>
            </w:tcBorders>
          </w:tcPr>
          <w:p w14:paraId="4F2F8ED2" w14:textId="77777777" w:rsidR="00956231" w:rsidRPr="00956231" w:rsidRDefault="00956231" w:rsidP="00956231">
            <w:pPr>
              <w:widowControl w:val="0"/>
              <w:adjustRightInd w:val="0"/>
              <w:jc w:val="center"/>
              <w:textAlignment w:val="baseline"/>
              <w:rPr>
                <w:b/>
                <w:sz w:val="20"/>
                <w:szCs w:val="20"/>
              </w:rPr>
            </w:pPr>
            <w:r w:rsidRPr="00956231">
              <w:rPr>
                <w:b/>
                <w:sz w:val="20"/>
                <w:szCs w:val="20"/>
              </w:rPr>
              <w:t>(A)</w:t>
            </w:r>
          </w:p>
        </w:tc>
        <w:tc>
          <w:tcPr>
            <w:tcW w:w="1417" w:type="dxa"/>
            <w:tcBorders>
              <w:top w:val="nil"/>
              <w:left w:val="single" w:sz="2" w:space="0" w:color="auto"/>
              <w:bottom w:val="single" w:sz="4" w:space="0" w:color="auto"/>
              <w:right w:val="single" w:sz="2" w:space="0" w:color="auto"/>
            </w:tcBorders>
          </w:tcPr>
          <w:p w14:paraId="6E86DBD6" w14:textId="77777777" w:rsidR="00956231" w:rsidRPr="00956231" w:rsidRDefault="00956231" w:rsidP="00956231">
            <w:pPr>
              <w:widowControl w:val="0"/>
              <w:adjustRightInd w:val="0"/>
              <w:jc w:val="center"/>
              <w:textAlignment w:val="baseline"/>
              <w:rPr>
                <w:b/>
                <w:sz w:val="20"/>
                <w:szCs w:val="20"/>
              </w:rPr>
            </w:pPr>
            <w:r w:rsidRPr="00956231">
              <w:rPr>
                <w:b/>
                <w:sz w:val="20"/>
                <w:szCs w:val="20"/>
              </w:rPr>
              <w:t>(B)</w:t>
            </w:r>
          </w:p>
        </w:tc>
        <w:tc>
          <w:tcPr>
            <w:tcW w:w="1559" w:type="dxa"/>
            <w:tcBorders>
              <w:top w:val="nil"/>
              <w:left w:val="single" w:sz="2" w:space="0" w:color="auto"/>
              <w:bottom w:val="single" w:sz="4" w:space="0" w:color="auto"/>
              <w:right w:val="single" w:sz="4" w:space="0" w:color="auto"/>
            </w:tcBorders>
          </w:tcPr>
          <w:p w14:paraId="46ACA0DF" w14:textId="77777777" w:rsidR="00956231" w:rsidRPr="00956231" w:rsidRDefault="00956231" w:rsidP="00956231">
            <w:pPr>
              <w:widowControl w:val="0"/>
              <w:adjustRightInd w:val="0"/>
              <w:jc w:val="center"/>
              <w:textAlignment w:val="baseline"/>
              <w:rPr>
                <w:b/>
                <w:sz w:val="20"/>
                <w:szCs w:val="20"/>
              </w:rPr>
            </w:pPr>
            <w:r w:rsidRPr="00956231">
              <w:rPr>
                <w:b/>
                <w:sz w:val="20"/>
                <w:szCs w:val="20"/>
              </w:rPr>
              <w:t>(B/A)</w:t>
            </w:r>
          </w:p>
        </w:tc>
      </w:tr>
      <w:tr w:rsidR="00956231" w:rsidRPr="00956231" w14:paraId="60E52589" w14:textId="77777777" w:rsidTr="00F31276">
        <w:trPr>
          <w:jc w:val="center"/>
        </w:trPr>
        <w:tc>
          <w:tcPr>
            <w:tcW w:w="2906" w:type="dxa"/>
            <w:tcBorders>
              <w:top w:val="single" w:sz="4" w:space="0" w:color="auto"/>
              <w:left w:val="single" w:sz="4" w:space="0" w:color="auto"/>
              <w:bottom w:val="nil"/>
              <w:right w:val="single" w:sz="4" w:space="0" w:color="auto"/>
            </w:tcBorders>
          </w:tcPr>
          <w:p w14:paraId="267EEABC" w14:textId="77777777" w:rsidR="00956231" w:rsidRPr="00956231" w:rsidRDefault="00956231" w:rsidP="00956231">
            <w:pPr>
              <w:widowControl w:val="0"/>
              <w:adjustRightInd w:val="0"/>
              <w:ind w:right="-159"/>
              <w:jc w:val="both"/>
              <w:textAlignment w:val="baseline"/>
              <w:rPr>
                <w:sz w:val="20"/>
                <w:szCs w:val="20"/>
              </w:rPr>
            </w:pPr>
            <w:r w:rsidRPr="00956231">
              <w:rPr>
                <w:sz w:val="20"/>
                <w:szCs w:val="20"/>
              </w:rPr>
              <w:t>Remesas Totales</w:t>
            </w:r>
            <w:r w:rsidRPr="00956231">
              <w:rPr>
                <w:rFonts w:ascii="Times" w:hAnsi="Times"/>
                <w:sz w:val="20"/>
                <w:szCs w:val="20"/>
                <w:u w:val="single"/>
                <w:vertAlign w:val="superscript"/>
              </w:rPr>
              <w:t>1</w:t>
            </w:r>
            <w:r w:rsidRPr="00956231">
              <w:rPr>
                <w:rFonts w:ascii="Times" w:hAnsi="Times"/>
                <w:sz w:val="20"/>
                <w:szCs w:val="20"/>
                <w:vertAlign w:val="superscript"/>
              </w:rPr>
              <w:t>/</w:t>
            </w:r>
          </w:p>
        </w:tc>
        <w:tc>
          <w:tcPr>
            <w:tcW w:w="1489" w:type="dxa"/>
            <w:tcBorders>
              <w:top w:val="single" w:sz="4" w:space="0" w:color="auto"/>
              <w:left w:val="single" w:sz="4" w:space="0" w:color="auto"/>
              <w:bottom w:val="nil"/>
              <w:right w:val="single" w:sz="2" w:space="0" w:color="auto"/>
            </w:tcBorders>
          </w:tcPr>
          <w:p w14:paraId="6DFFF3E7" w14:textId="77777777" w:rsidR="00956231" w:rsidRPr="00956231" w:rsidRDefault="00956231" w:rsidP="00956231">
            <w:pPr>
              <w:widowControl w:val="0"/>
              <w:adjustRightInd w:val="0"/>
              <w:ind w:right="340"/>
              <w:jc w:val="right"/>
              <w:textAlignment w:val="baseline"/>
              <w:rPr>
                <w:sz w:val="20"/>
                <w:szCs w:val="20"/>
              </w:rPr>
            </w:pPr>
            <w:r w:rsidRPr="00956231">
              <w:rPr>
                <w:sz w:val="20"/>
                <w:szCs w:val="20"/>
              </w:rPr>
              <w:t>3 361.31</w:t>
            </w:r>
          </w:p>
        </w:tc>
        <w:tc>
          <w:tcPr>
            <w:tcW w:w="1417" w:type="dxa"/>
            <w:tcBorders>
              <w:top w:val="single" w:sz="4" w:space="0" w:color="auto"/>
              <w:left w:val="single" w:sz="2" w:space="0" w:color="auto"/>
              <w:bottom w:val="nil"/>
              <w:right w:val="single" w:sz="2" w:space="0" w:color="auto"/>
            </w:tcBorders>
          </w:tcPr>
          <w:p w14:paraId="0F3CDB4F" w14:textId="77777777" w:rsidR="00956231" w:rsidRPr="00956231" w:rsidRDefault="00956231" w:rsidP="00956231">
            <w:pPr>
              <w:widowControl w:val="0"/>
              <w:adjustRightInd w:val="0"/>
              <w:ind w:right="227"/>
              <w:jc w:val="right"/>
              <w:textAlignment w:val="baseline"/>
              <w:rPr>
                <w:sz w:val="20"/>
                <w:szCs w:val="20"/>
              </w:rPr>
            </w:pPr>
            <w:r w:rsidRPr="00956231">
              <w:rPr>
                <w:sz w:val="20"/>
                <w:szCs w:val="20"/>
              </w:rPr>
              <w:t>3 466.05</w:t>
            </w:r>
          </w:p>
        </w:tc>
        <w:tc>
          <w:tcPr>
            <w:tcW w:w="1559" w:type="dxa"/>
            <w:tcBorders>
              <w:top w:val="single" w:sz="4" w:space="0" w:color="auto"/>
              <w:left w:val="single" w:sz="2" w:space="0" w:color="auto"/>
              <w:bottom w:val="nil"/>
              <w:right w:val="single" w:sz="4" w:space="0" w:color="auto"/>
            </w:tcBorders>
          </w:tcPr>
          <w:p w14:paraId="2CB618E0" w14:textId="77777777" w:rsidR="00956231" w:rsidRPr="00956231" w:rsidRDefault="00956231" w:rsidP="00956231">
            <w:pPr>
              <w:widowControl w:val="0"/>
              <w:adjustRightInd w:val="0"/>
              <w:ind w:right="454"/>
              <w:jc w:val="right"/>
              <w:textAlignment w:val="baseline"/>
              <w:rPr>
                <w:sz w:val="20"/>
                <w:szCs w:val="20"/>
              </w:rPr>
            </w:pPr>
            <w:r w:rsidRPr="00956231">
              <w:rPr>
                <w:sz w:val="20"/>
                <w:szCs w:val="20"/>
              </w:rPr>
              <w:t>3.12</w:t>
            </w:r>
          </w:p>
        </w:tc>
      </w:tr>
      <w:tr w:rsidR="00956231" w:rsidRPr="00956231" w14:paraId="021E0D07" w14:textId="77777777" w:rsidTr="00F31276">
        <w:trPr>
          <w:jc w:val="center"/>
        </w:trPr>
        <w:tc>
          <w:tcPr>
            <w:tcW w:w="2906" w:type="dxa"/>
            <w:tcBorders>
              <w:top w:val="nil"/>
              <w:left w:val="single" w:sz="4" w:space="0" w:color="auto"/>
              <w:bottom w:val="nil"/>
              <w:right w:val="single" w:sz="4" w:space="0" w:color="auto"/>
            </w:tcBorders>
          </w:tcPr>
          <w:p w14:paraId="51DDE2A4" w14:textId="77777777" w:rsidR="00956231" w:rsidRPr="00956231" w:rsidRDefault="00956231" w:rsidP="00956231">
            <w:pPr>
              <w:widowControl w:val="0"/>
              <w:adjustRightInd w:val="0"/>
              <w:ind w:left="113" w:right="-159"/>
              <w:jc w:val="both"/>
              <w:textAlignment w:val="baseline"/>
              <w:rPr>
                <w:sz w:val="20"/>
                <w:szCs w:val="20"/>
              </w:rPr>
            </w:pPr>
            <w:r w:rsidRPr="00956231">
              <w:rPr>
                <w:sz w:val="20"/>
                <w:szCs w:val="20"/>
              </w:rPr>
              <w:t>Transferencias Electrónicas</w:t>
            </w:r>
          </w:p>
        </w:tc>
        <w:tc>
          <w:tcPr>
            <w:tcW w:w="1489" w:type="dxa"/>
            <w:tcBorders>
              <w:top w:val="nil"/>
              <w:left w:val="single" w:sz="4" w:space="0" w:color="auto"/>
              <w:bottom w:val="nil"/>
              <w:right w:val="single" w:sz="2" w:space="0" w:color="auto"/>
            </w:tcBorders>
          </w:tcPr>
          <w:p w14:paraId="484CA0AB" w14:textId="77777777" w:rsidR="00956231" w:rsidRPr="00956231" w:rsidRDefault="00956231" w:rsidP="00956231">
            <w:pPr>
              <w:widowControl w:val="0"/>
              <w:adjustRightInd w:val="0"/>
              <w:ind w:right="340"/>
              <w:jc w:val="right"/>
              <w:textAlignment w:val="baseline"/>
              <w:rPr>
                <w:sz w:val="20"/>
                <w:szCs w:val="20"/>
              </w:rPr>
            </w:pPr>
            <w:r w:rsidRPr="00956231">
              <w:rPr>
                <w:sz w:val="20"/>
                <w:szCs w:val="20"/>
              </w:rPr>
              <w:t>3 232.64</w:t>
            </w:r>
          </w:p>
        </w:tc>
        <w:tc>
          <w:tcPr>
            <w:tcW w:w="1417" w:type="dxa"/>
            <w:tcBorders>
              <w:top w:val="nil"/>
              <w:left w:val="single" w:sz="2" w:space="0" w:color="auto"/>
              <w:bottom w:val="nil"/>
              <w:right w:val="single" w:sz="2" w:space="0" w:color="auto"/>
            </w:tcBorders>
          </w:tcPr>
          <w:p w14:paraId="3EBC99F6" w14:textId="77777777" w:rsidR="00956231" w:rsidRPr="00956231" w:rsidRDefault="00956231" w:rsidP="00956231">
            <w:pPr>
              <w:widowControl w:val="0"/>
              <w:adjustRightInd w:val="0"/>
              <w:ind w:right="227"/>
              <w:jc w:val="right"/>
              <w:textAlignment w:val="baseline"/>
              <w:rPr>
                <w:sz w:val="20"/>
                <w:szCs w:val="20"/>
              </w:rPr>
            </w:pPr>
            <w:r w:rsidRPr="00956231">
              <w:rPr>
                <w:sz w:val="20"/>
                <w:szCs w:val="20"/>
              </w:rPr>
              <w:t>3 358.30</w:t>
            </w:r>
          </w:p>
        </w:tc>
        <w:tc>
          <w:tcPr>
            <w:tcW w:w="1559" w:type="dxa"/>
            <w:tcBorders>
              <w:top w:val="nil"/>
              <w:left w:val="single" w:sz="2" w:space="0" w:color="auto"/>
              <w:bottom w:val="nil"/>
              <w:right w:val="single" w:sz="4" w:space="0" w:color="auto"/>
            </w:tcBorders>
          </w:tcPr>
          <w:p w14:paraId="646B440A" w14:textId="77777777" w:rsidR="00956231" w:rsidRPr="00956231" w:rsidRDefault="00956231" w:rsidP="00956231">
            <w:pPr>
              <w:widowControl w:val="0"/>
              <w:adjustRightInd w:val="0"/>
              <w:ind w:right="454"/>
              <w:jc w:val="right"/>
              <w:textAlignment w:val="baseline"/>
              <w:rPr>
                <w:sz w:val="20"/>
                <w:szCs w:val="20"/>
              </w:rPr>
            </w:pPr>
            <w:r w:rsidRPr="00956231">
              <w:rPr>
                <w:sz w:val="20"/>
                <w:szCs w:val="20"/>
              </w:rPr>
              <w:t>3.89</w:t>
            </w:r>
          </w:p>
        </w:tc>
      </w:tr>
      <w:tr w:rsidR="00956231" w:rsidRPr="00956231" w14:paraId="525CB505" w14:textId="77777777" w:rsidTr="00F31276">
        <w:trPr>
          <w:jc w:val="center"/>
        </w:trPr>
        <w:tc>
          <w:tcPr>
            <w:tcW w:w="2906" w:type="dxa"/>
            <w:tcBorders>
              <w:top w:val="nil"/>
              <w:left w:val="single" w:sz="4" w:space="0" w:color="auto"/>
              <w:bottom w:val="nil"/>
              <w:right w:val="single" w:sz="4" w:space="0" w:color="auto"/>
            </w:tcBorders>
          </w:tcPr>
          <w:p w14:paraId="55E66D67" w14:textId="77777777" w:rsidR="00956231" w:rsidRPr="00956231" w:rsidRDefault="00956231" w:rsidP="00956231">
            <w:pPr>
              <w:widowControl w:val="0"/>
              <w:adjustRightInd w:val="0"/>
              <w:ind w:left="113" w:right="-159"/>
              <w:jc w:val="both"/>
              <w:textAlignment w:val="baseline"/>
              <w:rPr>
                <w:i/>
                <w:sz w:val="20"/>
                <w:szCs w:val="20"/>
              </w:rPr>
            </w:pPr>
            <w:r w:rsidRPr="00956231">
              <w:rPr>
                <w:i/>
                <w:sz w:val="20"/>
                <w:szCs w:val="20"/>
              </w:rPr>
              <w:t xml:space="preserve">Money </w:t>
            </w:r>
            <w:proofErr w:type="spellStart"/>
            <w:r w:rsidRPr="00956231">
              <w:rPr>
                <w:i/>
                <w:sz w:val="20"/>
                <w:szCs w:val="20"/>
              </w:rPr>
              <w:t>Orders</w:t>
            </w:r>
            <w:proofErr w:type="spellEnd"/>
          </w:p>
        </w:tc>
        <w:tc>
          <w:tcPr>
            <w:tcW w:w="1489" w:type="dxa"/>
            <w:tcBorders>
              <w:top w:val="nil"/>
              <w:left w:val="single" w:sz="4" w:space="0" w:color="auto"/>
              <w:bottom w:val="nil"/>
              <w:right w:val="single" w:sz="2" w:space="0" w:color="auto"/>
            </w:tcBorders>
          </w:tcPr>
          <w:p w14:paraId="03FFFA8A" w14:textId="77777777" w:rsidR="00956231" w:rsidRPr="00956231" w:rsidRDefault="00956231" w:rsidP="00956231">
            <w:pPr>
              <w:widowControl w:val="0"/>
              <w:adjustRightInd w:val="0"/>
              <w:ind w:right="340"/>
              <w:jc w:val="right"/>
              <w:textAlignment w:val="baseline"/>
              <w:rPr>
                <w:sz w:val="20"/>
                <w:szCs w:val="20"/>
              </w:rPr>
            </w:pPr>
            <w:r w:rsidRPr="00956231">
              <w:rPr>
                <w:sz w:val="20"/>
                <w:szCs w:val="20"/>
              </w:rPr>
              <w:t>67.65</w:t>
            </w:r>
          </w:p>
        </w:tc>
        <w:tc>
          <w:tcPr>
            <w:tcW w:w="1417" w:type="dxa"/>
            <w:tcBorders>
              <w:top w:val="nil"/>
              <w:left w:val="single" w:sz="2" w:space="0" w:color="auto"/>
              <w:bottom w:val="nil"/>
              <w:right w:val="single" w:sz="2" w:space="0" w:color="auto"/>
            </w:tcBorders>
          </w:tcPr>
          <w:p w14:paraId="0E3B3CC1" w14:textId="77777777" w:rsidR="00956231" w:rsidRPr="00956231" w:rsidRDefault="00956231" w:rsidP="00956231">
            <w:pPr>
              <w:widowControl w:val="0"/>
              <w:adjustRightInd w:val="0"/>
              <w:ind w:right="227"/>
              <w:jc w:val="right"/>
              <w:textAlignment w:val="baseline"/>
              <w:rPr>
                <w:sz w:val="20"/>
                <w:szCs w:val="20"/>
              </w:rPr>
            </w:pPr>
            <w:r w:rsidRPr="00956231">
              <w:rPr>
                <w:sz w:val="20"/>
                <w:szCs w:val="20"/>
              </w:rPr>
              <w:t>34.75</w:t>
            </w:r>
          </w:p>
        </w:tc>
        <w:tc>
          <w:tcPr>
            <w:tcW w:w="1559" w:type="dxa"/>
            <w:tcBorders>
              <w:top w:val="nil"/>
              <w:left w:val="single" w:sz="2" w:space="0" w:color="auto"/>
              <w:bottom w:val="nil"/>
              <w:right w:val="single" w:sz="4" w:space="0" w:color="auto"/>
            </w:tcBorders>
          </w:tcPr>
          <w:p w14:paraId="11966992" w14:textId="77777777" w:rsidR="00956231" w:rsidRPr="00956231" w:rsidRDefault="00956231" w:rsidP="00956231">
            <w:pPr>
              <w:widowControl w:val="0"/>
              <w:adjustRightInd w:val="0"/>
              <w:ind w:right="454"/>
              <w:jc w:val="right"/>
              <w:textAlignment w:val="baseline"/>
              <w:rPr>
                <w:sz w:val="20"/>
                <w:szCs w:val="20"/>
              </w:rPr>
            </w:pPr>
            <w:r w:rsidRPr="00956231">
              <w:rPr>
                <w:sz w:val="20"/>
                <w:szCs w:val="20"/>
              </w:rPr>
              <w:t>-48.64</w:t>
            </w:r>
          </w:p>
        </w:tc>
      </w:tr>
      <w:tr w:rsidR="00956231" w:rsidRPr="00956231" w14:paraId="5930F5D2" w14:textId="77777777" w:rsidTr="00F31276">
        <w:trPr>
          <w:jc w:val="center"/>
        </w:trPr>
        <w:tc>
          <w:tcPr>
            <w:tcW w:w="2906" w:type="dxa"/>
            <w:tcBorders>
              <w:top w:val="nil"/>
              <w:left w:val="single" w:sz="4" w:space="0" w:color="auto"/>
              <w:bottom w:val="nil"/>
              <w:right w:val="single" w:sz="4" w:space="0" w:color="auto"/>
            </w:tcBorders>
          </w:tcPr>
          <w:p w14:paraId="49995662" w14:textId="77777777" w:rsidR="00956231" w:rsidRPr="00956231" w:rsidRDefault="00956231" w:rsidP="00956231">
            <w:pPr>
              <w:widowControl w:val="0"/>
              <w:adjustRightInd w:val="0"/>
              <w:ind w:left="113" w:right="-159"/>
              <w:jc w:val="both"/>
              <w:textAlignment w:val="baseline"/>
              <w:rPr>
                <w:sz w:val="20"/>
                <w:szCs w:val="20"/>
              </w:rPr>
            </w:pPr>
            <w:r w:rsidRPr="00956231">
              <w:rPr>
                <w:sz w:val="20"/>
                <w:szCs w:val="20"/>
              </w:rPr>
              <w:t>Cheques Personales</w:t>
            </w:r>
          </w:p>
        </w:tc>
        <w:tc>
          <w:tcPr>
            <w:tcW w:w="1489" w:type="dxa"/>
            <w:tcBorders>
              <w:top w:val="nil"/>
              <w:left w:val="single" w:sz="4" w:space="0" w:color="auto"/>
              <w:bottom w:val="nil"/>
              <w:right w:val="single" w:sz="2" w:space="0" w:color="auto"/>
            </w:tcBorders>
          </w:tcPr>
          <w:p w14:paraId="1A93D814" w14:textId="77777777" w:rsidR="00956231" w:rsidRPr="00956231" w:rsidRDefault="00956231" w:rsidP="00956231">
            <w:pPr>
              <w:widowControl w:val="0"/>
              <w:adjustRightInd w:val="0"/>
              <w:ind w:right="340"/>
              <w:jc w:val="right"/>
              <w:textAlignment w:val="baseline"/>
              <w:rPr>
                <w:sz w:val="20"/>
                <w:szCs w:val="20"/>
              </w:rPr>
            </w:pPr>
            <w:r w:rsidRPr="00956231">
              <w:rPr>
                <w:sz w:val="20"/>
                <w:szCs w:val="20"/>
              </w:rPr>
              <w:t>0.00</w:t>
            </w:r>
          </w:p>
        </w:tc>
        <w:tc>
          <w:tcPr>
            <w:tcW w:w="1417" w:type="dxa"/>
            <w:tcBorders>
              <w:top w:val="nil"/>
              <w:left w:val="single" w:sz="2" w:space="0" w:color="auto"/>
              <w:bottom w:val="nil"/>
              <w:right w:val="single" w:sz="2" w:space="0" w:color="auto"/>
            </w:tcBorders>
          </w:tcPr>
          <w:p w14:paraId="34D52F03" w14:textId="77777777" w:rsidR="00956231" w:rsidRPr="00956231" w:rsidRDefault="00956231" w:rsidP="00956231">
            <w:pPr>
              <w:widowControl w:val="0"/>
              <w:adjustRightInd w:val="0"/>
              <w:ind w:right="227"/>
              <w:jc w:val="right"/>
              <w:textAlignment w:val="baseline"/>
              <w:rPr>
                <w:sz w:val="20"/>
                <w:szCs w:val="20"/>
              </w:rPr>
            </w:pPr>
            <w:r w:rsidRPr="00956231">
              <w:rPr>
                <w:sz w:val="20"/>
                <w:szCs w:val="20"/>
              </w:rPr>
              <w:t>0.00</w:t>
            </w:r>
          </w:p>
        </w:tc>
        <w:tc>
          <w:tcPr>
            <w:tcW w:w="1559" w:type="dxa"/>
            <w:tcBorders>
              <w:top w:val="nil"/>
              <w:left w:val="single" w:sz="2" w:space="0" w:color="auto"/>
              <w:bottom w:val="nil"/>
              <w:right w:val="single" w:sz="4" w:space="0" w:color="auto"/>
            </w:tcBorders>
          </w:tcPr>
          <w:p w14:paraId="71796552" w14:textId="77777777" w:rsidR="00956231" w:rsidRPr="00956231" w:rsidRDefault="00956231" w:rsidP="00956231">
            <w:pPr>
              <w:widowControl w:val="0"/>
              <w:adjustRightInd w:val="0"/>
              <w:ind w:right="454"/>
              <w:jc w:val="right"/>
              <w:textAlignment w:val="baseline"/>
              <w:rPr>
                <w:sz w:val="20"/>
                <w:szCs w:val="20"/>
              </w:rPr>
            </w:pPr>
            <w:r w:rsidRPr="00956231">
              <w:rPr>
                <w:sz w:val="20"/>
                <w:szCs w:val="20"/>
              </w:rPr>
              <w:t>N/E</w:t>
            </w:r>
          </w:p>
        </w:tc>
      </w:tr>
      <w:tr w:rsidR="00956231" w:rsidRPr="00956231" w14:paraId="085C805A" w14:textId="77777777" w:rsidTr="00F31276">
        <w:trPr>
          <w:jc w:val="center"/>
        </w:trPr>
        <w:tc>
          <w:tcPr>
            <w:tcW w:w="2906" w:type="dxa"/>
            <w:tcBorders>
              <w:top w:val="nil"/>
              <w:left w:val="single" w:sz="4" w:space="0" w:color="auto"/>
              <w:bottom w:val="nil"/>
              <w:right w:val="single" w:sz="4" w:space="0" w:color="auto"/>
            </w:tcBorders>
          </w:tcPr>
          <w:p w14:paraId="46535D05" w14:textId="77777777" w:rsidR="00956231" w:rsidRPr="00956231" w:rsidRDefault="00956231" w:rsidP="00956231">
            <w:pPr>
              <w:widowControl w:val="0"/>
              <w:adjustRightInd w:val="0"/>
              <w:ind w:left="113" w:right="-159"/>
              <w:jc w:val="both"/>
              <w:textAlignment w:val="baseline"/>
              <w:rPr>
                <w:sz w:val="20"/>
                <w:szCs w:val="20"/>
              </w:rPr>
            </w:pPr>
            <w:r w:rsidRPr="00956231">
              <w:rPr>
                <w:sz w:val="20"/>
                <w:szCs w:val="20"/>
              </w:rPr>
              <w:t>Efectivo y Especie</w:t>
            </w:r>
          </w:p>
        </w:tc>
        <w:tc>
          <w:tcPr>
            <w:tcW w:w="1489" w:type="dxa"/>
            <w:tcBorders>
              <w:top w:val="nil"/>
              <w:left w:val="single" w:sz="4" w:space="0" w:color="auto"/>
              <w:bottom w:val="nil"/>
              <w:right w:val="single" w:sz="2" w:space="0" w:color="auto"/>
            </w:tcBorders>
          </w:tcPr>
          <w:p w14:paraId="07245998" w14:textId="77777777" w:rsidR="00956231" w:rsidRPr="00956231" w:rsidRDefault="00956231" w:rsidP="00956231">
            <w:pPr>
              <w:widowControl w:val="0"/>
              <w:adjustRightInd w:val="0"/>
              <w:ind w:right="340"/>
              <w:jc w:val="right"/>
              <w:textAlignment w:val="baseline"/>
              <w:rPr>
                <w:sz w:val="20"/>
                <w:szCs w:val="20"/>
              </w:rPr>
            </w:pPr>
            <w:r w:rsidRPr="00956231">
              <w:rPr>
                <w:sz w:val="20"/>
                <w:szCs w:val="20"/>
              </w:rPr>
              <w:t>61.02</w:t>
            </w:r>
          </w:p>
        </w:tc>
        <w:tc>
          <w:tcPr>
            <w:tcW w:w="1417" w:type="dxa"/>
            <w:tcBorders>
              <w:top w:val="nil"/>
              <w:left w:val="single" w:sz="2" w:space="0" w:color="auto"/>
              <w:bottom w:val="nil"/>
              <w:right w:val="single" w:sz="2" w:space="0" w:color="auto"/>
            </w:tcBorders>
          </w:tcPr>
          <w:p w14:paraId="188DC85B" w14:textId="77777777" w:rsidR="00956231" w:rsidRPr="00956231" w:rsidRDefault="00956231" w:rsidP="00956231">
            <w:pPr>
              <w:widowControl w:val="0"/>
              <w:adjustRightInd w:val="0"/>
              <w:ind w:right="227"/>
              <w:jc w:val="right"/>
              <w:textAlignment w:val="baseline"/>
              <w:rPr>
                <w:sz w:val="20"/>
                <w:szCs w:val="20"/>
              </w:rPr>
            </w:pPr>
            <w:r w:rsidRPr="00956231">
              <w:rPr>
                <w:sz w:val="20"/>
                <w:szCs w:val="20"/>
              </w:rPr>
              <w:t>73.01</w:t>
            </w:r>
          </w:p>
        </w:tc>
        <w:tc>
          <w:tcPr>
            <w:tcW w:w="1559" w:type="dxa"/>
            <w:tcBorders>
              <w:top w:val="nil"/>
              <w:left w:val="single" w:sz="2" w:space="0" w:color="auto"/>
              <w:bottom w:val="nil"/>
              <w:right w:val="single" w:sz="4" w:space="0" w:color="auto"/>
            </w:tcBorders>
          </w:tcPr>
          <w:p w14:paraId="124BFE03" w14:textId="77777777" w:rsidR="00956231" w:rsidRPr="00956231" w:rsidRDefault="00956231" w:rsidP="00956231">
            <w:pPr>
              <w:widowControl w:val="0"/>
              <w:adjustRightInd w:val="0"/>
              <w:ind w:right="454"/>
              <w:jc w:val="right"/>
              <w:textAlignment w:val="baseline"/>
              <w:rPr>
                <w:sz w:val="20"/>
                <w:szCs w:val="20"/>
              </w:rPr>
            </w:pPr>
            <w:r w:rsidRPr="00956231">
              <w:rPr>
                <w:sz w:val="20"/>
                <w:szCs w:val="20"/>
              </w:rPr>
              <w:t>19.66</w:t>
            </w:r>
          </w:p>
        </w:tc>
      </w:tr>
      <w:tr w:rsidR="00956231" w:rsidRPr="00956231" w14:paraId="3FA9F28B" w14:textId="77777777" w:rsidTr="00F31276">
        <w:trPr>
          <w:jc w:val="center"/>
        </w:trPr>
        <w:tc>
          <w:tcPr>
            <w:tcW w:w="2906" w:type="dxa"/>
            <w:tcBorders>
              <w:top w:val="nil"/>
              <w:left w:val="single" w:sz="4" w:space="0" w:color="auto"/>
              <w:bottom w:val="nil"/>
              <w:right w:val="single" w:sz="4" w:space="0" w:color="auto"/>
            </w:tcBorders>
          </w:tcPr>
          <w:p w14:paraId="5FB4A634" w14:textId="77777777" w:rsidR="00956231" w:rsidRPr="00956231" w:rsidRDefault="00956231" w:rsidP="00956231">
            <w:pPr>
              <w:widowControl w:val="0"/>
              <w:adjustRightInd w:val="0"/>
              <w:ind w:right="-159"/>
              <w:jc w:val="both"/>
              <w:textAlignment w:val="baseline"/>
              <w:rPr>
                <w:sz w:val="20"/>
                <w:szCs w:val="20"/>
              </w:rPr>
            </w:pPr>
            <w:r w:rsidRPr="00956231">
              <w:rPr>
                <w:sz w:val="20"/>
                <w:szCs w:val="20"/>
              </w:rPr>
              <w:t>Número de Remesas Totales</w:t>
            </w:r>
            <w:r w:rsidRPr="00956231">
              <w:rPr>
                <w:rFonts w:ascii="Times" w:hAnsi="Times"/>
                <w:sz w:val="20"/>
                <w:szCs w:val="20"/>
                <w:u w:val="single"/>
                <w:vertAlign w:val="superscript"/>
              </w:rPr>
              <w:t>2</w:t>
            </w:r>
            <w:r w:rsidRPr="00956231">
              <w:rPr>
                <w:rFonts w:ascii="Times" w:hAnsi="Times"/>
                <w:sz w:val="20"/>
                <w:szCs w:val="20"/>
                <w:vertAlign w:val="superscript"/>
              </w:rPr>
              <w:t>/</w:t>
            </w:r>
          </w:p>
        </w:tc>
        <w:tc>
          <w:tcPr>
            <w:tcW w:w="1489" w:type="dxa"/>
            <w:tcBorders>
              <w:top w:val="nil"/>
              <w:left w:val="single" w:sz="4" w:space="0" w:color="auto"/>
              <w:bottom w:val="nil"/>
              <w:right w:val="single" w:sz="2" w:space="0" w:color="auto"/>
            </w:tcBorders>
          </w:tcPr>
          <w:p w14:paraId="30590ADC" w14:textId="77777777" w:rsidR="00956231" w:rsidRPr="00956231" w:rsidRDefault="00956231" w:rsidP="00956231">
            <w:pPr>
              <w:widowControl w:val="0"/>
              <w:adjustRightInd w:val="0"/>
              <w:ind w:right="340"/>
              <w:jc w:val="right"/>
              <w:textAlignment w:val="baseline"/>
              <w:rPr>
                <w:sz w:val="20"/>
                <w:szCs w:val="20"/>
              </w:rPr>
            </w:pPr>
            <w:r w:rsidRPr="00956231">
              <w:rPr>
                <w:sz w:val="20"/>
                <w:szCs w:val="20"/>
              </w:rPr>
              <w:t>11.49</w:t>
            </w:r>
          </w:p>
        </w:tc>
        <w:tc>
          <w:tcPr>
            <w:tcW w:w="1417" w:type="dxa"/>
            <w:tcBorders>
              <w:top w:val="nil"/>
              <w:left w:val="single" w:sz="2" w:space="0" w:color="auto"/>
              <w:bottom w:val="nil"/>
              <w:right w:val="single" w:sz="2" w:space="0" w:color="auto"/>
            </w:tcBorders>
          </w:tcPr>
          <w:p w14:paraId="630257F6" w14:textId="77777777" w:rsidR="00956231" w:rsidRPr="00956231" w:rsidRDefault="00956231" w:rsidP="00956231">
            <w:pPr>
              <w:widowControl w:val="0"/>
              <w:adjustRightInd w:val="0"/>
              <w:ind w:right="227"/>
              <w:jc w:val="right"/>
              <w:textAlignment w:val="baseline"/>
              <w:rPr>
                <w:sz w:val="20"/>
                <w:szCs w:val="20"/>
              </w:rPr>
            </w:pPr>
            <w:r w:rsidRPr="00956231">
              <w:rPr>
                <w:sz w:val="20"/>
                <w:szCs w:val="20"/>
              </w:rPr>
              <w:t>11.99</w:t>
            </w:r>
          </w:p>
        </w:tc>
        <w:tc>
          <w:tcPr>
            <w:tcW w:w="1559" w:type="dxa"/>
            <w:tcBorders>
              <w:top w:val="nil"/>
              <w:left w:val="single" w:sz="2" w:space="0" w:color="auto"/>
              <w:bottom w:val="nil"/>
              <w:right w:val="single" w:sz="4" w:space="0" w:color="auto"/>
            </w:tcBorders>
          </w:tcPr>
          <w:p w14:paraId="6BF5617D" w14:textId="77777777" w:rsidR="00956231" w:rsidRPr="00956231" w:rsidRDefault="00956231" w:rsidP="00956231">
            <w:pPr>
              <w:widowControl w:val="0"/>
              <w:adjustRightInd w:val="0"/>
              <w:ind w:right="454"/>
              <w:jc w:val="right"/>
              <w:textAlignment w:val="baseline"/>
              <w:rPr>
                <w:sz w:val="20"/>
                <w:szCs w:val="20"/>
              </w:rPr>
            </w:pPr>
            <w:r w:rsidRPr="00956231">
              <w:rPr>
                <w:sz w:val="20"/>
                <w:szCs w:val="20"/>
              </w:rPr>
              <w:t>4.33</w:t>
            </w:r>
          </w:p>
        </w:tc>
      </w:tr>
      <w:tr w:rsidR="00956231" w:rsidRPr="00956231" w14:paraId="7976A164" w14:textId="77777777" w:rsidTr="00F31276">
        <w:trPr>
          <w:jc w:val="center"/>
        </w:trPr>
        <w:tc>
          <w:tcPr>
            <w:tcW w:w="2906" w:type="dxa"/>
            <w:tcBorders>
              <w:top w:val="nil"/>
              <w:left w:val="single" w:sz="4" w:space="0" w:color="auto"/>
              <w:bottom w:val="nil"/>
              <w:right w:val="single" w:sz="4" w:space="0" w:color="auto"/>
            </w:tcBorders>
          </w:tcPr>
          <w:p w14:paraId="75CA9B54" w14:textId="77777777" w:rsidR="00956231" w:rsidRPr="00956231" w:rsidRDefault="00956231" w:rsidP="00956231">
            <w:pPr>
              <w:widowControl w:val="0"/>
              <w:adjustRightInd w:val="0"/>
              <w:ind w:left="113" w:right="-159"/>
              <w:jc w:val="both"/>
              <w:textAlignment w:val="baseline"/>
              <w:rPr>
                <w:sz w:val="20"/>
                <w:szCs w:val="20"/>
              </w:rPr>
            </w:pPr>
            <w:r w:rsidRPr="00956231">
              <w:rPr>
                <w:sz w:val="20"/>
                <w:szCs w:val="20"/>
              </w:rPr>
              <w:t>Transferencias Electrónicas</w:t>
            </w:r>
          </w:p>
        </w:tc>
        <w:tc>
          <w:tcPr>
            <w:tcW w:w="1489" w:type="dxa"/>
            <w:tcBorders>
              <w:top w:val="nil"/>
              <w:left w:val="single" w:sz="4" w:space="0" w:color="auto"/>
              <w:bottom w:val="nil"/>
              <w:right w:val="single" w:sz="2" w:space="0" w:color="auto"/>
            </w:tcBorders>
          </w:tcPr>
          <w:p w14:paraId="78B5E7BD" w14:textId="77777777" w:rsidR="00956231" w:rsidRPr="00956231" w:rsidRDefault="00956231" w:rsidP="00956231">
            <w:pPr>
              <w:widowControl w:val="0"/>
              <w:adjustRightInd w:val="0"/>
              <w:ind w:right="340"/>
              <w:jc w:val="right"/>
              <w:textAlignment w:val="baseline"/>
              <w:rPr>
                <w:sz w:val="20"/>
                <w:szCs w:val="20"/>
              </w:rPr>
            </w:pPr>
            <w:r w:rsidRPr="00956231">
              <w:rPr>
                <w:sz w:val="20"/>
                <w:szCs w:val="20"/>
              </w:rPr>
              <w:t>11.22</w:t>
            </w:r>
          </w:p>
        </w:tc>
        <w:tc>
          <w:tcPr>
            <w:tcW w:w="1417" w:type="dxa"/>
            <w:tcBorders>
              <w:top w:val="nil"/>
              <w:left w:val="single" w:sz="2" w:space="0" w:color="auto"/>
              <w:bottom w:val="nil"/>
              <w:right w:val="single" w:sz="2" w:space="0" w:color="auto"/>
            </w:tcBorders>
          </w:tcPr>
          <w:p w14:paraId="7588322C" w14:textId="77777777" w:rsidR="00956231" w:rsidRPr="00956231" w:rsidRDefault="00956231" w:rsidP="00956231">
            <w:pPr>
              <w:widowControl w:val="0"/>
              <w:adjustRightInd w:val="0"/>
              <w:ind w:right="227"/>
              <w:jc w:val="right"/>
              <w:textAlignment w:val="baseline"/>
              <w:rPr>
                <w:sz w:val="20"/>
                <w:szCs w:val="20"/>
              </w:rPr>
            </w:pPr>
            <w:r w:rsidRPr="00956231">
              <w:rPr>
                <w:sz w:val="20"/>
                <w:szCs w:val="20"/>
              </w:rPr>
              <w:t>11.77</w:t>
            </w:r>
          </w:p>
        </w:tc>
        <w:tc>
          <w:tcPr>
            <w:tcW w:w="1559" w:type="dxa"/>
            <w:tcBorders>
              <w:top w:val="nil"/>
              <w:left w:val="single" w:sz="2" w:space="0" w:color="auto"/>
              <w:bottom w:val="nil"/>
              <w:right w:val="single" w:sz="4" w:space="0" w:color="auto"/>
            </w:tcBorders>
          </w:tcPr>
          <w:p w14:paraId="04F9AD36" w14:textId="77777777" w:rsidR="00956231" w:rsidRPr="00956231" w:rsidRDefault="00956231" w:rsidP="00956231">
            <w:pPr>
              <w:widowControl w:val="0"/>
              <w:adjustRightInd w:val="0"/>
              <w:ind w:right="454"/>
              <w:jc w:val="right"/>
              <w:textAlignment w:val="baseline"/>
              <w:rPr>
                <w:sz w:val="20"/>
                <w:szCs w:val="20"/>
              </w:rPr>
            </w:pPr>
            <w:r w:rsidRPr="00956231">
              <w:rPr>
                <w:sz w:val="20"/>
                <w:szCs w:val="20"/>
              </w:rPr>
              <w:t>4.91</w:t>
            </w:r>
          </w:p>
        </w:tc>
      </w:tr>
      <w:tr w:rsidR="00956231" w:rsidRPr="00956231" w14:paraId="693AB6FF" w14:textId="77777777" w:rsidTr="00F31276">
        <w:trPr>
          <w:jc w:val="center"/>
        </w:trPr>
        <w:tc>
          <w:tcPr>
            <w:tcW w:w="2906" w:type="dxa"/>
            <w:tcBorders>
              <w:top w:val="nil"/>
              <w:left w:val="single" w:sz="4" w:space="0" w:color="auto"/>
              <w:bottom w:val="nil"/>
              <w:right w:val="single" w:sz="4" w:space="0" w:color="auto"/>
            </w:tcBorders>
          </w:tcPr>
          <w:p w14:paraId="571A830C" w14:textId="77777777" w:rsidR="00956231" w:rsidRPr="00956231" w:rsidRDefault="00956231" w:rsidP="00956231">
            <w:pPr>
              <w:widowControl w:val="0"/>
              <w:adjustRightInd w:val="0"/>
              <w:ind w:left="113" w:right="-159"/>
              <w:jc w:val="both"/>
              <w:textAlignment w:val="baseline"/>
              <w:rPr>
                <w:i/>
                <w:sz w:val="20"/>
                <w:szCs w:val="20"/>
              </w:rPr>
            </w:pPr>
            <w:r w:rsidRPr="00956231">
              <w:rPr>
                <w:i/>
                <w:sz w:val="20"/>
                <w:szCs w:val="20"/>
              </w:rPr>
              <w:t xml:space="preserve">Money </w:t>
            </w:r>
            <w:proofErr w:type="spellStart"/>
            <w:r w:rsidRPr="00956231">
              <w:rPr>
                <w:i/>
                <w:sz w:val="20"/>
                <w:szCs w:val="20"/>
              </w:rPr>
              <w:t>Orders</w:t>
            </w:r>
            <w:proofErr w:type="spellEnd"/>
          </w:p>
        </w:tc>
        <w:tc>
          <w:tcPr>
            <w:tcW w:w="1489" w:type="dxa"/>
            <w:tcBorders>
              <w:top w:val="nil"/>
              <w:left w:val="single" w:sz="4" w:space="0" w:color="auto"/>
              <w:bottom w:val="nil"/>
              <w:right w:val="single" w:sz="2" w:space="0" w:color="auto"/>
            </w:tcBorders>
          </w:tcPr>
          <w:p w14:paraId="2F2237CE" w14:textId="77777777" w:rsidR="00956231" w:rsidRPr="00956231" w:rsidRDefault="00956231" w:rsidP="00956231">
            <w:pPr>
              <w:widowControl w:val="0"/>
              <w:adjustRightInd w:val="0"/>
              <w:ind w:right="340"/>
              <w:jc w:val="right"/>
              <w:textAlignment w:val="baseline"/>
              <w:rPr>
                <w:sz w:val="20"/>
                <w:szCs w:val="20"/>
              </w:rPr>
            </w:pPr>
            <w:r w:rsidRPr="00956231">
              <w:rPr>
                <w:sz w:val="20"/>
                <w:szCs w:val="20"/>
              </w:rPr>
              <w:t>0.13</w:t>
            </w:r>
          </w:p>
        </w:tc>
        <w:tc>
          <w:tcPr>
            <w:tcW w:w="1417" w:type="dxa"/>
            <w:tcBorders>
              <w:top w:val="nil"/>
              <w:left w:val="single" w:sz="2" w:space="0" w:color="auto"/>
              <w:bottom w:val="nil"/>
              <w:right w:val="single" w:sz="2" w:space="0" w:color="auto"/>
            </w:tcBorders>
          </w:tcPr>
          <w:p w14:paraId="4EC3A883" w14:textId="77777777" w:rsidR="00956231" w:rsidRPr="00956231" w:rsidRDefault="00956231" w:rsidP="00956231">
            <w:pPr>
              <w:widowControl w:val="0"/>
              <w:adjustRightInd w:val="0"/>
              <w:ind w:right="227"/>
              <w:jc w:val="right"/>
              <w:textAlignment w:val="baseline"/>
              <w:rPr>
                <w:sz w:val="20"/>
                <w:szCs w:val="20"/>
              </w:rPr>
            </w:pPr>
            <w:r w:rsidRPr="00956231">
              <w:rPr>
                <w:sz w:val="20"/>
                <w:szCs w:val="20"/>
              </w:rPr>
              <w:t>0.07</w:t>
            </w:r>
          </w:p>
        </w:tc>
        <w:tc>
          <w:tcPr>
            <w:tcW w:w="1559" w:type="dxa"/>
            <w:tcBorders>
              <w:top w:val="nil"/>
              <w:left w:val="single" w:sz="2" w:space="0" w:color="auto"/>
              <w:bottom w:val="nil"/>
              <w:right w:val="single" w:sz="4" w:space="0" w:color="auto"/>
            </w:tcBorders>
          </w:tcPr>
          <w:p w14:paraId="432478CA" w14:textId="77777777" w:rsidR="00956231" w:rsidRPr="00956231" w:rsidRDefault="00956231" w:rsidP="00956231">
            <w:pPr>
              <w:widowControl w:val="0"/>
              <w:adjustRightInd w:val="0"/>
              <w:ind w:right="454"/>
              <w:jc w:val="right"/>
              <w:textAlignment w:val="baseline"/>
              <w:rPr>
                <w:sz w:val="20"/>
                <w:szCs w:val="20"/>
              </w:rPr>
            </w:pPr>
            <w:r w:rsidRPr="00956231">
              <w:rPr>
                <w:sz w:val="20"/>
                <w:szCs w:val="20"/>
              </w:rPr>
              <w:t>-48.58</w:t>
            </w:r>
          </w:p>
        </w:tc>
      </w:tr>
      <w:tr w:rsidR="00956231" w:rsidRPr="00956231" w14:paraId="0FD0A80F" w14:textId="77777777" w:rsidTr="00F31276">
        <w:trPr>
          <w:jc w:val="center"/>
        </w:trPr>
        <w:tc>
          <w:tcPr>
            <w:tcW w:w="2906" w:type="dxa"/>
            <w:tcBorders>
              <w:top w:val="nil"/>
              <w:left w:val="single" w:sz="4" w:space="0" w:color="auto"/>
              <w:bottom w:val="nil"/>
              <w:right w:val="single" w:sz="4" w:space="0" w:color="auto"/>
            </w:tcBorders>
          </w:tcPr>
          <w:p w14:paraId="0C8B37C5" w14:textId="77777777" w:rsidR="00956231" w:rsidRPr="00956231" w:rsidRDefault="00956231" w:rsidP="00956231">
            <w:pPr>
              <w:widowControl w:val="0"/>
              <w:adjustRightInd w:val="0"/>
              <w:ind w:left="113" w:right="-159"/>
              <w:jc w:val="both"/>
              <w:textAlignment w:val="baseline"/>
              <w:rPr>
                <w:sz w:val="20"/>
                <w:szCs w:val="20"/>
              </w:rPr>
            </w:pPr>
            <w:r w:rsidRPr="00956231">
              <w:rPr>
                <w:sz w:val="20"/>
                <w:szCs w:val="20"/>
              </w:rPr>
              <w:t>Cheques Personales</w:t>
            </w:r>
          </w:p>
        </w:tc>
        <w:tc>
          <w:tcPr>
            <w:tcW w:w="1489" w:type="dxa"/>
            <w:tcBorders>
              <w:top w:val="nil"/>
              <w:left w:val="single" w:sz="4" w:space="0" w:color="auto"/>
              <w:bottom w:val="nil"/>
              <w:right w:val="single" w:sz="2" w:space="0" w:color="auto"/>
            </w:tcBorders>
          </w:tcPr>
          <w:p w14:paraId="53E73FF4" w14:textId="77777777" w:rsidR="00956231" w:rsidRPr="00956231" w:rsidRDefault="00956231" w:rsidP="00956231">
            <w:pPr>
              <w:widowControl w:val="0"/>
              <w:adjustRightInd w:val="0"/>
              <w:ind w:right="340"/>
              <w:jc w:val="right"/>
              <w:textAlignment w:val="baseline"/>
              <w:rPr>
                <w:sz w:val="20"/>
                <w:szCs w:val="20"/>
              </w:rPr>
            </w:pPr>
            <w:r w:rsidRPr="00956231">
              <w:rPr>
                <w:sz w:val="20"/>
                <w:szCs w:val="20"/>
              </w:rPr>
              <w:t>0.00</w:t>
            </w:r>
          </w:p>
        </w:tc>
        <w:tc>
          <w:tcPr>
            <w:tcW w:w="1417" w:type="dxa"/>
            <w:tcBorders>
              <w:top w:val="nil"/>
              <w:left w:val="single" w:sz="2" w:space="0" w:color="auto"/>
              <w:bottom w:val="nil"/>
              <w:right w:val="single" w:sz="2" w:space="0" w:color="auto"/>
            </w:tcBorders>
          </w:tcPr>
          <w:p w14:paraId="698D671A" w14:textId="77777777" w:rsidR="00956231" w:rsidRPr="00956231" w:rsidRDefault="00956231" w:rsidP="00956231">
            <w:pPr>
              <w:widowControl w:val="0"/>
              <w:adjustRightInd w:val="0"/>
              <w:ind w:right="227"/>
              <w:jc w:val="right"/>
              <w:textAlignment w:val="baseline"/>
              <w:rPr>
                <w:sz w:val="20"/>
                <w:szCs w:val="20"/>
              </w:rPr>
            </w:pPr>
            <w:r w:rsidRPr="00956231">
              <w:rPr>
                <w:sz w:val="20"/>
                <w:szCs w:val="20"/>
              </w:rPr>
              <w:t>0.00</w:t>
            </w:r>
          </w:p>
        </w:tc>
        <w:tc>
          <w:tcPr>
            <w:tcW w:w="1559" w:type="dxa"/>
            <w:tcBorders>
              <w:top w:val="nil"/>
              <w:left w:val="single" w:sz="2" w:space="0" w:color="auto"/>
              <w:bottom w:val="nil"/>
              <w:right w:val="single" w:sz="4" w:space="0" w:color="auto"/>
            </w:tcBorders>
          </w:tcPr>
          <w:p w14:paraId="70B94D20" w14:textId="77777777" w:rsidR="00956231" w:rsidRPr="00956231" w:rsidRDefault="00956231" w:rsidP="00956231">
            <w:pPr>
              <w:widowControl w:val="0"/>
              <w:adjustRightInd w:val="0"/>
              <w:ind w:right="454"/>
              <w:jc w:val="right"/>
              <w:textAlignment w:val="baseline"/>
              <w:rPr>
                <w:sz w:val="20"/>
                <w:szCs w:val="20"/>
              </w:rPr>
            </w:pPr>
            <w:r w:rsidRPr="00956231">
              <w:rPr>
                <w:sz w:val="20"/>
                <w:szCs w:val="20"/>
              </w:rPr>
              <w:t>N/E</w:t>
            </w:r>
          </w:p>
        </w:tc>
      </w:tr>
      <w:tr w:rsidR="00956231" w:rsidRPr="00956231" w14:paraId="5B85386F" w14:textId="77777777" w:rsidTr="00F31276">
        <w:trPr>
          <w:jc w:val="center"/>
        </w:trPr>
        <w:tc>
          <w:tcPr>
            <w:tcW w:w="2906" w:type="dxa"/>
            <w:tcBorders>
              <w:top w:val="nil"/>
              <w:left w:val="single" w:sz="4" w:space="0" w:color="auto"/>
              <w:bottom w:val="nil"/>
              <w:right w:val="single" w:sz="4" w:space="0" w:color="auto"/>
            </w:tcBorders>
          </w:tcPr>
          <w:p w14:paraId="52CBFC6C" w14:textId="77777777" w:rsidR="00956231" w:rsidRPr="00956231" w:rsidRDefault="00956231" w:rsidP="00956231">
            <w:pPr>
              <w:widowControl w:val="0"/>
              <w:adjustRightInd w:val="0"/>
              <w:ind w:left="113" w:right="-159"/>
              <w:jc w:val="both"/>
              <w:textAlignment w:val="baseline"/>
              <w:rPr>
                <w:sz w:val="20"/>
                <w:szCs w:val="20"/>
              </w:rPr>
            </w:pPr>
            <w:r w:rsidRPr="00956231">
              <w:rPr>
                <w:sz w:val="20"/>
                <w:szCs w:val="20"/>
              </w:rPr>
              <w:t>Efectivo y Especie</w:t>
            </w:r>
          </w:p>
        </w:tc>
        <w:tc>
          <w:tcPr>
            <w:tcW w:w="1489" w:type="dxa"/>
            <w:tcBorders>
              <w:top w:val="nil"/>
              <w:left w:val="single" w:sz="4" w:space="0" w:color="auto"/>
              <w:bottom w:val="nil"/>
              <w:right w:val="single" w:sz="2" w:space="0" w:color="auto"/>
            </w:tcBorders>
          </w:tcPr>
          <w:p w14:paraId="769FA52E" w14:textId="77777777" w:rsidR="00956231" w:rsidRPr="00956231" w:rsidRDefault="00956231" w:rsidP="00956231">
            <w:pPr>
              <w:widowControl w:val="0"/>
              <w:adjustRightInd w:val="0"/>
              <w:ind w:right="340"/>
              <w:jc w:val="right"/>
              <w:textAlignment w:val="baseline"/>
              <w:rPr>
                <w:sz w:val="20"/>
                <w:szCs w:val="20"/>
              </w:rPr>
            </w:pPr>
            <w:r w:rsidRPr="00956231">
              <w:rPr>
                <w:sz w:val="20"/>
                <w:szCs w:val="20"/>
              </w:rPr>
              <w:t>0.14</w:t>
            </w:r>
          </w:p>
        </w:tc>
        <w:tc>
          <w:tcPr>
            <w:tcW w:w="1417" w:type="dxa"/>
            <w:tcBorders>
              <w:top w:val="nil"/>
              <w:left w:val="single" w:sz="2" w:space="0" w:color="auto"/>
              <w:bottom w:val="nil"/>
              <w:right w:val="single" w:sz="2" w:space="0" w:color="auto"/>
            </w:tcBorders>
          </w:tcPr>
          <w:p w14:paraId="6590CFC4" w14:textId="77777777" w:rsidR="00956231" w:rsidRPr="00956231" w:rsidRDefault="00956231" w:rsidP="00956231">
            <w:pPr>
              <w:widowControl w:val="0"/>
              <w:adjustRightInd w:val="0"/>
              <w:ind w:right="227"/>
              <w:jc w:val="right"/>
              <w:textAlignment w:val="baseline"/>
              <w:rPr>
                <w:sz w:val="20"/>
                <w:szCs w:val="20"/>
              </w:rPr>
            </w:pPr>
            <w:r w:rsidRPr="00956231">
              <w:rPr>
                <w:sz w:val="20"/>
                <w:szCs w:val="20"/>
              </w:rPr>
              <w:t>0.15</w:t>
            </w:r>
          </w:p>
        </w:tc>
        <w:tc>
          <w:tcPr>
            <w:tcW w:w="1559" w:type="dxa"/>
            <w:tcBorders>
              <w:top w:val="nil"/>
              <w:left w:val="single" w:sz="2" w:space="0" w:color="auto"/>
              <w:bottom w:val="nil"/>
              <w:right w:val="single" w:sz="4" w:space="0" w:color="auto"/>
            </w:tcBorders>
          </w:tcPr>
          <w:p w14:paraId="7F7F8E5B" w14:textId="77777777" w:rsidR="00956231" w:rsidRPr="00956231" w:rsidRDefault="00956231" w:rsidP="00956231">
            <w:pPr>
              <w:widowControl w:val="0"/>
              <w:adjustRightInd w:val="0"/>
              <w:ind w:right="454"/>
              <w:jc w:val="right"/>
              <w:textAlignment w:val="baseline"/>
              <w:rPr>
                <w:sz w:val="20"/>
                <w:szCs w:val="20"/>
              </w:rPr>
            </w:pPr>
            <w:r w:rsidRPr="00956231">
              <w:rPr>
                <w:sz w:val="20"/>
                <w:szCs w:val="20"/>
              </w:rPr>
              <w:t>7.28</w:t>
            </w:r>
          </w:p>
        </w:tc>
      </w:tr>
      <w:tr w:rsidR="00956231" w:rsidRPr="00956231" w14:paraId="3FE44C10" w14:textId="77777777" w:rsidTr="00F31276">
        <w:trPr>
          <w:jc w:val="center"/>
        </w:trPr>
        <w:tc>
          <w:tcPr>
            <w:tcW w:w="2906" w:type="dxa"/>
            <w:tcBorders>
              <w:top w:val="nil"/>
              <w:left w:val="single" w:sz="4" w:space="0" w:color="auto"/>
              <w:bottom w:val="nil"/>
              <w:right w:val="single" w:sz="4" w:space="0" w:color="auto"/>
            </w:tcBorders>
          </w:tcPr>
          <w:p w14:paraId="20D2F270" w14:textId="77777777" w:rsidR="00956231" w:rsidRPr="00956231" w:rsidRDefault="00956231" w:rsidP="00956231">
            <w:pPr>
              <w:widowControl w:val="0"/>
              <w:adjustRightInd w:val="0"/>
              <w:ind w:right="-159"/>
              <w:jc w:val="both"/>
              <w:textAlignment w:val="baseline"/>
              <w:rPr>
                <w:sz w:val="20"/>
                <w:szCs w:val="20"/>
              </w:rPr>
            </w:pPr>
            <w:r w:rsidRPr="00956231">
              <w:rPr>
                <w:sz w:val="20"/>
                <w:szCs w:val="20"/>
              </w:rPr>
              <w:t>Remesa promedio</w:t>
            </w:r>
            <w:r w:rsidRPr="00956231">
              <w:rPr>
                <w:rFonts w:ascii="Times" w:hAnsi="Times"/>
                <w:sz w:val="20"/>
                <w:szCs w:val="20"/>
                <w:u w:val="single"/>
                <w:vertAlign w:val="superscript"/>
              </w:rPr>
              <w:t>3</w:t>
            </w:r>
            <w:r w:rsidRPr="00956231">
              <w:rPr>
                <w:rFonts w:ascii="Times" w:hAnsi="Times"/>
                <w:sz w:val="20"/>
                <w:szCs w:val="20"/>
                <w:vertAlign w:val="superscript"/>
              </w:rPr>
              <w:t>/</w:t>
            </w:r>
          </w:p>
        </w:tc>
        <w:tc>
          <w:tcPr>
            <w:tcW w:w="1489" w:type="dxa"/>
            <w:tcBorders>
              <w:top w:val="nil"/>
              <w:left w:val="single" w:sz="4" w:space="0" w:color="auto"/>
              <w:bottom w:val="nil"/>
              <w:right w:val="single" w:sz="2" w:space="0" w:color="auto"/>
            </w:tcBorders>
          </w:tcPr>
          <w:p w14:paraId="57AB6CAE" w14:textId="77777777" w:rsidR="00956231" w:rsidRPr="00956231" w:rsidRDefault="00956231" w:rsidP="00956231">
            <w:pPr>
              <w:widowControl w:val="0"/>
              <w:adjustRightInd w:val="0"/>
              <w:ind w:right="340"/>
              <w:jc w:val="right"/>
              <w:textAlignment w:val="baseline"/>
              <w:rPr>
                <w:sz w:val="20"/>
                <w:szCs w:val="20"/>
              </w:rPr>
            </w:pPr>
            <w:r w:rsidRPr="00956231">
              <w:rPr>
                <w:sz w:val="20"/>
                <w:szCs w:val="20"/>
              </w:rPr>
              <w:t>292.47</w:t>
            </w:r>
          </w:p>
        </w:tc>
        <w:tc>
          <w:tcPr>
            <w:tcW w:w="1417" w:type="dxa"/>
            <w:tcBorders>
              <w:top w:val="nil"/>
              <w:left w:val="single" w:sz="2" w:space="0" w:color="auto"/>
              <w:bottom w:val="nil"/>
              <w:right w:val="single" w:sz="2" w:space="0" w:color="auto"/>
            </w:tcBorders>
          </w:tcPr>
          <w:p w14:paraId="66753FAD" w14:textId="77777777" w:rsidR="00956231" w:rsidRPr="00956231" w:rsidRDefault="00956231" w:rsidP="00956231">
            <w:pPr>
              <w:widowControl w:val="0"/>
              <w:adjustRightInd w:val="0"/>
              <w:ind w:right="227"/>
              <w:jc w:val="right"/>
              <w:textAlignment w:val="baseline"/>
              <w:rPr>
                <w:sz w:val="20"/>
                <w:szCs w:val="20"/>
              </w:rPr>
            </w:pPr>
            <w:r w:rsidRPr="00956231">
              <w:rPr>
                <w:sz w:val="20"/>
                <w:szCs w:val="20"/>
              </w:rPr>
              <w:t>289.08</w:t>
            </w:r>
          </w:p>
        </w:tc>
        <w:tc>
          <w:tcPr>
            <w:tcW w:w="1559" w:type="dxa"/>
            <w:tcBorders>
              <w:top w:val="nil"/>
              <w:left w:val="single" w:sz="2" w:space="0" w:color="auto"/>
              <w:bottom w:val="nil"/>
              <w:right w:val="single" w:sz="4" w:space="0" w:color="auto"/>
            </w:tcBorders>
          </w:tcPr>
          <w:p w14:paraId="3B18C257" w14:textId="77777777" w:rsidR="00956231" w:rsidRPr="00956231" w:rsidRDefault="00956231" w:rsidP="00956231">
            <w:pPr>
              <w:widowControl w:val="0"/>
              <w:adjustRightInd w:val="0"/>
              <w:ind w:right="454"/>
              <w:jc w:val="right"/>
              <w:textAlignment w:val="baseline"/>
              <w:rPr>
                <w:sz w:val="20"/>
                <w:szCs w:val="20"/>
              </w:rPr>
            </w:pPr>
            <w:r w:rsidRPr="00956231">
              <w:rPr>
                <w:sz w:val="20"/>
                <w:szCs w:val="20"/>
              </w:rPr>
              <w:t>-1.16</w:t>
            </w:r>
          </w:p>
        </w:tc>
      </w:tr>
      <w:tr w:rsidR="00956231" w:rsidRPr="00956231" w14:paraId="11358D41" w14:textId="77777777" w:rsidTr="00F31276">
        <w:trPr>
          <w:jc w:val="center"/>
        </w:trPr>
        <w:tc>
          <w:tcPr>
            <w:tcW w:w="2906" w:type="dxa"/>
            <w:tcBorders>
              <w:top w:val="nil"/>
              <w:left w:val="single" w:sz="4" w:space="0" w:color="auto"/>
              <w:bottom w:val="nil"/>
              <w:right w:val="single" w:sz="4" w:space="0" w:color="auto"/>
            </w:tcBorders>
          </w:tcPr>
          <w:p w14:paraId="3446CE17" w14:textId="77777777" w:rsidR="00956231" w:rsidRPr="00956231" w:rsidRDefault="00956231" w:rsidP="00956231">
            <w:pPr>
              <w:widowControl w:val="0"/>
              <w:adjustRightInd w:val="0"/>
              <w:ind w:left="113" w:right="-159"/>
              <w:jc w:val="both"/>
              <w:textAlignment w:val="baseline"/>
              <w:rPr>
                <w:sz w:val="20"/>
                <w:szCs w:val="20"/>
              </w:rPr>
            </w:pPr>
            <w:r w:rsidRPr="00956231">
              <w:rPr>
                <w:sz w:val="20"/>
                <w:szCs w:val="20"/>
              </w:rPr>
              <w:t>Transferencias Electrónicas</w:t>
            </w:r>
          </w:p>
        </w:tc>
        <w:tc>
          <w:tcPr>
            <w:tcW w:w="1489" w:type="dxa"/>
            <w:tcBorders>
              <w:top w:val="nil"/>
              <w:left w:val="single" w:sz="4" w:space="0" w:color="auto"/>
              <w:bottom w:val="nil"/>
              <w:right w:val="single" w:sz="2" w:space="0" w:color="auto"/>
            </w:tcBorders>
          </w:tcPr>
          <w:p w14:paraId="1B5D1EC0" w14:textId="77777777" w:rsidR="00956231" w:rsidRPr="00956231" w:rsidRDefault="00956231" w:rsidP="00956231">
            <w:pPr>
              <w:widowControl w:val="0"/>
              <w:adjustRightInd w:val="0"/>
              <w:ind w:right="340"/>
              <w:jc w:val="right"/>
              <w:textAlignment w:val="baseline"/>
              <w:rPr>
                <w:sz w:val="20"/>
                <w:szCs w:val="20"/>
              </w:rPr>
            </w:pPr>
            <w:r w:rsidRPr="00956231">
              <w:rPr>
                <w:sz w:val="20"/>
                <w:szCs w:val="20"/>
              </w:rPr>
              <w:t>288.16</w:t>
            </w:r>
          </w:p>
        </w:tc>
        <w:tc>
          <w:tcPr>
            <w:tcW w:w="1417" w:type="dxa"/>
            <w:tcBorders>
              <w:top w:val="nil"/>
              <w:left w:val="single" w:sz="2" w:space="0" w:color="auto"/>
              <w:bottom w:val="nil"/>
              <w:right w:val="single" w:sz="2" w:space="0" w:color="auto"/>
            </w:tcBorders>
          </w:tcPr>
          <w:p w14:paraId="5E716FC9" w14:textId="77777777" w:rsidR="00956231" w:rsidRPr="00956231" w:rsidRDefault="00956231" w:rsidP="00956231">
            <w:pPr>
              <w:widowControl w:val="0"/>
              <w:adjustRightInd w:val="0"/>
              <w:ind w:right="227"/>
              <w:jc w:val="right"/>
              <w:textAlignment w:val="baseline"/>
              <w:rPr>
                <w:sz w:val="20"/>
                <w:szCs w:val="20"/>
              </w:rPr>
            </w:pPr>
            <w:r w:rsidRPr="00956231">
              <w:rPr>
                <w:sz w:val="20"/>
                <w:szCs w:val="20"/>
              </w:rPr>
              <w:t>285.36</w:t>
            </w:r>
          </w:p>
        </w:tc>
        <w:tc>
          <w:tcPr>
            <w:tcW w:w="1559" w:type="dxa"/>
            <w:tcBorders>
              <w:top w:val="nil"/>
              <w:left w:val="single" w:sz="2" w:space="0" w:color="auto"/>
              <w:bottom w:val="nil"/>
              <w:right w:val="single" w:sz="4" w:space="0" w:color="auto"/>
            </w:tcBorders>
          </w:tcPr>
          <w:p w14:paraId="40DA4929" w14:textId="77777777" w:rsidR="00956231" w:rsidRPr="00956231" w:rsidRDefault="00956231" w:rsidP="00956231">
            <w:pPr>
              <w:widowControl w:val="0"/>
              <w:adjustRightInd w:val="0"/>
              <w:ind w:right="454"/>
              <w:jc w:val="right"/>
              <w:textAlignment w:val="baseline"/>
              <w:rPr>
                <w:sz w:val="20"/>
                <w:szCs w:val="20"/>
              </w:rPr>
            </w:pPr>
            <w:r w:rsidRPr="00956231">
              <w:rPr>
                <w:sz w:val="20"/>
                <w:szCs w:val="20"/>
              </w:rPr>
              <w:t>-0.97</w:t>
            </w:r>
          </w:p>
        </w:tc>
      </w:tr>
      <w:tr w:rsidR="00956231" w:rsidRPr="00956231" w14:paraId="49282B2C" w14:textId="77777777" w:rsidTr="00F31276">
        <w:trPr>
          <w:jc w:val="center"/>
        </w:trPr>
        <w:tc>
          <w:tcPr>
            <w:tcW w:w="2906" w:type="dxa"/>
            <w:tcBorders>
              <w:top w:val="nil"/>
              <w:left w:val="single" w:sz="4" w:space="0" w:color="auto"/>
              <w:bottom w:val="nil"/>
              <w:right w:val="single" w:sz="4" w:space="0" w:color="auto"/>
            </w:tcBorders>
          </w:tcPr>
          <w:p w14:paraId="4E78A48B" w14:textId="77777777" w:rsidR="00956231" w:rsidRPr="00956231" w:rsidRDefault="00956231" w:rsidP="00956231">
            <w:pPr>
              <w:widowControl w:val="0"/>
              <w:adjustRightInd w:val="0"/>
              <w:ind w:left="113" w:right="-159"/>
              <w:jc w:val="both"/>
              <w:textAlignment w:val="baseline"/>
              <w:rPr>
                <w:i/>
                <w:sz w:val="20"/>
                <w:szCs w:val="20"/>
              </w:rPr>
            </w:pPr>
            <w:r w:rsidRPr="00956231">
              <w:rPr>
                <w:i/>
                <w:sz w:val="20"/>
                <w:szCs w:val="20"/>
              </w:rPr>
              <w:t xml:space="preserve">Money </w:t>
            </w:r>
            <w:proofErr w:type="spellStart"/>
            <w:r w:rsidRPr="00956231">
              <w:rPr>
                <w:i/>
                <w:sz w:val="20"/>
                <w:szCs w:val="20"/>
              </w:rPr>
              <w:t>Orders</w:t>
            </w:r>
            <w:proofErr w:type="spellEnd"/>
          </w:p>
        </w:tc>
        <w:tc>
          <w:tcPr>
            <w:tcW w:w="1489" w:type="dxa"/>
            <w:tcBorders>
              <w:top w:val="nil"/>
              <w:left w:val="single" w:sz="4" w:space="0" w:color="auto"/>
              <w:bottom w:val="nil"/>
              <w:right w:val="single" w:sz="2" w:space="0" w:color="auto"/>
            </w:tcBorders>
          </w:tcPr>
          <w:p w14:paraId="054D4F9A" w14:textId="77777777" w:rsidR="00956231" w:rsidRPr="00956231" w:rsidRDefault="00956231" w:rsidP="00956231">
            <w:pPr>
              <w:widowControl w:val="0"/>
              <w:adjustRightInd w:val="0"/>
              <w:ind w:right="340"/>
              <w:jc w:val="right"/>
              <w:textAlignment w:val="baseline"/>
              <w:rPr>
                <w:sz w:val="20"/>
                <w:szCs w:val="20"/>
              </w:rPr>
            </w:pPr>
            <w:r w:rsidRPr="00956231">
              <w:rPr>
                <w:sz w:val="20"/>
                <w:szCs w:val="20"/>
              </w:rPr>
              <w:t>516.48</w:t>
            </w:r>
          </w:p>
        </w:tc>
        <w:tc>
          <w:tcPr>
            <w:tcW w:w="1417" w:type="dxa"/>
            <w:tcBorders>
              <w:top w:val="nil"/>
              <w:left w:val="single" w:sz="2" w:space="0" w:color="auto"/>
              <w:bottom w:val="nil"/>
              <w:right w:val="single" w:sz="2" w:space="0" w:color="auto"/>
            </w:tcBorders>
          </w:tcPr>
          <w:p w14:paraId="01F37807" w14:textId="77777777" w:rsidR="00956231" w:rsidRPr="00956231" w:rsidRDefault="00956231" w:rsidP="00956231">
            <w:pPr>
              <w:widowControl w:val="0"/>
              <w:adjustRightInd w:val="0"/>
              <w:ind w:right="227"/>
              <w:jc w:val="right"/>
              <w:textAlignment w:val="baseline"/>
              <w:rPr>
                <w:sz w:val="20"/>
                <w:szCs w:val="20"/>
              </w:rPr>
            </w:pPr>
            <w:r w:rsidRPr="00956231">
              <w:rPr>
                <w:sz w:val="20"/>
                <w:szCs w:val="20"/>
              </w:rPr>
              <w:t>515.95</w:t>
            </w:r>
          </w:p>
        </w:tc>
        <w:tc>
          <w:tcPr>
            <w:tcW w:w="1559" w:type="dxa"/>
            <w:tcBorders>
              <w:top w:val="nil"/>
              <w:left w:val="single" w:sz="2" w:space="0" w:color="auto"/>
              <w:bottom w:val="nil"/>
              <w:right w:val="single" w:sz="4" w:space="0" w:color="auto"/>
            </w:tcBorders>
          </w:tcPr>
          <w:p w14:paraId="7450570B" w14:textId="77777777" w:rsidR="00956231" w:rsidRPr="00956231" w:rsidRDefault="00956231" w:rsidP="00956231">
            <w:pPr>
              <w:widowControl w:val="0"/>
              <w:adjustRightInd w:val="0"/>
              <w:ind w:right="454"/>
              <w:jc w:val="right"/>
              <w:textAlignment w:val="baseline"/>
              <w:rPr>
                <w:sz w:val="20"/>
                <w:szCs w:val="20"/>
              </w:rPr>
            </w:pPr>
            <w:r w:rsidRPr="00956231">
              <w:rPr>
                <w:sz w:val="20"/>
                <w:szCs w:val="20"/>
              </w:rPr>
              <w:t>-0.10</w:t>
            </w:r>
          </w:p>
        </w:tc>
      </w:tr>
      <w:tr w:rsidR="00956231" w:rsidRPr="00956231" w14:paraId="389D4079" w14:textId="77777777" w:rsidTr="00F31276">
        <w:trPr>
          <w:jc w:val="center"/>
        </w:trPr>
        <w:tc>
          <w:tcPr>
            <w:tcW w:w="2906" w:type="dxa"/>
            <w:tcBorders>
              <w:top w:val="nil"/>
              <w:left w:val="single" w:sz="4" w:space="0" w:color="auto"/>
              <w:bottom w:val="nil"/>
              <w:right w:val="single" w:sz="4" w:space="0" w:color="auto"/>
            </w:tcBorders>
          </w:tcPr>
          <w:p w14:paraId="250D103A" w14:textId="77777777" w:rsidR="00956231" w:rsidRPr="00956231" w:rsidRDefault="00956231" w:rsidP="00956231">
            <w:pPr>
              <w:widowControl w:val="0"/>
              <w:adjustRightInd w:val="0"/>
              <w:ind w:left="113" w:right="-159"/>
              <w:jc w:val="both"/>
              <w:textAlignment w:val="baseline"/>
              <w:rPr>
                <w:sz w:val="20"/>
                <w:szCs w:val="20"/>
              </w:rPr>
            </w:pPr>
            <w:r w:rsidRPr="00956231">
              <w:rPr>
                <w:sz w:val="20"/>
                <w:szCs w:val="20"/>
              </w:rPr>
              <w:t>Cheques Personales</w:t>
            </w:r>
          </w:p>
        </w:tc>
        <w:tc>
          <w:tcPr>
            <w:tcW w:w="1489" w:type="dxa"/>
            <w:tcBorders>
              <w:top w:val="nil"/>
              <w:left w:val="single" w:sz="4" w:space="0" w:color="auto"/>
              <w:bottom w:val="nil"/>
              <w:right w:val="single" w:sz="2" w:space="0" w:color="auto"/>
            </w:tcBorders>
          </w:tcPr>
          <w:p w14:paraId="0134415D" w14:textId="77777777" w:rsidR="00956231" w:rsidRPr="00956231" w:rsidRDefault="00956231" w:rsidP="00956231">
            <w:pPr>
              <w:widowControl w:val="0"/>
              <w:adjustRightInd w:val="0"/>
              <w:ind w:right="340"/>
              <w:jc w:val="right"/>
              <w:textAlignment w:val="baseline"/>
              <w:rPr>
                <w:sz w:val="20"/>
                <w:szCs w:val="20"/>
              </w:rPr>
            </w:pPr>
            <w:r w:rsidRPr="00956231">
              <w:rPr>
                <w:sz w:val="20"/>
                <w:szCs w:val="20"/>
              </w:rPr>
              <w:t>0.00</w:t>
            </w:r>
          </w:p>
        </w:tc>
        <w:tc>
          <w:tcPr>
            <w:tcW w:w="1417" w:type="dxa"/>
            <w:tcBorders>
              <w:top w:val="nil"/>
              <w:left w:val="single" w:sz="2" w:space="0" w:color="auto"/>
              <w:bottom w:val="nil"/>
              <w:right w:val="single" w:sz="2" w:space="0" w:color="auto"/>
            </w:tcBorders>
          </w:tcPr>
          <w:p w14:paraId="4CBC3A6B" w14:textId="77777777" w:rsidR="00956231" w:rsidRPr="00956231" w:rsidRDefault="00956231" w:rsidP="00956231">
            <w:pPr>
              <w:widowControl w:val="0"/>
              <w:adjustRightInd w:val="0"/>
              <w:ind w:right="227"/>
              <w:jc w:val="right"/>
              <w:textAlignment w:val="baseline"/>
              <w:rPr>
                <w:sz w:val="20"/>
                <w:szCs w:val="20"/>
              </w:rPr>
            </w:pPr>
            <w:r w:rsidRPr="00956231">
              <w:rPr>
                <w:sz w:val="20"/>
                <w:szCs w:val="20"/>
              </w:rPr>
              <w:t>0.00</w:t>
            </w:r>
          </w:p>
        </w:tc>
        <w:tc>
          <w:tcPr>
            <w:tcW w:w="1559" w:type="dxa"/>
            <w:tcBorders>
              <w:top w:val="nil"/>
              <w:left w:val="single" w:sz="2" w:space="0" w:color="auto"/>
              <w:bottom w:val="nil"/>
              <w:right w:val="single" w:sz="4" w:space="0" w:color="auto"/>
            </w:tcBorders>
          </w:tcPr>
          <w:p w14:paraId="6C19E619" w14:textId="77777777" w:rsidR="00956231" w:rsidRPr="00956231" w:rsidRDefault="00956231" w:rsidP="00956231">
            <w:pPr>
              <w:widowControl w:val="0"/>
              <w:adjustRightInd w:val="0"/>
              <w:ind w:right="454"/>
              <w:jc w:val="right"/>
              <w:textAlignment w:val="baseline"/>
              <w:rPr>
                <w:sz w:val="20"/>
                <w:szCs w:val="20"/>
              </w:rPr>
            </w:pPr>
            <w:r w:rsidRPr="00956231">
              <w:rPr>
                <w:sz w:val="20"/>
                <w:szCs w:val="20"/>
              </w:rPr>
              <w:t>N/E</w:t>
            </w:r>
          </w:p>
        </w:tc>
      </w:tr>
      <w:tr w:rsidR="00956231" w:rsidRPr="00956231" w14:paraId="000D6C97" w14:textId="77777777" w:rsidTr="00F31276">
        <w:trPr>
          <w:jc w:val="center"/>
        </w:trPr>
        <w:tc>
          <w:tcPr>
            <w:tcW w:w="2906" w:type="dxa"/>
            <w:tcBorders>
              <w:top w:val="nil"/>
              <w:left w:val="single" w:sz="4" w:space="0" w:color="auto"/>
              <w:bottom w:val="single" w:sz="4" w:space="0" w:color="auto"/>
              <w:right w:val="single" w:sz="4" w:space="0" w:color="auto"/>
            </w:tcBorders>
          </w:tcPr>
          <w:p w14:paraId="03BF314F" w14:textId="77777777" w:rsidR="00956231" w:rsidRPr="00956231" w:rsidRDefault="00956231" w:rsidP="00956231">
            <w:pPr>
              <w:widowControl w:val="0"/>
              <w:adjustRightInd w:val="0"/>
              <w:ind w:left="113" w:right="-159"/>
              <w:jc w:val="both"/>
              <w:textAlignment w:val="baseline"/>
              <w:rPr>
                <w:sz w:val="20"/>
                <w:szCs w:val="20"/>
              </w:rPr>
            </w:pPr>
            <w:r w:rsidRPr="00956231">
              <w:rPr>
                <w:sz w:val="20"/>
                <w:szCs w:val="20"/>
              </w:rPr>
              <w:t>Efectivo y Especie</w:t>
            </w:r>
          </w:p>
        </w:tc>
        <w:tc>
          <w:tcPr>
            <w:tcW w:w="1489" w:type="dxa"/>
            <w:tcBorders>
              <w:top w:val="nil"/>
              <w:left w:val="single" w:sz="4" w:space="0" w:color="auto"/>
              <w:bottom w:val="single" w:sz="4" w:space="0" w:color="auto"/>
              <w:right w:val="single" w:sz="2" w:space="0" w:color="auto"/>
            </w:tcBorders>
          </w:tcPr>
          <w:p w14:paraId="58D364E3" w14:textId="77777777" w:rsidR="00956231" w:rsidRPr="00956231" w:rsidRDefault="00956231" w:rsidP="00956231">
            <w:pPr>
              <w:widowControl w:val="0"/>
              <w:adjustRightInd w:val="0"/>
              <w:ind w:right="340"/>
              <w:jc w:val="right"/>
              <w:textAlignment w:val="baseline"/>
              <w:rPr>
                <w:sz w:val="20"/>
                <w:szCs w:val="20"/>
              </w:rPr>
            </w:pPr>
            <w:r w:rsidRPr="00956231">
              <w:rPr>
                <w:sz w:val="20"/>
                <w:szCs w:val="20"/>
              </w:rPr>
              <w:t>425.38</w:t>
            </w:r>
          </w:p>
        </w:tc>
        <w:tc>
          <w:tcPr>
            <w:tcW w:w="1417" w:type="dxa"/>
            <w:tcBorders>
              <w:top w:val="nil"/>
              <w:left w:val="single" w:sz="2" w:space="0" w:color="auto"/>
              <w:bottom w:val="single" w:sz="4" w:space="0" w:color="auto"/>
              <w:right w:val="single" w:sz="2" w:space="0" w:color="auto"/>
            </w:tcBorders>
          </w:tcPr>
          <w:p w14:paraId="40D2335A" w14:textId="77777777" w:rsidR="00956231" w:rsidRPr="00956231" w:rsidRDefault="00956231" w:rsidP="00956231">
            <w:pPr>
              <w:widowControl w:val="0"/>
              <w:adjustRightInd w:val="0"/>
              <w:ind w:right="227"/>
              <w:jc w:val="right"/>
              <w:textAlignment w:val="baseline"/>
              <w:rPr>
                <w:sz w:val="20"/>
                <w:szCs w:val="20"/>
              </w:rPr>
            </w:pPr>
            <w:r w:rsidRPr="00956231">
              <w:rPr>
                <w:sz w:val="20"/>
                <w:szCs w:val="20"/>
              </w:rPr>
              <w:t>474.45</w:t>
            </w:r>
          </w:p>
        </w:tc>
        <w:tc>
          <w:tcPr>
            <w:tcW w:w="1559" w:type="dxa"/>
            <w:tcBorders>
              <w:top w:val="nil"/>
              <w:left w:val="single" w:sz="2" w:space="0" w:color="auto"/>
              <w:bottom w:val="single" w:sz="4" w:space="0" w:color="auto"/>
              <w:right w:val="single" w:sz="4" w:space="0" w:color="auto"/>
            </w:tcBorders>
          </w:tcPr>
          <w:p w14:paraId="5B08EA32" w14:textId="77777777" w:rsidR="00956231" w:rsidRPr="00956231" w:rsidRDefault="00956231" w:rsidP="00956231">
            <w:pPr>
              <w:widowControl w:val="0"/>
              <w:adjustRightInd w:val="0"/>
              <w:ind w:right="454"/>
              <w:jc w:val="right"/>
              <w:textAlignment w:val="baseline"/>
              <w:rPr>
                <w:sz w:val="20"/>
                <w:szCs w:val="20"/>
              </w:rPr>
            </w:pPr>
            <w:r w:rsidRPr="00956231">
              <w:rPr>
                <w:sz w:val="20"/>
                <w:szCs w:val="20"/>
              </w:rPr>
              <w:t>11.53</w:t>
            </w:r>
          </w:p>
        </w:tc>
      </w:tr>
      <w:tr w:rsidR="00956231" w:rsidRPr="00956231" w14:paraId="10D78094" w14:textId="77777777" w:rsidTr="00956231">
        <w:trPr>
          <w:jc w:val="center"/>
        </w:trPr>
        <w:tc>
          <w:tcPr>
            <w:tcW w:w="7371" w:type="dxa"/>
            <w:gridSpan w:val="4"/>
            <w:tcBorders>
              <w:top w:val="single" w:sz="4" w:space="0" w:color="auto"/>
              <w:left w:val="nil"/>
              <w:bottom w:val="nil"/>
              <w:right w:val="nil"/>
            </w:tcBorders>
          </w:tcPr>
          <w:p w14:paraId="1E0B89F7" w14:textId="77777777" w:rsidR="00956231" w:rsidRPr="00956231" w:rsidRDefault="00956231" w:rsidP="00956231">
            <w:pPr>
              <w:widowControl w:val="0"/>
              <w:adjustRightInd w:val="0"/>
              <w:ind w:left="510" w:hanging="510"/>
              <w:jc w:val="both"/>
              <w:textAlignment w:val="baseline"/>
              <w:rPr>
                <w:rFonts w:ascii="Times" w:hAnsi="Times"/>
                <w:sz w:val="20"/>
                <w:szCs w:val="20"/>
              </w:rPr>
            </w:pPr>
            <w:r w:rsidRPr="00956231">
              <w:rPr>
                <w:rFonts w:ascii="Times" w:hAnsi="Times"/>
                <w:sz w:val="20"/>
                <w:szCs w:val="20"/>
              </w:rPr>
              <w:t>Nota: Las cifras de remesas familiares tienen el carácter de preliminar y están sujetas a revisiones posteriores.</w:t>
            </w:r>
          </w:p>
          <w:p w14:paraId="3BB8898C" w14:textId="77777777" w:rsidR="00956231" w:rsidRPr="00956231" w:rsidRDefault="00956231" w:rsidP="00956231">
            <w:pPr>
              <w:widowControl w:val="0"/>
              <w:adjustRightInd w:val="0"/>
              <w:jc w:val="both"/>
              <w:textAlignment w:val="baseline"/>
              <w:rPr>
                <w:rFonts w:ascii="Times" w:hAnsi="Times"/>
                <w:sz w:val="20"/>
                <w:szCs w:val="20"/>
              </w:rPr>
            </w:pPr>
            <w:r w:rsidRPr="00956231">
              <w:rPr>
                <w:rFonts w:ascii="Times" w:hAnsi="Times"/>
                <w:sz w:val="20"/>
                <w:szCs w:val="20"/>
                <w:u w:val="single"/>
              </w:rPr>
              <w:t>1</w:t>
            </w:r>
            <w:r w:rsidRPr="00956231">
              <w:rPr>
                <w:rFonts w:ascii="Times" w:hAnsi="Times"/>
                <w:sz w:val="20"/>
                <w:szCs w:val="20"/>
              </w:rPr>
              <w:t>/ Los conceptos referentes a remesas totales se expresan en millones de dólares.</w:t>
            </w:r>
          </w:p>
          <w:p w14:paraId="3181858B" w14:textId="77777777" w:rsidR="00956231" w:rsidRPr="00956231" w:rsidRDefault="00956231" w:rsidP="00956231">
            <w:pPr>
              <w:widowControl w:val="0"/>
              <w:adjustRightInd w:val="0"/>
              <w:jc w:val="both"/>
              <w:textAlignment w:val="baseline"/>
              <w:rPr>
                <w:rFonts w:ascii="Times" w:hAnsi="Times"/>
                <w:sz w:val="20"/>
                <w:szCs w:val="20"/>
              </w:rPr>
            </w:pPr>
            <w:r w:rsidRPr="00956231">
              <w:rPr>
                <w:rFonts w:ascii="Times" w:hAnsi="Times"/>
                <w:sz w:val="20"/>
                <w:szCs w:val="20"/>
                <w:u w:val="single"/>
              </w:rPr>
              <w:t>2</w:t>
            </w:r>
            <w:r w:rsidRPr="00956231">
              <w:rPr>
                <w:rFonts w:ascii="Times" w:hAnsi="Times"/>
                <w:sz w:val="20"/>
                <w:szCs w:val="20"/>
              </w:rPr>
              <w:t>/ Los conceptos referentes a número de remesas se expresan en millones de operaciones.</w:t>
            </w:r>
          </w:p>
          <w:p w14:paraId="50ECFC7D" w14:textId="77777777" w:rsidR="00956231" w:rsidRPr="00956231" w:rsidRDefault="00956231" w:rsidP="00956231">
            <w:pPr>
              <w:widowControl w:val="0"/>
              <w:adjustRightInd w:val="0"/>
              <w:jc w:val="both"/>
              <w:textAlignment w:val="baseline"/>
              <w:rPr>
                <w:rFonts w:ascii="Times" w:hAnsi="Times"/>
                <w:sz w:val="20"/>
                <w:szCs w:val="20"/>
              </w:rPr>
            </w:pPr>
            <w:r w:rsidRPr="00956231">
              <w:rPr>
                <w:rFonts w:ascii="Times" w:hAnsi="Times"/>
                <w:sz w:val="20"/>
                <w:szCs w:val="20"/>
                <w:u w:val="single"/>
              </w:rPr>
              <w:t>3</w:t>
            </w:r>
            <w:r w:rsidRPr="00956231">
              <w:rPr>
                <w:rFonts w:ascii="Times" w:hAnsi="Times"/>
                <w:sz w:val="20"/>
                <w:szCs w:val="20"/>
              </w:rPr>
              <w:t>/ Los conceptos referentes a remesa promedio se expresan en dólares.</w:t>
            </w:r>
          </w:p>
          <w:p w14:paraId="2E9F1CD4" w14:textId="77777777" w:rsidR="00956231" w:rsidRPr="00956231" w:rsidRDefault="00956231" w:rsidP="00956231">
            <w:pPr>
              <w:widowControl w:val="0"/>
              <w:adjustRightInd w:val="0"/>
              <w:jc w:val="both"/>
              <w:textAlignment w:val="baseline"/>
              <w:rPr>
                <w:rFonts w:ascii="Times" w:hAnsi="Times"/>
                <w:sz w:val="20"/>
                <w:szCs w:val="20"/>
              </w:rPr>
            </w:pPr>
            <w:r w:rsidRPr="00956231">
              <w:rPr>
                <w:rFonts w:ascii="Times" w:hAnsi="Times"/>
                <w:sz w:val="20"/>
                <w:szCs w:val="20"/>
              </w:rPr>
              <w:t>N/E = No existe.</w:t>
            </w:r>
          </w:p>
          <w:p w14:paraId="2921CD8E" w14:textId="77777777" w:rsidR="00956231" w:rsidRPr="00956231" w:rsidRDefault="00956231" w:rsidP="00956231">
            <w:pPr>
              <w:widowControl w:val="0"/>
              <w:adjustRightInd w:val="0"/>
              <w:jc w:val="both"/>
              <w:textAlignment w:val="baseline"/>
              <w:rPr>
                <w:sz w:val="20"/>
                <w:szCs w:val="20"/>
              </w:rPr>
            </w:pPr>
            <w:r w:rsidRPr="00956231">
              <w:rPr>
                <w:rFonts w:ascii="Times" w:hAnsi="Times"/>
                <w:sz w:val="20"/>
                <w:szCs w:val="20"/>
              </w:rPr>
              <w:t>FUENTE: Banco de México.</w:t>
            </w:r>
          </w:p>
        </w:tc>
      </w:tr>
      <w:bookmarkEnd w:id="18"/>
    </w:tbl>
    <w:p w14:paraId="366C65E3" w14:textId="77777777" w:rsidR="00956231" w:rsidRDefault="00956231" w:rsidP="00956231">
      <w:pPr>
        <w:spacing w:after="360" w:line="360" w:lineRule="auto"/>
        <w:ind w:right="-159"/>
        <w:jc w:val="both"/>
        <w:rPr>
          <w:sz w:val="26"/>
          <w:szCs w:val="26"/>
          <w:lang w:val="es-ES"/>
        </w:rPr>
      </w:pPr>
    </w:p>
    <w:p w14:paraId="778D912D" w14:textId="77777777" w:rsidR="00956231" w:rsidRPr="00956231" w:rsidRDefault="00956231" w:rsidP="00956231">
      <w:pPr>
        <w:spacing w:after="360" w:line="360" w:lineRule="auto"/>
        <w:ind w:right="-159"/>
        <w:jc w:val="both"/>
        <w:rPr>
          <w:b/>
          <w:sz w:val="26"/>
          <w:szCs w:val="26"/>
          <w:lang w:val="es-ES"/>
        </w:rPr>
      </w:pPr>
      <w:r w:rsidRPr="00956231">
        <w:rPr>
          <w:b/>
          <w:sz w:val="26"/>
          <w:szCs w:val="26"/>
          <w:lang w:val="es-ES"/>
        </w:rPr>
        <w:t>Remesas mensuales</w:t>
      </w:r>
    </w:p>
    <w:p w14:paraId="0D0751C7" w14:textId="77777777" w:rsidR="00956231" w:rsidRPr="00956231" w:rsidRDefault="00956231" w:rsidP="00956231">
      <w:pPr>
        <w:spacing w:after="360" w:line="360" w:lineRule="auto"/>
        <w:ind w:right="-159"/>
        <w:jc w:val="both"/>
        <w:rPr>
          <w:sz w:val="26"/>
          <w:szCs w:val="26"/>
        </w:rPr>
      </w:pPr>
      <w:r w:rsidRPr="00956231">
        <w:rPr>
          <w:sz w:val="26"/>
          <w:szCs w:val="26"/>
        </w:rPr>
        <w:t xml:space="preserve">Durante febrero de 2015, las remesas del exterior ascendieron a 1 mil 839.15 millones de dólares, cifra 13.05% mayor a la observada en el mes inmediato anterior </w:t>
      </w:r>
      <w:r w:rsidRPr="00956231">
        <w:rPr>
          <w:sz w:val="26"/>
          <w:szCs w:val="26"/>
          <w:lang w:val="es-ES"/>
        </w:rPr>
        <w:t>(1 mil 626.90 millones de dólares).</w:t>
      </w:r>
    </w:p>
    <w:p w14:paraId="6CD8FE75" w14:textId="77777777" w:rsidR="00956231" w:rsidRDefault="00956231" w:rsidP="00956231">
      <w:pPr>
        <w:spacing w:after="360" w:line="360" w:lineRule="auto"/>
        <w:ind w:right="-159"/>
        <w:jc w:val="center"/>
      </w:pPr>
      <w:r w:rsidRPr="00956231">
        <w:lastRenderedPageBreak/>
        <w:fldChar w:fldCharType="begin"/>
      </w:r>
      <w:r w:rsidRPr="00956231">
        <w:instrText xml:space="preserve"> LINK PowerPoint.Slide.8 "D:\\2015\\ABRIL\\GRÁFICAS POWER POINT\\6.- GRÁFICAS DE REMESAS.pptx!264" "" \a \p </w:instrText>
      </w:r>
      <w:r w:rsidRPr="00956231">
        <w:fldChar w:fldCharType="separate"/>
      </w:r>
      <w:r w:rsidRPr="00956231">
        <w:rPr>
          <w:noProof/>
          <w:lang w:eastAsia="es-MX"/>
        </w:rPr>
        <w:drawing>
          <wp:inline distT="0" distB="0" distL="0" distR="0" wp14:anchorId="4751F769" wp14:editId="2E8D5721">
            <wp:extent cx="4306570" cy="3169285"/>
            <wp:effectExtent l="0" t="0" r="0" b="0"/>
            <wp:docPr id="1598" name="Imagen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74" cstate="print">
                      <a:extLst>
                        <a:ext uri="{28A0092B-C50C-407E-A947-70E740481C1C}">
                          <a14:useLocalDpi xmlns:a14="http://schemas.microsoft.com/office/drawing/2010/main" val="0"/>
                        </a:ext>
                      </a:extLst>
                    </a:blip>
                    <a:srcRect l="3340" t="4445" r="2296" b="3055"/>
                    <a:stretch>
                      <a:fillRect/>
                    </a:stretch>
                  </pic:blipFill>
                  <pic:spPr bwMode="auto">
                    <a:xfrm>
                      <a:off x="0" y="0"/>
                      <a:ext cx="4306570" cy="3169285"/>
                    </a:xfrm>
                    <a:prstGeom prst="rect">
                      <a:avLst/>
                    </a:prstGeom>
                    <a:noFill/>
                    <a:ln>
                      <a:noFill/>
                    </a:ln>
                  </pic:spPr>
                </pic:pic>
              </a:graphicData>
            </a:graphic>
          </wp:inline>
        </w:drawing>
      </w:r>
      <w:r w:rsidRPr="00956231">
        <w:fldChar w:fldCharType="end"/>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8"/>
        <w:gridCol w:w="1246"/>
        <w:gridCol w:w="1247"/>
        <w:gridCol w:w="1248"/>
        <w:gridCol w:w="1246"/>
        <w:gridCol w:w="1251"/>
      </w:tblGrid>
      <w:tr w:rsidR="00956231" w:rsidRPr="00956231" w14:paraId="244A21A5" w14:textId="77777777" w:rsidTr="00956231">
        <w:trPr>
          <w:jc w:val="center"/>
        </w:trPr>
        <w:tc>
          <w:tcPr>
            <w:tcW w:w="8906" w:type="dxa"/>
            <w:gridSpan w:val="6"/>
            <w:tcBorders>
              <w:top w:val="nil"/>
              <w:left w:val="nil"/>
              <w:bottom w:val="single" w:sz="4" w:space="0" w:color="auto"/>
              <w:right w:val="nil"/>
            </w:tcBorders>
          </w:tcPr>
          <w:p w14:paraId="5BA6AD10" w14:textId="77777777" w:rsidR="00956231" w:rsidRPr="00956231" w:rsidRDefault="00956231" w:rsidP="00956231">
            <w:pPr>
              <w:jc w:val="center"/>
              <w:rPr>
                <w:b/>
                <w:sz w:val="22"/>
                <w:szCs w:val="22"/>
              </w:rPr>
            </w:pPr>
            <w:r w:rsidRPr="00956231">
              <w:rPr>
                <w:b/>
                <w:sz w:val="22"/>
                <w:szCs w:val="22"/>
              </w:rPr>
              <w:t>INGRESOS POR REMESAS FAMILIARES</w:t>
            </w:r>
          </w:p>
        </w:tc>
      </w:tr>
      <w:tr w:rsidR="00956231" w:rsidRPr="00956231" w14:paraId="7880C861" w14:textId="77777777" w:rsidTr="00956231">
        <w:trPr>
          <w:jc w:val="center"/>
        </w:trPr>
        <w:tc>
          <w:tcPr>
            <w:tcW w:w="2668" w:type="dxa"/>
            <w:tcBorders>
              <w:top w:val="single" w:sz="4" w:space="0" w:color="auto"/>
              <w:left w:val="single" w:sz="4" w:space="0" w:color="auto"/>
              <w:bottom w:val="nil"/>
              <w:right w:val="single" w:sz="4" w:space="0" w:color="auto"/>
            </w:tcBorders>
          </w:tcPr>
          <w:p w14:paraId="4AF980D2" w14:textId="77777777" w:rsidR="00956231" w:rsidRPr="00956231" w:rsidRDefault="00956231" w:rsidP="00956231">
            <w:pPr>
              <w:jc w:val="center"/>
              <w:rPr>
                <w:b/>
                <w:sz w:val="20"/>
                <w:szCs w:val="20"/>
              </w:rPr>
            </w:pPr>
          </w:p>
        </w:tc>
        <w:tc>
          <w:tcPr>
            <w:tcW w:w="1246" w:type="dxa"/>
            <w:tcBorders>
              <w:top w:val="single" w:sz="4" w:space="0" w:color="auto"/>
              <w:left w:val="single" w:sz="4" w:space="0" w:color="auto"/>
              <w:bottom w:val="single" w:sz="4" w:space="0" w:color="auto"/>
              <w:right w:val="single" w:sz="4" w:space="0" w:color="auto"/>
            </w:tcBorders>
          </w:tcPr>
          <w:p w14:paraId="60CFD5DF" w14:textId="77777777" w:rsidR="00956231" w:rsidRPr="00956231" w:rsidRDefault="00956231" w:rsidP="00956231">
            <w:pPr>
              <w:jc w:val="center"/>
              <w:rPr>
                <w:b/>
                <w:sz w:val="20"/>
                <w:szCs w:val="20"/>
              </w:rPr>
            </w:pPr>
            <w:r w:rsidRPr="00956231">
              <w:rPr>
                <w:b/>
                <w:sz w:val="20"/>
                <w:szCs w:val="20"/>
              </w:rPr>
              <w:t>2013</w:t>
            </w:r>
          </w:p>
        </w:tc>
        <w:tc>
          <w:tcPr>
            <w:tcW w:w="2495" w:type="dxa"/>
            <w:gridSpan w:val="2"/>
            <w:tcBorders>
              <w:top w:val="single" w:sz="4" w:space="0" w:color="auto"/>
              <w:left w:val="single" w:sz="4" w:space="0" w:color="auto"/>
              <w:bottom w:val="single" w:sz="4" w:space="0" w:color="auto"/>
              <w:right w:val="single" w:sz="4" w:space="0" w:color="auto"/>
            </w:tcBorders>
          </w:tcPr>
          <w:p w14:paraId="204CC732" w14:textId="77777777" w:rsidR="00956231" w:rsidRPr="00956231" w:rsidRDefault="00956231" w:rsidP="00956231">
            <w:pPr>
              <w:jc w:val="center"/>
              <w:rPr>
                <w:b/>
                <w:sz w:val="20"/>
                <w:szCs w:val="20"/>
              </w:rPr>
            </w:pPr>
            <w:r w:rsidRPr="00956231">
              <w:rPr>
                <w:b/>
                <w:sz w:val="20"/>
                <w:szCs w:val="20"/>
              </w:rPr>
              <w:t>2014</w:t>
            </w:r>
          </w:p>
        </w:tc>
        <w:tc>
          <w:tcPr>
            <w:tcW w:w="2497" w:type="dxa"/>
            <w:gridSpan w:val="2"/>
            <w:tcBorders>
              <w:top w:val="single" w:sz="4" w:space="0" w:color="auto"/>
              <w:left w:val="single" w:sz="4" w:space="0" w:color="auto"/>
              <w:bottom w:val="single" w:sz="4" w:space="0" w:color="auto"/>
              <w:right w:val="single" w:sz="4" w:space="0" w:color="auto"/>
            </w:tcBorders>
          </w:tcPr>
          <w:p w14:paraId="3C829451" w14:textId="77777777" w:rsidR="00956231" w:rsidRPr="00956231" w:rsidRDefault="00956231" w:rsidP="00956231">
            <w:pPr>
              <w:jc w:val="center"/>
              <w:rPr>
                <w:b/>
                <w:sz w:val="20"/>
                <w:szCs w:val="20"/>
              </w:rPr>
            </w:pPr>
            <w:r w:rsidRPr="00956231">
              <w:rPr>
                <w:b/>
                <w:sz w:val="20"/>
                <w:szCs w:val="20"/>
              </w:rPr>
              <w:t>2015</w:t>
            </w:r>
          </w:p>
        </w:tc>
      </w:tr>
      <w:tr w:rsidR="00956231" w:rsidRPr="00956231" w14:paraId="198F040D" w14:textId="77777777" w:rsidTr="00956231">
        <w:trPr>
          <w:jc w:val="center"/>
        </w:trPr>
        <w:tc>
          <w:tcPr>
            <w:tcW w:w="2668" w:type="dxa"/>
            <w:tcBorders>
              <w:top w:val="nil"/>
              <w:left w:val="single" w:sz="4" w:space="0" w:color="auto"/>
              <w:bottom w:val="single" w:sz="4" w:space="0" w:color="auto"/>
              <w:right w:val="single" w:sz="4" w:space="0" w:color="auto"/>
            </w:tcBorders>
          </w:tcPr>
          <w:p w14:paraId="7F943316" w14:textId="77777777" w:rsidR="00956231" w:rsidRPr="00956231" w:rsidRDefault="00956231" w:rsidP="00956231">
            <w:pPr>
              <w:jc w:val="center"/>
              <w:rPr>
                <w:b/>
                <w:sz w:val="20"/>
                <w:szCs w:val="20"/>
              </w:rPr>
            </w:pPr>
          </w:p>
        </w:tc>
        <w:tc>
          <w:tcPr>
            <w:tcW w:w="1246" w:type="dxa"/>
            <w:tcBorders>
              <w:top w:val="single" w:sz="4" w:space="0" w:color="auto"/>
              <w:left w:val="single" w:sz="4" w:space="0" w:color="auto"/>
              <w:bottom w:val="single" w:sz="4" w:space="0" w:color="auto"/>
              <w:right w:val="single" w:sz="4" w:space="0" w:color="auto"/>
            </w:tcBorders>
          </w:tcPr>
          <w:p w14:paraId="7378CAF3" w14:textId="77777777" w:rsidR="00956231" w:rsidRPr="00956231" w:rsidRDefault="00956231" w:rsidP="00956231">
            <w:pPr>
              <w:jc w:val="center"/>
              <w:rPr>
                <w:b/>
                <w:sz w:val="20"/>
                <w:szCs w:val="20"/>
              </w:rPr>
            </w:pPr>
            <w:r w:rsidRPr="00956231">
              <w:rPr>
                <w:b/>
                <w:sz w:val="20"/>
                <w:szCs w:val="20"/>
              </w:rPr>
              <w:t>Diciembre</w:t>
            </w:r>
          </w:p>
        </w:tc>
        <w:tc>
          <w:tcPr>
            <w:tcW w:w="1247" w:type="dxa"/>
            <w:tcBorders>
              <w:top w:val="single" w:sz="4" w:space="0" w:color="auto"/>
              <w:left w:val="single" w:sz="4" w:space="0" w:color="auto"/>
              <w:bottom w:val="single" w:sz="4" w:space="0" w:color="auto"/>
              <w:right w:val="single" w:sz="4" w:space="0" w:color="auto"/>
            </w:tcBorders>
          </w:tcPr>
          <w:p w14:paraId="7C0EC522" w14:textId="77777777" w:rsidR="00956231" w:rsidRPr="00956231" w:rsidRDefault="00956231" w:rsidP="00956231">
            <w:pPr>
              <w:jc w:val="center"/>
              <w:rPr>
                <w:b/>
                <w:sz w:val="20"/>
                <w:szCs w:val="20"/>
              </w:rPr>
            </w:pPr>
            <w:r w:rsidRPr="00956231">
              <w:rPr>
                <w:b/>
                <w:sz w:val="20"/>
                <w:szCs w:val="20"/>
              </w:rPr>
              <w:t>Noviembre</w:t>
            </w:r>
          </w:p>
        </w:tc>
        <w:tc>
          <w:tcPr>
            <w:tcW w:w="1248" w:type="dxa"/>
            <w:tcBorders>
              <w:top w:val="single" w:sz="4" w:space="0" w:color="auto"/>
              <w:left w:val="single" w:sz="4" w:space="0" w:color="auto"/>
              <w:bottom w:val="single" w:sz="4" w:space="0" w:color="auto"/>
              <w:right w:val="single" w:sz="4" w:space="0" w:color="auto"/>
            </w:tcBorders>
          </w:tcPr>
          <w:p w14:paraId="5DADA91A" w14:textId="77777777" w:rsidR="00956231" w:rsidRPr="00956231" w:rsidRDefault="00956231" w:rsidP="00956231">
            <w:pPr>
              <w:jc w:val="center"/>
              <w:rPr>
                <w:b/>
                <w:sz w:val="20"/>
                <w:szCs w:val="20"/>
              </w:rPr>
            </w:pPr>
            <w:r w:rsidRPr="00956231">
              <w:rPr>
                <w:b/>
                <w:sz w:val="20"/>
                <w:szCs w:val="20"/>
              </w:rPr>
              <w:t>Diciembre</w:t>
            </w:r>
          </w:p>
        </w:tc>
        <w:tc>
          <w:tcPr>
            <w:tcW w:w="1246" w:type="dxa"/>
            <w:tcBorders>
              <w:top w:val="single" w:sz="4" w:space="0" w:color="auto"/>
              <w:left w:val="single" w:sz="4" w:space="0" w:color="auto"/>
              <w:bottom w:val="single" w:sz="4" w:space="0" w:color="auto"/>
              <w:right w:val="single" w:sz="4" w:space="0" w:color="auto"/>
            </w:tcBorders>
          </w:tcPr>
          <w:p w14:paraId="6A3D3F1B" w14:textId="77777777" w:rsidR="00956231" w:rsidRPr="00956231" w:rsidRDefault="00956231" w:rsidP="00956231">
            <w:pPr>
              <w:jc w:val="center"/>
              <w:rPr>
                <w:b/>
                <w:sz w:val="20"/>
                <w:szCs w:val="20"/>
              </w:rPr>
            </w:pPr>
            <w:r w:rsidRPr="00956231">
              <w:rPr>
                <w:b/>
                <w:sz w:val="20"/>
                <w:szCs w:val="20"/>
              </w:rPr>
              <w:t>Enero</w:t>
            </w:r>
          </w:p>
        </w:tc>
        <w:tc>
          <w:tcPr>
            <w:tcW w:w="1251" w:type="dxa"/>
            <w:tcBorders>
              <w:top w:val="single" w:sz="4" w:space="0" w:color="auto"/>
              <w:left w:val="single" w:sz="4" w:space="0" w:color="auto"/>
              <w:bottom w:val="single" w:sz="4" w:space="0" w:color="auto"/>
              <w:right w:val="single" w:sz="4" w:space="0" w:color="auto"/>
            </w:tcBorders>
          </w:tcPr>
          <w:p w14:paraId="4AAAE7E4" w14:textId="77777777" w:rsidR="00956231" w:rsidRPr="00956231" w:rsidRDefault="00956231" w:rsidP="00956231">
            <w:pPr>
              <w:jc w:val="center"/>
              <w:rPr>
                <w:b/>
                <w:sz w:val="20"/>
                <w:szCs w:val="20"/>
              </w:rPr>
            </w:pPr>
            <w:r w:rsidRPr="00956231">
              <w:rPr>
                <w:b/>
                <w:sz w:val="20"/>
                <w:szCs w:val="20"/>
              </w:rPr>
              <w:t>Febrero</w:t>
            </w:r>
          </w:p>
        </w:tc>
      </w:tr>
      <w:tr w:rsidR="00956231" w:rsidRPr="00956231" w14:paraId="054EEFFB" w14:textId="77777777" w:rsidTr="00956231">
        <w:trPr>
          <w:jc w:val="center"/>
        </w:trPr>
        <w:tc>
          <w:tcPr>
            <w:tcW w:w="2668" w:type="dxa"/>
            <w:tcBorders>
              <w:top w:val="single" w:sz="4" w:space="0" w:color="auto"/>
              <w:left w:val="single" w:sz="4" w:space="0" w:color="auto"/>
              <w:bottom w:val="nil"/>
              <w:right w:val="single" w:sz="4" w:space="0" w:color="auto"/>
            </w:tcBorders>
          </w:tcPr>
          <w:p w14:paraId="1E9B219E" w14:textId="77777777" w:rsidR="00956231" w:rsidRPr="00956231" w:rsidRDefault="00956231" w:rsidP="00956231">
            <w:pPr>
              <w:rPr>
                <w:b/>
                <w:sz w:val="20"/>
                <w:szCs w:val="20"/>
              </w:rPr>
            </w:pPr>
            <w:r w:rsidRPr="00956231">
              <w:rPr>
                <w:b/>
                <w:sz w:val="20"/>
                <w:szCs w:val="20"/>
              </w:rPr>
              <w:t xml:space="preserve">Remesas Totales </w:t>
            </w:r>
          </w:p>
          <w:p w14:paraId="40657B65" w14:textId="77777777" w:rsidR="00956231" w:rsidRPr="00956231" w:rsidRDefault="00956231" w:rsidP="00956231">
            <w:pPr>
              <w:rPr>
                <w:b/>
                <w:sz w:val="20"/>
                <w:szCs w:val="20"/>
              </w:rPr>
            </w:pPr>
            <w:r w:rsidRPr="00956231">
              <w:rPr>
                <w:b/>
                <w:sz w:val="20"/>
                <w:szCs w:val="20"/>
              </w:rPr>
              <w:t>(Millones de dólares)</w:t>
            </w:r>
          </w:p>
        </w:tc>
        <w:tc>
          <w:tcPr>
            <w:tcW w:w="1246" w:type="dxa"/>
            <w:tcBorders>
              <w:top w:val="single" w:sz="4" w:space="0" w:color="auto"/>
              <w:left w:val="single" w:sz="4" w:space="0" w:color="auto"/>
              <w:bottom w:val="nil"/>
              <w:right w:val="single" w:sz="4" w:space="0" w:color="auto"/>
            </w:tcBorders>
            <w:vAlign w:val="center"/>
          </w:tcPr>
          <w:p w14:paraId="103BB918" w14:textId="77777777" w:rsidR="00956231" w:rsidRPr="00956231" w:rsidRDefault="00956231" w:rsidP="00956231">
            <w:pPr>
              <w:ind w:right="170"/>
              <w:jc w:val="right"/>
              <w:rPr>
                <w:b/>
                <w:sz w:val="20"/>
                <w:szCs w:val="20"/>
              </w:rPr>
            </w:pPr>
            <w:r w:rsidRPr="00956231">
              <w:rPr>
                <w:b/>
                <w:sz w:val="20"/>
                <w:szCs w:val="20"/>
              </w:rPr>
              <w:t>1 849.50</w:t>
            </w:r>
          </w:p>
        </w:tc>
        <w:tc>
          <w:tcPr>
            <w:tcW w:w="1247" w:type="dxa"/>
            <w:tcBorders>
              <w:top w:val="single" w:sz="4" w:space="0" w:color="auto"/>
              <w:left w:val="single" w:sz="4" w:space="0" w:color="auto"/>
              <w:bottom w:val="nil"/>
              <w:right w:val="single" w:sz="4" w:space="0" w:color="auto"/>
            </w:tcBorders>
            <w:vAlign w:val="center"/>
          </w:tcPr>
          <w:p w14:paraId="5E389AAB" w14:textId="77777777" w:rsidR="00956231" w:rsidRPr="00956231" w:rsidRDefault="00956231" w:rsidP="00956231">
            <w:pPr>
              <w:ind w:right="170"/>
              <w:jc w:val="right"/>
              <w:rPr>
                <w:b/>
                <w:sz w:val="20"/>
                <w:szCs w:val="20"/>
              </w:rPr>
            </w:pPr>
            <w:r w:rsidRPr="00956231">
              <w:rPr>
                <w:b/>
                <w:sz w:val="20"/>
                <w:szCs w:val="20"/>
              </w:rPr>
              <w:t>1 775.39</w:t>
            </w:r>
          </w:p>
        </w:tc>
        <w:tc>
          <w:tcPr>
            <w:tcW w:w="1248" w:type="dxa"/>
            <w:tcBorders>
              <w:top w:val="single" w:sz="4" w:space="0" w:color="auto"/>
              <w:left w:val="single" w:sz="4" w:space="0" w:color="auto"/>
              <w:bottom w:val="nil"/>
              <w:right w:val="single" w:sz="4" w:space="0" w:color="auto"/>
            </w:tcBorders>
            <w:vAlign w:val="center"/>
          </w:tcPr>
          <w:p w14:paraId="3C9280DE" w14:textId="77777777" w:rsidR="00956231" w:rsidRPr="00956231" w:rsidRDefault="00956231" w:rsidP="00956231">
            <w:pPr>
              <w:ind w:right="170"/>
              <w:jc w:val="right"/>
              <w:rPr>
                <w:b/>
                <w:sz w:val="20"/>
                <w:szCs w:val="20"/>
              </w:rPr>
            </w:pPr>
            <w:r w:rsidRPr="00956231">
              <w:rPr>
                <w:b/>
                <w:sz w:val="20"/>
                <w:szCs w:val="20"/>
              </w:rPr>
              <w:t>2 234.59</w:t>
            </w:r>
          </w:p>
        </w:tc>
        <w:tc>
          <w:tcPr>
            <w:tcW w:w="1246" w:type="dxa"/>
            <w:tcBorders>
              <w:top w:val="single" w:sz="4" w:space="0" w:color="auto"/>
              <w:left w:val="single" w:sz="4" w:space="0" w:color="auto"/>
              <w:bottom w:val="nil"/>
              <w:right w:val="single" w:sz="4" w:space="0" w:color="auto"/>
            </w:tcBorders>
            <w:vAlign w:val="center"/>
          </w:tcPr>
          <w:p w14:paraId="5B6689F5" w14:textId="77777777" w:rsidR="00956231" w:rsidRPr="00956231" w:rsidRDefault="00956231" w:rsidP="00956231">
            <w:pPr>
              <w:ind w:right="170"/>
              <w:jc w:val="right"/>
              <w:rPr>
                <w:b/>
                <w:sz w:val="20"/>
                <w:szCs w:val="20"/>
              </w:rPr>
            </w:pPr>
            <w:r w:rsidRPr="00956231">
              <w:rPr>
                <w:b/>
                <w:sz w:val="20"/>
                <w:szCs w:val="20"/>
              </w:rPr>
              <w:t>1 626.90</w:t>
            </w:r>
          </w:p>
        </w:tc>
        <w:tc>
          <w:tcPr>
            <w:tcW w:w="1251" w:type="dxa"/>
            <w:tcBorders>
              <w:top w:val="single" w:sz="4" w:space="0" w:color="auto"/>
              <w:left w:val="single" w:sz="4" w:space="0" w:color="auto"/>
              <w:bottom w:val="nil"/>
              <w:right w:val="single" w:sz="4" w:space="0" w:color="auto"/>
            </w:tcBorders>
            <w:vAlign w:val="center"/>
          </w:tcPr>
          <w:p w14:paraId="07C75685" w14:textId="77777777" w:rsidR="00956231" w:rsidRPr="00956231" w:rsidRDefault="00956231" w:rsidP="00956231">
            <w:pPr>
              <w:ind w:right="170"/>
              <w:jc w:val="right"/>
              <w:rPr>
                <w:b/>
                <w:sz w:val="20"/>
                <w:szCs w:val="20"/>
              </w:rPr>
            </w:pPr>
            <w:r w:rsidRPr="00956231">
              <w:rPr>
                <w:b/>
                <w:sz w:val="20"/>
                <w:szCs w:val="20"/>
              </w:rPr>
              <w:t>1 839.15</w:t>
            </w:r>
          </w:p>
        </w:tc>
      </w:tr>
      <w:tr w:rsidR="00956231" w:rsidRPr="00956231" w14:paraId="5E321586" w14:textId="77777777" w:rsidTr="00956231">
        <w:trPr>
          <w:jc w:val="center"/>
        </w:trPr>
        <w:tc>
          <w:tcPr>
            <w:tcW w:w="2668" w:type="dxa"/>
            <w:tcBorders>
              <w:top w:val="nil"/>
              <w:left w:val="single" w:sz="4" w:space="0" w:color="auto"/>
              <w:bottom w:val="nil"/>
              <w:right w:val="single" w:sz="4" w:space="0" w:color="auto"/>
            </w:tcBorders>
          </w:tcPr>
          <w:p w14:paraId="4059247C" w14:textId="77777777" w:rsidR="00956231" w:rsidRPr="00956231" w:rsidRDefault="00956231" w:rsidP="00956231">
            <w:pPr>
              <w:rPr>
                <w:i/>
                <w:sz w:val="20"/>
                <w:szCs w:val="20"/>
              </w:rPr>
            </w:pPr>
            <w:r w:rsidRPr="00956231">
              <w:rPr>
                <w:sz w:val="20"/>
                <w:szCs w:val="20"/>
              </w:rPr>
              <w:t xml:space="preserve">   </w:t>
            </w:r>
            <w:r w:rsidRPr="00956231">
              <w:rPr>
                <w:i/>
                <w:sz w:val="20"/>
                <w:szCs w:val="20"/>
              </w:rPr>
              <w:t xml:space="preserve">Money </w:t>
            </w:r>
            <w:proofErr w:type="spellStart"/>
            <w:r w:rsidRPr="00956231">
              <w:rPr>
                <w:i/>
                <w:sz w:val="20"/>
                <w:szCs w:val="20"/>
              </w:rPr>
              <w:t>Orders</w:t>
            </w:r>
            <w:proofErr w:type="spellEnd"/>
          </w:p>
        </w:tc>
        <w:tc>
          <w:tcPr>
            <w:tcW w:w="1246" w:type="dxa"/>
            <w:tcBorders>
              <w:top w:val="nil"/>
              <w:left w:val="single" w:sz="4" w:space="0" w:color="auto"/>
              <w:bottom w:val="nil"/>
              <w:right w:val="single" w:sz="4" w:space="0" w:color="auto"/>
            </w:tcBorders>
          </w:tcPr>
          <w:p w14:paraId="36D97AA5" w14:textId="77777777" w:rsidR="00956231" w:rsidRPr="00956231" w:rsidRDefault="00956231" w:rsidP="00956231">
            <w:pPr>
              <w:ind w:right="170"/>
              <w:jc w:val="right"/>
              <w:rPr>
                <w:sz w:val="20"/>
                <w:szCs w:val="20"/>
              </w:rPr>
            </w:pPr>
            <w:r w:rsidRPr="00956231">
              <w:rPr>
                <w:sz w:val="20"/>
                <w:szCs w:val="20"/>
              </w:rPr>
              <w:t>42.08</w:t>
            </w:r>
          </w:p>
        </w:tc>
        <w:tc>
          <w:tcPr>
            <w:tcW w:w="1247" w:type="dxa"/>
            <w:tcBorders>
              <w:top w:val="nil"/>
              <w:left w:val="single" w:sz="4" w:space="0" w:color="auto"/>
              <w:bottom w:val="nil"/>
              <w:right w:val="single" w:sz="4" w:space="0" w:color="auto"/>
            </w:tcBorders>
          </w:tcPr>
          <w:p w14:paraId="5042DE5D" w14:textId="77777777" w:rsidR="00956231" w:rsidRPr="00956231" w:rsidRDefault="00956231" w:rsidP="00956231">
            <w:pPr>
              <w:ind w:right="170"/>
              <w:jc w:val="right"/>
              <w:rPr>
                <w:sz w:val="20"/>
                <w:szCs w:val="20"/>
              </w:rPr>
            </w:pPr>
            <w:r w:rsidRPr="00956231">
              <w:rPr>
                <w:sz w:val="20"/>
                <w:szCs w:val="20"/>
              </w:rPr>
              <w:t>16.13</w:t>
            </w:r>
          </w:p>
        </w:tc>
        <w:tc>
          <w:tcPr>
            <w:tcW w:w="1248" w:type="dxa"/>
            <w:tcBorders>
              <w:top w:val="nil"/>
              <w:left w:val="single" w:sz="4" w:space="0" w:color="auto"/>
              <w:bottom w:val="nil"/>
              <w:right w:val="single" w:sz="4" w:space="0" w:color="auto"/>
            </w:tcBorders>
          </w:tcPr>
          <w:p w14:paraId="30596822" w14:textId="77777777" w:rsidR="00956231" w:rsidRPr="00956231" w:rsidRDefault="00956231" w:rsidP="00956231">
            <w:pPr>
              <w:ind w:right="170"/>
              <w:jc w:val="right"/>
              <w:rPr>
                <w:sz w:val="20"/>
                <w:szCs w:val="20"/>
              </w:rPr>
            </w:pPr>
            <w:r w:rsidRPr="00956231">
              <w:rPr>
                <w:sz w:val="20"/>
                <w:szCs w:val="20"/>
              </w:rPr>
              <w:t>21.88</w:t>
            </w:r>
          </w:p>
        </w:tc>
        <w:tc>
          <w:tcPr>
            <w:tcW w:w="1246" w:type="dxa"/>
            <w:tcBorders>
              <w:top w:val="nil"/>
              <w:left w:val="single" w:sz="4" w:space="0" w:color="auto"/>
              <w:bottom w:val="nil"/>
              <w:right w:val="single" w:sz="4" w:space="0" w:color="auto"/>
            </w:tcBorders>
          </w:tcPr>
          <w:p w14:paraId="70FCABBA" w14:textId="77777777" w:rsidR="00956231" w:rsidRPr="00956231" w:rsidRDefault="00956231" w:rsidP="00956231">
            <w:pPr>
              <w:ind w:right="170"/>
              <w:jc w:val="right"/>
              <w:rPr>
                <w:sz w:val="20"/>
                <w:szCs w:val="20"/>
              </w:rPr>
            </w:pPr>
            <w:r w:rsidRPr="00956231">
              <w:rPr>
                <w:sz w:val="20"/>
                <w:szCs w:val="20"/>
              </w:rPr>
              <w:t>20.42</w:t>
            </w:r>
          </w:p>
        </w:tc>
        <w:tc>
          <w:tcPr>
            <w:tcW w:w="1251" w:type="dxa"/>
            <w:tcBorders>
              <w:top w:val="nil"/>
              <w:left w:val="single" w:sz="4" w:space="0" w:color="auto"/>
              <w:bottom w:val="nil"/>
              <w:right w:val="single" w:sz="4" w:space="0" w:color="auto"/>
            </w:tcBorders>
          </w:tcPr>
          <w:p w14:paraId="2854F46F" w14:textId="77777777" w:rsidR="00956231" w:rsidRPr="00956231" w:rsidRDefault="00956231" w:rsidP="00956231">
            <w:pPr>
              <w:ind w:right="170"/>
              <w:jc w:val="right"/>
              <w:rPr>
                <w:sz w:val="20"/>
                <w:szCs w:val="20"/>
              </w:rPr>
            </w:pPr>
            <w:r w:rsidRPr="00956231">
              <w:rPr>
                <w:sz w:val="20"/>
                <w:szCs w:val="20"/>
              </w:rPr>
              <w:t>14.32</w:t>
            </w:r>
          </w:p>
        </w:tc>
      </w:tr>
      <w:tr w:rsidR="00956231" w:rsidRPr="00956231" w14:paraId="2D26E611" w14:textId="77777777" w:rsidTr="00956231">
        <w:trPr>
          <w:jc w:val="center"/>
        </w:trPr>
        <w:tc>
          <w:tcPr>
            <w:tcW w:w="2668" w:type="dxa"/>
            <w:tcBorders>
              <w:top w:val="nil"/>
              <w:left w:val="single" w:sz="4" w:space="0" w:color="auto"/>
              <w:bottom w:val="nil"/>
              <w:right w:val="single" w:sz="4" w:space="0" w:color="auto"/>
            </w:tcBorders>
          </w:tcPr>
          <w:p w14:paraId="42708F4B" w14:textId="77777777" w:rsidR="00956231" w:rsidRPr="00956231" w:rsidRDefault="00956231" w:rsidP="00956231">
            <w:pPr>
              <w:rPr>
                <w:sz w:val="20"/>
                <w:szCs w:val="20"/>
              </w:rPr>
            </w:pPr>
            <w:r w:rsidRPr="00956231">
              <w:rPr>
                <w:sz w:val="20"/>
                <w:szCs w:val="20"/>
              </w:rPr>
              <w:t xml:space="preserve">   Cheques Personales</w:t>
            </w:r>
          </w:p>
        </w:tc>
        <w:tc>
          <w:tcPr>
            <w:tcW w:w="1246" w:type="dxa"/>
            <w:tcBorders>
              <w:top w:val="nil"/>
              <w:left w:val="single" w:sz="4" w:space="0" w:color="auto"/>
              <w:bottom w:val="nil"/>
              <w:right w:val="single" w:sz="4" w:space="0" w:color="auto"/>
            </w:tcBorders>
          </w:tcPr>
          <w:p w14:paraId="73361360" w14:textId="77777777" w:rsidR="00956231" w:rsidRPr="00956231" w:rsidRDefault="00956231" w:rsidP="00956231">
            <w:pPr>
              <w:ind w:right="170"/>
              <w:jc w:val="right"/>
              <w:rPr>
                <w:sz w:val="20"/>
                <w:szCs w:val="20"/>
              </w:rPr>
            </w:pPr>
            <w:r w:rsidRPr="00956231">
              <w:rPr>
                <w:sz w:val="20"/>
                <w:szCs w:val="20"/>
              </w:rPr>
              <w:t>0.00</w:t>
            </w:r>
          </w:p>
        </w:tc>
        <w:tc>
          <w:tcPr>
            <w:tcW w:w="1247" w:type="dxa"/>
            <w:tcBorders>
              <w:top w:val="nil"/>
              <w:left w:val="single" w:sz="4" w:space="0" w:color="auto"/>
              <w:bottom w:val="nil"/>
              <w:right w:val="single" w:sz="4" w:space="0" w:color="auto"/>
            </w:tcBorders>
          </w:tcPr>
          <w:p w14:paraId="7C922FA0" w14:textId="77777777" w:rsidR="00956231" w:rsidRPr="00956231" w:rsidRDefault="00956231" w:rsidP="00956231">
            <w:pPr>
              <w:ind w:right="170"/>
              <w:jc w:val="right"/>
              <w:rPr>
                <w:sz w:val="20"/>
                <w:szCs w:val="20"/>
              </w:rPr>
            </w:pPr>
            <w:r w:rsidRPr="00956231">
              <w:rPr>
                <w:sz w:val="20"/>
                <w:szCs w:val="20"/>
              </w:rPr>
              <w:t>0.00</w:t>
            </w:r>
          </w:p>
        </w:tc>
        <w:tc>
          <w:tcPr>
            <w:tcW w:w="1248" w:type="dxa"/>
            <w:tcBorders>
              <w:top w:val="nil"/>
              <w:left w:val="single" w:sz="4" w:space="0" w:color="auto"/>
              <w:bottom w:val="nil"/>
              <w:right w:val="single" w:sz="4" w:space="0" w:color="auto"/>
            </w:tcBorders>
          </w:tcPr>
          <w:p w14:paraId="0F3A00BE" w14:textId="77777777" w:rsidR="00956231" w:rsidRPr="00956231" w:rsidRDefault="00956231" w:rsidP="00956231">
            <w:pPr>
              <w:ind w:right="170"/>
              <w:jc w:val="right"/>
              <w:rPr>
                <w:sz w:val="20"/>
                <w:szCs w:val="20"/>
              </w:rPr>
            </w:pPr>
            <w:r w:rsidRPr="00956231">
              <w:rPr>
                <w:sz w:val="20"/>
                <w:szCs w:val="20"/>
              </w:rPr>
              <w:t>0.00</w:t>
            </w:r>
          </w:p>
        </w:tc>
        <w:tc>
          <w:tcPr>
            <w:tcW w:w="1246" w:type="dxa"/>
            <w:tcBorders>
              <w:top w:val="nil"/>
              <w:left w:val="single" w:sz="4" w:space="0" w:color="auto"/>
              <w:bottom w:val="nil"/>
              <w:right w:val="single" w:sz="4" w:space="0" w:color="auto"/>
            </w:tcBorders>
          </w:tcPr>
          <w:p w14:paraId="3F3B36FD" w14:textId="77777777" w:rsidR="00956231" w:rsidRPr="00956231" w:rsidRDefault="00956231" w:rsidP="00956231">
            <w:pPr>
              <w:ind w:right="170"/>
              <w:jc w:val="right"/>
              <w:rPr>
                <w:sz w:val="20"/>
                <w:szCs w:val="20"/>
              </w:rPr>
            </w:pPr>
            <w:r w:rsidRPr="00956231">
              <w:rPr>
                <w:sz w:val="20"/>
                <w:szCs w:val="20"/>
              </w:rPr>
              <w:t>0.00</w:t>
            </w:r>
          </w:p>
        </w:tc>
        <w:tc>
          <w:tcPr>
            <w:tcW w:w="1251" w:type="dxa"/>
            <w:tcBorders>
              <w:top w:val="nil"/>
              <w:left w:val="single" w:sz="4" w:space="0" w:color="auto"/>
              <w:bottom w:val="nil"/>
              <w:right w:val="single" w:sz="4" w:space="0" w:color="auto"/>
            </w:tcBorders>
          </w:tcPr>
          <w:p w14:paraId="5DB96A11" w14:textId="77777777" w:rsidR="00956231" w:rsidRPr="00956231" w:rsidRDefault="00956231" w:rsidP="00956231">
            <w:pPr>
              <w:ind w:right="170"/>
              <w:jc w:val="right"/>
              <w:rPr>
                <w:sz w:val="20"/>
                <w:szCs w:val="20"/>
              </w:rPr>
            </w:pPr>
            <w:r w:rsidRPr="00956231">
              <w:rPr>
                <w:sz w:val="20"/>
                <w:szCs w:val="20"/>
              </w:rPr>
              <w:t>0.00</w:t>
            </w:r>
          </w:p>
        </w:tc>
      </w:tr>
      <w:tr w:rsidR="00956231" w:rsidRPr="00956231" w14:paraId="1CBB8224" w14:textId="77777777" w:rsidTr="00956231">
        <w:trPr>
          <w:jc w:val="center"/>
        </w:trPr>
        <w:tc>
          <w:tcPr>
            <w:tcW w:w="2668" w:type="dxa"/>
            <w:tcBorders>
              <w:top w:val="nil"/>
              <w:left w:val="single" w:sz="4" w:space="0" w:color="auto"/>
              <w:bottom w:val="nil"/>
              <w:right w:val="single" w:sz="4" w:space="0" w:color="auto"/>
            </w:tcBorders>
          </w:tcPr>
          <w:p w14:paraId="4854F67D" w14:textId="77777777" w:rsidR="00956231" w:rsidRPr="00956231" w:rsidRDefault="00956231" w:rsidP="00956231">
            <w:pPr>
              <w:rPr>
                <w:sz w:val="20"/>
                <w:szCs w:val="20"/>
              </w:rPr>
            </w:pPr>
            <w:r w:rsidRPr="00956231">
              <w:rPr>
                <w:sz w:val="20"/>
                <w:szCs w:val="20"/>
              </w:rPr>
              <w:t xml:space="preserve">   Transferencias Electrónicas</w:t>
            </w:r>
          </w:p>
        </w:tc>
        <w:tc>
          <w:tcPr>
            <w:tcW w:w="1246" w:type="dxa"/>
            <w:tcBorders>
              <w:top w:val="nil"/>
              <w:left w:val="single" w:sz="4" w:space="0" w:color="auto"/>
              <w:bottom w:val="nil"/>
              <w:right w:val="single" w:sz="4" w:space="0" w:color="auto"/>
            </w:tcBorders>
          </w:tcPr>
          <w:p w14:paraId="7E80EADB" w14:textId="77777777" w:rsidR="00956231" w:rsidRPr="00956231" w:rsidRDefault="00956231" w:rsidP="00956231">
            <w:pPr>
              <w:ind w:right="170"/>
              <w:jc w:val="right"/>
              <w:rPr>
                <w:sz w:val="20"/>
                <w:szCs w:val="20"/>
              </w:rPr>
            </w:pPr>
            <w:r w:rsidRPr="00956231">
              <w:rPr>
                <w:sz w:val="20"/>
                <w:szCs w:val="20"/>
              </w:rPr>
              <w:t>1 755.54</w:t>
            </w:r>
          </w:p>
        </w:tc>
        <w:tc>
          <w:tcPr>
            <w:tcW w:w="1247" w:type="dxa"/>
            <w:tcBorders>
              <w:top w:val="nil"/>
              <w:left w:val="single" w:sz="4" w:space="0" w:color="auto"/>
              <w:bottom w:val="nil"/>
              <w:right w:val="single" w:sz="4" w:space="0" w:color="auto"/>
            </w:tcBorders>
          </w:tcPr>
          <w:p w14:paraId="32BEBE68" w14:textId="77777777" w:rsidR="00956231" w:rsidRPr="00956231" w:rsidRDefault="00956231" w:rsidP="00956231">
            <w:pPr>
              <w:ind w:right="170"/>
              <w:jc w:val="right"/>
              <w:rPr>
                <w:sz w:val="20"/>
                <w:szCs w:val="20"/>
              </w:rPr>
            </w:pPr>
            <w:r w:rsidRPr="00956231">
              <w:rPr>
                <w:sz w:val="20"/>
                <w:szCs w:val="20"/>
              </w:rPr>
              <w:t>1 725.97</w:t>
            </w:r>
          </w:p>
        </w:tc>
        <w:tc>
          <w:tcPr>
            <w:tcW w:w="1248" w:type="dxa"/>
            <w:tcBorders>
              <w:top w:val="nil"/>
              <w:left w:val="single" w:sz="4" w:space="0" w:color="auto"/>
              <w:bottom w:val="nil"/>
              <w:right w:val="single" w:sz="4" w:space="0" w:color="auto"/>
            </w:tcBorders>
          </w:tcPr>
          <w:p w14:paraId="5A9B7685" w14:textId="77777777" w:rsidR="00956231" w:rsidRPr="00956231" w:rsidRDefault="00956231" w:rsidP="00956231">
            <w:pPr>
              <w:ind w:right="170"/>
              <w:jc w:val="right"/>
              <w:rPr>
                <w:sz w:val="20"/>
                <w:szCs w:val="20"/>
              </w:rPr>
            </w:pPr>
            <w:r w:rsidRPr="00956231">
              <w:rPr>
                <w:sz w:val="20"/>
                <w:szCs w:val="20"/>
              </w:rPr>
              <w:t>2 126.52</w:t>
            </w:r>
          </w:p>
        </w:tc>
        <w:tc>
          <w:tcPr>
            <w:tcW w:w="1246" w:type="dxa"/>
            <w:tcBorders>
              <w:top w:val="nil"/>
              <w:left w:val="single" w:sz="4" w:space="0" w:color="auto"/>
              <w:bottom w:val="nil"/>
              <w:right w:val="single" w:sz="4" w:space="0" w:color="auto"/>
            </w:tcBorders>
          </w:tcPr>
          <w:p w14:paraId="191EA4E2" w14:textId="77777777" w:rsidR="00956231" w:rsidRPr="00956231" w:rsidRDefault="00956231" w:rsidP="00956231">
            <w:pPr>
              <w:ind w:right="170"/>
              <w:jc w:val="right"/>
              <w:rPr>
                <w:sz w:val="20"/>
                <w:szCs w:val="20"/>
              </w:rPr>
            </w:pPr>
            <w:r w:rsidRPr="00956231">
              <w:rPr>
                <w:sz w:val="20"/>
                <w:szCs w:val="20"/>
              </w:rPr>
              <w:t>1 566.08</w:t>
            </w:r>
          </w:p>
        </w:tc>
        <w:tc>
          <w:tcPr>
            <w:tcW w:w="1251" w:type="dxa"/>
            <w:tcBorders>
              <w:top w:val="nil"/>
              <w:left w:val="single" w:sz="4" w:space="0" w:color="auto"/>
              <w:bottom w:val="nil"/>
              <w:right w:val="single" w:sz="4" w:space="0" w:color="auto"/>
            </w:tcBorders>
          </w:tcPr>
          <w:p w14:paraId="47A84067" w14:textId="77777777" w:rsidR="00956231" w:rsidRPr="00956231" w:rsidRDefault="00956231" w:rsidP="00956231">
            <w:pPr>
              <w:ind w:right="170"/>
              <w:jc w:val="right"/>
              <w:rPr>
                <w:sz w:val="20"/>
                <w:szCs w:val="20"/>
              </w:rPr>
            </w:pPr>
            <w:r w:rsidRPr="00956231">
              <w:rPr>
                <w:sz w:val="20"/>
                <w:szCs w:val="20"/>
              </w:rPr>
              <w:t>1 792.22</w:t>
            </w:r>
          </w:p>
        </w:tc>
      </w:tr>
      <w:tr w:rsidR="00956231" w:rsidRPr="00956231" w14:paraId="6CDCA21F" w14:textId="77777777" w:rsidTr="00956231">
        <w:trPr>
          <w:jc w:val="center"/>
        </w:trPr>
        <w:tc>
          <w:tcPr>
            <w:tcW w:w="2668" w:type="dxa"/>
            <w:tcBorders>
              <w:top w:val="nil"/>
              <w:left w:val="single" w:sz="4" w:space="0" w:color="auto"/>
              <w:bottom w:val="nil"/>
              <w:right w:val="single" w:sz="4" w:space="0" w:color="auto"/>
            </w:tcBorders>
          </w:tcPr>
          <w:p w14:paraId="607C66EF" w14:textId="77777777" w:rsidR="00956231" w:rsidRPr="00956231" w:rsidRDefault="00956231" w:rsidP="00956231">
            <w:pPr>
              <w:rPr>
                <w:sz w:val="20"/>
                <w:szCs w:val="20"/>
              </w:rPr>
            </w:pPr>
            <w:r w:rsidRPr="00956231">
              <w:rPr>
                <w:sz w:val="20"/>
                <w:szCs w:val="20"/>
              </w:rPr>
              <w:t xml:space="preserve">   Efectivo y Especie</w:t>
            </w:r>
          </w:p>
        </w:tc>
        <w:tc>
          <w:tcPr>
            <w:tcW w:w="1246" w:type="dxa"/>
            <w:tcBorders>
              <w:top w:val="nil"/>
              <w:left w:val="single" w:sz="4" w:space="0" w:color="auto"/>
              <w:bottom w:val="nil"/>
              <w:right w:val="single" w:sz="4" w:space="0" w:color="auto"/>
            </w:tcBorders>
          </w:tcPr>
          <w:p w14:paraId="1F85C015" w14:textId="77777777" w:rsidR="00956231" w:rsidRPr="00956231" w:rsidRDefault="00956231" w:rsidP="00956231">
            <w:pPr>
              <w:ind w:right="170"/>
              <w:jc w:val="right"/>
              <w:rPr>
                <w:sz w:val="20"/>
                <w:szCs w:val="20"/>
              </w:rPr>
            </w:pPr>
            <w:r w:rsidRPr="00956231">
              <w:rPr>
                <w:sz w:val="20"/>
                <w:szCs w:val="20"/>
              </w:rPr>
              <w:t>51.87</w:t>
            </w:r>
          </w:p>
        </w:tc>
        <w:tc>
          <w:tcPr>
            <w:tcW w:w="1247" w:type="dxa"/>
            <w:tcBorders>
              <w:top w:val="nil"/>
              <w:left w:val="single" w:sz="4" w:space="0" w:color="auto"/>
              <w:bottom w:val="nil"/>
              <w:right w:val="single" w:sz="4" w:space="0" w:color="auto"/>
            </w:tcBorders>
          </w:tcPr>
          <w:p w14:paraId="6926B6A0" w14:textId="77777777" w:rsidR="00956231" w:rsidRPr="00956231" w:rsidRDefault="00956231" w:rsidP="00956231">
            <w:pPr>
              <w:ind w:right="170"/>
              <w:jc w:val="right"/>
              <w:rPr>
                <w:sz w:val="20"/>
                <w:szCs w:val="20"/>
              </w:rPr>
            </w:pPr>
            <w:r w:rsidRPr="00956231">
              <w:rPr>
                <w:sz w:val="20"/>
                <w:szCs w:val="20"/>
              </w:rPr>
              <w:t>33.29</w:t>
            </w:r>
          </w:p>
        </w:tc>
        <w:tc>
          <w:tcPr>
            <w:tcW w:w="1248" w:type="dxa"/>
            <w:tcBorders>
              <w:top w:val="nil"/>
              <w:left w:val="single" w:sz="4" w:space="0" w:color="auto"/>
              <w:bottom w:val="nil"/>
              <w:right w:val="single" w:sz="4" w:space="0" w:color="auto"/>
            </w:tcBorders>
          </w:tcPr>
          <w:p w14:paraId="0D38FF88" w14:textId="77777777" w:rsidR="00956231" w:rsidRPr="00956231" w:rsidRDefault="00956231" w:rsidP="00956231">
            <w:pPr>
              <w:ind w:right="170"/>
              <w:jc w:val="right"/>
              <w:rPr>
                <w:sz w:val="20"/>
                <w:szCs w:val="20"/>
              </w:rPr>
            </w:pPr>
            <w:r w:rsidRPr="00956231">
              <w:rPr>
                <w:sz w:val="20"/>
                <w:szCs w:val="20"/>
              </w:rPr>
              <w:t>86.18</w:t>
            </w:r>
          </w:p>
        </w:tc>
        <w:tc>
          <w:tcPr>
            <w:tcW w:w="1246" w:type="dxa"/>
            <w:tcBorders>
              <w:top w:val="nil"/>
              <w:left w:val="single" w:sz="4" w:space="0" w:color="auto"/>
              <w:bottom w:val="nil"/>
              <w:right w:val="single" w:sz="4" w:space="0" w:color="auto"/>
            </w:tcBorders>
          </w:tcPr>
          <w:p w14:paraId="5EAFAAFE" w14:textId="77777777" w:rsidR="00956231" w:rsidRPr="00956231" w:rsidRDefault="00956231" w:rsidP="00956231">
            <w:pPr>
              <w:ind w:right="170"/>
              <w:jc w:val="right"/>
              <w:rPr>
                <w:sz w:val="20"/>
                <w:szCs w:val="20"/>
              </w:rPr>
            </w:pPr>
            <w:r w:rsidRPr="00956231">
              <w:rPr>
                <w:sz w:val="20"/>
                <w:szCs w:val="20"/>
              </w:rPr>
              <w:t>40.40</w:t>
            </w:r>
          </w:p>
        </w:tc>
        <w:tc>
          <w:tcPr>
            <w:tcW w:w="1251" w:type="dxa"/>
            <w:tcBorders>
              <w:top w:val="nil"/>
              <w:left w:val="single" w:sz="4" w:space="0" w:color="auto"/>
              <w:bottom w:val="nil"/>
              <w:right w:val="single" w:sz="4" w:space="0" w:color="auto"/>
            </w:tcBorders>
          </w:tcPr>
          <w:p w14:paraId="143FC105" w14:textId="77777777" w:rsidR="00956231" w:rsidRPr="00956231" w:rsidRDefault="00956231" w:rsidP="00956231">
            <w:pPr>
              <w:ind w:right="170"/>
              <w:jc w:val="right"/>
              <w:rPr>
                <w:sz w:val="20"/>
                <w:szCs w:val="20"/>
              </w:rPr>
            </w:pPr>
            <w:r w:rsidRPr="00956231">
              <w:rPr>
                <w:sz w:val="20"/>
                <w:szCs w:val="20"/>
              </w:rPr>
              <w:t>32.61</w:t>
            </w:r>
          </w:p>
        </w:tc>
      </w:tr>
      <w:tr w:rsidR="00956231" w:rsidRPr="00956231" w14:paraId="49A1EC42" w14:textId="77777777" w:rsidTr="00956231">
        <w:trPr>
          <w:jc w:val="center"/>
        </w:trPr>
        <w:tc>
          <w:tcPr>
            <w:tcW w:w="2668" w:type="dxa"/>
            <w:tcBorders>
              <w:top w:val="nil"/>
              <w:left w:val="single" w:sz="4" w:space="0" w:color="auto"/>
              <w:bottom w:val="nil"/>
              <w:right w:val="single" w:sz="4" w:space="0" w:color="auto"/>
            </w:tcBorders>
          </w:tcPr>
          <w:p w14:paraId="67448023" w14:textId="77777777" w:rsidR="00956231" w:rsidRPr="00956231" w:rsidRDefault="00956231" w:rsidP="00956231">
            <w:pPr>
              <w:rPr>
                <w:b/>
                <w:sz w:val="20"/>
                <w:szCs w:val="20"/>
              </w:rPr>
            </w:pPr>
            <w:r w:rsidRPr="00956231">
              <w:rPr>
                <w:b/>
                <w:sz w:val="20"/>
                <w:szCs w:val="20"/>
              </w:rPr>
              <w:t>Número de Remesas Totales (Miles de operaciones)</w:t>
            </w:r>
          </w:p>
        </w:tc>
        <w:tc>
          <w:tcPr>
            <w:tcW w:w="1246" w:type="dxa"/>
            <w:tcBorders>
              <w:top w:val="nil"/>
              <w:left w:val="single" w:sz="4" w:space="0" w:color="auto"/>
              <w:bottom w:val="nil"/>
              <w:right w:val="single" w:sz="4" w:space="0" w:color="auto"/>
            </w:tcBorders>
            <w:vAlign w:val="center"/>
          </w:tcPr>
          <w:p w14:paraId="49F4A8BD" w14:textId="77777777" w:rsidR="00956231" w:rsidRPr="00956231" w:rsidRDefault="00956231" w:rsidP="00956231">
            <w:pPr>
              <w:ind w:right="170"/>
              <w:jc w:val="right"/>
              <w:rPr>
                <w:b/>
                <w:sz w:val="20"/>
                <w:szCs w:val="20"/>
              </w:rPr>
            </w:pPr>
            <w:r w:rsidRPr="00956231">
              <w:rPr>
                <w:b/>
                <w:sz w:val="20"/>
                <w:szCs w:val="20"/>
              </w:rPr>
              <w:t>6 549.82</w:t>
            </w:r>
          </w:p>
        </w:tc>
        <w:tc>
          <w:tcPr>
            <w:tcW w:w="1247" w:type="dxa"/>
            <w:tcBorders>
              <w:top w:val="nil"/>
              <w:left w:val="single" w:sz="4" w:space="0" w:color="auto"/>
              <w:bottom w:val="nil"/>
              <w:right w:val="single" w:sz="4" w:space="0" w:color="auto"/>
            </w:tcBorders>
            <w:vAlign w:val="center"/>
          </w:tcPr>
          <w:p w14:paraId="49FA3553" w14:textId="77777777" w:rsidR="00956231" w:rsidRPr="00956231" w:rsidRDefault="00956231" w:rsidP="00956231">
            <w:pPr>
              <w:ind w:right="170"/>
              <w:jc w:val="right"/>
              <w:rPr>
                <w:b/>
                <w:sz w:val="20"/>
                <w:szCs w:val="20"/>
              </w:rPr>
            </w:pPr>
            <w:r w:rsidRPr="00956231">
              <w:rPr>
                <w:b/>
                <w:sz w:val="20"/>
                <w:szCs w:val="20"/>
              </w:rPr>
              <w:t>6 206.48</w:t>
            </w:r>
          </w:p>
        </w:tc>
        <w:tc>
          <w:tcPr>
            <w:tcW w:w="1248" w:type="dxa"/>
            <w:tcBorders>
              <w:top w:val="nil"/>
              <w:left w:val="single" w:sz="4" w:space="0" w:color="auto"/>
              <w:bottom w:val="nil"/>
              <w:right w:val="single" w:sz="4" w:space="0" w:color="auto"/>
            </w:tcBorders>
            <w:vAlign w:val="center"/>
          </w:tcPr>
          <w:p w14:paraId="1EDC82C0" w14:textId="77777777" w:rsidR="00956231" w:rsidRPr="00956231" w:rsidRDefault="00956231" w:rsidP="00956231">
            <w:pPr>
              <w:ind w:right="170"/>
              <w:jc w:val="right"/>
              <w:rPr>
                <w:b/>
                <w:sz w:val="20"/>
                <w:szCs w:val="20"/>
              </w:rPr>
            </w:pPr>
            <w:r w:rsidRPr="00956231">
              <w:rPr>
                <w:b/>
                <w:sz w:val="20"/>
                <w:szCs w:val="20"/>
              </w:rPr>
              <w:t>7 401.29</w:t>
            </w:r>
          </w:p>
        </w:tc>
        <w:tc>
          <w:tcPr>
            <w:tcW w:w="1246" w:type="dxa"/>
            <w:tcBorders>
              <w:top w:val="nil"/>
              <w:left w:val="single" w:sz="4" w:space="0" w:color="auto"/>
              <w:bottom w:val="nil"/>
              <w:right w:val="single" w:sz="4" w:space="0" w:color="auto"/>
            </w:tcBorders>
            <w:vAlign w:val="center"/>
          </w:tcPr>
          <w:p w14:paraId="0C90D22D" w14:textId="77777777" w:rsidR="00956231" w:rsidRPr="00956231" w:rsidRDefault="00956231" w:rsidP="00956231">
            <w:pPr>
              <w:ind w:right="170"/>
              <w:jc w:val="right"/>
              <w:rPr>
                <w:b/>
                <w:sz w:val="20"/>
                <w:szCs w:val="20"/>
              </w:rPr>
            </w:pPr>
            <w:r w:rsidRPr="00956231">
              <w:rPr>
                <w:b/>
                <w:sz w:val="20"/>
                <w:szCs w:val="20"/>
              </w:rPr>
              <w:t>5 827.45</w:t>
            </w:r>
          </w:p>
        </w:tc>
        <w:tc>
          <w:tcPr>
            <w:tcW w:w="1251" w:type="dxa"/>
            <w:tcBorders>
              <w:top w:val="nil"/>
              <w:left w:val="single" w:sz="4" w:space="0" w:color="auto"/>
              <w:bottom w:val="nil"/>
              <w:right w:val="single" w:sz="4" w:space="0" w:color="auto"/>
            </w:tcBorders>
            <w:vAlign w:val="center"/>
          </w:tcPr>
          <w:p w14:paraId="2ADBB455" w14:textId="77777777" w:rsidR="00956231" w:rsidRPr="00956231" w:rsidRDefault="00956231" w:rsidP="00956231">
            <w:pPr>
              <w:ind w:right="170"/>
              <w:jc w:val="right"/>
              <w:rPr>
                <w:b/>
                <w:sz w:val="20"/>
                <w:szCs w:val="20"/>
              </w:rPr>
            </w:pPr>
            <w:r w:rsidRPr="00956231">
              <w:rPr>
                <w:b/>
                <w:sz w:val="20"/>
                <w:szCs w:val="20"/>
              </w:rPr>
              <w:t>6 162.57</w:t>
            </w:r>
          </w:p>
        </w:tc>
      </w:tr>
      <w:tr w:rsidR="00956231" w:rsidRPr="00956231" w14:paraId="1DC72858" w14:textId="77777777" w:rsidTr="00956231">
        <w:trPr>
          <w:jc w:val="center"/>
        </w:trPr>
        <w:tc>
          <w:tcPr>
            <w:tcW w:w="2668" w:type="dxa"/>
            <w:tcBorders>
              <w:top w:val="nil"/>
              <w:left w:val="single" w:sz="4" w:space="0" w:color="auto"/>
              <w:bottom w:val="nil"/>
              <w:right w:val="single" w:sz="4" w:space="0" w:color="auto"/>
            </w:tcBorders>
          </w:tcPr>
          <w:p w14:paraId="63F16F79" w14:textId="77777777" w:rsidR="00956231" w:rsidRPr="00956231" w:rsidRDefault="00956231" w:rsidP="00956231">
            <w:pPr>
              <w:rPr>
                <w:i/>
                <w:sz w:val="20"/>
                <w:szCs w:val="20"/>
              </w:rPr>
            </w:pPr>
            <w:r w:rsidRPr="00956231">
              <w:rPr>
                <w:sz w:val="20"/>
                <w:szCs w:val="20"/>
              </w:rPr>
              <w:t xml:space="preserve">   </w:t>
            </w:r>
            <w:r w:rsidRPr="00956231">
              <w:rPr>
                <w:i/>
                <w:sz w:val="20"/>
                <w:szCs w:val="20"/>
              </w:rPr>
              <w:t xml:space="preserve">Money </w:t>
            </w:r>
            <w:proofErr w:type="spellStart"/>
            <w:r w:rsidRPr="00956231">
              <w:rPr>
                <w:i/>
                <w:sz w:val="20"/>
                <w:szCs w:val="20"/>
              </w:rPr>
              <w:t>Orders</w:t>
            </w:r>
            <w:proofErr w:type="spellEnd"/>
          </w:p>
        </w:tc>
        <w:tc>
          <w:tcPr>
            <w:tcW w:w="1246" w:type="dxa"/>
            <w:tcBorders>
              <w:top w:val="nil"/>
              <w:left w:val="single" w:sz="4" w:space="0" w:color="auto"/>
              <w:bottom w:val="nil"/>
              <w:right w:val="single" w:sz="4" w:space="0" w:color="auto"/>
            </w:tcBorders>
          </w:tcPr>
          <w:p w14:paraId="404E6A72" w14:textId="77777777" w:rsidR="00956231" w:rsidRPr="00956231" w:rsidRDefault="00956231" w:rsidP="00956231">
            <w:pPr>
              <w:ind w:right="170"/>
              <w:jc w:val="right"/>
              <w:rPr>
                <w:sz w:val="20"/>
                <w:szCs w:val="20"/>
              </w:rPr>
            </w:pPr>
            <w:r w:rsidRPr="00956231">
              <w:rPr>
                <w:sz w:val="20"/>
                <w:szCs w:val="20"/>
              </w:rPr>
              <w:t>79.45</w:t>
            </w:r>
          </w:p>
        </w:tc>
        <w:tc>
          <w:tcPr>
            <w:tcW w:w="1247" w:type="dxa"/>
            <w:tcBorders>
              <w:top w:val="nil"/>
              <w:left w:val="single" w:sz="4" w:space="0" w:color="auto"/>
              <w:bottom w:val="nil"/>
              <w:right w:val="single" w:sz="4" w:space="0" w:color="auto"/>
            </w:tcBorders>
          </w:tcPr>
          <w:p w14:paraId="1B566A10" w14:textId="77777777" w:rsidR="00956231" w:rsidRPr="00956231" w:rsidRDefault="00956231" w:rsidP="00956231">
            <w:pPr>
              <w:ind w:right="170"/>
              <w:jc w:val="right"/>
              <w:rPr>
                <w:sz w:val="20"/>
                <w:szCs w:val="20"/>
              </w:rPr>
            </w:pPr>
            <w:r w:rsidRPr="00956231">
              <w:rPr>
                <w:sz w:val="20"/>
                <w:szCs w:val="20"/>
              </w:rPr>
              <w:t>31.34</w:t>
            </w:r>
          </w:p>
        </w:tc>
        <w:tc>
          <w:tcPr>
            <w:tcW w:w="1248" w:type="dxa"/>
            <w:tcBorders>
              <w:top w:val="nil"/>
              <w:left w:val="single" w:sz="4" w:space="0" w:color="auto"/>
              <w:bottom w:val="nil"/>
              <w:right w:val="single" w:sz="4" w:space="0" w:color="auto"/>
            </w:tcBorders>
          </w:tcPr>
          <w:p w14:paraId="5D2FA8B3" w14:textId="77777777" w:rsidR="00956231" w:rsidRPr="00956231" w:rsidRDefault="00956231" w:rsidP="00956231">
            <w:pPr>
              <w:ind w:right="170"/>
              <w:jc w:val="right"/>
              <w:rPr>
                <w:sz w:val="20"/>
                <w:szCs w:val="20"/>
              </w:rPr>
            </w:pPr>
            <w:r w:rsidRPr="00956231">
              <w:rPr>
                <w:sz w:val="20"/>
                <w:szCs w:val="20"/>
              </w:rPr>
              <w:t>40.25</w:t>
            </w:r>
          </w:p>
        </w:tc>
        <w:tc>
          <w:tcPr>
            <w:tcW w:w="1246" w:type="dxa"/>
            <w:tcBorders>
              <w:top w:val="nil"/>
              <w:left w:val="single" w:sz="4" w:space="0" w:color="auto"/>
              <w:bottom w:val="nil"/>
              <w:right w:val="single" w:sz="4" w:space="0" w:color="auto"/>
            </w:tcBorders>
          </w:tcPr>
          <w:p w14:paraId="0867C069" w14:textId="77777777" w:rsidR="00956231" w:rsidRPr="00956231" w:rsidRDefault="00956231" w:rsidP="00956231">
            <w:pPr>
              <w:ind w:right="170"/>
              <w:jc w:val="right"/>
              <w:rPr>
                <w:sz w:val="20"/>
                <w:szCs w:val="20"/>
              </w:rPr>
            </w:pPr>
            <w:r w:rsidRPr="00956231">
              <w:rPr>
                <w:sz w:val="20"/>
                <w:szCs w:val="20"/>
              </w:rPr>
              <w:t>39.87</w:t>
            </w:r>
          </w:p>
        </w:tc>
        <w:tc>
          <w:tcPr>
            <w:tcW w:w="1251" w:type="dxa"/>
            <w:tcBorders>
              <w:top w:val="nil"/>
              <w:left w:val="single" w:sz="4" w:space="0" w:color="auto"/>
              <w:bottom w:val="nil"/>
              <w:right w:val="single" w:sz="4" w:space="0" w:color="auto"/>
            </w:tcBorders>
          </w:tcPr>
          <w:p w14:paraId="0F4D2668" w14:textId="77777777" w:rsidR="00956231" w:rsidRPr="00956231" w:rsidRDefault="00956231" w:rsidP="00956231">
            <w:pPr>
              <w:ind w:right="170"/>
              <w:jc w:val="right"/>
              <w:rPr>
                <w:sz w:val="20"/>
                <w:szCs w:val="20"/>
              </w:rPr>
            </w:pPr>
            <w:r w:rsidRPr="00956231">
              <w:rPr>
                <w:sz w:val="20"/>
                <w:szCs w:val="20"/>
              </w:rPr>
              <w:t>27.48</w:t>
            </w:r>
          </w:p>
        </w:tc>
      </w:tr>
      <w:tr w:rsidR="00956231" w:rsidRPr="00956231" w14:paraId="4F094DA8" w14:textId="77777777" w:rsidTr="00956231">
        <w:trPr>
          <w:jc w:val="center"/>
        </w:trPr>
        <w:tc>
          <w:tcPr>
            <w:tcW w:w="2668" w:type="dxa"/>
            <w:tcBorders>
              <w:top w:val="nil"/>
              <w:left w:val="single" w:sz="4" w:space="0" w:color="auto"/>
              <w:bottom w:val="nil"/>
              <w:right w:val="single" w:sz="4" w:space="0" w:color="auto"/>
            </w:tcBorders>
          </w:tcPr>
          <w:p w14:paraId="7C637329" w14:textId="77777777" w:rsidR="00956231" w:rsidRPr="00956231" w:rsidRDefault="00956231" w:rsidP="00956231">
            <w:pPr>
              <w:rPr>
                <w:sz w:val="20"/>
                <w:szCs w:val="20"/>
              </w:rPr>
            </w:pPr>
            <w:r w:rsidRPr="00956231">
              <w:rPr>
                <w:sz w:val="20"/>
                <w:szCs w:val="20"/>
              </w:rPr>
              <w:t xml:space="preserve">   Cheques Personales</w:t>
            </w:r>
          </w:p>
        </w:tc>
        <w:tc>
          <w:tcPr>
            <w:tcW w:w="1246" w:type="dxa"/>
            <w:tcBorders>
              <w:top w:val="nil"/>
              <w:left w:val="single" w:sz="4" w:space="0" w:color="auto"/>
              <w:bottom w:val="nil"/>
              <w:right w:val="single" w:sz="4" w:space="0" w:color="auto"/>
            </w:tcBorders>
          </w:tcPr>
          <w:p w14:paraId="0E45D8C5" w14:textId="77777777" w:rsidR="00956231" w:rsidRPr="00956231" w:rsidRDefault="00956231" w:rsidP="00956231">
            <w:pPr>
              <w:ind w:right="170"/>
              <w:jc w:val="right"/>
              <w:rPr>
                <w:sz w:val="20"/>
                <w:szCs w:val="20"/>
              </w:rPr>
            </w:pPr>
            <w:r w:rsidRPr="00956231">
              <w:rPr>
                <w:sz w:val="20"/>
                <w:szCs w:val="20"/>
              </w:rPr>
              <w:t>0.00</w:t>
            </w:r>
          </w:p>
        </w:tc>
        <w:tc>
          <w:tcPr>
            <w:tcW w:w="1247" w:type="dxa"/>
            <w:tcBorders>
              <w:top w:val="nil"/>
              <w:left w:val="single" w:sz="4" w:space="0" w:color="auto"/>
              <w:bottom w:val="nil"/>
              <w:right w:val="single" w:sz="4" w:space="0" w:color="auto"/>
            </w:tcBorders>
          </w:tcPr>
          <w:p w14:paraId="2899AE32" w14:textId="77777777" w:rsidR="00956231" w:rsidRPr="00956231" w:rsidRDefault="00956231" w:rsidP="00956231">
            <w:pPr>
              <w:ind w:right="170"/>
              <w:jc w:val="right"/>
              <w:rPr>
                <w:sz w:val="20"/>
                <w:szCs w:val="20"/>
              </w:rPr>
            </w:pPr>
            <w:r w:rsidRPr="00956231">
              <w:rPr>
                <w:sz w:val="20"/>
                <w:szCs w:val="20"/>
              </w:rPr>
              <w:t>0.00</w:t>
            </w:r>
          </w:p>
        </w:tc>
        <w:tc>
          <w:tcPr>
            <w:tcW w:w="1248" w:type="dxa"/>
            <w:tcBorders>
              <w:top w:val="nil"/>
              <w:left w:val="single" w:sz="4" w:space="0" w:color="auto"/>
              <w:bottom w:val="nil"/>
              <w:right w:val="single" w:sz="4" w:space="0" w:color="auto"/>
            </w:tcBorders>
          </w:tcPr>
          <w:p w14:paraId="2ABC8995" w14:textId="77777777" w:rsidR="00956231" w:rsidRPr="00956231" w:rsidRDefault="00956231" w:rsidP="00956231">
            <w:pPr>
              <w:ind w:right="170"/>
              <w:jc w:val="right"/>
              <w:rPr>
                <w:sz w:val="20"/>
                <w:szCs w:val="20"/>
              </w:rPr>
            </w:pPr>
            <w:r w:rsidRPr="00956231">
              <w:rPr>
                <w:sz w:val="20"/>
                <w:szCs w:val="20"/>
              </w:rPr>
              <w:t>0.00</w:t>
            </w:r>
          </w:p>
        </w:tc>
        <w:tc>
          <w:tcPr>
            <w:tcW w:w="1246" w:type="dxa"/>
            <w:tcBorders>
              <w:top w:val="nil"/>
              <w:left w:val="single" w:sz="4" w:space="0" w:color="auto"/>
              <w:bottom w:val="nil"/>
              <w:right w:val="single" w:sz="4" w:space="0" w:color="auto"/>
            </w:tcBorders>
          </w:tcPr>
          <w:p w14:paraId="1DF6F5AB" w14:textId="77777777" w:rsidR="00956231" w:rsidRPr="00956231" w:rsidRDefault="00956231" w:rsidP="00956231">
            <w:pPr>
              <w:ind w:right="170"/>
              <w:jc w:val="right"/>
              <w:rPr>
                <w:sz w:val="20"/>
                <w:szCs w:val="20"/>
              </w:rPr>
            </w:pPr>
            <w:r w:rsidRPr="00956231">
              <w:rPr>
                <w:sz w:val="20"/>
                <w:szCs w:val="20"/>
              </w:rPr>
              <w:t>0.00</w:t>
            </w:r>
          </w:p>
        </w:tc>
        <w:tc>
          <w:tcPr>
            <w:tcW w:w="1251" w:type="dxa"/>
            <w:tcBorders>
              <w:top w:val="nil"/>
              <w:left w:val="single" w:sz="4" w:space="0" w:color="auto"/>
              <w:bottom w:val="nil"/>
              <w:right w:val="single" w:sz="4" w:space="0" w:color="auto"/>
            </w:tcBorders>
          </w:tcPr>
          <w:p w14:paraId="263B611D" w14:textId="77777777" w:rsidR="00956231" w:rsidRPr="00956231" w:rsidRDefault="00956231" w:rsidP="00956231">
            <w:pPr>
              <w:ind w:right="170"/>
              <w:jc w:val="right"/>
              <w:rPr>
                <w:sz w:val="20"/>
                <w:szCs w:val="20"/>
              </w:rPr>
            </w:pPr>
            <w:r w:rsidRPr="00956231">
              <w:rPr>
                <w:sz w:val="20"/>
                <w:szCs w:val="20"/>
              </w:rPr>
              <w:t>0.00</w:t>
            </w:r>
          </w:p>
        </w:tc>
      </w:tr>
      <w:tr w:rsidR="00956231" w:rsidRPr="00956231" w14:paraId="641F994A" w14:textId="77777777" w:rsidTr="00956231">
        <w:trPr>
          <w:jc w:val="center"/>
        </w:trPr>
        <w:tc>
          <w:tcPr>
            <w:tcW w:w="2668" w:type="dxa"/>
            <w:tcBorders>
              <w:top w:val="nil"/>
              <w:left w:val="single" w:sz="4" w:space="0" w:color="auto"/>
              <w:bottom w:val="nil"/>
              <w:right w:val="single" w:sz="4" w:space="0" w:color="auto"/>
            </w:tcBorders>
          </w:tcPr>
          <w:p w14:paraId="32F501BF" w14:textId="77777777" w:rsidR="00956231" w:rsidRPr="00956231" w:rsidRDefault="00956231" w:rsidP="00956231">
            <w:pPr>
              <w:rPr>
                <w:sz w:val="20"/>
                <w:szCs w:val="20"/>
              </w:rPr>
            </w:pPr>
            <w:r w:rsidRPr="00956231">
              <w:rPr>
                <w:sz w:val="20"/>
                <w:szCs w:val="20"/>
              </w:rPr>
              <w:t xml:space="preserve">   Transferencias Electrónicas</w:t>
            </w:r>
          </w:p>
        </w:tc>
        <w:tc>
          <w:tcPr>
            <w:tcW w:w="1246" w:type="dxa"/>
            <w:tcBorders>
              <w:top w:val="nil"/>
              <w:left w:val="single" w:sz="4" w:space="0" w:color="auto"/>
              <w:bottom w:val="nil"/>
              <w:right w:val="single" w:sz="4" w:space="0" w:color="auto"/>
            </w:tcBorders>
          </w:tcPr>
          <w:p w14:paraId="7C50BC72" w14:textId="77777777" w:rsidR="00956231" w:rsidRPr="00956231" w:rsidRDefault="00956231" w:rsidP="00956231">
            <w:pPr>
              <w:ind w:right="170"/>
              <w:jc w:val="right"/>
              <w:rPr>
                <w:sz w:val="20"/>
                <w:szCs w:val="20"/>
              </w:rPr>
            </w:pPr>
            <w:r w:rsidRPr="00956231">
              <w:rPr>
                <w:sz w:val="20"/>
                <w:szCs w:val="20"/>
              </w:rPr>
              <w:t>6 331.78</w:t>
            </w:r>
          </w:p>
        </w:tc>
        <w:tc>
          <w:tcPr>
            <w:tcW w:w="1247" w:type="dxa"/>
            <w:tcBorders>
              <w:top w:val="nil"/>
              <w:left w:val="single" w:sz="4" w:space="0" w:color="auto"/>
              <w:bottom w:val="nil"/>
              <w:right w:val="single" w:sz="4" w:space="0" w:color="auto"/>
            </w:tcBorders>
          </w:tcPr>
          <w:p w14:paraId="405A6D3B" w14:textId="77777777" w:rsidR="00956231" w:rsidRPr="00956231" w:rsidRDefault="00956231" w:rsidP="00956231">
            <w:pPr>
              <w:ind w:right="170"/>
              <w:jc w:val="right"/>
              <w:rPr>
                <w:sz w:val="20"/>
                <w:szCs w:val="20"/>
              </w:rPr>
            </w:pPr>
            <w:r w:rsidRPr="00956231">
              <w:rPr>
                <w:sz w:val="20"/>
                <w:szCs w:val="20"/>
              </w:rPr>
              <w:t>6 091.34</w:t>
            </w:r>
          </w:p>
        </w:tc>
        <w:tc>
          <w:tcPr>
            <w:tcW w:w="1248" w:type="dxa"/>
            <w:tcBorders>
              <w:top w:val="nil"/>
              <w:left w:val="single" w:sz="4" w:space="0" w:color="auto"/>
              <w:bottom w:val="nil"/>
              <w:right w:val="single" w:sz="4" w:space="0" w:color="auto"/>
            </w:tcBorders>
          </w:tcPr>
          <w:p w14:paraId="681D482C" w14:textId="77777777" w:rsidR="00956231" w:rsidRPr="00956231" w:rsidRDefault="00956231" w:rsidP="00956231">
            <w:pPr>
              <w:ind w:right="170"/>
              <w:jc w:val="right"/>
              <w:rPr>
                <w:sz w:val="20"/>
                <w:szCs w:val="20"/>
              </w:rPr>
            </w:pPr>
            <w:r w:rsidRPr="00956231">
              <w:rPr>
                <w:sz w:val="20"/>
                <w:szCs w:val="20"/>
              </w:rPr>
              <w:t>7 163.02</w:t>
            </w:r>
          </w:p>
        </w:tc>
        <w:tc>
          <w:tcPr>
            <w:tcW w:w="1246" w:type="dxa"/>
            <w:tcBorders>
              <w:top w:val="nil"/>
              <w:left w:val="single" w:sz="4" w:space="0" w:color="auto"/>
              <w:bottom w:val="nil"/>
              <w:right w:val="single" w:sz="4" w:space="0" w:color="auto"/>
            </w:tcBorders>
          </w:tcPr>
          <w:p w14:paraId="4666B4B9" w14:textId="77777777" w:rsidR="00956231" w:rsidRPr="00956231" w:rsidRDefault="00956231" w:rsidP="00956231">
            <w:pPr>
              <w:ind w:right="170"/>
              <w:jc w:val="right"/>
              <w:rPr>
                <w:sz w:val="20"/>
                <w:szCs w:val="20"/>
              </w:rPr>
            </w:pPr>
            <w:r w:rsidRPr="00956231">
              <w:rPr>
                <w:sz w:val="20"/>
                <w:szCs w:val="20"/>
              </w:rPr>
              <w:t>5 707.71</w:t>
            </w:r>
          </w:p>
        </w:tc>
        <w:tc>
          <w:tcPr>
            <w:tcW w:w="1251" w:type="dxa"/>
            <w:tcBorders>
              <w:top w:val="nil"/>
              <w:left w:val="single" w:sz="4" w:space="0" w:color="auto"/>
              <w:bottom w:val="nil"/>
              <w:right w:val="single" w:sz="4" w:space="0" w:color="auto"/>
            </w:tcBorders>
          </w:tcPr>
          <w:p w14:paraId="6D2FF6E5" w14:textId="77777777" w:rsidR="00956231" w:rsidRPr="00956231" w:rsidRDefault="00956231" w:rsidP="00956231">
            <w:pPr>
              <w:ind w:right="170"/>
              <w:jc w:val="right"/>
              <w:rPr>
                <w:sz w:val="20"/>
                <w:szCs w:val="20"/>
              </w:rPr>
            </w:pPr>
            <w:r w:rsidRPr="00956231">
              <w:rPr>
                <w:sz w:val="20"/>
                <w:szCs w:val="20"/>
              </w:rPr>
              <w:t>6 061.08</w:t>
            </w:r>
          </w:p>
        </w:tc>
      </w:tr>
      <w:tr w:rsidR="00956231" w:rsidRPr="00956231" w14:paraId="38197760" w14:textId="77777777" w:rsidTr="00956231">
        <w:trPr>
          <w:jc w:val="center"/>
        </w:trPr>
        <w:tc>
          <w:tcPr>
            <w:tcW w:w="2668" w:type="dxa"/>
            <w:tcBorders>
              <w:top w:val="nil"/>
              <w:left w:val="single" w:sz="4" w:space="0" w:color="auto"/>
              <w:bottom w:val="nil"/>
              <w:right w:val="single" w:sz="4" w:space="0" w:color="auto"/>
            </w:tcBorders>
          </w:tcPr>
          <w:p w14:paraId="2B488D84" w14:textId="77777777" w:rsidR="00956231" w:rsidRPr="00956231" w:rsidRDefault="00956231" w:rsidP="00956231">
            <w:pPr>
              <w:rPr>
                <w:sz w:val="20"/>
                <w:szCs w:val="20"/>
              </w:rPr>
            </w:pPr>
            <w:r w:rsidRPr="00956231">
              <w:rPr>
                <w:sz w:val="20"/>
                <w:szCs w:val="20"/>
              </w:rPr>
              <w:t xml:space="preserve">   Efectivo y Especie</w:t>
            </w:r>
          </w:p>
        </w:tc>
        <w:tc>
          <w:tcPr>
            <w:tcW w:w="1246" w:type="dxa"/>
            <w:tcBorders>
              <w:top w:val="nil"/>
              <w:left w:val="single" w:sz="4" w:space="0" w:color="auto"/>
              <w:bottom w:val="nil"/>
              <w:right w:val="single" w:sz="4" w:space="0" w:color="auto"/>
            </w:tcBorders>
          </w:tcPr>
          <w:p w14:paraId="1969CE6F" w14:textId="77777777" w:rsidR="00956231" w:rsidRPr="00956231" w:rsidRDefault="00956231" w:rsidP="00956231">
            <w:pPr>
              <w:ind w:right="170"/>
              <w:jc w:val="right"/>
              <w:rPr>
                <w:sz w:val="20"/>
                <w:szCs w:val="20"/>
              </w:rPr>
            </w:pPr>
            <w:r w:rsidRPr="00956231">
              <w:rPr>
                <w:sz w:val="20"/>
                <w:szCs w:val="20"/>
              </w:rPr>
              <w:t>138.59</w:t>
            </w:r>
          </w:p>
        </w:tc>
        <w:tc>
          <w:tcPr>
            <w:tcW w:w="1247" w:type="dxa"/>
            <w:tcBorders>
              <w:top w:val="nil"/>
              <w:left w:val="single" w:sz="4" w:space="0" w:color="auto"/>
              <w:bottom w:val="nil"/>
              <w:right w:val="single" w:sz="4" w:space="0" w:color="auto"/>
            </w:tcBorders>
          </w:tcPr>
          <w:p w14:paraId="0B2124C3" w14:textId="77777777" w:rsidR="00956231" w:rsidRPr="00956231" w:rsidRDefault="00956231" w:rsidP="00956231">
            <w:pPr>
              <w:ind w:right="170"/>
              <w:jc w:val="right"/>
              <w:rPr>
                <w:sz w:val="20"/>
                <w:szCs w:val="20"/>
              </w:rPr>
            </w:pPr>
            <w:r w:rsidRPr="00956231">
              <w:rPr>
                <w:sz w:val="20"/>
                <w:szCs w:val="20"/>
              </w:rPr>
              <w:t>83.81</w:t>
            </w:r>
          </w:p>
        </w:tc>
        <w:tc>
          <w:tcPr>
            <w:tcW w:w="1248" w:type="dxa"/>
            <w:tcBorders>
              <w:top w:val="nil"/>
              <w:left w:val="single" w:sz="4" w:space="0" w:color="auto"/>
              <w:bottom w:val="nil"/>
              <w:right w:val="single" w:sz="4" w:space="0" w:color="auto"/>
            </w:tcBorders>
          </w:tcPr>
          <w:p w14:paraId="118BF54E" w14:textId="77777777" w:rsidR="00956231" w:rsidRPr="00956231" w:rsidRDefault="00956231" w:rsidP="00956231">
            <w:pPr>
              <w:ind w:right="170"/>
              <w:jc w:val="right"/>
              <w:rPr>
                <w:sz w:val="20"/>
                <w:szCs w:val="20"/>
              </w:rPr>
            </w:pPr>
            <w:r w:rsidRPr="00956231">
              <w:rPr>
                <w:sz w:val="20"/>
                <w:szCs w:val="20"/>
              </w:rPr>
              <w:t>198.01</w:t>
            </w:r>
          </w:p>
        </w:tc>
        <w:tc>
          <w:tcPr>
            <w:tcW w:w="1246" w:type="dxa"/>
            <w:tcBorders>
              <w:top w:val="nil"/>
              <w:left w:val="single" w:sz="4" w:space="0" w:color="auto"/>
              <w:bottom w:val="nil"/>
              <w:right w:val="single" w:sz="4" w:space="0" w:color="auto"/>
            </w:tcBorders>
          </w:tcPr>
          <w:p w14:paraId="414E681C" w14:textId="77777777" w:rsidR="00956231" w:rsidRPr="00956231" w:rsidRDefault="00956231" w:rsidP="00956231">
            <w:pPr>
              <w:ind w:right="170"/>
              <w:jc w:val="right"/>
              <w:rPr>
                <w:sz w:val="20"/>
                <w:szCs w:val="20"/>
              </w:rPr>
            </w:pPr>
            <w:r w:rsidRPr="00956231">
              <w:rPr>
                <w:sz w:val="20"/>
                <w:szCs w:val="20"/>
              </w:rPr>
              <w:t>79.87</w:t>
            </w:r>
          </w:p>
        </w:tc>
        <w:tc>
          <w:tcPr>
            <w:tcW w:w="1251" w:type="dxa"/>
            <w:tcBorders>
              <w:top w:val="nil"/>
              <w:left w:val="single" w:sz="4" w:space="0" w:color="auto"/>
              <w:bottom w:val="nil"/>
              <w:right w:val="single" w:sz="4" w:space="0" w:color="auto"/>
            </w:tcBorders>
          </w:tcPr>
          <w:p w14:paraId="77FCCB8A" w14:textId="77777777" w:rsidR="00956231" w:rsidRPr="00956231" w:rsidRDefault="00956231" w:rsidP="00956231">
            <w:pPr>
              <w:ind w:right="170"/>
              <w:jc w:val="right"/>
              <w:rPr>
                <w:sz w:val="20"/>
                <w:szCs w:val="20"/>
              </w:rPr>
            </w:pPr>
            <w:r w:rsidRPr="00956231">
              <w:rPr>
                <w:sz w:val="20"/>
                <w:szCs w:val="20"/>
              </w:rPr>
              <w:t>74.01</w:t>
            </w:r>
          </w:p>
        </w:tc>
      </w:tr>
      <w:tr w:rsidR="00956231" w:rsidRPr="00956231" w14:paraId="030CF351" w14:textId="77777777" w:rsidTr="00956231">
        <w:trPr>
          <w:jc w:val="center"/>
        </w:trPr>
        <w:tc>
          <w:tcPr>
            <w:tcW w:w="2668" w:type="dxa"/>
            <w:tcBorders>
              <w:top w:val="nil"/>
              <w:left w:val="single" w:sz="4" w:space="0" w:color="auto"/>
              <w:bottom w:val="nil"/>
              <w:right w:val="single" w:sz="4" w:space="0" w:color="auto"/>
            </w:tcBorders>
          </w:tcPr>
          <w:p w14:paraId="44057CA9" w14:textId="77777777" w:rsidR="00956231" w:rsidRPr="00956231" w:rsidRDefault="00956231" w:rsidP="00956231">
            <w:pPr>
              <w:rPr>
                <w:b/>
                <w:sz w:val="20"/>
                <w:szCs w:val="20"/>
              </w:rPr>
            </w:pPr>
            <w:r w:rsidRPr="00956231">
              <w:rPr>
                <w:b/>
                <w:sz w:val="20"/>
                <w:szCs w:val="20"/>
              </w:rPr>
              <w:t>Remesa Promedio Total (Dólares)</w:t>
            </w:r>
          </w:p>
        </w:tc>
        <w:tc>
          <w:tcPr>
            <w:tcW w:w="1246" w:type="dxa"/>
            <w:tcBorders>
              <w:top w:val="nil"/>
              <w:left w:val="single" w:sz="4" w:space="0" w:color="auto"/>
              <w:bottom w:val="nil"/>
              <w:right w:val="single" w:sz="4" w:space="0" w:color="auto"/>
            </w:tcBorders>
            <w:vAlign w:val="center"/>
          </w:tcPr>
          <w:p w14:paraId="218C309E" w14:textId="77777777" w:rsidR="00956231" w:rsidRPr="00956231" w:rsidRDefault="00956231" w:rsidP="00956231">
            <w:pPr>
              <w:ind w:right="170"/>
              <w:jc w:val="right"/>
              <w:rPr>
                <w:b/>
                <w:sz w:val="20"/>
                <w:szCs w:val="20"/>
              </w:rPr>
            </w:pPr>
            <w:r w:rsidRPr="00956231">
              <w:rPr>
                <w:b/>
                <w:sz w:val="20"/>
                <w:szCs w:val="20"/>
              </w:rPr>
              <w:t>282.37</w:t>
            </w:r>
          </w:p>
        </w:tc>
        <w:tc>
          <w:tcPr>
            <w:tcW w:w="1247" w:type="dxa"/>
            <w:tcBorders>
              <w:top w:val="nil"/>
              <w:left w:val="single" w:sz="4" w:space="0" w:color="auto"/>
              <w:bottom w:val="nil"/>
              <w:right w:val="single" w:sz="4" w:space="0" w:color="auto"/>
            </w:tcBorders>
            <w:vAlign w:val="center"/>
          </w:tcPr>
          <w:p w14:paraId="1A31F358" w14:textId="77777777" w:rsidR="00956231" w:rsidRPr="00956231" w:rsidRDefault="00956231" w:rsidP="00956231">
            <w:pPr>
              <w:ind w:right="170"/>
              <w:jc w:val="right"/>
              <w:rPr>
                <w:b/>
                <w:sz w:val="20"/>
                <w:szCs w:val="20"/>
              </w:rPr>
            </w:pPr>
            <w:r w:rsidRPr="00956231">
              <w:rPr>
                <w:b/>
                <w:sz w:val="20"/>
                <w:szCs w:val="20"/>
              </w:rPr>
              <w:t>286.05</w:t>
            </w:r>
          </w:p>
        </w:tc>
        <w:tc>
          <w:tcPr>
            <w:tcW w:w="1248" w:type="dxa"/>
            <w:tcBorders>
              <w:top w:val="nil"/>
              <w:left w:val="single" w:sz="4" w:space="0" w:color="auto"/>
              <w:bottom w:val="nil"/>
              <w:right w:val="single" w:sz="4" w:space="0" w:color="auto"/>
            </w:tcBorders>
            <w:vAlign w:val="center"/>
          </w:tcPr>
          <w:p w14:paraId="09513790" w14:textId="77777777" w:rsidR="00956231" w:rsidRPr="00956231" w:rsidRDefault="00956231" w:rsidP="00956231">
            <w:pPr>
              <w:ind w:right="170"/>
              <w:jc w:val="right"/>
              <w:rPr>
                <w:b/>
                <w:sz w:val="20"/>
                <w:szCs w:val="20"/>
              </w:rPr>
            </w:pPr>
            <w:r w:rsidRPr="00956231">
              <w:rPr>
                <w:b/>
                <w:sz w:val="20"/>
                <w:szCs w:val="20"/>
              </w:rPr>
              <w:t>301.92</w:t>
            </w:r>
          </w:p>
        </w:tc>
        <w:tc>
          <w:tcPr>
            <w:tcW w:w="1246" w:type="dxa"/>
            <w:tcBorders>
              <w:top w:val="nil"/>
              <w:left w:val="single" w:sz="4" w:space="0" w:color="auto"/>
              <w:bottom w:val="nil"/>
              <w:right w:val="single" w:sz="4" w:space="0" w:color="auto"/>
            </w:tcBorders>
            <w:vAlign w:val="center"/>
          </w:tcPr>
          <w:p w14:paraId="0BCD3275" w14:textId="77777777" w:rsidR="00956231" w:rsidRPr="00956231" w:rsidRDefault="00956231" w:rsidP="00956231">
            <w:pPr>
              <w:ind w:right="170"/>
              <w:jc w:val="right"/>
              <w:rPr>
                <w:b/>
                <w:sz w:val="20"/>
                <w:szCs w:val="20"/>
              </w:rPr>
            </w:pPr>
            <w:r w:rsidRPr="00956231">
              <w:rPr>
                <w:b/>
                <w:sz w:val="20"/>
                <w:szCs w:val="20"/>
              </w:rPr>
              <w:t>279.18</w:t>
            </w:r>
          </w:p>
        </w:tc>
        <w:tc>
          <w:tcPr>
            <w:tcW w:w="1251" w:type="dxa"/>
            <w:tcBorders>
              <w:top w:val="nil"/>
              <w:left w:val="single" w:sz="4" w:space="0" w:color="auto"/>
              <w:bottom w:val="nil"/>
              <w:right w:val="single" w:sz="4" w:space="0" w:color="auto"/>
            </w:tcBorders>
            <w:vAlign w:val="center"/>
          </w:tcPr>
          <w:p w14:paraId="5A156D3F" w14:textId="77777777" w:rsidR="00956231" w:rsidRPr="00956231" w:rsidRDefault="00956231" w:rsidP="00956231">
            <w:pPr>
              <w:ind w:right="170"/>
              <w:jc w:val="right"/>
              <w:rPr>
                <w:b/>
                <w:sz w:val="20"/>
                <w:szCs w:val="20"/>
              </w:rPr>
            </w:pPr>
            <w:r w:rsidRPr="00956231">
              <w:rPr>
                <w:b/>
                <w:sz w:val="20"/>
                <w:szCs w:val="20"/>
              </w:rPr>
              <w:t>298.44</w:t>
            </w:r>
          </w:p>
        </w:tc>
      </w:tr>
      <w:tr w:rsidR="00956231" w:rsidRPr="00956231" w14:paraId="2AE6E7D3" w14:textId="77777777" w:rsidTr="00956231">
        <w:trPr>
          <w:jc w:val="center"/>
        </w:trPr>
        <w:tc>
          <w:tcPr>
            <w:tcW w:w="2668" w:type="dxa"/>
            <w:tcBorders>
              <w:top w:val="nil"/>
              <w:left w:val="single" w:sz="4" w:space="0" w:color="auto"/>
              <w:bottom w:val="nil"/>
              <w:right w:val="single" w:sz="4" w:space="0" w:color="auto"/>
            </w:tcBorders>
          </w:tcPr>
          <w:p w14:paraId="22DF0D58" w14:textId="77777777" w:rsidR="00956231" w:rsidRPr="00956231" w:rsidRDefault="00956231" w:rsidP="00956231">
            <w:pPr>
              <w:rPr>
                <w:i/>
                <w:sz w:val="20"/>
                <w:szCs w:val="20"/>
              </w:rPr>
            </w:pPr>
            <w:r w:rsidRPr="00956231">
              <w:rPr>
                <w:sz w:val="20"/>
                <w:szCs w:val="20"/>
              </w:rPr>
              <w:t xml:space="preserve">   </w:t>
            </w:r>
            <w:r w:rsidRPr="00956231">
              <w:rPr>
                <w:i/>
                <w:sz w:val="20"/>
                <w:szCs w:val="20"/>
              </w:rPr>
              <w:t xml:space="preserve">Money </w:t>
            </w:r>
            <w:proofErr w:type="spellStart"/>
            <w:r w:rsidRPr="00956231">
              <w:rPr>
                <w:i/>
                <w:sz w:val="20"/>
                <w:szCs w:val="20"/>
              </w:rPr>
              <w:t>Orders</w:t>
            </w:r>
            <w:proofErr w:type="spellEnd"/>
          </w:p>
        </w:tc>
        <w:tc>
          <w:tcPr>
            <w:tcW w:w="1246" w:type="dxa"/>
            <w:tcBorders>
              <w:top w:val="nil"/>
              <w:left w:val="single" w:sz="4" w:space="0" w:color="auto"/>
              <w:bottom w:val="nil"/>
              <w:right w:val="single" w:sz="4" w:space="0" w:color="auto"/>
            </w:tcBorders>
          </w:tcPr>
          <w:p w14:paraId="620FB52C" w14:textId="77777777" w:rsidR="00956231" w:rsidRPr="00956231" w:rsidRDefault="00956231" w:rsidP="00956231">
            <w:pPr>
              <w:ind w:right="170"/>
              <w:jc w:val="right"/>
              <w:rPr>
                <w:sz w:val="20"/>
                <w:szCs w:val="20"/>
              </w:rPr>
            </w:pPr>
            <w:r w:rsidRPr="00956231">
              <w:rPr>
                <w:sz w:val="20"/>
                <w:szCs w:val="20"/>
              </w:rPr>
              <w:t>529.70</w:t>
            </w:r>
          </w:p>
        </w:tc>
        <w:tc>
          <w:tcPr>
            <w:tcW w:w="1247" w:type="dxa"/>
            <w:tcBorders>
              <w:top w:val="nil"/>
              <w:left w:val="single" w:sz="4" w:space="0" w:color="auto"/>
              <w:bottom w:val="nil"/>
              <w:right w:val="single" w:sz="4" w:space="0" w:color="auto"/>
            </w:tcBorders>
          </w:tcPr>
          <w:p w14:paraId="0FA63F6A" w14:textId="77777777" w:rsidR="00956231" w:rsidRPr="00956231" w:rsidRDefault="00956231" w:rsidP="00956231">
            <w:pPr>
              <w:ind w:right="170"/>
              <w:jc w:val="right"/>
              <w:rPr>
                <w:sz w:val="20"/>
                <w:szCs w:val="20"/>
              </w:rPr>
            </w:pPr>
            <w:r w:rsidRPr="00956231">
              <w:rPr>
                <w:sz w:val="20"/>
                <w:szCs w:val="20"/>
              </w:rPr>
              <w:t>514.79</w:t>
            </w:r>
          </w:p>
        </w:tc>
        <w:tc>
          <w:tcPr>
            <w:tcW w:w="1248" w:type="dxa"/>
            <w:tcBorders>
              <w:top w:val="nil"/>
              <w:left w:val="single" w:sz="4" w:space="0" w:color="auto"/>
              <w:bottom w:val="nil"/>
              <w:right w:val="single" w:sz="4" w:space="0" w:color="auto"/>
            </w:tcBorders>
          </w:tcPr>
          <w:p w14:paraId="77DB8498" w14:textId="77777777" w:rsidR="00956231" w:rsidRPr="00956231" w:rsidRDefault="00956231" w:rsidP="00956231">
            <w:pPr>
              <w:ind w:right="170"/>
              <w:jc w:val="right"/>
              <w:rPr>
                <w:sz w:val="20"/>
                <w:szCs w:val="20"/>
              </w:rPr>
            </w:pPr>
            <w:r w:rsidRPr="00956231">
              <w:rPr>
                <w:sz w:val="20"/>
                <w:szCs w:val="20"/>
              </w:rPr>
              <w:t>543.69</w:t>
            </w:r>
          </w:p>
        </w:tc>
        <w:tc>
          <w:tcPr>
            <w:tcW w:w="1246" w:type="dxa"/>
            <w:tcBorders>
              <w:top w:val="nil"/>
              <w:left w:val="single" w:sz="4" w:space="0" w:color="auto"/>
              <w:bottom w:val="nil"/>
              <w:right w:val="single" w:sz="4" w:space="0" w:color="auto"/>
            </w:tcBorders>
          </w:tcPr>
          <w:p w14:paraId="3B7AB92C" w14:textId="77777777" w:rsidR="00956231" w:rsidRPr="00956231" w:rsidRDefault="00956231" w:rsidP="00956231">
            <w:pPr>
              <w:ind w:right="170"/>
              <w:jc w:val="right"/>
              <w:rPr>
                <w:sz w:val="20"/>
                <w:szCs w:val="20"/>
              </w:rPr>
            </w:pPr>
            <w:r w:rsidRPr="00956231">
              <w:rPr>
                <w:sz w:val="20"/>
                <w:szCs w:val="20"/>
              </w:rPr>
              <w:t>512.29</w:t>
            </w:r>
          </w:p>
        </w:tc>
        <w:tc>
          <w:tcPr>
            <w:tcW w:w="1251" w:type="dxa"/>
            <w:tcBorders>
              <w:top w:val="nil"/>
              <w:left w:val="single" w:sz="4" w:space="0" w:color="auto"/>
              <w:bottom w:val="nil"/>
              <w:right w:val="single" w:sz="4" w:space="0" w:color="auto"/>
            </w:tcBorders>
          </w:tcPr>
          <w:p w14:paraId="6E1EB3DC" w14:textId="77777777" w:rsidR="00956231" w:rsidRPr="00956231" w:rsidRDefault="00956231" w:rsidP="00956231">
            <w:pPr>
              <w:ind w:right="170"/>
              <w:jc w:val="right"/>
              <w:rPr>
                <w:sz w:val="20"/>
                <w:szCs w:val="20"/>
              </w:rPr>
            </w:pPr>
            <w:r w:rsidRPr="00956231">
              <w:rPr>
                <w:sz w:val="20"/>
                <w:szCs w:val="20"/>
              </w:rPr>
              <w:t>521.26</w:t>
            </w:r>
          </w:p>
        </w:tc>
      </w:tr>
      <w:tr w:rsidR="00956231" w:rsidRPr="00956231" w14:paraId="34D7768E" w14:textId="77777777" w:rsidTr="00956231">
        <w:trPr>
          <w:jc w:val="center"/>
        </w:trPr>
        <w:tc>
          <w:tcPr>
            <w:tcW w:w="2668" w:type="dxa"/>
            <w:tcBorders>
              <w:top w:val="nil"/>
              <w:left w:val="single" w:sz="4" w:space="0" w:color="auto"/>
              <w:bottom w:val="nil"/>
              <w:right w:val="single" w:sz="4" w:space="0" w:color="auto"/>
            </w:tcBorders>
          </w:tcPr>
          <w:p w14:paraId="77584884" w14:textId="77777777" w:rsidR="00956231" w:rsidRPr="00956231" w:rsidRDefault="00956231" w:rsidP="00956231">
            <w:pPr>
              <w:rPr>
                <w:sz w:val="20"/>
                <w:szCs w:val="20"/>
              </w:rPr>
            </w:pPr>
            <w:r w:rsidRPr="00956231">
              <w:rPr>
                <w:sz w:val="20"/>
                <w:szCs w:val="20"/>
              </w:rPr>
              <w:t xml:space="preserve">   Cheques Personales</w:t>
            </w:r>
          </w:p>
        </w:tc>
        <w:tc>
          <w:tcPr>
            <w:tcW w:w="1246" w:type="dxa"/>
            <w:tcBorders>
              <w:top w:val="nil"/>
              <w:left w:val="single" w:sz="4" w:space="0" w:color="auto"/>
              <w:bottom w:val="nil"/>
              <w:right w:val="single" w:sz="4" w:space="0" w:color="auto"/>
            </w:tcBorders>
          </w:tcPr>
          <w:p w14:paraId="10E2D901" w14:textId="77777777" w:rsidR="00956231" w:rsidRPr="00956231" w:rsidRDefault="00956231" w:rsidP="00956231">
            <w:pPr>
              <w:ind w:right="170"/>
              <w:jc w:val="right"/>
              <w:rPr>
                <w:sz w:val="20"/>
                <w:szCs w:val="20"/>
              </w:rPr>
            </w:pPr>
            <w:r w:rsidRPr="00956231">
              <w:rPr>
                <w:sz w:val="20"/>
                <w:szCs w:val="20"/>
              </w:rPr>
              <w:t>0.00</w:t>
            </w:r>
          </w:p>
        </w:tc>
        <w:tc>
          <w:tcPr>
            <w:tcW w:w="1247" w:type="dxa"/>
            <w:tcBorders>
              <w:top w:val="nil"/>
              <w:left w:val="single" w:sz="4" w:space="0" w:color="auto"/>
              <w:bottom w:val="nil"/>
              <w:right w:val="single" w:sz="4" w:space="0" w:color="auto"/>
            </w:tcBorders>
          </w:tcPr>
          <w:p w14:paraId="69ABC850" w14:textId="77777777" w:rsidR="00956231" w:rsidRPr="00956231" w:rsidRDefault="00956231" w:rsidP="00956231">
            <w:pPr>
              <w:ind w:right="170"/>
              <w:jc w:val="right"/>
              <w:rPr>
                <w:sz w:val="20"/>
                <w:szCs w:val="20"/>
              </w:rPr>
            </w:pPr>
            <w:r w:rsidRPr="00956231">
              <w:rPr>
                <w:sz w:val="20"/>
                <w:szCs w:val="20"/>
              </w:rPr>
              <w:t>0.00</w:t>
            </w:r>
          </w:p>
        </w:tc>
        <w:tc>
          <w:tcPr>
            <w:tcW w:w="1248" w:type="dxa"/>
            <w:tcBorders>
              <w:top w:val="nil"/>
              <w:left w:val="single" w:sz="4" w:space="0" w:color="auto"/>
              <w:bottom w:val="nil"/>
              <w:right w:val="single" w:sz="4" w:space="0" w:color="auto"/>
            </w:tcBorders>
          </w:tcPr>
          <w:p w14:paraId="7E3093CE" w14:textId="77777777" w:rsidR="00956231" w:rsidRPr="00956231" w:rsidRDefault="00956231" w:rsidP="00956231">
            <w:pPr>
              <w:ind w:right="170"/>
              <w:jc w:val="right"/>
              <w:rPr>
                <w:sz w:val="20"/>
                <w:szCs w:val="20"/>
              </w:rPr>
            </w:pPr>
            <w:r w:rsidRPr="00956231">
              <w:rPr>
                <w:sz w:val="20"/>
                <w:szCs w:val="20"/>
              </w:rPr>
              <w:t>0.00</w:t>
            </w:r>
          </w:p>
        </w:tc>
        <w:tc>
          <w:tcPr>
            <w:tcW w:w="1246" w:type="dxa"/>
            <w:tcBorders>
              <w:top w:val="nil"/>
              <w:left w:val="single" w:sz="4" w:space="0" w:color="auto"/>
              <w:bottom w:val="nil"/>
              <w:right w:val="single" w:sz="4" w:space="0" w:color="auto"/>
            </w:tcBorders>
          </w:tcPr>
          <w:p w14:paraId="28A33182" w14:textId="77777777" w:rsidR="00956231" w:rsidRPr="00956231" w:rsidRDefault="00956231" w:rsidP="00956231">
            <w:pPr>
              <w:ind w:right="170"/>
              <w:jc w:val="right"/>
              <w:rPr>
                <w:sz w:val="20"/>
                <w:szCs w:val="20"/>
              </w:rPr>
            </w:pPr>
            <w:r w:rsidRPr="00956231">
              <w:rPr>
                <w:sz w:val="20"/>
                <w:szCs w:val="20"/>
              </w:rPr>
              <w:t>0.00</w:t>
            </w:r>
          </w:p>
        </w:tc>
        <w:tc>
          <w:tcPr>
            <w:tcW w:w="1251" w:type="dxa"/>
            <w:tcBorders>
              <w:top w:val="nil"/>
              <w:left w:val="single" w:sz="4" w:space="0" w:color="auto"/>
              <w:bottom w:val="nil"/>
              <w:right w:val="single" w:sz="4" w:space="0" w:color="auto"/>
            </w:tcBorders>
          </w:tcPr>
          <w:p w14:paraId="17AF22D1" w14:textId="77777777" w:rsidR="00956231" w:rsidRPr="00956231" w:rsidRDefault="00956231" w:rsidP="00956231">
            <w:pPr>
              <w:ind w:right="170"/>
              <w:jc w:val="right"/>
              <w:rPr>
                <w:sz w:val="20"/>
                <w:szCs w:val="20"/>
              </w:rPr>
            </w:pPr>
            <w:r w:rsidRPr="00956231">
              <w:rPr>
                <w:sz w:val="20"/>
                <w:szCs w:val="20"/>
              </w:rPr>
              <w:t>0.00</w:t>
            </w:r>
          </w:p>
        </w:tc>
      </w:tr>
      <w:tr w:rsidR="00956231" w:rsidRPr="00956231" w14:paraId="72778317" w14:textId="77777777" w:rsidTr="00956231">
        <w:trPr>
          <w:jc w:val="center"/>
        </w:trPr>
        <w:tc>
          <w:tcPr>
            <w:tcW w:w="2668" w:type="dxa"/>
            <w:tcBorders>
              <w:top w:val="nil"/>
              <w:left w:val="single" w:sz="4" w:space="0" w:color="auto"/>
              <w:bottom w:val="nil"/>
              <w:right w:val="single" w:sz="4" w:space="0" w:color="auto"/>
            </w:tcBorders>
          </w:tcPr>
          <w:p w14:paraId="48EBFC21" w14:textId="77777777" w:rsidR="00956231" w:rsidRPr="00956231" w:rsidRDefault="00956231" w:rsidP="00956231">
            <w:pPr>
              <w:rPr>
                <w:sz w:val="20"/>
                <w:szCs w:val="20"/>
              </w:rPr>
            </w:pPr>
            <w:r w:rsidRPr="00956231">
              <w:rPr>
                <w:sz w:val="20"/>
                <w:szCs w:val="20"/>
              </w:rPr>
              <w:t xml:space="preserve">   Transferencias Electrónicas</w:t>
            </w:r>
          </w:p>
        </w:tc>
        <w:tc>
          <w:tcPr>
            <w:tcW w:w="1246" w:type="dxa"/>
            <w:tcBorders>
              <w:top w:val="nil"/>
              <w:left w:val="single" w:sz="4" w:space="0" w:color="auto"/>
              <w:bottom w:val="nil"/>
              <w:right w:val="single" w:sz="4" w:space="0" w:color="auto"/>
            </w:tcBorders>
          </w:tcPr>
          <w:p w14:paraId="20344FF6" w14:textId="77777777" w:rsidR="00956231" w:rsidRPr="00956231" w:rsidRDefault="00956231" w:rsidP="00956231">
            <w:pPr>
              <w:ind w:right="170"/>
              <w:jc w:val="right"/>
              <w:rPr>
                <w:sz w:val="20"/>
                <w:szCs w:val="20"/>
              </w:rPr>
            </w:pPr>
            <w:r w:rsidRPr="00956231">
              <w:rPr>
                <w:sz w:val="20"/>
                <w:szCs w:val="20"/>
              </w:rPr>
              <w:t>277.26</w:t>
            </w:r>
          </w:p>
        </w:tc>
        <w:tc>
          <w:tcPr>
            <w:tcW w:w="1247" w:type="dxa"/>
            <w:tcBorders>
              <w:top w:val="nil"/>
              <w:left w:val="single" w:sz="4" w:space="0" w:color="auto"/>
              <w:bottom w:val="nil"/>
              <w:right w:val="single" w:sz="4" w:space="0" w:color="auto"/>
            </w:tcBorders>
          </w:tcPr>
          <w:p w14:paraId="11EC5F45" w14:textId="77777777" w:rsidR="00956231" w:rsidRPr="00956231" w:rsidRDefault="00956231" w:rsidP="00956231">
            <w:pPr>
              <w:ind w:right="170"/>
              <w:jc w:val="right"/>
              <w:rPr>
                <w:sz w:val="20"/>
                <w:szCs w:val="20"/>
              </w:rPr>
            </w:pPr>
            <w:r w:rsidRPr="00956231">
              <w:rPr>
                <w:sz w:val="20"/>
                <w:szCs w:val="20"/>
              </w:rPr>
              <w:t>283.35</w:t>
            </w:r>
          </w:p>
        </w:tc>
        <w:tc>
          <w:tcPr>
            <w:tcW w:w="1248" w:type="dxa"/>
            <w:tcBorders>
              <w:top w:val="nil"/>
              <w:left w:val="single" w:sz="4" w:space="0" w:color="auto"/>
              <w:bottom w:val="nil"/>
              <w:right w:val="single" w:sz="4" w:space="0" w:color="auto"/>
            </w:tcBorders>
          </w:tcPr>
          <w:p w14:paraId="340F97CF" w14:textId="77777777" w:rsidR="00956231" w:rsidRPr="00956231" w:rsidRDefault="00956231" w:rsidP="00956231">
            <w:pPr>
              <w:ind w:right="170"/>
              <w:jc w:val="right"/>
              <w:rPr>
                <w:sz w:val="20"/>
                <w:szCs w:val="20"/>
              </w:rPr>
            </w:pPr>
            <w:r w:rsidRPr="00956231">
              <w:rPr>
                <w:sz w:val="20"/>
                <w:szCs w:val="20"/>
              </w:rPr>
              <w:t>296.88</w:t>
            </w:r>
          </w:p>
        </w:tc>
        <w:tc>
          <w:tcPr>
            <w:tcW w:w="1246" w:type="dxa"/>
            <w:tcBorders>
              <w:top w:val="nil"/>
              <w:left w:val="single" w:sz="4" w:space="0" w:color="auto"/>
              <w:bottom w:val="nil"/>
              <w:right w:val="single" w:sz="4" w:space="0" w:color="auto"/>
            </w:tcBorders>
          </w:tcPr>
          <w:p w14:paraId="553FAD73" w14:textId="77777777" w:rsidR="00956231" w:rsidRPr="00956231" w:rsidRDefault="00956231" w:rsidP="00956231">
            <w:pPr>
              <w:ind w:right="170"/>
              <w:jc w:val="right"/>
              <w:rPr>
                <w:sz w:val="20"/>
                <w:szCs w:val="20"/>
              </w:rPr>
            </w:pPr>
            <w:r w:rsidRPr="00956231">
              <w:rPr>
                <w:sz w:val="20"/>
                <w:szCs w:val="20"/>
              </w:rPr>
              <w:t>274.38</w:t>
            </w:r>
          </w:p>
        </w:tc>
        <w:tc>
          <w:tcPr>
            <w:tcW w:w="1251" w:type="dxa"/>
            <w:tcBorders>
              <w:top w:val="nil"/>
              <w:left w:val="single" w:sz="4" w:space="0" w:color="auto"/>
              <w:bottom w:val="nil"/>
              <w:right w:val="single" w:sz="4" w:space="0" w:color="auto"/>
            </w:tcBorders>
          </w:tcPr>
          <w:p w14:paraId="06EDF909" w14:textId="77777777" w:rsidR="00956231" w:rsidRPr="00956231" w:rsidRDefault="00956231" w:rsidP="00956231">
            <w:pPr>
              <w:ind w:right="170"/>
              <w:jc w:val="right"/>
              <w:rPr>
                <w:sz w:val="20"/>
                <w:szCs w:val="20"/>
              </w:rPr>
            </w:pPr>
            <w:r w:rsidRPr="00956231">
              <w:rPr>
                <w:sz w:val="20"/>
                <w:szCs w:val="20"/>
              </w:rPr>
              <w:t>295.69</w:t>
            </w:r>
          </w:p>
        </w:tc>
      </w:tr>
      <w:tr w:rsidR="00956231" w:rsidRPr="00956231" w14:paraId="6302C30F" w14:textId="77777777" w:rsidTr="00956231">
        <w:trPr>
          <w:jc w:val="center"/>
        </w:trPr>
        <w:tc>
          <w:tcPr>
            <w:tcW w:w="2668" w:type="dxa"/>
            <w:tcBorders>
              <w:top w:val="nil"/>
              <w:left w:val="single" w:sz="4" w:space="0" w:color="auto"/>
              <w:bottom w:val="single" w:sz="4" w:space="0" w:color="auto"/>
              <w:right w:val="single" w:sz="4" w:space="0" w:color="auto"/>
            </w:tcBorders>
          </w:tcPr>
          <w:p w14:paraId="6DED0BBA" w14:textId="77777777" w:rsidR="00956231" w:rsidRPr="00956231" w:rsidRDefault="00956231" w:rsidP="00956231">
            <w:pPr>
              <w:rPr>
                <w:sz w:val="20"/>
                <w:szCs w:val="20"/>
              </w:rPr>
            </w:pPr>
            <w:r w:rsidRPr="00956231">
              <w:rPr>
                <w:sz w:val="20"/>
                <w:szCs w:val="20"/>
              </w:rPr>
              <w:t xml:space="preserve">   Efectivo y Especie</w:t>
            </w:r>
          </w:p>
        </w:tc>
        <w:tc>
          <w:tcPr>
            <w:tcW w:w="1246" w:type="dxa"/>
            <w:tcBorders>
              <w:top w:val="nil"/>
              <w:left w:val="single" w:sz="4" w:space="0" w:color="auto"/>
              <w:bottom w:val="single" w:sz="4" w:space="0" w:color="auto"/>
              <w:right w:val="single" w:sz="4" w:space="0" w:color="auto"/>
            </w:tcBorders>
          </w:tcPr>
          <w:p w14:paraId="39E7E0DF" w14:textId="77777777" w:rsidR="00956231" w:rsidRPr="00956231" w:rsidRDefault="00956231" w:rsidP="00956231">
            <w:pPr>
              <w:ind w:right="170"/>
              <w:jc w:val="right"/>
              <w:rPr>
                <w:sz w:val="20"/>
                <w:szCs w:val="20"/>
              </w:rPr>
            </w:pPr>
            <w:r w:rsidRPr="00956231">
              <w:rPr>
                <w:sz w:val="20"/>
                <w:szCs w:val="20"/>
              </w:rPr>
              <w:t>374.30</w:t>
            </w:r>
          </w:p>
        </w:tc>
        <w:tc>
          <w:tcPr>
            <w:tcW w:w="1247" w:type="dxa"/>
            <w:tcBorders>
              <w:top w:val="nil"/>
              <w:left w:val="single" w:sz="4" w:space="0" w:color="auto"/>
              <w:bottom w:val="single" w:sz="4" w:space="0" w:color="auto"/>
              <w:right w:val="single" w:sz="4" w:space="0" w:color="auto"/>
            </w:tcBorders>
          </w:tcPr>
          <w:p w14:paraId="0FAAA00F" w14:textId="77777777" w:rsidR="00956231" w:rsidRPr="00956231" w:rsidRDefault="00956231" w:rsidP="00956231">
            <w:pPr>
              <w:ind w:right="170"/>
              <w:jc w:val="right"/>
              <w:rPr>
                <w:sz w:val="20"/>
                <w:szCs w:val="20"/>
              </w:rPr>
            </w:pPr>
            <w:r w:rsidRPr="00956231">
              <w:rPr>
                <w:sz w:val="20"/>
                <w:szCs w:val="20"/>
              </w:rPr>
              <w:t>397.24</w:t>
            </w:r>
          </w:p>
        </w:tc>
        <w:tc>
          <w:tcPr>
            <w:tcW w:w="1248" w:type="dxa"/>
            <w:tcBorders>
              <w:top w:val="nil"/>
              <w:left w:val="single" w:sz="4" w:space="0" w:color="auto"/>
              <w:bottom w:val="single" w:sz="4" w:space="0" w:color="auto"/>
              <w:right w:val="single" w:sz="4" w:space="0" w:color="auto"/>
            </w:tcBorders>
          </w:tcPr>
          <w:p w14:paraId="1FCB1925" w14:textId="77777777" w:rsidR="00956231" w:rsidRPr="00956231" w:rsidRDefault="00956231" w:rsidP="00956231">
            <w:pPr>
              <w:ind w:right="170"/>
              <w:jc w:val="right"/>
              <w:rPr>
                <w:sz w:val="20"/>
                <w:szCs w:val="20"/>
              </w:rPr>
            </w:pPr>
            <w:r w:rsidRPr="00956231">
              <w:rPr>
                <w:sz w:val="20"/>
                <w:szCs w:val="20"/>
              </w:rPr>
              <w:t>435.23</w:t>
            </w:r>
          </w:p>
        </w:tc>
        <w:tc>
          <w:tcPr>
            <w:tcW w:w="1246" w:type="dxa"/>
            <w:tcBorders>
              <w:top w:val="nil"/>
              <w:left w:val="single" w:sz="4" w:space="0" w:color="auto"/>
              <w:bottom w:val="single" w:sz="4" w:space="0" w:color="auto"/>
              <w:right w:val="single" w:sz="4" w:space="0" w:color="auto"/>
            </w:tcBorders>
          </w:tcPr>
          <w:p w14:paraId="4D907509" w14:textId="77777777" w:rsidR="00956231" w:rsidRPr="00956231" w:rsidRDefault="00956231" w:rsidP="00956231">
            <w:pPr>
              <w:ind w:right="170"/>
              <w:jc w:val="right"/>
              <w:rPr>
                <w:sz w:val="20"/>
                <w:szCs w:val="20"/>
              </w:rPr>
            </w:pPr>
            <w:r w:rsidRPr="00956231">
              <w:rPr>
                <w:sz w:val="20"/>
                <w:szCs w:val="20"/>
              </w:rPr>
              <w:t>505.86</w:t>
            </w:r>
          </w:p>
        </w:tc>
        <w:tc>
          <w:tcPr>
            <w:tcW w:w="1251" w:type="dxa"/>
            <w:tcBorders>
              <w:top w:val="nil"/>
              <w:left w:val="single" w:sz="4" w:space="0" w:color="auto"/>
              <w:bottom w:val="single" w:sz="4" w:space="0" w:color="auto"/>
              <w:right w:val="single" w:sz="4" w:space="0" w:color="auto"/>
            </w:tcBorders>
          </w:tcPr>
          <w:p w14:paraId="39E6B6E2" w14:textId="77777777" w:rsidR="00956231" w:rsidRPr="00956231" w:rsidRDefault="00956231" w:rsidP="00956231">
            <w:pPr>
              <w:ind w:right="170"/>
              <w:jc w:val="right"/>
              <w:rPr>
                <w:sz w:val="20"/>
                <w:szCs w:val="20"/>
              </w:rPr>
            </w:pPr>
            <w:r w:rsidRPr="00956231">
              <w:rPr>
                <w:sz w:val="20"/>
                <w:szCs w:val="20"/>
              </w:rPr>
              <w:t>440.55</w:t>
            </w:r>
          </w:p>
        </w:tc>
      </w:tr>
      <w:tr w:rsidR="00956231" w:rsidRPr="00956231" w14:paraId="5EE3BE49" w14:textId="77777777" w:rsidTr="00956231">
        <w:trPr>
          <w:jc w:val="center"/>
        </w:trPr>
        <w:tc>
          <w:tcPr>
            <w:tcW w:w="8906" w:type="dxa"/>
            <w:gridSpan w:val="6"/>
            <w:tcBorders>
              <w:top w:val="single" w:sz="4" w:space="0" w:color="auto"/>
              <w:left w:val="nil"/>
              <w:bottom w:val="nil"/>
              <w:right w:val="nil"/>
            </w:tcBorders>
          </w:tcPr>
          <w:p w14:paraId="7C01F0CF" w14:textId="77777777" w:rsidR="00956231" w:rsidRPr="00956231" w:rsidRDefault="00956231" w:rsidP="00956231">
            <w:pPr>
              <w:ind w:left="539" w:right="284" w:hanging="539"/>
              <w:jc w:val="both"/>
              <w:rPr>
                <w:sz w:val="20"/>
                <w:szCs w:val="20"/>
              </w:rPr>
            </w:pPr>
            <w:r w:rsidRPr="00956231">
              <w:rPr>
                <w:sz w:val="20"/>
                <w:szCs w:val="20"/>
              </w:rPr>
              <w:t>Nota: Las cifras de remesas familiares tienen el carácter de preliminar y están sujetas a revisiones posteriores.</w:t>
            </w:r>
          </w:p>
          <w:p w14:paraId="718037A6" w14:textId="77777777" w:rsidR="00956231" w:rsidRPr="00956231" w:rsidRDefault="00956231" w:rsidP="00956231">
            <w:pPr>
              <w:ind w:right="284"/>
              <w:jc w:val="both"/>
              <w:rPr>
                <w:sz w:val="20"/>
                <w:szCs w:val="20"/>
              </w:rPr>
            </w:pPr>
            <w:r w:rsidRPr="00956231">
              <w:rPr>
                <w:sz w:val="20"/>
                <w:szCs w:val="20"/>
              </w:rPr>
              <w:t>FUENTE: Banco de México.</w:t>
            </w:r>
          </w:p>
        </w:tc>
      </w:tr>
    </w:tbl>
    <w:p w14:paraId="6207CE69" w14:textId="77777777" w:rsidR="00956231" w:rsidRPr="00956231" w:rsidRDefault="00956231" w:rsidP="00956231">
      <w:pPr>
        <w:spacing w:line="360" w:lineRule="auto"/>
        <w:ind w:right="-159"/>
        <w:rPr>
          <w:sz w:val="26"/>
          <w:szCs w:val="26"/>
        </w:rPr>
      </w:pPr>
    </w:p>
    <w:p w14:paraId="60866E74" w14:textId="77777777" w:rsidR="00956231" w:rsidRPr="00956231" w:rsidRDefault="00956231" w:rsidP="00956231">
      <w:pPr>
        <w:ind w:right="-159"/>
        <w:jc w:val="both"/>
        <w:rPr>
          <w:rFonts w:eastAsia="Times New Roman"/>
          <w:b/>
          <w:sz w:val="20"/>
          <w:szCs w:val="20"/>
        </w:rPr>
      </w:pPr>
      <w:r w:rsidRPr="00956231">
        <w:rPr>
          <w:rFonts w:eastAsia="Times New Roman"/>
          <w:b/>
          <w:sz w:val="20"/>
          <w:szCs w:val="20"/>
        </w:rPr>
        <w:t>Fuente de información:</w:t>
      </w:r>
    </w:p>
    <w:p w14:paraId="20484FF4" w14:textId="77777777" w:rsidR="00956231" w:rsidRPr="005D5E9A" w:rsidRDefault="00D936FE" w:rsidP="00956231">
      <w:pPr>
        <w:ind w:right="-159"/>
        <w:jc w:val="both"/>
        <w:rPr>
          <w:rFonts w:eastAsia="Times New Roman"/>
          <w:color w:val="0000FF"/>
          <w:sz w:val="20"/>
          <w:szCs w:val="20"/>
        </w:rPr>
      </w:pPr>
      <w:hyperlink r:id="rId75" w:history="1">
        <w:r w:rsidR="00956231" w:rsidRPr="005D5E9A">
          <w:rPr>
            <w:rFonts w:eastAsia="Times New Roman"/>
            <w:color w:val="0000FF"/>
            <w:sz w:val="20"/>
            <w:szCs w:val="20"/>
            <w:u w:val="single"/>
          </w:rPr>
          <w:t>http://www.banxico.org.mx/SieInternet/consultarDirectorioInternetAction.do?accion=consultarCuadroAnalitico&amp;idCuadro=CA11&amp;sector=1&amp;locale=es</w:t>
        </w:r>
      </w:hyperlink>
    </w:p>
    <w:p w14:paraId="11300821" w14:textId="77777777" w:rsidR="00956231" w:rsidRPr="005D5E9A" w:rsidRDefault="00D936FE" w:rsidP="00956231">
      <w:pPr>
        <w:ind w:right="-159"/>
        <w:jc w:val="both"/>
        <w:rPr>
          <w:rFonts w:eastAsia="Times New Roman"/>
          <w:color w:val="0000FF"/>
          <w:sz w:val="20"/>
          <w:szCs w:val="20"/>
          <w:u w:val="single"/>
        </w:rPr>
      </w:pPr>
      <w:hyperlink r:id="rId76" w:history="1">
        <w:r w:rsidR="00956231" w:rsidRPr="005D5E9A">
          <w:rPr>
            <w:rFonts w:eastAsia="Times New Roman"/>
            <w:color w:val="0000FF"/>
            <w:sz w:val="20"/>
            <w:szCs w:val="20"/>
            <w:u w:val="single"/>
          </w:rPr>
          <w:t>http://www.banxico.org.mx/SieInternet/consultarDirectorioInternetAction.do?accion=consultarCuadro&amp;idCuadro=CE81&amp;sector=1&amp;locale=es</w:t>
        </w:r>
      </w:hyperlink>
    </w:p>
    <w:p w14:paraId="1EF1BE79" w14:textId="77777777" w:rsidR="00F3340E" w:rsidRDefault="00F3340E" w:rsidP="00956231">
      <w:pPr>
        <w:spacing w:after="360" w:line="360" w:lineRule="auto"/>
        <w:ind w:right="-159"/>
        <w:jc w:val="both"/>
        <w:rPr>
          <w:sz w:val="26"/>
          <w:szCs w:val="26"/>
          <w:lang w:val="es-ES"/>
        </w:rPr>
      </w:pPr>
    </w:p>
    <w:p w14:paraId="39E1D551" w14:textId="77777777" w:rsidR="006B554D" w:rsidRPr="006B554D" w:rsidRDefault="006B554D" w:rsidP="006B554D">
      <w:pPr>
        <w:ind w:right="-159"/>
        <w:jc w:val="both"/>
        <w:rPr>
          <w:rFonts w:eastAsia="Calibri"/>
          <w:b/>
          <w:sz w:val="26"/>
          <w:szCs w:val="26"/>
          <w:lang w:eastAsia="en-US"/>
        </w:rPr>
      </w:pPr>
      <w:r w:rsidRPr="006B554D">
        <w:rPr>
          <w:rFonts w:eastAsia="Calibri"/>
          <w:b/>
          <w:sz w:val="26"/>
          <w:szCs w:val="26"/>
          <w:lang w:eastAsia="en-US"/>
        </w:rPr>
        <w:lastRenderedPageBreak/>
        <w:t>Remesas disminuirán abruptamente</w:t>
      </w:r>
    </w:p>
    <w:p w14:paraId="15832571" w14:textId="159232AD" w:rsidR="006B554D" w:rsidRPr="006B554D" w:rsidRDefault="006B554D" w:rsidP="006B554D">
      <w:pPr>
        <w:spacing w:after="360" w:line="360" w:lineRule="auto"/>
        <w:ind w:right="-159"/>
        <w:jc w:val="both"/>
        <w:rPr>
          <w:rFonts w:eastAsia="Calibri"/>
          <w:sz w:val="26"/>
          <w:szCs w:val="26"/>
          <w:lang w:eastAsia="en-US"/>
        </w:rPr>
      </w:pPr>
      <w:proofErr w:type="gramStart"/>
      <w:r w:rsidRPr="006B554D">
        <w:rPr>
          <w:rFonts w:eastAsia="Calibri"/>
          <w:b/>
          <w:sz w:val="26"/>
          <w:szCs w:val="26"/>
          <w:lang w:eastAsia="en-US"/>
        </w:rPr>
        <w:t>su</w:t>
      </w:r>
      <w:proofErr w:type="gramEnd"/>
      <w:r w:rsidRPr="006B554D">
        <w:rPr>
          <w:rFonts w:eastAsia="Calibri"/>
          <w:b/>
          <w:sz w:val="26"/>
          <w:szCs w:val="26"/>
          <w:lang w:eastAsia="en-US"/>
        </w:rPr>
        <w:t xml:space="preserve"> </w:t>
      </w:r>
      <w:r>
        <w:rPr>
          <w:rFonts w:eastAsia="Calibri"/>
          <w:b/>
          <w:sz w:val="26"/>
          <w:szCs w:val="26"/>
          <w:lang w:eastAsia="en-US"/>
        </w:rPr>
        <w:t xml:space="preserve">    </w:t>
      </w:r>
      <w:r w:rsidRPr="006B554D">
        <w:rPr>
          <w:rFonts w:eastAsia="Calibri"/>
          <w:b/>
          <w:sz w:val="26"/>
          <w:szCs w:val="26"/>
          <w:lang w:eastAsia="en-US"/>
        </w:rPr>
        <w:t xml:space="preserve">crecimiento </w:t>
      </w:r>
      <w:r>
        <w:rPr>
          <w:rFonts w:eastAsia="Calibri"/>
          <w:b/>
          <w:sz w:val="26"/>
          <w:szCs w:val="26"/>
          <w:lang w:eastAsia="en-US"/>
        </w:rPr>
        <w:t xml:space="preserve">   </w:t>
      </w:r>
      <w:r w:rsidRPr="006B554D">
        <w:rPr>
          <w:rFonts w:eastAsia="Calibri"/>
          <w:b/>
          <w:sz w:val="26"/>
          <w:szCs w:val="26"/>
          <w:lang w:eastAsia="en-US"/>
        </w:rPr>
        <w:t xml:space="preserve">en </w:t>
      </w:r>
      <w:r>
        <w:rPr>
          <w:rFonts w:eastAsia="Calibri"/>
          <w:b/>
          <w:sz w:val="26"/>
          <w:szCs w:val="26"/>
          <w:lang w:eastAsia="en-US"/>
        </w:rPr>
        <w:t xml:space="preserve">   </w:t>
      </w:r>
      <w:r w:rsidRPr="006B554D">
        <w:rPr>
          <w:rFonts w:eastAsia="Calibri"/>
          <w:b/>
          <w:sz w:val="26"/>
          <w:szCs w:val="26"/>
          <w:lang w:eastAsia="en-US"/>
        </w:rPr>
        <w:t xml:space="preserve">2015 </w:t>
      </w:r>
      <w:r>
        <w:rPr>
          <w:rFonts w:eastAsia="Calibri"/>
          <w:b/>
          <w:sz w:val="26"/>
          <w:szCs w:val="26"/>
          <w:lang w:eastAsia="en-US"/>
        </w:rPr>
        <w:t xml:space="preserve">   </w:t>
      </w:r>
      <w:r w:rsidRPr="006B554D">
        <w:rPr>
          <w:rFonts w:eastAsia="Calibri"/>
          <w:b/>
          <w:sz w:val="26"/>
          <w:szCs w:val="26"/>
          <w:lang w:eastAsia="en-US"/>
        </w:rPr>
        <w:t>(BM)</w:t>
      </w:r>
    </w:p>
    <w:p w14:paraId="63401878" w14:textId="25FF1F13" w:rsidR="006B554D" w:rsidRPr="006B554D" w:rsidRDefault="006B554D" w:rsidP="006B554D">
      <w:pPr>
        <w:spacing w:after="360" w:line="360" w:lineRule="auto"/>
        <w:ind w:right="-159"/>
        <w:jc w:val="both"/>
        <w:rPr>
          <w:rFonts w:eastAsia="Calibri"/>
          <w:sz w:val="26"/>
          <w:szCs w:val="26"/>
          <w:lang w:eastAsia="en-US"/>
        </w:rPr>
      </w:pPr>
      <w:r>
        <w:rPr>
          <w:rFonts w:eastAsia="Calibri"/>
          <w:sz w:val="26"/>
          <w:szCs w:val="26"/>
          <w:lang w:eastAsia="en-US"/>
        </w:rPr>
        <w:t xml:space="preserve">El </w:t>
      </w:r>
      <w:r w:rsidRPr="006B554D">
        <w:rPr>
          <w:rFonts w:eastAsia="Calibri"/>
          <w:sz w:val="26"/>
          <w:szCs w:val="26"/>
          <w:lang w:eastAsia="en-US"/>
        </w:rPr>
        <w:t>13</w:t>
      </w:r>
      <w:r>
        <w:rPr>
          <w:rFonts w:eastAsia="Calibri"/>
          <w:sz w:val="26"/>
          <w:szCs w:val="26"/>
          <w:lang w:eastAsia="en-US"/>
        </w:rPr>
        <w:t xml:space="preserve"> de abril de </w:t>
      </w:r>
      <w:r w:rsidRPr="006B554D">
        <w:rPr>
          <w:rFonts w:eastAsia="Calibri"/>
          <w:sz w:val="26"/>
          <w:szCs w:val="26"/>
          <w:lang w:eastAsia="en-US"/>
        </w:rPr>
        <w:t>2015</w:t>
      </w:r>
      <w:r>
        <w:rPr>
          <w:rFonts w:eastAsia="Calibri"/>
          <w:sz w:val="26"/>
          <w:szCs w:val="26"/>
          <w:lang w:eastAsia="en-US"/>
        </w:rPr>
        <w:t>, el Banco Mundial (BM) publicó el artículo “</w:t>
      </w:r>
      <w:r w:rsidRPr="006B554D">
        <w:rPr>
          <w:rFonts w:eastAsia="Calibri"/>
          <w:sz w:val="26"/>
          <w:szCs w:val="26"/>
          <w:lang w:eastAsia="en-US"/>
        </w:rPr>
        <w:t>Remesas disminuirán abruptamente su crecimiento en 2015 debido a debilidad de Europa y Rusia; se espera que repunten el próximo año</w:t>
      </w:r>
      <w:r>
        <w:rPr>
          <w:rFonts w:eastAsia="Calibri"/>
          <w:sz w:val="26"/>
          <w:szCs w:val="26"/>
          <w:lang w:eastAsia="en-US"/>
        </w:rPr>
        <w:t>”. A continuación se presenta el contenido.</w:t>
      </w:r>
    </w:p>
    <w:p w14:paraId="1BA0C29F" w14:textId="1950FB43" w:rsidR="006B554D" w:rsidRPr="006B554D" w:rsidRDefault="006B554D" w:rsidP="006B554D">
      <w:pPr>
        <w:spacing w:after="360" w:line="360" w:lineRule="auto"/>
        <w:ind w:right="-159"/>
        <w:jc w:val="both"/>
        <w:rPr>
          <w:rFonts w:eastAsia="Calibri"/>
          <w:sz w:val="26"/>
          <w:szCs w:val="26"/>
          <w:lang w:eastAsia="en-US"/>
        </w:rPr>
      </w:pPr>
      <w:r>
        <w:rPr>
          <w:rFonts w:eastAsia="Calibri"/>
          <w:sz w:val="26"/>
          <w:szCs w:val="26"/>
          <w:lang w:eastAsia="en-US"/>
        </w:rPr>
        <w:t>L</w:t>
      </w:r>
      <w:r w:rsidRPr="006B554D">
        <w:rPr>
          <w:rFonts w:eastAsia="Calibri"/>
          <w:sz w:val="26"/>
          <w:szCs w:val="26"/>
          <w:lang w:eastAsia="en-US"/>
        </w:rPr>
        <w:t xml:space="preserve">a última edición de la Reseña sobre </w:t>
      </w:r>
      <w:r>
        <w:rPr>
          <w:rFonts w:eastAsia="Calibri"/>
          <w:sz w:val="26"/>
          <w:szCs w:val="26"/>
          <w:lang w:eastAsia="en-US"/>
        </w:rPr>
        <w:t>M</w:t>
      </w:r>
      <w:r w:rsidRPr="006B554D">
        <w:rPr>
          <w:rFonts w:eastAsia="Calibri"/>
          <w:sz w:val="26"/>
          <w:szCs w:val="26"/>
          <w:lang w:eastAsia="en-US"/>
        </w:rPr>
        <w:t xml:space="preserve">igración y </w:t>
      </w:r>
      <w:r>
        <w:rPr>
          <w:rFonts w:eastAsia="Calibri"/>
          <w:sz w:val="26"/>
          <w:szCs w:val="26"/>
          <w:lang w:eastAsia="en-US"/>
        </w:rPr>
        <w:t>D</w:t>
      </w:r>
      <w:r w:rsidRPr="006B554D">
        <w:rPr>
          <w:rFonts w:eastAsia="Calibri"/>
          <w:sz w:val="26"/>
          <w:szCs w:val="26"/>
          <w:lang w:eastAsia="en-US"/>
        </w:rPr>
        <w:t xml:space="preserve">esarrollo del Banco Mundial </w:t>
      </w:r>
      <w:r>
        <w:rPr>
          <w:rFonts w:eastAsia="Calibri"/>
          <w:sz w:val="26"/>
          <w:szCs w:val="26"/>
          <w:lang w:eastAsia="en-US"/>
        </w:rPr>
        <w:t>indica que e</w:t>
      </w:r>
      <w:r w:rsidRPr="006B554D">
        <w:rPr>
          <w:rFonts w:eastAsia="Calibri"/>
          <w:sz w:val="26"/>
          <w:szCs w:val="26"/>
          <w:lang w:eastAsia="en-US"/>
        </w:rPr>
        <w:t>l incremento en las remesas mundiales, incluidas aquellas hacia los países en desarrollo, se desacelerará considerablemente este año debido al débil crecimiento económico de Europa, el deterioro de la economía rusa y la depreciación del euro y el rublo.</w:t>
      </w:r>
    </w:p>
    <w:p w14:paraId="05246CD0" w14:textId="00033747" w:rsidR="006B554D" w:rsidRPr="006B554D" w:rsidRDefault="006B554D" w:rsidP="006B554D">
      <w:pPr>
        <w:spacing w:after="360" w:line="360" w:lineRule="auto"/>
        <w:ind w:right="-159"/>
        <w:jc w:val="both"/>
        <w:rPr>
          <w:rFonts w:eastAsia="Calibri"/>
          <w:sz w:val="26"/>
          <w:szCs w:val="26"/>
          <w:lang w:eastAsia="en-US"/>
        </w:rPr>
      </w:pPr>
      <w:r w:rsidRPr="006B554D">
        <w:rPr>
          <w:rFonts w:eastAsia="Calibri"/>
          <w:sz w:val="26"/>
          <w:szCs w:val="26"/>
          <w:lang w:eastAsia="en-US"/>
        </w:rPr>
        <w:t>Se espera que las remesas oficiales hacia el mundo en desarrollo lleguen a 440</w:t>
      </w:r>
      <w:r>
        <w:rPr>
          <w:rFonts w:eastAsia="Calibri"/>
          <w:sz w:val="26"/>
          <w:szCs w:val="26"/>
          <w:lang w:eastAsia="en-US"/>
        </w:rPr>
        <w:t xml:space="preserve"> mil millones de dólares</w:t>
      </w:r>
      <w:r w:rsidRPr="006B554D">
        <w:rPr>
          <w:rFonts w:eastAsia="Calibri"/>
          <w:sz w:val="26"/>
          <w:szCs w:val="26"/>
          <w:lang w:eastAsia="en-US"/>
        </w:rPr>
        <w:t xml:space="preserve"> en 2015, un aumento de 0</w:t>
      </w:r>
      <w:r>
        <w:rPr>
          <w:rFonts w:eastAsia="Calibri"/>
          <w:sz w:val="26"/>
          <w:szCs w:val="26"/>
          <w:lang w:eastAsia="en-US"/>
        </w:rPr>
        <w:t>.</w:t>
      </w:r>
      <w:r w:rsidRPr="006B554D">
        <w:rPr>
          <w:rFonts w:eastAsia="Calibri"/>
          <w:sz w:val="26"/>
          <w:szCs w:val="26"/>
          <w:lang w:eastAsia="en-US"/>
        </w:rPr>
        <w:t>9% respecto del año anterior. Según las proyecciones, el total de estas transferencias, incluidas aquellas hacia los países de ingresos altos, crecerá 0</w:t>
      </w:r>
      <w:r>
        <w:rPr>
          <w:rFonts w:eastAsia="Calibri"/>
          <w:sz w:val="26"/>
          <w:szCs w:val="26"/>
          <w:lang w:eastAsia="en-US"/>
        </w:rPr>
        <w:t>.</w:t>
      </w:r>
      <w:r w:rsidRPr="006B554D">
        <w:rPr>
          <w:rFonts w:eastAsia="Calibri"/>
          <w:sz w:val="26"/>
          <w:szCs w:val="26"/>
          <w:lang w:eastAsia="en-US"/>
        </w:rPr>
        <w:t>4 % para sumar 586</w:t>
      </w:r>
      <w:r>
        <w:rPr>
          <w:rFonts w:eastAsia="Calibri"/>
          <w:sz w:val="26"/>
          <w:szCs w:val="26"/>
          <w:lang w:eastAsia="en-US"/>
        </w:rPr>
        <w:t xml:space="preserve"> millones de dólares</w:t>
      </w:r>
      <w:r w:rsidRPr="006B554D">
        <w:rPr>
          <w:rFonts w:eastAsia="Calibri"/>
          <w:sz w:val="26"/>
          <w:szCs w:val="26"/>
          <w:lang w:eastAsia="en-US"/>
        </w:rPr>
        <w:t>.</w:t>
      </w:r>
    </w:p>
    <w:p w14:paraId="00C310E8" w14:textId="532D034B" w:rsidR="006B554D" w:rsidRPr="006B554D" w:rsidRDefault="006B554D" w:rsidP="006B554D">
      <w:pPr>
        <w:spacing w:after="360" w:line="360" w:lineRule="auto"/>
        <w:ind w:right="-159"/>
        <w:jc w:val="both"/>
        <w:rPr>
          <w:rFonts w:eastAsia="Calibri"/>
          <w:sz w:val="26"/>
          <w:szCs w:val="26"/>
          <w:lang w:eastAsia="en-US"/>
        </w:rPr>
      </w:pPr>
      <w:r w:rsidRPr="006B554D">
        <w:rPr>
          <w:rFonts w:eastAsia="Calibri"/>
          <w:sz w:val="26"/>
          <w:szCs w:val="26"/>
          <w:lang w:eastAsia="en-US"/>
        </w:rPr>
        <w:t>Las tasas de crecimiento de las remesas en 2015 son las más lentas registradas desde la crisis financiera mundial de 2008</w:t>
      </w:r>
      <w:r>
        <w:rPr>
          <w:rFonts w:eastAsia="Calibri"/>
          <w:sz w:val="26"/>
          <w:szCs w:val="26"/>
          <w:lang w:eastAsia="en-US"/>
        </w:rPr>
        <w:t>-20</w:t>
      </w:r>
      <w:r w:rsidRPr="006B554D">
        <w:rPr>
          <w:rFonts w:eastAsia="Calibri"/>
          <w:sz w:val="26"/>
          <w:szCs w:val="26"/>
          <w:lang w:eastAsia="en-US"/>
        </w:rPr>
        <w:t>09. No obstante, la cantidad de migrantes internacionales superará los 250 millones en 2015 y se prevé que sus ahorros y envíos sigan creciendo.</w:t>
      </w:r>
    </w:p>
    <w:p w14:paraId="120CBA89" w14:textId="7A5BB0B3" w:rsidR="006B554D" w:rsidRPr="006B554D" w:rsidRDefault="006B554D" w:rsidP="006B554D">
      <w:pPr>
        <w:spacing w:after="360" w:line="360" w:lineRule="auto"/>
        <w:ind w:right="-159"/>
        <w:jc w:val="both"/>
        <w:rPr>
          <w:rFonts w:eastAsia="Calibri"/>
          <w:sz w:val="26"/>
          <w:szCs w:val="26"/>
          <w:lang w:eastAsia="en-US"/>
        </w:rPr>
      </w:pPr>
      <w:r w:rsidRPr="006B554D">
        <w:rPr>
          <w:rFonts w:eastAsia="Calibri"/>
          <w:sz w:val="26"/>
          <w:szCs w:val="26"/>
          <w:lang w:eastAsia="en-US"/>
        </w:rPr>
        <w:t xml:space="preserve">La </w:t>
      </w:r>
      <w:r>
        <w:rPr>
          <w:rFonts w:eastAsia="Calibri"/>
          <w:sz w:val="26"/>
          <w:szCs w:val="26"/>
          <w:lang w:eastAsia="en-US"/>
        </w:rPr>
        <w:t xml:space="preserve">desaceleración </w:t>
      </w:r>
      <w:r w:rsidRPr="006B554D">
        <w:rPr>
          <w:rFonts w:eastAsia="Calibri"/>
          <w:sz w:val="26"/>
          <w:szCs w:val="26"/>
          <w:lang w:eastAsia="en-US"/>
        </w:rPr>
        <w:t xml:space="preserve">del crecimiento de las remesas este año afectará a la mayoría de las regiones en desarrollo, en particular a Europa y Asia </w:t>
      </w:r>
      <w:r>
        <w:rPr>
          <w:rFonts w:eastAsia="Calibri"/>
          <w:sz w:val="26"/>
          <w:szCs w:val="26"/>
          <w:lang w:eastAsia="en-US"/>
        </w:rPr>
        <w:t>C</w:t>
      </w:r>
      <w:r w:rsidRPr="006B554D">
        <w:rPr>
          <w:rFonts w:eastAsia="Calibri"/>
          <w:sz w:val="26"/>
          <w:szCs w:val="26"/>
          <w:lang w:eastAsia="en-US"/>
        </w:rPr>
        <w:t>entral, donde se espera que los flujos disminuyan en 12</w:t>
      </w:r>
      <w:r w:rsidR="00297CBE">
        <w:rPr>
          <w:rFonts w:eastAsia="Calibri"/>
          <w:sz w:val="26"/>
          <w:szCs w:val="26"/>
          <w:lang w:eastAsia="en-US"/>
        </w:rPr>
        <w:t>.</w:t>
      </w:r>
      <w:r w:rsidRPr="006B554D">
        <w:rPr>
          <w:rFonts w:eastAsia="Calibri"/>
          <w:sz w:val="26"/>
          <w:szCs w:val="26"/>
          <w:lang w:eastAsia="en-US"/>
        </w:rPr>
        <w:t xml:space="preserve">7% en 2015. El impacto positivo de la recuperación económica de Estados Unidos </w:t>
      </w:r>
      <w:r w:rsidR="00297CBE">
        <w:rPr>
          <w:rFonts w:eastAsia="Calibri"/>
          <w:sz w:val="26"/>
          <w:szCs w:val="26"/>
          <w:lang w:eastAsia="en-US"/>
        </w:rPr>
        <w:t xml:space="preserve">de Norteamérica </w:t>
      </w:r>
      <w:r w:rsidRPr="006B554D">
        <w:rPr>
          <w:rFonts w:eastAsia="Calibri"/>
          <w:sz w:val="26"/>
          <w:szCs w:val="26"/>
          <w:lang w:eastAsia="en-US"/>
        </w:rPr>
        <w:t>se verá contrarrestado en parte por la persistente debilidad de la zona del euro, el impacto de los menores precios del petróleo sobre la economía rusa, el fortalecimiento del dólar estadounidense y los controles migratorios más estrictos en muchos países donde se originan estos envíos.</w:t>
      </w:r>
    </w:p>
    <w:p w14:paraId="3ABC6CC2" w14:textId="2A96CB19" w:rsidR="006B554D" w:rsidRPr="006B554D" w:rsidRDefault="006B554D" w:rsidP="006B554D">
      <w:pPr>
        <w:spacing w:after="360" w:line="360" w:lineRule="auto"/>
        <w:ind w:right="-159"/>
        <w:jc w:val="both"/>
        <w:rPr>
          <w:rFonts w:eastAsia="Calibri"/>
          <w:sz w:val="26"/>
          <w:szCs w:val="26"/>
          <w:lang w:eastAsia="en-US"/>
        </w:rPr>
      </w:pPr>
      <w:r w:rsidRPr="006B554D">
        <w:rPr>
          <w:rFonts w:eastAsia="Calibri"/>
          <w:sz w:val="26"/>
          <w:szCs w:val="26"/>
          <w:lang w:eastAsia="en-US"/>
        </w:rPr>
        <w:lastRenderedPageBreak/>
        <w:t>En línea con la recuperación económica mundial esperada para el próximo año, se proyecta que el flujo mundial de remesas se acelere en 4</w:t>
      </w:r>
      <w:r>
        <w:rPr>
          <w:rFonts w:eastAsia="Calibri"/>
          <w:sz w:val="26"/>
          <w:szCs w:val="26"/>
          <w:lang w:eastAsia="en-US"/>
        </w:rPr>
        <w:t>.</w:t>
      </w:r>
      <w:r w:rsidRPr="006B554D">
        <w:rPr>
          <w:rFonts w:eastAsia="Calibri"/>
          <w:sz w:val="26"/>
          <w:szCs w:val="26"/>
          <w:lang w:eastAsia="en-US"/>
        </w:rPr>
        <w:t>1%, para llegar a una cifra estimada de 610</w:t>
      </w:r>
      <w:r>
        <w:rPr>
          <w:rFonts w:eastAsia="Calibri"/>
          <w:sz w:val="26"/>
          <w:szCs w:val="26"/>
          <w:lang w:eastAsia="en-US"/>
        </w:rPr>
        <w:t xml:space="preserve"> mil millones de dólares</w:t>
      </w:r>
      <w:r w:rsidRPr="006B554D">
        <w:rPr>
          <w:rFonts w:eastAsia="Calibri"/>
          <w:sz w:val="26"/>
          <w:szCs w:val="26"/>
          <w:lang w:eastAsia="en-US"/>
        </w:rPr>
        <w:t xml:space="preserve"> en 2016 y 636</w:t>
      </w:r>
      <w:r>
        <w:rPr>
          <w:rFonts w:eastAsia="Calibri"/>
          <w:sz w:val="26"/>
          <w:szCs w:val="26"/>
          <w:lang w:eastAsia="en-US"/>
        </w:rPr>
        <w:t xml:space="preserve"> mil </w:t>
      </w:r>
      <w:r w:rsidRPr="006B554D">
        <w:rPr>
          <w:rFonts w:eastAsia="Calibri"/>
          <w:sz w:val="26"/>
          <w:szCs w:val="26"/>
          <w:lang w:eastAsia="en-US"/>
        </w:rPr>
        <w:t xml:space="preserve">millones </w:t>
      </w:r>
      <w:r>
        <w:rPr>
          <w:rFonts w:eastAsia="Calibri"/>
          <w:sz w:val="26"/>
          <w:szCs w:val="26"/>
          <w:lang w:eastAsia="en-US"/>
        </w:rPr>
        <w:t xml:space="preserve">de dólares </w:t>
      </w:r>
      <w:r w:rsidRPr="006B554D">
        <w:rPr>
          <w:rFonts w:eastAsia="Calibri"/>
          <w:sz w:val="26"/>
          <w:szCs w:val="26"/>
          <w:lang w:eastAsia="en-US"/>
        </w:rPr>
        <w:t>en 2017. En tanto, las expectativas indican que los flujos de las transferencias a los países en desarrollo se recuperarán para llegar a 459</w:t>
      </w:r>
      <w:r>
        <w:rPr>
          <w:rFonts w:eastAsia="Calibri"/>
          <w:sz w:val="26"/>
          <w:szCs w:val="26"/>
          <w:lang w:eastAsia="en-US"/>
        </w:rPr>
        <w:t xml:space="preserve"> mil </w:t>
      </w:r>
      <w:r w:rsidRPr="006B554D">
        <w:rPr>
          <w:rFonts w:eastAsia="Calibri"/>
          <w:sz w:val="26"/>
          <w:szCs w:val="26"/>
          <w:lang w:eastAsia="en-US"/>
        </w:rPr>
        <w:t xml:space="preserve">millones </w:t>
      </w:r>
      <w:r>
        <w:rPr>
          <w:rFonts w:eastAsia="Calibri"/>
          <w:sz w:val="26"/>
          <w:szCs w:val="26"/>
          <w:lang w:eastAsia="en-US"/>
        </w:rPr>
        <w:t xml:space="preserve">de dólares </w:t>
      </w:r>
      <w:r w:rsidRPr="006B554D">
        <w:rPr>
          <w:rFonts w:eastAsia="Calibri"/>
          <w:sz w:val="26"/>
          <w:szCs w:val="26"/>
          <w:lang w:eastAsia="en-US"/>
        </w:rPr>
        <w:t>en 2016 y a 479</w:t>
      </w:r>
      <w:r>
        <w:rPr>
          <w:rFonts w:eastAsia="Calibri"/>
          <w:sz w:val="26"/>
          <w:szCs w:val="26"/>
          <w:lang w:eastAsia="en-US"/>
        </w:rPr>
        <w:t xml:space="preserve"> mil </w:t>
      </w:r>
      <w:r w:rsidRPr="006B554D">
        <w:rPr>
          <w:rFonts w:eastAsia="Calibri"/>
          <w:sz w:val="26"/>
          <w:szCs w:val="26"/>
          <w:lang w:eastAsia="en-US"/>
        </w:rPr>
        <w:t xml:space="preserve">millones </w:t>
      </w:r>
      <w:r>
        <w:rPr>
          <w:rFonts w:eastAsia="Calibri"/>
          <w:sz w:val="26"/>
          <w:szCs w:val="26"/>
          <w:lang w:eastAsia="en-US"/>
        </w:rPr>
        <w:t xml:space="preserve">de dólares </w:t>
      </w:r>
      <w:r w:rsidRPr="006B554D">
        <w:rPr>
          <w:rFonts w:eastAsia="Calibri"/>
          <w:sz w:val="26"/>
          <w:szCs w:val="26"/>
          <w:lang w:eastAsia="en-US"/>
        </w:rPr>
        <w:t>en 2017.</w:t>
      </w:r>
    </w:p>
    <w:p w14:paraId="019DCADE" w14:textId="469D3768" w:rsidR="006B554D" w:rsidRPr="006B554D" w:rsidRDefault="006B554D" w:rsidP="006B554D">
      <w:pPr>
        <w:spacing w:after="360" w:line="360" w:lineRule="auto"/>
        <w:ind w:right="-159"/>
        <w:jc w:val="both"/>
        <w:rPr>
          <w:rFonts w:eastAsia="Calibri"/>
          <w:sz w:val="26"/>
          <w:szCs w:val="26"/>
          <w:lang w:eastAsia="en-US"/>
        </w:rPr>
      </w:pPr>
      <w:r w:rsidRPr="006B554D">
        <w:rPr>
          <w:rFonts w:eastAsia="Calibri"/>
          <w:sz w:val="26"/>
          <w:szCs w:val="26"/>
          <w:lang w:eastAsia="en-US"/>
        </w:rPr>
        <w:t>Los cinco países de destino más importantes de la migración siguen siendo Estados Unidos</w:t>
      </w:r>
      <w:r>
        <w:rPr>
          <w:rFonts w:eastAsia="Calibri"/>
          <w:sz w:val="26"/>
          <w:szCs w:val="26"/>
          <w:lang w:eastAsia="en-US"/>
        </w:rPr>
        <w:t xml:space="preserve"> de Norteamérica</w:t>
      </w:r>
      <w:r w:rsidRPr="006B554D">
        <w:rPr>
          <w:rFonts w:eastAsia="Calibri"/>
          <w:sz w:val="26"/>
          <w:szCs w:val="26"/>
          <w:lang w:eastAsia="en-US"/>
        </w:rPr>
        <w:t>, Arabia Saudita, Alemania, Rusia y los Emiratos Árabes Unidos (EAU). Los principales cinco receptores de remesas, en términos del valor de los envíos, continúan siendo India, China, Filipinas, México y Nigeria.</w:t>
      </w:r>
    </w:p>
    <w:p w14:paraId="45B179C6" w14:textId="2FD75368" w:rsidR="006B554D" w:rsidRPr="006B554D" w:rsidRDefault="006B554D" w:rsidP="006B554D">
      <w:pPr>
        <w:spacing w:after="360" w:line="360" w:lineRule="auto"/>
        <w:ind w:right="-159"/>
        <w:jc w:val="both"/>
        <w:rPr>
          <w:rFonts w:eastAsia="Calibri"/>
          <w:sz w:val="26"/>
          <w:szCs w:val="26"/>
          <w:lang w:eastAsia="en-US"/>
        </w:rPr>
      </w:pPr>
      <w:r w:rsidRPr="006B554D">
        <w:rPr>
          <w:rFonts w:eastAsia="Calibri"/>
          <w:sz w:val="26"/>
          <w:szCs w:val="26"/>
          <w:lang w:eastAsia="en-US"/>
        </w:rPr>
        <w:t xml:space="preserve">En el tercer trimestre de 2014, el costo promedio global de enviar 200 </w:t>
      </w:r>
      <w:r>
        <w:rPr>
          <w:rFonts w:eastAsia="Calibri"/>
          <w:sz w:val="26"/>
          <w:szCs w:val="26"/>
          <w:lang w:eastAsia="en-US"/>
        </w:rPr>
        <w:t xml:space="preserve">dólares </w:t>
      </w:r>
      <w:r w:rsidRPr="006B554D">
        <w:rPr>
          <w:rFonts w:eastAsia="Calibri"/>
          <w:sz w:val="26"/>
          <w:szCs w:val="26"/>
          <w:lang w:eastAsia="en-US"/>
        </w:rPr>
        <w:t>se mantenía en 8% del valor de la transacción. La utilización de la tecnología móvil en las transacciones transfronterizas sigue siendo limitado pese a su potencial de reducir este costo. Esto se debe a la carga regulatoria relacionada con la lucha contra el lavado de dinero y el financiamiento del terrorismo, señala la Reseña. Según los últimos datos disponibles, menos del 2% del flujo de las remesas internacionales se envió vía tecnología móvil en 2013.</w:t>
      </w:r>
    </w:p>
    <w:p w14:paraId="4EF7D9E9" w14:textId="2224896C" w:rsidR="006B554D" w:rsidRPr="006B554D" w:rsidRDefault="006B554D" w:rsidP="006B554D">
      <w:pPr>
        <w:spacing w:after="360" w:line="360" w:lineRule="auto"/>
        <w:ind w:right="-159"/>
        <w:jc w:val="both"/>
        <w:rPr>
          <w:rFonts w:eastAsia="Calibri"/>
          <w:sz w:val="26"/>
          <w:szCs w:val="26"/>
          <w:lang w:eastAsia="en-US"/>
        </w:rPr>
      </w:pPr>
      <w:r w:rsidRPr="006B554D">
        <w:rPr>
          <w:rFonts w:eastAsia="Calibri"/>
          <w:sz w:val="26"/>
          <w:szCs w:val="26"/>
          <w:lang w:eastAsia="en-US"/>
        </w:rPr>
        <w:t>Además de enviar dinero a sus familias, los migrantes internacionales mantienen niveles de ahorro considerables en sus países de destino. El “ahorro de la diáspora” atribuido a los migrantes de países en desarrollo se estimó en 497</w:t>
      </w:r>
      <w:r>
        <w:rPr>
          <w:rFonts w:eastAsia="Calibri"/>
          <w:sz w:val="26"/>
          <w:szCs w:val="26"/>
          <w:lang w:eastAsia="en-US"/>
        </w:rPr>
        <w:t xml:space="preserve"> mil </w:t>
      </w:r>
      <w:r w:rsidRPr="006B554D">
        <w:rPr>
          <w:rFonts w:eastAsia="Calibri"/>
          <w:sz w:val="26"/>
          <w:szCs w:val="26"/>
          <w:lang w:eastAsia="en-US"/>
        </w:rPr>
        <w:t xml:space="preserve">millones </w:t>
      </w:r>
      <w:r>
        <w:rPr>
          <w:rFonts w:eastAsia="Calibri"/>
          <w:sz w:val="26"/>
          <w:szCs w:val="26"/>
          <w:lang w:eastAsia="en-US"/>
        </w:rPr>
        <w:t xml:space="preserve">de dólares </w:t>
      </w:r>
      <w:r w:rsidRPr="006B554D">
        <w:rPr>
          <w:rFonts w:eastAsia="Calibri"/>
          <w:sz w:val="26"/>
          <w:szCs w:val="26"/>
          <w:lang w:eastAsia="en-US"/>
        </w:rPr>
        <w:t xml:space="preserve">en 2013, </w:t>
      </w:r>
      <w:r>
        <w:rPr>
          <w:rFonts w:eastAsia="Calibri"/>
          <w:sz w:val="26"/>
          <w:szCs w:val="26"/>
          <w:lang w:eastAsia="en-US"/>
        </w:rPr>
        <w:t xml:space="preserve">de acuerdo con </w:t>
      </w:r>
      <w:r w:rsidRPr="006B554D">
        <w:rPr>
          <w:rFonts w:eastAsia="Calibri"/>
          <w:sz w:val="26"/>
          <w:szCs w:val="26"/>
          <w:lang w:eastAsia="en-US"/>
        </w:rPr>
        <w:t>las cifras más recientes disponibles.</w:t>
      </w:r>
    </w:p>
    <w:p w14:paraId="782E9B62" w14:textId="0F7CD0B4" w:rsidR="006B554D" w:rsidRPr="006B554D" w:rsidRDefault="006B554D" w:rsidP="006B554D">
      <w:pPr>
        <w:spacing w:after="360" w:line="360" w:lineRule="auto"/>
        <w:ind w:right="-159"/>
        <w:jc w:val="both"/>
        <w:rPr>
          <w:rFonts w:eastAsia="Calibri"/>
          <w:sz w:val="26"/>
          <w:szCs w:val="26"/>
          <w:lang w:eastAsia="en-US"/>
        </w:rPr>
      </w:pPr>
      <w:r>
        <w:rPr>
          <w:rFonts w:eastAsia="Calibri"/>
          <w:sz w:val="26"/>
          <w:szCs w:val="26"/>
          <w:lang w:eastAsia="en-US"/>
        </w:rPr>
        <w:t>“</w:t>
      </w:r>
      <w:r w:rsidRPr="006B554D">
        <w:rPr>
          <w:rFonts w:eastAsia="Calibri"/>
          <w:sz w:val="26"/>
          <w:szCs w:val="26"/>
          <w:lang w:eastAsia="en-US"/>
        </w:rPr>
        <w:t>Las remesas totales llegaron a los 583</w:t>
      </w:r>
      <w:r>
        <w:rPr>
          <w:rFonts w:eastAsia="Calibri"/>
          <w:sz w:val="26"/>
          <w:szCs w:val="26"/>
          <w:lang w:eastAsia="en-US"/>
        </w:rPr>
        <w:t xml:space="preserve"> mil </w:t>
      </w:r>
      <w:r w:rsidRPr="006B554D">
        <w:rPr>
          <w:rFonts w:eastAsia="Calibri"/>
          <w:sz w:val="26"/>
          <w:szCs w:val="26"/>
          <w:lang w:eastAsia="en-US"/>
        </w:rPr>
        <w:t xml:space="preserve">millones </w:t>
      </w:r>
      <w:r>
        <w:rPr>
          <w:rFonts w:eastAsia="Calibri"/>
          <w:sz w:val="26"/>
          <w:szCs w:val="26"/>
          <w:lang w:eastAsia="en-US"/>
        </w:rPr>
        <w:t xml:space="preserve">de dólares </w:t>
      </w:r>
      <w:r w:rsidRPr="006B554D">
        <w:rPr>
          <w:rFonts w:eastAsia="Calibri"/>
          <w:sz w:val="26"/>
          <w:szCs w:val="26"/>
          <w:lang w:eastAsia="en-US"/>
        </w:rPr>
        <w:t>en 2014. Esto es más del doble de la AOD mundial. India recibió 70</w:t>
      </w:r>
      <w:r>
        <w:rPr>
          <w:rFonts w:eastAsia="Calibri"/>
          <w:sz w:val="26"/>
          <w:szCs w:val="26"/>
          <w:lang w:eastAsia="en-US"/>
        </w:rPr>
        <w:t xml:space="preserve"> mil </w:t>
      </w:r>
      <w:r w:rsidRPr="006B554D">
        <w:rPr>
          <w:rFonts w:eastAsia="Calibri"/>
          <w:sz w:val="26"/>
          <w:szCs w:val="26"/>
          <w:lang w:eastAsia="en-US"/>
        </w:rPr>
        <w:t>millones</w:t>
      </w:r>
      <w:r>
        <w:rPr>
          <w:rFonts w:eastAsia="Calibri"/>
          <w:sz w:val="26"/>
          <w:szCs w:val="26"/>
          <w:lang w:eastAsia="en-US"/>
        </w:rPr>
        <w:t xml:space="preserve"> de dólares</w:t>
      </w:r>
      <w:r w:rsidRPr="006B554D">
        <w:rPr>
          <w:rFonts w:eastAsia="Calibri"/>
          <w:sz w:val="26"/>
          <w:szCs w:val="26"/>
          <w:lang w:eastAsia="en-US"/>
        </w:rPr>
        <w:t>, China, 64</w:t>
      </w:r>
      <w:r>
        <w:rPr>
          <w:rFonts w:eastAsia="Calibri"/>
          <w:sz w:val="26"/>
          <w:szCs w:val="26"/>
          <w:lang w:eastAsia="en-US"/>
        </w:rPr>
        <w:t xml:space="preserve"> mil</w:t>
      </w:r>
      <w:r w:rsidRPr="006B554D">
        <w:rPr>
          <w:rFonts w:eastAsia="Calibri"/>
          <w:sz w:val="26"/>
          <w:szCs w:val="26"/>
          <w:lang w:eastAsia="en-US"/>
        </w:rPr>
        <w:t xml:space="preserve"> millones</w:t>
      </w:r>
      <w:r>
        <w:rPr>
          <w:rFonts w:eastAsia="Calibri"/>
          <w:sz w:val="26"/>
          <w:szCs w:val="26"/>
          <w:lang w:eastAsia="en-US"/>
        </w:rPr>
        <w:t xml:space="preserve"> de dólares</w:t>
      </w:r>
      <w:r w:rsidRPr="006B554D">
        <w:rPr>
          <w:rFonts w:eastAsia="Calibri"/>
          <w:sz w:val="26"/>
          <w:szCs w:val="26"/>
          <w:lang w:eastAsia="en-US"/>
        </w:rPr>
        <w:t>; Filipinas, 28</w:t>
      </w:r>
      <w:r>
        <w:rPr>
          <w:rFonts w:eastAsia="Calibri"/>
          <w:sz w:val="26"/>
          <w:szCs w:val="26"/>
          <w:lang w:eastAsia="en-US"/>
        </w:rPr>
        <w:t xml:space="preserve"> mil </w:t>
      </w:r>
      <w:r w:rsidRPr="006B554D">
        <w:rPr>
          <w:rFonts w:eastAsia="Calibri"/>
          <w:sz w:val="26"/>
          <w:szCs w:val="26"/>
          <w:lang w:eastAsia="en-US"/>
        </w:rPr>
        <w:t>millones</w:t>
      </w:r>
      <w:r>
        <w:rPr>
          <w:rFonts w:eastAsia="Calibri"/>
          <w:sz w:val="26"/>
          <w:szCs w:val="26"/>
          <w:lang w:eastAsia="en-US"/>
        </w:rPr>
        <w:t xml:space="preserve"> de dólares</w:t>
      </w:r>
      <w:r w:rsidRPr="006B554D">
        <w:rPr>
          <w:rFonts w:eastAsia="Calibri"/>
          <w:sz w:val="26"/>
          <w:szCs w:val="26"/>
          <w:lang w:eastAsia="en-US"/>
        </w:rPr>
        <w:t xml:space="preserve">. Con una nueva forma de pensar, estos mega flujos se puede aprovechar en  el financiamiento de proyectos de desarrollo e infraestructura”, señaló </w:t>
      </w:r>
      <w:proofErr w:type="spellStart"/>
      <w:r w:rsidRPr="006B554D">
        <w:rPr>
          <w:rFonts w:eastAsia="Calibri"/>
          <w:sz w:val="26"/>
          <w:szCs w:val="26"/>
          <w:lang w:eastAsia="en-US"/>
        </w:rPr>
        <w:t>Kaushik</w:t>
      </w:r>
      <w:proofErr w:type="spellEnd"/>
      <w:r w:rsidRPr="006B554D">
        <w:rPr>
          <w:rFonts w:eastAsia="Calibri"/>
          <w:sz w:val="26"/>
          <w:szCs w:val="26"/>
          <w:lang w:eastAsia="en-US"/>
        </w:rPr>
        <w:t xml:space="preserve"> </w:t>
      </w:r>
      <w:proofErr w:type="spellStart"/>
      <w:r w:rsidRPr="006B554D">
        <w:rPr>
          <w:rFonts w:eastAsia="Calibri"/>
          <w:sz w:val="26"/>
          <w:szCs w:val="26"/>
          <w:lang w:eastAsia="en-US"/>
        </w:rPr>
        <w:t>Basu</w:t>
      </w:r>
      <w:proofErr w:type="spellEnd"/>
      <w:r w:rsidRPr="006B554D">
        <w:rPr>
          <w:rFonts w:eastAsia="Calibri"/>
          <w:sz w:val="26"/>
          <w:szCs w:val="26"/>
          <w:lang w:eastAsia="en-US"/>
        </w:rPr>
        <w:t xml:space="preserve">, economista en </w:t>
      </w:r>
      <w:r>
        <w:rPr>
          <w:rFonts w:eastAsia="Calibri"/>
          <w:sz w:val="26"/>
          <w:szCs w:val="26"/>
          <w:lang w:eastAsia="en-US"/>
        </w:rPr>
        <w:t>J</w:t>
      </w:r>
      <w:r w:rsidRPr="006B554D">
        <w:rPr>
          <w:rFonts w:eastAsia="Calibri"/>
          <w:sz w:val="26"/>
          <w:szCs w:val="26"/>
          <w:lang w:eastAsia="en-US"/>
        </w:rPr>
        <w:t xml:space="preserve">efe y </w:t>
      </w:r>
      <w:r>
        <w:rPr>
          <w:rFonts w:eastAsia="Calibri"/>
          <w:sz w:val="26"/>
          <w:szCs w:val="26"/>
          <w:lang w:eastAsia="en-US"/>
        </w:rPr>
        <w:t>V</w:t>
      </w:r>
      <w:r w:rsidRPr="006B554D">
        <w:rPr>
          <w:rFonts w:eastAsia="Calibri"/>
          <w:sz w:val="26"/>
          <w:szCs w:val="26"/>
          <w:lang w:eastAsia="en-US"/>
        </w:rPr>
        <w:t xml:space="preserve">icepresidente </w:t>
      </w:r>
      <w:r w:rsidRPr="006B554D">
        <w:rPr>
          <w:rFonts w:eastAsia="Calibri"/>
          <w:sz w:val="26"/>
          <w:szCs w:val="26"/>
          <w:lang w:eastAsia="en-US"/>
        </w:rPr>
        <w:lastRenderedPageBreak/>
        <w:t xml:space="preserve">superior del Banco Mundial. Puntualizó, además,  </w:t>
      </w:r>
      <w:r>
        <w:rPr>
          <w:rFonts w:eastAsia="Calibri"/>
          <w:sz w:val="26"/>
          <w:szCs w:val="26"/>
          <w:lang w:eastAsia="en-US"/>
        </w:rPr>
        <w:t>“</w:t>
      </w:r>
      <w:r w:rsidRPr="006B554D">
        <w:rPr>
          <w:rFonts w:eastAsia="Calibri"/>
          <w:sz w:val="26"/>
          <w:szCs w:val="26"/>
          <w:lang w:eastAsia="en-US"/>
        </w:rPr>
        <w:t>Israel e India han demostrado de qué manera las macro crisis de liquidez se pueden administrar aprovechando la riqueza de las comunidades de la diáspora. Los migrantes mexicanos han promovido el sector de la construcción. Tayikistán se las arregla para casi duplicar el consumo usando dineros de las transferencias. Los migrantes y las transferencias son, sin lugar a dudas, protagonistas de la economía mundial actual</w:t>
      </w:r>
      <w:r>
        <w:rPr>
          <w:rFonts w:eastAsia="Calibri"/>
          <w:sz w:val="26"/>
          <w:szCs w:val="26"/>
          <w:lang w:eastAsia="en-US"/>
        </w:rPr>
        <w:t>”</w:t>
      </w:r>
      <w:r w:rsidRPr="006B554D">
        <w:rPr>
          <w:rFonts w:eastAsia="Calibri"/>
          <w:sz w:val="26"/>
          <w:szCs w:val="26"/>
          <w:lang w:eastAsia="en-US"/>
        </w:rPr>
        <w:t>.</w:t>
      </w:r>
    </w:p>
    <w:p w14:paraId="7AFE6DC9" w14:textId="7CFA7B36" w:rsidR="006B554D" w:rsidRPr="006B554D" w:rsidRDefault="006B554D" w:rsidP="006B554D">
      <w:pPr>
        <w:spacing w:after="360" w:line="360" w:lineRule="auto"/>
        <w:ind w:right="-159"/>
        <w:jc w:val="both"/>
        <w:rPr>
          <w:rFonts w:eastAsia="Calibri"/>
          <w:sz w:val="26"/>
          <w:szCs w:val="26"/>
          <w:lang w:eastAsia="en-US"/>
        </w:rPr>
      </w:pPr>
      <w:r w:rsidRPr="006B554D">
        <w:rPr>
          <w:rFonts w:eastAsia="Calibri"/>
          <w:sz w:val="26"/>
          <w:szCs w:val="26"/>
          <w:lang w:eastAsia="en-US"/>
        </w:rPr>
        <w:t xml:space="preserve">En un análisis especial sobre el aprovechamiento de la migración para financiar el desarrollo, la Reseña </w:t>
      </w:r>
      <w:r>
        <w:rPr>
          <w:rFonts w:eastAsia="Calibri"/>
          <w:sz w:val="26"/>
          <w:szCs w:val="26"/>
          <w:lang w:eastAsia="en-US"/>
        </w:rPr>
        <w:t xml:space="preserve">del BM </w:t>
      </w:r>
      <w:r w:rsidRPr="006B554D">
        <w:rPr>
          <w:rFonts w:eastAsia="Calibri"/>
          <w:sz w:val="26"/>
          <w:szCs w:val="26"/>
          <w:lang w:eastAsia="en-US"/>
        </w:rPr>
        <w:t>estima que los países en desarrollo podrían generar hasta 100</w:t>
      </w:r>
      <w:r>
        <w:rPr>
          <w:rFonts w:eastAsia="Calibri"/>
          <w:sz w:val="26"/>
          <w:szCs w:val="26"/>
          <w:lang w:eastAsia="en-US"/>
        </w:rPr>
        <w:t xml:space="preserve"> mil </w:t>
      </w:r>
      <w:r w:rsidRPr="006B554D">
        <w:rPr>
          <w:rFonts w:eastAsia="Calibri"/>
          <w:sz w:val="26"/>
          <w:szCs w:val="26"/>
          <w:lang w:eastAsia="en-US"/>
        </w:rPr>
        <w:t xml:space="preserve">millones </w:t>
      </w:r>
      <w:r>
        <w:rPr>
          <w:rFonts w:eastAsia="Calibri"/>
          <w:sz w:val="26"/>
          <w:szCs w:val="26"/>
          <w:lang w:eastAsia="en-US"/>
        </w:rPr>
        <w:t xml:space="preserve">de dólares </w:t>
      </w:r>
      <w:r w:rsidRPr="006B554D">
        <w:rPr>
          <w:rFonts w:eastAsia="Calibri"/>
          <w:sz w:val="26"/>
          <w:szCs w:val="26"/>
          <w:lang w:eastAsia="en-US"/>
        </w:rPr>
        <w:t>en ahorros de los migrantes todos los años reduciendo el costo de las remesas y de reclutamiento de migrantes y movilizando sus aportes filantrópicos y los ahorros de la diáspora.</w:t>
      </w:r>
    </w:p>
    <w:p w14:paraId="1ACFDD74" w14:textId="63AE0F92" w:rsidR="006B554D" w:rsidRPr="006B554D" w:rsidRDefault="006B554D" w:rsidP="006B554D">
      <w:pPr>
        <w:spacing w:after="360" w:line="360" w:lineRule="auto"/>
        <w:ind w:right="-159"/>
        <w:jc w:val="both"/>
        <w:rPr>
          <w:rFonts w:eastAsia="Calibri"/>
          <w:sz w:val="26"/>
          <w:szCs w:val="26"/>
          <w:lang w:eastAsia="en-US"/>
        </w:rPr>
      </w:pPr>
      <w:r w:rsidRPr="006B554D">
        <w:rPr>
          <w:rFonts w:eastAsia="Calibri"/>
          <w:sz w:val="26"/>
          <w:szCs w:val="26"/>
          <w:lang w:eastAsia="en-US"/>
        </w:rPr>
        <w:t xml:space="preserve">“La moderación en el crecimiento de las remesas será una dura prueba para muchas personas pobres. Los países afectados tendrán que considerar formas creativas de mitigar el impacto. Afortunadamente, es posible aprovechar la migración y las remesas para formas innovadoras de financiamiento”, indicó </w:t>
      </w:r>
      <w:proofErr w:type="spellStart"/>
      <w:r w:rsidRPr="006B554D">
        <w:rPr>
          <w:rFonts w:eastAsia="Calibri"/>
          <w:sz w:val="26"/>
          <w:szCs w:val="26"/>
          <w:lang w:eastAsia="en-US"/>
        </w:rPr>
        <w:t>Dilip</w:t>
      </w:r>
      <w:proofErr w:type="spellEnd"/>
      <w:r w:rsidRPr="006B554D">
        <w:rPr>
          <w:rFonts w:eastAsia="Calibri"/>
          <w:sz w:val="26"/>
          <w:szCs w:val="26"/>
          <w:lang w:eastAsia="en-US"/>
        </w:rPr>
        <w:t xml:space="preserve"> </w:t>
      </w:r>
      <w:proofErr w:type="spellStart"/>
      <w:r w:rsidRPr="006B554D">
        <w:rPr>
          <w:rFonts w:eastAsia="Calibri"/>
          <w:sz w:val="26"/>
          <w:szCs w:val="26"/>
          <w:lang w:eastAsia="en-US"/>
        </w:rPr>
        <w:t>Ratha</w:t>
      </w:r>
      <w:proofErr w:type="spellEnd"/>
      <w:r w:rsidRPr="006B554D">
        <w:rPr>
          <w:rFonts w:eastAsia="Calibri"/>
          <w:sz w:val="26"/>
          <w:szCs w:val="26"/>
          <w:lang w:eastAsia="en-US"/>
        </w:rPr>
        <w:t xml:space="preserve">, economista principal de migración y remesas del Grupo de Perspectivas de Desarrollo del Banco Mundial y </w:t>
      </w:r>
      <w:r>
        <w:rPr>
          <w:rFonts w:eastAsia="Calibri"/>
          <w:sz w:val="26"/>
          <w:szCs w:val="26"/>
          <w:lang w:eastAsia="en-US"/>
        </w:rPr>
        <w:t>D</w:t>
      </w:r>
      <w:r w:rsidRPr="006B554D">
        <w:rPr>
          <w:rFonts w:eastAsia="Calibri"/>
          <w:sz w:val="26"/>
          <w:szCs w:val="26"/>
          <w:lang w:eastAsia="en-US"/>
        </w:rPr>
        <w:t>irector de la Asociación Mundial de Conocimientos sobre Migración y Desarrollo (KNOMAD). “En lo que respecta a las necesidades de financiamiento a largo plazo para los objetivos de desarrollo post 2015, me encantaría ver un sistema de tren bala en India, un aeropuerto internacional en Nigeria, otro Canal de Suez en Egipto, un proyecto hidroeléctrico en Pakistán y un programa de desarrollo comunitario en Filipinas, todos ellos financiados con el poder de las remesas y el ahorro de la diáspora”.</w:t>
      </w:r>
    </w:p>
    <w:p w14:paraId="56F19281" w14:textId="77777777" w:rsidR="006B554D" w:rsidRPr="006B554D" w:rsidRDefault="006B554D" w:rsidP="006B554D">
      <w:pPr>
        <w:spacing w:after="360" w:line="360" w:lineRule="auto"/>
        <w:ind w:right="-159"/>
        <w:jc w:val="both"/>
        <w:rPr>
          <w:rFonts w:eastAsia="Calibri"/>
          <w:sz w:val="26"/>
          <w:szCs w:val="26"/>
          <w:lang w:eastAsia="en-US"/>
        </w:rPr>
      </w:pPr>
      <w:r w:rsidRPr="006B554D">
        <w:rPr>
          <w:rFonts w:eastAsia="Calibri"/>
          <w:sz w:val="26"/>
          <w:szCs w:val="26"/>
          <w:lang w:eastAsia="en-US"/>
        </w:rPr>
        <w:t xml:space="preserve">Los bancos nacionales de los países en desarrollo pueden usar las afluencias de remesas a futuro como garantía para facilitar su endeudamiento internacional. Los envíos también pueden facilitar el acceso a los mercados internacionales de capital gracias a </w:t>
      </w:r>
      <w:r w:rsidRPr="006B554D">
        <w:rPr>
          <w:rFonts w:eastAsia="Calibri"/>
          <w:sz w:val="26"/>
          <w:szCs w:val="26"/>
          <w:lang w:eastAsia="en-US"/>
        </w:rPr>
        <w:lastRenderedPageBreak/>
        <w:t>que mejoran las calificaciones soberanas y la sostenibilidad de la deuda de los países receptores.</w:t>
      </w:r>
    </w:p>
    <w:p w14:paraId="470E03F8" w14:textId="77777777" w:rsidR="006B554D" w:rsidRPr="006B554D" w:rsidRDefault="006B554D" w:rsidP="006B554D">
      <w:pPr>
        <w:spacing w:after="360" w:line="360" w:lineRule="auto"/>
        <w:ind w:right="-159"/>
        <w:jc w:val="both"/>
        <w:rPr>
          <w:rFonts w:eastAsia="Calibri"/>
          <w:sz w:val="26"/>
          <w:szCs w:val="26"/>
          <w:lang w:eastAsia="en-US"/>
        </w:rPr>
      </w:pPr>
      <w:r w:rsidRPr="006B554D">
        <w:rPr>
          <w:rFonts w:eastAsia="Calibri"/>
          <w:sz w:val="26"/>
          <w:szCs w:val="26"/>
          <w:lang w:eastAsia="en-US"/>
        </w:rPr>
        <w:t>Puesto que el volumen de las remesas es grande y más estable que el de muchos otros tipos de flujos de capital, puede mejorar enormemente la calificación crediticia soberana del país receptor y de este modo disminuir el costo del endeudamiento y alargar sus plazos de vencimiento, sostiene la Reseña. Desde hace poco, los organismos de calificación crediticia han comenzado a contabilizar las remesas en las calificaciones de solvencia de los países, pero dado los problemas con los datos, aún hay lugar para más mejoras.</w:t>
      </w:r>
    </w:p>
    <w:p w14:paraId="4686C5B2" w14:textId="1F1E399E" w:rsidR="006B554D" w:rsidRPr="006B554D" w:rsidRDefault="006B554D" w:rsidP="006B554D">
      <w:pPr>
        <w:spacing w:after="360" w:line="360" w:lineRule="auto"/>
        <w:ind w:right="-159"/>
        <w:jc w:val="both"/>
        <w:rPr>
          <w:rFonts w:eastAsia="Calibri"/>
          <w:sz w:val="26"/>
          <w:szCs w:val="26"/>
          <w:lang w:eastAsia="en-US"/>
        </w:rPr>
      </w:pPr>
      <w:r w:rsidRPr="006B554D">
        <w:rPr>
          <w:rFonts w:eastAsia="Calibri"/>
          <w:sz w:val="26"/>
          <w:szCs w:val="26"/>
          <w:lang w:eastAsia="en-US"/>
        </w:rPr>
        <w:t>Además, el Marco de Sostenibilidad de la Deuda de los países de ingreso bajo, una iniciativa conjunta entre el BM y el FMI, ahora incluye las remesas cuando evalúa la capacidad de los países de reembolsar las obligaciones externas y su habilidad de incurrir en endeudamiento en condiciones no concesionarias con otros acreedores privados.</w:t>
      </w:r>
    </w:p>
    <w:p w14:paraId="3B5B2225" w14:textId="31FEDC6A" w:rsidR="006B554D" w:rsidRPr="006B554D" w:rsidRDefault="006B554D" w:rsidP="006B554D">
      <w:pPr>
        <w:ind w:right="-159"/>
        <w:jc w:val="both"/>
        <w:rPr>
          <w:rFonts w:eastAsia="Calibri"/>
          <w:b/>
          <w:sz w:val="20"/>
          <w:szCs w:val="20"/>
          <w:lang w:eastAsia="en-US"/>
        </w:rPr>
      </w:pPr>
      <w:r w:rsidRPr="006B554D">
        <w:rPr>
          <w:rFonts w:eastAsia="Calibri"/>
          <w:b/>
          <w:sz w:val="20"/>
          <w:szCs w:val="20"/>
          <w:lang w:eastAsia="en-US"/>
        </w:rPr>
        <w:t>Fuente de información:</w:t>
      </w:r>
    </w:p>
    <w:p w14:paraId="3239AF2C" w14:textId="159FB582" w:rsidR="006B554D" w:rsidRPr="005D5E9A" w:rsidRDefault="00D936FE" w:rsidP="005D5E9A">
      <w:pPr>
        <w:spacing w:after="720"/>
        <w:ind w:right="-159"/>
        <w:jc w:val="both"/>
        <w:rPr>
          <w:rFonts w:eastAsia="Calibri"/>
          <w:color w:val="0000FF"/>
          <w:sz w:val="20"/>
          <w:szCs w:val="20"/>
          <w:lang w:eastAsia="en-US"/>
        </w:rPr>
      </w:pPr>
      <w:hyperlink r:id="rId77" w:history="1">
        <w:r w:rsidR="006B554D" w:rsidRPr="005D5E9A">
          <w:rPr>
            <w:rStyle w:val="Hipervnculo"/>
            <w:rFonts w:eastAsia="Calibri"/>
            <w:sz w:val="20"/>
            <w:szCs w:val="20"/>
            <w:lang w:eastAsia="en-US"/>
          </w:rPr>
          <w:t>http://www.bancomundial.org/es/news/press-release/2015/04/13/remittances-growth-to-slow-sharply-in-2015-as-europe-and-russia-stay-weak-pick-up-expected-next-year</w:t>
        </w:r>
      </w:hyperlink>
    </w:p>
    <w:p w14:paraId="1170F324" w14:textId="77777777" w:rsidR="00F3340E" w:rsidRPr="00F3340E" w:rsidRDefault="00F3340E" w:rsidP="00F3340E">
      <w:pPr>
        <w:ind w:right="-159"/>
        <w:jc w:val="both"/>
        <w:rPr>
          <w:rFonts w:eastAsia="Calibri"/>
          <w:b/>
          <w:bCs/>
          <w:sz w:val="26"/>
          <w:szCs w:val="26"/>
          <w:lang w:val="es-ES" w:eastAsia="en-US"/>
        </w:rPr>
      </w:pPr>
      <w:r w:rsidRPr="00F3340E">
        <w:rPr>
          <w:rFonts w:eastAsia="Calibri"/>
          <w:b/>
          <w:bCs/>
          <w:sz w:val="26"/>
          <w:szCs w:val="26"/>
          <w:lang w:val="es-ES" w:eastAsia="en-US"/>
        </w:rPr>
        <w:t>La población  latina  en Estados Unidos de Norteamérica:</w:t>
      </w:r>
    </w:p>
    <w:p w14:paraId="352C7090" w14:textId="77777777" w:rsidR="00F3340E" w:rsidRPr="00F3340E" w:rsidRDefault="00F3340E" w:rsidP="00F3340E">
      <w:pPr>
        <w:spacing w:after="360" w:line="360" w:lineRule="auto"/>
        <w:ind w:right="-159"/>
        <w:jc w:val="both"/>
        <w:rPr>
          <w:rFonts w:eastAsia="Calibri"/>
          <w:b/>
          <w:bCs/>
          <w:sz w:val="26"/>
          <w:szCs w:val="26"/>
          <w:lang w:val="es-ES" w:eastAsia="en-US"/>
        </w:rPr>
      </w:pPr>
      <w:proofErr w:type="gramStart"/>
      <w:r w:rsidRPr="00F3340E">
        <w:rPr>
          <w:rFonts w:eastAsia="Calibri"/>
          <w:b/>
          <w:bCs/>
          <w:sz w:val="26"/>
          <w:szCs w:val="26"/>
          <w:lang w:val="es-ES" w:eastAsia="en-US"/>
        </w:rPr>
        <w:t>un</w:t>
      </w:r>
      <w:proofErr w:type="gramEnd"/>
      <w:r w:rsidRPr="00F3340E">
        <w:rPr>
          <w:rFonts w:eastAsia="Calibri"/>
          <w:b/>
          <w:bCs/>
          <w:sz w:val="26"/>
          <w:szCs w:val="26"/>
          <w:lang w:val="es-ES" w:eastAsia="en-US"/>
        </w:rPr>
        <w:t xml:space="preserve"> gigante ¿dormido?</w:t>
      </w:r>
      <w:r w:rsidRPr="00F3340E">
        <w:rPr>
          <w:rFonts w:eastAsia="Calibri"/>
          <w:b/>
          <w:sz w:val="26"/>
          <w:szCs w:val="26"/>
          <w:lang w:eastAsia="en-US"/>
        </w:rPr>
        <w:t xml:space="preserve"> (</w:t>
      </w:r>
      <w:r w:rsidRPr="00F3340E">
        <w:rPr>
          <w:rFonts w:eastAsia="Calibri"/>
          <w:b/>
          <w:bCs/>
          <w:sz w:val="26"/>
          <w:szCs w:val="26"/>
          <w:lang w:val="es-ES" w:eastAsia="en-US"/>
        </w:rPr>
        <w:t>Llorente &amp; Cuenca</w:t>
      </w:r>
      <w:r w:rsidRPr="00F3340E">
        <w:rPr>
          <w:rFonts w:eastAsia="Calibri"/>
          <w:b/>
          <w:sz w:val="26"/>
          <w:szCs w:val="26"/>
          <w:lang w:eastAsia="en-US"/>
        </w:rPr>
        <w:t>)</w:t>
      </w:r>
    </w:p>
    <w:p w14:paraId="04E71EE8" w14:textId="54E536C0" w:rsidR="00F3340E" w:rsidRDefault="00F3340E" w:rsidP="00F3340E">
      <w:pPr>
        <w:spacing w:after="360" w:line="360" w:lineRule="auto"/>
        <w:ind w:right="-159"/>
        <w:jc w:val="both"/>
        <w:rPr>
          <w:rFonts w:eastAsia="Calibri"/>
          <w:bCs/>
          <w:sz w:val="26"/>
          <w:szCs w:val="26"/>
          <w:lang w:val="es-ES" w:eastAsia="en-US"/>
        </w:rPr>
      </w:pPr>
      <w:r w:rsidRPr="00F3340E">
        <w:rPr>
          <w:rFonts w:eastAsia="Calibri"/>
          <w:sz w:val="26"/>
          <w:szCs w:val="26"/>
          <w:lang w:eastAsia="en-US"/>
        </w:rPr>
        <w:t xml:space="preserve">El </w:t>
      </w:r>
      <w:r w:rsidRPr="00F3340E">
        <w:rPr>
          <w:rFonts w:eastAsia="Calibri"/>
          <w:sz w:val="26"/>
          <w:szCs w:val="26"/>
          <w:lang w:val="es-ES" w:eastAsia="en-US"/>
        </w:rPr>
        <w:t xml:space="preserve">7 </w:t>
      </w:r>
      <w:r w:rsidR="00AB37AF">
        <w:rPr>
          <w:rFonts w:eastAsia="Calibri"/>
          <w:sz w:val="26"/>
          <w:szCs w:val="26"/>
          <w:lang w:val="es-ES" w:eastAsia="en-US"/>
        </w:rPr>
        <w:t xml:space="preserve">de </w:t>
      </w:r>
      <w:r w:rsidRPr="00F3340E">
        <w:rPr>
          <w:rFonts w:eastAsia="Calibri"/>
          <w:sz w:val="26"/>
          <w:szCs w:val="26"/>
          <w:lang w:val="es-ES" w:eastAsia="en-US"/>
        </w:rPr>
        <w:t>abril</w:t>
      </w:r>
      <w:r w:rsidR="00AB37AF">
        <w:rPr>
          <w:rFonts w:eastAsia="Calibri"/>
          <w:sz w:val="26"/>
          <w:szCs w:val="26"/>
          <w:lang w:val="es-ES" w:eastAsia="en-US"/>
        </w:rPr>
        <w:t xml:space="preserve"> de</w:t>
      </w:r>
      <w:r w:rsidRPr="00F3340E">
        <w:rPr>
          <w:rFonts w:eastAsia="Calibri"/>
          <w:sz w:val="26"/>
          <w:szCs w:val="26"/>
          <w:lang w:val="es-ES" w:eastAsia="en-US"/>
        </w:rPr>
        <w:t xml:space="preserve"> 2015, la firma española Llorente &amp; Cuenca publicó un reporte especial titulado </w:t>
      </w:r>
      <w:r w:rsidRPr="00F3340E">
        <w:rPr>
          <w:rFonts w:eastAsia="Calibri"/>
          <w:bCs/>
          <w:sz w:val="26"/>
          <w:szCs w:val="26"/>
          <w:lang w:val="es-ES" w:eastAsia="en-US"/>
        </w:rPr>
        <w:t>“La población latina en Estados Unidos de Norteamérica: un gigante ¿dormido?” A continuación se presentan los rasgos más sobresalientes del documento.</w:t>
      </w:r>
    </w:p>
    <w:p w14:paraId="2B0633FC" w14:textId="77777777" w:rsidR="004D07F1" w:rsidRDefault="004D07F1" w:rsidP="00F3340E">
      <w:pPr>
        <w:spacing w:after="360" w:line="360" w:lineRule="auto"/>
        <w:ind w:right="-159"/>
        <w:jc w:val="both"/>
        <w:rPr>
          <w:rFonts w:eastAsia="Calibri"/>
          <w:bCs/>
          <w:sz w:val="26"/>
          <w:szCs w:val="26"/>
          <w:lang w:val="es-ES" w:eastAsia="en-US"/>
        </w:rPr>
      </w:pPr>
    </w:p>
    <w:p w14:paraId="28050957" w14:textId="77777777" w:rsidR="004D07F1" w:rsidRPr="00F3340E" w:rsidRDefault="004D07F1" w:rsidP="00F3340E">
      <w:pPr>
        <w:spacing w:after="360" w:line="360" w:lineRule="auto"/>
        <w:ind w:right="-159"/>
        <w:jc w:val="both"/>
        <w:rPr>
          <w:rFonts w:eastAsia="Calibri"/>
          <w:bCs/>
          <w:sz w:val="26"/>
          <w:szCs w:val="26"/>
          <w:lang w:val="es-ES" w:eastAsia="en-US"/>
        </w:rPr>
      </w:pPr>
    </w:p>
    <w:p w14:paraId="31994E8C" w14:textId="77777777" w:rsidR="00F3340E" w:rsidRPr="00F3340E" w:rsidRDefault="00F3340E" w:rsidP="00762467">
      <w:pPr>
        <w:numPr>
          <w:ilvl w:val="0"/>
          <w:numId w:val="72"/>
        </w:numPr>
        <w:spacing w:after="360" w:line="360" w:lineRule="auto"/>
        <w:ind w:left="357" w:right="-159" w:hanging="357"/>
        <w:jc w:val="both"/>
        <w:rPr>
          <w:rFonts w:eastAsia="Calibri"/>
          <w:b/>
          <w:sz w:val="26"/>
          <w:szCs w:val="26"/>
          <w:lang w:eastAsia="en-US"/>
        </w:rPr>
      </w:pPr>
      <w:r w:rsidRPr="00F3340E">
        <w:rPr>
          <w:rFonts w:eastAsia="Calibri"/>
          <w:b/>
          <w:sz w:val="26"/>
          <w:szCs w:val="26"/>
          <w:lang w:eastAsia="en-US"/>
        </w:rPr>
        <w:lastRenderedPageBreak/>
        <w:t>Introducción</w:t>
      </w:r>
    </w:p>
    <w:p w14:paraId="61672766"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El objetivo de este informe es intentar caracterizar a la comunidad latina, analizar su peso y capacidad de influencia económica, política y social, así como sus aportaciones a la sociedad norteamericana.</w:t>
      </w:r>
    </w:p>
    <w:p w14:paraId="4D5F6C64" w14:textId="4D076CAA" w:rsidR="00F3340E" w:rsidRPr="00F3340E" w:rsidRDefault="00F3340E" w:rsidP="00F3340E">
      <w:pPr>
        <w:spacing w:after="360" w:line="360" w:lineRule="auto"/>
        <w:ind w:right="-159"/>
        <w:jc w:val="both"/>
        <w:rPr>
          <w:rFonts w:eastAsia="Calibri"/>
          <w:sz w:val="26"/>
          <w:szCs w:val="26"/>
          <w:lang w:val="es-ES" w:eastAsia="en-US"/>
        </w:rPr>
      </w:pPr>
      <w:r w:rsidRPr="00F3340E">
        <w:rPr>
          <w:rFonts w:eastAsia="Calibri"/>
          <w:sz w:val="26"/>
          <w:szCs w:val="26"/>
          <w:lang w:eastAsia="en-US"/>
        </w:rPr>
        <w:t>El último censo de Estados Unidos de Norteamérica, publicado en 2010, considera el origen ‘hispano o latino’ como la herencia cultural, nacionalidad, linaje o país de nacimiento de la persona o de los padres o ancestros de esta persona antes de su llegada a Estados Unidos de Norteamérica. Las personas que identifican su origen como hispano, latino o español pueden ser de cualquier raza. El “hispano o latino” se refiere a una persona cubana, mexicana, puertorriqueña, centro o sudamericana, o bien, de otro origen o cultura española, independientemente de la raza</w:t>
      </w:r>
      <w:r w:rsidRPr="00F3340E">
        <w:rPr>
          <w:rFonts w:eastAsia="Calibri"/>
          <w:sz w:val="26"/>
          <w:szCs w:val="26"/>
          <w:vertAlign w:val="superscript"/>
          <w:lang w:eastAsia="en-US"/>
        </w:rPr>
        <w:footnoteReference w:id="10"/>
      </w:r>
      <w:r w:rsidR="00F31276">
        <w:rPr>
          <w:rFonts w:eastAsia="Calibri"/>
          <w:sz w:val="26"/>
          <w:szCs w:val="26"/>
          <w:lang w:eastAsia="en-US"/>
        </w:rPr>
        <w:t>.</w:t>
      </w:r>
    </w:p>
    <w:p w14:paraId="60CE073A" w14:textId="0BD2AA3A"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Su extraordinario crecimiento, muy particularmente, desde 1970, ha transformado la “cara” de Estados Unidos de Norteamérica, ya que su presencia como minoría mayoritaria reformula, cuanto menos el perfil étnico y cultural del país, tradicionalmente considerado blanco-europeo. Si bien la proyección de futuro de los latinos hace suponer que los cambios trascenderán más allá de la apariencia física del país, ya que se prevé que alcancen considerables cotas de poder económico y político, en no muchos años. No obstante</w:t>
      </w:r>
      <w:r w:rsidR="00AB37AF">
        <w:rPr>
          <w:rFonts w:eastAsia="Calibri"/>
          <w:sz w:val="26"/>
          <w:szCs w:val="26"/>
          <w:lang w:eastAsia="en-US"/>
        </w:rPr>
        <w:t>,</w:t>
      </w:r>
      <w:r w:rsidRPr="00F3340E">
        <w:rPr>
          <w:rFonts w:eastAsia="Calibri"/>
          <w:sz w:val="26"/>
          <w:szCs w:val="26"/>
          <w:lang w:eastAsia="en-US"/>
        </w:rPr>
        <w:t xml:space="preserve"> para entender el potencial presente y futuro latino conviene desechar ciertos estereotipos que reproducen una idea simplificada, que no se corresponde con la realidad de la comunidad latina y que no se encuentra exenta de prejuicios. Su caracterización pondrá de manifiesto su diversidad tanto en su configuración demográfica, social como política. Con ello se comprenderá mejor la aportación actual que realizan a la sociedad norteamericana y sus extraordinarias potencialidades.</w:t>
      </w:r>
    </w:p>
    <w:p w14:paraId="5AF8202C"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lastRenderedPageBreak/>
        <w:t>Una de las generalizaciones más comunes es suponer que dicha comunidad es homogénea. La sociedad norteamericana desconoce las diferencias existentes entre las diferentes nacionalidades, sus tradiciones y culturas. Diferencias que insisten en señalar no sólo los inmigrantes recién llegados, como incluso las segundas y terceras generaciones residentes en Estados Unidos de Norteamérica. No obstante, esa diversidad no se limita a las diferentes nacionalidades y a sus respectivas tradiciones, sino a la existencia de todo un universo social que abarca desde importantes fortunas, clase acomodada y media hasta sectores inmersos en la pobreza. En la mayoría de los casos las diferencias sociales están en relación con la formación académica, que también en buena parte explica esta diversificación en la estratificación económica y social. Sin embargo, para la sociedad norteamericana toda esta diversidad queda reducida a la categoría de latino, identificada como una población que habla el español y comparte el catolicismo como religión. A lo sumo el latino se identifica como mexicano dedicado al sector servicios en los puestos profesionales menos cualificados.</w:t>
      </w:r>
    </w:p>
    <w:p w14:paraId="7BF72B98"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En esta línea de estereotipos, convendría detenerse en los términos con los que reiteradamente se califica a esta comunidad. Es muy común tanto en medios de prensa, como en artículos académicos, considerarla como un </w:t>
      </w:r>
      <w:r w:rsidRPr="007A233D">
        <w:rPr>
          <w:rFonts w:eastAsia="Calibri"/>
          <w:sz w:val="26"/>
          <w:szCs w:val="26"/>
          <w:lang w:eastAsia="en-US"/>
        </w:rPr>
        <w:t>“gigante dormido”.</w:t>
      </w:r>
      <w:r w:rsidRPr="00F3340E">
        <w:rPr>
          <w:rFonts w:eastAsia="Calibri"/>
          <w:sz w:val="26"/>
          <w:szCs w:val="26"/>
          <w:lang w:eastAsia="en-US"/>
        </w:rPr>
        <w:t xml:space="preserve"> Por lo que respecta al tamaño de la comunidad sí es acertado calificarle como gigante, pero también debe utilizarse este término para calificar su potencial. Desde 2002, los latinos son la mayor minoría existente en Estados Unidos de Norteamérica. Su número asciende, según el censo de 2010, a 54 millones de personas. Además de espectacular, dicho crecimiento ha sido extraordinariamente rápido, pues en realidad es en 1970 cuando comienza un importante flujo de emigración que, desde entonces, ha ido creciendo exponencialmente.</w:t>
      </w:r>
    </w:p>
    <w:p w14:paraId="545070D6"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Más cuestionable es el calificativo de “dormido”, utilizado para expresar la escasa participación política de esta comunidad, como votante y elector, en relación con el universo electoral que posee. El uso del derecho a voto, sin duda, le proporcionaría </w:t>
      </w:r>
      <w:r w:rsidRPr="00F3340E">
        <w:rPr>
          <w:rFonts w:eastAsia="Calibri"/>
          <w:sz w:val="26"/>
          <w:szCs w:val="26"/>
          <w:lang w:eastAsia="en-US"/>
        </w:rPr>
        <w:lastRenderedPageBreak/>
        <w:t>muchas más posibilidades de presión y poder. Sin embargo, aun siendo cierto, todo indica que es una cuestión de tiempo que se irá resolviendo con el proceso de integración que tendrá lugar en términos de formación y promoción social de sus miembros. No obstante, eso no significa que no haya una tupida red de organizaciones y activismo social y político que represente las principales demandas de los emigrantes recién llegados, legales e ilegales, y de los latinos nacidos en Estados Unidos de Norteamérica. Igualmente ha de tenerse en cuenta que estas dimensiones proporcionan a los latinos un peso específico, como votantes, aunque no todo el electorado utilice su derecho al voto, además de clientes y consumidores. Hasta el punto que desde hace tiempo no sólo se ha convertido en el “objeto de deseo” de los partidos políticos sino también de numerosas empresas. De manera que lejos de estar dormida esta población está despierta y muy activa.</w:t>
      </w:r>
    </w:p>
    <w:p w14:paraId="2D059D15" w14:textId="52D4845A"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El poder que les otorga su condición de consumidores y votantes genera una dinámica de interés que favorece la recreación permanente de la comunidad latina y del español. El esfuerzo de empresarios y políticos por atraer a este inmenso colectivo no hace más que visibilizar a los latinos y su singularidad, así como su lengua, más allá de la voluntad que éstos tengan de hacerlo. </w:t>
      </w:r>
      <w:r w:rsidR="00297CBE">
        <w:rPr>
          <w:rFonts w:eastAsia="Calibri"/>
          <w:sz w:val="26"/>
          <w:szCs w:val="26"/>
          <w:lang w:eastAsia="en-US"/>
        </w:rPr>
        <w:t>É</w:t>
      </w:r>
      <w:r w:rsidRPr="00F3340E">
        <w:rPr>
          <w:rFonts w:eastAsia="Calibri"/>
          <w:sz w:val="26"/>
          <w:szCs w:val="26"/>
          <w:lang w:eastAsia="en-US"/>
        </w:rPr>
        <w:t>ste es un efecto no deseado por algunos sectores que serían partidarios de asimilar a la población inmigrante. Una posibilidad que cada vez parece más lejana, aunque las políticas de bilingüismo estatales dejen mucho que desear.</w:t>
      </w:r>
    </w:p>
    <w:p w14:paraId="4B67F237"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De manera que tanto las iniciativas de la comunidad latina como los intereses de la propia sociedad norteamericana, lejos de difuminar la particularidad latina, la potencia y le da continuidad, aumentando así su proyección.</w:t>
      </w:r>
    </w:p>
    <w:p w14:paraId="6DC3FBAC" w14:textId="77777777" w:rsidR="00F3340E" w:rsidRPr="00F3340E" w:rsidRDefault="00F3340E" w:rsidP="00762467">
      <w:pPr>
        <w:numPr>
          <w:ilvl w:val="0"/>
          <w:numId w:val="72"/>
        </w:numPr>
        <w:spacing w:after="360" w:line="360" w:lineRule="auto"/>
        <w:ind w:left="357" w:right="-159" w:hanging="357"/>
        <w:jc w:val="both"/>
        <w:rPr>
          <w:rFonts w:eastAsia="Calibri"/>
          <w:b/>
          <w:sz w:val="26"/>
          <w:szCs w:val="26"/>
          <w:lang w:eastAsia="en-US"/>
        </w:rPr>
      </w:pPr>
      <w:r w:rsidRPr="00F3340E">
        <w:rPr>
          <w:rFonts w:eastAsia="Calibri"/>
          <w:b/>
          <w:sz w:val="26"/>
          <w:szCs w:val="26"/>
          <w:lang w:eastAsia="en-US"/>
        </w:rPr>
        <w:t>Perfil demográfico del “gigante” latino</w:t>
      </w:r>
    </w:p>
    <w:p w14:paraId="129AF192" w14:textId="2F121A58"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El censo de 2010 constató un aumento en la población hispana de 15.2 millones entre el año 2000 y el año 2010, representando más de la mitad de los 27.3 millones de </w:t>
      </w:r>
      <w:r w:rsidRPr="00F3340E">
        <w:rPr>
          <w:rFonts w:eastAsia="Calibri"/>
          <w:sz w:val="26"/>
          <w:szCs w:val="26"/>
          <w:lang w:eastAsia="en-US"/>
        </w:rPr>
        <w:lastRenderedPageBreak/>
        <w:t>aumento de la población total de Estados Unidos de Norteamérica. Esto significa un aumento de la población hispana en 43%, o cuatro veces el crecimiento del país de 9.7%</w:t>
      </w:r>
      <w:r w:rsidRPr="00F3340E">
        <w:rPr>
          <w:rFonts w:eastAsia="Calibri"/>
          <w:sz w:val="26"/>
          <w:szCs w:val="26"/>
          <w:vertAlign w:val="superscript"/>
          <w:lang w:eastAsia="en-US"/>
        </w:rPr>
        <w:footnoteReference w:id="11"/>
      </w:r>
      <w:r w:rsidR="00F31276">
        <w:rPr>
          <w:rFonts w:eastAsia="Calibri"/>
          <w:sz w:val="26"/>
          <w:szCs w:val="26"/>
          <w:lang w:eastAsia="en-US"/>
        </w:rPr>
        <w:t>.</w:t>
      </w:r>
      <w:r w:rsidRPr="00F3340E">
        <w:rPr>
          <w:rFonts w:eastAsia="Calibri"/>
          <w:sz w:val="26"/>
          <w:szCs w:val="26"/>
          <w:lang w:eastAsia="en-US"/>
        </w:rPr>
        <w:t xml:space="preserve"> Este crecimiento demográfico no tiene precedente en la historia de Estados Unidos de Norteamérica y parece que su proyección futura es igualmente importante, ya que si en 2010, según las cifras, llegaron a ser más de 16% de la población total, para 2020 se prevé que sean el 21 por ciento.</w:t>
      </w:r>
    </w:p>
    <w:p w14:paraId="5D3219B9" w14:textId="62828D55"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El origen de su presencia bajo este crecimiento espectacular se explica fundamentalmente por el cambio decisivo de política migratoria que tuvo lugar en 1970, cuando los inmigrantes no sumaban más de 5%</w:t>
      </w:r>
      <w:r w:rsidRPr="00F3340E">
        <w:rPr>
          <w:rFonts w:eastAsia="Calibri"/>
          <w:sz w:val="26"/>
          <w:szCs w:val="26"/>
          <w:vertAlign w:val="superscript"/>
          <w:lang w:eastAsia="en-US"/>
        </w:rPr>
        <w:footnoteReference w:id="12"/>
      </w:r>
      <w:r w:rsidR="00F31276">
        <w:rPr>
          <w:rFonts w:eastAsia="Calibri"/>
          <w:sz w:val="26"/>
          <w:szCs w:val="26"/>
          <w:lang w:eastAsia="en-US"/>
        </w:rPr>
        <w:t>.</w:t>
      </w:r>
      <w:r w:rsidRPr="00F3340E">
        <w:rPr>
          <w:rFonts w:eastAsia="Calibri"/>
          <w:sz w:val="26"/>
          <w:szCs w:val="26"/>
          <w:lang w:eastAsia="en-US"/>
        </w:rPr>
        <w:t xml:space="preserve"> A partir de entonces gracias a las nuevas medidas adoptadas, mucho menos restrictivas, no sólo es posible una auténtica revolución demográfica, desde el punto de vista cuantitativo, sino una transformación en la procedencia de los inmigrantes, pues se da entrada a un cuantioso flujo procedente de América Latina y Asia, hasta el punto de modificar la estructura étnica del país.</w:t>
      </w:r>
    </w:p>
    <w:p w14:paraId="6611A413"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En esta transformación de la estructura de la población extranjera es radical y se realiza en poco de tiempo. La tasa de europeos cae de 75%, en 1960, a 15%, en 2000, sumando 4.4 millones frente a los 7.3 previos. Y aunque el sector asiático advierte también un gran desarrollo y supone —con 7.2 millones— la cuarta parte del conjunto, lo vela el latino. China, el país emisor más importante de esa región y segundo en la lista de nacionalidades, aporta 1.4 millones, seis veces menos que </w:t>
      </w:r>
      <w:r w:rsidRPr="007A233D">
        <w:rPr>
          <w:rFonts w:eastAsia="Calibri"/>
          <w:sz w:val="26"/>
          <w:szCs w:val="26"/>
          <w:lang w:eastAsia="en-US"/>
        </w:rPr>
        <w:t>México</w:t>
      </w:r>
      <w:r w:rsidRPr="00F3340E">
        <w:rPr>
          <w:rFonts w:eastAsia="Calibri"/>
          <w:sz w:val="26"/>
          <w:szCs w:val="26"/>
          <w:lang w:eastAsia="en-US"/>
        </w:rPr>
        <w:t>, el principal emisor. Hay que remontarse al censo de 1890 —cuando el 30% procedía de Alemania— para encontrar un índice tan elevado de una nacionalidad.</w:t>
      </w:r>
    </w:p>
    <w:p w14:paraId="4DD04CE3"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No obstante, las fuentes oficiales que contabilizan a la población latina, no contemplan a la población que vive y trabaja ilegalmente en cada estado. El </w:t>
      </w:r>
      <w:proofErr w:type="spellStart"/>
      <w:r w:rsidRPr="00F3340E">
        <w:rPr>
          <w:rFonts w:eastAsia="Calibri"/>
          <w:i/>
          <w:sz w:val="26"/>
          <w:szCs w:val="26"/>
          <w:lang w:eastAsia="en-US"/>
        </w:rPr>
        <w:t>Pew</w:t>
      </w:r>
      <w:proofErr w:type="spellEnd"/>
      <w:r w:rsidRPr="00F3340E">
        <w:rPr>
          <w:rFonts w:eastAsia="Calibri"/>
          <w:i/>
          <w:sz w:val="26"/>
          <w:szCs w:val="26"/>
          <w:lang w:eastAsia="en-US"/>
        </w:rPr>
        <w:t xml:space="preserve"> </w:t>
      </w:r>
      <w:proofErr w:type="spellStart"/>
      <w:r w:rsidRPr="00F3340E">
        <w:rPr>
          <w:rFonts w:eastAsia="Calibri"/>
          <w:i/>
          <w:sz w:val="26"/>
          <w:szCs w:val="26"/>
          <w:lang w:eastAsia="en-US"/>
        </w:rPr>
        <w:t>Reseach</w:t>
      </w:r>
      <w:proofErr w:type="spellEnd"/>
      <w:r w:rsidRPr="00F3340E">
        <w:rPr>
          <w:rFonts w:eastAsia="Calibri"/>
          <w:i/>
          <w:sz w:val="26"/>
          <w:szCs w:val="26"/>
          <w:lang w:eastAsia="en-US"/>
        </w:rPr>
        <w:t xml:space="preserve"> Center</w:t>
      </w:r>
      <w:r w:rsidRPr="00F3340E">
        <w:rPr>
          <w:rFonts w:eastAsia="Calibri"/>
          <w:sz w:val="26"/>
          <w:szCs w:val="26"/>
          <w:lang w:eastAsia="en-US"/>
        </w:rPr>
        <w:t xml:space="preserve"> </w:t>
      </w:r>
      <w:r w:rsidRPr="00F3340E">
        <w:rPr>
          <w:rFonts w:eastAsia="Calibri"/>
          <w:sz w:val="26"/>
          <w:szCs w:val="26"/>
          <w:lang w:eastAsia="en-US"/>
        </w:rPr>
        <w:lastRenderedPageBreak/>
        <w:t xml:space="preserve">calculó que, en 2011, había en el país 11.2 millones de indocumentados, cifra que representaba 3.5% de la población del país. De ellos, la mayoría son </w:t>
      </w:r>
      <w:r w:rsidRPr="007A233D">
        <w:rPr>
          <w:rFonts w:eastAsia="Calibri"/>
          <w:sz w:val="26"/>
          <w:szCs w:val="26"/>
          <w:lang w:eastAsia="en-US"/>
        </w:rPr>
        <w:t>mexicanos</w:t>
      </w:r>
      <w:r w:rsidRPr="00F3340E">
        <w:rPr>
          <w:rFonts w:eastAsia="Calibri"/>
          <w:sz w:val="26"/>
          <w:szCs w:val="26"/>
          <w:lang w:eastAsia="en-US"/>
        </w:rPr>
        <w:t>, constituyendo alrededor de la mitad de los inmigrantes ilegales en el país. La principal característica de esta población es que aunque en efecto representen 3.5% de la población de Estados Unidos de Norteamérica suponen 5.1% de su fuerza laboral.</w:t>
      </w:r>
    </w:p>
    <w:p w14:paraId="4B226E17" w14:textId="148CDD4D"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No obstante</w:t>
      </w:r>
      <w:r w:rsidR="00297CBE">
        <w:rPr>
          <w:rFonts w:eastAsia="Calibri"/>
          <w:sz w:val="26"/>
          <w:szCs w:val="26"/>
          <w:lang w:eastAsia="en-US"/>
        </w:rPr>
        <w:t>,</w:t>
      </w:r>
      <w:r w:rsidRPr="00F3340E">
        <w:rPr>
          <w:rFonts w:eastAsia="Calibri"/>
          <w:sz w:val="26"/>
          <w:szCs w:val="26"/>
          <w:lang w:eastAsia="en-US"/>
        </w:rPr>
        <w:t xml:space="preserve"> en 2012</w:t>
      </w:r>
      <w:r w:rsidR="00297CBE">
        <w:rPr>
          <w:rFonts w:eastAsia="Calibri"/>
          <w:sz w:val="26"/>
          <w:szCs w:val="26"/>
          <w:lang w:eastAsia="en-US"/>
        </w:rPr>
        <w:t>,</w:t>
      </w:r>
      <w:r w:rsidRPr="00F3340E">
        <w:rPr>
          <w:rFonts w:eastAsia="Calibri"/>
          <w:sz w:val="26"/>
          <w:szCs w:val="26"/>
          <w:lang w:eastAsia="en-US"/>
        </w:rPr>
        <w:t xml:space="preserve"> se confirma una tendencia que venía de años atrás, el descenso de la inmigración ilegal después de más de una década. Hay varios factores que explican esta tendencia y que confluyen al mismo tiempo. Para entenderlo es preciso tener en cuenta la crisis de la economía estadounidense, desde 2009, a diferencia del momento de prosperidad en la región, el aumento de las medidas de seguridad en la frontera estadounidense y el propio envejecimiento de la población </w:t>
      </w:r>
      <w:r w:rsidRPr="007A233D">
        <w:rPr>
          <w:rFonts w:eastAsia="Calibri"/>
          <w:sz w:val="26"/>
          <w:szCs w:val="26"/>
          <w:lang w:eastAsia="en-US"/>
        </w:rPr>
        <w:t>mexicana</w:t>
      </w:r>
      <w:r w:rsidRPr="00F3340E">
        <w:rPr>
          <w:rFonts w:eastAsia="Calibri"/>
          <w:sz w:val="26"/>
          <w:szCs w:val="26"/>
          <w:lang w:eastAsia="en-US"/>
        </w:rPr>
        <w:t>.</w:t>
      </w:r>
    </w:p>
    <w:p w14:paraId="02E64918"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Pese a todo, y </w:t>
      </w:r>
      <w:proofErr w:type="spellStart"/>
      <w:r w:rsidRPr="00F3340E">
        <w:rPr>
          <w:rFonts w:eastAsia="Calibri"/>
          <w:sz w:val="26"/>
          <w:szCs w:val="26"/>
          <w:lang w:eastAsia="en-US"/>
        </w:rPr>
        <w:t>aún</w:t>
      </w:r>
      <w:proofErr w:type="spellEnd"/>
      <w:r w:rsidRPr="00F3340E">
        <w:rPr>
          <w:rFonts w:eastAsia="Calibri"/>
          <w:sz w:val="26"/>
          <w:szCs w:val="26"/>
          <w:lang w:eastAsia="en-US"/>
        </w:rPr>
        <w:t xml:space="preserve"> contemplando este descenso, al sumar a toda la población hispana en su conjunto, Estados Unidos de Norteamérica se ha convertido en la segunda comunidad más importante, después de </w:t>
      </w:r>
      <w:r w:rsidRPr="007A233D">
        <w:rPr>
          <w:rFonts w:eastAsia="Calibri"/>
          <w:sz w:val="26"/>
          <w:szCs w:val="26"/>
          <w:lang w:eastAsia="en-US"/>
        </w:rPr>
        <w:t>México</w:t>
      </w:r>
      <w:r w:rsidRPr="00F3340E">
        <w:rPr>
          <w:rFonts w:eastAsia="Calibri"/>
          <w:sz w:val="26"/>
          <w:szCs w:val="26"/>
          <w:lang w:eastAsia="en-US"/>
        </w:rPr>
        <w:t>, de todo el mundo.</w:t>
      </w:r>
    </w:p>
    <w:p w14:paraId="578EBDF0" w14:textId="77777777" w:rsid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Si toda esta población hace predecible la importancia de este grupo en años venideros, contemplando además la juventud y la elevada natalidad de esta población, queda asegurado, más allá de nuevos flujos migratorios, el crecimiento sostenible, por muchos más años. Tanto que en California, desde la década de los noventa, la natalidad asegura el crecimiento de la población latina y no los flujos migratorios. Igualmente interesante es el hecho de que, en determinadas localidades, hayan dejado de ser la minoría, desde hace años, y hayan superado a la población blanca no hispana. De hecho, según un estudio del </w:t>
      </w:r>
      <w:r w:rsidRPr="00F3340E">
        <w:rPr>
          <w:rFonts w:eastAsia="Calibri"/>
          <w:i/>
          <w:sz w:val="26"/>
          <w:szCs w:val="26"/>
          <w:lang w:eastAsia="en-US"/>
        </w:rPr>
        <w:t xml:space="preserve">Brookings </w:t>
      </w:r>
      <w:proofErr w:type="spellStart"/>
      <w:r w:rsidRPr="00F3340E">
        <w:rPr>
          <w:rFonts w:eastAsia="Calibri"/>
          <w:i/>
          <w:sz w:val="26"/>
          <w:szCs w:val="26"/>
          <w:lang w:eastAsia="en-US"/>
        </w:rPr>
        <w:t>Institution</w:t>
      </w:r>
      <w:proofErr w:type="spellEnd"/>
      <w:r w:rsidRPr="00F3340E">
        <w:rPr>
          <w:rFonts w:eastAsia="Calibri"/>
          <w:sz w:val="26"/>
          <w:szCs w:val="26"/>
          <w:lang w:eastAsia="en-US"/>
        </w:rPr>
        <w:t xml:space="preserve"> (2001), los blancos no hispanos se han convertido en la nueva minoría en las 100 mayores urbes del país. De 52% en 1990, bajan a 44% en 2000.</w:t>
      </w:r>
    </w:p>
    <w:p w14:paraId="64440A52" w14:textId="77777777" w:rsidR="004D07F1" w:rsidRPr="00F3340E" w:rsidRDefault="004D07F1" w:rsidP="00F3340E">
      <w:pPr>
        <w:spacing w:after="360" w:line="360" w:lineRule="auto"/>
        <w:ind w:right="-159"/>
        <w:jc w:val="both"/>
        <w:rPr>
          <w:rFonts w:eastAsia="Calibri"/>
          <w:sz w:val="26"/>
          <w:szCs w:val="26"/>
          <w:lang w:eastAsia="en-US"/>
        </w:rPr>
      </w:pPr>
    </w:p>
    <w:p w14:paraId="1A197E14" w14:textId="77777777" w:rsidR="00F3340E" w:rsidRPr="00F3340E" w:rsidRDefault="00F3340E" w:rsidP="00F3340E">
      <w:pPr>
        <w:spacing w:after="360" w:line="360" w:lineRule="auto"/>
        <w:ind w:right="-159"/>
        <w:jc w:val="both"/>
        <w:rPr>
          <w:rFonts w:eastAsia="Calibri"/>
          <w:b/>
          <w:sz w:val="26"/>
          <w:szCs w:val="26"/>
          <w:lang w:eastAsia="en-US"/>
        </w:rPr>
      </w:pPr>
      <w:r w:rsidRPr="00F3340E">
        <w:rPr>
          <w:rFonts w:eastAsia="Calibri"/>
          <w:b/>
          <w:sz w:val="26"/>
          <w:szCs w:val="26"/>
          <w:lang w:eastAsia="en-US"/>
        </w:rPr>
        <w:lastRenderedPageBreak/>
        <w:t>Distribución geográfica</w:t>
      </w:r>
    </w:p>
    <w:p w14:paraId="5F06803C" w14:textId="0F57F10B"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En 2010, 37.6 millones o el 75% de los hispanos vivían en los ocho estados con poblaciones hispanas de un millón o más (California, Texas, Florida, Nueva York, Illinois, Arizona, Nueva Jersey y Colorado). Respecto a los principales estados, los porcentajes eran considerables. En California conformaron 14.0 millones, el 28% del total de la población hispana. En Texas eran 9.5 millones (19%) y en Florida los </w:t>
      </w:r>
      <w:r w:rsidR="007A233D">
        <w:rPr>
          <w:rFonts w:eastAsia="Calibri"/>
          <w:sz w:val="26"/>
          <w:szCs w:val="26"/>
          <w:lang w:eastAsia="en-US"/>
        </w:rPr>
        <w:t xml:space="preserve">               </w:t>
      </w:r>
      <w:r w:rsidRPr="00F3340E">
        <w:rPr>
          <w:rFonts w:eastAsia="Calibri"/>
          <w:sz w:val="26"/>
          <w:szCs w:val="26"/>
          <w:lang w:eastAsia="en-US"/>
        </w:rPr>
        <w:t>4.2 millones, representaban el 8% de la población hispana de Estados Unidos de Norteamérica. Su presencia en algunas regiones metropolitanas también es destacable como en Nueva York y Chicago.</w:t>
      </w:r>
    </w:p>
    <w:p w14:paraId="177255C4"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Sin embargo, en la última década, además de las áreas tradicionales donde se han ubicados los latinos, también es posible constatar su expansión por el resto del país. La población hispana aumentó en los 50 estados.</w:t>
      </w:r>
    </w:p>
    <w:p w14:paraId="1850FD1F"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No puede dejar de contabilizarse, pese a las dificultades, a la población ilegal. También se concentra en determinados lugares, principalmente en seis estados         —California, Texas, Florida, Nueva York, Nueva Jersey e Illinois—, donde residen el 60 por ciento del total.</w:t>
      </w:r>
    </w:p>
    <w:p w14:paraId="2E1B67A0" w14:textId="77777777" w:rsidR="00F3340E" w:rsidRPr="00F3340E" w:rsidRDefault="00F3340E" w:rsidP="00F3340E">
      <w:pPr>
        <w:spacing w:after="360" w:line="360" w:lineRule="auto"/>
        <w:ind w:right="-159"/>
        <w:jc w:val="both"/>
        <w:rPr>
          <w:rFonts w:eastAsia="Calibri"/>
          <w:b/>
          <w:sz w:val="26"/>
          <w:szCs w:val="26"/>
          <w:lang w:eastAsia="en-US"/>
        </w:rPr>
      </w:pPr>
      <w:r w:rsidRPr="00F3340E">
        <w:rPr>
          <w:rFonts w:eastAsia="Calibri"/>
          <w:b/>
          <w:sz w:val="26"/>
          <w:szCs w:val="26"/>
          <w:lang w:eastAsia="en-US"/>
        </w:rPr>
        <w:t>Crecimiento de las diferentes nacionalidades latinoamericanas</w:t>
      </w:r>
    </w:p>
    <w:p w14:paraId="6C63221D" w14:textId="49D7B39B"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La diversidad nacional es una característica de este grupo, aunque se haya quedado opacada bajo la categoría de hispano, si bien la población latinoamericana, persiste en identificarse antes de acuerdo </w:t>
      </w:r>
      <w:r w:rsidR="00FF79BA">
        <w:rPr>
          <w:rFonts w:eastAsia="Calibri"/>
          <w:sz w:val="26"/>
          <w:szCs w:val="26"/>
          <w:lang w:eastAsia="en-US"/>
        </w:rPr>
        <w:t>con</w:t>
      </w:r>
      <w:r w:rsidRPr="00F3340E">
        <w:rPr>
          <w:rFonts w:eastAsia="Calibri"/>
          <w:sz w:val="26"/>
          <w:szCs w:val="26"/>
          <w:lang w:eastAsia="en-US"/>
        </w:rPr>
        <w:t xml:space="preserve"> su país, que bajo la categoría de latino. Los grupos tradicionales y mayoritarios han sido los </w:t>
      </w:r>
      <w:r w:rsidRPr="007A233D">
        <w:rPr>
          <w:rFonts w:eastAsia="Calibri"/>
          <w:sz w:val="26"/>
          <w:szCs w:val="26"/>
          <w:lang w:eastAsia="en-US"/>
        </w:rPr>
        <w:t>mexicanos</w:t>
      </w:r>
      <w:r w:rsidRPr="00F3340E">
        <w:rPr>
          <w:rFonts w:eastAsia="Calibri"/>
          <w:sz w:val="26"/>
          <w:szCs w:val="26"/>
          <w:lang w:eastAsia="en-US"/>
        </w:rPr>
        <w:t xml:space="preserve"> y muy por detrás le siguen los portorriqueños y los cubanos, los salvadoreños y los dominicanos. No obstante, cabe destacar un proceso de diversificación, también en esta cuestión, mediante el cual a este flujo migratorio se han incorporado otras nacionalidades. Estos “nuevos latinos” han experimentado igualmente un importante crecimiento y con ellos el aumento de la </w:t>
      </w:r>
      <w:r w:rsidRPr="00F3340E">
        <w:rPr>
          <w:rFonts w:eastAsia="Calibri"/>
          <w:sz w:val="26"/>
          <w:szCs w:val="26"/>
          <w:lang w:eastAsia="en-US"/>
        </w:rPr>
        <w:lastRenderedPageBreak/>
        <w:t>diversidad del mundo latino, lo que hace aún más cuestionable su uniformización dentro del conjunto de latinos o hispanos.</w:t>
      </w:r>
    </w:p>
    <w:p w14:paraId="3220AD32"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Respecto a los grupos mayoritarios, el de origen </w:t>
      </w:r>
      <w:r w:rsidRPr="00D846BB">
        <w:rPr>
          <w:rFonts w:eastAsia="Calibri"/>
          <w:sz w:val="26"/>
          <w:szCs w:val="26"/>
          <w:lang w:eastAsia="en-US"/>
        </w:rPr>
        <w:t>mexicano</w:t>
      </w:r>
      <w:r w:rsidRPr="00F3340E">
        <w:rPr>
          <w:rFonts w:eastAsia="Calibri"/>
          <w:sz w:val="26"/>
          <w:szCs w:val="26"/>
          <w:lang w:eastAsia="en-US"/>
        </w:rPr>
        <w:t xml:space="preserve"> </w:t>
      </w:r>
      <w:r w:rsidRPr="00D846BB">
        <w:rPr>
          <w:rFonts w:eastAsia="Calibri"/>
          <w:sz w:val="26"/>
          <w:szCs w:val="26"/>
          <w:lang w:eastAsia="en-US"/>
        </w:rPr>
        <w:t>ha sido y es</w:t>
      </w:r>
      <w:r w:rsidRPr="00F3340E">
        <w:rPr>
          <w:rFonts w:eastAsia="Calibri"/>
          <w:sz w:val="26"/>
          <w:szCs w:val="26"/>
          <w:lang w:eastAsia="en-US"/>
        </w:rPr>
        <w:t xml:space="preserve"> el grupo más grande, representando 63% del total de la población hispana en Estados Unidos de Norteamérica. Este grupo aumentó 54% y reportó el mayor cambio numérico, creciendo de 20.6 millones en el año 2000 a 31.8 millones en el año 2010. Los mexicanos representaron alrededor de tres cuartas partes del aumento de 15.2 millones del total de la población hispana entre el año 2000 y el año 2010.</w:t>
      </w:r>
    </w:p>
    <w:p w14:paraId="2AA117FB"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Por estados, representan el mayor grupo hispano en 40 estados, con más de la mitad de estos estados en las regiones sur y oeste del país, dos estados en el noreste, y en todos los 12 estados de las regiones del centro del país.</w:t>
      </w:r>
    </w:p>
    <w:p w14:paraId="0121B03C" w14:textId="0597BB86"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Los puertorriqueños, el segundo grupo más grande, constituían 9% de la población hispana, en el año 2010, por debajo de 10% reportado en el año 2000. La población puertorriqueña aumentó 36%, de 3.4 millones a 4.6 millones. Los puertorriqueños fueron el mayor grupo hispano en seis de los nueve estados en el noreste y en un estado del oeste, </w:t>
      </w:r>
      <w:proofErr w:type="spellStart"/>
      <w:r w:rsidRPr="00F3340E">
        <w:rPr>
          <w:rFonts w:eastAsia="Calibri"/>
          <w:sz w:val="26"/>
          <w:szCs w:val="26"/>
          <w:lang w:eastAsia="en-US"/>
        </w:rPr>
        <w:t>Haw</w:t>
      </w:r>
      <w:r w:rsidR="00297CBE">
        <w:rPr>
          <w:rFonts w:eastAsia="Calibri"/>
          <w:sz w:val="26"/>
          <w:szCs w:val="26"/>
          <w:lang w:eastAsia="en-US"/>
        </w:rPr>
        <w:t>a</w:t>
      </w:r>
      <w:r w:rsidRPr="00F3340E">
        <w:rPr>
          <w:rFonts w:eastAsia="Calibri"/>
          <w:sz w:val="26"/>
          <w:szCs w:val="26"/>
          <w:lang w:eastAsia="en-US"/>
        </w:rPr>
        <w:t>i</w:t>
      </w:r>
      <w:proofErr w:type="spellEnd"/>
      <w:r w:rsidRPr="00F3340E">
        <w:rPr>
          <w:rFonts w:eastAsia="Calibri"/>
          <w:sz w:val="26"/>
          <w:szCs w:val="26"/>
          <w:lang w:eastAsia="en-US"/>
        </w:rPr>
        <w:t>, con una población de 44 mil.</w:t>
      </w:r>
    </w:p>
    <w:p w14:paraId="04729C2E"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La población de origen cubano aumentó 44%, de 1.2 millones en el año 2000 a 1.8 millones en el año 2010. Los cubanos representaron aproximadamente 4% del total de la población hispana, tanto en el año 2000, como en el año 2010 y fueron el grupo más grande de origen hispano, en Florida, llegando a ser 1.2 millones.</w:t>
      </w:r>
    </w:p>
    <w:p w14:paraId="3BDE54E6"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Con respecto a otras nacionalidades, como ya fue comentado, se han ido diversificando, si bien por razones de proximidad, sin duda los centroamericanos, son los que han ido adquiriendo cada vez mayor presencia. Desde el año 2000, tres grupos de origen hispano sobrepasaron el millón de habitantes: salvadoreños (1.6 millones), dominicanos (1.4 millones) y guatemaltecos (1.0 millones).</w:t>
      </w:r>
    </w:p>
    <w:p w14:paraId="5B6BC5C4"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lastRenderedPageBreak/>
        <w:t>En el año 2010, las personas de origen salvadoreño (3% del total de la población hispana), aumentó de forma considerable entre el año 2000 y el año 2010, con un crecimiento de 152%. Por lo que respecta a los guatemaltecos, entre el año 2000 y el año 2010, aumentaron en forma considerable, con un crecimiento de 180%, llegando a constituirse en el 2% del total de la población hispana en el año 2010.</w:t>
      </w:r>
    </w:p>
    <w:p w14:paraId="508ED25C" w14:textId="6A58A218"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Por su parte, los hispanos de origen sudamericano aumentaron de 1.4 millones, en el año 2000, a 2.8 millones, en el año 2010, un aumento de 105%. Esta población conformó el 5% del total de la población hispana en el año 2010</w:t>
      </w:r>
      <w:r w:rsidRPr="00F3340E">
        <w:rPr>
          <w:rFonts w:eastAsia="Calibri"/>
          <w:sz w:val="26"/>
          <w:szCs w:val="26"/>
          <w:vertAlign w:val="superscript"/>
          <w:lang w:eastAsia="en-US"/>
        </w:rPr>
        <w:footnoteReference w:id="13"/>
      </w:r>
      <w:r w:rsidR="00297CBE">
        <w:rPr>
          <w:rFonts w:eastAsia="Calibri"/>
          <w:sz w:val="26"/>
          <w:szCs w:val="26"/>
          <w:lang w:eastAsia="en-US"/>
        </w:rPr>
        <w:t>.</w:t>
      </w:r>
    </w:p>
    <w:p w14:paraId="1228EB51" w14:textId="61EA9D8D"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De acuerdo </w:t>
      </w:r>
      <w:r w:rsidR="00892B93">
        <w:rPr>
          <w:rFonts w:eastAsia="Calibri"/>
          <w:sz w:val="26"/>
          <w:szCs w:val="26"/>
          <w:lang w:eastAsia="en-US"/>
        </w:rPr>
        <w:t>con</w:t>
      </w:r>
      <w:r w:rsidRPr="00F3340E">
        <w:rPr>
          <w:rFonts w:eastAsia="Calibri"/>
          <w:sz w:val="26"/>
          <w:szCs w:val="26"/>
          <w:lang w:eastAsia="en-US"/>
        </w:rPr>
        <w:t xml:space="preserve"> los datos demográficos anteriores se pueden obtener diferentes conclusiones: </w:t>
      </w:r>
    </w:p>
    <w:p w14:paraId="46D83860" w14:textId="654F6069" w:rsidR="00F3340E" w:rsidRPr="00F3340E" w:rsidRDefault="00F3340E" w:rsidP="002D3902">
      <w:pPr>
        <w:numPr>
          <w:ilvl w:val="0"/>
          <w:numId w:val="73"/>
        </w:numPr>
        <w:spacing w:after="360" w:line="360" w:lineRule="auto"/>
        <w:ind w:right="-159"/>
        <w:jc w:val="both"/>
        <w:rPr>
          <w:rFonts w:eastAsia="Calibri"/>
          <w:sz w:val="26"/>
          <w:szCs w:val="26"/>
          <w:lang w:eastAsia="en-US"/>
        </w:rPr>
      </w:pPr>
      <w:r w:rsidRPr="00F3340E">
        <w:rPr>
          <w:rFonts w:eastAsia="Calibri"/>
          <w:sz w:val="26"/>
          <w:szCs w:val="26"/>
          <w:lang w:eastAsia="en-US"/>
        </w:rPr>
        <w:t>Desde el año 2000, el censo pone de manifiesto el espectacular crecimiento experimentado por la población latina, tanto por inmigración como por nacimiento, convirtiéndose en la primera minoría del país.</w:t>
      </w:r>
    </w:p>
    <w:p w14:paraId="6FF78C52" w14:textId="77777777" w:rsidR="00F3340E" w:rsidRPr="00F3340E" w:rsidRDefault="00F3340E" w:rsidP="002D3902">
      <w:pPr>
        <w:numPr>
          <w:ilvl w:val="0"/>
          <w:numId w:val="73"/>
        </w:numPr>
        <w:spacing w:after="360" w:line="360" w:lineRule="auto"/>
        <w:ind w:right="-159"/>
        <w:jc w:val="both"/>
        <w:rPr>
          <w:rFonts w:eastAsia="Calibri"/>
          <w:sz w:val="26"/>
          <w:szCs w:val="26"/>
          <w:lang w:eastAsia="en-US"/>
        </w:rPr>
      </w:pPr>
      <w:r w:rsidRPr="00F3340E">
        <w:rPr>
          <w:rFonts w:eastAsia="Calibri"/>
          <w:sz w:val="26"/>
          <w:szCs w:val="26"/>
          <w:lang w:eastAsia="en-US"/>
        </w:rPr>
        <w:t>Desde 1970 hay nuevos flujos que aumenta el volumen y la diversidad preexistente y que explican este crecimiento exponencial, de los últimos años.</w:t>
      </w:r>
    </w:p>
    <w:p w14:paraId="06CF10A4" w14:textId="1A923B9E" w:rsidR="00F3340E" w:rsidRPr="00F3340E" w:rsidRDefault="00F3340E" w:rsidP="002D3902">
      <w:pPr>
        <w:numPr>
          <w:ilvl w:val="0"/>
          <w:numId w:val="73"/>
        </w:numPr>
        <w:spacing w:after="360" w:line="360" w:lineRule="auto"/>
        <w:ind w:right="-159"/>
        <w:jc w:val="both"/>
        <w:rPr>
          <w:rFonts w:eastAsia="Calibri"/>
          <w:sz w:val="26"/>
          <w:szCs w:val="26"/>
          <w:lang w:eastAsia="en-US"/>
        </w:rPr>
      </w:pPr>
      <w:r w:rsidRPr="00F3340E">
        <w:rPr>
          <w:rFonts w:eastAsia="Calibri"/>
          <w:sz w:val="26"/>
          <w:szCs w:val="26"/>
          <w:lang w:eastAsia="en-US"/>
        </w:rPr>
        <w:t>Igualmente, se aprecia nuevas tendencia en la distribución de esta población, al extenderse de manera gradual por toda la geografía estadounidense, aunque al mismo tiempo se consoliden los asentamientos tradicionales. Con ello la población latina pasaría a tener presencia nacional y a ser un elemento estructural de la demografía norteamericana</w:t>
      </w:r>
      <w:r w:rsidRPr="00F3340E">
        <w:rPr>
          <w:rFonts w:eastAsia="Calibri"/>
          <w:sz w:val="26"/>
          <w:szCs w:val="26"/>
          <w:vertAlign w:val="superscript"/>
          <w:lang w:eastAsia="en-US"/>
        </w:rPr>
        <w:footnoteReference w:id="14"/>
      </w:r>
      <w:r w:rsidR="00892B93">
        <w:rPr>
          <w:rFonts w:eastAsia="Calibri"/>
          <w:sz w:val="26"/>
          <w:szCs w:val="26"/>
          <w:lang w:eastAsia="en-US"/>
        </w:rPr>
        <w:t>.</w:t>
      </w:r>
    </w:p>
    <w:p w14:paraId="50BE17F4" w14:textId="77777777" w:rsidR="00F3340E" w:rsidRPr="00F3340E" w:rsidRDefault="00F3340E" w:rsidP="00F3340E">
      <w:pPr>
        <w:spacing w:after="360" w:line="360" w:lineRule="auto"/>
        <w:ind w:right="-159"/>
        <w:jc w:val="both"/>
        <w:rPr>
          <w:rFonts w:eastAsia="Calibri"/>
          <w:b/>
          <w:sz w:val="26"/>
          <w:szCs w:val="26"/>
          <w:lang w:eastAsia="en-US"/>
        </w:rPr>
      </w:pPr>
      <w:r w:rsidRPr="00F3340E">
        <w:rPr>
          <w:rFonts w:eastAsia="Calibri"/>
          <w:b/>
          <w:sz w:val="26"/>
          <w:szCs w:val="26"/>
          <w:lang w:eastAsia="en-US"/>
        </w:rPr>
        <w:lastRenderedPageBreak/>
        <w:t>Niveles de formación y extracción social</w:t>
      </w:r>
    </w:p>
    <w:p w14:paraId="27A9C435" w14:textId="7D31D92C"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En términos generales buena parte de la población inmigrante tiende a ocupar los escalafones más bajos de la sociedad, ocupando los puestos de trabajos menos cualificados y peor pagados que la población nacional no desea ocupar. </w:t>
      </w:r>
      <w:r w:rsidR="00297CBE">
        <w:rPr>
          <w:rFonts w:eastAsia="Calibri"/>
          <w:sz w:val="26"/>
          <w:szCs w:val="26"/>
          <w:lang w:eastAsia="en-US"/>
        </w:rPr>
        <w:t>É</w:t>
      </w:r>
      <w:r w:rsidRPr="00F3340E">
        <w:rPr>
          <w:rFonts w:eastAsia="Calibri"/>
          <w:sz w:val="26"/>
          <w:szCs w:val="26"/>
          <w:lang w:eastAsia="en-US"/>
        </w:rPr>
        <w:t>ste es el caso de la población latina, pues tradicionalmente representaban, respecto a otros grupos inmigrantes, menor nivel educativo, factor que se ha reflejado en el mayor grado de desempleo, ingresos más bajos y significativas tasas de pobreza.</w:t>
      </w:r>
    </w:p>
    <w:p w14:paraId="36D8F38E"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Sin embargo, esta situación no es generalizable a toda la población latina y cada vez menos, según se van incorporando al sistema educativo las segundas generaciones. El mundo social latino también es diverso en su formación, así como en sus ingresos y su situación laboral.</w:t>
      </w:r>
    </w:p>
    <w:p w14:paraId="3C04614F"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No es de extrañar que los inmigrantes con una larga estancia en el país o los latinos nacidos en suelo estadounidense, tengan una situación diferente que los recién llegados. La progresiva mejora de la segunda generación y anteriores, nacidos ya en Estados Unidos de Norteamérica, hace posible que éstas tengan mayores posibilidades de formación, lo que se refleja en mejores sueldos y salarios. No obstante, los emigrantes salvadoreños y guatemaltecos, además de los </w:t>
      </w:r>
      <w:r w:rsidRPr="001A572C">
        <w:rPr>
          <w:rFonts w:eastAsia="Calibri"/>
          <w:sz w:val="26"/>
          <w:szCs w:val="26"/>
          <w:lang w:eastAsia="en-US"/>
        </w:rPr>
        <w:t>mexicanos</w:t>
      </w:r>
      <w:r w:rsidRPr="00F3340E">
        <w:rPr>
          <w:rFonts w:eastAsia="Calibri"/>
          <w:sz w:val="26"/>
          <w:szCs w:val="26"/>
          <w:lang w:eastAsia="en-US"/>
        </w:rPr>
        <w:t>, como ya fue mencionado, son los que poseen peor formación de todas las minorías y en consecuencia los que se sitúan, con diferencia respecto a los otros grupos, en los segmentos sociales más bajos. En esta escala le siguen los dominicanos, y tras éstos, los peruanos y ecuatorianos.</w:t>
      </w:r>
    </w:p>
    <w:p w14:paraId="0F15DB8F"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En el otro extremo se encuentran los cubanos, el colectivo que detenta la mejor posición en nivel educativo e ingresos. En éstos hay una importante proporción con estudios de secundaria y universitaria. En estos niveles de formación habría que situar también a los sudamericanos, como los colombianos. La diferencia radica en que mientras los cubanos habrían adquirido su formación en Estados Unidos de Norteamérica, en el caso </w:t>
      </w:r>
      <w:r w:rsidRPr="00F3340E">
        <w:rPr>
          <w:rFonts w:eastAsia="Calibri"/>
          <w:sz w:val="26"/>
          <w:szCs w:val="26"/>
          <w:lang w:eastAsia="en-US"/>
        </w:rPr>
        <w:lastRenderedPageBreak/>
        <w:t>sudamericano, parten de una buena formación adquirida en sus respectivos países, a diferencia de los caribeños o los centroamericanos.</w:t>
      </w:r>
    </w:p>
    <w:p w14:paraId="5494B7D8"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No obstante, cabe apuntar que pese a las mejoras experimentadas, los índices de fracaso escolar y deserciones antes de acabar la secundaria, en el caso de la población latina, supera al resto de las minorías. Un aspecto que redunda en la imagen de una parte de la sociedad estadounidense a los que estos datos les confirman un supuesto desinterés e incluso incapacidad por la superación personal. Bajo esta imagen no se contemplan las dificultades y obstáculos que implican la marginalidad o la pobreza. De hecho, en muchas ocasiones este abandono escolar se debe a la necesidad de trabajar para obtener ingresos. Sin embargo, cabe insistir de nuevo en la distinción con las segundas generaciones, donde los resultados escolares y el nivel formativo son mayores. Los peores resultados, no por casualidad, se encuentran en los grupos que han llegado más recientemente, corroborando así la precariedad de las condiciones de vida de estos sectores de población inmigrante y las limitaciones del sistema educativo para poder integrarlos.</w:t>
      </w:r>
    </w:p>
    <w:p w14:paraId="685DAA77" w14:textId="2E0EFB8C"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No obstante, dentro de este grupo de los recién llegados cabr</w:t>
      </w:r>
      <w:r w:rsidR="00297CBE">
        <w:rPr>
          <w:rFonts w:eastAsia="Calibri"/>
          <w:sz w:val="26"/>
          <w:szCs w:val="26"/>
          <w:lang w:eastAsia="en-US"/>
        </w:rPr>
        <w:t>í</w:t>
      </w:r>
      <w:r w:rsidRPr="00F3340E">
        <w:rPr>
          <w:rFonts w:eastAsia="Calibri"/>
          <w:sz w:val="26"/>
          <w:szCs w:val="26"/>
          <w:lang w:eastAsia="en-US"/>
        </w:rPr>
        <w:t xml:space="preserve">a diferenciar a los </w:t>
      </w:r>
      <w:proofErr w:type="spellStart"/>
      <w:r w:rsidRPr="00F3340E">
        <w:rPr>
          <w:rFonts w:eastAsia="Calibri"/>
          <w:i/>
          <w:iCs/>
          <w:sz w:val="26"/>
          <w:szCs w:val="26"/>
          <w:lang w:eastAsia="en-US"/>
        </w:rPr>
        <w:t>dreamers</w:t>
      </w:r>
      <w:proofErr w:type="spellEnd"/>
      <w:r w:rsidRPr="00F3340E">
        <w:rPr>
          <w:rFonts w:eastAsia="Calibri"/>
          <w:sz w:val="26"/>
          <w:szCs w:val="26"/>
          <w:lang w:eastAsia="en-US"/>
        </w:rPr>
        <w:t xml:space="preserve">, que pese a ser un colectivo de jóvenes ilegales, tiene buena formación, incluso universitaria. En muchos casos han ido incluso a estudiar a Estados Unidos de Norteamérica y se quedan como ilegales, cuando sus visados finalizan y corren permanentemente el riesgo de ser deportados. El Presidente Obama es muy consciente de las aportaciones que pueden realizar estos jóvenes, formados en Estados Unidos de Norteamérica y que finalmente sus iniciativas empresariales, por su situación irregular, no las podrán llevar a cabo en el país, pese a los beneficios que dichas iniciativas pueden aportar a la economía estadounidense y a su competitividad. Este colectivo </w:t>
      </w:r>
      <w:proofErr w:type="spellStart"/>
      <w:r w:rsidRPr="00F3340E">
        <w:rPr>
          <w:rFonts w:eastAsia="Calibri"/>
          <w:sz w:val="26"/>
          <w:szCs w:val="26"/>
          <w:lang w:eastAsia="en-US"/>
        </w:rPr>
        <w:t>esta</w:t>
      </w:r>
      <w:proofErr w:type="spellEnd"/>
      <w:r w:rsidRPr="00F3340E">
        <w:rPr>
          <w:rFonts w:eastAsia="Calibri"/>
          <w:sz w:val="26"/>
          <w:szCs w:val="26"/>
          <w:lang w:eastAsia="en-US"/>
        </w:rPr>
        <w:t xml:space="preserve"> incluido en la reforma pretendida por el Presidente estadounidense.</w:t>
      </w:r>
    </w:p>
    <w:p w14:paraId="6C617EA1" w14:textId="3755B9D0"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lastRenderedPageBreak/>
        <w:t>Más allá de este grupo en particular, la formación se refleja en la posición social y en los salarios. En efecto, el perfil educacional comentado explica en buena parte que los inmigrantes latinos se encuentren en sectores ocupacionales y puestos de trabajos poco cualificados. Sin embargo, no son el único grupo. Además de la élite hispana que ha logrado situarse en Estados Unidos de Norteamérica y cuyos nombre se publican en los listados sobre los hispanos más influyentes en Estados Unidos de Norteamérica</w:t>
      </w:r>
      <w:r w:rsidRPr="00F3340E">
        <w:rPr>
          <w:rFonts w:eastAsia="Calibri"/>
          <w:sz w:val="26"/>
          <w:szCs w:val="26"/>
          <w:vertAlign w:val="superscript"/>
          <w:lang w:eastAsia="en-US"/>
        </w:rPr>
        <w:footnoteReference w:id="15"/>
      </w:r>
      <w:r w:rsidR="001A572C">
        <w:rPr>
          <w:rFonts w:eastAsia="Calibri"/>
          <w:sz w:val="26"/>
          <w:szCs w:val="26"/>
          <w:lang w:eastAsia="en-US"/>
        </w:rPr>
        <w:t>,</w:t>
      </w:r>
      <w:r w:rsidRPr="00F3340E">
        <w:rPr>
          <w:rFonts w:eastAsia="Calibri"/>
          <w:sz w:val="26"/>
          <w:szCs w:val="26"/>
          <w:lang w:eastAsia="en-US"/>
        </w:rPr>
        <w:t xml:space="preserve"> es de particular interés destacar la existencia de una pujante clase media que progresivamente se va fortaleciendo y que se correspondería con las segundas generaciones, más formadas y con más cualificación.</w:t>
      </w:r>
    </w:p>
    <w:p w14:paraId="7343D9CD"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Todos los factores contemplados hacen pensar en un cambio general en la población latina mediante el cual cabe suponer mayores posibilidades de cualificación y promoción social, como se puede apreciar en los diez últimos años. Esta suposición se basa en el descenso de la población inmigrante, desde 2007, y en el crecimiento natural de la población latina ya instalada en Estados Unidos de Norteamérica. Un colectivo que cuenta con más recursos y posibilidades de proporcionar formación a sus hijos y por tanto de mejorar su situación económica y social. De manera que otros de los estereotipos que pesan sobre la población hispana de Estados Unidos de Norteamérica queda desmentido por la realidad puesto que no sólo está integrada por personas sin recursos y de escasa formación, recién llegada al país, sino que está integrada por todo un universo socio-económico, que según los casos hace tiempo que está instalada en el país.</w:t>
      </w:r>
    </w:p>
    <w:p w14:paraId="0D077C4C" w14:textId="77777777" w:rsidR="00F3340E" w:rsidRPr="00F3340E" w:rsidRDefault="00F3340E" w:rsidP="001A572C">
      <w:pPr>
        <w:numPr>
          <w:ilvl w:val="0"/>
          <w:numId w:val="72"/>
        </w:numPr>
        <w:spacing w:after="360" w:line="360" w:lineRule="auto"/>
        <w:ind w:left="357" w:right="-159" w:hanging="357"/>
        <w:jc w:val="both"/>
        <w:rPr>
          <w:rFonts w:eastAsia="Calibri"/>
          <w:b/>
          <w:sz w:val="26"/>
          <w:szCs w:val="26"/>
          <w:lang w:eastAsia="en-US"/>
        </w:rPr>
      </w:pPr>
      <w:r w:rsidRPr="00F3340E">
        <w:rPr>
          <w:rFonts w:eastAsia="Calibri"/>
          <w:b/>
          <w:sz w:val="26"/>
          <w:szCs w:val="26"/>
          <w:lang w:eastAsia="en-US"/>
        </w:rPr>
        <w:t>El poder de la comunidad latina en su condición de consumidores y votantes</w:t>
      </w:r>
    </w:p>
    <w:p w14:paraId="73381598"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El crecimiento cuantitativo, de magnitud espectacular desarrollado por esta población y la progresiva mejora que está experimentando su situación social y su capacidad adquisitiva las convierte en un centro de atención prioritario para empresarios y </w:t>
      </w:r>
      <w:r w:rsidRPr="00F3340E">
        <w:rPr>
          <w:rFonts w:eastAsia="Calibri"/>
          <w:sz w:val="26"/>
          <w:szCs w:val="26"/>
          <w:lang w:eastAsia="en-US"/>
        </w:rPr>
        <w:lastRenderedPageBreak/>
        <w:t>partidos. Desde hace algunos años, las demandas de esta comunidad están reconfigurando el mercado nacional, ya que constituye un mercado real y potencial extraordinario, pero en la misma medida también han obligado a un cambio en los contenidos de las agendas políticas, tanto del partido demócrata, como del republicano.</w:t>
      </w:r>
    </w:p>
    <w:p w14:paraId="49A16BF1"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Este interés por la población latina, en general, ha hecho más presente a los latinos en la sociedad estadounidense. En otras palabras, las campañas publicitarias y electorales, en busca de clientes y de votantes, lejos de hacerla invisible, la hace cada vez más visible tanto a los latinos, como al idioma español. Un aspecto que, sin embargo no siempre pasa desde la administración estatal, donde en muchos estados se fomenta el </w:t>
      </w:r>
      <w:proofErr w:type="spellStart"/>
      <w:r w:rsidRPr="00F3340E">
        <w:rPr>
          <w:rFonts w:eastAsia="Calibri"/>
          <w:i/>
          <w:iCs/>
          <w:sz w:val="26"/>
          <w:szCs w:val="26"/>
          <w:lang w:eastAsia="en-US"/>
        </w:rPr>
        <w:t>only</w:t>
      </w:r>
      <w:proofErr w:type="spellEnd"/>
      <w:r w:rsidRPr="00F3340E">
        <w:rPr>
          <w:rFonts w:eastAsia="Calibri"/>
          <w:i/>
          <w:iCs/>
          <w:sz w:val="26"/>
          <w:szCs w:val="26"/>
          <w:lang w:eastAsia="en-US"/>
        </w:rPr>
        <w:t xml:space="preserve"> </w:t>
      </w:r>
      <w:proofErr w:type="spellStart"/>
      <w:r w:rsidRPr="00F3340E">
        <w:rPr>
          <w:rFonts w:eastAsia="Calibri"/>
          <w:i/>
          <w:iCs/>
          <w:sz w:val="26"/>
          <w:szCs w:val="26"/>
          <w:lang w:eastAsia="en-US"/>
        </w:rPr>
        <w:t>english</w:t>
      </w:r>
      <w:proofErr w:type="spellEnd"/>
      <w:r w:rsidRPr="00F3340E">
        <w:rPr>
          <w:rFonts w:eastAsia="Calibri"/>
          <w:i/>
          <w:iCs/>
          <w:sz w:val="26"/>
          <w:szCs w:val="26"/>
          <w:lang w:eastAsia="en-US"/>
        </w:rPr>
        <w:t xml:space="preserve"> </w:t>
      </w:r>
      <w:r w:rsidRPr="00F3340E">
        <w:rPr>
          <w:rFonts w:eastAsia="Calibri"/>
          <w:sz w:val="26"/>
          <w:szCs w:val="26"/>
          <w:lang w:eastAsia="en-US"/>
        </w:rPr>
        <w:t>y no se fomenta el bilingüismo.</w:t>
      </w:r>
    </w:p>
    <w:p w14:paraId="50B6E2FA" w14:textId="77777777" w:rsidR="00F3340E" w:rsidRPr="00F3340E" w:rsidRDefault="00F3340E" w:rsidP="00F3340E">
      <w:pPr>
        <w:spacing w:after="360" w:line="360" w:lineRule="auto"/>
        <w:ind w:right="-159"/>
        <w:jc w:val="both"/>
        <w:rPr>
          <w:rFonts w:eastAsia="Calibri"/>
          <w:b/>
          <w:sz w:val="26"/>
          <w:szCs w:val="26"/>
          <w:lang w:eastAsia="en-US"/>
        </w:rPr>
      </w:pPr>
      <w:r w:rsidRPr="00F3340E">
        <w:rPr>
          <w:rFonts w:eastAsia="Calibri"/>
          <w:b/>
          <w:sz w:val="26"/>
          <w:szCs w:val="26"/>
          <w:lang w:eastAsia="en-US"/>
        </w:rPr>
        <w:t>Los empresarios y emprendedores latinos</w:t>
      </w:r>
    </w:p>
    <w:p w14:paraId="132E7647"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Las dimensiones de la comunidad latina no han pasado desapercibidas ni para los empresarios latinos, ni estadounidense, quienes observan un gran mercado que tiende a consolidarse con el crecimiento de una clase media y joven.</w:t>
      </w:r>
    </w:p>
    <w:p w14:paraId="787C3305"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Muestra del dinamismo de la sociedad latina es la evolución experimentada por su sector empresarial, que desde los años noventa ha experimentado un fuerte crecimiento. La mayoría de las empresas hispanas son pequeñas empresas, cuyo auge se nota no sólo en su permanente aporte a la creación de empleos, sino también en el desarrollo de toda una cultura empresarial hispana que empuja la economía del país. “La mayoría de las empresas de hispanos son pequeñas, y los pequeños negocios están creando dos de cada tres puestos de trabajo en Estados Unidos de Norteamérica”, afirma el Presidente de la Cámara de Comercio Hispana. Según el mismo testimonio además agregó que mientras los pequeños negocios declinaron y dejaron de crear nuevos empleos, entre 2008 y 2010, durante la crisis, los hispanos en el mismo período crearon 581 mil nuevos negocios. En enero pasado, el pequeño comercio añadió 46 mil de los 257 mil nuevos puestos de trabajo en el país, lo que situó la tasa de desempleo general en 5.7%, mientras </w:t>
      </w:r>
      <w:r w:rsidRPr="00F3340E">
        <w:rPr>
          <w:rFonts w:eastAsia="Calibri"/>
          <w:sz w:val="26"/>
          <w:szCs w:val="26"/>
          <w:lang w:eastAsia="en-US"/>
        </w:rPr>
        <w:lastRenderedPageBreak/>
        <w:t>que en latinos fue de 6.7%. Los hispanos “son probablemente una de las comunidades más importantes en la creación de trabajos en el país”.</w:t>
      </w:r>
    </w:p>
    <w:p w14:paraId="4FBE2D9E"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No sólo contribuyen a la economía nacional y generan empleos, sino que además están abriendo nuevos espacios de negocios a los tradicionales. Por otro lado, el Presidente de la Cámara de Comercio Hispana indicó que a los sectores tradicionalmente impulsados por empresarios latinos, como son la construcción, los servicios, la agricultura y el transporte, se suma ahora la industria de la tecnología. La causa fundamental está relacionada con la edad media del empresario latino, que es de 26 años, frente a los a los 43 de la media general. “Según el empresario citado, “como somos más jóvenes, tenemos un mejor dominio de la tecnología”.</w:t>
      </w:r>
    </w:p>
    <w:p w14:paraId="4DE8E854"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Esta versión se reitera en los datos oficiales y en los diferentes representantes del empresariado latino. La Directora de la Administración de Pequeños Negocios, quien coincide en afirmar el “crecimiento y fortalecimiento de las empresas de propiedad de latinos”, recordó que más de 3 millones de latinos son dueños de pequeños negocios en el país, y que representan una inyección a la economía de “500 mil millones de dólares anuales”.</w:t>
      </w:r>
    </w:p>
    <w:p w14:paraId="7B25C7DD" w14:textId="04DD8D38"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A ello es preciso agregar un aspecto de interés pues apunta que estas iniciativas favorecen el desarrollo de una cultura especial empresarial, ya que la comunidad latina está generando sus propias empresas, creando tres veces más negocios que el promedio nacional. De nuevo la realidad se contradice con el estereotipo que la sociedad estadounidense posee de la comunidad latina. Ni es una comunidad integrada sólo por una población con pocos recursos, ni carece de iniciativa, ni ambición. Estos datos definitivamente expresan una imagen muy diferente a la generalización de la población inmigrante hispana, que supuestamente carece de afán de superación y de ambición</w:t>
      </w:r>
      <w:r w:rsidRPr="00F3340E">
        <w:rPr>
          <w:rFonts w:eastAsia="Calibri"/>
          <w:sz w:val="26"/>
          <w:szCs w:val="26"/>
          <w:vertAlign w:val="superscript"/>
          <w:lang w:eastAsia="en-US"/>
        </w:rPr>
        <w:footnoteReference w:id="16"/>
      </w:r>
      <w:r w:rsidR="001A572C">
        <w:rPr>
          <w:rFonts w:eastAsia="Calibri"/>
          <w:sz w:val="26"/>
          <w:szCs w:val="26"/>
          <w:lang w:eastAsia="en-US"/>
        </w:rPr>
        <w:t>.</w:t>
      </w:r>
    </w:p>
    <w:p w14:paraId="737151F5" w14:textId="356553EB" w:rsidR="00F3340E" w:rsidRPr="007A233D" w:rsidRDefault="00F3340E" w:rsidP="00F3340E">
      <w:pPr>
        <w:spacing w:after="360" w:line="360" w:lineRule="auto"/>
        <w:ind w:right="-159"/>
        <w:jc w:val="both"/>
        <w:rPr>
          <w:rFonts w:eastAsia="Calibri"/>
          <w:sz w:val="26"/>
          <w:szCs w:val="26"/>
          <w:lang w:eastAsia="en-US"/>
        </w:rPr>
      </w:pPr>
      <w:r w:rsidRPr="007A233D">
        <w:rPr>
          <w:rFonts w:eastAsia="Calibri"/>
          <w:sz w:val="26"/>
          <w:szCs w:val="26"/>
          <w:lang w:eastAsia="en-US"/>
        </w:rPr>
        <w:lastRenderedPageBreak/>
        <w:t>Prueba de esta diversidad, es el ejemplo de la población mexicana, que presenta serios problemas de formación y sufre peor situación económica, que otros grupos, sin embargo, al mismo tiempo los empresarios de origen mexicano son dueños de mucho más negocios pequeños, en Estados Unidos de Norteamérica, que cualquier otro grupo de inmigrantes en este país, según reveló un estudio publicado por el Instituto de Política Fiscal, en 2012</w:t>
      </w:r>
      <w:r w:rsidRPr="007A233D">
        <w:rPr>
          <w:rFonts w:eastAsia="Calibri"/>
          <w:sz w:val="26"/>
          <w:szCs w:val="26"/>
          <w:vertAlign w:val="superscript"/>
          <w:lang w:eastAsia="en-US"/>
        </w:rPr>
        <w:footnoteReference w:id="17"/>
      </w:r>
      <w:r w:rsidR="00FF79BA" w:rsidRPr="007A233D">
        <w:rPr>
          <w:rFonts w:eastAsia="Calibri"/>
          <w:sz w:val="26"/>
          <w:szCs w:val="26"/>
          <w:lang w:eastAsia="en-US"/>
        </w:rPr>
        <w:t>.</w:t>
      </w:r>
      <w:r w:rsidRPr="007A233D">
        <w:rPr>
          <w:rFonts w:eastAsia="Calibri"/>
          <w:sz w:val="26"/>
          <w:szCs w:val="26"/>
          <w:lang w:eastAsia="en-US"/>
        </w:rPr>
        <w:t xml:space="preserve"> De acuerdo </w:t>
      </w:r>
      <w:r w:rsidR="00FF79BA" w:rsidRPr="007A233D">
        <w:rPr>
          <w:rFonts w:eastAsia="Calibri"/>
          <w:sz w:val="26"/>
          <w:szCs w:val="26"/>
          <w:lang w:eastAsia="en-US"/>
        </w:rPr>
        <w:t>con</w:t>
      </w:r>
      <w:r w:rsidRPr="007A233D">
        <w:rPr>
          <w:rFonts w:eastAsia="Calibri"/>
          <w:sz w:val="26"/>
          <w:szCs w:val="26"/>
          <w:lang w:eastAsia="en-US"/>
        </w:rPr>
        <w:t xml:space="preserve"> este informe “esto no debe ser una sorpresa debido a que los mexicanos son la población inmigrante más grande del país, pese a que </w:t>
      </w:r>
      <w:r w:rsidR="00297CBE">
        <w:rPr>
          <w:rFonts w:eastAsia="Calibri"/>
          <w:sz w:val="26"/>
          <w:szCs w:val="26"/>
          <w:lang w:eastAsia="en-US"/>
        </w:rPr>
        <w:t>é</w:t>
      </w:r>
      <w:r w:rsidRPr="007A233D">
        <w:rPr>
          <w:rFonts w:eastAsia="Calibri"/>
          <w:sz w:val="26"/>
          <w:szCs w:val="26"/>
          <w:lang w:eastAsia="en-US"/>
        </w:rPr>
        <w:t>sta no sea siempre la imagen que existe de los inmigrantes como dueños de negocios”.</w:t>
      </w:r>
    </w:p>
    <w:p w14:paraId="77C748F9"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b/>
          <w:sz w:val="26"/>
          <w:szCs w:val="26"/>
          <w:lang w:eastAsia="en-US"/>
        </w:rPr>
        <w:t>Consumidores</w:t>
      </w:r>
    </w:p>
    <w:p w14:paraId="334780AE" w14:textId="2B156566"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Muestra de esta capacidad para progresar y de la mejora en el bienestar de esta comunidad es su capacidad adquisitiva. La sociedad hispana se ha tornado en un motor clave para el consumo. Su poder adquisitivo en 2010 se fijó en un billón de dólares y está previsto que, en 2015, alcance los 1.5 billones de dólares. Si los latinos que residen aquí fueran considerados como una economía independiente, serían la novena del mundo, un potencial que tiene muy presente las compañías y los emprendedores estadounidenses que se han dado cuenta de la importancia de penetrar en el mercado hispano. A la clase media, se suman como consumidores un nutrido grupo entre ésta y la población con escasos recursos, que también posee cierta capacidad adquisitiva y que también es objeto de interés para muchos empresarios</w:t>
      </w:r>
      <w:r w:rsidRPr="00F3340E">
        <w:rPr>
          <w:rFonts w:eastAsia="Calibri"/>
          <w:sz w:val="26"/>
          <w:szCs w:val="26"/>
          <w:vertAlign w:val="superscript"/>
          <w:lang w:eastAsia="en-US"/>
        </w:rPr>
        <w:footnoteReference w:id="18"/>
      </w:r>
      <w:r w:rsidR="001A572C">
        <w:rPr>
          <w:rFonts w:eastAsia="Calibri"/>
          <w:sz w:val="26"/>
          <w:szCs w:val="26"/>
          <w:lang w:eastAsia="en-US"/>
        </w:rPr>
        <w:t>.</w:t>
      </w:r>
    </w:p>
    <w:p w14:paraId="59204F61"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Las posibilidades de este mercado obligan a los empresarios a sofisticar sus formas de captación y a atender sus especificidades. Por ese motivo, de los anuncios publicitarios iníciales, traducidos al español, fundamentalmente de las compañías dedicadas a </w:t>
      </w:r>
      <w:r w:rsidRPr="00F3340E">
        <w:rPr>
          <w:rFonts w:eastAsia="Calibri"/>
          <w:sz w:val="26"/>
          <w:szCs w:val="26"/>
          <w:lang w:eastAsia="en-US"/>
        </w:rPr>
        <w:lastRenderedPageBreak/>
        <w:t>transferir dinero, hoy día se analiza las especificidades y demandas particulares del mercado latino.</w:t>
      </w:r>
    </w:p>
    <w:p w14:paraId="4792109B" w14:textId="1B49AFF2"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Prueba del interés por dicho mercado y del desarrollo que adquiere es la búsqueda de los objetos de consumos que son de especial predilección para estos consumidores. No sólo eso, el interés por captar a estos nuevos clientes está obligando a pensar también en los lugares y los entornos que sean más gratos para ellos. Esto explica la proliferación de los </w:t>
      </w:r>
      <w:r w:rsidRPr="00F3340E">
        <w:rPr>
          <w:rFonts w:eastAsia="Calibri"/>
          <w:i/>
          <w:iCs/>
          <w:sz w:val="26"/>
          <w:szCs w:val="26"/>
          <w:lang w:eastAsia="en-US"/>
        </w:rPr>
        <w:t>latinos malls</w:t>
      </w:r>
      <w:r w:rsidRPr="00F3340E">
        <w:rPr>
          <w:rFonts w:eastAsia="Calibri"/>
          <w:sz w:val="26"/>
          <w:szCs w:val="26"/>
          <w:lang w:eastAsia="en-US"/>
        </w:rPr>
        <w:t>, donde se seleccionan cuidadosamente marcas de ropa y tallas que se correspondan con los gustos latinos</w:t>
      </w:r>
      <w:r w:rsidRPr="00F3340E">
        <w:rPr>
          <w:rFonts w:eastAsia="Calibri"/>
          <w:sz w:val="26"/>
          <w:szCs w:val="26"/>
          <w:vertAlign w:val="superscript"/>
          <w:lang w:eastAsia="en-US"/>
        </w:rPr>
        <w:footnoteReference w:id="19"/>
      </w:r>
      <w:r w:rsidR="001A572C">
        <w:rPr>
          <w:rFonts w:eastAsia="Calibri"/>
          <w:sz w:val="26"/>
          <w:szCs w:val="26"/>
          <w:lang w:eastAsia="en-US"/>
        </w:rPr>
        <w:t>.</w:t>
      </w:r>
    </w:p>
    <w:p w14:paraId="4993F861" w14:textId="77777777" w:rsidR="00F3340E" w:rsidRPr="00F3340E" w:rsidRDefault="00F3340E" w:rsidP="00F3340E">
      <w:pPr>
        <w:spacing w:after="360" w:line="360" w:lineRule="auto"/>
        <w:ind w:right="-159"/>
        <w:jc w:val="both"/>
        <w:rPr>
          <w:rFonts w:eastAsia="Calibri"/>
          <w:b/>
          <w:sz w:val="26"/>
          <w:szCs w:val="26"/>
          <w:lang w:eastAsia="en-US"/>
        </w:rPr>
      </w:pPr>
      <w:r w:rsidRPr="00F3340E">
        <w:rPr>
          <w:rFonts w:eastAsia="Calibri"/>
          <w:b/>
          <w:sz w:val="26"/>
          <w:szCs w:val="26"/>
          <w:lang w:eastAsia="en-US"/>
        </w:rPr>
        <w:t>Votantes</w:t>
      </w:r>
    </w:p>
    <w:p w14:paraId="4CAC748F" w14:textId="174D9CB8"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Desde mediados del siglo XX, se detecta una mayor preocupación por el electorado latino, sin embargo, la campaña de Bill Clinton de 1996 sí que supuso un verdadero punto de inflexión en las estrategias y mensajes de los demócratas dirigidas al público latino</w:t>
      </w:r>
      <w:r w:rsidRPr="00F3340E">
        <w:rPr>
          <w:rFonts w:eastAsia="Calibri"/>
          <w:sz w:val="26"/>
          <w:szCs w:val="26"/>
          <w:vertAlign w:val="superscript"/>
          <w:lang w:eastAsia="en-US"/>
        </w:rPr>
        <w:footnoteReference w:id="20"/>
      </w:r>
      <w:r w:rsidR="001A572C">
        <w:rPr>
          <w:rFonts w:eastAsia="Calibri"/>
          <w:sz w:val="26"/>
          <w:szCs w:val="26"/>
          <w:lang w:eastAsia="en-US"/>
        </w:rPr>
        <w:t>.</w:t>
      </w:r>
      <w:r w:rsidRPr="00F3340E">
        <w:rPr>
          <w:rFonts w:eastAsia="Calibri"/>
          <w:sz w:val="26"/>
          <w:szCs w:val="26"/>
          <w:lang w:eastAsia="en-US"/>
        </w:rPr>
        <w:t xml:space="preserve"> A partir de entonces ningún candidato, demócrata o republicano, ha podido obviar a la población latina e ignorar sus preocupaciones. Muy al contrario desean captar su atención y para ello se dirigen a ellos directamente en español.</w:t>
      </w:r>
    </w:p>
    <w:p w14:paraId="0F006B31" w14:textId="342A751D"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lastRenderedPageBreak/>
        <w:t xml:space="preserve">No es de extrañar este creciente interés, si se considera las extraordinarias dimensiones del electorado latino y su progresivo crecimiento. De los 55 millones de hispanos, 17% de la población de estadounidense, 25.2 millones tienen derecho al voto. Este electorado crece constantemente, de acuerdo </w:t>
      </w:r>
      <w:r w:rsidR="00FF79BA">
        <w:rPr>
          <w:rFonts w:eastAsia="Calibri"/>
          <w:sz w:val="26"/>
          <w:szCs w:val="26"/>
          <w:lang w:eastAsia="en-US"/>
        </w:rPr>
        <w:t>con</w:t>
      </w:r>
      <w:r w:rsidRPr="00F3340E">
        <w:rPr>
          <w:rFonts w:eastAsia="Calibri"/>
          <w:sz w:val="26"/>
          <w:szCs w:val="26"/>
          <w:lang w:eastAsia="en-US"/>
        </w:rPr>
        <w:t xml:space="preserve"> la juventud de la población latina. Así “cada mes, unos 50 mil jóvenes latinos que son ciudadanos llegan a la edad de 18 años y entran en ese electorado potencial”, según el Director de la Asociación Nacional de Funcionarios Latinos Electos y Designados. Este crecimiento, según destacan los expertos, no está atado a la inmigración recién llegada, sino a los latinos de segunda y tercera generación, crecidos en Estados Unidos de Norteamérica de padres o abuelos latinoamericanos y ciudadanos por nacimiento.</w:t>
      </w:r>
    </w:p>
    <w:p w14:paraId="1E1CF717" w14:textId="0803B6E8"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De acuerdo </w:t>
      </w:r>
      <w:r w:rsidR="00FF79BA">
        <w:rPr>
          <w:rFonts w:eastAsia="Calibri"/>
          <w:sz w:val="26"/>
          <w:szCs w:val="26"/>
          <w:lang w:eastAsia="en-US"/>
        </w:rPr>
        <w:t>con</w:t>
      </w:r>
      <w:r w:rsidRPr="00F3340E">
        <w:rPr>
          <w:rFonts w:eastAsia="Calibri"/>
          <w:sz w:val="26"/>
          <w:szCs w:val="26"/>
          <w:lang w:eastAsia="en-US"/>
        </w:rPr>
        <w:t xml:space="preserve"> las dimensiones de este electorado, no parece descabellado, al día de hoy, pensar en un próximo Presidente de Estados Unidos de Norteamérica de origen hispano. En principio ya habría nacido y alcanzaría la presidencia en 20 años</w:t>
      </w:r>
      <w:r w:rsidRPr="00F3340E">
        <w:rPr>
          <w:rFonts w:eastAsia="Calibri"/>
          <w:sz w:val="26"/>
          <w:szCs w:val="26"/>
          <w:vertAlign w:val="superscript"/>
          <w:lang w:eastAsia="en-US"/>
        </w:rPr>
        <w:footnoteReference w:id="21"/>
      </w:r>
      <w:r w:rsidR="00297CBE">
        <w:rPr>
          <w:rFonts w:eastAsia="Calibri"/>
          <w:sz w:val="26"/>
          <w:szCs w:val="26"/>
          <w:lang w:eastAsia="en-US"/>
        </w:rPr>
        <w:t>.</w:t>
      </w:r>
    </w:p>
    <w:p w14:paraId="58400159"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La importancia de este electorado se hace más evidente que nunca, por la centralidad que ocupa en las campañas electorales. Cada partido posee un grupo u oficina dedicada por completo a esta población, mantienen páginas web y audiciones semanales en español y tienen extraordinario interés por conseguir representantes latinos que se postulen a cargos electivos, ya que es una forma de atraer a estos votantes.</w:t>
      </w:r>
    </w:p>
    <w:p w14:paraId="2A80A4ED"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Además de ello, las preocupaciones latinas están presentes en sus discursos, los dos se publicitan como el destino natural de los votos hispanos —unos, por su tradicional defensa de los derechos de las minorías; los otros, por encamar los valores familiares y tradicionales que suelen atribuirse a los hispanos, y critican y desestiman los esfuerzos </w:t>
      </w:r>
      <w:r w:rsidRPr="00F3340E">
        <w:rPr>
          <w:rFonts w:eastAsia="Calibri"/>
          <w:sz w:val="26"/>
          <w:szCs w:val="26"/>
          <w:lang w:eastAsia="en-US"/>
        </w:rPr>
        <w:lastRenderedPageBreak/>
        <w:t>del bando contrario al que acusan, bien de poner toda su energía y recursos en una pura campaña de mercadotecnia.</w:t>
      </w:r>
    </w:p>
    <w:p w14:paraId="2443D9A9"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Esta competencia se desarrolla para la captación de votos en todo el país, pues la presencia latina también lo es, pero además adquiere una muy particular importancia en determinados estados. De los 50 estados de la nación, realmente nueve están en disputa, los otros están básicamente decididos porque muestran una inclinación histórica muy marcada hacia un partido u otro. Y en esos nueve, entre 15 y 20% de los votantes son latinos.</w:t>
      </w:r>
    </w:p>
    <w:p w14:paraId="5A01FFC2" w14:textId="760F13BA"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Se trata de </w:t>
      </w:r>
      <w:r w:rsidR="000A74DB">
        <w:rPr>
          <w:rFonts w:eastAsia="Calibri"/>
          <w:sz w:val="26"/>
          <w:szCs w:val="26"/>
          <w:lang w:eastAsia="en-US"/>
        </w:rPr>
        <w:t>tres</w:t>
      </w:r>
      <w:r w:rsidRPr="00F3340E">
        <w:rPr>
          <w:rFonts w:eastAsia="Calibri"/>
          <w:sz w:val="26"/>
          <w:szCs w:val="26"/>
          <w:lang w:eastAsia="en-US"/>
        </w:rPr>
        <w:t xml:space="preserve"> millones de votos, según detalla el Presidente del Instituto William Velázquez. En particular, el peso de la principal minoría se hará sentir más fuerte en Nevada, Colorado, Nuevo México y Florida. Así se demostró para la victoria de George W. Bush en 2004, y para la de Obama.</w:t>
      </w:r>
    </w:p>
    <w:p w14:paraId="19BDADBD"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Todos estos datos ponen de manifiesto el poder que el número de votantes otorga a la comunidad latina, poder que podría ser aún más importante si la participación del electorado latino fuera mayor. Aunque creciente, el número de participación electoral es bajo, así como el de personas elegibles. Aunque 11.2 millones de latinos votaron en las elecciones de 2012, sólo constituyeron 48%, de quienes podían participar en las urnas. Una participación menor que en 2008, ya que fue de 49%. En cuanto a aquellos candidatos que aspiran a ser elegido, su número, aunque igualmente en crecimiento, sigue sin ser representativo del tamaño de la comunidad latina. Aunque las elecciones del 4 de noviembre de 2014 dieron como resultado el mayor porcentaje de hispanos (con 29 políticos en el Congreso y tres en el Senado, lo que constituye 8% de los miembros del Congreso) está muy lejos todavía de su peso porcentual en la población estadounidense.</w:t>
      </w:r>
    </w:p>
    <w:p w14:paraId="1CBEF398" w14:textId="66105CF1"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Sin embargo, no sólo aumenta el número de ciudadanos de origen hispano, con derecho a voto, también los candidatos que aspiran a ser elegidos en todos los niveles de la </w:t>
      </w:r>
      <w:r w:rsidRPr="00F3340E">
        <w:rPr>
          <w:rFonts w:eastAsia="Calibri"/>
          <w:sz w:val="26"/>
          <w:szCs w:val="26"/>
          <w:lang w:eastAsia="en-US"/>
        </w:rPr>
        <w:lastRenderedPageBreak/>
        <w:t>administración, ya sea local, estatal e incluso federal. “Un panorama que refuerza la idea de que, elección a elección, año a año, la influencia hispana es cada vez mayor en toda la sociedad y, cómo no, también en la política”</w:t>
      </w:r>
      <w:r w:rsidRPr="00F3340E">
        <w:rPr>
          <w:rFonts w:eastAsia="Calibri"/>
          <w:sz w:val="26"/>
          <w:szCs w:val="26"/>
          <w:vertAlign w:val="superscript"/>
          <w:lang w:eastAsia="en-US"/>
        </w:rPr>
        <w:footnoteReference w:id="22"/>
      </w:r>
      <w:r w:rsidR="001A572C">
        <w:rPr>
          <w:rFonts w:eastAsia="Calibri"/>
          <w:sz w:val="26"/>
          <w:szCs w:val="26"/>
          <w:lang w:eastAsia="en-US"/>
        </w:rPr>
        <w:t>.</w:t>
      </w:r>
    </w:p>
    <w:p w14:paraId="6493D014"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La recapitulación de los temas abordados no sólo pone de manifiesto el poder de la comunidad latina por su cantidad, sino también por su capacidad:</w:t>
      </w:r>
    </w:p>
    <w:p w14:paraId="15A28282" w14:textId="77777777" w:rsidR="00F3340E" w:rsidRPr="00F3340E" w:rsidRDefault="00F3340E" w:rsidP="003518F4">
      <w:pPr>
        <w:numPr>
          <w:ilvl w:val="0"/>
          <w:numId w:val="127"/>
        </w:numPr>
        <w:spacing w:after="360" w:line="360" w:lineRule="auto"/>
        <w:ind w:left="714" w:right="-159" w:hanging="357"/>
        <w:jc w:val="both"/>
        <w:rPr>
          <w:rFonts w:eastAsia="Calibri"/>
          <w:sz w:val="26"/>
          <w:szCs w:val="26"/>
          <w:lang w:eastAsia="en-US"/>
        </w:rPr>
      </w:pPr>
      <w:r w:rsidRPr="00F3340E">
        <w:rPr>
          <w:rFonts w:eastAsia="Calibri"/>
          <w:sz w:val="26"/>
          <w:szCs w:val="26"/>
          <w:lang w:eastAsia="en-US"/>
        </w:rPr>
        <w:t>Su capacidad adquisitiva creciente favorece la creación de un mercado específico, en el que participa muy activamente el empresariado latino, en permanente crecimiento. Como así también lo hacen, en consecuencia, una clase media y profesional.</w:t>
      </w:r>
    </w:p>
    <w:p w14:paraId="167576A4" w14:textId="77777777" w:rsidR="00F3340E" w:rsidRPr="00F3340E" w:rsidRDefault="00F3340E" w:rsidP="003518F4">
      <w:pPr>
        <w:numPr>
          <w:ilvl w:val="0"/>
          <w:numId w:val="127"/>
        </w:numPr>
        <w:spacing w:after="360" w:line="360" w:lineRule="auto"/>
        <w:ind w:left="714" w:right="-159" w:hanging="357"/>
        <w:jc w:val="both"/>
        <w:rPr>
          <w:rFonts w:eastAsia="Calibri"/>
          <w:sz w:val="26"/>
          <w:szCs w:val="26"/>
          <w:lang w:eastAsia="en-US"/>
        </w:rPr>
      </w:pPr>
      <w:r w:rsidRPr="00F3340E">
        <w:rPr>
          <w:rFonts w:eastAsia="Calibri"/>
          <w:sz w:val="26"/>
          <w:szCs w:val="26"/>
          <w:lang w:eastAsia="en-US"/>
        </w:rPr>
        <w:t>La proyección política es más lenta, aunque en crecimiento. Lo que no significa que esta comunidad sea, en cualquier caso, decisiva para los resultados electorales y por tanto “objeto de deseo” para el partido demócrata y republicano.</w:t>
      </w:r>
    </w:p>
    <w:p w14:paraId="33553B02" w14:textId="77777777" w:rsidR="00F3340E" w:rsidRPr="00F3340E" w:rsidRDefault="00F3340E" w:rsidP="001A572C">
      <w:pPr>
        <w:numPr>
          <w:ilvl w:val="0"/>
          <w:numId w:val="72"/>
        </w:numPr>
        <w:spacing w:after="360" w:line="360" w:lineRule="auto"/>
        <w:ind w:left="357" w:right="-159" w:hanging="357"/>
        <w:jc w:val="both"/>
        <w:rPr>
          <w:rFonts w:eastAsia="Calibri"/>
          <w:b/>
          <w:sz w:val="26"/>
          <w:szCs w:val="26"/>
          <w:lang w:eastAsia="en-US"/>
        </w:rPr>
      </w:pPr>
      <w:proofErr w:type="spellStart"/>
      <w:r w:rsidRPr="00F3340E">
        <w:rPr>
          <w:rFonts w:eastAsia="Calibri"/>
          <w:b/>
          <w:sz w:val="26"/>
          <w:szCs w:val="26"/>
          <w:lang w:eastAsia="en-US"/>
        </w:rPr>
        <w:t>Conclusion</w:t>
      </w:r>
      <w:proofErr w:type="spellEnd"/>
      <w:r w:rsidRPr="00F3340E">
        <w:rPr>
          <w:rFonts w:eastAsia="Calibri"/>
          <w:b/>
          <w:sz w:val="26"/>
          <w:szCs w:val="26"/>
          <w:lang w:eastAsia="en-US"/>
        </w:rPr>
        <w:t xml:space="preserve">: la </w:t>
      </w:r>
      <w:proofErr w:type="spellStart"/>
      <w:r w:rsidRPr="00F3340E">
        <w:rPr>
          <w:rFonts w:eastAsia="Calibri"/>
          <w:b/>
          <w:sz w:val="26"/>
          <w:szCs w:val="26"/>
          <w:lang w:eastAsia="en-US"/>
        </w:rPr>
        <w:t>latinoamericanizacion</w:t>
      </w:r>
      <w:proofErr w:type="spellEnd"/>
      <w:r w:rsidRPr="00F3340E">
        <w:rPr>
          <w:rFonts w:eastAsia="Calibri"/>
          <w:b/>
          <w:sz w:val="26"/>
          <w:szCs w:val="26"/>
          <w:lang w:eastAsia="en-US"/>
        </w:rPr>
        <w:t xml:space="preserve"> de Estados Unidos de Norteamérica</w:t>
      </w:r>
    </w:p>
    <w:p w14:paraId="67C595DD"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Pese a los datos expuestos no hace muchos años, principios de la década de 2000, se mostraban las dudas sobre la supervivencia de la comunidad latina, como tal, y del español, en tanto seña fundamental de identidad. Los datos expuestos en estas páginas y las iniciativas y progresos de esta sociedad muy posiblemente hayan puesto por sí mismas de manifiesto que esta posibilidad no parece ya posible. La afirmación de lo latino no tiene marcha atrás y definitivamente se incorpora como un elemento </w:t>
      </w:r>
      <w:r w:rsidRPr="00F3340E">
        <w:rPr>
          <w:rFonts w:eastAsia="Calibri"/>
          <w:sz w:val="26"/>
          <w:szCs w:val="26"/>
          <w:lang w:eastAsia="en-US"/>
        </w:rPr>
        <w:lastRenderedPageBreak/>
        <w:t>estructural a la sociedad estadounidense, con los cambios que significa para dicha sociedad.</w:t>
      </w:r>
    </w:p>
    <w:p w14:paraId="22132CD5"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De particular interés es la dinámica que ha despertado la población latina, pues recrea y alimenta de manera continua su existencia y relevancia. En dicha dinámica no sólo están implicados los propios latinos, sino buena parte del resto de la sociedad. La ambición por captar consumidores y votantes no hace más que dar centralidad a los mismos latinos y al español. Por tanto, además de las voluntades más o menos firmes de esta comunidad, de no abandonar sus tradiciones y su lengua, hay una dinámica social espontánea, surgida de la importancia adquirida por los latinos que también, de manera decisiva, favorece esta </w:t>
      </w:r>
      <w:proofErr w:type="spellStart"/>
      <w:r w:rsidRPr="00F3340E">
        <w:rPr>
          <w:rFonts w:eastAsia="Calibri"/>
          <w:sz w:val="26"/>
          <w:szCs w:val="26"/>
          <w:lang w:eastAsia="en-US"/>
        </w:rPr>
        <w:t>latinoamericanización</w:t>
      </w:r>
      <w:proofErr w:type="spellEnd"/>
      <w:r w:rsidRPr="00F3340E">
        <w:rPr>
          <w:rFonts w:eastAsia="Calibri"/>
          <w:sz w:val="26"/>
          <w:szCs w:val="26"/>
          <w:lang w:eastAsia="en-US"/>
        </w:rPr>
        <w:t xml:space="preserve"> de Estados Unidos de Norteamérica.</w:t>
      </w:r>
    </w:p>
    <w:p w14:paraId="54ABB048"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Este proceso no deja de contradecirse con la idea de nación anglosajona uniformada bajo la asimilación cultural. No parece muy realista mantener, aunque sigan existiendo partidarios, los procesos de asimilación cultural que se llevaron a cabo con las oleadas de inmigrantes anteriores, pues tradicionalmente la diversidad de lenguas ha sido considerada una amenaza a la unidad de la nación. Motivo por el cual las oleadas de inmigrantes anteriores como los alemanes, italianos, o polacos perdieron su legado lingüístico. Desde los años noventa el empeño en establecer el </w:t>
      </w:r>
      <w:proofErr w:type="spellStart"/>
      <w:r w:rsidRPr="00F3340E">
        <w:rPr>
          <w:rFonts w:eastAsia="Calibri"/>
          <w:i/>
          <w:iCs/>
          <w:sz w:val="26"/>
          <w:szCs w:val="26"/>
          <w:lang w:eastAsia="en-US"/>
        </w:rPr>
        <w:t>only</w:t>
      </w:r>
      <w:proofErr w:type="spellEnd"/>
      <w:r w:rsidRPr="00F3340E">
        <w:rPr>
          <w:rFonts w:eastAsia="Calibri"/>
          <w:i/>
          <w:iCs/>
          <w:sz w:val="26"/>
          <w:szCs w:val="26"/>
          <w:lang w:eastAsia="en-US"/>
        </w:rPr>
        <w:t xml:space="preserve"> </w:t>
      </w:r>
      <w:proofErr w:type="spellStart"/>
      <w:r w:rsidRPr="00F3340E">
        <w:rPr>
          <w:rFonts w:eastAsia="Calibri"/>
          <w:i/>
          <w:iCs/>
          <w:sz w:val="26"/>
          <w:szCs w:val="26"/>
          <w:lang w:eastAsia="en-US"/>
        </w:rPr>
        <w:t>english</w:t>
      </w:r>
      <w:proofErr w:type="spellEnd"/>
      <w:r w:rsidRPr="00F3340E">
        <w:rPr>
          <w:rFonts w:eastAsia="Calibri"/>
          <w:sz w:val="26"/>
          <w:szCs w:val="26"/>
          <w:lang w:eastAsia="en-US"/>
        </w:rPr>
        <w:t>, ha dado lugar a que la mitad de los estados hayan prohibido el uso de otras lenguas que no sean el inglés en sus administraciones. Esta misma corriente tampoco considera el bilingüismo como una solución y también se ha llegado, en algunos estados, a prohibir la educación bilingüe. Esta es una posición que se contradice, por completo, con los propios aspirantes al poder, quienes al dirigirse a sus potenciales votantes en español, además de ser un gesto de deferencia, están haciendo presente un idioma y la normalización de su uso.</w:t>
      </w:r>
    </w:p>
    <w:p w14:paraId="5996B03E" w14:textId="22944FA6"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lastRenderedPageBreak/>
        <w:t>Un uso que se hace obligado incluso para las propias instituciones gubernamentales, pese a las resistencias, ante la demanda de servicios de los contribuyentes latinos. Por ello, hospitales, bomberos y cuerpos de seguridad ciudadana fomentan o promueven, de un modo u otro, las habilidades lingüísticas de sus miembros</w:t>
      </w:r>
      <w:r w:rsidRPr="00F3340E">
        <w:rPr>
          <w:rFonts w:eastAsia="Calibri"/>
          <w:sz w:val="26"/>
          <w:szCs w:val="26"/>
          <w:vertAlign w:val="superscript"/>
          <w:lang w:eastAsia="en-US"/>
        </w:rPr>
        <w:footnoteReference w:id="23"/>
      </w:r>
      <w:r w:rsidR="001A572C">
        <w:rPr>
          <w:rFonts w:eastAsia="Calibri"/>
          <w:sz w:val="26"/>
          <w:szCs w:val="26"/>
          <w:lang w:eastAsia="en-US"/>
        </w:rPr>
        <w:t>.</w:t>
      </w:r>
    </w:p>
    <w:p w14:paraId="04F41E8E"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En definitiva, considerando la evidencia de la realidad y la generalización de una visión multicultural, no parece que las posturas de asimilación tengan mucho futuro. Sin embargo, esto no significa que pese a que los latinos sean votantes, contribuyentes y consumidores, la segregación y la discriminación también formen parte de la realidad.</w:t>
      </w:r>
    </w:p>
    <w:p w14:paraId="2444F3DF" w14:textId="62F8F8BD"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Sin duda, la existencia de la comunidad latina dependerá de la voluntad de sus miembros de ser identificados como tal y querer preservar su particularidad. En cualquier caso, es evidente que poseen el poder necesario para proyectarse como comunidad y ocupar un lugar importante en la sociedad estadounidense. Para muchos observadores “el futuro de Estados Unidos de Norteamérica es hispano”</w:t>
      </w:r>
      <w:r w:rsidRPr="00F3340E">
        <w:rPr>
          <w:rFonts w:eastAsia="Calibri"/>
          <w:sz w:val="26"/>
          <w:szCs w:val="26"/>
          <w:vertAlign w:val="superscript"/>
          <w:lang w:eastAsia="en-US"/>
        </w:rPr>
        <w:footnoteReference w:id="24"/>
      </w:r>
      <w:r w:rsidR="001A572C">
        <w:rPr>
          <w:rFonts w:eastAsia="Calibri"/>
          <w:sz w:val="26"/>
          <w:szCs w:val="26"/>
          <w:lang w:eastAsia="en-US"/>
        </w:rPr>
        <w:t>,</w:t>
      </w:r>
      <w:r w:rsidRPr="00F3340E">
        <w:rPr>
          <w:rFonts w:eastAsia="Calibri"/>
          <w:sz w:val="26"/>
          <w:szCs w:val="26"/>
          <w:lang w:eastAsia="en-US"/>
        </w:rPr>
        <w:t xml:space="preserve"> y la realidad así lo pone en evidencia. Sin embargo, no todo depende de la población latina, también es preciso tener en cuenta hasta qué punto la sociedad estadounidense está preparada para acoger, desde el punto de vista económico, político y cultural, a esta población.</w:t>
      </w:r>
    </w:p>
    <w:p w14:paraId="044C7407"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Desde 2013 se encuentra pendiente la reforma migratoria, por aquel entonces el Congreso aprobó con el voto de ambos partidos, revisar el sistema de emigración. Sin embargo, el proceso no ha avanzado, por diferentes circunstancias. En un intento de cambiar esta situación y cumplir con una promesa electoral, desde enero de este año, el </w:t>
      </w:r>
      <w:r w:rsidRPr="00F3340E">
        <w:rPr>
          <w:rFonts w:eastAsia="Calibri"/>
          <w:sz w:val="26"/>
          <w:szCs w:val="26"/>
          <w:lang w:eastAsia="en-US"/>
        </w:rPr>
        <w:lastRenderedPageBreak/>
        <w:t>Presidente Obama decidió iniciar una reforma parcial, mediante decretos presidenciales. Un intento, por el momento, ya que desde el poder judicial ha sido nuevamente bloqueado.</w:t>
      </w:r>
    </w:p>
    <w:p w14:paraId="040BE4FF" w14:textId="77777777"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 xml:space="preserve">Todas estas dificultades hacen aún más deseable su solución. La importancia de esta reforma es indudable, pues mediante la misma se pretende regularizar la situación de 11 millones de personas, en situación irregular en el país. Sin embargo, la reforma, aunque ahora parezca la solución a todos los problemas, no sería suficiente. </w:t>
      </w:r>
      <w:proofErr w:type="spellStart"/>
      <w:r w:rsidRPr="00F3340E">
        <w:rPr>
          <w:rFonts w:eastAsia="Calibri"/>
          <w:sz w:val="26"/>
          <w:szCs w:val="26"/>
          <w:lang w:eastAsia="en-US"/>
        </w:rPr>
        <w:t>Aún</w:t>
      </w:r>
      <w:proofErr w:type="spellEnd"/>
      <w:r w:rsidRPr="00F3340E">
        <w:rPr>
          <w:rFonts w:eastAsia="Calibri"/>
          <w:sz w:val="26"/>
          <w:szCs w:val="26"/>
          <w:lang w:eastAsia="en-US"/>
        </w:rPr>
        <w:t xml:space="preserve"> aprobándose en su integridad continuaría pendiente la integración de los 50 millones de latinos que viven en Estados Unidos de Norteamérica. Para ello, sin duda, se deben establecer puentes de diálogo y el conocimiento mutuo, fuera de perjuicios simplistas. Para esta integración es necesario el desarrollo de un diálogo entre compatriotas que deben conocerse y reconocerse como tales.</w:t>
      </w:r>
    </w:p>
    <w:p w14:paraId="575CC3CE" w14:textId="3D1C8003" w:rsidR="00F3340E" w:rsidRPr="00F3340E" w:rsidRDefault="00F3340E" w:rsidP="00F3340E">
      <w:pPr>
        <w:spacing w:after="360" w:line="360" w:lineRule="auto"/>
        <w:ind w:right="-159"/>
        <w:jc w:val="both"/>
        <w:rPr>
          <w:rFonts w:eastAsia="Calibri"/>
          <w:sz w:val="26"/>
          <w:szCs w:val="26"/>
          <w:lang w:eastAsia="en-US"/>
        </w:rPr>
      </w:pPr>
      <w:r w:rsidRPr="00F3340E">
        <w:rPr>
          <w:rFonts w:eastAsia="Calibri"/>
          <w:sz w:val="26"/>
          <w:szCs w:val="26"/>
          <w:lang w:eastAsia="en-US"/>
        </w:rPr>
        <w:t>Para ello, los latinos y sus hijos deberán seguir aprendiendo inglés y conociendo la historia de Estados Unidos de Norteamérica. Pero al mismo tiempo la mayoría blanca, deberá aprender a vivir en un mundo diverso, como es su propia realidad nacional, donde tendrán que considerar las perspectivas de sus compatriotas de lengua española</w:t>
      </w:r>
      <w:r w:rsidRPr="00F3340E">
        <w:rPr>
          <w:rFonts w:eastAsia="Calibri"/>
          <w:sz w:val="26"/>
          <w:szCs w:val="26"/>
          <w:vertAlign w:val="superscript"/>
          <w:lang w:eastAsia="en-US"/>
        </w:rPr>
        <w:footnoteReference w:id="25"/>
      </w:r>
      <w:r w:rsidR="001A572C">
        <w:rPr>
          <w:rFonts w:eastAsia="Calibri"/>
          <w:sz w:val="26"/>
          <w:szCs w:val="26"/>
          <w:lang w:eastAsia="en-US"/>
        </w:rPr>
        <w:t>.</w:t>
      </w:r>
      <w:r w:rsidRPr="00F3340E">
        <w:rPr>
          <w:rFonts w:eastAsia="Calibri"/>
          <w:sz w:val="26"/>
          <w:szCs w:val="26"/>
          <w:lang w:eastAsia="en-US"/>
        </w:rPr>
        <w:t xml:space="preserve"> Por tanto, el reto no sólo está presente para la población latina, sino para toda la sociedad norteamericana en su conjunto.</w:t>
      </w:r>
    </w:p>
    <w:p w14:paraId="1CD0A661" w14:textId="77777777" w:rsidR="00F3340E" w:rsidRPr="00F3340E" w:rsidRDefault="00F3340E" w:rsidP="00F3340E">
      <w:pPr>
        <w:ind w:right="-159"/>
        <w:jc w:val="both"/>
        <w:rPr>
          <w:rFonts w:eastAsia="Calibri"/>
          <w:b/>
          <w:sz w:val="20"/>
          <w:szCs w:val="20"/>
          <w:lang w:eastAsia="en-US"/>
        </w:rPr>
      </w:pPr>
      <w:r w:rsidRPr="00F3340E">
        <w:rPr>
          <w:rFonts w:eastAsia="Calibri"/>
          <w:b/>
          <w:sz w:val="20"/>
          <w:szCs w:val="20"/>
          <w:lang w:eastAsia="en-US"/>
        </w:rPr>
        <w:t>Fuente de información:</w:t>
      </w:r>
    </w:p>
    <w:p w14:paraId="0B8BAA56" w14:textId="77777777" w:rsidR="00F3340E" w:rsidRPr="00002F70" w:rsidRDefault="00D936FE" w:rsidP="00F3340E">
      <w:pPr>
        <w:ind w:right="-159"/>
        <w:jc w:val="both"/>
        <w:rPr>
          <w:rFonts w:eastAsia="Calibri"/>
          <w:color w:val="0000FF"/>
          <w:sz w:val="20"/>
          <w:szCs w:val="20"/>
          <w:lang w:eastAsia="en-US"/>
        </w:rPr>
      </w:pPr>
      <w:hyperlink r:id="rId78" w:history="1">
        <w:r w:rsidR="00F3340E" w:rsidRPr="00002F70">
          <w:rPr>
            <w:rFonts w:eastAsia="Calibri"/>
            <w:color w:val="0000FF"/>
            <w:sz w:val="20"/>
            <w:szCs w:val="20"/>
            <w:u w:val="single"/>
            <w:lang w:eastAsia="en-US"/>
          </w:rPr>
          <w:t>http://multipress.com.mx/wp-content/uploads/2015/04/150407_DI_informe_especial_poblacion-latina_EEUU_ESP.pdf</w:t>
        </w:r>
      </w:hyperlink>
      <w:r w:rsidR="00F3340E" w:rsidRPr="00002F70">
        <w:rPr>
          <w:rFonts w:eastAsia="Calibri"/>
          <w:color w:val="0000FF"/>
          <w:sz w:val="20"/>
          <w:szCs w:val="20"/>
          <w:lang w:eastAsia="en-US"/>
        </w:rPr>
        <w:t xml:space="preserve"> </w:t>
      </w:r>
    </w:p>
    <w:p w14:paraId="08126995" w14:textId="77777777" w:rsidR="00F3340E" w:rsidRPr="00002F70" w:rsidRDefault="00F3340E" w:rsidP="00F3340E">
      <w:pPr>
        <w:ind w:right="-159"/>
        <w:jc w:val="both"/>
        <w:rPr>
          <w:rFonts w:eastAsia="Calibri"/>
          <w:sz w:val="20"/>
          <w:szCs w:val="20"/>
          <w:lang w:eastAsia="en-US"/>
        </w:rPr>
      </w:pPr>
      <w:r w:rsidRPr="00002F70">
        <w:rPr>
          <w:rFonts w:eastAsia="Calibri"/>
          <w:sz w:val="20"/>
          <w:szCs w:val="20"/>
          <w:lang w:eastAsia="en-US"/>
        </w:rPr>
        <w:t>Para tener acceso a información relacionada visite:</w:t>
      </w:r>
    </w:p>
    <w:p w14:paraId="45691F6B" w14:textId="77777777" w:rsidR="00F3340E" w:rsidRPr="00002F70" w:rsidRDefault="00D936FE" w:rsidP="00F3340E">
      <w:pPr>
        <w:ind w:right="-159"/>
        <w:jc w:val="both"/>
        <w:rPr>
          <w:rFonts w:eastAsia="Calibri"/>
          <w:color w:val="0000FF"/>
          <w:sz w:val="20"/>
          <w:szCs w:val="20"/>
          <w:lang w:eastAsia="en-US"/>
        </w:rPr>
      </w:pPr>
      <w:hyperlink r:id="rId79" w:history="1">
        <w:r w:rsidR="00F3340E" w:rsidRPr="00002F70">
          <w:rPr>
            <w:rFonts w:eastAsia="Calibri"/>
            <w:color w:val="0000FF"/>
            <w:sz w:val="20"/>
            <w:szCs w:val="20"/>
            <w:u w:val="single"/>
            <w:lang w:eastAsia="en-US"/>
          </w:rPr>
          <w:t>http://multipress.com.mx/estudios/%e2%80%8bla-poblacion-latina-en-estados-unidos-un-gigante-dormido-llorente-cuenca/</w:t>
        </w:r>
      </w:hyperlink>
      <w:r w:rsidR="00F3340E" w:rsidRPr="00002F70">
        <w:rPr>
          <w:rFonts w:eastAsia="Calibri"/>
          <w:color w:val="0000FF"/>
          <w:sz w:val="20"/>
          <w:szCs w:val="20"/>
          <w:lang w:eastAsia="en-US"/>
        </w:rPr>
        <w:t xml:space="preserve"> </w:t>
      </w:r>
    </w:p>
    <w:p w14:paraId="1039A08B" w14:textId="77777777" w:rsidR="00F3340E" w:rsidRDefault="00F3340E" w:rsidP="00956231">
      <w:pPr>
        <w:spacing w:after="360" w:line="360" w:lineRule="auto"/>
        <w:ind w:right="-159"/>
        <w:jc w:val="both"/>
        <w:rPr>
          <w:sz w:val="26"/>
          <w:szCs w:val="26"/>
          <w:lang w:val="es-ES"/>
        </w:rPr>
      </w:pPr>
    </w:p>
    <w:p w14:paraId="214CE314" w14:textId="77777777" w:rsidR="004D07F1" w:rsidRDefault="004D07F1" w:rsidP="004D07F1">
      <w:pPr>
        <w:spacing w:after="240"/>
        <w:ind w:right="-159"/>
        <w:jc w:val="both"/>
        <w:rPr>
          <w:sz w:val="26"/>
          <w:szCs w:val="26"/>
          <w:lang w:val="es-ES"/>
        </w:rPr>
      </w:pPr>
    </w:p>
    <w:p w14:paraId="13C99289" w14:textId="77777777" w:rsidR="000A74DB" w:rsidRPr="000A74DB" w:rsidRDefault="000A74DB" w:rsidP="000A74DB">
      <w:pPr>
        <w:ind w:right="-159"/>
        <w:rPr>
          <w:rFonts w:eastAsia="Calibri"/>
          <w:b/>
          <w:sz w:val="26"/>
          <w:szCs w:val="26"/>
          <w:lang w:eastAsia="en-US"/>
        </w:rPr>
      </w:pPr>
      <w:r w:rsidRPr="000A74DB">
        <w:rPr>
          <w:rFonts w:eastAsia="Calibri"/>
          <w:b/>
          <w:sz w:val="26"/>
          <w:szCs w:val="26"/>
          <w:lang w:eastAsia="en-US"/>
        </w:rPr>
        <w:lastRenderedPageBreak/>
        <w:t>Anuncian coalición para emprender acciones legales</w:t>
      </w:r>
    </w:p>
    <w:p w14:paraId="37074612" w14:textId="77777777" w:rsidR="000A74DB" w:rsidRPr="000A74DB" w:rsidRDefault="000A74DB" w:rsidP="000A74DB">
      <w:pPr>
        <w:spacing w:after="360" w:line="360" w:lineRule="auto"/>
        <w:ind w:right="-159"/>
        <w:rPr>
          <w:rFonts w:eastAsia="Calibri"/>
          <w:b/>
          <w:sz w:val="26"/>
          <w:szCs w:val="26"/>
          <w:lang w:eastAsia="en-US"/>
        </w:rPr>
      </w:pPr>
      <w:proofErr w:type="gramStart"/>
      <w:r w:rsidRPr="000A74DB">
        <w:rPr>
          <w:rFonts w:eastAsia="Calibri"/>
          <w:b/>
          <w:sz w:val="26"/>
          <w:szCs w:val="26"/>
          <w:lang w:eastAsia="en-US"/>
        </w:rPr>
        <w:t>en</w:t>
      </w:r>
      <w:proofErr w:type="gramEnd"/>
      <w:r w:rsidRPr="000A74DB">
        <w:rPr>
          <w:rFonts w:eastAsia="Calibri"/>
          <w:b/>
          <w:sz w:val="26"/>
          <w:szCs w:val="26"/>
          <w:lang w:eastAsia="en-US"/>
        </w:rPr>
        <w:t xml:space="preserve"> apoyo a las reformas migratorias (CUIA)</w:t>
      </w:r>
    </w:p>
    <w:p w14:paraId="2D17F223" w14:textId="7ED87848"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 xml:space="preserve">El </w:t>
      </w:r>
      <w:r w:rsidRPr="000A74DB">
        <w:rPr>
          <w:rFonts w:eastAsia="Calibri"/>
          <w:sz w:val="26"/>
          <w:szCs w:val="26"/>
          <w:lang w:val="es-ES" w:eastAsia="en-US"/>
        </w:rPr>
        <w:t xml:space="preserve">6 de abril de 2015, la casa editorial </w:t>
      </w:r>
      <w:proofErr w:type="spellStart"/>
      <w:r w:rsidRPr="000A74DB">
        <w:rPr>
          <w:rFonts w:eastAsia="Calibri"/>
          <w:sz w:val="26"/>
          <w:szCs w:val="26"/>
          <w:lang w:val="es-ES" w:eastAsia="en-US"/>
        </w:rPr>
        <w:t>CNNMéxico</w:t>
      </w:r>
      <w:proofErr w:type="spellEnd"/>
      <w:r w:rsidRPr="000A74DB">
        <w:rPr>
          <w:rFonts w:eastAsia="Calibri"/>
          <w:sz w:val="26"/>
          <w:szCs w:val="26"/>
          <w:lang w:val="es-ES" w:eastAsia="en-US"/>
        </w:rPr>
        <w:t xml:space="preserve"> publicó información en la que se comunica que “</w:t>
      </w:r>
      <w:r w:rsidRPr="000A74DB">
        <w:rPr>
          <w:rFonts w:eastAsia="Calibri"/>
          <w:bCs/>
          <w:sz w:val="26"/>
          <w:szCs w:val="26"/>
          <w:lang w:val="es-ES" w:eastAsia="en-US"/>
        </w:rPr>
        <w:t xml:space="preserve">73 ciudades de Estados Unidos de Norteamérica forman coalición para apoyar el plan migratorio de Obama”. La organización </w:t>
      </w:r>
      <w:r w:rsidRPr="000A74DB">
        <w:rPr>
          <w:rFonts w:eastAsia="Calibri"/>
          <w:sz w:val="26"/>
          <w:szCs w:val="26"/>
          <w:lang w:eastAsia="en-US"/>
        </w:rPr>
        <w:t xml:space="preserve">Ciudades Unidas por la Acción Inmigratoria (CUIA o </w:t>
      </w:r>
      <w:proofErr w:type="spellStart"/>
      <w:r w:rsidRPr="000A74DB">
        <w:rPr>
          <w:rFonts w:eastAsia="Calibri"/>
          <w:i/>
          <w:sz w:val="26"/>
          <w:szCs w:val="26"/>
          <w:lang w:eastAsia="en-US"/>
        </w:rPr>
        <w:t>Cities</w:t>
      </w:r>
      <w:proofErr w:type="spellEnd"/>
      <w:r w:rsidRPr="000A74DB">
        <w:rPr>
          <w:rFonts w:eastAsia="Calibri"/>
          <w:i/>
          <w:sz w:val="26"/>
          <w:szCs w:val="26"/>
          <w:lang w:eastAsia="en-US"/>
        </w:rPr>
        <w:t xml:space="preserve"> </w:t>
      </w:r>
      <w:proofErr w:type="spellStart"/>
      <w:r w:rsidRPr="000A74DB">
        <w:rPr>
          <w:rFonts w:eastAsia="Calibri"/>
          <w:i/>
          <w:sz w:val="26"/>
          <w:szCs w:val="26"/>
          <w:lang w:eastAsia="en-US"/>
        </w:rPr>
        <w:t>United</w:t>
      </w:r>
      <w:proofErr w:type="spellEnd"/>
      <w:r w:rsidRPr="000A74DB">
        <w:rPr>
          <w:rFonts w:eastAsia="Calibri"/>
          <w:i/>
          <w:sz w:val="26"/>
          <w:szCs w:val="26"/>
          <w:lang w:eastAsia="en-US"/>
        </w:rPr>
        <w:t xml:space="preserve"> </w:t>
      </w:r>
      <w:proofErr w:type="spellStart"/>
      <w:r w:rsidRPr="000A74DB">
        <w:rPr>
          <w:rFonts w:eastAsia="Calibri"/>
          <w:i/>
          <w:sz w:val="26"/>
          <w:szCs w:val="26"/>
          <w:lang w:eastAsia="en-US"/>
        </w:rPr>
        <w:t>for</w:t>
      </w:r>
      <w:proofErr w:type="spellEnd"/>
      <w:r w:rsidRPr="000A74DB">
        <w:rPr>
          <w:rFonts w:eastAsia="Calibri"/>
          <w:i/>
          <w:sz w:val="26"/>
          <w:szCs w:val="26"/>
          <w:lang w:eastAsia="en-US"/>
        </w:rPr>
        <w:t xml:space="preserve"> </w:t>
      </w:r>
      <w:proofErr w:type="spellStart"/>
      <w:r w:rsidRPr="000A74DB">
        <w:rPr>
          <w:rFonts w:eastAsia="Calibri"/>
          <w:i/>
          <w:sz w:val="26"/>
          <w:szCs w:val="26"/>
          <w:lang w:eastAsia="en-US"/>
        </w:rPr>
        <w:t>Inmmigration</w:t>
      </w:r>
      <w:proofErr w:type="spellEnd"/>
      <w:r w:rsidRPr="000A74DB">
        <w:rPr>
          <w:rFonts w:eastAsia="Calibri"/>
          <w:i/>
          <w:sz w:val="26"/>
          <w:szCs w:val="26"/>
          <w:lang w:eastAsia="en-US"/>
        </w:rPr>
        <w:t xml:space="preserve"> </w:t>
      </w:r>
      <w:proofErr w:type="spellStart"/>
      <w:r w:rsidRPr="000A74DB">
        <w:rPr>
          <w:rFonts w:eastAsia="Calibri"/>
          <w:i/>
          <w:sz w:val="26"/>
          <w:szCs w:val="26"/>
          <w:lang w:eastAsia="en-US"/>
        </w:rPr>
        <w:t>Action</w:t>
      </w:r>
      <w:proofErr w:type="spellEnd"/>
      <w:r w:rsidRPr="000A74DB">
        <w:rPr>
          <w:rFonts w:eastAsia="Calibri"/>
          <w:sz w:val="26"/>
          <w:szCs w:val="26"/>
          <w:lang w:eastAsia="en-US"/>
        </w:rPr>
        <w:t>)</w:t>
      </w:r>
      <w:r w:rsidRPr="000A74DB">
        <w:rPr>
          <w:rFonts w:eastAsia="Calibri"/>
          <w:sz w:val="26"/>
          <w:szCs w:val="26"/>
          <w:lang w:val="es-ES" w:eastAsia="en-US"/>
        </w:rPr>
        <w:t xml:space="preserve"> </w:t>
      </w:r>
      <w:r w:rsidRPr="000A74DB">
        <w:rPr>
          <w:rFonts w:eastAsia="Calibri"/>
          <w:sz w:val="26"/>
          <w:szCs w:val="26"/>
          <w:lang w:eastAsia="en-US"/>
        </w:rPr>
        <w:t xml:space="preserve">comunicó que 73 ciudades y condados van a presentar un nuevo escrito en el Quinto Tribunal de Circuito de Apelaciones de Texas instando la aplicación inmediata de las acciones ejecutivas del Presidente Obama sobre inmigración. </w:t>
      </w:r>
      <w:r w:rsidR="001A572C">
        <w:rPr>
          <w:rFonts w:eastAsia="Calibri"/>
          <w:sz w:val="26"/>
          <w:szCs w:val="26"/>
          <w:lang w:eastAsia="en-US"/>
        </w:rPr>
        <w:t>A continuación se presenta la información.</w:t>
      </w:r>
    </w:p>
    <w:p w14:paraId="6B6B3D2B"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Ciudades Unidas por la Acción Inmigratoria anunció que 73 ciudades y condados presentarán un nuevo escrito como “amigo de la corte” ante el Quinto Tribunal de Circuito de Apelaciones de Texas contra la demanda de Estados Unidos de Norteamérica, instando la aplicación inmediata de las acciones ejecutivas del Presidente Obama sobre inmigración. El escrito ostenta un fuerte apoyo de las ciudades más grandes del país —así como de sus suburbios y de sus zonas rurales— hacia las reformas del Presidente, las cuales dotaran de un alivio temporal a la deportación de inmigrantes con vínculos de larga data en Estados Unidos de Norteamérica, quienes pasan por una verificación de antecedentes y satisfacen otros criterios.</w:t>
      </w:r>
    </w:p>
    <w:p w14:paraId="0C169A9A"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Las ciudades y condados —que representan a 43 millones de personas en todo el país— sostienen que el juez de distrito que bloqueó temporalmente la aplicación de los programas fracaso al considerar los daños significativos a los gobiernos locales de Estados Unidos de Norteamérica causadas por este retraso. El escrito presentado duplica el número de gobiernos locales que habían expresado previamente su oposición a la demanda presentada por los Estados que tratan de bloquear los esfuerzos de reforma de inmigración del Presidente Obama.</w:t>
      </w:r>
    </w:p>
    <w:p w14:paraId="5A35C2B6"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lastRenderedPageBreak/>
        <w:t xml:space="preserve">Como parte de Ciudades Unidas por la Acción Inmigratoria, el Alcalde de la ciudad de Nueva York y el alcalde de la ciudad de Los </w:t>
      </w:r>
      <w:proofErr w:type="spellStart"/>
      <w:r w:rsidRPr="000A74DB">
        <w:rPr>
          <w:rFonts w:eastAsia="Calibri"/>
          <w:sz w:val="26"/>
          <w:szCs w:val="26"/>
          <w:lang w:eastAsia="en-US"/>
        </w:rPr>
        <w:t>Angeles</w:t>
      </w:r>
      <w:proofErr w:type="spellEnd"/>
      <w:r w:rsidRPr="000A74DB">
        <w:rPr>
          <w:rFonts w:eastAsia="Calibri"/>
          <w:sz w:val="26"/>
          <w:szCs w:val="26"/>
          <w:lang w:eastAsia="en-US"/>
        </w:rPr>
        <w:t xml:space="preserve"> lideran el esfuerzo por organizar a más de 70 ciudades y condados, la Liga Nacional de Ciudades, y la Conferencia de Alcaldes de Estados Unidos de Norteamérica, argumentan que el interés público nacional se sirve de forma clara y abrumadora por la implementación del alivio migratorio por la vía ejecutiva sin demora. En el escrito también se sostiene que la decisión del Juez de la Corte de Distrito para bloquear la acción ejecutiva con una medida cautelar (interdicto) es negativa para la economía, daña familias, amenaza prioridades legales de ejecución y detendrá los cambios que se necesitan desesperadamente para las políticas de inmigración del gobierno federal.</w:t>
      </w:r>
    </w:p>
    <w:p w14:paraId="5B7BA5DE"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“El continuo retraso de la aplicación de la acción ejecutiva del Presidente sobre la inmigración perjudica a nuestra economía y pone a las familias en situación de riesgo”, asevera el Alcalde de Nueva York. “Las ciudades son los espacios donde viven los inmigrantes y las ciudades son los lugares donde la acción ejecutiva del Presidente se llevará con éxito. Nuestras ciudades están unidas y pelearemos por la reforma migratoria que este país necesita y merece, ya sea tribunales, en el Congreso, o en nuestras comunidades. No nos equivoquemos al respecto: nuestras voces serán escuchadas”.</w:t>
      </w:r>
    </w:p>
    <w:p w14:paraId="3197291D" w14:textId="2253C734"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 xml:space="preserve">“Estamos firmes en una política de inmigración concreta que mantenga a las familias intactas e incremente la prosperidad económica del país”, asevera el alcalde de Los </w:t>
      </w:r>
      <w:proofErr w:type="spellStart"/>
      <w:r w:rsidRPr="000A74DB">
        <w:rPr>
          <w:rFonts w:eastAsia="Calibri"/>
          <w:sz w:val="26"/>
          <w:szCs w:val="26"/>
          <w:lang w:eastAsia="en-US"/>
        </w:rPr>
        <w:t>Angeles</w:t>
      </w:r>
      <w:proofErr w:type="spellEnd"/>
      <w:r w:rsidRPr="000A74DB">
        <w:rPr>
          <w:rFonts w:eastAsia="Calibri"/>
          <w:sz w:val="26"/>
          <w:szCs w:val="26"/>
          <w:lang w:eastAsia="en-US"/>
        </w:rPr>
        <w:t>, quien creó una Oficina de Asuntos del Inmigrante de la Alcaldía. “</w:t>
      </w:r>
      <w:r w:rsidR="00297CBE">
        <w:rPr>
          <w:rFonts w:eastAsia="Calibri"/>
          <w:sz w:val="26"/>
          <w:szCs w:val="26"/>
          <w:lang w:eastAsia="en-US"/>
        </w:rPr>
        <w:t>É</w:t>
      </w:r>
      <w:r w:rsidRPr="000A74DB">
        <w:rPr>
          <w:rFonts w:eastAsia="Calibri"/>
          <w:sz w:val="26"/>
          <w:szCs w:val="26"/>
          <w:lang w:eastAsia="en-US"/>
        </w:rPr>
        <w:t>ste es un asunto no partidista que debe centrarse en las personas y no en la política.”</w:t>
      </w:r>
    </w:p>
    <w:p w14:paraId="0F1113DB"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 xml:space="preserve">El escrito entregado demuestra a la Corte que la acción ejecutiva beneficiará a las ciudades y a los condados al proporcionar la autorización de trabajo a millones de personas, aumentando los ingresos fiscales locales, estimulando las economías locales, facilitando la obligación cívica de los inmigrantes, manteniendo unidas a las familias y </w:t>
      </w:r>
      <w:r w:rsidRPr="000A74DB">
        <w:rPr>
          <w:rFonts w:eastAsia="Calibri"/>
          <w:sz w:val="26"/>
          <w:szCs w:val="26"/>
          <w:lang w:eastAsia="en-US"/>
        </w:rPr>
        <w:lastRenderedPageBreak/>
        <w:t>mejorando la seguridad pública mediante el fortalecimiento de nuestros barrios y comunidades.</w:t>
      </w:r>
    </w:p>
    <w:p w14:paraId="1D3375A1"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Además, en el informe se sostiene que la demora en la ejecución de la acción ejecutiva del Presidente tiene costos importantes para las economías locales y para las familias inmigrantes. Por ejemplo:</w:t>
      </w:r>
    </w:p>
    <w:p w14:paraId="5A345663" w14:textId="6D0F60BC"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La Ciudad de Nueva York y el Estado de Nueva York perderán al menos 1.5 millones de dólares por el retraso de cada mes de manera adicional a los ingresos fiscales locales y estatales que serían generados si 100 mil inmigrantes en la ciudad de Nueva York pudieran acceder a los permisos de trabajo temporales a través de la acción ejecutiva</w:t>
      </w:r>
      <w:r w:rsidRPr="000A74DB">
        <w:rPr>
          <w:rFonts w:eastAsia="Calibri"/>
          <w:sz w:val="26"/>
          <w:szCs w:val="26"/>
          <w:vertAlign w:val="superscript"/>
          <w:lang w:eastAsia="en-US"/>
        </w:rPr>
        <w:footnoteReference w:id="26"/>
      </w:r>
      <w:r w:rsidR="001A572C">
        <w:rPr>
          <w:rFonts w:eastAsia="Calibri"/>
          <w:sz w:val="26"/>
          <w:szCs w:val="26"/>
          <w:lang w:eastAsia="en-US"/>
        </w:rPr>
        <w:t>.</w:t>
      </w:r>
    </w:p>
    <w:p w14:paraId="24E2F6F2"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El retraso en la ejecución obliga a las familias de estatus mixto (un número que se estima sea de millones) a seguir viviendo en constante miedo de deportación y de separación, una situación que tiene profundo impacto emocional, educativo y de salud en los niños.</w:t>
      </w:r>
    </w:p>
    <w:p w14:paraId="322879BB"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 xml:space="preserve">Esta acción colectiva que ofrece al Tribunal la perspectiva fundamental de las ciudades y condados de Estados Unidos de Norteamérica, es el resultado de los esfuerzos de la </w:t>
      </w:r>
      <w:r w:rsidRPr="000A74DB">
        <w:rPr>
          <w:rFonts w:eastAsia="Calibri"/>
          <w:bCs/>
          <w:sz w:val="26"/>
          <w:szCs w:val="26"/>
          <w:lang w:val="es-ES" w:eastAsia="en-US"/>
        </w:rPr>
        <w:t xml:space="preserve">organización de </w:t>
      </w:r>
      <w:r w:rsidRPr="000A74DB">
        <w:rPr>
          <w:rFonts w:eastAsia="Calibri"/>
          <w:sz w:val="26"/>
          <w:szCs w:val="26"/>
          <w:lang w:eastAsia="en-US"/>
        </w:rPr>
        <w:t>la coalición de Ciudades Unidas por la Acción Inmigratoria. Con la presentación de este escrito, los Alcaldes de Estados Unidos de Norteamérica y los funcionarios de los condados hacen una fuerte declaración en apoyo al plan del Presidente para conceder apoyo administrativo a más de 4 millones de niños y adultos indocumentados.</w:t>
      </w:r>
    </w:p>
    <w:p w14:paraId="55D2D047"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 xml:space="preserve">“Chicago siempre ha sido una ciudad de inmigrantes y para mantenernos fieles a nuestra historia y a nuestros valores, debemos asegurarnos de que los inmigrantes puedan participar plenamente en todos los aspectos de nuestra vida cultural y económica”, dijo </w:t>
      </w:r>
      <w:r w:rsidRPr="000A74DB">
        <w:rPr>
          <w:rFonts w:eastAsia="Calibri"/>
          <w:sz w:val="26"/>
          <w:szCs w:val="26"/>
          <w:lang w:eastAsia="en-US"/>
        </w:rPr>
        <w:lastRenderedPageBreak/>
        <w:t>el Alcalde de Chicago. “Estamos orgullosos de unirnos a numerosas ciudades en la presentación de este escrito para apoyar las acciones ejecutivas del Presidente Obama sobre inmigración. Acciones que ayudarán a mantener a las familias unidas, aumentar la seguridad en nuestras comunidades y maximizar las contribuciones que los inmigrantes hacen todos los días en todos los rincones de nuestra ciudad,” agregó.</w:t>
      </w:r>
    </w:p>
    <w:p w14:paraId="138D095D"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“En Houston, más de 200 mil adultos y niños están a la espera de que la orden de inmigración del Presidente sea implementada”, dice el Alcalde de Houston. “Sigo confiando en que esto será sólo un retraso temporal, pero mientras esperamos, la confusión y la frustración crecen. Ya es tiempo de permitir que todos los inmigrantes que respetan la ley elijan salir de las sombras y ser reconocidos como participantes y contribuyentes legalmente documentados en nuestra economía y sociedad”.</w:t>
      </w:r>
    </w:p>
    <w:p w14:paraId="24ACF8E6"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“San Francisco continúa apoyando una acción audaz de nuestro Presidente en materia de inmigración para crear el cambio que necesitamos para ayudar a nuestros residentes a tener éxito”, asevera el Alcalde de San Francisco. “Como hijo de inmigrantes, este tema es muy personal para mí. Unidos con las ciudades grandes y pequeñas de todo el país para apelar esta decisión ante el Quinto Tribunal de Circuito de Apelaciones, los Alcaldes deben liderar la reforma migratoria a fin de proporcionar a todos nuestros residentes la esperanza, las oportunidades y los servicios que se merecen porque sabemos que nuestra diversidad impulsa las economías de nuestras ciudades y nos hace a todos más fuertes”.</w:t>
      </w:r>
    </w:p>
    <w:p w14:paraId="1AD5474E"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 xml:space="preserve">“Estoy orgulloso de mis compañeros Alcaldes de todo el país al apoyar las acciones ejecutivas del Presidente Obama sobre la inmigración, las cuales promoverán la estabilidad familiar, el crecimiento económico y la cohesión comunitaria. Los Alcaldes ven la importancia de contar con poblaciones inmigrantes en nuestras ciudades y asimismo, los efectos perjudiciales de un sistema de inmigración roto. Como hijo de inmigrantes, conozco de primera mano su deseo de contribuir al tejido social y </w:t>
      </w:r>
      <w:r w:rsidRPr="000A74DB">
        <w:rPr>
          <w:rFonts w:eastAsia="Calibri"/>
          <w:sz w:val="26"/>
          <w:szCs w:val="26"/>
          <w:lang w:eastAsia="en-US"/>
        </w:rPr>
        <w:lastRenderedPageBreak/>
        <w:t>económico de sus barrios. En ausencia de una reforma federal legislativa de inmigración, estas acciones ejecutivas deben ser implementadas para asegurar a nuestros vecinos más vulnerables tener la oportunidad de estar plenamente integrados en nuestras comunidades, asegura el alcalde de Boston.</w:t>
      </w:r>
    </w:p>
    <w:p w14:paraId="031D3436"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“Es hora de que Estados Unidos de Norteamérica deje de romper sus promesas —y su promesa— a toda una generación de jóvenes que fueron criados para creer en el sueño americano y que ahora se les niega la oportunidad de vivirlo, y contribuir, de la misma forma en que los inmigrantes han contribuido desde la fundación de esta gran nación. Sumo mi voz al grupo de Alcaldes en las ciudades grandes y pequeñas quienes consideran que la seguridad, la salud y el bienestar de nuestras economías y de nuestros barrios requieren que cientos de miles de familias se les permita salir de las sombras y ayudarnos a construir comunidades más sólidas”, dijo el Alcalde de Denver.</w:t>
      </w:r>
    </w:p>
    <w:p w14:paraId="1268A9ED"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 xml:space="preserve">“El condado de El Paso se enorgullece de participar en el escrito de </w:t>
      </w:r>
      <w:proofErr w:type="spellStart"/>
      <w:r w:rsidRPr="000A74DB">
        <w:rPr>
          <w:rFonts w:eastAsia="Calibri"/>
          <w:i/>
          <w:sz w:val="26"/>
          <w:szCs w:val="26"/>
          <w:lang w:eastAsia="en-US"/>
        </w:rPr>
        <w:t>amicus</w:t>
      </w:r>
      <w:proofErr w:type="spellEnd"/>
      <w:r w:rsidRPr="000A74DB">
        <w:rPr>
          <w:rFonts w:eastAsia="Calibri"/>
          <w:sz w:val="26"/>
          <w:szCs w:val="26"/>
          <w:lang w:eastAsia="en-US"/>
        </w:rPr>
        <w:t xml:space="preserve"> (</w:t>
      </w:r>
      <w:proofErr w:type="spellStart"/>
      <w:r w:rsidRPr="000A74DB">
        <w:rPr>
          <w:rFonts w:eastAsia="Calibri"/>
          <w:i/>
          <w:sz w:val="26"/>
          <w:szCs w:val="26"/>
          <w:lang w:eastAsia="en-US"/>
        </w:rPr>
        <w:t>curiae</w:t>
      </w:r>
      <w:proofErr w:type="spellEnd"/>
      <w:r w:rsidRPr="000A74DB">
        <w:rPr>
          <w:rFonts w:eastAsia="Calibri"/>
          <w:sz w:val="26"/>
          <w:szCs w:val="26"/>
          <w:lang w:eastAsia="en-US"/>
        </w:rPr>
        <w:t>)</w:t>
      </w:r>
      <w:r w:rsidRPr="000A74DB">
        <w:rPr>
          <w:rFonts w:eastAsia="Calibri"/>
          <w:sz w:val="26"/>
          <w:szCs w:val="26"/>
          <w:vertAlign w:val="superscript"/>
          <w:lang w:eastAsia="en-US"/>
        </w:rPr>
        <w:footnoteReference w:id="27"/>
      </w:r>
      <w:r w:rsidRPr="000A74DB">
        <w:rPr>
          <w:rFonts w:eastAsia="Calibri"/>
          <w:sz w:val="26"/>
          <w:szCs w:val="26"/>
          <w:lang w:eastAsia="en-US"/>
        </w:rPr>
        <w:t xml:space="preserve"> y mantiene su postura de apoyar la acción ejecutiva del Presidente Obama sobre inmigración. Creemos que el interdicto para bloquear la acción ejecutiva causa daño a las comunidades como El Paso, donde tenemos grandes comunidades de inmigrantes y decenas de miles de familias que se beneficiarían con el despliegue de la DACA/DAPA (Acción Diferida para Responsabilidad de los Padres DACA/Ampliación de la Acción Diferida para Llegados en la Infancia DAPA). Nuestro objetivo, al igual que el del Presidente, es asegurarnos de tener comunidades seguras, oportunidades económicas y familias fuertes. Creemos que el interdicto (medida cautelar) es un revés temporal y a futuro esperamos una decisión favorable de la Corte de Apelaciones”, asevera la juez del condado de El Paso.</w:t>
      </w:r>
    </w:p>
    <w:p w14:paraId="544BA651"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 xml:space="preserve">“Las ciudades se ven fuertemente afectadas por la inmigración. Las viejas políticas de inmigración disfuncionales dañan a nuestras economías, nuestros barrios, nuestras </w:t>
      </w:r>
      <w:r w:rsidRPr="000A74DB">
        <w:rPr>
          <w:rFonts w:eastAsia="Calibri"/>
          <w:sz w:val="26"/>
          <w:szCs w:val="26"/>
          <w:lang w:eastAsia="en-US"/>
        </w:rPr>
        <w:lastRenderedPageBreak/>
        <w:t>empresas y a nuestros residentes. El Presidente trata de interponer el sentido común y humanitario. Estamos muy agradecidos por sus esfuerzos y estamos con él”, manifestó el Alcalde de Portland.</w:t>
      </w:r>
    </w:p>
    <w:p w14:paraId="75384B43"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“San Luis tiene nuevos trabajadores que contribuyen a nuestra economía, pagan impuestos, ayudan a revitalizar a los vecindarios; quieren saber que pueden continuar construyendo una vida segura en San Luis”, comenta el Alcalde de San Luis. “El retraso de la ejecución de las directrices del Departamento de Seguridad Nacional pone todo en peligro,” agregó.</w:t>
      </w:r>
    </w:p>
    <w:p w14:paraId="0BAC4161"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“Las ciudades entienden la crítica necesidad de obrar para arreglar el sistema roto de inmigración de la nación”, dijo el Alcalde de la Ciudad de Salt Lake. “La Liga Nacional de Ciudades se encuentra detrás de los esfuerzos del Presidente Obama para apoyar a millones de inmigrantes que contribuyen a nuestra economía y continúan siendo una parte vibrante de las comunidades de estadounidenses.”</w:t>
      </w:r>
    </w:p>
    <w:p w14:paraId="6A54D969"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“Es de sentido común para cerrar una brecha entre nuestras agencias gubernamentales y un sector de la población que ya vive aquí y contribuye a nuestras comunidades y economías locales. ¿Por qué no adoptar una política que integre plenamente a los inmigrantes indocumentados y al mismo tiempo impulsar la economía del país?”, pregunta el Alcalde de Hartford y Co-Presidente de la Conferencia Estadounidense del Equipo de Trabajo de Alcaldes de la Reforma de Inmigración. “Estoy seguro de que la Acción Ejecutiva del Presidente prevalecerá y espero con interés la aplicación de sus medidas en Hartford,” agregó.</w:t>
      </w:r>
    </w:p>
    <w:p w14:paraId="542593AB"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 xml:space="preserve">“Firmo este escrito porque, como una nación de inmigrantes, creo que garantizar el acceso a un proceso legal y justo para que las personas venga a este país y persiga sus sueños refleja nuestros valores más altos”, comenta el Alcalde Mark </w:t>
      </w:r>
      <w:proofErr w:type="spellStart"/>
      <w:r w:rsidRPr="000A74DB">
        <w:rPr>
          <w:rFonts w:eastAsia="Calibri"/>
          <w:sz w:val="26"/>
          <w:szCs w:val="26"/>
          <w:lang w:eastAsia="en-US"/>
        </w:rPr>
        <w:t>Kleinschmidt</w:t>
      </w:r>
      <w:proofErr w:type="spellEnd"/>
      <w:r w:rsidRPr="000A74DB">
        <w:rPr>
          <w:rFonts w:eastAsia="Calibri"/>
          <w:sz w:val="26"/>
          <w:szCs w:val="26"/>
          <w:lang w:eastAsia="en-US"/>
        </w:rPr>
        <w:t>.</w:t>
      </w:r>
    </w:p>
    <w:p w14:paraId="409EF0FF"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lastRenderedPageBreak/>
        <w:t xml:space="preserve">“Tenemos que hacer más para honrar el orgullo de la tradición migración de nuestro país. Demasiados inmigrantes viven con miedo, miedo a ser miembros de nuestra sociedad, mientras el Congreso no toma ninguna acción significativa para arreglar un sistema de inmigración roto. Su inacción tiene consecuencias reales para nuestras comunidades, es por eso que apoyo plenamente el liderazgo y sentido común de las acciones ejecutivas del Presidente Obama. Agradezco al Alcalde de la ciudad de Nueva York, por dar origen a este escrito y construir esta importante coalición de líderes”, dijo el Alcalde de </w:t>
      </w:r>
      <w:proofErr w:type="spellStart"/>
      <w:r w:rsidRPr="000A74DB">
        <w:rPr>
          <w:rFonts w:eastAsia="Calibri"/>
          <w:sz w:val="26"/>
          <w:szCs w:val="26"/>
          <w:lang w:eastAsia="en-US"/>
        </w:rPr>
        <w:t>Hoboken</w:t>
      </w:r>
      <w:proofErr w:type="spellEnd"/>
      <w:r w:rsidRPr="000A74DB">
        <w:rPr>
          <w:rFonts w:eastAsia="Calibri"/>
          <w:sz w:val="26"/>
          <w:szCs w:val="26"/>
          <w:lang w:eastAsia="en-US"/>
        </w:rPr>
        <w:t>.</w:t>
      </w:r>
    </w:p>
    <w:p w14:paraId="2C90335D"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 xml:space="preserve">“Highland Park, </w:t>
      </w:r>
      <w:proofErr w:type="spellStart"/>
      <w:r w:rsidRPr="000A74DB">
        <w:rPr>
          <w:rFonts w:eastAsia="Calibri"/>
          <w:sz w:val="26"/>
          <w:szCs w:val="26"/>
          <w:lang w:eastAsia="en-US"/>
        </w:rPr>
        <w:t>Illinoise</w:t>
      </w:r>
      <w:proofErr w:type="spellEnd"/>
      <w:r w:rsidRPr="000A74DB">
        <w:rPr>
          <w:rFonts w:eastAsia="Calibri"/>
          <w:sz w:val="26"/>
          <w:szCs w:val="26"/>
          <w:lang w:eastAsia="en-US"/>
        </w:rPr>
        <w:t>, se enorgullece de estar junto a tantas otras ciudades de Estados Unidos de Norteamérica en el reconocimiento de la necesidad inmediata de tomar acciones y proporcionar una reforma migratoria impactante”, dijo el Alcalde de Highland Park, Illinois. “Para muchos de nuestros amigos y vecinos, la presente Acción Ejecutiva proporcionará la tan esperada seguridad para estos nuevos estadounidenses y sus familias, además de fortalecer nuestra economía”, añadió.</w:t>
      </w:r>
    </w:p>
    <w:p w14:paraId="330F50A0" w14:textId="77777777" w:rsid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Las ciudades y condados firmaron el escrito actual (en formación), e incluye a los siguientes gobiernos locales. Numerosas ciudades y condados se encuentran en los estados que presentaron demanda contra el Gobierno de Obama o han indicado al contrario el apoyo a la demanda, incluyendo 5 ciudades y condados en Texas, 6 localidades en Nueva Jersey, 2 condados en Arizona, 3 municipios de Wisconsin:</w:t>
      </w:r>
    </w:p>
    <w:p w14:paraId="6D94DBCB" w14:textId="77777777" w:rsidR="000A74DB" w:rsidRPr="000A74DB" w:rsidRDefault="000A74DB" w:rsidP="000A74DB">
      <w:pPr>
        <w:spacing w:after="360" w:line="360" w:lineRule="auto"/>
        <w:ind w:right="-159"/>
        <w:jc w:val="both"/>
        <w:rPr>
          <w:rFonts w:eastAsia="Calibri"/>
          <w:sz w:val="26"/>
          <w:szCs w:val="26"/>
          <w:lang w:eastAsia="en-US"/>
        </w:rPr>
      </w:pPr>
      <w:r w:rsidRPr="000A74DB">
        <w:rPr>
          <w:rFonts w:eastAsia="Calibri"/>
          <w:sz w:val="26"/>
          <w:szCs w:val="26"/>
          <w:lang w:eastAsia="en-US"/>
        </w:rPr>
        <w:t xml:space="preserve">Alexandria, VA; Allentown, PA; Atlanta, GA; Austin, TX; Baltimore, MD; Bell, CA; Boston, MA; Bridgeport, CT; </w:t>
      </w:r>
      <w:proofErr w:type="spellStart"/>
      <w:r w:rsidRPr="000A74DB">
        <w:rPr>
          <w:rFonts w:eastAsia="Calibri"/>
          <w:sz w:val="26"/>
          <w:szCs w:val="26"/>
          <w:lang w:eastAsia="en-US"/>
        </w:rPr>
        <w:t>Buffalo</w:t>
      </w:r>
      <w:proofErr w:type="spellEnd"/>
      <w:r w:rsidRPr="000A74DB">
        <w:rPr>
          <w:rFonts w:eastAsia="Calibri"/>
          <w:sz w:val="26"/>
          <w:szCs w:val="26"/>
          <w:lang w:eastAsia="en-US"/>
        </w:rPr>
        <w:t xml:space="preserve">, NY; Cambridge, MA; Central Falls, RI; </w:t>
      </w:r>
      <w:proofErr w:type="spellStart"/>
      <w:r w:rsidRPr="000A74DB">
        <w:rPr>
          <w:rFonts w:eastAsia="Calibri"/>
          <w:sz w:val="26"/>
          <w:szCs w:val="26"/>
          <w:lang w:eastAsia="en-US"/>
        </w:rPr>
        <w:t>Chapel</w:t>
      </w:r>
      <w:proofErr w:type="spellEnd"/>
      <w:r w:rsidRPr="000A74DB">
        <w:rPr>
          <w:rFonts w:eastAsia="Calibri"/>
          <w:sz w:val="26"/>
          <w:szCs w:val="26"/>
          <w:lang w:eastAsia="en-US"/>
        </w:rPr>
        <w:t xml:space="preserve"> Hill, NC; Charleston, SC; Chicago, IL; </w:t>
      </w:r>
      <w:proofErr w:type="spellStart"/>
      <w:r w:rsidRPr="000A74DB">
        <w:rPr>
          <w:rFonts w:eastAsia="Calibri"/>
          <w:sz w:val="26"/>
          <w:szCs w:val="26"/>
          <w:lang w:eastAsia="en-US"/>
        </w:rPr>
        <w:t>Coconino</w:t>
      </w:r>
      <w:proofErr w:type="spellEnd"/>
      <w:r w:rsidRPr="000A74DB">
        <w:rPr>
          <w:rFonts w:eastAsia="Calibri"/>
          <w:sz w:val="26"/>
          <w:szCs w:val="26"/>
          <w:lang w:eastAsia="en-US"/>
        </w:rPr>
        <w:t xml:space="preserve"> County, AZ; Columbia, SC; Columbus, OH; Dallas County, TX; Dayton, OH; Denver, CO; </w:t>
      </w:r>
      <w:proofErr w:type="spellStart"/>
      <w:r w:rsidRPr="000A74DB">
        <w:rPr>
          <w:rFonts w:eastAsia="Calibri"/>
          <w:sz w:val="26"/>
          <w:szCs w:val="26"/>
          <w:lang w:eastAsia="en-US"/>
        </w:rPr>
        <w:t>Dolton</w:t>
      </w:r>
      <w:proofErr w:type="spellEnd"/>
      <w:r w:rsidRPr="000A74DB">
        <w:rPr>
          <w:rFonts w:eastAsia="Calibri"/>
          <w:sz w:val="26"/>
          <w:szCs w:val="26"/>
          <w:lang w:eastAsia="en-US"/>
        </w:rPr>
        <w:t xml:space="preserve">, IL; El Paso County, TX; Everett, MA; Gary, IN; </w:t>
      </w:r>
      <w:proofErr w:type="spellStart"/>
      <w:r w:rsidRPr="000A74DB">
        <w:rPr>
          <w:rFonts w:eastAsia="Calibri"/>
          <w:sz w:val="26"/>
          <w:szCs w:val="26"/>
          <w:lang w:eastAsia="en-US"/>
        </w:rPr>
        <w:t>Haledon</w:t>
      </w:r>
      <w:proofErr w:type="spellEnd"/>
      <w:r w:rsidRPr="000A74DB">
        <w:rPr>
          <w:rFonts w:eastAsia="Calibri"/>
          <w:sz w:val="26"/>
          <w:szCs w:val="26"/>
          <w:lang w:eastAsia="en-US"/>
        </w:rPr>
        <w:t xml:space="preserve">, NJ; Hartford, CT; Highland Park, IL; </w:t>
      </w:r>
      <w:proofErr w:type="spellStart"/>
      <w:r w:rsidRPr="000A74DB">
        <w:rPr>
          <w:rFonts w:eastAsia="Calibri"/>
          <w:sz w:val="26"/>
          <w:szCs w:val="26"/>
          <w:lang w:eastAsia="en-US"/>
        </w:rPr>
        <w:t>Hoboken</w:t>
      </w:r>
      <w:proofErr w:type="spellEnd"/>
      <w:r w:rsidRPr="000A74DB">
        <w:rPr>
          <w:rFonts w:eastAsia="Calibri"/>
          <w:sz w:val="26"/>
          <w:szCs w:val="26"/>
          <w:lang w:eastAsia="en-US"/>
        </w:rPr>
        <w:t xml:space="preserve">, NJ; Holyoke, MA; Houston, TX; Jersey City, NJ; Kansas City, MO; Little Rock, AR; Los </w:t>
      </w:r>
      <w:proofErr w:type="spellStart"/>
      <w:r w:rsidRPr="000A74DB">
        <w:rPr>
          <w:rFonts w:eastAsia="Calibri"/>
          <w:sz w:val="26"/>
          <w:szCs w:val="26"/>
          <w:lang w:eastAsia="en-US"/>
        </w:rPr>
        <w:t>Angeles</w:t>
      </w:r>
      <w:proofErr w:type="spellEnd"/>
      <w:r w:rsidRPr="000A74DB">
        <w:rPr>
          <w:rFonts w:eastAsia="Calibri"/>
          <w:sz w:val="26"/>
          <w:szCs w:val="26"/>
          <w:lang w:eastAsia="en-US"/>
        </w:rPr>
        <w:t xml:space="preserve">, CA; Los </w:t>
      </w:r>
      <w:proofErr w:type="spellStart"/>
      <w:r w:rsidRPr="000A74DB">
        <w:rPr>
          <w:rFonts w:eastAsia="Calibri"/>
          <w:sz w:val="26"/>
          <w:szCs w:val="26"/>
          <w:lang w:eastAsia="en-US"/>
        </w:rPr>
        <w:t>Angeles</w:t>
      </w:r>
      <w:proofErr w:type="spellEnd"/>
      <w:r w:rsidRPr="000A74DB">
        <w:rPr>
          <w:rFonts w:eastAsia="Calibri"/>
          <w:sz w:val="26"/>
          <w:szCs w:val="26"/>
          <w:lang w:eastAsia="en-US"/>
        </w:rPr>
        <w:t xml:space="preserve"> County, CA; Lucas County, OH; Madison, </w:t>
      </w:r>
      <w:r w:rsidRPr="000A74DB">
        <w:rPr>
          <w:rFonts w:eastAsia="Calibri"/>
          <w:sz w:val="26"/>
          <w:szCs w:val="26"/>
          <w:lang w:eastAsia="en-US"/>
        </w:rPr>
        <w:lastRenderedPageBreak/>
        <w:t xml:space="preserve">WI; Milwaukee, WI; Minneapolis, MN; Montgomery County, MD; Newark, NJ; New York, NY; Niagara Falls, NY; North Miami, FL; Oakland, CA; Paterson, NJ; </w:t>
      </w:r>
      <w:proofErr w:type="spellStart"/>
      <w:r w:rsidRPr="000A74DB">
        <w:rPr>
          <w:rFonts w:eastAsia="Calibri"/>
          <w:sz w:val="26"/>
          <w:szCs w:val="26"/>
          <w:lang w:eastAsia="en-US"/>
        </w:rPr>
        <w:t>Philadelphia</w:t>
      </w:r>
      <w:proofErr w:type="spellEnd"/>
      <w:r w:rsidRPr="000A74DB">
        <w:rPr>
          <w:rFonts w:eastAsia="Calibri"/>
          <w:sz w:val="26"/>
          <w:szCs w:val="26"/>
          <w:lang w:eastAsia="en-US"/>
        </w:rPr>
        <w:t xml:space="preserve">, PA; Pittsburgh, PA; </w:t>
      </w:r>
      <w:proofErr w:type="spellStart"/>
      <w:r w:rsidRPr="000A74DB">
        <w:rPr>
          <w:rFonts w:eastAsia="Calibri"/>
          <w:sz w:val="26"/>
          <w:szCs w:val="26"/>
          <w:lang w:eastAsia="en-US"/>
        </w:rPr>
        <w:t>Plainfield</w:t>
      </w:r>
      <w:proofErr w:type="spellEnd"/>
      <w:r w:rsidRPr="000A74DB">
        <w:rPr>
          <w:rFonts w:eastAsia="Calibri"/>
          <w:sz w:val="26"/>
          <w:szCs w:val="26"/>
          <w:lang w:eastAsia="en-US"/>
        </w:rPr>
        <w:t xml:space="preserve">, NJ; Portland, OR; Providence, RI; Racine, WI; Ramsey County, MN; Rochester, NY; Salt Lake City, UT; San Francisco, CA; San </w:t>
      </w:r>
      <w:proofErr w:type="spellStart"/>
      <w:r w:rsidRPr="000A74DB">
        <w:rPr>
          <w:rFonts w:eastAsia="Calibri"/>
          <w:sz w:val="26"/>
          <w:szCs w:val="26"/>
          <w:lang w:eastAsia="en-US"/>
        </w:rPr>
        <w:t>Jose</w:t>
      </w:r>
      <w:proofErr w:type="spellEnd"/>
      <w:r w:rsidRPr="000A74DB">
        <w:rPr>
          <w:rFonts w:eastAsia="Calibri"/>
          <w:sz w:val="26"/>
          <w:szCs w:val="26"/>
          <w:lang w:eastAsia="en-US"/>
        </w:rPr>
        <w:t xml:space="preserve">, CA; Santa Ana, CA; Santa Cruz County, AZ; Santa Fe, NM; Santa </w:t>
      </w:r>
      <w:proofErr w:type="spellStart"/>
      <w:r w:rsidRPr="000A74DB">
        <w:rPr>
          <w:rFonts w:eastAsia="Calibri"/>
          <w:sz w:val="26"/>
          <w:szCs w:val="26"/>
          <w:lang w:eastAsia="en-US"/>
        </w:rPr>
        <w:t>Monica</w:t>
      </w:r>
      <w:proofErr w:type="spellEnd"/>
      <w:r w:rsidRPr="000A74DB">
        <w:rPr>
          <w:rFonts w:eastAsia="Calibri"/>
          <w:sz w:val="26"/>
          <w:szCs w:val="26"/>
          <w:lang w:eastAsia="en-US"/>
        </w:rPr>
        <w:t xml:space="preserve">, CA; Schenectady, NY; Seattle, WA; </w:t>
      </w:r>
      <w:proofErr w:type="spellStart"/>
      <w:r w:rsidRPr="000A74DB">
        <w:rPr>
          <w:rFonts w:eastAsia="Calibri"/>
          <w:sz w:val="26"/>
          <w:szCs w:val="26"/>
          <w:lang w:eastAsia="en-US"/>
        </w:rPr>
        <w:t>Skokie</w:t>
      </w:r>
      <w:proofErr w:type="spellEnd"/>
      <w:r w:rsidRPr="000A74DB">
        <w:rPr>
          <w:rFonts w:eastAsia="Calibri"/>
          <w:sz w:val="26"/>
          <w:szCs w:val="26"/>
          <w:lang w:eastAsia="en-US"/>
        </w:rPr>
        <w:t xml:space="preserve">, IL; St. Louis, MO; </w:t>
      </w:r>
      <w:proofErr w:type="spellStart"/>
      <w:r w:rsidRPr="000A74DB">
        <w:rPr>
          <w:rFonts w:eastAsia="Calibri"/>
          <w:sz w:val="26"/>
          <w:szCs w:val="26"/>
          <w:lang w:eastAsia="en-US"/>
        </w:rPr>
        <w:t>State</w:t>
      </w:r>
      <w:proofErr w:type="spellEnd"/>
      <w:r w:rsidRPr="000A74DB">
        <w:rPr>
          <w:rFonts w:eastAsia="Calibri"/>
          <w:sz w:val="26"/>
          <w:szCs w:val="26"/>
          <w:lang w:eastAsia="en-US"/>
        </w:rPr>
        <w:t xml:space="preserve"> </w:t>
      </w:r>
      <w:proofErr w:type="spellStart"/>
      <w:r w:rsidRPr="000A74DB">
        <w:rPr>
          <w:rFonts w:eastAsia="Calibri"/>
          <w:sz w:val="26"/>
          <w:szCs w:val="26"/>
          <w:lang w:eastAsia="en-US"/>
        </w:rPr>
        <w:t>College</w:t>
      </w:r>
      <w:proofErr w:type="spellEnd"/>
      <w:r w:rsidRPr="000A74DB">
        <w:rPr>
          <w:rFonts w:eastAsia="Calibri"/>
          <w:sz w:val="26"/>
          <w:szCs w:val="26"/>
          <w:lang w:eastAsia="en-US"/>
        </w:rPr>
        <w:t xml:space="preserve">, PA; Syracuse, NY; Tacoma, WA; Tampa, FL; </w:t>
      </w:r>
      <w:proofErr w:type="spellStart"/>
      <w:r w:rsidRPr="000A74DB">
        <w:rPr>
          <w:rFonts w:eastAsia="Calibri"/>
          <w:sz w:val="26"/>
          <w:szCs w:val="26"/>
          <w:lang w:eastAsia="en-US"/>
        </w:rPr>
        <w:t>Travis</w:t>
      </w:r>
      <w:proofErr w:type="spellEnd"/>
      <w:r w:rsidRPr="000A74DB">
        <w:rPr>
          <w:rFonts w:eastAsia="Calibri"/>
          <w:sz w:val="26"/>
          <w:szCs w:val="26"/>
          <w:lang w:eastAsia="en-US"/>
        </w:rPr>
        <w:t xml:space="preserve"> County, TX; Washington, D.C.; West </w:t>
      </w:r>
      <w:proofErr w:type="spellStart"/>
      <w:r w:rsidRPr="000A74DB">
        <w:rPr>
          <w:rFonts w:eastAsia="Calibri"/>
          <w:sz w:val="26"/>
          <w:szCs w:val="26"/>
          <w:lang w:eastAsia="en-US"/>
        </w:rPr>
        <w:t>Covina</w:t>
      </w:r>
      <w:proofErr w:type="spellEnd"/>
      <w:r w:rsidRPr="000A74DB">
        <w:rPr>
          <w:rFonts w:eastAsia="Calibri"/>
          <w:sz w:val="26"/>
          <w:szCs w:val="26"/>
          <w:lang w:eastAsia="en-US"/>
        </w:rPr>
        <w:t xml:space="preserve">, CA; Yonkers, NY; </w:t>
      </w:r>
      <w:proofErr w:type="spellStart"/>
      <w:r w:rsidRPr="000A74DB">
        <w:rPr>
          <w:rFonts w:eastAsia="Calibri"/>
          <w:sz w:val="26"/>
          <w:szCs w:val="26"/>
          <w:lang w:eastAsia="en-US"/>
        </w:rPr>
        <w:t>National</w:t>
      </w:r>
      <w:proofErr w:type="spellEnd"/>
      <w:r w:rsidRPr="000A74DB">
        <w:rPr>
          <w:rFonts w:eastAsia="Calibri"/>
          <w:sz w:val="26"/>
          <w:szCs w:val="26"/>
          <w:lang w:eastAsia="en-US"/>
        </w:rPr>
        <w:t xml:space="preserve"> League of </w:t>
      </w:r>
      <w:proofErr w:type="spellStart"/>
      <w:r w:rsidRPr="000A74DB">
        <w:rPr>
          <w:rFonts w:eastAsia="Calibri"/>
          <w:sz w:val="26"/>
          <w:szCs w:val="26"/>
          <w:lang w:eastAsia="en-US"/>
        </w:rPr>
        <w:t>Cities</w:t>
      </w:r>
      <w:proofErr w:type="spellEnd"/>
      <w:r w:rsidRPr="000A74DB">
        <w:rPr>
          <w:rFonts w:eastAsia="Calibri"/>
          <w:sz w:val="26"/>
          <w:szCs w:val="26"/>
          <w:lang w:eastAsia="en-US"/>
        </w:rPr>
        <w:t xml:space="preserve">; U.S. </w:t>
      </w:r>
      <w:proofErr w:type="spellStart"/>
      <w:r w:rsidRPr="000A74DB">
        <w:rPr>
          <w:rFonts w:eastAsia="Calibri"/>
          <w:sz w:val="26"/>
          <w:szCs w:val="26"/>
          <w:lang w:eastAsia="en-US"/>
        </w:rPr>
        <w:t>Conference</w:t>
      </w:r>
      <w:proofErr w:type="spellEnd"/>
      <w:r w:rsidRPr="000A74DB">
        <w:rPr>
          <w:rFonts w:eastAsia="Calibri"/>
          <w:sz w:val="26"/>
          <w:szCs w:val="26"/>
          <w:lang w:eastAsia="en-US"/>
        </w:rPr>
        <w:t xml:space="preserve"> of </w:t>
      </w:r>
      <w:proofErr w:type="spellStart"/>
      <w:r w:rsidRPr="000A74DB">
        <w:rPr>
          <w:rFonts w:eastAsia="Calibri"/>
          <w:sz w:val="26"/>
          <w:szCs w:val="26"/>
          <w:lang w:eastAsia="en-US"/>
        </w:rPr>
        <w:t>Mayors</w:t>
      </w:r>
      <w:proofErr w:type="spellEnd"/>
      <w:r w:rsidRPr="000A74DB">
        <w:rPr>
          <w:rFonts w:eastAsia="Calibri"/>
          <w:sz w:val="26"/>
          <w:szCs w:val="26"/>
          <w:lang w:eastAsia="en-US"/>
        </w:rPr>
        <w:t>;</w:t>
      </w:r>
    </w:p>
    <w:p w14:paraId="02C0FA81" w14:textId="77777777" w:rsidR="000A74DB" w:rsidRPr="000A74DB" w:rsidRDefault="000A74DB" w:rsidP="000A74DB">
      <w:pPr>
        <w:ind w:right="-159"/>
        <w:jc w:val="both"/>
        <w:rPr>
          <w:rFonts w:eastAsia="Calibri"/>
          <w:sz w:val="20"/>
          <w:szCs w:val="20"/>
          <w:lang w:eastAsia="en-US"/>
        </w:rPr>
      </w:pPr>
      <w:r w:rsidRPr="000A74DB">
        <w:rPr>
          <w:rFonts w:eastAsia="Calibri"/>
          <w:b/>
          <w:sz w:val="20"/>
          <w:szCs w:val="20"/>
          <w:lang w:eastAsia="en-US"/>
        </w:rPr>
        <w:t>Fuente de información</w:t>
      </w:r>
      <w:r w:rsidRPr="000A74DB">
        <w:rPr>
          <w:rFonts w:eastAsia="Calibri"/>
          <w:sz w:val="20"/>
          <w:szCs w:val="20"/>
          <w:lang w:eastAsia="en-US"/>
        </w:rPr>
        <w:t>:</w:t>
      </w:r>
    </w:p>
    <w:p w14:paraId="4056CECD" w14:textId="77777777" w:rsidR="000A74DB" w:rsidRPr="0078124D" w:rsidRDefault="00D936FE" w:rsidP="000A74DB">
      <w:pPr>
        <w:ind w:right="-159"/>
        <w:jc w:val="both"/>
        <w:rPr>
          <w:rFonts w:eastAsia="Calibri"/>
          <w:color w:val="0000FF"/>
          <w:sz w:val="20"/>
          <w:szCs w:val="20"/>
          <w:u w:val="single"/>
          <w:lang w:eastAsia="en-US"/>
        </w:rPr>
      </w:pPr>
      <w:hyperlink r:id="rId80" w:history="1">
        <w:r w:rsidR="000A74DB" w:rsidRPr="0078124D">
          <w:rPr>
            <w:rFonts w:eastAsia="Calibri"/>
            <w:color w:val="0000FF"/>
            <w:sz w:val="20"/>
            <w:szCs w:val="20"/>
            <w:u w:val="single"/>
            <w:lang w:eastAsia="en-US"/>
          </w:rPr>
          <w:t>http://citiesforaction.us/statement4/</w:t>
        </w:r>
      </w:hyperlink>
    </w:p>
    <w:p w14:paraId="5D486132" w14:textId="77777777" w:rsidR="000A74DB" w:rsidRPr="0078124D" w:rsidRDefault="000A74DB" w:rsidP="000A74DB">
      <w:pPr>
        <w:ind w:right="-159"/>
        <w:jc w:val="both"/>
        <w:rPr>
          <w:rFonts w:eastAsia="Calibri"/>
          <w:sz w:val="20"/>
          <w:szCs w:val="20"/>
          <w:lang w:eastAsia="en-US"/>
        </w:rPr>
      </w:pPr>
      <w:r w:rsidRPr="0078124D">
        <w:rPr>
          <w:rFonts w:eastAsia="Calibri"/>
          <w:sz w:val="20"/>
          <w:szCs w:val="20"/>
          <w:lang w:eastAsia="en-US"/>
        </w:rPr>
        <w:t>Para tener acceso a información relacionada, visitar:</w:t>
      </w:r>
    </w:p>
    <w:p w14:paraId="3CC59A06" w14:textId="77777777" w:rsidR="000A74DB" w:rsidRPr="0078124D" w:rsidRDefault="00D936FE" w:rsidP="000A74DB">
      <w:pPr>
        <w:ind w:right="-159"/>
        <w:jc w:val="both"/>
        <w:rPr>
          <w:rFonts w:eastAsia="Calibri"/>
          <w:color w:val="0000FF"/>
          <w:sz w:val="20"/>
          <w:szCs w:val="20"/>
          <w:lang w:eastAsia="en-US"/>
        </w:rPr>
      </w:pPr>
      <w:hyperlink r:id="rId81" w:history="1">
        <w:r w:rsidR="000A74DB" w:rsidRPr="0078124D">
          <w:rPr>
            <w:rFonts w:eastAsia="Calibri"/>
            <w:color w:val="0000FF"/>
            <w:sz w:val="20"/>
            <w:szCs w:val="20"/>
            <w:u w:val="single"/>
            <w:lang w:eastAsia="en-US"/>
          </w:rPr>
          <w:t>http://mexico.cnn.com/mundo/2015/04/06/73-ciudades-de-eu-forman-coalicion-para-apoyar-plan-migratorio-de-obama?newscnn1=%5b20150407%5d</w:t>
        </w:r>
      </w:hyperlink>
    </w:p>
    <w:p w14:paraId="03B2B060" w14:textId="77777777" w:rsidR="000A74DB" w:rsidRPr="0078124D" w:rsidRDefault="00D936FE" w:rsidP="000A74DB">
      <w:pPr>
        <w:ind w:right="-159"/>
        <w:jc w:val="both"/>
        <w:rPr>
          <w:rFonts w:eastAsia="Calibri"/>
          <w:color w:val="0000FF"/>
          <w:sz w:val="20"/>
          <w:szCs w:val="20"/>
          <w:lang w:eastAsia="en-US"/>
        </w:rPr>
      </w:pPr>
      <w:hyperlink r:id="rId82" w:history="1">
        <w:r w:rsidR="000A74DB" w:rsidRPr="0078124D">
          <w:rPr>
            <w:rFonts w:eastAsia="Calibri"/>
            <w:color w:val="0000FF"/>
            <w:sz w:val="20"/>
            <w:szCs w:val="20"/>
            <w:u w:val="single"/>
            <w:lang w:eastAsia="en-US"/>
          </w:rPr>
          <w:t>http://citiesforaction.us/</w:t>
        </w:r>
      </w:hyperlink>
      <w:r w:rsidR="000A74DB" w:rsidRPr="0078124D">
        <w:rPr>
          <w:rFonts w:eastAsia="Calibri"/>
          <w:color w:val="0000FF"/>
          <w:sz w:val="20"/>
          <w:szCs w:val="20"/>
          <w:lang w:eastAsia="en-US"/>
        </w:rPr>
        <w:t xml:space="preserve"> </w:t>
      </w:r>
    </w:p>
    <w:p w14:paraId="7924FE55" w14:textId="77777777" w:rsidR="000A74DB" w:rsidRPr="0078124D" w:rsidRDefault="00D936FE" w:rsidP="000A74DB">
      <w:pPr>
        <w:ind w:right="-159"/>
        <w:jc w:val="both"/>
        <w:rPr>
          <w:rFonts w:eastAsia="Calibri"/>
          <w:color w:val="0000FF"/>
          <w:sz w:val="20"/>
          <w:szCs w:val="20"/>
          <w:lang w:eastAsia="en-US"/>
        </w:rPr>
      </w:pPr>
      <w:hyperlink r:id="rId83" w:history="1">
        <w:r w:rsidR="000A74DB" w:rsidRPr="0078124D">
          <w:rPr>
            <w:rFonts w:eastAsia="Calibri"/>
            <w:color w:val="0000FF"/>
            <w:sz w:val="20"/>
            <w:szCs w:val="20"/>
            <w:u w:val="single"/>
            <w:lang w:eastAsia="en-US"/>
          </w:rPr>
          <w:t>http://multipress.com.mx/wp-content/uploads/2015/04/150407_DI_informe_especial_poblacion-latina_EEUU_ESP.pdf</w:t>
        </w:r>
      </w:hyperlink>
      <w:r w:rsidR="000A74DB" w:rsidRPr="0078124D">
        <w:rPr>
          <w:rFonts w:eastAsia="Calibri"/>
          <w:color w:val="0000FF"/>
          <w:sz w:val="20"/>
          <w:szCs w:val="20"/>
          <w:lang w:eastAsia="en-US"/>
        </w:rPr>
        <w:t xml:space="preserve"> </w:t>
      </w:r>
    </w:p>
    <w:p w14:paraId="1B3DEA35" w14:textId="77777777" w:rsidR="000A74DB" w:rsidRPr="0078124D" w:rsidRDefault="00D936FE" w:rsidP="000A74DB">
      <w:pPr>
        <w:ind w:right="-159"/>
        <w:jc w:val="both"/>
        <w:rPr>
          <w:rFonts w:eastAsia="Calibri"/>
          <w:color w:val="0000FF"/>
          <w:sz w:val="20"/>
          <w:szCs w:val="20"/>
          <w:lang w:eastAsia="en-US"/>
        </w:rPr>
      </w:pPr>
      <w:hyperlink r:id="rId84" w:history="1">
        <w:r w:rsidR="000A74DB" w:rsidRPr="0078124D">
          <w:rPr>
            <w:rFonts w:eastAsia="Calibri"/>
            <w:color w:val="0000FF"/>
            <w:sz w:val="20"/>
            <w:szCs w:val="20"/>
            <w:u w:val="single"/>
            <w:lang w:eastAsia="en-US"/>
          </w:rPr>
          <w:t>http://multipress.com.mx/estudios/%e2%80%8bla-poblacion-latina-en-estados-unidos-un-gigante-dormido-llorente-cuenca/</w:t>
        </w:r>
      </w:hyperlink>
      <w:r w:rsidR="000A74DB" w:rsidRPr="0078124D">
        <w:rPr>
          <w:rFonts w:eastAsia="Calibri"/>
          <w:color w:val="0000FF"/>
          <w:sz w:val="20"/>
          <w:szCs w:val="20"/>
          <w:lang w:eastAsia="en-US"/>
        </w:rPr>
        <w:t xml:space="preserve"> </w:t>
      </w:r>
    </w:p>
    <w:bookmarkEnd w:id="6"/>
    <w:bookmarkEnd w:id="7"/>
    <w:bookmarkEnd w:id="17"/>
    <w:p w14:paraId="3B74CFC4" w14:textId="77777777" w:rsidR="000A74DB" w:rsidRDefault="000A74DB" w:rsidP="00956231">
      <w:pPr>
        <w:spacing w:after="360" w:line="360" w:lineRule="auto"/>
        <w:ind w:right="-159"/>
        <w:jc w:val="both"/>
        <w:rPr>
          <w:sz w:val="26"/>
          <w:szCs w:val="26"/>
          <w:lang w:val="es-ES"/>
        </w:rPr>
      </w:pPr>
    </w:p>
    <w:sectPr w:rsidR="000A74DB" w:rsidSect="009279D8">
      <w:headerReference w:type="even" r:id="rId85"/>
      <w:headerReference w:type="default" r:id="rId86"/>
      <w:pgSz w:w="12242" w:h="15842" w:code="1"/>
      <w:pgMar w:top="1417" w:right="1701" w:bottom="1417" w:left="1701" w:header="709" w:footer="709" w:gutter="0"/>
      <w:pgNumType w:start="759"/>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60EBDD" w14:textId="77777777" w:rsidR="00D936FE" w:rsidRDefault="00D936FE">
      <w:r>
        <w:separator/>
      </w:r>
    </w:p>
  </w:endnote>
  <w:endnote w:type="continuationSeparator" w:id="0">
    <w:p w14:paraId="3C3DCE8B" w14:textId="77777777" w:rsidR="00D936FE" w:rsidRDefault="00D936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Vladimir Script">
    <w:panose1 w:val="03050402040407070305"/>
    <w:charset w:val="00"/>
    <w:family w:val="script"/>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StarSymbol">
    <w:altName w:val="Arial Unicode MS"/>
    <w:charset w:val="02"/>
    <w:family w:val="auto"/>
    <w:pitch w:val="default"/>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Georgia, Times">
    <w:altName w:val="Times New Roman"/>
    <w:panose1 w:val="00000000000000000000"/>
    <w:charset w:val="00"/>
    <w:family w:val="roman"/>
    <w:notTrueType/>
    <w:pitch w:val="default"/>
  </w:font>
  <w:font w:name="Georgia, Times, serif">
    <w:altName w:val="Times New Roman"/>
    <w:panose1 w:val="00000000000000000000"/>
    <w:charset w:val="00"/>
    <w:family w:val="roman"/>
    <w:notTrueType/>
    <w:pitch w:val="default"/>
  </w:font>
  <w:font w:name="CG Palacio (WN)">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Frutiger LT Std 55 Roman">
    <w:altName w:val="Frutiger LT Std 55 Roman"/>
    <w:panose1 w:val="00000000000000000000"/>
    <w:charset w:val="00"/>
    <w:family w:val="roman"/>
    <w:notTrueType/>
    <w:pitch w:val="default"/>
    <w:sig w:usb0="00000003" w:usb1="00000000" w:usb2="00000000" w:usb3="00000000" w:csb0="00000001" w:csb1="00000000"/>
  </w:font>
  <w:font w:name="Frutiger LT Std 47 Light Cn">
    <w:altName w:val="Frutiger LT Std 47 Light Cn"/>
    <w:panose1 w:val="00000000000000000000"/>
    <w:charset w:val="00"/>
    <w:family w:val="swiss"/>
    <w:notTrueType/>
    <w:pitch w:val="default"/>
    <w:sig w:usb0="00000003" w:usb1="00000000" w:usb2="00000000" w:usb3="00000000" w:csb0="00000001" w:csb1="00000000"/>
  </w:font>
  <w:font w:name="Frutiger LT Std 57 Cn">
    <w:altName w:val="Frutiger LT Std 57 Cn"/>
    <w:panose1 w:val="00000000000000000000"/>
    <w:charset w:val="00"/>
    <w:family w:val="swiss"/>
    <w:notTrueType/>
    <w:pitch w:val="default"/>
    <w:sig w:usb0="00000003" w:usb1="00000000" w:usb2="00000000" w:usb3="00000000" w:csb0="00000001" w:csb1="00000000"/>
  </w:font>
  <w:font w:name="Arial MT">
    <w:altName w:val="Times New Roman"/>
    <w:panose1 w:val="00000000000000000000"/>
    <w:charset w:val="00"/>
    <w:family w:val="roman"/>
    <w:notTrueType/>
    <w:pitch w:val="default"/>
  </w:font>
  <w:font w:name="Stag Sans Light">
    <w:altName w:val="Stag Sans Light"/>
    <w:panose1 w:val="00000000000000000000"/>
    <w:charset w:val="00"/>
    <w:family w:val="swiss"/>
    <w:notTrueType/>
    <w:pitch w:val="default"/>
    <w:sig w:usb0="00000003" w:usb1="00000000" w:usb2="00000000" w:usb3="00000000" w:csb0="00000001" w:csb1="00000000"/>
  </w:font>
  <w:font w:name="MetroflexUniBold">
    <w:altName w:val="MetroflexUniBold"/>
    <w:panose1 w:val="00000000000000000000"/>
    <w:charset w:val="00"/>
    <w:family w:val="swiss"/>
    <w:notTrueType/>
    <w:pitch w:val="default"/>
    <w:sig w:usb0="00000003" w:usb1="00000000" w:usb2="00000000" w:usb3="00000000" w:csb0="00000001" w:csb1="00000000"/>
  </w:font>
  <w:font w:name="HelveticaNeue Condensed">
    <w:altName w:val="HelveticaNeue Condensed"/>
    <w:panose1 w:val="00000000000000000000"/>
    <w:charset w:val="00"/>
    <w:family w:val="swiss"/>
    <w:notTrueType/>
    <w:pitch w:val="default"/>
    <w:sig w:usb0="00000003" w:usb1="00000000" w:usb2="00000000" w:usb3="00000000" w:csb0="00000001" w:csb1="00000000"/>
  </w:font>
  <w:font w:name="Univers">
    <w:panose1 w:val="020B0603020202030204"/>
    <w:charset w:val="00"/>
    <w:family w:val="swiss"/>
    <w:pitch w:val="variable"/>
    <w:sig w:usb0="00000003" w:usb1="00000000" w:usb2="00000000" w:usb3="00000000" w:csb0="00000001" w:csb1="00000000"/>
  </w:font>
  <w:font w:name="Times">
    <w:panose1 w:val="02020603050405020304"/>
    <w:charset w:val="00"/>
    <w:family w:val="roman"/>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C56723" w14:textId="77777777" w:rsidR="00D936FE" w:rsidRDefault="00D936FE">
      <w:r>
        <w:separator/>
      </w:r>
    </w:p>
  </w:footnote>
  <w:footnote w:type="continuationSeparator" w:id="0">
    <w:p w14:paraId="57FFBCBA" w14:textId="77777777" w:rsidR="00D936FE" w:rsidRDefault="00D936FE">
      <w:r>
        <w:continuationSeparator/>
      </w:r>
    </w:p>
  </w:footnote>
  <w:footnote w:id="1">
    <w:p w14:paraId="1B3D5FB7" w14:textId="77777777" w:rsidR="007846AF" w:rsidRPr="00FF3320" w:rsidRDefault="007846AF" w:rsidP="00BC7BEB">
      <w:pPr>
        <w:pStyle w:val="Textonotapie"/>
        <w:ind w:left="140" w:right="-159" w:hanging="140"/>
        <w:jc w:val="both"/>
        <w:rPr>
          <w:lang w:val="es-MX"/>
        </w:rPr>
      </w:pPr>
      <w:r w:rsidRPr="00D46FA9">
        <w:rPr>
          <w:vertAlign w:val="superscript"/>
        </w:rPr>
        <w:footnoteRef/>
      </w:r>
      <w:r>
        <w:t xml:space="preserve"> </w:t>
      </w:r>
      <w:r w:rsidRPr="00060EB1">
        <w:t>Información proporcionada por PMI Comercio Internacional, S. A. de C. V., que corresponde a sus cifras operativas y está sujeta a revisiones posteriores</w:t>
      </w:r>
      <w:r>
        <w:t>.</w:t>
      </w:r>
    </w:p>
  </w:footnote>
  <w:footnote w:id="2">
    <w:p w14:paraId="3F732A62" w14:textId="77777777" w:rsidR="007846AF" w:rsidRPr="00B441BA" w:rsidRDefault="007846AF" w:rsidP="00BC7BEB">
      <w:pPr>
        <w:pStyle w:val="Textonotapie"/>
        <w:ind w:left="154" w:right="-159" w:hanging="154"/>
        <w:jc w:val="both"/>
      </w:pPr>
      <w:r w:rsidRPr="00B441BA">
        <w:rPr>
          <w:rStyle w:val="Refdenotaalpie"/>
        </w:rPr>
        <w:footnoteRef/>
      </w:r>
      <w:r w:rsidRPr="00B441BA">
        <w:t xml:space="preserve"> CEFP, Revista de Finanzas Públicas, </w:t>
      </w:r>
      <w:r>
        <w:t>“</w:t>
      </w:r>
      <w:r w:rsidRPr="00B441BA">
        <w:t xml:space="preserve">La industria Maquiladora de Exportación y la Competitividad de su </w:t>
      </w:r>
      <w:proofErr w:type="spellStart"/>
      <w:r w:rsidRPr="00B441BA">
        <w:t>Regimen</w:t>
      </w:r>
      <w:proofErr w:type="spellEnd"/>
      <w:r w:rsidRPr="00B441BA">
        <w:t xml:space="preserve"> Fiscal, 2006 – 2013</w:t>
      </w:r>
      <w:r>
        <w:t>”</w:t>
      </w:r>
      <w:r w:rsidRPr="00B441BA">
        <w:t>; página 135.</w:t>
      </w:r>
    </w:p>
  </w:footnote>
  <w:footnote w:id="3">
    <w:p w14:paraId="402DB5C9" w14:textId="77777777" w:rsidR="007846AF" w:rsidRPr="00B441BA" w:rsidRDefault="007846AF" w:rsidP="00FC49FF">
      <w:pPr>
        <w:pStyle w:val="Textonotapie"/>
        <w:jc w:val="both"/>
      </w:pPr>
      <w:r w:rsidRPr="00B441BA">
        <w:rPr>
          <w:rStyle w:val="Refdenotaalpie"/>
        </w:rPr>
        <w:footnoteRef/>
      </w:r>
      <w:r w:rsidRPr="00B441BA">
        <w:t xml:space="preserve"> Declaración tomada de la exposición de motivos del Presupuesto de Egresos de la Federación 2014.</w:t>
      </w:r>
    </w:p>
  </w:footnote>
  <w:footnote w:id="4">
    <w:p w14:paraId="34A3C519" w14:textId="77777777" w:rsidR="007846AF" w:rsidRPr="00B441BA" w:rsidRDefault="007846AF" w:rsidP="00BC7BEB">
      <w:pPr>
        <w:pStyle w:val="Textonotapie"/>
        <w:ind w:left="154" w:right="-159" w:hanging="154"/>
        <w:jc w:val="both"/>
      </w:pPr>
      <w:r w:rsidRPr="00B441BA">
        <w:rPr>
          <w:rStyle w:val="Refdenotaalpie"/>
        </w:rPr>
        <w:footnoteRef/>
      </w:r>
      <w:r w:rsidRPr="00B441BA">
        <w:t xml:space="preserve"> Dicho esquema sostiene que la maquinaria, equipo e inventarios utilizados en los procesos de manufactura son propiedad de un residente en el extranjero, aportando el país en el que se encuentran, sólo la mano de obra para r</w:t>
      </w:r>
      <w:r>
        <w:t>ealizar el proceso en comento.</w:t>
      </w:r>
    </w:p>
  </w:footnote>
  <w:footnote w:id="5">
    <w:p w14:paraId="132E6E23" w14:textId="77777777" w:rsidR="007846AF" w:rsidRPr="00BC7BEB" w:rsidRDefault="007846AF" w:rsidP="00EF4A2D">
      <w:pPr>
        <w:pStyle w:val="Textonotapie"/>
        <w:rPr>
          <w:color w:val="0000FF"/>
        </w:rPr>
      </w:pPr>
      <w:r w:rsidRPr="000A364F">
        <w:rPr>
          <w:rStyle w:val="Refdenotaalpie"/>
        </w:rPr>
        <w:footnoteRef/>
      </w:r>
      <w:r w:rsidRPr="000A364F">
        <w:t xml:space="preserve"> </w:t>
      </w:r>
      <w:hyperlink r:id="rId1" w:history="1">
        <w:r w:rsidRPr="00BC7BEB">
          <w:rPr>
            <w:rStyle w:val="Hipervnculo"/>
          </w:rPr>
          <w:t>https://www.wto.org/english/res_e/statis_e/statis_e.htm</w:t>
        </w:r>
      </w:hyperlink>
      <w:r w:rsidRPr="00BC7BEB">
        <w:rPr>
          <w:color w:val="0000FF"/>
        </w:rPr>
        <w:t xml:space="preserve"> </w:t>
      </w:r>
    </w:p>
  </w:footnote>
  <w:footnote w:id="6">
    <w:p w14:paraId="7743F2D4" w14:textId="77777777" w:rsidR="007846AF" w:rsidRPr="008F3453" w:rsidRDefault="007846AF" w:rsidP="00EF4A2D">
      <w:pPr>
        <w:pStyle w:val="Textonotapie"/>
        <w:ind w:right="-159"/>
      </w:pPr>
      <w:r w:rsidRPr="008F3453">
        <w:rPr>
          <w:rStyle w:val="Refdenotaalpie"/>
        </w:rPr>
        <w:footnoteRef/>
      </w:r>
      <w:r w:rsidRPr="008F3453">
        <w:t xml:space="preserve"> Esto figura bajo el título “Bienes para elaboración” en la clasificación de la balanza de pagos del MBP5.</w:t>
      </w:r>
    </w:p>
  </w:footnote>
  <w:footnote w:id="7">
    <w:p w14:paraId="73DD5882" w14:textId="56D0112A" w:rsidR="007846AF" w:rsidRPr="00525B73" w:rsidRDefault="007846AF" w:rsidP="00525B73">
      <w:pPr>
        <w:pStyle w:val="Textonotapie"/>
        <w:ind w:left="84" w:right="-159" w:hanging="84"/>
        <w:rPr>
          <w:color w:val="0000FF"/>
        </w:rPr>
      </w:pPr>
      <w:r w:rsidRPr="001B5771">
        <w:rPr>
          <w:rStyle w:val="Refdenotaalpie"/>
        </w:rPr>
        <w:footnoteRef/>
      </w:r>
      <w:hyperlink r:id="rId2" w:history="1">
        <w:r w:rsidRPr="00525B73">
          <w:rPr>
            <w:rStyle w:val="Hipervnculo"/>
          </w:rPr>
          <w:t>http://publications.iadb.org/handle/11319/6830?scope=123456789/1&amp;thumbnail=false&amp;order=desc&amp;rpp=5&amp;sort_by=score&amp;page=0&amp;query=korea+and+latin+america&amp;group_by=none&amp;etal=0</w:t>
        </w:r>
      </w:hyperlink>
    </w:p>
  </w:footnote>
  <w:footnote w:id="8">
    <w:p w14:paraId="0D995F94" w14:textId="791109B8" w:rsidR="007846AF" w:rsidRPr="00525B73" w:rsidRDefault="007846AF" w:rsidP="00525B73">
      <w:pPr>
        <w:pStyle w:val="Textonotapie"/>
        <w:ind w:left="168" w:hanging="168"/>
        <w:rPr>
          <w:color w:val="0000FF"/>
        </w:rPr>
      </w:pPr>
      <w:r w:rsidRPr="00D46FA9">
        <w:rPr>
          <w:rStyle w:val="Refdenotaalpie"/>
        </w:rPr>
        <w:footnoteRef/>
      </w:r>
      <w:hyperlink r:id="rId3" w:history="1">
        <w:r w:rsidRPr="00525B73">
          <w:rPr>
            <w:rStyle w:val="Hipervnculo"/>
          </w:rPr>
          <w:t>https://connectamericas.com/es</w:t>
        </w:r>
      </w:hyperlink>
    </w:p>
  </w:footnote>
  <w:footnote w:id="9">
    <w:p w14:paraId="423E9C36" w14:textId="77777777" w:rsidR="007846AF" w:rsidRPr="00525B73" w:rsidRDefault="007846AF" w:rsidP="009B79F1">
      <w:pPr>
        <w:pStyle w:val="Textonotapie"/>
        <w:rPr>
          <w:color w:val="0000FF"/>
        </w:rPr>
      </w:pPr>
      <w:r w:rsidRPr="003376FE">
        <w:rPr>
          <w:rStyle w:val="Refdenotaalpie"/>
        </w:rPr>
        <w:footnoteRef/>
      </w:r>
      <w:r w:rsidRPr="003376FE">
        <w:t xml:space="preserve"> </w:t>
      </w:r>
      <w:hyperlink r:id="rId4" w:history="1">
        <w:r w:rsidRPr="00525B73">
          <w:rPr>
            <w:rStyle w:val="Hipervnculo"/>
          </w:rPr>
          <w:t>http://www.sectur.gob.mx/2015/03/24/version-estenografica/</w:t>
        </w:r>
      </w:hyperlink>
    </w:p>
  </w:footnote>
  <w:footnote w:id="10">
    <w:p w14:paraId="799334D0" w14:textId="77777777" w:rsidR="007846AF" w:rsidRPr="005D5E9A" w:rsidRDefault="007846AF" w:rsidP="00F3340E">
      <w:pPr>
        <w:pStyle w:val="Textonotapie"/>
        <w:ind w:right="-159"/>
        <w:rPr>
          <w:color w:val="0000FF"/>
        </w:rPr>
      </w:pPr>
      <w:r w:rsidRPr="00F3340E">
        <w:rPr>
          <w:rStyle w:val="Refdenotaalpie"/>
        </w:rPr>
        <w:footnoteRef/>
      </w:r>
      <w:r w:rsidRPr="00F3340E">
        <w:t xml:space="preserve"> </w:t>
      </w:r>
      <w:hyperlink r:id="rId5" w:history="1">
        <w:r w:rsidRPr="005D5E9A">
          <w:rPr>
            <w:rStyle w:val="Hipervnculo"/>
          </w:rPr>
          <w:t>http://www.census.gov/prod/cen2010/briefs/c2010br-04sp.pdf</w:t>
        </w:r>
      </w:hyperlink>
      <w:r w:rsidRPr="005D5E9A">
        <w:rPr>
          <w:color w:val="0000FF"/>
        </w:rPr>
        <w:t xml:space="preserve">. </w:t>
      </w:r>
    </w:p>
  </w:footnote>
  <w:footnote w:id="11">
    <w:p w14:paraId="1F5E0F05" w14:textId="7B84704D" w:rsidR="007846AF" w:rsidRPr="005D5E9A" w:rsidRDefault="007846AF" w:rsidP="005D5E9A">
      <w:pPr>
        <w:pStyle w:val="Textonotapie"/>
        <w:ind w:left="210" w:right="-159" w:hanging="210"/>
        <w:jc w:val="both"/>
        <w:rPr>
          <w:color w:val="0000FF"/>
        </w:rPr>
      </w:pPr>
      <w:r w:rsidRPr="005D5E9A">
        <w:rPr>
          <w:rStyle w:val="Refdenotaalpie"/>
        </w:rPr>
        <w:footnoteRef/>
      </w:r>
      <w:r w:rsidRPr="005D5E9A">
        <w:t xml:space="preserve"> </w:t>
      </w:r>
      <w:hyperlink r:id="rId6" w:history="1">
        <w:r w:rsidRPr="005D5E9A">
          <w:rPr>
            <w:rStyle w:val="Hipervnculo"/>
          </w:rPr>
          <w:t>http://www.census.gov/prod/cen2010/briefs/c2010br-04.pdf</w:t>
        </w:r>
      </w:hyperlink>
      <w:r w:rsidRPr="005D5E9A">
        <w:rPr>
          <w:color w:val="0000FF"/>
        </w:rPr>
        <w:t xml:space="preserve">. </w:t>
      </w:r>
    </w:p>
  </w:footnote>
  <w:footnote w:id="12">
    <w:p w14:paraId="7672E53D" w14:textId="77777777" w:rsidR="007846AF" w:rsidRPr="005D5E9A" w:rsidRDefault="007846AF" w:rsidP="005D5E9A">
      <w:pPr>
        <w:pStyle w:val="Textonotapie"/>
        <w:ind w:left="210" w:right="-159" w:hanging="210"/>
        <w:jc w:val="both"/>
        <w:rPr>
          <w:color w:val="0000FF"/>
        </w:rPr>
      </w:pPr>
      <w:r w:rsidRPr="005D5E9A">
        <w:rPr>
          <w:rStyle w:val="Refdenotaalpie"/>
        </w:rPr>
        <w:footnoteRef/>
      </w:r>
      <w:r w:rsidRPr="005D5E9A">
        <w:t xml:space="preserve"> En este sentido fue decisivo la derogación de las Leyes de los “</w:t>
      </w:r>
      <w:r w:rsidRPr="005D5E9A">
        <w:rPr>
          <w:iCs/>
        </w:rPr>
        <w:t>Orígenes nacionales”</w:t>
      </w:r>
      <w:r w:rsidRPr="005D5E9A">
        <w:t>, vigentes desde principios del siglo XX. Estas leyes establecían un sistema de cuotas por nacionalidades, que favorecía a los países occidentales y limitaba la inmigración.</w:t>
      </w:r>
    </w:p>
  </w:footnote>
  <w:footnote w:id="13">
    <w:p w14:paraId="30D15EBB" w14:textId="77777777" w:rsidR="007846AF" w:rsidRPr="00F3340E" w:rsidRDefault="007846AF" w:rsidP="00F3340E">
      <w:pPr>
        <w:pStyle w:val="Textonotapie"/>
        <w:ind w:left="113" w:right="-159" w:hanging="113"/>
      </w:pPr>
      <w:r w:rsidRPr="00F3340E">
        <w:rPr>
          <w:rStyle w:val="Refdenotaalpie"/>
        </w:rPr>
        <w:footnoteRef/>
      </w:r>
      <w:r w:rsidRPr="00F3340E">
        <w:t xml:space="preserve"> Todos los datos demográficos señalados proceden del Ceso de 2010,</w:t>
      </w:r>
    </w:p>
    <w:p w14:paraId="6B2BF24A" w14:textId="3AE02596" w:rsidR="007846AF" w:rsidRPr="00002F70" w:rsidRDefault="00D936FE" w:rsidP="00F31276">
      <w:pPr>
        <w:pStyle w:val="Textonotapie"/>
        <w:ind w:left="311" w:right="-159" w:hanging="113"/>
        <w:rPr>
          <w:color w:val="0000FF"/>
        </w:rPr>
      </w:pPr>
      <w:hyperlink r:id="rId7" w:history="1">
        <w:r w:rsidR="007846AF" w:rsidRPr="00002F70">
          <w:rPr>
            <w:rStyle w:val="Hipervnculo"/>
          </w:rPr>
          <w:t>http://www.census.gov/prod/cen2010/briefs/c2010br-04sp.pdf</w:t>
        </w:r>
      </w:hyperlink>
      <w:r w:rsidR="007846AF" w:rsidRPr="00002F70">
        <w:rPr>
          <w:color w:val="0000FF"/>
        </w:rPr>
        <w:t xml:space="preserve">. </w:t>
      </w:r>
    </w:p>
  </w:footnote>
  <w:footnote w:id="14">
    <w:p w14:paraId="0FFAF03B" w14:textId="77777777" w:rsidR="007846AF" w:rsidRPr="00A75DB3" w:rsidRDefault="007846AF" w:rsidP="000A364F">
      <w:pPr>
        <w:pStyle w:val="Textonotapie"/>
        <w:ind w:left="187" w:right="-159" w:hanging="187"/>
        <w:jc w:val="both"/>
      </w:pPr>
      <w:r w:rsidRPr="00A75DB3">
        <w:rPr>
          <w:rStyle w:val="Refdenotaalpie"/>
        </w:rPr>
        <w:footnoteRef/>
      </w:r>
      <w:r w:rsidRPr="00A75DB3">
        <w:t xml:space="preserve"> Sobre estos rasgos característicos véase, Mª Jesús Criado, “Inmigración y población latina en los Estados Unidos de Norteamérica: un perfil sociodemográfico”, Instituto Complutense de Estudios Internacionales-Fundación Telefónica (2007).</w:t>
      </w:r>
    </w:p>
  </w:footnote>
  <w:footnote w:id="15">
    <w:p w14:paraId="28DEB7EA" w14:textId="77777777" w:rsidR="007846AF" w:rsidRPr="00A75DB3" w:rsidRDefault="007846AF" w:rsidP="00F3340E">
      <w:pPr>
        <w:pStyle w:val="Textonotapie"/>
      </w:pPr>
      <w:r w:rsidRPr="00A75DB3">
        <w:rPr>
          <w:rStyle w:val="Refdenotaalpie"/>
        </w:rPr>
        <w:footnoteRef/>
      </w:r>
      <w:r w:rsidRPr="00A75DB3">
        <w:t xml:space="preserve"> Véase revista Time en 2005.</w:t>
      </w:r>
    </w:p>
  </w:footnote>
  <w:footnote w:id="16">
    <w:p w14:paraId="0342537E" w14:textId="77777777" w:rsidR="007846AF" w:rsidRPr="00F3340E" w:rsidRDefault="007846AF" w:rsidP="00F3340E">
      <w:pPr>
        <w:pStyle w:val="Textonotapie"/>
        <w:jc w:val="both"/>
      </w:pPr>
      <w:r w:rsidRPr="00F3340E">
        <w:rPr>
          <w:rStyle w:val="Refdenotaalpie"/>
        </w:rPr>
        <w:footnoteRef/>
      </w:r>
      <w:r w:rsidRPr="00F3340E">
        <w:t xml:space="preserve"> Los datos comentados se encuentran en:</w:t>
      </w:r>
    </w:p>
    <w:p w14:paraId="2289C731" w14:textId="11268AC0" w:rsidR="007846AF" w:rsidRPr="00002F70" w:rsidRDefault="00D936FE" w:rsidP="001A572C">
      <w:pPr>
        <w:pStyle w:val="Textonotapie"/>
        <w:ind w:left="187"/>
        <w:jc w:val="both"/>
        <w:rPr>
          <w:color w:val="0000FF"/>
        </w:rPr>
      </w:pPr>
      <w:hyperlink r:id="rId8" w:history="1">
        <w:r w:rsidR="007846AF" w:rsidRPr="00002F70">
          <w:rPr>
            <w:rStyle w:val="Hipervnculo"/>
          </w:rPr>
          <w:t>http://noticias.entravision.com/2015/02/13/?override_market=san-diego</w:t>
        </w:r>
      </w:hyperlink>
      <w:r w:rsidR="007846AF" w:rsidRPr="00002F70">
        <w:rPr>
          <w:color w:val="0000FF"/>
        </w:rPr>
        <w:t xml:space="preserve"> </w:t>
      </w:r>
    </w:p>
  </w:footnote>
  <w:footnote w:id="17">
    <w:p w14:paraId="1AAB620C" w14:textId="77777777" w:rsidR="007846AF" w:rsidRPr="00F3340E" w:rsidRDefault="007846AF" w:rsidP="00F3340E">
      <w:pPr>
        <w:pStyle w:val="Textonotapie"/>
        <w:ind w:right="-159"/>
      </w:pPr>
      <w:r w:rsidRPr="00F3340E">
        <w:rPr>
          <w:rStyle w:val="Refdenotaalpie"/>
        </w:rPr>
        <w:footnoteRef/>
      </w:r>
      <w:r w:rsidRPr="00F3340E">
        <w:t xml:space="preserve"> Informe “Dueños inmigrantes de pequeños negocios. Una importante y creciente parte de la economía”.</w:t>
      </w:r>
    </w:p>
  </w:footnote>
  <w:footnote w:id="18">
    <w:p w14:paraId="3BDD162A" w14:textId="18BCB0C2" w:rsidR="007846AF" w:rsidRPr="00A75DB3" w:rsidRDefault="007846AF" w:rsidP="001A572C">
      <w:pPr>
        <w:pStyle w:val="Textonotapie"/>
        <w:ind w:left="198" w:right="-159" w:hanging="198"/>
        <w:jc w:val="both"/>
      </w:pPr>
      <w:r w:rsidRPr="00A75DB3">
        <w:rPr>
          <w:rStyle w:val="Refdenotaalpie"/>
        </w:rPr>
        <w:footnoteRef/>
      </w:r>
      <w:r w:rsidRPr="00A75DB3">
        <w:t xml:space="preserve"> Para una caracterización del mercado latino véase Informe </w:t>
      </w:r>
      <w:proofErr w:type="spellStart"/>
      <w:r w:rsidRPr="00A75DB3">
        <w:t>Nielsen</w:t>
      </w:r>
      <w:proofErr w:type="spellEnd"/>
      <w:r w:rsidRPr="00A75DB3">
        <w:t xml:space="preserve">: </w:t>
      </w:r>
      <w:proofErr w:type="spellStart"/>
      <w:r w:rsidRPr="00A75DB3">
        <w:rPr>
          <w:i/>
        </w:rPr>
        <w:t>State</w:t>
      </w:r>
      <w:proofErr w:type="spellEnd"/>
      <w:r w:rsidRPr="00A75DB3">
        <w:rPr>
          <w:i/>
        </w:rPr>
        <w:t xml:space="preserve"> of </w:t>
      </w:r>
      <w:proofErr w:type="spellStart"/>
      <w:r w:rsidRPr="00A75DB3">
        <w:rPr>
          <w:i/>
        </w:rPr>
        <w:t>the</w:t>
      </w:r>
      <w:proofErr w:type="spellEnd"/>
      <w:r w:rsidRPr="00A75DB3">
        <w:rPr>
          <w:i/>
        </w:rPr>
        <w:t xml:space="preserve"> </w:t>
      </w:r>
      <w:proofErr w:type="spellStart"/>
      <w:r w:rsidRPr="00A75DB3">
        <w:rPr>
          <w:i/>
        </w:rPr>
        <w:t>Hispanic</w:t>
      </w:r>
      <w:proofErr w:type="spellEnd"/>
      <w:r w:rsidRPr="00A75DB3">
        <w:rPr>
          <w:i/>
        </w:rPr>
        <w:t xml:space="preserve"> </w:t>
      </w:r>
      <w:proofErr w:type="spellStart"/>
      <w:r w:rsidRPr="00A75DB3">
        <w:rPr>
          <w:i/>
        </w:rPr>
        <w:t>Consumer</w:t>
      </w:r>
      <w:proofErr w:type="spellEnd"/>
      <w:r w:rsidRPr="00A75DB3">
        <w:rPr>
          <w:i/>
        </w:rPr>
        <w:t xml:space="preserve">: </w:t>
      </w:r>
      <w:proofErr w:type="spellStart"/>
      <w:r w:rsidRPr="00A75DB3">
        <w:rPr>
          <w:i/>
        </w:rPr>
        <w:t>The</w:t>
      </w:r>
      <w:proofErr w:type="spellEnd"/>
      <w:r w:rsidRPr="00A75DB3">
        <w:rPr>
          <w:i/>
        </w:rPr>
        <w:t xml:space="preserve"> </w:t>
      </w:r>
      <w:proofErr w:type="spellStart"/>
      <w:r w:rsidRPr="00A75DB3">
        <w:rPr>
          <w:i/>
        </w:rPr>
        <w:t>Hispanic</w:t>
      </w:r>
      <w:proofErr w:type="spellEnd"/>
      <w:r w:rsidRPr="00A75DB3">
        <w:rPr>
          <w:i/>
        </w:rPr>
        <w:t xml:space="preserve"> </w:t>
      </w:r>
      <w:proofErr w:type="spellStart"/>
      <w:r w:rsidRPr="00A75DB3">
        <w:rPr>
          <w:i/>
        </w:rPr>
        <w:t>Market</w:t>
      </w:r>
      <w:proofErr w:type="spellEnd"/>
      <w:r w:rsidRPr="00A75DB3">
        <w:rPr>
          <w:i/>
        </w:rPr>
        <w:t xml:space="preserve"> </w:t>
      </w:r>
      <w:proofErr w:type="spellStart"/>
      <w:r w:rsidRPr="00A75DB3">
        <w:rPr>
          <w:i/>
        </w:rPr>
        <w:t>Imperative</w:t>
      </w:r>
      <w:proofErr w:type="spellEnd"/>
      <w:r w:rsidRPr="00A75DB3">
        <w:t xml:space="preserve">, </w:t>
      </w:r>
      <w:hyperlink r:id="rId9" w:history="1">
        <w:r w:rsidR="002D683D" w:rsidRPr="00EE79D9">
          <w:rPr>
            <w:rStyle w:val="Hipervnculo"/>
          </w:rPr>
          <w:t>http://www.nielsen.com/us/en/insights/reports/2012/state-of-the-hispanic-consumer-the-hispanic-market-imperative.html</w:t>
        </w:r>
      </w:hyperlink>
      <w:r w:rsidRPr="00A75DB3">
        <w:t>, 17/04/12.</w:t>
      </w:r>
    </w:p>
  </w:footnote>
  <w:footnote w:id="19">
    <w:p w14:paraId="2BA81EC1" w14:textId="46E8F5A6" w:rsidR="007846AF" w:rsidRPr="00A75DB3" w:rsidRDefault="007846AF" w:rsidP="001A572C">
      <w:pPr>
        <w:pStyle w:val="Textonotapie"/>
        <w:ind w:left="215" w:right="-159" w:hanging="215"/>
        <w:jc w:val="both"/>
      </w:pPr>
      <w:r w:rsidRPr="00A75DB3">
        <w:rPr>
          <w:rStyle w:val="Refdenotaalpie"/>
        </w:rPr>
        <w:footnoteRef/>
      </w:r>
      <w:r w:rsidRPr="00A75DB3">
        <w:t xml:space="preserve"> En este sentido tiene todo su interés la existencia de empresas que a su vez asesoran a las empresas estadounidenses para atraer al consumidor latino. </w:t>
      </w:r>
      <w:r>
        <w:t>É</w:t>
      </w:r>
      <w:r w:rsidRPr="00A75DB3">
        <w:t xml:space="preserve">ste es el caso del empeño del empresario, José de Jesús </w:t>
      </w:r>
      <w:proofErr w:type="spellStart"/>
      <w:r w:rsidRPr="00A75DB3">
        <w:t>Legaspi</w:t>
      </w:r>
      <w:proofErr w:type="spellEnd"/>
      <w:r w:rsidRPr="00A75DB3">
        <w:t xml:space="preserve">, fundador de </w:t>
      </w:r>
      <w:proofErr w:type="spellStart"/>
      <w:r w:rsidRPr="00A75DB3">
        <w:t>The</w:t>
      </w:r>
      <w:proofErr w:type="spellEnd"/>
      <w:r w:rsidRPr="00A75DB3">
        <w:t xml:space="preserve"> </w:t>
      </w:r>
      <w:proofErr w:type="spellStart"/>
      <w:r w:rsidRPr="00A75DB3">
        <w:t>Legaspi</w:t>
      </w:r>
      <w:proofErr w:type="spellEnd"/>
      <w:r w:rsidRPr="00A75DB3">
        <w:t xml:space="preserve"> Company, que lleva dedicado a estas iniciativas desde 1977 y que enseña a los proveedores estadounidenses cómo adaptarse a los gustos del consumidor hispano y a sus tallas. “Los hispanos tienen el pie más pequeño. Los fabricantes estadounidenses creen que a ellos no les gustan sus zapatos porque no los compran, pero el problema es que no traen números pequeños, esa es la razón por la que los consumidores hispanos no adquieren sus modelos”. </w:t>
      </w:r>
      <w:proofErr w:type="spellStart"/>
      <w:r w:rsidRPr="00A75DB3">
        <w:t>Legaspi</w:t>
      </w:r>
      <w:proofErr w:type="spellEnd"/>
      <w:r w:rsidRPr="00A75DB3">
        <w:t xml:space="preserve"> trata de hacer entender a los comerciantes de </w:t>
      </w:r>
      <w:proofErr w:type="spellStart"/>
      <w:r w:rsidRPr="00A75DB3">
        <w:rPr>
          <w:i/>
        </w:rPr>
        <w:t>Macy’s</w:t>
      </w:r>
      <w:proofErr w:type="spellEnd"/>
      <w:r w:rsidRPr="00A75DB3">
        <w:t xml:space="preserve">, </w:t>
      </w:r>
      <w:proofErr w:type="spellStart"/>
      <w:r w:rsidRPr="00A75DB3">
        <w:rPr>
          <w:i/>
        </w:rPr>
        <w:t>Marshall’s</w:t>
      </w:r>
      <w:proofErr w:type="spellEnd"/>
      <w:r w:rsidRPr="00A75DB3">
        <w:t xml:space="preserve"> o </w:t>
      </w:r>
      <w:proofErr w:type="spellStart"/>
      <w:r w:rsidRPr="00A75DB3">
        <w:rPr>
          <w:i/>
        </w:rPr>
        <w:t>Forever</w:t>
      </w:r>
      <w:proofErr w:type="spellEnd"/>
      <w:r w:rsidRPr="00A75DB3">
        <w:rPr>
          <w:i/>
        </w:rPr>
        <w:t xml:space="preserve"> 21</w:t>
      </w:r>
      <w:r w:rsidRPr="00A75DB3">
        <w:t xml:space="preserve">, que las tallas de los latinos son menores y que, a diferencia del cliente estadounidense, “a ellos les gusta comprar cuando alguien les atiende, cuando se les explica cómo es el producto que van a comprar”, explica </w:t>
      </w:r>
      <w:proofErr w:type="spellStart"/>
      <w:r w:rsidRPr="00A75DB3">
        <w:t>Legaspi</w:t>
      </w:r>
      <w:proofErr w:type="spellEnd"/>
      <w:r w:rsidRPr="00A75DB3">
        <w:t>. “Trabajamos con los proveedores para que puedan reconocer intelectualmente cómo es el consumidor latino, para que luego ellos mismos puedan desarrollar su sentido de mercadotecnia y sean capaces de llegar mejor al mercado hispano”, asevera.</w:t>
      </w:r>
    </w:p>
  </w:footnote>
  <w:footnote w:id="20">
    <w:p w14:paraId="6BB08F41" w14:textId="77777777" w:rsidR="007846AF" w:rsidRPr="00A75DB3" w:rsidRDefault="007846AF" w:rsidP="000A364F">
      <w:pPr>
        <w:pStyle w:val="Textonotapie"/>
        <w:ind w:left="249" w:right="-159" w:hanging="249"/>
        <w:jc w:val="both"/>
      </w:pPr>
      <w:r w:rsidRPr="00A75DB3">
        <w:rPr>
          <w:rStyle w:val="Refdenotaalpie"/>
        </w:rPr>
        <w:footnoteRef/>
      </w:r>
      <w:r w:rsidRPr="00A75DB3">
        <w:t xml:space="preserve"> La redacción del documento </w:t>
      </w:r>
      <w:r w:rsidRPr="00A75DB3">
        <w:rPr>
          <w:i/>
        </w:rPr>
        <w:t xml:space="preserve">Latino </w:t>
      </w:r>
      <w:proofErr w:type="spellStart"/>
      <w:r w:rsidRPr="00A75DB3">
        <w:rPr>
          <w:i/>
        </w:rPr>
        <w:t>Communications</w:t>
      </w:r>
      <w:proofErr w:type="spellEnd"/>
      <w:r w:rsidRPr="00A75DB3">
        <w:rPr>
          <w:i/>
        </w:rPr>
        <w:t xml:space="preserve"> </w:t>
      </w:r>
      <w:proofErr w:type="spellStart"/>
      <w:r w:rsidRPr="00A75DB3">
        <w:rPr>
          <w:i/>
        </w:rPr>
        <w:t>Strategy</w:t>
      </w:r>
      <w:proofErr w:type="spellEnd"/>
      <w:r w:rsidRPr="00A75DB3">
        <w:rPr>
          <w:i/>
        </w:rPr>
        <w:t>, 1994-1996</w:t>
      </w:r>
      <w:r w:rsidRPr="00A75DB3">
        <w:t xml:space="preserve">, elaborado por Andy Hernández y la creación de una oficina donde se preparaba todo el material dirigido al público hispano (elaboración de dosieres de prensa, </w:t>
      </w:r>
      <w:proofErr w:type="spellStart"/>
      <w:r w:rsidRPr="00A75DB3">
        <w:t>briefings</w:t>
      </w:r>
      <w:proofErr w:type="spellEnd"/>
      <w:r w:rsidRPr="00A75DB3">
        <w:t>, notas y traducción de documentos), para el Comité Demócrata, indica la importancia que comienza a adquirir, desde entonces, el voto hispano.</w:t>
      </w:r>
    </w:p>
  </w:footnote>
  <w:footnote w:id="21">
    <w:p w14:paraId="6F7492D7" w14:textId="76841E72" w:rsidR="007846AF" w:rsidRPr="00002F70" w:rsidRDefault="007846AF" w:rsidP="00002F70">
      <w:pPr>
        <w:pStyle w:val="Textonotapie"/>
        <w:ind w:left="210" w:right="-159" w:hanging="210"/>
        <w:rPr>
          <w:color w:val="0000FF"/>
          <w:u w:val="single"/>
        </w:rPr>
      </w:pPr>
      <w:r w:rsidRPr="00F3340E">
        <w:rPr>
          <w:rStyle w:val="Refdenotaalpie"/>
        </w:rPr>
        <w:footnoteRef/>
      </w:r>
      <w:r>
        <w:t xml:space="preserve"> </w:t>
      </w:r>
      <w:r w:rsidRPr="00F3340E">
        <w:t xml:space="preserve">El País, 19/10/14, </w:t>
      </w:r>
      <w:hyperlink r:id="rId10" w:history="1">
        <w:r w:rsidRPr="00002F70">
          <w:rPr>
            <w:rStyle w:val="Hipervnculo"/>
          </w:rPr>
          <w:t>http://internacional.elpais.com/internacional/2014/10/19/actuali</w:t>
        </w:r>
        <w:r w:rsidRPr="00002F70">
          <w:rPr>
            <w:rStyle w:val="Hipervnculo"/>
          </w:rPr>
          <w:softHyphen/>
          <w:t>dad/1413733870_041970.html</w:t>
        </w:r>
      </w:hyperlink>
      <w:r w:rsidRPr="00002F70">
        <w:rPr>
          <w:color w:val="0000FF"/>
        </w:rPr>
        <w:t>,</w:t>
      </w:r>
      <w:r w:rsidRPr="00F3340E">
        <w:t xml:space="preserve"> La República, 29/01/09, </w:t>
      </w:r>
      <w:hyperlink r:id="rId11" w:history="1">
        <w:r w:rsidRPr="00002F70">
          <w:rPr>
            <w:rStyle w:val="Hipervnculo"/>
          </w:rPr>
          <w:t>http://www.larepublica.pe/26-01-2009/aseguran-q</w:t>
        </w:r>
        <w:r w:rsidRPr="002D683D">
          <w:rPr>
            <w:rStyle w:val="Hipervnculo"/>
          </w:rPr>
          <w:t>ue-el-primer-presidente-hispano-de-eeuu-ya-ha-nacido</w:t>
        </w:r>
      </w:hyperlink>
      <w:r w:rsidRPr="00002F70">
        <w:rPr>
          <w:color w:val="0000FF"/>
          <w:u w:val="single"/>
        </w:rPr>
        <w:t>.</w:t>
      </w:r>
    </w:p>
  </w:footnote>
  <w:footnote w:id="22">
    <w:p w14:paraId="66324767" w14:textId="77777777" w:rsidR="007846AF" w:rsidRPr="00002F70" w:rsidRDefault="007846AF" w:rsidP="00002F70">
      <w:pPr>
        <w:pStyle w:val="Textonotapie"/>
        <w:ind w:left="238" w:right="-159" w:hanging="199"/>
        <w:rPr>
          <w:color w:val="0000FF"/>
        </w:rPr>
      </w:pPr>
      <w:r w:rsidRPr="00A75DB3">
        <w:rPr>
          <w:rStyle w:val="Refdenotaalpie"/>
        </w:rPr>
        <w:footnoteRef/>
      </w:r>
      <w:r w:rsidRPr="00A75DB3">
        <w:t xml:space="preserve"> D. Ureña e I. Royo, “El papel del voto hispano en las elecciones de noviembre en EEUU”, ARI, 51/4014, Real </w:t>
      </w:r>
      <w:r w:rsidRPr="00F3340E">
        <w:t xml:space="preserve">Instituto Elcano, </w:t>
      </w:r>
      <w:hyperlink r:id="rId12" w:anchor=".VQAk9PmG9E4" w:history="1">
        <w:r w:rsidRPr="00002F70">
          <w:rPr>
            <w:rStyle w:val="Hipervnculo"/>
          </w:rPr>
          <w:t>http://www.realinstitutoelcano.org/wps/portal/web/rielcano_es/contenido?WCM_GLOBAL_CONTEXT=/elcano/elcano_es/zonas_es/eeuu-dialogo+trasatlantico/ari51-2014-urena-royo-papel-del-voto-hispano-elecciones-de-noviembre-eeuu-2014#.VQAk9PmG9E4</w:t>
        </w:r>
      </w:hyperlink>
      <w:r w:rsidRPr="00002F70">
        <w:rPr>
          <w:color w:val="0000FF"/>
        </w:rPr>
        <w:t>.</w:t>
      </w:r>
    </w:p>
  </w:footnote>
  <w:footnote w:id="23">
    <w:p w14:paraId="31EA19A7" w14:textId="77777777" w:rsidR="007846AF" w:rsidRPr="00A75DB3" w:rsidRDefault="007846AF" w:rsidP="00002F70">
      <w:pPr>
        <w:pStyle w:val="Textonotapie"/>
        <w:ind w:left="210" w:right="-159" w:hanging="210"/>
        <w:jc w:val="both"/>
      </w:pPr>
      <w:r w:rsidRPr="00A75DB3">
        <w:rPr>
          <w:rStyle w:val="Refdenotaalpie"/>
        </w:rPr>
        <w:footnoteRef/>
      </w:r>
      <w:r w:rsidRPr="00A75DB3">
        <w:t xml:space="preserve"> Los médicos del hospital Presbiteriano de Nueva York, por ejemplo, vinculado a la universidad de Columbia y situado en el corazón de Washington </w:t>
      </w:r>
      <w:proofErr w:type="spellStart"/>
      <w:r w:rsidRPr="00A75DB3">
        <w:t>Heights</w:t>
      </w:r>
      <w:proofErr w:type="spellEnd"/>
      <w:r w:rsidRPr="00A75DB3">
        <w:t>, foco de concentración dominicana, reciben al incorporarse un curso intensivo sobre términos y conocimientos básicos relacionados con el área, formación que continúan en otros cursos a lo largo del año. En Texas los agentes de policía deben superar un curso de español, que costea la institución, para obtener el grado de suboficial. En Phoenix (Arizona), en julio de 2002, se puso en marcha en un parque de bomberos el primer programa de inmersión para aumentar la dotación de miembros bilingües. El proceso afecta igual a la esfera educativa. En Dallas (Texas), cuyo distrito escolar es más de la mitad hispano (57%), y cerca de 30% con limitaciones en inglés, se aprobaba, en octubre 2002, financiar con un millón de dólares la formación en español conversacional de los docentes con algún conocimiento previo de español.</w:t>
      </w:r>
    </w:p>
  </w:footnote>
  <w:footnote w:id="24">
    <w:p w14:paraId="7CE6F055" w14:textId="118CA425" w:rsidR="007846AF" w:rsidRPr="00002F70" w:rsidRDefault="007846AF" w:rsidP="00002F70">
      <w:pPr>
        <w:pStyle w:val="Textonotapie"/>
        <w:ind w:left="210" w:right="-159" w:hanging="210"/>
        <w:rPr>
          <w:color w:val="0000FF"/>
        </w:rPr>
      </w:pPr>
      <w:r w:rsidRPr="00F3340E">
        <w:rPr>
          <w:rStyle w:val="Refdenotaalpie"/>
        </w:rPr>
        <w:footnoteRef/>
      </w:r>
      <w:r w:rsidRPr="00F3340E">
        <w:t xml:space="preserve"> Daniel Ureña, “El futuro de Estados Unidos de N</w:t>
      </w:r>
      <w:r>
        <w:t>orteamérica</w:t>
      </w:r>
      <w:r w:rsidRPr="00F3340E">
        <w:t xml:space="preserve"> será Hispano”, 20/03/2014, </w:t>
      </w:r>
      <w:hyperlink r:id="rId13" w:history="1">
        <w:r w:rsidRPr="00002F70">
          <w:rPr>
            <w:rStyle w:val="Hipervnculo"/>
          </w:rPr>
          <w:t>http://www.elmundo.es/opinion/2014/03/20/532b5084268e3eb20a8b458d.html</w:t>
        </w:r>
      </w:hyperlink>
      <w:r w:rsidRPr="00002F70">
        <w:rPr>
          <w:color w:val="0000FF"/>
        </w:rPr>
        <w:t>.</w:t>
      </w:r>
    </w:p>
  </w:footnote>
  <w:footnote w:id="25">
    <w:p w14:paraId="1B82E3A5" w14:textId="77777777" w:rsidR="007846AF" w:rsidRDefault="007846AF" w:rsidP="00002F70">
      <w:pPr>
        <w:pStyle w:val="Textonotapie"/>
        <w:ind w:left="196" w:right="-159" w:hanging="196"/>
      </w:pPr>
      <w:r w:rsidRPr="00892B93">
        <w:rPr>
          <w:rStyle w:val="Refdenotaalpie"/>
        </w:rPr>
        <w:footnoteRef/>
      </w:r>
      <w:r w:rsidRPr="00892B93">
        <w:t xml:space="preserve"> Para esta propuesta de integración W. </w:t>
      </w:r>
      <w:proofErr w:type="spellStart"/>
      <w:r w:rsidRPr="00892B93">
        <w:t>Carrigan</w:t>
      </w:r>
      <w:proofErr w:type="spellEnd"/>
      <w:r w:rsidRPr="00892B93">
        <w:t xml:space="preserve"> y C. </w:t>
      </w:r>
      <w:proofErr w:type="spellStart"/>
      <w:r w:rsidRPr="00892B93">
        <w:t>Webb</w:t>
      </w:r>
      <w:proofErr w:type="spellEnd"/>
      <w:r w:rsidRPr="00892B93">
        <w:t>, “La reforma de la inmigración y la historia hispana en Estados Unidos de Norteamérica”, 1/03/15,</w:t>
      </w:r>
    </w:p>
    <w:p w14:paraId="429EF6D2" w14:textId="49BE2955" w:rsidR="007846AF" w:rsidRPr="00002F70" w:rsidRDefault="00002F70" w:rsidP="00002F70">
      <w:pPr>
        <w:pStyle w:val="Textonotapie"/>
        <w:ind w:left="196" w:right="-159" w:hanging="196"/>
        <w:jc w:val="both"/>
        <w:rPr>
          <w:color w:val="0000FF"/>
        </w:rPr>
      </w:pPr>
      <w:r>
        <w:rPr>
          <w:color w:val="0000FF"/>
        </w:rPr>
        <w:tab/>
      </w:r>
      <w:hyperlink r:id="rId14" w:history="1">
        <w:r w:rsidR="007846AF" w:rsidRPr="00002F70">
          <w:rPr>
            <w:rStyle w:val="Hipervnculo"/>
          </w:rPr>
          <w:t>http://internacional.elpais.com/internacional/2015/03/01/actualidad/1425166727_525835.html</w:t>
        </w:r>
      </w:hyperlink>
      <w:r w:rsidR="007846AF" w:rsidRPr="00002F70">
        <w:rPr>
          <w:color w:val="0000FF"/>
        </w:rPr>
        <w:t xml:space="preserve">. </w:t>
      </w:r>
    </w:p>
  </w:footnote>
  <w:footnote w:id="26">
    <w:p w14:paraId="34280589" w14:textId="463D26EE" w:rsidR="007846AF" w:rsidRPr="00CC5463" w:rsidRDefault="007846AF" w:rsidP="000A74DB">
      <w:pPr>
        <w:pStyle w:val="Textonotapie"/>
        <w:jc w:val="both"/>
      </w:pPr>
      <w:r w:rsidRPr="00CC5463">
        <w:rPr>
          <w:rStyle w:val="Refdenotaalpie"/>
        </w:rPr>
        <w:footnoteRef/>
      </w:r>
      <w:r w:rsidRPr="00CC5463">
        <w:t xml:space="preserve"> </w:t>
      </w:r>
      <w:r>
        <w:t>É</w:t>
      </w:r>
      <w:r w:rsidRPr="00CC5463">
        <w:t>sta es una estimación con base en el análisis conservador de la Ciudad.</w:t>
      </w:r>
    </w:p>
  </w:footnote>
  <w:footnote w:id="27">
    <w:p w14:paraId="7E691994" w14:textId="77777777" w:rsidR="007846AF" w:rsidRPr="001A572C" w:rsidRDefault="007846AF" w:rsidP="000A74DB">
      <w:pPr>
        <w:pStyle w:val="Textonotapie"/>
      </w:pPr>
      <w:r w:rsidRPr="001A572C">
        <w:rPr>
          <w:rStyle w:val="Refdenotaalpie"/>
        </w:rPr>
        <w:footnoteRef/>
      </w:r>
      <w:r w:rsidRPr="001A572C">
        <w:t xml:space="preserve"> </w:t>
      </w:r>
      <w:proofErr w:type="spellStart"/>
      <w:r w:rsidRPr="001A572C">
        <w:rPr>
          <w:i/>
        </w:rPr>
        <w:t>Amicus</w:t>
      </w:r>
      <w:proofErr w:type="spellEnd"/>
      <w:r w:rsidRPr="001A572C">
        <w:t xml:space="preserve"> </w:t>
      </w:r>
      <w:proofErr w:type="spellStart"/>
      <w:r w:rsidRPr="001A572C">
        <w:rPr>
          <w:i/>
        </w:rPr>
        <w:t>curiae</w:t>
      </w:r>
      <w:proofErr w:type="spellEnd"/>
      <w:r w:rsidRPr="001A572C">
        <w:t xml:space="preserve"> significa amigo de la corte.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BA8AF" w14:textId="77777777" w:rsidR="007846AF" w:rsidRPr="001E1E00" w:rsidRDefault="007846AF" w:rsidP="001E1E00">
    <w:pPr>
      <w:pStyle w:val="Encabezado"/>
      <w:pBdr>
        <w:bottom w:val="single" w:sz="4" w:space="1" w:color="660033"/>
      </w:pBdr>
      <w:tabs>
        <w:tab w:val="clear" w:pos="8504"/>
        <w:tab w:val="left" w:pos="4545"/>
        <w:tab w:val="right" w:pos="8820"/>
      </w:tabs>
      <w:ind w:right="-159"/>
      <w:rPr>
        <w:i/>
        <w:color w:val="660033"/>
        <w:sz w:val="22"/>
        <w:szCs w:val="22"/>
      </w:rPr>
    </w:pPr>
    <w:r w:rsidRPr="001E1E00">
      <w:rPr>
        <w:rStyle w:val="Nmerodepgina"/>
        <w:i/>
        <w:color w:val="660033"/>
        <w:sz w:val="22"/>
        <w:szCs w:val="22"/>
      </w:rPr>
      <w:fldChar w:fldCharType="begin"/>
    </w:r>
    <w:r w:rsidRPr="001E1E00">
      <w:rPr>
        <w:rStyle w:val="Nmerodepgina"/>
        <w:i/>
        <w:color w:val="660033"/>
        <w:sz w:val="22"/>
        <w:szCs w:val="22"/>
      </w:rPr>
      <w:instrText xml:space="preserve"> PAGE </w:instrText>
    </w:r>
    <w:r w:rsidRPr="001E1E00">
      <w:rPr>
        <w:rStyle w:val="Nmerodepgina"/>
        <w:i/>
        <w:color w:val="660033"/>
        <w:sz w:val="22"/>
        <w:szCs w:val="22"/>
      </w:rPr>
      <w:fldChar w:fldCharType="separate"/>
    </w:r>
    <w:r w:rsidR="001E1E00">
      <w:rPr>
        <w:rStyle w:val="Nmerodepgina"/>
        <w:i/>
        <w:noProof/>
        <w:color w:val="660033"/>
        <w:sz w:val="22"/>
        <w:szCs w:val="22"/>
      </w:rPr>
      <w:t>778</w:t>
    </w:r>
    <w:r w:rsidRPr="001E1E00">
      <w:rPr>
        <w:rStyle w:val="Nmerodepgina"/>
        <w:i/>
        <w:color w:val="660033"/>
        <w:sz w:val="22"/>
        <w:szCs w:val="22"/>
      </w:rPr>
      <w:fldChar w:fldCharType="end"/>
    </w:r>
    <w:r w:rsidRPr="001E1E00">
      <w:rPr>
        <w:rStyle w:val="Nmerodepgina"/>
        <w:i/>
        <w:color w:val="660033"/>
        <w:sz w:val="22"/>
        <w:szCs w:val="22"/>
      </w:rPr>
      <w:tab/>
    </w:r>
    <w:r w:rsidRPr="001E1E00">
      <w:rPr>
        <w:rStyle w:val="Nmerodepgina"/>
        <w:i/>
        <w:color w:val="660033"/>
        <w:sz w:val="22"/>
        <w:szCs w:val="22"/>
      </w:rPr>
      <w:tab/>
    </w:r>
    <w:r w:rsidRPr="001E1E00">
      <w:rPr>
        <w:rStyle w:val="Nmerodepgina"/>
        <w:i/>
        <w:color w:val="660033"/>
        <w:sz w:val="22"/>
        <w:szCs w:val="22"/>
      </w:rPr>
      <w:tab/>
    </w:r>
    <w:r w:rsidRPr="001E1E00">
      <w:rPr>
        <w:i/>
        <w:color w:val="660033"/>
        <w:sz w:val="22"/>
        <w:szCs w:val="22"/>
      </w:rPr>
      <w:t>Comisión Nacional de los Salarios Mínimos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D7D1EC" w14:textId="04C87E83" w:rsidR="007846AF" w:rsidRPr="001E1E00" w:rsidRDefault="007846AF" w:rsidP="001E1E00">
    <w:pPr>
      <w:pStyle w:val="Encabezado"/>
      <w:pBdr>
        <w:bottom w:val="single" w:sz="4" w:space="1" w:color="660033"/>
      </w:pBdr>
      <w:tabs>
        <w:tab w:val="clear" w:pos="8504"/>
        <w:tab w:val="right" w:pos="9000"/>
      </w:tabs>
      <w:ind w:right="-159"/>
      <w:rPr>
        <w:i/>
        <w:color w:val="660033"/>
        <w:sz w:val="22"/>
        <w:szCs w:val="22"/>
      </w:rPr>
    </w:pPr>
    <w:r w:rsidRPr="001E1E00">
      <w:rPr>
        <w:i/>
        <w:color w:val="660033"/>
        <w:sz w:val="22"/>
        <w:szCs w:val="22"/>
      </w:rPr>
      <w:t>C</w:t>
    </w:r>
    <w:r w:rsidR="00381ED7" w:rsidRPr="001E1E00">
      <w:rPr>
        <w:i/>
        <w:color w:val="660033"/>
        <w:sz w:val="22"/>
        <w:szCs w:val="22"/>
      </w:rPr>
      <w:t>omercio Exterior</w:t>
    </w:r>
    <w:r w:rsidRPr="001E1E00">
      <w:rPr>
        <w:i/>
        <w:color w:val="660033"/>
        <w:sz w:val="22"/>
        <w:szCs w:val="22"/>
      </w:rPr>
      <w:tab/>
    </w:r>
    <w:r w:rsidRPr="001E1E00">
      <w:rPr>
        <w:i/>
        <w:color w:val="660033"/>
        <w:sz w:val="22"/>
        <w:szCs w:val="22"/>
      </w:rPr>
      <w:tab/>
      <w:t xml:space="preserve">    </w:t>
    </w:r>
    <w:r w:rsidRPr="001E1E00">
      <w:rPr>
        <w:rStyle w:val="Nmerodepgina"/>
        <w:i/>
        <w:color w:val="660033"/>
        <w:sz w:val="22"/>
        <w:szCs w:val="22"/>
      </w:rPr>
      <w:fldChar w:fldCharType="begin"/>
    </w:r>
    <w:r w:rsidRPr="001E1E00">
      <w:rPr>
        <w:rStyle w:val="Nmerodepgina"/>
        <w:i/>
        <w:color w:val="660033"/>
        <w:sz w:val="22"/>
        <w:szCs w:val="22"/>
      </w:rPr>
      <w:instrText xml:space="preserve"> PAGE </w:instrText>
    </w:r>
    <w:r w:rsidRPr="001E1E00">
      <w:rPr>
        <w:rStyle w:val="Nmerodepgina"/>
        <w:i/>
        <w:color w:val="660033"/>
        <w:sz w:val="22"/>
        <w:szCs w:val="22"/>
      </w:rPr>
      <w:fldChar w:fldCharType="separate"/>
    </w:r>
    <w:r w:rsidR="001E1E00">
      <w:rPr>
        <w:rStyle w:val="Nmerodepgina"/>
        <w:i/>
        <w:noProof/>
        <w:color w:val="660033"/>
        <w:sz w:val="22"/>
        <w:szCs w:val="22"/>
      </w:rPr>
      <w:t>779</w:t>
    </w:r>
    <w:r w:rsidRPr="001E1E00">
      <w:rPr>
        <w:rStyle w:val="Nmerodepgina"/>
        <w:i/>
        <w:color w:val="660033"/>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BA526B70"/>
    <w:lvl w:ilvl="0">
      <w:start w:val="1"/>
      <w:numFmt w:val="decimal"/>
      <w:pStyle w:val="Listaconnmeros2"/>
      <w:lvlText w:val="%1."/>
      <w:lvlJc w:val="left"/>
      <w:pPr>
        <w:tabs>
          <w:tab w:val="num" w:pos="643"/>
        </w:tabs>
        <w:ind w:left="643" w:hanging="360"/>
      </w:pPr>
    </w:lvl>
  </w:abstractNum>
  <w:abstractNum w:abstractNumId="1">
    <w:nsid w:val="FFFFFF81"/>
    <w:multiLevelType w:val="singleLevel"/>
    <w:tmpl w:val="A2C00A2E"/>
    <w:lvl w:ilvl="0">
      <w:start w:val="1"/>
      <w:numFmt w:val="bullet"/>
      <w:pStyle w:val="Listaconvietas4"/>
      <w:lvlText w:val=""/>
      <w:lvlJc w:val="left"/>
      <w:pPr>
        <w:tabs>
          <w:tab w:val="num" w:pos="1209"/>
        </w:tabs>
        <w:ind w:left="1209" w:hanging="360"/>
      </w:pPr>
      <w:rPr>
        <w:rFonts w:ascii="Symbol" w:hAnsi="Symbol" w:hint="default"/>
      </w:rPr>
    </w:lvl>
  </w:abstractNum>
  <w:abstractNum w:abstractNumId="2">
    <w:nsid w:val="FFFFFF82"/>
    <w:multiLevelType w:val="singleLevel"/>
    <w:tmpl w:val="AB2C4894"/>
    <w:styleLink w:val="111111122"/>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3"/>
    <w:multiLevelType w:val="singleLevel"/>
    <w:tmpl w:val="A2028E78"/>
    <w:styleLink w:val="1111112121"/>
    <w:lvl w:ilvl="0">
      <w:start w:val="1"/>
      <w:numFmt w:val="bullet"/>
      <w:pStyle w:val="Listaconvietas2"/>
      <w:lvlText w:val=""/>
      <w:lvlJc w:val="left"/>
      <w:pPr>
        <w:tabs>
          <w:tab w:val="num" w:pos="720"/>
        </w:tabs>
        <w:ind w:left="720" w:hanging="360"/>
      </w:pPr>
      <w:rPr>
        <w:rFonts w:ascii="Symbol" w:hAnsi="Symbol" w:hint="default"/>
      </w:rPr>
    </w:lvl>
  </w:abstractNum>
  <w:abstractNum w:abstractNumId="4">
    <w:nsid w:val="FFFFFF89"/>
    <w:multiLevelType w:val="singleLevel"/>
    <w:tmpl w:val="2592C078"/>
    <w:lvl w:ilvl="0">
      <w:start w:val="1"/>
      <w:numFmt w:val="bullet"/>
      <w:pStyle w:val="Listaconvietas"/>
      <w:lvlText w:val=""/>
      <w:lvlJc w:val="left"/>
      <w:pPr>
        <w:tabs>
          <w:tab w:val="num" w:pos="360"/>
        </w:tabs>
        <w:ind w:left="360" w:hanging="360"/>
      </w:pPr>
      <w:rPr>
        <w:rFonts w:ascii="Symbol" w:hAnsi="Symbol" w:hint="default"/>
      </w:rPr>
    </w:lvl>
  </w:abstractNum>
  <w:abstractNum w:abstractNumId="5">
    <w:nsid w:val="010669AE"/>
    <w:multiLevelType w:val="hybridMultilevel"/>
    <w:tmpl w:val="FEF82AFC"/>
    <w:lvl w:ilvl="0" w:tplc="7520DBFC">
      <w:start w:val="1"/>
      <w:numFmt w:val="bullet"/>
      <w:lvlText w:val="–"/>
      <w:lvlJc w:val="left"/>
      <w:pPr>
        <w:ind w:left="1008" w:hanging="360"/>
      </w:pPr>
      <w:rPr>
        <w:rFonts w:ascii="Times New Roman" w:hAnsi="Times New Roman" w:cs="Times New Roman" w:hint="default"/>
        <w:sz w:val="24"/>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6">
    <w:nsid w:val="014C6262"/>
    <w:multiLevelType w:val="hybridMultilevel"/>
    <w:tmpl w:val="16C4B478"/>
    <w:lvl w:ilvl="0" w:tplc="080A0005">
      <w:start w:val="1"/>
      <w:numFmt w:val="bullet"/>
      <w:lvlText w:val=""/>
      <w:lvlJc w:val="left"/>
      <w:pPr>
        <w:ind w:left="720" w:hanging="360"/>
      </w:pPr>
      <w:rPr>
        <w:rFonts w:ascii="Wingdings" w:hAnsi="Wingdings" w:hint="default"/>
      </w:rPr>
    </w:lvl>
    <w:lvl w:ilvl="1" w:tplc="080A0005">
      <w:start w:val="1"/>
      <w:numFmt w:val="bullet"/>
      <w:lvlText w:val=""/>
      <w:lvlJc w:val="left"/>
      <w:pPr>
        <w:ind w:left="1440" w:hanging="360"/>
      </w:pPr>
      <w:rPr>
        <w:rFonts w:ascii="Wingdings" w:hAnsi="Wingdings"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02A760C8"/>
    <w:multiLevelType w:val="singleLevel"/>
    <w:tmpl w:val="6978A7C0"/>
    <w:styleLink w:val="11111114"/>
    <w:lvl w:ilvl="0">
      <w:start w:val="1"/>
      <w:numFmt w:val="bullet"/>
      <w:lvlText w:val=""/>
      <w:lvlJc w:val="left"/>
      <w:pPr>
        <w:tabs>
          <w:tab w:val="num" w:pos="360"/>
        </w:tabs>
        <w:ind w:left="360" w:hanging="360"/>
      </w:pPr>
      <w:rPr>
        <w:rFonts w:ascii="Symbol" w:hAnsi="Symbol" w:hint="default"/>
        <w:sz w:val="28"/>
      </w:rPr>
    </w:lvl>
  </w:abstractNum>
  <w:abstractNum w:abstractNumId="8">
    <w:nsid w:val="03324292"/>
    <w:multiLevelType w:val="hybridMultilevel"/>
    <w:tmpl w:val="29AAD4A0"/>
    <w:lvl w:ilvl="0" w:tplc="080A001B">
      <w:start w:val="1"/>
      <w:numFmt w:val="low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038F225A"/>
    <w:multiLevelType w:val="hybridMultilevel"/>
    <w:tmpl w:val="30DCB6D0"/>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039A66FE"/>
    <w:multiLevelType w:val="hybridMultilevel"/>
    <w:tmpl w:val="F89614BA"/>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03AD38EC"/>
    <w:multiLevelType w:val="hybridMultilevel"/>
    <w:tmpl w:val="186ADAFC"/>
    <w:lvl w:ilvl="0" w:tplc="07128468">
      <w:start w:val="6"/>
      <w:numFmt w:val="lowerLetter"/>
      <w:lvlText w:val="%1)"/>
      <w:lvlJc w:val="left"/>
      <w:pPr>
        <w:ind w:left="830" w:hanging="360"/>
      </w:pPr>
      <w:rPr>
        <w:rFonts w:hint="default"/>
      </w:rPr>
    </w:lvl>
    <w:lvl w:ilvl="1" w:tplc="080A0019" w:tentative="1">
      <w:start w:val="1"/>
      <w:numFmt w:val="lowerLetter"/>
      <w:lvlText w:val="%2."/>
      <w:lvlJc w:val="left"/>
      <w:pPr>
        <w:ind w:left="1550" w:hanging="360"/>
      </w:pPr>
    </w:lvl>
    <w:lvl w:ilvl="2" w:tplc="080A001B" w:tentative="1">
      <w:start w:val="1"/>
      <w:numFmt w:val="lowerRoman"/>
      <w:lvlText w:val="%3."/>
      <w:lvlJc w:val="right"/>
      <w:pPr>
        <w:ind w:left="2270" w:hanging="180"/>
      </w:pPr>
    </w:lvl>
    <w:lvl w:ilvl="3" w:tplc="080A000F" w:tentative="1">
      <w:start w:val="1"/>
      <w:numFmt w:val="decimal"/>
      <w:lvlText w:val="%4."/>
      <w:lvlJc w:val="left"/>
      <w:pPr>
        <w:ind w:left="2990" w:hanging="360"/>
      </w:pPr>
    </w:lvl>
    <w:lvl w:ilvl="4" w:tplc="080A0019" w:tentative="1">
      <w:start w:val="1"/>
      <w:numFmt w:val="lowerLetter"/>
      <w:lvlText w:val="%5."/>
      <w:lvlJc w:val="left"/>
      <w:pPr>
        <w:ind w:left="3710" w:hanging="360"/>
      </w:pPr>
    </w:lvl>
    <w:lvl w:ilvl="5" w:tplc="080A001B" w:tentative="1">
      <w:start w:val="1"/>
      <w:numFmt w:val="lowerRoman"/>
      <w:lvlText w:val="%6."/>
      <w:lvlJc w:val="right"/>
      <w:pPr>
        <w:ind w:left="4430" w:hanging="180"/>
      </w:pPr>
    </w:lvl>
    <w:lvl w:ilvl="6" w:tplc="080A000F" w:tentative="1">
      <w:start w:val="1"/>
      <w:numFmt w:val="decimal"/>
      <w:lvlText w:val="%7."/>
      <w:lvlJc w:val="left"/>
      <w:pPr>
        <w:ind w:left="5150" w:hanging="360"/>
      </w:pPr>
    </w:lvl>
    <w:lvl w:ilvl="7" w:tplc="080A0019" w:tentative="1">
      <w:start w:val="1"/>
      <w:numFmt w:val="lowerLetter"/>
      <w:lvlText w:val="%8."/>
      <w:lvlJc w:val="left"/>
      <w:pPr>
        <w:ind w:left="5870" w:hanging="360"/>
      </w:pPr>
    </w:lvl>
    <w:lvl w:ilvl="8" w:tplc="080A001B" w:tentative="1">
      <w:start w:val="1"/>
      <w:numFmt w:val="lowerRoman"/>
      <w:lvlText w:val="%9."/>
      <w:lvlJc w:val="right"/>
      <w:pPr>
        <w:ind w:left="6590" w:hanging="180"/>
      </w:pPr>
    </w:lvl>
  </w:abstractNum>
  <w:abstractNum w:abstractNumId="12">
    <w:nsid w:val="03ED418D"/>
    <w:multiLevelType w:val="hybridMultilevel"/>
    <w:tmpl w:val="0DCA6E66"/>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
    <w:nsid w:val="04240CCD"/>
    <w:multiLevelType w:val="hybridMultilevel"/>
    <w:tmpl w:val="95CEA896"/>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043E65FB"/>
    <w:multiLevelType w:val="hybridMultilevel"/>
    <w:tmpl w:val="50928356"/>
    <w:lvl w:ilvl="0" w:tplc="E654A1BE">
      <w:start w:val="1"/>
      <w:numFmt w:val="bullet"/>
      <w:lvlText w:val=""/>
      <w:lvlJc w:val="left"/>
      <w:pPr>
        <w:ind w:left="720" w:hanging="360"/>
      </w:pPr>
      <w:rPr>
        <w:rFonts w:ascii="Symbol" w:hAnsi="Symbol" w:hint="default"/>
      </w:rPr>
    </w:lvl>
    <w:lvl w:ilvl="1" w:tplc="5D38ACC4">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045B5845"/>
    <w:multiLevelType w:val="hybridMultilevel"/>
    <w:tmpl w:val="2B0007F2"/>
    <w:lvl w:ilvl="0" w:tplc="4420CF3C">
      <w:start w:val="1"/>
      <w:numFmt w:val="decimal"/>
      <w:lvlText w:val="%1."/>
      <w:lvlJc w:val="left"/>
      <w:pPr>
        <w:ind w:left="1008" w:hanging="360"/>
      </w:pPr>
      <w:rPr>
        <w:rFonts w:hint="default"/>
        <w:b w:val="0"/>
        <w:i w:val="0"/>
        <w:color w:val="auto"/>
        <w:sz w:val="26"/>
      </w:rPr>
    </w:lvl>
    <w:lvl w:ilvl="1" w:tplc="080A0019" w:tentative="1">
      <w:start w:val="1"/>
      <w:numFmt w:val="lowerLetter"/>
      <w:lvlText w:val="%2."/>
      <w:lvlJc w:val="left"/>
      <w:pPr>
        <w:ind w:left="1728" w:hanging="360"/>
      </w:pPr>
    </w:lvl>
    <w:lvl w:ilvl="2" w:tplc="080A001B" w:tentative="1">
      <w:start w:val="1"/>
      <w:numFmt w:val="lowerRoman"/>
      <w:lvlText w:val="%3."/>
      <w:lvlJc w:val="right"/>
      <w:pPr>
        <w:ind w:left="2448" w:hanging="180"/>
      </w:pPr>
    </w:lvl>
    <w:lvl w:ilvl="3" w:tplc="080A000F" w:tentative="1">
      <w:start w:val="1"/>
      <w:numFmt w:val="decimal"/>
      <w:lvlText w:val="%4."/>
      <w:lvlJc w:val="left"/>
      <w:pPr>
        <w:ind w:left="3168" w:hanging="360"/>
      </w:pPr>
    </w:lvl>
    <w:lvl w:ilvl="4" w:tplc="080A0019" w:tentative="1">
      <w:start w:val="1"/>
      <w:numFmt w:val="lowerLetter"/>
      <w:lvlText w:val="%5."/>
      <w:lvlJc w:val="left"/>
      <w:pPr>
        <w:ind w:left="3888" w:hanging="360"/>
      </w:pPr>
    </w:lvl>
    <w:lvl w:ilvl="5" w:tplc="080A001B" w:tentative="1">
      <w:start w:val="1"/>
      <w:numFmt w:val="lowerRoman"/>
      <w:lvlText w:val="%6."/>
      <w:lvlJc w:val="right"/>
      <w:pPr>
        <w:ind w:left="4608" w:hanging="180"/>
      </w:pPr>
    </w:lvl>
    <w:lvl w:ilvl="6" w:tplc="080A000F" w:tentative="1">
      <w:start w:val="1"/>
      <w:numFmt w:val="decimal"/>
      <w:lvlText w:val="%7."/>
      <w:lvlJc w:val="left"/>
      <w:pPr>
        <w:ind w:left="5328" w:hanging="360"/>
      </w:pPr>
    </w:lvl>
    <w:lvl w:ilvl="7" w:tplc="080A0019" w:tentative="1">
      <w:start w:val="1"/>
      <w:numFmt w:val="lowerLetter"/>
      <w:lvlText w:val="%8."/>
      <w:lvlJc w:val="left"/>
      <w:pPr>
        <w:ind w:left="6048" w:hanging="360"/>
      </w:pPr>
    </w:lvl>
    <w:lvl w:ilvl="8" w:tplc="080A001B" w:tentative="1">
      <w:start w:val="1"/>
      <w:numFmt w:val="lowerRoman"/>
      <w:lvlText w:val="%9."/>
      <w:lvlJc w:val="right"/>
      <w:pPr>
        <w:ind w:left="6768" w:hanging="180"/>
      </w:pPr>
    </w:lvl>
  </w:abstractNum>
  <w:abstractNum w:abstractNumId="16">
    <w:nsid w:val="04776FA3"/>
    <w:multiLevelType w:val="hybridMultilevel"/>
    <w:tmpl w:val="93EC457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7">
    <w:nsid w:val="04E61AE8"/>
    <w:multiLevelType w:val="hybridMultilevel"/>
    <w:tmpl w:val="37B8DFEA"/>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8">
    <w:nsid w:val="053C00B6"/>
    <w:multiLevelType w:val="hybridMultilevel"/>
    <w:tmpl w:val="EEA0355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063F5FAC"/>
    <w:multiLevelType w:val="hybridMultilevel"/>
    <w:tmpl w:val="76E01392"/>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071A2032"/>
    <w:multiLevelType w:val="hybridMultilevel"/>
    <w:tmpl w:val="CD34BEC6"/>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1">
    <w:nsid w:val="073B2070"/>
    <w:multiLevelType w:val="hybridMultilevel"/>
    <w:tmpl w:val="4D04F5F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081C3F12"/>
    <w:multiLevelType w:val="hybridMultilevel"/>
    <w:tmpl w:val="BED8E8F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08B065C7"/>
    <w:multiLevelType w:val="hybridMultilevel"/>
    <w:tmpl w:val="2FE00C9E"/>
    <w:lvl w:ilvl="0" w:tplc="E654A1BE">
      <w:start w:val="1"/>
      <w:numFmt w:val="bullet"/>
      <w:lvlText w:val=""/>
      <w:lvlJc w:val="left"/>
      <w:pPr>
        <w:ind w:left="720" w:hanging="360"/>
      </w:pPr>
      <w:rPr>
        <w:rFonts w:ascii="Symbol" w:hAnsi="Symbol" w:hint="default"/>
      </w:rPr>
    </w:lvl>
    <w:lvl w:ilvl="1" w:tplc="49FE2694">
      <w:start w:val="3"/>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0B1026E1"/>
    <w:multiLevelType w:val="hybridMultilevel"/>
    <w:tmpl w:val="688638CC"/>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0B4E6E53"/>
    <w:multiLevelType w:val="hybridMultilevel"/>
    <w:tmpl w:val="E9DACF1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nsid w:val="0BE2036D"/>
    <w:multiLevelType w:val="hybridMultilevel"/>
    <w:tmpl w:val="3DF8E34E"/>
    <w:lvl w:ilvl="0" w:tplc="A41C4156">
      <w:start w:val="1"/>
      <w:numFmt w:val="bullet"/>
      <w:lvlText w:val="–"/>
      <w:lvlJc w:val="left"/>
      <w:pPr>
        <w:ind w:left="-1068" w:hanging="360"/>
      </w:pPr>
      <w:rPr>
        <w:rFonts w:ascii="Vrinda" w:hAnsi="Vrinda" w:hint="default"/>
        <w:sz w:val="24"/>
      </w:rPr>
    </w:lvl>
    <w:lvl w:ilvl="1" w:tplc="B14AE8D8">
      <w:start w:val="3"/>
      <w:numFmt w:val="bullet"/>
      <w:lvlText w:val="–"/>
      <w:lvlJc w:val="left"/>
      <w:pPr>
        <w:ind w:left="-348" w:hanging="360"/>
      </w:pPr>
      <w:rPr>
        <w:rFonts w:ascii="Times New Roman" w:eastAsiaTheme="minorHAnsi" w:hAnsi="Times New Roman" w:cs="Times New Roman" w:hint="default"/>
      </w:rPr>
    </w:lvl>
    <w:lvl w:ilvl="2" w:tplc="080A0005" w:tentative="1">
      <w:start w:val="1"/>
      <w:numFmt w:val="bullet"/>
      <w:lvlText w:val=""/>
      <w:lvlJc w:val="left"/>
      <w:pPr>
        <w:ind w:left="372" w:hanging="360"/>
      </w:pPr>
      <w:rPr>
        <w:rFonts w:ascii="Wingdings" w:hAnsi="Wingdings" w:hint="default"/>
      </w:rPr>
    </w:lvl>
    <w:lvl w:ilvl="3" w:tplc="080A0001" w:tentative="1">
      <w:start w:val="1"/>
      <w:numFmt w:val="bullet"/>
      <w:lvlText w:val=""/>
      <w:lvlJc w:val="left"/>
      <w:pPr>
        <w:ind w:left="1092" w:hanging="360"/>
      </w:pPr>
      <w:rPr>
        <w:rFonts w:ascii="Symbol" w:hAnsi="Symbol" w:hint="default"/>
      </w:rPr>
    </w:lvl>
    <w:lvl w:ilvl="4" w:tplc="080A0003" w:tentative="1">
      <w:start w:val="1"/>
      <w:numFmt w:val="bullet"/>
      <w:lvlText w:val="o"/>
      <w:lvlJc w:val="left"/>
      <w:pPr>
        <w:ind w:left="1812" w:hanging="360"/>
      </w:pPr>
      <w:rPr>
        <w:rFonts w:ascii="Courier New" w:hAnsi="Courier New" w:cs="Courier New" w:hint="default"/>
      </w:rPr>
    </w:lvl>
    <w:lvl w:ilvl="5" w:tplc="080A0005" w:tentative="1">
      <w:start w:val="1"/>
      <w:numFmt w:val="bullet"/>
      <w:lvlText w:val=""/>
      <w:lvlJc w:val="left"/>
      <w:pPr>
        <w:ind w:left="2532" w:hanging="360"/>
      </w:pPr>
      <w:rPr>
        <w:rFonts w:ascii="Wingdings" w:hAnsi="Wingdings" w:hint="default"/>
      </w:rPr>
    </w:lvl>
    <w:lvl w:ilvl="6" w:tplc="080A0001" w:tentative="1">
      <w:start w:val="1"/>
      <w:numFmt w:val="bullet"/>
      <w:lvlText w:val=""/>
      <w:lvlJc w:val="left"/>
      <w:pPr>
        <w:ind w:left="3252" w:hanging="360"/>
      </w:pPr>
      <w:rPr>
        <w:rFonts w:ascii="Symbol" w:hAnsi="Symbol" w:hint="default"/>
      </w:rPr>
    </w:lvl>
    <w:lvl w:ilvl="7" w:tplc="080A0003" w:tentative="1">
      <w:start w:val="1"/>
      <w:numFmt w:val="bullet"/>
      <w:lvlText w:val="o"/>
      <w:lvlJc w:val="left"/>
      <w:pPr>
        <w:ind w:left="3972" w:hanging="360"/>
      </w:pPr>
      <w:rPr>
        <w:rFonts w:ascii="Courier New" w:hAnsi="Courier New" w:cs="Courier New" w:hint="default"/>
      </w:rPr>
    </w:lvl>
    <w:lvl w:ilvl="8" w:tplc="080A0005" w:tentative="1">
      <w:start w:val="1"/>
      <w:numFmt w:val="bullet"/>
      <w:lvlText w:val=""/>
      <w:lvlJc w:val="left"/>
      <w:pPr>
        <w:ind w:left="4692" w:hanging="360"/>
      </w:pPr>
      <w:rPr>
        <w:rFonts w:ascii="Wingdings" w:hAnsi="Wingdings" w:hint="default"/>
      </w:rPr>
    </w:lvl>
  </w:abstractNum>
  <w:abstractNum w:abstractNumId="27">
    <w:nsid w:val="0C6B10B4"/>
    <w:multiLevelType w:val="hybridMultilevel"/>
    <w:tmpl w:val="A1F4B7D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8">
    <w:nsid w:val="0C750696"/>
    <w:multiLevelType w:val="hybridMultilevel"/>
    <w:tmpl w:val="B23ADF32"/>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9">
    <w:nsid w:val="0D470919"/>
    <w:multiLevelType w:val="hybridMultilevel"/>
    <w:tmpl w:val="60701828"/>
    <w:styleLink w:val="111111142"/>
    <w:lvl w:ilvl="0" w:tplc="F57E94BA">
      <w:start w:val="1"/>
      <w:numFmt w:val="bullet"/>
      <w:lvlText w:val="-"/>
      <w:lvlJc w:val="left"/>
      <w:pPr>
        <w:tabs>
          <w:tab w:val="num" w:pos="720"/>
        </w:tabs>
        <w:ind w:left="720" w:hanging="360"/>
      </w:pPr>
      <w:rPr>
        <w:rFonts w:ascii="Vladimir Script" w:hAnsi="Vladimir Script"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0">
    <w:nsid w:val="0ED377C5"/>
    <w:multiLevelType w:val="hybridMultilevel"/>
    <w:tmpl w:val="39025E24"/>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1">
    <w:nsid w:val="0F8B6779"/>
    <w:multiLevelType w:val="hybridMultilevel"/>
    <w:tmpl w:val="C8CCACD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nsid w:val="10E30907"/>
    <w:multiLevelType w:val="hybridMultilevel"/>
    <w:tmpl w:val="1BE6A3E8"/>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11243C34"/>
    <w:multiLevelType w:val="hybridMultilevel"/>
    <w:tmpl w:val="5BD43F66"/>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4">
    <w:nsid w:val="11FD3EE8"/>
    <w:multiLevelType w:val="hybridMultilevel"/>
    <w:tmpl w:val="F34E83C0"/>
    <w:lvl w:ilvl="0" w:tplc="A41C4156">
      <w:start w:val="1"/>
      <w:numFmt w:val="bullet"/>
      <w:lvlText w:val="–"/>
      <w:lvlJc w:val="left"/>
      <w:pPr>
        <w:ind w:left="360" w:hanging="360"/>
      </w:pPr>
      <w:rPr>
        <w:rFonts w:ascii="Vrinda" w:hAnsi="Vrinda"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5">
    <w:nsid w:val="126015CC"/>
    <w:multiLevelType w:val="hybridMultilevel"/>
    <w:tmpl w:val="FC2CCB36"/>
    <w:lvl w:ilvl="0" w:tplc="E654A1BE">
      <w:start w:val="1"/>
      <w:numFmt w:val="bullet"/>
      <w:lvlText w:val=""/>
      <w:lvlJc w:val="left"/>
      <w:pPr>
        <w:ind w:left="720" w:hanging="360"/>
      </w:pPr>
      <w:rPr>
        <w:rFonts w:ascii="Symbol" w:hAnsi="Symbol" w:hint="default"/>
      </w:rPr>
    </w:lvl>
    <w:lvl w:ilvl="1" w:tplc="C818FEF8">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12737A20"/>
    <w:multiLevelType w:val="hybridMultilevel"/>
    <w:tmpl w:val="68DC60D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7">
    <w:nsid w:val="12A90822"/>
    <w:multiLevelType w:val="hybridMultilevel"/>
    <w:tmpl w:val="AC443DB4"/>
    <w:lvl w:ilvl="0" w:tplc="91F25FC6">
      <w:start w:val="1"/>
      <w:numFmt w:val="upperRoman"/>
      <w:lvlText w:val="%1."/>
      <w:lvlJc w:val="left"/>
      <w:pPr>
        <w:ind w:left="720" w:hanging="720"/>
      </w:pPr>
      <w:rPr>
        <w:rFonts w:hint="default"/>
        <w:b w:val="0"/>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8">
    <w:nsid w:val="132A657A"/>
    <w:multiLevelType w:val="multilevel"/>
    <w:tmpl w:val="74DE0B7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9">
    <w:nsid w:val="13487507"/>
    <w:multiLevelType w:val="hybridMultilevel"/>
    <w:tmpl w:val="A268FCEC"/>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nsid w:val="13C636B7"/>
    <w:multiLevelType w:val="hybridMultilevel"/>
    <w:tmpl w:val="B75E387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nsid w:val="15383E0C"/>
    <w:multiLevelType w:val="hybridMultilevel"/>
    <w:tmpl w:val="A0B26F3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nsid w:val="16B85466"/>
    <w:multiLevelType w:val="hybridMultilevel"/>
    <w:tmpl w:val="B1466566"/>
    <w:lvl w:ilvl="0" w:tplc="080A0005">
      <w:start w:val="1"/>
      <w:numFmt w:val="bullet"/>
      <w:lvlText w:val=""/>
      <w:lvlJc w:val="left"/>
      <w:pPr>
        <w:ind w:left="360" w:hanging="360"/>
      </w:pPr>
      <w:rPr>
        <w:rFonts w:ascii="Wingdings" w:hAnsi="Wingdings" w:hint="default"/>
        <w:sz w:val="24"/>
      </w:rPr>
    </w:lvl>
    <w:lvl w:ilvl="1" w:tplc="080A0005">
      <w:start w:val="1"/>
      <w:numFmt w:val="bullet"/>
      <w:lvlText w:val=""/>
      <w:lvlJc w:val="left"/>
      <w:pPr>
        <w:ind w:left="1080" w:hanging="360"/>
      </w:pPr>
      <w:rPr>
        <w:rFonts w:ascii="Wingdings" w:hAnsi="Wingdings" w:hint="default"/>
        <w:sz w:val="24"/>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3">
    <w:nsid w:val="17085024"/>
    <w:multiLevelType w:val="hybridMultilevel"/>
    <w:tmpl w:val="5A62D89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nsid w:val="18036C5F"/>
    <w:multiLevelType w:val="hybridMultilevel"/>
    <w:tmpl w:val="88FCBF42"/>
    <w:lvl w:ilvl="0" w:tplc="A41C4156">
      <w:start w:val="1"/>
      <w:numFmt w:val="bullet"/>
      <w:lvlText w:val="–"/>
      <w:lvlJc w:val="left"/>
      <w:pPr>
        <w:ind w:left="360" w:hanging="360"/>
      </w:pPr>
      <w:rPr>
        <w:rFonts w:ascii="Vrinda" w:hAnsi="Vrinda"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5">
    <w:nsid w:val="181C1064"/>
    <w:multiLevelType w:val="hybridMultilevel"/>
    <w:tmpl w:val="508459B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18AE0BAA"/>
    <w:multiLevelType w:val="hybridMultilevel"/>
    <w:tmpl w:val="E6DC1962"/>
    <w:lvl w:ilvl="0" w:tplc="080A0015">
      <w:start w:val="1"/>
      <w:numFmt w:val="upp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7">
    <w:nsid w:val="19016E2A"/>
    <w:multiLevelType w:val="multilevel"/>
    <w:tmpl w:val="0C0A001F"/>
    <w:styleLink w:val="111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8">
    <w:nsid w:val="1A7820A3"/>
    <w:multiLevelType w:val="hybridMultilevel"/>
    <w:tmpl w:val="784EB0A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1ABC6539"/>
    <w:multiLevelType w:val="hybridMultilevel"/>
    <w:tmpl w:val="06461076"/>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0">
    <w:nsid w:val="1B5F4E9D"/>
    <w:multiLevelType w:val="hybridMultilevel"/>
    <w:tmpl w:val="33246E2E"/>
    <w:lvl w:ilvl="0" w:tplc="52DC1858">
      <w:start w:val="1"/>
      <w:numFmt w:val="decimal"/>
      <w:lvlText w:val="%1."/>
      <w:lvlJc w:val="left"/>
      <w:pPr>
        <w:ind w:left="720" w:hanging="360"/>
      </w:pPr>
      <w:rPr>
        <w:rFonts w:ascii="Times New Roman" w:hAnsi="Times New Roman" w:hint="default"/>
        <w:sz w:val="26"/>
        <w:szCs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1">
    <w:nsid w:val="1BF77B2B"/>
    <w:multiLevelType w:val="hybridMultilevel"/>
    <w:tmpl w:val="21480D6C"/>
    <w:lvl w:ilvl="0" w:tplc="DA7C6524">
      <w:start w:val="1"/>
      <w:numFmt w:val="decimal"/>
      <w:lvlText w:val="%1."/>
      <w:lvlJc w:val="left"/>
      <w:pPr>
        <w:ind w:left="720" w:hanging="360"/>
      </w:pPr>
      <w:rPr>
        <w:rFonts w:ascii="Times New Roman" w:hAnsi="Times New Roman" w:hint="default"/>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6A5476B2">
      <w:start w:val="1"/>
      <w:numFmt w:val="decimal"/>
      <w:lvlText w:val="%4."/>
      <w:lvlJc w:val="left"/>
      <w:pPr>
        <w:ind w:left="2880" w:hanging="360"/>
      </w:pPr>
      <w:rPr>
        <w:rFonts w:ascii="Times New Roman" w:hAnsi="Times New Roman" w:hint="default"/>
        <w:b w:val="0"/>
        <w:i w:val="0"/>
        <w:sz w:val="26"/>
      </w:r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nsid w:val="1C4365E5"/>
    <w:multiLevelType w:val="hybridMultilevel"/>
    <w:tmpl w:val="B3E87E94"/>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3">
    <w:nsid w:val="1D7D687D"/>
    <w:multiLevelType w:val="hybridMultilevel"/>
    <w:tmpl w:val="42DC73D8"/>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4">
    <w:nsid w:val="1DE463C8"/>
    <w:multiLevelType w:val="hybridMultilevel"/>
    <w:tmpl w:val="52B2FDF2"/>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nsid w:val="1E0D1A6E"/>
    <w:multiLevelType w:val="hybridMultilevel"/>
    <w:tmpl w:val="22A6B688"/>
    <w:lvl w:ilvl="0" w:tplc="4420CF3C">
      <w:start w:val="1"/>
      <w:numFmt w:val="decimal"/>
      <w:lvlText w:val="%1."/>
      <w:lvlJc w:val="left"/>
      <w:pPr>
        <w:ind w:left="720" w:hanging="360"/>
      </w:pPr>
      <w:rPr>
        <w:rFonts w:hint="default"/>
        <w:b w:val="0"/>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nsid w:val="1F4A15A5"/>
    <w:multiLevelType w:val="hybridMultilevel"/>
    <w:tmpl w:val="8428873C"/>
    <w:lvl w:ilvl="0" w:tplc="E654A1BE">
      <w:start w:val="1"/>
      <w:numFmt w:val="bullet"/>
      <w:lvlText w:val=""/>
      <w:lvlJc w:val="left"/>
      <w:pPr>
        <w:ind w:left="720" w:hanging="360"/>
      </w:pPr>
      <w:rPr>
        <w:rFonts w:ascii="Symbol" w:hAnsi="Symbol" w:hint="default"/>
      </w:rPr>
    </w:lvl>
    <w:lvl w:ilvl="1" w:tplc="8238193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nsid w:val="1FFC518B"/>
    <w:multiLevelType w:val="hybridMultilevel"/>
    <w:tmpl w:val="F90AA23C"/>
    <w:lvl w:ilvl="0" w:tplc="AD90E8EA">
      <w:start w:val="1"/>
      <w:numFmt w:val="bullet"/>
      <w:lvlText w:val="-"/>
      <w:lvlJc w:val="left"/>
      <w:pPr>
        <w:ind w:left="1440" w:hanging="360"/>
      </w:pPr>
      <w:rPr>
        <w:rFonts w:ascii="Courier New" w:hAnsi="Courier New"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8">
    <w:nsid w:val="21336BE7"/>
    <w:multiLevelType w:val="hybridMultilevel"/>
    <w:tmpl w:val="BC0CB07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nsid w:val="218D57A5"/>
    <w:multiLevelType w:val="hybridMultilevel"/>
    <w:tmpl w:val="4364EA52"/>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0">
    <w:nsid w:val="224C7F8C"/>
    <w:multiLevelType w:val="hybridMultilevel"/>
    <w:tmpl w:val="0A140990"/>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1">
    <w:nsid w:val="229A3551"/>
    <w:multiLevelType w:val="hybridMultilevel"/>
    <w:tmpl w:val="5A8E4F16"/>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nsid w:val="22F134CC"/>
    <w:multiLevelType w:val="hybridMultilevel"/>
    <w:tmpl w:val="85A6C5E6"/>
    <w:lvl w:ilvl="0" w:tplc="8ED02F22">
      <w:start w:val="1"/>
      <w:numFmt w:val="decimal"/>
      <w:lvlText w:val="%1."/>
      <w:lvlJc w:val="left"/>
      <w:pPr>
        <w:ind w:left="720" w:hanging="360"/>
      </w:pPr>
      <w:rPr>
        <w:rFonts w:ascii="Times New Roman" w:hAnsi="Times New Roman" w:cs="Tahoma" w:hint="default"/>
        <w:b w:val="0"/>
        <w:i w:val="0"/>
        <w:snapToGrid/>
        <w:spacing w:val="16"/>
        <w:sz w:val="26"/>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nsid w:val="23EE19A4"/>
    <w:multiLevelType w:val="hybridMultilevel"/>
    <w:tmpl w:val="B4408604"/>
    <w:lvl w:ilvl="0" w:tplc="B14AE8D8">
      <w:start w:val="3"/>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4">
    <w:nsid w:val="256015D5"/>
    <w:multiLevelType w:val="hybridMultilevel"/>
    <w:tmpl w:val="85404C74"/>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nsid w:val="265C6305"/>
    <w:multiLevelType w:val="hybridMultilevel"/>
    <w:tmpl w:val="F04A0100"/>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nsid w:val="27022E14"/>
    <w:multiLevelType w:val="multilevel"/>
    <w:tmpl w:val="C9B80DCC"/>
    <w:styleLink w:val="1111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28446241"/>
    <w:multiLevelType w:val="hybridMultilevel"/>
    <w:tmpl w:val="35D6B1AA"/>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8">
    <w:nsid w:val="2853409C"/>
    <w:multiLevelType w:val="hybridMultilevel"/>
    <w:tmpl w:val="CFDA89A2"/>
    <w:lvl w:ilvl="0" w:tplc="B14AE8D8">
      <w:start w:val="3"/>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9">
    <w:nsid w:val="28627A17"/>
    <w:multiLevelType w:val="hybridMultilevel"/>
    <w:tmpl w:val="AEBA83A8"/>
    <w:lvl w:ilvl="0" w:tplc="E654A1BE">
      <w:start w:val="1"/>
      <w:numFmt w:val="bullet"/>
      <w:lvlText w:val=""/>
      <w:lvlJc w:val="left"/>
      <w:pPr>
        <w:ind w:left="720" w:hanging="360"/>
      </w:pPr>
      <w:rPr>
        <w:rFonts w:ascii="Symbol" w:hAnsi="Symbol" w:hint="default"/>
      </w:rPr>
    </w:lvl>
    <w:lvl w:ilvl="1" w:tplc="E654A1BE">
      <w:start w:val="1"/>
      <w:numFmt w:val="bullet"/>
      <w:lvlText w:val=""/>
      <w:lvlJc w:val="left"/>
      <w:pPr>
        <w:ind w:left="1440" w:hanging="360"/>
      </w:pPr>
      <w:rPr>
        <w:rFonts w:ascii="Symbol" w:hAnsi="Symbol"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nsid w:val="28BF6E27"/>
    <w:multiLevelType w:val="hybridMultilevel"/>
    <w:tmpl w:val="17662C76"/>
    <w:lvl w:ilvl="0" w:tplc="A41C4156">
      <w:start w:val="1"/>
      <w:numFmt w:val="bullet"/>
      <w:lvlText w:val="–"/>
      <w:lvlJc w:val="left"/>
      <w:pPr>
        <w:ind w:left="360" w:hanging="360"/>
      </w:pPr>
      <w:rPr>
        <w:rFonts w:ascii="Vrinda" w:hAnsi="Vrinda"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1">
    <w:nsid w:val="29350233"/>
    <w:multiLevelType w:val="hybridMultilevel"/>
    <w:tmpl w:val="07D036F4"/>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nsid w:val="2A5408D4"/>
    <w:multiLevelType w:val="hybridMultilevel"/>
    <w:tmpl w:val="CF50C44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nsid w:val="2AA83CBF"/>
    <w:multiLevelType w:val="hybridMultilevel"/>
    <w:tmpl w:val="4D02C960"/>
    <w:lvl w:ilvl="0" w:tplc="080A0001">
      <w:start w:val="1"/>
      <w:numFmt w:val="bullet"/>
      <w:lvlText w:val=""/>
      <w:lvlJc w:val="left"/>
      <w:pPr>
        <w:ind w:left="1008" w:hanging="360"/>
      </w:pPr>
      <w:rPr>
        <w:rFonts w:ascii="Symbol" w:hAnsi="Symbol" w:hint="default"/>
        <w:sz w:val="24"/>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74">
    <w:nsid w:val="2B0214B8"/>
    <w:multiLevelType w:val="hybridMultilevel"/>
    <w:tmpl w:val="D060B23C"/>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5">
    <w:nsid w:val="2C100D17"/>
    <w:multiLevelType w:val="hybridMultilevel"/>
    <w:tmpl w:val="CC0A20D2"/>
    <w:lvl w:ilvl="0" w:tplc="99ACF712">
      <w:start w:val="1"/>
      <w:numFmt w:val="lowerLetter"/>
      <w:lvlText w:val="%1)"/>
      <w:lvlJc w:val="left"/>
      <w:pPr>
        <w:ind w:left="720" w:hanging="360"/>
      </w:pPr>
      <w:rPr>
        <w:rFonts w:ascii="Times New Roman" w:hAnsi="Times New Roman" w:hint="default"/>
        <w:b w:val="0"/>
        <w:i w:val="0"/>
        <w:snapToGrid/>
        <w:spacing w:val="16"/>
        <w:sz w:val="26"/>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nsid w:val="2C630185"/>
    <w:multiLevelType w:val="hybridMultilevel"/>
    <w:tmpl w:val="DE00606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7">
    <w:nsid w:val="2CC531D6"/>
    <w:multiLevelType w:val="hybridMultilevel"/>
    <w:tmpl w:val="17E2ADB4"/>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nsid w:val="2D7E771E"/>
    <w:multiLevelType w:val="hybridMultilevel"/>
    <w:tmpl w:val="0488183C"/>
    <w:lvl w:ilvl="0" w:tplc="7AB291FE">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9">
    <w:nsid w:val="2DFB4279"/>
    <w:multiLevelType w:val="hybridMultilevel"/>
    <w:tmpl w:val="9FA4FBF2"/>
    <w:lvl w:ilvl="0" w:tplc="AD90E8EA">
      <w:start w:val="1"/>
      <w:numFmt w:val="bullet"/>
      <w:lvlText w:val="-"/>
      <w:lvlJc w:val="left"/>
      <w:pPr>
        <w:ind w:left="720" w:hanging="360"/>
      </w:pPr>
      <w:rPr>
        <w:rFonts w:ascii="Courier New" w:hAnsi="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nsid w:val="2EA51E14"/>
    <w:multiLevelType w:val="hybridMultilevel"/>
    <w:tmpl w:val="40485A9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1">
    <w:nsid w:val="2F382C25"/>
    <w:multiLevelType w:val="hybridMultilevel"/>
    <w:tmpl w:val="06542D02"/>
    <w:lvl w:ilvl="0" w:tplc="100CF0A2">
      <w:start w:val="1"/>
      <w:numFmt w:val="upperRoman"/>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nsid w:val="2F411138"/>
    <w:multiLevelType w:val="hybridMultilevel"/>
    <w:tmpl w:val="4112C450"/>
    <w:lvl w:ilvl="0" w:tplc="90C665FC">
      <w:start w:val="1"/>
      <w:numFmt w:val="upperRoman"/>
      <w:lvlText w:val="%1."/>
      <w:lvlJc w:val="left"/>
      <w:pPr>
        <w:ind w:left="720" w:hanging="360"/>
      </w:pPr>
      <w:rPr>
        <w:rFonts w:hint="default"/>
        <w:b w:val="0"/>
        <w:i w:val="0"/>
        <w:snapToGrid/>
        <w:spacing w:val="16"/>
        <w:sz w:val="26"/>
        <w:szCs w:val="14"/>
      </w:rPr>
    </w:lvl>
    <w:lvl w:ilvl="1" w:tplc="D0ACF0B0">
      <w:start w:val="1"/>
      <w:numFmt w:val="lowerLetter"/>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3">
    <w:nsid w:val="2F6E3B9C"/>
    <w:multiLevelType w:val="hybridMultilevel"/>
    <w:tmpl w:val="2E92235E"/>
    <w:lvl w:ilvl="0" w:tplc="7520DBFC">
      <w:start w:val="1"/>
      <w:numFmt w:val="bullet"/>
      <w:lvlText w:val="–"/>
      <w:lvlJc w:val="left"/>
      <w:pPr>
        <w:ind w:left="6" w:hanging="360"/>
      </w:pPr>
      <w:rPr>
        <w:rFonts w:ascii="Times New Roman" w:hAnsi="Times New Roman" w:cs="Times New Roman" w:hint="default"/>
        <w:sz w:val="24"/>
      </w:rPr>
    </w:lvl>
    <w:lvl w:ilvl="1" w:tplc="080A0003" w:tentative="1">
      <w:start w:val="1"/>
      <w:numFmt w:val="bullet"/>
      <w:lvlText w:val="o"/>
      <w:lvlJc w:val="left"/>
      <w:pPr>
        <w:ind w:left="726" w:hanging="360"/>
      </w:pPr>
      <w:rPr>
        <w:rFonts w:ascii="Courier New" w:hAnsi="Courier New" w:cs="Courier New" w:hint="default"/>
      </w:rPr>
    </w:lvl>
    <w:lvl w:ilvl="2" w:tplc="080A0005" w:tentative="1">
      <w:start w:val="1"/>
      <w:numFmt w:val="bullet"/>
      <w:lvlText w:val=""/>
      <w:lvlJc w:val="left"/>
      <w:pPr>
        <w:ind w:left="1446" w:hanging="360"/>
      </w:pPr>
      <w:rPr>
        <w:rFonts w:ascii="Wingdings" w:hAnsi="Wingdings" w:hint="default"/>
      </w:rPr>
    </w:lvl>
    <w:lvl w:ilvl="3" w:tplc="080A0001" w:tentative="1">
      <w:start w:val="1"/>
      <w:numFmt w:val="bullet"/>
      <w:lvlText w:val=""/>
      <w:lvlJc w:val="left"/>
      <w:pPr>
        <w:ind w:left="2166" w:hanging="360"/>
      </w:pPr>
      <w:rPr>
        <w:rFonts w:ascii="Symbol" w:hAnsi="Symbol" w:hint="default"/>
      </w:rPr>
    </w:lvl>
    <w:lvl w:ilvl="4" w:tplc="080A0003" w:tentative="1">
      <w:start w:val="1"/>
      <w:numFmt w:val="bullet"/>
      <w:lvlText w:val="o"/>
      <w:lvlJc w:val="left"/>
      <w:pPr>
        <w:ind w:left="2886" w:hanging="360"/>
      </w:pPr>
      <w:rPr>
        <w:rFonts w:ascii="Courier New" w:hAnsi="Courier New" w:cs="Courier New" w:hint="default"/>
      </w:rPr>
    </w:lvl>
    <w:lvl w:ilvl="5" w:tplc="080A0005" w:tentative="1">
      <w:start w:val="1"/>
      <w:numFmt w:val="bullet"/>
      <w:lvlText w:val=""/>
      <w:lvlJc w:val="left"/>
      <w:pPr>
        <w:ind w:left="3606" w:hanging="360"/>
      </w:pPr>
      <w:rPr>
        <w:rFonts w:ascii="Wingdings" w:hAnsi="Wingdings" w:hint="default"/>
      </w:rPr>
    </w:lvl>
    <w:lvl w:ilvl="6" w:tplc="080A0001" w:tentative="1">
      <w:start w:val="1"/>
      <w:numFmt w:val="bullet"/>
      <w:lvlText w:val=""/>
      <w:lvlJc w:val="left"/>
      <w:pPr>
        <w:ind w:left="4326" w:hanging="360"/>
      </w:pPr>
      <w:rPr>
        <w:rFonts w:ascii="Symbol" w:hAnsi="Symbol" w:hint="default"/>
      </w:rPr>
    </w:lvl>
    <w:lvl w:ilvl="7" w:tplc="080A0003" w:tentative="1">
      <w:start w:val="1"/>
      <w:numFmt w:val="bullet"/>
      <w:lvlText w:val="o"/>
      <w:lvlJc w:val="left"/>
      <w:pPr>
        <w:ind w:left="5046" w:hanging="360"/>
      </w:pPr>
      <w:rPr>
        <w:rFonts w:ascii="Courier New" w:hAnsi="Courier New" w:cs="Courier New" w:hint="default"/>
      </w:rPr>
    </w:lvl>
    <w:lvl w:ilvl="8" w:tplc="080A0005" w:tentative="1">
      <w:start w:val="1"/>
      <w:numFmt w:val="bullet"/>
      <w:lvlText w:val=""/>
      <w:lvlJc w:val="left"/>
      <w:pPr>
        <w:ind w:left="5766" w:hanging="360"/>
      </w:pPr>
      <w:rPr>
        <w:rFonts w:ascii="Wingdings" w:hAnsi="Wingdings" w:hint="default"/>
      </w:rPr>
    </w:lvl>
  </w:abstractNum>
  <w:abstractNum w:abstractNumId="84">
    <w:nsid w:val="305C69E5"/>
    <w:multiLevelType w:val="hybridMultilevel"/>
    <w:tmpl w:val="8FDA113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5">
    <w:nsid w:val="3076629F"/>
    <w:multiLevelType w:val="hybridMultilevel"/>
    <w:tmpl w:val="74D69C8A"/>
    <w:lvl w:ilvl="0" w:tplc="7E16A0F6">
      <w:start w:val="1"/>
      <w:numFmt w:val="bullet"/>
      <w:lvlText w:val=""/>
      <w:lvlJc w:val="left"/>
      <w:pPr>
        <w:ind w:left="720" w:hanging="360"/>
      </w:pPr>
      <w:rPr>
        <w:rFonts w:ascii="Symbol" w:hAnsi="Symbol" w:hint="default"/>
        <w:sz w:val="2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nsid w:val="31471DA7"/>
    <w:multiLevelType w:val="hybridMultilevel"/>
    <w:tmpl w:val="A62EA11A"/>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nsid w:val="34D22412"/>
    <w:multiLevelType w:val="hybridMultilevel"/>
    <w:tmpl w:val="042667B8"/>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8">
    <w:nsid w:val="3746488B"/>
    <w:multiLevelType w:val="hybridMultilevel"/>
    <w:tmpl w:val="A0C0862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9">
    <w:nsid w:val="38125670"/>
    <w:multiLevelType w:val="hybridMultilevel"/>
    <w:tmpl w:val="BBC64AA4"/>
    <w:styleLink w:val="11111124"/>
    <w:lvl w:ilvl="0" w:tplc="836A1296">
      <w:start w:val="1"/>
      <w:numFmt w:val="bullet"/>
      <w:lvlText w:val="-"/>
      <w:lvlJc w:val="left"/>
      <w:pPr>
        <w:ind w:left="1004" w:hanging="360"/>
      </w:pPr>
      <w:rPr>
        <w:rFonts w:ascii="Arial" w:hAnsi="Arial" w:hint="default"/>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90">
    <w:nsid w:val="388F07E9"/>
    <w:multiLevelType w:val="hybridMultilevel"/>
    <w:tmpl w:val="5D78472E"/>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nsid w:val="3A0E79AB"/>
    <w:multiLevelType w:val="hybridMultilevel"/>
    <w:tmpl w:val="B45E0D6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2">
    <w:nsid w:val="3BCE0B84"/>
    <w:multiLevelType w:val="hybridMultilevel"/>
    <w:tmpl w:val="D2CA187A"/>
    <w:lvl w:ilvl="0" w:tplc="A41C4156">
      <w:start w:val="1"/>
      <w:numFmt w:val="bullet"/>
      <w:lvlText w:val="–"/>
      <w:lvlJc w:val="left"/>
      <w:pPr>
        <w:ind w:left="360" w:hanging="360"/>
      </w:pPr>
      <w:rPr>
        <w:rFonts w:ascii="Vrinda" w:hAnsi="Vrinda"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3">
    <w:nsid w:val="3CAB3ECE"/>
    <w:multiLevelType w:val="hybridMultilevel"/>
    <w:tmpl w:val="81BC8A24"/>
    <w:lvl w:ilvl="0" w:tplc="AD1A70D0">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nsid w:val="3CC05D43"/>
    <w:multiLevelType w:val="hybridMultilevel"/>
    <w:tmpl w:val="2D92A790"/>
    <w:lvl w:ilvl="0" w:tplc="AD90E8EA">
      <w:start w:val="1"/>
      <w:numFmt w:val="bullet"/>
      <w:lvlText w:val="-"/>
      <w:lvlJc w:val="left"/>
      <w:pPr>
        <w:ind w:left="1077" w:hanging="360"/>
      </w:pPr>
      <w:rPr>
        <w:rFonts w:ascii="Courier New" w:hAnsi="Courier New" w:hint="default"/>
      </w:rPr>
    </w:lvl>
    <w:lvl w:ilvl="1" w:tplc="080A0003" w:tentative="1">
      <w:start w:val="1"/>
      <w:numFmt w:val="bullet"/>
      <w:lvlText w:val="o"/>
      <w:lvlJc w:val="left"/>
      <w:pPr>
        <w:ind w:left="1797" w:hanging="360"/>
      </w:pPr>
      <w:rPr>
        <w:rFonts w:ascii="Courier New" w:hAnsi="Courier New" w:cs="Courier New" w:hint="default"/>
      </w:rPr>
    </w:lvl>
    <w:lvl w:ilvl="2" w:tplc="080A0005" w:tentative="1">
      <w:start w:val="1"/>
      <w:numFmt w:val="bullet"/>
      <w:lvlText w:val=""/>
      <w:lvlJc w:val="left"/>
      <w:pPr>
        <w:ind w:left="2517" w:hanging="360"/>
      </w:pPr>
      <w:rPr>
        <w:rFonts w:ascii="Wingdings" w:hAnsi="Wingdings" w:hint="default"/>
      </w:rPr>
    </w:lvl>
    <w:lvl w:ilvl="3" w:tplc="080A0001" w:tentative="1">
      <w:start w:val="1"/>
      <w:numFmt w:val="bullet"/>
      <w:lvlText w:val=""/>
      <w:lvlJc w:val="left"/>
      <w:pPr>
        <w:ind w:left="3237" w:hanging="360"/>
      </w:pPr>
      <w:rPr>
        <w:rFonts w:ascii="Symbol" w:hAnsi="Symbol" w:hint="default"/>
      </w:rPr>
    </w:lvl>
    <w:lvl w:ilvl="4" w:tplc="080A0003" w:tentative="1">
      <w:start w:val="1"/>
      <w:numFmt w:val="bullet"/>
      <w:lvlText w:val="o"/>
      <w:lvlJc w:val="left"/>
      <w:pPr>
        <w:ind w:left="3957" w:hanging="360"/>
      </w:pPr>
      <w:rPr>
        <w:rFonts w:ascii="Courier New" w:hAnsi="Courier New" w:cs="Courier New" w:hint="default"/>
      </w:rPr>
    </w:lvl>
    <w:lvl w:ilvl="5" w:tplc="080A0005" w:tentative="1">
      <w:start w:val="1"/>
      <w:numFmt w:val="bullet"/>
      <w:lvlText w:val=""/>
      <w:lvlJc w:val="left"/>
      <w:pPr>
        <w:ind w:left="4677" w:hanging="360"/>
      </w:pPr>
      <w:rPr>
        <w:rFonts w:ascii="Wingdings" w:hAnsi="Wingdings" w:hint="default"/>
      </w:rPr>
    </w:lvl>
    <w:lvl w:ilvl="6" w:tplc="080A0001" w:tentative="1">
      <w:start w:val="1"/>
      <w:numFmt w:val="bullet"/>
      <w:lvlText w:val=""/>
      <w:lvlJc w:val="left"/>
      <w:pPr>
        <w:ind w:left="5397" w:hanging="360"/>
      </w:pPr>
      <w:rPr>
        <w:rFonts w:ascii="Symbol" w:hAnsi="Symbol" w:hint="default"/>
      </w:rPr>
    </w:lvl>
    <w:lvl w:ilvl="7" w:tplc="080A0003" w:tentative="1">
      <w:start w:val="1"/>
      <w:numFmt w:val="bullet"/>
      <w:lvlText w:val="o"/>
      <w:lvlJc w:val="left"/>
      <w:pPr>
        <w:ind w:left="6117" w:hanging="360"/>
      </w:pPr>
      <w:rPr>
        <w:rFonts w:ascii="Courier New" w:hAnsi="Courier New" w:cs="Courier New" w:hint="default"/>
      </w:rPr>
    </w:lvl>
    <w:lvl w:ilvl="8" w:tplc="080A0005" w:tentative="1">
      <w:start w:val="1"/>
      <w:numFmt w:val="bullet"/>
      <w:lvlText w:val=""/>
      <w:lvlJc w:val="left"/>
      <w:pPr>
        <w:ind w:left="6837" w:hanging="360"/>
      </w:pPr>
      <w:rPr>
        <w:rFonts w:ascii="Wingdings" w:hAnsi="Wingdings" w:hint="default"/>
      </w:rPr>
    </w:lvl>
  </w:abstractNum>
  <w:abstractNum w:abstractNumId="95">
    <w:nsid w:val="3DBE66E2"/>
    <w:multiLevelType w:val="hybridMultilevel"/>
    <w:tmpl w:val="EE8E4820"/>
    <w:lvl w:ilvl="0" w:tplc="AD90E8EA">
      <w:start w:val="1"/>
      <w:numFmt w:val="bullet"/>
      <w:lvlText w:val="-"/>
      <w:lvlJc w:val="left"/>
      <w:pPr>
        <w:ind w:left="720" w:hanging="360"/>
      </w:pPr>
      <w:rPr>
        <w:rFonts w:ascii="Courier New" w:hAnsi="Courier New" w:hint="default"/>
      </w:rPr>
    </w:lvl>
    <w:lvl w:ilvl="1" w:tplc="8A8EF62E">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6">
    <w:nsid w:val="3E0E61DA"/>
    <w:multiLevelType w:val="hybridMultilevel"/>
    <w:tmpl w:val="DD9405BA"/>
    <w:lvl w:ilvl="0" w:tplc="99ACF712">
      <w:start w:val="1"/>
      <w:numFmt w:val="lowerLetter"/>
      <w:lvlText w:val="%1)"/>
      <w:lvlJc w:val="left"/>
      <w:pPr>
        <w:ind w:left="720" w:hanging="360"/>
      </w:pPr>
      <w:rPr>
        <w:rFonts w:ascii="Times New Roman" w:hAnsi="Times New Roman" w:hint="default"/>
        <w:b w:val="0"/>
        <w:i w:val="0"/>
        <w:snapToGrid/>
        <w:spacing w:val="16"/>
        <w:sz w:val="26"/>
        <w:szCs w:val="14"/>
      </w:rPr>
    </w:lvl>
    <w:lvl w:ilvl="1" w:tplc="99ACF712">
      <w:start w:val="1"/>
      <w:numFmt w:val="lowerLetter"/>
      <w:lvlText w:val="%2)"/>
      <w:lvlJc w:val="left"/>
      <w:pPr>
        <w:ind w:left="1440" w:hanging="360"/>
      </w:pPr>
      <w:rPr>
        <w:rFonts w:ascii="Times New Roman" w:hAnsi="Times New Roman" w:hint="default"/>
        <w:b w:val="0"/>
        <w:i w:val="0"/>
        <w:snapToGrid/>
        <w:spacing w:val="16"/>
        <w:sz w:val="26"/>
        <w:szCs w:val="14"/>
      </w:rPr>
    </w:lvl>
    <w:lvl w:ilvl="2" w:tplc="BD66A882">
      <w:start w:val="1"/>
      <w:numFmt w:val="upperRoman"/>
      <w:lvlText w:val="%3."/>
      <w:lvlJc w:val="left"/>
      <w:pPr>
        <w:ind w:left="2700" w:hanging="720"/>
      </w:pPr>
      <w:rPr>
        <w:rFonts w:hint="default"/>
      </w:rPr>
    </w:lvl>
    <w:lvl w:ilvl="3" w:tplc="FDC65120">
      <w:start w:val="1"/>
      <w:numFmt w:val="decimal"/>
      <w:lvlText w:val="%4."/>
      <w:lvlJc w:val="left"/>
      <w:pPr>
        <w:ind w:left="2880" w:hanging="360"/>
      </w:pPr>
      <w:rPr>
        <w:rFonts w:hint="default"/>
        <w:b/>
      </w:r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7">
    <w:nsid w:val="3E307B8B"/>
    <w:multiLevelType w:val="hybridMultilevel"/>
    <w:tmpl w:val="CC6838A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8">
    <w:nsid w:val="3E5B691F"/>
    <w:multiLevelType w:val="hybridMultilevel"/>
    <w:tmpl w:val="4014A862"/>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9">
    <w:nsid w:val="3EEC2827"/>
    <w:multiLevelType w:val="hybridMultilevel"/>
    <w:tmpl w:val="95D482DA"/>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0">
    <w:nsid w:val="3F9150FB"/>
    <w:multiLevelType w:val="hybridMultilevel"/>
    <w:tmpl w:val="E3EC71E0"/>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1">
    <w:nsid w:val="41383FE1"/>
    <w:multiLevelType w:val="hybridMultilevel"/>
    <w:tmpl w:val="D77AF8DC"/>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2">
    <w:nsid w:val="414A7B48"/>
    <w:multiLevelType w:val="hybridMultilevel"/>
    <w:tmpl w:val="ED928E66"/>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3">
    <w:nsid w:val="42A56AB9"/>
    <w:multiLevelType w:val="hybridMultilevel"/>
    <w:tmpl w:val="E246400E"/>
    <w:lvl w:ilvl="0" w:tplc="080A0017">
      <w:start w:val="1"/>
      <w:numFmt w:val="lowerLetter"/>
      <w:lvlText w:val="%1)"/>
      <w:lvlJc w:val="left"/>
      <w:pPr>
        <w:ind w:left="360" w:hanging="360"/>
      </w:pPr>
      <w:rPr>
        <w:rFonts w:hint="default"/>
      </w:rPr>
    </w:lvl>
    <w:lvl w:ilvl="1" w:tplc="AECE8746">
      <w:start w:val="2"/>
      <w:numFmt w:val="bullet"/>
      <w:lvlText w:val=""/>
      <w:lvlJc w:val="left"/>
      <w:pPr>
        <w:ind w:left="1080" w:hanging="360"/>
      </w:pPr>
      <w:rPr>
        <w:rFonts w:ascii="Symbol" w:eastAsiaTheme="minorHAnsi" w:hAnsi="Symbol" w:cs="Times New Roman"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4">
    <w:nsid w:val="439F656F"/>
    <w:multiLevelType w:val="hybridMultilevel"/>
    <w:tmpl w:val="CA2217FC"/>
    <w:lvl w:ilvl="0" w:tplc="A15CEA52">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5">
    <w:nsid w:val="43C3541C"/>
    <w:multiLevelType w:val="hybridMultilevel"/>
    <w:tmpl w:val="F2C2A400"/>
    <w:lvl w:ilvl="0" w:tplc="A8F6697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6">
    <w:nsid w:val="44BE68E5"/>
    <w:multiLevelType w:val="hybridMultilevel"/>
    <w:tmpl w:val="C900964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nsid w:val="46920168"/>
    <w:multiLevelType w:val="hybridMultilevel"/>
    <w:tmpl w:val="9968A0EE"/>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08">
    <w:nsid w:val="478623A5"/>
    <w:multiLevelType w:val="hybridMultilevel"/>
    <w:tmpl w:val="4BB48668"/>
    <w:lvl w:ilvl="0" w:tplc="B77A6332">
      <w:start w:val="2"/>
      <w:numFmt w:val="bullet"/>
      <w:lvlText w:val=""/>
      <w:lvlJc w:val="left"/>
      <w:pPr>
        <w:ind w:left="360" w:hanging="360"/>
      </w:pPr>
      <w:rPr>
        <w:rFonts w:ascii="Symbol" w:eastAsiaTheme="minorHAnsi" w:hAnsi="Symbol" w:cs="Times New Roman"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9">
    <w:nsid w:val="479322D5"/>
    <w:multiLevelType w:val="hybridMultilevel"/>
    <w:tmpl w:val="EAA4278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nsid w:val="47D041BE"/>
    <w:multiLevelType w:val="hybridMultilevel"/>
    <w:tmpl w:val="C60660CC"/>
    <w:lvl w:ilvl="0" w:tplc="90C665FC">
      <w:start w:val="1"/>
      <w:numFmt w:val="upperRoman"/>
      <w:lvlText w:val="%1."/>
      <w:lvlJc w:val="left"/>
      <w:pPr>
        <w:ind w:left="720" w:hanging="360"/>
      </w:pPr>
      <w:rPr>
        <w:rFonts w:hint="default"/>
        <w:b w:val="0"/>
        <w:i w:val="0"/>
        <w:snapToGrid/>
        <w:spacing w:val="16"/>
        <w:sz w:val="26"/>
        <w:szCs w:val="14"/>
      </w:rPr>
    </w:lvl>
    <w:lvl w:ilvl="1" w:tplc="080A0019" w:tentative="1">
      <w:start w:val="1"/>
      <w:numFmt w:val="lowerLetter"/>
      <w:lvlText w:val="%2."/>
      <w:lvlJc w:val="left"/>
      <w:pPr>
        <w:ind w:left="1440" w:hanging="360"/>
      </w:pPr>
    </w:lvl>
    <w:lvl w:ilvl="2" w:tplc="35B00DD2">
      <w:start w:val="1"/>
      <w:numFmt w:val="upperRoman"/>
      <w:lvlText w:val="%3."/>
      <w:lvlJc w:val="left"/>
      <w:pPr>
        <w:ind w:left="2160" w:hanging="180"/>
      </w:pPr>
      <w:rPr>
        <w:rFonts w:ascii="Times New Roman" w:hAnsi="Times New Roman" w:cs="Tahoma" w:hint="default"/>
        <w:b w:val="0"/>
        <w:i w:val="0"/>
        <w:snapToGrid/>
        <w:spacing w:val="16"/>
        <w:sz w:val="26"/>
        <w:szCs w:val="14"/>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1">
    <w:nsid w:val="488B39C5"/>
    <w:multiLevelType w:val="hybridMultilevel"/>
    <w:tmpl w:val="F800E2F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2">
    <w:nsid w:val="48C97BDD"/>
    <w:multiLevelType w:val="hybridMultilevel"/>
    <w:tmpl w:val="56A8E278"/>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3">
    <w:nsid w:val="4B055361"/>
    <w:multiLevelType w:val="hybridMultilevel"/>
    <w:tmpl w:val="FD86C128"/>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4">
    <w:nsid w:val="4C397D5C"/>
    <w:multiLevelType w:val="hybridMultilevel"/>
    <w:tmpl w:val="2E503A92"/>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5">
    <w:nsid w:val="4C691FC3"/>
    <w:multiLevelType w:val="hybridMultilevel"/>
    <w:tmpl w:val="84841B9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6">
    <w:nsid w:val="4C842DD1"/>
    <w:multiLevelType w:val="hybridMultilevel"/>
    <w:tmpl w:val="BCEC5E46"/>
    <w:lvl w:ilvl="0" w:tplc="B14AE8D8">
      <w:start w:val="3"/>
      <w:numFmt w:val="bullet"/>
      <w:lvlText w:val="–"/>
      <w:lvlJc w:val="left"/>
      <w:pPr>
        <w:ind w:left="360" w:hanging="360"/>
      </w:pPr>
      <w:rPr>
        <w:rFonts w:ascii="Times New Roman" w:eastAsiaTheme="minorHAnsi" w:hAnsi="Times New Roman"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7">
    <w:nsid w:val="4CC309D3"/>
    <w:multiLevelType w:val="hybridMultilevel"/>
    <w:tmpl w:val="80B661E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8">
    <w:nsid w:val="4D3D5A9E"/>
    <w:multiLevelType w:val="hybridMultilevel"/>
    <w:tmpl w:val="1D280514"/>
    <w:lvl w:ilvl="0" w:tplc="1B54B1CC">
      <w:start w:val="1"/>
      <w:numFmt w:val="decimal"/>
      <w:lvlText w:val="%1."/>
      <w:lvlJc w:val="left"/>
      <w:pPr>
        <w:ind w:left="360" w:hanging="360"/>
      </w:pPr>
      <w:rPr>
        <w:b w:val="0"/>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9">
    <w:nsid w:val="4DE74F38"/>
    <w:multiLevelType w:val="hybridMultilevel"/>
    <w:tmpl w:val="D712535A"/>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0">
    <w:nsid w:val="4E386FB0"/>
    <w:multiLevelType w:val="hybridMultilevel"/>
    <w:tmpl w:val="1E82C76C"/>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1">
    <w:nsid w:val="4E512FEB"/>
    <w:multiLevelType w:val="hybridMultilevel"/>
    <w:tmpl w:val="0FF68C62"/>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2">
    <w:nsid w:val="4EA4398C"/>
    <w:multiLevelType w:val="hybridMultilevel"/>
    <w:tmpl w:val="DB780C74"/>
    <w:lvl w:ilvl="0" w:tplc="080A0001">
      <w:start w:val="1"/>
      <w:numFmt w:val="bullet"/>
      <w:lvlText w:val=""/>
      <w:lvlJc w:val="left"/>
      <w:pPr>
        <w:ind w:left="1008" w:hanging="360"/>
      </w:pPr>
      <w:rPr>
        <w:rFonts w:ascii="Symbol" w:hAnsi="Symbol" w:hint="default"/>
        <w:sz w:val="24"/>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123">
    <w:nsid w:val="4EED2453"/>
    <w:multiLevelType w:val="hybridMultilevel"/>
    <w:tmpl w:val="1C14AA66"/>
    <w:styleLink w:val="111111211"/>
    <w:lvl w:ilvl="0" w:tplc="D9EA953C">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4">
    <w:nsid w:val="4F4F4942"/>
    <w:multiLevelType w:val="hybridMultilevel"/>
    <w:tmpl w:val="B1E42B30"/>
    <w:lvl w:ilvl="0" w:tplc="A2A62EE0">
      <w:start w:val="1"/>
      <w:numFmt w:val="upperRoman"/>
      <w:lvlText w:val="%1."/>
      <w:lvlJc w:val="left"/>
      <w:pPr>
        <w:ind w:left="720" w:hanging="360"/>
      </w:pPr>
      <w:rPr>
        <w:rFonts w:ascii="Times New Roman" w:hAnsi="Times New Roman" w:cs="Tahoma" w:hint="default"/>
        <w:b w:val="0"/>
        <w:i w:val="0"/>
        <w:snapToGrid/>
        <w:spacing w:val="16"/>
        <w:sz w:val="20"/>
        <w:szCs w:val="14"/>
      </w:rPr>
    </w:lvl>
    <w:lvl w:ilvl="1" w:tplc="080A0019" w:tentative="1">
      <w:start w:val="1"/>
      <w:numFmt w:val="lowerLetter"/>
      <w:lvlText w:val="%2."/>
      <w:lvlJc w:val="left"/>
      <w:pPr>
        <w:ind w:left="1440" w:hanging="360"/>
      </w:pPr>
    </w:lvl>
    <w:lvl w:ilvl="2" w:tplc="35B00DD2">
      <w:start w:val="1"/>
      <w:numFmt w:val="upperRoman"/>
      <w:lvlText w:val="%3."/>
      <w:lvlJc w:val="left"/>
      <w:pPr>
        <w:ind w:left="2160" w:hanging="180"/>
      </w:pPr>
      <w:rPr>
        <w:rFonts w:ascii="Times New Roman" w:hAnsi="Times New Roman" w:cs="Tahoma" w:hint="default"/>
        <w:b w:val="0"/>
        <w:i w:val="0"/>
        <w:snapToGrid/>
        <w:spacing w:val="16"/>
        <w:sz w:val="26"/>
        <w:szCs w:val="14"/>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5">
    <w:nsid w:val="508C4DB5"/>
    <w:multiLevelType w:val="hybridMultilevel"/>
    <w:tmpl w:val="E80A7062"/>
    <w:lvl w:ilvl="0" w:tplc="E654A1BE">
      <w:start w:val="1"/>
      <w:numFmt w:val="bullet"/>
      <w:lvlText w:val=""/>
      <w:lvlJc w:val="left"/>
      <w:pPr>
        <w:ind w:left="720" w:hanging="360"/>
      </w:pPr>
      <w:rPr>
        <w:rFonts w:ascii="Symbol" w:hAnsi="Symbol" w:hint="default"/>
      </w:rPr>
    </w:lvl>
    <w:lvl w:ilvl="1" w:tplc="02F81DE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6">
    <w:nsid w:val="50E537BF"/>
    <w:multiLevelType w:val="hybridMultilevel"/>
    <w:tmpl w:val="CEB2415E"/>
    <w:lvl w:ilvl="0" w:tplc="6A5476B2">
      <w:start w:val="1"/>
      <w:numFmt w:val="decimal"/>
      <w:lvlText w:val="%1."/>
      <w:lvlJc w:val="left"/>
      <w:pPr>
        <w:ind w:left="720" w:hanging="360"/>
      </w:pPr>
      <w:rPr>
        <w:rFonts w:ascii="Times New Roman" w:hAnsi="Times New Roman" w:hint="default"/>
        <w:b w:val="0"/>
        <w:i w:val="0"/>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7">
    <w:nsid w:val="50F8741C"/>
    <w:multiLevelType w:val="hybridMultilevel"/>
    <w:tmpl w:val="4A40F74A"/>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8">
    <w:nsid w:val="51224C0A"/>
    <w:multiLevelType w:val="hybridMultilevel"/>
    <w:tmpl w:val="D6B475A0"/>
    <w:lvl w:ilvl="0" w:tplc="B6B003C4">
      <w:start w:val="1"/>
      <w:numFmt w:val="decimal"/>
      <w:lvlText w:val="%1."/>
      <w:lvlJc w:val="left"/>
      <w:pPr>
        <w:ind w:left="720" w:hanging="360"/>
      </w:pPr>
      <w:rPr>
        <w:rFonts w:ascii="Times New Roman" w:hAnsi="Times New Roman" w:cs="Tahoma" w:hint="default"/>
        <w:snapToGrid/>
        <w:spacing w:val="16"/>
        <w:sz w:val="20"/>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9">
    <w:nsid w:val="52DE4C44"/>
    <w:multiLevelType w:val="hybridMultilevel"/>
    <w:tmpl w:val="1E6C8C3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0">
    <w:nsid w:val="539A011A"/>
    <w:multiLevelType w:val="hybridMultilevel"/>
    <w:tmpl w:val="EBC6C9BE"/>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1">
    <w:nsid w:val="555D2B91"/>
    <w:multiLevelType w:val="hybridMultilevel"/>
    <w:tmpl w:val="976A2BD4"/>
    <w:lvl w:ilvl="0" w:tplc="080A000F">
      <w:start w:val="1"/>
      <w:numFmt w:val="decimal"/>
      <w:lvlText w:val="%1."/>
      <w:lvlJc w:val="left"/>
      <w:pPr>
        <w:ind w:left="-351" w:hanging="360"/>
      </w:pPr>
      <w:rPr>
        <w:rFonts w:hint="default"/>
      </w:rPr>
    </w:lvl>
    <w:lvl w:ilvl="1" w:tplc="080A0019" w:tentative="1">
      <w:start w:val="1"/>
      <w:numFmt w:val="lowerLetter"/>
      <w:lvlText w:val="%2."/>
      <w:lvlJc w:val="left"/>
      <w:pPr>
        <w:ind w:left="369" w:hanging="360"/>
      </w:pPr>
    </w:lvl>
    <w:lvl w:ilvl="2" w:tplc="080A001B" w:tentative="1">
      <w:start w:val="1"/>
      <w:numFmt w:val="lowerRoman"/>
      <w:lvlText w:val="%3."/>
      <w:lvlJc w:val="right"/>
      <w:pPr>
        <w:ind w:left="1089" w:hanging="180"/>
      </w:pPr>
    </w:lvl>
    <w:lvl w:ilvl="3" w:tplc="080A000F" w:tentative="1">
      <w:start w:val="1"/>
      <w:numFmt w:val="decimal"/>
      <w:lvlText w:val="%4."/>
      <w:lvlJc w:val="left"/>
      <w:pPr>
        <w:ind w:left="1809" w:hanging="360"/>
      </w:pPr>
    </w:lvl>
    <w:lvl w:ilvl="4" w:tplc="080A0019" w:tentative="1">
      <w:start w:val="1"/>
      <w:numFmt w:val="lowerLetter"/>
      <w:lvlText w:val="%5."/>
      <w:lvlJc w:val="left"/>
      <w:pPr>
        <w:ind w:left="2529" w:hanging="360"/>
      </w:pPr>
    </w:lvl>
    <w:lvl w:ilvl="5" w:tplc="080A001B" w:tentative="1">
      <w:start w:val="1"/>
      <w:numFmt w:val="lowerRoman"/>
      <w:lvlText w:val="%6."/>
      <w:lvlJc w:val="right"/>
      <w:pPr>
        <w:ind w:left="3249" w:hanging="180"/>
      </w:pPr>
    </w:lvl>
    <w:lvl w:ilvl="6" w:tplc="080A000F" w:tentative="1">
      <w:start w:val="1"/>
      <w:numFmt w:val="decimal"/>
      <w:lvlText w:val="%7."/>
      <w:lvlJc w:val="left"/>
      <w:pPr>
        <w:ind w:left="3969" w:hanging="360"/>
      </w:pPr>
    </w:lvl>
    <w:lvl w:ilvl="7" w:tplc="080A0019" w:tentative="1">
      <w:start w:val="1"/>
      <w:numFmt w:val="lowerLetter"/>
      <w:lvlText w:val="%8."/>
      <w:lvlJc w:val="left"/>
      <w:pPr>
        <w:ind w:left="4689" w:hanging="360"/>
      </w:pPr>
    </w:lvl>
    <w:lvl w:ilvl="8" w:tplc="080A001B" w:tentative="1">
      <w:start w:val="1"/>
      <w:numFmt w:val="lowerRoman"/>
      <w:lvlText w:val="%9."/>
      <w:lvlJc w:val="right"/>
      <w:pPr>
        <w:ind w:left="5409" w:hanging="180"/>
      </w:pPr>
    </w:lvl>
  </w:abstractNum>
  <w:abstractNum w:abstractNumId="132">
    <w:nsid w:val="55FA238E"/>
    <w:multiLevelType w:val="hybridMultilevel"/>
    <w:tmpl w:val="AEAC7422"/>
    <w:lvl w:ilvl="0" w:tplc="E654A1BE">
      <w:start w:val="1"/>
      <w:numFmt w:val="bullet"/>
      <w:lvlText w:val=""/>
      <w:lvlJc w:val="left"/>
      <w:pPr>
        <w:ind w:left="720" w:hanging="360"/>
      </w:pPr>
      <w:rPr>
        <w:rFonts w:ascii="Symbol" w:hAnsi="Symbol" w:hint="default"/>
      </w:rPr>
    </w:lvl>
    <w:lvl w:ilvl="1" w:tplc="BF943EE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3">
    <w:nsid w:val="56025205"/>
    <w:multiLevelType w:val="hybridMultilevel"/>
    <w:tmpl w:val="A350A1C2"/>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4">
    <w:nsid w:val="56AA6D5F"/>
    <w:multiLevelType w:val="hybridMultilevel"/>
    <w:tmpl w:val="5E6A7092"/>
    <w:lvl w:ilvl="0" w:tplc="4420CF3C">
      <w:start w:val="1"/>
      <w:numFmt w:val="decimal"/>
      <w:lvlText w:val="%1."/>
      <w:lvlJc w:val="left"/>
      <w:pPr>
        <w:ind w:left="720" w:hanging="360"/>
      </w:pPr>
      <w:rPr>
        <w:rFonts w:hint="default"/>
        <w:b w:val="0"/>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5">
    <w:nsid w:val="56D15058"/>
    <w:multiLevelType w:val="hybridMultilevel"/>
    <w:tmpl w:val="062E60E2"/>
    <w:lvl w:ilvl="0" w:tplc="6A4ECC3A">
      <w:start w:val="1"/>
      <w:numFmt w:val="upperRoman"/>
      <w:lvlText w:val="%1."/>
      <w:lvlJc w:val="left"/>
      <w:pPr>
        <w:ind w:left="720" w:hanging="360"/>
      </w:pPr>
      <w:rPr>
        <w:rFonts w:hint="default"/>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6">
    <w:nsid w:val="57DC5B7F"/>
    <w:multiLevelType w:val="hybridMultilevel"/>
    <w:tmpl w:val="C28E572E"/>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7">
    <w:nsid w:val="580924DD"/>
    <w:multiLevelType w:val="hybridMultilevel"/>
    <w:tmpl w:val="CBD07EA6"/>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8">
    <w:nsid w:val="5840490A"/>
    <w:multiLevelType w:val="hybridMultilevel"/>
    <w:tmpl w:val="39E6898E"/>
    <w:lvl w:ilvl="0" w:tplc="080A0017">
      <w:start w:val="5"/>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9">
    <w:nsid w:val="5A7D446E"/>
    <w:multiLevelType w:val="hybridMultilevel"/>
    <w:tmpl w:val="B1BCE87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40">
    <w:nsid w:val="5AED04B7"/>
    <w:multiLevelType w:val="hybridMultilevel"/>
    <w:tmpl w:val="0CFC9932"/>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1">
    <w:nsid w:val="5DDA4EE9"/>
    <w:multiLevelType w:val="hybridMultilevel"/>
    <w:tmpl w:val="0C406864"/>
    <w:lvl w:ilvl="0" w:tplc="7520DBFC">
      <w:start w:val="1"/>
      <w:numFmt w:val="bullet"/>
      <w:lvlText w:val="–"/>
      <w:lvlJc w:val="left"/>
      <w:pPr>
        <w:ind w:left="360" w:hanging="360"/>
      </w:pPr>
      <w:rPr>
        <w:rFonts w:ascii="Times New Roman" w:hAnsi="Times New Roman" w:cs="Times New Roman" w:hint="default"/>
        <w:sz w:val="24"/>
      </w:rPr>
    </w:lvl>
    <w:lvl w:ilvl="1" w:tplc="2A4AD092">
      <w:start w:val="1"/>
      <w:numFmt w:val="bullet"/>
      <w:lvlText w:val=""/>
      <w:lvlJc w:val="left"/>
      <w:pPr>
        <w:ind w:left="1080" w:hanging="360"/>
      </w:pPr>
      <w:rPr>
        <w:rFonts w:ascii="Symbol" w:eastAsia="Times New Roman" w:hAnsi="Symbol" w:cs="Times New Roman"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2">
    <w:nsid w:val="5E1214A8"/>
    <w:multiLevelType w:val="hybridMultilevel"/>
    <w:tmpl w:val="99721684"/>
    <w:lvl w:ilvl="0" w:tplc="551EB9D4">
      <w:start w:val="1"/>
      <w:numFmt w:val="decimal"/>
      <w:lvlText w:val="%1."/>
      <w:lvlJc w:val="left"/>
      <w:pPr>
        <w:ind w:left="720" w:hanging="360"/>
      </w:pPr>
      <w:rPr>
        <w:rFonts w:ascii="Times New Roman" w:hAnsi="Times New Roman" w:cs="Tahoma" w:hint="default"/>
        <w:b w:val="0"/>
        <w:i w:val="0"/>
        <w:snapToGrid/>
        <w:spacing w:val="16"/>
        <w:sz w:val="20"/>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3">
    <w:nsid w:val="5E4F46A9"/>
    <w:multiLevelType w:val="hybridMultilevel"/>
    <w:tmpl w:val="E65029C0"/>
    <w:lvl w:ilvl="0" w:tplc="7520DBFC">
      <w:start w:val="1"/>
      <w:numFmt w:val="bullet"/>
      <w:lvlText w:val="–"/>
      <w:lvlJc w:val="left"/>
      <w:pPr>
        <w:ind w:left="720" w:hanging="360"/>
      </w:pPr>
      <w:rPr>
        <w:rFonts w:ascii="Times New Roman" w:hAnsi="Times New Roman" w:cs="Times New Roman" w:hint="default"/>
        <w:sz w:val="24"/>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4">
    <w:nsid w:val="5F1C7C60"/>
    <w:multiLevelType w:val="hybridMultilevel"/>
    <w:tmpl w:val="69009FF0"/>
    <w:lvl w:ilvl="0" w:tplc="C8EE0074">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5">
    <w:nsid w:val="5F9A5BAA"/>
    <w:multiLevelType w:val="hybridMultilevel"/>
    <w:tmpl w:val="ADC86776"/>
    <w:lvl w:ilvl="0" w:tplc="1258129A">
      <w:start w:val="1"/>
      <w:numFmt w:val="lowerLetter"/>
      <w:lvlText w:val="%1/"/>
      <w:lvlJc w:val="left"/>
      <w:pPr>
        <w:ind w:left="720" w:hanging="360"/>
      </w:pPr>
      <w:rPr>
        <w:rFonts w:hint="default"/>
        <w:color w:val="auto"/>
        <w:sz w:val="18"/>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6">
    <w:nsid w:val="5FAF0E6E"/>
    <w:multiLevelType w:val="hybridMultilevel"/>
    <w:tmpl w:val="A9F0C9F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7">
    <w:nsid w:val="5FF1687A"/>
    <w:multiLevelType w:val="hybridMultilevel"/>
    <w:tmpl w:val="B5065A88"/>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8">
    <w:nsid w:val="60A5676C"/>
    <w:multiLevelType w:val="hybridMultilevel"/>
    <w:tmpl w:val="F32C66D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9">
    <w:nsid w:val="60C531C7"/>
    <w:multiLevelType w:val="hybridMultilevel"/>
    <w:tmpl w:val="937443E0"/>
    <w:lvl w:ilvl="0" w:tplc="080A0005">
      <w:start w:val="1"/>
      <w:numFmt w:val="bullet"/>
      <w:lvlText w:val=""/>
      <w:lvlJc w:val="left"/>
      <w:pPr>
        <w:ind w:left="360" w:hanging="360"/>
      </w:pPr>
      <w:rPr>
        <w:rFonts w:ascii="Wingdings" w:hAnsi="Wingdings" w:hint="default"/>
        <w:sz w:val="24"/>
      </w:rPr>
    </w:lvl>
    <w:lvl w:ilvl="1" w:tplc="080A0005">
      <w:start w:val="1"/>
      <w:numFmt w:val="bullet"/>
      <w:lvlText w:val=""/>
      <w:lvlJc w:val="left"/>
      <w:pPr>
        <w:ind w:left="1080" w:hanging="360"/>
      </w:pPr>
      <w:rPr>
        <w:rFonts w:ascii="Wingdings" w:hAnsi="Wingdings" w:hint="default"/>
        <w:sz w:val="24"/>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0">
    <w:nsid w:val="61C50542"/>
    <w:multiLevelType w:val="hybridMultilevel"/>
    <w:tmpl w:val="7592C65E"/>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51">
    <w:nsid w:val="623F6801"/>
    <w:multiLevelType w:val="hybridMultilevel"/>
    <w:tmpl w:val="525AC3C2"/>
    <w:lvl w:ilvl="0" w:tplc="99ACF712">
      <w:start w:val="1"/>
      <w:numFmt w:val="lowerLetter"/>
      <w:lvlText w:val="%1)"/>
      <w:lvlJc w:val="left"/>
      <w:pPr>
        <w:ind w:left="720" w:hanging="360"/>
      </w:pPr>
      <w:rPr>
        <w:rFonts w:ascii="Times New Roman" w:hAnsi="Times New Roman" w:hint="default"/>
        <w:b w:val="0"/>
        <w:i w:val="0"/>
        <w:snapToGrid/>
        <w:spacing w:val="16"/>
        <w:sz w:val="26"/>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2">
    <w:nsid w:val="62B32F3C"/>
    <w:multiLevelType w:val="hybridMultilevel"/>
    <w:tmpl w:val="0AA4A240"/>
    <w:lvl w:ilvl="0" w:tplc="EA78A8BC">
      <w:start w:val="1"/>
      <w:numFmt w:val="lowerLetter"/>
      <w:lvlText w:val="%1)"/>
      <w:lvlJc w:val="left"/>
      <w:pPr>
        <w:ind w:left="6" w:hanging="360"/>
      </w:pPr>
      <w:rPr>
        <w:b w:val="0"/>
      </w:rPr>
    </w:lvl>
    <w:lvl w:ilvl="1" w:tplc="080A0019" w:tentative="1">
      <w:start w:val="1"/>
      <w:numFmt w:val="lowerLetter"/>
      <w:lvlText w:val="%2."/>
      <w:lvlJc w:val="left"/>
      <w:pPr>
        <w:ind w:left="726" w:hanging="360"/>
      </w:pPr>
    </w:lvl>
    <w:lvl w:ilvl="2" w:tplc="080A001B" w:tentative="1">
      <w:start w:val="1"/>
      <w:numFmt w:val="lowerRoman"/>
      <w:lvlText w:val="%3."/>
      <w:lvlJc w:val="right"/>
      <w:pPr>
        <w:ind w:left="1446" w:hanging="180"/>
      </w:pPr>
    </w:lvl>
    <w:lvl w:ilvl="3" w:tplc="080A000F" w:tentative="1">
      <w:start w:val="1"/>
      <w:numFmt w:val="decimal"/>
      <w:lvlText w:val="%4."/>
      <w:lvlJc w:val="left"/>
      <w:pPr>
        <w:ind w:left="2166" w:hanging="360"/>
      </w:pPr>
    </w:lvl>
    <w:lvl w:ilvl="4" w:tplc="080A0019" w:tentative="1">
      <w:start w:val="1"/>
      <w:numFmt w:val="lowerLetter"/>
      <w:lvlText w:val="%5."/>
      <w:lvlJc w:val="left"/>
      <w:pPr>
        <w:ind w:left="2886" w:hanging="360"/>
      </w:pPr>
    </w:lvl>
    <w:lvl w:ilvl="5" w:tplc="080A001B" w:tentative="1">
      <w:start w:val="1"/>
      <w:numFmt w:val="lowerRoman"/>
      <w:lvlText w:val="%6."/>
      <w:lvlJc w:val="right"/>
      <w:pPr>
        <w:ind w:left="3606" w:hanging="180"/>
      </w:pPr>
    </w:lvl>
    <w:lvl w:ilvl="6" w:tplc="080A000F" w:tentative="1">
      <w:start w:val="1"/>
      <w:numFmt w:val="decimal"/>
      <w:lvlText w:val="%7."/>
      <w:lvlJc w:val="left"/>
      <w:pPr>
        <w:ind w:left="4326" w:hanging="360"/>
      </w:pPr>
    </w:lvl>
    <w:lvl w:ilvl="7" w:tplc="080A0019" w:tentative="1">
      <w:start w:val="1"/>
      <w:numFmt w:val="lowerLetter"/>
      <w:lvlText w:val="%8."/>
      <w:lvlJc w:val="left"/>
      <w:pPr>
        <w:ind w:left="5046" w:hanging="360"/>
      </w:pPr>
    </w:lvl>
    <w:lvl w:ilvl="8" w:tplc="080A001B" w:tentative="1">
      <w:start w:val="1"/>
      <w:numFmt w:val="lowerRoman"/>
      <w:lvlText w:val="%9."/>
      <w:lvlJc w:val="right"/>
      <w:pPr>
        <w:ind w:left="5766" w:hanging="180"/>
      </w:pPr>
    </w:lvl>
  </w:abstractNum>
  <w:abstractNum w:abstractNumId="153">
    <w:nsid w:val="644737D1"/>
    <w:multiLevelType w:val="multilevel"/>
    <w:tmpl w:val="F3EE74E0"/>
    <w:lvl w:ilvl="0">
      <w:start w:val="1"/>
      <w:numFmt w:val="bullet"/>
      <w:lvlText w:val="–"/>
      <w:lvlJc w:val="left"/>
      <w:pPr>
        <w:tabs>
          <w:tab w:val="num" w:pos="360"/>
        </w:tabs>
        <w:ind w:left="360" w:hanging="360"/>
      </w:pPr>
      <w:rPr>
        <w:rFonts w:ascii="Vrinda" w:hAnsi="Vrinda"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54">
    <w:nsid w:val="647A7724"/>
    <w:multiLevelType w:val="hybridMultilevel"/>
    <w:tmpl w:val="CF0691D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5">
    <w:nsid w:val="657C1826"/>
    <w:multiLevelType w:val="hybridMultilevel"/>
    <w:tmpl w:val="C79AF1D8"/>
    <w:lvl w:ilvl="0" w:tplc="B77A6332">
      <w:start w:val="2"/>
      <w:numFmt w:val="bullet"/>
      <w:lvlText w:val=""/>
      <w:lvlJc w:val="left"/>
      <w:pPr>
        <w:ind w:left="360" w:hanging="360"/>
      </w:pPr>
      <w:rPr>
        <w:rFonts w:ascii="Symbol" w:eastAsiaTheme="minorHAnsi" w:hAnsi="Symbol" w:cs="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6">
    <w:nsid w:val="65A12B27"/>
    <w:multiLevelType w:val="hybridMultilevel"/>
    <w:tmpl w:val="483238A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7">
    <w:nsid w:val="662441DD"/>
    <w:multiLevelType w:val="hybridMultilevel"/>
    <w:tmpl w:val="E7287344"/>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8">
    <w:nsid w:val="66CE3A06"/>
    <w:multiLevelType w:val="hybridMultilevel"/>
    <w:tmpl w:val="80942BA6"/>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9">
    <w:nsid w:val="66D835FE"/>
    <w:multiLevelType w:val="hybridMultilevel"/>
    <w:tmpl w:val="41CC7E9E"/>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0">
    <w:nsid w:val="67A73DD8"/>
    <w:multiLevelType w:val="hybridMultilevel"/>
    <w:tmpl w:val="94528DB4"/>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1">
    <w:nsid w:val="67AD3688"/>
    <w:multiLevelType w:val="hybridMultilevel"/>
    <w:tmpl w:val="3890351A"/>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2">
    <w:nsid w:val="68F67111"/>
    <w:multiLevelType w:val="hybridMultilevel"/>
    <w:tmpl w:val="E9DC487A"/>
    <w:lvl w:ilvl="0" w:tplc="080A0017">
      <w:start w:val="1"/>
      <w:numFmt w:val="lowerLetter"/>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63">
    <w:nsid w:val="69E82754"/>
    <w:multiLevelType w:val="hybridMultilevel"/>
    <w:tmpl w:val="C4AA2CAE"/>
    <w:styleLink w:val="111111212"/>
    <w:lvl w:ilvl="0" w:tplc="B0C0234C">
      <w:start w:val="1"/>
      <w:numFmt w:val="lowerRoman"/>
      <w:lvlText w:val="%1)"/>
      <w:lvlJc w:val="left"/>
      <w:pPr>
        <w:tabs>
          <w:tab w:val="num" w:pos="1080"/>
        </w:tabs>
        <w:ind w:left="1080" w:hanging="720"/>
      </w:pPr>
      <w:rPr>
        <w:rFonts w:hint="default"/>
      </w:rPr>
    </w:lvl>
    <w:lvl w:ilvl="1" w:tplc="0C0A0003">
      <w:start w:val="1"/>
      <w:numFmt w:val="decimal"/>
      <w:lvlText w:val="%2."/>
      <w:lvlJc w:val="left"/>
      <w:pPr>
        <w:tabs>
          <w:tab w:val="num" w:pos="1440"/>
        </w:tabs>
        <w:ind w:left="1440" w:hanging="360"/>
      </w:pPr>
      <w:rPr>
        <w:rFonts w:hint="default"/>
      </w:rPr>
    </w:lvl>
    <w:lvl w:ilvl="2" w:tplc="0C0A0005">
      <w:start w:val="1"/>
      <w:numFmt w:val="lowerRoman"/>
      <w:lvlText w:val="(%3)"/>
      <w:lvlJc w:val="left"/>
      <w:pPr>
        <w:tabs>
          <w:tab w:val="num" w:pos="2700"/>
        </w:tabs>
        <w:ind w:left="2700" w:hanging="720"/>
      </w:pPr>
      <w:rPr>
        <w:rFonts w:hint="default"/>
      </w:rPr>
    </w:lvl>
    <w:lvl w:ilvl="3" w:tplc="0C0A0001">
      <w:start w:val="1"/>
      <w:numFmt w:val="decimal"/>
      <w:lvlText w:val="%4)"/>
      <w:lvlJc w:val="left"/>
      <w:pPr>
        <w:tabs>
          <w:tab w:val="num" w:pos="2910"/>
        </w:tabs>
        <w:ind w:left="2910" w:hanging="390"/>
      </w:pPr>
      <w:rPr>
        <w:rFonts w:hint="default"/>
      </w:rPr>
    </w:lvl>
    <w:lvl w:ilvl="4" w:tplc="0C0A0003">
      <w:start w:val="1"/>
      <w:numFmt w:val="lowerLetter"/>
      <w:lvlText w:val="%5)"/>
      <w:lvlJc w:val="left"/>
      <w:pPr>
        <w:tabs>
          <w:tab w:val="num" w:pos="3600"/>
        </w:tabs>
        <w:ind w:left="3600" w:hanging="360"/>
      </w:pPr>
      <w:rPr>
        <w:rFonts w:hint="default"/>
      </w:rPr>
    </w:lvl>
    <w:lvl w:ilvl="5" w:tplc="0C0A0005">
      <w:start w:val="1"/>
      <w:numFmt w:val="upperRoman"/>
      <w:lvlText w:val="%6."/>
      <w:lvlJc w:val="left"/>
      <w:pPr>
        <w:tabs>
          <w:tab w:val="num" w:pos="4860"/>
        </w:tabs>
        <w:ind w:left="4860" w:hanging="720"/>
      </w:pPr>
      <w:rPr>
        <w:rFonts w:hint="default"/>
      </w:r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64">
    <w:nsid w:val="6BC40618"/>
    <w:multiLevelType w:val="hybridMultilevel"/>
    <w:tmpl w:val="DE2CBC1E"/>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5">
    <w:nsid w:val="6BD476F3"/>
    <w:multiLevelType w:val="multilevel"/>
    <w:tmpl w:val="4D08C1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nsid w:val="6C6D5AB4"/>
    <w:multiLevelType w:val="hybridMultilevel"/>
    <w:tmpl w:val="BA5C0230"/>
    <w:lvl w:ilvl="0" w:tplc="9FB2E6D8">
      <w:start w:val="1"/>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67">
    <w:nsid w:val="6C956331"/>
    <w:multiLevelType w:val="hybridMultilevel"/>
    <w:tmpl w:val="3C04E33E"/>
    <w:lvl w:ilvl="0" w:tplc="7520DBFC">
      <w:start w:val="1"/>
      <w:numFmt w:val="bullet"/>
      <w:lvlText w:val="–"/>
      <w:lvlJc w:val="left"/>
      <w:pPr>
        <w:ind w:left="360" w:hanging="360"/>
      </w:pPr>
      <w:rPr>
        <w:rFonts w:ascii="Times New Roman" w:hAnsi="Times New Roman" w:cs="Times New Roman" w:hint="default"/>
        <w:sz w:val="24"/>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68">
    <w:nsid w:val="6CB36300"/>
    <w:multiLevelType w:val="hybridMultilevel"/>
    <w:tmpl w:val="377C135C"/>
    <w:lvl w:ilvl="0" w:tplc="288E1828">
      <w:start w:val="1"/>
      <w:numFmt w:val="upperRoman"/>
      <w:lvlText w:val="%1."/>
      <w:lvlJc w:val="right"/>
      <w:pPr>
        <w:ind w:left="720" w:hanging="360"/>
      </w:pPr>
      <w:rPr>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9">
    <w:nsid w:val="6D366E2A"/>
    <w:multiLevelType w:val="hybridMultilevel"/>
    <w:tmpl w:val="4532DD26"/>
    <w:lvl w:ilvl="0" w:tplc="A41C4156">
      <w:start w:val="1"/>
      <w:numFmt w:val="bullet"/>
      <w:lvlText w:val="–"/>
      <w:lvlJc w:val="left"/>
      <w:pPr>
        <w:ind w:left="720" w:hanging="360"/>
      </w:pPr>
      <w:rPr>
        <w:rFonts w:ascii="Vrinda" w:hAnsi="Vrind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0">
    <w:nsid w:val="6F3D4F0E"/>
    <w:multiLevelType w:val="hybridMultilevel"/>
    <w:tmpl w:val="0D804AB0"/>
    <w:lvl w:ilvl="0" w:tplc="A41C4156">
      <w:start w:val="1"/>
      <w:numFmt w:val="bullet"/>
      <w:lvlText w:val="–"/>
      <w:lvlJc w:val="left"/>
      <w:pPr>
        <w:ind w:left="814" w:hanging="360"/>
      </w:pPr>
      <w:rPr>
        <w:rFonts w:ascii="Vrinda" w:hAnsi="Vrinda" w:hint="default"/>
        <w:sz w:val="24"/>
      </w:rPr>
    </w:lvl>
    <w:lvl w:ilvl="1" w:tplc="080A0003" w:tentative="1">
      <w:start w:val="1"/>
      <w:numFmt w:val="bullet"/>
      <w:lvlText w:val="o"/>
      <w:lvlJc w:val="left"/>
      <w:pPr>
        <w:ind w:left="1246" w:hanging="360"/>
      </w:pPr>
      <w:rPr>
        <w:rFonts w:ascii="Courier New" w:hAnsi="Courier New" w:cs="Courier New" w:hint="default"/>
      </w:rPr>
    </w:lvl>
    <w:lvl w:ilvl="2" w:tplc="080A0005" w:tentative="1">
      <w:start w:val="1"/>
      <w:numFmt w:val="bullet"/>
      <w:lvlText w:val=""/>
      <w:lvlJc w:val="left"/>
      <w:pPr>
        <w:ind w:left="1966" w:hanging="360"/>
      </w:pPr>
      <w:rPr>
        <w:rFonts w:ascii="Wingdings" w:hAnsi="Wingdings" w:hint="default"/>
      </w:rPr>
    </w:lvl>
    <w:lvl w:ilvl="3" w:tplc="080A0001" w:tentative="1">
      <w:start w:val="1"/>
      <w:numFmt w:val="bullet"/>
      <w:lvlText w:val=""/>
      <w:lvlJc w:val="left"/>
      <w:pPr>
        <w:ind w:left="2686" w:hanging="360"/>
      </w:pPr>
      <w:rPr>
        <w:rFonts w:ascii="Symbol" w:hAnsi="Symbol" w:hint="default"/>
      </w:rPr>
    </w:lvl>
    <w:lvl w:ilvl="4" w:tplc="080A0003" w:tentative="1">
      <w:start w:val="1"/>
      <w:numFmt w:val="bullet"/>
      <w:lvlText w:val="o"/>
      <w:lvlJc w:val="left"/>
      <w:pPr>
        <w:ind w:left="3406" w:hanging="360"/>
      </w:pPr>
      <w:rPr>
        <w:rFonts w:ascii="Courier New" w:hAnsi="Courier New" w:cs="Courier New" w:hint="default"/>
      </w:rPr>
    </w:lvl>
    <w:lvl w:ilvl="5" w:tplc="080A0005" w:tentative="1">
      <w:start w:val="1"/>
      <w:numFmt w:val="bullet"/>
      <w:lvlText w:val=""/>
      <w:lvlJc w:val="left"/>
      <w:pPr>
        <w:ind w:left="4126" w:hanging="360"/>
      </w:pPr>
      <w:rPr>
        <w:rFonts w:ascii="Wingdings" w:hAnsi="Wingdings" w:hint="default"/>
      </w:rPr>
    </w:lvl>
    <w:lvl w:ilvl="6" w:tplc="080A0001" w:tentative="1">
      <w:start w:val="1"/>
      <w:numFmt w:val="bullet"/>
      <w:lvlText w:val=""/>
      <w:lvlJc w:val="left"/>
      <w:pPr>
        <w:ind w:left="4846" w:hanging="360"/>
      </w:pPr>
      <w:rPr>
        <w:rFonts w:ascii="Symbol" w:hAnsi="Symbol" w:hint="default"/>
      </w:rPr>
    </w:lvl>
    <w:lvl w:ilvl="7" w:tplc="080A0003" w:tentative="1">
      <w:start w:val="1"/>
      <w:numFmt w:val="bullet"/>
      <w:lvlText w:val="o"/>
      <w:lvlJc w:val="left"/>
      <w:pPr>
        <w:ind w:left="5566" w:hanging="360"/>
      </w:pPr>
      <w:rPr>
        <w:rFonts w:ascii="Courier New" w:hAnsi="Courier New" w:cs="Courier New" w:hint="default"/>
      </w:rPr>
    </w:lvl>
    <w:lvl w:ilvl="8" w:tplc="080A0005" w:tentative="1">
      <w:start w:val="1"/>
      <w:numFmt w:val="bullet"/>
      <w:lvlText w:val=""/>
      <w:lvlJc w:val="left"/>
      <w:pPr>
        <w:ind w:left="6286" w:hanging="360"/>
      </w:pPr>
      <w:rPr>
        <w:rFonts w:ascii="Wingdings" w:hAnsi="Wingdings" w:hint="default"/>
      </w:rPr>
    </w:lvl>
  </w:abstractNum>
  <w:abstractNum w:abstractNumId="171">
    <w:nsid w:val="7008290E"/>
    <w:multiLevelType w:val="hybridMultilevel"/>
    <w:tmpl w:val="768EC8AC"/>
    <w:lvl w:ilvl="0" w:tplc="7520DBFC">
      <w:start w:val="1"/>
      <w:numFmt w:val="bullet"/>
      <w:lvlText w:val="–"/>
      <w:lvlJc w:val="left"/>
      <w:pPr>
        <w:ind w:left="360" w:hanging="360"/>
      </w:pPr>
      <w:rPr>
        <w:rFonts w:ascii="Times New Roman" w:hAnsi="Times New Roman" w:cs="Times New Roman" w:hint="default"/>
        <w:sz w:val="24"/>
      </w:rPr>
    </w:lvl>
    <w:lvl w:ilvl="1" w:tplc="7520DBFC">
      <w:start w:val="1"/>
      <w:numFmt w:val="bullet"/>
      <w:lvlText w:val="–"/>
      <w:lvlJc w:val="left"/>
      <w:pPr>
        <w:ind w:left="1080" w:hanging="360"/>
      </w:pPr>
      <w:rPr>
        <w:rFonts w:ascii="Times New Roman" w:hAnsi="Times New Roman" w:cs="Times New Roman" w:hint="default"/>
        <w:sz w:val="24"/>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2">
    <w:nsid w:val="70A37F99"/>
    <w:multiLevelType w:val="hybridMultilevel"/>
    <w:tmpl w:val="2620F38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3">
    <w:nsid w:val="710356B7"/>
    <w:multiLevelType w:val="hybridMultilevel"/>
    <w:tmpl w:val="E084DD82"/>
    <w:lvl w:ilvl="0" w:tplc="AD90E8EA">
      <w:start w:val="1"/>
      <w:numFmt w:val="bullet"/>
      <w:lvlText w:val="-"/>
      <w:lvlJc w:val="left"/>
      <w:pPr>
        <w:ind w:left="720" w:hanging="360"/>
      </w:pPr>
      <w:rPr>
        <w:rFonts w:ascii="Courier New" w:hAnsi="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4">
    <w:nsid w:val="717741DF"/>
    <w:multiLevelType w:val="hybridMultilevel"/>
    <w:tmpl w:val="80829038"/>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5">
    <w:nsid w:val="71AD3C57"/>
    <w:multiLevelType w:val="hybridMultilevel"/>
    <w:tmpl w:val="17EC1F92"/>
    <w:lvl w:ilvl="0" w:tplc="E654A1BE">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6">
    <w:nsid w:val="71CA3013"/>
    <w:multiLevelType w:val="hybridMultilevel"/>
    <w:tmpl w:val="55760B96"/>
    <w:lvl w:ilvl="0" w:tplc="5CB61D60">
      <w:start w:val="1"/>
      <w:numFmt w:val="decimal"/>
      <w:lvlText w:val="%1."/>
      <w:lvlJc w:val="left"/>
      <w:pPr>
        <w:ind w:left="720" w:hanging="360"/>
      </w:pPr>
      <w:rPr>
        <w:rFonts w:ascii="Times New Roman" w:hAnsi="Times New Roman" w:cs="Tahoma" w:hint="default"/>
        <w:snapToGrid/>
        <w:spacing w:val="16"/>
        <w:sz w:val="20"/>
        <w:szCs w:val="1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7">
    <w:nsid w:val="758B1D60"/>
    <w:multiLevelType w:val="hybridMultilevel"/>
    <w:tmpl w:val="240EB6E8"/>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8">
    <w:nsid w:val="76766A3D"/>
    <w:multiLevelType w:val="hybridMultilevel"/>
    <w:tmpl w:val="04F0C60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9">
    <w:nsid w:val="779F5309"/>
    <w:multiLevelType w:val="hybridMultilevel"/>
    <w:tmpl w:val="72685D52"/>
    <w:lvl w:ilvl="0" w:tplc="887CA48E">
      <w:start w:val="1"/>
      <w:numFmt w:val="decimal"/>
      <w:lvlText w:val="%1."/>
      <w:lvlJc w:val="left"/>
      <w:pPr>
        <w:ind w:left="644" w:hanging="360"/>
      </w:pPr>
      <w:rPr>
        <w:rFonts w:hint="default"/>
        <w:b w:val="0"/>
        <w:i w:val="0"/>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180">
    <w:nsid w:val="78D5620A"/>
    <w:multiLevelType w:val="hybridMultilevel"/>
    <w:tmpl w:val="E8209ED4"/>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1">
    <w:nsid w:val="794B756F"/>
    <w:multiLevelType w:val="hybridMultilevel"/>
    <w:tmpl w:val="9C4CA55C"/>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2">
    <w:nsid w:val="79807063"/>
    <w:multiLevelType w:val="hybridMultilevel"/>
    <w:tmpl w:val="6C4ACD8A"/>
    <w:lvl w:ilvl="0" w:tplc="E654A1BE">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3">
    <w:nsid w:val="7B030847"/>
    <w:multiLevelType w:val="hybridMultilevel"/>
    <w:tmpl w:val="87EE579A"/>
    <w:lvl w:ilvl="0" w:tplc="AD90E8EA">
      <w:start w:val="1"/>
      <w:numFmt w:val="bullet"/>
      <w:lvlText w:val="-"/>
      <w:lvlJc w:val="left"/>
      <w:pPr>
        <w:ind w:left="720" w:hanging="360"/>
      </w:pPr>
      <w:rPr>
        <w:rFonts w:ascii="Courier New" w:hAnsi="Courier New" w:hint="default"/>
      </w:rPr>
    </w:lvl>
    <w:lvl w:ilvl="1" w:tplc="AD90E8EA">
      <w:start w:val="1"/>
      <w:numFmt w:val="bullet"/>
      <w:lvlText w:val="-"/>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4">
    <w:nsid w:val="7B0F4238"/>
    <w:multiLevelType w:val="hybridMultilevel"/>
    <w:tmpl w:val="51E8C5FA"/>
    <w:lvl w:ilvl="0" w:tplc="E654A1BE">
      <w:start w:val="1"/>
      <w:numFmt w:val="bullet"/>
      <w:lvlText w:val=""/>
      <w:lvlJc w:val="left"/>
      <w:pPr>
        <w:ind w:left="720" w:hanging="360"/>
      </w:pPr>
      <w:rPr>
        <w:rFonts w:ascii="Symbol" w:hAnsi="Symbol" w:hint="default"/>
      </w:rPr>
    </w:lvl>
    <w:lvl w:ilvl="1" w:tplc="8924B9D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5">
    <w:nsid w:val="7CEC4DAF"/>
    <w:multiLevelType w:val="hybridMultilevel"/>
    <w:tmpl w:val="E564E0E4"/>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86">
    <w:nsid w:val="7DA91125"/>
    <w:multiLevelType w:val="hybridMultilevel"/>
    <w:tmpl w:val="82A09620"/>
    <w:lvl w:ilvl="0" w:tplc="E654A1BE">
      <w:start w:val="1"/>
      <w:numFmt w:val="bullet"/>
      <w:lvlText w:val=""/>
      <w:lvlJc w:val="left"/>
      <w:pPr>
        <w:ind w:left="720" w:hanging="360"/>
      </w:pPr>
      <w:rPr>
        <w:rFonts w:ascii="Symbol" w:hAnsi="Symbol" w:hint="default"/>
      </w:rPr>
    </w:lvl>
    <w:lvl w:ilvl="1" w:tplc="1FA8C362">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7">
    <w:nsid w:val="7DF444EE"/>
    <w:multiLevelType w:val="hybridMultilevel"/>
    <w:tmpl w:val="47947598"/>
    <w:lvl w:ilvl="0" w:tplc="80187B4A">
      <w:start w:val="1"/>
      <w:numFmt w:val="decimal"/>
      <w:lvlText w:val="%1."/>
      <w:lvlJc w:val="left"/>
      <w:pPr>
        <w:ind w:left="720" w:hanging="360"/>
      </w:pPr>
      <w:rPr>
        <w:rFonts w:hint="default"/>
        <w:b/>
        <w:i w:val="0"/>
        <w:color w:val="auto"/>
        <w:sz w:val="2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8">
    <w:nsid w:val="7E416607"/>
    <w:multiLevelType w:val="hybridMultilevel"/>
    <w:tmpl w:val="0AA26E5C"/>
    <w:lvl w:ilvl="0" w:tplc="E654A1BE">
      <w:start w:val="1"/>
      <w:numFmt w:val="bullet"/>
      <w:lvlText w:val=""/>
      <w:lvlJc w:val="left"/>
      <w:pPr>
        <w:ind w:left="720" w:hanging="360"/>
      </w:pPr>
      <w:rPr>
        <w:rFonts w:ascii="Symbol" w:hAnsi="Symbol" w:hint="default"/>
      </w:rPr>
    </w:lvl>
    <w:lvl w:ilvl="1" w:tplc="270C630C">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9">
    <w:nsid w:val="7FCA372B"/>
    <w:multiLevelType w:val="hybridMultilevel"/>
    <w:tmpl w:val="42D2081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0">
    <w:nsid w:val="7FEB3A3B"/>
    <w:multiLevelType w:val="hybridMultilevel"/>
    <w:tmpl w:val="4A42349C"/>
    <w:lvl w:ilvl="0" w:tplc="A41C4156">
      <w:start w:val="1"/>
      <w:numFmt w:val="bullet"/>
      <w:lvlText w:val="–"/>
      <w:lvlJc w:val="left"/>
      <w:pPr>
        <w:ind w:left="360" w:hanging="360"/>
      </w:pPr>
      <w:rPr>
        <w:rFonts w:ascii="Vrinda" w:hAnsi="Vrinda"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num w:numId="1">
    <w:abstractNumId w:val="29"/>
  </w:num>
  <w:num w:numId="2">
    <w:abstractNumId w:val="3"/>
  </w:num>
  <w:num w:numId="3">
    <w:abstractNumId w:val="4"/>
  </w:num>
  <w:num w:numId="4">
    <w:abstractNumId w:val="2"/>
  </w:num>
  <w:num w:numId="5">
    <w:abstractNumId w:val="7"/>
  </w:num>
  <w:num w:numId="6">
    <w:abstractNumId w:val="163"/>
  </w:num>
  <w:num w:numId="7">
    <w:abstractNumId w:val="47"/>
  </w:num>
  <w:num w:numId="8">
    <w:abstractNumId w:val="1"/>
  </w:num>
  <w:num w:numId="9">
    <w:abstractNumId w:val="66"/>
  </w:num>
  <w:num w:numId="10">
    <w:abstractNumId w:val="123"/>
  </w:num>
  <w:num w:numId="11">
    <w:abstractNumId w:val="0"/>
  </w:num>
  <w:num w:numId="12">
    <w:abstractNumId w:val="105"/>
  </w:num>
  <w:num w:numId="13">
    <w:abstractNumId w:val="89"/>
  </w:num>
  <w:num w:numId="14">
    <w:abstractNumId w:val="184"/>
  </w:num>
  <w:num w:numId="15">
    <w:abstractNumId w:val="76"/>
  </w:num>
  <w:num w:numId="16">
    <w:abstractNumId w:val="19"/>
  </w:num>
  <w:num w:numId="17">
    <w:abstractNumId w:val="104"/>
  </w:num>
  <w:num w:numId="18">
    <w:abstractNumId w:val="32"/>
  </w:num>
  <w:num w:numId="19">
    <w:abstractNumId w:val="128"/>
  </w:num>
  <w:num w:numId="20">
    <w:abstractNumId w:val="176"/>
  </w:num>
  <w:num w:numId="21">
    <w:abstractNumId w:val="156"/>
  </w:num>
  <w:num w:numId="22">
    <w:abstractNumId w:val="97"/>
  </w:num>
  <w:num w:numId="23">
    <w:abstractNumId w:val="111"/>
  </w:num>
  <w:num w:numId="24">
    <w:abstractNumId w:val="173"/>
  </w:num>
  <w:num w:numId="25">
    <w:abstractNumId w:val="79"/>
  </w:num>
  <w:num w:numId="26">
    <w:abstractNumId w:val="35"/>
  </w:num>
  <w:num w:numId="27">
    <w:abstractNumId w:val="56"/>
  </w:num>
  <w:num w:numId="28">
    <w:abstractNumId w:val="15"/>
  </w:num>
  <w:num w:numId="29">
    <w:abstractNumId w:val="55"/>
  </w:num>
  <w:num w:numId="30">
    <w:abstractNumId w:val="67"/>
  </w:num>
  <w:num w:numId="31">
    <w:abstractNumId w:val="122"/>
  </w:num>
  <w:num w:numId="32">
    <w:abstractNumId w:val="82"/>
  </w:num>
  <w:num w:numId="33">
    <w:abstractNumId w:val="75"/>
  </w:num>
  <w:num w:numId="34">
    <w:abstractNumId w:val="96"/>
  </w:num>
  <w:num w:numId="35">
    <w:abstractNumId w:val="124"/>
  </w:num>
  <w:num w:numId="36">
    <w:abstractNumId w:val="110"/>
  </w:num>
  <w:num w:numId="37">
    <w:abstractNumId w:val="54"/>
  </w:num>
  <w:num w:numId="38">
    <w:abstractNumId w:val="94"/>
  </w:num>
  <w:num w:numId="39">
    <w:abstractNumId w:val="62"/>
  </w:num>
  <w:num w:numId="40">
    <w:abstractNumId w:val="139"/>
  </w:num>
  <w:num w:numId="41">
    <w:abstractNumId w:val="179"/>
  </w:num>
  <w:num w:numId="42">
    <w:abstractNumId w:val="71"/>
  </w:num>
  <w:num w:numId="43">
    <w:abstractNumId w:val="98"/>
  </w:num>
  <w:num w:numId="44">
    <w:abstractNumId w:val="186"/>
  </w:num>
  <w:num w:numId="45">
    <w:abstractNumId w:val="17"/>
  </w:num>
  <w:num w:numId="46">
    <w:abstractNumId w:val="5"/>
  </w:num>
  <w:num w:numId="47">
    <w:abstractNumId w:val="188"/>
  </w:num>
  <w:num w:numId="48">
    <w:abstractNumId w:val="14"/>
  </w:num>
  <w:num w:numId="49">
    <w:abstractNumId w:val="45"/>
  </w:num>
  <w:num w:numId="50">
    <w:abstractNumId w:val="138"/>
  </w:num>
  <w:num w:numId="51">
    <w:abstractNumId w:val="11"/>
  </w:num>
  <w:num w:numId="52">
    <w:abstractNumId w:val="16"/>
  </w:num>
  <w:num w:numId="53">
    <w:abstractNumId w:val="165"/>
  </w:num>
  <w:num w:numId="54">
    <w:abstractNumId w:val="51"/>
  </w:num>
  <w:num w:numId="55">
    <w:abstractNumId w:val="37"/>
  </w:num>
  <w:num w:numId="56">
    <w:abstractNumId w:val="129"/>
  </w:num>
  <w:num w:numId="57">
    <w:abstractNumId w:val="159"/>
  </w:num>
  <w:num w:numId="58">
    <w:abstractNumId w:val="125"/>
  </w:num>
  <w:num w:numId="59">
    <w:abstractNumId w:val="88"/>
  </w:num>
  <w:num w:numId="60">
    <w:abstractNumId w:val="36"/>
  </w:num>
  <w:num w:numId="61">
    <w:abstractNumId w:val="90"/>
  </w:num>
  <w:num w:numId="62">
    <w:abstractNumId w:val="169"/>
  </w:num>
  <w:num w:numId="63">
    <w:abstractNumId w:val="44"/>
  </w:num>
  <w:num w:numId="64">
    <w:abstractNumId w:val="30"/>
  </w:num>
  <w:num w:numId="65">
    <w:abstractNumId w:val="133"/>
  </w:num>
  <w:num w:numId="66">
    <w:abstractNumId w:val="170"/>
  </w:num>
  <w:num w:numId="67">
    <w:abstractNumId w:val="126"/>
  </w:num>
  <w:num w:numId="68">
    <w:abstractNumId w:val="25"/>
  </w:num>
  <w:num w:numId="69">
    <w:abstractNumId w:val="178"/>
  </w:num>
  <w:num w:numId="70">
    <w:abstractNumId w:val="91"/>
  </w:num>
  <w:num w:numId="71">
    <w:abstractNumId w:val="40"/>
  </w:num>
  <w:num w:numId="72">
    <w:abstractNumId w:val="150"/>
  </w:num>
  <w:num w:numId="73">
    <w:abstractNumId w:val="143"/>
  </w:num>
  <w:num w:numId="74">
    <w:abstractNumId w:val="151"/>
  </w:num>
  <w:num w:numId="75">
    <w:abstractNumId w:val="114"/>
  </w:num>
  <w:num w:numId="76">
    <w:abstractNumId w:val="166"/>
  </w:num>
  <w:num w:numId="77">
    <w:abstractNumId w:val="162"/>
  </w:num>
  <w:num w:numId="78">
    <w:abstractNumId w:val="103"/>
  </w:num>
  <w:num w:numId="79">
    <w:abstractNumId w:val="33"/>
  </w:num>
  <w:num w:numId="80">
    <w:abstractNumId w:val="108"/>
  </w:num>
  <w:num w:numId="81">
    <w:abstractNumId w:val="107"/>
  </w:num>
  <w:num w:numId="82">
    <w:abstractNumId w:val="46"/>
  </w:num>
  <w:num w:numId="83">
    <w:abstractNumId w:val="26"/>
  </w:num>
  <w:num w:numId="84">
    <w:abstractNumId w:val="189"/>
  </w:num>
  <w:num w:numId="85">
    <w:abstractNumId w:val="146"/>
  </w:num>
  <w:num w:numId="86">
    <w:abstractNumId w:val="154"/>
  </w:num>
  <w:num w:numId="87">
    <w:abstractNumId w:val="175"/>
  </w:num>
  <w:num w:numId="88">
    <w:abstractNumId w:val="59"/>
  </w:num>
  <w:num w:numId="89">
    <w:abstractNumId w:val="70"/>
  </w:num>
  <w:num w:numId="90">
    <w:abstractNumId w:val="68"/>
  </w:num>
  <w:num w:numId="91">
    <w:abstractNumId w:val="63"/>
  </w:num>
  <w:num w:numId="92">
    <w:abstractNumId w:val="116"/>
  </w:num>
  <w:num w:numId="93">
    <w:abstractNumId w:val="158"/>
  </w:num>
  <w:num w:numId="94">
    <w:abstractNumId w:val="34"/>
  </w:num>
  <w:num w:numId="95">
    <w:abstractNumId w:val="83"/>
  </w:num>
  <w:num w:numId="96">
    <w:abstractNumId w:val="92"/>
  </w:num>
  <w:num w:numId="97">
    <w:abstractNumId w:val="100"/>
  </w:num>
  <w:num w:numId="98">
    <w:abstractNumId w:val="132"/>
  </w:num>
  <w:num w:numId="99">
    <w:abstractNumId w:val="93"/>
  </w:num>
  <w:num w:numId="100">
    <w:abstractNumId w:val="140"/>
  </w:num>
  <w:num w:numId="101">
    <w:abstractNumId w:val="185"/>
  </w:num>
  <w:num w:numId="102">
    <w:abstractNumId w:val="168"/>
  </w:num>
  <w:num w:numId="103">
    <w:abstractNumId w:val="152"/>
  </w:num>
  <w:num w:numId="104">
    <w:abstractNumId w:val="81"/>
  </w:num>
  <w:num w:numId="105">
    <w:abstractNumId w:val="49"/>
  </w:num>
  <w:num w:numId="106">
    <w:abstractNumId w:val="8"/>
  </w:num>
  <w:num w:numId="107">
    <w:abstractNumId w:val="117"/>
  </w:num>
  <w:num w:numId="108">
    <w:abstractNumId w:val="172"/>
  </w:num>
  <w:num w:numId="109">
    <w:abstractNumId w:val="121"/>
  </w:num>
  <w:num w:numId="110">
    <w:abstractNumId w:val="106"/>
  </w:num>
  <w:num w:numId="111">
    <w:abstractNumId w:val="181"/>
  </w:num>
  <w:num w:numId="112">
    <w:abstractNumId w:val="23"/>
  </w:num>
  <w:num w:numId="113">
    <w:abstractNumId w:val="102"/>
  </w:num>
  <w:num w:numId="114">
    <w:abstractNumId w:val="69"/>
  </w:num>
  <w:num w:numId="115">
    <w:abstractNumId w:val="182"/>
  </w:num>
  <w:num w:numId="116">
    <w:abstractNumId w:val="41"/>
  </w:num>
  <w:num w:numId="117">
    <w:abstractNumId w:val="174"/>
  </w:num>
  <w:num w:numId="118">
    <w:abstractNumId w:val="72"/>
  </w:num>
  <w:num w:numId="119">
    <w:abstractNumId w:val="20"/>
  </w:num>
  <w:num w:numId="120">
    <w:abstractNumId w:val="9"/>
  </w:num>
  <w:num w:numId="121">
    <w:abstractNumId w:val="157"/>
  </w:num>
  <w:num w:numId="122">
    <w:abstractNumId w:val="153"/>
  </w:num>
  <w:num w:numId="123">
    <w:abstractNumId w:val="38"/>
  </w:num>
  <w:num w:numId="124">
    <w:abstractNumId w:val="53"/>
  </w:num>
  <w:num w:numId="125">
    <w:abstractNumId w:val="12"/>
  </w:num>
  <w:num w:numId="126">
    <w:abstractNumId w:val="73"/>
  </w:num>
  <w:num w:numId="127">
    <w:abstractNumId w:val="119"/>
  </w:num>
  <w:num w:numId="128">
    <w:abstractNumId w:val="27"/>
  </w:num>
  <w:num w:numId="129">
    <w:abstractNumId w:val="28"/>
  </w:num>
  <w:num w:numId="130">
    <w:abstractNumId w:val="144"/>
  </w:num>
  <w:num w:numId="131">
    <w:abstractNumId w:val="115"/>
  </w:num>
  <w:num w:numId="132">
    <w:abstractNumId w:val="99"/>
  </w:num>
  <w:num w:numId="133">
    <w:abstractNumId w:val="127"/>
  </w:num>
  <w:num w:numId="134">
    <w:abstractNumId w:val="136"/>
  </w:num>
  <w:num w:numId="135">
    <w:abstractNumId w:val="61"/>
  </w:num>
  <w:num w:numId="136">
    <w:abstractNumId w:val="87"/>
  </w:num>
  <w:num w:numId="137">
    <w:abstractNumId w:val="145"/>
  </w:num>
  <w:num w:numId="138">
    <w:abstractNumId w:val="64"/>
  </w:num>
  <w:num w:numId="139">
    <w:abstractNumId w:val="167"/>
  </w:num>
  <w:num w:numId="140">
    <w:abstractNumId w:val="50"/>
  </w:num>
  <w:num w:numId="141">
    <w:abstractNumId w:val="118"/>
  </w:num>
  <w:num w:numId="142">
    <w:abstractNumId w:val="74"/>
  </w:num>
  <w:num w:numId="143">
    <w:abstractNumId w:val="135"/>
  </w:num>
  <w:num w:numId="144">
    <w:abstractNumId w:val="131"/>
  </w:num>
  <w:num w:numId="145">
    <w:abstractNumId w:val="148"/>
  </w:num>
  <w:num w:numId="146">
    <w:abstractNumId w:val="80"/>
  </w:num>
  <w:num w:numId="147">
    <w:abstractNumId w:val="48"/>
  </w:num>
  <w:num w:numId="148">
    <w:abstractNumId w:val="43"/>
  </w:num>
  <w:num w:numId="149">
    <w:abstractNumId w:val="180"/>
  </w:num>
  <w:num w:numId="150">
    <w:abstractNumId w:val="95"/>
  </w:num>
  <w:num w:numId="151">
    <w:abstractNumId w:val="57"/>
  </w:num>
  <w:num w:numId="152">
    <w:abstractNumId w:val="137"/>
  </w:num>
  <w:num w:numId="153">
    <w:abstractNumId w:val="65"/>
  </w:num>
  <w:num w:numId="154">
    <w:abstractNumId w:val="183"/>
  </w:num>
  <w:num w:numId="155">
    <w:abstractNumId w:val="86"/>
  </w:num>
  <w:num w:numId="156">
    <w:abstractNumId w:val="160"/>
  </w:num>
  <w:num w:numId="157">
    <w:abstractNumId w:val="77"/>
  </w:num>
  <w:num w:numId="158">
    <w:abstractNumId w:val="113"/>
  </w:num>
  <w:num w:numId="159">
    <w:abstractNumId w:val="13"/>
  </w:num>
  <w:num w:numId="160">
    <w:abstractNumId w:val="164"/>
  </w:num>
  <w:num w:numId="161">
    <w:abstractNumId w:val="39"/>
  </w:num>
  <w:num w:numId="162">
    <w:abstractNumId w:val="52"/>
  </w:num>
  <w:num w:numId="163">
    <w:abstractNumId w:val="24"/>
  </w:num>
  <w:num w:numId="164">
    <w:abstractNumId w:val="120"/>
  </w:num>
  <w:num w:numId="165">
    <w:abstractNumId w:val="58"/>
  </w:num>
  <w:num w:numId="166">
    <w:abstractNumId w:val="177"/>
  </w:num>
  <w:num w:numId="167">
    <w:abstractNumId w:val="85"/>
  </w:num>
  <w:num w:numId="168">
    <w:abstractNumId w:val="130"/>
  </w:num>
  <w:num w:numId="169">
    <w:abstractNumId w:val="161"/>
  </w:num>
  <w:num w:numId="170">
    <w:abstractNumId w:val="22"/>
  </w:num>
  <w:num w:numId="171">
    <w:abstractNumId w:val="84"/>
  </w:num>
  <w:num w:numId="172">
    <w:abstractNumId w:val="101"/>
  </w:num>
  <w:num w:numId="173">
    <w:abstractNumId w:val="142"/>
  </w:num>
  <w:num w:numId="174">
    <w:abstractNumId w:val="109"/>
  </w:num>
  <w:num w:numId="175">
    <w:abstractNumId w:val="21"/>
  </w:num>
  <w:num w:numId="176">
    <w:abstractNumId w:val="18"/>
  </w:num>
  <w:num w:numId="177">
    <w:abstractNumId w:val="190"/>
  </w:num>
  <w:num w:numId="178">
    <w:abstractNumId w:val="60"/>
  </w:num>
  <w:num w:numId="179">
    <w:abstractNumId w:val="31"/>
  </w:num>
  <w:num w:numId="180">
    <w:abstractNumId w:val="10"/>
  </w:num>
  <w:num w:numId="181">
    <w:abstractNumId w:val="147"/>
  </w:num>
  <w:num w:numId="182">
    <w:abstractNumId w:val="78"/>
  </w:num>
  <w:num w:numId="183">
    <w:abstractNumId w:val="112"/>
  </w:num>
  <w:num w:numId="184">
    <w:abstractNumId w:val="141"/>
  </w:num>
  <w:num w:numId="185">
    <w:abstractNumId w:val="187"/>
  </w:num>
  <w:num w:numId="186">
    <w:abstractNumId w:val="6"/>
  </w:num>
  <w:num w:numId="187">
    <w:abstractNumId w:val="171"/>
  </w:num>
  <w:num w:numId="188">
    <w:abstractNumId w:val="42"/>
  </w:num>
  <w:num w:numId="189">
    <w:abstractNumId w:val="134"/>
  </w:num>
  <w:num w:numId="190">
    <w:abstractNumId w:val="155"/>
  </w:num>
  <w:num w:numId="191">
    <w:abstractNumId w:val="149"/>
  </w:num>
  <w:numIdMacAtCleanup w:val="1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2"/>
  <w:displayBackgroundShape/>
  <w:hideSpellingErrors/>
  <w:hideGrammaticalErrors/>
  <w:activeWritingStyle w:appName="MSWord" w:lang="pt-BR" w:vendorID="64" w:dllVersion="131078" w:nlCheck="1" w:checkStyle="0"/>
  <w:activeWritingStyle w:appName="MSWord" w:lang="es-ES" w:vendorID="64" w:dllVersion="131078" w:nlCheck="1" w:checkStyle="1"/>
  <w:activeWritingStyle w:appName="MSWord" w:lang="es-MX"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FR" w:vendorID="64" w:dllVersion="131078" w:nlCheck="1" w:checkStyle="1"/>
  <w:activeWritingStyle w:appName="MSWord" w:lang="es-CO" w:vendorID="64" w:dllVersion="131078" w:nlCheck="1" w:checkStyle="1"/>
  <w:activeWritingStyle w:appName="MSWord" w:lang="es-419"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hdrShapeDefaults>
    <o:shapedefaults v:ext="edit" spidmax="2049">
      <o:colormru v:ext="edit" colors="#33c,#33f,#006,#00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81B"/>
    <w:rsid w:val="00000070"/>
    <w:rsid w:val="0000010F"/>
    <w:rsid w:val="00000156"/>
    <w:rsid w:val="0000017B"/>
    <w:rsid w:val="00000377"/>
    <w:rsid w:val="00000564"/>
    <w:rsid w:val="000005E4"/>
    <w:rsid w:val="00000743"/>
    <w:rsid w:val="000007C2"/>
    <w:rsid w:val="0000081A"/>
    <w:rsid w:val="000008FE"/>
    <w:rsid w:val="000009C4"/>
    <w:rsid w:val="00000A71"/>
    <w:rsid w:val="00000ADE"/>
    <w:rsid w:val="00000B31"/>
    <w:rsid w:val="00000B32"/>
    <w:rsid w:val="00000BBF"/>
    <w:rsid w:val="00000BC3"/>
    <w:rsid w:val="00000DBE"/>
    <w:rsid w:val="00000ED8"/>
    <w:rsid w:val="00000EF6"/>
    <w:rsid w:val="00000F7A"/>
    <w:rsid w:val="00000F8B"/>
    <w:rsid w:val="00000FBF"/>
    <w:rsid w:val="0000105B"/>
    <w:rsid w:val="000010AB"/>
    <w:rsid w:val="000010DB"/>
    <w:rsid w:val="000011C0"/>
    <w:rsid w:val="00001224"/>
    <w:rsid w:val="00001259"/>
    <w:rsid w:val="000012BB"/>
    <w:rsid w:val="00001370"/>
    <w:rsid w:val="000014C6"/>
    <w:rsid w:val="00001604"/>
    <w:rsid w:val="0000165B"/>
    <w:rsid w:val="00001670"/>
    <w:rsid w:val="000016EA"/>
    <w:rsid w:val="0000179C"/>
    <w:rsid w:val="000017F2"/>
    <w:rsid w:val="000018CF"/>
    <w:rsid w:val="000018F2"/>
    <w:rsid w:val="000019AE"/>
    <w:rsid w:val="000019E8"/>
    <w:rsid w:val="00001AAE"/>
    <w:rsid w:val="00001AD9"/>
    <w:rsid w:val="00001C37"/>
    <w:rsid w:val="00001C3B"/>
    <w:rsid w:val="00001C89"/>
    <w:rsid w:val="00001CDA"/>
    <w:rsid w:val="00001D9C"/>
    <w:rsid w:val="00001DFC"/>
    <w:rsid w:val="00001EBD"/>
    <w:rsid w:val="00001FA9"/>
    <w:rsid w:val="000021AB"/>
    <w:rsid w:val="00002265"/>
    <w:rsid w:val="00002311"/>
    <w:rsid w:val="00002388"/>
    <w:rsid w:val="00002507"/>
    <w:rsid w:val="00002510"/>
    <w:rsid w:val="00002586"/>
    <w:rsid w:val="00002587"/>
    <w:rsid w:val="0000259E"/>
    <w:rsid w:val="0000265C"/>
    <w:rsid w:val="0000266C"/>
    <w:rsid w:val="000027A1"/>
    <w:rsid w:val="0000284F"/>
    <w:rsid w:val="00002875"/>
    <w:rsid w:val="000028D3"/>
    <w:rsid w:val="000028DF"/>
    <w:rsid w:val="0000290A"/>
    <w:rsid w:val="0000291D"/>
    <w:rsid w:val="00002971"/>
    <w:rsid w:val="00002975"/>
    <w:rsid w:val="00002A18"/>
    <w:rsid w:val="00002A24"/>
    <w:rsid w:val="00002A51"/>
    <w:rsid w:val="00002AE6"/>
    <w:rsid w:val="00002B0B"/>
    <w:rsid w:val="00002C35"/>
    <w:rsid w:val="00002C77"/>
    <w:rsid w:val="00002C8D"/>
    <w:rsid w:val="00002CCD"/>
    <w:rsid w:val="00002D79"/>
    <w:rsid w:val="00002E56"/>
    <w:rsid w:val="00002EFD"/>
    <w:rsid w:val="00002F70"/>
    <w:rsid w:val="00002FB5"/>
    <w:rsid w:val="00002FE7"/>
    <w:rsid w:val="00002FEA"/>
    <w:rsid w:val="000030C9"/>
    <w:rsid w:val="00003103"/>
    <w:rsid w:val="00003105"/>
    <w:rsid w:val="000031C4"/>
    <w:rsid w:val="00003238"/>
    <w:rsid w:val="00003291"/>
    <w:rsid w:val="0000330B"/>
    <w:rsid w:val="0000333A"/>
    <w:rsid w:val="000033C0"/>
    <w:rsid w:val="0000340D"/>
    <w:rsid w:val="00003455"/>
    <w:rsid w:val="0000349C"/>
    <w:rsid w:val="0000353C"/>
    <w:rsid w:val="0000358E"/>
    <w:rsid w:val="000035B0"/>
    <w:rsid w:val="000035EC"/>
    <w:rsid w:val="0000366B"/>
    <w:rsid w:val="00003699"/>
    <w:rsid w:val="000036A1"/>
    <w:rsid w:val="00003735"/>
    <w:rsid w:val="00003748"/>
    <w:rsid w:val="00003840"/>
    <w:rsid w:val="0000391D"/>
    <w:rsid w:val="000039C0"/>
    <w:rsid w:val="000039DC"/>
    <w:rsid w:val="000039F5"/>
    <w:rsid w:val="00003B7F"/>
    <w:rsid w:val="00003BC6"/>
    <w:rsid w:val="00003C25"/>
    <w:rsid w:val="00003CA3"/>
    <w:rsid w:val="00003D12"/>
    <w:rsid w:val="00003EA8"/>
    <w:rsid w:val="000040E8"/>
    <w:rsid w:val="0000414F"/>
    <w:rsid w:val="000041A6"/>
    <w:rsid w:val="00004279"/>
    <w:rsid w:val="0000428D"/>
    <w:rsid w:val="000042EA"/>
    <w:rsid w:val="000042F0"/>
    <w:rsid w:val="00004634"/>
    <w:rsid w:val="000046F4"/>
    <w:rsid w:val="0000491F"/>
    <w:rsid w:val="00004959"/>
    <w:rsid w:val="00004A37"/>
    <w:rsid w:val="00004A3E"/>
    <w:rsid w:val="00004AD4"/>
    <w:rsid w:val="00004B25"/>
    <w:rsid w:val="00004B8A"/>
    <w:rsid w:val="00004BFF"/>
    <w:rsid w:val="00004C7D"/>
    <w:rsid w:val="00004D1A"/>
    <w:rsid w:val="00004DE0"/>
    <w:rsid w:val="00004F9F"/>
    <w:rsid w:val="00004FDF"/>
    <w:rsid w:val="000051D8"/>
    <w:rsid w:val="000052AC"/>
    <w:rsid w:val="00005338"/>
    <w:rsid w:val="00005579"/>
    <w:rsid w:val="000055DC"/>
    <w:rsid w:val="00005761"/>
    <w:rsid w:val="000057AB"/>
    <w:rsid w:val="000059BB"/>
    <w:rsid w:val="000059D0"/>
    <w:rsid w:val="00005A5B"/>
    <w:rsid w:val="00005A74"/>
    <w:rsid w:val="00005AA7"/>
    <w:rsid w:val="00005AB0"/>
    <w:rsid w:val="00005AB2"/>
    <w:rsid w:val="00005B31"/>
    <w:rsid w:val="00005B33"/>
    <w:rsid w:val="00005BA2"/>
    <w:rsid w:val="00005BB2"/>
    <w:rsid w:val="00005C72"/>
    <w:rsid w:val="00005D93"/>
    <w:rsid w:val="00005D97"/>
    <w:rsid w:val="00005DC2"/>
    <w:rsid w:val="00005DC7"/>
    <w:rsid w:val="00005FD7"/>
    <w:rsid w:val="0000602C"/>
    <w:rsid w:val="00006041"/>
    <w:rsid w:val="00006056"/>
    <w:rsid w:val="000060F8"/>
    <w:rsid w:val="0000614D"/>
    <w:rsid w:val="000061FB"/>
    <w:rsid w:val="00006351"/>
    <w:rsid w:val="00006576"/>
    <w:rsid w:val="0000664F"/>
    <w:rsid w:val="00006776"/>
    <w:rsid w:val="00006843"/>
    <w:rsid w:val="000068BD"/>
    <w:rsid w:val="00006AE3"/>
    <w:rsid w:val="00006AEF"/>
    <w:rsid w:val="00006B82"/>
    <w:rsid w:val="00006BD7"/>
    <w:rsid w:val="00006C43"/>
    <w:rsid w:val="00006D5F"/>
    <w:rsid w:val="00006DD4"/>
    <w:rsid w:val="00006E21"/>
    <w:rsid w:val="00006F64"/>
    <w:rsid w:val="00006FDE"/>
    <w:rsid w:val="0000700E"/>
    <w:rsid w:val="0000702E"/>
    <w:rsid w:val="0000704C"/>
    <w:rsid w:val="0000707D"/>
    <w:rsid w:val="0000713D"/>
    <w:rsid w:val="00007161"/>
    <w:rsid w:val="00007242"/>
    <w:rsid w:val="000073F8"/>
    <w:rsid w:val="0000741C"/>
    <w:rsid w:val="00007460"/>
    <w:rsid w:val="0000749C"/>
    <w:rsid w:val="000074E0"/>
    <w:rsid w:val="000075E9"/>
    <w:rsid w:val="00007708"/>
    <w:rsid w:val="00007716"/>
    <w:rsid w:val="0000787C"/>
    <w:rsid w:val="000078B0"/>
    <w:rsid w:val="000078C4"/>
    <w:rsid w:val="000078D3"/>
    <w:rsid w:val="00007948"/>
    <w:rsid w:val="00007A95"/>
    <w:rsid w:val="00007B5D"/>
    <w:rsid w:val="00007BFE"/>
    <w:rsid w:val="00007C2D"/>
    <w:rsid w:val="00007DE0"/>
    <w:rsid w:val="00007DFE"/>
    <w:rsid w:val="00007F2E"/>
    <w:rsid w:val="00007F31"/>
    <w:rsid w:val="00007FEB"/>
    <w:rsid w:val="000100B7"/>
    <w:rsid w:val="000100BB"/>
    <w:rsid w:val="000100C7"/>
    <w:rsid w:val="000100E4"/>
    <w:rsid w:val="00010141"/>
    <w:rsid w:val="00010223"/>
    <w:rsid w:val="00010282"/>
    <w:rsid w:val="000102B5"/>
    <w:rsid w:val="00010350"/>
    <w:rsid w:val="0001037D"/>
    <w:rsid w:val="000103A1"/>
    <w:rsid w:val="00010413"/>
    <w:rsid w:val="00010642"/>
    <w:rsid w:val="00010733"/>
    <w:rsid w:val="000108C3"/>
    <w:rsid w:val="000108E9"/>
    <w:rsid w:val="00010913"/>
    <w:rsid w:val="00010A9F"/>
    <w:rsid w:val="00010BB8"/>
    <w:rsid w:val="00010C22"/>
    <w:rsid w:val="00010D4D"/>
    <w:rsid w:val="00010D61"/>
    <w:rsid w:val="00010D80"/>
    <w:rsid w:val="00010F75"/>
    <w:rsid w:val="00010FEC"/>
    <w:rsid w:val="000110E1"/>
    <w:rsid w:val="000110E6"/>
    <w:rsid w:val="00011278"/>
    <w:rsid w:val="00011295"/>
    <w:rsid w:val="00011297"/>
    <w:rsid w:val="000112BD"/>
    <w:rsid w:val="00011383"/>
    <w:rsid w:val="0001140F"/>
    <w:rsid w:val="000114BA"/>
    <w:rsid w:val="00011564"/>
    <w:rsid w:val="0001164C"/>
    <w:rsid w:val="0001167B"/>
    <w:rsid w:val="00011683"/>
    <w:rsid w:val="00011737"/>
    <w:rsid w:val="00011823"/>
    <w:rsid w:val="00011835"/>
    <w:rsid w:val="00011896"/>
    <w:rsid w:val="000118A4"/>
    <w:rsid w:val="00011A1D"/>
    <w:rsid w:val="00011BED"/>
    <w:rsid w:val="00011C1A"/>
    <w:rsid w:val="00011C32"/>
    <w:rsid w:val="00011D43"/>
    <w:rsid w:val="00011DE5"/>
    <w:rsid w:val="00011E16"/>
    <w:rsid w:val="00011E79"/>
    <w:rsid w:val="00011EBA"/>
    <w:rsid w:val="00011FAB"/>
    <w:rsid w:val="00012453"/>
    <w:rsid w:val="000124AB"/>
    <w:rsid w:val="0001259D"/>
    <w:rsid w:val="000125F3"/>
    <w:rsid w:val="000126F7"/>
    <w:rsid w:val="0001271A"/>
    <w:rsid w:val="00012780"/>
    <w:rsid w:val="00012846"/>
    <w:rsid w:val="0001292A"/>
    <w:rsid w:val="00012A63"/>
    <w:rsid w:val="00012B20"/>
    <w:rsid w:val="00012B6B"/>
    <w:rsid w:val="00012C37"/>
    <w:rsid w:val="00012C3A"/>
    <w:rsid w:val="00012C60"/>
    <w:rsid w:val="00012D7C"/>
    <w:rsid w:val="00012DFD"/>
    <w:rsid w:val="0001301C"/>
    <w:rsid w:val="00013031"/>
    <w:rsid w:val="0001305F"/>
    <w:rsid w:val="000130B2"/>
    <w:rsid w:val="0001314E"/>
    <w:rsid w:val="000131C2"/>
    <w:rsid w:val="00013289"/>
    <w:rsid w:val="000132BD"/>
    <w:rsid w:val="000133B8"/>
    <w:rsid w:val="00013400"/>
    <w:rsid w:val="000134F2"/>
    <w:rsid w:val="00013507"/>
    <w:rsid w:val="00013553"/>
    <w:rsid w:val="00013877"/>
    <w:rsid w:val="000138E8"/>
    <w:rsid w:val="00013A3E"/>
    <w:rsid w:val="00013A42"/>
    <w:rsid w:val="00013B0D"/>
    <w:rsid w:val="00013B90"/>
    <w:rsid w:val="00013C05"/>
    <w:rsid w:val="00013D37"/>
    <w:rsid w:val="00013F00"/>
    <w:rsid w:val="00014000"/>
    <w:rsid w:val="000140A3"/>
    <w:rsid w:val="000140CA"/>
    <w:rsid w:val="00014259"/>
    <w:rsid w:val="0001425A"/>
    <w:rsid w:val="0001432B"/>
    <w:rsid w:val="00014444"/>
    <w:rsid w:val="000144B4"/>
    <w:rsid w:val="0001464D"/>
    <w:rsid w:val="00014706"/>
    <w:rsid w:val="00014760"/>
    <w:rsid w:val="000147A7"/>
    <w:rsid w:val="000147D7"/>
    <w:rsid w:val="0001495A"/>
    <w:rsid w:val="0001495B"/>
    <w:rsid w:val="000149E2"/>
    <w:rsid w:val="00014A2B"/>
    <w:rsid w:val="00014A7A"/>
    <w:rsid w:val="00014AEA"/>
    <w:rsid w:val="00014AEF"/>
    <w:rsid w:val="00014BC7"/>
    <w:rsid w:val="00014CF3"/>
    <w:rsid w:val="00014D96"/>
    <w:rsid w:val="00014E28"/>
    <w:rsid w:val="0001504F"/>
    <w:rsid w:val="00015054"/>
    <w:rsid w:val="00015090"/>
    <w:rsid w:val="000150A9"/>
    <w:rsid w:val="000150E2"/>
    <w:rsid w:val="00015119"/>
    <w:rsid w:val="0001537B"/>
    <w:rsid w:val="00015425"/>
    <w:rsid w:val="00015495"/>
    <w:rsid w:val="00015593"/>
    <w:rsid w:val="000155A8"/>
    <w:rsid w:val="00015733"/>
    <w:rsid w:val="00015737"/>
    <w:rsid w:val="0001575E"/>
    <w:rsid w:val="0001593E"/>
    <w:rsid w:val="00015B7E"/>
    <w:rsid w:val="00015BA5"/>
    <w:rsid w:val="00015BDD"/>
    <w:rsid w:val="00015CDA"/>
    <w:rsid w:val="00015CDE"/>
    <w:rsid w:val="00015CEB"/>
    <w:rsid w:val="00015D75"/>
    <w:rsid w:val="00015F04"/>
    <w:rsid w:val="00016093"/>
    <w:rsid w:val="00016164"/>
    <w:rsid w:val="000161E5"/>
    <w:rsid w:val="00016250"/>
    <w:rsid w:val="00016372"/>
    <w:rsid w:val="00016392"/>
    <w:rsid w:val="000164A7"/>
    <w:rsid w:val="000164D2"/>
    <w:rsid w:val="000166A8"/>
    <w:rsid w:val="00016815"/>
    <w:rsid w:val="0001686A"/>
    <w:rsid w:val="0001687C"/>
    <w:rsid w:val="000168AC"/>
    <w:rsid w:val="00016967"/>
    <w:rsid w:val="00016A05"/>
    <w:rsid w:val="00016BAC"/>
    <w:rsid w:val="00016C61"/>
    <w:rsid w:val="00016E38"/>
    <w:rsid w:val="00016E74"/>
    <w:rsid w:val="00017050"/>
    <w:rsid w:val="000170C9"/>
    <w:rsid w:val="000170CE"/>
    <w:rsid w:val="0001732F"/>
    <w:rsid w:val="00017381"/>
    <w:rsid w:val="000173D6"/>
    <w:rsid w:val="0001749D"/>
    <w:rsid w:val="00017714"/>
    <w:rsid w:val="000177D0"/>
    <w:rsid w:val="00017812"/>
    <w:rsid w:val="00017945"/>
    <w:rsid w:val="00017A18"/>
    <w:rsid w:val="00017A5C"/>
    <w:rsid w:val="00017A75"/>
    <w:rsid w:val="00017ACE"/>
    <w:rsid w:val="00017C83"/>
    <w:rsid w:val="00017CB9"/>
    <w:rsid w:val="00017D55"/>
    <w:rsid w:val="00017E7C"/>
    <w:rsid w:val="00017E9C"/>
    <w:rsid w:val="00020136"/>
    <w:rsid w:val="000201B7"/>
    <w:rsid w:val="000201E0"/>
    <w:rsid w:val="000201F1"/>
    <w:rsid w:val="0002024F"/>
    <w:rsid w:val="000202FA"/>
    <w:rsid w:val="00020328"/>
    <w:rsid w:val="000203DF"/>
    <w:rsid w:val="00020576"/>
    <w:rsid w:val="000206FE"/>
    <w:rsid w:val="0002070E"/>
    <w:rsid w:val="00020729"/>
    <w:rsid w:val="00020765"/>
    <w:rsid w:val="0002098E"/>
    <w:rsid w:val="00020993"/>
    <w:rsid w:val="000209C9"/>
    <w:rsid w:val="00020B44"/>
    <w:rsid w:val="00020C85"/>
    <w:rsid w:val="00020CC0"/>
    <w:rsid w:val="00020D35"/>
    <w:rsid w:val="00020E1A"/>
    <w:rsid w:val="00020EBA"/>
    <w:rsid w:val="00020FF3"/>
    <w:rsid w:val="0002107A"/>
    <w:rsid w:val="00021095"/>
    <w:rsid w:val="000210F6"/>
    <w:rsid w:val="00021187"/>
    <w:rsid w:val="0002121B"/>
    <w:rsid w:val="000212C0"/>
    <w:rsid w:val="0002136D"/>
    <w:rsid w:val="0002148A"/>
    <w:rsid w:val="000214F6"/>
    <w:rsid w:val="00021570"/>
    <w:rsid w:val="000215D3"/>
    <w:rsid w:val="0002160A"/>
    <w:rsid w:val="00021617"/>
    <w:rsid w:val="00021710"/>
    <w:rsid w:val="0002179C"/>
    <w:rsid w:val="00021803"/>
    <w:rsid w:val="00021A46"/>
    <w:rsid w:val="00021A8E"/>
    <w:rsid w:val="00021A93"/>
    <w:rsid w:val="00021B1B"/>
    <w:rsid w:val="00021B39"/>
    <w:rsid w:val="00021B47"/>
    <w:rsid w:val="00021C99"/>
    <w:rsid w:val="00021C9D"/>
    <w:rsid w:val="00021CA6"/>
    <w:rsid w:val="00021D97"/>
    <w:rsid w:val="00021F2C"/>
    <w:rsid w:val="00021FA0"/>
    <w:rsid w:val="0002200B"/>
    <w:rsid w:val="0002203A"/>
    <w:rsid w:val="000220BE"/>
    <w:rsid w:val="00022135"/>
    <w:rsid w:val="00022149"/>
    <w:rsid w:val="00022270"/>
    <w:rsid w:val="00022390"/>
    <w:rsid w:val="00022408"/>
    <w:rsid w:val="00022492"/>
    <w:rsid w:val="00022723"/>
    <w:rsid w:val="000228C7"/>
    <w:rsid w:val="00022974"/>
    <w:rsid w:val="0002298C"/>
    <w:rsid w:val="000229AC"/>
    <w:rsid w:val="000229E2"/>
    <w:rsid w:val="00022A0C"/>
    <w:rsid w:val="00022A64"/>
    <w:rsid w:val="00022BAD"/>
    <w:rsid w:val="00022BB2"/>
    <w:rsid w:val="00022BC3"/>
    <w:rsid w:val="00022BD6"/>
    <w:rsid w:val="00022C3C"/>
    <w:rsid w:val="00022CE9"/>
    <w:rsid w:val="00022CED"/>
    <w:rsid w:val="00022E44"/>
    <w:rsid w:val="00022FAE"/>
    <w:rsid w:val="00022FDF"/>
    <w:rsid w:val="0002309B"/>
    <w:rsid w:val="00023151"/>
    <w:rsid w:val="00023165"/>
    <w:rsid w:val="000231DF"/>
    <w:rsid w:val="000231E8"/>
    <w:rsid w:val="0002356A"/>
    <w:rsid w:val="00023620"/>
    <w:rsid w:val="0002364D"/>
    <w:rsid w:val="00023667"/>
    <w:rsid w:val="00023692"/>
    <w:rsid w:val="000236F6"/>
    <w:rsid w:val="00023861"/>
    <w:rsid w:val="00023871"/>
    <w:rsid w:val="000238B1"/>
    <w:rsid w:val="000238DF"/>
    <w:rsid w:val="000239B6"/>
    <w:rsid w:val="00023A6C"/>
    <w:rsid w:val="00023A92"/>
    <w:rsid w:val="00023B77"/>
    <w:rsid w:val="00023B7B"/>
    <w:rsid w:val="00023BFF"/>
    <w:rsid w:val="00023C77"/>
    <w:rsid w:val="00023CC9"/>
    <w:rsid w:val="00023D7D"/>
    <w:rsid w:val="00023E10"/>
    <w:rsid w:val="00023E48"/>
    <w:rsid w:val="00023EA2"/>
    <w:rsid w:val="00023FC6"/>
    <w:rsid w:val="000240BD"/>
    <w:rsid w:val="0002417A"/>
    <w:rsid w:val="000241BF"/>
    <w:rsid w:val="00024214"/>
    <w:rsid w:val="00024260"/>
    <w:rsid w:val="00024269"/>
    <w:rsid w:val="00024308"/>
    <w:rsid w:val="0002433B"/>
    <w:rsid w:val="00024375"/>
    <w:rsid w:val="000244B7"/>
    <w:rsid w:val="000244BB"/>
    <w:rsid w:val="00024512"/>
    <w:rsid w:val="0002453B"/>
    <w:rsid w:val="0002464C"/>
    <w:rsid w:val="0002481E"/>
    <w:rsid w:val="0002493A"/>
    <w:rsid w:val="00024A23"/>
    <w:rsid w:val="00024A6E"/>
    <w:rsid w:val="00024A91"/>
    <w:rsid w:val="00024B59"/>
    <w:rsid w:val="00024BA6"/>
    <w:rsid w:val="00024BB9"/>
    <w:rsid w:val="00024BD6"/>
    <w:rsid w:val="00024E27"/>
    <w:rsid w:val="00024FC6"/>
    <w:rsid w:val="00024FFB"/>
    <w:rsid w:val="00024FFD"/>
    <w:rsid w:val="00025123"/>
    <w:rsid w:val="00025187"/>
    <w:rsid w:val="000251BA"/>
    <w:rsid w:val="0002527E"/>
    <w:rsid w:val="000252D1"/>
    <w:rsid w:val="0002531F"/>
    <w:rsid w:val="00025342"/>
    <w:rsid w:val="0002554F"/>
    <w:rsid w:val="000255C6"/>
    <w:rsid w:val="000255E0"/>
    <w:rsid w:val="00025659"/>
    <w:rsid w:val="000256AE"/>
    <w:rsid w:val="000256C1"/>
    <w:rsid w:val="0002570E"/>
    <w:rsid w:val="0002571C"/>
    <w:rsid w:val="0002577C"/>
    <w:rsid w:val="000258B5"/>
    <w:rsid w:val="00025918"/>
    <w:rsid w:val="0002594B"/>
    <w:rsid w:val="000259A5"/>
    <w:rsid w:val="00025A34"/>
    <w:rsid w:val="00025A7A"/>
    <w:rsid w:val="00025BD0"/>
    <w:rsid w:val="00025D67"/>
    <w:rsid w:val="00025DE7"/>
    <w:rsid w:val="00025DFE"/>
    <w:rsid w:val="00025E0E"/>
    <w:rsid w:val="00025E6F"/>
    <w:rsid w:val="00025E7C"/>
    <w:rsid w:val="00025ED1"/>
    <w:rsid w:val="00025F3B"/>
    <w:rsid w:val="0002600C"/>
    <w:rsid w:val="000260AF"/>
    <w:rsid w:val="00026152"/>
    <w:rsid w:val="000263DD"/>
    <w:rsid w:val="000264AD"/>
    <w:rsid w:val="000265D2"/>
    <w:rsid w:val="000265D5"/>
    <w:rsid w:val="00026658"/>
    <w:rsid w:val="000266D3"/>
    <w:rsid w:val="0002671B"/>
    <w:rsid w:val="00026736"/>
    <w:rsid w:val="00026A2A"/>
    <w:rsid w:val="00026B66"/>
    <w:rsid w:val="00026B98"/>
    <w:rsid w:val="00026BA1"/>
    <w:rsid w:val="00026CE4"/>
    <w:rsid w:val="00026EAD"/>
    <w:rsid w:val="00026ECA"/>
    <w:rsid w:val="00026F27"/>
    <w:rsid w:val="00026F50"/>
    <w:rsid w:val="00027025"/>
    <w:rsid w:val="0002709C"/>
    <w:rsid w:val="000270C7"/>
    <w:rsid w:val="000271C8"/>
    <w:rsid w:val="00027346"/>
    <w:rsid w:val="000273D4"/>
    <w:rsid w:val="00027463"/>
    <w:rsid w:val="00027477"/>
    <w:rsid w:val="000274F2"/>
    <w:rsid w:val="00027506"/>
    <w:rsid w:val="00027547"/>
    <w:rsid w:val="000275C9"/>
    <w:rsid w:val="000276C3"/>
    <w:rsid w:val="000276FF"/>
    <w:rsid w:val="00027786"/>
    <w:rsid w:val="000277DB"/>
    <w:rsid w:val="000277F7"/>
    <w:rsid w:val="000278E1"/>
    <w:rsid w:val="00027A65"/>
    <w:rsid w:val="00027CBA"/>
    <w:rsid w:val="00027CD5"/>
    <w:rsid w:val="00027CF7"/>
    <w:rsid w:val="00027D21"/>
    <w:rsid w:val="00027DB0"/>
    <w:rsid w:val="00027DFB"/>
    <w:rsid w:val="00027EAD"/>
    <w:rsid w:val="00027F10"/>
    <w:rsid w:val="00027F1C"/>
    <w:rsid w:val="00027F78"/>
    <w:rsid w:val="00030027"/>
    <w:rsid w:val="0003006E"/>
    <w:rsid w:val="00030093"/>
    <w:rsid w:val="000300E2"/>
    <w:rsid w:val="00030349"/>
    <w:rsid w:val="000304E9"/>
    <w:rsid w:val="00030677"/>
    <w:rsid w:val="00030766"/>
    <w:rsid w:val="00030771"/>
    <w:rsid w:val="00030810"/>
    <w:rsid w:val="000308E1"/>
    <w:rsid w:val="00030A02"/>
    <w:rsid w:val="00030A07"/>
    <w:rsid w:val="00030ACE"/>
    <w:rsid w:val="00030B4B"/>
    <w:rsid w:val="00030CA1"/>
    <w:rsid w:val="00030CFC"/>
    <w:rsid w:val="00030D27"/>
    <w:rsid w:val="00030D8B"/>
    <w:rsid w:val="00030D8E"/>
    <w:rsid w:val="00030E5F"/>
    <w:rsid w:val="00030FD8"/>
    <w:rsid w:val="00030FF4"/>
    <w:rsid w:val="0003106E"/>
    <w:rsid w:val="00031070"/>
    <w:rsid w:val="00031164"/>
    <w:rsid w:val="000311BB"/>
    <w:rsid w:val="000311C9"/>
    <w:rsid w:val="000312F7"/>
    <w:rsid w:val="000312FD"/>
    <w:rsid w:val="00031369"/>
    <w:rsid w:val="00031400"/>
    <w:rsid w:val="0003141F"/>
    <w:rsid w:val="00031481"/>
    <w:rsid w:val="000317C7"/>
    <w:rsid w:val="000318B0"/>
    <w:rsid w:val="00031970"/>
    <w:rsid w:val="0003198A"/>
    <w:rsid w:val="000319FE"/>
    <w:rsid w:val="00031AC7"/>
    <w:rsid w:val="00031CA3"/>
    <w:rsid w:val="00031D24"/>
    <w:rsid w:val="00031D73"/>
    <w:rsid w:val="00031D75"/>
    <w:rsid w:val="00031D8E"/>
    <w:rsid w:val="00031D97"/>
    <w:rsid w:val="00031DCF"/>
    <w:rsid w:val="00031E44"/>
    <w:rsid w:val="00031F14"/>
    <w:rsid w:val="0003205A"/>
    <w:rsid w:val="000321C0"/>
    <w:rsid w:val="000326B2"/>
    <w:rsid w:val="000326B5"/>
    <w:rsid w:val="000326D6"/>
    <w:rsid w:val="000326EF"/>
    <w:rsid w:val="0003273D"/>
    <w:rsid w:val="00032765"/>
    <w:rsid w:val="000327EA"/>
    <w:rsid w:val="00032844"/>
    <w:rsid w:val="00032928"/>
    <w:rsid w:val="000329B4"/>
    <w:rsid w:val="000329CB"/>
    <w:rsid w:val="00032AB1"/>
    <w:rsid w:val="00032AE3"/>
    <w:rsid w:val="00032C58"/>
    <w:rsid w:val="00032C6D"/>
    <w:rsid w:val="00032C93"/>
    <w:rsid w:val="00032DA0"/>
    <w:rsid w:val="00032DCA"/>
    <w:rsid w:val="00032DF1"/>
    <w:rsid w:val="00032E2C"/>
    <w:rsid w:val="00032E46"/>
    <w:rsid w:val="00032EF1"/>
    <w:rsid w:val="00032F19"/>
    <w:rsid w:val="00032F20"/>
    <w:rsid w:val="00032F2A"/>
    <w:rsid w:val="00033103"/>
    <w:rsid w:val="000332A1"/>
    <w:rsid w:val="000334CB"/>
    <w:rsid w:val="000334D2"/>
    <w:rsid w:val="0003376D"/>
    <w:rsid w:val="000337D3"/>
    <w:rsid w:val="000338C2"/>
    <w:rsid w:val="0003393C"/>
    <w:rsid w:val="000339BB"/>
    <w:rsid w:val="00033A22"/>
    <w:rsid w:val="00033B06"/>
    <w:rsid w:val="00033B15"/>
    <w:rsid w:val="00033D5B"/>
    <w:rsid w:val="00033E7F"/>
    <w:rsid w:val="00033F47"/>
    <w:rsid w:val="00034005"/>
    <w:rsid w:val="0003411B"/>
    <w:rsid w:val="000341DA"/>
    <w:rsid w:val="000341FD"/>
    <w:rsid w:val="00034324"/>
    <w:rsid w:val="0003446E"/>
    <w:rsid w:val="000344C0"/>
    <w:rsid w:val="00034518"/>
    <w:rsid w:val="00034671"/>
    <w:rsid w:val="00034799"/>
    <w:rsid w:val="00034C5B"/>
    <w:rsid w:val="00034C92"/>
    <w:rsid w:val="00034CB2"/>
    <w:rsid w:val="00034E01"/>
    <w:rsid w:val="00034E10"/>
    <w:rsid w:val="00034E69"/>
    <w:rsid w:val="00034F13"/>
    <w:rsid w:val="00034FC5"/>
    <w:rsid w:val="0003504D"/>
    <w:rsid w:val="0003506B"/>
    <w:rsid w:val="00035181"/>
    <w:rsid w:val="000352D0"/>
    <w:rsid w:val="00035343"/>
    <w:rsid w:val="000353DB"/>
    <w:rsid w:val="0003547C"/>
    <w:rsid w:val="00035482"/>
    <w:rsid w:val="00035707"/>
    <w:rsid w:val="0003573D"/>
    <w:rsid w:val="00035947"/>
    <w:rsid w:val="0003598F"/>
    <w:rsid w:val="00035AA7"/>
    <w:rsid w:val="00035AEA"/>
    <w:rsid w:val="00035AFB"/>
    <w:rsid w:val="00035B50"/>
    <w:rsid w:val="00035B54"/>
    <w:rsid w:val="00035BDE"/>
    <w:rsid w:val="00035C89"/>
    <w:rsid w:val="00035C9C"/>
    <w:rsid w:val="00035D1F"/>
    <w:rsid w:val="00035D4D"/>
    <w:rsid w:val="00035DAE"/>
    <w:rsid w:val="00035E39"/>
    <w:rsid w:val="0003601C"/>
    <w:rsid w:val="000360B9"/>
    <w:rsid w:val="00036109"/>
    <w:rsid w:val="000361DB"/>
    <w:rsid w:val="0003623C"/>
    <w:rsid w:val="00036248"/>
    <w:rsid w:val="000362B7"/>
    <w:rsid w:val="00036369"/>
    <w:rsid w:val="000363CC"/>
    <w:rsid w:val="000363D2"/>
    <w:rsid w:val="0003643F"/>
    <w:rsid w:val="00036488"/>
    <w:rsid w:val="0003656A"/>
    <w:rsid w:val="00036583"/>
    <w:rsid w:val="000365B7"/>
    <w:rsid w:val="00036625"/>
    <w:rsid w:val="00036793"/>
    <w:rsid w:val="00036816"/>
    <w:rsid w:val="00036893"/>
    <w:rsid w:val="000368B0"/>
    <w:rsid w:val="0003695B"/>
    <w:rsid w:val="00036987"/>
    <w:rsid w:val="00036A3C"/>
    <w:rsid w:val="00036B06"/>
    <w:rsid w:val="00036B89"/>
    <w:rsid w:val="00036B91"/>
    <w:rsid w:val="00036BFE"/>
    <w:rsid w:val="00036C64"/>
    <w:rsid w:val="00036C6A"/>
    <w:rsid w:val="00036D63"/>
    <w:rsid w:val="00036D97"/>
    <w:rsid w:val="00036DC9"/>
    <w:rsid w:val="00036FD5"/>
    <w:rsid w:val="0003702C"/>
    <w:rsid w:val="0003709D"/>
    <w:rsid w:val="000370D1"/>
    <w:rsid w:val="0003715E"/>
    <w:rsid w:val="000372BC"/>
    <w:rsid w:val="000372EB"/>
    <w:rsid w:val="00037332"/>
    <w:rsid w:val="000373C2"/>
    <w:rsid w:val="0003771A"/>
    <w:rsid w:val="00037824"/>
    <w:rsid w:val="00037843"/>
    <w:rsid w:val="0003785D"/>
    <w:rsid w:val="00037885"/>
    <w:rsid w:val="000378A5"/>
    <w:rsid w:val="00037A2A"/>
    <w:rsid w:val="00037A2C"/>
    <w:rsid w:val="00037B40"/>
    <w:rsid w:val="00037BCA"/>
    <w:rsid w:val="00037C14"/>
    <w:rsid w:val="00037C19"/>
    <w:rsid w:val="00037C29"/>
    <w:rsid w:val="00037D4E"/>
    <w:rsid w:val="00037ED6"/>
    <w:rsid w:val="00037EEF"/>
    <w:rsid w:val="0004003A"/>
    <w:rsid w:val="00040049"/>
    <w:rsid w:val="000400B2"/>
    <w:rsid w:val="00040167"/>
    <w:rsid w:val="0004019B"/>
    <w:rsid w:val="000402C8"/>
    <w:rsid w:val="000402CA"/>
    <w:rsid w:val="000403D5"/>
    <w:rsid w:val="000403F4"/>
    <w:rsid w:val="0004045D"/>
    <w:rsid w:val="000404AB"/>
    <w:rsid w:val="00040549"/>
    <w:rsid w:val="000405D8"/>
    <w:rsid w:val="00040615"/>
    <w:rsid w:val="00040623"/>
    <w:rsid w:val="00040673"/>
    <w:rsid w:val="0004074A"/>
    <w:rsid w:val="00040902"/>
    <w:rsid w:val="00040B11"/>
    <w:rsid w:val="00040B52"/>
    <w:rsid w:val="00040BA4"/>
    <w:rsid w:val="00040C20"/>
    <w:rsid w:val="00040C80"/>
    <w:rsid w:val="00040CEF"/>
    <w:rsid w:val="0004116D"/>
    <w:rsid w:val="00041198"/>
    <w:rsid w:val="000411CB"/>
    <w:rsid w:val="00041220"/>
    <w:rsid w:val="00041227"/>
    <w:rsid w:val="0004124C"/>
    <w:rsid w:val="000412A3"/>
    <w:rsid w:val="00041322"/>
    <w:rsid w:val="000414D2"/>
    <w:rsid w:val="0004158D"/>
    <w:rsid w:val="00041590"/>
    <w:rsid w:val="00041594"/>
    <w:rsid w:val="000415D9"/>
    <w:rsid w:val="000416B6"/>
    <w:rsid w:val="000416D1"/>
    <w:rsid w:val="000417D1"/>
    <w:rsid w:val="0004191F"/>
    <w:rsid w:val="0004196D"/>
    <w:rsid w:val="00041A92"/>
    <w:rsid w:val="00041AC4"/>
    <w:rsid w:val="00041ACF"/>
    <w:rsid w:val="00041B56"/>
    <w:rsid w:val="00041BB7"/>
    <w:rsid w:val="00041D43"/>
    <w:rsid w:val="00041DEF"/>
    <w:rsid w:val="00041F09"/>
    <w:rsid w:val="00041F2C"/>
    <w:rsid w:val="00041F9E"/>
    <w:rsid w:val="00042062"/>
    <w:rsid w:val="00042103"/>
    <w:rsid w:val="00042159"/>
    <w:rsid w:val="00042171"/>
    <w:rsid w:val="0004217D"/>
    <w:rsid w:val="000421E7"/>
    <w:rsid w:val="0004224E"/>
    <w:rsid w:val="000422D2"/>
    <w:rsid w:val="000422EE"/>
    <w:rsid w:val="000423AA"/>
    <w:rsid w:val="00042479"/>
    <w:rsid w:val="0004260D"/>
    <w:rsid w:val="00042618"/>
    <w:rsid w:val="000426C8"/>
    <w:rsid w:val="000426F4"/>
    <w:rsid w:val="00042873"/>
    <w:rsid w:val="00042896"/>
    <w:rsid w:val="000428A4"/>
    <w:rsid w:val="00042984"/>
    <w:rsid w:val="00042B08"/>
    <w:rsid w:val="00042B23"/>
    <w:rsid w:val="00042B9A"/>
    <w:rsid w:val="00042D5C"/>
    <w:rsid w:val="00042D74"/>
    <w:rsid w:val="00042D94"/>
    <w:rsid w:val="00042DA9"/>
    <w:rsid w:val="00042DD2"/>
    <w:rsid w:val="00042DF8"/>
    <w:rsid w:val="00042EF9"/>
    <w:rsid w:val="00043004"/>
    <w:rsid w:val="000430C5"/>
    <w:rsid w:val="000431AF"/>
    <w:rsid w:val="000431BC"/>
    <w:rsid w:val="000431E5"/>
    <w:rsid w:val="000431EF"/>
    <w:rsid w:val="0004323D"/>
    <w:rsid w:val="00043291"/>
    <w:rsid w:val="0004345E"/>
    <w:rsid w:val="000434FF"/>
    <w:rsid w:val="000435A2"/>
    <w:rsid w:val="000435AD"/>
    <w:rsid w:val="000436A0"/>
    <w:rsid w:val="000436C3"/>
    <w:rsid w:val="000436C9"/>
    <w:rsid w:val="000436D8"/>
    <w:rsid w:val="000436D9"/>
    <w:rsid w:val="0004379D"/>
    <w:rsid w:val="0004381C"/>
    <w:rsid w:val="00043896"/>
    <w:rsid w:val="00043931"/>
    <w:rsid w:val="000439AF"/>
    <w:rsid w:val="000439BE"/>
    <w:rsid w:val="000439D5"/>
    <w:rsid w:val="00043A17"/>
    <w:rsid w:val="00043A9C"/>
    <w:rsid w:val="00043ABC"/>
    <w:rsid w:val="00043BDB"/>
    <w:rsid w:val="00043C41"/>
    <w:rsid w:val="00043C79"/>
    <w:rsid w:val="00043D2E"/>
    <w:rsid w:val="00043D81"/>
    <w:rsid w:val="00043D84"/>
    <w:rsid w:val="00043F8B"/>
    <w:rsid w:val="00043FD8"/>
    <w:rsid w:val="0004409F"/>
    <w:rsid w:val="0004425A"/>
    <w:rsid w:val="00044321"/>
    <w:rsid w:val="00044439"/>
    <w:rsid w:val="00044501"/>
    <w:rsid w:val="00044631"/>
    <w:rsid w:val="000446A7"/>
    <w:rsid w:val="000446BB"/>
    <w:rsid w:val="0004474B"/>
    <w:rsid w:val="00044803"/>
    <w:rsid w:val="00044868"/>
    <w:rsid w:val="00044869"/>
    <w:rsid w:val="000448DA"/>
    <w:rsid w:val="00044A6A"/>
    <w:rsid w:val="00044AF4"/>
    <w:rsid w:val="00044BDC"/>
    <w:rsid w:val="00044C2B"/>
    <w:rsid w:val="00044C73"/>
    <w:rsid w:val="00044DA8"/>
    <w:rsid w:val="00044E12"/>
    <w:rsid w:val="00044E5A"/>
    <w:rsid w:val="00044E5D"/>
    <w:rsid w:val="00044ED8"/>
    <w:rsid w:val="00044F06"/>
    <w:rsid w:val="00044F48"/>
    <w:rsid w:val="00044FF6"/>
    <w:rsid w:val="00044FFE"/>
    <w:rsid w:val="000450B7"/>
    <w:rsid w:val="00045129"/>
    <w:rsid w:val="000451FF"/>
    <w:rsid w:val="00045294"/>
    <w:rsid w:val="0004550E"/>
    <w:rsid w:val="00045528"/>
    <w:rsid w:val="000455EB"/>
    <w:rsid w:val="00045681"/>
    <w:rsid w:val="000456C6"/>
    <w:rsid w:val="000457E5"/>
    <w:rsid w:val="000457FA"/>
    <w:rsid w:val="0004581C"/>
    <w:rsid w:val="00045A17"/>
    <w:rsid w:val="00045A20"/>
    <w:rsid w:val="00045C58"/>
    <w:rsid w:val="00045C6C"/>
    <w:rsid w:val="00045CAA"/>
    <w:rsid w:val="00045D73"/>
    <w:rsid w:val="00045DA6"/>
    <w:rsid w:val="00045DC9"/>
    <w:rsid w:val="00045E07"/>
    <w:rsid w:val="00045E49"/>
    <w:rsid w:val="00045F37"/>
    <w:rsid w:val="000460D5"/>
    <w:rsid w:val="00046119"/>
    <w:rsid w:val="00046198"/>
    <w:rsid w:val="00046221"/>
    <w:rsid w:val="0004631C"/>
    <w:rsid w:val="00046448"/>
    <w:rsid w:val="000465EE"/>
    <w:rsid w:val="00046612"/>
    <w:rsid w:val="000466D9"/>
    <w:rsid w:val="000466F9"/>
    <w:rsid w:val="0004678A"/>
    <w:rsid w:val="00046858"/>
    <w:rsid w:val="0004698F"/>
    <w:rsid w:val="000469AD"/>
    <w:rsid w:val="000469C4"/>
    <w:rsid w:val="00046B42"/>
    <w:rsid w:val="00046C70"/>
    <w:rsid w:val="00046CEB"/>
    <w:rsid w:val="00046D12"/>
    <w:rsid w:val="00046D8F"/>
    <w:rsid w:val="00046DD4"/>
    <w:rsid w:val="00046E91"/>
    <w:rsid w:val="00046EB6"/>
    <w:rsid w:val="00046F13"/>
    <w:rsid w:val="00046F6F"/>
    <w:rsid w:val="000470FC"/>
    <w:rsid w:val="00047236"/>
    <w:rsid w:val="0004724E"/>
    <w:rsid w:val="00047255"/>
    <w:rsid w:val="000472DC"/>
    <w:rsid w:val="000472E7"/>
    <w:rsid w:val="000472EA"/>
    <w:rsid w:val="0004743A"/>
    <w:rsid w:val="000474CA"/>
    <w:rsid w:val="0004759A"/>
    <w:rsid w:val="00047668"/>
    <w:rsid w:val="00047710"/>
    <w:rsid w:val="0004785C"/>
    <w:rsid w:val="000478E4"/>
    <w:rsid w:val="000479EF"/>
    <w:rsid w:val="00047A18"/>
    <w:rsid w:val="00047B25"/>
    <w:rsid w:val="00047BB4"/>
    <w:rsid w:val="00047C6C"/>
    <w:rsid w:val="00047D32"/>
    <w:rsid w:val="00047D9B"/>
    <w:rsid w:val="00047EDF"/>
    <w:rsid w:val="00047F43"/>
    <w:rsid w:val="00047F59"/>
    <w:rsid w:val="0005009E"/>
    <w:rsid w:val="00050325"/>
    <w:rsid w:val="00050343"/>
    <w:rsid w:val="00050424"/>
    <w:rsid w:val="0005042F"/>
    <w:rsid w:val="0005043C"/>
    <w:rsid w:val="0005049A"/>
    <w:rsid w:val="00050531"/>
    <w:rsid w:val="0005079E"/>
    <w:rsid w:val="000507DE"/>
    <w:rsid w:val="0005086F"/>
    <w:rsid w:val="00050887"/>
    <w:rsid w:val="000508DD"/>
    <w:rsid w:val="00050992"/>
    <w:rsid w:val="000509A2"/>
    <w:rsid w:val="000509CE"/>
    <w:rsid w:val="00050A11"/>
    <w:rsid w:val="00050A70"/>
    <w:rsid w:val="00050CE9"/>
    <w:rsid w:val="00050F4B"/>
    <w:rsid w:val="00050FCE"/>
    <w:rsid w:val="000510D7"/>
    <w:rsid w:val="00051107"/>
    <w:rsid w:val="00051158"/>
    <w:rsid w:val="000511D8"/>
    <w:rsid w:val="00051353"/>
    <w:rsid w:val="000513FE"/>
    <w:rsid w:val="00051431"/>
    <w:rsid w:val="0005152C"/>
    <w:rsid w:val="000515A5"/>
    <w:rsid w:val="00051616"/>
    <w:rsid w:val="000518F1"/>
    <w:rsid w:val="00051921"/>
    <w:rsid w:val="00051A48"/>
    <w:rsid w:val="00051A79"/>
    <w:rsid w:val="00051AB5"/>
    <w:rsid w:val="00051B99"/>
    <w:rsid w:val="00051D75"/>
    <w:rsid w:val="00051DC8"/>
    <w:rsid w:val="00051EAA"/>
    <w:rsid w:val="00051EF8"/>
    <w:rsid w:val="00051FDD"/>
    <w:rsid w:val="00052029"/>
    <w:rsid w:val="00052039"/>
    <w:rsid w:val="000520EE"/>
    <w:rsid w:val="000521C7"/>
    <w:rsid w:val="000521FC"/>
    <w:rsid w:val="00052230"/>
    <w:rsid w:val="0005229F"/>
    <w:rsid w:val="000522BB"/>
    <w:rsid w:val="000524D8"/>
    <w:rsid w:val="00052581"/>
    <w:rsid w:val="000525FB"/>
    <w:rsid w:val="00052604"/>
    <w:rsid w:val="00052658"/>
    <w:rsid w:val="00052757"/>
    <w:rsid w:val="00052784"/>
    <w:rsid w:val="0005293C"/>
    <w:rsid w:val="000529DB"/>
    <w:rsid w:val="00052A3A"/>
    <w:rsid w:val="00052ACE"/>
    <w:rsid w:val="00052C17"/>
    <w:rsid w:val="00052C23"/>
    <w:rsid w:val="00052CA3"/>
    <w:rsid w:val="00052E1F"/>
    <w:rsid w:val="00052F5A"/>
    <w:rsid w:val="00052F8C"/>
    <w:rsid w:val="0005308A"/>
    <w:rsid w:val="0005319A"/>
    <w:rsid w:val="000531D6"/>
    <w:rsid w:val="0005328E"/>
    <w:rsid w:val="000532BA"/>
    <w:rsid w:val="00053338"/>
    <w:rsid w:val="000533CA"/>
    <w:rsid w:val="00053402"/>
    <w:rsid w:val="0005349E"/>
    <w:rsid w:val="000534F5"/>
    <w:rsid w:val="00053517"/>
    <w:rsid w:val="000535E0"/>
    <w:rsid w:val="000535FF"/>
    <w:rsid w:val="00053734"/>
    <w:rsid w:val="00053780"/>
    <w:rsid w:val="000537AA"/>
    <w:rsid w:val="000537D7"/>
    <w:rsid w:val="00053810"/>
    <w:rsid w:val="000538C4"/>
    <w:rsid w:val="0005395B"/>
    <w:rsid w:val="00053963"/>
    <w:rsid w:val="00053981"/>
    <w:rsid w:val="00053A5A"/>
    <w:rsid w:val="00053A78"/>
    <w:rsid w:val="00053C00"/>
    <w:rsid w:val="00053C8D"/>
    <w:rsid w:val="00053D82"/>
    <w:rsid w:val="00053E88"/>
    <w:rsid w:val="00053E94"/>
    <w:rsid w:val="00053EFD"/>
    <w:rsid w:val="00053F38"/>
    <w:rsid w:val="00053F93"/>
    <w:rsid w:val="0005404A"/>
    <w:rsid w:val="00054079"/>
    <w:rsid w:val="00054220"/>
    <w:rsid w:val="00054385"/>
    <w:rsid w:val="000543C5"/>
    <w:rsid w:val="0005440F"/>
    <w:rsid w:val="00054448"/>
    <w:rsid w:val="00054464"/>
    <w:rsid w:val="000545C1"/>
    <w:rsid w:val="00054668"/>
    <w:rsid w:val="00054698"/>
    <w:rsid w:val="0005489F"/>
    <w:rsid w:val="00054989"/>
    <w:rsid w:val="00054A20"/>
    <w:rsid w:val="00054A42"/>
    <w:rsid w:val="00054ACD"/>
    <w:rsid w:val="00054C64"/>
    <w:rsid w:val="00054D02"/>
    <w:rsid w:val="00054E27"/>
    <w:rsid w:val="00054EF3"/>
    <w:rsid w:val="00054F64"/>
    <w:rsid w:val="00054F6E"/>
    <w:rsid w:val="00055015"/>
    <w:rsid w:val="000550AF"/>
    <w:rsid w:val="0005512F"/>
    <w:rsid w:val="00055132"/>
    <w:rsid w:val="0005538A"/>
    <w:rsid w:val="000553C4"/>
    <w:rsid w:val="0005554B"/>
    <w:rsid w:val="00055576"/>
    <w:rsid w:val="000555BF"/>
    <w:rsid w:val="0005561B"/>
    <w:rsid w:val="0005566D"/>
    <w:rsid w:val="000557D4"/>
    <w:rsid w:val="00055823"/>
    <w:rsid w:val="0005586B"/>
    <w:rsid w:val="000559A6"/>
    <w:rsid w:val="00055A25"/>
    <w:rsid w:val="00055A7C"/>
    <w:rsid w:val="00055CF0"/>
    <w:rsid w:val="00055D63"/>
    <w:rsid w:val="00055DA1"/>
    <w:rsid w:val="00055FCF"/>
    <w:rsid w:val="00056056"/>
    <w:rsid w:val="000560AD"/>
    <w:rsid w:val="00056129"/>
    <w:rsid w:val="00056273"/>
    <w:rsid w:val="00056278"/>
    <w:rsid w:val="000562C4"/>
    <w:rsid w:val="000562F4"/>
    <w:rsid w:val="00056386"/>
    <w:rsid w:val="0005639C"/>
    <w:rsid w:val="000563CF"/>
    <w:rsid w:val="0005641F"/>
    <w:rsid w:val="000564E3"/>
    <w:rsid w:val="00056593"/>
    <w:rsid w:val="000567BB"/>
    <w:rsid w:val="0005682F"/>
    <w:rsid w:val="000569D4"/>
    <w:rsid w:val="000569FF"/>
    <w:rsid w:val="00056AC6"/>
    <w:rsid w:val="00056AC7"/>
    <w:rsid w:val="00056B06"/>
    <w:rsid w:val="00056B6F"/>
    <w:rsid w:val="00056CAA"/>
    <w:rsid w:val="00056D85"/>
    <w:rsid w:val="00056F48"/>
    <w:rsid w:val="00056FBC"/>
    <w:rsid w:val="00057080"/>
    <w:rsid w:val="000571CA"/>
    <w:rsid w:val="00057237"/>
    <w:rsid w:val="00057488"/>
    <w:rsid w:val="000574AD"/>
    <w:rsid w:val="000574C9"/>
    <w:rsid w:val="0005753C"/>
    <w:rsid w:val="00057540"/>
    <w:rsid w:val="0005766D"/>
    <w:rsid w:val="00057732"/>
    <w:rsid w:val="00057831"/>
    <w:rsid w:val="000579B0"/>
    <w:rsid w:val="00057B9E"/>
    <w:rsid w:val="00057C51"/>
    <w:rsid w:val="00057C66"/>
    <w:rsid w:val="00057D37"/>
    <w:rsid w:val="00057DC6"/>
    <w:rsid w:val="00057E6A"/>
    <w:rsid w:val="00057ED2"/>
    <w:rsid w:val="00057FEA"/>
    <w:rsid w:val="00060102"/>
    <w:rsid w:val="000602A9"/>
    <w:rsid w:val="000602D4"/>
    <w:rsid w:val="00060357"/>
    <w:rsid w:val="0006041F"/>
    <w:rsid w:val="00060446"/>
    <w:rsid w:val="00060519"/>
    <w:rsid w:val="0006056A"/>
    <w:rsid w:val="000605DE"/>
    <w:rsid w:val="000606E5"/>
    <w:rsid w:val="00060784"/>
    <w:rsid w:val="00060789"/>
    <w:rsid w:val="00060848"/>
    <w:rsid w:val="000608EE"/>
    <w:rsid w:val="00060932"/>
    <w:rsid w:val="00060940"/>
    <w:rsid w:val="00060961"/>
    <w:rsid w:val="00060965"/>
    <w:rsid w:val="000609BB"/>
    <w:rsid w:val="000609C3"/>
    <w:rsid w:val="00060AC8"/>
    <w:rsid w:val="00060AE9"/>
    <w:rsid w:val="00060B10"/>
    <w:rsid w:val="00060B3A"/>
    <w:rsid w:val="00060B3B"/>
    <w:rsid w:val="00060BDF"/>
    <w:rsid w:val="00060C22"/>
    <w:rsid w:val="00060C28"/>
    <w:rsid w:val="00060C51"/>
    <w:rsid w:val="00060C8D"/>
    <w:rsid w:val="00060CDC"/>
    <w:rsid w:val="00060D53"/>
    <w:rsid w:val="00060DF2"/>
    <w:rsid w:val="00060E56"/>
    <w:rsid w:val="00060EDF"/>
    <w:rsid w:val="00060FAC"/>
    <w:rsid w:val="000610BF"/>
    <w:rsid w:val="00061192"/>
    <w:rsid w:val="00061275"/>
    <w:rsid w:val="000612A0"/>
    <w:rsid w:val="0006130C"/>
    <w:rsid w:val="000614CF"/>
    <w:rsid w:val="000614E3"/>
    <w:rsid w:val="000615A7"/>
    <w:rsid w:val="000615C7"/>
    <w:rsid w:val="0006177E"/>
    <w:rsid w:val="00061905"/>
    <w:rsid w:val="000619FD"/>
    <w:rsid w:val="00061BF8"/>
    <w:rsid w:val="00061C9B"/>
    <w:rsid w:val="00061CD7"/>
    <w:rsid w:val="00061E1C"/>
    <w:rsid w:val="00061E6E"/>
    <w:rsid w:val="00061EC3"/>
    <w:rsid w:val="00061F37"/>
    <w:rsid w:val="00061F3B"/>
    <w:rsid w:val="00061F3D"/>
    <w:rsid w:val="00061F79"/>
    <w:rsid w:val="000620B1"/>
    <w:rsid w:val="00062105"/>
    <w:rsid w:val="00062178"/>
    <w:rsid w:val="00062179"/>
    <w:rsid w:val="000621CE"/>
    <w:rsid w:val="000622D5"/>
    <w:rsid w:val="000622EC"/>
    <w:rsid w:val="00062307"/>
    <w:rsid w:val="000623BB"/>
    <w:rsid w:val="0006257A"/>
    <w:rsid w:val="00062583"/>
    <w:rsid w:val="0006266F"/>
    <w:rsid w:val="0006271F"/>
    <w:rsid w:val="0006281D"/>
    <w:rsid w:val="00062858"/>
    <w:rsid w:val="0006289B"/>
    <w:rsid w:val="0006290D"/>
    <w:rsid w:val="00062950"/>
    <w:rsid w:val="00062968"/>
    <w:rsid w:val="000629A4"/>
    <w:rsid w:val="00062BB6"/>
    <w:rsid w:val="00062BC8"/>
    <w:rsid w:val="00062C97"/>
    <w:rsid w:val="00062D85"/>
    <w:rsid w:val="00062DC2"/>
    <w:rsid w:val="00062E2A"/>
    <w:rsid w:val="00062E39"/>
    <w:rsid w:val="00062E6B"/>
    <w:rsid w:val="00062E9B"/>
    <w:rsid w:val="00062F0F"/>
    <w:rsid w:val="00063068"/>
    <w:rsid w:val="000630BE"/>
    <w:rsid w:val="000630D0"/>
    <w:rsid w:val="0006314A"/>
    <w:rsid w:val="0006326D"/>
    <w:rsid w:val="00063364"/>
    <w:rsid w:val="00063391"/>
    <w:rsid w:val="00063462"/>
    <w:rsid w:val="0006352D"/>
    <w:rsid w:val="000635C3"/>
    <w:rsid w:val="0006367D"/>
    <w:rsid w:val="000636C7"/>
    <w:rsid w:val="000636EF"/>
    <w:rsid w:val="00063722"/>
    <w:rsid w:val="00063733"/>
    <w:rsid w:val="00063883"/>
    <w:rsid w:val="00063962"/>
    <w:rsid w:val="00063AF2"/>
    <w:rsid w:val="00063BD3"/>
    <w:rsid w:val="00063C83"/>
    <w:rsid w:val="00063CA7"/>
    <w:rsid w:val="00063DF7"/>
    <w:rsid w:val="00063E66"/>
    <w:rsid w:val="00063EEE"/>
    <w:rsid w:val="00063FC3"/>
    <w:rsid w:val="000640E9"/>
    <w:rsid w:val="0006412F"/>
    <w:rsid w:val="0006415D"/>
    <w:rsid w:val="000641B7"/>
    <w:rsid w:val="000641C7"/>
    <w:rsid w:val="00064206"/>
    <w:rsid w:val="000642EC"/>
    <w:rsid w:val="000642F7"/>
    <w:rsid w:val="00064327"/>
    <w:rsid w:val="00064363"/>
    <w:rsid w:val="00064371"/>
    <w:rsid w:val="000643F6"/>
    <w:rsid w:val="0006474D"/>
    <w:rsid w:val="00064772"/>
    <w:rsid w:val="00064796"/>
    <w:rsid w:val="00064797"/>
    <w:rsid w:val="0006490B"/>
    <w:rsid w:val="00064913"/>
    <w:rsid w:val="00064A3B"/>
    <w:rsid w:val="00064A88"/>
    <w:rsid w:val="00064ABF"/>
    <w:rsid w:val="00064B69"/>
    <w:rsid w:val="00064BA0"/>
    <w:rsid w:val="00064BC5"/>
    <w:rsid w:val="00064C9F"/>
    <w:rsid w:val="00064CC4"/>
    <w:rsid w:val="00064D20"/>
    <w:rsid w:val="00064D67"/>
    <w:rsid w:val="00064DA5"/>
    <w:rsid w:val="00064DDE"/>
    <w:rsid w:val="00064DF6"/>
    <w:rsid w:val="00064ED1"/>
    <w:rsid w:val="00064EED"/>
    <w:rsid w:val="00064F74"/>
    <w:rsid w:val="00064FA8"/>
    <w:rsid w:val="00064FAB"/>
    <w:rsid w:val="0006501D"/>
    <w:rsid w:val="00065042"/>
    <w:rsid w:val="00065074"/>
    <w:rsid w:val="000650DD"/>
    <w:rsid w:val="0006527D"/>
    <w:rsid w:val="0006531E"/>
    <w:rsid w:val="0006546B"/>
    <w:rsid w:val="000655DF"/>
    <w:rsid w:val="000655EE"/>
    <w:rsid w:val="0006573E"/>
    <w:rsid w:val="000657BD"/>
    <w:rsid w:val="000657E1"/>
    <w:rsid w:val="0006585E"/>
    <w:rsid w:val="00065866"/>
    <w:rsid w:val="000659A7"/>
    <w:rsid w:val="00065C4F"/>
    <w:rsid w:val="00065CD1"/>
    <w:rsid w:val="00065D28"/>
    <w:rsid w:val="00065DEF"/>
    <w:rsid w:val="00065EAC"/>
    <w:rsid w:val="00065F39"/>
    <w:rsid w:val="00065F91"/>
    <w:rsid w:val="00065FBB"/>
    <w:rsid w:val="00066041"/>
    <w:rsid w:val="00066075"/>
    <w:rsid w:val="00066079"/>
    <w:rsid w:val="000660A0"/>
    <w:rsid w:val="00066108"/>
    <w:rsid w:val="000661A1"/>
    <w:rsid w:val="000661B2"/>
    <w:rsid w:val="00066321"/>
    <w:rsid w:val="00066377"/>
    <w:rsid w:val="000663FA"/>
    <w:rsid w:val="0006646B"/>
    <w:rsid w:val="00066484"/>
    <w:rsid w:val="000664C9"/>
    <w:rsid w:val="00066564"/>
    <w:rsid w:val="000666DA"/>
    <w:rsid w:val="0006675B"/>
    <w:rsid w:val="000667B0"/>
    <w:rsid w:val="00066822"/>
    <w:rsid w:val="0006682A"/>
    <w:rsid w:val="00066858"/>
    <w:rsid w:val="000668FA"/>
    <w:rsid w:val="000668FE"/>
    <w:rsid w:val="00066902"/>
    <w:rsid w:val="00066918"/>
    <w:rsid w:val="00066996"/>
    <w:rsid w:val="000669A8"/>
    <w:rsid w:val="00066A4F"/>
    <w:rsid w:val="00066B92"/>
    <w:rsid w:val="00066C45"/>
    <w:rsid w:val="00066E40"/>
    <w:rsid w:val="00066E65"/>
    <w:rsid w:val="00066F48"/>
    <w:rsid w:val="00067287"/>
    <w:rsid w:val="00067497"/>
    <w:rsid w:val="000674E8"/>
    <w:rsid w:val="00067563"/>
    <w:rsid w:val="0006762B"/>
    <w:rsid w:val="000676BE"/>
    <w:rsid w:val="000677B6"/>
    <w:rsid w:val="00067837"/>
    <w:rsid w:val="00067838"/>
    <w:rsid w:val="00067840"/>
    <w:rsid w:val="00067883"/>
    <w:rsid w:val="00067956"/>
    <w:rsid w:val="00067990"/>
    <w:rsid w:val="000679A3"/>
    <w:rsid w:val="00067A3E"/>
    <w:rsid w:val="00067AF3"/>
    <w:rsid w:val="00067B43"/>
    <w:rsid w:val="00067B71"/>
    <w:rsid w:val="00067B98"/>
    <w:rsid w:val="00067D29"/>
    <w:rsid w:val="00067D40"/>
    <w:rsid w:val="00067E28"/>
    <w:rsid w:val="00067E76"/>
    <w:rsid w:val="00067E9C"/>
    <w:rsid w:val="00067EE3"/>
    <w:rsid w:val="00067FEA"/>
    <w:rsid w:val="0007007F"/>
    <w:rsid w:val="000700DB"/>
    <w:rsid w:val="00070126"/>
    <w:rsid w:val="0007012E"/>
    <w:rsid w:val="000701E6"/>
    <w:rsid w:val="000701EA"/>
    <w:rsid w:val="00070240"/>
    <w:rsid w:val="00070256"/>
    <w:rsid w:val="000702DE"/>
    <w:rsid w:val="000703F8"/>
    <w:rsid w:val="00070401"/>
    <w:rsid w:val="000704DD"/>
    <w:rsid w:val="0007054A"/>
    <w:rsid w:val="00070671"/>
    <w:rsid w:val="000706F5"/>
    <w:rsid w:val="0007075A"/>
    <w:rsid w:val="000708EF"/>
    <w:rsid w:val="00070994"/>
    <w:rsid w:val="00070A29"/>
    <w:rsid w:val="00070A2F"/>
    <w:rsid w:val="00070A7D"/>
    <w:rsid w:val="00070BDD"/>
    <w:rsid w:val="00070C3A"/>
    <w:rsid w:val="00070C96"/>
    <w:rsid w:val="00070DB4"/>
    <w:rsid w:val="00070E2D"/>
    <w:rsid w:val="00070E6D"/>
    <w:rsid w:val="00070E81"/>
    <w:rsid w:val="00070FCA"/>
    <w:rsid w:val="00070FCB"/>
    <w:rsid w:val="00071024"/>
    <w:rsid w:val="00071051"/>
    <w:rsid w:val="000710EC"/>
    <w:rsid w:val="000710FC"/>
    <w:rsid w:val="00071181"/>
    <w:rsid w:val="000711B2"/>
    <w:rsid w:val="00071282"/>
    <w:rsid w:val="00071415"/>
    <w:rsid w:val="0007142E"/>
    <w:rsid w:val="000714A5"/>
    <w:rsid w:val="00071718"/>
    <w:rsid w:val="0007171A"/>
    <w:rsid w:val="00071792"/>
    <w:rsid w:val="000717E2"/>
    <w:rsid w:val="00071811"/>
    <w:rsid w:val="000718D5"/>
    <w:rsid w:val="0007190E"/>
    <w:rsid w:val="00071B0B"/>
    <w:rsid w:val="00071B25"/>
    <w:rsid w:val="00071B53"/>
    <w:rsid w:val="00071C09"/>
    <w:rsid w:val="00071C10"/>
    <w:rsid w:val="00071C26"/>
    <w:rsid w:val="00071C27"/>
    <w:rsid w:val="00071D83"/>
    <w:rsid w:val="00071D90"/>
    <w:rsid w:val="00071E2D"/>
    <w:rsid w:val="00071E9C"/>
    <w:rsid w:val="0007207D"/>
    <w:rsid w:val="000720AE"/>
    <w:rsid w:val="00072201"/>
    <w:rsid w:val="00072275"/>
    <w:rsid w:val="000722ED"/>
    <w:rsid w:val="00072303"/>
    <w:rsid w:val="000724FD"/>
    <w:rsid w:val="00072723"/>
    <w:rsid w:val="00072746"/>
    <w:rsid w:val="00072762"/>
    <w:rsid w:val="000727B6"/>
    <w:rsid w:val="000727BF"/>
    <w:rsid w:val="000727CA"/>
    <w:rsid w:val="0007281B"/>
    <w:rsid w:val="00072894"/>
    <w:rsid w:val="000728AF"/>
    <w:rsid w:val="00072928"/>
    <w:rsid w:val="0007297A"/>
    <w:rsid w:val="0007298C"/>
    <w:rsid w:val="00072A27"/>
    <w:rsid w:val="00072B4E"/>
    <w:rsid w:val="00072BB8"/>
    <w:rsid w:val="00072C55"/>
    <w:rsid w:val="00072CB4"/>
    <w:rsid w:val="00072CEE"/>
    <w:rsid w:val="00072CF2"/>
    <w:rsid w:val="00073185"/>
    <w:rsid w:val="00073204"/>
    <w:rsid w:val="00073399"/>
    <w:rsid w:val="000733A8"/>
    <w:rsid w:val="000733B5"/>
    <w:rsid w:val="00073435"/>
    <w:rsid w:val="0007369F"/>
    <w:rsid w:val="00073756"/>
    <w:rsid w:val="00073868"/>
    <w:rsid w:val="0007387A"/>
    <w:rsid w:val="0007389E"/>
    <w:rsid w:val="000738F4"/>
    <w:rsid w:val="0007391A"/>
    <w:rsid w:val="00073958"/>
    <w:rsid w:val="00073A90"/>
    <w:rsid w:val="00073B80"/>
    <w:rsid w:val="00073C89"/>
    <w:rsid w:val="00073DD2"/>
    <w:rsid w:val="00073DEB"/>
    <w:rsid w:val="00073E36"/>
    <w:rsid w:val="00073E5D"/>
    <w:rsid w:val="00073EA2"/>
    <w:rsid w:val="00073EA4"/>
    <w:rsid w:val="00073FC0"/>
    <w:rsid w:val="00074294"/>
    <w:rsid w:val="000742FB"/>
    <w:rsid w:val="000743AC"/>
    <w:rsid w:val="00074418"/>
    <w:rsid w:val="0007450B"/>
    <w:rsid w:val="00074710"/>
    <w:rsid w:val="000747A5"/>
    <w:rsid w:val="00074980"/>
    <w:rsid w:val="00074A56"/>
    <w:rsid w:val="00074C32"/>
    <w:rsid w:val="00074CD9"/>
    <w:rsid w:val="00074DE4"/>
    <w:rsid w:val="00074E4C"/>
    <w:rsid w:val="00074EE2"/>
    <w:rsid w:val="00074EE7"/>
    <w:rsid w:val="00074F2B"/>
    <w:rsid w:val="00074F3E"/>
    <w:rsid w:val="00074F40"/>
    <w:rsid w:val="00074FB5"/>
    <w:rsid w:val="000750E4"/>
    <w:rsid w:val="0007514D"/>
    <w:rsid w:val="00075240"/>
    <w:rsid w:val="0007524B"/>
    <w:rsid w:val="000752D3"/>
    <w:rsid w:val="0007530B"/>
    <w:rsid w:val="00075358"/>
    <w:rsid w:val="00075820"/>
    <w:rsid w:val="000758DE"/>
    <w:rsid w:val="00075944"/>
    <w:rsid w:val="000759F9"/>
    <w:rsid w:val="00075BED"/>
    <w:rsid w:val="00075BF4"/>
    <w:rsid w:val="00075C54"/>
    <w:rsid w:val="00075D8F"/>
    <w:rsid w:val="00075DC8"/>
    <w:rsid w:val="00075E9F"/>
    <w:rsid w:val="00075EAA"/>
    <w:rsid w:val="00075FDC"/>
    <w:rsid w:val="00076060"/>
    <w:rsid w:val="00076085"/>
    <w:rsid w:val="00076396"/>
    <w:rsid w:val="00076407"/>
    <w:rsid w:val="00076415"/>
    <w:rsid w:val="0007644A"/>
    <w:rsid w:val="0007644B"/>
    <w:rsid w:val="00076498"/>
    <w:rsid w:val="00076566"/>
    <w:rsid w:val="00076569"/>
    <w:rsid w:val="000766AA"/>
    <w:rsid w:val="00076797"/>
    <w:rsid w:val="000767D9"/>
    <w:rsid w:val="0007687F"/>
    <w:rsid w:val="00076883"/>
    <w:rsid w:val="00076886"/>
    <w:rsid w:val="000768E4"/>
    <w:rsid w:val="0007692D"/>
    <w:rsid w:val="00076A4E"/>
    <w:rsid w:val="00076A6A"/>
    <w:rsid w:val="00076AD9"/>
    <w:rsid w:val="00076ADF"/>
    <w:rsid w:val="00076B53"/>
    <w:rsid w:val="00076D97"/>
    <w:rsid w:val="00076E28"/>
    <w:rsid w:val="00076ED0"/>
    <w:rsid w:val="00076EE5"/>
    <w:rsid w:val="00077075"/>
    <w:rsid w:val="0007714E"/>
    <w:rsid w:val="00077168"/>
    <w:rsid w:val="000771DE"/>
    <w:rsid w:val="00077359"/>
    <w:rsid w:val="0007752F"/>
    <w:rsid w:val="00077544"/>
    <w:rsid w:val="0007761C"/>
    <w:rsid w:val="0007766F"/>
    <w:rsid w:val="00077702"/>
    <w:rsid w:val="0007772A"/>
    <w:rsid w:val="000777A7"/>
    <w:rsid w:val="00077844"/>
    <w:rsid w:val="000778C3"/>
    <w:rsid w:val="000779AD"/>
    <w:rsid w:val="00077BA7"/>
    <w:rsid w:val="00077BAD"/>
    <w:rsid w:val="00077C49"/>
    <w:rsid w:val="00077D94"/>
    <w:rsid w:val="00077DD4"/>
    <w:rsid w:val="00077E73"/>
    <w:rsid w:val="00080101"/>
    <w:rsid w:val="000801EF"/>
    <w:rsid w:val="0008020E"/>
    <w:rsid w:val="000802EE"/>
    <w:rsid w:val="0008030D"/>
    <w:rsid w:val="00080407"/>
    <w:rsid w:val="00080439"/>
    <w:rsid w:val="000804ED"/>
    <w:rsid w:val="00080549"/>
    <w:rsid w:val="00080690"/>
    <w:rsid w:val="0008070E"/>
    <w:rsid w:val="00080782"/>
    <w:rsid w:val="00080832"/>
    <w:rsid w:val="0008097B"/>
    <w:rsid w:val="000809D7"/>
    <w:rsid w:val="000809EC"/>
    <w:rsid w:val="00080A56"/>
    <w:rsid w:val="00080B07"/>
    <w:rsid w:val="00080B60"/>
    <w:rsid w:val="00080BB0"/>
    <w:rsid w:val="00080C40"/>
    <w:rsid w:val="00080CD2"/>
    <w:rsid w:val="00080CF4"/>
    <w:rsid w:val="00080D40"/>
    <w:rsid w:val="00080D43"/>
    <w:rsid w:val="00080E33"/>
    <w:rsid w:val="00081019"/>
    <w:rsid w:val="000810C9"/>
    <w:rsid w:val="000811A3"/>
    <w:rsid w:val="000811C4"/>
    <w:rsid w:val="000813B7"/>
    <w:rsid w:val="000813F3"/>
    <w:rsid w:val="0008149A"/>
    <w:rsid w:val="0008156D"/>
    <w:rsid w:val="00081685"/>
    <w:rsid w:val="00081699"/>
    <w:rsid w:val="000816F8"/>
    <w:rsid w:val="00081707"/>
    <w:rsid w:val="00081775"/>
    <w:rsid w:val="000817D1"/>
    <w:rsid w:val="00081913"/>
    <w:rsid w:val="00081999"/>
    <w:rsid w:val="00081A1E"/>
    <w:rsid w:val="00081B26"/>
    <w:rsid w:val="00081B7A"/>
    <w:rsid w:val="00081B93"/>
    <w:rsid w:val="00081BB9"/>
    <w:rsid w:val="00081C8D"/>
    <w:rsid w:val="00081CA4"/>
    <w:rsid w:val="00081CC0"/>
    <w:rsid w:val="00081CF4"/>
    <w:rsid w:val="00081EE0"/>
    <w:rsid w:val="00081EFE"/>
    <w:rsid w:val="00081F28"/>
    <w:rsid w:val="00082081"/>
    <w:rsid w:val="00082085"/>
    <w:rsid w:val="000821C1"/>
    <w:rsid w:val="000821F0"/>
    <w:rsid w:val="00082245"/>
    <w:rsid w:val="000823D1"/>
    <w:rsid w:val="00082427"/>
    <w:rsid w:val="000824CA"/>
    <w:rsid w:val="000825C3"/>
    <w:rsid w:val="000825E5"/>
    <w:rsid w:val="0008260E"/>
    <w:rsid w:val="000826BA"/>
    <w:rsid w:val="000826E6"/>
    <w:rsid w:val="0008280E"/>
    <w:rsid w:val="0008285D"/>
    <w:rsid w:val="000829C3"/>
    <w:rsid w:val="00082A22"/>
    <w:rsid w:val="00082A44"/>
    <w:rsid w:val="00082BA4"/>
    <w:rsid w:val="00082D0D"/>
    <w:rsid w:val="00082D34"/>
    <w:rsid w:val="00082DE5"/>
    <w:rsid w:val="00082DEC"/>
    <w:rsid w:val="00082E14"/>
    <w:rsid w:val="00082E52"/>
    <w:rsid w:val="00082E99"/>
    <w:rsid w:val="00082F7F"/>
    <w:rsid w:val="00082F9E"/>
    <w:rsid w:val="000830CC"/>
    <w:rsid w:val="000831D8"/>
    <w:rsid w:val="00083232"/>
    <w:rsid w:val="0008323E"/>
    <w:rsid w:val="00083466"/>
    <w:rsid w:val="000834F6"/>
    <w:rsid w:val="00083691"/>
    <w:rsid w:val="000837D7"/>
    <w:rsid w:val="000839C2"/>
    <w:rsid w:val="00083A55"/>
    <w:rsid w:val="00083B0E"/>
    <w:rsid w:val="00083BF1"/>
    <w:rsid w:val="00083D42"/>
    <w:rsid w:val="00083E31"/>
    <w:rsid w:val="00083E70"/>
    <w:rsid w:val="00083ED7"/>
    <w:rsid w:val="00083F53"/>
    <w:rsid w:val="00083F98"/>
    <w:rsid w:val="000841A1"/>
    <w:rsid w:val="00084324"/>
    <w:rsid w:val="000843F8"/>
    <w:rsid w:val="0008457E"/>
    <w:rsid w:val="000846F7"/>
    <w:rsid w:val="0008482E"/>
    <w:rsid w:val="00084A21"/>
    <w:rsid w:val="00084A98"/>
    <w:rsid w:val="00084BAB"/>
    <w:rsid w:val="00084BCA"/>
    <w:rsid w:val="00084D8E"/>
    <w:rsid w:val="00084D9A"/>
    <w:rsid w:val="00084E08"/>
    <w:rsid w:val="00084E36"/>
    <w:rsid w:val="00084E57"/>
    <w:rsid w:val="00084E95"/>
    <w:rsid w:val="00084F66"/>
    <w:rsid w:val="00084FC3"/>
    <w:rsid w:val="00084FF4"/>
    <w:rsid w:val="00085073"/>
    <w:rsid w:val="00085092"/>
    <w:rsid w:val="000850EE"/>
    <w:rsid w:val="000851F5"/>
    <w:rsid w:val="00085483"/>
    <w:rsid w:val="0008549B"/>
    <w:rsid w:val="000854F0"/>
    <w:rsid w:val="00085502"/>
    <w:rsid w:val="0008551F"/>
    <w:rsid w:val="0008553D"/>
    <w:rsid w:val="000855A7"/>
    <w:rsid w:val="0008573F"/>
    <w:rsid w:val="000857DE"/>
    <w:rsid w:val="000857E4"/>
    <w:rsid w:val="00085854"/>
    <w:rsid w:val="00085883"/>
    <w:rsid w:val="00085AB5"/>
    <w:rsid w:val="00085BB1"/>
    <w:rsid w:val="00085C93"/>
    <w:rsid w:val="00085D6F"/>
    <w:rsid w:val="00085D7A"/>
    <w:rsid w:val="00085DAB"/>
    <w:rsid w:val="00085E53"/>
    <w:rsid w:val="00085FEC"/>
    <w:rsid w:val="00086004"/>
    <w:rsid w:val="00086073"/>
    <w:rsid w:val="000860AE"/>
    <w:rsid w:val="000860BC"/>
    <w:rsid w:val="000860C8"/>
    <w:rsid w:val="00086167"/>
    <w:rsid w:val="00086190"/>
    <w:rsid w:val="00086261"/>
    <w:rsid w:val="00086275"/>
    <w:rsid w:val="000862DC"/>
    <w:rsid w:val="000862E0"/>
    <w:rsid w:val="0008631D"/>
    <w:rsid w:val="00086329"/>
    <w:rsid w:val="0008633F"/>
    <w:rsid w:val="00086697"/>
    <w:rsid w:val="000867F9"/>
    <w:rsid w:val="0008688A"/>
    <w:rsid w:val="000868E3"/>
    <w:rsid w:val="00086908"/>
    <w:rsid w:val="0008696F"/>
    <w:rsid w:val="00086A05"/>
    <w:rsid w:val="00086A12"/>
    <w:rsid w:val="00086AAC"/>
    <w:rsid w:val="00086C28"/>
    <w:rsid w:val="00086C6F"/>
    <w:rsid w:val="00086E88"/>
    <w:rsid w:val="000870DB"/>
    <w:rsid w:val="00087162"/>
    <w:rsid w:val="00087273"/>
    <w:rsid w:val="00087394"/>
    <w:rsid w:val="00087449"/>
    <w:rsid w:val="00087469"/>
    <w:rsid w:val="0008755B"/>
    <w:rsid w:val="000876AC"/>
    <w:rsid w:val="000876F6"/>
    <w:rsid w:val="0008774D"/>
    <w:rsid w:val="000877AD"/>
    <w:rsid w:val="00087835"/>
    <w:rsid w:val="0008788E"/>
    <w:rsid w:val="000878BD"/>
    <w:rsid w:val="00087939"/>
    <w:rsid w:val="00087A49"/>
    <w:rsid w:val="00087A82"/>
    <w:rsid w:val="00087ABF"/>
    <w:rsid w:val="00087BE6"/>
    <w:rsid w:val="00087C05"/>
    <w:rsid w:val="00087C4D"/>
    <w:rsid w:val="00087CF5"/>
    <w:rsid w:val="00087D12"/>
    <w:rsid w:val="00087D54"/>
    <w:rsid w:val="00087DBC"/>
    <w:rsid w:val="00087E79"/>
    <w:rsid w:val="00087FEE"/>
    <w:rsid w:val="00090078"/>
    <w:rsid w:val="0009020A"/>
    <w:rsid w:val="00090258"/>
    <w:rsid w:val="000902D8"/>
    <w:rsid w:val="000902F0"/>
    <w:rsid w:val="00090300"/>
    <w:rsid w:val="0009035C"/>
    <w:rsid w:val="00090429"/>
    <w:rsid w:val="00090570"/>
    <w:rsid w:val="000905B0"/>
    <w:rsid w:val="000905D4"/>
    <w:rsid w:val="000905D9"/>
    <w:rsid w:val="000906AA"/>
    <w:rsid w:val="000907B9"/>
    <w:rsid w:val="0009083A"/>
    <w:rsid w:val="00090900"/>
    <w:rsid w:val="00090926"/>
    <w:rsid w:val="00090978"/>
    <w:rsid w:val="000909BC"/>
    <w:rsid w:val="000909C9"/>
    <w:rsid w:val="000909DD"/>
    <w:rsid w:val="000909E4"/>
    <w:rsid w:val="00090A04"/>
    <w:rsid w:val="00090A1D"/>
    <w:rsid w:val="00090AAE"/>
    <w:rsid w:val="00090C77"/>
    <w:rsid w:val="00090D3F"/>
    <w:rsid w:val="00090F1B"/>
    <w:rsid w:val="00090F5C"/>
    <w:rsid w:val="00090F73"/>
    <w:rsid w:val="00090F91"/>
    <w:rsid w:val="00090FEE"/>
    <w:rsid w:val="0009102C"/>
    <w:rsid w:val="000914F7"/>
    <w:rsid w:val="00091531"/>
    <w:rsid w:val="000915A4"/>
    <w:rsid w:val="00091826"/>
    <w:rsid w:val="00091970"/>
    <w:rsid w:val="000919B2"/>
    <w:rsid w:val="000919D5"/>
    <w:rsid w:val="00091BBA"/>
    <w:rsid w:val="00091CC6"/>
    <w:rsid w:val="00091DBB"/>
    <w:rsid w:val="00091DDA"/>
    <w:rsid w:val="00091F23"/>
    <w:rsid w:val="00091F5D"/>
    <w:rsid w:val="00091FB5"/>
    <w:rsid w:val="00092127"/>
    <w:rsid w:val="000921CC"/>
    <w:rsid w:val="000921F1"/>
    <w:rsid w:val="000922B0"/>
    <w:rsid w:val="0009248A"/>
    <w:rsid w:val="0009251D"/>
    <w:rsid w:val="00092551"/>
    <w:rsid w:val="0009255D"/>
    <w:rsid w:val="0009267E"/>
    <w:rsid w:val="000926EC"/>
    <w:rsid w:val="00092760"/>
    <w:rsid w:val="00092832"/>
    <w:rsid w:val="000928E3"/>
    <w:rsid w:val="000928F5"/>
    <w:rsid w:val="00092A74"/>
    <w:rsid w:val="00092AB5"/>
    <w:rsid w:val="00092AB6"/>
    <w:rsid w:val="00092AC4"/>
    <w:rsid w:val="00092B77"/>
    <w:rsid w:val="00092CAA"/>
    <w:rsid w:val="00092CC8"/>
    <w:rsid w:val="00092CD0"/>
    <w:rsid w:val="00092E20"/>
    <w:rsid w:val="00092EDA"/>
    <w:rsid w:val="00092FAC"/>
    <w:rsid w:val="00092FB4"/>
    <w:rsid w:val="0009300F"/>
    <w:rsid w:val="00093093"/>
    <w:rsid w:val="000930A9"/>
    <w:rsid w:val="00093183"/>
    <w:rsid w:val="0009327F"/>
    <w:rsid w:val="0009329E"/>
    <w:rsid w:val="000932D5"/>
    <w:rsid w:val="000933AF"/>
    <w:rsid w:val="00093472"/>
    <w:rsid w:val="0009349D"/>
    <w:rsid w:val="000934F4"/>
    <w:rsid w:val="00093547"/>
    <w:rsid w:val="000935EA"/>
    <w:rsid w:val="00093600"/>
    <w:rsid w:val="0009366F"/>
    <w:rsid w:val="000936B6"/>
    <w:rsid w:val="00093865"/>
    <w:rsid w:val="0009399D"/>
    <w:rsid w:val="000939DE"/>
    <w:rsid w:val="00093B42"/>
    <w:rsid w:val="00093BDE"/>
    <w:rsid w:val="00093C16"/>
    <w:rsid w:val="00093CB5"/>
    <w:rsid w:val="00093CD1"/>
    <w:rsid w:val="00093CDC"/>
    <w:rsid w:val="00093D0E"/>
    <w:rsid w:val="00093D7E"/>
    <w:rsid w:val="00093DF3"/>
    <w:rsid w:val="00093E9D"/>
    <w:rsid w:val="00093FAF"/>
    <w:rsid w:val="00093FC6"/>
    <w:rsid w:val="00093FCB"/>
    <w:rsid w:val="00094128"/>
    <w:rsid w:val="00094134"/>
    <w:rsid w:val="00094308"/>
    <w:rsid w:val="00094347"/>
    <w:rsid w:val="000943A9"/>
    <w:rsid w:val="000943D3"/>
    <w:rsid w:val="00094431"/>
    <w:rsid w:val="00094446"/>
    <w:rsid w:val="000944EB"/>
    <w:rsid w:val="00094522"/>
    <w:rsid w:val="00094754"/>
    <w:rsid w:val="00094781"/>
    <w:rsid w:val="00094784"/>
    <w:rsid w:val="000948DA"/>
    <w:rsid w:val="00094990"/>
    <w:rsid w:val="000949A7"/>
    <w:rsid w:val="00094A04"/>
    <w:rsid w:val="00094A18"/>
    <w:rsid w:val="00094A2C"/>
    <w:rsid w:val="00094B12"/>
    <w:rsid w:val="00094DB6"/>
    <w:rsid w:val="00094EA8"/>
    <w:rsid w:val="00094EBC"/>
    <w:rsid w:val="00094F7F"/>
    <w:rsid w:val="00095113"/>
    <w:rsid w:val="00095123"/>
    <w:rsid w:val="0009512C"/>
    <w:rsid w:val="00095198"/>
    <w:rsid w:val="00095218"/>
    <w:rsid w:val="00095221"/>
    <w:rsid w:val="0009524B"/>
    <w:rsid w:val="000952EC"/>
    <w:rsid w:val="00095385"/>
    <w:rsid w:val="00095505"/>
    <w:rsid w:val="000956DB"/>
    <w:rsid w:val="00095714"/>
    <w:rsid w:val="00095727"/>
    <w:rsid w:val="00095862"/>
    <w:rsid w:val="000958EE"/>
    <w:rsid w:val="000959AB"/>
    <w:rsid w:val="000959FB"/>
    <w:rsid w:val="00095A8E"/>
    <w:rsid w:val="00095B6C"/>
    <w:rsid w:val="00095CA3"/>
    <w:rsid w:val="00095ED1"/>
    <w:rsid w:val="0009600A"/>
    <w:rsid w:val="0009609C"/>
    <w:rsid w:val="00096148"/>
    <w:rsid w:val="000962B6"/>
    <w:rsid w:val="0009634C"/>
    <w:rsid w:val="00096391"/>
    <w:rsid w:val="000963D6"/>
    <w:rsid w:val="00096414"/>
    <w:rsid w:val="00096447"/>
    <w:rsid w:val="000965D4"/>
    <w:rsid w:val="000965E7"/>
    <w:rsid w:val="0009684A"/>
    <w:rsid w:val="0009686B"/>
    <w:rsid w:val="000968A5"/>
    <w:rsid w:val="00096901"/>
    <w:rsid w:val="00096A36"/>
    <w:rsid w:val="00096A6F"/>
    <w:rsid w:val="00096BB5"/>
    <w:rsid w:val="00096BC9"/>
    <w:rsid w:val="00096BDC"/>
    <w:rsid w:val="00096C38"/>
    <w:rsid w:val="00096D98"/>
    <w:rsid w:val="00096ECB"/>
    <w:rsid w:val="00096F70"/>
    <w:rsid w:val="00096FED"/>
    <w:rsid w:val="00097154"/>
    <w:rsid w:val="000971D4"/>
    <w:rsid w:val="00097236"/>
    <w:rsid w:val="0009724B"/>
    <w:rsid w:val="000973B7"/>
    <w:rsid w:val="000973DD"/>
    <w:rsid w:val="000973E0"/>
    <w:rsid w:val="0009742A"/>
    <w:rsid w:val="00097496"/>
    <w:rsid w:val="000974AF"/>
    <w:rsid w:val="00097548"/>
    <w:rsid w:val="000975B4"/>
    <w:rsid w:val="0009760A"/>
    <w:rsid w:val="0009761F"/>
    <w:rsid w:val="0009769C"/>
    <w:rsid w:val="00097770"/>
    <w:rsid w:val="00097818"/>
    <w:rsid w:val="000978B0"/>
    <w:rsid w:val="00097986"/>
    <w:rsid w:val="000979E0"/>
    <w:rsid w:val="00097A12"/>
    <w:rsid w:val="00097A97"/>
    <w:rsid w:val="00097B0D"/>
    <w:rsid w:val="00097B15"/>
    <w:rsid w:val="00097D02"/>
    <w:rsid w:val="00097DA6"/>
    <w:rsid w:val="00097ED1"/>
    <w:rsid w:val="00097EFB"/>
    <w:rsid w:val="000A0083"/>
    <w:rsid w:val="000A0095"/>
    <w:rsid w:val="000A012F"/>
    <w:rsid w:val="000A01A2"/>
    <w:rsid w:val="000A01C2"/>
    <w:rsid w:val="000A02C6"/>
    <w:rsid w:val="000A0334"/>
    <w:rsid w:val="000A033B"/>
    <w:rsid w:val="000A0350"/>
    <w:rsid w:val="000A036B"/>
    <w:rsid w:val="000A037B"/>
    <w:rsid w:val="000A0412"/>
    <w:rsid w:val="000A0453"/>
    <w:rsid w:val="000A057E"/>
    <w:rsid w:val="000A05D7"/>
    <w:rsid w:val="000A0642"/>
    <w:rsid w:val="000A0712"/>
    <w:rsid w:val="000A0777"/>
    <w:rsid w:val="000A07C8"/>
    <w:rsid w:val="000A0812"/>
    <w:rsid w:val="000A0833"/>
    <w:rsid w:val="000A08BE"/>
    <w:rsid w:val="000A0A61"/>
    <w:rsid w:val="000A0BCA"/>
    <w:rsid w:val="000A0D7C"/>
    <w:rsid w:val="000A0EFC"/>
    <w:rsid w:val="000A0F0C"/>
    <w:rsid w:val="000A103E"/>
    <w:rsid w:val="000A103F"/>
    <w:rsid w:val="000A117F"/>
    <w:rsid w:val="000A1232"/>
    <w:rsid w:val="000A130F"/>
    <w:rsid w:val="000A13E2"/>
    <w:rsid w:val="000A1410"/>
    <w:rsid w:val="000A148C"/>
    <w:rsid w:val="000A14A1"/>
    <w:rsid w:val="000A1528"/>
    <w:rsid w:val="000A15A4"/>
    <w:rsid w:val="000A1608"/>
    <w:rsid w:val="000A161C"/>
    <w:rsid w:val="000A1647"/>
    <w:rsid w:val="000A172A"/>
    <w:rsid w:val="000A187E"/>
    <w:rsid w:val="000A1C4B"/>
    <w:rsid w:val="000A1F22"/>
    <w:rsid w:val="000A204A"/>
    <w:rsid w:val="000A20BC"/>
    <w:rsid w:val="000A217E"/>
    <w:rsid w:val="000A2203"/>
    <w:rsid w:val="000A2207"/>
    <w:rsid w:val="000A2209"/>
    <w:rsid w:val="000A2331"/>
    <w:rsid w:val="000A2339"/>
    <w:rsid w:val="000A23C9"/>
    <w:rsid w:val="000A2433"/>
    <w:rsid w:val="000A2606"/>
    <w:rsid w:val="000A2782"/>
    <w:rsid w:val="000A281F"/>
    <w:rsid w:val="000A2828"/>
    <w:rsid w:val="000A28B1"/>
    <w:rsid w:val="000A28CF"/>
    <w:rsid w:val="000A29DF"/>
    <w:rsid w:val="000A2A2B"/>
    <w:rsid w:val="000A2A41"/>
    <w:rsid w:val="000A2A4E"/>
    <w:rsid w:val="000A2A51"/>
    <w:rsid w:val="000A2AC0"/>
    <w:rsid w:val="000A2B61"/>
    <w:rsid w:val="000A2C05"/>
    <w:rsid w:val="000A2C09"/>
    <w:rsid w:val="000A2C1E"/>
    <w:rsid w:val="000A2C8A"/>
    <w:rsid w:val="000A2CD0"/>
    <w:rsid w:val="000A2CE0"/>
    <w:rsid w:val="000A2EAA"/>
    <w:rsid w:val="000A2EC8"/>
    <w:rsid w:val="000A2FD9"/>
    <w:rsid w:val="000A30E2"/>
    <w:rsid w:val="000A3109"/>
    <w:rsid w:val="000A3143"/>
    <w:rsid w:val="000A314A"/>
    <w:rsid w:val="000A3205"/>
    <w:rsid w:val="000A3281"/>
    <w:rsid w:val="000A339E"/>
    <w:rsid w:val="000A33DD"/>
    <w:rsid w:val="000A3487"/>
    <w:rsid w:val="000A34B1"/>
    <w:rsid w:val="000A35A8"/>
    <w:rsid w:val="000A363C"/>
    <w:rsid w:val="000A364F"/>
    <w:rsid w:val="000A368B"/>
    <w:rsid w:val="000A36AB"/>
    <w:rsid w:val="000A36DC"/>
    <w:rsid w:val="000A36EB"/>
    <w:rsid w:val="000A376C"/>
    <w:rsid w:val="000A3782"/>
    <w:rsid w:val="000A37A2"/>
    <w:rsid w:val="000A37C8"/>
    <w:rsid w:val="000A3A2A"/>
    <w:rsid w:val="000A3BBB"/>
    <w:rsid w:val="000A3E38"/>
    <w:rsid w:val="000A3F3E"/>
    <w:rsid w:val="000A3F56"/>
    <w:rsid w:val="000A3FE3"/>
    <w:rsid w:val="000A40AD"/>
    <w:rsid w:val="000A40DF"/>
    <w:rsid w:val="000A4123"/>
    <w:rsid w:val="000A4187"/>
    <w:rsid w:val="000A4198"/>
    <w:rsid w:val="000A41F7"/>
    <w:rsid w:val="000A4330"/>
    <w:rsid w:val="000A436C"/>
    <w:rsid w:val="000A4432"/>
    <w:rsid w:val="000A4481"/>
    <w:rsid w:val="000A44BC"/>
    <w:rsid w:val="000A459B"/>
    <w:rsid w:val="000A45AF"/>
    <w:rsid w:val="000A4658"/>
    <w:rsid w:val="000A4694"/>
    <w:rsid w:val="000A4812"/>
    <w:rsid w:val="000A48A6"/>
    <w:rsid w:val="000A48D6"/>
    <w:rsid w:val="000A4A99"/>
    <w:rsid w:val="000A4B82"/>
    <w:rsid w:val="000A4B94"/>
    <w:rsid w:val="000A4CF2"/>
    <w:rsid w:val="000A4D02"/>
    <w:rsid w:val="000A4EBD"/>
    <w:rsid w:val="000A504E"/>
    <w:rsid w:val="000A50AC"/>
    <w:rsid w:val="000A510D"/>
    <w:rsid w:val="000A5276"/>
    <w:rsid w:val="000A5361"/>
    <w:rsid w:val="000A53F2"/>
    <w:rsid w:val="000A5408"/>
    <w:rsid w:val="000A5416"/>
    <w:rsid w:val="000A5485"/>
    <w:rsid w:val="000A549D"/>
    <w:rsid w:val="000A5569"/>
    <w:rsid w:val="000A557A"/>
    <w:rsid w:val="000A55D4"/>
    <w:rsid w:val="000A562F"/>
    <w:rsid w:val="000A56AE"/>
    <w:rsid w:val="000A56B9"/>
    <w:rsid w:val="000A56F7"/>
    <w:rsid w:val="000A5875"/>
    <w:rsid w:val="000A58FA"/>
    <w:rsid w:val="000A5934"/>
    <w:rsid w:val="000A5B57"/>
    <w:rsid w:val="000A5C16"/>
    <w:rsid w:val="000A5C86"/>
    <w:rsid w:val="000A5D09"/>
    <w:rsid w:val="000A5D21"/>
    <w:rsid w:val="000A5D32"/>
    <w:rsid w:val="000A5EBC"/>
    <w:rsid w:val="000A5F5B"/>
    <w:rsid w:val="000A5FB2"/>
    <w:rsid w:val="000A5FF6"/>
    <w:rsid w:val="000A603F"/>
    <w:rsid w:val="000A6085"/>
    <w:rsid w:val="000A6100"/>
    <w:rsid w:val="000A61A4"/>
    <w:rsid w:val="000A61E4"/>
    <w:rsid w:val="000A6290"/>
    <w:rsid w:val="000A62C5"/>
    <w:rsid w:val="000A642B"/>
    <w:rsid w:val="000A6439"/>
    <w:rsid w:val="000A6550"/>
    <w:rsid w:val="000A657F"/>
    <w:rsid w:val="000A65DA"/>
    <w:rsid w:val="000A661B"/>
    <w:rsid w:val="000A674C"/>
    <w:rsid w:val="000A6818"/>
    <w:rsid w:val="000A691E"/>
    <w:rsid w:val="000A6A17"/>
    <w:rsid w:val="000A6A2E"/>
    <w:rsid w:val="000A6A41"/>
    <w:rsid w:val="000A6B33"/>
    <w:rsid w:val="000A6C4A"/>
    <w:rsid w:val="000A6C50"/>
    <w:rsid w:val="000A6D2C"/>
    <w:rsid w:val="000A6DFC"/>
    <w:rsid w:val="000A6E02"/>
    <w:rsid w:val="000A6E2C"/>
    <w:rsid w:val="000A6F42"/>
    <w:rsid w:val="000A70EE"/>
    <w:rsid w:val="000A74DB"/>
    <w:rsid w:val="000A7633"/>
    <w:rsid w:val="000A7686"/>
    <w:rsid w:val="000A77A9"/>
    <w:rsid w:val="000A784F"/>
    <w:rsid w:val="000A7891"/>
    <w:rsid w:val="000A78F6"/>
    <w:rsid w:val="000A7A43"/>
    <w:rsid w:val="000A7CD4"/>
    <w:rsid w:val="000A7D24"/>
    <w:rsid w:val="000A7DBD"/>
    <w:rsid w:val="000A7E5C"/>
    <w:rsid w:val="000A7F3C"/>
    <w:rsid w:val="000A7FC6"/>
    <w:rsid w:val="000A7FF1"/>
    <w:rsid w:val="000B00A2"/>
    <w:rsid w:val="000B01E0"/>
    <w:rsid w:val="000B030F"/>
    <w:rsid w:val="000B0334"/>
    <w:rsid w:val="000B03DF"/>
    <w:rsid w:val="000B054E"/>
    <w:rsid w:val="000B05BE"/>
    <w:rsid w:val="000B0616"/>
    <w:rsid w:val="000B0646"/>
    <w:rsid w:val="000B072B"/>
    <w:rsid w:val="000B078C"/>
    <w:rsid w:val="000B07E0"/>
    <w:rsid w:val="000B096C"/>
    <w:rsid w:val="000B09E7"/>
    <w:rsid w:val="000B0AA3"/>
    <w:rsid w:val="000B0AD0"/>
    <w:rsid w:val="000B0B44"/>
    <w:rsid w:val="000B0BAD"/>
    <w:rsid w:val="000B0C54"/>
    <w:rsid w:val="000B0D01"/>
    <w:rsid w:val="000B0DCA"/>
    <w:rsid w:val="000B0E7E"/>
    <w:rsid w:val="000B0ECE"/>
    <w:rsid w:val="000B0F3D"/>
    <w:rsid w:val="000B0FF2"/>
    <w:rsid w:val="000B1039"/>
    <w:rsid w:val="000B1111"/>
    <w:rsid w:val="000B116B"/>
    <w:rsid w:val="000B1281"/>
    <w:rsid w:val="000B1288"/>
    <w:rsid w:val="000B131C"/>
    <w:rsid w:val="000B14AF"/>
    <w:rsid w:val="000B1547"/>
    <w:rsid w:val="000B157C"/>
    <w:rsid w:val="000B15EF"/>
    <w:rsid w:val="000B15F9"/>
    <w:rsid w:val="000B1625"/>
    <w:rsid w:val="000B1629"/>
    <w:rsid w:val="000B1860"/>
    <w:rsid w:val="000B18EF"/>
    <w:rsid w:val="000B198F"/>
    <w:rsid w:val="000B1A73"/>
    <w:rsid w:val="000B1DDB"/>
    <w:rsid w:val="000B1E8C"/>
    <w:rsid w:val="000B20E1"/>
    <w:rsid w:val="000B21C7"/>
    <w:rsid w:val="000B228B"/>
    <w:rsid w:val="000B2307"/>
    <w:rsid w:val="000B2318"/>
    <w:rsid w:val="000B23CE"/>
    <w:rsid w:val="000B245C"/>
    <w:rsid w:val="000B249D"/>
    <w:rsid w:val="000B24FD"/>
    <w:rsid w:val="000B2554"/>
    <w:rsid w:val="000B258A"/>
    <w:rsid w:val="000B2610"/>
    <w:rsid w:val="000B26FB"/>
    <w:rsid w:val="000B27F7"/>
    <w:rsid w:val="000B28FB"/>
    <w:rsid w:val="000B2AC6"/>
    <w:rsid w:val="000B2B05"/>
    <w:rsid w:val="000B2BAE"/>
    <w:rsid w:val="000B2BF7"/>
    <w:rsid w:val="000B2C1A"/>
    <w:rsid w:val="000B2D31"/>
    <w:rsid w:val="000B2E73"/>
    <w:rsid w:val="000B2F06"/>
    <w:rsid w:val="000B3156"/>
    <w:rsid w:val="000B31E3"/>
    <w:rsid w:val="000B31EC"/>
    <w:rsid w:val="000B325B"/>
    <w:rsid w:val="000B32D3"/>
    <w:rsid w:val="000B32FC"/>
    <w:rsid w:val="000B3389"/>
    <w:rsid w:val="000B36FA"/>
    <w:rsid w:val="000B3774"/>
    <w:rsid w:val="000B379B"/>
    <w:rsid w:val="000B3871"/>
    <w:rsid w:val="000B38B2"/>
    <w:rsid w:val="000B38C1"/>
    <w:rsid w:val="000B38C5"/>
    <w:rsid w:val="000B38EF"/>
    <w:rsid w:val="000B3928"/>
    <w:rsid w:val="000B395E"/>
    <w:rsid w:val="000B3972"/>
    <w:rsid w:val="000B3A3B"/>
    <w:rsid w:val="000B3ABE"/>
    <w:rsid w:val="000B3B2A"/>
    <w:rsid w:val="000B3BBC"/>
    <w:rsid w:val="000B3C12"/>
    <w:rsid w:val="000B3C65"/>
    <w:rsid w:val="000B3D25"/>
    <w:rsid w:val="000B3DAD"/>
    <w:rsid w:val="000B3DF0"/>
    <w:rsid w:val="000B3E75"/>
    <w:rsid w:val="000B3EB2"/>
    <w:rsid w:val="000B40E5"/>
    <w:rsid w:val="000B41B2"/>
    <w:rsid w:val="000B41C7"/>
    <w:rsid w:val="000B422A"/>
    <w:rsid w:val="000B4282"/>
    <w:rsid w:val="000B42C3"/>
    <w:rsid w:val="000B43B4"/>
    <w:rsid w:val="000B4502"/>
    <w:rsid w:val="000B451C"/>
    <w:rsid w:val="000B4632"/>
    <w:rsid w:val="000B474C"/>
    <w:rsid w:val="000B48B7"/>
    <w:rsid w:val="000B49C8"/>
    <w:rsid w:val="000B4B19"/>
    <w:rsid w:val="000B4BED"/>
    <w:rsid w:val="000B4C09"/>
    <w:rsid w:val="000B4C87"/>
    <w:rsid w:val="000B4CB8"/>
    <w:rsid w:val="000B4CDD"/>
    <w:rsid w:val="000B4FDB"/>
    <w:rsid w:val="000B5029"/>
    <w:rsid w:val="000B507F"/>
    <w:rsid w:val="000B5279"/>
    <w:rsid w:val="000B531A"/>
    <w:rsid w:val="000B538D"/>
    <w:rsid w:val="000B53B6"/>
    <w:rsid w:val="000B53CC"/>
    <w:rsid w:val="000B543F"/>
    <w:rsid w:val="000B5440"/>
    <w:rsid w:val="000B54A1"/>
    <w:rsid w:val="000B5730"/>
    <w:rsid w:val="000B57C8"/>
    <w:rsid w:val="000B57E6"/>
    <w:rsid w:val="000B58F2"/>
    <w:rsid w:val="000B5902"/>
    <w:rsid w:val="000B59DA"/>
    <w:rsid w:val="000B59DD"/>
    <w:rsid w:val="000B5B77"/>
    <w:rsid w:val="000B5BCA"/>
    <w:rsid w:val="000B5BF7"/>
    <w:rsid w:val="000B5C4D"/>
    <w:rsid w:val="000B5C8B"/>
    <w:rsid w:val="000B5C8F"/>
    <w:rsid w:val="000B5E39"/>
    <w:rsid w:val="000B5EE1"/>
    <w:rsid w:val="000B5F94"/>
    <w:rsid w:val="000B5FFE"/>
    <w:rsid w:val="000B60DC"/>
    <w:rsid w:val="000B618E"/>
    <w:rsid w:val="000B618F"/>
    <w:rsid w:val="000B61CE"/>
    <w:rsid w:val="000B6292"/>
    <w:rsid w:val="000B635E"/>
    <w:rsid w:val="000B6527"/>
    <w:rsid w:val="000B657C"/>
    <w:rsid w:val="000B67C0"/>
    <w:rsid w:val="000B67E5"/>
    <w:rsid w:val="000B6845"/>
    <w:rsid w:val="000B68B8"/>
    <w:rsid w:val="000B68C9"/>
    <w:rsid w:val="000B6904"/>
    <w:rsid w:val="000B6916"/>
    <w:rsid w:val="000B6926"/>
    <w:rsid w:val="000B6962"/>
    <w:rsid w:val="000B69FB"/>
    <w:rsid w:val="000B6A22"/>
    <w:rsid w:val="000B6A23"/>
    <w:rsid w:val="000B6AB0"/>
    <w:rsid w:val="000B6ABA"/>
    <w:rsid w:val="000B6BBD"/>
    <w:rsid w:val="000B6BCE"/>
    <w:rsid w:val="000B6DA4"/>
    <w:rsid w:val="000B6E99"/>
    <w:rsid w:val="000B6F40"/>
    <w:rsid w:val="000B6FBF"/>
    <w:rsid w:val="000B6FDF"/>
    <w:rsid w:val="000B7084"/>
    <w:rsid w:val="000B71E5"/>
    <w:rsid w:val="000B7235"/>
    <w:rsid w:val="000B7241"/>
    <w:rsid w:val="000B725F"/>
    <w:rsid w:val="000B739E"/>
    <w:rsid w:val="000B73F0"/>
    <w:rsid w:val="000B75C0"/>
    <w:rsid w:val="000B7645"/>
    <w:rsid w:val="000B7647"/>
    <w:rsid w:val="000B76D0"/>
    <w:rsid w:val="000B76E9"/>
    <w:rsid w:val="000B7874"/>
    <w:rsid w:val="000B78E4"/>
    <w:rsid w:val="000B7A68"/>
    <w:rsid w:val="000B7BD4"/>
    <w:rsid w:val="000B7C08"/>
    <w:rsid w:val="000B7C25"/>
    <w:rsid w:val="000B7D50"/>
    <w:rsid w:val="000B7DC3"/>
    <w:rsid w:val="000B7E77"/>
    <w:rsid w:val="000C0064"/>
    <w:rsid w:val="000C007B"/>
    <w:rsid w:val="000C009F"/>
    <w:rsid w:val="000C00F0"/>
    <w:rsid w:val="000C027E"/>
    <w:rsid w:val="000C027F"/>
    <w:rsid w:val="000C03A3"/>
    <w:rsid w:val="000C03B6"/>
    <w:rsid w:val="000C04AB"/>
    <w:rsid w:val="000C0526"/>
    <w:rsid w:val="000C054A"/>
    <w:rsid w:val="000C0588"/>
    <w:rsid w:val="000C06ED"/>
    <w:rsid w:val="000C076E"/>
    <w:rsid w:val="000C0864"/>
    <w:rsid w:val="000C098D"/>
    <w:rsid w:val="000C09AC"/>
    <w:rsid w:val="000C0A10"/>
    <w:rsid w:val="000C0B0E"/>
    <w:rsid w:val="000C0B0F"/>
    <w:rsid w:val="000C0B3E"/>
    <w:rsid w:val="000C0C88"/>
    <w:rsid w:val="000C0D90"/>
    <w:rsid w:val="000C0D93"/>
    <w:rsid w:val="000C0DAA"/>
    <w:rsid w:val="000C0DEC"/>
    <w:rsid w:val="000C103E"/>
    <w:rsid w:val="000C10FE"/>
    <w:rsid w:val="000C1157"/>
    <w:rsid w:val="000C129B"/>
    <w:rsid w:val="000C1370"/>
    <w:rsid w:val="000C1424"/>
    <w:rsid w:val="000C1463"/>
    <w:rsid w:val="000C14F7"/>
    <w:rsid w:val="000C15EF"/>
    <w:rsid w:val="000C1633"/>
    <w:rsid w:val="000C16BB"/>
    <w:rsid w:val="000C16EE"/>
    <w:rsid w:val="000C1701"/>
    <w:rsid w:val="000C173A"/>
    <w:rsid w:val="000C176B"/>
    <w:rsid w:val="000C187C"/>
    <w:rsid w:val="000C18FE"/>
    <w:rsid w:val="000C1A08"/>
    <w:rsid w:val="000C1BCD"/>
    <w:rsid w:val="000C1C1B"/>
    <w:rsid w:val="000C1CBA"/>
    <w:rsid w:val="000C1D38"/>
    <w:rsid w:val="000C1D7E"/>
    <w:rsid w:val="000C1E17"/>
    <w:rsid w:val="000C1F59"/>
    <w:rsid w:val="000C2049"/>
    <w:rsid w:val="000C2150"/>
    <w:rsid w:val="000C2169"/>
    <w:rsid w:val="000C218D"/>
    <w:rsid w:val="000C21F6"/>
    <w:rsid w:val="000C2249"/>
    <w:rsid w:val="000C2252"/>
    <w:rsid w:val="000C22DE"/>
    <w:rsid w:val="000C2320"/>
    <w:rsid w:val="000C232C"/>
    <w:rsid w:val="000C2373"/>
    <w:rsid w:val="000C23E4"/>
    <w:rsid w:val="000C2442"/>
    <w:rsid w:val="000C2489"/>
    <w:rsid w:val="000C2550"/>
    <w:rsid w:val="000C255B"/>
    <w:rsid w:val="000C25B2"/>
    <w:rsid w:val="000C2667"/>
    <w:rsid w:val="000C26C0"/>
    <w:rsid w:val="000C26ED"/>
    <w:rsid w:val="000C274D"/>
    <w:rsid w:val="000C27AB"/>
    <w:rsid w:val="000C27B0"/>
    <w:rsid w:val="000C27BB"/>
    <w:rsid w:val="000C27D3"/>
    <w:rsid w:val="000C27D8"/>
    <w:rsid w:val="000C281A"/>
    <w:rsid w:val="000C293A"/>
    <w:rsid w:val="000C29FA"/>
    <w:rsid w:val="000C2A35"/>
    <w:rsid w:val="000C2B38"/>
    <w:rsid w:val="000C2B5E"/>
    <w:rsid w:val="000C2D11"/>
    <w:rsid w:val="000C2D41"/>
    <w:rsid w:val="000C2E46"/>
    <w:rsid w:val="000C2E88"/>
    <w:rsid w:val="000C2F0D"/>
    <w:rsid w:val="000C2F30"/>
    <w:rsid w:val="000C2F7D"/>
    <w:rsid w:val="000C301C"/>
    <w:rsid w:val="000C30F7"/>
    <w:rsid w:val="000C311D"/>
    <w:rsid w:val="000C317E"/>
    <w:rsid w:val="000C3231"/>
    <w:rsid w:val="000C32AF"/>
    <w:rsid w:val="000C32C8"/>
    <w:rsid w:val="000C331A"/>
    <w:rsid w:val="000C3476"/>
    <w:rsid w:val="000C34F8"/>
    <w:rsid w:val="000C3519"/>
    <w:rsid w:val="000C3610"/>
    <w:rsid w:val="000C3718"/>
    <w:rsid w:val="000C37CA"/>
    <w:rsid w:val="000C3867"/>
    <w:rsid w:val="000C3873"/>
    <w:rsid w:val="000C38C7"/>
    <w:rsid w:val="000C38FB"/>
    <w:rsid w:val="000C397C"/>
    <w:rsid w:val="000C3A00"/>
    <w:rsid w:val="000C3A75"/>
    <w:rsid w:val="000C3AC6"/>
    <w:rsid w:val="000C3B2B"/>
    <w:rsid w:val="000C3BC3"/>
    <w:rsid w:val="000C3BCC"/>
    <w:rsid w:val="000C3D09"/>
    <w:rsid w:val="000C3D2E"/>
    <w:rsid w:val="000C3D43"/>
    <w:rsid w:val="000C3DA3"/>
    <w:rsid w:val="000C3DCF"/>
    <w:rsid w:val="000C3F0C"/>
    <w:rsid w:val="000C3F62"/>
    <w:rsid w:val="000C40F0"/>
    <w:rsid w:val="000C4100"/>
    <w:rsid w:val="000C4133"/>
    <w:rsid w:val="000C4218"/>
    <w:rsid w:val="000C4282"/>
    <w:rsid w:val="000C43DF"/>
    <w:rsid w:val="000C4465"/>
    <w:rsid w:val="000C4490"/>
    <w:rsid w:val="000C44C5"/>
    <w:rsid w:val="000C450A"/>
    <w:rsid w:val="000C4515"/>
    <w:rsid w:val="000C45D3"/>
    <w:rsid w:val="000C4656"/>
    <w:rsid w:val="000C4658"/>
    <w:rsid w:val="000C46AC"/>
    <w:rsid w:val="000C4747"/>
    <w:rsid w:val="000C48AE"/>
    <w:rsid w:val="000C4966"/>
    <w:rsid w:val="000C4A52"/>
    <w:rsid w:val="000C4A78"/>
    <w:rsid w:val="000C4AF0"/>
    <w:rsid w:val="000C4BC0"/>
    <w:rsid w:val="000C4BE7"/>
    <w:rsid w:val="000C4C22"/>
    <w:rsid w:val="000C4DDB"/>
    <w:rsid w:val="000C4FD1"/>
    <w:rsid w:val="000C5085"/>
    <w:rsid w:val="000C50A6"/>
    <w:rsid w:val="000C513C"/>
    <w:rsid w:val="000C51DC"/>
    <w:rsid w:val="000C5374"/>
    <w:rsid w:val="000C53E1"/>
    <w:rsid w:val="000C53FE"/>
    <w:rsid w:val="000C54A8"/>
    <w:rsid w:val="000C5654"/>
    <w:rsid w:val="000C5757"/>
    <w:rsid w:val="000C5824"/>
    <w:rsid w:val="000C58ED"/>
    <w:rsid w:val="000C596F"/>
    <w:rsid w:val="000C5A71"/>
    <w:rsid w:val="000C5BFF"/>
    <w:rsid w:val="000C5C80"/>
    <w:rsid w:val="000C5D0A"/>
    <w:rsid w:val="000C5E81"/>
    <w:rsid w:val="000C5F7A"/>
    <w:rsid w:val="000C5F89"/>
    <w:rsid w:val="000C6015"/>
    <w:rsid w:val="000C621D"/>
    <w:rsid w:val="000C626C"/>
    <w:rsid w:val="000C6288"/>
    <w:rsid w:val="000C62FB"/>
    <w:rsid w:val="000C64D8"/>
    <w:rsid w:val="000C65E9"/>
    <w:rsid w:val="000C66DB"/>
    <w:rsid w:val="000C6787"/>
    <w:rsid w:val="000C6824"/>
    <w:rsid w:val="000C6838"/>
    <w:rsid w:val="000C685C"/>
    <w:rsid w:val="000C68C4"/>
    <w:rsid w:val="000C68C8"/>
    <w:rsid w:val="000C695F"/>
    <w:rsid w:val="000C69C6"/>
    <w:rsid w:val="000C6A03"/>
    <w:rsid w:val="000C6A11"/>
    <w:rsid w:val="000C6B03"/>
    <w:rsid w:val="000C6B4D"/>
    <w:rsid w:val="000C6B82"/>
    <w:rsid w:val="000C6BD5"/>
    <w:rsid w:val="000C6C3A"/>
    <w:rsid w:val="000C6C3C"/>
    <w:rsid w:val="000C6C5D"/>
    <w:rsid w:val="000C6F42"/>
    <w:rsid w:val="000C6F76"/>
    <w:rsid w:val="000C7043"/>
    <w:rsid w:val="000C706B"/>
    <w:rsid w:val="000C716F"/>
    <w:rsid w:val="000C71A9"/>
    <w:rsid w:val="000C7242"/>
    <w:rsid w:val="000C7277"/>
    <w:rsid w:val="000C727A"/>
    <w:rsid w:val="000C72CE"/>
    <w:rsid w:val="000C738B"/>
    <w:rsid w:val="000C73F9"/>
    <w:rsid w:val="000C7410"/>
    <w:rsid w:val="000C7478"/>
    <w:rsid w:val="000C754E"/>
    <w:rsid w:val="000C75D8"/>
    <w:rsid w:val="000C7660"/>
    <w:rsid w:val="000C7681"/>
    <w:rsid w:val="000C77E8"/>
    <w:rsid w:val="000C7846"/>
    <w:rsid w:val="000C7854"/>
    <w:rsid w:val="000C7996"/>
    <w:rsid w:val="000C7A66"/>
    <w:rsid w:val="000C7AE2"/>
    <w:rsid w:val="000C7B04"/>
    <w:rsid w:val="000C7B2C"/>
    <w:rsid w:val="000C7BDB"/>
    <w:rsid w:val="000C7BFB"/>
    <w:rsid w:val="000C7D3C"/>
    <w:rsid w:val="000C7D52"/>
    <w:rsid w:val="000C7D58"/>
    <w:rsid w:val="000C7E0C"/>
    <w:rsid w:val="000C7FE8"/>
    <w:rsid w:val="000D00CA"/>
    <w:rsid w:val="000D033E"/>
    <w:rsid w:val="000D036D"/>
    <w:rsid w:val="000D03A3"/>
    <w:rsid w:val="000D0465"/>
    <w:rsid w:val="000D048B"/>
    <w:rsid w:val="000D04D0"/>
    <w:rsid w:val="000D0548"/>
    <w:rsid w:val="000D059D"/>
    <w:rsid w:val="000D05B8"/>
    <w:rsid w:val="000D05EA"/>
    <w:rsid w:val="000D0696"/>
    <w:rsid w:val="000D06F2"/>
    <w:rsid w:val="000D0755"/>
    <w:rsid w:val="000D07AF"/>
    <w:rsid w:val="000D0802"/>
    <w:rsid w:val="000D089E"/>
    <w:rsid w:val="000D08A3"/>
    <w:rsid w:val="000D08A9"/>
    <w:rsid w:val="000D09B5"/>
    <w:rsid w:val="000D09FB"/>
    <w:rsid w:val="000D09FC"/>
    <w:rsid w:val="000D0AC0"/>
    <w:rsid w:val="000D0B64"/>
    <w:rsid w:val="000D0C8A"/>
    <w:rsid w:val="000D0C8E"/>
    <w:rsid w:val="000D0D25"/>
    <w:rsid w:val="000D0D81"/>
    <w:rsid w:val="000D0D99"/>
    <w:rsid w:val="000D0E0A"/>
    <w:rsid w:val="000D0EF4"/>
    <w:rsid w:val="000D1017"/>
    <w:rsid w:val="000D11ED"/>
    <w:rsid w:val="000D14A3"/>
    <w:rsid w:val="000D151C"/>
    <w:rsid w:val="000D1526"/>
    <w:rsid w:val="000D1598"/>
    <w:rsid w:val="000D1683"/>
    <w:rsid w:val="000D175E"/>
    <w:rsid w:val="000D1784"/>
    <w:rsid w:val="000D1A77"/>
    <w:rsid w:val="000D1C28"/>
    <w:rsid w:val="000D1D2C"/>
    <w:rsid w:val="000D1DC2"/>
    <w:rsid w:val="000D1DCF"/>
    <w:rsid w:val="000D1E16"/>
    <w:rsid w:val="000D1F41"/>
    <w:rsid w:val="000D1F8C"/>
    <w:rsid w:val="000D1FBB"/>
    <w:rsid w:val="000D20BC"/>
    <w:rsid w:val="000D218E"/>
    <w:rsid w:val="000D21B9"/>
    <w:rsid w:val="000D21F2"/>
    <w:rsid w:val="000D2285"/>
    <w:rsid w:val="000D2301"/>
    <w:rsid w:val="000D23E1"/>
    <w:rsid w:val="000D254C"/>
    <w:rsid w:val="000D264E"/>
    <w:rsid w:val="000D265B"/>
    <w:rsid w:val="000D2720"/>
    <w:rsid w:val="000D2760"/>
    <w:rsid w:val="000D27AC"/>
    <w:rsid w:val="000D29B2"/>
    <w:rsid w:val="000D2AE9"/>
    <w:rsid w:val="000D2B18"/>
    <w:rsid w:val="000D2B2D"/>
    <w:rsid w:val="000D2B64"/>
    <w:rsid w:val="000D2B70"/>
    <w:rsid w:val="000D2BFE"/>
    <w:rsid w:val="000D2DCA"/>
    <w:rsid w:val="000D2DFD"/>
    <w:rsid w:val="000D2E22"/>
    <w:rsid w:val="000D2E90"/>
    <w:rsid w:val="000D2FBD"/>
    <w:rsid w:val="000D3174"/>
    <w:rsid w:val="000D31C7"/>
    <w:rsid w:val="000D3287"/>
    <w:rsid w:val="000D3333"/>
    <w:rsid w:val="000D342C"/>
    <w:rsid w:val="000D3523"/>
    <w:rsid w:val="000D35AB"/>
    <w:rsid w:val="000D35D2"/>
    <w:rsid w:val="000D3605"/>
    <w:rsid w:val="000D360D"/>
    <w:rsid w:val="000D362E"/>
    <w:rsid w:val="000D3664"/>
    <w:rsid w:val="000D367C"/>
    <w:rsid w:val="000D372C"/>
    <w:rsid w:val="000D37AA"/>
    <w:rsid w:val="000D37D2"/>
    <w:rsid w:val="000D37FA"/>
    <w:rsid w:val="000D38BF"/>
    <w:rsid w:val="000D38DE"/>
    <w:rsid w:val="000D38DF"/>
    <w:rsid w:val="000D3906"/>
    <w:rsid w:val="000D3B68"/>
    <w:rsid w:val="000D3D77"/>
    <w:rsid w:val="000D3EB2"/>
    <w:rsid w:val="000D3F4B"/>
    <w:rsid w:val="000D3F74"/>
    <w:rsid w:val="000D3FB8"/>
    <w:rsid w:val="000D3FEE"/>
    <w:rsid w:val="000D40E9"/>
    <w:rsid w:val="000D431A"/>
    <w:rsid w:val="000D434B"/>
    <w:rsid w:val="000D4532"/>
    <w:rsid w:val="000D45FB"/>
    <w:rsid w:val="000D4658"/>
    <w:rsid w:val="000D479A"/>
    <w:rsid w:val="000D47D5"/>
    <w:rsid w:val="000D48E0"/>
    <w:rsid w:val="000D48F0"/>
    <w:rsid w:val="000D493D"/>
    <w:rsid w:val="000D4AA0"/>
    <w:rsid w:val="000D4ACA"/>
    <w:rsid w:val="000D4AEE"/>
    <w:rsid w:val="000D4AFA"/>
    <w:rsid w:val="000D4B59"/>
    <w:rsid w:val="000D4BB7"/>
    <w:rsid w:val="000D4C8F"/>
    <w:rsid w:val="000D4D8E"/>
    <w:rsid w:val="000D4DC5"/>
    <w:rsid w:val="000D4FAB"/>
    <w:rsid w:val="000D5042"/>
    <w:rsid w:val="000D5094"/>
    <w:rsid w:val="000D50C4"/>
    <w:rsid w:val="000D50EE"/>
    <w:rsid w:val="000D52B2"/>
    <w:rsid w:val="000D52CF"/>
    <w:rsid w:val="000D53FB"/>
    <w:rsid w:val="000D55BD"/>
    <w:rsid w:val="000D55BE"/>
    <w:rsid w:val="000D56C1"/>
    <w:rsid w:val="000D57A5"/>
    <w:rsid w:val="000D583B"/>
    <w:rsid w:val="000D58E7"/>
    <w:rsid w:val="000D5982"/>
    <w:rsid w:val="000D5992"/>
    <w:rsid w:val="000D59AC"/>
    <w:rsid w:val="000D59EF"/>
    <w:rsid w:val="000D5A1B"/>
    <w:rsid w:val="000D5A75"/>
    <w:rsid w:val="000D5C36"/>
    <w:rsid w:val="000D5C37"/>
    <w:rsid w:val="000D5C65"/>
    <w:rsid w:val="000D5CE9"/>
    <w:rsid w:val="000D5CFC"/>
    <w:rsid w:val="000D5D9E"/>
    <w:rsid w:val="000D5DD4"/>
    <w:rsid w:val="000D5ED6"/>
    <w:rsid w:val="000D5F56"/>
    <w:rsid w:val="000D5F71"/>
    <w:rsid w:val="000D6074"/>
    <w:rsid w:val="000D6132"/>
    <w:rsid w:val="000D6198"/>
    <w:rsid w:val="000D62E4"/>
    <w:rsid w:val="000D6334"/>
    <w:rsid w:val="000D6345"/>
    <w:rsid w:val="000D63AF"/>
    <w:rsid w:val="000D63D8"/>
    <w:rsid w:val="000D6442"/>
    <w:rsid w:val="000D6540"/>
    <w:rsid w:val="000D65E2"/>
    <w:rsid w:val="000D672E"/>
    <w:rsid w:val="000D67D8"/>
    <w:rsid w:val="000D689E"/>
    <w:rsid w:val="000D6907"/>
    <w:rsid w:val="000D694E"/>
    <w:rsid w:val="000D697D"/>
    <w:rsid w:val="000D69A0"/>
    <w:rsid w:val="000D6C4B"/>
    <w:rsid w:val="000D6D33"/>
    <w:rsid w:val="000D6E1A"/>
    <w:rsid w:val="000D6E80"/>
    <w:rsid w:val="000D6F13"/>
    <w:rsid w:val="000D71FB"/>
    <w:rsid w:val="000D7226"/>
    <w:rsid w:val="000D725C"/>
    <w:rsid w:val="000D729A"/>
    <w:rsid w:val="000D73D2"/>
    <w:rsid w:val="000D7465"/>
    <w:rsid w:val="000D7505"/>
    <w:rsid w:val="000D7506"/>
    <w:rsid w:val="000D76EE"/>
    <w:rsid w:val="000D77A2"/>
    <w:rsid w:val="000D77C6"/>
    <w:rsid w:val="000D7842"/>
    <w:rsid w:val="000D78AF"/>
    <w:rsid w:val="000D790E"/>
    <w:rsid w:val="000D7951"/>
    <w:rsid w:val="000D7A98"/>
    <w:rsid w:val="000D7B3B"/>
    <w:rsid w:val="000D7B3F"/>
    <w:rsid w:val="000D7B85"/>
    <w:rsid w:val="000D7BCF"/>
    <w:rsid w:val="000D7C9E"/>
    <w:rsid w:val="000D7D5E"/>
    <w:rsid w:val="000D7DD8"/>
    <w:rsid w:val="000D7E0F"/>
    <w:rsid w:val="000D7E4A"/>
    <w:rsid w:val="000D7E90"/>
    <w:rsid w:val="000D7F56"/>
    <w:rsid w:val="000E0067"/>
    <w:rsid w:val="000E008F"/>
    <w:rsid w:val="000E0105"/>
    <w:rsid w:val="000E018F"/>
    <w:rsid w:val="000E01BE"/>
    <w:rsid w:val="000E0230"/>
    <w:rsid w:val="000E02C7"/>
    <w:rsid w:val="000E035F"/>
    <w:rsid w:val="000E03CE"/>
    <w:rsid w:val="000E0479"/>
    <w:rsid w:val="000E059C"/>
    <w:rsid w:val="000E0600"/>
    <w:rsid w:val="000E06EF"/>
    <w:rsid w:val="000E0908"/>
    <w:rsid w:val="000E099C"/>
    <w:rsid w:val="000E09F4"/>
    <w:rsid w:val="000E0A1A"/>
    <w:rsid w:val="000E0B89"/>
    <w:rsid w:val="000E0B8B"/>
    <w:rsid w:val="000E0BD8"/>
    <w:rsid w:val="000E0CE8"/>
    <w:rsid w:val="000E0D08"/>
    <w:rsid w:val="000E0DA0"/>
    <w:rsid w:val="000E0E6D"/>
    <w:rsid w:val="000E0E9C"/>
    <w:rsid w:val="000E0F3B"/>
    <w:rsid w:val="000E0FB2"/>
    <w:rsid w:val="000E0FF1"/>
    <w:rsid w:val="000E104A"/>
    <w:rsid w:val="000E10D0"/>
    <w:rsid w:val="000E1102"/>
    <w:rsid w:val="000E119D"/>
    <w:rsid w:val="000E11E7"/>
    <w:rsid w:val="000E12EF"/>
    <w:rsid w:val="000E1420"/>
    <w:rsid w:val="000E145C"/>
    <w:rsid w:val="000E1589"/>
    <w:rsid w:val="000E15C3"/>
    <w:rsid w:val="000E16DA"/>
    <w:rsid w:val="000E172A"/>
    <w:rsid w:val="000E17B0"/>
    <w:rsid w:val="000E1873"/>
    <w:rsid w:val="000E1A66"/>
    <w:rsid w:val="000E1AA7"/>
    <w:rsid w:val="000E1AB6"/>
    <w:rsid w:val="000E1ACA"/>
    <w:rsid w:val="000E1AE5"/>
    <w:rsid w:val="000E1CA9"/>
    <w:rsid w:val="000E1CCC"/>
    <w:rsid w:val="000E1D2C"/>
    <w:rsid w:val="000E1DBA"/>
    <w:rsid w:val="000E1DF7"/>
    <w:rsid w:val="000E1F88"/>
    <w:rsid w:val="000E2014"/>
    <w:rsid w:val="000E2058"/>
    <w:rsid w:val="000E2064"/>
    <w:rsid w:val="000E2087"/>
    <w:rsid w:val="000E2091"/>
    <w:rsid w:val="000E20E6"/>
    <w:rsid w:val="000E215E"/>
    <w:rsid w:val="000E21AB"/>
    <w:rsid w:val="000E2228"/>
    <w:rsid w:val="000E2433"/>
    <w:rsid w:val="000E2457"/>
    <w:rsid w:val="000E24BF"/>
    <w:rsid w:val="000E24C0"/>
    <w:rsid w:val="000E257B"/>
    <w:rsid w:val="000E25ED"/>
    <w:rsid w:val="000E269F"/>
    <w:rsid w:val="000E26A5"/>
    <w:rsid w:val="000E26E3"/>
    <w:rsid w:val="000E27A4"/>
    <w:rsid w:val="000E28AC"/>
    <w:rsid w:val="000E28FF"/>
    <w:rsid w:val="000E2927"/>
    <w:rsid w:val="000E2B19"/>
    <w:rsid w:val="000E2C23"/>
    <w:rsid w:val="000E2CD1"/>
    <w:rsid w:val="000E2CE0"/>
    <w:rsid w:val="000E2D2F"/>
    <w:rsid w:val="000E2D4D"/>
    <w:rsid w:val="000E2D69"/>
    <w:rsid w:val="000E2ED1"/>
    <w:rsid w:val="000E2F77"/>
    <w:rsid w:val="000E2FAE"/>
    <w:rsid w:val="000E2FF1"/>
    <w:rsid w:val="000E3034"/>
    <w:rsid w:val="000E30E0"/>
    <w:rsid w:val="000E33E7"/>
    <w:rsid w:val="000E3478"/>
    <w:rsid w:val="000E34AF"/>
    <w:rsid w:val="000E3503"/>
    <w:rsid w:val="000E3681"/>
    <w:rsid w:val="000E3771"/>
    <w:rsid w:val="000E382B"/>
    <w:rsid w:val="000E3A45"/>
    <w:rsid w:val="000E3A86"/>
    <w:rsid w:val="000E3B41"/>
    <w:rsid w:val="000E3B67"/>
    <w:rsid w:val="000E3D88"/>
    <w:rsid w:val="000E3DF3"/>
    <w:rsid w:val="000E3EC6"/>
    <w:rsid w:val="000E3F86"/>
    <w:rsid w:val="000E4035"/>
    <w:rsid w:val="000E409C"/>
    <w:rsid w:val="000E41A7"/>
    <w:rsid w:val="000E41DC"/>
    <w:rsid w:val="000E4233"/>
    <w:rsid w:val="000E435E"/>
    <w:rsid w:val="000E437F"/>
    <w:rsid w:val="000E43D8"/>
    <w:rsid w:val="000E445C"/>
    <w:rsid w:val="000E4476"/>
    <w:rsid w:val="000E4480"/>
    <w:rsid w:val="000E44A4"/>
    <w:rsid w:val="000E457B"/>
    <w:rsid w:val="000E457E"/>
    <w:rsid w:val="000E4593"/>
    <w:rsid w:val="000E45EB"/>
    <w:rsid w:val="000E4766"/>
    <w:rsid w:val="000E4793"/>
    <w:rsid w:val="000E479B"/>
    <w:rsid w:val="000E47F0"/>
    <w:rsid w:val="000E4876"/>
    <w:rsid w:val="000E48BB"/>
    <w:rsid w:val="000E4929"/>
    <w:rsid w:val="000E4B10"/>
    <w:rsid w:val="000E4B3C"/>
    <w:rsid w:val="000E4C76"/>
    <w:rsid w:val="000E4C9C"/>
    <w:rsid w:val="000E4D3C"/>
    <w:rsid w:val="000E4DC6"/>
    <w:rsid w:val="000E4DC7"/>
    <w:rsid w:val="000E4E89"/>
    <w:rsid w:val="000E4E9A"/>
    <w:rsid w:val="000E4FD4"/>
    <w:rsid w:val="000E505B"/>
    <w:rsid w:val="000E5099"/>
    <w:rsid w:val="000E511F"/>
    <w:rsid w:val="000E51AB"/>
    <w:rsid w:val="000E51EF"/>
    <w:rsid w:val="000E51F0"/>
    <w:rsid w:val="000E5300"/>
    <w:rsid w:val="000E531D"/>
    <w:rsid w:val="000E53C8"/>
    <w:rsid w:val="000E54E3"/>
    <w:rsid w:val="000E5506"/>
    <w:rsid w:val="000E550C"/>
    <w:rsid w:val="000E563C"/>
    <w:rsid w:val="000E5708"/>
    <w:rsid w:val="000E5756"/>
    <w:rsid w:val="000E5854"/>
    <w:rsid w:val="000E58AD"/>
    <w:rsid w:val="000E58C6"/>
    <w:rsid w:val="000E599E"/>
    <w:rsid w:val="000E5ADA"/>
    <w:rsid w:val="000E5B81"/>
    <w:rsid w:val="000E5BAD"/>
    <w:rsid w:val="000E5C71"/>
    <w:rsid w:val="000E5C92"/>
    <w:rsid w:val="000E5CC9"/>
    <w:rsid w:val="000E5EE5"/>
    <w:rsid w:val="000E5FFC"/>
    <w:rsid w:val="000E60AD"/>
    <w:rsid w:val="000E6271"/>
    <w:rsid w:val="000E6428"/>
    <w:rsid w:val="000E64B5"/>
    <w:rsid w:val="000E656B"/>
    <w:rsid w:val="000E65EB"/>
    <w:rsid w:val="000E66B0"/>
    <w:rsid w:val="000E6838"/>
    <w:rsid w:val="000E68A4"/>
    <w:rsid w:val="000E694C"/>
    <w:rsid w:val="000E69C1"/>
    <w:rsid w:val="000E6A6B"/>
    <w:rsid w:val="000E6AD1"/>
    <w:rsid w:val="000E6BD5"/>
    <w:rsid w:val="000E6D20"/>
    <w:rsid w:val="000E6DCD"/>
    <w:rsid w:val="000E6E01"/>
    <w:rsid w:val="000E6E12"/>
    <w:rsid w:val="000E6E45"/>
    <w:rsid w:val="000E6F17"/>
    <w:rsid w:val="000E70A8"/>
    <w:rsid w:val="000E7158"/>
    <w:rsid w:val="000E7301"/>
    <w:rsid w:val="000E7376"/>
    <w:rsid w:val="000E74CA"/>
    <w:rsid w:val="000E751E"/>
    <w:rsid w:val="000E7528"/>
    <w:rsid w:val="000E7537"/>
    <w:rsid w:val="000E7552"/>
    <w:rsid w:val="000E7559"/>
    <w:rsid w:val="000E75A5"/>
    <w:rsid w:val="000E75C7"/>
    <w:rsid w:val="000E7754"/>
    <w:rsid w:val="000E77AE"/>
    <w:rsid w:val="000E7803"/>
    <w:rsid w:val="000E785E"/>
    <w:rsid w:val="000E7884"/>
    <w:rsid w:val="000E7885"/>
    <w:rsid w:val="000E7C1F"/>
    <w:rsid w:val="000E7DCA"/>
    <w:rsid w:val="000E7E75"/>
    <w:rsid w:val="000E7FF4"/>
    <w:rsid w:val="000F0015"/>
    <w:rsid w:val="000F0232"/>
    <w:rsid w:val="000F03BF"/>
    <w:rsid w:val="000F0421"/>
    <w:rsid w:val="000F046B"/>
    <w:rsid w:val="000F04D1"/>
    <w:rsid w:val="000F059D"/>
    <w:rsid w:val="000F05FD"/>
    <w:rsid w:val="000F0703"/>
    <w:rsid w:val="000F0773"/>
    <w:rsid w:val="000F0794"/>
    <w:rsid w:val="000F07DC"/>
    <w:rsid w:val="000F07F9"/>
    <w:rsid w:val="000F094E"/>
    <w:rsid w:val="000F09CE"/>
    <w:rsid w:val="000F09E0"/>
    <w:rsid w:val="000F0A79"/>
    <w:rsid w:val="000F0ABC"/>
    <w:rsid w:val="000F0AE5"/>
    <w:rsid w:val="000F0B17"/>
    <w:rsid w:val="000F0B40"/>
    <w:rsid w:val="000F0B59"/>
    <w:rsid w:val="000F0B7B"/>
    <w:rsid w:val="000F0D55"/>
    <w:rsid w:val="000F0DDD"/>
    <w:rsid w:val="000F0E94"/>
    <w:rsid w:val="000F0F66"/>
    <w:rsid w:val="000F1039"/>
    <w:rsid w:val="000F11D2"/>
    <w:rsid w:val="000F13E1"/>
    <w:rsid w:val="000F171F"/>
    <w:rsid w:val="000F1761"/>
    <w:rsid w:val="000F178A"/>
    <w:rsid w:val="000F18F8"/>
    <w:rsid w:val="000F1901"/>
    <w:rsid w:val="000F1990"/>
    <w:rsid w:val="000F1A36"/>
    <w:rsid w:val="000F1A88"/>
    <w:rsid w:val="000F1B2F"/>
    <w:rsid w:val="000F1C67"/>
    <w:rsid w:val="000F1CC5"/>
    <w:rsid w:val="000F1D74"/>
    <w:rsid w:val="000F1DBB"/>
    <w:rsid w:val="000F1F8E"/>
    <w:rsid w:val="000F205E"/>
    <w:rsid w:val="000F2074"/>
    <w:rsid w:val="000F20BC"/>
    <w:rsid w:val="000F20F6"/>
    <w:rsid w:val="000F2207"/>
    <w:rsid w:val="000F2239"/>
    <w:rsid w:val="000F2395"/>
    <w:rsid w:val="000F24E2"/>
    <w:rsid w:val="000F2660"/>
    <w:rsid w:val="000F26D7"/>
    <w:rsid w:val="000F279A"/>
    <w:rsid w:val="000F27BE"/>
    <w:rsid w:val="000F293F"/>
    <w:rsid w:val="000F294F"/>
    <w:rsid w:val="000F2987"/>
    <w:rsid w:val="000F29B5"/>
    <w:rsid w:val="000F2ACC"/>
    <w:rsid w:val="000F2B31"/>
    <w:rsid w:val="000F2BAE"/>
    <w:rsid w:val="000F2C3E"/>
    <w:rsid w:val="000F2CB7"/>
    <w:rsid w:val="000F2CB9"/>
    <w:rsid w:val="000F2EDC"/>
    <w:rsid w:val="000F2F25"/>
    <w:rsid w:val="000F3062"/>
    <w:rsid w:val="000F3145"/>
    <w:rsid w:val="000F3220"/>
    <w:rsid w:val="000F3340"/>
    <w:rsid w:val="000F33A1"/>
    <w:rsid w:val="000F3535"/>
    <w:rsid w:val="000F355F"/>
    <w:rsid w:val="000F384D"/>
    <w:rsid w:val="000F385C"/>
    <w:rsid w:val="000F3921"/>
    <w:rsid w:val="000F394D"/>
    <w:rsid w:val="000F3AE2"/>
    <w:rsid w:val="000F3B56"/>
    <w:rsid w:val="000F3BB4"/>
    <w:rsid w:val="000F3BE2"/>
    <w:rsid w:val="000F3C38"/>
    <w:rsid w:val="000F3CB7"/>
    <w:rsid w:val="000F3D6E"/>
    <w:rsid w:val="000F3EC3"/>
    <w:rsid w:val="000F3EED"/>
    <w:rsid w:val="000F3F2A"/>
    <w:rsid w:val="000F3F75"/>
    <w:rsid w:val="000F3F8E"/>
    <w:rsid w:val="000F4029"/>
    <w:rsid w:val="000F411A"/>
    <w:rsid w:val="000F4126"/>
    <w:rsid w:val="000F4224"/>
    <w:rsid w:val="000F4502"/>
    <w:rsid w:val="000F4529"/>
    <w:rsid w:val="000F470E"/>
    <w:rsid w:val="000F4845"/>
    <w:rsid w:val="000F4935"/>
    <w:rsid w:val="000F495D"/>
    <w:rsid w:val="000F4B51"/>
    <w:rsid w:val="000F4BD5"/>
    <w:rsid w:val="000F4BE4"/>
    <w:rsid w:val="000F4C11"/>
    <w:rsid w:val="000F4C88"/>
    <w:rsid w:val="000F4D87"/>
    <w:rsid w:val="000F4DE6"/>
    <w:rsid w:val="000F4DF7"/>
    <w:rsid w:val="000F4E53"/>
    <w:rsid w:val="000F4E73"/>
    <w:rsid w:val="000F4F1B"/>
    <w:rsid w:val="000F4FA0"/>
    <w:rsid w:val="000F4FA7"/>
    <w:rsid w:val="000F4FC7"/>
    <w:rsid w:val="000F4FDF"/>
    <w:rsid w:val="000F5025"/>
    <w:rsid w:val="000F52A0"/>
    <w:rsid w:val="000F533B"/>
    <w:rsid w:val="000F533F"/>
    <w:rsid w:val="000F5343"/>
    <w:rsid w:val="000F5346"/>
    <w:rsid w:val="000F5379"/>
    <w:rsid w:val="000F5384"/>
    <w:rsid w:val="000F5468"/>
    <w:rsid w:val="000F54F4"/>
    <w:rsid w:val="000F54FB"/>
    <w:rsid w:val="000F54FC"/>
    <w:rsid w:val="000F5555"/>
    <w:rsid w:val="000F56D6"/>
    <w:rsid w:val="000F5919"/>
    <w:rsid w:val="000F594C"/>
    <w:rsid w:val="000F5994"/>
    <w:rsid w:val="000F59BB"/>
    <w:rsid w:val="000F5A07"/>
    <w:rsid w:val="000F5A36"/>
    <w:rsid w:val="000F5A7F"/>
    <w:rsid w:val="000F5AE9"/>
    <w:rsid w:val="000F5B0B"/>
    <w:rsid w:val="000F5B37"/>
    <w:rsid w:val="000F5B79"/>
    <w:rsid w:val="000F5BFB"/>
    <w:rsid w:val="000F5C43"/>
    <w:rsid w:val="000F5D7A"/>
    <w:rsid w:val="000F5D81"/>
    <w:rsid w:val="000F5DB7"/>
    <w:rsid w:val="000F5DE1"/>
    <w:rsid w:val="000F5E58"/>
    <w:rsid w:val="000F5E93"/>
    <w:rsid w:val="000F5E9D"/>
    <w:rsid w:val="000F5EA3"/>
    <w:rsid w:val="000F5EE4"/>
    <w:rsid w:val="000F609E"/>
    <w:rsid w:val="000F60B7"/>
    <w:rsid w:val="000F61DF"/>
    <w:rsid w:val="000F6225"/>
    <w:rsid w:val="000F625B"/>
    <w:rsid w:val="000F62D4"/>
    <w:rsid w:val="000F62DF"/>
    <w:rsid w:val="000F63D7"/>
    <w:rsid w:val="000F647C"/>
    <w:rsid w:val="000F659F"/>
    <w:rsid w:val="000F65AC"/>
    <w:rsid w:val="000F65C6"/>
    <w:rsid w:val="000F65EF"/>
    <w:rsid w:val="000F65F4"/>
    <w:rsid w:val="000F6638"/>
    <w:rsid w:val="000F6669"/>
    <w:rsid w:val="000F6674"/>
    <w:rsid w:val="000F667D"/>
    <w:rsid w:val="000F6696"/>
    <w:rsid w:val="000F67A9"/>
    <w:rsid w:val="000F6820"/>
    <w:rsid w:val="000F685F"/>
    <w:rsid w:val="000F688E"/>
    <w:rsid w:val="000F68CF"/>
    <w:rsid w:val="000F6906"/>
    <w:rsid w:val="000F6911"/>
    <w:rsid w:val="000F694E"/>
    <w:rsid w:val="000F695E"/>
    <w:rsid w:val="000F6A91"/>
    <w:rsid w:val="000F6A92"/>
    <w:rsid w:val="000F6A9D"/>
    <w:rsid w:val="000F6C08"/>
    <w:rsid w:val="000F6C4A"/>
    <w:rsid w:val="000F6C72"/>
    <w:rsid w:val="000F6C85"/>
    <w:rsid w:val="000F6C93"/>
    <w:rsid w:val="000F6ECE"/>
    <w:rsid w:val="000F6ED8"/>
    <w:rsid w:val="000F6F47"/>
    <w:rsid w:val="000F6F68"/>
    <w:rsid w:val="000F700B"/>
    <w:rsid w:val="000F706A"/>
    <w:rsid w:val="000F70C0"/>
    <w:rsid w:val="000F7228"/>
    <w:rsid w:val="000F7315"/>
    <w:rsid w:val="000F7446"/>
    <w:rsid w:val="000F7484"/>
    <w:rsid w:val="000F7593"/>
    <w:rsid w:val="000F75A1"/>
    <w:rsid w:val="000F763C"/>
    <w:rsid w:val="000F7818"/>
    <w:rsid w:val="000F788F"/>
    <w:rsid w:val="000F7898"/>
    <w:rsid w:val="000F78E5"/>
    <w:rsid w:val="000F79E7"/>
    <w:rsid w:val="000F7A55"/>
    <w:rsid w:val="000F7BBE"/>
    <w:rsid w:val="000F7C3D"/>
    <w:rsid w:val="000F7CF9"/>
    <w:rsid w:val="000F7D92"/>
    <w:rsid w:val="000F7DEF"/>
    <w:rsid w:val="000F7E6A"/>
    <w:rsid w:val="000F7EED"/>
    <w:rsid w:val="000F7F3A"/>
    <w:rsid w:val="000F7F60"/>
    <w:rsid w:val="000F7F6E"/>
    <w:rsid w:val="000F7F85"/>
    <w:rsid w:val="00100046"/>
    <w:rsid w:val="0010008A"/>
    <w:rsid w:val="001001A5"/>
    <w:rsid w:val="001002D6"/>
    <w:rsid w:val="001003CB"/>
    <w:rsid w:val="001003F1"/>
    <w:rsid w:val="00100477"/>
    <w:rsid w:val="001004DB"/>
    <w:rsid w:val="00100524"/>
    <w:rsid w:val="00100537"/>
    <w:rsid w:val="0010067C"/>
    <w:rsid w:val="001006B7"/>
    <w:rsid w:val="00100762"/>
    <w:rsid w:val="001007F1"/>
    <w:rsid w:val="0010081B"/>
    <w:rsid w:val="00100823"/>
    <w:rsid w:val="00100848"/>
    <w:rsid w:val="00100922"/>
    <w:rsid w:val="001009F0"/>
    <w:rsid w:val="00100A7B"/>
    <w:rsid w:val="00100AC6"/>
    <w:rsid w:val="00100CC7"/>
    <w:rsid w:val="00100CE3"/>
    <w:rsid w:val="00100D4D"/>
    <w:rsid w:val="00100F5B"/>
    <w:rsid w:val="00100FFB"/>
    <w:rsid w:val="00101047"/>
    <w:rsid w:val="00101095"/>
    <w:rsid w:val="001010B8"/>
    <w:rsid w:val="00101147"/>
    <w:rsid w:val="001011CC"/>
    <w:rsid w:val="001011DC"/>
    <w:rsid w:val="00101244"/>
    <w:rsid w:val="00101298"/>
    <w:rsid w:val="001012B0"/>
    <w:rsid w:val="001013AB"/>
    <w:rsid w:val="001013B7"/>
    <w:rsid w:val="0010142F"/>
    <w:rsid w:val="00101551"/>
    <w:rsid w:val="001015A5"/>
    <w:rsid w:val="001015BB"/>
    <w:rsid w:val="00101669"/>
    <w:rsid w:val="00101719"/>
    <w:rsid w:val="0010176C"/>
    <w:rsid w:val="001018E5"/>
    <w:rsid w:val="00101A08"/>
    <w:rsid w:val="00101A5A"/>
    <w:rsid w:val="00101A87"/>
    <w:rsid w:val="00101A8B"/>
    <w:rsid w:val="00101B22"/>
    <w:rsid w:val="00101BC3"/>
    <w:rsid w:val="00101BFD"/>
    <w:rsid w:val="00101BFF"/>
    <w:rsid w:val="00101D35"/>
    <w:rsid w:val="00101D6A"/>
    <w:rsid w:val="00101E63"/>
    <w:rsid w:val="00101EB3"/>
    <w:rsid w:val="00101F02"/>
    <w:rsid w:val="0010200D"/>
    <w:rsid w:val="0010209E"/>
    <w:rsid w:val="001020AE"/>
    <w:rsid w:val="001021A5"/>
    <w:rsid w:val="00102255"/>
    <w:rsid w:val="001022B7"/>
    <w:rsid w:val="0010232A"/>
    <w:rsid w:val="0010236E"/>
    <w:rsid w:val="00102389"/>
    <w:rsid w:val="001023A8"/>
    <w:rsid w:val="001024F5"/>
    <w:rsid w:val="001025AD"/>
    <w:rsid w:val="001025CA"/>
    <w:rsid w:val="00102759"/>
    <w:rsid w:val="00102848"/>
    <w:rsid w:val="00102856"/>
    <w:rsid w:val="00102AFF"/>
    <w:rsid w:val="00102B2B"/>
    <w:rsid w:val="00102CAB"/>
    <w:rsid w:val="00102CC2"/>
    <w:rsid w:val="00102D60"/>
    <w:rsid w:val="00102E17"/>
    <w:rsid w:val="00102E6E"/>
    <w:rsid w:val="00102EC6"/>
    <w:rsid w:val="00102F62"/>
    <w:rsid w:val="00103001"/>
    <w:rsid w:val="0010304B"/>
    <w:rsid w:val="001030AF"/>
    <w:rsid w:val="001030F8"/>
    <w:rsid w:val="00103130"/>
    <w:rsid w:val="0010325C"/>
    <w:rsid w:val="001032DD"/>
    <w:rsid w:val="0010335B"/>
    <w:rsid w:val="00103451"/>
    <w:rsid w:val="00103486"/>
    <w:rsid w:val="001035AA"/>
    <w:rsid w:val="00103668"/>
    <w:rsid w:val="001036A4"/>
    <w:rsid w:val="0010373E"/>
    <w:rsid w:val="00103866"/>
    <w:rsid w:val="00103883"/>
    <w:rsid w:val="001038AB"/>
    <w:rsid w:val="001039AF"/>
    <w:rsid w:val="00103A2B"/>
    <w:rsid w:val="00103A45"/>
    <w:rsid w:val="00103A62"/>
    <w:rsid w:val="00103AAB"/>
    <w:rsid w:val="00103C46"/>
    <w:rsid w:val="00103D26"/>
    <w:rsid w:val="00103DB6"/>
    <w:rsid w:val="00103E09"/>
    <w:rsid w:val="0010410C"/>
    <w:rsid w:val="00104149"/>
    <w:rsid w:val="001041D7"/>
    <w:rsid w:val="00104217"/>
    <w:rsid w:val="001042DE"/>
    <w:rsid w:val="00104434"/>
    <w:rsid w:val="0010456D"/>
    <w:rsid w:val="00104705"/>
    <w:rsid w:val="00104777"/>
    <w:rsid w:val="00104873"/>
    <w:rsid w:val="00104A4F"/>
    <w:rsid w:val="00104A50"/>
    <w:rsid w:val="00104A6F"/>
    <w:rsid w:val="00104B1F"/>
    <w:rsid w:val="00104B2D"/>
    <w:rsid w:val="00104D7A"/>
    <w:rsid w:val="00104E7E"/>
    <w:rsid w:val="00104F82"/>
    <w:rsid w:val="00104F9F"/>
    <w:rsid w:val="00104FE3"/>
    <w:rsid w:val="0010520F"/>
    <w:rsid w:val="0010521A"/>
    <w:rsid w:val="0010525F"/>
    <w:rsid w:val="001052C9"/>
    <w:rsid w:val="001052FF"/>
    <w:rsid w:val="00105373"/>
    <w:rsid w:val="001053BB"/>
    <w:rsid w:val="0010557B"/>
    <w:rsid w:val="0010569B"/>
    <w:rsid w:val="001056CD"/>
    <w:rsid w:val="0010581E"/>
    <w:rsid w:val="001059C5"/>
    <w:rsid w:val="00105AD6"/>
    <w:rsid w:val="00105C41"/>
    <w:rsid w:val="00105DBD"/>
    <w:rsid w:val="00105DC6"/>
    <w:rsid w:val="00105E03"/>
    <w:rsid w:val="00105E84"/>
    <w:rsid w:val="00105EE4"/>
    <w:rsid w:val="00105FCD"/>
    <w:rsid w:val="0010609F"/>
    <w:rsid w:val="00106130"/>
    <w:rsid w:val="001061E6"/>
    <w:rsid w:val="00106270"/>
    <w:rsid w:val="00106289"/>
    <w:rsid w:val="001062A6"/>
    <w:rsid w:val="001062D0"/>
    <w:rsid w:val="00106316"/>
    <w:rsid w:val="001063AB"/>
    <w:rsid w:val="001063B0"/>
    <w:rsid w:val="001064CC"/>
    <w:rsid w:val="0010653C"/>
    <w:rsid w:val="001065ED"/>
    <w:rsid w:val="0010670D"/>
    <w:rsid w:val="001067E9"/>
    <w:rsid w:val="00106A42"/>
    <w:rsid w:val="00106A93"/>
    <w:rsid w:val="00106D4E"/>
    <w:rsid w:val="00106D62"/>
    <w:rsid w:val="00106FEB"/>
    <w:rsid w:val="001070D7"/>
    <w:rsid w:val="0010727D"/>
    <w:rsid w:val="0010741C"/>
    <w:rsid w:val="00107436"/>
    <w:rsid w:val="00107471"/>
    <w:rsid w:val="001074CE"/>
    <w:rsid w:val="001075EE"/>
    <w:rsid w:val="00107605"/>
    <w:rsid w:val="00107631"/>
    <w:rsid w:val="001076D7"/>
    <w:rsid w:val="001077BE"/>
    <w:rsid w:val="00107808"/>
    <w:rsid w:val="0010782F"/>
    <w:rsid w:val="00107844"/>
    <w:rsid w:val="00107876"/>
    <w:rsid w:val="0010791A"/>
    <w:rsid w:val="0010794A"/>
    <w:rsid w:val="001079C5"/>
    <w:rsid w:val="00107B51"/>
    <w:rsid w:val="00107BAF"/>
    <w:rsid w:val="00107C8F"/>
    <w:rsid w:val="00107D2F"/>
    <w:rsid w:val="00107D88"/>
    <w:rsid w:val="00107E27"/>
    <w:rsid w:val="00107F6C"/>
    <w:rsid w:val="0011001E"/>
    <w:rsid w:val="0011006C"/>
    <w:rsid w:val="001100B3"/>
    <w:rsid w:val="001100BE"/>
    <w:rsid w:val="00110254"/>
    <w:rsid w:val="00110290"/>
    <w:rsid w:val="001102BD"/>
    <w:rsid w:val="0011032B"/>
    <w:rsid w:val="0011037E"/>
    <w:rsid w:val="00110488"/>
    <w:rsid w:val="0011048B"/>
    <w:rsid w:val="001106D3"/>
    <w:rsid w:val="00110949"/>
    <w:rsid w:val="00110AC4"/>
    <w:rsid w:val="00110B66"/>
    <w:rsid w:val="00110C1D"/>
    <w:rsid w:val="00110C5A"/>
    <w:rsid w:val="00110D1F"/>
    <w:rsid w:val="00110D92"/>
    <w:rsid w:val="00110E7E"/>
    <w:rsid w:val="00110ECB"/>
    <w:rsid w:val="00111089"/>
    <w:rsid w:val="001116B3"/>
    <w:rsid w:val="0011172E"/>
    <w:rsid w:val="00111811"/>
    <w:rsid w:val="00111826"/>
    <w:rsid w:val="00111874"/>
    <w:rsid w:val="00111A32"/>
    <w:rsid w:val="00111A80"/>
    <w:rsid w:val="00111B66"/>
    <w:rsid w:val="00111B69"/>
    <w:rsid w:val="00111B96"/>
    <w:rsid w:val="00111BE6"/>
    <w:rsid w:val="00111C20"/>
    <w:rsid w:val="00111CF9"/>
    <w:rsid w:val="00111E3C"/>
    <w:rsid w:val="00111E5F"/>
    <w:rsid w:val="00111F79"/>
    <w:rsid w:val="00111F93"/>
    <w:rsid w:val="00111FC0"/>
    <w:rsid w:val="0011209E"/>
    <w:rsid w:val="001120B7"/>
    <w:rsid w:val="001120E7"/>
    <w:rsid w:val="00112112"/>
    <w:rsid w:val="0011211E"/>
    <w:rsid w:val="00112156"/>
    <w:rsid w:val="00112256"/>
    <w:rsid w:val="0011231B"/>
    <w:rsid w:val="0011239F"/>
    <w:rsid w:val="001123FC"/>
    <w:rsid w:val="0011241A"/>
    <w:rsid w:val="00112465"/>
    <w:rsid w:val="001124B7"/>
    <w:rsid w:val="001124F7"/>
    <w:rsid w:val="001125A7"/>
    <w:rsid w:val="00112605"/>
    <w:rsid w:val="0011269B"/>
    <w:rsid w:val="001126E5"/>
    <w:rsid w:val="001127B5"/>
    <w:rsid w:val="00112847"/>
    <w:rsid w:val="001128B5"/>
    <w:rsid w:val="001128C1"/>
    <w:rsid w:val="001128E1"/>
    <w:rsid w:val="00112900"/>
    <w:rsid w:val="0011292A"/>
    <w:rsid w:val="00112933"/>
    <w:rsid w:val="00112BF4"/>
    <w:rsid w:val="00112D94"/>
    <w:rsid w:val="00112E2D"/>
    <w:rsid w:val="00112E50"/>
    <w:rsid w:val="00112FD3"/>
    <w:rsid w:val="00113126"/>
    <w:rsid w:val="0011312B"/>
    <w:rsid w:val="00113388"/>
    <w:rsid w:val="001134C4"/>
    <w:rsid w:val="0011360A"/>
    <w:rsid w:val="0011384D"/>
    <w:rsid w:val="00113874"/>
    <w:rsid w:val="00113879"/>
    <w:rsid w:val="001138E2"/>
    <w:rsid w:val="001139BC"/>
    <w:rsid w:val="00113A45"/>
    <w:rsid w:val="00113ACA"/>
    <w:rsid w:val="00113AFC"/>
    <w:rsid w:val="00113BF8"/>
    <w:rsid w:val="00113C2F"/>
    <w:rsid w:val="00113C32"/>
    <w:rsid w:val="00113C54"/>
    <w:rsid w:val="00113F02"/>
    <w:rsid w:val="00114059"/>
    <w:rsid w:val="00114122"/>
    <w:rsid w:val="001141B4"/>
    <w:rsid w:val="00114209"/>
    <w:rsid w:val="0011426C"/>
    <w:rsid w:val="0011440F"/>
    <w:rsid w:val="00114458"/>
    <w:rsid w:val="00114546"/>
    <w:rsid w:val="0011458C"/>
    <w:rsid w:val="001145B4"/>
    <w:rsid w:val="0011468B"/>
    <w:rsid w:val="0011468D"/>
    <w:rsid w:val="001146AA"/>
    <w:rsid w:val="001146F1"/>
    <w:rsid w:val="001147F6"/>
    <w:rsid w:val="0011480A"/>
    <w:rsid w:val="0011480F"/>
    <w:rsid w:val="0011493D"/>
    <w:rsid w:val="00114985"/>
    <w:rsid w:val="00114A0B"/>
    <w:rsid w:val="00114B68"/>
    <w:rsid w:val="00114BA0"/>
    <w:rsid w:val="00114CB5"/>
    <w:rsid w:val="00114CDE"/>
    <w:rsid w:val="00114CFC"/>
    <w:rsid w:val="00114D37"/>
    <w:rsid w:val="00114E2C"/>
    <w:rsid w:val="00114E96"/>
    <w:rsid w:val="00114F22"/>
    <w:rsid w:val="00115076"/>
    <w:rsid w:val="001150E8"/>
    <w:rsid w:val="0011514D"/>
    <w:rsid w:val="00115170"/>
    <w:rsid w:val="001151D9"/>
    <w:rsid w:val="00115213"/>
    <w:rsid w:val="00115238"/>
    <w:rsid w:val="00115274"/>
    <w:rsid w:val="00115280"/>
    <w:rsid w:val="00115301"/>
    <w:rsid w:val="0011531E"/>
    <w:rsid w:val="001153D0"/>
    <w:rsid w:val="00115584"/>
    <w:rsid w:val="00115599"/>
    <w:rsid w:val="001155BC"/>
    <w:rsid w:val="001155FB"/>
    <w:rsid w:val="0011560C"/>
    <w:rsid w:val="0011563C"/>
    <w:rsid w:val="001156C1"/>
    <w:rsid w:val="00115749"/>
    <w:rsid w:val="001157B8"/>
    <w:rsid w:val="0011587B"/>
    <w:rsid w:val="00115927"/>
    <w:rsid w:val="00115987"/>
    <w:rsid w:val="00115A47"/>
    <w:rsid w:val="00115A8C"/>
    <w:rsid w:val="00115B08"/>
    <w:rsid w:val="00115BA2"/>
    <w:rsid w:val="00115BF4"/>
    <w:rsid w:val="00115C11"/>
    <w:rsid w:val="00115C67"/>
    <w:rsid w:val="00115DA1"/>
    <w:rsid w:val="00115DA5"/>
    <w:rsid w:val="00115E39"/>
    <w:rsid w:val="00115E9B"/>
    <w:rsid w:val="00115F52"/>
    <w:rsid w:val="00115FC9"/>
    <w:rsid w:val="00115FED"/>
    <w:rsid w:val="0011623A"/>
    <w:rsid w:val="001162EE"/>
    <w:rsid w:val="00116321"/>
    <w:rsid w:val="00116391"/>
    <w:rsid w:val="001164B0"/>
    <w:rsid w:val="0011657C"/>
    <w:rsid w:val="00116587"/>
    <w:rsid w:val="00116699"/>
    <w:rsid w:val="001168E5"/>
    <w:rsid w:val="00116999"/>
    <w:rsid w:val="00116A8A"/>
    <w:rsid w:val="00116AD3"/>
    <w:rsid w:val="00116AF5"/>
    <w:rsid w:val="00116B99"/>
    <w:rsid w:val="00116D25"/>
    <w:rsid w:val="00116E3A"/>
    <w:rsid w:val="00116EE6"/>
    <w:rsid w:val="0011717E"/>
    <w:rsid w:val="00117253"/>
    <w:rsid w:val="00117291"/>
    <w:rsid w:val="00117342"/>
    <w:rsid w:val="001174DB"/>
    <w:rsid w:val="001175C1"/>
    <w:rsid w:val="0011762B"/>
    <w:rsid w:val="0011767B"/>
    <w:rsid w:val="00117761"/>
    <w:rsid w:val="00117862"/>
    <w:rsid w:val="00117970"/>
    <w:rsid w:val="00117988"/>
    <w:rsid w:val="00117B06"/>
    <w:rsid w:val="00117B10"/>
    <w:rsid w:val="00117B1A"/>
    <w:rsid w:val="00117BAE"/>
    <w:rsid w:val="00117BC7"/>
    <w:rsid w:val="00117BF5"/>
    <w:rsid w:val="00117C58"/>
    <w:rsid w:val="00117C8A"/>
    <w:rsid w:val="00117D9E"/>
    <w:rsid w:val="00117E64"/>
    <w:rsid w:val="00117F22"/>
    <w:rsid w:val="00117F92"/>
    <w:rsid w:val="00120050"/>
    <w:rsid w:val="0012014F"/>
    <w:rsid w:val="001201EC"/>
    <w:rsid w:val="00120260"/>
    <w:rsid w:val="00120273"/>
    <w:rsid w:val="001202B6"/>
    <w:rsid w:val="001202CC"/>
    <w:rsid w:val="001202D9"/>
    <w:rsid w:val="0012039F"/>
    <w:rsid w:val="001203C9"/>
    <w:rsid w:val="0012041F"/>
    <w:rsid w:val="0012043D"/>
    <w:rsid w:val="0012044A"/>
    <w:rsid w:val="001204C6"/>
    <w:rsid w:val="00120516"/>
    <w:rsid w:val="00120523"/>
    <w:rsid w:val="001205DF"/>
    <w:rsid w:val="001205E7"/>
    <w:rsid w:val="00120649"/>
    <w:rsid w:val="0012085D"/>
    <w:rsid w:val="001209A6"/>
    <w:rsid w:val="00120B2C"/>
    <w:rsid w:val="00120C63"/>
    <w:rsid w:val="00120C6F"/>
    <w:rsid w:val="00120D20"/>
    <w:rsid w:val="00120DE6"/>
    <w:rsid w:val="00120DF6"/>
    <w:rsid w:val="00120F7D"/>
    <w:rsid w:val="001211DD"/>
    <w:rsid w:val="001212A3"/>
    <w:rsid w:val="001212B5"/>
    <w:rsid w:val="0012130F"/>
    <w:rsid w:val="00121342"/>
    <w:rsid w:val="00121429"/>
    <w:rsid w:val="001214B3"/>
    <w:rsid w:val="00121533"/>
    <w:rsid w:val="00121662"/>
    <w:rsid w:val="00121666"/>
    <w:rsid w:val="00121668"/>
    <w:rsid w:val="0012178C"/>
    <w:rsid w:val="0012182E"/>
    <w:rsid w:val="0012188A"/>
    <w:rsid w:val="0012192E"/>
    <w:rsid w:val="0012196F"/>
    <w:rsid w:val="001219B8"/>
    <w:rsid w:val="001219DA"/>
    <w:rsid w:val="001219EC"/>
    <w:rsid w:val="00121A8E"/>
    <w:rsid w:val="00121BD0"/>
    <w:rsid w:val="00121C15"/>
    <w:rsid w:val="00121C50"/>
    <w:rsid w:val="00121CB4"/>
    <w:rsid w:val="00121D9F"/>
    <w:rsid w:val="00121DBF"/>
    <w:rsid w:val="00121E48"/>
    <w:rsid w:val="00121E5E"/>
    <w:rsid w:val="00121E77"/>
    <w:rsid w:val="00121ED4"/>
    <w:rsid w:val="00121F49"/>
    <w:rsid w:val="00121F83"/>
    <w:rsid w:val="00121FDD"/>
    <w:rsid w:val="001220A2"/>
    <w:rsid w:val="001220F6"/>
    <w:rsid w:val="0012221E"/>
    <w:rsid w:val="00122265"/>
    <w:rsid w:val="0012226B"/>
    <w:rsid w:val="00122419"/>
    <w:rsid w:val="0012242C"/>
    <w:rsid w:val="001224A5"/>
    <w:rsid w:val="00122577"/>
    <w:rsid w:val="0012257C"/>
    <w:rsid w:val="001225D4"/>
    <w:rsid w:val="001226F6"/>
    <w:rsid w:val="001226F7"/>
    <w:rsid w:val="0012276F"/>
    <w:rsid w:val="00122886"/>
    <w:rsid w:val="001228D5"/>
    <w:rsid w:val="001228D7"/>
    <w:rsid w:val="00122A7B"/>
    <w:rsid w:val="00122A91"/>
    <w:rsid w:val="00122B89"/>
    <w:rsid w:val="00122D48"/>
    <w:rsid w:val="00122E05"/>
    <w:rsid w:val="00122E47"/>
    <w:rsid w:val="00122E50"/>
    <w:rsid w:val="00122E8E"/>
    <w:rsid w:val="00122F66"/>
    <w:rsid w:val="00122FF1"/>
    <w:rsid w:val="0012305C"/>
    <w:rsid w:val="0012306C"/>
    <w:rsid w:val="00123172"/>
    <w:rsid w:val="00123179"/>
    <w:rsid w:val="00123184"/>
    <w:rsid w:val="001231B0"/>
    <w:rsid w:val="0012326E"/>
    <w:rsid w:val="001232FD"/>
    <w:rsid w:val="0012330B"/>
    <w:rsid w:val="0012334F"/>
    <w:rsid w:val="001234EC"/>
    <w:rsid w:val="00123581"/>
    <w:rsid w:val="00123586"/>
    <w:rsid w:val="00123794"/>
    <w:rsid w:val="00123897"/>
    <w:rsid w:val="0012393E"/>
    <w:rsid w:val="0012399B"/>
    <w:rsid w:val="00123A54"/>
    <w:rsid w:val="00123A6B"/>
    <w:rsid w:val="00123A89"/>
    <w:rsid w:val="00123AAE"/>
    <w:rsid w:val="00123B65"/>
    <w:rsid w:val="00123C4F"/>
    <w:rsid w:val="00123D20"/>
    <w:rsid w:val="00123EB3"/>
    <w:rsid w:val="00123EC0"/>
    <w:rsid w:val="00123F1B"/>
    <w:rsid w:val="00123F40"/>
    <w:rsid w:val="00123F8C"/>
    <w:rsid w:val="001240F3"/>
    <w:rsid w:val="001241C8"/>
    <w:rsid w:val="001241D7"/>
    <w:rsid w:val="001241E2"/>
    <w:rsid w:val="001241ED"/>
    <w:rsid w:val="001242B0"/>
    <w:rsid w:val="001242E3"/>
    <w:rsid w:val="00124326"/>
    <w:rsid w:val="00124331"/>
    <w:rsid w:val="0012454B"/>
    <w:rsid w:val="0012454C"/>
    <w:rsid w:val="0012471B"/>
    <w:rsid w:val="001247F8"/>
    <w:rsid w:val="00124891"/>
    <w:rsid w:val="00124981"/>
    <w:rsid w:val="001249A0"/>
    <w:rsid w:val="001249BF"/>
    <w:rsid w:val="00124AAA"/>
    <w:rsid w:val="00124B1E"/>
    <w:rsid w:val="00124B3F"/>
    <w:rsid w:val="00124C20"/>
    <w:rsid w:val="00124C82"/>
    <w:rsid w:val="00124CD1"/>
    <w:rsid w:val="00124CFE"/>
    <w:rsid w:val="00124D97"/>
    <w:rsid w:val="00124EF0"/>
    <w:rsid w:val="00124F1A"/>
    <w:rsid w:val="00124F1D"/>
    <w:rsid w:val="00124F83"/>
    <w:rsid w:val="00125067"/>
    <w:rsid w:val="001250BC"/>
    <w:rsid w:val="001251CF"/>
    <w:rsid w:val="00125284"/>
    <w:rsid w:val="00125389"/>
    <w:rsid w:val="001253C8"/>
    <w:rsid w:val="00125447"/>
    <w:rsid w:val="00125469"/>
    <w:rsid w:val="0012549E"/>
    <w:rsid w:val="0012550A"/>
    <w:rsid w:val="00125542"/>
    <w:rsid w:val="001255FB"/>
    <w:rsid w:val="00125677"/>
    <w:rsid w:val="001256A5"/>
    <w:rsid w:val="001256B5"/>
    <w:rsid w:val="0012575B"/>
    <w:rsid w:val="001257B5"/>
    <w:rsid w:val="001257C2"/>
    <w:rsid w:val="00125A11"/>
    <w:rsid w:val="00125B96"/>
    <w:rsid w:val="00125B9B"/>
    <w:rsid w:val="00125BD9"/>
    <w:rsid w:val="00125BFD"/>
    <w:rsid w:val="00125BFE"/>
    <w:rsid w:val="00125CAC"/>
    <w:rsid w:val="00125CDA"/>
    <w:rsid w:val="00125D97"/>
    <w:rsid w:val="00125E2A"/>
    <w:rsid w:val="00125E72"/>
    <w:rsid w:val="00125F20"/>
    <w:rsid w:val="00125F6B"/>
    <w:rsid w:val="0012624E"/>
    <w:rsid w:val="0012640F"/>
    <w:rsid w:val="00126583"/>
    <w:rsid w:val="001265F1"/>
    <w:rsid w:val="00126658"/>
    <w:rsid w:val="00126664"/>
    <w:rsid w:val="0012667C"/>
    <w:rsid w:val="00126784"/>
    <w:rsid w:val="00126795"/>
    <w:rsid w:val="001267BC"/>
    <w:rsid w:val="001267C8"/>
    <w:rsid w:val="001267D5"/>
    <w:rsid w:val="001268F7"/>
    <w:rsid w:val="00126908"/>
    <w:rsid w:val="0012693A"/>
    <w:rsid w:val="0012694C"/>
    <w:rsid w:val="001269A6"/>
    <w:rsid w:val="00126A71"/>
    <w:rsid w:val="00126AAD"/>
    <w:rsid w:val="00126BB6"/>
    <w:rsid w:val="00126C87"/>
    <w:rsid w:val="00126D38"/>
    <w:rsid w:val="00126DF0"/>
    <w:rsid w:val="00126E15"/>
    <w:rsid w:val="00126F00"/>
    <w:rsid w:val="00126F07"/>
    <w:rsid w:val="00126F08"/>
    <w:rsid w:val="00126FA7"/>
    <w:rsid w:val="00127092"/>
    <w:rsid w:val="001270A7"/>
    <w:rsid w:val="0012712D"/>
    <w:rsid w:val="001271BF"/>
    <w:rsid w:val="001273B6"/>
    <w:rsid w:val="001273D4"/>
    <w:rsid w:val="001273F8"/>
    <w:rsid w:val="00127467"/>
    <w:rsid w:val="0012748D"/>
    <w:rsid w:val="001275C5"/>
    <w:rsid w:val="0012762F"/>
    <w:rsid w:val="00127671"/>
    <w:rsid w:val="00127795"/>
    <w:rsid w:val="0012784F"/>
    <w:rsid w:val="00127896"/>
    <w:rsid w:val="00127933"/>
    <w:rsid w:val="0012798B"/>
    <w:rsid w:val="00127B8E"/>
    <w:rsid w:val="00127C38"/>
    <w:rsid w:val="00127C95"/>
    <w:rsid w:val="00127DD2"/>
    <w:rsid w:val="00127EB5"/>
    <w:rsid w:val="00127F28"/>
    <w:rsid w:val="00127FFD"/>
    <w:rsid w:val="0013017D"/>
    <w:rsid w:val="001302A2"/>
    <w:rsid w:val="0013031B"/>
    <w:rsid w:val="00130391"/>
    <w:rsid w:val="001304E7"/>
    <w:rsid w:val="00130579"/>
    <w:rsid w:val="0013065F"/>
    <w:rsid w:val="001306A0"/>
    <w:rsid w:val="001307C8"/>
    <w:rsid w:val="001307F9"/>
    <w:rsid w:val="001308CA"/>
    <w:rsid w:val="00130942"/>
    <w:rsid w:val="001309EE"/>
    <w:rsid w:val="00130A4B"/>
    <w:rsid w:val="00130BBC"/>
    <w:rsid w:val="00130C57"/>
    <w:rsid w:val="00130C79"/>
    <w:rsid w:val="00130C97"/>
    <w:rsid w:val="00130D19"/>
    <w:rsid w:val="00130D3F"/>
    <w:rsid w:val="00130D64"/>
    <w:rsid w:val="00130D7B"/>
    <w:rsid w:val="00130E30"/>
    <w:rsid w:val="00130EDE"/>
    <w:rsid w:val="00130F30"/>
    <w:rsid w:val="00130F51"/>
    <w:rsid w:val="0013110C"/>
    <w:rsid w:val="001311FD"/>
    <w:rsid w:val="001312A0"/>
    <w:rsid w:val="001312A7"/>
    <w:rsid w:val="001312E3"/>
    <w:rsid w:val="001313F0"/>
    <w:rsid w:val="0013148C"/>
    <w:rsid w:val="001314B5"/>
    <w:rsid w:val="00131571"/>
    <w:rsid w:val="001315C1"/>
    <w:rsid w:val="001316FE"/>
    <w:rsid w:val="00131832"/>
    <w:rsid w:val="00131897"/>
    <w:rsid w:val="001318F8"/>
    <w:rsid w:val="00131952"/>
    <w:rsid w:val="0013196D"/>
    <w:rsid w:val="0013197F"/>
    <w:rsid w:val="001319E7"/>
    <w:rsid w:val="00131ABD"/>
    <w:rsid w:val="00131CDE"/>
    <w:rsid w:val="00131CEA"/>
    <w:rsid w:val="00131FE3"/>
    <w:rsid w:val="001320A0"/>
    <w:rsid w:val="001320A9"/>
    <w:rsid w:val="001321DB"/>
    <w:rsid w:val="00132280"/>
    <w:rsid w:val="00132295"/>
    <w:rsid w:val="001322D9"/>
    <w:rsid w:val="001322FC"/>
    <w:rsid w:val="001323A6"/>
    <w:rsid w:val="001324DD"/>
    <w:rsid w:val="001324FF"/>
    <w:rsid w:val="0013256B"/>
    <w:rsid w:val="0013259A"/>
    <w:rsid w:val="001325FA"/>
    <w:rsid w:val="00132647"/>
    <w:rsid w:val="0013267D"/>
    <w:rsid w:val="001327D5"/>
    <w:rsid w:val="001327D9"/>
    <w:rsid w:val="001327E1"/>
    <w:rsid w:val="001329AF"/>
    <w:rsid w:val="00132A71"/>
    <w:rsid w:val="00132AC9"/>
    <w:rsid w:val="00132C0B"/>
    <w:rsid w:val="00132D15"/>
    <w:rsid w:val="00132D23"/>
    <w:rsid w:val="00132D2C"/>
    <w:rsid w:val="00132EBE"/>
    <w:rsid w:val="00132EDC"/>
    <w:rsid w:val="00132F94"/>
    <w:rsid w:val="00133015"/>
    <w:rsid w:val="00133022"/>
    <w:rsid w:val="001330D2"/>
    <w:rsid w:val="00133161"/>
    <w:rsid w:val="0013326D"/>
    <w:rsid w:val="001332AA"/>
    <w:rsid w:val="001332AB"/>
    <w:rsid w:val="001334D8"/>
    <w:rsid w:val="001334DC"/>
    <w:rsid w:val="0013355E"/>
    <w:rsid w:val="001335C8"/>
    <w:rsid w:val="0013361B"/>
    <w:rsid w:val="00133682"/>
    <w:rsid w:val="00133714"/>
    <w:rsid w:val="001338D8"/>
    <w:rsid w:val="001338F1"/>
    <w:rsid w:val="00133A18"/>
    <w:rsid w:val="00133B3B"/>
    <w:rsid w:val="00133C7F"/>
    <w:rsid w:val="00133C9E"/>
    <w:rsid w:val="00133CBE"/>
    <w:rsid w:val="00133DC4"/>
    <w:rsid w:val="00133E3D"/>
    <w:rsid w:val="00133F21"/>
    <w:rsid w:val="00133F80"/>
    <w:rsid w:val="00134038"/>
    <w:rsid w:val="00134154"/>
    <w:rsid w:val="0013418F"/>
    <w:rsid w:val="001341E2"/>
    <w:rsid w:val="0013427E"/>
    <w:rsid w:val="001342BA"/>
    <w:rsid w:val="00134360"/>
    <w:rsid w:val="0013447C"/>
    <w:rsid w:val="00134560"/>
    <w:rsid w:val="001345B4"/>
    <w:rsid w:val="001346B6"/>
    <w:rsid w:val="001347B3"/>
    <w:rsid w:val="00134835"/>
    <w:rsid w:val="00134857"/>
    <w:rsid w:val="0013485D"/>
    <w:rsid w:val="001348C5"/>
    <w:rsid w:val="001348E0"/>
    <w:rsid w:val="00134912"/>
    <w:rsid w:val="00134A8F"/>
    <w:rsid w:val="00134AB8"/>
    <w:rsid w:val="00134BEF"/>
    <w:rsid w:val="00134CA7"/>
    <w:rsid w:val="00134CB1"/>
    <w:rsid w:val="00134D53"/>
    <w:rsid w:val="00134D76"/>
    <w:rsid w:val="00134D87"/>
    <w:rsid w:val="00134DA8"/>
    <w:rsid w:val="00134E6D"/>
    <w:rsid w:val="00134F1D"/>
    <w:rsid w:val="00134F1F"/>
    <w:rsid w:val="00134F63"/>
    <w:rsid w:val="001350F6"/>
    <w:rsid w:val="00135112"/>
    <w:rsid w:val="0013514B"/>
    <w:rsid w:val="00135323"/>
    <w:rsid w:val="0013533A"/>
    <w:rsid w:val="00135404"/>
    <w:rsid w:val="00135412"/>
    <w:rsid w:val="00135508"/>
    <w:rsid w:val="00135509"/>
    <w:rsid w:val="001356A0"/>
    <w:rsid w:val="001356D1"/>
    <w:rsid w:val="00135786"/>
    <w:rsid w:val="0013596A"/>
    <w:rsid w:val="001359B7"/>
    <w:rsid w:val="00135A57"/>
    <w:rsid w:val="00135B2B"/>
    <w:rsid w:val="00135C54"/>
    <w:rsid w:val="00135C7D"/>
    <w:rsid w:val="00135C87"/>
    <w:rsid w:val="00135DAF"/>
    <w:rsid w:val="00135DBB"/>
    <w:rsid w:val="00135DE5"/>
    <w:rsid w:val="00135E17"/>
    <w:rsid w:val="00136020"/>
    <w:rsid w:val="00136047"/>
    <w:rsid w:val="001360C4"/>
    <w:rsid w:val="00136219"/>
    <w:rsid w:val="00136287"/>
    <w:rsid w:val="00136331"/>
    <w:rsid w:val="001363CC"/>
    <w:rsid w:val="0013645C"/>
    <w:rsid w:val="00136466"/>
    <w:rsid w:val="00136513"/>
    <w:rsid w:val="001366E5"/>
    <w:rsid w:val="0013686D"/>
    <w:rsid w:val="001368CC"/>
    <w:rsid w:val="00136901"/>
    <w:rsid w:val="00136970"/>
    <w:rsid w:val="00136C05"/>
    <w:rsid w:val="00136C87"/>
    <w:rsid w:val="00136C91"/>
    <w:rsid w:val="00136DAB"/>
    <w:rsid w:val="00136DB3"/>
    <w:rsid w:val="00136DE0"/>
    <w:rsid w:val="00136E87"/>
    <w:rsid w:val="00136F4F"/>
    <w:rsid w:val="00136FE9"/>
    <w:rsid w:val="001370E6"/>
    <w:rsid w:val="00137149"/>
    <w:rsid w:val="001371A9"/>
    <w:rsid w:val="0013727E"/>
    <w:rsid w:val="001372AE"/>
    <w:rsid w:val="001372D6"/>
    <w:rsid w:val="00137400"/>
    <w:rsid w:val="001375FC"/>
    <w:rsid w:val="001376A8"/>
    <w:rsid w:val="00137856"/>
    <w:rsid w:val="00137946"/>
    <w:rsid w:val="00137A85"/>
    <w:rsid w:val="00137AB4"/>
    <w:rsid w:val="00137B32"/>
    <w:rsid w:val="00137D38"/>
    <w:rsid w:val="00137DC0"/>
    <w:rsid w:val="00137DCB"/>
    <w:rsid w:val="00137EC8"/>
    <w:rsid w:val="00137ECF"/>
    <w:rsid w:val="001400C1"/>
    <w:rsid w:val="00140174"/>
    <w:rsid w:val="00140184"/>
    <w:rsid w:val="001401D8"/>
    <w:rsid w:val="00140216"/>
    <w:rsid w:val="0014032F"/>
    <w:rsid w:val="00140397"/>
    <w:rsid w:val="0014050C"/>
    <w:rsid w:val="00140530"/>
    <w:rsid w:val="00140533"/>
    <w:rsid w:val="001405D6"/>
    <w:rsid w:val="00140637"/>
    <w:rsid w:val="00140651"/>
    <w:rsid w:val="00140842"/>
    <w:rsid w:val="00140956"/>
    <w:rsid w:val="00140A46"/>
    <w:rsid w:val="00140A58"/>
    <w:rsid w:val="00140AB0"/>
    <w:rsid w:val="00140B97"/>
    <w:rsid w:val="00140C8B"/>
    <w:rsid w:val="00140CAD"/>
    <w:rsid w:val="00140CEA"/>
    <w:rsid w:val="00140F56"/>
    <w:rsid w:val="00140F89"/>
    <w:rsid w:val="00140F96"/>
    <w:rsid w:val="00141098"/>
    <w:rsid w:val="001410B5"/>
    <w:rsid w:val="00141143"/>
    <w:rsid w:val="001412AB"/>
    <w:rsid w:val="00141348"/>
    <w:rsid w:val="00141456"/>
    <w:rsid w:val="00141472"/>
    <w:rsid w:val="001414F2"/>
    <w:rsid w:val="00141837"/>
    <w:rsid w:val="0014185E"/>
    <w:rsid w:val="00141862"/>
    <w:rsid w:val="0014186F"/>
    <w:rsid w:val="001419F7"/>
    <w:rsid w:val="00141B06"/>
    <w:rsid w:val="00141C99"/>
    <w:rsid w:val="00141D46"/>
    <w:rsid w:val="00141D7C"/>
    <w:rsid w:val="00141DE7"/>
    <w:rsid w:val="00141DF8"/>
    <w:rsid w:val="00141F0B"/>
    <w:rsid w:val="0014205A"/>
    <w:rsid w:val="00142139"/>
    <w:rsid w:val="00142150"/>
    <w:rsid w:val="001422BF"/>
    <w:rsid w:val="0014231E"/>
    <w:rsid w:val="0014236E"/>
    <w:rsid w:val="0014237E"/>
    <w:rsid w:val="0014240B"/>
    <w:rsid w:val="00142430"/>
    <w:rsid w:val="0014252C"/>
    <w:rsid w:val="0014254F"/>
    <w:rsid w:val="00142610"/>
    <w:rsid w:val="001427EA"/>
    <w:rsid w:val="00142955"/>
    <w:rsid w:val="001429A2"/>
    <w:rsid w:val="001429F9"/>
    <w:rsid w:val="00142AAF"/>
    <w:rsid w:val="00142BDD"/>
    <w:rsid w:val="00142C64"/>
    <w:rsid w:val="00142CE1"/>
    <w:rsid w:val="00142D1C"/>
    <w:rsid w:val="00142DB6"/>
    <w:rsid w:val="00142E40"/>
    <w:rsid w:val="00142EC0"/>
    <w:rsid w:val="00142F76"/>
    <w:rsid w:val="00142F8D"/>
    <w:rsid w:val="00143043"/>
    <w:rsid w:val="0014318F"/>
    <w:rsid w:val="00143213"/>
    <w:rsid w:val="00143341"/>
    <w:rsid w:val="00143421"/>
    <w:rsid w:val="001434BE"/>
    <w:rsid w:val="001435BE"/>
    <w:rsid w:val="0014361C"/>
    <w:rsid w:val="001437A8"/>
    <w:rsid w:val="001438BF"/>
    <w:rsid w:val="001439A7"/>
    <w:rsid w:val="00143C58"/>
    <w:rsid w:val="00143C84"/>
    <w:rsid w:val="00143D02"/>
    <w:rsid w:val="00143D8F"/>
    <w:rsid w:val="00143D90"/>
    <w:rsid w:val="00143FFF"/>
    <w:rsid w:val="00144011"/>
    <w:rsid w:val="0014404F"/>
    <w:rsid w:val="001441A3"/>
    <w:rsid w:val="0014424B"/>
    <w:rsid w:val="0014425C"/>
    <w:rsid w:val="00144329"/>
    <w:rsid w:val="00144342"/>
    <w:rsid w:val="0014435F"/>
    <w:rsid w:val="001443A1"/>
    <w:rsid w:val="001444EF"/>
    <w:rsid w:val="001444FE"/>
    <w:rsid w:val="0014458B"/>
    <w:rsid w:val="001446BA"/>
    <w:rsid w:val="0014477A"/>
    <w:rsid w:val="00144847"/>
    <w:rsid w:val="0014488A"/>
    <w:rsid w:val="001448E5"/>
    <w:rsid w:val="00144A58"/>
    <w:rsid w:val="00144B75"/>
    <w:rsid w:val="00144E74"/>
    <w:rsid w:val="001450C7"/>
    <w:rsid w:val="001450ED"/>
    <w:rsid w:val="00145136"/>
    <w:rsid w:val="00145138"/>
    <w:rsid w:val="0014527B"/>
    <w:rsid w:val="001452BD"/>
    <w:rsid w:val="001452F7"/>
    <w:rsid w:val="001453A3"/>
    <w:rsid w:val="001453FE"/>
    <w:rsid w:val="00145499"/>
    <w:rsid w:val="001454D8"/>
    <w:rsid w:val="0014551F"/>
    <w:rsid w:val="00145596"/>
    <w:rsid w:val="0014560C"/>
    <w:rsid w:val="00145704"/>
    <w:rsid w:val="00145715"/>
    <w:rsid w:val="0014579A"/>
    <w:rsid w:val="001457E5"/>
    <w:rsid w:val="00145965"/>
    <w:rsid w:val="00145A36"/>
    <w:rsid w:val="00145AC0"/>
    <w:rsid w:val="00145ADF"/>
    <w:rsid w:val="00145BFD"/>
    <w:rsid w:val="00145C87"/>
    <w:rsid w:val="00145CB6"/>
    <w:rsid w:val="00145CDD"/>
    <w:rsid w:val="00145DF4"/>
    <w:rsid w:val="00145E06"/>
    <w:rsid w:val="00145EDB"/>
    <w:rsid w:val="00145EE9"/>
    <w:rsid w:val="00145F3F"/>
    <w:rsid w:val="00145FD6"/>
    <w:rsid w:val="00146003"/>
    <w:rsid w:val="0014605D"/>
    <w:rsid w:val="001460A4"/>
    <w:rsid w:val="0014624B"/>
    <w:rsid w:val="00146291"/>
    <w:rsid w:val="001462CD"/>
    <w:rsid w:val="0014631C"/>
    <w:rsid w:val="0014636F"/>
    <w:rsid w:val="001463B3"/>
    <w:rsid w:val="001463DE"/>
    <w:rsid w:val="00146470"/>
    <w:rsid w:val="00146499"/>
    <w:rsid w:val="001464B2"/>
    <w:rsid w:val="001464C4"/>
    <w:rsid w:val="00146511"/>
    <w:rsid w:val="0014655F"/>
    <w:rsid w:val="001465E8"/>
    <w:rsid w:val="00146671"/>
    <w:rsid w:val="00146723"/>
    <w:rsid w:val="00146726"/>
    <w:rsid w:val="001467DD"/>
    <w:rsid w:val="001468D5"/>
    <w:rsid w:val="0014694C"/>
    <w:rsid w:val="0014696E"/>
    <w:rsid w:val="001469D4"/>
    <w:rsid w:val="00146A4E"/>
    <w:rsid w:val="00146A8B"/>
    <w:rsid w:val="00146ACA"/>
    <w:rsid w:val="00146AE0"/>
    <w:rsid w:val="00146B52"/>
    <w:rsid w:val="00146CEC"/>
    <w:rsid w:val="00146D02"/>
    <w:rsid w:val="00146D7F"/>
    <w:rsid w:val="00146DB4"/>
    <w:rsid w:val="00146DF6"/>
    <w:rsid w:val="00146E1E"/>
    <w:rsid w:val="00146E3C"/>
    <w:rsid w:val="0014710A"/>
    <w:rsid w:val="00147152"/>
    <w:rsid w:val="001471D9"/>
    <w:rsid w:val="00147221"/>
    <w:rsid w:val="00147270"/>
    <w:rsid w:val="001472DF"/>
    <w:rsid w:val="00147301"/>
    <w:rsid w:val="001473D2"/>
    <w:rsid w:val="00147419"/>
    <w:rsid w:val="0014749A"/>
    <w:rsid w:val="0014751C"/>
    <w:rsid w:val="001475FE"/>
    <w:rsid w:val="00147638"/>
    <w:rsid w:val="0014764A"/>
    <w:rsid w:val="001478A4"/>
    <w:rsid w:val="00147908"/>
    <w:rsid w:val="001479AD"/>
    <w:rsid w:val="001479E3"/>
    <w:rsid w:val="00147AC2"/>
    <w:rsid w:val="00147B6B"/>
    <w:rsid w:val="00147C3C"/>
    <w:rsid w:val="00147C7A"/>
    <w:rsid w:val="00147D18"/>
    <w:rsid w:val="00147D33"/>
    <w:rsid w:val="00147DB1"/>
    <w:rsid w:val="00147E98"/>
    <w:rsid w:val="00147F3D"/>
    <w:rsid w:val="00150073"/>
    <w:rsid w:val="001501FB"/>
    <w:rsid w:val="001502CF"/>
    <w:rsid w:val="00150308"/>
    <w:rsid w:val="001503E0"/>
    <w:rsid w:val="00150532"/>
    <w:rsid w:val="00150576"/>
    <w:rsid w:val="0015057E"/>
    <w:rsid w:val="0015067C"/>
    <w:rsid w:val="001506B7"/>
    <w:rsid w:val="001507DD"/>
    <w:rsid w:val="00150819"/>
    <w:rsid w:val="00150867"/>
    <w:rsid w:val="001508BC"/>
    <w:rsid w:val="00150A0E"/>
    <w:rsid w:val="00150B15"/>
    <w:rsid w:val="00150BDD"/>
    <w:rsid w:val="00150C59"/>
    <w:rsid w:val="00150CC2"/>
    <w:rsid w:val="00150D07"/>
    <w:rsid w:val="00150D2B"/>
    <w:rsid w:val="00150D85"/>
    <w:rsid w:val="00150E6D"/>
    <w:rsid w:val="00150ED7"/>
    <w:rsid w:val="001510C1"/>
    <w:rsid w:val="0015110F"/>
    <w:rsid w:val="00151214"/>
    <w:rsid w:val="0015125A"/>
    <w:rsid w:val="0015125B"/>
    <w:rsid w:val="0015147E"/>
    <w:rsid w:val="0015148A"/>
    <w:rsid w:val="0015159B"/>
    <w:rsid w:val="001515E5"/>
    <w:rsid w:val="00151625"/>
    <w:rsid w:val="0015169D"/>
    <w:rsid w:val="001517EA"/>
    <w:rsid w:val="001518C1"/>
    <w:rsid w:val="00151933"/>
    <w:rsid w:val="00151947"/>
    <w:rsid w:val="00151987"/>
    <w:rsid w:val="00151A20"/>
    <w:rsid w:val="00151AC9"/>
    <w:rsid w:val="00151B09"/>
    <w:rsid w:val="00151B12"/>
    <w:rsid w:val="00151BA1"/>
    <w:rsid w:val="00151BAC"/>
    <w:rsid w:val="00151C16"/>
    <w:rsid w:val="00151C49"/>
    <w:rsid w:val="00151CF2"/>
    <w:rsid w:val="00151D87"/>
    <w:rsid w:val="00151D95"/>
    <w:rsid w:val="00151DB4"/>
    <w:rsid w:val="00151DCF"/>
    <w:rsid w:val="00151E01"/>
    <w:rsid w:val="00151E30"/>
    <w:rsid w:val="00151E4A"/>
    <w:rsid w:val="0015207E"/>
    <w:rsid w:val="00152139"/>
    <w:rsid w:val="0015220B"/>
    <w:rsid w:val="00152233"/>
    <w:rsid w:val="0015229A"/>
    <w:rsid w:val="001522E7"/>
    <w:rsid w:val="00152358"/>
    <w:rsid w:val="0015239D"/>
    <w:rsid w:val="001524CC"/>
    <w:rsid w:val="00152581"/>
    <w:rsid w:val="00152627"/>
    <w:rsid w:val="001526E6"/>
    <w:rsid w:val="0015282C"/>
    <w:rsid w:val="0015288B"/>
    <w:rsid w:val="00152ABC"/>
    <w:rsid w:val="00152B22"/>
    <w:rsid w:val="00152BD5"/>
    <w:rsid w:val="00152DA3"/>
    <w:rsid w:val="00152DA9"/>
    <w:rsid w:val="00152DEA"/>
    <w:rsid w:val="00152E60"/>
    <w:rsid w:val="00152E64"/>
    <w:rsid w:val="00152E75"/>
    <w:rsid w:val="00153048"/>
    <w:rsid w:val="0015312D"/>
    <w:rsid w:val="00153183"/>
    <w:rsid w:val="0015319E"/>
    <w:rsid w:val="001531A7"/>
    <w:rsid w:val="001531B0"/>
    <w:rsid w:val="0015323D"/>
    <w:rsid w:val="001532A2"/>
    <w:rsid w:val="0015331C"/>
    <w:rsid w:val="00153524"/>
    <w:rsid w:val="001536D2"/>
    <w:rsid w:val="001536FF"/>
    <w:rsid w:val="0015370C"/>
    <w:rsid w:val="0015373C"/>
    <w:rsid w:val="001537DE"/>
    <w:rsid w:val="0015387C"/>
    <w:rsid w:val="0015399E"/>
    <w:rsid w:val="00153BD8"/>
    <w:rsid w:val="00153C69"/>
    <w:rsid w:val="00153C7B"/>
    <w:rsid w:val="00153DE8"/>
    <w:rsid w:val="00153E0D"/>
    <w:rsid w:val="00153E1F"/>
    <w:rsid w:val="00153F01"/>
    <w:rsid w:val="00153F3C"/>
    <w:rsid w:val="001540C4"/>
    <w:rsid w:val="00154374"/>
    <w:rsid w:val="001543EC"/>
    <w:rsid w:val="00154480"/>
    <w:rsid w:val="0015448E"/>
    <w:rsid w:val="0015449C"/>
    <w:rsid w:val="001545B3"/>
    <w:rsid w:val="001546D0"/>
    <w:rsid w:val="00154704"/>
    <w:rsid w:val="0015472D"/>
    <w:rsid w:val="0015477B"/>
    <w:rsid w:val="00154796"/>
    <w:rsid w:val="001547C3"/>
    <w:rsid w:val="001548A4"/>
    <w:rsid w:val="001548E9"/>
    <w:rsid w:val="00154A1C"/>
    <w:rsid w:val="00154A85"/>
    <w:rsid w:val="00154C5D"/>
    <w:rsid w:val="00154D8E"/>
    <w:rsid w:val="00154D96"/>
    <w:rsid w:val="00154D97"/>
    <w:rsid w:val="00154E45"/>
    <w:rsid w:val="0015503D"/>
    <w:rsid w:val="001550FA"/>
    <w:rsid w:val="001551A8"/>
    <w:rsid w:val="001553AF"/>
    <w:rsid w:val="0015542C"/>
    <w:rsid w:val="00155473"/>
    <w:rsid w:val="001554D3"/>
    <w:rsid w:val="00155509"/>
    <w:rsid w:val="0015550F"/>
    <w:rsid w:val="00155585"/>
    <w:rsid w:val="00155762"/>
    <w:rsid w:val="001557AD"/>
    <w:rsid w:val="0015584E"/>
    <w:rsid w:val="00155AFB"/>
    <w:rsid w:val="00155B7C"/>
    <w:rsid w:val="00155EB6"/>
    <w:rsid w:val="00155F1F"/>
    <w:rsid w:val="00155F41"/>
    <w:rsid w:val="00155F53"/>
    <w:rsid w:val="00155F65"/>
    <w:rsid w:val="00155F76"/>
    <w:rsid w:val="00155FCC"/>
    <w:rsid w:val="00156008"/>
    <w:rsid w:val="00156034"/>
    <w:rsid w:val="00156040"/>
    <w:rsid w:val="001561A0"/>
    <w:rsid w:val="001561C0"/>
    <w:rsid w:val="00156255"/>
    <w:rsid w:val="00156338"/>
    <w:rsid w:val="0015643B"/>
    <w:rsid w:val="001564A1"/>
    <w:rsid w:val="001565BB"/>
    <w:rsid w:val="0015660F"/>
    <w:rsid w:val="0015666E"/>
    <w:rsid w:val="00156711"/>
    <w:rsid w:val="00156780"/>
    <w:rsid w:val="00156994"/>
    <w:rsid w:val="001569A0"/>
    <w:rsid w:val="00156A5D"/>
    <w:rsid w:val="00156B59"/>
    <w:rsid w:val="00156BBD"/>
    <w:rsid w:val="00156CC3"/>
    <w:rsid w:val="00156D37"/>
    <w:rsid w:val="00156E77"/>
    <w:rsid w:val="00156E9C"/>
    <w:rsid w:val="00156EE4"/>
    <w:rsid w:val="00156F5A"/>
    <w:rsid w:val="00157154"/>
    <w:rsid w:val="001571A8"/>
    <w:rsid w:val="001571AC"/>
    <w:rsid w:val="001571E1"/>
    <w:rsid w:val="001572A6"/>
    <w:rsid w:val="001572F1"/>
    <w:rsid w:val="00157331"/>
    <w:rsid w:val="001574AF"/>
    <w:rsid w:val="001574E8"/>
    <w:rsid w:val="00157635"/>
    <w:rsid w:val="00157649"/>
    <w:rsid w:val="001576CB"/>
    <w:rsid w:val="00157702"/>
    <w:rsid w:val="001578A5"/>
    <w:rsid w:val="001578A6"/>
    <w:rsid w:val="0015791F"/>
    <w:rsid w:val="00157974"/>
    <w:rsid w:val="001579D4"/>
    <w:rsid w:val="00157A8D"/>
    <w:rsid w:val="00157AAB"/>
    <w:rsid w:val="00157B9C"/>
    <w:rsid w:val="00157BF8"/>
    <w:rsid w:val="00157C1F"/>
    <w:rsid w:val="00157D7A"/>
    <w:rsid w:val="00157E95"/>
    <w:rsid w:val="00160093"/>
    <w:rsid w:val="001603C8"/>
    <w:rsid w:val="00160472"/>
    <w:rsid w:val="0016062D"/>
    <w:rsid w:val="00160676"/>
    <w:rsid w:val="001606AF"/>
    <w:rsid w:val="001606DD"/>
    <w:rsid w:val="0016074C"/>
    <w:rsid w:val="00160754"/>
    <w:rsid w:val="00160863"/>
    <w:rsid w:val="0016086E"/>
    <w:rsid w:val="00160F41"/>
    <w:rsid w:val="00160F9D"/>
    <w:rsid w:val="00161024"/>
    <w:rsid w:val="001610F1"/>
    <w:rsid w:val="00161141"/>
    <w:rsid w:val="001611C8"/>
    <w:rsid w:val="0016120F"/>
    <w:rsid w:val="00161246"/>
    <w:rsid w:val="001613CB"/>
    <w:rsid w:val="0016143E"/>
    <w:rsid w:val="00161514"/>
    <w:rsid w:val="00161595"/>
    <w:rsid w:val="001615D2"/>
    <w:rsid w:val="001615F1"/>
    <w:rsid w:val="001615F2"/>
    <w:rsid w:val="00161606"/>
    <w:rsid w:val="00161801"/>
    <w:rsid w:val="0016185B"/>
    <w:rsid w:val="00161874"/>
    <w:rsid w:val="00161A13"/>
    <w:rsid w:val="00161A4F"/>
    <w:rsid w:val="00161ADD"/>
    <w:rsid w:val="00161BB4"/>
    <w:rsid w:val="00161E72"/>
    <w:rsid w:val="00161E77"/>
    <w:rsid w:val="00161EB2"/>
    <w:rsid w:val="00161F34"/>
    <w:rsid w:val="00161F6B"/>
    <w:rsid w:val="0016201A"/>
    <w:rsid w:val="001620B2"/>
    <w:rsid w:val="00162114"/>
    <w:rsid w:val="00162190"/>
    <w:rsid w:val="00162268"/>
    <w:rsid w:val="0016231E"/>
    <w:rsid w:val="00162444"/>
    <w:rsid w:val="00162625"/>
    <w:rsid w:val="0016266C"/>
    <w:rsid w:val="001626FB"/>
    <w:rsid w:val="00162702"/>
    <w:rsid w:val="001627A5"/>
    <w:rsid w:val="001627DB"/>
    <w:rsid w:val="001627F0"/>
    <w:rsid w:val="0016297D"/>
    <w:rsid w:val="00162A81"/>
    <w:rsid w:val="00162A9F"/>
    <w:rsid w:val="00162B9A"/>
    <w:rsid w:val="00162BCF"/>
    <w:rsid w:val="00162C8A"/>
    <w:rsid w:val="00162D4C"/>
    <w:rsid w:val="00162E6C"/>
    <w:rsid w:val="001630AC"/>
    <w:rsid w:val="00163128"/>
    <w:rsid w:val="0016320F"/>
    <w:rsid w:val="001632A9"/>
    <w:rsid w:val="001632B9"/>
    <w:rsid w:val="00163338"/>
    <w:rsid w:val="00163354"/>
    <w:rsid w:val="001633D4"/>
    <w:rsid w:val="00163455"/>
    <w:rsid w:val="001636AD"/>
    <w:rsid w:val="0016376F"/>
    <w:rsid w:val="001639E5"/>
    <w:rsid w:val="00163AA0"/>
    <w:rsid w:val="00163AB9"/>
    <w:rsid w:val="00163B1B"/>
    <w:rsid w:val="00163C2E"/>
    <w:rsid w:val="00163C65"/>
    <w:rsid w:val="00163E57"/>
    <w:rsid w:val="00163E5F"/>
    <w:rsid w:val="00163F9D"/>
    <w:rsid w:val="0016406D"/>
    <w:rsid w:val="001640E3"/>
    <w:rsid w:val="001640FA"/>
    <w:rsid w:val="00164184"/>
    <w:rsid w:val="001641A1"/>
    <w:rsid w:val="00164211"/>
    <w:rsid w:val="00164244"/>
    <w:rsid w:val="0016427C"/>
    <w:rsid w:val="00164345"/>
    <w:rsid w:val="0016436A"/>
    <w:rsid w:val="00164398"/>
    <w:rsid w:val="00164407"/>
    <w:rsid w:val="001644B1"/>
    <w:rsid w:val="0016453C"/>
    <w:rsid w:val="001645C9"/>
    <w:rsid w:val="0016464E"/>
    <w:rsid w:val="001646B7"/>
    <w:rsid w:val="0016477B"/>
    <w:rsid w:val="001647DB"/>
    <w:rsid w:val="0016484C"/>
    <w:rsid w:val="00164866"/>
    <w:rsid w:val="00164871"/>
    <w:rsid w:val="001648DD"/>
    <w:rsid w:val="001649EA"/>
    <w:rsid w:val="00164A09"/>
    <w:rsid w:val="00164A0C"/>
    <w:rsid w:val="00164A87"/>
    <w:rsid w:val="00164B40"/>
    <w:rsid w:val="00164B81"/>
    <w:rsid w:val="00164B83"/>
    <w:rsid w:val="00164C4E"/>
    <w:rsid w:val="00164DCF"/>
    <w:rsid w:val="00164EC6"/>
    <w:rsid w:val="00165042"/>
    <w:rsid w:val="00165180"/>
    <w:rsid w:val="00165185"/>
    <w:rsid w:val="001651D6"/>
    <w:rsid w:val="00165202"/>
    <w:rsid w:val="0016544F"/>
    <w:rsid w:val="001654AF"/>
    <w:rsid w:val="001654E5"/>
    <w:rsid w:val="00165544"/>
    <w:rsid w:val="001655A9"/>
    <w:rsid w:val="00165667"/>
    <w:rsid w:val="00165668"/>
    <w:rsid w:val="001656AC"/>
    <w:rsid w:val="00165731"/>
    <w:rsid w:val="00165736"/>
    <w:rsid w:val="00165787"/>
    <w:rsid w:val="00165811"/>
    <w:rsid w:val="0016585D"/>
    <w:rsid w:val="001658B9"/>
    <w:rsid w:val="00165A10"/>
    <w:rsid w:val="00165A8D"/>
    <w:rsid w:val="00165A8E"/>
    <w:rsid w:val="00165B41"/>
    <w:rsid w:val="00165B59"/>
    <w:rsid w:val="00165B66"/>
    <w:rsid w:val="00165C42"/>
    <w:rsid w:val="00165C89"/>
    <w:rsid w:val="00165CC5"/>
    <w:rsid w:val="00165D0E"/>
    <w:rsid w:val="00165D4C"/>
    <w:rsid w:val="00165E81"/>
    <w:rsid w:val="00166147"/>
    <w:rsid w:val="001661DA"/>
    <w:rsid w:val="00166257"/>
    <w:rsid w:val="001663E7"/>
    <w:rsid w:val="001664C1"/>
    <w:rsid w:val="00166515"/>
    <w:rsid w:val="001665E6"/>
    <w:rsid w:val="00166788"/>
    <w:rsid w:val="001668F4"/>
    <w:rsid w:val="0016692E"/>
    <w:rsid w:val="00166A05"/>
    <w:rsid w:val="00166A2C"/>
    <w:rsid w:val="00166A2F"/>
    <w:rsid w:val="00166AEE"/>
    <w:rsid w:val="00166AF4"/>
    <w:rsid w:val="00166B98"/>
    <w:rsid w:val="00166C1A"/>
    <w:rsid w:val="00166C9F"/>
    <w:rsid w:val="00166CEB"/>
    <w:rsid w:val="00166E2F"/>
    <w:rsid w:val="00166F01"/>
    <w:rsid w:val="00166F3D"/>
    <w:rsid w:val="001670B0"/>
    <w:rsid w:val="001670EB"/>
    <w:rsid w:val="00167225"/>
    <w:rsid w:val="0016723C"/>
    <w:rsid w:val="0016727D"/>
    <w:rsid w:val="0016730C"/>
    <w:rsid w:val="0016737A"/>
    <w:rsid w:val="001673B3"/>
    <w:rsid w:val="001673E3"/>
    <w:rsid w:val="00167415"/>
    <w:rsid w:val="00167425"/>
    <w:rsid w:val="0016754D"/>
    <w:rsid w:val="00167645"/>
    <w:rsid w:val="0016764F"/>
    <w:rsid w:val="0016770F"/>
    <w:rsid w:val="00167713"/>
    <w:rsid w:val="00167729"/>
    <w:rsid w:val="001677CA"/>
    <w:rsid w:val="00167832"/>
    <w:rsid w:val="00167B0D"/>
    <w:rsid w:val="00167BDD"/>
    <w:rsid w:val="00167CEF"/>
    <w:rsid w:val="00167D46"/>
    <w:rsid w:val="00167E0F"/>
    <w:rsid w:val="00167E56"/>
    <w:rsid w:val="00167EF8"/>
    <w:rsid w:val="00167F3E"/>
    <w:rsid w:val="00170014"/>
    <w:rsid w:val="0017022B"/>
    <w:rsid w:val="001704CF"/>
    <w:rsid w:val="001706AE"/>
    <w:rsid w:val="00170747"/>
    <w:rsid w:val="0017075D"/>
    <w:rsid w:val="00170776"/>
    <w:rsid w:val="00170900"/>
    <w:rsid w:val="0017091C"/>
    <w:rsid w:val="00170A14"/>
    <w:rsid w:val="00170A34"/>
    <w:rsid w:val="00170AC2"/>
    <w:rsid w:val="00170B28"/>
    <w:rsid w:val="00170C25"/>
    <w:rsid w:val="00170CA4"/>
    <w:rsid w:val="00170CD2"/>
    <w:rsid w:val="00170DFE"/>
    <w:rsid w:val="00170E58"/>
    <w:rsid w:val="00170E77"/>
    <w:rsid w:val="00170EA5"/>
    <w:rsid w:val="00170EAF"/>
    <w:rsid w:val="00170F59"/>
    <w:rsid w:val="00170FB2"/>
    <w:rsid w:val="0017116E"/>
    <w:rsid w:val="00171197"/>
    <w:rsid w:val="00171289"/>
    <w:rsid w:val="0017141B"/>
    <w:rsid w:val="001714BC"/>
    <w:rsid w:val="001714C0"/>
    <w:rsid w:val="001714D3"/>
    <w:rsid w:val="001714D5"/>
    <w:rsid w:val="00171599"/>
    <w:rsid w:val="001716FB"/>
    <w:rsid w:val="001719A8"/>
    <w:rsid w:val="00171A1D"/>
    <w:rsid w:val="00171BB7"/>
    <w:rsid w:val="00171BE7"/>
    <w:rsid w:val="00171C02"/>
    <w:rsid w:val="00171C73"/>
    <w:rsid w:val="00171CBA"/>
    <w:rsid w:val="00171CEA"/>
    <w:rsid w:val="00171EBD"/>
    <w:rsid w:val="00171ED8"/>
    <w:rsid w:val="00171F18"/>
    <w:rsid w:val="001720A7"/>
    <w:rsid w:val="001722D4"/>
    <w:rsid w:val="001722FC"/>
    <w:rsid w:val="00172347"/>
    <w:rsid w:val="0017237F"/>
    <w:rsid w:val="00172472"/>
    <w:rsid w:val="001726DD"/>
    <w:rsid w:val="0017270D"/>
    <w:rsid w:val="00172878"/>
    <w:rsid w:val="001728DB"/>
    <w:rsid w:val="00172B3B"/>
    <w:rsid w:val="00172BEB"/>
    <w:rsid w:val="00172C7B"/>
    <w:rsid w:val="00172E55"/>
    <w:rsid w:val="00172F6F"/>
    <w:rsid w:val="00172F9D"/>
    <w:rsid w:val="0017311C"/>
    <w:rsid w:val="00173357"/>
    <w:rsid w:val="00173432"/>
    <w:rsid w:val="00173483"/>
    <w:rsid w:val="001734AD"/>
    <w:rsid w:val="00173521"/>
    <w:rsid w:val="00173531"/>
    <w:rsid w:val="001737DC"/>
    <w:rsid w:val="001738F6"/>
    <w:rsid w:val="0017392A"/>
    <w:rsid w:val="00173A14"/>
    <w:rsid w:val="00173A4D"/>
    <w:rsid w:val="00173A74"/>
    <w:rsid w:val="00173B28"/>
    <w:rsid w:val="00173B64"/>
    <w:rsid w:val="00173DC3"/>
    <w:rsid w:val="00173E7A"/>
    <w:rsid w:val="00173EEA"/>
    <w:rsid w:val="00173F89"/>
    <w:rsid w:val="00173FC1"/>
    <w:rsid w:val="001740D4"/>
    <w:rsid w:val="0017410C"/>
    <w:rsid w:val="001741D4"/>
    <w:rsid w:val="0017420B"/>
    <w:rsid w:val="001742FE"/>
    <w:rsid w:val="00174355"/>
    <w:rsid w:val="00174432"/>
    <w:rsid w:val="001744BF"/>
    <w:rsid w:val="0017453A"/>
    <w:rsid w:val="00174579"/>
    <w:rsid w:val="001745B8"/>
    <w:rsid w:val="0017469E"/>
    <w:rsid w:val="0017471E"/>
    <w:rsid w:val="0017479F"/>
    <w:rsid w:val="00174808"/>
    <w:rsid w:val="0017482E"/>
    <w:rsid w:val="001748A8"/>
    <w:rsid w:val="001748C5"/>
    <w:rsid w:val="001748F3"/>
    <w:rsid w:val="0017491B"/>
    <w:rsid w:val="00174949"/>
    <w:rsid w:val="001749E8"/>
    <w:rsid w:val="00174A8B"/>
    <w:rsid w:val="00174A8C"/>
    <w:rsid w:val="00174DB5"/>
    <w:rsid w:val="00174FCC"/>
    <w:rsid w:val="00174FEE"/>
    <w:rsid w:val="00175009"/>
    <w:rsid w:val="00175071"/>
    <w:rsid w:val="001750B5"/>
    <w:rsid w:val="0017519F"/>
    <w:rsid w:val="001751C1"/>
    <w:rsid w:val="00175255"/>
    <w:rsid w:val="0017527A"/>
    <w:rsid w:val="0017531F"/>
    <w:rsid w:val="0017532C"/>
    <w:rsid w:val="00175331"/>
    <w:rsid w:val="0017535B"/>
    <w:rsid w:val="0017548A"/>
    <w:rsid w:val="001754D5"/>
    <w:rsid w:val="00175536"/>
    <w:rsid w:val="00175583"/>
    <w:rsid w:val="00175895"/>
    <w:rsid w:val="00175A73"/>
    <w:rsid w:val="00175B55"/>
    <w:rsid w:val="00175BE9"/>
    <w:rsid w:val="00175C1F"/>
    <w:rsid w:val="00175CE1"/>
    <w:rsid w:val="00175DE2"/>
    <w:rsid w:val="00175DEF"/>
    <w:rsid w:val="00175E85"/>
    <w:rsid w:val="00175ED4"/>
    <w:rsid w:val="00175FE1"/>
    <w:rsid w:val="00176131"/>
    <w:rsid w:val="001761F0"/>
    <w:rsid w:val="0017626E"/>
    <w:rsid w:val="00176286"/>
    <w:rsid w:val="001762D4"/>
    <w:rsid w:val="00176366"/>
    <w:rsid w:val="001763B1"/>
    <w:rsid w:val="001763BB"/>
    <w:rsid w:val="00176424"/>
    <w:rsid w:val="001764CD"/>
    <w:rsid w:val="0017650C"/>
    <w:rsid w:val="0017654C"/>
    <w:rsid w:val="001765D6"/>
    <w:rsid w:val="0017674C"/>
    <w:rsid w:val="0017676A"/>
    <w:rsid w:val="001768C1"/>
    <w:rsid w:val="00176986"/>
    <w:rsid w:val="0017699E"/>
    <w:rsid w:val="00176A04"/>
    <w:rsid w:val="00176A69"/>
    <w:rsid w:val="00176AB5"/>
    <w:rsid w:val="00176ABD"/>
    <w:rsid w:val="00176AE1"/>
    <w:rsid w:val="00176B38"/>
    <w:rsid w:val="00176B41"/>
    <w:rsid w:val="00176B61"/>
    <w:rsid w:val="00176BBA"/>
    <w:rsid w:val="00176C07"/>
    <w:rsid w:val="00176C2F"/>
    <w:rsid w:val="00176CBF"/>
    <w:rsid w:val="00176D29"/>
    <w:rsid w:val="00176D9D"/>
    <w:rsid w:val="00176DED"/>
    <w:rsid w:val="00176EC0"/>
    <w:rsid w:val="00176EDB"/>
    <w:rsid w:val="00176F8D"/>
    <w:rsid w:val="00176FEF"/>
    <w:rsid w:val="00177065"/>
    <w:rsid w:val="00177067"/>
    <w:rsid w:val="001770BA"/>
    <w:rsid w:val="0017716B"/>
    <w:rsid w:val="0017727C"/>
    <w:rsid w:val="00177471"/>
    <w:rsid w:val="001774EA"/>
    <w:rsid w:val="0017764D"/>
    <w:rsid w:val="00177924"/>
    <w:rsid w:val="00177973"/>
    <w:rsid w:val="00177988"/>
    <w:rsid w:val="00177A9B"/>
    <w:rsid w:val="00177B1A"/>
    <w:rsid w:val="00177D06"/>
    <w:rsid w:val="00177D31"/>
    <w:rsid w:val="00177EB9"/>
    <w:rsid w:val="00177FC5"/>
    <w:rsid w:val="00180006"/>
    <w:rsid w:val="0018001A"/>
    <w:rsid w:val="00180085"/>
    <w:rsid w:val="001800E9"/>
    <w:rsid w:val="0018011E"/>
    <w:rsid w:val="00180143"/>
    <w:rsid w:val="00180165"/>
    <w:rsid w:val="001801CF"/>
    <w:rsid w:val="001801E2"/>
    <w:rsid w:val="001801FE"/>
    <w:rsid w:val="00180218"/>
    <w:rsid w:val="0018027F"/>
    <w:rsid w:val="001802C5"/>
    <w:rsid w:val="00180399"/>
    <w:rsid w:val="001804AA"/>
    <w:rsid w:val="00180707"/>
    <w:rsid w:val="00180728"/>
    <w:rsid w:val="00180823"/>
    <w:rsid w:val="0018084F"/>
    <w:rsid w:val="00180966"/>
    <w:rsid w:val="001809E6"/>
    <w:rsid w:val="00180A19"/>
    <w:rsid w:val="00180AF0"/>
    <w:rsid w:val="00180B2F"/>
    <w:rsid w:val="00180BB6"/>
    <w:rsid w:val="00180C35"/>
    <w:rsid w:val="00180D84"/>
    <w:rsid w:val="00180E1B"/>
    <w:rsid w:val="00180E37"/>
    <w:rsid w:val="0018107F"/>
    <w:rsid w:val="0018124A"/>
    <w:rsid w:val="0018133D"/>
    <w:rsid w:val="0018134B"/>
    <w:rsid w:val="001814E1"/>
    <w:rsid w:val="00181631"/>
    <w:rsid w:val="00181646"/>
    <w:rsid w:val="00181705"/>
    <w:rsid w:val="0018179C"/>
    <w:rsid w:val="0018185B"/>
    <w:rsid w:val="001818E0"/>
    <w:rsid w:val="00181915"/>
    <w:rsid w:val="00181AE7"/>
    <w:rsid w:val="00181B60"/>
    <w:rsid w:val="00181B81"/>
    <w:rsid w:val="00181BC2"/>
    <w:rsid w:val="00181C01"/>
    <w:rsid w:val="00181C16"/>
    <w:rsid w:val="00181CA6"/>
    <w:rsid w:val="00181DC5"/>
    <w:rsid w:val="00181DCB"/>
    <w:rsid w:val="00181EB7"/>
    <w:rsid w:val="00181FD9"/>
    <w:rsid w:val="00182009"/>
    <w:rsid w:val="001821A5"/>
    <w:rsid w:val="0018220B"/>
    <w:rsid w:val="00182286"/>
    <w:rsid w:val="0018229D"/>
    <w:rsid w:val="001822F4"/>
    <w:rsid w:val="00182369"/>
    <w:rsid w:val="001823AC"/>
    <w:rsid w:val="001823B9"/>
    <w:rsid w:val="001823EF"/>
    <w:rsid w:val="00182651"/>
    <w:rsid w:val="0018276B"/>
    <w:rsid w:val="00182828"/>
    <w:rsid w:val="001828C6"/>
    <w:rsid w:val="00182965"/>
    <w:rsid w:val="00182969"/>
    <w:rsid w:val="001829BE"/>
    <w:rsid w:val="00182A1B"/>
    <w:rsid w:val="00182A36"/>
    <w:rsid w:val="00182BA6"/>
    <w:rsid w:val="00182BC6"/>
    <w:rsid w:val="00182D46"/>
    <w:rsid w:val="00182E77"/>
    <w:rsid w:val="00182F6A"/>
    <w:rsid w:val="00182F79"/>
    <w:rsid w:val="00183023"/>
    <w:rsid w:val="00183062"/>
    <w:rsid w:val="00183100"/>
    <w:rsid w:val="00183154"/>
    <w:rsid w:val="0018317D"/>
    <w:rsid w:val="001831C8"/>
    <w:rsid w:val="001831D1"/>
    <w:rsid w:val="001831F8"/>
    <w:rsid w:val="00183296"/>
    <w:rsid w:val="00183342"/>
    <w:rsid w:val="0018338F"/>
    <w:rsid w:val="0018348E"/>
    <w:rsid w:val="001834AA"/>
    <w:rsid w:val="001835F8"/>
    <w:rsid w:val="0018372A"/>
    <w:rsid w:val="0018385A"/>
    <w:rsid w:val="001838D3"/>
    <w:rsid w:val="00183A72"/>
    <w:rsid w:val="00183B07"/>
    <w:rsid w:val="00183B1C"/>
    <w:rsid w:val="00183B64"/>
    <w:rsid w:val="00183C55"/>
    <w:rsid w:val="00183CCD"/>
    <w:rsid w:val="00183D2E"/>
    <w:rsid w:val="00183E57"/>
    <w:rsid w:val="00183EF2"/>
    <w:rsid w:val="00183FA7"/>
    <w:rsid w:val="00184040"/>
    <w:rsid w:val="00184070"/>
    <w:rsid w:val="0018415B"/>
    <w:rsid w:val="0018416D"/>
    <w:rsid w:val="00184272"/>
    <w:rsid w:val="00184336"/>
    <w:rsid w:val="001843E0"/>
    <w:rsid w:val="001843F5"/>
    <w:rsid w:val="0018442F"/>
    <w:rsid w:val="0018451E"/>
    <w:rsid w:val="00184527"/>
    <w:rsid w:val="00184718"/>
    <w:rsid w:val="001847FB"/>
    <w:rsid w:val="00184870"/>
    <w:rsid w:val="0018488E"/>
    <w:rsid w:val="00184904"/>
    <w:rsid w:val="00184955"/>
    <w:rsid w:val="001849EA"/>
    <w:rsid w:val="00184A01"/>
    <w:rsid w:val="00184B09"/>
    <w:rsid w:val="00184B29"/>
    <w:rsid w:val="00184C0B"/>
    <w:rsid w:val="00184C19"/>
    <w:rsid w:val="00184CE1"/>
    <w:rsid w:val="00184DEE"/>
    <w:rsid w:val="00184DFF"/>
    <w:rsid w:val="00184EE2"/>
    <w:rsid w:val="00184F82"/>
    <w:rsid w:val="001850B0"/>
    <w:rsid w:val="00185110"/>
    <w:rsid w:val="001851C6"/>
    <w:rsid w:val="00185280"/>
    <w:rsid w:val="001854BB"/>
    <w:rsid w:val="00185530"/>
    <w:rsid w:val="00185762"/>
    <w:rsid w:val="0018590E"/>
    <w:rsid w:val="00185AC0"/>
    <w:rsid w:val="00185AEB"/>
    <w:rsid w:val="00185B11"/>
    <w:rsid w:val="00185C5F"/>
    <w:rsid w:val="00185CEC"/>
    <w:rsid w:val="00185D08"/>
    <w:rsid w:val="00185D3A"/>
    <w:rsid w:val="00185DEA"/>
    <w:rsid w:val="00185E81"/>
    <w:rsid w:val="00185EB8"/>
    <w:rsid w:val="00185F44"/>
    <w:rsid w:val="00185F9D"/>
    <w:rsid w:val="00185FEE"/>
    <w:rsid w:val="001860D9"/>
    <w:rsid w:val="001861F6"/>
    <w:rsid w:val="001862AE"/>
    <w:rsid w:val="00186337"/>
    <w:rsid w:val="0018633A"/>
    <w:rsid w:val="00186358"/>
    <w:rsid w:val="001863E0"/>
    <w:rsid w:val="001863E9"/>
    <w:rsid w:val="0018649C"/>
    <w:rsid w:val="001864A1"/>
    <w:rsid w:val="001864A5"/>
    <w:rsid w:val="0018667F"/>
    <w:rsid w:val="001866DB"/>
    <w:rsid w:val="001866F8"/>
    <w:rsid w:val="001867AE"/>
    <w:rsid w:val="00186864"/>
    <w:rsid w:val="001868A6"/>
    <w:rsid w:val="00186A22"/>
    <w:rsid w:val="00186A80"/>
    <w:rsid w:val="00186AAD"/>
    <w:rsid w:val="00186AC2"/>
    <w:rsid w:val="00186BE4"/>
    <w:rsid w:val="00186C88"/>
    <w:rsid w:val="00186CC0"/>
    <w:rsid w:val="00186DF1"/>
    <w:rsid w:val="00186FCA"/>
    <w:rsid w:val="00187024"/>
    <w:rsid w:val="00187092"/>
    <w:rsid w:val="00187164"/>
    <w:rsid w:val="00187293"/>
    <w:rsid w:val="001872D1"/>
    <w:rsid w:val="00187353"/>
    <w:rsid w:val="001873B2"/>
    <w:rsid w:val="0018745A"/>
    <w:rsid w:val="001874E2"/>
    <w:rsid w:val="00187546"/>
    <w:rsid w:val="00187585"/>
    <w:rsid w:val="00187683"/>
    <w:rsid w:val="001876D6"/>
    <w:rsid w:val="00187749"/>
    <w:rsid w:val="0018776F"/>
    <w:rsid w:val="0018777D"/>
    <w:rsid w:val="0018779B"/>
    <w:rsid w:val="00187834"/>
    <w:rsid w:val="0018788F"/>
    <w:rsid w:val="00187922"/>
    <w:rsid w:val="001879C6"/>
    <w:rsid w:val="001879ED"/>
    <w:rsid w:val="00187A1E"/>
    <w:rsid w:val="00187B92"/>
    <w:rsid w:val="00187C05"/>
    <w:rsid w:val="00187D09"/>
    <w:rsid w:val="00187D3F"/>
    <w:rsid w:val="00187E26"/>
    <w:rsid w:val="00187E79"/>
    <w:rsid w:val="00187ECA"/>
    <w:rsid w:val="00190191"/>
    <w:rsid w:val="001902D5"/>
    <w:rsid w:val="001902DE"/>
    <w:rsid w:val="001903BE"/>
    <w:rsid w:val="0019046C"/>
    <w:rsid w:val="00190474"/>
    <w:rsid w:val="00190576"/>
    <w:rsid w:val="00190652"/>
    <w:rsid w:val="001906D5"/>
    <w:rsid w:val="00190704"/>
    <w:rsid w:val="0019070A"/>
    <w:rsid w:val="001907B4"/>
    <w:rsid w:val="001907F4"/>
    <w:rsid w:val="00190A69"/>
    <w:rsid w:val="00190A6E"/>
    <w:rsid w:val="00190B1C"/>
    <w:rsid w:val="00190B47"/>
    <w:rsid w:val="00190C10"/>
    <w:rsid w:val="00190D27"/>
    <w:rsid w:val="00190D55"/>
    <w:rsid w:val="00190DC5"/>
    <w:rsid w:val="00190E5E"/>
    <w:rsid w:val="00190E71"/>
    <w:rsid w:val="00190F15"/>
    <w:rsid w:val="00190F31"/>
    <w:rsid w:val="00190FF8"/>
    <w:rsid w:val="00191033"/>
    <w:rsid w:val="0019104A"/>
    <w:rsid w:val="0019107E"/>
    <w:rsid w:val="00191089"/>
    <w:rsid w:val="001910E1"/>
    <w:rsid w:val="001910E8"/>
    <w:rsid w:val="001910EA"/>
    <w:rsid w:val="001910F9"/>
    <w:rsid w:val="00191157"/>
    <w:rsid w:val="001911AA"/>
    <w:rsid w:val="001913FF"/>
    <w:rsid w:val="0019154A"/>
    <w:rsid w:val="00191616"/>
    <w:rsid w:val="00191749"/>
    <w:rsid w:val="001917BC"/>
    <w:rsid w:val="001918A4"/>
    <w:rsid w:val="00191915"/>
    <w:rsid w:val="00191952"/>
    <w:rsid w:val="001919EE"/>
    <w:rsid w:val="00191A1A"/>
    <w:rsid w:val="00191A28"/>
    <w:rsid w:val="00191A2B"/>
    <w:rsid w:val="00191AB0"/>
    <w:rsid w:val="00191ACE"/>
    <w:rsid w:val="00191C21"/>
    <w:rsid w:val="00191DA8"/>
    <w:rsid w:val="00191DB5"/>
    <w:rsid w:val="00191E11"/>
    <w:rsid w:val="00191E41"/>
    <w:rsid w:val="00191ECD"/>
    <w:rsid w:val="00191F82"/>
    <w:rsid w:val="0019200D"/>
    <w:rsid w:val="00192048"/>
    <w:rsid w:val="001921E8"/>
    <w:rsid w:val="00192273"/>
    <w:rsid w:val="0019229C"/>
    <w:rsid w:val="001922EE"/>
    <w:rsid w:val="00192317"/>
    <w:rsid w:val="001923AC"/>
    <w:rsid w:val="00192468"/>
    <w:rsid w:val="00192554"/>
    <w:rsid w:val="0019257D"/>
    <w:rsid w:val="00192588"/>
    <w:rsid w:val="001926A6"/>
    <w:rsid w:val="0019282E"/>
    <w:rsid w:val="001928AA"/>
    <w:rsid w:val="001928BE"/>
    <w:rsid w:val="00192907"/>
    <w:rsid w:val="00192994"/>
    <w:rsid w:val="00192A07"/>
    <w:rsid w:val="00192BB0"/>
    <w:rsid w:val="00192BC8"/>
    <w:rsid w:val="00192C3E"/>
    <w:rsid w:val="00192C79"/>
    <w:rsid w:val="00192C7B"/>
    <w:rsid w:val="00192CF9"/>
    <w:rsid w:val="00192D28"/>
    <w:rsid w:val="00192E55"/>
    <w:rsid w:val="00192F56"/>
    <w:rsid w:val="0019306F"/>
    <w:rsid w:val="001930BE"/>
    <w:rsid w:val="0019326C"/>
    <w:rsid w:val="0019331A"/>
    <w:rsid w:val="00193435"/>
    <w:rsid w:val="00193510"/>
    <w:rsid w:val="0019361C"/>
    <w:rsid w:val="00193707"/>
    <w:rsid w:val="0019371C"/>
    <w:rsid w:val="00193727"/>
    <w:rsid w:val="0019377A"/>
    <w:rsid w:val="001937A5"/>
    <w:rsid w:val="001937CF"/>
    <w:rsid w:val="001938FE"/>
    <w:rsid w:val="00193A11"/>
    <w:rsid w:val="00193AB1"/>
    <w:rsid w:val="00193AB4"/>
    <w:rsid w:val="00193ABD"/>
    <w:rsid w:val="00193B23"/>
    <w:rsid w:val="00193B35"/>
    <w:rsid w:val="00193B4C"/>
    <w:rsid w:val="00193B83"/>
    <w:rsid w:val="00193BBE"/>
    <w:rsid w:val="00193CF3"/>
    <w:rsid w:val="00193E52"/>
    <w:rsid w:val="00193EEF"/>
    <w:rsid w:val="00193FB1"/>
    <w:rsid w:val="0019422A"/>
    <w:rsid w:val="001942FA"/>
    <w:rsid w:val="00194528"/>
    <w:rsid w:val="0019457A"/>
    <w:rsid w:val="001945F4"/>
    <w:rsid w:val="0019466A"/>
    <w:rsid w:val="001946D7"/>
    <w:rsid w:val="001946E6"/>
    <w:rsid w:val="00194723"/>
    <w:rsid w:val="00194796"/>
    <w:rsid w:val="001947B2"/>
    <w:rsid w:val="0019483E"/>
    <w:rsid w:val="001948CD"/>
    <w:rsid w:val="00194975"/>
    <w:rsid w:val="001949A7"/>
    <w:rsid w:val="00194BB9"/>
    <w:rsid w:val="00194BC8"/>
    <w:rsid w:val="00194C4A"/>
    <w:rsid w:val="00194C6D"/>
    <w:rsid w:val="00194D59"/>
    <w:rsid w:val="00194D5E"/>
    <w:rsid w:val="00194D77"/>
    <w:rsid w:val="00194D93"/>
    <w:rsid w:val="00194DBC"/>
    <w:rsid w:val="00195058"/>
    <w:rsid w:val="00195072"/>
    <w:rsid w:val="0019508D"/>
    <w:rsid w:val="00195094"/>
    <w:rsid w:val="001950F0"/>
    <w:rsid w:val="00195117"/>
    <w:rsid w:val="00195276"/>
    <w:rsid w:val="001952E4"/>
    <w:rsid w:val="0019532D"/>
    <w:rsid w:val="0019538B"/>
    <w:rsid w:val="001953A0"/>
    <w:rsid w:val="00195410"/>
    <w:rsid w:val="00195437"/>
    <w:rsid w:val="0019546A"/>
    <w:rsid w:val="001954B0"/>
    <w:rsid w:val="001954B6"/>
    <w:rsid w:val="00195535"/>
    <w:rsid w:val="0019553C"/>
    <w:rsid w:val="001956A7"/>
    <w:rsid w:val="0019572C"/>
    <w:rsid w:val="00195739"/>
    <w:rsid w:val="00195795"/>
    <w:rsid w:val="0019581F"/>
    <w:rsid w:val="0019583C"/>
    <w:rsid w:val="00195851"/>
    <w:rsid w:val="001958B4"/>
    <w:rsid w:val="00195B48"/>
    <w:rsid w:val="00195B77"/>
    <w:rsid w:val="00195C4C"/>
    <w:rsid w:val="00195D5E"/>
    <w:rsid w:val="00195E49"/>
    <w:rsid w:val="00195E90"/>
    <w:rsid w:val="00196259"/>
    <w:rsid w:val="001962DF"/>
    <w:rsid w:val="001963F9"/>
    <w:rsid w:val="0019647F"/>
    <w:rsid w:val="001964A8"/>
    <w:rsid w:val="001964F8"/>
    <w:rsid w:val="0019659D"/>
    <w:rsid w:val="001966BE"/>
    <w:rsid w:val="00196813"/>
    <w:rsid w:val="00196838"/>
    <w:rsid w:val="001969F8"/>
    <w:rsid w:val="00196A7E"/>
    <w:rsid w:val="00196B7B"/>
    <w:rsid w:val="00196BB9"/>
    <w:rsid w:val="00196BBA"/>
    <w:rsid w:val="00196BBC"/>
    <w:rsid w:val="00196C94"/>
    <w:rsid w:val="00196CC8"/>
    <w:rsid w:val="00196D7D"/>
    <w:rsid w:val="00196ED1"/>
    <w:rsid w:val="00196ED4"/>
    <w:rsid w:val="00196FF8"/>
    <w:rsid w:val="0019707A"/>
    <w:rsid w:val="001970BB"/>
    <w:rsid w:val="0019710C"/>
    <w:rsid w:val="001972BE"/>
    <w:rsid w:val="001973D2"/>
    <w:rsid w:val="0019748F"/>
    <w:rsid w:val="001974EE"/>
    <w:rsid w:val="001975C3"/>
    <w:rsid w:val="00197605"/>
    <w:rsid w:val="0019765F"/>
    <w:rsid w:val="00197685"/>
    <w:rsid w:val="001976D0"/>
    <w:rsid w:val="00197714"/>
    <w:rsid w:val="001977D6"/>
    <w:rsid w:val="0019782A"/>
    <w:rsid w:val="0019785A"/>
    <w:rsid w:val="001978C8"/>
    <w:rsid w:val="0019797A"/>
    <w:rsid w:val="001979D2"/>
    <w:rsid w:val="001979E9"/>
    <w:rsid w:val="00197B6C"/>
    <w:rsid w:val="00197B7C"/>
    <w:rsid w:val="00197C2C"/>
    <w:rsid w:val="00197C2D"/>
    <w:rsid w:val="00197C33"/>
    <w:rsid w:val="00197C58"/>
    <w:rsid w:val="00197C7E"/>
    <w:rsid w:val="00197CDD"/>
    <w:rsid w:val="00197EBB"/>
    <w:rsid w:val="00197EE3"/>
    <w:rsid w:val="001A0175"/>
    <w:rsid w:val="001A024A"/>
    <w:rsid w:val="001A03E9"/>
    <w:rsid w:val="001A0408"/>
    <w:rsid w:val="001A04AB"/>
    <w:rsid w:val="001A050E"/>
    <w:rsid w:val="001A0634"/>
    <w:rsid w:val="001A06A9"/>
    <w:rsid w:val="001A0747"/>
    <w:rsid w:val="001A0840"/>
    <w:rsid w:val="001A0914"/>
    <w:rsid w:val="001A0934"/>
    <w:rsid w:val="001A0A97"/>
    <w:rsid w:val="001A0A9F"/>
    <w:rsid w:val="001A0AE4"/>
    <w:rsid w:val="001A0AFD"/>
    <w:rsid w:val="001A0BBB"/>
    <w:rsid w:val="001A0BD8"/>
    <w:rsid w:val="001A0BE0"/>
    <w:rsid w:val="001A0BE2"/>
    <w:rsid w:val="001A0C29"/>
    <w:rsid w:val="001A0D83"/>
    <w:rsid w:val="001A0DAE"/>
    <w:rsid w:val="001A0F28"/>
    <w:rsid w:val="001A0F34"/>
    <w:rsid w:val="001A0F42"/>
    <w:rsid w:val="001A1039"/>
    <w:rsid w:val="001A107E"/>
    <w:rsid w:val="001A126C"/>
    <w:rsid w:val="001A1338"/>
    <w:rsid w:val="001A134D"/>
    <w:rsid w:val="001A13A1"/>
    <w:rsid w:val="001A1585"/>
    <w:rsid w:val="001A17DD"/>
    <w:rsid w:val="001A185B"/>
    <w:rsid w:val="001A1999"/>
    <w:rsid w:val="001A1A4F"/>
    <w:rsid w:val="001A1B0F"/>
    <w:rsid w:val="001A1B2F"/>
    <w:rsid w:val="001A1B3F"/>
    <w:rsid w:val="001A1B55"/>
    <w:rsid w:val="001A1CEA"/>
    <w:rsid w:val="001A1D4E"/>
    <w:rsid w:val="001A1E3B"/>
    <w:rsid w:val="001A1EC9"/>
    <w:rsid w:val="001A1EFB"/>
    <w:rsid w:val="001A1FE9"/>
    <w:rsid w:val="001A2068"/>
    <w:rsid w:val="001A20DC"/>
    <w:rsid w:val="001A2109"/>
    <w:rsid w:val="001A21BF"/>
    <w:rsid w:val="001A2244"/>
    <w:rsid w:val="001A22B1"/>
    <w:rsid w:val="001A233E"/>
    <w:rsid w:val="001A234C"/>
    <w:rsid w:val="001A2676"/>
    <w:rsid w:val="001A273F"/>
    <w:rsid w:val="001A2783"/>
    <w:rsid w:val="001A27B7"/>
    <w:rsid w:val="001A287D"/>
    <w:rsid w:val="001A28C9"/>
    <w:rsid w:val="001A293E"/>
    <w:rsid w:val="001A29CC"/>
    <w:rsid w:val="001A2AA9"/>
    <w:rsid w:val="001A2B79"/>
    <w:rsid w:val="001A2B7E"/>
    <w:rsid w:val="001A2BF1"/>
    <w:rsid w:val="001A2C79"/>
    <w:rsid w:val="001A2EF9"/>
    <w:rsid w:val="001A2F92"/>
    <w:rsid w:val="001A2FDF"/>
    <w:rsid w:val="001A2FF5"/>
    <w:rsid w:val="001A3034"/>
    <w:rsid w:val="001A30AF"/>
    <w:rsid w:val="001A30CF"/>
    <w:rsid w:val="001A30F4"/>
    <w:rsid w:val="001A3108"/>
    <w:rsid w:val="001A3296"/>
    <w:rsid w:val="001A32FD"/>
    <w:rsid w:val="001A3322"/>
    <w:rsid w:val="001A3367"/>
    <w:rsid w:val="001A33D3"/>
    <w:rsid w:val="001A3412"/>
    <w:rsid w:val="001A34F8"/>
    <w:rsid w:val="001A3541"/>
    <w:rsid w:val="001A354D"/>
    <w:rsid w:val="001A36B6"/>
    <w:rsid w:val="001A3757"/>
    <w:rsid w:val="001A38EC"/>
    <w:rsid w:val="001A3903"/>
    <w:rsid w:val="001A3A43"/>
    <w:rsid w:val="001A3A8A"/>
    <w:rsid w:val="001A3B50"/>
    <w:rsid w:val="001A3BEE"/>
    <w:rsid w:val="001A3C16"/>
    <w:rsid w:val="001A3CC9"/>
    <w:rsid w:val="001A3D34"/>
    <w:rsid w:val="001A3D99"/>
    <w:rsid w:val="001A3DF3"/>
    <w:rsid w:val="001A3E7C"/>
    <w:rsid w:val="001A3E8F"/>
    <w:rsid w:val="001A3F14"/>
    <w:rsid w:val="001A3F69"/>
    <w:rsid w:val="001A40C9"/>
    <w:rsid w:val="001A40F0"/>
    <w:rsid w:val="001A41F9"/>
    <w:rsid w:val="001A447E"/>
    <w:rsid w:val="001A45B2"/>
    <w:rsid w:val="001A45F2"/>
    <w:rsid w:val="001A4629"/>
    <w:rsid w:val="001A4643"/>
    <w:rsid w:val="001A4660"/>
    <w:rsid w:val="001A474B"/>
    <w:rsid w:val="001A4845"/>
    <w:rsid w:val="001A48AC"/>
    <w:rsid w:val="001A48C4"/>
    <w:rsid w:val="001A4A38"/>
    <w:rsid w:val="001A4B30"/>
    <w:rsid w:val="001A4BCF"/>
    <w:rsid w:val="001A4BF7"/>
    <w:rsid w:val="001A4C9D"/>
    <w:rsid w:val="001A4D98"/>
    <w:rsid w:val="001A4E01"/>
    <w:rsid w:val="001A4E16"/>
    <w:rsid w:val="001A4F03"/>
    <w:rsid w:val="001A4F50"/>
    <w:rsid w:val="001A4F7A"/>
    <w:rsid w:val="001A4F9B"/>
    <w:rsid w:val="001A4FC7"/>
    <w:rsid w:val="001A509D"/>
    <w:rsid w:val="001A50C7"/>
    <w:rsid w:val="001A5128"/>
    <w:rsid w:val="001A52FF"/>
    <w:rsid w:val="001A532E"/>
    <w:rsid w:val="001A5343"/>
    <w:rsid w:val="001A5366"/>
    <w:rsid w:val="001A53C5"/>
    <w:rsid w:val="001A5431"/>
    <w:rsid w:val="001A5463"/>
    <w:rsid w:val="001A5486"/>
    <w:rsid w:val="001A5528"/>
    <w:rsid w:val="001A567D"/>
    <w:rsid w:val="001A56D0"/>
    <w:rsid w:val="001A572C"/>
    <w:rsid w:val="001A580E"/>
    <w:rsid w:val="001A58B3"/>
    <w:rsid w:val="001A590A"/>
    <w:rsid w:val="001A592B"/>
    <w:rsid w:val="001A5932"/>
    <w:rsid w:val="001A59C2"/>
    <w:rsid w:val="001A5A71"/>
    <w:rsid w:val="001A5B51"/>
    <w:rsid w:val="001A5BE9"/>
    <w:rsid w:val="001A5C32"/>
    <w:rsid w:val="001A5DC2"/>
    <w:rsid w:val="001A5DF0"/>
    <w:rsid w:val="001A5E2B"/>
    <w:rsid w:val="001A602E"/>
    <w:rsid w:val="001A6091"/>
    <w:rsid w:val="001A60D1"/>
    <w:rsid w:val="001A610B"/>
    <w:rsid w:val="001A6135"/>
    <w:rsid w:val="001A6200"/>
    <w:rsid w:val="001A6222"/>
    <w:rsid w:val="001A6266"/>
    <w:rsid w:val="001A62B3"/>
    <w:rsid w:val="001A62D8"/>
    <w:rsid w:val="001A62E1"/>
    <w:rsid w:val="001A6317"/>
    <w:rsid w:val="001A6416"/>
    <w:rsid w:val="001A64EA"/>
    <w:rsid w:val="001A65E6"/>
    <w:rsid w:val="001A66A1"/>
    <w:rsid w:val="001A670A"/>
    <w:rsid w:val="001A6781"/>
    <w:rsid w:val="001A67A3"/>
    <w:rsid w:val="001A685C"/>
    <w:rsid w:val="001A6892"/>
    <w:rsid w:val="001A68B5"/>
    <w:rsid w:val="001A68F3"/>
    <w:rsid w:val="001A690A"/>
    <w:rsid w:val="001A69E5"/>
    <w:rsid w:val="001A6BBC"/>
    <w:rsid w:val="001A6CA2"/>
    <w:rsid w:val="001A6E49"/>
    <w:rsid w:val="001A6EC6"/>
    <w:rsid w:val="001A6EDD"/>
    <w:rsid w:val="001A6F05"/>
    <w:rsid w:val="001A6F08"/>
    <w:rsid w:val="001A6F72"/>
    <w:rsid w:val="001A6F8B"/>
    <w:rsid w:val="001A7024"/>
    <w:rsid w:val="001A706F"/>
    <w:rsid w:val="001A7137"/>
    <w:rsid w:val="001A71CB"/>
    <w:rsid w:val="001A7225"/>
    <w:rsid w:val="001A729C"/>
    <w:rsid w:val="001A72D4"/>
    <w:rsid w:val="001A748B"/>
    <w:rsid w:val="001A74C5"/>
    <w:rsid w:val="001A7535"/>
    <w:rsid w:val="001A768E"/>
    <w:rsid w:val="001A769E"/>
    <w:rsid w:val="001A782A"/>
    <w:rsid w:val="001A78B2"/>
    <w:rsid w:val="001A7990"/>
    <w:rsid w:val="001A7A97"/>
    <w:rsid w:val="001A7B23"/>
    <w:rsid w:val="001A7B6F"/>
    <w:rsid w:val="001A7B96"/>
    <w:rsid w:val="001A7BA5"/>
    <w:rsid w:val="001A7BA7"/>
    <w:rsid w:val="001A7BF0"/>
    <w:rsid w:val="001A7E13"/>
    <w:rsid w:val="001A7E81"/>
    <w:rsid w:val="001A7F67"/>
    <w:rsid w:val="001B0155"/>
    <w:rsid w:val="001B0161"/>
    <w:rsid w:val="001B029E"/>
    <w:rsid w:val="001B0308"/>
    <w:rsid w:val="001B0331"/>
    <w:rsid w:val="001B036A"/>
    <w:rsid w:val="001B03F6"/>
    <w:rsid w:val="001B0444"/>
    <w:rsid w:val="001B0476"/>
    <w:rsid w:val="001B056E"/>
    <w:rsid w:val="001B0581"/>
    <w:rsid w:val="001B05F5"/>
    <w:rsid w:val="001B061D"/>
    <w:rsid w:val="001B067B"/>
    <w:rsid w:val="001B06A3"/>
    <w:rsid w:val="001B0834"/>
    <w:rsid w:val="001B0886"/>
    <w:rsid w:val="001B08A1"/>
    <w:rsid w:val="001B08B2"/>
    <w:rsid w:val="001B0913"/>
    <w:rsid w:val="001B0921"/>
    <w:rsid w:val="001B0AA2"/>
    <w:rsid w:val="001B0ADC"/>
    <w:rsid w:val="001B0B58"/>
    <w:rsid w:val="001B0B9B"/>
    <w:rsid w:val="001B0BE9"/>
    <w:rsid w:val="001B0C29"/>
    <w:rsid w:val="001B0D3D"/>
    <w:rsid w:val="001B0DFD"/>
    <w:rsid w:val="001B0E04"/>
    <w:rsid w:val="001B0E07"/>
    <w:rsid w:val="001B0F31"/>
    <w:rsid w:val="001B0F58"/>
    <w:rsid w:val="001B0FF4"/>
    <w:rsid w:val="001B100F"/>
    <w:rsid w:val="001B11C5"/>
    <w:rsid w:val="001B1226"/>
    <w:rsid w:val="001B130A"/>
    <w:rsid w:val="001B136A"/>
    <w:rsid w:val="001B14CE"/>
    <w:rsid w:val="001B14F3"/>
    <w:rsid w:val="001B150C"/>
    <w:rsid w:val="001B1702"/>
    <w:rsid w:val="001B18B9"/>
    <w:rsid w:val="001B19A6"/>
    <w:rsid w:val="001B19CB"/>
    <w:rsid w:val="001B19FD"/>
    <w:rsid w:val="001B1A49"/>
    <w:rsid w:val="001B1AC8"/>
    <w:rsid w:val="001B1B09"/>
    <w:rsid w:val="001B1B4E"/>
    <w:rsid w:val="001B1BCB"/>
    <w:rsid w:val="001B1C17"/>
    <w:rsid w:val="001B2111"/>
    <w:rsid w:val="001B2206"/>
    <w:rsid w:val="001B22A1"/>
    <w:rsid w:val="001B22A8"/>
    <w:rsid w:val="001B2330"/>
    <w:rsid w:val="001B2375"/>
    <w:rsid w:val="001B249E"/>
    <w:rsid w:val="001B2605"/>
    <w:rsid w:val="001B2618"/>
    <w:rsid w:val="001B261F"/>
    <w:rsid w:val="001B2620"/>
    <w:rsid w:val="001B270B"/>
    <w:rsid w:val="001B2782"/>
    <w:rsid w:val="001B2788"/>
    <w:rsid w:val="001B2799"/>
    <w:rsid w:val="001B2884"/>
    <w:rsid w:val="001B2917"/>
    <w:rsid w:val="001B2AAE"/>
    <w:rsid w:val="001B2BD2"/>
    <w:rsid w:val="001B2C9C"/>
    <w:rsid w:val="001B2F9A"/>
    <w:rsid w:val="001B2FD6"/>
    <w:rsid w:val="001B3035"/>
    <w:rsid w:val="001B30AC"/>
    <w:rsid w:val="001B30E3"/>
    <w:rsid w:val="001B31E3"/>
    <w:rsid w:val="001B3520"/>
    <w:rsid w:val="001B353C"/>
    <w:rsid w:val="001B354E"/>
    <w:rsid w:val="001B364C"/>
    <w:rsid w:val="001B36B5"/>
    <w:rsid w:val="001B374A"/>
    <w:rsid w:val="001B3880"/>
    <w:rsid w:val="001B3978"/>
    <w:rsid w:val="001B3990"/>
    <w:rsid w:val="001B3A09"/>
    <w:rsid w:val="001B3A67"/>
    <w:rsid w:val="001B3A84"/>
    <w:rsid w:val="001B3C0A"/>
    <w:rsid w:val="001B3CB5"/>
    <w:rsid w:val="001B3CD5"/>
    <w:rsid w:val="001B3D59"/>
    <w:rsid w:val="001B3DD5"/>
    <w:rsid w:val="001B3EAA"/>
    <w:rsid w:val="001B3F2C"/>
    <w:rsid w:val="001B4052"/>
    <w:rsid w:val="001B4068"/>
    <w:rsid w:val="001B40D8"/>
    <w:rsid w:val="001B4104"/>
    <w:rsid w:val="001B41A5"/>
    <w:rsid w:val="001B42E2"/>
    <w:rsid w:val="001B436F"/>
    <w:rsid w:val="001B446B"/>
    <w:rsid w:val="001B4487"/>
    <w:rsid w:val="001B4549"/>
    <w:rsid w:val="001B4580"/>
    <w:rsid w:val="001B46B5"/>
    <w:rsid w:val="001B476A"/>
    <w:rsid w:val="001B4783"/>
    <w:rsid w:val="001B487F"/>
    <w:rsid w:val="001B4888"/>
    <w:rsid w:val="001B49CB"/>
    <w:rsid w:val="001B4A57"/>
    <w:rsid w:val="001B4A94"/>
    <w:rsid w:val="001B4C1B"/>
    <w:rsid w:val="001B4C29"/>
    <w:rsid w:val="001B4E26"/>
    <w:rsid w:val="001B4E44"/>
    <w:rsid w:val="001B4ED9"/>
    <w:rsid w:val="001B4F1B"/>
    <w:rsid w:val="001B5010"/>
    <w:rsid w:val="001B50B4"/>
    <w:rsid w:val="001B5137"/>
    <w:rsid w:val="001B51E5"/>
    <w:rsid w:val="001B5200"/>
    <w:rsid w:val="001B5256"/>
    <w:rsid w:val="001B526C"/>
    <w:rsid w:val="001B52CF"/>
    <w:rsid w:val="001B5309"/>
    <w:rsid w:val="001B5350"/>
    <w:rsid w:val="001B53AB"/>
    <w:rsid w:val="001B56F3"/>
    <w:rsid w:val="001B56F8"/>
    <w:rsid w:val="001B571F"/>
    <w:rsid w:val="001B58C3"/>
    <w:rsid w:val="001B5999"/>
    <w:rsid w:val="001B599D"/>
    <w:rsid w:val="001B5AF2"/>
    <w:rsid w:val="001B5B40"/>
    <w:rsid w:val="001B5D7A"/>
    <w:rsid w:val="001B5DF9"/>
    <w:rsid w:val="001B6002"/>
    <w:rsid w:val="001B60A0"/>
    <w:rsid w:val="001B6123"/>
    <w:rsid w:val="001B6166"/>
    <w:rsid w:val="001B61A6"/>
    <w:rsid w:val="001B61EE"/>
    <w:rsid w:val="001B62AE"/>
    <w:rsid w:val="001B6399"/>
    <w:rsid w:val="001B6499"/>
    <w:rsid w:val="001B652D"/>
    <w:rsid w:val="001B6581"/>
    <w:rsid w:val="001B65E3"/>
    <w:rsid w:val="001B65FB"/>
    <w:rsid w:val="001B661E"/>
    <w:rsid w:val="001B6691"/>
    <w:rsid w:val="001B66F9"/>
    <w:rsid w:val="001B67A9"/>
    <w:rsid w:val="001B68B4"/>
    <w:rsid w:val="001B68C3"/>
    <w:rsid w:val="001B6964"/>
    <w:rsid w:val="001B699C"/>
    <w:rsid w:val="001B6A24"/>
    <w:rsid w:val="001B6A51"/>
    <w:rsid w:val="001B6D5A"/>
    <w:rsid w:val="001B6E30"/>
    <w:rsid w:val="001B6FE5"/>
    <w:rsid w:val="001B6FF5"/>
    <w:rsid w:val="001B70A2"/>
    <w:rsid w:val="001B7179"/>
    <w:rsid w:val="001B7189"/>
    <w:rsid w:val="001B723D"/>
    <w:rsid w:val="001B7305"/>
    <w:rsid w:val="001B7311"/>
    <w:rsid w:val="001B73A7"/>
    <w:rsid w:val="001B7451"/>
    <w:rsid w:val="001B754B"/>
    <w:rsid w:val="001B758F"/>
    <w:rsid w:val="001B7597"/>
    <w:rsid w:val="001B763F"/>
    <w:rsid w:val="001B76C7"/>
    <w:rsid w:val="001B76E3"/>
    <w:rsid w:val="001B76EC"/>
    <w:rsid w:val="001B770B"/>
    <w:rsid w:val="001B7710"/>
    <w:rsid w:val="001B775C"/>
    <w:rsid w:val="001B776A"/>
    <w:rsid w:val="001B781B"/>
    <w:rsid w:val="001B7950"/>
    <w:rsid w:val="001B7951"/>
    <w:rsid w:val="001B7966"/>
    <w:rsid w:val="001B7A2F"/>
    <w:rsid w:val="001B7A3F"/>
    <w:rsid w:val="001B7AD0"/>
    <w:rsid w:val="001B7BAB"/>
    <w:rsid w:val="001B7C77"/>
    <w:rsid w:val="001B7D61"/>
    <w:rsid w:val="001B7D91"/>
    <w:rsid w:val="001B7DAE"/>
    <w:rsid w:val="001B7EC5"/>
    <w:rsid w:val="001B7FAF"/>
    <w:rsid w:val="001C0042"/>
    <w:rsid w:val="001C006C"/>
    <w:rsid w:val="001C0126"/>
    <w:rsid w:val="001C0179"/>
    <w:rsid w:val="001C01EB"/>
    <w:rsid w:val="001C0258"/>
    <w:rsid w:val="001C02B6"/>
    <w:rsid w:val="001C02EC"/>
    <w:rsid w:val="001C03E0"/>
    <w:rsid w:val="001C0421"/>
    <w:rsid w:val="001C0430"/>
    <w:rsid w:val="001C045B"/>
    <w:rsid w:val="001C04E8"/>
    <w:rsid w:val="001C0556"/>
    <w:rsid w:val="001C0628"/>
    <w:rsid w:val="001C07AE"/>
    <w:rsid w:val="001C08C2"/>
    <w:rsid w:val="001C0914"/>
    <w:rsid w:val="001C09D9"/>
    <w:rsid w:val="001C09F1"/>
    <w:rsid w:val="001C0A07"/>
    <w:rsid w:val="001C0AC3"/>
    <w:rsid w:val="001C0B17"/>
    <w:rsid w:val="001C0BCC"/>
    <w:rsid w:val="001C0D2B"/>
    <w:rsid w:val="001C0D72"/>
    <w:rsid w:val="001C1026"/>
    <w:rsid w:val="001C1175"/>
    <w:rsid w:val="001C119A"/>
    <w:rsid w:val="001C12BB"/>
    <w:rsid w:val="001C1323"/>
    <w:rsid w:val="001C1377"/>
    <w:rsid w:val="001C1405"/>
    <w:rsid w:val="001C1408"/>
    <w:rsid w:val="001C1447"/>
    <w:rsid w:val="001C145E"/>
    <w:rsid w:val="001C14E8"/>
    <w:rsid w:val="001C1509"/>
    <w:rsid w:val="001C16CA"/>
    <w:rsid w:val="001C1794"/>
    <w:rsid w:val="001C17C9"/>
    <w:rsid w:val="001C18E9"/>
    <w:rsid w:val="001C1958"/>
    <w:rsid w:val="001C19C6"/>
    <w:rsid w:val="001C1A8A"/>
    <w:rsid w:val="001C1CCE"/>
    <w:rsid w:val="001C1D9E"/>
    <w:rsid w:val="001C1E68"/>
    <w:rsid w:val="001C1ECF"/>
    <w:rsid w:val="001C1ED2"/>
    <w:rsid w:val="001C1F64"/>
    <w:rsid w:val="001C1FA4"/>
    <w:rsid w:val="001C1FC2"/>
    <w:rsid w:val="001C219F"/>
    <w:rsid w:val="001C22E6"/>
    <w:rsid w:val="001C23AF"/>
    <w:rsid w:val="001C2482"/>
    <w:rsid w:val="001C2524"/>
    <w:rsid w:val="001C2537"/>
    <w:rsid w:val="001C2603"/>
    <w:rsid w:val="001C2667"/>
    <w:rsid w:val="001C26E4"/>
    <w:rsid w:val="001C26ED"/>
    <w:rsid w:val="001C2801"/>
    <w:rsid w:val="001C281F"/>
    <w:rsid w:val="001C28F3"/>
    <w:rsid w:val="001C2959"/>
    <w:rsid w:val="001C2A91"/>
    <w:rsid w:val="001C2B38"/>
    <w:rsid w:val="001C2C36"/>
    <w:rsid w:val="001C2D9C"/>
    <w:rsid w:val="001C2F2B"/>
    <w:rsid w:val="001C3029"/>
    <w:rsid w:val="001C30B9"/>
    <w:rsid w:val="001C30C8"/>
    <w:rsid w:val="001C3145"/>
    <w:rsid w:val="001C318D"/>
    <w:rsid w:val="001C3192"/>
    <w:rsid w:val="001C31BC"/>
    <w:rsid w:val="001C31BD"/>
    <w:rsid w:val="001C32EC"/>
    <w:rsid w:val="001C3367"/>
    <w:rsid w:val="001C3495"/>
    <w:rsid w:val="001C34C2"/>
    <w:rsid w:val="001C3607"/>
    <w:rsid w:val="001C3638"/>
    <w:rsid w:val="001C3735"/>
    <w:rsid w:val="001C373B"/>
    <w:rsid w:val="001C375A"/>
    <w:rsid w:val="001C3956"/>
    <w:rsid w:val="001C3969"/>
    <w:rsid w:val="001C39F6"/>
    <w:rsid w:val="001C3B50"/>
    <w:rsid w:val="001C3B79"/>
    <w:rsid w:val="001C3BF9"/>
    <w:rsid w:val="001C3C03"/>
    <w:rsid w:val="001C3CCE"/>
    <w:rsid w:val="001C3D60"/>
    <w:rsid w:val="001C3E09"/>
    <w:rsid w:val="001C3E7B"/>
    <w:rsid w:val="001C3E9B"/>
    <w:rsid w:val="001C3F4A"/>
    <w:rsid w:val="001C3FD1"/>
    <w:rsid w:val="001C411E"/>
    <w:rsid w:val="001C4167"/>
    <w:rsid w:val="001C41CE"/>
    <w:rsid w:val="001C425C"/>
    <w:rsid w:val="001C4260"/>
    <w:rsid w:val="001C42C1"/>
    <w:rsid w:val="001C4330"/>
    <w:rsid w:val="001C44AF"/>
    <w:rsid w:val="001C4528"/>
    <w:rsid w:val="001C460A"/>
    <w:rsid w:val="001C4696"/>
    <w:rsid w:val="001C46B4"/>
    <w:rsid w:val="001C47A1"/>
    <w:rsid w:val="001C484D"/>
    <w:rsid w:val="001C492F"/>
    <w:rsid w:val="001C4944"/>
    <w:rsid w:val="001C4954"/>
    <w:rsid w:val="001C4959"/>
    <w:rsid w:val="001C49E7"/>
    <w:rsid w:val="001C4A33"/>
    <w:rsid w:val="001C4B9E"/>
    <w:rsid w:val="001C4CD3"/>
    <w:rsid w:val="001C4CE6"/>
    <w:rsid w:val="001C4CF8"/>
    <w:rsid w:val="001C4D22"/>
    <w:rsid w:val="001C4D59"/>
    <w:rsid w:val="001C4D6A"/>
    <w:rsid w:val="001C4FEC"/>
    <w:rsid w:val="001C504B"/>
    <w:rsid w:val="001C51CE"/>
    <w:rsid w:val="001C526F"/>
    <w:rsid w:val="001C547A"/>
    <w:rsid w:val="001C5483"/>
    <w:rsid w:val="001C54E7"/>
    <w:rsid w:val="001C5546"/>
    <w:rsid w:val="001C56E4"/>
    <w:rsid w:val="001C574E"/>
    <w:rsid w:val="001C58A6"/>
    <w:rsid w:val="001C590C"/>
    <w:rsid w:val="001C5963"/>
    <w:rsid w:val="001C5A5B"/>
    <w:rsid w:val="001C5AAC"/>
    <w:rsid w:val="001C5B15"/>
    <w:rsid w:val="001C5C1F"/>
    <w:rsid w:val="001C5C6F"/>
    <w:rsid w:val="001C5D79"/>
    <w:rsid w:val="001C5D8A"/>
    <w:rsid w:val="001C5F63"/>
    <w:rsid w:val="001C5FB2"/>
    <w:rsid w:val="001C61FD"/>
    <w:rsid w:val="001C621A"/>
    <w:rsid w:val="001C627C"/>
    <w:rsid w:val="001C6300"/>
    <w:rsid w:val="001C6355"/>
    <w:rsid w:val="001C6430"/>
    <w:rsid w:val="001C64CE"/>
    <w:rsid w:val="001C65CD"/>
    <w:rsid w:val="001C6779"/>
    <w:rsid w:val="001C6785"/>
    <w:rsid w:val="001C680D"/>
    <w:rsid w:val="001C6A16"/>
    <w:rsid w:val="001C6AC8"/>
    <w:rsid w:val="001C6AD4"/>
    <w:rsid w:val="001C6ADB"/>
    <w:rsid w:val="001C6BE9"/>
    <w:rsid w:val="001C6C59"/>
    <w:rsid w:val="001C6C6C"/>
    <w:rsid w:val="001C6D47"/>
    <w:rsid w:val="001C6E08"/>
    <w:rsid w:val="001C6ED3"/>
    <w:rsid w:val="001C6F04"/>
    <w:rsid w:val="001C6F09"/>
    <w:rsid w:val="001C6F8A"/>
    <w:rsid w:val="001C6FE1"/>
    <w:rsid w:val="001C719C"/>
    <w:rsid w:val="001C7210"/>
    <w:rsid w:val="001C724F"/>
    <w:rsid w:val="001C75B3"/>
    <w:rsid w:val="001C76BE"/>
    <w:rsid w:val="001C775E"/>
    <w:rsid w:val="001C7810"/>
    <w:rsid w:val="001C7855"/>
    <w:rsid w:val="001C786D"/>
    <w:rsid w:val="001C78BC"/>
    <w:rsid w:val="001C794A"/>
    <w:rsid w:val="001C7A62"/>
    <w:rsid w:val="001C7B1F"/>
    <w:rsid w:val="001C7B25"/>
    <w:rsid w:val="001C7B3C"/>
    <w:rsid w:val="001C7B88"/>
    <w:rsid w:val="001C7B8C"/>
    <w:rsid w:val="001C7C96"/>
    <w:rsid w:val="001C7C9E"/>
    <w:rsid w:val="001C7D2F"/>
    <w:rsid w:val="001C7DD0"/>
    <w:rsid w:val="001C7E3E"/>
    <w:rsid w:val="001C7E41"/>
    <w:rsid w:val="001C7F09"/>
    <w:rsid w:val="001C7F15"/>
    <w:rsid w:val="001C7FB3"/>
    <w:rsid w:val="001C7FF1"/>
    <w:rsid w:val="001D00E4"/>
    <w:rsid w:val="001D0185"/>
    <w:rsid w:val="001D01EA"/>
    <w:rsid w:val="001D0328"/>
    <w:rsid w:val="001D03EC"/>
    <w:rsid w:val="001D0411"/>
    <w:rsid w:val="001D05C1"/>
    <w:rsid w:val="001D05CC"/>
    <w:rsid w:val="001D0641"/>
    <w:rsid w:val="001D07A0"/>
    <w:rsid w:val="001D07DC"/>
    <w:rsid w:val="001D0892"/>
    <w:rsid w:val="001D08ED"/>
    <w:rsid w:val="001D0942"/>
    <w:rsid w:val="001D0967"/>
    <w:rsid w:val="001D0A1D"/>
    <w:rsid w:val="001D0A55"/>
    <w:rsid w:val="001D0C1E"/>
    <w:rsid w:val="001D0CFF"/>
    <w:rsid w:val="001D0D62"/>
    <w:rsid w:val="001D0D8D"/>
    <w:rsid w:val="001D0DA8"/>
    <w:rsid w:val="001D129F"/>
    <w:rsid w:val="001D13A6"/>
    <w:rsid w:val="001D13EE"/>
    <w:rsid w:val="001D141C"/>
    <w:rsid w:val="001D1447"/>
    <w:rsid w:val="001D1479"/>
    <w:rsid w:val="001D1495"/>
    <w:rsid w:val="001D14D0"/>
    <w:rsid w:val="001D15A9"/>
    <w:rsid w:val="001D15D1"/>
    <w:rsid w:val="001D163A"/>
    <w:rsid w:val="001D16C2"/>
    <w:rsid w:val="001D1708"/>
    <w:rsid w:val="001D178A"/>
    <w:rsid w:val="001D17C4"/>
    <w:rsid w:val="001D18B1"/>
    <w:rsid w:val="001D1965"/>
    <w:rsid w:val="001D1A62"/>
    <w:rsid w:val="001D1AF2"/>
    <w:rsid w:val="001D1B28"/>
    <w:rsid w:val="001D1B68"/>
    <w:rsid w:val="001D1B93"/>
    <w:rsid w:val="001D1C3A"/>
    <w:rsid w:val="001D1CF4"/>
    <w:rsid w:val="001D1E99"/>
    <w:rsid w:val="001D2053"/>
    <w:rsid w:val="001D20A0"/>
    <w:rsid w:val="001D20C9"/>
    <w:rsid w:val="001D20F4"/>
    <w:rsid w:val="001D211D"/>
    <w:rsid w:val="001D21D1"/>
    <w:rsid w:val="001D21FD"/>
    <w:rsid w:val="001D2250"/>
    <w:rsid w:val="001D2361"/>
    <w:rsid w:val="001D238A"/>
    <w:rsid w:val="001D23BB"/>
    <w:rsid w:val="001D24B0"/>
    <w:rsid w:val="001D25BD"/>
    <w:rsid w:val="001D25BE"/>
    <w:rsid w:val="001D264C"/>
    <w:rsid w:val="001D2800"/>
    <w:rsid w:val="001D29D8"/>
    <w:rsid w:val="001D2AA6"/>
    <w:rsid w:val="001D2B0F"/>
    <w:rsid w:val="001D2C0C"/>
    <w:rsid w:val="001D2C67"/>
    <w:rsid w:val="001D2D3A"/>
    <w:rsid w:val="001D2D5F"/>
    <w:rsid w:val="001D2E45"/>
    <w:rsid w:val="001D2E95"/>
    <w:rsid w:val="001D2F42"/>
    <w:rsid w:val="001D2F8D"/>
    <w:rsid w:val="001D2FE9"/>
    <w:rsid w:val="001D3045"/>
    <w:rsid w:val="001D3070"/>
    <w:rsid w:val="001D3181"/>
    <w:rsid w:val="001D3331"/>
    <w:rsid w:val="001D339C"/>
    <w:rsid w:val="001D388D"/>
    <w:rsid w:val="001D3995"/>
    <w:rsid w:val="001D39DC"/>
    <w:rsid w:val="001D3A7C"/>
    <w:rsid w:val="001D3B2F"/>
    <w:rsid w:val="001D3B46"/>
    <w:rsid w:val="001D3B69"/>
    <w:rsid w:val="001D3CCA"/>
    <w:rsid w:val="001D3CE5"/>
    <w:rsid w:val="001D3CEB"/>
    <w:rsid w:val="001D3D7E"/>
    <w:rsid w:val="001D3E04"/>
    <w:rsid w:val="001D3F43"/>
    <w:rsid w:val="001D3F54"/>
    <w:rsid w:val="001D3F57"/>
    <w:rsid w:val="001D4000"/>
    <w:rsid w:val="001D4010"/>
    <w:rsid w:val="001D416C"/>
    <w:rsid w:val="001D4299"/>
    <w:rsid w:val="001D43E3"/>
    <w:rsid w:val="001D43FA"/>
    <w:rsid w:val="001D445A"/>
    <w:rsid w:val="001D4597"/>
    <w:rsid w:val="001D472A"/>
    <w:rsid w:val="001D477C"/>
    <w:rsid w:val="001D47AE"/>
    <w:rsid w:val="001D4898"/>
    <w:rsid w:val="001D48FC"/>
    <w:rsid w:val="001D49DC"/>
    <w:rsid w:val="001D4ADB"/>
    <w:rsid w:val="001D4AE9"/>
    <w:rsid w:val="001D4C49"/>
    <w:rsid w:val="001D4C92"/>
    <w:rsid w:val="001D4D01"/>
    <w:rsid w:val="001D4DA8"/>
    <w:rsid w:val="001D4DF4"/>
    <w:rsid w:val="001D4E02"/>
    <w:rsid w:val="001D4EC0"/>
    <w:rsid w:val="001D4F06"/>
    <w:rsid w:val="001D4F0F"/>
    <w:rsid w:val="001D5025"/>
    <w:rsid w:val="001D5026"/>
    <w:rsid w:val="001D5055"/>
    <w:rsid w:val="001D5065"/>
    <w:rsid w:val="001D508B"/>
    <w:rsid w:val="001D52EA"/>
    <w:rsid w:val="001D52FD"/>
    <w:rsid w:val="001D5328"/>
    <w:rsid w:val="001D5492"/>
    <w:rsid w:val="001D5689"/>
    <w:rsid w:val="001D5857"/>
    <w:rsid w:val="001D591B"/>
    <w:rsid w:val="001D5937"/>
    <w:rsid w:val="001D5B48"/>
    <w:rsid w:val="001D5B77"/>
    <w:rsid w:val="001D5CF1"/>
    <w:rsid w:val="001D5D04"/>
    <w:rsid w:val="001D5D71"/>
    <w:rsid w:val="001D5D76"/>
    <w:rsid w:val="001D5DDC"/>
    <w:rsid w:val="001D5E44"/>
    <w:rsid w:val="001D5E6E"/>
    <w:rsid w:val="001D5EC0"/>
    <w:rsid w:val="001D5F32"/>
    <w:rsid w:val="001D5F55"/>
    <w:rsid w:val="001D5F6B"/>
    <w:rsid w:val="001D5FDD"/>
    <w:rsid w:val="001D6046"/>
    <w:rsid w:val="001D60B2"/>
    <w:rsid w:val="001D6295"/>
    <w:rsid w:val="001D629A"/>
    <w:rsid w:val="001D62D9"/>
    <w:rsid w:val="001D6388"/>
    <w:rsid w:val="001D638A"/>
    <w:rsid w:val="001D63EF"/>
    <w:rsid w:val="001D66C9"/>
    <w:rsid w:val="001D672C"/>
    <w:rsid w:val="001D676C"/>
    <w:rsid w:val="001D679F"/>
    <w:rsid w:val="001D67B8"/>
    <w:rsid w:val="001D67E1"/>
    <w:rsid w:val="001D6806"/>
    <w:rsid w:val="001D6859"/>
    <w:rsid w:val="001D6996"/>
    <w:rsid w:val="001D6A5F"/>
    <w:rsid w:val="001D6A90"/>
    <w:rsid w:val="001D6AA9"/>
    <w:rsid w:val="001D6B78"/>
    <w:rsid w:val="001D6C2E"/>
    <w:rsid w:val="001D6C66"/>
    <w:rsid w:val="001D6CAC"/>
    <w:rsid w:val="001D6CF4"/>
    <w:rsid w:val="001D6D04"/>
    <w:rsid w:val="001D6DAE"/>
    <w:rsid w:val="001D6DB9"/>
    <w:rsid w:val="001D6E1A"/>
    <w:rsid w:val="001D6F09"/>
    <w:rsid w:val="001D6F96"/>
    <w:rsid w:val="001D7032"/>
    <w:rsid w:val="001D70C3"/>
    <w:rsid w:val="001D70E9"/>
    <w:rsid w:val="001D7167"/>
    <w:rsid w:val="001D7207"/>
    <w:rsid w:val="001D7267"/>
    <w:rsid w:val="001D740F"/>
    <w:rsid w:val="001D74E2"/>
    <w:rsid w:val="001D758F"/>
    <w:rsid w:val="001D762F"/>
    <w:rsid w:val="001D765E"/>
    <w:rsid w:val="001D769D"/>
    <w:rsid w:val="001D7753"/>
    <w:rsid w:val="001D783F"/>
    <w:rsid w:val="001D78E4"/>
    <w:rsid w:val="001D7946"/>
    <w:rsid w:val="001D7965"/>
    <w:rsid w:val="001D797C"/>
    <w:rsid w:val="001D79E1"/>
    <w:rsid w:val="001D7A8E"/>
    <w:rsid w:val="001D7AA8"/>
    <w:rsid w:val="001D7BBB"/>
    <w:rsid w:val="001D7BDC"/>
    <w:rsid w:val="001D7C24"/>
    <w:rsid w:val="001D7C8C"/>
    <w:rsid w:val="001D7CF1"/>
    <w:rsid w:val="001D7D7C"/>
    <w:rsid w:val="001D7DB3"/>
    <w:rsid w:val="001D7F3F"/>
    <w:rsid w:val="001D7F84"/>
    <w:rsid w:val="001E0148"/>
    <w:rsid w:val="001E0179"/>
    <w:rsid w:val="001E01CB"/>
    <w:rsid w:val="001E024C"/>
    <w:rsid w:val="001E030E"/>
    <w:rsid w:val="001E0350"/>
    <w:rsid w:val="001E0440"/>
    <w:rsid w:val="001E0458"/>
    <w:rsid w:val="001E0470"/>
    <w:rsid w:val="001E05AC"/>
    <w:rsid w:val="001E05C9"/>
    <w:rsid w:val="001E06EE"/>
    <w:rsid w:val="001E0784"/>
    <w:rsid w:val="001E0804"/>
    <w:rsid w:val="001E091A"/>
    <w:rsid w:val="001E092F"/>
    <w:rsid w:val="001E0965"/>
    <w:rsid w:val="001E0AD3"/>
    <w:rsid w:val="001E0B6A"/>
    <w:rsid w:val="001E0BBF"/>
    <w:rsid w:val="001E0C7B"/>
    <w:rsid w:val="001E0D6F"/>
    <w:rsid w:val="001E0E9F"/>
    <w:rsid w:val="001E0EF1"/>
    <w:rsid w:val="001E0F2F"/>
    <w:rsid w:val="001E1033"/>
    <w:rsid w:val="001E1258"/>
    <w:rsid w:val="001E1297"/>
    <w:rsid w:val="001E12CE"/>
    <w:rsid w:val="001E12F2"/>
    <w:rsid w:val="001E133D"/>
    <w:rsid w:val="001E1406"/>
    <w:rsid w:val="001E14EC"/>
    <w:rsid w:val="001E155E"/>
    <w:rsid w:val="001E1560"/>
    <w:rsid w:val="001E15DE"/>
    <w:rsid w:val="001E16F0"/>
    <w:rsid w:val="001E16F7"/>
    <w:rsid w:val="001E18B7"/>
    <w:rsid w:val="001E1993"/>
    <w:rsid w:val="001E19E5"/>
    <w:rsid w:val="001E1A31"/>
    <w:rsid w:val="001E1A82"/>
    <w:rsid w:val="001E1BDD"/>
    <w:rsid w:val="001E1C45"/>
    <w:rsid w:val="001E1CAA"/>
    <w:rsid w:val="001E1E00"/>
    <w:rsid w:val="001E1E1F"/>
    <w:rsid w:val="001E1F31"/>
    <w:rsid w:val="001E1F55"/>
    <w:rsid w:val="001E2059"/>
    <w:rsid w:val="001E2075"/>
    <w:rsid w:val="001E2348"/>
    <w:rsid w:val="001E2412"/>
    <w:rsid w:val="001E24C8"/>
    <w:rsid w:val="001E253B"/>
    <w:rsid w:val="001E2575"/>
    <w:rsid w:val="001E2635"/>
    <w:rsid w:val="001E26B8"/>
    <w:rsid w:val="001E2837"/>
    <w:rsid w:val="001E28A1"/>
    <w:rsid w:val="001E28EC"/>
    <w:rsid w:val="001E2981"/>
    <w:rsid w:val="001E29BF"/>
    <w:rsid w:val="001E2A4D"/>
    <w:rsid w:val="001E2B21"/>
    <w:rsid w:val="001E2B3B"/>
    <w:rsid w:val="001E2D28"/>
    <w:rsid w:val="001E2D72"/>
    <w:rsid w:val="001E2E3B"/>
    <w:rsid w:val="001E2F09"/>
    <w:rsid w:val="001E2F81"/>
    <w:rsid w:val="001E3002"/>
    <w:rsid w:val="001E3054"/>
    <w:rsid w:val="001E306F"/>
    <w:rsid w:val="001E3085"/>
    <w:rsid w:val="001E30BB"/>
    <w:rsid w:val="001E30E7"/>
    <w:rsid w:val="001E3170"/>
    <w:rsid w:val="001E328D"/>
    <w:rsid w:val="001E32EF"/>
    <w:rsid w:val="001E339D"/>
    <w:rsid w:val="001E33AC"/>
    <w:rsid w:val="001E36A0"/>
    <w:rsid w:val="001E36CA"/>
    <w:rsid w:val="001E3785"/>
    <w:rsid w:val="001E3836"/>
    <w:rsid w:val="001E3872"/>
    <w:rsid w:val="001E3894"/>
    <w:rsid w:val="001E3944"/>
    <w:rsid w:val="001E3945"/>
    <w:rsid w:val="001E396B"/>
    <w:rsid w:val="001E3A0B"/>
    <w:rsid w:val="001E3A85"/>
    <w:rsid w:val="001E3B18"/>
    <w:rsid w:val="001E3BFF"/>
    <w:rsid w:val="001E3C39"/>
    <w:rsid w:val="001E3C5C"/>
    <w:rsid w:val="001E3CEC"/>
    <w:rsid w:val="001E3D23"/>
    <w:rsid w:val="001E3DB6"/>
    <w:rsid w:val="001E3DC4"/>
    <w:rsid w:val="001E3E39"/>
    <w:rsid w:val="001E3EAE"/>
    <w:rsid w:val="001E3F19"/>
    <w:rsid w:val="001E3FEB"/>
    <w:rsid w:val="001E40C1"/>
    <w:rsid w:val="001E40D3"/>
    <w:rsid w:val="001E4152"/>
    <w:rsid w:val="001E41BE"/>
    <w:rsid w:val="001E421A"/>
    <w:rsid w:val="001E42B4"/>
    <w:rsid w:val="001E4358"/>
    <w:rsid w:val="001E4543"/>
    <w:rsid w:val="001E45BF"/>
    <w:rsid w:val="001E45D5"/>
    <w:rsid w:val="001E4874"/>
    <w:rsid w:val="001E48A6"/>
    <w:rsid w:val="001E48D6"/>
    <w:rsid w:val="001E4A4C"/>
    <w:rsid w:val="001E4A50"/>
    <w:rsid w:val="001E4AB6"/>
    <w:rsid w:val="001E4B01"/>
    <w:rsid w:val="001E4B8A"/>
    <w:rsid w:val="001E4BCB"/>
    <w:rsid w:val="001E4C29"/>
    <w:rsid w:val="001E4C86"/>
    <w:rsid w:val="001E4D19"/>
    <w:rsid w:val="001E4FA8"/>
    <w:rsid w:val="001E510B"/>
    <w:rsid w:val="001E52A7"/>
    <w:rsid w:val="001E5385"/>
    <w:rsid w:val="001E53F0"/>
    <w:rsid w:val="001E5463"/>
    <w:rsid w:val="001E5490"/>
    <w:rsid w:val="001E5545"/>
    <w:rsid w:val="001E55A3"/>
    <w:rsid w:val="001E5822"/>
    <w:rsid w:val="001E586C"/>
    <w:rsid w:val="001E58F5"/>
    <w:rsid w:val="001E5921"/>
    <w:rsid w:val="001E5BF2"/>
    <w:rsid w:val="001E5D24"/>
    <w:rsid w:val="001E5D81"/>
    <w:rsid w:val="001E5F24"/>
    <w:rsid w:val="001E60E1"/>
    <w:rsid w:val="001E6200"/>
    <w:rsid w:val="001E6276"/>
    <w:rsid w:val="001E63A3"/>
    <w:rsid w:val="001E6502"/>
    <w:rsid w:val="001E65DE"/>
    <w:rsid w:val="001E66BC"/>
    <w:rsid w:val="001E676C"/>
    <w:rsid w:val="001E67E7"/>
    <w:rsid w:val="001E682A"/>
    <w:rsid w:val="001E6855"/>
    <w:rsid w:val="001E686D"/>
    <w:rsid w:val="001E68DC"/>
    <w:rsid w:val="001E68EF"/>
    <w:rsid w:val="001E6A82"/>
    <w:rsid w:val="001E6C2C"/>
    <w:rsid w:val="001E6C43"/>
    <w:rsid w:val="001E6C4D"/>
    <w:rsid w:val="001E6D24"/>
    <w:rsid w:val="001E6D3A"/>
    <w:rsid w:val="001E6F58"/>
    <w:rsid w:val="001E6F88"/>
    <w:rsid w:val="001E70C5"/>
    <w:rsid w:val="001E7108"/>
    <w:rsid w:val="001E72E1"/>
    <w:rsid w:val="001E733E"/>
    <w:rsid w:val="001E742F"/>
    <w:rsid w:val="001E7441"/>
    <w:rsid w:val="001E7472"/>
    <w:rsid w:val="001E75F6"/>
    <w:rsid w:val="001E7619"/>
    <w:rsid w:val="001E7645"/>
    <w:rsid w:val="001E76C6"/>
    <w:rsid w:val="001E7735"/>
    <w:rsid w:val="001E77BE"/>
    <w:rsid w:val="001E77BF"/>
    <w:rsid w:val="001E7825"/>
    <w:rsid w:val="001E79C8"/>
    <w:rsid w:val="001E79CA"/>
    <w:rsid w:val="001E7A77"/>
    <w:rsid w:val="001E7C47"/>
    <w:rsid w:val="001E7CBA"/>
    <w:rsid w:val="001E7D5F"/>
    <w:rsid w:val="001E7D79"/>
    <w:rsid w:val="001E7E65"/>
    <w:rsid w:val="001E7E72"/>
    <w:rsid w:val="001E7F62"/>
    <w:rsid w:val="001E7F89"/>
    <w:rsid w:val="001F0112"/>
    <w:rsid w:val="001F01FD"/>
    <w:rsid w:val="001F02A9"/>
    <w:rsid w:val="001F034D"/>
    <w:rsid w:val="001F0380"/>
    <w:rsid w:val="001F0431"/>
    <w:rsid w:val="001F04C7"/>
    <w:rsid w:val="001F0572"/>
    <w:rsid w:val="001F0731"/>
    <w:rsid w:val="001F0750"/>
    <w:rsid w:val="001F08A3"/>
    <w:rsid w:val="001F08DA"/>
    <w:rsid w:val="001F09C9"/>
    <w:rsid w:val="001F0A1C"/>
    <w:rsid w:val="001F0B4B"/>
    <w:rsid w:val="001F0D11"/>
    <w:rsid w:val="001F0D65"/>
    <w:rsid w:val="001F0E13"/>
    <w:rsid w:val="001F0E2F"/>
    <w:rsid w:val="001F0E5B"/>
    <w:rsid w:val="001F0E6A"/>
    <w:rsid w:val="001F0E89"/>
    <w:rsid w:val="001F0FF2"/>
    <w:rsid w:val="001F10B3"/>
    <w:rsid w:val="001F10ED"/>
    <w:rsid w:val="001F12FE"/>
    <w:rsid w:val="001F1386"/>
    <w:rsid w:val="001F13BF"/>
    <w:rsid w:val="001F149B"/>
    <w:rsid w:val="001F15BD"/>
    <w:rsid w:val="001F1785"/>
    <w:rsid w:val="001F1831"/>
    <w:rsid w:val="001F1899"/>
    <w:rsid w:val="001F18EF"/>
    <w:rsid w:val="001F1917"/>
    <w:rsid w:val="001F1AA5"/>
    <w:rsid w:val="001F1C13"/>
    <w:rsid w:val="001F1C62"/>
    <w:rsid w:val="001F1C99"/>
    <w:rsid w:val="001F1CEA"/>
    <w:rsid w:val="001F1D46"/>
    <w:rsid w:val="001F1DAF"/>
    <w:rsid w:val="001F1DD7"/>
    <w:rsid w:val="001F2055"/>
    <w:rsid w:val="001F209C"/>
    <w:rsid w:val="001F20B3"/>
    <w:rsid w:val="001F20B4"/>
    <w:rsid w:val="001F21E4"/>
    <w:rsid w:val="001F21FE"/>
    <w:rsid w:val="001F2268"/>
    <w:rsid w:val="001F2276"/>
    <w:rsid w:val="001F2372"/>
    <w:rsid w:val="001F24DE"/>
    <w:rsid w:val="001F25BA"/>
    <w:rsid w:val="001F25F0"/>
    <w:rsid w:val="001F2666"/>
    <w:rsid w:val="001F26BF"/>
    <w:rsid w:val="001F26C7"/>
    <w:rsid w:val="001F28A8"/>
    <w:rsid w:val="001F298F"/>
    <w:rsid w:val="001F29A4"/>
    <w:rsid w:val="001F29F0"/>
    <w:rsid w:val="001F2A0A"/>
    <w:rsid w:val="001F2A0D"/>
    <w:rsid w:val="001F2A31"/>
    <w:rsid w:val="001F2B27"/>
    <w:rsid w:val="001F2B91"/>
    <w:rsid w:val="001F2BE6"/>
    <w:rsid w:val="001F2C24"/>
    <w:rsid w:val="001F2D25"/>
    <w:rsid w:val="001F2DBF"/>
    <w:rsid w:val="001F2DCB"/>
    <w:rsid w:val="001F2E61"/>
    <w:rsid w:val="001F2E91"/>
    <w:rsid w:val="001F3049"/>
    <w:rsid w:val="001F3079"/>
    <w:rsid w:val="001F30A3"/>
    <w:rsid w:val="001F30C6"/>
    <w:rsid w:val="001F3187"/>
    <w:rsid w:val="001F31C3"/>
    <w:rsid w:val="001F3320"/>
    <w:rsid w:val="001F3357"/>
    <w:rsid w:val="001F3414"/>
    <w:rsid w:val="001F3516"/>
    <w:rsid w:val="001F3686"/>
    <w:rsid w:val="001F36AD"/>
    <w:rsid w:val="001F36C9"/>
    <w:rsid w:val="001F3781"/>
    <w:rsid w:val="001F38DB"/>
    <w:rsid w:val="001F3BE1"/>
    <w:rsid w:val="001F3C4E"/>
    <w:rsid w:val="001F3CEF"/>
    <w:rsid w:val="001F3D11"/>
    <w:rsid w:val="001F3DEC"/>
    <w:rsid w:val="001F3EE7"/>
    <w:rsid w:val="001F3F8A"/>
    <w:rsid w:val="001F3F98"/>
    <w:rsid w:val="001F4034"/>
    <w:rsid w:val="001F407D"/>
    <w:rsid w:val="001F40C3"/>
    <w:rsid w:val="001F4118"/>
    <w:rsid w:val="001F414A"/>
    <w:rsid w:val="001F416B"/>
    <w:rsid w:val="001F431E"/>
    <w:rsid w:val="001F437F"/>
    <w:rsid w:val="001F43A0"/>
    <w:rsid w:val="001F442B"/>
    <w:rsid w:val="001F4448"/>
    <w:rsid w:val="001F4522"/>
    <w:rsid w:val="001F455E"/>
    <w:rsid w:val="001F4711"/>
    <w:rsid w:val="001F4733"/>
    <w:rsid w:val="001F4786"/>
    <w:rsid w:val="001F4791"/>
    <w:rsid w:val="001F49CE"/>
    <w:rsid w:val="001F4AEE"/>
    <w:rsid w:val="001F4B53"/>
    <w:rsid w:val="001F4C7D"/>
    <w:rsid w:val="001F4D47"/>
    <w:rsid w:val="001F4F2A"/>
    <w:rsid w:val="001F5045"/>
    <w:rsid w:val="001F5051"/>
    <w:rsid w:val="001F5155"/>
    <w:rsid w:val="001F5172"/>
    <w:rsid w:val="001F52A1"/>
    <w:rsid w:val="001F5317"/>
    <w:rsid w:val="001F53AC"/>
    <w:rsid w:val="001F53DA"/>
    <w:rsid w:val="001F54C2"/>
    <w:rsid w:val="001F5569"/>
    <w:rsid w:val="001F557C"/>
    <w:rsid w:val="001F5643"/>
    <w:rsid w:val="001F5666"/>
    <w:rsid w:val="001F567A"/>
    <w:rsid w:val="001F574A"/>
    <w:rsid w:val="001F57DF"/>
    <w:rsid w:val="001F5842"/>
    <w:rsid w:val="001F589E"/>
    <w:rsid w:val="001F58F9"/>
    <w:rsid w:val="001F59F2"/>
    <w:rsid w:val="001F5A44"/>
    <w:rsid w:val="001F5A51"/>
    <w:rsid w:val="001F5A9D"/>
    <w:rsid w:val="001F5AED"/>
    <w:rsid w:val="001F5B0C"/>
    <w:rsid w:val="001F5B74"/>
    <w:rsid w:val="001F5D7A"/>
    <w:rsid w:val="001F5E71"/>
    <w:rsid w:val="001F5F8A"/>
    <w:rsid w:val="001F6048"/>
    <w:rsid w:val="001F6091"/>
    <w:rsid w:val="001F61D7"/>
    <w:rsid w:val="001F626F"/>
    <w:rsid w:val="001F62A0"/>
    <w:rsid w:val="001F62B8"/>
    <w:rsid w:val="001F642C"/>
    <w:rsid w:val="001F6471"/>
    <w:rsid w:val="001F64BF"/>
    <w:rsid w:val="001F657E"/>
    <w:rsid w:val="001F6649"/>
    <w:rsid w:val="001F67F3"/>
    <w:rsid w:val="001F6898"/>
    <w:rsid w:val="001F69F4"/>
    <w:rsid w:val="001F6A5B"/>
    <w:rsid w:val="001F6A82"/>
    <w:rsid w:val="001F6B22"/>
    <w:rsid w:val="001F6B70"/>
    <w:rsid w:val="001F6BB0"/>
    <w:rsid w:val="001F6C58"/>
    <w:rsid w:val="001F6CBB"/>
    <w:rsid w:val="001F6DB2"/>
    <w:rsid w:val="001F6E05"/>
    <w:rsid w:val="001F6E76"/>
    <w:rsid w:val="001F6EE6"/>
    <w:rsid w:val="001F6FD5"/>
    <w:rsid w:val="001F7012"/>
    <w:rsid w:val="001F70D4"/>
    <w:rsid w:val="001F7106"/>
    <w:rsid w:val="001F7144"/>
    <w:rsid w:val="001F72FD"/>
    <w:rsid w:val="001F7333"/>
    <w:rsid w:val="001F7345"/>
    <w:rsid w:val="001F736A"/>
    <w:rsid w:val="001F73BA"/>
    <w:rsid w:val="001F73CB"/>
    <w:rsid w:val="001F75EA"/>
    <w:rsid w:val="001F75FB"/>
    <w:rsid w:val="001F7749"/>
    <w:rsid w:val="001F7818"/>
    <w:rsid w:val="001F78FC"/>
    <w:rsid w:val="001F7998"/>
    <w:rsid w:val="001F7B73"/>
    <w:rsid w:val="001F7B78"/>
    <w:rsid w:val="001F7C34"/>
    <w:rsid w:val="001F7E63"/>
    <w:rsid w:val="00200010"/>
    <w:rsid w:val="0020005D"/>
    <w:rsid w:val="00200135"/>
    <w:rsid w:val="0020015E"/>
    <w:rsid w:val="002001E7"/>
    <w:rsid w:val="0020038F"/>
    <w:rsid w:val="00200465"/>
    <w:rsid w:val="00200492"/>
    <w:rsid w:val="002005C4"/>
    <w:rsid w:val="002005E3"/>
    <w:rsid w:val="0020066B"/>
    <w:rsid w:val="0020070B"/>
    <w:rsid w:val="00200727"/>
    <w:rsid w:val="00200774"/>
    <w:rsid w:val="00200823"/>
    <w:rsid w:val="002008A7"/>
    <w:rsid w:val="002008FA"/>
    <w:rsid w:val="00200B00"/>
    <w:rsid w:val="00200B79"/>
    <w:rsid w:val="00200C73"/>
    <w:rsid w:val="00200C97"/>
    <w:rsid w:val="00200D63"/>
    <w:rsid w:val="00200E35"/>
    <w:rsid w:val="00200EE7"/>
    <w:rsid w:val="002010C9"/>
    <w:rsid w:val="0020110F"/>
    <w:rsid w:val="00201119"/>
    <w:rsid w:val="00201291"/>
    <w:rsid w:val="00201299"/>
    <w:rsid w:val="002014A5"/>
    <w:rsid w:val="0020175E"/>
    <w:rsid w:val="0020178E"/>
    <w:rsid w:val="002017E0"/>
    <w:rsid w:val="00201835"/>
    <w:rsid w:val="002019FD"/>
    <w:rsid w:val="00201AEC"/>
    <w:rsid w:val="00201B62"/>
    <w:rsid w:val="00201B79"/>
    <w:rsid w:val="00201BF1"/>
    <w:rsid w:val="00201C9E"/>
    <w:rsid w:val="00201DE9"/>
    <w:rsid w:val="00201DED"/>
    <w:rsid w:val="00201E4E"/>
    <w:rsid w:val="00202011"/>
    <w:rsid w:val="002020F0"/>
    <w:rsid w:val="0020210E"/>
    <w:rsid w:val="002022BD"/>
    <w:rsid w:val="00202318"/>
    <w:rsid w:val="0020234D"/>
    <w:rsid w:val="002023C6"/>
    <w:rsid w:val="002023D6"/>
    <w:rsid w:val="00202418"/>
    <w:rsid w:val="0020247C"/>
    <w:rsid w:val="00202519"/>
    <w:rsid w:val="002025A1"/>
    <w:rsid w:val="00202704"/>
    <w:rsid w:val="00202825"/>
    <w:rsid w:val="00202871"/>
    <w:rsid w:val="002028B5"/>
    <w:rsid w:val="00202A20"/>
    <w:rsid w:val="00202AFA"/>
    <w:rsid w:val="00202BF8"/>
    <w:rsid w:val="00202C6D"/>
    <w:rsid w:val="00202CA8"/>
    <w:rsid w:val="00202CC9"/>
    <w:rsid w:val="00202DB4"/>
    <w:rsid w:val="00202E24"/>
    <w:rsid w:val="00202E4C"/>
    <w:rsid w:val="00202F6F"/>
    <w:rsid w:val="0020309F"/>
    <w:rsid w:val="00203169"/>
    <w:rsid w:val="002031DE"/>
    <w:rsid w:val="002031EE"/>
    <w:rsid w:val="0020321C"/>
    <w:rsid w:val="0020331C"/>
    <w:rsid w:val="002034E9"/>
    <w:rsid w:val="0020359C"/>
    <w:rsid w:val="002035EE"/>
    <w:rsid w:val="0020364E"/>
    <w:rsid w:val="002037B6"/>
    <w:rsid w:val="0020380F"/>
    <w:rsid w:val="002038CC"/>
    <w:rsid w:val="00203913"/>
    <w:rsid w:val="00203978"/>
    <w:rsid w:val="0020397D"/>
    <w:rsid w:val="002039D1"/>
    <w:rsid w:val="00203B5B"/>
    <w:rsid w:val="00203C47"/>
    <w:rsid w:val="00203CBE"/>
    <w:rsid w:val="00203CED"/>
    <w:rsid w:val="00203DFE"/>
    <w:rsid w:val="00203FCA"/>
    <w:rsid w:val="00203FF4"/>
    <w:rsid w:val="0020401E"/>
    <w:rsid w:val="00204109"/>
    <w:rsid w:val="00204129"/>
    <w:rsid w:val="00204171"/>
    <w:rsid w:val="002041AF"/>
    <w:rsid w:val="002044E3"/>
    <w:rsid w:val="0020452E"/>
    <w:rsid w:val="0020455D"/>
    <w:rsid w:val="002045B1"/>
    <w:rsid w:val="00204699"/>
    <w:rsid w:val="002046BD"/>
    <w:rsid w:val="0020483B"/>
    <w:rsid w:val="00204866"/>
    <w:rsid w:val="0020497D"/>
    <w:rsid w:val="00204BA3"/>
    <w:rsid w:val="00204CAA"/>
    <w:rsid w:val="00204D08"/>
    <w:rsid w:val="00204D21"/>
    <w:rsid w:val="00204DCB"/>
    <w:rsid w:val="00204E78"/>
    <w:rsid w:val="00204EFA"/>
    <w:rsid w:val="0020507E"/>
    <w:rsid w:val="002050C6"/>
    <w:rsid w:val="002051F9"/>
    <w:rsid w:val="00205292"/>
    <w:rsid w:val="002052CA"/>
    <w:rsid w:val="00205410"/>
    <w:rsid w:val="0020544E"/>
    <w:rsid w:val="002054B2"/>
    <w:rsid w:val="002054E7"/>
    <w:rsid w:val="00205506"/>
    <w:rsid w:val="002055C3"/>
    <w:rsid w:val="0020568C"/>
    <w:rsid w:val="0020570D"/>
    <w:rsid w:val="0020572A"/>
    <w:rsid w:val="0020574A"/>
    <w:rsid w:val="0020574F"/>
    <w:rsid w:val="0020584C"/>
    <w:rsid w:val="00205A29"/>
    <w:rsid w:val="00205AD9"/>
    <w:rsid w:val="00205C0B"/>
    <w:rsid w:val="00205C1C"/>
    <w:rsid w:val="00205C5C"/>
    <w:rsid w:val="00205C61"/>
    <w:rsid w:val="00205CB9"/>
    <w:rsid w:val="00205D34"/>
    <w:rsid w:val="00205E1F"/>
    <w:rsid w:val="00205E2F"/>
    <w:rsid w:val="00205EE9"/>
    <w:rsid w:val="002060BD"/>
    <w:rsid w:val="002060CF"/>
    <w:rsid w:val="002065BC"/>
    <w:rsid w:val="00206686"/>
    <w:rsid w:val="0020677C"/>
    <w:rsid w:val="0020679B"/>
    <w:rsid w:val="00206836"/>
    <w:rsid w:val="0020689F"/>
    <w:rsid w:val="002068E2"/>
    <w:rsid w:val="0020691C"/>
    <w:rsid w:val="00206980"/>
    <w:rsid w:val="00206B54"/>
    <w:rsid w:val="00206C50"/>
    <w:rsid w:val="00206C89"/>
    <w:rsid w:val="00206D12"/>
    <w:rsid w:val="00206D86"/>
    <w:rsid w:val="00206E58"/>
    <w:rsid w:val="0020701C"/>
    <w:rsid w:val="0020705A"/>
    <w:rsid w:val="0020713F"/>
    <w:rsid w:val="002071E4"/>
    <w:rsid w:val="00207421"/>
    <w:rsid w:val="00207452"/>
    <w:rsid w:val="00207546"/>
    <w:rsid w:val="0020754B"/>
    <w:rsid w:val="00207565"/>
    <w:rsid w:val="002075A7"/>
    <w:rsid w:val="002075B3"/>
    <w:rsid w:val="00207749"/>
    <w:rsid w:val="002077DB"/>
    <w:rsid w:val="00207823"/>
    <w:rsid w:val="0020784B"/>
    <w:rsid w:val="00207AE7"/>
    <w:rsid w:val="00207B5B"/>
    <w:rsid w:val="00207B70"/>
    <w:rsid w:val="00207C73"/>
    <w:rsid w:val="00207CC4"/>
    <w:rsid w:val="00207D80"/>
    <w:rsid w:val="00207F1E"/>
    <w:rsid w:val="00210066"/>
    <w:rsid w:val="00210084"/>
    <w:rsid w:val="00210096"/>
    <w:rsid w:val="0021009D"/>
    <w:rsid w:val="0021019A"/>
    <w:rsid w:val="00210284"/>
    <w:rsid w:val="002102E7"/>
    <w:rsid w:val="0021044B"/>
    <w:rsid w:val="0021045A"/>
    <w:rsid w:val="0021048E"/>
    <w:rsid w:val="0021056B"/>
    <w:rsid w:val="00210581"/>
    <w:rsid w:val="0021061C"/>
    <w:rsid w:val="002106BC"/>
    <w:rsid w:val="002106E9"/>
    <w:rsid w:val="00210724"/>
    <w:rsid w:val="00210761"/>
    <w:rsid w:val="00210773"/>
    <w:rsid w:val="002108B2"/>
    <w:rsid w:val="002108C1"/>
    <w:rsid w:val="002108C5"/>
    <w:rsid w:val="002108F2"/>
    <w:rsid w:val="0021097A"/>
    <w:rsid w:val="00210A19"/>
    <w:rsid w:val="00210C81"/>
    <w:rsid w:val="00210CBF"/>
    <w:rsid w:val="00210D22"/>
    <w:rsid w:val="00210D3D"/>
    <w:rsid w:val="00210EEA"/>
    <w:rsid w:val="00210EFD"/>
    <w:rsid w:val="00210F6A"/>
    <w:rsid w:val="00210FDA"/>
    <w:rsid w:val="0021108B"/>
    <w:rsid w:val="00211097"/>
    <w:rsid w:val="002110C8"/>
    <w:rsid w:val="002111AD"/>
    <w:rsid w:val="0021123F"/>
    <w:rsid w:val="00211321"/>
    <w:rsid w:val="00211402"/>
    <w:rsid w:val="00211410"/>
    <w:rsid w:val="0021147C"/>
    <w:rsid w:val="002114DC"/>
    <w:rsid w:val="00211502"/>
    <w:rsid w:val="0021153A"/>
    <w:rsid w:val="0021157E"/>
    <w:rsid w:val="00211672"/>
    <w:rsid w:val="002116AE"/>
    <w:rsid w:val="002116B7"/>
    <w:rsid w:val="00211715"/>
    <w:rsid w:val="0021172D"/>
    <w:rsid w:val="00211742"/>
    <w:rsid w:val="00211834"/>
    <w:rsid w:val="0021183C"/>
    <w:rsid w:val="00211842"/>
    <w:rsid w:val="002118CC"/>
    <w:rsid w:val="00211974"/>
    <w:rsid w:val="002119F5"/>
    <w:rsid w:val="00211A6B"/>
    <w:rsid w:val="00211BB8"/>
    <w:rsid w:val="00211BF0"/>
    <w:rsid w:val="00211CF0"/>
    <w:rsid w:val="00211E0A"/>
    <w:rsid w:val="00211E1B"/>
    <w:rsid w:val="00211FC3"/>
    <w:rsid w:val="0021204D"/>
    <w:rsid w:val="0021208D"/>
    <w:rsid w:val="002121CB"/>
    <w:rsid w:val="002121E8"/>
    <w:rsid w:val="00212315"/>
    <w:rsid w:val="002124EA"/>
    <w:rsid w:val="0021257D"/>
    <w:rsid w:val="002125C6"/>
    <w:rsid w:val="00212655"/>
    <w:rsid w:val="0021273B"/>
    <w:rsid w:val="00212780"/>
    <w:rsid w:val="00212782"/>
    <w:rsid w:val="002127FC"/>
    <w:rsid w:val="00212889"/>
    <w:rsid w:val="002128F8"/>
    <w:rsid w:val="002128FB"/>
    <w:rsid w:val="00212B00"/>
    <w:rsid w:val="00212B62"/>
    <w:rsid w:val="00212BA9"/>
    <w:rsid w:val="00212BCC"/>
    <w:rsid w:val="00212C17"/>
    <w:rsid w:val="00212CEE"/>
    <w:rsid w:val="00212CFC"/>
    <w:rsid w:val="00212D5F"/>
    <w:rsid w:val="00212DBC"/>
    <w:rsid w:val="00212E2D"/>
    <w:rsid w:val="00213135"/>
    <w:rsid w:val="00213292"/>
    <w:rsid w:val="002132B9"/>
    <w:rsid w:val="002133CF"/>
    <w:rsid w:val="00213414"/>
    <w:rsid w:val="00213466"/>
    <w:rsid w:val="0021349C"/>
    <w:rsid w:val="0021355B"/>
    <w:rsid w:val="0021360B"/>
    <w:rsid w:val="00213613"/>
    <w:rsid w:val="00213649"/>
    <w:rsid w:val="002136FE"/>
    <w:rsid w:val="002137A4"/>
    <w:rsid w:val="0021385B"/>
    <w:rsid w:val="0021393B"/>
    <w:rsid w:val="002139C6"/>
    <w:rsid w:val="00213B0E"/>
    <w:rsid w:val="00213B75"/>
    <w:rsid w:val="00213BF3"/>
    <w:rsid w:val="00213C29"/>
    <w:rsid w:val="00213DBC"/>
    <w:rsid w:val="00213F15"/>
    <w:rsid w:val="00213F1A"/>
    <w:rsid w:val="002140DC"/>
    <w:rsid w:val="00214258"/>
    <w:rsid w:val="002143D5"/>
    <w:rsid w:val="0021441F"/>
    <w:rsid w:val="0021452D"/>
    <w:rsid w:val="00214612"/>
    <w:rsid w:val="002146C9"/>
    <w:rsid w:val="00214887"/>
    <w:rsid w:val="0021490B"/>
    <w:rsid w:val="00214AD7"/>
    <w:rsid w:val="00214B5E"/>
    <w:rsid w:val="00214B7E"/>
    <w:rsid w:val="00214C14"/>
    <w:rsid w:val="00214C29"/>
    <w:rsid w:val="00214D96"/>
    <w:rsid w:val="00214E2C"/>
    <w:rsid w:val="00214E76"/>
    <w:rsid w:val="002151E8"/>
    <w:rsid w:val="002152B7"/>
    <w:rsid w:val="002152DE"/>
    <w:rsid w:val="0021536D"/>
    <w:rsid w:val="002153E7"/>
    <w:rsid w:val="00215453"/>
    <w:rsid w:val="002154A0"/>
    <w:rsid w:val="00215520"/>
    <w:rsid w:val="00215638"/>
    <w:rsid w:val="00215688"/>
    <w:rsid w:val="00215693"/>
    <w:rsid w:val="002156E7"/>
    <w:rsid w:val="00215788"/>
    <w:rsid w:val="002157D5"/>
    <w:rsid w:val="002157EF"/>
    <w:rsid w:val="00215895"/>
    <w:rsid w:val="002158EE"/>
    <w:rsid w:val="002159CD"/>
    <w:rsid w:val="002159E2"/>
    <w:rsid w:val="00215AF0"/>
    <w:rsid w:val="00215B55"/>
    <w:rsid w:val="00215C14"/>
    <w:rsid w:val="00215CBF"/>
    <w:rsid w:val="00215E2D"/>
    <w:rsid w:val="0021601B"/>
    <w:rsid w:val="0021605C"/>
    <w:rsid w:val="00216067"/>
    <w:rsid w:val="00216079"/>
    <w:rsid w:val="00216089"/>
    <w:rsid w:val="00216142"/>
    <w:rsid w:val="00216155"/>
    <w:rsid w:val="002161A7"/>
    <w:rsid w:val="00216208"/>
    <w:rsid w:val="00216241"/>
    <w:rsid w:val="002162C7"/>
    <w:rsid w:val="0021643C"/>
    <w:rsid w:val="0021643E"/>
    <w:rsid w:val="00216482"/>
    <w:rsid w:val="00216551"/>
    <w:rsid w:val="002165DD"/>
    <w:rsid w:val="00216658"/>
    <w:rsid w:val="00216674"/>
    <w:rsid w:val="002166E3"/>
    <w:rsid w:val="0021688F"/>
    <w:rsid w:val="002168F0"/>
    <w:rsid w:val="0021698D"/>
    <w:rsid w:val="00216A3A"/>
    <w:rsid w:val="00216A8F"/>
    <w:rsid w:val="00216B9A"/>
    <w:rsid w:val="00216BB8"/>
    <w:rsid w:val="00216CD8"/>
    <w:rsid w:val="00216D32"/>
    <w:rsid w:val="00216DC2"/>
    <w:rsid w:val="00216DE1"/>
    <w:rsid w:val="00216DE6"/>
    <w:rsid w:val="00216E83"/>
    <w:rsid w:val="00216FEE"/>
    <w:rsid w:val="00217020"/>
    <w:rsid w:val="002170F8"/>
    <w:rsid w:val="0021712A"/>
    <w:rsid w:val="0021718E"/>
    <w:rsid w:val="002171DA"/>
    <w:rsid w:val="00217286"/>
    <w:rsid w:val="00217289"/>
    <w:rsid w:val="0021729A"/>
    <w:rsid w:val="00217319"/>
    <w:rsid w:val="00217334"/>
    <w:rsid w:val="0021736A"/>
    <w:rsid w:val="002173E1"/>
    <w:rsid w:val="002174C7"/>
    <w:rsid w:val="002174F8"/>
    <w:rsid w:val="0021752B"/>
    <w:rsid w:val="002176D1"/>
    <w:rsid w:val="0021777F"/>
    <w:rsid w:val="002177D5"/>
    <w:rsid w:val="0021783E"/>
    <w:rsid w:val="0021791B"/>
    <w:rsid w:val="00217975"/>
    <w:rsid w:val="00217BBA"/>
    <w:rsid w:val="00217C11"/>
    <w:rsid w:val="00217C22"/>
    <w:rsid w:val="00217C2A"/>
    <w:rsid w:val="00217C71"/>
    <w:rsid w:val="00217D12"/>
    <w:rsid w:val="00217ED4"/>
    <w:rsid w:val="00217F48"/>
    <w:rsid w:val="0022019A"/>
    <w:rsid w:val="002201D4"/>
    <w:rsid w:val="002201DA"/>
    <w:rsid w:val="00220321"/>
    <w:rsid w:val="00220392"/>
    <w:rsid w:val="0022041B"/>
    <w:rsid w:val="0022053E"/>
    <w:rsid w:val="002205B9"/>
    <w:rsid w:val="00220621"/>
    <w:rsid w:val="002206AD"/>
    <w:rsid w:val="002206F9"/>
    <w:rsid w:val="002207EC"/>
    <w:rsid w:val="0022087A"/>
    <w:rsid w:val="0022089E"/>
    <w:rsid w:val="002208CA"/>
    <w:rsid w:val="00220A9E"/>
    <w:rsid w:val="00220B32"/>
    <w:rsid w:val="00220B78"/>
    <w:rsid w:val="00220BAD"/>
    <w:rsid w:val="00220C34"/>
    <w:rsid w:val="00220C45"/>
    <w:rsid w:val="00220EF2"/>
    <w:rsid w:val="00221168"/>
    <w:rsid w:val="00221369"/>
    <w:rsid w:val="00221376"/>
    <w:rsid w:val="002213CF"/>
    <w:rsid w:val="00221658"/>
    <w:rsid w:val="00221728"/>
    <w:rsid w:val="0022178B"/>
    <w:rsid w:val="00221879"/>
    <w:rsid w:val="002218E3"/>
    <w:rsid w:val="00221938"/>
    <w:rsid w:val="002219DD"/>
    <w:rsid w:val="002219F7"/>
    <w:rsid w:val="00221A1D"/>
    <w:rsid w:val="00221A6A"/>
    <w:rsid w:val="00221AA5"/>
    <w:rsid w:val="00221B22"/>
    <w:rsid w:val="00221C81"/>
    <w:rsid w:val="00221CBB"/>
    <w:rsid w:val="00221D4A"/>
    <w:rsid w:val="00221F6F"/>
    <w:rsid w:val="0022203C"/>
    <w:rsid w:val="0022206D"/>
    <w:rsid w:val="002222FE"/>
    <w:rsid w:val="0022241B"/>
    <w:rsid w:val="002224AD"/>
    <w:rsid w:val="0022252F"/>
    <w:rsid w:val="00222592"/>
    <w:rsid w:val="002225AA"/>
    <w:rsid w:val="002225C9"/>
    <w:rsid w:val="002225F4"/>
    <w:rsid w:val="0022281C"/>
    <w:rsid w:val="00222AB2"/>
    <w:rsid w:val="00222B51"/>
    <w:rsid w:val="00222BD5"/>
    <w:rsid w:val="00222BEA"/>
    <w:rsid w:val="00222C5A"/>
    <w:rsid w:val="00222C63"/>
    <w:rsid w:val="00222CB8"/>
    <w:rsid w:val="00222CF1"/>
    <w:rsid w:val="00222D14"/>
    <w:rsid w:val="00222E06"/>
    <w:rsid w:val="00222F9C"/>
    <w:rsid w:val="0022301C"/>
    <w:rsid w:val="00223029"/>
    <w:rsid w:val="0022319B"/>
    <w:rsid w:val="00223204"/>
    <w:rsid w:val="00223274"/>
    <w:rsid w:val="00223294"/>
    <w:rsid w:val="00223667"/>
    <w:rsid w:val="002237F8"/>
    <w:rsid w:val="00223825"/>
    <w:rsid w:val="00223995"/>
    <w:rsid w:val="00223A16"/>
    <w:rsid w:val="00223A5B"/>
    <w:rsid w:val="00223B65"/>
    <w:rsid w:val="00223BCB"/>
    <w:rsid w:val="00223D77"/>
    <w:rsid w:val="00223F2F"/>
    <w:rsid w:val="00224007"/>
    <w:rsid w:val="00224019"/>
    <w:rsid w:val="00224042"/>
    <w:rsid w:val="002240AC"/>
    <w:rsid w:val="002242CB"/>
    <w:rsid w:val="0022434B"/>
    <w:rsid w:val="00224370"/>
    <w:rsid w:val="002244A3"/>
    <w:rsid w:val="00224543"/>
    <w:rsid w:val="002245A9"/>
    <w:rsid w:val="002246E8"/>
    <w:rsid w:val="0022472A"/>
    <w:rsid w:val="002247F2"/>
    <w:rsid w:val="00224828"/>
    <w:rsid w:val="002248CA"/>
    <w:rsid w:val="002248CB"/>
    <w:rsid w:val="00224965"/>
    <w:rsid w:val="00224A4B"/>
    <w:rsid w:val="00224AC2"/>
    <w:rsid w:val="00224B8F"/>
    <w:rsid w:val="00224CA0"/>
    <w:rsid w:val="00224D73"/>
    <w:rsid w:val="00224D91"/>
    <w:rsid w:val="00224DC3"/>
    <w:rsid w:val="00224F92"/>
    <w:rsid w:val="0022503A"/>
    <w:rsid w:val="0022520C"/>
    <w:rsid w:val="00225240"/>
    <w:rsid w:val="0022529A"/>
    <w:rsid w:val="00225304"/>
    <w:rsid w:val="0022535F"/>
    <w:rsid w:val="00225363"/>
    <w:rsid w:val="0022540F"/>
    <w:rsid w:val="0022559F"/>
    <w:rsid w:val="002255B2"/>
    <w:rsid w:val="00225670"/>
    <w:rsid w:val="00225683"/>
    <w:rsid w:val="002256B3"/>
    <w:rsid w:val="002258FF"/>
    <w:rsid w:val="00225947"/>
    <w:rsid w:val="002259A5"/>
    <w:rsid w:val="00225A81"/>
    <w:rsid w:val="00225AAC"/>
    <w:rsid w:val="00225AE8"/>
    <w:rsid w:val="00225B80"/>
    <w:rsid w:val="00225C0C"/>
    <w:rsid w:val="00225C1C"/>
    <w:rsid w:val="00225D83"/>
    <w:rsid w:val="00225E8F"/>
    <w:rsid w:val="00225F3B"/>
    <w:rsid w:val="00225FE1"/>
    <w:rsid w:val="002260C7"/>
    <w:rsid w:val="002260CF"/>
    <w:rsid w:val="00226192"/>
    <w:rsid w:val="002261EF"/>
    <w:rsid w:val="002261FB"/>
    <w:rsid w:val="00226204"/>
    <w:rsid w:val="00226207"/>
    <w:rsid w:val="0022637C"/>
    <w:rsid w:val="002263B9"/>
    <w:rsid w:val="002263BB"/>
    <w:rsid w:val="0022640F"/>
    <w:rsid w:val="00226411"/>
    <w:rsid w:val="00226516"/>
    <w:rsid w:val="0022652D"/>
    <w:rsid w:val="0022654A"/>
    <w:rsid w:val="0022657E"/>
    <w:rsid w:val="00226674"/>
    <w:rsid w:val="002266AD"/>
    <w:rsid w:val="002266DB"/>
    <w:rsid w:val="0022675D"/>
    <w:rsid w:val="0022691D"/>
    <w:rsid w:val="002269ED"/>
    <w:rsid w:val="00226A3F"/>
    <w:rsid w:val="00226AE9"/>
    <w:rsid w:val="00226B20"/>
    <w:rsid w:val="00226B53"/>
    <w:rsid w:val="00226C71"/>
    <w:rsid w:val="00226C8F"/>
    <w:rsid w:val="00226D63"/>
    <w:rsid w:val="00226EB5"/>
    <w:rsid w:val="00226FED"/>
    <w:rsid w:val="002270F3"/>
    <w:rsid w:val="00227105"/>
    <w:rsid w:val="00227136"/>
    <w:rsid w:val="002272EF"/>
    <w:rsid w:val="0022743B"/>
    <w:rsid w:val="002274BC"/>
    <w:rsid w:val="00227570"/>
    <w:rsid w:val="00227761"/>
    <w:rsid w:val="00227846"/>
    <w:rsid w:val="0022793B"/>
    <w:rsid w:val="002279BA"/>
    <w:rsid w:val="002279FC"/>
    <w:rsid w:val="00227B2D"/>
    <w:rsid w:val="00227BD9"/>
    <w:rsid w:val="00227C3C"/>
    <w:rsid w:val="00227CD5"/>
    <w:rsid w:val="00227D19"/>
    <w:rsid w:val="00227D75"/>
    <w:rsid w:val="00227DB7"/>
    <w:rsid w:val="00227E4C"/>
    <w:rsid w:val="00227EDD"/>
    <w:rsid w:val="00227F96"/>
    <w:rsid w:val="0023012C"/>
    <w:rsid w:val="00230149"/>
    <w:rsid w:val="0023017A"/>
    <w:rsid w:val="0023018B"/>
    <w:rsid w:val="00230196"/>
    <w:rsid w:val="00230275"/>
    <w:rsid w:val="0023027C"/>
    <w:rsid w:val="002303B9"/>
    <w:rsid w:val="002303D2"/>
    <w:rsid w:val="0023044F"/>
    <w:rsid w:val="002304DE"/>
    <w:rsid w:val="002305FF"/>
    <w:rsid w:val="0023063A"/>
    <w:rsid w:val="002306B0"/>
    <w:rsid w:val="00230753"/>
    <w:rsid w:val="00230A39"/>
    <w:rsid w:val="00230A74"/>
    <w:rsid w:val="00230D59"/>
    <w:rsid w:val="00230E60"/>
    <w:rsid w:val="00230E98"/>
    <w:rsid w:val="002310FE"/>
    <w:rsid w:val="00231180"/>
    <w:rsid w:val="00231234"/>
    <w:rsid w:val="002312A8"/>
    <w:rsid w:val="0023152A"/>
    <w:rsid w:val="00231588"/>
    <w:rsid w:val="002315E8"/>
    <w:rsid w:val="00231716"/>
    <w:rsid w:val="002317C3"/>
    <w:rsid w:val="00231893"/>
    <w:rsid w:val="00231898"/>
    <w:rsid w:val="0023190E"/>
    <w:rsid w:val="00231926"/>
    <w:rsid w:val="0023194C"/>
    <w:rsid w:val="00231A7F"/>
    <w:rsid w:val="00231AB7"/>
    <w:rsid w:val="00231B5F"/>
    <w:rsid w:val="00231B60"/>
    <w:rsid w:val="00231BAB"/>
    <w:rsid w:val="00231BC5"/>
    <w:rsid w:val="00231DBF"/>
    <w:rsid w:val="00231F2F"/>
    <w:rsid w:val="00231F69"/>
    <w:rsid w:val="00232009"/>
    <w:rsid w:val="002320EA"/>
    <w:rsid w:val="00232399"/>
    <w:rsid w:val="002323C9"/>
    <w:rsid w:val="002323FA"/>
    <w:rsid w:val="00232434"/>
    <w:rsid w:val="00232449"/>
    <w:rsid w:val="00232600"/>
    <w:rsid w:val="002326CC"/>
    <w:rsid w:val="002326E1"/>
    <w:rsid w:val="00232806"/>
    <w:rsid w:val="002328FB"/>
    <w:rsid w:val="00232919"/>
    <w:rsid w:val="002329C7"/>
    <w:rsid w:val="002329D2"/>
    <w:rsid w:val="00232A64"/>
    <w:rsid w:val="00232AD8"/>
    <w:rsid w:val="00232B47"/>
    <w:rsid w:val="00232BC3"/>
    <w:rsid w:val="00232C56"/>
    <w:rsid w:val="00232C5B"/>
    <w:rsid w:val="00232C8E"/>
    <w:rsid w:val="00232C99"/>
    <w:rsid w:val="00232D3D"/>
    <w:rsid w:val="00232D4B"/>
    <w:rsid w:val="00232E03"/>
    <w:rsid w:val="00232F0D"/>
    <w:rsid w:val="00233027"/>
    <w:rsid w:val="00233120"/>
    <w:rsid w:val="00233181"/>
    <w:rsid w:val="002331BC"/>
    <w:rsid w:val="0023322A"/>
    <w:rsid w:val="0023323F"/>
    <w:rsid w:val="00233261"/>
    <w:rsid w:val="0023328F"/>
    <w:rsid w:val="002332E3"/>
    <w:rsid w:val="00233334"/>
    <w:rsid w:val="00233486"/>
    <w:rsid w:val="0023349F"/>
    <w:rsid w:val="002334E2"/>
    <w:rsid w:val="002334F9"/>
    <w:rsid w:val="00233590"/>
    <w:rsid w:val="002335EE"/>
    <w:rsid w:val="0023363B"/>
    <w:rsid w:val="00233642"/>
    <w:rsid w:val="00233707"/>
    <w:rsid w:val="0023375B"/>
    <w:rsid w:val="002337C6"/>
    <w:rsid w:val="00233822"/>
    <w:rsid w:val="002338FA"/>
    <w:rsid w:val="00233934"/>
    <w:rsid w:val="00233A5A"/>
    <w:rsid w:val="00233C7A"/>
    <w:rsid w:val="00233C9D"/>
    <w:rsid w:val="00233CF3"/>
    <w:rsid w:val="00233DB3"/>
    <w:rsid w:val="00233DED"/>
    <w:rsid w:val="00233E2F"/>
    <w:rsid w:val="00233F1C"/>
    <w:rsid w:val="00233F76"/>
    <w:rsid w:val="00233F81"/>
    <w:rsid w:val="00233FA0"/>
    <w:rsid w:val="00234053"/>
    <w:rsid w:val="0023405C"/>
    <w:rsid w:val="00234194"/>
    <w:rsid w:val="002341CA"/>
    <w:rsid w:val="00234223"/>
    <w:rsid w:val="002342F3"/>
    <w:rsid w:val="00234397"/>
    <w:rsid w:val="0023450D"/>
    <w:rsid w:val="00234639"/>
    <w:rsid w:val="002346E4"/>
    <w:rsid w:val="00234708"/>
    <w:rsid w:val="00234761"/>
    <w:rsid w:val="00234A7C"/>
    <w:rsid w:val="00234C03"/>
    <w:rsid w:val="00234C7B"/>
    <w:rsid w:val="00234CB7"/>
    <w:rsid w:val="00234D11"/>
    <w:rsid w:val="00234D65"/>
    <w:rsid w:val="00234EA8"/>
    <w:rsid w:val="00234EBC"/>
    <w:rsid w:val="0023510E"/>
    <w:rsid w:val="002351ED"/>
    <w:rsid w:val="002351F8"/>
    <w:rsid w:val="00235250"/>
    <w:rsid w:val="0023535D"/>
    <w:rsid w:val="0023545F"/>
    <w:rsid w:val="00235567"/>
    <w:rsid w:val="002355D5"/>
    <w:rsid w:val="00235777"/>
    <w:rsid w:val="002357B9"/>
    <w:rsid w:val="002357C9"/>
    <w:rsid w:val="0023587C"/>
    <w:rsid w:val="00235979"/>
    <w:rsid w:val="00235A1B"/>
    <w:rsid w:val="00235C2A"/>
    <w:rsid w:val="00235C34"/>
    <w:rsid w:val="00235D6A"/>
    <w:rsid w:val="00235D6C"/>
    <w:rsid w:val="00235DDA"/>
    <w:rsid w:val="00235E68"/>
    <w:rsid w:val="00235F1C"/>
    <w:rsid w:val="00235FE8"/>
    <w:rsid w:val="00236012"/>
    <w:rsid w:val="002360B8"/>
    <w:rsid w:val="002361F9"/>
    <w:rsid w:val="0023640D"/>
    <w:rsid w:val="00236417"/>
    <w:rsid w:val="00236634"/>
    <w:rsid w:val="002366BC"/>
    <w:rsid w:val="00236893"/>
    <w:rsid w:val="00236A64"/>
    <w:rsid w:val="00236BBE"/>
    <w:rsid w:val="00236BD4"/>
    <w:rsid w:val="00236BE8"/>
    <w:rsid w:val="00236C14"/>
    <w:rsid w:val="00236DB3"/>
    <w:rsid w:val="00236FF4"/>
    <w:rsid w:val="00236FFA"/>
    <w:rsid w:val="0023703B"/>
    <w:rsid w:val="00237225"/>
    <w:rsid w:val="0023729B"/>
    <w:rsid w:val="0023750A"/>
    <w:rsid w:val="00237588"/>
    <w:rsid w:val="002375D9"/>
    <w:rsid w:val="00237601"/>
    <w:rsid w:val="002376AE"/>
    <w:rsid w:val="002376D3"/>
    <w:rsid w:val="002376E5"/>
    <w:rsid w:val="002377D9"/>
    <w:rsid w:val="002378C4"/>
    <w:rsid w:val="00237977"/>
    <w:rsid w:val="0023798E"/>
    <w:rsid w:val="00237AC7"/>
    <w:rsid w:val="00237AEE"/>
    <w:rsid w:val="00237BF0"/>
    <w:rsid w:val="00237D78"/>
    <w:rsid w:val="00237DFC"/>
    <w:rsid w:val="00237EDF"/>
    <w:rsid w:val="00240109"/>
    <w:rsid w:val="00240116"/>
    <w:rsid w:val="0024012F"/>
    <w:rsid w:val="0024026D"/>
    <w:rsid w:val="00240367"/>
    <w:rsid w:val="00240458"/>
    <w:rsid w:val="002404F6"/>
    <w:rsid w:val="00240532"/>
    <w:rsid w:val="0024055A"/>
    <w:rsid w:val="002405B1"/>
    <w:rsid w:val="002405D1"/>
    <w:rsid w:val="00240649"/>
    <w:rsid w:val="0024065B"/>
    <w:rsid w:val="002406DC"/>
    <w:rsid w:val="002406ED"/>
    <w:rsid w:val="00240767"/>
    <w:rsid w:val="00240825"/>
    <w:rsid w:val="00240851"/>
    <w:rsid w:val="002409B5"/>
    <w:rsid w:val="002409E8"/>
    <w:rsid w:val="00240A42"/>
    <w:rsid w:val="00240A83"/>
    <w:rsid w:val="00240B5E"/>
    <w:rsid w:val="00240B74"/>
    <w:rsid w:val="00240BA0"/>
    <w:rsid w:val="00240BA3"/>
    <w:rsid w:val="00240C82"/>
    <w:rsid w:val="00240C88"/>
    <w:rsid w:val="00240D0E"/>
    <w:rsid w:val="00240F3A"/>
    <w:rsid w:val="00240F40"/>
    <w:rsid w:val="00240F80"/>
    <w:rsid w:val="00240FE2"/>
    <w:rsid w:val="00241026"/>
    <w:rsid w:val="002410C2"/>
    <w:rsid w:val="0024121D"/>
    <w:rsid w:val="00241226"/>
    <w:rsid w:val="00241297"/>
    <w:rsid w:val="00241398"/>
    <w:rsid w:val="00241434"/>
    <w:rsid w:val="00241600"/>
    <w:rsid w:val="00241601"/>
    <w:rsid w:val="0024167E"/>
    <w:rsid w:val="002416E2"/>
    <w:rsid w:val="0024171F"/>
    <w:rsid w:val="00241738"/>
    <w:rsid w:val="00241744"/>
    <w:rsid w:val="00241758"/>
    <w:rsid w:val="002417DC"/>
    <w:rsid w:val="002418CB"/>
    <w:rsid w:val="00241919"/>
    <w:rsid w:val="00241930"/>
    <w:rsid w:val="00241971"/>
    <w:rsid w:val="002419FB"/>
    <w:rsid w:val="00241A16"/>
    <w:rsid w:val="00241A4A"/>
    <w:rsid w:val="00241BB8"/>
    <w:rsid w:val="00241BF8"/>
    <w:rsid w:val="00241D10"/>
    <w:rsid w:val="00241E01"/>
    <w:rsid w:val="00241E1C"/>
    <w:rsid w:val="00241E2A"/>
    <w:rsid w:val="00241E2E"/>
    <w:rsid w:val="00241EE6"/>
    <w:rsid w:val="00241FF5"/>
    <w:rsid w:val="00242136"/>
    <w:rsid w:val="0024220C"/>
    <w:rsid w:val="00242227"/>
    <w:rsid w:val="0024222E"/>
    <w:rsid w:val="0024224F"/>
    <w:rsid w:val="002422A5"/>
    <w:rsid w:val="00242523"/>
    <w:rsid w:val="00242531"/>
    <w:rsid w:val="00242590"/>
    <w:rsid w:val="0024259E"/>
    <w:rsid w:val="0024272E"/>
    <w:rsid w:val="00242808"/>
    <w:rsid w:val="002428A8"/>
    <w:rsid w:val="0024290A"/>
    <w:rsid w:val="00242AC1"/>
    <w:rsid w:val="00242AF0"/>
    <w:rsid w:val="00242B26"/>
    <w:rsid w:val="00242B3B"/>
    <w:rsid w:val="00242B75"/>
    <w:rsid w:val="00242B7D"/>
    <w:rsid w:val="00242D0E"/>
    <w:rsid w:val="00242F01"/>
    <w:rsid w:val="0024302F"/>
    <w:rsid w:val="00243096"/>
    <w:rsid w:val="002430BD"/>
    <w:rsid w:val="00243121"/>
    <w:rsid w:val="0024329B"/>
    <w:rsid w:val="002433F9"/>
    <w:rsid w:val="00243429"/>
    <w:rsid w:val="002435B8"/>
    <w:rsid w:val="0024393E"/>
    <w:rsid w:val="00243A19"/>
    <w:rsid w:val="00243A24"/>
    <w:rsid w:val="00243A9C"/>
    <w:rsid w:val="00243AD3"/>
    <w:rsid w:val="00243AEA"/>
    <w:rsid w:val="00243BB9"/>
    <w:rsid w:val="00243BC3"/>
    <w:rsid w:val="00243C14"/>
    <w:rsid w:val="00243C46"/>
    <w:rsid w:val="00243E56"/>
    <w:rsid w:val="00243F20"/>
    <w:rsid w:val="00243F2D"/>
    <w:rsid w:val="00243FF6"/>
    <w:rsid w:val="0024415C"/>
    <w:rsid w:val="002443AD"/>
    <w:rsid w:val="002443C8"/>
    <w:rsid w:val="00244432"/>
    <w:rsid w:val="002444E7"/>
    <w:rsid w:val="00244521"/>
    <w:rsid w:val="00244583"/>
    <w:rsid w:val="002445CC"/>
    <w:rsid w:val="0024475F"/>
    <w:rsid w:val="00244780"/>
    <w:rsid w:val="00244804"/>
    <w:rsid w:val="002448B0"/>
    <w:rsid w:val="002448F5"/>
    <w:rsid w:val="0024492B"/>
    <w:rsid w:val="00244938"/>
    <w:rsid w:val="00244A27"/>
    <w:rsid w:val="00244A61"/>
    <w:rsid w:val="00244AF6"/>
    <w:rsid w:val="00244BDA"/>
    <w:rsid w:val="00244CEB"/>
    <w:rsid w:val="00244F7D"/>
    <w:rsid w:val="00244FA5"/>
    <w:rsid w:val="00245027"/>
    <w:rsid w:val="0024504D"/>
    <w:rsid w:val="002450CA"/>
    <w:rsid w:val="002451C7"/>
    <w:rsid w:val="00245237"/>
    <w:rsid w:val="002452CE"/>
    <w:rsid w:val="0024530F"/>
    <w:rsid w:val="00245314"/>
    <w:rsid w:val="00245323"/>
    <w:rsid w:val="0024534B"/>
    <w:rsid w:val="002453F6"/>
    <w:rsid w:val="0024543D"/>
    <w:rsid w:val="002454D8"/>
    <w:rsid w:val="00245533"/>
    <w:rsid w:val="002455DA"/>
    <w:rsid w:val="002456D7"/>
    <w:rsid w:val="002456E5"/>
    <w:rsid w:val="002457C8"/>
    <w:rsid w:val="00245803"/>
    <w:rsid w:val="0024581E"/>
    <w:rsid w:val="002458C5"/>
    <w:rsid w:val="002458FA"/>
    <w:rsid w:val="00245BC4"/>
    <w:rsid w:val="00245C9C"/>
    <w:rsid w:val="00245D01"/>
    <w:rsid w:val="00245E70"/>
    <w:rsid w:val="00245F90"/>
    <w:rsid w:val="00245FB8"/>
    <w:rsid w:val="00246070"/>
    <w:rsid w:val="0024607F"/>
    <w:rsid w:val="002460DC"/>
    <w:rsid w:val="002460EC"/>
    <w:rsid w:val="0024612F"/>
    <w:rsid w:val="002461F3"/>
    <w:rsid w:val="00246241"/>
    <w:rsid w:val="0024625F"/>
    <w:rsid w:val="002462FF"/>
    <w:rsid w:val="00246335"/>
    <w:rsid w:val="0024633D"/>
    <w:rsid w:val="0024646A"/>
    <w:rsid w:val="00246520"/>
    <w:rsid w:val="002466A0"/>
    <w:rsid w:val="002466CB"/>
    <w:rsid w:val="002466CC"/>
    <w:rsid w:val="002468DE"/>
    <w:rsid w:val="002468FC"/>
    <w:rsid w:val="00246965"/>
    <w:rsid w:val="00246997"/>
    <w:rsid w:val="00246BC0"/>
    <w:rsid w:val="00246C16"/>
    <w:rsid w:val="00246C39"/>
    <w:rsid w:val="00246C40"/>
    <w:rsid w:val="00246D31"/>
    <w:rsid w:val="00246DA6"/>
    <w:rsid w:val="00246DE3"/>
    <w:rsid w:val="00246E29"/>
    <w:rsid w:val="00246EC3"/>
    <w:rsid w:val="00246F11"/>
    <w:rsid w:val="00246F5F"/>
    <w:rsid w:val="00247002"/>
    <w:rsid w:val="00247030"/>
    <w:rsid w:val="002470E8"/>
    <w:rsid w:val="002470F5"/>
    <w:rsid w:val="00247150"/>
    <w:rsid w:val="0024717A"/>
    <w:rsid w:val="0024720D"/>
    <w:rsid w:val="00247231"/>
    <w:rsid w:val="0024725E"/>
    <w:rsid w:val="00247292"/>
    <w:rsid w:val="00247295"/>
    <w:rsid w:val="002472C7"/>
    <w:rsid w:val="002473D9"/>
    <w:rsid w:val="00247571"/>
    <w:rsid w:val="00247658"/>
    <w:rsid w:val="0024765B"/>
    <w:rsid w:val="00247AA2"/>
    <w:rsid w:val="00247AA6"/>
    <w:rsid w:val="00247AF6"/>
    <w:rsid w:val="00247B20"/>
    <w:rsid w:val="00247D7C"/>
    <w:rsid w:val="00247EC2"/>
    <w:rsid w:val="00247F54"/>
    <w:rsid w:val="00250261"/>
    <w:rsid w:val="00250369"/>
    <w:rsid w:val="002504C9"/>
    <w:rsid w:val="0025073E"/>
    <w:rsid w:val="00250791"/>
    <w:rsid w:val="002507E0"/>
    <w:rsid w:val="0025081C"/>
    <w:rsid w:val="00250849"/>
    <w:rsid w:val="00250874"/>
    <w:rsid w:val="002508CA"/>
    <w:rsid w:val="00250907"/>
    <w:rsid w:val="0025092D"/>
    <w:rsid w:val="00250A4C"/>
    <w:rsid w:val="00250C51"/>
    <w:rsid w:val="00250CFB"/>
    <w:rsid w:val="00250DE7"/>
    <w:rsid w:val="00250DFE"/>
    <w:rsid w:val="00250EC5"/>
    <w:rsid w:val="00250EE5"/>
    <w:rsid w:val="00250F0C"/>
    <w:rsid w:val="00250F6C"/>
    <w:rsid w:val="00250FD1"/>
    <w:rsid w:val="00251063"/>
    <w:rsid w:val="0025129D"/>
    <w:rsid w:val="00251361"/>
    <w:rsid w:val="0025149C"/>
    <w:rsid w:val="002514ED"/>
    <w:rsid w:val="00251588"/>
    <w:rsid w:val="00251614"/>
    <w:rsid w:val="002516DA"/>
    <w:rsid w:val="0025180F"/>
    <w:rsid w:val="00251814"/>
    <w:rsid w:val="0025185E"/>
    <w:rsid w:val="0025186F"/>
    <w:rsid w:val="002518F5"/>
    <w:rsid w:val="00251905"/>
    <w:rsid w:val="00251A27"/>
    <w:rsid w:val="00251A51"/>
    <w:rsid w:val="00251A67"/>
    <w:rsid w:val="00251A75"/>
    <w:rsid w:val="00251D21"/>
    <w:rsid w:val="00251DE2"/>
    <w:rsid w:val="00251E1C"/>
    <w:rsid w:val="00251E4F"/>
    <w:rsid w:val="00251E61"/>
    <w:rsid w:val="00251E6D"/>
    <w:rsid w:val="00251EEB"/>
    <w:rsid w:val="00251FB7"/>
    <w:rsid w:val="00252010"/>
    <w:rsid w:val="00252013"/>
    <w:rsid w:val="00252181"/>
    <w:rsid w:val="002521C1"/>
    <w:rsid w:val="00252257"/>
    <w:rsid w:val="002522FD"/>
    <w:rsid w:val="00252312"/>
    <w:rsid w:val="00252355"/>
    <w:rsid w:val="0025237F"/>
    <w:rsid w:val="0025244F"/>
    <w:rsid w:val="00252495"/>
    <w:rsid w:val="00252560"/>
    <w:rsid w:val="00252782"/>
    <w:rsid w:val="00252793"/>
    <w:rsid w:val="002527CB"/>
    <w:rsid w:val="002527DB"/>
    <w:rsid w:val="00252865"/>
    <w:rsid w:val="00252886"/>
    <w:rsid w:val="0025288E"/>
    <w:rsid w:val="002528E0"/>
    <w:rsid w:val="00252938"/>
    <w:rsid w:val="002529AB"/>
    <w:rsid w:val="002529C0"/>
    <w:rsid w:val="002529C6"/>
    <w:rsid w:val="002529CE"/>
    <w:rsid w:val="00252B0C"/>
    <w:rsid w:val="00252B75"/>
    <w:rsid w:val="00252BDB"/>
    <w:rsid w:val="00252CDA"/>
    <w:rsid w:val="00252D24"/>
    <w:rsid w:val="00252D94"/>
    <w:rsid w:val="00252DB6"/>
    <w:rsid w:val="00252DED"/>
    <w:rsid w:val="00252EB5"/>
    <w:rsid w:val="00252F56"/>
    <w:rsid w:val="00252F7F"/>
    <w:rsid w:val="00252F99"/>
    <w:rsid w:val="002531B4"/>
    <w:rsid w:val="0025326F"/>
    <w:rsid w:val="002532EF"/>
    <w:rsid w:val="00253303"/>
    <w:rsid w:val="0025334B"/>
    <w:rsid w:val="002533FB"/>
    <w:rsid w:val="00253424"/>
    <w:rsid w:val="00253426"/>
    <w:rsid w:val="002534B8"/>
    <w:rsid w:val="00253552"/>
    <w:rsid w:val="002535AF"/>
    <w:rsid w:val="002535C1"/>
    <w:rsid w:val="002535E6"/>
    <w:rsid w:val="00253678"/>
    <w:rsid w:val="002536DD"/>
    <w:rsid w:val="00253ADF"/>
    <w:rsid w:val="00253B16"/>
    <w:rsid w:val="00253BD7"/>
    <w:rsid w:val="00253CC9"/>
    <w:rsid w:val="00253D16"/>
    <w:rsid w:val="00253D50"/>
    <w:rsid w:val="00253D6E"/>
    <w:rsid w:val="00253E3C"/>
    <w:rsid w:val="00253FC9"/>
    <w:rsid w:val="00254001"/>
    <w:rsid w:val="00254166"/>
    <w:rsid w:val="00254173"/>
    <w:rsid w:val="002541C8"/>
    <w:rsid w:val="0025420D"/>
    <w:rsid w:val="002542C2"/>
    <w:rsid w:val="002543F9"/>
    <w:rsid w:val="00254459"/>
    <w:rsid w:val="0025445D"/>
    <w:rsid w:val="00254616"/>
    <w:rsid w:val="002546B8"/>
    <w:rsid w:val="0025472D"/>
    <w:rsid w:val="0025473B"/>
    <w:rsid w:val="002547C1"/>
    <w:rsid w:val="00254823"/>
    <w:rsid w:val="00254879"/>
    <w:rsid w:val="002548D4"/>
    <w:rsid w:val="00254A4D"/>
    <w:rsid w:val="00254ACC"/>
    <w:rsid w:val="00254AEC"/>
    <w:rsid w:val="00254B15"/>
    <w:rsid w:val="00254C27"/>
    <w:rsid w:val="00254C56"/>
    <w:rsid w:val="00254C61"/>
    <w:rsid w:val="00254C6E"/>
    <w:rsid w:val="00254CC1"/>
    <w:rsid w:val="00254CE9"/>
    <w:rsid w:val="00254E04"/>
    <w:rsid w:val="00254E31"/>
    <w:rsid w:val="00254EBB"/>
    <w:rsid w:val="00254FC0"/>
    <w:rsid w:val="00255049"/>
    <w:rsid w:val="0025511D"/>
    <w:rsid w:val="00255165"/>
    <w:rsid w:val="002553EC"/>
    <w:rsid w:val="002554A4"/>
    <w:rsid w:val="0025557C"/>
    <w:rsid w:val="00255725"/>
    <w:rsid w:val="0025575C"/>
    <w:rsid w:val="002557FB"/>
    <w:rsid w:val="0025594E"/>
    <w:rsid w:val="00255ABC"/>
    <w:rsid w:val="00255AEC"/>
    <w:rsid w:val="00255B0C"/>
    <w:rsid w:val="00255BBE"/>
    <w:rsid w:val="00255C22"/>
    <w:rsid w:val="00255CA6"/>
    <w:rsid w:val="00255DF1"/>
    <w:rsid w:val="00255E4F"/>
    <w:rsid w:val="00255FE2"/>
    <w:rsid w:val="002561CF"/>
    <w:rsid w:val="002561DC"/>
    <w:rsid w:val="00256248"/>
    <w:rsid w:val="0025637C"/>
    <w:rsid w:val="002563C6"/>
    <w:rsid w:val="002566C4"/>
    <w:rsid w:val="002566DD"/>
    <w:rsid w:val="0025671C"/>
    <w:rsid w:val="0025694E"/>
    <w:rsid w:val="00256961"/>
    <w:rsid w:val="002569A1"/>
    <w:rsid w:val="00256BFE"/>
    <w:rsid w:val="00256C72"/>
    <w:rsid w:val="00256CCF"/>
    <w:rsid w:val="00256D18"/>
    <w:rsid w:val="00256DF2"/>
    <w:rsid w:val="00256EB1"/>
    <w:rsid w:val="00256F0A"/>
    <w:rsid w:val="00256F80"/>
    <w:rsid w:val="00256FC1"/>
    <w:rsid w:val="00257121"/>
    <w:rsid w:val="002571F4"/>
    <w:rsid w:val="0025720D"/>
    <w:rsid w:val="00257281"/>
    <w:rsid w:val="0025733C"/>
    <w:rsid w:val="00257432"/>
    <w:rsid w:val="0025743A"/>
    <w:rsid w:val="0025757F"/>
    <w:rsid w:val="002575BA"/>
    <w:rsid w:val="002576A7"/>
    <w:rsid w:val="0025770B"/>
    <w:rsid w:val="00257733"/>
    <w:rsid w:val="0025776A"/>
    <w:rsid w:val="002577AD"/>
    <w:rsid w:val="002577C6"/>
    <w:rsid w:val="002578A0"/>
    <w:rsid w:val="0025793B"/>
    <w:rsid w:val="00257989"/>
    <w:rsid w:val="00257999"/>
    <w:rsid w:val="00257C2E"/>
    <w:rsid w:val="00257C9A"/>
    <w:rsid w:val="00257CE2"/>
    <w:rsid w:val="00257DC7"/>
    <w:rsid w:val="00257E00"/>
    <w:rsid w:val="00257E60"/>
    <w:rsid w:val="00257E7D"/>
    <w:rsid w:val="00257E94"/>
    <w:rsid w:val="00257EA4"/>
    <w:rsid w:val="00257EC4"/>
    <w:rsid w:val="00257F56"/>
    <w:rsid w:val="00257FD6"/>
    <w:rsid w:val="00257FFA"/>
    <w:rsid w:val="0026008C"/>
    <w:rsid w:val="0026015D"/>
    <w:rsid w:val="00260184"/>
    <w:rsid w:val="00260189"/>
    <w:rsid w:val="002601AD"/>
    <w:rsid w:val="00260282"/>
    <w:rsid w:val="0026049C"/>
    <w:rsid w:val="002608CB"/>
    <w:rsid w:val="00260925"/>
    <w:rsid w:val="002609E5"/>
    <w:rsid w:val="002609F8"/>
    <w:rsid w:val="00260A38"/>
    <w:rsid w:val="00260A80"/>
    <w:rsid w:val="00260BA4"/>
    <w:rsid w:val="00260C78"/>
    <w:rsid w:val="00260D25"/>
    <w:rsid w:val="00260D74"/>
    <w:rsid w:val="00260E94"/>
    <w:rsid w:val="00260F3D"/>
    <w:rsid w:val="00260F58"/>
    <w:rsid w:val="0026110F"/>
    <w:rsid w:val="0026128F"/>
    <w:rsid w:val="00261317"/>
    <w:rsid w:val="002613B5"/>
    <w:rsid w:val="002613DD"/>
    <w:rsid w:val="002613F0"/>
    <w:rsid w:val="002614B6"/>
    <w:rsid w:val="0026150A"/>
    <w:rsid w:val="0026161A"/>
    <w:rsid w:val="002616B3"/>
    <w:rsid w:val="002617B3"/>
    <w:rsid w:val="00261A98"/>
    <w:rsid w:val="00261AD7"/>
    <w:rsid w:val="00261B21"/>
    <w:rsid w:val="00261BEB"/>
    <w:rsid w:val="00261C26"/>
    <w:rsid w:val="00261D37"/>
    <w:rsid w:val="00261D69"/>
    <w:rsid w:val="00261DBD"/>
    <w:rsid w:val="00261E7B"/>
    <w:rsid w:val="00261F77"/>
    <w:rsid w:val="00262199"/>
    <w:rsid w:val="00262247"/>
    <w:rsid w:val="00262286"/>
    <w:rsid w:val="0026232B"/>
    <w:rsid w:val="0026239B"/>
    <w:rsid w:val="00262838"/>
    <w:rsid w:val="00262A49"/>
    <w:rsid w:val="00262A4D"/>
    <w:rsid w:val="00262B1D"/>
    <w:rsid w:val="00262B49"/>
    <w:rsid w:val="00262B58"/>
    <w:rsid w:val="00262B92"/>
    <w:rsid w:val="00262C5D"/>
    <w:rsid w:val="00262CB3"/>
    <w:rsid w:val="00262CC9"/>
    <w:rsid w:val="00262D41"/>
    <w:rsid w:val="00262ED0"/>
    <w:rsid w:val="00262F70"/>
    <w:rsid w:val="00262FAC"/>
    <w:rsid w:val="00263143"/>
    <w:rsid w:val="0026314A"/>
    <w:rsid w:val="002631A7"/>
    <w:rsid w:val="002632AC"/>
    <w:rsid w:val="002632C9"/>
    <w:rsid w:val="002632F2"/>
    <w:rsid w:val="002632F7"/>
    <w:rsid w:val="002633A8"/>
    <w:rsid w:val="002633C4"/>
    <w:rsid w:val="0026345B"/>
    <w:rsid w:val="0026345F"/>
    <w:rsid w:val="0026349D"/>
    <w:rsid w:val="00263519"/>
    <w:rsid w:val="00263549"/>
    <w:rsid w:val="0026359D"/>
    <w:rsid w:val="002635A8"/>
    <w:rsid w:val="002638A3"/>
    <w:rsid w:val="002638FC"/>
    <w:rsid w:val="0026399D"/>
    <w:rsid w:val="00263A0C"/>
    <w:rsid w:val="00263A4E"/>
    <w:rsid w:val="00263B2E"/>
    <w:rsid w:val="00263B5D"/>
    <w:rsid w:val="00263D84"/>
    <w:rsid w:val="00263ECA"/>
    <w:rsid w:val="00263F49"/>
    <w:rsid w:val="00263FA7"/>
    <w:rsid w:val="00263FAD"/>
    <w:rsid w:val="00264085"/>
    <w:rsid w:val="00264206"/>
    <w:rsid w:val="0026422C"/>
    <w:rsid w:val="00264251"/>
    <w:rsid w:val="0026427D"/>
    <w:rsid w:val="00264294"/>
    <w:rsid w:val="002642A5"/>
    <w:rsid w:val="002642CE"/>
    <w:rsid w:val="002642D5"/>
    <w:rsid w:val="002642F3"/>
    <w:rsid w:val="00264344"/>
    <w:rsid w:val="0026435F"/>
    <w:rsid w:val="00264382"/>
    <w:rsid w:val="002643C1"/>
    <w:rsid w:val="0026449F"/>
    <w:rsid w:val="002644BA"/>
    <w:rsid w:val="00264577"/>
    <w:rsid w:val="002645C4"/>
    <w:rsid w:val="0026460C"/>
    <w:rsid w:val="00264636"/>
    <w:rsid w:val="00264641"/>
    <w:rsid w:val="0026465D"/>
    <w:rsid w:val="00264709"/>
    <w:rsid w:val="00264786"/>
    <w:rsid w:val="002647A7"/>
    <w:rsid w:val="002647B5"/>
    <w:rsid w:val="0026488B"/>
    <w:rsid w:val="00264969"/>
    <w:rsid w:val="00264988"/>
    <w:rsid w:val="00264A43"/>
    <w:rsid w:val="00264B5F"/>
    <w:rsid w:val="00264C30"/>
    <w:rsid w:val="00264CA2"/>
    <w:rsid w:val="00264CD0"/>
    <w:rsid w:val="00264D39"/>
    <w:rsid w:val="00264DED"/>
    <w:rsid w:val="00264E7A"/>
    <w:rsid w:val="00264ED7"/>
    <w:rsid w:val="0026503B"/>
    <w:rsid w:val="0026505C"/>
    <w:rsid w:val="002653CA"/>
    <w:rsid w:val="002653D0"/>
    <w:rsid w:val="002653FE"/>
    <w:rsid w:val="002654E2"/>
    <w:rsid w:val="002656DF"/>
    <w:rsid w:val="002656EA"/>
    <w:rsid w:val="0026586C"/>
    <w:rsid w:val="00265926"/>
    <w:rsid w:val="00265A7A"/>
    <w:rsid w:val="00265A85"/>
    <w:rsid w:val="00265B18"/>
    <w:rsid w:val="00265B61"/>
    <w:rsid w:val="00265B79"/>
    <w:rsid w:val="00265B98"/>
    <w:rsid w:val="00265BC3"/>
    <w:rsid w:val="00265BDF"/>
    <w:rsid w:val="00265BEF"/>
    <w:rsid w:val="00265C46"/>
    <w:rsid w:val="00265D33"/>
    <w:rsid w:val="00265F3A"/>
    <w:rsid w:val="00265F7D"/>
    <w:rsid w:val="00266017"/>
    <w:rsid w:val="0026601C"/>
    <w:rsid w:val="00266057"/>
    <w:rsid w:val="0026607C"/>
    <w:rsid w:val="002660B8"/>
    <w:rsid w:val="002660E5"/>
    <w:rsid w:val="0026610B"/>
    <w:rsid w:val="00266130"/>
    <w:rsid w:val="002662B2"/>
    <w:rsid w:val="002662C2"/>
    <w:rsid w:val="002662F0"/>
    <w:rsid w:val="002664D2"/>
    <w:rsid w:val="002664F9"/>
    <w:rsid w:val="00266513"/>
    <w:rsid w:val="00266598"/>
    <w:rsid w:val="0026664B"/>
    <w:rsid w:val="00266701"/>
    <w:rsid w:val="00266751"/>
    <w:rsid w:val="00266886"/>
    <w:rsid w:val="002668BA"/>
    <w:rsid w:val="002669C3"/>
    <w:rsid w:val="002669E0"/>
    <w:rsid w:val="00266A07"/>
    <w:rsid w:val="00266AB1"/>
    <w:rsid w:val="00266AD3"/>
    <w:rsid w:val="00266B3B"/>
    <w:rsid w:val="00266B7C"/>
    <w:rsid w:val="00266D13"/>
    <w:rsid w:val="00266F0B"/>
    <w:rsid w:val="00266F44"/>
    <w:rsid w:val="00266F62"/>
    <w:rsid w:val="00266F7C"/>
    <w:rsid w:val="00266FAC"/>
    <w:rsid w:val="0026701C"/>
    <w:rsid w:val="0026702F"/>
    <w:rsid w:val="00267069"/>
    <w:rsid w:val="002671D9"/>
    <w:rsid w:val="0026720A"/>
    <w:rsid w:val="0026724C"/>
    <w:rsid w:val="002673FC"/>
    <w:rsid w:val="002674A2"/>
    <w:rsid w:val="00267573"/>
    <w:rsid w:val="0026762A"/>
    <w:rsid w:val="0026764A"/>
    <w:rsid w:val="002676D0"/>
    <w:rsid w:val="002677E5"/>
    <w:rsid w:val="0026780D"/>
    <w:rsid w:val="0026791C"/>
    <w:rsid w:val="00267A10"/>
    <w:rsid w:val="00267A81"/>
    <w:rsid w:val="00267AF9"/>
    <w:rsid w:val="00267B57"/>
    <w:rsid w:val="00267BDA"/>
    <w:rsid w:val="00267D0C"/>
    <w:rsid w:val="00267DEA"/>
    <w:rsid w:val="00267F25"/>
    <w:rsid w:val="00267F7E"/>
    <w:rsid w:val="00270028"/>
    <w:rsid w:val="0027003E"/>
    <w:rsid w:val="0027004D"/>
    <w:rsid w:val="0027010F"/>
    <w:rsid w:val="0027023C"/>
    <w:rsid w:val="002702CE"/>
    <w:rsid w:val="00270354"/>
    <w:rsid w:val="0027048F"/>
    <w:rsid w:val="0027059D"/>
    <w:rsid w:val="002705E1"/>
    <w:rsid w:val="002705EC"/>
    <w:rsid w:val="0027065C"/>
    <w:rsid w:val="00270673"/>
    <w:rsid w:val="00270714"/>
    <w:rsid w:val="0027073F"/>
    <w:rsid w:val="00270767"/>
    <w:rsid w:val="00270804"/>
    <w:rsid w:val="00270814"/>
    <w:rsid w:val="002708CC"/>
    <w:rsid w:val="00270954"/>
    <w:rsid w:val="00270988"/>
    <w:rsid w:val="002709CC"/>
    <w:rsid w:val="00270B52"/>
    <w:rsid w:val="00270B66"/>
    <w:rsid w:val="00270B7F"/>
    <w:rsid w:val="00270BB2"/>
    <w:rsid w:val="00270E4F"/>
    <w:rsid w:val="00270EA3"/>
    <w:rsid w:val="00270F55"/>
    <w:rsid w:val="00270FE4"/>
    <w:rsid w:val="00271012"/>
    <w:rsid w:val="0027107D"/>
    <w:rsid w:val="002712BC"/>
    <w:rsid w:val="0027140F"/>
    <w:rsid w:val="002714F0"/>
    <w:rsid w:val="0027151A"/>
    <w:rsid w:val="00271590"/>
    <w:rsid w:val="002715BA"/>
    <w:rsid w:val="002715BF"/>
    <w:rsid w:val="002715D3"/>
    <w:rsid w:val="002715FE"/>
    <w:rsid w:val="0027165A"/>
    <w:rsid w:val="00271680"/>
    <w:rsid w:val="00271686"/>
    <w:rsid w:val="002716C5"/>
    <w:rsid w:val="0027177C"/>
    <w:rsid w:val="0027180F"/>
    <w:rsid w:val="00271843"/>
    <w:rsid w:val="002718A9"/>
    <w:rsid w:val="002718D7"/>
    <w:rsid w:val="00271928"/>
    <w:rsid w:val="0027194A"/>
    <w:rsid w:val="00271BDB"/>
    <w:rsid w:val="00271BDC"/>
    <w:rsid w:val="00271D6A"/>
    <w:rsid w:val="00271DB7"/>
    <w:rsid w:val="00271F02"/>
    <w:rsid w:val="00271F61"/>
    <w:rsid w:val="00271F91"/>
    <w:rsid w:val="0027205B"/>
    <w:rsid w:val="00272071"/>
    <w:rsid w:val="002720CC"/>
    <w:rsid w:val="0027212A"/>
    <w:rsid w:val="00272211"/>
    <w:rsid w:val="00272331"/>
    <w:rsid w:val="002723C8"/>
    <w:rsid w:val="002723D6"/>
    <w:rsid w:val="002724E3"/>
    <w:rsid w:val="002724F4"/>
    <w:rsid w:val="0027259A"/>
    <w:rsid w:val="0027274A"/>
    <w:rsid w:val="002728DF"/>
    <w:rsid w:val="00272A08"/>
    <w:rsid w:val="00272B7B"/>
    <w:rsid w:val="00272C08"/>
    <w:rsid w:val="00272C69"/>
    <w:rsid w:val="00272D80"/>
    <w:rsid w:val="00272DA9"/>
    <w:rsid w:val="0027311B"/>
    <w:rsid w:val="002731CA"/>
    <w:rsid w:val="00273235"/>
    <w:rsid w:val="00273263"/>
    <w:rsid w:val="00273377"/>
    <w:rsid w:val="00273453"/>
    <w:rsid w:val="00273610"/>
    <w:rsid w:val="0027366F"/>
    <w:rsid w:val="0027372C"/>
    <w:rsid w:val="00273762"/>
    <w:rsid w:val="0027387B"/>
    <w:rsid w:val="00273892"/>
    <w:rsid w:val="00273947"/>
    <w:rsid w:val="00273A08"/>
    <w:rsid w:val="00273A10"/>
    <w:rsid w:val="00273A3F"/>
    <w:rsid w:val="00273A7D"/>
    <w:rsid w:val="00273AD5"/>
    <w:rsid w:val="00273B94"/>
    <w:rsid w:val="00273BE5"/>
    <w:rsid w:val="00273CCE"/>
    <w:rsid w:val="00273CDC"/>
    <w:rsid w:val="00273CE6"/>
    <w:rsid w:val="00273CFB"/>
    <w:rsid w:val="00273DF3"/>
    <w:rsid w:val="00273F91"/>
    <w:rsid w:val="00273F97"/>
    <w:rsid w:val="00274016"/>
    <w:rsid w:val="00274117"/>
    <w:rsid w:val="0027418F"/>
    <w:rsid w:val="002741C1"/>
    <w:rsid w:val="002742B3"/>
    <w:rsid w:val="0027448F"/>
    <w:rsid w:val="002746EA"/>
    <w:rsid w:val="0027491E"/>
    <w:rsid w:val="002749FF"/>
    <w:rsid w:val="00274A2E"/>
    <w:rsid w:val="00274AA2"/>
    <w:rsid w:val="00274C14"/>
    <w:rsid w:val="00274DDF"/>
    <w:rsid w:val="00274E2B"/>
    <w:rsid w:val="00274E93"/>
    <w:rsid w:val="00274E99"/>
    <w:rsid w:val="00275042"/>
    <w:rsid w:val="002750EA"/>
    <w:rsid w:val="0027539F"/>
    <w:rsid w:val="002753AD"/>
    <w:rsid w:val="00275485"/>
    <w:rsid w:val="0027550F"/>
    <w:rsid w:val="0027563B"/>
    <w:rsid w:val="002756E6"/>
    <w:rsid w:val="00275730"/>
    <w:rsid w:val="00275778"/>
    <w:rsid w:val="00275819"/>
    <w:rsid w:val="00275882"/>
    <w:rsid w:val="002759C8"/>
    <w:rsid w:val="00275ABF"/>
    <w:rsid w:val="00275B34"/>
    <w:rsid w:val="00275BBE"/>
    <w:rsid w:val="00275C25"/>
    <w:rsid w:val="00275FEA"/>
    <w:rsid w:val="00275FF9"/>
    <w:rsid w:val="002760F4"/>
    <w:rsid w:val="00276130"/>
    <w:rsid w:val="00276161"/>
    <w:rsid w:val="0027639C"/>
    <w:rsid w:val="002764D0"/>
    <w:rsid w:val="00276518"/>
    <w:rsid w:val="00276561"/>
    <w:rsid w:val="002765DB"/>
    <w:rsid w:val="00276663"/>
    <w:rsid w:val="002766AA"/>
    <w:rsid w:val="002766D9"/>
    <w:rsid w:val="002767CA"/>
    <w:rsid w:val="00276836"/>
    <w:rsid w:val="00276919"/>
    <w:rsid w:val="002769AF"/>
    <w:rsid w:val="002769BB"/>
    <w:rsid w:val="00276AD6"/>
    <w:rsid w:val="00276B29"/>
    <w:rsid w:val="00276B9C"/>
    <w:rsid w:val="00276BC4"/>
    <w:rsid w:val="00276C48"/>
    <w:rsid w:val="00276D80"/>
    <w:rsid w:val="00276DFE"/>
    <w:rsid w:val="00276E13"/>
    <w:rsid w:val="00276F3E"/>
    <w:rsid w:val="00276FB3"/>
    <w:rsid w:val="00276FBD"/>
    <w:rsid w:val="00277016"/>
    <w:rsid w:val="002772F7"/>
    <w:rsid w:val="00277401"/>
    <w:rsid w:val="00277402"/>
    <w:rsid w:val="00277436"/>
    <w:rsid w:val="002774BE"/>
    <w:rsid w:val="00277579"/>
    <w:rsid w:val="0027757D"/>
    <w:rsid w:val="00277593"/>
    <w:rsid w:val="002775A8"/>
    <w:rsid w:val="00277666"/>
    <w:rsid w:val="002776AC"/>
    <w:rsid w:val="002777B6"/>
    <w:rsid w:val="00277889"/>
    <w:rsid w:val="0027788B"/>
    <w:rsid w:val="002778D6"/>
    <w:rsid w:val="002778E3"/>
    <w:rsid w:val="00277937"/>
    <w:rsid w:val="002779C1"/>
    <w:rsid w:val="002779E0"/>
    <w:rsid w:val="00277A2A"/>
    <w:rsid w:val="00277BE2"/>
    <w:rsid w:val="00277D53"/>
    <w:rsid w:val="00277EC9"/>
    <w:rsid w:val="00277ECD"/>
    <w:rsid w:val="00277ED8"/>
    <w:rsid w:val="00277F04"/>
    <w:rsid w:val="00277FA7"/>
    <w:rsid w:val="00280018"/>
    <w:rsid w:val="002800B0"/>
    <w:rsid w:val="002800B1"/>
    <w:rsid w:val="00280181"/>
    <w:rsid w:val="0028024D"/>
    <w:rsid w:val="0028025A"/>
    <w:rsid w:val="002802CE"/>
    <w:rsid w:val="00280382"/>
    <w:rsid w:val="0028044B"/>
    <w:rsid w:val="00280527"/>
    <w:rsid w:val="002805EA"/>
    <w:rsid w:val="00280626"/>
    <w:rsid w:val="00280649"/>
    <w:rsid w:val="00280670"/>
    <w:rsid w:val="002806AC"/>
    <w:rsid w:val="002806ED"/>
    <w:rsid w:val="00280736"/>
    <w:rsid w:val="002807ED"/>
    <w:rsid w:val="0028084F"/>
    <w:rsid w:val="002808C3"/>
    <w:rsid w:val="002808C8"/>
    <w:rsid w:val="002808D4"/>
    <w:rsid w:val="00280996"/>
    <w:rsid w:val="00280B3E"/>
    <w:rsid w:val="00280C90"/>
    <w:rsid w:val="00280D9C"/>
    <w:rsid w:val="00280DE5"/>
    <w:rsid w:val="00280E0A"/>
    <w:rsid w:val="00280E66"/>
    <w:rsid w:val="00280FB7"/>
    <w:rsid w:val="00280FC9"/>
    <w:rsid w:val="0028108F"/>
    <w:rsid w:val="0028109B"/>
    <w:rsid w:val="002810A3"/>
    <w:rsid w:val="0028118D"/>
    <w:rsid w:val="002811A7"/>
    <w:rsid w:val="002811BF"/>
    <w:rsid w:val="00281329"/>
    <w:rsid w:val="0028139F"/>
    <w:rsid w:val="00281425"/>
    <w:rsid w:val="0028149E"/>
    <w:rsid w:val="002814FC"/>
    <w:rsid w:val="002818F4"/>
    <w:rsid w:val="00281947"/>
    <w:rsid w:val="00281960"/>
    <w:rsid w:val="00281A02"/>
    <w:rsid w:val="00281B36"/>
    <w:rsid w:val="00281CC9"/>
    <w:rsid w:val="00281D59"/>
    <w:rsid w:val="00281D99"/>
    <w:rsid w:val="00281DC5"/>
    <w:rsid w:val="00281E6A"/>
    <w:rsid w:val="00281F44"/>
    <w:rsid w:val="002820C1"/>
    <w:rsid w:val="00282179"/>
    <w:rsid w:val="0028219F"/>
    <w:rsid w:val="0028221A"/>
    <w:rsid w:val="002822AC"/>
    <w:rsid w:val="0028251D"/>
    <w:rsid w:val="00282576"/>
    <w:rsid w:val="0028269D"/>
    <w:rsid w:val="002826BE"/>
    <w:rsid w:val="0028285B"/>
    <w:rsid w:val="00282861"/>
    <w:rsid w:val="00282880"/>
    <w:rsid w:val="0028288C"/>
    <w:rsid w:val="002829A0"/>
    <w:rsid w:val="002829C8"/>
    <w:rsid w:val="00282A0F"/>
    <w:rsid w:val="00282A1C"/>
    <w:rsid w:val="00282BB2"/>
    <w:rsid w:val="00282BFD"/>
    <w:rsid w:val="00282C00"/>
    <w:rsid w:val="00282DBE"/>
    <w:rsid w:val="00282E1A"/>
    <w:rsid w:val="00282E4F"/>
    <w:rsid w:val="00282FE4"/>
    <w:rsid w:val="00283036"/>
    <w:rsid w:val="002831F9"/>
    <w:rsid w:val="0028322E"/>
    <w:rsid w:val="0028337E"/>
    <w:rsid w:val="002833ED"/>
    <w:rsid w:val="002834BD"/>
    <w:rsid w:val="002834F7"/>
    <w:rsid w:val="002835D8"/>
    <w:rsid w:val="0028363B"/>
    <w:rsid w:val="002836A4"/>
    <w:rsid w:val="00283805"/>
    <w:rsid w:val="0028386D"/>
    <w:rsid w:val="00283A44"/>
    <w:rsid w:val="00283B24"/>
    <w:rsid w:val="00283BC1"/>
    <w:rsid w:val="00283C0E"/>
    <w:rsid w:val="00283C26"/>
    <w:rsid w:val="00283C53"/>
    <w:rsid w:val="00283CE2"/>
    <w:rsid w:val="00283CF9"/>
    <w:rsid w:val="00283D7A"/>
    <w:rsid w:val="00283E59"/>
    <w:rsid w:val="00283E5F"/>
    <w:rsid w:val="00284099"/>
    <w:rsid w:val="002840EF"/>
    <w:rsid w:val="00284101"/>
    <w:rsid w:val="00284147"/>
    <w:rsid w:val="00284167"/>
    <w:rsid w:val="002841A6"/>
    <w:rsid w:val="00284314"/>
    <w:rsid w:val="00284418"/>
    <w:rsid w:val="0028454B"/>
    <w:rsid w:val="002845F8"/>
    <w:rsid w:val="002845FB"/>
    <w:rsid w:val="00284642"/>
    <w:rsid w:val="00284662"/>
    <w:rsid w:val="002846FC"/>
    <w:rsid w:val="002848E0"/>
    <w:rsid w:val="0028497A"/>
    <w:rsid w:val="002849AA"/>
    <w:rsid w:val="00284AAE"/>
    <w:rsid w:val="00284BB1"/>
    <w:rsid w:val="00284BF4"/>
    <w:rsid w:val="00284CBD"/>
    <w:rsid w:val="00284DB7"/>
    <w:rsid w:val="00284DFA"/>
    <w:rsid w:val="00284E0E"/>
    <w:rsid w:val="00284E2D"/>
    <w:rsid w:val="00284FF9"/>
    <w:rsid w:val="0028508A"/>
    <w:rsid w:val="002850FB"/>
    <w:rsid w:val="0028535A"/>
    <w:rsid w:val="00285448"/>
    <w:rsid w:val="00285452"/>
    <w:rsid w:val="00285557"/>
    <w:rsid w:val="0028566A"/>
    <w:rsid w:val="00285677"/>
    <w:rsid w:val="002856BD"/>
    <w:rsid w:val="00285745"/>
    <w:rsid w:val="002857B7"/>
    <w:rsid w:val="00285896"/>
    <w:rsid w:val="00285911"/>
    <w:rsid w:val="0028593E"/>
    <w:rsid w:val="00285965"/>
    <w:rsid w:val="00285996"/>
    <w:rsid w:val="00285A0B"/>
    <w:rsid w:val="00285A22"/>
    <w:rsid w:val="00285B39"/>
    <w:rsid w:val="00285BBE"/>
    <w:rsid w:val="00285C41"/>
    <w:rsid w:val="00285C58"/>
    <w:rsid w:val="00285E19"/>
    <w:rsid w:val="00285F04"/>
    <w:rsid w:val="002860E7"/>
    <w:rsid w:val="0028618F"/>
    <w:rsid w:val="002862A6"/>
    <w:rsid w:val="002863A9"/>
    <w:rsid w:val="002863E8"/>
    <w:rsid w:val="0028647D"/>
    <w:rsid w:val="002864BB"/>
    <w:rsid w:val="0028668D"/>
    <w:rsid w:val="002866A5"/>
    <w:rsid w:val="0028676C"/>
    <w:rsid w:val="00286A66"/>
    <w:rsid w:val="00286BC9"/>
    <w:rsid w:val="00286C56"/>
    <w:rsid w:val="00286C69"/>
    <w:rsid w:val="00286CCA"/>
    <w:rsid w:val="00286DF5"/>
    <w:rsid w:val="00286E34"/>
    <w:rsid w:val="00286E3A"/>
    <w:rsid w:val="0028703B"/>
    <w:rsid w:val="002870C2"/>
    <w:rsid w:val="0028710F"/>
    <w:rsid w:val="00287278"/>
    <w:rsid w:val="00287298"/>
    <w:rsid w:val="002872E0"/>
    <w:rsid w:val="0028730F"/>
    <w:rsid w:val="002873B2"/>
    <w:rsid w:val="00287490"/>
    <w:rsid w:val="002874BD"/>
    <w:rsid w:val="002874D4"/>
    <w:rsid w:val="00287508"/>
    <w:rsid w:val="00287549"/>
    <w:rsid w:val="00287769"/>
    <w:rsid w:val="002877A9"/>
    <w:rsid w:val="002878A7"/>
    <w:rsid w:val="002878B1"/>
    <w:rsid w:val="002878C3"/>
    <w:rsid w:val="00287B1A"/>
    <w:rsid w:val="00287B9C"/>
    <w:rsid w:val="00287BCB"/>
    <w:rsid w:val="00287BEB"/>
    <w:rsid w:val="00287D86"/>
    <w:rsid w:val="00287D89"/>
    <w:rsid w:val="00287F42"/>
    <w:rsid w:val="00287F81"/>
    <w:rsid w:val="00290153"/>
    <w:rsid w:val="002901CE"/>
    <w:rsid w:val="00290231"/>
    <w:rsid w:val="00290251"/>
    <w:rsid w:val="00290270"/>
    <w:rsid w:val="002902C3"/>
    <w:rsid w:val="002902FF"/>
    <w:rsid w:val="0029036F"/>
    <w:rsid w:val="002903A6"/>
    <w:rsid w:val="0029041E"/>
    <w:rsid w:val="00290442"/>
    <w:rsid w:val="00290496"/>
    <w:rsid w:val="00290511"/>
    <w:rsid w:val="00290666"/>
    <w:rsid w:val="00290780"/>
    <w:rsid w:val="002907E4"/>
    <w:rsid w:val="0029088E"/>
    <w:rsid w:val="002908DA"/>
    <w:rsid w:val="0029094F"/>
    <w:rsid w:val="002909A8"/>
    <w:rsid w:val="002909BD"/>
    <w:rsid w:val="00290AA2"/>
    <w:rsid w:val="00290C8C"/>
    <w:rsid w:val="0029105D"/>
    <w:rsid w:val="00291080"/>
    <w:rsid w:val="0029108E"/>
    <w:rsid w:val="00291155"/>
    <w:rsid w:val="00291318"/>
    <w:rsid w:val="0029131A"/>
    <w:rsid w:val="00291322"/>
    <w:rsid w:val="00291336"/>
    <w:rsid w:val="002915A5"/>
    <w:rsid w:val="002916D6"/>
    <w:rsid w:val="00291862"/>
    <w:rsid w:val="0029193D"/>
    <w:rsid w:val="002919FB"/>
    <w:rsid w:val="00291A6A"/>
    <w:rsid w:val="00291AA8"/>
    <w:rsid w:val="00291AD8"/>
    <w:rsid w:val="00291C3D"/>
    <w:rsid w:val="00291C76"/>
    <w:rsid w:val="00291C94"/>
    <w:rsid w:val="00291CD5"/>
    <w:rsid w:val="00291EB6"/>
    <w:rsid w:val="00291F38"/>
    <w:rsid w:val="0029225A"/>
    <w:rsid w:val="00292335"/>
    <w:rsid w:val="00292346"/>
    <w:rsid w:val="0029235F"/>
    <w:rsid w:val="00292367"/>
    <w:rsid w:val="00292463"/>
    <w:rsid w:val="002925B1"/>
    <w:rsid w:val="00292650"/>
    <w:rsid w:val="00292766"/>
    <w:rsid w:val="0029276E"/>
    <w:rsid w:val="002928DC"/>
    <w:rsid w:val="00292942"/>
    <w:rsid w:val="0029295E"/>
    <w:rsid w:val="00292AAC"/>
    <w:rsid w:val="00292AF6"/>
    <w:rsid w:val="00292AFA"/>
    <w:rsid w:val="00292CB5"/>
    <w:rsid w:val="00292CDB"/>
    <w:rsid w:val="00292D5E"/>
    <w:rsid w:val="00292E4B"/>
    <w:rsid w:val="00292F07"/>
    <w:rsid w:val="00293030"/>
    <w:rsid w:val="0029316D"/>
    <w:rsid w:val="0029318D"/>
    <w:rsid w:val="002932CC"/>
    <w:rsid w:val="0029331F"/>
    <w:rsid w:val="0029333B"/>
    <w:rsid w:val="00293361"/>
    <w:rsid w:val="002933B4"/>
    <w:rsid w:val="002933B9"/>
    <w:rsid w:val="002933ED"/>
    <w:rsid w:val="00293447"/>
    <w:rsid w:val="00293657"/>
    <w:rsid w:val="00293677"/>
    <w:rsid w:val="002936BD"/>
    <w:rsid w:val="00293829"/>
    <w:rsid w:val="002938E4"/>
    <w:rsid w:val="00293966"/>
    <w:rsid w:val="002939E4"/>
    <w:rsid w:val="00293AA9"/>
    <w:rsid w:val="00293ADF"/>
    <w:rsid w:val="00293B95"/>
    <w:rsid w:val="00293BED"/>
    <w:rsid w:val="00293C2D"/>
    <w:rsid w:val="00293D62"/>
    <w:rsid w:val="00293DF6"/>
    <w:rsid w:val="00293E25"/>
    <w:rsid w:val="00293E2A"/>
    <w:rsid w:val="00293EA5"/>
    <w:rsid w:val="00293EAB"/>
    <w:rsid w:val="00293F52"/>
    <w:rsid w:val="00293FC1"/>
    <w:rsid w:val="00294016"/>
    <w:rsid w:val="0029405B"/>
    <w:rsid w:val="002942A1"/>
    <w:rsid w:val="00294345"/>
    <w:rsid w:val="0029434A"/>
    <w:rsid w:val="0029441E"/>
    <w:rsid w:val="0029455C"/>
    <w:rsid w:val="00294560"/>
    <w:rsid w:val="0029458E"/>
    <w:rsid w:val="002945B8"/>
    <w:rsid w:val="002945F6"/>
    <w:rsid w:val="0029461B"/>
    <w:rsid w:val="00294640"/>
    <w:rsid w:val="00294678"/>
    <w:rsid w:val="002946A5"/>
    <w:rsid w:val="0029471F"/>
    <w:rsid w:val="0029476B"/>
    <w:rsid w:val="0029484E"/>
    <w:rsid w:val="00294939"/>
    <w:rsid w:val="002949F2"/>
    <w:rsid w:val="00294B2D"/>
    <w:rsid w:val="00294B36"/>
    <w:rsid w:val="00294C42"/>
    <w:rsid w:val="00294C72"/>
    <w:rsid w:val="00294C7A"/>
    <w:rsid w:val="00294C81"/>
    <w:rsid w:val="00294F16"/>
    <w:rsid w:val="00294F8C"/>
    <w:rsid w:val="002950C3"/>
    <w:rsid w:val="00295136"/>
    <w:rsid w:val="002951E4"/>
    <w:rsid w:val="002951EB"/>
    <w:rsid w:val="00295273"/>
    <w:rsid w:val="002952D4"/>
    <w:rsid w:val="002953A5"/>
    <w:rsid w:val="002953B4"/>
    <w:rsid w:val="00295486"/>
    <w:rsid w:val="0029558A"/>
    <w:rsid w:val="002955C9"/>
    <w:rsid w:val="002955DE"/>
    <w:rsid w:val="00295636"/>
    <w:rsid w:val="0029565C"/>
    <w:rsid w:val="0029577F"/>
    <w:rsid w:val="00295882"/>
    <w:rsid w:val="00295883"/>
    <w:rsid w:val="00295A7A"/>
    <w:rsid w:val="00295AEA"/>
    <w:rsid w:val="00295B83"/>
    <w:rsid w:val="00295BCE"/>
    <w:rsid w:val="00295C35"/>
    <w:rsid w:val="00295C41"/>
    <w:rsid w:val="00295C9D"/>
    <w:rsid w:val="00295DA8"/>
    <w:rsid w:val="00295E14"/>
    <w:rsid w:val="00295FD8"/>
    <w:rsid w:val="00296024"/>
    <w:rsid w:val="0029608C"/>
    <w:rsid w:val="002960C1"/>
    <w:rsid w:val="002960F0"/>
    <w:rsid w:val="002961F1"/>
    <w:rsid w:val="00296268"/>
    <w:rsid w:val="00296292"/>
    <w:rsid w:val="002962B3"/>
    <w:rsid w:val="00296376"/>
    <w:rsid w:val="0029660C"/>
    <w:rsid w:val="0029678A"/>
    <w:rsid w:val="00296792"/>
    <w:rsid w:val="00296915"/>
    <w:rsid w:val="00296987"/>
    <w:rsid w:val="0029699A"/>
    <w:rsid w:val="002969D6"/>
    <w:rsid w:val="00296AB5"/>
    <w:rsid w:val="00296C26"/>
    <w:rsid w:val="00296D28"/>
    <w:rsid w:val="00296E7E"/>
    <w:rsid w:val="00296E97"/>
    <w:rsid w:val="00296EA5"/>
    <w:rsid w:val="00296EF3"/>
    <w:rsid w:val="00296F0A"/>
    <w:rsid w:val="00296F33"/>
    <w:rsid w:val="00296F52"/>
    <w:rsid w:val="00296FE2"/>
    <w:rsid w:val="00297067"/>
    <w:rsid w:val="00297199"/>
    <w:rsid w:val="002971FF"/>
    <w:rsid w:val="0029725E"/>
    <w:rsid w:val="00297286"/>
    <w:rsid w:val="00297370"/>
    <w:rsid w:val="002973C0"/>
    <w:rsid w:val="002973D2"/>
    <w:rsid w:val="002973F2"/>
    <w:rsid w:val="002974BD"/>
    <w:rsid w:val="00297690"/>
    <w:rsid w:val="002976DC"/>
    <w:rsid w:val="002978A0"/>
    <w:rsid w:val="00297915"/>
    <w:rsid w:val="00297923"/>
    <w:rsid w:val="0029793A"/>
    <w:rsid w:val="00297A7E"/>
    <w:rsid w:val="00297AB7"/>
    <w:rsid w:val="00297B34"/>
    <w:rsid w:val="00297B5E"/>
    <w:rsid w:val="00297B82"/>
    <w:rsid w:val="00297B8B"/>
    <w:rsid w:val="00297BAD"/>
    <w:rsid w:val="00297BCB"/>
    <w:rsid w:val="00297C0B"/>
    <w:rsid w:val="00297CAF"/>
    <w:rsid w:val="00297CBE"/>
    <w:rsid w:val="00297CD9"/>
    <w:rsid w:val="00297D2D"/>
    <w:rsid w:val="00297D3D"/>
    <w:rsid w:val="00297E53"/>
    <w:rsid w:val="00297E9D"/>
    <w:rsid w:val="002A0032"/>
    <w:rsid w:val="002A0172"/>
    <w:rsid w:val="002A02EC"/>
    <w:rsid w:val="002A02EF"/>
    <w:rsid w:val="002A03E4"/>
    <w:rsid w:val="002A0401"/>
    <w:rsid w:val="002A0473"/>
    <w:rsid w:val="002A04A9"/>
    <w:rsid w:val="002A0583"/>
    <w:rsid w:val="002A0756"/>
    <w:rsid w:val="002A08B1"/>
    <w:rsid w:val="002A08DE"/>
    <w:rsid w:val="002A0993"/>
    <w:rsid w:val="002A09A2"/>
    <w:rsid w:val="002A0A50"/>
    <w:rsid w:val="002A0ADF"/>
    <w:rsid w:val="002A0B16"/>
    <w:rsid w:val="002A0CC9"/>
    <w:rsid w:val="002A0D38"/>
    <w:rsid w:val="002A0D81"/>
    <w:rsid w:val="002A0DB3"/>
    <w:rsid w:val="002A0DC6"/>
    <w:rsid w:val="002A0E5C"/>
    <w:rsid w:val="002A0F68"/>
    <w:rsid w:val="002A1039"/>
    <w:rsid w:val="002A1096"/>
    <w:rsid w:val="002A1166"/>
    <w:rsid w:val="002A119D"/>
    <w:rsid w:val="002A1247"/>
    <w:rsid w:val="002A125C"/>
    <w:rsid w:val="002A1260"/>
    <w:rsid w:val="002A1293"/>
    <w:rsid w:val="002A138C"/>
    <w:rsid w:val="002A13DC"/>
    <w:rsid w:val="002A1482"/>
    <w:rsid w:val="002A1689"/>
    <w:rsid w:val="002A16D9"/>
    <w:rsid w:val="002A1800"/>
    <w:rsid w:val="002A1806"/>
    <w:rsid w:val="002A18D5"/>
    <w:rsid w:val="002A1A1B"/>
    <w:rsid w:val="002A1A23"/>
    <w:rsid w:val="002A1B08"/>
    <w:rsid w:val="002A1B3A"/>
    <w:rsid w:val="002A1B4F"/>
    <w:rsid w:val="002A1B60"/>
    <w:rsid w:val="002A1B6A"/>
    <w:rsid w:val="002A1C1E"/>
    <w:rsid w:val="002A1C7B"/>
    <w:rsid w:val="002A1D12"/>
    <w:rsid w:val="002A1D61"/>
    <w:rsid w:val="002A1EEC"/>
    <w:rsid w:val="002A1FFB"/>
    <w:rsid w:val="002A203B"/>
    <w:rsid w:val="002A208A"/>
    <w:rsid w:val="002A2096"/>
    <w:rsid w:val="002A219B"/>
    <w:rsid w:val="002A2273"/>
    <w:rsid w:val="002A227B"/>
    <w:rsid w:val="002A22AF"/>
    <w:rsid w:val="002A22BF"/>
    <w:rsid w:val="002A2452"/>
    <w:rsid w:val="002A2454"/>
    <w:rsid w:val="002A2472"/>
    <w:rsid w:val="002A2501"/>
    <w:rsid w:val="002A2536"/>
    <w:rsid w:val="002A256A"/>
    <w:rsid w:val="002A25C4"/>
    <w:rsid w:val="002A2618"/>
    <w:rsid w:val="002A263E"/>
    <w:rsid w:val="002A2685"/>
    <w:rsid w:val="002A26D4"/>
    <w:rsid w:val="002A2738"/>
    <w:rsid w:val="002A27C3"/>
    <w:rsid w:val="002A28E5"/>
    <w:rsid w:val="002A2A2B"/>
    <w:rsid w:val="002A2A2C"/>
    <w:rsid w:val="002A2CB0"/>
    <w:rsid w:val="002A2D85"/>
    <w:rsid w:val="002A2E90"/>
    <w:rsid w:val="002A2E9C"/>
    <w:rsid w:val="002A2ECF"/>
    <w:rsid w:val="002A2F6B"/>
    <w:rsid w:val="002A2F70"/>
    <w:rsid w:val="002A2FB9"/>
    <w:rsid w:val="002A3021"/>
    <w:rsid w:val="002A30C2"/>
    <w:rsid w:val="002A3152"/>
    <w:rsid w:val="002A317C"/>
    <w:rsid w:val="002A32CD"/>
    <w:rsid w:val="002A33BD"/>
    <w:rsid w:val="002A3523"/>
    <w:rsid w:val="002A3722"/>
    <w:rsid w:val="002A3755"/>
    <w:rsid w:val="002A378C"/>
    <w:rsid w:val="002A3823"/>
    <w:rsid w:val="002A3A57"/>
    <w:rsid w:val="002A3B00"/>
    <w:rsid w:val="002A3C11"/>
    <w:rsid w:val="002A3CDD"/>
    <w:rsid w:val="002A3D31"/>
    <w:rsid w:val="002A3D68"/>
    <w:rsid w:val="002A3D71"/>
    <w:rsid w:val="002A3D9F"/>
    <w:rsid w:val="002A3F9E"/>
    <w:rsid w:val="002A3FB8"/>
    <w:rsid w:val="002A4014"/>
    <w:rsid w:val="002A4156"/>
    <w:rsid w:val="002A4259"/>
    <w:rsid w:val="002A428E"/>
    <w:rsid w:val="002A43B0"/>
    <w:rsid w:val="002A4538"/>
    <w:rsid w:val="002A462D"/>
    <w:rsid w:val="002A46A4"/>
    <w:rsid w:val="002A472A"/>
    <w:rsid w:val="002A483C"/>
    <w:rsid w:val="002A48D5"/>
    <w:rsid w:val="002A4924"/>
    <w:rsid w:val="002A4AED"/>
    <w:rsid w:val="002A4B58"/>
    <w:rsid w:val="002A4B66"/>
    <w:rsid w:val="002A4BBB"/>
    <w:rsid w:val="002A4BE1"/>
    <w:rsid w:val="002A4C0E"/>
    <w:rsid w:val="002A4C69"/>
    <w:rsid w:val="002A4D13"/>
    <w:rsid w:val="002A4D20"/>
    <w:rsid w:val="002A4F6C"/>
    <w:rsid w:val="002A50BC"/>
    <w:rsid w:val="002A50ED"/>
    <w:rsid w:val="002A5164"/>
    <w:rsid w:val="002A516D"/>
    <w:rsid w:val="002A524C"/>
    <w:rsid w:val="002A5345"/>
    <w:rsid w:val="002A53B3"/>
    <w:rsid w:val="002A544D"/>
    <w:rsid w:val="002A54B3"/>
    <w:rsid w:val="002A5534"/>
    <w:rsid w:val="002A56D3"/>
    <w:rsid w:val="002A5729"/>
    <w:rsid w:val="002A57A1"/>
    <w:rsid w:val="002A5805"/>
    <w:rsid w:val="002A5912"/>
    <w:rsid w:val="002A5A0B"/>
    <w:rsid w:val="002A5A89"/>
    <w:rsid w:val="002A5B84"/>
    <w:rsid w:val="002A5C1B"/>
    <w:rsid w:val="002A5C33"/>
    <w:rsid w:val="002A5D19"/>
    <w:rsid w:val="002A5D5C"/>
    <w:rsid w:val="002A5E3F"/>
    <w:rsid w:val="002A5E5B"/>
    <w:rsid w:val="002A5F16"/>
    <w:rsid w:val="002A5F4B"/>
    <w:rsid w:val="002A609F"/>
    <w:rsid w:val="002A613E"/>
    <w:rsid w:val="002A6201"/>
    <w:rsid w:val="002A62E2"/>
    <w:rsid w:val="002A6678"/>
    <w:rsid w:val="002A6753"/>
    <w:rsid w:val="002A67E3"/>
    <w:rsid w:val="002A698C"/>
    <w:rsid w:val="002A6ABB"/>
    <w:rsid w:val="002A6AFD"/>
    <w:rsid w:val="002A6B83"/>
    <w:rsid w:val="002A6C1C"/>
    <w:rsid w:val="002A6C3E"/>
    <w:rsid w:val="002A6C83"/>
    <w:rsid w:val="002A6C8B"/>
    <w:rsid w:val="002A6CDF"/>
    <w:rsid w:val="002A6DD1"/>
    <w:rsid w:val="002A6E02"/>
    <w:rsid w:val="002A6E30"/>
    <w:rsid w:val="002A6E8D"/>
    <w:rsid w:val="002A6EE0"/>
    <w:rsid w:val="002A7078"/>
    <w:rsid w:val="002A7085"/>
    <w:rsid w:val="002A70C3"/>
    <w:rsid w:val="002A70E3"/>
    <w:rsid w:val="002A7108"/>
    <w:rsid w:val="002A715D"/>
    <w:rsid w:val="002A71C4"/>
    <w:rsid w:val="002A731F"/>
    <w:rsid w:val="002A7324"/>
    <w:rsid w:val="002A74D0"/>
    <w:rsid w:val="002A758A"/>
    <w:rsid w:val="002A7590"/>
    <w:rsid w:val="002A75B7"/>
    <w:rsid w:val="002A778E"/>
    <w:rsid w:val="002A7792"/>
    <w:rsid w:val="002A786A"/>
    <w:rsid w:val="002A7927"/>
    <w:rsid w:val="002A7938"/>
    <w:rsid w:val="002A7B85"/>
    <w:rsid w:val="002A7B9A"/>
    <w:rsid w:val="002A7C32"/>
    <w:rsid w:val="002A7D82"/>
    <w:rsid w:val="002A7D92"/>
    <w:rsid w:val="002B008D"/>
    <w:rsid w:val="002B0168"/>
    <w:rsid w:val="002B023C"/>
    <w:rsid w:val="002B02AB"/>
    <w:rsid w:val="002B0307"/>
    <w:rsid w:val="002B03ED"/>
    <w:rsid w:val="002B0413"/>
    <w:rsid w:val="002B0452"/>
    <w:rsid w:val="002B045E"/>
    <w:rsid w:val="002B05CD"/>
    <w:rsid w:val="002B05D6"/>
    <w:rsid w:val="002B05EC"/>
    <w:rsid w:val="002B06D0"/>
    <w:rsid w:val="002B0724"/>
    <w:rsid w:val="002B0760"/>
    <w:rsid w:val="002B08DE"/>
    <w:rsid w:val="002B09AC"/>
    <w:rsid w:val="002B09C1"/>
    <w:rsid w:val="002B09FE"/>
    <w:rsid w:val="002B0A4B"/>
    <w:rsid w:val="002B0AA7"/>
    <w:rsid w:val="002B0D14"/>
    <w:rsid w:val="002B0DE2"/>
    <w:rsid w:val="002B0E4B"/>
    <w:rsid w:val="002B0E63"/>
    <w:rsid w:val="002B0F10"/>
    <w:rsid w:val="002B10F6"/>
    <w:rsid w:val="002B1138"/>
    <w:rsid w:val="002B1161"/>
    <w:rsid w:val="002B11AF"/>
    <w:rsid w:val="002B13B0"/>
    <w:rsid w:val="002B13EA"/>
    <w:rsid w:val="002B1552"/>
    <w:rsid w:val="002B1553"/>
    <w:rsid w:val="002B1578"/>
    <w:rsid w:val="002B16F4"/>
    <w:rsid w:val="002B173E"/>
    <w:rsid w:val="002B1743"/>
    <w:rsid w:val="002B17B4"/>
    <w:rsid w:val="002B18A8"/>
    <w:rsid w:val="002B1951"/>
    <w:rsid w:val="002B1955"/>
    <w:rsid w:val="002B19E0"/>
    <w:rsid w:val="002B1A18"/>
    <w:rsid w:val="002B1A4C"/>
    <w:rsid w:val="002B1A5F"/>
    <w:rsid w:val="002B1B03"/>
    <w:rsid w:val="002B1B05"/>
    <w:rsid w:val="002B1B57"/>
    <w:rsid w:val="002B1B5E"/>
    <w:rsid w:val="002B1C2F"/>
    <w:rsid w:val="002B1C4B"/>
    <w:rsid w:val="002B1C61"/>
    <w:rsid w:val="002B1D06"/>
    <w:rsid w:val="002B1DBC"/>
    <w:rsid w:val="002B1DE1"/>
    <w:rsid w:val="002B1FA2"/>
    <w:rsid w:val="002B20C0"/>
    <w:rsid w:val="002B2257"/>
    <w:rsid w:val="002B2269"/>
    <w:rsid w:val="002B23C0"/>
    <w:rsid w:val="002B2433"/>
    <w:rsid w:val="002B243A"/>
    <w:rsid w:val="002B24C2"/>
    <w:rsid w:val="002B25CE"/>
    <w:rsid w:val="002B25DF"/>
    <w:rsid w:val="002B2635"/>
    <w:rsid w:val="002B2664"/>
    <w:rsid w:val="002B268B"/>
    <w:rsid w:val="002B2700"/>
    <w:rsid w:val="002B280E"/>
    <w:rsid w:val="002B2817"/>
    <w:rsid w:val="002B29A5"/>
    <w:rsid w:val="002B29BE"/>
    <w:rsid w:val="002B29FE"/>
    <w:rsid w:val="002B2D6F"/>
    <w:rsid w:val="002B2EC2"/>
    <w:rsid w:val="002B2F73"/>
    <w:rsid w:val="002B2FD6"/>
    <w:rsid w:val="002B304C"/>
    <w:rsid w:val="002B3354"/>
    <w:rsid w:val="002B341F"/>
    <w:rsid w:val="002B34D4"/>
    <w:rsid w:val="002B354D"/>
    <w:rsid w:val="002B3585"/>
    <w:rsid w:val="002B360A"/>
    <w:rsid w:val="002B3628"/>
    <w:rsid w:val="002B36FB"/>
    <w:rsid w:val="002B3885"/>
    <w:rsid w:val="002B38EC"/>
    <w:rsid w:val="002B391E"/>
    <w:rsid w:val="002B392A"/>
    <w:rsid w:val="002B397F"/>
    <w:rsid w:val="002B39BE"/>
    <w:rsid w:val="002B3A4F"/>
    <w:rsid w:val="002B3A57"/>
    <w:rsid w:val="002B3A5F"/>
    <w:rsid w:val="002B3B13"/>
    <w:rsid w:val="002B3DC2"/>
    <w:rsid w:val="002B3FBE"/>
    <w:rsid w:val="002B401A"/>
    <w:rsid w:val="002B4039"/>
    <w:rsid w:val="002B408E"/>
    <w:rsid w:val="002B40C2"/>
    <w:rsid w:val="002B424A"/>
    <w:rsid w:val="002B42B7"/>
    <w:rsid w:val="002B4353"/>
    <w:rsid w:val="002B438A"/>
    <w:rsid w:val="002B43E0"/>
    <w:rsid w:val="002B4488"/>
    <w:rsid w:val="002B469A"/>
    <w:rsid w:val="002B4813"/>
    <w:rsid w:val="002B485B"/>
    <w:rsid w:val="002B4860"/>
    <w:rsid w:val="002B4893"/>
    <w:rsid w:val="002B4896"/>
    <w:rsid w:val="002B492B"/>
    <w:rsid w:val="002B4B51"/>
    <w:rsid w:val="002B4B77"/>
    <w:rsid w:val="002B4C68"/>
    <w:rsid w:val="002B4CC6"/>
    <w:rsid w:val="002B4E0D"/>
    <w:rsid w:val="002B4E1D"/>
    <w:rsid w:val="002B4EA3"/>
    <w:rsid w:val="002B4EB1"/>
    <w:rsid w:val="002B4F46"/>
    <w:rsid w:val="002B511F"/>
    <w:rsid w:val="002B5163"/>
    <w:rsid w:val="002B5230"/>
    <w:rsid w:val="002B526A"/>
    <w:rsid w:val="002B5298"/>
    <w:rsid w:val="002B532F"/>
    <w:rsid w:val="002B53D6"/>
    <w:rsid w:val="002B5400"/>
    <w:rsid w:val="002B5429"/>
    <w:rsid w:val="002B548F"/>
    <w:rsid w:val="002B559B"/>
    <w:rsid w:val="002B56E0"/>
    <w:rsid w:val="002B56F4"/>
    <w:rsid w:val="002B575F"/>
    <w:rsid w:val="002B57D2"/>
    <w:rsid w:val="002B57F9"/>
    <w:rsid w:val="002B5A3B"/>
    <w:rsid w:val="002B5A56"/>
    <w:rsid w:val="002B5A73"/>
    <w:rsid w:val="002B5A9A"/>
    <w:rsid w:val="002B5BCE"/>
    <w:rsid w:val="002B5C3E"/>
    <w:rsid w:val="002B5CD0"/>
    <w:rsid w:val="002B5DE1"/>
    <w:rsid w:val="002B5E48"/>
    <w:rsid w:val="002B5E9F"/>
    <w:rsid w:val="002B5EFB"/>
    <w:rsid w:val="002B5F0D"/>
    <w:rsid w:val="002B5FFD"/>
    <w:rsid w:val="002B604A"/>
    <w:rsid w:val="002B6117"/>
    <w:rsid w:val="002B622C"/>
    <w:rsid w:val="002B6367"/>
    <w:rsid w:val="002B63E0"/>
    <w:rsid w:val="002B6413"/>
    <w:rsid w:val="002B642A"/>
    <w:rsid w:val="002B64A8"/>
    <w:rsid w:val="002B6529"/>
    <w:rsid w:val="002B65E8"/>
    <w:rsid w:val="002B66DC"/>
    <w:rsid w:val="002B67E5"/>
    <w:rsid w:val="002B6846"/>
    <w:rsid w:val="002B6860"/>
    <w:rsid w:val="002B68F5"/>
    <w:rsid w:val="002B691F"/>
    <w:rsid w:val="002B6B68"/>
    <w:rsid w:val="002B6B7F"/>
    <w:rsid w:val="002B6B97"/>
    <w:rsid w:val="002B6BF7"/>
    <w:rsid w:val="002B6D5F"/>
    <w:rsid w:val="002B6D6D"/>
    <w:rsid w:val="002B6DED"/>
    <w:rsid w:val="002B6E02"/>
    <w:rsid w:val="002B6E3F"/>
    <w:rsid w:val="002B6E57"/>
    <w:rsid w:val="002B6F22"/>
    <w:rsid w:val="002B6F97"/>
    <w:rsid w:val="002B702B"/>
    <w:rsid w:val="002B703C"/>
    <w:rsid w:val="002B706F"/>
    <w:rsid w:val="002B7138"/>
    <w:rsid w:val="002B71F5"/>
    <w:rsid w:val="002B7285"/>
    <w:rsid w:val="002B72F7"/>
    <w:rsid w:val="002B7508"/>
    <w:rsid w:val="002B7562"/>
    <w:rsid w:val="002B7839"/>
    <w:rsid w:val="002B78AA"/>
    <w:rsid w:val="002B7930"/>
    <w:rsid w:val="002B7A6F"/>
    <w:rsid w:val="002B7A8C"/>
    <w:rsid w:val="002B7B20"/>
    <w:rsid w:val="002B7B8E"/>
    <w:rsid w:val="002B7BEE"/>
    <w:rsid w:val="002B7C49"/>
    <w:rsid w:val="002B7D36"/>
    <w:rsid w:val="002B7D9A"/>
    <w:rsid w:val="002B7DDC"/>
    <w:rsid w:val="002B7E0D"/>
    <w:rsid w:val="002B7E59"/>
    <w:rsid w:val="002B7E9F"/>
    <w:rsid w:val="002B7EAC"/>
    <w:rsid w:val="002C00D8"/>
    <w:rsid w:val="002C00FC"/>
    <w:rsid w:val="002C0123"/>
    <w:rsid w:val="002C015A"/>
    <w:rsid w:val="002C01B5"/>
    <w:rsid w:val="002C01C1"/>
    <w:rsid w:val="002C0288"/>
    <w:rsid w:val="002C02A4"/>
    <w:rsid w:val="002C0380"/>
    <w:rsid w:val="002C0381"/>
    <w:rsid w:val="002C0434"/>
    <w:rsid w:val="002C04B4"/>
    <w:rsid w:val="002C0642"/>
    <w:rsid w:val="002C0655"/>
    <w:rsid w:val="002C06C8"/>
    <w:rsid w:val="002C074E"/>
    <w:rsid w:val="002C0759"/>
    <w:rsid w:val="002C07D2"/>
    <w:rsid w:val="002C082D"/>
    <w:rsid w:val="002C0895"/>
    <w:rsid w:val="002C0A0C"/>
    <w:rsid w:val="002C0ACE"/>
    <w:rsid w:val="002C0CF5"/>
    <w:rsid w:val="002C0DBB"/>
    <w:rsid w:val="002C0F72"/>
    <w:rsid w:val="002C1071"/>
    <w:rsid w:val="002C1179"/>
    <w:rsid w:val="002C11BE"/>
    <w:rsid w:val="002C11CF"/>
    <w:rsid w:val="002C125A"/>
    <w:rsid w:val="002C12B7"/>
    <w:rsid w:val="002C14A5"/>
    <w:rsid w:val="002C14D9"/>
    <w:rsid w:val="002C14FF"/>
    <w:rsid w:val="002C150C"/>
    <w:rsid w:val="002C153B"/>
    <w:rsid w:val="002C1543"/>
    <w:rsid w:val="002C154B"/>
    <w:rsid w:val="002C1562"/>
    <w:rsid w:val="002C1609"/>
    <w:rsid w:val="002C1664"/>
    <w:rsid w:val="002C16CC"/>
    <w:rsid w:val="002C174B"/>
    <w:rsid w:val="002C1771"/>
    <w:rsid w:val="002C187C"/>
    <w:rsid w:val="002C19BC"/>
    <w:rsid w:val="002C1CAA"/>
    <w:rsid w:val="002C1CEB"/>
    <w:rsid w:val="002C1D06"/>
    <w:rsid w:val="002C1D26"/>
    <w:rsid w:val="002C1DE1"/>
    <w:rsid w:val="002C1DF3"/>
    <w:rsid w:val="002C1E36"/>
    <w:rsid w:val="002C1E87"/>
    <w:rsid w:val="002C1F3C"/>
    <w:rsid w:val="002C1FEE"/>
    <w:rsid w:val="002C2033"/>
    <w:rsid w:val="002C2116"/>
    <w:rsid w:val="002C2165"/>
    <w:rsid w:val="002C21F4"/>
    <w:rsid w:val="002C23BA"/>
    <w:rsid w:val="002C24F7"/>
    <w:rsid w:val="002C2507"/>
    <w:rsid w:val="002C2508"/>
    <w:rsid w:val="002C2567"/>
    <w:rsid w:val="002C2590"/>
    <w:rsid w:val="002C260C"/>
    <w:rsid w:val="002C2731"/>
    <w:rsid w:val="002C2757"/>
    <w:rsid w:val="002C2831"/>
    <w:rsid w:val="002C284D"/>
    <w:rsid w:val="002C2954"/>
    <w:rsid w:val="002C2974"/>
    <w:rsid w:val="002C2994"/>
    <w:rsid w:val="002C29D6"/>
    <w:rsid w:val="002C2ABB"/>
    <w:rsid w:val="002C2B04"/>
    <w:rsid w:val="002C2BA5"/>
    <w:rsid w:val="002C2BB9"/>
    <w:rsid w:val="002C2C68"/>
    <w:rsid w:val="002C2CCF"/>
    <w:rsid w:val="002C2DFF"/>
    <w:rsid w:val="002C309C"/>
    <w:rsid w:val="002C3103"/>
    <w:rsid w:val="002C3187"/>
    <w:rsid w:val="002C3218"/>
    <w:rsid w:val="002C3258"/>
    <w:rsid w:val="002C326C"/>
    <w:rsid w:val="002C32AA"/>
    <w:rsid w:val="002C3315"/>
    <w:rsid w:val="002C3341"/>
    <w:rsid w:val="002C342F"/>
    <w:rsid w:val="002C347F"/>
    <w:rsid w:val="002C34DA"/>
    <w:rsid w:val="002C3544"/>
    <w:rsid w:val="002C3548"/>
    <w:rsid w:val="002C354A"/>
    <w:rsid w:val="002C361D"/>
    <w:rsid w:val="002C3621"/>
    <w:rsid w:val="002C367A"/>
    <w:rsid w:val="002C36AD"/>
    <w:rsid w:val="002C3716"/>
    <w:rsid w:val="002C3740"/>
    <w:rsid w:val="002C377C"/>
    <w:rsid w:val="002C381D"/>
    <w:rsid w:val="002C3893"/>
    <w:rsid w:val="002C3A29"/>
    <w:rsid w:val="002C3A60"/>
    <w:rsid w:val="002C3A9D"/>
    <w:rsid w:val="002C3B97"/>
    <w:rsid w:val="002C3DE9"/>
    <w:rsid w:val="002C3E3C"/>
    <w:rsid w:val="002C3E47"/>
    <w:rsid w:val="002C406F"/>
    <w:rsid w:val="002C40B0"/>
    <w:rsid w:val="002C412E"/>
    <w:rsid w:val="002C41AC"/>
    <w:rsid w:val="002C4212"/>
    <w:rsid w:val="002C42BA"/>
    <w:rsid w:val="002C436B"/>
    <w:rsid w:val="002C450D"/>
    <w:rsid w:val="002C4545"/>
    <w:rsid w:val="002C4714"/>
    <w:rsid w:val="002C499A"/>
    <w:rsid w:val="002C49FA"/>
    <w:rsid w:val="002C4A7C"/>
    <w:rsid w:val="002C4ABB"/>
    <w:rsid w:val="002C4B97"/>
    <w:rsid w:val="002C4C48"/>
    <w:rsid w:val="002C4C69"/>
    <w:rsid w:val="002C4C84"/>
    <w:rsid w:val="002C4D1A"/>
    <w:rsid w:val="002C4D34"/>
    <w:rsid w:val="002C4E6E"/>
    <w:rsid w:val="002C4E95"/>
    <w:rsid w:val="002C4F41"/>
    <w:rsid w:val="002C4F63"/>
    <w:rsid w:val="002C4FF5"/>
    <w:rsid w:val="002C5040"/>
    <w:rsid w:val="002C5155"/>
    <w:rsid w:val="002C54D7"/>
    <w:rsid w:val="002C54F5"/>
    <w:rsid w:val="002C5529"/>
    <w:rsid w:val="002C556D"/>
    <w:rsid w:val="002C55BC"/>
    <w:rsid w:val="002C5627"/>
    <w:rsid w:val="002C5653"/>
    <w:rsid w:val="002C56BF"/>
    <w:rsid w:val="002C5796"/>
    <w:rsid w:val="002C57EC"/>
    <w:rsid w:val="002C588F"/>
    <w:rsid w:val="002C58C4"/>
    <w:rsid w:val="002C5A0C"/>
    <w:rsid w:val="002C5A5A"/>
    <w:rsid w:val="002C5BB0"/>
    <w:rsid w:val="002C5BEA"/>
    <w:rsid w:val="002C5CEC"/>
    <w:rsid w:val="002C5DC2"/>
    <w:rsid w:val="002C5DF4"/>
    <w:rsid w:val="002C5E92"/>
    <w:rsid w:val="002C5F2C"/>
    <w:rsid w:val="002C60C0"/>
    <w:rsid w:val="002C6121"/>
    <w:rsid w:val="002C61E1"/>
    <w:rsid w:val="002C621D"/>
    <w:rsid w:val="002C6356"/>
    <w:rsid w:val="002C64CB"/>
    <w:rsid w:val="002C6519"/>
    <w:rsid w:val="002C6544"/>
    <w:rsid w:val="002C6560"/>
    <w:rsid w:val="002C66A4"/>
    <w:rsid w:val="002C67C8"/>
    <w:rsid w:val="002C6806"/>
    <w:rsid w:val="002C68E3"/>
    <w:rsid w:val="002C68FF"/>
    <w:rsid w:val="002C6908"/>
    <w:rsid w:val="002C69E6"/>
    <w:rsid w:val="002C6A34"/>
    <w:rsid w:val="002C6A60"/>
    <w:rsid w:val="002C6B48"/>
    <w:rsid w:val="002C6B49"/>
    <w:rsid w:val="002C6E9D"/>
    <w:rsid w:val="002C7021"/>
    <w:rsid w:val="002C706E"/>
    <w:rsid w:val="002C70AE"/>
    <w:rsid w:val="002C730F"/>
    <w:rsid w:val="002C73DC"/>
    <w:rsid w:val="002C7410"/>
    <w:rsid w:val="002C749E"/>
    <w:rsid w:val="002C7503"/>
    <w:rsid w:val="002C754C"/>
    <w:rsid w:val="002C7699"/>
    <w:rsid w:val="002C7A5E"/>
    <w:rsid w:val="002C7AE5"/>
    <w:rsid w:val="002C7B23"/>
    <w:rsid w:val="002C7B64"/>
    <w:rsid w:val="002C7B71"/>
    <w:rsid w:val="002C7B9A"/>
    <w:rsid w:val="002C7EBF"/>
    <w:rsid w:val="002D016D"/>
    <w:rsid w:val="002D01B3"/>
    <w:rsid w:val="002D01E7"/>
    <w:rsid w:val="002D02B7"/>
    <w:rsid w:val="002D0479"/>
    <w:rsid w:val="002D04C5"/>
    <w:rsid w:val="002D05DB"/>
    <w:rsid w:val="002D0606"/>
    <w:rsid w:val="002D0770"/>
    <w:rsid w:val="002D07C8"/>
    <w:rsid w:val="002D087F"/>
    <w:rsid w:val="002D08DB"/>
    <w:rsid w:val="002D08F3"/>
    <w:rsid w:val="002D0969"/>
    <w:rsid w:val="002D09D4"/>
    <w:rsid w:val="002D0A11"/>
    <w:rsid w:val="002D0A4E"/>
    <w:rsid w:val="002D0A6A"/>
    <w:rsid w:val="002D0ABF"/>
    <w:rsid w:val="002D0AF6"/>
    <w:rsid w:val="002D0B04"/>
    <w:rsid w:val="002D0B3D"/>
    <w:rsid w:val="002D0B7A"/>
    <w:rsid w:val="002D0B8E"/>
    <w:rsid w:val="002D0BEF"/>
    <w:rsid w:val="002D0BF8"/>
    <w:rsid w:val="002D0D96"/>
    <w:rsid w:val="002D0DAA"/>
    <w:rsid w:val="002D0E00"/>
    <w:rsid w:val="002D0E2D"/>
    <w:rsid w:val="002D0E5E"/>
    <w:rsid w:val="002D0EBD"/>
    <w:rsid w:val="002D0F3B"/>
    <w:rsid w:val="002D1175"/>
    <w:rsid w:val="002D117E"/>
    <w:rsid w:val="002D11AE"/>
    <w:rsid w:val="002D1395"/>
    <w:rsid w:val="002D1496"/>
    <w:rsid w:val="002D1821"/>
    <w:rsid w:val="002D18DF"/>
    <w:rsid w:val="002D1B54"/>
    <w:rsid w:val="002D1BA2"/>
    <w:rsid w:val="002D1BC8"/>
    <w:rsid w:val="002D1C80"/>
    <w:rsid w:val="002D1E9E"/>
    <w:rsid w:val="002D1FE0"/>
    <w:rsid w:val="002D212B"/>
    <w:rsid w:val="002D2140"/>
    <w:rsid w:val="002D2405"/>
    <w:rsid w:val="002D24B8"/>
    <w:rsid w:val="002D24E3"/>
    <w:rsid w:val="002D24F3"/>
    <w:rsid w:val="002D25AA"/>
    <w:rsid w:val="002D25AC"/>
    <w:rsid w:val="002D25D0"/>
    <w:rsid w:val="002D26A0"/>
    <w:rsid w:val="002D2A89"/>
    <w:rsid w:val="002D2AE9"/>
    <w:rsid w:val="002D2B53"/>
    <w:rsid w:val="002D2BA8"/>
    <w:rsid w:val="002D2BF5"/>
    <w:rsid w:val="002D2C3C"/>
    <w:rsid w:val="002D2D12"/>
    <w:rsid w:val="002D2F8D"/>
    <w:rsid w:val="002D3168"/>
    <w:rsid w:val="002D3266"/>
    <w:rsid w:val="002D32A4"/>
    <w:rsid w:val="002D33BF"/>
    <w:rsid w:val="002D34A0"/>
    <w:rsid w:val="002D34EB"/>
    <w:rsid w:val="002D356B"/>
    <w:rsid w:val="002D358E"/>
    <w:rsid w:val="002D3599"/>
    <w:rsid w:val="002D36D4"/>
    <w:rsid w:val="002D374F"/>
    <w:rsid w:val="002D3902"/>
    <w:rsid w:val="002D3A70"/>
    <w:rsid w:val="002D3CFB"/>
    <w:rsid w:val="002D3DD9"/>
    <w:rsid w:val="002D408B"/>
    <w:rsid w:val="002D40B1"/>
    <w:rsid w:val="002D411F"/>
    <w:rsid w:val="002D413B"/>
    <w:rsid w:val="002D42B3"/>
    <w:rsid w:val="002D432B"/>
    <w:rsid w:val="002D4490"/>
    <w:rsid w:val="002D4552"/>
    <w:rsid w:val="002D4863"/>
    <w:rsid w:val="002D4966"/>
    <w:rsid w:val="002D49A0"/>
    <w:rsid w:val="002D49DD"/>
    <w:rsid w:val="002D4A04"/>
    <w:rsid w:val="002D4ADA"/>
    <w:rsid w:val="002D4BBA"/>
    <w:rsid w:val="002D4BFD"/>
    <w:rsid w:val="002D4C00"/>
    <w:rsid w:val="002D4CA2"/>
    <w:rsid w:val="002D4D42"/>
    <w:rsid w:val="002D4D7C"/>
    <w:rsid w:val="002D4DF2"/>
    <w:rsid w:val="002D50E0"/>
    <w:rsid w:val="002D5127"/>
    <w:rsid w:val="002D5159"/>
    <w:rsid w:val="002D51F4"/>
    <w:rsid w:val="002D5256"/>
    <w:rsid w:val="002D525B"/>
    <w:rsid w:val="002D52FB"/>
    <w:rsid w:val="002D5399"/>
    <w:rsid w:val="002D53CE"/>
    <w:rsid w:val="002D53E2"/>
    <w:rsid w:val="002D5549"/>
    <w:rsid w:val="002D5577"/>
    <w:rsid w:val="002D5735"/>
    <w:rsid w:val="002D591B"/>
    <w:rsid w:val="002D5980"/>
    <w:rsid w:val="002D598B"/>
    <w:rsid w:val="002D59F6"/>
    <w:rsid w:val="002D5A09"/>
    <w:rsid w:val="002D5B58"/>
    <w:rsid w:val="002D5BB0"/>
    <w:rsid w:val="002D5BFF"/>
    <w:rsid w:val="002D5C42"/>
    <w:rsid w:val="002D5DCC"/>
    <w:rsid w:val="002D5FBA"/>
    <w:rsid w:val="002D61CD"/>
    <w:rsid w:val="002D61DA"/>
    <w:rsid w:val="002D63F5"/>
    <w:rsid w:val="002D6476"/>
    <w:rsid w:val="002D64E9"/>
    <w:rsid w:val="002D65AE"/>
    <w:rsid w:val="002D66E3"/>
    <w:rsid w:val="002D67AA"/>
    <w:rsid w:val="002D67AF"/>
    <w:rsid w:val="002D67CB"/>
    <w:rsid w:val="002D6808"/>
    <w:rsid w:val="002D683D"/>
    <w:rsid w:val="002D6879"/>
    <w:rsid w:val="002D68EB"/>
    <w:rsid w:val="002D697A"/>
    <w:rsid w:val="002D69C6"/>
    <w:rsid w:val="002D6A3C"/>
    <w:rsid w:val="002D6AFE"/>
    <w:rsid w:val="002D6B39"/>
    <w:rsid w:val="002D6B54"/>
    <w:rsid w:val="002D6BEB"/>
    <w:rsid w:val="002D6C3D"/>
    <w:rsid w:val="002D6C77"/>
    <w:rsid w:val="002D6CBB"/>
    <w:rsid w:val="002D6E90"/>
    <w:rsid w:val="002D6F20"/>
    <w:rsid w:val="002D6FBD"/>
    <w:rsid w:val="002D6FDC"/>
    <w:rsid w:val="002D6FF2"/>
    <w:rsid w:val="002D725A"/>
    <w:rsid w:val="002D72B3"/>
    <w:rsid w:val="002D732B"/>
    <w:rsid w:val="002D7386"/>
    <w:rsid w:val="002D73C9"/>
    <w:rsid w:val="002D73F6"/>
    <w:rsid w:val="002D740E"/>
    <w:rsid w:val="002D76DD"/>
    <w:rsid w:val="002D77E3"/>
    <w:rsid w:val="002D78AD"/>
    <w:rsid w:val="002D7979"/>
    <w:rsid w:val="002D7B81"/>
    <w:rsid w:val="002D7CE4"/>
    <w:rsid w:val="002D7D11"/>
    <w:rsid w:val="002D7D1C"/>
    <w:rsid w:val="002D7D6B"/>
    <w:rsid w:val="002D7F5E"/>
    <w:rsid w:val="002D7F60"/>
    <w:rsid w:val="002D7FC0"/>
    <w:rsid w:val="002E0010"/>
    <w:rsid w:val="002E0169"/>
    <w:rsid w:val="002E0239"/>
    <w:rsid w:val="002E034A"/>
    <w:rsid w:val="002E0355"/>
    <w:rsid w:val="002E0399"/>
    <w:rsid w:val="002E04F2"/>
    <w:rsid w:val="002E055D"/>
    <w:rsid w:val="002E0587"/>
    <w:rsid w:val="002E05E5"/>
    <w:rsid w:val="002E05F6"/>
    <w:rsid w:val="002E0648"/>
    <w:rsid w:val="002E06F3"/>
    <w:rsid w:val="002E0702"/>
    <w:rsid w:val="002E07AD"/>
    <w:rsid w:val="002E07FD"/>
    <w:rsid w:val="002E0882"/>
    <w:rsid w:val="002E08CA"/>
    <w:rsid w:val="002E0914"/>
    <w:rsid w:val="002E096C"/>
    <w:rsid w:val="002E098F"/>
    <w:rsid w:val="002E0A4B"/>
    <w:rsid w:val="002E0AB9"/>
    <w:rsid w:val="002E0B1F"/>
    <w:rsid w:val="002E0B57"/>
    <w:rsid w:val="002E0B89"/>
    <w:rsid w:val="002E0BEB"/>
    <w:rsid w:val="002E0C07"/>
    <w:rsid w:val="002E0C9F"/>
    <w:rsid w:val="002E0D8A"/>
    <w:rsid w:val="002E0DE2"/>
    <w:rsid w:val="002E0E00"/>
    <w:rsid w:val="002E0ED1"/>
    <w:rsid w:val="002E0EDF"/>
    <w:rsid w:val="002E0FC9"/>
    <w:rsid w:val="002E1166"/>
    <w:rsid w:val="002E128C"/>
    <w:rsid w:val="002E12FC"/>
    <w:rsid w:val="002E13BF"/>
    <w:rsid w:val="002E147A"/>
    <w:rsid w:val="002E16DD"/>
    <w:rsid w:val="002E1844"/>
    <w:rsid w:val="002E1910"/>
    <w:rsid w:val="002E1943"/>
    <w:rsid w:val="002E19DD"/>
    <w:rsid w:val="002E19DE"/>
    <w:rsid w:val="002E1AB7"/>
    <w:rsid w:val="002E1AF8"/>
    <w:rsid w:val="002E1BE8"/>
    <w:rsid w:val="002E1D78"/>
    <w:rsid w:val="002E1DA9"/>
    <w:rsid w:val="002E1E9C"/>
    <w:rsid w:val="002E1F60"/>
    <w:rsid w:val="002E1FA3"/>
    <w:rsid w:val="002E20A3"/>
    <w:rsid w:val="002E213C"/>
    <w:rsid w:val="002E2211"/>
    <w:rsid w:val="002E2328"/>
    <w:rsid w:val="002E2457"/>
    <w:rsid w:val="002E24AF"/>
    <w:rsid w:val="002E24B1"/>
    <w:rsid w:val="002E259A"/>
    <w:rsid w:val="002E25AB"/>
    <w:rsid w:val="002E2632"/>
    <w:rsid w:val="002E2765"/>
    <w:rsid w:val="002E285B"/>
    <w:rsid w:val="002E2956"/>
    <w:rsid w:val="002E2A15"/>
    <w:rsid w:val="002E2A66"/>
    <w:rsid w:val="002E2CB9"/>
    <w:rsid w:val="002E2CCC"/>
    <w:rsid w:val="002E2CF2"/>
    <w:rsid w:val="002E2CFB"/>
    <w:rsid w:val="002E2D2B"/>
    <w:rsid w:val="002E2D4F"/>
    <w:rsid w:val="002E2D6C"/>
    <w:rsid w:val="002E2F94"/>
    <w:rsid w:val="002E3012"/>
    <w:rsid w:val="002E3013"/>
    <w:rsid w:val="002E307E"/>
    <w:rsid w:val="002E30C2"/>
    <w:rsid w:val="002E315F"/>
    <w:rsid w:val="002E3179"/>
    <w:rsid w:val="002E31B4"/>
    <w:rsid w:val="002E31D4"/>
    <w:rsid w:val="002E31E6"/>
    <w:rsid w:val="002E3377"/>
    <w:rsid w:val="002E3436"/>
    <w:rsid w:val="002E366D"/>
    <w:rsid w:val="002E36DE"/>
    <w:rsid w:val="002E3724"/>
    <w:rsid w:val="002E37E1"/>
    <w:rsid w:val="002E3825"/>
    <w:rsid w:val="002E38EF"/>
    <w:rsid w:val="002E396C"/>
    <w:rsid w:val="002E3AC7"/>
    <w:rsid w:val="002E3B9C"/>
    <w:rsid w:val="002E3D0D"/>
    <w:rsid w:val="002E3DF5"/>
    <w:rsid w:val="002E3E91"/>
    <w:rsid w:val="002E3F47"/>
    <w:rsid w:val="002E3F79"/>
    <w:rsid w:val="002E4077"/>
    <w:rsid w:val="002E417E"/>
    <w:rsid w:val="002E427B"/>
    <w:rsid w:val="002E4289"/>
    <w:rsid w:val="002E42ED"/>
    <w:rsid w:val="002E4316"/>
    <w:rsid w:val="002E43FB"/>
    <w:rsid w:val="002E44BE"/>
    <w:rsid w:val="002E44D5"/>
    <w:rsid w:val="002E4562"/>
    <w:rsid w:val="002E4566"/>
    <w:rsid w:val="002E459F"/>
    <w:rsid w:val="002E46E4"/>
    <w:rsid w:val="002E473F"/>
    <w:rsid w:val="002E4746"/>
    <w:rsid w:val="002E4753"/>
    <w:rsid w:val="002E487D"/>
    <w:rsid w:val="002E48B6"/>
    <w:rsid w:val="002E494C"/>
    <w:rsid w:val="002E4AA3"/>
    <w:rsid w:val="002E4AAA"/>
    <w:rsid w:val="002E4B56"/>
    <w:rsid w:val="002E4CD0"/>
    <w:rsid w:val="002E4D49"/>
    <w:rsid w:val="002E4E25"/>
    <w:rsid w:val="002E4E74"/>
    <w:rsid w:val="002E4E8C"/>
    <w:rsid w:val="002E4F61"/>
    <w:rsid w:val="002E4FF5"/>
    <w:rsid w:val="002E5018"/>
    <w:rsid w:val="002E516E"/>
    <w:rsid w:val="002E524C"/>
    <w:rsid w:val="002E525D"/>
    <w:rsid w:val="002E53CC"/>
    <w:rsid w:val="002E5473"/>
    <w:rsid w:val="002E559B"/>
    <w:rsid w:val="002E56E1"/>
    <w:rsid w:val="002E577A"/>
    <w:rsid w:val="002E5781"/>
    <w:rsid w:val="002E57A2"/>
    <w:rsid w:val="002E5919"/>
    <w:rsid w:val="002E598A"/>
    <w:rsid w:val="002E5994"/>
    <w:rsid w:val="002E5A32"/>
    <w:rsid w:val="002E5A8F"/>
    <w:rsid w:val="002E5CCE"/>
    <w:rsid w:val="002E5D85"/>
    <w:rsid w:val="002E5D95"/>
    <w:rsid w:val="002E5E08"/>
    <w:rsid w:val="002E5E09"/>
    <w:rsid w:val="002E5E43"/>
    <w:rsid w:val="002E5F62"/>
    <w:rsid w:val="002E5FB2"/>
    <w:rsid w:val="002E5FC0"/>
    <w:rsid w:val="002E5FD2"/>
    <w:rsid w:val="002E603C"/>
    <w:rsid w:val="002E604C"/>
    <w:rsid w:val="002E60DF"/>
    <w:rsid w:val="002E60E9"/>
    <w:rsid w:val="002E6119"/>
    <w:rsid w:val="002E61B0"/>
    <w:rsid w:val="002E62E2"/>
    <w:rsid w:val="002E64A2"/>
    <w:rsid w:val="002E6559"/>
    <w:rsid w:val="002E6596"/>
    <w:rsid w:val="002E661F"/>
    <w:rsid w:val="002E665E"/>
    <w:rsid w:val="002E6660"/>
    <w:rsid w:val="002E66AC"/>
    <w:rsid w:val="002E66EB"/>
    <w:rsid w:val="002E6724"/>
    <w:rsid w:val="002E6977"/>
    <w:rsid w:val="002E69CC"/>
    <w:rsid w:val="002E69F0"/>
    <w:rsid w:val="002E6A18"/>
    <w:rsid w:val="002E6A33"/>
    <w:rsid w:val="002E6A34"/>
    <w:rsid w:val="002E6A70"/>
    <w:rsid w:val="002E6AC0"/>
    <w:rsid w:val="002E6AC8"/>
    <w:rsid w:val="002E6B1E"/>
    <w:rsid w:val="002E6C7C"/>
    <w:rsid w:val="002E6CAC"/>
    <w:rsid w:val="002E6CDC"/>
    <w:rsid w:val="002E6EED"/>
    <w:rsid w:val="002E6EFE"/>
    <w:rsid w:val="002E7043"/>
    <w:rsid w:val="002E7104"/>
    <w:rsid w:val="002E71E9"/>
    <w:rsid w:val="002E72B0"/>
    <w:rsid w:val="002E72EC"/>
    <w:rsid w:val="002E73A5"/>
    <w:rsid w:val="002E73D7"/>
    <w:rsid w:val="002E7439"/>
    <w:rsid w:val="002E7486"/>
    <w:rsid w:val="002E764A"/>
    <w:rsid w:val="002E76EB"/>
    <w:rsid w:val="002E77AA"/>
    <w:rsid w:val="002E77CA"/>
    <w:rsid w:val="002E77D3"/>
    <w:rsid w:val="002E797D"/>
    <w:rsid w:val="002E79DE"/>
    <w:rsid w:val="002E79FC"/>
    <w:rsid w:val="002E7AA9"/>
    <w:rsid w:val="002E7AD3"/>
    <w:rsid w:val="002E7D29"/>
    <w:rsid w:val="002E7DA9"/>
    <w:rsid w:val="002E7EDB"/>
    <w:rsid w:val="002F006A"/>
    <w:rsid w:val="002F00C5"/>
    <w:rsid w:val="002F01FC"/>
    <w:rsid w:val="002F02E8"/>
    <w:rsid w:val="002F03CD"/>
    <w:rsid w:val="002F0426"/>
    <w:rsid w:val="002F045D"/>
    <w:rsid w:val="002F04AA"/>
    <w:rsid w:val="002F04BE"/>
    <w:rsid w:val="002F0622"/>
    <w:rsid w:val="002F0689"/>
    <w:rsid w:val="002F0911"/>
    <w:rsid w:val="002F0926"/>
    <w:rsid w:val="002F092E"/>
    <w:rsid w:val="002F0B4E"/>
    <w:rsid w:val="002F0C33"/>
    <w:rsid w:val="002F0C8C"/>
    <w:rsid w:val="002F0CD6"/>
    <w:rsid w:val="002F0CF4"/>
    <w:rsid w:val="002F0D14"/>
    <w:rsid w:val="002F0D3F"/>
    <w:rsid w:val="002F0DAE"/>
    <w:rsid w:val="002F0DB1"/>
    <w:rsid w:val="002F0DFD"/>
    <w:rsid w:val="002F0E01"/>
    <w:rsid w:val="002F0E24"/>
    <w:rsid w:val="002F0E85"/>
    <w:rsid w:val="002F0FE3"/>
    <w:rsid w:val="002F0FF1"/>
    <w:rsid w:val="002F10B7"/>
    <w:rsid w:val="002F11AD"/>
    <w:rsid w:val="002F120C"/>
    <w:rsid w:val="002F12A6"/>
    <w:rsid w:val="002F131D"/>
    <w:rsid w:val="002F1346"/>
    <w:rsid w:val="002F1350"/>
    <w:rsid w:val="002F1441"/>
    <w:rsid w:val="002F148C"/>
    <w:rsid w:val="002F148F"/>
    <w:rsid w:val="002F1603"/>
    <w:rsid w:val="002F1649"/>
    <w:rsid w:val="002F16F3"/>
    <w:rsid w:val="002F1715"/>
    <w:rsid w:val="002F1734"/>
    <w:rsid w:val="002F179E"/>
    <w:rsid w:val="002F17BC"/>
    <w:rsid w:val="002F1869"/>
    <w:rsid w:val="002F1A29"/>
    <w:rsid w:val="002F1A90"/>
    <w:rsid w:val="002F1A9F"/>
    <w:rsid w:val="002F1B70"/>
    <w:rsid w:val="002F1C39"/>
    <w:rsid w:val="002F1CDA"/>
    <w:rsid w:val="002F1F0F"/>
    <w:rsid w:val="002F1F7A"/>
    <w:rsid w:val="002F1FC3"/>
    <w:rsid w:val="002F1FFE"/>
    <w:rsid w:val="002F207C"/>
    <w:rsid w:val="002F2081"/>
    <w:rsid w:val="002F20B8"/>
    <w:rsid w:val="002F2116"/>
    <w:rsid w:val="002F2272"/>
    <w:rsid w:val="002F231F"/>
    <w:rsid w:val="002F2403"/>
    <w:rsid w:val="002F2414"/>
    <w:rsid w:val="002F2435"/>
    <w:rsid w:val="002F244A"/>
    <w:rsid w:val="002F24D0"/>
    <w:rsid w:val="002F259A"/>
    <w:rsid w:val="002F26E1"/>
    <w:rsid w:val="002F26FA"/>
    <w:rsid w:val="002F2729"/>
    <w:rsid w:val="002F2882"/>
    <w:rsid w:val="002F2B1A"/>
    <w:rsid w:val="002F2C58"/>
    <w:rsid w:val="002F2D3F"/>
    <w:rsid w:val="002F2D52"/>
    <w:rsid w:val="002F2EA7"/>
    <w:rsid w:val="002F2EB0"/>
    <w:rsid w:val="002F2EDB"/>
    <w:rsid w:val="002F2F1C"/>
    <w:rsid w:val="002F2F58"/>
    <w:rsid w:val="002F3034"/>
    <w:rsid w:val="002F3066"/>
    <w:rsid w:val="002F30F4"/>
    <w:rsid w:val="002F3264"/>
    <w:rsid w:val="002F32F2"/>
    <w:rsid w:val="002F33A0"/>
    <w:rsid w:val="002F33EA"/>
    <w:rsid w:val="002F340E"/>
    <w:rsid w:val="002F34E1"/>
    <w:rsid w:val="002F34F8"/>
    <w:rsid w:val="002F35E0"/>
    <w:rsid w:val="002F3889"/>
    <w:rsid w:val="002F3A62"/>
    <w:rsid w:val="002F3ACA"/>
    <w:rsid w:val="002F3AE8"/>
    <w:rsid w:val="002F3D0C"/>
    <w:rsid w:val="002F3DDE"/>
    <w:rsid w:val="002F3E32"/>
    <w:rsid w:val="002F3E63"/>
    <w:rsid w:val="002F3E7C"/>
    <w:rsid w:val="002F3EA9"/>
    <w:rsid w:val="002F3F05"/>
    <w:rsid w:val="002F3F7F"/>
    <w:rsid w:val="002F3FF4"/>
    <w:rsid w:val="002F4064"/>
    <w:rsid w:val="002F4070"/>
    <w:rsid w:val="002F4090"/>
    <w:rsid w:val="002F40BE"/>
    <w:rsid w:val="002F412C"/>
    <w:rsid w:val="002F41CC"/>
    <w:rsid w:val="002F424B"/>
    <w:rsid w:val="002F427A"/>
    <w:rsid w:val="002F42A9"/>
    <w:rsid w:val="002F43C9"/>
    <w:rsid w:val="002F43CC"/>
    <w:rsid w:val="002F43F8"/>
    <w:rsid w:val="002F4497"/>
    <w:rsid w:val="002F45C7"/>
    <w:rsid w:val="002F4840"/>
    <w:rsid w:val="002F48E0"/>
    <w:rsid w:val="002F48F7"/>
    <w:rsid w:val="002F4AA5"/>
    <w:rsid w:val="002F4B26"/>
    <w:rsid w:val="002F4BDB"/>
    <w:rsid w:val="002F4E00"/>
    <w:rsid w:val="002F4E85"/>
    <w:rsid w:val="002F4EAB"/>
    <w:rsid w:val="002F4ECB"/>
    <w:rsid w:val="002F4F0D"/>
    <w:rsid w:val="002F4F59"/>
    <w:rsid w:val="002F50A6"/>
    <w:rsid w:val="002F5444"/>
    <w:rsid w:val="002F5458"/>
    <w:rsid w:val="002F56CB"/>
    <w:rsid w:val="002F572F"/>
    <w:rsid w:val="002F5788"/>
    <w:rsid w:val="002F5793"/>
    <w:rsid w:val="002F5854"/>
    <w:rsid w:val="002F5880"/>
    <w:rsid w:val="002F5994"/>
    <w:rsid w:val="002F5AC4"/>
    <w:rsid w:val="002F5AE2"/>
    <w:rsid w:val="002F5B06"/>
    <w:rsid w:val="002F5B66"/>
    <w:rsid w:val="002F5B72"/>
    <w:rsid w:val="002F5C16"/>
    <w:rsid w:val="002F5D02"/>
    <w:rsid w:val="002F5D05"/>
    <w:rsid w:val="002F5D4A"/>
    <w:rsid w:val="002F5DFF"/>
    <w:rsid w:val="002F5E06"/>
    <w:rsid w:val="002F5EA0"/>
    <w:rsid w:val="002F6024"/>
    <w:rsid w:val="002F60D4"/>
    <w:rsid w:val="002F60F3"/>
    <w:rsid w:val="002F6131"/>
    <w:rsid w:val="002F617C"/>
    <w:rsid w:val="002F61AF"/>
    <w:rsid w:val="002F623D"/>
    <w:rsid w:val="002F6284"/>
    <w:rsid w:val="002F63CF"/>
    <w:rsid w:val="002F6452"/>
    <w:rsid w:val="002F6459"/>
    <w:rsid w:val="002F65D6"/>
    <w:rsid w:val="002F6832"/>
    <w:rsid w:val="002F6876"/>
    <w:rsid w:val="002F68D4"/>
    <w:rsid w:val="002F693F"/>
    <w:rsid w:val="002F69B1"/>
    <w:rsid w:val="002F69F2"/>
    <w:rsid w:val="002F6CDA"/>
    <w:rsid w:val="002F6D89"/>
    <w:rsid w:val="002F6DD4"/>
    <w:rsid w:val="002F6E06"/>
    <w:rsid w:val="002F70C9"/>
    <w:rsid w:val="002F70D2"/>
    <w:rsid w:val="002F7160"/>
    <w:rsid w:val="002F7183"/>
    <w:rsid w:val="002F71E9"/>
    <w:rsid w:val="002F7369"/>
    <w:rsid w:val="002F74C0"/>
    <w:rsid w:val="002F74C9"/>
    <w:rsid w:val="002F7680"/>
    <w:rsid w:val="002F77BB"/>
    <w:rsid w:val="002F7868"/>
    <w:rsid w:val="002F7957"/>
    <w:rsid w:val="002F79DC"/>
    <w:rsid w:val="002F7A87"/>
    <w:rsid w:val="002F7B64"/>
    <w:rsid w:val="002F7E1C"/>
    <w:rsid w:val="00300027"/>
    <w:rsid w:val="0030005B"/>
    <w:rsid w:val="0030019F"/>
    <w:rsid w:val="003003FC"/>
    <w:rsid w:val="003004A8"/>
    <w:rsid w:val="0030068D"/>
    <w:rsid w:val="00300698"/>
    <w:rsid w:val="0030069B"/>
    <w:rsid w:val="003006A5"/>
    <w:rsid w:val="003009B7"/>
    <w:rsid w:val="00300AB2"/>
    <w:rsid w:val="00300B38"/>
    <w:rsid w:val="00300B54"/>
    <w:rsid w:val="00300BE8"/>
    <w:rsid w:val="00300D2F"/>
    <w:rsid w:val="00300D80"/>
    <w:rsid w:val="00300D89"/>
    <w:rsid w:val="00300DDB"/>
    <w:rsid w:val="00300DE4"/>
    <w:rsid w:val="00300E33"/>
    <w:rsid w:val="00300EA8"/>
    <w:rsid w:val="00300F9F"/>
    <w:rsid w:val="00300FED"/>
    <w:rsid w:val="003010E8"/>
    <w:rsid w:val="003011C5"/>
    <w:rsid w:val="0030139E"/>
    <w:rsid w:val="003014B2"/>
    <w:rsid w:val="003014FD"/>
    <w:rsid w:val="00301541"/>
    <w:rsid w:val="00301557"/>
    <w:rsid w:val="003015CD"/>
    <w:rsid w:val="00301782"/>
    <w:rsid w:val="00301830"/>
    <w:rsid w:val="0030187B"/>
    <w:rsid w:val="003018B5"/>
    <w:rsid w:val="00301AB1"/>
    <w:rsid w:val="00301C50"/>
    <w:rsid w:val="00301CC7"/>
    <w:rsid w:val="00301CCE"/>
    <w:rsid w:val="00301D63"/>
    <w:rsid w:val="00301DBB"/>
    <w:rsid w:val="00301E15"/>
    <w:rsid w:val="00301E8A"/>
    <w:rsid w:val="00301F2F"/>
    <w:rsid w:val="00301F60"/>
    <w:rsid w:val="00301FDD"/>
    <w:rsid w:val="00301FE9"/>
    <w:rsid w:val="00302007"/>
    <w:rsid w:val="0030204B"/>
    <w:rsid w:val="003020DA"/>
    <w:rsid w:val="0030216C"/>
    <w:rsid w:val="003021DF"/>
    <w:rsid w:val="003022FE"/>
    <w:rsid w:val="00302304"/>
    <w:rsid w:val="00302352"/>
    <w:rsid w:val="003023E2"/>
    <w:rsid w:val="003023F9"/>
    <w:rsid w:val="0030240E"/>
    <w:rsid w:val="00302442"/>
    <w:rsid w:val="003025D7"/>
    <w:rsid w:val="00302675"/>
    <w:rsid w:val="003026B8"/>
    <w:rsid w:val="003026F1"/>
    <w:rsid w:val="003026F7"/>
    <w:rsid w:val="00302753"/>
    <w:rsid w:val="003027E9"/>
    <w:rsid w:val="003028D2"/>
    <w:rsid w:val="00302923"/>
    <w:rsid w:val="003029C8"/>
    <w:rsid w:val="00302A84"/>
    <w:rsid w:val="00302AB4"/>
    <w:rsid w:val="00302AC5"/>
    <w:rsid w:val="00302B56"/>
    <w:rsid w:val="00302B98"/>
    <w:rsid w:val="00302D22"/>
    <w:rsid w:val="00302D55"/>
    <w:rsid w:val="00302D56"/>
    <w:rsid w:val="00302D89"/>
    <w:rsid w:val="00302E2A"/>
    <w:rsid w:val="00302E2D"/>
    <w:rsid w:val="00302E47"/>
    <w:rsid w:val="00302E56"/>
    <w:rsid w:val="00302F0E"/>
    <w:rsid w:val="00302F5E"/>
    <w:rsid w:val="00303107"/>
    <w:rsid w:val="00303125"/>
    <w:rsid w:val="00303172"/>
    <w:rsid w:val="003031DC"/>
    <w:rsid w:val="003032CB"/>
    <w:rsid w:val="003032FD"/>
    <w:rsid w:val="0030332D"/>
    <w:rsid w:val="00303338"/>
    <w:rsid w:val="0030333D"/>
    <w:rsid w:val="0030357D"/>
    <w:rsid w:val="003035B0"/>
    <w:rsid w:val="003035CA"/>
    <w:rsid w:val="003035DB"/>
    <w:rsid w:val="0030362A"/>
    <w:rsid w:val="003036B4"/>
    <w:rsid w:val="0030373A"/>
    <w:rsid w:val="0030376E"/>
    <w:rsid w:val="003037A4"/>
    <w:rsid w:val="00303887"/>
    <w:rsid w:val="00303951"/>
    <w:rsid w:val="003039B6"/>
    <w:rsid w:val="00303A35"/>
    <w:rsid w:val="00303ADC"/>
    <w:rsid w:val="00303B0D"/>
    <w:rsid w:val="00303B65"/>
    <w:rsid w:val="00303C24"/>
    <w:rsid w:val="00303C4D"/>
    <w:rsid w:val="00303CBA"/>
    <w:rsid w:val="00303D19"/>
    <w:rsid w:val="00303D21"/>
    <w:rsid w:val="00303D47"/>
    <w:rsid w:val="00303D4B"/>
    <w:rsid w:val="00303DB8"/>
    <w:rsid w:val="00303E67"/>
    <w:rsid w:val="00303EBA"/>
    <w:rsid w:val="00303EDA"/>
    <w:rsid w:val="00303EF4"/>
    <w:rsid w:val="00304192"/>
    <w:rsid w:val="0030428A"/>
    <w:rsid w:val="003042CD"/>
    <w:rsid w:val="003043AB"/>
    <w:rsid w:val="003043C0"/>
    <w:rsid w:val="00304401"/>
    <w:rsid w:val="003045FF"/>
    <w:rsid w:val="0030462A"/>
    <w:rsid w:val="003046B3"/>
    <w:rsid w:val="00304750"/>
    <w:rsid w:val="00304802"/>
    <w:rsid w:val="003048BE"/>
    <w:rsid w:val="00304A53"/>
    <w:rsid w:val="00304A6D"/>
    <w:rsid w:val="00304A8A"/>
    <w:rsid w:val="00304B91"/>
    <w:rsid w:val="00304B9C"/>
    <w:rsid w:val="00304C41"/>
    <w:rsid w:val="00304CCF"/>
    <w:rsid w:val="00304D28"/>
    <w:rsid w:val="00304E14"/>
    <w:rsid w:val="00304E74"/>
    <w:rsid w:val="00304F67"/>
    <w:rsid w:val="00304FBC"/>
    <w:rsid w:val="0030525B"/>
    <w:rsid w:val="00305360"/>
    <w:rsid w:val="00305386"/>
    <w:rsid w:val="00305502"/>
    <w:rsid w:val="00305539"/>
    <w:rsid w:val="003055BE"/>
    <w:rsid w:val="003055DF"/>
    <w:rsid w:val="00305802"/>
    <w:rsid w:val="0030583C"/>
    <w:rsid w:val="00305941"/>
    <w:rsid w:val="0030599D"/>
    <w:rsid w:val="00305AA0"/>
    <w:rsid w:val="00305B2A"/>
    <w:rsid w:val="00305B5A"/>
    <w:rsid w:val="00305D02"/>
    <w:rsid w:val="00305DC7"/>
    <w:rsid w:val="00305F17"/>
    <w:rsid w:val="00305F95"/>
    <w:rsid w:val="003060EE"/>
    <w:rsid w:val="00306131"/>
    <w:rsid w:val="0030616B"/>
    <w:rsid w:val="00306178"/>
    <w:rsid w:val="003062A4"/>
    <w:rsid w:val="003063F3"/>
    <w:rsid w:val="003064CC"/>
    <w:rsid w:val="00306531"/>
    <w:rsid w:val="0030653B"/>
    <w:rsid w:val="00306744"/>
    <w:rsid w:val="00306836"/>
    <w:rsid w:val="0030685E"/>
    <w:rsid w:val="003068EB"/>
    <w:rsid w:val="0030698F"/>
    <w:rsid w:val="003069A9"/>
    <w:rsid w:val="003069EA"/>
    <w:rsid w:val="00306A54"/>
    <w:rsid w:val="00306B48"/>
    <w:rsid w:val="00306BBE"/>
    <w:rsid w:val="00306CB7"/>
    <w:rsid w:val="00306E9A"/>
    <w:rsid w:val="00306EDB"/>
    <w:rsid w:val="00306EF9"/>
    <w:rsid w:val="0030707B"/>
    <w:rsid w:val="00307106"/>
    <w:rsid w:val="003071D5"/>
    <w:rsid w:val="00307250"/>
    <w:rsid w:val="003072A2"/>
    <w:rsid w:val="003072D0"/>
    <w:rsid w:val="003072FC"/>
    <w:rsid w:val="00307319"/>
    <w:rsid w:val="0030744A"/>
    <w:rsid w:val="00307489"/>
    <w:rsid w:val="0030748B"/>
    <w:rsid w:val="003074E0"/>
    <w:rsid w:val="00307628"/>
    <w:rsid w:val="003076D2"/>
    <w:rsid w:val="00307776"/>
    <w:rsid w:val="0030777C"/>
    <w:rsid w:val="00307795"/>
    <w:rsid w:val="00307A0D"/>
    <w:rsid w:val="00307A40"/>
    <w:rsid w:val="00307A4F"/>
    <w:rsid w:val="00307AEA"/>
    <w:rsid w:val="00307B94"/>
    <w:rsid w:val="00307C93"/>
    <w:rsid w:val="00307F8E"/>
    <w:rsid w:val="00310006"/>
    <w:rsid w:val="0031000E"/>
    <w:rsid w:val="003101E4"/>
    <w:rsid w:val="00310286"/>
    <w:rsid w:val="00310292"/>
    <w:rsid w:val="003102AF"/>
    <w:rsid w:val="0031031A"/>
    <w:rsid w:val="00310321"/>
    <w:rsid w:val="00310353"/>
    <w:rsid w:val="003103A9"/>
    <w:rsid w:val="00310517"/>
    <w:rsid w:val="00310551"/>
    <w:rsid w:val="0031055B"/>
    <w:rsid w:val="00310602"/>
    <w:rsid w:val="003106B9"/>
    <w:rsid w:val="003106DE"/>
    <w:rsid w:val="003106EE"/>
    <w:rsid w:val="00310708"/>
    <w:rsid w:val="00310750"/>
    <w:rsid w:val="003107B9"/>
    <w:rsid w:val="00310818"/>
    <w:rsid w:val="00310848"/>
    <w:rsid w:val="00310A54"/>
    <w:rsid w:val="00310ACF"/>
    <w:rsid w:val="00310B1E"/>
    <w:rsid w:val="00310BCF"/>
    <w:rsid w:val="00310C37"/>
    <w:rsid w:val="00310D2E"/>
    <w:rsid w:val="00310DBB"/>
    <w:rsid w:val="00310DEE"/>
    <w:rsid w:val="00310F07"/>
    <w:rsid w:val="00310F2C"/>
    <w:rsid w:val="00311114"/>
    <w:rsid w:val="003111AC"/>
    <w:rsid w:val="00311406"/>
    <w:rsid w:val="00311439"/>
    <w:rsid w:val="00311478"/>
    <w:rsid w:val="003114A8"/>
    <w:rsid w:val="00311549"/>
    <w:rsid w:val="003115AC"/>
    <w:rsid w:val="003115BF"/>
    <w:rsid w:val="00311603"/>
    <w:rsid w:val="00311646"/>
    <w:rsid w:val="0031166D"/>
    <w:rsid w:val="003117A2"/>
    <w:rsid w:val="00311803"/>
    <w:rsid w:val="0031180D"/>
    <w:rsid w:val="003118EE"/>
    <w:rsid w:val="003118F1"/>
    <w:rsid w:val="00311943"/>
    <w:rsid w:val="00311947"/>
    <w:rsid w:val="00311986"/>
    <w:rsid w:val="0031198E"/>
    <w:rsid w:val="00311AEF"/>
    <w:rsid w:val="00311BEB"/>
    <w:rsid w:val="00311BFC"/>
    <w:rsid w:val="00311CE8"/>
    <w:rsid w:val="00311D49"/>
    <w:rsid w:val="00311DCB"/>
    <w:rsid w:val="00311F66"/>
    <w:rsid w:val="00311F89"/>
    <w:rsid w:val="00312003"/>
    <w:rsid w:val="00312082"/>
    <w:rsid w:val="003122A8"/>
    <w:rsid w:val="00312388"/>
    <w:rsid w:val="003123C2"/>
    <w:rsid w:val="00312417"/>
    <w:rsid w:val="003124D5"/>
    <w:rsid w:val="00312516"/>
    <w:rsid w:val="0031258C"/>
    <w:rsid w:val="00312653"/>
    <w:rsid w:val="003126B5"/>
    <w:rsid w:val="003126B8"/>
    <w:rsid w:val="00312703"/>
    <w:rsid w:val="003127F7"/>
    <w:rsid w:val="00312862"/>
    <w:rsid w:val="0031286B"/>
    <w:rsid w:val="00312914"/>
    <w:rsid w:val="00312BDC"/>
    <w:rsid w:val="00312D9F"/>
    <w:rsid w:val="00312DB5"/>
    <w:rsid w:val="00312E08"/>
    <w:rsid w:val="00312E25"/>
    <w:rsid w:val="00312ED7"/>
    <w:rsid w:val="00312F2C"/>
    <w:rsid w:val="00312F61"/>
    <w:rsid w:val="00312F9F"/>
    <w:rsid w:val="00312FB4"/>
    <w:rsid w:val="0031300F"/>
    <w:rsid w:val="0031308C"/>
    <w:rsid w:val="00313149"/>
    <w:rsid w:val="003132E3"/>
    <w:rsid w:val="003133EA"/>
    <w:rsid w:val="00313469"/>
    <w:rsid w:val="00313498"/>
    <w:rsid w:val="003134A2"/>
    <w:rsid w:val="0031358D"/>
    <w:rsid w:val="003135E2"/>
    <w:rsid w:val="00313721"/>
    <w:rsid w:val="0031378F"/>
    <w:rsid w:val="003137F5"/>
    <w:rsid w:val="00313A1C"/>
    <w:rsid w:val="00313A1E"/>
    <w:rsid w:val="00313A30"/>
    <w:rsid w:val="00313B25"/>
    <w:rsid w:val="00313C78"/>
    <w:rsid w:val="00313D44"/>
    <w:rsid w:val="00313E94"/>
    <w:rsid w:val="00313EBA"/>
    <w:rsid w:val="00313EFD"/>
    <w:rsid w:val="00313F69"/>
    <w:rsid w:val="00313FA0"/>
    <w:rsid w:val="0031404F"/>
    <w:rsid w:val="003140B8"/>
    <w:rsid w:val="00314257"/>
    <w:rsid w:val="003142E9"/>
    <w:rsid w:val="0031437D"/>
    <w:rsid w:val="00314417"/>
    <w:rsid w:val="00314455"/>
    <w:rsid w:val="00314510"/>
    <w:rsid w:val="00314518"/>
    <w:rsid w:val="00314602"/>
    <w:rsid w:val="00314690"/>
    <w:rsid w:val="00314691"/>
    <w:rsid w:val="003146E4"/>
    <w:rsid w:val="00314720"/>
    <w:rsid w:val="0031478D"/>
    <w:rsid w:val="00314890"/>
    <w:rsid w:val="0031493A"/>
    <w:rsid w:val="0031495C"/>
    <w:rsid w:val="00314AA8"/>
    <w:rsid w:val="00314AB0"/>
    <w:rsid w:val="00314B04"/>
    <w:rsid w:val="00314F31"/>
    <w:rsid w:val="00314FB9"/>
    <w:rsid w:val="0031500E"/>
    <w:rsid w:val="00315171"/>
    <w:rsid w:val="003151D5"/>
    <w:rsid w:val="00315217"/>
    <w:rsid w:val="0031531E"/>
    <w:rsid w:val="00315382"/>
    <w:rsid w:val="0031540D"/>
    <w:rsid w:val="0031546B"/>
    <w:rsid w:val="0031567F"/>
    <w:rsid w:val="0031574B"/>
    <w:rsid w:val="003158B3"/>
    <w:rsid w:val="003158DE"/>
    <w:rsid w:val="003159B2"/>
    <w:rsid w:val="00315A03"/>
    <w:rsid w:val="00315A3D"/>
    <w:rsid w:val="00315B25"/>
    <w:rsid w:val="00315B2B"/>
    <w:rsid w:val="00315BEF"/>
    <w:rsid w:val="00315C2D"/>
    <w:rsid w:val="00315CC1"/>
    <w:rsid w:val="00315D36"/>
    <w:rsid w:val="00315DB3"/>
    <w:rsid w:val="00315E3B"/>
    <w:rsid w:val="00315EB5"/>
    <w:rsid w:val="00315ECB"/>
    <w:rsid w:val="00315F05"/>
    <w:rsid w:val="00315F1B"/>
    <w:rsid w:val="00315FD0"/>
    <w:rsid w:val="00316041"/>
    <w:rsid w:val="0031619F"/>
    <w:rsid w:val="0031620B"/>
    <w:rsid w:val="00316217"/>
    <w:rsid w:val="00316344"/>
    <w:rsid w:val="003163C9"/>
    <w:rsid w:val="00316519"/>
    <w:rsid w:val="00316542"/>
    <w:rsid w:val="0031658B"/>
    <w:rsid w:val="0031671D"/>
    <w:rsid w:val="0031675A"/>
    <w:rsid w:val="003167DB"/>
    <w:rsid w:val="00316808"/>
    <w:rsid w:val="0031689A"/>
    <w:rsid w:val="003168BF"/>
    <w:rsid w:val="00316922"/>
    <w:rsid w:val="003169F2"/>
    <w:rsid w:val="00316B05"/>
    <w:rsid w:val="00316B73"/>
    <w:rsid w:val="00316BB3"/>
    <w:rsid w:val="00316BDA"/>
    <w:rsid w:val="00316C4E"/>
    <w:rsid w:val="00316C76"/>
    <w:rsid w:val="00316CA9"/>
    <w:rsid w:val="00316D09"/>
    <w:rsid w:val="00316D54"/>
    <w:rsid w:val="00316DA3"/>
    <w:rsid w:val="003170C0"/>
    <w:rsid w:val="0031713A"/>
    <w:rsid w:val="00317212"/>
    <w:rsid w:val="0031728D"/>
    <w:rsid w:val="003172EB"/>
    <w:rsid w:val="0031741E"/>
    <w:rsid w:val="0031747D"/>
    <w:rsid w:val="0031754F"/>
    <w:rsid w:val="0031757C"/>
    <w:rsid w:val="003176A0"/>
    <w:rsid w:val="003176D7"/>
    <w:rsid w:val="00317836"/>
    <w:rsid w:val="00317888"/>
    <w:rsid w:val="00317915"/>
    <w:rsid w:val="0031792F"/>
    <w:rsid w:val="00317A3D"/>
    <w:rsid w:val="00317A61"/>
    <w:rsid w:val="00317A8C"/>
    <w:rsid w:val="00317AA9"/>
    <w:rsid w:val="00317BA7"/>
    <w:rsid w:val="00317CE0"/>
    <w:rsid w:val="00317D4B"/>
    <w:rsid w:val="00317F2F"/>
    <w:rsid w:val="0032000B"/>
    <w:rsid w:val="00320057"/>
    <w:rsid w:val="00320096"/>
    <w:rsid w:val="003200D5"/>
    <w:rsid w:val="00320119"/>
    <w:rsid w:val="00320249"/>
    <w:rsid w:val="00320481"/>
    <w:rsid w:val="003204B8"/>
    <w:rsid w:val="003204E9"/>
    <w:rsid w:val="0032057F"/>
    <w:rsid w:val="003205E7"/>
    <w:rsid w:val="00320656"/>
    <w:rsid w:val="003206A8"/>
    <w:rsid w:val="003207D1"/>
    <w:rsid w:val="00320848"/>
    <w:rsid w:val="00320892"/>
    <w:rsid w:val="00320922"/>
    <w:rsid w:val="00320ABD"/>
    <w:rsid w:val="00320B01"/>
    <w:rsid w:val="00320B1A"/>
    <w:rsid w:val="00320B41"/>
    <w:rsid w:val="00320BA6"/>
    <w:rsid w:val="00320C20"/>
    <w:rsid w:val="00320D90"/>
    <w:rsid w:val="00320E3C"/>
    <w:rsid w:val="00320E47"/>
    <w:rsid w:val="00320E9A"/>
    <w:rsid w:val="00320EB7"/>
    <w:rsid w:val="003210A6"/>
    <w:rsid w:val="003210C2"/>
    <w:rsid w:val="003210CA"/>
    <w:rsid w:val="00321190"/>
    <w:rsid w:val="003211B3"/>
    <w:rsid w:val="0032125C"/>
    <w:rsid w:val="003212F8"/>
    <w:rsid w:val="0032136D"/>
    <w:rsid w:val="00321401"/>
    <w:rsid w:val="003216B0"/>
    <w:rsid w:val="003216F6"/>
    <w:rsid w:val="0032171F"/>
    <w:rsid w:val="0032172E"/>
    <w:rsid w:val="003217BC"/>
    <w:rsid w:val="003219DC"/>
    <w:rsid w:val="00321A74"/>
    <w:rsid w:val="00321AA6"/>
    <w:rsid w:val="00321B5B"/>
    <w:rsid w:val="00321BC8"/>
    <w:rsid w:val="00321BFA"/>
    <w:rsid w:val="00321CB9"/>
    <w:rsid w:val="00321EA3"/>
    <w:rsid w:val="00321F15"/>
    <w:rsid w:val="00321FB6"/>
    <w:rsid w:val="00321FD6"/>
    <w:rsid w:val="00322046"/>
    <w:rsid w:val="00322061"/>
    <w:rsid w:val="00322215"/>
    <w:rsid w:val="0032223F"/>
    <w:rsid w:val="003223C3"/>
    <w:rsid w:val="00322564"/>
    <w:rsid w:val="003225C8"/>
    <w:rsid w:val="003225E8"/>
    <w:rsid w:val="00322608"/>
    <w:rsid w:val="00322612"/>
    <w:rsid w:val="00322615"/>
    <w:rsid w:val="00322618"/>
    <w:rsid w:val="003226AD"/>
    <w:rsid w:val="0032273E"/>
    <w:rsid w:val="00322772"/>
    <w:rsid w:val="003229C8"/>
    <w:rsid w:val="00322A10"/>
    <w:rsid w:val="00322A41"/>
    <w:rsid w:val="00322B51"/>
    <w:rsid w:val="00322BD1"/>
    <w:rsid w:val="00322BE4"/>
    <w:rsid w:val="00322C1C"/>
    <w:rsid w:val="00322C8B"/>
    <w:rsid w:val="00322CF9"/>
    <w:rsid w:val="00322D05"/>
    <w:rsid w:val="00322D90"/>
    <w:rsid w:val="00322DBE"/>
    <w:rsid w:val="00322F4F"/>
    <w:rsid w:val="00323043"/>
    <w:rsid w:val="003231C2"/>
    <w:rsid w:val="00323220"/>
    <w:rsid w:val="003232C6"/>
    <w:rsid w:val="0032333F"/>
    <w:rsid w:val="003233CF"/>
    <w:rsid w:val="00323499"/>
    <w:rsid w:val="003235A7"/>
    <w:rsid w:val="003235B8"/>
    <w:rsid w:val="00323733"/>
    <w:rsid w:val="0032378A"/>
    <w:rsid w:val="003237A0"/>
    <w:rsid w:val="00323946"/>
    <w:rsid w:val="003239E1"/>
    <w:rsid w:val="00323B97"/>
    <w:rsid w:val="00323C05"/>
    <w:rsid w:val="00323CB7"/>
    <w:rsid w:val="00323D59"/>
    <w:rsid w:val="00323E16"/>
    <w:rsid w:val="00323E1E"/>
    <w:rsid w:val="00324041"/>
    <w:rsid w:val="00324097"/>
    <w:rsid w:val="003240ED"/>
    <w:rsid w:val="003240F3"/>
    <w:rsid w:val="003241E5"/>
    <w:rsid w:val="003241E6"/>
    <w:rsid w:val="00324309"/>
    <w:rsid w:val="003243F3"/>
    <w:rsid w:val="00324406"/>
    <w:rsid w:val="00324440"/>
    <w:rsid w:val="00324489"/>
    <w:rsid w:val="00324577"/>
    <w:rsid w:val="00324643"/>
    <w:rsid w:val="00324651"/>
    <w:rsid w:val="003247C4"/>
    <w:rsid w:val="00324818"/>
    <w:rsid w:val="0032482D"/>
    <w:rsid w:val="00324932"/>
    <w:rsid w:val="00324AB0"/>
    <w:rsid w:val="00324AFA"/>
    <w:rsid w:val="00324B5B"/>
    <w:rsid w:val="00324BBE"/>
    <w:rsid w:val="00324C3E"/>
    <w:rsid w:val="00324CA3"/>
    <w:rsid w:val="00324E21"/>
    <w:rsid w:val="00324F0F"/>
    <w:rsid w:val="00324F3D"/>
    <w:rsid w:val="00324F82"/>
    <w:rsid w:val="00325008"/>
    <w:rsid w:val="00325229"/>
    <w:rsid w:val="003252F3"/>
    <w:rsid w:val="003253D2"/>
    <w:rsid w:val="003253E0"/>
    <w:rsid w:val="00325594"/>
    <w:rsid w:val="003255CC"/>
    <w:rsid w:val="003256A7"/>
    <w:rsid w:val="00325701"/>
    <w:rsid w:val="003258C6"/>
    <w:rsid w:val="003258D5"/>
    <w:rsid w:val="003258DB"/>
    <w:rsid w:val="003258EC"/>
    <w:rsid w:val="00325AD8"/>
    <w:rsid w:val="00325B5E"/>
    <w:rsid w:val="00325BBB"/>
    <w:rsid w:val="00325C02"/>
    <w:rsid w:val="00325C89"/>
    <w:rsid w:val="00325D2C"/>
    <w:rsid w:val="00325D37"/>
    <w:rsid w:val="00325DA6"/>
    <w:rsid w:val="00325DDF"/>
    <w:rsid w:val="00325E2A"/>
    <w:rsid w:val="00325EFE"/>
    <w:rsid w:val="00326252"/>
    <w:rsid w:val="003262A6"/>
    <w:rsid w:val="003262C6"/>
    <w:rsid w:val="00326420"/>
    <w:rsid w:val="0032643B"/>
    <w:rsid w:val="0032649A"/>
    <w:rsid w:val="003264B9"/>
    <w:rsid w:val="00326541"/>
    <w:rsid w:val="00326673"/>
    <w:rsid w:val="003266B9"/>
    <w:rsid w:val="00326714"/>
    <w:rsid w:val="00326748"/>
    <w:rsid w:val="0032683D"/>
    <w:rsid w:val="0032699E"/>
    <w:rsid w:val="003269AF"/>
    <w:rsid w:val="003269F8"/>
    <w:rsid w:val="00326A0E"/>
    <w:rsid w:val="00326A44"/>
    <w:rsid w:val="00326BE1"/>
    <w:rsid w:val="00326C07"/>
    <w:rsid w:val="00326D4B"/>
    <w:rsid w:val="00326D92"/>
    <w:rsid w:val="00326E1C"/>
    <w:rsid w:val="00326E3F"/>
    <w:rsid w:val="00326E65"/>
    <w:rsid w:val="00326ECA"/>
    <w:rsid w:val="00327038"/>
    <w:rsid w:val="00327204"/>
    <w:rsid w:val="00327330"/>
    <w:rsid w:val="00327340"/>
    <w:rsid w:val="00327347"/>
    <w:rsid w:val="00327353"/>
    <w:rsid w:val="003273EC"/>
    <w:rsid w:val="003274A6"/>
    <w:rsid w:val="003274EF"/>
    <w:rsid w:val="0032758C"/>
    <w:rsid w:val="0032758F"/>
    <w:rsid w:val="00327631"/>
    <w:rsid w:val="00327651"/>
    <w:rsid w:val="0032767F"/>
    <w:rsid w:val="0032769D"/>
    <w:rsid w:val="00327741"/>
    <w:rsid w:val="003277D4"/>
    <w:rsid w:val="0032784E"/>
    <w:rsid w:val="00327860"/>
    <w:rsid w:val="0032786D"/>
    <w:rsid w:val="003279DB"/>
    <w:rsid w:val="00327A03"/>
    <w:rsid w:val="00327A3B"/>
    <w:rsid w:val="00327A9E"/>
    <w:rsid w:val="00327DB6"/>
    <w:rsid w:val="00327E7C"/>
    <w:rsid w:val="00327ECA"/>
    <w:rsid w:val="00330025"/>
    <w:rsid w:val="00330135"/>
    <w:rsid w:val="00330239"/>
    <w:rsid w:val="00330272"/>
    <w:rsid w:val="0033031A"/>
    <w:rsid w:val="00330421"/>
    <w:rsid w:val="00330424"/>
    <w:rsid w:val="003304FC"/>
    <w:rsid w:val="0033068A"/>
    <w:rsid w:val="00330786"/>
    <w:rsid w:val="003307AE"/>
    <w:rsid w:val="0033083C"/>
    <w:rsid w:val="003308B6"/>
    <w:rsid w:val="003308DE"/>
    <w:rsid w:val="00330978"/>
    <w:rsid w:val="00330A12"/>
    <w:rsid w:val="00330A96"/>
    <w:rsid w:val="00330B09"/>
    <w:rsid w:val="00330C27"/>
    <w:rsid w:val="00330C5A"/>
    <w:rsid w:val="00330D0B"/>
    <w:rsid w:val="00330DA0"/>
    <w:rsid w:val="00330E24"/>
    <w:rsid w:val="00330EC3"/>
    <w:rsid w:val="00330F8D"/>
    <w:rsid w:val="003310CE"/>
    <w:rsid w:val="003310E3"/>
    <w:rsid w:val="003310E5"/>
    <w:rsid w:val="003310E9"/>
    <w:rsid w:val="003310FB"/>
    <w:rsid w:val="0033119E"/>
    <w:rsid w:val="00331352"/>
    <w:rsid w:val="00331444"/>
    <w:rsid w:val="0033156C"/>
    <w:rsid w:val="00331616"/>
    <w:rsid w:val="00331641"/>
    <w:rsid w:val="003318EA"/>
    <w:rsid w:val="0033190F"/>
    <w:rsid w:val="00331B66"/>
    <w:rsid w:val="00331BC9"/>
    <w:rsid w:val="00331BD7"/>
    <w:rsid w:val="00331C1C"/>
    <w:rsid w:val="00331D37"/>
    <w:rsid w:val="00331D6D"/>
    <w:rsid w:val="00331D87"/>
    <w:rsid w:val="00331DB9"/>
    <w:rsid w:val="00331E16"/>
    <w:rsid w:val="00331E79"/>
    <w:rsid w:val="00331EE4"/>
    <w:rsid w:val="00331FB2"/>
    <w:rsid w:val="00332003"/>
    <w:rsid w:val="00332006"/>
    <w:rsid w:val="00332015"/>
    <w:rsid w:val="00332026"/>
    <w:rsid w:val="00332123"/>
    <w:rsid w:val="00332220"/>
    <w:rsid w:val="003322FC"/>
    <w:rsid w:val="00332416"/>
    <w:rsid w:val="0033247D"/>
    <w:rsid w:val="0033247F"/>
    <w:rsid w:val="00332538"/>
    <w:rsid w:val="0033254B"/>
    <w:rsid w:val="003325CF"/>
    <w:rsid w:val="0033265C"/>
    <w:rsid w:val="0033278A"/>
    <w:rsid w:val="003327D0"/>
    <w:rsid w:val="003327DB"/>
    <w:rsid w:val="0033281F"/>
    <w:rsid w:val="003329FE"/>
    <w:rsid w:val="00332A30"/>
    <w:rsid w:val="00332A84"/>
    <w:rsid w:val="00332B4A"/>
    <w:rsid w:val="00332B9E"/>
    <w:rsid w:val="00332CFA"/>
    <w:rsid w:val="00332D2D"/>
    <w:rsid w:val="00332D35"/>
    <w:rsid w:val="00332E15"/>
    <w:rsid w:val="00332E46"/>
    <w:rsid w:val="00332EC3"/>
    <w:rsid w:val="00332F67"/>
    <w:rsid w:val="00332FA2"/>
    <w:rsid w:val="00332FE4"/>
    <w:rsid w:val="0033334C"/>
    <w:rsid w:val="00333467"/>
    <w:rsid w:val="00333542"/>
    <w:rsid w:val="00333623"/>
    <w:rsid w:val="0033365E"/>
    <w:rsid w:val="003336F0"/>
    <w:rsid w:val="00333760"/>
    <w:rsid w:val="0033378E"/>
    <w:rsid w:val="00333872"/>
    <w:rsid w:val="003338AE"/>
    <w:rsid w:val="00333909"/>
    <w:rsid w:val="00333923"/>
    <w:rsid w:val="00333987"/>
    <w:rsid w:val="00333BCC"/>
    <w:rsid w:val="00333C57"/>
    <w:rsid w:val="00333C78"/>
    <w:rsid w:val="00333D84"/>
    <w:rsid w:val="00333EFD"/>
    <w:rsid w:val="003340AE"/>
    <w:rsid w:val="003341BD"/>
    <w:rsid w:val="00334208"/>
    <w:rsid w:val="00334297"/>
    <w:rsid w:val="00334389"/>
    <w:rsid w:val="00334432"/>
    <w:rsid w:val="00334439"/>
    <w:rsid w:val="0033457F"/>
    <w:rsid w:val="003345B7"/>
    <w:rsid w:val="003345FB"/>
    <w:rsid w:val="00334693"/>
    <w:rsid w:val="003346C0"/>
    <w:rsid w:val="00334723"/>
    <w:rsid w:val="0033478D"/>
    <w:rsid w:val="003348E5"/>
    <w:rsid w:val="003348FA"/>
    <w:rsid w:val="0033499A"/>
    <w:rsid w:val="00334A6E"/>
    <w:rsid w:val="00334AAD"/>
    <w:rsid w:val="00334B43"/>
    <w:rsid w:val="00334C08"/>
    <w:rsid w:val="00334C18"/>
    <w:rsid w:val="00334C4E"/>
    <w:rsid w:val="00334DC7"/>
    <w:rsid w:val="00334DDE"/>
    <w:rsid w:val="00334E17"/>
    <w:rsid w:val="00334E21"/>
    <w:rsid w:val="00334E27"/>
    <w:rsid w:val="00334E41"/>
    <w:rsid w:val="00334FEA"/>
    <w:rsid w:val="00335074"/>
    <w:rsid w:val="00335205"/>
    <w:rsid w:val="003354CE"/>
    <w:rsid w:val="0033561A"/>
    <w:rsid w:val="00335A87"/>
    <w:rsid w:val="00335AAA"/>
    <w:rsid w:val="00335BCE"/>
    <w:rsid w:val="00335BEF"/>
    <w:rsid w:val="00335BF1"/>
    <w:rsid w:val="00335CCC"/>
    <w:rsid w:val="00335D21"/>
    <w:rsid w:val="00335E17"/>
    <w:rsid w:val="00335E71"/>
    <w:rsid w:val="00335ED6"/>
    <w:rsid w:val="00335EED"/>
    <w:rsid w:val="00335F29"/>
    <w:rsid w:val="00335FBB"/>
    <w:rsid w:val="00336095"/>
    <w:rsid w:val="00336193"/>
    <w:rsid w:val="00336253"/>
    <w:rsid w:val="00336284"/>
    <w:rsid w:val="0033636C"/>
    <w:rsid w:val="003363F5"/>
    <w:rsid w:val="00336444"/>
    <w:rsid w:val="00336462"/>
    <w:rsid w:val="003364AA"/>
    <w:rsid w:val="003364C8"/>
    <w:rsid w:val="00336652"/>
    <w:rsid w:val="00336687"/>
    <w:rsid w:val="00336701"/>
    <w:rsid w:val="003368ED"/>
    <w:rsid w:val="00336A9B"/>
    <w:rsid w:val="00336BF2"/>
    <w:rsid w:val="00336C2A"/>
    <w:rsid w:val="00336D0E"/>
    <w:rsid w:val="00336D46"/>
    <w:rsid w:val="00336DCA"/>
    <w:rsid w:val="00336EDB"/>
    <w:rsid w:val="00336F7F"/>
    <w:rsid w:val="00336F9E"/>
    <w:rsid w:val="00336FB3"/>
    <w:rsid w:val="00337184"/>
    <w:rsid w:val="0033718E"/>
    <w:rsid w:val="0033757C"/>
    <w:rsid w:val="00337639"/>
    <w:rsid w:val="003376FE"/>
    <w:rsid w:val="00337750"/>
    <w:rsid w:val="0033788F"/>
    <w:rsid w:val="003378BF"/>
    <w:rsid w:val="00337917"/>
    <w:rsid w:val="0033795C"/>
    <w:rsid w:val="00337988"/>
    <w:rsid w:val="00337A17"/>
    <w:rsid w:val="00337A80"/>
    <w:rsid w:val="00337B64"/>
    <w:rsid w:val="00337D17"/>
    <w:rsid w:val="00337D71"/>
    <w:rsid w:val="00337D80"/>
    <w:rsid w:val="00337F2D"/>
    <w:rsid w:val="00337FA2"/>
    <w:rsid w:val="00337FE8"/>
    <w:rsid w:val="0034004E"/>
    <w:rsid w:val="003400FA"/>
    <w:rsid w:val="00340109"/>
    <w:rsid w:val="00340155"/>
    <w:rsid w:val="00340207"/>
    <w:rsid w:val="00340354"/>
    <w:rsid w:val="003403B5"/>
    <w:rsid w:val="00340473"/>
    <w:rsid w:val="003404E2"/>
    <w:rsid w:val="003404F4"/>
    <w:rsid w:val="00340540"/>
    <w:rsid w:val="0034057A"/>
    <w:rsid w:val="00340604"/>
    <w:rsid w:val="00340605"/>
    <w:rsid w:val="0034064D"/>
    <w:rsid w:val="003406C5"/>
    <w:rsid w:val="00340734"/>
    <w:rsid w:val="0034076E"/>
    <w:rsid w:val="0034080A"/>
    <w:rsid w:val="00340853"/>
    <w:rsid w:val="003408F1"/>
    <w:rsid w:val="0034093E"/>
    <w:rsid w:val="00340B54"/>
    <w:rsid w:val="00340CF6"/>
    <w:rsid w:val="00340D7B"/>
    <w:rsid w:val="00340DD7"/>
    <w:rsid w:val="00340EDB"/>
    <w:rsid w:val="00340EE5"/>
    <w:rsid w:val="00340F21"/>
    <w:rsid w:val="00341061"/>
    <w:rsid w:val="00341278"/>
    <w:rsid w:val="003412B4"/>
    <w:rsid w:val="003412C4"/>
    <w:rsid w:val="003412E6"/>
    <w:rsid w:val="003412E8"/>
    <w:rsid w:val="003413A2"/>
    <w:rsid w:val="0034141D"/>
    <w:rsid w:val="0034154B"/>
    <w:rsid w:val="00341550"/>
    <w:rsid w:val="003416DA"/>
    <w:rsid w:val="00341731"/>
    <w:rsid w:val="0034174F"/>
    <w:rsid w:val="003417DA"/>
    <w:rsid w:val="0034180C"/>
    <w:rsid w:val="00341859"/>
    <w:rsid w:val="00341888"/>
    <w:rsid w:val="00341889"/>
    <w:rsid w:val="003418FC"/>
    <w:rsid w:val="0034193D"/>
    <w:rsid w:val="00341AAF"/>
    <w:rsid w:val="00341C1C"/>
    <w:rsid w:val="00341C42"/>
    <w:rsid w:val="00341C67"/>
    <w:rsid w:val="00341D33"/>
    <w:rsid w:val="00341DB6"/>
    <w:rsid w:val="00341DDD"/>
    <w:rsid w:val="00341DEB"/>
    <w:rsid w:val="00341E22"/>
    <w:rsid w:val="00341ED1"/>
    <w:rsid w:val="00341EDE"/>
    <w:rsid w:val="00341F5C"/>
    <w:rsid w:val="00341F6B"/>
    <w:rsid w:val="0034201F"/>
    <w:rsid w:val="00342046"/>
    <w:rsid w:val="00342148"/>
    <w:rsid w:val="003421F7"/>
    <w:rsid w:val="00342220"/>
    <w:rsid w:val="00342226"/>
    <w:rsid w:val="0034227D"/>
    <w:rsid w:val="003422FB"/>
    <w:rsid w:val="00342325"/>
    <w:rsid w:val="00342364"/>
    <w:rsid w:val="00342392"/>
    <w:rsid w:val="00342488"/>
    <w:rsid w:val="00342508"/>
    <w:rsid w:val="003425AA"/>
    <w:rsid w:val="0034266C"/>
    <w:rsid w:val="00342722"/>
    <w:rsid w:val="00342811"/>
    <w:rsid w:val="00342865"/>
    <w:rsid w:val="003429BD"/>
    <w:rsid w:val="00342A12"/>
    <w:rsid w:val="00342A51"/>
    <w:rsid w:val="00342B35"/>
    <w:rsid w:val="00342B7D"/>
    <w:rsid w:val="00342B90"/>
    <w:rsid w:val="00342BE2"/>
    <w:rsid w:val="00342CAD"/>
    <w:rsid w:val="00342D5E"/>
    <w:rsid w:val="00342F67"/>
    <w:rsid w:val="00342F98"/>
    <w:rsid w:val="00342FFD"/>
    <w:rsid w:val="00343000"/>
    <w:rsid w:val="00343258"/>
    <w:rsid w:val="003432A6"/>
    <w:rsid w:val="00343385"/>
    <w:rsid w:val="003433BA"/>
    <w:rsid w:val="00343465"/>
    <w:rsid w:val="0034348B"/>
    <w:rsid w:val="003436D3"/>
    <w:rsid w:val="00343770"/>
    <w:rsid w:val="00343781"/>
    <w:rsid w:val="00343802"/>
    <w:rsid w:val="003438B6"/>
    <w:rsid w:val="003438EF"/>
    <w:rsid w:val="00343A56"/>
    <w:rsid w:val="00343A92"/>
    <w:rsid w:val="00343A9F"/>
    <w:rsid w:val="00343AE3"/>
    <w:rsid w:val="00343BB0"/>
    <w:rsid w:val="00343C65"/>
    <w:rsid w:val="00343CBD"/>
    <w:rsid w:val="00343F1B"/>
    <w:rsid w:val="00343FE9"/>
    <w:rsid w:val="00344008"/>
    <w:rsid w:val="00344235"/>
    <w:rsid w:val="003442D1"/>
    <w:rsid w:val="00344351"/>
    <w:rsid w:val="0034436C"/>
    <w:rsid w:val="0034438A"/>
    <w:rsid w:val="00344390"/>
    <w:rsid w:val="003443F5"/>
    <w:rsid w:val="0034441D"/>
    <w:rsid w:val="00344436"/>
    <w:rsid w:val="00344488"/>
    <w:rsid w:val="0034448B"/>
    <w:rsid w:val="00344698"/>
    <w:rsid w:val="0034472A"/>
    <w:rsid w:val="00344740"/>
    <w:rsid w:val="003447C2"/>
    <w:rsid w:val="003447CC"/>
    <w:rsid w:val="0034499A"/>
    <w:rsid w:val="003449A5"/>
    <w:rsid w:val="00344A2A"/>
    <w:rsid w:val="00344AB4"/>
    <w:rsid w:val="00344B38"/>
    <w:rsid w:val="00344B70"/>
    <w:rsid w:val="00344BA0"/>
    <w:rsid w:val="00344C2C"/>
    <w:rsid w:val="00344C53"/>
    <w:rsid w:val="00344C5B"/>
    <w:rsid w:val="00344C7D"/>
    <w:rsid w:val="00344D31"/>
    <w:rsid w:val="00344D87"/>
    <w:rsid w:val="00344DB1"/>
    <w:rsid w:val="00344E0E"/>
    <w:rsid w:val="00344F36"/>
    <w:rsid w:val="00344FEF"/>
    <w:rsid w:val="0034506A"/>
    <w:rsid w:val="00345077"/>
    <w:rsid w:val="003450F9"/>
    <w:rsid w:val="003451C9"/>
    <w:rsid w:val="003452BC"/>
    <w:rsid w:val="003452D5"/>
    <w:rsid w:val="003452E1"/>
    <w:rsid w:val="0034553F"/>
    <w:rsid w:val="00345553"/>
    <w:rsid w:val="003455C1"/>
    <w:rsid w:val="00345604"/>
    <w:rsid w:val="003456BC"/>
    <w:rsid w:val="00345737"/>
    <w:rsid w:val="003457E0"/>
    <w:rsid w:val="00345865"/>
    <w:rsid w:val="0034587A"/>
    <w:rsid w:val="0034587D"/>
    <w:rsid w:val="00345961"/>
    <w:rsid w:val="00345A06"/>
    <w:rsid w:val="00345AAC"/>
    <w:rsid w:val="00345BBD"/>
    <w:rsid w:val="00345C3F"/>
    <w:rsid w:val="00345CB0"/>
    <w:rsid w:val="00345CC5"/>
    <w:rsid w:val="00345D68"/>
    <w:rsid w:val="00345E10"/>
    <w:rsid w:val="00345EEF"/>
    <w:rsid w:val="00345F2A"/>
    <w:rsid w:val="00345FCF"/>
    <w:rsid w:val="003460B6"/>
    <w:rsid w:val="003460F7"/>
    <w:rsid w:val="003460FC"/>
    <w:rsid w:val="0034610E"/>
    <w:rsid w:val="003462CE"/>
    <w:rsid w:val="0034643F"/>
    <w:rsid w:val="00346446"/>
    <w:rsid w:val="0034644A"/>
    <w:rsid w:val="00346643"/>
    <w:rsid w:val="0034665E"/>
    <w:rsid w:val="003466E6"/>
    <w:rsid w:val="00346796"/>
    <w:rsid w:val="003468D5"/>
    <w:rsid w:val="00346929"/>
    <w:rsid w:val="00346985"/>
    <w:rsid w:val="003469C7"/>
    <w:rsid w:val="00346A18"/>
    <w:rsid w:val="00346B3E"/>
    <w:rsid w:val="00346B9C"/>
    <w:rsid w:val="00346C8A"/>
    <w:rsid w:val="00346C91"/>
    <w:rsid w:val="00346D0B"/>
    <w:rsid w:val="00346DC0"/>
    <w:rsid w:val="00346F51"/>
    <w:rsid w:val="003470CA"/>
    <w:rsid w:val="003471B2"/>
    <w:rsid w:val="00347294"/>
    <w:rsid w:val="0034729C"/>
    <w:rsid w:val="003472C2"/>
    <w:rsid w:val="0034733D"/>
    <w:rsid w:val="00347412"/>
    <w:rsid w:val="003475E0"/>
    <w:rsid w:val="003476CC"/>
    <w:rsid w:val="003476F7"/>
    <w:rsid w:val="0034778F"/>
    <w:rsid w:val="00347B4D"/>
    <w:rsid w:val="00347D16"/>
    <w:rsid w:val="00347D50"/>
    <w:rsid w:val="00347E11"/>
    <w:rsid w:val="00347EFE"/>
    <w:rsid w:val="00347F5C"/>
    <w:rsid w:val="00347F6F"/>
    <w:rsid w:val="0035007A"/>
    <w:rsid w:val="003500FE"/>
    <w:rsid w:val="003501C6"/>
    <w:rsid w:val="00350236"/>
    <w:rsid w:val="00350309"/>
    <w:rsid w:val="003503FA"/>
    <w:rsid w:val="00350423"/>
    <w:rsid w:val="0035043D"/>
    <w:rsid w:val="0035044B"/>
    <w:rsid w:val="003504EF"/>
    <w:rsid w:val="00350694"/>
    <w:rsid w:val="003506CB"/>
    <w:rsid w:val="00350787"/>
    <w:rsid w:val="003507A0"/>
    <w:rsid w:val="0035080C"/>
    <w:rsid w:val="00350948"/>
    <w:rsid w:val="003509C7"/>
    <w:rsid w:val="00350A42"/>
    <w:rsid w:val="00350A65"/>
    <w:rsid w:val="00350C67"/>
    <w:rsid w:val="00350DDD"/>
    <w:rsid w:val="00350E4F"/>
    <w:rsid w:val="00350E64"/>
    <w:rsid w:val="00350EE2"/>
    <w:rsid w:val="00350F3A"/>
    <w:rsid w:val="00350FAB"/>
    <w:rsid w:val="00350FEE"/>
    <w:rsid w:val="0035103E"/>
    <w:rsid w:val="003511D7"/>
    <w:rsid w:val="00351217"/>
    <w:rsid w:val="00351247"/>
    <w:rsid w:val="00351256"/>
    <w:rsid w:val="00351290"/>
    <w:rsid w:val="00351301"/>
    <w:rsid w:val="00351337"/>
    <w:rsid w:val="00351475"/>
    <w:rsid w:val="0035149B"/>
    <w:rsid w:val="003514DD"/>
    <w:rsid w:val="00351583"/>
    <w:rsid w:val="003515D3"/>
    <w:rsid w:val="003516FE"/>
    <w:rsid w:val="0035170D"/>
    <w:rsid w:val="0035173C"/>
    <w:rsid w:val="00351754"/>
    <w:rsid w:val="00351781"/>
    <w:rsid w:val="003518F4"/>
    <w:rsid w:val="00351973"/>
    <w:rsid w:val="00351A00"/>
    <w:rsid w:val="00351A24"/>
    <w:rsid w:val="00351A7C"/>
    <w:rsid w:val="00351E93"/>
    <w:rsid w:val="00352003"/>
    <w:rsid w:val="0035213F"/>
    <w:rsid w:val="003521DA"/>
    <w:rsid w:val="0035223D"/>
    <w:rsid w:val="0035238A"/>
    <w:rsid w:val="003524CD"/>
    <w:rsid w:val="00352569"/>
    <w:rsid w:val="003526CA"/>
    <w:rsid w:val="003526D4"/>
    <w:rsid w:val="0035270A"/>
    <w:rsid w:val="0035273B"/>
    <w:rsid w:val="003527CD"/>
    <w:rsid w:val="00352990"/>
    <w:rsid w:val="0035299E"/>
    <w:rsid w:val="00352BB5"/>
    <w:rsid w:val="00352D06"/>
    <w:rsid w:val="00352D4E"/>
    <w:rsid w:val="00352E7F"/>
    <w:rsid w:val="00352ECA"/>
    <w:rsid w:val="00352FDC"/>
    <w:rsid w:val="00353186"/>
    <w:rsid w:val="003531AC"/>
    <w:rsid w:val="003531BA"/>
    <w:rsid w:val="00353203"/>
    <w:rsid w:val="003533E5"/>
    <w:rsid w:val="003533FB"/>
    <w:rsid w:val="00353401"/>
    <w:rsid w:val="003534D2"/>
    <w:rsid w:val="0035354F"/>
    <w:rsid w:val="00353570"/>
    <w:rsid w:val="00353655"/>
    <w:rsid w:val="003536A9"/>
    <w:rsid w:val="0035380B"/>
    <w:rsid w:val="003539A2"/>
    <w:rsid w:val="003539CC"/>
    <w:rsid w:val="00353A96"/>
    <w:rsid w:val="00353AB4"/>
    <w:rsid w:val="00353B1B"/>
    <w:rsid w:val="00353BA0"/>
    <w:rsid w:val="00353C0F"/>
    <w:rsid w:val="00353C37"/>
    <w:rsid w:val="00353C65"/>
    <w:rsid w:val="00353CC4"/>
    <w:rsid w:val="00353D07"/>
    <w:rsid w:val="00353D26"/>
    <w:rsid w:val="00353D87"/>
    <w:rsid w:val="00353DC3"/>
    <w:rsid w:val="00353E1A"/>
    <w:rsid w:val="00353EFA"/>
    <w:rsid w:val="00353F5E"/>
    <w:rsid w:val="00354059"/>
    <w:rsid w:val="0035406B"/>
    <w:rsid w:val="00354124"/>
    <w:rsid w:val="003541D9"/>
    <w:rsid w:val="00354217"/>
    <w:rsid w:val="003546DC"/>
    <w:rsid w:val="0035473A"/>
    <w:rsid w:val="003547B5"/>
    <w:rsid w:val="003548EE"/>
    <w:rsid w:val="003548FA"/>
    <w:rsid w:val="00354965"/>
    <w:rsid w:val="003549E6"/>
    <w:rsid w:val="003549EC"/>
    <w:rsid w:val="00354A44"/>
    <w:rsid w:val="00354A6D"/>
    <w:rsid w:val="00354A7F"/>
    <w:rsid w:val="00354A85"/>
    <w:rsid w:val="00354A94"/>
    <w:rsid w:val="00354AB5"/>
    <w:rsid w:val="00354AE8"/>
    <w:rsid w:val="00354B69"/>
    <w:rsid w:val="00354CC0"/>
    <w:rsid w:val="00354D13"/>
    <w:rsid w:val="00354D94"/>
    <w:rsid w:val="00354EBF"/>
    <w:rsid w:val="00355077"/>
    <w:rsid w:val="0035524F"/>
    <w:rsid w:val="003554BE"/>
    <w:rsid w:val="003554C2"/>
    <w:rsid w:val="0035551A"/>
    <w:rsid w:val="00355616"/>
    <w:rsid w:val="00355673"/>
    <w:rsid w:val="00355746"/>
    <w:rsid w:val="00355833"/>
    <w:rsid w:val="00355896"/>
    <w:rsid w:val="00355898"/>
    <w:rsid w:val="00355A5E"/>
    <w:rsid w:val="00355A6A"/>
    <w:rsid w:val="00355B11"/>
    <w:rsid w:val="00355B47"/>
    <w:rsid w:val="00355BBA"/>
    <w:rsid w:val="00355BD7"/>
    <w:rsid w:val="00355C36"/>
    <w:rsid w:val="00355DF8"/>
    <w:rsid w:val="00355E99"/>
    <w:rsid w:val="00355FD6"/>
    <w:rsid w:val="00356036"/>
    <w:rsid w:val="00356195"/>
    <w:rsid w:val="0035625A"/>
    <w:rsid w:val="00356283"/>
    <w:rsid w:val="003562A5"/>
    <w:rsid w:val="003562CF"/>
    <w:rsid w:val="00356302"/>
    <w:rsid w:val="00356373"/>
    <w:rsid w:val="003563C3"/>
    <w:rsid w:val="003564CB"/>
    <w:rsid w:val="003564FA"/>
    <w:rsid w:val="003565CB"/>
    <w:rsid w:val="003565DD"/>
    <w:rsid w:val="003567A6"/>
    <w:rsid w:val="00356894"/>
    <w:rsid w:val="0035694E"/>
    <w:rsid w:val="00356980"/>
    <w:rsid w:val="003569AA"/>
    <w:rsid w:val="00356A09"/>
    <w:rsid w:val="00356A13"/>
    <w:rsid w:val="00356A1A"/>
    <w:rsid w:val="00356B85"/>
    <w:rsid w:val="00356B97"/>
    <w:rsid w:val="00356B99"/>
    <w:rsid w:val="00356BA9"/>
    <w:rsid w:val="00356C92"/>
    <w:rsid w:val="00356DD5"/>
    <w:rsid w:val="00356FBE"/>
    <w:rsid w:val="0035713C"/>
    <w:rsid w:val="003571C7"/>
    <w:rsid w:val="003574DB"/>
    <w:rsid w:val="00357874"/>
    <w:rsid w:val="003578FC"/>
    <w:rsid w:val="0035793D"/>
    <w:rsid w:val="00357976"/>
    <w:rsid w:val="003579B9"/>
    <w:rsid w:val="003579ED"/>
    <w:rsid w:val="00357A86"/>
    <w:rsid w:val="00357AF7"/>
    <w:rsid w:val="00357B50"/>
    <w:rsid w:val="00357B6D"/>
    <w:rsid w:val="00357BA1"/>
    <w:rsid w:val="00357BCB"/>
    <w:rsid w:val="00357D83"/>
    <w:rsid w:val="00357F68"/>
    <w:rsid w:val="00360063"/>
    <w:rsid w:val="00360071"/>
    <w:rsid w:val="00360079"/>
    <w:rsid w:val="00360108"/>
    <w:rsid w:val="0036010E"/>
    <w:rsid w:val="003601D1"/>
    <w:rsid w:val="00360284"/>
    <w:rsid w:val="003603C8"/>
    <w:rsid w:val="00360467"/>
    <w:rsid w:val="00360498"/>
    <w:rsid w:val="00360509"/>
    <w:rsid w:val="00360537"/>
    <w:rsid w:val="003605D7"/>
    <w:rsid w:val="003606D7"/>
    <w:rsid w:val="00360709"/>
    <w:rsid w:val="0036075B"/>
    <w:rsid w:val="0036082D"/>
    <w:rsid w:val="00360839"/>
    <w:rsid w:val="00360959"/>
    <w:rsid w:val="00360A3E"/>
    <w:rsid w:val="00360A62"/>
    <w:rsid w:val="00360B99"/>
    <w:rsid w:val="00360BAF"/>
    <w:rsid w:val="00360BD7"/>
    <w:rsid w:val="00360C46"/>
    <w:rsid w:val="00360CBD"/>
    <w:rsid w:val="00360D65"/>
    <w:rsid w:val="00360EDD"/>
    <w:rsid w:val="00360FCE"/>
    <w:rsid w:val="003610A2"/>
    <w:rsid w:val="003610C0"/>
    <w:rsid w:val="00361140"/>
    <w:rsid w:val="0036114A"/>
    <w:rsid w:val="00361289"/>
    <w:rsid w:val="00361351"/>
    <w:rsid w:val="00361355"/>
    <w:rsid w:val="00361446"/>
    <w:rsid w:val="003614B1"/>
    <w:rsid w:val="00361636"/>
    <w:rsid w:val="00361639"/>
    <w:rsid w:val="00361647"/>
    <w:rsid w:val="0036166E"/>
    <w:rsid w:val="00361895"/>
    <w:rsid w:val="00361A7F"/>
    <w:rsid w:val="00361AAA"/>
    <w:rsid w:val="00361B66"/>
    <w:rsid w:val="00361BAA"/>
    <w:rsid w:val="00361BC6"/>
    <w:rsid w:val="00361BDD"/>
    <w:rsid w:val="00361D7A"/>
    <w:rsid w:val="00361D8B"/>
    <w:rsid w:val="00361DDF"/>
    <w:rsid w:val="00361E46"/>
    <w:rsid w:val="00361E4F"/>
    <w:rsid w:val="00361F91"/>
    <w:rsid w:val="00361FCE"/>
    <w:rsid w:val="0036202E"/>
    <w:rsid w:val="00362054"/>
    <w:rsid w:val="0036208C"/>
    <w:rsid w:val="0036214E"/>
    <w:rsid w:val="0036216F"/>
    <w:rsid w:val="003621D3"/>
    <w:rsid w:val="00362425"/>
    <w:rsid w:val="003625AF"/>
    <w:rsid w:val="003625C6"/>
    <w:rsid w:val="00362699"/>
    <w:rsid w:val="00362798"/>
    <w:rsid w:val="003627C8"/>
    <w:rsid w:val="0036284A"/>
    <w:rsid w:val="00362898"/>
    <w:rsid w:val="003628CD"/>
    <w:rsid w:val="003628FE"/>
    <w:rsid w:val="00362A5B"/>
    <w:rsid w:val="00362B3D"/>
    <w:rsid w:val="00362B64"/>
    <w:rsid w:val="00362BC1"/>
    <w:rsid w:val="00362CCC"/>
    <w:rsid w:val="00362CEC"/>
    <w:rsid w:val="00362D79"/>
    <w:rsid w:val="00362D95"/>
    <w:rsid w:val="00362DA3"/>
    <w:rsid w:val="00362DEE"/>
    <w:rsid w:val="00362E0A"/>
    <w:rsid w:val="00362EC9"/>
    <w:rsid w:val="00362F00"/>
    <w:rsid w:val="00363159"/>
    <w:rsid w:val="003632B0"/>
    <w:rsid w:val="003633A8"/>
    <w:rsid w:val="003633F1"/>
    <w:rsid w:val="00363512"/>
    <w:rsid w:val="0036352C"/>
    <w:rsid w:val="003635AE"/>
    <w:rsid w:val="00363823"/>
    <w:rsid w:val="003638CC"/>
    <w:rsid w:val="00363A0B"/>
    <w:rsid w:val="00363A28"/>
    <w:rsid w:val="00363CFE"/>
    <w:rsid w:val="00363E00"/>
    <w:rsid w:val="00363FF9"/>
    <w:rsid w:val="0036400B"/>
    <w:rsid w:val="00364141"/>
    <w:rsid w:val="00364393"/>
    <w:rsid w:val="003643A1"/>
    <w:rsid w:val="003643F9"/>
    <w:rsid w:val="00364431"/>
    <w:rsid w:val="003644B5"/>
    <w:rsid w:val="00364542"/>
    <w:rsid w:val="00364577"/>
    <w:rsid w:val="00364642"/>
    <w:rsid w:val="0036464A"/>
    <w:rsid w:val="0036477D"/>
    <w:rsid w:val="003647A3"/>
    <w:rsid w:val="003647AD"/>
    <w:rsid w:val="00364806"/>
    <w:rsid w:val="003648ED"/>
    <w:rsid w:val="00364944"/>
    <w:rsid w:val="00364953"/>
    <w:rsid w:val="0036495B"/>
    <w:rsid w:val="00364A65"/>
    <w:rsid w:val="00364B20"/>
    <w:rsid w:val="00364B42"/>
    <w:rsid w:val="00364B66"/>
    <w:rsid w:val="00364C4C"/>
    <w:rsid w:val="00364D1E"/>
    <w:rsid w:val="00364DE8"/>
    <w:rsid w:val="00364ED5"/>
    <w:rsid w:val="003650B0"/>
    <w:rsid w:val="003651AF"/>
    <w:rsid w:val="003652CA"/>
    <w:rsid w:val="0036533B"/>
    <w:rsid w:val="003653B4"/>
    <w:rsid w:val="0036544E"/>
    <w:rsid w:val="0036545A"/>
    <w:rsid w:val="003654C8"/>
    <w:rsid w:val="003655AE"/>
    <w:rsid w:val="00365673"/>
    <w:rsid w:val="003657BC"/>
    <w:rsid w:val="00365805"/>
    <w:rsid w:val="00365861"/>
    <w:rsid w:val="003658CD"/>
    <w:rsid w:val="00365A0F"/>
    <w:rsid w:val="00365A35"/>
    <w:rsid w:val="00365B2A"/>
    <w:rsid w:val="00365B83"/>
    <w:rsid w:val="00365C93"/>
    <w:rsid w:val="00365D0D"/>
    <w:rsid w:val="00365DF5"/>
    <w:rsid w:val="00365DF9"/>
    <w:rsid w:val="00365E54"/>
    <w:rsid w:val="00365FEF"/>
    <w:rsid w:val="00366045"/>
    <w:rsid w:val="0036618A"/>
    <w:rsid w:val="003662BF"/>
    <w:rsid w:val="0036633F"/>
    <w:rsid w:val="0036640B"/>
    <w:rsid w:val="00366416"/>
    <w:rsid w:val="00366452"/>
    <w:rsid w:val="0036647A"/>
    <w:rsid w:val="00366508"/>
    <w:rsid w:val="00366510"/>
    <w:rsid w:val="0036655B"/>
    <w:rsid w:val="003665D2"/>
    <w:rsid w:val="003665F8"/>
    <w:rsid w:val="003666B7"/>
    <w:rsid w:val="003666D8"/>
    <w:rsid w:val="0036673A"/>
    <w:rsid w:val="00366855"/>
    <w:rsid w:val="003668F8"/>
    <w:rsid w:val="003669C5"/>
    <w:rsid w:val="00366C56"/>
    <w:rsid w:val="00366C5C"/>
    <w:rsid w:val="00366C76"/>
    <w:rsid w:val="00366CC5"/>
    <w:rsid w:val="00366E38"/>
    <w:rsid w:val="00366E46"/>
    <w:rsid w:val="00366F3F"/>
    <w:rsid w:val="00366F91"/>
    <w:rsid w:val="00366F96"/>
    <w:rsid w:val="00366FCF"/>
    <w:rsid w:val="0036705C"/>
    <w:rsid w:val="00367089"/>
    <w:rsid w:val="0036708B"/>
    <w:rsid w:val="00367097"/>
    <w:rsid w:val="003670E2"/>
    <w:rsid w:val="003670E5"/>
    <w:rsid w:val="0036715A"/>
    <w:rsid w:val="00367213"/>
    <w:rsid w:val="0036729C"/>
    <w:rsid w:val="003672FD"/>
    <w:rsid w:val="00367332"/>
    <w:rsid w:val="00367580"/>
    <w:rsid w:val="003677DA"/>
    <w:rsid w:val="00367847"/>
    <w:rsid w:val="003678D6"/>
    <w:rsid w:val="003678E7"/>
    <w:rsid w:val="003679C5"/>
    <w:rsid w:val="003679EB"/>
    <w:rsid w:val="00367A22"/>
    <w:rsid w:val="00367AF7"/>
    <w:rsid w:val="00367BA1"/>
    <w:rsid w:val="00367BD8"/>
    <w:rsid w:val="00367C0B"/>
    <w:rsid w:val="00367C5A"/>
    <w:rsid w:val="00367C88"/>
    <w:rsid w:val="00367CB9"/>
    <w:rsid w:val="00367E4F"/>
    <w:rsid w:val="00367F63"/>
    <w:rsid w:val="00370013"/>
    <w:rsid w:val="00370017"/>
    <w:rsid w:val="00370036"/>
    <w:rsid w:val="00370157"/>
    <w:rsid w:val="00370199"/>
    <w:rsid w:val="00370232"/>
    <w:rsid w:val="00370253"/>
    <w:rsid w:val="00370272"/>
    <w:rsid w:val="00370354"/>
    <w:rsid w:val="0037037E"/>
    <w:rsid w:val="003703D2"/>
    <w:rsid w:val="00370497"/>
    <w:rsid w:val="003704EF"/>
    <w:rsid w:val="003704F0"/>
    <w:rsid w:val="0037070B"/>
    <w:rsid w:val="0037076B"/>
    <w:rsid w:val="003707AB"/>
    <w:rsid w:val="003707EE"/>
    <w:rsid w:val="00370964"/>
    <w:rsid w:val="0037096C"/>
    <w:rsid w:val="00370996"/>
    <w:rsid w:val="003709BC"/>
    <w:rsid w:val="003709FA"/>
    <w:rsid w:val="00370A8E"/>
    <w:rsid w:val="00370AD8"/>
    <w:rsid w:val="00370B70"/>
    <w:rsid w:val="00370BAC"/>
    <w:rsid w:val="00370D0C"/>
    <w:rsid w:val="00370D3A"/>
    <w:rsid w:val="00370D5D"/>
    <w:rsid w:val="00370DCE"/>
    <w:rsid w:val="00370E03"/>
    <w:rsid w:val="003710C5"/>
    <w:rsid w:val="003710FA"/>
    <w:rsid w:val="00371110"/>
    <w:rsid w:val="003711B9"/>
    <w:rsid w:val="003712A1"/>
    <w:rsid w:val="003712C6"/>
    <w:rsid w:val="003713DB"/>
    <w:rsid w:val="00371400"/>
    <w:rsid w:val="0037146F"/>
    <w:rsid w:val="00371486"/>
    <w:rsid w:val="00371496"/>
    <w:rsid w:val="003714AC"/>
    <w:rsid w:val="003714F9"/>
    <w:rsid w:val="0037169E"/>
    <w:rsid w:val="0037172D"/>
    <w:rsid w:val="00371973"/>
    <w:rsid w:val="00371990"/>
    <w:rsid w:val="00371B7C"/>
    <w:rsid w:val="00371C21"/>
    <w:rsid w:val="00371C38"/>
    <w:rsid w:val="00371CCA"/>
    <w:rsid w:val="00371D2E"/>
    <w:rsid w:val="00371E56"/>
    <w:rsid w:val="00371FE4"/>
    <w:rsid w:val="00372000"/>
    <w:rsid w:val="0037208F"/>
    <w:rsid w:val="0037210F"/>
    <w:rsid w:val="00372137"/>
    <w:rsid w:val="00372302"/>
    <w:rsid w:val="00372393"/>
    <w:rsid w:val="00372427"/>
    <w:rsid w:val="0037247B"/>
    <w:rsid w:val="00372631"/>
    <w:rsid w:val="00372727"/>
    <w:rsid w:val="003727BA"/>
    <w:rsid w:val="003727DB"/>
    <w:rsid w:val="00372800"/>
    <w:rsid w:val="0037282A"/>
    <w:rsid w:val="00372877"/>
    <w:rsid w:val="00372896"/>
    <w:rsid w:val="003728B2"/>
    <w:rsid w:val="00372927"/>
    <w:rsid w:val="003729EC"/>
    <w:rsid w:val="00372A77"/>
    <w:rsid w:val="00372AB0"/>
    <w:rsid w:val="00372AC7"/>
    <w:rsid w:val="00372B4A"/>
    <w:rsid w:val="00372BBF"/>
    <w:rsid w:val="00372BFC"/>
    <w:rsid w:val="00372DE5"/>
    <w:rsid w:val="00372E10"/>
    <w:rsid w:val="00372E96"/>
    <w:rsid w:val="00372EBB"/>
    <w:rsid w:val="00372EFA"/>
    <w:rsid w:val="00373084"/>
    <w:rsid w:val="003730D2"/>
    <w:rsid w:val="003732AA"/>
    <w:rsid w:val="0037331F"/>
    <w:rsid w:val="00373379"/>
    <w:rsid w:val="003733B2"/>
    <w:rsid w:val="003733C7"/>
    <w:rsid w:val="00373429"/>
    <w:rsid w:val="0037350D"/>
    <w:rsid w:val="003735E5"/>
    <w:rsid w:val="0037361E"/>
    <w:rsid w:val="00373826"/>
    <w:rsid w:val="00373881"/>
    <w:rsid w:val="003738B4"/>
    <w:rsid w:val="003738BA"/>
    <w:rsid w:val="003739D0"/>
    <w:rsid w:val="003739FD"/>
    <w:rsid w:val="00373B4F"/>
    <w:rsid w:val="00373C10"/>
    <w:rsid w:val="00373C84"/>
    <w:rsid w:val="00374048"/>
    <w:rsid w:val="00374074"/>
    <w:rsid w:val="003740D1"/>
    <w:rsid w:val="00374165"/>
    <w:rsid w:val="0037419D"/>
    <w:rsid w:val="00374203"/>
    <w:rsid w:val="00374223"/>
    <w:rsid w:val="003742D9"/>
    <w:rsid w:val="00374359"/>
    <w:rsid w:val="0037455E"/>
    <w:rsid w:val="00374570"/>
    <w:rsid w:val="003745F8"/>
    <w:rsid w:val="00374613"/>
    <w:rsid w:val="00374746"/>
    <w:rsid w:val="00374789"/>
    <w:rsid w:val="003747FE"/>
    <w:rsid w:val="00374807"/>
    <w:rsid w:val="003748BC"/>
    <w:rsid w:val="003748C6"/>
    <w:rsid w:val="00374A15"/>
    <w:rsid w:val="00374A47"/>
    <w:rsid w:val="00374A75"/>
    <w:rsid w:val="00374A95"/>
    <w:rsid w:val="00374BA2"/>
    <w:rsid w:val="00374BB1"/>
    <w:rsid w:val="00374C8C"/>
    <w:rsid w:val="00374D72"/>
    <w:rsid w:val="00374E14"/>
    <w:rsid w:val="00374F30"/>
    <w:rsid w:val="00374F65"/>
    <w:rsid w:val="00375002"/>
    <w:rsid w:val="00375141"/>
    <w:rsid w:val="003751A6"/>
    <w:rsid w:val="003751DD"/>
    <w:rsid w:val="00375238"/>
    <w:rsid w:val="00375242"/>
    <w:rsid w:val="00375293"/>
    <w:rsid w:val="00375323"/>
    <w:rsid w:val="0037533E"/>
    <w:rsid w:val="00375392"/>
    <w:rsid w:val="003753B0"/>
    <w:rsid w:val="003754EE"/>
    <w:rsid w:val="0037560F"/>
    <w:rsid w:val="00375764"/>
    <w:rsid w:val="003757CD"/>
    <w:rsid w:val="0037586F"/>
    <w:rsid w:val="00375992"/>
    <w:rsid w:val="00375994"/>
    <w:rsid w:val="003759FE"/>
    <w:rsid w:val="00375A22"/>
    <w:rsid w:val="00375A42"/>
    <w:rsid w:val="00375A54"/>
    <w:rsid w:val="00375B0F"/>
    <w:rsid w:val="00375B51"/>
    <w:rsid w:val="00375B87"/>
    <w:rsid w:val="00375CEE"/>
    <w:rsid w:val="00375F27"/>
    <w:rsid w:val="0037607F"/>
    <w:rsid w:val="00376131"/>
    <w:rsid w:val="00376185"/>
    <w:rsid w:val="003762C4"/>
    <w:rsid w:val="003762DB"/>
    <w:rsid w:val="00376533"/>
    <w:rsid w:val="00376553"/>
    <w:rsid w:val="003768B9"/>
    <w:rsid w:val="003768BF"/>
    <w:rsid w:val="0037697B"/>
    <w:rsid w:val="00376999"/>
    <w:rsid w:val="00376B86"/>
    <w:rsid w:val="00376C5F"/>
    <w:rsid w:val="00376CB6"/>
    <w:rsid w:val="00376D5C"/>
    <w:rsid w:val="00376DE1"/>
    <w:rsid w:val="00376EFF"/>
    <w:rsid w:val="00376F75"/>
    <w:rsid w:val="00377032"/>
    <w:rsid w:val="0037709A"/>
    <w:rsid w:val="003770D6"/>
    <w:rsid w:val="003770E6"/>
    <w:rsid w:val="003770FA"/>
    <w:rsid w:val="00377237"/>
    <w:rsid w:val="003772BC"/>
    <w:rsid w:val="003773C9"/>
    <w:rsid w:val="003773E9"/>
    <w:rsid w:val="0037740A"/>
    <w:rsid w:val="00377433"/>
    <w:rsid w:val="00377495"/>
    <w:rsid w:val="00377524"/>
    <w:rsid w:val="003775B6"/>
    <w:rsid w:val="003775D7"/>
    <w:rsid w:val="003775E8"/>
    <w:rsid w:val="003776CD"/>
    <w:rsid w:val="003776DA"/>
    <w:rsid w:val="0037779F"/>
    <w:rsid w:val="003777B0"/>
    <w:rsid w:val="003778F2"/>
    <w:rsid w:val="0037790C"/>
    <w:rsid w:val="00377939"/>
    <w:rsid w:val="00377A24"/>
    <w:rsid w:val="00377A64"/>
    <w:rsid w:val="00377AD5"/>
    <w:rsid w:val="00377BB2"/>
    <w:rsid w:val="00377C4A"/>
    <w:rsid w:val="00377D7E"/>
    <w:rsid w:val="00377DAD"/>
    <w:rsid w:val="00377DC4"/>
    <w:rsid w:val="00377DCA"/>
    <w:rsid w:val="00377F3B"/>
    <w:rsid w:val="00377FBF"/>
    <w:rsid w:val="00377FD6"/>
    <w:rsid w:val="00380033"/>
    <w:rsid w:val="0038014E"/>
    <w:rsid w:val="00380205"/>
    <w:rsid w:val="00380210"/>
    <w:rsid w:val="0038021C"/>
    <w:rsid w:val="00380247"/>
    <w:rsid w:val="00380263"/>
    <w:rsid w:val="003802C1"/>
    <w:rsid w:val="003802C6"/>
    <w:rsid w:val="0038032E"/>
    <w:rsid w:val="0038049B"/>
    <w:rsid w:val="0038053E"/>
    <w:rsid w:val="00380577"/>
    <w:rsid w:val="00380617"/>
    <w:rsid w:val="003806D2"/>
    <w:rsid w:val="0038073E"/>
    <w:rsid w:val="0038075A"/>
    <w:rsid w:val="0038078B"/>
    <w:rsid w:val="003807FD"/>
    <w:rsid w:val="00380813"/>
    <w:rsid w:val="00380881"/>
    <w:rsid w:val="003808D3"/>
    <w:rsid w:val="003808D4"/>
    <w:rsid w:val="00380C4A"/>
    <w:rsid w:val="00380CF1"/>
    <w:rsid w:val="00380D40"/>
    <w:rsid w:val="00380D45"/>
    <w:rsid w:val="00380D55"/>
    <w:rsid w:val="00380EBF"/>
    <w:rsid w:val="00380EDB"/>
    <w:rsid w:val="00380F59"/>
    <w:rsid w:val="00380FA5"/>
    <w:rsid w:val="003810B3"/>
    <w:rsid w:val="003810ED"/>
    <w:rsid w:val="00381267"/>
    <w:rsid w:val="00381293"/>
    <w:rsid w:val="003812A1"/>
    <w:rsid w:val="0038142F"/>
    <w:rsid w:val="0038143A"/>
    <w:rsid w:val="00381472"/>
    <w:rsid w:val="0038157E"/>
    <w:rsid w:val="00381585"/>
    <w:rsid w:val="003815AC"/>
    <w:rsid w:val="0038161C"/>
    <w:rsid w:val="0038169A"/>
    <w:rsid w:val="00381702"/>
    <w:rsid w:val="00381849"/>
    <w:rsid w:val="0038184F"/>
    <w:rsid w:val="00381867"/>
    <w:rsid w:val="003819E4"/>
    <w:rsid w:val="00381A47"/>
    <w:rsid w:val="00381A71"/>
    <w:rsid w:val="00381AB8"/>
    <w:rsid w:val="00381ACF"/>
    <w:rsid w:val="00381CDD"/>
    <w:rsid w:val="00381D1F"/>
    <w:rsid w:val="00381D53"/>
    <w:rsid w:val="00381DA2"/>
    <w:rsid w:val="00381ED7"/>
    <w:rsid w:val="00381F99"/>
    <w:rsid w:val="003820CF"/>
    <w:rsid w:val="003820FF"/>
    <w:rsid w:val="003821A7"/>
    <w:rsid w:val="00382309"/>
    <w:rsid w:val="00382342"/>
    <w:rsid w:val="003823AD"/>
    <w:rsid w:val="003823C4"/>
    <w:rsid w:val="00382549"/>
    <w:rsid w:val="003825B9"/>
    <w:rsid w:val="003827D9"/>
    <w:rsid w:val="0038288E"/>
    <w:rsid w:val="00382A47"/>
    <w:rsid w:val="00382AF7"/>
    <w:rsid w:val="00382C96"/>
    <w:rsid w:val="00382E5B"/>
    <w:rsid w:val="00382EC4"/>
    <w:rsid w:val="00382F18"/>
    <w:rsid w:val="00382F37"/>
    <w:rsid w:val="00382FF0"/>
    <w:rsid w:val="00383037"/>
    <w:rsid w:val="00383193"/>
    <w:rsid w:val="00383245"/>
    <w:rsid w:val="0038327F"/>
    <w:rsid w:val="003832FD"/>
    <w:rsid w:val="003834ED"/>
    <w:rsid w:val="00383518"/>
    <w:rsid w:val="00383529"/>
    <w:rsid w:val="0038353B"/>
    <w:rsid w:val="003835D5"/>
    <w:rsid w:val="00383606"/>
    <w:rsid w:val="003836C9"/>
    <w:rsid w:val="003837A5"/>
    <w:rsid w:val="00383B38"/>
    <w:rsid w:val="00383BA2"/>
    <w:rsid w:val="00383BC4"/>
    <w:rsid w:val="00383C91"/>
    <w:rsid w:val="00383CB3"/>
    <w:rsid w:val="00383CC2"/>
    <w:rsid w:val="00383E16"/>
    <w:rsid w:val="00383F27"/>
    <w:rsid w:val="0038409C"/>
    <w:rsid w:val="00384109"/>
    <w:rsid w:val="00384199"/>
    <w:rsid w:val="003842CB"/>
    <w:rsid w:val="00384426"/>
    <w:rsid w:val="00384496"/>
    <w:rsid w:val="003846A4"/>
    <w:rsid w:val="0038471C"/>
    <w:rsid w:val="003847B3"/>
    <w:rsid w:val="00384859"/>
    <w:rsid w:val="003848AC"/>
    <w:rsid w:val="0038494F"/>
    <w:rsid w:val="00384A41"/>
    <w:rsid w:val="00384B32"/>
    <w:rsid w:val="00384B51"/>
    <w:rsid w:val="00384BC5"/>
    <w:rsid w:val="00384D0F"/>
    <w:rsid w:val="00384E1A"/>
    <w:rsid w:val="00384E1C"/>
    <w:rsid w:val="00384E7D"/>
    <w:rsid w:val="00384EA0"/>
    <w:rsid w:val="00384EAB"/>
    <w:rsid w:val="00384ED8"/>
    <w:rsid w:val="00384FAF"/>
    <w:rsid w:val="00384FDC"/>
    <w:rsid w:val="00385158"/>
    <w:rsid w:val="00385194"/>
    <w:rsid w:val="003851CE"/>
    <w:rsid w:val="00385315"/>
    <w:rsid w:val="0038541C"/>
    <w:rsid w:val="00385514"/>
    <w:rsid w:val="0038559F"/>
    <w:rsid w:val="003855CE"/>
    <w:rsid w:val="003855D4"/>
    <w:rsid w:val="0038564D"/>
    <w:rsid w:val="003856EC"/>
    <w:rsid w:val="003856F2"/>
    <w:rsid w:val="0038585F"/>
    <w:rsid w:val="0038586B"/>
    <w:rsid w:val="003858A9"/>
    <w:rsid w:val="00385989"/>
    <w:rsid w:val="00385A53"/>
    <w:rsid w:val="00385B5D"/>
    <w:rsid w:val="00385C8E"/>
    <w:rsid w:val="00385CE7"/>
    <w:rsid w:val="00385F30"/>
    <w:rsid w:val="003863C1"/>
    <w:rsid w:val="0038640C"/>
    <w:rsid w:val="0038645F"/>
    <w:rsid w:val="0038653F"/>
    <w:rsid w:val="003865C0"/>
    <w:rsid w:val="0038665F"/>
    <w:rsid w:val="003867B9"/>
    <w:rsid w:val="003867CA"/>
    <w:rsid w:val="003867DF"/>
    <w:rsid w:val="00386828"/>
    <w:rsid w:val="003868FA"/>
    <w:rsid w:val="0038697F"/>
    <w:rsid w:val="00386B91"/>
    <w:rsid w:val="00386B93"/>
    <w:rsid w:val="00386BA6"/>
    <w:rsid w:val="00386C76"/>
    <w:rsid w:val="00386CD6"/>
    <w:rsid w:val="00386D10"/>
    <w:rsid w:val="00386DAC"/>
    <w:rsid w:val="00386EC5"/>
    <w:rsid w:val="00386EE6"/>
    <w:rsid w:val="00386EFB"/>
    <w:rsid w:val="00386FE6"/>
    <w:rsid w:val="00387028"/>
    <w:rsid w:val="00387111"/>
    <w:rsid w:val="003872FA"/>
    <w:rsid w:val="00387385"/>
    <w:rsid w:val="00387418"/>
    <w:rsid w:val="003874AA"/>
    <w:rsid w:val="0038752D"/>
    <w:rsid w:val="00387537"/>
    <w:rsid w:val="003875F1"/>
    <w:rsid w:val="00387642"/>
    <w:rsid w:val="0038764F"/>
    <w:rsid w:val="00387755"/>
    <w:rsid w:val="003877D8"/>
    <w:rsid w:val="00387835"/>
    <w:rsid w:val="003878F4"/>
    <w:rsid w:val="00387943"/>
    <w:rsid w:val="00387A63"/>
    <w:rsid w:val="00387AE8"/>
    <w:rsid w:val="00387B09"/>
    <w:rsid w:val="00387B41"/>
    <w:rsid w:val="00387BB6"/>
    <w:rsid w:val="00387BD2"/>
    <w:rsid w:val="00387C2A"/>
    <w:rsid w:val="00387C53"/>
    <w:rsid w:val="00387CBD"/>
    <w:rsid w:val="00387CC4"/>
    <w:rsid w:val="00387D82"/>
    <w:rsid w:val="00387E5D"/>
    <w:rsid w:val="00387F6A"/>
    <w:rsid w:val="00390033"/>
    <w:rsid w:val="00390085"/>
    <w:rsid w:val="003901DC"/>
    <w:rsid w:val="003902C7"/>
    <w:rsid w:val="00390498"/>
    <w:rsid w:val="0039055A"/>
    <w:rsid w:val="003905E1"/>
    <w:rsid w:val="0039062F"/>
    <w:rsid w:val="0039069C"/>
    <w:rsid w:val="00390736"/>
    <w:rsid w:val="00390756"/>
    <w:rsid w:val="0039087F"/>
    <w:rsid w:val="003908E6"/>
    <w:rsid w:val="00390A21"/>
    <w:rsid w:val="00390BAE"/>
    <w:rsid w:val="00390C20"/>
    <w:rsid w:val="00390C55"/>
    <w:rsid w:val="00390CFD"/>
    <w:rsid w:val="00390D69"/>
    <w:rsid w:val="00390D9A"/>
    <w:rsid w:val="00390DC9"/>
    <w:rsid w:val="00390F17"/>
    <w:rsid w:val="00390F2E"/>
    <w:rsid w:val="00390F4D"/>
    <w:rsid w:val="00390FB0"/>
    <w:rsid w:val="00390FC4"/>
    <w:rsid w:val="00390FDF"/>
    <w:rsid w:val="003910D3"/>
    <w:rsid w:val="00391249"/>
    <w:rsid w:val="003912A4"/>
    <w:rsid w:val="00391328"/>
    <w:rsid w:val="003913AB"/>
    <w:rsid w:val="003914A7"/>
    <w:rsid w:val="00391547"/>
    <w:rsid w:val="003916DC"/>
    <w:rsid w:val="0039176D"/>
    <w:rsid w:val="00391822"/>
    <w:rsid w:val="003918EA"/>
    <w:rsid w:val="00391999"/>
    <w:rsid w:val="00391B11"/>
    <w:rsid w:val="00391C6E"/>
    <w:rsid w:val="00391CBF"/>
    <w:rsid w:val="00391E48"/>
    <w:rsid w:val="00391E97"/>
    <w:rsid w:val="00391EC2"/>
    <w:rsid w:val="00391FAB"/>
    <w:rsid w:val="0039209D"/>
    <w:rsid w:val="00392253"/>
    <w:rsid w:val="0039240B"/>
    <w:rsid w:val="00392442"/>
    <w:rsid w:val="00392499"/>
    <w:rsid w:val="003924DE"/>
    <w:rsid w:val="00392582"/>
    <w:rsid w:val="003927F3"/>
    <w:rsid w:val="0039286B"/>
    <w:rsid w:val="00392886"/>
    <w:rsid w:val="0039289F"/>
    <w:rsid w:val="003928D0"/>
    <w:rsid w:val="00392909"/>
    <w:rsid w:val="0039292A"/>
    <w:rsid w:val="00392A5F"/>
    <w:rsid w:val="00392A74"/>
    <w:rsid w:val="00392AE6"/>
    <w:rsid w:val="00392B2B"/>
    <w:rsid w:val="00392B76"/>
    <w:rsid w:val="00392C67"/>
    <w:rsid w:val="00392F66"/>
    <w:rsid w:val="00393007"/>
    <w:rsid w:val="0039304B"/>
    <w:rsid w:val="00393055"/>
    <w:rsid w:val="0039305F"/>
    <w:rsid w:val="00393096"/>
    <w:rsid w:val="00393112"/>
    <w:rsid w:val="00393119"/>
    <w:rsid w:val="00393122"/>
    <w:rsid w:val="00393126"/>
    <w:rsid w:val="0039324E"/>
    <w:rsid w:val="00393335"/>
    <w:rsid w:val="00393419"/>
    <w:rsid w:val="003935FD"/>
    <w:rsid w:val="00393638"/>
    <w:rsid w:val="0039369C"/>
    <w:rsid w:val="00393792"/>
    <w:rsid w:val="0039380E"/>
    <w:rsid w:val="00393923"/>
    <w:rsid w:val="003939F5"/>
    <w:rsid w:val="00393B40"/>
    <w:rsid w:val="00393CB6"/>
    <w:rsid w:val="00393D27"/>
    <w:rsid w:val="00393E00"/>
    <w:rsid w:val="00393FA9"/>
    <w:rsid w:val="00393FF9"/>
    <w:rsid w:val="0039405A"/>
    <w:rsid w:val="00394060"/>
    <w:rsid w:val="003940FC"/>
    <w:rsid w:val="00394110"/>
    <w:rsid w:val="00394171"/>
    <w:rsid w:val="0039426B"/>
    <w:rsid w:val="00394288"/>
    <w:rsid w:val="0039429A"/>
    <w:rsid w:val="0039434A"/>
    <w:rsid w:val="00394423"/>
    <w:rsid w:val="0039453C"/>
    <w:rsid w:val="003945E3"/>
    <w:rsid w:val="0039465C"/>
    <w:rsid w:val="0039467A"/>
    <w:rsid w:val="00394699"/>
    <w:rsid w:val="0039470D"/>
    <w:rsid w:val="003947DA"/>
    <w:rsid w:val="00394828"/>
    <w:rsid w:val="00394841"/>
    <w:rsid w:val="003948CB"/>
    <w:rsid w:val="0039496E"/>
    <w:rsid w:val="003949D2"/>
    <w:rsid w:val="00394AE4"/>
    <w:rsid w:val="00394B12"/>
    <w:rsid w:val="00394B81"/>
    <w:rsid w:val="00394B8D"/>
    <w:rsid w:val="00394BFA"/>
    <w:rsid w:val="00394D3B"/>
    <w:rsid w:val="00394FCE"/>
    <w:rsid w:val="003951B4"/>
    <w:rsid w:val="003951C7"/>
    <w:rsid w:val="003951E4"/>
    <w:rsid w:val="0039520D"/>
    <w:rsid w:val="003952D6"/>
    <w:rsid w:val="003954C9"/>
    <w:rsid w:val="003954DE"/>
    <w:rsid w:val="00395537"/>
    <w:rsid w:val="003955E0"/>
    <w:rsid w:val="003956B7"/>
    <w:rsid w:val="0039570A"/>
    <w:rsid w:val="00395730"/>
    <w:rsid w:val="003957B3"/>
    <w:rsid w:val="003957C7"/>
    <w:rsid w:val="003958FD"/>
    <w:rsid w:val="00395A54"/>
    <w:rsid w:val="00395AEA"/>
    <w:rsid w:val="00395B0A"/>
    <w:rsid w:val="00395B67"/>
    <w:rsid w:val="00395B7F"/>
    <w:rsid w:val="00395BD6"/>
    <w:rsid w:val="00395C4E"/>
    <w:rsid w:val="00395CBA"/>
    <w:rsid w:val="00395D5F"/>
    <w:rsid w:val="00395D7A"/>
    <w:rsid w:val="00395DC0"/>
    <w:rsid w:val="00395E3F"/>
    <w:rsid w:val="00395EB3"/>
    <w:rsid w:val="00395FC3"/>
    <w:rsid w:val="00396143"/>
    <w:rsid w:val="00396161"/>
    <w:rsid w:val="00396211"/>
    <w:rsid w:val="00396242"/>
    <w:rsid w:val="00396271"/>
    <w:rsid w:val="00396288"/>
    <w:rsid w:val="003962FC"/>
    <w:rsid w:val="003963CC"/>
    <w:rsid w:val="003964DE"/>
    <w:rsid w:val="003965A5"/>
    <w:rsid w:val="0039665F"/>
    <w:rsid w:val="00396670"/>
    <w:rsid w:val="00396847"/>
    <w:rsid w:val="00396C64"/>
    <w:rsid w:val="00396CDC"/>
    <w:rsid w:val="00396FBF"/>
    <w:rsid w:val="00397047"/>
    <w:rsid w:val="003970FD"/>
    <w:rsid w:val="00397152"/>
    <w:rsid w:val="003972BE"/>
    <w:rsid w:val="003972E1"/>
    <w:rsid w:val="00397343"/>
    <w:rsid w:val="003973D5"/>
    <w:rsid w:val="003974D8"/>
    <w:rsid w:val="00397583"/>
    <w:rsid w:val="0039761A"/>
    <w:rsid w:val="0039765E"/>
    <w:rsid w:val="0039768F"/>
    <w:rsid w:val="003977A6"/>
    <w:rsid w:val="003977E8"/>
    <w:rsid w:val="00397A23"/>
    <w:rsid w:val="00397A7E"/>
    <w:rsid w:val="00397C80"/>
    <w:rsid w:val="00397CA4"/>
    <w:rsid w:val="00397CBF"/>
    <w:rsid w:val="00397CDA"/>
    <w:rsid w:val="00397CED"/>
    <w:rsid w:val="00397E01"/>
    <w:rsid w:val="00397E34"/>
    <w:rsid w:val="00397FB4"/>
    <w:rsid w:val="00397FBB"/>
    <w:rsid w:val="003A0002"/>
    <w:rsid w:val="003A017C"/>
    <w:rsid w:val="003A01E8"/>
    <w:rsid w:val="003A020A"/>
    <w:rsid w:val="003A035E"/>
    <w:rsid w:val="003A0617"/>
    <w:rsid w:val="003A0893"/>
    <w:rsid w:val="003A0A84"/>
    <w:rsid w:val="003A0AC7"/>
    <w:rsid w:val="003A0B56"/>
    <w:rsid w:val="003A0BC9"/>
    <w:rsid w:val="003A0C10"/>
    <w:rsid w:val="003A0C55"/>
    <w:rsid w:val="003A0DC3"/>
    <w:rsid w:val="003A0E0A"/>
    <w:rsid w:val="003A1021"/>
    <w:rsid w:val="003A1099"/>
    <w:rsid w:val="003A1114"/>
    <w:rsid w:val="003A113B"/>
    <w:rsid w:val="003A1172"/>
    <w:rsid w:val="003A122C"/>
    <w:rsid w:val="003A12C4"/>
    <w:rsid w:val="003A1323"/>
    <w:rsid w:val="003A1359"/>
    <w:rsid w:val="003A139D"/>
    <w:rsid w:val="003A1406"/>
    <w:rsid w:val="003A146A"/>
    <w:rsid w:val="003A1536"/>
    <w:rsid w:val="003A1554"/>
    <w:rsid w:val="003A15A5"/>
    <w:rsid w:val="003A165A"/>
    <w:rsid w:val="003A167A"/>
    <w:rsid w:val="003A16DE"/>
    <w:rsid w:val="003A170E"/>
    <w:rsid w:val="003A173F"/>
    <w:rsid w:val="003A17A5"/>
    <w:rsid w:val="003A183A"/>
    <w:rsid w:val="003A1847"/>
    <w:rsid w:val="003A1963"/>
    <w:rsid w:val="003A1979"/>
    <w:rsid w:val="003A1988"/>
    <w:rsid w:val="003A19E1"/>
    <w:rsid w:val="003A1A4A"/>
    <w:rsid w:val="003A1C38"/>
    <w:rsid w:val="003A1CC9"/>
    <w:rsid w:val="003A1D31"/>
    <w:rsid w:val="003A1D76"/>
    <w:rsid w:val="003A1DF3"/>
    <w:rsid w:val="003A1DFD"/>
    <w:rsid w:val="003A1E5C"/>
    <w:rsid w:val="003A1F7D"/>
    <w:rsid w:val="003A1F97"/>
    <w:rsid w:val="003A20A7"/>
    <w:rsid w:val="003A2101"/>
    <w:rsid w:val="003A2114"/>
    <w:rsid w:val="003A2143"/>
    <w:rsid w:val="003A21AC"/>
    <w:rsid w:val="003A2207"/>
    <w:rsid w:val="003A2225"/>
    <w:rsid w:val="003A224B"/>
    <w:rsid w:val="003A22BB"/>
    <w:rsid w:val="003A22D9"/>
    <w:rsid w:val="003A2330"/>
    <w:rsid w:val="003A2426"/>
    <w:rsid w:val="003A24AC"/>
    <w:rsid w:val="003A252E"/>
    <w:rsid w:val="003A258D"/>
    <w:rsid w:val="003A27CC"/>
    <w:rsid w:val="003A2A0D"/>
    <w:rsid w:val="003A2A7D"/>
    <w:rsid w:val="003A2B70"/>
    <w:rsid w:val="003A2C18"/>
    <w:rsid w:val="003A2C44"/>
    <w:rsid w:val="003A2C5A"/>
    <w:rsid w:val="003A2D28"/>
    <w:rsid w:val="003A2F95"/>
    <w:rsid w:val="003A30CD"/>
    <w:rsid w:val="003A310D"/>
    <w:rsid w:val="003A3243"/>
    <w:rsid w:val="003A32D7"/>
    <w:rsid w:val="003A338A"/>
    <w:rsid w:val="003A3394"/>
    <w:rsid w:val="003A33BB"/>
    <w:rsid w:val="003A33E3"/>
    <w:rsid w:val="003A3449"/>
    <w:rsid w:val="003A34A1"/>
    <w:rsid w:val="003A351D"/>
    <w:rsid w:val="003A371F"/>
    <w:rsid w:val="003A37B7"/>
    <w:rsid w:val="003A3826"/>
    <w:rsid w:val="003A3841"/>
    <w:rsid w:val="003A38C5"/>
    <w:rsid w:val="003A391F"/>
    <w:rsid w:val="003A3A7B"/>
    <w:rsid w:val="003A3B4F"/>
    <w:rsid w:val="003A3B5C"/>
    <w:rsid w:val="003A3BBB"/>
    <w:rsid w:val="003A3C0A"/>
    <w:rsid w:val="003A3D60"/>
    <w:rsid w:val="003A3D83"/>
    <w:rsid w:val="003A3E29"/>
    <w:rsid w:val="003A3E64"/>
    <w:rsid w:val="003A3EF4"/>
    <w:rsid w:val="003A3F39"/>
    <w:rsid w:val="003A3FCA"/>
    <w:rsid w:val="003A40F4"/>
    <w:rsid w:val="003A4119"/>
    <w:rsid w:val="003A41B0"/>
    <w:rsid w:val="003A4249"/>
    <w:rsid w:val="003A432F"/>
    <w:rsid w:val="003A4611"/>
    <w:rsid w:val="003A472B"/>
    <w:rsid w:val="003A473A"/>
    <w:rsid w:val="003A47B3"/>
    <w:rsid w:val="003A48A8"/>
    <w:rsid w:val="003A4933"/>
    <w:rsid w:val="003A4963"/>
    <w:rsid w:val="003A4ABE"/>
    <w:rsid w:val="003A4B5C"/>
    <w:rsid w:val="003A4B9B"/>
    <w:rsid w:val="003A4BED"/>
    <w:rsid w:val="003A4D09"/>
    <w:rsid w:val="003A4D30"/>
    <w:rsid w:val="003A4D85"/>
    <w:rsid w:val="003A4DB8"/>
    <w:rsid w:val="003A4EEA"/>
    <w:rsid w:val="003A4F27"/>
    <w:rsid w:val="003A50BD"/>
    <w:rsid w:val="003A5169"/>
    <w:rsid w:val="003A51E8"/>
    <w:rsid w:val="003A52D3"/>
    <w:rsid w:val="003A5308"/>
    <w:rsid w:val="003A533C"/>
    <w:rsid w:val="003A54D8"/>
    <w:rsid w:val="003A5537"/>
    <w:rsid w:val="003A554C"/>
    <w:rsid w:val="003A5827"/>
    <w:rsid w:val="003A589B"/>
    <w:rsid w:val="003A58EA"/>
    <w:rsid w:val="003A596B"/>
    <w:rsid w:val="003A59DC"/>
    <w:rsid w:val="003A59F7"/>
    <w:rsid w:val="003A5A79"/>
    <w:rsid w:val="003A5AC2"/>
    <w:rsid w:val="003A5AD4"/>
    <w:rsid w:val="003A5B42"/>
    <w:rsid w:val="003A5BBB"/>
    <w:rsid w:val="003A5CF6"/>
    <w:rsid w:val="003A5E48"/>
    <w:rsid w:val="003A5E55"/>
    <w:rsid w:val="003A5E90"/>
    <w:rsid w:val="003A5F1D"/>
    <w:rsid w:val="003A5FDF"/>
    <w:rsid w:val="003A5FFB"/>
    <w:rsid w:val="003A60B0"/>
    <w:rsid w:val="003A6166"/>
    <w:rsid w:val="003A61FA"/>
    <w:rsid w:val="003A6281"/>
    <w:rsid w:val="003A6419"/>
    <w:rsid w:val="003A6431"/>
    <w:rsid w:val="003A64BF"/>
    <w:rsid w:val="003A64D6"/>
    <w:rsid w:val="003A6501"/>
    <w:rsid w:val="003A6538"/>
    <w:rsid w:val="003A65B1"/>
    <w:rsid w:val="003A65EB"/>
    <w:rsid w:val="003A66D8"/>
    <w:rsid w:val="003A66DE"/>
    <w:rsid w:val="003A66F2"/>
    <w:rsid w:val="003A6863"/>
    <w:rsid w:val="003A6974"/>
    <w:rsid w:val="003A6AD5"/>
    <w:rsid w:val="003A6AFC"/>
    <w:rsid w:val="003A6BD9"/>
    <w:rsid w:val="003A6DCE"/>
    <w:rsid w:val="003A6EEB"/>
    <w:rsid w:val="003A6F62"/>
    <w:rsid w:val="003A7109"/>
    <w:rsid w:val="003A7125"/>
    <w:rsid w:val="003A7144"/>
    <w:rsid w:val="003A7228"/>
    <w:rsid w:val="003A72B8"/>
    <w:rsid w:val="003A7395"/>
    <w:rsid w:val="003A73B5"/>
    <w:rsid w:val="003A747A"/>
    <w:rsid w:val="003A747D"/>
    <w:rsid w:val="003A74A2"/>
    <w:rsid w:val="003A74D3"/>
    <w:rsid w:val="003A74FF"/>
    <w:rsid w:val="003A75D6"/>
    <w:rsid w:val="003A760F"/>
    <w:rsid w:val="003A7692"/>
    <w:rsid w:val="003A76C7"/>
    <w:rsid w:val="003A7857"/>
    <w:rsid w:val="003A7952"/>
    <w:rsid w:val="003A798E"/>
    <w:rsid w:val="003A799A"/>
    <w:rsid w:val="003A7A11"/>
    <w:rsid w:val="003A7C3B"/>
    <w:rsid w:val="003A7C40"/>
    <w:rsid w:val="003A7D0F"/>
    <w:rsid w:val="003A7DE5"/>
    <w:rsid w:val="003A7E47"/>
    <w:rsid w:val="003A7E92"/>
    <w:rsid w:val="003A7F21"/>
    <w:rsid w:val="003B00E6"/>
    <w:rsid w:val="003B0167"/>
    <w:rsid w:val="003B0202"/>
    <w:rsid w:val="003B0343"/>
    <w:rsid w:val="003B0485"/>
    <w:rsid w:val="003B0527"/>
    <w:rsid w:val="003B0529"/>
    <w:rsid w:val="003B0542"/>
    <w:rsid w:val="003B0563"/>
    <w:rsid w:val="003B05A9"/>
    <w:rsid w:val="003B0678"/>
    <w:rsid w:val="003B06B2"/>
    <w:rsid w:val="003B06D4"/>
    <w:rsid w:val="003B0713"/>
    <w:rsid w:val="003B0725"/>
    <w:rsid w:val="003B0887"/>
    <w:rsid w:val="003B088C"/>
    <w:rsid w:val="003B08CF"/>
    <w:rsid w:val="003B08DD"/>
    <w:rsid w:val="003B08F2"/>
    <w:rsid w:val="003B09D9"/>
    <w:rsid w:val="003B0A27"/>
    <w:rsid w:val="003B0CA6"/>
    <w:rsid w:val="003B0CF8"/>
    <w:rsid w:val="003B0D67"/>
    <w:rsid w:val="003B0DD1"/>
    <w:rsid w:val="003B0E67"/>
    <w:rsid w:val="003B0EF8"/>
    <w:rsid w:val="003B0F88"/>
    <w:rsid w:val="003B1041"/>
    <w:rsid w:val="003B10AB"/>
    <w:rsid w:val="003B135C"/>
    <w:rsid w:val="003B136B"/>
    <w:rsid w:val="003B136D"/>
    <w:rsid w:val="003B1370"/>
    <w:rsid w:val="003B141A"/>
    <w:rsid w:val="003B1463"/>
    <w:rsid w:val="003B14CA"/>
    <w:rsid w:val="003B14CE"/>
    <w:rsid w:val="003B1660"/>
    <w:rsid w:val="003B17A6"/>
    <w:rsid w:val="003B17A9"/>
    <w:rsid w:val="003B17CB"/>
    <w:rsid w:val="003B1850"/>
    <w:rsid w:val="003B186A"/>
    <w:rsid w:val="003B187D"/>
    <w:rsid w:val="003B198B"/>
    <w:rsid w:val="003B19F3"/>
    <w:rsid w:val="003B1AAD"/>
    <w:rsid w:val="003B1E17"/>
    <w:rsid w:val="003B1E1E"/>
    <w:rsid w:val="003B1EA4"/>
    <w:rsid w:val="003B2190"/>
    <w:rsid w:val="003B21B7"/>
    <w:rsid w:val="003B21DA"/>
    <w:rsid w:val="003B22D3"/>
    <w:rsid w:val="003B2525"/>
    <w:rsid w:val="003B2556"/>
    <w:rsid w:val="003B256E"/>
    <w:rsid w:val="003B26E8"/>
    <w:rsid w:val="003B2730"/>
    <w:rsid w:val="003B274E"/>
    <w:rsid w:val="003B2793"/>
    <w:rsid w:val="003B27DE"/>
    <w:rsid w:val="003B27F8"/>
    <w:rsid w:val="003B2825"/>
    <w:rsid w:val="003B28A2"/>
    <w:rsid w:val="003B2923"/>
    <w:rsid w:val="003B29F0"/>
    <w:rsid w:val="003B2ABB"/>
    <w:rsid w:val="003B2AC6"/>
    <w:rsid w:val="003B2D31"/>
    <w:rsid w:val="003B2D72"/>
    <w:rsid w:val="003B2D92"/>
    <w:rsid w:val="003B2DF0"/>
    <w:rsid w:val="003B2F81"/>
    <w:rsid w:val="003B2FFE"/>
    <w:rsid w:val="003B3030"/>
    <w:rsid w:val="003B31CB"/>
    <w:rsid w:val="003B31F5"/>
    <w:rsid w:val="003B3285"/>
    <w:rsid w:val="003B32C7"/>
    <w:rsid w:val="003B3558"/>
    <w:rsid w:val="003B3680"/>
    <w:rsid w:val="003B37FA"/>
    <w:rsid w:val="003B38D1"/>
    <w:rsid w:val="003B395B"/>
    <w:rsid w:val="003B39F4"/>
    <w:rsid w:val="003B3B7D"/>
    <w:rsid w:val="003B3C1F"/>
    <w:rsid w:val="003B3CAB"/>
    <w:rsid w:val="003B3D19"/>
    <w:rsid w:val="003B3D84"/>
    <w:rsid w:val="003B3D9F"/>
    <w:rsid w:val="003B3E14"/>
    <w:rsid w:val="003B3F0B"/>
    <w:rsid w:val="003B3FA2"/>
    <w:rsid w:val="003B405C"/>
    <w:rsid w:val="003B40E2"/>
    <w:rsid w:val="003B4119"/>
    <w:rsid w:val="003B4198"/>
    <w:rsid w:val="003B424C"/>
    <w:rsid w:val="003B43D4"/>
    <w:rsid w:val="003B43FD"/>
    <w:rsid w:val="003B4789"/>
    <w:rsid w:val="003B4803"/>
    <w:rsid w:val="003B480F"/>
    <w:rsid w:val="003B4891"/>
    <w:rsid w:val="003B48FE"/>
    <w:rsid w:val="003B4901"/>
    <w:rsid w:val="003B49C9"/>
    <w:rsid w:val="003B49D3"/>
    <w:rsid w:val="003B4A6F"/>
    <w:rsid w:val="003B4C53"/>
    <w:rsid w:val="003B4D09"/>
    <w:rsid w:val="003B4DD9"/>
    <w:rsid w:val="003B4E2D"/>
    <w:rsid w:val="003B4E47"/>
    <w:rsid w:val="003B4E90"/>
    <w:rsid w:val="003B4E9F"/>
    <w:rsid w:val="003B4EBF"/>
    <w:rsid w:val="003B4ED5"/>
    <w:rsid w:val="003B4FAF"/>
    <w:rsid w:val="003B5060"/>
    <w:rsid w:val="003B50A9"/>
    <w:rsid w:val="003B528E"/>
    <w:rsid w:val="003B529A"/>
    <w:rsid w:val="003B52B6"/>
    <w:rsid w:val="003B5315"/>
    <w:rsid w:val="003B5403"/>
    <w:rsid w:val="003B5486"/>
    <w:rsid w:val="003B549F"/>
    <w:rsid w:val="003B54CC"/>
    <w:rsid w:val="003B5554"/>
    <w:rsid w:val="003B5663"/>
    <w:rsid w:val="003B566A"/>
    <w:rsid w:val="003B5725"/>
    <w:rsid w:val="003B575D"/>
    <w:rsid w:val="003B57E2"/>
    <w:rsid w:val="003B57EF"/>
    <w:rsid w:val="003B5811"/>
    <w:rsid w:val="003B58FF"/>
    <w:rsid w:val="003B593A"/>
    <w:rsid w:val="003B59A1"/>
    <w:rsid w:val="003B5A2F"/>
    <w:rsid w:val="003B5ACE"/>
    <w:rsid w:val="003B5AD2"/>
    <w:rsid w:val="003B5B8D"/>
    <w:rsid w:val="003B5CA8"/>
    <w:rsid w:val="003B5CBB"/>
    <w:rsid w:val="003B5CBE"/>
    <w:rsid w:val="003B5D93"/>
    <w:rsid w:val="003B5DC7"/>
    <w:rsid w:val="003B5F82"/>
    <w:rsid w:val="003B6030"/>
    <w:rsid w:val="003B615E"/>
    <w:rsid w:val="003B64C1"/>
    <w:rsid w:val="003B659F"/>
    <w:rsid w:val="003B65C1"/>
    <w:rsid w:val="003B65D9"/>
    <w:rsid w:val="003B664E"/>
    <w:rsid w:val="003B667A"/>
    <w:rsid w:val="003B66B1"/>
    <w:rsid w:val="003B674A"/>
    <w:rsid w:val="003B6801"/>
    <w:rsid w:val="003B68C3"/>
    <w:rsid w:val="003B696A"/>
    <w:rsid w:val="003B6983"/>
    <w:rsid w:val="003B6A2B"/>
    <w:rsid w:val="003B6AF3"/>
    <w:rsid w:val="003B6BE3"/>
    <w:rsid w:val="003B6C44"/>
    <w:rsid w:val="003B6D78"/>
    <w:rsid w:val="003B6D7B"/>
    <w:rsid w:val="003B6DFB"/>
    <w:rsid w:val="003B6E3B"/>
    <w:rsid w:val="003B6FB9"/>
    <w:rsid w:val="003B6FBB"/>
    <w:rsid w:val="003B71E0"/>
    <w:rsid w:val="003B7232"/>
    <w:rsid w:val="003B7280"/>
    <w:rsid w:val="003B729D"/>
    <w:rsid w:val="003B748C"/>
    <w:rsid w:val="003B74B6"/>
    <w:rsid w:val="003B7553"/>
    <w:rsid w:val="003B7571"/>
    <w:rsid w:val="003B759B"/>
    <w:rsid w:val="003B75FE"/>
    <w:rsid w:val="003B76EF"/>
    <w:rsid w:val="003B78F8"/>
    <w:rsid w:val="003B79BD"/>
    <w:rsid w:val="003B79CB"/>
    <w:rsid w:val="003B7AEF"/>
    <w:rsid w:val="003B7B98"/>
    <w:rsid w:val="003B7C3D"/>
    <w:rsid w:val="003B7C68"/>
    <w:rsid w:val="003B7D48"/>
    <w:rsid w:val="003B7D4B"/>
    <w:rsid w:val="003B7D57"/>
    <w:rsid w:val="003B7D8C"/>
    <w:rsid w:val="003B7EAA"/>
    <w:rsid w:val="003C0081"/>
    <w:rsid w:val="003C0183"/>
    <w:rsid w:val="003C0278"/>
    <w:rsid w:val="003C02DB"/>
    <w:rsid w:val="003C038C"/>
    <w:rsid w:val="003C041F"/>
    <w:rsid w:val="003C04A7"/>
    <w:rsid w:val="003C04F3"/>
    <w:rsid w:val="003C0669"/>
    <w:rsid w:val="003C067F"/>
    <w:rsid w:val="003C070B"/>
    <w:rsid w:val="003C07AB"/>
    <w:rsid w:val="003C07D3"/>
    <w:rsid w:val="003C0835"/>
    <w:rsid w:val="003C0845"/>
    <w:rsid w:val="003C0911"/>
    <w:rsid w:val="003C0930"/>
    <w:rsid w:val="003C0CAB"/>
    <w:rsid w:val="003C0CB0"/>
    <w:rsid w:val="003C0DDE"/>
    <w:rsid w:val="003C0E87"/>
    <w:rsid w:val="003C0EF9"/>
    <w:rsid w:val="003C0FDA"/>
    <w:rsid w:val="003C10F5"/>
    <w:rsid w:val="003C113F"/>
    <w:rsid w:val="003C11F2"/>
    <w:rsid w:val="003C11FD"/>
    <w:rsid w:val="003C1253"/>
    <w:rsid w:val="003C127D"/>
    <w:rsid w:val="003C1280"/>
    <w:rsid w:val="003C142F"/>
    <w:rsid w:val="003C1485"/>
    <w:rsid w:val="003C15A0"/>
    <w:rsid w:val="003C1610"/>
    <w:rsid w:val="003C1623"/>
    <w:rsid w:val="003C1638"/>
    <w:rsid w:val="003C1697"/>
    <w:rsid w:val="003C16D9"/>
    <w:rsid w:val="003C170B"/>
    <w:rsid w:val="003C1710"/>
    <w:rsid w:val="003C1843"/>
    <w:rsid w:val="003C186A"/>
    <w:rsid w:val="003C1A1C"/>
    <w:rsid w:val="003C1A21"/>
    <w:rsid w:val="003C1A86"/>
    <w:rsid w:val="003C1B8A"/>
    <w:rsid w:val="003C1C3B"/>
    <w:rsid w:val="003C1C7D"/>
    <w:rsid w:val="003C1C8D"/>
    <w:rsid w:val="003C1CE5"/>
    <w:rsid w:val="003C1CF5"/>
    <w:rsid w:val="003C1D6C"/>
    <w:rsid w:val="003C20CE"/>
    <w:rsid w:val="003C2251"/>
    <w:rsid w:val="003C2260"/>
    <w:rsid w:val="003C2294"/>
    <w:rsid w:val="003C231C"/>
    <w:rsid w:val="003C2446"/>
    <w:rsid w:val="003C26EB"/>
    <w:rsid w:val="003C2723"/>
    <w:rsid w:val="003C27BF"/>
    <w:rsid w:val="003C2835"/>
    <w:rsid w:val="003C2A29"/>
    <w:rsid w:val="003C2B09"/>
    <w:rsid w:val="003C2B2D"/>
    <w:rsid w:val="003C2B5B"/>
    <w:rsid w:val="003C2BA2"/>
    <w:rsid w:val="003C2BA8"/>
    <w:rsid w:val="003C2BCF"/>
    <w:rsid w:val="003C2C31"/>
    <w:rsid w:val="003C2C68"/>
    <w:rsid w:val="003C2CB7"/>
    <w:rsid w:val="003C2D78"/>
    <w:rsid w:val="003C2E08"/>
    <w:rsid w:val="003C2EAD"/>
    <w:rsid w:val="003C2F2A"/>
    <w:rsid w:val="003C307F"/>
    <w:rsid w:val="003C3147"/>
    <w:rsid w:val="003C322C"/>
    <w:rsid w:val="003C3424"/>
    <w:rsid w:val="003C351D"/>
    <w:rsid w:val="003C35CA"/>
    <w:rsid w:val="003C36CF"/>
    <w:rsid w:val="003C384D"/>
    <w:rsid w:val="003C385E"/>
    <w:rsid w:val="003C3880"/>
    <w:rsid w:val="003C38AE"/>
    <w:rsid w:val="003C3943"/>
    <w:rsid w:val="003C39FB"/>
    <w:rsid w:val="003C3A5C"/>
    <w:rsid w:val="003C3AC1"/>
    <w:rsid w:val="003C3AC9"/>
    <w:rsid w:val="003C3AD4"/>
    <w:rsid w:val="003C3B66"/>
    <w:rsid w:val="003C3C8B"/>
    <w:rsid w:val="003C3DC2"/>
    <w:rsid w:val="003C3E2B"/>
    <w:rsid w:val="003C3F73"/>
    <w:rsid w:val="003C3F7E"/>
    <w:rsid w:val="003C4135"/>
    <w:rsid w:val="003C41FF"/>
    <w:rsid w:val="003C4339"/>
    <w:rsid w:val="003C434B"/>
    <w:rsid w:val="003C437A"/>
    <w:rsid w:val="003C43A3"/>
    <w:rsid w:val="003C43ED"/>
    <w:rsid w:val="003C4435"/>
    <w:rsid w:val="003C4450"/>
    <w:rsid w:val="003C464E"/>
    <w:rsid w:val="003C46BC"/>
    <w:rsid w:val="003C47CF"/>
    <w:rsid w:val="003C483A"/>
    <w:rsid w:val="003C4894"/>
    <w:rsid w:val="003C48A4"/>
    <w:rsid w:val="003C48AD"/>
    <w:rsid w:val="003C49A0"/>
    <w:rsid w:val="003C4AC9"/>
    <w:rsid w:val="003C4AEC"/>
    <w:rsid w:val="003C4BA4"/>
    <w:rsid w:val="003C4C89"/>
    <w:rsid w:val="003C4D1A"/>
    <w:rsid w:val="003C4DD6"/>
    <w:rsid w:val="003C4DE2"/>
    <w:rsid w:val="003C4DF2"/>
    <w:rsid w:val="003C4DFB"/>
    <w:rsid w:val="003C4EA5"/>
    <w:rsid w:val="003C4EE8"/>
    <w:rsid w:val="003C4F5D"/>
    <w:rsid w:val="003C5088"/>
    <w:rsid w:val="003C5176"/>
    <w:rsid w:val="003C5189"/>
    <w:rsid w:val="003C5196"/>
    <w:rsid w:val="003C51ED"/>
    <w:rsid w:val="003C527A"/>
    <w:rsid w:val="003C52B7"/>
    <w:rsid w:val="003C53AD"/>
    <w:rsid w:val="003C53B4"/>
    <w:rsid w:val="003C53DE"/>
    <w:rsid w:val="003C54DE"/>
    <w:rsid w:val="003C5619"/>
    <w:rsid w:val="003C574C"/>
    <w:rsid w:val="003C5937"/>
    <w:rsid w:val="003C5999"/>
    <w:rsid w:val="003C5B93"/>
    <w:rsid w:val="003C5C7E"/>
    <w:rsid w:val="003C5D62"/>
    <w:rsid w:val="003C5ECC"/>
    <w:rsid w:val="003C5ED0"/>
    <w:rsid w:val="003C5F66"/>
    <w:rsid w:val="003C5FD4"/>
    <w:rsid w:val="003C602A"/>
    <w:rsid w:val="003C60AE"/>
    <w:rsid w:val="003C61B8"/>
    <w:rsid w:val="003C6333"/>
    <w:rsid w:val="003C6343"/>
    <w:rsid w:val="003C636C"/>
    <w:rsid w:val="003C63DA"/>
    <w:rsid w:val="003C640A"/>
    <w:rsid w:val="003C64BA"/>
    <w:rsid w:val="003C652F"/>
    <w:rsid w:val="003C65A2"/>
    <w:rsid w:val="003C6782"/>
    <w:rsid w:val="003C67B1"/>
    <w:rsid w:val="003C67E0"/>
    <w:rsid w:val="003C6803"/>
    <w:rsid w:val="003C69B1"/>
    <w:rsid w:val="003C6A7E"/>
    <w:rsid w:val="003C6AB8"/>
    <w:rsid w:val="003C6B01"/>
    <w:rsid w:val="003C6B19"/>
    <w:rsid w:val="003C6BCE"/>
    <w:rsid w:val="003C6C55"/>
    <w:rsid w:val="003C6DF3"/>
    <w:rsid w:val="003C6F9A"/>
    <w:rsid w:val="003C7089"/>
    <w:rsid w:val="003C70BF"/>
    <w:rsid w:val="003C70CE"/>
    <w:rsid w:val="003C70D0"/>
    <w:rsid w:val="003C7160"/>
    <w:rsid w:val="003C718D"/>
    <w:rsid w:val="003C7250"/>
    <w:rsid w:val="003C729A"/>
    <w:rsid w:val="003C735F"/>
    <w:rsid w:val="003C74C4"/>
    <w:rsid w:val="003C752F"/>
    <w:rsid w:val="003C7683"/>
    <w:rsid w:val="003C76B4"/>
    <w:rsid w:val="003C76E8"/>
    <w:rsid w:val="003C76F6"/>
    <w:rsid w:val="003C77A5"/>
    <w:rsid w:val="003C77C1"/>
    <w:rsid w:val="003C79D1"/>
    <w:rsid w:val="003C7B6A"/>
    <w:rsid w:val="003C7BCD"/>
    <w:rsid w:val="003C7BEB"/>
    <w:rsid w:val="003C7C20"/>
    <w:rsid w:val="003C7CFC"/>
    <w:rsid w:val="003C7D07"/>
    <w:rsid w:val="003C7D7A"/>
    <w:rsid w:val="003D008F"/>
    <w:rsid w:val="003D00EA"/>
    <w:rsid w:val="003D0143"/>
    <w:rsid w:val="003D0170"/>
    <w:rsid w:val="003D0213"/>
    <w:rsid w:val="003D0273"/>
    <w:rsid w:val="003D02C9"/>
    <w:rsid w:val="003D0582"/>
    <w:rsid w:val="003D0669"/>
    <w:rsid w:val="003D071C"/>
    <w:rsid w:val="003D07B1"/>
    <w:rsid w:val="003D08DE"/>
    <w:rsid w:val="003D0ACB"/>
    <w:rsid w:val="003D0B8C"/>
    <w:rsid w:val="003D0D22"/>
    <w:rsid w:val="003D0E63"/>
    <w:rsid w:val="003D0EBD"/>
    <w:rsid w:val="003D0FC6"/>
    <w:rsid w:val="003D11D3"/>
    <w:rsid w:val="003D138F"/>
    <w:rsid w:val="003D13C0"/>
    <w:rsid w:val="003D13D7"/>
    <w:rsid w:val="003D14EE"/>
    <w:rsid w:val="003D157D"/>
    <w:rsid w:val="003D16D1"/>
    <w:rsid w:val="003D17F5"/>
    <w:rsid w:val="003D195B"/>
    <w:rsid w:val="003D1A02"/>
    <w:rsid w:val="003D1A82"/>
    <w:rsid w:val="003D1C27"/>
    <w:rsid w:val="003D1D1C"/>
    <w:rsid w:val="003D1D79"/>
    <w:rsid w:val="003D1DC0"/>
    <w:rsid w:val="003D1F0F"/>
    <w:rsid w:val="003D1F52"/>
    <w:rsid w:val="003D1FCC"/>
    <w:rsid w:val="003D20AC"/>
    <w:rsid w:val="003D20E7"/>
    <w:rsid w:val="003D2180"/>
    <w:rsid w:val="003D2395"/>
    <w:rsid w:val="003D24DC"/>
    <w:rsid w:val="003D24FF"/>
    <w:rsid w:val="003D252F"/>
    <w:rsid w:val="003D2689"/>
    <w:rsid w:val="003D26C0"/>
    <w:rsid w:val="003D2869"/>
    <w:rsid w:val="003D298B"/>
    <w:rsid w:val="003D29AC"/>
    <w:rsid w:val="003D29BB"/>
    <w:rsid w:val="003D29CD"/>
    <w:rsid w:val="003D29D6"/>
    <w:rsid w:val="003D29F0"/>
    <w:rsid w:val="003D2A4F"/>
    <w:rsid w:val="003D2C0D"/>
    <w:rsid w:val="003D2C8B"/>
    <w:rsid w:val="003D2CFD"/>
    <w:rsid w:val="003D2E93"/>
    <w:rsid w:val="003D2F86"/>
    <w:rsid w:val="003D3041"/>
    <w:rsid w:val="003D3049"/>
    <w:rsid w:val="003D3115"/>
    <w:rsid w:val="003D3146"/>
    <w:rsid w:val="003D315C"/>
    <w:rsid w:val="003D3192"/>
    <w:rsid w:val="003D3248"/>
    <w:rsid w:val="003D325E"/>
    <w:rsid w:val="003D3272"/>
    <w:rsid w:val="003D33BC"/>
    <w:rsid w:val="003D33FA"/>
    <w:rsid w:val="003D33FF"/>
    <w:rsid w:val="003D3406"/>
    <w:rsid w:val="003D3569"/>
    <w:rsid w:val="003D3618"/>
    <w:rsid w:val="003D3633"/>
    <w:rsid w:val="003D36D3"/>
    <w:rsid w:val="003D3707"/>
    <w:rsid w:val="003D3782"/>
    <w:rsid w:val="003D3813"/>
    <w:rsid w:val="003D3864"/>
    <w:rsid w:val="003D3903"/>
    <w:rsid w:val="003D39AC"/>
    <w:rsid w:val="003D3AE7"/>
    <w:rsid w:val="003D3B04"/>
    <w:rsid w:val="003D3B19"/>
    <w:rsid w:val="003D3B1A"/>
    <w:rsid w:val="003D3B88"/>
    <w:rsid w:val="003D3C7C"/>
    <w:rsid w:val="003D3C81"/>
    <w:rsid w:val="003D3D90"/>
    <w:rsid w:val="003D3DAC"/>
    <w:rsid w:val="003D3F27"/>
    <w:rsid w:val="003D3F4D"/>
    <w:rsid w:val="003D3F4E"/>
    <w:rsid w:val="003D4013"/>
    <w:rsid w:val="003D41B7"/>
    <w:rsid w:val="003D42CC"/>
    <w:rsid w:val="003D4334"/>
    <w:rsid w:val="003D43D8"/>
    <w:rsid w:val="003D43F8"/>
    <w:rsid w:val="003D46C9"/>
    <w:rsid w:val="003D47BE"/>
    <w:rsid w:val="003D47E1"/>
    <w:rsid w:val="003D48A1"/>
    <w:rsid w:val="003D49AF"/>
    <w:rsid w:val="003D4BA6"/>
    <w:rsid w:val="003D4C25"/>
    <w:rsid w:val="003D4D49"/>
    <w:rsid w:val="003D4D7C"/>
    <w:rsid w:val="003D4DC2"/>
    <w:rsid w:val="003D4E58"/>
    <w:rsid w:val="003D4FAC"/>
    <w:rsid w:val="003D4FC2"/>
    <w:rsid w:val="003D5022"/>
    <w:rsid w:val="003D507A"/>
    <w:rsid w:val="003D521A"/>
    <w:rsid w:val="003D5229"/>
    <w:rsid w:val="003D5572"/>
    <w:rsid w:val="003D559F"/>
    <w:rsid w:val="003D55A8"/>
    <w:rsid w:val="003D56D1"/>
    <w:rsid w:val="003D576F"/>
    <w:rsid w:val="003D595B"/>
    <w:rsid w:val="003D59BB"/>
    <w:rsid w:val="003D59E2"/>
    <w:rsid w:val="003D5A00"/>
    <w:rsid w:val="003D5A07"/>
    <w:rsid w:val="003D5B87"/>
    <w:rsid w:val="003D5BA1"/>
    <w:rsid w:val="003D5C31"/>
    <w:rsid w:val="003D5CB4"/>
    <w:rsid w:val="003D5E03"/>
    <w:rsid w:val="003D5E68"/>
    <w:rsid w:val="003D5FA5"/>
    <w:rsid w:val="003D603F"/>
    <w:rsid w:val="003D605F"/>
    <w:rsid w:val="003D60AC"/>
    <w:rsid w:val="003D60BE"/>
    <w:rsid w:val="003D6138"/>
    <w:rsid w:val="003D6253"/>
    <w:rsid w:val="003D64D6"/>
    <w:rsid w:val="003D64FB"/>
    <w:rsid w:val="003D654F"/>
    <w:rsid w:val="003D6644"/>
    <w:rsid w:val="003D6700"/>
    <w:rsid w:val="003D6A99"/>
    <w:rsid w:val="003D6AB8"/>
    <w:rsid w:val="003D6B01"/>
    <w:rsid w:val="003D6BAB"/>
    <w:rsid w:val="003D6C9E"/>
    <w:rsid w:val="003D6D77"/>
    <w:rsid w:val="003D6E23"/>
    <w:rsid w:val="003D6E64"/>
    <w:rsid w:val="003D6ED4"/>
    <w:rsid w:val="003D6F6A"/>
    <w:rsid w:val="003D6FDD"/>
    <w:rsid w:val="003D7017"/>
    <w:rsid w:val="003D7056"/>
    <w:rsid w:val="003D70A5"/>
    <w:rsid w:val="003D7164"/>
    <w:rsid w:val="003D72EC"/>
    <w:rsid w:val="003D742C"/>
    <w:rsid w:val="003D7457"/>
    <w:rsid w:val="003D74C2"/>
    <w:rsid w:val="003D7684"/>
    <w:rsid w:val="003D7768"/>
    <w:rsid w:val="003D77EA"/>
    <w:rsid w:val="003D7822"/>
    <w:rsid w:val="003D78D7"/>
    <w:rsid w:val="003D78F3"/>
    <w:rsid w:val="003D7B18"/>
    <w:rsid w:val="003D7C61"/>
    <w:rsid w:val="003D7C68"/>
    <w:rsid w:val="003D7C93"/>
    <w:rsid w:val="003D7DBC"/>
    <w:rsid w:val="003D7FBF"/>
    <w:rsid w:val="003E0060"/>
    <w:rsid w:val="003E0334"/>
    <w:rsid w:val="003E0376"/>
    <w:rsid w:val="003E0390"/>
    <w:rsid w:val="003E03BA"/>
    <w:rsid w:val="003E03D9"/>
    <w:rsid w:val="003E03DE"/>
    <w:rsid w:val="003E0411"/>
    <w:rsid w:val="003E04C8"/>
    <w:rsid w:val="003E056B"/>
    <w:rsid w:val="003E057B"/>
    <w:rsid w:val="003E05FA"/>
    <w:rsid w:val="003E0695"/>
    <w:rsid w:val="003E06C1"/>
    <w:rsid w:val="003E06D1"/>
    <w:rsid w:val="003E079A"/>
    <w:rsid w:val="003E07FD"/>
    <w:rsid w:val="003E09B9"/>
    <w:rsid w:val="003E09BF"/>
    <w:rsid w:val="003E0A8D"/>
    <w:rsid w:val="003E0B76"/>
    <w:rsid w:val="003E0BAC"/>
    <w:rsid w:val="003E0C30"/>
    <w:rsid w:val="003E0CD3"/>
    <w:rsid w:val="003E0E1C"/>
    <w:rsid w:val="003E0EA4"/>
    <w:rsid w:val="003E0EF3"/>
    <w:rsid w:val="003E10D0"/>
    <w:rsid w:val="003E1142"/>
    <w:rsid w:val="003E1352"/>
    <w:rsid w:val="003E1397"/>
    <w:rsid w:val="003E13E5"/>
    <w:rsid w:val="003E1422"/>
    <w:rsid w:val="003E142D"/>
    <w:rsid w:val="003E164D"/>
    <w:rsid w:val="003E1740"/>
    <w:rsid w:val="003E177D"/>
    <w:rsid w:val="003E17AD"/>
    <w:rsid w:val="003E1876"/>
    <w:rsid w:val="003E1894"/>
    <w:rsid w:val="003E18D7"/>
    <w:rsid w:val="003E1A2D"/>
    <w:rsid w:val="003E1B15"/>
    <w:rsid w:val="003E1B22"/>
    <w:rsid w:val="003E1C6F"/>
    <w:rsid w:val="003E1CC6"/>
    <w:rsid w:val="003E1D6C"/>
    <w:rsid w:val="003E1D93"/>
    <w:rsid w:val="003E1E3F"/>
    <w:rsid w:val="003E1EAB"/>
    <w:rsid w:val="003E1FF2"/>
    <w:rsid w:val="003E2029"/>
    <w:rsid w:val="003E239E"/>
    <w:rsid w:val="003E23B6"/>
    <w:rsid w:val="003E23BC"/>
    <w:rsid w:val="003E2463"/>
    <w:rsid w:val="003E246E"/>
    <w:rsid w:val="003E285B"/>
    <w:rsid w:val="003E28D2"/>
    <w:rsid w:val="003E298F"/>
    <w:rsid w:val="003E29BF"/>
    <w:rsid w:val="003E29D9"/>
    <w:rsid w:val="003E2A0E"/>
    <w:rsid w:val="003E2A11"/>
    <w:rsid w:val="003E2B01"/>
    <w:rsid w:val="003E2B4D"/>
    <w:rsid w:val="003E2BA1"/>
    <w:rsid w:val="003E2BF9"/>
    <w:rsid w:val="003E2BFD"/>
    <w:rsid w:val="003E2CDD"/>
    <w:rsid w:val="003E2ED8"/>
    <w:rsid w:val="003E2EF1"/>
    <w:rsid w:val="003E2F9E"/>
    <w:rsid w:val="003E3073"/>
    <w:rsid w:val="003E310A"/>
    <w:rsid w:val="003E313C"/>
    <w:rsid w:val="003E32F4"/>
    <w:rsid w:val="003E342A"/>
    <w:rsid w:val="003E3503"/>
    <w:rsid w:val="003E354C"/>
    <w:rsid w:val="003E37E5"/>
    <w:rsid w:val="003E3852"/>
    <w:rsid w:val="003E385C"/>
    <w:rsid w:val="003E39D5"/>
    <w:rsid w:val="003E3B70"/>
    <w:rsid w:val="003E3C9A"/>
    <w:rsid w:val="003E3E04"/>
    <w:rsid w:val="003E3E41"/>
    <w:rsid w:val="003E3E68"/>
    <w:rsid w:val="003E3EB5"/>
    <w:rsid w:val="003E3EE4"/>
    <w:rsid w:val="003E3F59"/>
    <w:rsid w:val="003E3FE1"/>
    <w:rsid w:val="003E4085"/>
    <w:rsid w:val="003E4146"/>
    <w:rsid w:val="003E4181"/>
    <w:rsid w:val="003E41A6"/>
    <w:rsid w:val="003E41F6"/>
    <w:rsid w:val="003E43EE"/>
    <w:rsid w:val="003E4500"/>
    <w:rsid w:val="003E4584"/>
    <w:rsid w:val="003E4736"/>
    <w:rsid w:val="003E496E"/>
    <w:rsid w:val="003E4998"/>
    <w:rsid w:val="003E4AB4"/>
    <w:rsid w:val="003E4AC5"/>
    <w:rsid w:val="003E4C22"/>
    <w:rsid w:val="003E4C4F"/>
    <w:rsid w:val="003E4C8B"/>
    <w:rsid w:val="003E4DC4"/>
    <w:rsid w:val="003E4F1D"/>
    <w:rsid w:val="003E4FBF"/>
    <w:rsid w:val="003E5073"/>
    <w:rsid w:val="003E509A"/>
    <w:rsid w:val="003E50FA"/>
    <w:rsid w:val="003E512B"/>
    <w:rsid w:val="003E513D"/>
    <w:rsid w:val="003E520E"/>
    <w:rsid w:val="003E5272"/>
    <w:rsid w:val="003E5358"/>
    <w:rsid w:val="003E53E0"/>
    <w:rsid w:val="003E53E9"/>
    <w:rsid w:val="003E53F4"/>
    <w:rsid w:val="003E5493"/>
    <w:rsid w:val="003E5506"/>
    <w:rsid w:val="003E555F"/>
    <w:rsid w:val="003E5586"/>
    <w:rsid w:val="003E55E7"/>
    <w:rsid w:val="003E55F8"/>
    <w:rsid w:val="003E564E"/>
    <w:rsid w:val="003E56A2"/>
    <w:rsid w:val="003E57DF"/>
    <w:rsid w:val="003E5863"/>
    <w:rsid w:val="003E5921"/>
    <w:rsid w:val="003E596B"/>
    <w:rsid w:val="003E59E7"/>
    <w:rsid w:val="003E5C07"/>
    <w:rsid w:val="003E5C2C"/>
    <w:rsid w:val="003E5C80"/>
    <w:rsid w:val="003E5C83"/>
    <w:rsid w:val="003E5D17"/>
    <w:rsid w:val="003E5DA7"/>
    <w:rsid w:val="003E5ED8"/>
    <w:rsid w:val="003E5FC2"/>
    <w:rsid w:val="003E5FFC"/>
    <w:rsid w:val="003E6037"/>
    <w:rsid w:val="003E6294"/>
    <w:rsid w:val="003E63CA"/>
    <w:rsid w:val="003E6447"/>
    <w:rsid w:val="003E6468"/>
    <w:rsid w:val="003E649B"/>
    <w:rsid w:val="003E653C"/>
    <w:rsid w:val="003E654D"/>
    <w:rsid w:val="003E654E"/>
    <w:rsid w:val="003E65B3"/>
    <w:rsid w:val="003E675F"/>
    <w:rsid w:val="003E6836"/>
    <w:rsid w:val="003E683A"/>
    <w:rsid w:val="003E685C"/>
    <w:rsid w:val="003E6899"/>
    <w:rsid w:val="003E689C"/>
    <w:rsid w:val="003E6A24"/>
    <w:rsid w:val="003E6A92"/>
    <w:rsid w:val="003E6A9A"/>
    <w:rsid w:val="003E6AF0"/>
    <w:rsid w:val="003E6B1B"/>
    <w:rsid w:val="003E6C73"/>
    <w:rsid w:val="003E6CE6"/>
    <w:rsid w:val="003E6D63"/>
    <w:rsid w:val="003E6E34"/>
    <w:rsid w:val="003E71B4"/>
    <w:rsid w:val="003E7234"/>
    <w:rsid w:val="003E7389"/>
    <w:rsid w:val="003E73A0"/>
    <w:rsid w:val="003E7458"/>
    <w:rsid w:val="003E7483"/>
    <w:rsid w:val="003E75AC"/>
    <w:rsid w:val="003E7613"/>
    <w:rsid w:val="003E761C"/>
    <w:rsid w:val="003E767C"/>
    <w:rsid w:val="003E76BF"/>
    <w:rsid w:val="003E779B"/>
    <w:rsid w:val="003E779C"/>
    <w:rsid w:val="003E77C2"/>
    <w:rsid w:val="003E78C6"/>
    <w:rsid w:val="003E78FD"/>
    <w:rsid w:val="003E79F1"/>
    <w:rsid w:val="003E7B0D"/>
    <w:rsid w:val="003E7BED"/>
    <w:rsid w:val="003E7C37"/>
    <w:rsid w:val="003E7D31"/>
    <w:rsid w:val="003E7D84"/>
    <w:rsid w:val="003E7E33"/>
    <w:rsid w:val="003E7E3A"/>
    <w:rsid w:val="003E7F45"/>
    <w:rsid w:val="003E7F5C"/>
    <w:rsid w:val="003E7F66"/>
    <w:rsid w:val="003E7FD2"/>
    <w:rsid w:val="003E7FDC"/>
    <w:rsid w:val="003F002F"/>
    <w:rsid w:val="003F003B"/>
    <w:rsid w:val="003F00CE"/>
    <w:rsid w:val="003F00F8"/>
    <w:rsid w:val="003F00FB"/>
    <w:rsid w:val="003F0296"/>
    <w:rsid w:val="003F03BE"/>
    <w:rsid w:val="003F03C4"/>
    <w:rsid w:val="003F03F5"/>
    <w:rsid w:val="003F0430"/>
    <w:rsid w:val="003F046D"/>
    <w:rsid w:val="003F04DC"/>
    <w:rsid w:val="003F0570"/>
    <w:rsid w:val="003F05E8"/>
    <w:rsid w:val="003F065C"/>
    <w:rsid w:val="003F07B4"/>
    <w:rsid w:val="003F07C7"/>
    <w:rsid w:val="003F07CD"/>
    <w:rsid w:val="003F0935"/>
    <w:rsid w:val="003F0B15"/>
    <w:rsid w:val="003F0B8B"/>
    <w:rsid w:val="003F0CF0"/>
    <w:rsid w:val="003F0D2E"/>
    <w:rsid w:val="003F0E45"/>
    <w:rsid w:val="003F0E46"/>
    <w:rsid w:val="003F0EC3"/>
    <w:rsid w:val="003F0FA3"/>
    <w:rsid w:val="003F1077"/>
    <w:rsid w:val="003F10BC"/>
    <w:rsid w:val="003F11DC"/>
    <w:rsid w:val="003F1379"/>
    <w:rsid w:val="003F139B"/>
    <w:rsid w:val="003F13C3"/>
    <w:rsid w:val="003F13EC"/>
    <w:rsid w:val="003F1499"/>
    <w:rsid w:val="003F1503"/>
    <w:rsid w:val="003F1541"/>
    <w:rsid w:val="003F1547"/>
    <w:rsid w:val="003F15A2"/>
    <w:rsid w:val="003F15C9"/>
    <w:rsid w:val="003F1880"/>
    <w:rsid w:val="003F18E2"/>
    <w:rsid w:val="003F1985"/>
    <w:rsid w:val="003F1A06"/>
    <w:rsid w:val="003F1A6C"/>
    <w:rsid w:val="003F1A6F"/>
    <w:rsid w:val="003F1ACE"/>
    <w:rsid w:val="003F1C85"/>
    <w:rsid w:val="003F1D4C"/>
    <w:rsid w:val="003F1ECD"/>
    <w:rsid w:val="003F2015"/>
    <w:rsid w:val="003F205B"/>
    <w:rsid w:val="003F208A"/>
    <w:rsid w:val="003F21B7"/>
    <w:rsid w:val="003F21D0"/>
    <w:rsid w:val="003F220F"/>
    <w:rsid w:val="003F227C"/>
    <w:rsid w:val="003F239B"/>
    <w:rsid w:val="003F23CE"/>
    <w:rsid w:val="003F2427"/>
    <w:rsid w:val="003F247A"/>
    <w:rsid w:val="003F24BD"/>
    <w:rsid w:val="003F2685"/>
    <w:rsid w:val="003F2706"/>
    <w:rsid w:val="003F276C"/>
    <w:rsid w:val="003F284B"/>
    <w:rsid w:val="003F287F"/>
    <w:rsid w:val="003F296A"/>
    <w:rsid w:val="003F2A7E"/>
    <w:rsid w:val="003F2A89"/>
    <w:rsid w:val="003F2B10"/>
    <w:rsid w:val="003F2B33"/>
    <w:rsid w:val="003F2B63"/>
    <w:rsid w:val="003F2B93"/>
    <w:rsid w:val="003F2CC4"/>
    <w:rsid w:val="003F2EB2"/>
    <w:rsid w:val="003F2EFA"/>
    <w:rsid w:val="003F317B"/>
    <w:rsid w:val="003F3213"/>
    <w:rsid w:val="003F3299"/>
    <w:rsid w:val="003F3357"/>
    <w:rsid w:val="003F3379"/>
    <w:rsid w:val="003F33C8"/>
    <w:rsid w:val="003F33CC"/>
    <w:rsid w:val="003F3402"/>
    <w:rsid w:val="003F3446"/>
    <w:rsid w:val="003F3502"/>
    <w:rsid w:val="003F35D2"/>
    <w:rsid w:val="003F3633"/>
    <w:rsid w:val="003F369B"/>
    <w:rsid w:val="003F36E4"/>
    <w:rsid w:val="003F37B4"/>
    <w:rsid w:val="003F37B9"/>
    <w:rsid w:val="003F37D9"/>
    <w:rsid w:val="003F3984"/>
    <w:rsid w:val="003F39CD"/>
    <w:rsid w:val="003F39D1"/>
    <w:rsid w:val="003F3A48"/>
    <w:rsid w:val="003F3ACE"/>
    <w:rsid w:val="003F3AD5"/>
    <w:rsid w:val="003F3B2D"/>
    <w:rsid w:val="003F3B9D"/>
    <w:rsid w:val="003F3C9D"/>
    <w:rsid w:val="003F3CBB"/>
    <w:rsid w:val="003F3D6E"/>
    <w:rsid w:val="003F3DE6"/>
    <w:rsid w:val="003F3F60"/>
    <w:rsid w:val="003F3F62"/>
    <w:rsid w:val="003F4074"/>
    <w:rsid w:val="003F4091"/>
    <w:rsid w:val="003F411B"/>
    <w:rsid w:val="003F41B3"/>
    <w:rsid w:val="003F43E0"/>
    <w:rsid w:val="003F4433"/>
    <w:rsid w:val="003F4480"/>
    <w:rsid w:val="003F44B8"/>
    <w:rsid w:val="003F44C5"/>
    <w:rsid w:val="003F4595"/>
    <w:rsid w:val="003F47C0"/>
    <w:rsid w:val="003F47C4"/>
    <w:rsid w:val="003F488B"/>
    <w:rsid w:val="003F4A5C"/>
    <w:rsid w:val="003F4BA2"/>
    <w:rsid w:val="003F4BFB"/>
    <w:rsid w:val="003F4C3C"/>
    <w:rsid w:val="003F4C4F"/>
    <w:rsid w:val="003F4CB4"/>
    <w:rsid w:val="003F4F3A"/>
    <w:rsid w:val="003F501B"/>
    <w:rsid w:val="003F5216"/>
    <w:rsid w:val="003F5244"/>
    <w:rsid w:val="003F5282"/>
    <w:rsid w:val="003F5384"/>
    <w:rsid w:val="003F538F"/>
    <w:rsid w:val="003F5418"/>
    <w:rsid w:val="003F5421"/>
    <w:rsid w:val="003F556F"/>
    <w:rsid w:val="003F55DB"/>
    <w:rsid w:val="003F55E8"/>
    <w:rsid w:val="003F567E"/>
    <w:rsid w:val="003F5698"/>
    <w:rsid w:val="003F5921"/>
    <w:rsid w:val="003F5936"/>
    <w:rsid w:val="003F598D"/>
    <w:rsid w:val="003F59F0"/>
    <w:rsid w:val="003F5A4B"/>
    <w:rsid w:val="003F5A5D"/>
    <w:rsid w:val="003F5BB1"/>
    <w:rsid w:val="003F5BC8"/>
    <w:rsid w:val="003F5BD9"/>
    <w:rsid w:val="003F5CBD"/>
    <w:rsid w:val="003F5D1B"/>
    <w:rsid w:val="003F5D64"/>
    <w:rsid w:val="003F5DE0"/>
    <w:rsid w:val="003F5DFB"/>
    <w:rsid w:val="003F5E79"/>
    <w:rsid w:val="003F5F23"/>
    <w:rsid w:val="003F5F2D"/>
    <w:rsid w:val="003F5FDC"/>
    <w:rsid w:val="003F60D6"/>
    <w:rsid w:val="003F6188"/>
    <w:rsid w:val="003F61AC"/>
    <w:rsid w:val="003F6205"/>
    <w:rsid w:val="003F625B"/>
    <w:rsid w:val="003F626D"/>
    <w:rsid w:val="003F62E6"/>
    <w:rsid w:val="003F637D"/>
    <w:rsid w:val="003F6501"/>
    <w:rsid w:val="003F6561"/>
    <w:rsid w:val="003F6580"/>
    <w:rsid w:val="003F6595"/>
    <w:rsid w:val="003F65A8"/>
    <w:rsid w:val="003F6721"/>
    <w:rsid w:val="003F6847"/>
    <w:rsid w:val="003F68E7"/>
    <w:rsid w:val="003F6929"/>
    <w:rsid w:val="003F6955"/>
    <w:rsid w:val="003F6994"/>
    <w:rsid w:val="003F6A37"/>
    <w:rsid w:val="003F6BB8"/>
    <w:rsid w:val="003F6BE0"/>
    <w:rsid w:val="003F6C18"/>
    <w:rsid w:val="003F6C9F"/>
    <w:rsid w:val="003F6D1A"/>
    <w:rsid w:val="003F6DBD"/>
    <w:rsid w:val="003F6E67"/>
    <w:rsid w:val="003F6EDB"/>
    <w:rsid w:val="003F6F04"/>
    <w:rsid w:val="003F6FED"/>
    <w:rsid w:val="003F713D"/>
    <w:rsid w:val="003F71CA"/>
    <w:rsid w:val="003F72A1"/>
    <w:rsid w:val="003F72B3"/>
    <w:rsid w:val="003F72DC"/>
    <w:rsid w:val="003F7371"/>
    <w:rsid w:val="003F7440"/>
    <w:rsid w:val="003F753E"/>
    <w:rsid w:val="003F76C9"/>
    <w:rsid w:val="003F7771"/>
    <w:rsid w:val="003F78AD"/>
    <w:rsid w:val="003F78D9"/>
    <w:rsid w:val="003F7933"/>
    <w:rsid w:val="003F79BE"/>
    <w:rsid w:val="003F79E8"/>
    <w:rsid w:val="003F79FF"/>
    <w:rsid w:val="003F7A8F"/>
    <w:rsid w:val="003F7AD8"/>
    <w:rsid w:val="003F7B36"/>
    <w:rsid w:val="003F7B7D"/>
    <w:rsid w:val="003F7C17"/>
    <w:rsid w:val="003F7C3A"/>
    <w:rsid w:val="003F7C3F"/>
    <w:rsid w:val="003F7CE6"/>
    <w:rsid w:val="003F7D93"/>
    <w:rsid w:val="003F7F4D"/>
    <w:rsid w:val="003F7FE9"/>
    <w:rsid w:val="003F7FF1"/>
    <w:rsid w:val="00400169"/>
    <w:rsid w:val="0040018B"/>
    <w:rsid w:val="0040020A"/>
    <w:rsid w:val="00400294"/>
    <w:rsid w:val="0040031A"/>
    <w:rsid w:val="0040031C"/>
    <w:rsid w:val="00400366"/>
    <w:rsid w:val="00400417"/>
    <w:rsid w:val="00400713"/>
    <w:rsid w:val="00400784"/>
    <w:rsid w:val="00400814"/>
    <w:rsid w:val="00400827"/>
    <w:rsid w:val="004008DC"/>
    <w:rsid w:val="004008EE"/>
    <w:rsid w:val="00400A00"/>
    <w:rsid w:val="00400A79"/>
    <w:rsid w:val="00400A7D"/>
    <w:rsid w:val="00400B58"/>
    <w:rsid w:val="00400B8D"/>
    <w:rsid w:val="00400BAC"/>
    <w:rsid w:val="00400C32"/>
    <w:rsid w:val="00400CE6"/>
    <w:rsid w:val="00400D68"/>
    <w:rsid w:val="00400D6A"/>
    <w:rsid w:val="00400DDB"/>
    <w:rsid w:val="00400E73"/>
    <w:rsid w:val="00400F4F"/>
    <w:rsid w:val="00401035"/>
    <w:rsid w:val="004010E4"/>
    <w:rsid w:val="00401128"/>
    <w:rsid w:val="00401247"/>
    <w:rsid w:val="00401250"/>
    <w:rsid w:val="00401254"/>
    <w:rsid w:val="004012A0"/>
    <w:rsid w:val="004012B3"/>
    <w:rsid w:val="004012F2"/>
    <w:rsid w:val="0040130D"/>
    <w:rsid w:val="00401322"/>
    <w:rsid w:val="004013D6"/>
    <w:rsid w:val="0040160F"/>
    <w:rsid w:val="00401677"/>
    <w:rsid w:val="00401789"/>
    <w:rsid w:val="0040179A"/>
    <w:rsid w:val="004017FB"/>
    <w:rsid w:val="004018BE"/>
    <w:rsid w:val="00401A08"/>
    <w:rsid w:val="00401A30"/>
    <w:rsid w:val="00401B95"/>
    <w:rsid w:val="00401C2C"/>
    <w:rsid w:val="00401C8C"/>
    <w:rsid w:val="004020A6"/>
    <w:rsid w:val="00402120"/>
    <w:rsid w:val="0040215C"/>
    <w:rsid w:val="00402174"/>
    <w:rsid w:val="00402191"/>
    <w:rsid w:val="00402217"/>
    <w:rsid w:val="0040221C"/>
    <w:rsid w:val="00402511"/>
    <w:rsid w:val="00402654"/>
    <w:rsid w:val="004027C4"/>
    <w:rsid w:val="00402881"/>
    <w:rsid w:val="00402925"/>
    <w:rsid w:val="00402977"/>
    <w:rsid w:val="00402A02"/>
    <w:rsid w:val="00402A46"/>
    <w:rsid w:val="00402A71"/>
    <w:rsid w:val="00402A75"/>
    <w:rsid w:val="00402B92"/>
    <w:rsid w:val="00402BB8"/>
    <w:rsid w:val="00402C09"/>
    <w:rsid w:val="00402C96"/>
    <w:rsid w:val="00402D0F"/>
    <w:rsid w:val="00402E06"/>
    <w:rsid w:val="00402E26"/>
    <w:rsid w:val="00402ED8"/>
    <w:rsid w:val="0040300F"/>
    <w:rsid w:val="00403085"/>
    <w:rsid w:val="004031BC"/>
    <w:rsid w:val="004031DF"/>
    <w:rsid w:val="004032AD"/>
    <w:rsid w:val="00403336"/>
    <w:rsid w:val="0040341E"/>
    <w:rsid w:val="00403517"/>
    <w:rsid w:val="0040357D"/>
    <w:rsid w:val="0040360A"/>
    <w:rsid w:val="004036CD"/>
    <w:rsid w:val="0040377E"/>
    <w:rsid w:val="004038F1"/>
    <w:rsid w:val="00403A32"/>
    <w:rsid w:val="00403A5C"/>
    <w:rsid w:val="00403AC7"/>
    <w:rsid w:val="00403B13"/>
    <w:rsid w:val="00403B42"/>
    <w:rsid w:val="00403B67"/>
    <w:rsid w:val="00403DAB"/>
    <w:rsid w:val="00403DB9"/>
    <w:rsid w:val="00403E74"/>
    <w:rsid w:val="00403EC9"/>
    <w:rsid w:val="00403F26"/>
    <w:rsid w:val="0040402C"/>
    <w:rsid w:val="004040E6"/>
    <w:rsid w:val="00404182"/>
    <w:rsid w:val="004041EF"/>
    <w:rsid w:val="004043EF"/>
    <w:rsid w:val="0040450D"/>
    <w:rsid w:val="00404540"/>
    <w:rsid w:val="004046E8"/>
    <w:rsid w:val="00404701"/>
    <w:rsid w:val="0040478B"/>
    <w:rsid w:val="004047A0"/>
    <w:rsid w:val="004047A3"/>
    <w:rsid w:val="004047BE"/>
    <w:rsid w:val="00404917"/>
    <w:rsid w:val="00404962"/>
    <w:rsid w:val="00404AF2"/>
    <w:rsid w:val="00404CF0"/>
    <w:rsid w:val="00404DE1"/>
    <w:rsid w:val="00404EB0"/>
    <w:rsid w:val="00404F5F"/>
    <w:rsid w:val="00404F69"/>
    <w:rsid w:val="00404FA2"/>
    <w:rsid w:val="00405039"/>
    <w:rsid w:val="00405051"/>
    <w:rsid w:val="00405098"/>
    <w:rsid w:val="00405204"/>
    <w:rsid w:val="0040520A"/>
    <w:rsid w:val="0040522D"/>
    <w:rsid w:val="00405408"/>
    <w:rsid w:val="00405474"/>
    <w:rsid w:val="0040551D"/>
    <w:rsid w:val="00405560"/>
    <w:rsid w:val="004055D2"/>
    <w:rsid w:val="00405621"/>
    <w:rsid w:val="0040564B"/>
    <w:rsid w:val="004056C2"/>
    <w:rsid w:val="00405792"/>
    <w:rsid w:val="00405797"/>
    <w:rsid w:val="00405824"/>
    <w:rsid w:val="00405A15"/>
    <w:rsid w:val="00405A3D"/>
    <w:rsid w:val="00405B4E"/>
    <w:rsid w:val="00405B70"/>
    <w:rsid w:val="00405CCE"/>
    <w:rsid w:val="00405DE7"/>
    <w:rsid w:val="00405F1C"/>
    <w:rsid w:val="00405FC1"/>
    <w:rsid w:val="00406044"/>
    <w:rsid w:val="0040618E"/>
    <w:rsid w:val="004063A8"/>
    <w:rsid w:val="0040648D"/>
    <w:rsid w:val="004064BB"/>
    <w:rsid w:val="004064E4"/>
    <w:rsid w:val="004064E9"/>
    <w:rsid w:val="004065F8"/>
    <w:rsid w:val="004066E0"/>
    <w:rsid w:val="00406854"/>
    <w:rsid w:val="004069DB"/>
    <w:rsid w:val="00406A71"/>
    <w:rsid w:val="00406A9F"/>
    <w:rsid w:val="00406C7F"/>
    <w:rsid w:val="00406D1F"/>
    <w:rsid w:val="00406E48"/>
    <w:rsid w:val="00406EEC"/>
    <w:rsid w:val="00406F51"/>
    <w:rsid w:val="00407053"/>
    <w:rsid w:val="00407171"/>
    <w:rsid w:val="0040720B"/>
    <w:rsid w:val="0040738A"/>
    <w:rsid w:val="0040748A"/>
    <w:rsid w:val="00407520"/>
    <w:rsid w:val="004075D5"/>
    <w:rsid w:val="00407691"/>
    <w:rsid w:val="00407891"/>
    <w:rsid w:val="004078E3"/>
    <w:rsid w:val="0040791E"/>
    <w:rsid w:val="00407954"/>
    <w:rsid w:val="00407956"/>
    <w:rsid w:val="0040796A"/>
    <w:rsid w:val="00407A75"/>
    <w:rsid w:val="00407A8B"/>
    <w:rsid w:val="00407BC4"/>
    <w:rsid w:val="00407BDF"/>
    <w:rsid w:val="00407BE6"/>
    <w:rsid w:val="00407C76"/>
    <w:rsid w:val="00407CE5"/>
    <w:rsid w:val="00407E0E"/>
    <w:rsid w:val="00407E64"/>
    <w:rsid w:val="00407F02"/>
    <w:rsid w:val="00407F66"/>
    <w:rsid w:val="00407F6F"/>
    <w:rsid w:val="00407FFD"/>
    <w:rsid w:val="0041007B"/>
    <w:rsid w:val="00410085"/>
    <w:rsid w:val="0041030D"/>
    <w:rsid w:val="0041034A"/>
    <w:rsid w:val="00410356"/>
    <w:rsid w:val="0041040D"/>
    <w:rsid w:val="0041059D"/>
    <w:rsid w:val="004105B0"/>
    <w:rsid w:val="00410655"/>
    <w:rsid w:val="0041069F"/>
    <w:rsid w:val="004106A0"/>
    <w:rsid w:val="0041070B"/>
    <w:rsid w:val="00410719"/>
    <w:rsid w:val="004107AE"/>
    <w:rsid w:val="004107D8"/>
    <w:rsid w:val="00410918"/>
    <w:rsid w:val="00410B13"/>
    <w:rsid w:val="00410BBB"/>
    <w:rsid w:val="00410BBD"/>
    <w:rsid w:val="00410D11"/>
    <w:rsid w:val="00410D87"/>
    <w:rsid w:val="00410DD5"/>
    <w:rsid w:val="00410E96"/>
    <w:rsid w:val="00410FBE"/>
    <w:rsid w:val="00411051"/>
    <w:rsid w:val="004111F1"/>
    <w:rsid w:val="00411265"/>
    <w:rsid w:val="0041127C"/>
    <w:rsid w:val="004112D6"/>
    <w:rsid w:val="004112E0"/>
    <w:rsid w:val="004112FD"/>
    <w:rsid w:val="00411499"/>
    <w:rsid w:val="004114C7"/>
    <w:rsid w:val="0041164E"/>
    <w:rsid w:val="00411688"/>
    <w:rsid w:val="004116CB"/>
    <w:rsid w:val="0041172F"/>
    <w:rsid w:val="004117BB"/>
    <w:rsid w:val="004117C1"/>
    <w:rsid w:val="00411819"/>
    <w:rsid w:val="00411872"/>
    <w:rsid w:val="0041193B"/>
    <w:rsid w:val="0041194F"/>
    <w:rsid w:val="00411A68"/>
    <w:rsid w:val="00411B2F"/>
    <w:rsid w:val="00411B45"/>
    <w:rsid w:val="00411CB5"/>
    <w:rsid w:val="00411CD6"/>
    <w:rsid w:val="00411CF0"/>
    <w:rsid w:val="00411E1A"/>
    <w:rsid w:val="00411EE8"/>
    <w:rsid w:val="00411FA4"/>
    <w:rsid w:val="00412090"/>
    <w:rsid w:val="004120C3"/>
    <w:rsid w:val="00412113"/>
    <w:rsid w:val="0041215A"/>
    <w:rsid w:val="0041220C"/>
    <w:rsid w:val="00412213"/>
    <w:rsid w:val="004122A2"/>
    <w:rsid w:val="004122D8"/>
    <w:rsid w:val="00412464"/>
    <w:rsid w:val="00412519"/>
    <w:rsid w:val="0041252D"/>
    <w:rsid w:val="00412697"/>
    <w:rsid w:val="00412705"/>
    <w:rsid w:val="0041273B"/>
    <w:rsid w:val="0041288C"/>
    <w:rsid w:val="00412A1C"/>
    <w:rsid w:val="00412DF1"/>
    <w:rsid w:val="00412E3E"/>
    <w:rsid w:val="00412E41"/>
    <w:rsid w:val="00412ED0"/>
    <w:rsid w:val="00412F02"/>
    <w:rsid w:val="00412F68"/>
    <w:rsid w:val="0041305C"/>
    <w:rsid w:val="004130C4"/>
    <w:rsid w:val="004130E4"/>
    <w:rsid w:val="00413119"/>
    <w:rsid w:val="00413240"/>
    <w:rsid w:val="004132D9"/>
    <w:rsid w:val="0041336B"/>
    <w:rsid w:val="004133C1"/>
    <w:rsid w:val="004135BC"/>
    <w:rsid w:val="0041369B"/>
    <w:rsid w:val="004136C2"/>
    <w:rsid w:val="00413715"/>
    <w:rsid w:val="0041372B"/>
    <w:rsid w:val="0041375E"/>
    <w:rsid w:val="00413900"/>
    <w:rsid w:val="00413A49"/>
    <w:rsid w:val="00413B67"/>
    <w:rsid w:val="00413BD2"/>
    <w:rsid w:val="00413BF2"/>
    <w:rsid w:val="00413C56"/>
    <w:rsid w:val="00413CEB"/>
    <w:rsid w:val="00413DC6"/>
    <w:rsid w:val="00413DE7"/>
    <w:rsid w:val="00413E23"/>
    <w:rsid w:val="00413E36"/>
    <w:rsid w:val="00413F33"/>
    <w:rsid w:val="00413FF4"/>
    <w:rsid w:val="00414038"/>
    <w:rsid w:val="0041409D"/>
    <w:rsid w:val="00414106"/>
    <w:rsid w:val="00414196"/>
    <w:rsid w:val="00414256"/>
    <w:rsid w:val="0041431D"/>
    <w:rsid w:val="004143C7"/>
    <w:rsid w:val="004143E1"/>
    <w:rsid w:val="004144C7"/>
    <w:rsid w:val="00414694"/>
    <w:rsid w:val="0041470B"/>
    <w:rsid w:val="004147B3"/>
    <w:rsid w:val="004147F8"/>
    <w:rsid w:val="0041481C"/>
    <w:rsid w:val="00414A38"/>
    <w:rsid w:val="00414A68"/>
    <w:rsid w:val="00414CE4"/>
    <w:rsid w:val="00414D01"/>
    <w:rsid w:val="00414D60"/>
    <w:rsid w:val="00414EF9"/>
    <w:rsid w:val="00414F8A"/>
    <w:rsid w:val="00414FCE"/>
    <w:rsid w:val="00414FDB"/>
    <w:rsid w:val="0041506D"/>
    <w:rsid w:val="004150F5"/>
    <w:rsid w:val="00415106"/>
    <w:rsid w:val="0041514F"/>
    <w:rsid w:val="0041517E"/>
    <w:rsid w:val="0041520A"/>
    <w:rsid w:val="0041529C"/>
    <w:rsid w:val="00415306"/>
    <w:rsid w:val="0041533D"/>
    <w:rsid w:val="004153E9"/>
    <w:rsid w:val="00415426"/>
    <w:rsid w:val="004155D5"/>
    <w:rsid w:val="004155EF"/>
    <w:rsid w:val="00415679"/>
    <w:rsid w:val="0041569F"/>
    <w:rsid w:val="0041570A"/>
    <w:rsid w:val="00415776"/>
    <w:rsid w:val="004157ED"/>
    <w:rsid w:val="00415948"/>
    <w:rsid w:val="0041594A"/>
    <w:rsid w:val="004159C0"/>
    <w:rsid w:val="00415B09"/>
    <w:rsid w:val="00415DA7"/>
    <w:rsid w:val="00415E15"/>
    <w:rsid w:val="00415E2B"/>
    <w:rsid w:val="00415F64"/>
    <w:rsid w:val="004160DF"/>
    <w:rsid w:val="004160E5"/>
    <w:rsid w:val="004160FD"/>
    <w:rsid w:val="00416111"/>
    <w:rsid w:val="00416121"/>
    <w:rsid w:val="0041612A"/>
    <w:rsid w:val="00416139"/>
    <w:rsid w:val="0041625A"/>
    <w:rsid w:val="004162F3"/>
    <w:rsid w:val="0041645C"/>
    <w:rsid w:val="00416495"/>
    <w:rsid w:val="00416525"/>
    <w:rsid w:val="004165DC"/>
    <w:rsid w:val="00416675"/>
    <w:rsid w:val="00416690"/>
    <w:rsid w:val="004166C1"/>
    <w:rsid w:val="00416764"/>
    <w:rsid w:val="00416858"/>
    <w:rsid w:val="00416884"/>
    <w:rsid w:val="00416975"/>
    <w:rsid w:val="00416B71"/>
    <w:rsid w:val="00416B83"/>
    <w:rsid w:val="00416D26"/>
    <w:rsid w:val="00416D68"/>
    <w:rsid w:val="00416D6C"/>
    <w:rsid w:val="00416DBB"/>
    <w:rsid w:val="00416F89"/>
    <w:rsid w:val="00417094"/>
    <w:rsid w:val="004170D6"/>
    <w:rsid w:val="00417184"/>
    <w:rsid w:val="004171AF"/>
    <w:rsid w:val="004171BD"/>
    <w:rsid w:val="004171C1"/>
    <w:rsid w:val="004171E8"/>
    <w:rsid w:val="00417266"/>
    <w:rsid w:val="004172A5"/>
    <w:rsid w:val="004172F2"/>
    <w:rsid w:val="004173A7"/>
    <w:rsid w:val="00417406"/>
    <w:rsid w:val="0041753E"/>
    <w:rsid w:val="00417564"/>
    <w:rsid w:val="00417567"/>
    <w:rsid w:val="004176CB"/>
    <w:rsid w:val="004177B4"/>
    <w:rsid w:val="004177B7"/>
    <w:rsid w:val="004178BF"/>
    <w:rsid w:val="004178F7"/>
    <w:rsid w:val="00417900"/>
    <w:rsid w:val="00417967"/>
    <w:rsid w:val="00417976"/>
    <w:rsid w:val="00417A3F"/>
    <w:rsid w:val="00417A4D"/>
    <w:rsid w:val="00417C8D"/>
    <w:rsid w:val="00417CFF"/>
    <w:rsid w:val="00417D0A"/>
    <w:rsid w:val="00417D75"/>
    <w:rsid w:val="004200A3"/>
    <w:rsid w:val="0042010B"/>
    <w:rsid w:val="00420201"/>
    <w:rsid w:val="00420226"/>
    <w:rsid w:val="004202E9"/>
    <w:rsid w:val="0042041C"/>
    <w:rsid w:val="004205EC"/>
    <w:rsid w:val="0042061D"/>
    <w:rsid w:val="00420668"/>
    <w:rsid w:val="00420772"/>
    <w:rsid w:val="004207E2"/>
    <w:rsid w:val="00420834"/>
    <w:rsid w:val="004208AA"/>
    <w:rsid w:val="00420905"/>
    <w:rsid w:val="00420951"/>
    <w:rsid w:val="00420A10"/>
    <w:rsid w:val="00420B27"/>
    <w:rsid w:val="00420D12"/>
    <w:rsid w:val="00420D79"/>
    <w:rsid w:val="00420EAF"/>
    <w:rsid w:val="00420ED4"/>
    <w:rsid w:val="00420EE0"/>
    <w:rsid w:val="00420F12"/>
    <w:rsid w:val="00420F7C"/>
    <w:rsid w:val="004210A2"/>
    <w:rsid w:val="00421367"/>
    <w:rsid w:val="004213CF"/>
    <w:rsid w:val="00421429"/>
    <w:rsid w:val="004214B3"/>
    <w:rsid w:val="00421585"/>
    <w:rsid w:val="00421588"/>
    <w:rsid w:val="0042167A"/>
    <w:rsid w:val="004216B6"/>
    <w:rsid w:val="004216EB"/>
    <w:rsid w:val="0042171C"/>
    <w:rsid w:val="00421806"/>
    <w:rsid w:val="00421846"/>
    <w:rsid w:val="00421872"/>
    <w:rsid w:val="0042191A"/>
    <w:rsid w:val="004219F9"/>
    <w:rsid w:val="00421A01"/>
    <w:rsid w:val="00421A32"/>
    <w:rsid w:val="00421AA2"/>
    <w:rsid w:val="00421BC7"/>
    <w:rsid w:val="00421C30"/>
    <w:rsid w:val="00421CBF"/>
    <w:rsid w:val="00421DB7"/>
    <w:rsid w:val="00421DF4"/>
    <w:rsid w:val="00421EEC"/>
    <w:rsid w:val="00421F25"/>
    <w:rsid w:val="00422081"/>
    <w:rsid w:val="00422093"/>
    <w:rsid w:val="00422161"/>
    <w:rsid w:val="004222C7"/>
    <w:rsid w:val="004222D3"/>
    <w:rsid w:val="00422358"/>
    <w:rsid w:val="0042236F"/>
    <w:rsid w:val="00422374"/>
    <w:rsid w:val="004224F6"/>
    <w:rsid w:val="004225AD"/>
    <w:rsid w:val="004225BA"/>
    <w:rsid w:val="0042271F"/>
    <w:rsid w:val="004227DA"/>
    <w:rsid w:val="00422817"/>
    <w:rsid w:val="00422820"/>
    <w:rsid w:val="0042293D"/>
    <w:rsid w:val="00422944"/>
    <w:rsid w:val="00422A04"/>
    <w:rsid w:val="00422A17"/>
    <w:rsid w:val="00422A64"/>
    <w:rsid w:val="00422BAC"/>
    <w:rsid w:val="00422D98"/>
    <w:rsid w:val="00422E66"/>
    <w:rsid w:val="00422F40"/>
    <w:rsid w:val="00423007"/>
    <w:rsid w:val="00423010"/>
    <w:rsid w:val="00423198"/>
    <w:rsid w:val="0042319C"/>
    <w:rsid w:val="004232B2"/>
    <w:rsid w:val="00423384"/>
    <w:rsid w:val="00423470"/>
    <w:rsid w:val="004234A7"/>
    <w:rsid w:val="0042357B"/>
    <w:rsid w:val="004235E2"/>
    <w:rsid w:val="0042365F"/>
    <w:rsid w:val="004236D2"/>
    <w:rsid w:val="004236DA"/>
    <w:rsid w:val="00423710"/>
    <w:rsid w:val="0042371D"/>
    <w:rsid w:val="00423915"/>
    <w:rsid w:val="0042392E"/>
    <w:rsid w:val="004239CB"/>
    <w:rsid w:val="00423AA9"/>
    <w:rsid w:val="00423B5B"/>
    <w:rsid w:val="00423B73"/>
    <w:rsid w:val="00423C64"/>
    <w:rsid w:val="00423D5B"/>
    <w:rsid w:val="00423DD9"/>
    <w:rsid w:val="00423DE8"/>
    <w:rsid w:val="00423E0B"/>
    <w:rsid w:val="00423FDF"/>
    <w:rsid w:val="0042422D"/>
    <w:rsid w:val="004242BA"/>
    <w:rsid w:val="004242EA"/>
    <w:rsid w:val="004242F6"/>
    <w:rsid w:val="00424341"/>
    <w:rsid w:val="00424352"/>
    <w:rsid w:val="00424470"/>
    <w:rsid w:val="0042453D"/>
    <w:rsid w:val="00424651"/>
    <w:rsid w:val="00424677"/>
    <w:rsid w:val="00424765"/>
    <w:rsid w:val="004247FE"/>
    <w:rsid w:val="00424823"/>
    <w:rsid w:val="004248A8"/>
    <w:rsid w:val="004248D1"/>
    <w:rsid w:val="0042490A"/>
    <w:rsid w:val="00424A82"/>
    <w:rsid w:val="00424ABE"/>
    <w:rsid w:val="00424AD6"/>
    <w:rsid w:val="00424C35"/>
    <w:rsid w:val="00424F23"/>
    <w:rsid w:val="00424FF7"/>
    <w:rsid w:val="00425036"/>
    <w:rsid w:val="004251B5"/>
    <w:rsid w:val="00425226"/>
    <w:rsid w:val="004252AA"/>
    <w:rsid w:val="004252D8"/>
    <w:rsid w:val="004252E0"/>
    <w:rsid w:val="0042533C"/>
    <w:rsid w:val="0042538C"/>
    <w:rsid w:val="004253B4"/>
    <w:rsid w:val="0042561B"/>
    <w:rsid w:val="00425621"/>
    <w:rsid w:val="00425634"/>
    <w:rsid w:val="0042565A"/>
    <w:rsid w:val="004256E2"/>
    <w:rsid w:val="004257D5"/>
    <w:rsid w:val="004257D7"/>
    <w:rsid w:val="004258B1"/>
    <w:rsid w:val="00425923"/>
    <w:rsid w:val="00425926"/>
    <w:rsid w:val="00425944"/>
    <w:rsid w:val="004259D3"/>
    <w:rsid w:val="004259E5"/>
    <w:rsid w:val="00425A3B"/>
    <w:rsid w:val="00425D1C"/>
    <w:rsid w:val="00425D29"/>
    <w:rsid w:val="00425D61"/>
    <w:rsid w:val="00425D6F"/>
    <w:rsid w:val="00425E2C"/>
    <w:rsid w:val="00425E4B"/>
    <w:rsid w:val="00425EA6"/>
    <w:rsid w:val="00425F20"/>
    <w:rsid w:val="00425F2E"/>
    <w:rsid w:val="00425F88"/>
    <w:rsid w:val="00425FD0"/>
    <w:rsid w:val="00426092"/>
    <w:rsid w:val="00426102"/>
    <w:rsid w:val="00426158"/>
    <w:rsid w:val="004261A3"/>
    <w:rsid w:val="004261DD"/>
    <w:rsid w:val="004261E1"/>
    <w:rsid w:val="004261E8"/>
    <w:rsid w:val="00426236"/>
    <w:rsid w:val="004263C3"/>
    <w:rsid w:val="00426475"/>
    <w:rsid w:val="0042659F"/>
    <w:rsid w:val="004265AF"/>
    <w:rsid w:val="00426672"/>
    <w:rsid w:val="004266D0"/>
    <w:rsid w:val="0042674A"/>
    <w:rsid w:val="0042682E"/>
    <w:rsid w:val="004269B7"/>
    <w:rsid w:val="00426A55"/>
    <w:rsid w:val="00426A87"/>
    <w:rsid w:val="00426C33"/>
    <w:rsid w:val="00426E4F"/>
    <w:rsid w:val="00426EA9"/>
    <w:rsid w:val="00427026"/>
    <w:rsid w:val="00427114"/>
    <w:rsid w:val="0042727F"/>
    <w:rsid w:val="004272E4"/>
    <w:rsid w:val="004273AD"/>
    <w:rsid w:val="004273B5"/>
    <w:rsid w:val="004273F0"/>
    <w:rsid w:val="00427489"/>
    <w:rsid w:val="004274F5"/>
    <w:rsid w:val="004276C5"/>
    <w:rsid w:val="004276CE"/>
    <w:rsid w:val="004277F1"/>
    <w:rsid w:val="00427839"/>
    <w:rsid w:val="00427875"/>
    <w:rsid w:val="0042797B"/>
    <w:rsid w:val="00427A5F"/>
    <w:rsid w:val="00427B9B"/>
    <w:rsid w:val="00427C6E"/>
    <w:rsid w:val="00427CB1"/>
    <w:rsid w:val="00427E3C"/>
    <w:rsid w:val="00427EEC"/>
    <w:rsid w:val="00427FF9"/>
    <w:rsid w:val="00430064"/>
    <w:rsid w:val="00430118"/>
    <w:rsid w:val="0043026A"/>
    <w:rsid w:val="00430307"/>
    <w:rsid w:val="004303DA"/>
    <w:rsid w:val="004304A1"/>
    <w:rsid w:val="00430676"/>
    <w:rsid w:val="00430768"/>
    <w:rsid w:val="004307AD"/>
    <w:rsid w:val="004307B6"/>
    <w:rsid w:val="00430853"/>
    <w:rsid w:val="004309EE"/>
    <w:rsid w:val="00430A0F"/>
    <w:rsid w:val="00430B17"/>
    <w:rsid w:val="00430B6F"/>
    <w:rsid w:val="00430BD0"/>
    <w:rsid w:val="00430C00"/>
    <w:rsid w:val="00430DD7"/>
    <w:rsid w:val="00430EB2"/>
    <w:rsid w:val="00430F32"/>
    <w:rsid w:val="00430FB2"/>
    <w:rsid w:val="004310CD"/>
    <w:rsid w:val="0043116D"/>
    <w:rsid w:val="004312C4"/>
    <w:rsid w:val="004312F6"/>
    <w:rsid w:val="0043143E"/>
    <w:rsid w:val="0043146A"/>
    <w:rsid w:val="0043163E"/>
    <w:rsid w:val="0043164C"/>
    <w:rsid w:val="004316B0"/>
    <w:rsid w:val="00431780"/>
    <w:rsid w:val="0043192C"/>
    <w:rsid w:val="00431A0A"/>
    <w:rsid w:val="00431B85"/>
    <w:rsid w:val="00431D86"/>
    <w:rsid w:val="00431DA0"/>
    <w:rsid w:val="00431DA4"/>
    <w:rsid w:val="00431DE9"/>
    <w:rsid w:val="00431E6D"/>
    <w:rsid w:val="00431E94"/>
    <w:rsid w:val="00431ED9"/>
    <w:rsid w:val="00431FFA"/>
    <w:rsid w:val="00432091"/>
    <w:rsid w:val="00432099"/>
    <w:rsid w:val="004320B6"/>
    <w:rsid w:val="0043213C"/>
    <w:rsid w:val="00432251"/>
    <w:rsid w:val="0043230C"/>
    <w:rsid w:val="00432375"/>
    <w:rsid w:val="0043239B"/>
    <w:rsid w:val="004323FA"/>
    <w:rsid w:val="0043247A"/>
    <w:rsid w:val="004326D2"/>
    <w:rsid w:val="004326E1"/>
    <w:rsid w:val="004326FE"/>
    <w:rsid w:val="00432706"/>
    <w:rsid w:val="00432893"/>
    <w:rsid w:val="00432902"/>
    <w:rsid w:val="00432922"/>
    <w:rsid w:val="00432957"/>
    <w:rsid w:val="0043295A"/>
    <w:rsid w:val="004329BB"/>
    <w:rsid w:val="00432A39"/>
    <w:rsid w:val="00432AD3"/>
    <w:rsid w:val="00432B3B"/>
    <w:rsid w:val="00432C29"/>
    <w:rsid w:val="00432C90"/>
    <w:rsid w:val="00432CB6"/>
    <w:rsid w:val="00432D01"/>
    <w:rsid w:val="00432E3F"/>
    <w:rsid w:val="00432EE4"/>
    <w:rsid w:val="00432F1F"/>
    <w:rsid w:val="00433125"/>
    <w:rsid w:val="00433188"/>
    <w:rsid w:val="0043330F"/>
    <w:rsid w:val="004333E6"/>
    <w:rsid w:val="00433441"/>
    <w:rsid w:val="00433545"/>
    <w:rsid w:val="00433615"/>
    <w:rsid w:val="0043365B"/>
    <w:rsid w:val="004336D2"/>
    <w:rsid w:val="0043370E"/>
    <w:rsid w:val="004337C4"/>
    <w:rsid w:val="004337CD"/>
    <w:rsid w:val="00433909"/>
    <w:rsid w:val="0043396C"/>
    <w:rsid w:val="0043398B"/>
    <w:rsid w:val="004339D6"/>
    <w:rsid w:val="00433A46"/>
    <w:rsid w:val="00433B73"/>
    <w:rsid w:val="00433C5A"/>
    <w:rsid w:val="00433D6F"/>
    <w:rsid w:val="00433DD6"/>
    <w:rsid w:val="00433ECE"/>
    <w:rsid w:val="00433F05"/>
    <w:rsid w:val="00433F10"/>
    <w:rsid w:val="00433F15"/>
    <w:rsid w:val="00434046"/>
    <w:rsid w:val="00434169"/>
    <w:rsid w:val="0043418F"/>
    <w:rsid w:val="0043437F"/>
    <w:rsid w:val="004343C7"/>
    <w:rsid w:val="004343E8"/>
    <w:rsid w:val="004345F5"/>
    <w:rsid w:val="00434676"/>
    <w:rsid w:val="004346BF"/>
    <w:rsid w:val="004346EA"/>
    <w:rsid w:val="00434709"/>
    <w:rsid w:val="00434717"/>
    <w:rsid w:val="00434762"/>
    <w:rsid w:val="0043477A"/>
    <w:rsid w:val="00434934"/>
    <w:rsid w:val="004349D4"/>
    <w:rsid w:val="004349DF"/>
    <w:rsid w:val="00434AED"/>
    <w:rsid w:val="00434B4B"/>
    <w:rsid w:val="00434BB0"/>
    <w:rsid w:val="00434CC5"/>
    <w:rsid w:val="00434CCC"/>
    <w:rsid w:val="00434CF2"/>
    <w:rsid w:val="00434D98"/>
    <w:rsid w:val="00434F22"/>
    <w:rsid w:val="00435049"/>
    <w:rsid w:val="00435105"/>
    <w:rsid w:val="00435160"/>
    <w:rsid w:val="0043523F"/>
    <w:rsid w:val="00435243"/>
    <w:rsid w:val="004353B8"/>
    <w:rsid w:val="004353C5"/>
    <w:rsid w:val="004353D5"/>
    <w:rsid w:val="00435455"/>
    <w:rsid w:val="004354EC"/>
    <w:rsid w:val="00435610"/>
    <w:rsid w:val="00435635"/>
    <w:rsid w:val="00435648"/>
    <w:rsid w:val="0043585E"/>
    <w:rsid w:val="00435890"/>
    <w:rsid w:val="004359EB"/>
    <w:rsid w:val="00435A14"/>
    <w:rsid w:val="00435AC0"/>
    <w:rsid w:val="00435B81"/>
    <w:rsid w:val="00435C5D"/>
    <w:rsid w:val="00435CC1"/>
    <w:rsid w:val="00435CEC"/>
    <w:rsid w:val="00435D0C"/>
    <w:rsid w:val="00435D6A"/>
    <w:rsid w:val="00435D91"/>
    <w:rsid w:val="00435E6C"/>
    <w:rsid w:val="00436127"/>
    <w:rsid w:val="00436168"/>
    <w:rsid w:val="0043622F"/>
    <w:rsid w:val="00436268"/>
    <w:rsid w:val="004362FC"/>
    <w:rsid w:val="00436330"/>
    <w:rsid w:val="0043633F"/>
    <w:rsid w:val="00436447"/>
    <w:rsid w:val="0043647E"/>
    <w:rsid w:val="004367F8"/>
    <w:rsid w:val="00436845"/>
    <w:rsid w:val="004368AA"/>
    <w:rsid w:val="0043690B"/>
    <w:rsid w:val="0043695F"/>
    <w:rsid w:val="004369A4"/>
    <w:rsid w:val="00436A8E"/>
    <w:rsid w:val="00436AA7"/>
    <w:rsid w:val="00436B6C"/>
    <w:rsid w:val="00436BC4"/>
    <w:rsid w:val="00436D70"/>
    <w:rsid w:val="00436E42"/>
    <w:rsid w:val="00436FDB"/>
    <w:rsid w:val="0043709B"/>
    <w:rsid w:val="0043709E"/>
    <w:rsid w:val="0043715C"/>
    <w:rsid w:val="004371EF"/>
    <w:rsid w:val="00437280"/>
    <w:rsid w:val="00437385"/>
    <w:rsid w:val="004373AF"/>
    <w:rsid w:val="0043742D"/>
    <w:rsid w:val="0043744C"/>
    <w:rsid w:val="0043749A"/>
    <w:rsid w:val="0043750A"/>
    <w:rsid w:val="004375D6"/>
    <w:rsid w:val="00437603"/>
    <w:rsid w:val="00437701"/>
    <w:rsid w:val="004378E2"/>
    <w:rsid w:val="004378F8"/>
    <w:rsid w:val="004379C1"/>
    <w:rsid w:val="004379EF"/>
    <w:rsid w:val="00437A4B"/>
    <w:rsid w:val="00437B9F"/>
    <w:rsid w:val="00437C55"/>
    <w:rsid w:val="00437CBF"/>
    <w:rsid w:val="00437CE5"/>
    <w:rsid w:val="00437E03"/>
    <w:rsid w:val="00437F76"/>
    <w:rsid w:val="004400CF"/>
    <w:rsid w:val="00440140"/>
    <w:rsid w:val="00440263"/>
    <w:rsid w:val="004402BB"/>
    <w:rsid w:val="004402E5"/>
    <w:rsid w:val="00440339"/>
    <w:rsid w:val="0044044E"/>
    <w:rsid w:val="00440539"/>
    <w:rsid w:val="004405FB"/>
    <w:rsid w:val="00440748"/>
    <w:rsid w:val="0044079F"/>
    <w:rsid w:val="0044086F"/>
    <w:rsid w:val="00440A4A"/>
    <w:rsid w:val="00440A68"/>
    <w:rsid w:val="00440A72"/>
    <w:rsid w:val="00440AB6"/>
    <w:rsid w:val="00440D5B"/>
    <w:rsid w:val="00440DE0"/>
    <w:rsid w:val="00440E2E"/>
    <w:rsid w:val="00440F36"/>
    <w:rsid w:val="0044103B"/>
    <w:rsid w:val="004410A1"/>
    <w:rsid w:val="004410D0"/>
    <w:rsid w:val="0044112C"/>
    <w:rsid w:val="0044118D"/>
    <w:rsid w:val="00441249"/>
    <w:rsid w:val="0044128F"/>
    <w:rsid w:val="004413FD"/>
    <w:rsid w:val="004414A6"/>
    <w:rsid w:val="00441606"/>
    <w:rsid w:val="00441673"/>
    <w:rsid w:val="004416AF"/>
    <w:rsid w:val="004416BC"/>
    <w:rsid w:val="004417A5"/>
    <w:rsid w:val="0044185A"/>
    <w:rsid w:val="004418BC"/>
    <w:rsid w:val="0044198A"/>
    <w:rsid w:val="00441A84"/>
    <w:rsid w:val="00441BEA"/>
    <w:rsid w:val="00441BEB"/>
    <w:rsid w:val="00441D5E"/>
    <w:rsid w:val="00441E2D"/>
    <w:rsid w:val="00441E70"/>
    <w:rsid w:val="00441FDF"/>
    <w:rsid w:val="004420CC"/>
    <w:rsid w:val="00442302"/>
    <w:rsid w:val="0044235E"/>
    <w:rsid w:val="00442396"/>
    <w:rsid w:val="004423B2"/>
    <w:rsid w:val="004423F8"/>
    <w:rsid w:val="0044244A"/>
    <w:rsid w:val="004424BE"/>
    <w:rsid w:val="00442628"/>
    <w:rsid w:val="00442632"/>
    <w:rsid w:val="00442650"/>
    <w:rsid w:val="004426D0"/>
    <w:rsid w:val="00442762"/>
    <w:rsid w:val="0044294A"/>
    <w:rsid w:val="00442A6A"/>
    <w:rsid w:val="00442A77"/>
    <w:rsid w:val="00442BB4"/>
    <w:rsid w:val="00442C9C"/>
    <w:rsid w:val="00442D23"/>
    <w:rsid w:val="00442DE2"/>
    <w:rsid w:val="00442E56"/>
    <w:rsid w:val="00442F85"/>
    <w:rsid w:val="0044300D"/>
    <w:rsid w:val="004430F2"/>
    <w:rsid w:val="00443122"/>
    <w:rsid w:val="0044312E"/>
    <w:rsid w:val="004431AE"/>
    <w:rsid w:val="0044344C"/>
    <w:rsid w:val="0044354E"/>
    <w:rsid w:val="00443580"/>
    <w:rsid w:val="00443811"/>
    <w:rsid w:val="00443961"/>
    <w:rsid w:val="00443A25"/>
    <w:rsid w:val="00443AA9"/>
    <w:rsid w:val="00443ABE"/>
    <w:rsid w:val="00443B2D"/>
    <w:rsid w:val="00443DD7"/>
    <w:rsid w:val="00443E20"/>
    <w:rsid w:val="00443EF8"/>
    <w:rsid w:val="00443FDC"/>
    <w:rsid w:val="0044417E"/>
    <w:rsid w:val="004441C6"/>
    <w:rsid w:val="0044423A"/>
    <w:rsid w:val="00444291"/>
    <w:rsid w:val="0044429B"/>
    <w:rsid w:val="00444337"/>
    <w:rsid w:val="0044435A"/>
    <w:rsid w:val="004443B8"/>
    <w:rsid w:val="0044441E"/>
    <w:rsid w:val="004444B2"/>
    <w:rsid w:val="00444535"/>
    <w:rsid w:val="00444554"/>
    <w:rsid w:val="004445B8"/>
    <w:rsid w:val="004445DD"/>
    <w:rsid w:val="00444631"/>
    <w:rsid w:val="00444706"/>
    <w:rsid w:val="00444857"/>
    <w:rsid w:val="004448B1"/>
    <w:rsid w:val="00444996"/>
    <w:rsid w:val="004449B4"/>
    <w:rsid w:val="00444AA6"/>
    <w:rsid w:val="00444AF4"/>
    <w:rsid w:val="00444B0C"/>
    <w:rsid w:val="00444B27"/>
    <w:rsid w:val="00444B7C"/>
    <w:rsid w:val="00444B90"/>
    <w:rsid w:val="00444BF1"/>
    <w:rsid w:val="00444CA0"/>
    <w:rsid w:val="00444D2B"/>
    <w:rsid w:val="00444D76"/>
    <w:rsid w:val="00444D8C"/>
    <w:rsid w:val="00444E21"/>
    <w:rsid w:val="00444F3B"/>
    <w:rsid w:val="00444F88"/>
    <w:rsid w:val="00444F91"/>
    <w:rsid w:val="00445025"/>
    <w:rsid w:val="004450C0"/>
    <w:rsid w:val="00445107"/>
    <w:rsid w:val="00445151"/>
    <w:rsid w:val="00445159"/>
    <w:rsid w:val="004451C5"/>
    <w:rsid w:val="00445214"/>
    <w:rsid w:val="00445304"/>
    <w:rsid w:val="004454C0"/>
    <w:rsid w:val="004454C2"/>
    <w:rsid w:val="004455A9"/>
    <w:rsid w:val="0044573D"/>
    <w:rsid w:val="004457C4"/>
    <w:rsid w:val="0044582E"/>
    <w:rsid w:val="0044592C"/>
    <w:rsid w:val="0044598C"/>
    <w:rsid w:val="00445A3B"/>
    <w:rsid w:val="00445B89"/>
    <w:rsid w:val="00445BCF"/>
    <w:rsid w:val="00445EF0"/>
    <w:rsid w:val="00445F1D"/>
    <w:rsid w:val="00445F1E"/>
    <w:rsid w:val="00445FA8"/>
    <w:rsid w:val="00446010"/>
    <w:rsid w:val="004460A5"/>
    <w:rsid w:val="00446139"/>
    <w:rsid w:val="0044616F"/>
    <w:rsid w:val="0044617C"/>
    <w:rsid w:val="004461A5"/>
    <w:rsid w:val="004463EF"/>
    <w:rsid w:val="004464BD"/>
    <w:rsid w:val="004464FC"/>
    <w:rsid w:val="00446523"/>
    <w:rsid w:val="004465BA"/>
    <w:rsid w:val="0044669D"/>
    <w:rsid w:val="004466A6"/>
    <w:rsid w:val="0044673D"/>
    <w:rsid w:val="00446831"/>
    <w:rsid w:val="0044685B"/>
    <w:rsid w:val="00446A35"/>
    <w:rsid w:val="00446D54"/>
    <w:rsid w:val="00446D5B"/>
    <w:rsid w:val="00446D8C"/>
    <w:rsid w:val="00446D9A"/>
    <w:rsid w:val="00446EEA"/>
    <w:rsid w:val="00446FA0"/>
    <w:rsid w:val="004471F7"/>
    <w:rsid w:val="00447301"/>
    <w:rsid w:val="0044733C"/>
    <w:rsid w:val="00447456"/>
    <w:rsid w:val="004474C0"/>
    <w:rsid w:val="00447555"/>
    <w:rsid w:val="004475AF"/>
    <w:rsid w:val="00447611"/>
    <w:rsid w:val="00447658"/>
    <w:rsid w:val="0044767F"/>
    <w:rsid w:val="004476B2"/>
    <w:rsid w:val="004476C7"/>
    <w:rsid w:val="00447820"/>
    <w:rsid w:val="00447991"/>
    <w:rsid w:val="004479B6"/>
    <w:rsid w:val="00447A69"/>
    <w:rsid w:val="00447B8D"/>
    <w:rsid w:val="00447BEF"/>
    <w:rsid w:val="00447C43"/>
    <w:rsid w:val="00447CB1"/>
    <w:rsid w:val="00447D3B"/>
    <w:rsid w:val="00447DAD"/>
    <w:rsid w:val="00447F54"/>
    <w:rsid w:val="00450007"/>
    <w:rsid w:val="00450152"/>
    <w:rsid w:val="004501A0"/>
    <w:rsid w:val="004502E1"/>
    <w:rsid w:val="004503DA"/>
    <w:rsid w:val="00450448"/>
    <w:rsid w:val="00450469"/>
    <w:rsid w:val="0045067F"/>
    <w:rsid w:val="00450885"/>
    <w:rsid w:val="004508EC"/>
    <w:rsid w:val="004508F2"/>
    <w:rsid w:val="004508FB"/>
    <w:rsid w:val="0045094D"/>
    <w:rsid w:val="004509AC"/>
    <w:rsid w:val="004509FF"/>
    <w:rsid w:val="00450A00"/>
    <w:rsid w:val="00450B4B"/>
    <w:rsid w:val="00450B5A"/>
    <w:rsid w:val="00450BE1"/>
    <w:rsid w:val="00450D32"/>
    <w:rsid w:val="00450D46"/>
    <w:rsid w:val="00450F09"/>
    <w:rsid w:val="00450F4B"/>
    <w:rsid w:val="00451164"/>
    <w:rsid w:val="00451179"/>
    <w:rsid w:val="004511E2"/>
    <w:rsid w:val="0045120C"/>
    <w:rsid w:val="0045120D"/>
    <w:rsid w:val="00451277"/>
    <w:rsid w:val="0045128A"/>
    <w:rsid w:val="004512C9"/>
    <w:rsid w:val="004513A1"/>
    <w:rsid w:val="004513DD"/>
    <w:rsid w:val="004513E3"/>
    <w:rsid w:val="004515DE"/>
    <w:rsid w:val="00451617"/>
    <w:rsid w:val="0045176E"/>
    <w:rsid w:val="00451860"/>
    <w:rsid w:val="00451916"/>
    <w:rsid w:val="00451A81"/>
    <w:rsid w:val="00451B4E"/>
    <w:rsid w:val="00451CF2"/>
    <w:rsid w:val="00451D44"/>
    <w:rsid w:val="00451E62"/>
    <w:rsid w:val="00451EFA"/>
    <w:rsid w:val="00451F34"/>
    <w:rsid w:val="00451F4E"/>
    <w:rsid w:val="00451FD6"/>
    <w:rsid w:val="00451FF9"/>
    <w:rsid w:val="00452129"/>
    <w:rsid w:val="0045224D"/>
    <w:rsid w:val="004522EC"/>
    <w:rsid w:val="004522FD"/>
    <w:rsid w:val="00452475"/>
    <w:rsid w:val="004524A9"/>
    <w:rsid w:val="004524AE"/>
    <w:rsid w:val="004524F9"/>
    <w:rsid w:val="0045253E"/>
    <w:rsid w:val="004526A8"/>
    <w:rsid w:val="004526A9"/>
    <w:rsid w:val="004526EB"/>
    <w:rsid w:val="00452728"/>
    <w:rsid w:val="00452971"/>
    <w:rsid w:val="004529E7"/>
    <w:rsid w:val="00452BEC"/>
    <w:rsid w:val="00452C26"/>
    <w:rsid w:val="00452C8E"/>
    <w:rsid w:val="00452D73"/>
    <w:rsid w:val="00452E2D"/>
    <w:rsid w:val="00452E34"/>
    <w:rsid w:val="00452F60"/>
    <w:rsid w:val="00452FAA"/>
    <w:rsid w:val="0045307A"/>
    <w:rsid w:val="00453160"/>
    <w:rsid w:val="0045318D"/>
    <w:rsid w:val="004531F0"/>
    <w:rsid w:val="0045324E"/>
    <w:rsid w:val="004533AC"/>
    <w:rsid w:val="004533B8"/>
    <w:rsid w:val="004533BD"/>
    <w:rsid w:val="00453413"/>
    <w:rsid w:val="0045343E"/>
    <w:rsid w:val="00453481"/>
    <w:rsid w:val="004534EE"/>
    <w:rsid w:val="0045357A"/>
    <w:rsid w:val="004535B3"/>
    <w:rsid w:val="004536F0"/>
    <w:rsid w:val="004538EF"/>
    <w:rsid w:val="00453965"/>
    <w:rsid w:val="00453A57"/>
    <w:rsid w:val="00453AA5"/>
    <w:rsid w:val="00453AEE"/>
    <w:rsid w:val="00453B64"/>
    <w:rsid w:val="00453B71"/>
    <w:rsid w:val="00453C34"/>
    <w:rsid w:val="00453EB6"/>
    <w:rsid w:val="00453EF9"/>
    <w:rsid w:val="00453F18"/>
    <w:rsid w:val="00453F80"/>
    <w:rsid w:val="0045417C"/>
    <w:rsid w:val="00454409"/>
    <w:rsid w:val="0045445E"/>
    <w:rsid w:val="00454474"/>
    <w:rsid w:val="004545CA"/>
    <w:rsid w:val="0045463B"/>
    <w:rsid w:val="00454674"/>
    <w:rsid w:val="004546E4"/>
    <w:rsid w:val="004547BF"/>
    <w:rsid w:val="004547E8"/>
    <w:rsid w:val="0045484C"/>
    <w:rsid w:val="00454873"/>
    <w:rsid w:val="004548D3"/>
    <w:rsid w:val="004548EC"/>
    <w:rsid w:val="004548EE"/>
    <w:rsid w:val="0045493E"/>
    <w:rsid w:val="0045496E"/>
    <w:rsid w:val="004549C2"/>
    <w:rsid w:val="00454B03"/>
    <w:rsid w:val="00454BD7"/>
    <w:rsid w:val="00454C05"/>
    <w:rsid w:val="00454C06"/>
    <w:rsid w:val="00454D57"/>
    <w:rsid w:val="00454DF0"/>
    <w:rsid w:val="00454EAC"/>
    <w:rsid w:val="00454F25"/>
    <w:rsid w:val="00454F8B"/>
    <w:rsid w:val="00454FC9"/>
    <w:rsid w:val="00454FFB"/>
    <w:rsid w:val="00455032"/>
    <w:rsid w:val="00455059"/>
    <w:rsid w:val="00455290"/>
    <w:rsid w:val="004552FE"/>
    <w:rsid w:val="00455323"/>
    <w:rsid w:val="004553E8"/>
    <w:rsid w:val="004553EB"/>
    <w:rsid w:val="00455402"/>
    <w:rsid w:val="004554E0"/>
    <w:rsid w:val="00455504"/>
    <w:rsid w:val="0045564C"/>
    <w:rsid w:val="00455663"/>
    <w:rsid w:val="004556DF"/>
    <w:rsid w:val="004556E8"/>
    <w:rsid w:val="0045583C"/>
    <w:rsid w:val="00455AB1"/>
    <w:rsid w:val="00455B42"/>
    <w:rsid w:val="00455B7B"/>
    <w:rsid w:val="00455B86"/>
    <w:rsid w:val="00455D70"/>
    <w:rsid w:val="00455D9A"/>
    <w:rsid w:val="00455DA9"/>
    <w:rsid w:val="00455DBE"/>
    <w:rsid w:val="00455E59"/>
    <w:rsid w:val="00455F26"/>
    <w:rsid w:val="00455FE9"/>
    <w:rsid w:val="00456067"/>
    <w:rsid w:val="0045612B"/>
    <w:rsid w:val="004562B1"/>
    <w:rsid w:val="0045637B"/>
    <w:rsid w:val="00456402"/>
    <w:rsid w:val="0045645A"/>
    <w:rsid w:val="00456541"/>
    <w:rsid w:val="0045659A"/>
    <w:rsid w:val="004565E8"/>
    <w:rsid w:val="00456618"/>
    <w:rsid w:val="00456671"/>
    <w:rsid w:val="004566E4"/>
    <w:rsid w:val="004567D1"/>
    <w:rsid w:val="00456833"/>
    <w:rsid w:val="004568C9"/>
    <w:rsid w:val="004568F9"/>
    <w:rsid w:val="004568FE"/>
    <w:rsid w:val="00456903"/>
    <w:rsid w:val="0045694B"/>
    <w:rsid w:val="00456A39"/>
    <w:rsid w:val="00456A9F"/>
    <w:rsid w:val="00456B07"/>
    <w:rsid w:val="00456B79"/>
    <w:rsid w:val="00456C4B"/>
    <w:rsid w:val="00456C89"/>
    <w:rsid w:val="00456D94"/>
    <w:rsid w:val="00456DD2"/>
    <w:rsid w:val="00456F86"/>
    <w:rsid w:val="00456FA1"/>
    <w:rsid w:val="00456FCB"/>
    <w:rsid w:val="0045704F"/>
    <w:rsid w:val="0045706E"/>
    <w:rsid w:val="004570C9"/>
    <w:rsid w:val="00457126"/>
    <w:rsid w:val="00457128"/>
    <w:rsid w:val="0045712C"/>
    <w:rsid w:val="00457138"/>
    <w:rsid w:val="00457157"/>
    <w:rsid w:val="00457251"/>
    <w:rsid w:val="004573A7"/>
    <w:rsid w:val="00457412"/>
    <w:rsid w:val="0045752C"/>
    <w:rsid w:val="00457580"/>
    <w:rsid w:val="004575CF"/>
    <w:rsid w:val="004576B4"/>
    <w:rsid w:val="004577D6"/>
    <w:rsid w:val="00457A2A"/>
    <w:rsid w:val="00457A3B"/>
    <w:rsid w:val="00457AE2"/>
    <w:rsid w:val="00457C2B"/>
    <w:rsid w:val="00457C3E"/>
    <w:rsid w:val="00457C5A"/>
    <w:rsid w:val="00457C85"/>
    <w:rsid w:val="00457CC1"/>
    <w:rsid w:val="00457EFF"/>
    <w:rsid w:val="00457F25"/>
    <w:rsid w:val="00457F7F"/>
    <w:rsid w:val="00457F93"/>
    <w:rsid w:val="00457FA7"/>
    <w:rsid w:val="00457FBA"/>
    <w:rsid w:val="00460094"/>
    <w:rsid w:val="0046017B"/>
    <w:rsid w:val="0046019F"/>
    <w:rsid w:val="004601E1"/>
    <w:rsid w:val="004602DB"/>
    <w:rsid w:val="00460328"/>
    <w:rsid w:val="00460395"/>
    <w:rsid w:val="00460446"/>
    <w:rsid w:val="00460489"/>
    <w:rsid w:val="0046051B"/>
    <w:rsid w:val="00460570"/>
    <w:rsid w:val="00460597"/>
    <w:rsid w:val="004605DB"/>
    <w:rsid w:val="004605ED"/>
    <w:rsid w:val="004606D9"/>
    <w:rsid w:val="00460736"/>
    <w:rsid w:val="004607EF"/>
    <w:rsid w:val="0046080E"/>
    <w:rsid w:val="00460898"/>
    <w:rsid w:val="004608A3"/>
    <w:rsid w:val="0046093D"/>
    <w:rsid w:val="0046095B"/>
    <w:rsid w:val="00460BDD"/>
    <w:rsid w:val="00460BF8"/>
    <w:rsid w:val="00460BF9"/>
    <w:rsid w:val="00460C89"/>
    <w:rsid w:val="00460CBC"/>
    <w:rsid w:val="00460CC5"/>
    <w:rsid w:val="00460D62"/>
    <w:rsid w:val="00460D95"/>
    <w:rsid w:val="00460DCF"/>
    <w:rsid w:val="00460DF0"/>
    <w:rsid w:val="00460EA2"/>
    <w:rsid w:val="00460F12"/>
    <w:rsid w:val="00461013"/>
    <w:rsid w:val="0046103A"/>
    <w:rsid w:val="00461067"/>
    <w:rsid w:val="004610A8"/>
    <w:rsid w:val="004611B7"/>
    <w:rsid w:val="00461213"/>
    <w:rsid w:val="00461242"/>
    <w:rsid w:val="004614DE"/>
    <w:rsid w:val="004614F2"/>
    <w:rsid w:val="0046165C"/>
    <w:rsid w:val="004616FB"/>
    <w:rsid w:val="004617E6"/>
    <w:rsid w:val="0046183C"/>
    <w:rsid w:val="004618AB"/>
    <w:rsid w:val="00461921"/>
    <w:rsid w:val="00461925"/>
    <w:rsid w:val="00461980"/>
    <w:rsid w:val="004619EE"/>
    <w:rsid w:val="00461A14"/>
    <w:rsid w:val="00461A30"/>
    <w:rsid w:val="00461A91"/>
    <w:rsid w:val="00461C29"/>
    <w:rsid w:val="00461C6A"/>
    <w:rsid w:val="00461D25"/>
    <w:rsid w:val="00461DED"/>
    <w:rsid w:val="00461E15"/>
    <w:rsid w:val="00461E16"/>
    <w:rsid w:val="004621C1"/>
    <w:rsid w:val="0046222A"/>
    <w:rsid w:val="00462284"/>
    <w:rsid w:val="004622FD"/>
    <w:rsid w:val="004623AE"/>
    <w:rsid w:val="00462568"/>
    <w:rsid w:val="004625A6"/>
    <w:rsid w:val="00462606"/>
    <w:rsid w:val="004626E9"/>
    <w:rsid w:val="0046270F"/>
    <w:rsid w:val="0046273C"/>
    <w:rsid w:val="00462840"/>
    <w:rsid w:val="00462B5D"/>
    <w:rsid w:val="00462BD6"/>
    <w:rsid w:val="00462C3C"/>
    <w:rsid w:val="00462C5E"/>
    <w:rsid w:val="00462D13"/>
    <w:rsid w:val="00462D5F"/>
    <w:rsid w:val="00462D75"/>
    <w:rsid w:val="00462E0A"/>
    <w:rsid w:val="00462E27"/>
    <w:rsid w:val="00462E89"/>
    <w:rsid w:val="0046304E"/>
    <w:rsid w:val="00463077"/>
    <w:rsid w:val="004630D6"/>
    <w:rsid w:val="004630FE"/>
    <w:rsid w:val="00463154"/>
    <w:rsid w:val="00463399"/>
    <w:rsid w:val="0046343F"/>
    <w:rsid w:val="004634B6"/>
    <w:rsid w:val="004634C4"/>
    <w:rsid w:val="004635C9"/>
    <w:rsid w:val="0046363A"/>
    <w:rsid w:val="004636E7"/>
    <w:rsid w:val="0046370B"/>
    <w:rsid w:val="0046377C"/>
    <w:rsid w:val="004638D5"/>
    <w:rsid w:val="00463974"/>
    <w:rsid w:val="00463AC7"/>
    <w:rsid w:val="00463ACA"/>
    <w:rsid w:val="00463BEE"/>
    <w:rsid w:val="00463DA1"/>
    <w:rsid w:val="00463DB3"/>
    <w:rsid w:val="00463DEC"/>
    <w:rsid w:val="00463E3E"/>
    <w:rsid w:val="00463E6B"/>
    <w:rsid w:val="00463E81"/>
    <w:rsid w:val="00463E8C"/>
    <w:rsid w:val="00463FBF"/>
    <w:rsid w:val="00463FC8"/>
    <w:rsid w:val="00464060"/>
    <w:rsid w:val="00464073"/>
    <w:rsid w:val="00464178"/>
    <w:rsid w:val="00464235"/>
    <w:rsid w:val="00464243"/>
    <w:rsid w:val="00464308"/>
    <w:rsid w:val="00464392"/>
    <w:rsid w:val="004643B5"/>
    <w:rsid w:val="004644FB"/>
    <w:rsid w:val="004645AA"/>
    <w:rsid w:val="00464620"/>
    <w:rsid w:val="0046463D"/>
    <w:rsid w:val="00464661"/>
    <w:rsid w:val="0046475D"/>
    <w:rsid w:val="004647B9"/>
    <w:rsid w:val="004647D9"/>
    <w:rsid w:val="0046485B"/>
    <w:rsid w:val="0046488C"/>
    <w:rsid w:val="00464908"/>
    <w:rsid w:val="00464924"/>
    <w:rsid w:val="00464937"/>
    <w:rsid w:val="004649BA"/>
    <w:rsid w:val="00464A73"/>
    <w:rsid w:val="00464A99"/>
    <w:rsid w:val="00464B19"/>
    <w:rsid w:val="00464B48"/>
    <w:rsid w:val="00464B87"/>
    <w:rsid w:val="00464B98"/>
    <w:rsid w:val="00464C8E"/>
    <w:rsid w:val="00464DDB"/>
    <w:rsid w:val="00464EC0"/>
    <w:rsid w:val="00464EDD"/>
    <w:rsid w:val="00464F29"/>
    <w:rsid w:val="00464FD2"/>
    <w:rsid w:val="00465035"/>
    <w:rsid w:val="00465064"/>
    <w:rsid w:val="00465088"/>
    <w:rsid w:val="004650E0"/>
    <w:rsid w:val="00465231"/>
    <w:rsid w:val="00465244"/>
    <w:rsid w:val="0046524D"/>
    <w:rsid w:val="0046527C"/>
    <w:rsid w:val="00465376"/>
    <w:rsid w:val="0046548B"/>
    <w:rsid w:val="004654CD"/>
    <w:rsid w:val="00465524"/>
    <w:rsid w:val="004655A8"/>
    <w:rsid w:val="00465622"/>
    <w:rsid w:val="00465692"/>
    <w:rsid w:val="00465699"/>
    <w:rsid w:val="00465871"/>
    <w:rsid w:val="004658AB"/>
    <w:rsid w:val="00465B0C"/>
    <w:rsid w:val="00465BBA"/>
    <w:rsid w:val="00465C3F"/>
    <w:rsid w:val="00465CC9"/>
    <w:rsid w:val="00465E75"/>
    <w:rsid w:val="00465E85"/>
    <w:rsid w:val="00465EB0"/>
    <w:rsid w:val="00465ECE"/>
    <w:rsid w:val="00465EF2"/>
    <w:rsid w:val="00465F46"/>
    <w:rsid w:val="00465F52"/>
    <w:rsid w:val="00465FAA"/>
    <w:rsid w:val="00465FAF"/>
    <w:rsid w:val="00465FC8"/>
    <w:rsid w:val="004660C2"/>
    <w:rsid w:val="004660D6"/>
    <w:rsid w:val="0046613D"/>
    <w:rsid w:val="0046615D"/>
    <w:rsid w:val="00466197"/>
    <w:rsid w:val="004661B1"/>
    <w:rsid w:val="004661F5"/>
    <w:rsid w:val="00466699"/>
    <w:rsid w:val="004666FD"/>
    <w:rsid w:val="0046672F"/>
    <w:rsid w:val="00466824"/>
    <w:rsid w:val="00466850"/>
    <w:rsid w:val="004669C3"/>
    <w:rsid w:val="00466A61"/>
    <w:rsid w:val="00466AD0"/>
    <w:rsid w:val="00466AF3"/>
    <w:rsid w:val="00466B31"/>
    <w:rsid w:val="00466B3E"/>
    <w:rsid w:val="00466B7B"/>
    <w:rsid w:val="00466BB3"/>
    <w:rsid w:val="00466BC1"/>
    <w:rsid w:val="00466E44"/>
    <w:rsid w:val="00466EC3"/>
    <w:rsid w:val="00466F92"/>
    <w:rsid w:val="00467098"/>
    <w:rsid w:val="004670E8"/>
    <w:rsid w:val="004671C4"/>
    <w:rsid w:val="004672CD"/>
    <w:rsid w:val="00467348"/>
    <w:rsid w:val="004673CC"/>
    <w:rsid w:val="00467489"/>
    <w:rsid w:val="0046754B"/>
    <w:rsid w:val="004675A4"/>
    <w:rsid w:val="004675DB"/>
    <w:rsid w:val="004675DD"/>
    <w:rsid w:val="0046769C"/>
    <w:rsid w:val="004676A7"/>
    <w:rsid w:val="004676F7"/>
    <w:rsid w:val="00467A88"/>
    <w:rsid w:val="00467ADB"/>
    <w:rsid w:val="00467B01"/>
    <w:rsid w:val="00467B16"/>
    <w:rsid w:val="00467C8D"/>
    <w:rsid w:val="00467D61"/>
    <w:rsid w:val="00467DB6"/>
    <w:rsid w:val="00470143"/>
    <w:rsid w:val="004701A1"/>
    <w:rsid w:val="004702C9"/>
    <w:rsid w:val="00470381"/>
    <w:rsid w:val="0047040D"/>
    <w:rsid w:val="004704D3"/>
    <w:rsid w:val="0047063C"/>
    <w:rsid w:val="0047063F"/>
    <w:rsid w:val="004706BC"/>
    <w:rsid w:val="00470727"/>
    <w:rsid w:val="00470754"/>
    <w:rsid w:val="00470801"/>
    <w:rsid w:val="00470949"/>
    <w:rsid w:val="00470A43"/>
    <w:rsid w:val="00470C10"/>
    <w:rsid w:val="00470C31"/>
    <w:rsid w:val="00470C9D"/>
    <w:rsid w:val="00470CE1"/>
    <w:rsid w:val="00470E2F"/>
    <w:rsid w:val="00470E73"/>
    <w:rsid w:val="00470EC9"/>
    <w:rsid w:val="00471077"/>
    <w:rsid w:val="004710B4"/>
    <w:rsid w:val="00471265"/>
    <w:rsid w:val="004712A3"/>
    <w:rsid w:val="004712B2"/>
    <w:rsid w:val="004712E7"/>
    <w:rsid w:val="004713C3"/>
    <w:rsid w:val="004713DD"/>
    <w:rsid w:val="0047140D"/>
    <w:rsid w:val="00471498"/>
    <w:rsid w:val="00471507"/>
    <w:rsid w:val="0047151D"/>
    <w:rsid w:val="0047153F"/>
    <w:rsid w:val="00471602"/>
    <w:rsid w:val="004716C1"/>
    <w:rsid w:val="004716DC"/>
    <w:rsid w:val="00471807"/>
    <w:rsid w:val="0047180C"/>
    <w:rsid w:val="004718B4"/>
    <w:rsid w:val="00471911"/>
    <w:rsid w:val="004719A6"/>
    <w:rsid w:val="00471ABF"/>
    <w:rsid w:val="00471B09"/>
    <w:rsid w:val="00471BBA"/>
    <w:rsid w:val="00471BCB"/>
    <w:rsid w:val="00471BDA"/>
    <w:rsid w:val="00471EC8"/>
    <w:rsid w:val="00471F4B"/>
    <w:rsid w:val="00471F66"/>
    <w:rsid w:val="0047205F"/>
    <w:rsid w:val="004721A4"/>
    <w:rsid w:val="004724C5"/>
    <w:rsid w:val="00472591"/>
    <w:rsid w:val="004725CC"/>
    <w:rsid w:val="0047263B"/>
    <w:rsid w:val="00472665"/>
    <w:rsid w:val="004726B9"/>
    <w:rsid w:val="00472709"/>
    <w:rsid w:val="004727C5"/>
    <w:rsid w:val="004727D3"/>
    <w:rsid w:val="004727EA"/>
    <w:rsid w:val="00472839"/>
    <w:rsid w:val="00472870"/>
    <w:rsid w:val="00472871"/>
    <w:rsid w:val="00472933"/>
    <w:rsid w:val="0047298A"/>
    <w:rsid w:val="004729ED"/>
    <w:rsid w:val="00472A90"/>
    <w:rsid w:val="00472AF4"/>
    <w:rsid w:val="00472C3E"/>
    <w:rsid w:val="00472CBF"/>
    <w:rsid w:val="00472E66"/>
    <w:rsid w:val="00472E8B"/>
    <w:rsid w:val="00472F8C"/>
    <w:rsid w:val="00472FB4"/>
    <w:rsid w:val="00473008"/>
    <w:rsid w:val="004732E5"/>
    <w:rsid w:val="00473309"/>
    <w:rsid w:val="00473430"/>
    <w:rsid w:val="00473441"/>
    <w:rsid w:val="004734AF"/>
    <w:rsid w:val="004734E3"/>
    <w:rsid w:val="004734F5"/>
    <w:rsid w:val="0047354E"/>
    <w:rsid w:val="004736EE"/>
    <w:rsid w:val="004737FF"/>
    <w:rsid w:val="00473837"/>
    <w:rsid w:val="004739CF"/>
    <w:rsid w:val="004739DB"/>
    <w:rsid w:val="00473B83"/>
    <w:rsid w:val="00473B94"/>
    <w:rsid w:val="00473BFE"/>
    <w:rsid w:val="00473E02"/>
    <w:rsid w:val="00473E0A"/>
    <w:rsid w:val="00473E1A"/>
    <w:rsid w:val="00473E2D"/>
    <w:rsid w:val="00473E36"/>
    <w:rsid w:val="00473F83"/>
    <w:rsid w:val="00473FB1"/>
    <w:rsid w:val="0047406F"/>
    <w:rsid w:val="00474078"/>
    <w:rsid w:val="0047408C"/>
    <w:rsid w:val="004740B6"/>
    <w:rsid w:val="0047412D"/>
    <w:rsid w:val="0047421F"/>
    <w:rsid w:val="004742AB"/>
    <w:rsid w:val="004742B8"/>
    <w:rsid w:val="00474361"/>
    <w:rsid w:val="0047436A"/>
    <w:rsid w:val="00474387"/>
    <w:rsid w:val="004743E4"/>
    <w:rsid w:val="004743FE"/>
    <w:rsid w:val="004744D8"/>
    <w:rsid w:val="004745DF"/>
    <w:rsid w:val="004745F4"/>
    <w:rsid w:val="004747AA"/>
    <w:rsid w:val="00474866"/>
    <w:rsid w:val="004748A4"/>
    <w:rsid w:val="004748A8"/>
    <w:rsid w:val="00474909"/>
    <w:rsid w:val="00474955"/>
    <w:rsid w:val="00474973"/>
    <w:rsid w:val="004749A6"/>
    <w:rsid w:val="00474A3D"/>
    <w:rsid w:val="00474A6E"/>
    <w:rsid w:val="00474B0E"/>
    <w:rsid w:val="00474B6C"/>
    <w:rsid w:val="00474B90"/>
    <w:rsid w:val="00474CB7"/>
    <w:rsid w:val="00474D3F"/>
    <w:rsid w:val="00474D43"/>
    <w:rsid w:val="00474DE3"/>
    <w:rsid w:val="00474E52"/>
    <w:rsid w:val="00474E64"/>
    <w:rsid w:val="00474ECA"/>
    <w:rsid w:val="0047502C"/>
    <w:rsid w:val="00475053"/>
    <w:rsid w:val="0047505A"/>
    <w:rsid w:val="00475106"/>
    <w:rsid w:val="0047517E"/>
    <w:rsid w:val="00475388"/>
    <w:rsid w:val="00475470"/>
    <w:rsid w:val="0047548B"/>
    <w:rsid w:val="0047548E"/>
    <w:rsid w:val="004754EC"/>
    <w:rsid w:val="004755ED"/>
    <w:rsid w:val="004756B2"/>
    <w:rsid w:val="0047571E"/>
    <w:rsid w:val="0047572F"/>
    <w:rsid w:val="00475797"/>
    <w:rsid w:val="00475798"/>
    <w:rsid w:val="00475800"/>
    <w:rsid w:val="0047597A"/>
    <w:rsid w:val="004759D1"/>
    <w:rsid w:val="004759F8"/>
    <w:rsid w:val="00475A0C"/>
    <w:rsid w:val="00475A24"/>
    <w:rsid w:val="00475A6B"/>
    <w:rsid w:val="00475A8A"/>
    <w:rsid w:val="00475B38"/>
    <w:rsid w:val="00475BD0"/>
    <w:rsid w:val="00475BFD"/>
    <w:rsid w:val="00475C1F"/>
    <w:rsid w:val="00475C21"/>
    <w:rsid w:val="00475D0A"/>
    <w:rsid w:val="00475E24"/>
    <w:rsid w:val="00475E7B"/>
    <w:rsid w:val="004760A1"/>
    <w:rsid w:val="004760A2"/>
    <w:rsid w:val="004760CF"/>
    <w:rsid w:val="004760EC"/>
    <w:rsid w:val="004761B1"/>
    <w:rsid w:val="004761F4"/>
    <w:rsid w:val="00476278"/>
    <w:rsid w:val="0047636E"/>
    <w:rsid w:val="00476377"/>
    <w:rsid w:val="004765F5"/>
    <w:rsid w:val="00476634"/>
    <w:rsid w:val="004766A8"/>
    <w:rsid w:val="0047682B"/>
    <w:rsid w:val="00476890"/>
    <w:rsid w:val="004768D3"/>
    <w:rsid w:val="00476932"/>
    <w:rsid w:val="0047695F"/>
    <w:rsid w:val="004769B7"/>
    <w:rsid w:val="00476CEA"/>
    <w:rsid w:val="00476D0C"/>
    <w:rsid w:val="00476D20"/>
    <w:rsid w:val="00476E0E"/>
    <w:rsid w:val="00476FC9"/>
    <w:rsid w:val="00477021"/>
    <w:rsid w:val="00477070"/>
    <w:rsid w:val="00477328"/>
    <w:rsid w:val="0047734F"/>
    <w:rsid w:val="004773E5"/>
    <w:rsid w:val="00477550"/>
    <w:rsid w:val="00477566"/>
    <w:rsid w:val="004775C6"/>
    <w:rsid w:val="00477614"/>
    <w:rsid w:val="00477698"/>
    <w:rsid w:val="004778B6"/>
    <w:rsid w:val="004779C9"/>
    <w:rsid w:val="00477AC6"/>
    <w:rsid w:val="00477AE4"/>
    <w:rsid w:val="00477AE7"/>
    <w:rsid w:val="00477C54"/>
    <w:rsid w:val="00477C7C"/>
    <w:rsid w:val="00477CB2"/>
    <w:rsid w:val="00477D4D"/>
    <w:rsid w:val="00477DCF"/>
    <w:rsid w:val="00477DD5"/>
    <w:rsid w:val="00477EB1"/>
    <w:rsid w:val="00477FA4"/>
    <w:rsid w:val="00477FB8"/>
    <w:rsid w:val="00477FD5"/>
    <w:rsid w:val="00480119"/>
    <w:rsid w:val="004801EF"/>
    <w:rsid w:val="00480375"/>
    <w:rsid w:val="004805DD"/>
    <w:rsid w:val="00480606"/>
    <w:rsid w:val="00480618"/>
    <w:rsid w:val="0048063F"/>
    <w:rsid w:val="00480705"/>
    <w:rsid w:val="00480849"/>
    <w:rsid w:val="0048084B"/>
    <w:rsid w:val="00480869"/>
    <w:rsid w:val="0048088B"/>
    <w:rsid w:val="004809EE"/>
    <w:rsid w:val="00480A00"/>
    <w:rsid w:val="00480A06"/>
    <w:rsid w:val="00480A9B"/>
    <w:rsid w:val="00480ACD"/>
    <w:rsid w:val="00480C1C"/>
    <w:rsid w:val="00480C77"/>
    <w:rsid w:val="00480C89"/>
    <w:rsid w:val="00480CFD"/>
    <w:rsid w:val="00480E19"/>
    <w:rsid w:val="00480FC8"/>
    <w:rsid w:val="0048102C"/>
    <w:rsid w:val="004810D3"/>
    <w:rsid w:val="00481143"/>
    <w:rsid w:val="0048119A"/>
    <w:rsid w:val="00481230"/>
    <w:rsid w:val="0048130A"/>
    <w:rsid w:val="00481484"/>
    <w:rsid w:val="00481545"/>
    <w:rsid w:val="00481548"/>
    <w:rsid w:val="004815E3"/>
    <w:rsid w:val="004816B6"/>
    <w:rsid w:val="00481761"/>
    <w:rsid w:val="00481763"/>
    <w:rsid w:val="00481773"/>
    <w:rsid w:val="004817B7"/>
    <w:rsid w:val="0048198A"/>
    <w:rsid w:val="00481AEF"/>
    <w:rsid w:val="00481B3B"/>
    <w:rsid w:val="00481BBF"/>
    <w:rsid w:val="00481BE2"/>
    <w:rsid w:val="00481C0A"/>
    <w:rsid w:val="00481C2D"/>
    <w:rsid w:val="00481C77"/>
    <w:rsid w:val="00481CEB"/>
    <w:rsid w:val="00481D06"/>
    <w:rsid w:val="00481D2B"/>
    <w:rsid w:val="00481EDA"/>
    <w:rsid w:val="00481EF9"/>
    <w:rsid w:val="00481F1F"/>
    <w:rsid w:val="00481FC2"/>
    <w:rsid w:val="004820C5"/>
    <w:rsid w:val="004820CC"/>
    <w:rsid w:val="0048211F"/>
    <w:rsid w:val="00482176"/>
    <w:rsid w:val="0048219E"/>
    <w:rsid w:val="004821CC"/>
    <w:rsid w:val="0048223B"/>
    <w:rsid w:val="0048227F"/>
    <w:rsid w:val="004822CD"/>
    <w:rsid w:val="004823E5"/>
    <w:rsid w:val="00482442"/>
    <w:rsid w:val="004824A5"/>
    <w:rsid w:val="0048252E"/>
    <w:rsid w:val="0048255A"/>
    <w:rsid w:val="004825F9"/>
    <w:rsid w:val="00482605"/>
    <w:rsid w:val="00482659"/>
    <w:rsid w:val="0048268D"/>
    <w:rsid w:val="004826FC"/>
    <w:rsid w:val="0048273E"/>
    <w:rsid w:val="00482BFB"/>
    <w:rsid w:val="00482C4A"/>
    <w:rsid w:val="00482D21"/>
    <w:rsid w:val="00482D3D"/>
    <w:rsid w:val="00482DAC"/>
    <w:rsid w:val="00482DDA"/>
    <w:rsid w:val="00482DF5"/>
    <w:rsid w:val="00482E51"/>
    <w:rsid w:val="00482E55"/>
    <w:rsid w:val="00482E5C"/>
    <w:rsid w:val="00482E6A"/>
    <w:rsid w:val="00482ED7"/>
    <w:rsid w:val="0048301F"/>
    <w:rsid w:val="004830B3"/>
    <w:rsid w:val="004830D3"/>
    <w:rsid w:val="004830DE"/>
    <w:rsid w:val="00483160"/>
    <w:rsid w:val="00483162"/>
    <w:rsid w:val="0048327B"/>
    <w:rsid w:val="004832F7"/>
    <w:rsid w:val="004833AC"/>
    <w:rsid w:val="004833AE"/>
    <w:rsid w:val="004833F8"/>
    <w:rsid w:val="00483497"/>
    <w:rsid w:val="004835BD"/>
    <w:rsid w:val="004835D6"/>
    <w:rsid w:val="00483634"/>
    <w:rsid w:val="00483675"/>
    <w:rsid w:val="004837EC"/>
    <w:rsid w:val="00483C4F"/>
    <w:rsid w:val="00483D21"/>
    <w:rsid w:val="00483D6D"/>
    <w:rsid w:val="00483E0F"/>
    <w:rsid w:val="00483E7B"/>
    <w:rsid w:val="00483E99"/>
    <w:rsid w:val="00483F5C"/>
    <w:rsid w:val="00483FCB"/>
    <w:rsid w:val="004840C0"/>
    <w:rsid w:val="004840FD"/>
    <w:rsid w:val="0048410C"/>
    <w:rsid w:val="00484110"/>
    <w:rsid w:val="0048421A"/>
    <w:rsid w:val="004842A5"/>
    <w:rsid w:val="004842F7"/>
    <w:rsid w:val="004843BF"/>
    <w:rsid w:val="00484428"/>
    <w:rsid w:val="00484429"/>
    <w:rsid w:val="00484555"/>
    <w:rsid w:val="00484622"/>
    <w:rsid w:val="004847A2"/>
    <w:rsid w:val="004847A6"/>
    <w:rsid w:val="004847C9"/>
    <w:rsid w:val="00484849"/>
    <w:rsid w:val="004848AB"/>
    <w:rsid w:val="0048490A"/>
    <w:rsid w:val="00484932"/>
    <w:rsid w:val="0048499D"/>
    <w:rsid w:val="00484AE0"/>
    <w:rsid w:val="00484BAB"/>
    <w:rsid w:val="00484C68"/>
    <w:rsid w:val="00484CB0"/>
    <w:rsid w:val="00484D42"/>
    <w:rsid w:val="00484D69"/>
    <w:rsid w:val="00484E1C"/>
    <w:rsid w:val="00484ECF"/>
    <w:rsid w:val="00484EF3"/>
    <w:rsid w:val="00484EF9"/>
    <w:rsid w:val="004850B1"/>
    <w:rsid w:val="004850ED"/>
    <w:rsid w:val="0048517F"/>
    <w:rsid w:val="0048520C"/>
    <w:rsid w:val="00485304"/>
    <w:rsid w:val="00485371"/>
    <w:rsid w:val="0048539C"/>
    <w:rsid w:val="004853D7"/>
    <w:rsid w:val="0048547A"/>
    <w:rsid w:val="004854ED"/>
    <w:rsid w:val="00485559"/>
    <w:rsid w:val="00485586"/>
    <w:rsid w:val="0048572D"/>
    <w:rsid w:val="00485743"/>
    <w:rsid w:val="00485822"/>
    <w:rsid w:val="004858B3"/>
    <w:rsid w:val="004858C3"/>
    <w:rsid w:val="00485911"/>
    <w:rsid w:val="00485BB0"/>
    <w:rsid w:val="00485CE3"/>
    <w:rsid w:val="00485DC9"/>
    <w:rsid w:val="00485ED1"/>
    <w:rsid w:val="00485F85"/>
    <w:rsid w:val="00485FEC"/>
    <w:rsid w:val="004860DA"/>
    <w:rsid w:val="00486183"/>
    <w:rsid w:val="004861C6"/>
    <w:rsid w:val="00486259"/>
    <w:rsid w:val="00486302"/>
    <w:rsid w:val="0048633B"/>
    <w:rsid w:val="00486377"/>
    <w:rsid w:val="0048647E"/>
    <w:rsid w:val="004864A6"/>
    <w:rsid w:val="004864F3"/>
    <w:rsid w:val="00486551"/>
    <w:rsid w:val="0048656E"/>
    <w:rsid w:val="00486622"/>
    <w:rsid w:val="004867F0"/>
    <w:rsid w:val="00486867"/>
    <w:rsid w:val="004868D4"/>
    <w:rsid w:val="0048699B"/>
    <w:rsid w:val="0048699E"/>
    <w:rsid w:val="00486A1E"/>
    <w:rsid w:val="00486B2D"/>
    <w:rsid w:val="00486B52"/>
    <w:rsid w:val="00486BB8"/>
    <w:rsid w:val="00486BD1"/>
    <w:rsid w:val="00486C46"/>
    <w:rsid w:val="00486C5B"/>
    <w:rsid w:val="00486D27"/>
    <w:rsid w:val="00486E0A"/>
    <w:rsid w:val="00486EA4"/>
    <w:rsid w:val="00486F70"/>
    <w:rsid w:val="00486FCD"/>
    <w:rsid w:val="004870E6"/>
    <w:rsid w:val="004870FC"/>
    <w:rsid w:val="0048716F"/>
    <w:rsid w:val="004871A7"/>
    <w:rsid w:val="00487439"/>
    <w:rsid w:val="00487440"/>
    <w:rsid w:val="0048748D"/>
    <w:rsid w:val="00487493"/>
    <w:rsid w:val="0048763E"/>
    <w:rsid w:val="0048764A"/>
    <w:rsid w:val="004876A5"/>
    <w:rsid w:val="004876C3"/>
    <w:rsid w:val="004877BA"/>
    <w:rsid w:val="004877D0"/>
    <w:rsid w:val="0048788E"/>
    <w:rsid w:val="004878D3"/>
    <w:rsid w:val="0048795C"/>
    <w:rsid w:val="004879A4"/>
    <w:rsid w:val="00487A88"/>
    <w:rsid w:val="00487B55"/>
    <w:rsid w:val="00487C75"/>
    <w:rsid w:val="00487D85"/>
    <w:rsid w:val="00487F19"/>
    <w:rsid w:val="0049004F"/>
    <w:rsid w:val="0049007D"/>
    <w:rsid w:val="00490098"/>
    <w:rsid w:val="004900C9"/>
    <w:rsid w:val="00490137"/>
    <w:rsid w:val="0049013C"/>
    <w:rsid w:val="0049034A"/>
    <w:rsid w:val="00490495"/>
    <w:rsid w:val="0049058E"/>
    <w:rsid w:val="004905DD"/>
    <w:rsid w:val="004906A7"/>
    <w:rsid w:val="00490B1E"/>
    <w:rsid w:val="00490B4B"/>
    <w:rsid w:val="00490B6B"/>
    <w:rsid w:val="00490BE0"/>
    <w:rsid w:val="00490ECC"/>
    <w:rsid w:val="00490F1E"/>
    <w:rsid w:val="004910C0"/>
    <w:rsid w:val="00491116"/>
    <w:rsid w:val="00491173"/>
    <w:rsid w:val="004913BB"/>
    <w:rsid w:val="00491420"/>
    <w:rsid w:val="004915E2"/>
    <w:rsid w:val="00491661"/>
    <w:rsid w:val="00491665"/>
    <w:rsid w:val="004916C7"/>
    <w:rsid w:val="00491706"/>
    <w:rsid w:val="0049172A"/>
    <w:rsid w:val="0049178D"/>
    <w:rsid w:val="004917E4"/>
    <w:rsid w:val="004917ED"/>
    <w:rsid w:val="00491821"/>
    <w:rsid w:val="004918A2"/>
    <w:rsid w:val="00491B15"/>
    <w:rsid w:val="00491D98"/>
    <w:rsid w:val="00491DBD"/>
    <w:rsid w:val="00491EC2"/>
    <w:rsid w:val="00491F25"/>
    <w:rsid w:val="00491FE0"/>
    <w:rsid w:val="00491FF2"/>
    <w:rsid w:val="00492027"/>
    <w:rsid w:val="004920AB"/>
    <w:rsid w:val="004921D1"/>
    <w:rsid w:val="00492274"/>
    <w:rsid w:val="004922A4"/>
    <w:rsid w:val="00492539"/>
    <w:rsid w:val="0049258C"/>
    <w:rsid w:val="00492646"/>
    <w:rsid w:val="0049268C"/>
    <w:rsid w:val="0049271E"/>
    <w:rsid w:val="0049272B"/>
    <w:rsid w:val="0049279E"/>
    <w:rsid w:val="004927EF"/>
    <w:rsid w:val="0049281C"/>
    <w:rsid w:val="004928C3"/>
    <w:rsid w:val="00492B0E"/>
    <w:rsid w:val="00492B21"/>
    <w:rsid w:val="00492BCD"/>
    <w:rsid w:val="00492BD2"/>
    <w:rsid w:val="00492C2A"/>
    <w:rsid w:val="00492D01"/>
    <w:rsid w:val="00492D36"/>
    <w:rsid w:val="00492E45"/>
    <w:rsid w:val="00492ED4"/>
    <w:rsid w:val="00492FBB"/>
    <w:rsid w:val="00493061"/>
    <w:rsid w:val="00493085"/>
    <w:rsid w:val="00493111"/>
    <w:rsid w:val="00493142"/>
    <w:rsid w:val="0049316D"/>
    <w:rsid w:val="0049321C"/>
    <w:rsid w:val="004932AF"/>
    <w:rsid w:val="00493331"/>
    <w:rsid w:val="00493489"/>
    <w:rsid w:val="00493630"/>
    <w:rsid w:val="00493678"/>
    <w:rsid w:val="004936F8"/>
    <w:rsid w:val="0049372B"/>
    <w:rsid w:val="00493759"/>
    <w:rsid w:val="00493876"/>
    <w:rsid w:val="00493889"/>
    <w:rsid w:val="004939BC"/>
    <w:rsid w:val="004939F4"/>
    <w:rsid w:val="00493A32"/>
    <w:rsid w:val="00493AC9"/>
    <w:rsid w:val="00493B16"/>
    <w:rsid w:val="00493B2F"/>
    <w:rsid w:val="00493B48"/>
    <w:rsid w:val="00493B8E"/>
    <w:rsid w:val="00493BA3"/>
    <w:rsid w:val="00493D24"/>
    <w:rsid w:val="00493D2A"/>
    <w:rsid w:val="00493DB8"/>
    <w:rsid w:val="00493DBA"/>
    <w:rsid w:val="00493DF5"/>
    <w:rsid w:val="00493E1E"/>
    <w:rsid w:val="00493EB5"/>
    <w:rsid w:val="00493F54"/>
    <w:rsid w:val="004940BB"/>
    <w:rsid w:val="004941E8"/>
    <w:rsid w:val="0049424B"/>
    <w:rsid w:val="004942D1"/>
    <w:rsid w:val="004943A8"/>
    <w:rsid w:val="00494616"/>
    <w:rsid w:val="00494632"/>
    <w:rsid w:val="0049464D"/>
    <w:rsid w:val="00494739"/>
    <w:rsid w:val="004948DE"/>
    <w:rsid w:val="00494A54"/>
    <w:rsid w:val="00494AA1"/>
    <w:rsid w:val="00494AF4"/>
    <w:rsid w:val="00494BBD"/>
    <w:rsid w:val="00494C66"/>
    <w:rsid w:val="00494CDB"/>
    <w:rsid w:val="00494EB8"/>
    <w:rsid w:val="00494F5C"/>
    <w:rsid w:val="004951B6"/>
    <w:rsid w:val="00495205"/>
    <w:rsid w:val="0049527D"/>
    <w:rsid w:val="0049528A"/>
    <w:rsid w:val="00495353"/>
    <w:rsid w:val="004953D3"/>
    <w:rsid w:val="0049549E"/>
    <w:rsid w:val="0049550C"/>
    <w:rsid w:val="0049552A"/>
    <w:rsid w:val="0049560E"/>
    <w:rsid w:val="00495616"/>
    <w:rsid w:val="004956B9"/>
    <w:rsid w:val="004956C7"/>
    <w:rsid w:val="00495854"/>
    <w:rsid w:val="0049587F"/>
    <w:rsid w:val="0049591D"/>
    <w:rsid w:val="00495B15"/>
    <w:rsid w:val="00495B37"/>
    <w:rsid w:val="00495B4D"/>
    <w:rsid w:val="00495B8C"/>
    <w:rsid w:val="00495C2A"/>
    <w:rsid w:val="00495C39"/>
    <w:rsid w:val="00495CE3"/>
    <w:rsid w:val="00495D1D"/>
    <w:rsid w:val="00495DDA"/>
    <w:rsid w:val="00495E0A"/>
    <w:rsid w:val="00495E21"/>
    <w:rsid w:val="00495EA3"/>
    <w:rsid w:val="00495EC9"/>
    <w:rsid w:val="004960EF"/>
    <w:rsid w:val="00496102"/>
    <w:rsid w:val="004961A8"/>
    <w:rsid w:val="004961AB"/>
    <w:rsid w:val="00496264"/>
    <w:rsid w:val="004962EA"/>
    <w:rsid w:val="0049643F"/>
    <w:rsid w:val="004964C5"/>
    <w:rsid w:val="0049654F"/>
    <w:rsid w:val="004965B0"/>
    <w:rsid w:val="004965CF"/>
    <w:rsid w:val="00496635"/>
    <w:rsid w:val="00496739"/>
    <w:rsid w:val="004967B8"/>
    <w:rsid w:val="004967E7"/>
    <w:rsid w:val="00496822"/>
    <w:rsid w:val="004968DF"/>
    <w:rsid w:val="00496978"/>
    <w:rsid w:val="00496A7D"/>
    <w:rsid w:val="00496BB9"/>
    <w:rsid w:val="00496C48"/>
    <w:rsid w:val="00496E5E"/>
    <w:rsid w:val="00496E9F"/>
    <w:rsid w:val="00496F18"/>
    <w:rsid w:val="00497012"/>
    <w:rsid w:val="0049703C"/>
    <w:rsid w:val="00497040"/>
    <w:rsid w:val="0049704E"/>
    <w:rsid w:val="004970A0"/>
    <w:rsid w:val="004970A2"/>
    <w:rsid w:val="00497147"/>
    <w:rsid w:val="0049716C"/>
    <w:rsid w:val="004971FA"/>
    <w:rsid w:val="00497439"/>
    <w:rsid w:val="00497486"/>
    <w:rsid w:val="0049753C"/>
    <w:rsid w:val="004976A2"/>
    <w:rsid w:val="004976BD"/>
    <w:rsid w:val="004976DC"/>
    <w:rsid w:val="00497728"/>
    <w:rsid w:val="00497732"/>
    <w:rsid w:val="00497768"/>
    <w:rsid w:val="0049779D"/>
    <w:rsid w:val="004977F9"/>
    <w:rsid w:val="0049785E"/>
    <w:rsid w:val="004978EA"/>
    <w:rsid w:val="0049793C"/>
    <w:rsid w:val="0049794F"/>
    <w:rsid w:val="00497979"/>
    <w:rsid w:val="00497985"/>
    <w:rsid w:val="004979CA"/>
    <w:rsid w:val="00497A1F"/>
    <w:rsid w:val="00497A5E"/>
    <w:rsid w:val="00497AB7"/>
    <w:rsid w:val="00497B0D"/>
    <w:rsid w:val="00497B35"/>
    <w:rsid w:val="00497BED"/>
    <w:rsid w:val="00497C36"/>
    <w:rsid w:val="00497C4A"/>
    <w:rsid w:val="00497CA8"/>
    <w:rsid w:val="00497E20"/>
    <w:rsid w:val="00497ED1"/>
    <w:rsid w:val="00497F41"/>
    <w:rsid w:val="00497FF2"/>
    <w:rsid w:val="004A006A"/>
    <w:rsid w:val="004A0081"/>
    <w:rsid w:val="004A0155"/>
    <w:rsid w:val="004A0170"/>
    <w:rsid w:val="004A017C"/>
    <w:rsid w:val="004A02CA"/>
    <w:rsid w:val="004A02D7"/>
    <w:rsid w:val="004A037C"/>
    <w:rsid w:val="004A04CE"/>
    <w:rsid w:val="004A0530"/>
    <w:rsid w:val="004A059E"/>
    <w:rsid w:val="004A05A0"/>
    <w:rsid w:val="004A0696"/>
    <w:rsid w:val="004A06CE"/>
    <w:rsid w:val="004A07F2"/>
    <w:rsid w:val="004A0819"/>
    <w:rsid w:val="004A08B7"/>
    <w:rsid w:val="004A0BCD"/>
    <w:rsid w:val="004A0C0D"/>
    <w:rsid w:val="004A0C19"/>
    <w:rsid w:val="004A0C81"/>
    <w:rsid w:val="004A0CED"/>
    <w:rsid w:val="004A0D87"/>
    <w:rsid w:val="004A0DBF"/>
    <w:rsid w:val="004A0DC4"/>
    <w:rsid w:val="004A0E36"/>
    <w:rsid w:val="004A102C"/>
    <w:rsid w:val="004A1070"/>
    <w:rsid w:val="004A1079"/>
    <w:rsid w:val="004A10B9"/>
    <w:rsid w:val="004A117F"/>
    <w:rsid w:val="004A1323"/>
    <w:rsid w:val="004A1336"/>
    <w:rsid w:val="004A13CA"/>
    <w:rsid w:val="004A13F5"/>
    <w:rsid w:val="004A14E8"/>
    <w:rsid w:val="004A14F4"/>
    <w:rsid w:val="004A155A"/>
    <w:rsid w:val="004A1626"/>
    <w:rsid w:val="004A1690"/>
    <w:rsid w:val="004A1786"/>
    <w:rsid w:val="004A1915"/>
    <w:rsid w:val="004A19B0"/>
    <w:rsid w:val="004A1A32"/>
    <w:rsid w:val="004A1BAA"/>
    <w:rsid w:val="004A1BDF"/>
    <w:rsid w:val="004A1C13"/>
    <w:rsid w:val="004A1C82"/>
    <w:rsid w:val="004A1D2A"/>
    <w:rsid w:val="004A1D69"/>
    <w:rsid w:val="004A1D75"/>
    <w:rsid w:val="004A1E61"/>
    <w:rsid w:val="004A1EDB"/>
    <w:rsid w:val="004A1EFD"/>
    <w:rsid w:val="004A1FA2"/>
    <w:rsid w:val="004A1FDC"/>
    <w:rsid w:val="004A2335"/>
    <w:rsid w:val="004A2362"/>
    <w:rsid w:val="004A2372"/>
    <w:rsid w:val="004A24A0"/>
    <w:rsid w:val="004A253E"/>
    <w:rsid w:val="004A2571"/>
    <w:rsid w:val="004A26F8"/>
    <w:rsid w:val="004A2947"/>
    <w:rsid w:val="004A29F4"/>
    <w:rsid w:val="004A2BB4"/>
    <w:rsid w:val="004A2CD6"/>
    <w:rsid w:val="004A2D00"/>
    <w:rsid w:val="004A2E80"/>
    <w:rsid w:val="004A2F0A"/>
    <w:rsid w:val="004A3081"/>
    <w:rsid w:val="004A30EF"/>
    <w:rsid w:val="004A31A6"/>
    <w:rsid w:val="004A3223"/>
    <w:rsid w:val="004A325F"/>
    <w:rsid w:val="004A3307"/>
    <w:rsid w:val="004A3309"/>
    <w:rsid w:val="004A3316"/>
    <w:rsid w:val="004A33DF"/>
    <w:rsid w:val="004A3498"/>
    <w:rsid w:val="004A34C3"/>
    <w:rsid w:val="004A3536"/>
    <w:rsid w:val="004A35B2"/>
    <w:rsid w:val="004A3621"/>
    <w:rsid w:val="004A3626"/>
    <w:rsid w:val="004A36B3"/>
    <w:rsid w:val="004A36D8"/>
    <w:rsid w:val="004A374E"/>
    <w:rsid w:val="004A37F2"/>
    <w:rsid w:val="004A3897"/>
    <w:rsid w:val="004A38C1"/>
    <w:rsid w:val="004A39DB"/>
    <w:rsid w:val="004A3AC0"/>
    <w:rsid w:val="004A3B7F"/>
    <w:rsid w:val="004A3C45"/>
    <w:rsid w:val="004A3C94"/>
    <w:rsid w:val="004A3CAC"/>
    <w:rsid w:val="004A3CD4"/>
    <w:rsid w:val="004A3DE0"/>
    <w:rsid w:val="004A3F2E"/>
    <w:rsid w:val="004A3FDF"/>
    <w:rsid w:val="004A3FE4"/>
    <w:rsid w:val="004A41A1"/>
    <w:rsid w:val="004A42E3"/>
    <w:rsid w:val="004A4351"/>
    <w:rsid w:val="004A4421"/>
    <w:rsid w:val="004A4491"/>
    <w:rsid w:val="004A4559"/>
    <w:rsid w:val="004A4568"/>
    <w:rsid w:val="004A45BB"/>
    <w:rsid w:val="004A45E8"/>
    <w:rsid w:val="004A4649"/>
    <w:rsid w:val="004A467F"/>
    <w:rsid w:val="004A46A0"/>
    <w:rsid w:val="004A470C"/>
    <w:rsid w:val="004A4719"/>
    <w:rsid w:val="004A4724"/>
    <w:rsid w:val="004A4725"/>
    <w:rsid w:val="004A4790"/>
    <w:rsid w:val="004A4810"/>
    <w:rsid w:val="004A48BC"/>
    <w:rsid w:val="004A4903"/>
    <w:rsid w:val="004A4924"/>
    <w:rsid w:val="004A4995"/>
    <w:rsid w:val="004A49B9"/>
    <w:rsid w:val="004A4C28"/>
    <w:rsid w:val="004A4C70"/>
    <w:rsid w:val="004A4C93"/>
    <w:rsid w:val="004A4C9E"/>
    <w:rsid w:val="004A4CF4"/>
    <w:rsid w:val="004A4D28"/>
    <w:rsid w:val="004A4DB4"/>
    <w:rsid w:val="004A4DC8"/>
    <w:rsid w:val="004A4DF4"/>
    <w:rsid w:val="004A4E0E"/>
    <w:rsid w:val="004A4EA6"/>
    <w:rsid w:val="004A4F39"/>
    <w:rsid w:val="004A4F49"/>
    <w:rsid w:val="004A4F6D"/>
    <w:rsid w:val="004A50DE"/>
    <w:rsid w:val="004A5118"/>
    <w:rsid w:val="004A51C2"/>
    <w:rsid w:val="004A5200"/>
    <w:rsid w:val="004A5228"/>
    <w:rsid w:val="004A5232"/>
    <w:rsid w:val="004A523D"/>
    <w:rsid w:val="004A5374"/>
    <w:rsid w:val="004A53C4"/>
    <w:rsid w:val="004A5495"/>
    <w:rsid w:val="004A5782"/>
    <w:rsid w:val="004A5891"/>
    <w:rsid w:val="004A58A0"/>
    <w:rsid w:val="004A58CB"/>
    <w:rsid w:val="004A5923"/>
    <w:rsid w:val="004A598B"/>
    <w:rsid w:val="004A5A17"/>
    <w:rsid w:val="004A5B9D"/>
    <w:rsid w:val="004A5BD5"/>
    <w:rsid w:val="004A5C94"/>
    <w:rsid w:val="004A5CC9"/>
    <w:rsid w:val="004A5CD2"/>
    <w:rsid w:val="004A5E29"/>
    <w:rsid w:val="004A5E9F"/>
    <w:rsid w:val="004A609C"/>
    <w:rsid w:val="004A61B1"/>
    <w:rsid w:val="004A6344"/>
    <w:rsid w:val="004A6393"/>
    <w:rsid w:val="004A63B6"/>
    <w:rsid w:val="004A641C"/>
    <w:rsid w:val="004A645A"/>
    <w:rsid w:val="004A6510"/>
    <w:rsid w:val="004A6576"/>
    <w:rsid w:val="004A6704"/>
    <w:rsid w:val="004A6754"/>
    <w:rsid w:val="004A693D"/>
    <w:rsid w:val="004A69EE"/>
    <w:rsid w:val="004A6B2B"/>
    <w:rsid w:val="004A6CCB"/>
    <w:rsid w:val="004A6CF8"/>
    <w:rsid w:val="004A6D35"/>
    <w:rsid w:val="004A6EA3"/>
    <w:rsid w:val="004A6F6D"/>
    <w:rsid w:val="004A6F7B"/>
    <w:rsid w:val="004A6F83"/>
    <w:rsid w:val="004A7075"/>
    <w:rsid w:val="004A710E"/>
    <w:rsid w:val="004A7123"/>
    <w:rsid w:val="004A7161"/>
    <w:rsid w:val="004A71C3"/>
    <w:rsid w:val="004A71C5"/>
    <w:rsid w:val="004A71E3"/>
    <w:rsid w:val="004A7212"/>
    <w:rsid w:val="004A7268"/>
    <w:rsid w:val="004A7374"/>
    <w:rsid w:val="004A737E"/>
    <w:rsid w:val="004A73B2"/>
    <w:rsid w:val="004A7493"/>
    <w:rsid w:val="004A7566"/>
    <w:rsid w:val="004A75D5"/>
    <w:rsid w:val="004A7642"/>
    <w:rsid w:val="004A764D"/>
    <w:rsid w:val="004A7928"/>
    <w:rsid w:val="004A792B"/>
    <w:rsid w:val="004A79C2"/>
    <w:rsid w:val="004A7A1B"/>
    <w:rsid w:val="004A7A59"/>
    <w:rsid w:val="004A7AA5"/>
    <w:rsid w:val="004A7AF3"/>
    <w:rsid w:val="004A7BE6"/>
    <w:rsid w:val="004A7D2F"/>
    <w:rsid w:val="004A7D3B"/>
    <w:rsid w:val="004A7D88"/>
    <w:rsid w:val="004A7E89"/>
    <w:rsid w:val="004A7F09"/>
    <w:rsid w:val="004A7FCA"/>
    <w:rsid w:val="004B002A"/>
    <w:rsid w:val="004B0238"/>
    <w:rsid w:val="004B03E1"/>
    <w:rsid w:val="004B0477"/>
    <w:rsid w:val="004B05AF"/>
    <w:rsid w:val="004B05D9"/>
    <w:rsid w:val="004B0617"/>
    <w:rsid w:val="004B064A"/>
    <w:rsid w:val="004B08CF"/>
    <w:rsid w:val="004B08DD"/>
    <w:rsid w:val="004B091F"/>
    <w:rsid w:val="004B0948"/>
    <w:rsid w:val="004B09A8"/>
    <w:rsid w:val="004B0A1C"/>
    <w:rsid w:val="004B0A70"/>
    <w:rsid w:val="004B0A71"/>
    <w:rsid w:val="004B0B50"/>
    <w:rsid w:val="004B0BA8"/>
    <w:rsid w:val="004B0BE5"/>
    <w:rsid w:val="004B0CA2"/>
    <w:rsid w:val="004B0D1D"/>
    <w:rsid w:val="004B0E65"/>
    <w:rsid w:val="004B0E77"/>
    <w:rsid w:val="004B0E95"/>
    <w:rsid w:val="004B0EA6"/>
    <w:rsid w:val="004B0EE3"/>
    <w:rsid w:val="004B1029"/>
    <w:rsid w:val="004B1145"/>
    <w:rsid w:val="004B11DC"/>
    <w:rsid w:val="004B1233"/>
    <w:rsid w:val="004B1425"/>
    <w:rsid w:val="004B14EC"/>
    <w:rsid w:val="004B14F8"/>
    <w:rsid w:val="004B164F"/>
    <w:rsid w:val="004B1714"/>
    <w:rsid w:val="004B1783"/>
    <w:rsid w:val="004B17A7"/>
    <w:rsid w:val="004B1801"/>
    <w:rsid w:val="004B185B"/>
    <w:rsid w:val="004B18A5"/>
    <w:rsid w:val="004B18C3"/>
    <w:rsid w:val="004B18D1"/>
    <w:rsid w:val="004B191B"/>
    <w:rsid w:val="004B199F"/>
    <w:rsid w:val="004B19B6"/>
    <w:rsid w:val="004B19FB"/>
    <w:rsid w:val="004B1A75"/>
    <w:rsid w:val="004B1BB1"/>
    <w:rsid w:val="004B1BE8"/>
    <w:rsid w:val="004B1D46"/>
    <w:rsid w:val="004B1DEC"/>
    <w:rsid w:val="004B1E06"/>
    <w:rsid w:val="004B1E2A"/>
    <w:rsid w:val="004B1EC5"/>
    <w:rsid w:val="004B1F5E"/>
    <w:rsid w:val="004B1F7C"/>
    <w:rsid w:val="004B1FEA"/>
    <w:rsid w:val="004B2123"/>
    <w:rsid w:val="004B215A"/>
    <w:rsid w:val="004B2163"/>
    <w:rsid w:val="004B2360"/>
    <w:rsid w:val="004B248C"/>
    <w:rsid w:val="004B25B0"/>
    <w:rsid w:val="004B2689"/>
    <w:rsid w:val="004B275B"/>
    <w:rsid w:val="004B276A"/>
    <w:rsid w:val="004B27C3"/>
    <w:rsid w:val="004B2850"/>
    <w:rsid w:val="004B289B"/>
    <w:rsid w:val="004B28D3"/>
    <w:rsid w:val="004B28D8"/>
    <w:rsid w:val="004B28EA"/>
    <w:rsid w:val="004B299D"/>
    <w:rsid w:val="004B2A97"/>
    <w:rsid w:val="004B2B33"/>
    <w:rsid w:val="004B2C78"/>
    <w:rsid w:val="004B2D5B"/>
    <w:rsid w:val="004B2DC4"/>
    <w:rsid w:val="004B2DD8"/>
    <w:rsid w:val="004B2DE5"/>
    <w:rsid w:val="004B2E58"/>
    <w:rsid w:val="004B2ECD"/>
    <w:rsid w:val="004B2F56"/>
    <w:rsid w:val="004B3075"/>
    <w:rsid w:val="004B30DC"/>
    <w:rsid w:val="004B31F0"/>
    <w:rsid w:val="004B332F"/>
    <w:rsid w:val="004B3373"/>
    <w:rsid w:val="004B35B0"/>
    <w:rsid w:val="004B361A"/>
    <w:rsid w:val="004B375A"/>
    <w:rsid w:val="004B378A"/>
    <w:rsid w:val="004B37B6"/>
    <w:rsid w:val="004B37D0"/>
    <w:rsid w:val="004B387F"/>
    <w:rsid w:val="004B3B0A"/>
    <w:rsid w:val="004B3B5F"/>
    <w:rsid w:val="004B3BA6"/>
    <w:rsid w:val="004B3D04"/>
    <w:rsid w:val="004B3D46"/>
    <w:rsid w:val="004B3D5A"/>
    <w:rsid w:val="004B3D85"/>
    <w:rsid w:val="004B3DBE"/>
    <w:rsid w:val="004B3E24"/>
    <w:rsid w:val="004B402B"/>
    <w:rsid w:val="004B404F"/>
    <w:rsid w:val="004B4108"/>
    <w:rsid w:val="004B41B8"/>
    <w:rsid w:val="004B42A4"/>
    <w:rsid w:val="004B42BD"/>
    <w:rsid w:val="004B43B6"/>
    <w:rsid w:val="004B44FA"/>
    <w:rsid w:val="004B45C7"/>
    <w:rsid w:val="004B45CB"/>
    <w:rsid w:val="004B4657"/>
    <w:rsid w:val="004B4706"/>
    <w:rsid w:val="004B4800"/>
    <w:rsid w:val="004B490F"/>
    <w:rsid w:val="004B4A09"/>
    <w:rsid w:val="004B4A29"/>
    <w:rsid w:val="004B4AA2"/>
    <w:rsid w:val="004B4B03"/>
    <w:rsid w:val="004B4B24"/>
    <w:rsid w:val="004B4B58"/>
    <w:rsid w:val="004B4D4C"/>
    <w:rsid w:val="004B4DB4"/>
    <w:rsid w:val="004B4DF3"/>
    <w:rsid w:val="004B4E6D"/>
    <w:rsid w:val="004B4F25"/>
    <w:rsid w:val="004B5042"/>
    <w:rsid w:val="004B50C4"/>
    <w:rsid w:val="004B50EC"/>
    <w:rsid w:val="004B5179"/>
    <w:rsid w:val="004B520D"/>
    <w:rsid w:val="004B5288"/>
    <w:rsid w:val="004B52EF"/>
    <w:rsid w:val="004B530E"/>
    <w:rsid w:val="004B5353"/>
    <w:rsid w:val="004B5360"/>
    <w:rsid w:val="004B541C"/>
    <w:rsid w:val="004B5547"/>
    <w:rsid w:val="004B5635"/>
    <w:rsid w:val="004B5640"/>
    <w:rsid w:val="004B5669"/>
    <w:rsid w:val="004B571A"/>
    <w:rsid w:val="004B580C"/>
    <w:rsid w:val="004B5895"/>
    <w:rsid w:val="004B5928"/>
    <w:rsid w:val="004B5D00"/>
    <w:rsid w:val="004B5D4E"/>
    <w:rsid w:val="004B5DAB"/>
    <w:rsid w:val="004B5DCD"/>
    <w:rsid w:val="004B5DD3"/>
    <w:rsid w:val="004B5DD5"/>
    <w:rsid w:val="004B5E27"/>
    <w:rsid w:val="004B5E7E"/>
    <w:rsid w:val="004B5F2B"/>
    <w:rsid w:val="004B5F75"/>
    <w:rsid w:val="004B5FB8"/>
    <w:rsid w:val="004B60BA"/>
    <w:rsid w:val="004B6123"/>
    <w:rsid w:val="004B6229"/>
    <w:rsid w:val="004B6306"/>
    <w:rsid w:val="004B6372"/>
    <w:rsid w:val="004B657B"/>
    <w:rsid w:val="004B6752"/>
    <w:rsid w:val="004B67AD"/>
    <w:rsid w:val="004B6887"/>
    <w:rsid w:val="004B694D"/>
    <w:rsid w:val="004B6A3F"/>
    <w:rsid w:val="004B6A5A"/>
    <w:rsid w:val="004B6ABA"/>
    <w:rsid w:val="004B6ACB"/>
    <w:rsid w:val="004B6B15"/>
    <w:rsid w:val="004B6EF7"/>
    <w:rsid w:val="004B6F93"/>
    <w:rsid w:val="004B6FA2"/>
    <w:rsid w:val="004B6FFC"/>
    <w:rsid w:val="004B70A5"/>
    <w:rsid w:val="004B71F7"/>
    <w:rsid w:val="004B71FF"/>
    <w:rsid w:val="004B7369"/>
    <w:rsid w:val="004B750C"/>
    <w:rsid w:val="004B75A4"/>
    <w:rsid w:val="004B75A7"/>
    <w:rsid w:val="004B765A"/>
    <w:rsid w:val="004B7690"/>
    <w:rsid w:val="004B76CB"/>
    <w:rsid w:val="004B76CC"/>
    <w:rsid w:val="004B7861"/>
    <w:rsid w:val="004B7A08"/>
    <w:rsid w:val="004B7A1A"/>
    <w:rsid w:val="004B7A96"/>
    <w:rsid w:val="004B7AB7"/>
    <w:rsid w:val="004B7B55"/>
    <w:rsid w:val="004B7B6E"/>
    <w:rsid w:val="004B7BAF"/>
    <w:rsid w:val="004B7D12"/>
    <w:rsid w:val="004B7E2E"/>
    <w:rsid w:val="004B7E9D"/>
    <w:rsid w:val="004C0055"/>
    <w:rsid w:val="004C0061"/>
    <w:rsid w:val="004C00EC"/>
    <w:rsid w:val="004C0133"/>
    <w:rsid w:val="004C027E"/>
    <w:rsid w:val="004C0380"/>
    <w:rsid w:val="004C044D"/>
    <w:rsid w:val="004C04A9"/>
    <w:rsid w:val="004C0512"/>
    <w:rsid w:val="004C053B"/>
    <w:rsid w:val="004C0763"/>
    <w:rsid w:val="004C07C7"/>
    <w:rsid w:val="004C0989"/>
    <w:rsid w:val="004C09B0"/>
    <w:rsid w:val="004C0A68"/>
    <w:rsid w:val="004C0BA0"/>
    <w:rsid w:val="004C0BDC"/>
    <w:rsid w:val="004C0C98"/>
    <w:rsid w:val="004C0CF2"/>
    <w:rsid w:val="004C0D28"/>
    <w:rsid w:val="004C0D98"/>
    <w:rsid w:val="004C0E9D"/>
    <w:rsid w:val="004C0EB9"/>
    <w:rsid w:val="004C0F2A"/>
    <w:rsid w:val="004C0FF4"/>
    <w:rsid w:val="004C1005"/>
    <w:rsid w:val="004C1021"/>
    <w:rsid w:val="004C1031"/>
    <w:rsid w:val="004C1042"/>
    <w:rsid w:val="004C10F8"/>
    <w:rsid w:val="004C1147"/>
    <w:rsid w:val="004C1151"/>
    <w:rsid w:val="004C1164"/>
    <w:rsid w:val="004C11A4"/>
    <w:rsid w:val="004C11B0"/>
    <w:rsid w:val="004C124E"/>
    <w:rsid w:val="004C1300"/>
    <w:rsid w:val="004C1357"/>
    <w:rsid w:val="004C15E6"/>
    <w:rsid w:val="004C161A"/>
    <w:rsid w:val="004C172E"/>
    <w:rsid w:val="004C199C"/>
    <w:rsid w:val="004C1A2D"/>
    <w:rsid w:val="004C1A77"/>
    <w:rsid w:val="004C1B29"/>
    <w:rsid w:val="004C1C17"/>
    <w:rsid w:val="004C1C83"/>
    <w:rsid w:val="004C1CB1"/>
    <w:rsid w:val="004C1DF3"/>
    <w:rsid w:val="004C1E81"/>
    <w:rsid w:val="004C2089"/>
    <w:rsid w:val="004C20A1"/>
    <w:rsid w:val="004C2110"/>
    <w:rsid w:val="004C214F"/>
    <w:rsid w:val="004C2189"/>
    <w:rsid w:val="004C21B5"/>
    <w:rsid w:val="004C21DC"/>
    <w:rsid w:val="004C22AD"/>
    <w:rsid w:val="004C2301"/>
    <w:rsid w:val="004C23F6"/>
    <w:rsid w:val="004C2430"/>
    <w:rsid w:val="004C24B0"/>
    <w:rsid w:val="004C24DC"/>
    <w:rsid w:val="004C25F5"/>
    <w:rsid w:val="004C2644"/>
    <w:rsid w:val="004C26B8"/>
    <w:rsid w:val="004C2740"/>
    <w:rsid w:val="004C2790"/>
    <w:rsid w:val="004C285A"/>
    <w:rsid w:val="004C2891"/>
    <w:rsid w:val="004C289B"/>
    <w:rsid w:val="004C2A2F"/>
    <w:rsid w:val="004C2AF5"/>
    <w:rsid w:val="004C2C0B"/>
    <w:rsid w:val="004C2C83"/>
    <w:rsid w:val="004C2C8F"/>
    <w:rsid w:val="004C2EA5"/>
    <w:rsid w:val="004C3022"/>
    <w:rsid w:val="004C3069"/>
    <w:rsid w:val="004C3089"/>
    <w:rsid w:val="004C30A5"/>
    <w:rsid w:val="004C30CC"/>
    <w:rsid w:val="004C3104"/>
    <w:rsid w:val="004C3168"/>
    <w:rsid w:val="004C320F"/>
    <w:rsid w:val="004C322E"/>
    <w:rsid w:val="004C325A"/>
    <w:rsid w:val="004C340D"/>
    <w:rsid w:val="004C34D9"/>
    <w:rsid w:val="004C3539"/>
    <w:rsid w:val="004C3595"/>
    <w:rsid w:val="004C377D"/>
    <w:rsid w:val="004C379F"/>
    <w:rsid w:val="004C37A4"/>
    <w:rsid w:val="004C387B"/>
    <w:rsid w:val="004C392D"/>
    <w:rsid w:val="004C3942"/>
    <w:rsid w:val="004C3AF3"/>
    <w:rsid w:val="004C3B04"/>
    <w:rsid w:val="004C3B63"/>
    <w:rsid w:val="004C3BE8"/>
    <w:rsid w:val="004C3CA8"/>
    <w:rsid w:val="004C3CAF"/>
    <w:rsid w:val="004C3EE3"/>
    <w:rsid w:val="004C3FFA"/>
    <w:rsid w:val="004C42CF"/>
    <w:rsid w:val="004C445A"/>
    <w:rsid w:val="004C44C2"/>
    <w:rsid w:val="004C44CC"/>
    <w:rsid w:val="004C45B3"/>
    <w:rsid w:val="004C45F3"/>
    <w:rsid w:val="004C467C"/>
    <w:rsid w:val="004C47D7"/>
    <w:rsid w:val="004C4868"/>
    <w:rsid w:val="004C487E"/>
    <w:rsid w:val="004C48DC"/>
    <w:rsid w:val="004C49AB"/>
    <w:rsid w:val="004C49BD"/>
    <w:rsid w:val="004C4B03"/>
    <w:rsid w:val="004C4B66"/>
    <w:rsid w:val="004C4CBF"/>
    <w:rsid w:val="004C4D13"/>
    <w:rsid w:val="004C4D32"/>
    <w:rsid w:val="004C4DE7"/>
    <w:rsid w:val="004C4FED"/>
    <w:rsid w:val="004C5150"/>
    <w:rsid w:val="004C51EF"/>
    <w:rsid w:val="004C5280"/>
    <w:rsid w:val="004C531E"/>
    <w:rsid w:val="004C538C"/>
    <w:rsid w:val="004C538D"/>
    <w:rsid w:val="004C545D"/>
    <w:rsid w:val="004C54A2"/>
    <w:rsid w:val="004C54CC"/>
    <w:rsid w:val="004C56EC"/>
    <w:rsid w:val="004C57B2"/>
    <w:rsid w:val="004C58FD"/>
    <w:rsid w:val="004C5945"/>
    <w:rsid w:val="004C59F5"/>
    <w:rsid w:val="004C5A9E"/>
    <w:rsid w:val="004C5AA5"/>
    <w:rsid w:val="004C5D45"/>
    <w:rsid w:val="004C5DF5"/>
    <w:rsid w:val="004C5E28"/>
    <w:rsid w:val="004C5F08"/>
    <w:rsid w:val="004C5F19"/>
    <w:rsid w:val="004C5FC5"/>
    <w:rsid w:val="004C608C"/>
    <w:rsid w:val="004C60A8"/>
    <w:rsid w:val="004C6258"/>
    <w:rsid w:val="004C6316"/>
    <w:rsid w:val="004C63D7"/>
    <w:rsid w:val="004C6426"/>
    <w:rsid w:val="004C650E"/>
    <w:rsid w:val="004C6544"/>
    <w:rsid w:val="004C6686"/>
    <w:rsid w:val="004C6694"/>
    <w:rsid w:val="004C67A1"/>
    <w:rsid w:val="004C67E4"/>
    <w:rsid w:val="004C6873"/>
    <w:rsid w:val="004C68A4"/>
    <w:rsid w:val="004C6B3C"/>
    <w:rsid w:val="004C6C20"/>
    <w:rsid w:val="004C6CAB"/>
    <w:rsid w:val="004C6CC6"/>
    <w:rsid w:val="004C6CF6"/>
    <w:rsid w:val="004C6D30"/>
    <w:rsid w:val="004C6D70"/>
    <w:rsid w:val="004C6EE9"/>
    <w:rsid w:val="004C6FE8"/>
    <w:rsid w:val="004C7073"/>
    <w:rsid w:val="004C70CA"/>
    <w:rsid w:val="004C7110"/>
    <w:rsid w:val="004C7121"/>
    <w:rsid w:val="004C7182"/>
    <w:rsid w:val="004C7185"/>
    <w:rsid w:val="004C71FD"/>
    <w:rsid w:val="004C726E"/>
    <w:rsid w:val="004C73BF"/>
    <w:rsid w:val="004C73CE"/>
    <w:rsid w:val="004C7478"/>
    <w:rsid w:val="004C7511"/>
    <w:rsid w:val="004C76AF"/>
    <w:rsid w:val="004C76C5"/>
    <w:rsid w:val="004C7892"/>
    <w:rsid w:val="004C7BDE"/>
    <w:rsid w:val="004C7C2C"/>
    <w:rsid w:val="004C7DD9"/>
    <w:rsid w:val="004C7E03"/>
    <w:rsid w:val="004C7E36"/>
    <w:rsid w:val="004C7F59"/>
    <w:rsid w:val="004D0264"/>
    <w:rsid w:val="004D02F1"/>
    <w:rsid w:val="004D0324"/>
    <w:rsid w:val="004D0329"/>
    <w:rsid w:val="004D03D1"/>
    <w:rsid w:val="004D0443"/>
    <w:rsid w:val="004D0460"/>
    <w:rsid w:val="004D0640"/>
    <w:rsid w:val="004D06B1"/>
    <w:rsid w:val="004D07F1"/>
    <w:rsid w:val="004D0B07"/>
    <w:rsid w:val="004D0B56"/>
    <w:rsid w:val="004D0B9C"/>
    <w:rsid w:val="004D0BD7"/>
    <w:rsid w:val="004D0C39"/>
    <w:rsid w:val="004D0C83"/>
    <w:rsid w:val="004D0CA5"/>
    <w:rsid w:val="004D0D19"/>
    <w:rsid w:val="004D0E77"/>
    <w:rsid w:val="004D0E78"/>
    <w:rsid w:val="004D0EC8"/>
    <w:rsid w:val="004D0F01"/>
    <w:rsid w:val="004D108F"/>
    <w:rsid w:val="004D1141"/>
    <w:rsid w:val="004D1172"/>
    <w:rsid w:val="004D11BD"/>
    <w:rsid w:val="004D11F7"/>
    <w:rsid w:val="004D1220"/>
    <w:rsid w:val="004D12A0"/>
    <w:rsid w:val="004D12BF"/>
    <w:rsid w:val="004D12F1"/>
    <w:rsid w:val="004D146B"/>
    <w:rsid w:val="004D173F"/>
    <w:rsid w:val="004D17B8"/>
    <w:rsid w:val="004D1905"/>
    <w:rsid w:val="004D1917"/>
    <w:rsid w:val="004D19A7"/>
    <w:rsid w:val="004D1A18"/>
    <w:rsid w:val="004D1A80"/>
    <w:rsid w:val="004D1AE0"/>
    <w:rsid w:val="004D1C19"/>
    <w:rsid w:val="004D1D0C"/>
    <w:rsid w:val="004D1DFD"/>
    <w:rsid w:val="004D1E13"/>
    <w:rsid w:val="004D1E14"/>
    <w:rsid w:val="004D1E60"/>
    <w:rsid w:val="004D1FC0"/>
    <w:rsid w:val="004D1FCB"/>
    <w:rsid w:val="004D2020"/>
    <w:rsid w:val="004D2082"/>
    <w:rsid w:val="004D2157"/>
    <w:rsid w:val="004D221E"/>
    <w:rsid w:val="004D2257"/>
    <w:rsid w:val="004D22A0"/>
    <w:rsid w:val="004D22AE"/>
    <w:rsid w:val="004D22CE"/>
    <w:rsid w:val="004D25DD"/>
    <w:rsid w:val="004D2669"/>
    <w:rsid w:val="004D271C"/>
    <w:rsid w:val="004D2779"/>
    <w:rsid w:val="004D29A9"/>
    <w:rsid w:val="004D2A7C"/>
    <w:rsid w:val="004D2A8C"/>
    <w:rsid w:val="004D2B79"/>
    <w:rsid w:val="004D2B8F"/>
    <w:rsid w:val="004D2C24"/>
    <w:rsid w:val="004D2C50"/>
    <w:rsid w:val="004D2C53"/>
    <w:rsid w:val="004D2C82"/>
    <w:rsid w:val="004D2D0D"/>
    <w:rsid w:val="004D2D4E"/>
    <w:rsid w:val="004D2D70"/>
    <w:rsid w:val="004D2FE8"/>
    <w:rsid w:val="004D30B7"/>
    <w:rsid w:val="004D30D0"/>
    <w:rsid w:val="004D30DE"/>
    <w:rsid w:val="004D312F"/>
    <w:rsid w:val="004D320D"/>
    <w:rsid w:val="004D3247"/>
    <w:rsid w:val="004D32E4"/>
    <w:rsid w:val="004D32EB"/>
    <w:rsid w:val="004D346D"/>
    <w:rsid w:val="004D34A4"/>
    <w:rsid w:val="004D34C8"/>
    <w:rsid w:val="004D352E"/>
    <w:rsid w:val="004D363A"/>
    <w:rsid w:val="004D36A9"/>
    <w:rsid w:val="004D36D3"/>
    <w:rsid w:val="004D374E"/>
    <w:rsid w:val="004D38F1"/>
    <w:rsid w:val="004D390D"/>
    <w:rsid w:val="004D3937"/>
    <w:rsid w:val="004D3A96"/>
    <w:rsid w:val="004D3B2F"/>
    <w:rsid w:val="004D3C60"/>
    <w:rsid w:val="004D3C97"/>
    <w:rsid w:val="004D3CA8"/>
    <w:rsid w:val="004D3E4A"/>
    <w:rsid w:val="004D3E72"/>
    <w:rsid w:val="004D3FE1"/>
    <w:rsid w:val="004D3FE5"/>
    <w:rsid w:val="004D4042"/>
    <w:rsid w:val="004D4130"/>
    <w:rsid w:val="004D41B1"/>
    <w:rsid w:val="004D4210"/>
    <w:rsid w:val="004D436D"/>
    <w:rsid w:val="004D44F4"/>
    <w:rsid w:val="004D4506"/>
    <w:rsid w:val="004D46A1"/>
    <w:rsid w:val="004D4789"/>
    <w:rsid w:val="004D4942"/>
    <w:rsid w:val="004D499E"/>
    <w:rsid w:val="004D49A1"/>
    <w:rsid w:val="004D4A8E"/>
    <w:rsid w:val="004D4AF6"/>
    <w:rsid w:val="004D4B42"/>
    <w:rsid w:val="004D4BD4"/>
    <w:rsid w:val="004D4CA8"/>
    <w:rsid w:val="004D4D82"/>
    <w:rsid w:val="004D5009"/>
    <w:rsid w:val="004D5019"/>
    <w:rsid w:val="004D506D"/>
    <w:rsid w:val="004D507B"/>
    <w:rsid w:val="004D522C"/>
    <w:rsid w:val="004D5236"/>
    <w:rsid w:val="004D536E"/>
    <w:rsid w:val="004D539F"/>
    <w:rsid w:val="004D5461"/>
    <w:rsid w:val="004D5477"/>
    <w:rsid w:val="004D5512"/>
    <w:rsid w:val="004D554D"/>
    <w:rsid w:val="004D5555"/>
    <w:rsid w:val="004D555B"/>
    <w:rsid w:val="004D5564"/>
    <w:rsid w:val="004D55D6"/>
    <w:rsid w:val="004D5603"/>
    <w:rsid w:val="004D5798"/>
    <w:rsid w:val="004D590B"/>
    <w:rsid w:val="004D596A"/>
    <w:rsid w:val="004D5980"/>
    <w:rsid w:val="004D5999"/>
    <w:rsid w:val="004D5AFF"/>
    <w:rsid w:val="004D5B3C"/>
    <w:rsid w:val="004D5BD0"/>
    <w:rsid w:val="004D5F5F"/>
    <w:rsid w:val="004D5F89"/>
    <w:rsid w:val="004D6019"/>
    <w:rsid w:val="004D60EA"/>
    <w:rsid w:val="004D6123"/>
    <w:rsid w:val="004D6152"/>
    <w:rsid w:val="004D61AB"/>
    <w:rsid w:val="004D6233"/>
    <w:rsid w:val="004D6244"/>
    <w:rsid w:val="004D62CD"/>
    <w:rsid w:val="004D62F4"/>
    <w:rsid w:val="004D63D4"/>
    <w:rsid w:val="004D6450"/>
    <w:rsid w:val="004D659F"/>
    <w:rsid w:val="004D6615"/>
    <w:rsid w:val="004D6653"/>
    <w:rsid w:val="004D6760"/>
    <w:rsid w:val="004D6769"/>
    <w:rsid w:val="004D67D2"/>
    <w:rsid w:val="004D67E6"/>
    <w:rsid w:val="004D6875"/>
    <w:rsid w:val="004D69B3"/>
    <w:rsid w:val="004D6AF7"/>
    <w:rsid w:val="004D6CA5"/>
    <w:rsid w:val="004D6E3D"/>
    <w:rsid w:val="004D6E68"/>
    <w:rsid w:val="004D6EB6"/>
    <w:rsid w:val="004D6FC0"/>
    <w:rsid w:val="004D71E1"/>
    <w:rsid w:val="004D7206"/>
    <w:rsid w:val="004D726B"/>
    <w:rsid w:val="004D7281"/>
    <w:rsid w:val="004D72CE"/>
    <w:rsid w:val="004D733E"/>
    <w:rsid w:val="004D7418"/>
    <w:rsid w:val="004D746D"/>
    <w:rsid w:val="004D74FE"/>
    <w:rsid w:val="004D7562"/>
    <w:rsid w:val="004D75F5"/>
    <w:rsid w:val="004D7655"/>
    <w:rsid w:val="004D782A"/>
    <w:rsid w:val="004D79B5"/>
    <w:rsid w:val="004D79EC"/>
    <w:rsid w:val="004D7AC3"/>
    <w:rsid w:val="004D7B16"/>
    <w:rsid w:val="004D7B19"/>
    <w:rsid w:val="004D7B92"/>
    <w:rsid w:val="004D7C06"/>
    <w:rsid w:val="004D7C17"/>
    <w:rsid w:val="004D7C35"/>
    <w:rsid w:val="004D7C4A"/>
    <w:rsid w:val="004D7CF8"/>
    <w:rsid w:val="004D7D4B"/>
    <w:rsid w:val="004D7E53"/>
    <w:rsid w:val="004D7EBE"/>
    <w:rsid w:val="004D7EC5"/>
    <w:rsid w:val="004D7F36"/>
    <w:rsid w:val="004D7F47"/>
    <w:rsid w:val="004E002A"/>
    <w:rsid w:val="004E00A2"/>
    <w:rsid w:val="004E012C"/>
    <w:rsid w:val="004E01CB"/>
    <w:rsid w:val="004E0248"/>
    <w:rsid w:val="004E02A1"/>
    <w:rsid w:val="004E0461"/>
    <w:rsid w:val="004E049B"/>
    <w:rsid w:val="004E04BA"/>
    <w:rsid w:val="004E052F"/>
    <w:rsid w:val="004E054B"/>
    <w:rsid w:val="004E057E"/>
    <w:rsid w:val="004E05E0"/>
    <w:rsid w:val="004E0678"/>
    <w:rsid w:val="004E0682"/>
    <w:rsid w:val="004E06B1"/>
    <w:rsid w:val="004E06D5"/>
    <w:rsid w:val="004E0780"/>
    <w:rsid w:val="004E0787"/>
    <w:rsid w:val="004E07AC"/>
    <w:rsid w:val="004E07C0"/>
    <w:rsid w:val="004E086A"/>
    <w:rsid w:val="004E08E9"/>
    <w:rsid w:val="004E09FC"/>
    <w:rsid w:val="004E0A33"/>
    <w:rsid w:val="004E0AD9"/>
    <w:rsid w:val="004E0AE6"/>
    <w:rsid w:val="004E0D51"/>
    <w:rsid w:val="004E0DFE"/>
    <w:rsid w:val="004E0E43"/>
    <w:rsid w:val="004E0E78"/>
    <w:rsid w:val="004E0EBF"/>
    <w:rsid w:val="004E11DB"/>
    <w:rsid w:val="004E1268"/>
    <w:rsid w:val="004E1325"/>
    <w:rsid w:val="004E13AC"/>
    <w:rsid w:val="004E13E8"/>
    <w:rsid w:val="004E142F"/>
    <w:rsid w:val="004E14A0"/>
    <w:rsid w:val="004E1568"/>
    <w:rsid w:val="004E167B"/>
    <w:rsid w:val="004E16D0"/>
    <w:rsid w:val="004E1764"/>
    <w:rsid w:val="004E177E"/>
    <w:rsid w:val="004E1830"/>
    <w:rsid w:val="004E1892"/>
    <w:rsid w:val="004E18B2"/>
    <w:rsid w:val="004E1923"/>
    <w:rsid w:val="004E194D"/>
    <w:rsid w:val="004E195C"/>
    <w:rsid w:val="004E1970"/>
    <w:rsid w:val="004E1980"/>
    <w:rsid w:val="004E1A39"/>
    <w:rsid w:val="004E1AF9"/>
    <w:rsid w:val="004E1B35"/>
    <w:rsid w:val="004E1C12"/>
    <w:rsid w:val="004E1DA3"/>
    <w:rsid w:val="004E1EEF"/>
    <w:rsid w:val="004E1F20"/>
    <w:rsid w:val="004E1F78"/>
    <w:rsid w:val="004E20F6"/>
    <w:rsid w:val="004E212B"/>
    <w:rsid w:val="004E21ED"/>
    <w:rsid w:val="004E21FC"/>
    <w:rsid w:val="004E222E"/>
    <w:rsid w:val="004E2388"/>
    <w:rsid w:val="004E23B7"/>
    <w:rsid w:val="004E2413"/>
    <w:rsid w:val="004E249B"/>
    <w:rsid w:val="004E24CD"/>
    <w:rsid w:val="004E259C"/>
    <w:rsid w:val="004E259E"/>
    <w:rsid w:val="004E25C5"/>
    <w:rsid w:val="004E25CF"/>
    <w:rsid w:val="004E260C"/>
    <w:rsid w:val="004E26C0"/>
    <w:rsid w:val="004E27D1"/>
    <w:rsid w:val="004E27EE"/>
    <w:rsid w:val="004E287B"/>
    <w:rsid w:val="004E291E"/>
    <w:rsid w:val="004E29F5"/>
    <w:rsid w:val="004E29FA"/>
    <w:rsid w:val="004E2A7F"/>
    <w:rsid w:val="004E2AC2"/>
    <w:rsid w:val="004E2B33"/>
    <w:rsid w:val="004E2C13"/>
    <w:rsid w:val="004E2D53"/>
    <w:rsid w:val="004E2D8D"/>
    <w:rsid w:val="004E2E40"/>
    <w:rsid w:val="004E2E69"/>
    <w:rsid w:val="004E2E76"/>
    <w:rsid w:val="004E2EBA"/>
    <w:rsid w:val="004E2FD6"/>
    <w:rsid w:val="004E3049"/>
    <w:rsid w:val="004E3063"/>
    <w:rsid w:val="004E30B8"/>
    <w:rsid w:val="004E30F8"/>
    <w:rsid w:val="004E3178"/>
    <w:rsid w:val="004E31A7"/>
    <w:rsid w:val="004E31BA"/>
    <w:rsid w:val="004E3207"/>
    <w:rsid w:val="004E3269"/>
    <w:rsid w:val="004E3313"/>
    <w:rsid w:val="004E3380"/>
    <w:rsid w:val="004E34DB"/>
    <w:rsid w:val="004E3533"/>
    <w:rsid w:val="004E3572"/>
    <w:rsid w:val="004E35C7"/>
    <w:rsid w:val="004E35D2"/>
    <w:rsid w:val="004E3669"/>
    <w:rsid w:val="004E36B4"/>
    <w:rsid w:val="004E373D"/>
    <w:rsid w:val="004E37A6"/>
    <w:rsid w:val="004E3813"/>
    <w:rsid w:val="004E392F"/>
    <w:rsid w:val="004E39B5"/>
    <w:rsid w:val="004E3B4F"/>
    <w:rsid w:val="004E3B78"/>
    <w:rsid w:val="004E3C86"/>
    <w:rsid w:val="004E3C9B"/>
    <w:rsid w:val="004E3D07"/>
    <w:rsid w:val="004E3D52"/>
    <w:rsid w:val="004E3DBB"/>
    <w:rsid w:val="004E3DEF"/>
    <w:rsid w:val="004E3EE8"/>
    <w:rsid w:val="004E3F0E"/>
    <w:rsid w:val="004E3F23"/>
    <w:rsid w:val="004E3FC5"/>
    <w:rsid w:val="004E4049"/>
    <w:rsid w:val="004E415B"/>
    <w:rsid w:val="004E42E3"/>
    <w:rsid w:val="004E42E5"/>
    <w:rsid w:val="004E431C"/>
    <w:rsid w:val="004E43F8"/>
    <w:rsid w:val="004E4483"/>
    <w:rsid w:val="004E44C7"/>
    <w:rsid w:val="004E457D"/>
    <w:rsid w:val="004E45B8"/>
    <w:rsid w:val="004E47A8"/>
    <w:rsid w:val="004E4A1F"/>
    <w:rsid w:val="004E4A30"/>
    <w:rsid w:val="004E4A73"/>
    <w:rsid w:val="004E4B9E"/>
    <w:rsid w:val="004E4BF1"/>
    <w:rsid w:val="004E4C69"/>
    <w:rsid w:val="004E4EB1"/>
    <w:rsid w:val="004E4F73"/>
    <w:rsid w:val="004E4F81"/>
    <w:rsid w:val="004E50C7"/>
    <w:rsid w:val="004E512A"/>
    <w:rsid w:val="004E5190"/>
    <w:rsid w:val="004E524C"/>
    <w:rsid w:val="004E5317"/>
    <w:rsid w:val="004E544D"/>
    <w:rsid w:val="004E5485"/>
    <w:rsid w:val="004E54B6"/>
    <w:rsid w:val="004E5568"/>
    <w:rsid w:val="004E55B8"/>
    <w:rsid w:val="004E55CB"/>
    <w:rsid w:val="004E55CC"/>
    <w:rsid w:val="004E5650"/>
    <w:rsid w:val="004E56C9"/>
    <w:rsid w:val="004E59DB"/>
    <w:rsid w:val="004E59F4"/>
    <w:rsid w:val="004E5A2A"/>
    <w:rsid w:val="004E5A2E"/>
    <w:rsid w:val="004E5A6D"/>
    <w:rsid w:val="004E5A72"/>
    <w:rsid w:val="004E5A94"/>
    <w:rsid w:val="004E5A9B"/>
    <w:rsid w:val="004E5AD1"/>
    <w:rsid w:val="004E5AE4"/>
    <w:rsid w:val="004E5BD4"/>
    <w:rsid w:val="004E5C18"/>
    <w:rsid w:val="004E5D04"/>
    <w:rsid w:val="004E5D12"/>
    <w:rsid w:val="004E5EB5"/>
    <w:rsid w:val="004E5F3D"/>
    <w:rsid w:val="004E6051"/>
    <w:rsid w:val="004E6065"/>
    <w:rsid w:val="004E61CB"/>
    <w:rsid w:val="004E6263"/>
    <w:rsid w:val="004E627D"/>
    <w:rsid w:val="004E62C2"/>
    <w:rsid w:val="004E651E"/>
    <w:rsid w:val="004E65F1"/>
    <w:rsid w:val="004E65F6"/>
    <w:rsid w:val="004E666D"/>
    <w:rsid w:val="004E6719"/>
    <w:rsid w:val="004E68C1"/>
    <w:rsid w:val="004E6A03"/>
    <w:rsid w:val="004E6A43"/>
    <w:rsid w:val="004E6B2E"/>
    <w:rsid w:val="004E6B39"/>
    <w:rsid w:val="004E6B5A"/>
    <w:rsid w:val="004E6B82"/>
    <w:rsid w:val="004E6C2A"/>
    <w:rsid w:val="004E6D37"/>
    <w:rsid w:val="004E6EBE"/>
    <w:rsid w:val="004E6FF2"/>
    <w:rsid w:val="004E6FFE"/>
    <w:rsid w:val="004E7044"/>
    <w:rsid w:val="004E706C"/>
    <w:rsid w:val="004E70F0"/>
    <w:rsid w:val="004E717E"/>
    <w:rsid w:val="004E71A4"/>
    <w:rsid w:val="004E720B"/>
    <w:rsid w:val="004E72F5"/>
    <w:rsid w:val="004E72F9"/>
    <w:rsid w:val="004E73C9"/>
    <w:rsid w:val="004E7406"/>
    <w:rsid w:val="004E764B"/>
    <w:rsid w:val="004E7738"/>
    <w:rsid w:val="004E7792"/>
    <w:rsid w:val="004E7861"/>
    <w:rsid w:val="004E78D5"/>
    <w:rsid w:val="004E79AA"/>
    <w:rsid w:val="004E79FD"/>
    <w:rsid w:val="004E7B85"/>
    <w:rsid w:val="004E7B91"/>
    <w:rsid w:val="004E7C0C"/>
    <w:rsid w:val="004E7C75"/>
    <w:rsid w:val="004E7D5F"/>
    <w:rsid w:val="004E7D64"/>
    <w:rsid w:val="004E7DA1"/>
    <w:rsid w:val="004E7DC0"/>
    <w:rsid w:val="004E7DFD"/>
    <w:rsid w:val="004E7E02"/>
    <w:rsid w:val="004E7E20"/>
    <w:rsid w:val="004E7E57"/>
    <w:rsid w:val="004E7E92"/>
    <w:rsid w:val="004E7F59"/>
    <w:rsid w:val="004E7F71"/>
    <w:rsid w:val="004F0011"/>
    <w:rsid w:val="004F00E3"/>
    <w:rsid w:val="004F0112"/>
    <w:rsid w:val="004F0210"/>
    <w:rsid w:val="004F0229"/>
    <w:rsid w:val="004F0245"/>
    <w:rsid w:val="004F0301"/>
    <w:rsid w:val="004F038A"/>
    <w:rsid w:val="004F05C4"/>
    <w:rsid w:val="004F0726"/>
    <w:rsid w:val="004F080B"/>
    <w:rsid w:val="004F08F9"/>
    <w:rsid w:val="004F094E"/>
    <w:rsid w:val="004F0A62"/>
    <w:rsid w:val="004F0AAA"/>
    <w:rsid w:val="004F0ADD"/>
    <w:rsid w:val="004F0B48"/>
    <w:rsid w:val="004F0B7F"/>
    <w:rsid w:val="004F0B8C"/>
    <w:rsid w:val="004F0D2A"/>
    <w:rsid w:val="004F0D44"/>
    <w:rsid w:val="004F0D77"/>
    <w:rsid w:val="004F0D87"/>
    <w:rsid w:val="004F0D8C"/>
    <w:rsid w:val="004F0EA3"/>
    <w:rsid w:val="004F0F48"/>
    <w:rsid w:val="004F0F7E"/>
    <w:rsid w:val="004F10FC"/>
    <w:rsid w:val="004F1330"/>
    <w:rsid w:val="004F13C6"/>
    <w:rsid w:val="004F1461"/>
    <w:rsid w:val="004F14DA"/>
    <w:rsid w:val="004F15B1"/>
    <w:rsid w:val="004F15BD"/>
    <w:rsid w:val="004F160C"/>
    <w:rsid w:val="004F16A8"/>
    <w:rsid w:val="004F173C"/>
    <w:rsid w:val="004F186D"/>
    <w:rsid w:val="004F1976"/>
    <w:rsid w:val="004F1AED"/>
    <w:rsid w:val="004F1B10"/>
    <w:rsid w:val="004F1C40"/>
    <w:rsid w:val="004F1CE6"/>
    <w:rsid w:val="004F1D00"/>
    <w:rsid w:val="004F1DFF"/>
    <w:rsid w:val="004F1EC1"/>
    <w:rsid w:val="004F1EC9"/>
    <w:rsid w:val="004F1ECF"/>
    <w:rsid w:val="004F1F03"/>
    <w:rsid w:val="004F1F97"/>
    <w:rsid w:val="004F2263"/>
    <w:rsid w:val="004F22F8"/>
    <w:rsid w:val="004F232D"/>
    <w:rsid w:val="004F232E"/>
    <w:rsid w:val="004F2402"/>
    <w:rsid w:val="004F24D4"/>
    <w:rsid w:val="004F2659"/>
    <w:rsid w:val="004F26B4"/>
    <w:rsid w:val="004F26C9"/>
    <w:rsid w:val="004F26CC"/>
    <w:rsid w:val="004F26D5"/>
    <w:rsid w:val="004F27C3"/>
    <w:rsid w:val="004F28CF"/>
    <w:rsid w:val="004F28F6"/>
    <w:rsid w:val="004F2A68"/>
    <w:rsid w:val="004F2BA4"/>
    <w:rsid w:val="004F2C56"/>
    <w:rsid w:val="004F2CB2"/>
    <w:rsid w:val="004F2CE4"/>
    <w:rsid w:val="004F2EC6"/>
    <w:rsid w:val="004F2F52"/>
    <w:rsid w:val="004F2F57"/>
    <w:rsid w:val="004F2F8E"/>
    <w:rsid w:val="004F30B5"/>
    <w:rsid w:val="004F30BB"/>
    <w:rsid w:val="004F31D7"/>
    <w:rsid w:val="004F3391"/>
    <w:rsid w:val="004F347B"/>
    <w:rsid w:val="004F35AD"/>
    <w:rsid w:val="004F3659"/>
    <w:rsid w:val="004F3796"/>
    <w:rsid w:val="004F3874"/>
    <w:rsid w:val="004F38B6"/>
    <w:rsid w:val="004F3AD1"/>
    <w:rsid w:val="004F3B1B"/>
    <w:rsid w:val="004F3BCE"/>
    <w:rsid w:val="004F3CDC"/>
    <w:rsid w:val="004F3CEF"/>
    <w:rsid w:val="004F3CFD"/>
    <w:rsid w:val="004F3EED"/>
    <w:rsid w:val="004F3F3B"/>
    <w:rsid w:val="004F3FC8"/>
    <w:rsid w:val="004F4004"/>
    <w:rsid w:val="004F405D"/>
    <w:rsid w:val="004F4214"/>
    <w:rsid w:val="004F4263"/>
    <w:rsid w:val="004F4370"/>
    <w:rsid w:val="004F43B7"/>
    <w:rsid w:val="004F4463"/>
    <w:rsid w:val="004F454D"/>
    <w:rsid w:val="004F45F7"/>
    <w:rsid w:val="004F462A"/>
    <w:rsid w:val="004F46A4"/>
    <w:rsid w:val="004F47CF"/>
    <w:rsid w:val="004F47F1"/>
    <w:rsid w:val="004F4A3A"/>
    <w:rsid w:val="004F4A5B"/>
    <w:rsid w:val="004F4B1B"/>
    <w:rsid w:val="004F4BBE"/>
    <w:rsid w:val="004F4BC8"/>
    <w:rsid w:val="004F4BDD"/>
    <w:rsid w:val="004F4C55"/>
    <w:rsid w:val="004F4CA8"/>
    <w:rsid w:val="004F4CDB"/>
    <w:rsid w:val="004F4CE3"/>
    <w:rsid w:val="004F4DA3"/>
    <w:rsid w:val="004F4E1C"/>
    <w:rsid w:val="004F4E36"/>
    <w:rsid w:val="004F4ECC"/>
    <w:rsid w:val="004F5052"/>
    <w:rsid w:val="004F5249"/>
    <w:rsid w:val="004F5402"/>
    <w:rsid w:val="004F541C"/>
    <w:rsid w:val="004F5462"/>
    <w:rsid w:val="004F5517"/>
    <w:rsid w:val="004F55ED"/>
    <w:rsid w:val="004F5628"/>
    <w:rsid w:val="004F5676"/>
    <w:rsid w:val="004F5993"/>
    <w:rsid w:val="004F5A67"/>
    <w:rsid w:val="004F5B38"/>
    <w:rsid w:val="004F5BF1"/>
    <w:rsid w:val="004F5D04"/>
    <w:rsid w:val="004F5D66"/>
    <w:rsid w:val="004F5D77"/>
    <w:rsid w:val="004F5D8C"/>
    <w:rsid w:val="004F5FCD"/>
    <w:rsid w:val="004F6010"/>
    <w:rsid w:val="004F6014"/>
    <w:rsid w:val="004F6022"/>
    <w:rsid w:val="004F6065"/>
    <w:rsid w:val="004F6106"/>
    <w:rsid w:val="004F6361"/>
    <w:rsid w:val="004F639C"/>
    <w:rsid w:val="004F6474"/>
    <w:rsid w:val="004F64DE"/>
    <w:rsid w:val="004F64EC"/>
    <w:rsid w:val="004F653A"/>
    <w:rsid w:val="004F6637"/>
    <w:rsid w:val="004F68F2"/>
    <w:rsid w:val="004F693D"/>
    <w:rsid w:val="004F6966"/>
    <w:rsid w:val="004F69E4"/>
    <w:rsid w:val="004F6A92"/>
    <w:rsid w:val="004F6B35"/>
    <w:rsid w:val="004F6C4C"/>
    <w:rsid w:val="004F6DBB"/>
    <w:rsid w:val="004F6E03"/>
    <w:rsid w:val="004F6E1D"/>
    <w:rsid w:val="004F6E6B"/>
    <w:rsid w:val="004F7055"/>
    <w:rsid w:val="004F70F3"/>
    <w:rsid w:val="004F7185"/>
    <w:rsid w:val="004F723B"/>
    <w:rsid w:val="004F732A"/>
    <w:rsid w:val="004F7394"/>
    <w:rsid w:val="004F73B7"/>
    <w:rsid w:val="004F73D1"/>
    <w:rsid w:val="004F7502"/>
    <w:rsid w:val="004F765A"/>
    <w:rsid w:val="004F7697"/>
    <w:rsid w:val="004F7698"/>
    <w:rsid w:val="004F76B9"/>
    <w:rsid w:val="004F772F"/>
    <w:rsid w:val="004F7830"/>
    <w:rsid w:val="004F7969"/>
    <w:rsid w:val="004F7994"/>
    <w:rsid w:val="004F79F0"/>
    <w:rsid w:val="004F7ACD"/>
    <w:rsid w:val="004F7B82"/>
    <w:rsid w:val="004F7B9A"/>
    <w:rsid w:val="004F7C82"/>
    <w:rsid w:val="004F7EF1"/>
    <w:rsid w:val="004F7F6C"/>
    <w:rsid w:val="004F7FC2"/>
    <w:rsid w:val="004F7FC6"/>
    <w:rsid w:val="00500037"/>
    <w:rsid w:val="005000B8"/>
    <w:rsid w:val="00500118"/>
    <w:rsid w:val="0050022B"/>
    <w:rsid w:val="005002F1"/>
    <w:rsid w:val="00500353"/>
    <w:rsid w:val="00500358"/>
    <w:rsid w:val="005004D1"/>
    <w:rsid w:val="00500594"/>
    <w:rsid w:val="005005C1"/>
    <w:rsid w:val="005005DD"/>
    <w:rsid w:val="00500665"/>
    <w:rsid w:val="00500704"/>
    <w:rsid w:val="005007C4"/>
    <w:rsid w:val="005007DE"/>
    <w:rsid w:val="0050095E"/>
    <w:rsid w:val="00500B9B"/>
    <w:rsid w:val="00500C9B"/>
    <w:rsid w:val="00500CEA"/>
    <w:rsid w:val="00500D52"/>
    <w:rsid w:val="00500D85"/>
    <w:rsid w:val="00500E03"/>
    <w:rsid w:val="00500F98"/>
    <w:rsid w:val="0050113A"/>
    <w:rsid w:val="0050115E"/>
    <w:rsid w:val="005012A8"/>
    <w:rsid w:val="00501339"/>
    <w:rsid w:val="00501344"/>
    <w:rsid w:val="005013B3"/>
    <w:rsid w:val="0050143F"/>
    <w:rsid w:val="00501651"/>
    <w:rsid w:val="005018CA"/>
    <w:rsid w:val="00501BA3"/>
    <w:rsid w:val="00501DFD"/>
    <w:rsid w:val="00501E03"/>
    <w:rsid w:val="00501E6B"/>
    <w:rsid w:val="00501EC4"/>
    <w:rsid w:val="00501F6E"/>
    <w:rsid w:val="00501FFD"/>
    <w:rsid w:val="00502133"/>
    <w:rsid w:val="00502153"/>
    <w:rsid w:val="005021F2"/>
    <w:rsid w:val="00502252"/>
    <w:rsid w:val="005022DB"/>
    <w:rsid w:val="00502392"/>
    <w:rsid w:val="005024BA"/>
    <w:rsid w:val="0050261E"/>
    <w:rsid w:val="00502674"/>
    <w:rsid w:val="005026C2"/>
    <w:rsid w:val="00502742"/>
    <w:rsid w:val="00502762"/>
    <w:rsid w:val="00502763"/>
    <w:rsid w:val="00502AD1"/>
    <w:rsid w:val="00502AED"/>
    <w:rsid w:val="00502B9F"/>
    <w:rsid w:val="00502C86"/>
    <w:rsid w:val="00502E08"/>
    <w:rsid w:val="00502E2A"/>
    <w:rsid w:val="00502FBF"/>
    <w:rsid w:val="0050309B"/>
    <w:rsid w:val="005030ED"/>
    <w:rsid w:val="005031C1"/>
    <w:rsid w:val="00503431"/>
    <w:rsid w:val="005034DC"/>
    <w:rsid w:val="0050350A"/>
    <w:rsid w:val="00503661"/>
    <w:rsid w:val="005036D5"/>
    <w:rsid w:val="0050370E"/>
    <w:rsid w:val="0050384D"/>
    <w:rsid w:val="00503850"/>
    <w:rsid w:val="0050390D"/>
    <w:rsid w:val="00503A0B"/>
    <w:rsid w:val="00503A13"/>
    <w:rsid w:val="00503AFC"/>
    <w:rsid w:val="00503B15"/>
    <w:rsid w:val="00503D06"/>
    <w:rsid w:val="00503D1C"/>
    <w:rsid w:val="00503D45"/>
    <w:rsid w:val="00503D9F"/>
    <w:rsid w:val="00503DD5"/>
    <w:rsid w:val="00503E71"/>
    <w:rsid w:val="00503EB0"/>
    <w:rsid w:val="00503F05"/>
    <w:rsid w:val="00503F14"/>
    <w:rsid w:val="00503F53"/>
    <w:rsid w:val="00503FED"/>
    <w:rsid w:val="005041E4"/>
    <w:rsid w:val="00504209"/>
    <w:rsid w:val="00504237"/>
    <w:rsid w:val="00504337"/>
    <w:rsid w:val="005043DA"/>
    <w:rsid w:val="00504404"/>
    <w:rsid w:val="00504423"/>
    <w:rsid w:val="00504458"/>
    <w:rsid w:val="005044FB"/>
    <w:rsid w:val="0050452D"/>
    <w:rsid w:val="005046FF"/>
    <w:rsid w:val="0050473F"/>
    <w:rsid w:val="00504824"/>
    <w:rsid w:val="005048B7"/>
    <w:rsid w:val="005048E9"/>
    <w:rsid w:val="00504965"/>
    <w:rsid w:val="00504BF6"/>
    <w:rsid w:val="00504D31"/>
    <w:rsid w:val="00504D57"/>
    <w:rsid w:val="00504EB2"/>
    <w:rsid w:val="00504FCD"/>
    <w:rsid w:val="005050C1"/>
    <w:rsid w:val="0050511B"/>
    <w:rsid w:val="00505176"/>
    <w:rsid w:val="00505257"/>
    <w:rsid w:val="00505292"/>
    <w:rsid w:val="005052C0"/>
    <w:rsid w:val="005054BB"/>
    <w:rsid w:val="005054CD"/>
    <w:rsid w:val="005054FA"/>
    <w:rsid w:val="00505588"/>
    <w:rsid w:val="00505712"/>
    <w:rsid w:val="005057A3"/>
    <w:rsid w:val="005057DF"/>
    <w:rsid w:val="00505852"/>
    <w:rsid w:val="005058CC"/>
    <w:rsid w:val="005058CF"/>
    <w:rsid w:val="00505986"/>
    <w:rsid w:val="00505B5E"/>
    <w:rsid w:val="00505B88"/>
    <w:rsid w:val="00505CA4"/>
    <w:rsid w:val="00505CC3"/>
    <w:rsid w:val="00505D73"/>
    <w:rsid w:val="00505D7A"/>
    <w:rsid w:val="00505D7C"/>
    <w:rsid w:val="00505D8E"/>
    <w:rsid w:val="00505E2E"/>
    <w:rsid w:val="00505F14"/>
    <w:rsid w:val="00506008"/>
    <w:rsid w:val="005060DD"/>
    <w:rsid w:val="005061B6"/>
    <w:rsid w:val="00506362"/>
    <w:rsid w:val="00506394"/>
    <w:rsid w:val="00506471"/>
    <w:rsid w:val="005064C1"/>
    <w:rsid w:val="0050653B"/>
    <w:rsid w:val="005065BE"/>
    <w:rsid w:val="005065D3"/>
    <w:rsid w:val="00506741"/>
    <w:rsid w:val="005067C6"/>
    <w:rsid w:val="00506825"/>
    <w:rsid w:val="0050689A"/>
    <w:rsid w:val="00506C2E"/>
    <w:rsid w:val="00506C43"/>
    <w:rsid w:val="00506CDA"/>
    <w:rsid w:val="00506F75"/>
    <w:rsid w:val="00506FD9"/>
    <w:rsid w:val="00507269"/>
    <w:rsid w:val="005072A6"/>
    <w:rsid w:val="005072B5"/>
    <w:rsid w:val="00507332"/>
    <w:rsid w:val="00507379"/>
    <w:rsid w:val="0050747E"/>
    <w:rsid w:val="00507520"/>
    <w:rsid w:val="0050756F"/>
    <w:rsid w:val="0050758A"/>
    <w:rsid w:val="005076E3"/>
    <w:rsid w:val="005076E4"/>
    <w:rsid w:val="00507708"/>
    <w:rsid w:val="00507753"/>
    <w:rsid w:val="00507762"/>
    <w:rsid w:val="00507779"/>
    <w:rsid w:val="0050777D"/>
    <w:rsid w:val="005077E5"/>
    <w:rsid w:val="005078ED"/>
    <w:rsid w:val="00507A06"/>
    <w:rsid w:val="00507A0E"/>
    <w:rsid w:val="00507ABD"/>
    <w:rsid w:val="00507B30"/>
    <w:rsid w:val="00507B61"/>
    <w:rsid w:val="00507BB7"/>
    <w:rsid w:val="00507D4D"/>
    <w:rsid w:val="00507F1C"/>
    <w:rsid w:val="00507F3D"/>
    <w:rsid w:val="00507FE2"/>
    <w:rsid w:val="0051000F"/>
    <w:rsid w:val="00510125"/>
    <w:rsid w:val="005101A5"/>
    <w:rsid w:val="005102B9"/>
    <w:rsid w:val="005102CC"/>
    <w:rsid w:val="0051036B"/>
    <w:rsid w:val="0051038E"/>
    <w:rsid w:val="005103D3"/>
    <w:rsid w:val="005103E0"/>
    <w:rsid w:val="005104E6"/>
    <w:rsid w:val="005105C4"/>
    <w:rsid w:val="0051065D"/>
    <w:rsid w:val="005106E5"/>
    <w:rsid w:val="00510805"/>
    <w:rsid w:val="00510807"/>
    <w:rsid w:val="00510851"/>
    <w:rsid w:val="0051095B"/>
    <w:rsid w:val="005109BB"/>
    <w:rsid w:val="005109E1"/>
    <w:rsid w:val="00510A81"/>
    <w:rsid w:val="00510AD1"/>
    <w:rsid w:val="00510B0F"/>
    <w:rsid w:val="00510B5F"/>
    <w:rsid w:val="00510B91"/>
    <w:rsid w:val="00510BD4"/>
    <w:rsid w:val="00510BD9"/>
    <w:rsid w:val="00510C0E"/>
    <w:rsid w:val="00510C64"/>
    <w:rsid w:val="00510D16"/>
    <w:rsid w:val="00510DF2"/>
    <w:rsid w:val="00510F77"/>
    <w:rsid w:val="00510FA4"/>
    <w:rsid w:val="0051111C"/>
    <w:rsid w:val="00511194"/>
    <w:rsid w:val="005112AD"/>
    <w:rsid w:val="00511462"/>
    <w:rsid w:val="005115C0"/>
    <w:rsid w:val="005115C3"/>
    <w:rsid w:val="005116C4"/>
    <w:rsid w:val="0051170F"/>
    <w:rsid w:val="00511895"/>
    <w:rsid w:val="0051191A"/>
    <w:rsid w:val="00511961"/>
    <w:rsid w:val="00511968"/>
    <w:rsid w:val="005119B9"/>
    <w:rsid w:val="005119D9"/>
    <w:rsid w:val="00511A66"/>
    <w:rsid w:val="00511AC4"/>
    <w:rsid w:val="00511B62"/>
    <w:rsid w:val="00511B81"/>
    <w:rsid w:val="00511B8E"/>
    <w:rsid w:val="00511D52"/>
    <w:rsid w:val="00511E38"/>
    <w:rsid w:val="00511E49"/>
    <w:rsid w:val="00511E74"/>
    <w:rsid w:val="00511EC3"/>
    <w:rsid w:val="00511F9C"/>
    <w:rsid w:val="0051202B"/>
    <w:rsid w:val="00512069"/>
    <w:rsid w:val="005120CB"/>
    <w:rsid w:val="00512183"/>
    <w:rsid w:val="00512291"/>
    <w:rsid w:val="0051229C"/>
    <w:rsid w:val="005122C5"/>
    <w:rsid w:val="005122D1"/>
    <w:rsid w:val="00512305"/>
    <w:rsid w:val="0051243C"/>
    <w:rsid w:val="00512456"/>
    <w:rsid w:val="005125AA"/>
    <w:rsid w:val="005125B1"/>
    <w:rsid w:val="005125C5"/>
    <w:rsid w:val="00512780"/>
    <w:rsid w:val="005127DC"/>
    <w:rsid w:val="00512A69"/>
    <w:rsid w:val="00512B03"/>
    <w:rsid w:val="00512BB2"/>
    <w:rsid w:val="00512C3D"/>
    <w:rsid w:val="00512C56"/>
    <w:rsid w:val="00512CDD"/>
    <w:rsid w:val="00512DA1"/>
    <w:rsid w:val="00512DCD"/>
    <w:rsid w:val="00512E69"/>
    <w:rsid w:val="00512F4D"/>
    <w:rsid w:val="00512F99"/>
    <w:rsid w:val="00512FC2"/>
    <w:rsid w:val="00512FE7"/>
    <w:rsid w:val="0051315C"/>
    <w:rsid w:val="005131ED"/>
    <w:rsid w:val="00513211"/>
    <w:rsid w:val="005132DA"/>
    <w:rsid w:val="0051342D"/>
    <w:rsid w:val="005134E3"/>
    <w:rsid w:val="00513566"/>
    <w:rsid w:val="005135C9"/>
    <w:rsid w:val="005137FB"/>
    <w:rsid w:val="00513872"/>
    <w:rsid w:val="005138B5"/>
    <w:rsid w:val="00513955"/>
    <w:rsid w:val="005139C2"/>
    <w:rsid w:val="005139EE"/>
    <w:rsid w:val="00513A2D"/>
    <w:rsid w:val="00513AAD"/>
    <w:rsid w:val="00513AEB"/>
    <w:rsid w:val="00513B52"/>
    <w:rsid w:val="00513BB2"/>
    <w:rsid w:val="00513C06"/>
    <w:rsid w:val="00513C39"/>
    <w:rsid w:val="00513C7D"/>
    <w:rsid w:val="00513C8C"/>
    <w:rsid w:val="00513C90"/>
    <w:rsid w:val="00513CD9"/>
    <w:rsid w:val="00513D25"/>
    <w:rsid w:val="00513E56"/>
    <w:rsid w:val="00513EC2"/>
    <w:rsid w:val="00513F60"/>
    <w:rsid w:val="00513FC8"/>
    <w:rsid w:val="0051412F"/>
    <w:rsid w:val="0051418A"/>
    <w:rsid w:val="0051422E"/>
    <w:rsid w:val="0051423F"/>
    <w:rsid w:val="005142D1"/>
    <w:rsid w:val="005142D5"/>
    <w:rsid w:val="0051433E"/>
    <w:rsid w:val="005143DF"/>
    <w:rsid w:val="005143E9"/>
    <w:rsid w:val="005144C5"/>
    <w:rsid w:val="005144DE"/>
    <w:rsid w:val="005145A5"/>
    <w:rsid w:val="005146E1"/>
    <w:rsid w:val="005149E3"/>
    <w:rsid w:val="00514AFB"/>
    <w:rsid w:val="00514B74"/>
    <w:rsid w:val="00514BB5"/>
    <w:rsid w:val="00514BDF"/>
    <w:rsid w:val="00514C31"/>
    <w:rsid w:val="00514C54"/>
    <w:rsid w:val="00514D36"/>
    <w:rsid w:val="00514D99"/>
    <w:rsid w:val="00514DDC"/>
    <w:rsid w:val="00514E3E"/>
    <w:rsid w:val="00514E97"/>
    <w:rsid w:val="00514FEE"/>
    <w:rsid w:val="005150A7"/>
    <w:rsid w:val="00515116"/>
    <w:rsid w:val="005152EA"/>
    <w:rsid w:val="0051539D"/>
    <w:rsid w:val="0051539F"/>
    <w:rsid w:val="005153A8"/>
    <w:rsid w:val="005153EB"/>
    <w:rsid w:val="0051560B"/>
    <w:rsid w:val="0051568D"/>
    <w:rsid w:val="005156C3"/>
    <w:rsid w:val="005156C6"/>
    <w:rsid w:val="005156FB"/>
    <w:rsid w:val="00515767"/>
    <w:rsid w:val="00515834"/>
    <w:rsid w:val="005158A3"/>
    <w:rsid w:val="005158A7"/>
    <w:rsid w:val="0051592D"/>
    <w:rsid w:val="00515993"/>
    <w:rsid w:val="00515A0F"/>
    <w:rsid w:val="00515AA0"/>
    <w:rsid w:val="00515AEA"/>
    <w:rsid w:val="00515B2F"/>
    <w:rsid w:val="00515C80"/>
    <w:rsid w:val="00515CB7"/>
    <w:rsid w:val="00515DFE"/>
    <w:rsid w:val="00515E24"/>
    <w:rsid w:val="00515E7A"/>
    <w:rsid w:val="00515EA2"/>
    <w:rsid w:val="00515EDB"/>
    <w:rsid w:val="00515FC1"/>
    <w:rsid w:val="005160FF"/>
    <w:rsid w:val="00516133"/>
    <w:rsid w:val="0051625C"/>
    <w:rsid w:val="0051641C"/>
    <w:rsid w:val="00516568"/>
    <w:rsid w:val="00516628"/>
    <w:rsid w:val="005166F3"/>
    <w:rsid w:val="005168C1"/>
    <w:rsid w:val="005169EC"/>
    <w:rsid w:val="005169F7"/>
    <w:rsid w:val="00516B25"/>
    <w:rsid w:val="00516B66"/>
    <w:rsid w:val="00516BBD"/>
    <w:rsid w:val="00516C11"/>
    <w:rsid w:val="00516C1E"/>
    <w:rsid w:val="00516CC2"/>
    <w:rsid w:val="00516E0E"/>
    <w:rsid w:val="00516EB6"/>
    <w:rsid w:val="00516EEB"/>
    <w:rsid w:val="00516EF2"/>
    <w:rsid w:val="00516F43"/>
    <w:rsid w:val="00516FDC"/>
    <w:rsid w:val="0051708E"/>
    <w:rsid w:val="005170DF"/>
    <w:rsid w:val="0051715B"/>
    <w:rsid w:val="00517231"/>
    <w:rsid w:val="0051728B"/>
    <w:rsid w:val="005172D9"/>
    <w:rsid w:val="0051733C"/>
    <w:rsid w:val="005174A6"/>
    <w:rsid w:val="005174B7"/>
    <w:rsid w:val="005174D3"/>
    <w:rsid w:val="00517520"/>
    <w:rsid w:val="00517767"/>
    <w:rsid w:val="00517794"/>
    <w:rsid w:val="005179B7"/>
    <w:rsid w:val="00517A0E"/>
    <w:rsid w:val="00517AB2"/>
    <w:rsid w:val="00517C13"/>
    <w:rsid w:val="00517C30"/>
    <w:rsid w:val="00517CC7"/>
    <w:rsid w:val="00517D2D"/>
    <w:rsid w:val="00517D3B"/>
    <w:rsid w:val="00517F89"/>
    <w:rsid w:val="00517FDC"/>
    <w:rsid w:val="005200D5"/>
    <w:rsid w:val="0052014B"/>
    <w:rsid w:val="005201B3"/>
    <w:rsid w:val="00520240"/>
    <w:rsid w:val="005202AE"/>
    <w:rsid w:val="00520381"/>
    <w:rsid w:val="00520446"/>
    <w:rsid w:val="005204CC"/>
    <w:rsid w:val="005205AD"/>
    <w:rsid w:val="0052073F"/>
    <w:rsid w:val="0052076C"/>
    <w:rsid w:val="00520808"/>
    <w:rsid w:val="00520885"/>
    <w:rsid w:val="00520900"/>
    <w:rsid w:val="00520A4C"/>
    <w:rsid w:val="00520AD3"/>
    <w:rsid w:val="00520AD5"/>
    <w:rsid w:val="00520B2F"/>
    <w:rsid w:val="00520C1C"/>
    <w:rsid w:val="00520DAE"/>
    <w:rsid w:val="00520F26"/>
    <w:rsid w:val="00520F64"/>
    <w:rsid w:val="00520FF5"/>
    <w:rsid w:val="00521025"/>
    <w:rsid w:val="005210A1"/>
    <w:rsid w:val="005210C6"/>
    <w:rsid w:val="005211FB"/>
    <w:rsid w:val="0052130F"/>
    <w:rsid w:val="005213B4"/>
    <w:rsid w:val="005214F1"/>
    <w:rsid w:val="005216D8"/>
    <w:rsid w:val="005216F5"/>
    <w:rsid w:val="00521861"/>
    <w:rsid w:val="00521A43"/>
    <w:rsid w:val="00521BFD"/>
    <w:rsid w:val="00521C6C"/>
    <w:rsid w:val="00521D17"/>
    <w:rsid w:val="00521D73"/>
    <w:rsid w:val="00521E2B"/>
    <w:rsid w:val="00521E3F"/>
    <w:rsid w:val="005222E7"/>
    <w:rsid w:val="00522310"/>
    <w:rsid w:val="00522352"/>
    <w:rsid w:val="0052237F"/>
    <w:rsid w:val="00522390"/>
    <w:rsid w:val="005223D4"/>
    <w:rsid w:val="005224F8"/>
    <w:rsid w:val="00522534"/>
    <w:rsid w:val="005227F4"/>
    <w:rsid w:val="005228DD"/>
    <w:rsid w:val="0052292A"/>
    <w:rsid w:val="005229C9"/>
    <w:rsid w:val="00522A76"/>
    <w:rsid w:val="00522B8B"/>
    <w:rsid w:val="00522CCA"/>
    <w:rsid w:val="00522D15"/>
    <w:rsid w:val="00522D25"/>
    <w:rsid w:val="00522F10"/>
    <w:rsid w:val="00523029"/>
    <w:rsid w:val="005231BA"/>
    <w:rsid w:val="00523220"/>
    <w:rsid w:val="0052329F"/>
    <w:rsid w:val="00523347"/>
    <w:rsid w:val="00523458"/>
    <w:rsid w:val="0052346D"/>
    <w:rsid w:val="00523471"/>
    <w:rsid w:val="005234B9"/>
    <w:rsid w:val="005234F9"/>
    <w:rsid w:val="005235B4"/>
    <w:rsid w:val="00523608"/>
    <w:rsid w:val="005236A0"/>
    <w:rsid w:val="005237BD"/>
    <w:rsid w:val="005239AE"/>
    <w:rsid w:val="005239BE"/>
    <w:rsid w:val="005239FC"/>
    <w:rsid w:val="00523A3F"/>
    <w:rsid w:val="00523AA2"/>
    <w:rsid w:val="00523BCC"/>
    <w:rsid w:val="00523C0E"/>
    <w:rsid w:val="00523C40"/>
    <w:rsid w:val="00523CB5"/>
    <w:rsid w:val="00523DAE"/>
    <w:rsid w:val="00523E4E"/>
    <w:rsid w:val="00523F04"/>
    <w:rsid w:val="00523F05"/>
    <w:rsid w:val="00523F39"/>
    <w:rsid w:val="00523F4D"/>
    <w:rsid w:val="00523F99"/>
    <w:rsid w:val="00523FDB"/>
    <w:rsid w:val="005240D2"/>
    <w:rsid w:val="00524105"/>
    <w:rsid w:val="00524168"/>
    <w:rsid w:val="005241D6"/>
    <w:rsid w:val="005241ED"/>
    <w:rsid w:val="0052425B"/>
    <w:rsid w:val="005242A1"/>
    <w:rsid w:val="005242B6"/>
    <w:rsid w:val="005242E9"/>
    <w:rsid w:val="00524318"/>
    <w:rsid w:val="00524369"/>
    <w:rsid w:val="00524493"/>
    <w:rsid w:val="005244A2"/>
    <w:rsid w:val="005244B2"/>
    <w:rsid w:val="005244FA"/>
    <w:rsid w:val="0052455B"/>
    <w:rsid w:val="0052459D"/>
    <w:rsid w:val="00524626"/>
    <w:rsid w:val="0052465B"/>
    <w:rsid w:val="00524701"/>
    <w:rsid w:val="0052471B"/>
    <w:rsid w:val="00524918"/>
    <w:rsid w:val="00524978"/>
    <w:rsid w:val="00524980"/>
    <w:rsid w:val="00524A4E"/>
    <w:rsid w:val="00524AA2"/>
    <w:rsid w:val="00524BA1"/>
    <w:rsid w:val="00524CFB"/>
    <w:rsid w:val="00524D15"/>
    <w:rsid w:val="00524D19"/>
    <w:rsid w:val="00524F63"/>
    <w:rsid w:val="00524FC2"/>
    <w:rsid w:val="00525125"/>
    <w:rsid w:val="00525171"/>
    <w:rsid w:val="00525284"/>
    <w:rsid w:val="0052542C"/>
    <w:rsid w:val="00525430"/>
    <w:rsid w:val="00525437"/>
    <w:rsid w:val="0052549C"/>
    <w:rsid w:val="00525592"/>
    <w:rsid w:val="005255DB"/>
    <w:rsid w:val="005255F6"/>
    <w:rsid w:val="0052563A"/>
    <w:rsid w:val="005256D4"/>
    <w:rsid w:val="0052575E"/>
    <w:rsid w:val="0052578F"/>
    <w:rsid w:val="005257BE"/>
    <w:rsid w:val="005257DC"/>
    <w:rsid w:val="00525901"/>
    <w:rsid w:val="00525932"/>
    <w:rsid w:val="005259B9"/>
    <w:rsid w:val="00525A6B"/>
    <w:rsid w:val="00525ADD"/>
    <w:rsid w:val="00525AF9"/>
    <w:rsid w:val="00525B5E"/>
    <w:rsid w:val="00525B70"/>
    <w:rsid w:val="00525B73"/>
    <w:rsid w:val="00525BAD"/>
    <w:rsid w:val="00525C3B"/>
    <w:rsid w:val="00525DC8"/>
    <w:rsid w:val="00525E30"/>
    <w:rsid w:val="00525E42"/>
    <w:rsid w:val="00525E61"/>
    <w:rsid w:val="00525F12"/>
    <w:rsid w:val="00525FC6"/>
    <w:rsid w:val="00526046"/>
    <w:rsid w:val="0052608B"/>
    <w:rsid w:val="005260D6"/>
    <w:rsid w:val="00526119"/>
    <w:rsid w:val="00526153"/>
    <w:rsid w:val="00526174"/>
    <w:rsid w:val="00526199"/>
    <w:rsid w:val="00526237"/>
    <w:rsid w:val="0052629D"/>
    <w:rsid w:val="00526331"/>
    <w:rsid w:val="005263D1"/>
    <w:rsid w:val="0052649A"/>
    <w:rsid w:val="00526566"/>
    <w:rsid w:val="00526604"/>
    <w:rsid w:val="0052668A"/>
    <w:rsid w:val="00526834"/>
    <w:rsid w:val="0052688A"/>
    <w:rsid w:val="005268DC"/>
    <w:rsid w:val="005268DF"/>
    <w:rsid w:val="00526929"/>
    <w:rsid w:val="00526965"/>
    <w:rsid w:val="00526CAD"/>
    <w:rsid w:val="00526DE9"/>
    <w:rsid w:val="00526E16"/>
    <w:rsid w:val="00526E27"/>
    <w:rsid w:val="00526E6B"/>
    <w:rsid w:val="00526F08"/>
    <w:rsid w:val="00526F36"/>
    <w:rsid w:val="00526F79"/>
    <w:rsid w:val="005270C8"/>
    <w:rsid w:val="005270E2"/>
    <w:rsid w:val="00527255"/>
    <w:rsid w:val="00527363"/>
    <w:rsid w:val="00527367"/>
    <w:rsid w:val="005273A5"/>
    <w:rsid w:val="00527408"/>
    <w:rsid w:val="005274A1"/>
    <w:rsid w:val="00527500"/>
    <w:rsid w:val="00527703"/>
    <w:rsid w:val="0052786F"/>
    <w:rsid w:val="0052788C"/>
    <w:rsid w:val="0052790D"/>
    <w:rsid w:val="00527AB9"/>
    <w:rsid w:val="00527AE1"/>
    <w:rsid w:val="00527B01"/>
    <w:rsid w:val="00527B5C"/>
    <w:rsid w:val="00527B89"/>
    <w:rsid w:val="00527C17"/>
    <w:rsid w:val="00527D65"/>
    <w:rsid w:val="00527DED"/>
    <w:rsid w:val="00527E00"/>
    <w:rsid w:val="00527EA4"/>
    <w:rsid w:val="00527F38"/>
    <w:rsid w:val="00530010"/>
    <w:rsid w:val="00530014"/>
    <w:rsid w:val="00530290"/>
    <w:rsid w:val="005303D2"/>
    <w:rsid w:val="005303E1"/>
    <w:rsid w:val="00530447"/>
    <w:rsid w:val="0053046C"/>
    <w:rsid w:val="0053051B"/>
    <w:rsid w:val="0053058A"/>
    <w:rsid w:val="00530626"/>
    <w:rsid w:val="00530975"/>
    <w:rsid w:val="005309BF"/>
    <w:rsid w:val="00530ADF"/>
    <w:rsid w:val="00530B33"/>
    <w:rsid w:val="00530C87"/>
    <w:rsid w:val="00530D2D"/>
    <w:rsid w:val="00530D45"/>
    <w:rsid w:val="00530D67"/>
    <w:rsid w:val="00530D84"/>
    <w:rsid w:val="00530DCE"/>
    <w:rsid w:val="00530E29"/>
    <w:rsid w:val="00530ED9"/>
    <w:rsid w:val="00530EF5"/>
    <w:rsid w:val="00530F5C"/>
    <w:rsid w:val="00530F9D"/>
    <w:rsid w:val="005310CF"/>
    <w:rsid w:val="00531322"/>
    <w:rsid w:val="00531330"/>
    <w:rsid w:val="005313FF"/>
    <w:rsid w:val="005315AD"/>
    <w:rsid w:val="0053161F"/>
    <w:rsid w:val="00531627"/>
    <w:rsid w:val="00531635"/>
    <w:rsid w:val="005316E0"/>
    <w:rsid w:val="00531714"/>
    <w:rsid w:val="00531857"/>
    <w:rsid w:val="00531940"/>
    <w:rsid w:val="0053194D"/>
    <w:rsid w:val="00531A21"/>
    <w:rsid w:val="00531ACE"/>
    <w:rsid w:val="00531B2B"/>
    <w:rsid w:val="00531B34"/>
    <w:rsid w:val="00531D63"/>
    <w:rsid w:val="00531D76"/>
    <w:rsid w:val="00531DAF"/>
    <w:rsid w:val="00531DB1"/>
    <w:rsid w:val="00531FD0"/>
    <w:rsid w:val="00531FD3"/>
    <w:rsid w:val="005322B7"/>
    <w:rsid w:val="005322C3"/>
    <w:rsid w:val="00532330"/>
    <w:rsid w:val="0053236E"/>
    <w:rsid w:val="005323C5"/>
    <w:rsid w:val="00532487"/>
    <w:rsid w:val="005324BA"/>
    <w:rsid w:val="005325EE"/>
    <w:rsid w:val="00532686"/>
    <w:rsid w:val="005326D3"/>
    <w:rsid w:val="005327B1"/>
    <w:rsid w:val="005327F1"/>
    <w:rsid w:val="0053285E"/>
    <w:rsid w:val="00532883"/>
    <w:rsid w:val="005328C6"/>
    <w:rsid w:val="00532993"/>
    <w:rsid w:val="005329D0"/>
    <w:rsid w:val="00532A6E"/>
    <w:rsid w:val="00532AB1"/>
    <w:rsid w:val="00532AB6"/>
    <w:rsid w:val="00532CED"/>
    <w:rsid w:val="00532F62"/>
    <w:rsid w:val="00532F99"/>
    <w:rsid w:val="00533018"/>
    <w:rsid w:val="005330B3"/>
    <w:rsid w:val="0053319A"/>
    <w:rsid w:val="005332B3"/>
    <w:rsid w:val="0053349B"/>
    <w:rsid w:val="00533503"/>
    <w:rsid w:val="0053353A"/>
    <w:rsid w:val="00533541"/>
    <w:rsid w:val="00533551"/>
    <w:rsid w:val="00533662"/>
    <w:rsid w:val="00533769"/>
    <w:rsid w:val="0053383F"/>
    <w:rsid w:val="0053395B"/>
    <w:rsid w:val="005339FF"/>
    <w:rsid w:val="00533A1C"/>
    <w:rsid w:val="00533A39"/>
    <w:rsid w:val="00533AED"/>
    <w:rsid w:val="00533B1E"/>
    <w:rsid w:val="00533B57"/>
    <w:rsid w:val="00533C5B"/>
    <w:rsid w:val="00533D11"/>
    <w:rsid w:val="00533D2E"/>
    <w:rsid w:val="00533DBF"/>
    <w:rsid w:val="00533E99"/>
    <w:rsid w:val="00534146"/>
    <w:rsid w:val="005341AD"/>
    <w:rsid w:val="005341D0"/>
    <w:rsid w:val="00534398"/>
    <w:rsid w:val="005344A3"/>
    <w:rsid w:val="005344B4"/>
    <w:rsid w:val="005345F3"/>
    <w:rsid w:val="00534660"/>
    <w:rsid w:val="00534688"/>
    <w:rsid w:val="005346D6"/>
    <w:rsid w:val="005347B2"/>
    <w:rsid w:val="00534826"/>
    <w:rsid w:val="00534AE3"/>
    <w:rsid w:val="00534AF6"/>
    <w:rsid w:val="00534C12"/>
    <w:rsid w:val="00534D22"/>
    <w:rsid w:val="00534E0E"/>
    <w:rsid w:val="00534E4F"/>
    <w:rsid w:val="00534E69"/>
    <w:rsid w:val="00534EA8"/>
    <w:rsid w:val="00534EDF"/>
    <w:rsid w:val="00534EEF"/>
    <w:rsid w:val="00535085"/>
    <w:rsid w:val="005350D7"/>
    <w:rsid w:val="00535165"/>
    <w:rsid w:val="005353B2"/>
    <w:rsid w:val="00535734"/>
    <w:rsid w:val="00535742"/>
    <w:rsid w:val="0053574B"/>
    <w:rsid w:val="005357F2"/>
    <w:rsid w:val="00535869"/>
    <w:rsid w:val="0053594C"/>
    <w:rsid w:val="00535986"/>
    <w:rsid w:val="005359A6"/>
    <w:rsid w:val="00535A0E"/>
    <w:rsid w:val="00535AB4"/>
    <w:rsid w:val="00535B57"/>
    <w:rsid w:val="00535BE0"/>
    <w:rsid w:val="00535C36"/>
    <w:rsid w:val="00535D49"/>
    <w:rsid w:val="00535E63"/>
    <w:rsid w:val="00535EE6"/>
    <w:rsid w:val="0053612A"/>
    <w:rsid w:val="005361F5"/>
    <w:rsid w:val="00536303"/>
    <w:rsid w:val="0053638E"/>
    <w:rsid w:val="005363CD"/>
    <w:rsid w:val="0053643E"/>
    <w:rsid w:val="00536480"/>
    <w:rsid w:val="005364AF"/>
    <w:rsid w:val="0053665E"/>
    <w:rsid w:val="0053667E"/>
    <w:rsid w:val="0053681D"/>
    <w:rsid w:val="0053685A"/>
    <w:rsid w:val="00536A24"/>
    <w:rsid w:val="00536AAD"/>
    <w:rsid w:val="00536C46"/>
    <w:rsid w:val="00536CBB"/>
    <w:rsid w:val="00536D1F"/>
    <w:rsid w:val="00536DC0"/>
    <w:rsid w:val="00536E9C"/>
    <w:rsid w:val="00536EB5"/>
    <w:rsid w:val="00536F36"/>
    <w:rsid w:val="00536F3B"/>
    <w:rsid w:val="0053708A"/>
    <w:rsid w:val="00537177"/>
    <w:rsid w:val="005372B9"/>
    <w:rsid w:val="00537345"/>
    <w:rsid w:val="0053744D"/>
    <w:rsid w:val="0053757F"/>
    <w:rsid w:val="005376FC"/>
    <w:rsid w:val="0053772A"/>
    <w:rsid w:val="005377DE"/>
    <w:rsid w:val="005378BC"/>
    <w:rsid w:val="005378E4"/>
    <w:rsid w:val="005379AA"/>
    <w:rsid w:val="00537A20"/>
    <w:rsid w:val="00537A45"/>
    <w:rsid w:val="00537AC6"/>
    <w:rsid w:val="00537B20"/>
    <w:rsid w:val="00537BD8"/>
    <w:rsid w:val="00537CFF"/>
    <w:rsid w:val="00537E41"/>
    <w:rsid w:val="00537FA5"/>
    <w:rsid w:val="0054003E"/>
    <w:rsid w:val="00540179"/>
    <w:rsid w:val="00540206"/>
    <w:rsid w:val="0054022B"/>
    <w:rsid w:val="00540258"/>
    <w:rsid w:val="00540308"/>
    <w:rsid w:val="005403D9"/>
    <w:rsid w:val="00540520"/>
    <w:rsid w:val="00540554"/>
    <w:rsid w:val="005406FD"/>
    <w:rsid w:val="005407DD"/>
    <w:rsid w:val="00540839"/>
    <w:rsid w:val="005408F3"/>
    <w:rsid w:val="00540A6F"/>
    <w:rsid w:val="00540B52"/>
    <w:rsid w:val="00540B60"/>
    <w:rsid w:val="00540C24"/>
    <w:rsid w:val="00540CE9"/>
    <w:rsid w:val="00540D2C"/>
    <w:rsid w:val="00540E20"/>
    <w:rsid w:val="00540E80"/>
    <w:rsid w:val="00540EB9"/>
    <w:rsid w:val="00540FDF"/>
    <w:rsid w:val="00540FF6"/>
    <w:rsid w:val="0054103B"/>
    <w:rsid w:val="00541054"/>
    <w:rsid w:val="005410D5"/>
    <w:rsid w:val="005410F7"/>
    <w:rsid w:val="0054116B"/>
    <w:rsid w:val="0054121F"/>
    <w:rsid w:val="00541398"/>
    <w:rsid w:val="005413A1"/>
    <w:rsid w:val="0054167B"/>
    <w:rsid w:val="0054198D"/>
    <w:rsid w:val="0054199A"/>
    <w:rsid w:val="0054199B"/>
    <w:rsid w:val="00541A9D"/>
    <w:rsid w:val="00541B42"/>
    <w:rsid w:val="00541BF2"/>
    <w:rsid w:val="00541C2D"/>
    <w:rsid w:val="00541C4A"/>
    <w:rsid w:val="00541CE9"/>
    <w:rsid w:val="00541E3B"/>
    <w:rsid w:val="00541F63"/>
    <w:rsid w:val="00541FFB"/>
    <w:rsid w:val="0054205A"/>
    <w:rsid w:val="005420D1"/>
    <w:rsid w:val="00542183"/>
    <w:rsid w:val="005421A2"/>
    <w:rsid w:val="00542228"/>
    <w:rsid w:val="00542285"/>
    <w:rsid w:val="005422D5"/>
    <w:rsid w:val="00542322"/>
    <w:rsid w:val="0054248D"/>
    <w:rsid w:val="00542518"/>
    <w:rsid w:val="005425B1"/>
    <w:rsid w:val="00542608"/>
    <w:rsid w:val="00542630"/>
    <w:rsid w:val="00542728"/>
    <w:rsid w:val="00542872"/>
    <w:rsid w:val="0054290E"/>
    <w:rsid w:val="00542954"/>
    <w:rsid w:val="00542989"/>
    <w:rsid w:val="005429A8"/>
    <w:rsid w:val="005429E9"/>
    <w:rsid w:val="00542A11"/>
    <w:rsid w:val="00542A54"/>
    <w:rsid w:val="00542AF7"/>
    <w:rsid w:val="00542C09"/>
    <w:rsid w:val="00542D40"/>
    <w:rsid w:val="00542D94"/>
    <w:rsid w:val="00542DA6"/>
    <w:rsid w:val="00542DE2"/>
    <w:rsid w:val="00542E79"/>
    <w:rsid w:val="00542FDC"/>
    <w:rsid w:val="005430AB"/>
    <w:rsid w:val="00543114"/>
    <w:rsid w:val="00543143"/>
    <w:rsid w:val="0054317C"/>
    <w:rsid w:val="005432DB"/>
    <w:rsid w:val="0054334F"/>
    <w:rsid w:val="005433BB"/>
    <w:rsid w:val="00543435"/>
    <w:rsid w:val="00543486"/>
    <w:rsid w:val="005434F5"/>
    <w:rsid w:val="0054366B"/>
    <w:rsid w:val="005436A6"/>
    <w:rsid w:val="005436CB"/>
    <w:rsid w:val="005436FC"/>
    <w:rsid w:val="00543714"/>
    <w:rsid w:val="005438D8"/>
    <w:rsid w:val="00543A5E"/>
    <w:rsid w:val="00543ADE"/>
    <w:rsid w:val="00543AE6"/>
    <w:rsid w:val="00543B3B"/>
    <w:rsid w:val="00543B7C"/>
    <w:rsid w:val="00543BEC"/>
    <w:rsid w:val="00543C35"/>
    <w:rsid w:val="00543DB0"/>
    <w:rsid w:val="00543E8F"/>
    <w:rsid w:val="00543EDE"/>
    <w:rsid w:val="00543F6E"/>
    <w:rsid w:val="00543F9A"/>
    <w:rsid w:val="00543FEF"/>
    <w:rsid w:val="00544044"/>
    <w:rsid w:val="0054411E"/>
    <w:rsid w:val="00544159"/>
    <w:rsid w:val="0054415E"/>
    <w:rsid w:val="0054419B"/>
    <w:rsid w:val="00544388"/>
    <w:rsid w:val="00544405"/>
    <w:rsid w:val="0054449D"/>
    <w:rsid w:val="0054457A"/>
    <w:rsid w:val="00544685"/>
    <w:rsid w:val="00544686"/>
    <w:rsid w:val="005446A2"/>
    <w:rsid w:val="005446C0"/>
    <w:rsid w:val="005446F7"/>
    <w:rsid w:val="0054473C"/>
    <w:rsid w:val="0054475C"/>
    <w:rsid w:val="00544832"/>
    <w:rsid w:val="0054492C"/>
    <w:rsid w:val="00544984"/>
    <w:rsid w:val="005449D7"/>
    <w:rsid w:val="00544A1C"/>
    <w:rsid w:val="00544AAC"/>
    <w:rsid w:val="00544AC2"/>
    <w:rsid w:val="00544AED"/>
    <w:rsid w:val="00544B09"/>
    <w:rsid w:val="00544B0E"/>
    <w:rsid w:val="00544BE6"/>
    <w:rsid w:val="00544D18"/>
    <w:rsid w:val="00544D6E"/>
    <w:rsid w:val="00545021"/>
    <w:rsid w:val="00545062"/>
    <w:rsid w:val="00545082"/>
    <w:rsid w:val="00545137"/>
    <w:rsid w:val="0054532E"/>
    <w:rsid w:val="00545369"/>
    <w:rsid w:val="0054536A"/>
    <w:rsid w:val="0054539A"/>
    <w:rsid w:val="005453AC"/>
    <w:rsid w:val="00545403"/>
    <w:rsid w:val="005454FA"/>
    <w:rsid w:val="00545596"/>
    <w:rsid w:val="00545601"/>
    <w:rsid w:val="005456D7"/>
    <w:rsid w:val="00545747"/>
    <w:rsid w:val="00545752"/>
    <w:rsid w:val="00545837"/>
    <w:rsid w:val="00545A20"/>
    <w:rsid w:val="00545A94"/>
    <w:rsid w:val="00545AD4"/>
    <w:rsid w:val="00545B11"/>
    <w:rsid w:val="00545B3A"/>
    <w:rsid w:val="00545B4E"/>
    <w:rsid w:val="00545BAE"/>
    <w:rsid w:val="00545C53"/>
    <w:rsid w:val="00545C78"/>
    <w:rsid w:val="00545D0E"/>
    <w:rsid w:val="00545E16"/>
    <w:rsid w:val="00545F3C"/>
    <w:rsid w:val="00545FEF"/>
    <w:rsid w:val="00546177"/>
    <w:rsid w:val="005461C6"/>
    <w:rsid w:val="00546250"/>
    <w:rsid w:val="00546359"/>
    <w:rsid w:val="005463B3"/>
    <w:rsid w:val="00546476"/>
    <w:rsid w:val="0054651F"/>
    <w:rsid w:val="005465CC"/>
    <w:rsid w:val="005465EA"/>
    <w:rsid w:val="00546680"/>
    <w:rsid w:val="005466A2"/>
    <w:rsid w:val="005466C6"/>
    <w:rsid w:val="00546894"/>
    <w:rsid w:val="005468D5"/>
    <w:rsid w:val="00546921"/>
    <w:rsid w:val="00546997"/>
    <w:rsid w:val="005469C0"/>
    <w:rsid w:val="00546A47"/>
    <w:rsid w:val="00546B6D"/>
    <w:rsid w:val="00546B7F"/>
    <w:rsid w:val="00546D63"/>
    <w:rsid w:val="00546DB8"/>
    <w:rsid w:val="00546DFB"/>
    <w:rsid w:val="00546E56"/>
    <w:rsid w:val="00546E78"/>
    <w:rsid w:val="00546ED6"/>
    <w:rsid w:val="00546F6D"/>
    <w:rsid w:val="00546F94"/>
    <w:rsid w:val="0054712C"/>
    <w:rsid w:val="00547145"/>
    <w:rsid w:val="00547160"/>
    <w:rsid w:val="005471F1"/>
    <w:rsid w:val="005472ED"/>
    <w:rsid w:val="0054740D"/>
    <w:rsid w:val="00547427"/>
    <w:rsid w:val="0054746B"/>
    <w:rsid w:val="005475A1"/>
    <w:rsid w:val="00547633"/>
    <w:rsid w:val="00547790"/>
    <w:rsid w:val="0054783B"/>
    <w:rsid w:val="00547906"/>
    <w:rsid w:val="005479D4"/>
    <w:rsid w:val="00547ADA"/>
    <w:rsid w:val="00547C40"/>
    <w:rsid w:val="00547CB7"/>
    <w:rsid w:val="00547DD4"/>
    <w:rsid w:val="00547E09"/>
    <w:rsid w:val="00547EB2"/>
    <w:rsid w:val="00547F9B"/>
    <w:rsid w:val="0055000A"/>
    <w:rsid w:val="0055008F"/>
    <w:rsid w:val="005500A5"/>
    <w:rsid w:val="00550401"/>
    <w:rsid w:val="00550433"/>
    <w:rsid w:val="0055051C"/>
    <w:rsid w:val="005505CD"/>
    <w:rsid w:val="005505F4"/>
    <w:rsid w:val="0055060E"/>
    <w:rsid w:val="00550621"/>
    <w:rsid w:val="005506E3"/>
    <w:rsid w:val="00550725"/>
    <w:rsid w:val="00550734"/>
    <w:rsid w:val="00550846"/>
    <w:rsid w:val="005508D1"/>
    <w:rsid w:val="005509E8"/>
    <w:rsid w:val="00550ABA"/>
    <w:rsid w:val="00550B4B"/>
    <w:rsid w:val="00550B5E"/>
    <w:rsid w:val="00550DC9"/>
    <w:rsid w:val="00550E4E"/>
    <w:rsid w:val="00551090"/>
    <w:rsid w:val="0055120A"/>
    <w:rsid w:val="00551246"/>
    <w:rsid w:val="005512A6"/>
    <w:rsid w:val="005512AC"/>
    <w:rsid w:val="00551440"/>
    <w:rsid w:val="005514F4"/>
    <w:rsid w:val="005515AA"/>
    <w:rsid w:val="00551618"/>
    <w:rsid w:val="0055163D"/>
    <w:rsid w:val="0055173E"/>
    <w:rsid w:val="005517BB"/>
    <w:rsid w:val="00551864"/>
    <w:rsid w:val="0055189A"/>
    <w:rsid w:val="005518A1"/>
    <w:rsid w:val="00551A25"/>
    <w:rsid w:val="00551CAA"/>
    <w:rsid w:val="00551D4C"/>
    <w:rsid w:val="00551D8B"/>
    <w:rsid w:val="00551F74"/>
    <w:rsid w:val="00552036"/>
    <w:rsid w:val="005520AF"/>
    <w:rsid w:val="005520CF"/>
    <w:rsid w:val="00552248"/>
    <w:rsid w:val="005523D5"/>
    <w:rsid w:val="005524BC"/>
    <w:rsid w:val="0055269A"/>
    <w:rsid w:val="005526F2"/>
    <w:rsid w:val="00552709"/>
    <w:rsid w:val="005527F4"/>
    <w:rsid w:val="0055284C"/>
    <w:rsid w:val="00552867"/>
    <w:rsid w:val="005528FF"/>
    <w:rsid w:val="0055292A"/>
    <w:rsid w:val="00552939"/>
    <w:rsid w:val="00552998"/>
    <w:rsid w:val="00552A42"/>
    <w:rsid w:val="00552AAD"/>
    <w:rsid w:val="00552B21"/>
    <w:rsid w:val="00552BBF"/>
    <w:rsid w:val="00552C0A"/>
    <w:rsid w:val="00552CA8"/>
    <w:rsid w:val="00552D8E"/>
    <w:rsid w:val="00552DAB"/>
    <w:rsid w:val="00552DD2"/>
    <w:rsid w:val="00552E45"/>
    <w:rsid w:val="00552E48"/>
    <w:rsid w:val="00552ED6"/>
    <w:rsid w:val="00552FA4"/>
    <w:rsid w:val="00553001"/>
    <w:rsid w:val="0055301B"/>
    <w:rsid w:val="00553061"/>
    <w:rsid w:val="00553191"/>
    <w:rsid w:val="005531CE"/>
    <w:rsid w:val="005531E9"/>
    <w:rsid w:val="005533CF"/>
    <w:rsid w:val="005533DF"/>
    <w:rsid w:val="005534F3"/>
    <w:rsid w:val="005535D9"/>
    <w:rsid w:val="005536BE"/>
    <w:rsid w:val="005536BF"/>
    <w:rsid w:val="00553774"/>
    <w:rsid w:val="005537B8"/>
    <w:rsid w:val="00553826"/>
    <w:rsid w:val="00553870"/>
    <w:rsid w:val="005538B1"/>
    <w:rsid w:val="0055392B"/>
    <w:rsid w:val="00553A16"/>
    <w:rsid w:val="00553AA3"/>
    <w:rsid w:val="00553B3A"/>
    <w:rsid w:val="00553BBA"/>
    <w:rsid w:val="00553C56"/>
    <w:rsid w:val="00553D83"/>
    <w:rsid w:val="00553DE9"/>
    <w:rsid w:val="00553EA0"/>
    <w:rsid w:val="00553EDE"/>
    <w:rsid w:val="00553F3B"/>
    <w:rsid w:val="00553F50"/>
    <w:rsid w:val="00553FA1"/>
    <w:rsid w:val="00553FCD"/>
    <w:rsid w:val="00554080"/>
    <w:rsid w:val="005540CD"/>
    <w:rsid w:val="00554107"/>
    <w:rsid w:val="005541CC"/>
    <w:rsid w:val="0055420D"/>
    <w:rsid w:val="00554236"/>
    <w:rsid w:val="00554439"/>
    <w:rsid w:val="00554467"/>
    <w:rsid w:val="0055455C"/>
    <w:rsid w:val="005546B0"/>
    <w:rsid w:val="005546D8"/>
    <w:rsid w:val="005548DD"/>
    <w:rsid w:val="0055498F"/>
    <w:rsid w:val="005549FA"/>
    <w:rsid w:val="00554A0E"/>
    <w:rsid w:val="00554A5F"/>
    <w:rsid w:val="00554B44"/>
    <w:rsid w:val="00554BA4"/>
    <w:rsid w:val="00554C00"/>
    <w:rsid w:val="00554C22"/>
    <w:rsid w:val="00554D07"/>
    <w:rsid w:val="00554D2F"/>
    <w:rsid w:val="00554D3F"/>
    <w:rsid w:val="00554D93"/>
    <w:rsid w:val="00554E59"/>
    <w:rsid w:val="00554F2B"/>
    <w:rsid w:val="00554F2F"/>
    <w:rsid w:val="00554F3D"/>
    <w:rsid w:val="005550FE"/>
    <w:rsid w:val="0055516D"/>
    <w:rsid w:val="005553C5"/>
    <w:rsid w:val="00555475"/>
    <w:rsid w:val="005554B3"/>
    <w:rsid w:val="0055560D"/>
    <w:rsid w:val="00555658"/>
    <w:rsid w:val="00555663"/>
    <w:rsid w:val="0055572E"/>
    <w:rsid w:val="0055574B"/>
    <w:rsid w:val="00555770"/>
    <w:rsid w:val="005557BE"/>
    <w:rsid w:val="005557D9"/>
    <w:rsid w:val="00555AA6"/>
    <w:rsid w:val="00555B67"/>
    <w:rsid w:val="00555BA9"/>
    <w:rsid w:val="00555C0B"/>
    <w:rsid w:val="00555C63"/>
    <w:rsid w:val="00555CB8"/>
    <w:rsid w:val="00555CF5"/>
    <w:rsid w:val="00555D12"/>
    <w:rsid w:val="00555D67"/>
    <w:rsid w:val="00555D7B"/>
    <w:rsid w:val="00555E18"/>
    <w:rsid w:val="00555E1A"/>
    <w:rsid w:val="00555EFA"/>
    <w:rsid w:val="00555F65"/>
    <w:rsid w:val="00555FB5"/>
    <w:rsid w:val="00556173"/>
    <w:rsid w:val="005562CE"/>
    <w:rsid w:val="00556369"/>
    <w:rsid w:val="005567DE"/>
    <w:rsid w:val="0055687E"/>
    <w:rsid w:val="0055689A"/>
    <w:rsid w:val="005568C9"/>
    <w:rsid w:val="0055692B"/>
    <w:rsid w:val="00556991"/>
    <w:rsid w:val="00556994"/>
    <w:rsid w:val="005569CD"/>
    <w:rsid w:val="00556A47"/>
    <w:rsid w:val="00556B19"/>
    <w:rsid w:val="00556C49"/>
    <w:rsid w:val="00556D22"/>
    <w:rsid w:val="00556D34"/>
    <w:rsid w:val="00556E3D"/>
    <w:rsid w:val="00556FA4"/>
    <w:rsid w:val="00556FDD"/>
    <w:rsid w:val="005570C9"/>
    <w:rsid w:val="005570EC"/>
    <w:rsid w:val="005571CF"/>
    <w:rsid w:val="00557225"/>
    <w:rsid w:val="0055725D"/>
    <w:rsid w:val="005572DB"/>
    <w:rsid w:val="00557324"/>
    <w:rsid w:val="0055737D"/>
    <w:rsid w:val="005573C4"/>
    <w:rsid w:val="0055740A"/>
    <w:rsid w:val="005574A3"/>
    <w:rsid w:val="00557545"/>
    <w:rsid w:val="00557617"/>
    <w:rsid w:val="00557684"/>
    <w:rsid w:val="005576BE"/>
    <w:rsid w:val="00557749"/>
    <w:rsid w:val="005577BB"/>
    <w:rsid w:val="00557814"/>
    <w:rsid w:val="0055781C"/>
    <w:rsid w:val="00557824"/>
    <w:rsid w:val="0055789B"/>
    <w:rsid w:val="005578A1"/>
    <w:rsid w:val="00557986"/>
    <w:rsid w:val="005579F2"/>
    <w:rsid w:val="00557B2C"/>
    <w:rsid w:val="00557CEA"/>
    <w:rsid w:val="00557D8A"/>
    <w:rsid w:val="00557E72"/>
    <w:rsid w:val="00557E84"/>
    <w:rsid w:val="00557F2D"/>
    <w:rsid w:val="00557FCF"/>
    <w:rsid w:val="0056037E"/>
    <w:rsid w:val="00560507"/>
    <w:rsid w:val="00560562"/>
    <w:rsid w:val="005605B9"/>
    <w:rsid w:val="0056062C"/>
    <w:rsid w:val="00560800"/>
    <w:rsid w:val="00560824"/>
    <w:rsid w:val="0056085A"/>
    <w:rsid w:val="005608BE"/>
    <w:rsid w:val="00560914"/>
    <w:rsid w:val="00560A0C"/>
    <w:rsid w:val="00560A3B"/>
    <w:rsid w:val="00560AD5"/>
    <w:rsid w:val="00560D8D"/>
    <w:rsid w:val="00560E1E"/>
    <w:rsid w:val="00560E45"/>
    <w:rsid w:val="00560E7E"/>
    <w:rsid w:val="00560EE6"/>
    <w:rsid w:val="00560F58"/>
    <w:rsid w:val="00560FF2"/>
    <w:rsid w:val="005610A3"/>
    <w:rsid w:val="0056117D"/>
    <w:rsid w:val="005612CF"/>
    <w:rsid w:val="00561317"/>
    <w:rsid w:val="00561327"/>
    <w:rsid w:val="00561439"/>
    <w:rsid w:val="00561521"/>
    <w:rsid w:val="005615D1"/>
    <w:rsid w:val="0056162E"/>
    <w:rsid w:val="00561686"/>
    <w:rsid w:val="005616B8"/>
    <w:rsid w:val="005616D5"/>
    <w:rsid w:val="00561895"/>
    <w:rsid w:val="005618EC"/>
    <w:rsid w:val="0056190C"/>
    <w:rsid w:val="0056199F"/>
    <w:rsid w:val="005619E1"/>
    <w:rsid w:val="00561A05"/>
    <w:rsid w:val="00561A2D"/>
    <w:rsid w:val="00561B10"/>
    <w:rsid w:val="00561BA0"/>
    <w:rsid w:val="00561C06"/>
    <w:rsid w:val="00561C69"/>
    <w:rsid w:val="00561C72"/>
    <w:rsid w:val="00561DA1"/>
    <w:rsid w:val="00561E96"/>
    <w:rsid w:val="00561F2B"/>
    <w:rsid w:val="00562048"/>
    <w:rsid w:val="00562056"/>
    <w:rsid w:val="005620C1"/>
    <w:rsid w:val="005620ED"/>
    <w:rsid w:val="005621A0"/>
    <w:rsid w:val="005621B4"/>
    <w:rsid w:val="00562265"/>
    <w:rsid w:val="00562283"/>
    <w:rsid w:val="00562287"/>
    <w:rsid w:val="00562386"/>
    <w:rsid w:val="005624BB"/>
    <w:rsid w:val="005625B4"/>
    <w:rsid w:val="00562650"/>
    <w:rsid w:val="00562741"/>
    <w:rsid w:val="0056275D"/>
    <w:rsid w:val="0056280C"/>
    <w:rsid w:val="0056282C"/>
    <w:rsid w:val="00562851"/>
    <w:rsid w:val="00562873"/>
    <w:rsid w:val="00562900"/>
    <w:rsid w:val="00562946"/>
    <w:rsid w:val="005629E5"/>
    <w:rsid w:val="00562B65"/>
    <w:rsid w:val="00562BCD"/>
    <w:rsid w:val="00562BD0"/>
    <w:rsid w:val="00562BF1"/>
    <w:rsid w:val="00562CDF"/>
    <w:rsid w:val="0056306A"/>
    <w:rsid w:val="0056307E"/>
    <w:rsid w:val="00563088"/>
    <w:rsid w:val="0056308B"/>
    <w:rsid w:val="005631DB"/>
    <w:rsid w:val="0056325F"/>
    <w:rsid w:val="005632E4"/>
    <w:rsid w:val="0056333F"/>
    <w:rsid w:val="00563474"/>
    <w:rsid w:val="0056348E"/>
    <w:rsid w:val="00563495"/>
    <w:rsid w:val="0056349B"/>
    <w:rsid w:val="00563598"/>
    <w:rsid w:val="005635B7"/>
    <w:rsid w:val="0056360F"/>
    <w:rsid w:val="00563621"/>
    <w:rsid w:val="005636FF"/>
    <w:rsid w:val="0056370E"/>
    <w:rsid w:val="00563722"/>
    <w:rsid w:val="00563811"/>
    <w:rsid w:val="00563823"/>
    <w:rsid w:val="00563857"/>
    <w:rsid w:val="005639EA"/>
    <w:rsid w:val="00563AA8"/>
    <w:rsid w:val="00563AD5"/>
    <w:rsid w:val="00563B83"/>
    <w:rsid w:val="00563BB3"/>
    <w:rsid w:val="00563CB3"/>
    <w:rsid w:val="00563CBB"/>
    <w:rsid w:val="00563D11"/>
    <w:rsid w:val="00563D35"/>
    <w:rsid w:val="00563D99"/>
    <w:rsid w:val="00563DED"/>
    <w:rsid w:val="00563ECC"/>
    <w:rsid w:val="00563EF1"/>
    <w:rsid w:val="00563F18"/>
    <w:rsid w:val="0056403D"/>
    <w:rsid w:val="005640CE"/>
    <w:rsid w:val="005640FE"/>
    <w:rsid w:val="00564189"/>
    <w:rsid w:val="00564198"/>
    <w:rsid w:val="00564249"/>
    <w:rsid w:val="005642B8"/>
    <w:rsid w:val="005642CC"/>
    <w:rsid w:val="005642D9"/>
    <w:rsid w:val="00564325"/>
    <w:rsid w:val="005644BB"/>
    <w:rsid w:val="00564588"/>
    <w:rsid w:val="00564618"/>
    <w:rsid w:val="00564635"/>
    <w:rsid w:val="00564637"/>
    <w:rsid w:val="0056475B"/>
    <w:rsid w:val="005647C0"/>
    <w:rsid w:val="005647D0"/>
    <w:rsid w:val="005649A6"/>
    <w:rsid w:val="00564A27"/>
    <w:rsid w:val="00564A2A"/>
    <w:rsid w:val="00564AFA"/>
    <w:rsid w:val="00564AFD"/>
    <w:rsid w:val="00564B63"/>
    <w:rsid w:val="00564C2B"/>
    <w:rsid w:val="00564C40"/>
    <w:rsid w:val="00564E18"/>
    <w:rsid w:val="00564E1D"/>
    <w:rsid w:val="00564E5E"/>
    <w:rsid w:val="00564EB2"/>
    <w:rsid w:val="00564EFA"/>
    <w:rsid w:val="00564F9C"/>
    <w:rsid w:val="00564FA2"/>
    <w:rsid w:val="005650D9"/>
    <w:rsid w:val="00565130"/>
    <w:rsid w:val="00565197"/>
    <w:rsid w:val="005653FB"/>
    <w:rsid w:val="00565514"/>
    <w:rsid w:val="005655E8"/>
    <w:rsid w:val="005657B9"/>
    <w:rsid w:val="00565866"/>
    <w:rsid w:val="0056587C"/>
    <w:rsid w:val="005658AB"/>
    <w:rsid w:val="00565A62"/>
    <w:rsid w:val="00565B0A"/>
    <w:rsid w:val="00565B60"/>
    <w:rsid w:val="00565BC0"/>
    <w:rsid w:val="00565C68"/>
    <w:rsid w:val="00565CB3"/>
    <w:rsid w:val="00565D0F"/>
    <w:rsid w:val="00565D2C"/>
    <w:rsid w:val="00565D39"/>
    <w:rsid w:val="00565E1F"/>
    <w:rsid w:val="00565EB7"/>
    <w:rsid w:val="005660B5"/>
    <w:rsid w:val="005660EF"/>
    <w:rsid w:val="0056623C"/>
    <w:rsid w:val="005663FA"/>
    <w:rsid w:val="0056646A"/>
    <w:rsid w:val="005664B0"/>
    <w:rsid w:val="005664FA"/>
    <w:rsid w:val="0056656E"/>
    <w:rsid w:val="005666C5"/>
    <w:rsid w:val="00566854"/>
    <w:rsid w:val="005668F4"/>
    <w:rsid w:val="0056697C"/>
    <w:rsid w:val="005669A5"/>
    <w:rsid w:val="00566A23"/>
    <w:rsid w:val="00566A2F"/>
    <w:rsid w:val="00566AF3"/>
    <w:rsid w:val="00566B13"/>
    <w:rsid w:val="00566BF6"/>
    <w:rsid w:val="00566C11"/>
    <w:rsid w:val="00566E6D"/>
    <w:rsid w:val="00566F07"/>
    <w:rsid w:val="00566F67"/>
    <w:rsid w:val="0056701B"/>
    <w:rsid w:val="0056720B"/>
    <w:rsid w:val="00567363"/>
    <w:rsid w:val="0056746B"/>
    <w:rsid w:val="005674EB"/>
    <w:rsid w:val="005675B3"/>
    <w:rsid w:val="00567623"/>
    <w:rsid w:val="005676A2"/>
    <w:rsid w:val="005676A3"/>
    <w:rsid w:val="00567775"/>
    <w:rsid w:val="005677EE"/>
    <w:rsid w:val="005677F5"/>
    <w:rsid w:val="0056786A"/>
    <w:rsid w:val="00567A3F"/>
    <w:rsid w:val="00567B00"/>
    <w:rsid w:val="00567B2F"/>
    <w:rsid w:val="00567B5C"/>
    <w:rsid w:val="00567C8B"/>
    <w:rsid w:val="00567C97"/>
    <w:rsid w:val="00567CA5"/>
    <w:rsid w:val="00567CEA"/>
    <w:rsid w:val="00567D28"/>
    <w:rsid w:val="00567FD0"/>
    <w:rsid w:val="00570154"/>
    <w:rsid w:val="00570158"/>
    <w:rsid w:val="00570276"/>
    <w:rsid w:val="00570386"/>
    <w:rsid w:val="00570425"/>
    <w:rsid w:val="00570485"/>
    <w:rsid w:val="005704AB"/>
    <w:rsid w:val="005705FB"/>
    <w:rsid w:val="005706E0"/>
    <w:rsid w:val="00570727"/>
    <w:rsid w:val="0057090F"/>
    <w:rsid w:val="00570972"/>
    <w:rsid w:val="00570BAA"/>
    <w:rsid w:val="00570BCD"/>
    <w:rsid w:val="00570C9A"/>
    <w:rsid w:val="00570CB5"/>
    <w:rsid w:val="00570CC4"/>
    <w:rsid w:val="00570CD3"/>
    <w:rsid w:val="00570DA6"/>
    <w:rsid w:val="00570DB2"/>
    <w:rsid w:val="0057105D"/>
    <w:rsid w:val="00571068"/>
    <w:rsid w:val="005710B5"/>
    <w:rsid w:val="005710BD"/>
    <w:rsid w:val="005710E9"/>
    <w:rsid w:val="005711A7"/>
    <w:rsid w:val="0057125C"/>
    <w:rsid w:val="0057130F"/>
    <w:rsid w:val="00571406"/>
    <w:rsid w:val="00571414"/>
    <w:rsid w:val="005714CD"/>
    <w:rsid w:val="005717DD"/>
    <w:rsid w:val="005718BB"/>
    <w:rsid w:val="00571943"/>
    <w:rsid w:val="00571ABA"/>
    <w:rsid w:val="00571B6C"/>
    <w:rsid w:val="00571C4A"/>
    <w:rsid w:val="00571CBB"/>
    <w:rsid w:val="00571CEA"/>
    <w:rsid w:val="00571CF2"/>
    <w:rsid w:val="00571D68"/>
    <w:rsid w:val="00571E3C"/>
    <w:rsid w:val="00571EB6"/>
    <w:rsid w:val="00571F20"/>
    <w:rsid w:val="00571F4B"/>
    <w:rsid w:val="00571F6D"/>
    <w:rsid w:val="00571F75"/>
    <w:rsid w:val="005720D7"/>
    <w:rsid w:val="005721B0"/>
    <w:rsid w:val="0057221A"/>
    <w:rsid w:val="0057232A"/>
    <w:rsid w:val="005723A4"/>
    <w:rsid w:val="005724BA"/>
    <w:rsid w:val="0057262B"/>
    <w:rsid w:val="005726C1"/>
    <w:rsid w:val="005726FF"/>
    <w:rsid w:val="00572726"/>
    <w:rsid w:val="0057280A"/>
    <w:rsid w:val="0057284E"/>
    <w:rsid w:val="00572892"/>
    <w:rsid w:val="005728AC"/>
    <w:rsid w:val="005728DF"/>
    <w:rsid w:val="00572950"/>
    <w:rsid w:val="0057299C"/>
    <w:rsid w:val="005729DF"/>
    <w:rsid w:val="00572A1C"/>
    <w:rsid w:val="00572A86"/>
    <w:rsid w:val="00572BAC"/>
    <w:rsid w:val="00572C0F"/>
    <w:rsid w:val="00572D48"/>
    <w:rsid w:val="00572DCA"/>
    <w:rsid w:val="00572E84"/>
    <w:rsid w:val="0057302F"/>
    <w:rsid w:val="0057313B"/>
    <w:rsid w:val="0057323F"/>
    <w:rsid w:val="00573263"/>
    <w:rsid w:val="005732B2"/>
    <w:rsid w:val="005732D8"/>
    <w:rsid w:val="00573356"/>
    <w:rsid w:val="0057348F"/>
    <w:rsid w:val="005734DE"/>
    <w:rsid w:val="00573527"/>
    <w:rsid w:val="00573579"/>
    <w:rsid w:val="005735C8"/>
    <w:rsid w:val="005735D0"/>
    <w:rsid w:val="005736CA"/>
    <w:rsid w:val="00573763"/>
    <w:rsid w:val="00573787"/>
    <w:rsid w:val="00573909"/>
    <w:rsid w:val="00573A74"/>
    <w:rsid w:val="00573A7D"/>
    <w:rsid w:val="00573B16"/>
    <w:rsid w:val="00573B83"/>
    <w:rsid w:val="00573BC8"/>
    <w:rsid w:val="00573C03"/>
    <w:rsid w:val="00573C85"/>
    <w:rsid w:val="00573C8B"/>
    <w:rsid w:val="00573C97"/>
    <w:rsid w:val="00573CAD"/>
    <w:rsid w:val="00573D32"/>
    <w:rsid w:val="00573E11"/>
    <w:rsid w:val="00573E47"/>
    <w:rsid w:val="00573FAD"/>
    <w:rsid w:val="00574038"/>
    <w:rsid w:val="00574092"/>
    <w:rsid w:val="00574150"/>
    <w:rsid w:val="0057417C"/>
    <w:rsid w:val="005741C9"/>
    <w:rsid w:val="0057459A"/>
    <w:rsid w:val="005746F9"/>
    <w:rsid w:val="005748D1"/>
    <w:rsid w:val="00574907"/>
    <w:rsid w:val="00574AB5"/>
    <w:rsid w:val="00574AC2"/>
    <w:rsid w:val="00574ADE"/>
    <w:rsid w:val="00574B8A"/>
    <w:rsid w:val="00574C91"/>
    <w:rsid w:val="00574CCB"/>
    <w:rsid w:val="00574D35"/>
    <w:rsid w:val="00574E0F"/>
    <w:rsid w:val="00574E3B"/>
    <w:rsid w:val="00575038"/>
    <w:rsid w:val="0057504F"/>
    <w:rsid w:val="0057507C"/>
    <w:rsid w:val="00575232"/>
    <w:rsid w:val="0057529E"/>
    <w:rsid w:val="0057531E"/>
    <w:rsid w:val="00575359"/>
    <w:rsid w:val="00575392"/>
    <w:rsid w:val="00575403"/>
    <w:rsid w:val="00575621"/>
    <w:rsid w:val="00575742"/>
    <w:rsid w:val="00575778"/>
    <w:rsid w:val="0057582C"/>
    <w:rsid w:val="005759AD"/>
    <w:rsid w:val="005759E5"/>
    <w:rsid w:val="00575B27"/>
    <w:rsid w:val="00575B54"/>
    <w:rsid w:val="00575BB6"/>
    <w:rsid w:val="00575CC7"/>
    <w:rsid w:val="00576047"/>
    <w:rsid w:val="00576077"/>
    <w:rsid w:val="005760B7"/>
    <w:rsid w:val="005760CB"/>
    <w:rsid w:val="005761B7"/>
    <w:rsid w:val="0057624A"/>
    <w:rsid w:val="00576250"/>
    <w:rsid w:val="005763C2"/>
    <w:rsid w:val="005765AA"/>
    <w:rsid w:val="005766CE"/>
    <w:rsid w:val="00576A34"/>
    <w:rsid w:val="00576A55"/>
    <w:rsid w:val="00576B47"/>
    <w:rsid w:val="00576B7C"/>
    <w:rsid w:val="00576BA0"/>
    <w:rsid w:val="00576CA2"/>
    <w:rsid w:val="00576D27"/>
    <w:rsid w:val="00576D3F"/>
    <w:rsid w:val="00576D8D"/>
    <w:rsid w:val="00576DB9"/>
    <w:rsid w:val="00576E31"/>
    <w:rsid w:val="00576E7C"/>
    <w:rsid w:val="00576E91"/>
    <w:rsid w:val="00576ECB"/>
    <w:rsid w:val="00576F7E"/>
    <w:rsid w:val="005770A3"/>
    <w:rsid w:val="0057711C"/>
    <w:rsid w:val="0057719B"/>
    <w:rsid w:val="00577200"/>
    <w:rsid w:val="0057749D"/>
    <w:rsid w:val="00577549"/>
    <w:rsid w:val="0057767E"/>
    <w:rsid w:val="00577694"/>
    <w:rsid w:val="0057778F"/>
    <w:rsid w:val="005777AC"/>
    <w:rsid w:val="00577802"/>
    <w:rsid w:val="00577851"/>
    <w:rsid w:val="00577855"/>
    <w:rsid w:val="005778FB"/>
    <w:rsid w:val="00577942"/>
    <w:rsid w:val="0057796C"/>
    <w:rsid w:val="00577A80"/>
    <w:rsid w:val="00577B0B"/>
    <w:rsid w:val="00577C26"/>
    <w:rsid w:val="00577D73"/>
    <w:rsid w:val="00577E56"/>
    <w:rsid w:val="00577E80"/>
    <w:rsid w:val="00577EB9"/>
    <w:rsid w:val="00577F1C"/>
    <w:rsid w:val="00577FDE"/>
    <w:rsid w:val="00580098"/>
    <w:rsid w:val="00580099"/>
    <w:rsid w:val="0058048C"/>
    <w:rsid w:val="00580508"/>
    <w:rsid w:val="00580616"/>
    <w:rsid w:val="00580977"/>
    <w:rsid w:val="005809DA"/>
    <w:rsid w:val="00580A01"/>
    <w:rsid w:val="00580A33"/>
    <w:rsid w:val="00580A5F"/>
    <w:rsid w:val="00580ADE"/>
    <w:rsid w:val="00580B89"/>
    <w:rsid w:val="00580CD3"/>
    <w:rsid w:val="00580D59"/>
    <w:rsid w:val="00580F08"/>
    <w:rsid w:val="00580FC7"/>
    <w:rsid w:val="00581010"/>
    <w:rsid w:val="00581040"/>
    <w:rsid w:val="0058107A"/>
    <w:rsid w:val="00581138"/>
    <w:rsid w:val="00581142"/>
    <w:rsid w:val="00581226"/>
    <w:rsid w:val="005812F5"/>
    <w:rsid w:val="005813D8"/>
    <w:rsid w:val="00581421"/>
    <w:rsid w:val="0058143E"/>
    <w:rsid w:val="005814FD"/>
    <w:rsid w:val="0058155E"/>
    <w:rsid w:val="005815AF"/>
    <w:rsid w:val="0058179F"/>
    <w:rsid w:val="005817D6"/>
    <w:rsid w:val="005818B8"/>
    <w:rsid w:val="00581960"/>
    <w:rsid w:val="00581BA9"/>
    <w:rsid w:val="00581BC9"/>
    <w:rsid w:val="00581C0D"/>
    <w:rsid w:val="00581C7C"/>
    <w:rsid w:val="00581CFF"/>
    <w:rsid w:val="00581E26"/>
    <w:rsid w:val="00581F8E"/>
    <w:rsid w:val="00581FC9"/>
    <w:rsid w:val="00582034"/>
    <w:rsid w:val="005820EF"/>
    <w:rsid w:val="00582231"/>
    <w:rsid w:val="005822AB"/>
    <w:rsid w:val="005822B6"/>
    <w:rsid w:val="0058230E"/>
    <w:rsid w:val="00582313"/>
    <w:rsid w:val="00582479"/>
    <w:rsid w:val="0058254D"/>
    <w:rsid w:val="005825F8"/>
    <w:rsid w:val="005826A5"/>
    <w:rsid w:val="0058278C"/>
    <w:rsid w:val="005827E6"/>
    <w:rsid w:val="005828FC"/>
    <w:rsid w:val="00582960"/>
    <w:rsid w:val="00582AF2"/>
    <w:rsid w:val="00582B38"/>
    <w:rsid w:val="00582B85"/>
    <w:rsid w:val="00582B88"/>
    <w:rsid w:val="00582D33"/>
    <w:rsid w:val="00582ECA"/>
    <w:rsid w:val="0058306B"/>
    <w:rsid w:val="005830E5"/>
    <w:rsid w:val="005831BF"/>
    <w:rsid w:val="00583202"/>
    <w:rsid w:val="00583210"/>
    <w:rsid w:val="00583352"/>
    <w:rsid w:val="00583402"/>
    <w:rsid w:val="005834C0"/>
    <w:rsid w:val="005834CD"/>
    <w:rsid w:val="005834E8"/>
    <w:rsid w:val="005834F7"/>
    <w:rsid w:val="0058351B"/>
    <w:rsid w:val="00583680"/>
    <w:rsid w:val="005836A2"/>
    <w:rsid w:val="00583837"/>
    <w:rsid w:val="0058392C"/>
    <w:rsid w:val="005839C6"/>
    <w:rsid w:val="00583A11"/>
    <w:rsid w:val="00583AAE"/>
    <w:rsid w:val="00583AE1"/>
    <w:rsid w:val="00583B5F"/>
    <w:rsid w:val="00583C98"/>
    <w:rsid w:val="00583CA6"/>
    <w:rsid w:val="00583CF6"/>
    <w:rsid w:val="00583D02"/>
    <w:rsid w:val="00583D74"/>
    <w:rsid w:val="00583F6C"/>
    <w:rsid w:val="00583F9E"/>
    <w:rsid w:val="00583FB4"/>
    <w:rsid w:val="0058401C"/>
    <w:rsid w:val="0058406A"/>
    <w:rsid w:val="00584150"/>
    <w:rsid w:val="0058424D"/>
    <w:rsid w:val="00584274"/>
    <w:rsid w:val="00584397"/>
    <w:rsid w:val="005843AE"/>
    <w:rsid w:val="005843FF"/>
    <w:rsid w:val="005844CB"/>
    <w:rsid w:val="005844DA"/>
    <w:rsid w:val="005844FC"/>
    <w:rsid w:val="00584549"/>
    <w:rsid w:val="005845C0"/>
    <w:rsid w:val="0058472F"/>
    <w:rsid w:val="00584761"/>
    <w:rsid w:val="005847BB"/>
    <w:rsid w:val="00584835"/>
    <w:rsid w:val="0058490B"/>
    <w:rsid w:val="0058499A"/>
    <w:rsid w:val="005849D7"/>
    <w:rsid w:val="00584A2B"/>
    <w:rsid w:val="00584B24"/>
    <w:rsid w:val="00584BAA"/>
    <w:rsid w:val="00584C16"/>
    <w:rsid w:val="00584C20"/>
    <w:rsid w:val="00584E7F"/>
    <w:rsid w:val="00584E9E"/>
    <w:rsid w:val="00584EA8"/>
    <w:rsid w:val="00584FAA"/>
    <w:rsid w:val="00584FBF"/>
    <w:rsid w:val="005850B6"/>
    <w:rsid w:val="00585136"/>
    <w:rsid w:val="0058513E"/>
    <w:rsid w:val="00585266"/>
    <w:rsid w:val="005852FD"/>
    <w:rsid w:val="00585342"/>
    <w:rsid w:val="005853F1"/>
    <w:rsid w:val="00585458"/>
    <w:rsid w:val="005855E1"/>
    <w:rsid w:val="00585697"/>
    <w:rsid w:val="005857D7"/>
    <w:rsid w:val="00585841"/>
    <w:rsid w:val="00585894"/>
    <w:rsid w:val="005858A2"/>
    <w:rsid w:val="00585AEB"/>
    <w:rsid w:val="00585B2F"/>
    <w:rsid w:val="00585B3B"/>
    <w:rsid w:val="00585BB4"/>
    <w:rsid w:val="00585BC3"/>
    <w:rsid w:val="00585C19"/>
    <w:rsid w:val="00585D38"/>
    <w:rsid w:val="00585D45"/>
    <w:rsid w:val="00585DAA"/>
    <w:rsid w:val="00585DAE"/>
    <w:rsid w:val="00585E7F"/>
    <w:rsid w:val="00585E96"/>
    <w:rsid w:val="00585F2F"/>
    <w:rsid w:val="00586054"/>
    <w:rsid w:val="00586176"/>
    <w:rsid w:val="0058624B"/>
    <w:rsid w:val="005862A8"/>
    <w:rsid w:val="00586388"/>
    <w:rsid w:val="005863DD"/>
    <w:rsid w:val="00586409"/>
    <w:rsid w:val="00586457"/>
    <w:rsid w:val="005866A6"/>
    <w:rsid w:val="00586757"/>
    <w:rsid w:val="00586817"/>
    <w:rsid w:val="00586889"/>
    <w:rsid w:val="005868B9"/>
    <w:rsid w:val="00586995"/>
    <w:rsid w:val="00586A46"/>
    <w:rsid w:val="00586A9F"/>
    <w:rsid w:val="00586BF1"/>
    <w:rsid w:val="00586D41"/>
    <w:rsid w:val="00586DC1"/>
    <w:rsid w:val="00586E00"/>
    <w:rsid w:val="00586F9F"/>
    <w:rsid w:val="00586FD4"/>
    <w:rsid w:val="00586FE0"/>
    <w:rsid w:val="005870BE"/>
    <w:rsid w:val="005871B1"/>
    <w:rsid w:val="00587283"/>
    <w:rsid w:val="00587299"/>
    <w:rsid w:val="005872FF"/>
    <w:rsid w:val="005874C0"/>
    <w:rsid w:val="00587557"/>
    <w:rsid w:val="00587596"/>
    <w:rsid w:val="00587616"/>
    <w:rsid w:val="0058767F"/>
    <w:rsid w:val="00587850"/>
    <w:rsid w:val="00587856"/>
    <w:rsid w:val="005878E6"/>
    <w:rsid w:val="00587995"/>
    <w:rsid w:val="005879EF"/>
    <w:rsid w:val="00587A40"/>
    <w:rsid w:val="00587B4F"/>
    <w:rsid w:val="00587B5F"/>
    <w:rsid w:val="00587C6D"/>
    <w:rsid w:val="00587DDF"/>
    <w:rsid w:val="00587E82"/>
    <w:rsid w:val="00587F00"/>
    <w:rsid w:val="0059006A"/>
    <w:rsid w:val="005900B0"/>
    <w:rsid w:val="0059018A"/>
    <w:rsid w:val="005901FA"/>
    <w:rsid w:val="00590234"/>
    <w:rsid w:val="0059025A"/>
    <w:rsid w:val="00590284"/>
    <w:rsid w:val="00590313"/>
    <w:rsid w:val="0059037F"/>
    <w:rsid w:val="005904B7"/>
    <w:rsid w:val="005905F6"/>
    <w:rsid w:val="0059060E"/>
    <w:rsid w:val="0059065E"/>
    <w:rsid w:val="00590667"/>
    <w:rsid w:val="00590692"/>
    <w:rsid w:val="005906C2"/>
    <w:rsid w:val="0059093E"/>
    <w:rsid w:val="00590979"/>
    <w:rsid w:val="00590A75"/>
    <w:rsid w:val="00590BBF"/>
    <w:rsid w:val="00590CB2"/>
    <w:rsid w:val="00590CBF"/>
    <w:rsid w:val="00590D83"/>
    <w:rsid w:val="00590E25"/>
    <w:rsid w:val="00590E66"/>
    <w:rsid w:val="00590E80"/>
    <w:rsid w:val="00590EEC"/>
    <w:rsid w:val="00590F48"/>
    <w:rsid w:val="00590F6F"/>
    <w:rsid w:val="00590FBC"/>
    <w:rsid w:val="00590FBE"/>
    <w:rsid w:val="00590FEE"/>
    <w:rsid w:val="00591099"/>
    <w:rsid w:val="0059109A"/>
    <w:rsid w:val="0059121B"/>
    <w:rsid w:val="00591400"/>
    <w:rsid w:val="00591498"/>
    <w:rsid w:val="005914BE"/>
    <w:rsid w:val="0059169C"/>
    <w:rsid w:val="005916D5"/>
    <w:rsid w:val="0059175D"/>
    <w:rsid w:val="0059179F"/>
    <w:rsid w:val="0059180A"/>
    <w:rsid w:val="0059186A"/>
    <w:rsid w:val="0059189D"/>
    <w:rsid w:val="00591ADF"/>
    <w:rsid w:val="00591AF2"/>
    <w:rsid w:val="00591B3F"/>
    <w:rsid w:val="00591C1A"/>
    <w:rsid w:val="00591CE1"/>
    <w:rsid w:val="00591D86"/>
    <w:rsid w:val="00591D90"/>
    <w:rsid w:val="00591FD4"/>
    <w:rsid w:val="005921EE"/>
    <w:rsid w:val="0059224F"/>
    <w:rsid w:val="0059240F"/>
    <w:rsid w:val="00592570"/>
    <w:rsid w:val="0059267A"/>
    <w:rsid w:val="005926E8"/>
    <w:rsid w:val="005927C7"/>
    <w:rsid w:val="0059285C"/>
    <w:rsid w:val="0059287C"/>
    <w:rsid w:val="0059293A"/>
    <w:rsid w:val="00592960"/>
    <w:rsid w:val="00592A47"/>
    <w:rsid w:val="00592AB2"/>
    <w:rsid w:val="00592AEF"/>
    <w:rsid w:val="00592C9B"/>
    <w:rsid w:val="00592D45"/>
    <w:rsid w:val="00592E68"/>
    <w:rsid w:val="00592F07"/>
    <w:rsid w:val="00592F0F"/>
    <w:rsid w:val="00592F36"/>
    <w:rsid w:val="00592FAF"/>
    <w:rsid w:val="00592FE3"/>
    <w:rsid w:val="00593057"/>
    <w:rsid w:val="005930B3"/>
    <w:rsid w:val="005931B6"/>
    <w:rsid w:val="00593267"/>
    <w:rsid w:val="0059329D"/>
    <w:rsid w:val="005935DF"/>
    <w:rsid w:val="00593607"/>
    <w:rsid w:val="0059385B"/>
    <w:rsid w:val="00593B43"/>
    <w:rsid w:val="00593B88"/>
    <w:rsid w:val="00593E96"/>
    <w:rsid w:val="00593EBE"/>
    <w:rsid w:val="00594000"/>
    <w:rsid w:val="00594061"/>
    <w:rsid w:val="00594071"/>
    <w:rsid w:val="005940F6"/>
    <w:rsid w:val="0059415C"/>
    <w:rsid w:val="00594200"/>
    <w:rsid w:val="0059422A"/>
    <w:rsid w:val="00594266"/>
    <w:rsid w:val="00594383"/>
    <w:rsid w:val="0059457B"/>
    <w:rsid w:val="005945CC"/>
    <w:rsid w:val="005946F5"/>
    <w:rsid w:val="0059473B"/>
    <w:rsid w:val="0059482D"/>
    <w:rsid w:val="005948B4"/>
    <w:rsid w:val="00594AE2"/>
    <w:rsid w:val="00594B13"/>
    <w:rsid w:val="00594BD2"/>
    <w:rsid w:val="00594C41"/>
    <w:rsid w:val="00594DDD"/>
    <w:rsid w:val="00594E69"/>
    <w:rsid w:val="00594F4F"/>
    <w:rsid w:val="00594F89"/>
    <w:rsid w:val="00594FE7"/>
    <w:rsid w:val="0059505A"/>
    <w:rsid w:val="0059512A"/>
    <w:rsid w:val="00595211"/>
    <w:rsid w:val="005952C6"/>
    <w:rsid w:val="005952ED"/>
    <w:rsid w:val="00595404"/>
    <w:rsid w:val="00595476"/>
    <w:rsid w:val="0059557A"/>
    <w:rsid w:val="0059571B"/>
    <w:rsid w:val="0059571E"/>
    <w:rsid w:val="005957AC"/>
    <w:rsid w:val="005959B3"/>
    <w:rsid w:val="00595AC7"/>
    <w:rsid w:val="00595B1C"/>
    <w:rsid w:val="00595C60"/>
    <w:rsid w:val="00595DE1"/>
    <w:rsid w:val="00595F06"/>
    <w:rsid w:val="00595F71"/>
    <w:rsid w:val="00595F72"/>
    <w:rsid w:val="00596135"/>
    <w:rsid w:val="00596480"/>
    <w:rsid w:val="005964E6"/>
    <w:rsid w:val="005965B3"/>
    <w:rsid w:val="005965FE"/>
    <w:rsid w:val="005966B6"/>
    <w:rsid w:val="005966B7"/>
    <w:rsid w:val="00596710"/>
    <w:rsid w:val="005967F2"/>
    <w:rsid w:val="00596841"/>
    <w:rsid w:val="00596865"/>
    <w:rsid w:val="0059686B"/>
    <w:rsid w:val="00596914"/>
    <w:rsid w:val="00596924"/>
    <w:rsid w:val="005969C3"/>
    <w:rsid w:val="00596A5D"/>
    <w:rsid w:val="00596C1A"/>
    <w:rsid w:val="00596C81"/>
    <w:rsid w:val="00596D30"/>
    <w:rsid w:val="00596D3D"/>
    <w:rsid w:val="00596D6D"/>
    <w:rsid w:val="00596E56"/>
    <w:rsid w:val="00596E71"/>
    <w:rsid w:val="00596F8C"/>
    <w:rsid w:val="00596F9F"/>
    <w:rsid w:val="00596FA2"/>
    <w:rsid w:val="00596FA4"/>
    <w:rsid w:val="00596FD5"/>
    <w:rsid w:val="0059709D"/>
    <w:rsid w:val="005970D8"/>
    <w:rsid w:val="00597100"/>
    <w:rsid w:val="00597213"/>
    <w:rsid w:val="00597283"/>
    <w:rsid w:val="0059734F"/>
    <w:rsid w:val="00597366"/>
    <w:rsid w:val="00597489"/>
    <w:rsid w:val="005974BB"/>
    <w:rsid w:val="005974C8"/>
    <w:rsid w:val="005974CC"/>
    <w:rsid w:val="00597552"/>
    <w:rsid w:val="0059758D"/>
    <w:rsid w:val="005975C3"/>
    <w:rsid w:val="0059760A"/>
    <w:rsid w:val="00597644"/>
    <w:rsid w:val="00597678"/>
    <w:rsid w:val="005977DF"/>
    <w:rsid w:val="00597814"/>
    <w:rsid w:val="005978CB"/>
    <w:rsid w:val="00597975"/>
    <w:rsid w:val="005979F5"/>
    <w:rsid w:val="00597A3D"/>
    <w:rsid w:val="00597B50"/>
    <w:rsid w:val="00597B96"/>
    <w:rsid w:val="00597BAD"/>
    <w:rsid w:val="00597CA0"/>
    <w:rsid w:val="00597E74"/>
    <w:rsid w:val="005A0083"/>
    <w:rsid w:val="005A0086"/>
    <w:rsid w:val="005A00A2"/>
    <w:rsid w:val="005A01AB"/>
    <w:rsid w:val="005A0201"/>
    <w:rsid w:val="005A0225"/>
    <w:rsid w:val="005A024C"/>
    <w:rsid w:val="005A0298"/>
    <w:rsid w:val="005A02DF"/>
    <w:rsid w:val="005A0393"/>
    <w:rsid w:val="005A043A"/>
    <w:rsid w:val="005A047C"/>
    <w:rsid w:val="005A048E"/>
    <w:rsid w:val="005A04FA"/>
    <w:rsid w:val="005A04FF"/>
    <w:rsid w:val="005A057D"/>
    <w:rsid w:val="005A069F"/>
    <w:rsid w:val="005A08B6"/>
    <w:rsid w:val="005A0945"/>
    <w:rsid w:val="005A095D"/>
    <w:rsid w:val="005A09AA"/>
    <w:rsid w:val="005A09CD"/>
    <w:rsid w:val="005A09E3"/>
    <w:rsid w:val="005A0AA5"/>
    <w:rsid w:val="005A0B3E"/>
    <w:rsid w:val="005A0C0E"/>
    <w:rsid w:val="005A0DCF"/>
    <w:rsid w:val="005A0DE3"/>
    <w:rsid w:val="005A0F9B"/>
    <w:rsid w:val="005A1018"/>
    <w:rsid w:val="005A1031"/>
    <w:rsid w:val="005A10FA"/>
    <w:rsid w:val="005A110C"/>
    <w:rsid w:val="005A11BC"/>
    <w:rsid w:val="005A11EF"/>
    <w:rsid w:val="005A12BC"/>
    <w:rsid w:val="005A1353"/>
    <w:rsid w:val="005A144C"/>
    <w:rsid w:val="005A1533"/>
    <w:rsid w:val="005A1683"/>
    <w:rsid w:val="005A1758"/>
    <w:rsid w:val="005A1792"/>
    <w:rsid w:val="005A1825"/>
    <w:rsid w:val="005A182A"/>
    <w:rsid w:val="005A1841"/>
    <w:rsid w:val="005A1878"/>
    <w:rsid w:val="005A18C2"/>
    <w:rsid w:val="005A18C6"/>
    <w:rsid w:val="005A190A"/>
    <w:rsid w:val="005A190B"/>
    <w:rsid w:val="005A197B"/>
    <w:rsid w:val="005A19AC"/>
    <w:rsid w:val="005A19D4"/>
    <w:rsid w:val="005A19FE"/>
    <w:rsid w:val="005A1B5B"/>
    <w:rsid w:val="005A1C13"/>
    <w:rsid w:val="005A1D2A"/>
    <w:rsid w:val="005A1F99"/>
    <w:rsid w:val="005A1FB3"/>
    <w:rsid w:val="005A1FD4"/>
    <w:rsid w:val="005A1FDF"/>
    <w:rsid w:val="005A2095"/>
    <w:rsid w:val="005A21DB"/>
    <w:rsid w:val="005A21EA"/>
    <w:rsid w:val="005A2562"/>
    <w:rsid w:val="005A2636"/>
    <w:rsid w:val="005A2777"/>
    <w:rsid w:val="005A27B8"/>
    <w:rsid w:val="005A27C1"/>
    <w:rsid w:val="005A2846"/>
    <w:rsid w:val="005A2850"/>
    <w:rsid w:val="005A2860"/>
    <w:rsid w:val="005A2861"/>
    <w:rsid w:val="005A28FD"/>
    <w:rsid w:val="005A2986"/>
    <w:rsid w:val="005A29DE"/>
    <w:rsid w:val="005A2A13"/>
    <w:rsid w:val="005A2A22"/>
    <w:rsid w:val="005A2ABD"/>
    <w:rsid w:val="005A30BD"/>
    <w:rsid w:val="005A311B"/>
    <w:rsid w:val="005A3151"/>
    <w:rsid w:val="005A31D4"/>
    <w:rsid w:val="005A34DD"/>
    <w:rsid w:val="005A357F"/>
    <w:rsid w:val="005A3674"/>
    <w:rsid w:val="005A36C1"/>
    <w:rsid w:val="005A36CA"/>
    <w:rsid w:val="005A36DD"/>
    <w:rsid w:val="005A3785"/>
    <w:rsid w:val="005A37DB"/>
    <w:rsid w:val="005A38B7"/>
    <w:rsid w:val="005A39AD"/>
    <w:rsid w:val="005A3B4C"/>
    <w:rsid w:val="005A3B5F"/>
    <w:rsid w:val="005A3B73"/>
    <w:rsid w:val="005A3B78"/>
    <w:rsid w:val="005A3B7C"/>
    <w:rsid w:val="005A3BA5"/>
    <w:rsid w:val="005A3CA5"/>
    <w:rsid w:val="005A3E00"/>
    <w:rsid w:val="005A3E42"/>
    <w:rsid w:val="005A3E66"/>
    <w:rsid w:val="005A3F0E"/>
    <w:rsid w:val="005A3F46"/>
    <w:rsid w:val="005A3FAB"/>
    <w:rsid w:val="005A41F8"/>
    <w:rsid w:val="005A4214"/>
    <w:rsid w:val="005A421A"/>
    <w:rsid w:val="005A4285"/>
    <w:rsid w:val="005A4510"/>
    <w:rsid w:val="005A4557"/>
    <w:rsid w:val="005A45EA"/>
    <w:rsid w:val="005A4719"/>
    <w:rsid w:val="005A47DD"/>
    <w:rsid w:val="005A480F"/>
    <w:rsid w:val="005A4959"/>
    <w:rsid w:val="005A4AC4"/>
    <w:rsid w:val="005A4B5E"/>
    <w:rsid w:val="005A4BCA"/>
    <w:rsid w:val="005A4BF1"/>
    <w:rsid w:val="005A4C07"/>
    <w:rsid w:val="005A4CA6"/>
    <w:rsid w:val="005A4F28"/>
    <w:rsid w:val="005A5114"/>
    <w:rsid w:val="005A517F"/>
    <w:rsid w:val="005A518C"/>
    <w:rsid w:val="005A51B9"/>
    <w:rsid w:val="005A5274"/>
    <w:rsid w:val="005A5388"/>
    <w:rsid w:val="005A53B6"/>
    <w:rsid w:val="005A53DB"/>
    <w:rsid w:val="005A54D8"/>
    <w:rsid w:val="005A55C5"/>
    <w:rsid w:val="005A56A8"/>
    <w:rsid w:val="005A5817"/>
    <w:rsid w:val="005A5860"/>
    <w:rsid w:val="005A593C"/>
    <w:rsid w:val="005A5A33"/>
    <w:rsid w:val="005A5A94"/>
    <w:rsid w:val="005A5AE1"/>
    <w:rsid w:val="005A5BD9"/>
    <w:rsid w:val="005A5C77"/>
    <w:rsid w:val="005A5CF2"/>
    <w:rsid w:val="005A5D0F"/>
    <w:rsid w:val="005A5D1C"/>
    <w:rsid w:val="005A5DF5"/>
    <w:rsid w:val="005A5F60"/>
    <w:rsid w:val="005A607E"/>
    <w:rsid w:val="005A613F"/>
    <w:rsid w:val="005A6179"/>
    <w:rsid w:val="005A620A"/>
    <w:rsid w:val="005A62B7"/>
    <w:rsid w:val="005A62E0"/>
    <w:rsid w:val="005A62E1"/>
    <w:rsid w:val="005A6353"/>
    <w:rsid w:val="005A63D7"/>
    <w:rsid w:val="005A65B2"/>
    <w:rsid w:val="005A6669"/>
    <w:rsid w:val="005A670F"/>
    <w:rsid w:val="005A681A"/>
    <w:rsid w:val="005A6852"/>
    <w:rsid w:val="005A6890"/>
    <w:rsid w:val="005A6899"/>
    <w:rsid w:val="005A6912"/>
    <w:rsid w:val="005A6978"/>
    <w:rsid w:val="005A6A2E"/>
    <w:rsid w:val="005A6AD2"/>
    <w:rsid w:val="005A6B05"/>
    <w:rsid w:val="005A6B43"/>
    <w:rsid w:val="005A6CC5"/>
    <w:rsid w:val="005A6DB9"/>
    <w:rsid w:val="005A6DC8"/>
    <w:rsid w:val="005A6E05"/>
    <w:rsid w:val="005A6F7F"/>
    <w:rsid w:val="005A7277"/>
    <w:rsid w:val="005A72FE"/>
    <w:rsid w:val="005A7336"/>
    <w:rsid w:val="005A74A5"/>
    <w:rsid w:val="005A74B5"/>
    <w:rsid w:val="005A74EE"/>
    <w:rsid w:val="005A756B"/>
    <w:rsid w:val="005A75CF"/>
    <w:rsid w:val="005A75D1"/>
    <w:rsid w:val="005A7658"/>
    <w:rsid w:val="005A7666"/>
    <w:rsid w:val="005A76AF"/>
    <w:rsid w:val="005A776C"/>
    <w:rsid w:val="005A782A"/>
    <w:rsid w:val="005A7859"/>
    <w:rsid w:val="005A7A8F"/>
    <w:rsid w:val="005A7B64"/>
    <w:rsid w:val="005A7B6E"/>
    <w:rsid w:val="005A7BA4"/>
    <w:rsid w:val="005A7BDD"/>
    <w:rsid w:val="005A7C85"/>
    <w:rsid w:val="005A7D42"/>
    <w:rsid w:val="005A7E97"/>
    <w:rsid w:val="005A7FD2"/>
    <w:rsid w:val="005A7FF9"/>
    <w:rsid w:val="005B0001"/>
    <w:rsid w:val="005B0173"/>
    <w:rsid w:val="005B017F"/>
    <w:rsid w:val="005B021D"/>
    <w:rsid w:val="005B0228"/>
    <w:rsid w:val="005B02CE"/>
    <w:rsid w:val="005B06A8"/>
    <w:rsid w:val="005B0712"/>
    <w:rsid w:val="005B0751"/>
    <w:rsid w:val="005B0808"/>
    <w:rsid w:val="005B084B"/>
    <w:rsid w:val="005B0A9E"/>
    <w:rsid w:val="005B0B50"/>
    <w:rsid w:val="005B0C71"/>
    <w:rsid w:val="005B0E39"/>
    <w:rsid w:val="005B0EB8"/>
    <w:rsid w:val="005B0F90"/>
    <w:rsid w:val="005B0FEE"/>
    <w:rsid w:val="005B103E"/>
    <w:rsid w:val="005B1050"/>
    <w:rsid w:val="005B1113"/>
    <w:rsid w:val="005B113C"/>
    <w:rsid w:val="005B1152"/>
    <w:rsid w:val="005B116B"/>
    <w:rsid w:val="005B11BA"/>
    <w:rsid w:val="005B1243"/>
    <w:rsid w:val="005B12C2"/>
    <w:rsid w:val="005B133A"/>
    <w:rsid w:val="005B1374"/>
    <w:rsid w:val="005B13DC"/>
    <w:rsid w:val="005B14A5"/>
    <w:rsid w:val="005B14AB"/>
    <w:rsid w:val="005B14BE"/>
    <w:rsid w:val="005B150A"/>
    <w:rsid w:val="005B151B"/>
    <w:rsid w:val="005B16E1"/>
    <w:rsid w:val="005B176A"/>
    <w:rsid w:val="005B1888"/>
    <w:rsid w:val="005B1942"/>
    <w:rsid w:val="005B194B"/>
    <w:rsid w:val="005B1993"/>
    <w:rsid w:val="005B1B76"/>
    <w:rsid w:val="005B1BC4"/>
    <w:rsid w:val="005B1C6A"/>
    <w:rsid w:val="005B1CC4"/>
    <w:rsid w:val="005B1E0D"/>
    <w:rsid w:val="005B1FD8"/>
    <w:rsid w:val="005B2013"/>
    <w:rsid w:val="005B2075"/>
    <w:rsid w:val="005B2172"/>
    <w:rsid w:val="005B224D"/>
    <w:rsid w:val="005B22B5"/>
    <w:rsid w:val="005B23D6"/>
    <w:rsid w:val="005B247B"/>
    <w:rsid w:val="005B2579"/>
    <w:rsid w:val="005B2623"/>
    <w:rsid w:val="005B263D"/>
    <w:rsid w:val="005B2680"/>
    <w:rsid w:val="005B26B4"/>
    <w:rsid w:val="005B2713"/>
    <w:rsid w:val="005B2729"/>
    <w:rsid w:val="005B2856"/>
    <w:rsid w:val="005B28A2"/>
    <w:rsid w:val="005B28C6"/>
    <w:rsid w:val="005B28D0"/>
    <w:rsid w:val="005B28F5"/>
    <w:rsid w:val="005B2916"/>
    <w:rsid w:val="005B2937"/>
    <w:rsid w:val="005B29C3"/>
    <w:rsid w:val="005B2A19"/>
    <w:rsid w:val="005B2AFB"/>
    <w:rsid w:val="005B2B16"/>
    <w:rsid w:val="005B2B47"/>
    <w:rsid w:val="005B2B74"/>
    <w:rsid w:val="005B2B89"/>
    <w:rsid w:val="005B2C50"/>
    <w:rsid w:val="005B2C6B"/>
    <w:rsid w:val="005B2CE5"/>
    <w:rsid w:val="005B2D60"/>
    <w:rsid w:val="005B2D6B"/>
    <w:rsid w:val="005B2DD7"/>
    <w:rsid w:val="005B2E12"/>
    <w:rsid w:val="005B30DF"/>
    <w:rsid w:val="005B313B"/>
    <w:rsid w:val="005B3331"/>
    <w:rsid w:val="005B3380"/>
    <w:rsid w:val="005B3393"/>
    <w:rsid w:val="005B33F0"/>
    <w:rsid w:val="005B3427"/>
    <w:rsid w:val="005B3666"/>
    <w:rsid w:val="005B369F"/>
    <w:rsid w:val="005B36A1"/>
    <w:rsid w:val="005B3782"/>
    <w:rsid w:val="005B37CB"/>
    <w:rsid w:val="005B384E"/>
    <w:rsid w:val="005B38B5"/>
    <w:rsid w:val="005B38C5"/>
    <w:rsid w:val="005B3A33"/>
    <w:rsid w:val="005B3AAF"/>
    <w:rsid w:val="005B3C09"/>
    <w:rsid w:val="005B3CA0"/>
    <w:rsid w:val="005B3E98"/>
    <w:rsid w:val="005B3EAF"/>
    <w:rsid w:val="005B3EBA"/>
    <w:rsid w:val="005B3F74"/>
    <w:rsid w:val="005B3F85"/>
    <w:rsid w:val="005B3FD5"/>
    <w:rsid w:val="005B4007"/>
    <w:rsid w:val="005B4045"/>
    <w:rsid w:val="005B40BB"/>
    <w:rsid w:val="005B40FF"/>
    <w:rsid w:val="005B4102"/>
    <w:rsid w:val="005B4134"/>
    <w:rsid w:val="005B42D4"/>
    <w:rsid w:val="005B4302"/>
    <w:rsid w:val="005B4305"/>
    <w:rsid w:val="005B4418"/>
    <w:rsid w:val="005B46E7"/>
    <w:rsid w:val="005B48C5"/>
    <w:rsid w:val="005B490F"/>
    <w:rsid w:val="005B4960"/>
    <w:rsid w:val="005B4980"/>
    <w:rsid w:val="005B49B6"/>
    <w:rsid w:val="005B4AA9"/>
    <w:rsid w:val="005B4B55"/>
    <w:rsid w:val="005B4BF2"/>
    <w:rsid w:val="005B4C2A"/>
    <w:rsid w:val="005B4C32"/>
    <w:rsid w:val="005B4EE8"/>
    <w:rsid w:val="005B4FDC"/>
    <w:rsid w:val="005B50AC"/>
    <w:rsid w:val="005B50E3"/>
    <w:rsid w:val="005B5125"/>
    <w:rsid w:val="005B522A"/>
    <w:rsid w:val="005B53D9"/>
    <w:rsid w:val="005B542C"/>
    <w:rsid w:val="005B55EA"/>
    <w:rsid w:val="005B5621"/>
    <w:rsid w:val="005B5626"/>
    <w:rsid w:val="005B5686"/>
    <w:rsid w:val="005B56D0"/>
    <w:rsid w:val="005B5703"/>
    <w:rsid w:val="005B5731"/>
    <w:rsid w:val="005B57C0"/>
    <w:rsid w:val="005B5838"/>
    <w:rsid w:val="005B586C"/>
    <w:rsid w:val="005B591F"/>
    <w:rsid w:val="005B5A5B"/>
    <w:rsid w:val="005B5A96"/>
    <w:rsid w:val="005B5B9C"/>
    <w:rsid w:val="005B5BDE"/>
    <w:rsid w:val="005B5C01"/>
    <w:rsid w:val="005B5C5D"/>
    <w:rsid w:val="005B5C8D"/>
    <w:rsid w:val="005B5C93"/>
    <w:rsid w:val="005B5CB9"/>
    <w:rsid w:val="005B5CCC"/>
    <w:rsid w:val="005B5D99"/>
    <w:rsid w:val="005B5E0C"/>
    <w:rsid w:val="005B5E2C"/>
    <w:rsid w:val="005B5F8F"/>
    <w:rsid w:val="005B6013"/>
    <w:rsid w:val="005B6072"/>
    <w:rsid w:val="005B607E"/>
    <w:rsid w:val="005B6080"/>
    <w:rsid w:val="005B60B4"/>
    <w:rsid w:val="005B612A"/>
    <w:rsid w:val="005B616D"/>
    <w:rsid w:val="005B619E"/>
    <w:rsid w:val="005B625B"/>
    <w:rsid w:val="005B6342"/>
    <w:rsid w:val="005B640A"/>
    <w:rsid w:val="005B64E7"/>
    <w:rsid w:val="005B66D6"/>
    <w:rsid w:val="005B66E6"/>
    <w:rsid w:val="005B67C6"/>
    <w:rsid w:val="005B685F"/>
    <w:rsid w:val="005B6AB0"/>
    <w:rsid w:val="005B6BED"/>
    <w:rsid w:val="005B6C07"/>
    <w:rsid w:val="005B6D8B"/>
    <w:rsid w:val="005B6E83"/>
    <w:rsid w:val="005B7015"/>
    <w:rsid w:val="005B71AD"/>
    <w:rsid w:val="005B71CF"/>
    <w:rsid w:val="005B72C3"/>
    <w:rsid w:val="005B7368"/>
    <w:rsid w:val="005B73F3"/>
    <w:rsid w:val="005B7404"/>
    <w:rsid w:val="005B75B6"/>
    <w:rsid w:val="005B763B"/>
    <w:rsid w:val="005B76D8"/>
    <w:rsid w:val="005B77C3"/>
    <w:rsid w:val="005B7831"/>
    <w:rsid w:val="005B7844"/>
    <w:rsid w:val="005B78BD"/>
    <w:rsid w:val="005B793F"/>
    <w:rsid w:val="005B7A4B"/>
    <w:rsid w:val="005B7A51"/>
    <w:rsid w:val="005B7AC2"/>
    <w:rsid w:val="005B7E99"/>
    <w:rsid w:val="005B7ED4"/>
    <w:rsid w:val="005B7F53"/>
    <w:rsid w:val="005C0071"/>
    <w:rsid w:val="005C0096"/>
    <w:rsid w:val="005C020A"/>
    <w:rsid w:val="005C0231"/>
    <w:rsid w:val="005C0310"/>
    <w:rsid w:val="005C03F9"/>
    <w:rsid w:val="005C040E"/>
    <w:rsid w:val="005C05B9"/>
    <w:rsid w:val="005C0607"/>
    <w:rsid w:val="005C067E"/>
    <w:rsid w:val="005C06F6"/>
    <w:rsid w:val="005C0842"/>
    <w:rsid w:val="005C08FE"/>
    <w:rsid w:val="005C098A"/>
    <w:rsid w:val="005C09A2"/>
    <w:rsid w:val="005C0ADD"/>
    <w:rsid w:val="005C0B35"/>
    <w:rsid w:val="005C0B5F"/>
    <w:rsid w:val="005C0B80"/>
    <w:rsid w:val="005C0BCB"/>
    <w:rsid w:val="005C0C7E"/>
    <w:rsid w:val="005C0CDD"/>
    <w:rsid w:val="005C0CFA"/>
    <w:rsid w:val="005C0D83"/>
    <w:rsid w:val="005C0DFF"/>
    <w:rsid w:val="005C0E0A"/>
    <w:rsid w:val="005C1006"/>
    <w:rsid w:val="005C1020"/>
    <w:rsid w:val="005C1047"/>
    <w:rsid w:val="005C105C"/>
    <w:rsid w:val="005C1088"/>
    <w:rsid w:val="005C10DC"/>
    <w:rsid w:val="005C10E2"/>
    <w:rsid w:val="005C1114"/>
    <w:rsid w:val="005C114E"/>
    <w:rsid w:val="005C130A"/>
    <w:rsid w:val="005C15C3"/>
    <w:rsid w:val="005C15CE"/>
    <w:rsid w:val="005C1745"/>
    <w:rsid w:val="005C1793"/>
    <w:rsid w:val="005C193F"/>
    <w:rsid w:val="005C1A54"/>
    <w:rsid w:val="005C1A71"/>
    <w:rsid w:val="005C1AFA"/>
    <w:rsid w:val="005C1B2F"/>
    <w:rsid w:val="005C1B6D"/>
    <w:rsid w:val="005C1B85"/>
    <w:rsid w:val="005C1BFC"/>
    <w:rsid w:val="005C1CDE"/>
    <w:rsid w:val="005C1D4C"/>
    <w:rsid w:val="005C1D57"/>
    <w:rsid w:val="005C1D5D"/>
    <w:rsid w:val="005C1D62"/>
    <w:rsid w:val="005C1DDB"/>
    <w:rsid w:val="005C1E3B"/>
    <w:rsid w:val="005C1E5D"/>
    <w:rsid w:val="005C1F0E"/>
    <w:rsid w:val="005C1FA4"/>
    <w:rsid w:val="005C23CF"/>
    <w:rsid w:val="005C23F4"/>
    <w:rsid w:val="005C24AD"/>
    <w:rsid w:val="005C2583"/>
    <w:rsid w:val="005C2593"/>
    <w:rsid w:val="005C263E"/>
    <w:rsid w:val="005C2679"/>
    <w:rsid w:val="005C26A2"/>
    <w:rsid w:val="005C2762"/>
    <w:rsid w:val="005C27DA"/>
    <w:rsid w:val="005C2953"/>
    <w:rsid w:val="005C2954"/>
    <w:rsid w:val="005C2B26"/>
    <w:rsid w:val="005C2B59"/>
    <w:rsid w:val="005C2C22"/>
    <w:rsid w:val="005C2CC0"/>
    <w:rsid w:val="005C2D0B"/>
    <w:rsid w:val="005C2D32"/>
    <w:rsid w:val="005C2D9E"/>
    <w:rsid w:val="005C302C"/>
    <w:rsid w:val="005C304B"/>
    <w:rsid w:val="005C3062"/>
    <w:rsid w:val="005C30B7"/>
    <w:rsid w:val="005C3212"/>
    <w:rsid w:val="005C328D"/>
    <w:rsid w:val="005C32E1"/>
    <w:rsid w:val="005C3360"/>
    <w:rsid w:val="005C34D7"/>
    <w:rsid w:val="005C357F"/>
    <w:rsid w:val="005C35BB"/>
    <w:rsid w:val="005C3665"/>
    <w:rsid w:val="005C3709"/>
    <w:rsid w:val="005C382E"/>
    <w:rsid w:val="005C3ACC"/>
    <w:rsid w:val="005C3B80"/>
    <w:rsid w:val="005C3BC5"/>
    <w:rsid w:val="005C3D45"/>
    <w:rsid w:val="005C3EC0"/>
    <w:rsid w:val="005C3F9C"/>
    <w:rsid w:val="005C3FA5"/>
    <w:rsid w:val="005C3FAE"/>
    <w:rsid w:val="005C4032"/>
    <w:rsid w:val="005C409B"/>
    <w:rsid w:val="005C4162"/>
    <w:rsid w:val="005C41BD"/>
    <w:rsid w:val="005C43AE"/>
    <w:rsid w:val="005C43DE"/>
    <w:rsid w:val="005C4505"/>
    <w:rsid w:val="005C454B"/>
    <w:rsid w:val="005C4552"/>
    <w:rsid w:val="005C4638"/>
    <w:rsid w:val="005C46E0"/>
    <w:rsid w:val="005C4711"/>
    <w:rsid w:val="005C473A"/>
    <w:rsid w:val="005C4873"/>
    <w:rsid w:val="005C497A"/>
    <w:rsid w:val="005C49D2"/>
    <w:rsid w:val="005C4A34"/>
    <w:rsid w:val="005C4BFC"/>
    <w:rsid w:val="005C4CD1"/>
    <w:rsid w:val="005C4CDA"/>
    <w:rsid w:val="005C4D56"/>
    <w:rsid w:val="005C4DEC"/>
    <w:rsid w:val="005C4DFF"/>
    <w:rsid w:val="005C4E44"/>
    <w:rsid w:val="005C4E7A"/>
    <w:rsid w:val="005C4F7B"/>
    <w:rsid w:val="005C4FAF"/>
    <w:rsid w:val="005C4FB9"/>
    <w:rsid w:val="005C4FC4"/>
    <w:rsid w:val="005C5023"/>
    <w:rsid w:val="005C50E9"/>
    <w:rsid w:val="005C51B3"/>
    <w:rsid w:val="005C52E2"/>
    <w:rsid w:val="005C5302"/>
    <w:rsid w:val="005C5336"/>
    <w:rsid w:val="005C5343"/>
    <w:rsid w:val="005C5501"/>
    <w:rsid w:val="005C554F"/>
    <w:rsid w:val="005C55AE"/>
    <w:rsid w:val="005C563B"/>
    <w:rsid w:val="005C563F"/>
    <w:rsid w:val="005C56FF"/>
    <w:rsid w:val="005C5735"/>
    <w:rsid w:val="005C574B"/>
    <w:rsid w:val="005C58B3"/>
    <w:rsid w:val="005C594C"/>
    <w:rsid w:val="005C597A"/>
    <w:rsid w:val="005C5A0D"/>
    <w:rsid w:val="005C5AEE"/>
    <w:rsid w:val="005C5BB2"/>
    <w:rsid w:val="005C5BB3"/>
    <w:rsid w:val="005C5BFF"/>
    <w:rsid w:val="005C5C48"/>
    <w:rsid w:val="005C5D5F"/>
    <w:rsid w:val="005C5D66"/>
    <w:rsid w:val="005C5DA7"/>
    <w:rsid w:val="005C5DBC"/>
    <w:rsid w:val="005C5E3B"/>
    <w:rsid w:val="005C5E41"/>
    <w:rsid w:val="005C5FE8"/>
    <w:rsid w:val="005C6074"/>
    <w:rsid w:val="005C60AE"/>
    <w:rsid w:val="005C60CD"/>
    <w:rsid w:val="005C61A5"/>
    <w:rsid w:val="005C61BA"/>
    <w:rsid w:val="005C626D"/>
    <w:rsid w:val="005C626E"/>
    <w:rsid w:val="005C635F"/>
    <w:rsid w:val="005C6412"/>
    <w:rsid w:val="005C65B7"/>
    <w:rsid w:val="005C679A"/>
    <w:rsid w:val="005C687E"/>
    <w:rsid w:val="005C6895"/>
    <w:rsid w:val="005C693D"/>
    <w:rsid w:val="005C6961"/>
    <w:rsid w:val="005C696B"/>
    <w:rsid w:val="005C6989"/>
    <w:rsid w:val="005C6B44"/>
    <w:rsid w:val="005C6B6A"/>
    <w:rsid w:val="005C6BA8"/>
    <w:rsid w:val="005C6C71"/>
    <w:rsid w:val="005C6F11"/>
    <w:rsid w:val="005C6FF4"/>
    <w:rsid w:val="005C7037"/>
    <w:rsid w:val="005C7057"/>
    <w:rsid w:val="005C709B"/>
    <w:rsid w:val="005C70BD"/>
    <w:rsid w:val="005C7173"/>
    <w:rsid w:val="005C7187"/>
    <w:rsid w:val="005C71D8"/>
    <w:rsid w:val="005C71F6"/>
    <w:rsid w:val="005C7230"/>
    <w:rsid w:val="005C7233"/>
    <w:rsid w:val="005C7294"/>
    <w:rsid w:val="005C72B5"/>
    <w:rsid w:val="005C72DB"/>
    <w:rsid w:val="005C7356"/>
    <w:rsid w:val="005C745C"/>
    <w:rsid w:val="005C7727"/>
    <w:rsid w:val="005C7782"/>
    <w:rsid w:val="005C791A"/>
    <w:rsid w:val="005C7985"/>
    <w:rsid w:val="005C7A2D"/>
    <w:rsid w:val="005C7AB4"/>
    <w:rsid w:val="005C7B89"/>
    <w:rsid w:val="005C7BC2"/>
    <w:rsid w:val="005C7CA1"/>
    <w:rsid w:val="005C7CCA"/>
    <w:rsid w:val="005C7DBA"/>
    <w:rsid w:val="005C7DEE"/>
    <w:rsid w:val="005C7E19"/>
    <w:rsid w:val="005C7EF3"/>
    <w:rsid w:val="005C7F19"/>
    <w:rsid w:val="005C7FEB"/>
    <w:rsid w:val="005D0006"/>
    <w:rsid w:val="005D00F6"/>
    <w:rsid w:val="005D0135"/>
    <w:rsid w:val="005D01B5"/>
    <w:rsid w:val="005D0325"/>
    <w:rsid w:val="005D035E"/>
    <w:rsid w:val="005D0372"/>
    <w:rsid w:val="005D04F9"/>
    <w:rsid w:val="005D061D"/>
    <w:rsid w:val="005D0688"/>
    <w:rsid w:val="005D07BB"/>
    <w:rsid w:val="005D07F6"/>
    <w:rsid w:val="005D0859"/>
    <w:rsid w:val="005D09E7"/>
    <w:rsid w:val="005D0B2A"/>
    <w:rsid w:val="005D0C04"/>
    <w:rsid w:val="005D0D2E"/>
    <w:rsid w:val="005D0DDD"/>
    <w:rsid w:val="005D0F7D"/>
    <w:rsid w:val="005D0FEB"/>
    <w:rsid w:val="005D1195"/>
    <w:rsid w:val="005D11C9"/>
    <w:rsid w:val="005D1267"/>
    <w:rsid w:val="005D126E"/>
    <w:rsid w:val="005D132B"/>
    <w:rsid w:val="005D133F"/>
    <w:rsid w:val="005D1347"/>
    <w:rsid w:val="005D13B3"/>
    <w:rsid w:val="005D13C7"/>
    <w:rsid w:val="005D13F4"/>
    <w:rsid w:val="005D1442"/>
    <w:rsid w:val="005D14CB"/>
    <w:rsid w:val="005D14FA"/>
    <w:rsid w:val="005D156A"/>
    <w:rsid w:val="005D15C2"/>
    <w:rsid w:val="005D15E0"/>
    <w:rsid w:val="005D175B"/>
    <w:rsid w:val="005D18A7"/>
    <w:rsid w:val="005D19DE"/>
    <w:rsid w:val="005D1C62"/>
    <w:rsid w:val="005D1C8D"/>
    <w:rsid w:val="005D1CBD"/>
    <w:rsid w:val="005D1E98"/>
    <w:rsid w:val="005D1F10"/>
    <w:rsid w:val="005D1F54"/>
    <w:rsid w:val="005D2031"/>
    <w:rsid w:val="005D2060"/>
    <w:rsid w:val="005D21B1"/>
    <w:rsid w:val="005D224B"/>
    <w:rsid w:val="005D23B1"/>
    <w:rsid w:val="005D23D0"/>
    <w:rsid w:val="005D2526"/>
    <w:rsid w:val="005D26BE"/>
    <w:rsid w:val="005D2700"/>
    <w:rsid w:val="005D27CF"/>
    <w:rsid w:val="005D27E0"/>
    <w:rsid w:val="005D29D5"/>
    <w:rsid w:val="005D2A7B"/>
    <w:rsid w:val="005D2B19"/>
    <w:rsid w:val="005D2B5B"/>
    <w:rsid w:val="005D2BC3"/>
    <w:rsid w:val="005D2C16"/>
    <w:rsid w:val="005D2C62"/>
    <w:rsid w:val="005D2D8C"/>
    <w:rsid w:val="005D2E3D"/>
    <w:rsid w:val="005D2F0A"/>
    <w:rsid w:val="005D2F99"/>
    <w:rsid w:val="005D301B"/>
    <w:rsid w:val="005D30D6"/>
    <w:rsid w:val="005D30EE"/>
    <w:rsid w:val="005D3157"/>
    <w:rsid w:val="005D3317"/>
    <w:rsid w:val="005D33D1"/>
    <w:rsid w:val="005D34D9"/>
    <w:rsid w:val="005D368F"/>
    <w:rsid w:val="005D36E0"/>
    <w:rsid w:val="005D36ED"/>
    <w:rsid w:val="005D3789"/>
    <w:rsid w:val="005D3851"/>
    <w:rsid w:val="005D3898"/>
    <w:rsid w:val="005D39BB"/>
    <w:rsid w:val="005D3AAB"/>
    <w:rsid w:val="005D3BB5"/>
    <w:rsid w:val="005D3C6A"/>
    <w:rsid w:val="005D3C84"/>
    <w:rsid w:val="005D3CAD"/>
    <w:rsid w:val="005D3CC6"/>
    <w:rsid w:val="005D3D67"/>
    <w:rsid w:val="005D3DB8"/>
    <w:rsid w:val="005D3DDA"/>
    <w:rsid w:val="005D3E81"/>
    <w:rsid w:val="005D4080"/>
    <w:rsid w:val="005D40F7"/>
    <w:rsid w:val="005D4101"/>
    <w:rsid w:val="005D4133"/>
    <w:rsid w:val="005D4255"/>
    <w:rsid w:val="005D4291"/>
    <w:rsid w:val="005D42CC"/>
    <w:rsid w:val="005D4425"/>
    <w:rsid w:val="005D4473"/>
    <w:rsid w:val="005D44A6"/>
    <w:rsid w:val="005D464C"/>
    <w:rsid w:val="005D4654"/>
    <w:rsid w:val="005D46B3"/>
    <w:rsid w:val="005D46C4"/>
    <w:rsid w:val="005D46CD"/>
    <w:rsid w:val="005D490C"/>
    <w:rsid w:val="005D4928"/>
    <w:rsid w:val="005D4ABF"/>
    <w:rsid w:val="005D4BFE"/>
    <w:rsid w:val="005D4C6C"/>
    <w:rsid w:val="005D4C76"/>
    <w:rsid w:val="005D4CB5"/>
    <w:rsid w:val="005D4CE2"/>
    <w:rsid w:val="005D4D3E"/>
    <w:rsid w:val="005D4D9B"/>
    <w:rsid w:val="005D4EE2"/>
    <w:rsid w:val="005D4F0A"/>
    <w:rsid w:val="005D5301"/>
    <w:rsid w:val="005D53B3"/>
    <w:rsid w:val="005D5515"/>
    <w:rsid w:val="005D5661"/>
    <w:rsid w:val="005D5677"/>
    <w:rsid w:val="005D56C2"/>
    <w:rsid w:val="005D56C5"/>
    <w:rsid w:val="005D578C"/>
    <w:rsid w:val="005D5793"/>
    <w:rsid w:val="005D57B8"/>
    <w:rsid w:val="005D57C6"/>
    <w:rsid w:val="005D5A1F"/>
    <w:rsid w:val="005D5A7E"/>
    <w:rsid w:val="005D5B9F"/>
    <w:rsid w:val="005D5D22"/>
    <w:rsid w:val="005D5DBB"/>
    <w:rsid w:val="005D5E9A"/>
    <w:rsid w:val="005D5EF5"/>
    <w:rsid w:val="005D5F54"/>
    <w:rsid w:val="005D5F76"/>
    <w:rsid w:val="005D60AA"/>
    <w:rsid w:val="005D60AD"/>
    <w:rsid w:val="005D60D4"/>
    <w:rsid w:val="005D6117"/>
    <w:rsid w:val="005D618E"/>
    <w:rsid w:val="005D6369"/>
    <w:rsid w:val="005D640E"/>
    <w:rsid w:val="005D6580"/>
    <w:rsid w:val="005D659C"/>
    <w:rsid w:val="005D65BC"/>
    <w:rsid w:val="005D6793"/>
    <w:rsid w:val="005D6826"/>
    <w:rsid w:val="005D6928"/>
    <w:rsid w:val="005D69BE"/>
    <w:rsid w:val="005D69E9"/>
    <w:rsid w:val="005D6A6F"/>
    <w:rsid w:val="005D6B15"/>
    <w:rsid w:val="005D6BAD"/>
    <w:rsid w:val="005D6C22"/>
    <w:rsid w:val="005D6C96"/>
    <w:rsid w:val="005D6D14"/>
    <w:rsid w:val="005D6DD7"/>
    <w:rsid w:val="005D6FB7"/>
    <w:rsid w:val="005D7089"/>
    <w:rsid w:val="005D709E"/>
    <w:rsid w:val="005D71D4"/>
    <w:rsid w:val="005D71ED"/>
    <w:rsid w:val="005D730B"/>
    <w:rsid w:val="005D7408"/>
    <w:rsid w:val="005D750D"/>
    <w:rsid w:val="005D75FB"/>
    <w:rsid w:val="005D768E"/>
    <w:rsid w:val="005D7722"/>
    <w:rsid w:val="005D7747"/>
    <w:rsid w:val="005D77FA"/>
    <w:rsid w:val="005D789F"/>
    <w:rsid w:val="005D7989"/>
    <w:rsid w:val="005D7A0F"/>
    <w:rsid w:val="005D7AF5"/>
    <w:rsid w:val="005D7AFD"/>
    <w:rsid w:val="005D7C35"/>
    <w:rsid w:val="005D7C62"/>
    <w:rsid w:val="005D7D8F"/>
    <w:rsid w:val="005D7E58"/>
    <w:rsid w:val="005D7E81"/>
    <w:rsid w:val="005D7FC2"/>
    <w:rsid w:val="005D7FE0"/>
    <w:rsid w:val="005E0016"/>
    <w:rsid w:val="005E00ED"/>
    <w:rsid w:val="005E011C"/>
    <w:rsid w:val="005E01BD"/>
    <w:rsid w:val="005E01C4"/>
    <w:rsid w:val="005E01CE"/>
    <w:rsid w:val="005E01D5"/>
    <w:rsid w:val="005E0247"/>
    <w:rsid w:val="005E0254"/>
    <w:rsid w:val="005E04E1"/>
    <w:rsid w:val="005E0577"/>
    <w:rsid w:val="005E05D5"/>
    <w:rsid w:val="005E064B"/>
    <w:rsid w:val="005E06B7"/>
    <w:rsid w:val="005E073A"/>
    <w:rsid w:val="005E0788"/>
    <w:rsid w:val="005E0939"/>
    <w:rsid w:val="005E09A2"/>
    <w:rsid w:val="005E0A12"/>
    <w:rsid w:val="005E0A46"/>
    <w:rsid w:val="005E0B9E"/>
    <w:rsid w:val="005E0CA0"/>
    <w:rsid w:val="005E0E2A"/>
    <w:rsid w:val="005E0E46"/>
    <w:rsid w:val="005E0E56"/>
    <w:rsid w:val="005E0FE7"/>
    <w:rsid w:val="005E0FED"/>
    <w:rsid w:val="005E1011"/>
    <w:rsid w:val="005E104A"/>
    <w:rsid w:val="005E10AC"/>
    <w:rsid w:val="005E11F7"/>
    <w:rsid w:val="005E1231"/>
    <w:rsid w:val="005E135A"/>
    <w:rsid w:val="005E13E0"/>
    <w:rsid w:val="005E144D"/>
    <w:rsid w:val="005E1470"/>
    <w:rsid w:val="005E1479"/>
    <w:rsid w:val="005E1487"/>
    <w:rsid w:val="005E16A7"/>
    <w:rsid w:val="005E197F"/>
    <w:rsid w:val="005E19C9"/>
    <w:rsid w:val="005E1A00"/>
    <w:rsid w:val="005E1B83"/>
    <w:rsid w:val="005E1D55"/>
    <w:rsid w:val="005E1DCC"/>
    <w:rsid w:val="005E1DD2"/>
    <w:rsid w:val="005E20A3"/>
    <w:rsid w:val="005E21F6"/>
    <w:rsid w:val="005E223B"/>
    <w:rsid w:val="005E244B"/>
    <w:rsid w:val="005E24FD"/>
    <w:rsid w:val="005E2641"/>
    <w:rsid w:val="005E269F"/>
    <w:rsid w:val="005E2731"/>
    <w:rsid w:val="005E27DD"/>
    <w:rsid w:val="005E28C0"/>
    <w:rsid w:val="005E294F"/>
    <w:rsid w:val="005E2AE4"/>
    <w:rsid w:val="005E2B44"/>
    <w:rsid w:val="005E2BBF"/>
    <w:rsid w:val="005E2C58"/>
    <w:rsid w:val="005E2EC2"/>
    <w:rsid w:val="005E2F0C"/>
    <w:rsid w:val="005E2FCA"/>
    <w:rsid w:val="005E2FD7"/>
    <w:rsid w:val="005E2FF4"/>
    <w:rsid w:val="005E3018"/>
    <w:rsid w:val="005E3072"/>
    <w:rsid w:val="005E313B"/>
    <w:rsid w:val="005E32FA"/>
    <w:rsid w:val="005E33F6"/>
    <w:rsid w:val="005E348C"/>
    <w:rsid w:val="005E34AD"/>
    <w:rsid w:val="005E34FB"/>
    <w:rsid w:val="005E3570"/>
    <w:rsid w:val="005E35E6"/>
    <w:rsid w:val="005E3667"/>
    <w:rsid w:val="005E3682"/>
    <w:rsid w:val="005E3723"/>
    <w:rsid w:val="005E38B5"/>
    <w:rsid w:val="005E38D8"/>
    <w:rsid w:val="005E38ED"/>
    <w:rsid w:val="005E3954"/>
    <w:rsid w:val="005E39E0"/>
    <w:rsid w:val="005E39EF"/>
    <w:rsid w:val="005E3A37"/>
    <w:rsid w:val="005E3ABA"/>
    <w:rsid w:val="005E3BA1"/>
    <w:rsid w:val="005E3BA7"/>
    <w:rsid w:val="005E3C97"/>
    <w:rsid w:val="005E3CD4"/>
    <w:rsid w:val="005E3CD8"/>
    <w:rsid w:val="005E3E04"/>
    <w:rsid w:val="005E3E67"/>
    <w:rsid w:val="005E3E97"/>
    <w:rsid w:val="005E410F"/>
    <w:rsid w:val="005E412B"/>
    <w:rsid w:val="005E4154"/>
    <w:rsid w:val="005E419A"/>
    <w:rsid w:val="005E41B7"/>
    <w:rsid w:val="005E42F6"/>
    <w:rsid w:val="005E43A3"/>
    <w:rsid w:val="005E43AA"/>
    <w:rsid w:val="005E4449"/>
    <w:rsid w:val="005E4484"/>
    <w:rsid w:val="005E44AC"/>
    <w:rsid w:val="005E44C5"/>
    <w:rsid w:val="005E4563"/>
    <w:rsid w:val="005E4630"/>
    <w:rsid w:val="005E4678"/>
    <w:rsid w:val="005E46A0"/>
    <w:rsid w:val="005E4846"/>
    <w:rsid w:val="005E484E"/>
    <w:rsid w:val="005E4855"/>
    <w:rsid w:val="005E4884"/>
    <w:rsid w:val="005E48CC"/>
    <w:rsid w:val="005E4912"/>
    <w:rsid w:val="005E4A1E"/>
    <w:rsid w:val="005E4A7A"/>
    <w:rsid w:val="005E4C50"/>
    <w:rsid w:val="005E4D2F"/>
    <w:rsid w:val="005E4D6F"/>
    <w:rsid w:val="005E4E56"/>
    <w:rsid w:val="005E4EAD"/>
    <w:rsid w:val="005E4EBC"/>
    <w:rsid w:val="005E4FBA"/>
    <w:rsid w:val="005E51A7"/>
    <w:rsid w:val="005E51FF"/>
    <w:rsid w:val="005E535A"/>
    <w:rsid w:val="005E5381"/>
    <w:rsid w:val="005E53C4"/>
    <w:rsid w:val="005E53CC"/>
    <w:rsid w:val="005E5411"/>
    <w:rsid w:val="005E54FC"/>
    <w:rsid w:val="005E5522"/>
    <w:rsid w:val="005E552F"/>
    <w:rsid w:val="005E5585"/>
    <w:rsid w:val="005E55D5"/>
    <w:rsid w:val="005E571B"/>
    <w:rsid w:val="005E5749"/>
    <w:rsid w:val="005E57E3"/>
    <w:rsid w:val="005E5861"/>
    <w:rsid w:val="005E58C8"/>
    <w:rsid w:val="005E58D4"/>
    <w:rsid w:val="005E58E1"/>
    <w:rsid w:val="005E5906"/>
    <w:rsid w:val="005E593F"/>
    <w:rsid w:val="005E5A50"/>
    <w:rsid w:val="005E5AB6"/>
    <w:rsid w:val="005E5AC3"/>
    <w:rsid w:val="005E5C4D"/>
    <w:rsid w:val="005E5CE6"/>
    <w:rsid w:val="005E5CFC"/>
    <w:rsid w:val="005E5D48"/>
    <w:rsid w:val="005E5E27"/>
    <w:rsid w:val="005E5E4D"/>
    <w:rsid w:val="005E60BD"/>
    <w:rsid w:val="005E6136"/>
    <w:rsid w:val="005E6184"/>
    <w:rsid w:val="005E6262"/>
    <w:rsid w:val="005E6362"/>
    <w:rsid w:val="005E643F"/>
    <w:rsid w:val="005E648A"/>
    <w:rsid w:val="005E660B"/>
    <w:rsid w:val="005E6698"/>
    <w:rsid w:val="005E6811"/>
    <w:rsid w:val="005E6856"/>
    <w:rsid w:val="005E68FD"/>
    <w:rsid w:val="005E694A"/>
    <w:rsid w:val="005E694F"/>
    <w:rsid w:val="005E6953"/>
    <w:rsid w:val="005E6999"/>
    <w:rsid w:val="005E6B3B"/>
    <w:rsid w:val="005E6B5C"/>
    <w:rsid w:val="005E6BC8"/>
    <w:rsid w:val="005E6C27"/>
    <w:rsid w:val="005E6CA5"/>
    <w:rsid w:val="005E6CAC"/>
    <w:rsid w:val="005E6DAF"/>
    <w:rsid w:val="005E6DD8"/>
    <w:rsid w:val="005E6DDF"/>
    <w:rsid w:val="005E6E8F"/>
    <w:rsid w:val="005E6EB9"/>
    <w:rsid w:val="005E704F"/>
    <w:rsid w:val="005E7140"/>
    <w:rsid w:val="005E7148"/>
    <w:rsid w:val="005E72B3"/>
    <w:rsid w:val="005E73D7"/>
    <w:rsid w:val="005E73DB"/>
    <w:rsid w:val="005E742B"/>
    <w:rsid w:val="005E74C0"/>
    <w:rsid w:val="005E756B"/>
    <w:rsid w:val="005E7781"/>
    <w:rsid w:val="005E7842"/>
    <w:rsid w:val="005E7905"/>
    <w:rsid w:val="005E79D7"/>
    <w:rsid w:val="005E7A1A"/>
    <w:rsid w:val="005E7A49"/>
    <w:rsid w:val="005E7AC6"/>
    <w:rsid w:val="005E7AD6"/>
    <w:rsid w:val="005E7B25"/>
    <w:rsid w:val="005E7B78"/>
    <w:rsid w:val="005E7C33"/>
    <w:rsid w:val="005E7C82"/>
    <w:rsid w:val="005E7D47"/>
    <w:rsid w:val="005E7D99"/>
    <w:rsid w:val="005E7E8A"/>
    <w:rsid w:val="005E7E8E"/>
    <w:rsid w:val="005E7EB7"/>
    <w:rsid w:val="005E7EBD"/>
    <w:rsid w:val="005E7EBE"/>
    <w:rsid w:val="005E7F2D"/>
    <w:rsid w:val="005E7F47"/>
    <w:rsid w:val="005E7FEB"/>
    <w:rsid w:val="005F0024"/>
    <w:rsid w:val="005F0027"/>
    <w:rsid w:val="005F0039"/>
    <w:rsid w:val="005F0077"/>
    <w:rsid w:val="005F00A8"/>
    <w:rsid w:val="005F021D"/>
    <w:rsid w:val="005F03A7"/>
    <w:rsid w:val="005F03C2"/>
    <w:rsid w:val="005F03C3"/>
    <w:rsid w:val="005F0546"/>
    <w:rsid w:val="005F0631"/>
    <w:rsid w:val="005F089F"/>
    <w:rsid w:val="005F09CE"/>
    <w:rsid w:val="005F0A58"/>
    <w:rsid w:val="005F0A8B"/>
    <w:rsid w:val="005F0A93"/>
    <w:rsid w:val="005F0AA2"/>
    <w:rsid w:val="005F0C07"/>
    <w:rsid w:val="005F0C3C"/>
    <w:rsid w:val="005F0CE1"/>
    <w:rsid w:val="005F0CFA"/>
    <w:rsid w:val="005F0E2E"/>
    <w:rsid w:val="005F0E30"/>
    <w:rsid w:val="005F0E61"/>
    <w:rsid w:val="005F0EE4"/>
    <w:rsid w:val="005F0F56"/>
    <w:rsid w:val="005F0FE6"/>
    <w:rsid w:val="005F108A"/>
    <w:rsid w:val="005F10DB"/>
    <w:rsid w:val="005F10E2"/>
    <w:rsid w:val="005F116D"/>
    <w:rsid w:val="005F12DB"/>
    <w:rsid w:val="005F1363"/>
    <w:rsid w:val="005F1390"/>
    <w:rsid w:val="005F139D"/>
    <w:rsid w:val="005F1441"/>
    <w:rsid w:val="005F1534"/>
    <w:rsid w:val="005F1733"/>
    <w:rsid w:val="005F17AA"/>
    <w:rsid w:val="005F1822"/>
    <w:rsid w:val="005F1918"/>
    <w:rsid w:val="005F1A6B"/>
    <w:rsid w:val="005F1B82"/>
    <w:rsid w:val="005F1BD6"/>
    <w:rsid w:val="005F1C00"/>
    <w:rsid w:val="005F1C5F"/>
    <w:rsid w:val="005F1CC6"/>
    <w:rsid w:val="005F1CC9"/>
    <w:rsid w:val="005F1D7A"/>
    <w:rsid w:val="005F1DCE"/>
    <w:rsid w:val="005F1E03"/>
    <w:rsid w:val="005F1E71"/>
    <w:rsid w:val="005F1E85"/>
    <w:rsid w:val="005F1F3D"/>
    <w:rsid w:val="005F1FCD"/>
    <w:rsid w:val="005F1FE3"/>
    <w:rsid w:val="005F2080"/>
    <w:rsid w:val="005F2082"/>
    <w:rsid w:val="005F23D5"/>
    <w:rsid w:val="005F2467"/>
    <w:rsid w:val="005F24B6"/>
    <w:rsid w:val="005F271B"/>
    <w:rsid w:val="005F272C"/>
    <w:rsid w:val="005F2884"/>
    <w:rsid w:val="005F2902"/>
    <w:rsid w:val="005F29D6"/>
    <w:rsid w:val="005F29F7"/>
    <w:rsid w:val="005F2B93"/>
    <w:rsid w:val="005F2C5F"/>
    <w:rsid w:val="005F2C9E"/>
    <w:rsid w:val="005F2CFD"/>
    <w:rsid w:val="005F2D73"/>
    <w:rsid w:val="005F2F89"/>
    <w:rsid w:val="005F2F8C"/>
    <w:rsid w:val="005F30C6"/>
    <w:rsid w:val="005F3184"/>
    <w:rsid w:val="005F333A"/>
    <w:rsid w:val="005F33AF"/>
    <w:rsid w:val="005F3497"/>
    <w:rsid w:val="005F34F5"/>
    <w:rsid w:val="005F3584"/>
    <w:rsid w:val="005F35D1"/>
    <w:rsid w:val="005F3723"/>
    <w:rsid w:val="005F37D6"/>
    <w:rsid w:val="005F388A"/>
    <w:rsid w:val="005F3B4E"/>
    <w:rsid w:val="005F3CF1"/>
    <w:rsid w:val="005F3D47"/>
    <w:rsid w:val="005F3D85"/>
    <w:rsid w:val="005F3DF3"/>
    <w:rsid w:val="005F3E17"/>
    <w:rsid w:val="005F3E8A"/>
    <w:rsid w:val="005F3EDD"/>
    <w:rsid w:val="005F3F56"/>
    <w:rsid w:val="005F41D2"/>
    <w:rsid w:val="005F421F"/>
    <w:rsid w:val="005F426A"/>
    <w:rsid w:val="005F427B"/>
    <w:rsid w:val="005F429F"/>
    <w:rsid w:val="005F4347"/>
    <w:rsid w:val="005F4386"/>
    <w:rsid w:val="005F438C"/>
    <w:rsid w:val="005F43D4"/>
    <w:rsid w:val="005F445D"/>
    <w:rsid w:val="005F4486"/>
    <w:rsid w:val="005F4641"/>
    <w:rsid w:val="005F4663"/>
    <w:rsid w:val="005F476C"/>
    <w:rsid w:val="005F4776"/>
    <w:rsid w:val="005F47C6"/>
    <w:rsid w:val="005F47CB"/>
    <w:rsid w:val="005F481C"/>
    <w:rsid w:val="005F485F"/>
    <w:rsid w:val="005F48B3"/>
    <w:rsid w:val="005F4935"/>
    <w:rsid w:val="005F49A3"/>
    <w:rsid w:val="005F4A93"/>
    <w:rsid w:val="005F4B1C"/>
    <w:rsid w:val="005F4BF4"/>
    <w:rsid w:val="005F4C30"/>
    <w:rsid w:val="005F4C31"/>
    <w:rsid w:val="005F4C39"/>
    <w:rsid w:val="005F4C49"/>
    <w:rsid w:val="005F4C8D"/>
    <w:rsid w:val="005F4C91"/>
    <w:rsid w:val="005F4D9D"/>
    <w:rsid w:val="005F4E32"/>
    <w:rsid w:val="005F4EAD"/>
    <w:rsid w:val="005F4EC9"/>
    <w:rsid w:val="005F5088"/>
    <w:rsid w:val="005F50C1"/>
    <w:rsid w:val="005F5247"/>
    <w:rsid w:val="005F5467"/>
    <w:rsid w:val="005F54C0"/>
    <w:rsid w:val="005F5530"/>
    <w:rsid w:val="005F555B"/>
    <w:rsid w:val="005F56B3"/>
    <w:rsid w:val="005F56DD"/>
    <w:rsid w:val="005F5723"/>
    <w:rsid w:val="005F576F"/>
    <w:rsid w:val="005F5899"/>
    <w:rsid w:val="005F58F5"/>
    <w:rsid w:val="005F5981"/>
    <w:rsid w:val="005F5986"/>
    <w:rsid w:val="005F5A48"/>
    <w:rsid w:val="005F5AC7"/>
    <w:rsid w:val="005F5AFF"/>
    <w:rsid w:val="005F5B14"/>
    <w:rsid w:val="005F5BBA"/>
    <w:rsid w:val="005F5C06"/>
    <w:rsid w:val="005F5CD4"/>
    <w:rsid w:val="005F5D5D"/>
    <w:rsid w:val="005F5D5E"/>
    <w:rsid w:val="005F5DD4"/>
    <w:rsid w:val="005F5E50"/>
    <w:rsid w:val="005F5EF8"/>
    <w:rsid w:val="005F61C5"/>
    <w:rsid w:val="005F6220"/>
    <w:rsid w:val="005F626A"/>
    <w:rsid w:val="005F62D8"/>
    <w:rsid w:val="005F632B"/>
    <w:rsid w:val="005F6332"/>
    <w:rsid w:val="005F63B9"/>
    <w:rsid w:val="005F63E5"/>
    <w:rsid w:val="005F6462"/>
    <w:rsid w:val="005F647D"/>
    <w:rsid w:val="005F64E7"/>
    <w:rsid w:val="005F64F4"/>
    <w:rsid w:val="005F651D"/>
    <w:rsid w:val="005F65D7"/>
    <w:rsid w:val="005F65E3"/>
    <w:rsid w:val="005F663F"/>
    <w:rsid w:val="005F667D"/>
    <w:rsid w:val="005F6693"/>
    <w:rsid w:val="005F670C"/>
    <w:rsid w:val="005F6715"/>
    <w:rsid w:val="005F6746"/>
    <w:rsid w:val="005F6789"/>
    <w:rsid w:val="005F684A"/>
    <w:rsid w:val="005F6902"/>
    <w:rsid w:val="005F6A30"/>
    <w:rsid w:val="005F6AA2"/>
    <w:rsid w:val="005F6BC0"/>
    <w:rsid w:val="005F6C0C"/>
    <w:rsid w:val="005F6CF0"/>
    <w:rsid w:val="005F6D10"/>
    <w:rsid w:val="005F6EC1"/>
    <w:rsid w:val="005F6F0A"/>
    <w:rsid w:val="005F6FD7"/>
    <w:rsid w:val="005F701E"/>
    <w:rsid w:val="005F7134"/>
    <w:rsid w:val="005F71A7"/>
    <w:rsid w:val="005F71B4"/>
    <w:rsid w:val="005F721A"/>
    <w:rsid w:val="005F72AA"/>
    <w:rsid w:val="005F736B"/>
    <w:rsid w:val="005F73E8"/>
    <w:rsid w:val="005F74F4"/>
    <w:rsid w:val="005F7572"/>
    <w:rsid w:val="005F75EA"/>
    <w:rsid w:val="005F76A2"/>
    <w:rsid w:val="005F76E3"/>
    <w:rsid w:val="005F76F8"/>
    <w:rsid w:val="005F79AF"/>
    <w:rsid w:val="005F7A73"/>
    <w:rsid w:val="005F7A7A"/>
    <w:rsid w:val="005F7AF8"/>
    <w:rsid w:val="005F7B85"/>
    <w:rsid w:val="005F7B98"/>
    <w:rsid w:val="005F7BBA"/>
    <w:rsid w:val="005F7BCB"/>
    <w:rsid w:val="005F7C70"/>
    <w:rsid w:val="005F7C83"/>
    <w:rsid w:val="005F7D09"/>
    <w:rsid w:val="005F7DE9"/>
    <w:rsid w:val="00600202"/>
    <w:rsid w:val="00600290"/>
    <w:rsid w:val="00600291"/>
    <w:rsid w:val="0060030F"/>
    <w:rsid w:val="00600337"/>
    <w:rsid w:val="0060033D"/>
    <w:rsid w:val="00600398"/>
    <w:rsid w:val="0060039A"/>
    <w:rsid w:val="00600525"/>
    <w:rsid w:val="006005B7"/>
    <w:rsid w:val="0060062B"/>
    <w:rsid w:val="00600667"/>
    <w:rsid w:val="0060067A"/>
    <w:rsid w:val="006006E7"/>
    <w:rsid w:val="00600767"/>
    <w:rsid w:val="006007AE"/>
    <w:rsid w:val="00600898"/>
    <w:rsid w:val="006009AE"/>
    <w:rsid w:val="00600A7D"/>
    <w:rsid w:val="00600A92"/>
    <w:rsid w:val="00600AA5"/>
    <w:rsid w:val="00600B9C"/>
    <w:rsid w:val="00600C27"/>
    <w:rsid w:val="00600C63"/>
    <w:rsid w:val="00600DB7"/>
    <w:rsid w:val="00600E3E"/>
    <w:rsid w:val="00600E71"/>
    <w:rsid w:val="00600F31"/>
    <w:rsid w:val="00600FC8"/>
    <w:rsid w:val="006010A3"/>
    <w:rsid w:val="006010BE"/>
    <w:rsid w:val="0060115F"/>
    <w:rsid w:val="006011AF"/>
    <w:rsid w:val="006011C9"/>
    <w:rsid w:val="006011E9"/>
    <w:rsid w:val="006012A1"/>
    <w:rsid w:val="006012E9"/>
    <w:rsid w:val="00601318"/>
    <w:rsid w:val="006013C2"/>
    <w:rsid w:val="006013DF"/>
    <w:rsid w:val="0060144F"/>
    <w:rsid w:val="00601591"/>
    <w:rsid w:val="00601799"/>
    <w:rsid w:val="0060195D"/>
    <w:rsid w:val="006019EA"/>
    <w:rsid w:val="00601A45"/>
    <w:rsid w:val="00601B19"/>
    <w:rsid w:val="00601B34"/>
    <w:rsid w:val="00601B3E"/>
    <w:rsid w:val="00601BDD"/>
    <w:rsid w:val="00601C13"/>
    <w:rsid w:val="00601C1F"/>
    <w:rsid w:val="00601C34"/>
    <w:rsid w:val="00601D95"/>
    <w:rsid w:val="00601DAD"/>
    <w:rsid w:val="00601DCE"/>
    <w:rsid w:val="00601F34"/>
    <w:rsid w:val="00601FC9"/>
    <w:rsid w:val="00601FFC"/>
    <w:rsid w:val="00602051"/>
    <w:rsid w:val="00602175"/>
    <w:rsid w:val="006022E4"/>
    <w:rsid w:val="00602340"/>
    <w:rsid w:val="00602343"/>
    <w:rsid w:val="006023C8"/>
    <w:rsid w:val="006023EA"/>
    <w:rsid w:val="00602439"/>
    <w:rsid w:val="00602475"/>
    <w:rsid w:val="006024F8"/>
    <w:rsid w:val="006026B3"/>
    <w:rsid w:val="006026EA"/>
    <w:rsid w:val="00602771"/>
    <w:rsid w:val="006027D6"/>
    <w:rsid w:val="006027FA"/>
    <w:rsid w:val="00602963"/>
    <w:rsid w:val="00602A2D"/>
    <w:rsid w:val="00602A55"/>
    <w:rsid w:val="00602AC1"/>
    <w:rsid w:val="00602B46"/>
    <w:rsid w:val="00602B95"/>
    <w:rsid w:val="00602C04"/>
    <w:rsid w:val="00602DE3"/>
    <w:rsid w:val="0060304A"/>
    <w:rsid w:val="006030BA"/>
    <w:rsid w:val="00603316"/>
    <w:rsid w:val="006033C3"/>
    <w:rsid w:val="00603433"/>
    <w:rsid w:val="006034D5"/>
    <w:rsid w:val="006034ED"/>
    <w:rsid w:val="00603578"/>
    <w:rsid w:val="006035C7"/>
    <w:rsid w:val="006035D0"/>
    <w:rsid w:val="0060365C"/>
    <w:rsid w:val="00603670"/>
    <w:rsid w:val="006036A4"/>
    <w:rsid w:val="00603829"/>
    <w:rsid w:val="0060387B"/>
    <w:rsid w:val="006038C0"/>
    <w:rsid w:val="00603975"/>
    <w:rsid w:val="006039F9"/>
    <w:rsid w:val="00603A50"/>
    <w:rsid w:val="00603ABF"/>
    <w:rsid w:val="00603B4E"/>
    <w:rsid w:val="00603BDC"/>
    <w:rsid w:val="00603BED"/>
    <w:rsid w:val="00603CCE"/>
    <w:rsid w:val="00603DB6"/>
    <w:rsid w:val="00603F15"/>
    <w:rsid w:val="00603FA2"/>
    <w:rsid w:val="00604070"/>
    <w:rsid w:val="006041BC"/>
    <w:rsid w:val="0060420D"/>
    <w:rsid w:val="00604572"/>
    <w:rsid w:val="00604587"/>
    <w:rsid w:val="0060458F"/>
    <w:rsid w:val="006045EC"/>
    <w:rsid w:val="00604615"/>
    <w:rsid w:val="0060461D"/>
    <w:rsid w:val="006047CA"/>
    <w:rsid w:val="00604892"/>
    <w:rsid w:val="00604929"/>
    <w:rsid w:val="00604A1A"/>
    <w:rsid w:val="00604B1A"/>
    <w:rsid w:val="00604BD5"/>
    <w:rsid w:val="00604CA4"/>
    <w:rsid w:val="00604EDF"/>
    <w:rsid w:val="00604EFE"/>
    <w:rsid w:val="00604F04"/>
    <w:rsid w:val="0060500A"/>
    <w:rsid w:val="00605094"/>
    <w:rsid w:val="006050DB"/>
    <w:rsid w:val="0060513F"/>
    <w:rsid w:val="00605153"/>
    <w:rsid w:val="00605230"/>
    <w:rsid w:val="00605452"/>
    <w:rsid w:val="0060552F"/>
    <w:rsid w:val="00605727"/>
    <w:rsid w:val="00605839"/>
    <w:rsid w:val="00605887"/>
    <w:rsid w:val="006059C8"/>
    <w:rsid w:val="00605A09"/>
    <w:rsid w:val="00605A61"/>
    <w:rsid w:val="00605B34"/>
    <w:rsid w:val="00605B47"/>
    <w:rsid w:val="00605B65"/>
    <w:rsid w:val="00605C31"/>
    <w:rsid w:val="00605C5A"/>
    <w:rsid w:val="00605CDC"/>
    <w:rsid w:val="00605D31"/>
    <w:rsid w:val="00605DA9"/>
    <w:rsid w:val="00605E7E"/>
    <w:rsid w:val="00605EB2"/>
    <w:rsid w:val="00605F1E"/>
    <w:rsid w:val="0060610D"/>
    <w:rsid w:val="00606177"/>
    <w:rsid w:val="0060619A"/>
    <w:rsid w:val="00606627"/>
    <w:rsid w:val="0060667E"/>
    <w:rsid w:val="006067CD"/>
    <w:rsid w:val="00606964"/>
    <w:rsid w:val="00606A1F"/>
    <w:rsid w:val="00606A4B"/>
    <w:rsid w:val="00606B4B"/>
    <w:rsid w:val="00606C0A"/>
    <w:rsid w:val="00606CAF"/>
    <w:rsid w:val="00606E0F"/>
    <w:rsid w:val="00606E43"/>
    <w:rsid w:val="00606E84"/>
    <w:rsid w:val="0060701D"/>
    <w:rsid w:val="006070BF"/>
    <w:rsid w:val="006070D0"/>
    <w:rsid w:val="0060728D"/>
    <w:rsid w:val="00607325"/>
    <w:rsid w:val="0060736C"/>
    <w:rsid w:val="00607481"/>
    <w:rsid w:val="006075A8"/>
    <w:rsid w:val="00607722"/>
    <w:rsid w:val="006077EF"/>
    <w:rsid w:val="00607988"/>
    <w:rsid w:val="00607A0C"/>
    <w:rsid w:val="00607A70"/>
    <w:rsid w:val="00607AF5"/>
    <w:rsid w:val="00607B12"/>
    <w:rsid w:val="00607C69"/>
    <w:rsid w:val="00607C8F"/>
    <w:rsid w:val="00607D85"/>
    <w:rsid w:val="00607DC0"/>
    <w:rsid w:val="00607DD0"/>
    <w:rsid w:val="00607E80"/>
    <w:rsid w:val="00607F92"/>
    <w:rsid w:val="00610055"/>
    <w:rsid w:val="006100A4"/>
    <w:rsid w:val="006100D1"/>
    <w:rsid w:val="00610285"/>
    <w:rsid w:val="006102FC"/>
    <w:rsid w:val="00610311"/>
    <w:rsid w:val="00610329"/>
    <w:rsid w:val="006103BF"/>
    <w:rsid w:val="006103D2"/>
    <w:rsid w:val="0061044E"/>
    <w:rsid w:val="00610622"/>
    <w:rsid w:val="00610678"/>
    <w:rsid w:val="00610681"/>
    <w:rsid w:val="00610684"/>
    <w:rsid w:val="006106E1"/>
    <w:rsid w:val="00610887"/>
    <w:rsid w:val="006108B9"/>
    <w:rsid w:val="006109F0"/>
    <w:rsid w:val="00610B0D"/>
    <w:rsid w:val="00610B3A"/>
    <w:rsid w:val="00610C15"/>
    <w:rsid w:val="00610C81"/>
    <w:rsid w:val="00610CAF"/>
    <w:rsid w:val="00610EBF"/>
    <w:rsid w:val="00610EC4"/>
    <w:rsid w:val="00610FF1"/>
    <w:rsid w:val="0061100E"/>
    <w:rsid w:val="0061102C"/>
    <w:rsid w:val="00611131"/>
    <w:rsid w:val="00611134"/>
    <w:rsid w:val="006111CF"/>
    <w:rsid w:val="00611522"/>
    <w:rsid w:val="006115B4"/>
    <w:rsid w:val="00611621"/>
    <w:rsid w:val="00611623"/>
    <w:rsid w:val="00611671"/>
    <w:rsid w:val="00611685"/>
    <w:rsid w:val="0061169D"/>
    <w:rsid w:val="00611738"/>
    <w:rsid w:val="00611769"/>
    <w:rsid w:val="00611779"/>
    <w:rsid w:val="00611931"/>
    <w:rsid w:val="006119A4"/>
    <w:rsid w:val="00611A0C"/>
    <w:rsid w:val="00611A14"/>
    <w:rsid w:val="00611A1C"/>
    <w:rsid w:val="00611A63"/>
    <w:rsid w:val="00611B2F"/>
    <w:rsid w:val="00611C05"/>
    <w:rsid w:val="00611C93"/>
    <w:rsid w:val="00611CEF"/>
    <w:rsid w:val="00611DBB"/>
    <w:rsid w:val="00611E1F"/>
    <w:rsid w:val="00611E68"/>
    <w:rsid w:val="00611ED2"/>
    <w:rsid w:val="00611FF2"/>
    <w:rsid w:val="00612082"/>
    <w:rsid w:val="006120B6"/>
    <w:rsid w:val="006120BA"/>
    <w:rsid w:val="006121BD"/>
    <w:rsid w:val="006121F2"/>
    <w:rsid w:val="0061221D"/>
    <w:rsid w:val="0061229A"/>
    <w:rsid w:val="006122C6"/>
    <w:rsid w:val="00612300"/>
    <w:rsid w:val="00612428"/>
    <w:rsid w:val="006124A6"/>
    <w:rsid w:val="00612653"/>
    <w:rsid w:val="0061269D"/>
    <w:rsid w:val="0061270E"/>
    <w:rsid w:val="0061270F"/>
    <w:rsid w:val="00612721"/>
    <w:rsid w:val="0061279B"/>
    <w:rsid w:val="006127F1"/>
    <w:rsid w:val="00612868"/>
    <w:rsid w:val="00612882"/>
    <w:rsid w:val="0061291B"/>
    <w:rsid w:val="00612942"/>
    <w:rsid w:val="006129E0"/>
    <w:rsid w:val="00612B10"/>
    <w:rsid w:val="00612CB5"/>
    <w:rsid w:val="00612D4F"/>
    <w:rsid w:val="00612D82"/>
    <w:rsid w:val="00612E2E"/>
    <w:rsid w:val="00612E3A"/>
    <w:rsid w:val="00612E3F"/>
    <w:rsid w:val="00612E95"/>
    <w:rsid w:val="00612EBE"/>
    <w:rsid w:val="00612EE0"/>
    <w:rsid w:val="00612FBB"/>
    <w:rsid w:val="006130E4"/>
    <w:rsid w:val="0061311D"/>
    <w:rsid w:val="006132B5"/>
    <w:rsid w:val="006133DF"/>
    <w:rsid w:val="00613413"/>
    <w:rsid w:val="0061342F"/>
    <w:rsid w:val="0061347C"/>
    <w:rsid w:val="00613489"/>
    <w:rsid w:val="006134AA"/>
    <w:rsid w:val="00613616"/>
    <w:rsid w:val="00613647"/>
    <w:rsid w:val="0061381A"/>
    <w:rsid w:val="00613A0F"/>
    <w:rsid w:val="00613A46"/>
    <w:rsid w:val="00613A55"/>
    <w:rsid w:val="00613A5B"/>
    <w:rsid w:val="00613AAB"/>
    <w:rsid w:val="00613AB0"/>
    <w:rsid w:val="00613ADA"/>
    <w:rsid w:val="00613AF4"/>
    <w:rsid w:val="00613BCF"/>
    <w:rsid w:val="00613D0E"/>
    <w:rsid w:val="00613D18"/>
    <w:rsid w:val="00613D85"/>
    <w:rsid w:val="00613D8A"/>
    <w:rsid w:val="00613E48"/>
    <w:rsid w:val="00613EDE"/>
    <w:rsid w:val="00613F98"/>
    <w:rsid w:val="00613FBB"/>
    <w:rsid w:val="00614023"/>
    <w:rsid w:val="00614148"/>
    <w:rsid w:val="006141B6"/>
    <w:rsid w:val="00614267"/>
    <w:rsid w:val="006142B9"/>
    <w:rsid w:val="0061435D"/>
    <w:rsid w:val="00614364"/>
    <w:rsid w:val="00614368"/>
    <w:rsid w:val="006143E5"/>
    <w:rsid w:val="006144B9"/>
    <w:rsid w:val="00614531"/>
    <w:rsid w:val="0061454A"/>
    <w:rsid w:val="006145BF"/>
    <w:rsid w:val="006145F2"/>
    <w:rsid w:val="00614679"/>
    <w:rsid w:val="006146BD"/>
    <w:rsid w:val="0061471D"/>
    <w:rsid w:val="006147B0"/>
    <w:rsid w:val="006147DA"/>
    <w:rsid w:val="00614AFE"/>
    <w:rsid w:val="00614BC0"/>
    <w:rsid w:val="00614C58"/>
    <w:rsid w:val="00614D4B"/>
    <w:rsid w:val="00614DC3"/>
    <w:rsid w:val="00614E75"/>
    <w:rsid w:val="00614E9F"/>
    <w:rsid w:val="00614EAB"/>
    <w:rsid w:val="00614ECE"/>
    <w:rsid w:val="00614EDB"/>
    <w:rsid w:val="00614EF9"/>
    <w:rsid w:val="00614F39"/>
    <w:rsid w:val="00614F50"/>
    <w:rsid w:val="00614F63"/>
    <w:rsid w:val="00614FBE"/>
    <w:rsid w:val="00615038"/>
    <w:rsid w:val="0061505E"/>
    <w:rsid w:val="006150A1"/>
    <w:rsid w:val="006151AD"/>
    <w:rsid w:val="00615463"/>
    <w:rsid w:val="0061546A"/>
    <w:rsid w:val="006154F1"/>
    <w:rsid w:val="0061550E"/>
    <w:rsid w:val="0061565E"/>
    <w:rsid w:val="00615730"/>
    <w:rsid w:val="006159FB"/>
    <w:rsid w:val="00615A1B"/>
    <w:rsid w:val="00615BD9"/>
    <w:rsid w:val="00615CFE"/>
    <w:rsid w:val="00615E96"/>
    <w:rsid w:val="00615ED7"/>
    <w:rsid w:val="00615FC9"/>
    <w:rsid w:val="00615FCC"/>
    <w:rsid w:val="00615FF7"/>
    <w:rsid w:val="00616026"/>
    <w:rsid w:val="00616047"/>
    <w:rsid w:val="00616170"/>
    <w:rsid w:val="006161F3"/>
    <w:rsid w:val="006161FC"/>
    <w:rsid w:val="00616373"/>
    <w:rsid w:val="00616530"/>
    <w:rsid w:val="0061654B"/>
    <w:rsid w:val="0061655C"/>
    <w:rsid w:val="0061655F"/>
    <w:rsid w:val="006165C4"/>
    <w:rsid w:val="00616603"/>
    <w:rsid w:val="00616748"/>
    <w:rsid w:val="0061687E"/>
    <w:rsid w:val="006168BD"/>
    <w:rsid w:val="00616AF6"/>
    <w:rsid w:val="00616BCC"/>
    <w:rsid w:val="00616C66"/>
    <w:rsid w:val="00616C70"/>
    <w:rsid w:val="00616CFF"/>
    <w:rsid w:val="00616D63"/>
    <w:rsid w:val="00616D65"/>
    <w:rsid w:val="00616EC7"/>
    <w:rsid w:val="00616F7A"/>
    <w:rsid w:val="00616FE2"/>
    <w:rsid w:val="006170EA"/>
    <w:rsid w:val="006171D7"/>
    <w:rsid w:val="00617246"/>
    <w:rsid w:val="00617255"/>
    <w:rsid w:val="006172E5"/>
    <w:rsid w:val="00617331"/>
    <w:rsid w:val="0061742E"/>
    <w:rsid w:val="0061743C"/>
    <w:rsid w:val="006175E3"/>
    <w:rsid w:val="00617633"/>
    <w:rsid w:val="006177FA"/>
    <w:rsid w:val="00617915"/>
    <w:rsid w:val="00617B23"/>
    <w:rsid w:val="00617B29"/>
    <w:rsid w:val="00617B75"/>
    <w:rsid w:val="00617C3A"/>
    <w:rsid w:val="00617CB0"/>
    <w:rsid w:val="00617CF2"/>
    <w:rsid w:val="00617FE7"/>
    <w:rsid w:val="0062007F"/>
    <w:rsid w:val="00620155"/>
    <w:rsid w:val="0062024D"/>
    <w:rsid w:val="0062037E"/>
    <w:rsid w:val="00620524"/>
    <w:rsid w:val="00620535"/>
    <w:rsid w:val="0062058C"/>
    <w:rsid w:val="00620770"/>
    <w:rsid w:val="00620771"/>
    <w:rsid w:val="0062085F"/>
    <w:rsid w:val="0062094A"/>
    <w:rsid w:val="00620A2C"/>
    <w:rsid w:val="00620B31"/>
    <w:rsid w:val="00620CD5"/>
    <w:rsid w:val="00620E80"/>
    <w:rsid w:val="00620EBE"/>
    <w:rsid w:val="00620F86"/>
    <w:rsid w:val="0062102C"/>
    <w:rsid w:val="00621198"/>
    <w:rsid w:val="00621280"/>
    <w:rsid w:val="006213AD"/>
    <w:rsid w:val="006215B8"/>
    <w:rsid w:val="006215ED"/>
    <w:rsid w:val="0062162B"/>
    <w:rsid w:val="0062167E"/>
    <w:rsid w:val="0062180C"/>
    <w:rsid w:val="00621921"/>
    <w:rsid w:val="0062193F"/>
    <w:rsid w:val="00621AC7"/>
    <w:rsid w:val="00621AF5"/>
    <w:rsid w:val="00621D07"/>
    <w:rsid w:val="00621D78"/>
    <w:rsid w:val="00621DC0"/>
    <w:rsid w:val="00621E5E"/>
    <w:rsid w:val="00621E70"/>
    <w:rsid w:val="00621E91"/>
    <w:rsid w:val="00621EBC"/>
    <w:rsid w:val="00621EC5"/>
    <w:rsid w:val="00621FE3"/>
    <w:rsid w:val="00621FFC"/>
    <w:rsid w:val="00622090"/>
    <w:rsid w:val="0062210B"/>
    <w:rsid w:val="00622140"/>
    <w:rsid w:val="00622151"/>
    <w:rsid w:val="006221E5"/>
    <w:rsid w:val="006221FD"/>
    <w:rsid w:val="0062224D"/>
    <w:rsid w:val="006224C5"/>
    <w:rsid w:val="006224DC"/>
    <w:rsid w:val="00622509"/>
    <w:rsid w:val="00622522"/>
    <w:rsid w:val="0062258D"/>
    <w:rsid w:val="0062262C"/>
    <w:rsid w:val="0062262E"/>
    <w:rsid w:val="00622883"/>
    <w:rsid w:val="0062292F"/>
    <w:rsid w:val="006229D2"/>
    <w:rsid w:val="00622A23"/>
    <w:rsid w:val="00622C3E"/>
    <w:rsid w:val="00622C71"/>
    <w:rsid w:val="00622CB6"/>
    <w:rsid w:val="0062307E"/>
    <w:rsid w:val="006230D8"/>
    <w:rsid w:val="006230D9"/>
    <w:rsid w:val="0062317D"/>
    <w:rsid w:val="006232B5"/>
    <w:rsid w:val="00623587"/>
    <w:rsid w:val="006235CC"/>
    <w:rsid w:val="006235FA"/>
    <w:rsid w:val="0062366D"/>
    <w:rsid w:val="006236CF"/>
    <w:rsid w:val="006236F7"/>
    <w:rsid w:val="00623799"/>
    <w:rsid w:val="0062379C"/>
    <w:rsid w:val="006239CE"/>
    <w:rsid w:val="006239D1"/>
    <w:rsid w:val="006239D9"/>
    <w:rsid w:val="00623AA5"/>
    <w:rsid w:val="00623AFC"/>
    <w:rsid w:val="00623B10"/>
    <w:rsid w:val="00623B6C"/>
    <w:rsid w:val="00623BF5"/>
    <w:rsid w:val="00623CCA"/>
    <w:rsid w:val="00623D90"/>
    <w:rsid w:val="00623FF2"/>
    <w:rsid w:val="0062401F"/>
    <w:rsid w:val="006240CB"/>
    <w:rsid w:val="006240EB"/>
    <w:rsid w:val="00624140"/>
    <w:rsid w:val="0062419B"/>
    <w:rsid w:val="0062422C"/>
    <w:rsid w:val="0062426C"/>
    <w:rsid w:val="00624359"/>
    <w:rsid w:val="006243F1"/>
    <w:rsid w:val="006243FB"/>
    <w:rsid w:val="0062454E"/>
    <w:rsid w:val="006245DE"/>
    <w:rsid w:val="006245F7"/>
    <w:rsid w:val="0062465A"/>
    <w:rsid w:val="00624673"/>
    <w:rsid w:val="00624766"/>
    <w:rsid w:val="0062492C"/>
    <w:rsid w:val="006249E4"/>
    <w:rsid w:val="006249ED"/>
    <w:rsid w:val="00624A37"/>
    <w:rsid w:val="00624A44"/>
    <w:rsid w:val="00624B70"/>
    <w:rsid w:val="00624D2A"/>
    <w:rsid w:val="00624E74"/>
    <w:rsid w:val="00624E83"/>
    <w:rsid w:val="00624EA3"/>
    <w:rsid w:val="00624EB4"/>
    <w:rsid w:val="00624F1D"/>
    <w:rsid w:val="00625251"/>
    <w:rsid w:val="006252B7"/>
    <w:rsid w:val="00625393"/>
    <w:rsid w:val="00625436"/>
    <w:rsid w:val="00625438"/>
    <w:rsid w:val="0062554D"/>
    <w:rsid w:val="00625563"/>
    <w:rsid w:val="006255DE"/>
    <w:rsid w:val="00625639"/>
    <w:rsid w:val="00625779"/>
    <w:rsid w:val="006257A8"/>
    <w:rsid w:val="006257CB"/>
    <w:rsid w:val="006257D7"/>
    <w:rsid w:val="00625884"/>
    <w:rsid w:val="00625890"/>
    <w:rsid w:val="006258EF"/>
    <w:rsid w:val="0062594D"/>
    <w:rsid w:val="00625AEC"/>
    <w:rsid w:val="00625B66"/>
    <w:rsid w:val="00625B6C"/>
    <w:rsid w:val="00625C03"/>
    <w:rsid w:val="00625C0F"/>
    <w:rsid w:val="00625C2B"/>
    <w:rsid w:val="00625D1B"/>
    <w:rsid w:val="00625DD3"/>
    <w:rsid w:val="00625DED"/>
    <w:rsid w:val="00625E4F"/>
    <w:rsid w:val="00625E9C"/>
    <w:rsid w:val="0062600A"/>
    <w:rsid w:val="0062606F"/>
    <w:rsid w:val="006260CD"/>
    <w:rsid w:val="0062612A"/>
    <w:rsid w:val="006261BC"/>
    <w:rsid w:val="00626349"/>
    <w:rsid w:val="006263FE"/>
    <w:rsid w:val="00626593"/>
    <w:rsid w:val="0062665B"/>
    <w:rsid w:val="00626726"/>
    <w:rsid w:val="0062677D"/>
    <w:rsid w:val="006268EB"/>
    <w:rsid w:val="0062696F"/>
    <w:rsid w:val="006269BF"/>
    <w:rsid w:val="00626B87"/>
    <w:rsid w:val="00626D28"/>
    <w:rsid w:val="00626E50"/>
    <w:rsid w:val="00626EAD"/>
    <w:rsid w:val="00626EBE"/>
    <w:rsid w:val="00626F7B"/>
    <w:rsid w:val="00626F9F"/>
    <w:rsid w:val="00627355"/>
    <w:rsid w:val="00627388"/>
    <w:rsid w:val="00627401"/>
    <w:rsid w:val="00627443"/>
    <w:rsid w:val="00627544"/>
    <w:rsid w:val="006275AA"/>
    <w:rsid w:val="006276A1"/>
    <w:rsid w:val="00627786"/>
    <w:rsid w:val="00627A00"/>
    <w:rsid w:val="00627A2F"/>
    <w:rsid w:val="00627A5F"/>
    <w:rsid w:val="00627B40"/>
    <w:rsid w:val="00627B6A"/>
    <w:rsid w:val="00627BC6"/>
    <w:rsid w:val="00627C22"/>
    <w:rsid w:val="00627CD1"/>
    <w:rsid w:val="00627CF4"/>
    <w:rsid w:val="00627CF9"/>
    <w:rsid w:val="00627DD4"/>
    <w:rsid w:val="00627E3A"/>
    <w:rsid w:val="00627F5E"/>
    <w:rsid w:val="00627F94"/>
    <w:rsid w:val="00627FCC"/>
    <w:rsid w:val="00627FCD"/>
    <w:rsid w:val="00630046"/>
    <w:rsid w:val="00630047"/>
    <w:rsid w:val="00630067"/>
    <w:rsid w:val="00630175"/>
    <w:rsid w:val="00630187"/>
    <w:rsid w:val="0063019C"/>
    <w:rsid w:val="0063033A"/>
    <w:rsid w:val="00630352"/>
    <w:rsid w:val="0063037A"/>
    <w:rsid w:val="00630566"/>
    <w:rsid w:val="006305CB"/>
    <w:rsid w:val="00630603"/>
    <w:rsid w:val="0063061A"/>
    <w:rsid w:val="00630857"/>
    <w:rsid w:val="0063094D"/>
    <w:rsid w:val="006309B4"/>
    <w:rsid w:val="00630A16"/>
    <w:rsid w:val="00630B65"/>
    <w:rsid w:val="00630C0F"/>
    <w:rsid w:val="00630C7F"/>
    <w:rsid w:val="00630CC2"/>
    <w:rsid w:val="00630D18"/>
    <w:rsid w:val="00630EF9"/>
    <w:rsid w:val="0063106F"/>
    <w:rsid w:val="0063108D"/>
    <w:rsid w:val="0063114D"/>
    <w:rsid w:val="0063116E"/>
    <w:rsid w:val="006311B4"/>
    <w:rsid w:val="006311BC"/>
    <w:rsid w:val="006311C3"/>
    <w:rsid w:val="00631354"/>
    <w:rsid w:val="00631356"/>
    <w:rsid w:val="0063145B"/>
    <w:rsid w:val="006315D9"/>
    <w:rsid w:val="0063160F"/>
    <w:rsid w:val="006316CF"/>
    <w:rsid w:val="00631725"/>
    <w:rsid w:val="006318E3"/>
    <w:rsid w:val="00631920"/>
    <w:rsid w:val="00631951"/>
    <w:rsid w:val="00631A9C"/>
    <w:rsid w:val="00631B22"/>
    <w:rsid w:val="00631B30"/>
    <w:rsid w:val="00631B4C"/>
    <w:rsid w:val="00631BC0"/>
    <w:rsid w:val="00631BE4"/>
    <w:rsid w:val="00631C1E"/>
    <w:rsid w:val="00631CF1"/>
    <w:rsid w:val="00631DCF"/>
    <w:rsid w:val="00631FE5"/>
    <w:rsid w:val="00632226"/>
    <w:rsid w:val="0063225F"/>
    <w:rsid w:val="0063227B"/>
    <w:rsid w:val="006323A5"/>
    <w:rsid w:val="006323D0"/>
    <w:rsid w:val="006323EC"/>
    <w:rsid w:val="0063240E"/>
    <w:rsid w:val="0063244B"/>
    <w:rsid w:val="00632572"/>
    <w:rsid w:val="006325B7"/>
    <w:rsid w:val="006325BE"/>
    <w:rsid w:val="006326DB"/>
    <w:rsid w:val="006327AC"/>
    <w:rsid w:val="006327C2"/>
    <w:rsid w:val="00632BC4"/>
    <w:rsid w:val="00632D18"/>
    <w:rsid w:val="00632F5E"/>
    <w:rsid w:val="00632FC1"/>
    <w:rsid w:val="006330AD"/>
    <w:rsid w:val="006334AB"/>
    <w:rsid w:val="0063360A"/>
    <w:rsid w:val="006336F9"/>
    <w:rsid w:val="006337C4"/>
    <w:rsid w:val="006337F9"/>
    <w:rsid w:val="0063380B"/>
    <w:rsid w:val="006338C8"/>
    <w:rsid w:val="0063390C"/>
    <w:rsid w:val="0063397C"/>
    <w:rsid w:val="00633A47"/>
    <w:rsid w:val="00633AF3"/>
    <w:rsid w:val="00633BB0"/>
    <w:rsid w:val="00633DE4"/>
    <w:rsid w:val="00633F96"/>
    <w:rsid w:val="00634028"/>
    <w:rsid w:val="00634241"/>
    <w:rsid w:val="00634266"/>
    <w:rsid w:val="00634274"/>
    <w:rsid w:val="006343A2"/>
    <w:rsid w:val="0063444C"/>
    <w:rsid w:val="006344BA"/>
    <w:rsid w:val="00634555"/>
    <w:rsid w:val="006346BE"/>
    <w:rsid w:val="006346E9"/>
    <w:rsid w:val="0063477A"/>
    <w:rsid w:val="00634809"/>
    <w:rsid w:val="00634869"/>
    <w:rsid w:val="0063486E"/>
    <w:rsid w:val="00634885"/>
    <w:rsid w:val="006348DC"/>
    <w:rsid w:val="00634A1D"/>
    <w:rsid w:val="00634AC8"/>
    <w:rsid w:val="00634BCB"/>
    <w:rsid w:val="00634C4F"/>
    <w:rsid w:val="00634C79"/>
    <w:rsid w:val="00634CE5"/>
    <w:rsid w:val="00634D61"/>
    <w:rsid w:val="00634D70"/>
    <w:rsid w:val="00634E0A"/>
    <w:rsid w:val="00634E22"/>
    <w:rsid w:val="00634E36"/>
    <w:rsid w:val="00634FB3"/>
    <w:rsid w:val="006350B1"/>
    <w:rsid w:val="00635160"/>
    <w:rsid w:val="00635272"/>
    <w:rsid w:val="00635409"/>
    <w:rsid w:val="0063546A"/>
    <w:rsid w:val="0063566C"/>
    <w:rsid w:val="006356A0"/>
    <w:rsid w:val="00635740"/>
    <w:rsid w:val="006357F5"/>
    <w:rsid w:val="00635893"/>
    <w:rsid w:val="00635A22"/>
    <w:rsid w:val="00635BB8"/>
    <w:rsid w:val="00635BBA"/>
    <w:rsid w:val="00635C39"/>
    <w:rsid w:val="00635C7F"/>
    <w:rsid w:val="00635CB0"/>
    <w:rsid w:val="00635D08"/>
    <w:rsid w:val="00635D89"/>
    <w:rsid w:val="00635DFA"/>
    <w:rsid w:val="00635F43"/>
    <w:rsid w:val="00635F69"/>
    <w:rsid w:val="00636040"/>
    <w:rsid w:val="00636108"/>
    <w:rsid w:val="00636163"/>
    <w:rsid w:val="006362E6"/>
    <w:rsid w:val="006362EA"/>
    <w:rsid w:val="00636328"/>
    <w:rsid w:val="006363C0"/>
    <w:rsid w:val="00636481"/>
    <w:rsid w:val="006367A8"/>
    <w:rsid w:val="006368BB"/>
    <w:rsid w:val="00636ABA"/>
    <w:rsid w:val="00636B7E"/>
    <w:rsid w:val="00636B97"/>
    <w:rsid w:val="00636CF4"/>
    <w:rsid w:val="00636D08"/>
    <w:rsid w:val="00636DED"/>
    <w:rsid w:val="00636E31"/>
    <w:rsid w:val="00636F0D"/>
    <w:rsid w:val="00636F81"/>
    <w:rsid w:val="00637012"/>
    <w:rsid w:val="0063704F"/>
    <w:rsid w:val="006370B4"/>
    <w:rsid w:val="006370ED"/>
    <w:rsid w:val="00637450"/>
    <w:rsid w:val="00637466"/>
    <w:rsid w:val="0063747F"/>
    <w:rsid w:val="0063748A"/>
    <w:rsid w:val="00637522"/>
    <w:rsid w:val="00637598"/>
    <w:rsid w:val="0063761A"/>
    <w:rsid w:val="0063775C"/>
    <w:rsid w:val="006377D3"/>
    <w:rsid w:val="00637830"/>
    <w:rsid w:val="00637848"/>
    <w:rsid w:val="0063794E"/>
    <w:rsid w:val="00637B98"/>
    <w:rsid w:val="00637BB1"/>
    <w:rsid w:val="00637CF0"/>
    <w:rsid w:val="00637E3F"/>
    <w:rsid w:val="00637E4F"/>
    <w:rsid w:val="00637F2D"/>
    <w:rsid w:val="00637F8F"/>
    <w:rsid w:val="0064018D"/>
    <w:rsid w:val="0064030D"/>
    <w:rsid w:val="00640369"/>
    <w:rsid w:val="006403B4"/>
    <w:rsid w:val="006405E1"/>
    <w:rsid w:val="00640841"/>
    <w:rsid w:val="006408E7"/>
    <w:rsid w:val="00640976"/>
    <w:rsid w:val="006409CF"/>
    <w:rsid w:val="006409E4"/>
    <w:rsid w:val="00640A0D"/>
    <w:rsid w:val="00640A51"/>
    <w:rsid w:val="00640ABB"/>
    <w:rsid w:val="00640B47"/>
    <w:rsid w:val="00640C3D"/>
    <w:rsid w:val="00640C51"/>
    <w:rsid w:val="00640C5B"/>
    <w:rsid w:val="00640CD6"/>
    <w:rsid w:val="00640D2E"/>
    <w:rsid w:val="00640D77"/>
    <w:rsid w:val="00640DD1"/>
    <w:rsid w:val="00640E94"/>
    <w:rsid w:val="00640ED9"/>
    <w:rsid w:val="00640F96"/>
    <w:rsid w:val="0064132A"/>
    <w:rsid w:val="00641395"/>
    <w:rsid w:val="006413E3"/>
    <w:rsid w:val="006413E9"/>
    <w:rsid w:val="0064142F"/>
    <w:rsid w:val="0064148F"/>
    <w:rsid w:val="006414CF"/>
    <w:rsid w:val="00641627"/>
    <w:rsid w:val="0064164B"/>
    <w:rsid w:val="00641655"/>
    <w:rsid w:val="006416EA"/>
    <w:rsid w:val="00641738"/>
    <w:rsid w:val="00641790"/>
    <w:rsid w:val="006419D1"/>
    <w:rsid w:val="006419E0"/>
    <w:rsid w:val="00641A4E"/>
    <w:rsid w:val="00641B73"/>
    <w:rsid w:val="00641BBD"/>
    <w:rsid w:val="00641C91"/>
    <w:rsid w:val="00641FAF"/>
    <w:rsid w:val="006420B1"/>
    <w:rsid w:val="0064211D"/>
    <w:rsid w:val="0064225A"/>
    <w:rsid w:val="00642351"/>
    <w:rsid w:val="006424B7"/>
    <w:rsid w:val="00642529"/>
    <w:rsid w:val="00642535"/>
    <w:rsid w:val="00642737"/>
    <w:rsid w:val="006427BF"/>
    <w:rsid w:val="006428F9"/>
    <w:rsid w:val="00642991"/>
    <w:rsid w:val="006429A0"/>
    <w:rsid w:val="00642A89"/>
    <w:rsid w:val="00642AF8"/>
    <w:rsid w:val="00642B35"/>
    <w:rsid w:val="00642B50"/>
    <w:rsid w:val="00642CA0"/>
    <w:rsid w:val="00642D72"/>
    <w:rsid w:val="00642DBA"/>
    <w:rsid w:val="00642E51"/>
    <w:rsid w:val="00642EB4"/>
    <w:rsid w:val="00642EBD"/>
    <w:rsid w:val="00642F04"/>
    <w:rsid w:val="00642F46"/>
    <w:rsid w:val="00642FC7"/>
    <w:rsid w:val="00642FCC"/>
    <w:rsid w:val="00642FDD"/>
    <w:rsid w:val="00643065"/>
    <w:rsid w:val="00643215"/>
    <w:rsid w:val="0064323D"/>
    <w:rsid w:val="0064329C"/>
    <w:rsid w:val="006433CD"/>
    <w:rsid w:val="00643404"/>
    <w:rsid w:val="0064359A"/>
    <w:rsid w:val="006435C3"/>
    <w:rsid w:val="006435EC"/>
    <w:rsid w:val="00643620"/>
    <w:rsid w:val="00643665"/>
    <w:rsid w:val="00643695"/>
    <w:rsid w:val="00643751"/>
    <w:rsid w:val="0064394F"/>
    <w:rsid w:val="00643A8D"/>
    <w:rsid w:val="00643C37"/>
    <w:rsid w:val="00643C93"/>
    <w:rsid w:val="00643D6F"/>
    <w:rsid w:val="00643DD5"/>
    <w:rsid w:val="00643EF9"/>
    <w:rsid w:val="00643F24"/>
    <w:rsid w:val="00643FF3"/>
    <w:rsid w:val="00644056"/>
    <w:rsid w:val="0064414F"/>
    <w:rsid w:val="00644192"/>
    <w:rsid w:val="006441E0"/>
    <w:rsid w:val="00644226"/>
    <w:rsid w:val="00644380"/>
    <w:rsid w:val="006443B3"/>
    <w:rsid w:val="00644420"/>
    <w:rsid w:val="0064451F"/>
    <w:rsid w:val="006445B8"/>
    <w:rsid w:val="006445F6"/>
    <w:rsid w:val="006446E0"/>
    <w:rsid w:val="006446FA"/>
    <w:rsid w:val="0064476C"/>
    <w:rsid w:val="006447C4"/>
    <w:rsid w:val="006447C9"/>
    <w:rsid w:val="00644852"/>
    <w:rsid w:val="00644902"/>
    <w:rsid w:val="00644930"/>
    <w:rsid w:val="006449D8"/>
    <w:rsid w:val="00644A2F"/>
    <w:rsid w:val="00644B66"/>
    <w:rsid w:val="00644C48"/>
    <w:rsid w:val="00644C96"/>
    <w:rsid w:val="00644DAF"/>
    <w:rsid w:val="00644E4C"/>
    <w:rsid w:val="00644E55"/>
    <w:rsid w:val="00644F50"/>
    <w:rsid w:val="00644F9B"/>
    <w:rsid w:val="00645000"/>
    <w:rsid w:val="006450E5"/>
    <w:rsid w:val="0064517B"/>
    <w:rsid w:val="006451B2"/>
    <w:rsid w:val="0064524C"/>
    <w:rsid w:val="00645260"/>
    <w:rsid w:val="006452DB"/>
    <w:rsid w:val="0064530B"/>
    <w:rsid w:val="00645326"/>
    <w:rsid w:val="00645379"/>
    <w:rsid w:val="0064539D"/>
    <w:rsid w:val="00645413"/>
    <w:rsid w:val="00645449"/>
    <w:rsid w:val="006454B3"/>
    <w:rsid w:val="0064556F"/>
    <w:rsid w:val="006455A4"/>
    <w:rsid w:val="006456EA"/>
    <w:rsid w:val="00645741"/>
    <w:rsid w:val="006457A9"/>
    <w:rsid w:val="006457E3"/>
    <w:rsid w:val="006457E7"/>
    <w:rsid w:val="006458CC"/>
    <w:rsid w:val="00645A49"/>
    <w:rsid w:val="00645A7B"/>
    <w:rsid w:val="00645AD1"/>
    <w:rsid w:val="00645B48"/>
    <w:rsid w:val="00645C38"/>
    <w:rsid w:val="00645E18"/>
    <w:rsid w:val="00646013"/>
    <w:rsid w:val="00646128"/>
    <w:rsid w:val="00646183"/>
    <w:rsid w:val="006461A7"/>
    <w:rsid w:val="006461E4"/>
    <w:rsid w:val="00646281"/>
    <w:rsid w:val="006464E7"/>
    <w:rsid w:val="0064653A"/>
    <w:rsid w:val="00646677"/>
    <w:rsid w:val="00646719"/>
    <w:rsid w:val="0064677E"/>
    <w:rsid w:val="006467B3"/>
    <w:rsid w:val="0064689D"/>
    <w:rsid w:val="006468E1"/>
    <w:rsid w:val="00646957"/>
    <w:rsid w:val="00646A21"/>
    <w:rsid w:val="00646A33"/>
    <w:rsid w:val="00646A42"/>
    <w:rsid w:val="00646B56"/>
    <w:rsid w:val="00646BC6"/>
    <w:rsid w:val="00646C1A"/>
    <w:rsid w:val="00646C34"/>
    <w:rsid w:val="00646D87"/>
    <w:rsid w:val="006470B4"/>
    <w:rsid w:val="006470C4"/>
    <w:rsid w:val="006471F3"/>
    <w:rsid w:val="0064725C"/>
    <w:rsid w:val="00647277"/>
    <w:rsid w:val="006473E3"/>
    <w:rsid w:val="0064740D"/>
    <w:rsid w:val="00647467"/>
    <w:rsid w:val="006474A7"/>
    <w:rsid w:val="00647691"/>
    <w:rsid w:val="0064769C"/>
    <w:rsid w:val="00647703"/>
    <w:rsid w:val="00647722"/>
    <w:rsid w:val="00647823"/>
    <w:rsid w:val="00647B2F"/>
    <w:rsid w:val="00647B76"/>
    <w:rsid w:val="00647C17"/>
    <w:rsid w:val="00647C77"/>
    <w:rsid w:val="00647C8F"/>
    <w:rsid w:val="00647D31"/>
    <w:rsid w:val="00647DA7"/>
    <w:rsid w:val="00647DF1"/>
    <w:rsid w:val="00647F05"/>
    <w:rsid w:val="00647F06"/>
    <w:rsid w:val="00647F26"/>
    <w:rsid w:val="00650015"/>
    <w:rsid w:val="0065008E"/>
    <w:rsid w:val="006500B7"/>
    <w:rsid w:val="006500D4"/>
    <w:rsid w:val="00650103"/>
    <w:rsid w:val="00650298"/>
    <w:rsid w:val="006503B5"/>
    <w:rsid w:val="00650490"/>
    <w:rsid w:val="0065060D"/>
    <w:rsid w:val="00650688"/>
    <w:rsid w:val="00650742"/>
    <w:rsid w:val="00650789"/>
    <w:rsid w:val="006507A0"/>
    <w:rsid w:val="006507AB"/>
    <w:rsid w:val="00650836"/>
    <w:rsid w:val="0065086B"/>
    <w:rsid w:val="006508BB"/>
    <w:rsid w:val="0065091D"/>
    <w:rsid w:val="00650921"/>
    <w:rsid w:val="0065099F"/>
    <w:rsid w:val="006509FE"/>
    <w:rsid w:val="00650A1A"/>
    <w:rsid w:val="00650B10"/>
    <w:rsid w:val="00650E40"/>
    <w:rsid w:val="00650E42"/>
    <w:rsid w:val="00650F61"/>
    <w:rsid w:val="00650F64"/>
    <w:rsid w:val="00650FD7"/>
    <w:rsid w:val="00651015"/>
    <w:rsid w:val="006510F3"/>
    <w:rsid w:val="00651322"/>
    <w:rsid w:val="00651324"/>
    <w:rsid w:val="00651333"/>
    <w:rsid w:val="00651355"/>
    <w:rsid w:val="00651384"/>
    <w:rsid w:val="00651388"/>
    <w:rsid w:val="006513FA"/>
    <w:rsid w:val="006514C2"/>
    <w:rsid w:val="00651503"/>
    <w:rsid w:val="00651563"/>
    <w:rsid w:val="0065178E"/>
    <w:rsid w:val="0065181D"/>
    <w:rsid w:val="00651974"/>
    <w:rsid w:val="0065198B"/>
    <w:rsid w:val="006519B0"/>
    <w:rsid w:val="006519E5"/>
    <w:rsid w:val="00651B65"/>
    <w:rsid w:val="00651C5C"/>
    <w:rsid w:val="00651CF0"/>
    <w:rsid w:val="00651CF5"/>
    <w:rsid w:val="00651DB2"/>
    <w:rsid w:val="00651EAF"/>
    <w:rsid w:val="00651EEC"/>
    <w:rsid w:val="00652018"/>
    <w:rsid w:val="00652020"/>
    <w:rsid w:val="00652057"/>
    <w:rsid w:val="00652080"/>
    <w:rsid w:val="0065216A"/>
    <w:rsid w:val="006521DC"/>
    <w:rsid w:val="006521F5"/>
    <w:rsid w:val="00652211"/>
    <w:rsid w:val="0065223A"/>
    <w:rsid w:val="0065238D"/>
    <w:rsid w:val="00652465"/>
    <w:rsid w:val="00652579"/>
    <w:rsid w:val="006525E5"/>
    <w:rsid w:val="00652644"/>
    <w:rsid w:val="0065276E"/>
    <w:rsid w:val="00652854"/>
    <w:rsid w:val="0065285B"/>
    <w:rsid w:val="006528ED"/>
    <w:rsid w:val="00652941"/>
    <w:rsid w:val="00652A88"/>
    <w:rsid w:val="00652ADB"/>
    <w:rsid w:val="00652B80"/>
    <w:rsid w:val="00652C04"/>
    <w:rsid w:val="00652C0D"/>
    <w:rsid w:val="00652CC9"/>
    <w:rsid w:val="00652D8D"/>
    <w:rsid w:val="00652DE4"/>
    <w:rsid w:val="00652DF6"/>
    <w:rsid w:val="00652F0F"/>
    <w:rsid w:val="00653186"/>
    <w:rsid w:val="00653259"/>
    <w:rsid w:val="0065334E"/>
    <w:rsid w:val="00653587"/>
    <w:rsid w:val="006535A9"/>
    <w:rsid w:val="006536FC"/>
    <w:rsid w:val="00653867"/>
    <w:rsid w:val="006538E1"/>
    <w:rsid w:val="0065392E"/>
    <w:rsid w:val="00653AC9"/>
    <w:rsid w:val="00653B45"/>
    <w:rsid w:val="00653B9E"/>
    <w:rsid w:val="00653FA9"/>
    <w:rsid w:val="006541E6"/>
    <w:rsid w:val="00654218"/>
    <w:rsid w:val="0065422F"/>
    <w:rsid w:val="00654248"/>
    <w:rsid w:val="006542A7"/>
    <w:rsid w:val="006542AC"/>
    <w:rsid w:val="006542B2"/>
    <w:rsid w:val="006542B4"/>
    <w:rsid w:val="006544C3"/>
    <w:rsid w:val="00654663"/>
    <w:rsid w:val="006546B9"/>
    <w:rsid w:val="006546CD"/>
    <w:rsid w:val="00654845"/>
    <w:rsid w:val="00654A6A"/>
    <w:rsid w:val="00654B64"/>
    <w:rsid w:val="00654C04"/>
    <w:rsid w:val="00654C2A"/>
    <w:rsid w:val="00654DAC"/>
    <w:rsid w:val="00654DC8"/>
    <w:rsid w:val="00654E4B"/>
    <w:rsid w:val="00654EBD"/>
    <w:rsid w:val="006551AA"/>
    <w:rsid w:val="00655279"/>
    <w:rsid w:val="00655413"/>
    <w:rsid w:val="00655568"/>
    <w:rsid w:val="006555E8"/>
    <w:rsid w:val="00655858"/>
    <w:rsid w:val="00655875"/>
    <w:rsid w:val="0065591B"/>
    <w:rsid w:val="006559EB"/>
    <w:rsid w:val="00655A13"/>
    <w:rsid w:val="00655A20"/>
    <w:rsid w:val="00655A82"/>
    <w:rsid w:val="00655BAC"/>
    <w:rsid w:val="00655BD6"/>
    <w:rsid w:val="00655BE6"/>
    <w:rsid w:val="00655C77"/>
    <w:rsid w:val="00655D7B"/>
    <w:rsid w:val="00655D93"/>
    <w:rsid w:val="00655EC2"/>
    <w:rsid w:val="00655EFD"/>
    <w:rsid w:val="00655F21"/>
    <w:rsid w:val="006560EE"/>
    <w:rsid w:val="0065620A"/>
    <w:rsid w:val="0065621B"/>
    <w:rsid w:val="0065624D"/>
    <w:rsid w:val="00656265"/>
    <w:rsid w:val="00656320"/>
    <w:rsid w:val="00656388"/>
    <w:rsid w:val="006564FD"/>
    <w:rsid w:val="006565B6"/>
    <w:rsid w:val="00656654"/>
    <w:rsid w:val="006566F6"/>
    <w:rsid w:val="0065685C"/>
    <w:rsid w:val="0065686A"/>
    <w:rsid w:val="0065686D"/>
    <w:rsid w:val="006568D4"/>
    <w:rsid w:val="006569BC"/>
    <w:rsid w:val="00656A69"/>
    <w:rsid w:val="00656B92"/>
    <w:rsid w:val="00656CBD"/>
    <w:rsid w:val="00656CC3"/>
    <w:rsid w:val="00656CCC"/>
    <w:rsid w:val="00656CD0"/>
    <w:rsid w:val="00656D04"/>
    <w:rsid w:val="00656D4B"/>
    <w:rsid w:val="00656E45"/>
    <w:rsid w:val="00656EA9"/>
    <w:rsid w:val="00656EE4"/>
    <w:rsid w:val="00656F26"/>
    <w:rsid w:val="00657097"/>
    <w:rsid w:val="00657115"/>
    <w:rsid w:val="00657146"/>
    <w:rsid w:val="00657193"/>
    <w:rsid w:val="00657267"/>
    <w:rsid w:val="006572D9"/>
    <w:rsid w:val="00657385"/>
    <w:rsid w:val="0065738D"/>
    <w:rsid w:val="006574DA"/>
    <w:rsid w:val="006574E5"/>
    <w:rsid w:val="0065755B"/>
    <w:rsid w:val="006576CA"/>
    <w:rsid w:val="006576D1"/>
    <w:rsid w:val="006577E9"/>
    <w:rsid w:val="00657840"/>
    <w:rsid w:val="00657883"/>
    <w:rsid w:val="006579B2"/>
    <w:rsid w:val="006579E9"/>
    <w:rsid w:val="00657AF1"/>
    <w:rsid w:val="00657B75"/>
    <w:rsid w:val="00657B7F"/>
    <w:rsid w:val="00657BF2"/>
    <w:rsid w:val="00657DC0"/>
    <w:rsid w:val="00657ECF"/>
    <w:rsid w:val="00657F26"/>
    <w:rsid w:val="00657F56"/>
    <w:rsid w:val="00657F76"/>
    <w:rsid w:val="0066014F"/>
    <w:rsid w:val="00660178"/>
    <w:rsid w:val="006601C2"/>
    <w:rsid w:val="006601F7"/>
    <w:rsid w:val="00660201"/>
    <w:rsid w:val="00660257"/>
    <w:rsid w:val="0066031D"/>
    <w:rsid w:val="00660365"/>
    <w:rsid w:val="00660393"/>
    <w:rsid w:val="00660405"/>
    <w:rsid w:val="0066049C"/>
    <w:rsid w:val="00660538"/>
    <w:rsid w:val="0066057E"/>
    <w:rsid w:val="006605D5"/>
    <w:rsid w:val="0066068F"/>
    <w:rsid w:val="0066069F"/>
    <w:rsid w:val="006606A6"/>
    <w:rsid w:val="006606BD"/>
    <w:rsid w:val="0066071A"/>
    <w:rsid w:val="0066073F"/>
    <w:rsid w:val="006607E6"/>
    <w:rsid w:val="006608DF"/>
    <w:rsid w:val="0066090C"/>
    <w:rsid w:val="0066095A"/>
    <w:rsid w:val="006609B6"/>
    <w:rsid w:val="00660A53"/>
    <w:rsid w:val="00660B24"/>
    <w:rsid w:val="00660B59"/>
    <w:rsid w:val="00660BD2"/>
    <w:rsid w:val="00660C82"/>
    <w:rsid w:val="00660D39"/>
    <w:rsid w:val="00660DA2"/>
    <w:rsid w:val="00660E60"/>
    <w:rsid w:val="00660F1B"/>
    <w:rsid w:val="0066107F"/>
    <w:rsid w:val="006613ED"/>
    <w:rsid w:val="0066153A"/>
    <w:rsid w:val="006615B7"/>
    <w:rsid w:val="006615F8"/>
    <w:rsid w:val="00661610"/>
    <w:rsid w:val="00661673"/>
    <w:rsid w:val="006616AD"/>
    <w:rsid w:val="006616BE"/>
    <w:rsid w:val="00661850"/>
    <w:rsid w:val="00661864"/>
    <w:rsid w:val="006619A2"/>
    <w:rsid w:val="00661B0F"/>
    <w:rsid w:val="00661C06"/>
    <w:rsid w:val="00661E74"/>
    <w:rsid w:val="00661F9C"/>
    <w:rsid w:val="006620D7"/>
    <w:rsid w:val="0066224C"/>
    <w:rsid w:val="00662290"/>
    <w:rsid w:val="006623A0"/>
    <w:rsid w:val="006623C4"/>
    <w:rsid w:val="006623C5"/>
    <w:rsid w:val="006624C5"/>
    <w:rsid w:val="006625B4"/>
    <w:rsid w:val="006626C3"/>
    <w:rsid w:val="006626D3"/>
    <w:rsid w:val="0066281C"/>
    <w:rsid w:val="0066296A"/>
    <w:rsid w:val="00662A14"/>
    <w:rsid w:val="00662AF9"/>
    <w:rsid w:val="00662BBF"/>
    <w:rsid w:val="00662BCB"/>
    <w:rsid w:val="00662BF9"/>
    <w:rsid w:val="00662C0A"/>
    <w:rsid w:val="00662C63"/>
    <w:rsid w:val="00662D2E"/>
    <w:rsid w:val="00662E08"/>
    <w:rsid w:val="00662E5A"/>
    <w:rsid w:val="0066307B"/>
    <w:rsid w:val="006630C7"/>
    <w:rsid w:val="006630FD"/>
    <w:rsid w:val="00663203"/>
    <w:rsid w:val="006632B8"/>
    <w:rsid w:val="006632DA"/>
    <w:rsid w:val="0066332F"/>
    <w:rsid w:val="00663358"/>
    <w:rsid w:val="0066338B"/>
    <w:rsid w:val="00663470"/>
    <w:rsid w:val="006634C9"/>
    <w:rsid w:val="00663532"/>
    <w:rsid w:val="006635A9"/>
    <w:rsid w:val="00663633"/>
    <w:rsid w:val="0066372C"/>
    <w:rsid w:val="00663776"/>
    <w:rsid w:val="006637F0"/>
    <w:rsid w:val="00663854"/>
    <w:rsid w:val="00663899"/>
    <w:rsid w:val="006638BA"/>
    <w:rsid w:val="0066391F"/>
    <w:rsid w:val="00663946"/>
    <w:rsid w:val="00663B99"/>
    <w:rsid w:val="00663B9D"/>
    <w:rsid w:val="00663D02"/>
    <w:rsid w:val="006641E7"/>
    <w:rsid w:val="006641EC"/>
    <w:rsid w:val="00664221"/>
    <w:rsid w:val="00664263"/>
    <w:rsid w:val="00664276"/>
    <w:rsid w:val="00664421"/>
    <w:rsid w:val="00664467"/>
    <w:rsid w:val="00664492"/>
    <w:rsid w:val="006644ED"/>
    <w:rsid w:val="00664585"/>
    <w:rsid w:val="0066466D"/>
    <w:rsid w:val="0066468F"/>
    <w:rsid w:val="0066477E"/>
    <w:rsid w:val="006647BD"/>
    <w:rsid w:val="00664868"/>
    <w:rsid w:val="00664935"/>
    <w:rsid w:val="006649B6"/>
    <w:rsid w:val="00664A08"/>
    <w:rsid w:val="00664ADD"/>
    <w:rsid w:val="00664B1E"/>
    <w:rsid w:val="00664D3D"/>
    <w:rsid w:val="00664E25"/>
    <w:rsid w:val="00664EE9"/>
    <w:rsid w:val="00664EF3"/>
    <w:rsid w:val="00664F25"/>
    <w:rsid w:val="00664F87"/>
    <w:rsid w:val="00665011"/>
    <w:rsid w:val="00665169"/>
    <w:rsid w:val="00665190"/>
    <w:rsid w:val="006651F1"/>
    <w:rsid w:val="00665296"/>
    <w:rsid w:val="006652A7"/>
    <w:rsid w:val="006652E8"/>
    <w:rsid w:val="0066547F"/>
    <w:rsid w:val="00665639"/>
    <w:rsid w:val="0066571A"/>
    <w:rsid w:val="0066579D"/>
    <w:rsid w:val="006657CB"/>
    <w:rsid w:val="006657FB"/>
    <w:rsid w:val="00665923"/>
    <w:rsid w:val="00665942"/>
    <w:rsid w:val="0066599B"/>
    <w:rsid w:val="00665A88"/>
    <w:rsid w:val="00665AAA"/>
    <w:rsid w:val="00665B4C"/>
    <w:rsid w:val="00665BCE"/>
    <w:rsid w:val="00665C56"/>
    <w:rsid w:val="00665C9F"/>
    <w:rsid w:val="00665CD0"/>
    <w:rsid w:val="00665E11"/>
    <w:rsid w:val="00665E1D"/>
    <w:rsid w:val="00665E6F"/>
    <w:rsid w:val="00665ECE"/>
    <w:rsid w:val="00665ED0"/>
    <w:rsid w:val="00665FB0"/>
    <w:rsid w:val="00666152"/>
    <w:rsid w:val="0066617D"/>
    <w:rsid w:val="0066639A"/>
    <w:rsid w:val="006663A6"/>
    <w:rsid w:val="006664A2"/>
    <w:rsid w:val="0066650E"/>
    <w:rsid w:val="006666CC"/>
    <w:rsid w:val="0066672C"/>
    <w:rsid w:val="00666741"/>
    <w:rsid w:val="00666807"/>
    <w:rsid w:val="00666810"/>
    <w:rsid w:val="00666838"/>
    <w:rsid w:val="006668BE"/>
    <w:rsid w:val="006668CC"/>
    <w:rsid w:val="006669FE"/>
    <w:rsid w:val="00666B02"/>
    <w:rsid w:val="00666B47"/>
    <w:rsid w:val="00666B55"/>
    <w:rsid w:val="00666CF7"/>
    <w:rsid w:val="00666D59"/>
    <w:rsid w:val="00666DAD"/>
    <w:rsid w:val="00666ED8"/>
    <w:rsid w:val="00666EF6"/>
    <w:rsid w:val="00666F7B"/>
    <w:rsid w:val="0066702A"/>
    <w:rsid w:val="00667060"/>
    <w:rsid w:val="006670EA"/>
    <w:rsid w:val="00667131"/>
    <w:rsid w:val="0066719F"/>
    <w:rsid w:val="006671A4"/>
    <w:rsid w:val="00667262"/>
    <w:rsid w:val="0066727C"/>
    <w:rsid w:val="00667292"/>
    <w:rsid w:val="00667320"/>
    <w:rsid w:val="00667407"/>
    <w:rsid w:val="00667415"/>
    <w:rsid w:val="006674A8"/>
    <w:rsid w:val="00667577"/>
    <w:rsid w:val="00667582"/>
    <w:rsid w:val="00667601"/>
    <w:rsid w:val="006676B6"/>
    <w:rsid w:val="006676EB"/>
    <w:rsid w:val="00667786"/>
    <w:rsid w:val="00667A21"/>
    <w:rsid w:val="00667B1F"/>
    <w:rsid w:val="00667B77"/>
    <w:rsid w:val="00667C44"/>
    <w:rsid w:val="00667DA5"/>
    <w:rsid w:val="00667DE1"/>
    <w:rsid w:val="00667E3F"/>
    <w:rsid w:val="00667F41"/>
    <w:rsid w:val="00667F85"/>
    <w:rsid w:val="00670034"/>
    <w:rsid w:val="006700D2"/>
    <w:rsid w:val="0067025F"/>
    <w:rsid w:val="00670369"/>
    <w:rsid w:val="00670373"/>
    <w:rsid w:val="0067049A"/>
    <w:rsid w:val="006704BC"/>
    <w:rsid w:val="0067052A"/>
    <w:rsid w:val="00670597"/>
    <w:rsid w:val="006706B5"/>
    <w:rsid w:val="006706E2"/>
    <w:rsid w:val="0067070C"/>
    <w:rsid w:val="0067070E"/>
    <w:rsid w:val="00670989"/>
    <w:rsid w:val="00670993"/>
    <w:rsid w:val="00670B32"/>
    <w:rsid w:val="00670C0C"/>
    <w:rsid w:val="00670CA4"/>
    <w:rsid w:val="00670CAA"/>
    <w:rsid w:val="00670CEA"/>
    <w:rsid w:val="00670D97"/>
    <w:rsid w:val="00670E15"/>
    <w:rsid w:val="00670E8D"/>
    <w:rsid w:val="00670EA7"/>
    <w:rsid w:val="00670F28"/>
    <w:rsid w:val="006710EE"/>
    <w:rsid w:val="00671201"/>
    <w:rsid w:val="006712C2"/>
    <w:rsid w:val="0067138E"/>
    <w:rsid w:val="00671493"/>
    <w:rsid w:val="006715EB"/>
    <w:rsid w:val="0067160D"/>
    <w:rsid w:val="00671681"/>
    <w:rsid w:val="006716CB"/>
    <w:rsid w:val="00671895"/>
    <w:rsid w:val="0067190F"/>
    <w:rsid w:val="00671AC6"/>
    <w:rsid w:val="00671B7E"/>
    <w:rsid w:val="00671BB7"/>
    <w:rsid w:val="00671D13"/>
    <w:rsid w:val="00671D27"/>
    <w:rsid w:val="00671E53"/>
    <w:rsid w:val="006721D2"/>
    <w:rsid w:val="0067221D"/>
    <w:rsid w:val="0067231D"/>
    <w:rsid w:val="00672480"/>
    <w:rsid w:val="00672481"/>
    <w:rsid w:val="006724BD"/>
    <w:rsid w:val="006724F5"/>
    <w:rsid w:val="006724F6"/>
    <w:rsid w:val="0067256D"/>
    <w:rsid w:val="006725CA"/>
    <w:rsid w:val="00672710"/>
    <w:rsid w:val="00672845"/>
    <w:rsid w:val="006728A8"/>
    <w:rsid w:val="006728B4"/>
    <w:rsid w:val="006728C1"/>
    <w:rsid w:val="0067299A"/>
    <w:rsid w:val="00672AB7"/>
    <w:rsid w:val="00672B07"/>
    <w:rsid w:val="00672B3F"/>
    <w:rsid w:val="00672B61"/>
    <w:rsid w:val="00672B9D"/>
    <w:rsid w:val="00672BF3"/>
    <w:rsid w:val="00672C15"/>
    <w:rsid w:val="00672CB3"/>
    <w:rsid w:val="00672CBB"/>
    <w:rsid w:val="00672D68"/>
    <w:rsid w:val="00672F29"/>
    <w:rsid w:val="00672F6E"/>
    <w:rsid w:val="0067302C"/>
    <w:rsid w:val="006730B3"/>
    <w:rsid w:val="0067314B"/>
    <w:rsid w:val="00673179"/>
    <w:rsid w:val="006732A4"/>
    <w:rsid w:val="006732F5"/>
    <w:rsid w:val="0067330F"/>
    <w:rsid w:val="0067334E"/>
    <w:rsid w:val="00673433"/>
    <w:rsid w:val="006734A2"/>
    <w:rsid w:val="006734C3"/>
    <w:rsid w:val="006734E4"/>
    <w:rsid w:val="0067359C"/>
    <w:rsid w:val="006735BE"/>
    <w:rsid w:val="0067360A"/>
    <w:rsid w:val="00673708"/>
    <w:rsid w:val="0067370F"/>
    <w:rsid w:val="006737DE"/>
    <w:rsid w:val="0067380C"/>
    <w:rsid w:val="00673921"/>
    <w:rsid w:val="00673A75"/>
    <w:rsid w:val="00673AB5"/>
    <w:rsid w:val="00673B25"/>
    <w:rsid w:val="00673BD8"/>
    <w:rsid w:val="00673BFB"/>
    <w:rsid w:val="00673C4F"/>
    <w:rsid w:val="00673CFA"/>
    <w:rsid w:val="00673DF9"/>
    <w:rsid w:val="00673E2D"/>
    <w:rsid w:val="00673E7F"/>
    <w:rsid w:val="00673F0F"/>
    <w:rsid w:val="00673FE8"/>
    <w:rsid w:val="00674039"/>
    <w:rsid w:val="006740A4"/>
    <w:rsid w:val="006740A8"/>
    <w:rsid w:val="006741BC"/>
    <w:rsid w:val="006742AD"/>
    <w:rsid w:val="006744F7"/>
    <w:rsid w:val="00674663"/>
    <w:rsid w:val="0067470A"/>
    <w:rsid w:val="00674722"/>
    <w:rsid w:val="006747AF"/>
    <w:rsid w:val="006747CD"/>
    <w:rsid w:val="0067482E"/>
    <w:rsid w:val="0067484D"/>
    <w:rsid w:val="00674913"/>
    <w:rsid w:val="006749C9"/>
    <w:rsid w:val="00674AC5"/>
    <w:rsid w:val="00674CE9"/>
    <w:rsid w:val="00674D15"/>
    <w:rsid w:val="00674DA3"/>
    <w:rsid w:val="00674F86"/>
    <w:rsid w:val="00674FF3"/>
    <w:rsid w:val="0067504B"/>
    <w:rsid w:val="00675299"/>
    <w:rsid w:val="006752EF"/>
    <w:rsid w:val="006752F6"/>
    <w:rsid w:val="006753B6"/>
    <w:rsid w:val="006753D6"/>
    <w:rsid w:val="0067542B"/>
    <w:rsid w:val="006754CC"/>
    <w:rsid w:val="006754CF"/>
    <w:rsid w:val="00675593"/>
    <w:rsid w:val="006755B2"/>
    <w:rsid w:val="00675668"/>
    <w:rsid w:val="00675796"/>
    <w:rsid w:val="006759A3"/>
    <w:rsid w:val="006759BD"/>
    <w:rsid w:val="00675A01"/>
    <w:rsid w:val="00675B85"/>
    <w:rsid w:val="00675BAE"/>
    <w:rsid w:val="00675BB8"/>
    <w:rsid w:val="00675CE5"/>
    <w:rsid w:val="00675CF8"/>
    <w:rsid w:val="00675F38"/>
    <w:rsid w:val="00676048"/>
    <w:rsid w:val="006760F1"/>
    <w:rsid w:val="0067610B"/>
    <w:rsid w:val="006761DA"/>
    <w:rsid w:val="00676207"/>
    <w:rsid w:val="0067625F"/>
    <w:rsid w:val="0067627D"/>
    <w:rsid w:val="0067630D"/>
    <w:rsid w:val="00676382"/>
    <w:rsid w:val="006763D1"/>
    <w:rsid w:val="00676468"/>
    <w:rsid w:val="0067646D"/>
    <w:rsid w:val="0067647A"/>
    <w:rsid w:val="006764D8"/>
    <w:rsid w:val="006764EA"/>
    <w:rsid w:val="006765E7"/>
    <w:rsid w:val="00676649"/>
    <w:rsid w:val="006766E2"/>
    <w:rsid w:val="006767C4"/>
    <w:rsid w:val="0067687B"/>
    <w:rsid w:val="006768AF"/>
    <w:rsid w:val="00676A7E"/>
    <w:rsid w:val="00676B0D"/>
    <w:rsid w:val="00676D2A"/>
    <w:rsid w:val="00676DA8"/>
    <w:rsid w:val="00676E24"/>
    <w:rsid w:val="00676E3A"/>
    <w:rsid w:val="0067700A"/>
    <w:rsid w:val="00677016"/>
    <w:rsid w:val="00677046"/>
    <w:rsid w:val="0067722F"/>
    <w:rsid w:val="00677279"/>
    <w:rsid w:val="00677502"/>
    <w:rsid w:val="00677619"/>
    <w:rsid w:val="006777F3"/>
    <w:rsid w:val="0067789B"/>
    <w:rsid w:val="00677949"/>
    <w:rsid w:val="00677995"/>
    <w:rsid w:val="00677A5A"/>
    <w:rsid w:val="00677ACC"/>
    <w:rsid w:val="00677B01"/>
    <w:rsid w:val="00677B2C"/>
    <w:rsid w:val="00677B5C"/>
    <w:rsid w:val="00677B77"/>
    <w:rsid w:val="00677BB3"/>
    <w:rsid w:val="00677BF3"/>
    <w:rsid w:val="00677C36"/>
    <w:rsid w:val="00677C50"/>
    <w:rsid w:val="00677D03"/>
    <w:rsid w:val="00677E08"/>
    <w:rsid w:val="00677E8D"/>
    <w:rsid w:val="00677F83"/>
    <w:rsid w:val="00677FC2"/>
    <w:rsid w:val="00680047"/>
    <w:rsid w:val="006800C1"/>
    <w:rsid w:val="00680100"/>
    <w:rsid w:val="00680149"/>
    <w:rsid w:val="006801BB"/>
    <w:rsid w:val="0068020C"/>
    <w:rsid w:val="00680274"/>
    <w:rsid w:val="0068027A"/>
    <w:rsid w:val="0068027D"/>
    <w:rsid w:val="006802F1"/>
    <w:rsid w:val="006803A6"/>
    <w:rsid w:val="00680524"/>
    <w:rsid w:val="006805A2"/>
    <w:rsid w:val="006805B2"/>
    <w:rsid w:val="00680760"/>
    <w:rsid w:val="0068081B"/>
    <w:rsid w:val="006808DB"/>
    <w:rsid w:val="006809BF"/>
    <w:rsid w:val="00680AF7"/>
    <w:rsid w:val="00680C13"/>
    <w:rsid w:val="00680CCA"/>
    <w:rsid w:val="00680D52"/>
    <w:rsid w:val="00680DC3"/>
    <w:rsid w:val="0068103B"/>
    <w:rsid w:val="006811DC"/>
    <w:rsid w:val="00681206"/>
    <w:rsid w:val="0068121D"/>
    <w:rsid w:val="006812CA"/>
    <w:rsid w:val="006813AB"/>
    <w:rsid w:val="006813E2"/>
    <w:rsid w:val="006814CB"/>
    <w:rsid w:val="0068151B"/>
    <w:rsid w:val="0068165E"/>
    <w:rsid w:val="006816A6"/>
    <w:rsid w:val="006817FD"/>
    <w:rsid w:val="00681999"/>
    <w:rsid w:val="006819AA"/>
    <w:rsid w:val="00681A8B"/>
    <w:rsid w:val="00681C2C"/>
    <w:rsid w:val="00681C36"/>
    <w:rsid w:val="00681C9C"/>
    <w:rsid w:val="00681E41"/>
    <w:rsid w:val="00681FBD"/>
    <w:rsid w:val="00682230"/>
    <w:rsid w:val="00682302"/>
    <w:rsid w:val="0068230F"/>
    <w:rsid w:val="006823C4"/>
    <w:rsid w:val="00682414"/>
    <w:rsid w:val="00682464"/>
    <w:rsid w:val="00682503"/>
    <w:rsid w:val="006825D5"/>
    <w:rsid w:val="00682778"/>
    <w:rsid w:val="006827CC"/>
    <w:rsid w:val="00682997"/>
    <w:rsid w:val="006829D9"/>
    <w:rsid w:val="00682A1D"/>
    <w:rsid w:val="00682B01"/>
    <w:rsid w:val="00682B9F"/>
    <w:rsid w:val="00682E66"/>
    <w:rsid w:val="0068317F"/>
    <w:rsid w:val="006831A5"/>
    <w:rsid w:val="0068336D"/>
    <w:rsid w:val="006833E3"/>
    <w:rsid w:val="00683438"/>
    <w:rsid w:val="00683492"/>
    <w:rsid w:val="00683547"/>
    <w:rsid w:val="00683548"/>
    <w:rsid w:val="006835B0"/>
    <w:rsid w:val="006835E4"/>
    <w:rsid w:val="00683604"/>
    <w:rsid w:val="0068362B"/>
    <w:rsid w:val="00683645"/>
    <w:rsid w:val="006837C6"/>
    <w:rsid w:val="0068389D"/>
    <w:rsid w:val="006838F5"/>
    <w:rsid w:val="0068394C"/>
    <w:rsid w:val="00683A4E"/>
    <w:rsid w:val="00683ADE"/>
    <w:rsid w:val="00683B1B"/>
    <w:rsid w:val="00683BEE"/>
    <w:rsid w:val="00683C3C"/>
    <w:rsid w:val="00683CA1"/>
    <w:rsid w:val="00683CF7"/>
    <w:rsid w:val="006842E5"/>
    <w:rsid w:val="00684725"/>
    <w:rsid w:val="0068475D"/>
    <w:rsid w:val="00684766"/>
    <w:rsid w:val="0068479B"/>
    <w:rsid w:val="006847C6"/>
    <w:rsid w:val="00684803"/>
    <w:rsid w:val="00684968"/>
    <w:rsid w:val="00684998"/>
    <w:rsid w:val="00684A21"/>
    <w:rsid w:val="00684B19"/>
    <w:rsid w:val="00684B68"/>
    <w:rsid w:val="00684C9A"/>
    <w:rsid w:val="00684D70"/>
    <w:rsid w:val="00684D92"/>
    <w:rsid w:val="00684D99"/>
    <w:rsid w:val="00684E44"/>
    <w:rsid w:val="00684F62"/>
    <w:rsid w:val="00684FB9"/>
    <w:rsid w:val="00684FC9"/>
    <w:rsid w:val="006850CA"/>
    <w:rsid w:val="006850CD"/>
    <w:rsid w:val="006850D1"/>
    <w:rsid w:val="006850EB"/>
    <w:rsid w:val="00685373"/>
    <w:rsid w:val="00685415"/>
    <w:rsid w:val="00685445"/>
    <w:rsid w:val="00685515"/>
    <w:rsid w:val="00685560"/>
    <w:rsid w:val="006855E2"/>
    <w:rsid w:val="0068560B"/>
    <w:rsid w:val="0068569C"/>
    <w:rsid w:val="006856BF"/>
    <w:rsid w:val="00685823"/>
    <w:rsid w:val="00685881"/>
    <w:rsid w:val="00685883"/>
    <w:rsid w:val="00685907"/>
    <w:rsid w:val="00685B2A"/>
    <w:rsid w:val="00685B2B"/>
    <w:rsid w:val="00685B9F"/>
    <w:rsid w:val="00685BC7"/>
    <w:rsid w:val="00685C08"/>
    <w:rsid w:val="00685CAE"/>
    <w:rsid w:val="00685D0F"/>
    <w:rsid w:val="00685DB1"/>
    <w:rsid w:val="00685DC6"/>
    <w:rsid w:val="00685E1A"/>
    <w:rsid w:val="00685EAB"/>
    <w:rsid w:val="00685EC2"/>
    <w:rsid w:val="00685EE2"/>
    <w:rsid w:val="00686131"/>
    <w:rsid w:val="00686292"/>
    <w:rsid w:val="006862EC"/>
    <w:rsid w:val="006863C4"/>
    <w:rsid w:val="006863D6"/>
    <w:rsid w:val="006863D7"/>
    <w:rsid w:val="00686491"/>
    <w:rsid w:val="00686625"/>
    <w:rsid w:val="00686628"/>
    <w:rsid w:val="00686685"/>
    <w:rsid w:val="0068678A"/>
    <w:rsid w:val="00686798"/>
    <w:rsid w:val="0068683F"/>
    <w:rsid w:val="006868BB"/>
    <w:rsid w:val="0068698C"/>
    <w:rsid w:val="006869D3"/>
    <w:rsid w:val="00686A6C"/>
    <w:rsid w:val="00686AEC"/>
    <w:rsid w:val="00686B5B"/>
    <w:rsid w:val="00686B74"/>
    <w:rsid w:val="00686BDF"/>
    <w:rsid w:val="00686C4F"/>
    <w:rsid w:val="00686D01"/>
    <w:rsid w:val="00686DCD"/>
    <w:rsid w:val="00686E1A"/>
    <w:rsid w:val="00686E3E"/>
    <w:rsid w:val="00686EBB"/>
    <w:rsid w:val="00686F6B"/>
    <w:rsid w:val="00686F8D"/>
    <w:rsid w:val="00686FBA"/>
    <w:rsid w:val="00686FE1"/>
    <w:rsid w:val="00686FFB"/>
    <w:rsid w:val="00687087"/>
    <w:rsid w:val="0068708D"/>
    <w:rsid w:val="006870AB"/>
    <w:rsid w:val="00687133"/>
    <w:rsid w:val="006874C1"/>
    <w:rsid w:val="0068751B"/>
    <w:rsid w:val="0068754B"/>
    <w:rsid w:val="0068755F"/>
    <w:rsid w:val="00687608"/>
    <w:rsid w:val="00687668"/>
    <w:rsid w:val="0068769B"/>
    <w:rsid w:val="00687729"/>
    <w:rsid w:val="00687751"/>
    <w:rsid w:val="0068791E"/>
    <w:rsid w:val="00687A36"/>
    <w:rsid w:val="00687A57"/>
    <w:rsid w:val="00687A6C"/>
    <w:rsid w:val="00687BC9"/>
    <w:rsid w:val="00687CD2"/>
    <w:rsid w:val="00687DDA"/>
    <w:rsid w:val="00687DEB"/>
    <w:rsid w:val="00687E87"/>
    <w:rsid w:val="00687F6A"/>
    <w:rsid w:val="00687FF6"/>
    <w:rsid w:val="00690079"/>
    <w:rsid w:val="00690140"/>
    <w:rsid w:val="0069016A"/>
    <w:rsid w:val="006903A2"/>
    <w:rsid w:val="00690434"/>
    <w:rsid w:val="006904A4"/>
    <w:rsid w:val="0069057C"/>
    <w:rsid w:val="00690813"/>
    <w:rsid w:val="00690879"/>
    <w:rsid w:val="006909C8"/>
    <w:rsid w:val="006909D9"/>
    <w:rsid w:val="006909EB"/>
    <w:rsid w:val="00690B00"/>
    <w:rsid w:val="00690B26"/>
    <w:rsid w:val="00690B6C"/>
    <w:rsid w:val="00690C12"/>
    <w:rsid w:val="00690C63"/>
    <w:rsid w:val="00690C86"/>
    <w:rsid w:val="00690CFC"/>
    <w:rsid w:val="00690E3B"/>
    <w:rsid w:val="00690E5D"/>
    <w:rsid w:val="00690E73"/>
    <w:rsid w:val="00691017"/>
    <w:rsid w:val="0069103C"/>
    <w:rsid w:val="006910A8"/>
    <w:rsid w:val="0069116D"/>
    <w:rsid w:val="00691191"/>
    <w:rsid w:val="006911AD"/>
    <w:rsid w:val="006911EB"/>
    <w:rsid w:val="00691430"/>
    <w:rsid w:val="00691524"/>
    <w:rsid w:val="0069160A"/>
    <w:rsid w:val="006916BB"/>
    <w:rsid w:val="006916C3"/>
    <w:rsid w:val="006918E5"/>
    <w:rsid w:val="00691911"/>
    <w:rsid w:val="006919DF"/>
    <w:rsid w:val="00691A27"/>
    <w:rsid w:val="00691BA2"/>
    <w:rsid w:val="00691BD4"/>
    <w:rsid w:val="00691BDD"/>
    <w:rsid w:val="00691C1A"/>
    <w:rsid w:val="00691CE0"/>
    <w:rsid w:val="00691E8C"/>
    <w:rsid w:val="00691E95"/>
    <w:rsid w:val="00691F5D"/>
    <w:rsid w:val="00691F78"/>
    <w:rsid w:val="006920FB"/>
    <w:rsid w:val="006921DC"/>
    <w:rsid w:val="0069231B"/>
    <w:rsid w:val="0069231F"/>
    <w:rsid w:val="0069233B"/>
    <w:rsid w:val="006923E7"/>
    <w:rsid w:val="0069240B"/>
    <w:rsid w:val="006927F6"/>
    <w:rsid w:val="0069291C"/>
    <w:rsid w:val="00692922"/>
    <w:rsid w:val="0069294B"/>
    <w:rsid w:val="00692965"/>
    <w:rsid w:val="0069297A"/>
    <w:rsid w:val="00692A87"/>
    <w:rsid w:val="00692C02"/>
    <w:rsid w:val="00692CEC"/>
    <w:rsid w:val="00692DC6"/>
    <w:rsid w:val="00692E48"/>
    <w:rsid w:val="00692E92"/>
    <w:rsid w:val="00692F2B"/>
    <w:rsid w:val="0069321F"/>
    <w:rsid w:val="00693343"/>
    <w:rsid w:val="00693513"/>
    <w:rsid w:val="0069353D"/>
    <w:rsid w:val="006935C1"/>
    <w:rsid w:val="00693650"/>
    <w:rsid w:val="0069365A"/>
    <w:rsid w:val="00693660"/>
    <w:rsid w:val="0069382A"/>
    <w:rsid w:val="006939D7"/>
    <w:rsid w:val="00693A0C"/>
    <w:rsid w:val="00693A3B"/>
    <w:rsid w:val="00693C9B"/>
    <w:rsid w:val="00693E8B"/>
    <w:rsid w:val="00693EAA"/>
    <w:rsid w:val="00693F14"/>
    <w:rsid w:val="00693F21"/>
    <w:rsid w:val="00693F43"/>
    <w:rsid w:val="00693F6F"/>
    <w:rsid w:val="00693FF4"/>
    <w:rsid w:val="00694021"/>
    <w:rsid w:val="00694190"/>
    <w:rsid w:val="0069423A"/>
    <w:rsid w:val="006946DD"/>
    <w:rsid w:val="0069472D"/>
    <w:rsid w:val="00694740"/>
    <w:rsid w:val="00694780"/>
    <w:rsid w:val="0069482E"/>
    <w:rsid w:val="00694856"/>
    <w:rsid w:val="006948A3"/>
    <w:rsid w:val="006948A7"/>
    <w:rsid w:val="0069492C"/>
    <w:rsid w:val="006949AC"/>
    <w:rsid w:val="006949B5"/>
    <w:rsid w:val="00694A1F"/>
    <w:rsid w:val="00694A6D"/>
    <w:rsid w:val="00694B58"/>
    <w:rsid w:val="00694CF7"/>
    <w:rsid w:val="00694D4F"/>
    <w:rsid w:val="00694DF8"/>
    <w:rsid w:val="00694FBC"/>
    <w:rsid w:val="00694FBF"/>
    <w:rsid w:val="00695120"/>
    <w:rsid w:val="00695132"/>
    <w:rsid w:val="0069519C"/>
    <w:rsid w:val="00695232"/>
    <w:rsid w:val="006952BB"/>
    <w:rsid w:val="006952FB"/>
    <w:rsid w:val="006952FF"/>
    <w:rsid w:val="006953C1"/>
    <w:rsid w:val="006953CB"/>
    <w:rsid w:val="006955F5"/>
    <w:rsid w:val="0069565F"/>
    <w:rsid w:val="006956FE"/>
    <w:rsid w:val="0069570C"/>
    <w:rsid w:val="00695772"/>
    <w:rsid w:val="006959F6"/>
    <w:rsid w:val="00695A16"/>
    <w:rsid w:val="00695BDB"/>
    <w:rsid w:val="00695C1C"/>
    <w:rsid w:val="00695CDF"/>
    <w:rsid w:val="00695D4D"/>
    <w:rsid w:val="00695D7E"/>
    <w:rsid w:val="00696085"/>
    <w:rsid w:val="006960CA"/>
    <w:rsid w:val="006962B6"/>
    <w:rsid w:val="00696313"/>
    <w:rsid w:val="00696326"/>
    <w:rsid w:val="00696366"/>
    <w:rsid w:val="0069638E"/>
    <w:rsid w:val="006963AF"/>
    <w:rsid w:val="006964CB"/>
    <w:rsid w:val="00696632"/>
    <w:rsid w:val="006966E1"/>
    <w:rsid w:val="006968BB"/>
    <w:rsid w:val="006968CA"/>
    <w:rsid w:val="006969C2"/>
    <w:rsid w:val="00696A2C"/>
    <w:rsid w:val="00696A35"/>
    <w:rsid w:val="00696CF6"/>
    <w:rsid w:val="00696DDD"/>
    <w:rsid w:val="00696F08"/>
    <w:rsid w:val="00696FA5"/>
    <w:rsid w:val="00696FCB"/>
    <w:rsid w:val="00697109"/>
    <w:rsid w:val="00697111"/>
    <w:rsid w:val="00697277"/>
    <w:rsid w:val="00697311"/>
    <w:rsid w:val="0069734A"/>
    <w:rsid w:val="006973BE"/>
    <w:rsid w:val="006973F8"/>
    <w:rsid w:val="00697441"/>
    <w:rsid w:val="00697528"/>
    <w:rsid w:val="00697529"/>
    <w:rsid w:val="00697635"/>
    <w:rsid w:val="006976C5"/>
    <w:rsid w:val="00697704"/>
    <w:rsid w:val="0069777E"/>
    <w:rsid w:val="006977AF"/>
    <w:rsid w:val="0069784F"/>
    <w:rsid w:val="00697AB1"/>
    <w:rsid w:val="00697B11"/>
    <w:rsid w:val="00697B62"/>
    <w:rsid w:val="00697C02"/>
    <w:rsid w:val="00697C42"/>
    <w:rsid w:val="00697C89"/>
    <w:rsid w:val="00697E52"/>
    <w:rsid w:val="00697EA4"/>
    <w:rsid w:val="00697F7C"/>
    <w:rsid w:val="006A017C"/>
    <w:rsid w:val="006A0230"/>
    <w:rsid w:val="006A02ED"/>
    <w:rsid w:val="006A034A"/>
    <w:rsid w:val="006A038F"/>
    <w:rsid w:val="006A0445"/>
    <w:rsid w:val="006A0600"/>
    <w:rsid w:val="006A07CD"/>
    <w:rsid w:val="006A0834"/>
    <w:rsid w:val="006A0838"/>
    <w:rsid w:val="006A08BA"/>
    <w:rsid w:val="006A08BE"/>
    <w:rsid w:val="006A09F7"/>
    <w:rsid w:val="006A0B41"/>
    <w:rsid w:val="006A0B5E"/>
    <w:rsid w:val="006A0B8F"/>
    <w:rsid w:val="006A0C09"/>
    <w:rsid w:val="006A0D45"/>
    <w:rsid w:val="006A0D5D"/>
    <w:rsid w:val="006A0DF2"/>
    <w:rsid w:val="006A0E3C"/>
    <w:rsid w:val="006A0F3F"/>
    <w:rsid w:val="006A104C"/>
    <w:rsid w:val="006A1139"/>
    <w:rsid w:val="006A11EC"/>
    <w:rsid w:val="006A120D"/>
    <w:rsid w:val="006A12B8"/>
    <w:rsid w:val="006A12FB"/>
    <w:rsid w:val="006A1314"/>
    <w:rsid w:val="006A1357"/>
    <w:rsid w:val="006A1421"/>
    <w:rsid w:val="006A1471"/>
    <w:rsid w:val="006A1483"/>
    <w:rsid w:val="006A156F"/>
    <w:rsid w:val="006A15C5"/>
    <w:rsid w:val="006A164C"/>
    <w:rsid w:val="006A16A2"/>
    <w:rsid w:val="006A1733"/>
    <w:rsid w:val="006A177F"/>
    <w:rsid w:val="006A17ED"/>
    <w:rsid w:val="006A1867"/>
    <w:rsid w:val="006A18A0"/>
    <w:rsid w:val="006A18A1"/>
    <w:rsid w:val="006A18B5"/>
    <w:rsid w:val="006A19A1"/>
    <w:rsid w:val="006A19E7"/>
    <w:rsid w:val="006A1A4D"/>
    <w:rsid w:val="006A1A9D"/>
    <w:rsid w:val="006A1B47"/>
    <w:rsid w:val="006A1CB1"/>
    <w:rsid w:val="006A1CD5"/>
    <w:rsid w:val="006A1E58"/>
    <w:rsid w:val="006A1E6A"/>
    <w:rsid w:val="006A1EC8"/>
    <w:rsid w:val="006A1EF7"/>
    <w:rsid w:val="006A1FAB"/>
    <w:rsid w:val="006A1FE0"/>
    <w:rsid w:val="006A2084"/>
    <w:rsid w:val="006A217E"/>
    <w:rsid w:val="006A21F5"/>
    <w:rsid w:val="006A221B"/>
    <w:rsid w:val="006A2370"/>
    <w:rsid w:val="006A2536"/>
    <w:rsid w:val="006A255C"/>
    <w:rsid w:val="006A2593"/>
    <w:rsid w:val="006A28D5"/>
    <w:rsid w:val="006A2ABE"/>
    <w:rsid w:val="006A2BF1"/>
    <w:rsid w:val="006A2C35"/>
    <w:rsid w:val="006A2DF7"/>
    <w:rsid w:val="006A2E2C"/>
    <w:rsid w:val="006A2E5B"/>
    <w:rsid w:val="006A2E70"/>
    <w:rsid w:val="006A2EF9"/>
    <w:rsid w:val="006A3154"/>
    <w:rsid w:val="006A328B"/>
    <w:rsid w:val="006A32F4"/>
    <w:rsid w:val="006A339A"/>
    <w:rsid w:val="006A33C9"/>
    <w:rsid w:val="006A33F3"/>
    <w:rsid w:val="006A35AE"/>
    <w:rsid w:val="006A35E0"/>
    <w:rsid w:val="006A3653"/>
    <w:rsid w:val="006A365B"/>
    <w:rsid w:val="006A3740"/>
    <w:rsid w:val="006A3932"/>
    <w:rsid w:val="006A3ABF"/>
    <w:rsid w:val="006A3B8F"/>
    <w:rsid w:val="006A3C64"/>
    <w:rsid w:val="006A3CBE"/>
    <w:rsid w:val="006A3D96"/>
    <w:rsid w:val="006A3DE2"/>
    <w:rsid w:val="006A3E79"/>
    <w:rsid w:val="006A3E7E"/>
    <w:rsid w:val="006A3E84"/>
    <w:rsid w:val="006A3EF6"/>
    <w:rsid w:val="006A3F6D"/>
    <w:rsid w:val="006A3F70"/>
    <w:rsid w:val="006A40CB"/>
    <w:rsid w:val="006A4148"/>
    <w:rsid w:val="006A430B"/>
    <w:rsid w:val="006A4381"/>
    <w:rsid w:val="006A43A8"/>
    <w:rsid w:val="006A449E"/>
    <w:rsid w:val="006A461A"/>
    <w:rsid w:val="006A4722"/>
    <w:rsid w:val="006A47AA"/>
    <w:rsid w:val="006A47B0"/>
    <w:rsid w:val="006A47EC"/>
    <w:rsid w:val="006A4865"/>
    <w:rsid w:val="006A4921"/>
    <w:rsid w:val="006A492C"/>
    <w:rsid w:val="006A4990"/>
    <w:rsid w:val="006A4A3D"/>
    <w:rsid w:val="006A4AFB"/>
    <w:rsid w:val="006A4DBB"/>
    <w:rsid w:val="006A4E35"/>
    <w:rsid w:val="006A4E5E"/>
    <w:rsid w:val="006A4E72"/>
    <w:rsid w:val="006A4EDF"/>
    <w:rsid w:val="006A4F56"/>
    <w:rsid w:val="006A4F6F"/>
    <w:rsid w:val="006A510C"/>
    <w:rsid w:val="006A5117"/>
    <w:rsid w:val="006A5140"/>
    <w:rsid w:val="006A5197"/>
    <w:rsid w:val="006A5303"/>
    <w:rsid w:val="006A53FB"/>
    <w:rsid w:val="006A5423"/>
    <w:rsid w:val="006A54B7"/>
    <w:rsid w:val="006A54C1"/>
    <w:rsid w:val="006A571D"/>
    <w:rsid w:val="006A57AA"/>
    <w:rsid w:val="006A57E3"/>
    <w:rsid w:val="006A5804"/>
    <w:rsid w:val="006A5857"/>
    <w:rsid w:val="006A5A8D"/>
    <w:rsid w:val="006A5B2D"/>
    <w:rsid w:val="006A5B31"/>
    <w:rsid w:val="006A5DC4"/>
    <w:rsid w:val="006A5DF1"/>
    <w:rsid w:val="006A5E0F"/>
    <w:rsid w:val="006A5E6D"/>
    <w:rsid w:val="006A5EF4"/>
    <w:rsid w:val="006A5FEE"/>
    <w:rsid w:val="006A6096"/>
    <w:rsid w:val="006A60CC"/>
    <w:rsid w:val="006A6279"/>
    <w:rsid w:val="006A62F1"/>
    <w:rsid w:val="006A632C"/>
    <w:rsid w:val="006A6433"/>
    <w:rsid w:val="006A6435"/>
    <w:rsid w:val="006A6481"/>
    <w:rsid w:val="006A662C"/>
    <w:rsid w:val="006A66B6"/>
    <w:rsid w:val="006A689B"/>
    <w:rsid w:val="006A68D1"/>
    <w:rsid w:val="006A68F1"/>
    <w:rsid w:val="006A6AEF"/>
    <w:rsid w:val="006A6B33"/>
    <w:rsid w:val="006A6C1B"/>
    <w:rsid w:val="006A6C23"/>
    <w:rsid w:val="006A6D20"/>
    <w:rsid w:val="006A6DAC"/>
    <w:rsid w:val="006A6E0F"/>
    <w:rsid w:val="006A6E44"/>
    <w:rsid w:val="006A7041"/>
    <w:rsid w:val="006A7658"/>
    <w:rsid w:val="006A76A0"/>
    <w:rsid w:val="006A7A58"/>
    <w:rsid w:val="006A7A86"/>
    <w:rsid w:val="006A7B68"/>
    <w:rsid w:val="006A7BAE"/>
    <w:rsid w:val="006A7CDE"/>
    <w:rsid w:val="006A7D39"/>
    <w:rsid w:val="006A7DA4"/>
    <w:rsid w:val="006A7DAA"/>
    <w:rsid w:val="006A7E16"/>
    <w:rsid w:val="006A7FCA"/>
    <w:rsid w:val="006A7FF5"/>
    <w:rsid w:val="006B0002"/>
    <w:rsid w:val="006B001E"/>
    <w:rsid w:val="006B00C0"/>
    <w:rsid w:val="006B00CC"/>
    <w:rsid w:val="006B01A3"/>
    <w:rsid w:val="006B0239"/>
    <w:rsid w:val="006B032D"/>
    <w:rsid w:val="006B0399"/>
    <w:rsid w:val="006B03E6"/>
    <w:rsid w:val="006B0425"/>
    <w:rsid w:val="006B04E8"/>
    <w:rsid w:val="006B04EB"/>
    <w:rsid w:val="006B05E3"/>
    <w:rsid w:val="006B068C"/>
    <w:rsid w:val="006B0699"/>
    <w:rsid w:val="006B069F"/>
    <w:rsid w:val="006B08F3"/>
    <w:rsid w:val="006B0935"/>
    <w:rsid w:val="006B09E0"/>
    <w:rsid w:val="006B0A34"/>
    <w:rsid w:val="006B0B7A"/>
    <w:rsid w:val="006B0BF2"/>
    <w:rsid w:val="006B0D5C"/>
    <w:rsid w:val="006B0E2C"/>
    <w:rsid w:val="006B0EA5"/>
    <w:rsid w:val="006B0EDA"/>
    <w:rsid w:val="006B0FF8"/>
    <w:rsid w:val="006B104C"/>
    <w:rsid w:val="006B1084"/>
    <w:rsid w:val="006B10D0"/>
    <w:rsid w:val="006B1130"/>
    <w:rsid w:val="006B11F3"/>
    <w:rsid w:val="006B1245"/>
    <w:rsid w:val="006B12D8"/>
    <w:rsid w:val="006B12D9"/>
    <w:rsid w:val="006B134F"/>
    <w:rsid w:val="006B139D"/>
    <w:rsid w:val="006B13FB"/>
    <w:rsid w:val="006B14F0"/>
    <w:rsid w:val="006B15D1"/>
    <w:rsid w:val="006B1630"/>
    <w:rsid w:val="006B1647"/>
    <w:rsid w:val="006B173F"/>
    <w:rsid w:val="006B1843"/>
    <w:rsid w:val="006B1925"/>
    <w:rsid w:val="006B192A"/>
    <w:rsid w:val="006B1979"/>
    <w:rsid w:val="006B1A30"/>
    <w:rsid w:val="006B1A4F"/>
    <w:rsid w:val="006B1BA7"/>
    <w:rsid w:val="006B1BEA"/>
    <w:rsid w:val="006B1C81"/>
    <w:rsid w:val="006B1CD2"/>
    <w:rsid w:val="006B1D04"/>
    <w:rsid w:val="006B1D18"/>
    <w:rsid w:val="006B1DE8"/>
    <w:rsid w:val="006B1E04"/>
    <w:rsid w:val="006B1E77"/>
    <w:rsid w:val="006B20C4"/>
    <w:rsid w:val="006B2206"/>
    <w:rsid w:val="006B2380"/>
    <w:rsid w:val="006B23D1"/>
    <w:rsid w:val="006B2411"/>
    <w:rsid w:val="006B247F"/>
    <w:rsid w:val="006B24F1"/>
    <w:rsid w:val="006B26DF"/>
    <w:rsid w:val="006B2838"/>
    <w:rsid w:val="006B2861"/>
    <w:rsid w:val="006B289C"/>
    <w:rsid w:val="006B28A8"/>
    <w:rsid w:val="006B29A9"/>
    <w:rsid w:val="006B2B4C"/>
    <w:rsid w:val="006B2B7E"/>
    <w:rsid w:val="006B2CD6"/>
    <w:rsid w:val="006B2D40"/>
    <w:rsid w:val="006B2E39"/>
    <w:rsid w:val="006B2E8E"/>
    <w:rsid w:val="006B2EA5"/>
    <w:rsid w:val="006B2F25"/>
    <w:rsid w:val="006B2F46"/>
    <w:rsid w:val="006B2F47"/>
    <w:rsid w:val="006B2F85"/>
    <w:rsid w:val="006B2F88"/>
    <w:rsid w:val="006B2FCB"/>
    <w:rsid w:val="006B3051"/>
    <w:rsid w:val="006B3162"/>
    <w:rsid w:val="006B319E"/>
    <w:rsid w:val="006B31A8"/>
    <w:rsid w:val="006B31B5"/>
    <w:rsid w:val="006B31D0"/>
    <w:rsid w:val="006B31E1"/>
    <w:rsid w:val="006B324A"/>
    <w:rsid w:val="006B3274"/>
    <w:rsid w:val="006B32FD"/>
    <w:rsid w:val="006B3405"/>
    <w:rsid w:val="006B3462"/>
    <w:rsid w:val="006B34B3"/>
    <w:rsid w:val="006B3542"/>
    <w:rsid w:val="006B3694"/>
    <w:rsid w:val="006B36AE"/>
    <w:rsid w:val="006B36F2"/>
    <w:rsid w:val="006B3784"/>
    <w:rsid w:val="006B37FC"/>
    <w:rsid w:val="006B3995"/>
    <w:rsid w:val="006B39B5"/>
    <w:rsid w:val="006B3A5F"/>
    <w:rsid w:val="006B3ADC"/>
    <w:rsid w:val="006B3AF6"/>
    <w:rsid w:val="006B3B09"/>
    <w:rsid w:val="006B3C5D"/>
    <w:rsid w:val="006B3D38"/>
    <w:rsid w:val="006B3D8A"/>
    <w:rsid w:val="006B3EB0"/>
    <w:rsid w:val="006B3F46"/>
    <w:rsid w:val="006B40E3"/>
    <w:rsid w:val="006B42C9"/>
    <w:rsid w:val="006B4344"/>
    <w:rsid w:val="006B4481"/>
    <w:rsid w:val="006B4562"/>
    <w:rsid w:val="006B4568"/>
    <w:rsid w:val="006B459D"/>
    <w:rsid w:val="006B45F9"/>
    <w:rsid w:val="006B4666"/>
    <w:rsid w:val="006B46D4"/>
    <w:rsid w:val="006B46DA"/>
    <w:rsid w:val="006B46F7"/>
    <w:rsid w:val="006B478A"/>
    <w:rsid w:val="006B4900"/>
    <w:rsid w:val="006B4980"/>
    <w:rsid w:val="006B4A23"/>
    <w:rsid w:val="006B4B8B"/>
    <w:rsid w:val="006B4BEB"/>
    <w:rsid w:val="006B4C3E"/>
    <w:rsid w:val="006B4C88"/>
    <w:rsid w:val="006B4DFA"/>
    <w:rsid w:val="006B4E5C"/>
    <w:rsid w:val="006B4FBE"/>
    <w:rsid w:val="006B4FD6"/>
    <w:rsid w:val="006B4FE2"/>
    <w:rsid w:val="006B4FE6"/>
    <w:rsid w:val="006B51FB"/>
    <w:rsid w:val="006B543C"/>
    <w:rsid w:val="006B550E"/>
    <w:rsid w:val="006B5510"/>
    <w:rsid w:val="006B554B"/>
    <w:rsid w:val="006B554D"/>
    <w:rsid w:val="006B56B0"/>
    <w:rsid w:val="006B5817"/>
    <w:rsid w:val="006B5826"/>
    <w:rsid w:val="006B5912"/>
    <w:rsid w:val="006B5A2C"/>
    <w:rsid w:val="006B5C3B"/>
    <w:rsid w:val="006B5C61"/>
    <w:rsid w:val="006B5DD9"/>
    <w:rsid w:val="006B5E6D"/>
    <w:rsid w:val="006B5EC9"/>
    <w:rsid w:val="006B5F32"/>
    <w:rsid w:val="006B5FEE"/>
    <w:rsid w:val="006B6000"/>
    <w:rsid w:val="006B6292"/>
    <w:rsid w:val="006B62D0"/>
    <w:rsid w:val="006B6328"/>
    <w:rsid w:val="006B63B9"/>
    <w:rsid w:val="006B63C9"/>
    <w:rsid w:val="006B642B"/>
    <w:rsid w:val="006B645D"/>
    <w:rsid w:val="006B658D"/>
    <w:rsid w:val="006B66F7"/>
    <w:rsid w:val="006B682B"/>
    <w:rsid w:val="006B6847"/>
    <w:rsid w:val="006B6AEF"/>
    <w:rsid w:val="006B6B2A"/>
    <w:rsid w:val="006B6D06"/>
    <w:rsid w:val="006B6D33"/>
    <w:rsid w:val="006B6E18"/>
    <w:rsid w:val="006B6EB3"/>
    <w:rsid w:val="006B6F84"/>
    <w:rsid w:val="006B7022"/>
    <w:rsid w:val="006B70D2"/>
    <w:rsid w:val="006B723A"/>
    <w:rsid w:val="006B7361"/>
    <w:rsid w:val="006B73E5"/>
    <w:rsid w:val="006B7453"/>
    <w:rsid w:val="006B74BA"/>
    <w:rsid w:val="006B74D2"/>
    <w:rsid w:val="006B7511"/>
    <w:rsid w:val="006B765F"/>
    <w:rsid w:val="006B76C8"/>
    <w:rsid w:val="006B76DC"/>
    <w:rsid w:val="006B7727"/>
    <w:rsid w:val="006B77AE"/>
    <w:rsid w:val="006B77D4"/>
    <w:rsid w:val="006B794C"/>
    <w:rsid w:val="006B797A"/>
    <w:rsid w:val="006B79DF"/>
    <w:rsid w:val="006B79E5"/>
    <w:rsid w:val="006B7B74"/>
    <w:rsid w:val="006B7C0C"/>
    <w:rsid w:val="006B7C89"/>
    <w:rsid w:val="006B7D1C"/>
    <w:rsid w:val="006B7E11"/>
    <w:rsid w:val="006B7F3F"/>
    <w:rsid w:val="006C006E"/>
    <w:rsid w:val="006C0094"/>
    <w:rsid w:val="006C025A"/>
    <w:rsid w:val="006C025B"/>
    <w:rsid w:val="006C02B9"/>
    <w:rsid w:val="006C02FD"/>
    <w:rsid w:val="006C035A"/>
    <w:rsid w:val="006C04E4"/>
    <w:rsid w:val="006C0561"/>
    <w:rsid w:val="006C058C"/>
    <w:rsid w:val="006C06D3"/>
    <w:rsid w:val="006C080C"/>
    <w:rsid w:val="006C090E"/>
    <w:rsid w:val="006C0BF8"/>
    <w:rsid w:val="006C0C21"/>
    <w:rsid w:val="006C0E28"/>
    <w:rsid w:val="006C0E57"/>
    <w:rsid w:val="006C0E87"/>
    <w:rsid w:val="006C0EED"/>
    <w:rsid w:val="006C0F3B"/>
    <w:rsid w:val="006C0F9A"/>
    <w:rsid w:val="006C1001"/>
    <w:rsid w:val="006C1095"/>
    <w:rsid w:val="006C10FC"/>
    <w:rsid w:val="006C116F"/>
    <w:rsid w:val="006C12C1"/>
    <w:rsid w:val="006C12ED"/>
    <w:rsid w:val="006C1312"/>
    <w:rsid w:val="006C1331"/>
    <w:rsid w:val="006C1371"/>
    <w:rsid w:val="006C1481"/>
    <w:rsid w:val="006C14AC"/>
    <w:rsid w:val="006C165F"/>
    <w:rsid w:val="006C16A9"/>
    <w:rsid w:val="006C17D1"/>
    <w:rsid w:val="006C184E"/>
    <w:rsid w:val="006C1908"/>
    <w:rsid w:val="006C1AAF"/>
    <w:rsid w:val="006C1ADA"/>
    <w:rsid w:val="006C1BED"/>
    <w:rsid w:val="006C1C4E"/>
    <w:rsid w:val="006C1C68"/>
    <w:rsid w:val="006C1C89"/>
    <w:rsid w:val="006C1C9D"/>
    <w:rsid w:val="006C1D12"/>
    <w:rsid w:val="006C1D28"/>
    <w:rsid w:val="006C1DA2"/>
    <w:rsid w:val="006C1E05"/>
    <w:rsid w:val="006C20F1"/>
    <w:rsid w:val="006C2425"/>
    <w:rsid w:val="006C2445"/>
    <w:rsid w:val="006C2533"/>
    <w:rsid w:val="006C2569"/>
    <w:rsid w:val="006C2584"/>
    <w:rsid w:val="006C2734"/>
    <w:rsid w:val="006C275F"/>
    <w:rsid w:val="006C2823"/>
    <w:rsid w:val="006C290E"/>
    <w:rsid w:val="006C29A0"/>
    <w:rsid w:val="006C29E3"/>
    <w:rsid w:val="006C2C02"/>
    <w:rsid w:val="006C2C5A"/>
    <w:rsid w:val="006C2D50"/>
    <w:rsid w:val="006C2D88"/>
    <w:rsid w:val="006C2ED6"/>
    <w:rsid w:val="006C2F2E"/>
    <w:rsid w:val="006C2F4B"/>
    <w:rsid w:val="006C2FC9"/>
    <w:rsid w:val="006C2FE9"/>
    <w:rsid w:val="006C3051"/>
    <w:rsid w:val="006C30D7"/>
    <w:rsid w:val="006C311F"/>
    <w:rsid w:val="006C3184"/>
    <w:rsid w:val="006C31E8"/>
    <w:rsid w:val="006C3237"/>
    <w:rsid w:val="006C33EE"/>
    <w:rsid w:val="006C3424"/>
    <w:rsid w:val="006C3536"/>
    <w:rsid w:val="006C3570"/>
    <w:rsid w:val="006C35FF"/>
    <w:rsid w:val="006C3616"/>
    <w:rsid w:val="006C363C"/>
    <w:rsid w:val="006C37A2"/>
    <w:rsid w:val="006C37E7"/>
    <w:rsid w:val="006C38D2"/>
    <w:rsid w:val="006C39E2"/>
    <w:rsid w:val="006C3ABC"/>
    <w:rsid w:val="006C3ABD"/>
    <w:rsid w:val="006C3B0C"/>
    <w:rsid w:val="006C3D19"/>
    <w:rsid w:val="006C3D6D"/>
    <w:rsid w:val="006C3E82"/>
    <w:rsid w:val="006C3F48"/>
    <w:rsid w:val="006C4166"/>
    <w:rsid w:val="006C4259"/>
    <w:rsid w:val="006C4370"/>
    <w:rsid w:val="006C4432"/>
    <w:rsid w:val="006C447A"/>
    <w:rsid w:val="006C4484"/>
    <w:rsid w:val="006C4490"/>
    <w:rsid w:val="006C44F8"/>
    <w:rsid w:val="006C44FC"/>
    <w:rsid w:val="006C451A"/>
    <w:rsid w:val="006C4659"/>
    <w:rsid w:val="006C468B"/>
    <w:rsid w:val="006C480F"/>
    <w:rsid w:val="006C4868"/>
    <w:rsid w:val="006C4878"/>
    <w:rsid w:val="006C498F"/>
    <w:rsid w:val="006C49A0"/>
    <w:rsid w:val="006C4AC8"/>
    <w:rsid w:val="006C4B2B"/>
    <w:rsid w:val="006C4C25"/>
    <w:rsid w:val="006C4C31"/>
    <w:rsid w:val="006C4CB9"/>
    <w:rsid w:val="006C4D05"/>
    <w:rsid w:val="006C4D2B"/>
    <w:rsid w:val="006C4FE2"/>
    <w:rsid w:val="006C5003"/>
    <w:rsid w:val="006C525C"/>
    <w:rsid w:val="006C53C1"/>
    <w:rsid w:val="006C58C8"/>
    <w:rsid w:val="006C5A3F"/>
    <w:rsid w:val="006C5A4E"/>
    <w:rsid w:val="006C5A78"/>
    <w:rsid w:val="006C5AA8"/>
    <w:rsid w:val="006C5B58"/>
    <w:rsid w:val="006C5BAF"/>
    <w:rsid w:val="006C5BB8"/>
    <w:rsid w:val="006C5BD9"/>
    <w:rsid w:val="006C5BDC"/>
    <w:rsid w:val="006C5BEA"/>
    <w:rsid w:val="006C5C36"/>
    <w:rsid w:val="006C5CE6"/>
    <w:rsid w:val="006C5D60"/>
    <w:rsid w:val="006C5D9F"/>
    <w:rsid w:val="006C5E6A"/>
    <w:rsid w:val="006C5F0F"/>
    <w:rsid w:val="006C5F46"/>
    <w:rsid w:val="006C5F5E"/>
    <w:rsid w:val="006C5F61"/>
    <w:rsid w:val="006C5FC6"/>
    <w:rsid w:val="006C6052"/>
    <w:rsid w:val="006C6088"/>
    <w:rsid w:val="006C60A0"/>
    <w:rsid w:val="006C60D3"/>
    <w:rsid w:val="006C6120"/>
    <w:rsid w:val="006C6142"/>
    <w:rsid w:val="006C6294"/>
    <w:rsid w:val="006C6370"/>
    <w:rsid w:val="006C64A1"/>
    <w:rsid w:val="006C651C"/>
    <w:rsid w:val="006C65A9"/>
    <w:rsid w:val="006C6633"/>
    <w:rsid w:val="006C67C5"/>
    <w:rsid w:val="006C67FA"/>
    <w:rsid w:val="006C6814"/>
    <w:rsid w:val="006C6A14"/>
    <w:rsid w:val="006C6A7F"/>
    <w:rsid w:val="006C6B12"/>
    <w:rsid w:val="006C6BD4"/>
    <w:rsid w:val="006C6BDE"/>
    <w:rsid w:val="006C6C44"/>
    <w:rsid w:val="006C6CC3"/>
    <w:rsid w:val="006C6CFA"/>
    <w:rsid w:val="006C6ECB"/>
    <w:rsid w:val="006C6F26"/>
    <w:rsid w:val="006C6F27"/>
    <w:rsid w:val="006C6F40"/>
    <w:rsid w:val="006C6F54"/>
    <w:rsid w:val="006C7000"/>
    <w:rsid w:val="006C70D8"/>
    <w:rsid w:val="006C716C"/>
    <w:rsid w:val="006C71B9"/>
    <w:rsid w:val="006C71EB"/>
    <w:rsid w:val="006C724D"/>
    <w:rsid w:val="006C7259"/>
    <w:rsid w:val="006C727D"/>
    <w:rsid w:val="006C72B2"/>
    <w:rsid w:val="006C7373"/>
    <w:rsid w:val="006C7395"/>
    <w:rsid w:val="006C73D4"/>
    <w:rsid w:val="006C742E"/>
    <w:rsid w:val="006C753E"/>
    <w:rsid w:val="006C759E"/>
    <w:rsid w:val="006C75A5"/>
    <w:rsid w:val="006C75F2"/>
    <w:rsid w:val="006C76BF"/>
    <w:rsid w:val="006C7757"/>
    <w:rsid w:val="006C7797"/>
    <w:rsid w:val="006C7809"/>
    <w:rsid w:val="006C78FF"/>
    <w:rsid w:val="006C7913"/>
    <w:rsid w:val="006C796B"/>
    <w:rsid w:val="006C798A"/>
    <w:rsid w:val="006C79D3"/>
    <w:rsid w:val="006C7A49"/>
    <w:rsid w:val="006C7AE1"/>
    <w:rsid w:val="006C7BFC"/>
    <w:rsid w:val="006C7C19"/>
    <w:rsid w:val="006C7C1A"/>
    <w:rsid w:val="006C7C31"/>
    <w:rsid w:val="006C7CFC"/>
    <w:rsid w:val="006C7DA9"/>
    <w:rsid w:val="006C7DFD"/>
    <w:rsid w:val="006D0048"/>
    <w:rsid w:val="006D00A3"/>
    <w:rsid w:val="006D0152"/>
    <w:rsid w:val="006D03B7"/>
    <w:rsid w:val="006D03C7"/>
    <w:rsid w:val="006D048A"/>
    <w:rsid w:val="006D0629"/>
    <w:rsid w:val="006D069D"/>
    <w:rsid w:val="006D06CD"/>
    <w:rsid w:val="006D0711"/>
    <w:rsid w:val="006D08B6"/>
    <w:rsid w:val="006D0981"/>
    <w:rsid w:val="006D0AEA"/>
    <w:rsid w:val="006D0D62"/>
    <w:rsid w:val="006D0F1E"/>
    <w:rsid w:val="006D0F98"/>
    <w:rsid w:val="006D103B"/>
    <w:rsid w:val="006D1163"/>
    <w:rsid w:val="006D11D3"/>
    <w:rsid w:val="006D1233"/>
    <w:rsid w:val="006D1297"/>
    <w:rsid w:val="006D12C3"/>
    <w:rsid w:val="006D132A"/>
    <w:rsid w:val="006D1360"/>
    <w:rsid w:val="006D14D2"/>
    <w:rsid w:val="006D14E7"/>
    <w:rsid w:val="006D14E8"/>
    <w:rsid w:val="006D1578"/>
    <w:rsid w:val="006D1624"/>
    <w:rsid w:val="006D16E6"/>
    <w:rsid w:val="006D1779"/>
    <w:rsid w:val="006D17CB"/>
    <w:rsid w:val="006D17F2"/>
    <w:rsid w:val="006D1900"/>
    <w:rsid w:val="006D1A67"/>
    <w:rsid w:val="006D1AD4"/>
    <w:rsid w:val="006D1B1D"/>
    <w:rsid w:val="006D1B2E"/>
    <w:rsid w:val="006D1BD2"/>
    <w:rsid w:val="006D1C6B"/>
    <w:rsid w:val="006D1E13"/>
    <w:rsid w:val="006D1E1D"/>
    <w:rsid w:val="006D1E4F"/>
    <w:rsid w:val="006D1F65"/>
    <w:rsid w:val="006D2033"/>
    <w:rsid w:val="006D209C"/>
    <w:rsid w:val="006D2169"/>
    <w:rsid w:val="006D2177"/>
    <w:rsid w:val="006D221C"/>
    <w:rsid w:val="006D232C"/>
    <w:rsid w:val="006D239F"/>
    <w:rsid w:val="006D241C"/>
    <w:rsid w:val="006D254B"/>
    <w:rsid w:val="006D2607"/>
    <w:rsid w:val="006D26B2"/>
    <w:rsid w:val="006D27DD"/>
    <w:rsid w:val="006D2848"/>
    <w:rsid w:val="006D287E"/>
    <w:rsid w:val="006D2992"/>
    <w:rsid w:val="006D2A3C"/>
    <w:rsid w:val="006D2AD1"/>
    <w:rsid w:val="006D2B01"/>
    <w:rsid w:val="006D2B24"/>
    <w:rsid w:val="006D2B97"/>
    <w:rsid w:val="006D2C08"/>
    <w:rsid w:val="006D2C1B"/>
    <w:rsid w:val="006D2C4B"/>
    <w:rsid w:val="006D2C7D"/>
    <w:rsid w:val="006D2D68"/>
    <w:rsid w:val="006D2DE1"/>
    <w:rsid w:val="006D2E31"/>
    <w:rsid w:val="006D2E60"/>
    <w:rsid w:val="006D2E96"/>
    <w:rsid w:val="006D2F27"/>
    <w:rsid w:val="006D2F4B"/>
    <w:rsid w:val="006D2FD7"/>
    <w:rsid w:val="006D3069"/>
    <w:rsid w:val="006D317C"/>
    <w:rsid w:val="006D31EF"/>
    <w:rsid w:val="006D353C"/>
    <w:rsid w:val="006D35DE"/>
    <w:rsid w:val="006D36E7"/>
    <w:rsid w:val="006D3A3D"/>
    <w:rsid w:val="006D3AC0"/>
    <w:rsid w:val="006D3B03"/>
    <w:rsid w:val="006D3DB5"/>
    <w:rsid w:val="006D3F0F"/>
    <w:rsid w:val="006D3F3C"/>
    <w:rsid w:val="006D41B6"/>
    <w:rsid w:val="006D41E7"/>
    <w:rsid w:val="006D4293"/>
    <w:rsid w:val="006D42E0"/>
    <w:rsid w:val="006D4448"/>
    <w:rsid w:val="006D4478"/>
    <w:rsid w:val="006D44C7"/>
    <w:rsid w:val="006D44E1"/>
    <w:rsid w:val="006D45A5"/>
    <w:rsid w:val="006D45C3"/>
    <w:rsid w:val="006D466D"/>
    <w:rsid w:val="006D470F"/>
    <w:rsid w:val="006D4743"/>
    <w:rsid w:val="006D477C"/>
    <w:rsid w:val="006D48E0"/>
    <w:rsid w:val="006D49B9"/>
    <w:rsid w:val="006D49E0"/>
    <w:rsid w:val="006D49E5"/>
    <w:rsid w:val="006D49FB"/>
    <w:rsid w:val="006D4AB1"/>
    <w:rsid w:val="006D4AD7"/>
    <w:rsid w:val="006D4B13"/>
    <w:rsid w:val="006D4B4F"/>
    <w:rsid w:val="006D4E6E"/>
    <w:rsid w:val="006D4E7B"/>
    <w:rsid w:val="006D4EDE"/>
    <w:rsid w:val="006D4FA7"/>
    <w:rsid w:val="006D509E"/>
    <w:rsid w:val="006D5142"/>
    <w:rsid w:val="006D51C9"/>
    <w:rsid w:val="006D526E"/>
    <w:rsid w:val="006D5306"/>
    <w:rsid w:val="006D53F9"/>
    <w:rsid w:val="006D5504"/>
    <w:rsid w:val="006D5678"/>
    <w:rsid w:val="006D5704"/>
    <w:rsid w:val="006D581F"/>
    <w:rsid w:val="006D58D4"/>
    <w:rsid w:val="006D5950"/>
    <w:rsid w:val="006D5970"/>
    <w:rsid w:val="006D5A4F"/>
    <w:rsid w:val="006D5ADF"/>
    <w:rsid w:val="006D5C38"/>
    <w:rsid w:val="006D5C71"/>
    <w:rsid w:val="006D5E74"/>
    <w:rsid w:val="006D5EE8"/>
    <w:rsid w:val="006D60D0"/>
    <w:rsid w:val="006D6155"/>
    <w:rsid w:val="006D62BE"/>
    <w:rsid w:val="006D63BC"/>
    <w:rsid w:val="006D63F6"/>
    <w:rsid w:val="006D64D8"/>
    <w:rsid w:val="006D6588"/>
    <w:rsid w:val="006D65F1"/>
    <w:rsid w:val="006D664E"/>
    <w:rsid w:val="006D6685"/>
    <w:rsid w:val="006D66AC"/>
    <w:rsid w:val="006D66F7"/>
    <w:rsid w:val="006D68C9"/>
    <w:rsid w:val="006D6AFF"/>
    <w:rsid w:val="006D6B64"/>
    <w:rsid w:val="006D6C6B"/>
    <w:rsid w:val="006D6CDD"/>
    <w:rsid w:val="006D6CED"/>
    <w:rsid w:val="006D6DB8"/>
    <w:rsid w:val="006D6E39"/>
    <w:rsid w:val="006D6F7D"/>
    <w:rsid w:val="006D6F94"/>
    <w:rsid w:val="006D6FA5"/>
    <w:rsid w:val="006D6FD6"/>
    <w:rsid w:val="006D6FE7"/>
    <w:rsid w:val="006D701A"/>
    <w:rsid w:val="006D7064"/>
    <w:rsid w:val="006D706A"/>
    <w:rsid w:val="006D71BC"/>
    <w:rsid w:val="006D7298"/>
    <w:rsid w:val="006D7342"/>
    <w:rsid w:val="006D7402"/>
    <w:rsid w:val="006D745B"/>
    <w:rsid w:val="006D74C8"/>
    <w:rsid w:val="006D7610"/>
    <w:rsid w:val="006D7647"/>
    <w:rsid w:val="006D7992"/>
    <w:rsid w:val="006D7A76"/>
    <w:rsid w:val="006D7D2F"/>
    <w:rsid w:val="006D7DB0"/>
    <w:rsid w:val="006D7E3B"/>
    <w:rsid w:val="006D7F68"/>
    <w:rsid w:val="006E0009"/>
    <w:rsid w:val="006E0023"/>
    <w:rsid w:val="006E0171"/>
    <w:rsid w:val="006E01A2"/>
    <w:rsid w:val="006E0288"/>
    <w:rsid w:val="006E0337"/>
    <w:rsid w:val="006E0342"/>
    <w:rsid w:val="006E03B3"/>
    <w:rsid w:val="006E0561"/>
    <w:rsid w:val="006E08EF"/>
    <w:rsid w:val="006E0901"/>
    <w:rsid w:val="006E0974"/>
    <w:rsid w:val="006E0A06"/>
    <w:rsid w:val="006E0B46"/>
    <w:rsid w:val="006E0C89"/>
    <w:rsid w:val="006E0CF3"/>
    <w:rsid w:val="006E0CFD"/>
    <w:rsid w:val="006E0DF9"/>
    <w:rsid w:val="006E0FFF"/>
    <w:rsid w:val="006E1059"/>
    <w:rsid w:val="006E1096"/>
    <w:rsid w:val="006E10D9"/>
    <w:rsid w:val="006E113A"/>
    <w:rsid w:val="006E114F"/>
    <w:rsid w:val="006E1303"/>
    <w:rsid w:val="006E134A"/>
    <w:rsid w:val="006E1381"/>
    <w:rsid w:val="006E138A"/>
    <w:rsid w:val="006E1399"/>
    <w:rsid w:val="006E144A"/>
    <w:rsid w:val="006E14A2"/>
    <w:rsid w:val="006E14AB"/>
    <w:rsid w:val="006E1580"/>
    <w:rsid w:val="006E15C9"/>
    <w:rsid w:val="006E1881"/>
    <w:rsid w:val="006E1899"/>
    <w:rsid w:val="006E18D1"/>
    <w:rsid w:val="006E18DA"/>
    <w:rsid w:val="006E19B7"/>
    <w:rsid w:val="006E1AED"/>
    <w:rsid w:val="006E1B4E"/>
    <w:rsid w:val="006E1B7B"/>
    <w:rsid w:val="006E1BC8"/>
    <w:rsid w:val="006E1C8D"/>
    <w:rsid w:val="006E1FF4"/>
    <w:rsid w:val="006E21FA"/>
    <w:rsid w:val="006E22CB"/>
    <w:rsid w:val="006E235D"/>
    <w:rsid w:val="006E25A6"/>
    <w:rsid w:val="006E25B5"/>
    <w:rsid w:val="006E260D"/>
    <w:rsid w:val="006E2787"/>
    <w:rsid w:val="006E278D"/>
    <w:rsid w:val="006E27DA"/>
    <w:rsid w:val="006E28ED"/>
    <w:rsid w:val="006E28EF"/>
    <w:rsid w:val="006E2A5D"/>
    <w:rsid w:val="006E2B3F"/>
    <w:rsid w:val="006E2BF7"/>
    <w:rsid w:val="006E2C54"/>
    <w:rsid w:val="006E2C9C"/>
    <w:rsid w:val="006E2D24"/>
    <w:rsid w:val="006E2DF3"/>
    <w:rsid w:val="006E2E7D"/>
    <w:rsid w:val="006E2F1D"/>
    <w:rsid w:val="006E2F61"/>
    <w:rsid w:val="006E2FC2"/>
    <w:rsid w:val="006E2FFC"/>
    <w:rsid w:val="006E3017"/>
    <w:rsid w:val="006E318E"/>
    <w:rsid w:val="006E33C3"/>
    <w:rsid w:val="006E340F"/>
    <w:rsid w:val="006E3421"/>
    <w:rsid w:val="006E3671"/>
    <w:rsid w:val="006E367D"/>
    <w:rsid w:val="006E38B5"/>
    <w:rsid w:val="006E39BC"/>
    <w:rsid w:val="006E3A08"/>
    <w:rsid w:val="006E3C5C"/>
    <w:rsid w:val="006E3CC2"/>
    <w:rsid w:val="006E3E21"/>
    <w:rsid w:val="006E3E6D"/>
    <w:rsid w:val="006E3EB2"/>
    <w:rsid w:val="006E3F21"/>
    <w:rsid w:val="006E3FD3"/>
    <w:rsid w:val="006E402A"/>
    <w:rsid w:val="006E4119"/>
    <w:rsid w:val="006E4217"/>
    <w:rsid w:val="006E45E6"/>
    <w:rsid w:val="006E4783"/>
    <w:rsid w:val="006E4896"/>
    <w:rsid w:val="006E4975"/>
    <w:rsid w:val="006E4A47"/>
    <w:rsid w:val="006E4B6D"/>
    <w:rsid w:val="006E4BD4"/>
    <w:rsid w:val="006E4BDB"/>
    <w:rsid w:val="006E4C10"/>
    <w:rsid w:val="006E4C20"/>
    <w:rsid w:val="006E4C2F"/>
    <w:rsid w:val="006E4F39"/>
    <w:rsid w:val="006E50A0"/>
    <w:rsid w:val="006E5126"/>
    <w:rsid w:val="006E5281"/>
    <w:rsid w:val="006E5385"/>
    <w:rsid w:val="006E53EA"/>
    <w:rsid w:val="006E53F3"/>
    <w:rsid w:val="006E5410"/>
    <w:rsid w:val="006E5425"/>
    <w:rsid w:val="006E5430"/>
    <w:rsid w:val="006E54A1"/>
    <w:rsid w:val="006E55AD"/>
    <w:rsid w:val="006E5655"/>
    <w:rsid w:val="006E5657"/>
    <w:rsid w:val="006E57FA"/>
    <w:rsid w:val="006E5816"/>
    <w:rsid w:val="006E5848"/>
    <w:rsid w:val="006E5895"/>
    <w:rsid w:val="006E5A20"/>
    <w:rsid w:val="006E5A92"/>
    <w:rsid w:val="006E5BD5"/>
    <w:rsid w:val="006E5BDD"/>
    <w:rsid w:val="006E5C0D"/>
    <w:rsid w:val="006E5C51"/>
    <w:rsid w:val="006E5C7B"/>
    <w:rsid w:val="006E5D06"/>
    <w:rsid w:val="006E5E15"/>
    <w:rsid w:val="006E5E6D"/>
    <w:rsid w:val="006E5F97"/>
    <w:rsid w:val="006E5FD1"/>
    <w:rsid w:val="006E60C5"/>
    <w:rsid w:val="006E61B4"/>
    <w:rsid w:val="006E6273"/>
    <w:rsid w:val="006E62B4"/>
    <w:rsid w:val="006E6428"/>
    <w:rsid w:val="006E64B8"/>
    <w:rsid w:val="006E64F2"/>
    <w:rsid w:val="006E6508"/>
    <w:rsid w:val="006E652B"/>
    <w:rsid w:val="006E657C"/>
    <w:rsid w:val="006E6610"/>
    <w:rsid w:val="006E66E6"/>
    <w:rsid w:val="006E670F"/>
    <w:rsid w:val="006E67AB"/>
    <w:rsid w:val="006E68A6"/>
    <w:rsid w:val="006E6931"/>
    <w:rsid w:val="006E69CF"/>
    <w:rsid w:val="006E6AAE"/>
    <w:rsid w:val="006E6B8B"/>
    <w:rsid w:val="006E6B9D"/>
    <w:rsid w:val="006E6BAE"/>
    <w:rsid w:val="006E6D40"/>
    <w:rsid w:val="006E6DB9"/>
    <w:rsid w:val="006E6DBE"/>
    <w:rsid w:val="006E6E0B"/>
    <w:rsid w:val="006E6F2F"/>
    <w:rsid w:val="006E6F3B"/>
    <w:rsid w:val="006E6F8E"/>
    <w:rsid w:val="006E704D"/>
    <w:rsid w:val="006E70BE"/>
    <w:rsid w:val="006E7127"/>
    <w:rsid w:val="006E715F"/>
    <w:rsid w:val="006E71A2"/>
    <w:rsid w:val="006E72B1"/>
    <w:rsid w:val="006E734C"/>
    <w:rsid w:val="006E73BB"/>
    <w:rsid w:val="006E7421"/>
    <w:rsid w:val="006E7440"/>
    <w:rsid w:val="006E754B"/>
    <w:rsid w:val="006E75A9"/>
    <w:rsid w:val="006E7619"/>
    <w:rsid w:val="006E76B4"/>
    <w:rsid w:val="006E78FC"/>
    <w:rsid w:val="006E7A42"/>
    <w:rsid w:val="006E7AB3"/>
    <w:rsid w:val="006E7B0D"/>
    <w:rsid w:val="006E7B2F"/>
    <w:rsid w:val="006E7B48"/>
    <w:rsid w:val="006E7CA4"/>
    <w:rsid w:val="006E7CAD"/>
    <w:rsid w:val="006E7E40"/>
    <w:rsid w:val="006E7E47"/>
    <w:rsid w:val="006E7FFA"/>
    <w:rsid w:val="006F020D"/>
    <w:rsid w:val="006F022C"/>
    <w:rsid w:val="006F0382"/>
    <w:rsid w:val="006F039D"/>
    <w:rsid w:val="006F03BD"/>
    <w:rsid w:val="006F03BE"/>
    <w:rsid w:val="006F03DA"/>
    <w:rsid w:val="006F0487"/>
    <w:rsid w:val="006F04B6"/>
    <w:rsid w:val="006F04EC"/>
    <w:rsid w:val="006F0645"/>
    <w:rsid w:val="006F0671"/>
    <w:rsid w:val="006F0735"/>
    <w:rsid w:val="006F078D"/>
    <w:rsid w:val="006F07CC"/>
    <w:rsid w:val="006F0847"/>
    <w:rsid w:val="006F0862"/>
    <w:rsid w:val="006F086B"/>
    <w:rsid w:val="006F087E"/>
    <w:rsid w:val="006F08B0"/>
    <w:rsid w:val="006F08BA"/>
    <w:rsid w:val="006F09D6"/>
    <w:rsid w:val="006F09DB"/>
    <w:rsid w:val="006F0AD7"/>
    <w:rsid w:val="006F0C7C"/>
    <w:rsid w:val="006F0CD4"/>
    <w:rsid w:val="006F0CD5"/>
    <w:rsid w:val="006F0D41"/>
    <w:rsid w:val="006F0D4D"/>
    <w:rsid w:val="006F0DE6"/>
    <w:rsid w:val="006F0E41"/>
    <w:rsid w:val="006F0E75"/>
    <w:rsid w:val="006F0EA1"/>
    <w:rsid w:val="006F0EA4"/>
    <w:rsid w:val="006F11D0"/>
    <w:rsid w:val="006F11D3"/>
    <w:rsid w:val="006F12BB"/>
    <w:rsid w:val="006F12C1"/>
    <w:rsid w:val="006F12E3"/>
    <w:rsid w:val="006F140E"/>
    <w:rsid w:val="006F147F"/>
    <w:rsid w:val="006F14F9"/>
    <w:rsid w:val="006F15AF"/>
    <w:rsid w:val="006F1693"/>
    <w:rsid w:val="006F17AA"/>
    <w:rsid w:val="006F1884"/>
    <w:rsid w:val="006F1920"/>
    <w:rsid w:val="006F1ACD"/>
    <w:rsid w:val="006F1BB3"/>
    <w:rsid w:val="006F1BC7"/>
    <w:rsid w:val="006F1C11"/>
    <w:rsid w:val="006F1CC6"/>
    <w:rsid w:val="006F1D14"/>
    <w:rsid w:val="006F1D58"/>
    <w:rsid w:val="006F1DB6"/>
    <w:rsid w:val="006F1E35"/>
    <w:rsid w:val="006F1F64"/>
    <w:rsid w:val="006F1F69"/>
    <w:rsid w:val="006F1F7D"/>
    <w:rsid w:val="006F2051"/>
    <w:rsid w:val="006F214D"/>
    <w:rsid w:val="006F2318"/>
    <w:rsid w:val="006F231E"/>
    <w:rsid w:val="006F23EB"/>
    <w:rsid w:val="006F2432"/>
    <w:rsid w:val="006F25B9"/>
    <w:rsid w:val="006F25CC"/>
    <w:rsid w:val="006F25DD"/>
    <w:rsid w:val="006F2648"/>
    <w:rsid w:val="006F2712"/>
    <w:rsid w:val="006F2808"/>
    <w:rsid w:val="006F2844"/>
    <w:rsid w:val="006F2920"/>
    <w:rsid w:val="006F2994"/>
    <w:rsid w:val="006F2A03"/>
    <w:rsid w:val="006F2AA9"/>
    <w:rsid w:val="006F2B81"/>
    <w:rsid w:val="006F2B89"/>
    <w:rsid w:val="006F2C01"/>
    <w:rsid w:val="006F2C0E"/>
    <w:rsid w:val="006F2C53"/>
    <w:rsid w:val="006F2CE8"/>
    <w:rsid w:val="006F2D32"/>
    <w:rsid w:val="006F2DEB"/>
    <w:rsid w:val="006F2E19"/>
    <w:rsid w:val="006F2E6C"/>
    <w:rsid w:val="006F2F0A"/>
    <w:rsid w:val="006F2F9F"/>
    <w:rsid w:val="006F3083"/>
    <w:rsid w:val="006F3097"/>
    <w:rsid w:val="006F30C6"/>
    <w:rsid w:val="006F31C8"/>
    <w:rsid w:val="006F31F3"/>
    <w:rsid w:val="006F320A"/>
    <w:rsid w:val="006F3299"/>
    <w:rsid w:val="006F32A7"/>
    <w:rsid w:val="006F33C9"/>
    <w:rsid w:val="006F355C"/>
    <w:rsid w:val="006F3578"/>
    <w:rsid w:val="006F368B"/>
    <w:rsid w:val="006F36AE"/>
    <w:rsid w:val="006F36F8"/>
    <w:rsid w:val="006F3718"/>
    <w:rsid w:val="006F3813"/>
    <w:rsid w:val="006F3878"/>
    <w:rsid w:val="006F38FC"/>
    <w:rsid w:val="006F39C1"/>
    <w:rsid w:val="006F3A3D"/>
    <w:rsid w:val="006F3B2C"/>
    <w:rsid w:val="006F3BBE"/>
    <w:rsid w:val="006F3E51"/>
    <w:rsid w:val="006F3E64"/>
    <w:rsid w:val="006F3E75"/>
    <w:rsid w:val="006F3F0E"/>
    <w:rsid w:val="006F3F79"/>
    <w:rsid w:val="006F409A"/>
    <w:rsid w:val="006F40FD"/>
    <w:rsid w:val="006F418A"/>
    <w:rsid w:val="006F41A6"/>
    <w:rsid w:val="006F429A"/>
    <w:rsid w:val="006F42E7"/>
    <w:rsid w:val="006F4362"/>
    <w:rsid w:val="006F4369"/>
    <w:rsid w:val="006F444A"/>
    <w:rsid w:val="006F447C"/>
    <w:rsid w:val="006F4753"/>
    <w:rsid w:val="006F4880"/>
    <w:rsid w:val="006F4A5C"/>
    <w:rsid w:val="006F4B5C"/>
    <w:rsid w:val="006F4DD4"/>
    <w:rsid w:val="006F4F42"/>
    <w:rsid w:val="006F4F56"/>
    <w:rsid w:val="006F4F8E"/>
    <w:rsid w:val="006F5199"/>
    <w:rsid w:val="006F528A"/>
    <w:rsid w:val="006F530C"/>
    <w:rsid w:val="006F53B1"/>
    <w:rsid w:val="006F53E3"/>
    <w:rsid w:val="006F545B"/>
    <w:rsid w:val="006F54A4"/>
    <w:rsid w:val="006F54C4"/>
    <w:rsid w:val="006F54CB"/>
    <w:rsid w:val="006F552A"/>
    <w:rsid w:val="006F553F"/>
    <w:rsid w:val="006F5555"/>
    <w:rsid w:val="006F5560"/>
    <w:rsid w:val="006F5682"/>
    <w:rsid w:val="006F56EE"/>
    <w:rsid w:val="006F57FE"/>
    <w:rsid w:val="006F5A61"/>
    <w:rsid w:val="006F5C4D"/>
    <w:rsid w:val="006F5CC9"/>
    <w:rsid w:val="006F5CD0"/>
    <w:rsid w:val="006F5DB5"/>
    <w:rsid w:val="006F5E38"/>
    <w:rsid w:val="006F5E67"/>
    <w:rsid w:val="006F5E91"/>
    <w:rsid w:val="006F5EDB"/>
    <w:rsid w:val="006F5EF7"/>
    <w:rsid w:val="006F60C2"/>
    <w:rsid w:val="006F626B"/>
    <w:rsid w:val="006F62E8"/>
    <w:rsid w:val="006F631F"/>
    <w:rsid w:val="006F6354"/>
    <w:rsid w:val="006F6360"/>
    <w:rsid w:val="006F640A"/>
    <w:rsid w:val="006F651A"/>
    <w:rsid w:val="006F664B"/>
    <w:rsid w:val="006F6651"/>
    <w:rsid w:val="006F670B"/>
    <w:rsid w:val="006F6767"/>
    <w:rsid w:val="006F6857"/>
    <w:rsid w:val="006F6917"/>
    <w:rsid w:val="006F696B"/>
    <w:rsid w:val="006F6A44"/>
    <w:rsid w:val="006F6B76"/>
    <w:rsid w:val="006F6B7D"/>
    <w:rsid w:val="006F6B82"/>
    <w:rsid w:val="006F6C76"/>
    <w:rsid w:val="006F6CC2"/>
    <w:rsid w:val="006F6CE5"/>
    <w:rsid w:val="006F6F41"/>
    <w:rsid w:val="006F6FCF"/>
    <w:rsid w:val="006F6FEF"/>
    <w:rsid w:val="006F7135"/>
    <w:rsid w:val="006F71A5"/>
    <w:rsid w:val="006F71C7"/>
    <w:rsid w:val="006F7244"/>
    <w:rsid w:val="006F7245"/>
    <w:rsid w:val="006F742E"/>
    <w:rsid w:val="006F748F"/>
    <w:rsid w:val="006F75D1"/>
    <w:rsid w:val="006F76D5"/>
    <w:rsid w:val="006F7769"/>
    <w:rsid w:val="006F776F"/>
    <w:rsid w:val="006F7783"/>
    <w:rsid w:val="006F7904"/>
    <w:rsid w:val="006F790D"/>
    <w:rsid w:val="006F7968"/>
    <w:rsid w:val="006F798A"/>
    <w:rsid w:val="006F7C3B"/>
    <w:rsid w:val="006F7CBD"/>
    <w:rsid w:val="006F7CC2"/>
    <w:rsid w:val="006F7CDC"/>
    <w:rsid w:val="006F7D9A"/>
    <w:rsid w:val="006F7F86"/>
    <w:rsid w:val="006F7F91"/>
    <w:rsid w:val="00700058"/>
    <w:rsid w:val="0070016A"/>
    <w:rsid w:val="007002AF"/>
    <w:rsid w:val="007002BB"/>
    <w:rsid w:val="007002C4"/>
    <w:rsid w:val="007002D9"/>
    <w:rsid w:val="00700311"/>
    <w:rsid w:val="007003EA"/>
    <w:rsid w:val="0070043C"/>
    <w:rsid w:val="0070054C"/>
    <w:rsid w:val="007005E1"/>
    <w:rsid w:val="00700797"/>
    <w:rsid w:val="007007F6"/>
    <w:rsid w:val="007008C0"/>
    <w:rsid w:val="0070099E"/>
    <w:rsid w:val="007009A2"/>
    <w:rsid w:val="007009BD"/>
    <w:rsid w:val="007009DC"/>
    <w:rsid w:val="00700A25"/>
    <w:rsid w:val="00700B3B"/>
    <w:rsid w:val="00700CA0"/>
    <w:rsid w:val="00700E92"/>
    <w:rsid w:val="00700EA3"/>
    <w:rsid w:val="00700ECB"/>
    <w:rsid w:val="00700EFB"/>
    <w:rsid w:val="00700FB9"/>
    <w:rsid w:val="00701097"/>
    <w:rsid w:val="007010EC"/>
    <w:rsid w:val="007011C4"/>
    <w:rsid w:val="00701304"/>
    <w:rsid w:val="0070134D"/>
    <w:rsid w:val="0070140D"/>
    <w:rsid w:val="007014A5"/>
    <w:rsid w:val="007014E5"/>
    <w:rsid w:val="0070158E"/>
    <w:rsid w:val="00701662"/>
    <w:rsid w:val="007016D0"/>
    <w:rsid w:val="007016D2"/>
    <w:rsid w:val="007016F4"/>
    <w:rsid w:val="007018AE"/>
    <w:rsid w:val="0070192E"/>
    <w:rsid w:val="007019F8"/>
    <w:rsid w:val="00701A28"/>
    <w:rsid w:val="00701A4E"/>
    <w:rsid w:val="00701B09"/>
    <w:rsid w:val="00701B28"/>
    <w:rsid w:val="00701BC1"/>
    <w:rsid w:val="00701C48"/>
    <w:rsid w:val="00701DF1"/>
    <w:rsid w:val="00701EF7"/>
    <w:rsid w:val="0070211A"/>
    <w:rsid w:val="00702234"/>
    <w:rsid w:val="00702368"/>
    <w:rsid w:val="007023A7"/>
    <w:rsid w:val="00702486"/>
    <w:rsid w:val="007025A8"/>
    <w:rsid w:val="007025CE"/>
    <w:rsid w:val="0070275F"/>
    <w:rsid w:val="00702760"/>
    <w:rsid w:val="00702787"/>
    <w:rsid w:val="00702826"/>
    <w:rsid w:val="0070285F"/>
    <w:rsid w:val="007028F0"/>
    <w:rsid w:val="007029B6"/>
    <w:rsid w:val="00702AC4"/>
    <w:rsid w:val="00702B0B"/>
    <w:rsid w:val="00702B65"/>
    <w:rsid w:val="00702B81"/>
    <w:rsid w:val="00702BB0"/>
    <w:rsid w:val="00702C66"/>
    <w:rsid w:val="00702CB3"/>
    <w:rsid w:val="00702CD0"/>
    <w:rsid w:val="00702D60"/>
    <w:rsid w:val="00702D95"/>
    <w:rsid w:val="00702EA4"/>
    <w:rsid w:val="00702EB8"/>
    <w:rsid w:val="00702F26"/>
    <w:rsid w:val="00702F51"/>
    <w:rsid w:val="00702F75"/>
    <w:rsid w:val="00702FE2"/>
    <w:rsid w:val="00703093"/>
    <w:rsid w:val="007030F3"/>
    <w:rsid w:val="00703365"/>
    <w:rsid w:val="00703431"/>
    <w:rsid w:val="007034A8"/>
    <w:rsid w:val="0070350F"/>
    <w:rsid w:val="00703521"/>
    <w:rsid w:val="0070357C"/>
    <w:rsid w:val="0070363F"/>
    <w:rsid w:val="007036D5"/>
    <w:rsid w:val="0070379A"/>
    <w:rsid w:val="007038A0"/>
    <w:rsid w:val="00703917"/>
    <w:rsid w:val="007039BD"/>
    <w:rsid w:val="00703CC4"/>
    <w:rsid w:val="00703D2F"/>
    <w:rsid w:val="00703DE8"/>
    <w:rsid w:val="00703E7E"/>
    <w:rsid w:val="00704081"/>
    <w:rsid w:val="007041AF"/>
    <w:rsid w:val="0070421A"/>
    <w:rsid w:val="00704227"/>
    <w:rsid w:val="0070423C"/>
    <w:rsid w:val="0070427E"/>
    <w:rsid w:val="007042BB"/>
    <w:rsid w:val="007042DB"/>
    <w:rsid w:val="007043AA"/>
    <w:rsid w:val="007044E8"/>
    <w:rsid w:val="0070456B"/>
    <w:rsid w:val="0070457E"/>
    <w:rsid w:val="0070459A"/>
    <w:rsid w:val="00704621"/>
    <w:rsid w:val="007046B2"/>
    <w:rsid w:val="007046DF"/>
    <w:rsid w:val="00704779"/>
    <w:rsid w:val="007047AE"/>
    <w:rsid w:val="007047C8"/>
    <w:rsid w:val="0070487A"/>
    <w:rsid w:val="007049CF"/>
    <w:rsid w:val="00704BA1"/>
    <w:rsid w:val="00704BB2"/>
    <w:rsid w:val="00704C00"/>
    <w:rsid w:val="00704CC0"/>
    <w:rsid w:val="00704D5F"/>
    <w:rsid w:val="00704E19"/>
    <w:rsid w:val="00704E2E"/>
    <w:rsid w:val="00705033"/>
    <w:rsid w:val="0070506D"/>
    <w:rsid w:val="00705075"/>
    <w:rsid w:val="007050C6"/>
    <w:rsid w:val="00705152"/>
    <w:rsid w:val="00705156"/>
    <w:rsid w:val="0070517B"/>
    <w:rsid w:val="007051BF"/>
    <w:rsid w:val="00705220"/>
    <w:rsid w:val="00705223"/>
    <w:rsid w:val="00705274"/>
    <w:rsid w:val="007052C2"/>
    <w:rsid w:val="00705341"/>
    <w:rsid w:val="007053B4"/>
    <w:rsid w:val="007053E4"/>
    <w:rsid w:val="00705485"/>
    <w:rsid w:val="007054C8"/>
    <w:rsid w:val="00705582"/>
    <w:rsid w:val="007056CB"/>
    <w:rsid w:val="00705735"/>
    <w:rsid w:val="00705752"/>
    <w:rsid w:val="007057E9"/>
    <w:rsid w:val="0070588D"/>
    <w:rsid w:val="007058A7"/>
    <w:rsid w:val="007058CA"/>
    <w:rsid w:val="00705916"/>
    <w:rsid w:val="007059DF"/>
    <w:rsid w:val="00705A9E"/>
    <w:rsid w:val="00705D0D"/>
    <w:rsid w:val="00705D7B"/>
    <w:rsid w:val="00705DAF"/>
    <w:rsid w:val="00705E1F"/>
    <w:rsid w:val="00705E2D"/>
    <w:rsid w:val="00705EE8"/>
    <w:rsid w:val="00705EF1"/>
    <w:rsid w:val="00705FDB"/>
    <w:rsid w:val="00706190"/>
    <w:rsid w:val="007062B5"/>
    <w:rsid w:val="00706329"/>
    <w:rsid w:val="0070637C"/>
    <w:rsid w:val="007063CC"/>
    <w:rsid w:val="00706463"/>
    <w:rsid w:val="007064FE"/>
    <w:rsid w:val="007065BC"/>
    <w:rsid w:val="0070663C"/>
    <w:rsid w:val="007066A5"/>
    <w:rsid w:val="007068B3"/>
    <w:rsid w:val="00706952"/>
    <w:rsid w:val="00706B04"/>
    <w:rsid w:val="00706B74"/>
    <w:rsid w:val="00706BA2"/>
    <w:rsid w:val="00706BA7"/>
    <w:rsid w:val="00706D18"/>
    <w:rsid w:val="00706FCF"/>
    <w:rsid w:val="00707049"/>
    <w:rsid w:val="007070A5"/>
    <w:rsid w:val="007070F7"/>
    <w:rsid w:val="0070713C"/>
    <w:rsid w:val="0070715A"/>
    <w:rsid w:val="007071F4"/>
    <w:rsid w:val="0070725C"/>
    <w:rsid w:val="007072DF"/>
    <w:rsid w:val="007072E0"/>
    <w:rsid w:val="0070735D"/>
    <w:rsid w:val="0070736C"/>
    <w:rsid w:val="007074E5"/>
    <w:rsid w:val="00707523"/>
    <w:rsid w:val="0070752D"/>
    <w:rsid w:val="007077F2"/>
    <w:rsid w:val="007077F8"/>
    <w:rsid w:val="00707839"/>
    <w:rsid w:val="00707914"/>
    <w:rsid w:val="007079DF"/>
    <w:rsid w:val="00707A1A"/>
    <w:rsid w:val="00707A53"/>
    <w:rsid w:val="00707B38"/>
    <w:rsid w:val="00707C03"/>
    <w:rsid w:val="00707C2D"/>
    <w:rsid w:val="00707C78"/>
    <w:rsid w:val="00707CDB"/>
    <w:rsid w:val="00707D2D"/>
    <w:rsid w:val="00707D73"/>
    <w:rsid w:val="00707DAC"/>
    <w:rsid w:val="00707E09"/>
    <w:rsid w:val="00707E2F"/>
    <w:rsid w:val="00707F2F"/>
    <w:rsid w:val="00707FA2"/>
    <w:rsid w:val="00707FCA"/>
    <w:rsid w:val="00707FF5"/>
    <w:rsid w:val="007100DB"/>
    <w:rsid w:val="00710378"/>
    <w:rsid w:val="007103F1"/>
    <w:rsid w:val="00710404"/>
    <w:rsid w:val="0071041A"/>
    <w:rsid w:val="007104FC"/>
    <w:rsid w:val="007105C9"/>
    <w:rsid w:val="0071069B"/>
    <w:rsid w:val="007106FB"/>
    <w:rsid w:val="0071070E"/>
    <w:rsid w:val="0071073C"/>
    <w:rsid w:val="0071093B"/>
    <w:rsid w:val="00710A09"/>
    <w:rsid w:val="00710A58"/>
    <w:rsid w:val="00710BBB"/>
    <w:rsid w:val="00710C08"/>
    <w:rsid w:val="00710C76"/>
    <w:rsid w:val="00710D2A"/>
    <w:rsid w:val="00710DA2"/>
    <w:rsid w:val="00710E57"/>
    <w:rsid w:val="00710F8F"/>
    <w:rsid w:val="00710FCF"/>
    <w:rsid w:val="00711059"/>
    <w:rsid w:val="00711218"/>
    <w:rsid w:val="00711266"/>
    <w:rsid w:val="007113C3"/>
    <w:rsid w:val="00711459"/>
    <w:rsid w:val="0071166E"/>
    <w:rsid w:val="00711686"/>
    <w:rsid w:val="00711705"/>
    <w:rsid w:val="0071177A"/>
    <w:rsid w:val="00711926"/>
    <w:rsid w:val="00711957"/>
    <w:rsid w:val="007119F5"/>
    <w:rsid w:val="00711A6E"/>
    <w:rsid w:val="00711ADB"/>
    <w:rsid w:val="00711AE9"/>
    <w:rsid w:val="00711B7C"/>
    <w:rsid w:val="00711B9A"/>
    <w:rsid w:val="00711BB6"/>
    <w:rsid w:val="00711BD5"/>
    <w:rsid w:val="00711C92"/>
    <w:rsid w:val="00711CF4"/>
    <w:rsid w:val="00711D82"/>
    <w:rsid w:val="00711DE2"/>
    <w:rsid w:val="00711E0F"/>
    <w:rsid w:val="00711E59"/>
    <w:rsid w:val="00711F01"/>
    <w:rsid w:val="00711F53"/>
    <w:rsid w:val="00712034"/>
    <w:rsid w:val="00712403"/>
    <w:rsid w:val="00712419"/>
    <w:rsid w:val="00712433"/>
    <w:rsid w:val="007124DB"/>
    <w:rsid w:val="0071256A"/>
    <w:rsid w:val="00712592"/>
    <w:rsid w:val="007125F6"/>
    <w:rsid w:val="00712612"/>
    <w:rsid w:val="00712744"/>
    <w:rsid w:val="00712747"/>
    <w:rsid w:val="0071290C"/>
    <w:rsid w:val="00712926"/>
    <w:rsid w:val="0071295D"/>
    <w:rsid w:val="00712972"/>
    <w:rsid w:val="00712B6A"/>
    <w:rsid w:val="00712C1C"/>
    <w:rsid w:val="00712C6A"/>
    <w:rsid w:val="00712CDF"/>
    <w:rsid w:val="00712DDF"/>
    <w:rsid w:val="00712EE8"/>
    <w:rsid w:val="00712F9C"/>
    <w:rsid w:val="00712FE7"/>
    <w:rsid w:val="00713135"/>
    <w:rsid w:val="00713189"/>
    <w:rsid w:val="00713195"/>
    <w:rsid w:val="007133E5"/>
    <w:rsid w:val="007133F9"/>
    <w:rsid w:val="007135DA"/>
    <w:rsid w:val="0071374D"/>
    <w:rsid w:val="007137A3"/>
    <w:rsid w:val="007137CC"/>
    <w:rsid w:val="00713811"/>
    <w:rsid w:val="007138C8"/>
    <w:rsid w:val="00713B73"/>
    <w:rsid w:val="00713BFB"/>
    <w:rsid w:val="00713CC1"/>
    <w:rsid w:val="00713DE0"/>
    <w:rsid w:val="00713E43"/>
    <w:rsid w:val="00713E71"/>
    <w:rsid w:val="00713E8E"/>
    <w:rsid w:val="00714098"/>
    <w:rsid w:val="007140A4"/>
    <w:rsid w:val="00714111"/>
    <w:rsid w:val="00714227"/>
    <w:rsid w:val="00714283"/>
    <w:rsid w:val="0071435D"/>
    <w:rsid w:val="00714420"/>
    <w:rsid w:val="007144B7"/>
    <w:rsid w:val="007144C2"/>
    <w:rsid w:val="0071472F"/>
    <w:rsid w:val="00714739"/>
    <w:rsid w:val="00714888"/>
    <w:rsid w:val="00714978"/>
    <w:rsid w:val="007149B5"/>
    <w:rsid w:val="00714A1E"/>
    <w:rsid w:val="00714B23"/>
    <w:rsid w:val="00714B2C"/>
    <w:rsid w:val="00714D45"/>
    <w:rsid w:val="00714F7F"/>
    <w:rsid w:val="00714F9E"/>
    <w:rsid w:val="00714FA5"/>
    <w:rsid w:val="0071506A"/>
    <w:rsid w:val="007150D5"/>
    <w:rsid w:val="007150DA"/>
    <w:rsid w:val="00715200"/>
    <w:rsid w:val="007152F9"/>
    <w:rsid w:val="007154F0"/>
    <w:rsid w:val="00715517"/>
    <w:rsid w:val="007155AB"/>
    <w:rsid w:val="0071563E"/>
    <w:rsid w:val="0071569C"/>
    <w:rsid w:val="007156E1"/>
    <w:rsid w:val="00715764"/>
    <w:rsid w:val="007157E4"/>
    <w:rsid w:val="0071583C"/>
    <w:rsid w:val="0071596F"/>
    <w:rsid w:val="00715C33"/>
    <w:rsid w:val="00715C39"/>
    <w:rsid w:val="00715D13"/>
    <w:rsid w:val="00715D2D"/>
    <w:rsid w:val="00715D6B"/>
    <w:rsid w:val="00715D73"/>
    <w:rsid w:val="00715DC9"/>
    <w:rsid w:val="00715DD4"/>
    <w:rsid w:val="00715E65"/>
    <w:rsid w:val="00715E74"/>
    <w:rsid w:val="00715E75"/>
    <w:rsid w:val="00715E84"/>
    <w:rsid w:val="00716004"/>
    <w:rsid w:val="00716085"/>
    <w:rsid w:val="007160C2"/>
    <w:rsid w:val="007160E0"/>
    <w:rsid w:val="00716159"/>
    <w:rsid w:val="0071624D"/>
    <w:rsid w:val="0071641D"/>
    <w:rsid w:val="00716598"/>
    <w:rsid w:val="00716625"/>
    <w:rsid w:val="0071663A"/>
    <w:rsid w:val="00716678"/>
    <w:rsid w:val="00716684"/>
    <w:rsid w:val="007166D8"/>
    <w:rsid w:val="00716778"/>
    <w:rsid w:val="0071692E"/>
    <w:rsid w:val="00716A34"/>
    <w:rsid w:val="00716AC3"/>
    <w:rsid w:val="00716AF3"/>
    <w:rsid w:val="00716B48"/>
    <w:rsid w:val="00716BB5"/>
    <w:rsid w:val="00716D31"/>
    <w:rsid w:val="00716D4D"/>
    <w:rsid w:val="00716D61"/>
    <w:rsid w:val="00716D97"/>
    <w:rsid w:val="00716E3C"/>
    <w:rsid w:val="00716EAE"/>
    <w:rsid w:val="00716EFD"/>
    <w:rsid w:val="00716FD0"/>
    <w:rsid w:val="00717056"/>
    <w:rsid w:val="007170B8"/>
    <w:rsid w:val="007170DE"/>
    <w:rsid w:val="007170F3"/>
    <w:rsid w:val="0071710C"/>
    <w:rsid w:val="0071717F"/>
    <w:rsid w:val="007171F3"/>
    <w:rsid w:val="00717263"/>
    <w:rsid w:val="0071728B"/>
    <w:rsid w:val="007172E4"/>
    <w:rsid w:val="00717394"/>
    <w:rsid w:val="007173C8"/>
    <w:rsid w:val="007174C0"/>
    <w:rsid w:val="00717562"/>
    <w:rsid w:val="00717661"/>
    <w:rsid w:val="0071766B"/>
    <w:rsid w:val="007177E5"/>
    <w:rsid w:val="00717807"/>
    <w:rsid w:val="00717829"/>
    <w:rsid w:val="007178B7"/>
    <w:rsid w:val="00717AD7"/>
    <w:rsid w:val="00717B32"/>
    <w:rsid w:val="00717B71"/>
    <w:rsid w:val="00717CD9"/>
    <w:rsid w:val="00717DAE"/>
    <w:rsid w:val="00717DEE"/>
    <w:rsid w:val="00720034"/>
    <w:rsid w:val="007202AC"/>
    <w:rsid w:val="0072036B"/>
    <w:rsid w:val="007203A5"/>
    <w:rsid w:val="007203DB"/>
    <w:rsid w:val="007203ED"/>
    <w:rsid w:val="007204F6"/>
    <w:rsid w:val="00720563"/>
    <w:rsid w:val="0072056D"/>
    <w:rsid w:val="00720691"/>
    <w:rsid w:val="007206B9"/>
    <w:rsid w:val="007206BE"/>
    <w:rsid w:val="007206FE"/>
    <w:rsid w:val="00720788"/>
    <w:rsid w:val="0072096D"/>
    <w:rsid w:val="007209B3"/>
    <w:rsid w:val="00720A1A"/>
    <w:rsid w:val="00720B13"/>
    <w:rsid w:val="00720B76"/>
    <w:rsid w:val="00720B84"/>
    <w:rsid w:val="00720BC2"/>
    <w:rsid w:val="00720C00"/>
    <w:rsid w:val="00720C03"/>
    <w:rsid w:val="00720C44"/>
    <w:rsid w:val="00720C8F"/>
    <w:rsid w:val="00720C97"/>
    <w:rsid w:val="00720E34"/>
    <w:rsid w:val="00720E3D"/>
    <w:rsid w:val="00720E91"/>
    <w:rsid w:val="00720EA3"/>
    <w:rsid w:val="00720EC5"/>
    <w:rsid w:val="00720F32"/>
    <w:rsid w:val="00720F9E"/>
    <w:rsid w:val="00720FB7"/>
    <w:rsid w:val="00721001"/>
    <w:rsid w:val="0072111E"/>
    <w:rsid w:val="00721206"/>
    <w:rsid w:val="00721308"/>
    <w:rsid w:val="00721321"/>
    <w:rsid w:val="00721466"/>
    <w:rsid w:val="00721528"/>
    <w:rsid w:val="00721537"/>
    <w:rsid w:val="00721628"/>
    <w:rsid w:val="0072162A"/>
    <w:rsid w:val="00721658"/>
    <w:rsid w:val="00721689"/>
    <w:rsid w:val="0072174F"/>
    <w:rsid w:val="00721886"/>
    <w:rsid w:val="007219CF"/>
    <w:rsid w:val="007219E7"/>
    <w:rsid w:val="00721A4B"/>
    <w:rsid w:val="00721A7E"/>
    <w:rsid w:val="00721AF2"/>
    <w:rsid w:val="00721B12"/>
    <w:rsid w:val="00721B30"/>
    <w:rsid w:val="00721B34"/>
    <w:rsid w:val="00721BD2"/>
    <w:rsid w:val="00721C7A"/>
    <w:rsid w:val="00721CB9"/>
    <w:rsid w:val="00721D42"/>
    <w:rsid w:val="00721EDB"/>
    <w:rsid w:val="0072200D"/>
    <w:rsid w:val="0072208F"/>
    <w:rsid w:val="007221A1"/>
    <w:rsid w:val="007222B6"/>
    <w:rsid w:val="0072230D"/>
    <w:rsid w:val="0072238F"/>
    <w:rsid w:val="007224D3"/>
    <w:rsid w:val="0072252D"/>
    <w:rsid w:val="0072257C"/>
    <w:rsid w:val="007225C6"/>
    <w:rsid w:val="007226AA"/>
    <w:rsid w:val="007226B9"/>
    <w:rsid w:val="00722827"/>
    <w:rsid w:val="0072283E"/>
    <w:rsid w:val="00722851"/>
    <w:rsid w:val="0072286A"/>
    <w:rsid w:val="00722911"/>
    <w:rsid w:val="00722919"/>
    <w:rsid w:val="00722AEF"/>
    <w:rsid w:val="00722BAF"/>
    <w:rsid w:val="00722C6E"/>
    <w:rsid w:val="00722DA2"/>
    <w:rsid w:val="00722DC5"/>
    <w:rsid w:val="00722DD0"/>
    <w:rsid w:val="00722F4B"/>
    <w:rsid w:val="00722FE0"/>
    <w:rsid w:val="007230D7"/>
    <w:rsid w:val="00723184"/>
    <w:rsid w:val="007231C3"/>
    <w:rsid w:val="00723259"/>
    <w:rsid w:val="0072328C"/>
    <w:rsid w:val="007233F1"/>
    <w:rsid w:val="0072347A"/>
    <w:rsid w:val="007234DB"/>
    <w:rsid w:val="007234DC"/>
    <w:rsid w:val="007235E2"/>
    <w:rsid w:val="00723622"/>
    <w:rsid w:val="007236BD"/>
    <w:rsid w:val="007236F0"/>
    <w:rsid w:val="0072374D"/>
    <w:rsid w:val="00723844"/>
    <w:rsid w:val="007239A0"/>
    <w:rsid w:val="007239D4"/>
    <w:rsid w:val="00723B19"/>
    <w:rsid w:val="00723B45"/>
    <w:rsid w:val="00723B47"/>
    <w:rsid w:val="00723B57"/>
    <w:rsid w:val="00723B97"/>
    <w:rsid w:val="00723BF2"/>
    <w:rsid w:val="00723C7B"/>
    <w:rsid w:val="00723D5A"/>
    <w:rsid w:val="00723DDB"/>
    <w:rsid w:val="00723E04"/>
    <w:rsid w:val="00723E86"/>
    <w:rsid w:val="00723ED9"/>
    <w:rsid w:val="0072401C"/>
    <w:rsid w:val="00724096"/>
    <w:rsid w:val="007240BC"/>
    <w:rsid w:val="00724193"/>
    <w:rsid w:val="00724240"/>
    <w:rsid w:val="00724243"/>
    <w:rsid w:val="007242CC"/>
    <w:rsid w:val="00724403"/>
    <w:rsid w:val="007244DA"/>
    <w:rsid w:val="007244FB"/>
    <w:rsid w:val="0072457F"/>
    <w:rsid w:val="00724595"/>
    <w:rsid w:val="00724619"/>
    <w:rsid w:val="00724796"/>
    <w:rsid w:val="007248E9"/>
    <w:rsid w:val="007248FC"/>
    <w:rsid w:val="00724A12"/>
    <w:rsid w:val="00724B4A"/>
    <w:rsid w:val="00724B5D"/>
    <w:rsid w:val="00724C30"/>
    <w:rsid w:val="00724C71"/>
    <w:rsid w:val="00724CA0"/>
    <w:rsid w:val="00724D68"/>
    <w:rsid w:val="00724DDC"/>
    <w:rsid w:val="00724EAC"/>
    <w:rsid w:val="00724EB5"/>
    <w:rsid w:val="00724ED2"/>
    <w:rsid w:val="00724EF3"/>
    <w:rsid w:val="00724FDC"/>
    <w:rsid w:val="00725116"/>
    <w:rsid w:val="0072520F"/>
    <w:rsid w:val="00725299"/>
    <w:rsid w:val="007252E7"/>
    <w:rsid w:val="00725309"/>
    <w:rsid w:val="007253B2"/>
    <w:rsid w:val="007253B7"/>
    <w:rsid w:val="0072555E"/>
    <w:rsid w:val="0072559B"/>
    <w:rsid w:val="007255D6"/>
    <w:rsid w:val="007256C4"/>
    <w:rsid w:val="007257F2"/>
    <w:rsid w:val="007257F4"/>
    <w:rsid w:val="00725810"/>
    <w:rsid w:val="00725847"/>
    <w:rsid w:val="0072596E"/>
    <w:rsid w:val="00725A11"/>
    <w:rsid w:val="00725A6C"/>
    <w:rsid w:val="00725B15"/>
    <w:rsid w:val="00725B8A"/>
    <w:rsid w:val="00725BDE"/>
    <w:rsid w:val="00725C1A"/>
    <w:rsid w:val="00725CAA"/>
    <w:rsid w:val="00725D65"/>
    <w:rsid w:val="00725D90"/>
    <w:rsid w:val="00725EBF"/>
    <w:rsid w:val="00725F3A"/>
    <w:rsid w:val="00725FAF"/>
    <w:rsid w:val="00726091"/>
    <w:rsid w:val="007260FE"/>
    <w:rsid w:val="007262D3"/>
    <w:rsid w:val="007263AA"/>
    <w:rsid w:val="007263DA"/>
    <w:rsid w:val="00726401"/>
    <w:rsid w:val="0072645C"/>
    <w:rsid w:val="007264D7"/>
    <w:rsid w:val="00726557"/>
    <w:rsid w:val="00726584"/>
    <w:rsid w:val="00726589"/>
    <w:rsid w:val="007265AA"/>
    <w:rsid w:val="00726701"/>
    <w:rsid w:val="00726787"/>
    <w:rsid w:val="007267DD"/>
    <w:rsid w:val="007268EB"/>
    <w:rsid w:val="007269C5"/>
    <w:rsid w:val="00726A33"/>
    <w:rsid w:val="00726A63"/>
    <w:rsid w:val="00726A6A"/>
    <w:rsid w:val="00726ABC"/>
    <w:rsid w:val="00726BAC"/>
    <w:rsid w:val="00726BBA"/>
    <w:rsid w:val="00726C18"/>
    <w:rsid w:val="00726CBE"/>
    <w:rsid w:val="00726CF6"/>
    <w:rsid w:val="00726E70"/>
    <w:rsid w:val="00726F97"/>
    <w:rsid w:val="00727095"/>
    <w:rsid w:val="0072709F"/>
    <w:rsid w:val="00727106"/>
    <w:rsid w:val="0072713F"/>
    <w:rsid w:val="00727197"/>
    <w:rsid w:val="0072719B"/>
    <w:rsid w:val="00727261"/>
    <w:rsid w:val="0072732E"/>
    <w:rsid w:val="007273BC"/>
    <w:rsid w:val="00727479"/>
    <w:rsid w:val="00727613"/>
    <w:rsid w:val="0072771C"/>
    <w:rsid w:val="007277F7"/>
    <w:rsid w:val="00727838"/>
    <w:rsid w:val="00727843"/>
    <w:rsid w:val="00727898"/>
    <w:rsid w:val="00727927"/>
    <w:rsid w:val="00727A0B"/>
    <w:rsid w:val="00727A95"/>
    <w:rsid w:val="00727AB3"/>
    <w:rsid w:val="00727B03"/>
    <w:rsid w:val="00727BDF"/>
    <w:rsid w:val="00727C99"/>
    <w:rsid w:val="00727E62"/>
    <w:rsid w:val="00727F5C"/>
    <w:rsid w:val="00727F87"/>
    <w:rsid w:val="00727FF8"/>
    <w:rsid w:val="00730236"/>
    <w:rsid w:val="007302AD"/>
    <w:rsid w:val="0073033E"/>
    <w:rsid w:val="0073047B"/>
    <w:rsid w:val="00730508"/>
    <w:rsid w:val="0073091F"/>
    <w:rsid w:val="00730927"/>
    <w:rsid w:val="00730966"/>
    <w:rsid w:val="007309AA"/>
    <w:rsid w:val="00730B01"/>
    <w:rsid w:val="00730B11"/>
    <w:rsid w:val="00730B65"/>
    <w:rsid w:val="00730CA8"/>
    <w:rsid w:val="00730D88"/>
    <w:rsid w:val="00730DC1"/>
    <w:rsid w:val="00730DF2"/>
    <w:rsid w:val="00730E90"/>
    <w:rsid w:val="00730E98"/>
    <w:rsid w:val="00730F6B"/>
    <w:rsid w:val="00730FAA"/>
    <w:rsid w:val="00730FD8"/>
    <w:rsid w:val="00731093"/>
    <w:rsid w:val="007310E1"/>
    <w:rsid w:val="007310E8"/>
    <w:rsid w:val="00731120"/>
    <w:rsid w:val="0073113E"/>
    <w:rsid w:val="0073114E"/>
    <w:rsid w:val="0073126E"/>
    <w:rsid w:val="00731288"/>
    <w:rsid w:val="0073129F"/>
    <w:rsid w:val="007312E5"/>
    <w:rsid w:val="007312F1"/>
    <w:rsid w:val="007313BC"/>
    <w:rsid w:val="00731610"/>
    <w:rsid w:val="007316C9"/>
    <w:rsid w:val="007316F3"/>
    <w:rsid w:val="0073178B"/>
    <w:rsid w:val="0073188E"/>
    <w:rsid w:val="00731928"/>
    <w:rsid w:val="00731C98"/>
    <w:rsid w:val="00731CB2"/>
    <w:rsid w:val="00731DF4"/>
    <w:rsid w:val="00731E39"/>
    <w:rsid w:val="00731EB2"/>
    <w:rsid w:val="00731ED8"/>
    <w:rsid w:val="00731ED9"/>
    <w:rsid w:val="00731F14"/>
    <w:rsid w:val="00731F6F"/>
    <w:rsid w:val="00732002"/>
    <w:rsid w:val="00732069"/>
    <w:rsid w:val="007320D8"/>
    <w:rsid w:val="007322C3"/>
    <w:rsid w:val="0073237E"/>
    <w:rsid w:val="00732386"/>
    <w:rsid w:val="007323E1"/>
    <w:rsid w:val="0073242E"/>
    <w:rsid w:val="007324C4"/>
    <w:rsid w:val="0073252F"/>
    <w:rsid w:val="00732543"/>
    <w:rsid w:val="00732554"/>
    <w:rsid w:val="007327CE"/>
    <w:rsid w:val="007328BB"/>
    <w:rsid w:val="00732AD4"/>
    <w:rsid w:val="00732B33"/>
    <w:rsid w:val="00732BDA"/>
    <w:rsid w:val="00732C72"/>
    <w:rsid w:val="00732CFD"/>
    <w:rsid w:val="00732D20"/>
    <w:rsid w:val="00732D6A"/>
    <w:rsid w:val="00732D95"/>
    <w:rsid w:val="00732E1D"/>
    <w:rsid w:val="00732F87"/>
    <w:rsid w:val="00732FCB"/>
    <w:rsid w:val="00732FD9"/>
    <w:rsid w:val="0073300B"/>
    <w:rsid w:val="00733031"/>
    <w:rsid w:val="00733032"/>
    <w:rsid w:val="00733179"/>
    <w:rsid w:val="00733231"/>
    <w:rsid w:val="00733235"/>
    <w:rsid w:val="0073330F"/>
    <w:rsid w:val="0073331F"/>
    <w:rsid w:val="00733352"/>
    <w:rsid w:val="007333F8"/>
    <w:rsid w:val="00733613"/>
    <w:rsid w:val="007336D0"/>
    <w:rsid w:val="00733763"/>
    <w:rsid w:val="0073377D"/>
    <w:rsid w:val="00733867"/>
    <w:rsid w:val="00733966"/>
    <w:rsid w:val="007339A2"/>
    <w:rsid w:val="00733A10"/>
    <w:rsid w:val="00733B9D"/>
    <w:rsid w:val="00733C2D"/>
    <w:rsid w:val="00733C75"/>
    <w:rsid w:val="00733CA9"/>
    <w:rsid w:val="00733CC7"/>
    <w:rsid w:val="00733D26"/>
    <w:rsid w:val="00733D7C"/>
    <w:rsid w:val="00733DD7"/>
    <w:rsid w:val="00733EBF"/>
    <w:rsid w:val="00733F1A"/>
    <w:rsid w:val="00733F61"/>
    <w:rsid w:val="0073405E"/>
    <w:rsid w:val="00734167"/>
    <w:rsid w:val="007342D5"/>
    <w:rsid w:val="007342D8"/>
    <w:rsid w:val="007343B7"/>
    <w:rsid w:val="007343CB"/>
    <w:rsid w:val="007344E5"/>
    <w:rsid w:val="00734646"/>
    <w:rsid w:val="007347C0"/>
    <w:rsid w:val="007347E4"/>
    <w:rsid w:val="00734960"/>
    <w:rsid w:val="00734A37"/>
    <w:rsid w:val="00734A7F"/>
    <w:rsid w:val="00734A95"/>
    <w:rsid w:val="00734CE0"/>
    <w:rsid w:val="00734E16"/>
    <w:rsid w:val="00734E75"/>
    <w:rsid w:val="00734ED2"/>
    <w:rsid w:val="00734FB5"/>
    <w:rsid w:val="00734FBB"/>
    <w:rsid w:val="00735037"/>
    <w:rsid w:val="00735196"/>
    <w:rsid w:val="007351CE"/>
    <w:rsid w:val="007352B9"/>
    <w:rsid w:val="007352E2"/>
    <w:rsid w:val="00735340"/>
    <w:rsid w:val="00735364"/>
    <w:rsid w:val="007353F7"/>
    <w:rsid w:val="007354F6"/>
    <w:rsid w:val="0073561A"/>
    <w:rsid w:val="00735649"/>
    <w:rsid w:val="0073564A"/>
    <w:rsid w:val="007357DD"/>
    <w:rsid w:val="0073590A"/>
    <w:rsid w:val="0073599E"/>
    <w:rsid w:val="00735A0A"/>
    <w:rsid w:val="00735A41"/>
    <w:rsid w:val="00735A91"/>
    <w:rsid w:val="00735AD9"/>
    <w:rsid w:val="00735AF6"/>
    <w:rsid w:val="00735B48"/>
    <w:rsid w:val="00735D0E"/>
    <w:rsid w:val="00735D49"/>
    <w:rsid w:val="00735DB6"/>
    <w:rsid w:val="00735F1A"/>
    <w:rsid w:val="00736024"/>
    <w:rsid w:val="0073610F"/>
    <w:rsid w:val="0073614E"/>
    <w:rsid w:val="00736209"/>
    <w:rsid w:val="0073629A"/>
    <w:rsid w:val="00736349"/>
    <w:rsid w:val="0073637C"/>
    <w:rsid w:val="00736566"/>
    <w:rsid w:val="00736630"/>
    <w:rsid w:val="00736676"/>
    <w:rsid w:val="007366C1"/>
    <w:rsid w:val="0073692F"/>
    <w:rsid w:val="00736948"/>
    <w:rsid w:val="00736976"/>
    <w:rsid w:val="007369A4"/>
    <w:rsid w:val="007369AA"/>
    <w:rsid w:val="00736A70"/>
    <w:rsid w:val="00736AA5"/>
    <w:rsid w:val="00736B3D"/>
    <w:rsid w:val="00736C13"/>
    <w:rsid w:val="00736C3A"/>
    <w:rsid w:val="00736C45"/>
    <w:rsid w:val="00736C7B"/>
    <w:rsid w:val="00736CBA"/>
    <w:rsid w:val="00736D07"/>
    <w:rsid w:val="00736D26"/>
    <w:rsid w:val="00736F01"/>
    <w:rsid w:val="007370B2"/>
    <w:rsid w:val="007371E9"/>
    <w:rsid w:val="0073728A"/>
    <w:rsid w:val="007372A6"/>
    <w:rsid w:val="007372A7"/>
    <w:rsid w:val="00737335"/>
    <w:rsid w:val="007373E8"/>
    <w:rsid w:val="0073743A"/>
    <w:rsid w:val="007374C5"/>
    <w:rsid w:val="0073750D"/>
    <w:rsid w:val="00737510"/>
    <w:rsid w:val="00737519"/>
    <w:rsid w:val="0073767F"/>
    <w:rsid w:val="0073770E"/>
    <w:rsid w:val="00737775"/>
    <w:rsid w:val="007377AC"/>
    <w:rsid w:val="00737863"/>
    <w:rsid w:val="007378D4"/>
    <w:rsid w:val="00737921"/>
    <w:rsid w:val="00737940"/>
    <w:rsid w:val="0073797F"/>
    <w:rsid w:val="007379D3"/>
    <w:rsid w:val="00737A81"/>
    <w:rsid w:val="00737B0D"/>
    <w:rsid w:val="00737B44"/>
    <w:rsid w:val="00737B5F"/>
    <w:rsid w:val="00737B7F"/>
    <w:rsid w:val="00737BB2"/>
    <w:rsid w:val="00737C71"/>
    <w:rsid w:val="00737CA4"/>
    <w:rsid w:val="00737CAF"/>
    <w:rsid w:val="00737DA7"/>
    <w:rsid w:val="00737E1F"/>
    <w:rsid w:val="00737E21"/>
    <w:rsid w:val="00737ED9"/>
    <w:rsid w:val="0074002C"/>
    <w:rsid w:val="0074015A"/>
    <w:rsid w:val="0074018A"/>
    <w:rsid w:val="007401F8"/>
    <w:rsid w:val="00740317"/>
    <w:rsid w:val="00740327"/>
    <w:rsid w:val="00740354"/>
    <w:rsid w:val="00740588"/>
    <w:rsid w:val="0074063C"/>
    <w:rsid w:val="0074072B"/>
    <w:rsid w:val="00740757"/>
    <w:rsid w:val="0074075E"/>
    <w:rsid w:val="00740782"/>
    <w:rsid w:val="00740798"/>
    <w:rsid w:val="00740833"/>
    <w:rsid w:val="007408B7"/>
    <w:rsid w:val="00740A1D"/>
    <w:rsid w:val="00740A56"/>
    <w:rsid w:val="00740B98"/>
    <w:rsid w:val="00740C37"/>
    <w:rsid w:val="00740C48"/>
    <w:rsid w:val="00740EB4"/>
    <w:rsid w:val="00740F8B"/>
    <w:rsid w:val="00741133"/>
    <w:rsid w:val="007411ED"/>
    <w:rsid w:val="00741239"/>
    <w:rsid w:val="007412F7"/>
    <w:rsid w:val="00741310"/>
    <w:rsid w:val="00741330"/>
    <w:rsid w:val="00741384"/>
    <w:rsid w:val="007413E5"/>
    <w:rsid w:val="00741431"/>
    <w:rsid w:val="0074144A"/>
    <w:rsid w:val="007414F5"/>
    <w:rsid w:val="00741523"/>
    <w:rsid w:val="0074155A"/>
    <w:rsid w:val="0074159C"/>
    <w:rsid w:val="007416C1"/>
    <w:rsid w:val="007416D9"/>
    <w:rsid w:val="0074184E"/>
    <w:rsid w:val="007418B4"/>
    <w:rsid w:val="007418FF"/>
    <w:rsid w:val="00741907"/>
    <w:rsid w:val="007419CD"/>
    <w:rsid w:val="007419D8"/>
    <w:rsid w:val="00741A28"/>
    <w:rsid w:val="00741A80"/>
    <w:rsid w:val="00741B22"/>
    <w:rsid w:val="00741C7A"/>
    <w:rsid w:val="00741CB8"/>
    <w:rsid w:val="00741CBE"/>
    <w:rsid w:val="00741D97"/>
    <w:rsid w:val="00742150"/>
    <w:rsid w:val="00742195"/>
    <w:rsid w:val="0074237B"/>
    <w:rsid w:val="007423FA"/>
    <w:rsid w:val="00742430"/>
    <w:rsid w:val="007425B5"/>
    <w:rsid w:val="00742694"/>
    <w:rsid w:val="0074269A"/>
    <w:rsid w:val="00742729"/>
    <w:rsid w:val="00742757"/>
    <w:rsid w:val="0074284C"/>
    <w:rsid w:val="007429AA"/>
    <w:rsid w:val="00742A9B"/>
    <w:rsid w:val="00742AE7"/>
    <w:rsid w:val="00742B0A"/>
    <w:rsid w:val="00742BBB"/>
    <w:rsid w:val="00742C8C"/>
    <w:rsid w:val="00742CAB"/>
    <w:rsid w:val="00742CB5"/>
    <w:rsid w:val="00742D38"/>
    <w:rsid w:val="00742D50"/>
    <w:rsid w:val="00742D86"/>
    <w:rsid w:val="00742DD1"/>
    <w:rsid w:val="00742E48"/>
    <w:rsid w:val="00742E49"/>
    <w:rsid w:val="00742E81"/>
    <w:rsid w:val="00742E99"/>
    <w:rsid w:val="00742EC8"/>
    <w:rsid w:val="00742F00"/>
    <w:rsid w:val="00742F6F"/>
    <w:rsid w:val="00742F76"/>
    <w:rsid w:val="00743008"/>
    <w:rsid w:val="007430C2"/>
    <w:rsid w:val="0074310A"/>
    <w:rsid w:val="00743128"/>
    <w:rsid w:val="007431FF"/>
    <w:rsid w:val="00743233"/>
    <w:rsid w:val="0074328D"/>
    <w:rsid w:val="00743392"/>
    <w:rsid w:val="007433E9"/>
    <w:rsid w:val="00743461"/>
    <w:rsid w:val="007434A0"/>
    <w:rsid w:val="00743528"/>
    <w:rsid w:val="00743547"/>
    <w:rsid w:val="00743756"/>
    <w:rsid w:val="007437BE"/>
    <w:rsid w:val="0074382B"/>
    <w:rsid w:val="00743853"/>
    <w:rsid w:val="00743891"/>
    <w:rsid w:val="007438B5"/>
    <w:rsid w:val="007439AA"/>
    <w:rsid w:val="00743B34"/>
    <w:rsid w:val="00743B75"/>
    <w:rsid w:val="00743BD9"/>
    <w:rsid w:val="00743DA8"/>
    <w:rsid w:val="00743E7D"/>
    <w:rsid w:val="00743EC4"/>
    <w:rsid w:val="00743F13"/>
    <w:rsid w:val="007440BF"/>
    <w:rsid w:val="007440D5"/>
    <w:rsid w:val="0074425C"/>
    <w:rsid w:val="00744275"/>
    <w:rsid w:val="007443C9"/>
    <w:rsid w:val="007443E2"/>
    <w:rsid w:val="007444AC"/>
    <w:rsid w:val="007444BE"/>
    <w:rsid w:val="007444C9"/>
    <w:rsid w:val="00744620"/>
    <w:rsid w:val="00744652"/>
    <w:rsid w:val="007446AD"/>
    <w:rsid w:val="0074473B"/>
    <w:rsid w:val="0074479B"/>
    <w:rsid w:val="007448D2"/>
    <w:rsid w:val="00744BEA"/>
    <w:rsid w:val="00744DDA"/>
    <w:rsid w:val="00744EC7"/>
    <w:rsid w:val="00745049"/>
    <w:rsid w:val="00745143"/>
    <w:rsid w:val="00745465"/>
    <w:rsid w:val="0074567F"/>
    <w:rsid w:val="007456CE"/>
    <w:rsid w:val="007457C2"/>
    <w:rsid w:val="0074588A"/>
    <w:rsid w:val="007458DE"/>
    <w:rsid w:val="007459B4"/>
    <w:rsid w:val="007459CD"/>
    <w:rsid w:val="00745A5B"/>
    <w:rsid w:val="00745BB2"/>
    <w:rsid w:val="00745BBC"/>
    <w:rsid w:val="00745BD1"/>
    <w:rsid w:val="00745C63"/>
    <w:rsid w:val="00745C84"/>
    <w:rsid w:val="00745D7E"/>
    <w:rsid w:val="00745EC7"/>
    <w:rsid w:val="00745F1D"/>
    <w:rsid w:val="00745F86"/>
    <w:rsid w:val="00745FBD"/>
    <w:rsid w:val="007460A3"/>
    <w:rsid w:val="007461B9"/>
    <w:rsid w:val="00746228"/>
    <w:rsid w:val="00746277"/>
    <w:rsid w:val="007462B1"/>
    <w:rsid w:val="007462B6"/>
    <w:rsid w:val="007463FA"/>
    <w:rsid w:val="00746597"/>
    <w:rsid w:val="007466A2"/>
    <w:rsid w:val="007466A4"/>
    <w:rsid w:val="007466C9"/>
    <w:rsid w:val="00746708"/>
    <w:rsid w:val="0074687F"/>
    <w:rsid w:val="007469F3"/>
    <w:rsid w:val="00746A62"/>
    <w:rsid w:val="00746A88"/>
    <w:rsid w:val="00746ABD"/>
    <w:rsid w:val="00746AD6"/>
    <w:rsid w:val="00746AE2"/>
    <w:rsid w:val="00746B3C"/>
    <w:rsid w:val="00746C66"/>
    <w:rsid w:val="00746D1A"/>
    <w:rsid w:val="00746D94"/>
    <w:rsid w:val="00746D98"/>
    <w:rsid w:val="00746F09"/>
    <w:rsid w:val="00746F6C"/>
    <w:rsid w:val="00746FC5"/>
    <w:rsid w:val="00746FF0"/>
    <w:rsid w:val="007470EB"/>
    <w:rsid w:val="007471BE"/>
    <w:rsid w:val="00747268"/>
    <w:rsid w:val="0074734F"/>
    <w:rsid w:val="007473CB"/>
    <w:rsid w:val="00747464"/>
    <w:rsid w:val="00747493"/>
    <w:rsid w:val="00747511"/>
    <w:rsid w:val="0074752A"/>
    <w:rsid w:val="007475B5"/>
    <w:rsid w:val="007475EE"/>
    <w:rsid w:val="00747621"/>
    <w:rsid w:val="0074766D"/>
    <w:rsid w:val="007478D4"/>
    <w:rsid w:val="007478DB"/>
    <w:rsid w:val="00747944"/>
    <w:rsid w:val="007479E3"/>
    <w:rsid w:val="00747A97"/>
    <w:rsid w:val="00747B3C"/>
    <w:rsid w:val="00747CFD"/>
    <w:rsid w:val="00747D07"/>
    <w:rsid w:val="00747D28"/>
    <w:rsid w:val="00747D38"/>
    <w:rsid w:val="00747D50"/>
    <w:rsid w:val="00747D87"/>
    <w:rsid w:val="00747E65"/>
    <w:rsid w:val="00747EBB"/>
    <w:rsid w:val="00747FA0"/>
    <w:rsid w:val="007500AD"/>
    <w:rsid w:val="007500D5"/>
    <w:rsid w:val="0075016E"/>
    <w:rsid w:val="007501D2"/>
    <w:rsid w:val="00750288"/>
    <w:rsid w:val="0075039E"/>
    <w:rsid w:val="00750442"/>
    <w:rsid w:val="007504AA"/>
    <w:rsid w:val="0075053D"/>
    <w:rsid w:val="00750540"/>
    <w:rsid w:val="007505B1"/>
    <w:rsid w:val="00750673"/>
    <w:rsid w:val="00750678"/>
    <w:rsid w:val="00750770"/>
    <w:rsid w:val="00750789"/>
    <w:rsid w:val="007507AD"/>
    <w:rsid w:val="007507DF"/>
    <w:rsid w:val="0075082C"/>
    <w:rsid w:val="0075082E"/>
    <w:rsid w:val="0075084A"/>
    <w:rsid w:val="00750AC6"/>
    <w:rsid w:val="00750AD0"/>
    <w:rsid w:val="00750AFF"/>
    <w:rsid w:val="00750B1B"/>
    <w:rsid w:val="00750BCC"/>
    <w:rsid w:val="00750C52"/>
    <w:rsid w:val="00750C81"/>
    <w:rsid w:val="00750C8D"/>
    <w:rsid w:val="00750D82"/>
    <w:rsid w:val="00750DFF"/>
    <w:rsid w:val="00750E29"/>
    <w:rsid w:val="00750E58"/>
    <w:rsid w:val="00750EBB"/>
    <w:rsid w:val="00750F44"/>
    <w:rsid w:val="00750F7F"/>
    <w:rsid w:val="00751030"/>
    <w:rsid w:val="007510F1"/>
    <w:rsid w:val="00751172"/>
    <w:rsid w:val="00751297"/>
    <w:rsid w:val="007512CC"/>
    <w:rsid w:val="007512F6"/>
    <w:rsid w:val="00751304"/>
    <w:rsid w:val="00751327"/>
    <w:rsid w:val="0075133C"/>
    <w:rsid w:val="0075134E"/>
    <w:rsid w:val="0075136D"/>
    <w:rsid w:val="0075138D"/>
    <w:rsid w:val="0075145E"/>
    <w:rsid w:val="007514B4"/>
    <w:rsid w:val="0075157C"/>
    <w:rsid w:val="00751597"/>
    <w:rsid w:val="00751697"/>
    <w:rsid w:val="007516A9"/>
    <w:rsid w:val="007516C2"/>
    <w:rsid w:val="007518CD"/>
    <w:rsid w:val="00751A4C"/>
    <w:rsid w:val="00751A52"/>
    <w:rsid w:val="00751A93"/>
    <w:rsid w:val="00751C98"/>
    <w:rsid w:val="00751D5E"/>
    <w:rsid w:val="00751DE7"/>
    <w:rsid w:val="00751EAB"/>
    <w:rsid w:val="00751F11"/>
    <w:rsid w:val="00751F21"/>
    <w:rsid w:val="007520BC"/>
    <w:rsid w:val="00752148"/>
    <w:rsid w:val="00752289"/>
    <w:rsid w:val="00752307"/>
    <w:rsid w:val="00752471"/>
    <w:rsid w:val="00752567"/>
    <w:rsid w:val="00752577"/>
    <w:rsid w:val="00752626"/>
    <w:rsid w:val="00752658"/>
    <w:rsid w:val="0075267A"/>
    <w:rsid w:val="00752802"/>
    <w:rsid w:val="00752838"/>
    <w:rsid w:val="0075283D"/>
    <w:rsid w:val="0075288E"/>
    <w:rsid w:val="00752A3B"/>
    <w:rsid w:val="00752ACD"/>
    <w:rsid w:val="00752B93"/>
    <w:rsid w:val="00752BAD"/>
    <w:rsid w:val="00752BC4"/>
    <w:rsid w:val="00752BD0"/>
    <w:rsid w:val="00752C49"/>
    <w:rsid w:val="00752CAD"/>
    <w:rsid w:val="00752CB4"/>
    <w:rsid w:val="00752DF1"/>
    <w:rsid w:val="00752F06"/>
    <w:rsid w:val="00753048"/>
    <w:rsid w:val="00753072"/>
    <w:rsid w:val="0075308F"/>
    <w:rsid w:val="007530BA"/>
    <w:rsid w:val="0075314B"/>
    <w:rsid w:val="007531F3"/>
    <w:rsid w:val="0075329D"/>
    <w:rsid w:val="00753396"/>
    <w:rsid w:val="007533B4"/>
    <w:rsid w:val="007535A1"/>
    <w:rsid w:val="007536EB"/>
    <w:rsid w:val="0075375C"/>
    <w:rsid w:val="0075378C"/>
    <w:rsid w:val="00753811"/>
    <w:rsid w:val="0075381D"/>
    <w:rsid w:val="00753838"/>
    <w:rsid w:val="00753884"/>
    <w:rsid w:val="007538DA"/>
    <w:rsid w:val="0075390E"/>
    <w:rsid w:val="0075398F"/>
    <w:rsid w:val="00753A8E"/>
    <w:rsid w:val="00753AAE"/>
    <w:rsid w:val="00753B04"/>
    <w:rsid w:val="00753B56"/>
    <w:rsid w:val="00753B9F"/>
    <w:rsid w:val="00753CA6"/>
    <w:rsid w:val="00753CA9"/>
    <w:rsid w:val="00753D0F"/>
    <w:rsid w:val="00753D63"/>
    <w:rsid w:val="00753D9B"/>
    <w:rsid w:val="00753E6B"/>
    <w:rsid w:val="00753E9E"/>
    <w:rsid w:val="007540E3"/>
    <w:rsid w:val="00754133"/>
    <w:rsid w:val="00754305"/>
    <w:rsid w:val="00754322"/>
    <w:rsid w:val="00754396"/>
    <w:rsid w:val="007543D1"/>
    <w:rsid w:val="00754573"/>
    <w:rsid w:val="0075474F"/>
    <w:rsid w:val="00754776"/>
    <w:rsid w:val="007547D1"/>
    <w:rsid w:val="007547F4"/>
    <w:rsid w:val="0075489C"/>
    <w:rsid w:val="007548FA"/>
    <w:rsid w:val="00754A25"/>
    <w:rsid w:val="00754C29"/>
    <w:rsid w:val="00754D38"/>
    <w:rsid w:val="00754D78"/>
    <w:rsid w:val="00754DB8"/>
    <w:rsid w:val="00754DC6"/>
    <w:rsid w:val="00754DE3"/>
    <w:rsid w:val="00754DEE"/>
    <w:rsid w:val="00754FDA"/>
    <w:rsid w:val="0075501A"/>
    <w:rsid w:val="0075505A"/>
    <w:rsid w:val="00755093"/>
    <w:rsid w:val="007550EB"/>
    <w:rsid w:val="0075510F"/>
    <w:rsid w:val="00755228"/>
    <w:rsid w:val="0075537C"/>
    <w:rsid w:val="00755407"/>
    <w:rsid w:val="0075544C"/>
    <w:rsid w:val="0075546D"/>
    <w:rsid w:val="007554DE"/>
    <w:rsid w:val="0075554C"/>
    <w:rsid w:val="0075558E"/>
    <w:rsid w:val="00755650"/>
    <w:rsid w:val="00755696"/>
    <w:rsid w:val="007557B8"/>
    <w:rsid w:val="007558B5"/>
    <w:rsid w:val="007558DF"/>
    <w:rsid w:val="007559A8"/>
    <w:rsid w:val="007559F2"/>
    <w:rsid w:val="00755AB6"/>
    <w:rsid w:val="00755B41"/>
    <w:rsid w:val="00755C87"/>
    <w:rsid w:val="00755DC1"/>
    <w:rsid w:val="00755F42"/>
    <w:rsid w:val="00755FA2"/>
    <w:rsid w:val="00756051"/>
    <w:rsid w:val="007560E8"/>
    <w:rsid w:val="00756191"/>
    <w:rsid w:val="00756275"/>
    <w:rsid w:val="007563DE"/>
    <w:rsid w:val="007564C6"/>
    <w:rsid w:val="0075663B"/>
    <w:rsid w:val="00756694"/>
    <w:rsid w:val="0075672F"/>
    <w:rsid w:val="007567E4"/>
    <w:rsid w:val="0075688C"/>
    <w:rsid w:val="00756955"/>
    <w:rsid w:val="0075696B"/>
    <w:rsid w:val="00756A05"/>
    <w:rsid w:val="00756A94"/>
    <w:rsid w:val="00756AA3"/>
    <w:rsid w:val="00756C59"/>
    <w:rsid w:val="00756D84"/>
    <w:rsid w:val="00756D85"/>
    <w:rsid w:val="00756DA3"/>
    <w:rsid w:val="00756E78"/>
    <w:rsid w:val="00756F5B"/>
    <w:rsid w:val="00757070"/>
    <w:rsid w:val="00757158"/>
    <w:rsid w:val="0075719F"/>
    <w:rsid w:val="007571AD"/>
    <w:rsid w:val="0075720F"/>
    <w:rsid w:val="007572F9"/>
    <w:rsid w:val="00757367"/>
    <w:rsid w:val="007573AE"/>
    <w:rsid w:val="00757503"/>
    <w:rsid w:val="00757650"/>
    <w:rsid w:val="007576BB"/>
    <w:rsid w:val="007576D0"/>
    <w:rsid w:val="007576E0"/>
    <w:rsid w:val="00757718"/>
    <w:rsid w:val="00757742"/>
    <w:rsid w:val="00757745"/>
    <w:rsid w:val="0075777E"/>
    <w:rsid w:val="007577A5"/>
    <w:rsid w:val="007577C8"/>
    <w:rsid w:val="00757971"/>
    <w:rsid w:val="007579CD"/>
    <w:rsid w:val="00757A6E"/>
    <w:rsid w:val="00757BC4"/>
    <w:rsid w:val="00757C7B"/>
    <w:rsid w:val="00757C99"/>
    <w:rsid w:val="00757CA6"/>
    <w:rsid w:val="00757CDB"/>
    <w:rsid w:val="00757DF5"/>
    <w:rsid w:val="00757F8F"/>
    <w:rsid w:val="0076003E"/>
    <w:rsid w:val="007600C7"/>
    <w:rsid w:val="0076012F"/>
    <w:rsid w:val="00760185"/>
    <w:rsid w:val="007601A9"/>
    <w:rsid w:val="007601AD"/>
    <w:rsid w:val="0076022C"/>
    <w:rsid w:val="0076027A"/>
    <w:rsid w:val="00760336"/>
    <w:rsid w:val="0076040B"/>
    <w:rsid w:val="00760466"/>
    <w:rsid w:val="007604C5"/>
    <w:rsid w:val="00760660"/>
    <w:rsid w:val="00760754"/>
    <w:rsid w:val="00760767"/>
    <w:rsid w:val="007607B8"/>
    <w:rsid w:val="007607EA"/>
    <w:rsid w:val="0076081F"/>
    <w:rsid w:val="007608B4"/>
    <w:rsid w:val="00760931"/>
    <w:rsid w:val="00760A41"/>
    <w:rsid w:val="00760B02"/>
    <w:rsid w:val="00760B1A"/>
    <w:rsid w:val="00760B75"/>
    <w:rsid w:val="00760C85"/>
    <w:rsid w:val="00760D97"/>
    <w:rsid w:val="00760EB3"/>
    <w:rsid w:val="00760F97"/>
    <w:rsid w:val="00761075"/>
    <w:rsid w:val="0076108B"/>
    <w:rsid w:val="007610DE"/>
    <w:rsid w:val="00761141"/>
    <w:rsid w:val="007611CD"/>
    <w:rsid w:val="0076125D"/>
    <w:rsid w:val="00761269"/>
    <w:rsid w:val="00761299"/>
    <w:rsid w:val="007612D5"/>
    <w:rsid w:val="007612DC"/>
    <w:rsid w:val="00761342"/>
    <w:rsid w:val="007613DB"/>
    <w:rsid w:val="00761446"/>
    <w:rsid w:val="00761455"/>
    <w:rsid w:val="0076146F"/>
    <w:rsid w:val="0076155B"/>
    <w:rsid w:val="007615A5"/>
    <w:rsid w:val="007616B0"/>
    <w:rsid w:val="0076175C"/>
    <w:rsid w:val="007617E6"/>
    <w:rsid w:val="0076182F"/>
    <w:rsid w:val="0076185B"/>
    <w:rsid w:val="0076188D"/>
    <w:rsid w:val="007618AE"/>
    <w:rsid w:val="00761914"/>
    <w:rsid w:val="0076194B"/>
    <w:rsid w:val="00761A08"/>
    <w:rsid w:val="00761CAE"/>
    <w:rsid w:val="00761D12"/>
    <w:rsid w:val="00761DBA"/>
    <w:rsid w:val="00761F1C"/>
    <w:rsid w:val="00761F73"/>
    <w:rsid w:val="00761F77"/>
    <w:rsid w:val="00761FC3"/>
    <w:rsid w:val="00761FF3"/>
    <w:rsid w:val="00762077"/>
    <w:rsid w:val="00762132"/>
    <w:rsid w:val="007621AB"/>
    <w:rsid w:val="00762350"/>
    <w:rsid w:val="00762467"/>
    <w:rsid w:val="00762492"/>
    <w:rsid w:val="007625FB"/>
    <w:rsid w:val="007626AC"/>
    <w:rsid w:val="0076275A"/>
    <w:rsid w:val="00762819"/>
    <w:rsid w:val="00762906"/>
    <w:rsid w:val="00762A49"/>
    <w:rsid w:val="00762A77"/>
    <w:rsid w:val="00762A93"/>
    <w:rsid w:val="00762AC9"/>
    <w:rsid w:val="00762BC9"/>
    <w:rsid w:val="00762BE2"/>
    <w:rsid w:val="00762D68"/>
    <w:rsid w:val="00762ECC"/>
    <w:rsid w:val="00762FAD"/>
    <w:rsid w:val="00762FCE"/>
    <w:rsid w:val="00762FDD"/>
    <w:rsid w:val="00763051"/>
    <w:rsid w:val="00763098"/>
    <w:rsid w:val="007631EA"/>
    <w:rsid w:val="007631F3"/>
    <w:rsid w:val="007632CE"/>
    <w:rsid w:val="0076336D"/>
    <w:rsid w:val="0076341E"/>
    <w:rsid w:val="00763589"/>
    <w:rsid w:val="007635CD"/>
    <w:rsid w:val="007636FC"/>
    <w:rsid w:val="0076371C"/>
    <w:rsid w:val="0076373E"/>
    <w:rsid w:val="00763810"/>
    <w:rsid w:val="00763870"/>
    <w:rsid w:val="007638AD"/>
    <w:rsid w:val="00763985"/>
    <w:rsid w:val="0076398F"/>
    <w:rsid w:val="007639B7"/>
    <w:rsid w:val="00763A0E"/>
    <w:rsid w:val="00763A89"/>
    <w:rsid w:val="00763B44"/>
    <w:rsid w:val="00763B63"/>
    <w:rsid w:val="00763BA9"/>
    <w:rsid w:val="00763BC6"/>
    <w:rsid w:val="00763C21"/>
    <w:rsid w:val="00763CF4"/>
    <w:rsid w:val="00763E5C"/>
    <w:rsid w:val="00763E81"/>
    <w:rsid w:val="007641AF"/>
    <w:rsid w:val="00764269"/>
    <w:rsid w:val="007643DA"/>
    <w:rsid w:val="0076440E"/>
    <w:rsid w:val="0076442A"/>
    <w:rsid w:val="007645B5"/>
    <w:rsid w:val="007645E9"/>
    <w:rsid w:val="007646A8"/>
    <w:rsid w:val="007646F7"/>
    <w:rsid w:val="007647CE"/>
    <w:rsid w:val="00764874"/>
    <w:rsid w:val="00764896"/>
    <w:rsid w:val="00764954"/>
    <w:rsid w:val="00764A58"/>
    <w:rsid w:val="00764CD6"/>
    <w:rsid w:val="00764CF2"/>
    <w:rsid w:val="00764E17"/>
    <w:rsid w:val="00764E1A"/>
    <w:rsid w:val="00764F5E"/>
    <w:rsid w:val="007650F3"/>
    <w:rsid w:val="007651AC"/>
    <w:rsid w:val="007651DF"/>
    <w:rsid w:val="0076521F"/>
    <w:rsid w:val="00765272"/>
    <w:rsid w:val="007652D8"/>
    <w:rsid w:val="0076538B"/>
    <w:rsid w:val="0076542F"/>
    <w:rsid w:val="007654A9"/>
    <w:rsid w:val="00765529"/>
    <w:rsid w:val="00765570"/>
    <w:rsid w:val="0076567E"/>
    <w:rsid w:val="007656C7"/>
    <w:rsid w:val="007657F0"/>
    <w:rsid w:val="007658F3"/>
    <w:rsid w:val="00765961"/>
    <w:rsid w:val="0076596A"/>
    <w:rsid w:val="0076599C"/>
    <w:rsid w:val="007659D3"/>
    <w:rsid w:val="00765A0C"/>
    <w:rsid w:val="00765A2E"/>
    <w:rsid w:val="00765ABD"/>
    <w:rsid w:val="00765B04"/>
    <w:rsid w:val="00765BF7"/>
    <w:rsid w:val="00765C50"/>
    <w:rsid w:val="00765DAA"/>
    <w:rsid w:val="00765E2B"/>
    <w:rsid w:val="00765E47"/>
    <w:rsid w:val="00765E65"/>
    <w:rsid w:val="00765F65"/>
    <w:rsid w:val="00765F90"/>
    <w:rsid w:val="00765FA4"/>
    <w:rsid w:val="00766161"/>
    <w:rsid w:val="007661F2"/>
    <w:rsid w:val="007662D3"/>
    <w:rsid w:val="00766321"/>
    <w:rsid w:val="0076644E"/>
    <w:rsid w:val="007664B0"/>
    <w:rsid w:val="00766568"/>
    <w:rsid w:val="007665A1"/>
    <w:rsid w:val="007665DD"/>
    <w:rsid w:val="00766617"/>
    <w:rsid w:val="00766653"/>
    <w:rsid w:val="00766668"/>
    <w:rsid w:val="00766695"/>
    <w:rsid w:val="007666F3"/>
    <w:rsid w:val="00766779"/>
    <w:rsid w:val="0076678D"/>
    <w:rsid w:val="007668B0"/>
    <w:rsid w:val="007668C9"/>
    <w:rsid w:val="007668F7"/>
    <w:rsid w:val="00766A1C"/>
    <w:rsid w:val="00766A78"/>
    <w:rsid w:val="00766AD6"/>
    <w:rsid w:val="00766B07"/>
    <w:rsid w:val="00766B60"/>
    <w:rsid w:val="00766BFD"/>
    <w:rsid w:val="00766CEC"/>
    <w:rsid w:val="00766D64"/>
    <w:rsid w:val="00766DA6"/>
    <w:rsid w:val="00766DEF"/>
    <w:rsid w:val="00766E9F"/>
    <w:rsid w:val="00766F74"/>
    <w:rsid w:val="00766FA8"/>
    <w:rsid w:val="00767024"/>
    <w:rsid w:val="0076706C"/>
    <w:rsid w:val="007670C7"/>
    <w:rsid w:val="007671F1"/>
    <w:rsid w:val="007672EA"/>
    <w:rsid w:val="00767394"/>
    <w:rsid w:val="007673F5"/>
    <w:rsid w:val="007675A9"/>
    <w:rsid w:val="00767696"/>
    <w:rsid w:val="007676B3"/>
    <w:rsid w:val="00767798"/>
    <w:rsid w:val="0076787A"/>
    <w:rsid w:val="007678D4"/>
    <w:rsid w:val="007678FD"/>
    <w:rsid w:val="00767988"/>
    <w:rsid w:val="007679F5"/>
    <w:rsid w:val="00767B4F"/>
    <w:rsid w:val="00767BB9"/>
    <w:rsid w:val="00767BD0"/>
    <w:rsid w:val="00767CDD"/>
    <w:rsid w:val="00767F6B"/>
    <w:rsid w:val="00767FCF"/>
    <w:rsid w:val="00767FE2"/>
    <w:rsid w:val="00767FE9"/>
    <w:rsid w:val="0077006E"/>
    <w:rsid w:val="0077008D"/>
    <w:rsid w:val="0077008E"/>
    <w:rsid w:val="0077011F"/>
    <w:rsid w:val="007701CD"/>
    <w:rsid w:val="0077023C"/>
    <w:rsid w:val="007702EC"/>
    <w:rsid w:val="0077041C"/>
    <w:rsid w:val="00770446"/>
    <w:rsid w:val="007704E8"/>
    <w:rsid w:val="00770548"/>
    <w:rsid w:val="007707C6"/>
    <w:rsid w:val="007707E2"/>
    <w:rsid w:val="00770820"/>
    <w:rsid w:val="00770828"/>
    <w:rsid w:val="007708E8"/>
    <w:rsid w:val="00770919"/>
    <w:rsid w:val="00770933"/>
    <w:rsid w:val="007709BA"/>
    <w:rsid w:val="007709D2"/>
    <w:rsid w:val="00770A85"/>
    <w:rsid w:val="00770AD2"/>
    <w:rsid w:val="00770B74"/>
    <w:rsid w:val="00770BA4"/>
    <w:rsid w:val="00770C02"/>
    <w:rsid w:val="00770CA7"/>
    <w:rsid w:val="00770CA8"/>
    <w:rsid w:val="00770D26"/>
    <w:rsid w:val="00770E35"/>
    <w:rsid w:val="00770E54"/>
    <w:rsid w:val="00770E9C"/>
    <w:rsid w:val="00770ED0"/>
    <w:rsid w:val="00770F12"/>
    <w:rsid w:val="00770F63"/>
    <w:rsid w:val="00770FC4"/>
    <w:rsid w:val="00770FEB"/>
    <w:rsid w:val="00771056"/>
    <w:rsid w:val="00771142"/>
    <w:rsid w:val="00771277"/>
    <w:rsid w:val="00771456"/>
    <w:rsid w:val="00771495"/>
    <w:rsid w:val="00771623"/>
    <w:rsid w:val="00771664"/>
    <w:rsid w:val="007716AA"/>
    <w:rsid w:val="007716F5"/>
    <w:rsid w:val="007716FA"/>
    <w:rsid w:val="00771776"/>
    <w:rsid w:val="007717CE"/>
    <w:rsid w:val="0077186B"/>
    <w:rsid w:val="007718D3"/>
    <w:rsid w:val="007719C9"/>
    <w:rsid w:val="00771B50"/>
    <w:rsid w:val="00771C4B"/>
    <w:rsid w:val="00771D22"/>
    <w:rsid w:val="00771E3F"/>
    <w:rsid w:val="00771F6B"/>
    <w:rsid w:val="00771FED"/>
    <w:rsid w:val="00772001"/>
    <w:rsid w:val="0077208A"/>
    <w:rsid w:val="00772108"/>
    <w:rsid w:val="0077212C"/>
    <w:rsid w:val="00772180"/>
    <w:rsid w:val="007721AA"/>
    <w:rsid w:val="0077220C"/>
    <w:rsid w:val="007723AD"/>
    <w:rsid w:val="00772451"/>
    <w:rsid w:val="007725CB"/>
    <w:rsid w:val="007725F5"/>
    <w:rsid w:val="00772617"/>
    <w:rsid w:val="0077268F"/>
    <w:rsid w:val="0077283E"/>
    <w:rsid w:val="007728D5"/>
    <w:rsid w:val="007728E4"/>
    <w:rsid w:val="007729DD"/>
    <w:rsid w:val="007729E6"/>
    <w:rsid w:val="00772A83"/>
    <w:rsid w:val="00772AA4"/>
    <w:rsid w:val="00772AB0"/>
    <w:rsid w:val="00772B14"/>
    <w:rsid w:val="00772BD1"/>
    <w:rsid w:val="00772BF1"/>
    <w:rsid w:val="00772D65"/>
    <w:rsid w:val="00772E7E"/>
    <w:rsid w:val="00772F50"/>
    <w:rsid w:val="00772F88"/>
    <w:rsid w:val="00772F9F"/>
    <w:rsid w:val="00772FAB"/>
    <w:rsid w:val="00772FC0"/>
    <w:rsid w:val="00773002"/>
    <w:rsid w:val="0077304B"/>
    <w:rsid w:val="0077310A"/>
    <w:rsid w:val="007732D5"/>
    <w:rsid w:val="007732D9"/>
    <w:rsid w:val="00773389"/>
    <w:rsid w:val="007733E5"/>
    <w:rsid w:val="00773561"/>
    <w:rsid w:val="007735CA"/>
    <w:rsid w:val="0077371C"/>
    <w:rsid w:val="0077372B"/>
    <w:rsid w:val="0077374B"/>
    <w:rsid w:val="0077378D"/>
    <w:rsid w:val="0077383C"/>
    <w:rsid w:val="007738A0"/>
    <w:rsid w:val="00773A43"/>
    <w:rsid w:val="00773A82"/>
    <w:rsid w:val="00773A86"/>
    <w:rsid w:val="00773ABB"/>
    <w:rsid w:val="00773AC0"/>
    <w:rsid w:val="00773AF3"/>
    <w:rsid w:val="00773B67"/>
    <w:rsid w:val="00773C65"/>
    <w:rsid w:val="00773DA1"/>
    <w:rsid w:val="00773E01"/>
    <w:rsid w:val="00773E2C"/>
    <w:rsid w:val="00773E75"/>
    <w:rsid w:val="0077401B"/>
    <w:rsid w:val="0077403E"/>
    <w:rsid w:val="007742AF"/>
    <w:rsid w:val="007742B4"/>
    <w:rsid w:val="007742EA"/>
    <w:rsid w:val="00774397"/>
    <w:rsid w:val="0077449B"/>
    <w:rsid w:val="007745EC"/>
    <w:rsid w:val="0077467D"/>
    <w:rsid w:val="00774718"/>
    <w:rsid w:val="007747BE"/>
    <w:rsid w:val="007748B8"/>
    <w:rsid w:val="007748F1"/>
    <w:rsid w:val="00774998"/>
    <w:rsid w:val="00774A10"/>
    <w:rsid w:val="00774A89"/>
    <w:rsid w:val="00774B8D"/>
    <w:rsid w:val="00774C84"/>
    <w:rsid w:val="00774DD6"/>
    <w:rsid w:val="00774EB9"/>
    <w:rsid w:val="00774FA7"/>
    <w:rsid w:val="00774FE7"/>
    <w:rsid w:val="00775068"/>
    <w:rsid w:val="007750CF"/>
    <w:rsid w:val="00775181"/>
    <w:rsid w:val="00775184"/>
    <w:rsid w:val="00775192"/>
    <w:rsid w:val="00775282"/>
    <w:rsid w:val="007752CB"/>
    <w:rsid w:val="007752F5"/>
    <w:rsid w:val="0077530E"/>
    <w:rsid w:val="00775402"/>
    <w:rsid w:val="0077541D"/>
    <w:rsid w:val="007754B7"/>
    <w:rsid w:val="007754D0"/>
    <w:rsid w:val="0077557F"/>
    <w:rsid w:val="007755B4"/>
    <w:rsid w:val="007755BC"/>
    <w:rsid w:val="007755C7"/>
    <w:rsid w:val="007755FF"/>
    <w:rsid w:val="00775654"/>
    <w:rsid w:val="007757AC"/>
    <w:rsid w:val="007757B1"/>
    <w:rsid w:val="007759B0"/>
    <w:rsid w:val="00775B5D"/>
    <w:rsid w:val="00775C4F"/>
    <w:rsid w:val="00775C75"/>
    <w:rsid w:val="00775D00"/>
    <w:rsid w:val="00775DC4"/>
    <w:rsid w:val="00775FC2"/>
    <w:rsid w:val="00775FF3"/>
    <w:rsid w:val="00776039"/>
    <w:rsid w:val="007760E9"/>
    <w:rsid w:val="00776112"/>
    <w:rsid w:val="007761BA"/>
    <w:rsid w:val="007762A8"/>
    <w:rsid w:val="007763A5"/>
    <w:rsid w:val="0077664E"/>
    <w:rsid w:val="00776699"/>
    <w:rsid w:val="007767CA"/>
    <w:rsid w:val="007767FE"/>
    <w:rsid w:val="00776874"/>
    <w:rsid w:val="00776A5E"/>
    <w:rsid w:val="00776AFE"/>
    <w:rsid w:val="00776C7D"/>
    <w:rsid w:val="00776CA3"/>
    <w:rsid w:val="00776CD2"/>
    <w:rsid w:val="00776D2E"/>
    <w:rsid w:val="00776DBB"/>
    <w:rsid w:val="00776DC5"/>
    <w:rsid w:val="00776DCF"/>
    <w:rsid w:val="00776DE4"/>
    <w:rsid w:val="00776E2B"/>
    <w:rsid w:val="00776EB4"/>
    <w:rsid w:val="00776EB6"/>
    <w:rsid w:val="00776EFC"/>
    <w:rsid w:val="0077700B"/>
    <w:rsid w:val="0077702D"/>
    <w:rsid w:val="0077734E"/>
    <w:rsid w:val="00777382"/>
    <w:rsid w:val="0077739A"/>
    <w:rsid w:val="00777549"/>
    <w:rsid w:val="0077757A"/>
    <w:rsid w:val="00777736"/>
    <w:rsid w:val="00777875"/>
    <w:rsid w:val="00777A99"/>
    <w:rsid w:val="00777A9E"/>
    <w:rsid w:val="00777D0F"/>
    <w:rsid w:val="00777D1C"/>
    <w:rsid w:val="00777D40"/>
    <w:rsid w:val="00777F0C"/>
    <w:rsid w:val="00777F53"/>
    <w:rsid w:val="00780017"/>
    <w:rsid w:val="00780051"/>
    <w:rsid w:val="00780361"/>
    <w:rsid w:val="007803F1"/>
    <w:rsid w:val="0078045E"/>
    <w:rsid w:val="007804A6"/>
    <w:rsid w:val="00780659"/>
    <w:rsid w:val="00780685"/>
    <w:rsid w:val="007806DF"/>
    <w:rsid w:val="007806F0"/>
    <w:rsid w:val="007807AB"/>
    <w:rsid w:val="0078081D"/>
    <w:rsid w:val="007808F6"/>
    <w:rsid w:val="0078090D"/>
    <w:rsid w:val="0078096D"/>
    <w:rsid w:val="00780AFD"/>
    <w:rsid w:val="00780BDF"/>
    <w:rsid w:val="00780C2A"/>
    <w:rsid w:val="00780D86"/>
    <w:rsid w:val="00780E44"/>
    <w:rsid w:val="00780E92"/>
    <w:rsid w:val="00780EB6"/>
    <w:rsid w:val="007810CA"/>
    <w:rsid w:val="007810E3"/>
    <w:rsid w:val="007811C2"/>
    <w:rsid w:val="007811F9"/>
    <w:rsid w:val="0078123D"/>
    <w:rsid w:val="0078124D"/>
    <w:rsid w:val="007813DC"/>
    <w:rsid w:val="007814B6"/>
    <w:rsid w:val="007814D1"/>
    <w:rsid w:val="00781536"/>
    <w:rsid w:val="00781583"/>
    <w:rsid w:val="007815A8"/>
    <w:rsid w:val="00781659"/>
    <w:rsid w:val="00781708"/>
    <w:rsid w:val="0078179F"/>
    <w:rsid w:val="00781846"/>
    <w:rsid w:val="0078186E"/>
    <w:rsid w:val="00781978"/>
    <w:rsid w:val="00781BA7"/>
    <w:rsid w:val="00781BAB"/>
    <w:rsid w:val="00781BFB"/>
    <w:rsid w:val="00781C5F"/>
    <w:rsid w:val="00781C66"/>
    <w:rsid w:val="00781C71"/>
    <w:rsid w:val="00781DF4"/>
    <w:rsid w:val="00781E1A"/>
    <w:rsid w:val="00781E23"/>
    <w:rsid w:val="00781EA7"/>
    <w:rsid w:val="00781EE7"/>
    <w:rsid w:val="00781F83"/>
    <w:rsid w:val="00781FAD"/>
    <w:rsid w:val="00781FF6"/>
    <w:rsid w:val="00782005"/>
    <w:rsid w:val="007821BE"/>
    <w:rsid w:val="0078231A"/>
    <w:rsid w:val="007823A1"/>
    <w:rsid w:val="007823DB"/>
    <w:rsid w:val="007824B0"/>
    <w:rsid w:val="007825CD"/>
    <w:rsid w:val="00782691"/>
    <w:rsid w:val="007826E9"/>
    <w:rsid w:val="0078279B"/>
    <w:rsid w:val="007827C4"/>
    <w:rsid w:val="0078283D"/>
    <w:rsid w:val="0078284D"/>
    <w:rsid w:val="00782861"/>
    <w:rsid w:val="007828E8"/>
    <w:rsid w:val="007828ED"/>
    <w:rsid w:val="0078291A"/>
    <w:rsid w:val="00782AB7"/>
    <w:rsid w:val="00782B1E"/>
    <w:rsid w:val="00782B66"/>
    <w:rsid w:val="00782BC5"/>
    <w:rsid w:val="00782C18"/>
    <w:rsid w:val="00782C8E"/>
    <w:rsid w:val="00782CCB"/>
    <w:rsid w:val="00782D71"/>
    <w:rsid w:val="00782D88"/>
    <w:rsid w:val="00782DC6"/>
    <w:rsid w:val="00782E85"/>
    <w:rsid w:val="00782ECF"/>
    <w:rsid w:val="0078303B"/>
    <w:rsid w:val="007830DE"/>
    <w:rsid w:val="00783172"/>
    <w:rsid w:val="007831D2"/>
    <w:rsid w:val="007831F0"/>
    <w:rsid w:val="00783234"/>
    <w:rsid w:val="007832AB"/>
    <w:rsid w:val="007832AE"/>
    <w:rsid w:val="0078334D"/>
    <w:rsid w:val="0078342C"/>
    <w:rsid w:val="007834BE"/>
    <w:rsid w:val="007834F6"/>
    <w:rsid w:val="00783509"/>
    <w:rsid w:val="00783549"/>
    <w:rsid w:val="007835B7"/>
    <w:rsid w:val="00783635"/>
    <w:rsid w:val="00783693"/>
    <w:rsid w:val="007836E1"/>
    <w:rsid w:val="00783716"/>
    <w:rsid w:val="0078371D"/>
    <w:rsid w:val="0078374C"/>
    <w:rsid w:val="00783803"/>
    <w:rsid w:val="0078387C"/>
    <w:rsid w:val="007839FF"/>
    <w:rsid w:val="00783ADF"/>
    <w:rsid w:val="00783AE0"/>
    <w:rsid w:val="00783B97"/>
    <w:rsid w:val="00783C21"/>
    <w:rsid w:val="00783C84"/>
    <w:rsid w:val="00783C9D"/>
    <w:rsid w:val="00783D48"/>
    <w:rsid w:val="00783E51"/>
    <w:rsid w:val="00783E7D"/>
    <w:rsid w:val="00783F2C"/>
    <w:rsid w:val="00783F4A"/>
    <w:rsid w:val="00783F94"/>
    <w:rsid w:val="00783FEE"/>
    <w:rsid w:val="00784113"/>
    <w:rsid w:val="007842AE"/>
    <w:rsid w:val="00784302"/>
    <w:rsid w:val="00784320"/>
    <w:rsid w:val="0078435F"/>
    <w:rsid w:val="00784410"/>
    <w:rsid w:val="0078441B"/>
    <w:rsid w:val="00784447"/>
    <w:rsid w:val="007846AF"/>
    <w:rsid w:val="007847B5"/>
    <w:rsid w:val="007847E9"/>
    <w:rsid w:val="00784996"/>
    <w:rsid w:val="007849A6"/>
    <w:rsid w:val="007849C4"/>
    <w:rsid w:val="00784B17"/>
    <w:rsid w:val="00784B3E"/>
    <w:rsid w:val="00784CD4"/>
    <w:rsid w:val="00784D1A"/>
    <w:rsid w:val="00784D2D"/>
    <w:rsid w:val="00784E77"/>
    <w:rsid w:val="00784FCD"/>
    <w:rsid w:val="00785173"/>
    <w:rsid w:val="007851DC"/>
    <w:rsid w:val="00785210"/>
    <w:rsid w:val="0078526F"/>
    <w:rsid w:val="00785299"/>
    <w:rsid w:val="0078549C"/>
    <w:rsid w:val="007855EB"/>
    <w:rsid w:val="0078563B"/>
    <w:rsid w:val="00785655"/>
    <w:rsid w:val="00785736"/>
    <w:rsid w:val="00785783"/>
    <w:rsid w:val="007857EE"/>
    <w:rsid w:val="0078580D"/>
    <w:rsid w:val="00785993"/>
    <w:rsid w:val="00785A1A"/>
    <w:rsid w:val="00785C6B"/>
    <w:rsid w:val="00785D15"/>
    <w:rsid w:val="00785D19"/>
    <w:rsid w:val="00785D65"/>
    <w:rsid w:val="00785D6B"/>
    <w:rsid w:val="00785E05"/>
    <w:rsid w:val="00785F07"/>
    <w:rsid w:val="00785F09"/>
    <w:rsid w:val="0078604B"/>
    <w:rsid w:val="00786111"/>
    <w:rsid w:val="0078616A"/>
    <w:rsid w:val="007861ED"/>
    <w:rsid w:val="007861FB"/>
    <w:rsid w:val="0078620B"/>
    <w:rsid w:val="00786223"/>
    <w:rsid w:val="00786245"/>
    <w:rsid w:val="007863D8"/>
    <w:rsid w:val="0078645D"/>
    <w:rsid w:val="007864F4"/>
    <w:rsid w:val="00786917"/>
    <w:rsid w:val="00786956"/>
    <w:rsid w:val="00786AA2"/>
    <w:rsid w:val="00786ACA"/>
    <w:rsid w:val="00786B7E"/>
    <w:rsid w:val="00786B95"/>
    <w:rsid w:val="00786BF8"/>
    <w:rsid w:val="00786E7D"/>
    <w:rsid w:val="00786EAD"/>
    <w:rsid w:val="00786EC9"/>
    <w:rsid w:val="00786F4F"/>
    <w:rsid w:val="00787010"/>
    <w:rsid w:val="00787135"/>
    <w:rsid w:val="007871BD"/>
    <w:rsid w:val="007871DC"/>
    <w:rsid w:val="007871F7"/>
    <w:rsid w:val="00787246"/>
    <w:rsid w:val="0078726C"/>
    <w:rsid w:val="00787274"/>
    <w:rsid w:val="007873D3"/>
    <w:rsid w:val="007873DB"/>
    <w:rsid w:val="007873EE"/>
    <w:rsid w:val="007874AE"/>
    <w:rsid w:val="00787542"/>
    <w:rsid w:val="00787609"/>
    <w:rsid w:val="007876E4"/>
    <w:rsid w:val="00787719"/>
    <w:rsid w:val="007878A7"/>
    <w:rsid w:val="00787A47"/>
    <w:rsid w:val="00787A8C"/>
    <w:rsid w:val="00787BB2"/>
    <w:rsid w:val="00787BD8"/>
    <w:rsid w:val="00787DCD"/>
    <w:rsid w:val="00787E0A"/>
    <w:rsid w:val="00787E4A"/>
    <w:rsid w:val="00787F0B"/>
    <w:rsid w:val="00787FF6"/>
    <w:rsid w:val="0079008B"/>
    <w:rsid w:val="00790137"/>
    <w:rsid w:val="00790142"/>
    <w:rsid w:val="00790146"/>
    <w:rsid w:val="007901B4"/>
    <w:rsid w:val="00790527"/>
    <w:rsid w:val="00790551"/>
    <w:rsid w:val="0079063B"/>
    <w:rsid w:val="007906F5"/>
    <w:rsid w:val="007907BD"/>
    <w:rsid w:val="007907FB"/>
    <w:rsid w:val="007908CF"/>
    <w:rsid w:val="0079091C"/>
    <w:rsid w:val="00790958"/>
    <w:rsid w:val="00790976"/>
    <w:rsid w:val="007909E9"/>
    <w:rsid w:val="00790A4C"/>
    <w:rsid w:val="00790AF2"/>
    <w:rsid w:val="00790B26"/>
    <w:rsid w:val="00790B6B"/>
    <w:rsid w:val="00790B8D"/>
    <w:rsid w:val="00790C7C"/>
    <w:rsid w:val="00790D1C"/>
    <w:rsid w:val="00790F66"/>
    <w:rsid w:val="007910E8"/>
    <w:rsid w:val="007911CA"/>
    <w:rsid w:val="0079129B"/>
    <w:rsid w:val="007912E4"/>
    <w:rsid w:val="00791396"/>
    <w:rsid w:val="007913BF"/>
    <w:rsid w:val="007913E7"/>
    <w:rsid w:val="00791669"/>
    <w:rsid w:val="007916D5"/>
    <w:rsid w:val="0079181F"/>
    <w:rsid w:val="007918D6"/>
    <w:rsid w:val="007919BA"/>
    <w:rsid w:val="007919CE"/>
    <w:rsid w:val="00791A49"/>
    <w:rsid w:val="00791A58"/>
    <w:rsid w:val="00791AB5"/>
    <w:rsid w:val="00791AD7"/>
    <w:rsid w:val="00791CE1"/>
    <w:rsid w:val="007920F0"/>
    <w:rsid w:val="00792227"/>
    <w:rsid w:val="00792382"/>
    <w:rsid w:val="007923D9"/>
    <w:rsid w:val="007923DF"/>
    <w:rsid w:val="00792477"/>
    <w:rsid w:val="0079249F"/>
    <w:rsid w:val="007924E0"/>
    <w:rsid w:val="007924F4"/>
    <w:rsid w:val="00792527"/>
    <w:rsid w:val="0079255C"/>
    <w:rsid w:val="0079269B"/>
    <w:rsid w:val="00792796"/>
    <w:rsid w:val="00792860"/>
    <w:rsid w:val="0079294D"/>
    <w:rsid w:val="0079296D"/>
    <w:rsid w:val="007929F6"/>
    <w:rsid w:val="00792A7D"/>
    <w:rsid w:val="00792BB5"/>
    <w:rsid w:val="00792C1D"/>
    <w:rsid w:val="00792C3D"/>
    <w:rsid w:val="00792E2B"/>
    <w:rsid w:val="00792F0D"/>
    <w:rsid w:val="00793041"/>
    <w:rsid w:val="00793045"/>
    <w:rsid w:val="0079308D"/>
    <w:rsid w:val="0079311F"/>
    <w:rsid w:val="00793252"/>
    <w:rsid w:val="007932B1"/>
    <w:rsid w:val="0079333E"/>
    <w:rsid w:val="0079333F"/>
    <w:rsid w:val="00793364"/>
    <w:rsid w:val="00793376"/>
    <w:rsid w:val="00793559"/>
    <w:rsid w:val="007935A8"/>
    <w:rsid w:val="007935D2"/>
    <w:rsid w:val="007936B1"/>
    <w:rsid w:val="007938F2"/>
    <w:rsid w:val="00793AC7"/>
    <w:rsid w:val="00793AE3"/>
    <w:rsid w:val="00793BD4"/>
    <w:rsid w:val="00793C46"/>
    <w:rsid w:val="00793D57"/>
    <w:rsid w:val="00793DB5"/>
    <w:rsid w:val="00793F76"/>
    <w:rsid w:val="00794154"/>
    <w:rsid w:val="00794186"/>
    <w:rsid w:val="007941FA"/>
    <w:rsid w:val="00794320"/>
    <w:rsid w:val="00794403"/>
    <w:rsid w:val="00794433"/>
    <w:rsid w:val="00794498"/>
    <w:rsid w:val="007944B7"/>
    <w:rsid w:val="007944D3"/>
    <w:rsid w:val="00794523"/>
    <w:rsid w:val="007945B9"/>
    <w:rsid w:val="00794642"/>
    <w:rsid w:val="0079472D"/>
    <w:rsid w:val="007948D8"/>
    <w:rsid w:val="007949FB"/>
    <w:rsid w:val="00794A04"/>
    <w:rsid w:val="00794ADA"/>
    <w:rsid w:val="00794B51"/>
    <w:rsid w:val="00794BEF"/>
    <w:rsid w:val="00794DE1"/>
    <w:rsid w:val="00794E65"/>
    <w:rsid w:val="00794EA3"/>
    <w:rsid w:val="00794ED7"/>
    <w:rsid w:val="0079501E"/>
    <w:rsid w:val="00795091"/>
    <w:rsid w:val="0079512C"/>
    <w:rsid w:val="007952BD"/>
    <w:rsid w:val="00795636"/>
    <w:rsid w:val="00795816"/>
    <w:rsid w:val="0079581F"/>
    <w:rsid w:val="00795850"/>
    <w:rsid w:val="007958E1"/>
    <w:rsid w:val="00795A62"/>
    <w:rsid w:val="00795B77"/>
    <w:rsid w:val="00795BCE"/>
    <w:rsid w:val="00795BDD"/>
    <w:rsid w:val="00795D2C"/>
    <w:rsid w:val="00795D5E"/>
    <w:rsid w:val="00795DB1"/>
    <w:rsid w:val="00795DE3"/>
    <w:rsid w:val="00795E99"/>
    <w:rsid w:val="00796097"/>
    <w:rsid w:val="007960C9"/>
    <w:rsid w:val="00796147"/>
    <w:rsid w:val="00796174"/>
    <w:rsid w:val="00796282"/>
    <w:rsid w:val="00796295"/>
    <w:rsid w:val="007962B6"/>
    <w:rsid w:val="00796375"/>
    <w:rsid w:val="007964D5"/>
    <w:rsid w:val="007964E5"/>
    <w:rsid w:val="007965F6"/>
    <w:rsid w:val="007966F9"/>
    <w:rsid w:val="0079673B"/>
    <w:rsid w:val="00796762"/>
    <w:rsid w:val="0079684A"/>
    <w:rsid w:val="00796852"/>
    <w:rsid w:val="0079687C"/>
    <w:rsid w:val="00796973"/>
    <w:rsid w:val="00796AE7"/>
    <w:rsid w:val="00796B38"/>
    <w:rsid w:val="00796C08"/>
    <w:rsid w:val="00796C58"/>
    <w:rsid w:val="00796CEC"/>
    <w:rsid w:val="00796D0B"/>
    <w:rsid w:val="00796E62"/>
    <w:rsid w:val="00796E69"/>
    <w:rsid w:val="00796ED5"/>
    <w:rsid w:val="00796EF6"/>
    <w:rsid w:val="00797086"/>
    <w:rsid w:val="007970F9"/>
    <w:rsid w:val="0079710E"/>
    <w:rsid w:val="00797157"/>
    <w:rsid w:val="0079716B"/>
    <w:rsid w:val="00797251"/>
    <w:rsid w:val="00797403"/>
    <w:rsid w:val="0079744D"/>
    <w:rsid w:val="0079755B"/>
    <w:rsid w:val="0079759A"/>
    <w:rsid w:val="007975CE"/>
    <w:rsid w:val="007975CF"/>
    <w:rsid w:val="007975DC"/>
    <w:rsid w:val="007977BB"/>
    <w:rsid w:val="00797820"/>
    <w:rsid w:val="007978DB"/>
    <w:rsid w:val="00797985"/>
    <w:rsid w:val="00797A6F"/>
    <w:rsid w:val="00797AB4"/>
    <w:rsid w:val="00797B3A"/>
    <w:rsid w:val="00797B5D"/>
    <w:rsid w:val="00797B80"/>
    <w:rsid w:val="00797C26"/>
    <w:rsid w:val="00797C4C"/>
    <w:rsid w:val="00797C8B"/>
    <w:rsid w:val="00797DC2"/>
    <w:rsid w:val="00797E41"/>
    <w:rsid w:val="00797E52"/>
    <w:rsid w:val="00797F24"/>
    <w:rsid w:val="00797F41"/>
    <w:rsid w:val="00797FC7"/>
    <w:rsid w:val="00797FEA"/>
    <w:rsid w:val="007A0023"/>
    <w:rsid w:val="007A0052"/>
    <w:rsid w:val="007A0189"/>
    <w:rsid w:val="007A022B"/>
    <w:rsid w:val="007A023B"/>
    <w:rsid w:val="007A039B"/>
    <w:rsid w:val="007A04F5"/>
    <w:rsid w:val="007A061E"/>
    <w:rsid w:val="007A0698"/>
    <w:rsid w:val="007A0776"/>
    <w:rsid w:val="007A07B9"/>
    <w:rsid w:val="007A0858"/>
    <w:rsid w:val="007A086C"/>
    <w:rsid w:val="007A099E"/>
    <w:rsid w:val="007A0AC4"/>
    <w:rsid w:val="007A0D46"/>
    <w:rsid w:val="007A101C"/>
    <w:rsid w:val="007A1057"/>
    <w:rsid w:val="007A110A"/>
    <w:rsid w:val="007A1195"/>
    <w:rsid w:val="007A11FE"/>
    <w:rsid w:val="007A1269"/>
    <w:rsid w:val="007A1356"/>
    <w:rsid w:val="007A145B"/>
    <w:rsid w:val="007A147F"/>
    <w:rsid w:val="007A14B7"/>
    <w:rsid w:val="007A1583"/>
    <w:rsid w:val="007A16DE"/>
    <w:rsid w:val="007A16E1"/>
    <w:rsid w:val="007A186D"/>
    <w:rsid w:val="007A19A6"/>
    <w:rsid w:val="007A1A06"/>
    <w:rsid w:val="007A1ACF"/>
    <w:rsid w:val="007A1B06"/>
    <w:rsid w:val="007A1B0D"/>
    <w:rsid w:val="007A1BB8"/>
    <w:rsid w:val="007A1BC9"/>
    <w:rsid w:val="007A1BE6"/>
    <w:rsid w:val="007A1C01"/>
    <w:rsid w:val="007A1DEB"/>
    <w:rsid w:val="007A209E"/>
    <w:rsid w:val="007A2162"/>
    <w:rsid w:val="007A21E9"/>
    <w:rsid w:val="007A22BC"/>
    <w:rsid w:val="007A22D7"/>
    <w:rsid w:val="007A233D"/>
    <w:rsid w:val="007A2391"/>
    <w:rsid w:val="007A25C9"/>
    <w:rsid w:val="007A25D0"/>
    <w:rsid w:val="007A25F3"/>
    <w:rsid w:val="007A2684"/>
    <w:rsid w:val="007A274B"/>
    <w:rsid w:val="007A27AB"/>
    <w:rsid w:val="007A27ED"/>
    <w:rsid w:val="007A288F"/>
    <w:rsid w:val="007A28D4"/>
    <w:rsid w:val="007A29CB"/>
    <w:rsid w:val="007A2A48"/>
    <w:rsid w:val="007A2AD1"/>
    <w:rsid w:val="007A2C35"/>
    <w:rsid w:val="007A2DA9"/>
    <w:rsid w:val="007A2E0E"/>
    <w:rsid w:val="007A30AD"/>
    <w:rsid w:val="007A30FA"/>
    <w:rsid w:val="007A3140"/>
    <w:rsid w:val="007A3263"/>
    <w:rsid w:val="007A32F6"/>
    <w:rsid w:val="007A3305"/>
    <w:rsid w:val="007A34A2"/>
    <w:rsid w:val="007A351A"/>
    <w:rsid w:val="007A3585"/>
    <w:rsid w:val="007A35BA"/>
    <w:rsid w:val="007A365A"/>
    <w:rsid w:val="007A3660"/>
    <w:rsid w:val="007A3671"/>
    <w:rsid w:val="007A3788"/>
    <w:rsid w:val="007A37C9"/>
    <w:rsid w:val="007A399E"/>
    <w:rsid w:val="007A3A27"/>
    <w:rsid w:val="007A3A29"/>
    <w:rsid w:val="007A3BDB"/>
    <w:rsid w:val="007A3C0C"/>
    <w:rsid w:val="007A3C34"/>
    <w:rsid w:val="007A3EC0"/>
    <w:rsid w:val="007A4030"/>
    <w:rsid w:val="007A4122"/>
    <w:rsid w:val="007A413A"/>
    <w:rsid w:val="007A4231"/>
    <w:rsid w:val="007A4241"/>
    <w:rsid w:val="007A427E"/>
    <w:rsid w:val="007A4353"/>
    <w:rsid w:val="007A437C"/>
    <w:rsid w:val="007A43A7"/>
    <w:rsid w:val="007A43CC"/>
    <w:rsid w:val="007A443C"/>
    <w:rsid w:val="007A445D"/>
    <w:rsid w:val="007A4544"/>
    <w:rsid w:val="007A455D"/>
    <w:rsid w:val="007A45C8"/>
    <w:rsid w:val="007A47B7"/>
    <w:rsid w:val="007A47E4"/>
    <w:rsid w:val="007A48DC"/>
    <w:rsid w:val="007A494F"/>
    <w:rsid w:val="007A4A74"/>
    <w:rsid w:val="007A4ADF"/>
    <w:rsid w:val="007A4B96"/>
    <w:rsid w:val="007A4BA2"/>
    <w:rsid w:val="007A4C5A"/>
    <w:rsid w:val="007A4CA8"/>
    <w:rsid w:val="007A4CFC"/>
    <w:rsid w:val="007A4D97"/>
    <w:rsid w:val="007A4E2E"/>
    <w:rsid w:val="007A4E8B"/>
    <w:rsid w:val="007A4F31"/>
    <w:rsid w:val="007A4F7D"/>
    <w:rsid w:val="007A513F"/>
    <w:rsid w:val="007A51A1"/>
    <w:rsid w:val="007A51F9"/>
    <w:rsid w:val="007A52B5"/>
    <w:rsid w:val="007A5378"/>
    <w:rsid w:val="007A53C3"/>
    <w:rsid w:val="007A548A"/>
    <w:rsid w:val="007A55F8"/>
    <w:rsid w:val="007A56B1"/>
    <w:rsid w:val="007A5777"/>
    <w:rsid w:val="007A5813"/>
    <w:rsid w:val="007A599D"/>
    <w:rsid w:val="007A59B8"/>
    <w:rsid w:val="007A59D7"/>
    <w:rsid w:val="007A5A9E"/>
    <w:rsid w:val="007A5ABF"/>
    <w:rsid w:val="007A5B4D"/>
    <w:rsid w:val="007A5B8F"/>
    <w:rsid w:val="007A5C9B"/>
    <w:rsid w:val="007A5CC1"/>
    <w:rsid w:val="007A5D0D"/>
    <w:rsid w:val="007A5DE0"/>
    <w:rsid w:val="007A5E07"/>
    <w:rsid w:val="007A5E42"/>
    <w:rsid w:val="007A6002"/>
    <w:rsid w:val="007A605B"/>
    <w:rsid w:val="007A60C3"/>
    <w:rsid w:val="007A60F0"/>
    <w:rsid w:val="007A61A4"/>
    <w:rsid w:val="007A62D4"/>
    <w:rsid w:val="007A6356"/>
    <w:rsid w:val="007A63CD"/>
    <w:rsid w:val="007A6513"/>
    <w:rsid w:val="007A6664"/>
    <w:rsid w:val="007A667C"/>
    <w:rsid w:val="007A66A9"/>
    <w:rsid w:val="007A66BB"/>
    <w:rsid w:val="007A6759"/>
    <w:rsid w:val="007A6775"/>
    <w:rsid w:val="007A67D9"/>
    <w:rsid w:val="007A6852"/>
    <w:rsid w:val="007A6AA6"/>
    <w:rsid w:val="007A6B37"/>
    <w:rsid w:val="007A6BD8"/>
    <w:rsid w:val="007A6E25"/>
    <w:rsid w:val="007A6F1E"/>
    <w:rsid w:val="007A7019"/>
    <w:rsid w:val="007A70FA"/>
    <w:rsid w:val="007A7291"/>
    <w:rsid w:val="007A7343"/>
    <w:rsid w:val="007A7354"/>
    <w:rsid w:val="007A74B4"/>
    <w:rsid w:val="007A7503"/>
    <w:rsid w:val="007A7512"/>
    <w:rsid w:val="007A753E"/>
    <w:rsid w:val="007A7554"/>
    <w:rsid w:val="007A75D1"/>
    <w:rsid w:val="007A7685"/>
    <w:rsid w:val="007A775B"/>
    <w:rsid w:val="007A77AD"/>
    <w:rsid w:val="007A78C2"/>
    <w:rsid w:val="007A7924"/>
    <w:rsid w:val="007A792F"/>
    <w:rsid w:val="007A797C"/>
    <w:rsid w:val="007A7A2D"/>
    <w:rsid w:val="007A7AF4"/>
    <w:rsid w:val="007A7B38"/>
    <w:rsid w:val="007A7B3E"/>
    <w:rsid w:val="007A7BDF"/>
    <w:rsid w:val="007A7CCE"/>
    <w:rsid w:val="007A7D0C"/>
    <w:rsid w:val="007A7E34"/>
    <w:rsid w:val="007A7ED5"/>
    <w:rsid w:val="007A7EDD"/>
    <w:rsid w:val="007B0057"/>
    <w:rsid w:val="007B00A3"/>
    <w:rsid w:val="007B01A5"/>
    <w:rsid w:val="007B0208"/>
    <w:rsid w:val="007B0259"/>
    <w:rsid w:val="007B029D"/>
    <w:rsid w:val="007B038C"/>
    <w:rsid w:val="007B03CB"/>
    <w:rsid w:val="007B043C"/>
    <w:rsid w:val="007B049E"/>
    <w:rsid w:val="007B0522"/>
    <w:rsid w:val="007B0642"/>
    <w:rsid w:val="007B06C8"/>
    <w:rsid w:val="007B09DA"/>
    <w:rsid w:val="007B09F8"/>
    <w:rsid w:val="007B0A02"/>
    <w:rsid w:val="007B0A15"/>
    <w:rsid w:val="007B0A6E"/>
    <w:rsid w:val="007B0B4E"/>
    <w:rsid w:val="007B0B67"/>
    <w:rsid w:val="007B0BDD"/>
    <w:rsid w:val="007B0C82"/>
    <w:rsid w:val="007B0CDC"/>
    <w:rsid w:val="007B0D4C"/>
    <w:rsid w:val="007B0E24"/>
    <w:rsid w:val="007B0EA9"/>
    <w:rsid w:val="007B0EB4"/>
    <w:rsid w:val="007B0F37"/>
    <w:rsid w:val="007B10B1"/>
    <w:rsid w:val="007B10DA"/>
    <w:rsid w:val="007B1106"/>
    <w:rsid w:val="007B1166"/>
    <w:rsid w:val="007B11EA"/>
    <w:rsid w:val="007B12B5"/>
    <w:rsid w:val="007B12D0"/>
    <w:rsid w:val="007B1326"/>
    <w:rsid w:val="007B134C"/>
    <w:rsid w:val="007B136E"/>
    <w:rsid w:val="007B13FA"/>
    <w:rsid w:val="007B14CC"/>
    <w:rsid w:val="007B150F"/>
    <w:rsid w:val="007B1577"/>
    <w:rsid w:val="007B15DE"/>
    <w:rsid w:val="007B174F"/>
    <w:rsid w:val="007B18C8"/>
    <w:rsid w:val="007B192D"/>
    <w:rsid w:val="007B197D"/>
    <w:rsid w:val="007B19F1"/>
    <w:rsid w:val="007B1A18"/>
    <w:rsid w:val="007B1A67"/>
    <w:rsid w:val="007B1AA1"/>
    <w:rsid w:val="007B1BDF"/>
    <w:rsid w:val="007B1D7E"/>
    <w:rsid w:val="007B1DF9"/>
    <w:rsid w:val="007B1E6E"/>
    <w:rsid w:val="007B1E8B"/>
    <w:rsid w:val="007B1EE7"/>
    <w:rsid w:val="007B1F1B"/>
    <w:rsid w:val="007B1FA2"/>
    <w:rsid w:val="007B215F"/>
    <w:rsid w:val="007B220A"/>
    <w:rsid w:val="007B22C6"/>
    <w:rsid w:val="007B2348"/>
    <w:rsid w:val="007B2391"/>
    <w:rsid w:val="007B2432"/>
    <w:rsid w:val="007B2434"/>
    <w:rsid w:val="007B2626"/>
    <w:rsid w:val="007B2699"/>
    <w:rsid w:val="007B26E5"/>
    <w:rsid w:val="007B2771"/>
    <w:rsid w:val="007B2786"/>
    <w:rsid w:val="007B27C0"/>
    <w:rsid w:val="007B288B"/>
    <w:rsid w:val="007B2981"/>
    <w:rsid w:val="007B2A3F"/>
    <w:rsid w:val="007B2B63"/>
    <w:rsid w:val="007B2BCE"/>
    <w:rsid w:val="007B2C17"/>
    <w:rsid w:val="007B2D9D"/>
    <w:rsid w:val="007B2DA3"/>
    <w:rsid w:val="007B2E62"/>
    <w:rsid w:val="007B2E72"/>
    <w:rsid w:val="007B2EE9"/>
    <w:rsid w:val="007B2F09"/>
    <w:rsid w:val="007B2F4D"/>
    <w:rsid w:val="007B3100"/>
    <w:rsid w:val="007B311A"/>
    <w:rsid w:val="007B3182"/>
    <w:rsid w:val="007B3235"/>
    <w:rsid w:val="007B32BA"/>
    <w:rsid w:val="007B3326"/>
    <w:rsid w:val="007B3352"/>
    <w:rsid w:val="007B34B3"/>
    <w:rsid w:val="007B3533"/>
    <w:rsid w:val="007B3537"/>
    <w:rsid w:val="007B35AD"/>
    <w:rsid w:val="007B35B6"/>
    <w:rsid w:val="007B3601"/>
    <w:rsid w:val="007B360B"/>
    <w:rsid w:val="007B3656"/>
    <w:rsid w:val="007B3769"/>
    <w:rsid w:val="007B39D1"/>
    <w:rsid w:val="007B39DB"/>
    <w:rsid w:val="007B3AFA"/>
    <w:rsid w:val="007B3B08"/>
    <w:rsid w:val="007B3B96"/>
    <w:rsid w:val="007B3D80"/>
    <w:rsid w:val="007B3DAC"/>
    <w:rsid w:val="007B3F84"/>
    <w:rsid w:val="007B40AD"/>
    <w:rsid w:val="007B40BB"/>
    <w:rsid w:val="007B40BF"/>
    <w:rsid w:val="007B4174"/>
    <w:rsid w:val="007B426D"/>
    <w:rsid w:val="007B42C0"/>
    <w:rsid w:val="007B4344"/>
    <w:rsid w:val="007B44F9"/>
    <w:rsid w:val="007B4515"/>
    <w:rsid w:val="007B456E"/>
    <w:rsid w:val="007B468E"/>
    <w:rsid w:val="007B469D"/>
    <w:rsid w:val="007B4773"/>
    <w:rsid w:val="007B4778"/>
    <w:rsid w:val="007B4814"/>
    <w:rsid w:val="007B487F"/>
    <w:rsid w:val="007B48D6"/>
    <w:rsid w:val="007B48D7"/>
    <w:rsid w:val="007B492D"/>
    <w:rsid w:val="007B498C"/>
    <w:rsid w:val="007B4B3F"/>
    <w:rsid w:val="007B4C79"/>
    <w:rsid w:val="007B4E36"/>
    <w:rsid w:val="007B4E5E"/>
    <w:rsid w:val="007B4EFB"/>
    <w:rsid w:val="007B4FC9"/>
    <w:rsid w:val="007B5084"/>
    <w:rsid w:val="007B5088"/>
    <w:rsid w:val="007B5092"/>
    <w:rsid w:val="007B5227"/>
    <w:rsid w:val="007B526C"/>
    <w:rsid w:val="007B5321"/>
    <w:rsid w:val="007B54E8"/>
    <w:rsid w:val="007B553A"/>
    <w:rsid w:val="007B5553"/>
    <w:rsid w:val="007B5565"/>
    <w:rsid w:val="007B55BA"/>
    <w:rsid w:val="007B5645"/>
    <w:rsid w:val="007B566F"/>
    <w:rsid w:val="007B5674"/>
    <w:rsid w:val="007B56C2"/>
    <w:rsid w:val="007B5725"/>
    <w:rsid w:val="007B57A3"/>
    <w:rsid w:val="007B59A3"/>
    <w:rsid w:val="007B5B99"/>
    <w:rsid w:val="007B5BF5"/>
    <w:rsid w:val="007B5C3D"/>
    <w:rsid w:val="007B5E26"/>
    <w:rsid w:val="007B5E97"/>
    <w:rsid w:val="007B6030"/>
    <w:rsid w:val="007B6077"/>
    <w:rsid w:val="007B60BB"/>
    <w:rsid w:val="007B60EF"/>
    <w:rsid w:val="007B6149"/>
    <w:rsid w:val="007B6176"/>
    <w:rsid w:val="007B6214"/>
    <w:rsid w:val="007B6228"/>
    <w:rsid w:val="007B6342"/>
    <w:rsid w:val="007B638F"/>
    <w:rsid w:val="007B63A8"/>
    <w:rsid w:val="007B6445"/>
    <w:rsid w:val="007B6671"/>
    <w:rsid w:val="007B6721"/>
    <w:rsid w:val="007B68B1"/>
    <w:rsid w:val="007B6ABC"/>
    <w:rsid w:val="007B6B02"/>
    <w:rsid w:val="007B6C96"/>
    <w:rsid w:val="007B6CA9"/>
    <w:rsid w:val="007B6D32"/>
    <w:rsid w:val="007B6D43"/>
    <w:rsid w:val="007B6DCF"/>
    <w:rsid w:val="007B6E5C"/>
    <w:rsid w:val="007B6E99"/>
    <w:rsid w:val="007B6ECD"/>
    <w:rsid w:val="007B6F57"/>
    <w:rsid w:val="007B6FAF"/>
    <w:rsid w:val="007B6FD5"/>
    <w:rsid w:val="007B6FE3"/>
    <w:rsid w:val="007B7007"/>
    <w:rsid w:val="007B706F"/>
    <w:rsid w:val="007B70E4"/>
    <w:rsid w:val="007B7175"/>
    <w:rsid w:val="007B730F"/>
    <w:rsid w:val="007B735B"/>
    <w:rsid w:val="007B739F"/>
    <w:rsid w:val="007B73A6"/>
    <w:rsid w:val="007B73B2"/>
    <w:rsid w:val="007B7473"/>
    <w:rsid w:val="007B7523"/>
    <w:rsid w:val="007B7676"/>
    <w:rsid w:val="007B769A"/>
    <w:rsid w:val="007B76BF"/>
    <w:rsid w:val="007B778A"/>
    <w:rsid w:val="007B7797"/>
    <w:rsid w:val="007B780E"/>
    <w:rsid w:val="007B7869"/>
    <w:rsid w:val="007B786B"/>
    <w:rsid w:val="007B787C"/>
    <w:rsid w:val="007B78D0"/>
    <w:rsid w:val="007B78E7"/>
    <w:rsid w:val="007B7974"/>
    <w:rsid w:val="007B79DE"/>
    <w:rsid w:val="007B7BE7"/>
    <w:rsid w:val="007B7C0E"/>
    <w:rsid w:val="007B7C84"/>
    <w:rsid w:val="007B7E36"/>
    <w:rsid w:val="007B7E95"/>
    <w:rsid w:val="007B7EDA"/>
    <w:rsid w:val="007B7FA8"/>
    <w:rsid w:val="007B7FDC"/>
    <w:rsid w:val="007C0065"/>
    <w:rsid w:val="007C0194"/>
    <w:rsid w:val="007C0261"/>
    <w:rsid w:val="007C0296"/>
    <w:rsid w:val="007C029B"/>
    <w:rsid w:val="007C03C0"/>
    <w:rsid w:val="007C03CD"/>
    <w:rsid w:val="007C0401"/>
    <w:rsid w:val="007C0436"/>
    <w:rsid w:val="007C050D"/>
    <w:rsid w:val="007C05F2"/>
    <w:rsid w:val="007C0657"/>
    <w:rsid w:val="007C06B8"/>
    <w:rsid w:val="007C06F5"/>
    <w:rsid w:val="007C0835"/>
    <w:rsid w:val="007C08F9"/>
    <w:rsid w:val="007C09A3"/>
    <w:rsid w:val="007C0A6C"/>
    <w:rsid w:val="007C0C50"/>
    <w:rsid w:val="007C0E5B"/>
    <w:rsid w:val="007C0EC4"/>
    <w:rsid w:val="007C104A"/>
    <w:rsid w:val="007C1100"/>
    <w:rsid w:val="007C11AF"/>
    <w:rsid w:val="007C123B"/>
    <w:rsid w:val="007C135A"/>
    <w:rsid w:val="007C136C"/>
    <w:rsid w:val="007C140A"/>
    <w:rsid w:val="007C1498"/>
    <w:rsid w:val="007C15A5"/>
    <w:rsid w:val="007C15AD"/>
    <w:rsid w:val="007C169C"/>
    <w:rsid w:val="007C188B"/>
    <w:rsid w:val="007C189A"/>
    <w:rsid w:val="007C19AD"/>
    <w:rsid w:val="007C1AB2"/>
    <w:rsid w:val="007C1BE9"/>
    <w:rsid w:val="007C1D68"/>
    <w:rsid w:val="007C1EA7"/>
    <w:rsid w:val="007C1F67"/>
    <w:rsid w:val="007C1F85"/>
    <w:rsid w:val="007C1FA7"/>
    <w:rsid w:val="007C20DC"/>
    <w:rsid w:val="007C20E3"/>
    <w:rsid w:val="007C21CE"/>
    <w:rsid w:val="007C21F2"/>
    <w:rsid w:val="007C2296"/>
    <w:rsid w:val="007C22E1"/>
    <w:rsid w:val="007C2323"/>
    <w:rsid w:val="007C23E9"/>
    <w:rsid w:val="007C2412"/>
    <w:rsid w:val="007C255F"/>
    <w:rsid w:val="007C25FF"/>
    <w:rsid w:val="007C2615"/>
    <w:rsid w:val="007C2661"/>
    <w:rsid w:val="007C2669"/>
    <w:rsid w:val="007C26DD"/>
    <w:rsid w:val="007C26E7"/>
    <w:rsid w:val="007C2748"/>
    <w:rsid w:val="007C2778"/>
    <w:rsid w:val="007C278C"/>
    <w:rsid w:val="007C27D8"/>
    <w:rsid w:val="007C27E4"/>
    <w:rsid w:val="007C2885"/>
    <w:rsid w:val="007C2927"/>
    <w:rsid w:val="007C299B"/>
    <w:rsid w:val="007C2A51"/>
    <w:rsid w:val="007C2A56"/>
    <w:rsid w:val="007C2A6D"/>
    <w:rsid w:val="007C2A94"/>
    <w:rsid w:val="007C2AF2"/>
    <w:rsid w:val="007C2B17"/>
    <w:rsid w:val="007C2BAB"/>
    <w:rsid w:val="007C2CA1"/>
    <w:rsid w:val="007C2D93"/>
    <w:rsid w:val="007C2DC4"/>
    <w:rsid w:val="007C2DE3"/>
    <w:rsid w:val="007C2E80"/>
    <w:rsid w:val="007C2F80"/>
    <w:rsid w:val="007C2F87"/>
    <w:rsid w:val="007C3036"/>
    <w:rsid w:val="007C31C3"/>
    <w:rsid w:val="007C31E2"/>
    <w:rsid w:val="007C3289"/>
    <w:rsid w:val="007C33A4"/>
    <w:rsid w:val="007C33A8"/>
    <w:rsid w:val="007C341C"/>
    <w:rsid w:val="007C3457"/>
    <w:rsid w:val="007C3466"/>
    <w:rsid w:val="007C3474"/>
    <w:rsid w:val="007C34AB"/>
    <w:rsid w:val="007C352B"/>
    <w:rsid w:val="007C3554"/>
    <w:rsid w:val="007C35AE"/>
    <w:rsid w:val="007C35F7"/>
    <w:rsid w:val="007C365A"/>
    <w:rsid w:val="007C36E4"/>
    <w:rsid w:val="007C38B4"/>
    <w:rsid w:val="007C397D"/>
    <w:rsid w:val="007C3A72"/>
    <w:rsid w:val="007C3A7E"/>
    <w:rsid w:val="007C3ADB"/>
    <w:rsid w:val="007C3C36"/>
    <w:rsid w:val="007C3C92"/>
    <w:rsid w:val="007C3DA2"/>
    <w:rsid w:val="007C3E62"/>
    <w:rsid w:val="007C3EA1"/>
    <w:rsid w:val="007C3EC6"/>
    <w:rsid w:val="007C3F24"/>
    <w:rsid w:val="007C3F2F"/>
    <w:rsid w:val="007C3F91"/>
    <w:rsid w:val="007C3F96"/>
    <w:rsid w:val="007C3FD6"/>
    <w:rsid w:val="007C4045"/>
    <w:rsid w:val="007C4047"/>
    <w:rsid w:val="007C40DB"/>
    <w:rsid w:val="007C4144"/>
    <w:rsid w:val="007C41DB"/>
    <w:rsid w:val="007C4204"/>
    <w:rsid w:val="007C42A6"/>
    <w:rsid w:val="007C430E"/>
    <w:rsid w:val="007C44A3"/>
    <w:rsid w:val="007C454B"/>
    <w:rsid w:val="007C4573"/>
    <w:rsid w:val="007C466E"/>
    <w:rsid w:val="007C471B"/>
    <w:rsid w:val="007C478A"/>
    <w:rsid w:val="007C478D"/>
    <w:rsid w:val="007C4861"/>
    <w:rsid w:val="007C492F"/>
    <w:rsid w:val="007C498C"/>
    <w:rsid w:val="007C4A77"/>
    <w:rsid w:val="007C4B46"/>
    <w:rsid w:val="007C4C23"/>
    <w:rsid w:val="007C4CB9"/>
    <w:rsid w:val="007C4D01"/>
    <w:rsid w:val="007C4EBF"/>
    <w:rsid w:val="007C5023"/>
    <w:rsid w:val="007C509D"/>
    <w:rsid w:val="007C50D8"/>
    <w:rsid w:val="007C517A"/>
    <w:rsid w:val="007C51D9"/>
    <w:rsid w:val="007C52F4"/>
    <w:rsid w:val="007C5333"/>
    <w:rsid w:val="007C53CD"/>
    <w:rsid w:val="007C542F"/>
    <w:rsid w:val="007C543E"/>
    <w:rsid w:val="007C54DB"/>
    <w:rsid w:val="007C553E"/>
    <w:rsid w:val="007C56B8"/>
    <w:rsid w:val="007C56F9"/>
    <w:rsid w:val="007C578B"/>
    <w:rsid w:val="007C58F3"/>
    <w:rsid w:val="007C5B53"/>
    <w:rsid w:val="007C5B65"/>
    <w:rsid w:val="007C5CAF"/>
    <w:rsid w:val="007C5CCF"/>
    <w:rsid w:val="007C5D78"/>
    <w:rsid w:val="007C5DEA"/>
    <w:rsid w:val="007C5E57"/>
    <w:rsid w:val="007C5F99"/>
    <w:rsid w:val="007C5FD6"/>
    <w:rsid w:val="007C6004"/>
    <w:rsid w:val="007C6078"/>
    <w:rsid w:val="007C61CD"/>
    <w:rsid w:val="007C62B2"/>
    <w:rsid w:val="007C6341"/>
    <w:rsid w:val="007C6603"/>
    <w:rsid w:val="007C66C9"/>
    <w:rsid w:val="007C6762"/>
    <w:rsid w:val="007C676E"/>
    <w:rsid w:val="007C67A1"/>
    <w:rsid w:val="007C67E2"/>
    <w:rsid w:val="007C6990"/>
    <w:rsid w:val="007C6AFD"/>
    <w:rsid w:val="007C6B90"/>
    <w:rsid w:val="007C6C6D"/>
    <w:rsid w:val="007C6CE9"/>
    <w:rsid w:val="007C6DF7"/>
    <w:rsid w:val="007C6E4A"/>
    <w:rsid w:val="007C6F2E"/>
    <w:rsid w:val="007C7037"/>
    <w:rsid w:val="007C7092"/>
    <w:rsid w:val="007C70AC"/>
    <w:rsid w:val="007C70F6"/>
    <w:rsid w:val="007C71C4"/>
    <w:rsid w:val="007C7231"/>
    <w:rsid w:val="007C7289"/>
    <w:rsid w:val="007C72F6"/>
    <w:rsid w:val="007C73CB"/>
    <w:rsid w:val="007C73EB"/>
    <w:rsid w:val="007C73F5"/>
    <w:rsid w:val="007C74B1"/>
    <w:rsid w:val="007C74E6"/>
    <w:rsid w:val="007C7537"/>
    <w:rsid w:val="007C7550"/>
    <w:rsid w:val="007C7652"/>
    <w:rsid w:val="007C76BB"/>
    <w:rsid w:val="007C76D0"/>
    <w:rsid w:val="007C7714"/>
    <w:rsid w:val="007C77FC"/>
    <w:rsid w:val="007C78D3"/>
    <w:rsid w:val="007C7909"/>
    <w:rsid w:val="007C7940"/>
    <w:rsid w:val="007C794B"/>
    <w:rsid w:val="007C7980"/>
    <w:rsid w:val="007C7990"/>
    <w:rsid w:val="007C7997"/>
    <w:rsid w:val="007C79F8"/>
    <w:rsid w:val="007C7A47"/>
    <w:rsid w:val="007C7AE7"/>
    <w:rsid w:val="007C7B59"/>
    <w:rsid w:val="007C7BAD"/>
    <w:rsid w:val="007C7E10"/>
    <w:rsid w:val="007C7E87"/>
    <w:rsid w:val="007C7EE0"/>
    <w:rsid w:val="007C7F13"/>
    <w:rsid w:val="007C7F57"/>
    <w:rsid w:val="007D0290"/>
    <w:rsid w:val="007D03C2"/>
    <w:rsid w:val="007D0432"/>
    <w:rsid w:val="007D0498"/>
    <w:rsid w:val="007D04AE"/>
    <w:rsid w:val="007D04C6"/>
    <w:rsid w:val="007D0634"/>
    <w:rsid w:val="007D0635"/>
    <w:rsid w:val="007D07B6"/>
    <w:rsid w:val="007D0960"/>
    <w:rsid w:val="007D097A"/>
    <w:rsid w:val="007D099B"/>
    <w:rsid w:val="007D09ED"/>
    <w:rsid w:val="007D0A3D"/>
    <w:rsid w:val="007D0AAF"/>
    <w:rsid w:val="007D0AD8"/>
    <w:rsid w:val="007D0BB2"/>
    <w:rsid w:val="007D0BCB"/>
    <w:rsid w:val="007D0C71"/>
    <w:rsid w:val="007D0DF7"/>
    <w:rsid w:val="007D0E63"/>
    <w:rsid w:val="007D0E77"/>
    <w:rsid w:val="007D0E93"/>
    <w:rsid w:val="007D0EA4"/>
    <w:rsid w:val="007D0F7E"/>
    <w:rsid w:val="007D0FFA"/>
    <w:rsid w:val="007D104A"/>
    <w:rsid w:val="007D10AF"/>
    <w:rsid w:val="007D11AF"/>
    <w:rsid w:val="007D12CB"/>
    <w:rsid w:val="007D1803"/>
    <w:rsid w:val="007D1907"/>
    <w:rsid w:val="007D19AD"/>
    <w:rsid w:val="007D1C2E"/>
    <w:rsid w:val="007D1C9E"/>
    <w:rsid w:val="007D1CD6"/>
    <w:rsid w:val="007D1D11"/>
    <w:rsid w:val="007D1D32"/>
    <w:rsid w:val="007D1DF9"/>
    <w:rsid w:val="007D1E41"/>
    <w:rsid w:val="007D1E7F"/>
    <w:rsid w:val="007D1ECE"/>
    <w:rsid w:val="007D1EDB"/>
    <w:rsid w:val="007D2091"/>
    <w:rsid w:val="007D20AE"/>
    <w:rsid w:val="007D215A"/>
    <w:rsid w:val="007D2171"/>
    <w:rsid w:val="007D2175"/>
    <w:rsid w:val="007D21B2"/>
    <w:rsid w:val="007D24D8"/>
    <w:rsid w:val="007D2567"/>
    <w:rsid w:val="007D25A6"/>
    <w:rsid w:val="007D2648"/>
    <w:rsid w:val="007D26BE"/>
    <w:rsid w:val="007D27BC"/>
    <w:rsid w:val="007D282C"/>
    <w:rsid w:val="007D2939"/>
    <w:rsid w:val="007D2A0E"/>
    <w:rsid w:val="007D2A2F"/>
    <w:rsid w:val="007D2A53"/>
    <w:rsid w:val="007D2A79"/>
    <w:rsid w:val="007D2A9D"/>
    <w:rsid w:val="007D2AE8"/>
    <w:rsid w:val="007D2B88"/>
    <w:rsid w:val="007D2C1E"/>
    <w:rsid w:val="007D2C8E"/>
    <w:rsid w:val="007D2D6D"/>
    <w:rsid w:val="007D2E61"/>
    <w:rsid w:val="007D2F0F"/>
    <w:rsid w:val="007D2FCE"/>
    <w:rsid w:val="007D3005"/>
    <w:rsid w:val="007D300B"/>
    <w:rsid w:val="007D30F8"/>
    <w:rsid w:val="007D3102"/>
    <w:rsid w:val="007D31BA"/>
    <w:rsid w:val="007D3278"/>
    <w:rsid w:val="007D3310"/>
    <w:rsid w:val="007D3369"/>
    <w:rsid w:val="007D338B"/>
    <w:rsid w:val="007D3412"/>
    <w:rsid w:val="007D34E1"/>
    <w:rsid w:val="007D3569"/>
    <w:rsid w:val="007D358F"/>
    <w:rsid w:val="007D3633"/>
    <w:rsid w:val="007D363F"/>
    <w:rsid w:val="007D37A4"/>
    <w:rsid w:val="007D37B0"/>
    <w:rsid w:val="007D381D"/>
    <w:rsid w:val="007D3857"/>
    <w:rsid w:val="007D3899"/>
    <w:rsid w:val="007D38EF"/>
    <w:rsid w:val="007D3BA0"/>
    <w:rsid w:val="007D3BFA"/>
    <w:rsid w:val="007D3C6B"/>
    <w:rsid w:val="007D3CA8"/>
    <w:rsid w:val="007D3CF1"/>
    <w:rsid w:val="007D3D37"/>
    <w:rsid w:val="007D3E94"/>
    <w:rsid w:val="007D3F2F"/>
    <w:rsid w:val="007D3F84"/>
    <w:rsid w:val="007D40D8"/>
    <w:rsid w:val="007D4194"/>
    <w:rsid w:val="007D425A"/>
    <w:rsid w:val="007D42F3"/>
    <w:rsid w:val="007D42FB"/>
    <w:rsid w:val="007D43AD"/>
    <w:rsid w:val="007D4446"/>
    <w:rsid w:val="007D44A0"/>
    <w:rsid w:val="007D44C1"/>
    <w:rsid w:val="007D44EC"/>
    <w:rsid w:val="007D456C"/>
    <w:rsid w:val="007D4604"/>
    <w:rsid w:val="007D46B5"/>
    <w:rsid w:val="007D46BA"/>
    <w:rsid w:val="007D47FA"/>
    <w:rsid w:val="007D480C"/>
    <w:rsid w:val="007D49BE"/>
    <w:rsid w:val="007D4A29"/>
    <w:rsid w:val="007D4B01"/>
    <w:rsid w:val="007D4BE3"/>
    <w:rsid w:val="007D4D93"/>
    <w:rsid w:val="007D4E4D"/>
    <w:rsid w:val="007D4FE6"/>
    <w:rsid w:val="007D511D"/>
    <w:rsid w:val="007D5218"/>
    <w:rsid w:val="007D5292"/>
    <w:rsid w:val="007D53DE"/>
    <w:rsid w:val="007D53DF"/>
    <w:rsid w:val="007D5445"/>
    <w:rsid w:val="007D554F"/>
    <w:rsid w:val="007D5568"/>
    <w:rsid w:val="007D55AD"/>
    <w:rsid w:val="007D561E"/>
    <w:rsid w:val="007D5641"/>
    <w:rsid w:val="007D5658"/>
    <w:rsid w:val="007D56A3"/>
    <w:rsid w:val="007D56E2"/>
    <w:rsid w:val="007D59FA"/>
    <w:rsid w:val="007D5A80"/>
    <w:rsid w:val="007D5A9A"/>
    <w:rsid w:val="007D5C4B"/>
    <w:rsid w:val="007D5C52"/>
    <w:rsid w:val="007D5CDE"/>
    <w:rsid w:val="007D5D6D"/>
    <w:rsid w:val="007D5E5C"/>
    <w:rsid w:val="007D60C2"/>
    <w:rsid w:val="007D6242"/>
    <w:rsid w:val="007D6262"/>
    <w:rsid w:val="007D62F5"/>
    <w:rsid w:val="007D6353"/>
    <w:rsid w:val="007D651B"/>
    <w:rsid w:val="007D67A4"/>
    <w:rsid w:val="007D68E1"/>
    <w:rsid w:val="007D692A"/>
    <w:rsid w:val="007D6937"/>
    <w:rsid w:val="007D69BC"/>
    <w:rsid w:val="007D6A0A"/>
    <w:rsid w:val="007D6B73"/>
    <w:rsid w:val="007D6B87"/>
    <w:rsid w:val="007D6CDD"/>
    <w:rsid w:val="007D6CEB"/>
    <w:rsid w:val="007D6D0D"/>
    <w:rsid w:val="007D6E08"/>
    <w:rsid w:val="007D6E43"/>
    <w:rsid w:val="007D6E45"/>
    <w:rsid w:val="007D6E87"/>
    <w:rsid w:val="007D6E89"/>
    <w:rsid w:val="007D6F19"/>
    <w:rsid w:val="007D715A"/>
    <w:rsid w:val="007D7193"/>
    <w:rsid w:val="007D71A6"/>
    <w:rsid w:val="007D7237"/>
    <w:rsid w:val="007D723E"/>
    <w:rsid w:val="007D73B0"/>
    <w:rsid w:val="007D73B4"/>
    <w:rsid w:val="007D73DE"/>
    <w:rsid w:val="007D7469"/>
    <w:rsid w:val="007D7483"/>
    <w:rsid w:val="007D74CC"/>
    <w:rsid w:val="007D75E9"/>
    <w:rsid w:val="007D7646"/>
    <w:rsid w:val="007D76B7"/>
    <w:rsid w:val="007D76C6"/>
    <w:rsid w:val="007D7706"/>
    <w:rsid w:val="007D77D7"/>
    <w:rsid w:val="007D7831"/>
    <w:rsid w:val="007D7939"/>
    <w:rsid w:val="007D7969"/>
    <w:rsid w:val="007D7979"/>
    <w:rsid w:val="007D7B73"/>
    <w:rsid w:val="007D7C43"/>
    <w:rsid w:val="007D7C75"/>
    <w:rsid w:val="007D7CCB"/>
    <w:rsid w:val="007D7DCE"/>
    <w:rsid w:val="007D7DD4"/>
    <w:rsid w:val="007D7E99"/>
    <w:rsid w:val="007D7EBC"/>
    <w:rsid w:val="007D7EFD"/>
    <w:rsid w:val="007D7F0E"/>
    <w:rsid w:val="007E0034"/>
    <w:rsid w:val="007E00A6"/>
    <w:rsid w:val="007E00AF"/>
    <w:rsid w:val="007E017B"/>
    <w:rsid w:val="007E01D4"/>
    <w:rsid w:val="007E01F1"/>
    <w:rsid w:val="007E023A"/>
    <w:rsid w:val="007E0246"/>
    <w:rsid w:val="007E02BA"/>
    <w:rsid w:val="007E03B3"/>
    <w:rsid w:val="007E03DF"/>
    <w:rsid w:val="007E03E3"/>
    <w:rsid w:val="007E0491"/>
    <w:rsid w:val="007E04CF"/>
    <w:rsid w:val="007E04E3"/>
    <w:rsid w:val="007E05DD"/>
    <w:rsid w:val="007E0627"/>
    <w:rsid w:val="007E065D"/>
    <w:rsid w:val="007E06C4"/>
    <w:rsid w:val="007E06E7"/>
    <w:rsid w:val="007E0828"/>
    <w:rsid w:val="007E082D"/>
    <w:rsid w:val="007E08F0"/>
    <w:rsid w:val="007E09AF"/>
    <w:rsid w:val="007E0A67"/>
    <w:rsid w:val="007E0A9D"/>
    <w:rsid w:val="007E0C2C"/>
    <w:rsid w:val="007E0DF7"/>
    <w:rsid w:val="007E0E19"/>
    <w:rsid w:val="007E0E58"/>
    <w:rsid w:val="007E0F38"/>
    <w:rsid w:val="007E0FE3"/>
    <w:rsid w:val="007E10F0"/>
    <w:rsid w:val="007E110A"/>
    <w:rsid w:val="007E1257"/>
    <w:rsid w:val="007E12CD"/>
    <w:rsid w:val="007E13FB"/>
    <w:rsid w:val="007E140B"/>
    <w:rsid w:val="007E142F"/>
    <w:rsid w:val="007E1494"/>
    <w:rsid w:val="007E1547"/>
    <w:rsid w:val="007E15F9"/>
    <w:rsid w:val="007E16E2"/>
    <w:rsid w:val="007E173C"/>
    <w:rsid w:val="007E1765"/>
    <w:rsid w:val="007E1849"/>
    <w:rsid w:val="007E18BD"/>
    <w:rsid w:val="007E18F2"/>
    <w:rsid w:val="007E19FD"/>
    <w:rsid w:val="007E1ADC"/>
    <w:rsid w:val="007E1BFA"/>
    <w:rsid w:val="007E1C02"/>
    <w:rsid w:val="007E1C9D"/>
    <w:rsid w:val="007E1DAD"/>
    <w:rsid w:val="007E1DE1"/>
    <w:rsid w:val="007E1E98"/>
    <w:rsid w:val="007E1EB3"/>
    <w:rsid w:val="007E1F1A"/>
    <w:rsid w:val="007E1FA7"/>
    <w:rsid w:val="007E1FBF"/>
    <w:rsid w:val="007E1FDF"/>
    <w:rsid w:val="007E20AD"/>
    <w:rsid w:val="007E232D"/>
    <w:rsid w:val="007E2332"/>
    <w:rsid w:val="007E239E"/>
    <w:rsid w:val="007E2417"/>
    <w:rsid w:val="007E248B"/>
    <w:rsid w:val="007E2493"/>
    <w:rsid w:val="007E24B0"/>
    <w:rsid w:val="007E25A0"/>
    <w:rsid w:val="007E25A7"/>
    <w:rsid w:val="007E25B7"/>
    <w:rsid w:val="007E25C2"/>
    <w:rsid w:val="007E25DE"/>
    <w:rsid w:val="007E264B"/>
    <w:rsid w:val="007E26F3"/>
    <w:rsid w:val="007E297B"/>
    <w:rsid w:val="007E2A15"/>
    <w:rsid w:val="007E2A93"/>
    <w:rsid w:val="007E2AE4"/>
    <w:rsid w:val="007E2D23"/>
    <w:rsid w:val="007E2D59"/>
    <w:rsid w:val="007E2E4F"/>
    <w:rsid w:val="007E2E92"/>
    <w:rsid w:val="007E2FE6"/>
    <w:rsid w:val="007E2FF5"/>
    <w:rsid w:val="007E300B"/>
    <w:rsid w:val="007E301B"/>
    <w:rsid w:val="007E3051"/>
    <w:rsid w:val="007E305D"/>
    <w:rsid w:val="007E3132"/>
    <w:rsid w:val="007E318C"/>
    <w:rsid w:val="007E318E"/>
    <w:rsid w:val="007E3279"/>
    <w:rsid w:val="007E32F0"/>
    <w:rsid w:val="007E341E"/>
    <w:rsid w:val="007E343B"/>
    <w:rsid w:val="007E3482"/>
    <w:rsid w:val="007E36B8"/>
    <w:rsid w:val="007E36C4"/>
    <w:rsid w:val="007E36EE"/>
    <w:rsid w:val="007E372A"/>
    <w:rsid w:val="007E3882"/>
    <w:rsid w:val="007E38E1"/>
    <w:rsid w:val="007E38FB"/>
    <w:rsid w:val="007E3902"/>
    <w:rsid w:val="007E3C73"/>
    <w:rsid w:val="007E4064"/>
    <w:rsid w:val="007E4203"/>
    <w:rsid w:val="007E42B6"/>
    <w:rsid w:val="007E42DF"/>
    <w:rsid w:val="007E4318"/>
    <w:rsid w:val="007E4353"/>
    <w:rsid w:val="007E440E"/>
    <w:rsid w:val="007E4480"/>
    <w:rsid w:val="007E45E1"/>
    <w:rsid w:val="007E461E"/>
    <w:rsid w:val="007E462D"/>
    <w:rsid w:val="007E4710"/>
    <w:rsid w:val="007E477F"/>
    <w:rsid w:val="007E4815"/>
    <w:rsid w:val="007E4842"/>
    <w:rsid w:val="007E4906"/>
    <w:rsid w:val="007E49CC"/>
    <w:rsid w:val="007E4A0B"/>
    <w:rsid w:val="007E4A88"/>
    <w:rsid w:val="007E4AB8"/>
    <w:rsid w:val="007E4AE2"/>
    <w:rsid w:val="007E4B26"/>
    <w:rsid w:val="007E4B39"/>
    <w:rsid w:val="007E4BD8"/>
    <w:rsid w:val="007E4C6D"/>
    <w:rsid w:val="007E4C93"/>
    <w:rsid w:val="007E4C9D"/>
    <w:rsid w:val="007E4DBE"/>
    <w:rsid w:val="007E4DD3"/>
    <w:rsid w:val="007E4E12"/>
    <w:rsid w:val="007E4E57"/>
    <w:rsid w:val="007E50A3"/>
    <w:rsid w:val="007E51E3"/>
    <w:rsid w:val="007E5208"/>
    <w:rsid w:val="007E5281"/>
    <w:rsid w:val="007E52CD"/>
    <w:rsid w:val="007E52D8"/>
    <w:rsid w:val="007E53EC"/>
    <w:rsid w:val="007E5408"/>
    <w:rsid w:val="007E558F"/>
    <w:rsid w:val="007E559D"/>
    <w:rsid w:val="007E55B4"/>
    <w:rsid w:val="007E5603"/>
    <w:rsid w:val="007E5677"/>
    <w:rsid w:val="007E56D4"/>
    <w:rsid w:val="007E56DE"/>
    <w:rsid w:val="007E56E2"/>
    <w:rsid w:val="007E5778"/>
    <w:rsid w:val="007E5788"/>
    <w:rsid w:val="007E5939"/>
    <w:rsid w:val="007E597E"/>
    <w:rsid w:val="007E59B7"/>
    <w:rsid w:val="007E59DA"/>
    <w:rsid w:val="007E5A86"/>
    <w:rsid w:val="007E5BC5"/>
    <w:rsid w:val="007E5C28"/>
    <w:rsid w:val="007E5C3C"/>
    <w:rsid w:val="007E5C56"/>
    <w:rsid w:val="007E5D38"/>
    <w:rsid w:val="007E5D3F"/>
    <w:rsid w:val="007E5DB7"/>
    <w:rsid w:val="007E61E5"/>
    <w:rsid w:val="007E628B"/>
    <w:rsid w:val="007E635C"/>
    <w:rsid w:val="007E636B"/>
    <w:rsid w:val="007E63DA"/>
    <w:rsid w:val="007E63EB"/>
    <w:rsid w:val="007E647D"/>
    <w:rsid w:val="007E6535"/>
    <w:rsid w:val="007E681E"/>
    <w:rsid w:val="007E686C"/>
    <w:rsid w:val="007E68AF"/>
    <w:rsid w:val="007E6913"/>
    <w:rsid w:val="007E6951"/>
    <w:rsid w:val="007E69B8"/>
    <w:rsid w:val="007E6B61"/>
    <w:rsid w:val="007E6BC6"/>
    <w:rsid w:val="007E6DAE"/>
    <w:rsid w:val="007E6DDE"/>
    <w:rsid w:val="007E6EEC"/>
    <w:rsid w:val="007E6EFC"/>
    <w:rsid w:val="007E6EFE"/>
    <w:rsid w:val="007E6F6D"/>
    <w:rsid w:val="007E6F93"/>
    <w:rsid w:val="007E7001"/>
    <w:rsid w:val="007E7023"/>
    <w:rsid w:val="007E70BA"/>
    <w:rsid w:val="007E7131"/>
    <w:rsid w:val="007E71CC"/>
    <w:rsid w:val="007E730B"/>
    <w:rsid w:val="007E739C"/>
    <w:rsid w:val="007E73FA"/>
    <w:rsid w:val="007E746E"/>
    <w:rsid w:val="007E74E9"/>
    <w:rsid w:val="007E756B"/>
    <w:rsid w:val="007E772E"/>
    <w:rsid w:val="007E780A"/>
    <w:rsid w:val="007E799C"/>
    <w:rsid w:val="007E79E9"/>
    <w:rsid w:val="007E7B47"/>
    <w:rsid w:val="007E7B58"/>
    <w:rsid w:val="007E7BC8"/>
    <w:rsid w:val="007E7BC9"/>
    <w:rsid w:val="007E7C06"/>
    <w:rsid w:val="007E7D75"/>
    <w:rsid w:val="007E7E42"/>
    <w:rsid w:val="007E7EB6"/>
    <w:rsid w:val="007E7ED8"/>
    <w:rsid w:val="007E7F1C"/>
    <w:rsid w:val="007E7F8F"/>
    <w:rsid w:val="007F0026"/>
    <w:rsid w:val="007F0075"/>
    <w:rsid w:val="007F00A2"/>
    <w:rsid w:val="007F00C0"/>
    <w:rsid w:val="007F0108"/>
    <w:rsid w:val="007F018B"/>
    <w:rsid w:val="007F029E"/>
    <w:rsid w:val="007F02F7"/>
    <w:rsid w:val="007F0303"/>
    <w:rsid w:val="007F0398"/>
    <w:rsid w:val="007F0407"/>
    <w:rsid w:val="007F0408"/>
    <w:rsid w:val="007F042E"/>
    <w:rsid w:val="007F0524"/>
    <w:rsid w:val="007F0565"/>
    <w:rsid w:val="007F0591"/>
    <w:rsid w:val="007F0655"/>
    <w:rsid w:val="007F0693"/>
    <w:rsid w:val="007F06FC"/>
    <w:rsid w:val="007F07DE"/>
    <w:rsid w:val="007F0817"/>
    <w:rsid w:val="007F0822"/>
    <w:rsid w:val="007F08AC"/>
    <w:rsid w:val="007F08CF"/>
    <w:rsid w:val="007F094B"/>
    <w:rsid w:val="007F0ADD"/>
    <w:rsid w:val="007F0B42"/>
    <w:rsid w:val="007F0C32"/>
    <w:rsid w:val="007F0CF7"/>
    <w:rsid w:val="007F0D44"/>
    <w:rsid w:val="007F0D4E"/>
    <w:rsid w:val="007F0DCC"/>
    <w:rsid w:val="007F0EB0"/>
    <w:rsid w:val="007F0F42"/>
    <w:rsid w:val="007F0FB1"/>
    <w:rsid w:val="007F1054"/>
    <w:rsid w:val="007F10D5"/>
    <w:rsid w:val="007F10F5"/>
    <w:rsid w:val="007F1195"/>
    <w:rsid w:val="007F120C"/>
    <w:rsid w:val="007F1273"/>
    <w:rsid w:val="007F1299"/>
    <w:rsid w:val="007F1315"/>
    <w:rsid w:val="007F14E3"/>
    <w:rsid w:val="007F15B4"/>
    <w:rsid w:val="007F16AD"/>
    <w:rsid w:val="007F1798"/>
    <w:rsid w:val="007F1843"/>
    <w:rsid w:val="007F184B"/>
    <w:rsid w:val="007F19D7"/>
    <w:rsid w:val="007F1AE6"/>
    <w:rsid w:val="007F1B0B"/>
    <w:rsid w:val="007F1B5A"/>
    <w:rsid w:val="007F1BB3"/>
    <w:rsid w:val="007F1CA7"/>
    <w:rsid w:val="007F1CEC"/>
    <w:rsid w:val="007F1D39"/>
    <w:rsid w:val="007F1D41"/>
    <w:rsid w:val="007F1DF1"/>
    <w:rsid w:val="007F1E4E"/>
    <w:rsid w:val="007F1E5E"/>
    <w:rsid w:val="007F1E7E"/>
    <w:rsid w:val="007F1E9F"/>
    <w:rsid w:val="007F1EAC"/>
    <w:rsid w:val="007F1F23"/>
    <w:rsid w:val="007F1F24"/>
    <w:rsid w:val="007F1F60"/>
    <w:rsid w:val="007F1F86"/>
    <w:rsid w:val="007F209E"/>
    <w:rsid w:val="007F21C3"/>
    <w:rsid w:val="007F2214"/>
    <w:rsid w:val="007F2288"/>
    <w:rsid w:val="007F2331"/>
    <w:rsid w:val="007F2396"/>
    <w:rsid w:val="007F24FA"/>
    <w:rsid w:val="007F250A"/>
    <w:rsid w:val="007F2706"/>
    <w:rsid w:val="007F280E"/>
    <w:rsid w:val="007F2893"/>
    <w:rsid w:val="007F2AD4"/>
    <w:rsid w:val="007F2B2F"/>
    <w:rsid w:val="007F2CBC"/>
    <w:rsid w:val="007F2DF4"/>
    <w:rsid w:val="007F2E71"/>
    <w:rsid w:val="007F2EDE"/>
    <w:rsid w:val="007F3023"/>
    <w:rsid w:val="007F3052"/>
    <w:rsid w:val="007F309D"/>
    <w:rsid w:val="007F30C8"/>
    <w:rsid w:val="007F31AE"/>
    <w:rsid w:val="007F3389"/>
    <w:rsid w:val="007F33C4"/>
    <w:rsid w:val="007F340D"/>
    <w:rsid w:val="007F344E"/>
    <w:rsid w:val="007F35D1"/>
    <w:rsid w:val="007F35E3"/>
    <w:rsid w:val="007F369A"/>
    <w:rsid w:val="007F3779"/>
    <w:rsid w:val="007F37BD"/>
    <w:rsid w:val="007F37D7"/>
    <w:rsid w:val="007F3897"/>
    <w:rsid w:val="007F38C3"/>
    <w:rsid w:val="007F38E9"/>
    <w:rsid w:val="007F3A41"/>
    <w:rsid w:val="007F3AED"/>
    <w:rsid w:val="007F3B51"/>
    <w:rsid w:val="007F3B74"/>
    <w:rsid w:val="007F3C3F"/>
    <w:rsid w:val="007F3CF2"/>
    <w:rsid w:val="007F3D9A"/>
    <w:rsid w:val="007F3E0D"/>
    <w:rsid w:val="007F3E67"/>
    <w:rsid w:val="007F3F10"/>
    <w:rsid w:val="007F3F1B"/>
    <w:rsid w:val="007F3F35"/>
    <w:rsid w:val="007F3FF6"/>
    <w:rsid w:val="007F40A4"/>
    <w:rsid w:val="007F40B9"/>
    <w:rsid w:val="007F40FB"/>
    <w:rsid w:val="007F41DC"/>
    <w:rsid w:val="007F420C"/>
    <w:rsid w:val="007F4289"/>
    <w:rsid w:val="007F42A2"/>
    <w:rsid w:val="007F43B3"/>
    <w:rsid w:val="007F4434"/>
    <w:rsid w:val="007F4550"/>
    <w:rsid w:val="007F4628"/>
    <w:rsid w:val="007F48C4"/>
    <w:rsid w:val="007F4982"/>
    <w:rsid w:val="007F4AE0"/>
    <w:rsid w:val="007F4B4E"/>
    <w:rsid w:val="007F4B4F"/>
    <w:rsid w:val="007F4DF5"/>
    <w:rsid w:val="007F4E83"/>
    <w:rsid w:val="007F4F45"/>
    <w:rsid w:val="007F4FB9"/>
    <w:rsid w:val="007F500B"/>
    <w:rsid w:val="007F5020"/>
    <w:rsid w:val="007F50A0"/>
    <w:rsid w:val="007F50DA"/>
    <w:rsid w:val="007F5163"/>
    <w:rsid w:val="007F5431"/>
    <w:rsid w:val="007F55D1"/>
    <w:rsid w:val="007F56EB"/>
    <w:rsid w:val="007F5795"/>
    <w:rsid w:val="007F5823"/>
    <w:rsid w:val="007F585B"/>
    <w:rsid w:val="007F5923"/>
    <w:rsid w:val="007F5996"/>
    <w:rsid w:val="007F5AEB"/>
    <w:rsid w:val="007F5B6D"/>
    <w:rsid w:val="007F5BC8"/>
    <w:rsid w:val="007F5C97"/>
    <w:rsid w:val="007F5CA6"/>
    <w:rsid w:val="007F5CB4"/>
    <w:rsid w:val="007F5CF0"/>
    <w:rsid w:val="007F5D6C"/>
    <w:rsid w:val="007F5E05"/>
    <w:rsid w:val="007F5E4F"/>
    <w:rsid w:val="007F60A9"/>
    <w:rsid w:val="007F61AD"/>
    <w:rsid w:val="007F62A5"/>
    <w:rsid w:val="007F640A"/>
    <w:rsid w:val="007F649A"/>
    <w:rsid w:val="007F64CC"/>
    <w:rsid w:val="007F6645"/>
    <w:rsid w:val="007F66D2"/>
    <w:rsid w:val="007F6786"/>
    <w:rsid w:val="007F6824"/>
    <w:rsid w:val="007F6913"/>
    <w:rsid w:val="007F693B"/>
    <w:rsid w:val="007F69DE"/>
    <w:rsid w:val="007F6AA0"/>
    <w:rsid w:val="007F6ABD"/>
    <w:rsid w:val="007F6B2A"/>
    <w:rsid w:val="007F6B48"/>
    <w:rsid w:val="007F6C68"/>
    <w:rsid w:val="007F6CEC"/>
    <w:rsid w:val="007F6D4B"/>
    <w:rsid w:val="007F6DC9"/>
    <w:rsid w:val="007F6DE2"/>
    <w:rsid w:val="007F6EA9"/>
    <w:rsid w:val="007F6F67"/>
    <w:rsid w:val="007F6FB3"/>
    <w:rsid w:val="007F709D"/>
    <w:rsid w:val="007F7147"/>
    <w:rsid w:val="007F7197"/>
    <w:rsid w:val="007F71B2"/>
    <w:rsid w:val="007F72C8"/>
    <w:rsid w:val="007F7348"/>
    <w:rsid w:val="007F7371"/>
    <w:rsid w:val="007F7390"/>
    <w:rsid w:val="007F7406"/>
    <w:rsid w:val="007F74A8"/>
    <w:rsid w:val="007F751A"/>
    <w:rsid w:val="007F7648"/>
    <w:rsid w:val="007F7680"/>
    <w:rsid w:val="007F769A"/>
    <w:rsid w:val="007F76FE"/>
    <w:rsid w:val="007F775A"/>
    <w:rsid w:val="007F77B4"/>
    <w:rsid w:val="007F784D"/>
    <w:rsid w:val="007F7881"/>
    <w:rsid w:val="007F7962"/>
    <w:rsid w:val="007F79DC"/>
    <w:rsid w:val="007F7A9E"/>
    <w:rsid w:val="007F7AE0"/>
    <w:rsid w:val="007F7B24"/>
    <w:rsid w:val="007F7B26"/>
    <w:rsid w:val="007F7B4C"/>
    <w:rsid w:val="007F7BE9"/>
    <w:rsid w:val="007F7D3A"/>
    <w:rsid w:val="008000BA"/>
    <w:rsid w:val="008000C4"/>
    <w:rsid w:val="008001FA"/>
    <w:rsid w:val="00800353"/>
    <w:rsid w:val="00800485"/>
    <w:rsid w:val="008004F5"/>
    <w:rsid w:val="0080052E"/>
    <w:rsid w:val="00800582"/>
    <w:rsid w:val="008006A3"/>
    <w:rsid w:val="008007AD"/>
    <w:rsid w:val="008007D2"/>
    <w:rsid w:val="0080080D"/>
    <w:rsid w:val="008009A5"/>
    <w:rsid w:val="00800B46"/>
    <w:rsid w:val="00800C2A"/>
    <w:rsid w:val="00800DD8"/>
    <w:rsid w:val="00800E26"/>
    <w:rsid w:val="00800E2B"/>
    <w:rsid w:val="00800F89"/>
    <w:rsid w:val="00801004"/>
    <w:rsid w:val="0080103E"/>
    <w:rsid w:val="0080108D"/>
    <w:rsid w:val="0080115D"/>
    <w:rsid w:val="008012E8"/>
    <w:rsid w:val="0080131F"/>
    <w:rsid w:val="008013F9"/>
    <w:rsid w:val="00801510"/>
    <w:rsid w:val="00801511"/>
    <w:rsid w:val="0080151B"/>
    <w:rsid w:val="008015AE"/>
    <w:rsid w:val="008017C2"/>
    <w:rsid w:val="00801884"/>
    <w:rsid w:val="008018DC"/>
    <w:rsid w:val="0080193C"/>
    <w:rsid w:val="008019C3"/>
    <w:rsid w:val="00801A44"/>
    <w:rsid w:val="00801B8D"/>
    <w:rsid w:val="00801C6A"/>
    <w:rsid w:val="00801DCF"/>
    <w:rsid w:val="00801DD5"/>
    <w:rsid w:val="00801ED9"/>
    <w:rsid w:val="0080207F"/>
    <w:rsid w:val="008020E8"/>
    <w:rsid w:val="008020F7"/>
    <w:rsid w:val="0080218A"/>
    <w:rsid w:val="00802211"/>
    <w:rsid w:val="008022C5"/>
    <w:rsid w:val="008023DB"/>
    <w:rsid w:val="00802464"/>
    <w:rsid w:val="008027FD"/>
    <w:rsid w:val="008028B6"/>
    <w:rsid w:val="008028D4"/>
    <w:rsid w:val="0080292B"/>
    <w:rsid w:val="008029E2"/>
    <w:rsid w:val="008029EA"/>
    <w:rsid w:val="00802A3E"/>
    <w:rsid w:val="00802ACA"/>
    <w:rsid w:val="00802B50"/>
    <w:rsid w:val="00802BE6"/>
    <w:rsid w:val="00802C7C"/>
    <w:rsid w:val="00802D4A"/>
    <w:rsid w:val="00802DAA"/>
    <w:rsid w:val="00802E16"/>
    <w:rsid w:val="00802E18"/>
    <w:rsid w:val="00802E92"/>
    <w:rsid w:val="00802EB4"/>
    <w:rsid w:val="00802F03"/>
    <w:rsid w:val="00802F44"/>
    <w:rsid w:val="00802FD4"/>
    <w:rsid w:val="0080323E"/>
    <w:rsid w:val="00803543"/>
    <w:rsid w:val="008035D3"/>
    <w:rsid w:val="008035DA"/>
    <w:rsid w:val="008035EF"/>
    <w:rsid w:val="0080366D"/>
    <w:rsid w:val="008036C1"/>
    <w:rsid w:val="008037B6"/>
    <w:rsid w:val="00803806"/>
    <w:rsid w:val="008038FA"/>
    <w:rsid w:val="00803946"/>
    <w:rsid w:val="00803980"/>
    <w:rsid w:val="008039FD"/>
    <w:rsid w:val="00803B79"/>
    <w:rsid w:val="00803B9B"/>
    <w:rsid w:val="00803BF2"/>
    <w:rsid w:val="00803CC0"/>
    <w:rsid w:val="00803CC4"/>
    <w:rsid w:val="00803DB6"/>
    <w:rsid w:val="00803E03"/>
    <w:rsid w:val="00803EF4"/>
    <w:rsid w:val="00803F49"/>
    <w:rsid w:val="00803F8B"/>
    <w:rsid w:val="00803FC6"/>
    <w:rsid w:val="00803FDC"/>
    <w:rsid w:val="0080402C"/>
    <w:rsid w:val="00804058"/>
    <w:rsid w:val="008040ED"/>
    <w:rsid w:val="008042E7"/>
    <w:rsid w:val="00804384"/>
    <w:rsid w:val="008044DC"/>
    <w:rsid w:val="0080452B"/>
    <w:rsid w:val="00804562"/>
    <w:rsid w:val="00804584"/>
    <w:rsid w:val="008045D0"/>
    <w:rsid w:val="0080461F"/>
    <w:rsid w:val="00804672"/>
    <w:rsid w:val="008046EB"/>
    <w:rsid w:val="008047F3"/>
    <w:rsid w:val="008048F7"/>
    <w:rsid w:val="00804934"/>
    <w:rsid w:val="00804938"/>
    <w:rsid w:val="008049DC"/>
    <w:rsid w:val="00804B03"/>
    <w:rsid w:val="00804B78"/>
    <w:rsid w:val="00804BA2"/>
    <w:rsid w:val="00804C1B"/>
    <w:rsid w:val="00804CC0"/>
    <w:rsid w:val="00804DC0"/>
    <w:rsid w:val="00804DD2"/>
    <w:rsid w:val="00804DE8"/>
    <w:rsid w:val="00804E34"/>
    <w:rsid w:val="00804EA8"/>
    <w:rsid w:val="00804EB9"/>
    <w:rsid w:val="00804EEE"/>
    <w:rsid w:val="008050F5"/>
    <w:rsid w:val="0080519A"/>
    <w:rsid w:val="008051B4"/>
    <w:rsid w:val="00805436"/>
    <w:rsid w:val="008054F2"/>
    <w:rsid w:val="00805781"/>
    <w:rsid w:val="008057CC"/>
    <w:rsid w:val="0080581C"/>
    <w:rsid w:val="00805877"/>
    <w:rsid w:val="0080593D"/>
    <w:rsid w:val="00805A80"/>
    <w:rsid w:val="00805B7D"/>
    <w:rsid w:val="00805BAE"/>
    <w:rsid w:val="00805C7C"/>
    <w:rsid w:val="00805DCC"/>
    <w:rsid w:val="00805E0A"/>
    <w:rsid w:val="00805E42"/>
    <w:rsid w:val="00805F5F"/>
    <w:rsid w:val="00806028"/>
    <w:rsid w:val="008060A9"/>
    <w:rsid w:val="00806154"/>
    <w:rsid w:val="008062AE"/>
    <w:rsid w:val="00806430"/>
    <w:rsid w:val="00806498"/>
    <w:rsid w:val="008064E3"/>
    <w:rsid w:val="00806511"/>
    <w:rsid w:val="008066B8"/>
    <w:rsid w:val="00806782"/>
    <w:rsid w:val="0080679B"/>
    <w:rsid w:val="008067D0"/>
    <w:rsid w:val="00806816"/>
    <w:rsid w:val="00806842"/>
    <w:rsid w:val="0080685E"/>
    <w:rsid w:val="00806AD3"/>
    <w:rsid w:val="00806B7B"/>
    <w:rsid w:val="00806BBA"/>
    <w:rsid w:val="00806D49"/>
    <w:rsid w:val="00806DA3"/>
    <w:rsid w:val="00807075"/>
    <w:rsid w:val="008070EE"/>
    <w:rsid w:val="0080729B"/>
    <w:rsid w:val="008073B8"/>
    <w:rsid w:val="00807486"/>
    <w:rsid w:val="008074C5"/>
    <w:rsid w:val="00807560"/>
    <w:rsid w:val="008075A2"/>
    <w:rsid w:val="008075D8"/>
    <w:rsid w:val="00807760"/>
    <w:rsid w:val="00807962"/>
    <w:rsid w:val="00807A2F"/>
    <w:rsid w:val="00807B45"/>
    <w:rsid w:val="00807C17"/>
    <w:rsid w:val="00807DDB"/>
    <w:rsid w:val="00807E86"/>
    <w:rsid w:val="00807E93"/>
    <w:rsid w:val="00807E9B"/>
    <w:rsid w:val="00807ED3"/>
    <w:rsid w:val="00807EEA"/>
    <w:rsid w:val="00807F22"/>
    <w:rsid w:val="00810053"/>
    <w:rsid w:val="0081012D"/>
    <w:rsid w:val="00810166"/>
    <w:rsid w:val="008101C8"/>
    <w:rsid w:val="00810227"/>
    <w:rsid w:val="008102A4"/>
    <w:rsid w:val="00810460"/>
    <w:rsid w:val="008104AB"/>
    <w:rsid w:val="00810524"/>
    <w:rsid w:val="00810587"/>
    <w:rsid w:val="008106C9"/>
    <w:rsid w:val="008107B8"/>
    <w:rsid w:val="00810816"/>
    <w:rsid w:val="00810A2B"/>
    <w:rsid w:val="00810A6C"/>
    <w:rsid w:val="00810BA3"/>
    <w:rsid w:val="00810C6E"/>
    <w:rsid w:val="00810C81"/>
    <w:rsid w:val="00810C92"/>
    <w:rsid w:val="00810D56"/>
    <w:rsid w:val="00810D60"/>
    <w:rsid w:val="00810DFC"/>
    <w:rsid w:val="00810E1B"/>
    <w:rsid w:val="00810EC0"/>
    <w:rsid w:val="00810EF6"/>
    <w:rsid w:val="00811002"/>
    <w:rsid w:val="0081101F"/>
    <w:rsid w:val="0081113C"/>
    <w:rsid w:val="00811282"/>
    <w:rsid w:val="00811288"/>
    <w:rsid w:val="008112C5"/>
    <w:rsid w:val="008113E3"/>
    <w:rsid w:val="008113EC"/>
    <w:rsid w:val="00811644"/>
    <w:rsid w:val="008116DA"/>
    <w:rsid w:val="00811730"/>
    <w:rsid w:val="00811768"/>
    <w:rsid w:val="00811786"/>
    <w:rsid w:val="008117B7"/>
    <w:rsid w:val="008117F0"/>
    <w:rsid w:val="00811930"/>
    <w:rsid w:val="00811A4D"/>
    <w:rsid w:val="00811B07"/>
    <w:rsid w:val="00811B3E"/>
    <w:rsid w:val="00811B66"/>
    <w:rsid w:val="00811C28"/>
    <w:rsid w:val="00811C82"/>
    <w:rsid w:val="00811C9A"/>
    <w:rsid w:val="00811CFD"/>
    <w:rsid w:val="00811E22"/>
    <w:rsid w:val="00811E64"/>
    <w:rsid w:val="00811E6F"/>
    <w:rsid w:val="00811E8C"/>
    <w:rsid w:val="00811F04"/>
    <w:rsid w:val="00811F17"/>
    <w:rsid w:val="00811F9F"/>
    <w:rsid w:val="00811FA9"/>
    <w:rsid w:val="008120B7"/>
    <w:rsid w:val="00812144"/>
    <w:rsid w:val="00812183"/>
    <w:rsid w:val="008121D5"/>
    <w:rsid w:val="00812222"/>
    <w:rsid w:val="00812277"/>
    <w:rsid w:val="00812377"/>
    <w:rsid w:val="00812464"/>
    <w:rsid w:val="008124BA"/>
    <w:rsid w:val="008124DB"/>
    <w:rsid w:val="00812515"/>
    <w:rsid w:val="0081265E"/>
    <w:rsid w:val="008126B0"/>
    <w:rsid w:val="008126D0"/>
    <w:rsid w:val="00812738"/>
    <w:rsid w:val="00812825"/>
    <w:rsid w:val="00812AFC"/>
    <w:rsid w:val="00812B05"/>
    <w:rsid w:val="00812C21"/>
    <w:rsid w:val="00812D03"/>
    <w:rsid w:val="00812D11"/>
    <w:rsid w:val="00812DE5"/>
    <w:rsid w:val="00812ED0"/>
    <w:rsid w:val="00812EE9"/>
    <w:rsid w:val="00812F37"/>
    <w:rsid w:val="00812F6F"/>
    <w:rsid w:val="0081303B"/>
    <w:rsid w:val="008131BC"/>
    <w:rsid w:val="008132C5"/>
    <w:rsid w:val="00813320"/>
    <w:rsid w:val="00813408"/>
    <w:rsid w:val="008134EF"/>
    <w:rsid w:val="00813646"/>
    <w:rsid w:val="008137E2"/>
    <w:rsid w:val="008138AC"/>
    <w:rsid w:val="008138FD"/>
    <w:rsid w:val="0081391B"/>
    <w:rsid w:val="00813A0E"/>
    <w:rsid w:val="00813A12"/>
    <w:rsid w:val="00813A1D"/>
    <w:rsid w:val="00813A20"/>
    <w:rsid w:val="00813A27"/>
    <w:rsid w:val="00813AC8"/>
    <w:rsid w:val="00813B3A"/>
    <w:rsid w:val="00813B7F"/>
    <w:rsid w:val="00813C30"/>
    <w:rsid w:val="00813C3A"/>
    <w:rsid w:val="00813CBA"/>
    <w:rsid w:val="00813E79"/>
    <w:rsid w:val="0081400D"/>
    <w:rsid w:val="0081402C"/>
    <w:rsid w:val="00814090"/>
    <w:rsid w:val="008141ED"/>
    <w:rsid w:val="00814220"/>
    <w:rsid w:val="008142EC"/>
    <w:rsid w:val="00814309"/>
    <w:rsid w:val="008145DD"/>
    <w:rsid w:val="00814632"/>
    <w:rsid w:val="0081477C"/>
    <w:rsid w:val="00814862"/>
    <w:rsid w:val="008148F4"/>
    <w:rsid w:val="00814940"/>
    <w:rsid w:val="0081494E"/>
    <w:rsid w:val="00814B78"/>
    <w:rsid w:val="00814CC1"/>
    <w:rsid w:val="00814DF6"/>
    <w:rsid w:val="00814E41"/>
    <w:rsid w:val="00814F18"/>
    <w:rsid w:val="00814FE6"/>
    <w:rsid w:val="008150EA"/>
    <w:rsid w:val="0081517B"/>
    <w:rsid w:val="0081529F"/>
    <w:rsid w:val="00815310"/>
    <w:rsid w:val="00815388"/>
    <w:rsid w:val="008155BC"/>
    <w:rsid w:val="008155C8"/>
    <w:rsid w:val="00815684"/>
    <w:rsid w:val="008156A6"/>
    <w:rsid w:val="00815702"/>
    <w:rsid w:val="00815770"/>
    <w:rsid w:val="0081581F"/>
    <w:rsid w:val="0081589F"/>
    <w:rsid w:val="0081599B"/>
    <w:rsid w:val="00815A8D"/>
    <w:rsid w:val="00815AA4"/>
    <w:rsid w:val="00815AD6"/>
    <w:rsid w:val="00815F99"/>
    <w:rsid w:val="00816040"/>
    <w:rsid w:val="00816152"/>
    <w:rsid w:val="008161B1"/>
    <w:rsid w:val="008161E1"/>
    <w:rsid w:val="0081628F"/>
    <w:rsid w:val="00816294"/>
    <w:rsid w:val="008163BC"/>
    <w:rsid w:val="008163FD"/>
    <w:rsid w:val="00816496"/>
    <w:rsid w:val="00816542"/>
    <w:rsid w:val="008165F6"/>
    <w:rsid w:val="0081664F"/>
    <w:rsid w:val="00816650"/>
    <w:rsid w:val="00816651"/>
    <w:rsid w:val="00816817"/>
    <w:rsid w:val="00816819"/>
    <w:rsid w:val="0081692E"/>
    <w:rsid w:val="00816A25"/>
    <w:rsid w:val="00816BC0"/>
    <w:rsid w:val="00816F4D"/>
    <w:rsid w:val="00816FDA"/>
    <w:rsid w:val="0081718B"/>
    <w:rsid w:val="00817215"/>
    <w:rsid w:val="00817516"/>
    <w:rsid w:val="008175F8"/>
    <w:rsid w:val="00817621"/>
    <w:rsid w:val="008176BF"/>
    <w:rsid w:val="0081771A"/>
    <w:rsid w:val="00817969"/>
    <w:rsid w:val="0081799B"/>
    <w:rsid w:val="00817A4E"/>
    <w:rsid w:val="00817D4F"/>
    <w:rsid w:val="00817D67"/>
    <w:rsid w:val="00817DC4"/>
    <w:rsid w:val="00817DD0"/>
    <w:rsid w:val="00817EA5"/>
    <w:rsid w:val="00817EF8"/>
    <w:rsid w:val="00817FAF"/>
    <w:rsid w:val="00820033"/>
    <w:rsid w:val="00820046"/>
    <w:rsid w:val="008201E0"/>
    <w:rsid w:val="0082035E"/>
    <w:rsid w:val="008203A6"/>
    <w:rsid w:val="008203FA"/>
    <w:rsid w:val="00820461"/>
    <w:rsid w:val="008204C6"/>
    <w:rsid w:val="008204E4"/>
    <w:rsid w:val="00820521"/>
    <w:rsid w:val="00820556"/>
    <w:rsid w:val="0082065B"/>
    <w:rsid w:val="00820762"/>
    <w:rsid w:val="00820828"/>
    <w:rsid w:val="00820858"/>
    <w:rsid w:val="00820860"/>
    <w:rsid w:val="0082089F"/>
    <w:rsid w:val="008208D8"/>
    <w:rsid w:val="008209F7"/>
    <w:rsid w:val="00820A07"/>
    <w:rsid w:val="00820A84"/>
    <w:rsid w:val="00820C0E"/>
    <w:rsid w:val="00820C36"/>
    <w:rsid w:val="00820CB2"/>
    <w:rsid w:val="00820DE5"/>
    <w:rsid w:val="00820E38"/>
    <w:rsid w:val="00820E3A"/>
    <w:rsid w:val="00820E4F"/>
    <w:rsid w:val="00820FB9"/>
    <w:rsid w:val="008211A6"/>
    <w:rsid w:val="008211B1"/>
    <w:rsid w:val="00821355"/>
    <w:rsid w:val="008214FC"/>
    <w:rsid w:val="0082155C"/>
    <w:rsid w:val="0082157D"/>
    <w:rsid w:val="0082172B"/>
    <w:rsid w:val="008218A2"/>
    <w:rsid w:val="008218F2"/>
    <w:rsid w:val="00821A2E"/>
    <w:rsid w:val="00821A60"/>
    <w:rsid w:val="00821AA1"/>
    <w:rsid w:val="00821D60"/>
    <w:rsid w:val="00821EAC"/>
    <w:rsid w:val="00821F14"/>
    <w:rsid w:val="008221D9"/>
    <w:rsid w:val="0082221F"/>
    <w:rsid w:val="0082230B"/>
    <w:rsid w:val="00822352"/>
    <w:rsid w:val="00822371"/>
    <w:rsid w:val="008223CE"/>
    <w:rsid w:val="008223FF"/>
    <w:rsid w:val="008224F0"/>
    <w:rsid w:val="0082263F"/>
    <w:rsid w:val="008227BF"/>
    <w:rsid w:val="00822822"/>
    <w:rsid w:val="008228BD"/>
    <w:rsid w:val="008228DD"/>
    <w:rsid w:val="00822A0F"/>
    <w:rsid w:val="00822A6F"/>
    <w:rsid w:val="00822CEF"/>
    <w:rsid w:val="00822EBD"/>
    <w:rsid w:val="008230B3"/>
    <w:rsid w:val="00823258"/>
    <w:rsid w:val="00823263"/>
    <w:rsid w:val="0082353F"/>
    <w:rsid w:val="00823679"/>
    <w:rsid w:val="0082375D"/>
    <w:rsid w:val="00823901"/>
    <w:rsid w:val="00823A2B"/>
    <w:rsid w:val="00823A37"/>
    <w:rsid w:val="00823A46"/>
    <w:rsid w:val="00823A86"/>
    <w:rsid w:val="00823A90"/>
    <w:rsid w:val="00823B43"/>
    <w:rsid w:val="00823C53"/>
    <w:rsid w:val="00823D64"/>
    <w:rsid w:val="00823DEC"/>
    <w:rsid w:val="00823EDA"/>
    <w:rsid w:val="00823F99"/>
    <w:rsid w:val="0082400A"/>
    <w:rsid w:val="00824153"/>
    <w:rsid w:val="008241D5"/>
    <w:rsid w:val="008241FA"/>
    <w:rsid w:val="00824273"/>
    <w:rsid w:val="0082428D"/>
    <w:rsid w:val="008242EC"/>
    <w:rsid w:val="0082433A"/>
    <w:rsid w:val="008244B0"/>
    <w:rsid w:val="008244D8"/>
    <w:rsid w:val="00824548"/>
    <w:rsid w:val="00824556"/>
    <w:rsid w:val="0082460B"/>
    <w:rsid w:val="0082469B"/>
    <w:rsid w:val="0082498D"/>
    <w:rsid w:val="00824A20"/>
    <w:rsid w:val="00824A38"/>
    <w:rsid w:val="00824BD1"/>
    <w:rsid w:val="00824C48"/>
    <w:rsid w:val="00824C77"/>
    <w:rsid w:val="00824CCA"/>
    <w:rsid w:val="00824DBB"/>
    <w:rsid w:val="00824EF4"/>
    <w:rsid w:val="00824F88"/>
    <w:rsid w:val="00824FB3"/>
    <w:rsid w:val="00825016"/>
    <w:rsid w:val="00825049"/>
    <w:rsid w:val="008250C3"/>
    <w:rsid w:val="0082512D"/>
    <w:rsid w:val="0082516A"/>
    <w:rsid w:val="00825217"/>
    <w:rsid w:val="00825270"/>
    <w:rsid w:val="008252F3"/>
    <w:rsid w:val="0082531B"/>
    <w:rsid w:val="00825352"/>
    <w:rsid w:val="00825355"/>
    <w:rsid w:val="00825414"/>
    <w:rsid w:val="00825415"/>
    <w:rsid w:val="00825445"/>
    <w:rsid w:val="00825450"/>
    <w:rsid w:val="008254B8"/>
    <w:rsid w:val="0082571F"/>
    <w:rsid w:val="0082574B"/>
    <w:rsid w:val="00825954"/>
    <w:rsid w:val="00825A54"/>
    <w:rsid w:val="00825C78"/>
    <w:rsid w:val="00825C9B"/>
    <w:rsid w:val="00825CF5"/>
    <w:rsid w:val="00825E12"/>
    <w:rsid w:val="00825E7D"/>
    <w:rsid w:val="00825EE6"/>
    <w:rsid w:val="00825FEF"/>
    <w:rsid w:val="00826103"/>
    <w:rsid w:val="008261A1"/>
    <w:rsid w:val="008261AB"/>
    <w:rsid w:val="00826245"/>
    <w:rsid w:val="0082627C"/>
    <w:rsid w:val="008263A9"/>
    <w:rsid w:val="008263C3"/>
    <w:rsid w:val="008263E0"/>
    <w:rsid w:val="00826407"/>
    <w:rsid w:val="0082640E"/>
    <w:rsid w:val="00826429"/>
    <w:rsid w:val="00826635"/>
    <w:rsid w:val="00826641"/>
    <w:rsid w:val="00826694"/>
    <w:rsid w:val="0082680F"/>
    <w:rsid w:val="0082686C"/>
    <w:rsid w:val="00826980"/>
    <w:rsid w:val="00826A12"/>
    <w:rsid w:val="00826AC9"/>
    <w:rsid w:val="00826B1B"/>
    <w:rsid w:val="00826B4A"/>
    <w:rsid w:val="00826BF7"/>
    <w:rsid w:val="00826BFB"/>
    <w:rsid w:val="00826BFD"/>
    <w:rsid w:val="00826C31"/>
    <w:rsid w:val="00826C37"/>
    <w:rsid w:val="00826CC0"/>
    <w:rsid w:val="00826E04"/>
    <w:rsid w:val="00826F84"/>
    <w:rsid w:val="0082701B"/>
    <w:rsid w:val="00827043"/>
    <w:rsid w:val="008270B0"/>
    <w:rsid w:val="008270B9"/>
    <w:rsid w:val="00827178"/>
    <w:rsid w:val="008272E5"/>
    <w:rsid w:val="00827363"/>
    <w:rsid w:val="008273DC"/>
    <w:rsid w:val="0082752C"/>
    <w:rsid w:val="00827799"/>
    <w:rsid w:val="008277DB"/>
    <w:rsid w:val="0082781C"/>
    <w:rsid w:val="00827850"/>
    <w:rsid w:val="008278A6"/>
    <w:rsid w:val="00827B8C"/>
    <w:rsid w:val="00827D1E"/>
    <w:rsid w:val="00827DB4"/>
    <w:rsid w:val="00827DE2"/>
    <w:rsid w:val="00827DEF"/>
    <w:rsid w:val="00827E5B"/>
    <w:rsid w:val="00827FCC"/>
    <w:rsid w:val="008300B0"/>
    <w:rsid w:val="008301B7"/>
    <w:rsid w:val="0083027F"/>
    <w:rsid w:val="008302B1"/>
    <w:rsid w:val="0083031D"/>
    <w:rsid w:val="0083050F"/>
    <w:rsid w:val="00830588"/>
    <w:rsid w:val="0083064B"/>
    <w:rsid w:val="008306ED"/>
    <w:rsid w:val="008306EF"/>
    <w:rsid w:val="00830823"/>
    <w:rsid w:val="00830882"/>
    <w:rsid w:val="008308A0"/>
    <w:rsid w:val="008309AF"/>
    <w:rsid w:val="008309C9"/>
    <w:rsid w:val="00830B59"/>
    <w:rsid w:val="00830B8E"/>
    <w:rsid w:val="00830BBD"/>
    <w:rsid w:val="00830C8D"/>
    <w:rsid w:val="00830F0A"/>
    <w:rsid w:val="00830F38"/>
    <w:rsid w:val="00830F3A"/>
    <w:rsid w:val="00830F8A"/>
    <w:rsid w:val="00830FCA"/>
    <w:rsid w:val="0083106C"/>
    <w:rsid w:val="008310B1"/>
    <w:rsid w:val="00831126"/>
    <w:rsid w:val="0083119E"/>
    <w:rsid w:val="008313EB"/>
    <w:rsid w:val="008314E7"/>
    <w:rsid w:val="00831511"/>
    <w:rsid w:val="00831834"/>
    <w:rsid w:val="00831884"/>
    <w:rsid w:val="008318CE"/>
    <w:rsid w:val="00831ADE"/>
    <w:rsid w:val="00831AFE"/>
    <w:rsid w:val="00831B96"/>
    <w:rsid w:val="00831E76"/>
    <w:rsid w:val="00831F68"/>
    <w:rsid w:val="00832116"/>
    <w:rsid w:val="008322E1"/>
    <w:rsid w:val="008323A5"/>
    <w:rsid w:val="008324AD"/>
    <w:rsid w:val="008324BF"/>
    <w:rsid w:val="00832571"/>
    <w:rsid w:val="0083262D"/>
    <w:rsid w:val="008326A2"/>
    <w:rsid w:val="00832707"/>
    <w:rsid w:val="0083287A"/>
    <w:rsid w:val="0083288C"/>
    <w:rsid w:val="008328A4"/>
    <w:rsid w:val="008328F2"/>
    <w:rsid w:val="00832B15"/>
    <w:rsid w:val="00832BA9"/>
    <w:rsid w:val="00832C80"/>
    <w:rsid w:val="00832C97"/>
    <w:rsid w:val="00832D7C"/>
    <w:rsid w:val="00832DF5"/>
    <w:rsid w:val="00832E59"/>
    <w:rsid w:val="00832ECD"/>
    <w:rsid w:val="00832FD6"/>
    <w:rsid w:val="00833023"/>
    <w:rsid w:val="00833040"/>
    <w:rsid w:val="00833173"/>
    <w:rsid w:val="0083318D"/>
    <w:rsid w:val="008331AC"/>
    <w:rsid w:val="008331FB"/>
    <w:rsid w:val="0083322C"/>
    <w:rsid w:val="00833261"/>
    <w:rsid w:val="00833291"/>
    <w:rsid w:val="0083336D"/>
    <w:rsid w:val="0083336F"/>
    <w:rsid w:val="0083341F"/>
    <w:rsid w:val="00833432"/>
    <w:rsid w:val="00833456"/>
    <w:rsid w:val="0083359C"/>
    <w:rsid w:val="008335EF"/>
    <w:rsid w:val="00833666"/>
    <w:rsid w:val="00833724"/>
    <w:rsid w:val="00833775"/>
    <w:rsid w:val="00833846"/>
    <w:rsid w:val="008339C6"/>
    <w:rsid w:val="00833A0D"/>
    <w:rsid w:val="00833A7C"/>
    <w:rsid w:val="00833A93"/>
    <w:rsid w:val="00833B5D"/>
    <w:rsid w:val="00833BD8"/>
    <w:rsid w:val="00833BDC"/>
    <w:rsid w:val="00833CC9"/>
    <w:rsid w:val="00833D13"/>
    <w:rsid w:val="00833D59"/>
    <w:rsid w:val="00833D7F"/>
    <w:rsid w:val="00833D88"/>
    <w:rsid w:val="00833E55"/>
    <w:rsid w:val="00833E62"/>
    <w:rsid w:val="00833EDD"/>
    <w:rsid w:val="00833FAA"/>
    <w:rsid w:val="00834085"/>
    <w:rsid w:val="008340C9"/>
    <w:rsid w:val="0083417D"/>
    <w:rsid w:val="00834231"/>
    <w:rsid w:val="0083439A"/>
    <w:rsid w:val="008343BB"/>
    <w:rsid w:val="008343CF"/>
    <w:rsid w:val="008343DF"/>
    <w:rsid w:val="008344B8"/>
    <w:rsid w:val="008344BE"/>
    <w:rsid w:val="00834584"/>
    <w:rsid w:val="008345CE"/>
    <w:rsid w:val="0083461B"/>
    <w:rsid w:val="00834673"/>
    <w:rsid w:val="00834841"/>
    <w:rsid w:val="00834964"/>
    <w:rsid w:val="008349CB"/>
    <w:rsid w:val="00834B25"/>
    <w:rsid w:val="00834C55"/>
    <w:rsid w:val="00834C62"/>
    <w:rsid w:val="00834CD9"/>
    <w:rsid w:val="00834D26"/>
    <w:rsid w:val="00834DAE"/>
    <w:rsid w:val="00834DF5"/>
    <w:rsid w:val="00834EED"/>
    <w:rsid w:val="00834F06"/>
    <w:rsid w:val="00834F74"/>
    <w:rsid w:val="00834FFF"/>
    <w:rsid w:val="0083510B"/>
    <w:rsid w:val="00835131"/>
    <w:rsid w:val="008351CA"/>
    <w:rsid w:val="008352F9"/>
    <w:rsid w:val="008353D3"/>
    <w:rsid w:val="00835405"/>
    <w:rsid w:val="008354F5"/>
    <w:rsid w:val="00835542"/>
    <w:rsid w:val="00835603"/>
    <w:rsid w:val="00835609"/>
    <w:rsid w:val="00835653"/>
    <w:rsid w:val="00835751"/>
    <w:rsid w:val="00835770"/>
    <w:rsid w:val="008357E1"/>
    <w:rsid w:val="008357F1"/>
    <w:rsid w:val="00835808"/>
    <w:rsid w:val="00835896"/>
    <w:rsid w:val="00835934"/>
    <w:rsid w:val="008359BB"/>
    <w:rsid w:val="00835A1B"/>
    <w:rsid w:val="00835A49"/>
    <w:rsid w:val="00835A4E"/>
    <w:rsid w:val="00835ACF"/>
    <w:rsid w:val="00835BD8"/>
    <w:rsid w:val="00835C0A"/>
    <w:rsid w:val="00835CBC"/>
    <w:rsid w:val="00835CFE"/>
    <w:rsid w:val="00835D18"/>
    <w:rsid w:val="00835D95"/>
    <w:rsid w:val="00835DA7"/>
    <w:rsid w:val="00835E89"/>
    <w:rsid w:val="00835F27"/>
    <w:rsid w:val="00835F2C"/>
    <w:rsid w:val="00835F35"/>
    <w:rsid w:val="00835F96"/>
    <w:rsid w:val="00836042"/>
    <w:rsid w:val="0083617A"/>
    <w:rsid w:val="00836232"/>
    <w:rsid w:val="00836320"/>
    <w:rsid w:val="00836542"/>
    <w:rsid w:val="0083661C"/>
    <w:rsid w:val="00836781"/>
    <w:rsid w:val="00836798"/>
    <w:rsid w:val="008367A9"/>
    <w:rsid w:val="0083680E"/>
    <w:rsid w:val="00836849"/>
    <w:rsid w:val="008368BA"/>
    <w:rsid w:val="00836926"/>
    <w:rsid w:val="008369F7"/>
    <w:rsid w:val="00836A1F"/>
    <w:rsid w:val="00836A45"/>
    <w:rsid w:val="00836A51"/>
    <w:rsid w:val="00836C9E"/>
    <w:rsid w:val="00836CBF"/>
    <w:rsid w:val="00836D5D"/>
    <w:rsid w:val="00836D93"/>
    <w:rsid w:val="00836E05"/>
    <w:rsid w:val="00836E24"/>
    <w:rsid w:val="00836E3B"/>
    <w:rsid w:val="00836EE0"/>
    <w:rsid w:val="00836F35"/>
    <w:rsid w:val="00836FCD"/>
    <w:rsid w:val="00837081"/>
    <w:rsid w:val="008370B7"/>
    <w:rsid w:val="0083718D"/>
    <w:rsid w:val="00837262"/>
    <w:rsid w:val="00837386"/>
    <w:rsid w:val="0083741F"/>
    <w:rsid w:val="008374DB"/>
    <w:rsid w:val="008375C5"/>
    <w:rsid w:val="00837704"/>
    <w:rsid w:val="00837830"/>
    <w:rsid w:val="008378C4"/>
    <w:rsid w:val="00837906"/>
    <w:rsid w:val="00837B74"/>
    <w:rsid w:val="00837BC4"/>
    <w:rsid w:val="00837C5F"/>
    <w:rsid w:val="00837CD5"/>
    <w:rsid w:val="00837DA7"/>
    <w:rsid w:val="0084004D"/>
    <w:rsid w:val="00840078"/>
    <w:rsid w:val="00840102"/>
    <w:rsid w:val="00840188"/>
    <w:rsid w:val="008404D7"/>
    <w:rsid w:val="00840565"/>
    <w:rsid w:val="00840594"/>
    <w:rsid w:val="008405C0"/>
    <w:rsid w:val="00840613"/>
    <w:rsid w:val="008406CD"/>
    <w:rsid w:val="00840724"/>
    <w:rsid w:val="00840753"/>
    <w:rsid w:val="00840791"/>
    <w:rsid w:val="008407DA"/>
    <w:rsid w:val="00840836"/>
    <w:rsid w:val="00840851"/>
    <w:rsid w:val="0084090C"/>
    <w:rsid w:val="0084095D"/>
    <w:rsid w:val="0084099B"/>
    <w:rsid w:val="00840AA4"/>
    <w:rsid w:val="00840B73"/>
    <w:rsid w:val="00840B81"/>
    <w:rsid w:val="00840C6B"/>
    <w:rsid w:val="00840CA1"/>
    <w:rsid w:val="00840CAA"/>
    <w:rsid w:val="00840D82"/>
    <w:rsid w:val="00840DD1"/>
    <w:rsid w:val="00840E0F"/>
    <w:rsid w:val="00840F72"/>
    <w:rsid w:val="00841067"/>
    <w:rsid w:val="008410F5"/>
    <w:rsid w:val="00841324"/>
    <w:rsid w:val="00841328"/>
    <w:rsid w:val="00841333"/>
    <w:rsid w:val="008413DA"/>
    <w:rsid w:val="00841412"/>
    <w:rsid w:val="008414D5"/>
    <w:rsid w:val="00841573"/>
    <w:rsid w:val="008415DC"/>
    <w:rsid w:val="008415FF"/>
    <w:rsid w:val="00841602"/>
    <w:rsid w:val="008416CA"/>
    <w:rsid w:val="0084170E"/>
    <w:rsid w:val="008417CF"/>
    <w:rsid w:val="00841806"/>
    <w:rsid w:val="00841830"/>
    <w:rsid w:val="00841960"/>
    <w:rsid w:val="00841A92"/>
    <w:rsid w:val="00841AE5"/>
    <w:rsid w:val="00841BAF"/>
    <w:rsid w:val="00841BBC"/>
    <w:rsid w:val="00841BC3"/>
    <w:rsid w:val="00841CA5"/>
    <w:rsid w:val="00841CC2"/>
    <w:rsid w:val="00841D64"/>
    <w:rsid w:val="00841F07"/>
    <w:rsid w:val="00841F94"/>
    <w:rsid w:val="00841FCE"/>
    <w:rsid w:val="00842030"/>
    <w:rsid w:val="00842098"/>
    <w:rsid w:val="008420C2"/>
    <w:rsid w:val="008423C4"/>
    <w:rsid w:val="008423E3"/>
    <w:rsid w:val="008423EF"/>
    <w:rsid w:val="00842404"/>
    <w:rsid w:val="008424D0"/>
    <w:rsid w:val="00842580"/>
    <w:rsid w:val="00842641"/>
    <w:rsid w:val="008427BB"/>
    <w:rsid w:val="00842861"/>
    <w:rsid w:val="0084292D"/>
    <w:rsid w:val="00842963"/>
    <w:rsid w:val="00842988"/>
    <w:rsid w:val="0084299B"/>
    <w:rsid w:val="00842B41"/>
    <w:rsid w:val="00842EFA"/>
    <w:rsid w:val="00842F3C"/>
    <w:rsid w:val="00843112"/>
    <w:rsid w:val="0084339C"/>
    <w:rsid w:val="0084357F"/>
    <w:rsid w:val="008436A0"/>
    <w:rsid w:val="008436D2"/>
    <w:rsid w:val="0084374D"/>
    <w:rsid w:val="00843988"/>
    <w:rsid w:val="00843AB9"/>
    <w:rsid w:val="00843DD4"/>
    <w:rsid w:val="00843DF9"/>
    <w:rsid w:val="00843FF0"/>
    <w:rsid w:val="0084400A"/>
    <w:rsid w:val="0084403C"/>
    <w:rsid w:val="0084427A"/>
    <w:rsid w:val="00844399"/>
    <w:rsid w:val="008443B9"/>
    <w:rsid w:val="008443BF"/>
    <w:rsid w:val="008445EE"/>
    <w:rsid w:val="0084461D"/>
    <w:rsid w:val="0084471E"/>
    <w:rsid w:val="00844745"/>
    <w:rsid w:val="0084477B"/>
    <w:rsid w:val="00844947"/>
    <w:rsid w:val="00844966"/>
    <w:rsid w:val="00844A02"/>
    <w:rsid w:val="00844A1F"/>
    <w:rsid w:val="00844A90"/>
    <w:rsid w:val="00844BB2"/>
    <w:rsid w:val="00844BD7"/>
    <w:rsid w:val="00844C5B"/>
    <w:rsid w:val="00844D08"/>
    <w:rsid w:val="00844EB5"/>
    <w:rsid w:val="00844F29"/>
    <w:rsid w:val="00844F63"/>
    <w:rsid w:val="00844F87"/>
    <w:rsid w:val="0084502E"/>
    <w:rsid w:val="008451B9"/>
    <w:rsid w:val="0084523B"/>
    <w:rsid w:val="00845377"/>
    <w:rsid w:val="00845478"/>
    <w:rsid w:val="0084548F"/>
    <w:rsid w:val="0084549B"/>
    <w:rsid w:val="00845509"/>
    <w:rsid w:val="008455AC"/>
    <w:rsid w:val="008456F9"/>
    <w:rsid w:val="00845A3F"/>
    <w:rsid w:val="00845AB6"/>
    <w:rsid w:val="00845ADF"/>
    <w:rsid w:val="00845B2B"/>
    <w:rsid w:val="00845BAF"/>
    <w:rsid w:val="00845BC0"/>
    <w:rsid w:val="00845C31"/>
    <w:rsid w:val="00845C90"/>
    <w:rsid w:val="00845CF0"/>
    <w:rsid w:val="00845DC3"/>
    <w:rsid w:val="00845DF1"/>
    <w:rsid w:val="00846019"/>
    <w:rsid w:val="0084601D"/>
    <w:rsid w:val="00846081"/>
    <w:rsid w:val="00846117"/>
    <w:rsid w:val="00846163"/>
    <w:rsid w:val="008461C7"/>
    <w:rsid w:val="008461F1"/>
    <w:rsid w:val="008462FE"/>
    <w:rsid w:val="00846417"/>
    <w:rsid w:val="00846442"/>
    <w:rsid w:val="0084647C"/>
    <w:rsid w:val="008465A4"/>
    <w:rsid w:val="0084661C"/>
    <w:rsid w:val="00846665"/>
    <w:rsid w:val="00846689"/>
    <w:rsid w:val="0084670B"/>
    <w:rsid w:val="00846711"/>
    <w:rsid w:val="00846735"/>
    <w:rsid w:val="00846799"/>
    <w:rsid w:val="008469BD"/>
    <w:rsid w:val="008469EB"/>
    <w:rsid w:val="00846A7E"/>
    <w:rsid w:val="00846A85"/>
    <w:rsid w:val="00846B84"/>
    <w:rsid w:val="00846BD2"/>
    <w:rsid w:val="00846C62"/>
    <w:rsid w:val="00846CD8"/>
    <w:rsid w:val="00846D9B"/>
    <w:rsid w:val="00846E56"/>
    <w:rsid w:val="00846EF2"/>
    <w:rsid w:val="00847033"/>
    <w:rsid w:val="00847068"/>
    <w:rsid w:val="008470A1"/>
    <w:rsid w:val="00847157"/>
    <w:rsid w:val="00847209"/>
    <w:rsid w:val="00847260"/>
    <w:rsid w:val="00847297"/>
    <w:rsid w:val="008472F9"/>
    <w:rsid w:val="00847344"/>
    <w:rsid w:val="00847393"/>
    <w:rsid w:val="008474D7"/>
    <w:rsid w:val="00847514"/>
    <w:rsid w:val="00847577"/>
    <w:rsid w:val="008476BE"/>
    <w:rsid w:val="00847724"/>
    <w:rsid w:val="00847750"/>
    <w:rsid w:val="00847935"/>
    <w:rsid w:val="00847B6C"/>
    <w:rsid w:val="00847DA3"/>
    <w:rsid w:val="00847DF8"/>
    <w:rsid w:val="00847F5F"/>
    <w:rsid w:val="00847F9A"/>
    <w:rsid w:val="00847FC2"/>
    <w:rsid w:val="008500CE"/>
    <w:rsid w:val="0085025B"/>
    <w:rsid w:val="008502D4"/>
    <w:rsid w:val="00850374"/>
    <w:rsid w:val="008503EE"/>
    <w:rsid w:val="0085060D"/>
    <w:rsid w:val="0085062D"/>
    <w:rsid w:val="00850703"/>
    <w:rsid w:val="00850762"/>
    <w:rsid w:val="00850781"/>
    <w:rsid w:val="00850856"/>
    <w:rsid w:val="008509FE"/>
    <w:rsid w:val="00850A8F"/>
    <w:rsid w:val="00850AC9"/>
    <w:rsid w:val="00850B17"/>
    <w:rsid w:val="00850B6F"/>
    <w:rsid w:val="00850BB5"/>
    <w:rsid w:val="00850C1D"/>
    <w:rsid w:val="00850CD3"/>
    <w:rsid w:val="00850D06"/>
    <w:rsid w:val="00850E39"/>
    <w:rsid w:val="00850E41"/>
    <w:rsid w:val="00850E90"/>
    <w:rsid w:val="00850F53"/>
    <w:rsid w:val="00850F64"/>
    <w:rsid w:val="008510B0"/>
    <w:rsid w:val="0085115B"/>
    <w:rsid w:val="008511CC"/>
    <w:rsid w:val="008511D5"/>
    <w:rsid w:val="00851207"/>
    <w:rsid w:val="00851217"/>
    <w:rsid w:val="008512A2"/>
    <w:rsid w:val="008512D7"/>
    <w:rsid w:val="0085131D"/>
    <w:rsid w:val="00851339"/>
    <w:rsid w:val="00851357"/>
    <w:rsid w:val="00851585"/>
    <w:rsid w:val="008515C4"/>
    <w:rsid w:val="008516D7"/>
    <w:rsid w:val="0085171C"/>
    <w:rsid w:val="00851756"/>
    <w:rsid w:val="0085188F"/>
    <w:rsid w:val="008518A5"/>
    <w:rsid w:val="0085191D"/>
    <w:rsid w:val="00851980"/>
    <w:rsid w:val="00851C52"/>
    <w:rsid w:val="00851DA7"/>
    <w:rsid w:val="00851DC6"/>
    <w:rsid w:val="00851EAA"/>
    <w:rsid w:val="00851F76"/>
    <w:rsid w:val="0085202F"/>
    <w:rsid w:val="00852045"/>
    <w:rsid w:val="008520CE"/>
    <w:rsid w:val="0085222A"/>
    <w:rsid w:val="00852279"/>
    <w:rsid w:val="008522BD"/>
    <w:rsid w:val="0085230A"/>
    <w:rsid w:val="0085232F"/>
    <w:rsid w:val="00852338"/>
    <w:rsid w:val="00852363"/>
    <w:rsid w:val="0085238E"/>
    <w:rsid w:val="008523AC"/>
    <w:rsid w:val="00852495"/>
    <w:rsid w:val="00852507"/>
    <w:rsid w:val="0085254B"/>
    <w:rsid w:val="008525D8"/>
    <w:rsid w:val="008526C2"/>
    <w:rsid w:val="00852832"/>
    <w:rsid w:val="008528ED"/>
    <w:rsid w:val="0085291C"/>
    <w:rsid w:val="0085292B"/>
    <w:rsid w:val="00852980"/>
    <w:rsid w:val="00852B0F"/>
    <w:rsid w:val="00852B25"/>
    <w:rsid w:val="00852B60"/>
    <w:rsid w:val="00852C22"/>
    <w:rsid w:val="00852CAD"/>
    <w:rsid w:val="00852D41"/>
    <w:rsid w:val="00852E27"/>
    <w:rsid w:val="00853044"/>
    <w:rsid w:val="00853235"/>
    <w:rsid w:val="008532E2"/>
    <w:rsid w:val="008532F5"/>
    <w:rsid w:val="008532F6"/>
    <w:rsid w:val="0085337A"/>
    <w:rsid w:val="008533F0"/>
    <w:rsid w:val="00853429"/>
    <w:rsid w:val="00853494"/>
    <w:rsid w:val="008534CC"/>
    <w:rsid w:val="0085358D"/>
    <w:rsid w:val="0085367F"/>
    <w:rsid w:val="008536CC"/>
    <w:rsid w:val="00853848"/>
    <w:rsid w:val="00853A71"/>
    <w:rsid w:val="00853B23"/>
    <w:rsid w:val="00853B28"/>
    <w:rsid w:val="00853B29"/>
    <w:rsid w:val="00853BB9"/>
    <w:rsid w:val="00853BF4"/>
    <w:rsid w:val="00853C24"/>
    <w:rsid w:val="00853C4E"/>
    <w:rsid w:val="00853CEA"/>
    <w:rsid w:val="00853D07"/>
    <w:rsid w:val="00853D83"/>
    <w:rsid w:val="00853EF8"/>
    <w:rsid w:val="00853F94"/>
    <w:rsid w:val="0085404A"/>
    <w:rsid w:val="008541E1"/>
    <w:rsid w:val="008542DC"/>
    <w:rsid w:val="008542E2"/>
    <w:rsid w:val="00854340"/>
    <w:rsid w:val="008543AC"/>
    <w:rsid w:val="008544A0"/>
    <w:rsid w:val="0085450E"/>
    <w:rsid w:val="008547BA"/>
    <w:rsid w:val="00854893"/>
    <w:rsid w:val="0085491B"/>
    <w:rsid w:val="00854946"/>
    <w:rsid w:val="008549C6"/>
    <w:rsid w:val="00854BF8"/>
    <w:rsid w:val="00854DF4"/>
    <w:rsid w:val="00854E86"/>
    <w:rsid w:val="00854F03"/>
    <w:rsid w:val="00855038"/>
    <w:rsid w:val="0085526F"/>
    <w:rsid w:val="008552DB"/>
    <w:rsid w:val="008552F7"/>
    <w:rsid w:val="008552FE"/>
    <w:rsid w:val="00855584"/>
    <w:rsid w:val="008555A1"/>
    <w:rsid w:val="008555A9"/>
    <w:rsid w:val="008555C4"/>
    <w:rsid w:val="00855662"/>
    <w:rsid w:val="008556BC"/>
    <w:rsid w:val="00855799"/>
    <w:rsid w:val="0085583E"/>
    <w:rsid w:val="0085584F"/>
    <w:rsid w:val="00855881"/>
    <w:rsid w:val="008558BE"/>
    <w:rsid w:val="0085596C"/>
    <w:rsid w:val="00855A3C"/>
    <w:rsid w:val="00855C72"/>
    <w:rsid w:val="00855CD2"/>
    <w:rsid w:val="00855CDA"/>
    <w:rsid w:val="00855D58"/>
    <w:rsid w:val="00855D6D"/>
    <w:rsid w:val="00855E1C"/>
    <w:rsid w:val="00855EE0"/>
    <w:rsid w:val="00855EFD"/>
    <w:rsid w:val="00855F09"/>
    <w:rsid w:val="00855FB7"/>
    <w:rsid w:val="00855FFB"/>
    <w:rsid w:val="00856006"/>
    <w:rsid w:val="0085605D"/>
    <w:rsid w:val="00856060"/>
    <w:rsid w:val="0085613B"/>
    <w:rsid w:val="00856147"/>
    <w:rsid w:val="008562BF"/>
    <w:rsid w:val="008562EF"/>
    <w:rsid w:val="008563C1"/>
    <w:rsid w:val="008563C8"/>
    <w:rsid w:val="00856403"/>
    <w:rsid w:val="00856618"/>
    <w:rsid w:val="00856956"/>
    <w:rsid w:val="00856A23"/>
    <w:rsid w:val="00856B43"/>
    <w:rsid w:val="00856B46"/>
    <w:rsid w:val="00856B54"/>
    <w:rsid w:val="00856B5A"/>
    <w:rsid w:val="00856C29"/>
    <w:rsid w:val="00856CC7"/>
    <w:rsid w:val="00856DFC"/>
    <w:rsid w:val="00856DFE"/>
    <w:rsid w:val="00856E27"/>
    <w:rsid w:val="00856E3E"/>
    <w:rsid w:val="00856ECC"/>
    <w:rsid w:val="00856F0A"/>
    <w:rsid w:val="00856F14"/>
    <w:rsid w:val="00856FA7"/>
    <w:rsid w:val="0085701B"/>
    <w:rsid w:val="0085706B"/>
    <w:rsid w:val="0085716D"/>
    <w:rsid w:val="0085720C"/>
    <w:rsid w:val="0085722D"/>
    <w:rsid w:val="00857305"/>
    <w:rsid w:val="00857379"/>
    <w:rsid w:val="00857422"/>
    <w:rsid w:val="00857463"/>
    <w:rsid w:val="008575CE"/>
    <w:rsid w:val="008575D0"/>
    <w:rsid w:val="008576E4"/>
    <w:rsid w:val="0085772C"/>
    <w:rsid w:val="00857858"/>
    <w:rsid w:val="008578CD"/>
    <w:rsid w:val="00857911"/>
    <w:rsid w:val="0085792A"/>
    <w:rsid w:val="0085796A"/>
    <w:rsid w:val="00857972"/>
    <w:rsid w:val="00857A08"/>
    <w:rsid w:val="00857ABF"/>
    <w:rsid w:val="00857AD3"/>
    <w:rsid w:val="00857AD6"/>
    <w:rsid w:val="00857B15"/>
    <w:rsid w:val="00857B3C"/>
    <w:rsid w:val="00857B6C"/>
    <w:rsid w:val="00857BAB"/>
    <w:rsid w:val="00857D02"/>
    <w:rsid w:val="00857D73"/>
    <w:rsid w:val="00857DB5"/>
    <w:rsid w:val="00857DFC"/>
    <w:rsid w:val="00857E2C"/>
    <w:rsid w:val="00857EA9"/>
    <w:rsid w:val="00857F66"/>
    <w:rsid w:val="008600EE"/>
    <w:rsid w:val="0086019F"/>
    <w:rsid w:val="008601FA"/>
    <w:rsid w:val="00860201"/>
    <w:rsid w:val="0086021C"/>
    <w:rsid w:val="008602D7"/>
    <w:rsid w:val="00860357"/>
    <w:rsid w:val="00860370"/>
    <w:rsid w:val="008603A7"/>
    <w:rsid w:val="008604F3"/>
    <w:rsid w:val="008605E5"/>
    <w:rsid w:val="0086066F"/>
    <w:rsid w:val="008606AB"/>
    <w:rsid w:val="00860734"/>
    <w:rsid w:val="00860746"/>
    <w:rsid w:val="00860896"/>
    <w:rsid w:val="00860A4F"/>
    <w:rsid w:val="00860A8C"/>
    <w:rsid w:val="00860BFF"/>
    <w:rsid w:val="00860E37"/>
    <w:rsid w:val="00860EAC"/>
    <w:rsid w:val="00860F12"/>
    <w:rsid w:val="00860F42"/>
    <w:rsid w:val="008611E4"/>
    <w:rsid w:val="008611F4"/>
    <w:rsid w:val="008612A4"/>
    <w:rsid w:val="00861355"/>
    <w:rsid w:val="008613E0"/>
    <w:rsid w:val="0086144D"/>
    <w:rsid w:val="008614AD"/>
    <w:rsid w:val="008614D1"/>
    <w:rsid w:val="00861622"/>
    <w:rsid w:val="0086172D"/>
    <w:rsid w:val="00861765"/>
    <w:rsid w:val="0086199C"/>
    <w:rsid w:val="008619A7"/>
    <w:rsid w:val="00861A08"/>
    <w:rsid w:val="00861AA2"/>
    <w:rsid w:val="00861B8A"/>
    <w:rsid w:val="00861D2D"/>
    <w:rsid w:val="00861EB2"/>
    <w:rsid w:val="00861F26"/>
    <w:rsid w:val="00861FE5"/>
    <w:rsid w:val="008620AD"/>
    <w:rsid w:val="008620E6"/>
    <w:rsid w:val="00862252"/>
    <w:rsid w:val="00862255"/>
    <w:rsid w:val="008622BB"/>
    <w:rsid w:val="008623B4"/>
    <w:rsid w:val="00862545"/>
    <w:rsid w:val="008625B5"/>
    <w:rsid w:val="008625E3"/>
    <w:rsid w:val="0086260F"/>
    <w:rsid w:val="00862719"/>
    <w:rsid w:val="00862849"/>
    <w:rsid w:val="00862876"/>
    <w:rsid w:val="0086289D"/>
    <w:rsid w:val="008628E4"/>
    <w:rsid w:val="00862A0B"/>
    <w:rsid w:val="00862A37"/>
    <w:rsid w:val="00862AB4"/>
    <w:rsid w:val="00862B67"/>
    <w:rsid w:val="00862C05"/>
    <w:rsid w:val="00862C1A"/>
    <w:rsid w:val="00862C2F"/>
    <w:rsid w:val="00862C55"/>
    <w:rsid w:val="00862DE1"/>
    <w:rsid w:val="00862E28"/>
    <w:rsid w:val="00862F14"/>
    <w:rsid w:val="00862F9D"/>
    <w:rsid w:val="008631A2"/>
    <w:rsid w:val="00863220"/>
    <w:rsid w:val="00863349"/>
    <w:rsid w:val="00863415"/>
    <w:rsid w:val="00863449"/>
    <w:rsid w:val="00863481"/>
    <w:rsid w:val="00863496"/>
    <w:rsid w:val="008634EB"/>
    <w:rsid w:val="0086352E"/>
    <w:rsid w:val="008635E6"/>
    <w:rsid w:val="00863636"/>
    <w:rsid w:val="0086365E"/>
    <w:rsid w:val="00863739"/>
    <w:rsid w:val="00863758"/>
    <w:rsid w:val="0086377A"/>
    <w:rsid w:val="008637A0"/>
    <w:rsid w:val="008637B8"/>
    <w:rsid w:val="00863814"/>
    <w:rsid w:val="0086394E"/>
    <w:rsid w:val="00863953"/>
    <w:rsid w:val="00863960"/>
    <w:rsid w:val="008639C6"/>
    <w:rsid w:val="008639F4"/>
    <w:rsid w:val="00863A0A"/>
    <w:rsid w:val="00863ADB"/>
    <w:rsid w:val="00863BC4"/>
    <w:rsid w:val="00863D0A"/>
    <w:rsid w:val="00863D13"/>
    <w:rsid w:val="00863D96"/>
    <w:rsid w:val="00863DC0"/>
    <w:rsid w:val="00863E0F"/>
    <w:rsid w:val="00863F74"/>
    <w:rsid w:val="00864020"/>
    <w:rsid w:val="00864034"/>
    <w:rsid w:val="0086405C"/>
    <w:rsid w:val="00864136"/>
    <w:rsid w:val="0086414B"/>
    <w:rsid w:val="00864207"/>
    <w:rsid w:val="00864679"/>
    <w:rsid w:val="00864745"/>
    <w:rsid w:val="0086478B"/>
    <w:rsid w:val="008647A7"/>
    <w:rsid w:val="0086489C"/>
    <w:rsid w:val="00864928"/>
    <w:rsid w:val="00864A3B"/>
    <w:rsid w:val="00864A72"/>
    <w:rsid w:val="00864AB7"/>
    <w:rsid w:val="00864B58"/>
    <w:rsid w:val="00864BB2"/>
    <w:rsid w:val="00864C97"/>
    <w:rsid w:val="00864D0F"/>
    <w:rsid w:val="00864D63"/>
    <w:rsid w:val="00864F80"/>
    <w:rsid w:val="00864F89"/>
    <w:rsid w:val="00865121"/>
    <w:rsid w:val="00865344"/>
    <w:rsid w:val="008654E0"/>
    <w:rsid w:val="008654F1"/>
    <w:rsid w:val="0086558F"/>
    <w:rsid w:val="008655C6"/>
    <w:rsid w:val="00865611"/>
    <w:rsid w:val="0086563C"/>
    <w:rsid w:val="008656BC"/>
    <w:rsid w:val="00865718"/>
    <w:rsid w:val="0086571C"/>
    <w:rsid w:val="00865745"/>
    <w:rsid w:val="00865773"/>
    <w:rsid w:val="008658E8"/>
    <w:rsid w:val="00865921"/>
    <w:rsid w:val="008659A6"/>
    <w:rsid w:val="00865A1B"/>
    <w:rsid w:val="00865A60"/>
    <w:rsid w:val="00865C57"/>
    <w:rsid w:val="00865D01"/>
    <w:rsid w:val="00865F37"/>
    <w:rsid w:val="00865F85"/>
    <w:rsid w:val="00865F8B"/>
    <w:rsid w:val="00865FD5"/>
    <w:rsid w:val="0086600A"/>
    <w:rsid w:val="008660B3"/>
    <w:rsid w:val="00866208"/>
    <w:rsid w:val="008662FF"/>
    <w:rsid w:val="008663F0"/>
    <w:rsid w:val="008664AC"/>
    <w:rsid w:val="00866559"/>
    <w:rsid w:val="008665A8"/>
    <w:rsid w:val="00866688"/>
    <w:rsid w:val="0086673B"/>
    <w:rsid w:val="00866747"/>
    <w:rsid w:val="00866854"/>
    <w:rsid w:val="008668A0"/>
    <w:rsid w:val="008668C3"/>
    <w:rsid w:val="0086691B"/>
    <w:rsid w:val="00866A71"/>
    <w:rsid w:val="00866B15"/>
    <w:rsid w:val="00866B2F"/>
    <w:rsid w:val="00866C41"/>
    <w:rsid w:val="00866C9E"/>
    <w:rsid w:val="00866DEB"/>
    <w:rsid w:val="00866DEF"/>
    <w:rsid w:val="00866F21"/>
    <w:rsid w:val="00866F30"/>
    <w:rsid w:val="00866F70"/>
    <w:rsid w:val="00866F77"/>
    <w:rsid w:val="00866F7D"/>
    <w:rsid w:val="00866FC9"/>
    <w:rsid w:val="00867010"/>
    <w:rsid w:val="008670FE"/>
    <w:rsid w:val="00867100"/>
    <w:rsid w:val="00867267"/>
    <w:rsid w:val="00867282"/>
    <w:rsid w:val="008672E0"/>
    <w:rsid w:val="00867365"/>
    <w:rsid w:val="0086739E"/>
    <w:rsid w:val="008673AA"/>
    <w:rsid w:val="00867441"/>
    <w:rsid w:val="0086744B"/>
    <w:rsid w:val="00867559"/>
    <w:rsid w:val="008675CA"/>
    <w:rsid w:val="008676DE"/>
    <w:rsid w:val="00867742"/>
    <w:rsid w:val="00867830"/>
    <w:rsid w:val="0086792D"/>
    <w:rsid w:val="0086796E"/>
    <w:rsid w:val="008679A4"/>
    <w:rsid w:val="008679D8"/>
    <w:rsid w:val="00867A11"/>
    <w:rsid w:val="00867A5F"/>
    <w:rsid w:val="00867AD3"/>
    <w:rsid w:val="00867C31"/>
    <w:rsid w:val="00867C73"/>
    <w:rsid w:val="00867CF8"/>
    <w:rsid w:val="00867D0C"/>
    <w:rsid w:val="00867D4A"/>
    <w:rsid w:val="00867DBA"/>
    <w:rsid w:val="00867EFF"/>
    <w:rsid w:val="00867F48"/>
    <w:rsid w:val="00867F80"/>
    <w:rsid w:val="00870005"/>
    <w:rsid w:val="008700EC"/>
    <w:rsid w:val="008701AF"/>
    <w:rsid w:val="0087023B"/>
    <w:rsid w:val="00870346"/>
    <w:rsid w:val="00870347"/>
    <w:rsid w:val="008703FD"/>
    <w:rsid w:val="00870422"/>
    <w:rsid w:val="00870449"/>
    <w:rsid w:val="0087048F"/>
    <w:rsid w:val="0087049C"/>
    <w:rsid w:val="00870501"/>
    <w:rsid w:val="00870516"/>
    <w:rsid w:val="008705D2"/>
    <w:rsid w:val="00870680"/>
    <w:rsid w:val="0087076F"/>
    <w:rsid w:val="00870869"/>
    <w:rsid w:val="008708E3"/>
    <w:rsid w:val="00870A41"/>
    <w:rsid w:val="00870B33"/>
    <w:rsid w:val="00870C1C"/>
    <w:rsid w:val="00870D59"/>
    <w:rsid w:val="00870D76"/>
    <w:rsid w:val="008711F8"/>
    <w:rsid w:val="008713FE"/>
    <w:rsid w:val="0087146A"/>
    <w:rsid w:val="00871529"/>
    <w:rsid w:val="0087154C"/>
    <w:rsid w:val="0087157D"/>
    <w:rsid w:val="00871615"/>
    <w:rsid w:val="00871649"/>
    <w:rsid w:val="00871855"/>
    <w:rsid w:val="008718A5"/>
    <w:rsid w:val="00871A2C"/>
    <w:rsid w:val="00871A39"/>
    <w:rsid w:val="00871A5B"/>
    <w:rsid w:val="00871AAD"/>
    <w:rsid w:val="00871AC6"/>
    <w:rsid w:val="00871C88"/>
    <w:rsid w:val="00871CA9"/>
    <w:rsid w:val="00871D66"/>
    <w:rsid w:val="00871D8C"/>
    <w:rsid w:val="00871DFE"/>
    <w:rsid w:val="00871EEA"/>
    <w:rsid w:val="00871FF3"/>
    <w:rsid w:val="0087205C"/>
    <w:rsid w:val="00872105"/>
    <w:rsid w:val="0087210C"/>
    <w:rsid w:val="008721AD"/>
    <w:rsid w:val="008721B2"/>
    <w:rsid w:val="008721CF"/>
    <w:rsid w:val="00872257"/>
    <w:rsid w:val="008722C5"/>
    <w:rsid w:val="008722D6"/>
    <w:rsid w:val="008722E3"/>
    <w:rsid w:val="0087256F"/>
    <w:rsid w:val="008725D1"/>
    <w:rsid w:val="008726B8"/>
    <w:rsid w:val="00872733"/>
    <w:rsid w:val="00872778"/>
    <w:rsid w:val="008729D9"/>
    <w:rsid w:val="00872D77"/>
    <w:rsid w:val="00872DF2"/>
    <w:rsid w:val="00873011"/>
    <w:rsid w:val="008730FD"/>
    <w:rsid w:val="0087317B"/>
    <w:rsid w:val="0087326C"/>
    <w:rsid w:val="008732FC"/>
    <w:rsid w:val="008733A0"/>
    <w:rsid w:val="008733A6"/>
    <w:rsid w:val="0087343D"/>
    <w:rsid w:val="0087353A"/>
    <w:rsid w:val="008737A6"/>
    <w:rsid w:val="00873802"/>
    <w:rsid w:val="0087381A"/>
    <w:rsid w:val="008738D2"/>
    <w:rsid w:val="008738E9"/>
    <w:rsid w:val="0087391D"/>
    <w:rsid w:val="0087395D"/>
    <w:rsid w:val="00873982"/>
    <w:rsid w:val="008739AA"/>
    <w:rsid w:val="008739FC"/>
    <w:rsid w:val="00873A26"/>
    <w:rsid w:val="00873A93"/>
    <w:rsid w:val="00873B46"/>
    <w:rsid w:val="00873B4D"/>
    <w:rsid w:val="00873B78"/>
    <w:rsid w:val="00873C13"/>
    <w:rsid w:val="00873C56"/>
    <w:rsid w:val="00873DEC"/>
    <w:rsid w:val="00873E85"/>
    <w:rsid w:val="00873EBF"/>
    <w:rsid w:val="00874036"/>
    <w:rsid w:val="00874086"/>
    <w:rsid w:val="008740B5"/>
    <w:rsid w:val="008740D6"/>
    <w:rsid w:val="008740F8"/>
    <w:rsid w:val="008743E8"/>
    <w:rsid w:val="0087444D"/>
    <w:rsid w:val="008744DF"/>
    <w:rsid w:val="00874532"/>
    <w:rsid w:val="00874566"/>
    <w:rsid w:val="0087465F"/>
    <w:rsid w:val="00874690"/>
    <w:rsid w:val="008746AF"/>
    <w:rsid w:val="008746EF"/>
    <w:rsid w:val="008748EC"/>
    <w:rsid w:val="00874955"/>
    <w:rsid w:val="008749C7"/>
    <w:rsid w:val="00874AF7"/>
    <w:rsid w:val="00874DA4"/>
    <w:rsid w:val="00874E75"/>
    <w:rsid w:val="00874F84"/>
    <w:rsid w:val="00874FBB"/>
    <w:rsid w:val="0087539A"/>
    <w:rsid w:val="00875430"/>
    <w:rsid w:val="00875438"/>
    <w:rsid w:val="00875451"/>
    <w:rsid w:val="008754A5"/>
    <w:rsid w:val="008754B3"/>
    <w:rsid w:val="00875538"/>
    <w:rsid w:val="00875580"/>
    <w:rsid w:val="0087567B"/>
    <w:rsid w:val="00875789"/>
    <w:rsid w:val="0087589D"/>
    <w:rsid w:val="00875913"/>
    <w:rsid w:val="00875974"/>
    <w:rsid w:val="008759AD"/>
    <w:rsid w:val="008759B3"/>
    <w:rsid w:val="00875A9E"/>
    <w:rsid w:val="00875BB5"/>
    <w:rsid w:val="00875C34"/>
    <w:rsid w:val="00875E2B"/>
    <w:rsid w:val="00875EB2"/>
    <w:rsid w:val="00876147"/>
    <w:rsid w:val="0087617D"/>
    <w:rsid w:val="0087622A"/>
    <w:rsid w:val="008762F5"/>
    <w:rsid w:val="008763CD"/>
    <w:rsid w:val="0087645E"/>
    <w:rsid w:val="008764A0"/>
    <w:rsid w:val="00876664"/>
    <w:rsid w:val="0087666F"/>
    <w:rsid w:val="008766B6"/>
    <w:rsid w:val="008766E5"/>
    <w:rsid w:val="008768A4"/>
    <w:rsid w:val="00876901"/>
    <w:rsid w:val="0087692E"/>
    <w:rsid w:val="00876960"/>
    <w:rsid w:val="0087698E"/>
    <w:rsid w:val="00876A5D"/>
    <w:rsid w:val="00876A74"/>
    <w:rsid w:val="00876D5C"/>
    <w:rsid w:val="00876E8E"/>
    <w:rsid w:val="00876EA2"/>
    <w:rsid w:val="00876FD5"/>
    <w:rsid w:val="008770CF"/>
    <w:rsid w:val="00877193"/>
    <w:rsid w:val="00877237"/>
    <w:rsid w:val="008772F2"/>
    <w:rsid w:val="00877388"/>
    <w:rsid w:val="0087746F"/>
    <w:rsid w:val="0087747A"/>
    <w:rsid w:val="008774EA"/>
    <w:rsid w:val="008774F7"/>
    <w:rsid w:val="00877520"/>
    <w:rsid w:val="00877577"/>
    <w:rsid w:val="008775AC"/>
    <w:rsid w:val="0087762B"/>
    <w:rsid w:val="00877678"/>
    <w:rsid w:val="00877679"/>
    <w:rsid w:val="008776DA"/>
    <w:rsid w:val="008777A2"/>
    <w:rsid w:val="008777AC"/>
    <w:rsid w:val="008777EC"/>
    <w:rsid w:val="008778E1"/>
    <w:rsid w:val="008778FB"/>
    <w:rsid w:val="00877A70"/>
    <w:rsid w:val="00877AEE"/>
    <w:rsid w:val="00877B1A"/>
    <w:rsid w:val="00877B6F"/>
    <w:rsid w:val="00877BA6"/>
    <w:rsid w:val="00877C0C"/>
    <w:rsid w:val="00877C0E"/>
    <w:rsid w:val="00877CAB"/>
    <w:rsid w:val="00877D4B"/>
    <w:rsid w:val="00877D93"/>
    <w:rsid w:val="00877DDF"/>
    <w:rsid w:val="00877E1C"/>
    <w:rsid w:val="00877E29"/>
    <w:rsid w:val="00877E5E"/>
    <w:rsid w:val="00877E81"/>
    <w:rsid w:val="00880239"/>
    <w:rsid w:val="008802C9"/>
    <w:rsid w:val="0088036F"/>
    <w:rsid w:val="00880420"/>
    <w:rsid w:val="00880513"/>
    <w:rsid w:val="00880563"/>
    <w:rsid w:val="0088057A"/>
    <w:rsid w:val="0088063A"/>
    <w:rsid w:val="008806C9"/>
    <w:rsid w:val="00880728"/>
    <w:rsid w:val="008808A0"/>
    <w:rsid w:val="0088091A"/>
    <w:rsid w:val="0088091C"/>
    <w:rsid w:val="008809A3"/>
    <w:rsid w:val="008809DB"/>
    <w:rsid w:val="00880A4B"/>
    <w:rsid w:val="00880AE6"/>
    <w:rsid w:val="00880B42"/>
    <w:rsid w:val="00880B47"/>
    <w:rsid w:val="00880B49"/>
    <w:rsid w:val="00880C43"/>
    <w:rsid w:val="00880C70"/>
    <w:rsid w:val="00880CE0"/>
    <w:rsid w:val="00880F07"/>
    <w:rsid w:val="00880F16"/>
    <w:rsid w:val="00880F57"/>
    <w:rsid w:val="00880F63"/>
    <w:rsid w:val="0088102C"/>
    <w:rsid w:val="00881069"/>
    <w:rsid w:val="0088117A"/>
    <w:rsid w:val="0088146E"/>
    <w:rsid w:val="00881524"/>
    <w:rsid w:val="0088159A"/>
    <w:rsid w:val="00881617"/>
    <w:rsid w:val="008816B0"/>
    <w:rsid w:val="0088179A"/>
    <w:rsid w:val="00881821"/>
    <w:rsid w:val="0088182D"/>
    <w:rsid w:val="0088196B"/>
    <w:rsid w:val="00881992"/>
    <w:rsid w:val="008819B4"/>
    <w:rsid w:val="008819C2"/>
    <w:rsid w:val="00881A04"/>
    <w:rsid w:val="00881B2E"/>
    <w:rsid w:val="00881DF8"/>
    <w:rsid w:val="00881E64"/>
    <w:rsid w:val="00881F02"/>
    <w:rsid w:val="00881F77"/>
    <w:rsid w:val="00881F90"/>
    <w:rsid w:val="00881FC8"/>
    <w:rsid w:val="0088201C"/>
    <w:rsid w:val="0088205D"/>
    <w:rsid w:val="0088212B"/>
    <w:rsid w:val="00882153"/>
    <w:rsid w:val="008821BA"/>
    <w:rsid w:val="0088233D"/>
    <w:rsid w:val="0088238C"/>
    <w:rsid w:val="008823CC"/>
    <w:rsid w:val="008823D2"/>
    <w:rsid w:val="0088245B"/>
    <w:rsid w:val="008825BA"/>
    <w:rsid w:val="00882601"/>
    <w:rsid w:val="0088264C"/>
    <w:rsid w:val="00882794"/>
    <w:rsid w:val="00882840"/>
    <w:rsid w:val="008828EA"/>
    <w:rsid w:val="0088297C"/>
    <w:rsid w:val="008829BB"/>
    <w:rsid w:val="00882A42"/>
    <w:rsid w:val="00882B68"/>
    <w:rsid w:val="00882BF3"/>
    <w:rsid w:val="00882CB1"/>
    <w:rsid w:val="00882CB6"/>
    <w:rsid w:val="00882D06"/>
    <w:rsid w:val="00882DC2"/>
    <w:rsid w:val="00882EF6"/>
    <w:rsid w:val="008830AA"/>
    <w:rsid w:val="00883186"/>
    <w:rsid w:val="008831A3"/>
    <w:rsid w:val="008831D5"/>
    <w:rsid w:val="0088328D"/>
    <w:rsid w:val="00883378"/>
    <w:rsid w:val="0088339C"/>
    <w:rsid w:val="00883476"/>
    <w:rsid w:val="00883622"/>
    <w:rsid w:val="0088363A"/>
    <w:rsid w:val="00883750"/>
    <w:rsid w:val="00883A6A"/>
    <w:rsid w:val="00883ABE"/>
    <w:rsid w:val="00883AC6"/>
    <w:rsid w:val="00883C19"/>
    <w:rsid w:val="00883CEA"/>
    <w:rsid w:val="00883D0A"/>
    <w:rsid w:val="00883D12"/>
    <w:rsid w:val="00883D7F"/>
    <w:rsid w:val="00883E53"/>
    <w:rsid w:val="00883EA0"/>
    <w:rsid w:val="00883EDE"/>
    <w:rsid w:val="00883F01"/>
    <w:rsid w:val="00883F55"/>
    <w:rsid w:val="00883F63"/>
    <w:rsid w:val="00884015"/>
    <w:rsid w:val="0088406F"/>
    <w:rsid w:val="00884083"/>
    <w:rsid w:val="0088415F"/>
    <w:rsid w:val="008841E9"/>
    <w:rsid w:val="00884313"/>
    <w:rsid w:val="00884363"/>
    <w:rsid w:val="0088452B"/>
    <w:rsid w:val="00884639"/>
    <w:rsid w:val="008846AD"/>
    <w:rsid w:val="00884766"/>
    <w:rsid w:val="008848A7"/>
    <w:rsid w:val="00884A70"/>
    <w:rsid w:val="00884BA5"/>
    <w:rsid w:val="00884BB1"/>
    <w:rsid w:val="00884BC1"/>
    <w:rsid w:val="00884C1E"/>
    <w:rsid w:val="00884C2D"/>
    <w:rsid w:val="00884C4B"/>
    <w:rsid w:val="00884D36"/>
    <w:rsid w:val="00884DFC"/>
    <w:rsid w:val="00884ECA"/>
    <w:rsid w:val="00884ED5"/>
    <w:rsid w:val="00884F64"/>
    <w:rsid w:val="00885034"/>
    <w:rsid w:val="008850C2"/>
    <w:rsid w:val="00885165"/>
    <w:rsid w:val="008851D5"/>
    <w:rsid w:val="00885252"/>
    <w:rsid w:val="00885285"/>
    <w:rsid w:val="00885299"/>
    <w:rsid w:val="008852FC"/>
    <w:rsid w:val="00885423"/>
    <w:rsid w:val="00885438"/>
    <w:rsid w:val="008854CF"/>
    <w:rsid w:val="00885500"/>
    <w:rsid w:val="0088565F"/>
    <w:rsid w:val="00885679"/>
    <w:rsid w:val="00885765"/>
    <w:rsid w:val="008857E0"/>
    <w:rsid w:val="008858D2"/>
    <w:rsid w:val="008858F6"/>
    <w:rsid w:val="00885920"/>
    <w:rsid w:val="0088597C"/>
    <w:rsid w:val="0088599E"/>
    <w:rsid w:val="008859AD"/>
    <w:rsid w:val="008859B3"/>
    <w:rsid w:val="008859C5"/>
    <w:rsid w:val="00885A23"/>
    <w:rsid w:val="00885A3F"/>
    <w:rsid w:val="00885A6F"/>
    <w:rsid w:val="00885A8A"/>
    <w:rsid w:val="00885AD2"/>
    <w:rsid w:val="00885B7C"/>
    <w:rsid w:val="00885CF8"/>
    <w:rsid w:val="00885DD7"/>
    <w:rsid w:val="00885E7E"/>
    <w:rsid w:val="00885F62"/>
    <w:rsid w:val="00885F8C"/>
    <w:rsid w:val="00886009"/>
    <w:rsid w:val="00886043"/>
    <w:rsid w:val="008860D5"/>
    <w:rsid w:val="008861AA"/>
    <w:rsid w:val="008861F9"/>
    <w:rsid w:val="0088629C"/>
    <w:rsid w:val="008862B5"/>
    <w:rsid w:val="0088636E"/>
    <w:rsid w:val="00886455"/>
    <w:rsid w:val="008864BA"/>
    <w:rsid w:val="008864D5"/>
    <w:rsid w:val="00886562"/>
    <w:rsid w:val="00886582"/>
    <w:rsid w:val="00886682"/>
    <w:rsid w:val="0088668F"/>
    <w:rsid w:val="00886718"/>
    <w:rsid w:val="0088694F"/>
    <w:rsid w:val="00886951"/>
    <w:rsid w:val="00886A67"/>
    <w:rsid w:val="00886AAB"/>
    <w:rsid w:val="00886AD6"/>
    <w:rsid w:val="00886AF2"/>
    <w:rsid w:val="00886B01"/>
    <w:rsid w:val="00886B22"/>
    <w:rsid w:val="00886B78"/>
    <w:rsid w:val="00886DB1"/>
    <w:rsid w:val="00886E50"/>
    <w:rsid w:val="00887044"/>
    <w:rsid w:val="0088710A"/>
    <w:rsid w:val="0088712C"/>
    <w:rsid w:val="00887221"/>
    <w:rsid w:val="008872F8"/>
    <w:rsid w:val="00887446"/>
    <w:rsid w:val="00887451"/>
    <w:rsid w:val="008874B0"/>
    <w:rsid w:val="008874F0"/>
    <w:rsid w:val="008875EB"/>
    <w:rsid w:val="008878CC"/>
    <w:rsid w:val="00887A1D"/>
    <w:rsid w:val="00887A48"/>
    <w:rsid w:val="00887A70"/>
    <w:rsid w:val="00887B75"/>
    <w:rsid w:val="00887B77"/>
    <w:rsid w:val="00887B89"/>
    <w:rsid w:val="00887BC6"/>
    <w:rsid w:val="00887BD7"/>
    <w:rsid w:val="00887D7D"/>
    <w:rsid w:val="00887D7E"/>
    <w:rsid w:val="00887E97"/>
    <w:rsid w:val="00887EE0"/>
    <w:rsid w:val="00887F19"/>
    <w:rsid w:val="00887F60"/>
    <w:rsid w:val="008900AF"/>
    <w:rsid w:val="008900E4"/>
    <w:rsid w:val="00890129"/>
    <w:rsid w:val="00890230"/>
    <w:rsid w:val="0089023C"/>
    <w:rsid w:val="00890248"/>
    <w:rsid w:val="008902B7"/>
    <w:rsid w:val="00890372"/>
    <w:rsid w:val="008903D5"/>
    <w:rsid w:val="008903EA"/>
    <w:rsid w:val="00890418"/>
    <w:rsid w:val="008904ED"/>
    <w:rsid w:val="008905E7"/>
    <w:rsid w:val="008905F8"/>
    <w:rsid w:val="00890628"/>
    <w:rsid w:val="00890749"/>
    <w:rsid w:val="008907DC"/>
    <w:rsid w:val="00890883"/>
    <w:rsid w:val="00890A77"/>
    <w:rsid w:val="00890B91"/>
    <w:rsid w:val="00890C75"/>
    <w:rsid w:val="00890FEA"/>
    <w:rsid w:val="00891097"/>
    <w:rsid w:val="0089117A"/>
    <w:rsid w:val="00891206"/>
    <w:rsid w:val="00891490"/>
    <w:rsid w:val="008914BA"/>
    <w:rsid w:val="008914CE"/>
    <w:rsid w:val="00891538"/>
    <w:rsid w:val="00891571"/>
    <w:rsid w:val="008915D2"/>
    <w:rsid w:val="008916B4"/>
    <w:rsid w:val="00891794"/>
    <w:rsid w:val="00891864"/>
    <w:rsid w:val="008918DD"/>
    <w:rsid w:val="00891954"/>
    <w:rsid w:val="008919C0"/>
    <w:rsid w:val="008919D4"/>
    <w:rsid w:val="00891A15"/>
    <w:rsid w:val="00891A45"/>
    <w:rsid w:val="00891A94"/>
    <w:rsid w:val="00891AF9"/>
    <w:rsid w:val="00891B04"/>
    <w:rsid w:val="00891B08"/>
    <w:rsid w:val="00891B25"/>
    <w:rsid w:val="00891B51"/>
    <w:rsid w:val="00891CFE"/>
    <w:rsid w:val="00891D1E"/>
    <w:rsid w:val="00891D80"/>
    <w:rsid w:val="00891D84"/>
    <w:rsid w:val="00891D8E"/>
    <w:rsid w:val="00891E0C"/>
    <w:rsid w:val="00891E7D"/>
    <w:rsid w:val="00891E9E"/>
    <w:rsid w:val="00891F32"/>
    <w:rsid w:val="00891F7E"/>
    <w:rsid w:val="00891FF2"/>
    <w:rsid w:val="008920BF"/>
    <w:rsid w:val="008922C8"/>
    <w:rsid w:val="00892418"/>
    <w:rsid w:val="0089242F"/>
    <w:rsid w:val="0089247C"/>
    <w:rsid w:val="00892536"/>
    <w:rsid w:val="0089277D"/>
    <w:rsid w:val="0089280B"/>
    <w:rsid w:val="0089282B"/>
    <w:rsid w:val="00892A2A"/>
    <w:rsid w:val="00892B93"/>
    <w:rsid w:val="00892BA2"/>
    <w:rsid w:val="00892C11"/>
    <w:rsid w:val="00892DE6"/>
    <w:rsid w:val="00892E50"/>
    <w:rsid w:val="00892EBE"/>
    <w:rsid w:val="00892FE5"/>
    <w:rsid w:val="00893038"/>
    <w:rsid w:val="008930BC"/>
    <w:rsid w:val="008932BF"/>
    <w:rsid w:val="0089330D"/>
    <w:rsid w:val="00893336"/>
    <w:rsid w:val="00893359"/>
    <w:rsid w:val="00893546"/>
    <w:rsid w:val="00893653"/>
    <w:rsid w:val="008936BE"/>
    <w:rsid w:val="008936DD"/>
    <w:rsid w:val="00893739"/>
    <w:rsid w:val="0089379D"/>
    <w:rsid w:val="0089385B"/>
    <w:rsid w:val="00893886"/>
    <w:rsid w:val="00893893"/>
    <w:rsid w:val="008938AD"/>
    <w:rsid w:val="008938D8"/>
    <w:rsid w:val="008939EC"/>
    <w:rsid w:val="00893A8A"/>
    <w:rsid w:val="00893B9F"/>
    <w:rsid w:val="00893BC7"/>
    <w:rsid w:val="00893BD0"/>
    <w:rsid w:val="00893BF5"/>
    <w:rsid w:val="00893D3B"/>
    <w:rsid w:val="00893D74"/>
    <w:rsid w:val="00893E6A"/>
    <w:rsid w:val="00893E93"/>
    <w:rsid w:val="00893EEE"/>
    <w:rsid w:val="00893F14"/>
    <w:rsid w:val="00893FBD"/>
    <w:rsid w:val="00893FDE"/>
    <w:rsid w:val="008941F6"/>
    <w:rsid w:val="0089428D"/>
    <w:rsid w:val="008942AD"/>
    <w:rsid w:val="0089434E"/>
    <w:rsid w:val="008943BE"/>
    <w:rsid w:val="008944FC"/>
    <w:rsid w:val="008945EF"/>
    <w:rsid w:val="00894637"/>
    <w:rsid w:val="008946AB"/>
    <w:rsid w:val="0089479C"/>
    <w:rsid w:val="008947C6"/>
    <w:rsid w:val="008947D2"/>
    <w:rsid w:val="00894881"/>
    <w:rsid w:val="008948E3"/>
    <w:rsid w:val="00894908"/>
    <w:rsid w:val="0089499A"/>
    <w:rsid w:val="00894A51"/>
    <w:rsid w:val="00894A77"/>
    <w:rsid w:val="00894BF6"/>
    <w:rsid w:val="00894C37"/>
    <w:rsid w:val="00894C5B"/>
    <w:rsid w:val="00894C75"/>
    <w:rsid w:val="00894CB8"/>
    <w:rsid w:val="00894CE2"/>
    <w:rsid w:val="00894D8F"/>
    <w:rsid w:val="00894DD9"/>
    <w:rsid w:val="00894E69"/>
    <w:rsid w:val="00894FCC"/>
    <w:rsid w:val="0089502E"/>
    <w:rsid w:val="00895102"/>
    <w:rsid w:val="00895109"/>
    <w:rsid w:val="0089520B"/>
    <w:rsid w:val="00895236"/>
    <w:rsid w:val="008952AD"/>
    <w:rsid w:val="00895429"/>
    <w:rsid w:val="00895646"/>
    <w:rsid w:val="00895718"/>
    <w:rsid w:val="00895761"/>
    <w:rsid w:val="00895790"/>
    <w:rsid w:val="008957E5"/>
    <w:rsid w:val="00895819"/>
    <w:rsid w:val="008958D0"/>
    <w:rsid w:val="008959B7"/>
    <w:rsid w:val="008959F1"/>
    <w:rsid w:val="00895B97"/>
    <w:rsid w:val="00895BB3"/>
    <w:rsid w:val="00895C95"/>
    <w:rsid w:val="00895D40"/>
    <w:rsid w:val="00895D82"/>
    <w:rsid w:val="00895DA3"/>
    <w:rsid w:val="00895E56"/>
    <w:rsid w:val="00895E8C"/>
    <w:rsid w:val="00895FF4"/>
    <w:rsid w:val="0089603F"/>
    <w:rsid w:val="00896193"/>
    <w:rsid w:val="00896382"/>
    <w:rsid w:val="0089644F"/>
    <w:rsid w:val="00896463"/>
    <w:rsid w:val="0089653F"/>
    <w:rsid w:val="00896564"/>
    <w:rsid w:val="0089659C"/>
    <w:rsid w:val="00896642"/>
    <w:rsid w:val="00896650"/>
    <w:rsid w:val="00896719"/>
    <w:rsid w:val="00896723"/>
    <w:rsid w:val="008967B3"/>
    <w:rsid w:val="008967F0"/>
    <w:rsid w:val="0089684C"/>
    <w:rsid w:val="008968BD"/>
    <w:rsid w:val="008968F7"/>
    <w:rsid w:val="00896AEF"/>
    <w:rsid w:val="00896B36"/>
    <w:rsid w:val="00896C23"/>
    <w:rsid w:val="00896CA5"/>
    <w:rsid w:val="00896DE7"/>
    <w:rsid w:val="00896E46"/>
    <w:rsid w:val="00896F6D"/>
    <w:rsid w:val="008970AB"/>
    <w:rsid w:val="008970E1"/>
    <w:rsid w:val="008970FC"/>
    <w:rsid w:val="00897182"/>
    <w:rsid w:val="008971C8"/>
    <w:rsid w:val="008972D0"/>
    <w:rsid w:val="008972D3"/>
    <w:rsid w:val="00897447"/>
    <w:rsid w:val="008975BD"/>
    <w:rsid w:val="008975CA"/>
    <w:rsid w:val="008976F3"/>
    <w:rsid w:val="0089778A"/>
    <w:rsid w:val="00897796"/>
    <w:rsid w:val="008977C3"/>
    <w:rsid w:val="008977E9"/>
    <w:rsid w:val="008977F2"/>
    <w:rsid w:val="00897904"/>
    <w:rsid w:val="00897998"/>
    <w:rsid w:val="00897A1F"/>
    <w:rsid w:val="00897A85"/>
    <w:rsid w:val="00897AA7"/>
    <w:rsid w:val="00897AC9"/>
    <w:rsid w:val="00897AE6"/>
    <w:rsid w:val="00897B80"/>
    <w:rsid w:val="00897BA9"/>
    <w:rsid w:val="00897BB6"/>
    <w:rsid w:val="00897C32"/>
    <w:rsid w:val="00897C40"/>
    <w:rsid w:val="00897DC8"/>
    <w:rsid w:val="008A0053"/>
    <w:rsid w:val="008A0058"/>
    <w:rsid w:val="008A0061"/>
    <w:rsid w:val="008A00B3"/>
    <w:rsid w:val="008A00CA"/>
    <w:rsid w:val="008A015D"/>
    <w:rsid w:val="008A0182"/>
    <w:rsid w:val="008A01BA"/>
    <w:rsid w:val="008A01D9"/>
    <w:rsid w:val="008A01FB"/>
    <w:rsid w:val="008A024A"/>
    <w:rsid w:val="008A0271"/>
    <w:rsid w:val="008A0283"/>
    <w:rsid w:val="008A04C4"/>
    <w:rsid w:val="008A0514"/>
    <w:rsid w:val="008A052B"/>
    <w:rsid w:val="008A0559"/>
    <w:rsid w:val="008A06CC"/>
    <w:rsid w:val="008A073C"/>
    <w:rsid w:val="008A088D"/>
    <w:rsid w:val="008A091D"/>
    <w:rsid w:val="008A0988"/>
    <w:rsid w:val="008A0A25"/>
    <w:rsid w:val="008A0C4D"/>
    <w:rsid w:val="008A0D1D"/>
    <w:rsid w:val="008A0D3E"/>
    <w:rsid w:val="008A0E35"/>
    <w:rsid w:val="008A0E6C"/>
    <w:rsid w:val="008A0EA7"/>
    <w:rsid w:val="008A0EA8"/>
    <w:rsid w:val="008A0FC9"/>
    <w:rsid w:val="008A10E3"/>
    <w:rsid w:val="008A11CC"/>
    <w:rsid w:val="008A1207"/>
    <w:rsid w:val="008A133F"/>
    <w:rsid w:val="008A1357"/>
    <w:rsid w:val="008A14B2"/>
    <w:rsid w:val="008A1547"/>
    <w:rsid w:val="008A174C"/>
    <w:rsid w:val="008A1939"/>
    <w:rsid w:val="008A1B75"/>
    <w:rsid w:val="008A1B8B"/>
    <w:rsid w:val="008A1C1B"/>
    <w:rsid w:val="008A1CFA"/>
    <w:rsid w:val="008A1DCE"/>
    <w:rsid w:val="008A1E24"/>
    <w:rsid w:val="008A1E54"/>
    <w:rsid w:val="008A1F79"/>
    <w:rsid w:val="008A1FA0"/>
    <w:rsid w:val="008A21E6"/>
    <w:rsid w:val="008A2221"/>
    <w:rsid w:val="008A2258"/>
    <w:rsid w:val="008A228F"/>
    <w:rsid w:val="008A2295"/>
    <w:rsid w:val="008A2405"/>
    <w:rsid w:val="008A245F"/>
    <w:rsid w:val="008A249B"/>
    <w:rsid w:val="008A24AF"/>
    <w:rsid w:val="008A24E2"/>
    <w:rsid w:val="008A256C"/>
    <w:rsid w:val="008A2662"/>
    <w:rsid w:val="008A26A3"/>
    <w:rsid w:val="008A270B"/>
    <w:rsid w:val="008A2753"/>
    <w:rsid w:val="008A288C"/>
    <w:rsid w:val="008A291C"/>
    <w:rsid w:val="008A2AAF"/>
    <w:rsid w:val="008A2B2E"/>
    <w:rsid w:val="008A2C48"/>
    <w:rsid w:val="008A2D5C"/>
    <w:rsid w:val="008A2D5E"/>
    <w:rsid w:val="008A2DB0"/>
    <w:rsid w:val="008A2DB2"/>
    <w:rsid w:val="008A2E5B"/>
    <w:rsid w:val="008A2F06"/>
    <w:rsid w:val="008A2F24"/>
    <w:rsid w:val="008A30ED"/>
    <w:rsid w:val="008A3173"/>
    <w:rsid w:val="008A31EF"/>
    <w:rsid w:val="008A32B5"/>
    <w:rsid w:val="008A3350"/>
    <w:rsid w:val="008A33A0"/>
    <w:rsid w:val="008A3443"/>
    <w:rsid w:val="008A3471"/>
    <w:rsid w:val="008A347E"/>
    <w:rsid w:val="008A357C"/>
    <w:rsid w:val="008A358A"/>
    <w:rsid w:val="008A3597"/>
    <w:rsid w:val="008A3604"/>
    <w:rsid w:val="008A3626"/>
    <w:rsid w:val="008A3767"/>
    <w:rsid w:val="008A37BB"/>
    <w:rsid w:val="008A3838"/>
    <w:rsid w:val="008A3943"/>
    <w:rsid w:val="008A3962"/>
    <w:rsid w:val="008A3A17"/>
    <w:rsid w:val="008A3AD9"/>
    <w:rsid w:val="008A3C57"/>
    <w:rsid w:val="008A3CC0"/>
    <w:rsid w:val="008A3DF4"/>
    <w:rsid w:val="008A3DFA"/>
    <w:rsid w:val="008A3E3A"/>
    <w:rsid w:val="008A3E9B"/>
    <w:rsid w:val="008A3F1F"/>
    <w:rsid w:val="008A3F3E"/>
    <w:rsid w:val="008A4011"/>
    <w:rsid w:val="008A40DB"/>
    <w:rsid w:val="008A437D"/>
    <w:rsid w:val="008A448C"/>
    <w:rsid w:val="008A4620"/>
    <w:rsid w:val="008A47A1"/>
    <w:rsid w:val="008A47E0"/>
    <w:rsid w:val="008A48CE"/>
    <w:rsid w:val="008A49CC"/>
    <w:rsid w:val="008A4BA8"/>
    <w:rsid w:val="008A4BDF"/>
    <w:rsid w:val="008A4BFB"/>
    <w:rsid w:val="008A4DB9"/>
    <w:rsid w:val="008A4E29"/>
    <w:rsid w:val="008A4EB5"/>
    <w:rsid w:val="008A4FC9"/>
    <w:rsid w:val="008A510A"/>
    <w:rsid w:val="008A51AF"/>
    <w:rsid w:val="008A528F"/>
    <w:rsid w:val="008A52C2"/>
    <w:rsid w:val="008A5306"/>
    <w:rsid w:val="008A5413"/>
    <w:rsid w:val="008A5573"/>
    <w:rsid w:val="008A55B1"/>
    <w:rsid w:val="008A55B7"/>
    <w:rsid w:val="008A55FA"/>
    <w:rsid w:val="008A56D8"/>
    <w:rsid w:val="008A573B"/>
    <w:rsid w:val="008A57B1"/>
    <w:rsid w:val="008A57CF"/>
    <w:rsid w:val="008A57FA"/>
    <w:rsid w:val="008A581D"/>
    <w:rsid w:val="008A590D"/>
    <w:rsid w:val="008A5931"/>
    <w:rsid w:val="008A5C4B"/>
    <w:rsid w:val="008A5D21"/>
    <w:rsid w:val="008A5D8B"/>
    <w:rsid w:val="008A5DF4"/>
    <w:rsid w:val="008A5E0A"/>
    <w:rsid w:val="008A5E0E"/>
    <w:rsid w:val="008A5E9E"/>
    <w:rsid w:val="008A5F97"/>
    <w:rsid w:val="008A60D6"/>
    <w:rsid w:val="008A618D"/>
    <w:rsid w:val="008A61A3"/>
    <w:rsid w:val="008A61AC"/>
    <w:rsid w:val="008A61BD"/>
    <w:rsid w:val="008A6261"/>
    <w:rsid w:val="008A634B"/>
    <w:rsid w:val="008A63FA"/>
    <w:rsid w:val="008A640D"/>
    <w:rsid w:val="008A64EF"/>
    <w:rsid w:val="008A652F"/>
    <w:rsid w:val="008A6574"/>
    <w:rsid w:val="008A6597"/>
    <w:rsid w:val="008A66AB"/>
    <w:rsid w:val="008A6842"/>
    <w:rsid w:val="008A6896"/>
    <w:rsid w:val="008A689B"/>
    <w:rsid w:val="008A6918"/>
    <w:rsid w:val="008A694A"/>
    <w:rsid w:val="008A695D"/>
    <w:rsid w:val="008A69D9"/>
    <w:rsid w:val="008A6A77"/>
    <w:rsid w:val="008A6AB0"/>
    <w:rsid w:val="008A6B4B"/>
    <w:rsid w:val="008A6C74"/>
    <w:rsid w:val="008A6C99"/>
    <w:rsid w:val="008A6CD6"/>
    <w:rsid w:val="008A6E69"/>
    <w:rsid w:val="008A6E6D"/>
    <w:rsid w:val="008A6E88"/>
    <w:rsid w:val="008A6EAB"/>
    <w:rsid w:val="008A6EB2"/>
    <w:rsid w:val="008A6ECB"/>
    <w:rsid w:val="008A6F1F"/>
    <w:rsid w:val="008A6F31"/>
    <w:rsid w:val="008A6FBB"/>
    <w:rsid w:val="008A702F"/>
    <w:rsid w:val="008A708B"/>
    <w:rsid w:val="008A70FC"/>
    <w:rsid w:val="008A71A5"/>
    <w:rsid w:val="008A71F9"/>
    <w:rsid w:val="008A73CD"/>
    <w:rsid w:val="008A7484"/>
    <w:rsid w:val="008A74C6"/>
    <w:rsid w:val="008A7522"/>
    <w:rsid w:val="008A765D"/>
    <w:rsid w:val="008A76B9"/>
    <w:rsid w:val="008A7703"/>
    <w:rsid w:val="008A7717"/>
    <w:rsid w:val="008A77B6"/>
    <w:rsid w:val="008A77CA"/>
    <w:rsid w:val="008A77DD"/>
    <w:rsid w:val="008A77E6"/>
    <w:rsid w:val="008A793F"/>
    <w:rsid w:val="008A7AFD"/>
    <w:rsid w:val="008A7BA1"/>
    <w:rsid w:val="008A7C69"/>
    <w:rsid w:val="008A7D06"/>
    <w:rsid w:val="008A7D76"/>
    <w:rsid w:val="008A7E78"/>
    <w:rsid w:val="008A7F7B"/>
    <w:rsid w:val="008A7FC0"/>
    <w:rsid w:val="008A7FE1"/>
    <w:rsid w:val="008B0083"/>
    <w:rsid w:val="008B0207"/>
    <w:rsid w:val="008B022A"/>
    <w:rsid w:val="008B02D2"/>
    <w:rsid w:val="008B0399"/>
    <w:rsid w:val="008B03DD"/>
    <w:rsid w:val="008B0490"/>
    <w:rsid w:val="008B0611"/>
    <w:rsid w:val="008B068E"/>
    <w:rsid w:val="008B06EA"/>
    <w:rsid w:val="008B070B"/>
    <w:rsid w:val="008B073D"/>
    <w:rsid w:val="008B076C"/>
    <w:rsid w:val="008B0878"/>
    <w:rsid w:val="008B0949"/>
    <w:rsid w:val="008B09E8"/>
    <w:rsid w:val="008B0A9B"/>
    <w:rsid w:val="008B0AE0"/>
    <w:rsid w:val="008B0BC9"/>
    <w:rsid w:val="008B0C0B"/>
    <w:rsid w:val="008B0DC3"/>
    <w:rsid w:val="008B0E53"/>
    <w:rsid w:val="008B0E6F"/>
    <w:rsid w:val="008B0EA4"/>
    <w:rsid w:val="008B0ED4"/>
    <w:rsid w:val="008B0F28"/>
    <w:rsid w:val="008B1002"/>
    <w:rsid w:val="008B10E5"/>
    <w:rsid w:val="008B1179"/>
    <w:rsid w:val="008B11FC"/>
    <w:rsid w:val="008B12E4"/>
    <w:rsid w:val="008B1316"/>
    <w:rsid w:val="008B1327"/>
    <w:rsid w:val="008B1436"/>
    <w:rsid w:val="008B14DB"/>
    <w:rsid w:val="008B16FE"/>
    <w:rsid w:val="008B1764"/>
    <w:rsid w:val="008B1778"/>
    <w:rsid w:val="008B17C5"/>
    <w:rsid w:val="008B18D5"/>
    <w:rsid w:val="008B19DA"/>
    <w:rsid w:val="008B1B55"/>
    <w:rsid w:val="008B1B94"/>
    <w:rsid w:val="008B1C42"/>
    <w:rsid w:val="008B1CE5"/>
    <w:rsid w:val="008B1DDD"/>
    <w:rsid w:val="008B1E2B"/>
    <w:rsid w:val="008B1E44"/>
    <w:rsid w:val="008B1EA5"/>
    <w:rsid w:val="008B1EC7"/>
    <w:rsid w:val="008B1F75"/>
    <w:rsid w:val="008B2111"/>
    <w:rsid w:val="008B21BE"/>
    <w:rsid w:val="008B21EB"/>
    <w:rsid w:val="008B2357"/>
    <w:rsid w:val="008B2359"/>
    <w:rsid w:val="008B2387"/>
    <w:rsid w:val="008B24A5"/>
    <w:rsid w:val="008B2519"/>
    <w:rsid w:val="008B25F4"/>
    <w:rsid w:val="008B2613"/>
    <w:rsid w:val="008B2799"/>
    <w:rsid w:val="008B27BE"/>
    <w:rsid w:val="008B287B"/>
    <w:rsid w:val="008B291A"/>
    <w:rsid w:val="008B2943"/>
    <w:rsid w:val="008B29A5"/>
    <w:rsid w:val="008B29AC"/>
    <w:rsid w:val="008B29F2"/>
    <w:rsid w:val="008B2A66"/>
    <w:rsid w:val="008B2B44"/>
    <w:rsid w:val="008B2B60"/>
    <w:rsid w:val="008B2B9E"/>
    <w:rsid w:val="008B2BC9"/>
    <w:rsid w:val="008B2D3F"/>
    <w:rsid w:val="008B2D98"/>
    <w:rsid w:val="008B2DCB"/>
    <w:rsid w:val="008B2DD7"/>
    <w:rsid w:val="008B2E45"/>
    <w:rsid w:val="008B2E5E"/>
    <w:rsid w:val="008B2EA4"/>
    <w:rsid w:val="008B2F7C"/>
    <w:rsid w:val="008B2F8D"/>
    <w:rsid w:val="008B300F"/>
    <w:rsid w:val="008B315F"/>
    <w:rsid w:val="008B3160"/>
    <w:rsid w:val="008B3190"/>
    <w:rsid w:val="008B31F7"/>
    <w:rsid w:val="008B3209"/>
    <w:rsid w:val="008B3277"/>
    <w:rsid w:val="008B32AE"/>
    <w:rsid w:val="008B32FB"/>
    <w:rsid w:val="008B331D"/>
    <w:rsid w:val="008B3491"/>
    <w:rsid w:val="008B34AB"/>
    <w:rsid w:val="008B34B4"/>
    <w:rsid w:val="008B34CE"/>
    <w:rsid w:val="008B3500"/>
    <w:rsid w:val="008B3572"/>
    <w:rsid w:val="008B36C6"/>
    <w:rsid w:val="008B3753"/>
    <w:rsid w:val="008B375E"/>
    <w:rsid w:val="008B37BE"/>
    <w:rsid w:val="008B3980"/>
    <w:rsid w:val="008B39A2"/>
    <w:rsid w:val="008B3AD9"/>
    <w:rsid w:val="008B3AF9"/>
    <w:rsid w:val="008B3C87"/>
    <w:rsid w:val="008B3C98"/>
    <w:rsid w:val="008B3D0A"/>
    <w:rsid w:val="008B3D7D"/>
    <w:rsid w:val="008B3DA6"/>
    <w:rsid w:val="008B3F17"/>
    <w:rsid w:val="008B4014"/>
    <w:rsid w:val="008B404C"/>
    <w:rsid w:val="008B40C0"/>
    <w:rsid w:val="008B40FF"/>
    <w:rsid w:val="008B410B"/>
    <w:rsid w:val="008B41A6"/>
    <w:rsid w:val="008B41F3"/>
    <w:rsid w:val="008B4243"/>
    <w:rsid w:val="008B4382"/>
    <w:rsid w:val="008B4386"/>
    <w:rsid w:val="008B4427"/>
    <w:rsid w:val="008B4439"/>
    <w:rsid w:val="008B44AC"/>
    <w:rsid w:val="008B44F2"/>
    <w:rsid w:val="008B45B4"/>
    <w:rsid w:val="008B4611"/>
    <w:rsid w:val="008B4643"/>
    <w:rsid w:val="008B4665"/>
    <w:rsid w:val="008B466C"/>
    <w:rsid w:val="008B47F4"/>
    <w:rsid w:val="008B484A"/>
    <w:rsid w:val="008B49A8"/>
    <w:rsid w:val="008B49C6"/>
    <w:rsid w:val="008B4A04"/>
    <w:rsid w:val="008B4A69"/>
    <w:rsid w:val="008B4AEF"/>
    <w:rsid w:val="008B4AF1"/>
    <w:rsid w:val="008B4BA5"/>
    <w:rsid w:val="008B4BE0"/>
    <w:rsid w:val="008B4C33"/>
    <w:rsid w:val="008B4CC1"/>
    <w:rsid w:val="008B4F6B"/>
    <w:rsid w:val="008B4F8A"/>
    <w:rsid w:val="008B5019"/>
    <w:rsid w:val="008B502E"/>
    <w:rsid w:val="008B5038"/>
    <w:rsid w:val="008B5122"/>
    <w:rsid w:val="008B518B"/>
    <w:rsid w:val="008B528A"/>
    <w:rsid w:val="008B5339"/>
    <w:rsid w:val="008B5355"/>
    <w:rsid w:val="008B5412"/>
    <w:rsid w:val="008B56C7"/>
    <w:rsid w:val="008B574F"/>
    <w:rsid w:val="008B57D0"/>
    <w:rsid w:val="008B583A"/>
    <w:rsid w:val="008B585E"/>
    <w:rsid w:val="008B5916"/>
    <w:rsid w:val="008B59E9"/>
    <w:rsid w:val="008B59FA"/>
    <w:rsid w:val="008B5AB2"/>
    <w:rsid w:val="008B5B01"/>
    <w:rsid w:val="008B5B48"/>
    <w:rsid w:val="008B5B50"/>
    <w:rsid w:val="008B5B53"/>
    <w:rsid w:val="008B5B61"/>
    <w:rsid w:val="008B5B6E"/>
    <w:rsid w:val="008B5BC4"/>
    <w:rsid w:val="008B5CA3"/>
    <w:rsid w:val="008B5CDF"/>
    <w:rsid w:val="008B5E6A"/>
    <w:rsid w:val="008B5FDB"/>
    <w:rsid w:val="008B6112"/>
    <w:rsid w:val="008B6214"/>
    <w:rsid w:val="008B63FE"/>
    <w:rsid w:val="008B6507"/>
    <w:rsid w:val="008B67DA"/>
    <w:rsid w:val="008B6810"/>
    <w:rsid w:val="008B6850"/>
    <w:rsid w:val="008B6902"/>
    <w:rsid w:val="008B6A8D"/>
    <w:rsid w:val="008B6B06"/>
    <w:rsid w:val="008B6B2B"/>
    <w:rsid w:val="008B6BEB"/>
    <w:rsid w:val="008B6C8B"/>
    <w:rsid w:val="008B6DAC"/>
    <w:rsid w:val="008B6E68"/>
    <w:rsid w:val="008B6E78"/>
    <w:rsid w:val="008B6ECA"/>
    <w:rsid w:val="008B6ED9"/>
    <w:rsid w:val="008B6EE3"/>
    <w:rsid w:val="008B7003"/>
    <w:rsid w:val="008B70F6"/>
    <w:rsid w:val="008B712C"/>
    <w:rsid w:val="008B714D"/>
    <w:rsid w:val="008B731A"/>
    <w:rsid w:val="008B73B8"/>
    <w:rsid w:val="008B740F"/>
    <w:rsid w:val="008B75C2"/>
    <w:rsid w:val="008B771A"/>
    <w:rsid w:val="008B777D"/>
    <w:rsid w:val="008B787C"/>
    <w:rsid w:val="008B78DD"/>
    <w:rsid w:val="008B7994"/>
    <w:rsid w:val="008B7A79"/>
    <w:rsid w:val="008B7A9E"/>
    <w:rsid w:val="008B7AEE"/>
    <w:rsid w:val="008B7B17"/>
    <w:rsid w:val="008B7B41"/>
    <w:rsid w:val="008B7B64"/>
    <w:rsid w:val="008B7BA0"/>
    <w:rsid w:val="008B7BA1"/>
    <w:rsid w:val="008B7D29"/>
    <w:rsid w:val="008B7DE0"/>
    <w:rsid w:val="008B7DF4"/>
    <w:rsid w:val="008B7E0B"/>
    <w:rsid w:val="008B7E24"/>
    <w:rsid w:val="008B7F47"/>
    <w:rsid w:val="008B7F6A"/>
    <w:rsid w:val="008C0003"/>
    <w:rsid w:val="008C00C1"/>
    <w:rsid w:val="008C0116"/>
    <w:rsid w:val="008C017C"/>
    <w:rsid w:val="008C02B3"/>
    <w:rsid w:val="008C02EA"/>
    <w:rsid w:val="008C0614"/>
    <w:rsid w:val="008C061E"/>
    <w:rsid w:val="008C0882"/>
    <w:rsid w:val="008C096E"/>
    <w:rsid w:val="008C0989"/>
    <w:rsid w:val="008C0A18"/>
    <w:rsid w:val="008C0A77"/>
    <w:rsid w:val="008C0BA7"/>
    <w:rsid w:val="008C0CF6"/>
    <w:rsid w:val="008C0D6C"/>
    <w:rsid w:val="008C0E38"/>
    <w:rsid w:val="008C0EBA"/>
    <w:rsid w:val="008C0EF4"/>
    <w:rsid w:val="008C0F37"/>
    <w:rsid w:val="008C0FEE"/>
    <w:rsid w:val="008C0FF0"/>
    <w:rsid w:val="008C105B"/>
    <w:rsid w:val="008C108E"/>
    <w:rsid w:val="008C1103"/>
    <w:rsid w:val="008C12A5"/>
    <w:rsid w:val="008C12CC"/>
    <w:rsid w:val="008C134E"/>
    <w:rsid w:val="008C1370"/>
    <w:rsid w:val="008C14D1"/>
    <w:rsid w:val="008C154C"/>
    <w:rsid w:val="008C165A"/>
    <w:rsid w:val="008C17A8"/>
    <w:rsid w:val="008C195B"/>
    <w:rsid w:val="008C199D"/>
    <w:rsid w:val="008C1A64"/>
    <w:rsid w:val="008C1AA5"/>
    <w:rsid w:val="008C1B24"/>
    <w:rsid w:val="008C1C08"/>
    <w:rsid w:val="008C1C38"/>
    <w:rsid w:val="008C1D88"/>
    <w:rsid w:val="008C1D9A"/>
    <w:rsid w:val="008C1DBD"/>
    <w:rsid w:val="008C1DFF"/>
    <w:rsid w:val="008C1E12"/>
    <w:rsid w:val="008C1EC6"/>
    <w:rsid w:val="008C206B"/>
    <w:rsid w:val="008C20D3"/>
    <w:rsid w:val="008C2196"/>
    <w:rsid w:val="008C21AC"/>
    <w:rsid w:val="008C21B9"/>
    <w:rsid w:val="008C2226"/>
    <w:rsid w:val="008C22D1"/>
    <w:rsid w:val="008C2512"/>
    <w:rsid w:val="008C254E"/>
    <w:rsid w:val="008C25B4"/>
    <w:rsid w:val="008C26CC"/>
    <w:rsid w:val="008C270F"/>
    <w:rsid w:val="008C275C"/>
    <w:rsid w:val="008C28A0"/>
    <w:rsid w:val="008C29A9"/>
    <w:rsid w:val="008C29E0"/>
    <w:rsid w:val="008C29E2"/>
    <w:rsid w:val="008C2B9E"/>
    <w:rsid w:val="008C2DC5"/>
    <w:rsid w:val="008C2E59"/>
    <w:rsid w:val="008C2EAE"/>
    <w:rsid w:val="008C2F69"/>
    <w:rsid w:val="008C2F8A"/>
    <w:rsid w:val="008C3058"/>
    <w:rsid w:val="008C3180"/>
    <w:rsid w:val="008C3186"/>
    <w:rsid w:val="008C31DD"/>
    <w:rsid w:val="008C32B2"/>
    <w:rsid w:val="008C336F"/>
    <w:rsid w:val="008C3460"/>
    <w:rsid w:val="008C348D"/>
    <w:rsid w:val="008C3533"/>
    <w:rsid w:val="008C355E"/>
    <w:rsid w:val="008C3590"/>
    <w:rsid w:val="008C36D2"/>
    <w:rsid w:val="008C3722"/>
    <w:rsid w:val="008C37C5"/>
    <w:rsid w:val="008C38B3"/>
    <w:rsid w:val="008C38FC"/>
    <w:rsid w:val="008C395D"/>
    <w:rsid w:val="008C39CF"/>
    <w:rsid w:val="008C3A1E"/>
    <w:rsid w:val="008C3A2F"/>
    <w:rsid w:val="008C3A44"/>
    <w:rsid w:val="008C3B0E"/>
    <w:rsid w:val="008C3B98"/>
    <w:rsid w:val="008C3BB1"/>
    <w:rsid w:val="008C3BC3"/>
    <w:rsid w:val="008C3D86"/>
    <w:rsid w:val="008C3E42"/>
    <w:rsid w:val="008C3EAF"/>
    <w:rsid w:val="008C409C"/>
    <w:rsid w:val="008C4175"/>
    <w:rsid w:val="008C41C2"/>
    <w:rsid w:val="008C4276"/>
    <w:rsid w:val="008C42D5"/>
    <w:rsid w:val="008C4327"/>
    <w:rsid w:val="008C44E3"/>
    <w:rsid w:val="008C4621"/>
    <w:rsid w:val="008C4669"/>
    <w:rsid w:val="008C46AF"/>
    <w:rsid w:val="008C4712"/>
    <w:rsid w:val="008C47BE"/>
    <w:rsid w:val="008C4880"/>
    <w:rsid w:val="008C48DA"/>
    <w:rsid w:val="008C4907"/>
    <w:rsid w:val="008C4975"/>
    <w:rsid w:val="008C49B4"/>
    <w:rsid w:val="008C4A7F"/>
    <w:rsid w:val="008C4A89"/>
    <w:rsid w:val="008C4BFD"/>
    <w:rsid w:val="008C4D31"/>
    <w:rsid w:val="008C4D52"/>
    <w:rsid w:val="008C4E2E"/>
    <w:rsid w:val="008C4E6E"/>
    <w:rsid w:val="008C4EA9"/>
    <w:rsid w:val="008C506D"/>
    <w:rsid w:val="008C5177"/>
    <w:rsid w:val="008C5185"/>
    <w:rsid w:val="008C5352"/>
    <w:rsid w:val="008C5377"/>
    <w:rsid w:val="008C53BE"/>
    <w:rsid w:val="008C549A"/>
    <w:rsid w:val="008C5545"/>
    <w:rsid w:val="008C56F6"/>
    <w:rsid w:val="008C5776"/>
    <w:rsid w:val="008C57F1"/>
    <w:rsid w:val="008C5862"/>
    <w:rsid w:val="008C588B"/>
    <w:rsid w:val="008C5A12"/>
    <w:rsid w:val="008C5A31"/>
    <w:rsid w:val="008C5A67"/>
    <w:rsid w:val="008C5B78"/>
    <w:rsid w:val="008C5C9C"/>
    <w:rsid w:val="008C5C9E"/>
    <w:rsid w:val="008C5D22"/>
    <w:rsid w:val="008C5D2D"/>
    <w:rsid w:val="008C5D7F"/>
    <w:rsid w:val="008C5F9D"/>
    <w:rsid w:val="008C5FD5"/>
    <w:rsid w:val="008C5FF8"/>
    <w:rsid w:val="008C6009"/>
    <w:rsid w:val="008C6022"/>
    <w:rsid w:val="008C60C2"/>
    <w:rsid w:val="008C60D6"/>
    <w:rsid w:val="008C60DA"/>
    <w:rsid w:val="008C6146"/>
    <w:rsid w:val="008C6166"/>
    <w:rsid w:val="008C6273"/>
    <w:rsid w:val="008C6299"/>
    <w:rsid w:val="008C6371"/>
    <w:rsid w:val="008C6410"/>
    <w:rsid w:val="008C6454"/>
    <w:rsid w:val="008C66C3"/>
    <w:rsid w:val="008C672C"/>
    <w:rsid w:val="008C6805"/>
    <w:rsid w:val="008C6829"/>
    <w:rsid w:val="008C6850"/>
    <w:rsid w:val="008C6A30"/>
    <w:rsid w:val="008C6A78"/>
    <w:rsid w:val="008C6A90"/>
    <w:rsid w:val="008C6BB9"/>
    <w:rsid w:val="008C6CAD"/>
    <w:rsid w:val="008C6D27"/>
    <w:rsid w:val="008C6D49"/>
    <w:rsid w:val="008C6D73"/>
    <w:rsid w:val="008C6DE7"/>
    <w:rsid w:val="008C6DFB"/>
    <w:rsid w:val="008C6DFE"/>
    <w:rsid w:val="008C6E15"/>
    <w:rsid w:val="008C6F1A"/>
    <w:rsid w:val="008C706B"/>
    <w:rsid w:val="008C70D1"/>
    <w:rsid w:val="008C7139"/>
    <w:rsid w:val="008C72F8"/>
    <w:rsid w:val="008C730C"/>
    <w:rsid w:val="008C738E"/>
    <w:rsid w:val="008C7436"/>
    <w:rsid w:val="008C74AB"/>
    <w:rsid w:val="008C751E"/>
    <w:rsid w:val="008C757C"/>
    <w:rsid w:val="008C75BD"/>
    <w:rsid w:val="008C770A"/>
    <w:rsid w:val="008C7733"/>
    <w:rsid w:val="008C77A3"/>
    <w:rsid w:val="008C7810"/>
    <w:rsid w:val="008C783C"/>
    <w:rsid w:val="008C788A"/>
    <w:rsid w:val="008C78B1"/>
    <w:rsid w:val="008C795C"/>
    <w:rsid w:val="008C7977"/>
    <w:rsid w:val="008C79DE"/>
    <w:rsid w:val="008C7A85"/>
    <w:rsid w:val="008C7ACC"/>
    <w:rsid w:val="008C7AD0"/>
    <w:rsid w:val="008C7E3C"/>
    <w:rsid w:val="008C7FC3"/>
    <w:rsid w:val="008C7FDE"/>
    <w:rsid w:val="008D0117"/>
    <w:rsid w:val="008D01D7"/>
    <w:rsid w:val="008D02A8"/>
    <w:rsid w:val="008D0398"/>
    <w:rsid w:val="008D03F4"/>
    <w:rsid w:val="008D046E"/>
    <w:rsid w:val="008D04F0"/>
    <w:rsid w:val="008D0515"/>
    <w:rsid w:val="008D05E9"/>
    <w:rsid w:val="008D072F"/>
    <w:rsid w:val="008D086D"/>
    <w:rsid w:val="008D0876"/>
    <w:rsid w:val="008D08FE"/>
    <w:rsid w:val="008D09B1"/>
    <w:rsid w:val="008D0A2A"/>
    <w:rsid w:val="008D0B96"/>
    <w:rsid w:val="008D0B9C"/>
    <w:rsid w:val="008D0BFE"/>
    <w:rsid w:val="008D0CC2"/>
    <w:rsid w:val="008D0D39"/>
    <w:rsid w:val="008D0D40"/>
    <w:rsid w:val="008D0D7B"/>
    <w:rsid w:val="008D0EBB"/>
    <w:rsid w:val="008D0F9A"/>
    <w:rsid w:val="008D0FB2"/>
    <w:rsid w:val="008D1014"/>
    <w:rsid w:val="008D109C"/>
    <w:rsid w:val="008D11AF"/>
    <w:rsid w:val="008D127F"/>
    <w:rsid w:val="008D12BD"/>
    <w:rsid w:val="008D12E4"/>
    <w:rsid w:val="008D145E"/>
    <w:rsid w:val="008D1462"/>
    <w:rsid w:val="008D14DD"/>
    <w:rsid w:val="008D16A0"/>
    <w:rsid w:val="008D17A4"/>
    <w:rsid w:val="008D1A2A"/>
    <w:rsid w:val="008D1A2D"/>
    <w:rsid w:val="008D1A56"/>
    <w:rsid w:val="008D1A96"/>
    <w:rsid w:val="008D1D5C"/>
    <w:rsid w:val="008D1D96"/>
    <w:rsid w:val="008D1DFE"/>
    <w:rsid w:val="008D1E0A"/>
    <w:rsid w:val="008D204F"/>
    <w:rsid w:val="008D20D2"/>
    <w:rsid w:val="008D20D8"/>
    <w:rsid w:val="008D215B"/>
    <w:rsid w:val="008D219D"/>
    <w:rsid w:val="008D21B7"/>
    <w:rsid w:val="008D21BE"/>
    <w:rsid w:val="008D227E"/>
    <w:rsid w:val="008D23E9"/>
    <w:rsid w:val="008D243A"/>
    <w:rsid w:val="008D24A8"/>
    <w:rsid w:val="008D2536"/>
    <w:rsid w:val="008D254C"/>
    <w:rsid w:val="008D25EF"/>
    <w:rsid w:val="008D26D2"/>
    <w:rsid w:val="008D2783"/>
    <w:rsid w:val="008D286B"/>
    <w:rsid w:val="008D28ED"/>
    <w:rsid w:val="008D29BA"/>
    <w:rsid w:val="008D29D8"/>
    <w:rsid w:val="008D2A05"/>
    <w:rsid w:val="008D2B5D"/>
    <w:rsid w:val="008D2C60"/>
    <w:rsid w:val="008D2C81"/>
    <w:rsid w:val="008D2D71"/>
    <w:rsid w:val="008D2D8C"/>
    <w:rsid w:val="008D2F82"/>
    <w:rsid w:val="008D2FBE"/>
    <w:rsid w:val="008D3010"/>
    <w:rsid w:val="008D301C"/>
    <w:rsid w:val="008D30DE"/>
    <w:rsid w:val="008D337B"/>
    <w:rsid w:val="008D3431"/>
    <w:rsid w:val="008D3449"/>
    <w:rsid w:val="008D34CB"/>
    <w:rsid w:val="008D3548"/>
    <w:rsid w:val="008D35F1"/>
    <w:rsid w:val="008D35FE"/>
    <w:rsid w:val="008D36DA"/>
    <w:rsid w:val="008D3864"/>
    <w:rsid w:val="008D393F"/>
    <w:rsid w:val="008D39CB"/>
    <w:rsid w:val="008D3DAD"/>
    <w:rsid w:val="008D3F08"/>
    <w:rsid w:val="008D3F63"/>
    <w:rsid w:val="008D4160"/>
    <w:rsid w:val="008D419A"/>
    <w:rsid w:val="008D41B4"/>
    <w:rsid w:val="008D4219"/>
    <w:rsid w:val="008D4256"/>
    <w:rsid w:val="008D435F"/>
    <w:rsid w:val="008D436E"/>
    <w:rsid w:val="008D4409"/>
    <w:rsid w:val="008D4458"/>
    <w:rsid w:val="008D447F"/>
    <w:rsid w:val="008D45A3"/>
    <w:rsid w:val="008D460A"/>
    <w:rsid w:val="008D46BF"/>
    <w:rsid w:val="008D47B6"/>
    <w:rsid w:val="008D47E0"/>
    <w:rsid w:val="008D4867"/>
    <w:rsid w:val="008D4918"/>
    <w:rsid w:val="008D496C"/>
    <w:rsid w:val="008D49D1"/>
    <w:rsid w:val="008D4ADA"/>
    <w:rsid w:val="008D4B01"/>
    <w:rsid w:val="008D4BA7"/>
    <w:rsid w:val="008D4CD1"/>
    <w:rsid w:val="008D4D82"/>
    <w:rsid w:val="008D4E9C"/>
    <w:rsid w:val="008D500E"/>
    <w:rsid w:val="008D503E"/>
    <w:rsid w:val="008D5042"/>
    <w:rsid w:val="008D5157"/>
    <w:rsid w:val="008D5198"/>
    <w:rsid w:val="008D51A6"/>
    <w:rsid w:val="008D5284"/>
    <w:rsid w:val="008D53E1"/>
    <w:rsid w:val="008D5545"/>
    <w:rsid w:val="008D560D"/>
    <w:rsid w:val="008D5616"/>
    <w:rsid w:val="008D56D6"/>
    <w:rsid w:val="008D5730"/>
    <w:rsid w:val="008D57AD"/>
    <w:rsid w:val="008D57BD"/>
    <w:rsid w:val="008D57EA"/>
    <w:rsid w:val="008D580A"/>
    <w:rsid w:val="008D5826"/>
    <w:rsid w:val="008D595F"/>
    <w:rsid w:val="008D5BBC"/>
    <w:rsid w:val="008D5CAE"/>
    <w:rsid w:val="008D5DB7"/>
    <w:rsid w:val="008D5ED9"/>
    <w:rsid w:val="008D5EEA"/>
    <w:rsid w:val="008D606C"/>
    <w:rsid w:val="008D6074"/>
    <w:rsid w:val="008D60ED"/>
    <w:rsid w:val="008D616F"/>
    <w:rsid w:val="008D6173"/>
    <w:rsid w:val="008D62C5"/>
    <w:rsid w:val="008D6334"/>
    <w:rsid w:val="008D6343"/>
    <w:rsid w:val="008D6356"/>
    <w:rsid w:val="008D6370"/>
    <w:rsid w:val="008D64D7"/>
    <w:rsid w:val="008D6511"/>
    <w:rsid w:val="008D652E"/>
    <w:rsid w:val="008D665F"/>
    <w:rsid w:val="008D6755"/>
    <w:rsid w:val="008D6776"/>
    <w:rsid w:val="008D67BE"/>
    <w:rsid w:val="008D67E2"/>
    <w:rsid w:val="008D6810"/>
    <w:rsid w:val="008D6888"/>
    <w:rsid w:val="008D68E0"/>
    <w:rsid w:val="008D6919"/>
    <w:rsid w:val="008D69AD"/>
    <w:rsid w:val="008D69C5"/>
    <w:rsid w:val="008D6A60"/>
    <w:rsid w:val="008D6A8B"/>
    <w:rsid w:val="008D6ABE"/>
    <w:rsid w:val="008D6BD6"/>
    <w:rsid w:val="008D6D34"/>
    <w:rsid w:val="008D6DA8"/>
    <w:rsid w:val="008D6DB3"/>
    <w:rsid w:val="008D6DE9"/>
    <w:rsid w:val="008D6EA8"/>
    <w:rsid w:val="008D6EF4"/>
    <w:rsid w:val="008D6FBE"/>
    <w:rsid w:val="008D7119"/>
    <w:rsid w:val="008D7173"/>
    <w:rsid w:val="008D7197"/>
    <w:rsid w:val="008D719F"/>
    <w:rsid w:val="008D7287"/>
    <w:rsid w:val="008D7293"/>
    <w:rsid w:val="008D731D"/>
    <w:rsid w:val="008D74F2"/>
    <w:rsid w:val="008D76CA"/>
    <w:rsid w:val="008D76F1"/>
    <w:rsid w:val="008D7797"/>
    <w:rsid w:val="008D782C"/>
    <w:rsid w:val="008D7999"/>
    <w:rsid w:val="008D7A52"/>
    <w:rsid w:val="008D7AAA"/>
    <w:rsid w:val="008D7B76"/>
    <w:rsid w:val="008D7C9A"/>
    <w:rsid w:val="008D7EE6"/>
    <w:rsid w:val="008D7FC7"/>
    <w:rsid w:val="008E0030"/>
    <w:rsid w:val="008E009E"/>
    <w:rsid w:val="008E0113"/>
    <w:rsid w:val="008E01FF"/>
    <w:rsid w:val="008E02DC"/>
    <w:rsid w:val="008E02FA"/>
    <w:rsid w:val="008E038F"/>
    <w:rsid w:val="008E0459"/>
    <w:rsid w:val="008E04BB"/>
    <w:rsid w:val="008E04CF"/>
    <w:rsid w:val="008E05B1"/>
    <w:rsid w:val="008E060F"/>
    <w:rsid w:val="008E076D"/>
    <w:rsid w:val="008E0A41"/>
    <w:rsid w:val="008E0A6C"/>
    <w:rsid w:val="008E0A72"/>
    <w:rsid w:val="008E0A7C"/>
    <w:rsid w:val="008E0B83"/>
    <w:rsid w:val="008E0C35"/>
    <w:rsid w:val="008E0D88"/>
    <w:rsid w:val="008E0DED"/>
    <w:rsid w:val="008E0E29"/>
    <w:rsid w:val="008E0E73"/>
    <w:rsid w:val="008E0ECE"/>
    <w:rsid w:val="008E0EE0"/>
    <w:rsid w:val="008E0FD8"/>
    <w:rsid w:val="008E105E"/>
    <w:rsid w:val="008E10A6"/>
    <w:rsid w:val="008E10E4"/>
    <w:rsid w:val="008E1138"/>
    <w:rsid w:val="008E1149"/>
    <w:rsid w:val="008E133E"/>
    <w:rsid w:val="008E13F5"/>
    <w:rsid w:val="008E148D"/>
    <w:rsid w:val="008E14F7"/>
    <w:rsid w:val="008E15A3"/>
    <w:rsid w:val="008E1612"/>
    <w:rsid w:val="008E1624"/>
    <w:rsid w:val="008E163E"/>
    <w:rsid w:val="008E16CC"/>
    <w:rsid w:val="008E17B8"/>
    <w:rsid w:val="008E183B"/>
    <w:rsid w:val="008E189D"/>
    <w:rsid w:val="008E18BE"/>
    <w:rsid w:val="008E19B7"/>
    <w:rsid w:val="008E19F6"/>
    <w:rsid w:val="008E1B68"/>
    <w:rsid w:val="008E1BC3"/>
    <w:rsid w:val="008E1D1D"/>
    <w:rsid w:val="008E1DBE"/>
    <w:rsid w:val="008E1E0F"/>
    <w:rsid w:val="008E2241"/>
    <w:rsid w:val="008E224D"/>
    <w:rsid w:val="008E22C0"/>
    <w:rsid w:val="008E22FE"/>
    <w:rsid w:val="008E230F"/>
    <w:rsid w:val="008E2353"/>
    <w:rsid w:val="008E23C2"/>
    <w:rsid w:val="008E2595"/>
    <w:rsid w:val="008E25B4"/>
    <w:rsid w:val="008E263C"/>
    <w:rsid w:val="008E26B2"/>
    <w:rsid w:val="008E26F0"/>
    <w:rsid w:val="008E27D4"/>
    <w:rsid w:val="008E282B"/>
    <w:rsid w:val="008E2901"/>
    <w:rsid w:val="008E292B"/>
    <w:rsid w:val="008E2986"/>
    <w:rsid w:val="008E2A35"/>
    <w:rsid w:val="008E2AE7"/>
    <w:rsid w:val="008E2C7A"/>
    <w:rsid w:val="008E2C8C"/>
    <w:rsid w:val="008E2D06"/>
    <w:rsid w:val="008E2D0C"/>
    <w:rsid w:val="008E2E50"/>
    <w:rsid w:val="008E30DB"/>
    <w:rsid w:val="008E31AA"/>
    <w:rsid w:val="008E3216"/>
    <w:rsid w:val="008E32C4"/>
    <w:rsid w:val="008E335F"/>
    <w:rsid w:val="008E358C"/>
    <w:rsid w:val="008E3618"/>
    <w:rsid w:val="008E36A5"/>
    <w:rsid w:val="008E36D6"/>
    <w:rsid w:val="008E37C8"/>
    <w:rsid w:val="008E394B"/>
    <w:rsid w:val="008E395D"/>
    <w:rsid w:val="008E397B"/>
    <w:rsid w:val="008E39FF"/>
    <w:rsid w:val="008E3AEF"/>
    <w:rsid w:val="008E3B42"/>
    <w:rsid w:val="008E3BC8"/>
    <w:rsid w:val="008E3C6D"/>
    <w:rsid w:val="008E3CA7"/>
    <w:rsid w:val="008E3CF7"/>
    <w:rsid w:val="008E3DAE"/>
    <w:rsid w:val="008E3DD4"/>
    <w:rsid w:val="008E3DE7"/>
    <w:rsid w:val="008E4190"/>
    <w:rsid w:val="008E41A1"/>
    <w:rsid w:val="008E41A6"/>
    <w:rsid w:val="008E4241"/>
    <w:rsid w:val="008E42D8"/>
    <w:rsid w:val="008E43CE"/>
    <w:rsid w:val="008E4412"/>
    <w:rsid w:val="008E46D9"/>
    <w:rsid w:val="008E4733"/>
    <w:rsid w:val="008E4789"/>
    <w:rsid w:val="008E47C5"/>
    <w:rsid w:val="008E47CB"/>
    <w:rsid w:val="008E49DD"/>
    <w:rsid w:val="008E49F5"/>
    <w:rsid w:val="008E4B0C"/>
    <w:rsid w:val="008E4B4D"/>
    <w:rsid w:val="008E4C0A"/>
    <w:rsid w:val="008E4C3C"/>
    <w:rsid w:val="008E4C50"/>
    <w:rsid w:val="008E4C9C"/>
    <w:rsid w:val="008E4CA3"/>
    <w:rsid w:val="008E4D58"/>
    <w:rsid w:val="008E4D8A"/>
    <w:rsid w:val="008E4F55"/>
    <w:rsid w:val="008E4FCB"/>
    <w:rsid w:val="008E50D7"/>
    <w:rsid w:val="008E51E8"/>
    <w:rsid w:val="008E5236"/>
    <w:rsid w:val="008E529D"/>
    <w:rsid w:val="008E52DE"/>
    <w:rsid w:val="008E5381"/>
    <w:rsid w:val="008E53D5"/>
    <w:rsid w:val="008E5464"/>
    <w:rsid w:val="008E5468"/>
    <w:rsid w:val="008E549E"/>
    <w:rsid w:val="008E5567"/>
    <w:rsid w:val="008E55AC"/>
    <w:rsid w:val="008E579E"/>
    <w:rsid w:val="008E57F5"/>
    <w:rsid w:val="008E58BE"/>
    <w:rsid w:val="008E5920"/>
    <w:rsid w:val="008E598B"/>
    <w:rsid w:val="008E59A6"/>
    <w:rsid w:val="008E59C6"/>
    <w:rsid w:val="008E5A5D"/>
    <w:rsid w:val="008E5A97"/>
    <w:rsid w:val="008E5A9C"/>
    <w:rsid w:val="008E5B9E"/>
    <w:rsid w:val="008E5CD9"/>
    <w:rsid w:val="008E5CDF"/>
    <w:rsid w:val="008E5CE0"/>
    <w:rsid w:val="008E5D10"/>
    <w:rsid w:val="008E5D1B"/>
    <w:rsid w:val="008E5EE6"/>
    <w:rsid w:val="008E5F5C"/>
    <w:rsid w:val="008E5FA1"/>
    <w:rsid w:val="008E5FFC"/>
    <w:rsid w:val="008E60A1"/>
    <w:rsid w:val="008E610D"/>
    <w:rsid w:val="008E617D"/>
    <w:rsid w:val="008E620A"/>
    <w:rsid w:val="008E62A3"/>
    <w:rsid w:val="008E63E0"/>
    <w:rsid w:val="008E655E"/>
    <w:rsid w:val="008E6733"/>
    <w:rsid w:val="008E67F1"/>
    <w:rsid w:val="008E680C"/>
    <w:rsid w:val="008E6869"/>
    <w:rsid w:val="008E68D7"/>
    <w:rsid w:val="008E69CC"/>
    <w:rsid w:val="008E6A64"/>
    <w:rsid w:val="008E6B3F"/>
    <w:rsid w:val="008E6C69"/>
    <w:rsid w:val="008E6D3E"/>
    <w:rsid w:val="008E6D9B"/>
    <w:rsid w:val="008E6DB3"/>
    <w:rsid w:val="008E6DC7"/>
    <w:rsid w:val="008E6E9F"/>
    <w:rsid w:val="008E6FD4"/>
    <w:rsid w:val="008E70A1"/>
    <w:rsid w:val="008E70D2"/>
    <w:rsid w:val="008E7204"/>
    <w:rsid w:val="008E724B"/>
    <w:rsid w:val="008E72E5"/>
    <w:rsid w:val="008E7507"/>
    <w:rsid w:val="008E75E7"/>
    <w:rsid w:val="008E76C7"/>
    <w:rsid w:val="008E77B8"/>
    <w:rsid w:val="008E781E"/>
    <w:rsid w:val="008E7A97"/>
    <w:rsid w:val="008E7BD4"/>
    <w:rsid w:val="008E7C54"/>
    <w:rsid w:val="008E7CAA"/>
    <w:rsid w:val="008E7DD4"/>
    <w:rsid w:val="008E7EBA"/>
    <w:rsid w:val="008E7F51"/>
    <w:rsid w:val="008E7F96"/>
    <w:rsid w:val="008E7FFD"/>
    <w:rsid w:val="008F0146"/>
    <w:rsid w:val="008F01A2"/>
    <w:rsid w:val="008F01A7"/>
    <w:rsid w:val="008F01B3"/>
    <w:rsid w:val="008F0287"/>
    <w:rsid w:val="008F02D1"/>
    <w:rsid w:val="008F0308"/>
    <w:rsid w:val="008F0350"/>
    <w:rsid w:val="008F03D9"/>
    <w:rsid w:val="008F048D"/>
    <w:rsid w:val="008F04FD"/>
    <w:rsid w:val="008F0586"/>
    <w:rsid w:val="008F05D0"/>
    <w:rsid w:val="008F0692"/>
    <w:rsid w:val="008F06A7"/>
    <w:rsid w:val="008F070C"/>
    <w:rsid w:val="008F0743"/>
    <w:rsid w:val="008F07F8"/>
    <w:rsid w:val="008F096F"/>
    <w:rsid w:val="008F0995"/>
    <w:rsid w:val="008F0A09"/>
    <w:rsid w:val="008F0ABF"/>
    <w:rsid w:val="008F0BE0"/>
    <w:rsid w:val="008F0CAF"/>
    <w:rsid w:val="008F0CFF"/>
    <w:rsid w:val="008F0D49"/>
    <w:rsid w:val="008F0E37"/>
    <w:rsid w:val="008F0F39"/>
    <w:rsid w:val="008F0FB6"/>
    <w:rsid w:val="008F1034"/>
    <w:rsid w:val="008F106E"/>
    <w:rsid w:val="008F1125"/>
    <w:rsid w:val="008F1178"/>
    <w:rsid w:val="008F11D9"/>
    <w:rsid w:val="008F1223"/>
    <w:rsid w:val="008F127B"/>
    <w:rsid w:val="008F136C"/>
    <w:rsid w:val="008F14CC"/>
    <w:rsid w:val="008F1511"/>
    <w:rsid w:val="008F151F"/>
    <w:rsid w:val="008F1550"/>
    <w:rsid w:val="008F15B6"/>
    <w:rsid w:val="008F164F"/>
    <w:rsid w:val="008F184C"/>
    <w:rsid w:val="008F194B"/>
    <w:rsid w:val="008F198D"/>
    <w:rsid w:val="008F19B6"/>
    <w:rsid w:val="008F1A0C"/>
    <w:rsid w:val="008F1AD2"/>
    <w:rsid w:val="008F1C41"/>
    <w:rsid w:val="008F1C98"/>
    <w:rsid w:val="008F1CEB"/>
    <w:rsid w:val="008F1D3F"/>
    <w:rsid w:val="008F1DEA"/>
    <w:rsid w:val="008F1DEB"/>
    <w:rsid w:val="008F1DF1"/>
    <w:rsid w:val="008F1E15"/>
    <w:rsid w:val="008F1E51"/>
    <w:rsid w:val="008F1E97"/>
    <w:rsid w:val="008F1F2A"/>
    <w:rsid w:val="008F1F49"/>
    <w:rsid w:val="008F2123"/>
    <w:rsid w:val="008F214A"/>
    <w:rsid w:val="008F21D0"/>
    <w:rsid w:val="008F22AA"/>
    <w:rsid w:val="008F22DE"/>
    <w:rsid w:val="008F2450"/>
    <w:rsid w:val="008F24B8"/>
    <w:rsid w:val="008F251B"/>
    <w:rsid w:val="008F252F"/>
    <w:rsid w:val="008F2668"/>
    <w:rsid w:val="008F2690"/>
    <w:rsid w:val="008F279B"/>
    <w:rsid w:val="008F2915"/>
    <w:rsid w:val="008F29C7"/>
    <w:rsid w:val="008F2A5A"/>
    <w:rsid w:val="008F2B2E"/>
    <w:rsid w:val="008F2B98"/>
    <w:rsid w:val="008F2CD4"/>
    <w:rsid w:val="008F2CE0"/>
    <w:rsid w:val="008F2D22"/>
    <w:rsid w:val="008F2EBE"/>
    <w:rsid w:val="008F2F92"/>
    <w:rsid w:val="008F2FA9"/>
    <w:rsid w:val="008F2FC9"/>
    <w:rsid w:val="008F3071"/>
    <w:rsid w:val="008F3086"/>
    <w:rsid w:val="008F317F"/>
    <w:rsid w:val="008F3199"/>
    <w:rsid w:val="008F3261"/>
    <w:rsid w:val="008F32E9"/>
    <w:rsid w:val="008F34B4"/>
    <w:rsid w:val="008F3561"/>
    <w:rsid w:val="008F35B9"/>
    <w:rsid w:val="008F362B"/>
    <w:rsid w:val="008F3763"/>
    <w:rsid w:val="008F387A"/>
    <w:rsid w:val="008F38DC"/>
    <w:rsid w:val="008F39DC"/>
    <w:rsid w:val="008F39DD"/>
    <w:rsid w:val="008F3A02"/>
    <w:rsid w:val="008F3A76"/>
    <w:rsid w:val="008F3AEB"/>
    <w:rsid w:val="008F3B25"/>
    <w:rsid w:val="008F3B65"/>
    <w:rsid w:val="008F3BA7"/>
    <w:rsid w:val="008F3D34"/>
    <w:rsid w:val="008F3E0A"/>
    <w:rsid w:val="008F3E62"/>
    <w:rsid w:val="008F413B"/>
    <w:rsid w:val="008F418A"/>
    <w:rsid w:val="008F42F4"/>
    <w:rsid w:val="008F4304"/>
    <w:rsid w:val="008F446E"/>
    <w:rsid w:val="008F447E"/>
    <w:rsid w:val="008F4482"/>
    <w:rsid w:val="008F465D"/>
    <w:rsid w:val="008F46B5"/>
    <w:rsid w:val="008F4733"/>
    <w:rsid w:val="008F4817"/>
    <w:rsid w:val="008F4833"/>
    <w:rsid w:val="008F483A"/>
    <w:rsid w:val="008F4903"/>
    <w:rsid w:val="008F49A5"/>
    <w:rsid w:val="008F4AA8"/>
    <w:rsid w:val="008F4CC3"/>
    <w:rsid w:val="008F4CFD"/>
    <w:rsid w:val="008F4D09"/>
    <w:rsid w:val="008F4D0E"/>
    <w:rsid w:val="008F4D36"/>
    <w:rsid w:val="008F4D79"/>
    <w:rsid w:val="008F4DD8"/>
    <w:rsid w:val="008F4E0E"/>
    <w:rsid w:val="008F4F2F"/>
    <w:rsid w:val="008F4F94"/>
    <w:rsid w:val="008F4FB2"/>
    <w:rsid w:val="008F500A"/>
    <w:rsid w:val="008F515B"/>
    <w:rsid w:val="008F522F"/>
    <w:rsid w:val="008F52C4"/>
    <w:rsid w:val="008F531D"/>
    <w:rsid w:val="008F5545"/>
    <w:rsid w:val="008F55B2"/>
    <w:rsid w:val="008F56A0"/>
    <w:rsid w:val="008F578C"/>
    <w:rsid w:val="008F5793"/>
    <w:rsid w:val="008F5897"/>
    <w:rsid w:val="008F58E4"/>
    <w:rsid w:val="008F5923"/>
    <w:rsid w:val="008F59CA"/>
    <w:rsid w:val="008F5A28"/>
    <w:rsid w:val="008F5AC3"/>
    <w:rsid w:val="008F5B1A"/>
    <w:rsid w:val="008F5B65"/>
    <w:rsid w:val="008F5C01"/>
    <w:rsid w:val="008F5C20"/>
    <w:rsid w:val="008F5D13"/>
    <w:rsid w:val="008F5D37"/>
    <w:rsid w:val="008F5E24"/>
    <w:rsid w:val="008F5E57"/>
    <w:rsid w:val="008F5F1C"/>
    <w:rsid w:val="008F5FED"/>
    <w:rsid w:val="008F6138"/>
    <w:rsid w:val="008F6170"/>
    <w:rsid w:val="008F61D9"/>
    <w:rsid w:val="008F62CB"/>
    <w:rsid w:val="008F63B7"/>
    <w:rsid w:val="008F63FA"/>
    <w:rsid w:val="008F645C"/>
    <w:rsid w:val="008F64A0"/>
    <w:rsid w:val="008F657A"/>
    <w:rsid w:val="008F672C"/>
    <w:rsid w:val="008F6764"/>
    <w:rsid w:val="008F69CE"/>
    <w:rsid w:val="008F6AFF"/>
    <w:rsid w:val="008F6B08"/>
    <w:rsid w:val="008F6B54"/>
    <w:rsid w:val="008F6BC6"/>
    <w:rsid w:val="008F6C32"/>
    <w:rsid w:val="008F6C62"/>
    <w:rsid w:val="008F6DB3"/>
    <w:rsid w:val="008F6ED6"/>
    <w:rsid w:val="008F70AC"/>
    <w:rsid w:val="008F70BE"/>
    <w:rsid w:val="008F70CC"/>
    <w:rsid w:val="008F712B"/>
    <w:rsid w:val="008F716D"/>
    <w:rsid w:val="008F717B"/>
    <w:rsid w:val="008F7267"/>
    <w:rsid w:val="008F7280"/>
    <w:rsid w:val="008F7332"/>
    <w:rsid w:val="008F73AA"/>
    <w:rsid w:val="008F73EC"/>
    <w:rsid w:val="008F740B"/>
    <w:rsid w:val="008F7420"/>
    <w:rsid w:val="008F7453"/>
    <w:rsid w:val="008F74FC"/>
    <w:rsid w:val="008F7563"/>
    <w:rsid w:val="008F7602"/>
    <w:rsid w:val="008F760F"/>
    <w:rsid w:val="008F77C7"/>
    <w:rsid w:val="008F77D0"/>
    <w:rsid w:val="008F77D3"/>
    <w:rsid w:val="008F7AF1"/>
    <w:rsid w:val="008F7B0E"/>
    <w:rsid w:val="008F7C05"/>
    <w:rsid w:val="008F7C10"/>
    <w:rsid w:val="008F7C8E"/>
    <w:rsid w:val="008F7CC6"/>
    <w:rsid w:val="008F7D0D"/>
    <w:rsid w:val="008F7D54"/>
    <w:rsid w:val="008F7D77"/>
    <w:rsid w:val="008F7E83"/>
    <w:rsid w:val="008F7E86"/>
    <w:rsid w:val="0090008A"/>
    <w:rsid w:val="00900123"/>
    <w:rsid w:val="0090014A"/>
    <w:rsid w:val="0090037B"/>
    <w:rsid w:val="00900477"/>
    <w:rsid w:val="00900497"/>
    <w:rsid w:val="009004BF"/>
    <w:rsid w:val="009005E5"/>
    <w:rsid w:val="0090064F"/>
    <w:rsid w:val="00900661"/>
    <w:rsid w:val="00900768"/>
    <w:rsid w:val="00900A40"/>
    <w:rsid w:val="00900A73"/>
    <w:rsid w:val="00900B74"/>
    <w:rsid w:val="00900CA5"/>
    <w:rsid w:val="00900D65"/>
    <w:rsid w:val="00900E00"/>
    <w:rsid w:val="00900EAC"/>
    <w:rsid w:val="0090101C"/>
    <w:rsid w:val="0090104F"/>
    <w:rsid w:val="0090107F"/>
    <w:rsid w:val="009010F4"/>
    <w:rsid w:val="0090110C"/>
    <w:rsid w:val="00901112"/>
    <w:rsid w:val="00901134"/>
    <w:rsid w:val="00901188"/>
    <w:rsid w:val="009011B3"/>
    <w:rsid w:val="009011BD"/>
    <w:rsid w:val="00901256"/>
    <w:rsid w:val="009012B9"/>
    <w:rsid w:val="0090130F"/>
    <w:rsid w:val="0090151C"/>
    <w:rsid w:val="00901531"/>
    <w:rsid w:val="009015E8"/>
    <w:rsid w:val="00901618"/>
    <w:rsid w:val="00901691"/>
    <w:rsid w:val="009016DC"/>
    <w:rsid w:val="009016DF"/>
    <w:rsid w:val="00901711"/>
    <w:rsid w:val="0090172C"/>
    <w:rsid w:val="009017D9"/>
    <w:rsid w:val="009018D6"/>
    <w:rsid w:val="0090199F"/>
    <w:rsid w:val="00901A4E"/>
    <w:rsid w:val="00901AF7"/>
    <w:rsid w:val="00901B0F"/>
    <w:rsid w:val="00901B37"/>
    <w:rsid w:val="00901B74"/>
    <w:rsid w:val="00901B98"/>
    <w:rsid w:val="00901BDC"/>
    <w:rsid w:val="00901CB4"/>
    <w:rsid w:val="00901D77"/>
    <w:rsid w:val="00901EF3"/>
    <w:rsid w:val="00901EF5"/>
    <w:rsid w:val="00901F5D"/>
    <w:rsid w:val="0090201A"/>
    <w:rsid w:val="00902038"/>
    <w:rsid w:val="009021EA"/>
    <w:rsid w:val="0090223A"/>
    <w:rsid w:val="009023DA"/>
    <w:rsid w:val="00902492"/>
    <w:rsid w:val="0090298D"/>
    <w:rsid w:val="00902992"/>
    <w:rsid w:val="00902A7B"/>
    <w:rsid w:val="00902AAA"/>
    <w:rsid w:val="00902AB2"/>
    <w:rsid w:val="00902AD7"/>
    <w:rsid w:val="00902B84"/>
    <w:rsid w:val="00902C12"/>
    <w:rsid w:val="00902D35"/>
    <w:rsid w:val="00902DAF"/>
    <w:rsid w:val="00902E19"/>
    <w:rsid w:val="00902E36"/>
    <w:rsid w:val="00902F45"/>
    <w:rsid w:val="00902FC4"/>
    <w:rsid w:val="00903044"/>
    <w:rsid w:val="009030BC"/>
    <w:rsid w:val="00903100"/>
    <w:rsid w:val="0090310E"/>
    <w:rsid w:val="00903197"/>
    <w:rsid w:val="00903347"/>
    <w:rsid w:val="00903378"/>
    <w:rsid w:val="009035F5"/>
    <w:rsid w:val="0090372E"/>
    <w:rsid w:val="00903862"/>
    <w:rsid w:val="00903988"/>
    <w:rsid w:val="00903A73"/>
    <w:rsid w:val="00903AEE"/>
    <w:rsid w:val="00903B5F"/>
    <w:rsid w:val="00903BCF"/>
    <w:rsid w:val="00903C73"/>
    <w:rsid w:val="00903CAD"/>
    <w:rsid w:val="00903DFA"/>
    <w:rsid w:val="00903E10"/>
    <w:rsid w:val="00903FDC"/>
    <w:rsid w:val="009041CE"/>
    <w:rsid w:val="009041E0"/>
    <w:rsid w:val="009041EB"/>
    <w:rsid w:val="009042B5"/>
    <w:rsid w:val="00904486"/>
    <w:rsid w:val="00904566"/>
    <w:rsid w:val="009046F7"/>
    <w:rsid w:val="0090474F"/>
    <w:rsid w:val="00904779"/>
    <w:rsid w:val="009047D6"/>
    <w:rsid w:val="00904811"/>
    <w:rsid w:val="0090481B"/>
    <w:rsid w:val="0090481C"/>
    <w:rsid w:val="00904992"/>
    <w:rsid w:val="00904A2A"/>
    <w:rsid w:val="00904A72"/>
    <w:rsid w:val="00904AD9"/>
    <w:rsid w:val="00904B3C"/>
    <w:rsid w:val="00904B7A"/>
    <w:rsid w:val="00904B9D"/>
    <w:rsid w:val="00904BA1"/>
    <w:rsid w:val="00904BAF"/>
    <w:rsid w:val="00904BCD"/>
    <w:rsid w:val="00904C02"/>
    <w:rsid w:val="00904C52"/>
    <w:rsid w:val="00904C9C"/>
    <w:rsid w:val="00904CCC"/>
    <w:rsid w:val="00904CFB"/>
    <w:rsid w:val="00904D73"/>
    <w:rsid w:val="00904D74"/>
    <w:rsid w:val="00904D81"/>
    <w:rsid w:val="00904E39"/>
    <w:rsid w:val="00904EE4"/>
    <w:rsid w:val="00904FCB"/>
    <w:rsid w:val="00905067"/>
    <w:rsid w:val="009050BB"/>
    <w:rsid w:val="009052FA"/>
    <w:rsid w:val="00905333"/>
    <w:rsid w:val="0090533D"/>
    <w:rsid w:val="00905361"/>
    <w:rsid w:val="009053CA"/>
    <w:rsid w:val="0090542A"/>
    <w:rsid w:val="0090546C"/>
    <w:rsid w:val="00905727"/>
    <w:rsid w:val="00905803"/>
    <w:rsid w:val="00905972"/>
    <w:rsid w:val="00905A3D"/>
    <w:rsid w:val="00905A4D"/>
    <w:rsid w:val="00905B68"/>
    <w:rsid w:val="00905BC7"/>
    <w:rsid w:val="00905BF6"/>
    <w:rsid w:val="00905D7E"/>
    <w:rsid w:val="00905D82"/>
    <w:rsid w:val="00905ED6"/>
    <w:rsid w:val="00905F1B"/>
    <w:rsid w:val="00906002"/>
    <w:rsid w:val="0090600B"/>
    <w:rsid w:val="0090608F"/>
    <w:rsid w:val="00906284"/>
    <w:rsid w:val="009062FA"/>
    <w:rsid w:val="009063B7"/>
    <w:rsid w:val="009063FC"/>
    <w:rsid w:val="00906463"/>
    <w:rsid w:val="0090650D"/>
    <w:rsid w:val="0090678D"/>
    <w:rsid w:val="009067CD"/>
    <w:rsid w:val="00906855"/>
    <w:rsid w:val="00906893"/>
    <w:rsid w:val="0090695E"/>
    <w:rsid w:val="00906976"/>
    <w:rsid w:val="009069AC"/>
    <w:rsid w:val="009069F4"/>
    <w:rsid w:val="00906A66"/>
    <w:rsid w:val="00906AB8"/>
    <w:rsid w:val="00906ADA"/>
    <w:rsid w:val="00906B53"/>
    <w:rsid w:val="00906BA6"/>
    <w:rsid w:val="00906BC1"/>
    <w:rsid w:val="00906BF6"/>
    <w:rsid w:val="00906ED9"/>
    <w:rsid w:val="00906EF5"/>
    <w:rsid w:val="00906F26"/>
    <w:rsid w:val="00907115"/>
    <w:rsid w:val="0090736F"/>
    <w:rsid w:val="009074B1"/>
    <w:rsid w:val="009074B2"/>
    <w:rsid w:val="00907548"/>
    <w:rsid w:val="009076E0"/>
    <w:rsid w:val="009076E9"/>
    <w:rsid w:val="00907853"/>
    <w:rsid w:val="009079DE"/>
    <w:rsid w:val="00907A7C"/>
    <w:rsid w:val="00907B0A"/>
    <w:rsid w:val="00907BC0"/>
    <w:rsid w:val="00907BF3"/>
    <w:rsid w:val="00907BFF"/>
    <w:rsid w:val="00907D9C"/>
    <w:rsid w:val="00907DD9"/>
    <w:rsid w:val="0091006C"/>
    <w:rsid w:val="009100A4"/>
    <w:rsid w:val="009100B7"/>
    <w:rsid w:val="0091011E"/>
    <w:rsid w:val="0091021C"/>
    <w:rsid w:val="009102A2"/>
    <w:rsid w:val="00910534"/>
    <w:rsid w:val="0091069C"/>
    <w:rsid w:val="0091096C"/>
    <w:rsid w:val="009109AD"/>
    <w:rsid w:val="009109D1"/>
    <w:rsid w:val="009109F6"/>
    <w:rsid w:val="00910AAC"/>
    <w:rsid w:val="00910B01"/>
    <w:rsid w:val="00910C52"/>
    <w:rsid w:val="00910F3A"/>
    <w:rsid w:val="00910F3F"/>
    <w:rsid w:val="00911004"/>
    <w:rsid w:val="00911036"/>
    <w:rsid w:val="009111B9"/>
    <w:rsid w:val="0091123A"/>
    <w:rsid w:val="00911242"/>
    <w:rsid w:val="0091133D"/>
    <w:rsid w:val="00911390"/>
    <w:rsid w:val="0091141F"/>
    <w:rsid w:val="00911521"/>
    <w:rsid w:val="0091156F"/>
    <w:rsid w:val="0091171F"/>
    <w:rsid w:val="0091178C"/>
    <w:rsid w:val="00911999"/>
    <w:rsid w:val="009119EF"/>
    <w:rsid w:val="00911ACB"/>
    <w:rsid w:val="00911B7E"/>
    <w:rsid w:val="00911BD6"/>
    <w:rsid w:val="00911BD9"/>
    <w:rsid w:val="00911C5A"/>
    <w:rsid w:val="00911C92"/>
    <w:rsid w:val="00911CBC"/>
    <w:rsid w:val="00911DB3"/>
    <w:rsid w:val="00911EC2"/>
    <w:rsid w:val="00912378"/>
    <w:rsid w:val="009123E9"/>
    <w:rsid w:val="0091241B"/>
    <w:rsid w:val="0091248F"/>
    <w:rsid w:val="009124B2"/>
    <w:rsid w:val="009124B4"/>
    <w:rsid w:val="00912534"/>
    <w:rsid w:val="00912576"/>
    <w:rsid w:val="009125C3"/>
    <w:rsid w:val="00912628"/>
    <w:rsid w:val="00912738"/>
    <w:rsid w:val="00912766"/>
    <w:rsid w:val="0091282F"/>
    <w:rsid w:val="0091286E"/>
    <w:rsid w:val="00912873"/>
    <w:rsid w:val="00912969"/>
    <w:rsid w:val="009129D4"/>
    <w:rsid w:val="00912A82"/>
    <w:rsid w:val="00912AB9"/>
    <w:rsid w:val="00912B5C"/>
    <w:rsid w:val="00912C68"/>
    <w:rsid w:val="00912CDE"/>
    <w:rsid w:val="00912D48"/>
    <w:rsid w:val="00912DBF"/>
    <w:rsid w:val="00912EF3"/>
    <w:rsid w:val="00912F13"/>
    <w:rsid w:val="00912F33"/>
    <w:rsid w:val="0091309D"/>
    <w:rsid w:val="009130A3"/>
    <w:rsid w:val="009130C7"/>
    <w:rsid w:val="009130F0"/>
    <w:rsid w:val="00913162"/>
    <w:rsid w:val="00913168"/>
    <w:rsid w:val="009131FA"/>
    <w:rsid w:val="00913268"/>
    <w:rsid w:val="0091338E"/>
    <w:rsid w:val="00913569"/>
    <w:rsid w:val="009135CE"/>
    <w:rsid w:val="00913678"/>
    <w:rsid w:val="009136CD"/>
    <w:rsid w:val="009136FF"/>
    <w:rsid w:val="009138E2"/>
    <w:rsid w:val="00913A72"/>
    <w:rsid w:val="00913B0F"/>
    <w:rsid w:val="00913B6F"/>
    <w:rsid w:val="00913BD1"/>
    <w:rsid w:val="00913CC1"/>
    <w:rsid w:val="00913E7C"/>
    <w:rsid w:val="00913E8A"/>
    <w:rsid w:val="00913FD2"/>
    <w:rsid w:val="00914166"/>
    <w:rsid w:val="00914196"/>
    <w:rsid w:val="0091424C"/>
    <w:rsid w:val="00914276"/>
    <w:rsid w:val="009144EC"/>
    <w:rsid w:val="00914514"/>
    <w:rsid w:val="00914672"/>
    <w:rsid w:val="00914711"/>
    <w:rsid w:val="0091475C"/>
    <w:rsid w:val="009148F8"/>
    <w:rsid w:val="00914924"/>
    <w:rsid w:val="00914991"/>
    <w:rsid w:val="009149F0"/>
    <w:rsid w:val="00914A1A"/>
    <w:rsid w:val="00914B29"/>
    <w:rsid w:val="00914C20"/>
    <w:rsid w:val="00914C51"/>
    <w:rsid w:val="00914E1E"/>
    <w:rsid w:val="00914E7F"/>
    <w:rsid w:val="00914EAC"/>
    <w:rsid w:val="00914EBE"/>
    <w:rsid w:val="00914F07"/>
    <w:rsid w:val="00915016"/>
    <w:rsid w:val="00915027"/>
    <w:rsid w:val="00915051"/>
    <w:rsid w:val="009150E7"/>
    <w:rsid w:val="0091520B"/>
    <w:rsid w:val="00915212"/>
    <w:rsid w:val="00915284"/>
    <w:rsid w:val="009153EF"/>
    <w:rsid w:val="009154EF"/>
    <w:rsid w:val="00915525"/>
    <w:rsid w:val="00915580"/>
    <w:rsid w:val="009156DE"/>
    <w:rsid w:val="00915733"/>
    <w:rsid w:val="009157D1"/>
    <w:rsid w:val="00915931"/>
    <w:rsid w:val="009159EB"/>
    <w:rsid w:val="00915BBA"/>
    <w:rsid w:val="00915BCA"/>
    <w:rsid w:val="00915D75"/>
    <w:rsid w:val="00915DC3"/>
    <w:rsid w:val="00915DFA"/>
    <w:rsid w:val="00915E22"/>
    <w:rsid w:val="00915E92"/>
    <w:rsid w:val="00915EDE"/>
    <w:rsid w:val="00915F01"/>
    <w:rsid w:val="00915F63"/>
    <w:rsid w:val="00915F83"/>
    <w:rsid w:val="00916054"/>
    <w:rsid w:val="009160B1"/>
    <w:rsid w:val="00916112"/>
    <w:rsid w:val="009161F5"/>
    <w:rsid w:val="0091629B"/>
    <w:rsid w:val="009162D8"/>
    <w:rsid w:val="009162F7"/>
    <w:rsid w:val="0091637F"/>
    <w:rsid w:val="0091643D"/>
    <w:rsid w:val="009164AF"/>
    <w:rsid w:val="0091662E"/>
    <w:rsid w:val="0091663F"/>
    <w:rsid w:val="009166D9"/>
    <w:rsid w:val="00916827"/>
    <w:rsid w:val="0091684E"/>
    <w:rsid w:val="0091690C"/>
    <w:rsid w:val="00916977"/>
    <w:rsid w:val="009169F4"/>
    <w:rsid w:val="00916AF0"/>
    <w:rsid w:val="00916B66"/>
    <w:rsid w:val="00916C55"/>
    <w:rsid w:val="00916CB4"/>
    <w:rsid w:val="00916ED3"/>
    <w:rsid w:val="00916FD7"/>
    <w:rsid w:val="00917052"/>
    <w:rsid w:val="0091705C"/>
    <w:rsid w:val="0091718C"/>
    <w:rsid w:val="0091718E"/>
    <w:rsid w:val="009171F0"/>
    <w:rsid w:val="009172A2"/>
    <w:rsid w:val="0091734E"/>
    <w:rsid w:val="009173BD"/>
    <w:rsid w:val="009173C4"/>
    <w:rsid w:val="009173CD"/>
    <w:rsid w:val="009173DB"/>
    <w:rsid w:val="00917417"/>
    <w:rsid w:val="009176A2"/>
    <w:rsid w:val="00917768"/>
    <w:rsid w:val="009177CA"/>
    <w:rsid w:val="0091786B"/>
    <w:rsid w:val="00917887"/>
    <w:rsid w:val="0091792E"/>
    <w:rsid w:val="00917976"/>
    <w:rsid w:val="00917A53"/>
    <w:rsid w:val="00917AC5"/>
    <w:rsid w:val="00917B26"/>
    <w:rsid w:val="00917B87"/>
    <w:rsid w:val="00917BFA"/>
    <w:rsid w:val="00917C07"/>
    <w:rsid w:val="00917C11"/>
    <w:rsid w:val="00917C1A"/>
    <w:rsid w:val="00917C4A"/>
    <w:rsid w:val="00917D6D"/>
    <w:rsid w:val="00917F57"/>
    <w:rsid w:val="00920089"/>
    <w:rsid w:val="00920124"/>
    <w:rsid w:val="00920128"/>
    <w:rsid w:val="00920189"/>
    <w:rsid w:val="009201B0"/>
    <w:rsid w:val="009201D8"/>
    <w:rsid w:val="00920209"/>
    <w:rsid w:val="00920219"/>
    <w:rsid w:val="00920281"/>
    <w:rsid w:val="00920319"/>
    <w:rsid w:val="00920347"/>
    <w:rsid w:val="0092038B"/>
    <w:rsid w:val="00920514"/>
    <w:rsid w:val="00920547"/>
    <w:rsid w:val="009207FA"/>
    <w:rsid w:val="00920C47"/>
    <w:rsid w:val="00920DF0"/>
    <w:rsid w:val="00920E27"/>
    <w:rsid w:val="009211AF"/>
    <w:rsid w:val="0092120E"/>
    <w:rsid w:val="00921244"/>
    <w:rsid w:val="00921255"/>
    <w:rsid w:val="0092126C"/>
    <w:rsid w:val="009212E6"/>
    <w:rsid w:val="00921352"/>
    <w:rsid w:val="0092138F"/>
    <w:rsid w:val="009213C6"/>
    <w:rsid w:val="0092160C"/>
    <w:rsid w:val="009216B3"/>
    <w:rsid w:val="00921731"/>
    <w:rsid w:val="0092177C"/>
    <w:rsid w:val="0092181A"/>
    <w:rsid w:val="0092184E"/>
    <w:rsid w:val="00921886"/>
    <w:rsid w:val="00921888"/>
    <w:rsid w:val="009219B4"/>
    <w:rsid w:val="00921A06"/>
    <w:rsid w:val="00921A71"/>
    <w:rsid w:val="00921AD1"/>
    <w:rsid w:val="00921C00"/>
    <w:rsid w:val="00921C38"/>
    <w:rsid w:val="00921D25"/>
    <w:rsid w:val="00921D55"/>
    <w:rsid w:val="00921FE3"/>
    <w:rsid w:val="00921FE8"/>
    <w:rsid w:val="0092203E"/>
    <w:rsid w:val="0092220D"/>
    <w:rsid w:val="00922260"/>
    <w:rsid w:val="00922302"/>
    <w:rsid w:val="00922340"/>
    <w:rsid w:val="00922349"/>
    <w:rsid w:val="0092247F"/>
    <w:rsid w:val="009226CD"/>
    <w:rsid w:val="00922762"/>
    <w:rsid w:val="009227AC"/>
    <w:rsid w:val="009227EF"/>
    <w:rsid w:val="00922866"/>
    <w:rsid w:val="00922953"/>
    <w:rsid w:val="00922A3A"/>
    <w:rsid w:val="00922C73"/>
    <w:rsid w:val="00922CD9"/>
    <w:rsid w:val="00922E74"/>
    <w:rsid w:val="00922EBD"/>
    <w:rsid w:val="00922ECB"/>
    <w:rsid w:val="00922F28"/>
    <w:rsid w:val="00922F39"/>
    <w:rsid w:val="0092301F"/>
    <w:rsid w:val="009230DE"/>
    <w:rsid w:val="00923115"/>
    <w:rsid w:val="00923292"/>
    <w:rsid w:val="00923397"/>
    <w:rsid w:val="009233A5"/>
    <w:rsid w:val="00923447"/>
    <w:rsid w:val="009234B6"/>
    <w:rsid w:val="009234DA"/>
    <w:rsid w:val="00923509"/>
    <w:rsid w:val="009235C9"/>
    <w:rsid w:val="00923649"/>
    <w:rsid w:val="00923840"/>
    <w:rsid w:val="009239E2"/>
    <w:rsid w:val="00923AB3"/>
    <w:rsid w:val="00923B16"/>
    <w:rsid w:val="00923DD5"/>
    <w:rsid w:val="00923E6A"/>
    <w:rsid w:val="00923F67"/>
    <w:rsid w:val="00924010"/>
    <w:rsid w:val="00924116"/>
    <w:rsid w:val="009241A6"/>
    <w:rsid w:val="009241C1"/>
    <w:rsid w:val="009241FC"/>
    <w:rsid w:val="009243B1"/>
    <w:rsid w:val="009243E8"/>
    <w:rsid w:val="0092441A"/>
    <w:rsid w:val="0092446F"/>
    <w:rsid w:val="009244A3"/>
    <w:rsid w:val="00924552"/>
    <w:rsid w:val="009247EC"/>
    <w:rsid w:val="0092480A"/>
    <w:rsid w:val="00924823"/>
    <w:rsid w:val="00924887"/>
    <w:rsid w:val="0092491C"/>
    <w:rsid w:val="00924A42"/>
    <w:rsid w:val="00924A69"/>
    <w:rsid w:val="00924B67"/>
    <w:rsid w:val="00924CCB"/>
    <w:rsid w:val="00924D45"/>
    <w:rsid w:val="00924DBA"/>
    <w:rsid w:val="00924DEF"/>
    <w:rsid w:val="00924E7A"/>
    <w:rsid w:val="00924F2F"/>
    <w:rsid w:val="00924F89"/>
    <w:rsid w:val="0092508C"/>
    <w:rsid w:val="00925103"/>
    <w:rsid w:val="00925162"/>
    <w:rsid w:val="0092521D"/>
    <w:rsid w:val="009254BD"/>
    <w:rsid w:val="00925590"/>
    <w:rsid w:val="009255A7"/>
    <w:rsid w:val="009255AE"/>
    <w:rsid w:val="009255E0"/>
    <w:rsid w:val="009256D9"/>
    <w:rsid w:val="00925708"/>
    <w:rsid w:val="00925769"/>
    <w:rsid w:val="009257BB"/>
    <w:rsid w:val="009258B6"/>
    <w:rsid w:val="009259B6"/>
    <w:rsid w:val="00925A95"/>
    <w:rsid w:val="00925AD5"/>
    <w:rsid w:val="00925ADF"/>
    <w:rsid w:val="00925B84"/>
    <w:rsid w:val="00925CDD"/>
    <w:rsid w:val="00925CE0"/>
    <w:rsid w:val="00925D3A"/>
    <w:rsid w:val="00925E65"/>
    <w:rsid w:val="00925E84"/>
    <w:rsid w:val="00925F11"/>
    <w:rsid w:val="00926049"/>
    <w:rsid w:val="009260C0"/>
    <w:rsid w:val="009261A8"/>
    <w:rsid w:val="009262AA"/>
    <w:rsid w:val="009262FC"/>
    <w:rsid w:val="00926367"/>
    <w:rsid w:val="009263FE"/>
    <w:rsid w:val="00926412"/>
    <w:rsid w:val="009264E3"/>
    <w:rsid w:val="00926550"/>
    <w:rsid w:val="00926559"/>
    <w:rsid w:val="009265B9"/>
    <w:rsid w:val="00926611"/>
    <w:rsid w:val="00926619"/>
    <w:rsid w:val="00926629"/>
    <w:rsid w:val="009267B7"/>
    <w:rsid w:val="0092685C"/>
    <w:rsid w:val="0092693C"/>
    <w:rsid w:val="00926995"/>
    <w:rsid w:val="009269CB"/>
    <w:rsid w:val="00926A6C"/>
    <w:rsid w:val="00926A89"/>
    <w:rsid w:val="00926B23"/>
    <w:rsid w:val="00926BF7"/>
    <w:rsid w:val="00926D0B"/>
    <w:rsid w:val="00926D44"/>
    <w:rsid w:val="00926DD7"/>
    <w:rsid w:val="00926DDE"/>
    <w:rsid w:val="00926E76"/>
    <w:rsid w:val="00926F03"/>
    <w:rsid w:val="00927095"/>
    <w:rsid w:val="009270DD"/>
    <w:rsid w:val="0092711C"/>
    <w:rsid w:val="00927125"/>
    <w:rsid w:val="0092712D"/>
    <w:rsid w:val="0092727E"/>
    <w:rsid w:val="009273D9"/>
    <w:rsid w:val="0092740A"/>
    <w:rsid w:val="00927498"/>
    <w:rsid w:val="0092764B"/>
    <w:rsid w:val="009276D2"/>
    <w:rsid w:val="009276E5"/>
    <w:rsid w:val="009277C3"/>
    <w:rsid w:val="00927843"/>
    <w:rsid w:val="009278A1"/>
    <w:rsid w:val="009279D8"/>
    <w:rsid w:val="009279E6"/>
    <w:rsid w:val="00927C1B"/>
    <w:rsid w:val="00927C1D"/>
    <w:rsid w:val="00927C52"/>
    <w:rsid w:val="00927D0F"/>
    <w:rsid w:val="00927E45"/>
    <w:rsid w:val="00927E8C"/>
    <w:rsid w:val="00927EEB"/>
    <w:rsid w:val="00927F65"/>
    <w:rsid w:val="00927FFE"/>
    <w:rsid w:val="0093003E"/>
    <w:rsid w:val="00930079"/>
    <w:rsid w:val="009300D7"/>
    <w:rsid w:val="00930102"/>
    <w:rsid w:val="0093013A"/>
    <w:rsid w:val="00930255"/>
    <w:rsid w:val="00930346"/>
    <w:rsid w:val="009305AD"/>
    <w:rsid w:val="009305D9"/>
    <w:rsid w:val="009305E0"/>
    <w:rsid w:val="009307FD"/>
    <w:rsid w:val="00930806"/>
    <w:rsid w:val="00930856"/>
    <w:rsid w:val="00930861"/>
    <w:rsid w:val="009308AB"/>
    <w:rsid w:val="009309F9"/>
    <w:rsid w:val="00930B36"/>
    <w:rsid w:val="00930BCC"/>
    <w:rsid w:val="00930C3C"/>
    <w:rsid w:val="00930CA1"/>
    <w:rsid w:val="00930E01"/>
    <w:rsid w:val="00930E6E"/>
    <w:rsid w:val="00930F55"/>
    <w:rsid w:val="00930FC3"/>
    <w:rsid w:val="00931065"/>
    <w:rsid w:val="009310BA"/>
    <w:rsid w:val="009310E5"/>
    <w:rsid w:val="009310E7"/>
    <w:rsid w:val="009310FA"/>
    <w:rsid w:val="0093111E"/>
    <w:rsid w:val="00931132"/>
    <w:rsid w:val="009311C9"/>
    <w:rsid w:val="00931290"/>
    <w:rsid w:val="009313A8"/>
    <w:rsid w:val="009313F5"/>
    <w:rsid w:val="00931648"/>
    <w:rsid w:val="00931679"/>
    <w:rsid w:val="00931697"/>
    <w:rsid w:val="009316AC"/>
    <w:rsid w:val="009316F7"/>
    <w:rsid w:val="0093173C"/>
    <w:rsid w:val="0093174E"/>
    <w:rsid w:val="00931805"/>
    <w:rsid w:val="00931815"/>
    <w:rsid w:val="009318D8"/>
    <w:rsid w:val="009318ED"/>
    <w:rsid w:val="00931912"/>
    <w:rsid w:val="00931936"/>
    <w:rsid w:val="0093197E"/>
    <w:rsid w:val="00931A28"/>
    <w:rsid w:val="00931A6A"/>
    <w:rsid w:val="00931A6B"/>
    <w:rsid w:val="00931B35"/>
    <w:rsid w:val="00931B74"/>
    <w:rsid w:val="00931CDC"/>
    <w:rsid w:val="00931D6F"/>
    <w:rsid w:val="00931D86"/>
    <w:rsid w:val="00931E04"/>
    <w:rsid w:val="00931E36"/>
    <w:rsid w:val="00931F5D"/>
    <w:rsid w:val="00931FA0"/>
    <w:rsid w:val="00931FDA"/>
    <w:rsid w:val="00931FFE"/>
    <w:rsid w:val="00932056"/>
    <w:rsid w:val="0093205D"/>
    <w:rsid w:val="009320FB"/>
    <w:rsid w:val="0093214A"/>
    <w:rsid w:val="009321EB"/>
    <w:rsid w:val="0093223E"/>
    <w:rsid w:val="0093259E"/>
    <w:rsid w:val="00932639"/>
    <w:rsid w:val="009327FD"/>
    <w:rsid w:val="009328D1"/>
    <w:rsid w:val="00932A96"/>
    <w:rsid w:val="00932B8C"/>
    <w:rsid w:val="00932E55"/>
    <w:rsid w:val="00932E5B"/>
    <w:rsid w:val="00932FDE"/>
    <w:rsid w:val="0093310F"/>
    <w:rsid w:val="00933152"/>
    <w:rsid w:val="009331E1"/>
    <w:rsid w:val="00933230"/>
    <w:rsid w:val="00933274"/>
    <w:rsid w:val="009332AA"/>
    <w:rsid w:val="009332CE"/>
    <w:rsid w:val="00933308"/>
    <w:rsid w:val="00933439"/>
    <w:rsid w:val="009334AD"/>
    <w:rsid w:val="00933738"/>
    <w:rsid w:val="00933830"/>
    <w:rsid w:val="00933850"/>
    <w:rsid w:val="0093388C"/>
    <w:rsid w:val="00933AF2"/>
    <w:rsid w:val="00933B4E"/>
    <w:rsid w:val="00933BA2"/>
    <w:rsid w:val="00933D3E"/>
    <w:rsid w:val="00933E26"/>
    <w:rsid w:val="00933F79"/>
    <w:rsid w:val="00933FA7"/>
    <w:rsid w:val="00934038"/>
    <w:rsid w:val="0093415C"/>
    <w:rsid w:val="0093419E"/>
    <w:rsid w:val="0093423A"/>
    <w:rsid w:val="009342A9"/>
    <w:rsid w:val="00934328"/>
    <w:rsid w:val="0093433E"/>
    <w:rsid w:val="0093436C"/>
    <w:rsid w:val="00934386"/>
    <w:rsid w:val="009343F3"/>
    <w:rsid w:val="009345DD"/>
    <w:rsid w:val="00934638"/>
    <w:rsid w:val="00934769"/>
    <w:rsid w:val="009347FF"/>
    <w:rsid w:val="0093487C"/>
    <w:rsid w:val="00934931"/>
    <w:rsid w:val="00934988"/>
    <w:rsid w:val="00934D34"/>
    <w:rsid w:val="00934D79"/>
    <w:rsid w:val="00934E8D"/>
    <w:rsid w:val="00934E90"/>
    <w:rsid w:val="00934ED3"/>
    <w:rsid w:val="00934EFF"/>
    <w:rsid w:val="00934F13"/>
    <w:rsid w:val="00935014"/>
    <w:rsid w:val="0093501F"/>
    <w:rsid w:val="00935076"/>
    <w:rsid w:val="00935143"/>
    <w:rsid w:val="00935174"/>
    <w:rsid w:val="00935391"/>
    <w:rsid w:val="0093544A"/>
    <w:rsid w:val="00935464"/>
    <w:rsid w:val="009354DB"/>
    <w:rsid w:val="00935550"/>
    <w:rsid w:val="009355C6"/>
    <w:rsid w:val="009356D6"/>
    <w:rsid w:val="00935716"/>
    <w:rsid w:val="0093579E"/>
    <w:rsid w:val="0093598C"/>
    <w:rsid w:val="00935A1C"/>
    <w:rsid w:val="00935AC9"/>
    <w:rsid w:val="00935B15"/>
    <w:rsid w:val="00935B3C"/>
    <w:rsid w:val="00935C14"/>
    <w:rsid w:val="00935CA2"/>
    <w:rsid w:val="00935CA7"/>
    <w:rsid w:val="00935D12"/>
    <w:rsid w:val="00935EBA"/>
    <w:rsid w:val="00935F6D"/>
    <w:rsid w:val="00935FE9"/>
    <w:rsid w:val="0093606D"/>
    <w:rsid w:val="00936117"/>
    <w:rsid w:val="0093611A"/>
    <w:rsid w:val="00936156"/>
    <w:rsid w:val="00936216"/>
    <w:rsid w:val="00936227"/>
    <w:rsid w:val="00936292"/>
    <w:rsid w:val="00936298"/>
    <w:rsid w:val="009362C0"/>
    <w:rsid w:val="009363DA"/>
    <w:rsid w:val="00936401"/>
    <w:rsid w:val="00936552"/>
    <w:rsid w:val="00936633"/>
    <w:rsid w:val="0093664F"/>
    <w:rsid w:val="009366EB"/>
    <w:rsid w:val="00936745"/>
    <w:rsid w:val="0093683F"/>
    <w:rsid w:val="00936883"/>
    <w:rsid w:val="00936B52"/>
    <w:rsid w:val="00936C5C"/>
    <w:rsid w:val="00936F1A"/>
    <w:rsid w:val="00936F22"/>
    <w:rsid w:val="00936F2B"/>
    <w:rsid w:val="00936F30"/>
    <w:rsid w:val="0093717D"/>
    <w:rsid w:val="0093717F"/>
    <w:rsid w:val="009372FF"/>
    <w:rsid w:val="0093736E"/>
    <w:rsid w:val="00937389"/>
    <w:rsid w:val="00937406"/>
    <w:rsid w:val="00937428"/>
    <w:rsid w:val="0093753E"/>
    <w:rsid w:val="00937540"/>
    <w:rsid w:val="0093759F"/>
    <w:rsid w:val="00937636"/>
    <w:rsid w:val="0093768A"/>
    <w:rsid w:val="00937709"/>
    <w:rsid w:val="009379CE"/>
    <w:rsid w:val="009379D3"/>
    <w:rsid w:val="00937A62"/>
    <w:rsid w:val="00937AB0"/>
    <w:rsid w:val="00937B0A"/>
    <w:rsid w:val="00937B20"/>
    <w:rsid w:val="00937B78"/>
    <w:rsid w:val="00937B90"/>
    <w:rsid w:val="00937CA4"/>
    <w:rsid w:val="00937D2A"/>
    <w:rsid w:val="00937D3F"/>
    <w:rsid w:val="00937D55"/>
    <w:rsid w:val="00937D74"/>
    <w:rsid w:val="00937D78"/>
    <w:rsid w:val="00937E5D"/>
    <w:rsid w:val="00937F41"/>
    <w:rsid w:val="00937FC9"/>
    <w:rsid w:val="00940001"/>
    <w:rsid w:val="009400F7"/>
    <w:rsid w:val="0094010B"/>
    <w:rsid w:val="00940123"/>
    <w:rsid w:val="00940161"/>
    <w:rsid w:val="00940189"/>
    <w:rsid w:val="009401B1"/>
    <w:rsid w:val="00940267"/>
    <w:rsid w:val="009402B7"/>
    <w:rsid w:val="00940322"/>
    <w:rsid w:val="00940341"/>
    <w:rsid w:val="00940358"/>
    <w:rsid w:val="00940369"/>
    <w:rsid w:val="009404E3"/>
    <w:rsid w:val="009404F5"/>
    <w:rsid w:val="0094063B"/>
    <w:rsid w:val="009406D4"/>
    <w:rsid w:val="00940710"/>
    <w:rsid w:val="00940798"/>
    <w:rsid w:val="009407C7"/>
    <w:rsid w:val="00940889"/>
    <w:rsid w:val="00940906"/>
    <w:rsid w:val="0094099C"/>
    <w:rsid w:val="009409F7"/>
    <w:rsid w:val="00940BA9"/>
    <w:rsid w:val="00940BE5"/>
    <w:rsid w:val="00940C95"/>
    <w:rsid w:val="00940DD8"/>
    <w:rsid w:val="00940E50"/>
    <w:rsid w:val="00940F10"/>
    <w:rsid w:val="00940FEC"/>
    <w:rsid w:val="0094106A"/>
    <w:rsid w:val="009412BE"/>
    <w:rsid w:val="0094136B"/>
    <w:rsid w:val="00941390"/>
    <w:rsid w:val="0094146D"/>
    <w:rsid w:val="0094152B"/>
    <w:rsid w:val="00941596"/>
    <w:rsid w:val="0094164C"/>
    <w:rsid w:val="0094166E"/>
    <w:rsid w:val="009416EA"/>
    <w:rsid w:val="0094185D"/>
    <w:rsid w:val="009418B8"/>
    <w:rsid w:val="009418E0"/>
    <w:rsid w:val="00941972"/>
    <w:rsid w:val="00941988"/>
    <w:rsid w:val="009419A6"/>
    <w:rsid w:val="009419C7"/>
    <w:rsid w:val="00941A61"/>
    <w:rsid w:val="00941CB3"/>
    <w:rsid w:val="00941CC9"/>
    <w:rsid w:val="00941D80"/>
    <w:rsid w:val="00941DDB"/>
    <w:rsid w:val="00941E21"/>
    <w:rsid w:val="00941EA6"/>
    <w:rsid w:val="00941F8B"/>
    <w:rsid w:val="00941FCF"/>
    <w:rsid w:val="0094202D"/>
    <w:rsid w:val="009420D3"/>
    <w:rsid w:val="00942136"/>
    <w:rsid w:val="0094222D"/>
    <w:rsid w:val="0094224E"/>
    <w:rsid w:val="00942308"/>
    <w:rsid w:val="0094243D"/>
    <w:rsid w:val="009425A4"/>
    <w:rsid w:val="009427BA"/>
    <w:rsid w:val="009427C2"/>
    <w:rsid w:val="00942820"/>
    <w:rsid w:val="0094282E"/>
    <w:rsid w:val="009428F3"/>
    <w:rsid w:val="00942935"/>
    <w:rsid w:val="00942984"/>
    <w:rsid w:val="009429A1"/>
    <w:rsid w:val="009429DB"/>
    <w:rsid w:val="00942A0B"/>
    <w:rsid w:val="00942A66"/>
    <w:rsid w:val="00942A78"/>
    <w:rsid w:val="00942A95"/>
    <w:rsid w:val="00942AEA"/>
    <w:rsid w:val="00942B48"/>
    <w:rsid w:val="00942B83"/>
    <w:rsid w:val="00942C5E"/>
    <w:rsid w:val="00942CBD"/>
    <w:rsid w:val="00942DE8"/>
    <w:rsid w:val="0094300C"/>
    <w:rsid w:val="00943058"/>
    <w:rsid w:val="00943186"/>
    <w:rsid w:val="009434E3"/>
    <w:rsid w:val="0094353B"/>
    <w:rsid w:val="009435C5"/>
    <w:rsid w:val="00943675"/>
    <w:rsid w:val="0094372D"/>
    <w:rsid w:val="009437F7"/>
    <w:rsid w:val="009438E2"/>
    <w:rsid w:val="009439E1"/>
    <w:rsid w:val="00943A07"/>
    <w:rsid w:val="00943B3E"/>
    <w:rsid w:val="00943C3F"/>
    <w:rsid w:val="00943C5E"/>
    <w:rsid w:val="00943C79"/>
    <w:rsid w:val="00943CCA"/>
    <w:rsid w:val="00943D21"/>
    <w:rsid w:val="00943E66"/>
    <w:rsid w:val="00943EB1"/>
    <w:rsid w:val="00943FEE"/>
    <w:rsid w:val="00944137"/>
    <w:rsid w:val="009441E9"/>
    <w:rsid w:val="009444E8"/>
    <w:rsid w:val="00944530"/>
    <w:rsid w:val="0094457C"/>
    <w:rsid w:val="00944594"/>
    <w:rsid w:val="00944638"/>
    <w:rsid w:val="009446C6"/>
    <w:rsid w:val="00944866"/>
    <w:rsid w:val="00944AAE"/>
    <w:rsid w:val="00944B6F"/>
    <w:rsid w:val="00944C4A"/>
    <w:rsid w:val="00944C77"/>
    <w:rsid w:val="00944C9B"/>
    <w:rsid w:val="00944DC4"/>
    <w:rsid w:val="00944EFD"/>
    <w:rsid w:val="00945148"/>
    <w:rsid w:val="0094514F"/>
    <w:rsid w:val="00945151"/>
    <w:rsid w:val="009451A7"/>
    <w:rsid w:val="00945222"/>
    <w:rsid w:val="009452D6"/>
    <w:rsid w:val="009453A8"/>
    <w:rsid w:val="009453FB"/>
    <w:rsid w:val="009454EE"/>
    <w:rsid w:val="00945541"/>
    <w:rsid w:val="009455AB"/>
    <w:rsid w:val="009455C8"/>
    <w:rsid w:val="009456EE"/>
    <w:rsid w:val="0094575F"/>
    <w:rsid w:val="009457D5"/>
    <w:rsid w:val="009459E9"/>
    <w:rsid w:val="00945A5E"/>
    <w:rsid w:val="00945AC0"/>
    <w:rsid w:val="00945AE8"/>
    <w:rsid w:val="00945B24"/>
    <w:rsid w:val="00945B66"/>
    <w:rsid w:val="00945B91"/>
    <w:rsid w:val="00945C5A"/>
    <w:rsid w:val="00945D92"/>
    <w:rsid w:val="00945DCB"/>
    <w:rsid w:val="00945EAB"/>
    <w:rsid w:val="00945F1B"/>
    <w:rsid w:val="00945FAC"/>
    <w:rsid w:val="009460BD"/>
    <w:rsid w:val="009463DB"/>
    <w:rsid w:val="00946421"/>
    <w:rsid w:val="00946451"/>
    <w:rsid w:val="009465EC"/>
    <w:rsid w:val="00946684"/>
    <w:rsid w:val="009466C1"/>
    <w:rsid w:val="00946716"/>
    <w:rsid w:val="00946815"/>
    <w:rsid w:val="009468CB"/>
    <w:rsid w:val="00946938"/>
    <w:rsid w:val="00946957"/>
    <w:rsid w:val="00946B3C"/>
    <w:rsid w:val="00946C25"/>
    <w:rsid w:val="00946CA8"/>
    <w:rsid w:val="00946D40"/>
    <w:rsid w:val="00946D8D"/>
    <w:rsid w:val="00946F91"/>
    <w:rsid w:val="00946FDC"/>
    <w:rsid w:val="00947140"/>
    <w:rsid w:val="00947155"/>
    <w:rsid w:val="009471F9"/>
    <w:rsid w:val="00947450"/>
    <w:rsid w:val="00947466"/>
    <w:rsid w:val="00947467"/>
    <w:rsid w:val="00947595"/>
    <w:rsid w:val="0094761A"/>
    <w:rsid w:val="0094778F"/>
    <w:rsid w:val="00947888"/>
    <w:rsid w:val="009478E6"/>
    <w:rsid w:val="0094790E"/>
    <w:rsid w:val="00947A21"/>
    <w:rsid w:val="00947B3A"/>
    <w:rsid w:val="00947B80"/>
    <w:rsid w:val="00947BDF"/>
    <w:rsid w:val="00947CAE"/>
    <w:rsid w:val="00947DC8"/>
    <w:rsid w:val="00947ED6"/>
    <w:rsid w:val="00947EF2"/>
    <w:rsid w:val="00947FBC"/>
    <w:rsid w:val="009500B2"/>
    <w:rsid w:val="00950153"/>
    <w:rsid w:val="00950161"/>
    <w:rsid w:val="00950203"/>
    <w:rsid w:val="00950217"/>
    <w:rsid w:val="00950278"/>
    <w:rsid w:val="009502C2"/>
    <w:rsid w:val="009502F1"/>
    <w:rsid w:val="00950410"/>
    <w:rsid w:val="0095048A"/>
    <w:rsid w:val="00950496"/>
    <w:rsid w:val="009505F7"/>
    <w:rsid w:val="0095061B"/>
    <w:rsid w:val="0095061C"/>
    <w:rsid w:val="009506E7"/>
    <w:rsid w:val="00950770"/>
    <w:rsid w:val="0095095A"/>
    <w:rsid w:val="009509DB"/>
    <w:rsid w:val="00950A4D"/>
    <w:rsid w:val="00950B7E"/>
    <w:rsid w:val="00950C01"/>
    <w:rsid w:val="00950DED"/>
    <w:rsid w:val="00950DFF"/>
    <w:rsid w:val="00950E7C"/>
    <w:rsid w:val="00951235"/>
    <w:rsid w:val="00951361"/>
    <w:rsid w:val="009513B4"/>
    <w:rsid w:val="009513ED"/>
    <w:rsid w:val="00951488"/>
    <w:rsid w:val="009514EF"/>
    <w:rsid w:val="009516E6"/>
    <w:rsid w:val="00951800"/>
    <w:rsid w:val="00951851"/>
    <w:rsid w:val="0095187E"/>
    <w:rsid w:val="00951BFA"/>
    <w:rsid w:val="00951D39"/>
    <w:rsid w:val="00951D6F"/>
    <w:rsid w:val="00951E49"/>
    <w:rsid w:val="00951E60"/>
    <w:rsid w:val="00951EC4"/>
    <w:rsid w:val="00951EEF"/>
    <w:rsid w:val="00951F57"/>
    <w:rsid w:val="00951F5A"/>
    <w:rsid w:val="00951F5D"/>
    <w:rsid w:val="00951FE5"/>
    <w:rsid w:val="0095214D"/>
    <w:rsid w:val="00952210"/>
    <w:rsid w:val="009522DD"/>
    <w:rsid w:val="00952348"/>
    <w:rsid w:val="00952357"/>
    <w:rsid w:val="00952371"/>
    <w:rsid w:val="009523C7"/>
    <w:rsid w:val="00952450"/>
    <w:rsid w:val="009524ED"/>
    <w:rsid w:val="00952504"/>
    <w:rsid w:val="00952630"/>
    <w:rsid w:val="00952639"/>
    <w:rsid w:val="0095263B"/>
    <w:rsid w:val="00952668"/>
    <w:rsid w:val="00952764"/>
    <w:rsid w:val="009529B4"/>
    <w:rsid w:val="00952A5A"/>
    <w:rsid w:val="00952A74"/>
    <w:rsid w:val="00952B98"/>
    <w:rsid w:val="00952BB3"/>
    <w:rsid w:val="00952BEF"/>
    <w:rsid w:val="00952C42"/>
    <w:rsid w:val="00952CFD"/>
    <w:rsid w:val="00952D26"/>
    <w:rsid w:val="00953057"/>
    <w:rsid w:val="00953064"/>
    <w:rsid w:val="0095308D"/>
    <w:rsid w:val="009530AC"/>
    <w:rsid w:val="0095329C"/>
    <w:rsid w:val="009532C4"/>
    <w:rsid w:val="009532E8"/>
    <w:rsid w:val="00953388"/>
    <w:rsid w:val="009533C3"/>
    <w:rsid w:val="009535CA"/>
    <w:rsid w:val="009535D7"/>
    <w:rsid w:val="00953629"/>
    <w:rsid w:val="00953634"/>
    <w:rsid w:val="009536D9"/>
    <w:rsid w:val="00953723"/>
    <w:rsid w:val="00953795"/>
    <w:rsid w:val="009537BA"/>
    <w:rsid w:val="009537F6"/>
    <w:rsid w:val="0095386A"/>
    <w:rsid w:val="009538AE"/>
    <w:rsid w:val="0095393D"/>
    <w:rsid w:val="00953B11"/>
    <w:rsid w:val="00953B83"/>
    <w:rsid w:val="00953BB3"/>
    <w:rsid w:val="00953C68"/>
    <w:rsid w:val="00953CBF"/>
    <w:rsid w:val="00953D3E"/>
    <w:rsid w:val="00953D5D"/>
    <w:rsid w:val="00953D9F"/>
    <w:rsid w:val="00953DA7"/>
    <w:rsid w:val="00953E0F"/>
    <w:rsid w:val="00953EE0"/>
    <w:rsid w:val="00953FF5"/>
    <w:rsid w:val="00954076"/>
    <w:rsid w:val="009540BA"/>
    <w:rsid w:val="009541E5"/>
    <w:rsid w:val="00954315"/>
    <w:rsid w:val="009543B0"/>
    <w:rsid w:val="0095442F"/>
    <w:rsid w:val="009544C5"/>
    <w:rsid w:val="0095468B"/>
    <w:rsid w:val="009546DB"/>
    <w:rsid w:val="00954730"/>
    <w:rsid w:val="00954748"/>
    <w:rsid w:val="0095475E"/>
    <w:rsid w:val="00954763"/>
    <w:rsid w:val="00954804"/>
    <w:rsid w:val="0095480A"/>
    <w:rsid w:val="00954874"/>
    <w:rsid w:val="00954A79"/>
    <w:rsid w:val="00954AA9"/>
    <w:rsid w:val="00954B8A"/>
    <w:rsid w:val="00954B8B"/>
    <w:rsid w:val="00954BA5"/>
    <w:rsid w:val="00954C13"/>
    <w:rsid w:val="00954C60"/>
    <w:rsid w:val="00954DDF"/>
    <w:rsid w:val="00955071"/>
    <w:rsid w:val="009550A2"/>
    <w:rsid w:val="0095522A"/>
    <w:rsid w:val="009554BB"/>
    <w:rsid w:val="009554F3"/>
    <w:rsid w:val="009555F1"/>
    <w:rsid w:val="0095569F"/>
    <w:rsid w:val="009556AC"/>
    <w:rsid w:val="0095572D"/>
    <w:rsid w:val="009557F0"/>
    <w:rsid w:val="0095580B"/>
    <w:rsid w:val="009558CB"/>
    <w:rsid w:val="00955916"/>
    <w:rsid w:val="00955A10"/>
    <w:rsid w:val="00955A46"/>
    <w:rsid w:val="00955B07"/>
    <w:rsid w:val="00955B32"/>
    <w:rsid w:val="00955BB6"/>
    <w:rsid w:val="00955CA6"/>
    <w:rsid w:val="00955D31"/>
    <w:rsid w:val="00955DB5"/>
    <w:rsid w:val="00955E09"/>
    <w:rsid w:val="00955F3D"/>
    <w:rsid w:val="00955F59"/>
    <w:rsid w:val="0095605E"/>
    <w:rsid w:val="0095614E"/>
    <w:rsid w:val="00956231"/>
    <w:rsid w:val="00956264"/>
    <w:rsid w:val="00956273"/>
    <w:rsid w:val="009562AE"/>
    <w:rsid w:val="009564C5"/>
    <w:rsid w:val="009564CC"/>
    <w:rsid w:val="0095657F"/>
    <w:rsid w:val="009565BB"/>
    <w:rsid w:val="009565ED"/>
    <w:rsid w:val="009566CF"/>
    <w:rsid w:val="00956802"/>
    <w:rsid w:val="00956871"/>
    <w:rsid w:val="009568AC"/>
    <w:rsid w:val="009568DD"/>
    <w:rsid w:val="009569FE"/>
    <w:rsid w:val="00956A20"/>
    <w:rsid w:val="00956A78"/>
    <w:rsid w:val="00956A90"/>
    <w:rsid w:val="00956B68"/>
    <w:rsid w:val="00956B7E"/>
    <w:rsid w:val="00956BD0"/>
    <w:rsid w:val="00956D55"/>
    <w:rsid w:val="00956E1F"/>
    <w:rsid w:val="00956E2A"/>
    <w:rsid w:val="00956E97"/>
    <w:rsid w:val="00956EC9"/>
    <w:rsid w:val="00956EDE"/>
    <w:rsid w:val="00956F92"/>
    <w:rsid w:val="00957015"/>
    <w:rsid w:val="0095702A"/>
    <w:rsid w:val="00957119"/>
    <w:rsid w:val="00957130"/>
    <w:rsid w:val="0095717F"/>
    <w:rsid w:val="009571A6"/>
    <w:rsid w:val="00957232"/>
    <w:rsid w:val="0095723A"/>
    <w:rsid w:val="009572DC"/>
    <w:rsid w:val="00957506"/>
    <w:rsid w:val="00957514"/>
    <w:rsid w:val="00957534"/>
    <w:rsid w:val="00957654"/>
    <w:rsid w:val="009576FA"/>
    <w:rsid w:val="009577A9"/>
    <w:rsid w:val="009577E8"/>
    <w:rsid w:val="009579EE"/>
    <w:rsid w:val="009579F9"/>
    <w:rsid w:val="009579FB"/>
    <w:rsid w:val="00957A3B"/>
    <w:rsid w:val="00957A48"/>
    <w:rsid w:val="00957A68"/>
    <w:rsid w:val="00957ABD"/>
    <w:rsid w:val="00957AD6"/>
    <w:rsid w:val="00957CAE"/>
    <w:rsid w:val="00957D4F"/>
    <w:rsid w:val="00957E9F"/>
    <w:rsid w:val="00957F11"/>
    <w:rsid w:val="00957FB4"/>
    <w:rsid w:val="00960078"/>
    <w:rsid w:val="0096009D"/>
    <w:rsid w:val="009600D0"/>
    <w:rsid w:val="0096010C"/>
    <w:rsid w:val="0096019F"/>
    <w:rsid w:val="009601BB"/>
    <w:rsid w:val="009601D4"/>
    <w:rsid w:val="009602C0"/>
    <w:rsid w:val="009603C2"/>
    <w:rsid w:val="0096055B"/>
    <w:rsid w:val="009605DB"/>
    <w:rsid w:val="00960604"/>
    <w:rsid w:val="0096076E"/>
    <w:rsid w:val="009607AF"/>
    <w:rsid w:val="00960908"/>
    <w:rsid w:val="009609CA"/>
    <w:rsid w:val="009609DE"/>
    <w:rsid w:val="00960A93"/>
    <w:rsid w:val="00960ABD"/>
    <w:rsid w:val="00960B59"/>
    <w:rsid w:val="00960C0E"/>
    <w:rsid w:val="00960C8D"/>
    <w:rsid w:val="00960CEA"/>
    <w:rsid w:val="00960EB0"/>
    <w:rsid w:val="00960EED"/>
    <w:rsid w:val="00960EF2"/>
    <w:rsid w:val="00960F0F"/>
    <w:rsid w:val="00960F55"/>
    <w:rsid w:val="00960F64"/>
    <w:rsid w:val="00960FE9"/>
    <w:rsid w:val="00961026"/>
    <w:rsid w:val="00961139"/>
    <w:rsid w:val="009611C0"/>
    <w:rsid w:val="009611EF"/>
    <w:rsid w:val="009613B2"/>
    <w:rsid w:val="0096142C"/>
    <w:rsid w:val="009614AA"/>
    <w:rsid w:val="009614C0"/>
    <w:rsid w:val="00961554"/>
    <w:rsid w:val="009615BD"/>
    <w:rsid w:val="009616E9"/>
    <w:rsid w:val="00961703"/>
    <w:rsid w:val="00961936"/>
    <w:rsid w:val="00961937"/>
    <w:rsid w:val="00961957"/>
    <w:rsid w:val="00961B18"/>
    <w:rsid w:val="00961B8D"/>
    <w:rsid w:val="00961C38"/>
    <w:rsid w:val="00961C7D"/>
    <w:rsid w:val="00961EC8"/>
    <w:rsid w:val="00961F06"/>
    <w:rsid w:val="00961F1E"/>
    <w:rsid w:val="009620DC"/>
    <w:rsid w:val="0096213B"/>
    <w:rsid w:val="0096216F"/>
    <w:rsid w:val="009621F2"/>
    <w:rsid w:val="0096226D"/>
    <w:rsid w:val="009622A1"/>
    <w:rsid w:val="00962308"/>
    <w:rsid w:val="00962417"/>
    <w:rsid w:val="00962421"/>
    <w:rsid w:val="00962464"/>
    <w:rsid w:val="00962488"/>
    <w:rsid w:val="009624BD"/>
    <w:rsid w:val="009624DA"/>
    <w:rsid w:val="00962542"/>
    <w:rsid w:val="0096289D"/>
    <w:rsid w:val="0096295D"/>
    <w:rsid w:val="0096297C"/>
    <w:rsid w:val="00962A6A"/>
    <w:rsid w:val="00962B24"/>
    <w:rsid w:val="00962B2D"/>
    <w:rsid w:val="00962B3C"/>
    <w:rsid w:val="00962BA4"/>
    <w:rsid w:val="00962BDC"/>
    <w:rsid w:val="00963008"/>
    <w:rsid w:val="00963026"/>
    <w:rsid w:val="0096315E"/>
    <w:rsid w:val="00963197"/>
    <w:rsid w:val="009633DE"/>
    <w:rsid w:val="00963497"/>
    <w:rsid w:val="009634D8"/>
    <w:rsid w:val="009634FE"/>
    <w:rsid w:val="009635D1"/>
    <w:rsid w:val="0096364D"/>
    <w:rsid w:val="0096365C"/>
    <w:rsid w:val="0096376F"/>
    <w:rsid w:val="00963773"/>
    <w:rsid w:val="00963837"/>
    <w:rsid w:val="0096385D"/>
    <w:rsid w:val="009638D5"/>
    <w:rsid w:val="00963902"/>
    <w:rsid w:val="009639D1"/>
    <w:rsid w:val="00963A32"/>
    <w:rsid w:val="00963A5E"/>
    <w:rsid w:val="00963B12"/>
    <w:rsid w:val="00963B48"/>
    <w:rsid w:val="00963D61"/>
    <w:rsid w:val="00963ED4"/>
    <w:rsid w:val="00963F0D"/>
    <w:rsid w:val="00963FE1"/>
    <w:rsid w:val="00964007"/>
    <w:rsid w:val="0096402B"/>
    <w:rsid w:val="00964095"/>
    <w:rsid w:val="009640CC"/>
    <w:rsid w:val="009640F4"/>
    <w:rsid w:val="00964220"/>
    <w:rsid w:val="00964278"/>
    <w:rsid w:val="009642B9"/>
    <w:rsid w:val="009643CC"/>
    <w:rsid w:val="00964429"/>
    <w:rsid w:val="00964437"/>
    <w:rsid w:val="0096443D"/>
    <w:rsid w:val="0096450D"/>
    <w:rsid w:val="0096452D"/>
    <w:rsid w:val="00964785"/>
    <w:rsid w:val="009647BB"/>
    <w:rsid w:val="009647C5"/>
    <w:rsid w:val="00964928"/>
    <w:rsid w:val="00964AD8"/>
    <w:rsid w:val="00964B44"/>
    <w:rsid w:val="00964B8A"/>
    <w:rsid w:val="00964B8F"/>
    <w:rsid w:val="00964BB5"/>
    <w:rsid w:val="00964BEC"/>
    <w:rsid w:val="00964D7D"/>
    <w:rsid w:val="00964DE5"/>
    <w:rsid w:val="00964E30"/>
    <w:rsid w:val="00965135"/>
    <w:rsid w:val="00965142"/>
    <w:rsid w:val="0096519B"/>
    <w:rsid w:val="009651A5"/>
    <w:rsid w:val="00965235"/>
    <w:rsid w:val="009653B2"/>
    <w:rsid w:val="009653F7"/>
    <w:rsid w:val="00965569"/>
    <w:rsid w:val="009655AE"/>
    <w:rsid w:val="0096573C"/>
    <w:rsid w:val="009657EB"/>
    <w:rsid w:val="0096586D"/>
    <w:rsid w:val="00965911"/>
    <w:rsid w:val="009659E5"/>
    <w:rsid w:val="00965A39"/>
    <w:rsid w:val="00965A51"/>
    <w:rsid w:val="00965AAD"/>
    <w:rsid w:val="00965AC5"/>
    <w:rsid w:val="00965B30"/>
    <w:rsid w:val="00965B9F"/>
    <w:rsid w:val="00965BDA"/>
    <w:rsid w:val="00965BF7"/>
    <w:rsid w:val="00965D2B"/>
    <w:rsid w:val="009660E9"/>
    <w:rsid w:val="009661BB"/>
    <w:rsid w:val="00966258"/>
    <w:rsid w:val="009663F8"/>
    <w:rsid w:val="00966425"/>
    <w:rsid w:val="00966520"/>
    <w:rsid w:val="00966562"/>
    <w:rsid w:val="00966587"/>
    <w:rsid w:val="009665C4"/>
    <w:rsid w:val="00966631"/>
    <w:rsid w:val="0096666E"/>
    <w:rsid w:val="00966673"/>
    <w:rsid w:val="00966731"/>
    <w:rsid w:val="00966776"/>
    <w:rsid w:val="00966813"/>
    <w:rsid w:val="009668DF"/>
    <w:rsid w:val="00966B89"/>
    <w:rsid w:val="00966BF4"/>
    <w:rsid w:val="00966C35"/>
    <w:rsid w:val="00966C46"/>
    <w:rsid w:val="00966C8C"/>
    <w:rsid w:val="00966CFF"/>
    <w:rsid w:val="00966D29"/>
    <w:rsid w:val="00966E2D"/>
    <w:rsid w:val="00966ED6"/>
    <w:rsid w:val="00966F4F"/>
    <w:rsid w:val="00967091"/>
    <w:rsid w:val="00967097"/>
    <w:rsid w:val="009670CA"/>
    <w:rsid w:val="0096726A"/>
    <w:rsid w:val="00967280"/>
    <w:rsid w:val="009672B9"/>
    <w:rsid w:val="009672F5"/>
    <w:rsid w:val="00967450"/>
    <w:rsid w:val="009674D3"/>
    <w:rsid w:val="00967572"/>
    <w:rsid w:val="0096757E"/>
    <w:rsid w:val="00967658"/>
    <w:rsid w:val="009676F2"/>
    <w:rsid w:val="009676FF"/>
    <w:rsid w:val="00967779"/>
    <w:rsid w:val="009677E0"/>
    <w:rsid w:val="009678C4"/>
    <w:rsid w:val="00967915"/>
    <w:rsid w:val="0096799F"/>
    <w:rsid w:val="00967A50"/>
    <w:rsid w:val="00967AE3"/>
    <w:rsid w:val="00967B78"/>
    <w:rsid w:val="00967C19"/>
    <w:rsid w:val="00967C48"/>
    <w:rsid w:val="00967D41"/>
    <w:rsid w:val="00967E96"/>
    <w:rsid w:val="00967FCF"/>
    <w:rsid w:val="0097005F"/>
    <w:rsid w:val="0097008C"/>
    <w:rsid w:val="009701A9"/>
    <w:rsid w:val="009701BD"/>
    <w:rsid w:val="0097029F"/>
    <w:rsid w:val="00970315"/>
    <w:rsid w:val="00970347"/>
    <w:rsid w:val="009703DF"/>
    <w:rsid w:val="0097045C"/>
    <w:rsid w:val="009704E8"/>
    <w:rsid w:val="009704EC"/>
    <w:rsid w:val="00970517"/>
    <w:rsid w:val="00970590"/>
    <w:rsid w:val="009705BE"/>
    <w:rsid w:val="0097064C"/>
    <w:rsid w:val="00970668"/>
    <w:rsid w:val="0097073A"/>
    <w:rsid w:val="0097073C"/>
    <w:rsid w:val="0097074B"/>
    <w:rsid w:val="0097083B"/>
    <w:rsid w:val="00970874"/>
    <w:rsid w:val="00970958"/>
    <w:rsid w:val="00970994"/>
    <w:rsid w:val="009709DC"/>
    <w:rsid w:val="00970A8A"/>
    <w:rsid w:val="00970BB7"/>
    <w:rsid w:val="00970BEC"/>
    <w:rsid w:val="00970BF7"/>
    <w:rsid w:val="00970E41"/>
    <w:rsid w:val="00970F01"/>
    <w:rsid w:val="0097107F"/>
    <w:rsid w:val="009710AF"/>
    <w:rsid w:val="009711B7"/>
    <w:rsid w:val="009712BD"/>
    <w:rsid w:val="0097145A"/>
    <w:rsid w:val="0097159D"/>
    <w:rsid w:val="009715BB"/>
    <w:rsid w:val="0097160A"/>
    <w:rsid w:val="009717BC"/>
    <w:rsid w:val="009717FF"/>
    <w:rsid w:val="0097186C"/>
    <w:rsid w:val="00971B89"/>
    <w:rsid w:val="00971BAD"/>
    <w:rsid w:val="00971BDD"/>
    <w:rsid w:val="00971C01"/>
    <w:rsid w:val="00971C63"/>
    <w:rsid w:val="00971D42"/>
    <w:rsid w:val="00971EB5"/>
    <w:rsid w:val="00971F8D"/>
    <w:rsid w:val="0097213B"/>
    <w:rsid w:val="009721E2"/>
    <w:rsid w:val="00972306"/>
    <w:rsid w:val="009723BB"/>
    <w:rsid w:val="009723C1"/>
    <w:rsid w:val="00972486"/>
    <w:rsid w:val="00972515"/>
    <w:rsid w:val="0097256A"/>
    <w:rsid w:val="00972623"/>
    <w:rsid w:val="0097268D"/>
    <w:rsid w:val="00972884"/>
    <w:rsid w:val="009728CF"/>
    <w:rsid w:val="00972968"/>
    <w:rsid w:val="009729A0"/>
    <w:rsid w:val="009729F8"/>
    <w:rsid w:val="00972A44"/>
    <w:rsid w:val="00972ABC"/>
    <w:rsid w:val="00972AC9"/>
    <w:rsid w:val="00972AD4"/>
    <w:rsid w:val="00972BA3"/>
    <w:rsid w:val="00972CB6"/>
    <w:rsid w:val="00972DC0"/>
    <w:rsid w:val="00972DCE"/>
    <w:rsid w:val="00972E03"/>
    <w:rsid w:val="00972E2E"/>
    <w:rsid w:val="00972E6A"/>
    <w:rsid w:val="00972EB8"/>
    <w:rsid w:val="00972FD2"/>
    <w:rsid w:val="0097308B"/>
    <w:rsid w:val="00973252"/>
    <w:rsid w:val="00973264"/>
    <w:rsid w:val="009732ED"/>
    <w:rsid w:val="00973315"/>
    <w:rsid w:val="0097341F"/>
    <w:rsid w:val="00973638"/>
    <w:rsid w:val="0097373A"/>
    <w:rsid w:val="009737EA"/>
    <w:rsid w:val="00973879"/>
    <w:rsid w:val="009738BA"/>
    <w:rsid w:val="00973931"/>
    <w:rsid w:val="00973935"/>
    <w:rsid w:val="00973964"/>
    <w:rsid w:val="009739EC"/>
    <w:rsid w:val="00973A2E"/>
    <w:rsid w:val="00973B90"/>
    <w:rsid w:val="00973CDF"/>
    <w:rsid w:val="00973CE6"/>
    <w:rsid w:val="00973F51"/>
    <w:rsid w:val="00973F68"/>
    <w:rsid w:val="0097411B"/>
    <w:rsid w:val="00974232"/>
    <w:rsid w:val="0097424F"/>
    <w:rsid w:val="00974372"/>
    <w:rsid w:val="00974402"/>
    <w:rsid w:val="0097451F"/>
    <w:rsid w:val="00974590"/>
    <w:rsid w:val="009745D5"/>
    <w:rsid w:val="00974623"/>
    <w:rsid w:val="009747F7"/>
    <w:rsid w:val="0097489E"/>
    <w:rsid w:val="0097492A"/>
    <w:rsid w:val="00974963"/>
    <w:rsid w:val="00974B0E"/>
    <w:rsid w:val="00974B82"/>
    <w:rsid w:val="00974BBF"/>
    <w:rsid w:val="00974BD7"/>
    <w:rsid w:val="00974C10"/>
    <w:rsid w:val="00974D81"/>
    <w:rsid w:val="00974DF1"/>
    <w:rsid w:val="00974E06"/>
    <w:rsid w:val="00974E23"/>
    <w:rsid w:val="00974E6E"/>
    <w:rsid w:val="00974ED6"/>
    <w:rsid w:val="00974F62"/>
    <w:rsid w:val="00975116"/>
    <w:rsid w:val="0097516C"/>
    <w:rsid w:val="0097517F"/>
    <w:rsid w:val="0097531A"/>
    <w:rsid w:val="00975355"/>
    <w:rsid w:val="00975380"/>
    <w:rsid w:val="009753A9"/>
    <w:rsid w:val="00975423"/>
    <w:rsid w:val="00975448"/>
    <w:rsid w:val="0097550B"/>
    <w:rsid w:val="00975588"/>
    <w:rsid w:val="009755DB"/>
    <w:rsid w:val="0097570F"/>
    <w:rsid w:val="00975724"/>
    <w:rsid w:val="00975727"/>
    <w:rsid w:val="0097572C"/>
    <w:rsid w:val="009757C2"/>
    <w:rsid w:val="009757C3"/>
    <w:rsid w:val="00975800"/>
    <w:rsid w:val="00975864"/>
    <w:rsid w:val="0097586A"/>
    <w:rsid w:val="009758B5"/>
    <w:rsid w:val="00975939"/>
    <w:rsid w:val="00975A59"/>
    <w:rsid w:val="00975E51"/>
    <w:rsid w:val="00975F0E"/>
    <w:rsid w:val="00975F35"/>
    <w:rsid w:val="00975F9F"/>
    <w:rsid w:val="00975FBD"/>
    <w:rsid w:val="00975FC0"/>
    <w:rsid w:val="009761C1"/>
    <w:rsid w:val="00976276"/>
    <w:rsid w:val="00976346"/>
    <w:rsid w:val="00976378"/>
    <w:rsid w:val="009764A9"/>
    <w:rsid w:val="0097664C"/>
    <w:rsid w:val="00976746"/>
    <w:rsid w:val="009767AB"/>
    <w:rsid w:val="009767DA"/>
    <w:rsid w:val="00976818"/>
    <w:rsid w:val="0097695A"/>
    <w:rsid w:val="00976994"/>
    <w:rsid w:val="00976A4F"/>
    <w:rsid w:val="00976B62"/>
    <w:rsid w:val="00976B8A"/>
    <w:rsid w:val="00976C2D"/>
    <w:rsid w:val="00976C77"/>
    <w:rsid w:val="00976C9E"/>
    <w:rsid w:val="00976CA4"/>
    <w:rsid w:val="00976CC1"/>
    <w:rsid w:val="00976D73"/>
    <w:rsid w:val="00976DC1"/>
    <w:rsid w:val="00976E3C"/>
    <w:rsid w:val="00976E46"/>
    <w:rsid w:val="00976E6D"/>
    <w:rsid w:val="00976E92"/>
    <w:rsid w:val="00976F41"/>
    <w:rsid w:val="009770F6"/>
    <w:rsid w:val="00977180"/>
    <w:rsid w:val="009771A4"/>
    <w:rsid w:val="009771BC"/>
    <w:rsid w:val="00977237"/>
    <w:rsid w:val="00977254"/>
    <w:rsid w:val="00977274"/>
    <w:rsid w:val="0097728E"/>
    <w:rsid w:val="009772A8"/>
    <w:rsid w:val="009772E9"/>
    <w:rsid w:val="0097733F"/>
    <w:rsid w:val="009773DF"/>
    <w:rsid w:val="009774AE"/>
    <w:rsid w:val="009775BF"/>
    <w:rsid w:val="00977950"/>
    <w:rsid w:val="00977A17"/>
    <w:rsid w:val="00977A50"/>
    <w:rsid w:val="00977BD9"/>
    <w:rsid w:val="00977C42"/>
    <w:rsid w:val="00977C5B"/>
    <w:rsid w:val="00977D87"/>
    <w:rsid w:val="00977E4B"/>
    <w:rsid w:val="00977ECA"/>
    <w:rsid w:val="00977EFF"/>
    <w:rsid w:val="00980032"/>
    <w:rsid w:val="00980041"/>
    <w:rsid w:val="00980113"/>
    <w:rsid w:val="0098015B"/>
    <w:rsid w:val="00980164"/>
    <w:rsid w:val="009801AB"/>
    <w:rsid w:val="009802BE"/>
    <w:rsid w:val="00980334"/>
    <w:rsid w:val="0098033D"/>
    <w:rsid w:val="00980374"/>
    <w:rsid w:val="009803AF"/>
    <w:rsid w:val="00980447"/>
    <w:rsid w:val="009804E7"/>
    <w:rsid w:val="0098056C"/>
    <w:rsid w:val="00980573"/>
    <w:rsid w:val="00980599"/>
    <w:rsid w:val="009805A2"/>
    <w:rsid w:val="009805E9"/>
    <w:rsid w:val="009806C8"/>
    <w:rsid w:val="0098077E"/>
    <w:rsid w:val="00980784"/>
    <w:rsid w:val="0098088C"/>
    <w:rsid w:val="009808B9"/>
    <w:rsid w:val="009809A4"/>
    <w:rsid w:val="009809BC"/>
    <w:rsid w:val="00980AB7"/>
    <w:rsid w:val="00980AF7"/>
    <w:rsid w:val="00980BDD"/>
    <w:rsid w:val="00980C0D"/>
    <w:rsid w:val="00980C2F"/>
    <w:rsid w:val="00980C96"/>
    <w:rsid w:val="00980DE6"/>
    <w:rsid w:val="00980EB3"/>
    <w:rsid w:val="00981064"/>
    <w:rsid w:val="00981124"/>
    <w:rsid w:val="0098113A"/>
    <w:rsid w:val="0098125B"/>
    <w:rsid w:val="00981289"/>
    <w:rsid w:val="0098139F"/>
    <w:rsid w:val="009813C2"/>
    <w:rsid w:val="00981404"/>
    <w:rsid w:val="0098148E"/>
    <w:rsid w:val="009814BF"/>
    <w:rsid w:val="00981558"/>
    <w:rsid w:val="009815E4"/>
    <w:rsid w:val="009815EE"/>
    <w:rsid w:val="009816E0"/>
    <w:rsid w:val="00981734"/>
    <w:rsid w:val="0098174F"/>
    <w:rsid w:val="009817F9"/>
    <w:rsid w:val="00981800"/>
    <w:rsid w:val="0098193F"/>
    <w:rsid w:val="00981A0E"/>
    <w:rsid w:val="00981A44"/>
    <w:rsid w:val="00981B73"/>
    <w:rsid w:val="00981CEF"/>
    <w:rsid w:val="00981D37"/>
    <w:rsid w:val="00981DA4"/>
    <w:rsid w:val="00981E5A"/>
    <w:rsid w:val="00981EFA"/>
    <w:rsid w:val="00981F4C"/>
    <w:rsid w:val="009820C0"/>
    <w:rsid w:val="009821C9"/>
    <w:rsid w:val="0098226F"/>
    <w:rsid w:val="009824EF"/>
    <w:rsid w:val="009825BA"/>
    <w:rsid w:val="009825DE"/>
    <w:rsid w:val="009829E0"/>
    <w:rsid w:val="00982AC0"/>
    <w:rsid w:val="00982B59"/>
    <w:rsid w:val="00982DA3"/>
    <w:rsid w:val="0098301A"/>
    <w:rsid w:val="0098302F"/>
    <w:rsid w:val="00983095"/>
    <w:rsid w:val="00983124"/>
    <w:rsid w:val="00983158"/>
    <w:rsid w:val="0098320A"/>
    <w:rsid w:val="009832DD"/>
    <w:rsid w:val="009832FF"/>
    <w:rsid w:val="009833D6"/>
    <w:rsid w:val="00983487"/>
    <w:rsid w:val="009834A8"/>
    <w:rsid w:val="009834DE"/>
    <w:rsid w:val="009834E4"/>
    <w:rsid w:val="009834EE"/>
    <w:rsid w:val="00983616"/>
    <w:rsid w:val="00983742"/>
    <w:rsid w:val="009837C7"/>
    <w:rsid w:val="009839C0"/>
    <w:rsid w:val="00983A73"/>
    <w:rsid w:val="00983ADD"/>
    <w:rsid w:val="00983B10"/>
    <w:rsid w:val="00983B79"/>
    <w:rsid w:val="00983B9C"/>
    <w:rsid w:val="00983C49"/>
    <w:rsid w:val="00983C63"/>
    <w:rsid w:val="00983CED"/>
    <w:rsid w:val="00983D3C"/>
    <w:rsid w:val="00983EAF"/>
    <w:rsid w:val="00983ECE"/>
    <w:rsid w:val="00983F06"/>
    <w:rsid w:val="00983F70"/>
    <w:rsid w:val="00983FAB"/>
    <w:rsid w:val="00983FB0"/>
    <w:rsid w:val="00983FDA"/>
    <w:rsid w:val="0098410F"/>
    <w:rsid w:val="0098412D"/>
    <w:rsid w:val="0098416C"/>
    <w:rsid w:val="00984172"/>
    <w:rsid w:val="00984188"/>
    <w:rsid w:val="00984234"/>
    <w:rsid w:val="00984259"/>
    <w:rsid w:val="00984320"/>
    <w:rsid w:val="00984321"/>
    <w:rsid w:val="00984424"/>
    <w:rsid w:val="00984524"/>
    <w:rsid w:val="00984656"/>
    <w:rsid w:val="00984767"/>
    <w:rsid w:val="0098477A"/>
    <w:rsid w:val="0098478B"/>
    <w:rsid w:val="00984814"/>
    <w:rsid w:val="00984B5C"/>
    <w:rsid w:val="00984CAB"/>
    <w:rsid w:val="00984DB1"/>
    <w:rsid w:val="00984DF5"/>
    <w:rsid w:val="00984EA6"/>
    <w:rsid w:val="00984F99"/>
    <w:rsid w:val="00984FA8"/>
    <w:rsid w:val="009850C0"/>
    <w:rsid w:val="00985107"/>
    <w:rsid w:val="00985118"/>
    <w:rsid w:val="00985323"/>
    <w:rsid w:val="00985346"/>
    <w:rsid w:val="0098534B"/>
    <w:rsid w:val="0098543F"/>
    <w:rsid w:val="009854F5"/>
    <w:rsid w:val="0098560F"/>
    <w:rsid w:val="00985683"/>
    <w:rsid w:val="0098569A"/>
    <w:rsid w:val="0098577E"/>
    <w:rsid w:val="0098585D"/>
    <w:rsid w:val="0098588C"/>
    <w:rsid w:val="009858D9"/>
    <w:rsid w:val="00985A2C"/>
    <w:rsid w:val="00985A70"/>
    <w:rsid w:val="00985AB3"/>
    <w:rsid w:val="00985B0C"/>
    <w:rsid w:val="00985BDE"/>
    <w:rsid w:val="00985E62"/>
    <w:rsid w:val="00985F5E"/>
    <w:rsid w:val="00985F76"/>
    <w:rsid w:val="009860A0"/>
    <w:rsid w:val="009860C9"/>
    <w:rsid w:val="009861ED"/>
    <w:rsid w:val="009862D9"/>
    <w:rsid w:val="00986333"/>
    <w:rsid w:val="00986355"/>
    <w:rsid w:val="00986480"/>
    <w:rsid w:val="00986481"/>
    <w:rsid w:val="00986515"/>
    <w:rsid w:val="00986637"/>
    <w:rsid w:val="0098667E"/>
    <w:rsid w:val="009866CE"/>
    <w:rsid w:val="00986715"/>
    <w:rsid w:val="009867E5"/>
    <w:rsid w:val="00986972"/>
    <w:rsid w:val="009869B9"/>
    <w:rsid w:val="00986A0A"/>
    <w:rsid w:val="00986B05"/>
    <w:rsid w:val="00986B6E"/>
    <w:rsid w:val="00986CF1"/>
    <w:rsid w:val="00986EA5"/>
    <w:rsid w:val="00986EE6"/>
    <w:rsid w:val="00986F27"/>
    <w:rsid w:val="00986F52"/>
    <w:rsid w:val="00986F79"/>
    <w:rsid w:val="00986FF9"/>
    <w:rsid w:val="00986FFA"/>
    <w:rsid w:val="00986FFF"/>
    <w:rsid w:val="00987035"/>
    <w:rsid w:val="009870FA"/>
    <w:rsid w:val="00987104"/>
    <w:rsid w:val="009872E4"/>
    <w:rsid w:val="00987321"/>
    <w:rsid w:val="0098732C"/>
    <w:rsid w:val="00987426"/>
    <w:rsid w:val="0098753A"/>
    <w:rsid w:val="00987646"/>
    <w:rsid w:val="009876C9"/>
    <w:rsid w:val="0098775E"/>
    <w:rsid w:val="0098776F"/>
    <w:rsid w:val="009877D3"/>
    <w:rsid w:val="009877FE"/>
    <w:rsid w:val="00987850"/>
    <w:rsid w:val="00987986"/>
    <w:rsid w:val="009879C5"/>
    <w:rsid w:val="009879D9"/>
    <w:rsid w:val="00987A23"/>
    <w:rsid w:val="00987A74"/>
    <w:rsid w:val="00987AFD"/>
    <w:rsid w:val="00987B43"/>
    <w:rsid w:val="00987BB7"/>
    <w:rsid w:val="00987C08"/>
    <w:rsid w:val="00987C28"/>
    <w:rsid w:val="00987C69"/>
    <w:rsid w:val="00987CBD"/>
    <w:rsid w:val="00987D7F"/>
    <w:rsid w:val="00987DAF"/>
    <w:rsid w:val="00987E37"/>
    <w:rsid w:val="00987E44"/>
    <w:rsid w:val="00987EF7"/>
    <w:rsid w:val="0099004C"/>
    <w:rsid w:val="009900CE"/>
    <w:rsid w:val="009900E8"/>
    <w:rsid w:val="00990134"/>
    <w:rsid w:val="00990288"/>
    <w:rsid w:val="009902B5"/>
    <w:rsid w:val="00990365"/>
    <w:rsid w:val="0099037E"/>
    <w:rsid w:val="009903EC"/>
    <w:rsid w:val="0099044E"/>
    <w:rsid w:val="0099045D"/>
    <w:rsid w:val="00990501"/>
    <w:rsid w:val="0099052B"/>
    <w:rsid w:val="009905AE"/>
    <w:rsid w:val="009905BF"/>
    <w:rsid w:val="0099071C"/>
    <w:rsid w:val="00990785"/>
    <w:rsid w:val="00990977"/>
    <w:rsid w:val="009909BA"/>
    <w:rsid w:val="00990A30"/>
    <w:rsid w:val="00990C0F"/>
    <w:rsid w:val="00990E97"/>
    <w:rsid w:val="00990E99"/>
    <w:rsid w:val="00990F1C"/>
    <w:rsid w:val="00990F51"/>
    <w:rsid w:val="00990FA8"/>
    <w:rsid w:val="00990FD7"/>
    <w:rsid w:val="0099107F"/>
    <w:rsid w:val="00991127"/>
    <w:rsid w:val="009911A5"/>
    <w:rsid w:val="00991280"/>
    <w:rsid w:val="009912D0"/>
    <w:rsid w:val="009913C8"/>
    <w:rsid w:val="00991506"/>
    <w:rsid w:val="0099155F"/>
    <w:rsid w:val="00991718"/>
    <w:rsid w:val="009917C7"/>
    <w:rsid w:val="009917D9"/>
    <w:rsid w:val="00991826"/>
    <w:rsid w:val="0099186B"/>
    <w:rsid w:val="009919F4"/>
    <w:rsid w:val="00991A74"/>
    <w:rsid w:val="00991A81"/>
    <w:rsid w:val="00991B49"/>
    <w:rsid w:val="00991B71"/>
    <w:rsid w:val="00991C64"/>
    <w:rsid w:val="00991CCE"/>
    <w:rsid w:val="00991D17"/>
    <w:rsid w:val="00991DD9"/>
    <w:rsid w:val="00991E7E"/>
    <w:rsid w:val="00991E96"/>
    <w:rsid w:val="00991EBE"/>
    <w:rsid w:val="00991ED6"/>
    <w:rsid w:val="00991F66"/>
    <w:rsid w:val="00992185"/>
    <w:rsid w:val="0099218B"/>
    <w:rsid w:val="009921B2"/>
    <w:rsid w:val="00992266"/>
    <w:rsid w:val="009922F1"/>
    <w:rsid w:val="00992430"/>
    <w:rsid w:val="00992660"/>
    <w:rsid w:val="00992721"/>
    <w:rsid w:val="009927BB"/>
    <w:rsid w:val="009927CD"/>
    <w:rsid w:val="00992845"/>
    <w:rsid w:val="00992846"/>
    <w:rsid w:val="009928D2"/>
    <w:rsid w:val="00992922"/>
    <w:rsid w:val="00992AD2"/>
    <w:rsid w:val="00992B03"/>
    <w:rsid w:val="00992C1C"/>
    <w:rsid w:val="00992CA7"/>
    <w:rsid w:val="00992D8E"/>
    <w:rsid w:val="00992EB4"/>
    <w:rsid w:val="00992F32"/>
    <w:rsid w:val="00992FB2"/>
    <w:rsid w:val="00993195"/>
    <w:rsid w:val="009931E2"/>
    <w:rsid w:val="0099323A"/>
    <w:rsid w:val="0099333E"/>
    <w:rsid w:val="0099335D"/>
    <w:rsid w:val="009933A9"/>
    <w:rsid w:val="00993419"/>
    <w:rsid w:val="009934DB"/>
    <w:rsid w:val="00993533"/>
    <w:rsid w:val="0099365B"/>
    <w:rsid w:val="009936FA"/>
    <w:rsid w:val="0099381C"/>
    <w:rsid w:val="00993883"/>
    <w:rsid w:val="00993A15"/>
    <w:rsid w:val="00993A24"/>
    <w:rsid w:val="00993A73"/>
    <w:rsid w:val="00993B2D"/>
    <w:rsid w:val="00993B3D"/>
    <w:rsid w:val="00993BCE"/>
    <w:rsid w:val="00993CA6"/>
    <w:rsid w:val="00993E4F"/>
    <w:rsid w:val="00993E9B"/>
    <w:rsid w:val="00993F7E"/>
    <w:rsid w:val="0099403A"/>
    <w:rsid w:val="009940FA"/>
    <w:rsid w:val="0099415C"/>
    <w:rsid w:val="00994199"/>
    <w:rsid w:val="009941CC"/>
    <w:rsid w:val="00994207"/>
    <w:rsid w:val="0099420B"/>
    <w:rsid w:val="00994260"/>
    <w:rsid w:val="00994279"/>
    <w:rsid w:val="009943B8"/>
    <w:rsid w:val="009943C0"/>
    <w:rsid w:val="009943D6"/>
    <w:rsid w:val="009944AF"/>
    <w:rsid w:val="0099450E"/>
    <w:rsid w:val="00994683"/>
    <w:rsid w:val="00994699"/>
    <w:rsid w:val="0099474F"/>
    <w:rsid w:val="00994834"/>
    <w:rsid w:val="009948A6"/>
    <w:rsid w:val="009948BF"/>
    <w:rsid w:val="009948EC"/>
    <w:rsid w:val="00994933"/>
    <w:rsid w:val="009949E1"/>
    <w:rsid w:val="00994AD8"/>
    <w:rsid w:val="00994B08"/>
    <w:rsid w:val="00994B17"/>
    <w:rsid w:val="00994B87"/>
    <w:rsid w:val="00994DD3"/>
    <w:rsid w:val="00994E9F"/>
    <w:rsid w:val="00994F3B"/>
    <w:rsid w:val="00994F86"/>
    <w:rsid w:val="00994FE7"/>
    <w:rsid w:val="009950A9"/>
    <w:rsid w:val="009951DC"/>
    <w:rsid w:val="00995205"/>
    <w:rsid w:val="00995207"/>
    <w:rsid w:val="00995209"/>
    <w:rsid w:val="0099525A"/>
    <w:rsid w:val="009952B8"/>
    <w:rsid w:val="009954AD"/>
    <w:rsid w:val="0099563C"/>
    <w:rsid w:val="0099565B"/>
    <w:rsid w:val="00995676"/>
    <w:rsid w:val="0099571B"/>
    <w:rsid w:val="00995826"/>
    <w:rsid w:val="0099582D"/>
    <w:rsid w:val="00995912"/>
    <w:rsid w:val="00995950"/>
    <w:rsid w:val="00995975"/>
    <w:rsid w:val="00995A75"/>
    <w:rsid w:val="00995B36"/>
    <w:rsid w:val="00995BE1"/>
    <w:rsid w:val="00995C50"/>
    <w:rsid w:val="00995C67"/>
    <w:rsid w:val="00995DCD"/>
    <w:rsid w:val="00995DEC"/>
    <w:rsid w:val="00995E6A"/>
    <w:rsid w:val="00995E7F"/>
    <w:rsid w:val="00995EF5"/>
    <w:rsid w:val="00996094"/>
    <w:rsid w:val="009961A3"/>
    <w:rsid w:val="00996260"/>
    <w:rsid w:val="009962F0"/>
    <w:rsid w:val="009962F2"/>
    <w:rsid w:val="009962F6"/>
    <w:rsid w:val="00996372"/>
    <w:rsid w:val="009964DA"/>
    <w:rsid w:val="00996581"/>
    <w:rsid w:val="00996649"/>
    <w:rsid w:val="0099664A"/>
    <w:rsid w:val="0099668F"/>
    <w:rsid w:val="00996775"/>
    <w:rsid w:val="0099688B"/>
    <w:rsid w:val="009968BD"/>
    <w:rsid w:val="00996B25"/>
    <w:rsid w:val="00996B28"/>
    <w:rsid w:val="00996BD9"/>
    <w:rsid w:val="00996E07"/>
    <w:rsid w:val="00996F8A"/>
    <w:rsid w:val="00996FB2"/>
    <w:rsid w:val="00996FE0"/>
    <w:rsid w:val="00997054"/>
    <w:rsid w:val="00997062"/>
    <w:rsid w:val="00997154"/>
    <w:rsid w:val="0099726E"/>
    <w:rsid w:val="0099740E"/>
    <w:rsid w:val="009974ED"/>
    <w:rsid w:val="00997567"/>
    <w:rsid w:val="0099761D"/>
    <w:rsid w:val="00997647"/>
    <w:rsid w:val="009976F3"/>
    <w:rsid w:val="00997709"/>
    <w:rsid w:val="0099770A"/>
    <w:rsid w:val="0099788F"/>
    <w:rsid w:val="009978D9"/>
    <w:rsid w:val="009978F3"/>
    <w:rsid w:val="0099792F"/>
    <w:rsid w:val="00997952"/>
    <w:rsid w:val="00997977"/>
    <w:rsid w:val="00997A99"/>
    <w:rsid w:val="00997AF0"/>
    <w:rsid w:val="00997BF0"/>
    <w:rsid w:val="00997CC8"/>
    <w:rsid w:val="00997CE0"/>
    <w:rsid w:val="00997D5C"/>
    <w:rsid w:val="00997DC5"/>
    <w:rsid w:val="00997E23"/>
    <w:rsid w:val="00997FBA"/>
    <w:rsid w:val="00997FDC"/>
    <w:rsid w:val="009A0137"/>
    <w:rsid w:val="009A0268"/>
    <w:rsid w:val="009A0319"/>
    <w:rsid w:val="009A0391"/>
    <w:rsid w:val="009A04B3"/>
    <w:rsid w:val="009A04BF"/>
    <w:rsid w:val="009A051C"/>
    <w:rsid w:val="009A051F"/>
    <w:rsid w:val="009A053C"/>
    <w:rsid w:val="009A0578"/>
    <w:rsid w:val="009A0610"/>
    <w:rsid w:val="009A063F"/>
    <w:rsid w:val="009A0759"/>
    <w:rsid w:val="009A0868"/>
    <w:rsid w:val="009A09D6"/>
    <w:rsid w:val="009A0A04"/>
    <w:rsid w:val="009A0A2A"/>
    <w:rsid w:val="009A0C32"/>
    <w:rsid w:val="009A0CB9"/>
    <w:rsid w:val="009A0D70"/>
    <w:rsid w:val="009A0DF3"/>
    <w:rsid w:val="009A0E17"/>
    <w:rsid w:val="009A0E4A"/>
    <w:rsid w:val="009A0E57"/>
    <w:rsid w:val="009A0EDA"/>
    <w:rsid w:val="009A0FA3"/>
    <w:rsid w:val="009A1197"/>
    <w:rsid w:val="009A12FD"/>
    <w:rsid w:val="009A13B9"/>
    <w:rsid w:val="009A1417"/>
    <w:rsid w:val="009A14F3"/>
    <w:rsid w:val="009A155F"/>
    <w:rsid w:val="009A156D"/>
    <w:rsid w:val="009A160A"/>
    <w:rsid w:val="009A1648"/>
    <w:rsid w:val="009A165F"/>
    <w:rsid w:val="009A1728"/>
    <w:rsid w:val="009A175E"/>
    <w:rsid w:val="009A18AA"/>
    <w:rsid w:val="009A1914"/>
    <w:rsid w:val="009A194A"/>
    <w:rsid w:val="009A1C12"/>
    <w:rsid w:val="009A1C55"/>
    <w:rsid w:val="009A1E21"/>
    <w:rsid w:val="009A1F9F"/>
    <w:rsid w:val="009A1FA7"/>
    <w:rsid w:val="009A2027"/>
    <w:rsid w:val="009A2045"/>
    <w:rsid w:val="009A2357"/>
    <w:rsid w:val="009A23CC"/>
    <w:rsid w:val="009A2494"/>
    <w:rsid w:val="009A24C8"/>
    <w:rsid w:val="009A260D"/>
    <w:rsid w:val="009A2648"/>
    <w:rsid w:val="009A26A2"/>
    <w:rsid w:val="009A26E2"/>
    <w:rsid w:val="009A26EC"/>
    <w:rsid w:val="009A26F0"/>
    <w:rsid w:val="009A26FB"/>
    <w:rsid w:val="009A2785"/>
    <w:rsid w:val="009A28A6"/>
    <w:rsid w:val="009A28D3"/>
    <w:rsid w:val="009A2942"/>
    <w:rsid w:val="009A29FB"/>
    <w:rsid w:val="009A2B51"/>
    <w:rsid w:val="009A2B53"/>
    <w:rsid w:val="009A2BF3"/>
    <w:rsid w:val="009A2C6D"/>
    <w:rsid w:val="009A2CF9"/>
    <w:rsid w:val="009A2DB4"/>
    <w:rsid w:val="009A2DEF"/>
    <w:rsid w:val="009A2EAC"/>
    <w:rsid w:val="009A2F32"/>
    <w:rsid w:val="009A2F3C"/>
    <w:rsid w:val="009A2F75"/>
    <w:rsid w:val="009A2FAC"/>
    <w:rsid w:val="009A327D"/>
    <w:rsid w:val="009A32B4"/>
    <w:rsid w:val="009A32D7"/>
    <w:rsid w:val="009A3460"/>
    <w:rsid w:val="009A346C"/>
    <w:rsid w:val="009A3512"/>
    <w:rsid w:val="009A3576"/>
    <w:rsid w:val="009A35C2"/>
    <w:rsid w:val="009A36F5"/>
    <w:rsid w:val="009A3739"/>
    <w:rsid w:val="009A3766"/>
    <w:rsid w:val="009A3877"/>
    <w:rsid w:val="009A3A70"/>
    <w:rsid w:val="009A3AA6"/>
    <w:rsid w:val="009A3ADC"/>
    <w:rsid w:val="009A3AE5"/>
    <w:rsid w:val="009A3B0C"/>
    <w:rsid w:val="009A3D7F"/>
    <w:rsid w:val="009A3DD7"/>
    <w:rsid w:val="009A3E1E"/>
    <w:rsid w:val="009A3E50"/>
    <w:rsid w:val="009A3EEF"/>
    <w:rsid w:val="009A3EFD"/>
    <w:rsid w:val="009A3FC3"/>
    <w:rsid w:val="009A3FD7"/>
    <w:rsid w:val="009A4175"/>
    <w:rsid w:val="009A42FA"/>
    <w:rsid w:val="009A43DA"/>
    <w:rsid w:val="009A44D9"/>
    <w:rsid w:val="009A44DD"/>
    <w:rsid w:val="009A451A"/>
    <w:rsid w:val="009A4649"/>
    <w:rsid w:val="009A46AC"/>
    <w:rsid w:val="009A4765"/>
    <w:rsid w:val="009A47F3"/>
    <w:rsid w:val="009A4820"/>
    <w:rsid w:val="009A4842"/>
    <w:rsid w:val="009A4990"/>
    <w:rsid w:val="009A4996"/>
    <w:rsid w:val="009A4A70"/>
    <w:rsid w:val="009A4B31"/>
    <w:rsid w:val="009A4B67"/>
    <w:rsid w:val="009A4BC3"/>
    <w:rsid w:val="009A4C8D"/>
    <w:rsid w:val="009A4CE7"/>
    <w:rsid w:val="009A50F4"/>
    <w:rsid w:val="009A50F8"/>
    <w:rsid w:val="009A511F"/>
    <w:rsid w:val="009A52A8"/>
    <w:rsid w:val="009A5382"/>
    <w:rsid w:val="009A54BF"/>
    <w:rsid w:val="009A55B3"/>
    <w:rsid w:val="009A55DB"/>
    <w:rsid w:val="009A57E6"/>
    <w:rsid w:val="009A5967"/>
    <w:rsid w:val="009A596C"/>
    <w:rsid w:val="009A5989"/>
    <w:rsid w:val="009A598D"/>
    <w:rsid w:val="009A5AA4"/>
    <w:rsid w:val="009A5B36"/>
    <w:rsid w:val="009A5B60"/>
    <w:rsid w:val="009A5BDE"/>
    <w:rsid w:val="009A5C3A"/>
    <w:rsid w:val="009A5C9A"/>
    <w:rsid w:val="009A5CA3"/>
    <w:rsid w:val="009A5D8A"/>
    <w:rsid w:val="009A5E38"/>
    <w:rsid w:val="009A5F0D"/>
    <w:rsid w:val="009A5FCC"/>
    <w:rsid w:val="009A60AF"/>
    <w:rsid w:val="009A60DE"/>
    <w:rsid w:val="009A6162"/>
    <w:rsid w:val="009A618B"/>
    <w:rsid w:val="009A628B"/>
    <w:rsid w:val="009A62B2"/>
    <w:rsid w:val="009A62D0"/>
    <w:rsid w:val="009A6326"/>
    <w:rsid w:val="009A6393"/>
    <w:rsid w:val="009A63B8"/>
    <w:rsid w:val="009A643A"/>
    <w:rsid w:val="009A64AC"/>
    <w:rsid w:val="009A65CC"/>
    <w:rsid w:val="009A6614"/>
    <w:rsid w:val="009A6660"/>
    <w:rsid w:val="009A66E7"/>
    <w:rsid w:val="009A686E"/>
    <w:rsid w:val="009A688F"/>
    <w:rsid w:val="009A68E5"/>
    <w:rsid w:val="009A6B6A"/>
    <w:rsid w:val="009A6C08"/>
    <w:rsid w:val="009A6CA3"/>
    <w:rsid w:val="009A6CA4"/>
    <w:rsid w:val="009A6CF6"/>
    <w:rsid w:val="009A6EC9"/>
    <w:rsid w:val="009A6EE8"/>
    <w:rsid w:val="009A6F3A"/>
    <w:rsid w:val="009A6F9A"/>
    <w:rsid w:val="009A6FD2"/>
    <w:rsid w:val="009A704B"/>
    <w:rsid w:val="009A70B0"/>
    <w:rsid w:val="009A70CC"/>
    <w:rsid w:val="009A71C1"/>
    <w:rsid w:val="009A72DF"/>
    <w:rsid w:val="009A7393"/>
    <w:rsid w:val="009A74B0"/>
    <w:rsid w:val="009A7576"/>
    <w:rsid w:val="009A7661"/>
    <w:rsid w:val="009A7767"/>
    <w:rsid w:val="009A7798"/>
    <w:rsid w:val="009A78D0"/>
    <w:rsid w:val="009A79C1"/>
    <w:rsid w:val="009A7AC2"/>
    <w:rsid w:val="009A7ADB"/>
    <w:rsid w:val="009A7CB9"/>
    <w:rsid w:val="009A7D16"/>
    <w:rsid w:val="009A7D64"/>
    <w:rsid w:val="009A7D79"/>
    <w:rsid w:val="009A7F27"/>
    <w:rsid w:val="009B0009"/>
    <w:rsid w:val="009B013F"/>
    <w:rsid w:val="009B0251"/>
    <w:rsid w:val="009B02A7"/>
    <w:rsid w:val="009B034A"/>
    <w:rsid w:val="009B03D0"/>
    <w:rsid w:val="009B03E5"/>
    <w:rsid w:val="009B0597"/>
    <w:rsid w:val="009B05C7"/>
    <w:rsid w:val="009B05FC"/>
    <w:rsid w:val="009B06E1"/>
    <w:rsid w:val="009B0797"/>
    <w:rsid w:val="009B0869"/>
    <w:rsid w:val="009B08B3"/>
    <w:rsid w:val="009B098F"/>
    <w:rsid w:val="009B09DC"/>
    <w:rsid w:val="009B0A85"/>
    <w:rsid w:val="009B0AD2"/>
    <w:rsid w:val="009B0AD8"/>
    <w:rsid w:val="009B0B98"/>
    <w:rsid w:val="009B0BAD"/>
    <w:rsid w:val="009B0CEB"/>
    <w:rsid w:val="009B0DAB"/>
    <w:rsid w:val="009B0DC4"/>
    <w:rsid w:val="009B0E97"/>
    <w:rsid w:val="009B0F0A"/>
    <w:rsid w:val="009B0FF4"/>
    <w:rsid w:val="009B0FF8"/>
    <w:rsid w:val="009B1036"/>
    <w:rsid w:val="009B1046"/>
    <w:rsid w:val="009B1104"/>
    <w:rsid w:val="009B113A"/>
    <w:rsid w:val="009B11F2"/>
    <w:rsid w:val="009B1218"/>
    <w:rsid w:val="009B1240"/>
    <w:rsid w:val="009B12BF"/>
    <w:rsid w:val="009B132C"/>
    <w:rsid w:val="009B1422"/>
    <w:rsid w:val="009B142F"/>
    <w:rsid w:val="009B14E1"/>
    <w:rsid w:val="009B150A"/>
    <w:rsid w:val="009B1598"/>
    <w:rsid w:val="009B15B6"/>
    <w:rsid w:val="009B16B9"/>
    <w:rsid w:val="009B1721"/>
    <w:rsid w:val="009B17C4"/>
    <w:rsid w:val="009B1844"/>
    <w:rsid w:val="009B184C"/>
    <w:rsid w:val="009B1A04"/>
    <w:rsid w:val="009B1BE6"/>
    <w:rsid w:val="009B1CF2"/>
    <w:rsid w:val="009B1D9E"/>
    <w:rsid w:val="009B1E5F"/>
    <w:rsid w:val="009B1EF5"/>
    <w:rsid w:val="009B1F4E"/>
    <w:rsid w:val="009B1F6F"/>
    <w:rsid w:val="009B20AA"/>
    <w:rsid w:val="009B20B1"/>
    <w:rsid w:val="009B20D7"/>
    <w:rsid w:val="009B2218"/>
    <w:rsid w:val="009B23BC"/>
    <w:rsid w:val="009B23BF"/>
    <w:rsid w:val="009B24D8"/>
    <w:rsid w:val="009B266C"/>
    <w:rsid w:val="009B2841"/>
    <w:rsid w:val="009B288D"/>
    <w:rsid w:val="009B2A17"/>
    <w:rsid w:val="009B2A37"/>
    <w:rsid w:val="009B2C33"/>
    <w:rsid w:val="009B2C58"/>
    <w:rsid w:val="009B2D2A"/>
    <w:rsid w:val="009B2DC2"/>
    <w:rsid w:val="009B2E91"/>
    <w:rsid w:val="009B3013"/>
    <w:rsid w:val="009B3042"/>
    <w:rsid w:val="009B3147"/>
    <w:rsid w:val="009B31A4"/>
    <w:rsid w:val="009B31AD"/>
    <w:rsid w:val="009B3346"/>
    <w:rsid w:val="009B3365"/>
    <w:rsid w:val="009B3374"/>
    <w:rsid w:val="009B349E"/>
    <w:rsid w:val="009B3582"/>
    <w:rsid w:val="009B3639"/>
    <w:rsid w:val="009B3640"/>
    <w:rsid w:val="009B3783"/>
    <w:rsid w:val="009B38F4"/>
    <w:rsid w:val="009B397A"/>
    <w:rsid w:val="009B3A8B"/>
    <w:rsid w:val="009B3AC5"/>
    <w:rsid w:val="009B3B84"/>
    <w:rsid w:val="009B3BB6"/>
    <w:rsid w:val="009B3C20"/>
    <w:rsid w:val="009B3D52"/>
    <w:rsid w:val="009B3E1F"/>
    <w:rsid w:val="009B3EE0"/>
    <w:rsid w:val="009B3F4A"/>
    <w:rsid w:val="009B4039"/>
    <w:rsid w:val="009B4082"/>
    <w:rsid w:val="009B40AD"/>
    <w:rsid w:val="009B4138"/>
    <w:rsid w:val="009B4176"/>
    <w:rsid w:val="009B41DB"/>
    <w:rsid w:val="009B42FF"/>
    <w:rsid w:val="009B4445"/>
    <w:rsid w:val="009B453B"/>
    <w:rsid w:val="009B453F"/>
    <w:rsid w:val="009B4636"/>
    <w:rsid w:val="009B4664"/>
    <w:rsid w:val="009B4703"/>
    <w:rsid w:val="009B475C"/>
    <w:rsid w:val="009B47A3"/>
    <w:rsid w:val="009B47BC"/>
    <w:rsid w:val="009B4827"/>
    <w:rsid w:val="009B4861"/>
    <w:rsid w:val="009B493D"/>
    <w:rsid w:val="009B49A5"/>
    <w:rsid w:val="009B49D3"/>
    <w:rsid w:val="009B4A05"/>
    <w:rsid w:val="009B4A13"/>
    <w:rsid w:val="009B4A16"/>
    <w:rsid w:val="009B4DBD"/>
    <w:rsid w:val="009B4F8D"/>
    <w:rsid w:val="009B5025"/>
    <w:rsid w:val="009B50BC"/>
    <w:rsid w:val="009B50C6"/>
    <w:rsid w:val="009B50E4"/>
    <w:rsid w:val="009B5108"/>
    <w:rsid w:val="009B51D4"/>
    <w:rsid w:val="009B51E9"/>
    <w:rsid w:val="009B528A"/>
    <w:rsid w:val="009B52D9"/>
    <w:rsid w:val="009B52E2"/>
    <w:rsid w:val="009B53C6"/>
    <w:rsid w:val="009B54E9"/>
    <w:rsid w:val="009B55A3"/>
    <w:rsid w:val="009B5620"/>
    <w:rsid w:val="009B56E5"/>
    <w:rsid w:val="009B5740"/>
    <w:rsid w:val="009B5809"/>
    <w:rsid w:val="009B595D"/>
    <w:rsid w:val="009B5961"/>
    <w:rsid w:val="009B59A1"/>
    <w:rsid w:val="009B5A64"/>
    <w:rsid w:val="009B5ADA"/>
    <w:rsid w:val="009B5AFC"/>
    <w:rsid w:val="009B5B13"/>
    <w:rsid w:val="009B5B2D"/>
    <w:rsid w:val="009B5BED"/>
    <w:rsid w:val="009B5CC4"/>
    <w:rsid w:val="009B5E28"/>
    <w:rsid w:val="009B5F01"/>
    <w:rsid w:val="009B5F35"/>
    <w:rsid w:val="009B6034"/>
    <w:rsid w:val="009B610E"/>
    <w:rsid w:val="009B61D2"/>
    <w:rsid w:val="009B62E1"/>
    <w:rsid w:val="009B6345"/>
    <w:rsid w:val="009B6347"/>
    <w:rsid w:val="009B6430"/>
    <w:rsid w:val="009B6490"/>
    <w:rsid w:val="009B6696"/>
    <w:rsid w:val="009B67D8"/>
    <w:rsid w:val="009B68AA"/>
    <w:rsid w:val="009B68C6"/>
    <w:rsid w:val="009B6995"/>
    <w:rsid w:val="009B69A9"/>
    <w:rsid w:val="009B69E0"/>
    <w:rsid w:val="009B6A3C"/>
    <w:rsid w:val="009B6A86"/>
    <w:rsid w:val="009B6AEB"/>
    <w:rsid w:val="009B6C5B"/>
    <w:rsid w:val="009B6D24"/>
    <w:rsid w:val="009B6E5D"/>
    <w:rsid w:val="009B6EF2"/>
    <w:rsid w:val="009B6F44"/>
    <w:rsid w:val="009B6F9B"/>
    <w:rsid w:val="009B705C"/>
    <w:rsid w:val="009B7065"/>
    <w:rsid w:val="009B7099"/>
    <w:rsid w:val="009B70EA"/>
    <w:rsid w:val="009B710B"/>
    <w:rsid w:val="009B71F4"/>
    <w:rsid w:val="009B721F"/>
    <w:rsid w:val="009B7297"/>
    <w:rsid w:val="009B72E6"/>
    <w:rsid w:val="009B73C2"/>
    <w:rsid w:val="009B7430"/>
    <w:rsid w:val="009B7541"/>
    <w:rsid w:val="009B7549"/>
    <w:rsid w:val="009B768D"/>
    <w:rsid w:val="009B771E"/>
    <w:rsid w:val="009B7742"/>
    <w:rsid w:val="009B774F"/>
    <w:rsid w:val="009B776C"/>
    <w:rsid w:val="009B77AB"/>
    <w:rsid w:val="009B77C4"/>
    <w:rsid w:val="009B7818"/>
    <w:rsid w:val="009B787E"/>
    <w:rsid w:val="009B794D"/>
    <w:rsid w:val="009B794E"/>
    <w:rsid w:val="009B7976"/>
    <w:rsid w:val="009B79F1"/>
    <w:rsid w:val="009B7AF3"/>
    <w:rsid w:val="009B7C0A"/>
    <w:rsid w:val="009B7C25"/>
    <w:rsid w:val="009B7C44"/>
    <w:rsid w:val="009B7C9C"/>
    <w:rsid w:val="009B7D89"/>
    <w:rsid w:val="009B7DF6"/>
    <w:rsid w:val="009B7DF7"/>
    <w:rsid w:val="009B7FA7"/>
    <w:rsid w:val="009C001C"/>
    <w:rsid w:val="009C014D"/>
    <w:rsid w:val="009C02DB"/>
    <w:rsid w:val="009C0418"/>
    <w:rsid w:val="009C048F"/>
    <w:rsid w:val="009C04B7"/>
    <w:rsid w:val="009C04D3"/>
    <w:rsid w:val="009C0540"/>
    <w:rsid w:val="009C063D"/>
    <w:rsid w:val="009C0643"/>
    <w:rsid w:val="009C06C3"/>
    <w:rsid w:val="009C06C5"/>
    <w:rsid w:val="009C0729"/>
    <w:rsid w:val="009C085A"/>
    <w:rsid w:val="009C08F0"/>
    <w:rsid w:val="009C097B"/>
    <w:rsid w:val="009C0980"/>
    <w:rsid w:val="009C09A2"/>
    <w:rsid w:val="009C09C2"/>
    <w:rsid w:val="009C0A5B"/>
    <w:rsid w:val="009C0A67"/>
    <w:rsid w:val="009C0A83"/>
    <w:rsid w:val="009C0AA7"/>
    <w:rsid w:val="009C0B04"/>
    <w:rsid w:val="009C0B0D"/>
    <w:rsid w:val="009C0B16"/>
    <w:rsid w:val="009C0BF7"/>
    <w:rsid w:val="009C0CAF"/>
    <w:rsid w:val="009C0DAF"/>
    <w:rsid w:val="009C0E9A"/>
    <w:rsid w:val="009C0EC9"/>
    <w:rsid w:val="009C0F6D"/>
    <w:rsid w:val="009C0FA7"/>
    <w:rsid w:val="009C0FC3"/>
    <w:rsid w:val="009C1033"/>
    <w:rsid w:val="009C1077"/>
    <w:rsid w:val="009C111D"/>
    <w:rsid w:val="009C1174"/>
    <w:rsid w:val="009C11CC"/>
    <w:rsid w:val="009C1239"/>
    <w:rsid w:val="009C1347"/>
    <w:rsid w:val="009C15A5"/>
    <w:rsid w:val="009C15BE"/>
    <w:rsid w:val="009C15C4"/>
    <w:rsid w:val="009C184D"/>
    <w:rsid w:val="009C185A"/>
    <w:rsid w:val="009C185C"/>
    <w:rsid w:val="009C18A5"/>
    <w:rsid w:val="009C18BF"/>
    <w:rsid w:val="009C1A04"/>
    <w:rsid w:val="009C1A2A"/>
    <w:rsid w:val="009C1A67"/>
    <w:rsid w:val="009C1AD0"/>
    <w:rsid w:val="009C1AFF"/>
    <w:rsid w:val="009C1B3A"/>
    <w:rsid w:val="009C1BAB"/>
    <w:rsid w:val="009C1BB9"/>
    <w:rsid w:val="009C1CDD"/>
    <w:rsid w:val="009C1D71"/>
    <w:rsid w:val="009C1D7F"/>
    <w:rsid w:val="009C1DB1"/>
    <w:rsid w:val="009C1ED6"/>
    <w:rsid w:val="009C1EF6"/>
    <w:rsid w:val="009C2168"/>
    <w:rsid w:val="009C21DC"/>
    <w:rsid w:val="009C220F"/>
    <w:rsid w:val="009C2342"/>
    <w:rsid w:val="009C2355"/>
    <w:rsid w:val="009C24D0"/>
    <w:rsid w:val="009C24F1"/>
    <w:rsid w:val="009C2682"/>
    <w:rsid w:val="009C2759"/>
    <w:rsid w:val="009C27F9"/>
    <w:rsid w:val="009C2811"/>
    <w:rsid w:val="009C283B"/>
    <w:rsid w:val="009C283F"/>
    <w:rsid w:val="009C2845"/>
    <w:rsid w:val="009C2848"/>
    <w:rsid w:val="009C285F"/>
    <w:rsid w:val="009C291E"/>
    <w:rsid w:val="009C2933"/>
    <w:rsid w:val="009C2987"/>
    <w:rsid w:val="009C29D3"/>
    <w:rsid w:val="009C2A03"/>
    <w:rsid w:val="009C2AD0"/>
    <w:rsid w:val="009C2B0D"/>
    <w:rsid w:val="009C2CA6"/>
    <w:rsid w:val="009C2D2F"/>
    <w:rsid w:val="009C2EC9"/>
    <w:rsid w:val="009C2F09"/>
    <w:rsid w:val="009C2F60"/>
    <w:rsid w:val="009C3069"/>
    <w:rsid w:val="009C30DF"/>
    <w:rsid w:val="009C31C4"/>
    <w:rsid w:val="009C32E1"/>
    <w:rsid w:val="009C331B"/>
    <w:rsid w:val="009C33AA"/>
    <w:rsid w:val="009C33CC"/>
    <w:rsid w:val="009C3456"/>
    <w:rsid w:val="009C3642"/>
    <w:rsid w:val="009C3652"/>
    <w:rsid w:val="009C36C7"/>
    <w:rsid w:val="009C36FE"/>
    <w:rsid w:val="009C372C"/>
    <w:rsid w:val="009C3734"/>
    <w:rsid w:val="009C37BA"/>
    <w:rsid w:val="009C37CE"/>
    <w:rsid w:val="009C38BF"/>
    <w:rsid w:val="009C3959"/>
    <w:rsid w:val="009C399F"/>
    <w:rsid w:val="009C39F9"/>
    <w:rsid w:val="009C3AD4"/>
    <w:rsid w:val="009C3B05"/>
    <w:rsid w:val="009C3B40"/>
    <w:rsid w:val="009C3BA2"/>
    <w:rsid w:val="009C3CE6"/>
    <w:rsid w:val="009C3D75"/>
    <w:rsid w:val="009C3D9A"/>
    <w:rsid w:val="009C3DB3"/>
    <w:rsid w:val="009C3F48"/>
    <w:rsid w:val="009C3F98"/>
    <w:rsid w:val="009C3FA2"/>
    <w:rsid w:val="009C401A"/>
    <w:rsid w:val="009C4058"/>
    <w:rsid w:val="009C4165"/>
    <w:rsid w:val="009C42AE"/>
    <w:rsid w:val="009C4351"/>
    <w:rsid w:val="009C435F"/>
    <w:rsid w:val="009C4407"/>
    <w:rsid w:val="009C4408"/>
    <w:rsid w:val="009C441A"/>
    <w:rsid w:val="009C44AE"/>
    <w:rsid w:val="009C4570"/>
    <w:rsid w:val="009C4646"/>
    <w:rsid w:val="009C4955"/>
    <w:rsid w:val="009C4A01"/>
    <w:rsid w:val="009C4A31"/>
    <w:rsid w:val="009C4BA9"/>
    <w:rsid w:val="009C4C4B"/>
    <w:rsid w:val="009C4C52"/>
    <w:rsid w:val="009C4D59"/>
    <w:rsid w:val="009C4DDD"/>
    <w:rsid w:val="009C4E79"/>
    <w:rsid w:val="009C4EDD"/>
    <w:rsid w:val="009C4EE6"/>
    <w:rsid w:val="009C4F71"/>
    <w:rsid w:val="009C5068"/>
    <w:rsid w:val="009C5074"/>
    <w:rsid w:val="009C50ED"/>
    <w:rsid w:val="009C50EE"/>
    <w:rsid w:val="009C50F1"/>
    <w:rsid w:val="009C515C"/>
    <w:rsid w:val="009C51A2"/>
    <w:rsid w:val="009C5273"/>
    <w:rsid w:val="009C53EC"/>
    <w:rsid w:val="009C5472"/>
    <w:rsid w:val="009C551E"/>
    <w:rsid w:val="009C5573"/>
    <w:rsid w:val="009C55E6"/>
    <w:rsid w:val="009C5694"/>
    <w:rsid w:val="009C56A4"/>
    <w:rsid w:val="009C56D3"/>
    <w:rsid w:val="009C5782"/>
    <w:rsid w:val="009C579D"/>
    <w:rsid w:val="009C57DE"/>
    <w:rsid w:val="009C5916"/>
    <w:rsid w:val="009C5957"/>
    <w:rsid w:val="009C5965"/>
    <w:rsid w:val="009C599D"/>
    <w:rsid w:val="009C59B4"/>
    <w:rsid w:val="009C5B31"/>
    <w:rsid w:val="009C5B9E"/>
    <w:rsid w:val="009C5BE9"/>
    <w:rsid w:val="009C5C68"/>
    <w:rsid w:val="009C5D2B"/>
    <w:rsid w:val="009C5D2F"/>
    <w:rsid w:val="009C5D84"/>
    <w:rsid w:val="009C5E31"/>
    <w:rsid w:val="009C5EC6"/>
    <w:rsid w:val="009C5EEB"/>
    <w:rsid w:val="009C5F2D"/>
    <w:rsid w:val="009C5FD6"/>
    <w:rsid w:val="009C6072"/>
    <w:rsid w:val="009C6147"/>
    <w:rsid w:val="009C6238"/>
    <w:rsid w:val="009C6348"/>
    <w:rsid w:val="009C64F4"/>
    <w:rsid w:val="009C6517"/>
    <w:rsid w:val="009C6591"/>
    <w:rsid w:val="009C65C4"/>
    <w:rsid w:val="009C65CA"/>
    <w:rsid w:val="009C6610"/>
    <w:rsid w:val="009C665F"/>
    <w:rsid w:val="009C66F1"/>
    <w:rsid w:val="009C6728"/>
    <w:rsid w:val="009C6756"/>
    <w:rsid w:val="009C697E"/>
    <w:rsid w:val="009C6A20"/>
    <w:rsid w:val="009C6AF8"/>
    <w:rsid w:val="009C6C2C"/>
    <w:rsid w:val="009C6CB7"/>
    <w:rsid w:val="009C6CCB"/>
    <w:rsid w:val="009C6CF1"/>
    <w:rsid w:val="009C6DD9"/>
    <w:rsid w:val="009C6E32"/>
    <w:rsid w:val="009C6EB8"/>
    <w:rsid w:val="009C6EBF"/>
    <w:rsid w:val="009C6EDB"/>
    <w:rsid w:val="009C6F2E"/>
    <w:rsid w:val="009C6FAE"/>
    <w:rsid w:val="009C6FCE"/>
    <w:rsid w:val="009C6FE7"/>
    <w:rsid w:val="009C70DC"/>
    <w:rsid w:val="009C70F5"/>
    <w:rsid w:val="009C70FB"/>
    <w:rsid w:val="009C7184"/>
    <w:rsid w:val="009C7217"/>
    <w:rsid w:val="009C74BD"/>
    <w:rsid w:val="009C7549"/>
    <w:rsid w:val="009C75E3"/>
    <w:rsid w:val="009C76CC"/>
    <w:rsid w:val="009C76D8"/>
    <w:rsid w:val="009C7792"/>
    <w:rsid w:val="009C77C0"/>
    <w:rsid w:val="009C77C8"/>
    <w:rsid w:val="009C783D"/>
    <w:rsid w:val="009C78AE"/>
    <w:rsid w:val="009C78F4"/>
    <w:rsid w:val="009C7915"/>
    <w:rsid w:val="009C7917"/>
    <w:rsid w:val="009C79C3"/>
    <w:rsid w:val="009C7AFD"/>
    <w:rsid w:val="009C7B95"/>
    <w:rsid w:val="009C7EA1"/>
    <w:rsid w:val="009C7F9B"/>
    <w:rsid w:val="009D001E"/>
    <w:rsid w:val="009D009A"/>
    <w:rsid w:val="009D012B"/>
    <w:rsid w:val="009D018A"/>
    <w:rsid w:val="009D0195"/>
    <w:rsid w:val="009D01C2"/>
    <w:rsid w:val="009D024A"/>
    <w:rsid w:val="009D02DA"/>
    <w:rsid w:val="009D032F"/>
    <w:rsid w:val="009D0333"/>
    <w:rsid w:val="009D0377"/>
    <w:rsid w:val="009D03DD"/>
    <w:rsid w:val="009D048B"/>
    <w:rsid w:val="009D04BF"/>
    <w:rsid w:val="009D04E1"/>
    <w:rsid w:val="009D04EA"/>
    <w:rsid w:val="009D050D"/>
    <w:rsid w:val="009D0639"/>
    <w:rsid w:val="009D06BE"/>
    <w:rsid w:val="009D06EA"/>
    <w:rsid w:val="009D0738"/>
    <w:rsid w:val="009D076F"/>
    <w:rsid w:val="009D0781"/>
    <w:rsid w:val="009D078A"/>
    <w:rsid w:val="009D0919"/>
    <w:rsid w:val="009D0ABD"/>
    <w:rsid w:val="009D0B97"/>
    <w:rsid w:val="009D0D32"/>
    <w:rsid w:val="009D0E64"/>
    <w:rsid w:val="009D0EC8"/>
    <w:rsid w:val="009D0F08"/>
    <w:rsid w:val="009D101B"/>
    <w:rsid w:val="009D1140"/>
    <w:rsid w:val="009D115A"/>
    <w:rsid w:val="009D1177"/>
    <w:rsid w:val="009D11BE"/>
    <w:rsid w:val="009D11C9"/>
    <w:rsid w:val="009D1409"/>
    <w:rsid w:val="009D1420"/>
    <w:rsid w:val="009D1562"/>
    <w:rsid w:val="009D1575"/>
    <w:rsid w:val="009D1615"/>
    <w:rsid w:val="009D163B"/>
    <w:rsid w:val="009D1745"/>
    <w:rsid w:val="009D17CB"/>
    <w:rsid w:val="009D1836"/>
    <w:rsid w:val="009D18BF"/>
    <w:rsid w:val="009D1900"/>
    <w:rsid w:val="009D190B"/>
    <w:rsid w:val="009D1939"/>
    <w:rsid w:val="009D19C4"/>
    <w:rsid w:val="009D1A2A"/>
    <w:rsid w:val="009D1A64"/>
    <w:rsid w:val="009D1ABB"/>
    <w:rsid w:val="009D1ADE"/>
    <w:rsid w:val="009D1BCB"/>
    <w:rsid w:val="009D1BEF"/>
    <w:rsid w:val="009D1BF1"/>
    <w:rsid w:val="009D1C21"/>
    <w:rsid w:val="009D1CED"/>
    <w:rsid w:val="009D1D73"/>
    <w:rsid w:val="009D1DBA"/>
    <w:rsid w:val="009D1DFC"/>
    <w:rsid w:val="009D1E2E"/>
    <w:rsid w:val="009D1EF1"/>
    <w:rsid w:val="009D1F4D"/>
    <w:rsid w:val="009D1FA0"/>
    <w:rsid w:val="009D1FBC"/>
    <w:rsid w:val="009D1FEE"/>
    <w:rsid w:val="009D20E1"/>
    <w:rsid w:val="009D217E"/>
    <w:rsid w:val="009D219C"/>
    <w:rsid w:val="009D21F5"/>
    <w:rsid w:val="009D222F"/>
    <w:rsid w:val="009D2267"/>
    <w:rsid w:val="009D22F1"/>
    <w:rsid w:val="009D2358"/>
    <w:rsid w:val="009D2413"/>
    <w:rsid w:val="009D248F"/>
    <w:rsid w:val="009D251F"/>
    <w:rsid w:val="009D253B"/>
    <w:rsid w:val="009D255E"/>
    <w:rsid w:val="009D2591"/>
    <w:rsid w:val="009D2597"/>
    <w:rsid w:val="009D2609"/>
    <w:rsid w:val="009D26B8"/>
    <w:rsid w:val="009D26CB"/>
    <w:rsid w:val="009D2742"/>
    <w:rsid w:val="009D279C"/>
    <w:rsid w:val="009D28D6"/>
    <w:rsid w:val="009D296A"/>
    <w:rsid w:val="009D297C"/>
    <w:rsid w:val="009D297D"/>
    <w:rsid w:val="009D29C8"/>
    <w:rsid w:val="009D2AB3"/>
    <w:rsid w:val="009D2B27"/>
    <w:rsid w:val="009D2B91"/>
    <w:rsid w:val="009D2CCD"/>
    <w:rsid w:val="009D2E0A"/>
    <w:rsid w:val="009D2EBF"/>
    <w:rsid w:val="009D2ED8"/>
    <w:rsid w:val="009D2F67"/>
    <w:rsid w:val="009D30B4"/>
    <w:rsid w:val="009D30C6"/>
    <w:rsid w:val="009D31AB"/>
    <w:rsid w:val="009D3201"/>
    <w:rsid w:val="009D3318"/>
    <w:rsid w:val="009D3506"/>
    <w:rsid w:val="009D3507"/>
    <w:rsid w:val="009D35AA"/>
    <w:rsid w:val="009D3694"/>
    <w:rsid w:val="009D36D1"/>
    <w:rsid w:val="009D3778"/>
    <w:rsid w:val="009D37A0"/>
    <w:rsid w:val="009D37AC"/>
    <w:rsid w:val="009D38FD"/>
    <w:rsid w:val="009D396F"/>
    <w:rsid w:val="009D3978"/>
    <w:rsid w:val="009D39B2"/>
    <w:rsid w:val="009D3ADA"/>
    <w:rsid w:val="009D3BF0"/>
    <w:rsid w:val="009D3C24"/>
    <w:rsid w:val="009D3CAA"/>
    <w:rsid w:val="009D3CEC"/>
    <w:rsid w:val="009D3D3A"/>
    <w:rsid w:val="009D3D6F"/>
    <w:rsid w:val="009D3EEE"/>
    <w:rsid w:val="009D3F0B"/>
    <w:rsid w:val="009D3F30"/>
    <w:rsid w:val="009D4022"/>
    <w:rsid w:val="009D40E3"/>
    <w:rsid w:val="009D4124"/>
    <w:rsid w:val="009D4200"/>
    <w:rsid w:val="009D4206"/>
    <w:rsid w:val="009D422C"/>
    <w:rsid w:val="009D4236"/>
    <w:rsid w:val="009D433F"/>
    <w:rsid w:val="009D438D"/>
    <w:rsid w:val="009D444B"/>
    <w:rsid w:val="009D45E1"/>
    <w:rsid w:val="009D4609"/>
    <w:rsid w:val="009D46F8"/>
    <w:rsid w:val="009D48C0"/>
    <w:rsid w:val="009D48D7"/>
    <w:rsid w:val="009D48F4"/>
    <w:rsid w:val="009D49EB"/>
    <w:rsid w:val="009D4AC9"/>
    <w:rsid w:val="009D4B84"/>
    <w:rsid w:val="009D4F58"/>
    <w:rsid w:val="009D5075"/>
    <w:rsid w:val="009D507A"/>
    <w:rsid w:val="009D50B6"/>
    <w:rsid w:val="009D50E8"/>
    <w:rsid w:val="009D5107"/>
    <w:rsid w:val="009D5157"/>
    <w:rsid w:val="009D5253"/>
    <w:rsid w:val="009D5265"/>
    <w:rsid w:val="009D531F"/>
    <w:rsid w:val="009D537D"/>
    <w:rsid w:val="009D5443"/>
    <w:rsid w:val="009D5476"/>
    <w:rsid w:val="009D55AB"/>
    <w:rsid w:val="009D55C6"/>
    <w:rsid w:val="009D56A8"/>
    <w:rsid w:val="009D56DB"/>
    <w:rsid w:val="009D573D"/>
    <w:rsid w:val="009D5774"/>
    <w:rsid w:val="009D5909"/>
    <w:rsid w:val="009D5959"/>
    <w:rsid w:val="009D59B9"/>
    <w:rsid w:val="009D5A79"/>
    <w:rsid w:val="009D5AFA"/>
    <w:rsid w:val="009D5B39"/>
    <w:rsid w:val="009D5BC8"/>
    <w:rsid w:val="009D5C4D"/>
    <w:rsid w:val="009D5C64"/>
    <w:rsid w:val="009D5D4E"/>
    <w:rsid w:val="009D5D6E"/>
    <w:rsid w:val="009D5D8E"/>
    <w:rsid w:val="009D5DE5"/>
    <w:rsid w:val="009D5E02"/>
    <w:rsid w:val="009D5E44"/>
    <w:rsid w:val="009D5E56"/>
    <w:rsid w:val="009D5F4D"/>
    <w:rsid w:val="009D5FA8"/>
    <w:rsid w:val="009D604D"/>
    <w:rsid w:val="009D60F2"/>
    <w:rsid w:val="009D611E"/>
    <w:rsid w:val="009D616E"/>
    <w:rsid w:val="009D6490"/>
    <w:rsid w:val="009D6583"/>
    <w:rsid w:val="009D6630"/>
    <w:rsid w:val="009D6682"/>
    <w:rsid w:val="009D6714"/>
    <w:rsid w:val="009D6801"/>
    <w:rsid w:val="009D681E"/>
    <w:rsid w:val="009D684A"/>
    <w:rsid w:val="009D68CF"/>
    <w:rsid w:val="009D694D"/>
    <w:rsid w:val="009D698E"/>
    <w:rsid w:val="009D6A5F"/>
    <w:rsid w:val="009D6C03"/>
    <w:rsid w:val="009D6C48"/>
    <w:rsid w:val="009D6C9F"/>
    <w:rsid w:val="009D6CA6"/>
    <w:rsid w:val="009D6CFA"/>
    <w:rsid w:val="009D6D61"/>
    <w:rsid w:val="009D6DC3"/>
    <w:rsid w:val="009D6DF7"/>
    <w:rsid w:val="009D6E2E"/>
    <w:rsid w:val="009D6E83"/>
    <w:rsid w:val="009D6E8B"/>
    <w:rsid w:val="009D6EC3"/>
    <w:rsid w:val="009D6F34"/>
    <w:rsid w:val="009D6F86"/>
    <w:rsid w:val="009D6FBC"/>
    <w:rsid w:val="009D70A4"/>
    <w:rsid w:val="009D71BE"/>
    <w:rsid w:val="009D7327"/>
    <w:rsid w:val="009D7371"/>
    <w:rsid w:val="009D74AB"/>
    <w:rsid w:val="009D7566"/>
    <w:rsid w:val="009D7602"/>
    <w:rsid w:val="009D760A"/>
    <w:rsid w:val="009D762B"/>
    <w:rsid w:val="009D773B"/>
    <w:rsid w:val="009D7753"/>
    <w:rsid w:val="009D77F6"/>
    <w:rsid w:val="009D78DB"/>
    <w:rsid w:val="009D79A6"/>
    <w:rsid w:val="009D79B4"/>
    <w:rsid w:val="009D79BF"/>
    <w:rsid w:val="009D79CE"/>
    <w:rsid w:val="009D79DC"/>
    <w:rsid w:val="009D7B2C"/>
    <w:rsid w:val="009D7CA1"/>
    <w:rsid w:val="009D7CBD"/>
    <w:rsid w:val="009D7CC5"/>
    <w:rsid w:val="009D7D8F"/>
    <w:rsid w:val="009D7DF2"/>
    <w:rsid w:val="009D7F32"/>
    <w:rsid w:val="009D7F3C"/>
    <w:rsid w:val="009D7FAA"/>
    <w:rsid w:val="009D7FB8"/>
    <w:rsid w:val="009E007D"/>
    <w:rsid w:val="009E01A4"/>
    <w:rsid w:val="009E01BA"/>
    <w:rsid w:val="009E027D"/>
    <w:rsid w:val="009E0298"/>
    <w:rsid w:val="009E044D"/>
    <w:rsid w:val="009E047E"/>
    <w:rsid w:val="009E04FD"/>
    <w:rsid w:val="009E0529"/>
    <w:rsid w:val="009E057B"/>
    <w:rsid w:val="009E05F0"/>
    <w:rsid w:val="009E0606"/>
    <w:rsid w:val="009E0668"/>
    <w:rsid w:val="009E06BD"/>
    <w:rsid w:val="009E06C8"/>
    <w:rsid w:val="009E0713"/>
    <w:rsid w:val="009E0788"/>
    <w:rsid w:val="009E07C3"/>
    <w:rsid w:val="009E0902"/>
    <w:rsid w:val="009E0974"/>
    <w:rsid w:val="009E0ACA"/>
    <w:rsid w:val="009E0CD6"/>
    <w:rsid w:val="009E0D75"/>
    <w:rsid w:val="009E0FC1"/>
    <w:rsid w:val="009E0FFE"/>
    <w:rsid w:val="009E10AA"/>
    <w:rsid w:val="009E115C"/>
    <w:rsid w:val="009E1250"/>
    <w:rsid w:val="009E12F2"/>
    <w:rsid w:val="009E1381"/>
    <w:rsid w:val="009E138F"/>
    <w:rsid w:val="009E13F6"/>
    <w:rsid w:val="009E1551"/>
    <w:rsid w:val="009E1562"/>
    <w:rsid w:val="009E166B"/>
    <w:rsid w:val="009E1824"/>
    <w:rsid w:val="009E18CA"/>
    <w:rsid w:val="009E1AC5"/>
    <w:rsid w:val="009E1B0D"/>
    <w:rsid w:val="009E1BAD"/>
    <w:rsid w:val="009E1BC2"/>
    <w:rsid w:val="009E1C33"/>
    <w:rsid w:val="009E1DB3"/>
    <w:rsid w:val="009E1E98"/>
    <w:rsid w:val="009E1E9E"/>
    <w:rsid w:val="009E1ECF"/>
    <w:rsid w:val="009E1F3D"/>
    <w:rsid w:val="009E2009"/>
    <w:rsid w:val="009E2024"/>
    <w:rsid w:val="009E2062"/>
    <w:rsid w:val="009E20DF"/>
    <w:rsid w:val="009E21E1"/>
    <w:rsid w:val="009E223C"/>
    <w:rsid w:val="009E2243"/>
    <w:rsid w:val="009E2288"/>
    <w:rsid w:val="009E22F6"/>
    <w:rsid w:val="009E2340"/>
    <w:rsid w:val="009E2484"/>
    <w:rsid w:val="009E26B5"/>
    <w:rsid w:val="009E270D"/>
    <w:rsid w:val="009E274C"/>
    <w:rsid w:val="009E275E"/>
    <w:rsid w:val="009E27B6"/>
    <w:rsid w:val="009E2867"/>
    <w:rsid w:val="009E286C"/>
    <w:rsid w:val="009E2998"/>
    <w:rsid w:val="009E2AB8"/>
    <w:rsid w:val="009E2B1E"/>
    <w:rsid w:val="009E2B29"/>
    <w:rsid w:val="009E2BEC"/>
    <w:rsid w:val="009E2C01"/>
    <w:rsid w:val="009E2E0D"/>
    <w:rsid w:val="009E2E19"/>
    <w:rsid w:val="009E2F2D"/>
    <w:rsid w:val="009E2F88"/>
    <w:rsid w:val="009E31A3"/>
    <w:rsid w:val="009E323A"/>
    <w:rsid w:val="009E3262"/>
    <w:rsid w:val="009E330D"/>
    <w:rsid w:val="009E336C"/>
    <w:rsid w:val="009E33B3"/>
    <w:rsid w:val="009E34BA"/>
    <w:rsid w:val="009E34D5"/>
    <w:rsid w:val="009E34D9"/>
    <w:rsid w:val="009E3520"/>
    <w:rsid w:val="009E3554"/>
    <w:rsid w:val="009E35B1"/>
    <w:rsid w:val="009E35D0"/>
    <w:rsid w:val="009E3669"/>
    <w:rsid w:val="009E37C9"/>
    <w:rsid w:val="009E38FD"/>
    <w:rsid w:val="009E396E"/>
    <w:rsid w:val="009E3A0E"/>
    <w:rsid w:val="009E3A43"/>
    <w:rsid w:val="009E3AAD"/>
    <w:rsid w:val="009E3B83"/>
    <w:rsid w:val="009E3C28"/>
    <w:rsid w:val="009E3C40"/>
    <w:rsid w:val="009E3D36"/>
    <w:rsid w:val="009E3D48"/>
    <w:rsid w:val="009E3DFB"/>
    <w:rsid w:val="009E3E47"/>
    <w:rsid w:val="009E3E68"/>
    <w:rsid w:val="009E3EC6"/>
    <w:rsid w:val="009E3EF4"/>
    <w:rsid w:val="009E3F88"/>
    <w:rsid w:val="009E40A0"/>
    <w:rsid w:val="009E40FB"/>
    <w:rsid w:val="009E41F2"/>
    <w:rsid w:val="009E4252"/>
    <w:rsid w:val="009E4312"/>
    <w:rsid w:val="009E4334"/>
    <w:rsid w:val="009E4363"/>
    <w:rsid w:val="009E43D7"/>
    <w:rsid w:val="009E45FF"/>
    <w:rsid w:val="009E46A9"/>
    <w:rsid w:val="009E47D4"/>
    <w:rsid w:val="009E47D9"/>
    <w:rsid w:val="009E4802"/>
    <w:rsid w:val="009E484F"/>
    <w:rsid w:val="009E491F"/>
    <w:rsid w:val="009E49F6"/>
    <w:rsid w:val="009E4A07"/>
    <w:rsid w:val="009E4A13"/>
    <w:rsid w:val="009E4A76"/>
    <w:rsid w:val="009E4B6B"/>
    <w:rsid w:val="009E4BDC"/>
    <w:rsid w:val="009E4BF1"/>
    <w:rsid w:val="009E4BF7"/>
    <w:rsid w:val="009E4C2B"/>
    <w:rsid w:val="009E4C54"/>
    <w:rsid w:val="009E4CC6"/>
    <w:rsid w:val="009E4CE2"/>
    <w:rsid w:val="009E4D38"/>
    <w:rsid w:val="009E4D64"/>
    <w:rsid w:val="009E4D95"/>
    <w:rsid w:val="009E4DCA"/>
    <w:rsid w:val="009E4DE3"/>
    <w:rsid w:val="009E4F3E"/>
    <w:rsid w:val="009E50BB"/>
    <w:rsid w:val="009E50C7"/>
    <w:rsid w:val="009E51B5"/>
    <w:rsid w:val="009E5332"/>
    <w:rsid w:val="009E53C7"/>
    <w:rsid w:val="009E53DE"/>
    <w:rsid w:val="009E53F7"/>
    <w:rsid w:val="009E5475"/>
    <w:rsid w:val="009E559C"/>
    <w:rsid w:val="009E55C1"/>
    <w:rsid w:val="009E57EE"/>
    <w:rsid w:val="009E58EB"/>
    <w:rsid w:val="009E5921"/>
    <w:rsid w:val="009E5986"/>
    <w:rsid w:val="009E5988"/>
    <w:rsid w:val="009E59E7"/>
    <w:rsid w:val="009E5AC2"/>
    <w:rsid w:val="009E5B1A"/>
    <w:rsid w:val="009E5B67"/>
    <w:rsid w:val="009E5C76"/>
    <w:rsid w:val="009E5CAA"/>
    <w:rsid w:val="009E5D36"/>
    <w:rsid w:val="009E5DF1"/>
    <w:rsid w:val="009E5EFB"/>
    <w:rsid w:val="009E5F13"/>
    <w:rsid w:val="009E5F4F"/>
    <w:rsid w:val="009E5FCB"/>
    <w:rsid w:val="009E6019"/>
    <w:rsid w:val="009E602B"/>
    <w:rsid w:val="009E602F"/>
    <w:rsid w:val="009E60F6"/>
    <w:rsid w:val="009E613D"/>
    <w:rsid w:val="009E614C"/>
    <w:rsid w:val="009E61CF"/>
    <w:rsid w:val="009E6206"/>
    <w:rsid w:val="009E63C4"/>
    <w:rsid w:val="009E640E"/>
    <w:rsid w:val="009E647E"/>
    <w:rsid w:val="009E64A4"/>
    <w:rsid w:val="009E6502"/>
    <w:rsid w:val="009E6601"/>
    <w:rsid w:val="009E660B"/>
    <w:rsid w:val="009E6640"/>
    <w:rsid w:val="009E6650"/>
    <w:rsid w:val="009E669B"/>
    <w:rsid w:val="009E677A"/>
    <w:rsid w:val="009E679C"/>
    <w:rsid w:val="009E68B7"/>
    <w:rsid w:val="009E6914"/>
    <w:rsid w:val="009E6971"/>
    <w:rsid w:val="009E69A2"/>
    <w:rsid w:val="009E6AE0"/>
    <w:rsid w:val="009E6B3C"/>
    <w:rsid w:val="009E6BAB"/>
    <w:rsid w:val="009E6C8A"/>
    <w:rsid w:val="009E6D0A"/>
    <w:rsid w:val="009E6D63"/>
    <w:rsid w:val="009E6DC2"/>
    <w:rsid w:val="009E6E4F"/>
    <w:rsid w:val="009E6E6A"/>
    <w:rsid w:val="009E6F04"/>
    <w:rsid w:val="009E6F13"/>
    <w:rsid w:val="009E6F7A"/>
    <w:rsid w:val="009E7052"/>
    <w:rsid w:val="009E71DE"/>
    <w:rsid w:val="009E71E3"/>
    <w:rsid w:val="009E7217"/>
    <w:rsid w:val="009E72D3"/>
    <w:rsid w:val="009E7326"/>
    <w:rsid w:val="009E7374"/>
    <w:rsid w:val="009E74FA"/>
    <w:rsid w:val="009E7502"/>
    <w:rsid w:val="009E7548"/>
    <w:rsid w:val="009E75A0"/>
    <w:rsid w:val="009E76D0"/>
    <w:rsid w:val="009E76FE"/>
    <w:rsid w:val="009E78FE"/>
    <w:rsid w:val="009E7A0C"/>
    <w:rsid w:val="009E7A19"/>
    <w:rsid w:val="009E7A27"/>
    <w:rsid w:val="009E7AB5"/>
    <w:rsid w:val="009E7B35"/>
    <w:rsid w:val="009E7D16"/>
    <w:rsid w:val="009E7DAA"/>
    <w:rsid w:val="009E7E8B"/>
    <w:rsid w:val="009E7F81"/>
    <w:rsid w:val="009E7FC9"/>
    <w:rsid w:val="009E7FE4"/>
    <w:rsid w:val="009F000B"/>
    <w:rsid w:val="009F0061"/>
    <w:rsid w:val="009F00EB"/>
    <w:rsid w:val="009F0108"/>
    <w:rsid w:val="009F020A"/>
    <w:rsid w:val="009F022B"/>
    <w:rsid w:val="009F0276"/>
    <w:rsid w:val="009F02C9"/>
    <w:rsid w:val="009F0313"/>
    <w:rsid w:val="009F057B"/>
    <w:rsid w:val="009F057D"/>
    <w:rsid w:val="009F05AD"/>
    <w:rsid w:val="009F05BA"/>
    <w:rsid w:val="009F0648"/>
    <w:rsid w:val="009F06D2"/>
    <w:rsid w:val="009F07A9"/>
    <w:rsid w:val="009F09D5"/>
    <w:rsid w:val="009F0AE6"/>
    <w:rsid w:val="009F0B85"/>
    <w:rsid w:val="009F0C32"/>
    <w:rsid w:val="009F0CF9"/>
    <w:rsid w:val="009F0E88"/>
    <w:rsid w:val="009F0E9E"/>
    <w:rsid w:val="009F0EE6"/>
    <w:rsid w:val="009F0EE7"/>
    <w:rsid w:val="009F0F30"/>
    <w:rsid w:val="009F0F36"/>
    <w:rsid w:val="009F0F54"/>
    <w:rsid w:val="009F0FBF"/>
    <w:rsid w:val="009F0FEC"/>
    <w:rsid w:val="009F10F9"/>
    <w:rsid w:val="009F111A"/>
    <w:rsid w:val="009F116D"/>
    <w:rsid w:val="009F11AC"/>
    <w:rsid w:val="009F1241"/>
    <w:rsid w:val="009F127A"/>
    <w:rsid w:val="009F135B"/>
    <w:rsid w:val="009F13F0"/>
    <w:rsid w:val="009F14DB"/>
    <w:rsid w:val="009F1568"/>
    <w:rsid w:val="009F1847"/>
    <w:rsid w:val="009F18C9"/>
    <w:rsid w:val="009F1A25"/>
    <w:rsid w:val="009F1A4E"/>
    <w:rsid w:val="009F1B9D"/>
    <w:rsid w:val="009F1BDE"/>
    <w:rsid w:val="009F1C39"/>
    <w:rsid w:val="009F1CE7"/>
    <w:rsid w:val="009F1D24"/>
    <w:rsid w:val="009F1E63"/>
    <w:rsid w:val="009F1FD1"/>
    <w:rsid w:val="009F208C"/>
    <w:rsid w:val="009F2098"/>
    <w:rsid w:val="009F20C1"/>
    <w:rsid w:val="009F219C"/>
    <w:rsid w:val="009F2201"/>
    <w:rsid w:val="009F224E"/>
    <w:rsid w:val="009F22A4"/>
    <w:rsid w:val="009F234F"/>
    <w:rsid w:val="009F2426"/>
    <w:rsid w:val="009F2431"/>
    <w:rsid w:val="009F25D1"/>
    <w:rsid w:val="009F2741"/>
    <w:rsid w:val="009F28AB"/>
    <w:rsid w:val="009F28C2"/>
    <w:rsid w:val="009F299C"/>
    <w:rsid w:val="009F29A8"/>
    <w:rsid w:val="009F29DE"/>
    <w:rsid w:val="009F2A51"/>
    <w:rsid w:val="009F2CA3"/>
    <w:rsid w:val="009F2D5E"/>
    <w:rsid w:val="009F2E2C"/>
    <w:rsid w:val="009F2F16"/>
    <w:rsid w:val="009F2F8D"/>
    <w:rsid w:val="009F3049"/>
    <w:rsid w:val="009F3094"/>
    <w:rsid w:val="009F30C2"/>
    <w:rsid w:val="009F3103"/>
    <w:rsid w:val="009F3114"/>
    <w:rsid w:val="009F31CD"/>
    <w:rsid w:val="009F31CF"/>
    <w:rsid w:val="009F3364"/>
    <w:rsid w:val="009F33C6"/>
    <w:rsid w:val="009F3400"/>
    <w:rsid w:val="009F349F"/>
    <w:rsid w:val="009F3677"/>
    <w:rsid w:val="009F36D3"/>
    <w:rsid w:val="009F37F7"/>
    <w:rsid w:val="009F3989"/>
    <w:rsid w:val="009F39CD"/>
    <w:rsid w:val="009F3A41"/>
    <w:rsid w:val="009F3A65"/>
    <w:rsid w:val="009F3ADF"/>
    <w:rsid w:val="009F3B30"/>
    <w:rsid w:val="009F3BD6"/>
    <w:rsid w:val="009F3C0A"/>
    <w:rsid w:val="009F3C45"/>
    <w:rsid w:val="009F3C9B"/>
    <w:rsid w:val="009F3CBD"/>
    <w:rsid w:val="009F3CD5"/>
    <w:rsid w:val="009F3CE7"/>
    <w:rsid w:val="009F3D4F"/>
    <w:rsid w:val="009F3F2F"/>
    <w:rsid w:val="009F4003"/>
    <w:rsid w:val="009F405E"/>
    <w:rsid w:val="009F41EA"/>
    <w:rsid w:val="009F42D2"/>
    <w:rsid w:val="009F4304"/>
    <w:rsid w:val="009F4423"/>
    <w:rsid w:val="009F46EE"/>
    <w:rsid w:val="009F4700"/>
    <w:rsid w:val="009F4750"/>
    <w:rsid w:val="009F479E"/>
    <w:rsid w:val="009F47FE"/>
    <w:rsid w:val="009F4805"/>
    <w:rsid w:val="009F4952"/>
    <w:rsid w:val="009F495F"/>
    <w:rsid w:val="009F49E7"/>
    <w:rsid w:val="009F4A97"/>
    <w:rsid w:val="009F4AD8"/>
    <w:rsid w:val="009F4B96"/>
    <w:rsid w:val="009F4BC7"/>
    <w:rsid w:val="009F4C01"/>
    <w:rsid w:val="009F4CD8"/>
    <w:rsid w:val="009F4DE4"/>
    <w:rsid w:val="009F4E3E"/>
    <w:rsid w:val="009F4E77"/>
    <w:rsid w:val="009F4F01"/>
    <w:rsid w:val="009F4FB8"/>
    <w:rsid w:val="009F4FDC"/>
    <w:rsid w:val="009F5038"/>
    <w:rsid w:val="009F5081"/>
    <w:rsid w:val="009F5119"/>
    <w:rsid w:val="009F522D"/>
    <w:rsid w:val="009F525E"/>
    <w:rsid w:val="009F538A"/>
    <w:rsid w:val="009F5455"/>
    <w:rsid w:val="009F54F4"/>
    <w:rsid w:val="009F556C"/>
    <w:rsid w:val="009F5584"/>
    <w:rsid w:val="009F562E"/>
    <w:rsid w:val="009F581F"/>
    <w:rsid w:val="009F5828"/>
    <w:rsid w:val="009F588E"/>
    <w:rsid w:val="009F59B7"/>
    <w:rsid w:val="009F59B9"/>
    <w:rsid w:val="009F59FF"/>
    <w:rsid w:val="009F5A11"/>
    <w:rsid w:val="009F5AC2"/>
    <w:rsid w:val="009F5B1F"/>
    <w:rsid w:val="009F5C29"/>
    <w:rsid w:val="009F5C9F"/>
    <w:rsid w:val="009F5D2C"/>
    <w:rsid w:val="009F5F5F"/>
    <w:rsid w:val="009F5F85"/>
    <w:rsid w:val="009F5FC3"/>
    <w:rsid w:val="009F6224"/>
    <w:rsid w:val="009F6266"/>
    <w:rsid w:val="009F631D"/>
    <w:rsid w:val="009F63E4"/>
    <w:rsid w:val="009F64B4"/>
    <w:rsid w:val="009F64FD"/>
    <w:rsid w:val="009F6562"/>
    <w:rsid w:val="009F65E0"/>
    <w:rsid w:val="009F65EF"/>
    <w:rsid w:val="009F6650"/>
    <w:rsid w:val="009F6655"/>
    <w:rsid w:val="009F6737"/>
    <w:rsid w:val="009F6782"/>
    <w:rsid w:val="009F67A1"/>
    <w:rsid w:val="009F6940"/>
    <w:rsid w:val="009F6A6D"/>
    <w:rsid w:val="009F6AD1"/>
    <w:rsid w:val="009F6AED"/>
    <w:rsid w:val="009F6AF6"/>
    <w:rsid w:val="009F6BA5"/>
    <w:rsid w:val="009F6CBF"/>
    <w:rsid w:val="009F6CF0"/>
    <w:rsid w:val="009F6D14"/>
    <w:rsid w:val="009F6D8B"/>
    <w:rsid w:val="009F6E7D"/>
    <w:rsid w:val="009F70C5"/>
    <w:rsid w:val="009F70EE"/>
    <w:rsid w:val="009F7146"/>
    <w:rsid w:val="009F7176"/>
    <w:rsid w:val="009F718F"/>
    <w:rsid w:val="009F71C5"/>
    <w:rsid w:val="009F71F4"/>
    <w:rsid w:val="009F7220"/>
    <w:rsid w:val="009F74AE"/>
    <w:rsid w:val="009F74B1"/>
    <w:rsid w:val="009F74BE"/>
    <w:rsid w:val="009F7518"/>
    <w:rsid w:val="009F75B3"/>
    <w:rsid w:val="009F75E2"/>
    <w:rsid w:val="009F763C"/>
    <w:rsid w:val="009F7682"/>
    <w:rsid w:val="009F76C5"/>
    <w:rsid w:val="009F773E"/>
    <w:rsid w:val="009F774D"/>
    <w:rsid w:val="009F7751"/>
    <w:rsid w:val="009F7764"/>
    <w:rsid w:val="009F77CE"/>
    <w:rsid w:val="009F7815"/>
    <w:rsid w:val="009F78CB"/>
    <w:rsid w:val="009F7958"/>
    <w:rsid w:val="009F79DF"/>
    <w:rsid w:val="009F7B07"/>
    <w:rsid w:val="009F7B1D"/>
    <w:rsid w:val="009F7C31"/>
    <w:rsid w:val="009F7CEF"/>
    <w:rsid w:val="009F7E73"/>
    <w:rsid w:val="009F7F1B"/>
    <w:rsid w:val="009F7F3D"/>
    <w:rsid w:val="009F7F58"/>
    <w:rsid w:val="00A000A4"/>
    <w:rsid w:val="00A000AB"/>
    <w:rsid w:val="00A0011B"/>
    <w:rsid w:val="00A001D4"/>
    <w:rsid w:val="00A00280"/>
    <w:rsid w:val="00A00347"/>
    <w:rsid w:val="00A003F7"/>
    <w:rsid w:val="00A00536"/>
    <w:rsid w:val="00A00627"/>
    <w:rsid w:val="00A0077D"/>
    <w:rsid w:val="00A008E1"/>
    <w:rsid w:val="00A008EC"/>
    <w:rsid w:val="00A009C8"/>
    <w:rsid w:val="00A009D5"/>
    <w:rsid w:val="00A00A9B"/>
    <w:rsid w:val="00A00BB3"/>
    <w:rsid w:val="00A00C29"/>
    <w:rsid w:val="00A00D43"/>
    <w:rsid w:val="00A00D93"/>
    <w:rsid w:val="00A00DC5"/>
    <w:rsid w:val="00A00DF2"/>
    <w:rsid w:val="00A00E72"/>
    <w:rsid w:val="00A00E91"/>
    <w:rsid w:val="00A00F1A"/>
    <w:rsid w:val="00A00F2B"/>
    <w:rsid w:val="00A0108D"/>
    <w:rsid w:val="00A0115C"/>
    <w:rsid w:val="00A011E5"/>
    <w:rsid w:val="00A01373"/>
    <w:rsid w:val="00A01528"/>
    <w:rsid w:val="00A01564"/>
    <w:rsid w:val="00A01645"/>
    <w:rsid w:val="00A016B5"/>
    <w:rsid w:val="00A016CE"/>
    <w:rsid w:val="00A01758"/>
    <w:rsid w:val="00A017CD"/>
    <w:rsid w:val="00A0182E"/>
    <w:rsid w:val="00A018EF"/>
    <w:rsid w:val="00A018F9"/>
    <w:rsid w:val="00A01913"/>
    <w:rsid w:val="00A01927"/>
    <w:rsid w:val="00A01932"/>
    <w:rsid w:val="00A0195B"/>
    <w:rsid w:val="00A019EB"/>
    <w:rsid w:val="00A01A49"/>
    <w:rsid w:val="00A01CAB"/>
    <w:rsid w:val="00A01D06"/>
    <w:rsid w:val="00A01DDF"/>
    <w:rsid w:val="00A01DED"/>
    <w:rsid w:val="00A01DF7"/>
    <w:rsid w:val="00A01E1F"/>
    <w:rsid w:val="00A01E9F"/>
    <w:rsid w:val="00A01EE4"/>
    <w:rsid w:val="00A0201A"/>
    <w:rsid w:val="00A0202C"/>
    <w:rsid w:val="00A0214B"/>
    <w:rsid w:val="00A0215F"/>
    <w:rsid w:val="00A0229A"/>
    <w:rsid w:val="00A02400"/>
    <w:rsid w:val="00A024F9"/>
    <w:rsid w:val="00A02507"/>
    <w:rsid w:val="00A02586"/>
    <w:rsid w:val="00A026BF"/>
    <w:rsid w:val="00A0285E"/>
    <w:rsid w:val="00A0288B"/>
    <w:rsid w:val="00A028CF"/>
    <w:rsid w:val="00A029A7"/>
    <w:rsid w:val="00A02A7A"/>
    <w:rsid w:val="00A02ACF"/>
    <w:rsid w:val="00A02C71"/>
    <w:rsid w:val="00A02D14"/>
    <w:rsid w:val="00A02DC3"/>
    <w:rsid w:val="00A02DD6"/>
    <w:rsid w:val="00A02EA5"/>
    <w:rsid w:val="00A02EE0"/>
    <w:rsid w:val="00A02F81"/>
    <w:rsid w:val="00A02FA4"/>
    <w:rsid w:val="00A02FC4"/>
    <w:rsid w:val="00A032FE"/>
    <w:rsid w:val="00A0347E"/>
    <w:rsid w:val="00A034EB"/>
    <w:rsid w:val="00A0354B"/>
    <w:rsid w:val="00A03555"/>
    <w:rsid w:val="00A03569"/>
    <w:rsid w:val="00A03578"/>
    <w:rsid w:val="00A035A7"/>
    <w:rsid w:val="00A0362F"/>
    <w:rsid w:val="00A036BE"/>
    <w:rsid w:val="00A0373A"/>
    <w:rsid w:val="00A037E4"/>
    <w:rsid w:val="00A03857"/>
    <w:rsid w:val="00A038AA"/>
    <w:rsid w:val="00A038E6"/>
    <w:rsid w:val="00A03A0C"/>
    <w:rsid w:val="00A03AF6"/>
    <w:rsid w:val="00A03B00"/>
    <w:rsid w:val="00A03B68"/>
    <w:rsid w:val="00A03B8F"/>
    <w:rsid w:val="00A03BD7"/>
    <w:rsid w:val="00A03CC8"/>
    <w:rsid w:val="00A03EEE"/>
    <w:rsid w:val="00A03FAE"/>
    <w:rsid w:val="00A04077"/>
    <w:rsid w:val="00A0413D"/>
    <w:rsid w:val="00A04143"/>
    <w:rsid w:val="00A041E2"/>
    <w:rsid w:val="00A04205"/>
    <w:rsid w:val="00A0420B"/>
    <w:rsid w:val="00A0427D"/>
    <w:rsid w:val="00A04350"/>
    <w:rsid w:val="00A045B0"/>
    <w:rsid w:val="00A047F4"/>
    <w:rsid w:val="00A04867"/>
    <w:rsid w:val="00A04950"/>
    <w:rsid w:val="00A04A5B"/>
    <w:rsid w:val="00A04A9C"/>
    <w:rsid w:val="00A04B33"/>
    <w:rsid w:val="00A04C33"/>
    <w:rsid w:val="00A04C4E"/>
    <w:rsid w:val="00A04CCC"/>
    <w:rsid w:val="00A04CFC"/>
    <w:rsid w:val="00A04D70"/>
    <w:rsid w:val="00A04F58"/>
    <w:rsid w:val="00A0502E"/>
    <w:rsid w:val="00A0517F"/>
    <w:rsid w:val="00A051D2"/>
    <w:rsid w:val="00A05269"/>
    <w:rsid w:val="00A054FD"/>
    <w:rsid w:val="00A0552B"/>
    <w:rsid w:val="00A0556F"/>
    <w:rsid w:val="00A0564A"/>
    <w:rsid w:val="00A05695"/>
    <w:rsid w:val="00A056A0"/>
    <w:rsid w:val="00A057AD"/>
    <w:rsid w:val="00A057EC"/>
    <w:rsid w:val="00A05972"/>
    <w:rsid w:val="00A05A2D"/>
    <w:rsid w:val="00A05B8D"/>
    <w:rsid w:val="00A05B9F"/>
    <w:rsid w:val="00A05C0E"/>
    <w:rsid w:val="00A05D60"/>
    <w:rsid w:val="00A05D6C"/>
    <w:rsid w:val="00A05DA9"/>
    <w:rsid w:val="00A05DE0"/>
    <w:rsid w:val="00A05E0D"/>
    <w:rsid w:val="00A05E50"/>
    <w:rsid w:val="00A05E5D"/>
    <w:rsid w:val="00A05F62"/>
    <w:rsid w:val="00A05F66"/>
    <w:rsid w:val="00A05FA2"/>
    <w:rsid w:val="00A05FA5"/>
    <w:rsid w:val="00A05FBA"/>
    <w:rsid w:val="00A0633B"/>
    <w:rsid w:val="00A06401"/>
    <w:rsid w:val="00A06481"/>
    <w:rsid w:val="00A06506"/>
    <w:rsid w:val="00A06706"/>
    <w:rsid w:val="00A06708"/>
    <w:rsid w:val="00A06780"/>
    <w:rsid w:val="00A0692E"/>
    <w:rsid w:val="00A06A45"/>
    <w:rsid w:val="00A06AE0"/>
    <w:rsid w:val="00A06B11"/>
    <w:rsid w:val="00A06BAF"/>
    <w:rsid w:val="00A06CEE"/>
    <w:rsid w:val="00A06D51"/>
    <w:rsid w:val="00A06DD6"/>
    <w:rsid w:val="00A06E27"/>
    <w:rsid w:val="00A06E7A"/>
    <w:rsid w:val="00A0703F"/>
    <w:rsid w:val="00A0704B"/>
    <w:rsid w:val="00A0713C"/>
    <w:rsid w:val="00A07170"/>
    <w:rsid w:val="00A0723D"/>
    <w:rsid w:val="00A07500"/>
    <w:rsid w:val="00A075EB"/>
    <w:rsid w:val="00A078D0"/>
    <w:rsid w:val="00A078D2"/>
    <w:rsid w:val="00A07908"/>
    <w:rsid w:val="00A079B9"/>
    <w:rsid w:val="00A07A78"/>
    <w:rsid w:val="00A07AAB"/>
    <w:rsid w:val="00A07BAD"/>
    <w:rsid w:val="00A07C26"/>
    <w:rsid w:val="00A07C49"/>
    <w:rsid w:val="00A07CA6"/>
    <w:rsid w:val="00A07CFE"/>
    <w:rsid w:val="00A07D1E"/>
    <w:rsid w:val="00A07DA8"/>
    <w:rsid w:val="00A07F98"/>
    <w:rsid w:val="00A10084"/>
    <w:rsid w:val="00A1008C"/>
    <w:rsid w:val="00A100B5"/>
    <w:rsid w:val="00A101E6"/>
    <w:rsid w:val="00A10225"/>
    <w:rsid w:val="00A10276"/>
    <w:rsid w:val="00A10293"/>
    <w:rsid w:val="00A102DD"/>
    <w:rsid w:val="00A10373"/>
    <w:rsid w:val="00A10383"/>
    <w:rsid w:val="00A10536"/>
    <w:rsid w:val="00A105D6"/>
    <w:rsid w:val="00A1060E"/>
    <w:rsid w:val="00A106D6"/>
    <w:rsid w:val="00A1090A"/>
    <w:rsid w:val="00A10974"/>
    <w:rsid w:val="00A1099C"/>
    <w:rsid w:val="00A109D2"/>
    <w:rsid w:val="00A10A6E"/>
    <w:rsid w:val="00A10D20"/>
    <w:rsid w:val="00A10D32"/>
    <w:rsid w:val="00A10DCD"/>
    <w:rsid w:val="00A10DD3"/>
    <w:rsid w:val="00A10EAC"/>
    <w:rsid w:val="00A10EBC"/>
    <w:rsid w:val="00A10F27"/>
    <w:rsid w:val="00A10F2A"/>
    <w:rsid w:val="00A10F48"/>
    <w:rsid w:val="00A11051"/>
    <w:rsid w:val="00A11081"/>
    <w:rsid w:val="00A110A6"/>
    <w:rsid w:val="00A11502"/>
    <w:rsid w:val="00A11536"/>
    <w:rsid w:val="00A11570"/>
    <w:rsid w:val="00A1157B"/>
    <w:rsid w:val="00A115A7"/>
    <w:rsid w:val="00A1175B"/>
    <w:rsid w:val="00A1179B"/>
    <w:rsid w:val="00A117B2"/>
    <w:rsid w:val="00A11807"/>
    <w:rsid w:val="00A11885"/>
    <w:rsid w:val="00A11920"/>
    <w:rsid w:val="00A11992"/>
    <w:rsid w:val="00A11A8A"/>
    <w:rsid w:val="00A11AAC"/>
    <w:rsid w:val="00A11B54"/>
    <w:rsid w:val="00A11BC5"/>
    <w:rsid w:val="00A11BF9"/>
    <w:rsid w:val="00A11C2B"/>
    <w:rsid w:val="00A11CA0"/>
    <w:rsid w:val="00A11D4F"/>
    <w:rsid w:val="00A11DA3"/>
    <w:rsid w:val="00A11DBE"/>
    <w:rsid w:val="00A11DC9"/>
    <w:rsid w:val="00A11F6C"/>
    <w:rsid w:val="00A11FC2"/>
    <w:rsid w:val="00A12013"/>
    <w:rsid w:val="00A12059"/>
    <w:rsid w:val="00A12140"/>
    <w:rsid w:val="00A1214C"/>
    <w:rsid w:val="00A12152"/>
    <w:rsid w:val="00A12212"/>
    <w:rsid w:val="00A1223B"/>
    <w:rsid w:val="00A122F4"/>
    <w:rsid w:val="00A124AB"/>
    <w:rsid w:val="00A12514"/>
    <w:rsid w:val="00A1253E"/>
    <w:rsid w:val="00A12557"/>
    <w:rsid w:val="00A12585"/>
    <w:rsid w:val="00A125CF"/>
    <w:rsid w:val="00A12662"/>
    <w:rsid w:val="00A1270A"/>
    <w:rsid w:val="00A12780"/>
    <w:rsid w:val="00A127B0"/>
    <w:rsid w:val="00A127F8"/>
    <w:rsid w:val="00A1293D"/>
    <w:rsid w:val="00A12949"/>
    <w:rsid w:val="00A12951"/>
    <w:rsid w:val="00A12955"/>
    <w:rsid w:val="00A129C0"/>
    <w:rsid w:val="00A129F3"/>
    <w:rsid w:val="00A129FA"/>
    <w:rsid w:val="00A12AE6"/>
    <w:rsid w:val="00A12B2E"/>
    <w:rsid w:val="00A12B70"/>
    <w:rsid w:val="00A12C29"/>
    <w:rsid w:val="00A12C5A"/>
    <w:rsid w:val="00A12CCD"/>
    <w:rsid w:val="00A12D38"/>
    <w:rsid w:val="00A12DB2"/>
    <w:rsid w:val="00A12EFD"/>
    <w:rsid w:val="00A12F69"/>
    <w:rsid w:val="00A12F9E"/>
    <w:rsid w:val="00A13048"/>
    <w:rsid w:val="00A13112"/>
    <w:rsid w:val="00A131B9"/>
    <w:rsid w:val="00A1321F"/>
    <w:rsid w:val="00A1328E"/>
    <w:rsid w:val="00A132B0"/>
    <w:rsid w:val="00A13333"/>
    <w:rsid w:val="00A13427"/>
    <w:rsid w:val="00A1343F"/>
    <w:rsid w:val="00A1350A"/>
    <w:rsid w:val="00A1358B"/>
    <w:rsid w:val="00A135B5"/>
    <w:rsid w:val="00A1360F"/>
    <w:rsid w:val="00A13620"/>
    <w:rsid w:val="00A136D9"/>
    <w:rsid w:val="00A136EC"/>
    <w:rsid w:val="00A13786"/>
    <w:rsid w:val="00A137A9"/>
    <w:rsid w:val="00A1380E"/>
    <w:rsid w:val="00A1382B"/>
    <w:rsid w:val="00A1390C"/>
    <w:rsid w:val="00A13976"/>
    <w:rsid w:val="00A139EF"/>
    <w:rsid w:val="00A13A7A"/>
    <w:rsid w:val="00A13AA5"/>
    <w:rsid w:val="00A13AFB"/>
    <w:rsid w:val="00A13B63"/>
    <w:rsid w:val="00A13C07"/>
    <w:rsid w:val="00A13CAC"/>
    <w:rsid w:val="00A13D63"/>
    <w:rsid w:val="00A13D76"/>
    <w:rsid w:val="00A13DA1"/>
    <w:rsid w:val="00A13DCF"/>
    <w:rsid w:val="00A13DEE"/>
    <w:rsid w:val="00A13E87"/>
    <w:rsid w:val="00A13EC5"/>
    <w:rsid w:val="00A13FED"/>
    <w:rsid w:val="00A14005"/>
    <w:rsid w:val="00A1402D"/>
    <w:rsid w:val="00A140BA"/>
    <w:rsid w:val="00A14212"/>
    <w:rsid w:val="00A142B5"/>
    <w:rsid w:val="00A14394"/>
    <w:rsid w:val="00A143B7"/>
    <w:rsid w:val="00A143E3"/>
    <w:rsid w:val="00A14499"/>
    <w:rsid w:val="00A144E4"/>
    <w:rsid w:val="00A14564"/>
    <w:rsid w:val="00A1477F"/>
    <w:rsid w:val="00A147E6"/>
    <w:rsid w:val="00A14808"/>
    <w:rsid w:val="00A14912"/>
    <w:rsid w:val="00A14944"/>
    <w:rsid w:val="00A1495E"/>
    <w:rsid w:val="00A1498B"/>
    <w:rsid w:val="00A14A2E"/>
    <w:rsid w:val="00A14B20"/>
    <w:rsid w:val="00A14C31"/>
    <w:rsid w:val="00A14D14"/>
    <w:rsid w:val="00A14DE6"/>
    <w:rsid w:val="00A14E2B"/>
    <w:rsid w:val="00A14F7C"/>
    <w:rsid w:val="00A14F8D"/>
    <w:rsid w:val="00A1502D"/>
    <w:rsid w:val="00A15079"/>
    <w:rsid w:val="00A150A9"/>
    <w:rsid w:val="00A150B9"/>
    <w:rsid w:val="00A150C3"/>
    <w:rsid w:val="00A152B1"/>
    <w:rsid w:val="00A152D2"/>
    <w:rsid w:val="00A153AC"/>
    <w:rsid w:val="00A1540F"/>
    <w:rsid w:val="00A15410"/>
    <w:rsid w:val="00A154A8"/>
    <w:rsid w:val="00A154B6"/>
    <w:rsid w:val="00A154EC"/>
    <w:rsid w:val="00A154F4"/>
    <w:rsid w:val="00A1564B"/>
    <w:rsid w:val="00A1568F"/>
    <w:rsid w:val="00A156DD"/>
    <w:rsid w:val="00A15854"/>
    <w:rsid w:val="00A159F2"/>
    <w:rsid w:val="00A15A43"/>
    <w:rsid w:val="00A15AE3"/>
    <w:rsid w:val="00A15BE7"/>
    <w:rsid w:val="00A15C67"/>
    <w:rsid w:val="00A15C7A"/>
    <w:rsid w:val="00A15D34"/>
    <w:rsid w:val="00A15DA0"/>
    <w:rsid w:val="00A15DC6"/>
    <w:rsid w:val="00A15E43"/>
    <w:rsid w:val="00A15E4B"/>
    <w:rsid w:val="00A15ED7"/>
    <w:rsid w:val="00A15EDC"/>
    <w:rsid w:val="00A15F7B"/>
    <w:rsid w:val="00A15FC4"/>
    <w:rsid w:val="00A160A7"/>
    <w:rsid w:val="00A160B0"/>
    <w:rsid w:val="00A1615A"/>
    <w:rsid w:val="00A161C4"/>
    <w:rsid w:val="00A16252"/>
    <w:rsid w:val="00A16317"/>
    <w:rsid w:val="00A16359"/>
    <w:rsid w:val="00A1644F"/>
    <w:rsid w:val="00A164F5"/>
    <w:rsid w:val="00A16554"/>
    <w:rsid w:val="00A165E7"/>
    <w:rsid w:val="00A16630"/>
    <w:rsid w:val="00A16665"/>
    <w:rsid w:val="00A1671B"/>
    <w:rsid w:val="00A16779"/>
    <w:rsid w:val="00A1679D"/>
    <w:rsid w:val="00A167F9"/>
    <w:rsid w:val="00A168BD"/>
    <w:rsid w:val="00A1694C"/>
    <w:rsid w:val="00A1695B"/>
    <w:rsid w:val="00A1697D"/>
    <w:rsid w:val="00A16993"/>
    <w:rsid w:val="00A169FA"/>
    <w:rsid w:val="00A16A12"/>
    <w:rsid w:val="00A16B5B"/>
    <w:rsid w:val="00A16E38"/>
    <w:rsid w:val="00A16E42"/>
    <w:rsid w:val="00A16EBB"/>
    <w:rsid w:val="00A16F1E"/>
    <w:rsid w:val="00A17041"/>
    <w:rsid w:val="00A1706B"/>
    <w:rsid w:val="00A17071"/>
    <w:rsid w:val="00A1710D"/>
    <w:rsid w:val="00A172A2"/>
    <w:rsid w:val="00A1732A"/>
    <w:rsid w:val="00A17338"/>
    <w:rsid w:val="00A1733D"/>
    <w:rsid w:val="00A174A9"/>
    <w:rsid w:val="00A174DE"/>
    <w:rsid w:val="00A1758A"/>
    <w:rsid w:val="00A175B4"/>
    <w:rsid w:val="00A1769F"/>
    <w:rsid w:val="00A1771A"/>
    <w:rsid w:val="00A17853"/>
    <w:rsid w:val="00A1791D"/>
    <w:rsid w:val="00A17CBB"/>
    <w:rsid w:val="00A17CC4"/>
    <w:rsid w:val="00A17D0D"/>
    <w:rsid w:val="00A17E97"/>
    <w:rsid w:val="00A17F68"/>
    <w:rsid w:val="00A17F81"/>
    <w:rsid w:val="00A17F98"/>
    <w:rsid w:val="00A17FBA"/>
    <w:rsid w:val="00A17FFA"/>
    <w:rsid w:val="00A200E4"/>
    <w:rsid w:val="00A200E9"/>
    <w:rsid w:val="00A20135"/>
    <w:rsid w:val="00A2014D"/>
    <w:rsid w:val="00A20156"/>
    <w:rsid w:val="00A201E0"/>
    <w:rsid w:val="00A2022E"/>
    <w:rsid w:val="00A20233"/>
    <w:rsid w:val="00A20329"/>
    <w:rsid w:val="00A20385"/>
    <w:rsid w:val="00A2045E"/>
    <w:rsid w:val="00A20487"/>
    <w:rsid w:val="00A204FF"/>
    <w:rsid w:val="00A20549"/>
    <w:rsid w:val="00A20833"/>
    <w:rsid w:val="00A20908"/>
    <w:rsid w:val="00A20958"/>
    <w:rsid w:val="00A20A9D"/>
    <w:rsid w:val="00A20AD1"/>
    <w:rsid w:val="00A20B01"/>
    <w:rsid w:val="00A20B25"/>
    <w:rsid w:val="00A20CB4"/>
    <w:rsid w:val="00A20CEE"/>
    <w:rsid w:val="00A20D53"/>
    <w:rsid w:val="00A20D84"/>
    <w:rsid w:val="00A20DBB"/>
    <w:rsid w:val="00A20E56"/>
    <w:rsid w:val="00A20E98"/>
    <w:rsid w:val="00A20EA7"/>
    <w:rsid w:val="00A20ED1"/>
    <w:rsid w:val="00A20F87"/>
    <w:rsid w:val="00A20FD6"/>
    <w:rsid w:val="00A20FF5"/>
    <w:rsid w:val="00A2103C"/>
    <w:rsid w:val="00A21255"/>
    <w:rsid w:val="00A21380"/>
    <w:rsid w:val="00A213A0"/>
    <w:rsid w:val="00A21453"/>
    <w:rsid w:val="00A21564"/>
    <w:rsid w:val="00A217F2"/>
    <w:rsid w:val="00A21904"/>
    <w:rsid w:val="00A21922"/>
    <w:rsid w:val="00A219FB"/>
    <w:rsid w:val="00A21A79"/>
    <w:rsid w:val="00A21C67"/>
    <w:rsid w:val="00A21D5E"/>
    <w:rsid w:val="00A21D72"/>
    <w:rsid w:val="00A21DDA"/>
    <w:rsid w:val="00A21DE1"/>
    <w:rsid w:val="00A21F73"/>
    <w:rsid w:val="00A2212C"/>
    <w:rsid w:val="00A221B7"/>
    <w:rsid w:val="00A22258"/>
    <w:rsid w:val="00A22292"/>
    <w:rsid w:val="00A222A0"/>
    <w:rsid w:val="00A222FD"/>
    <w:rsid w:val="00A222FF"/>
    <w:rsid w:val="00A22396"/>
    <w:rsid w:val="00A2243C"/>
    <w:rsid w:val="00A2243E"/>
    <w:rsid w:val="00A22450"/>
    <w:rsid w:val="00A224DF"/>
    <w:rsid w:val="00A224FA"/>
    <w:rsid w:val="00A22525"/>
    <w:rsid w:val="00A22702"/>
    <w:rsid w:val="00A22735"/>
    <w:rsid w:val="00A2273D"/>
    <w:rsid w:val="00A227B0"/>
    <w:rsid w:val="00A22889"/>
    <w:rsid w:val="00A228BB"/>
    <w:rsid w:val="00A22945"/>
    <w:rsid w:val="00A2295E"/>
    <w:rsid w:val="00A22992"/>
    <w:rsid w:val="00A22A50"/>
    <w:rsid w:val="00A22B66"/>
    <w:rsid w:val="00A22C30"/>
    <w:rsid w:val="00A22C98"/>
    <w:rsid w:val="00A22CFD"/>
    <w:rsid w:val="00A22D53"/>
    <w:rsid w:val="00A22D85"/>
    <w:rsid w:val="00A22ECE"/>
    <w:rsid w:val="00A22FEA"/>
    <w:rsid w:val="00A23164"/>
    <w:rsid w:val="00A2322A"/>
    <w:rsid w:val="00A23377"/>
    <w:rsid w:val="00A23398"/>
    <w:rsid w:val="00A233C9"/>
    <w:rsid w:val="00A2361C"/>
    <w:rsid w:val="00A23626"/>
    <w:rsid w:val="00A23700"/>
    <w:rsid w:val="00A237B5"/>
    <w:rsid w:val="00A237BF"/>
    <w:rsid w:val="00A2382D"/>
    <w:rsid w:val="00A23894"/>
    <w:rsid w:val="00A238B1"/>
    <w:rsid w:val="00A239A3"/>
    <w:rsid w:val="00A23A6A"/>
    <w:rsid w:val="00A23B30"/>
    <w:rsid w:val="00A23B59"/>
    <w:rsid w:val="00A23B9F"/>
    <w:rsid w:val="00A23C4C"/>
    <w:rsid w:val="00A23C78"/>
    <w:rsid w:val="00A23C84"/>
    <w:rsid w:val="00A23CAF"/>
    <w:rsid w:val="00A23E2E"/>
    <w:rsid w:val="00A23E99"/>
    <w:rsid w:val="00A23EEB"/>
    <w:rsid w:val="00A23F45"/>
    <w:rsid w:val="00A24096"/>
    <w:rsid w:val="00A24200"/>
    <w:rsid w:val="00A24375"/>
    <w:rsid w:val="00A2437B"/>
    <w:rsid w:val="00A243D9"/>
    <w:rsid w:val="00A2445B"/>
    <w:rsid w:val="00A24542"/>
    <w:rsid w:val="00A245B3"/>
    <w:rsid w:val="00A246BE"/>
    <w:rsid w:val="00A24704"/>
    <w:rsid w:val="00A247A9"/>
    <w:rsid w:val="00A2486C"/>
    <w:rsid w:val="00A248EB"/>
    <w:rsid w:val="00A24A79"/>
    <w:rsid w:val="00A24AAB"/>
    <w:rsid w:val="00A24AAF"/>
    <w:rsid w:val="00A24BA5"/>
    <w:rsid w:val="00A24CBF"/>
    <w:rsid w:val="00A24CDD"/>
    <w:rsid w:val="00A24D60"/>
    <w:rsid w:val="00A24D93"/>
    <w:rsid w:val="00A24DAE"/>
    <w:rsid w:val="00A24E27"/>
    <w:rsid w:val="00A2509D"/>
    <w:rsid w:val="00A2511F"/>
    <w:rsid w:val="00A25120"/>
    <w:rsid w:val="00A25224"/>
    <w:rsid w:val="00A2522D"/>
    <w:rsid w:val="00A25582"/>
    <w:rsid w:val="00A2561B"/>
    <w:rsid w:val="00A25682"/>
    <w:rsid w:val="00A25701"/>
    <w:rsid w:val="00A25760"/>
    <w:rsid w:val="00A257F1"/>
    <w:rsid w:val="00A25908"/>
    <w:rsid w:val="00A25968"/>
    <w:rsid w:val="00A259F8"/>
    <w:rsid w:val="00A25C2F"/>
    <w:rsid w:val="00A25C66"/>
    <w:rsid w:val="00A25D30"/>
    <w:rsid w:val="00A25DC5"/>
    <w:rsid w:val="00A26036"/>
    <w:rsid w:val="00A261B5"/>
    <w:rsid w:val="00A261BA"/>
    <w:rsid w:val="00A2626D"/>
    <w:rsid w:val="00A264BD"/>
    <w:rsid w:val="00A2650E"/>
    <w:rsid w:val="00A26579"/>
    <w:rsid w:val="00A265B6"/>
    <w:rsid w:val="00A2677C"/>
    <w:rsid w:val="00A267D0"/>
    <w:rsid w:val="00A267D3"/>
    <w:rsid w:val="00A26860"/>
    <w:rsid w:val="00A2686A"/>
    <w:rsid w:val="00A269A6"/>
    <w:rsid w:val="00A26A11"/>
    <w:rsid w:val="00A26A8C"/>
    <w:rsid w:val="00A26B0E"/>
    <w:rsid w:val="00A26C2E"/>
    <w:rsid w:val="00A26C78"/>
    <w:rsid w:val="00A26F18"/>
    <w:rsid w:val="00A26F1E"/>
    <w:rsid w:val="00A26F85"/>
    <w:rsid w:val="00A26FFB"/>
    <w:rsid w:val="00A27104"/>
    <w:rsid w:val="00A27167"/>
    <w:rsid w:val="00A2716E"/>
    <w:rsid w:val="00A27173"/>
    <w:rsid w:val="00A271F9"/>
    <w:rsid w:val="00A27216"/>
    <w:rsid w:val="00A27298"/>
    <w:rsid w:val="00A27334"/>
    <w:rsid w:val="00A27411"/>
    <w:rsid w:val="00A27435"/>
    <w:rsid w:val="00A2754C"/>
    <w:rsid w:val="00A27750"/>
    <w:rsid w:val="00A2777E"/>
    <w:rsid w:val="00A2778C"/>
    <w:rsid w:val="00A277A8"/>
    <w:rsid w:val="00A278E4"/>
    <w:rsid w:val="00A27A9A"/>
    <w:rsid w:val="00A27B32"/>
    <w:rsid w:val="00A27C58"/>
    <w:rsid w:val="00A27C5A"/>
    <w:rsid w:val="00A27C9A"/>
    <w:rsid w:val="00A27E4D"/>
    <w:rsid w:val="00A27F78"/>
    <w:rsid w:val="00A27FDF"/>
    <w:rsid w:val="00A27FE3"/>
    <w:rsid w:val="00A3000D"/>
    <w:rsid w:val="00A3005A"/>
    <w:rsid w:val="00A300B4"/>
    <w:rsid w:val="00A3012C"/>
    <w:rsid w:val="00A301B0"/>
    <w:rsid w:val="00A30241"/>
    <w:rsid w:val="00A302B8"/>
    <w:rsid w:val="00A30324"/>
    <w:rsid w:val="00A30366"/>
    <w:rsid w:val="00A303E9"/>
    <w:rsid w:val="00A303EC"/>
    <w:rsid w:val="00A303FC"/>
    <w:rsid w:val="00A305A0"/>
    <w:rsid w:val="00A3060B"/>
    <w:rsid w:val="00A307EE"/>
    <w:rsid w:val="00A30874"/>
    <w:rsid w:val="00A30960"/>
    <w:rsid w:val="00A30B5C"/>
    <w:rsid w:val="00A30D35"/>
    <w:rsid w:val="00A30D94"/>
    <w:rsid w:val="00A30E63"/>
    <w:rsid w:val="00A31043"/>
    <w:rsid w:val="00A3107E"/>
    <w:rsid w:val="00A312E5"/>
    <w:rsid w:val="00A313C0"/>
    <w:rsid w:val="00A314AF"/>
    <w:rsid w:val="00A31721"/>
    <w:rsid w:val="00A31754"/>
    <w:rsid w:val="00A318C3"/>
    <w:rsid w:val="00A31974"/>
    <w:rsid w:val="00A31ACF"/>
    <w:rsid w:val="00A31B02"/>
    <w:rsid w:val="00A31B36"/>
    <w:rsid w:val="00A31B4F"/>
    <w:rsid w:val="00A31CC8"/>
    <w:rsid w:val="00A31CC9"/>
    <w:rsid w:val="00A31D1F"/>
    <w:rsid w:val="00A31EF7"/>
    <w:rsid w:val="00A31F06"/>
    <w:rsid w:val="00A31FBE"/>
    <w:rsid w:val="00A32048"/>
    <w:rsid w:val="00A32138"/>
    <w:rsid w:val="00A3214E"/>
    <w:rsid w:val="00A32161"/>
    <w:rsid w:val="00A321C4"/>
    <w:rsid w:val="00A32201"/>
    <w:rsid w:val="00A322BC"/>
    <w:rsid w:val="00A32303"/>
    <w:rsid w:val="00A32345"/>
    <w:rsid w:val="00A323A5"/>
    <w:rsid w:val="00A323B6"/>
    <w:rsid w:val="00A324F4"/>
    <w:rsid w:val="00A3250B"/>
    <w:rsid w:val="00A325A7"/>
    <w:rsid w:val="00A325EA"/>
    <w:rsid w:val="00A3266C"/>
    <w:rsid w:val="00A3267C"/>
    <w:rsid w:val="00A326DF"/>
    <w:rsid w:val="00A326F0"/>
    <w:rsid w:val="00A3290D"/>
    <w:rsid w:val="00A32A3D"/>
    <w:rsid w:val="00A32C0F"/>
    <w:rsid w:val="00A32C94"/>
    <w:rsid w:val="00A32CDA"/>
    <w:rsid w:val="00A32CE2"/>
    <w:rsid w:val="00A32E3C"/>
    <w:rsid w:val="00A32E49"/>
    <w:rsid w:val="00A32E79"/>
    <w:rsid w:val="00A32EA6"/>
    <w:rsid w:val="00A32EAA"/>
    <w:rsid w:val="00A32EBE"/>
    <w:rsid w:val="00A32ED8"/>
    <w:rsid w:val="00A3303B"/>
    <w:rsid w:val="00A3311D"/>
    <w:rsid w:val="00A33124"/>
    <w:rsid w:val="00A3327F"/>
    <w:rsid w:val="00A332AE"/>
    <w:rsid w:val="00A333CD"/>
    <w:rsid w:val="00A333E4"/>
    <w:rsid w:val="00A333EB"/>
    <w:rsid w:val="00A3340E"/>
    <w:rsid w:val="00A3343F"/>
    <w:rsid w:val="00A33482"/>
    <w:rsid w:val="00A33496"/>
    <w:rsid w:val="00A334ED"/>
    <w:rsid w:val="00A3354C"/>
    <w:rsid w:val="00A335D8"/>
    <w:rsid w:val="00A336B2"/>
    <w:rsid w:val="00A33741"/>
    <w:rsid w:val="00A337F9"/>
    <w:rsid w:val="00A337FA"/>
    <w:rsid w:val="00A338A3"/>
    <w:rsid w:val="00A33C91"/>
    <w:rsid w:val="00A33D88"/>
    <w:rsid w:val="00A33D9B"/>
    <w:rsid w:val="00A33FC4"/>
    <w:rsid w:val="00A33FDC"/>
    <w:rsid w:val="00A34127"/>
    <w:rsid w:val="00A3418F"/>
    <w:rsid w:val="00A341D3"/>
    <w:rsid w:val="00A34333"/>
    <w:rsid w:val="00A3433D"/>
    <w:rsid w:val="00A343CB"/>
    <w:rsid w:val="00A3443E"/>
    <w:rsid w:val="00A34455"/>
    <w:rsid w:val="00A344BA"/>
    <w:rsid w:val="00A344BF"/>
    <w:rsid w:val="00A3462D"/>
    <w:rsid w:val="00A3479A"/>
    <w:rsid w:val="00A3480A"/>
    <w:rsid w:val="00A34868"/>
    <w:rsid w:val="00A348C0"/>
    <w:rsid w:val="00A34AC6"/>
    <w:rsid w:val="00A34BCC"/>
    <w:rsid w:val="00A34BE3"/>
    <w:rsid w:val="00A34D4F"/>
    <w:rsid w:val="00A34E03"/>
    <w:rsid w:val="00A34E9E"/>
    <w:rsid w:val="00A34EA4"/>
    <w:rsid w:val="00A34EAD"/>
    <w:rsid w:val="00A35008"/>
    <w:rsid w:val="00A350BD"/>
    <w:rsid w:val="00A35167"/>
    <w:rsid w:val="00A3522C"/>
    <w:rsid w:val="00A35256"/>
    <w:rsid w:val="00A35319"/>
    <w:rsid w:val="00A3537E"/>
    <w:rsid w:val="00A35409"/>
    <w:rsid w:val="00A3541C"/>
    <w:rsid w:val="00A3542E"/>
    <w:rsid w:val="00A3550A"/>
    <w:rsid w:val="00A3550D"/>
    <w:rsid w:val="00A355E0"/>
    <w:rsid w:val="00A35800"/>
    <w:rsid w:val="00A35868"/>
    <w:rsid w:val="00A3588C"/>
    <w:rsid w:val="00A35930"/>
    <w:rsid w:val="00A35983"/>
    <w:rsid w:val="00A35ABA"/>
    <w:rsid w:val="00A35CB8"/>
    <w:rsid w:val="00A35E51"/>
    <w:rsid w:val="00A35EBD"/>
    <w:rsid w:val="00A35ED8"/>
    <w:rsid w:val="00A35F38"/>
    <w:rsid w:val="00A35F7B"/>
    <w:rsid w:val="00A35F90"/>
    <w:rsid w:val="00A35F91"/>
    <w:rsid w:val="00A360DE"/>
    <w:rsid w:val="00A360E7"/>
    <w:rsid w:val="00A36115"/>
    <w:rsid w:val="00A3611C"/>
    <w:rsid w:val="00A362BB"/>
    <w:rsid w:val="00A3637B"/>
    <w:rsid w:val="00A36475"/>
    <w:rsid w:val="00A364C9"/>
    <w:rsid w:val="00A36626"/>
    <w:rsid w:val="00A36708"/>
    <w:rsid w:val="00A36797"/>
    <w:rsid w:val="00A367F2"/>
    <w:rsid w:val="00A367F3"/>
    <w:rsid w:val="00A368C7"/>
    <w:rsid w:val="00A36906"/>
    <w:rsid w:val="00A36910"/>
    <w:rsid w:val="00A3695E"/>
    <w:rsid w:val="00A3697D"/>
    <w:rsid w:val="00A36A59"/>
    <w:rsid w:val="00A36AD3"/>
    <w:rsid w:val="00A36B3B"/>
    <w:rsid w:val="00A36BCD"/>
    <w:rsid w:val="00A36BED"/>
    <w:rsid w:val="00A36C0C"/>
    <w:rsid w:val="00A36CE5"/>
    <w:rsid w:val="00A36CF6"/>
    <w:rsid w:val="00A36D04"/>
    <w:rsid w:val="00A36D86"/>
    <w:rsid w:val="00A36E43"/>
    <w:rsid w:val="00A36E93"/>
    <w:rsid w:val="00A36F7A"/>
    <w:rsid w:val="00A37044"/>
    <w:rsid w:val="00A37125"/>
    <w:rsid w:val="00A37463"/>
    <w:rsid w:val="00A3756C"/>
    <w:rsid w:val="00A37579"/>
    <w:rsid w:val="00A37642"/>
    <w:rsid w:val="00A37772"/>
    <w:rsid w:val="00A377EF"/>
    <w:rsid w:val="00A377FE"/>
    <w:rsid w:val="00A37919"/>
    <w:rsid w:val="00A37A85"/>
    <w:rsid w:val="00A37BF5"/>
    <w:rsid w:val="00A37C3D"/>
    <w:rsid w:val="00A37CEC"/>
    <w:rsid w:val="00A37D15"/>
    <w:rsid w:val="00A37E67"/>
    <w:rsid w:val="00A400A8"/>
    <w:rsid w:val="00A400C7"/>
    <w:rsid w:val="00A401B4"/>
    <w:rsid w:val="00A401E6"/>
    <w:rsid w:val="00A4021E"/>
    <w:rsid w:val="00A40250"/>
    <w:rsid w:val="00A403A1"/>
    <w:rsid w:val="00A403B6"/>
    <w:rsid w:val="00A4047A"/>
    <w:rsid w:val="00A40486"/>
    <w:rsid w:val="00A4048B"/>
    <w:rsid w:val="00A404CE"/>
    <w:rsid w:val="00A4054A"/>
    <w:rsid w:val="00A4054D"/>
    <w:rsid w:val="00A407B2"/>
    <w:rsid w:val="00A4092C"/>
    <w:rsid w:val="00A4098A"/>
    <w:rsid w:val="00A40A2C"/>
    <w:rsid w:val="00A40ACD"/>
    <w:rsid w:val="00A40C09"/>
    <w:rsid w:val="00A40C39"/>
    <w:rsid w:val="00A40CCB"/>
    <w:rsid w:val="00A40DB9"/>
    <w:rsid w:val="00A40DF8"/>
    <w:rsid w:val="00A40E7A"/>
    <w:rsid w:val="00A40E7F"/>
    <w:rsid w:val="00A40EF0"/>
    <w:rsid w:val="00A40F7F"/>
    <w:rsid w:val="00A40FFB"/>
    <w:rsid w:val="00A41128"/>
    <w:rsid w:val="00A41136"/>
    <w:rsid w:val="00A4114E"/>
    <w:rsid w:val="00A411CE"/>
    <w:rsid w:val="00A41295"/>
    <w:rsid w:val="00A413A6"/>
    <w:rsid w:val="00A41529"/>
    <w:rsid w:val="00A4176D"/>
    <w:rsid w:val="00A41882"/>
    <w:rsid w:val="00A418B0"/>
    <w:rsid w:val="00A418CA"/>
    <w:rsid w:val="00A4192F"/>
    <w:rsid w:val="00A4196C"/>
    <w:rsid w:val="00A41971"/>
    <w:rsid w:val="00A4198C"/>
    <w:rsid w:val="00A419BC"/>
    <w:rsid w:val="00A41BAF"/>
    <w:rsid w:val="00A41C27"/>
    <w:rsid w:val="00A41C4E"/>
    <w:rsid w:val="00A41C62"/>
    <w:rsid w:val="00A41C82"/>
    <w:rsid w:val="00A41C96"/>
    <w:rsid w:val="00A41CD5"/>
    <w:rsid w:val="00A41D36"/>
    <w:rsid w:val="00A41D60"/>
    <w:rsid w:val="00A41DE8"/>
    <w:rsid w:val="00A41F02"/>
    <w:rsid w:val="00A41F80"/>
    <w:rsid w:val="00A41FD2"/>
    <w:rsid w:val="00A420D5"/>
    <w:rsid w:val="00A420D7"/>
    <w:rsid w:val="00A42175"/>
    <w:rsid w:val="00A421AE"/>
    <w:rsid w:val="00A421E1"/>
    <w:rsid w:val="00A42364"/>
    <w:rsid w:val="00A4242A"/>
    <w:rsid w:val="00A4246A"/>
    <w:rsid w:val="00A42480"/>
    <w:rsid w:val="00A424C0"/>
    <w:rsid w:val="00A425EB"/>
    <w:rsid w:val="00A4260C"/>
    <w:rsid w:val="00A426AC"/>
    <w:rsid w:val="00A42764"/>
    <w:rsid w:val="00A427B1"/>
    <w:rsid w:val="00A4286A"/>
    <w:rsid w:val="00A4294C"/>
    <w:rsid w:val="00A429DE"/>
    <w:rsid w:val="00A42A14"/>
    <w:rsid w:val="00A42A6A"/>
    <w:rsid w:val="00A42A80"/>
    <w:rsid w:val="00A42AA6"/>
    <w:rsid w:val="00A42AB1"/>
    <w:rsid w:val="00A42AB5"/>
    <w:rsid w:val="00A42B08"/>
    <w:rsid w:val="00A42B15"/>
    <w:rsid w:val="00A42B50"/>
    <w:rsid w:val="00A42B57"/>
    <w:rsid w:val="00A42B5B"/>
    <w:rsid w:val="00A42C93"/>
    <w:rsid w:val="00A42CB7"/>
    <w:rsid w:val="00A42D42"/>
    <w:rsid w:val="00A42D55"/>
    <w:rsid w:val="00A42F9E"/>
    <w:rsid w:val="00A43024"/>
    <w:rsid w:val="00A430B8"/>
    <w:rsid w:val="00A432D0"/>
    <w:rsid w:val="00A43457"/>
    <w:rsid w:val="00A434B0"/>
    <w:rsid w:val="00A436AC"/>
    <w:rsid w:val="00A438AA"/>
    <w:rsid w:val="00A438ED"/>
    <w:rsid w:val="00A43AFA"/>
    <w:rsid w:val="00A43C32"/>
    <w:rsid w:val="00A43CE9"/>
    <w:rsid w:val="00A43DAB"/>
    <w:rsid w:val="00A43DB4"/>
    <w:rsid w:val="00A43E4E"/>
    <w:rsid w:val="00A43EB8"/>
    <w:rsid w:val="00A43FDE"/>
    <w:rsid w:val="00A4410D"/>
    <w:rsid w:val="00A44166"/>
    <w:rsid w:val="00A4416D"/>
    <w:rsid w:val="00A44192"/>
    <w:rsid w:val="00A441F5"/>
    <w:rsid w:val="00A44245"/>
    <w:rsid w:val="00A44255"/>
    <w:rsid w:val="00A442C0"/>
    <w:rsid w:val="00A4431B"/>
    <w:rsid w:val="00A44435"/>
    <w:rsid w:val="00A4443E"/>
    <w:rsid w:val="00A4468C"/>
    <w:rsid w:val="00A44721"/>
    <w:rsid w:val="00A44765"/>
    <w:rsid w:val="00A447BD"/>
    <w:rsid w:val="00A447CC"/>
    <w:rsid w:val="00A44834"/>
    <w:rsid w:val="00A4493A"/>
    <w:rsid w:val="00A449BB"/>
    <w:rsid w:val="00A449E2"/>
    <w:rsid w:val="00A44BAB"/>
    <w:rsid w:val="00A44BAD"/>
    <w:rsid w:val="00A44C12"/>
    <w:rsid w:val="00A44C25"/>
    <w:rsid w:val="00A44C7A"/>
    <w:rsid w:val="00A44CFF"/>
    <w:rsid w:val="00A44DCB"/>
    <w:rsid w:val="00A44F4A"/>
    <w:rsid w:val="00A45094"/>
    <w:rsid w:val="00A45116"/>
    <w:rsid w:val="00A4514F"/>
    <w:rsid w:val="00A45161"/>
    <w:rsid w:val="00A4516D"/>
    <w:rsid w:val="00A451D0"/>
    <w:rsid w:val="00A45260"/>
    <w:rsid w:val="00A4527D"/>
    <w:rsid w:val="00A45339"/>
    <w:rsid w:val="00A453FA"/>
    <w:rsid w:val="00A45467"/>
    <w:rsid w:val="00A454DF"/>
    <w:rsid w:val="00A45555"/>
    <w:rsid w:val="00A45581"/>
    <w:rsid w:val="00A455BC"/>
    <w:rsid w:val="00A4563E"/>
    <w:rsid w:val="00A456E2"/>
    <w:rsid w:val="00A4573D"/>
    <w:rsid w:val="00A4581E"/>
    <w:rsid w:val="00A45968"/>
    <w:rsid w:val="00A459CF"/>
    <w:rsid w:val="00A459E1"/>
    <w:rsid w:val="00A459F5"/>
    <w:rsid w:val="00A45B70"/>
    <w:rsid w:val="00A45C51"/>
    <w:rsid w:val="00A45C7D"/>
    <w:rsid w:val="00A45D51"/>
    <w:rsid w:val="00A45D85"/>
    <w:rsid w:val="00A45DCF"/>
    <w:rsid w:val="00A45EC8"/>
    <w:rsid w:val="00A45EE8"/>
    <w:rsid w:val="00A45F5C"/>
    <w:rsid w:val="00A45F9A"/>
    <w:rsid w:val="00A45F9E"/>
    <w:rsid w:val="00A46054"/>
    <w:rsid w:val="00A4619C"/>
    <w:rsid w:val="00A461A2"/>
    <w:rsid w:val="00A4624F"/>
    <w:rsid w:val="00A4627B"/>
    <w:rsid w:val="00A462A1"/>
    <w:rsid w:val="00A462CB"/>
    <w:rsid w:val="00A46332"/>
    <w:rsid w:val="00A463E5"/>
    <w:rsid w:val="00A464AB"/>
    <w:rsid w:val="00A466B9"/>
    <w:rsid w:val="00A46726"/>
    <w:rsid w:val="00A4680B"/>
    <w:rsid w:val="00A468A9"/>
    <w:rsid w:val="00A468D5"/>
    <w:rsid w:val="00A468DF"/>
    <w:rsid w:val="00A46923"/>
    <w:rsid w:val="00A46A4C"/>
    <w:rsid w:val="00A46D09"/>
    <w:rsid w:val="00A46E3F"/>
    <w:rsid w:val="00A4704A"/>
    <w:rsid w:val="00A47084"/>
    <w:rsid w:val="00A470FC"/>
    <w:rsid w:val="00A47178"/>
    <w:rsid w:val="00A4733A"/>
    <w:rsid w:val="00A47376"/>
    <w:rsid w:val="00A47465"/>
    <w:rsid w:val="00A474B2"/>
    <w:rsid w:val="00A47500"/>
    <w:rsid w:val="00A4751C"/>
    <w:rsid w:val="00A47603"/>
    <w:rsid w:val="00A47637"/>
    <w:rsid w:val="00A476CD"/>
    <w:rsid w:val="00A4771E"/>
    <w:rsid w:val="00A47845"/>
    <w:rsid w:val="00A478A2"/>
    <w:rsid w:val="00A478BA"/>
    <w:rsid w:val="00A47922"/>
    <w:rsid w:val="00A47978"/>
    <w:rsid w:val="00A479E5"/>
    <w:rsid w:val="00A47A17"/>
    <w:rsid w:val="00A47A43"/>
    <w:rsid w:val="00A47A83"/>
    <w:rsid w:val="00A47AF2"/>
    <w:rsid w:val="00A47B0B"/>
    <w:rsid w:val="00A47B6C"/>
    <w:rsid w:val="00A47B6E"/>
    <w:rsid w:val="00A47B94"/>
    <w:rsid w:val="00A50027"/>
    <w:rsid w:val="00A5006E"/>
    <w:rsid w:val="00A500E7"/>
    <w:rsid w:val="00A50111"/>
    <w:rsid w:val="00A5011E"/>
    <w:rsid w:val="00A5023F"/>
    <w:rsid w:val="00A5031E"/>
    <w:rsid w:val="00A5032E"/>
    <w:rsid w:val="00A50392"/>
    <w:rsid w:val="00A50475"/>
    <w:rsid w:val="00A504DD"/>
    <w:rsid w:val="00A505B6"/>
    <w:rsid w:val="00A50640"/>
    <w:rsid w:val="00A507D3"/>
    <w:rsid w:val="00A50814"/>
    <w:rsid w:val="00A508BD"/>
    <w:rsid w:val="00A509A5"/>
    <w:rsid w:val="00A50A25"/>
    <w:rsid w:val="00A50A34"/>
    <w:rsid w:val="00A50B4C"/>
    <w:rsid w:val="00A50BCE"/>
    <w:rsid w:val="00A50C07"/>
    <w:rsid w:val="00A50E13"/>
    <w:rsid w:val="00A50E3E"/>
    <w:rsid w:val="00A5100F"/>
    <w:rsid w:val="00A510BB"/>
    <w:rsid w:val="00A5115F"/>
    <w:rsid w:val="00A511B6"/>
    <w:rsid w:val="00A511C0"/>
    <w:rsid w:val="00A5124A"/>
    <w:rsid w:val="00A512EE"/>
    <w:rsid w:val="00A51439"/>
    <w:rsid w:val="00A5144E"/>
    <w:rsid w:val="00A514BC"/>
    <w:rsid w:val="00A51598"/>
    <w:rsid w:val="00A515C3"/>
    <w:rsid w:val="00A515FB"/>
    <w:rsid w:val="00A51645"/>
    <w:rsid w:val="00A5170F"/>
    <w:rsid w:val="00A51724"/>
    <w:rsid w:val="00A51763"/>
    <w:rsid w:val="00A51797"/>
    <w:rsid w:val="00A51900"/>
    <w:rsid w:val="00A51985"/>
    <w:rsid w:val="00A51A0E"/>
    <w:rsid w:val="00A51A46"/>
    <w:rsid w:val="00A51AB2"/>
    <w:rsid w:val="00A51E2B"/>
    <w:rsid w:val="00A51E47"/>
    <w:rsid w:val="00A51FDD"/>
    <w:rsid w:val="00A52055"/>
    <w:rsid w:val="00A521CC"/>
    <w:rsid w:val="00A52201"/>
    <w:rsid w:val="00A52204"/>
    <w:rsid w:val="00A5220F"/>
    <w:rsid w:val="00A522AA"/>
    <w:rsid w:val="00A522C5"/>
    <w:rsid w:val="00A5236F"/>
    <w:rsid w:val="00A52370"/>
    <w:rsid w:val="00A5240C"/>
    <w:rsid w:val="00A5242C"/>
    <w:rsid w:val="00A524A4"/>
    <w:rsid w:val="00A524AB"/>
    <w:rsid w:val="00A525EB"/>
    <w:rsid w:val="00A52603"/>
    <w:rsid w:val="00A52606"/>
    <w:rsid w:val="00A526E8"/>
    <w:rsid w:val="00A5271A"/>
    <w:rsid w:val="00A5274A"/>
    <w:rsid w:val="00A527C8"/>
    <w:rsid w:val="00A528D3"/>
    <w:rsid w:val="00A5296B"/>
    <w:rsid w:val="00A52A48"/>
    <w:rsid w:val="00A52A49"/>
    <w:rsid w:val="00A52B20"/>
    <w:rsid w:val="00A52B35"/>
    <w:rsid w:val="00A52BFE"/>
    <w:rsid w:val="00A52C31"/>
    <w:rsid w:val="00A52CD4"/>
    <w:rsid w:val="00A52E28"/>
    <w:rsid w:val="00A52EC3"/>
    <w:rsid w:val="00A52F2E"/>
    <w:rsid w:val="00A52F91"/>
    <w:rsid w:val="00A52FD2"/>
    <w:rsid w:val="00A5304C"/>
    <w:rsid w:val="00A530A4"/>
    <w:rsid w:val="00A5311B"/>
    <w:rsid w:val="00A5319C"/>
    <w:rsid w:val="00A53305"/>
    <w:rsid w:val="00A53317"/>
    <w:rsid w:val="00A5335B"/>
    <w:rsid w:val="00A53420"/>
    <w:rsid w:val="00A53486"/>
    <w:rsid w:val="00A5365F"/>
    <w:rsid w:val="00A537AA"/>
    <w:rsid w:val="00A5388F"/>
    <w:rsid w:val="00A539EE"/>
    <w:rsid w:val="00A539F5"/>
    <w:rsid w:val="00A53B2B"/>
    <w:rsid w:val="00A53C0E"/>
    <w:rsid w:val="00A53CD8"/>
    <w:rsid w:val="00A53CDD"/>
    <w:rsid w:val="00A53D00"/>
    <w:rsid w:val="00A53D0E"/>
    <w:rsid w:val="00A53EB1"/>
    <w:rsid w:val="00A53EC0"/>
    <w:rsid w:val="00A53F47"/>
    <w:rsid w:val="00A5405C"/>
    <w:rsid w:val="00A541C8"/>
    <w:rsid w:val="00A541E0"/>
    <w:rsid w:val="00A54206"/>
    <w:rsid w:val="00A5427A"/>
    <w:rsid w:val="00A543F7"/>
    <w:rsid w:val="00A54525"/>
    <w:rsid w:val="00A54590"/>
    <w:rsid w:val="00A545B7"/>
    <w:rsid w:val="00A547E8"/>
    <w:rsid w:val="00A54873"/>
    <w:rsid w:val="00A5489B"/>
    <w:rsid w:val="00A5496E"/>
    <w:rsid w:val="00A54A2F"/>
    <w:rsid w:val="00A54B08"/>
    <w:rsid w:val="00A54B8C"/>
    <w:rsid w:val="00A54C2E"/>
    <w:rsid w:val="00A54C5B"/>
    <w:rsid w:val="00A54CB5"/>
    <w:rsid w:val="00A54D2E"/>
    <w:rsid w:val="00A54D51"/>
    <w:rsid w:val="00A54D54"/>
    <w:rsid w:val="00A54D9E"/>
    <w:rsid w:val="00A54E25"/>
    <w:rsid w:val="00A54E96"/>
    <w:rsid w:val="00A54EB3"/>
    <w:rsid w:val="00A55065"/>
    <w:rsid w:val="00A550D1"/>
    <w:rsid w:val="00A550E3"/>
    <w:rsid w:val="00A552E9"/>
    <w:rsid w:val="00A55367"/>
    <w:rsid w:val="00A553AC"/>
    <w:rsid w:val="00A55439"/>
    <w:rsid w:val="00A5549D"/>
    <w:rsid w:val="00A554B0"/>
    <w:rsid w:val="00A555B5"/>
    <w:rsid w:val="00A5573F"/>
    <w:rsid w:val="00A55780"/>
    <w:rsid w:val="00A55790"/>
    <w:rsid w:val="00A557B3"/>
    <w:rsid w:val="00A5582C"/>
    <w:rsid w:val="00A5583B"/>
    <w:rsid w:val="00A5589E"/>
    <w:rsid w:val="00A558A9"/>
    <w:rsid w:val="00A558D0"/>
    <w:rsid w:val="00A5590F"/>
    <w:rsid w:val="00A55950"/>
    <w:rsid w:val="00A559A6"/>
    <w:rsid w:val="00A559B3"/>
    <w:rsid w:val="00A55A49"/>
    <w:rsid w:val="00A55A53"/>
    <w:rsid w:val="00A55A7E"/>
    <w:rsid w:val="00A55CA7"/>
    <w:rsid w:val="00A55E03"/>
    <w:rsid w:val="00A55E23"/>
    <w:rsid w:val="00A55EB0"/>
    <w:rsid w:val="00A55ED3"/>
    <w:rsid w:val="00A55F1A"/>
    <w:rsid w:val="00A5609F"/>
    <w:rsid w:val="00A56165"/>
    <w:rsid w:val="00A561BF"/>
    <w:rsid w:val="00A5625C"/>
    <w:rsid w:val="00A5638F"/>
    <w:rsid w:val="00A56422"/>
    <w:rsid w:val="00A56444"/>
    <w:rsid w:val="00A565FC"/>
    <w:rsid w:val="00A5665B"/>
    <w:rsid w:val="00A56688"/>
    <w:rsid w:val="00A5670F"/>
    <w:rsid w:val="00A56775"/>
    <w:rsid w:val="00A567A1"/>
    <w:rsid w:val="00A56A74"/>
    <w:rsid w:val="00A56ADC"/>
    <w:rsid w:val="00A56AF2"/>
    <w:rsid w:val="00A56B45"/>
    <w:rsid w:val="00A56BC3"/>
    <w:rsid w:val="00A56C55"/>
    <w:rsid w:val="00A56CCA"/>
    <w:rsid w:val="00A56D2E"/>
    <w:rsid w:val="00A56D71"/>
    <w:rsid w:val="00A56DEC"/>
    <w:rsid w:val="00A56F35"/>
    <w:rsid w:val="00A57033"/>
    <w:rsid w:val="00A570C1"/>
    <w:rsid w:val="00A570C4"/>
    <w:rsid w:val="00A570EA"/>
    <w:rsid w:val="00A5714D"/>
    <w:rsid w:val="00A572F6"/>
    <w:rsid w:val="00A57344"/>
    <w:rsid w:val="00A573F8"/>
    <w:rsid w:val="00A574B5"/>
    <w:rsid w:val="00A574C4"/>
    <w:rsid w:val="00A5753A"/>
    <w:rsid w:val="00A57586"/>
    <w:rsid w:val="00A575D8"/>
    <w:rsid w:val="00A57717"/>
    <w:rsid w:val="00A57856"/>
    <w:rsid w:val="00A57947"/>
    <w:rsid w:val="00A57A72"/>
    <w:rsid w:val="00A57AF8"/>
    <w:rsid w:val="00A57C19"/>
    <w:rsid w:val="00A57C73"/>
    <w:rsid w:val="00A57D69"/>
    <w:rsid w:val="00A57E0F"/>
    <w:rsid w:val="00A57F47"/>
    <w:rsid w:val="00A57FC7"/>
    <w:rsid w:val="00A57FF7"/>
    <w:rsid w:val="00A60034"/>
    <w:rsid w:val="00A60073"/>
    <w:rsid w:val="00A60174"/>
    <w:rsid w:val="00A601A8"/>
    <w:rsid w:val="00A60268"/>
    <w:rsid w:val="00A602D4"/>
    <w:rsid w:val="00A60412"/>
    <w:rsid w:val="00A60463"/>
    <w:rsid w:val="00A60489"/>
    <w:rsid w:val="00A60581"/>
    <w:rsid w:val="00A60608"/>
    <w:rsid w:val="00A6068B"/>
    <w:rsid w:val="00A606C3"/>
    <w:rsid w:val="00A606C7"/>
    <w:rsid w:val="00A60739"/>
    <w:rsid w:val="00A60777"/>
    <w:rsid w:val="00A60810"/>
    <w:rsid w:val="00A6081C"/>
    <w:rsid w:val="00A60985"/>
    <w:rsid w:val="00A60A67"/>
    <w:rsid w:val="00A60A8E"/>
    <w:rsid w:val="00A60B07"/>
    <w:rsid w:val="00A60B2E"/>
    <w:rsid w:val="00A60B88"/>
    <w:rsid w:val="00A60B8A"/>
    <w:rsid w:val="00A60BE9"/>
    <w:rsid w:val="00A60C96"/>
    <w:rsid w:val="00A60D94"/>
    <w:rsid w:val="00A60D98"/>
    <w:rsid w:val="00A60DAA"/>
    <w:rsid w:val="00A60E22"/>
    <w:rsid w:val="00A60E83"/>
    <w:rsid w:val="00A60EDB"/>
    <w:rsid w:val="00A60F22"/>
    <w:rsid w:val="00A60F48"/>
    <w:rsid w:val="00A61153"/>
    <w:rsid w:val="00A61169"/>
    <w:rsid w:val="00A6126A"/>
    <w:rsid w:val="00A61315"/>
    <w:rsid w:val="00A61394"/>
    <w:rsid w:val="00A614CD"/>
    <w:rsid w:val="00A6156E"/>
    <w:rsid w:val="00A61625"/>
    <w:rsid w:val="00A61628"/>
    <w:rsid w:val="00A61633"/>
    <w:rsid w:val="00A61694"/>
    <w:rsid w:val="00A616CE"/>
    <w:rsid w:val="00A61788"/>
    <w:rsid w:val="00A61862"/>
    <w:rsid w:val="00A61A43"/>
    <w:rsid w:val="00A61A56"/>
    <w:rsid w:val="00A61A86"/>
    <w:rsid w:val="00A61C05"/>
    <w:rsid w:val="00A61C72"/>
    <w:rsid w:val="00A61CC8"/>
    <w:rsid w:val="00A61CFE"/>
    <w:rsid w:val="00A61D08"/>
    <w:rsid w:val="00A61E32"/>
    <w:rsid w:val="00A61E72"/>
    <w:rsid w:val="00A61E78"/>
    <w:rsid w:val="00A61F52"/>
    <w:rsid w:val="00A61FF1"/>
    <w:rsid w:val="00A620D2"/>
    <w:rsid w:val="00A621D5"/>
    <w:rsid w:val="00A621F5"/>
    <w:rsid w:val="00A62245"/>
    <w:rsid w:val="00A6241D"/>
    <w:rsid w:val="00A6255C"/>
    <w:rsid w:val="00A62602"/>
    <w:rsid w:val="00A62A25"/>
    <w:rsid w:val="00A62AB7"/>
    <w:rsid w:val="00A62ACD"/>
    <w:rsid w:val="00A62B4A"/>
    <w:rsid w:val="00A62BFB"/>
    <w:rsid w:val="00A62D0C"/>
    <w:rsid w:val="00A62D3C"/>
    <w:rsid w:val="00A62D5C"/>
    <w:rsid w:val="00A62D62"/>
    <w:rsid w:val="00A62D75"/>
    <w:rsid w:val="00A62EEE"/>
    <w:rsid w:val="00A62F03"/>
    <w:rsid w:val="00A62F39"/>
    <w:rsid w:val="00A630F3"/>
    <w:rsid w:val="00A63184"/>
    <w:rsid w:val="00A63343"/>
    <w:rsid w:val="00A63474"/>
    <w:rsid w:val="00A63490"/>
    <w:rsid w:val="00A634B0"/>
    <w:rsid w:val="00A634E5"/>
    <w:rsid w:val="00A63667"/>
    <w:rsid w:val="00A63687"/>
    <w:rsid w:val="00A636FC"/>
    <w:rsid w:val="00A63714"/>
    <w:rsid w:val="00A6374C"/>
    <w:rsid w:val="00A637C6"/>
    <w:rsid w:val="00A63868"/>
    <w:rsid w:val="00A63877"/>
    <w:rsid w:val="00A6394B"/>
    <w:rsid w:val="00A6398F"/>
    <w:rsid w:val="00A639FD"/>
    <w:rsid w:val="00A63ADF"/>
    <w:rsid w:val="00A63AF8"/>
    <w:rsid w:val="00A63BB9"/>
    <w:rsid w:val="00A63BD9"/>
    <w:rsid w:val="00A63BE4"/>
    <w:rsid w:val="00A63CDC"/>
    <w:rsid w:val="00A63EA1"/>
    <w:rsid w:val="00A63F6C"/>
    <w:rsid w:val="00A64054"/>
    <w:rsid w:val="00A640DF"/>
    <w:rsid w:val="00A640F9"/>
    <w:rsid w:val="00A64156"/>
    <w:rsid w:val="00A641D0"/>
    <w:rsid w:val="00A64297"/>
    <w:rsid w:val="00A64421"/>
    <w:rsid w:val="00A64583"/>
    <w:rsid w:val="00A64792"/>
    <w:rsid w:val="00A647D4"/>
    <w:rsid w:val="00A64904"/>
    <w:rsid w:val="00A64976"/>
    <w:rsid w:val="00A649C9"/>
    <w:rsid w:val="00A64EB5"/>
    <w:rsid w:val="00A64ED9"/>
    <w:rsid w:val="00A64F86"/>
    <w:rsid w:val="00A650A2"/>
    <w:rsid w:val="00A650A8"/>
    <w:rsid w:val="00A65120"/>
    <w:rsid w:val="00A65144"/>
    <w:rsid w:val="00A65214"/>
    <w:rsid w:val="00A6522A"/>
    <w:rsid w:val="00A6527E"/>
    <w:rsid w:val="00A65300"/>
    <w:rsid w:val="00A6547D"/>
    <w:rsid w:val="00A65482"/>
    <w:rsid w:val="00A655D2"/>
    <w:rsid w:val="00A65635"/>
    <w:rsid w:val="00A656A5"/>
    <w:rsid w:val="00A6571E"/>
    <w:rsid w:val="00A657BF"/>
    <w:rsid w:val="00A657D9"/>
    <w:rsid w:val="00A659C5"/>
    <w:rsid w:val="00A65A11"/>
    <w:rsid w:val="00A65AB1"/>
    <w:rsid w:val="00A65C44"/>
    <w:rsid w:val="00A65C46"/>
    <w:rsid w:val="00A65C4E"/>
    <w:rsid w:val="00A65D21"/>
    <w:rsid w:val="00A65D29"/>
    <w:rsid w:val="00A65D4A"/>
    <w:rsid w:val="00A66000"/>
    <w:rsid w:val="00A660EE"/>
    <w:rsid w:val="00A661A8"/>
    <w:rsid w:val="00A66315"/>
    <w:rsid w:val="00A66379"/>
    <w:rsid w:val="00A66400"/>
    <w:rsid w:val="00A6648D"/>
    <w:rsid w:val="00A664F2"/>
    <w:rsid w:val="00A664F7"/>
    <w:rsid w:val="00A6650D"/>
    <w:rsid w:val="00A6656C"/>
    <w:rsid w:val="00A665A3"/>
    <w:rsid w:val="00A665F3"/>
    <w:rsid w:val="00A66645"/>
    <w:rsid w:val="00A66655"/>
    <w:rsid w:val="00A667E1"/>
    <w:rsid w:val="00A6696C"/>
    <w:rsid w:val="00A66978"/>
    <w:rsid w:val="00A669D7"/>
    <w:rsid w:val="00A66A46"/>
    <w:rsid w:val="00A66A8A"/>
    <w:rsid w:val="00A66C33"/>
    <w:rsid w:val="00A66CEA"/>
    <w:rsid w:val="00A66D42"/>
    <w:rsid w:val="00A66D54"/>
    <w:rsid w:val="00A66D60"/>
    <w:rsid w:val="00A66E0E"/>
    <w:rsid w:val="00A66EF6"/>
    <w:rsid w:val="00A66F75"/>
    <w:rsid w:val="00A66F81"/>
    <w:rsid w:val="00A670A0"/>
    <w:rsid w:val="00A670BC"/>
    <w:rsid w:val="00A67104"/>
    <w:rsid w:val="00A67127"/>
    <w:rsid w:val="00A6714D"/>
    <w:rsid w:val="00A672F4"/>
    <w:rsid w:val="00A673E5"/>
    <w:rsid w:val="00A67599"/>
    <w:rsid w:val="00A675BA"/>
    <w:rsid w:val="00A6766E"/>
    <w:rsid w:val="00A67670"/>
    <w:rsid w:val="00A676B2"/>
    <w:rsid w:val="00A67737"/>
    <w:rsid w:val="00A6782C"/>
    <w:rsid w:val="00A6788B"/>
    <w:rsid w:val="00A678E9"/>
    <w:rsid w:val="00A67947"/>
    <w:rsid w:val="00A67A0A"/>
    <w:rsid w:val="00A67AFC"/>
    <w:rsid w:val="00A67D34"/>
    <w:rsid w:val="00A67D61"/>
    <w:rsid w:val="00A67D64"/>
    <w:rsid w:val="00A67EAE"/>
    <w:rsid w:val="00A67F37"/>
    <w:rsid w:val="00A67FCA"/>
    <w:rsid w:val="00A70115"/>
    <w:rsid w:val="00A70191"/>
    <w:rsid w:val="00A70200"/>
    <w:rsid w:val="00A7026E"/>
    <w:rsid w:val="00A702F8"/>
    <w:rsid w:val="00A703C8"/>
    <w:rsid w:val="00A70480"/>
    <w:rsid w:val="00A70529"/>
    <w:rsid w:val="00A70595"/>
    <w:rsid w:val="00A70597"/>
    <w:rsid w:val="00A70694"/>
    <w:rsid w:val="00A7075B"/>
    <w:rsid w:val="00A70769"/>
    <w:rsid w:val="00A70828"/>
    <w:rsid w:val="00A708D6"/>
    <w:rsid w:val="00A70924"/>
    <w:rsid w:val="00A709A4"/>
    <w:rsid w:val="00A70A8B"/>
    <w:rsid w:val="00A70B72"/>
    <w:rsid w:val="00A70C3C"/>
    <w:rsid w:val="00A70C3D"/>
    <w:rsid w:val="00A70C8B"/>
    <w:rsid w:val="00A70DE3"/>
    <w:rsid w:val="00A70DF4"/>
    <w:rsid w:val="00A70EB8"/>
    <w:rsid w:val="00A70ED9"/>
    <w:rsid w:val="00A711A1"/>
    <w:rsid w:val="00A7148B"/>
    <w:rsid w:val="00A715F1"/>
    <w:rsid w:val="00A7162B"/>
    <w:rsid w:val="00A716A3"/>
    <w:rsid w:val="00A71724"/>
    <w:rsid w:val="00A7173A"/>
    <w:rsid w:val="00A71757"/>
    <w:rsid w:val="00A71792"/>
    <w:rsid w:val="00A717CD"/>
    <w:rsid w:val="00A7180D"/>
    <w:rsid w:val="00A71868"/>
    <w:rsid w:val="00A718D3"/>
    <w:rsid w:val="00A7193A"/>
    <w:rsid w:val="00A7194B"/>
    <w:rsid w:val="00A7197C"/>
    <w:rsid w:val="00A71989"/>
    <w:rsid w:val="00A71AAD"/>
    <w:rsid w:val="00A71BE0"/>
    <w:rsid w:val="00A71D6E"/>
    <w:rsid w:val="00A71E0C"/>
    <w:rsid w:val="00A71E1D"/>
    <w:rsid w:val="00A71ECB"/>
    <w:rsid w:val="00A71FB0"/>
    <w:rsid w:val="00A71FBD"/>
    <w:rsid w:val="00A72075"/>
    <w:rsid w:val="00A72273"/>
    <w:rsid w:val="00A72312"/>
    <w:rsid w:val="00A7231D"/>
    <w:rsid w:val="00A72329"/>
    <w:rsid w:val="00A7256D"/>
    <w:rsid w:val="00A72778"/>
    <w:rsid w:val="00A7284B"/>
    <w:rsid w:val="00A72992"/>
    <w:rsid w:val="00A72C81"/>
    <w:rsid w:val="00A72F5E"/>
    <w:rsid w:val="00A72FBD"/>
    <w:rsid w:val="00A72FFB"/>
    <w:rsid w:val="00A7327A"/>
    <w:rsid w:val="00A732BB"/>
    <w:rsid w:val="00A73315"/>
    <w:rsid w:val="00A734CA"/>
    <w:rsid w:val="00A73519"/>
    <w:rsid w:val="00A7352C"/>
    <w:rsid w:val="00A735BA"/>
    <w:rsid w:val="00A735D1"/>
    <w:rsid w:val="00A73712"/>
    <w:rsid w:val="00A73752"/>
    <w:rsid w:val="00A737A2"/>
    <w:rsid w:val="00A73925"/>
    <w:rsid w:val="00A7393F"/>
    <w:rsid w:val="00A73973"/>
    <w:rsid w:val="00A73996"/>
    <w:rsid w:val="00A73A8C"/>
    <w:rsid w:val="00A73B14"/>
    <w:rsid w:val="00A73B4C"/>
    <w:rsid w:val="00A73CB3"/>
    <w:rsid w:val="00A73CD1"/>
    <w:rsid w:val="00A73D01"/>
    <w:rsid w:val="00A73D6B"/>
    <w:rsid w:val="00A73D96"/>
    <w:rsid w:val="00A73DDE"/>
    <w:rsid w:val="00A73DED"/>
    <w:rsid w:val="00A73E6D"/>
    <w:rsid w:val="00A73F2C"/>
    <w:rsid w:val="00A73FC2"/>
    <w:rsid w:val="00A74164"/>
    <w:rsid w:val="00A741C1"/>
    <w:rsid w:val="00A74249"/>
    <w:rsid w:val="00A7427F"/>
    <w:rsid w:val="00A7429D"/>
    <w:rsid w:val="00A74325"/>
    <w:rsid w:val="00A74366"/>
    <w:rsid w:val="00A743B1"/>
    <w:rsid w:val="00A74614"/>
    <w:rsid w:val="00A74805"/>
    <w:rsid w:val="00A74903"/>
    <w:rsid w:val="00A74985"/>
    <w:rsid w:val="00A74A12"/>
    <w:rsid w:val="00A74A28"/>
    <w:rsid w:val="00A74BAD"/>
    <w:rsid w:val="00A74BB0"/>
    <w:rsid w:val="00A74C2B"/>
    <w:rsid w:val="00A74C2E"/>
    <w:rsid w:val="00A74C77"/>
    <w:rsid w:val="00A74CBA"/>
    <w:rsid w:val="00A74D8E"/>
    <w:rsid w:val="00A74DBC"/>
    <w:rsid w:val="00A74DC3"/>
    <w:rsid w:val="00A74F19"/>
    <w:rsid w:val="00A74FA7"/>
    <w:rsid w:val="00A74FED"/>
    <w:rsid w:val="00A75007"/>
    <w:rsid w:val="00A750E7"/>
    <w:rsid w:val="00A750F5"/>
    <w:rsid w:val="00A75267"/>
    <w:rsid w:val="00A75297"/>
    <w:rsid w:val="00A752A1"/>
    <w:rsid w:val="00A7535B"/>
    <w:rsid w:val="00A753E5"/>
    <w:rsid w:val="00A7549F"/>
    <w:rsid w:val="00A75621"/>
    <w:rsid w:val="00A7565C"/>
    <w:rsid w:val="00A75724"/>
    <w:rsid w:val="00A75749"/>
    <w:rsid w:val="00A75A25"/>
    <w:rsid w:val="00A75B3C"/>
    <w:rsid w:val="00A75DA3"/>
    <w:rsid w:val="00A75DF8"/>
    <w:rsid w:val="00A75E0D"/>
    <w:rsid w:val="00A75F27"/>
    <w:rsid w:val="00A7601B"/>
    <w:rsid w:val="00A76060"/>
    <w:rsid w:val="00A760F7"/>
    <w:rsid w:val="00A76168"/>
    <w:rsid w:val="00A761E7"/>
    <w:rsid w:val="00A7628B"/>
    <w:rsid w:val="00A762A0"/>
    <w:rsid w:val="00A762D2"/>
    <w:rsid w:val="00A76337"/>
    <w:rsid w:val="00A7637E"/>
    <w:rsid w:val="00A763AB"/>
    <w:rsid w:val="00A7640B"/>
    <w:rsid w:val="00A76457"/>
    <w:rsid w:val="00A7655D"/>
    <w:rsid w:val="00A76839"/>
    <w:rsid w:val="00A76A45"/>
    <w:rsid w:val="00A76A48"/>
    <w:rsid w:val="00A76B28"/>
    <w:rsid w:val="00A76BC3"/>
    <w:rsid w:val="00A76BD5"/>
    <w:rsid w:val="00A76C21"/>
    <w:rsid w:val="00A76CBF"/>
    <w:rsid w:val="00A76D44"/>
    <w:rsid w:val="00A76E6D"/>
    <w:rsid w:val="00A76EE6"/>
    <w:rsid w:val="00A77073"/>
    <w:rsid w:val="00A772BB"/>
    <w:rsid w:val="00A7732F"/>
    <w:rsid w:val="00A77392"/>
    <w:rsid w:val="00A7745D"/>
    <w:rsid w:val="00A77508"/>
    <w:rsid w:val="00A77518"/>
    <w:rsid w:val="00A7767E"/>
    <w:rsid w:val="00A7770D"/>
    <w:rsid w:val="00A77734"/>
    <w:rsid w:val="00A77761"/>
    <w:rsid w:val="00A77795"/>
    <w:rsid w:val="00A777B2"/>
    <w:rsid w:val="00A777DE"/>
    <w:rsid w:val="00A77A68"/>
    <w:rsid w:val="00A77BAB"/>
    <w:rsid w:val="00A77BB9"/>
    <w:rsid w:val="00A77BCC"/>
    <w:rsid w:val="00A77CAE"/>
    <w:rsid w:val="00A77F2C"/>
    <w:rsid w:val="00A80217"/>
    <w:rsid w:val="00A80271"/>
    <w:rsid w:val="00A80476"/>
    <w:rsid w:val="00A80485"/>
    <w:rsid w:val="00A80600"/>
    <w:rsid w:val="00A80863"/>
    <w:rsid w:val="00A808BF"/>
    <w:rsid w:val="00A80AEF"/>
    <w:rsid w:val="00A80B50"/>
    <w:rsid w:val="00A80BB0"/>
    <w:rsid w:val="00A80D25"/>
    <w:rsid w:val="00A80D36"/>
    <w:rsid w:val="00A80D70"/>
    <w:rsid w:val="00A80E31"/>
    <w:rsid w:val="00A80F1D"/>
    <w:rsid w:val="00A80F2B"/>
    <w:rsid w:val="00A810EF"/>
    <w:rsid w:val="00A81109"/>
    <w:rsid w:val="00A811E0"/>
    <w:rsid w:val="00A81251"/>
    <w:rsid w:val="00A813AB"/>
    <w:rsid w:val="00A813EB"/>
    <w:rsid w:val="00A813F6"/>
    <w:rsid w:val="00A8152F"/>
    <w:rsid w:val="00A815E0"/>
    <w:rsid w:val="00A815E1"/>
    <w:rsid w:val="00A815FC"/>
    <w:rsid w:val="00A81695"/>
    <w:rsid w:val="00A817E8"/>
    <w:rsid w:val="00A8185D"/>
    <w:rsid w:val="00A818BD"/>
    <w:rsid w:val="00A819A3"/>
    <w:rsid w:val="00A81A05"/>
    <w:rsid w:val="00A81AD1"/>
    <w:rsid w:val="00A81B0B"/>
    <w:rsid w:val="00A81C98"/>
    <w:rsid w:val="00A81CD3"/>
    <w:rsid w:val="00A81D32"/>
    <w:rsid w:val="00A81D37"/>
    <w:rsid w:val="00A81E63"/>
    <w:rsid w:val="00A81E94"/>
    <w:rsid w:val="00A81F75"/>
    <w:rsid w:val="00A81FDB"/>
    <w:rsid w:val="00A82074"/>
    <w:rsid w:val="00A82077"/>
    <w:rsid w:val="00A820E5"/>
    <w:rsid w:val="00A82142"/>
    <w:rsid w:val="00A82213"/>
    <w:rsid w:val="00A8236C"/>
    <w:rsid w:val="00A823BA"/>
    <w:rsid w:val="00A82403"/>
    <w:rsid w:val="00A824ED"/>
    <w:rsid w:val="00A8258A"/>
    <w:rsid w:val="00A8259D"/>
    <w:rsid w:val="00A82730"/>
    <w:rsid w:val="00A82985"/>
    <w:rsid w:val="00A82A0B"/>
    <w:rsid w:val="00A82A4E"/>
    <w:rsid w:val="00A82ADF"/>
    <w:rsid w:val="00A82AFB"/>
    <w:rsid w:val="00A82B14"/>
    <w:rsid w:val="00A82B4B"/>
    <w:rsid w:val="00A82C6C"/>
    <w:rsid w:val="00A82C99"/>
    <w:rsid w:val="00A82C9E"/>
    <w:rsid w:val="00A82CA0"/>
    <w:rsid w:val="00A82E43"/>
    <w:rsid w:val="00A82E5B"/>
    <w:rsid w:val="00A82ED3"/>
    <w:rsid w:val="00A82FB4"/>
    <w:rsid w:val="00A83023"/>
    <w:rsid w:val="00A831FC"/>
    <w:rsid w:val="00A832A1"/>
    <w:rsid w:val="00A832B6"/>
    <w:rsid w:val="00A83312"/>
    <w:rsid w:val="00A833D9"/>
    <w:rsid w:val="00A834DF"/>
    <w:rsid w:val="00A83507"/>
    <w:rsid w:val="00A83597"/>
    <w:rsid w:val="00A83634"/>
    <w:rsid w:val="00A8364E"/>
    <w:rsid w:val="00A83681"/>
    <w:rsid w:val="00A83761"/>
    <w:rsid w:val="00A8387C"/>
    <w:rsid w:val="00A838BC"/>
    <w:rsid w:val="00A838D8"/>
    <w:rsid w:val="00A839AA"/>
    <w:rsid w:val="00A83A11"/>
    <w:rsid w:val="00A83A5D"/>
    <w:rsid w:val="00A83AF3"/>
    <w:rsid w:val="00A83B08"/>
    <w:rsid w:val="00A83C3B"/>
    <w:rsid w:val="00A83C99"/>
    <w:rsid w:val="00A83E2C"/>
    <w:rsid w:val="00A83E87"/>
    <w:rsid w:val="00A83F66"/>
    <w:rsid w:val="00A84010"/>
    <w:rsid w:val="00A84063"/>
    <w:rsid w:val="00A840E4"/>
    <w:rsid w:val="00A8424C"/>
    <w:rsid w:val="00A842B1"/>
    <w:rsid w:val="00A84311"/>
    <w:rsid w:val="00A843FE"/>
    <w:rsid w:val="00A8450F"/>
    <w:rsid w:val="00A84568"/>
    <w:rsid w:val="00A846BF"/>
    <w:rsid w:val="00A846DC"/>
    <w:rsid w:val="00A84731"/>
    <w:rsid w:val="00A8478F"/>
    <w:rsid w:val="00A847D5"/>
    <w:rsid w:val="00A848C7"/>
    <w:rsid w:val="00A848D1"/>
    <w:rsid w:val="00A848DC"/>
    <w:rsid w:val="00A84901"/>
    <w:rsid w:val="00A8490D"/>
    <w:rsid w:val="00A84913"/>
    <w:rsid w:val="00A849F8"/>
    <w:rsid w:val="00A84A1C"/>
    <w:rsid w:val="00A84A4E"/>
    <w:rsid w:val="00A84B85"/>
    <w:rsid w:val="00A84C86"/>
    <w:rsid w:val="00A84F0F"/>
    <w:rsid w:val="00A850C0"/>
    <w:rsid w:val="00A850F6"/>
    <w:rsid w:val="00A8517F"/>
    <w:rsid w:val="00A8519F"/>
    <w:rsid w:val="00A8525A"/>
    <w:rsid w:val="00A85275"/>
    <w:rsid w:val="00A8535C"/>
    <w:rsid w:val="00A8537E"/>
    <w:rsid w:val="00A85424"/>
    <w:rsid w:val="00A85487"/>
    <w:rsid w:val="00A8548F"/>
    <w:rsid w:val="00A856ED"/>
    <w:rsid w:val="00A8572D"/>
    <w:rsid w:val="00A85767"/>
    <w:rsid w:val="00A857F9"/>
    <w:rsid w:val="00A85979"/>
    <w:rsid w:val="00A85A8F"/>
    <w:rsid w:val="00A85B49"/>
    <w:rsid w:val="00A85CDC"/>
    <w:rsid w:val="00A85D42"/>
    <w:rsid w:val="00A85EAA"/>
    <w:rsid w:val="00A85EDD"/>
    <w:rsid w:val="00A85F7C"/>
    <w:rsid w:val="00A85F94"/>
    <w:rsid w:val="00A86037"/>
    <w:rsid w:val="00A860BE"/>
    <w:rsid w:val="00A86142"/>
    <w:rsid w:val="00A86192"/>
    <w:rsid w:val="00A861A1"/>
    <w:rsid w:val="00A86212"/>
    <w:rsid w:val="00A862E1"/>
    <w:rsid w:val="00A862F4"/>
    <w:rsid w:val="00A86352"/>
    <w:rsid w:val="00A86414"/>
    <w:rsid w:val="00A86425"/>
    <w:rsid w:val="00A86528"/>
    <w:rsid w:val="00A86552"/>
    <w:rsid w:val="00A86572"/>
    <w:rsid w:val="00A8684A"/>
    <w:rsid w:val="00A868CA"/>
    <w:rsid w:val="00A869F7"/>
    <w:rsid w:val="00A86A5E"/>
    <w:rsid w:val="00A86B30"/>
    <w:rsid w:val="00A86C6B"/>
    <w:rsid w:val="00A86CAD"/>
    <w:rsid w:val="00A86D40"/>
    <w:rsid w:val="00A86E0C"/>
    <w:rsid w:val="00A86EF6"/>
    <w:rsid w:val="00A870C5"/>
    <w:rsid w:val="00A871F8"/>
    <w:rsid w:val="00A872AD"/>
    <w:rsid w:val="00A87336"/>
    <w:rsid w:val="00A873D9"/>
    <w:rsid w:val="00A87522"/>
    <w:rsid w:val="00A875A2"/>
    <w:rsid w:val="00A875F7"/>
    <w:rsid w:val="00A87613"/>
    <w:rsid w:val="00A87757"/>
    <w:rsid w:val="00A87774"/>
    <w:rsid w:val="00A87A6B"/>
    <w:rsid w:val="00A87A80"/>
    <w:rsid w:val="00A87AF5"/>
    <w:rsid w:val="00A87B58"/>
    <w:rsid w:val="00A87BB6"/>
    <w:rsid w:val="00A87C15"/>
    <w:rsid w:val="00A87C2C"/>
    <w:rsid w:val="00A87C3C"/>
    <w:rsid w:val="00A87DFB"/>
    <w:rsid w:val="00A87E08"/>
    <w:rsid w:val="00A87E1E"/>
    <w:rsid w:val="00A87E99"/>
    <w:rsid w:val="00A87FEE"/>
    <w:rsid w:val="00A90062"/>
    <w:rsid w:val="00A901A8"/>
    <w:rsid w:val="00A901ED"/>
    <w:rsid w:val="00A9020E"/>
    <w:rsid w:val="00A90399"/>
    <w:rsid w:val="00A9053F"/>
    <w:rsid w:val="00A90565"/>
    <w:rsid w:val="00A90619"/>
    <w:rsid w:val="00A90668"/>
    <w:rsid w:val="00A90782"/>
    <w:rsid w:val="00A908C9"/>
    <w:rsid w:val="00A90950"/>
    <w:rsid w:val="00A909E6"/>
    <w:rsid w:val="00A90B6B"/>
    <w:rsid w:val="00A90C3D"/>
    <w:rsid w:val="00A90CE1"/>
    <w:rsid w:val="00A90D29"/>
    <w:rsid w:val="00A90DAD"/>
    <w:rsid w:val="00A90E25"/>
    <w:rsid w:val="00A90E54"/>
    <w:rsid w:val="00A90EC1"/>
    <w:rsid w:val="00A91044"/>
    <w:rsid w:val="00A910BA"/>
    <w:rsid w:val="00A91103"/>
    <w:rsid w:val="00A9113B"/>
    <w:rsid w:val="00A91151"/>
    <w:rsid w:val="00A91178"/>
    <w:rsid w:val="00A9124C"/>
    <w:rsid w:val="00A9125E"/>
    <w:rsid w:val="00A91272"/>
    <w:rsid w:val="00A913FF"/>
    <w:rsid w:val="00A9143F"/>
    <w:rsid w:val="00A91464"/>
    <w:rsid w:val="00A914DD"/>
    <w:rsid w:val="00A916DA"/>
    <w:rsid w:val="00A91733"/>
    <w:rsid w:val="00A91897"/>
    <w:rsid w:val="00A918CC"/>
    <w:rsid w:val="00A918CE"/>
    <w:rsid w:val="00A9194F"/>
    <w:rsid w:val="00A9199B"/>
    <w:rsid w:val="00A91A17"/>
    <w:rsid w:val="00A91A7D"/>
    <w:rsid w:val="00A91B1A"/>
    <w:rsid w:val="00A91C7E"/>
    <w:rsid w:val="00A91D3A"/>
    <w:rsid w:val="00A91D9C"/>
    <w:rsid w:val="00A91F4A"/>
    <w:rsid w:val="00A91FA1"/>
    <w:rsid w:val="00A91FD6"/>
    <w:rsid w:val="00A91FFD"/>
    <w:rsid w:val="00A92076"/>
    <w:rsid w:val="00A9218B"/>
    <w:rsid w:val="00A921C9"/>
    <w:rsid w:val="00A92302"/>
    <w:rsid w:val="00A92383"/>
    <w:rsid w:val="00A923D3"/>
    <w:rsid w:val="00A9248B"/>
    <w:rsid w:val="00A924FA"/>
    <w:rsid w:val="00A9255A"/>
    <w:rsid w:val="00A9263D"/>
    <w:rsid w:val="00A92667"/>
    <w:rsid w:val="00A926F7"/>
    <w:rsid w:val="00A92746"/>
    <w:rsid w:val="00A927E4"/>
    <w:rsid w:val="00A92942"/>
    <w:rsid w:val="00A92A0D"/>
    <w:rsid w:val="00A92AF0"/>
    <w:rsid w:val="00A92B12"/>
    <w:rsid w:val="00A92B56"/>
    <w:rsid w:val="00A92B59"/>
    <w:rsid w:val="00A92C23"/>
    <w:rsid w:val="00A92C27"/>
    <w:rsid w:val="00A92C8D"/>
    <w:rsid w:val="00A92CBF"/>
    <w:rsid w:val="00A92E42"/>
    <w:rsid w:val="00A92E4E"/>
    <w:rsid w:val="00A92F43"/>
    <w:rsid w:val="00A92F4E"/>
    <w:rsid w:val="00A92F54"/>
    <w:rsid w:val="00A92F9D"/>
    <w:rsid w:val="00A92FD2"/>
    <w:rsid w:val="00A92FDD"/>
    <w:rsid w:val="00A93078"/>
    <w:rsid w:val="00A9309D"/>
    <w:rsid w:val="00A93133"/>
    <w:rsid w:val="00A93151"/>
    <w:rsid w:val="00A9321B"/>
    <w:rsid w:val="00A932C2"/>
    <w:rsid w:val="00A933CF"/>
    <w:rsid w:val="00A933D8"/>
    <w:rsid w:val="00A93447"/>
    <w:rsid w:val="00A93485"/>
    <w:rsid w:val="00A934D2"/>
    <w:rsid w:val="00A934DD"/>
    <w:rsid w:val="00A93585"/>
    <w:rsid w:val="00A935E6"/>
    <w:rsid w:val="00A93618"/>
    <w:rsid w:val="00A9367C"/>
    <w:rsid w:val="00A936D9"/>
    <w:rsid w:val="00A937A4"/>
    <w:rsid w:val="00A939BF"/>
    <w:rsid w:val="00A93B50"/>
    <w:rsid w:val="00A93BF3"/>
    <w:rsid w:val="00A93CC8"/>
    <w:rsid w:val="00A93DC1"/>
    <w:rsid w:val="00A93E27"/>
    <w:rsid w:val="00A93F1E"/>
    <w:rsid w:val="00A93F84"/>
    <w:rsid w:val="00A940D0"/>
    <w:rsid w:val="00A940D2"/>
    <w:rsid w:val="00A94148"/>
    <w:rsid w:val="00A94170"/>
    <w:rsid w:val="00A942CF"/>
    <w:rsid w:val="00A9437D"/>
    <w:rsid w:val="00A94389"/>
    <w:rsid w:val="00A9441A"/>
    <w:rsid w:val="00A9445B"/>
    <w:rsid w:val="00A944AA"/>
    <w:rsid w:val="00A94552"/>
    <w:rsid w:val="00A94560"/>
    <w:rsid w:val="00A9463A"/>
    <w:rsid w:val="00A946FC"/>
    <w:rsid w:val="00A94721"/>
    <w:rsid w:val="00A947D7"/>
    <w:rsid w:val="00A948A2"/>
    <w:rsid w:val="00A94AF2"/>
    <w:rsid w:val="00A94B23"/>
    <w:rsid w:val="00A94B2D"/>
    <w:rsid w:val="00A94B35"/>
    <w:rsid w:val="00A94B78"/>
    <w:rsid w:val="00A94C1F"/>
    <w:rsid w:val="00A94C22"/>
    <w:rsid w:val="00A94C51"/>
    <w:rsid w:val="00A94CCE"/>
    <w:rsid w:val="00A94CD8"/>
    <w:rsid w:val="00A94D0F"/>
    <w:rsid w:val="00A94D63"/>
    <w:rsid w:val="00A94DD6"/>
    <w:rsid w:val="00A94E01"/>
    <w:rsid w:val="00A94F62"/>
    <w:rsid w:val="00A95021"/>
    <w:rsid w:val="00A950D9"/>
    <w:rsid w:val="00A9510B"/>
    <w:rsid w:val="00A95192"/>
    <w:rsid w:val="00A952DB"/>
    <w:rsid w:val="00A952E6"/>
    <w:rsid w:val="00A952EE"/>
    <w:rsid w:val="00A953C9"/>
    <w:rsid w:val="00A953CB"/>
    <w:rsid w:val="00A953E4"/>
    <w:rsid w:val="00A9546B"/>
    <w:rsid w:val="00A954CA"/>
    <w:rsid w:val="00A95682"/>
    <w:rsid w:val="00A9571F"/>
    <w:rsid w:val="00A95742"/>
    <w:rsid w:val="00A9585B"/>
    <w:rsid w:val="00A9590F"/>
    <w:rsid w:val="00A9594F"/>
    <w:rsid w:val="00A95A00"/>
    <w:rsid w:val="00A95A15"/>
    <w:rsid w:val="00A95A6D"/>
    <w:rsid w:val="00A95BAD"/>
    <w:rsid w:val="00A95BF0"/>
    <w:rsid w:val="00A95C65"/>
    <w:rsid w:val="00A95C9F"/>
    <w:rsid w:val="00A95F1B"/>
    <w:rsid w:val="00A95F96"/>
    <w:rsid w:val="00A96160"/>
    <w:rsid w:val="00A961D8"/>
    <w:rsid w:val="00A9622A"/>
    <w:rsid w:val="00A962E7"/>
    <w:rsid w:val="00A962EA"/>
    <w:rsid w:val="00A96378"/>
    <w:rsid w:val="00A96497"/>
    <w:rsid w:val="00A965C8"/>
    <w:rsid w:val="00A9677C"/>
    <w:rsid w:val="00A96926"/>
    <w:rsid w:val="00A96A82"/>
    <w:rsid w:val="00A96ADE"/>
    <w:rsid w:val="00A96AE9"/>
    <w:rsid w:val="00A96B30"/>
    <w:rsid w:val="00A96B97"/>
    <w:rsid w:val="00A96BED"/>
    <w:rsid w:val="00A96C58"/>
    <w:rsid w:val="00A96D16"/>
    <w:rsid w:val="00A96DB7"/>
    <w:rsid w:val="00A96E53"/>
    <w:rsid w:val="00A96ED6"/>
    <w:rsid w:val="00A96F67"/>
    <w:rsid w:val="00A96FE4"/>
    <w:rsid w:val="00A97243"/>
    <w:rsid w:val="00A972CE"/>
    <w:rsid w:val="00A973BD"/>
    <w:rsid w:val="00A973D5"/>
    <w:rsid w:val="00A973E9"/>
    <w:rsid w:val="00A9741B"/>
    <w:rsid w:val="00A97429"/>
    <w:rsid w:val="00A97452"/>
    <w:rsid w:val="00A97456"/>
    <w:rsid w:val="00A97478"/>
    <w:rsid w:val="00A9748D"/>
    <w:rsid w:val="00A974EB"/>
    <w:rsid w:val="00A9750E"/>
    <w:rsid w:val="00A97520"/>
    <w:rsid w:val="00A97583"/>
    <w:rsid w:val="00A975BD"/>
    <w:rsid w:val="00A97622"/>
    <w:rsid w:val="00A97625"/>
    <w:rsid w:val="00A97703"/>
    <w:rsid w:val="00A9781E"/>
    <w:rsid w:val="00A978FF"/>
    <w:rsid w:val="00A9797B"/>
    <w:rsid w:val="00A97B20"/>
    <w:rsid w:val="00A97C41"/>
    <w:rsid w:val="00A97CF7"/>
    <w:rsid w:val="00A97D1F"/>
    <w:rsid w:val="00A97F31"/>
    <w:rsid w:val="00A97F64"/>
    <w:rsid w:val="00A97FF5"/>
    <w:rsid w:val="00AA0105"/>
    <w:rsid w:val="00AA01FE"/>
    <w:rsid w:val="00AA0231"/>
    <w:rsid w:val="00AA02D1"/>
    <w:rsid w:val="00AA0340"/>
    <w:rsid w:val="00AA03EC"/>
    <w:rsid w:val="00AA03ED"/>
    <w:rsid w:val="00AA0434"/>
    <w:rsid w:val="00AA05D9"/>
    <w:rsid w:val="00AA07F2"/>
    <w:rsid w:val="00AA094C"/>
    <w:rsid w:val="00AA099D"/>
    <w:rsid w:val="00AA0A8E"/>
    <w:rsid w:val="00AA0B0B"/>
    <w:rsid w:val="00AA0B42"/>
    <w:rsid w:val="00AA0B51"/>
    <w:rsid w:val="00AA0E10"/>
    <w:rsid w:val="00AA0E1D"/>
    <w:rsid w:val="00AA0EC9"/>
    <w:rsid w:val="00AA0ED1"/>
    <w:rsid w:val="00AA0F57"/>
    <w:rsid w:val="00AA0FBE"/>
    <w:rsid w:val="00AA1054"/>
    <w:rsid w:val="00AA11AB"/>
    <w:rsid w:val="00AA11C4"/>
    <w:rsid w:val="00AA1407"/>
    <w:rsid w:val="00AA1440"/>
    <w:rsid w:val="00AA14D8"/>
    <w:rsid w:val="00AA158E"/>
    <w:rsid w:val="00AA15C1"/>
    <w:rsid w:val="00AA1609"/>
    <w:rsid w:val="00AA16F5"/>
    <w:rsid w:val="00AA1713"/>
    <w:rsid w:val="00AA174B"/>
    <w:rsid w:val="00AA1843"/>
    <w:rsid w:val="00AA19D2"/>
    <w:rsid w:val="00AA1B3A"/>
    <w:rsid w:val="00AA1B52"/>
    <w:rsid w:val="00AA1C64"/>
    <w:rsid w:val="00AA1D4F"/>
    <w:rsid w:val="00AA1DD7"/>
    <w:rsid w:val="00AA1DE0"/>
    <w:rsid w:val="00AA1E15"/>
    <w:rsid w:val="00AA1EDC"/>
    <w:rsid w:val="00AA1F22"/>
    <w:rsid w:val="00AA1F42"/>
    <w:rsid w:val="00AA1F4E"/>
    <w:rsid w:val="00AA1F57"/>
    <w:rsid w:val="00AA2002"/>
    <w:rsid w:val="00AA2065"/>
    <w:rsid w:val="00AA20AA"/>
    <w:rsid w:val="00AA213B"/>
    <w:rsid w:val="00AA2146"/>
    <w:rsid w:val="00AA2210"/>
    <w:rsid w:val="00AA2249"/>
    <w:rsid w:val="00AA2293"/>
    <w:rsid w:val="00AA23CC"/>
    <w:rsid w:val="00AA248E"/>
    <w:rsid w:val="00AA2537"/>
    <w:rsid w:val="00AA2544"/>
    <w:rsid w:val="00AA257C"/>
    <w:rsid w:val="00AA275C"/>
    <w:rsid w:val="00AA27A4"/>
    <w:rsid w:val="00AA2815"/>
    <w:rsid w:val="00AA28E2"/>
    <w:rsid w:val="00AA2A9E"/>
    <w:rsid w:val="00AA2BF3"/>
    <w:rsid w:val="00AA2D2C"/>
    <w:rsid w:val="00AA2F12"/>
    <w:rsid w:val="00AA2F65"/>
    <w:rsid w:val="00AA3356"/>
    <w:rsid w:val="00AA335A"/>
    <w:rsid w:val="00AA33F9"/>
    <w:rsid w:val="00AA353F"/>
    <w:rsid w:val="00AA360D"/>
    <w:rsid w:val="00AA3780"/>
    <w:rsid w:val="00AA3799"/>
    <w:rsid w:val="00AA379A"/>
    <w:rsid w:val="00AA3801"/>
    <w:rsid w:val="00AA3892"/>
    <w:rsid w:val="00AA38CB"/>
    <w:rsid w:val="00AA398A"/>
    <w:rsid w:val="00AA39F4"/>
    <w:rsid w:val="00AA3A5C"/>
    <w:rsid w:val="00AA3A5F"/>
    <w:rsid w:val="00AA3B09"/>
    <w:rsid w:val="00AA3B46"/>
    <w:rsid w:val="00AA3BC7"/>
    <w:rsid w:val="00AA3BCF"/>
    <w:rsid w:val="00AA3D35"/>
    <w:rsid w:val="00AA3ED8"/>
    <w:rsid w:val="00AA3EFB"/>
    <w:rsid w:val="00AA3FA4"/>
    <w:rsid w:val="00AA40BE"/>
    <w:rsid w:val="00AA4148"/>
    <w:rsid w:val="00AA4499"/>
    <w:rsid w:val="00AA449F"/>
    <w:rsid w:val="00AA451D"/>
    <w:rsid w:val="00AA452D"/>
    <w:rsid w:val="00AA4580"/>
    <w:rsid w:val="00AA46CC"/>
    <w:rsid w:val="00AA46DE"/>
    <w:rsid w:val="00AA4725"/>
    <w:rsid w:val="00AA47CD"/>
    <w:rsid w:val="00AA4837"/>
    <w:rsid w:val="00AA49DF"/>
    <w:rsid w:val="00AA4A0A"/>
    <w:rsid w:val="00AA4A77"/>
    <w:rsid w:val="00AA4AB4"/>
    <w:rsid w:val="00AA4B45"/>
    <w:rsid w:val="00AA4B52"/>
    <w:rsid w:val="00AA4B8F"/>
    <w:rsid w:val="00AA4CFE"/>
    <w:rsid w:val="00AA4D14"/>
    <w:rsid w:val="00AA5169"/>
    <w:rsid w:val="00AA5237"/>
    <w:rsid w:val="00AA526A"/>
    <w:rsid w:val="00AA537C"/>
    <w:rsid w:val="00AA53C9"/>
    <w:rsid w:val="00AA5432"/>
    <w:rsid w:val="00AA54B0"/>
    <w:rsid w:val="00AA54F5"/>
    <w:rsid w:val="00AA54FA"/>
    <w:rsid w:val="00AA5669"/>
    <w:rsid w:val="00AA5812"/>
    <w:rsid w:val="00AA584D"/>
    <w:rsid w:val="00AA592B"/>
    <w:rsid w:val="00AA59DE"/>
    <w:rsid w:val="00AA5AEE"/>
    <w:rsid w:val="00AA5B4E"/>
    <w:rsid w:val="00AA5BD0"/>
    <w:rsid w:val="00AA5C25"/>
    <w:rsid w:val="00AA5C2A"/>
    <w:rsid w:val="00AA5CEE"/>
    <w:rsid w:val="00AA5D28"/>
    <w:rsid w:val="00AA5FFF"/>
    <w:rsid w:val="00AA610B"/>
    <w:rsid w:val="00AA6340"/>
    <w:rsid w:val="00AA63FE"/>
    <w:rsid w:val="00AA64FE"/>
    <w:rsid w:val="00AA659F"/>
    <w:rsid w:val="00AA65D0"/>
    <w:rsid w:val="00AA6701"/>
    <w:rsid w:val="00AA67DF"/>
    <w:rsid w:val="00AA6987"/>
    <w:rsid w:val="00AA69C5"/>
    <w:rsid w:val="00AA69E1"/>
    <w:rsid w:val="00AA69E4"/>
    <w:rsid w:val="00AA6AA0"/>
    <w:rsid w:val="00AA6AB2"/>
    <w:rsid w:val="00AA6AB8"/>
    <w:rsid w:val="00AA6B9E"/>
    <w:rsid w:val="00AA6C30"/>
    <w:rsid w:val="00AA6C93"/>
    <w:rsid w:val="00AA6CA1"/>
    <w:rsid w:val="00AA6CA4"/>
    <w:rsid w:val="00AA6CD5"/>
    <w:rsid w:val="00AA6CEE"/>
    <w:rsid w:val="00AA6D1D"/>
    <w:rsid w:val="00AA6D60"/>
    <w:rsid w:val="00AA6D76"/>
    <w:rsid w:val="00AA6E49"/>
    <w:rsid w:val="00AA6E5B"/>
    <w:rsid w:val="00AA6EBE"/>
    <w:rsid w:val="00AA7081"/>
    <w:rsid w:val="00AA71BA"/>
    <w:rsid w:val="00AA71C0"/>
    <w:rsid w:val="00AA71D7"/>
    <w:rsid w:val="00AA71E0"/>
    <w:rsid w:val="00AA72F9"/>
    <w:rsid w:val="00AA73A6"/>
    <w:rsid w:val="00AA748D"/>
    <w:rsid w:val="00AA74E2"/>
    <w:rsid w:val="00AA752D"/>
    <w:rsid w:val="00AA75C0"/>
    <w:rsid w:val="00AA766A"/>
    <w:rsid w:val="00AA76B4"/>
    <w:rsid w:val="00AA79DD"/>
    <w:rsid w:val="00AA7A4B"/>
    <w:rsid w:val="00AA7BA0"/>
    <w:rsid w:val="00AA7BBB"/>
    <w:rsid w:val="00AA7BDF"/>
    <w:rsid w:val="00AA7E51"/>
    <w:rsid w:val="00AA7FFB"/>
    <w:rsid w:val="00AB0042"/>
    <w:rsid w:val="00AB00F6"/>
    <w:rsid w:val="00AB018C"/>
    <w:rsid w:val="00AB01DD"/>
    <w:rsid w:val="00AB01FD"/>
    <w:rsid w:val="00AB021E"/>
    <w:rsid w:val="00AB02CB"/>
    <w:rsid w:val="00AB0358"/>
    <w:rsid w:val="00AB0365"/>
    <w:rsid w:val="00AB03D6"/>
    <w:rsid w:val="00AB03EA"/>
    <w:rsid w:val="00AB0434"/>
    <w:rsid w:val="00AB04A2"/>
    <w:rsid w:val="00AB04C1"/>
    <w:rsid w:val="00AB0577"/>
    <w:rsid w:val="00AB05E2"/>
    <w:rsid w:val="00AB05E6"/>
    <w:rsid w:val="00AB05F5"/>
    <w:rsid w:val="00AB06FF"/>
    <w:rsid w:val="00AB08FC"/>
    <w:rsid w:val="00AB094E"/>
    <w:rsid w:val="00AB0981"/>
    <w:rsid w:val="00AB09D7"/>
    <w:rsid w:val="00AB0A18"/>
    <w:rsid w:val="00AB0A3B"/>
    <w:rsid w:val="00AB0A43"/>
    <w:rsid w:val="00AB0A92"/>
    <w:rsid w:val="00AB0C56"/>
    <w:rsid w:val="00AB0D99"/>
    <w:rsid w:val="00AB0F9A"/>
    <w:rsid w:val="00AB0FD2"/>
    <w:rsid w:val="00AB1040"/>
    <w:rsid w:val="00AB10F4"/>
    <w:rsid w:val="00AB1202"/>
    <w:rsid w:val="00AB125C"/>
    <w:rsid w:val="00AB12D9"/>
    <w:rsid w:val="00AB1313"/>
    <w:rsid w:val="00AB136C"/>
    <w:rsid w:val="00AB14B1"/>
    <w:rsid w:val="00AB14C8"/>
    <w:rsid w:val="00AB14FF"/>
    <w:rsid w:val="00AB1588"/>
    <w:rsid w:val="00AB15FC"/>
    <w:rsid w:val="00AB1668"/>
    <w:rsid w:val="00AB1684"/>
    <w:rsid w:val="00AB1773"/>
    <w:rsid w:val="00AB17EB"/>
    <w:rsid w:val="00AB180A"/>
    <w:rsid w:val="00AB1910"/>
    <w:rsid w:val="00AB1A64"/>
    <w:rsid w:val="00AB1ACB"/>
    <w:rsid w:val="00AB1B63"/>
    <w:rsid w:val="00AB1BE7"/>
    <w:rsid w:val="00AB1C0B"/>
    <w:rsid w:val="00AB1C68"/>
    <w:rsid w:val="00AB1C7B"/>
    <w:rsid w:val="00AB1D1A"/>
    <w:rsid w:val="00AB1DAE"/>
    <w:rsid w:val="00AB1DEE"/>
    <w:rsid w:val="00AB1EF8"/>
    <w:rsid w:val="00AB1FBF"/>
    <w:rsid w:val="00AB206B"/>
    <w:rsid w:val="00AB2199"/>
    <w:rsid w:val="00AB21DF"/>
    <w:rsid w:val="00AB2239"/>
    <w:rsid w:val="00AB224F"/>
    <w:rsid w:val="00AB22C8"/>
    <w:rsid w:val="00AB2382"/>
    <w:rsid w:val="00AB246B"/>
    <w:rsid w:val="00AB256D"/>
    <w:rsid w:val="00AB2580"/>
    <w:rsid w:val="00AB25C5"/>
    <w:rsid w:val="00AB25D3"/>
    <w:rsid w:val="00AB2602"/>
    <w:rsid w:val="00AB27A9"/>
    <w:rsid w:val="00AB28D6"/>
    <w:rsid w:val="00AB296E"/>
    <w:rsid w:val="00AB2ABD"/>
    <w:rsid w:val="00AB2B54"/>
    <w:rsid w:val="00AB2BC8"/>
    <w:rsid w:val="00AB2BCC"/>
    <w:rsid w:val="00AB2C23"/>
    <w:rsid w:val="00AB2C97"/>
    <w:rsid w:val="00AB2EB6"/>
    <w:rsid w:val="00AB2F9E"/>
    <w:rsid w:val="00AB2FF9"/>
    <w:rsid w:val="00AB3059"/>
    <w:rsid w:val="00AB305F"/>
    <w:rsid w:val="00AB30AF"/>
    <w:rsid w:val="00AB30EF"/>
    <w:rsid w:val="00AB3171"/>
    <w:rsid w:val="00AB330C"/>
    <w:rsid w:val="00AB3366"/>
    <w:rsid w:val="00AB33B4"/>
    <w:rsid w:val="00AB346A"/>
    <w:rsid w:val="00AB3493"/>
    <w:rsid w:val="00AB34A8"/>
    <w:rsid w:val="00AB34D3"/>
    <w:rsid w:val="00AB34E0"/>
    <w:rsid w:val="00AB3506"/>
    <w:rsid w:val="00AB3709"/>
    <w:rsid w:val="00AB3764"/>
    <w:rsid w:val="00AB37A8"/>
    <w:rsid w:val="00AB37AF"/>
    <w:rsid w:val="00AB37BF"/>
    <w:rsid w:val="00AB37F0"/>
    <w:rsid w:val="00AB385D"/>
    <w:rsid w:val="00AB396F"/>
    <w:rsid w:val="00AB39C2"/>
    <w:rsid w:val="00AB3A30"/>
    <w:rsid w:val="00AB3AE5"/>
    <w:rsid w:val="00AB3BF5"/>
    <w:rsid w:val="00AB3C0B"/>
    <w:rsid w:val="00AB3D20"/>
    <w:rsid w:val="00AB3D3A"/>
    <w:rsid w:val="00AB3DB1"/>
    <w:rsid w:val="00AB3E8F"/>
    <w:rsid w:val="00AB3EC8"/>
    <w:rsid w:val="00AB3FAA"/>
    <w:rsid w:val="00AB3FE9"/>
    <w:rsid w:val="00AB4069"/>
    <w:rsid w:val="00AB4294"/>
    <w:rsid w:val="00AB429A"/>
    <w:rsid w:val="00AB4341"/>
    <w:rsid w:val="00AB4396"/>
    <w:rsid w:val="00AB43CA"/>
    <w:rsid w:val="00AB452B"/>
    <w:rsid w:val="00AB4590"/>
    <w:rsid w:val="00AB4698"/>
    <w:rsid w:val="00AB47DE"/>
    <w:rsid w:val="00AB480A"/>
    <w:rsid w:val="00AB480B"/>
    <w:rsid w:val="00AB4882"/>
    <w:rsid w:val="00AB4914"/>
    <w:rsid w:val="00AB4926"/>
    <w:rsid w:val="00AB4ABD"/>
    <w:rsid w:val="00AB4BC6"/>
    <w:rsid w:val="00AB4C0F"/>
    <w:rsid w:val="00AB4D12"/>
    <w:rsid w:val="00AB4F0B"/>
    <w:rsid w:val="00AB4F2F"/>
    <w:rsid w:val="00AB4FDB"/>
    <w:rsid w:val="00AB5007"/>
    <w:rsid w:val="00AB508C"/>
    <w:rsid w:val="00AB50CB"/>
    <w:rsid w:val="00AB51C7"/>
    <w:rsid w:val="00AB53FF"/>
    <w:rsid w:val="00AB5410"/>
    <w:rsid w:val="00AB5451"/>
    <w:rsid w:val="00AB563A"/>
    <w:rsid w:val="00AB5654"/>
    <w:rsid w:val="00AB5710"/>
    <w:rsid w:val="00AB572E"/>
    <w:rsid w:val="00AB57A2"/>
    <w:rsid w:val="00AB57B2"/>
    <w:rsid w:val="00AB584C"/>
    <w:rsid w:val="00AB588E"/>
    <w:rsid w:val="00AB591A"/>
    <w:rsid w:val="00AB59CB"/>
    <w:rsid w:val="00AB59F3"/>
    <w:rsid w:val="00AB5A63"/>
    <w:rsid w:val="00AB5ADF"/>
    <w:rsid w:val="00AB5AFE"/>
    <w:rsid w:val="00AB5B0D"/>
    <w:rsid w:val="00AB5B7E"/>
    <w:rsid w:val="00AB5BAB"/>
    <w:rsid w:val="00AB5BE7"/>
    <w:rsid w:val="00AB5BFE"/>
    <w:rsid w:val="00AB5D1E"/>
    <w:rsid w:val="00AB5D9E"/>
    <w:rsid w:val="00AB5E59"/>
    <w:rsid w:val="00AB5F22"/>
    <w:rsid w:val="00AB5FB1"/>
    <w:rsid w:val="00AB6090"/>
    <w:rsid w:val="00AB6186"/>
    <w:rsid w:val="00AB6221"/>
    <w:rsid w:val="00AB6389"/>
    <w:rsid w:val="00AB63CA"/>
    <w:rsid w:val="00AB63D2"/>
    <w:rsid w:val="00AB6608"/>
    <w:rsid w:val="00AB6790"/>
    <w:rsid w:val="00AB6810"/>
    <w:rsid w:val="00AB6811"/>
    <w:rsid w:val="00AB68D5"/>
    <w:rsid w:val="00AB6961"/>
    <w:rsid w:val="00AB69D7"/>
    <w:rsid w:val="00AB6A93"/>
    <w:rsid w:val="00AB6AD4"/>
    <w:rsid w:val="00AB6AF7"/>
    <w:rsid w:val="00AB6B44"/>
    <w:rsid w:val="00AB6D25"/>
    <w:rsid w:val="00AB6DB8"/>
    <w:rsid w:val="00AB6F35"/>
    <w:rsid w:val="00AB6FF4"/>
    <w:rsid w:val="00AB7037"/>
    <w:rsid w:val="00AB7103"/>
    <w:rsid w:val="00AB7339"/>
    <w:rsid w:val="00AB741B"/>
    <w:rsid w:val="00AB755D"/>
    <w:rsid w:val="00AB776B"/>
    <w:rsid w:val="00AB7889"/>
    <w:rsid w:val="00AB7ABF"/>
    <w:rsid w:val="00AB7BE2"/>
    <w:rsid w:val="00AB7C21"/>
    <w:rsid w:val="00AB7E30"/>
    <w:rsid w:val="00AB7EFC"/>
    <w:rsid w:val="00AB7F1E"/>
    <w:rsid w:val="00AB7FF5"/>
    <w:rsid w:val="00AC0030"/>
    <w:rsid w:val="00AC00B1"/>
    <w:rsid w:val="00AC0105"/>
    <w:rsid w:val="00AC0335"/>
    <w:rsid w:val="00AC0365"/>
    <w:rsid w:val="00AC0637"/>
    <w:rsid w:val="00AC064D"/>
    <w:rsid w:val="00AC06CD"/>
    <w:rsid w:val="00AC06D6"/>
    <w:rsid w:val="00AC0754"/>
    <w:rsid w:val="00AC09E6"/>
    <w:rsid w:val="00AC0CAD"/>
    <w:rsid w:val="00AC0CC7"/>
    <w:rsid w:val="00AC0DC9"/>
    <w:rsid w:val="00AC0DD2"/>
    <w:rsid w:val="00AC0E76"/>
    <w:rsid w:val="00AC0E94"/>
    <w:rsid w:val="00AC0F2F"/>
    <w:rsid w:val="00AC0F94"/>
    <w:rsid w:val="00AC0FBD"/>
    <w:rsid w:val="00AC1032"/>
    <w:rsid w:val="00AC1135"/>
    <w:rsid w:val="00AC121A"/>
    <w:rsid w:val="00AC1250"/>
    <w:rsid w:val="00AC13A2"/>
    <w:rsid w:val="00AC152A"/>
    <w:rsid w:val="00AC154D"/>
    <w:rsid w:val="00AC16A5"/>
    <w:rsid w:val="00AC16C0"/>
    <w:rsid w:val="00AC1793"/>
    <w:rsid w:val="00AC17E3"/>
    <w:rsid w:val="00AC1810"/>
    <w:rsid w:val="00AC182C"/>
    <w:rsid w:val="00AC18FD"/>
    <w:rsid w:val="00AC19FE"/>
    <w:rsid w:val="00AC1A60"/>
    <w:rsid w:val="00AC1ACD"/>
    <w:rsid w:val="00AC1AFE"/>
    <w:rsid w:val="00AC1B09"/>
    <w:rsid w:val="00AC1B42"/>
    <w:rsid w:val="00AC1B43"/>
    <w:rsid w:val="00AC1B50"/>
    <w:rsid w:val="00AC1B8D"/>
    <w:rsid w:val="00AC1C73"/>
    <w:rsid w:val="00AC1CFF"/>
    <w:rsid w:val="00AC1DE0"/>
    <w:rsid w:val="00AC1ED5"/>
    <w:rsid w:val="00AC2051"/>
    <w:rsid w:val="00AC20CE"/>
    <w:rsid w:val="00AC213F"/>
    <w:rsid w:val="00AC2211"/>
    <w:rsid w:val="00AC2216"/>
    <w:rsid w:val="00AC2350"/>
    <w:rsid w:val="00AC2373"/>
    <w:rsid w:val="00AC2512"/>
    <w:rsid w:val="00AC2658"/>
    <w:rsid w:val="00AC28AD"/>
    <w:rsid w:val="00AC292F"/>
    <w:rsid w:val="00AC2A3F"/>
    <w:rsid w:val="00AC2A43"/>
    <w:rsid w:val="00AC2B55"/>
    <w:rsid w:val="00AC2B84"/>
    <w:rsid w:val="00AC2C55"/>
    <w:rsid w:val="00AC2CEC"/>
    <w:rsid w:val="00AC2D15"/>
    <w:rsid w:val="00AC2D59"/>
    <w:rsid w:val="00AC2DDD"/>
    <w:rsid w:val="00AC2E06"/>
    <w:rsid w:val="00AC3003"/>
    <w:rsid w:val="00AC30AB"/>
    <w:rsid w:val="00AC30E1"/>
    <w:rsid w:val="00AC3187"/>
    <w:rsid w:val="00AC31B0"/>
    <w:rsid w:val="00AC3243"/>
    <w:rsid w:val="00AC3298"/>
    <w:rsid w:val="00AC3308"/>
    <w:rsid w:val="00AC3330"/>
    <w:rsid w:val="00AC337F"/>
    <w:rsid w:val="00AC33F7"/>
    <w:rsid w:val="00AC3424"/>
    <w:rsid w:val="00AC3716"/>
    <w:rsid w:val="00AC374F"/>
    <w:rsid w:val="00AC378A"/>
    <w:rsid w:val="00AC37BA"/>
    <w:rsid w:val="00AC3857"/>
    <w:rsid w:val="00AC38D6"/>
    <w:rsid w:val="00AC38FC"/>
    <w:rsid w:val="00AC3940"/>
    <w:rsid w:val="00AC399A"/>
    <w:rsid w:val="00AC39BD"/>
    <w:rsid w:val="00AC3A21"/>
    <w:rsid w:val="00AC3B00"/>
    <w:rsid w:val="00AC3B87"/>
    <w:rsid w:val="00AC3BB9"/>
    <w:rsid w:val="00AC3C6E"/>
    <w:rsid w:val="00AC3C92"/>
    <w:rsid w:val="00AC3ECA"/>
    <w:rsid w:val="00AC3F20"/>
    <w:rsid w:val="00AC3FD9"/>
    <w:rsid w:val="00AC4087"/>
    <w:rsid w:val="00AC40D0"/>
    <w:rsid w:val="00AC40FC"/>
    <w:rsid w:val="00AC411D"/>
    <w:rsid w:val="00AC419E"/>
    <w:rsid w:val="00AC41C2"/>
    <w:rsid w:val="00AC4206"/>
    <w:rsid w:val="00AC425E"/>
    <w:rsid w:val="00AC4315"/>
    <w:rsid w:val="00AC4331"/>
    <w:rsid w:val="00AC4373"/>
    <w:rsid w:val="00AC43E6"/>
    <w:rsid w:val="00AC443B"/>
    <w:rsid w:val="00AC44B5"/>
    <w:rsid w:val="00AC454E"/>
    <w:rsid w:val="00AC465C"/>
    <w:rsid w:val="00AC4690"/>
    <w:rsid w:val="00AC46CB"/>
    <w:rsid w:val="00AC4709"/>
    <w:rsid w:val="00AC4716"/>
    <w:rsid w:val="00AC47CC"/>
    <w:rsid w:val="00AC482A"/>
    <w:rsid w:val="00AC4886"/>
    <w:rsid w:val="00AC48CD"/>
    <w:rsid w:val="00AC496C"/>
    <w:rsid w:val="00AC4A7C"/>
    <w:rsid w:val="00AC4BB0"/>
    <w:rsid w:val="00AC4C5E"/>
    <w:rsid w:val="00AC4C78"/>
    <w:rsid w:val="00AC4E0B"/>
    <w:rsid w:val="00AC4F77"/>
    <w:rsid w:val="00AC4F83"/>
    <w:rsid w:val="00AC504E"/>
    <w:rsid w:val="00AC5220"/>
    <w:rsid w:val="00AC5223"/>
    <w:rsid w:val="00AC529C"/>
    <w:rsid w:val="00AC52D9"/>
    <w:rsid w:val="00AC5330"/>
    <w:rsid w:val="00AC53E0"/>
    <w:rsid w:val="00AC5408"/>
    <w:rsid w:val="00AC56C0"/>
    <w:rsid w:val="00AC56E7"/>
    <w:rsid w:val="00AC575A"/>
    <w:rsid w:val="00AC57C7"/>
    <w:rsid w:val="00AC580F"/>
    <w:rsid w:val="00AC58F2"/>
    <w:rsid w:val="00AC5BD1"/>
    <w:rsid w:val="00AC5C7F"/>
    <w:rsid w:val="00AC5CF7"/>
    <w:rsid w:val="00AC5D18"/>
    <w:rsid w:val="00AC5E0C"/>
    <w:rsid w:val="00AC5E49"/>
    <w:rsid w:val="00AC5F2B"/>
    <w:rsid w:val="00AC5FAA"/>
    <w:rsid w:val="00AC5FCA"/>
    <w:rsid w:val="00AC5FD4"/>
    <w:rsid w:val="00AC6007"/>
    <w:rsid w:val="00AC603E"/>
    <w:rsid w:val="00AC60BB"/>
    <w:rsid w:val="00AC612A"/>
    <w:rsid w:val="00AC619B"/>
    <w:rsid w:val="00AC61B0"/>
    <w:rsid w:val="00AC629B"/>
    <w:rsid w:val="00AC62AE"/>
    <w:rsid w:val="00AC62DD"/>
    <w:rsid w:val="00AC6362"/>
    <w:rsid w:val="00AC63A0"/>
    <w:rsid w:val="00AC63FC"/>
    <w:rsid w:val="00AC644F"/>
    <w:rsid w:val="00AC6511"/>
    <w:rsid w:val="00AC6558"/>
    <w:rsid w:val="00AC665D"/>
    <w:rsid w:val="00AC66B5"/>
    <w:rsid w:val="00AC66BE"/>
    <w:rsid w:val="00AC6726"/>
    <w:rsid w:val="00AC67FF"/>
    <w:rsid w:val="00AC6818"/>
    <w:rsid w:val="00AC6841"/>
    <w:rsid w:val="00AC68F8"/>
    <w:rsid w:val="00AC690F"/>
    <w:rsid w:val="00AC692D"/>
    <w:rsid w:val="00AC6B60"/>
    <w:rsid w:val="00AC6B97"/>
    <w:rsid w:val="00AC6C34"/>
    <w:rsid w:val="00AC6C3D"/>
    <w:rsid w:val="00AC6DE1"/>
    <w:rsid w:val="00AC6ECC"/>
    <w:rsid w:val="00AC6F64"/>
    <w:rsid w:val="00AC6F8B"/>
    <w:rsid w:val="00AC6FA5"/>
    <w:rsid w:val="00AC6FFF"/>
    <w:rsid w:val="00AC7052"/>
    <w:rsid w:val="00AC71E5"/>
    <w:rsid w:val="00AC7302"/>
    <w:rsid w:val="00AC730B"/>
    <w:rsid w:val="00AC743F"/>
    <w:rsid w:val="00AC7470"/>
    <w:rsid w:val="00AC7489"/>
    <w:rsid w:val="00AC75B8"/>
    <w:rsid w:val="00AC7612"/>
    <w:rsid w:val="00AC761C"/>
    <w:rsid w:val="00AC76A3"/>
    <w:rsid w:val="00AC76D9"/>
    <w:rsid w:val="00AC771C"/>
    <w:rsid w:val="00AC772B"/>
    <w:rsid w:val="00AC78BB"/>
    <w:rsid w:val="00AC79D9"/>
    <w:rsid w:val="00AC7A26"/>
    <w:rsid w:val="00AC7AA0"/>
    <w:rsid w:val="00AC7AA6"/>
    <w:rsid w:val="00AC7B85"/>
    <w:rsid w:val="00AC7CD3"/>
    <w:rsid w:val="00AC7D1B"/>
    <w:rsid w:val="00AC7D4C"/>
    <w:rsid w:val="00AC7E18"/>
    <w:rsid w:val="00AC7E5E"/>
    <w:rsid w:val="00AC7E7C"/>
    <w:rsid w:val="00AC7ED3"/>
    <w:rsid w:val="00AC7EDA"/>
    <w:rsid w:val="00AC7F08"/>
    <w:rsid w:val="00AC7F77"/>
    <w:rsid w:val="00AD00DE"/>
    <w:rsid w:val="00AD0107"/>
    <w:rsid w:val="00AD0284"/>
    <w:rsid w:val="00AD0506"/>
    <w:rsid w:val="00AD058C"/>
    <w:rsid w:val="00AD058E"/>
    <w:rsid w:val="00AD05BE"/>
    <w:rsid w:val="00AD0681"/>
    <w:rsid w:val="00AD06DD"/>
    <w:rsid w:val="00AD0757"/>
    <w:rsid w:val="00AD07E1"/>
    <w:rsid w:val="00AD08DE"/>
    <w:rsid w:val="00AD08F1"/>
    <w:rsid w:val="00AD0976"/>
    <w:rsid w:val="00AD0ABB"/>
    <w:rsid w:val="00AD0B6B"/>
    <w:rsid w:val="00AD0D41"/>
    <w:rsid w:val="00AD0DD1"/>
    <w:rsid w:val="00AD0E91"/>
    <w:rsid w:val="00AD0F8D"/>
    <w:rsid w:val="00AD1033"/>
    <w:rsid w:val="00AD1090"/>
    <w:rsid w:val="00AD1258"/>
    <w:rsid w:val="00AD12B2"/>
    <w:rsid w:val="00AD136F"/>
    <w:rsid w:val="00AD142F"/>
    <w:rsid w:val="00AD14D7"/>
    <w:rsid w:val="00AD14FE"/>
    <w:rsid w:val="00AD1612"/>
    <w:rsid w:val="00AD1836"/>
    <w:rsid w:val="00AD1852"/>
    <w:rsid w:val="00AD189E"/>
    <w:rsid w:val="00AD19DB"/>
    <w:rsid w:val="00AD19E9"/>
    <w:rsid w:val="00AD1AB7"/>
    <w:rsid w:val="00AD1B18"/>
    <w:rsid w:val="00AD1B49"/>
    <w:rsid w:val="00AD1B5E"/>
    <w:rsid w:val="00AD1D60"/>
    <w:rsid w:val="00AD1D9E"/>
    <w:rsid w:val="00AD1DDB"/>
    <w:rsid w:val="00AD1E25"/>
    <w:rsid w:val="00AD1E99"/>
    <w:rsid w:val="00AD1F90"/>
    <w:rsid w:val="00AD2124"/>
    <w:rsid w:val="00AD2136"/>
    <w:rsid w:val="00AD21F0"/>
    <w:rsid w:val="00AD225D"/>
    <w:rsid w:val="00AD227F"/>
    <w:rsid w:val="00AD2283"/>
    <w:rsid w:val="00AD22D2"/>
    <w:rsid w:val="00AD245A"/>
    <w:rsid w:val="00AD24DE"/>
    <w:rsid w:val="00AD264E"/>
    <w:rsid w:val="00AD2738"/>
    <w:rsid w:val="00AD2749"/>
    <w:rsid w:val="00AD275D"/>
    <w:rsid w:val="00AD278C"/>
    <w:rsid w:val="00AD27BC"/>
    <w:rsid w:val="00AD29C1"/>
    <w:rsid w:val="00AD2A12"/>
    <w:rsid w:val="00AD2E14"/>
    <w:rsid w:val="00AD2FF2"/>
    <w:rsid w:val="00AD30C9"/>
    <w:rsid w:val="00AD31D5"/>
    <w:rsid w:val="00AD33D8"/>
    <w:rsid w:val="00AD357E"/>
    <w:rsid w:val="00AD37F7"/>
    <w:rsid w:val="00AD39ED"/>
    <w:rsid w:val="00AD3BAB"/>
    <w:rsid w:val="00AD3BFA"/>
    <w:rsid w:val="00AD3C1C"/>
    <w:rsid w:val="00AD3D0C"/>
    <w:rsid w:val="00AD3E41"/>
    <w:rsid w:val="00AD3F28"/>
    <w:rsid w:val="00AD4043"/>
    <w:rsid w:val="00AD40BE"/>
    <w:rsid w:val="00AD4173"/>
    <w:rsid w:val="00AD419B"/>
    <w:rsid w:val="00AD41A3"/>
    <w:rsid w:val="00AD422A"/>
    <w:rsid w:val="00AD424B"/>
    <w:rsid w:val="00AD4293"/>
    <w:rsid w:val="00AD434E"/>
    <w:rsid w:val="00AD43D9"/>
    <w:rsid w:val="00AD4538"/>
    <w:rsid w:val="00AD458E"/>
    <w:rsid w:val="00AD46D0"/>
    <w:rsid w:val="00AD47AC"/>
    <w:rsid w:val="00AD47B4"/>
    <w:rsid w:val="00AD487E"/>
    <w:rsid w:val="00AD49F5"/>
    <w:rsid w:val="00AD4AE9"/>
    <w:rsid w:val="00AD4B3B"/>
    <w:rsid w:val="00AD4C1D"/>
    <w:rsid w:val="00AD4E76"/>
    <w:rsid w:val="00AD4F01"/>
    <w:rsid w:val="00AD4F63"/>
    <w:rsid w:val="00AD4F70"/>
    <w:rsid w:val="00AD4FB1"/>
    <w:rsid w:val="00AD5137"/>
    <w:rsid w:val="00AD5157"/>
    <w:rsid w:val="00AD5195"/>
    <w:rsid w:val="00AD51DE"/>
    <w:rsid w:val="00AD5249"/>
    <w:rsid w:val="00AD5407"/>
    <w:rsid w:val="00AD542E"/>
    <w:rsid w:val="00AD5475"/>
    <w:rsid w:val="00AD5485"/>
    <w:rsid w:val="00AD551A"/>
    <w:rsid w:val="00AD555C"/>
    <w:rsid w:val="00AD5580"/>
    <w:rsid w:val="00AD5593"/>
    <w:rsid w:val="00AD55FB"/>
    <w:rsid w:val="00AD5764"/>
    <w:rsid w:val="00AD57F6"/>
    <w:rsid w:val="00AD580C"/>
    <w:rsid w:val="00AD58AE"/>
    <w:rsid w:val="00AD58F0"/>
    <w:rsid w:val="00AD5924"/>
    <w:rsid w:val="00AD594F"/>
    <w:rsid w:val="00AD5A62"/>
    <w:rsid w:val="00AD5AB8"/>
    <w:rsid w:val="00AD5B58"/>
    <w:rsid w:val="00AD5C3E"/>
    <w:rsid w:val="00AD5D4A"/>
    <w:rsid w:val="00AD5E3B"/>
    <w:rsid w:val="00AD5E47"/>
    <w:rsid w:val="00AD5EE1"/>
    <w:rsid w:val="00AD5F0B"/>
    <w:rsid w:val="00AD5F30"/>
    <w:rsid w:val="00AD5F3E"/>
    <w:rsid w:val="00AD60C3"/>
    <w:rsid w:val="00AD60F1"/>
    <w:rsid w:val="00AD6101"/>
    <w:rsid w:val="00AD619F"/>
    <w:rsid w:val="00AD62E6"/>
    <w:rsid w:val="00AD62F0"/>
    <w:rsid w:val="00AD630C"/>
    <w:rsid w:val="00AD631C"/>
    <w:rsid w:val="00AD633C"/>
    <w:rsid w:val="00AD6351"/>
    <w:rsid w:val="00AD6590"/>
    <w:rsid w:val="00AD661B"/>
    <w:rsid w:val="00AD666A"/>
    <w:rsid w:val="00AD6702"/>
    <w:rsid w:val="00AD67E1"/>
    <w:rsid w:val="00AD68B4"/>
    <w:rsid w:val="00AD691E"/>
    <w:rsid w:val="00AD69DC"/>
    <w:rsid w:val="00AD6A3A"/>
    <w:rsid w:val="00AD6B4E"/>
    <w:rsid w:val="00AD6B57"/>
    <w:rsid w:val="00AD6C43"/>
    <w:rsid w:val="00AD6D1A"/>
    <w:rsid w:val="00AD6D57"/>
    <w:rsid w:val="00AD6DEE"/>
    <w:rsid w:val="00AD6E3A"/>
    <w:rsid w:val="00AD6E68"/>
    <w:rsid w:val="00AD6F9B"/>
    <w:rsid w:val="00AD7025"/>
    <w:rsid w:val="00AD7194"/>
    <w:rsid w:val="00AD71AA"/>
    <w:rsid w:val="00AD71FA"/>
    <w:rsid w:val="00AD726E"/>
    <w:rsid w:val="00AD72A1"/>
    <w:rsid w:val="00AD72B4"/>
    <w:rsid w:val="00AD7306"/>
    <w:rsid w:val="00AD7318"/>
    <w:rsid w:val="00AD7330"/>
    <w:rsid w:val="00AD7438"/>
    <w:rsid w:val="00AD7552"/>
    <w:rsid w:val="00AD756A"/>
    <w:rsid w:val="00AD75AB"/>
    <w:rsid w:val="00AD76D3"/>
    <w:rsid w:val="00AD77A9"/>
    <w:rsid w:val="00AD782B"/>
    <w:rsid w:val="00AD7835"/>
    <w:rsid w:val="00AD7A92"/>
    <w:rsid w:val="00AD7ADA"/>
    <w:rsid w:val="00AD7B03"/>
    <w:rsid w:val="00AD7B3C"/>
    <w:rsid w:val="00AD7B4C"/>
    <w:rsid w:val="00AD7BDE"/>
    <w:rsid w:val="00AD7D38"/>
    <w:rsid w:val="00AD7D46"/>
    <w:rsid w:val="00AD7DEC"/>
    <w:rsid w:val="00AD7E5D"/>
    <w:rsid w:val="00AD7F78"/>
    <w:rsid w:val="00AD7F96"/>
    <w:rsid w:val="00AE002D"/>
    <w:rsid w:val="00AE0064"/>
    <w:rsid w:val="00AE017A"/>
    <w:rsid w:val="00AE036B"/>
    <w:rsid w:val="00AE0397"/>
    <w:rsid w:val="00AE0486"/>
    <w:rsid w:val="00AE05F2"/>
    <w:rsid w:val="00AE0609"/>
    <w:rsid w:val="00AE065C"/>
    <w:rsid w:val="00AE06D1"/>
    <w:rsid w:val="00AE0792"/>
    <w:rsid w:val="00AE07A4"/>
    <w:rsid w:val="00AE07F9"/>
    <w:rsid w:val="00AE0823"/>
    <w:rsid w:val="00AE084E"/>
    <w:rsid w:val="00AE08C5"/>
    <w:rsid w:val="00AE0958"/>
    <w:rsid w:val="00AE0A98"/>
    <w:rsid w:val="00AE0C82"/>
    <w:rsid w:val="00AE0DDB"/>
    <w:rsid w:val="00AE0F26"/>
    <w:rsid w:val="00AE0F42"/>
    <w:rsid w:val="00AE0F6F"/>
    <w:rsid w:val="00AE1083"/>
    <w:rsid w:val="00AE10D6"/>
    <w:rsid w:val="00AE111E"/>
    <w:rsid w:val="00AE117E"/>
    <w:rsid w:val="00AE1310"/>
    <w:rsid w:val="00AE1345"/>
    <w:rsid w:val="00AE1352"/>
    <w:rsid w:val="00AE15A7"/>
    <w:rsid w:val="00AE16B3"/>
    <w:rsid w:val="00AE1908"/>
    <w:rsid w:val="00AE19CC"/>
    <w:rsid w:val="00AE19EC"/>
    <w:rsid w:val="00AE1A33"/>
    <w:rsid w:val="00AE1A5F"/>
    <w:rsid w:val="00AE1A92"/>
    <w:rsid w:val="00AE1B42"/>
    <w:rsid w:val="00AE1D9E"/>
    <w:rsid w:val="00AE1DC2"/>
    <w:rsid w:val="00AE1E3E"/>
    <w:rsid w:val="00AE1E8E"/>
    <w:rsid w:val="00AE1F31"/>
    <w:rsid w:val="00AE1FF3"/>
    <w:rsid w:val="00AE2068"/>
    <w:rsid w:val="00AE2229"/>
    <w:rsid w:val="00AE2369"/>
    <w:rsid w:val="00AE23D4"/>
    <w:rsid w:val="00AE2464"/>
    <w:rsid w:val="00AE2538"/>
    <w:rsid w:val="00AE253E"/>
    <w:rsid w:val="00AE25EB"/>
    <w:rsid w:val="00AE2721"/>
    <w:rsid w:val="00AE2743"/>
    <w:rsid w:val="00AE2795"/>
    <w:rsid w:val="00AE2862"/>
    <w:rsid w:val="00AE2878"/>
    <w:rsid w:val="00AE296C"/>
    <w:rsid w:val="00AE2994"/>
    <w:rsid w:val="00AE2A8A"/>
    <w:rsid w:val="00AE2AD6"/>
    <w:rsid w:val="00AE2AF4"/>
    <w:rsid w:val="00AE2BDA"/>
    <w:rsid w:val="00AE2EAF"/>
    <w:rsid w:val="00AE2EBC"/>
    <w:rsid w:val="00AE2F75"/>
    <w:rsid w:val="00AE3099"/>
    <w:rsid w:val="00AE30AC"/>
    <w:rsid w:val="00AE30C2"/>
    <w:rsid w:val="00AE30EA"/>
    <w:rsid w:val="00AE313B"/>
    <w:rsid w:val="00AE326D"/>
    <w:rsid w:val="00AE33AC"/>
    <w:rsid w:val="00AE33FE"/>
    <w:rsid w:val="00AE3410"/>
    <w:rsid w:val="00AE3465"/>
    <w:rsid w:val="00AE3654"/>
    <w:rsid w:val="00AE3696"/>
    <w:rsid w:val="00AE36AD"/>
    <w:rsid w:val="00AE36D3"/>
    <w:rsid w:val="00AE36EE"/>
    <w:rsid w:val="00AE376B"/>
    <w:rsid w:val="00AE3770"/>
    <w:rsid w:val="00AE37F0"/>
    <w:rsid w:val="00AE3875"/>
    <w:rsid w:val="00AE387C"/>
    <w:rsid w:val="00AE38BC"/>
    <w:rsid w:val="00AE38C8"/>
    <w:rsid w:val="00AE396C"/>
    <w:rsid w:val="00AE39D5"/>
    <w:rsid w:val="00AE3A8C"/>
    <w:rsid w:val="00AE3B5C"/>
    <w:rsid w:val="00AE3C57"/>
    <w:rsid w:val="00AE3D4D"/>
    <w:rsid w:val="00AE3E00"/>
    <w:rsid w:val="00AE3E20"/>
    <w:rsid w:val="00AE3E53"/>
    <w:rsid w:val="00AE3E7A"/>
    <w:rsid w:val="00AE3EED"/>
    <w:rsid w:val="00AE3FC1"/>
    <w:rsid w:val="00AE40A7"/>
    <w:rsid w:val="00AE40CF"/>
    <w:rsid w:val="00AE40D9"/>
    <w:rsid w:val="00AE414C"/>
    <w:rsid w:val="00AE42C6"/>
    <w:rsid w:val="00AE4333"/>
    <w:rsid w:val="00AE4548"/>
    <w:rsid w:val="00AE46AB"/>
    <w:rsid w:val="00AE46EC"/>
    <w:rsid w:val="00AE4755"/>
    <w:rsid w:val="00AE4778"/>
    <w:rsid w:val="00AE4789"/>
    <w:rsid w:val="00AE47F5"/>
    <w:rsid w:val="00AE488B"/>
    <w:rsid w:val="00AE488F"/>
    <w:rsid w:val="00AE48D6"/>
    <w:rsid w:val="00AE4907"/>
    <w:rsid w:val="00AE492C"/>
    <w:rsid w:val="00AE4945"/>
    <w:rsid w:val="00AE49F0"/>
    <w:rsid w:val="00AE4A2F"/>
    <w:rsid w:val="00AE4AAF"/>
    <w:rsid w:val="00AE4B1D"/>
    <w:rsid w:val="00AE4CE7"/>
    <w:rsid w:val="00AE4D36"/>
    <w:rsid w:val="00AE4D69"/>
    <w:rsid w:val="00AE4DA8"/>
    <w:rsid w:val="00AE4DAF"/>
    <w:rsid w:val="00AE4DF6"/>
    <w:rsid w:val="00AE4E10"/>
    <w:rsid w:val="00AE4ED2"/>
    <w:rsid w:val="00AE4F63"/>
    <w:rsid w:val="00AE4F95"/>
    <w:rsid w:val="00AE5078"/>
    <w:rsid w:val="00AE5079"/>
    <w:rsid w:val="00AE5080"/>
    <w:rsid w:val="00AE517F"/>
    <w:rsid w:val="00AE5184"/>
    <w:rsid w:val="00AE51C2"/>
    <w:rsid w:val="00AE520A"/>
    <w:rsid w:val="00AE52F6"/>
    <w:rsid w:val="00AE52F7"/>
    <w:rsid w:val="00AE53CB"/>
    <w:rsid w:val="00AE545C"/>
    <w:rsid w:val="00AE548A"/>
    <w:rsid w:val="00AE560A"/>
    <w:rsid w:val="00AE5614"/>
    <w:rsid w:val="00AE56BB"/>
    <w:rsid w:val="00AE572E"/>
    <w:rsid w:val="00AE57DC"/>
    <w:rsid w:val="00AE59AE"/>
    <w:rsid w:val="00AE59DF"/>
    <w:rsid w:val="00AE5A2B"/>
    <w:rsid w:val="00AE5A65"/>
    <w:rsid w:val="00AE5A81"/>
    <w:rsid w:val="00AE5AFB"/>
    <w:rsid w:val="00AE5BD0"/>
    <w:rsid w:val="00AE5C06"/>
    <w:rsid w:val="00AE5C78"/>
    <w:rsid w:val="00AE5CC3"/>
    <w:rsid w:val="00AE5D3F"/>
    <w:rsid w:val="00AE5D80"/>
    <w:rsid w:val="00AE5DD3"/>
    <w:rsid w:val="00AE5DDA"/>
    <w:rsid w:val="00AE5E46"/>
    <w:rsid w:val="00AE5F13"/>
    <w:rsid w:val="00AE5FA3"/>
    <w:rsid w:val="00AE6022"/>
    <w:rsid w:val="00AE6062"/>
    <w:rsid w:val="00AE6113"/>
    <w:rsid w:val="00AE61DE"/>
    <w:rsid w:val="00AE62A9"/>
    <w:rsid w:val="00AE6325"/>
    <w:rsid w:val="00AE6360"/>
    <w:rsid w:val="00AE6447"/>
    <w:rsid w:val="00AE644B"/>
    <w:rsid w:val="00AE6459"/>
    <w:rsid w:val="00AE649C"/>
    <w:rsid w:val="00AE64B3"/>
    <w:rsid w:val="00AE6566"/>
    <w:rsid w:val="00AE663C"/>
    <w:rsid w:val="00AE6658"/>
    <w:rsid w:val="00AE689F"/>
    <w:rsid w:val="00AE69C4"/>
    <w:rsid w:val="00AE69D9"/>
    <w:rsid w:val="00AE6BCA"/>
    <w:rsid w:val="00AE6C01"/>
    <w:rsid w:val="00AE6CE7"/>
    <w:rsid w:val="00AE6D85"/>
    <w:rsid w:val="00AE6DFA"/>
    <w:rsid w:val="00AE6E2E"/>
    <w:rsid w:val="00AE6EF3"/>
    <w:rsid w:val="00AE6F7D"/>
    <w:rsid w:val="00AE7196"/>
    <w:rsid w:val="00AE7290"/>
    <w:rsid w:val="00AE732D"/>
    <w:rsid w:val="00AE7377"/>
    <w:rsid w:val="00AE73BE"/>
    <w:rsid w:val="00AE74BB"/>
    <w:rsid w:val="00AE7538"/>
    <w:rsid w:val="00AE76CC"/>
    <w:rsid w:val="00AE76D8"/>
    <w:rsid w:val="00AE7703"/>
    <w:rsid w:val="00AE7740"/>
    <w:rsid w:val="00AE77B2"/>
    <w:rsid w:val="00AE77EA"/>
    <w:rsid w:val="00AE7824"/>
    <w:rsid w:val="00AE7853"/>
    <w:rsid w:val="00AE786B"/>
    <w:rsid w:val="00AE788D"/>
    <w:rsid w:val="00AE7974"/>
    <w:rsid w:val="00AE7A11"/>
    <w:rsid w:val="00AE7AE0"/>
    <w:rsid w:val="00AE7B3D"/>
    <w:rsid w:val="00AE7B9A"/>
    <w:rsid w:val="00AE7DF6"/>
    <w:rsid w:val="00AE7E80"/>
    <w:rsid w:val="00AE7F7F"/>
    <w:rsid w:val="00AF0022"/>
    <w:rsid w:val="00AF002F"/>
    <w:rsid w:val="00AF008A"/>
    <w:rsid w:val="00AF009A"/>
    <w:rsid w:val="00AF00B0"/>
    <w:rsid w:val="00AF01E4"/>
    <w:rsid w:val="00AF029D"/>
    <w:rsid w:val="00AF02C4"/>
    <w:rsid w:val="00AF0302"/>
    <w:rsid w:val="00AF031E"/>
    <w:rsid w:val="00AF03CB"/>
    <w:rsid w:val="00AF04A7"/>
    <w:rsid w:val="00AF0518"/>
    <w:rsid w:val="00AF064C"/>
    <w:rsid w:val="00AF0802"/>
    <w:rsid w:val="00AF0A3B"/>
    <w:rsid w:val="00AF0A49"/>
    <w:rsid w:val="00AF0A8B"/>
    <w:rsid w:val="00AF0B33"/>
    <w:rsid w:val="00AF0B3E"/>
    <w:rsid w:val="00AF0BCC"/>
    <w:rsid w:val="00AF0BF5"/>
    <w:rsid w:val="00AF0CA0"/>
    <w:rsid w:val="00AF0D15"/>
    <w:rsid w:val="00AF0D64"/>
    <w:rsid w:val="00AF0DC0"/>
    <w:rsid w:val="00AF0EC4"/>
    <w:rsid w:val="00AF0F84"/>
    <w:rsid w:val="00AF0F85"/>
    <w:rsid w:val="00AF1006"/>
    <w:rsid w:val="00AF109E"/>
    <w:rsid w:val="00AF10F7"/>
    <w:rsid w:val="00AF114F"/>
    <w:rsid w:val="00AF11FC"/>
    <w:rsid w:val="00AF1230"/>
    <w:rsid w:val="00AF1250"/>
    <w:rsid w:val="00AF1416"/>
    <w:rsid w:val="00AF142A"/>
    <w:rsid w:val="00AF144D"/>
    <w:rsid w:val="00AF150A"/>
    <w:rsid w:val="00AF1594"/>
    <w:rsid w:val="00AF17D7"/>
    <w:rsid w:val="00AF18D7"/>
    <w:rsid w:val="00AF1A74"/>
    <w:rsid w:val="00AF1AD2"/>
    <w:rsid w:val="00AF1B01"/>
    <w:rsid w:val="00AF1BB3"/>
    <w:rsid w:val="00AF1D0A"/>
    <w:rsid w:val="00AF1F30"/>
    <w:rsid w:val="00AF206C"/>
    <w:rsid w:val="00AF20F7"/>
    <w:rsid w:val="00AF21A9"/>
    <w:rsid w:val="00AF21B7"/>
    <w:rsid w:val="00AF21C0"/>
    <w:rsid w:val="00AF21F6"/>
    <w:rsid w:val="00AF221E"/>
    <w:rsid w:val="00AF24AA"/>
    <w:rsid w:val="00AF27BE"/>
    <w:rsid w:val="00AF2875"/>
    <w:rsid w:val="00AF2914"/>
    <w:rsid w:val="00AF29BB"/>
    <w:rsid w:val="00AF2A04"/>
    <w:rsid w:val="00AF2A4D"/>
    <w:rsid w:val="00AF2AB8"/>
    <w:rsid w:val="00AF2AED"/>
    <w:rsid w:val="00AF2B14"/>
    <w:rsid w:val="00AF2B46"/>
    <w:rsid w:val="00AF2C71"/>
    <w:rsid w:val="00AF2CF5"/>
    <w:rsid w:val="00AF2E78"/>
    <w:rsid w:val="00AF2E84"/>
    <w:rsid w:val="00AF2F36"/>
    <w:rsid w:val="00AF2F7A"/>
    <w:rsid w:val="00AF302C"/>
    <w:rsid w:val="00AF3030"/>
    <w:rsid w:val="00AF3057"/>
    <w:rsid w:val="00AF3072"/>
    <w:rsid w:val="00AF3088"/>
    <w:rsid w:val="00AF30F3"/>
    <w:rsid w:val="00AF30F9"/>
    <w:rsid w:val="00AF320A"/>
    <w:rsid w:val="00AF3246"/>
    <w:rsid w:val="00AF32F5"/>
    <w:rsid w:val="00AF3307"/>
    <w:rsid w:val="00AF33B6"/>
    <w:rsid w:val="00AF3424"/>
    <w:rsid w:val="00AF3432"/>
    <w:rsid w:val="00AF3485"/>
    <w:rsid w:val="00AF3498"/>
    <w:rsid w:val="00AF3636"/>
    <w:rsid w:val="00AF3669"/>
    <w:rsid w:val="00AF3820"/>
    <w:rsid w:val="00AF389B"/>
    <w:rsid w:val="00AF392D"/>
    <w:rsid w:val="00AF3935"/>
    <w:rsid w:val="00AF3943"/>
    <w:rsid w:val="00AF3A34"/>
    <w:rsid w:val="00AF3AE9"/>
    <w:rsid w:val="00AF3B63"/>
    <w:rsid w:val="00AF3C9D"/>
    <w:rsid w:val="00AF3D50"/>
    <w:rsid w:val="00AF3D9B"/>
    <w:rsid w:val="00AF3DE4"/>
    <w:rsid w:val="00AF3DFA"/>
    <w:rsid w:val="00AF3FDC"/>
    <w:rsid w:val="00AF4021"/>
    <w:rsid w:val="00AF4088"/>
    <w:rsid w:val="00AF40EF"/>
    <w:rsid w:val="00AF4102"/>
    <w:rsid w:val="00AF42E9"/>
    <w:rsid w:val="00AF4341"/>
    <w:rsid w:val="00AF43F6"/>
    <w:rsid w:val="00AF444C"/>
    <w:rsid w:val="00AF44C2"/>
    <w:rsid w:val="00AF45A0"/>
    <w:rsid w:val="00AF45B9"/>
    <w:rsid w:val="00AF46A3"/>
    <w:rsid w:val="00AF46EA"/>
    <w:rsid w:val="00AF4701"/>
    <w:rsid w:val="00AF4748"/>
    <w:rsid w:val="00AF4828"/>
    <w:rsid w:val="00AF4944"/>
    <w:rsid w:val="00AF4948"/>
    <w:rsid w:val="00AF4AFB"/>
    <w:rsid w:val="00AF4B25"/>
    <w:rsid w:val="00AF4C7A"/>
    <w:rsid w:val="00AF4D10"/>
    <w:rsid w:val="00AF4DE0"/>
    <w:rsid w:val="00AF4E83"/>
    <w:rsid w:val="00AF4ED7"/>
    <w:rsid w:val="00AF5034"/>
    <w:rsid w:val="00AF5141"/>
    <w:rsid w:val="00AF53D9"/>
    <w:rsid w:val="00AF5423"/>
    <w:rsid w:val="00AF543F"/>
    <w:rsid w:val="00AF5628"/>
    <w:rsid w:val="00AF5713"/>
    <w:rsid w:val="00AF57BB"/>
    <w:rsid w:val="00AF57C7"/>
    <w:rsid w:val="00AF57D3"/>
    <w:rsid w:val="00AF5815"/>
    <w:rsid w:val="00AF5834"/>
    <w:rsid w:val="00AF58C8"/>
    <w:rsid w:val="00AF58D2"/>
    <w:rsid w:val="00AF5A5B"/>
    <w:rsid w:val="00AF5B31"/>
    <w:rsid w:val="00AF5CB1"/>
    <w:rsid w:val="00AF5D7E"/>
    <w:rsid w:val="00AF5E1A"/>
    <w:rsid w:val="00AF5E76"/>
    <w:rsid w:val="00AF5EDD"/>
    <w:rsid w:val="00AF5FB3"/>
    <w:rsid w:val="00AF5FF5"/>
    <w:rsid w:val="00AF6128"/>
    <w:rsid w:val="00AF6333"/>
    <w:rsid w:val="00AF6428"/>
    <w:rsid w:val="00AF64BA"/>
    <w:rsid w:val="00AF6508"/>
    <w:rsid w:val="00AF65B3"/>
    <w:rsid w:val="00AF66F0"/>
    <w:rsid w:val="00AF6717"/>
    <w:rsid w:val="00AF696D"/>
    <w:rsid w:val="00AF6981"/>
    <w:rsid w:val="00AF6B01"/>
    <w:rsid w:val="00AF6B98"/>
    <w:rsid w:val="00AF6B9F"/>
    <w:rsid w:val="00AF6BA9"/>
    <w:rsid w:val="00AF6D65"/>
    <w:rsid w:val="00AF709D"/>
    <w:rsid w:val="00AF711A"/>
    <w:rsid w:val="00AF7386"/>
    <w:rsid w:val="00AF745F"/>
    <w:rsid w:val="00AF74A8"/>
    <w:rsid w:val="00AF7597"/>
    <w:rsid w:val="00AF75A6"/>
    <w:rsid w:val="00AF7609"/>
    <w:rsid w:val="00AF769D"/>
    <w:rsid w:val="00AF771D"/>
    <w:rsid w:val="00AF782B"/>
    <w:rsid w:val="00AF78B5"/>
    <w:rsid w:val="00AF78D0"/>
    <w:rsid w:val="00AF79AA"/>
    <w:rsid w:val="00AF79F5"/>
    <w:rsid w:val="00AF7A61"/>
    <w:rsid w:val="00AF7AFF"/>
    <w:rsid w:val="00AF7C3F"/>
    <w:rsid w:val="00AF7C80"/>
    <w:rsid w:val="00AF7D08"/>
    <w:rsid w:val="00AF7D41"/>
    <w:rsid w:val="00AF7EE7"/>
    <w:rsid w:val="00AF7FA7"/>
    <w:rsid w:val="00AF7FE9"/>
    <w:rsid w:val="00B0017A"/>
    <w:rsid w:val="00B0018F"/>
    <w:rsid w:val="00B002DC"/>
    <w:rsid w:val="00B003CC"/>
    <w:rsid w:val="00B00558"/>
    <w:rsid w:val="00B007DD"/>
    <w:rsid w:val="00B0091C"/>
    <w:rsid w:val="00B00930"/>
    <w:rsid w:val="00B009AB"/>
    <w:rsid w:val="00B009B0"/>
    <w:rsid w:val="00B00A5E"/>
    <w:rsid w:val="00B00A6F"/>
    <w:rsid w:val="00B00B00"/>
    <w:rsid w:val="00B00C43"/>
    <w:rsid w:val="00B00D21"/>
    <w:rsid w:val="00B00D6C"/>
    <w:rsid w:val="00B00F6C"/>
    <w:rsid w:val="00B01014"/>
    <w:rsid w:val="00B010FE"/>
    <w:rsid w:val="00B01203"/>
    <w:rsid w:val="00B01489"/>
    <w:rsid w:val="00B0151C"/>
    <w:rsid w:val="00B015A6"/>
    <w:rsid w:val="00B0169B"/>
    <w:rsid w:val="00B016B8"/>
    <w:rsid w:val="00B01718"/>
    <w:rsid w:val="00B01745"/>
    <w:rsid w:val="00B01766"/>
    <w:rsid w:val="00B017BC"/>
    <w:rsid w:val="00B017BF"/>
    <w:rsid w:val="00B01854"/>
    <w:rsid w:val="00B01905"/>
    <w:rsid w:val="00B0195B"/>
    <w:rsid w:val="00B01A47"/>
    <w:rsid w:val="00B01BA2"/>
    <w:rsid w:val="00B01C81"/>
    <w:rsid w:val="00B01CB6"/>
    <w:rsid w:val="00B01D40"/>
    <w:rsid w:val="00B01DEA"/>
    <w:rsid w:val="00B01E3A"/>
    <w:rsid w:val="00B01E9B"/>
    <w:rsid w:val="00B01ED0"/>
    <w:rsid w:val="00B01EE8"/>
    <w:rsid w:val="00B01EFE"/>
    <w:rsid w:val="00B01F0F"/>
    <w:rsid w:val="00B01F90"/>
    <w:rsid w:val="00B0217A"/>
    <w:rsid w:val="00B02183"/>
    <w:rsid w:val="00B02186"/>
    <w:rsid w:val="00B0218E"/>
    <w:rsid w:val="00B02544"/>
    <w:rsid w:val="00B0255C"/>
    <w:rsid w:val="00B026A0"/>
    <w:rsid w:val="00B026E1"/>
    <w:rsid w:val="00B026E2"/>
    <w:rsid w:val="00B02744"/>
    <w:rsid w:val="00B027DA"/>
    <w:rsid w:val="00B02902"/>
    <w:rsid w:val="00B029A6"/>
    <w:rsid w:val="00B02A54"/>
    <w:rsid w:val="00B02A67"/>
    <w:rsid w:val="00B02AC7"/>
    <w:rsid w:val="00B02AD7"/>
    <w:rsid w:val="00B02B03"/>
    <w:rsid w:val="00B02B63"/>
    <w:rsid w:val="00B02B77"/>
    <w:rsid w:val="00B02C20"/>
    <w:rsid w:val="00B02C41"/>
    <w:rsid w:val="00B02CF5"/>
    <w:rsid w:val="00B02DCC"/>
    <w:rsid w:val="00B02F57"/>
    <w:rsid w:val="00B0313F"/>
    <w:rsid w:val="00B03325"/>
    <w:rsid w:val="00B0332D"/>
    <w:rsid w:val="00B0339B"/>
    <w:rsid w:val="00B03419"/>
    <w:rsid w:val="00B03429"/>
    <w:rsid w:val="00B03434"/>
    <w:rsid w:val="00B03499"/>
    <w:rsid w:val="00B0349A"/>
    <w:rsid w:val="00B034B2"/>
    <w:rsid w:val="00B035C2"/>
    <w:rsid w:val="00B03657"/>
    <w:rsid w:val="00B0373D"/>
    <w:rsid w:val="00B03869"/>
    <w:rsid w:val="00B039E1"/>
    <w:rsid w:val="00B03A0C"/>
    <w:rsid w:val="00B03AE0"/>
    <w:rsid w:val="00B03BEF"/>
    <w:rsid w:val="00B03C61"/>
    <w:rsid w:val="00B03CAB"/>
    <w:rsid w:val="00B03F5B"/>
    <w:rsid w:val="00B04061"/>
    <w:rsid w:val="00B04099"/>
    <w:rsid w:val="00B04162"/>
    <w:rsid w:val="00B042C3"/>
    <w:rsid w:val="00B04449"/>
    <w:rsid w:val="00B044AC"/>
    <w:rsid w:val="00B04568"/>
    <w:rsid w:val="00B045DF"/>
    <w:rsid w:val="00B0462C"/>
    <w:rsid w:val="00B046B3"/>
    <w:rsid w:val="00B0474B"/>
    <w:rsid w:val="00B047C2"/>
    <w:rsid w:val="00B048ED"/>
    <w:rsid w:val="00B04B84"/>
    <w:rsid w:val="00B04CF7"/>
    <w:rsid w:val="00B04D71"/>
    <w:rsid w:val="00B04D77"/>
    <w:rsid w:val="00B04DFF"/>
    <w:rsid w:val="00B04E6A"/>
    <w:rsid w:val="00B04F1A"/>
    <w:rsid w:val="00B04F89"/>
    <w:rsid w:val="00B04FBA"/>
    <w:rsid w:val="00B05059"/>
    <w:rsid w:val="00B0506F"/>
    <w:rsid w:val="00B05131"/>
    <w:rsid w:val="00B05160"/>
    <w:rsid w:val="00B051A8"/>
    <w:rsid w:val="00B05231"/>
    <w:rsid w:val="00B0523C"/>
    <w:rsid w:val="00B05279"/>
    <w:rsid w:val="00B052F1"/>
    <w:rsid w:val="00B05393"/>
    <w:rsid w:val="00B053E8"/>
    <w:rsid w:val="00B054EA"/>
    <w:rsid w:val="00B0554A"/>
    <w:rsid w:val="00B056D5"/>
    <w:rsid w:val="00B0575C"/>
    <w:rsid w:val="00B05883"/>
    <w:rsid w:val="00B0589B"/>
    <w:rsid w:val="00B058AB"/>
    <w:rsid w:val="00B058BD"/>
    <w:rsid w:val="00B058EE"/>
    <w:rsid w:val="00B05954"/>
    <w:rsid w:val="00B05AA1"/>
    <w:rsid w:val="00B05BC2"/>
    <w:rsid w:val="00B05DC2"/>
    <w:rsid w:val="00B05EBA"/>
    <w:rsid w:val="00B05F30"/>
    <w:rsid w:val="00B05F38"/>
    <w:rsid w:val="00B05F51"/>
    <w:rsid w:val="00B060A0"/>
    <w:rsid w:val="00B061B8"/>
    <w:rsid w:val="00B06247"/>
    <w:rsid w:val="00B06249"/>
    <w:rsid w:val="00B062D0"/>
    <w:rsid w:val="00B064C3"/>
    <w:rsid w:val="00B064FF"/>
    <w:rsid w:val="00B0651F"/>
    <w:rsid w:val="00B06545"/>
    <w:rsid w:val="00B065CF"/>
    <w:rsid w:val="00B065F2"/>
    <w:rsid w:val="00B06659"/>
    <w:rsid w:val="00B06864"/>
    <w:rsid w:val="00B068C1"/>
    <w:rsid w:val="00B06946"/>
    <w:rsid w:val="00B06949"/>
    <w:rsid w:val="00B06999"/>
    <w:rsid w:val="00B06B52"/>
    <w:rsid w:val="00B06BED"/>
    <w:rsid w:val="00B06CD6"/>
    <w:rsid w:val="00B06D44"/>
    <w:rsid w:val="00B06EA9"/>
    <w:rsid w:val="00B0714B"/>
    <w:rsid w:val="00B071E6"/>
    <w:rsid w:val="00B072DB"/>
    <w:rsid w:val="00B07394"/>
    <w:rsid w:val="00B07481"/>
    <w:rsid w:val="00B075F3"/>
    <w:rsid w:val="00B07719"/>
    <w:rsid w:val="00B07876"/>
    <w:rsid w:val="00B07892"/>
    <w:rsid w:val="00B07BA8"/>
    <w:rsid w:val="00B07CB1"/>
    <w:rsid w:val="00B07E53"/>
    <w:rsid w:val="00B10039"/>
    <w:rsid w:val="00B101AD"/>
    <w:rsid w:val="00B1027F"/>
    <w:rsid w:val="00B1028A"/>
    <w:rsid w:val="00B1037A"/>
    <w:rsid w:val="00B1038E"/>
    <w:rsid w:val="00B103D2"/>
    <w:rsid w:val="00B10420"/>
    <w:rsid w:val="00B106C4"/>
    <w:rsid w:val="00B106D1"/>
    <w:rsid w:val="00B106E3"/>
    <w:rsid w:val="00B10997"/>
    <w:rsid w:val="00B109C2"/>
    <w:rsid w:val="00B109CE"/>
    <w:rsid w:val="00B10A1C"/>
    <w:rsid w:val="00B10A20"/>
    <w:rsid w:val="00B10B60"/>
    <w:rsid w:val="00B10C09"/>
    <w:rsid w:val="00B10C3C"/>
    <w:rsid w:val="00B10C66"/>
    <w:rsid w:val="00B10D2E"/>
    <w:rsid w:val="00B10D47"/>
    <w:rsid w:val="00B10EF3"/>
    <w:rsid w:val="00B10F24"/>
    <w:rsid w:val="00B11038"/>
    <w:rsid w:val="00B111DF"/>
    <w:rsid w:val="00B1123B"/>
    <w:rsid w:val="00B11335"/>
    <w:rsid w:val="00B11336"/>
    <w:rsid w:val="00B1135F"/>
    <w:rsid w:val="00B113BF"/>
    <w:rsid w:val="00B11540"/>
    <w:rsid w:val="00B11547"/>
    <w:rsid w:val="00B1157B"/>
    <w:rsid w:val="00B11593"/>
    <w:rsid w:val="00B11650"/>
    <w:rsid w:val="00B118AD"/>
    <w:rsid w:val="00B118C9"/>
    <w:rsid w:val="00B1190D"/>
    <w:rsid w:val="00B11926"/>
    <w:rsid w:val="00B1197D"/>
    <w:rsid w:val="00B119BD"/>
    <w:rsid w:val="00B119F8"/>
    <w:rsid w:val="00B11A52"/>
    <w:rsid w:val="00B11AD4"/>
    <w:rsid w:val="00B11AEE"/>
    <w:rsid w:val="00B11B57"/>
    <w:rsid w:val="00B11B76"/>
    <w:rsid w:val="00B11BFC"/>
    <w:rsid w:val="00B11BFD"/>
    <w:rsid w:val="00B11C8F"/>
    <w:rsid w:val="00B11D34"/>
    <w:rsid w:val="00B11DC3"/>
    <w:rsid w:val="00B11E12"/>
    <w:rsid w:val="00B11E63"/>
    <w:rsid w:val="00B11E65"/>
    <w:rsid w:val="00B11EC6"/>
    <w:rsid w:val="00B11ED2"/>
    <w:rsid w:val="00B11F1A"/>
    <w:rsid w:val="00B11F2D"/>
    <w:rsid w:val="00B1212C"/>
    <w:rsid w:val="00B1216D"/>
    <w:rsid w:val="00B1244A"/>
    <w:rsid w:val="00B125A4"/>
    <w:rsid w:val="00B1268C"/>
    <w:rsid w:val="00B1272B"/>
    <w:rsid w:val="00B12764"/>
    <w:rsid w:val="00B12787"/>
    <w:rsid w:val="00B127B9"/>
    <w:rsid w:val="00B128D1"/>
    <w:rsid w:val="00B129CD"/>
    <w:rsid w:val="00B12A92"/>
    <w:rsid w:val="00B12ABF"/>
    <w:rsid w:val="00B12B08"/>
    <w:rsid w:val="00B12BAF"/>
    <w:rsid w:val="00B12C06"/>
    <w:rsid w:val="00B12C76"/>
    <w:rsid w:val="00B12DDA"/>
    <w:rsid w:val="00B12E32"/>
    <w:rsid w:val="00B12F73"/>
    <w:rsid w:val="00B12FF4"/>
    <w:rsid w:val="00B13035"/>
    <w:rsid w:val="00B1321E"/>
    <w:rsid w:val="00B13277"/>
    <w:rsid w:val="00B132BA"/>
    <w:rsid w:val="00B13428"/>
    <w:rsid w:val="00B134AA"/>
    <w:rsid w:val="00B134B9"/>
    <w:rsid w:val="00B1363F"/>
    <w:rsid w:val="00B136AA"/>
    <w:rsid w:val="00B137FD"/>
    <w:rsid w:val="00B1381E"/>
    <w:rsid w:val="00B1391C"/>
    <w:rsid w:val="00B139AF"/>
    <w:rsid w:val="00B13A54"/>
    <w:rsid w:val="00B13B56"/>
    <w:rsid w:val="00B13C19"/>
    <w:rsid w:val="00B13C1F"/>
    <w:rsid w:val="00B13D30"/>
    <w:rsid w:val="00B13D32"/>
    <w:rsid w:val="00B13EB9"/>
    <w:rsid w:val="00B13EDA"/>
    <w:rsid w:val="00B13FD9"/>
    <w:rsid w:val="00B140F8"/>
    <w:rsid w:val="00B1412D"/>
    <w:rsid w:val="00B1425C"/>
    <w:rsid w:val="00B142FA"/>
    <w:rsid w:val="00B1435B"/>
    <w:rsid w:val="00B14464"/>
    <w:rsid w:val="00B14479"/>
    <w:rsid w:val="00B144D4"/>
    <w:rsid w:val="00B1453B"/>
    <w:rsid w:val="00B1457B"/>
    <w:rsid w:val="00B14589"/>
    <w:rsid w:val="00B145BA"/>
    <w:rsid w:val="00B145F3"/>
    <w:rsid w:val="00B1469E"/>
    <w:rsid w:val="00B14728"/>
    <w:rsid w:val="00B14751"/>
    <w:rsid w:val="00B147CA"/>
    <w:rsid w:val="00B1489B"/>
    <w:rsid w:val="00B148FA"/>
    <w:rsid w:val="00B1491F"/>
    <w:rsid w:val="00B149FC"/>
    <w:rsid w:val="00B14A0A"/>
    <w:rsid w:val="00B14BD1"/>
    <w:rsid w:val="00B14C52"/>
    <w:rsid w:val="00B14C5F"/>
    <w:rsid w:val="00B14CE6"/>
    <w:rsid w:val="00B14D72"/>
    <w:rsid w:val="00B14D89"/>
    <w:rsid w:val="00B14E14"/>
    <w:rsid w:val="00B14E9C"/>
    <w:rsid w:val="00B14EA9"/>
    <w:rsid w:val="00B14EEC"/>
    <w:rsid w:val="00B14F80"/>
    <w:rsid w:val="00B15014"/>
    <w:rsid w:val="00B15055"/>
    <w:rsid w:val="00B15065"/>
    <w:rsid w:val="00B1508C"/>
    <w:rsid w:val="00B15199"/>
    <w:rsid w:val="00B1522A"/>
    <w:rsid w:val="00B152C2"/>
    <w:rsid w:val="00B1547F"/>
    <w:rsid w:val="00B1549B"/>
    <w:rsid w:val="00B15506"/>
    <w:rsid w:val="00B1550C"/>
    <w:rsid w:val="00B1557C"/>
    <w:rsid w:val="00B15697"/>
    <w:rsid w:val="00B156BE"/>
    <w:rsid w:val="00B1582E"/>
    <w:rsid w:val="00B15845"/>
    <w:rsid w:val="00B15898"/>
    <w:rsid w:val="00B15933"/>
    <w:rsid w:val="00B159A7"/>
    <w:rsid w:val="00B159B8"/>
    <w:rsid w:val="00B159C5"/>
    <w:rsid w:val="00B15A1F"/>
    <w:rsid w:val="00B15CD5"/>
    <w:rsid w:val="00B15D0B"/>
    <w:rsid w:val="00B15D73"/>
    <w:rsid w:val="00B15D98"/>
    <w:rsid w:val="00B15F4F"/>
    <w:rsid w:val="00B15F7A"/>
    <w:rsid w:val="00B1624B"/>
    <w:rsid w:val="00B1625C"/>
    <w:rsid w:val="00B1625E"/>
    <w:rsid w:val="00B1629D"/>
    <w:rsid w:val="00B164D6"/>
    <w:rsid w:val="00B16524"/>
    <w:rsid w:val="00B1655E"/>
    <w:rsid w:val="00B165F5"/>
    <w:rsid w:val="00B1662A"/>
    <w:rsid w:val="00B16796"/>
    <w:rsid w:val="00B167EB"/>
    <w:rsid w:val="00B16902"/>
    <w:rsid w:val="00B16979"/>
    <w:rsid w:val="00B16987"/>
    <w:rsid w:val="00B16B06"/>
    <w:rsid w:val="00B16BD7"/>
    <w:rsid w:val="00B16C02"/>
    <w:rsid w:val="00B16D4E"/>
    <w:rsid w:val="00B16E81"/>
    <w:rsid w:val="00B16E91"/>
    <w:rsid w:val="00B17125"/>
    <w:rsid w:val="00B17199"/>
    <w:rsid w:val="00B17245"/>
    <w:rsid w:val="00B172BC"/>
    <w:rsid w:val="00B17324"/>
    <w:rsid w:val="00B17340"/>
    <w:rsid w:val="00B17375"/>
    <w:rsid w:val="00B17382"/>
    <w:rsid w:val="00B173C1"/>
    <w:rsid w:val="00B173E4"/>
    <w:rsid w:val="00B17509"/>
    <w:rsid w:val="00B1754B"/>
    <w:rsid w:val="00B1767F"/>
    <w:rsid w:val="00B17696"/>
    <w:rsid w:val="00B176D0"/>
    <w:rsid w:val="00B176D2"/>
    <w:rsid w:val="00B176FF"/>
    <w:rsid w:val="00B177F6"/>
    <w:rsid w:val="00B179A4"/>
    <w:rsid w:val="00B17A2A"/>
    <w:rsid w:val="00B17BA0"/>
    <w:rsid w:val="00B17C06"/>
    <w:rsid w:val="00B17C19"/>
    <w:rsid w:val="00B17D17"/>
    <w:rsid w:val="00B17D91"/>
    <w:rsid w:val="00B17E08"/>
    <w:rsid w:val="00B17F27"/>
    <w:rsid w:val="00B17F91"/>
    <w:rsid w:val="00B17FA5"/>
    <w:rsid w:val="00B17FF7"/>
    <w:rsid w:val="00B2005D"/>
    <w:rsid w:val="00B200AD"/>
    <w:rsid w:val="00B20180"/>
    <w:rsid w:val="00B2021E"/>
    <w:rsid w:val="00B2026E"/>
    <w:rsid w:val="00B20296"/>
    <w:rsid w:val="00B20298"/>
    <w:rsid w:val="00B20360"/>
    <w:rsid w:val="00B2048A"/>
    <w:rsid w:val="00B20542"/>
    <w:rsid w:val="00B20590"/>
    <w:rsid w:val="00B20603"/>
    <w:rsid w:val="00B20795"/>
    <w:rsid w:val="00B20864"/>
    <w:rsid w:val="00B20898"/>
    <w:rsid w:val="00B208CF"/>
    <w:rsid w:val="00B208D9"/>
    <w:rsid w:val="00B20A2C"/>
    <w:rsid w:val="00B20A47"/>
    <w:rsid w:val="00B20A68"/>
    <w:rsid w:val="00B20A6C"/>
    <w:rsid w:val="00B20AB8"/>
    <w:rsid w:val="00B20B46"/>
    <w:rsid w:val="00B20C44"/>
    <w:rsid w:val="00B20CFF"/>
    <w:rsid w:val="00B20D00"/>
    <w:rsid w:val="00B20ED6"/>
    <w:rsid w:val="00B20FB8"/>
    <w:rsid w:val="00B20FF7"/>
    <w:rsid w:val="00B210E7"/>
    <w:rsid w:val="00B211C2"/>
    <w:rsid w:val="00B212EF"/>
    <w:rsid w:val="00B21318"/>
    <w:rsid w:val="00B2133F"/>
    <w:rsid w:val="00B2134C"/>
    <w:rsid w:val="00B21357"/>
    <w:rsid w:val="00B2136D"/>
    <w:rsid w:val="00B213A7"/>
    <w:rsid w:val="00B213AF"/>
    <w:rsid w:val="00B213DB"/>
    <w:rsid w:val="00B213FF"/>
    <w:rsid w:val="00B21483"/>
    <w:rsid w:val="00B21751"/>
    <w:rsid w:val="00B21801"/>
    <w:rsid w:val="00B21818"/>
    <w:rsid w:val="00B21862"/>
    <w:rsid w:val="00B21868"/>
    <w:rsid w:val="00B218AD"/>
    <w:rsid w:val="00B21901"/>
    <w:rsid w:val="00B21968"/>
    <w:rsid w:val="00B21B7E"/>
    <w:rsid w:val="00B21BBA"/>
    <w:rsid w:val="00B21BED"/>
    <w:rsid w:val="00B21C3B"/>
    <w:rsid w:val="00B21E04"/>
    <w:rsid w:val="00B21ED0"/>
    <w:rsid w:val="00B21F32"/>
    <w:rsid w:val="00B22040"/>
    <w:rsid w:val="00B2206D"/>
    <w:rsid w:val="00B221EB"/>
    <w:rsid w:val="00B2222E"/>
    <w:rsid w:val="00B22311"/>
    <w:rsid w:val="00B22321"/>
    <w:rsid w:val="00B224F8"/>
    <w:rsid w:val="00B2250A"/>
    <w:rsid w:val="00B22534"/>
    <w:rsid w:val="00B22554"/>
    <w:rsid w:val="00B22693"/>
    <w:rsid w:val="00B22737"/>
    <w:rsid w:val="00B22760"/>
    <w:rsid w:val="00B22989"/>
    <w:rsid w:val="00B22A7A"/>
    <w:rsid w:val="00B22B7B"/>
    <w:rsid w:val="00B22C6D"/>
    <w:rsid w:val="00B22CF7"/>
    <w:rsid w:val="00B22D48"/>
    <w:rsid w:val="00B22DD7"/>
    <w:rsid w:val="00B22E0E"/>
    <w:rsid w:val="00B22E3A"/>
    <w:rsid w:val="00B22EFA"/>
    <w:rsid w:val="00B22F92"/>
    <w:rsid w:val="00B23068"/>
    <w:rsid w:val="00B2313B"/>
    <w:rsid w:val="00B231E0"/>
    <w:rsid w:val="00B23209"/>
    <w:rsid w:val="00B233CB"/>
    <w:rsid w:val="00B233E1"/>
    <w:rsid w:val="00B23406"/>
    <w:rsid w:val="00B2355A"/>
    <w:rsid w:val="00B23662"/>
    <w:rsid w:val="00B23872"/>
    <w:rsid w:val="00B238FA"/>
    <w:rsid w:val="00B2396D"/>
    <w:rsid w:val="00B23990"/>
    <w:rsid w:val="00B239ED"/>
    <w:rsid w:val="00B23A09"/>
    <w:rsid w:val="00B23A0F"/>
    <w:rsid w:val="00B23A94"/>
    <w:rsid w:val="00B23AF9"/>
    <w:rsid w:val="00B23D9A"/>
    <w:rsid w:val="00B23DE5"/>
    <w:rsid w:val="00B23E7B"/>
    <w:rsid w:val="00B23F6B"/>
    <w:rsid w:val="00B2405F"/>
    <w:rsid w:val="00B24186"/>
    <w:rsid w:val="00B24221"/>
    <w:rsid w:val="00B24248"/>
    <w:rsid w:val="00B242BA"/>
    <w:rsid w:val="00B242D8"/>
    <w:rsid w:val="00B2438F"/>
    <w:rsid w:val="00B244E8"/>
    <w:rsid w:val="00B24669"/>
    <w:rsid w:val="00B246AE"/>
    <w:rsid w:val="00B246D4"/>
    <w:rsid w:val="00B2478B"/>
    <w:rsid w:val="00B247CD"/>
    <w:rsid w:val="00B24843"/>
    <w:rsid w:val="00B24B98"/>
    <w:rsid w:val="00B24C4F"/>
    <w:rsid w:val="00B24C75"/>
    <w:rsid w:val="00B24D37"/>
    <w:rsid w:val="00B24D86"/>
    <w:rsid w:val="00B24E9A"/>
    <w:rsid w:val="00B24F93"/>
    <w:rsid w:val="00B250D2"/>
    <w:rsid w:val="00B250D4"/>
    <w:rsid w:val="00B250E8"/>
    <w:rsid w:val="00B25241"/>
    <w:rsid w:val="00B25395"/>
    <w:rsid w:val="00B253FB"/>
    <w:rsid w:val="00B25400"/>
    <w:rsid w:val="00B254DC"/>
    <w:rsid w:val="00B25519"/>
    <w:rsid w:val="00B25776"/>
    <w:rsid w:val="00B257E0"/>
    <w:rsid w:val="00B25868"/>
    <w:rsid w:val="00B2588B"/>
    <w:rsid w:val="00B258CA"/>
    <w:rsid w:val="00B258F2"/>
    <w:rsid w:val="00B25962"/>
    <w:rsid w:val="00B25979"/>
    <w:rsid w:val="00B25A95"/>
    <w:rsid w:val="00B25B5F"/>
    <w:rsid w:val="00B25D44"/>
    <w:rsid w:val="00B25E12"/>
    <w:rsid w:val="00B25F33"/>
    <w:rsid w:val="00B26014"/>
    <w:rsid w:val="00B26039"/>
    <w:rsid w:val="00B26098"/>
    <w:rsid w:val="00B26142"/>
    <w:rsid w:val="00B261C7"/>
    <w:rsid w:val="00B262C8"/>
    <w:rsid w:val="00B262F7"/>
    <w:rsid w:val="00B263AD"/>
    <w:rsid w:val="00B264C1"/>
    <w:rsid w:val="00B2653F"/>
    <w:rsid w:val="00B2660B"/>
    <w:rsid w:val="00B26619"/>
    <w:rsid w:val="00B26735"/>
    <w:rsid w:val="00B268D1"/>
    <w:rsid w:val="00B26A40"/>
    <w:rsid w:val="00B26B4F"/>
    <w:rsid w:val="00B26B8D"/>
    <w:rsid w:val="00B26C1F"/>
    <w:rsid w:val="00B26CDC"/>
    <w:rsid w:val="00B26CF5"/>
    <w:rsid w:val="00B26D2A"/>
    <w:rsid w:val="00B26D94"/>
    <w:rsid w:val="00B26DA7"/>
    <w:rsid w:val="00B26EBB"/>
    <w:rsid w:val="00B26EC9"/>
    <w:rsid w:val="00B26EDE"/>
    <w:rsid w:val="00B26F96"/>
    <w:rsid w:val="00B26FC4"/>
    <w:rsid w:val="00B27049"/>
    <w:rsid w:val="00B271C4"/>
    <w:rsid w:val="00B272A2"/>
    <w:rsid w:val="00B273D5"/>
    <w:rsid w:val="00B273FC"/>
    <w:rsid w:val="00B274A5"/>
    <w:rsid w:val="00B274C1"/>
    <w:rsid w:val="00B27559"/>
    <w:rsid w:val="00B27665"/>
    <w:rsid w:val="00B278AE"/>
    <w:rsid w:val="00B279EA"/>
    <w:rsid w:val="00B27B53"/>
    <w:rsid w:val="00B27C4D"/>
    <w:rsid w:val="00B27D28"/>
    <w:rsid w:val="00B27E5B"/>
    <w:rsid w:val="00B27EE8"/>
    <w:rsid w:val="00B27F53"/>
    <w:rsid w:val="00B30058"/>
    <w:rsid w:val="00B30080"/>
    <w:rsid w:val="00B300E6"/>
    <w:rsid w:val="00B300F0"/>
    <w:rsid w:val="00B3014C"/>
    <w:rsid w:val="00B3017A"/>
    <w:rsid w:val="00B30243"/>
    <w:rsid w:val="00B3027B"/>
    <w:rsid w:val="00B3035A"/>
    <w:rsid w:val="00B3046C"/>
    <w:rsid w:val="00B30558"/>
    <w:rsid w:val="00B30589"/>
    <w:rsid w:val="00B305EC"/>
    <w:rsid w:val="00B305ED"/>
    <w:rsid w:val="00B306AF"/>
    <w:rsid w:val="00B30786"/>
    <w:rsid w:val="00B307EC"/>
    <w:rsid w:val="00B30886"/>
    <w:rsid w:val="00B30955"/>
    <w:rsid w:val="00B30A1F"/>
    <w:rsid w:val="00B30A3A"/>
    <w:rsid w:val="00B30B0C"/>
    <w:rsid w:val="00B30B5B"/>
    <w:rsid w:val="00B30BDE"/>
    <w:rsid w:val="00B30CB9"/>
    <w:rsid w:val="00B30CC8"/>
    <w:rsid w:val="00B30D22"/>
    <w:rsid w:val="00B30DA5"/>
    <w:rsid w:val="00B30DDD"/>
    <w:rsid w:val="00B30EAF"/>
    <w:rsid w:val="00B30F57"/>
    <w:rsid w:val="00B3102C"/>
    <w:rsid w:val="00B3103F"/>
    <w:rsid w:val="00B310E7"/>
    <w:rsid w:val="00B31119"/>
    <w:rsid w:val="00B313E3"/>
    <w:rsid w:val="00B31618"/>
    <w:rsid w:val="00B31630"/>
    <w:rsid w:val="00B3173C"/>
    <w:rsid w:val="00B3175C"/>
    <w:rsid w:val="00B317F9"/>
    <w:rsid w:val="00B31839"/>
    <w:rsid w:val="00B318BD"/>
    <w:rsid w:val="00B318E7"/>
    <w:rsid w:val="00B319C9"/>
    <w:rsid w:val="00B31A19"/>
    <w:rsid w:val="00B31BC0"/>
    <w:rsid w:val="00B31BD2"/>
    <w:rsid w:val="00B31C8B"/>
    <w:rsid w:val="00B31CCD"/>
    <w:rsid w:val="00B31D3D"/>
    <w:rsid w:val="00B31E41"/>
    <w:rsid w:val="00B31ED7"/>
    <w:rsid w:val="00B31F99"/>
    <w:rsid w:val="00B320F5"/>
    <w:rsid w:val="00B321C3"/>
    <w:rsid w:val="00B321F8"/>
    <w:rsid w:val="00B32260"/>
    <w:rsid w:val="00B32316"/>
    <w:rsid w:val="00B324B1"/>
    <w:rsid w:val="00B32579"/>
    <w:rsid w:val="00B325D8"/>
    <w:rsid w:val="00B32618"/>
    <w:rsid w:val="00B32652"/>
    <w:rsid w:val="00B326EF"/>
    <w:rsid w:val="00B32771"/>
    <w:rsid w:val="00B327ED"/>
    <w:rsid w:val="00B328B4"/>
    <w:rsid w:val="00B32A0A"/>
    <w:rsid w:val="00B32A16"/>
    <w:rsid w:val="00B32C23"/>
    <w:rsid w:val="00B32C41"/>
    <w:rsid w:val="00B32C61"/>
    <w:rsid w:val="00B32C94"/>
    <w:rsid w:val="00B32CA8"/>
    <w:rsid w:val="00B32CE6"/>
    <w:rsid w:val="00B32D4B"/>
    <w:rsid w:val="00B32DFA"/>
    <w:rsid w:val="00B32F48"/>
    <w:rsid w:val="00B32FB9"/>
    <w:rsid w:val="00B33072"/>
    <w:rsid w:val="00B3312D"/>
    <w:rsid w:val="00B33169"/>
    <w:rsid w:val="00B3318B"/>
    <w:rsid w:val="00B33191"/>
    <w:rsid w:val="00B331AD"/>
    <w:rsid w:val="00B3320D"/>
    <w:rsid w:val="00B332DD"/>
    <w:rsid w:val="00B332F0"/>
    <w:rsid w:val="00B33362"/>
    <w:rsid w:val="00B333B1"/>
    <w:rsid w:val="00B333B9"/>
    <w:rsid w:val="00B3345E"/>
    <w:rsid w:val="00B334FC"/>
    <w:rsid w:val="00B335FD"/>
    <w:rsid w:val="00B336FF"/>
    <w:rsid w:val="00B33781"/>
    <w:rsid w:val="00B3388A"/>
    <w:rsid w:val="00B3394F"/>
    <w:rsid w:val="00B3395E"/>
    <w:rsid w:val="00B33A30"/>
    <w:rsid w:val="00B33A38"/>
    <w:rsid w:val="00B33A94"/>
    <w:rsid w:val="00B33B1D"/>
    <w:rsid w:val="00B33B5C"/>
    <w:rsid w:val="00B33B81"/>
    <w:rsid w:val="00B33CFA"/>
    <w:rsid w:val="00B33F19"/>
    <w:rsid w:val="00B33FB8"/>
    <w:rsid w:val="00B34018"/>
    <w:rsid w:val="00B34022"/>
    <w:rsid w:val="00B3406A"/>
    <w:rsid w:val="00B3436B"/>
    <w:rsid w:val="00B34498"/>
    <w:rsid w:val="00B3458E"/>
    <w:rsid w:val="00B34595"/>
    <w:rsid w:val="00B34841"/>
    <w:rsid w:val="00B349B8"/>
    <w:rsid w:val="00B34A22"/>
    <w:rsid w:val="00B34AB0"/>
    <w:rsid w:val="00B34B07"/>
    <w:rsid w:val="00B34BB0"/>
    <w:rsid w:val="00B34C38"/>
    <w:rsid w:val="00B34D88"/>
    <w:rsid w:val="00B34D90"/>
    <w:rsid w:val="00B34DDB"/>
    <w:rsid w:val="00B34E4F"/>
    <w:rsid w:val="00B34E79"/>
    <w:rsid w:val="00B34E84"/>
    <w:rsid w:val="00B34E8E"/>
    <w:rsid w:val="00B34F24"/>
    <w:rsid w:val="00B34F98"/>
    <w:rsid w:val="00B35043"/>
    <w:rsid w:val="00B350D4"/>
    <w:rsid w:val="00B3512D"/>
    <w:rsid w:val="00B35175"/>
    <w:rsid w:val="00B351CE"/>
    <w:rsid w:val="00B351F2"/>
    <w:rsid w:val="00B3524F"/>
    <w:rsid w:val="00B35334"/>
    <w:rsid w:val="00B3534F"/>
    <w:rsid w:val="00B3539C"/>
    <w:rsid w:val="00B3543A"/>
    <w:rsid w:val="00B354CE"/>
    <w:rsid w:val="00B354D1"/>
    <w:rsid w:val="00B35789"/>
    <w:rsid w:val="00B35861"/>
    <w:rsid w:val="00B35877"/>
    <w:rsid w:val="00B3589C"/>
    <w:rsid w:val="00B35918"/>
    <w:rsid w:val="00B35931"/>
    <w:rsid w:val="00B359BC"/>
    <w:rsid w:val="00B359D1"/>
    <w:rsid w:val="00B35B53"/>
    <w:rsid w:val="00B35C69"/>
    <w:rsid w:val="00B35C7E"/>
    <w:rsid w:val="00B35CBC"/>
    <w:rsid w:val="00B35D07"/>
    <w:rsid w:val="00B35D4D"/>
    <w:rsid w:val="00B35E34"/>
    <w:rsid w:val="00B3605B"/>
    <w:rsid w:val="00B36109"/>
    <w:rsid w:val="00B3617B"/>
    <w:rsid w:val="00B3618A"/>
    <w:rsid w:val="00B362D1"/>
    <w:rsid w:val="00B363E8"/>
    <w:rsid w:val="00B363FE"/>
    <w:rsid w:val="00B36437"/>
    <w:rsid w:val="00B36443"/>
    <w:rsid w:val="00B364B3"/>
    <w:rsid w:val="00B36517"/>
    <w:rsid w:val="00B365F6"/>
    <w:rsid w:val="00B3666F"/>
    <w:rsid w:val="00B366A0"/>
    <w:rsid w:val="00B366A3"/>
    <w:rsid w:val="00B36727"/>
    <w:rsid w:val="00B367EE"/>
    <w:rsid w:val="00B369BD"/>
    <w:rsid w:val="00B369DA"/>
    <w:rsid w:val="00B369EC"/>
    <w:rsid w:val="00B36A20"/>
    <w:rsid w:val="00B36BC5"/>
    <w:rsid w:val="00B36D90"/>
    <w:rsid w:val="00B36DB6"/>
    <w:rsid w:val="00B36F0B"/>
    <w:rsid w:val="00B36FA7"/>
    <w:rsid w:val="00B36FB4"/>
    <w:rsid w:val="00B370D0"/>
    <w:rsid w:val="00B371BB"/>
    <w:rsid w:val="00B37265"/>
    <w:rsid w:val="00B372C5"/>
    <w:rsid w:val="00B372E3"/>
    <w:rsid w:val="00B372ED"/>
    <w:rsid w:val="00B373DB"/>
    <w:rsid w:val="00B375EF"/>
    <w:rsid w:val="00B37621"/>
    <w:rsid w:val="00B37643"/>
    <w:rsid w:val="00B376BA"/>
    <w:rsid w:val="00B376D6"/>
    <w:rsid w:val="00B377E1"/>
    <w:rsid w:val="00B378A7"/>
    <w:rsid w:val="00B378B9"/>
    <w:rsid w:val="00B378C6"/>
    <w:rsid w:val="00B379EF"/>
    <w:rsid w:val="00B37AB6"/>
    <w:rsid w:val="00B37ABF"/>
    <w:rsid w:val="00B37B96"/>
    <w:rsid w:val="00B37BE8"/>
    <w:rsid w:val="00B37D67"/>
    <w:rsid w:val="00B37D78"/>
    <w:rsid w:val="00B37E2E"/>
    <w:rsid w:val="00B37EB0"/>
    <w:rsid w:val="00B37F93"/>
    <w:rsid w:val="00B37FB7"/>
    <w:rsid w:val="00B40001"/>
    <w:rsid w:val="00B4006C"/>
    <w:rsid w:val="00B4008D"/>
    <w:rsid w:val="00B40096"/>
    <w:rsid w:val="00B400EE"/>
    <w:rsid w:val="00B40201"/>
    <w:rsid w:val="00B40207"/>
    <w:rsid w:val="00B403FB"/>
    <w:rsid w:val="00B404F3"/>
    <w:rsid w:val="00B404FC"/>
    <w:rsid w:val="00B4053A"/>
    <w:rsid w:val="00B40807"/>
    <w:rsid w:val="00B40835"/>
    <w:rsid w:val="00B40982"/>
    <w:rsid w:val="00B40B31"/>
    <w:rsid w:val="00B40B63"/>
    <w:rsid w:val="00B40B6A"/>
    <w:rsid w:val="00B40BF1"/>
    <w:rsid w:val="00B40C41"/>
    <w:rsid w:val="00B40D48"/>
    <w:rsid w:val="00B40E11"/>
    <w:rsid w:val="00B40EB7"/>
    <w:rsid w:val="00B40FC3"/>
    <w:rsid w:val="00B41057"/>
    <w:rsid w:val="00B41064"/>
    <w:rsid w:val="00B41080"/>
    <w:rsid w:val="00B410D5"/>
    <w:rsid w:val="00B4140C"/>
    <w:rsid w:val="00B4146F"/>
    <w:rsid w:val="00B41524"/>
    <w:rsid w:val="00B4171C"/>
    <w:rsid w:val="00B41753"/>
    <w:rsid w:val="00B4180B"/>
    <w:rsid w:val="00B41853"/>
    <w:rsid w:val="00B41A3F"/>
    <w:rsid w:val="00B41AA0"/>
    <w:rsid w:val="00B41B63"/>
    <w:rsid w:val="00B41D9A"/>
    <w:rsid w:val="00B41DEF"/>
    <w:rsid w:val="00B41DF1"/>
    <w:rsid w:val="00B41E19"/>
    <w:rsid w:val="00B41E61"/>
    <w:rsid w:val="00B41E97"/>
    <w:rsid w:val="00B41EC8"/>
    <w:rsid w:val="00B41F9A"/>
    <w:rsid w:val="00B4201F"/>
    <w:rsid w:val="00B42081"/>
    <w:rsid w:val="00B42098"/>
    <w:rsid w:val="00B421F7"/>
    <w:rsid w:val="00B42231"/>
    <w:rsid w:val="00B423C1"/>
    <w:rsid w:val="00B42457"/>
    <w:rsid w:val="00B424AC"/>
    <w:rsid w:val="00B424EF"/>
    <w:rsid w:val="00B426F6"/>
    <w:rsid w:val="00B42715"/>
    <w:rsid w:val="00B42794"/>
    <w:rsid w:val="00B4279F"/>
    <w:rsid w:val="00B427F4"/>
    <w:rsid w:val="00B4298A"/>
    <w:rsid w:val="00B42A8F"/>
    <w:rsid w:val="00B42A9E"/>
    <w:rsid w:val="00B42AB0"/>
    <w:rsid w:val="00B42BB4"/>
    <w:rsid w:val="00B42BD1"/>
    <w:rsid w:val="00B42C82"/>
    <w:rsid w:val="00B42C97"/>
    <w:rsid w:val="00B42CAE"/>
    <w:rsid w:val="00B42DEC"/>
    <w:rsid w:val="00B42E24"/>
    <w:rsid w:val="00B42E94"/>
    <w:rsid w:val="00B42EA3"/>
    <w:rsid w:val="00B42EE9"/>
    <w:rsid w:val="00B42F22"/>
    <w:rsid w:val="00B42F71"/>
    <w:rsid w:val="00B42F83"/>
    <w:rsid w:val="00B430ED"/>
    <w:rsid w:val="00B4312D"/>
    <w:rsid w:val="00B43271"/>
    <w:rsid w:val="00B43322"/>
    <w:rsid w:val="00B43348"/>
    <w:rsid w:val="00B433A7"/>
    <w:rsid w:val="00B4349F"/>
    <w:rsid w:val="00B434D1"/>
    <w:rsid w:val="00B43653"/>
    <w:rsid w:val="00B437B3"/>
    <w:rsid w:val="00B43994"/>
    <w:rsid w:val="00B43997"/>
    <w:rsid w:val="00B439E8"/>
    <w:rsid w:val="00B43ABF"/>
    <w:rsid w:val="00B43B0B"/>
    <w:rsid w:val="00B43C2B"/>
    <w:rsid w:val="00B43CDB"/>
    <w:rsid w:val="00B43D31"/>
    <w:rsid w:val="00B43F97"/>
    <w:rsid w:val="00B4411C"/>
    <w:rsid w:val="00B441BB"/>
    <w:rsid w:val="00B44336"/>
    <w:rsid w:val="00B44419"/>
    <w:rsid w:val="00B44470"/>
    <w:rsid w:val="00B44529"/>
    <w:rsid w:val="00B445CB"/>
    <w:rsid w:val="00B4462D"/>
    <w:rsid w:val="00B44715"/>
    <w:rsid w:val="00B4480C"/>
    <w:rsid w:val="00B44887"/>
    <w:rsid w:val="00B44898"/>
    <w:rsid w:val="00B448CB"/>
    <w:rsid w:val="00B449D8"/>
    <w:rsid w:val="00B44A01"/>
    <w:rsid w:val="00B44AAC"/>
    <w:rsid w:val="00B44B40"/>
    <w:rsid w:val="00B44BC4"/>
    <w:rsid w:val="00B44C88"/>
    <w:rsid w:val="00B44DA3"/>
    <w:rsid w:val="00B45076"/>
    <w:rsid w:val="00B45083"/>
    <w:rsid w:val="00B4519D"/>
    <w:rsid w:val="00B4525A"/>
    <w:rsid w:val="00B452D7"/>
    <w:rsid w:val="00B45321"/>
    <w:rsid w:val="00B45354"/>
    <w:rsid w:val="00B454B0"/>
    <w:rsid w:val="00B45550"/>
    <w:rsid w:val="00B455AA"/>
    <w:rsid w:val="00B45627"/>
    <w:rsid w:val="00B456A1"/>
    <w:rsid w:val="00B456F9"/>
    <w:rsid w:val="00B45720"/>
    <w:rsid w:val="00B457C1"/>
    <w:rsid w:val="00B458FB"/>
    <w:rsid w:val="00B4591E"/>
    <w:rsid w:val="00B4596E"/>
    <w:rsid w:val="00B45A92"/>
    <w:rsid w:val="00B45B60"/>
    <w:rsid w:val="00B45CED"/>
    <w:rsid w:val="00B45D51"/>
    <w:rsid w:val="00B45D68"/>
    <w:rsid w:val="00B45D77"/>
    <w:rsid w:val="00B45E0C"/>
    <w:rsid w:val="00B45E8A"/>
    <w:rsid w:val="00B45F9E"/>
    <w:rsid w:val="00B46199"/>
    <w:rsid w:val="00B462A0"/>
    <w:rsid w:val="00B462CD"/>
    <w:rsid w:val="00B46376"/>
    <w:rsid w:val="00B46430"/>
    <w:rsid w:val="00B46740"/>
    <w:rsid w:val="00B46757"/>
    <w:rsid w:val="00B467A9"/>
    <w:rsid w:val="00B468D1"/>
    <w:rsid w:val="00B46981"/>
    <w:rsid w:val="00B469DF"/>
    <w:rsid w:val="00B469F9"/>
    <w:rsid w:val="00B46A43"/>
    <w:rsid w:val="00B46AA2"/>
    <w:rsid w:val="00B46C14"/>
    <w:rsid w:val="00B46C39"/>
    <w:rsid w:val="00B46C5A"/>
    <w:rsid w:val="00B46C5C"/>
    <w:rsid w:val="00B46DD7"/>
    <w:rsid w:val="00B46EFB"/>
    <w:rsid w:val="00B46F4C"/>
    <w:rsid w:val="00B46F58"/>
    <w:rsid w:val="00B46F6F"/>
    <w:rsid w:val="00B46FE7"/>
    <w:rsid w:val="00B4707F"/>
    <w:rsid w:val="00B470C7"/>
    <w:rsid w:val="00B47139"/>
    <w:rsid w:val="00B47188"/>
    <w:rsid w:val="00B471E9"/>
    <w:rsid w:val="00B47263"/>
    <w:rsid w:val="00B47315"/>
    <w:rsid w:val="00B473F5"/>
    <w:rsid w:val="00B47432"/>
    <w:rsid w:val="00B47465"/>
    <w:rsid w:val="00B4747A"/>
    <w:rsid w:val="00B47550"/>
    <w:rsid w:val="00B47665"/>
    <w:rsid w:val="00B4775E"/>
    <w:rsid w:val="00B4779D"/>
    <w:rsid w:val="00B47926"/>
    <w:rsid w:val="00B47AE2"/>
    <w:rsid w:val="00B47B55"/>
    <w:rsid w:val="00B47BD1"/>
    <w:rsid w:val="00B47DC7"/>
    <w:rsid w:val="00B47E3C"/>
    <w:rsid w:val="00B47E9A"/>
    <w:rsid w:val="00B50011"/>
    <w:rsid w:val="00B50047"/>
    <w:rsid w:val="00B500BB"/>
    <w:rsid w:val="00B501AB"/>
    <w:rsid w:val="00B50396"/>
    <w:rsid w:val="00B503D9"/>
    <w:rsid w:val="00B50400"/>
    <w:rsid w:val="00B50479"/>
    <w:rsid w:val="00B50522"/>
    <w:rsid w:val="00B50577"/>
    <w:rsid w:val="00B50619"/>
    <w:rsid w:val="00B506FC"/>
    <w:rsid w:val="00B507DF"/>
    <w:rsid w:val="00B50857"/>
    <w:rsid w:val="00B50A2E"/>
    <w:rsid w:val="00B50A7F"/>
    <w:rsid w:val="00B50A9D"/>
    <w:rsid w:val="00B50B0E"/>
    <w:rsid w:val="00B50B11"/>
    <w:rsid w:val="00B50B94"/>
    <w:rsid w:val="00B50BCF"/>
    <w:rsid w:val="00B50C96"/>
    <w:rsid w:val="00B50CB5"/>
    <w:rsid w:val="00B50CD2"/>
    <w:rsid w:val="00B50D5F"/>
    <w:rsid w:val="00B50DBA"/>
    <w:rsid w:val="00B50E1C"/>
    <w:rsid w:val="00B50EDA"/>
    <w:rsid w:val="00B50FB8"/>
    <w:rsid w:val="00B5105C"/>
    <w:rsid w:val="00B51227"/>
    <w:rsid w:val="00B512F9"/>
    <w:rsid w:val="00B51305"/>
    <w:rsid w:val="00B51316"/>
    <w:rsid w:val="00B513BC"/>
    <w:rsid w:val="00B5154B"/>
    <w:rsid w:val="00B516E4"/>
    <w:rsid w:val="00B5185E"/>
    <w:rsid w:val="00B51A0D"/>
    <w:rsid w:val="00B51A1C"/>
    <w:rsid w:val="00B51C3B"/>
    <w:rsid w:val="00B51C43"/>
    <w:rsid w:val="00B51DBC"/>
    <w:rsid w:val="00B51F47"/>
    <w:rsid w:val="00B51F68"/>
    <w:rsid w:val="00B521CA"/>
    <w:rsid w:val="00B521DE"/>
    <w:rsid w:val="00B521EC"/>
    <w:rsid w:val="00B5220F"/>
    <w:rsid w:val="00B52220"/>
    <w:rsid w:val="00B52231"/>
    <w:rsid w:val="00B52264"/>
    <w:rsid w:val="00B5229D"/>
    <w:rsid w:val="00B522A2"/>
    <w:rsid w:val="00B5243A"/>
    <w:rsid w:val="00B52450"/>
    <w:rsid w:val="00B52474"/>
    <w:rsid w:val="00B524C5"/>
    <w:rsid w:val="00B52536"/>
    <w:rsid w:val="00B52644"/>
    <w:rsid w:val="00B5273C"/>
    <w:rsid w:val="00B527BE"/>
    <w:rsid w:val="00B527C4"/>
    <w:rsid w:val="00B52830"/>
    <w:rsid w:val="00B528D0"/>
    <w:rsid w:val="00B529F5"/>
    <w:rsid w:val="00B52BE0"/>
    <w:rsid w:val="00B52DCF"/>
    <w:rsid w:val="00B52E06"/>
    <w:rsid w:val="00B52EB3"/>
    <w:rsid w:val="00B52F0A"/>
    <w:rsid w:val="00B52F2E"/>
    <w:rsid w:val="00B52FF1"/>
    <w:rsid w:val="00B53136"/>
    <w:rsid w:val="00B53151"/>
    <w:rsid w:val="00B53475"/>
    <w:rsid w:val="00B534EA"/>
    <w:rsid w:val="00B53562"/>
    <w:rsid w:val="00B53575"/>
    <w:rsid w:val="00B53589"/>
    <w:rsid w:val="00B535E9"/>
    <w:rsid w:val="00B53600"/>
    <w:rsid w:val="00B53602"/>
    <w:rsid w:val="00B53752"/>
    <w:rsid w:val="00B5382B"/>
    <w:rsid w:val="00B538E8"/>
    <w:rsid w:val="00B5391E"/>
    <w:rsid w:val="00B53971"/>
    <w:rsid w:val="00B53989"/>
    <w:rsid w:val="00B539AB"/>
    <w:rsid w:val="00B539E9"/>
    <w:rsid w:val="00B53B0B"/>
    <w:rsid w:val="00B53B25"/>
    <w:rsid w:val="00B53BBD"/>
    <w:rsid w:val="00B53CBE"/>
    <w:rsid w:val="00B53DAF"/>
    <w:rsid w:val="00B53E2B"/>
    <w:rsid w:val="00B53FDE"/>
    <w:rsid w:val="00B53FF5"/>
    <w:rsid w:val="00B540D0"/>
    <w:rsid w:val="00B540FA"/>
    <w:rsid w:val="00B54365"/>
    <w:rsid w:val="00B543BD"/>
    <w:rsid w:val="00B543E4"/>
    <w:rsid w:val="00B54517"/>
    <w:rsid w:val="00B54594"/>
    <w:rsid w:val="00B546D3"/>
    <w:rsid w:val="00B546EA"/>
    <w:rsid w:val="00B5476B"/>
    <w:rsid w:val="00B547AC"/>
    <w:rsid w:val="00B547E3"/>
    <w:rsid w:val="00B547F7"/>
    <w:rsid w:val="00B5487F"/>
    <w:rsid w:val="00B548C1"/>
    <w:rsid w:val="00B548C6"/>
    <w:rsid w:val="00B5492E"/>
    <w:rsid w:val="00B5495D"/>
    <w:rsid w:val="00B54BD8"/>
    <w:rsid w:val="00B54C03"/>
    <w:rsid w:val="00B54C9B"/>
    <w:rsid w:val="00B54CE3"/>
    <w:rsid w:val="00B54D51"/>
    <w:rsid w:val="00B54DB5"/>
    <w:rsid w:val="00B54DF0"/>
    <w:rsid w:val="00B54E05"/>
    <w:rsid w:val="00B54E55"/>
    <w:rsid w:val="00B54F01"/>
    <w:rsid w:val="00B5503B"/>
    <w:rsid w:val="00B55125"/>
    <w:rsid w:val="00B55137"/>
    <w:rsid w:val="00B551A7"/>
    <w:rsid w:val="00B55202"/>
    <w:rsid w:val="00B55227"/>
    <w:rsid w:val="00B5525F"/>
    <w:rsid w:val="00B5529B"/>
    <w:rsid w:val="00B55393"/>
    <w:rsid w:val="00B553B1"/>
    <w:rsid w:val="00B553CA"/>
    <w:rsid w:val="00B55403"/>
    <w:rsid w:val="00B55447"/>
    <w:rsid w:val="00B5544F"/>
    <w:rsid w:val="00B55619"/>
    <w:rsid w:val="00B556BD"/>
    <w:rsid w:val="00B55804"/>
    <w:rsid w:val="00B558E2"/>
    <w:rsid w:val="00B5594D"/>
    <w:rsid w:val="00B55A75"/>
    <w:rsid w:val="00B55ACC"/>
    <w:rsid w:val="00B55B52"/>
    <w:rsid w:val="00B55C5D"/>
    <w:rsid w:val="00B55C63"/>
    <w:rsid w:val="00B55C85"/>
    <w:rsid w:val="00B55CB1"/>
    <w:rsid w:val="00B55CD6"/>
    <w:rsid w:val="00B55F09"/>
    <w:rsid w:val="00B55FE7"/>
    <w:rsid w:val="00B56146"/>
    <w:rsid w:val="00B56202"/>
    <w:rsid w:val="00B5638A"/>
    <w:rsid w:val="00B56426"/>
    <w:rsid w:val="00B565E0"/>
    <w:rsid w:val="00B56632"/>
    <w:rsid w:val="00B566C7"/>
    <w:rsid w:val="00B5674C"/>
    <w:rsid w:val="00B56785"/>
    <w:rsid w:val="00B56871"/>
    <w:rsid w:val="00B568B0"/>
    <w:rsid w:val="00B569E7"/>
    <w:rsid w:val="00B56A6B"/>
    <w:rsid w:val="00B56A85"/>
    <w:rsid w:val="00B56A9F"/>
    <w:rsid w:val="00B56AAA"/>
    <w:rsid w:val="00B56BAC"/>
    <w:rsid w:val="00B56C37"/>
    <w:rsid w:val="00B56D36"/>
    <w:rsid w:val="00B56D63"/>
    <w:rsid w:val="00B570E5"/>
    <w:rsid w:val="00B572B4"/>
    <w:rsid w:val="00B57389"/>
    <w:rsid w:val="00B574D3"/>
    <w:rsid w:val="00B5755E"/>
    <w:rsid w:val="00B57581"/>
    <w:rsid w:val="00B575B3"/>
    <w:rsid w:val="00B57712"/>
    <w:rsid w:val="00B578C2"/>
    <w:rsid w:val="00B5794D"/>
    <w:rsid w:val="00B579A2"/>
    <w:rsid w:val="00B57AF1"/>
    <w:rsid w:val="00B57ECC"/>
    <w:rsid w:val="00B57EDB"/>
    <w:rsid w:val="00B60028"/>
    <w:rsid w:val="00B600F0"/>
    <w:rsid w:val="00B6014F"/>
    <w:rsid w:val="00B601EF"/>
    <w:rsid w:val="00B60207"/>
    <w:rsid w:val="00B602CC"/>
    <w:rsid w:val="00B602EA"/>
    <w:rsid w:val="00B6035D"/>
    <w:rsid w:val="00B6036B"/>
    <w:rsid w:val="00B604C8"/>
    <w:rsid w:val="00B604CD"/>
    <w:rsid w:val="00B6056C"/>
    <w:rsid w:val="00B60627"/>
    <w:rsid w:val="00B6074D"/>
    <w:rsid w:val="00B609D6"/>
    <w:rsid w:val="00B609E1"/>
    <w:rsid w:val="00B60A1D"/>
    <w:rsid w:val="00B60AB2"/>
    <w:rsid w:val="00B60B7F"/>
    <w:rsid w:val="00B60BDB"/>
    <w:rsid w:val="00B60C07"/>
    <w:rsid w:val="00B60CC1"/>
    <w:rsid w:val="00B60CDA"/>
    <w:rsid w:val="00B60DDA"/>
    <w:rsid w:val="00B60E1F"/>
    <w:rsid w:val="00B61105"/>
    <w:rsid w:val="00B61109"/>
    <w:rsid w:val="00B611A8"/>
    <w:rsid w:val="00B61258"/>
    <w:rsid w:val="00B61388"/>
    <w:rsid w:val="00B61395"/>
    <w:rsid w:val="00B613FD"/>
    <w:rsid w:val="00B615C6"/>
    <w:rsid w:val="00B615C9"/>
    <w:rsid w:val="00B616B4"/>
    <w:rsid w:val="00B616EC"/>
    <w:rsid w:val="00B61702"/>
    <w:rsid w:val="00B61767"/>
    <w:rsid w:val="00B617DF"/>
    <w:rsid w:val="00B619AF"/>
    <w:rsid w:val="00B619F9"/>
    <w:rsid w:val="00B619FD"/>
    <w:rsid w:val="00B61B10"/>
    <w:rsid w:val="00B61B35"/>
    <w:rsid w:val="00B61BEE"/>
    <w:rsid w:val="00B61C76"/>
    <w:rsid w:val="00B61D16"/>
    <w:rsid w:val="00B61D31"/>
    <w:rsid w:val="00B61F81"/>
    <w:rsid w:val="00B61F8C"/>
    <w:rsid w:val="00B61FAD"/>
    <w:rsid w:val="00B61FE9"/>
    <w:rsid w:val="00B61FFE"/>
    <w:rsid w:val="00B62160"/>
    <w:rsid w:val="00B622E5"/>
    <w:rsid w:val="00B62419"/>
    <w:rsid w:val="00B62484"/>
    <w:rsid w:val="00B6253D"/>
    <w:rsid w:val="00B62577"/>
    <w:rsid w:val="00B625E7"/>
    <w:rsid w:val="00B626D8"/>
    <w:rsid w:val="00B62808"/>
    <w:rsid w:val="00B6290D"/>
    <w:rsid w:val="00B6293B"/>
    <w:rsid w:val="00B629C9"/>
    <w:rsid w:val="00B62A12"/>
    <w:rsid w:val="00B62A81"/>
    <w:rsid w:val="00B62B36"/>
    <w:rsid w:val="00B62B46"/>
    <w:rsid w:val="00B62C8A"/>
    <w:rsid w:val="00B62C94"/>
    <w:rsid w:val="00B62CCE"/>
    <w:rsid w:val="00B62D65"/>
    <w:rsid w:val="00B62DC4"/>
    <w:rsid w:val="00B62EE0"/>
    <w:rsid w:val="00B62F7E"/>
    <w:rsid w:val="00B62F8C"/>
    <w:rsid w:val="00B63000"/>
    <w:rsid w:val="00B6300C"/>
    <w:rsid w:val="00B6301A"/>
    <w:rsid w:val="00B63088"/>
    <w:rsid w:val="00B630B1"/>
    <w:rsid w:val="00B631F4"/>
    <w:rsid w:val="00B63355"/>
    <w:rsid w:val="00B633CE"/>
    <w:rsid w:val="00B633DA"/>
    <w:rsid w:val="00B63413"/>
    <w:rsid w:val="00B63441"/>
    <w:rsid w:val="00B63484"/>
    <w:rsid w:val="00B63569"/>
    <w:rsid w:val="00B635BD"/>
    <w:rsid w:val="00B638DE"/>
    <w:rsid w:val="00B63A5D"/>
    <w:rsid w:val="00B63BC3"/>
    <w:rsid w:val="00B63D2F"/>
    <w:rsid w:val="00B63DD8"/>
    <w:rsid w:val="00B63F4D"/>
    <w:rsid w:val="00B63FC8"/>
    <w:rsid w:val="00B640D0"/>
    <w:rsid w:val="00B64303"/>
    <w:rsid w:val="00B6458F"/>
    <w:rsid w:val="00B647CF"/>
    <w:rsid w:val="00B6496E"/>
    <w:rsid w:val="00B649FF"/>
    <w:rsid w:val="00B64A3C"/>
    <w:rsid w:val="00B64A46"/>
    <w:rsid w:val="00B64A50"/>
    <w:rsid w:val="00B64BAC"/>
    <w:rsid w:val="00B64BFA"/>
    <w:rsid w:val="00B64C2B"/>
    <w:rsid w:val="00B64C3F"/>
    <w:rsid w:val="00B64CD5"/>
    <w:rsid w:val="00B64E58"/>
    <w:rsid w:val="00B64E84"/>
    <w:rsid w:val="00B64F0E"/>
    <w:rsid w:val="00B64F10"/>
    <w:rsid w:val="00B64FFD"/>
    <w:rsid w:val="00B650AE"/>
    <w:rsid w:val="00B650AF"/>
    <w:rsid w:val="00B650E3"/>
    <w:rsid w:val="00B65186"/>
    <w:rsid w:val="00B65222"/>
    <w:rsid w:val="00B65368"/>
    <w:rsid w:val="00B654B7"/>
    <w:rsid w:val="00B65566"/>
    <w:rsid w:val="00B65800"/>
    <w:rsid w:val="00B658B0"/>
    <w:rsid w:val="00B658C8"/>
    <w:rsid w:val="00B658EC"/>
    <w:rsid w:val="00B659AB"/>
    <w:rsid w:val="00B659DD"/>
    <w:rsid w:val="00B659DE"/>
    <w:rsid w:val="00B65B20"/>
    <w:rsid w:val="00B65C5E"/>
    <w:rsid w:val="00B65D25"/>
    <w:rsid w:val="00B65D8A"/>
    <w:rsid w:val="00B65DDC"/>
    <w:rsid w:val="00B65F2C"/>
    <w:rsid w:val="00B65F4E"/>
    <w:rsid w:val="00B65FAA"/>
    <w:rsid w:val="00B65FAB"/>
    <w:rsid w:val="00B65FF6"/>
    <w:rsid w:val="00B66061"/>
    <w:rsid w:val="00B66075"/>
    <w:rsid w:val="00B660A6"/>
    <w:rsid w:val="00B66200"/>
    <w:rsid w:val="00B66351"/>
    <w:rsid w:val="00B66488"/>
    <w:rsid w:val="00B66491"/>
    <w:rsid w:val="00B664DE"/>
    <w:rsid w:val="00B66685"/>
    <w:rsid w:val="00B666AB"/>
    <w:rsid w:val="00B666D1"/>
    <w:rsid w:val="00B666DA"/>
    <w:rsid w:val="00B667E5"/>
    <w:rsid w:val="00B66844"/>
    <w:rsid w:val="00B668A7"/>
    <w:rsid w:val="00B668B8"/>
    <w:rsid w:val="00B66A3D"/>
    <w:rsid w:val="00B66A53"/>
    <w:rsid w:val="00B66B87"/>
    <w:rsid w:val="00B66B8C"/>
    <w:rsid w:val="00B66BBD"/>
    <w:rsid w:val="00B66D84"/>
    <w:rsid w:val="00B67066"/>
    <w:rsid w:val="00B67174"/>
    <w:rsid w:val="00B671B3"/>
    <w:rsid w:val="00B671D7"/>
    <w:rsid w:val="00B672C6"/>
    <w:rsid w:val="00B67457"/>
    <w:rsid w:val="00B6749A"/>
    <w:rsid w:val="00B67686"/>
    <w:rsid w:val="00B676A2"/>
    <w:rsid w:val="00B67707"/>
    <w:rsid w:val="00B67788"/>
    <w:rsid w:val="00B6793C"/>
    <w:rsid w:val="00B67A40"/>
    <w:rsid w:val="00B67A47"/>
    <w:rsid w:val="00B67A72"/>
    <w:rsid w:val="00B67AB8"/>
    <w:rsid w:val="00B67B60"/>
    <w:rsid w:val="00B67C40"/>
    <w:rsid w:val="00B67CDD"/>
    <w:rsid w:val="00B67D1A"/>
    <w:rsid w:val="00B67D61"/>
    <w:rsid w:val="00B67E5B"/>
    <w:rsid w:val="00B67E78"/>
    <w:rsid w:val="00B67EA1"/>
    <w:rsid w:val="00B67FA1"/>
    <w:rsid w:val="00B67FF8"/>
    <w:rsid w:val="00B70090"/>
    <w:rsid w:val="00B700C8"/>
    <w:rsid w:val="00B70189"/>
    <w:rsid w:val="00B70416"/>
    <w:rsid w:val="00B7046F"/>
    <w:rsid w:val="00B704AC"/>
    <w:rsid w:val="00B70626"/>
    <w:rsid w:val="00B70669"/>
    <w:rsid w:val="00B706C5"/>
    <w:rsid w:val="00B70785"/>
    <w:rsid w:val="00B70824"/>
    <w:rsid w:val="00B70A31"/>
    <w:rsid w:val="00B70D01"/>
    <w:rsid w:val="00B70F34"/>
    <w:rsid w:val="00B70F8F"/>
    <w:rsid w:val="00B70F92"/>
    <w:rsid w:val="00B70FC2"/>
    <w:rsid w:val="00B71017"/>
    <w:rsid w:val="00B71473"/>
    <w:rsid w:val="00B714C9"/>
    <w:rsid w:val="00B71503"/>
    <w:rsid w:val="00B716E3"/>
    <w:rsid w:val="00B71868"/>
    <w:rsid w:val="00B7188A"/>
    <w:rsid w:val="00B718B5"/>
    <w:rsid w:val="00B7190F"/>
    <w:rsid w:val="00B71B44"/>
    <w:rsid w:val="00B71B62"/>
    <w:rsid w:val="00B71BF1"/>
    <w:rsid w:val="00B71BF4"/>
    <w:rsid w:val="00B71CCC"/>
    <w:rsid w:val="00B71CE1"/>
    <w:rsid w:val="00B71D12"/>
    <w:rsid w:val="00B71D59"/>
    <w:rsid w:val="00B71DB3"/>
    <w:rsid w:val="00B71E8D"/>
    <w:rsid w:val="00B71EDF"/>
    <w:rsid w:val="00B72039"/>
    <w:rsid w:val="00B720C9"/>
    <w:rsid w:val="00B721E7"/>
    <w:rsid w:val="00B7221A"/>
    <w:rsid w:val="00B722E5"/>
    <w:rsid w:val="00B723DC"/>
    <w:rsid w:val="00B724AB"/>
    <w:rsid w:val="00B724C8"/>
    <w:rsid w:val="00B724E2"/>
    <w:rsid w:val="00B7256E"/>
    <w:rsid w:val="00B726C8"/>
    <w:rsid w:val="00B726D0"/>
    <w:rsid w:val="00B726FE"/>
    <w:rsid w:val="00B72763"/>
    <w:rsid w:val="00B727B8"/>
    <w:rsid w:val="00B72878"/>
    <w:rsid w:val="00B72A18"/>
    <w:rsid w:val="00B72A3D"/>
    <w:rsid w:val="00B72A7E"/>
    <w:rsid w:val="00B72B03"/>
    <w:rsid w:val="00B72BB9"/>
    <w:rsid w:val="00B72BFB"/>
    <w:rsid w:val="00B72CE0"/>
    <w:rsid w:val="00B72D08"/>
    <w:rsid w:val="00B72DB7"/>
    <w:rsid w:val="00B72EF8"/>
    <w:rsid w:val="00B72F76"/>
    <w:rsid w:val="00B72FA0"/>
    <w:rsid w:val="00B730DB"/>
    <w:rsid w:val="00B73106"/>
    <w:rsid w:val="00B73130"/>
    <w:rsid w:val="00B733D2"/>
    <w:rsid w:val="00B733F6"/>
    <w:rsid w:val="00B7346D"/>
    <w:rsid w:val="00B73478"/>
    <w:rsid w:val="00B734F1"/>
    <w:rsid w:val="00B736EA"/>
    <w:rsid w:val="00B736F2"/>
    <w:rsid w:val="00B7370D"/>
    <w:rsid w:val="00B73734"/>
    <w:rsid w:val="00B7382C"/>
    <w:rsid w:val="00B73894"/>
    <w:rsid w:val="00B7394B"/>
    <w:rsid w:val="00B73E1B"/>
    <w:rsid w:val="00B73F67"/>
    <w:rsid w:val="00B73FCE"/>
    <w:rsid w:val="00B74076"/>
    <w:rsid w:val="00B74127"/>
    <w:rsid w:val="00B7415B"/>
    <w:rsid w:val="00B74307"/>
    <w:rsid w:val="00B74349"/>
    <w:rsid w:val="00B743C7"/>
    <w:rsid w:val="00B743CB"/>
    <w:rsid w:val="00B74407"/>
    <w:rsid w:val="00B74457"/>
    <w:rsid w:val="00B745E6"/>
    <w:rsid w:val="00B74646"/>
    <w:rsid w:val="00B74799"/>
    <w:rsid w:val="00B74911"/>
    <w:rsid w:val="00B74932"/>
    <w:rsid w:val="00B74A3F"/>
    <w:rsid w:val="00B74C94"/>
    <w:rsid w:val="00B74D71"/>
    <w:rsid w:val="00B74F22"/>
    <w:rsid w:val="00B74F4F"/>
    <w:rsid w:val="00B74FCB"/>
    <w:rsid w:val="00B74FE0"/>
    <w:rsid w:val="00B74FEE"/>
    <w:rsid w:val="00B75000"/>
    <w:rsid w:val="00B75002"/>
    <w:rsid w:val="00B7504E"/>
    <w:rsid w:val="00B751E2"/>
    <w:rsid w:val="00B751E4"/>
    <w:rsid w:val="00B752A1"/>
    <w:rsid w:val="00B7536C"/>
    <w:rsid w:val="00B754A2"/>
    <w:rsid w:val="00B75523"/>
    <w:rsid w:val="00B756D0"/>
    <w:rsid w:val="00B7578D"/>
    <w:rsid w:val="00B757AE"/>
    <w:rsid w:val="00B757E3"/>
    <w:rsid w:val="00B75820"/>
    <w:rsid w:val="00B75826"/>
    <w:rsid w:val="00B75875"/>
    <w:rsid w:val="00B759AC"/>
    <w:rsid w:val="00B75A1B"/>
    <w:rsid w:val="00B75B69"/>
    <w:rsid w:val="00B75C6D"/>
    <w:rsid w:val="00B75C9C"/>
    <w:rsid w:val="00B75CBC"/>
    <w:rsid w:val="00B75CD2"/>
    <w:rsid w:val="00B75D45"/>
    <w:rsid w:val="00B75D61"/>
    <w:rsid w:val="00B75DE2"/>
    <w:rsid w:val="00B75E92"/>
    <w:rsid w:val="00B75EA1"/>
    <w:rsid w:val="00B75EC4"/>
    <w:rsid w:val="00B75F18"/>
    <w:rsid w:val="00B75F77"/>
    <w:rsid w:val="00B7602C"/>
    <w:rsid w:val="00B7607F"/>
    <w:rsid w:val="00B7611F"/>
    <w:rsid w:val="00B76166"/>
    <w:rsid w:val="00B7619A"/>
    <w:rsid w:val="00B761C9"/>
    <w:rsid w:val="00B761FC"/>
    <w:rsid w:val="00B762AB"/>
    <w:rsid w:val="00B7637F"/>
    <w:rsid w:val="00B7638C"/>
    <w:rsid w:val="00B76406"/>
    <w:rsid w:val="00B7662A"/>
    <w:rsid w:val="00B76644"/>
    <w:rsid w:val="00B76677"/>
    <w:rsid w:val="00B766D5"/>
    <w:rsid w:val="00B76836"/>
    <w:rsid w:val="00B76998"/>
    <w:rsid w:val="00B76A37"/>
    <w:rsid w:val="00B76B79"/>
    <w:rsid w:val="00B76C49"/>
    <w:rsid w:val="00B76CC8"/>
    <w:rsid w:val="00B76D4E"/>
    <w:rsid w:val="00B76E08"/>
    <w:rsid w:val="00B76E14"/>
    <w:rsid w:val="00B76E51"/>
    <w:rsid w:val="00B76EB3"/>
    <w:rsid w:val="00B76EC3"/>
    <w:rsid w:val="00B76EE2"/>
    <w:rsid w:val="00B76EF4"/>
    <w:rsid w:val="00B76F90"/>
    <w:rsid w:val="00B76F94"/>
    <w:rsid w:val="00B76FB5"/>
    <w:rsid w:val="00B770F6"/>
    <w:rsid w:val="00B77155"/>
    <w:rsid w:val="00B7718F"/>
    <w:rsid w:val="00B77190"/>
    <w:rsid w:val="00B77208"/>
    <w:rsid w:val="00B773BF"/>
    <w:rsid w:val="00B774C9"/>
    <w:rsid w:val="00B774DB"/>
    <w:rsid w:val="00B77758"/>
    <w:rsid w:val="00B777E1"/>
    <w:rsid w:val="00B77843"/>
    <w:rsid w:val="00B77896"/>
    <w:rsid w:val="00B778A3"/>
    <w:rsid w:val="00B77B45"/>
    <w:rsid w:val="00B77BD9"/>
    <w:rsid w:val="00B77D90"/>
    <w:rsid w:val="00B77DE1"/>
    <w:rsid w:val="00B77E50"/>
    <w:rsid w:val="00B77E5A"/>
    <w:rsid w:val="00B77EB1"/>
    <w:rsid w:val="00B77EE4"/>
    <w:rsid w:val="00B77FBD"/>
    <w:rsid w:val="00B80091"/>
    <w:rsid w:val="00B80209"/>
    <w:rsid w:val="00B802F1"/>
    <w:rsid w:val="00B80311"/>
    <w:rsid w:val="00B803A9"/>
    <w:rsid w:val="00B80447"/>
    <w:rsid w:val="00B8048B"/>
    <w:rsid w:val="00B80492"/>
    <w:rsid w:val="00B805C1"/>
    <w:rsid w:val="00B80642"/>
    <w:rsid w:val="00B80645"/>
    <w:rsid w:val="00B80698"/>
    <w:rsid w:val="00B80764"/>
    <w:rsid w:val="00B807CD"/>
    <w:rsid w:val="00B8080B"/>
    <w:rsid w:val="00B8086E"/>
    <w:rsid w:val="00B80969"/>
    <w:rsid w:val="00B809D1"/>
    <w:rsid w:val="00B80A4A"/>
    <w:rsid w:val="00B80A66"/>
    <w:rsid w:val="00B80B05"/>
    <w:rsid w:val="00B80B79"/>
    <w:rsid w:val="00B80BBD"/>
    <w:rsid w:val="00B80CB7"/>
    <w:rsid w:val="00B80D05"/>
    <w:rsid w:val="00B80D9E"/>
    <w:rsid w:val="00B80DE7"/>
    <w:rsid w:val="00B80F16"/>
    <w:rsid w:val="00B80FD1"/>
    <w:rsid w:val="00B810B2"/>
    <w:rsid w:val="00B8122A"/>
    <w:rsid w:val="00B81268"/>
    <w:rsid w:val="00B81365"/>
    <w:rsid w:val="00B813D4"/>
    <w:rsid w:val="00B81460"/>
    <w:rsid w:val="00B8146C"/>
    <w:rsid w:val="00B814BC"/>
    <w:rsid w:val="00B8159C"/>
    <w:rsid w:val="00B816A5"/>
    <w:rsid w:val="00B8187E"/>
    <w:rsid w:val="00B818EC"/>
    <w:rsid w:val="00B81A62"/>
    <w:rsid w:val="00B81A9C"/>
    <w:rsid w:val="00B81B13"/>
    <w:rsid w:val="00B81C56"/>
    <w:rsid w:val="00B81C95"/>
    <w:rsid w:val="00B81DDE"/>
    <w:rsid w:val="00B81EAE"/>
    <w:rsid w:val="00B81EC9"/>
    <w:rsid w:val="00B81F09"/>
    <w:rsid w:val="00B81FD4"/>
    <w:rsid w:val="00B8212B"/>
    <w:rsid w:val="00B82175"/>
    <w:rsid w:val="00B8220C"/>
    <w:rsid w:val="00B8222A"/>
    <w:rsid w:val="00B82310"/>
    <w:rsid w:val="00B82330"/>
    <w:rsid w:val="00B8268B"/>
    <w:rsid w:val="00B8271C"/>
    <w:rsid w:val="00B8274C"/>
    <w:rsid w:val="00B82785"/>
    <w:rsid w:val="00B828C2"/>
    <w:rsid w:val="00B82B15"/>
    <w:rsid w:val="00B82BAF"/>
    <w:rsid w:val="00B82D08"/>
    <w:rsid w:val="00B82EF6"/>
    <w:rsid w:val="00B82F0B"/>
    <w:rsid w:val="00B82F8C"/>
    <w:rsid w:val="00B82FBC"/>
    <w:rsid w:val="00B83050"/>
    <w:rsid w:val="00B8309D"/>
    <w:rsid w:val="00B830A8"/>
    <w:rsid w:val="00B830F2"/>
    <w:rsid w:val="00B8310B"/>
    <w:rsid w:val="00B831E8"/>
    <w:rsid w:val="00B831EF"/>
    <w:rsid w:val="00B83228"/>
    <w:rsid w:val="00B8324B"/>
    <w:rsid w:val="00B834F9"/>
    <w:rsid w:val="00B83696"/>
    <w:rsid w:val="00B83744"/>
    <w:rsid w:val="00B8375A"/>
    <w:rsid w:val="00B837A8"/>
    <w:rsid w:val="00B83837"/>
    <w:rsid w:val="00B838E8"/>
    <w:rsid w:val="00B83932"/>
    <w:rsid w:val="00B83950"/>
    <w:rsid w:val="00B839C1"/>
    <w:rsid w:val="00B83A2A"/>
    <w:rsid w:val="00B83B8C"/>
    <w:rsid w:val="00B83BC0"/>
    <w:rsid w:val="00B83BFB"/>
    <w:rsid w:val="00B83C6A"/>
    <w:rsid w:val="00B83D70"/>
    <w:rsid w:val="00B83D8B"/>
    <w:rsid w:val="00B83DC7"/>
    <w:rsid w:val="00B83E1D"/>
    <w:rsid w:val="00B83F69"/>
    <w:rsid w:val="00B83F6F"/>
    <w:rsid w:val="00B83F8D"/>
    <w:rsid w:val="00B840EB"/>
    <w:rsid w:val="00B840ED"/>
    <w:rsid w:val="00B84129"/>
    <w:rsid w:val="00B841E7"/>
    <w:rsid w:val="00B84240"/>
    <w:rsid w:val="00B84372"/>
    <w:rsid w:val="00B84398"/>
    <w:rsid w:val="00B84462"/>
    <w:rsid w:val="00B84572"/>
    <w:rsid w:val="00B8465D"/>
    <w:rsid w:val="00B84661"/>
    <w:rsid w:val="00B84760"/>
    <w:rsid w:val="00B847DD"/>
    <w:rsid w:val="00B847F2"/>
    <w:rsid w:val="00B84BC6"/>
    <w:rsid w:val="00B84C3B"/>
    <w:rsid w:val="00B84CDD"/>
    <w:rsid w:val="00B84DD9"/>
    <w:rsid w:val="00B84E29"/>
    <w:rsid w:val="00B84EF0"/>
    <w:rsid w:val="00B84F73"/>
    <w:rsid w:val="00B85093"/>
    <w:rsid w:val="00B85095"/>
    <w:rsid w:val="00B85183"/>
    <w:rsid w:val="00B851A4"/>
    <w:rsid w:val="00B85200"/>
    <w:rsid w:val="00B85260"/>
    <w:rsid w:val="00B852F7"/>
    <w:rsid w:val="00B85402"/>
    <w:rsid w:val="00B8543F"/>
    <w:rsid w:val="00B854E0"/>
    <w:rsid w:val="00B855E8"/>
    <w:rsid w:val="00B85668"/>
    <w:rsid w:val="00B8590C"/>
    <w:rsid w:val="00B85958"/>
    <w:rsid w:val="00B8597F"/>
    <w:rsid w:val="00B85AC7"/>
    <w:rsid w:val="00B85C4B"/>
    <w:rsid w:val="00B85CBE"/>
    <w:rsid w:val="00B85D1F"/>
    <w:rsid w:val="00B85D72"/>
    <w:rsid w:val="00B85DD2"/>
    <w:rsid w:val="00B85E0E"/>
    <w:rsid w:val="00B85F8C"/>
    <w:rsid w:val="00B8605D"/>
    <w:rsid w:val="00B86068"/>
    <w:rsid w:val="00B861A7"/>
    <w:rsid w:val="00B86363"/>
    <w:rsid w:val="00B86425"/>
    <w:rsid w:val="00B865AA"/>
    <w:rsid w:val="00B8667F"/>
    <w:rsid w:val="00B866A9"/>
    <w:rsid w:val="00B8673C"/>
    <w:rsid w:val="00B8673F"/>
    <w:rsid w:val="00B869A2"/>
    <w:rsid w:val="00B869FE"/>
    <w:rsid w:val="00B86ACC"/>
    <w:rsid w:val="00B86BA9"/>
    <w:rsid w:val="00B86DCC"/>
    <w:rsid w:val="00B86DD5"/>
    <w:rsid w:val="00B86E6C"/>
    <w:rsid w:val="00B87195"/>
    <w:rsid w:val="00B871D8"/>
    <w:rsid w:val="00B87215"/>
    <w:rsid w:val="00B872B8"/>
    <w:rsid w:val="00B87559"/>
    <w:rsid w:val="00B87611"/>
    <w:rsid w:val="00B8761E"/>
    <w:rsid w:val="00B877FA"/>
    <w:rsid w:val="00B87803"/>
    <w:rsid w:val="00B87805"/>
    <w:rsid w:val="00B87831"/>
    <w:rsid w:val="00B87877"/>
    <w:rsid w:val="00B878FD"/>
    <w:rsid w:val="00B8791B"/>
    <w:rsid w:val="00B87929"/>
    <w:rsid w:val="00B87988"/>
    <w:rsid w:val="00B87A4C"/>
    <w:rsid w:val="00B87BAB"/>
    <w:rsid w:val="00B87C28"/>
    <w:rsid w:val="00B87C9C"/>
    <w:rsid w:val="00B87DB3"/>
    <w:rsid w:val="00B87E16"/>
    <w:rsid w:val="00B87FA4"/>
    <w:rsid w:val="00B90025"/>
    <w:rsid w:val="00B900BE"/>
    <w:rsid w:val="00B900EB"/>
    <w:rsid w:val="00B9013B"/>
    <w:rsid w:val="00B90197"/>
    <w:rsid w:val="00B90259"/>
    <w:rsid w:val="00B90264"/>
    <w:rsid w:val="00B90304"/>
    <w:rsid w:val="00B9039C"/>
    <w:rsid w:val="00B90470"/>
    <w:rsid w:val="00B90471"/>
    <w:rsid w:val="00B90516"/>
    <w:rsid w:val="00B9054F"/>
    <w:rsid w:val="00B905E5"/>
    <w:rsid w:val="00B90613"/>
    <w:rsid w:val="00B90749"/>
    <w:rsid w:val="00B9086A"/>
    <w:rsid w:val="00B90919"/>
    <w:rsid w:val="00B909C3"/>
    <w:rsid w:val="00B909F5"/>
    <w:rsid w:val="00B90A42"/>
    <w:rsid w:val="00B90B39"/>
    <w:rsid w:val="00B90B91"/>
    <w:rsid w:val="00B90BB8"/>
    <w:rsid w:val="00B90E46"/>
    <w:rsid w:val="00B90E84"/>
    <w:rsid w:val="00B90FCA"/>
    <w:rsid w:val="00B91010"/>
    <w:rsid w:val="00B91182"/>
    <w:rsid w:val="00B911A6"/>
    <w:rsid w:val="00B91210"/>
    <w:rsid w:val="00B91211"/>
    <w:rsid w:val="00B91262"/>
    <w:rsid w:val="00B9134D"/>
    <w:rsid w:val="00B91459"/>
    <w:rsid w:val="00B914A6"/>
    <w:rsid w:val="00B91515"/>
    <w:rsid w:val="00B91595"/>
    <w:rsid w:val="00B916C3"/>
    <w:rsid w:val="00B916FA"/>
    <w:rsid w:val="00B91702"/>
    <w:rsid w:val="00B9172C"/>
    <w:rsid w:val="00B917B9"/>
    <w:rsid w:val="00B917D7"/>
    <w:rsid w:val="00B91814"/>
    <w:rsid w:val="00B9192D"/>
    <w:rsid w:val="00B919F4"/>
    <w:rsid w:val="00B91A24"/>
    <w:rsid w:val="00B91A71"/>
    <w:rsid w:val="00B91C2B"/>
    <w:rsid w:val="00B91C40"/>
    <w:rsid w:val="00B91C98"/>
    <w:rsid w:val="00B91E4C"/>
    <w:rsid w:val="00B91E5F"/>
    <w:rsid w:val="00B91E60"/>
    <w:rsid w:val="00B91FCB"/>
    <w:rsid w:val="00B92035"/>
    <w:rsid w:val="00B920BD"/>
    <w:rsid w:val="00B9213C"/>
    <w:rsid w:val="00B92253"/>
    <w:rsid w:val="00B922DE"/>
    <w:rsid w:val="00B92313"/>
    <w:rsid w:val="00B9239A"/>
    <w:rsid w:val="00B924A0"/>
    <w:rsid w:val="00B925A9"/>
    <w:rsid w:val="00B925B1"/>
    <w:rsid w:val="00B925CB"/>
    <w:rsid w:val="00B925CC"/>
    <w:rsid w:val="00B9270A"/>
    <w:rsid w:val="00B9275D"/>
    <w:rsid w:val="00B92765"/>
    <w:rsid w:val="00B928EE"/>
    <w:rsid w:val="00B928F0"/>
    <w:rsid w:val="00B92918"/>
    <w:rsid w:val="00B92B6D"/>
    <w:rsid w:val="00B92BDE"/>
    <w:rsid w:val="00B92BF3"/>
    <w:rsid w:val="00B92C6B"/>
    <w:rsid w:val="00B92D17"/>
    <w:rsid w:val="00B92D31"/>
    <w:rsid w:val="00B92E5B"/>
    <w:rsid w:val="00B92F48"/>
    <w:rsid w:val="00B92F5B"/>
    <w:rsid w:val="00B92F7B"/>
    <w:rsid w:val="00B92FC2"/>
    <w:rsid w:val="00B9303D"/>
    <w:rsid w:val="00B9310D"/>
    <w:rsid w:val="00B93135"/>
    <w:rsid w:val="00B9318A"/>
    <w:rsid w:val="00B9318B"/>
    <w:rsid w:val="00B931F2"/>
    <w:rsid w:val="00B932C0"/>
    <w:rsid w:val="00B932C7"/>
    <w:rsid w:val="00B93481"/>
    <w:rsid w:val="00B934F6"/>
    <w:rsid w:val="00B9361B"/>
    <w:rsid w:val="00B93748"/>
    <w:rsid w:val="00B9374E"/>
    <w:rsid w:val="00B93765"/>
    <w:rsid w:val="00B938A8"/>
    <w:rsid w:val="00B93924"/>
    <w:rsid w:val="00B93976"/>
    <w:rsid w:val="00B939AA"/>
    <w:rsid w:val="00B93A7A"/>
    <w:rsid w:val="00B93B31"/>
    <w:rsid w:val="00B93B5E"/>
    <w:rsid w:val="00B93C8A"/>
    <w:rsid w:val="00B93F55"/>
    <w:rsid w:val="00B93FDE"/>
    <w:rsid w:val="00B94021"/>
    <w:rsid w:val="00B940E3"/>
    <w:rsid w:val="00B94185"/>
    <w:rsid w:val="00B941C1"/>
    <w:rsid w:val="00B94212"/>
    <w:rsid w:val="00B9433F"/>
    <w:rsid w:val="00B9434D"/>
    <w:rsid w:val="00B94352"/>
    <w:rsid w:val="00B943A7"/>
    <w:rsid w:val="00B943D9"/>
    <w:rsid w:val="00B9457A"/>
    <w:rsid w:val="00B9458C"/>
    <w:rsid w:val="00B94603"/>
    <w:rsid w:val="00B94654"/>
    <w:rsid w:val="00B9466A"/>
    <w:rsid w:val="00B9467A"/>
    <w:rsid w:val="00B946AF"/>
    <w:rsid w:val="00B946E3"/>
    <w:rsid w:val="00B94755"/>
    <w:rsid w:val="00B9484F"/>
    <w:rsid w:val="00B94992"/>
    <w:rsid w:val="00B94A03"/>
    <w:rsid w:val="00B94ACD"/>
    <w:rsid w:val="00B94AEC"/>
    <w:rsid w:val="00B94B84"/>
    <w:rsid w:val="00B94BFA"/>
    <w:rsid w:val="00B94CA2"/>
    <w:rsid w:val="00B94D59"/>
    <w:rsid w:val="00B94D62"/>
    <w:rsid w:val="00B94E4B"/>
    <w:rsid w:val="00B94E95"/>
    <w:rsid w:val="00B94F66"/>
    <w:rsid w:val="00B94FD2"/>
    <w:rsid w:val="00B94FE6"/>
    <w:rsid w:val="00B94FEE"/>
    <w:rsid w:val="00B9500A"/>
    <w:rsid w:val="00B950D2"/>
    <w:rsid w:val="00B9510C"/>
    <w:rsid w:val="00B95234"/>
    <w:rsid w:val="00B95268"/>
    <w:rsid w:val="00B95276"/>
    <w:rsid w:val="00B95321"/>
    <w:rsid w:val="00B95403"/>
    <w:rsid w:val="00B9572C"/>
    <w:rsid w:val="00B958AD"/>
    <w:rsid w:val="00B958BD"/>
    <w:rsid w:val="00B958E4"/>
    <w:rsid w:val="00B95C14"/>
    <w:rsid w:val="00B95D0D"/>
    <w:rsid w:val="00B95E3F"/>
    <w:rsid w:val="00B95F29"/>
    <w:rsid w:val="00B95FD4"/>
    <w:rsid w:val="00B95FE3"/>
    <w:rsid w:val="00B96019"/>
    <w:rsid w:val="00B9606F"/>
    <w:rsid w:val="00B96101"/>
    <w:rsid w:val="00B961C2"/>
    <w:rsid w:val="00B961EC"/>
    <w:rsid w:val="00B96277"/>
    <w:rsid w:val="00B96356"/>
    <w:rsid w:val="00B965BC"/>
    <w:rsid w:val="00B965F1"/>
    <w:rsid w:val="00B9668F"/>
    <w:rsid w:val="00B96AB2"/>
    <w:rsid w:val="00B96B7F"/>
    <w:rsid w:val="00B96C72"/>
    <w:rsid w:val="00B96D3F"/>
    <w:rsid w:val="00B96E03"/>
    <w:rsid w:val="00B96E1F"/>
    <w:rsid w:val="00B96E40"/>
    <w:rsid w:val="00B96E9D"/>
    <w:rsid w:val="00B96EAB"/>
    <w:rsid w:val="00B96F9E"/>
    <w:rsid w:val="00B96FD9"/>
    <w:rsid w:val="00B96FDE"/>
    <w:rsid w:val="00B971C3"/>
    <w:rsid w:val="00B9725E"/>
    <w:rsid w:val="00B9727C"/>
    <w:rsid w:val="00B9730E"/>
    <w:rsid w:val="00B97378"/>
    <w:rsid w:val="00B973A6"/>
    <w:rsid w:val="00B974DA"/>
    <w:rsid w:val="00B97579"/>
    <w:rsid w:val="00B9757A"/>
    <w:rsid w:val="00B975DA"/>
    <w:rsid w:val="00B976ED"/>
    <w:rsid w:val="00B97811"/>
    <w:rsid w:val="00B978FB"/>
    <w:rsid w:val="00B97936"/>
    <w:rsid w:val="00B97B40"/>
    <w:rsid w:val="00B97B67"/>
    <w:rsid w:val="00B97D45"/>
    <w:rsid w:val="00B97EA0"/>
    <w:rsid w:val="00B97EDC"/>
    <w:rsid w:val="00BA0015"/>
    <w:rsid w:val="00BA0061"/>
    <w:rsid w:val="00BA008D"/>
    <w:rsid w:val="00BA01D4"/>
    <w:rsid w:val="00BA020F"/>
    <w:rsid w:val="00BA02BA"/>
    <w:rsid w:val="00BA02DE"/>
    <w:rsid w:val="00BA0336"/>
    <w:rsid w:val="00BA033E"/>
    <w:rsid w:val="00BA056E"/>
    <w:rsid w:val="00BA0676"/>
    <w:rsid w:val="00BA071C"/>
    <w:rsid w:val="00BA096F"/>
    <w:rsid w:val="00BA0992"/>
    <w:rsid w:val="00BA0B04"/>
    <w:rsid w:val="00BA0B87"/>
    <w:rsid w:val="00BA0C3B"/>
    <w:rsid w:val="00BA0E25"/>
    <w:rsid w:val="00BA0E30"/>
    <w:rsid w:val="00BA0E63"/>
    <w:rsid w:val="00BA0EC8"/>
    <w:rsid w:val="00BA0F99"/>
    <w:rsid w:val="00BA0FA2"/>
    <w:rsid w:val="00BA0FAA"/>
    <w:rsid w:val="00BA1030"/>
    <w:rsid w:val="00BA1035"/>
    <w:rsid w:val="00BA1038"/>
    <w:rsid w:val="00BA114C"/>
    <w:rsid w:val="00BA121D"/>
    <w:rsid w:val="00BA1273"/>
    <w:rsid w:val="00BA12D7"/>
    <w:rsid w:val="00BA144C"/>
    <w:rsid w:val="00BA1476"/>
    <w:rsid w:val="00BA1494"/>
    <w:rsid w:val="00BA14A6"/>
    <w:rsid w:val="00BA1527"/>
    <w:rsid w:val="00BA15F5"/>
    <w:rsid w:val="00BA1687"/>
    <w:rsid w:val="00BA16AA"/>
    <w:rsid w:val="00BA1761"/>
    <w:rsid w:val="00BA1769"/>
    <w:rsid w:val="00BA1783"/>
    <w:rsid w:val="00BA1864"/>
    <w:rsid w:val="00BA189C"/>
    <w:rsid w:val="00BA192F"/>
    <w:rsid w:val="00BA1A35"/>
    <w:rsid w:val="00BA1A3F"/>
    <w:rsid w:val="00BA1A46"/>
    <w:rsid w:val="00BA1AE5"/>
    <w:rsid w:val="00BA1B78"/>
    <w:rsid w:val="00BA1C2E"/>
    <w:rsid w:val="00BA1D22"/>
    <w:rsid w:val="00BA1D45"/>
    <w:rsid w:val="00BA1DCC"/>
    <w:rsid w:val="00BA1DE6"/>
    <w:rsid w:val="00BA1DED"/>
    <w:rsid w:val="00BA1E0A"/>
    <w:rsid w:val="00BA1F35"/>
    <w:rsid w:val="00BA1F45"/>
    <w:rsid w:val="00BA20B1"/>
    <w:rsid w:val="00BA21DC"/>
    <w:rsid w:val="00BA21FC"/>
    <w:rsid w:val="00BA2236"/>
    <w:rsid w:val="00BA22A8"/>
    <w:rsid w:val="00BA23A8"/>
    <w:rsid w:val="00BA2569"/>
    <w:rsid w:val="00BA27E6"/>
    <w:rsid w:val="00BA2862"/>
    <w:rsid w:val="00BA28EE"/>
    <w:rsid w:val="00BA29A2"/>
    <w:rsid w:val="00BA29D6"/>
    <w:rsid w:val="00BA2A1A"/>
    <w:rsid w:val="00BA2A6D"/>
    <w:rsid w:val="00BA2A88"/>
    <w:rsid w:val="00BA2B5D"/>
    <w:rsid w:val="00BA2C8A"/>
    <w:rsid w:val="00BA2EEB"/>
    <w:rsid w:val="00BA2F14"/>
    <w:rsid w:val="00BA2F73"/>
    <w:rsid w:val="00BA30F1"/>
    <w:rsid w:val="00BA30F4"/>
    <w:rsid w:val="00BA31EA"/>
    <w:rsid w:val="00BA3207"/>
    <w:rsid w:val="00BA3225"/>
    <w:rsid w:val="00BA3333"/>
    <w:rsid w:val="00BA3375"/>
    <w:rsid w:val="00BA33AD"/>
    <w:rsid w:val="00BA3415"/>
    <w:rsid w:val="00BA3709"/>
    <w:rsid w:val="00BA37BD"/>
    <w:rsid w:val="00BA38A4"/>
    <w:rsid w:val="00BA38A6"/>
    <w:rsid w:val="00BA3976"/>
    <w:rsid w:val="00BA3A0F"/>
    <w:rsid w:val="00BA3A5D"/>
    <w:rsid w:val="00BA3C1D"/>
    <w:rsid w:val="00BA3C78"/>
    <w:rsid w:val="00BA3CAC"/>
    <w:rsid w:val="00BA3DD8"/>
    <w:rsid w:val="00BA3FDD"/>
    <w:rsid w:val="00BA40E4"/>
    <w:rsid w:val="00BA4190"/>
    <w:rsid w:val="00BA41FC"/>
    <w:rsid w:val="00BA4375"/>
    <w:rsid w:val="00BA4392"/>
    <w:rsid w:val="00BA4495"/>
    <w:rsid w:val="00BA44E3"/>
    <w:rsid w:val="00BA4504"/>
    <w:rsid w:val="00BA466B"/>
    <w:rsid w:val="00BA477B"/>
    <w:rsid w:val="00BA47BD"/>
    <w:rsid w:val="00BA47ED"/>
    <w:rsid w:val="00BA484C"/>
    <w:rsid w:val="00BA492D"/>
    <w:rsid w:val="00BA496A"/>
    <w:rsid w:val="00BA496F"/>
    <w:rsid w:val="00BA49FF"/>
    <w:rsid w:val="00BA4AFD"/>
    <w:rsid w:val="00BA4B1E"/>
    <w:rsid w:val="00BA4CBF"/>
    <w:rsid w:val="00BA4DB2"/>
    <w:rsid w:val="00BA4DC7"/>
    <w:rsid w:val="00BA4E0D"/>
    <w:rsid w:val="00BA4EBD"/>
    <w:rsid w:val="00BA4F3F"/>
    <w:rsid w:val="00BA4F71"/>
    <w:rsid w:val="00BA4F74"/>
    <w:rsid w:val="00BA503D"/>
    <w:rsid w:val="00BA516E"/>
    <w:rsid w:val="00BA5245"/>
    <w:rsid w:val="00BA5290"/>
    <w:rsid w:val="00BA52AB"/>
    <w:rsid w:val="00BA52CF"/>
    <w:rsid w:val="00BA52D9"/>
    <w:rsid w:val="00BA537E"/>
    <w:rsid w:val="00BA54A9"/>
    <w:rsid w:val="00BA54B9"/>
    <w:rsid w:val="00BA55EB"/>
    <w:rsid w:val="00BA565B"/>
    <w:rsid w:val="00BA5664"/>
    <w:rsid w:val="00BA57CA"/>
    <w:rsid w:val="00BA58F1"/>
    <w:rsid w:val="00BA5AA5"/>
    <w:rsid w:val="00BA5AE0"/>
    <w:rsid w:val="00BA5B6F"/>
    <w:rsid w:val="00BA5C38"/>
    <w:rsid w:val="00BA5C5C"/>
    <w:rsid w:val="00BA5D2C"/>
    <w:rsid w:val="00BA5D2E"/>
    <w:rsid w:val="00BA5EAD"/>
    <w:rsid w:val="00BA5F9F"/>
    <w:rsid w:val="00BA605C"/>
    <w:rsid w:val="00BA60AA"/>
    <w:rsid w:val="00BA60E2"/>
    <w:rsid w:val="00BA615F"/>
    <w:rsid w:val="00BA61C8"/>
    <w:rsid w:val="00BA61DD"/>
    <w:rsid w:val="00BA62D0"/>
    <w:rsid w:val="00BA62DD"/>
    <w:rsid w:val="00BA63B4"/>
    <w:rsid w:val="00BA6626"/>
    <w:rsid w:val="00BA662B"/>
    <w:rsid w:val="00BA6634"/>
    <w:rsid w:val="00BA6702"/>
    <w:rsid w:val="00BA690D"/>
    <w:rsid w:val="00BA69A9"/>
    <w:rsid w:val="00BA6AFE"/>
    <w:rsid w:val="00BA6BB6"/>
    <w:rsid w:val="00BA6BE2"/>
    <w:rsid w:val="00BA6CD6"/>
    <w:rsid w:val="00BA6DD4"/>
    <w:rsid w:val="00BA6E52"/>
    <w:rsid w:val="00BA6F0B"/>
    <w:rsid w:val="00BA6F79"/>
    <w:rsid w:val="00BA708F"/>
    <w:rsid w:val="00BA70E8"/>
    <w:rsid w:val="00BA71AC"/>
    <w:rsid w:val="00BA73AB"/>
    <w:rsid w:val="00BA73FA"/>
    <w:rsid w:val="00BA74E7"/>
    <w:rsid w:val="00BA7587"/>
    <w:rsid w:val="00BA75EF"/>
    <w:rsid w:val="00BA7615"/>
    <w:rsid w:val="00BA762D"/>
    <w:rsid w:val="00BA7698"/>
    <w:rsid w:val="00BA7762"/>
    <w:rsid w:val="00BA77A6"/>
    <w:rsid w:val="00BA77AA"/>
    <w:rsid w:val="00BA7A40"/>
    <w:rsid w:val="00BA7C4C"/>
    <w:rsid w:val="00BA7D42"/>
    <w:rsid w:val="00BA7D73"/>
    <w:rsid w:val="00BA7D77"/>
    <w:rsid w:val="00BA7D80"/>
    <w:rsid w:val="00BA7DC3"/>
    <w:rsid w:val="00BA7DC6"/>
    <w:rsid w:val="00BA7EF8"/>
    <w:rsid w:val="00BA7F3C"/>
    <w:rsid w:val="00BB005C"/>
    <w:rsid w:val="00BB013E"/>
    <w:rsid w:val="00BB01FF"/>
    <w:rsid w:val="00BB0280"/>
    <w:rsid w:val="00BB0286"/>
    <w:rsid w:val="00BB02B8"/>
    <w:rsid w:val="00BB02DA"/>
    <w:rsid w:val="00BB032C"/>
    <w:rsid w:val="00BB03B4"/>
    <w:rsid w:val="00BB03B9"/>
    <w:rsid w:val="00BB03D0"/>
    <w:rsid w:val="00BB03E6"/>
    <w:rsid w:val="00BB03EF"/>
    <w:rsid w:val="00BB0415"/>
    <w:rsid w:val="00BB0422"/>
    <w:rsid w:val="00BB05B7"/>
    <w:rsid w:val="00BB0735"/>
    <w:rsid w:val="00BB07A2"/>
    <w:rsid w:val="00BB07B6"/>
    <w:rsid w:val="00BB0851"/>
    <w:rsid w:val="00BB0892"/>
    <w:rsid w:val="00BB0893"/>
    <w:rsid w:val="00BB08E4"/>
    <w:rsid w:val="00BB0AA0"/>
    <w:rsid w:val="00BB0AED"/>
    <w:rsid w:val="00BB0C4E"/>
    <w:rsid w:val="00BB0D1A"/>
    <w:rsid w:val="00BB0D92"/>
    <w:rsid w:val="00BB0F04"/>
    <w:rsid w:val="00BB0F1B"/>
    <w:rsid w:val="00BB0F36"/>
    <w:rsid w:val="00BB10C5"/>
    <w:rsid w:val="00BB11C5"/>
    <w:rsid w:val="00BB126A"/>
    <w:rsid w:val="00BB12A5"/>
    <w:rsid w:val="00BB130D"/>
    <w:rsid w:val="00BB1358"/>
    <w:rsid w:val="00BB14B7"/>
    <w:rsid w:val="00BB1706"/>
    <w:rsid w:val="00BB17E5"/>
    <w:rsid w:val="00BB1854"/>
    <w:rsid w:val="00BB18D7"/>
    <w:rsid w:val="00BB196B"/>
    <w:rsid w:val="00BB1A3D"/>
    <w:rsid w:val="00BB1AAC"/>
    <w:rsid w:val="00BB1B15"/>
    <w:rsid w:val="00BB1B9F"/>
    <w:rsid w:val="00BB1C1A"/>
    <w:rsid w:val="00BB1C6F"/>
    <w:rsid w:val="00BB1CB4"/>
    <w:rsid w:val="00BB1CEF"/>
    <w:rsid w:val="00BB1D60"/>
    <w:rsid w:val="00BB1F08"/>
    <w:rsid w:val="00BB1F74"/>
    <w:rsid w:val="00BB1F82"/>
    <w:rsid w:val="00BB2003"/>
    <w:rsid w:val="00BB2192"/>
    <w:rsid w:val="00BB22E6"/>
    <w:rsid w:val="00BB2302"/>
    <w:rsid w:val="00BB23AA"/>
    <w:rsid w:val="00BB23F0"/>
    <w:rsid w:val="00BB2533"/>
    <w:rsid w:val="00BB2665"/>
    <w:rsid w:val="00BB26CB"/>
    <w:rsid w:val="00BB26FD"/>
    <w:rsid w:val="00BB2728"/>
    <w:rsid w:val="00BB2780"/>
    <w:rsid w:val="00BB27C3"/>
    <w:rsid w:val="00BB27C7"/>
    <w:rsid w:val="00BB28E7"/>
    <w:rsid w:val="00BB2905"/>
    <w:rsid w:val="00BB2A3A"/>
    <w:rsid w:val="00BB2CA7"/>
    <w:rsid w:val="00BB2D9F"/>
    <w:rsid w:val="00BB2DC1"/>
    <w:rsid w:val="00BB2F99"/>
    <w:rsid w:val="00BB2F9D"/>
    <w:rsid w:val="00BB3017"/>
    <w:rsid w:val="00BB3025"/>
    <w:rsid w:val="00BB3034"/>
    <w:rsid w:val="00BB3049"/>
    <w:rsid w:val="00BB324A"/>
    <w:rsid w:val="00BB3460"/>
    <w:rsid w:val="00BB361C"/>
    <w:rsid w:val="00BB379B"/>
    <w:rsid w:val="00BB3904"/>
    <w:rsid w:val="00BB3944"/>
    <w:rsid w:val="00BB3ABC"/>
    <w:rsid w:val="00BB3AC5"/>
    <w:rsid w:val="00BB3B0C"/>
    <w:rsid w:val="00BB3B1A"/>
    <w:rsid w:val="00BB3B23"/>
    <w:rsid w:val="00BB3BB0"/>
    <w:rsid w:val="00BB3BBA"/>
    <w:rsid w:val="00BB3BFE"/>
    <w:rsid w:val="00BB3C05"/>
    <w:rsid w:val="00BB3C87"/>
    <w:rsid w:val="00BB3DA8"/>
    <w:rsid w:val="00BB3E2E"/>
    <w:rsid w:val="00BB3E71"/>
    <w:rsid w:val="00BB3EC3"/>
    <w:rsid w:val="00BB3FB8"/>
    <w:rsid w:val="00BB3FFD"/>
    <w:rsid w:val="00BB4012"/>
    <w:rsid w:val="00BB4037"/>
    <w:rsid w:val="00BB4095"/>
    <w:rsid w:val="00BB4156"/>
    <w:rsid w:val="00BB41AB"/>
    <w:rsid w:val="00BB41F9"/>
    <w:rsid w:val="00BB4218"/>
    <w:rsid w:val="00BB42C7"/>
    <w:rsid w:val="00BB439D"/>
    <w:rsid w:val="00BB43AC"/>
    <w:rsid w:val="00BB4428"/>
    <w:rsid w:val="00BB4443"/>
    <w:rsid w:val="00BB44D0"/>
    <w:rsid w:val="00BB45A5"/>
    <w:rsid w:val="00BB4635"/>
    <w:rsid w:val="00BB4644"/>
    <w:rsid w:val="00BB467B"/>
    <w:rsid w:val="00BB4850"/>
    <w:rsid w:val="00BB487E"/>
    <w:rsid w:val="00BB4923"/>
    <w:rsid w:val="00BB493F"/>
    <w:rsid w:val="00BB4970"/>
    <w:rsid w:val="00BB497F"/>
    <w:rsid w:val="00BB4BDC"/>
    <w:rsid w:val="00BB4C21"/>
    <w:rsid w:val="00BB4C3F"/>
    <w:rsid w:val="00BB4C84"/>
    <w:rsid w:val="00BB4DD7"/>
    <w:rsid w:val="00BB4DF8"/>
    <w:rsid w:val="00BB50A7"/>
    <w:rsid w:val="00BB50C3"/>
    <w:rsid w:val="00BB5147"/>
    <w:rsid w:val="00BB51CC"/>
    <w:rsid w:val="00BB52B5"/>
    <w:rsid w:val="00BB5352"/>
    <w:rsid w:val="00BB54BA"/>
    <w:rsid w:val="00BB552C"/>
    <w:rsid w:val="00BB556B"/>
    <w:rsid w:val="00BB55B2"/>
    <w:rsid w:val="00BB5666"/>
    <w:rsid w:val="00BB5945"/>
    <w:rsid w:val="00BB59E7"/>
    <w:rsid w:val="00BB5A92"/>
    <w:rsid w:val="00BB5B6D"/>
    <w:rsid w:val="00BB5C7E"/>
    <w:rsid w:val="00BB5D79"/>
    <w:rsid w:val="00BB5DDE"/>
    <w:rsid w:val="00BB5E22"/>
    <w:rsid w:val="00BB5FEE"/>
    <w:rsid w:val="00BB5FF6"/>
    <w:rsid w:val="00BB625E"/>
    <w:rsid w:val="00BB6310"/>
    <w:rsid w:val="00BB6329"/>
    <w:rsid w:val="00BB638E"/>
    <w:rsid w:val="00BB6434"/>
    <w:rsid w:val="00BB666A"/>
    <w:rsid w:val="00BB66A1"/>
    <w:rsid w:val="00BB67E3"/>
    <w:rsid w:val="00BB6816"/>
    <w:rsid w:val="00BB6A0C"/>
    <w:rsid w:val="00BB6A2A"/>
    <w:rsid w:val="00BB6B49"/>
    <w:rsid w:val="00BB6B98"/>
    <w:rsid w:val="00BB6C00"/>
    <w:rsid w:val="00BB6CBD"/>
    <w:rsid w:val="00BB6D32"/>
    <w:rsid w:val="00BB6F8C"/>
    <w:rsid w:val="00BB7097"/>
    <w:rsid w:val="00BB70FD"/>
    <w:rsid w:val="00BB7181"/>
    <w:rsid w:val="00BB719C"/>
    <w:rsid w:val="00BB72A3"/>
    <w:rsid w:val="00BB72E4"/>
    <w:rsid w:val="00BB7379"/>
    <w:rsid w:val="00BB7422"/>
    <w:rsid w:val="00BB7479"/>
    <w:rsid w:val="00BB75CE"/>
    <w:rsid w:val="00BB7688"/>
    <w:rsid w:val="00BB76CE"/>
    <w:rsid w:val="00BB776F"/>
    <w:rsid w:val="00BB77E0"/>
    <w:rsid w:val="00BB7868"/>
    <w:rsid w:val="00BB7A6D"/>
    <w:rsid w:val="00BB7C1E"/>
    <w:rsid w:val="00BB7C44"/>
    <w:rsid w:val="00BB7D1A"/>
    <w:rsid w:val="00BB7DF1"/>
    <w:rsid w:val="00BB7E90"/>
    <w:rsid w:val="00BB7F01"/>
    <w:rsid w:val="00BB7FB8"/>
    <w:rsid w:val="00BC017A"/>
    <w:rsid w:val="00BC0197"/>
    <w:rsid w:val="00BC0243"/>
    <w:rsid w:val="00BC02AE"/>
    <w:rsid w:val="00BC0331"/>
    <w:rsid w:val="00BC0417"/>
    <w:rsid w:val="00BC0452"/>
    <w:rsid w:val="00BC049F"/>
    <w:rsid w:val="00BC0552"/>
    <w:rsid w:val="00BC069B"/>
    <w:rsid w:val="00BC0733"/>
    <w:rsid w:val="00BC0901"/>
    <w:rsid w:val="00BC094C"/>
    <w:rsid w:val="00BC09E2"/>
    <w:rsid w:val="00BC0A1F"/>
    <w:rsid w:val="00BC0A23"/>
    <w:rsid w:val="00BC0A3B"/>
    <w:rsid w:val="00BC0A90"/>
    <w:rsid w:val="00BC0B36"/>
    <w:rsid w:val="00BC0C14"/>
    <w:rsid w:val="00BC0C23"/>
    <w:rsid w:val="00BC0C2B"/>
    <w:rsid w:val="00BC0C68"/>
    <w:rsid w:val="00BC0CD1"/>
    <w:rsid w:val="00BC0D30"/>
    <w:rsid w:val="00BC0DFD"/>
    <w:rsid w:val="00BC0EC1"/>
    <w:rsid w:val="00BC0F1B"/>
    <w:rsid w:val="00BC0F24"/>
    <w:rsid w:val="00BC107D"/>
    <w:rsid w:val="00BC10AA"/>
    <w:rsid w:val="00BC1149"/>
    <w:rsid w:val="00BC11B1"/>
    <w:rsid w:val="00BC11EE"/>
    <w:rsid w:val="00BC11EF"/>
    <w:rsid w:val="00BC127A"/>
    <w:rsid w:val="00BC1280"/>
    <w:rsid w:val="00BC135F"/>
    <w:rsid w:val="00BC13F9"/>
    <w:rsid w:val="00BC1411"/>
    <w:rsid w:val="00BC144E"/>
    <w:rsid w:val="00BC14AF"/>
    <w:rsid w:val="00BC152D"/>
    <w:rsid w:val="00BC15C0"/>
    <w:rsid w:val="00BC16F8"/>
    <w:rsid w:val="00BC17A1"/>
    <w:rsid w:val="00BC19C1"/>
    <w:rsid w:val="00BC1A17"/>
    <w:rsid w:val="00BC1A6B"/>
    <w:rsid w:val="00BC1AD8"/>
    <w:rsid w:val="00BC1B0D"/>
    <w:rsid w:val="00BC1B2B"/>
    <w:rsid w:val="00BC1B54"/>
    <w:rsid w:val="00BC1B9C"/>
    <w:rsid w:val="00BC1BC1"/>
    <w:rsid w:val="00BC1BE8"/>
    <w:rsid w:val="00BC1BFA"/>
    <w:rsid w:val="00BC1D08"/>
    <w:rsid w:val="00BC1DAD"/>
    <w:rsid w:val="00BC1F48"/>
    <w:rsid w:val="00BC1F6D"/>
    <w:rsid w:val="00BC204F"/>
    <w:rsid w:val="00BC212E"/>
    <w:rsid w:val="00BC223F"/>
    <w:rsid w:val="00BC227B"/>
    <w:rsid w:val="00BC2381"/>
    <w:rsid w:val="00BC23A7"/>
    <w:rsid w:val="00BC23C2"/>
    <w:rsid w:val="00BC23D5"/>
    <w:rsid w:val="00BC2515"/>
    <w:rsid w:val="00BC2527"/>
    <w:rsid w:val="00BC2580"/>
    <w:rsid w:val="00BC25D6"/>
    <w:rsid w:val="00BC2694"/>
    <w:rsid w:val="00BC269B"/>
    <w:rsid w:val="00BC26BF"/>
    <w:rsid w:val="00BC276E"/>
    <w:rsid w:val="00BC27C0"/>
    <w:rsid w:val="00BC28CD"/>
    <w:rsid w:val="00BC2939"/>
    <w:rsid w:val="00BC2973"/>
    <w:rsid w:val="00BC29B7"/>
    <w:rsid w:val="00BC29CF"/>
    <w:rsid w:val="00BC2A29"/>
    <w:rsid w:val="00BC2C7C"/>
    <w:rsid w:val="00BC2CAC"/>
    <w:rsid w:val="00BC2DBA"/>
    <w:rsid w:val="00BC2DD1"/>
    <w:rsid w:val="00BC2DD8"/>
    <w:rsid w:val="00BC2E39"/>
    <w:rsid w:val="00BC2E57"/>
    <w:rsid w:val="00BC2E86"/>
    <w:rsid w:val="00BC2FAE"/>
    <w:rsid w:val="00BC30F9"/>
    <w:rsid w:val="00BC316C"/>
    <w:rsid w:val="00BC3209"/>
    <w:rsid w:val="00BC33D4"/>
    <w:rsid w:val="00BC3512"/>
    <w:rsid w:val="00BC3558"/>
    <w:rsid w:val="00BC355C"/>
    <w:rsid w:val="00BC35D8"/>
    <w:rsid w:val="00BC3699"/>
    <w:rsid w:val="00BC37E4"/>
    <w:rsid w:val="00BC3813"/>
    <w:rsid w:val="00BC3882"/>
    <w:rsid w:val="00BC38E7"/>
    <w:rsid w:val="00BC38E9"/>
    <w:rsid w:val="00BC390D"/>
    <w:rsid w:val="00BC398A"/>
    <w:rsid w:val="00BC39BA"/>
    <w:rsid w:val="00BC3ACB"/>
    <w:rsid w:val="00BC3D0C"/>
    <w:rsid w:val="00BC3D6A"/>
    <w:rsid w:val="00BC3D75"/>
    <w:rsid w:val="00BC3E1B"/>
    <w:rsid w:val="00BC3EBD"/>
    <w:rsid w:val="00BC3F48"/>
    <w:rsid w:val="00BC4114"/>
    <w:rsid w:val="00BC41B4"/>
    <w:rsid w:val="00BC4204"/>
    <w:rsid w:val="00BC427A"/>
    <w:rsid w:val="00BC42C5"/>
    <w:rsid w:val="00BC43A9"/>
    <w:rsid w:val="00BC442E"/>
    <w:rsid w:val="00BC445E"/>
    <w:rsid w:val="00BC44D5"/>
    <w:rsid w:val="00BC4576"/>
    <w:rsid w:val="00BC45A8"/>
    <w:rsid w:val="00BC45D5"/>
    <w:rsid w:val="00BC465F"/>
    <w:rsid w:val="00BC4767"/>
    <w:rsid w:val="00BC47AC"/>
    <w:rsid w:val="00BC4813"/>
    <w:rsid w:val="00BC4818"/>
    <w:rsid w:val="00BC486B"/>
    <w:rsid w:val="00BC48AB"/>
    <w:rsid w:val="00BC49AC"/>
    <w:rsid w:val="00BC4A66"/>
    <w:rsid w:val="00BC4B3F"/>
    <w:rsid w:val="00BC4DE0"/>
    <w:rsid w:val="00BC4DED"/>
    <w:rsid w:val="00BC4E9B"/>
    <w:rsid w:val="00BC4F2B"/>
    <w:rsid w:val="00BC4FF1"/>
    <w:rsid w:val="00BC5018"/>
    <w:rsid w:val="00BC5048"/>
    <w:rsid w:val="00BC509A"/>
    <w:rsid w:val="00BC50A2"/>
    <w:rsid w:val="00BC50D7"/>
    <w:rsid w:val="00BC522F"/>
    <w:rsid w:val="00BC5277"/>
    <w:rsid w:val="00BC53B2"/>
    <w:rsid w:val="00BC5454"/>
    <w:rsid w:val="00BC554F"/>
    <w:rsid w:val="00BC560E"/>
    <w:rsid w:val="00BC561F"/>
    <w:rsid w:val="00BC5734"/>
    <w:rsid w:val="00BC5869"/>
    <w:rsid w:val="00BC5928"/>
    <w:rsid w:val="00BC59B3"/>
    <w:rsid w:val="00BC59F5"/>
    <w:rsid w:val="00BC5A77"/>
    <w:rsid w:val="00BC5AE7"/>
    <w:rsid w:val="00BC5BA4"/>
    <w:rsid w:val="00BC5C10"/>
    <w:rsid w:val="00BC5C33"/>
    <w:rsid w:val="00BC5CDD"/>
    <w:rsid w:val="00BC5D59"/>
    <w:rsid w:val="00BC5EDE"/>
    <w:rsid w:val="00BC5EF3"/>
    <w:rsid w:val="00BC5F16"/>
    <w:rsid w:val="00BC605C"/>
    <w:rsid w:val="00BC60CA"/>
    <w:rsid w:val="00BC6291"/>
    <w:rsid w:val="00BC63B1"/>
    <w:rsid w:val="00BC63F9"/>
    <w:rsid w:val="00BC642C"/>
    <w:rsid w:val="00BC64AF"/>
    <w:rsid w:val="00BC651A"/>
    <w:rsid w:val="00BC6520"/>
    <w:rsid w:val="00BC6587"/>
    <w:rsid w:val="00BC65F4"/>
    <w:rsid w:val="00BC6864"/>
    <w:rsid w:val="00BC696E"/>
    <w:rsid w:val="00BC6985"/>
    <w:rsid w:val="00BC69D6"/>
    <w:rsid w:val="00BC69F3"/>
    <w:rsid w:val="00BC6A20"/>
    <w:rsid w:val="00BC6ABE"/>
    <w:rsid w:val="00BC6B6F"/>
    <w:rsid w:val="00BC6CC2"/>
    <w:rsid w:val="00BC6D38"/>
    <w:rsid w:val="00BC6D57"/>
    <w:rsid w:val="00BC6D5A"/>
    <w:rsid w:val="00BC6DD4"/>
    <w:rsid w:val="00BC6E01"/>
    <w:rsid w:val="00BC6EB8"/>
    <w:rsid w:val="00BC6F72"/>
    <w:rsid w:val="00BC6F8D"/>
    <w:rsid w:val="00BC701B"/>
    <w:rsid w:val="00BC7054"/>
    <w:rsid w:val="00BC7091"/>
    <w:rsid w:val="00BC70EF"/>
    <w:rsid w:val="00BC71CB"/>
    <w:rsid w:val="00BC71E8"/>
    <w:rsid w:val="00BC72B9"/>
    <w:rsid w:val="00BC72C9"/>
    <w:rsid w:val="00BC731B"/>
    <w:rsid w:val="00BC73C4"/>
    <w:rsid w:val="00BC73F2"/>
    <w:rsid w:val="00BC7424"/>
    <w:rsid w:val="00BC748C"/>
    <w:rsid w:val="00BC75C3"/>
    <w:rsid w:val="00BC75CE"/>
    <w:rsid w:val="00BC75D3"/>
    <w:rsid w:val="00BC7636"/>
    <w:rsid w:val="00BC772A"/>
    <w:rsid w:val="00BC773E"/>
    <w:rsid w:val="00BC7768"/>
    <w:rsid w:val="00BC77BB"/>
    <w:rsid w:val="00BC77D2"/>
    <w:rsid w:val="00BC7817"/>
    <w:rsid w:val="00BC782C"/>
    <w:rsid w:val="00BC794A"/>
    <w:rsid w:val="00BC7982"/>
    <w:rsid w:val="00BC7ABA"/>
    <w:rsid w:val="00BC7B37"/>
    <w:rsid w:val="00BC7B98"/>
    <w:rsid w:val="00BC7BEB"/>
    <w:rsid w:val="00BC7D03"/>
    <w:rsid w:val="00BC7D2F"/>
    <w:rsid w:val="00BC7E3B"/>
    <w:rsid w:val="00BC7EBE"/>
    <w:rsid w:val="00BC7EE9"/>
    <w:rsid w:val="00BC7F42"/>
    <w:rsid w:val="00BC7F74"/>
    <w:rsid w:val="00BC7F7B"/>
    <w:rsid w:val="00BC7FC8"/>
    <w:rsid w:val="00BD003C"/>
    <w:rsid w:val="00BD0047"/>
    <w:rsid w:val="00BD00CB"/>
    <w:rsid w:val="00BD0137"/>
    <w:rsid w:val="00BD0216"/>
    <w:rsid w:val="00BD02A2"/>
    <w:rsid w:val="00BD04C3"/>
    <w:rsid w:val="00BD04E1"/>
    <w:rsid w:val="00BD06E5"/>
    <w:rsid w:val="00BD078E"/>
    <w:rsid w:val="00BD07D6"/>
    <w:rsid w:val="00BD08A0"/>
    <w:rsid w:val="00BD08FC"/>
    <w:rsid w:val="00BD0AF0"/>
    <w:rsid w:val="00BD0CC9"/>
    <w:rsid w:val="00BD0D2E"/>
    <w:rsid w:val="00BD0EE4"/>
    <w:rsid w:val="00BD0F6A"/>
    <w:rsid w:val="00BD0FBB"/>
    <w:rsid w:val="00BD0FE7"/>
    <w:rsid w:val="00BD1006"/>
    <w:rsid w:val="00BD1028"/>
    <w:rsid w:val="00BD1103"/>
    <w:rsid w:val="00BD11E5"/>
    <w:rsid w:val="00BD1255"/>
    <w:rsid w:val="00BD12D4"/>
    <w:rsid w:val="00BD13D3"/>
    <w:rsid w:val="00BD13FC"/>
    <w:rsid w:val="00BD1493"/>
    <w:rsid w:val="00BD14B7"/>
    <w:rsid w:val="00BD1586"/>
    <w:rsid w:val="00BD1780"/>
    <w:rsid w:val="00BD18C3"/>
    <w:rsid w:val="00BD1A32"/>
    <w:rsid w:val="00BD1A84"/>
    <w:rsid w:val="00BD1AA7"/>
    <w:rsid w:val="00BD1ABA"/>
    <w:rsid w:val="00BD1C01"/>
    <w:rsid w:val="00BD1C56"/>
    <w:rsid w:val="00BD1D0D"/>
    <w:rsid w:val="00BD1D22"/>
    <w:rsid w:val="00BD1D4C"/>
    <w:rsid w:val="00BD1D79"/>
    <w:rsid w:val="00BD1DB7"/>
    <w:rsid w:val="00BD1DF9"/>
    <w:rsid w:val="00BD1F6D"/>
    <w:rsid w:val="00BD2192"/>
    <w:rsid w:val="00BD21E2"/>
    <w:rsid w:val="00BD22CD"/>
    <w:rsid w:val="00BD23AE"/>
    <w:rsid w:val="00BD244A"/>
    <w:rsid w:val="00BD2576"/>
    <w:rsid w:val="00BD25A9"/>
    <w:rsid w:val="00BD25AA"/>
    <w:rsid w:val="00BD270A"/>
    <w:rsid w:val="00BD27D1"/>
    <w:rsid w:val="00BD27FC"/>
    <w:rsid w:val="00BD2B0C"/>
    <w:rsid w:val="00BD2B59"/>
    <w:rsid w:val="00BD2B5F"/>
    <w:rsid w:val="00BD2BA1"/>
    <w:rsid w:val="00BD2C7B"/>
    <w:rsid w:val="00BD2CAF"/>
    <w:rsid w:val="00BD2D50"/>
    <w:rsid w:val="00BD2D62"/>
    <w:rsid w:val="00BD2DE1"/>
    <w:rsid w:val="00BD2DF8"/>
    <w:rsid w:val="00BD3053"/>
    <w:rsid w:val="00BD3061"/>
    <w:rsid w:val="00BD3136"/>
    <w:rsid w:val="00BD318A"/>
    <w:rsid w:val="00BD3300"/>
    <w:rsid w:val="00BD333F"/>
    <w:rsid w:val="00BD3360"/>
    <w:rsid w:val="00BD34A3"/>
    <w:rsid w:val="00BD34F7"/>
    <w:rsid w:val="00BD3711"/>
    <w:rsid w:val="00BD374B"/>
    <w:rsid w:val="00BD37C5"/>
    <w:rsid w:val="00BD3865"/>
    <w:rsid w:val="00BD3870"/>
    <w:rsid w:val="00BD39EC"/>
    <w:rsid w:val="00BD3ACF"/>
    <w:rsid w:val="00BD3B8C"/>
    <w:rsid w:val="00BD3C22"/>
    <w:rsid w:val="00BD3C28"/>
    <w:rsid w:val="00BD3CE5"/>
    <w:rsid w:val="00BD3CF6"/>
    <w:rsid w:val="00BD3D3F"/>
    <w:rsid w:val="00BD3D53"/>
    <w:rsid w:val="00BD3D57"/>
    <w:rsid w:val="00BD3E6F"/>
    <w:rsid w:val="00BD4065"/>
    <w:rsid w:val="00BD4069"/>
    <w:rsid w:val="00BD40C7"/>
    <w:rsid w:val="00BD40DC"/>
    <w:rsid w:val="00BD4216"/>
    <w:rsid w:val="00BD4438"/>
    <w:rsid w:val="00BD464B"/>
    <w:rsid w:val="00BD46D7"/>
    <w:rsid w:val="00BD48CA"/>
    <w:rsid w:val="00BD4A97"/>
    <w:rsid w:val="00BD4BFC"/>
    <w:rsid w:val="00BD4D99"/>
    <w:rsid w:val="00BD4E76"/>
    <w:rsid w:val="00BD4E88"/>
    <w:rsid w:val="00BD4FC5"/>
    <w:rsid w:val="00BD5006"/>
    <w:rsid w:val="00BD5189"/>
    <w:rsid w:val="00BD51B4"/>
    <w:rsid w:val="00BD5321"/>
    <w:rsid w:val="00BD55B0"/>
    <w:rsid w:val="00BD5604"/>
    <w:rsid w:val="00BD5707"/>
    <w:rsid w:val="00BD57D7"/>
    <w:rsid w:val="00BD57F3"/>
    <w:rsid w:val="00BD583D"/>
    <w:rsid w:val="00BD59D2"/>
    <w:rsid w:val="00BD5A40"/>
    <w:rsid w:val="00BD5A75"/>
    <w:rsid w:val="00BD5AA8"/>
    <w:rsid w:val="00BD5C84"/>
    <w:rsid w:val="00BD5CE3"/>
    <w:rsid w:val="00BD5DC4"/>
    <w:rsid w:val="00BD6104"/>
    <w:rsid w:val="00BD61FC"/>
    <w:rsid w:val="00BD62D2"/>
    <w:rsid w:val="00BD63F0"/>
    <w:rsid w:val="00BD6466"/>
    <w:rsid w:val="00BD651D"/>
    <w:rsid w:val="00BD65F6"/>
    <w:rsid w:val="00BD6603"/>
    <w:rsid w:val="00BD672A"/>
    <w:rsid w:val="00BD6993"/>
    <w:rsid w:val="00BD69BD"/>
    <w:rsid w:val="00BD6AD2"/>
    <w:rsid w:val="00BD6B02"/>
    <w:rsid w:val="00BD6C85"/>
    <w:rsid w:val="00BD6CB6"/>
    <w:rsid w:val="00BD6CBF"/>
    <w:rsid w:val="00BD6CE8"/>
    <w:rsid w:val="00BD6E1D"/>
    <w:rsid w:val="00BD6E25"/>
    <w:rsid w:val="00BD6F06"/>
    <w:rsid w:val="00BD6F79"/>
    <w:rsid w:val="00BD7503"/>
    <w:rsid w:val="00BD751A"/>
    <w:rsid w:val="00BD7572"/>
    <w:rsid w:val="00BD76F7"/>
    <w:rsid w:val="00BD7706"/>
    <w:rsid w:val="00BD7768"/>
    <w:rsid w:val="00BD7869"/>
    <w:rsid w:val="00BD7870"/>
    <w:rsid w:val="00BD79AD"/>
    <w:rsid w:val="00BD7AB5"/>
    <w:rsid w:val="00BD7B1F"/>
    <w:rsid w:val="00BD7D4D"/>
    <w:rsid w:val="00BD7D7C"/>
    <w:rsid w:val="00BD7D8D"/>
    <w:rsid w:val="00BD7F0B"/>
    <w:rsid w:val="00BD7FE6"/>
    <w:rsid w:val="00BE009E"/>
    <w:rsid w:val="00BE00CF"/>
    <w:rsid w:val="00BE01A4"/>
    <w:rsid w:val="00BE01B5"/>
    <w:rsid w:val="00BE01DA"/>
    <w:rsid w:val="00BE026B"/>
    <w:rsid w:val="00BE0404"/>
    <w:rsid w:val="00BE048C"/>
    <w:rsid w:val="00BE04FC"/>
    <w:rsid w:val="00BE0535"/>
    <w:rsid w:val="00BE0556"/>
    <w:rsid w:val="00BE08BC"/>
    <w:rsid w:val="00BE08C4"/>
    <w:rsid w:val="00BE0909"/>
    <w:rsid w:val="00BE09B1"/>
    <w:rsid w:val="00BE0B7B"/>
    <w:rsid w:val="00BE0C31"/>
    <w:rsid w:val="00BE0C34"/>
    <w:rsid w:val="00BE0D4D"/>
    <w:rsid w:val="00BE0D66"/>
    <w:rsid w:val="00BE0E0B"/>
    <w:rsid w:val="00BE0E10"/>
    <w:rsid w:val="00BE0E66"/>
    <w:rsid w:val="00BE0F32"/>
    <w:rsid w:val="00BE104E"/>
    <w:rsid w:val="00BE1109"/>
    <w:rsid w:val="00BE11A9"/>
    <w:rsid w:val="00BE124A"/>
    <w:rsid w:val="00BE14C6"/>
    <w:rsid w:val="00BE1562"/>
    <w:rsid w:val="00BE15BF"/>
    <w:rsid w:val="00BE1659"/>
    <w:rsid w:val="00BE167B"/>
    <w:rsid w:val="00BE1680"/>
    <w:rsid w:val="00BE1698"/>
    <w:rsid w:val="00BE18A6"/>
    <w:rsid w:val="00BE1972"/>
    <w:rsid w:val="00BE1997"/>
    <w:rsid w:val="00BE19CA"/>
    <w:rsid w:val="00BE19D0"/>
    <w:rsid w:val="00BE1A9D"/>
    <w:rsid w:val="00BE1B99"/>
    <w:rsid w:val="00BE1C6C"/>
    <w:rsid w:val="00BE1C81"/>
    <w:rsid w:val="00BE1C8C"/>
    <w:rsid w:val="00BE1CD3"/>
    <w:rsid w:val="00BE1D67"/>
    <w:rsid w:val="00BE1E13"/>
    <w:rsid w:val="00BE1E6A"/>
    <w:rsid w:val="00BE1F7D"/>
    <w:rsid w:val="00BE204E"/>
    <w:rsid w:val="00BE2063"/>
    <w:rsid w:val="00BE208D"/>
    <w:rsid w:val="00BE2271"/>
    <w:rsid w:val="00BE2284"/>
    <w:rsid w:val="00BE22A1"/>
    <w:rsid w:val="00BE24CA"/>
    <w:rsid w:val="00BE258E"/>
    <w:rsid w:val="00BE25DB"/>
    <w:rsid w:val="00BE2606"/>
    <w:rsid w:val="00BE268B"/>
    <w:rsid w:val="00BE2877"/>
    <w:rsid w:val="00BE290A"/>
    <w:rsid w:val="00BE298A"/>
    <w:rsid w:val="00BE2A85"/>
    <w:rsid w:val="00BE2AA3"/>
    <w:rsid w:val="00BE2BEA"/>
    <w:rsid w:val="00BE2C54"/>
    <w:rsid w:val="00BE2CB5"/>
    <w:rsid w:val="00BE2CDD"/>
    <w:rsid w:val="00BE2D31"/>
    <w:rsid w:val="00BE2D39"/>
    <w:rsid w:val="00BE2E2C"/>
    <w:rsid w:val="00BE2F0D"/>
    <w:rsid w:val="00BE2FDF"/>
    <w:rsid w:val="00BE3046"/>
    <w:rsid w:val="00BE30D3"/>
    <w:rsid w:val="00BE31A5"/>
    <w:rsid w:val="00BE32BA"/>
    <w:rsid w:val="00BE32EB"/>
    <w:rsid w:val="00BE339E"/>
    <w:rsid w:val="00BE33C8"/>
    <w:rsid w:val="00BE33DC"/>
    <w:rsid w:val="00BE33EF"/>
    <w:rsid w:val="00BE34F6"/>
    <w:rsid w:val="00BE35DD"/>
    <w:rsid w:val="00BE3600"/>
    <w:rsid w:val="00BE3684"/>
    <w:rsid w:val="00BE372A"/>
    <w:rsid w:val="00BE37E2"/>
    <w:rsid w:val="00BE37F3"/>
    <w:rsid w:val="00BE3853"/>
    <w:rsid w:val="00BE3916"/>
    <w:rsid w:val="00BE3949"/>
    <w:rsid w:val="00BE3957"/>
    <w:rsid w:val="00BE3A13"/>
    <w:rsid w:val="00BE3A87"/>
    <w:rsid w:val="00BE3ABD"/>
    <w:rsid w:val="00BE3B07"/>
    <w:rsid w:val="00BE3B4C"/>
    <w:rsid w:val="00BE3C61"/>
    <w:rsid w:val="00BE3CEE"/>
    <w:rsid w:val="00BE3D51"/>
    <w:rsid w:val="00BE3D9E"/>
    <w:rsid w:val="00BE3ED8"/>
    <w:rsid w:val="00BE40CB"/>
    <w:rsid w:val="00BE40D0"/>
    <w:rsid w:val="00BE416D"/>
    <w:rsid w:val="00BE41B7"/>
    <w:rsid w:val="00BE4201"/>
    <w:rsid w:val="00BE4239"/>
    <w:rsid w:val="00BE4386"/>
    <w:rsid w:val="00BE440D"/>
    <w:rsid w:val="00BE485B"/>
    <w:rsid w:val="00BE4B98"/>
    <w:rsid w:val="00BE4B9D"/>
    <w:rsid w:val="00BE4BB7"/>
    <w:rsid w:val="00BE4CE4"/>
    <w:rsid w:val="00BE4DBD"/>
    <w:rsid w:val="00BE4E79"/>
    <w:rsid w:val="00BE4E8A"/>
    <w:rsid w:val="00BE4EEF"/>
    <w:rsid w:val="00BE4F6F"/>
    <w:rsid w:val="00BE4F87"/>
    <w:rsid w:val="00BE5146"/>
    <w:rsid w:val="00BE51E2"/>
    <w:rsid w:val="00BE531E"/>
    <w:rsid w:val="00BE5405"/>
    <w:rsid w:val="00BE5422"/>
    <w:rsid w:val="00BE5445"/>
    <w:rsid w:val="00BE5495"/>
    <w:rsid w:val="00BE5497"/>
    <w:rsid w:val="00BE562A"/>
    <w:rsid w:val="00BE570E"/>
    <w:rsid w:val="00BE57A9"/>
    <w:rsid w:val="00BE5913"/>
    <w:rsid w:val="00BE5935"/>
    <w:rsid w:val="00BE5977"/>
    <w:rsid w:val="00BE5C21"/>
    <w:rsid w:val="00BE5D67"/>
    <w:rsid w:val="00BE5DE5"/>
    <w:rsid w:val="00BE5E29"/>
    <w:rsid w:val="00BE5E32"/>
    <w:rsid w:val="00BE5E6B"/>
    <w:rsid w:val="00BE5EC2"/>
    <w:rsid w:val="00BE6013"/>
    <w:rsid w:val="00BE60AC"/>
    <w:rsid w:val="00BE6308"/>
    <w:rsid w:val="00BE6346"/>
    <w:rsid w:val="00BE6370"/>
    <w:rsid w:val="00BE63B0"/>
    <w:rsid w:val="00BE63EE"/>
    <w:rsid w:val="00BE6406"/>
    <w:rsid w:val="00BE640A"/>
    <w:rsid w:val="00BE6423"/>
    <w:rsid w:val="00BE6448"/>
    <w:rsid w:val="00BE6474"/>
    <w:rsid w:val="00BE65DD"/>
    <w:rsid w:val="00BE666E"/>
    <w:rsid w:val="00BE66EE"/>
    <w:rsid w:val="00BE6805"/>
    <w:rsid w:val="00BE6821"/>
    <w:rsid w:val="00BE6850"/>
    <w:rsid w:val="00BE6898"/>
    <w:rsid w:val="00BE6943"/>
    <w:rsid w:val="00BE6965"/>
    <w:rsid w:val="00BE69E1"/>
    <w:rsid w:val="00BE6ADD"/>
    <w:rsid w:val="00BE6BF4"/>
    <w:rsid w:val="00BE6CBA"/>
    <w:rsid w:val="00BE6CC6"/>
    <w:rsid w:val="00BE6E7F"/>
    <w:rsid w:val="00BE7044"/>
    <w:rsid w:val="00BE709B"/>
    <w:rsid w:val="00BE718D"/>
    <w:rsid w:val="00BE7290"/>
    <w:rsid w:val="00BE7335"/>
    <w:rsid w:val="00BE736F"/>
    <w:rsid w:val="00BE7377"/>
    <w:rsid w:val="00BE7422"/>
    <w:rsid w:val="00BE75A9"/>
    <w:rsid w:val="00BE7651"/>
    <w:rsid w:val="00BE76B5"/>
    <w:rsid w:val="00BE76CC"/>
    <w:rsid w:val="00BE79EA"/>
    <w:rsid w:val="00BE7B23"/>
    <w:rsid w:val="00BE7C13"/>
    <w:rsid w:val="00BE7CA6"/>
    <w:rsid w:val="00BE7DEE"/>
    <w:rsid w:val="00BE7E69"/>
    <w:rsid w:val="00BE7EA2"/>
    <w:rsid w:val="00BE7EC2"/>
    <w:rsid w:val="00BE7F2B"/>
    <w:rsid w:val="00BE7F43"/>
    <w:rsid w:val="00BE7F48"/>
    <w:rsid w:val="00BE7FC3"/>
    <w:rsid w:val="00BF004F"/>
    <w:rsid w:val="00BF00B5"/>
    <w:rsid w:val="00BF0133"/>
    <w:rsid w:val="00BF0184"/>
    <w:rsid w:val="00BF018C"/>
    <w:rsid w:val="00BF01C0"/>
    <w:rsid w:val="00BF020E"/>
    <w:rsid w:val="00BF0211"/>
    <w:rsid w:val="00BF02EE"/>
    <w:rsid w:val="00BF0350"/>
    <w:rsid w:val="00BF0498"/>
    <w:rsid w:val="00BF06BE"/>
    <w:rsid w:val="00BF0752"/>
    <w:rsid w:val="00BF07F1"/>
    <w:rsid w:val="00BF08D1"/>
    <w:rsid w:val="00BF090F"/>
    <w:rsid w:val="00BF0B0C"/>
    <w:rsid w:val="00BF0B5C"/>
    <w:rsid w:val="00BF0BA4"/>
    <w:rsid w:val="00BF0C64"/>
    <w:rsid w:val="00BF0CEE"/>
    <w:rsid w:val="00BF0CF9"/>
    <w:rsid w:val="00BF0D64"/>
    <w:rsid w:val="00BF0DB0"/>
    <w:rsid w:val="00BF1027"/>
    <w:rsid w:val="00BF1109"/>
    <w:rsid w:val="00BF111A"/>
    <w:rsid w:val="00BF12CE"/>
    <w:rsid w:val="00BF1370"/>
    <w:rsid w:val="00BF1438"/>
    <w:rsid w:val="00BF14C0"/>
    <w:rsid w:val="00BF1528"/>
    <w:rsid w:val="00BF155E"/>
    <w:rsid w:val="00BF156D"/>
    <w:rsid w:val="00BF1627"/>
    <w:rsid w:val="00BF166E"/>
    <w:rsid w:val="00BF172F"/>
    <w:rsid w:val="00BF18A2"/>
    <w:rsid w:val="00BF18C9"/>
    <w:rsid w:val="00BF191C"/>
    <w:rsid w:val="00BF19E2"/>
    <w:rsid w:val="00BF1A3E"/>
    <w:rsid w:val="00BF1A73"/>
    <w:rsid w:val="00BF1C3F"/>
    <w:rsid w:val="00BF1CE4"/>
    <w:rsid w:val="00BF1DD9"/>
    <w:rsid w:val="00BF1E5E"/>
    <w:rsid w:val="00BF1E6C"/>
    <w:rsid w:val="00BF1F35"/>
    <w:rsid w:val="00BF1F71"/>
    <w:rsid w:val="00BF2048"/>
    <w:rsid w:val="00BF2099"/>
    <w:rsid w:val="00BF20C7"/>
    <w:rsid w:val="00BF20D7"/>
    <w:rsid w:val="00BF20F3"/>
    <w:rsid w:val="00BF214B"/>
    <w:rsid w:val="00BF219A"/>
    <w:rsid w:val="00BF21AE"/>
    <w:rsid w:val="00BF21B4"/>
    <w:rsid w:val="00BF21C2"/>
    <w:rsid w:val="00BF2208"/>
    <w:rsid w:val="00BF2264"/>
    <w:rsid w:val="00BF22AA"/>
    <w:rsid w:val="00BF23E5"/>
    <w:rsid w:val="00BF2552"/>
    <w:rsid w:val="00BF26CC"/>
    <w:rsid w:val="00BF2719"/>
    <w:rsid w:val="00BF27E7"/>
    <w:rsid w:val="00BF288E"/>
    <w:rsid w:val="00BF28D5"/>
    <w:rsid w:val="00BF28E4"/>
    <w:rsid w:val="00BF294D"/>
    <w:rsid w:val="00BF299C"/>
    <w:rsid w:val="00BF29A5"/>
    <w:rsid w:val="00BF2A78"/>
    <w:rsid w:val="00BF2AA5"/>
    <w:rsid w:val="00BF2B7A"/>
    <w:rsid w:val="00BF2BC7"/>
    <w:rsid w:val="00BF2BE0"/>
    <w:rsid w:val="00BF2D77"/>
    <w:rsid w:val="00BF2DC4"/>
    <w:rsid w:val="00BF2E65"/>
    <w:rsid w:val="00BF2EBD"/>
    <w:rsid w:val="00BF2EC9"/>
    <w:rsid w:val="00BF2EDD"/>
    <w:rsid w:val="00BF2EFE"/>
    <w:rsid w:val="00BF3002"/>
    <w:rsid w:val="00BF307F"/>
    <w:rsid w:val="00BF3111"/>
    <w:rsid w:val="00BF3168"/>
    <w:rsid w:val="00BF327D"/>
    <w:rsid w:val="00BF328A"/>
    <w:rsid w:val="00BF3346"/>
    <w:rsid w:val="00BF33D1"/>
    <w:rsid w:val="00BF33FB"/>
    <w:rsid w:val="00BF369B"/>
    <w:rsid w:val="00BF36AF"/>
    <w:rsid w:val="00BF375A"/>
    <w:rsid w:val="00BF3851"/>
    <w:rsid w:val="00BF38B6"/>
    <w:rsid w:val="00BF3923"/>
    <w:rsid w:val="00BF395E"/>
    <w:rsid w:val="00BF39FE"/>
    <w:rsid w:val="00BF3A6E"/>
    <w:rsid w:val="00BF3BEE"/>
    <w:rsid w:val="00BF3D28"/>
    <w:rsid w:val="00BF3D42"/>
    <w:rsid w:val="00BF3E5E"/>
    <w:rsid w:val="00BF3EB8"/>
    <w:rsid w:val="00BF3F9A"/>
    <w:rsid w:val="00BF3FB3"/>
    <w:rsid w:val="00BF4102"/>
    <w:rsid w:val="00BF4147"/>
    <w:rsid w:val="00BF414B"/>
    <w:rsid w:val="00BF41A0"/>
    <w:rsid w:val="00BF41A6"/>
    <w:rsid w:val="00BF4227"/>
    <w:rsid w:val="00BF44DC"/>
    <w:rsid w:val="00BF4511"/>
    <w:rsid w:val="00BF4525"/>
    <w:rsid w:val="00BF45E1"/>
    <w:rsid w:val="00BF46A0"/>
    <w:rsid w:val="00BF46C9"/>
    <w:rsid w:val="00BF471C"/>
    <w:rsid w:val="00BF47D2"/>
    <w:rsid w:val="00BF4860"/>
    <w:rsid w:val="00BF488B"/>
    <w:rsid w:val="00BF49B0"/>
    <w:rsid w:val="00BF49EB"/>
    <w:rsid w:val="00BF49FA"/>
    <w:rsid w:val="00BF49FE"/>
    <w:rsid w:val="00BF4A2E"/>
    <w:rsid w:val="00BF4AFC"/>
    <w:rsid w:val="00BF4B16"/>
    <w:rsid w:val="00BF4D9F"/>
    <w:rsid w:val="00BF4E6D"/>
    <w:rsid w:val="00BF4EE3"/>
    <w:rsid w:val="00BF4F7D"/>
    <w:rsid w:val="00BF4FBD"/>
    <w:rsid w:val="00BF505E"/>
    <w:rsid w:val="00BF50A8"/>
    <w:rsid w:val="00BF51D6"/>
    <w:rsid w:val="00BF534F"/>
    <w:rsid w:val="00BF53B7"/>
    <w:rsid w:val="00BF53F1"/>
    <w:rsid w:val="00BF54C6"/>
    <w:rsid w:val="00BF56BC"/>
    <w:rsid w:val="00BF57E5"/>
    <w:rsid w:val="00BF584F"/>
    <w:rsid w:val="00BF5868"/>
    <w:rsid w:val="00BF5880"/>
    <w:rsid w:val="00BF58CC"/>
    <w:rsid w:val="00BF58EF"/>
    <w:rsid w:val="00BF5995"/>
    <w:rsid w:val="00BF5A16"/>
    <w:rsid w:val="00BF5ABB"/>
    <w:rsid w:val="00BF5D2E"/>
    <w:rsid w:val="00BF5E78"/>
    <w:rsid w:val="00BF5EDF"/>
    <w:rsid w:val="00BF5FFB"/>
    <w:rsid w:val="00BF609B"/>
    <w:rsid w:val="00BF610F"/>
    <w:rsid w:val="00BF6170"/>
    <w:rsid w:val="00BF61FD"/>
    <w:rsid w:val="00BF62B9"/>
    <w:rsid w:val="00BF6333"/>
    <w:rsid w:val="00BF6350"/>
    <w:rsid w:val="00BF636F"/>
    <w:rsid w:val="00BF6486"/>
    <w:rsid w:val="00BF65A5"/>
    <w:rsid w:val="00BF6725"/>
    <w:rsid w:val="00BF6773"/>
    <w:rsid w:val="00BF677C"/>
    <w:rsid w:val="00BF6795"/>
    <w:rsid w:val="00BF684E"/>
    <w:rsid w:val="00BF686E"/>
    <w:rsid w:val="00BF6922"/>
    <w:rsid w:val="00BF695F"/>
    <w:rsid w:val="00BF696E"/>
    <w:rsid w:val="00BF6A1C"/>
    <w:rsid w:val="00BF6AE9"/>
    <w:rsid w:val="00BF6BFB"/>
    <w:rsid w:val="00BF6D47"/>
    <w:rsid w:val="00BF6D4F"/>
    <w:rsid w:val="00BF6E73"/>
    <w:rsid w:val="00BF6E80"/>
    <w:rsid w:val="00BF6EEF"/>
    <w:rsid w:val="00BF6F08"/>
    <w:rsid w:val="00BF6F19"/>
    <w:rsid w:val="00BF7013"/>
    <w:rsid w:val="00BF703C"/>
    <w:rsid w:val="00BF7050"/>
    <w:rsid w:val="00BF72A5"/>
    <w:rsid w:val="00BF73A7"/>
    <w:rsid w:val="00BF73DE"/>
    <w:rsid w:val="00BF7485"/>
    <w:rsid w:val="00BF74B7"/>
    <w:rsid w:val="00BF753E"/>
    <w:rsid w:val="00BF75BA"/>
    <w:rsid w:val="00BF75EC"/>
    <w:rsid w:val="00BF76B0"/>
    <w:rsid w:val="00BF77C6"/>
    <w:rsid w:val="00BF77FD"/>
    <w:rsid w:val="00BF7875"/>
    <w:rsid w:val="00BF79A3"/>
    <w:rsid w:val="00BF79FA"/>
    <w:rsid w:val="00BF7AB7"/>
    <w:rsid w:val="00BF7C6A"/>
    <w:rsid w:val="00BF7CBB"/>
    <w:rsid w:val="00BF7DDA"/>
    <w:rsid w:val="00BF7DDB"/>
    <w:rsid w:val="00BF7E76"/>
    <w:rsid w:val="00BF7F4E"/>
    <w:rsid w:val="00BF7FB9"/>
    <w:rsid w:val="00BF7FF1"/>
    <w:rsid w:val="00C00105"/>
    <w:rsid w:val="00C00153"/>
    <w:rsid w:val="00C004AB"/>
    <w:rsid w:val="00C004E9"/>
    <w:rsid w:val="00C00512"/>
    <w:rsid w:val="00C0057F"/>
    <w:rsid w:val="00C00594"/>
    <w:rsid w:val="00C00665"/>
    <w:rsid w:val="00C00760"/>
    <w:rsid w:val="00C007C7"/>
    <w:rsid w:val="00C008D8"/>
    <w:rsid w:val="00C00961"/>
    <w:rsid w:val="00C00A74"/>
    <w:rsid w:val="00C00AB3"/>
    <w:rsid w:val="00C00C37"/>
    <w:rsid w:val="00C00C45"/>
    <w:rsid w:val="00C00CFD"/>
    <w:rsid w:val="00C00D1C"/>
    <w:rsid w:val="00C00D81"/>
    <w:rsid w:val="00C00E5A"/>
    <w:rsid w:val="00C00EFB"/>
    <w:rsid w:val="00C00F05"/>
    <w:rsid w:val="00C00F52"/>
    <w:rsid w:val="00C00F8C"/>
    <w:rsid w:val="00C011DA"/>
    <w:rsid w:val="00C012AB"/>
    <w:rsid w:val="00C01390"/>
    <w:rsid w:val="00C0139E"/>
    <w:rsid w:val="00C013E8"/>
    <w:rsid w:val="00C014EA"/>
    <w:rsid w:val="00C01561"/>
    <w:rsid w:val="00C01592"/>
    <w:rsid w:val="00C015EE"/>
    <w:rsid w:val="00C01691"/>
    <w:rsid w:val="00C0190E"/>
    <w:rsid w:val="00C019E3"/>
    <w:rsid w:val="00C01A97"/>
    <w:rsid w:val="00C01B09"/>
    <w:rsid w:val="00C01C1A"/>
    <w:rsid w:val="00C01DDB"/>
    <w:rsid w:val="00C01E78"/>
    <w:rsid w:val="00C01F46"/>
    <w:rsid w:val="00C01F4C"/>
    <w:rsid w:val="00C01F84"/>
    <w:rsid w:val="00C01FF0"/>
    <w:rsid w:val="00C02001"/>
    <w:rsid w:val="00C0213A"/>
    <w:rsid w:val="00C0239E"/>
    <w:rsid w:val="00C023A8"/>
    <w:rsid w:val="00C023F7"/>
    <w:rsid w:val="00C026A0"/>
    <w:rsid w:val="00C02781"/>
    <w:rsid w:val="00C0282C"/>
    <w:rsid w:val="00C02838"/>
    <w:rsid w:val="00C02964"/>
    <w:rsid w:val="00C029B1"/>
    <w:rsid w:val="00C02A88"/>
    <w:rsid w:val="00C02ADD"/>
    <w:rsid w:val="00C02C07"/>
    <w:rsid w:val="00C02C92"/>
    <w:rsid w:val="00C02C9E"/>
    <w:rsid w:val="00C02D08"/>
    <w:rsid w:val="00C02E10"/>
    <w:rsid w:val="00C02E19"/>
    <w:rsid w:val="00C02FDF"/>
    <w:rsid w:val="00C02FEB"/>
    <w:rsid w:val="00C03085"/>
    <w:rsid w:val="00C030DE"/>
    <w:rsid w:val="00C030E8"/>
    <w:rsid w:val="00C03171"/>
    <w:rsid w:val="00C032AC"/>
    <w:rsid w:val="00C032CC"/>
    <w:rsid w:val="00C032F0"/>
    <w:rsid w:val="00C03387"/>
    <w:rsid w:val="00C033C1"/>
    <w:rsid w:val="00C033C6"/>
    <w:rsid w:val="00C033CD"/>
    <w:rsid w:val="00C03579"/>
    <w:rsid w:val="00C035BF"/>
    <w:rsid w:val="00C03627"/>
    <w:rsid w:val="00C0368D"/>
    <w:rsid w:val="00C0370D"/>
    <w:rsid w:val="00C03754"/>
    <w:rsid w:val="00C03779"/>
    <w:rsid w:val="00C039AA"/>
    <w:rsid w:val="00C03AA6"/>
    <w:rsid w:val="00C03C37"/>
    <w:rsid w:val="00C03CAD"/>
    <w:rsid w:val="00C03D30"/>
    <w:rsid w:val="00C03D37"/>
    <w:rsid w:val="00C03D73"/>
    <w:rsid w:val="00C03E62"/>
    <w:rsid w:val="00C03FA1"/>
    <w:rsid w:val="00C03FE1"/>
    <w:rsid w:val="00C040F4"/>
    <w:rsid w:val="00C042FA"/>
    <w:rsid w:val="00C04327"/>
    <w:rsid w:val="00C04419"/>
    <w:rsid w:val="00C0469B"/>
    <w:rsid w:val="00C046D9"/>
    <w:rsid w:val="00C0487C"/>
    <w:rsid w:val="00C04964"/>
    <w:rsid w:val="00C04CBE"/>
    <w:rsid w:val="00C04E46"/>
    <w:rsid w:val="00C04EEB"/>
    <w:rsid w:val="00C04F49"/>
    <w:rsid w:val="00C04F9D"/>
    <w:rsid w:val="00C05060"/>
    <w:rsid w:val="00C0507B"/>
    <w:rsid w:val="00C0509A"/>
    <w:rsid w:val="00C050EF"/>
    <w:rsid w:val="00C0529B"/>
    <w:rsid w:val="00C05394"/>
    <w:rsid w:val="00C053FA"/>
    <w:rsid w:val="00C056A1"/>
    <w:rsid w:val="00C0576D"/>
    <w:rsid w:val="00C057EC"/>
    <w:rsid w:val="00C05822"/>
    <w:rsid w:val="00C058DE"/>
    <w:rsid w:val="00C05958"/>
    <w:rsid w:val="00C05993"/>
    <w:rsid w:val="00C059BF"/>
    <w:rsid w:val="00C059EF"/>
    <w:rsid w:val="00C05A54"/>
    <w:rsid w:val="00C05B1F"/>
    <w:rsid w:val="00C05B38"/>
    <w:rsid w:val="00C05B93"/>
    <w:rsid w:val="00C05C69"/>
    <w:rsid w:val="00C05CDD"/>
    <w:rsid w:val="00C05D03"/>
    <w:rsid w:val="00C05D9E"/>
    <w:rsid w:val="00C05DB8"/>
    <w:rsid w:val="00C05DF3"/>
    <w:rsid w:val="00C05E38"/>
    <w:rsid w:val="00C05E87"/>
    <w:rsid w:val="00C05EC8"/>
    <w:rsid w:val="00C05EEE"/>
    <w:rsid w:val="00C05F09"/>
    <w:rsid w:val="00C05F90"/>
    <w:rsid w:val="00C06182"/>
    <w:rsid w:val="00C061F2"/>
    <w:rsid w:val="00C0620A"/>
    <w:rsid w:val="00C062DC"/>
    <w:rsid w:val="00C0638C"/>
    <w:rsid w:val="00C06449"/>
    <w:rsid w:val="00C064B5"/>
    <w:rsid w:val="00C064FC"/>
    <w:rsid w:val="00C065DB"/>
    <w:rsid w:val="00C06627"/>
    <w:rsid w:val="00C066B3"/>
    <w:rsid w:val="00C066DC"/>
    <w:rsid w:val="00C0678E"/>
    <w:rsid w:val="00C067BE"/>
    <w:rsid w:val="00C0689C"/>
    <w:rsid w:val="00C068B8"/>
    <w:rsid w:val="00C0692F"/>
    <w:rsid w:val="00C069B0"/>
    <w:rsid w:val="00C069CD"/>
    <w:rsid w:val="00C06A5E"/>
    <w:rsid w:val="00C06AF8"/>
    <w:rsid w:val="00C06B16"/>
    <w:rsid w:val="00C06D58"/>
    <w:rsid w:val="00C06EC4"/>
    <w:rsid w:val="00C0703B"/>
    <w:rsid w:val="00C07056"/>
    <w:rsid w:val="00C070E2"/>
    <w:rsid w:val="00C071F7"/>
    <w:rsid w:val="00C0739D"/>
    <w:rsid w:val="00C07418"/>
    <w:rsid w:val="00C07436"/>
    <w:rsid w:val="00C0746A"/>
    <w:rsid w:val="00C07548"/>
    <w:rsid w:val="00C0760A"/>
    <w:rsid w:val="00C076A8"/>
    <w:rsid w:val="00C077CA"/>
    <w:rsid w:val="00C0780B"/>
    <w:rsid w:val="00C0788D"/>
    <w:rsid w:val="00C079BB"/>
    <w:rsid w:val="00C07A26"/>
    <w:rsid w:val="00C07B5E"/>
    <w:rsid w:val="00C07C2C"/>
    <w:rsid w:val="00C07C3A"/>
    <w:rsid w:val="00C07C42"/>
    <w:rsid w:val="00C07CAA"/>
    <w:rsid w:val="00C07E0F"/>
    <w:rsid w:val="00C07E14"/>
    <w:rsid w:val="00C07E67"/>
    <w:rsid w:val="00C07ECF"/>
    <w:rsid w:val="00C07F07"/>
    <w:rsid w:val="00C07F3D"/>
    <w:rsid w:val="00C10113"/>
    <w:rsid w:val="00C10193"/>
    <w:rsid w:val="00C101A8"/>
    <w:rsid w:val="00C10319"/>
    <w:rsid w:val="00C103F5"/>
    <w:rsid w:val="00C1041A"/>
    <w:rsid w:val="00C10445"/>
    <w:rsid w:val="00C1048A"/>
    <w:rsid w:val="00C10490"/>
    <w:rsid w:val="00C10702"/>
    <w:rsid w:val="00C10889"/>
    <w:rsid w:val="00C108D8"/>
    <w:rsid w:val="00C10914"/>
    <w:rsid w:val="00C109C4"/>
    <w:rsid w:val="00C109E4"/>
    <w:rsid w:val="00C10A7C"/>
    <w:rsid w:val="00C10AE2"/>
    <w:rsid w:val="00C10B28"/>
    <w:rsid w:val="00C10B9D"/>
    <w:rsid w:val="00C10CC4"/>
    <w:rsid w:val="00C10CD8"/>
    <w:rsid w:val="00C10D6E"/>
    <w:rsid w:val="00C10DCA"/>
    <w:rsid w:val="00C10DE3"/>
    <w:rsid w:val="00C10E44"/>
    <w:rsid w:val="00C10EF5"/>
    <w:rsid w:val="00C10F65"/>
    <w:rsid w:val="00C10FF7"/>
    <w:rsid w:val="00C11055"/>
    <w:rsid w:val="00C11066"/>
    <w:rsid w:val="00C110AD"/>
    <w:rsid w:val="00C1120E"/>
    <w:rsid w:val="00C11230"/>
    <w:rsid w:val="00C1125F"/>
    <w:rsid w:val="00C112C3"/>
    <w:rsid w:val="00C1133C"/>
    <w:rsid w:val="00C113A2"/>
    <w:rsid w:val="00C1147B"/>
    <w:rsid w:val="00C11538"/>
    <w:rsid w:val="00C11750"/>
    <w:rsid w:val="00C117D8"/>
    <w:rsid w:val="00C1180F"/>
    <w:rsid w:val="00C11865"/>
    <w:rsid w:val="00C1190A"/>
    <w:rsid w:val="00C1197E"/>
    <w:rsid w:val="00C11A23"/>
    <w:rsid w:val="00C11A34"/>
    <w:rsid w:val="00C11A4A"/>
    <w:rsid w:val="00C11C48"/>
    <w:rsid w:val="00C11C6A"/>
    <w:rsid w:val="00C11E0F"/>
    <w:rsid w:val="00C11E33"/>
    <w:rsid w:val="00C11E50"/>
    <w:rsid w:val="00C11F36"/>
    <w:rsid w:val="00C11F54"/>
    <w:rsid w:val="00C11FDE"/>
    <w:rsid w:val="00C12023"/>
    <w:rsid w:val="00C120E5"/>
    <w:rsid w:val="00C1210C"/>
    <w:rsid w:val="00C12141"/>
    <w:rsid w:val="00C12172"/>
    <w:rsid w:val="00C121BC"/>
    <w:rsid w:val="00C1228C"/>
    <w:rsid w:val="00C12316"/>
    <w:rsid w:val="00C1233C"/>
    <w:rsid w:val="00C1234A"/>
    <w:rsid w:val="00C123D4"/>
    <w:rsid w:val="00C1241A"/>
    <w:rsid w:val="00C12497"/>
    <w:rsid w:val="00C124A9"/>
    <w:rsid w:val="00C124B0"/>
    <w:rsid w:val="00C124DD"/>
    <w:rsid w:val="00C12657"/>
    <w:rsid w:val="00C1267F"/>
    <w:rsid w:val="00C12795"/>
    <w:rsid w:val="00C128D1"/>
    <w:rsid w:val="00C128DE"/>
    <w:rsid w:val="00C12ADE"/>
    <w:rsid w:val="00C12BE7"/>
    <w:rsid w:val="00C12D6C"/>
    <w:rsid w:val="00C12D75"/>
    <w:rsid w:val="00C12DC6"/>
    <w:rsid w:val="00C12E98"/>
    <w:rsid w:val="00C12EE0"/>
    <w:rsid w:val="00C12F0B"/>
    <w:rsid w:val="00C12F25"/>
    <w:rsid w:val="00C12F2B"/>
    <w:rsid w:val="00C13009"/>
    <w:rsid w:val="00C13131"/>
    <w:rsid w:val="00C13195"/>
    <w:rsid w:val="00C1327C"/>
    <w:rsid w:val="00C132D8"/>
    <w:rsid w:val="00C13324"/>
    <w:rsid w:val="00C13331"/>
    <w:rsid w:val="00C133DC"/>
    <w:rsid w:val="00C13461"/>
    <w:rsid w:val="00C135FF"/>
    <w:rsid w:val="00C13642"/>
    <w:rsid w:val="00C13681"/>
    <w:rsid w:val="00C136D7"/>
    <w:rsid w:val="00C1370D"/>
    <w:rsid w:val="00C13752"/>
    <w:rsid w:val="00C13761"/>
    <w:rsid w:val="00C1386F"/>
    <w:rsid w:val="00C139B0"/>
    <w:rsid w:val="00C139B4"/>
    <w:rsid w:val="00C13AFD"/>
    <w:rsid w:val="00C13B2E"/>
    <w:rsid w:val="00C13C8D"/>
    <w:rsid w:val="00C13DED"/>
    <w:rsid w:val="00C13E03"/>
    <w:rsid w:val="00C13E6C"/>
    <w:rsid w:val="00C13F3A"/>
    <w:rsid w:val="00C13FEC"/>
    <w:rsid w:val="00C14006"/>
    <w:rsid w:val="00C141A0"/>
    <w:rsid w:val="00C141B8"/>
    <w:rsid w:val="00C1427F"/>
    <w:rsid w:val="00C142EA"/>
    <w:rsid w:val="00C14411"/>
    <w:rsid w:val="00C144A7"/>
    <w:rsid w:val="00C14502"/>
    <w:rsid w:val="00C145BB"/>
    <w:rsid w:val="00C1462E"/>
    <w:rsid w:val="00C14696"/>
    <w:rsid w:val="00C146C9"/>
    <w:rsid w:val="00C14722"/>
    <w:rsid w:val="00C14780"/>
    <w:rsid w:val="00C14808"/>
    <w:rsid w:val="00C14951"/>
    <w:rsid w:val="00C1498B"/>
    <w:rsid w:val="00C149C0"/>
    <w:rsid w:val="00C14A18"/>
    <w:rsid w:val="00C14AF6"/>
    <w:rsid w:val="00C14B1B"/>
    <w:rsid w:val="00C14BC9"/>
    <w:rsid w:val="00C14C94"/>
    <w:rsid w:val="00C14D4C"/>
    <w:rsid w:val="00C14EBC"/>
    <w:rsid w:val="00C14F1C"/>
    <w:rsid w:val="00C151A0"/>
    <w:rsid w:val="00C1523E"/>
    <w:rsid w:val="00C1538A"/>
    <w:rsid w:val="00C15438"/>
    <w:rsid w:val="00C1544D"/>
    <w:rsid w:val="00C15471"/>
    <w:rsid w:val="00C1569E"/>
    <w:rsid w:val="00C156E4"/>
    <w:rsid w:val="00C15747"/>
    <w:rsid w:val="00C15771"/>
    <w:rsid w:val="00C15839"/>
    <w:rsid w:val="00C15869"/>
    <w:rsid w:val="00C15881"/>
    <w:rsid w:val="00C159A0"/>
    <w:rsid w:val="00C15AEC"/>
    <w:rsid w:val="00C15B39"/>
    <w:rsid w:val="00C15C97"/>
    <w:rsid w:val="00C15CF4"/>
    <w:rsid w:val="00C15DD3"/>
    <w:rsid w:val="00C15ECE"/>
    <w:rsid w:val="00C15F87"/>
    <w:rsid w:val="00C15FA6"/>
    <w:rsid w:val="00C15FBF"/>
    <w:rsid w:val="00C160DD"/>
    <w:rsid w:val="00C16159"/>
    <w:rsid w:val="00C1619E"/>
    <w:rsid w:val="00C163B2"/>
    <w:rsid w:val="00C16460"/>
    <w:rsid w:val="00C164FB"/>
    <w:rsid w:val="00C165DC"/>
    <w:rsid w:val="00C1664F"/>
    <w:rsid w:val="00C167A4"/>
    <w:rsid w:val="00C16862"/>
    <w:rsid w:val="00C168EA"/>
    <w:rsid w:val="00C16979"/>
    <w:rsid w:val="00C16C25"/>
    <w:rsid w:val="00C16CC5"/>
    <w:rsid w:val="00C16D6F"/>
    <w:rsid w:val="00C16DE2"/>
    <w:rsid w:val="00C16E9C"/>
    <w:rsid w:val="00C16EAB"/>
    <w:rsid w:val="00C16F3F"/>
    <w:rsid w:val="00C16F61"/>
    <w:rsid w:val="00C16F89"/>
    <w:rsid w:val="00C16FB0"/>
    <w:rsid w:val="00C17025"/>
    <w:rsid w:val="00C17080"/>
    <w:rsid w:val="00C170DE"/>
    <w:rsid w:val="00C17123"/>
    <w:rsid w:val="00C1713F"/>
    <w:rsid w:val="00C17194"/>
    <w:rsid w:val="00C1731B"/>
    <w:rsid w:val="00C17345"/>
    <w:rsid w:val="00C173AD"/>
    <w:rsid w:val="00C173B0"/>
    <w:rsid w:val="00C17445"/>
    <w:rsid w:val="00C175D6"/>
    <w:rsid w:val="00C1761D"/>
    <w:rsid w:val="00C1762E"/>
    <w:rsid w:val="00C1764D"/>
    <w:rsid w:val="00C1767A"/>
    <w:rsid w:val="00C17682"/>
    <w:rsid w:val="00C1769C"/>
    <w:rsid w:val="00C176D7"/>
    <w:rsid w:val="00C1772F"/>
    <w:rsid w:val="00C179E9"/>
    <w:rsid w:val="00C17A96"/>
    <w:rsid w:val="00C17BF6"/>
    <w:rsid w:val="00C17C27"/>
    <w:rsid w:val="00C17C57"/>
    <w:rsid w:val="00C17C5C"/>
    <w:rsid w:val="00C17C7C"/>
    <w:rsid w:val="00C17CE2"/>
    <w:rsid w:val="00C17D14"/>
    <w:rsid w:val="00C17D42"/>
    <w:rsid w:val="00C17DD0"/>
    <w:rsid w:val="00C17E56"/>
    <w:rsid w:val="00C17EA3"/>
    <w:rsid w:val="00C17EFE"/>
    <w:rsid w:val="00C17F37"/>
    <w:rsid w:val="00C17F92"/>
    <w:rsid w:val="00C20046"/>
    <w:rsid w:val="00C20075"/>
    <w:rsid w:val="00C20167"/>
    <w:rsid w:val="00C20181"/>
    <w:rsid w:val="00C201BF"/>
    <w:rsid w:val="00C201F2"/>
    <w:rsid w:val="00C20259"/>
    <w:rsid w:val="00C203FC"/>
    <w:rsid w:val="00C20582"/>
    <w:rsid w:val="00C205D0"/>
    <w:rsid w:val="00C20615"/>
    <w:rsid w:val="00C20734"/>
    <w:rsid w:val="00C20774"/>
    <w:rsid w:val="00C207FC"/>
    <w:rsid w:val="00C20812"/>
    <w:rsid w:val="00C2081A"/>
    <w:rsid w:val="00C208F4"/>
    <w:rsid w:val="00C20A2B"/>
    <w:rsid w:val="00C20AB1"/>
    <w:rsid w:val="00C20BE4"/>
    <w:rsid w:val="00C20C4C"/>
    <w:rsid w:val="00C20DCE"/>
    <w:rsid w:val="00C20E92"/>
    <w:rsid w:val="00C20F8D"/>
    <w:rsid w:val="00C21187"/>
    <w:rsid w:val="00C212B1"/>
    <w:rsid w:val="00C213F3"/>
    <w:rsid w:val="00C21475"/>
    <w:rsid w:val="00C214E3"/>
    <w:rsid w:val="00C214F0"/>
    <w:rsid w:val="00C21529"/>
    <w:rsid w:val="00C2157C"/>
    <w:rsid w:val="00C215A8"/>
    <w:rsid w:val="00C21616"/>
    <w:rsid w:val="00C216A6"/>
    <w:rsid w:val="00C21755"/>
    <w:rsid w:val="00C2180B"/>
    <w:rsid w:val="00C2180D"/>
    <w:rsid w:val="00C21848"/>
    <w:rsid w:val="00C2184E"/>
    <w:rsid w:val="00C218A5"/>
    <w:rsid w:val="00C219FB"/>
    <w:rsid w:val="00C21A69"/>
    <w:rsid w:val="00C21AA9"/>
    <w:rsid w:val="00C21AEF"/>
    <w:rsid w:val="00C21B24"/>
    <w:rsid w:val="00C21BF3"/>
    <w:rsid w:val="00C21BF8"/>
    <w:rsid w:val="00C21C31"/>
    <w:rsid w:val="00C21C55"/>
    <w:rsid w:val="00C21CA0"/>
    <w:rsid w:val="00C21E7F"/>
    <w:rsid w:val="00C21E8F"/>
    <w:rsid w:val="00C21F0E"/>
    <w:rsid w:val="00C21F15"/>
    <w:rsid w:val="00C21FFF"/>
    <w:rsid w:val="00C220EA"/>
    <w:rsid w:val="00C22195"/>
    <w:rsid w:val="00C221F8"/>
    <w:rsid w:val="00C223FC"/>
    <w:rsid w:val="00C2240F"/>
    <w:rsid w:val="00C224DC"/>
    <w:rsid w:val="00C2251A"/>
    <w:rsid w:val="00C22524"/>
    <w:rsid w:val="00C226A6"/>
    <w:rsid w:val="00C227D4"/>
    <w:rsid w:val="00C227D5"/>
    <w:rsid w:val="00C227EA"/>
    <w:rsid w:val="00C22A79"/>
    <w:rsid w:val="00C22A94"/>
    <w:rsid w:val="00C22B2E"/>
    <w:rsid w:val="00C22C99"/>
    <w:rsid w:val="00C22EF8"/>
    <w:rsid w:val="00C22F33"/>
    <w:rsid w:val="00C22F62"/>
    <w:rsid w:val="00C2309B"/>
    <w:rsid w:val="00C230FE"/>
    <w:rsid w:val="00C231C0"/>
    <w:rsid w:val="00C231E0"/>
    <w:rsid w:val="00C23268"/>
    <w:rsid w:val="00C23301"/>
    <w:rsid w:val="00C233FD"/>
    <w:rsid w:val="00C23552"/>
    <w:rsid w:val="00C23597"/>
    <w:rsid w:val="00C236CC"/>
    <w:rsid w:val="00C23788"/>
    <w:rsid w:val="00C2384F"/>
    <w:rsid w:val="00C2387C"/>
    <w:rsid w:val="00C2388D"/>
    <w:rsid w:val="00C238FA"/>
    <w:rsid w:val="00C2391D"/>
    <w:rsid w:val="00C23942"/>
    <w:rsid w:val="00C2399E"/>
    <w:rsid w:val="00C23A0B"/>
    <w:rsid w:val="00C23AD7"/>
    <w:rsid w:val="00C23B4E"/>
    <w:rsid w:val="00C23BDC"/>
    <w:rsid w:val="00C23C41"/>
    <w:rsid w:val="00C23C53"/>
    <w:rsid w:val="00C23CFB"/>
    <w:rsid w:val="00C23CFC"/>
    <w:rsid w:val="00C23D9F"/>
    <w:rsid w:val="00C23DE6"/>
    <w:rsid w:val="00C23E55"/>
    <w:rsid w:val="00C23E7E"/>
    <w:rsid w:val="00C23ED8"/>
    <w:rsid w:val="00C242A1"/>
    <w:rsid w:val="00C242CE"/>
    <w:rsid w:val="00C242FE"/>
    <w:rsid w:val="00C24310"/>
    <w:rsid w:val="00C24357"/>
    <w:rsid w:val="00C24369"/>
    <w:rsid w:val="00C243C0"/>
    <w:rsid w:val="00C2458A"/>
    <w:rsid w:val="00C246AB"/>
    <w:rsid w:val="00C246DD"/>
    <w:rsid w:val="00C24754"/>
    <w:rsid w:val="00C24789"/>
    <w:rsid w:val="00C24969"/>
    <w:rsid w:val="00C24A67"/>
    <w:rsid w:val="00C24A99"/>
    <w:rsid w:val="00C24BDE"/>
    <w:rsid w:val="00C24BFD"/>
    <w:rsid w:val="00C24C91"/>
    <w:rsid w:val="00C24CA4"/>
    <w:rsid w:val="00C24D93"/>
    <w:rsid w:val="00C24E03"/>
    <w:rsid w:val="00C24E5E"/>
    <w:rsid w:val="00C24E6D"/>
    <w:rsid w:val="00C24F76"/>
    <w:rsid w:val="00C24F93"/>
    <w:rsid w:val="00C2512B"/>
    <w:rsid w:val="00C252CB"/>
    <w:rsid w:val="00C25326"/>
    <w:rsid w:val="00C25330"/>
    <w:rsid w:val="00C254FC"/>
    <w:rsid w:val="00C25517"/>
    <w:rsid w:val="00C25568"/>
    <w:rsid w:val="00C255C1"/>
    <w:rsid w:val="00C255D1"/>
    <w:rsid w:val="00C255E7"/>
    <w:rsid w:val="00C2562F"/>
    <w:rsid w:val="00C2571A"/>
    <w:rsid w:val="00C25764"/>
    <w:rsid w:val="00C25848"/>
    <w:rsid w:val="00C2587F"/>
    <w:rsid w:val="00C25883"/>
    <w:rsid w:val="00C25A04"/>
    <w:rsid w:val="00C25A65"/>
    <w:rsid w:val="00C25BBE"/>
    <w:rsid w:val="00C25C9D"/>
    <w:rsid w:val="00C25CED"/>
    <w:rsid w:val="00C25D19"/>
    <w:rsid w:val="00C25DFA"/>
    <w:rsid w:val="00C25E2D"/>
    <w:rsid w:val="00C25E9B"/>
    <w:rsid w:val="00C25EC8"/>
    <w:rsid w:val="00C25FD7"/>
    <w:rsid w:val="00C2606F"/>
    <w:rsid w:val="00C26230"/>
    <w:rsid w:val="00C26250"/>
    <w:rsid w:val="00C26288"/>
    <w:rsid w:val="00C2628C"/>
    <w:rsid w:val="00C2629F"/>
    <w:rsid w:val="00C26400"/>
    <w:rsid w:val="00C26464"/>
    <w:rsid w:val="00C264D3"/>
    <w:rsid w:val="00C26522"/>
    <w:rsid w:val="00C265F7"/>
    <w:rsid w:val="00C26625"/>
    <w:rsid w:val="00C26687"/>
    <w:rsid w:val="00C2668D"/>
    <w:rsid w:val="00C26768"/>
    <w:rsid w:val="00C268F4"/>
    <w:rsid w:val="00C2696D"/>
    <w:rsid w:val="00C2696E"/>
    <w:rsid w:val="00C26988"/>
    <w:rsid w:val="00C26AF1"/>
    <w:rsid w:val="00C26C73"/>
    <w:rsid w:val="00C26C98"/>
    <w:rsid w:val="00C26CD3"/>
    <w:rsid w:val="00C26E0B"/>
    <w:rsid w:val="00C26E9B"/>
    <w:rsid w:val="00C27032"/>
    <w:rsid w:val="00C27038"/>
    <w:rsid w:val="00C270AA"/>
    <w:rsid w:val="00C2711F"/>
    <w:rsid w:val="00C27168"/>
    <w:rsid w:val="00C27260"/>
    <w:rsid w:val="00C272CF"/>
    <w:rsid w:val="00C2749C"/>
    <w:rsid w:val="00C274A8"/>
    <w:rsid w:val="00C274BB"/>
    <w:rsid w:val="00C27571"/>
    <w:rsid w:val="00C2759C"/>
    <w:rsid w:val="00C275A2"/>
    <w:rsid w:val="00C27673"/>
    <w:rsid w:val="00C2767B"/>
    <w:rsid w:val="00C2770C"/>
    <w:rsid w:val="00C2774B"/>
    <w:rsid w:val="00C27785"/>
    <w:rsid w:val="00C277FE"/>
    <w:rsid w:val="00C27842"/>
    <w:rsid w:val="00C278AA"/>
    <w:rsid w:val="00C278E9"/>
    <w:rsid w:val="00C279DC"/>
    <w:rsid w:val="00C279E1"/>
    <w:rsid w:val="00C279FD"/>
    <w:rsid w:val="00C27A1B"/>
    <w:rsid w:val="00C27A79"/>
    <w:rsid w:val="00C27A86"/>
    <w:rsid w:val="00C27AC6"/>
    <w:rsid w:val="00C27ACC"/>
    <w:rsid w:val="00C27CC2"/>
    <w:rsid w:val="00C27DF8"/>
    <w:rsid w:val="00C27E06"/>
    <w:rsid w:val="00C27EFA"/>
    <w:rsid w:val="00C27F03"/>
    <w:rsid w:val="00C27F5A"/>
    <w:rsid w:val="00C27FFD"/>
    <w:rsid w:val="00C30233"/>
    <w:rsid w:val="00C302E2"/>
    <w:rsid w:val="00C30328"/>
    <w:rsid w:val="00C3036E"/>
    <w:rsid w:val="00C30488"/>
    <w:rsid w:val="00C304AE"/>
    <w:rsid w:val="00C30528"/>
    <w:rsid w:val="00C307F9"/>
    <w:rsid w:val="00C3086B"/>
    <w:rsid w:val="00C308CB"/>
    <w:rsid w:val="00C3096A"/>
    <w:rsid w:val="00C30990"/>
    <w:rsid w:val="00C309CE"/>
    <w:rsid w:val="00C30A8E"/>
    <w:rsid w:val="00C30AFA"/>
    <w:rsid w:val="00C30AFD"/>
    <w:rsid w:val="00C30BF0"/>
    <w:rsid w:val="00C30F05"/>
    <w:rsid w:val="00C30F5D"/>
    <w:rsid w:val="00C31201"/>
    <w:rsid w:val="00C312F9"/>
    <w:rsid w:val="00C3131F"/>
    <w:rsid w:val="00C31437"/>
    <w:rsid w:val="00C31451"/>
    <w:rsid w:val="00C314BD"/>
    <w:rsid w:val="00C314DD"/>
    <w:rsid w:val="00C314F6"/>
    <w:rsid w:val="00C3153C"/>
    <w:rsid w:val="00C31663"/>
    <w:rsid w:val="00C3170A"/>
    <w:rsid w:val="00C31748"/>
    <w:rsid w:val="00C317B7"/>
    <w:rsid w:val="00C317B9"/>
    <w:rsid w:val="00C31805"/>
    <w:rsid w:val="00C318C7"/>
    <w:rsid w:val="00C31980"/>
    <w:rsid w:val="00C31A49"/>
    <w:rsid w:val="00C31A64"/>
    <w:rsid w:val="00C31C13"/>
    <w:rsid w:val="00C31C30"/>
    <w:rsid w:val="00C31CD1"/>
    <w:rsid w:val="00C31D63"/>
    <w:rsid w:val="00C31DDE"/>
    <w:rsid w:val="00C31E59"/>
    <w:rsid w:val="00C31E8A"/>
    <w:rsid w:val="00C3205F"/>
    <w:rsid w:val="00C320E5"/>
    <w:rsid w:val="00C3211A"/>
    <w:rsid w:val="00C321E1"/>
    <w:rsid w:val="00C3224C"/>
    <w:rsid w:val="00C3238F"/>
    <w:rsid w:val="00C32492"/>
    <w:rsid w:val="00C324A7"/>
    <w:rsid w:val="00C325FE"/>
    <w:rsid w:val="00C32643"/>
    <w:rsid w:val="00C326D9"/>
    <w:rsid w:val="00C32855"/>
    <w:rsid w:val="00C328AA"/>
    <w:rsid w:val="00C32949"/>
    <w:rsid w:val="00C32972"/>
    <w:rsid w:val="00C3298F"/>
    <w:rsid w:val="00C329F0"/>
    <w:rsid w:val="00C32B30"/>
    <w:rsid w:val="00C32C9A"/>
    <w:rsid w:val="00C32CC6"/>
    <w:rsid w:val="00C32CED"/>
    <w:rsid w:val="00C32E60"/>
    <w:rsid w:val="00C32E61"/>
    <w:rsid w:val="00C32F65"/>
    <w:rsid w:val="00C32FFB"/>
    <w:rsid w:val="00C331D1"/>
    <w:rsid w:val="00C332CB"/>
    <w:rsid w:val="00C33395"/>
    <w:rsid w:val="00C33586"/>
    <w:rsid w:val="00C335AA"/>
    <w:rsid w:val="00C336E5"/>
    <w:rsid w:val="00C33768"/>
    <w:rsid w:val="00C337E4"/>
    <w:rsid w:val="00C3389B"/>
    <w:rsid w:val="00C33912"/>
    <w:rsid w:val="00C339F3"/>
    <w:rsid w:val="00C33ACD"/>
    <w:rsid w:val="00C33ADF"/>
    <w:rsid w:val="00C33B07"/>
    <w:rsid w:val="00C33BC8"/>
    <w:rsid w:val="00C33C69"/>
    <w:rsid w:val="00C33C90"/>
    <w:rsid w:val="00C33CF4"/>
    <w:rsid w:val="00C33CF8"/>
    <w:rsid w:val="00C33D00"/>
    <w:rsid w:val="00C33D46"/>
    <w:rsid w:val="00C33D4A"/>
    <w:rsid w:val="00C33D4D"/>
    <w:rsid w:val="00C33D6B"/>
    <w:rsid w:val="00C33DE1"/>
    <w:rsid w:val="00C33DF5"/>
    <w:rsid w:val="00C33FA7"/>
    <w:rsid w:val="00C33FBC"/>
    <w:rsid w:val="00C33FE3"/>
    <w:rsid w:val="00C34197"/>
    <w:rsid w:val="00C342AC"/>
    <w:rsid w:val="00C3430F"/>
    <w:rsid w:val="00C3431D"/>
    <w:rsid w:val="00C3438E"/>
    <w:rsid w:val="00C343F3"/>
    <w:rsid w:val="00C34486"/>
    <w:rsid w:val="00C34596"/>
    <w:rsid w:val="00C345EE"/>
    <w:rsid w:val="00C346C7"/>
    <w:rsid w:val="00C346E0"/>
    <w:rsid w:val="00C34804"/>
    <w:rsid w:val="00C348C7"/>
    <w:rsid w:val="00C3492B"/>
    <w:rsid w:val="00C34BB1"/>
    <w:rsid w:val="00C34BC7"/>
    <w:rsid w:val="00C34C17"/>
    <w:rsid w:val="00C34CD9"/>
    <w:rsid w:val="00C34CF0"/>
    <w:rsid w:val="00C34D1D"/>
    <w:rsid w:val="00C34E1C"/>
    <w:rsid w:val="00C34EAA"/>
    <w:rsid w:val="00C35073"/>
    <w:rsid w:val="00C35079"/>
    <w:rsid w:val="00C350F0"/>
    <w:rsid w:val="00C353E2"/>
    <w:rsid w:val="00C35497"/>
    <w:rsid w:val="00C3555C"/>
    <w:rsid w:val="00C3556C"/>
    <w:rsid w:val="00C355DE"/>
    <w:rsid w:val="00C355EE"/>
    <w:rsid w:val="00C35689"/>
    <w:rsid w:val="00C3568B"/>
    <w:rsid w:val="00C3568E"/>
    <w:rsid w:val="00C35713"/>
    <w:rsid w:val="00C3585E"/>
    <w:rsid w:val="00C3587B"/>
    <w:rsid w:val="00C35969"/>
    <w:rsid w:val="00C35977"/>
    <w:rsid w:val="00C35BB3"/>
    <w:rsid w:val="00C35C57"/>
    <w:rsid w:val="00C35CB0"/>
    <w:rsid w:val="00C35D40"/>
    <w:rsid w:val="00C35DC4"/>
    <w:rsid w:val="00C35E4D"/>
    <w:rsid w:val="00C35E93"/>
    <w:rsid w:val="00C35EA2"/>
    <w:rsid w:val="00C36182"/>
    <w:rsid w:val="00C3630B"/>
    <w:rsid w:val="00C363EB"/>
    <w:rsid w:val="00C363EF"/>
    <w:rsid w:val="00C36447"/>
    <w:rsid w:val="00C36498"/>
    <w:rsid w:val="00C365A6"/>
    <w:rsid w:val="00C366DD"/>
    <w:rsid w:val="00C366EC"/>
    <w:rsid w:val="00C3671D"/>
    <w:rsid w:val="00C36736"/>
    <w:rsid w:val="00C3677D"/>
    <w:rsid w:val="00C368CB"/>
    <w:rsid w:val="00C368FD"/>
    <w:rsid w:val="00C36AA2"/>
    <w:rsid w:val="00C36B89"/>
    <w:rsid w:val="00C36C65"/>
    <w:rsid w:val="00C36D8C"/>
    <w:rsid w:val="00C36E0C"/>
    <w:rsid w:val="00C36FA8"/>
    <w:rsid w:val="00C36FD9"/>
    <w:rsid w:val="00C37054"/>
    <w:rsid w:val="00C37065"/>
    <w:rsid w:val="00C370DA"/>
    <w:rsid w:val="00C370E8"/>
    <w:rsid w:val="00C3710E"/>
    <w:rsid w:val="00C3716B"/>
    <w:rsid w:val="00C37176"/>
    <w:rsid w:val="00C3719D"/>
    <w:rsid w:val="00C371BC"/>
    <w:rsid w:val="00C371C0"/>
    <w:rsid w:val="00C37543"/>
    <w:rsid w:val="00C3760A"/>
    <w:rsid w:val="00C3769D"/>
    <w:rsid w:val="00C37771"/>
    <w:rsid w:val="00C378AC"/>
    <w:rsid w:val="00C378E6"/>
    <w:rsid w:val="00C3792F"/>
    <w:rsid w:val="00C37932"/>
    <w:rsid w:val="00C37960"/>
    <w:rsid w:val="00C3798F"/>
    <w:rsid w:val="00C37B6C"/>
    <w:rsid w:val="00C37B8B"/>
    <w:rsid w:val="00C37CA1"/>
    <w:rsid w:val="00C37CDB"/>
    <w:rsid w:val="00C37D60"/>
    <w:rsid w:val="00C37D71"/>
    <w:rsid w:val="00C37E53"/>
    <w:rsid w:val="00C37E6B"/>
    <w:rsid w:val="00C37F2D"/>
    <w:rsid w:val="00C37F99"/>
    <w:rsid w:val="00C4001C"/>
    <w:rsid w:val="00C400DD"/>
    <w:rsid w:val="00C400FF"/>
    <w:rsid w:val="00C401A6"/>
    <w:rsid w:val="00C401BC"/>
    <w:rsid w:val="00C401FC"/>
    <w:rsid w:val="00C4022A"/>
    <w:rsid w:val="00C402C3"/>
    <w:rsid w:val="00C40314"/>
    <w:rsid w:val="00C40494"/>
    <w:rsid w:val="00C404B2"/>
    <w:rsid w:val="00C4050C"/>
    <w:rsid w:val="00C405B1"/>
    <w:rsid w:val="00C4061C"/>
    <w:rsid w:val="00C40630"/>
    <w:rsid w:val="00C40654"/>
    <w:rsid w:val="00C40689"/>
    <w:rsid w:val="00C40717"/>
    <w:rsid w:val="00C4071A"/>
    <w:rsid w:val="00C4076E"/>
    <w:rsid w:val="00C4086A"/>
    <w:rsid w:val="00C40893"/>
    <w:rsid w:val="00C408A5"/>
    <w:rsid w:val="00C4091D"/>
    <w:rsid w:val="00C40920"/>
    <w:rsid w:val="00C40947"/>
    <w:rsid w:val="00C409AC"/>
    <w:rsid w:val="00C40A19"/>
    <w:rsid w:val="00C40A69"/>
    <w:rsid w:val="00C40C2B"/>
    <w:rsid w:val="00C40CFC"/>
    <w:rsid w:val="00C40D80"/>
    <w:rsid w:val="00C40E2F"/>
    <w:rsid w:val="00C40E7E"/>
    <w:rsid w:val="00C40F5F"/>
    <w:rsid w:val="00C40FFA"/>
    <w:rsid w:val="00C41013"/>
    <w:rsid w:val="00C410CC"/>
    <w:rsid w:val="00C411FF"/>
    <w:rsid w:val="00C41210"/>
    <w:rsid w:val="00C4121F"/>
    <w:rsid w:val="00C41225"/>
    <w:rsid w:val="00C41262"/>
    <w:rsid w:val="00C412C4"/>
    <w:rsid w:val="00C413F9"/>
    <w:rsid w:val="00C4150C"/>
    <w:rsid w:val="00C4151F"/>
    <w:rsid w:val="00C415B9"/>
    <w:rsid w:val="00C415BF"/>
    <w:rsid w:val="00C41654"/>
    <w:rsid w:val="00C41657"/>
    <w:rsid w:val="00C41749"/>
    <w:rsid w:val="00C4178D"/>
    <w:rsid w:val="00C417F9"/>
    <w:rsid w:val="00C41829"/>
    <w:rsid w:val="00C41A4B"/>
    <w:rsid w:val="00C41AA3"/>
    <w:rsid w:val="00C41B07"/>
    <w:rsid w:val="00C41C8D"/>
    <w:rsid w:val="00C41CE9"/>
    <w:rsid w:val="00C41D6D"/>
    <w:rsid w:val="00C41D98"/>
    <w:rsid w:val="00C41DFC"/>
    <w:rsid w:val="00C41E56"/>
    <w:rsid w:val="00C41ECA"/>
    <w:rsid w:val="00C41EFC"/>
    <w:rsid w:val="00C41F7F"/>
    <w:rsid w:val="00C41FF1"/>
    <w:rsid w:val="00C42036"/>
    <w:rsid w:val="00C42056"/>
    <w:rsid w:val="00C42090"/>
    <w:rsid w:val="00C42144"/>
    <w:rsid w:val="00C421E6"/>
    <w:rsid w:val="00C4220F"/>
    <w:rsid w:val="00C4236B"/>
    <w:rsid w:val="00C42401"/>
    <w:rsid w:val="00C425A5"/>
    <w:rsid w:val="00C42612"/>
    <w:rsid w:val="00C4279C"/>
    <w:rsid w:val="00C4287F"/>
    <w:rsid w:val="00C428BD"/>
    <w:rsid w:val="00C42B0E"/>
    <w:rsid w:val="00C42BC2"/>
    <w:rsid w:val="00C42D1C"/>
    <w:rsid w:val="00C42E46"/>
    <w:rsid w:val="00C42E5B"/>
    <w:rsid w:val="00C42EFD"/>
    <w:rsid w:val="00C42F2C"/>
    <w:rsid w:val="00C4300E"/>
    <w:rsid w:val="00C4304D"/>
    <w:rsid w:val="00C43283"/>
    <w:rsid w:val="00C43303"/>
    <w:rsid w:val="00C433D3"/>
    <w:rsid w:val="00C43407"/>
    <w:rsid w:val="00C43505"/>
    <w:rsid w:val="00C435B2"/>
    <w:rsid w:val="00C436BE"/>
    <w:rsid w:val="00C436C5"/>
    <w:rsid w:val="00C436C8"/>
    <w:rsid w:val="00C43772"/>
    <w:rsid w:val="00C43822"/>
    <w:rsid w:val="00C4384D"/>
    <w:rsid w:val="00C43852"/>
    <w:rsid w:val="00C4392A"/>
    <w:rsid w:val="00C43A7B"/>
    <w:rsid w:val="00C43B5D"/>
    <w:rsid w:val="00C43C1E"/>
    <w:rsid w:val="00C43CBB"/>
    <w:rsid w:val="00C43D21"/>
    <w:rsid w:val="00C43DC9"/>
    <w:rsid w:val="00C43DCD"/>
    <w:rsid w:val="00C43DF3"/>
    <w:rsid w:val="00C43DF8"/>
    <w:rsid w:val="00C43EF1"/>
    <w:rsid w:val="00C43F45"/>
    <w:rsid w:val="00C43FE7"/>
    <w:rsid w:val="00C43FEB"/>
    <w:rsid w:val="00C4400E"/>
    <w:rsid w:val="00C44039"/>
    <w:rsid w:val="00C4412C"/>
    <w:rsid w:val="00C4416C"/>
    <w:rsid w:val="00C441F2"/>
    <w:rsid w:val="00C44394"/>
    <w:rsid w:val="00C443A4"/>
    <w:rsid w:val="00C443F6"/>
    <w:rsid w:val="00C443FC"/>
    <w:rsid w:val="00C44406"/>
    <w:rsid w:val="00C44407"/>
    <w:rsid w:val="00C44451"/>
    <w:rsid w:val="00C44474"/>
    <w:rsid w:val="00C444A7"/>
    <w:rsid w:val="00C4469E"/>
    <w:rsid w:val="00C446C0"/>
    <w:rsid w:val="00C44761"/>
    <w:rsid w:val="00C4478C"/>
    <w:rsid w:val="00C447B7"/>
    <w:rsid w:val="00C44847"/>
    <w:rsid w:val="00C44906"/>
    <w:rsid w:val="00C44949"/>
    <w:rsid w:val="00C44B51"/>
    <w:rsid w:val="00C44C4E"/>
    <w:rsid w:val="00C44CE3"/>
    <w:rsid w:val="00C44D12"/>
    <w:rsid w:val="00C44D63"/>
    <w:rsid w:val="00C44E1A"/>
    <w:rsid w:val="00C4508C"/>
    <w:rsid w:val="00C45191"/>
    <w:rsid w:val="00C451F2"/>
    <w:rsid w:val="00C451F6"/>
    <w:rsid w:val="00C452BE"/>
    <w:rsid w:val="00C45373"/>
    <w:rsid w:val="00C4539B"/>
    <w:rsid w:val="00C4545F"/>
    <w:rsid w:val="00C4551F"/>
    <w:rsid w:val="00C45576"/>
    <w:rsid w:val="00C455C8"/>
    <w:rsid w:val="00C45613"/>
    <w:rsid w:val="00C4566A"/>
    <w:rsid w:val="00C45676"/>
    <w:rsid w:val="00C45768"/>
    <w:rsid w:val="00C457C9"/>
    <w:rsid w:val="00C45818"/>
    <w:rsid w:val="00C458AB"/>
    <w:rsid w:val="00C459A5"/>
    <w:rsid w:val="00C45A46"/>
    <w:rsid w:val="00C45AB9"/>
    <w:rsid w:val="00C45ACF"/>
    <w:rsid w:val="00C45AD2"/>
    <w:rsid w:val="00C45B46"/>
    <w:rsid w:val="00C45C4C"/>
    <w:rsid w:val="00C45E64"/>
    <w:rsid w:val="00C4603A"/>
    <w:rsid w:val="00C46114"/>
    <w:rsid w:val="00C461E9"/>
    <w:rsid w:val="00C46327"/>
    <w:rsid w:val="00C46392"/>
    <w:rsid w:val="00C463E0"/>
    <w:rsid w:val="00C46415"/>
    <w:rsid w:val="00C46443"/>
    <w:rsid w:val="00C464CE"/>
    <w:rsid w:val="00C464D1"/>
    <w:rsid w:val="00C46549"/>
    <w:rsid w:val="00C46662"/>
    <w:rsid w:val="00C467BD"/>
    <w:rsid w:val="00C467CF"/>
    <w:rsid w:val="00C4680A"/>
    <w:rsid w:val="00C46840"/>
    <w:rsid w:val="00C468A2"/>
    <w:rsid w:val="00C468A9"/>
    <w:rsid w:val="00C46940"/>
    <w:rsid w:val="00C46A20"/>
    <w:rsid w:val="00C46B34"/>
    <w:rsid w:val="00C46B54"/>
    <w:rsid w:val="00C46C62"/>
    <w:rsid w:val="00C46CE2"/>
    <w:rsid w:val="00C46D36"/>
    <w:rsid w:val="00C46E78"/>
    <w:rsid w:val="00C47010"/>
    <w:rsid w:val="00C4708A"/>
    <w:rsid w:val="00C4708B"/>
    <w:rsid w:val="00C4709E"/>
    <w:rsid w:val="00C471B5"/>
    <w:rsid w:val="00C471D3"/>
    <w:rsid w:val="00C4732B"/>
    <w:rsid w:val="00C47484"/>
    <w:rsid w:val="00C474B6"/>
    <w:rsid w:val="00C474EE"/>
    <w:rsid w:val="00C4755B"/>
    <w:rsid w:val="00C4764D"/>
    <w:rsid w:val="00C477E2"/>
    <w:rsid w:val="00C47872"/>
    <w:rsid w:val="00C47A74"/>
    <w:rsid w:val="00C47A86"/>
    <w:rsid w:val="00C47BD2"/>
    <w:rsid w:val="00C47C06"/>
    <w:rsid w:val="00C47C38"/>
    <w:rsid w:val="00C47C82"/>
    <w:rsid w:val="00C47D0E"/>
    <w:rsid w:val="00C47D74"/>
    <w:rsid w:val="00C47D7B"/>
    <w:rsid w:val="00C47D96"/>
    <w:rsid w:val="00C47DB6"/>
    <w:rsid w:val="00C47E10"/>
    <w:rsid w:val="00C47E27"/>
    <w:rsid w:val="00C47EA7"/>
    <w:rsid w:val="00C47EB8"/>
    <w:rsid w:val="00C47EE3"/>
    <w:rsid w:val="00C47F1E"/>
    <w:rsid w:val="00C47F73"/>
    <w:rsid w:val="00C47FEE"/>
    <w:rsid w:val="00C50102"/>
    <w:rsid w:val="00C5010F"/>
    <w:rsid w:val="00C50141"/>
    <w:rsid w:val="00C5014B"/>
    <w:rsid w:val="00C50194"/>
    <w:rsid w:val="00C5019D"/>
    <w:rsid w:val="00C50228"/>
    <w:rsid w:val="00C502C7"/>
    <w:rsid w:val="00C50330"/>
    <w:rsid w:val="00C50358"/>
    <w:rsid w:val="00C50359"/>
    <w:rsid w:val="00C50446"/>
    <w:rsid w:val="00C5069C"/>
    <w:rsid w:val="00C5069E"/>
    <w:rsid w:val="00C5090A"/>
    <w:rsid w:val="00C50B05"/>
    <w:rsid w:val="00C50C79"/>
    <w:rsid w:val="00C50CCA"/>
    <w:rsid w:val="00C50CD5"/>
    <w:rsid w:val="00C50D55"/>
    <w:rsid w:val="00C50F79"/>
    <w:rsid w:val="00C50F94"/>
    <w:rsid w:val="00C510A5"/>
    <w:rsid w:val="00C51186"/>
    <w:rsid w:val="00C5120C"/>
    <w:rsid w:val="00C5124C"/>
    <w:rsid w:val="00C51311"/>
    <w:rsid w:val="00C513A3"/>
    <w:rsid w:val="00C513BA"/>
    <w:rsid w:val="00C5144A"/>
    <w:rsid w:val="00C5145A"/>
    <w:rsid w:val="00C51531"/>
    <w:rsid w:val="00C5157B"/>
    <w:rsid w:val="00C5158B"/>
    <w:rsid w:val="00C51710"/>
    <w:rsid w:val="00C5183B"/>
    <w:rsid w:val="00C5188D"/>
    <w:rsid w:val="00C51979"/>
    <w:rsid w:val="00C5198C"/>
    <w:rsid w:val="00C51A34"/>
    <w:rsid w:val="00C51AA1"/>
    <w:rsid w:val="00C51B65"/>
    <w:rsid w:val="00C51BE5"/>
    <w:rsid w:val="00C51BE7"/>
    <w:rsid w:val="00C51C92"/>
    <w:rsid w:val="00C51D2C"/>
    <w:rsid w:val="00C51F35"/>
    <w:rsid w:val="00C52121"/>
    <w:rsid w:val="00C52207"/>
    <w:rsid w:val="00C52231"/>
    <w:rsid w:val="00C52250"/>
    <w:rsid w:val="00C52269"/>
    <w:rsid w:val="00C52325"/>
    <w:rsid w:val="00C5233C"/>
    <w:rsid w:val="00C523A1"/>
    <w:rsid w:val="00C523AA"/>
    <w:rsid w:val="00C523AE"/>
    <w:rsid w:val="00C5246B"/>
    <w:rsid w:val="00C524FA"/>
    <w:rsid w:val="00C525A3"/>
    <w:rsid w:val="00C52600"/>
    <w:rsid w:val="00C5260D"/>
    <w:rsid w:val="00C52688"/>
    <w:rsid w:val="00C526DC"/>
    <w:rsid w:val="00C526ED"/>
    <w:rsid w:val="00C527B3"/>
    <w:rsid w:val="00C52908"/>
    <w:rsid w:val="00C52982"/>
    <w:rsid w:val="00C52996"/>
    <w:rsid w:val="00C529AC"/>
    <w:rsid w:val="00C52A8C"/>
    <w:rsid w:val="00C52B95"/>
    <w:rsid w:val="00C52C64"/>
    <w:rsid w:val="00C52D16"/>
    <w:rsid w:val="00C52D80"/>
    <w:rsid w:val="00C52E93"/>
    <w:rsid w:val="00C52EBA"/>
    <w:rsid w:val="00C52F05"/>
    <w:rsid w:val="00C52F07"/>
    <w:rsid w:val="00C52F79"/>
    <w:rsid w:val="00C5309C"/>
    <w:rsid w:val="00C530BF"/>
    <w:rsid w:val="00C530F5"/>
    <w:rsid w:val="00C5312A"/>
    <w:rsid w:val="00C5319B"/>
    <w:rsid w:val="00C531E2"/>
    <w:rsid w:val="00C53301"/>
    <w:rsid w:val="00C53316"/>
    <w:rsid w:val="00C5337F"/>
    <w:rsid w:val="00C533CB"/>
    <w:rsid w:val="00C53400"/>
    <w:rsid w:val="00C53402"/>
    <w:rsid w:val="00C53586"/>
    <w:rsid w:val="00C5361A"/>
    <w:rsid w:val="00C53675"/>
    <w:rsid w:val="00C53676"/>
    <w:rsid w:val="00C536B5"/>
    <w:rsid w:val="00C53734"/>
    <w:rsid w:val="00C53827"/>
    <w:rsid w:val="00C539C5"/>
    <w:rsid w:val="00C53AB1"/>
    <w:rsid w:val="00C53B99"/>
    <w:rsid w:val="00C53BB1"/>
    <w:rsid w:val="00C53BF3"/>
    <w:rsid w:val="00C53C3E"/>
    <w:rsid w:val="00C53C62"/>
    <w:rsid w:val="00C53D6B"/>
    <w:rsid w:val="00C53D8C"/>
    <w:rsid w:val="00C53E38"/>
    <w:rsid w:val="00C53EA6"/>
    <w:rsid w:val="00C54131"/>
    <w:rsid w:val="00C5414A"/>
    <w:rsid w:val="00C54349"/>
    <w:rsid w:val="00C544A9"/>
    <w:rsid w:val="00C544FC"/>
    <w:rsid w:val="00C5469A"/>
    <w:rsid w:val="00C547A8"/>
    <w:rsid w:val="00C54892"/>
    <w:rsid w:val="00C549E9"/>
    <w:rsid w:val="00C54A2F"/>
    <w:rsid w:val="00C54B77"/>
    <w:rsid w:val="00C54BD5"/>
    <w:rsid w:val="00C54C55"/>
    <w:rsid w:val="00C54C72"/>
    <w:rsid w:val="00C54CF6"/>
    <w:rsid w:val="00C54DB9"/>
    <w:rsid w:val="00C54DE8"/>
    <w:rsid w:val="00C54F4E"/>
    <w:rsid w:val="00C54F92"/>
    <w:rsid w:val="00C55034"/>
    <w:rsid w:val="00C55049"/>
    <w:rsid w:val="00C5520E"/>
    <w:rsid w:val="00C552C6"/>
    <w:rsid w:val="00C55434"/>
    <w:rsid w:val="00C5543B"/>
    <w:rsid w:val="00C55440"/>
    <w:rsid w:val="00C55554"/>
    <w:rsid w:val="00C55586"/>
    <w:rsid w:val="00C55633"/>
    <w:rsid w:val="00C5573C"/>
    <w:rsid w:val="00C557FD"/>
    <w:rsid w:val="00C55801"/>
    <w:rsid w:val="00C5583B"/>
    <w:rsid w:val="00C55856"/>
    <w:rsid w:val="00C558BF"/>
    <w:rsid w:val="00C55904"/>
    <w:rsid w:val="00C55958"/>
    <w:rsid w:val="00C559AC"/>
    <w:rsid w:val="00C55B36"/>
    <w:rsid w:val="00C55C99"/>
    <w:rsid w:val="00C55D08"/>
    <w:rsid w:val="00C55D09"/>
    <w:rsid w:val="00C55DBE"/>
    <w:rsid w:val="00C55E25"/>
    <w:rsid w:val="00C55E44"/>
    <w:rsid w:val="00C55EB4"/>
    <w:rsid w:val="00C55EE8"/>
    <w:rsid w:val="00C55FF4"/>
    <w:rsid w:val="00C5603B"/>
    <w:rsid w:val="00C561FA"/>
    <w:rsid w:val="00C5621B"/>
    <w:rsid w:val="00C56246"/>
    <w:rsid w:val="00C56365"/>
    <w:rsid w:val="00C564FE"/>
    <w:rsid w:val="00C56501"/>
    <w:rsid w:val="00C5657F"/>
    <w:rsid w:val="00C565EF"/>
    <w:rsid w:val="00C5660B"/>
    <w:rsid w:val="00C566F8"/>
    <w:rsid w:val="00C5670F"/>
    <w:rsid w:val="00C56725"/>
    <w:rsid w:val="00C5674C"/>
    <w:rsid w:val="00C5678D"/>
    <w:rsid w:val="00C569CB"/>
    <w:rsid w:val="00C56A0B"/>
    <w:rsid w:val="00C56A7C"/>
    <w:rsid w:val="00C56B43"/>
    <w:rsid w:val="00C56B5A"/>
    <w:rsid w:val="00C56B7E"/>
    <w:rsid w:val="00C56C1C"/>
    <w:rsid w:val="00C56D47"/>
    <w:rsid w:val="00C56D7F"/>
    <w:rsid w:val="00C56EB0"/>
    <w:rsid w:val="00C56F7D"/>
    <w:rsid w:val="00C56FBA"/>
    <w:rsid w:val="00C56FCD"/>
    <w:rsid w:val="00C56FD1"/>
    <w:rsid w:val="00C57218"/>
    <w:rsid w:val="00C57242"/>
    <w:rsid w:val="00C572F1"/>
    <w:rsid w:val="00C572FF"/>
    <w:rsid w:val="00C5735E"/>
    <w:rsid w:val="00C5736D"/>
    <w:rsid w:val="00C57385"/>
    <w:rsid w:val="00C57521"/>
    <w:rsid w:val="00C57526"/>
    <w:rsid w:val="00C57584"/>
    <w:rsid w:val="00C57704"/>
    <w:rsid w:val="00C57721"/>
    <w:rsid w:val="00C5776B"/>
    <w:rsid w:val="00C577E7"/>
    <w:rsid w:val="00C578BC"/>
    <w:rsid w:val="00C57930"/>
    <w:rsid w:val="00C57A1F"/>
    <w:rsid w:val="00C57A7C"/>
    <w:rsid w:val="00C57A83"/>
    <w:rsid w:val="00C57AFD"/>
    <w:rsid w:val="00C57C04"/>
    <w:rsid w:val="00C57DA8"/>
    <w:rsid w:val="00C57DF1"/>
    <w:rsid w:val="00C57E0A"/>
    <w:rsid w:val="00C57E4F"/>
    <w:rsid w:val="00C57F53"/>
    <w:rsid w:val="00C57FF0"/>
    <w:rsid w:val="00C600DA"/>
    <w:rsid w:val="00C6022B"/>
    <w:rsid w:val="00C6026C"/>
    <w:rsid w:val="00C602D0"/>
    <w:rsid w:val="00C60427"/>
    <w:rsid w:val="00C6076F"/>
    <w:rsid w:val="00C6079E"/>
    <w:rsid w:val="00C607AF"/>
    <w:rsid w:val="00C60848"/>
    <w:rsid w:val="00C60849"/>
    <w:rsid w:val="00C60A41"/>
    <w:rsid w:val="00C60B2D"/>
    <w:rsid w:val="00C60B74"/>
    <w:rsid w:val="00C60B78"/>
    <w:rsid w:val="00C60BD6"/>
    <w:rsid w:val="00C60BE0"/>
    <w:rsid w:val="00C60D26"/>
    <w:rsid w:val="00C60DC1"/>
    <w:rsid w:val="00C60E4B"/>
    <w:rsid w:val="00C60E51"/>
    <w:rsid w:val="00C60E7B"/>
    <w:rsid w:val="00C60E81"/>
    <w:rsid w:val="00C60F19"/>
    <w:rsid w:val="00C60F96"/>
    <w:rsid w:val="00C60FDB"/>
    <w:rsid w:val="00C61031"/>
    <w:rsid w:val="00C61080"/>
    <w:rsid w:val="00C61097"/>
    <w:rsid w:val="00C610AD"/>
    <w:rsid w:val="00C61212"/>
    <w:rsid w:val="00C61255"/>
    <w:rsid w:val="00C612C3"/>
    <w:rsid w:val="00C61492"/>
    <w:rsid w:val="00C61561"/>
    <w:rsid w:val="00C6162A"/>
    <w:rsid w:val="00C61636"/>
    <w:rsid w:val="00C616B8"/>
    <w:rsid w:val="00C616E4"/>
    <w:rsid w:val="00C6170C"/>
    <w:rsid w:val="00C617F9"/>
    <w:rsid w:val="00C6185B"/>
    <w:rsid w:val="00C6194C"/>
    <w:rsid w:val="00C61B3B"/>
    <w:rsid w:val="00C61B55"/>
    <w:rsid w:val="00C61B9F"/>
    <w:rsid w:val="00C61CAE"/>
    <w:rsid w:val="00C61CE5"/>
    <w:rsid w:val="00C61D04"/>
    <w:rsid w:val="00C61D0C"/>
    <w:rsid w:val="00C61D15"/>
    <w:rsid w:val="00C61D20"/>
    <w:rsid w:val="00C61F40"/>
    <w:rsid w:val="00C620C9"/>
    <w:rsid w:val="00C62144"/>
    <w:rsid w:val="00C621B9"/>
    <w:rsid w:val="00C622D7"/>
    <w:rsid w:val="00C6233E"/>
    <w:rsid w:val="00C624E3"/>
    <w:rsid w:val="00C625CC"/>
    <w:rsid w:val="00C62767"/>
    <w:rsid w:val="00C629C9"/>
    <w:rsid w:val="00C62A18"/>
    <w:rsid w:val="00C62AAB"/>
    <w:rsid w:val="00C62B30"/>
    <w:rsid w:val="00C62BAC"/>
    <w:rsid w:val="00C62C2B"/>
    <w:rsid w:val="00C62C7E"/>
    <w:rsid w:val="00C62CE5"/>
    <w:rsid w:val="00C62D61"/>
    <w:rsid w:val="00C62DFC"/>
    <w:rsid w:val="00C62E07"/>
    <w:rsid w:val="00C62E43"/>
    <w:rsid w:val="00C62E8A"/>
    <w:rsid w:val="00C62FF3"/>
    <w:rsid w:val="00C6303B"/>
    <w:rsid w:val="00C63061"/>
    <w:rsid w:val="00C630BA"/>
    <w:rsid w:val="00C630FC"/>
    <w:rsid w:val="00C630FE"/>
    <w:rsid w:val="00C63375"/>
    <w:rsid w:val="00C6340E"/>
    <w:rsid w:val="00C63443"/>
    <w:rsid w:val="00C63461"/>
    <w:rsid w:val="00C6351C"/>
    <w:rsid w:val="00C6355D"/>
    <w:rsid w:val="00C63565"/>
    <w:rsid w:val="00C63570"/>
    <w:rsid w:val="00C635CE"/>
    <w:rsid w:val="00C6377F"/>
    <w:rsid w:val="00C63886"/>
    <w:rsid w:val="00C63939"/>
    <w:rsid w:val="00C63A2E"/>
    <w:rsid w:val="00C63A82"/>
    <w:rsid w:val="00C63B2A"/>
    <w:rsid w:val="00C63BA1"/>
    <w:rsid w:val="00C63C76"/>
    <w:rsid w:val="00C63C8A"/>
    <w:rsid w:val="00C63C8F"/>
    <w:rsid w:val="00C63D03"/>
    <w:rsid w:val="00C63D64"/>
    <w:rsid w:val="00C63DC6"/>
    <w:rsid w:val="00C63E80"/>
    <w:rsid w:val="00C63F55"/>
    <w:rsid w:val="00C640D2"/>
    <w:rsid w:val="00C640EA"/>
    <w:rsid w:val="00C64128"/>
    <w:rsid w:val="00C64197"/>
    <w:rsid w:val="00C64308"/>
    <w:rsid w:val="00C64461"/>
    <w:rsid w:val="00C6449A"/>
    <w:rsid w:val="00C644C0"/>
    <w:rsid w:val="00C644EB"/>
    <w:rsid w:val="00C64749"/>
    <w:rsid w:val="00C647FA"/>
    <w:rsid w:val="00C64867"/>
    <w:rsid w:val="00C64942"/>
    <w:rsid w:val="00C649FE"/>
    <w:rsid w:val="00C64A3A"/>
    <w:rsid w:val="00C64A3C"/>
    <w:rsid w:val="00C64A68"/>
    <w:rsid w:val="00C64BA0"/>
    <w:rsid w:val="00C64C57"/>
    <w:rsid w:val="00C64CAE"/>
    <w:rsid w:val="00C64D06"/>
    <w:rsid w:val="00C64FDB"/>
    <w:rsid w:val="00C6512A"/>
    <w:rsid w:val="00C651B7"/>
    <w:rsid w:val="00C651E1"/>
    <w:rsid w:val="00C65257"/>
    <w:rsid w:val="00C653D7"/>
    <w:rsid w:val="00C65415"/>
    <w:rsid w:val="00C65569"/>
    <w:rsid w:val="00C655B1"/>
    <w:rsid w:val="00C655FF"/>
    <w:rsid w:val="00C656C2"/>
    <w:rsid w:val="00C65702"/>
    <w:rsid w:val="00C65789"/>
    <w:rsid w:val="00C657B4"/>
    <w:rsid w:val="00C658CA"/>
    <w:rsid w:val="00C658EF"/>
    <w:rsid w:val="00C65973"/>
    <w:rsid w:val="00C659CA"/>
    <w:rsid w:val="00C65A9B"/>
    <w:rsid w:val="00C65B15"/>
    <w:rsid w:val="00C65D17"/>
    <w:rsid w:val="00C65D32"/>
    <w:rsid w:val="00C65D8E"/>
    <w:rsid w:val="00C65E25"/>
    <w:rsid w:val="00C66054"/>
    <w:rsid w:val="00C66082"/>
    <w:rsid w:val="00C66099"/>
    <w:rsid w:val="00C660AE"/>
    <w:rsid w:val="00C660F5"/>
    <w:rsid w:val="00C661FB"/>
    <w:rsid w:val="00C6628B"/>
    <w:rsid w:val="00C66404"/>
    <w:rsid w:val="00C6640B"/>
    <w:rsid w:val="00C66426"/>
    <w:rsid w:val="00C66553"/>
    <w:rsid w:val="00C66570"/>
    <w:rsid w:val="00C66626"/>
    <w:rsid w:val="00C666E8"/>
    <w:rsid w:val="00C66738"/>
    <w:rsid w:val="00C66782"/>
    <w:rsid w:val="00C66788"/>
    <w:rsid w:val="00C6679C"/>
    <w:rsid w:val="00C66900"/>
    <w:rsid w:val="00C66919"/>
    <w:rsid w:val="00C66975"/>
    <w:rsid w:val="00C6699D"/>
    <w:rsid w:val="00C669B7"/>
    <w:rsid w:val="00C669BD"/>
    <w:rsid w:val="00C66A7E"/>
    <w:rsid w:val="00C66AAC"/>
    <w:rsid w:val="00C66B11"/>
    <w:rsid w:val="00C66E16"/>
    <w:rsid w:val="00C66F9B"/>
    <w:rsid w:val="00C67155"/>
    <w:rsid w:val="00C671DA"/>
    <w:rsid w:val="00C6720B"/>
    <w:rsid w:val="00C67246"/>
    <w:rsid w:val="00C67334"/>
    <w:rsid w:val="00C6738D"/>
    <w:rsid w:val="00C673EF"/>
    <w:rsid w:val="00C67456"/>
    <w:rsid w:val="00C674C9"/>
    <w:rsid w:val="00C67550"/>
    <w:rsid w:val="00C6762C"/>
    <w:rsid w:val="00C67639"/>
    <w:rsid w:val="00C6766B"/>
    <w:rsid w:val="00C676DA"/>
    <w:rsid w:val="00C677A8"/>
    <w:rsid w:val="00C67916"/>
    <w:rsid w:val="00C6796F"/>
    <w:rsid w:val="00C679F5"/>
    <w:rsid w:val="00C67A51"/>
    <w:rsid w:val="00C67A6F"/>
    <w:rsid w:val="00C67ABB"/>
    <w:rsid w:val="00C67C7E"/>
    <w:rsid w:val="00C67D24"/>
    <w:rsid w:val="00C67D78"/>
    <w:rsid w:val="00C67DBE"/>
    <w:rsid w:val="00C67DF9"/>
    <w:rsid w:val="00C67F04"/>
    <w:rsid w:val="00C67F8B"/>
    <w:rsid w:val="00C67F9D"/>
    <w:rsid w:val="00C700D0"/>
    <w:rsid w:val="00C701D5"/>
    <w:rsid w:val="00C702D4"/>
    <w:rsid w:val="00C70345"/>
    <w:rsid w:val="00C70493"/>
    <w:rsid w:val="00C704CE"/>
    <w:rsid w:val="00C7057A"/>
    <w:rsid w:val="00C70683"/>
    <w:rsid w:val="00C70699"/>
    <w:rsid w:val="00C70891"/>
    <w:rsid w:val="00C7097E"/>
    <w:rsid w:val="00C70992"/>
    <w:rsid w:val="00C70999"/>
    <w:rsid w:val="00C70A7A"/>
    <w:rsid w:val="00C70A8B"/>
    <w:rsid w:val="00C70D0B"/>
    <w:rsid w:val="00C70D25"/>
    <w:rsid w:val="00C70D43"/>
    <w:rsid w:val="00C70E62"/>
    <w:rsid w:val="00C70F9A"/>
    <w:rsid w:val="00C70FFB"/>
    <w:rsid w:val="00C711D4"/>
    <w:rsid w:val="00C71270"/>
    <w:rsid w:val="00C71328"/>
    <w:rsid w:val="00C71502"/>
    <w:rsid w:val="00C71525"/>
    <w:rsid w:val="00C717BE"/>
    <w:rsid w:val="00C71802"/>
    <w:rsid w:val="00C71895"/>
    <w:rsid w:val="00C719A9"/>
    <w:rsid w:val="00C71A29"/>
    <w:rsid w:val="00C71B05"/>
    <w:rsid w:val="00C71B3C"/>
    <w:rsid w:val="00C71C3F"/>
    <w:rsid w:val="00C71C48"/>
    <w:rsid w:val="00C71C54"/>
    <w:rsid w:val="00C71E20"/>
    <w:rsid w:val="00C71E5B"/>
    <w:rsid w:val="00C71F5A"/>
    <w:rsid w:val="00C71FAA"/>
    <w:rsid w:val="00C71FF4"/>
    <w:rsid w:val="00C72059"/>
    <w:rsid w:val="00C72065"/>
    <w:rsid w:val="00C720C5"/>
    <w:rsid w:val="00C721B9"/>
    <w:rsid w:val="00C721BD"/>
    <w:rsid w:val="00C721C2"/>
    <w:rsid w:val="00C721F8"/>
    <w:rsid w:val="00C722E2"/>
    <w:rsid w:val="00C722FC"/>
    <w:rsid w:val="00C7231E"/>
    <w:rsid w:val="00C72332"/>
    <w:rsid w:val="00C723B7"/>
    <w:rsid w:val="00C72490"/>
    <w:rsid w:val="00C724C3"/>
    <w:rsid w:val="00C72537"/>
    <w:rsid w:val="00C72608"/>
    <w:rsid w:val="00C72624"/>
    <w:rsid w:val="00C7275E"/>
    <w:rsid w:val="00C728AE"/>
    <w:rsid w:val="00C72933"/>
    <w:rsid w:val="00C729DC"/>
    <w:rsid w:val="00C72BE0"/>
    <w:rsid w:val="00C72D98"/>
    <w:rsid w:val="00C73026"/>
    <w:rsid w:val="00C7303C"/>
    <w:rsid w:val="00C73059"/>
    <w:rsid w:val="00C730F9"/>
    <w:rsid w:val="00C73182"/>
    <w:rsid w:val="00C73200"/>
    <w:rsid w:val="00C7322B"/>
    <w:rsid w:val="00C732AE"/>
    <w:rsid w:val="00C733AC"/>
    <w:rsid w:val="00C73609"/>
    <w:rsid w:val="00C73660"/>
    <w:rsid w:val="00C736EE"/>
    <w:rsid w:val="00C73802"/>
    <w:rsid w:val="00C7394C"/>
    <w:rsid w:val="00C73950"/>
    <w:rsid w:val="00C73975"/>
    <w:rsid w:val="00C73A5B"/>
    <w:rsid w:val="00C73C4E"/>
    <w:rsid w:val="00C73C66"/>
    <w:rsid w:val="00C73D25"/>
    <w:rsid w:val="00C73D30"/>
    <w:rsid w:val="00C73D8C"/>
    <w:rsid w:val="00C74037"/>
    <w:rsid w:val="00C741FB"/>
    <w:rsid w:val="00C741FE"/>
    <w:rsid w:val="00C7423B"/>
    <w:rsid w:val="00C74242"/>
    <w:rsid w:val="00C74343"/>
    <w:rsid w:val="00C7439A"/>
    <w:rsid w:val="00C74428"/>
    <w:rsid w:val="00C7446F"/>
    <w:rsid w:val="00C7447E"/>
    <w:rsid w:val="00C744F5"/>
    <w:rsid w:val="00C74576"/>
    <w:rsid w:val="00C745FE"/>
    <w:rsid w:val="00C7470F"/>
    <w:rsid w:val="00C74819"/>
    <w:rsid w:val="00C7490A"/>
    <w:rsid w:val="00C7492D"/>
    <w:rsid w:val="00C74AB0"/>
    <w:rsid w:val="00C74AF4"/>
    <w:rsid w:val="00C74B9A"/>
    <w:rsid w:val="00C74C43"/>
    <w:rsid w:val="00C74C84"/>
    <w:rsid w:val="00C74CAC"/>
    <w:rsid w:val="00C74CDD"/>
    <w:rsid w:val="00C74D29"/>
    <w:rsid w:val="00C74E1E"/>
    <w:rsid w:val="00C74F5C"/>
    <w:rsid w:val="00C74F71"/>
    <w:rsid w:val="00C74FDB"/>
    <w:rsid w:val="00C7508B"/>
    <w:rsid w:val="00C751D7"/>
    <w:rsid w:val="00C75210"/>
    <w:rsid w:val="00C75281"/>
    <w:rsid w:val="00C752BC"/>
    <w:rsid w:val="00C752D4"/>
    <w:rsid w:val="00C7530C"/>
    <w:rsid w:val="00C7532D"/>
    <w:rsid w:val="00C753D3"/>
    <w:rsid w:val="00C75473"/>
    <w:rsid w:val="00C7548D"/>
    <w:rsid w:val="00C754B2"/>
    <w:rsid w:val="00C755E4"/>
    <w:rsid w:val="00C75710"/>
    <w:rsid w:val="00C75766"/>
    <w:rsid w:val="00C7579F"/>
    <w:rsid w:val="00C7588F"/>
    <w:rsid w:val="00C7593C"/>
    <w:rsid w:val="00C75B31"/>
    <w:rsid w:val="00C75B5B"/>
    <w:rsid w:val="00C75CEF"/>
    <w:rsid w:val="00C75D35"/>
    <w:rsid w:val="00C75E6E"/>
    <w:rsid w:val="00C75E9E"/>
    <w:rsid w:val="00C75EAA"/>
    <w:rsid w:val="00C76033"/>
    <w:rsid w:val="00C7603E"/>
    <w:rsid w:val="00C76087"/>
    <w:rsid w:val="00C760A0"/>
    <w:rsid w:val="00C760DF"/>
    <w:rsid w:val="00C7610F"/>
    <w:rsid w:val="00C7627D"/>
    <w:rsid w:val="00C762DB"/>
    <w:rsid w:val="00C7631B"/>
    <w:rsid w:val="00C76389"/>
    <w:rsid w:val="00C764E7"/>
    <w:rsid w:val="00C7654B"/>
    <w:rsid w:val="00C7655F"/>
    <w:rsid w:val="00C76560"/>
    <w:rsid w:val="00C76570"/>
    <w:rsid w:val="00C7659F"/>
    <w:rsid w:val="00C765E8"/>
    <w:rsid w:val="00C7660F"/>
    <w:rsid w:val="00C76728"/>
    <w:rsid w:val="00C7674A"/>
    <w:rsid w:val="00C76789"/>
    <w:rsid w:val="00C7678F"/>
    <w:rsid w:val="00C76790"/>
    <w:rsid w:val="00C767C4"/>
    <w:rsid w:val="00C7690C"/>
    <w:rsid w:val="00C769A0"/>
    <w:rsid w:val="00C76BD7"/>
    <w:rsid w:val="00C76BE9"/>
    <w:rsid w:val="00C76C16"/>
    <w:rsid w:val="00C76C73"/>
    <w:rsid w:val="00C76C75"/>
    <w:rsid w:val="00C76E0F"/>
    <w:rsid w:val="00C76EBD"/>
    <w:rsid w:val="00C76ED7"/>
    <w:rsid w:val="00C76FB5"/>
    <w:rsid w:val="00C76FC4"/>
    <w:rsid w:val="00C76FF1"/>
    <w:rsid w:val="00C7701C"/>
    <w:rsid w:val="00C77024"/>
    <w:rsid w:val="00C770C5"/>
    <w:rsid w:val="00C771B3"/>
    <w:rsid w:val="00C7722C"/>
    <w:rsid w:val="00C77409"/>
    <w:rsid w:val="00C77532"/>
    <w:rsid w:val="00C77541"/>
    <w:rsid w:val="00C7788B"/>
    <w:rsid w:val="00C77A3B"/>
    <w:rsid w:val="00C77A43"/>
    <w:rsid w:val="00C77A4B"/>
    <w:rsid w:val="00C77AF3"/>
    <w:rsid w:val="00C77B18"/>
    <w:rsid w:val="00C77B20"/>
    <w:rsid w:val="00C77BF5"/>
    <w:rsid w:val="00C77CF9"/>
    <w:rsid w:val="00C77D52"/>
    <w:rsid w:val="00C77E1E"/>
    <w:rsid w:val="00C77EEC"/>
    <w:rsid w:val="00C77FA1"/>
    <w:rsid w:val="00C800DF"/>
    <w:rsid w:val="00C80171"/>
    <w:rsid w:val="00C80206"/>
    <w:rsid w:val="00C80277"/>
    <w:rsid w:val="00C80288"/>
    <w:rsid w:val="00C8030A"/>
    <w:rsid w:val="00C80377"/>
    <w:rsid w:val="00C80508"/>
    <w:rsid w:val="00C80523"/>
    <w:rsid w:val="00C80596"/>
    <w:rsid w:val="00C80682"/>
    <w:rsid w:val="00C80734"/>
    <w:rsid w:val="00C8093C"/>
    <w:rsid w:val="00C80980"/>
    <w:rsid w:val="00C80A65"/>
    <w:rsid w:val="00C80AA6"/>
    <w:rsid w:val="00C80B13"/>
    <w:rsid w:val="00C80B7F"/>
    <w:rsid w:val="00C80CC4"/>
    <w:rsid w:val="00C80DAF"/>
    <w:rsid w:val="00C80F03"/>
    <w:rsid w:val="00C8102A"/>
    <w:rsid w:val="00C810E6"/>
    <w:rsid w:val="00C812A4"/>
    <w:rsid w:val="00C81682"/>
    <w:rsid w:val="00C816BF"/>
    <w:rsid w:val="00C8171E"/>
    <w:rsid w:val="00C8177D"/>
    <w:rsid w:val="00C817C3"/>
    <w:rsid w:val="00C8198E"/>
    <w:rsid w:val="00C81AB5"/>
    <w:rsid w:val="00C81AC8"/>
    <w:rsid w:val="00C81B4D"/>
    <w:rsid w:val="00C81B5B"/>
    <w:rsid w:val="00C81BB3"/>
    <w:rsid w:val="00C81D29"/>
    <w:rsid w:val="00C81E3C"/>
    <w:rsid w:val="00C81F97"/>
    <w:rsid w:val="00C81FA9"/>
    <w:rsid w:val="00C8204C"/>
    <w:rsid w:val="00C82117"/>
    <w:rsid w:val="00C82169"/>
    <w:rsid w:val="00C822D8"/>
    <w:rsid w:val="00C823F7"/>
    <w:rsid w:val="00C8241F"/>
    <w:rsid w:val="00C824DF"/>
    <w:rsid w:val="00C824F1"/>
    <w:rsid w:val="00C82510"/>
    <w:rsid w:val="00C827AA"/>
    <w:rsid w:val="00C827B9"/>
    <w:rsid w:val="00C827E7"/>
    <w:rsid w:val="00C828D4"/>
    <w:rsid w:val="00C8295C"/>
    <w:rsid w:val="00C82960"/>
    <w:rsid w:val="00C829BA"/>
    <w:rsid w:val="00C82A81"/>
    <w:rsid w:val="00C82C30"/>
    <w:rsid w:val="00C82D57"/>
    <w:rsid w:val="00C82DAD"/>
    <w:rsid w:val="00C82E01"/>
    <w:rsid w:val="00C82E60"/>
    <w:rsid w:val="00C82ED7"/>
    <w:rsid w:val="00C82F13"/>
    <w:rsid w:val="00C82F86"/>
    <w:rsid w:val="00C831E5"/>
    <w:rsid w:val="00C832B3"/>
    <w:rsid w:val="00C83318"/>
    <w:rsid w:val="00C833D8"/>
    <w:rsid w:val="00C83422"/>
    <w:rsid w:val="00C834C0"/>
    <w:rsid w:val="00C834C2"/>
    <w:rsid w:val="00C834D4"/>
    <w:rsid w:val="00C83544"/>
    <w:rsid w:val="00C835F9"/>
    <w:rsid w:val="00C83671"/>
    <w:rsid w:val="00C836A0"/>
    <w:rsid w:val="00C83831"/>
    <w:rsid w:val="00C8386E"/>
    <w:rsid w:val="00C838DB"/>
    <w:rsid w:val="00C839A5"/>
    <w:rsid w:val="00C839C8"/>
    <w:rsid w:val="00C839F3"/>
    <w:rsid w:val="00C83A69"/>
    <w:rsid w:val="00C83B96"/>
    <w:rsid w:val="00C83BD4"/>
    <w:rsid w:val="00C83C80"/>
    <w:rsid w:val="00C83E78"/>
    <w:rsid w:val="00C83EEC"/>
    <w:rsid w:val="00C83FB6"/>
    <w:rsid w:val="00C8408E"/>
    <w:rsid w:val="00C840C1"/>
    <w:rsid w:val="00C840D9"/>
    <w:rsid w:val="00C8414C"/>
    <w:rsid w:val="00C84284"/>
    <w:rsid w:val="00C8438E"/>
    <w:rsid w:val="00C843FA"/>
    <w:rsid w:val="00C844B2"/>
    <w:rsid w:val="00C846C2"/>
    <w:rsid w:val="00C846D3"/>
    <w:rsid w:val="00C848B6"/>
    <w:rsid w:val="00C848DB"/>
    <w:rsid w:val="00C849E7"/>
    <w:rsid w:val="00C84B26"/>
    <w:rsid w:val="00C84BEA"/>
    <w:rsid w:val="00C84C7B"/>
    <w:rsid w:val="00C84D0C"/>
    <w:rsid w:val="00C84FF5"/>
    <w:rsid w:val="00C85019"/>
    <w:rsid w:val="00C85055"/>
    <w:rsid w:val="00C85127"/>
    <w:rsid w:val="00C851CB"/>
    <w:rsid w:val="00C85211"/>
    <w:rsid w:val="00C85221"/>
    <w:rsid w:val="00C85245"/>
    <w:rsid w:val="00C852CD"/>
    <w:rsid w:val="00C852EB"/>
    <w:rsid w:val="00C853B9"/>
    <w:rsid w:val="00C853FD"/>
    <w:rsid w:val="00C85417"/>
    <w:rsid w:val="00C8541E"/>
    <w:rsid w:val="00C854AD"/>
    <w:rsid w:val="00C854FE"/>
    <w:rsid w:val="00C856FC"/>
    <w:rsid w:val="00C85744"/>
    <w:rsid w:val="00C8577B"/>
    <w:rsid w:val="00C8586B"/>
    <w:rsid w:val="00C85881"/>
    <w:rsid w:val="00C85888"/>
    <w:rsid w:val="00C858C8"/>
    <w:rsid w:val="00C859FD"/>
    <w:rsid w:val="00C85B21"/>
    <w:rsid w:val="00C85BAC"/>
    <w:rsid w:val="00C85C4F"/>
    <w:rsid w:val="00C85CA2"/>
    <w:rsid w:val="00C85CD7"/>
    <w:rsid w:val="00C85F61"/>
    <w:rsid w:val="00C85F74"/>
    <w:rsid w:val="00C860C4"/>
    <w:rsid w:val="00C860E5"/>
    <w:rsid w:val="00C861B5"/>
    <w:rsid w:val="00C86265"/>
    <w:rsid w:val="00C8632B"/>
    <w:rsid w:val="00C86342"/>
    <w:rsid w:val="00C8637A"/>
    <w:rsid w:val="00C8656E"/>
    <w:rsid w:val="00C8658E"/>
    <w:rsid w:val="00C865C3"/>
    <w:rsid w:val="00C86654"/>
    <w:rsid w:val="00C86662"/>
    <w:rsid w:val="00C8666D"/>
    <w:rsid w:val="00C86675"/>
    <w:rsid w:val="00C866A5"/>
    <w:rsid w:val="00C8671C"/>
    <w:rsid w:val="00C8672B"/>
    <w:rsid w:val="00C8674D"/>
    <w:rsid w:val="00C86781"/>
    <w:rsid w:val="00C867F4"/>
    <w:rsid w:val="00C868A7"/>
    <w:rsid w:val="00C8693F"/>
    <w:rsid w:val="00C86A43"/>
    <w:rsid w:val="00C86A64"/>
    <w:rsid w:val="00C86BD9"/>
    <w:rsid w:val="00C86C4A"/>
    <w:rsid w:val="00C86C53"/>
    <w:rsid w:val="00C86CF8"/>
    <w:rsid w:val="00C86D53"/>
    <w:rsid w:val="00C86D76"/>
    <w:rsid w:val="00C86DB4"/>
    <w:rsid w:val="00C86DF9"/>
    <w:rsid w:val="00C86E14"/>
    <w:rsid w:val="00C86EB7"/>
    <w:rsid w:val="00C86EC7"/>
    <w:rsid w:val="00C86FCF"/>
    <w:rsid w:val="00C8708A"/>
    <w:rsid w:val="00C87169"/>
    <w:rsid w:val="00C871A3"/>
    <w:rsid w:val="00C871C7"/>
    <w:rsid w:val="00C872A0"/>
    <w:rsid w:val="00C87337"/>
    <w:rsid w:val="00C875AA"/>
    <w:rsid w:val="00C875C3"/>
    <w:rsid w:val="00C87705"/>
    <w:rsid w:val="00C87768"/>
    <w:rsid w:val="00C878CE"/>
    <w:rsid w:val="00C87924"/>
    <w:rsid w:val="00C879B7"/>
    <w:rsid w:val="00C87AA3"/>
    <w:rsid w:val="00C87B47"/>
    <w:rsid w:val="00C87C7A"/>
    <w:rsid w:val="00C87D1B"/>
    <w:rsid w:val="00C87E5F"/>
    <w:rsid w:val="00C87F53"/>
    <w:rsid w:val="00C90111"/>
    <w:rsid w:val="00C9011F"/>
    <w:rsid w:val="00C901DF"/>
    <w:rsid w:val="00C90278"/>
    <w:rsid w:val="00C90339"/>
    <w:rsid w:val="00C903CF"/>
    <w:rsid w:val="00C9050E"/>
    <w:rsid w:val="00C9051E"/>
    <w:rsid w:val="00C9068E"/>
    <w:rsid w:val="00C906C6"/>
    <w:rsid w:val="00C9083C"/>
    <w:rsid w:val="00C90846"/>
    <w:rsid w:val="00C90872"/>
    <w:rsid w:val="00C908BB"/>
    <w:rsid w:val="00C908C9"/>
    <w:rsid w:val="00C908CB"/>
    <w:rsid w:val="00C90A35"/>
    <w:rsid w:val="00C90BC0"/>
    <w:rsid w:val="00C90BDA"/>
    <w:rsid w:val="00C90C7B"/>
    <w:rsid w:val="00C90CD6"/>
    <w:rsid w:val="00C90D01"/>
    <w:rsid w:val="00C90DED"/>
    <w:rsid w:val="00C90E3A"/>
    <w:rsid w:val="00C90ECB"/>
    <w:rsid w:val="00C90F79"/>
    <w:rsid w:val="00C90FD6"/>
    <w:rsid w:val="00C90FD8"/>
    <w:rsid w:val="00C91007"/>
    <w:rsid w:val="00C91103"/>
    <w:rsid w:val="00C91122"/>
    <w:rsid w:val="00C91147"/>
    <w:rsid w:val="00C91186"/>
    <w:rsid w:val="00C911CF"/>
    <w:rsid w:val="00C9122F"/>
    <w:rsid w:val="00C9123E"/>
    <w:rsid w:val="00C91464"/>
    <w:rsid w:val="00C914B6"/>
    <w:rsid w:val="00C914C8"/>
    <w:rsid w:val="00C91619"/>
    <w:rsid w:val="00C91651"/>
    <w:rsid w:val="00C9165D"/>
    <w:rsid w:val="00C91726"/>
    <w:rsid w:val="00C9178B"/>
    <w:rsid w:val="00C917B0"/>
    <w:rsid w:val="00C91830"/>
    <w:rsid w:val="00C918DA"/>
    <w:rsid w:val="00C918F7"/>
    <w:rsid w:val="00C91926"/>
    <w:rsid w:val="00C919CC"/>
    <w:rsid w:val="00C919D0"/>
    <w:rsid w:val="00C91B34"/>
    <w:rsid w:val="00C91B65"/>
    <w:rsid w:val="00C91CB9"/>
    <w:rsid w:val="00C91E3C"/>
    <w:rsid w:val="00C92093"/>
    <w:rsid w:val="00C92174"/>
    <w:rsid w:val="00C921B9"/>
    <w:rsid w:val="00C9233E"/>
    <w:rsid w:val="00C92386"/>
    <w:rsid w:val="00C923BF"/>
    <w:rsid w:val="00C924DD"/>
    <w:rsid w:val="00C92686"/>
    <w:rsid w:val="00C92698"/>
    <w:rsid w:val="00C9269F"/>
    <w:rsid w:val="00C928C9"/>
    <w:rsid w:val="00C928EF"/>
    <w:rsid w:val="00C92AEA"/>
    <w:rsid w:val="00C92B4D"/>
    <w:rsid w:val="00C92B6F"/>
    <w:rsid w:val="00C92B9E"/>
    <w:rsid w:val="00C92DA4"/>
    <w:rsid w:val="00C92E31"/>
    <w:rsid w:val="00C92E6C"/>
    <w:rsid w:val="00C93133"/>
    <w:rsid w:val="00C931E7"/>
    <w:rsid w:val="00C9321F"/>
    <w:rsid w:val="00C93303"/>
    <w:rsid w:val="00C93413"/>
    <w:rsid w:val="00C93444"/>
    <w:rsid w:val="00C93449"/>
    <w:rsid w:val="00C9352E"/>
    <w:rsid w:val="00C93678"/>
    <w:rsid w:val="00C93688"/>
    <w:rsid w:val="00C936DB"/>
    <w:rsid w:val="00C936E9"/>
    <w:rsid w:val="00C9371F"/>
    <w:rsid w:val="00C93726"/>
    <w:rsid w:val="00C93737"/>
    <w:rsid w:val="00C93765"/>
    <w:rsid w:val="00C937C0"/>
    <w:rsid w:val="00C937F2"/>
    <w:rsid w:val="00C937FF"/>
    <w:rsid w:val="00C938A6"/>
    <w:rsid w:val="00C939B3"/>
    <w:rsid w:val="00C93A07"/>
    <w:rsid w:val="00C93BFD"/>
    <w:rsid w:val="00C93CE3"/>
    <w:rsid w:val="00C93D1A"/>
    <w:rsid w:val="00C93D1D"/>
    <w:rsid w:val="00C93D22"/>
    <w:rsid w:val="00C93D2B"/>
    <w:rsid w:val="00C93D72"/>
    <w:rsid w:val="00C93E58"/>
    <w:rsid w:val="00C940D6"/>
    <w:rsid w:val="00C94101"/>
    <w:rsid w:val="00C9411E"/>
    <w:rsid w:val="00C941C8"/>
    <w:rsid w:val="00C942BB"/>
    <w:rsid w:val="00C94342"/>
    <w:rsid w:val="00C94347"/>
    <w:rsid w:val="00C943CF"/>
    <w:rsid w:val="00C945F0"/>
    <w:rsid w:val="00C94671"/>
    <w:rsid w:val="00C94784"/>
    <w:rsid w:val="00C9483C"/>
    <w:rsid w:val="00C9485A"/>
    <w:rsid w:val="00C94988"/>
    <w:rsid w:val="00C949AC"/>
    <w:rsid w:val="00C94A9F"/>
    <w:rsid w:val="00C94B0E"/>
    <w:rsid w:val="00C94B9B"/>
    <w:rsid w:val="00C94CA4"/>
    <w:rsid w:val="00C94CBF"/>
    <w:rsid w:val="00C94F0A"/>
    <w:rsid w:val="00C94FF0"/>
    <w:rsid w:val="00C9527C"/>
    <w:rsid w:val="00C952D2"/>
    <w:rsid w:val="00C953DB"/>
    <w:rsid w:val="00C95442"/>
    <w:rsid w:val="00C9545C"/>
    <w:rsid w:val="00C955B9"/>
    <w:rsid w:val="00C955BB"/>
    <w:rsid w:val="00C9570F"/>
    <w:rsid w:val="00C9596B"/>
    <w:rsid w:val="00C959D5"/>
    <w:rsid w:val="00C95A26"/>
    <w:rsid w:val="00C95A63"/>
    <w:rsid w:val="00C95BDF"/>
    <w:rsid w:val="00C95C0E"/>
    <w:rsid w:val="00C95C51"/>
    <w:rsid w:val="00C95CB2"/>
    <w:rsid w:val="00C95D55"/>
    <w:rsid w:val="00C960D4"/>
    <w:rsid w:val="00C96157"/>
    <w:rsid w:val="00C9616D"/>
    <w:rsid w:val="00C962F8"/>
    <w:rsid w:val="00C96304"/>
    <w:rsid w:val="00C96386"/>
    <w:rsid w:val="00C9638F"/>
    <w:rsid w:val="00C963FA"/>
    <w:rsid w:val="00C9641C"/>
    <w:rsid w:val="00C96565"/>
    <w:rsid w:val="00C96604"/>
    <w:rsid w:val="00C966B5"/>
    <w:rsid w:val="00C96728"/>
    <w:rsid w:val="00C9677F"/>
    <w:rsid w:val="00C967CE"/>
    <w:rsid w:val="00C9693C"/>
    <w:rsid w:val="00C96966"/>
    <w:rsid w:val="00C96997"/>
    <w:rsid w:val="00C96A03"/>
    <w:rsid w:val="00C96A49"/>
    <w:rsid w:val="00C96AB2"/>
    <w:rsid w:val="00C96CE7"/>
    <w:rsid w:val="00C96E9D"/>
    <w:rsid w:val="00C96ECD"/>
    <w:rsid w:val="00C97083"/>
    <w:rsid w:val="00C970B2"/>
    <w:rsid w:val="00C970BE"/>
    <w:rsid w:val="00C97335"/>
    <w:rsid w:val="00C97389"/>
    <w:rsid w:val="00C973C1"/>
    <w:rsid w:val="00C973C9"/>
    <w:rsid w:val="00C9742F"/>
    <w:rsid w:val="00C974BB"/>
    <w:rsid w:val="00C974D5"/>
    <w:rsid w:val="00C9751C"/>
    <w:rsid w:val="00C9764A"/>
    <w:rsid w:val="00C97749"/>
    <w:rsid w:val="00C9785E"/>
    <w:rsid w:val="00C978C0"/>
    <w:rsid w:val="00C979B1"/>
    <w:rsid w:val="00C97A2F"/>
    <w:rsid w:val="00C97A62"/>
    <w:rsid w:val="00C97B67"/>
    <w:rsid w:val="00C97C70"/>
    <w:rsid w:val="00C97D55"/>
    <w:rsid w:val="00C97E4C"/>
    <w:rsid w:val="00C97E5C"/>
    <w:rsid w:val="00CA0018"/>
    <w:rsid w:val="00CA0050"/>
    <w:rsid w:val="00CA014F"/>
    <w:rsid w:val="00CA0179"/>
    <w:rsid w:val="00CA01AE"/>
    <w:rsid w:val="00CA0268"/>
    <w:rsid w:val="00CA02B9"/>
    <w:rsid w:val="00CA0404"/>
    <w:rsid w:val="00CA04C3"/>
    <w:rsid w:val="00CA0527"/>
    <w:rsid w:val="00CA05EA"/>
    <w:rsid w:val="00CA06E8"/>
    <w:rsid w:val="00CA0734"/>
    <w:rsid w:val="00CA0759"/>
    <w:rsid w:val="00CA0798"/>
    <w:rsid w:val="00CA07AF"/>
    <w:rsid w:val="00CA07C8"/>
    <w:rsid w:val="00CA07D5"/>
    <w:rsid w:val="00CA07EB"/>
    <w:rsid w:val="00CA0885"/>
    <w:rsid w:val="00CA08B5"/>
    <w:rsid w:val="00CA096C"/>
    <w:rsid w:val="00CA0A21"/>
    <w:rsid w:val="00CA0A87"/>
    <w:rsid w:val="00CA0A9C"/>
    <w:rsid w:val="00CA0CF3"/>
    <w:rsid w:val="00CA0D7A"/>
    <w:rsid w:val="00CA0EE9"/>
    <w:rsid w:val="00CA0F13"/>
    <w:rsid w:val="00CA0FF4"/>
    <w:rsid w:val="00CA1032"/>
    <w:rsid w:val="00CA1079"/>
    <w:rsid w:val="00CA10D6"/>
    <w:rsid w:val="00CA1145"/>
    <w:rsid w:val="00CA1225"/>
    <w:rsid w:val="00CA1252"/>
    <w:rsid w:val="00CA1319"/>
    <w:rsid w:val="00CA1475"/>
    <w:rsid w:val="00CA1556"/>
    <w:rsid w:val="00CA15BB"/>
    <w:rsid w:val="00CA15F3"/>
    <w:rsid w:val="00CA1630"/>
    <w:rsid w:val="00CA16DE"/>
    <w:rsid w:val="00CA184F"/>
    <w:rsid w:val="00CA1957"/>
    <w:rsid w:val="00CA1AD7"/>
    <w:rsid w:val="00CA1B26"/>
    <w:rsid w:val="00CA1B27"/>
    <w:rsid w:val="00CA1BCA"/>
    <w:rsid w:val="00CA1BFA"/>
    <w:rsid w:val="00CA1C6A"/>
    <w:rsid w:val="00CA1CCE"/>
    <w:rsid w:val="00CA1D2A"/>
    <w:rsid w:val="00CA1E2D"/>
    <w:rsid w:val="00CA1ED8"/>
    <w:rsid w:val="00CA1FAE"/>
    <w:rsid w:val="00CA1FF6"/>
    <w:rsid w:val="00CA2396"/>
    <w:rsid w:val="00CA25C0"/>
    <w:rsid w:val="00CA2610"/>
    <w:rsid w:val="00CA268B"/>
    <w:rsid w:val="00CA281E"/>
    <w:rsid w:val="00CA28C4"/>
    <w:rsid w:val="00CA2A4B"/>
    <w:rsid w:val="00CA2A81"/>
    <w:rsid w:val="00CA2BA4"/>
    <w:rsid w:val="00CA2BC3"/>
    <w:rsid w:val="00CA2CA3"/>
    <w:rsid w:val="00CA2DC6"/>
    <w:rsid w:val="00CA2DC7"/>
    <w:rsid w:val="00CA2EC8"/>
    <w:rsid w:val="00CA2F93"/>
    <w:rsid w:val="00CA3036"/>
    <w:rsid w:val="00CA30FE"/>
    <w:rsid w:val="00CA31E1"/>
    <w:rsid w:val="00CA325C"/>
    <w:rsid w:val="00CA32D7"/>
    <w:rsid w:val="00CA3304"/>
    <w:rsid w:val="00CA33ED"/>
    <w:rsid w:val="00CA3479"/>
    <w:rsid w:val="00CA3566"/>
    <w:rsid w:val="00CA35C1"/>
    <w:rsid w:val="00CA3753"/>
    <w:rsid w:val="00CA3894"/>
    <w:rsid w:val="00CA395A"/>
    <w:rsid w:val="00CA3973"/>
    <w:rsid w:val="00CA39C4"/>
    <w:rsid w:val="00CA3A0A"/>
    <w:rsid w:val="00CA3A7A"/>
    <w:rsid w:val="00CA3AEF"/>
    <w:rsid w:val="00CA3AF7"/>
    <w:rsid w:val="00CA3AFA"/>
    <w:rsid w:val="00CA3B97"/>
    <w:rsid w:val="00CA3BE4"/>
    <w:rsid w:val="00CA3C26"/>
    <w:rsid w:val="00CA3C62"/>
    <w:rsid w:val="00CA3D80"/>
    <w:rsid w:val="00CA3DB5"/>
    <w:rsid w:val="00CA3DCE"/>
    <w:rsid w:val="00CA3E14"/>
    <w:rsid w:val="00CA3E5D"/>
    <w:rsid w:val="00CA3F7C"/>
    <w:rsid w:val="00CA4016"/>
    <w:rsid w:val="00CA4056"/>
    <w:rsid w:val="00CA406C"/>
    <w:rsid w:val="00CA419A"/>
    <w:rsid w:val="00CA41D8"/>
    <w:rsid w:val="00CA4276"/>
    <w:rsid w:val="00CA42CA"/>
    <w:rsid w:val="00CA42ED"/>
    <w:rsid w:val="00CA43F8"/>
    <w:rsid w:val="00CA4545"/>
    <w:rsid w:val="00CA480C"/>
    <w:rsid w:val="00CA48F5"/>
    <w:rsid w:val="00CA496B"/>
    <w:rsid w:val="00CA4BD0"/>
    <w:rsid w:val="00CA4DB5"/>
    <w:rsid w:val="00CA4E06"/>
    <w:rsid w:val="00CA4ECA"/>
    <w:rsid w:val="00CA4F15"/>
    <w:rsid w:val="00CA5034"/>
    <w:rsid w:val="00CA5148"/>
    <w:rsid w:val="00CA52E4"/>
    <w:rsid w:val="00CA5307"/>
    <w:rsid w:val="00CA53CE"/>
    <w:rsid w:val="00CA53F4"/>
    <w:rsid w:val="00CA5446"/>
    <w:rsid w:val="00CA5513"/>
    <w:rsid w:val="00CA5533"/>
    <w:rsid w:val="00CA5562"/>
    <w:rsid w:val="00CA562C"/>
    <w:rsid w:val="00CA5670"/>
    <w:rsid w:val="00CA56AB"/>
    <w:rsid w:val="00CA56F0"/>
    <w:rsid w:val="00CA5762"/>
    <w:rsid w:val="00CA57C1"/>
    <w:rsid w:val="00CA57CB"/>
    <w:rsid w:val="00CA57D6"/>
    <w:rsid w:val="00CA57EA"/>
    <w:rsid w:val="00CA5908"/>
    <w:rsid w:val="00CA5A64"/>
    <w:rsid w:val="00CA5AE7"/>
    <w:rsid w:val="00CA5B44"/>
    <w:rsid w:val="00CA5B68"/>
    <w:rsid w:val="00CA5C9E"/>
    <w:rsid w:val="00CA5D81"/>
    <w:rsid w:val="00CA5EE2"/>
    <w:rsid w:val="00CA5F7A"/>
    <w:rsid w:val="00CA5FDD"/>
    <w:rsid w:val="00CA6048"/>
    <w:rsid w:val="00CA6049"/>
    <w:rsid w:val="00CA60C8"/>
    <w:rsid w:val="00CA6165"/>
    <w:rsid w:val="00CA6208"/>
    <w:rsid w:val="00CA625F"/>
    <w:rsid w:val="00CA62B4"/>
    <w:rsid w:val="00CA62F9"/>
    <w:rsid w:val="00CA6321"/>
    <w:rsid w:val="00CA6399"/>
    <w:rsid w:val="00CA65D5"/>
    <w:rsid w:val="00CA65EC"/>
    <w:rsid w:val="00CA66B8"/>
    <w:rsid w:val="00CA66E1"/>
    <w:rsid w:val="00CA6723"/>
    <w:rsid w:val="00CA685F"/>
    <w:rsid w:val="00CA6877"/>
    <w:rsid w:val="00CA6933"/>
    <w:rsid w:val="00CA695B"/>
    <w:rsid w:val="00CA6988"/>
    <w:rsid w:val="00CA69CF"/>
    <w:rsid w:val="00CA69DF"/>
    <w:rsid w:val="00CA6A65"/>
    <w:rsid w:val="00CA6A8C"/>
    <w:rsid w:val="00CA6AAD"/>
    <w:rsid w:val="00CA6BB9"/>
    <w:rsid w:val="00CA6BC7"/>
    <w:rsid w:val="00CA6BF5"/>
    <w:rsid w:val="00CA6C15"/>
    <w:rsid w:val="00CA6C24"/>
    <w:rsid w:val="00CA6D3C"/>
    <w:rsid w:val="00CA6D60"/>
    <w:rsid w:val="00CA6E75"/>
    <w:rsid w:val="00CA6EF7"/>
    <w:rsid w:val="00CA6F33"/>
    <w:rsid w:val="00CA6F63"/>
    <w:rsid w:val="00CA6FA0"/>
    <w:rsid w:val="00CA70AF"/>
    <w:rsid w:val="00CA718B"/>
    <w:rsid w:val="00CA7282"/>
    <w:rsid w:val="00CA72F9"/>
    <w:rsid w:val="00CA7334"/>
    <w:rsid w:val="00CA7437"/>
    <w:rsid w:val="00CA747E"/>
    <w:rsid w:val="00CA74AB"/>
    <w:rsid w:val="00CA74C4"/>
    <w:rsid w:val="00CA74ED"/>
    <w:rsid w:val="00CA751F"/>
    <w:rsid w:val="00CA7532"/>
    <w:rsid w:val="00CA75C8"/>
    <w:rsid w:val="00CA763E"/>
    <w:rsid w:val="00CA768E"/>
    <w:rsid w:val="00CA76AF"/>
    <w:rsid w:val="00CA7718"/>
    <w:rsid w:val="00CA7754"/>
    <w:rsid w:val="00CA781C"/>
    <w:rsid w:val="00CA78C9"/>
    <w:rsid w:val="00CA79AB"/>
    <w:rsid w:val="00CA7A52"/>
    <w:rsid w:val="00CA7B75"/>
    <w:rsid w:val="00CA7C3D"/>
    <w:rsid w:val="00CA7C6B"/>
    <w:rsid w:val="00CA7D6C"/>
    <w:rsid w:val="00CA7D76"/>
    <w:rsid w:val="00CA7EB9"/>
    <w:rsid w:val="00CA7F78"/>
    <w:rsid w:val="00CA7F90"/>
    <w:rsid w:val="00CA7FAA"/>
    <w:rsid w:val="00CB0096"/>
    <w:rsid w:val="00CB00ED"/>
    <w:rsid w:val="00CB0145"/>
    <w:rsid w:val="00CB019D"/>
    <w:rsid w:val="00CB0499"/>
    <w:rsid w:val="00CB04FF"/>
    <w:rsid w:val="00CB050A"/>
    <w:rsid w:val="00CB0599"/>
    <w:rsid w:val="00CB05F5"/>
    <w:rsid w:val="00CB06E1"/>
    <w:rsid w:val="00CB0721"/>
    <w:rsid w:val="00CB0796"/>
    <w:rsid w:val="00CB07DE"/>
    <w:rsid w:val="00CB098B"/>
    <w:rsid w:val="00CB09FA"/>
    <w:rsid w:val="00CB0A81"/>
    <w:rsid w:val="00CB0B31"/>
    <w:rsid w:val="00CB0B49"/>
    <w:rsid w:val="00CB0C69"/>
    <w:rsid w:val="00CB0CA3"/>
    <w:rsid w:val="00CB0D14"/>
    <w:rsid w:val="00CB0D6F"/>
    <w:rsid w:val="00CB0DEE"/>
    <w:rsid w:val="00CB0FAB"/>
    <w:rsid w:val="00CB104F"/>
    <w:rsid w:val="00CB109A"/>
    <w:rsid w:val="00CB10CB"/>
    <w:rsid w:val="00CB124A"/>
    <w:rsid w:val="00CB12AA"/>
    <w:rsid w:val="00CB12D1"/>
    <w:rsid w:val="00CB1315"/>
    <w:rsid w:val="00CB1491"/>
    <w:rsid w:val="00CB14E1"/>
    <w:rsid w:val="00CB156F"/>
    <w:rsid w:val="00CB16BB"/>
    <w:rsid w:val="00CB1722"/>
    <w:rsid w:val="00CB1794"/>
    <w:rsid w:val="00CB1803"/>
    <w:rsid w:val="00CB1834"/>
    <w:rsid w:val="00CB1853"/>
    <w:rsid w:val="00CB189D"/>
    <w:rsid w:val="00CB18F5"/>
    <w:rsid w:val="00CB1979"/>
    <w:rsid w:val="00CB1A1A"/>
    <w:rsid w:val="00CB1AB2"/>
    <w:rsid w:val="00CB1B16"/>
    <w:rsid w:val="00CB1B1D"/>
    <w:rsid w:val="00CB1BB3"/>
    <w:rsid w:val="00CB1BF2"/>
    <w:rsid w:val="00CB1E90"/>
    <w:rsid w:val="00CB1ECF"/>
    <w:rsid w:val="00CB1EE0"/>
    <w:rsid w:val="00CB20E4"/>
    <w:rsid w:val="00CB213F"/>
    <w:rsid w:val="00CB2161"/>
    <w:rsid w:val="00CB224E"/>
    <w:rsid w:val="00CB24A5"/>
    <w:rsid w:val="00CB2720"/>
    <w:rsid w:val="00CB2728"/>
    <w:rsid w:val="00CB2730"/>
    <w:rsid w:val="00CB273A"/>
    <w:rsid w:val="00CB2753"/>
    <w:rsid w:val="00CB2757"/>
    <w:rsid w:val="00CB276B"/>
    <w:rsid w:val="00CB284B"/>
    <w:rsid w:val="00CB285B"/>
    <w:rsid w:val="00CB295A"/>
    <w:rsid w:val="00CB298E"/>
    <w:rsid w:val="00CB2A59"/>
    <w:rsid w:val="00CB2A9A"/>
    <w:rsid w:val="00CB2B14"/>
    <w:rsid w:val="00CB2C18"/>
    <w:rsid w:val="00CB2C6F"/>
    <w:rsid w:val="00CB2DC7"/>
    <w:rsid w:val="00CB2DD9"/>
    <w:rsid w:val="00CB2DED"/>
    <w:rsid w:val="00CB2E04"/>
    <w:rsid w:val="00CB2EF4"/>
    <w:rsid w:val="00CB2F7B"/>
    <w:rsid w:val="00CB3033"/>
    <w:rsid w:val="00CB313F"/>
    <w:rsid w:val="00CB3153"/>
    <w:rsid w:val="00CB31B8"/>
    <w:rsid w:val="00CB321B"/>
    <w:rsid w:val="00CB326E"/>
    <w:rsid w:val="00CB32AD"/>
    <w:rsid w:val="00CB347A"/>
    <w:rsid w:val="00CB3495"/>
    <w:rsid w:val="00CB36C0"/>
    <w:rsid w:val="00CB36E5"/>
    <w:rsid w:val="00CB3728"/>
    <w:rsid w:val="00CB37F3"/>
    <w:rsid w:val="00CB38F7"/>
    <w:rsid w:val="00CB38FD"/>
    <w:rsid w:val="00CB3994"/>
    <w:rsid w:val="00CB39C9"/>
    <w:rsid w:val="00CB3A3F"/>
    <w:rsid w:val="00CB3A90"/>
    <w:rsid w:val="00CB3AF9"/>
    <w:rsid w:val="00CB3BD7"/>
    <w:rsid w:val="00CB3C09"/>
    <w:rsid w:val="00CB3C27"/>
    <w:rsid w:val="00CB3C5F"/>
    <w:rsid w:val="00CB3C7A"/>
    <w:rsid w:val="00CB3C9C"/>
    <w:rsid w:val="00CB3CC1"/>
    <w:rsid w:val="00CB3CCD"/>
    <w:rsid w:val="00CB3D67"/>
    <w:rsid w:val="00CB3D77"/>
    <w:rsid w:val="00CB3E2C"/>
    <w:rsid w:val="00CB3EA9"/>
    <w:rsid w:val="00CB3F15"/>
    <w:rsid w:val="00CB3F51"/>
    <w:rsid w:val="00CB3FBB"/>
    <w:rsid w:val="00CB40F6"/>
    <w:rsid w:val="00CB4275"/>
    <w:rsid w:val="00CB427A"/>
    <w:rsid w:val="00CB42CC"/>
    <w:rsid w:val="00CB4327"/>
    <w:rsid w:val="00CB4381"/>
    <w:rsid w:val="00CB43CB"/>
    <w:rsid w:val="00CB442D"/>
    <w:rsid w:val="00CB4484"/>
    <w:rsid w:val="00CB44E3"/>
    <w:rsid w:val="00CB44FC"/>
    <w:rsid w:val="00CB4514"/>
    <w:rsid w:val="00CB4543"/>
    <w:rsid w:val="00CB45C1"/>
    <w:rsid w:val="00CB4668"/>
    <w:rsid w:val="00CB46A3"/>
    <w:rsid w:val="00CB4894"/>
    <w:rsid w:val="00CB4957"/>
    <w:rsid w:val="00CB4B12"/>
    <w:rsid w:val="00CB4C23"/>
    <w:rsid w:val="00CB4D1B"/>
    <w:rsid w:val="00CB4E60"/>
    <w:rsid w:val="00CB4F90"/>
    <w:rsid w:val="00CB5091"/>
    <w:rsid w:val="00CB512A"/>
    <w:rsid w:val="00CB5183"/>
    <w:rsid w:val="00CB5203"/>
    <w:rsid w:val="00CB5383"/>
    <w:rsid w:val="00CB5440"/>
    <w:rsid w:val="00CB5456"/>
    <w:rsid w:val="00CB5458"/>
    <w:rsid w:val="00CB5574"/>
    <w:rsid w:val="00CB57B1"/>
    <w:rsid w:val="00CB584D"/>
    <w:rsid w:val="00CB5900"/>
    <w:rsid w:val="00CB5956"/>
    <w:rsid w:val="00CB5A20"/>
    <w:rsid w:val="00CB5A59"/>
    <w:rsid w:val="00CB5AA9"/>
    <w:rsid w:val="00CB5CE9"/>
    <w:rsid w:val="00CB5D69"/>
    <w:rsid w:val="00CB5DA0"/>
    <w:rsid w:val="00CB5F51"/>
    <w:rsid w:val="00CB5F5D"/>
    <w:rsid w:val="00CB5F69"/>
    <w:rsid w:val="00CB5FD4"/>
    <w:rsid w:val="00CB6114"/>
    <w:rsid w:val="00CB616B"/>
    <w:rsid w:val="00CB61EB"/>
    <w:rsid w:val="00CB61EC"/>
    <w:rsid w:val="00CB6413"/>
    <w:rsid w:val="00CB64BC"/>
    <w:rsid w:val="00CB659B"/>
    <w:rsid w:val="00CB66B6"/>
    <w:rsid w:val="00CB67E7"/>
    <w:rsid w:val="00CB67FA"/>
    <w:rsid w:val="00CB6873"/>
    <w:rsid w:val="00CB68C3"/>
    <w:rsid w:val="00CB69C2"/>
    <w:rsid w:val="00CB69D5"/>
    <w:rsid w:val="00CB6A1E"/>
    <w:rsid w:val="00CB6A88"/>
    <w:rsid w:val="00CB6DEF"/>
    <w:rsid w:val="00CB6E09"/>
    <w:rsid w:val="00CB6E1B"/>
    <w:rsid w:val="00CB6E9F"/>
    <w:rsid w:val="00CB6F2F"/>
    <w:rsid w:val="00CB6F55"/>
    <w:rsid w:val="00CB700D"/>
    <w:rsid w:val="00CB7022"/>
    <w:rsid w:val="00CB7043"/>
    <w:rsid w:val="00CB70E2"/>
    <w:rsid w:val="00CB7126"/>
    <w:rsid w:val="00CB7136"/>
    <w:rsid w:val="00CB71A5"/>
    <w:rsid w:val="00CB72CD"/>
    <w:rsid w:val="00CB743D"/>
    <w:rsid w:val="00CB7466"/>
    <w:rsid w:val="00CB7610"/>
    <w:rsid w:val="00CB762D"/>
    <w:rsid w:val="00CB763A"/>
    <w:rsid w:val="00CB7669"/>
    <w:rsid w:val="00CB772A"/>
    <w:rsid w:val="00CB77AB"/>
    <w:rsid w:val="00CB7822"/>
    <w:rsid w:val="00CB78D1"/>
    <w:rsid w:val="00CB7904"/>
    <w:rsid w:val="00CB7922"/>
    <w:rsid w:val="00CB79F1"/>
    <w:rsid w:val="00CB7A29"/>
    <w:rsid w:val="00CB7A9D"/>
    <w:rsid w:val="00CB7ABE"/>
    <w:rsid w:val="00CB7B3D"/>
    <w:rsid w:val="00CB7BA3"/>
    <w:rsid w:val="00CB7BE4"/>
    <w:rsid w:val="00CB7CAC"/>
    <w:rsid w:val="00CC0014"/>
    <w:rsid w:val="00CC0083"/>
    <w:rsid w:val="00CC018A"/>
    <w:rsid w:val="00CC021C"/>
    <w:rsid w:val="00CC0239"/>
    <w:rsid w:val="00CC02E4"/>
    <w:rsid w:val="00CC034C"/>
    <w:rsid w:val="00CC03CE"/>
    <w:rsid w:val="00CC040E"/>
    <w:rsid w:val="00CC050C"/>
    <w:rsid w:val="00CC0608"/>
    <w:rsid w:val="00CC06C6"/>
    <w:rsid w:val="00CC0711"/>
    <w:rsid w:val="00CC078C"/>
    <w:rsid w:val="00CC07CB"/>
    <w:rsid w:val="00CC07E2"/>
    <w:rsid w:val="00CC07FB"/>
    <w:rsid w:val="00CC08A6"/>
    <w:rsid w:val="00CC08BC"/>
    <w:rsid w:val="00CC08F0"/>
    <w:rsid w:val="00CC0908"/>
    <w:rsid w:val="00CC0A30"/>
    <w:rsid w:val="00CC0A36"/>
    <w:rsid w:val="00CC0B6A"/>
    <w:rsid w:val="00CC0B7C"/>
    <w:rsid w:val="00CC0B9B"/>
    <w:rsid w:val="00CC0BB6"/>
    <w:rsid w:val="00CC0C3C"/>
    <w:rsid w:val="00CC0C4A"/>
    <w:rsid w:val="00CC0D8D"/>
    <w:rsid w:val="00CC0E5C"/>
    <w:rsid w:val="00CC0E83"/>
    <w:rsid w:val="00CC0F9B"/>
    <w:rsid w:val="00CC108B"/>
    <w:rsid w:val="00CC10AF"/>
    <w:rsid w:val="00CC114C"/>
    <w:rsid w:val="00CC1207"/>
    <w:rsid w:val="00CC130E"/>
    <w:rsid w:val="00CC1348"/>
    <w:rsid w:val="00CC13A1"/>
    <w:rsid w:val="00CC14EF"/>
    <w:rsid w:val="00CC1552"/>
    <w:rsid w:val="00CC1657"/>
    <w:rsid w:val="00CC1750"/>
    <w:rsid w:val="00CC1AAA"/>
    <w:rsid w:val="00CC1B00"/>
    <w:rsid w:val="00CC1B2B"/>
    <w:rsid w:val="00CC1B2F"/>
    <w:rsid w:val="00CC1BED"/>
    <w:rsid w:val="00CC1D9D"/>
    <w:rsid w:val="00CC1DA2"/>
    <w:rsid w:val="00CC1E36"/>
    <w:rsid w:val="00CC1FDC"/>
    <w:rsid w:val="00CC2073"/>
    <w:rsid w:val="00CC2244"/>
    <w:rsid w:val="00CC2277"/>
    <w:rsid w:val="00CC2396"/>
    <w:rsid w:val="00CC249B"/>
    <w:rsid w:val="00CC2607"/>
    <w:rsid w:val="00CC263C"/>
    <w:rsid w:val="00CC266C"/>
    <w:rsid w:val="00CC26A1"/>
    <w:rsid w:val="00CC271A"/>
    <w:rsid w:val="00CC28BD"/>
    <w:rsid w:val="00CC290A"/>
    <w:rsid w:val="00CC29C5"/>
    <w:rsid w:val="00CC2A70"/>
    <w:rsid w:val="00CC2ABD"/>
    <w:rsid w:val="00CC2B4F"/>
    <w:rsid w:val="00CC2B81"/>
    <w:rsid w:val="00CC2CAC"/>
    <w:rsid w:val="00CC2CD3"/>
    <w:rsid w:val="00CC3068"/>
    <w:rsid w:val="00CC315F"/>
    <w:rsid w:val="00CC317D"/>
    <w:rsid w:val="00CC32CC"/>
    <w:rsid w:val="00CC32DF"/>
    <w:rsid w:val="00CC3363"/>
    <w:rsid w:val="00CC33D1"/>
    <w:rsid w:val="00CC3477"/>
    <w:rsid w:val="00CC348D"/>
    <w:rsid w:val="00CC34CC"/>
    <w:rsid w:val="00CC3537"/>
    <w:rsid w:val="00CC364E"/>
    <w:rsid w:val="00CC3656"/>
    <w:rsid w:val="00CC37DD"/>
    <w:rsid w:val="00CC3814"/>
    <w:rsid w:val="00CC3922"/>
    <w:rsid w:val="00CC39FE"/>
    <w:rsid w:val="00CC3A4C"/>
    <w:rsid w:val="00CC3AB2"/>
    <w:rsid w:val="00CC3B63"/>
    <w:rsid w:val="00CC3D5B"/>
    <w:rsid w:val="00CC3DE7"/>
    <w:rsid w:val="00CC3E1A"/>
    <w:rsid w:val="00CC3E34"/>
    <w:rsid w:val="00CC3E50"/>
    <w:rsid w:val="00CC3F94"/>
    <w:rsid w:val="00CC3FB7"/>
    <w:rsid w:val="00CC401B"/>
    <w:rsid w:val="00CC4030"/>
    <w:rsid w:val="00CC41E8"/>
    <w:rsid w:val="00CC426B"/>
    <w:rsid w:val="00CC4374"/>
    <w:rsid w:val="00CC43B3"/>
    <w:rsid w:val="00CC4413"/>
    <w:rsid w:val="00CC443D"/>
    <w:rsid w:val="00CC44A7"/>
    <w:rsid w:val="00CC44CC"/>
    <w:rsid w:val="00CC4508"/>
    <w:rsid w:val="00CC4515"/>
    <w:rsid w:val="00CC4534"/>
    <w:rsid w:val="00CC465A"/>
    <w:rsid w:val="00CC4821"/>
    <w:rsid w:val="00CC482C"/>
    <w:rsid w:val="00CC487D"/>
    <w:rsid w:val="00CC48A4"/>
    <w:rsid w:val="00CC4947"/>
    <w:rsid w:val="00CC4AAA"/>
    <w:rsid w:val="00CC4AED"/>
    <w:rsid w:val="00CC4B15"/>
    <w:rsid w:val="00CC4B92"/>
    <w:rsid w:val="00CC4C41"/>
    <w:rsid w:val="00CC4D53"/>
    <w:rsid w:val="00CC4E63"/>
    <w:rsid w:val="00CC4EDF"/>
    <w:rsid w:val="00CC4FF8"/>
    <w:rsid w:val="00CC4FFC"/>
    <w:rsid w:val="00CC500F"/>
    <w:rsid w:val="00CC5133"/>
    <w:rsid w:val="00CC5164"/>
    <w:rsid w:val="00CC51A9"/>
    <w:rsid w:val="00CC51B3"/>
    <w:rsid w:val="00CC51F9"/>
    <w:rsid w:val="00CC5221"/>
    <w:rsid w:val="00CC522C"/>
    <w:rsid w:val="00CC5385"/>
    <w:rsid w:val="00CC538A"/>
    <w:rsid w:val="00CC5439"/>
    <w:rsid w:val="00CC5486"/>
    <w:rsid w:val="00CC54F3"/>
    <w:rsid w:val="00CC569D"/>
    <w:rsid w:val="00CC56E3"/>
    <w:rsid w:val="00CC5810"/>
    <w:rsid w:val="00CC5834"/>
    <w:rsid w:val="00CC58A8"/>
    <w:rsid w:val="00CC58F8"/>
    <w:rsid w:val="00CC597C"/>
    <w:rsid w:val="00CC59E4"/>
    <w:rsid w:val="00CC5A06"/>
    <w:rsid w:val="00CC5A5C"/>
    <w:rsid w:val="00CC5A85"/>
    <w:rsid w:val="00CC5AFA"/>
    <w:rsid w:val="00CC5B45"/>
    <w:rsid w:val="00CC5B67"/>
    <w:rsid w:val="00CC5BCB"/>
    <w:rsid w:val="00CC5CB2"/>
    <w:rsid w:val="00CC5D2B"/>
    <w:rsid w:val="00CC5D4A"/>
    <w:rsid w:val="00CC5DA4"/>
    <w:rsid w:val="00CC5DB2"/>
    <w:rsid w:val="00CC5DF8"/>
    <w:rsid w:val="00CC5E36"/>
    <w:rsid w:val="00CC5EB4"/>
    <w:rsid w:val="00CC5F06"/>
    <w:rsid w:val="00CC5F34"/>
    <w:rsid w:val="00CC5FFA"/>
    <w:rsid w:val="00CC6149"/>
    <w:rsid w:val="00CC6278"/>
    <w:rsid w:val="00CC6335"/>
    <w:rsid w:val="00CC634A"/>
    <w:rsid w:val="00CC6420"/>
    <w:rsid w:val="00CC6421"/>
    <w:rsid w:val="00CC648A"/>
    <w:rsid w:val="00CC64C7"/>
    <w:rsid w:val="00CC64E9"/>
    <w:rsid w:val="00CC64FD"/>
    <w:rsid w:val="00CC6782"/>
    <w:rsid w:val="00CC6821"/>
    <w:rsid w:val="00CC68FE"/>
    <w:rsid w:val="00CC69AB"/>
    <w:rsid w:val="00CC69C6"/>
    <w:rsid w:val="00CC6A8E"/>
    <w:rsid w:val="00CC6AC0"/>
    <w:rsid w:val="00CC6BB6"/>
    <w:rsid w:val="00CC6E85"/>
    <w:rsid w:val="00CC6EA0"/>
    <w:rsid w:val="00CC6F13"/>
    <w:rsid w:val="00CC6FE8"/>
    <w:rsid w:val="00CC702D"/>
    <w:rsid w:val="00CC7096"/>
    <w:rsid w:val="00CC70FF"/>
    <w:rsid w:val="00CC7136"/>
    <w:rsid w:val="00CC7139"/>
    <w:rsid w:val="00CC713D"/>
    <w:rsid w:val="00CC7241"/>
    <w:rsid w:val="00CC7271"/>
    <w:rsid w:val="00CC733C"/>
    <w:rsid w:val="00CC7422"/>
    <w:rsid w:val="00CC7455"/>
    <w:rsid w:val="00CC745E"/>
    <w:rsid w:val="00CC74C3"/>
    <w:rsid w:val="00CC76AD"/>
    <w:rsid w:val="00CC7786"/>
    <w:rsid w:val="00CC7878"/>
    <w:rsid w:val="00CC789B"/>
    <w:rsid w:val="00CC790B"/>
    <w:rsid w:val="00CC791F"/>
    <w:rsid w:val="00CC7A5A"/>
    <w:rsid w:val="00CC7A87"/>
    <w:rsid w:val="00CC7ABE"/>
    <w:rsid w:val="00CC7B63"/>
    <w:rsid w:val="00CC7D20"/>
    <w:rsid w:val="00CC7E1C"/>
    <w:rsid w:val="00CC7F81"/>
    <w:rsid w:val="00CD006B"/>
    <w:rsid w:val="00CD0317"/>
    <w:rsid w:val="00CD031F"/>
    <w:rsid w:val="00CD036E"/>
    <w:rsid w:val="00CD0377"/>
    <w:rsid w:val="00CD03E0"/>
    <w:rsid w:val="00CD0455"/>
    <w:rsid w:val="00CD04B8"/>
    <w:rsid w:val="00CD0574"/>
    <w:rsid w:val="00CD0736"/>
    <w:rsid w:val="00CD073E"/>
    <w:rsid w:val="00CD0747"/>
    <w:rsid w:val="00CD0896"/>
    <w:rsid w:val="00CD08AF"/>
    <w:rsid w:val="00CD08BD"/>
    <w:rsid w:val="00CD092C"/>
    <w:rsid w:val="00CD0949"/>
    <w:rsid w:val="00CD09FB"/>
    <w:rsid w:val="00CD0BC1"/>
    <w:rsid w:val="00CD0C43"/>
    <w:rsid w:val="00CD0CDA"/>
    <w:rsid w:val="00CD1094"/>
    <w:rsid w:val="00CD10EB"/>
    <w:rsid w:val="00CD10F6"/>
    <w:rsid w:val="00CD1107"/>
    <w:rsid w:val="00CD1184"/>
    <w:rsid w:val="00CD1198"/>
    <w:rsid w:val="00CD11B3"/>
    <w:rsid w:val="00CD122A"/>
    <w:rsid w:val="00CD1285"/>
    <w:rsid w:val="00CD1503"/>
    <w:rsid w:val="00CD1562"/>
    <w:rsid w:val="00CD1602"/>
    <w:rsid w:val="00CD16B0"/>
    <w:rsid w:val="00CD170D"/>
    <w:rsid w:val="00CD175D"/>
    <w:rsid w:val="00CD187A"/>
    <w:rsid w:val="00CD1A2B"/>
    <w:rsid w:val="00CD1AFF"/>
    <w:rsid w:val="00CD1B0B"/>
    <w:rsid w:val="00CD1B9B"/>
    <w:rsid w:val="00CD1C55"/>
    <w:rsid w:val="00CD1D09"/>
    <w:rsid w:val="00CD1D7F"/>
    <w:rsid w:val="00CD1F23"/>
    <w:rsid w:val="00CD1F60"/>
    <w:rsid w:val="00CD1FC2"/>
    <w:rsid w:val="00CD2184"/>
    <w:rsid w:val="00CD21D0"/>
    <w:rsid w:val="00CD2201"/>
    <w:rsid w:val="00CD2223"/>
    <w:rsid w:val="00CD222E"/>
    <w:rsid w:val="00CD23EE"/>
    <w:rsid w:val="00CD240A"/>
    <w:rsid w:val="00CD2572"/>
    <w:rsid w:val="00CD2583"/>
    <w:rsid w:val="00CD25C4"/>
    <w:rsid w:val="00CD25FD"/>
    <w:rsid w:val="00CD27BF"/>
    <w:rsid w:val="00CD27C3"/>
    <w:rsid w:val="00CD2882"/>
    <w:rsid w:val="00CD29C0"/>
    <w:rsid w:val="00CD2A59"/>
    <w:rsid w:val="00CD2A61"/>
    <w:rsid w:val="00CD2A69"/>
    <w:rsid w:val="00CD2A77"/>
    <w:rsid w:val="00CD2A96"/>
    <w:rsid w:val="00CD2B97"/>
    <w:rsid w:val="00CD2BE2"/>
    <w:rsid w:val="00CD2C22"/>
    <w:rsid w:val="00CD2C52"/>
    <w:rsid w:val="00CD2CB6"/>
    <w:rsid w:val="00CD2D33"/>
    <w:rsid w:val="00CD2D4A"/>
    <w:rsid w:val="00CD2D70"/>
    <w:rsid w:val="00CD2DAB"/>
    <w:rsid w:val="00CD2E2F"/>
    <w:rsid w:val="00CD2E85"/>
    <w:rsid w:val="00CD3005"/>
    <w:rsid w:val="00CD30E0"/>
    <w:rsid w:val="00CD30E8"/>
    <w:rsid w:val="00CD332A"/>
    <w:rsid w:val="00CD3417"/>
    <w:rsid w:val="00CD34EB"/>
    <w:rsid w:val="00CD36E0"/>
    <w:rsid w:val="00CD371A"/>
    <w:rsid w:val="00CD3750"/>
    <w:rsid w:val="00CD3873"/>
    <w:rsid w:val="00CD38AB"/>
    <w:rsid w:val="00CD3915"/>
    <w:rsid w:val="00CD394F"/>
    <w:rsid w:val="00CD3A73"/>
    <w:rsid w:val="00CD3A82"/>
    <w:rsid w:val="00CD3A95"/>
    <w:rsid w:val="00CD3AA4"/>
    <w:rsid w:val="00CD3AF5"/>
    <w:rsid w:val="00CD3B22"/>
    <w:rsid w:val="00CD3BD0"/>
    <w:rsid w:val="00CD3BF4"/>
    <w:rsid w:val="00CD3CFC"/>
    <w:rsid w:val="00CD4027"/>
    <w:rsid w:val="00CD4039"/>
    <w:rsid w:val="00CD40CE"/>
    <w:rsid w:val="00CD40DA"/>
    <w:rsid w:val="00CD4118"/>
    <w:rsid w:val="00CD4188"/>
    <w:rsid w:val="00CD429A"/>
    <w:rsid w:val="00CD42D5"/>
    <w:rsid w:val="00CD4328"/>
    <w:rsid w:val="00CD4422"/>
    <w:rsid w:val="00CD4475"/>
    <w:rsid w:val="00CD44D6"/>
    <w:rsid w:val="00CD44F3"/>
    <w:rsid w:val="00CD459E"/>
    <w:rsid w:val="00CD45FA"/>
    <w:rsid w:val="00CD4649"/>
    <w:rsid w:val="00CD4655"/>
    <w:rsid w:val="00CD4673"/>
    <w:rsid w:val="00CD46FA"/>
    <w:rsid w:val="00CD4723"/>
    <w:rsid w:val="00CD4725"/>
    <w:rsid w:val="00CD478A"/>
    <w:rsid w:val="00CD479A"/>
    <w:rsid w:val="00CD4842"/>
    <w:rsid w:val="00CD48BE"/>
    <w:rsid w:val="00CD48DD"/>
    <w:rsid w:val="00CD4948"/>
    <w:rsid w:val="00CD4A18"/>
    <w:rsid w:val="00CD4A47"/>
    <w:rsid w:val="00CD4B72"/>
    <w:rsid w:val="00CD4B9D"/>
    <w:rsid w:val="00CD4C41"/>
    <w:rsid w:val="00CD4E28"/>
    <w:rsid w:val="00CD4E8D"/>
    <w:rsid w:val="00CD4F00"/>
    <w:rsid w:val="00CD4FCE"/>
    <w:rsid w:val="00CD4FDD"/>
    <w:rsid w:val="00CD5097"/>
    <w:rsid w:val="00CD51CF"/>
    <w:rsid w:val="00CD5238"/>
    <w:rsid w:val="00CD528D"/>
    <w:rsid w:val="00CD52BD"/>
    <w:rsid w:val="00CD52D1"/>
    <w:rsid w:val="00CD52D8"/>
    <w:rsid w:val="00CD5312"/>
    <w:rsid w:val="00CD543E"/>
    <w:rsid w:val="00CD54B4"/>
    <w:rsid w:val="00CD552E"/>
    <w:rsid w:val="00CD55A7"/>
    <w:rsid w:val="00CD571A"/>
    <w:rsid w:val="00CD57EE"/>
    <w:rsid w:val="00CD586E"/>
    <w:rsid w:val="00CD5910"/>
    <w:rsid w:val="00CD5997"/>
    <w:rsid w:val="00CD59D3"/>
    <w:rsid w:val="00CD5A01"/>
    <w:rsid w:val="00CD5A65"/>
    <w:rsid w:val="00CD5A9B"/>
    <w:rsid w:val="00CD5AE1"/>
    <w:rsid w:val="00CD5B0F"/>
    <w:rsid w:val="00CD5B17"/>
    <w:rsid w:val="00CD5CB5"/>
    <w:rsid w:val="00CD5DF9"/>
    <w:rsid w:val="00CD5F12"/>
    <w:rsid w:val="00CD5F2D"/>
    <w:rsid w:val="00CD5F65"/>
    <w:rsid w:val="00CD61B4"/>
    <w:rsid w:val="00CD621C"/>
    <w:rsid w:val="00CD6253"/>
    <w:rsid w:val="00CD627C"/>
    <w:rsid w:val="00CD62BF"/>
    <w:rsid w:val="00CD62E3"/>
    <w:rsid w:val="00CD62E4"/>
    <w:rsid w:val="00CD6399"/>
    <w:rsid w:val="00CD63C7"/>
    <w:rsid w:val="00CD651A"/>
    <w:rsid w:val="00CD65FE"/>
    <w:rsid w:val="00CD6682"/>
    <w:rsid w:val="00CD6806"/>
    <w:rsid w:val="00CD6826"/>
    <w:rsid w:val="00CD6832"/>
    <w:rsid w:val="00CD68F0"/>
    <w:rsid w:val="00CD6918"/>
    <w:rsid w:val="00CD693B"/>
    <w:rsid w:val="00CD69E5"/>
    <w:rsid w:val="00CD6BC2"/>
    <w:rsid w:val="00CD6BC9"/>
    <w:rsid w:val="00CD6CB1"/>
    <w:rsid w:val="00CD6CE2"/>
    <w:rsid w:val="00CD6D50"/>
    <w:rsid w:val="00CD6E15"/>
    <w:rsid w:val="00CD6E43"/>
    <w:rsid w:val="00CD6E73"/>
    <w:rsid w:val="00CD6ECB"/>
    <w:rsid w:val="00CD6F5D"/>
    <w:rsid w:val="00CD6F7F"/>
    <w:rsid w:val="00CD6FAE"/>
    <w:rsid w:val="00CD6FDE"/>
    <w:rsid w:val="00CD70D9"/>
    <w:rsid w:val="00CD7168"/>
    <w:rsid w:val="00CD72DD"/>
    <w:rsid w:val="00CD734C"/>
    <w:rsid w:val="00CD7374"/>
    <w:rsid w:val="00CD7493"/>
    <w:rsid w:val="00CD759C"/>
    <w:rsid w:val="00CD75BA"/>
    <w:rsid w:val="00CD767D"/>
    <w:rsid w:val="00CD76A6"/>
    <w:rsid w:val="00CD76A7"/>
    <w:rsid w:val="00CD76C2"/>
    <w:rsid w:val="00CD7701"/>
    <w:rsid w:val="00CD7725"/>
    <w:rsid w:val="00CD7753"/>
    <w:rsid w:val="00CD789D"/>
    <w:rsid w:val="00CD78B6"/>
    <w:rsid w:val="00CD793A"/>
    <w:rsid w:val="00CD7A4C"/>
    <w:rsid w:val="00CD7AC2"/>
    <w:rsid w:val="00CD7D20"/>
    <w:rsid w:val="00CD7D52"/>
    <w:rsid w:val="00CD7D89"/>
    <w:rsid w:val="00CD7DBB"/>
    <w:rsid w:val="00CD7F2C"/>
    <w:rsid w:val="00CD7F7F"/>
    <w:rsid w:val="00CD7FD0"/>
    <w:rsid w:val="00CE006C"/>
    <w:rsid w:val="00CE0246"/>
    <w:rsid w:val="00CE0383"/>
    <w:rsid w:val="00CE0426"/>
    <w:rsid w:val="00CE0505"/>
    <w:rsid w:val="00CE06AF"/>
    <w:rsid w:val="00CE0715"/>
    <w:rsid w:val="00CE077E"/>
    <w:rsid w:val="00CE07CA"/>
    <w:rsid w:val="00CE0803"/>
    <w:rsid w:val="00CE0A0E"/>
    <w:rsid w:val="00CE0AF0"/>
    <w:rsid w:val="00CE0BF6"/>
    <w:rsid w:val="00CE0C20"/>
    <w:rsid w:val="00CE0CDD"/>
    <w:rsid w:val="00CE0CFE"/>
    <w:rsid w:val="00CE0DAF"/>
    <w:rsid w:val="00CE0DFE"/>
    <w:rsid w:val="00CE1048"/>
    <w:rsid w:val="00CE1094"/>
    <w:rsid w:val="00CE1257"/>
    <w:rsid w:val="00CE1283"/>
    <w:rsid w:val="00CE138D"/>
    <w:rsid w:val="00CE1392"/>
    <w:rsid w:val="00CE13C7"/>
    <w:rsid w:val="00CE1427"/>
    <w:rsid w:val="00CE1493"/>
    <w:rsid w:val="00CE14F4"/>
    <w:rsid w:val="00CE1565"/>
    <w:rsid w:val="00CE1584"/>
    <w:rsid w:val="00CE15F1"/>
    <w:rsid w:val="00CE1681"/>
    <w:rsid w:val="00CE16D0"/>
    <w:rsid w:val="00CE16F5"/>
    <w:rsid w:val="00CE1727"/>
    <w:rsid w:val="00CE1756"/>
    <w:rsid w:val="00CE185A"/>
    <w:rsid w:val="00CE18C7"/>
    <w:rsid w:val="00CE1A32"/>
    <w:rsid w:val="00CE1BB4"/>
    <w:rsid w:val="00CE1C68"/>
    <w:rsid w:val="00CE1CB7"/>
    <w:rsid w:val="00CE1DF7"/>
    <w:rsid w:val="00CE1E52"/>
    <w:rsid w:val="00CE20BA"/>
    <w:rsid w:val="00CE21A0"/>
    <w:rsid w:val="00CE22C5"/>
    <w:rsid w:val="00CE239A"/>
    <w:rsid w:val="00CE24D2"/>
    <w:rsid w:val="00CE2544"/>
    <w:rsid w:val="00CE25D6"/>
    <w:rsid w:val="00CE2697"/>
    <w:rsid w:val="00CE2AD7"/>
    <w:rsid w:val="00CE2B4F"/>
    <w:rsid w:val="00CE2B58"/>
    <w:rsid w:val="00CE2BB5"/>
    <w:rsid w:val="00CE2C34"/>
    <w:rsid w:val="00CE2D50"/>
    <w:rsid w:val="00CE2DBB"/>
    <w:rsid w:val="00CE2E37"/>
    <w:rsid w:val="00CE2F63"/>
    <w:rsid w:val="00CE300C"/>
    <w:rsid w:val="00CE303E"/>
    <w:rsid w:val="00CE31D1"/>
    <w:rsid w:val="00CE3265"/>
    <w:rsid w:val="00CE3274"/>
    <w:rsid w:val="00CE32F2"/>
    <w:rsid w:val="00CE33CA"/>
    <w:rsid w:val="00CE340F"/>
    <w:rsid w:val="00CE34E6"/>
    <w:rsid w:val="00CE352C"/>
    <w:rsid w:val="00CE3538"/>
    <w:rsid w:val="00CE3611"/>
    <w:rsid w:val="00CE3670"/>
    <w:rsid w:val="00CE372A"/>
    <w:rsid w:val="00CE37D4"/>
    <w:rsid w:val="00CE37D6"/>
    <w:rsid w:val="00CE380C"/>
    <w:rsid w:val="00CE3916"/>
    <w:rsid w:val="00CE3B2C"/>
    <w:rsid w:val="00CE3C45"/>
    <w:rsid w:val="00CE3CE4"/>
    <w:rsid w:val="00CE3D37"/>
    <w:rsid w:val="00CE3D4C"/>
    <w:rsid w:val="00CE3DF3"/>
    <w:rsid w:val="00CE3E4F"/>
    <w:rsid w:val="00CE3F2C"/>
    <w:rsid w:val="00CE3FD6"/>
    <w:rsid w:val="00CE4097"/>
    <w:rsid w:val="00CE4142"/>
    <w:rsid w:val="00CE419C"/>
    <w:rsid w:val="00CE427B"/>
    <w:rsid w:val="00CE4290"/>
    <w:rsid w:val="00CE42B8"/>
    <w:rsid w:val="00CE444F"/>
    <w:rsid w:val="00CE4504"/>
    <w:rsid w:val="00CE458E"/>
    <w:rsid w:val="00CE45AC"/>
    <w:rsid w:val="00CE46A4"/>
    <w:rsid w:val="00CE4719"/>
    <w:rsid w:val="00CE4725"/>
    <w:rsid w:val="00CE4807"/>
    <w:rsid w:val="00CE481A"/>
    <w:rsid w:val="00CE494B"/>
    <w:rsid w:val="00CE4A41"/>
    <w:rsid w:val="00CE4B40"/>
    <w:rsid w:val="00CE4B77"/>
    <w:rsid w:val="00CE4C7D"/>
    <w:rsid w:val="00CE4D08"/>
    <w:rsid w:val="00CE4D39"/>
    <w:rsid w:val="00CE4D54"/>
    <w:rsid w:val="00CE4E45"/>
    <w:rsid w:val="00CE4E68"/>
    <w:rsid w:val="00CE4E73"/>
    <w:rsid w:val="00CE4F6A"/>
    <w:rsid w:val="00CE4FA6"/>
    <w:rsid w:val="00CE4FAB"/>
    <w:rsid w:val="00CE4FB3"/>
    <w:rsid w:val="00CE4FF5"/>
    <w:rsid w:val="00CE5297"/>
    <w:rsid w:val="00CE52B8"/>
    <w:rsid w:val="00CE52EF"/>
    <w:rsid w:val="00CE5360"/>
    <w:rsid w:val="00CE54B9"/>
    <w:rsid w:val="00CE553A"/>
    <w:rsid w:val="00CE5540"/>
    <w:rsid w:val="00CE5566"/>
    <w:rsid w:val="00CE55B8"/>
    <w:rsid w:val="00CE55C6"/>
    <w:rsid w:val="00CE5608"/>
    <w:rsid w:val="00CE5619"/>
    <w:rsid w:val="00CE5651"/>
    <w:rsid w:val="00CE5896"/>
    <w:rsid w:val="00CE58E9"/>
    <w:rsid w:val="00CE5965"/>
    <w:rsid w:val="00CE5A0D"/>
    <w:rsid w:val="00CE5A32"/>
    <w:rsid w:val="00CE5B43"/>
    <w:rsid w:val="00CE5B80"/>
    <w:rsid w:val="00CE5CF3"/>
    <w:rsid w:val="00CE5D63"/>
    <w:rsid w:val="00CE5D7C"/>
    <w:rsid w:val="00CE5D96"/>
    <w:rsid w:val="00CE5DC0"/>
    <w:rsid w:val="00CE5DF2"/>
    <w:rsid w:val="00CE5E35"/>
    <w:rsid w:val="00CE5EE5"/>
    <w:rsid w:val="00CE6185"/>
    <w:rsid w:val="00CE61FC"/>
    <w:rsid w:val="00CE63EA"/>
    <w:rsid w:val="00CE6401"/>
    <w:rsid w:val="00CE6459"/>
    <w:rsid w:val="00CE64AD"/>
    <w:rsid w:val="00CE64BD"/>
    <w:rsid w:val="00CE6582"/>
    <w:rsid w:val="00CE660D"/>
    <w:rsid w:val="00CE6720"/>
    <w:rsid w:val="00CE6794"/>
    <w:rsid w:val="00CE67EE"/>
    <w:rsid w:val="00CE681C"/>
    <w:rsid w:val="00CE696B"/>
    <w:rsid w:val="00CE697E"/>
    <w:rsid w:val="00CE69FA"/>
    <w:rsid w:val="00CE6AB6"/>
    <w:rsid w:val="00CE6B78"/>
    <w:rsid w:val="00CE6B7E"/>
    <w:rsid w:val="00CE6C0E"/>
    <w:rsid w:val="00CE6EC0"/>
    <w:rsid w:val="00CE6F17"/>
    <w:rsid w:val="00CE71F1"/>
    <w:rsid w:val="00CE726E"/>
    <w:rsid w:val="00CE7335"/>
    <w:rsid w:val="00CE736C"/>
    <w:rsid w:val="00CE7418"/>
    <w:rsid w:val="00CE741A"/>
    <w:rsid w:val="00CE743C"/>
    <w:rsid w:val="00CE7453"/>
    <w:rsid w:val="00CE7584"/>
    <w:rsid w:val="00CE758D"/>
    <w:rsid w:val="00CE7603"/>
    <w:rsid w:val="00CE766A"/>
    <w:rsid w:val="00CE76FE"/>
    <w:rsid w:val="00CE7711"/>
    <w:rsid w:val="00CE7777"/>
    <w:rsid w:val="00CE77FD"/>
    <w:rsid w:val="00CE7944"/>
    <w:rsid w:val="00CE7ABD"/>
    <w:rsid w:val="00CE7B00"/>
    <w:rsid w:val="00CE7C28"/>
    <w:rsid w:val="00CE7C82"/>
    <w:rsid w:val="00CE7CB2"/>
    <w:rsid w:val="00CE7CE1"/>
    <w:rsid w:val="00CE7D73"/>
    <w:rsid w:val="00CF00EF"/>
    <w:rsid w:val="00CF02AF"/>
    <w:rsid w:val="00CF04A6"/>
    <w:rsid w:val="00CF04AA"/>
    <w:rsid w:val="00CF05F8"/>
    <w:rsid w:val="00CF064F"/>
    <w:rsid w:val="00CF07A2"/>
    <w:rsid w:val="00CF07A6"/>
    <w:rsid w:val="00CF081D"/>
    <w:rsid w:val="00CF08A9"/>
    <w:rsid w:val="00CF0951"/>
    <w:rsid w:val="00CF09E0"/>
    <w:rsid w:val="00CF0A08"/>
    <w:rsid w:val="00CF0AD1"/>
    <w:rsid w:val="00CF0AF5"/>
    <w:rsid w:val="00CF0BC1"/>
    <w:rsid w:val="00CF0C97"/>
    <w:rsid w:val="00CF0E62"/>
    <w:rsid w:val="00CF0E8E"/>
    <w:rsid w:val="00CF1047"/>
    <w:rsid w:val="00CF10AA"/>
    <w:rsid w:val="00CF10C3"/>
    <w:rsid w:val="00CF10CB"/>
    <w:rsid w:val="00CF117E"/>
    <w:rsid w:val="00CF12B4"/>
    <w:rsid w:val="00CF1362"/>
    <w:rsid w:val="00CF1409"/>
    <w:rsid w:val="00CF1508"/>
    <w:rsid w:val="00CF154E"/>
    <w:rsid w:val="00CF155B"/>
    <w:rsid w:val="00CF1586"/>
    <w:rsid w:val="00CF15A6"/>
    <w:rsid w:val="00CF15DB"/>
    <w:rsid w:val="00CF15ED"/>
    <w:rsid w:val="00CF16C8"/>
    <w:rsid w:val="00CF174C"/>
    <w:rsid w:val="00CF17DB"/>
    <w:rsid w:val="00CF1889"/>
    <w:rsid w:val="00CF18E3"/>
    <w:rsid w:val="00CF18F1"/>
    <w:rsid w:val="00CF1A0B"/>
    <w:rsid w:val="00CF1A6A"/>
    <w:rsid w:val="00CF1A86"/>
    <w:rsid w:val="00CF1B36"/>
    <w:rsid w:val="00CF1C9B"/>
    <w:rsid w:val="00CF1D02"/>
    <w:rsid w:val="00CF1D31"/>
    <w:rsid w:val="00CF1D44"/>
    <w:rsid w:val="00CF1DC7"/>
    <w:rsid w:val="00CF1DF5"/>
    <w:rsid w:val="00CF1E36"/>
    <w:rsid w:val="00CF1E53"/>
    <w:rsid w:val="00CF1E76"/>
    <w:rsid w:val="00CF1EA6"/>
    <w:rsid w:val="00CF1F3C"/>
    <w:rsid w:val="00CF1F4B"/>
    <w:rsid w:val="00CF1FD7"/>
    <w:rsid w:val="00CF202B"/>
    <w:rsid w:val="00CF21F3"/>
    <w:rsid w:val="00CF2268"/>
    <w:rsid w:val="00CF2445"/>
    <w:rsid w:val="00CF25E0"/>
    <w:rsid w:val="00CF25FA"/>
    <w:rsid w:val="00CF26EC"/>
    <w:rsid w:val="00CF270D"/>
    <w:rsid w:val="00CF272A"/>
    <w:rsid w:val="00CF282E"/>
    <w:rsid w:val="00CF2AF9"/>
    <w:rsid w:val="00CF2C42"/>
    <w:rsid w:val="00CF2C79"/>
    <w:rsid w:val="00CF2E88"/>
    <w:rsid w:val="00CF2E9C"/>
    <w:rsid w:val="00CF2E9E"/>
    <w:rsid w:val="00CF30B4"/>
    <w:rsid w:val="00CF30F2"/>
    <w:rsid w:val="00CF318C"/>
    <w:rsid w:val="00CF318E"/>
    <w:rsid w:val="00CF31B5"/>
    <w:rsid w:val="00CF3364"/>
    <w:rsid w:val="00CF3498"/>
    <w:rsid w:val="00CF3556"/>
    <w:rsid w:val="00CF3565"/>
    <w:rsid w:val="00CF37B6"/>
    <w:rsid w:val="00CF37F0"/>
    <w:rsid w:val="00CF380F"/>
    <w:rsid w:val="00CF3941"/>
    <w:rsid w:val="00CF3A38"/>
    <w:rsid w:val="00CF3A46"/>
    <w:rsid w:val="00CF3A72"/>
    <w:rsid w:val="00CF3B7C"/>
    <w:rsid w:val="00CF3B80"/>
    <w:rsid w:val="00CF3C54"/>
    <w:rsid w:val="00CF3E01"/>
    <w:rsid w:val="00CF3E21"/>
    <w:rsid w:val="00CF3E9A"/>
    <w:rsid w:val="00CF3F25"/>
    <w:rsid w:val="00CF3F54"/>
    <w:rsid w:val="00CF3F57"/>
    <w:rsid w:val="00CF424D"/>
    <w:rsid w:val="00CF43E2"/>
    <w:rsid w:val="00CF44E0"/>
    <w:rsid w:val="00CF4516"/>
    <w:rsid w:val="00CF4534"/>
    <w:rsid w:val="00CF4604"/>
    <w:rsid w:val="00CF46C4"/>
    <w:rsid w:val="00CF4766"/>
    <w:rsid w:val="00CF47A2"/>
    <w:rsid w:val="00CF497E"/>
    <w:rsid w:val="00CF49B5"/>
    <w:rsid w:val="00CF49D4"/>
    <w:rsid w:val="00CF4A6F"/>
    <w:rsid w:val="00CF4B4A"/>
    <w:rsid w:val="00CF4CFC"/>
    <w:rsid w:val="00CF4D03"/>
    <w:rsid w:val="00CF5076"/>
    <w:rsid w:val="00CF5133"/>
    <w:rsid w:val="00CF51E9"/>
    <w:rsid w:val="00CF5217"/>
    <w:rsid w:val="00CF5322"/>
    <w:rsid w:val="00CF533B"/>
    <w:rsid w:val="00CF53D9"/>
    <w:rsid w:val="00CF5462"/>
    <w:rsid w:val="00CF546A"/>
    <w:rsid w:val="00CF5491"/>
    <w:rsid w:val="00CF561C"/>
    <w:rsid w:val="00CF561F"/>
    <w:rsid w:val="00CF5634"/>
    <w:rsid w:val="00CF5677"/>
    <w:rsid w:val="00CF56AC"/>
    <w:rsid w:val="00CF5715"/>
    <w:rsid w:val="00CF593E"/>
    <w:rsid w:val="00CF59B4"/>
    <w:rsid w:val="00CF5A65"/>
    <w:rsid w:val="00CF5A91"/>
    <w:rsid w:val="00CF5B7B"/>
    <w:rsid w:val="00CF5BA8"/>
    <w:rsid w:val="00CF5CAB"/>
    <w:rsid w:val="00CF5DA6"/>
    <w:rsid w:val="00CF5E0F"/>
    <w:rsid w:val="00CF5F7D"/>
    <w:rsid w:val="00CF5FE5"/>
    <w:rsid w:val="00CF60E0"/>
    <w:rsid w:val="00CF610A"/>
    <w:rsid w:val="00CF6179"/>
    <w:rsid w:val="00CF625A"/>
    <w:rsid w:val="00CF631F"/>
    <w:rsid w:val="00CF6381"/>
    <w:rsid w:val="00CF640A"/>
    <w:rsid w:val="00CF6429"/>
    <w:rsid w:val="00CF6526"/>
    <w:rsid w:val="00CF6531"/>
    <w:rsid w:val="00CF65E3"/>
    <w:rsid w:val="00CF65ED"/>
    <w:rsid w:val="00CF6628"/>
    <w:rsid w:val="00CF6653"/>
    <w:rsid w:val="00CF6832"/>
    <w:rsid w:val="00CF68A3"/>
    <w:rsid w:val="00CF6A3B"/>
    <w:rsid w:val="00CF6B2A"/>
    <w:rsid w:val="00CF6B56"/>
    <w:rsid w:val="00CF6BA1"/>
    <w:rsid w:val="00CF6D1E"/>
    <w:rsid w:val="00CF6D2E"/>
    <w:rsid w:val="00CF6EA2"/>
    <w:rsid w:val="00CF6F32"/>
    <w:rsid w:val="00CF704C"/>
    <w:rsid w:val="00CF7079"/>
    <w:rsid w:val="00CF7165"/>
    <w:rsid w:val="00CF72BB"/>
    <w:rsid w:val="00CF72DA"/>
    <w:rsid w:val="00CF73F3"/>
    <w:rsid w:val="00CF7459"/>
    <w:rsid w:val="00CF7460"/>
    <w:rsid w:val="00CF7599"/>
    <w:rsid w:val="00CF75E6"/>
    <w:rsid w:val="00CF761B"/>
    <w:rsid w:val="00CF7665"/>
    <w:rsid w:val="00CF7714"/>
    <w:rsid w:val="00CF77AC"/>
    <w:rsid w:val="00CF78F8"/>
    <w:rsid w:val="00CF790F"/>
    <w:rsid w:val="00CF7972"/>
    <w:rsid w:val="00CF7A19"/>
    <w:rsid w:val="00CF7A7D"/>
    <w:rsid w:val="00CF7AA6"/>
    <w:rsid w:val="00CF7C12"/>
    <w:rsid w:val="00CF7C3F"/>
    <w:rsid w:val="00CF7CF6"/>
    <w:rsid w:val="00CF7D87"/>
    <w:rsid w:val="00CF7DF6"/>
    <w:rsid w:val="00CF7F3F"/>
    <w:rsid w:val="00CF7FB5"/>
    <w:rsid w:val="00D0004A"/>
    <w:rsid w:val="00D00091"/>
    <w:rsid w:val="00D00203"/>
    <w:rsid w:val="00D00226"/>
    <w:rsid w:val="00D00272"/>
    <w:rsid w:val="00D00292"/>
    <w:rsid w:val="00D00293"/>
    <w:rsid w:val="00D002BD"/>
    <w:rsid w:val="00D002CD"/>
    <w:rsid w:val="00D00306"/>
    <w:rsid w:val="00D0037E"/>
    <w:rsid w:val="00D003A7"/>
    <w:rsid w:val="00D003BE"/>
    <w:rsid w:val="00D00439"/>
    <w:rsid w:val="00D00441"/>
    <w:rsid w:val="00D0044C"/>
    <w:rsid w:val="00D00515"/>
    <w:rsid w:val="00D005A6"/>
    <w:rsid w:val="00D0079B"/>
    <w:rsid w:val="00D0087B"/>
    <w:rsid w:val="00D00A3A"/>
    <w:rsid w:val="00D00A8E"/>
    <w:rsid w:val="00D00B6C"/>
    <w:rsid w:val="00D00C8B"/>
    <w:rsid w:val="00D00CAE"/>
    <w:rsid w:val="00D00DEB"/>
    <w:rsid w:val="00D00E68"/>
    <w:rsid w:val="00D00ECA"/>
    <w:rsid w:val="00D00EF5"/>
    <w:rsid w:val="00D00F46"/>
    <w:rsid w:val="00D00F5C"/>
    <w:rsid w:val="00D0102F"/>
    <w:rsid w:val="00D0129D"/>
    <w:rsid w:val="00D013C6"/>
    <w:rsid w:val="00D01453"/>
    <w:rsid w:val="00D01529"/>
    <w:rsid w:val="00D0179D"/>
    <w:rsid w:val="00D01875"/>
    <w:rsid w:val="00D018AC"/>
    <w:rsid w:val="00D018B2"/>
    <w:rsid w:val="00D018B5"/>
    <w:rsid w:val="00D01959"/>
    <w:rsid w:val="00D019BF"/>
    <w:rsid w:val="00D01A68"/>
    <w:rsid w:val="00D01C0C"/>
    <w:rsid w:val="00D01C57"/>
    <w:rsid w:val="00D01CF5"/>
    <w:rsid w:val="00D01DC7"/>
    <w:rsid w:val="00D01E50"/>
    <w:rsid w:val="00D01E78"/>
    <w:rsid w:val="00D01EB2"/>
    <w:rsid w:val="00D01F03"/>
    <w:rsid w:val="00D01F10"/>
    <w:rsid w:val="00D01F59"/>
    <w:rsid w:val="00D01FD5"/>
    <w:rsid w:val="00D0204B"/>
    <w:rsid w:val="00D0211C"/>
    <w:rsid w:val="00D02182"/>
    <w:rsid w:val="00D0238D"/>
    <w:rsid w:val="00D02479"/>
    <w:rsid w:val="00D02528"/>
    <w:rsid w:val="00D02547"/>
    <w:rsid w:val="00D02593"/>
    <w:rsid w:val="00D02601"/>
    <w:rsid w:val="00D02631"/>
    <w:rsid w:val="00D02686"/>
    <w:rsid w:val="00D0281F"/>
    <w:rsid w:val="00D0282A"/>
    <w:rsid w:val="00D02867"/>
    <w:rsid w:val="00D0293B"/>
    <w:rsid w:val="00D02971"/>
    <w:rsid w:val="00D02A5D"/>
    <w:rsid w:val="00D02BF1"/>
    <w:rsid w:val="00D02CB2"/>
    <w:rsid w:val="00D02D3D"/>
    <w:rsid w:val="00D02D8E"/>
    <w:rsid w:val="00D02DD7"/>
    <w:rsid w:val="00D02DEE"/>
    <w:rsid w:val="00D02E6C"/>
    <w:rsid w:val="00D02E9F"/>
    <w:rsid w:val="00D02EEB"/>
    <w:rsid w:val="00D02EFE"/>
    <w:rsid w:val="00D03036"/>
    <w:rsid w:val="00D03064"/>
    <w:rsid w:val="00D03298"/>
    <w:rsid w:val="00D032A7"/>
    <w:rsid w:val="00D03470"/>
    <w:rsid w:val="00D0353A"/>
    <w:rsid w:val="00D035D8"/>
    <w:rsid w:val="00D035E6"/>
    <w:rsid w:val="00D037FA"/>
    <w:rsid w:val="00D0395F"/>
    <w:rsid w:val="00D03A23"/>
    <w:rsid w:val="00D03B0F"/>
    <w:rsid w:val="00D03BD5"/>
    <w:rsid w:val="00D03DFA"/>
    <w:rsid w:val="00D03ED8"/>
    <w:rsid w:val="00D03EDE"/>
    <w:rsid w:val="00D03EF5"/>
    <w:rsid w:val="00D03F00"/>
    <w:rsid w:val="00D03FA2"/>
    <w:rsid w:val="00D03FC5"/>
    <w:rsid w:val="00D04029"/>
    <w:rsid w:val="00D04084"/>
    <w:rsid w:val="00D04135"/>
    <w:rsid w:val="00D0423B"/>
    <w:rsid w:val="00D04292"/>
    <w:rsid w:val="00D043FE"/>
    <w:rsid w:val="00D044F5"/>
    <w:rsid w:val="00D0451E"/>
    <w:rsid w:val="00D04528"/>
    <w:rsid w:val="00D04586"/>
    <w:rsid w:val="00D0459C"/>
    <w:rsid w:val="00D0460C"/>
    <w:rsid w:val="00D04629"/>
    <w:rsid w:val="00D0462A"/>
    <w:rsid w:val="00D046A6"/>
    <w:rsid w:val="00D0477A"/>
    <w:rsid w:val="00D047EF"/>
    <w:rsid w:val="00D04851"/>
    <w:rsid w:val="00D04950"/>
    <w:rsid w:val="00D0498E"/>
    <w:rsid w:val="00D049D1"/>
    <w:rsid w:val="00D04A25"/>
    <w:rsid w:val="00D04AD4"/>
    <w:rsid w:val="00D04B33"/>
    <w:rsid w:val="00D04C8F"/>
    <w:rsid w:val="00D04D65"/>
    <w:rsid w:val="00D04DA0"/>
    <w:rsid w:val="00D04DB7"/>
    <w:rsid w:val="00D04DB9"/>
    <w:rsid w:val="00D04F0E"/>
    <w:rsid w:val="00D04FDE"/>
    <w:rsid w:val="00D04FED"/>
    <w:rsid w:val="00D05002"/>
    <w:rsid w:val="00D05270"/>
    <w:rsid w:val="00D053B0"/>
    <w:rsid w:val="00D0541D"/>
    <w:rsid w:val="00D054B1"/>
    <w:rsid w:val="00D0559E"/>
    <w:rsid w:val="00D055C5"/>
    <w:rsid w:val="00D05614"/>
    <w:rsid w:val="00D05685"/>
    <w:rsid w:val="00D05738"/>
    <w:rsid w:val="00D05861"/>
    <w:rsid w:val="00D0588D"/>
    <w:rsid w:val="00D0593C"/>
    <w:rsid w:val="00D05983"/>
    <w:rsid w:val="00D05A27"/>
    <w:rsid w:val="00D05A2B"/>
    <w:rsid w:val="00D05AEA"/>
    <w:rsid w:val="00D05B20"/>
    <w:rsid w:val="00D05DEF"/>
    <w:rsid w:val="00D06056"/>
    <w:rsid w:val="00D061F8"/>
    <w:rsid w:val="00D062F5"/>
    <w:rsid w:val="00D0637A"/>
    <w:rsid w:val="00D06419"/>
    <w:rsid w:val="00D0642E"/>
    <w:rsid w:val="00D06492"/>
    <w:rsid w:val="00D065A9"/>
    <w:rsid w:val="00D066A2"/>
    <w:rsid w:val="00D06788"/>
    <w:rsid w:val="00D0679A"/>
    <w:rsid w:val="00D067C7"/>
    <w:rsid w:val="00D067FC"/>
    <w:rsid w:val="00D06A56"/>
    <w:rsid w:val="00D06C10"/>
    <w:rsid w:val="00D06C77"/>
    <w:rsid w:val="00D06C9A"/>
    <w:rsid w:val="00D06CC8"/>
    <w:rsid w:val="00D06D01"/>
    <w:rsid w:val="00D06D8E"/>
    <w:rsid w:val="00D06DF7"/>
    <w:rsid w:val="00D06E0B"/>
    <w:rsid w:val="00D06F13"/>
    <w:rsid w:val="00D06F36"/>
    <w:rsid w:val="00D06F8E"/>
    <w:rsid w:val="00D06FB5"/>
    <w:rsid w:val="00D07036"/>
    <w:rsid w:val="00D0705F"/>
    <w:rsid w:val="00D070EB"/>
    <w:rsid w:val="00D07162"/>
    <w:rsid w:val="00D0716E"/>
    <w:rsid w:val="00D071C5"/>
    <w:rsid w:val="00D07227"/>
    <w:rsid w:val="00D07293"/>
    <w:rsid w:val="00D072F8"/>
    <w:rsid w:val="00D07320"/>
    <w:rsid w:val="00D07386"/>
    <w:rsid w:val="00D073FD"/>
    <w:rsid w:val="00D074B4"/>
    <w:rsid w:val="00D074C2"/>
    <w:rsid w:val="00D074D1"/>
    <w:rsid w:val="00D0754E"/>
    <w:rsid w:val="00D07550"/>
    <w:rsid w:val="00D07555"/>
    <w:rsid w:val="00D0758D"/>
    <w:rsid w:val="00D07647"/>
    <w:rsid w:val="00D07805"/>
    <w:rsid w:val="00D07856"/>
    <w:rsid w:val="00D07893"/>
    <w:rsid w:val="00D0789E"/>
    <w:rsid w:val="00D07900"/>
    <w:rsid w:val="00D07AF6"/>
    <w:rsid w:val="00D07BC4"/>
    <w:rsid w:val="00D07BE7"/>
    <w:rsid w:val="00D07CDE"/>
    <w:rsid w:val="00D07EB0"/>
    <w:rsid w:val="00D07F1C"/>
    <w:rsid w:val="00D07FD6"/>
    <w:rsid w:val="00D100AA"/>
    <w:rsid w:val="00D10103"/>
    <w:rsid w:val="00D102B1"/>
    <w:rsid w:val="00D102DA"/>
    <w:rsid w:val="00D102FC"/>
    <w:rsid w:val="00D1031B"/>
    <w:rsid w:val="00D103A8"/>
    <w:rsid w:val="00D103C0"/>
    <w:rsid w:val="00D104E6"/>
    <w:rsid w:val="00D106A1"/>
    <w:rsid w:val="00D106AF"/>
    <w:rsid w:val="00D10721"/>
    <w:rsid w:val="00D10723"/>
    <w:rsid w:val="00D10758"/>
    <w:rsid w:val="00D107AC"/>
    <w:rsid w:val="00D10893"/>
    <w:rsid w:val="00D108CA"/>
    <w:rsid w:val="00D10917"/>
    <w:rsid w:val="00D10A6C"/>
    <w:rsid w:val="00D10B19"/>
    <w:rsid w:val="00D10B7F"/>
    <w:rsid w:val="00D10CF9"/>
    <w:rsid w:val="00D10D8D"/>
    <w:rsid w:val="00D10DE4"/>
    <w:rsid w:val="00D10F23"/>
    <w:rsid w:val="00D10FC0"/>
    <w:rsid w:val="00D110E7"/>
    <w:rsid w:val="00D11268"/>
    <w:rsid w:val="00D1134D"/>
    <w:rsid w:val="00D115A1"/>
    <w:rsid w:val="00D115B1"/>
    <w:rsid w:val="00D1161D"/>
    <w:rsid w:val="00D11788"/>
    <w:rsid w:val="00D11794"/>
    <w:rsid w:val="00D117DF"/>
    <w:rsid w:val="00D11804"/>
    <w:rsid w:val="00D118B9"/>
    <w:rsid w:val="00D118F3"/>
    <w:rsid w:val="00D11953"/>
    <w:rsid w:val="00D119CD"/>
    <w:rsid w:val="00D11A0D"/>
    <w:rsid w:val="00D11A1B"/>
    <w:rsid w:val="00D11A43"/>
    <w:rsid w:val="00D11A9E"/>
    <w:rsid w:val="00D11AE7"/>
    <w:rsid w:val="00D11B1A"/>
    <w:rsid w:val="00D11B25"/>
    <w:rsid w:val="00D11C5C"/>
    <w:rsid w:val="00D11C79"/>
    <w:rsid w:val="00D11D5D"/>
    <w:rsid w:val="00D11E30"/>
    <w:rsid w:val="00D11E5F"/>
    <w:rsid w:val="00D11EB0"/>
    <w:rsid w:val="00D11F8F"/>
    <w:rsid w:val="00D1209F"/>
    <w:rsid w:val="00D120AD"/>
    <w:rsid w:val="00D120C0"/>
    <w:rsid w:val="00D1221A"/>
    <w:rsid w:val="00D122F2"/>
    <w:rsid w:val="00D1237F"/>
    <w:rsid w:val="00D12413"/>
    <w:rsid w:val="00D12530"/>
    <w:rsid w:val="00D12557"/>
    <w:rsid w:val="00D125A8"/>
    <w:rsid w:val="00D127DC"/>
    <w:rsid w:val="00D12A68"/>
    <w:rsid w:val="00D12BA8"/>
    <w:rsid w:val="00D12C3C"/>
    <w:rsid w:val="00D12C41"/>
    <w:rsid w:val="00D12C73"/>
    <w:rsid w:val="00D12D13"/>
    <w:rsid w:val="00D12D87"/>
    <w:rsid w:val="00D12E64"/>
    <w:rsid w:val="00D131D6"/>
    <w:rsid w:val="00D131F3"/>
    <w:rsid w:val="00D13203"/>
    <w:rsid w:val="00D1338C"/>
    <w:rsid w:val="00D13414"/>
    <w:rsid w:val="00D13467"/>
    <w:rsid w:val="00D13575"/>
    <w:rsid w:val="00D135E7"/>
    <w:rsid w:val="00D136AA"/>
    <w:rsid w:val="00D137C7"/>
    <w:rsid w:val="00D137DC"/>
    <w:rsid w:val="00D13AFA"/>
    <w:rsid w:val="00D13B23"/>
    <w:rsid w:val="00D13D61"/>
    <w:rsid w:val="00D13D63"/>
    <w:rsid w:val="00D13DCB"/>
    <w:rsid w:val="00D13E54"/>
    <w:rsid w:val="00D13E75"/>
    <w:rsid w:val="00D13EC9"/>
    <w:rsid w:val="00D13F3A"/>
    <w:rsid w:val="00D14031"/>
    <w:rsid w:val="00D14074"/>
    <w:rsid w:val="00D1407C"/>
    <w:rsid w:val="00D14092"/>
    <w:rsid w:val="00D140F0"/>
    <w:rsid w:val="00D141BC"/>
    <w:rsid w:val="00D142ED"/>
    <w:rsid w:val="00D14305"/>
    <w:rsid w:val="00D14344"/>
    <w:rsid w:val="00D1439D"/>
    <w:rsid w:val="00D143FD"/>
    <w:rsid w:val="00D1446D"/>
    <w:rsid w:val="00D14678"/>
    <w:rsid w:val="00D146F6"/>
    <w:rsid w:val="00D147A2"/>
    <w:rsid w:val="00D1484F"/>
    <w:rsid w:val="00D1486E"/>
    <w:rsid w:val="00D14875"/>
    <w:rsid w:val="00D14A81"/>
    <w:rsid w:val="00D14B41"/>
    <w:rsid w:val="00D14BB0"/>
    <w:rsid w:val="00D14C0A"/>
    <w:rsid w:val="00D14C24"/>
    <w:rsid w:val="00D14C3E"/>
    <w:rsid w:val="00D14E1D"/>
    <w:rsid w:val="00D14E2E"/>
    <w:rsid w:val="00D14F2C"/>
    <w:rsid w:val="00D14F41"/>
    <w:rsid w:val="00D14FC9"/>
    <w:rsid w:val="00D15006"/>
    <w:rsid w:val="00D1506B"/>
    <w:rsid w:val="00D1511E"/>
    <w:rsid w:val="00D15133"/>
    <w:rsid w:val="00D1520B"/>
    <w:rsid w:val="00D153D4"/>
    <w:rsid w:val="00D15450"/>
    <w:rsid w:val="00D1548B"/>
    <w:rsid w:val="00D1555E"/>
    <w:rsid w:val="00D1556C"/>
    <w:rsid w:val="00D1573C"/>
    <w:rsid w:val="00D15749"/>
    <w:rsid w:val="00D1575C"/>
    <w:rsid w:val="00D15779"/>
    <w:rsid w:val="00D157A6"/>
    <w:rsid w:val="00D15889"/>
    <w:rsid w:val="00D15900"/>
    <w:rsid w:val="00D15982"/>
    <w:rsid w:val="00D15B75"/>
    <w:rsid w:val="00D15B9B"/>
    <w:rsid w:val="00D15BE7"/>
    <w:rsid w:val="00D15BE9"/>
    <w:rsid w:val="00D15D3A"/>
    <w:rsid w:val="00D15EB6"/>
    <w:rsid w:val="00D15FF7"/>
    <w:rsid w:val="00D1607E"/>
    <w:rsid w:val="00D1615D"/>
    <w:rsid w:val="00D1637A"/>
    <w:rsid w:val="00D164BB"/>
    <w:rsid w:val="00D165E4"/>
    <w:rsid w:val="00D16626"/>
    <w:rsid w:val="00D16769"/>
    <w:rsid w:val="00D1683D"/>
    <w:rsid w:val="00D16853"/>
    <w:rsid w:val="00D1688D"/>
    <w:rsid w:val="00D16A02"/>
    <w:rsid w:val="00D16A77"/>
    <w:rsid w:val="00D16B62"/>
    <w:rsid w:val="00D16BCA"/>
    <w:rsid w:val="00D16EB3"/>
    <w:rsid w:val="00D16EC6"/>
    <w:rsid w:val="00D16F3C"/>
    <w:rsid w:val="00D16FA3"/>
    <w:rsid w:val="00D16FDD"/>
    <w:rsid w:val="00D17075"/>
    <w:rsid w:val="00D17178"/>
    <w:rsid w:val="00D17197"/>
    <w:rsid w:val="00D171C2"/>
    <w:rsid w:val="00D171F9"/>
    <w:rsid w:val="00D17251"/>
    <w:rsid w:val="00D172AC"/>
    <w:rsid w:val="00D17335"/>
    <w:rsid w:val="00D1733D"/>
    <w:rsid w:val="00D17362"/>
    <w:rsid w:val="00D1760B"/>
    <w:rsid w:val="00D17817"/>
    <w:rsid w:val="00D17839"/>
    <w:rsid w:val="00D17A25"/>
    <w:rsid w:val="00D17A7C"/>
    <w:rsid w:val="00D17AFD"/>
    <w:rsid w:val="00D17BF9"/>
    <w:rsid w:val="00D17C3E"/>
    <w:rsid w:val="00D17C70"/>
    <w:rsid w:val="00D17C73"/>
    <w:rsid w:val="00D17D1A"/>
    <w:rsid w:val="00D17D5A"/>
    <w:rsid w:val="00D17D85"/>
    <w:rsid w:val="00D17E30"/>
    <w:rsid w:val="00D17E49"/>
    <w:rsid w:val="00D17EBA"/>
    <w:rsid w:val="00D17EFF"/>
    <w:rsid w:val="00D17FB0"/>
    <w:rsid w:val="00D2005F"/>
    <w:rsid w:val="00D200A1"/>
    <w:rsid w:val="00D2013B"/>
    <w:rsid w:val="00D20185"/>
    <w:rsid w:val="00D20305"/>
    <w:rsid w:val="00D20335"/>
    <w:rsid w:val="00D20358"/>
    <w:rsid w:val="00D2039A"/>
    <w:rsid w:val="00D2048F"/>
    <w:rsid w:val="00D204B6"/>
    <w:rsid w:val="00D20583"/>
    <w:rsid w:val="00D205D2"/>
    <w:rsid w:val="00D20623"/>
    <w:rsid w:val="00D207A1"/>
    <w:rsid w:val="00D208A3"/>
    <w:rsid w:val="00D209C0"/>
    <w:rsid w:val="00D20AE5"/>
    <w:rsid w:val="00D20B64"/>
    <w:rsid w:val="00D20BD9"/>
    <w:rsid w:val="00D20BE3"/>
    <w:rsid w:val="00D20C06"/>
    <w:rsid w:val="00D20C26"/>
    <w:rsid w:val="00D20D18"/>
    <w:rsid w:val="00D20DCA"/>
    <w:rsid w:val="00D20DCE"/>
    <w:rsid w:val="00D20DE9"/>
    <w:rsid w:val="00D20E21"/>
    <w:rsid w:val="00D20EB6"/>
    <w:rsid w:val="00D20ECE"/>
    <w:rsid w:val="00D20F81"/>
    <w:rsid w:val="00D20FC9"/>
    <w:rsid w:val="00D2103B"/>
    <w:rsid w:val="00D21085"/>
    <w:rsid w:val="00D2114B"/>
    <w:rsid w:val="00D211A6"/>
    <w:rsid w:val="00D21260"/>
    <w:rsid w:val="00D212C5"/>
    <w:rsid w:val="00D2135D"/>
    <w:rsid w:val="00D213CF"/>
    <w:rsid w:val="00D213F1"/>
    <w:rsid w:val="00D21413"/>
    <w:rsid w:val="00D215E7"/>
    <w:rsid w:val="00D21642"/>
    <w:rsid w:val="00D217A5"/>
    <w:rsid w:val="00D217D9"/>
    <w:rsid w:val="00D218F2"/>
    <w:rsid w:val="00D21A0D"/>
    <w:rsid w:val="00D21AFE"/>
    <w:rsid w:val="00D21B6C"/>
    <w:rsid w:val="00D21BA0"/>
    <w:rsid w:val="00D21DDB"/>
    <w:rsid w:val="00D21EFC"/>
    <w:rsid w:val="00D21F27"/>
    <w:rsid w:val="00D21F66"/>
    <w:rsid w:val="00D22023"/>
    <w:rsid w:val="00D22030"/>
    <w:rsid w:val="00D222FA"/>
    <w:rsid w:val="00D2237F"/>
    <w:rsid w:val="00D22600"/>
    <w:rsid w:val="00D226EA"/>
    <w:rsid w:val="00D22760"/>
    <w:rsid w:val="00D22882"/>
    <w:rsid w:val="00D22892"/>
    <w:rsid w:val="00D2295F"/>
    <w:rsid w:val="00D229D9"/>
    <w:rsid w:val="00D22B87"/>
    <w:rsid w:val="00D22BE6"/>
    <w:rsid w:val="00D22CE0"/>
    <w:rsid w:val="00D22D84"/>
    <w:rsid w:val="00D22D9B"/>
    <w:rsid w:val="00D22DC6"/>
    <w:rsid w:val="00D22DF3"/>
    <w:rsid w:val="00D22E14"/>
    <w:rsid w:val="00D22E28"/>
    <w:rsid w:val="00D22E2C"/>
    <w:rsid w:val="00D22E9A"/>
    <w:rsid w:val="00D22F7A"/>
    <w:rsid w:val="00D2302E"/>
    <w:rsid w:val="00D23092"/>
    <w:rsid w:val="00D230B3"/>
    <w:rsid w:val="00D230EC"/>
    <w:rsid w:val="00D230F5"/>
    <w:rsid w:val="00D23264"/>
    <w:rsid w:val="00D232F0"/>
    <w:rsid w:val="00D232F4"/>
    <w:rsid w:val="00D2333E"/>
    <w:rsid w:val="00D233B9"/>
    <w:rsid w:val="00D233DC"/>
    <w:rsid w:val="00D23425"/>
    <w:rsid w:val="00D2345D"/>
    <w:rsid w:val="00D234C4"/>
    <w:rsid w:val="00D23552"/>
    <w:rsid w:val="00D23565"/>
    <w:rsid w:val="00D235B8"/>
    <w:rsid w:val="00D23713"/>
    <w:rsid w:val="00D23741"/>
    <w:rsid w:val="00D237B1"/>
    <w:rsid w:val="00D238AA"/>
    <w:rsid w:val="00D238C0"/>
    <w:rsid w:val="00D238F1"/>
    <w:rsid w:val="00D23A86"/>
    <w:rsid w:val="00D23CDD"/>
    <w:rsid w:val="00D23D1F"/>
    <w:rsid w:val="00D23D7E"/>
    <w:rsid w:val="00D23DF9"/>
    <w:rsid w:val="00D23F5C"/>
    <w:rsid w:val="00D23F72"/>
    <w:rsid w:val="00D240B6"/>
    <w:rsid w:val="00D24170"/>
    <w:rsid w:val="00D2417C"/>
    <w:rsid w:val="00D241E1"/>
    <w:rsid w:val="00D242C7"/>
    <w:rsid w:val="00D242CB"/>
    <w:rsid w:val="00D24313"/>
    <w:rsid w:val="00D243B4"/>
    <w:rsid w:val="00D243DB"/>
    <w:rsid w:val="00D243F7"/>
    <w:rsid w:val="00D24423"/>
    <w:rsid w:val="00D244CF"/>
    <w:rsid w:val="00D2459C"/>
    <w:rsid w:val="00D245B7"/>
    <w:rsid w:val="00D245DA"/>
    <w:rsid w:val="00D2466E"/>
    <w:rsid w:val="00D24689"/>
    <w:rsid w:val="00D246B0"/>
    <w:rsid w:val="00D246F5"/>
    <w:rsid w:val="00D247CA"/>
    <w:rsid w:val="00D249D0"/>
    <w:rsid w:val="00D24A1A"/>
    <w:rsid w:val="00D24C3F"/>
    <w:rsid w:val="00D24CA4"/>
    <w:rsid w:val="00D24E55"/>
    <w:rsid w:val="00D24F28"/>
    <w:rsid w:val="00D24FA7"/>
    <w:rsid w:val="00D2507B"/>
    <w:rsid w:val="00D2508C"/>
    <w:rsid w:val="00D25162"/>
    <w:rsid w:val="00D251B5"/>
    <w:rsid w:val="00D25271"/>
    <w:rsid w:val="00D252FD"/>
    <w:rsid w:val="00D25309"/>
    <w:rsid w:val="00D2530E"/>
    <w:rsid w:val="00D25387"/>
    <w:rsid w:val="00D253D3"/>
    <w:rsid w:val="00D25427"/>
    <w:rsid w:val="00D25477"/>
    <w:rsid w:val="00D254D2"/>
    <w:rsid w:val="00D2565C"/>
    <w:rsid w:val="00D256B2"/>
    <w:rsid w:val="00D256FC"/>
    <w:rsid w:val="00D25784"/>
    <w:rsid w:val="00D25832"/>
    <w:rsid w:val="00D258BE"/>
    <w:rsid w:val="00D258D3"/>
    <w:rsid w:val="00D258E3"/>
    <w:rsid w:val="00D25971"/>
    <w:rsid w:val="00D2598A"/>
    <w:rsid w:val="00D25C02"/>
    <w:rsid w:val="00D25C31"/>
    <w:rsid w:val="00D25CF9"/>
    <w:rsid w:val="00D25E41"/>
    <w:rsid w:val="00D25E67"/>
    <w:rsid w:val="00D261C4"/>
    <w:rsid w:val="00D261DC"/>
    <w:rsid w:val="00D26330"/>
    <w:rsid w:val="00D2634D"/>
    <w:rsid w:val="00D2635E"/>
    <w:rsid w:val="00D26388"/>
    <w:rsid w:val="00D263FF"/>
    <w:rsid w:val="00D26538"/>
    <w:rsid w:val="00D26595"/>
    <w:rsid w:val="00D26604"/>
    <w:rsid w:val="00D26745"/>
    <w:rsid w:val="00D2678F"/>
    <w:rsid w:val="00D267EF"/>
    <w:rsid w:val="00D268EA"/>
    <w:rsid w:val="00D26940"/>
    <w:rsid w:val="00D26A0F"/>
    <w:rsid w:val="00D26C2C"/>
    <w:rsid w:val="00D26C7C"/>
    <w:rsid w:val="00D26CD4"/>
    <w:rsid w:val="00D26D75"/>
    <w:rsid w:val="00D26E33"/>
    <w:rsid w:val="00D26E8F"/>
    <w:rsid w:val="00D26FFB"/>
    <w:rsid w:val="00D27039"/>
    <w:rsid w:val="00D2704D"/>
    <w:rsid w:val="00D27054"/>
    <w:rsid w:val="00D27057"/>
    <w:rsid w:val="00D27157"/>
    <w:rsid w:val="00D27256"/>
    <w:rsid w:val="00D2727B"/>
    <w:rsid w:val="00D272D0"/>
    <w:rsid w:val="00D272E2"/>
    <w:rsid w:val="00D2730D"/>
    <w:rsid w:val="00D273C0"/>
    <w:rsid w:val="00D2740C"/>
    <w:rsid w:val="00D27483"/>
    <w:rsid w:val="00D274A6"/>
    <w:rsid w:val="00D274C6"/>
    <w:rsid w:val="00D2762E"/>
    <w:rsid w:val="00D276A8"/>
    <w:rsid w:val="00D27750"/>
    <w:rsid w:val="00D2775B"/>
    <w:rsid w:val="00D27931"/>
    <w:rsid w:val="00D27A21"/>
    <w:rsid w:val="00D27AE8"/>
    <w:rsid w:val="00D27BAB"/>
    <w:rsid w:val="00D27C0E"/>
    <w:rsid w:val="00D27C30"/>
    <w:rsid w:val="00D27C76"/>
    <w:rsid w:val="00D27C97"/>
    <w:rsid w:val="00D27D4E"/>
    <w:rsid w:val="00D27DFC"/>
    <w:rsid w:val="00D27E11"/>
    <w:rsid w:val="00D27F3C"/>
    <w:rsid w:val="00D30015"/>
    <w:rsid w:val="00D30069"/>
    <w:rsid w:val="00D30081"/>
    <w:rsid w:val="00D30235"/>
    <w:rsid w:val="00D303A2"/>
    <w:rsid w:val="00D303B8"/>
    <w:rsid w:val="00D304DB"/>
    <w:rsid w:val="00D30546"/>
    <w:rsid w:val="00D30616"/>
    <w:rsid w:val="00D307BC"/>
    <w:rsid w:val="00D307FA"/>
    <w:rsid w:val="00D3080F"/>
    <w:rsid w:val="00D30815"/>
    <w:rsid w:val="00D3083A"/>
    <w:rsid w:val="00D30879"/>
    <w:rsid w:val="00D308DF"/>
    <w:rsid w:val="00D3096D"/>
    <w:rsid w:val="00D30A08"/>
    <w:rsid w:val="00D30B5E"/>
    <w:rsid w:val="00D30C72"/>
    <w:rsid w:val="00D30C9C"/>
    <w:rsid w:val="00D30D8F"/>
    <w:rsid w:val="00D30DCF"/>
    <w:rsid w:val="00D30E28"/>
    <w:rsid w:val="00D30EBB"/>
    <w:rsid w:val="00D310D6"/>
    <w:rsid w:val="00D3115A"/>
    <w:rsid w:val="00D312B7"/>
    <w:rsid w:val="00D31338"/>
    <w:rsid w:val="00D313F3"/>
    <w:rsid w:val="00D314E2"/>
    <w:rsid w:val="00D3157A"/>
    <w:rsid w:val="00D3159F"/>
    <w:rsid w:val="00D31610"/>
    <w:rsid w:val="00D31627"/>
    <w:rsid w:val="00D31662"/>
    <w:rsid w:val="00D316A4"/>
    <w:rsid w:val="00D316A8"/>
    <w:rsid w:val="00D316F5"/>
    <w:rsid w:val="00D31904"/>
    <w:rsid w:val="00D31970"/>
    <w:rsid w:val="00D3199A"/>
    <w:rsid w:val="00D31AD3"/>
    <w:rsid w:val="00D31B0F"/>
    <w:rsid w:val="00D31B4E"/>
    <w:rsid w:val="00D31B7C"/>
    <w:rsid w:val="00D31C8C"/>
    <w:rsid w:val="00D31D72"/>
    <w:rsid w:val="00D31E62"/>
    <w:rsid w:val="00D31EFA"/>
    <w:rsid w:val="00D31FBB"/>
    <w:rsid w:val="00D32106"/>
    <w:rsid w:val="00D322B3"/>
    <w:rsid w:val="00D32342"/>
    <w:rsid w:val="00D32481"/>
    <w:rsid w:val="00D324BC"/>
    <w:rsid w:val="00D32563"/>
    <w:rsid w:val="00D325C1"/>
    <w:rsid w:val="00D32733"/>
    <w:rsid w:val="00D327AF"/>
    <w:rsid w:val="00D327B9"/>
    <w:rsid w:val="00D327D5"/>
    <w:rsid w:val="00D328CB"/>
    <w:rsid w:val="00D32957"/>
    <w:rsid w:val="00D32B48"/>
    <w:rsid w:val="00D32BBA"/>
    <w:rsid w:val="00D32CA9"/>
    <w:rsid w:val="00D32D2C"/>
    <w:rsid w:val="00D32D43"/>
    <w:rsid w:val="00D32D4D"/>
    <w:rsid w:val="00D32D85"/>
    <w:rsid w:val="00D32DE0"/>
    <w:rsid w:val="00D32FB5"/>
    <w:rsid w:val="00D32FDB"/>
    <w:rsid w:val="00D33030"/>
    <w:rsid w:val="00D3305C"/>
    <w:rsid w:val="00D33097"/>
    <w:rsid w:val="00D33104"/>
    <w:rsid w:val="00D3313B"/>
    <w:rsid w:val="00D331F6"/>
    <w:rsid w:val="00D33212"/>
    <w:rsid w:val="00D3323E"/>
    <w:rsid w:val="00D3342B"/>
    <w:rsid w:val="00D33465"/>
    <w:rsid w:val="00D334E0"/>
    <w:rsid w:val="00D33559"/>
    <w:rsid w:val="00D3369C"/>
    <w:rsid w:val="00D336AE"/>
    <w:rsid w:val="00D33755"/>
    <w:rsid w:val="00D337F3"/>
    <w:rsid w:val="00D33833"/>
    <w:rsid w:val="00D33918"/>
    <w:rsid w:val="00D33A6B"/>
    <w:rsid w:val="00D33ACD"/>
    <w:rsid w:val="00D33B83"/>
    <w:rsid w:val="00D33C76"/>
    <w:rsid w:val="00D33C7B"/>
    <w:rsid w:val="00D33CE3"/>
    <w:rsid w:val="00D33D30"/>
    <w:rsid w:val="00D33DA7"/>
    <w:rsid w:val="00D33DB3"/>
    <w:rsid w:val="00D33E39"/>
    <w:rsid w:val="00D33E3C"/>
    <w:rsid w:val="00D33EAD"/>
    <w:rsid w:val="00D33F53"/>
    <w:rsid w:val="00D33FA2"/>
    <w:rsid w:val="00D3406D"/>
    <w:rsid w:val="00D34081"/>
    <w:rsid w:val="00D340A7"/>
    <w:rsid w:val="00D340BB"/>
    <w:rsid w:val="00D34170"/>
    <w:rsid w:val="00D341FB"/>
    <w:rsid w:val="00D3423D"/>
    <w:rsid w:val="00D3431E"/>
    <w:rsid w:val="00D3436F"/>
    <w:rsid w:val="00D343AC"/>
    <w:rsid w:val="00D343ED"/>
    <w:rsid w:val="00D3457C"/>
    <w:rsid w:val="00D34857"/>
    <w:rsid w:val="00D348C0"/>
    <w:rsid w:val="00D348C2"/>
    <w:rsid w:val="00D3494A"/>
    <w:rsid w:val="00D349C1"/>
    <w:rsid w:val="00D34A2C"/>
    <w:rsid w:val="00D34BC9"/>
    <w:rsid w:val="00D34C2A"/>
    <w:rsid w:val="00D34CAE"/>
    <w:rsid w:val="00D34DDA"/>
    <w:rsid w:val="00D34DE6"/>
    <w:rsid w:val="00D34E85"/>
    <w:rsid w:val="00D34EAF"/>
    <w:rsid w:val="00D34EE5"/>
    <w:rsid w:val="00D34EEF"/>
    <w:rsid w:val="00D34F70"/>
    <w:rsid w:val="00D34FB9"/>
    <w:rsid w:val="00D3514D"/>
    <w:rsid w:val="00D3537C"/>
    <w:rsid w:val="00D35435"/>
    <w:rsid w:val="00D35458"/>
    <w:rsid w:val="00D35485"/>
    <w:rsid w:val="00D35493"/>
    <w:rsid w:val="00D354D0"/>
    <w:rsid w:val="00D3557A"/>
    <w:rsid w:val="00D3561D"/>
    <w:rsid w:val="00D3570E"/>
    <w:rsid w:val="00D35737"/>
    <w:rsid w:val="00D35768"/>
    <w:rsid w:val="00D3578F"/>
    <w:rsid w:val="00D35837"/>
    <w:rsid w:val="00D35852"/>
    <w:rsid w:val="00D358CB"/>
    <w:rsid w:val="00D358D5"/>
    <w:rsid w:val="00D358E8"/>
    <w:rsid w:val="00D359DE"/>
    <w:rsid w:val="00D35A32"/>
    <w:rsid w:val="00D35A38"/>
    <w:rsid w:val="00D35AEF"/>
    <w:rsid w:val="00D35DAA"/>
    <w:rsid w:val="00D35E4F"/>
    <w:rsid w:val="00D35EB8"/>
    <w:rsid w:val="00D3607B"/>
    <w:rsid w:val="00D360EA"/>
    <w:rsid w:val="00D36391"/>
    <w:rsid w:val="00D3646F"/>
    <w:rsid w:val="00D364D7"/>
    <w:rsid w:val="00D36527"/>
    <w:rsid w:val="00D36562"/>
    <w:rsid w:val="00D367F2"/>
    <w:rsid w:val="00D36837"/>
    <w:rsid w:val="00D368DD"/>
    <w:rsid w:val="00D36A1B"/>
    <w:rsid w:val="00D36AD2"/>
    <w:rsid w:val="00D36C27"/>
    <w:rsid w:val="00D36D02"/>
    <w:rsid w:val="00D36F0B"/>
    <w:rsid w:val="00D36FE0"/>
    <w:rsid w:val="00D370DB"/>
    <w:rsid w:val="00D370FD"/>
    <w:rsid w:val="00D37191"/>
    <w:rsid w:val="00D371BD"/>
    <w:rsid w:val="00D37247"/>
    <w:rsid w:val="00D373AE"/>
    <w:rsid w:val="00D3740D"/>
    <w:rsid w:val="00D3746B"/>
    <w:rsid w:val="00D374AA"/>
    <w:rsid w:val="00D374FA"/>
    <w:rsid w:val="00D3758A"/>
    <w:rsid w:val="00D375B0"/>
    <w:rsid w:val="00D375C1"/>
    <w:rsid w:val="00D37601"/>
    <w:rsid w:val="00D37651"/>
    <w:rsid w:val="00D376A0"/>
    <w:rsid w:val="00D376A8"/>
    <w:rsid w:val="00D3773D"/>
    <w:rsid w:val="00D3778F"/>
    <w:rsid w:val="00D377A0"/>
    <w:rsid w:val="00D37814"/>
    <w:rsid w:val="00D3783E"/>
    <w:rsid w:val="00D3796E"/>
    <w:rsid w:val="00D37974"/>
    <w:rsid w:val="00D3798F"/>
    <w:rsid w:val="00D37B88"/>
    <w:rsid w:val="00D37BAE"/>
    <w:rsid w:val="00D37BDE"/>
    <w:rsid w:val="00D37CE9"/>
    <w:rsid w:val="00D37E3E"/>
    <w:rsid w:val="00D37E45"/>
    <w:rsid w:val="00D37EA0"/>
    <w:rsid w:val="00D37F30"/>
    <w:rsid w:val="00D37F85"/>
    <w:rsid w:val="00D40063"/>
    <w:rsid w:val="00D400E0"/>
    <w:rsid w:val="00D401CE"/>
    <w:rsid w:val="00D401EC"/>
    <w:rsid w:val="00D403C8"/>
    <w:rsid w:val="00D403E8"/>
    <w:rsid w:val="00D40444"/>
    <w:rsid w:val="00D404E0"/>
    <w:rsid w:val="00D40714"/>
    <w:rsid w:val="00D407B2"/>
    <w:rsid w:val="00D40917"/>
    <w:rsid w:val="00D40972"/>
    <w:rsid w:val="00D4097D"/>
    <w:rsid w:val="00D409D8"/>
    <w:rsid w:val="00D40B13"/>
    <w:rsid w:val="00D40BFD"/>
    <w:rsid w:val="00D40C29"/>
    <w:rsid w:val="00D40D0B"/>
    <w:rsid w:val="00D40D83"/>
    <w:rsid w:val="00D41022"/>
    <w:rsid w:val="00D41206"/>
    <w:rsid w:val="00D4133D"/>
    <w:rsid w:val="00D413B3"/>
    <w:rsid w:val="00D413BF"/>
    <w:rsid w:val="00D413FF"/>
    <w:rsid w:val="00D41478"/>
    <w:rsid w:val="00D4148E"/>
    <w:rsid w:val="00D41551"/>
    <w:rsid w:val="00D415A7"/>
    <w:rsid w:val="00D41816"/>
    <w:rsid w:val="00D41825"/>
    <w:rsid w:val="00D41868"/>
    <w:rsid w:val="00D41869"/>
    <w:rsid w:val="00D418EB"/>
    <w:rsid w:val="00D419BB"/>
    <w:rsid w:val="00D41A8A"/>
    <w:rsid w:val="00D41AB1"/>
    <w:rsid w:val="00D41AD4"/>
    <w:rsid w:val="00D41B78"/>
    <w:rsid w:val="00D41BE6"/>
    <w:rsid w:val="00D41CC7"/>
    <w:rsid w:val="00D41D06"/>
    <w:rsid w:val="00D41D5D"/>
    <w:rsid w:val="00D41DA6"/>
    <w:rsid w:val="00D41E84"/>
    <w:rsid w:val="00D41F06"/>
    <w:rsid w:val="00D42013"/>
    <w:rsid w:val="00D4214B"/>
    <w:rsid w:val="00D421CF"/>
    <w:rsid w:val="00D42222"/>
    <w:rsid w:val="00D42270"/>
    <w:rsid w:val="00D422D0"/>
    <w:rsid w:val="00D4236F"/>
    <w:rsid w:val="00D423A5"/>
    <w:rsid w:val="00D423AB"/>
    <w:rsid w:val="00D423D8"/>
    <w:rsid w:val="00D4240B"/>
    <w:rsid w:val="00D42427"/>
    <w:rsid w:val="00D42656"/>
    <w:rsid w:val="00D42705"/>
    <w:rsid w:val="00D4270A"/>
    <w:rsid w:val="00D42729"/>
    <w:rsid w:val="00D42737"/>
    <w:rsid w:val="00D4276D"/>
    <w:rsid w:val="00D427FF"/>
    <w:rsid w:val="00D429F0"/>
    <w:rsid w:val="00D42A63"/>
    <w:rsid w:val="00D42AF0"/>
    <w:rsid w:val="00D42B6B"/>
    <w:rsid w:val="00D42B89"/>
    <w:rsid w:val="00D42C63"/>
    <w:rsid w:val="00D42CF0"/>
    <w:rsid w:val="00D42D35"/>
    <w:rsid w:val="00D42D55"/>
    <w:rsid w:val="00D42E64"/>
    <w:rsid w:val="00D430C3"/>
    <w:rsid w:val="00D430F5"/>
    <w:rsid w:val="00D43195"/>
    <w:rsid w:val="00D43208"/>
    <w:rsid w:val="00D43235"/>
    <w:rsid w:val="00D43407"/>
    <w:rsid w:val="00D4342C"/>
    <w:rsid w:val="00D4349E"/>
    <w:rsid w:val="00D4356C"/>
    <w:rsid w:val="00D43677"/>
    <w:rsid w:val="00D436D7"/>
    <w:rsid w:val="00D436D8"/>
    <w:rsid w:val="00D4379C"/>
    <w:rsid w:val="00D437FF"/>
    <w:rsid w:val="00D43A47"/>
    <w:rsid w:val="00D43A4A"/>
    <w:rsid w:val="00D43AB8"/>
    <w:rsid w:val="00D43B56"/>
    <w:rsid w:val="00D43B9E"/>
    <w:rsid w:val="00D43BD0"/>
    <w:rsid w:val="00D43C87"/>
    <w:rsid w:val="00D43D5D"/>
    <w:rsid w:val="00D43D67"/>
    <w:rsid w:val="00D43DE8"/>
    <w:rsid w:val="00D43E35"/>
    <w:rsid w:val="00D43E77"/>
    <w:rsid w:val="00D43EDC"/>
    <w:rsid w:val="00D43EFE"/>
    <w:rsid w:val="00D43F6B"/>
    <w:rsid w:val="00D43F8A"/>
    <w:rsid w:val="00D43FC8"/>
    <w:rsid w:val="00D43FCF"/>
    <w:rsid w:val="00D4407C"/>
    <w:rsid w:val="00D44274"/>
    <w:rsid w:val="00D443D1"/>
    <w:rsid w:val="00D444D6"/>
    <w:rsid w:val="00D445C9"/>
    <w:rsid w:val="00D4461E"/>
    <w:rsid w:val="00D4463B"/>
    <w:rsid w:val="00D4465D"/>
    <w:rsid w:val="00D446D2"/>
    <w:rsid w:val="00D44713"/>
    <w:rsid w:val="00D4487D"/>
    <w:rsid w:val="00D448FD"/>
    <w:rsid w:val="00D44BE7"/>
    <w:rsid w:val="00D44CB0"/>
    <w:rsid w:val="00D44CC8"/>
    <w:rsid w:val="00D44E55"/>
    <w:rsid w:val="00D44F66"/>
    <w:rsid w:val="00D45189"/>
    <w:rsid w:val="00D452A3"/>
    <w:rsid w:val="00D45596"/>
    <w:rsid w:val="00D45620"/>
    <w:rsid w:val="00D45642"/>
    <w:rsid w:val="00D45667"/>
    <w:rsid w:val="00D456F9"/>
    <w:rsid w:val="00D45713"/>
    <w:rsid w:val="00D45721"/>
    <w:rsid w:val="00D45741"/>
    <w:rsid w:val="00D4581F"/>
    <w:rsid w:val="00D4583C"/>
    <w:rsid w:val="00D4584A"/>
    <w:rsid w:val="00D4589B"/>
    <w:rsid w:val="00D459B7"/>
    <w:rsid w:val="00D45A8D"/>
    <w:rsid w:val="00D45B4C"/>
    <w:rsid w:val="00D45B74"/>
    <w:rsid w:val="00D45B7A"/>
    <w:rsid w:val="00D45BBC"/>
    <w:rsid w:val="00D45BC5"/>
    <w:rsid w:val="00D45D7D"/>
    <w:rsid w:val="00D45DC8"/>
    <w:rsid w:val="00D45EA3"/>
    <w:rsid w:val="00D45EC5"/>
    <w:rsid w:val="00D45F07"/>
    <w:rsid w:val="00D45FD5"/>
    <w:rsid w:val="00D460ED"/>
    <w:rsid w:val="00D4611E"/>
    <w:rsid w:val="00D46236"/>
    <w:rsid w:val="00D464D0"/>
    <w:rsid w:val="00D46518"/>
    <w:rsid w:val="00D4657F"/>
    <w:rsid w:val="00D4659E"/>
    <w:rsid w:val="00D4674F"/>
    <w:rsid w:val="00D46762"/>
    <w:rsid w:val="00D4677E"/>
    <w:rsid w:val="00D467FB"/>
    <w:rsid w:val="00D46824"/>
    <w:rsid w:val="00D468BB"/>
    <w:rsid w:val="00D46902"/>
    <w:rsid w:val="00D46A23"/>
    <w:rsid w:val="00D46A94"/>
    <w:rsid w:val="00D46B17"/>
    <w:rsid w:val="00D46D81"/>
    <w:rsid w:val="00D46E57"/>
    <w:rsid w:val="00D46EA9"/>
    <w:rsid w:val="00D46ED8"/>
    <w:rsid w:val="00D46EE9"/>
    <w:rsid w:val="00D46FA9"/>
    <w:rsid w:val="00D46FB8"/>
    <w:rsid w:val="00D4703F"/>
    <w:rsid w:val="00D4717F"/>
    <w:rsid w:val="00D47182"/>
    <w:rsid w:val="00D471DB"/>
    <w:rsid w:val="00D47354"/>
    <w:rsid w:val="00D4735F"/>
    <w:rsid w:val="00D47379"/>
    <w:rsid w:val="00D473B0"/>
    <w:rsid w:val="00D473B8"/>
    <w:rsid w:val="00D47471"/>
    <w:rsid w:val="00D47516"/>
    <w:rsid w:val="00D4760F"/>
    <w:rsid w:val="00D47616"/>
    <w:rsid w:val="00D47636"/>
    <w:rsid w:val="00D476F3"/>
    <w:rsid w:val="00D4770E"/>
    <w:rsid w:val="00D4787D"/>
    <w:rsid w:val="00D478B0"/>
    <w:rsid w:val="00D478F7"/>
    <w:rsid w:val="00D47A75"/>
    <w:rsid w:val="00D47B01"/>
    <w:rsid w:val="00D47B15"/>
    <w:rsid w:val="00D47B99"/>
    <w:rsid w:val="00D47B9B"/>
    <w:rsid w:val="00D47BF8"/>
    <w:rsid w:val="00D47C04"/>
    <w:rsid w:val="00D47C29"/>
    <w:rsid w:val="00D47C83"/>
    <w:rsid w:val="00D47CDD"/>
    <w:rsid w:val="00D47D83"/>
    <w:rsid w:val="00D47DD8"/>
    <w:rsid w:val="00D47DE2"/>
    <w:rsid w:val="00D47DE7"/>
    <w:rsid w:val="00D47E65"/>
    <w:rsid w:val="00D47E72"/>
    <w:rsid w:val="00D47EF2"/>
    <w:rsid w:val="00D47F04"/>
    <w:rsid w:val="00D50051"/>
    <w:rsid w:val="00D500CE"/>
    <w:rsid w:val="00D501D7"/>
    <w:rsid w:val="00D501F6"/>
    <w:rsid w:val="00D5026F"/>
    <w:rsid w:val="00D502D7"/>
    <w:rsid w:val="00D5047B"/>
    <w:rsid w:val="00D504FE"/>
    <w:rsid w:val="00D505A3"/>
    <w:rsid w:val="00D5060B"/>
    <w:rsid w:val="00D506EB"/>
    <w:rsid w:val="00D507FB"/>
    <w:rsid w:val="00D5097E"/>
    <w:rsid w:val="00D5099D"/>
    <w:rsid w:val="00D50AE2"/>
    <w:rsid w:val="00D50B48"/>
    <w:rsid w:val="00D50BA2"/>
    <w:rsid w:val="00D50BD2"/>
    <w:rsid w:val="00D50C48"/>
    <w:rsid w:val="00D50D26"/>
    <w:rsid w:val="00D50EE3"/>
    <w:rsid w:val="00D50EFA"/>
    <w:rsid w:val="00D50F08"/>
    <w:rsid w:val="00D50F6E"/>
    <w:rsid w:val="00D50F93"/>
    <w:rsid w:val="00D510BB"/>
    <w:rsid w:val="00D510ED"/>
    <w:rsid w:val="00D51156"/>
    <w:rsid w:val="00D51191"/>
    <w:rsid w:val="00D51249"/>
    <w:rsid w:val="00D51289"/>
    <w:rsid w:val="00D512C0"/>
    <w:rsid w:val="00D512D5"/>
    <w:rsid w:val="00D5134D"/>
    <w:rsid w:val="00D5143C"/>
    <w:rsid w:val="00D514C9"/>
    <w:rsid w:val="00D515DD"/>
    <w:rsid w:val="00D51683"/>
    <w:rsid w:val="00D5168D"/>
    <w:rsid w:val="00D5169E"/>
    <w:rsid w:val="00D51748"/>
    <w:rsid w:val="00D51768"/>
    <w:rsid w:val="00D517B9"/>
    <w:rsid w:val="00D519A6"/>
    <w:rsid w:val="00D51AE1"/>
    <w:rsid w:val="00D51AE6"/>
    <w:rsid w:val="00D51E31"/>
    <w:rsid w:val="00D51EAB"/>
    <w:rsid w:val="00D51F16"/>
    <w:rsid w:val="00D51FE8"/>
    <w:rsid w:val="00D52004"/>
    <w:rsid w:val="00D52005"/>
    <w:rsid w:val="00D5202E"/>
    <w:rsid w:val="00D520E7"/>
    <w:rsid w:val="00D52161"/>
    <w:rsid w:val="00D5225D"/>
    <w:rsid w:val="00D522FB"/>
    <w:rsid w:val="00D522FE"/>
    <w:rsid w:val="00D52339"/>
    <w:rsid w:val="00D52371"/>
    <w:rsid w:val="00D523ED"/>
    <w:rsid w:val="00D52481"/>
    <w:rsid w:val="00D52496"/>
    <w:rsid w:val="00D524C2"/>
    <w:rsid w:val="00D5250C"/>
    <w:rsid w:val="00D52587"/>
    <w:rsid w:val="00D52606"/>
    <w:rsid w:val="00D52828"/>
    <w:rsid w:val="00D52867"/>
    <w:rsid w:val="00D528B0"/>
    <w:rsid w:val="00D52A13"/>
    <w:rsid w:val="00D52A77"/>
    <w:rsid w:val="00D52B19"/>
    <w:rsid w:val="00D52BD2"/>
    <w:rsid w:val="00D52D0E"/>
    <w:rsid w:val="00D52D12"/>
    <w:rsid w:val="00D52DA6"/>
    <w:rsid w:val="00D52E4A"/>
    <w:rsid w:val="00D52E75"/>
    <w:rsid w:val="00D5305B"/>
    <w:rsid w:val="00D5312E"/>
    <w:rsid w:val="00D5314E"/>
    <w:rsid w:val="00D53157"/>
    <w:rsid w:val="00D531F7"/>
    <w:rsid w:val="00D53206"/>
    <w:rsid w:val="00D5325B"/>
    <w:rsid w:val="00D53293"/>
    <w:rsid w:val="00D53376"/>
    <w:rsid w:val="00D533BE"/>
    <w:rsid w:val="00D5346D"/>
    <w:rsid w:val="00D5357C"/>
    <w:rsid w:val="00D535F0"/>
    <w:rsid w:val="00D53623"/>
    <w:rsid w:val="00D53656"/>
    <w:rsid w:val="00D536E5"/>
    <w:rsid w:val="00D537BE"/>
    <w:rsid w:val="00D53888"/>
    <w:rsid w:val="00D53998"/>
    <w:rsid w:val="00D53ADB"/>
    <w:rsid w:val="00D53B4E"/>
    <w:rsid w:val="00D53B9C"/>
    <w:rsid w:val="00D53CAD"/>
    <w:rsid w:val="00D53CC9"/>
    <w:rsid w:val="00D53D0F"/>
    <w:rsid w:val="00D53D2D"/>
    <w:rsid w:val="00D53D62"/>
    <w:rsid w:val="00D53D8C"/>
    <w:rsid w:val="00D53F2D"/>
    <w:rsid w:val="00D53F66"/>
    <w:rsid w:val="00D53F95"/>
    <w:rsid w:val="00D540B3"/>
    <w:rsid w:val="00D5427F"/>
    <w:rsid w:val="00D5429E"/>
    <w:rsid w:val="00D54366"/>
    <w:rsid w:val="00D5438F"/>
    <w:rsid w:val="00D54481"/>
    <w:rsid w:val="00D544DA"/>
    <w:rsid w:val="00D54587"/>
    <w:rsid w:val="00D54651"/>
    <w:rsid w:val="00D54666"/>
    <w:rsid w:val="00D5468B"/>
    <w:rsid w:val="00D546E6"/>
    <w:rsid w:val="00D547F7"/>
    <w:rsid w:val="00D548E4"/>
    <w:rsid w:val="00D5496F"/>
    <w:rsid w:val="00D54A97"/>
    <w:rsid w:val="00D54AD9"/>
    <w:rsid w:val="00D54B78"/>
    <w:rsid w:val="00D54D77"/>
    <w:rsid w:val="00D54DED"/>
    <w:rsid w:val="00D54F3A"/>
    <w:rsid w:val="00D5503C"/>
    <w:rsid w:val="00D5504E"/>
    <w:rsid w:val="00D550AD"/>
    <w:rsid w:val="00D5516A"/>
    <w:rsid w:val="00D551F8"/>
    <w:rsid w:val="00D55261"/>
    <w:rsid w:val="00D552FF"/>
    <w:rsid w:val="00D5530B"/>
    <w:rsid w:val="00D553DF"/>
    <w:rsid w:val="00D5542E"/>
    <w:rsid w:val="00D554D4"/>
    <w:rsid w:val="00D555BE"/>
    <w:rsid w:val="00D55726"/>
    <w:rsid w:val="00D55960"/>
    <w:rsid w:val="00D55A1E"/>
    <w:rsid w:val="00D55AC9"/>
    <w:rsid w:val="00D55B76"/>
    <w:rsid w:val="00D55BBD"/>
    <w:rsid w:val="00D55BC3"/>
    <w:rsid w:val="00D55BC8"/>
    <w:rsid w:val="00D55BCD"/>
    <w:rsid w:val="00D55C15"/>
    <w:rsid w:val="00D55CC9"/>
    <w:rsid w:val="00D55DE3"/>
    <w:rsid w:val="00D55E02"/>
    <w:rsid w:val="00D55F6B"/>
    <w:rsid w:val="00D55FAC"/>
    <w:rsid w:val="00D55FEA"/>
    <w:rsid w:val="00D56051"/>
    <w:rsid w:val="00D56108"/>
    <w:rsid w:val="00D56197"/>
    <w:rsid w:val="00D561B1"/>
    <w:rsid w:val="00D56204"/>
    <w:rsid w:val="00D5623D"/>
    <w:rsid w:val="00D56361"/>
    <w:rsid w:val="00D56391"/>
    <w:rsid w:val="00D563A2"/>
    <w:rsid w:val="00D5678D"/>
    <w:rsid w:val="00D5679D"/>
    <w:rsid w:val="00D567C5"/>
    <w:rsid w:val="00D567D5"/>
    <w:rsid w:val="00D5682D"/>
    <w:rsid w:val="00D56978"/>
    <w:rsid w:val="00D56BDF"/>
    <w:rsid w:val="00D56D09"/>
    <w:rsid w:val="00D56E09"/>
    <w:rsid w:val="00D56EAC"/>
    <w:rsid w:val="00D56F4E"/>
    <w:rsid w:val="00D56FC3"/>
    <w:rsid w:val="00D570EA"/>
    <w:rsid w:val="00D5717A"/>
    <w:rsid w:val="00D5718C"/>
    <w:rsid w:val="00D5718F"/>
    <w:rsid w:val="00D571AB"/>
    <w:rsid w:val="00D57246"/>
    <w:rsid w:val="00D5747D"/>
    <w:rsid w:val="00D5751C"/>
    <w:rsid w:val="00D5759F"/>
    <w:rsid w:val="00D575EF"/>
    <w:rsid w:val="00D5773F"/>
    <w:rsid w:val="00D5783A"/>
    <w:rsid w:val="00D578B2"/>
    <w:rsid w:val="00D578EC"/>
    <w:rsid w:val="00D579F5"/>
    <w:rsid w:val="00D57A76"/>
    <w:rsid w:val="00D57AD2"/>
    <w:rsid w:val="00D57B35"/>
    <w:rsid w:val="00D57B89"/>
    <w:rsid w:val="00D57BA1"/>
    <w:rsid w:val="00D57D61"/>
    <w:rsid w:val="00D57E38"/>
    <w:rsid w:val="00D60133"/>
    <w:rsid w:val="00D60219"/>
    <w:rsid w:val="00D6023F"/>
    <w:rsid w:val="00D6024C"/>
    <w:rsid w:val="00D6029D"/>
    <w:rsid w:val="00D603FA"/>
    <w:rsid w:val="00D60403"/>
    <w:rsid w:val="00D6048B"/>
    <w:rsid w:val="00D604F7"/>
    <w:rsid w:val="00D6050B"/>
    <w:rsid w:val="00D60581"/>
    <w:rsid w:val="00D605A5"/>
    <w:rsid w:val="00D605CC"/>
    <w:rsid w:val="00D6069D"/>
    <w:rsid w:val="00D6079C"/>
    <w:rsid w:val="00D60882"/>
    <w:rsid w:val="00D608D8"/>
    <w:rsid w:val="00D608E6"/>
    <w:rsid w:val="00D608E9"/>
    <w:rsid w:val="00D60A07"/>
    <w:rsid w:val="00D60A4B"/>
    <w:rsid w:val="00D60A76"/>
    <w:rsid w:val="00D60BCC"/>
    <w:rsid w:val="00D60D7D"/>
    <w:rsid w:val="00D61088"/>
    <w:rsid w:val="00D610AC"/>
    <w:rsid w:val="00D610F6"/>
    <w:rsid w:val="00D6117C"/>
    <w:rsid w:val="00D611C7"/>
    <w:rsid w:val="00D611EB"/>
    <w:rsid w:val="00D61204"/>
    <w:rsid w:val="00D61225"/>
    <w:rsid w:val="00D61242"/>
    <w:rsid w:val="00D61327"/>
    <w:rsid w:val="00D61399"/>
    <w:rsid w:val="00D614C4"/>
    <w:rsid w:val="00D615C1"/>
    <w:rsid w:val="00D617AA"/>
    <w:rsid w:val="00D617D2"/>
    <w:rsid w:val="00D61832"/>
    <w:rsid w:val="00D618B0"/>
    <w:rsid w:val="00D6190C"/>
    <w:rsid w:val="00D61A5D"/>
    <w:rsid w:val="00D61ABA"/>
    <w:rsid w:val="00D61C70"/>
    <w:rsid w:val="00D61D3D"/>
    <w:rsid w:val="00D61D61"/>
    <w:rsid w:val="00D61D75"/>
    <w:rsid w:val="00D61E68"/>
    <w:rsid w:val="00D61ED9"/>
    <w:rsid w:val="00D61F91"/>
    <w:rsid w:val="00D61FC7"/>
    <w:rsid w:val="00D61FE7"/>
    <w:rsid w:val="00D6206E"/>
    <w:rsid w:val="00D6227D"/>
    <w:rsid w:val="00D6235D"/>
    <w:rsid w:val="00D62390"/>
    <w:rsid w:val="00D623E1"/>
    <w:rsid w:val="00D623F4"/>
    <w:rsid w:val="00D6240A"/>
    <w:rsid w:val="00D62482"/>
    <w:rsid w:val="00D62651"/>
    <w:rsid w:val="00D6265D"/>
    <w:rsid w:val="00D626AD"/>
    <w:rsid w:val="00D626BB"/>
    <w:rsid w:val="00D626E3"/>
    <w:rsid w:val="00D6273B"/>
    <w:rsid w:val="00D627C2"/>
    <w:rsid w:val="00D627E0"/>
    <w:rsid w:val="00D62885"/>
    <w:rsid w:val="00D628C3"/>
    <w:rsid w:val="00D6290D"/>
    <w:rsid w:val="00D629AF"/>
    <w:rsid w:val="00D62C02"/>
    <w:rsid w:val="00D62C0C"/>
    <w:rsid w:val="00D62C69"/>
    <w:rsid w:val="00D630B6"/>
    <w:rsid w:val="00D630EB"/>
    <w:rsid w:val="00D63138"/>
    <w:rsid w:val="00D631B0"/>
    <w:rsid w:val="00D631F7"/>
    <w:rsid w:val="00D632FD"/>
    <w:rsid w:val="00D63360"/>
    <w:rsid w:val="00D63364"/>
    <w:rsid w:val="00D63429"/>
    <w:rsid w:val="00D63567"/>
    <w:rsid w:val="00D6366A"/>
    <w:rsid w:val="00D636B7"/>
    <w:rsid w:val="00D63711"/>
    <w:rsid w:val="00D637A7"/>
    <w:rsid w:val="00D637EF"/>
    <w:rsid w:val="00D63888"/>
    <w:rsid w:val="00D6388B"/>
    <w:rsid w:val="00D63928"/>
    <w:rsid w:val="00D63A92"/>
    <w:rsid w:val="00D63A95"/>
    <w:rsid w:val="00D63BCB"/>
    <w:rsid w:val="00D63D4C"/>
    <w:rsid w:val="00D63DCB"/>
    <w:rsid w:val="00D63EB9"/>
    <w:rsid w:val="00D63FA8"/>
    <w:rsid w:val="00D6405A"/>
    <w:rsid w:val="00D6405D"/>
    <w:rsid w:val="00D64098"/>
    <w:rsid w:val="00D640FD"/>
    <w:rsid w:val="00D64145"/>
    <w:rsid w:val="00D64263"/>
    <w:rsid w:val="00D642A4"/>
    <w:rsid w:val="00D642D0"/>
    <w:rsid w:val="00D64568"/>
    <w:rsid w:val="00D645D2"/>
    <w:rsid w:val="00D646D8"/>
    <w:rsid w:val="00D646FF"/>
    <w:rsid w:val="00D64787"/>
    <w:rsid w:val="00D648A0"/>
    <w:rsid w:val="00D648FC"/>
    <w:rsid w:val="00D649A8"/>
    <w:rsid w:val="00D64B36"/>
    <w:rsid w:val="00D64B59"/>
    <w:rsid w:val="00D64B6A"/>
    <w:rsid w:val="00D64BDF"/>
    <w:rsid w:val="00D64BF3"/>
    <w:rsid w:val="00D64C0E"/>
    <w:rsid w:val="00D64C1F"/>
    <w:rsid w:val="00D64D40"/>
    <w:rsid w:val="00D64DE0"/>
    <w:rsid w:val="00D64E5C"/>
    <w:rsid w:val="00D64F1A"/>
    <w:rsid w:val="00D64F73"/>
    <w:rsid w:val="00D6514A"/>
    <w:rsid w:val="00D651C2"/>
    <w:rsid w:val="00D651EF"/>
    <w:rsid w:val="00D651F9"/>
    <w:rsid w:val="00D65478"/>
    <w:rsid w:val="00D654F9"/>
    <w:rsid w:val="00D65542"/>
    <w:rsid w:val="00D65592"/>
    <w:rsid w:val="00D65621"/>
    <w:rsid w:val="00D6562E"/>
    <w:rsid w:val="00D65634"/>
    <w:rsid w:val="00D6568A"/>
    <w:rsid w:val="00D6569E"/>
    <w:rsid w:val="00D65762"/>
    <w:rsid w:val="00D6580A"/>
    <w:rsid w:val="00D6598C"/>
    <w:rsid w:val="00D659E6"/>
    <w:rsid w:val="00D65A8C"/>
    <w:rsid w:val="00D65ADE"/>
    <w:rsid w:val="00D65B05"/>
    <w:rsid w:val="00D65BD7"/>
    <w:rsid w:val="00D65D20"/>
    <w:rsid w:val="00D65D67"/>
    <w:rsid w:val="00D65D99"/>
    <w:rsid w:val="00D65F0E"/>
    <w:rsid w:val="00D6608A"/>
    <w:rsid w:val="00D660BC"/>
    <w:rsid w:val="00D660CB"/>
    <w:rsid w:val="00D660D8"/>
    <w:rsid w:val="00D661D6"/>
    <w:rsid w:val="00D662A9"/>
    <w:rsid w:val="00D6633A"/>
    <w:rsid w:val="00D663C7"/>
    <w:rsid w:val="00D66495"/>
    <w:rsid w:val="00D66500"/>
    <w:rsid w:val="00D66596"/>
    <w:rsid w:val="00D665A2"/>
    <w:rsid w:val="00D666F0"/>
    <w:rsid w:val="00D66712"/>
    <w:rsid w:val="00D66733"/>
    <w:rsid w:val="00D66860"/>
    <w:rsid w:val="00D669E3"/>
    <w:rsid w:val="00D66B13"/>
    <w:rsid w:val="00D66B1A"/>
    <w:rsid w:val="00D66B8C"/>
    <w:rsid w:val="00D66BEC"/>
    <w:rsid w:val="00D66C41"/>
    <w:rsid w:val="00D66D07"/>
    <w:rsid w:val="00D66D76"/>
    <w:rsid w:val="00D66E58"/>
    <w:rsid w:val="00D66FB2"/>
    <w:rsid w:val="00D67023"/>
    <w:rsid w:val="00D67085"/>
    <w:rsid w:val="00D670FB"/>
    <w:rsid w:val="00D67220"/>
    <w:rsid w:val="00D67293"/>
    <w:rsid w:val="00D674D4"/>
    <w:rsid w:val="00D67609"/>
    <w:rsid w:val="00D67723"/>
    <w:rsid w:val="00D678AB"/>
    <w:rsid w:val="00D67907"/>
    <w:rsid w:val="00D67994"/>
    <w:rsid w:val="00D679B7"/>
    <w:rsid w:val="00D679D6"/>
    <w:rsid w:val="00D67A16"/>
    <w:rsid w:val="00D67A9F"/>
    <w:rsid w:val="00D67B9B"/>
    <w:rsid w:val="00D67CC8"/>
    <w:rsid w:val="00D67D6C"/>
    <w:rsid w:val="00D67E69"/>
    <w:rsid w:val="00D67F00"/>
    <w:rsid w:val="00D67F31"/>
    <w:rsid w:val="00D7002F"/>
    <w:rsid w:val="00D701E9"/>
    <w:rsid w:val="00D70268"/>
    <w:rsid w:val="00D702C3"/>
    <w:rsid w:val="00D702C9"/>
    <w:rsid w:val="00D70300"/>
    <w:rsid w:val="00D7043D"/>
    <w:rsid w:val="00D70445"/>
    <w:rsid w:val="00D70463"/>
    <w:rsid w:val="00D7073D"/>
    <w:rsid w:val="00D70764"/>
    <w:rsid w:val="00D707CB"/>
    <w:rsid w:val="00D70801"/>
    <w:rsid w:val="00D708B2"/>
    <w:rsid w:val="00D708F3"/>
    <w:rsid w:val="00D7095B"/>
    <w:rsid w:val="00D7097F"/>
    <w:rsid w:val="00D709B6"/>
    <w:rsid w:val="00D709C2"/>
    <w:rsid w:val="00D70A6C"/>
    <w:rsid w:val="00D70A9F"/>
    <w:rsid w:val="00D70B61"/>
    <w:rsid w:val="00D70C98"/>
    <w:rsid w:val="00D70CB1"/>
    <w:rsid w:val="00D70CDD"/>
    <w:rsid w:val="00D70D57"/>
    <w:rsid w:val="00D70D8A"/>
    <w:rsid w:val="00D70E26"/>
    <w:rsid w:val="00D70E37"/>
    <w:rsid w:val="00D70EC3"/>
    <w:rsid w:val="00D70ECA"/>
    <w:rsid w:val="00D70FD0"/>
    <w:rsid w:val="00D71028"/>
    <w:rsid w:val="00D710FA"/>
    <w:rsid w:val="00D7114C"/>
    <w:rsid w:val="00D71201"/>
    <w:rsid w:val="00D7125C"/>
    <w:rsid w:val="00D7129E"/>
    <w:rsid w:val="00D712DE"/>
    <w:rsid w:val="00D71355"/>
    <w:rsid w:val="00D7143E"/>
    <w:rsid w:val="00D714B1"/>
    <w:rsid w:val="00D71528"/>
    <w:rsid w:val="00D71545"/>
    <w:rsid w:val="00D7154D"/>
    <w:rsid w:val="00D716A9"/>
    <w:rsid w:val="00D716AB"/>
    <w:rsid w:val="00D71702"/>
    <w:rsid w:val="00D71753"/>
    <w:rsid w:val="00D71803"/>
    <w:rsid w:val="00D71821"/>
    <w:rsid w:val="00D718F6"/>
    <w:rsid w:val="00D718FE"/>
    <w:rsid w:val="00D71A28"/>
    <w:rsid w:val="00D71A59"/>
    <w:rsid w:val="00D71A66"/>
    <w:rsid w:val="00D71B35"/>
    <w:rsid w:val="00D71C49"/>
    <w:rsid w:val="00D71CC1"/>
    <w:rsid w:val="00D71CFF"/>
    <w:rsid w:val="00D71DF3"/>
    <w:rsid w:val="00D71E7B"/>
    <w:rsid w:val="00D71F1F"/>
    <w:rsid w:val="00D71F4D"/>
    <w:rsid w:val="00D71F6C"/>
    <w:rsid w:val="00D71F9C"/>
    <w:rsid w:val="00D71FFA"/>
    <w:rsid w:val="00D72027"/>
    <w:rsid w:val="00D7207F"/>
    <w:rsid w:val="00D721A3"/>
    <w:rsid w:val="00D72250"/>
    <w:rsid w:val="00D72333"/>
    <w:rsid w:val="00D72392"/>
    <w:rsid w:val="00D723A1"/>
    <w:rsid w:val="00D723E6"/>
    <w:rsid w:val="00D7245D"/>
    <w:rsid w:val="00D7248F"/>
    <w:rsid w:val="00D72515"/>
    <w:rsid w:val="00D72519"/>
    <w:rsid w:val="00D726EB"/>
    <w:rsid w:val="00D72728"/>
    <w:rsid w:val="00D72737"/>
    <w:rsid w:val="00D7290F"/>
    <w:rsid w:val="00D72A4C"/>
    <w:rsid w:val="00D72AE7"/>
    <w:rsid w:val="00D72B1B"/>
    <w:rsid w:val="00D72B1F"/>
    <w:rsid w:val="00D72B66"/>
    <w:rsid w:val="00D72D73"/>
    <w:rsid w:val="00D72DC5"/>
    <w:rsid w:val="00D7303A"/>
    <w:rsid w:val="00D73084"/>
    <w:rsid w:val="00D73090"/>
    <w:rsid w:val="00D730AB"/>
    <w:rsid w:val="00D730DF"/>
    <w:rsid w:val="00D73138"/>
    <w:rsid w:val="00D731AA"/>
    <w:rsid w:val="00D731D7"/>
    <w:rsid w:val="00D7336C"/>
    <w:rsid w:val="00D733BC"/>
    <w:rsid w:val="00D733F8"/>
    <w:rsid w:val="00D73494"/>
    <w:rsid w:val="00D734BB"/>
    <w:rsid w:val="00D735CA"/>
    <w:rsid w:val="00D7362B"/>
    <w:rsid w:val="00D73659"/>
    <w:rsid w:val="00D73695"/>
    <w:rsid w:val="00D736D9"/>
    <w:rsid w:val="00D736DA"/>
    <w:rsid w:val="00D73710"/>
    <w:rsid w:val="00D7371B"/>
    <w:rsid w:val="00D73771"/>
    <w:rsid w:val="00D737E7"/>
    <w:rsid w:val="00D73820"/>
    <w:rsid w:val="00D7396D"/>
    <w:rsid w:val="00D73AC3"/>
    <w:rsid w:val="00D73ADF"/>
    <w:rsid w:val="00D73AF3"/>
    <w:rsid w:val="00D73BCF"/>
    <w:rsid w:val="00D73C09"/>
    <w:rsid w:val="00D73C88"/>
    <w:rsid w:val="00D73DB0"/>
    <w:rsid w:val="00D73DC4"/>
    <w:rsid w:val="00D73E23"/>
    <w:rsid w:val="00D73F1B"/>
    <w:rsid w:val="00D740C2"/>
    <w:rsid w:val="00D7419A"/>
    <w:rsid w:val="00D7419E"/>
    <w:rsid w:val="00D7427A"/>
    <w:rsid w:val="00D74330"/>
    <w:rsid w:val="00D74387"/>
    <w:rsid w:val="00D7442A"/>
    <w:rsid w:val="00D74652"/>
    <w:rsid w:val="00D747DD"/>
    <w:rsid w:val="00D7480B"/>
    <w:rsid w:val="00D7489A"/>
    <w:rsid w:val="00D748D3"/>
    <w:rsid w:val="00D74909"/>
    <w:rsid w:val="00D74A4B"/>
    <w:rsid w:val="00D74ACB"/>
    <w:rsid w:val="00D74AD4"/>
    <w:rsid w:val="00D74B22"/>
    <w:rsid w:val="00D74B81"/>
    <w:rsid w:val="00D74BD7"/>
    <w:rsid w:val="00D74C9C"/>
    <w:rsid w:val="00D74D47"/>
    <w:rsid w:val="00D74D68"/>
    <w:rsid w:val="00D74DE2"/>
    <w:rsid w:val="00D74EA9"/>
    <w:rsid w:val="00D74F36"/>
    <w:rsid w:val="00D75075"/>
    <w:rsid w:val="00D75099"/>
    <w:rsid w:val="00D75137"/>
    <w:rsid w:val="00D752B3"/>
    <w:rsid w:val="00D752F9"/>
    <w:rsid w:val="00D75438"/>
    <w:rsid w:val="00D754D1"/>
    <w:rsid w:val="00D75547"/>
    <w:rsid w:val="00D756ED"/>
    <w:rsid w:val="00D757DE"/>
    <w:rsid w:val="00D757FC"/>
    <w:rsid w:val="00D758D1"/>
    <w:rsid w:val="00D758DB"/>
    <w:rsid w:val="00D759D5"/>
    <w:rsid w:val="00D75A23"/>
    <w:rsid w:val="00D75B59"/>
    <w:rsid w:val="00D75B68"/>
    <w:rsid w:val="00D75B73"/>
    <w:rsid w:val="00D75BA4"/>
    <w:rsid w:val="00D75D06"/>
    <w:rsid w:val="00D75D4E"/>
    <w:rsid w:val="00D75D6B"/>
    <w:rsid w:val="00D75DFF"/>
    <w:rsid w:val="00D75F16"/>
    <w:rsid w:val="00D75F26"/>
    <w:rsid w:val="00D75F75"/>
    <w:rsid w:val="00D75F9A"/>
    <w:rsid w:val="00D75FA4"/>
    <w:rsid w:val="00D75FEC"/>
    <w:rsid w:val="00D760B2"/>
    <w:rsid w:val="00D761B9"/>
    <w:rsid w:val="00D7624F"/>
    <w:rsid w:val="00D76267"/>
    <w:rsid w:val="00D762AC"/>
    <w:rsid w:val="00D762B2"/>
    <w:rsid w:val="00D76344"/>
    <w:rsid w:val="00D76371"/>
    <w:rsid w:val="00D76396"/>
    <w:rsid w:val="00D76446"/>
    <w:rsid w:val="00D7648E"/>
    <w:rsid w:val="00D764DC"/>
    <w:rsid w:val="00D7658C"/>
    <w:rsid w:val="00D7660B"/>
    <w:rsid w:val="00D7669F"/>
    <w:rsid w:val="00D7677A"/>
    <w:rsid w:val="00D768F7"/>
    <w:rsid w:val="00D76AA4"/>
    <w:rsid w:val="00D76B12"/>
    <w:rsid w:val="00D76BEE"/>
    <w:rsid w:val="00D76BF3"/>
    <w:rsid w:val="00D76D47"/>
    <w:rsid w:val="00D76D75"/>
    <w:rsid w:val="00D76D80"/>
    <w:rsid w:val="00D76EE8"/>
    <w:rsid w:val="00D770E5"/>
    <w:rsid w:val="00D770F1"/>
    <w:rsid w:val="00D7718F"/>
    <w:rsid w:val="00D7721F"/>
    <w:rsid w:val="00D7729D"/>
    <w:rsid w:val="00D7745F"/>
    <w:rsid w:val="00D774AB"/>
    <w:rsid w:val="00D7762B"/>
    <w:rsid w:val="00D776E7"/>
    <w:rsid w:val="00D777DE"/>
    <w:rsid w:val="00D7780F"/>
    <w:rsid w:val="00D778F3"/>
    <w:rsid w:val="00D7795F"/>
    <w:rsid w:val="00D779A8"/>
    <w:rsid w:val="00D779D5"/>
    <w:rsid w:val="00D77B5C"/>
    <w:rsid w:val="00D77D59"/>
    <w:rsid w:val="00D77D96"/>
    <w:rsid w:val="00D77ED9"/>
    <w:rsid w:val="00D77F5F"/>
    <w:rsid w:val="00D77F72"/>
    <w:rsid w:val="00D80064"/>
    <w:rsid w:val="00D80146"/>
    <w:rsid w:val="00D80162"/>
    <w:rsid w:val="00D801C1"/>
    <w:rsid w:val="00D8022D"/>
    <w:rsid w:val="00D80246"/>
    <w:rsid w:val="00D80449"/>
    <w:rsid w:val="00D80470"/>
    <w:rsid w:val="00D804A8"/>
    <w:rsid w:val="00D804EB"/>
    <w:rsid w:val="00D80635"/>
    <w:rsid w:val="00D80770"/>
    <w:rsid w:val="00D80803"/>
    <w:rsid w:val="00D80806"/>
    <w:rsid w:val="00D808B1"/>
    <w:rsid w:val="00D80941"/>
    <w:rsid w:val="00D80B17"/>
    <w:rsid w:val="00D80B61"/>
    <w:rsid w:val="00D80BC5"/>
    <w:rsid w:val="00D80C86"/>
    <w:rsid w:val="00D80D27"/>
    <w:rsid w:val="00D80DCE"/>
    <w:rsid w:val="00D80E6D"/>
    <w:rsid w:val="00D80F01"/>
    <w:rsid w:val="00D80F47"/>
    <w:rsid w:val="00D80F6F"/>
    <w:rsid w:val="00D8108D"/>
    <w:rsid w:val="00D81293"/>
    <w:rsid w:val="00D813E2"/>
    <w:rsid w:val="00D814F4"/>
    <w:rsid w:val="00D8153D"/>
    <w:rsid w:val="00D815A8"/>
    <w:rsid w:val="00D815CC"/>
    <w:rsid w:val="00D81622"/>
    <w:rsid w:val="00D8162E"/>
    <w:rsid w:val="00D81649"/>
    <w:rsid w:val="00D81664"/>
    <w:rsid w:val="00D81685"/>
    <w:rsid w:val="00D816CF"/>
    <w:rsid w:val="00D816F6"/>
    <w:rsid w:val="00D8176C"/>
    <w:rsid w:val="00D8180C"/>
    <w:rsid w:val="00D8181E"/>
    <w:rsid w:val="00D81A96"/>
    <w:rsid w:val="00D81A9D"/>
    <w:rsid w:val="00D81B1D"/>
    <w:rsid w:val="00D81C06"/>
    <w:rsid w:val="00D81C5C"/>
    <w:rsid w:val="00D81D87"/>
    <w:rsid w:val="00D81E7E"/>
    <w:rsid w:val="00D81F57"/>
    <w:rsid w:val="00D8203D"/>
    <w:rsid w:val="00D820C1"/>
    <w:rsid w:val="00D82179"/>
    <w:rsid w:val="00D821C4"/>
    <w:rsid w:val="00D821F6"/>
    <w:rsid w:val="00D82211"/>
    <w:rsid w:val="00D8228D"/>
    <w:rsid w:val="00D822EE"/>
    <w:rsid w:val="00D823DD"/>
    <w:rsid w:val="00D8247E"/>
    <w:rsid w:val="00D82554"/>
    <w:rsid w:val="00D82693"/>
    <w:rsid w:val="00D82731"/>
    <w:rsid w:val="00D8277B"/>
    <w:rsid w:val="00D827BD"/>
    <w:rsid w:val="00D82913"/>
    <w:rsid w:val="00D829CC"/>
    <w:rsid w:val="00D829EE"/>
    <w:rsid w:val="00D82A0E"/>
    <w:rsid w:val="00D82A31"/>
    <w:rsid w:val="00D82ACE"/>
    <w:rsid w:val="00D82B2E"/>
    <w:rsid w:val="00D82E13"/>
    <w:rsid w:val="00D82EDF"/>
    <w:rsid w:val="00D82F00"/>
    <w:rsid w:val="00D831FC"/>
    <w:rsid w:val="00D8335F"/>
    <w:rsid w:val="00D83388"/>
    <w:rsid w:val="00D8340E"/>
    <w:rsid w:val="00D83445"/>
    <w:rsid w:val="00D834B5"/>
    <w:rsid w:val="00D83556"/>
    <w:rsid w:val="00D835BC"/>
    <w:rsid w:val="00D83697"/>
    <w:rsid w:val="00D83704"/>
    <w:rsid w:val="00D8388D"/>
    <w:rsid w:val="00D8393F"/>
    <w:rsid w:val="00D8394C"/>
    <w:rsid w:val="00D8394F"/>
    <w:rsid w:val="00D839CE"/>
    <w:rsid w:val="00D839D2"/>
    <w:rsid w:val="00D83A5B"/>
    <w:rsid w:val="00D83A9C"/>
    <w:rsid w:val="00D83BAF"/>
    <w:rsid w:val="00D83BBD"/>
    <w:rsid w:val="00D83BCD"/>
    <w:rsid w:val="00D83C0F"/>
    <w:rsid w:val="00D83D41"/>
    <w:rsid w:val="00D83E61"/>
    <w:rsid w:val="00D83F2E"/>
    <w:rsid w:val="00D8401E"/>
    <w:rsid w:val="00D84049"/>
    <w:rsid w:val="00D8404A"/>
    <w:rsid w:val="00D84072"/>
    <w:rsid w:val="00D840B9"/>
    <w:rsid w:val="00D84325"/>
    <w:rsid w:val="00D8433A"/>
    <w:rsid w:val="00D843D2"/>
    <w:rsid w:val="00D843E1"/>
    <w:rsid w:val="00D844C3"/>
    <w:rsid w:val="00D845A8"/>
    <w:rsid w:val="00D8469C"/>
    <w:rsid w:val="00D846BB"/>
    <w:rsid w:val="00D84742"/>
    <w:rsid w:val="00D84794"/>
    <w:rsid w:val="00D8488B"/>
    <w:rsid w:val="00D84932"/>
    <w:rsid w:val="00D84A3E"/>
    <w:rsid w:val="00D84AAB"/>
    <w:rsid w:val="00D84B2D"/>
    <w:rsid w:val="00D84B92"/>
    <w:rsid w:val="00D84BB7"/>
    <w:rsid w:val="00D84D19"/>
    <w:rsid w:val="00D84DED"/>
    <w:rsid w:val="00D84E2E"/>
    <w:rsid w:val="00D84E42"/>
    <w:rsid w:val="00D84EC0"/>
    <w:rsid w:val="00D84EF6"/>
    <w:rsid w:val="00D84F19"/>
    <w:rsid w:val="00D84F90"/>
    <w:rsid w:val="00D84FAF"/>
    <w:rsid w:val="00D84FF8"/>
    <w:rsid w:val="00D850C8"/>
    <w:rsid w:val="00D8510E"/>
    <w:rsid w:val="00D85171"/>
    <w:rsid w:val="00D85204"/>
    <w:rsid w:val="00D85312"/>
    <w:rsid w:val="00D85352"/>
    <w:rsid w:val="00D8548D"/>
    <w:rsid w:val="00D856FA"/>
    <w:rsid w:val="00D85721"/>
    <w:rsid w:val="00D85728"/>
    <w:rsid w:val="00D85746"/>
    <w:rsid w:val="00D8587E"/>
    <w:rsid w:val="00D85897"/>
    <w:rsid w:val="00D85B6C"/>
    <w:rsid w:val="00D85C9C"/>
    <w:rsid w:val="00D85D50"/>
    <w:rsid w:val="00D85DD7"/>
    <w:rsid w:val="00D85DFC"/>
    <w:rsid w:val="00D85E5A"/>
    <w:rsid w:val="00D85EC0"/>
    <w:rsid w:val="00D85EEE"/>
    <w:rsid w:val="00D85FB2"/>
    <w:rsid w:val="00D86030"/>
    <w:rsid w:val="00D8604E"/>
    <w:rsid w:val="00D86052"/>
    <w:rsid w:val="00D86084"/>
    <w:rsid w:val="00D8614E"/>
    <w:rsid w:val="00D8621A"/>
    <w:rsid w:val="00D8627B"/>
    <w:rsid w:val="00D8627F"/>
    <w:rsid w:val="00D86298"/>
    <w:rsid w:val="00D862A3"/>
    <w:rsid w:val="00D862B7"/>
    <w:rsid w:val="00D862D2"/>
    <w:rsid w:val="00D8630E"/>
    <w:rsid w:val="00D8634E"/>
    <w:rsid w:val="00D86423"/>
    <w:rsid w:val="00D86689"/>
    <w:rsid w:val="00D86702"/>
    <w:rsid w:val="00D86883"/>
    <w:rsid w:val="00D8698B"/>
    <w:rsid w:val="00D86A1A"/>
    <w:rsid w:val="00D86A21"/>
    <w:rsid w:val="00D86AC2"/>
    <w:rsid w:val="00D86B68"/>
    <w:rsid w:val="00D86B92"/>
    <w:rsid w:val="00D86D58"/>
    <w:rsid w:val="00D86FEA"/>
    <w:rsid w:val="00D8700B"/>
    <w:rsid w:val="00D8704C"/>
    <w:rsid w:val="00D870F8"/>
    <w:rsid w:val="00D87173"/>
    <w:rsid w:val="00D87261"/>
    <w:rsid w:val="00D873D4"/>
    <w:rsid w:val="00D873FC"/>
    <w:rsid w:val="00D87419"/>
    <w:rsid w:val="00D87651"/>
    <w:rsid w:val="00D8777B"/>
    <w:rsid w:val="00D87904"/>
    <w:rsid w:val="00D879BD"/>
    <w:rsid w:val="00D87CC0"/>
    <w:rsid w:val="00D87D1B"/>
    <w:rsid w:val="00D87D33"/>
    <w:rsid w:val="00D87D65"/>
    <w:rsid w:val="00D87EF8"/>
    <w:rsid w:val="00D90174"/>
    <w:rsid w:val="00D901B4"/>
    <w:rsid w:val="00D9031D"/>
    <w:rsid w:val="00D90351"/>
    <w:rsid w:val="00D90375"/>
    <w:rsid w:val="00D90503"/>
    <w:rsid w:val="00D90519"/>
    <w:rsid w:val="00D9055C"/>
    <w:rsid w:val="00D90567"/>
    <w:rsid w:val="00D905B1"/>
    <w:rsid w:val="00D905B2"/>
    <w:rsid w:val="00D90626"/>
    <w:rsid w:val="00D906A6"/>
    <w:rsid w:val="00D9070F"/>
    <w:rsid w:val="00D90722"/>
    <w:rsid w:val="00D90763"/>
    <w:rsid w:val="00D90B2D"/>
    <w:rsid w:val="00D90C1D"/>
    <w:rsid w:val="00D90C3B"/>
    <w:rsid w:val="00D90DB7"/>
    <w:rsid w:val="00D90E6B"/>
    <w:rsid w:val="00D90EE9"/>
    <w:rsid w:val="00D90F26"/>
    <w:rsid w:val="00D91205"/>
    <w:rsid w:val="00D91264"/>
    <w:rsid w:val="00D912CD"/>
    <w:rsid w:val="00D9139E"/>
    <w:rsid w:val="00D91411"/>
    <w:rsid w:val="00D91573"/>
    <w:rsid w:val="00D91705"/>
    <w:rsid w:val="00D9177C"/>
    <w:rsid w:val="00D917AD"/>
    <w:rsid w:val="00D917DF"/>
    <w:rsid w:val="00D917F9"/>
    <w:rsid w:val="00D91831"/>
    <w:rsid w:val="00D91868"/>
    <w:rsid w:val="00D91874"/>
    <w:rsid w:val="00D918AC"/>
    <w:rsid w:val="00D918F6"/>
    <w:rsid w:val="00D91959"/>
    <w:rsid w:val="00D919B4"/>
    <w:rsid w:val="00D919FC"/>
    <w:rsid w:val="00D919FF"/>
    <w:rsid w:val="00D91A69"/>
    <w:rsid w:val="00D91B68"/>
    <w:rsid w:val="00D91BD3"/>
    <w:rsid w:val="00D91E48"/>
    <w:rsid w:val="00D91EE9"/>
    <w:rsid w:val="00D91F39"/>
    <w:rsid w:val="00D91F6B"/>
    <w:rsid w:val="00D91FE9"/>
    <w:rsid w:val="00D9202F"/>
    <w:rsid w:val="00D920A3"/>
    <w:rsid w:val="00D92114"/>
    <w:rsid w:val="00D921DF"/>
    <w:rsid w:val="00D92253"/>
    <w:rsid w:val="00D922D8"/>
    <w:rsid w:val="00D92406"/>
    <w:rsid w:val="00D9242E"/>
    <w:rsid w:val="00D92491"/>
    <w:rsid w:val="00D9259C"/>
    <w:rsid w:val="00D925DB"/>
    <w:rsid w:val="00D9261A"/>
    <w:rsid w:val="00D9269A"/>
    <w:rsid w:val="00D926B0"/>
    <w:rsid w:val="00D92726"/>
    <w:rsid w:val="00D927D8"/>
    <w:rsid w:val="00D927D9"/>
    <w:rsid w:val="00D928DF"/>
    <w:rsid w:val="00D92930"/>
    <w:rsid w:val="00D9295E"/>
    <w:rsid w:val="00D929EE"/>
    <w:rsid w:val="00D929F6"/>
    <w:rsid w:val="00D92AAF"/>
    <w:rsid w:val="00D92D3A"/>
    <w:rsid w:val="00D92DA2"/>
    <w:rsid w:val="00D92E5E"/>
    <w:rsid w:val="00D92F23"/>
    <w:rsid w:val="00D93058"/>
    <w:rsid w:val="00D93062"/>
    <w:rsid w:val="00D93093"/>
    <w:rsid w:val="00D930E7"/>
    <w:rsid w:val="00D93170"/>
    <w:rsid w:val="00D93263"/>
    <w:rsid w:val="00D932CA"/>
    <w:rsid w:val="00D9340C"/>
    <w:rsid w:val="00D93560"/>
    <w:rsid w:val="00D9359E"/>
    <w:rsid w:val="00D936CC"/>
    <w:rsid w:val="00D936E6"/>
    <w:rsid w:val="00D936FE"/>
    <w:rsid w:val="00D93788"/>
    <w:rsid w:val="00D938CA"/>
    <w:rsid w:val="00D93A0C"/>
    <w:rsid w:val="00D93AEF"/>
    <w:rsid w:val="00D93B42"/>
    <w:rsid w:val="00D93BF0"/>
    <w:rsid w:val="00D93BFE"/>
    <w:rsid w:val="00D93C21"/>
    <w:rsid w:val="00D93C75"/>
    <w:rsid w:val="00D93D8F"/>
    <w:rsid w:val="00D93DC6"/>
    <w:rsid w:val="00D93E21"/>
    <w:rsid w:val="00D93EF1"/>
    <w:rsid w:val="00D93F38"/>
    <w:rsid w:val="00D93F8F"/>
    <w:rsid w:val="00D93FB3"/>
    <w:rsid w:val="00D940AE"/>
    <w:rsid w:val="00D9412E"/>
    <w:rsid w:val="00D94165"/>
    <w:rsid w:val="00D9421F"/>
    <w:rsid w:val="00D9427A"/>
    <w:rsid w:val="00D942A9"/>
    <w:rsid w:val="00D94301"/>
    <w:rsid w:val="00D94319"/>
    <w:rsid w:val="00D943B1"/>
    <w:rsid w:val="00D94400"/>
    <w:rsid w:val="00D94429"/>
    <w:rsid w:val="00D9458D"/>
    <w:rsid w:val="00D945BF"/>
    <w:rsid w:val="00D947F5"/>
    <w:rsid w:val="00D948C6"/>
    <w:rsid w:val="00D948D4"/>
    <w:rsid w:val="00D94A91"/>
    <w:rsid w:val="00D94B20"/>
    <w:rsid w:val="00D94B5B"/>
    <w:rsid w:val="00D94C73"/>
    <w:rsid w:val="00D94D65"/>
    <w:rsid w:val="00D94E93"/>
    <w:rsid w:val="00D951B8"/>
    <w:rsid w:val="00D95283"/>
    <w:rsid w:val="00D95336"/>
    <w:rsid w:val="00D95389"/>
    <w:rsid w:val="00D953C7"/>
    <w:rsid w:val="00D95453"/>
    <w:rsid w:val="00D9545B"/>
    <w:rsid w:val="00D95512"/>
    <w:rsid w:val="00D9552C"/>
    <w:rsid w:val="00D9557B"/>
    <w:rsid w:val="00D95660"/>
    <w:rsid w:val="00D9575E"/>
    <w:rsid w:val="00D958BF"/>
    <w:rsid w:val="00D958F5"/>
    <w:rsid w:val="00D9594A"/>
    <w:rsid w:val="00D959BF"/>
    <w:rsid w:val="00D95AA2"/>
    <w:rsid w:val="00D95AEE"/>
    <w:rsid w:val="00D95C7F"/>
    <w:rsid w:val="00D95D6B"/>
    <w:rsid w:val="00D95E6F"/>
    <w:rsid w:val="00D95E83"/>
    <w:rsid w:val="00D96182"/>
    <w:rsid w:val="00D9618A"/>
    <w:rsid w:val="00D963D1"/>
    <w:rsid w:val="00D963EC"/>
    <w:rsid w:val="00D96453"/>
    <w:rsid w:val="00D96587"/>
    <w:rsid w:val="00D965F4"/>
    <w:rsid w:val="00D96653"/>
    <w:rsid w:val="00D96752"/>
    <w:rsid w:val="00D9680E"/>
    <w:rsid w:val="00D9688B"/>
    <w:rsid w:val="00D968DB"/>
    <w:rsid w:val="00D96967"/>
    <w:rsid w:val="00D96992"/>
    <w:rsid w:val="00D96B1C"/>
    <w:rsid w:val="00D96B5A"/>
    <w:rsid w:val="00D96C2C"/>
    <w:rsid w:val="00D96C30"/>
    <w:rsid w:val="00D96D17"/>
    <w:rsid w:val="00D96D2D"/>
    <w:rsid w:val="00D96E2C"/>
    <w:rsid w:val="00D96E43"/>
    <w:rsid w:val="00D97037"/>
    <w:rsid w:val="00D97100"/>
    <w:rsid w:val="00D971F8"/>
    <w:rsid w:val="00D97221"/>
    <w:rsid w:val="00D97227"/>
    <w:rsid w:val="00D97233"/>
    <w:rsid w:val="00D97267"/>
    <w:rsid w:val="00D972A8"/>
    <w:rsid w:val="00D9738C"/>
    <w:rsid w:val="00D97451"/>
    <w:rsid w:val="00D97452"/>
    <w:rsid w:val="00D974CB"/>
    <w:rsid w:val="00D97539"/>
    <w:rsid w:val="00D97604"/>
    <w:rsid w:val="00D976E7"/>
    <w:rsid w:val="00D9776E"/>
    <w:rsid w:val="00D978BD"/>
    <w:rsid w:val="00D978BE"/>
    <w:rsid w:val="00D97A34"/>
    <w:rsid w:val="00D97A74"/>
    <w:rsid w:val="00D97B9F"/>
    <w:rsid w:val="00D97BD8"/>
    <w:rsid w:val="00D97C19"/>
    <w:rsid w:val="00D97CAA"/>
    <w:rsid w:val="00D97E5F"/>
    <w:rsid w:val="00D97E73"/>
    <w:rsid w:val="00D97E86"/>
    <w:rsid w:val="00DA005A"/>
    <w:rsid w:val="00DA00EA"/>
    <w:rsid w:val="00DA035E"/>
    <w:rsid w:val="00DA0412"/>
    <w:rsid w:val="00DA06A2"/>
    <w:rsid w:val="00DA06D1"/>
    <w:rsid w:val="00DA07DC"/>
    <w:rsid w:val="00DA08C8"/>
    <w:rsid w:val="00DA0928"/>
    <w:rsid w:val="00DA092B"/>
    <w:rsid w:val="00DA0AA2"/>
    <w:rsid w:val="00DA0AF2"/>
    <w:rsid w:val="00DA0B04"/>
    <w:rsid w:val="00DA0B12"/>
    <w:rsid w:val="00DA0B77"/>
    <w:rsid w:val="00DA0C06"/>
    <w:rsid w:val="00DA0C71"/>
    <w:rsid w:val="00DA0D03"/>
    <w:rsid w:val="00DA0DB9"/>
    <w:rsid w:val="00DA0EC3"/>
    <w:rsid w:val="00DA0F83"/>
    <w:rsid w:val="00DA1016"/>
    <w:rsid w:val="00DA110C"/>
    <w:rsid w:val="00DA11C4"/>
    <w:rsid w:val="00DA12E7"/>
    <w:rsid w:val="00DA131A"/>
    <w:rsid w:val="00DA1365"/>
    <w:rsid w:val="00DA1492"/>
    <w:rsid w:val="00DA1495"/>
    <w:rsid w:val="00DA1504"/>
    <w:rsid w:val="00DA152B"/>
    <w:rsid w:val="00DA172D"/>
    <w:rsid w:val="00DA1945"/>
    <w:rsid w:val="00DA198E"/>
    <w:rsid w:val="00DA1BAE"/>
    <w:rsid w:val="00DA1BD5"/>
    <w:rsid w:val="00DA1BD8"/>
    <w:rsid w:val="00DA1BE5"/>
    <w:rsid w:val="00DA1C91"/>
    <w:rsid w:val="00DA1CF1"/>
    <w:rsid w:val="00DA1E2B"/>
    <w:rsid w:val="00DA1F68"/>
    <w:rsid w:val="00DA1F74"/>
    <w:rsid w:val="00DA1FE5"/>
    <w:rsid w:val="00DA20A4"/>
    <w:rsid w:val="00DA2189"/>
    <w:rsid w:val="00DA218A"/>
    <w:rsid w:val="00DA2219"/>
    <w:rsid w:val="00DA222D"/>
    <w:rsid w:val="00DA226D"/>
    <w:rsid w:val="00DA2272"/>
    <w:rsid w:val="00DA22A1"/>
    <w:rsid w:val="00DA22F3"/>
    <w:rsid w:val="00DA23FA"/>
    <w:rsid w:val="00DA2435"/>
    <w:rsid w:val="00DA25A1"/>
    <w:rsid w:val="00DA26B4"/>
    <w:rsid w:val="00DA26D2"/>
    <w:rsid w:val="00DA277F"/>
    <w:rsid w:val="00DA28BA"/>
    <w:rsid w:val="00DA28F6"/>
    <w:rsid w:val="00DA2933"/>
    <w:rsid w:val="00DA29D7"/>
    <w:rsid w:val="00DA2A48"/>
    <w:rsid w:val="00DA2BB7"/>
    <w:rsid w:val="00DA2CF6"/>
    <w:rsid w:val="00DA2D36"/>
    <w:rsid w:val="00DA2DD8"/>
    <w:rsid w:val="00DA2DFB"/>
    <w:rsid w:val="00DA2F71"/>
    <w:rsid w:val="00DA3053"/>
    <w:rsid w:val="00DA3246"/>
    <w:rsid w:val="00DA32B6"/>
    <w:rsid w:val="00DA3398"/>
    <w:rsid w:val="00DA339A"/>
    <w:rsid w:val="00DA3436"/>
    <w:rsid w:val="00DA3449"/>
    <w:rsid w:val="00DA346F"/>
    <w:rsid w:val="00DA355C"/>
    <w:rsid w:val="00DA361F"/>
    <w:rsid w:val="00DA36AC"/>
    <w:rsid w:val="00DA36E3"/>
    <w:rsid w:val="00DA37DA"/>
    <w:rsid w:val="00DA37DB"/>
    <w:rsid w:val="00DA37DD"/>
    <w:rsid w:val="00DA37E9"/>
    <w:rsid w:val="00DA38D5"/>
    <w:rsid w:val="00DA38DE"/>
    <w:rsid w:val="00DA3A26"/>
    <w:rsid w:val="00DA3A4D"/>
    <w:rsid w:val="00DA3AD5"/>
    <w:rsid w:val="00DA3B4A"/>
    <w:rsid w:val="00DA3C8E"/>
    <w:rsid w:val="00DA3CAE"/>
    <w:rsid w:val="00DA3CCF"/>
    <w:rsid w:val="00DA3D49"/>
    <w:rsid w:val="00DA3D5A"/>
    <w:rsid w:val="00DA3DAC"/>
    <w:rsid w:val="00DA3DB3"/>
    <w:rsid w:val="00DA3DF2"/>
    <w:rsid w:val="00DA3E83"/>
    <w:rsid w:val="00DA3E85"/>
    <w:rsid w:val="00DA3E86"/>
    <w:rsid w:val="00DA3EE5"/>
    <w:rsid w:val="00DA3F06"/>
    <w:rsid w:val="00DA3F44"/>
    <w:rsid w:val="00DA3F4D"/>
    <w:rsid w:val="00DA3F4F"/>
    <w:rsid w:val="00DA3FE7"/>
    <w:rsid w:val="00DA403A"/>
    <w:rsid w:val="00DA40BE"/>
    <w:rsid w:val="00DA4184"/>
    <w:rsid w:val="00DA41A4"/>
    <w:rsid w:val="00DA4363"/>
    <w:rsid w:val="00DA4377"/>
    <w:rsid w:val="00DA4428"/>
    <w:rsid w:val="00DA4510"/>
    <w:rsid w:val="00DA4592"/>
    <w:rsid w:val="00DA4918"/>
    <w:rsid w:val="00DA49A2"/>
    <w:rsid w:val="00DA49D2"/>
    <w:rsid w:val="00DA4AEE"/>
    <w:rsid w:val="00DA4BB2"/>
    <w:rsid w:val="00DA4C03"/>
    <w:rsid w:val="00DA4C2F"/>
    <w:rsid w:val="00DA4CD5"/>
    <w:rsid w:val="00DA4DF8"/>
    <w:rsid w:val="00DA4EB8"/>
    <w:rsid w:val="00DA4F99"/>
    <w:rsid w:val="00DA505F"/>
    <w:rsid w:val="00DA51BB"/>
    <w:rsid w:val="00DA5228"/>
    <w:rsid w:val="00DA52C3"/>
    <w:rsid w:val="00DA532F"/>
    <w:rsid w:val="00DA53F5"/>
    <w:rsid w:val="00DA5502"/>
    <w:rsid w:val="00DA5539"/>
    <w:rsid w:val="00DA5560"/>
    <w:rsid w:val="00DA5609"/>
    <w:rsid w:val="00DA561E"/>
    <w:rsid w:val="00DA5655"/>
    <w:rsid w:val="00DA5948"/>
    <w:rsid w:val="00DA5975"/>
    <w:rsid w:val="00DA5C49"/>
    <w:rsid w:val="00DA5DE0"/>
    <w:rsid w:val="00DA5E9E"/>
    <w:rsid w:val="00DA5EE4"/>
    <w:rsid w:val="00DA5FD8"/>
    <w:rsid w:val="00DA6020"/>
    <w:rsid w:val="00DA6083"/>
    <w:rsid w:val="00DA60A9"/>
    <w:rsid w:val="00DA6267"/>
    <w:rsid w:val="00DA6292"/>
    <w:rsid w:val="00DA62EF"/>
    <w:rsid w:val="00DA6340"/>
    <w:rsid w:val="00DA63A2"/>
    <w:rsid w:val="00DA63AF"/>
    <w:rsid w:val="00DA659A"/>
    <w:rsid w:val="00DA65D8"/>
    <w:rsid w:val="00DA65E8"/>
    <w:rsid w:val="00DA6633"/>
    <w:rsid w:val="00DA66CD"/>
    <w:rsid w:val="00DA67FE"/>
    <w:rsid w:val="00DA6908"/>
    <w:rsid w:val="00DA6998"/>
    <w:rsid w:val="00DA6A1D"/>
    <w:rsid w:val="00DA6A88"/>
    <w:rsid w:val="00DA6A8C"/>
    <w:rsid w:val="00DA6BB3"/>
    <w:rsid w:val="00DA6BE0"/>
    <w:rsid w:val="00DA6C87"/>
    <w:rsid w:val="00DA6EF1"/>
    <w:rsid w:val="00DA6F07"/>
    <w:rsid w:val="00DA6F8A"/>
    <w:rsid w:val="00DA70FA"/>
    <w:rsid w:val="00DA7133"/>
    <w:rsid w:val="00DA71E3"/>
    <w:rsid w:val="00DA7200"/>
    <w:rsid w:val="00DA726F"/>
    <w:rsid w:val="00DA7364"/>
    <w:rsid w:val="00DA74BF"/>
    <w:rsid w:val="00DA7579"/>
    <w:rsid w:val="00DA75B6"/>
    <w:rsid w:val="00DA75EF"/>
    <w:rsid w:val="00DA7621"/>
    <w:rsid w:val="00DA7712"/>
    <w:rsid w:val="00DA772E"/>
    <w:rsid w:val="00DA7740"/>
    <w:rsid w:val="00DA77D4"/>
    <w:rsid w:val="00DA7875"/>
    <w:rsid w:val="00DA78B2"/>
    <w:rsid w:val="00DA7A0B"/>
    <w:rsid w:val="00DA7A42"/>
    <w:rsid w:val="00DA7A76"/>
    <w:rsid w:val="00DA7A8E"/>
    <w:rsid w:val="00DA7AA0"/>
    <w:rsid w:val="00DA7B7F"/>
    <w:rsid w:val="00DA7C08"/>
    <w:rsid w:val="00DA7C15"/>
    <w:rsid w:val="00DA7DB2"/>
    <w:rsid w:val="00DA7F4A"/>
    <w:rsid w:val="00DA7FF3"/>
    <w:rsid w:val="00DB0068"/>
    <w:rsid w:val="00DB0087"/>
    <w:rsid w:val="00DB00FF"/>
    <w:rsid w:val="00DB0108"/>
    <w:rsid w:val="00DB038A"/>
    <w:rsid w:val="00DB03DA"/>
    <w:rsid w:val="00DB0426"/>
    <w:rsid w:val="00DB0430"/>
    <w:rsid w:val="00DB05A3"/>
    <w:rsid w:val="00DB0666"/>
    <w:rsid w:val="00DB07D8"/>
    <w:rsid w:val="00DB07E6"/>
    <w:rsid w:val="00DB0869"/>
    <w:rsid w:val="00DB091A"/>
    <w:rsid w:val="00DB0954"/>
    <w:rsid w:val="00DB0A71"/>
    <w:rsid w:val="00DB0B97"/>
    <w:rsid w:val="00DB0BC2"/>
    <w:rsid w:val="00DB0C04"/>
    <w:rsid w:val="00DB0C0A"/>
    <w:rsid w:val="00DB0D9A"/>
    <w:rsid w:val="00DB0E40"/>
    <w:rsid w:val="00DB0EC3"/>
    <w:rsid w:val="00DB0ECF"/>
    <w:rsid w:val="00DB0ED2"/>
    <w:rsid w:val="00DB0EFA"/>
    <w:rsid w:val="00DB0F0F"/>
    <w:rsid w:val="00DB11B1"/>
    <w:rsid w:val="00DB11BC"/>
    <w:rsid w:val="00DB1244"/>
    <w:rsid w:val="00DB1245"/>
    <w:rsid w:val="00DB12C7"/>
    <w:rsid w:val="00DB1343"/>
    <w:rsid w:val="00DB13A6"/>
    <w:rsid w:val="00DB13B9"/>
    <w:rsid w:val="00DB1447"/>
    <w:rsid w:val="00DB1498"/>
    <w:rsid w:val="00DB1558"/>
    <w:rsid w:val="00DB15AC"/>
    <w:rsid w:val="00DB15DE"/>
    <w:rsid w:val="00DB15E9"/>
    <w:rsid w:val="00DB15FD"/>
    <w:rsid w:val="00DB1639"/>
    <w:rsid w:val="00DB181D"/>
    <w:rsid w:val="00DB1894"/>
    <w:rsid w:val="00DB18ED"/>
    <w:rsid w:val="00DB19D5"/>
    <w:rsid w:val="00DB1C85"/>
    <w:rsid w:val="00DB1D3B"/>
    <w:rsid w:val="00DB1EB9"/>
    <w:rsid w:val="00DB1FE3"/>
    <w:rsid w:val="00DB20CD"/>
    <w:rsid w:val="00DB215C"/>
    <w:rsid w:val="00DB217D"/>
    <w:rsid w:val="00DB2201"/>
    <w:rsid w:val="00DB2280"/>
    <w:rsid w:val="00DB2405"/>
    <w:rsid w:val="00DB2442"/>
    <w:rsid w:val="00DB2468"/>
    <w:rsid w:val="00DB2574"/>
    <w:rsid w:val="00DB25A1"/>
    <w:rsid w:val="00DB25B1"/>
    <w:rsid w:val="00DB264C"/>
    <w:rsid w:val="00DB2652"/>
    <w:rsid w:val="00DB2678"/>
    <w:rsid w:val="00DB2769"/>
    <w:rsid w:val="00DB282D"/>
    <w:rsid w:val="00DB2831"/>
    <w:rsid w:val="00DB285C"/>
    <w:rsid w:val="00DB28CD"/>
    <w:rsid w:val="00DB293C"/>
    <w:rsid w:val="00DB296F"/>
    <w:rsid w:val="00DB2A13"/>
    <w:rsid w:val="00DB2A17"/>
    <w:rsid w:val="00DB2A63"/>
    <w:rsid w:val="00DB2AA3"/>
    <w:rsid w:val="00DB2B40"/>
    <w:rsid w:val="00DB2BA4"/>
    <w:rsid w:val="00DB2BA8"/>
    <w:rsid w:val="00DB2BFD"/>
    <w:rsid w:val="00DB2C33"/>
    <w:rsid w:val="00DB2C4F"/>
    <w:rsid w:val="00DB2DC0"/>
    <w:rsid w:val="00DB2E00"/>
    <w:rsid w:val="00DB2F80"/>
    <w:rsid w:val="00DB2F96"/>
    <w:rsid w:val="00DB2FAD"/>
    <w:rsid w:val="00DB2FC1"/>
    <w:rsid w:val="00DB3039"/>
    <w:rsid w:val="00DB30CA"/>
    <w:rsid w:val="00DB3151"/>
    <w:rsid w:val="00DB317E"/>
    <w:rsid w:val="00DB3241"/>
    <w:rsid w:val="00DB3266"/>
    <w:rsid w:val="00DB32BF"/>
    <w:rsid w:val="00DB3342"/>
    <w:rsid w:val="00DB335D"/>
    <w:rsid w:val="00DB3437"/>
    <w:rsid w:val="00DB3498"/>
    <w:rsid w:val="00DB375A"/>
    <w:rsid w:val="00DB3771"/>
    <w:rsid w:val="00DB37A2"/>
    <w:rsid w:val="00DB37D4"/>
    <w:rsid w:val="00DB3822"/>
    <w:rsid w:val="00DB3989"/>
    <w:rsid w:val="00DB3AD7"/>
    <w:rsid w:val="00DB3AFF"/>
    <w:rsid w:val="00DB3B54"/>
    <w:rsid w:val="00DB3D19"/>
    <w:rsid w:val="00DB3D47"/>
    <w:rsid w:val="00DB3F3D"/>
    <w:rsid w:val="00DB3FA0"/>
    <w:rsid w:val="00DB402D"/>
    <w:rsid w:val="00DB404C"/>
    <w:rsid w:val="00DB40FD"/>
    <w:rsid w:val="00DB4242"/>
    <w:rsid w:val="00DB424C"/>
    <w:rsid w:val="00DB4426"/>
    <w:rsid w:val="00DB44F8"/>
    <w:rsid w:val="00DB45D1"/>
    <w:rsid w:val="00DB45D2"/>
    <w:rsid w:val="00DB4796"/>
    <w:rsid w:val="00DB479D"/>
    <w:rsid w:val="00DB47EB"/>
    <w:rsid w:val="00DB4832"/>
    <w:rsid w:val="00DB4944"/>
    <w:rsid w:val="00DB4A4D"/>
    <w:rsid w:val="00DB4BB0"/>
    <w:rsid w:val="00DB4C02"/>
    <w:rsid w:val="00DB4DA4"/>
    <w:rsid w:val="00DB4DD5"/>
    <w:rsid w:val="00DB5011"/>
    <w:rsid w:val="00DB5063"/>
    <w:rsid w:val="00DB5324"/>
    <w:rsid w:val="00DB5413"/>
    <w:rsid w:val="00DB5464"/>
    <w:rsid w:val="00DB5474"/>
    <w:rsid w:val="00DB54B2"/>
    <w:rsid w:val="00DB5556"/>
    <w:rsid w:val="00DB56C6"/>
    <w:rsid w:val="00DB571C"/>
    <w:rsid w:val="00DB589C"/>
    <w:rsid w:val="00DB58CB"/>
    <w:rsid w:val="00DB592C"/>
    <w:rsid w:val="00DB5A0C"/>
    <w:rsid w:val="00DB5A6B"/>
    <w:rsid w:val="00DB5A9F"/>
    <w:rsid w:val="00DB5B79"/>
    <w:rsid w:val="00DB5B96"/>
    <w:rsid w:val="00DB5BD2"/>
    <w:rsid w:val="00DB5D6B"/>
    <w:rsid w:val="00DB5DAA"/>
    <w:rsid w:val="00DB5E6F"/>
    <w:rsid w:val="00DB5EF3"/>
    <w:rsid w:val="00DB5F53"/>
    <w:rsid w:val="00DB623F"/>
    <w:rsid w:val="00DB639D"/>
    <w:rsid w:val="00DB6409"/>
    <w:rsid w:val="00DB64B0"/>
    <w:rsid w:val="00DB6584"/>
    <w:rsid w:val="00DB65EB"/>
    <w:rsid w:val="00DB66A9"/>
    <w:rsid w:val="00DB671D"/>
    <w:rsid w:val="00DB678E"/>
    <w:rsid w:val="00DB6848"/>
    <w:rsid w:val="00DB6873"/>
    <w:rsid w:val="00DB690D"/>
    <w:rsid w:val="00DB691B"/>
    <w:rsid w:val="00DB6948"/>
    <w:rsid w:val="00DB6952"/>
    <w:rsid w:val="00DB699E"/>
    <w:rsid w:val="00DB6A53"/>
    <w:rsid w:val="00DB6ABE"/>
    <w:rsid w:val="00DB6B28"/>
    <w:rsid w:val="00DB6B44"/>
    <w:rsid w:val="00DB6B7D"/>
    <w:rsid w:val="00DB6E0F"/>
    <w:rsid w:val="00DB6EDF"/>
    <w:rsid w:val="00DB700C"/>
    <w:rsid w:val="00DB712F"/>
    <w:rsid w:val="00DB7425"/>
    <w:rsid w:val="00DB7486"/>
    <w:rsid w:val="00DB74EE"/>
    <w:rsid w:val="00DB7526"/>
    <w:rsid w:val="00DB7587"/>
    <w:rsid w:val="00DB7601"/>
    <w:rsid w:val="00DB764A"/>
    <w:rsid w:val="00DB765E"/>
    <w:rsid w:val="00DB77D2"/>
    <w:rsid w:val="00DB7836"/>
    <w:rsid w:val="00DB7903"/>
    <w:rsid w:val="00DB7947"/>
    <w:rsid w:val="00DB7A0C"/>
    <w:rsid w:val="00DB7A5A"/>
    <w:rsid w:val="00DB7A81"/>
    <w:rsid w:val="00DB7D5A"/>
    <w:rsid w:val="00DB7E0D"/>
    <w:rsid w:val="00DB7E43"/>
    <w:rsid w:val="00DB7ED6"/>
    <w:rsid w:val="00DB7FAC"/>
    <w:rsid w:val="00DC003F"/>
    <w:rsid w:val="00DC00DB"/>
    <w:rsid w:val="00DC0123"/>
    <w:rsid w:val="00DC01D8"/>
    <w:rsid w:val="00DC02A4"/>
    <w:rsid w:val="00DC0390"/>
    <w:rsid w:val="00DC03CA"/>
    <w:rsid w:val="00DC03CD"/>
    <w:rsid w:val="00DC0428"/>
    <w:rsid w:val="00DC042F"/>
    <w:rsid w:val="00DC045F"/>
    <w:rsid w:val="00DC0535"/>
    <w:rsid w:val="00DC0551"/>
    <w:rsid w:val="00DC0577"/>
    <w:rsid w:val="00DC0579"/>
    <w:rsid w:val="00DC0582"/>
    <w:rsid w:val="00DC05C4"/>
    <w:rsid w:val="00DC061D"/>
    <w:rsid w:val="00DC07C2"/>
    <w:rsid w:val="00DC0843"/>
    <w:rsid w:val="00DC08C7"/>
    <w:rsid w:val="00DC09A4"/>
    <w:rsid w:val="00DC0A98"/>
    <w:rsid w:val="00DC0B1A"/>
    <w:rsid w:val="00DC0B57"/>
    <w:rsid w:val="00DC0B8B"/>
    <w:rsid w:val="00DC0B9B"/>
    <w:rsid w:val="00DC0B9C"/>
    <w:rsid w:val="00DC0BA2"/>
    <w:rsid w:val="00DC0C3B"/>
    <w:rsid w:val="00DC0CEB"/>
    <w:rsid w:val="00DC0DB5"/>
    <w:rsid w:val="00DC0DF9"/>
    <w:rsid w:val="00DC0E84"/>
    <w:rsid w:val="00DC0F09"/>
    <w:rsid w:val="00DC0F9C"/>
    <w:rsid w:val="00DC0FCA"/>
    <w:rsid w:val="00DC0FE5"/>
    <w:rsid w:val="00DC10A0"/>
    <w:rsid w:val="00DC1123"/>
    <w:rsid w:val="00DC11F1"/>
    <w:rsid w:val="00DC1358"/>
    <w:rsid w:val="00DC144C"/>
    <w:rsid w:val="00DC1502"/>
    <w:rsid w:val="00DC1614"/>
    <w:rsid w:val="00DC1631"/>
    <w:rsid w:val="00DC1671"/>
    <w:rsid w:val="00DC1801"/>
    <w:rsid w:val="00DC190C"/>
    <w:rsid w:val="00DC1A0A"/>
    <w:rsid w:val="00DC1AE6"/>
    <w:rsid w:val="00DC1B70"/>
    <w:rsid w:val="00DC1C16"/>
    <w:rsid w:val="00DC1C9D"/>
    <w:rsid w:val="00DC1D0A"/>
    <w:rsid w:val="00DC1D53"/>
    <w:rsid w:val="00DC1D55"/>
    <w:rsid w:val="00DC1D73"/>
    <w:rsid w:val="00DC1DEC"/>
    <w:rsid w:val="00DC1E5E"/>
    <w:rsid w:val="00DC1F3F"/>
    <w:rsid w:val="00DC1F44"/>
    <w:rsid w:val="00DC202F"/>
    <w:rsid w:val="00DC2061"/>
    <w:rsid w:val="00DC20EB"/>
    <w:rsid w:val="00DC210A"/>
    <w:rsid w:val="00DC2131"/>
    <w:rsid w:val="00DC2289"/>
    <w:rsid w:val="00DC232F"/>
    <w:rsid w:val="00DC24A1"/>
    <w:rsid w:val="00DC2551"/>
    <w:rsid w:val="00DC25C9"/>
    <w:rsid w:val="00DC26C9"/>
    <w:rsid w:val="00DC2720"/>
    <w:rsid w:val="00DC2866"/>
    <w:rsid w:val="00DC28DF"/>
    <w:rsid w:val="00DC28FF"/>
    <w:rsid w:val="00DC2B0F"/>
    <w:rsid w:val="00DC2C66"/>
    <w:rsid w:val="00DC2D44"/>
    <w:rsid w:val="00DC2E38"/>
    <w:rsid w:val="00DC2E4E"/>
    <w:rsid w:val="00DC2F3D"/>
    <w:rsid w:val="00DC2F88"/>
    <w:rsid w:val="00DC301F"/>
    <w:rsid w:val="00DC30EA"/>
    <w:rsid w:val="00DC3108"/>
    <w:rsid w:val="00DC3150"/>
    <w:rsid w:val="00DC319E"/>
    <w:rsid w:val="00DC3262"/>
    <w:rsid w:val="00DC327E"/>
    <w:rsid w:val="00DC3371"/>
    <w:rsid w:val="00DC346D"/>
    <w:rsid w:val="00DC3474"/>
    <w:rsid w:val="00DC3550"/>
    <w:rsid w:val="00DC3580"/>
    <w:rsid w:val="00DC3665"/>
    <w:rsid w:val="00DC378F"/>
    <w:rsid w:val="00DC3833"/>
    <w:rsid w:val="00DC3854"/>
    <w:rsid w:val="00DC392D"/>
    <w:rsid w:val="00DC3A28"/>
    <w:rsid w:val="00DC3A9B"/>
    <w:rsid w:val="00DC3B69"/>
    <w:rsid w:val="00DC3BAA"/>
    <w:rsid w:val="00DC3C06"/>
    <w:rsid w:val="00DC3C16"/>
    <w:rsid w:val="00DC3E31"/>
    <w:rsid w:val="00DC3E9E"/>
    <w:rsid w:val="00DC3EF6"/>
    <w:rsid w:val="00DC3FBD"/>
    <w:rsid w:val="00DC3FC3"/>
    <w:rsid w:val="00DC400B"/>
    <w:rsid w:val="00DC40AE"/>
    <w:rsid w:val="00DC4155"/>
    <w:rsid w:val="00DC4201"/>
    <w:rsid w:val="00DC420A"/>
    <w:rsid w:val="00DC421D"/>
    <w:rsid w:val="00DC4227"/>
    <w:rsid w:val="00DC4271"/>
    <w:rsid w:val="00DC4374"/>
    <w:rsid w:val="00DC445E"/>
    <w:rsid w:val="00DC45B3"/>
    <w:rsid w:val="00DC4803"/>
    <w:rsid w:val="00DC484D"/>
    <w:rsid w:val="00DC4A6A"/>
    <w:rsid w:val="00DC4AA6"/>
    <w:rsid w:val="00DC4AD5"/>
    <w:rsid w:val="00DC4AE4"/>
    <w:rsid w:val="00DC4B41"/>
    <w:rsid w:val="00DC4BCF"/>
    <w:rsid w:val="00DC4CA5"/>
    <w:rsid w:val="00DC4D7E"/>
    <w:rsid w:val="00DC4EDA"/>
    <w:rsid w:val="00DC4F7C"/>
    <w:rsid w:val="00DC504A"/>
    <w:rsid w:val="00DC506C"/>
    <w:rsid w:val="00DC5076"/>
    <w:rsid w:val="00DC50E3"/>
    <w:rsid w:val="00DC512F"/>
    <w:rsid w:val="00DC515C"/>
    <w:rsid w:val="00DC515F"/>
    <w:rsid w:val="00DC5165"/>
    <w:rsid w:val="00DC523A"/>
    <w:rsid w:val="00DC53B1"/>
    <w:rsid w:val="00DC542E"/>
    <w:rsid w:val="00DC5559"/>
    <w:rsid w:val="00DC5606"/>
    <w:rsid w:val="00DC5610"/>
    <w:rsid w:val="00DC56DB"/>
    <w:rsid w:val="00DC5868"/>
    <w:rsid w:val="00DC589C"/>
    <w:rsid w:val="00DC597A"/>
    <w:rsid w:val="00DC59B0"/>
    <w:rsid w:val="00DC5B99"/>
    <w:rsid w:val="00DC5BE8"/>
    <w:rsid w:val="00DC5CB4"/>
    <w:rsid w:val="00DC5CF5"/>
    <w:rsid w:val="00DC5D38"/>
    <w:rsid w:val="00DC5DD0"/>
    <w:rsid w:val="00DC5EBD"/>
    <w:rsid w:val="00DC5FE1"/>
    <w:rsid w:val="00DC5FE7"/>
    <w:rsid w:val="00DC613C"/>
    <w:rsid w:val="00DC6444"/>
    <w:rsid w:val="00DC646D"/>
    <w:rsid w:val="00DC64A3"/>
    <w:rsid w:val="00DC64A5"/>
    <w:rsid w:val="00DC64E6"/>
    <w:rsid w:val="00DC6701"/>
    <w:rsid w:val="00DC6730"/>
    <w:rsid w:val="00DC676D"/>
    <w:rsid w:val="00DC6852"/>
    <w:rsid w:val="00DC6893"/>
    <w:rsid w:val="00DC68AA"/>
    <w:rsid w:val="00DC68D7"/>
    <w:rsid w:val="00DC68DD"/>
    <w:rsid w:val="00DC6970"/>
    <w:rsid w:val="00DC69F8"/>
    <w:rsid w:val="00DC6A18"/>
    <w:rsid w:val="00DC6A77"/>
    <w:rsid w:val="00DC6C3B"/>
    <w:rsid w:val="00DC6CB0"/>
    <w:rsid w:val="00DC6DC7"/>
    <w:rsid w:val="00DC6E9A"/>
    <w:rsid w:val="00DC7054"/>
    <w:rsid w:val="00DC70D6"/>
    <w:rsid w:val="00DC716F"/>
    <w:rsid w:val="00DC7199"/>
    <w:rsid w:val="00DC7244"/>
    <w:rsid w:val="00DC72F3"/>
    <w:rsid w:val="00DC7327"/>
    <w:rsid w:val="00DC73E1"/>
    <w:rsid w:val="00DC7406"/>
    <w:rsid w:val="00DC759C"/>
    <w:rsid w:val="00DC75E1"/>
    <w:rsid w:val="00DC765F"/>
    <w:rsid w:val="00DC7716"/>
    <w:rsid w:val="00DC77A3"/>
    <w:rsid w:val="00DC7854"/>
    <w:rsid w:val="00DC78DE"/>
    <w:rsid w:val="00DC792B"/>
    <w:rsid w:val="00DC7966"/>
    <w:rsid w:val="00DC79FF"/>
    <w:rsid w:val="00DC7B4A"/>
    <w:rsid w:val="00DC7B95"/>
    <w:rsid w:val="00DC7BDF"/>
    <w:rsid w:val="00DC7C29"/>
    <w:rsid w:val="00DC7DBB"/>
    <w:rsid w:val="00DC7DC4"/>
    <w:rsid w:val="00DC7DFB"/>
    <w:rsid w:val="00DC7ED3"/>
    <w:rsid w:val="00DC7FCE"/>
    <w:rsid w:val="00DD0049"/>
    <w:rsid w:val="00DD005D"/>
    <w:rsid w:val="00DD00EA"/>
    <w:rsid w:val="00DD011C"/>
    <w:rsid w:val="00DD0133"/>
    <w:rsid w:val="00DD0192"/>
    <w:rsid w:val="00DD01C4"/>
    <w:rsid w:val="00DD01F6"/>
    <w:rsid w:val="00DD02CF"/>
    <w:rsid w:val="00DD047D"/>
    <w:rsid w:val="00DD051A"/>
    <w:rsid w:val="00DD057A"/>
    <w:rsid w:val="00DD067B"/>
    <w:rsid w:val="00DD0759"/>
    <w:rsid w:val="00DD07E6"/>
    <w:rsid w:val="00DD086C"/>
    <w:rsid w:val="00DD0884"/>
    <w:rsid w:val="00DD0A26"/>
    <w:rsid w:val="00DD0A61"/>
    <w:rsid w:val="00DD0AD6"/>
    <w:rsid w:val="00DD0B52"/>
    <w:rsid w:val="00DD0BF9"/>
    <w:rsid w:val="00DD0C87"/>
    <w:rsid w:val="00DD0D1B"/>
    <w:rsid w:val="00DD0D2D"/>
    <w:rsid w:val="00DD0D47"/>
    <w:rsid w:val="00DD0D78"/>
    <w:rsid w:val="00DD0E13"/>
    <w:rsid w:val="00DD0E93"/>
    <w:rsid w:val="00DD0F89"/>
    <w:rsid w:val="00DD1007"/>
    <w:rsid w:val="00DD109B"/>
    <w:rsid w:val="00DD11AC"/>
    <w:rsid w:val="00DD128E"/>
    <w:rsid w:val="00DD12AE"/>
    <w:rsid w:val="00DD1381"/>
    <w:rsid w:val="00DD13DD"/>
    <w:rsid w:val="00DD140A"/>
    <w:rsid w:val="00DD142A"/>
    <w:rsid w:val="00DD14E6"/>
    <w:rsid w:val="00DD1743"/>
    <w:rsid w:val="00DD18C2"/>
    <w:rsid w:val="00DD18C7"/>
    <w:rsid w:val="00DD18CC"/>
    <w:rsid w:val="00DD19A1"/>
    <w:rsid w:val="00DD1A07"/>
    <w:rsid w:val="00DD1B15"/>
    <w:rsid w:val="00DD1B59"/>
    <w:rsid w:val="00DD1B89"/>
    <w:rsid w:val="00DD1BBA"/>
    <w:rsid w:val="00DD1C8A"/>
    <w:rsid w:val="00DD1CF5"/>
    <w:rsid w:val="00DD1D11"/>
    <w:rsid w:val="00DD1F2B"/>
    <w:rsid w:val="00DD1FA4"/>
    <w:rsid w:val="00DD1FAB"/>
    <w:rsid w:val="00DD221A"/>
    <w:rsid w:val="00DD223D"/>
    <w:rsid w:val="00DD226E"/>
    <w:rsid w:val="00DD229F"/>
    <w:rsid w:val="00DD2360"/>
    <w:rsid w:val="00DD23E2"/>
    <w:rsid w:val="00DD2402"/>
    <w:rsid w:val="00DD247F"/>
    <w:rsid w:val="00DD2715"/>
    <w:rsid w:val="00DD2741"/>
    <w:rsid w:val="00DD2748"/>
    <w:rsid w:val="00DD2755"/>
    <w:rsid w:val="00DD27BC"/>
    <w:rsid w:val="00DD28F4"/>
    <w:rsid w:val="00DD2989"/>
    <w:rsid w:val="00DD2A14"/>
    <w:rsid w:val="00DD2A4B"/>
    <w:rsid w:val="00DD2A5F"/>
    <w:rsid w:val="00DD2A7A"/>
    <w:rsid w:val="00DD2ABF"/>
    <w:rsid w:val="00DD2B20"/>
    <w:rsid w:val="00DD2B75"/>
    <w:rsid w:val="00DD2BF7"/>
    <w:rsid w:val="00DD2C83"/>
    <w:rsid w:val="00DD2CD0"/>
    <w:rsid w:val="00DD2DAB"/>
    <w:rsid w:val="00DD2E23"/>
    <w:rsid w:val="00DD2F58"/>
    <w:rsid w:val="00DD306F"/>
    <w:rsid w:val="00DD3076"/>
    <w:rsid w:val="00DD314C"/>
    <w:rsid w:val="00DD3152"/>
    <w:rsid w:val="00DD3200"/>
    <w:rsid w:val="00DD3231"/>
    <w:rsid w:val="00DD3238"/>
    <w:rsid w:val="00DD3275"/>
    <w:rsid w:val="00DD32CD"/>
    <w:rsid w:val="00DD33C3"/>
    <w:rsid w:val="00DD3428"/>
    <w:rsid w:val="00DD3451"/>
    <w:rsid w:val="00DD3481"/>
    <w:rsid w:val="00DD35AF"/>
    <w:rsid w:val="00DD36D2"/>
    <w:rsid w:val="00DD37A4"/>
    <w:rsid w:val="00DD3844"/>
    <w:rsid w:val="00DD38CE"/>
    <w:rsid w:val="00DD3901"/>
    <w:rsid w:val="00DD3945"/>
    <w:rsid w:val="00DD39EB"/>
    <w:rsid w:val="00DD3B9A"/>
    <w:rsid w:val="00DD3C70"/>
    <w:rsid w:val="00DD3D35"/>
    <w:rsid w:val="00DD3F0B"/>
    <w:rsid w:val="00DD3F4A"/>
    <w:rsid w:val="00DD4002"/>
    <w:rsid w:val="00DD41FC"/>
    <w:rsid w:val="00DD4384"/>
    <w:rsid w:val="00DD4412"/>
    <w:rsid w:val="00DD44B1"/>
    <w:rsid w:val="00DD4613"/>
    <w:rsid w:val="00DD4647"/>
    <w:rsid w:val="00DD46DD"/>
    <w:rsid w:val="00DD470F"/>
    <w:rsid w:val="00DD4760"/>
    <w:rsid w:val="00DD47B5"/>
    <w:rsid w:val="00DD4815"/>
    <w:rsid w:val="00DD485C"/>
    <w:rsid w:val="00DD48D7"/>
    <w:rsid w:val="00DD48FB"/>
    <w:rsid w:val="00DD4AB4"/>
    <w:rsid w:val="00DD4AC2"/>
    <w:rsid w:val="00DD4B41"/>
    <w:rsid w:val="00DD4CC5"/>
    <w:rsid w:val="00DD4D72"/>
    <w:rsid w:val="00DD4DBB"/>
    <w:rsid w:val="00DD4F1A"/>
    <w:rsid w:val="00DD4FDD"/>
    <w:rsid w:val="00DD506C"/>
    <w:rsid w:val="00DD50B8"/>
    <w:rsid w:val="00DD5152"/>
    <w:rsid w:val="00DD518B"/>
    <w:rsid w:val="00DD51DC"/>
    <w:rsid w:val="00DD524E"/>
    <w:rsid w:val="00DD52A4"/>
    <w:rsid w:val="00DD530B"/>
    <w:rsid w:val="00DD5396"/>
    <w:rsid w:val="00DD53FC"/>
    <w:rsid w:val="00DD5480"/>
    <w:rsid w:val="00DD54D2"/>
    <w:rsid w:val="00DD5500"/>
    <w:rsid w:val="00DD5583"/>
    <w:rsid w:val="00DD574F"/>
    <w:rsid w:val="00DD5752"/>
    <w:rsid w:val="00DD5832"/>
    <w:rsid w:val="00DD5882"/>
    <w:rsid w:val="00DD589A"/>
    <w:rsid w:val="00DD58F1"/>
    <w:rsid w:val="00DD59F4"/>
    <w:rsid w:val="00DD5B07"/>
    <w:rsid w:val="00DD5B97"/>
    <w:rsid w:val="00DD5C69"/>
    <w:rsid w:val="00DD5CA5"/>
    <w:rsid w:val="00DD5D06"/>
    <w:rsid w:val="00DD5D46"/>
    <w:rsid w:val="00DD5E9A"/>
    <w:rsid w:val="00DD5F68"/>
    <w:rsid w:val="00DD6069"/>
    <w:rsid w:val="00DD60F9"/>
    <w:rsid w:val="00DD616E"/>
    <w:rsid w:val="00DD624D"/>
    <w:rsid w:val="00DD6302"/>
    <w:rsid w:val="00DD6314"/>
    <w:rsid w:val="00DD6432"/>
    <w:rsid w:val="00DD64F9"/>
    <w:rsid w:val="00DD65ED"/>
    <w:rsid w:val="00DD6614"/>
    <w:rsid w:val="00DD6704"/>
    <w:rsid w:val="00DD681F"/>
    <w:rsid w:val="00DD6918"/>
    <w:rsid w:val="00DD6A66"/>
    <w:rsid w:val="00DD6AD6"/>
    <w:rsid w:val="00DD6B43"/>
    <w:rsid w:val="00DD6B72"/>
    <w:rsid w:val="00DD6B82"/>
    <w:rsid w:val="00DD6BAF"/>
    <w:rsid w:val="00DD6C3C"/>
    <w:rsid w:val="00DD6C49"/>
    <w:rsid w:val="00DD6C69"/>
    <w:rsid w:val="00DD6D8E"/>
    <w:rsid w:val="00DD6E2B"/>
    <w:rsid w:val="00DD6E47"/>
    <w:rsid w:val="00DD6E4E"/>
    <w:rsid w:val="00DD6E62"/>
    <w:rsid w:val="00DD6E9F"/>
    <w:rsid w:val="00DD6ED7"/>
    <w:rsid w:val="00DD6F25"/>
    <w:rsid w:val="00DD6FCE"/>
    <w:rsid w:val="00DD7033"/>
    <w:rsid w:val="00DD713B"/>
    <w:rsid w:val="00DD7144"/>
    <w:rsid w:val="00DD72BB"/>
    <w:rsid w:val="00DD7333"/>
    <w:rsid w:val="00DD7391"/>
    <w:rsid w:val="00DD73B3"/>
    <w:rsid w:val="00DD750E"/>
    <w:rsid w:val="00DD7529"/>
    <w:rsid w:val="00DD752B"/>
    <w:rsid w:val="00DD7610"/>
    <w:rsid w:val="00DD7674"/>
    <w:rsid w:val="00DD7717"/>
    <w:rsid w:val="00DD77E4"/>
    <w:rsid w:val="00DD78E2"/>
    <w:rsid w:val="00DD7A09"/>
    <w:rsid w:val="00DD7A5C"/>
    <w:rsid w:val="00DD7BEA"/>
    <w:rsid w:val="00DD7CCD"/>
    <w:rsid w:val="00DD7D30"/>
    <w:rsid w:val="00DD7D3B"/>
    <w:rsid w:val="00DD7D97"/>
    <w:rsid w:val="00DD7DDB"/>
    <w:rsid w:val="00DD7E51"/>
    <w:rsid w:val="00DD7E74"/>
    <w:rsid w:val="00DE0252"/>
    <w:rsid w:val="00DE0262"/>
    <w:rsid w:val="00DE056B"/>
    <w:rsid w:val="00DE0577"/>
    <w:rsid w:val="00DE0593"/>
    <w:rsid w:val="00DE069C"/>
    <w:rsid w:val="00DE0744"/>
    <w:rsid w:val="00DE0812"/>
    <w:rsid w:val="00DE0887"/>
    <w:rsid w:val="00DE0969"/>
    <w:rsid w:val="00DE0AA1"/>
    <w:rsid w:val="00DE0BC6"/>
    <w:rsid w:val="00DE0C74"/>
    <w:rsid w:val="00DE0C9E"/>
    <w:rsid w:val="00DE0CF5"/>
    <w:rsid w:val="00DE0D3A"/>
    <w:rsid w:val="00DE0D3E"/>
    <w:rsid w:val="00DE0DAB"/>
    <w:rsid w:val="00DE0DEB"/>
    <w:rsid w:val="00DE0DF6"/>
    <w:rsid w:val="00DE0E18"/>
    <w:rsid w:val="00DE0E3A"/>
    <w:rsid w:val="00DE0E70"/>
    <w:rsid w:val="00DE0F38"/>
    <w:rsid w:val="00DE0F50"/>
    <w:rsid w:val="00DE0FD2"/>
    <w:rsid w:val="00DE0FF2"/>
    <w:rsid w:val="00DE1006"/>
    <w:rsid w:val="00DE1017"/>
    <w:rsid w:val="00DE118C"/>
    <w:rsid w:val="00DE1192"/>
    <w:rsid w:val="00DE12AE"/>
    <w:rsid w:val="00DE1303"/>
    <w:rsid w:val="00DE137D"/>
    <w:rsid w:val="00DE1430"/>
    <w:rsid w:val="00DE1454"/>
    <w:rsid w:val="00DE16B0"/>
    <w:rsid w:val="00DE16FB"/>
    <w:rsid w:val="00DE171B"/>
    <w:rsid w:val="00DE1736"/>
    <w:rsid w:val="00DE17C4"/>
    <w:rsid w:val="00DE17CE"/>
    <w:rsid w:val="00DE17E7"/>
    <w:rsid w:val="00DE187F"/>
    <w:rsid w:val="00DE18EA"/>
    <w:rsid w:val="00DE1940"/>
    <w:rsid w:val="00DE1985"/>
    <w:rsid w:val="00DE1AAF"/>
    <w:rsid w:val="00DE1B41"/>
    <w:rsid w:val="00DE1BEF"/>
    <w:rsid w:val="00DE1CF6"/>
    <w:rsid w:val="00DE1D3F"/>
    <w:rsid w:val="00DE1D51"/>
    <w:rsid w:val="00DE1D84"/>
    <w:rsid w:val="00DE1E29"/>
    <w:rsid w:val="00DE1EAA"/>
    <w:rsid w:val="00DE1ED1"/>
    <w:rsid w:val="00DE1FAC"/>
    <w:rsid w:val="00DE20CB"/>
    <w:rsid w:val="00DE21AC"/>
    <w:rsid w:val="00DE21EB"/>
    <w:rsid w:val="00DE223A"/>
    <w:rsid w:val="00DE2368"/>
    <w:rsid w:val="00DE2382"/>
    <w:rsid w:val="00DE249A"/>
    <w:rsid w:val="00DE25B6"/>
    <w:rsid w:val="00DE26B2"/>
    <w:rsid w:val="00DE26E6"/>
    <w:rsid w:val="00DE27A5"/>
    <w:rsid w:val="00DE283A"/>
    <w:rsid w:val="00DE28EE"/>
    <w:rsid w:val="00DE28F7"/>
    <w:rsid w:val="00DE29D1"/>
    <w:rsid w:val="00DE2AFA"/>
    <w:rsid w:val="00DE2B59"/>
    <w:rsid w:val="00DE2BE7"/>
    <w:rsid w:val="00DE2CF0"/>
    <w:rsid w:val="00DE2DD0"/>
    <w:rsid w:val="00DE2DF9"/>
    <w:rsid w:val="00DE2EA3"/>
    <w:rsid w:val="00DE2ED6"/>
    <w:rsid w:val="00DE2F2A"/>
    <w:rsid w:val="00DE2F53"/>
    <w:rsid w:val="00DE3081"/>
    <w:rsid w:val="00DE30DF"/>
    <w:rsid w:val="00DE3104"/>
    <w:rsid w:val="00DE3220"/>
    <w:rsid w:val="00DE327B"/>
    <w:rsid w:val="00DE32BD"/>
    <w:rsid w:val="00DE32BE"/>
    <w:rsid w:val="00DE3382"/>
    <w:rsid w:val="00DE33B8"/>
    <w:rsid w:val="00DE33D5"/>
    <w:rsid w:val="00DE3429"/>
    <w:rsid w:val="00DE35D2"/>
    <w:rsid w:val="00DE364C"/>
    <w:rsid w:val="00DE367B"/>
    <w:rsid w:val="00DE36BB"/>
    <w:rsid w:val="00DE379C"/>
    <w:rsid w:val="00DE3826"/>
    <w:rsid w:val="00DE3909"/>
    <w:rsid w:val="00DE3920"/>
    <w:rsid w:val="00DE39BA"/>
    <w:rsid w:val="00DE3A68"/>
    <w:rsid w:val="00DE3B25"/>
    <w:rsid w:val="00DE3BE0"/>
    <w:rsid w:val="00DE3BE1"/>
    <w:rsid w:val="00DE3C60"/>
    <w:rsid w:val="00DE3C8D"/>
    <w:rsid w:val="00DE3D06"/>
    <w:rsid w:val="00DE3D2C"/>
    <w:rsid w:val="00DE3D51"/>
    <w:rsid w:val="00DE3D61"/>
    <w:rsid w:val="00DE3F0F"/>
    <w:rsid w:val="00DE3FF3"/>
    <w:rsid w:val="00DE4080"/>
    <w:rsid w:val="00DE4086"/>
    <w:rsid w:val="00DE41E9"/>
    <w:rsid w:val="00DE42EC"/>
    <w:rsid w:val="00DE4327"/>
    <w:rsid w:val="00DE435A"/>
    <w:rsid w:val="00DE4591"/>
    <w:rsid w:val="00DE45B8"/>
    <w:rsid w:val="00DE45CC"/>
    <w:rsid w:val="00DE45F7"/>
    <w:rsid w:val="00DE4656"/>
    <w:rsid w:val="00DE483E"/>
    <w:rsid w:val="00DE48AA"/>
    <w:rsid w:val="00DE492C"/>
    <w:rsid w:val="00DE4948"/>
    <w:rsid w:val="00DE4997"/>
    <w:rsid w:val="00DE4A3D"/>
    <w:rsid w:val="00DE4ACA"/>
    <w:rsid w:val="00DE4AFB"/>
    <w:rsid w:val="00DE4B54"/>
    <w:rsid w:val="00DE4B96"/>
    <w:rsid w:val="00DE4C20"/>
    <w:rsid w:val="00DE4C23"/>
    <w:rsid w:val="00DE4C40"/>
    <w:rsid w:val="00DE4CC5"/>
    <w:rsid w:val="00DE4D47"/>
    <w:rsid w:val="00DE4DE2"/>
    <w:rsid w:val="00DE4E0B"/>
    <w:rsid w:val="00DE4F13"/>
    <w:rsid w:val="00DE4F66"/>
    <w:rsid w:val="00DE4F81"/>
    <w:rsid w:val="00DE4F9E"/>
    <w:rsid w:val="00DE4FFE"/>
    <w:rsid w:val="00DE50B3"/>
    <w:rsid w:val="00DE50E7"/>
    <w:rsid w:val="00DE5133"/>
    <w:rsid w:val="00DE51E9"/>
    <w:rsid w:val="00DE53E6"/>
    <w:rsid w:val="00DE54B4"/>
    <w:rsid w:val="00DE5642"/>
    <w:rsid w:val="00DE5735"/>
    <w:rsid w:val="00DE57AB"/>
    <w:rsid w:val="00DE57C1"/>
    <w:rsid w:val="00DE57CB"/>
    <w:rsid w:val="00DE5872"/>
    <w:rsid w:val="00DE59F0"/>
    <w:rsid w:val="00DE5AE5"/>
    <w:rsid w:val="00DE5B29"/>
    <w:rsid w:val="00DE5D65"/>
    <w:rsid w:val="00DE5E99"/>
    <w:rsid w:val="00DE6034"/>
    <w:rsid w:val="00DE6228"/>
    <w:rsid w:val="00DE64EB"/>
    <w:rsid w:val="00DE662F"/>
    <w:rsid w:val="00DE6630"/>
    <w:rsid w:val="00DE666F"/>
    <w:rsid w:val="00DE669F"/>
    <w:rsid w:val="00DE672A"/>
    <w:rsid w:val="00DE67D7"/>
    <w:rsid w:val="00DE6865"/>
    <w:rsid w:val="00DE686E"/>
    <w:rsid w:val="00DE68D9"/>
    <w:rsid w:val="00DE6905"/>
    <w:rsid w:val="00DE6A47"/>
    <w:rsid w:val="00DE6AE6"/>
    <w:rsid w:val="00DE6C9C"/>
    <w:rsid w:val="00DE6CE3"/>
    <w:rsid w:val="00DE6F55"/>
    <w:rsid w:val="00DE6FB5"/>
    <w:rsid w:val="00DE70EC"/>
    <w:rsid w:val="00DE720F"/>
    <w:rsid w:val="00DE7250"/>
    <w:rsid w:val="00DE72F7"/>
    <w:rsid w:val="00DE731D"/>
    <w:rsid w:val="00DE733D"/>
    <w:rsid w:val="00DE73FD"/>
    <w:rsid w:val="00DE7492"/>
    <w:rsid w:val="00DE74B8"/>
    <w:rsid w:val="00DE751A"/>
    <w:rsid w:val="00DE7555"/>
    <w:rsid w:val="00DE7678"/>
    <w:rsid w:val="00DE768B"/>
    <w:rsid w:val="00DE777E"/>
    <w:rsid w:val="00DE778E"/>
    <w:rsid w:val="00DE77D4"/>
    <w:rsid w:val="00DE789F"/>
    <w:rsid w:val="00DE7A91"/>
    <w:rsid w:val="00DE7AA3"/>
    <w:rsid w:val="00DE7B19"/>
    <w:rsid w:val="00DE7D7C"/>
    <w:rsid w:val="00DE7D91"/>
    <w:rsid w:val="00DE7E25"/>
    <w:rsid w:val="00DE7E86"/>
    <w:rsid w:val="00DE7EDB"/>
    <w:rsid w:val="00DE7F1B"/>
    <w:rsid w:val="00DE7F82"/>
    <w:rsid w:val="00DF0099"/>
    <w:rsid w:val="00DF00A3"/>
    <w:rsid w:val="00DF00BA"/>
    <w:rsid w:val="00DF012D"/>
    <w:rsid w:val="00DF018B"/>
    <w:rsid w:val="00DF0244"/>
    <w:rsid w:val="00DF03C8"/>
    <w:rsid w:val="00DF049D"/>
    <w:rsid w:val="00DF052F"/>
    <w:rsid w:val="00DF06A9"/>
    <w:rsid w:val="00DF0756"/>
    <w:rsid w:val="00DF0849"/>
    <w:rsid w:val="00DF08A2"/>
    <w:rsid w:val="00DF0940"/>
    <w:rsid w:val="00DF0AB5"/>
    <w:rsid w:val="00DF0ACA"/>
    <w:rsid w:val="00DF0B24"/>
    <w:rsid w:val="00DF0C19"/>
    <w:rsid w:val="00DF0C2A"/>
    <w:rsid w:val="00DF0CCA"/>
    <w:rsid w:val="00DF0FF4"/>
    <w:rsid w:val="00DF10B9"/>
    <w:rsid w:val="00DF10F6"/>
    <w:rsid w:val="00DF111F"/>
    <w:rsid w:val="00DF1392"/>
    <w:rsid w:val="00DF13D7"/>
    <w:rsid w:val="00DF1443"/>
    <w:rsid w:val="00DF144D"/>
    <w:rsid w:val="00DF15DA"/>
    <w:rsid w:val="00DF1663"/>
    <w:rsid w:val="00DF1667"/>
    <w:rsid w:val="00DF169D"/>
    <w:rsid w:val="00DF16B9"/>
    <w:rsid w:val="00DF17DC"/>
    <w:rsid w:val="00DF1831"/>
    <w:rsid w:val="00DF184E"/>
    <w:rsid w:val="00DF189D"/>
    <w:rsid w:val="00DF18EE"/>
    <w:rsid w:val="00DF1A71"/>
    <w:rsid w:val="00DF1A91"/>
    <w:rsid w:val="00DF1A93"/>
    <w:rsid w:val="00DF1AC3"/>
    <w:rsid w:val="00DF1B5F"/>
    <w:rsid w:val="00DF1B9C"/>
    <w:rsid w:val="00DF1BB6"/>
    <w:rsid w:val="00DF1CAC"/>
    <w:rsid w:val="00DF1CB7"/>
    <w:rsid w:val="00DF1D0D"/>
    <w:rsid w:val="00DF1D3C"/>
    <w:rsid w:val="00DF1DAA"/>
    <w:rsid w:val="00DF1E04"/>
    <w:rsid w:val="00DF1E18"/>
    <w:rsid w:val="00DF1E59"/>
    <w:rsid w:val="00DF1E94"/>
    <w:rsid w:val="00DF1EF2"/>
    <w:rsid w:val="00DF2035"/>
    <w:rsid w:val="00DF21E9"/>
    <w:rsid w:val="00DF2203"/>
    <w:rsid w:val="00DF23E0"/>
    <w:rsid w:val="00DF2439"/>
    <w:rsid w:val="00DF2472"/>
    <w:rsid w:val="00DF24ED"/>
    <w:rsid w:val="00DF2512"/>
    <w:rsid w:val="00DF263A"/>
    <w:rsid w:val="00DF26E3"/>
    <w:rsid w:val="00DF277A"/>
    <w:rsid w:val="00DF2880"/>
    <w:rsid w:val="00DF28A9"/>
    <w:rsid w:val="00DF28C8"/>
    <w:rsid w:val="00DF29E7"/>
    <w:rsid w:val="00DF2AFE"/>
    <w:rsid w:val="00DF2B26"/>
    <w:rsid w:val="00DF2B43"/>
    <w:rsid w:val="00DF2B5F"/>
    <w:rsid w:val="00DF2BC4"/>
    <w:rsid w:val="00DF2CB5"/>
    <w:rsid w:val="00DF2E67"/>
    <w:rsid w:val="00DF2EB4"/>
    <w:rsid w:val="00DF3102"/>
    <w:rsid w:val="00DF32B9"/>
    <w:rsid w:val="00DF3333"/>
    <w:rsid w:val="00DF33AC"/>
    <w:rsid w:val="00DF3403"/>
    <w:rsid w:val="00DF349B"/>
    <w:rsid w:val="00DF34C7"/>
    <w:rsid w:val="00DF3533"/>
    <w:rsid w:val="00DF3538"/>
    <w:rsid w:val="00DF363F"/>
    <w:rsid w:val="00DF375C"/>
    <w:rsid w:val="00DF37A6"/>
    <w:rsid w:val="00DF37BB"/>
    <w:rsid w:val="00DF37EA"/>
    <w:rsid w:val="00DF37F2"/>
    <w:rsid w:val="00DF38F2"/>
    <w:rsid w:val="00DF394F"/>
    <w:rsid w:val="00DF3967"/>
    <w:rsid w:val="00DF39E0"/>
    <w:rsid w:val="00DF39E8"/>
    <w:rsid w:val="00DF3AAE"/>
    <w:rsid w:val="00DF3AFF"/>
    <w:rsid w:val="00DF3B2C"/>
    <w:rsid w:val="00DF3B9A"/>
    <w:rsid w:val="00DF3C13"/>
    <w:rsid w:val="00DF3C47"/>
    <w:rsid w:val="00DF3C6F"/>
    <w:rsid w:val="00DF3DDB"/>
    <w:rsid w:val="00DF3DE7"/>
    <w:rsid w:val="00DF3E3E"/>
    <w:rsid w:val="00DF3F15"/>
    <w:rsid w:val="00DF401F"/>
    <w:rsid w:val="00DF4029"/>
    <w:rsid w:val="00DF41D1"/>
    <w:rsid w:val="00DF433D"/>
    <w:rsid w:val="00DF4411"/>
    <w:rsid w:val="00DF446B"/>
    <w:rsid w:val="00DF4495"/>
    <w:rsid w:val="00DF468F"/>
    <w:rsid w:val="00DF469B"/>
    <w:rsid w:val="00DF476F"/>
    <w:rsid w:val="00DF479B"/>
    <w:rsid w:val="00DF4916"/>
    <w:rsid w:val="00DF49C0"/>
    <w:rsid w:val="00DF4A09"/>
    <w:rsid w:val="00DF4A69"/>
    <w:rsid w:val="00DF4ABE"/>
    <w:rsid w:val="00DF4CE9"/>
    <w:rsid w:val="00DF4DA6"/>
    <w:rsid w:val="00DF4F53"/>
    <w:rsid w:val="00DF4FDD"/>
    <w:rsid w:val="00DF4FF1"/>
    <w:rsid w:val="00DF5167"/>
    <w:rsid w:val="00DF5177"/>
    <w:rsid w:val="00DF51E6"/>
    <w:rsid w:val="00DF52B4"/>
    <w:rsid w:val="00DF52B8"/>
    <w:rsid w:val="00DF5315"/>
    <w:rsid w:val="00DF5388"/>
    <w:rsid w:val="00DF53EC"/>
    <w:rsid w:val="00DF5515"/>
    <w:rsid w:val="00DF5538"/>
    <w:rsid w:val="00DF553B"/>
    <w:rsid w:val="00DF553E"/>
    <w:rsid w:val="00DF55F8"/>
    <w:rsid w:val="00DF564E"/>
    <w:rsid w:val="00DF5675"/>
    <w:rsid w:val="00DF573C"/>
    <w:rsid w:val="00DF577D"/>
    <w:rsid w:val="00DF57E3"/>
    <w:rsid w:val="00DF592B"/>
    <w:rsid w:val="00DF5975"/>
    <w:rsid w:val="00DF5A0D"/>
    <w:rsid w:val="00DF5A2F"/>
    <w:rsid w:val="00DF5C8E"/>
    <w:rsid w:val="00DF5CFA"/>
    <w:rsid w:val="00DF5D2D"/>
    <w:rsid w:val="00DF5D3B"/>
    <w:rsid w:val="00DF5D7E"/>
    <w:rsid w:val="00DF5D83"/>
    <w:rsid w:val="00DF5E01"/>
    <w:rsid w:val="00DF5E94"/>
    <w:rsid w:val="00DF5EDA"/>
    <w:rsid w:val="00DF5F80"/>
    <w:rsid w:val="00DF5FAE"/>
    <w:rsid w:val="00DF60DD"/>
    <w:rsid w:val="00DF6286"/>
    <w:rsid w:val="00DF648D"/>
    <w:rsid w:val="00DF65E2"/>
    <w:rsid w:val="00DF6600"/>
    <w:rsid w:val="00DF660C"/>
    <w:rsid w:val="00DF67AD"/>
    <w:rsid w:val="00DF6861"/>
    <w:rsid w:val="00DF6899"/>
    <w:rsid w:val="00DF693D"/>
    <w:rsid w:val="00DF69A1"/>
    <w:rsid w:val="00DF6A17"/>
    <w:rsid w:val="00DF6B03"/>
    <w:rsid w:val="00DF6B92"/>
    <w:rsid w:val="00DF6C54"/>
    <w:rsid w:val="00DF6D16"/>
    <w:rsid w:val="00DF6E43"/>
    <w:rsid w:val="00DF6EC2"/>
    <w:rsid w:val="00DF6ECB"/>
    <w:rsid w:val="00DF6FBB"/>
    <w:rsid w:val="00DF7025"/>
    <w:rsid w:val="00DF70C5"/>
    <w:rsid w:val="00DF710D"/>
    <w:rsid w:val="00DF71BD"/>
    <w:rsid w:val="00DF729B"/>
    <w:rsid w:val="00DF738A"/>
    <w:rsid w:val="00DF739A"/>
    <w:rsid w:val="00DF73EC"/>
    <w:rsid w:val="00DF7460"/>
    <w:rsid w:val="00DF7489"/>
    <w:rsid w:val="00DF7577"/>
    <w:rsid w:val="00DF7656"/>
    <w:rsid w:val="00DF7787"/>
    <w:rsid w:val="00DF77D0"/>
    <w:rsid w:val="00DF77F9"/>
    <w:rsid w:val="00DF78FD"/>
    <w:rsid w:val="00DF7A69"/>
    <w:rsid w:val="00DF7C1C"/>
    <w:rsid w:val="00DF7C41"/>
    <w:rsid w:val="00DF7C5E"/>
    <w:rsid w:val="00DF7C69"/>
    <w:rsid w:val="00DF7C6E"/>
    <w:rsid w:val="00DF7CBA"/>
    <w:rsid w:val="00DF7E01"/>
    <w:rsid w:val="00DF7E5F"/>
    <w:rsid w:val="00DF7F93"/>
    <w:rsid w:val="00DF7FA5"/>
    <w:rsid w:val="00E0000C"/>
    <w:rsid w:val="00E0005A"/>
    <w:rsid w:val="00E000DC"/>
    <w:rsid w:val="00E002B2"/>
    <w:rsid w:val="00E002D8"/>
    <w:rsid w:val="00E002EB"/>
    <w:rsid w:val="00E0038D"/>
    <w:rsid w:val="00E0048D"/>
    <w:rsid w:val="00E007BE"/>
    <w:rsid w:val="00E007CD"/>
    <w:rsid w:val="00E008F0"/>
    <w:rsid w:val="00E0092B"/>
    <w:rsid w:val="00E00948"/>
    <w:rsid w:val="00E00978"/>
    <w:rsid w:val="00E00A4F"/>
    <w:rsid w:val="00E00A86"/>
    <w:rsid w:val="00E00A9C"/>
    <w:rsid w:val="00E00AC9"/>
    <w:rsid w:val="00E00AE9"/>
    <w:rsid w:val="00E00B05"/>
    <w:rsid w:val="00E00B1B"/>
    <w:rsid w:val="00E00C40"/>
    <w:rsid w:val="00E00C56"/>
    <w:rsid w:val="00E00CC2"/>
    <w:rsid w:val="00E00D61"/>
    <w:rsid w:val="00E00E10"/>
    <w:rsid w:val="00E00F7F"/>
    <w:rsid w:val="00E00FA4"/>
    <w:rsid w:val="00E010FC"/>
    <w:rsid w:val="00E01117"/>
    <w:rsid w:val="00E014E7"/>
    <w:rsid w:val="00E015EA"/>
    <w:rsid w:val="00E01619"/>
    <w:rsid w:val="00E0167D"/>
    <w:rsid w:val="00E016F6"/>
    <w:rsid w:val="00E017B3"/>
    <w:rsid w:val="00E017B6"/>
    <w:rsid w:val="00E01899"/>
    <w:rsid w:val="00E018B5"/>
    <w:rsid w:val="00E01916"/>
    <w:rsid w:val="00E0199A"/>
    <w:rsid w:val="00E01AB8"/>
    <w:rsid w:val="00E01AEB"/>
    <w:rsid w:val="00E01AFC"/>
    <w:rsid w:val="00E01C5B"/>
    <w:rsid w:val="00E01CBB"/>
    <w:rsid w:val="00E01D5B"/>
    <w:rsid w:val="00E01EF7"/>
    <w:rsid w:val="00E01F26"/>
    <w:rsid w:val="00E0202B"/>
    <w:rsid w:val="00E02066"/>
    <w:rsid w:val="00E0206E"/>
    <w:rsid w:val="00E02086"/>
    <w:rsid w:val="00E020B6"/>
    <w:rsid w:val="00E02117"/>
    <w:rsid w:val="00E02141"/>
    <w:rsid w:val="00E02170"/>
    <w:rsid w:val="00E0221F"/>
    <w:rsid w:val="00E022FB"/>
    <w:rsid w:val="00E0236D"/>
    <w:rsid w:val="00E024AD"/>
    <w:rsid w:val="00E0252F"/>
    <w:rsid w:val="00E025A5"/>
    <w:rsid w:val="00E0265D"/>
    <w:rsid w:val="00E02672"/>
    <w:rsid w:val="00E026B8"/>
    <w:rsid w:val="00E0280D"/>
    <w:rsid w:val="00E0287B"/>
    <w:rsid w:val="00E02902"/>
    <w:rsid w:val="00E029B8"/>
    <w:rsid w:val="00E029C6"/>
    <w:rsid w:val="00E029C9"/>
    <w:rsid w:val="00E02A7F"/>
    <w:rsid w:val="00E02A80"/>
    <w:rsid w:val="00E02A85"/>
    <w:rsid w:val="00E02B98"/>
    <w:rsid w:val="00E02C2C"/>
    <w:rsid w:val="00E02D80"/>
    <w:rsid w:val="00E02F2B"/>
    <w:rsid w:val="00E02F38"/>
    <w:rsid w:val="00E02FB8"/>
    <w:rsid w:val="00E030C2"/>
    <w:rsid w:val="00E0319B"/>
    <w:rsid w:val="00E03215"/>
    <w:rsid w:val="00E0335D"/>
    <w:rsid w:val="00E03368"/>
    <w:rsid w:val="00E033F4"/>
    <w:rsid w:val="00E0342A"/>
    <w:rsid w:val="00E034CB"/>
    <w:rsid w:val="00E03516"/>
    <w:rsid w:val="00E0362B"/>
    <w:rsid w:val="00E0362F"/>
    <w:rsid w:val="00E036A2"/>
    <w:rsid w:val="00E036CB"/>
    <w:rsid w:val="00E03710"/>
    <w:rsid w:val="00E03763"/>
    <w:rsid w:val="00E0384A"/>
    <w:rsid w:val="00E03A65"/>
    <w:rsid w:val="00E03AA6"/>
    <w:rsid w:val="00E03CDC"/>
    <w:rsid w:val="00E03D13"/>
    <w:rsid w:val="00E03D1C"/>
    <w:rsid w:val="00E03D90"/>
    <w:rsid w:val="00E03E3D"/>
    <w:rsid w:val="00E03EE0"/>
    <w:rsid w:val="00E0409A"/>
    <w:rsid w:val="00E0429A"/>
    <w:rsid w:val="00E04408"/>
    <w:rsid w:val="00E0444E"/>
    <w:rsid w:val="00E0445C"/>
    <w:rsid w:val="00E044A8"/>
    <w:rsid w:val="00E04623"/>
    <w:rsid w:val="00E04630"/>
    <w:rsid w:val="00E04664"/>
    <w:rsid w:val="00E04738"/>
    <w:rsid w:val="00E04785"/>
    <w:rsid w:val="00E047BB"/>
    <w:rsid w:val="00E04873"/>
    <w:rsid w:val="00E048C5"/>
    <w:rsid w:val="00E0498F"/>
    <w:rsid w:val="00E04A70"/>
    <w:rsid w:val="00E04BBE"/>
    <w:rsid w:val="00E04C39"/>
    <w:rsid w:val="00E04C71"/>
    <w:rsid w:val="00E04C9E"/>
    <w:rsid w:val="00E04CE6"/>
    <w:rsid w:val="00E04D73"/>
    <w:rsid w:val="00E04E26"/>
    <w:rsid w:val="00E04F0E"/>
    <w:rsid w:val="00E0513C"/>
    <w:rsid w:val="00E051DF"/>
    <w:rsid w:val="00E051FA"/>
    <w:rsid w:val="00E051FE"/>
    <w:rsid w:val="00E0521D"/>
    <w:rsid w:val="00E052DC"/>
    <w:rsid w:val="00E05395"/>
    <w:rsid w:val="00E05469"/>
    <w:rsid w:val="00E054A4"/>
    <w:rsid w:val="00E05574"/>
    <w:rsid w:val="00E055D6"/>
    <w:rsid w:val="00E05645"/>
    <w:rsid w:val="00E0567C"/>
    <w:rsid w:val="00E056F1"/>
    <w:rsid w:val="00E05721"/>
    <w:rsid w:val="00E05735"/>
    <w:rsid w:val="00E05864"/>
    <w:rsid w:val="00E05A38"/>
    <w:rsid w:val="00E05A94"/>
    <w:rsid w:val="00E05B04"/>
    <w:rsid w:val="00E05D72"/>
    <w:rsid w:val="00E05DE6"/>
    <w:rsid w:val="00E05DF5"/>
    <w:rsid w:val="00E05F26"/>
    <w:rsid w:val="00E05FBA"/>
    <w:rsid w:val="00E06043"/>
    <w:rsid w:val="00E060EE"/>
    <w:rsid w:val="00E06103"/>
    <w:rsid w:val="00E06178"/>
    <w:rsid w:val="00E061CB"/>
    <w:rsid w:val="00E062AC"/>
    <w:rsid w:val="00E062C1"/>
    <w:rsid w:val="00E06311"/>
    <w:rsid w:val="00E06388"/>
    <w:rsid w:val="00E064A7"/>
    <w:rsid w:val="00E06559"/>
    <w:rsid w:val="00E06596"/>
    <w:rsid w:val="00E0661C"/>
    <w:rsid w:val="00E066C9"/>
    <w:rsid w:val="00E06868"/>
    <w:rsid w:val="00E0693C"/>
    <w:rsid w:val="00E069AC"/>
    <w:rsid w:val="00E06A57"/>
    <w:rsid w:val="00E06A91"/>
    <w:rsid w:val="00E06AE7"/>
    <w:rsid w:val="00E06AF9"/>
    <w:rsid w:val="00E06DA8"/>
    <w:rsid w:val="00E06DF0"/>
    <w:rsid w:val="00E06E20"/>
    <w:rsid w:val="00E06E39"/>
    <w:rsid w:val="00E06E75"/>
    <w:rsid w:val="00E06EAA"/>
    <w:rsid w:val="00E06EF3"/>
    <w:rsid w:val="00E07041"/>
    <w:rsid w:val="00E07070"/>
    <w:rsid w:val="00E07079"/>
    <w:rsid w:val="00E070EA"/>
    <w:rsid w:val="00E07177"/>
    <w:rsid w:val="00E07388"/>
    <w:rsid w:val="00E07464"/>
    <w:rsid w:val="00E07466"/>
    <w:rsid w:val="00E0749C"/>
    <w:rsid w:val="00E074C7"/>
    <w:rsid w:val="00E0753D"/>
    <w:rsid w:val="00E0756A"/>
    <w:rsid w:val="00E075E4"/>
    <w:rsid w:val="00E0764D"/>
    <w:rsid w:val="00E07927"/>
    <w:rsid w:val="00E07C06"/>
    <w:rsid w:val="00E07C3E"/>
    <w:rsid w:val="00E07CC3"/>
    <w:rsid w:val="00E07CF2"/>
    <w:rsid w:val="00E07D41"/>
    <w:rsid w:val="00E07E09"/>
    <w:rsid w:val="00E07EBF"/>
    <w:rsid w:val="00E07FEA"/>
    <w:rsid w:val="00E1010C"/>
    <w:rsid w:val="00E101A9"/>
    <w:rsid w:val="00E10303"/>
    <w:rsid w:val="00E10445"/>
    <w:rsid w:val="00E1054B"/>
    <w:rsid w:val="00E105EE"/>
    <w:rsid w:val="00E1075F"/>
    <w:rsid w:val="00E1078C"/>
    <w:rsid w:val="00E107AB"/>
    <w:rsid w:val="00E108AF"/>
    <w:rsid w:val="00E10907"/>
    <w:rsid w:val="00E10941"/>
    <w:rsid w:val="00E10B04"/>
    <w:rsid w:val="00E10B82"/>
    <w:rsid w:val="00E10C04"/>
    <w:rsid w:val="00E10C0E"/>
    <w:rsid w:val="00E10C4E"/>
    <w:rsid w:val="00E10D99"/>
    <w:rsid w:val="00E10E03"/>
    <w:rsid w:val="00E10E05"/>
    <w:rsid w:val="00E10F70"/>
    <w:rsid w:val="00E10F71"/>
    <w:rsid w:val="00E10FCA"/>
    <w:rsid w:val="00E11028"/>
    <w:rsid w:val="00E11056"/>
    <w:rsid w:val="00E1105D"/>
    <w:rsid w:val="00E110AB"/>
    <w:rsid w:val="00E110E2"/>
    <w:rsid w:val="00E111B8"/>
    <w:rsid w:val="00E112DD"/>
    <w:rsid w:val="00E1131D"/>
    <w:rsid w:val="00E11445"/>
    <w:rsid w:val="00E11449"/>
    <w:rsid w:val="00E11484"/>
    <w:rsid w:val="00E11491"/>
    <w:rsid w:val="00E114C8"/>
    <w:rsid w:val="00E115C6"/>
    <w:rsid w:val="00E115D4"/>
    <w:rsid w:val="00E11604"/>
    <w:rsid w:val="00E11621"/>
    <w:rsid w:val="00E11750"/>
    <w:rsid w:val="00E117BD"/>
    <w:rsid w:val="00E1181D"/>
    <w:rsid w:val="00E11875"/>
    <w:rsid w:val="00E1191D"/>
    <w:rsid w:val="00E11B29"/>
    <w:rsid w:val="00E11BE3"/>
    <w:rsid w:val="00E11C23"/>
    <w:rsid w:val="00E11CBE"/>
    <w:rsid w:val="00E11CD0"/>
    <w:rsid w:val="00E11CD9"/>
    <w:rsid w:val="00E11DA2"/>
    <w:rsid w:val="00E11FE7"/>
    <w:rsid w:val="00E12113"/>
    <w:rsid w:val="00E121BB"/>
    <w:rsid w:val="00E12220"/>
    <w:rsid w:val="00E12339"/>
    <w:rsid w:val="00E12382"/>
    <w:rsid w:val="00E12408"/>
    <w:rsid w:val="00E124DD"/>
    <w:rsid w:val="00E12530"/>
    <w:rsid w:val="00E1255F"/>
    <w:rsid w:val="00E125EA"/>
    <w:rsid w:val="00E1266F"/>
    <w:rsid w:val="00E127F6"/>
    <w:rsid w:val="00E12864"/>
    <w:rsid w:val="00E12894"/>
    <w:rsid w:val="00E1295D"/>
    <w:rsid w:val="00E1298C"/>
    <w:rsid w:val="00E129BE"/>
    <w:rsid w:val="00E12B3B"/>
    <w:rsid w:val="00E12B52"/>
    <w:rsid w:val="00E12DBF"/>
    <w:rsid w:val="00E12E21"/>
    <w:rsid w:val="00E12F00"/>
    <w:rsid w:val="00E12FC6"/>
    <w:rsid w:val="00E130BB"/>
    <w:rsid w:val="00E131C0"/>
    <w:rsid w:val="00E133D9"/>
    <w:rsid w:val="00E1351C"/>
    <w:rsid w:val="00E135D8"/>
    <w:rsid w:val="00E135ED"/>
    <w:rsid w:val="00E1360B"/>
    <w:rsid w:val="00E13651"/>
    <w:rsid w:val="00E13686"/>
    <w:rsid w:val="00E136C3"/>
    <w:rsid w:val="00E13814"/>
    <w:rsid w:val="00E13842"/>
    <w:rsid w:val="00E13865"/>
    <w:rsid w:val="00E138B4"/>
    <w:rsid w:val="00E13922"/>
    <w:rsid w:val="00E1393D"/>
    <w:rsid w:val="00E13ACE"/>
    <w:rsid w:val="00E13B48"/>
    <w:rsid w:val="00E13E2F"/>
    <w:rsid w:val="00E13E87"/>
    <w:rsid w:val="00E13EDB"/>
    <w:rsid w:val="00E13EF8"/>
    <w:rsid w:val="00E13F69"/>
    <w:rsid w:val="00E14078"/>
    <w:rsid w:val="00E14181"/>
    <w:rsid w:val="00E141B2"/>
    <w:rsid w:val="00E142A3"/>
    <w:rsid w:val="00E142E6"/>
    <w:rsid w:val="00E14358"/>
    <w:rsid w:val="00E1439B"/>
    <w:rsid w:val="00E143E7"/>
    <w:rsid w:val="00E1448B"/>
    <w:rsid w:val="00E14520"/>
    <w:rsid w:val="00E1455E"/>
    <w:rsid w:val="00E14577"/>
    <w:rsid w:val="00E1462D"/>
    <w:rsid w:val="00E146BE"/>
    <w:rsid w:val="00E146C7"/>
    <w:rsid w:val="00E14723"/>
    <w:rsid w:val="00E147FD"/>
    <w:rsid w:val="00E14900"/>
    <w:rsid w:val="00E14905"/>
    <w:rsid w:val="00E14A9F"/>
    <w:rsid w:val="00E14B07"/>
    <w:rsid w:val="00E14C0A"/>
    <w:rsid w:val="00E14CE3"/>
    <w:rsid w:val="00E14CEA"/>
    <w:rsid w:val="00E14D8E"/>
    <w:rsid w:val="00E14E98"/>
    <w:rsid w:val="00E14EC0"/>
    <w:rsid w:val="00E14EE5"/>
    <w:rsid w:val="00E14F26"/>
    <w:rsid w:val="00E1503C"/>
    <w:rsid w:val="00E1505D"/>
    <w:rsid w:val="00E15142"/>
    <w:rsid w:val="00E152B5"/>
    <w:rsid w:val="00E1534D"/>
    <w:rsid w:val="00E1536F"/>
    <w:rsid w:val="00E153C3"/>
    <w:rsid w:val="00E153E3"/>
    <w:rsid w:val="00E156E0"/>
    <w:rsid w:val="00E156F9"/>
    <w:rsid w:val="00E156FE"/>
    <w:rsid w:val="00E15851"/>
    <w:rsid w:val="00E1589B"/>
    <w:rsid w:val="00E158E7"/>
    <w:rsid w:val="00E15965"/>
    <w:rsid w:val="00E15985"/>
    <w:rsid w:val="00E15A20"/>
    <w:rsid w:val="00E15A50"/>
    <w:rsid w:val="00E15AB5"/>
    <w:rsid w:val="00E15AC2"/>
    <w:rsid w:val="00E15B47"/>
    <w:rsid w:val="00E15B4F"/>
    <w:rsid w:val="00E15B6C"/>
    <w:rsid w:val="00E15C02"/>
    <w:rsid w:val="00E15D05"/>
    <w:rsid w:val="00E15D85"/>
    <w:rsid w:val="00E15DE6"/>
    <w:rsid w:val="00E160D7"/>
    <w:rsid w:val="00E1612D"/>
    <w:rsid w:val="00E1616D"/>
    <w:rsid w:val="00E16174"/>
    <w:rsid w:val="00E1619B"/>
    <w:rsid w:val="00E161C4"/>
    <w:rsid w:val="00E16234"/>
    <w:rsid w:val="00E162CA"/>
    <w:rsid w:val="00E16355"/>
    <w:rsid w:val="00E16492"/>
    <w:rsid w:val="00E16674"/>
    <w:rsid w:val="00E166C8"/>
    <w:rsid w:val="00E16728"/>
    <w:rsid w:val="00E16745"/>
    <w:rsid w:val="00E167F7"/>
    <w:rsid w:val="00E1680C"/>
    <w:rsid w:val="00E16849"/>
    <w:rsid w:val="00E168A3"/>
    <w:rsid w:val="00E1694F"/>
    <w:rsid w:val="00E169A9"/>
    <w:rsid w:val="00E169DC"/>
    <w:rsid w:val="00E16B7E"/>
    <w:rsid w:val="00E16D6A"/>
    <w:rsid w:val="00E16DC9"/>
    <w:rsid w:val="00E16E62"/>
    <w:rsid w:val="00E16E66"/>
    <w:rsid w:val="00E16EDE"/>
    <w:rsid w:val="00E1705B"/>
    <w:rsid w:val="00E1707F"/>
    <w:rsid w:val="00E170B9"/>
    <w:rsid w:val="00E17198"/>
    <w:rsid w:val="00E17287"/>
    <w:rsid w:val="00E17295"/>
    <w:rsid w:val="00E172E5"/>
    <w:rsid w:val="00E1732A"/>
    <w:rsid w:val="00E173A0"/>
    <w:rsid w:val="00E17444"/>
    <w:rsid w:val="00E17461"/>
    <w:rsid w:val="00E175DC"/>
    <w:rsid w:val="00E1768A"/>
    <w:rsid w:val="00E176D6"/>
    <w:rsid w:val="00E1773B"/>
    <w:rsid w:val="00E17788"/>
    <w:rsid w:val="00E177F6"/>
    <w:rsid w:val="00E178FE"/>
    <w:rsid w:val="00E17992"/>
    <w:rsid w:val="00E179CB"/>
    <w:rsid w:val="00E17A30"/>
    <w:rsid w:val="00E17A92"/>
    <w:rsid w:val="00E17AD0"/>
    <w:rsid w:val="00E17BDD"/>
    <w:rsid w:val="00E17C26"/>
    <w:rsid w:val="00E17D66"/>
    <w:rsid w:val="00E17D84"/>
    <w:rsid w:val="00E17E1A"/>
    <w:rsid w:val="00E17E6E"/>
    <w:rsid w:val="00E20103"/>
    <w:rsid w:val="00E201BF"/>
    <w:rsid w:val="00E201CA"/>
    <w:rsid w:val="00E2039B"/>
    <w:rsid w:val="00E203C0"/>
    <w:rsid w:val="00E20445"/>
    <w:rsid w:val="00E20467"/>
    <w:rsid w:val="00E20473"/>
    <w:rsid w:val="00E204B4"/>
    <w:rsid w:val="00E204E2"/>
    <w:rsid w:val="00E2050D"/>
    <w:rsid w:val="00E2057A"/>
    <w:rsid w:val="00E206A0"/>
    <w:rsid w:val="00E20710"/>
    <w:rsid w:val="00E20725"/>
    <w:rsid w:val="00E207A2"/>
    <w:rsid w:val="00E207B5"/>
    <w:rsid w:val="00E207F6"/>
    <w:rsid w:val="00E2091F"/>
    <w:rsid w:val="00E2097A"/>
    <w:rsid w:val="00E209BD"/>
    <w:rsid w:val="00E20A15"/>
    <w:rsid w:val="00E20A38"/>
    <w:rsid w:val="00E20A51"/>
    <w:rsid w:val="00E20ABB"/>
    <w:rsid w:val="00E20B46"/>
    <w:rsid w:val="00E20B4F"/>
    <w:rsid w:val="00E20B9D"/>
    <w:rsid w:val="00E20BB1"/>
    <w:rsid w:val="00E20BCB"/>
    <w:rsid w:val="00E20BD6"/>
    <w:rsid w:val="00E20C08"/>
    <w:rsid w:val="00E20C35"/>
    <w:rsid w:val="00E20E5E"/>
    <w:rsid w:val="00E20E85"/>
    <w:rsid w:val="00E20EB4"/>
    <w:rsid w:val="00E20F07"/>
    <w:rsid w:val="00E20F3E"/>
    <w:rsid w:val="00E20F60"/>
    <w:rsid w:val="00E2116C"/>
    <w:rsid w:val="00E2132D"/>
    <w:rsid w:val="00E2144C"/>
    <w:rsid w:val="00E214DF"/>
    <w:rsid w:val="00E2152A"/>
    <w:rsid w:val="00E2153F"/>
    <w:rsid w:val="00E2154E"/>
    <w:rsid w:val="00E2156E"/>
    <w:rsid w:val="00E21584"/>
    <w:rsid w:val="00E215C1"/>
    <w:rsid w:val="00E215DC"/>
    <w:rsid w:val="00E2179C"/>
    <w:rsid w:val="00E2184A"/>
    <w:rsid w:val="00E218AA"/>
    <w:rsid w:val="00E21A0C"/>
    <w:rsid w:val="00E21A82"/>
    <w:rsid w:val="00E21BC7"/>
    <w:rsid w:val="00E21BDE"/>
    <w:rsid w:val="00E21BE0"/>
    <w:rsid w:val="00E21C1D"/>
    <w:rsid w:val="00E21C30"/>
    <w:rsid w:val="00E21EA8"/>
    <w:rsid w:val="00E21EB7"/>
    <w:rsid w:val="00E21F00"/>
    <w:rsid w:val="00E22008"/>
    <w:rsid w:val="00E2203D"/>
    <w:rsid w:val="00E2205A"/>
    <w:rsid w:val="00E221AE"/>
    <w:rsid w:val="00E22201"/>
    <w:rsid w:val="00E223CD"/>
    <w:rsid w:val="00E22492"/>
    <w:rsid w:val="00E224AD"/>
    <w:rsid w:val="00E2253F"/>
    <w:rsid w:val="00E22606"/>
    <w:rsid w:val="00E2273D"/>
    <w:rsid w:val="00E22773"/>
    <w:rsid w:val="00E227D5"/>
    <w:rsid w:val="00E2293D"/>
    <w:rsid w:val="00E22AEB"/>
    <w:rsid w:val="00E22C74"/>
    <w:rsid w:val="00E22CBC"/>
    <w:rsid w:val="00E22CF8"/>
    <w:rsid w:val="00E22D71"/>
    <w:rsid w:val="00E22D81"/>
    <w:rsid w:val="00E22DD4"/>
    <w:rsid w:val="00E22E23"/>
    <w:rsid w:val="00E22F1E"/>
    <w:rsid w:val="00E23184"/>
    <w:rsid w:val="00E231A6"/>
    <w:rsid w:val="00E23222"/>
    <w:rsid w:val="00E2326D"/>
    <w:rsid w:val="00E2331E"/>
    <w:rsid w:val="00E2338F"/>
    <w:rsid w:val="00E233CC"/>
    <w:rsid w:val="00E233FC"/>
    <w:rsid w:val="00E234CA"/>
    <w:rsid w:val="00E234D5"/>
    <w:rsid w:val="00E234DB"/>
    <w:rsid w:val="00E234DF"/>
    <w:rsid w:val="00E2357C"/>
    <w:rsid w:val="00E235DA"/>
    <w:rsid w:val="00E2372F"/>
    <w:rsid w:val="00E2378A"/>
    <w:rsid w:val="00E23827"/>
    <w:rsid w:val="00E23841"/>
    <w:rsid w:val="00E2384A"/>
    <w:rsid w:val="00E238B1"/>
    <w:rsid w:val="00E238CC"/>
    <w:rsid w:val="00E23A99"/>
    <w:rsid w:val="00E23BB8"/>
    <w:rsid w:val="00E23BC9"/>
    <w:rsid w:val="00E23C01"/>
    <w:rsid w:val="00E23C4E"/>
    <w:rsid w:val="00E23D18"/>
    <w:rsid w:val="00E23D6C"/>
    <w:rsid w:val="00E23EC1"/>
    <w:rsid w:val="00E23EED"/>
    <w:rsid w:val="00E23F0E"/>
    <w:rsid w:val="00E23F9B"/>
    <w:rsid w:val="00E23FF5"/>
    <w:rsid w:val="00E240BF"/>
    <w:rsid w:val="00E24250"/>
    <w:rsid w:val="00E24274"/>
    <w:rsid w:val="00E242A5"/>
    <w:rsid w:val="00E242C5"/>
    <w:rsid w:val="00E24386"/>
    <w:rsid w:val="00E243A6"/>
    <w:rsid w:val="00E244D5"/>
    <w:rsid w:val="00E2450E"/>
    <w:rsid w:val="00E24575"/>
    <w:rsid w:val="00E245FF"/>
    <w:rsid w:val="00E24713"/>
    <w:rsid w:val="00E2480E"/>
    <w:rsid w:val="00E2489B"/>
    <w:rsid w:val="00E24936"/>
    <w:rsid w:val="00E249B5"/>
    <w:rsid w:val="00E24A94"/>
    <w:rsid w:val="00E24B4A"/>
    <w:rsid w:val="00E24BA6"/>
    <w:rsid w:val="00E24C31"/>
    <w:rsid w:val="00E24C9D"/>
    <w:rsid w:val="00E24CE1"/>
    <w:rsid w:val="00E24D42"/>
    <w:rsid w:val="00E24E60"/>
    <w:rsid w:val="00E24EA3"/>
    <w:rsid w:val="00E24EBD"/>
    <w:rsid w:val="00E250B4"/>
    <w:rsid w:val="00E250F6"/>
    <w:rsid w:val="00E25202"/>
    <w:rsid w:val="00E25251"/>
    <w:rsid w:val="00E252C0"/>
    <w:rsid w:val="00E25331"/>
    <w:rsid w:val="00E255FD"/>
    <w:rsid w:val="00E25621"/>
    <w:rsid w:val="00E25668"/>
    <w:rsid w:val="00E25678"/>
    <w:rsid w:val="00E2567B"/>
    <w:rsid w:val="00E25758"/>
    <w:rsid w:val="00E257DE"/>
    <w:rsid w:val="00E25868"/>
    <w:rsid w:val="00E25898"/>
    <w:rsid w:val="00E2591D"/>
    <w:rsid w:val="00E2596C"/>
    <w:rsid w:val="00E259F0"/>
    <w:rsid w:val="00E25A26"/>
    <w:rsid w:val="00E25B33"/>
    <w:rsid w:val="00E25B44"/>
    <w:rsid w:val="00E25C01"/>
    <w:rsid w:val="00E25C2D"/>
    <w:rsid w:val="00E25C3F"/>
    <w:rsid w:val="00E25C90"/>
    <w:rsid w:val="00E25CA8"/>
    <w:rsid w:val="00E25D93"/>
    <w:rsid w:val="00E25D94"/>
    <w:rsid w:val="00E25DBA"/>
    <w:rsid w:val="00E25E55"/>
    <w:rsid w:val="00E26053"/>
    <w:rsid w:val="00E260A1"/>
    <w:rsid w:val="00E26117"/>
    <w:rsid w:val="00E26136"/>
    <w:rsid w:val="00E26159"/>
    <w:rsid w:val="00E261A2"/>
    <w:rsid w:val="00E261EA"/>
    <w:rsid w:val="00E2650D"/>
    <w:rsid w:val="00E26576"/>
    <w:rsid w:val="00E265F0"/>
    <w:rsid w:val="00E267F3"/>
    <w:rsid w:val="00E26831"/>
    <w:rsid w:val="00E268A3"/>
    <w:rsid w:val="00E268A7"/>
    <w:rsid w:val="00E269DC"/>
    <w:rsid w:val="00E26A5A"/>
    <w:rsid w:val="00E26A5F"/>
    <w:rsid w:val="00E26AA8"/>
    <w:rsid w:val="00E26ABB"/>
    <w:rsid w:val="00E26BAE"/>
    <w:rsid w:val="00E26BCF"/>
    <w:rsid w:val="00E26BEE"/>
    <w:rsid w:val="00E26BFD"/>
    <w:rsid w:val="00E26C76"/>
    <w:rsid w:val="00E26D0C"/>
    <w:rsid w:val="00E26DC1"/>
    <w:rsid w:val="00E26E4C"/>
    <w:rsid w:val="00E26F36"/>
    <w:rsid w:val="00E27213"/>
    <w:rsid w:val="00E2725F"/>
    <w:rsid w:val="00E27323"/>
    <w:rsid w:val="00E2739A"/>
    <w:rsid w:val="00E273E6"/>
    <w:rsid w:val="00E2745A"/>
    <w:rsid w:val="00E2745D"/>
    <w:rsid w:val="00E27503"/>
    <w:rsid w:val="00E2766D"/>
    <w:rsid w:val="00E27771"/>
    <w:rsid w:val="00E27798"/>
    <w:rsid w:val="00E27811"/>
    <w:rsid w:val="00E27862"/>
    <w:rsid w:val="00E278A4"/>
    <w:rsid w:val="00E278C4"/>
    <w:rsid w:val="00E27908"/>
    <w:rsid w:val="00E27958"/>
    <w:rsid w:val="00E27A2C"/>
    <w:rsid w:val="00E27B2E"/>
    <w:rsid w:val="00E27CC1"/>
    <w:rsid w:val="00E27D60"/>
    <w:rsid w:val="00E27D69"/>
    <w:rsid w:val="00E27D78"/>
    <w:rsid w:val="00E27DEA"/>
    <w:rsid w:val="00E27E03"/>
    <w:rsid w:val="00E27EC3"/>
    <w:rsid w:val="00E27F39"/>
    <w:rsid w:val="00E27F75"/>
    <w:rsid w:val="00E27FF3"/>
    <w:rsid w:val="00E27FF4"/>
    <w:rsid w:val="00E30028"/>
    <w:rsid w:val="00E302CD"/>
    <w:rsid w:val="00E3035C"/>
    <w:rsid w:val="00E30406"/>
    <w:rsid w:val="00E30419"/>
    <w:rsid w:val="00E304B2"/>
    <w:rsid w:val="00E304DD"/>
    <w:rsid w:val="00E306A3"/>
    <w:rsid w:val="00E3083F"/>
    <w:rsid w:val="00E308BD"/>
    <w:rsid w:val="00E308E1"/>
    <w:rsid w:val="00E308F2"/>
    <w:rsid w:val="00E30928"/>
    <w:rsid w:val="00E3094F"/>
    <w:rsid w:val="00E309B6"/>
    <w:rsid w:val="00E309D1"/>
    <w:rsid w:val="00E309DB"/>
    <w:rsid w:val="00E30B54"/>
    <w:rsid w:val="00E30B7E"/>
    <w:rsid w:val="00E30BD0"/>
    <w:rsid w:val="00E30C3F"/>
    <w:rsid w:val="00E30DB8"/>
    <w:rsid w:val="00E30ECD"/>
    <w:rsid w:val="00E30FB3"/>
    <w:rsid w:val="00E30FD5"/>
    <w:rsid w:val="00E30FE4"/>
    <w:rsid w:val="00E3111F"/>
    <w:rsid w:val="00E3122C"/>
    <w:rsid w:val="00E31255"/>
    <w:rsid w:val="00E3128D"/>
    <w:rsid w:val="00E312DA"/>
    <w:rsid w:val="00E3132E"/>
    <w:rsid w:val="00E3147E"/>
    <w:rsid w:val="00E31494"/>
    <w:rsid w:val="00E314BB"/>
    <w:rsid w:val="00E314E4"/>
    <w:rsid w:val="00E31589"/>
    <w:rsid w:val="00E3173E"/>
    <w:rsid w:val="00E31766"/>
    <w:rsid w:val="00E31777"/>
    <w:rsid w:val="00E3180E"/>
    <w:rsid w:val="00E31896"/>
    <w:rsid w:val="00E31936"/>
    <w:rsid w:val="00E3199F"/>
    <w:rsid w:val="00E319A7"/>
    <w:rsid w:val="00E319AB"/>
    <w:rsid w:val="00E31A40"/>
    <w:rsid w:val="00E31AD3"/>
    <w:rsid w:val="00E31B0F"/>
    <w:rsid w:val="00E31B40"/>
    <w:rsid w:val="00E31C48"/>
    <w:rsid w:val="00E31D20"/>
    <w:rsid w:val="00E31D2B"/>
    <w:rsid w:val="00E31D6F"/>
    <w:rsid w:val="00E31DB4"/>
    <w:rsid w:val="00E31DF5"/>
    <w:rsid w:val="00E31EC6"/>
    <w:rsid w:val="00E31ECB"/>
    <w:rsid w:val="00E31F75"/>
    <w:rsid w:val="00E31FAE"/>
    <w:rsid w:val="00E31FC0"/>
    <w:rsid w:val="00E31FC6"/>
    <w:rsid w:val="00E3208E"/>
    <w:rsid w:val="00E3215E"/>
    <w:rsid w:val="00E3219A"/>
    <w:rsid w:val="00E32220"/>
    <w:rsid w:val="00E3232F"/>
    <w:rsid w:val="00E32392"/>
    <w:rsid w:val="00E32396"/>
    <w:rsid w:val="00E323EB"/>
    <w:rsid w:val="00E32477"/>
    <w:rsid w:val="00E32527"/>
    <w:rsid w:val="00E325B8"/>
    <w:rsid w:val="00E325CC"/>
    <w:rsid w:val="00E325D1"/>
    <w:rsid w:val="00E326BC"/>
    <w:rsid w:val="00E326DE"/>
    <w:rsid w:val="00E327DB"/>
    <w:rsid w:val="00E328A1"/>
    <w:rsid w:val="00E32989"/>
    <w:rsid w:val="00E329D8"/>
    <w:rsid w:val="00E32A30"/>
    <w:rsid w:val="00E32A7C"/>
    <w:rsid w:val="00E32AF4"/>
    <w:rsid w:val="00E32AFD"/>
    <w:rsid w:val="00E32CB1"/>
    <w:rsid w:val="00E32CB7"/>
    <w:rsid w:val="00E32E1D"/>
    <w:rsid w:val="00E32E83"/>
    <w:rsid w:val="00E32F6B"/>
    <w:rsid w:val="00E32F6C"/>
    <w:rsid w:val="00E33061"/>
    <w:rsid w:val="00E33079"/>
    <w:rsid w:val="00E33082"/>
    <w:rsid w:val="00E330AC"/>
    <w:rsid w:val="00E33164"/>
    <w:rsid w:val="00E331A0"/>
    <w:rsid w:val="00E331A6"/>
    <w:rsid w:val="00E331D2"/>
    <w:rsid w:val="00E33463"/>
    <w:rsid w:val="00E3349F"/>
    <w:rsid w:val="00E3356B"/>
    <w:rsid w:val="00E3361D"/>
    <w:rsid w:val="00E336E8"/>
    <w:rsid w:val="00E336F8"/>
    <w:rsid w:val="00E337C8"/>
    <w:rsid w:val="00E337ED"/>
    <w:rsid w:val="00E3392D"/>
    <w:rsid w:val="00E339E3"/>
    <w:rsid w:val="00E339F8"/>
    <w:rsid w:val="00E33AC3"/>
    <w:rsid w:val="00E33AEB"/>
    <w:rsid w:val="00E33BD7"/>
    <w:rsid w:val="00E33C8A"/>
    <w:rsid w:val="00E33CA8"/>
    <w:rsid w:val="00E33CD8"/>
    <w:rsid w:val="00E33D0B"/>
    <w:rsid w:val="00E33D1D"/>
    <w:rsid w:val="00E33DAC"/>
    <w:rsid w:val="00E33DCB"/>
    <w:rsid w:val="00E33E80"/>
    <w:rsid w:val="00E33E88"/>
    <w:rsid w:val="00E33E93"/>
    <w:rsid w:val="00E33F0C"/>
    <w:rsid w:val="00E33F62"/>
    <w:rsid w:val="00E34012"/>
    <w:rsid w:val="00E3404B"/>
    <w:rsid w:val="00E340B3"/>
    <w:rsid w:val="00E3417B"/>
    <w:rsid w:val="00E34486"/>
    <w:rsid w:val="00E344A7"/>
    <w:rsid w:val="00E34512"/>
    <w:rsid w:val="00E34555"/>
    <w:rsid w:val="00E345DF"/>
    <w:rsid w:val="00E34623"/>
    <w:rsid w:val="00E347E8"/>
    <w:rsid w:val="00E3480C"/>
    <w:rsid w:val="00E34997"/>
    <w:rsid w:val="00E34A92"/>
    <w:rsid w:val="00E34A9B"/>
    <w:rsid w:val="00E34AC3"/>
    <w:rsid w:val="00E34B9F"/>
    <w:rsid w:val="00E34C0B"/>
    <w:rsid w:val="00E34C62"/>
    <w:rsid w:val="00E34E3E"/>
    <w:rsid w:val="00E34E73"/>
    <w:rsid w:val="00E34EF8"/>
    <w:rsid w:val="00E34F92"/>
    <w:rsid w:val="00E35419"/>
    <w:rsid w:val="00E35582"/>
    <w:rsid w:val="00E355D8"/>
    <w:rsid w:val="00E356C9"/>
    <w:rsid w:val="00E356E7"/>
    <w:rsid w:val="00E3577D"/>
    <w:rsid w:val="00E357B3"/>
    <w:rsid w:val="00E357E7"/>
    <w:rsid w:val="00E3585C"/>
    <w:rsid w:val="00E358D1"/>
    <w:rsid w:val="00E35984"/>
    <w:rsid w:val="00E35997"/>
    <w:rsid w:val="00E35A4B"/>
    <w:rsid w:val="00E35AA1"/>
    <w:rsid w:val="00E35C06"/>
    <w:rsid w:val="00E35DF7"/>
    <w:rsid w:val="00E35EA7"/>
    <w:rsid w:val="00E35F1D"/>
    <w:rsid w:val="00E35F57"/>
    <w:rsid w:val="00E35FF5"/>
    <w:rsid w:val="00E36015"/>
    <w:rsid w:val="00E3610F"/>
    <w:rsid w:val="00E3613E"/>
    <w:rsid w:val="00E3616F"/>
    <w:rsid w:val="00E36179"/>
    <w:rsid w:val="00E3620C"/>
    <w:rsid w:val="00E3624D"/>
    <w:rsid w:val="00E36255"/>
    <w:rsid w:val="00E3625C"/>
    <w:rsid w:val="00E362DC"/>
    <w:rsid w:val="00E3631B"/>
    <w:rsid w:val="00E36410"/>
    <w:rsid w:val="00E36525"/>
    <w:rsid w:val="00E365AF"/>
    <w:rsid w:val="00E3663C"/>
    <w:rsid w:val="00E3677D"/>
    <w:rsid w:val="00E367D1"/>
    <w:rsid w:val="00E367F1"/>
    <w:rsid w:val="00E36830"/>
    <w:rsid w:val="00E36847"/>
    <w:rsid w:val="00E3684C"/>
    <w:rsid w:val="00E368BF"/>
    <w:rsid w:val="00E368C2"/>
    <w:rsid w:val="00E36955"/>
    <w:rsid w:val="00E369E1"/>
    <w:rsid w:val="00E36ABB"/>
    <w:rsid w:val="00E36E9D"/>
    <w:rsid w:val="00E36FD8"/>
    <w:rsid w:val="00E37064"/>
    <w:rsid w:val="00E37213"/>
    <w:rsid w:val="00E372B3"/>
    <w:rsid w:val="00E37307"/>
    <w:rsid w:val="00E373BD"/>
    <w:rsid w:val="00E374F9"/>
    <w:rsid w:val="00E37588"/>
    <w:rsid w:val="00E37641"/>
    <w:rsid w:val="00E3764F"/>
    <w:rsid w:val="00E37654"/>
    <w:rsid w:val="00E376E0"/>
    <w:rsid w:val="00E376F3"/>
    <w:rsid w:val="00E37740"/>
    <w:rsid w:val="00E37741"/>
    <w:rsid w:val="00E377B5"/>
    <w:rsid w:val="00E377C2"/>
    <w:rsid w:val="00E37B3E"/>
    <w:rsid w:val="00E37BCB"/>
    <w:rsid w:val="00E37BF8"/>
    <w:rsid w:val="00E37CA5"/>
    <w:rsid w:val="00E37CE7"/>
    <w:rsid w:val="00E37DBF"/>
    <w:rsid w:val="00E37DC0"/>
    <w:rsid w:val="00E37FFE"/>
    <w:rsid w:val="00E40028"/>
    <w:rsid w:val="00E4003A"/>
    <w:rsid w:val="00E40184"/>
    <w:rsid w:val="00E40296"/>
    <w:rsid w:val="00E402F0"/>
    <w:rsid w:val="00E40316"/>
    <w:rsid w:val="00E40382"/>
    <w:rsid w:val="00E403FA"/>
    <w:rsid w:val="00E4042E"/>
    <w:rsid w:val="00E40477"/>
    <w:rsid w:val="00E4055A"/>
    <w:rsid w:val="00E40673"/>
    <w:rsid w:val="00E40866"/>
    <w:rsid w:val="00E40930"/>
    <w:rsid w:val="00E40B31"/>
    <w:rsid w:val="00E40D09"/>
    <w:rsid w:val="00E40DB3"/>
    <w:rsid w:val="00E40DFD"/>
    <w:rsid w:val="00E40E6D"/>
    <w:rsid w:val="00E40FAB"/>
    <w:rsid w:val="00E41019"/>
    <w:rsid w:val="00E41145"/>
    <w:rsid w:val="00E41179"/>
    <w:rsid w:val="00E411DA"/>
    <w:rsid w:val="00E41203"/>
    <w:rsid w:val="00E41208"/>
    <w:rsid w:val="00E41272"/>
    <w:rsid w:val="00E4128E"/>
    <w:rsid w:val="00E41343"/>
    <w:rsid w:val="00E413EB"/>
    <w:rsid w:val="00E4142B"/>
    <w:rsid w:val="00E414F8"/>
    <w:rsid w:val="00E4179A"/>
    <w:rsid w:val="00E417F9"/>
    <w:rsid w:val="00E41816"/>
    <w:rsid w:val="00E41884"/>
    <w:rsid w:val="00E418E1"/>
    <w:rsid w:val="00E41ADA"/>
    <w:rsid w:val="00E41BB7"/>
    <w:rsid w:val="00E41BD3"/>
    <w:rsid w:val="00E41D99"/>
    <w:rsid w:val="00E41DD4"/>
    <w:rsid w:val="00E41E10"/>
    <w:rsid w:val="00E41E3F"/>
    <w:rsid w:val="00E41E5F"/>
    <w:rsid w:val="00E41EA2"/>
    <w:rsid w:val="00E41FDF"/>
    <w:rsid w:val="00E420B2"/>
    <w:rsid w:val="00E42148"/>
    <w:rsid w:val="00E421B2"/>
    <w:rsid w:val="00E4229A"/>
    <w:rsid w:val="00E42385"/>
    <w:rsid w:val="00E4242D"/>
    <w:rsid w:val="00E4252E"/>
    <w:rsid w:val="00E42572"/>
    <w:rsid w:val="00E42758"/>
    <w:rsid w:val="00E42811"/>
    <w:rsid w:val="00E42862"/>
    <w:rsid w:val="00E428F1"/>
    <w:rsid w:val="00E4291E"/>
    <w:rsid w:val="00E4295F"/>
    <w:rsid w:val="00E42985"/>
    <w:rsid w:val="00E42AA2"/>
    <w:rsid w:val="00E42B2B"/>
    <w:rsid w:val="00E42C40"/>
    <w:rsid w:val="00E42CA1"/>
    <w:rsid w:val="00E42E0C"/>
    <w:rsid w:val="00E42EF9"/>
    <w:rsid w:val="00E42F29"/>
    <w:rsid w:val="00E4300B"/>
    <w:rsid w:val="00E431BA"/>
    <w:rsid w:val="00E431D0"/>
    <w:rsid w:val="00E43247"/>
    <w:rsid w:val="00E432CC"/>
    <w:rsid w:val="00E432E8"/>
    <w:rsid w:val="00E43368"/>
    <w:rsid w:val="00E433DE"/>
    <w:rsid w:val="00E433ED"/>
    <w:rsid w:val="00E43405"/>
    <w:rsid w:val="00E434A3"/>
    <w:rsid w:val="00E434B4"/>
    <w:rsid w:val="00E43532"/>
    <w:rsid w:val="00E43549"/>
    <w:rsid w:val="00E435AE"/>
    <w:rsid w:val="00E435BB"/>
    <w:rsid w:val="00E435E3"/>
    <w:rsid w:val="00E435E7"/>
    <w:rsid w:val="00E4364A"/>
    <w:rsid w:val="00E43654"/>
    <w:rsid w:val="00E436C2"/>
    <w:rsid w:val="00E436D5"/>
    <w:rsid w:val="00E437B8"/>
    <w:rsid w:val="00E43807"/>
    <w:rsid w:val="00E43984"/>
    <w:rsid w:val="00E43A57"/>
    <w:rsid w:val="00E43AC9"/>
    <w:rsid w:val="00E43AD9"/>
    <w:rsid w:val="00E43BE6"/>
    <w:rsid w:val="00E43C41"/>
    <w:rsid w:val="00E43C70"/>
    <w:rsid w:val="00E43CA8"/>
    <w:rsid w:val="00E43CDC"/>
    <w:rsid w:val="00E4414E"/>
    <w:rsid w:val="00E442DA"/>
    <w:rsid w:val="00E44394"/>
    <w:rsid w:val="00E44498"/>
    <w:rsid w:val="00E445FC"/>
    <w:rsid w:val="00E446E5"/>
    <w:rsid w:val="00E446EB"/>
    <w:rsid w:val="00E447CB"/>
    <w:rsid w:val="00E4484F"/>
    <w:rsid w:val="00E4487E"/>
    <w:rsid w:val="00E448A0"/>
    <w:rsid w:val="00E44930"/>
    <w:rsid w:val="00E4494B"/>
    <w:rsid w:val="00E44A5A"/>
    <w:rsid w:val="00E44B40"/>
    <w:rsid w:val="00E44C1C"/>
    <w:rsid w:val="00E44C4F"/>
    <w:rsid w:val="00E44C63"/>
    <w:rsid w:val="00E44CC0"/>
    <w:rsid w:val="00E44CD0"/>
    <w:rsid w:val="00E44D9B"/>
    <w:rsid w:val="00E44E60"/>
    <w:rsid w:val="00E44E93"/>
    <w:rsid w:val="00E44ECA"/>
    <w:rsid w:val="00E44F97"/>
    <w:rsid w:val="00E451FF"/>
    <w:rsid w:val="00E45242"/>
    <w:rsid w:val="00E45298"/>
    <w:rsid w:val="00E4535B"/>
    <w:rsid w:val="00E4543C"/>
    <w:rsid w:val="00E45480"/>
    <w:rsid w:val="00E455BD"/>
    <w:rsid w:val="00E45847"/>
    <w:rsid w:val="00E458F5"/>
    <w:rsid w:val="00E4594E"/>
    <w:rsid w:val="00E45957"/>
    <w:rsid w:val="00E459B1"/>
    <w:rsid w:val="00E459D4"/>
    <w:rsid w:val="00E45A4B"/>
    <w:rsid w:val="00E45AE2"/>
    <w:rsid w:val="00E45AF5"/>
    <w:rsid w:val="00E45B4F"/>
    <w:rsid w:val="00E45B6D"/>
    <w:rsid w:val="00E45BED"/>
    <w:rsid w:val="00E45C08"/>
    <w:rsid w:val="00E45C21"/>
    <w:rsid w:val="00E45C30"/>
    <w:rsid w:val="00E45C8A"/>
    <w:rsid w:val="00E45CC9"/>
    <w:rsid w:val="00E45D6D"/>
    <w:rsid w:val="00E45DD6"/>
    <w:rsid w:val="00E45FC5"/>
    <w:rsid w:val="00E46080"/>
    <w:rsid w:val="00E4611B"/>
    <w:rsid w:val="00E461FB"/>
    <w:rsid w:val="00E46211"/>
    <w:rsid w:val="00E462A2"/>
    <w:rsid w:val="00E462C7"/>
    <w:rsid w:val="00E463A8"/>
    <w:rsid w:val="00E46523"/>
    <w:rsid w:val="00E468D3"/>
    <w:rsid w:val="00E468E1"/>
    <w:rsid w:val="00E4690C"/>
    <w:rsid w:val="00E46928"/>
    <w:rsid w:val="00E46930"/>
    <w:rsid w:val="00E469CC"/>
    <w:rsid w:val="00E469E1"/>
    <w:rsid w:val="00E46ABC"/>
    <w:rsid w:val="00E46C0A"/>
    <w:rsid w:val="00E46C69"/>
    <w:rsid w:val="00E46CE5"/>
    <w:rsid w:val="00E46D95"/>
    <w:rsid w:val="00E46D9B"/>
    <w:rsid w:val="00E46F28"/>
    <w:rsid w:val="00E46F39"/>
    <w:rsid w:val="00E46F49"/>
    <w:rsid w:val="00E47073"/>
    <w:rsid w:val="00E47162"/>
    <w:rsid w:val="00E47204"/>
    <w:rsid w:val="00E472DB"/>
    <w:rsid w:val="00E473CD"/>
    <w:rsid w:val="00E47449"/>
    <w:rsid w:val="00E474A6"/>
    <w:rsid w:val="00E475E8"/>
    <w:rsid w:val="00E476AC"/>
    <w:rsid w:val="00E4775F"/>
    <w:rsid w:val="00E477A8"/>
    <w:rsid w:val="00E47808"/>
    <w:rsid w:val="00E4788D"/>
    <w:rsid w:val="00E478A7"/>
    <w:rsid w:val="00E478C5"/>
    <w:rsid w:val="00E478F6"/>
    <w:rsid w:val="00E47D4C"/>
    <w:rsid w:val="00E47D90"/>
    <w:rsid w:val="00E47DA5"/>
    <w:rsid w:val="00E47F33"/>
    <w:rsid w:val="00E47FE6"/>
    <w:rsid w:val="00E5012B"/>
    <w:rsid w:val="00E502B8"/>
    <w:rsid w:val="00E502F8"/>
    <w:rsid w:val="00E5046A"/>
    <w:rsid w:val="00E50521"/>
    <w:rsid w:val="00E50589"/>
    <w:rsid w:val="00E5078F"/>
    <w:rsid w:val="00E508B6"/>
    <w:rsid w:val="00E508BE"/>
    <w:rsid w:val="00E50903"/>
    <w:rsid w:val="00E50ABF"/>
    <w:rsid w:val="00E50B3F"/>
    <w:rsid w:val="00E50B8E"/>
    <w:rsid w:val="00E50D4E"/>
    <w:rsid w:val="00E50E83"/>
    <w:rsid w:val="00E50EEB"/>
    <w:rsid w:val="00E50F31"/>
    <w:rsid w:val="00E50F45"/>
    <w:rsid w:val="00E50F97"/>
    <w:rsid w:val="00E50F9A"/>
    <w:rsid w:val="00E51034"/>
    <w:rsid w:val="00E511BA"/>
    <w:rsid w:val="00E512BD"/>
    <w:rsid w:val="00E5130E"/>
    <w:rsid w:val="00E51511"/>
    <w:rsid w:val="00E515AC"/>
    <w:rsid w:val="00E515C3"/>
    <w:rsid w:val="00E515DF"/>
    <w:rsid w:val="00E51644"/>
    <w:rsid w:val="00E5166B"/>
    <w:rsid w:val="00E516AB"/>
    <w:rsid w:val="00E51716"/>
    <w:rsid w:val="00E51779"/>
    <w:rsid w:val="00E51B2D"/>
    <w:rsid w:val="00E51B89"/>
    <w:rsid w:val="00E51C97"/>
    <w:rsid w:val="00E51D63"/>
    <w:rsid w:val="00E51D72"/>
    <w:rsid w:val="00E51DCD"/>
    <w:rsid w:val="00E51E33"/>
    <w:rsid w:val="00E51E54"/>
    <w:rsid w:val="00E51E57"/>
    <w:rsid w:val="00E51EF0"/>
    <w:rsid w:val="00E51F3B"/>
    <w:rsid w:val="00E5200A"/>
    <w:rsid w:val="00E52138"/>
    <w:rsid w:val="00E5214D"/>
    <w:rsid w:val="00E5218B"/>
    <w:rsid w:val="00E5222D"/>
    <w:rsid w:val="00E52293"/>
    <w:rsid w:val="00E52351"/>
    <w:rsid w:val="00E5240D"/>
    <w:rsid w:val="00E52491"/>
    <w:rsid w:val="00E52502"/>
    <w:rsid w:val="00E52529"/>
    <w:rsid w:val="00E52560"/>
    <w:rsid w:val="00E525B7"/>
    <w:rsid w:val="00E52683"/>
    <w:rsid w:val="00E52746"/>
    <w:rsid w:val="00E528B2"/>
    <w:rsid w:val="00E5296C"/>
    <w:rsid w:val="00E52A82"/>
    <w:rsid w:val="00E52AB2"/>
    <w:rsid w:val="00E52B8E"/>
    <w:rsid w:val="00E52C14"/>
    <w:rsid w:val="00E52CAF"/>
    <w:rsid w:val="00E52D25"/>
    <w:rsid w:val="00E52E32"/>
    <w:rsid w:val="00E52E8A"/>
    <w:rsid w:val="00E52EB1"/>
    <w:rsid w:val="00E52EC1"/>
    <w:rsid w:val="00E52EC2"/>
    <w:rsid w:val="00E52FD8"/>
    <w:rsid w:val="00E5324D"/>
    <w:rsid w:val="00E53314"/>
    <w:rsid w:val="00E533D6"/>
    <w:rsid w:val="00E533ED"/>
    <w:rsid w:val="00E53423"/>
    <w:rsid w:val="00E5344F"/>
    <w:rsid w:val="00E5346E"/>
    <w:rsid w:val="00E534ED"/>
    <w:rsid w:val="00E5359F"/>
    <w:rsid w:val="00E535CB"/>
    <w:rsid w:val="00E535EB"/>
    <w:rsid w:val="00E536E8"/>
    <w:rsid w:val="00E53737"/>
    <w:rsid w:val="00E537CB"/>
    <w:rsid w:val="00E53853"/>
    <w:rsid w:val="00E53877"/>
    <w:rsid w:val="00E538A5"/>
    <w:rsid w:val="00E538B6"/>
    <w:rsid w:val="00E5393D"/>
    <w:rsid w:val="00E53941"/>
    <w:rsid w:val="00E53A11"/>
    <w:rsid w:val="00E53B9B"/>
    <w:rsid w:val="00E53BB3"/>
    <w:rsid w:val="00E53C74"/>
    <w:rsid w:val="00E53D8D"/>
    <w:rsid w:val="00E53DB0"/>
    <w:rsid w:val="00E53E23"/>
    <w:rsid w:val="00E53E95"/>
    <w:rsid w:val="00E53ED9"/>
    <w:rsid w:val="00E53F39"/>
    <w:rsid w:val="00E53FCB"/>
    <w:rsid w:val="00E53FE5"/>
    <w:rsid w:val="00E54330"/>
    <w:rsid w:val="00E5450E"/>
    <w:rsid w:val="00E54544"/>
    <w:rsid w:val="00E54554"/>
    <w:rsid w:val="00E545A0"/>
    <w:rsid w:val="00E5460C"/>
    <w:rsid w:val="00E54652"/>
    <w:rsid w:val="00E54669"/>
    <w:rsid w:val="00E546A6"/>
    <w:rsid w:val="00E5477F"/>
    <w:rsid w:val="00E547C3"/>
    <w:rsid w:val="00E54817"/>
    <w:rsid w:val="00E54871"/>
    <w:rsid w:val="00E549D5"/>
    <w:rsid w:val="00E549E6"/>
    <w:rsid w:val="00E54B3C"/>
    <w:rsid w:val="00E54BF5"/>
    <w:rsid w:val="00E54BF8"/>
    <w:rsid w:val="00E54D95"/>
    <w:rsid w:val="00E54DEB"/>
    <w:rsid w:val="00E54F99"/>
    <w:rsid w:val="00E54FFC"/>
    <w:rsid w:val="00E55090"/>
    <w:rsid w:val="00E5510D"/>
    <w:rsid w:val="00E55420"/>
    <w:rsid w:val="00E55438"/>
    <w:rsid w:val="00E55478"/>
    <w:rsid w:val="00E55608"/>
    <w:rsid w:val="00E5560D"/>
    <w:rsid w:val="00E55627"/>
    <w:rsid w:val="00E5569B"/>
    <w:rsid w:val="00E556D9"/>
    <w:rsid w:val="00E55752"/>
    <w:rsid w:val="00E55778"/>
    <w:rsid w:val="00E55825"/>
    <w:rsid w:val="00E55845"/>
    <w:rsid w:val="00E55863"/>
    <w:rsid w:val="00E559DE"/>
    <w:rsid w:val="00E55A1F"/>
    <w:rsid w:val="00E55AA8"/>
    <w:rsid w:val="00E55C65"/>
    <w:rsid w:val="00E55D57"/>
    <w:rsid w:val="00E55D5A"/>
    <w:rsid w:val="00E55EA5"/>
    <w:rsid w:val="00E55F0F"/>
    <w:rsid w:val="00E55F7E"/>
    <w:rsid w:val="00E55F91"/>
    <w:rsid w:val="00E5604B"/>
    <w:rsid w:val="00E56172"/>
    <w:rsid w:val="00E5617D"/>
    <w:rsid w:val="00E56200"/>
    <w:rsid w:val="00E56223"/>
    <w:rsid w:val="00E56229"/>
    <w:rsid w:val="00E56233"/>
    <w:rsid w:val="00E562FE"/>
    <w:rsid w:val="00E563F6"/>
    <w:rsid w:val="00E56632"/>
    <w:rsid w:val="00E5663D"/>
    <w:rsid w:val="00E5665D"/>
    <w:rsid w:val="00E566A6"/>
    <w:rsid w:val="00E5676E"/>
    <w:rsid w:val="00E56838"/>
    <w:rsid w:val="00E5686F"/>
    <w:rsid w:val="00E568C6"/>
    <w:rsid w:val="00E56913"/>
    <w:rsid w:val="00E569D1"/>
    <w:rsid w:val="00E569E1"/>
    <w:rsid w:val="00E56ABC"/>
    <w:rsid w:val="00E56AF3"/>
    <w:rsid w:val="00E56B6E"/>
    <w:rsid w:val="00E56C2E"/>
    <w:rsid w:val="00E56C31"/>
    <w:rsid w:val="00E56C4C"/>
    <w:rsid w:val="00E56C5B"/>
    <w:rsid w:val="00E56CEA"/>
    <w:rsid w:val="00E56D19"/>
    <w:rsid w:val="00E56DEA"/>
    <w:rsid w:val="00E56E86"/>
    <w:rsid w:val="00E56EEF"/>
    <w:rsid w:val="00E56F1C"/>
    <w:rsid w:val="00E56F55"/>
    <w:rsid w:val="00E56F66"/>
    <w:rsid w:val="00E56F6C"/>
    <w:rsid w:val="00E56F87"/>
    <w:rsid w:val="00E56FAE"/>
    <w:rsid w:val="00E56FB6"/>
    <w:rsid w:val="00E570CF"/>
    <w:rsid w:val="00E5712D"/>
    <w:rsid w:val="00E57130"/>
    <w:rsid w:val="00E57178"/>
    <w:rsid w:val="00E57236"/>
    <w:rsid w:val="00E5723A"/>
    <w:rsid w:val="00E572AD"/>
    <w:rsid w:val="00E572B3"/>
    <w:rsid w:val="00E572C8"/>
    <w:rsid w:val="00E57398"/>
    <w:rsid w:val="00E5754E"/>
    <w:rsid w:val="00E575AD"/>
    <w:rsid w:val="00E576C1"/>
    <w:rsid w:val="00E57717"/>
    <w:rsid w:val="00E57778"/>
    <w:rsid w:val="00E577F2"/>
    <w:rsid w:val="00E5785E"/>
    <w:rsid w:val="00E57A88"/>
    <w:rsid w:val="00E57AF4"/>
    <w:rsid w:val="00E57B7E"/>
    <w:rsid w:val="00E57C1E"/>
    <w:rsid w:val="00E57DB5"/>
    <w:rsid w:val="00E57F1D"/>
    <w:rsid w:val="00E57F2F"/>
    <w:rsid w:val="00E57F86"/>
    <w:rsid w:val="00E6005A"/>
    <w:rsid w:val="00E600DF"/>
    <w:rsid w:val="00E60202"/>
    <w:rsid w:val="00E6020E"/>
    <w:rsid w:val="00E6031C"/>
    <w:rsid w:val="00E60345"/>
    <w:rsid w:val="00E6043D"/>
    <w:rsid w:val="00E60482"/>
    <w:rsid w:val="00E604D6"/>
    <w:rsid w:val="00E6053A"/>
    <w:rsid w:val="00E605D3"/>
    <w:rsid w:val="00E60632"/>
    <w:rsid w:val="00E60688"/>
    <w:rsid w:val="00E606B4"/>
    <w:rsid w:val="00E606C8"/>
    <w:rsid w:val="00E6072A"/>
    <w:rsid w:val="00E6080A"/>
    <w:rsid w:val="00E608AA"/>
    <w:rsid w:val="00E60949"/>
    <w:rsid w:val="00E609FD"/>
    <w:rsid w:val="00E60B2F"/>
    <w:rsid w:val="00E60B36"/>
    <w:rsid w:val="00E60BDB"/>
    <w:rsid w:val="00E60BE6"/>
    <w:rsid w:val="00E60D80"/>
    <w:rsid w:val="00E60DCC"/>
    <w:rsid w:val="00E60E00"/>
    <w:rsid w:val="00E60E03"/>
    <w:rsid w:val="00E60E9E"/>
    <w:rsid w:val="00E60EC1"/>
    <w:rsid w:val="00E60EEC"/>
    <w:rsid w:val="00E60FF1"/>
    <w:rsid w:val="00E6112D"/>
    <w:rsid w:val="00E6114C"/>
    <w:rsid w:val="00E611AA"/>
    <w:rsid w:val="00E61391"/>
    <w:rsid w:val="00E614C3"/>
    <w:rsid w:val="00E61517"/>
    <w:rsid w:val="00E61539"/>
    <w:rsid w:val="00E6171E"/>
    <w:rsid w:val="00E61820"/>
    <w:rsid w:val="00E618B4"/>
    <w:rsid w:val="00E61970"/>
    <w:rsid w:val="00E61A28"/>
    <w:rsid w:val="00E61A4F"/>
    <w:rsid w:val="00E61AC7"/>
    <w:rsid w:val="00E61B01"/>
    <w:rsid w:val="00E61B04"/>
    <w:rsid w:val="00E61BCB"/>
    <w:rsid w:val="00E61BFC"/>
    <w:rsid w:val="00E61C50"/>
    <w:rsid w:val="00E61C6E"/>
    <w:rsid w:val="00E61DB2"/>
    <w:rsid w:val="00E61E2E"/>
    <w:rsid w:val="00E61EAB"/>
    <w:rsid w:val="00E62087"/>
    <w:rsid w:val="00E6209C"/>
    <w:rsid w:val="00E620FE"/>
    <w:rsid w:val="00E621B2"/>
    <w:rsid w:val="00E62227"/>
    <w:rsid w:val="00E62288"/>
    <w:rsid w:val="00E62314"/>
    <w:rsid w:val="00E623F4"/>
    <w:rsid w:val="00E62449"/>
    <w:rsid w:val="00E6248A"/>
    <w:rsid w:val="00E62617"/>
    <w:rsid w:val="00E6269D"/>
    <w:rsid w:val="00E62800"/>
    <w:rsid w:val="00E628DB"/>
    <w:rsid w:val="00E629B3"/>
    <w:rsid w:val="00E62A99"/>
    <w:rsid w:val="00E62AD7"/>
    <w:rsid w:val="00E62B97"/>
    <w:rsid w:val="00E62B9E"/>
    <w:rsid w:val="00E62BCA"/>
    <w:rsid w:val="00E62C07"/>
    <w:rsid w:val="00E62C95"/>
    <w:rsid w:val="00E62D0D"/>
    <w:rsid w:val="00E62D28"/>
    <w:rsid w:val="00E62F1B"/>
    <w:rsid w:val="00E62F2F"/>
    <w:rsid w:val="00E62F78"/>
    <w:rsid w:val="00E62FA7"/>
    <w:rsid w:val="00E62FAE"/>
    <w:rsid w:val="00E63020"/>
    <w:rsid w:val="00E6303C"/>
    <w:rsid w:val="00E6305D"/>
    <w:rsid w:val="00E630EC"/>
    <w:rsid w:val="00E631A1"/>
    <w:rsid w:val="00E6327C"/>
    <w:rsid w:val="00E63302"/>
    <w:rsid w:val="00E633FD"/>
    <w:rsid w:val="00E63469"/>
    <w:rsid w:val="00E634EA"/>
    <w:rsid w:val="00E634FF"/>
    <w:rsid w:val="00E63545"/>
    <w:rsid w:val="00E6358B"/>
    <w:rsid w:val="00E63648"/>
    <w:rsid w:val="00E6367C"/>
    <w:rsid w:val="00E6370A"/>
    <w:rsid w:val="00E637A1"/>
    <w:rsid w:val="00E637A3"/>
    <w:rsid w:val="00E637B2"/>
    <w:rsid w:val="00E637B7"/>
    <w:rsid w:val="00E637C4"/>
    <w:rsid w:val="00E63827"/>
    <w:rsid w:val="00E638B3"/>
    <w:rsid w:val="00E639E7"/>
    <w:rsid w:val="00E63A41"/>
    <w:rsid w:val="00E63A60"/>
    <w:rsid w:val="00E63A9D"/>
    <w:rsid w:val="00E63BAA"/>
    <w:rsid w:val="00E63BC6"/>
    <w:rsid w:val="00E63CE6"/>
    <w:rsid w:val="00E63D5B"/>
    <w:rsid w:val="00E63D69"/>
    <w:rsid w:val="00E63E30"/>
    <w:rsid w:val="00E63EAC"/>
    <w:rsid w:val="00E63ED8"/>
    <w:rsid w:val="00E63FA1"/>
    <w:rsid w:val="00E63FC4"/>
    <w:rsid w:val="00E63FEC"/>
    <w:rsid w:val="00E63FFB"/>
    <w:rsid w:val="00E64059"/>
    <w:rsid w:val="00E641B4"/>
    <w:rsid w:val="00E6425C"/>
    <w:rsid w:val="00E642DC"/>
    <w:rsid w:val="00E64323"/>
    <w:rsid w:val="00E643BC"/>
    <w:rsid w:val="00E644AB"/>
    <w:rsid w:val="00E6451D"/>
    <w:rsid w:val="00E6453D"/>
    <w:rsid w:val="00E6455F"/>
    <w:rsid w:val="00E6469C"/>
    <w:rsid w:val="00E64703"/>
    <w:rsid w:val="00E6476C"/>
    <w:rsid w:val="00E647D1"/>
    <w:rsid w:val="00E647E2"/>
    <w:rsid w:val="00E6487A"/>
    <w:rsid w:val="00E64936"/>
    <w:rsid w:val="00E64937"/>
    <w:rsid w:val="00E64A13"/>
    <w:rsid w:val="00E64B89"/>
    <w:rsid w:val="00E64BA2"/>
    <w:rsid w:val="00E64BC2"/>
    <w:rsid w:val="00E64D7A"/>
    <w:rsid w:val="00E64D84"/>
    <w:rsid w:val="00E64DF8"/>
    <w:rsid w:val="00E64E4A"/>
    <w:rsid w:val="00E64E72"/>
    <w:rsid w:val="00E64F70"/>
    <w:rsid w:val="00E65039"/>
    <w:rsid w:val="00E6509C"/>
    <w:rsid w:val="00E65222"/>
    <w:rsid w:val="00E652A8"/>
    <w:rsid w:val="00E652C2"/>
    <w:rsid w:val="00E652D1"/>
    <w:rsid w:val="00E65463"/>
    <w:rsid w:val="00E655D4"/>
    <w:rsid w:val="00E655D9"/>
    <w:rsid w:val="00E65660"/>
    <w:rsid w:val="00E65753"/>
    <w:rsid w:val="00E6580B"/>
    <w:rsid w:val="00E6580E"/>
    <w:rsid w:val="00E6597B"/>
    <w:rsid w:val="00E65AC8"/>
    <w:rsid w:val="00E65B0F"/>
    <w:rsid w:val="00E65B5B"/>
    <w:rsid w:val="00E65C00"/>
    <w:rsid w:val="00E65C60"/>
    <w:rsid w:val="00E65C69"/>
    <w:rsid w:val="00E65C6B"/>
    <w:rsid w:val="00E65CEF"/>
    <w:rsid w:val="00E65D32"/>
    <w:rsid w:val="00E65DE6"/>
    <w:rsid w:val="00E65E32"/>
    <w:rsid w:val="00E65E4B"/>
    <w:rsid w:val="00E65E57"/>
    <w:rsid w:val="00E65E6A"/>
    <w:rsid w:val="00E65EF9"/>
    <w:rsid w:val="00E65F2D"/>
    <w:rsid w:val="00E6617C"/>
    <w:rsid w:val="00E6625A"/>
    <w:rsid w:val="00E663AF"/>
    <w:rsid w:val="00E663B3"/>
    <w:rsid w:val="00E663F1"/>
    <w:rsid w:val="00E664A7"/>
    <w:rsid w:val="00E66516"/>
    <w:rsid w:val="00E6665C"/>
    <w:rsid w:val="00E66695"/>
    <w:rsid w:val="00E66816"/>
    <w:rsid w:val="00E6684E"/>
    <w:rsid w:val="00E6688B"/>
    <w:rsid w:val="00E668D8"/>
    <w:rsid w:val="00E66A08"/>
    <w:rsid w:val="00E66AC7"/>
    <w:rsid w:val="00E66AE2"/>
    <w:rsid w:val="00E66B2B"/>
    <w:rsid w:val="00E66C4B"/>
    <w:rsid w:val="00E66C66"/>
    <w:rsid w:val="00E66CFE"/>
    <w:rsid w:val="00E66E73"/>
    <w:rsid w:val="00E66F60"/>
    <w:rsid w:val="00E67073"/>
    <w:rsid w:val="00E67074"/>
    <w:rsid w:val="00E67085"/>
    <w:rsid w:val="00E670D8"/>
    <w:rsid w:val="00E671A9"/>
    <w:rsid w:val="00E671C7"/>
    <w:rsid w:val="00E671F9"/>
    <w:rsid w:val="00E67260"/>
    <w:rsid w:val="00E673D6"/>
    <w:rsid w:val="00E673F2"/>
    <w:rsid w:val="00E67411"/>
    <w:rsid w:val="00E675E7"/>
    <w:rsid w:val="00E6766E"/>
    <w:rsid w:val="00E676A6"/>
    <w:rsid w:val="00E677C7"/>
    <w:rsid w:val="00E6783B"/>
    <w:rsid w:val="00E67866"/>
    <w:rsid w:val="00E67869"/>
    <w:rsid w:val="00E6787B"/>
    <w:rsid w:val="00E67952"/>
    <w:rsid w:val="00E679D2"/>
    <w:rsid w:val="00E67A58"/>
    <w:rsid w:val="00E67AAD"/>
    <w:rsid w:val="00E67ADF"/>
    <w:rsid w:val="00E67B2A"/>
    <w:rsid w:val="00E67BCC"/>
    <w:rsid w:val="00E67C6E"/>
    <w:rsid w:val="00E67CE3"/>
    <w:rsid w:val="00E67DA3"/>
    <w:rsid w:val="00E67E76"/>
    <w:rsid w:val="00E67F42"/>
    <w:rsid w:val="00E67F5F"/>
    <w:rsid w:val="00E67F8C"/>
    <w:rsid w:val="00E67FCC"/>
    <w:rsid w:val="00E67FFB"/>
    <w:rsid w:val="00E70227"/>
    <w:rsid w:val="00E70229"/>
    <w:rsid w:val="00E70294"/>
    <w:rsid w:val="00E702A5"/>
    <w:rsid w:val="00E703AD"/>
    <w:rsid w:val="00E703EB"/>
    <w:rsid w:val="00E70623"/>
    <w:rsid w:val="00E70653"/>
    <w:rsid w:val="00E7066B"/>
    <w:rsid w:val="00E706C3"/>
    <w:rsid w:val="00E706D1"/>
    <w:rsid w:val="00E706EC"/>
    <w:rsid w:val="00E70772"/>
    <w:rsid w:val="00E709A4"/>
    <w:rsid w:val="00E70AFA"/>
    <w:rsid w:val="00E70BAA"/>
    <w:rsid w:val="00E70BF3"/>
    <w:rsid w:val="00E70C0A"/>
    <w:rsid w:val="00E70D18"/>
    <w:rsid w:val="00E70D35"/>
    <w:rsid w:val="00E70EBA"/>
    <w:rsid w:val="00E70F71"/>
    <w:rsid w:val="00E70FCE"/>
    <w:rsid w:val="00E71136"/>
    <w:rsid w:val="00E711B1"/>
    <w:rsid w:val="00E711FB"/>
    <w:rsid w:val="00E712CA"/>
    <w:rsid w:val="00E71307"/>
    <w:rsid w:val="00E71630"/>
    <w:rsid w:val="00E717A4"/>
    <w:rsid w:val="00E71968"/>
    <w:rsid w:val="00E71978"/>
    <w:rsid w:val="00E71A80"/>
    <w:rsid w:val="00E71A87"/>
    <w:rsid w:val="00E71ABE"/>
    <w:rsid w:val="00E71AE5"/>
    <w:rsid w:val="00E71B4B"/>
    <w:rsid w:val="00E71D2B"/>
    <w:rsid w:val="00E71D9B"/>
    <w:rsid w:val="00E71DAF"/>
    <w:rsid w:val="00E71E52"/>
    <w:rsid w:val="00E71E72"/>
    <w:rsid w:val="00E71F14"/>
    <w:rsid w:val="00E71F88"/>
    <w:rsid w:val="00E71F93"/>
    <w:rsid w:val="00E71FA6"/>
    <w:rsid w:val="00E72074"/>
    <w:rsid w:val="00E720C2"/>
    <w:rsid w:val="00E720E2"/>
    <w:rsid w:val="00E72138"/>
    <w:rsid w:val="00E72235"/>
    <w:rsid w:val="00E722F8"/>
    <w:rsid w:val="00E72395"/>
    <w:rsid w:val="00E72560"/>
    <w:rsid w:val="00E7259C"/>
    <w:rsid w:val="00E7267D"/>
    <w:rsid w:val="00E726A7"/>
    <w:rsid w:val="00E72758"/>
    <w:rsid w:val="00E7275A"/>
    <w:rsid w:val="00E72781"/>
    <w:rsid w:val="00E72989"/>
    <w:rsid w:val="00E729EB"/>
    <w:rsid w:val="00E72A6D"/>
    <w:rsid w:val="00E72AD4"/>
    <w:rsid w:val="00E72B44"/>
    <w:rsid w:val="00E72B4C"/>
    <w:rsid w:val="00E72C08"/>
    <w:rsid w:val="00E72C15"/>
    <w:rsid w:val="00E73049"/>
    <w:rsid w:val="00E7305D"/>
    <w:rsid w:val="00E730ED"/>
    <w:rsid w:val="00E730F8"/>
    <w:rsid w:val="00E73160"/>
    <w:rsid w:val="00E73230"/>
    <w:rsid w:val="00E732EA"/>
    <w:rsid w:val="00E73338"/>
    <w:rsid w:val="00E7333E"/>
    <w:rsid w:val="00E733B9"/>
    <w:rsid w:val="00E73498"/>
    <w:rsid w:val="00E73501"/>
    <w:rsid w:val="00E73594"/>
    <w:rsid w:val="00E73602"/>
    <w:rsid w:val="00E73789"/>
    <w:rsid w:val="00E737E6"/>
    <w:rsid w:val="00E73896"/>
    <w:rsid w:val="00E738DC"/>
    <w:rsid w:val="00E7391A"/>
    <w:rsid w:val="00E739FC"/>
    <w:rsid w:val="00E73A4E"/>
    <w:rsid w:val="00E73AD5"/>
    <w:rsid w:val="00E73AE0"/>
    <w:rsid w:val="00E73B5E"/>
    <w:rsid w:val="00E73B81"/>
    <w:rsid w:val="00E73C09"/>
    <w:rsid w:val="00E73CDC"/>
    <w:rsid w:val="00E73D23"/>
    <w:rsid w:val="00E73DCB"/>
    <w:rsid w:val="00E73EA6"/>
    <w:rsid w:val="00E73EC8"/>
    <w:rsid w:val="00E74050"/>
    <w:rsid w:val="00E74069"/>
    <w:rsid w:val="00E740C9"/>
    <w:rsid w:val="00E740E7"/>
    <w:rsid w:val="00E74115"/>
    <w:rsid w:val="00E74117"/>
    <w:rsid w:val="00E7411D"/>
    <w:rsid w:val="00E741A3"/>
    <w:rsid w:val="00E7425A"/>
    <w:rsid w:val="00E743AB"/>
    <w:rsid w:val="00E743D1"/>
    <w:rsid w:val="00E744F8"/>
    <w:rsid w:val="00E74501"/>
    <w:rsid w:val="00E74516"/>
    <w:rsid w:val="00E7457F"/>
    <w:rsid w:val="00E7490C"/>
    <w:rsid w:val="00E74975"/>
    <w:rsid w:val="00E74A93"/>
    <w:rsid w:val="00E74C52"/>
    <w:rsid w:val="00E74D41"/>
    <w:rsid w:val="00E74D69"/>
    <w:rsid w:val="00E74DA9"/>
    <w:rsid w:val="00E74E77"/>
    <w:rsid w:val="00E74EAE"/>
    <w:rsid w:val="00E74EB3"/>
    <w:rsid w:val="00E74EE2"/>
    <w:rsid w:val="00E74F1A"/>
    <w:rsid w:val="00E74FFA"/>
    <w:rsid w:val="00E75244"/>
    <w:rsid w:val="00E75265"/>
    <w:rsid w:val="00E75295"/>
    <w:rsid w:val="00E7532C"/>
    <w:rsid w:val="00E7547B"/>
    <w:rsid w:val="00E75585"/>
    <w:rsid w:val="00E755D3"/>
    <w:rsid w:val="00E755F1"/>
    <w:rsid w:val="00E756B2"/>
    <w:rsid w:val="00E75709"/>
    <w:rsid w:val="00E75737"/>
    <w:rsid w:val="00E757B5"/>
    <w:rsid w:val="00E758F7"/>
    <w:rsid w:val="00E75903"/>
    <w:rsid w:val="00E7590F"/>
    <w:rsid w:val="00E7595A"/>
    <w:rsid w:val="00E7596F"/>
    <w:rsid w:val="00E75997"/>
    <w:rsid w:val="00E759EE"/>
    <w:rsid w:val="00E75A0A"/>
    <w:rsid w:val="00E75A5E"/>
    <w:rsid w:val="00E75A80"/>
    <w:rsid w:val="00E75BE8"/>
    <w:rsid w:val="00E75C19"/>
    <w:rsid w:val="00E75C4C"/>
    <w:rsid w:val="00E75CAF"/>
    <w:rsid w:val="00E75D00"/>
    <w:rsid w:val="00E75D73"/>
    <w:rsid w:val="00E75D86"/>
    <w:rsid w:val="00E75DAF"/>
    <w:rsid w:val="00E75E2C"/>
    <w:rsid w:val="00E75E4F"/>
    <w:rsid w:val="00E75E6E"/>
    <w:rsid w:val="00E75EAF"/>
    <w:rsid w:val="00E75F5C"/>
    <w:rsid w:val="00E75F78"/>
    <w:rsid w:val="00E75FDA"/>
    <w:rsid w:val="00E76014"/>
    <w:rsid w:val="00E760F3"/>
    <w:rsid w:val="00E76181"/>
    <w:rsid w:val="00E761FA"/>
    <w:rsid w:val="00E7620A"/>
    <w:rsid w:val="00E764E5"/>
    <w:rsid w:val="00E76586"/>
    <w:rsid w:val="00E765A8"/>
    <w:rsid w:val="00E765B8"/>
    <w:rsid w:val="00E765D1"/>
    <w:rsid w:val="00E76600"/>
    <w:rsid w:val="00E76667"/>
    <w:rsid w:val="00E767A4"/>
    <w:rsid w:val="00E76816"/>
    <w:rsid w:val="00E76971"/>
    <w:rsid w:val="00E76AB4"/>
    <w:rsid w:val="00E76B2B"/>
    <w:rsid w:val="00E76C53"/>
    <w:rsid w:val="00E76C80"/>
    <w:rsid w:val="00E76C96"/>
    <w:rsid w:val="00E76CFD"/>
    <w:rsid w:val="00E76DA8"/>
    <w:rsid w:val="00E76DCE"/>
    <w:rsid w:val="00E76DEB"/>
    <w:rsid w:val="00E76EA9"/>
    <w:rsid w:val="00E76FBF"/>
    <w:rsid w:val="00E77011"/>
    <w:rsid w:val="00E77016"/>
    <w:rsid w:val="00E77044"/>
    <w:rsid w:val="00E770B0"/>
    <w:rsid w:val="00E770E8"/>
    <w:rsid w:val="00E77131"/>
    <w:rsid w:val="00E77140"/>
    <w:rsid w:val="00E771D4"/>
    <w:rsid w:val="00E77211"/>
    <w:rsid w:val="00E77281"/>
    <w:rsid w:val="00E77408"/>
    <w:rsid w:val="00E7741E"/>
    <w:rsid w:val="00E776A4"/>
    <w:rsid w:val="00E776C5"/>
    <w:rsid w:val="00E776DB"/>
    <w:rsid w:val="00E77771"/>
    <w:rsid w:val="00E778B2"/>
    <w:rsid w:val="00E7793D"/>
    <w:rsid w:val="00E77999"/>
    <w:rsid w:val="00E779CC"/>
    <w:rsid w:val="00E77A69"/>
    <w:rsid w:val="00E77A80"/>
    <w:rsid w:val="00E77AE9"/>
    <w:rsid w:val="00E77B06"/>
    <w:rsid w:val="00E77B0B"/>
    <w:rsid w:val="00E77C03"/>
    <w:rsid w:val="00E77C7F"/>
    <w:rsid w:val="00E77C9F"/>
    <w:rsid w:val="00E77CDA"/>
    <w:rsid w:val="00E77D5A"/>
    <w:rsid w:val="00E77DD0"/>
    <w:rsid w:val="00E77DFC"/>
    <w:rsid w:val="00E77E94"/>
    <w:rsid w:val="00E77FB9"/>
    <w:rsid w:val="00E77FD5"/>
    <w:rsid w:val="00E80046"/>
    <w:rsid w:val="00E800A2"/>
    <w:rsid w:val="00E800E6"/>
    <w:rsid w:val="00E802DE"/>
    <w:rsid w:val="00E8033A"/>
    <w:rsid w:val="00E8034F"/>
    <w:rsid w:val="00E803C9"/>
    <w:rsid w:val="00E80415"/>
    <w:rsid w:val="00E80424"/>
    <w:rsid w:val="00E80498"/>
    <w:rsid w:val="00E804C6"/>
    <w:rsid w:val="00E80546"/>
    <w:rsid w:val="00E80555"/>
    <w:rsid w:val="00E8055B"/>
    <w:rsid w:val="00E80579"/>
    <w:rsid w:val="00E805E8"/>
    <w:rsid w:val="00E805FE"/>
    <w:rsid w:val="00E80795"/>
    <w:rsid w:val="00E80942"/>
    <w:rsid w:val="00E80961"/>
    <w:rsid w:val="00E80AA2"/>
    <w:rsid w:val="00E80AEE"/>
    <w:rsid w:val="00E80CBD"/>
    <w:rsid w:val="00E80D73"/>
    <w:rsid w:val="00E80E31"/>
    <w:rsid w:val="00E80E5F"/>
    <w:rsid w:val="00E80EDD"/>
    <w:rsid w:val="00E80F09"/>
    <w:rsid w:val="00E80FDC"/>
    <w:rsid w:val="00E810EC"/>
    <w:rsid w:val="00E811A6"/>
    <w:rsid w:val="00E811C2"/>
    <w:rsid w:val="00E81260"/>
    <w:rsid w:val="00E8131E"/>
    <w:rsid w:val="00E813E2"/>
    <w:rsid w:val="00E81452"/>
    <w:rsid w:val="00E81477"/>
    <w:rsid w:val="00E814EC"/>
    <w:rsid w:val="00E81536"/>
    <w:rsid w:val="00E81581"/>
    <w:rsid w:val="00E8158D"/>
    <w:rsid w:val="00E815CB"/>
    <w:rsid w:val="00E81621"/>
    <w:rsid w:val="00E81646"/>
    <w:rsid w:val="00E8164E"/>
    <w:rsid w:val="00E81761"/>
    <w:rsid w:val="00E819D8"/>
    <w:rsid w:val="00E819E3"/>
    <w:rsid w:val="00E81AC4"/>
    <w:rsid w:val="00E81B26"/>
    <w:rsid w:val="00E81BA7"/>
    <w:rsid w:val="00E81C62"/>
    <w:rsid w:val="00E81D31"/>
    <w:rsid w:val="00E81D5A"/>
    <w:rsid w:val="00E81D6E"/>
    <w:rsid w:val="00E81D86"/>
    <w:rsid w:val="00E81D8E"/>
    <w:rsid w:val="00E81E79"/>
    <w:rsid w:val="00E81ECC"/>
    <w:rsid w:val="00E81F38"/>
    <w:rsid w:val="00E81FA1"/>
    <w:rsid w:val="00E82073"/>
    <w:rsid w:val="00E820CA"/>
    <w:rsid w:val="00E82114"/>
    <w:rsid w:val="00E8221C"/>
    <w:rsid w:val="00E822A5"/>
    <w:rsid w:val="00E822B1"/>
    <w:rsid w:val="00E82336"/>
    <w:rsid w:val="00E823BC"/>
    <w:rsid w:val="00E824F5"/>
    <w:rsid w:val="00E8251E"/>
    <w:rsid w:val="00E827C9"/>
    <w:rsid w:val="00E828F8"/>
    <w:rsid w:val="00E82932"/>
    <w:rsid w:val="00E829B6"/>
    <w:rsid w:val="00E82A5F"/>
    <w:rsid w:val="00E82B0A"/>
    <w:rsid w:val="00E82B3C"/>
    <w:rsid w:val="00E82BC9"/>
    <w:rsid w:val="00E82D44"/>
    <w:rsid w:val="00E82DE3"/>
    <w:rsid w:val="00E82DE8"/>
    <w:rsid w:val="00E82DF9"/>
    <w:rsid w:val="00E82E39"/>
    <w:rsid w:val="00E82E43"/>
    <w:rsid w:val="00E82EE3"/>
    <w:rsid w:val="00E82F11"/>
    <w:rsid w:val="00E82FB6"/>
    <w:rsid w:val="00E831A1"/>
    <w:rsid w:val="00E8321B"/>
    <w:rsid w:val="00E83229"/>
    <w:rsid w:val="00E83283"/>
    <w:rsid w:val="00E832CC"/>
    <w:rsid w:val="00E83326"/>
    <w:rsid w:val="00E8337D"/>
    <w:rsid w:val="00E833B0"/>
    <w:rsid w:val="00E833D2"/>
    <w:rsid w:val="00E833FE"/>
    <w:rsid w:val="00E8346A"/>
    <w:rsid w:val="00E83479"/>
    <w:rsid w:val="00E834C5"/>
    <w:rsid w:val="00E83578"/>
    <w:rsid w:val="00E83678"/>
    <w:rsid w:val="00E836C6"/>
    <w:rsid w:val="00E836C8"/>
    <w:rsid w:val="00E83727"/>
    <w:rsid w:val="00E837CA"/>
    <w:rsid w:val="00E8390A"/>
    <w:rsid w:val="00E839BD"/>
    <w:rsid w:val="00E83A21"/>
    <w:rsid w:val="00E83A2D"/>
    <w:rsid w:val="00E83AF5"/>
    <w:rsid w:val="00E83B4A"/>
    <w:rsid w:val="00E83CD9"/>
    <w:rsid w:val="00E83CDA"/>
    <w:rsid w:val="00E83CEF"/>
    <w:rsid w:val="00E83D23"/>
    <w:rsid w:val="00E83E5A"/>
    <w:rsid w:val="00E83FA1"/>
    <w:rsid w:val="00E841DA"/>
    <w:rsid w:val="00E84323"/>
    <w:rsid w:val="00E8453F"/>
    <w:rsid w:val="00E845FB"/>
    <w:rsid w:val="00E8469F"/>
    <w:rsid w:val="00E846BF"/>
    <w:rsid w:val="00E8478F"/>
    <w:rsid w:val="00E84955"/>
    <w:rsid w:val="00E849BE"/>
    <w:rsid w:val="00E84ACE"/>
    <w:rsid w:val="00E84B15"/>
    <w:rsid w:val="00E84B4E"/>
    <w:rsid w:val="00E84B4F"/>
    <w:rsid w:val="00E84BE3"/>
    <w:rsid w:val="00E84D07"/>
    <w:rsid w:val="00E84E70"/>
    <w:rsid w:val="00E84F09"/>
    <w:rsid w:val="00E84F40"/>
    <w:rsid w:val="00E850BB"/>
    <w:rsid w:val="00E85150"/>
    <w:rsid w:val="00E852BA"/>
    <w:rsid w:val="00E852C5"/>
    <w:rsid w:val="00E852D1"/>
    <w:rsid w:val="00E853CE"/>
    <w:rsid w:val="00E85406"/>
    <w:rsid w:val="00E85448"/>
    <w:rsid w:val="00E85466"/>
    <w:rsid w:val="00E85589"/>
    <w:rsid w:val="00E856C9"/>
    <w:rsid w:val="00E856E2"/>
    <w:rsid w:val="00E85748"/>
    <w:rsid w:val="00E85852"/>
    <w:rsid w:val="00E85907"/>
    <w:rsid w:val="00E8597A"/>
    <w:rsid w:val="00E85A4F"/>
    <w:rsid w:val="00E85C0D"/>
    <w:rsid w:val="00E85C28"/>
    <w:rsid w:val="00E85C68"/>
    <w:rsid w:val="00E85CF3"/>
    <w:rsid w:val="00E85D34"/>
    <w:rsid w:val="00E85EF8"/>
    <w:rsid w:val="00E85F52"/>
    <w:rsid w:val="00E85F6E"/>
    <w:rsid w:val="00E86000"/>
    <w:rsid w:val="00E86158"/>
    <w:rsid w:val="00E861A3"/>
    <w:rsid w:val="00E861C1"/>
    <w:rsid w:val="00E861E5"/>
    <w:rsid w:val="00E86245"/>
    <w:rsid w:val="00E86335"/>
    <w:rsid w:val="00E86339"/>
    <w:rsid w:val="00E86352"/>
    <w:rsid w:val="00E86357"/>
    <w:rsid w:val="00E863A3"/>
    <w:rsid w:val="00E86515"/>
    <w:rsid w:val="00E865C2"/>
    <w:rsid w:val="00E86783"/>
    <w:rsid w:val="00E86941"/>
    <w:rsid w:val="00E86B20"/>
    <w:rsid w:val="00E86C5D"/>
    <w:rsid w:val="00E86D24"/>
    <w:rsid w:val="00E86E3C"/>
    <w:rsid w:val="00E86E8D"/>
    <w:rsid w:val="00E86F46"/>
    <w:rsid w:val="00E86F7C"/>
    <w:rsid w:val="00E86F93"/>
    <w:rsid w:val="00E87050"/>
    <w:rsid w:val="00E87076"/>
    <w:rsid w:val="00E87097"/>
    <w:rsid w:val="00E8709A"/>
    <w:rsid w:val="00E870B3"/>
    <w:rsid w:val="00E870F6"/>
    <w:rsid w:val="00E8710D"/>
    <w:rsid w:val="00E8712A"/>
    <w:rsid w:val="00E871FF"/>
    <w:rsid w:val="00E87208"/>
    <w:rsid w:val="00E87226"/>
    <w:rsid w:val="00E87285"/>
    <w:rsid w:val="00E872A3"/>
    <w:rsid w:val="00E8734B"/>
    <w:rsid w:val="00E873BF"/>
    <w:rsid w:val="00E873CC"/>
    <w:rsid w:val="00E87488"/>
    <w:rsid w:val="00E87617"/>
    <w:rsid w:val="00E87658"/>
    <w:rsid w:val="00E876B1"/>
    <w:rsid w:val="00E87743"/>
    <w:rsid w:val="00E87777"/>
    <w:rsid w:val="00E877E8"/>
    <w:rsid w:val="00E87889"/>
    <w:rsid w:val="00E878FA"/>
    <w:rsid w:val="00E879E4"/>
    <w:rsid w:val="00E87B73"/>
    <w:rsid w:val="00E87B95"/>
    <w:rsid w:val="00E87BBF"/>
    <w:rsid w:val="00E87BC2"/>
    <w:rsid w:val="00E87C11"/>
    <w:rsid w:val="00E87D78"/>
    <w:rsid w:val="00E87D7D"/>
    <w:rsid w:val="00E87E0C"/>
    <w:rsid w:val="00E87F1B"/>
    <w:rsid w:val="00E90070"/>
    <w:rsid w:val="00E900CD"/>
    <w:rsid w:val="00E90161"/>
    <w:rsid w:val="00E9017C"/>
    <w:rsid w:val="00E902B7"/>
    <w:rsid w:val="00E9030D"/>
    <w:rsid w:val="00E903B7"/>
    <w:rsid w:val="00E9053D"/>
    <w:rsid w:val="00E90601"/>
    <w:rsid w:val="00E906A3"/>
    <w:rsid w:val="00E90721"/>
    <w:rsid w:val="00E90914"/>
    <w:rsid w:val="00E90A02"/>
    <w:rsid w:val="00E90A60"/>
    <w:rsid w:val="00E90B99"/>
    <w:rsid w:val="00E90BFD"/>
    <w:rsid w:val="00E90D0F"/>
    <w:rsid w:val="00E90D4A"/>
    <w:rsid w:val="00E90F5F"/>
    <w:rsid w:val="00E9109F"/>
    <w:rsid w:val="00E9127A"/>
    <w:rsid w:val="00E91292"/>
    <w:rsid w:val="00E9136D"/>
    <w:rsid w:val="00E9146B"/>
    <w:rsid w:val="00E914B9"/>
    <w:rsid w:val="00E914E8"/>
    <w:rsid w:val="00E9155A"/>
    <w:rsid w:val="00E91593"/>
    <w:rsid w:val="00E9162D"/>
    <w:rsid w:val="00E918FE"/>
    <w:rsid w:val="00E9193C"/>
    <w:rsid w:val="00E91965"/>
    <w:rsid w:val="00E91A1A"/>
    <w:rsid w:val="00E91C19"/>
    <w:rsid w:val="00E91C58"/>
    <w:rsid w:val="00E91CC6"/>
    <w:rsid w:val="00E91CFA"/>
    <w:rsid w:val="00E91D19"/>
    <w:rsid w:val="00E91F45"/>
    <w:rsid w:val="00E91FD6"/>
    <w:rsid w:val="00E91FF5"/>
    <w:rsid w:val="00E92024"/>
    <w:rsid w:val="00E92093"/>
    <w:rsid w:val="00E920FB"/>
    <w:rsid w:val="00E9212D"/>
    <w:rsid w:val="00E92137"/>
    <w:rsid w:val="00E92185"/>
    <w:rsid w:val="00E92252"/>
    <w:rsid w:val="00E92339"/>
    <w:rsid w:val="00E92350"/>
    <w:rsid w:val="00E92425"/>
    <w:rsid w:val="00E924DD"/>
    <w:rsid w:val="00E92594"/>
    <w:rsid w:val="00E926EA"/>
    <w:rsid w:val="00E9270C"/>
    <w:rsid w:val="00E929BE"/>
    <w:rsid w:val="00E929C0"/>
    <w:rsid w:val="00E92A85"/>
    <w:rsid w:val="00E92B73"/>
    <w:rsid w:val="00E92B99"/>
    <w:rsid w:val="00E92BD3"/>
    <w:rsid w:val="00E92D9D"/>
    <w:rsid w:val="00E92EDC"/>
    <w:rsid w:val="00E92F2F"/>
    <w:rsid w:val="00E92F5B"/>
    <w:rsid w:val="00E93054"/>
    <w:rsid w:val="00E9305B"/>
    <w:rsid w:val="00E93063"/>
    <w:rsid w:val="00E9307F"/>
    <w:rsid w:val="00E93080"/>
    <w:rsid w:val="00E930A5"/>
    <w:rsid w:val="00E93236"/>
    <w:rsid w:val="00E932F9"/>
    <w:rsid w:val="00E93311"/>
    <w:rsid w:val="00E934A8"/>
    <w:rsid w:val="00E9358F"/>
    <w:rsid w:val="00E935C6"/>
    <w:rsid w:val="00E93608"/>
    <w:rsid w:val="00E93699"/>
    <w:rsid w:val="00E936AA"/>
    <w:rsid w:val="00E93AA0"/>
    <w:rsid w:val="00E93AE2"/>
    <w:rsid w:val="00E93B33"/>
    <w:rsid w:val="00E93CB1"/>
    <w:rsid w:val="00E93D4A"/>
    <w:rsid w:val="00E93F3E"/>
    <w:rsid w:val="00E941AC"/>
    <w:rsid w:val="00E941C8"/>
    <w:rsid w:val="00E9426E"/>
    <w:rsid w:val="00E94288"/>
    <w:rsid w:val="00E942B8"/>
    <w:rsid w:val="00E9433F"/>
    <w:rsid w:val="00E943C2"/>
    <w:rsid w:val="00E943DF"/>
    <w:rsid w:val="00E9450A"/>
    <w:rsid w:val="00E945D8"/>
    <w:rsid w:val="00E9460E"/>
    <w:rsid w:val="00E9468C"/>
    <w:rsid w:val="00E946D2"/>
    <w:rsid w:val="00E946E9"/>
    <w:rsid w:val="00E946FB"/>
    <w:rsid w:val="00E94705"/>
    <w:rsid w:val="00E9479A"/>
    <w:rsid w:val="00E94812"/>
    <w:rsid w:val="00E949B5"/>
    <w:rsid w:val="00E94A9A"/>
    <w:rsid w:val="00E94E3F"/>
    <w:rsid w:val="00E94EA7"/>
    <w:rsid w:val="00E950AC"/>
    <w:rsid w:val="00E95166"/>
    <w:rsid w:val="00E951D5"/>
    <w:rsid w:val="00E9529A"/>
    <w:rsid w:val="00E952BE"/>
    <w:rsid w:val="00E952F6"/>
    <w:rsid w:val="00E952F7"/>
    <w:rsid w:val="00E95380"/>
    <w:rsid w:val="00E953E4"/>
    <w:rsid w:val="00E953FD"/>
    <w:rsid w:val="00E95431"/>
    <w:rsid w:val="00E95476"/>
    <w:rsid w:val="00E95489"/>
    <w:rsid w:val="00E95509"/>
    <w:rsid w:val="00E955CD"/>
    <w:rsid w:val="00E95637"/>
    <w:rsid w:val="00E9569D"/>
    <w:rsid w:val="00E957DE"/>
    <w:rsid w:val="00E958BB"/>
    <w:rsid w:val="00E9596F"/>
    <w:rsid w:val="00E95A04"/>
    <w:rsid w:val="00E95A3B"/>
    <w:rsid w:val="00E95A50"/>
    <w:rsid w:val="00E95C08"/>
    <w:rsid w:val="00E95CB4"/>
    <w:rsid w:val="00E95D5F"/>
    <w:rsid w:val="00E95DC8"/>
    <w:rsid w:val="00E95E32"/>
    <w:rsid w:val="00E95E56"/>
    <w:rsid w:val="00E95F99"/>
    <w:rsid w:val="00E95FB1"/>
    <w:rsid w:val="00E95FBE"/>
    <w:rsid w:val="00E9606D"/>
    <w:rsid w:val="00E960A6"/>
    <w:rsid w:val="00E960BA"/>
    <w:rsid w:val="00E9619C"/>
    <w:rsid w:val="00E961EA"/>
    <w:rsid w:val="00E9621C"/>
    <w:rsid w:val="00E9621F"/>
    <w:rsid w:val="00E96361"/>
    <w:rsid w:val="00E9637E"/>
    <w:rsid w:val="00E963B5"/>
    <w:rsid w:val="00E96493"/>
    <w:rsid w:val="00E9659A"/>
    <w:rsid w:val="00E965B5"/>
    <w:rsid w:val="00E9660C"/>
    <w:rsid w:val="00E966FA"/>
    <w:rsid w:val="00E96723"/>
    <w:rsid w:val="00E96725"/>
    <w:rsid w:val="00E96753"/>
    <w:rsid w:val="00E96760"/>
    <w:rsid w:val="00E9693B"/>
    <w:rsid w:val="00E969DA"/>
    <w:rsid w:val="00E96A36"/>
    <w:rsid w:val="00E96B14"/>
    <w:rsid w:val="00E96B36"/>
    <w:rsid w:val="00E96B9F"/>
    <w:rsid w:val="00E96BCC"/>
    <w:rsid w:val="00E96CA3"/>
    <w:rsid w:val="00E96CB7"/>
    <w:rsid w:val="00E96CEC"/>
    <w:rsid w:val="00E96D20"/>
    <w:rsid w:val="00E96DCA"/>
    <w:rsid w:val="00E96EBF"/>
    <w:rsid w:val="00E96EF5"/>
    <w:rsid w:val="00E96FCF"/>
    <w:rsid w:val="00E9701D"/>
    <w:rsid w:val="00E9704E"/>
    <w:rsid w:val="00E970B3"/>
    <w:rsid w:val="00E970DA"/>
    <w:rsid w:val="00E97143"/>
    <w:rsid w:val="00E9716E"/>
    <w:rsid w:val="00E97224"/>
    <w:rsid w:val="00E97252"/>
    <w:rsid w:val="00E972A0"/>
    <w:rsid w:val="00E972A1"/>
    <w:rsid w:val="00E973C2"/>
    <w:rsid w:val="00E974A0"/>
    <w:rsid w:val="00E97595"/>
    <w:rsid w:val="00E97777"/>
    <w:rsid w:val="00E9782E"/>
    <w:rsid w:val="00E978AA"/>
    <w:rsid w:val="00E97909"/>
    <w:rsid w:val="00E97970"/>
    <w:rsid w:val="00E9797E"/>
    <w:rsid w:val="00E9798A"/>
    <w:rsid w:val="00E979B3"/>
    <w:rsid w:val="00E97A58"/>
    <w:rsid w:val="00E97C5D"/>
    <w:rsid w:val="00E97CD5"/>
    <w:rsid w:val="00E97CDE"/>
    <w:rsid w:val="00E97D6D"/>
    <w:rsid w:val="00E97EA4"/>
    <w:rsid w:val="00E97F54"/>
    <w:rsid w:val="00E97FAE"/>
    <w:rsid w:val="00EA002D"/>
    <w:rsid w:val="00EA003F"/>
    <w:rsid w:val="00EA017A"/>
    <w:rsid w:val="00EA021D"/>
    <w:rsid w:val="00EA0249"/>
    <w:rsid w:val="00EA03AD"/>
    <w:rsid w:val="00EA0410"/>
    <w:rsid w:val="00EA0421"/>
    <w:rsid w:val="00EA0485"/>
    <w:rsid w:val="00EA0593"/>
    <w:rsid w:val="00EA05E3"/>
    <w:rsid w:val="00EA0678"/>
    <w:rsid w:val="00EA06DC"/>
    <w:rsid w:val="00EA0767"/>
    <w:rsid w:val="00EA07A6"/>
    <w:rsid w:val="00EA07D2"/>
    <w:rsid w:val="00EA0854"/>
    <w:rsid w:val="00EA08FA"/>
    <w:rsid w:val="00EA08FE"/>
    <w:rsid w:val="00EA09A1"/>
    <w:rsid w:val="00EA0A01"/>
    <w:rsid w:val="00EA0A79"/>
    <w:rsid w:val="00EA0ACA"/>
    <w:rsid w:val="00EA0AFB"/>
    <w:rsid w:val="00EA0CD5"/>
    <w:rsid w:val="00EA0D6E"/>
    <w:rsid w:val="00EA0D85"/>
    <w:rsid w:val="00EA0EF8"/>
    <w:rsid w:val="00EA0F14"/>
    <w:rsid w:val="00EA0F22"/>
    <w:rsid w:val="00EA105E"/>
    <w:rsid w:val="00EA1089"/>
    <w:rsid w:val="00EA121B"/>
    <w:rsid w:val="00EA124F"/>
    <w:rsid w:val="00EA12EF"/>
    <w:rsid w:val="00EA1322"/>
    <w:rsid w:val="00EA1358"/>
    <w:rsid w:val="00EA1442"/>
    <w:rsid w:val="00EA1529"/>
    <w:rsid w:val="00EA1535"/>
    <w:rsid w:val="00EA160C"/>
    <w:rsid w:val="00EA1624"/>
    <w:rsid w:val="00EA169B"/>
    <w:rsid w:val="00EA1735"/>
    <w:rsid w:val="00EA1790"/>
    <w:rsid w:val="00EA17F3"/>
    <w:rsid w:val="00EA1838"/>
    <w:rsid w:val="00EA1874"/>
    <w:rsid w:val="00EA18FD"/>
    <w:rsid w:val="00EA19C2"/>
    <w:rsid w:val="00EA1A29"/>
    <w:rsid w:val="00EA1A5F"/>
    <w:rsid w:val="00EA1B3D"/>
    <w:rsid w:val="00EA1B5C"/>
    <w:rsid w:val="00EA1C38"/>
    <w:rsid w:val="00EA1E97"/>
    <w:rsid w:val="00EA1F74"/>
    <w:rsid w:val="00EA1F97"/>
    <w:rsid w:val="00EA1FB8"/>
    <w:rsid w:val="00EA2007"/>
    <w:rsid w:val="00EA2047"/>
    <w:rsid w:val="00EA20DE"/>
    <w:rsid w:val="00EA20F5"/>
    <w:rsid w:val="00EA2117"/>
    <w:rsid w:val="00EA2212"/>
    <w:rsid w:val="00EA2219"/>
    <w:rsid w:val="00EA23CE"/>
    <w:rsid w:val="00EA2410"/>
    <w:rsid w:val="00EA2481"/>
    <w:rsid w:val="00EA252B"/>
    <w:rsid w:val="00EA25B9"/>
    <w:rsid w:val="00EA25D6"/>
    <w:rsid w:val="00EA25EA"/>
    <w:rsid w:val="00EA2644"/>
    <w:rsid w:val="00EA2829"/>
    <w:rsid w:val="00EA2869"/>
    <w:rsid w:val="00EA2873"/>
    <w:rsid w:val="00EA28BE"/>
    <w:rsid w:val="00EA29C6"/>
    <w:rsid w:val="00EA2A5F"/>
    <w:rsid w:val="00EA2AEA"/>
    <w:rsid w:val="00EA2B29"/>
    <w:rsid w:val="00EA2BD1"/>
    <w:rsid w:val="00EA2D10"/>
    <w:rsid w:val="00EA2E02"/>
    <w:rsid w:val="00EA2E11"/>
    <w:rsid w:val="00EA2E73"/>
    <w:rsid w:val="00EA2F7D"/>
    <w:rsid w:val="00EA3105"/>
    <w:rsid w:val="00EA3282"/>
    <w:rsid w:val="00EA3316"/>
    <w:rsid w:val="00EA333F"/>
    <w:rsid w:val="00EA3466"/>
    <w:rsid w:val="00EA350C"/>
    <w:rsid w:val="00EA35E3"/>
    <w:rsid w:val="00EA3750"/>
    <w:rsid w:val="00EA3804"/>
    <w:rsid w:val="00EA3839"/>
    <w:rsid w:val="00EA396D"/>
    <w:rsid w:val="00EA3974"/>
    <w:rsid w:val="00EA39EB"/>
    <w:rsid w:val="00EA3A11"/>
    <w:rsid w:val="00EA3A22"/>
    <w:rsid w:val="00EA3A29"/>
    <w:rsid w:val="00EA3A59"/>
    <w:rsid w:val="00EA3A6B"/>
    <w:rsid w:val="00EA3B00"/>
    <w:rsid w:val="00EA3B12"/>
    <w:rsid w:val="00EA3B75"/>
    <w:rsid w:val="00EA3BFF"/>
    <w:rsid w:val="00EA3C1D"/>
    <w:rsid w:val="00EA3C33"/>
    <w:rsid w:val="00EA3CDB"/>
    <w:rsid w:val="00EA3CE3"/>
    <w:rsid w:val="00EA3DC7"/>
    <w:rsid w:val="00EA3E57"/>
    <w:rsid w:val="00EA402D"/>
    <w:rsid w:val="00EA40B5"/>
    <w:rsid w:val="00EA4499"/>
    <w:rsid w:val="00EA4689"/>
    <w:rsid w:val="00EA4715"/>
    <w:rsid w:val="00EA47AD"/>
    <w:rsid w:val="00EA48E2"/>
    <w:rsid w:val="00EA490F"/>
    <w:rsid w:val="00EA4934"/>
    <w:rsid w:val="00EA4958"/>
    <w:rsid w:val="00EA4972"/>
    <w:rsid w:val="00EA49A6"/>
    <w:rsid w:val="00EA49FD"/>
    <w:rsid w:val="00EA4A50"/>
    <w:rsid w:val="00EA4A99"/>
    <w:rsid w:val="00EA4B05"/>
    <w:rsid w:val="00EA4B1B"/>
    <w:rsid w:val="00EA4C1B"/>
    <w:rsid w:val="00EA4DE7"/>
    <w:rsid w:val="00EA4E47"/>
    <w:rsid w:val="00EA4EB9"/>
    <w:rsid w:val="00EA4EF9"/>
    <w:rsid w:val="00EA4EFA"/>
    <w:rsid w:val="00EA4F06"/>
    <w:rsid w:val="00EA4F72"/>
    <w:rsid w:val="00EA4FC6"/>
    <w:rsid w:val="00EA5019"/>
    <w:rsid w:val="00EA502C"/>
    <w:rsid w:val="00EA5117"/>
    <w:rsid w:val="00EA521A"/>
    <w:rsid w:val="00EA528E"/>
    <w:rsid w:val="00EA52BE"/>
    <w:rsid w:val="00EA5334"/>
    <w:rsid w:val="00EA534B"/>
    <w:rsid w:val="00EA54CA"/>
    <w:rsid w:val="00EA5651"/>
    <w:rsid w:val="00EA56B8"/>
    <w:rsid w:val="00EA58BD"/>
    <w:rsid w:val="00EA590F"/>
    <w:rsid w:val="00EA5981"/>
    <w:rsid w:val="00EA5A7C"/>
    <w:rsid w:val="00EA5AC4"/>
    <w:rsid w:val="00EA5B66"/>
    <w:rsid w:val="00EA5BD3"/>
    <w:rsid w:val="00EA5BDB"/>
    <w:rsid w:val="00EA5C9E"/>
    <w:rsid w:val="00EA5CEE"/>
    <w:rsid w:val="00EA5E07"/>
    <w:rsid w:val="00EA5E6D"/>
    <w:rsid w:val="00EA5EC9"/>
    <w:rsid w:val="00EA5F06"/>
    <w:rsid w:val="00EA5F09"/>
    <w:rsid w:val="00EA6016"/>
    <w:rsid w:val="00EA602E"/>
    <w:rsid w:val="00EA608D"/>
    <w:rsid w:val="00EA6143"/>
    <w:rsid w:val="00EA6210"/>
    <w:rsid w:val="00EA6253"/>
    <w:rsid w:val="00EA6264"/>
    <w:rsid w:val="00EA6280"/>
    <w:rsid w:val="00EA629C"/>
    <w:rsid w:val="00EA6382"/>
    <w:rsid w:val="00EA6476"/>
    <w:rsid w:val="00EA64C6"/>
    <w:rsid w:val="00EA651C"/>
    <w:rsid w:val="00EA6520"/>
    <w:rsid w:val="00EA6632"/>
    <w:rsid w:val="00EA6765"/>
    <w:rsid w:val="00EA67CC"/>
    <w:rsid w:val="00EA683C"/>
    <w:rsid w:val="00EA6881"/>
    <w:rsid w:val="00EA6903"/>
    <w:rsid w:val="00EA699D"/>
    <w:rsid w:val="00EA6A4E"/>
    <w:rsid w:val="00EA6A7F"/>
    <w:rsid w:val="00EA6A97"/>
    <w:rsid w:val="00EA6AE2"/>
    <w:rsid w:val="00EA6B3D"/>
    <w:rsid w:val="00EA6C36"/>
    <w:rsid w:val="00EA6CB4"/>
    <w:rsid w:val="00EA6CCB"/>
    <w:rsid w:val="00EA6EBC"/>
    <w:rsid w:val="00EA6F0C"/>
    <w:rsid w:val="00EA6F58"/>
    <w:rsid w:val="00EA6F9F"/>
    <w:rsid w:val="00EA7063"/>
    <w:rsid w:val="00EA727B"/>
    <w:rsid w:val="00EA7325"/>
    <w:rsid w:val="00EA737C"/>
    <w:rsid w:val="00EA747E"/>
    <w:rsid w:val="00EA74E6"/>
    <w:rsid w:val="00EA74EB"/>
    <w:rsid w:val="00EA7560"/>
    <w:rsid w:val="00EA75CD"/>
    <w:rsid w:val="00EA75DC"/>
    <w:rsid w:val="00EA77FF"/>
    <w:rsid w:val="00EA7830"/>
    <w:rsid w:val="00EA793F"/>
    <w:rsid w:val="00EA7988"/>
    <w:rsid w:val="00EA79E1"/>
    <w:rsid w:val="00EA7A7E"/>
    <w:rsid w:val="00EA7B1F"/>
    <w:rsid w:val="00EA7B5B"/>
    <w:rsid w:val="00EA7BF0"/>
    <w:rsid w:val="00EA7CB3"/>
    <w:rsid w:val="00EA7CC3"/>
    <w:rsid w:val="00EA7D3E"/>
    <w:rsid w:val="00EA7E02"/>
    <w:rsid w:val="00EA7E3A"/>
    <w:rsid w:val="00EA7E93"/>
    <w:rsid w:val="00EA7F10"/>
    <w:rsid w:val="00EA7FDB"/>
    <w:rsid w:val="00EB0001"/>
    <w:rsid w:val="00EB029B"/>
    <w:rsid w:val="00EB0419"/>
    <w:rsid w:val="00EB0468"/>
    <w:rsid w:val="00EB047E"/>
    <w:rsid w:val="00EB048E"/>
    <w:rsid w:val="00EB0496"/>
    <w:rsid w:val="00EB049E"/>
    <w:rsid w:val="00EB053D"/>
    <w:rsid w:val="00EB05AA"/>
    <w:rsid w:val="00EB062A"/>
    <w:rsid w:val="00EB0672"/>
    <w:rsid w:val="00EB06BA"/>
    <w:rsid w:val="00EB070F"/>
    <w:rsid w:val="00EB072B"/>
    <w:rsid w:val="00EB0753"/>
    <w:rsid w:val="00EB0778"/>
    <w:rsid w:val="00EB07D4"/>
    <w:rsid w:val="00EB090F"/>
    <w:rsid w:val="00EB097D"/>
    <w:rsid w:val="00EB0AB5"/>
    <w:rsid w:val="00EB0ABF"/>
    <w:rsid w:val="00EB0AFA"/>
    <w:rsid w:val="00EB0B47"/>
    <w:rsid w:val="00EB0B86"/>
    <w:rsid w:val="00EB0B9F"/>
    <w:rsid w:val="00EB0BA7"/>
    <w:rsid w:val="00EB0CA3"/>
    <w:rsid w:val="00EB0D2C"/>
    <w:rsid w:val="00EB0EDB"/>
    <w:rsid w:val="00EB0F55"/>
    <w:rsid w:val="00EB0F76"/>
    <w:rsid w:val="00EB0FB0"/>
    <w:rsid w:val="00EB10B9"/>
    <w:rsid w:val="00EB10BD"/>
    <w:rsid w:val="00EB112B"/>
    <w:rsid w:val="00EB1147"/>
    <w:rsid w:val="00EB11D3"/>
    <w:rsid w:val="00EB121E"/>
    <w:rsid w:val="00EB12D0"/>
    <w:rsid w:val="00EB1434"/>
    <w:rsid w:val="00EB1480"/>
    <w:rsid w:val="00EB15B4"/>
    <w:rsid w:val="00EB169C"/>
    <w:rsid w:val="00EB17B8"/>
    <w:rsid w:val="00EB18B4"/>
    <w:rsid w:val="00EB1975"/>
    <w:rsid w:val="00EB19AC"/>
    <w:rsid w:val="00EB19C5"/>
    <w:rsid w:val="00EB1AD6"/>
    <w:rsid w:val="00EB1D05"/>
    <w:rsid w:val="00EB1D68"/>
    <w:rsid w:val="00EB1DCE"/>
    <w:rsid w:val="00EB1E57"/>
    <w:rsid w:val="00EB2043"/>
    <w:rsid w:val="00EB2061"/>
    <w:rsid w:val="00EB212E"/>
    <w:rsid w:val="00EB2167"/>
    <w:rsid w:val="00EB21D9"/>
    <w:rsid w:val="00EB2216"/>
    <w:rsid w:val="00EB227C"/>
    <w:rsid w:val="00EB2330"/>
    <w:rsid w:val="00EB242E"/>
    <w:rsid w:val="00EB2462"/>
    <w:rsid w:val="00EB2648"/>
    <w:rsid w:val="00EB2649"/>
    <w:rsid w:val="00EB26F2"/>
    <w:rsid w:val="00EB27C1"/>
    <w:rsid w:val="00EB28A6"/>
    <w:rsid w:val="00EB2907"/>
    <w:rsid w:val="00EB2908"/>
    <w:rsid w:val="00EB2949"/>
    <w:rsid w:val="00EB2A7F"/>
    <w:rsid w:val="00EB2AD7"/>
    <w:rsid w:val="00EB2B1C"/>
    <w:rsid w:val="00EB2B45"/>
    <w:rsid w:val="00EB2B9C"/>
    <w:rsid w:val="00EB2BA1"/>
    <w:rsid w:val="00EB2C4D"/>
    <w:rsid w:val="00EB2D1C"/>
    <w:rsid w:val="00EB2DD8"/>
    <w:rsid w:val="00EB2E03"/>
    <w:rsid w:val="00EB2E38"/>
    <w:rsid w:val="00EB300F"/>
    <w:rsid w:val="00EB30DA"/>
    <w:rsid w:val="00EB315B"/>
    <w:rsid w:val="00EB3407"/>
    <w:rsid w:val="00EB342D"/>
    <w:rsid w:val="00EB34C0"/>
    <w:rsid w:val="00EB3547"/>
    <w:rsid w:val="00EB3569"/>
    <w:rsid w:val="00EB35B1"/>
    <w:rsid w:val="00EB360A"/>
    <w:rsid w:val="00EB36B7"/>
    <w:rsid w:val="00EB36F7"/>
    <w:rsid w:val="00EB3707"/>
    <w:rsid w:val="00EB3784"/>
    <w:rsid w:val="00EB37A2"/>
    <w:rsid w:val="00EB37B7"/>
    <w:rsid w:val="00EB3847"/>
    <w:rsid w:val="00EB3988"/>
    <w:rsid w:val="00EB3B85"/>
    <w:rsid w:val="00EB3BB3"/>
    <w:rsid w:val="00EB3C15"/>
    <w:rsid w:val="00EB3CD2"/>
    <w:rsid w:val="00EB3CE4"/>
    <w:rsid w:val="00EB3DFA"/>
    <w:rsid w:val="00EB3E31"/>
    <w:rsid w:val="00EB3E41"/>
    <w:rsid w:val="00EB3EDD"/>
    <w:rsid w:val="00EB3EE6"/>
    <w:rsid w:val="00EB3F3A"/>
    <w:rsid w:val="00EB3F9A"/>
    <w:rsid w:val="00EB3FC4"/>
    <w:rsid w:val="00EB4092"/>
    <w:rsid w:val="00EB40BA"/>
    <w:rsid w:val="00EB4175"/>
    <w:rsid w:val="00EB419D"/>
    <w:rsid w:val="00EB41B5"/>
    <w:rsid w:val="00EB41DB"/>
    <w:rsid w:val="00EB4232"/>
    <w:rsid w:val="00EB42BA"/>
    <w:rsid w:val="00EB43B1"/>
    <w:rsid w:val="00EB4520"/>
    <w:rsid w:val="00EB4636"/>
    <w:rsid w:val="00EB4639"/>
    <w:rsid w:val="00EB4643"/>
    <w:rsid w:val="00EB46E8"/>
    <w:rsid w:val="00EB472A"/>
    <w:rsid w:val="00EB47A7"/>
    <w:rsid w:val="00EB4895"/>
    <w:rsid w:val="00EB4897"/>
    <w:rsid w:val="00EB49B0"/>
    <w:rsid w:val="00EB49CD"/>
    <w:rsid w:val="00EB4A84"/>
    <w:rsid w:val="00EB4A9B"/>
    <w:rsid w:val="00EB4BE2"/>
    <w:rsid w:val="00EB4BF1"/>
    <w:rsid w:val="00EB4C4B"/>
    <w:rsid w:val="00EB4C83"/>
    <w:rsid w:val="00EB4D14"/>
    <w:rsid w:val="00EB4DBC"/>
    <w:rsid w:val="00EB4DF0"/>
    <w:rsid w:val="00EB4E21"/>
    <w:rsid w:val="00EB4F55"/>
    <w:rsid w:val="00EB4F56"/>
    <w:rsid w:val="00EB4F72"/>
    <w:rsid w:val="00EB4FF3"/>
    <w:rsid w:val="00EB500A"/>
    <w:rsid w:val="00EB5102"/>
    <w:rsid w:val="00EB51A8"/>
    <w:rsid w:val="00EB51D1"/>
    <w:rsid w:val="00EB51E3"/>
    <w:rsid w:val="00EB51F1"/>
    <w:rsid w:val="00EB51F4"/>
    <w:rsid w:val="00EB524F"/>
    <w:rsid w:val="00EB5310"/>
    <w:rsid w:val="00EB5485"/>
    <w:rsid w:val="00EB54D8"/>
    <w:rsid w:val="00EB550D"/>
    <w:rsid w:val="00EB561F"/>
    <w:rsid w:val="00EB56D1"/>
    <w:rsid w:val="00EB5939"/>
    <w:rsid w:val="00EB5A32"/>
    <w:rsid w:val="00EB5A62"/>
    <w:rsid w:val="00EB5A77"/>
    <w:rsid w:val="00EB5B2E"/>
    <w:rsid w:val="00EB5B33"/>
    <w:rsid w:val="00EB5BC5"/>
    <w:rsid w:val="00EB5C21"/>
    <w:rsid w:val="00EB5C2E"/>
    <w:rsid w:val="00EB5C6E"/>
    <w:rsid w:val="00EB5D05"/>
    <w:rsid w:val="00EB5DD7"/>
    <w:rsid w:val="00EB5E08"/>
    <w:rsid w:val="00EB5F04"/>
    <w:rsid w:val="00EB5F2D"/>
    <w:rsid w:val="00EB5F80"/>
    <w:rsid w:val="00EB608D"/>
    <w:rsid w:val="00EB6124"/>
    <w:rsid w:val="00EB6167"/>
    <w:rsid w:val="00EB62F2"/>
    <w:rsid w:val="00EB6379"/>
    <w:rsid w:val="00EB63C0"/>
    <w:rsid w:val="00EB6534"/>
    <w:rsid w:val="00EB65A2"/>
    <w:rsid w:val="00EB665E"/>
    <w:rsid w:val="00EB66A0"/>
    <w:rsid w:val="00EB66A3"/>
    <w:rsid w:val="00EB670C"/>
    <w:rsid w:val="00EB672C"/>
    <w:rsid w:val="00EB6796"/>
    <w:rsid w:val="00EB67B6"/>
    <w:rsid w:val="00EB6821"/>
    <w:rsid w:val="00EB6851"/>
    <w:rsid w:val="00EB6947"/>
    <w:rsid w:val="00EB69E0"/>
    <w:rsid w:val="00EB6AF3"/>
    <w:rsid w:val="00EB6B6D"/>
    <w:rsid w:val="00EB6B8B"/>
    <w:rsid w:val="00EB6BA2"/>
    <w:rsid w:val="00EB6CB5"/>
    <w:rsid w:val="00EB6CD0"/>
    <w:rsid w:val="00EB6ECC"/>
    <w:rsid w:val="00EB6EDF"/>
    <w:rsid w:val="00EB70C0"/>
    <w:rsid w:val="00EB70DB"/>
    <w:rsid w:val="00EB7174"/>
    <w:rsid w:val="00EB71D9"/>
    <w:rsid w:val="00EB72DB"/>
    <w:rsid w:val="00EB73CA"/>
    <w:rsid w:val="00EB73EC"/>
    <w:rsid w:val="00EB7566"/>
    <w:rsid w:val="00EB75ED"/>
    <w:rsid w:val="00EB7619"/>
    <w:rsid w:val="00EB768B"/>
    <w:rsid w:val="00EB7709"/>
    <w:rsid w:val="00EB782C"/>
    <w:rsid w:val="00EB78C9"/>
    <w:rsid w:val="00EB78E0"/>
    <w:rsid w:val="00EB7908"/>
    <w:rsid w:val="00EB79B2"/>
    <w:rsid w:val="00EB7A26"/>
    <w:rsid w:val="00EB7A28"/>
    <w:rsid w:val="00EB7B10"/>
    <w:rsid w:val="00EB7B52"/>
    <w:rsid w:val="00EB7B6A"/>
    <w:rsid w:val="00EB7C49"/>
    <w:rsid w:val="00EB7C62"/>
    <w:rsid w:val="00EB7C99"/>
    <w:rsid w:val="00EB7CB1"/>
    <w:rsid w:val="00EB7DA4"/>
    <w:rsid w:val="00EB7E54"/>
    <w:rsid w:val="00EB7EC2"/>
    <w:rsid w:val="00EB7EE3"/>
    <w:rsid w:val="00EB7FF0"/>
    <w:rsid w:val="00EC0006"/>
    <w:rsid w:val="00EC0015"/>
    <w:rsid w:val="00EC006F"/>
    <w:rsid w:val="00EC007E"/>
    <w:rsid w:val="00EC0263"/>
    <w:rsid w:val="00EC03E5"/>
    <w:rsid w:val="00EC0465"/>
    <w:rsid w:val="00EC062A"/>
    <w:rsid w:val="00EC076C"/>
    <w:rsid w:val="00EC07E3"/>
    <w:rsid w:val="00EC09A8"/>
    <w:rsid w:val="00EC0A8D"/>
    <w:rsid w:val="00EC0AA2"/>
    <w:rsid w:val="00EC0B92"/>
    <w:rsid w:val="00EC0BB6"/>
    <w:rsid w:val="00EC0BB7"/>
    <w:rsid w:val="00EC0C31"/>
    <w:rsid w:val="00EC0C3E"/>
    <w:rsid w:val="00EC0CBE"/>
    <w:rsid w:val="00EC0CD6"/>
    <w:rsid w:val="00EC0CDC"/>
    <w:rsid w:val="00EC0D3C"/>
    <w:rsid w:val="00EC0D67"/>
    <w:rsid w:val="00EC0E16"/>
    <w:rsid w:val="00EC0E42"/>
    <w:rsid w:val="00EC0E92"/>
    <w:rsid w:val="00EC1074"/>
    <w:rsid w:val="00EC10B6"/>
    <w:rsid w:val="00EC10CC"/>
    <w:rsid w:val="00EC12A5"/>
    <w:rsid w:val="00EC1312"/>
    <w:rsid w:val="00EC1340"/>
    <w:rsid w:val="00EC1447"/>
    <w:rsid w:val="00EC1452"/>
    <w:rsid w:val="00EC148F"/>
    <w:rsid w:val="00EC1760"/>
    <w:rsid w:val="00EC187E"/>
    <w:rsid w:val="00EC191B"/>
    <w:rsid w:val="00EC195B"/>
    <w:rsid w:val="00EC196E"/>
    <w:rsid w:val="00EC1BF5"/>
    <w:rsid w:val="00EC1C6E"/>
    <w:rsid w:val="00EC1D5B"/>
    <w:rsid w:val="00EC1EAE"/>
    <w:rsid w:val="00EC208D"/>
    <w:rsid w:val="00EC20D1"/>
    <w:rsid w:val="00EC217F"/>
    <w:rsid w:val="00EC2250"/>
    <w:rsid w:val="00EC225B"/>
    <w:rsid w:val="00EC24A4"/>
    <w:rsid w:val="00EC268B"/>
    <w:rsid w:val="00EC27AF"/>
    <w:rsid w:val="00EC286D"/>
    <w:rsid w:val="00EC289B"/>
    <w:rsid w:val="00EC29AA"/>
    <w:rsid w:val="00EC2A24"/>
    <w:rsid w:val="00EC2C6E"/>
    <w:rsid w:val="00EC2D14"/>
    <w:rsid w:val="00EC2DCD"/>
    <w:rsid w:val="00EC2E65"/>
    <w:rsid w:val="00EC2E6D"/>
    <w:rsid w:val="00EC2EAF"/>
    <w:rsid w:val="00EC2F34"/>
    <w:rsid w:val="00EC2FCC"/>
    <w:rsid w:val="00EC3108"/>
    <w:rsid w:val="00EC32EE"/>
    <w:rsid w:val="00EC3399"/>
    <w:rsid w:val="00EC3450"/>
    <w:rsid w:val="00EC3586"/>
    <w:rsid w:val="00EC35E5"/>
    <w:rsid w:val="00EC369C"/>
    <w:rsid w:val="00EC36A9"/>
    <w:rsid w:val="00EC3980"/>
    <w:rsid w:val="00EC3B53"/>
    <w:rsid w:val="00EC3B68"/>
    <w:rsid w:val="00EC3BAC"/>
    <w:rsid w:val="00EC3CC4"/>
    <w:rsid w:val="00EC3D9E"/>
    <w:rsid w:val="00EC3DA1"/>
    <w:rsid w:val="00EC3DCD"/>
    <w:rsid w:val="00EC3EA5"/>
    <w:rsid w:val="00EC3EA6"/>
    <w:rsid w:val="00EC3F6C"/>
    <w:rsid w:val="00EC3FBF"/>
    <w:rsid w:val="00EC4053"/>
    <w:rsid w:val="00EC40B9"/>
    <w:rsid w:val="00EC40D3"/>
    <w:rsid w:val="00EC412F"/>
    <w:rsid w:val="00EC416A"/>
    <w:rsid w:val="00EC422B"/>
    <w:rsid w:val="00EC424F"/>
    <w:rsid w:val="00EC42B7"/>
    <w:rsid w:val="00EC436A"/>
    <w:rsid w:val="00EC4431"/>
    <w:rsid w:val="00EC4447"/>
    <w:rsid w:val="00EC4471"/>
    <w:rsid w:val="00EC44D5"/>
    <w:rsid w:val="00EC451E"/>
    <w:rsid w:val="00EC454B"/>
    <w:rsid w:val="00EC457C"/>
    <w:rsid w:val="00EC460E"/>
    <w:rsid w:val="00EC460F"/>
    <w:rsid w:val="00EC4652"/>
    <w:rsid w:val="00EC472E"/>
    <w:rsid w:val="00EC4773"/>
    <w:rsid w:val="00EC47D3"/>
    <w:rsid w:val="00EC484B"/>
    <w:rsid w:val="00EC4852"/>
    <w:rsid w:val="00EC492C"/>
    <w:rsid w:val="00EC4978"/>
    <w:rsid w:val="00EC49DE"/>
    <w:rsid w:val="00EC4A20"/>
    <w:rsid w:val="00EC4A45"/>
    <w:rsid w:val="00EC4B19"/>
    <w:rsid w:val="00EC4BAE"/>
    <w:rsid w:val="00EC4CB2"/>
    <w:rsid w:val="00EC4E30"/>
    <w:rsid w:val="00EC4F05"/>
    <w:rsid w:val="00EC4F20"/>
    <w:rsid w:val="00EC4F42"/>
    <w:rsid w:val="00EC51C4"/>
    <w:rsid w:val="00EC5227"/>
    <w:rsid w:val="00EC5263"/>
    <w:rsid w:val="00EC527B"/>
    <w:rsid w:val="00EC52A5"/>
    <w:rsid w:val="00EC5354"/>
    <w:rsid w:val="00EC5397"/>
    <w:rsid w:val="00EC54CC"/>
    <w:rsid w:val="00EC5524"/>
    <w:rsid w:val="00EC552F"/>
    <w:rsid w:val="00EC559F"/>
    <w:rsid w:val="00EC56D4"/>
    <w:rsid w:val="00EC5744"/>
    <w:rsid w:val="00EC579F"/>
    <w:rsid w:val="00EC5910"/>
    <w:rsid w:val="00EC592F"/>
    <w:rsid w:val="00EC595D"/>
    <w:rsid w:val="00EC597E"/>
    <w:rsid w:val="00EC59C9"/>
    <w:rsid w:val="00EC5AD5"/>
    <w:rsid w:val="00EC5B12"/>
    <w:rsid w:val="00EC5B65"/>
    <w:rsid w:val="00EC5BD5"/>
    <w:rsid w:val="00EC5BE5"/>
    <w:rsid w:val="00EC5C3C"/>
    <w:rsid w:val="00EC5CB9"/>
    <w:rsid w:val="00EC5DAF"/>
    <w:rsid w:val="00EC5E60"/>
    <w:rsid w:val="00EC5E8C"/>
    <w:rsid w:val="00EC5F93"/>
    <w:rsid w:val="00EC6015"/>
    <w:rsid w:val="00EC6081"/>
    <w:rsid w:val="00EC611E"/>
    <w:rsid w:val="00EC6147"/>
    <w:rsid w:val="00EC625B"/>
    <w:rsid w:val="00EC6300"/>
    <w:rsid w:val="00EC63B8"/>
    <w:rsid w:val="00EC63C9"/>
    <w:rsid w:val="00EC63D4"/>
    <w:rsid w:val="00EC6466"/>
    <w:rsid w:val="00EC647E"/>
    <w:rsid w:val="00EC654A"/>
    <w:rsid w:val="00EC65A5"/>
    <w:rsid w:val="00EC65D5"/>
    <w:rsid w:val="00EC65EC"/>
    <w:rsid w:val="00EC66D3"/>
    <w:rsid w:val="00EC6723"/>
    <w:rsid w:val="00EC67DD"/>
    <w:rsid w:val="00EC67E0"/>
    <w:rsid w:val="00EC6866"/>
    <w:rsid w:val="00EC6953"/>
    <w:rsid w:val="00EC69A2"/>
    <w:rsid w:val="00EC69EF"/>
    <w:rsid w:val="00EC6A10"/>
    <w:rsid w:val="00EC6A8A"/>
    <w:rsid w:val="00EC6B61"/>
    <w:rsid w:val="00EC6D70"/>
    <w:rsid w:val="00EC6E10"/>
    <w:rsid w:val="00EC6EDC"/>
    <w:rsid w:val="00EC7146"/>
    <w:rsid w:val="00EC71F3"/>
    <w:rsid w:val="00EC721D"/>
    <w:rsid w:val="00EC74C2"/>
    <w:rsid w:val="00EC74F5"/>
    <w:rsid w:val="00EC7660"/>
    <w:rsid w:val="00EC7695"/>
    <w:rsid w:val="00EC76F9"/>
    <w:rsid w:val="00EC780E"/>
    <w:rsid w:val="00EC78CA"/>
    <w:rsid w:val="00EC79F5"/>
    <w:rsid w:val="00EC7A02"/>
    <w:rsid w:val="00EC7A5B"/>
    <w:rsid w:val="00EC7E91"/>
    <w:rsid w:val="00EC7F52"/>
    <w:rsid w:val="00EC7F6C"/>
    <w:rsid w:val="00EC7FA1"/>
    <w:rsid w:val="00EC7FF9"/>
    <w:rsid w:val="00ED008C"/>
    <w:rsid w:val="00ED015A"/>
    <w:rsid w:val="00ED0218"/>
    <w:rsid w:val="00ED0222"/>
    <w:rsid w:val="00ED0291"/>
    <w:rsid w:val="00ED02B1"/>
    <w:rsid w:val="00ED037D"/>
    <w:rsid w:val="00ED05D1"/>
    <w:rsid w:val="00ED05F7"/>
    <w:rsid w:val="00ED0636"/>
    <w:rsid w:val="00ED063D"/>
    <w:rsid w:val="00ED0782"/>
    <w:rsid w:val="00ED081B"/>
    <w:rsid w:val="00ED0878"/>
    <w:rsid w:val="00ED0A28"/>
    <w:rsid w:val="00ED0B4B"/>
    <w:rsid w:val="00ED0B7C"/>
    <w:rsid w:val="00ED0BC2"/>
    <w:rsid w:val="00ED0CD8"/>
    <w:rsid w:val="00ED0F11"/>
    <w:rsid w:val="00ED0F99"/>
    <w:rsid w:val="00ED0FC2"/>
    <w:rsid w:val="00ED1033"/>
    <w:rsid w:val="00ED1067"/>
    <w:rsid w:val="00ED1080"/>
    <w:rsid w:val="00ED10B4"/>
    <w:rsid w:val="00ED10FC"/>
    <w:rsid w:val="00ED11C9"/>
    <w:rsid w:val="00ED127B"/>
    <w:rsid w:val="00ED130E"/>
    <w:rsid w:val="00ED134E"/>
    <w:rsid w:val="00ED1475"/>
    <w:rsid w:val="00ED1489"/>
    <w:rsid w:val="00ED1504"/>
    <w:rsid w:val="00ED155B"/>
    <w:rsid w:val="00ED1746"/>
    <w:rsid w:val="00ED17E0"/>
    <w:rsid w:val="00ED17F8"/>
    <w:rsid w:val="00ED185F"/>
    <w:rsid w:val="00ED18D4"/>
    <w:rsid w:val="00ED18EA"/>
    <w:rsid w:val="00ED1A65"/>
    <w:rsid w:val="00ED1C70"/>
    <w:rsid w:val="00ED1C7A"/>
    <w:rsid w:val="00ED1D5E"/>
    <w:rsid w:val="00ED1E39"/>
    <w:rsid w:val="00ED1F52"/>
    <w:rsid w:val="00ED1F94"/>
    <w:rsid w:val="00ED1FAC"/>
    <w:rsid w:val="00ED201D"/>
    <w:rsid w:val="00ED2061"/>
    <w:rsid w:val="00ED20FF"/>
    <w:rsid w:val="00ED215A"/>
    <w:rsid w:val="00ED2177"/>
    <w:rsid w:val="00ED21A0"/>
    <w:rsid w:val="00ED21B1"/>
    <w:rsid w:val="00ED2446"/>
    <w:rsid w:val="00ED252A"/>
    <w:rsid w:val="00ED2539"/>
    <w:rsid w:val="00ED2662"/>
    <w:rsid w:val="00ED278F"/>
    <w:rsid w:val="00ED27D3"/>
    <w:rsid w:val="00ED280A"/>
    <w:rsid w:val="00ED2813"/>
    <w:rsid w:val="00ED2834"/>
    <w:rsid w:val="00ED2863"/>
    <w:rsid w:val="00ED2874"/>
    <w:rsid w:val="00ED28D8"/>
    <w:rsid w:val="00ED2906"/>
    <w:rsid w:val="00ED2956"/>
    <w:rsid w:val="00ED2A32"/>
    <w:rsid w:val="00ED2A75"/>
    <w:rsid w:val="00ED2B23"/>
    <w:rsid w:val="00ED2B80"/>
    <w:rsid w:val="00ED2CC1"/>
    <w:rsid w:val="00ED2CDA"/>
    <w:rsid w:val="00ED2D89"/>
    <w:rsid w:val="00ED2DB4"/>
    <w:rsid w:val="00ED2EA1"/>
    <w:rsid w:val="00ED2ECB"/>
    <w:rsid w:val="00ED2F8A"/>
    <w:rsid w:val="00ED2FE5"/>
    <w:rsid w:val="00ED30F5"/>
    <w:rsid w:val="00ED3117"/>
    <w:rsid w:val="00ED316C"/>
    <w:rsid w:val="00ED31F3"/>
    <w:rsid w:val="00ED32A5"/>
    <w:rsid w:val="00ED3414"/>
    <w:rsid w:val="00ED35F8"/>
    <w:rsid w:val="00ED36FD"/>
    <w:rsid w:val="00ED370B"/>
    <w:rsid w:val="00ED371C"/>
    <w:rsid w:val="00ED37C3"/>
    <w:rsid w:val="00ED380E"/>
    <w:rsid w:val="00ED38DC"/>
    <w:rsid w:val="00ED392A"/>
    <w:rsid w:val="00ED39CD"/>
    <w:rsid w:val="00ED3A38"/>
    <w:rsid w:val="00ED3B76"/>
    <w:rsid w:val="00ED3BCB"/>
    <w:rsid w:val="00ED3C15"/>
    <w:rsid w:val="00ED3C97"/>
    <w:rsid w:val="00ED3D8E"/>
    <w:rsid w:val="00ED3D8F"/>
    <w:rsid w:val="00ED3DAD"/>
    <w:rsid w:val="00ED3E97"/>
    <w:rsid w:val="00ED3F4A"/>
    <w:rsid w:val="00ED3F75"/>
    <w:rsid w:val="00ED3FE1"/>
    <w:rsid w:val="00ED40A8"/>
    <w:rsid w:val="00ED4174"/>
    <w:rsid w:val="00ED41B2"/>
    <w:rsid w:val="00ED4235"/>
    <w:rsid w:val="00ED43AE"/>
    <w:rsid w:val="00ED45AD"/>
    <w:rsid w:val="00ED463D"/>
    <w:rsid w:val="00ED4711"/>
    <w:rsid w:val="00ED48C9"/>
    <w:rsid w:val="00ED494F"/>
    <w:rsid w:val="00ED4962"/>
    <w:rsid w:val="00ED496A"/>
    <w:rsid w:val="00ED49EB"/>
    <w:rsid w:val="00ED49F9"/>
    <w:rsid w:val="00ED4A49"/>
    <w:rsid w:val="00ED4B1D"/>
    <w:rsid w:val="00ED4CF8"/>
    <w:rsid w:val="00ED4DE0"/>
    <w:rsid w:val="00ED4E57"/>
    <w:rsid w:val="00ED4F91"/>
    <w:rsid w:val="00ED5012"/>
    <w:rsid w:val="00ED5118"/>
    <w:rsid w:val="00ED5125"/>
    <w:rsid w:val="00ED519F"/>
    <w:rsid w:val="00ED5296"/>
    <w:rsid w:val="00ED52EA"/>
    <w:rsid w:val="00ED541D"/>
    <w:rsid w:val="00ED5536"/>
    <w:rsid w:val="00ED553C"/>
    <w:rsid w:val="00ED562E"/>
    <w:rsid w:val="00ED56A3"/>
    <w:rsid w:val="00ED579B"/>
    <w:rsid w:val="00ED5848"/>
    <w:rsid w:val="00ED58FC"/>
    <w:rsid w:val="00ED595F"/>
    <w:rsid w:val="00ED596B"/>
    <w:rsid w:val="00ED59ED"/>
    <w:rsid w:val="00ED5A05"/>
    <w:rsid w:val="00ED5A33"/>
    <w:rsid w:val="00ED5AA6"/>
    <w:rsid w:val="00ED5B4F"/>
    <w:rsid w:val="00ED5C03"/>
    <w:rsid w:val="00ED5C73"/>
    <w:rsid w:val="00ED5C83"/>
    <w:rsid w:val="00ED5CD1"/>
    <w:rsid w:val="00ED5DD3"/>
    <w:rsid w:val="00ED5EF1"/>
    <w:rsid w:val="00ED5F02"/>
    <w:rsid w:val="00ED5F4B"/>
    <w:rsid w:val="00ED6076"/>
    <w:rsid w:val="00ED60DC"/>
    <w:rsid w:val="00ED6161"/>
    <w:rsid w:val="00ED6184"/>
    <w:rsid w:val="00ED6225"/>
    <w:rsid w:val="00ED6232"/>
    <w:rsid w:val="00ED6253"/>
    <w:rsid w:val="00ED6294"/>
    <w:rsid w:val="00ED62D7"/>
    <w:rsid w:val="00ED62DF"/>
    <w:rsid w:val="00ED6416"/>
    <w:rsid w:val="00ED6554"/>
    <w:rsid w:val="00ED655F"/>
    <w:rsid w:val="00ED66B6"/>
    <w:rsid w:val="00ED66EE"/>
    <w:rsid w:val="00ED67B8"/>
    <w:rsid w:val="00ED67D7"/>
    <w:rsid w:val="00ED6A0E"/>
    <w:rsid w:val="00ED6AA6"/>
    <w:rsid w:val="00ED6AB7"/>
    <w:rsid w:val="00ED6C29"/>
    <w:rsid w:val="00ED6D0A"/>
    <w:rsid w:val="00ED6F65"/>
    <w:rsid w:val="00ED6FCC"/>
    <w:rsid w:val="00ED7054"/>
    <w:rsid w:val="00ED706A"/>
    <w:rsid w:val="00ED707D"/>
    <w:rsid w:val="00ED7122"/>
    <w:rsid w:val="00ED727F"/>
    <w:rsid w:val="00ED7297"/>
    <w:rsid w:val="00ED72AB"/>
    <w:rsid w:val="00ED73A3"/>
    <w:rsid w:val="00ED7403"/>
    <w:rsid w:val="00ED745A"/>
    <w:rsid w:val="00ED7502"/>
    <w:rsid w:val="00ED75B0"/>
    <w:rsid w:val="00ED75E1"/>
    <w:rsid w:val="00ED766F"/>
    <w:rsid w:val="00ED7673"/>
    <w:rsid w:val="00ED76FA"/>
    <w:rsid w:val="00ED779F"/>
    <w:rsid w:val="00ED77AB"/>
    <w:rsid w:val="00ED77DC"/>
    <w:rsid w:val="00ED7823"/>
    <w:rsid w:val="00ED785F"/>
    <w:rsid w:val="00ED7880"/>
    <w:rsid w:val="00ED79C7"/>
    <w:rsid w:val="00ED7ABC"/>
    <w:rsid w:val="00ED7B33"/>
    <w:rsid w:val="00ED7BC3"/>
    <w:rsid w:val="00ED7BF8"/>
    <w:rsid w:val="00ED7CE8"/>
    <w:rsid w:val="00ED7D72"/>
    <w:rsid w:val="00ED7DDD"/>
    <w:rsid w:val="00ED7E0B"/>
    <w:rsid w:val="00ED7E35"/>
    <w:rsid w:val="00ED7EFD"/>
    <w:rsid w:val="00ED7F1E"/>
    <w:rsid w:val="00ED7F78"/>
    <w:rsid w:val="00ED7FCB"/>
    <w:rsid w:val="00EE018D"/>
    <w:rsid w:val="00EE019C"/>
    <w:rsid w:val="00EE01CF"/>
    <w:rsid w:val="00EE030B"/>
    <w:rsid w:val="00EE05C3"/>
    <w:rsid w:val="00EE067D"/>
    <w:rsid w:val="00EE06E7"/>
    <w:rsid w:val="00EE0782"/>
    <w:rsid w:val="00EE07C7"/>
    <w:rsid w:val="00EE0883"/>
    <w:rsid w:val="00EE0896"/>
    <w:rsid w:val="00EE08DF"/>
    <w:rsid w:val="00EE0A36"/>
    <w:rsid w:val="00EE0A77"/>
    <w:rsid w:val="00EE0B60"/>
    <w:rsid w:val="00EE0B73"/>
    <w:rsid w:val="00EE0C48"/>
    <w:rsid w:val="00EE0D3C"/>
    <w:rsid w:val="00EE0E4F"/>
    <w:rsid w:val="00EE0E8D"/>
    <w:rsid w:val="00EE0F68"/>
    <w:rsid w:val="00EE102F"/>
    <w:rsid w:val="00EE111C"/>
    <w:rsid w:val="00EE11EF"/>
    <w:rsid w:val="00EE1208"/>
    <w:rsid w:val="00EE125B"/>
    <w:rsid w:val="00EE1316"/>
    <w:rsid w:val="00EE1331"/>
    <w:rsid w:val="00EE135F"/>
    <w:rsid w:val="00EE1426"/>
    <w:rsid w:val="00EE14FF"/>
    <w:rsid w:val="00EE1581"/>
    <w:rsid w:val="00EE1628"/>
    <w:rsid w:val="00EE16B0"/>
    <w:rsid w:val="00EE175B"/>
    <w:rsid w:val="00EE179E"/>
    <w:rsid w:val="00EE17E0"/>
    <w:rsid w:val="00EE180E"/>
    <w:rsid w:val="00EE18AE"/>
    <w:rsid w:val="00EE1900"/>
    <w:rsid w:val="00EE1974"/>
    <w:rsid w:val="00EE199E"/>
    <w:rsid w:val="00EE19D3"/>
    <w:rsid w:val="00EE1B48"/>
    <w:rsid w:val="00EE1BCE"/>
    <w:rsid w:val="00EE1C8A"/>
    <w:rsid w:val="00EE1CE1"/>
    <w:rsid w:val="00EE1E56"/>
    <w:rsid w:val="00EE1EED"/>
    <w:rsid w:val="00EE1FBB"/>
    <w:rsid w:val="00EE1FF3"/>
    <w:rsid w:val="00EE2081"/>
    <w:rsid w:val="00EE213B"/>
    <w:rsid w:val="00EE217F"/>
    <w:rsid w:val="00EE2185"/>
    <w:rsid w:val="00EE2263"/>
    <w:rsid w:val="00EE22C1"/>
    <w:rsid w:val="00EE233A"/>
    <w:rsid w:val="00EE2402"/>
    <w:rsid w:val="00EE241D"/>
    <w:rsid w:val="00EE2447"/>
    <w:rsid w:val="00EE24B0"/>
    <w:rsid w:val="00EE24DB"/>
    <w:rsid w:val="00EE2573"/>
    <w:rsid w:val="00EE2614"/>
    <w:rsid w:val="00EE2623"/>
    <w:rsid w:val="00EE26FA"/>
    <w:rsid w:val="00EE2743"/>
    <w:rsid w:val="00EE2777"/>
    <w:rsid w:val="00EE28AA"/>
    <w:rsid w:val="00EE28AB"/>
    <w:rsid w:val="00EE28DC"/>
    <w:rsid w:val="00EE2DAF"/>
    <w:rsid w:val="00EE2E75"/>
    <w:rsid w:val="00EE2ECC"/>
    <w:rsid w:val="00EE2F1E"/>
    <w:rsid w:val="00EE2F2E"/>
    <w:rsid w:val="00EE2FE5"/>
    <w:rsid w:val="00EE3048"/>
    <w:rsid w:val="00EE30AF"/>
    <w:rsid w:val="00EE32C7"/>
    <w:rsid w:val="00EE32DE"/>
    <w:rsid w:val="00EE336B"/>
    <w:rsid w:val="00EE337E"/>
    <w:rsid w:val="00EE3395"/>
    <w:rsid w:val="00EE343A"/>
    <w:rsid w:val="00EE348A"/>
    <w:rsid w:val="00EE3668"/>
    <w:rsid w:val="00EE368B"/>
    <w:rsid w:val="00EE369D"/>
    <w:rsid w:val="00EE36A4"/>
    <w:rsid w:val="00EE38EF"/>
    <w:rsid w:val="00EE392A"/>
    <w:rsid w:val="00EE39D9"/>
    <w:rsid w:val="00EE39EB"/>
    <w:rsid w:val="00EE3AAE"/>
    <w:rsid w:val="00EE3B2B"/>
    <w:rsid w:val="00EE3B2E"/>
    <w:rsid w:val="00EE3B3A"/>
    <w:rsid w:val="00EE3B6D"/>
    <w:rsid w:val="00EE3B8E"/>
    <w:rsid w:val="00EE3C35"/>
    <w:rsid w:val="00EE3CA6"/>
    <w:rsid w:val="00EE3CC4"/>
    <w:rsid w:val="00EE3E7E"/>
    <w:rsid w:val="00EE3EF4"/>
    <w:rsid w:val="00EE3F5E"/>
    <w:rsid w:val="00EE402C"/>
    <w:rsid w:val="00EE4445"/>
    <w:rsid w:val="00EE4494"/>
    <w:rsid w:val="00EE472B"/>
    <w:rsid w:val="00EE47FB"/>
    <w:rsid w:val="00EE481B"/>
    <w:rsid w:val="00EE4846"/>
    <w:rsid w:val="00EE4893"/>
    <w:rsid w:val="00EE48B6"/>
    <w:rsid w:val="00EE48DE"/>
    <w:rsid w:val="00EE499B"/>
    <w:rsid w:val="00EE4AEA"/>
    <w:rsid w:val="00EE4B0A"/>
    <w:rsid w:val="00EE4C13"/>
    <w:rsid w:val="00EE4CC3"/>
    <w:rsid w:val="00EE4DAC"/>
    <w:rsid w:val="00EE4DF0"/>
    <w:rsid w:val="00EE4EAE"/>
    <w:rsid w:val="00EE4F44"/>
    <w:rsid w:val="00EE4F78"/>
    <w:rsid w:val="00EE4FB4"/>
    <w:rsid w:val="00EE5080"/>
    <w:rsid w:val="00EE50B8"/>
    <w:rsid w:val="00EE523C"/>
    <w:rsid w:val="00EE52D9"/>
    <w:rsid w:val="00EE52FC"/>
    <w:rsid w:val="00EE532E"/>
    <w:rsid w:val="00EE543C"/>
    <w:rsid w:val="00EE5498"/>
    <w:rsid w:val="00EE5620"/>
    <w:rsid w:val="00EE56F3"/>
    <w:rsid w:val="00EE5709"/>
    <w:rsid w:val="00EE5920"/>
    <w:rsid w:val="00EE599B"/>
    <w:rsid w:val="00EE59C3"/>
    <w:rsid w:val="00EE5AED"/>
    <w:rsid w:val="00EE5BA3"/>
    <w:rsid w:val="00EE5C42"/>
    <w:rsid w:val="00EE5E81"/>
    <w:rsid w:val="00EE5EE8"/>
    <w:rsid w:val="00EE5F20"/>
    <w:rsid w:val="00EE5F99"/>
    <w:rsid w:val="00EE605C"/>
    <w:rsid w:val="00EE6060"/>
    <w:rsid w:val="00EE60DF"/>
    <w:rsid w:val="00EE6310"/>
    <w:rsid w:val="00EE6469"/>
    <w:rsid w:val="00EE660B"/>
    <w:rsid w:val="00EE669B"/>
    <w:rsid w:val="00EE66D3"/>
    <w:rsid w:val="00EE673F"/>
    <w:rsid w:val="00EE67BE"/>
    <w:rsid w:val="00EE6823"/>
    <w:rsid w:val="00EE6903"/>
    <w:rsid w:val="00EE6905"/>
    <w:rsid w:val="00EE6977"/>
    <w:rsid w:val="00EE69A0"/>
    <w:rsid w:val="00EE6A71"/>
    <w:rsid w:val="00EE6A79"/>
    <w:rsid w:val="00EE6AD5"/>
    <w:rsid w:val="00EE6B7E"/>
    <w:rsid w:val="00EE6C24"/>
    <w:rsid w:val="00EE6D7B"/>
    <w:rsid w:val="00EE6EBD"/>
    <w:rsid w:val="00EE7024"/>
    <w:rsid w:val="00EE7082"/>
    <w:rsid w:val="00EE70D3"/>
    <w:rsid w:val="00EE712A"/>
    <w:rsid w:val="00EE71DE"/>
    <w:rsid w:val="00EE7236"/>
    <w:rsid w:val="00EE7359"/>
    <w:rsid w:val="00EE752B"/>
    <w:rsid w:val="00EE75C2"/>
    <w:rsid w:val="00EE75C3"/>
    <w:rsid w:val="00EE7632"/>
    <w:rsid w:val="00EE768F"/>
    <w:rsid w:val="00EE7762"/>
    <w:rsid w:val="00EE7778"/>
    <w:rsid w:val="00EE777A"/>
    <w:rsid w:val="00EE77F4"/>
    <w:rsid w:val="00EE78CB"/>
    <w:rsid w:val="00EE793B"/>
    <w:rsid w:val="00EE7A02"/>
    <w:rsid w:val="00EE7B8F"/>
    <w:rsid w:val="00EE7BF4"/>
    <w:rsid w:val="00EE7BF5"/>
    <w:rsid w:val="00EE7C0A"/>
    <w:rsid w:val="00EE7C74"/>
    <w:rsid w:val="00EE7CA1"/>
    <w:rsid w:val="00EE7D10"/>
    <w:rsid w:val="00EE7E86"/>
    <w:rsid w:val="00EE7EFC"/>
    <w:rsid w:val="00EE7F62"/>
    <w:rsid w:val="00EF007D"/>
    <w:rsid w:val="00EF017C"/>
    <w:rsid w:val="00EF018C"/>
    <w:rsid w:val="00EF0209"/>
    <w:rsid w:val="00EF02F5"/>
    <w:rsid w:val="00EF03B0"/>
    <w:rsid w:val="00EF048A"/>
    <w:rsid w:val="00EF04C8"/>
    <w:rsid w:val="00EF050A"/>
    <w:rsid w:val="00EF0666"/>
    <w:rsid w:val="00EF0759"/>
    <w:rsid w:val="00EF079D"/>
    <w:rsid w:val="00EF08E5"/>
    <w:rsid w:val="00EF09D6"/>
    <w:rsid w:val="00EF0A4E"/>
    <w:rsid w:val="00EF0A64"/>
    <w:rsid w:val="00EF0A90"/>
    <w:rsid w:val="00EF0B2F"/>
    <w:rsid w:val="00EF0B72"/>
    <w:rsid w:val="00EF0C01"/>
    <w:rsid w:val="00EF0C62"/>
    <w:rsid w:val="00EF0D55"/>
    <w:rsid w:val="00EF0DFA"/>
    <w:rsid w:val="00EF0ED4"/>
    <w:rsid w:val="00EF0ED9"/>
    <w:rsid w:val="00EF102C"/>
    <w:rsid w:val="00EF1096"/>
    <w:rsid w:val="00EF1164"/>
    <w:rsid w:val="00EF1183"/>
    <w:rsid w:val="00EF1219"/>
    <w:rsid w:val="00EF1424"/>
    <w:rsid w:val="00EF1458"/>
    <w:rsid w:val="00EF146C"/>
    <w:rsid w:val="00EF1476"/>
    <w:rsid w:val="00EF1524"/>
    <w:rsid w:val="00EF152A"/>
    <w:rsid w:val="00EF15A3"/>
    <w:rsid w:val="00EF15CA"/>
    <w:rsid w:val="00EF16D1"/>
    <w:rsid w:val="00EF1717"/>
    <w:rsid w:val="00EF171F"/>
    <w:rsid w:val="00EF184E"/>
    <w:rsid w:val="00EF18B1"/>
    <w:rsid w:val="00EF1928"/>
    <w:rsid w:val="00EF1D73"/>
    <w:rsid w:val="00EF1F84"/>
    <w:rsid w:val="00EF1FD9"/>
    <w:rsid w:val="00EF1FFB"/>
    <w:rsid w:val="00EF203F"/>
    <w:rsid w:val="00EF217A"/>
    <w:rsid w:val="00EF21EC"/>
    <w:rsid w:val="00EF22FC"/>
    <w:rsid w:val="00EF2304"/>
    <w:rsid w:val="00EF23D8"/>
    <w:rsid w:val="00EF2447"/>
    <w:rsid w:val="00EF252E"/>
    <w:rsid w:val="00EF25A0"/>
    <w:rsid w:val="00EF2748"/>
    <w:rsid w:val="00EF27F0"/>
    <w:rsid w:val="00EF298D"/>
    <w:rsid w:val="00EF29A8"/>
    <w:rsid w:val="00EF29B5"/>
    <w:rsid w:val="00EF2AB8"/>
    <w:rsid w:val="00EF2C28"/>
    <w:rsid w:val="00EF2C40"/>
    <w:rsid w:val="00EF2C44"/>
    <w:rsid w:val="00EF2F51"/>
    <w:rsid w:val="00EF30B1"/>
    <w:rsid w:val="00EF31AA"/>
    <w:rsid w:val="00EF328E"/>
    <w:rsid w:val="00EF348F"/>
    <w:rsid w:val="00EF34A8"/>
    <w:rsid w:val="00EF35D1"/>
    <w:rsid w:val="00EF3691"/>
    <w:rsid w:val="00EF378A"/>
    <w:rsid w:val="00EF37CF"/>
    <w:rsid w:val="00EF387F"/>
    <w:rsid w:val="00EF3968"/>
    <w:rsid w:val="00EF39C3"/>
    <w:rsid w:val="00EF3AA1"/>
    <w:rsid w:val="00EF3AC8"/>
    <w:rsid w:val="00EF3AF6"/>
    <w:rsid w:val="00EF3C97"/>
    <w:rsid w:val="00EF3EE9"/>
    <w:rsid w:val="00EF3EFC"/>
    <w:rsid w:val="00EF3F17"/>
    <w:rsid w:val="00EF3F28"/>
    <w:rsid w:val="00EF4067"/>
    <w:rsid w:val="00EF406E"/>
    <w:rsid w:val="00EF413A"/>
    <w:rsid w:val="00EF42D3"/>
    <w:rsid w:val="00EF4373"/>
    <w:rsid w:val="00EF43ED"/>
    <w:rsid w:val="00EF45C3"/>
    <w:rsid w:val="00EF45DE"/>
    <w:rsid w:val="00EF45FA"/>
    <w:rsid w:val="00EF461C"/>
    <w:rsid w:val="00EF4791"/>
    <w:rsid w:val="00EF47B7"/>
    <w:rsid w:val="00EF49F0"/>
    <w:rsid w:val="00EF4A2D"/>
    <w:rsid w:val="00EF4AC8"/>
    <w:rsid w:val="00EF4B63"/>
    <w:rsid w:val="00EF4C81"/>
    <w:rsid w:val="00EF4C99"/>
    <w:rsid w:val="00EF4D13"/>
    <w:rsid w:val="00EF4DAD"/>
    <w:rsid w:val="00EF4E84"/>
    <w:rsid w:val="00EF4EAD"/>
    <w:rsid w:val="00EF4FE9"/>
    <w:rsid w:val="00EF50E8"/>
    <w:rsid w:val="00EF5122"/>
    <w:rsid w:val="00EF5571"/>
    <w:rsid w:val="00EF55BD"/>
    <w:rsid w:val="00EF56CB"/>
    <w:rsid w:val="00EF5704"/>
    <w:rsid w:val="00EF57B3"/>
    <w:rsid w:val="00EF5809"/>
    <w:rsid w:val="00EF58BD"/>
    <w:rsid w:val="00EF5987"/>
    <w:rsid w:val="00EF59BD"/>
    <w:rsid w:val="00EF59E9"/>
    <w:rsid w:val="00EF5A4C"/>
    <w:rsid w:val="00EF5C27"/>
    <w:rsid w:val="00EF5D3B"/>
    <w:rsid w:val="00EF5D94"/>
    <w:rsid w:val="00EF5DA3"/>
    <w:rsid w:val="00EF5E70"/>
    <w:rsid w:val="00EF5EBB"/>
    <w:rsid w:val="00EF5F13"/>
    <w:rsid w:val="00EF5F26"/>
    <w:rsid w:val="00EF5FF6"/>
    <w:rsid w:val="00EF6056"/>
    <w:rsid w:val="00EF60FD"/>
    <w:rsid w:val="00EF6173"/>
    <w:rsid w:val="00EF6192"/>
    <w:rsid w:val="00EF61C4"/>
    <w:rsid w:val="00EF62E1"/>
    <w:rsid w:val="00EF63B7"/>
    <w:rsid w:val="00EF6404"/>
    <w:rsid w:val="00EF6501"/>
    <w:rsid w:val="00EF6528"/>
    <w:rsid w:val="00EF65C6"/>
    <w:rsid w:val="00EF6618"/>
    <w:rsid w:val="00EF6659"/>
    <w:rsid w:val="00EF67A7"/>
    <w:rsid w:val="00EF67CD"/>
    <w:rsid w:val="00EF6801"/>
    <w:rsid w:val="00EF68A6"/>
    <w:rsid w:val="00EF68D4"/>
    <w:rsid w:val="00EF68DF"/>
    <w:rsid w:val="00EF6A8F"/>
    <w:rsid w:val="00EF6A90"/>
    <w:rsid w:val="00EF6B4C"/>
    <w:rsid w:val="00EF6CE3"/>
    <w:rsid w:val="00EF6D22"/>
    <w:rsid w:val="00EF6DAB"/>
    <w:rsid w:val="00EF6DC1"/>
    <w:rsid w:val="00EF6F5C"/>
    <w:rsid w:val="00EF6F77"/>
    <w:rsid w:val="00EF6F7C"/>
    <w:rsid w:val="00EF700B"/>
    <w:rsid w:val="00EF701C"/>
    <w:rsid w:val="00EF70E0"/>
    <w:rsid w:val="00EF71A7"/>
    <w:rsid w:val="00EF72B6"/>
    <w:rsid w:val="00EF7380"/>
    <w:rsid w:val="00EF73CD"/>
    <w:rsid w:val="00EF7594"/>
    <w:rsid w:val="00EF759E"/>
    <w:rsid w:val="00EF7698"/>
    <w:rsid w:val="00EF78B1"/>
    <w:rsid w:val="00EF791B"/>
    <w:rsid w:val="00EF7943"/>
    <w:rsid w:val="00EF797E"/>
    <w:rsid w:val="00EF79A9"/>
    <w:rsid w:val="00EF7A4F"/>
    <w:rsid w:val="00EF7A8C"/>
    <w:rsid w:val="00EF7A98"/>
    <w:rsid w:val="00EF7C88"/>
    <w:rsid w:val="00EF7C8D"/>
    <w:rsid w:val="00EF7DE8"/>
    <w:rsid w:val="00F00107"/>
    <w:rsid w:val="00F00127"/>
    <w:rsid w:val="00F0016A"/>
    <w:rsid w:val="00F001C8"/>
    <w:rsid w:val="00F001F9"/>
    <w:rsid w:val="00F00278"/>
    <w:rsid w:val="00F003F2"/>
    <w:rsid w:val="00F0048A"/>
    <w:rsid w:val="00F004FF"/>
    <w:rsid w:val="00F00575"/>
    <w:rsid w:val="00F005AA"/>
    <w:rsid w:val="00F00699"/>
    <w:rsid w:val="00F006CC"/>
    <w:rsid w:val="00F007BC"/>
    <w:rsid w:val="00F007FD"/>
    <w:rsid w:val="00F00882"/>
    <w:rsid w:val="00F008D1"/>
    <w:rsid w:val="00F0097B"/>
    <w:rsid w:val="00F00A94"/>
    <w:rsid w:val="00F00B20"/>
    <w:rsid w:val="00F00BF9"/>
    <w:rsid w:val="00F00CB9"/>
    <w:rsid w:val="00F00DE0"/>
    <w:rsid w:val="00F00F3B"/>
    <w:rsid w:val="00F01039"/>
    <w:rsid w:val="00F0104E"/>
    <w:rsid w:val="00F010FF"/>
    <w:rsid w:val="00F0126A"/>
    <w:rsid w:val="00F013E1"/>
    <w:rsid w:val="00F013FD"/>
    <w:rsid w:val="00F014D2"/>
    <w:rsid w:val="00F01502"/>
    <w:rsid w:val="00F015A6"/>
    <w:rsid w:val="00F01605"/>
    <w:rsid w:val="00F01632"/>
    <w:rsid w:val="00F017D4"/>
    <w:rsid w:val="00F01985"/>
    <w:rsid w:val="00F0198E"/>
    <w:rsid w:val="00F01A58"/>
    <w:rsid w:val="00F01B06"/>
    <w:rsid w:val="00F01B77"/>
    <w:rsid w:val="00F01E70"/>
    <w:rsid w:val="00F01F5B"/>
    <w:rsid w:val="00F01F85"/>
    <w:rsid w:val="00F02063"/>
    <w:rsid w:val="00F021AD"/>
    <w:rsid w:val="00F021C4"/>
    <w:rsid w:val="00F0226A"/>
    <w:rsid w:val="00F022BE"/>
    <w:rsid w:val="00F022D8"/>
    <w:rsid w:val="00F022DA"/>
    <w:rsid w:val="00F022E4"/>
    <w:rsid w:val="00F0231C"/>
    <w:rsid w:val="00F0232A"/>
    <w:rsid w:val="00F024A5"/>
    <w:rsid w:val="00F02554"/>
    <w:rsid w:val="00F025C9"/>
    <w:rsid w:val="00F02662"/>
    <w:rsid w:val="00F02671"/>
    <w:rsid w:val="00F026C6"/>
    <w:rsid w:val="00F0285F"/>
    <w:rsid w:val="00F028E7"/>
    <w:rsid w:val="00F0298D"/>
    <w:rsid w:val="00F029F3"/>
    <w:rsid w:val="00F02B54"/>
    <w:rsid w:val="00F02B63"/>
    <w:rsid w:val="00F02D33"/>
    <w:rsid w:val="00F02E5A"/>
    <w:rsid w:val="00F02F27"/>
    <w:rsid w:val="00F02F32"/>
    <w:rsid w:val="00F02F8A"/>
    <w:rsid w:val="00F0302D"/>
    <w:rsid w:val="00F030A9"/>
    <w:rsid w:val="00F031B9"/>
    <w:rsid w:val="00F03499"/>
    <w:rsid w:val="00F035F2"/>
    <w:rsid w:val="00F03637"/>
    <w:rsid w:val="00F0372A"/>
    <w:rsid w:val="00F0379D"/>
    <w:rsid w:val="00F037C2"/>
    <w:rsid w:val="00F03835"/>
    <w:rsid w:val="00F03841"/>
    <w:rsid w:val="00F03886"/>
    <w:rsid w:val="00F038DB"/>
    <w:rsid w:val="00F03AF1"/>
    <w:rsid w:val="00F03B1D"/>
    <w:rsid w:val="00F03B33"/>
    <w:rsid w:val="00F03B76"/>
    <w:rsid w:val="00F03B7D"/>
    <w:rsid w:val="00F03BC3"/>
    <w:rsid w:val="00F03C87"/>
    <w:rsid w:val="00F03D7D"/>
    <w:rsid w:val="00F03DE9"/>
    <w:rsid w:val="00F03DF5"/>
    <w:rsid w:val="00F03DF6"/>
    <w:rsid w:val="00F03E12"/>
    <w:rsid w:val="00F040F6"/>
    <w:rsid w:val="00F04107"/>
    <w:rsid w:val="00F041C0"/>
    <w:rsid w:val="00F041D1"/>
    <w:rsid w:val="00F042CA"/>
    <w:rsid w:val="00F042F8"/>
    <w:rsid w:val="00F043C1"/>
    <w:rsid w:val="00F0445D"/>
    <w:rsid w:val="00F04460"/>
    <w:rsid w:val="00F04505"/>
    <w:rsid w:val="00F04530"/>
    <w:rsid w:val="00F04532"/>
    <w:rsid w:val="00F04545"/>
    <w:rsid w:val="00F04646"/>
    <w:rsid w:val="00F04651"/>
    <w:rsid w:val="00F046A8"/>
    <w:rsid w:val="00F046AD"/>
    <w:rsid w:val="00F046C0"/>
    <w:rsid w:val="00F04780"/>
    <w:rsid w:val="00F04788"/>
    <w:rsid w:val="00F04806"/>
    <w:rsid w:val="00F048BA"/>
    <w:rsid w:val="00F0497C"/>
    <w:rsid w:val="00F04998"/>
    <w:rsid w:val="00F049E2"/>
    <w:rsid w:val="00F04A4B"/>
    <w:rsid w:val="00F04AB6"/>
    <w:rsid w:val="00F04AD9"/>
    <w:rsid w:val="00F04C75"/>
    <w:rsid w:val="00F04CC8"/>
    <w:rsid w:val="00F04E0A"/>
    <w:rsid w:val="00F05020"/>
    <w:rsid w:val="00F050BE"/>
    <w:rsid w:val="00F05140"/>
    <w:rsid w:val="00F05252"/>
    <w:rsid w:val="00F0526C"/>
    <w:rsid w:val="00F052BC"/>
    <w:rsid w:val="00F052D8"/>
    <w:rsid w:val="00F0531D"/>
    <w:rsid w:val="00F05467"/>
    <w:rsid w:val="00F054DF"/>
    <w:rsid w:val="00F05557"/>
    <w:rsid w:val="00F055EA"/>
    <w:rsid w:val="00F05962"/>
    <w:rsid w:val="00F05A37"/>
    <w:rsid w:val="00F05AB9"/>
    <w:rsid w:val="00F05B60"/>
    <w:rsid w:val="00F05BB9"/>
    <w:rsid w:val="00F05CCB"/>
    <w:rsid w:val="00F05D21"/>
    <w:rsid w:val="00F05DBA"/>
    <w:rsid w:val="00F05DE5"/>
    <w:rsid w:val="00F05E4E"/>
    <w:rsid w:val="00F05EF2"/>
    <w:rsid w:val="00F06067"/>
    <w:rsid w:val="00F061E6"/>
    <w:rsid w:val="00F0622C"/>
    <w:rsid w:val="00F06285"/>
    <w:rsid w:val="00F06394"/>
    <w:rsid w:val="00F063F1"/>
    <w:rsid w:val="00F0656C"/>
    <w:rsid w:val="00F065CC"/>
    <w:rsid w:val="00F06614"/>
    <w:rsid w:val="00F06631"/>
    <w:rsid w:val="00F06669"/>
    <w:rsid w:val="00F06670"/>
    <w:rsid w:val="00F0667A"/>
    <w:rsid w:val="00F066A8"/>
    <w:rsid w:val="00F066AB"/>
    <w:rsid w:val="00F06753"/>
    <w:rsid w:val="00F06786"/>
    <w:rsid w:val="00F06788"/>
    <w:rsid w:val="00F06797"/>
    <w:rsid w:val="00F0687C"/>
    <w:rsid w:val="00F068AF"/>
    <w:rsid w:val="00F068BD"/>
    <w:rsid w:val="00F06966"/>
    <w:rsid w:val="00F06B1C"/>
    <w:rsid w:val="00F06B4F"/>
    <w:rsid w:val="00F06C08"/>
    <w:rsid w:val="00F06C4C"/>
    <w:rsid w:val="00F06CA0"/>
    <w:rsid w:val="00F06D40"/>
    <w:rsid w:val="00F06E4F"/>
    <w:rsid w:val="00F07064"/>
    <w:rsid w:val="00F070BD"/>
    <w:rsid w:val="00F071A1"/>
    <w:rsid w:val="00F0732F"/>
    <w:rsid w:val="00F0752B"/>
    <w:rsid w:val="00F075AA"/>
    <w:rsid w:val="00F0765C"/>
    <w:rsid w:val="00F07677"/>
    <w:rsid w:val="00F0767B"/>
    <w:rsid w:val="00F076BC"/>
    <w:rsid w:val="00F0774A"/>
    <w:rsid w:val="00F07775"/>
    <w:rsid w:val="00F0779F"/>
    <w:rsid w:val="00F077A9"/>
    <w:rsid w:val="00F07812"/>
    <w:rsid w:val="00F07888"/>
    <w:rsid w:val="00F078BA"/>
    <w:rsid w:val="00F0792D"/>
    <w:rsid w:val="00F07996"/>
    <w:rsid w:val="00F07999"/>
    <w:rsid w:val="00F07A56"/>
    <w:rsid w:val="00F07ACD"/>
    <w:rsid w:val="00F07B2D"/>
    <w:rsid w:val="00F07BFE"/>
    <w:rsid w:val="00F07C7E"/>
    <w:rsid w:val="00F07E92"/>
    <w:rsid w:val="00F07EC9"/>
    <w:rsid w:val="00F07F47"/>
    <w:rsid w:val="00F10036"/>
    <w:rsid w:val="00F1007D"/>
    <w:rsid w:val="00F1020D"/>
    <w:rsid w:val="00F10230"/>
    <w:rsid w:val="00F10266"/>
    <w:rsid w:val="00F102A3"/>
    <w:rsid w:val="00F102B9"/>
    <w:rsid w:val="00F10311"/>
    <w:rsid w:val="00F103B4"/>
    <w:rsid w:val="00F10484"/>
    <w:rsid w:val="00F104BB"/>
    <w:rsid w:val="00F1051E"/>
    <w:rsid w:val="00F10556"/>
    <w:rsid w:val="00F10667"/>
    <w:rsid w:val="00F1077B"/>
    <w:rsid w:val="00F1083D"/>
    <w:rsid w:val="00F10A09"/>
    <w:rsid w:val="00F10A7F"/>
    <w:rsid w:val="00F10AB0"/>
    <w:rsid w:val="00F10ADA"/>
    <w:rsid w:val="00F10B45"/>
    <w:rsid w:val="00F10B7A"/>
    <w:rsid w:val="00F10B7B"/>
    <w:rsid w:val="00F10B9E"/>
    <w:rsid w:val="00F10C67"/>
    <w:rsid w:val="00F10CBF"/>
    <w:rsid w:val="00F10CF7"/>
    <w:rsid w:val="00F10DC6"/>
    <w:rsid w:val="00F10FE9"/>
    <w:rsid w:val="00F10FF4"/>
    <w:rsid w:val="00F110CE"/>
    <w:rsid w:val="00F111B2"/>
    <w:rsid w:val="00F1120B"/>
    <w:rsid w:val="00F11271"/>
    <w:rsid w:val="00F112BC"/>
    <w:rsid w:val="00F11327"/>
    <w:rsid w:val="00F11351"/>
    <w:rsid w:val="00F1137E"/>
    <w:rsid w:val="00F11384"/>
    <w:rsid w:val="00F114FA"/>
    <w:rsid w:val="00F1151F"/>
    <w:rsid w:val="00F11597"/>
    <w:rsid w:val="00F115BF"/>
    <w:rsid w:val="00F115C9"/>
    <w:rsid w:val="00F115FA"/>
    <w:rsid w:val="00F11641"/>
    <w:rsid w:val="00F1172C"/>
    <w:rsid w:val="00F11843"/>
    <w:rsid w:val="00F119D5"/>
    <w:rsid w:val="00F11ABE"/>
    <w:rsid w:val="00F11B8A"/>
    <w:rsid w:val="00F11C3F"/>
    <w:rsid w:val="00F11C5F"/>
    <w:rsid w:val="00F11C86"/>
    <w:rsid w:val="00F11C99"/>
    <w:rsid w:val="00F11CFE"/>
    <w:rsid w:val="00F11D3E"/>
    <w:rsid w:val="00F11DDC"/>
    <w:rsid w:val="00F11DDE"/>
    <w:rsid w:val="00F11E76"/>
    <w:rsid w:val="00F11E7D"/>
    <w:rsid w:val="00F1205E"/>
    <w:rsid w:val="00F12173"/>
    <w:rsid w:val="00F122DE"/>
    <w:rsid w:val="00F122F9"/>
    <w:rsid w:val="00F12336"/>
    <w:rsid w:val="00F1254F"/>
    <w:rsid w:val="00F12603"/>
    <w:rsid w:val="00F12630"/>
    <w:rsid w:val="00F12642"/>
    <w:rsid w:val="00F1266C"/>
    <w:rsid w:val="00F126DF"/>
    <w:rsid w:val="00F12774"/>
    <w:rsid w:val="00F127E3"/>
    <w:rsid w:val="00F128A5"/>
    <w:rsid w:val="00F128DC"/>
    <w:rsid w:val="00F12A5E"/>
    <w:rsid w:val="00F12B2C"/>
    <w:rsid w:val="00F12B3C"/>
    <w:rsid w:val="00F12DCB"/>
    <w:rsid w:val="00F12DF8"/>
    <w:rsid w:val="00F12E83"/>
    <w:rsid w:val="00F12ED5"/>
    <w:rsid w:val="00F12EFE"/>
    <w:rsid w:val="00F12F2C"/>
    <w:rsid w:val="00F12FB0"/>
    <w:rsid w:val="00F13067"/>
    <w:rsid w:val="00F13114"/>
    <w:rsid w:val="00F131F6"/>
    <w:rsid w:val="00F13218"/>
    <w:rsid w:val="00F132F1"/>
    <w:rsid w:val="00F13330"/>
    <w:rsid w:val="00F1335E"/>
    <w:rsid w:val="00F1345C"/>
    <w:rsid w:val="00F13598"/>
    <w:rsid w:val="00F135A7"/>
    <w:rsid w:val="00F1371F"/>
    <w:rsid w:val="00F137DB"/>
    <w:rsid w:val="00F138F1"/>
    <w:rsid w:val="00F139F5"/>
    <w:rsid w:val="00F13AC3"/>
    <w:rsid w:val="00F13B47"/>
    <w:rsid w:val="00F13B86"/>
    <w:rsid w:val="00F13B88"/>
    <w:rsid w:val="00F13B93"/>
    <w:rsid w:val="00F13B96"/>
    <w:rsid w:val="00F13C81"/>
    <w:rsid w:val="00F13D69"/>
    <w:rsid w:val="00F13D6F"/>
    <w:rsid w:val="00F13F91"/>
    <w:rsid w:val="00F140FF"/>
    <w:rsid w:val="00F14175"/>
    <w:rsid w:val="00F141C8"/>
    <w:rsid w:val="00F1424C"/>
    <w:rsid w:val="00F1425C"/>
    <w:rsid w:val="00F1426A"/>
    <w:rsid w:val="00F14322"/>
    <w:rsid w:val="00F143E6"/>
    <w:rsid w:val="00F14477"/>
    <w:rsid w:val="00F144AD"/>
    <w:rsid w:val="00F145B3"/>
    <w:rsid w:val="00F14636"/>
    <w:rsid w:val="00F1463E"/>
    <w:rsid w:val="00F14651"/>
    <w:rsid w:val="00F146A8"/>
    <w:rsid w:val="00F146C0"/>
    <w:rsid w:val="00F1490C"/>
    <w:rsid w:val="00F14AFF"/>
    <w:rsid w:val="00F14B27"/>
    <w:rsid w:val="00F14B5D"/>
    <w:rsid w:val="00F14BA1"/>
    <w:rsid w:val="00F14BA3"/>
    <w:rsid w:val="00F14D6F"/>
    <w:rsid w:val="00F14DC8"/>
    <w:rsid w:val="00F14F9F"/>
    <w:rsid w:val="00F15064"/>
    <w:rsid w:val="00F1506F"/>
    <w:rsid w:val="00F150C4"/>
    <w:rsid w:val="00F15297"/>
    <w:rsid w:val="00F152D6"/>
    <w:rsid w:val="00F154E1"/>
    <w:rsid w:val="00F1554B"/>
    <w:rsid w:val="00F155DF"/>
    <w:rsid w:val="00F156D2"/>
    <w:rsid w:val="00F15807"/>
    <w:rsid w:val="00F158DB"/>
    <w:rsid w:val="00F1593B"/>
    <w:rsid w:val="00F15A06"/>
    <w:rsid w:val="00F15A26"/>
    <w:rsid w:val="00F15D31"/>
    <w:rsid w:val="00F15F89"/>
    <w:rsid w:val="00F16153"/>
    <w:rsid w:val="00F16232"/>
    <w:rsid w:val="00F16297"/>
    <w:rsid w:val="00F162A4"/>
    <w:rsid w:val="00F16378"/>
    <w:rsid w:val="00F1648D"/>
    <w:rsid w:val="00F164FB"/>
    <w:rsid w:val="00F1650F"/>
    <w:rsid w:val="00F16544"/>
    <w:rsid w:val="00F1661A"/>
    <w:rsid w:val="00F1668A"/>
    <w:rsid w:val="00F16811"/>
    <w:rsid w:val="00F1691A"/>
    <w:rsid w:val="00F169F1"/>
    <w:rsid w:val="00F16A0F"/>
    <w:rsid w:val="00F16A4C"/>
    <w:rsid w:val="00F16A6C"/>
    <w:rsid w:val="00F16ADB"/>
    <w:rsid w:val="00F16B75"/>
    <w:rsid w:val="00F16CE7"/>
    <w:rsid w:val="00F16CE8"/>
    <w:rsid w:val="00F16DB7"/>
    <w:rsid w:val="00F16E8B"/>
    <w:rsid w:val="00F16E9F"/>
    <w:rsid w:val="00F16ED6"/>
    <w:rsid w:val="00F16F8F"/>
    <w:rsid w:val="00F16FAC"/>
    <w:rsid w:val="00F16FCD"/>
    <w:rsid w:val="00F170AF"/>
    <w:rsid w:val="00F1714C"/>
    <w:rsid w:val="00F17150"/>
    <w:rsid w:val="00F17184"/>
    <w:rsid w:val="00F171B2"/>
    <w:rsid w:val="00F173A1"/>
    <w:rsid w:val="00F174A6"/>
    <w:rsid w:val="00F1750E"/>
    <w:rsid w:val="00F1750F"/>
    <w:rsid w:val="00F17604"/>
    <w:rsid w:val="00F1765F"/>
    <w:rsid w:val="00F1767D"/>
    <w:rsid w:val="00F176B3"/>
    <w:rsid w:val="00F17766"/>
    <w:rsid w:val="00F17799"/>
    <w:rsid w:val="00F1780F"/>
    <w:rsid w:val="00F178CB"/>
    <w:rsid w:val="00F179B1"/>
    <w:rsid w:val="00F17AA0"/>
    <w:rsid w:val="00F17BFD"/>
    <w:rsid w:val="00F17E8B"/>
    <w:rsid w:val="00F17EA4"/>
    <w:rsid w:val="00F17EB7"/>
    <w:rsid w:val="00F17FAD"/>
    <w:rsid w:val="00F20067"/>
    <w:rsid w:val="00F2019A"/>
    <w:rsid w:val="00F2019B"/>
    <w:rsid w:val="00F201D8"/>
    <w:rsid w:val="00F20254"/>
    <w:rsid w:val="00F202AF"/>
    <w:rsid w:val="00F20339"/>
    <w:rsid w:val="00F20380"/>
    <w:rsid w:val="00F203F1"/>
    <w:rsid w:val="00F20465"/>
    <w:rsid w:val="00F20552"/>
    <w:rsid w:val="00F205E2"/>
    <w:rsid w:val="00F20614"/>
    <w:rsid w:val="00F20778"/>
    <w:rsid w:val="00F207C4"/>
    <w:rsid w:val="00F2088E"/>
    <w:rsid w:val="00F208DB"/>
    <w:rsid w:val="00F20A69"/>
    <w:rsid w:val="00F20A6F"/>
    <w:rsid w:val="00F20B60"/>
    <w:rsid w:val="00F20C10"/>
    <w:rsid w:val="00F20C2B"/>
    <w:rsid w:val="00F20C5B"/>
    <w:rsid w:val="00F20E00"/>
    <w:rsid w:val="00F20F9D"/>
    <w:rsid w:val="00F210CA"/>
    <w:rsid w:val="00F21192"/>
    <w:rsid w:val="00F211EE"/>
    <w:rsid w:val="00F21237"/>
    <w:rsid w:val="00F212A1"/>
    <w:rsid w:val="00F212FD"/>
    <w:rsid w:val="00F2131F"/>
    <w:rsid w:val="00F2139F"/>
    <w:rsid w:val="00F213E4"/>
    <w:rsid w:val="00F214A6"/>
    <w:rsid w:val="00F214C9"/>
    <w:rsid w:val="00F21591"/>
    <w:rsid w:val="00F2163D"/>
    <w:rsid w:val="00F2163F"/>
    <w:rsid w:val="00F21651"/>
    <w:rsid w:val="00F21729"/>
    <w:rsid w:val="00F2179C"/>
    <w:rsid w:val="00F2179E"/>
    <w:rsid w:val="00F217A3"/>
    <w:rsid w:val="00F218D1"/>
    <w:rsid w:val="00F21B0B"/>
    <w:rsid w:val="00F21B27"/>
    <w:rsid w:val="00F21BCB"/>
    <w:rsid w:val="00F21BED"/>
    <w:rsid w:val="00F21CB7"/>
    <w:rsid w:val="00F21D9F"/>
    <w:rsid w:val="00F21E13"/>
    <w:rsid w:val="00F21E5C"/>
    <w:rsid w:val="00F21FCE"/>
    <w:rsid w:val="00F22055"/>
    <w:rsid w:val="00F22186"/>
    <w:rsid w:val="00F2225D"/>
    <w:rsid w:val="00F22268"/>
    <w:rsid w:val="00F2231C"/>
    <w:rsid w:val="00F22481"/>
    <w:rsid w:val="00F224AF"/>
    <w:rsid w:val="00F2256F"/>
    <w:rsid w:val="00F22619"/>
    <w:rsid w:val="00F2263C"/>
    <w:rsid w:val="00F2265D"/>
    <w:rsid w:val="00F22776"/>
    <w:rsid w:val="00F22820"/>
    <w:rsid w:val="00F2287C"/>
    <w:rsid w:val="00F22944"/>
    <w:rsid w:val="00F22A5E"/>
    <w:rsid w:val="00F22A6D"/>
    <w:rsid w:val="00F22AD5"/>
    <w:rsid w:val="00F22B77"/>
    <w:rsid w:val="00F22C6F"/>
    <w:rsid w:val="00F22CE0"/>
    <w:rsid w:val="00F22E47"/>
    <w:rsid w:val="00F22E64"/>
    <w:rsid w:val="00F22EA0"/>
    <w:rsid w:val="00F22F08"/>
    <w:rsid w:val="00F22FE7"/>
    <w:rsid w:val="00F23082"/>
    <w:rsid w:val="00F23090"/>
    <w:rsid w:val="00F23115"/>
    <w:rsid w:val="00F23261"/>
    <w:rsid w:val="00F23284"/>
    <w:rsid w:val="00F232AB"/>
    <w:rsid w:val="00F232CF"/>
    <w:rsid w:val="00F2332B"/>
    <w:rsid w:val="00F2348C"/>
    <w:rsid w:val="00F23494"/>
    <w:rsid w:val="00F234D7"/>
    <w:rsid w:val="00F234D8"/>
    <w:rsid w:val="00F23527"/>
    <w:rsid w:val="00F235E2"/>
    <w:rsid w:val="00F23619"/>
    <w:rsid w:val="00F236A9"/>
    <w:rsid w:val="00F2373F"/>
    <w:rsid w:val="00F237A7"/>
    <w:rsid w:val="00F238CF"/>
    <w:rsid w:val="00F2393B"/>
    <w:rsid w:val="00F239CB"/>
    <w:rsid w:val="00F23A6F"/>
    <w:rsid w:val="00F23B4C"/>
    <w:rsid w:val="00F23B9D"/>
    <w:rsid w:val="00F23C15"/>
    <w:rsid w:val="00F23C3D"/>
    <w:rsid w:val="00F23CC4"/>
    <w:rsid w:val="00F23D55"/>
    <w:rsid w:val="00F23DDD"/>
    <w:rsid w:val="00F23F99"/>
    <w:rsid w:val="00F24009"/>
    <w:rsid w:val="00F240D4"/>
    <w:rsid w:val="00F24115"/>
    <w:rsid w:val="00F24264"/>
    <w:rsid w:val="00F24307"/>
    <w:rsid w:val="00F2435D"/>
    <w:rsid w:val="00F24506"/>
    <w:rsid w:val="00F2458A"/>
    <w:rsid w:val="00F2461D"/>
    <w:rsid w:val="00F246DC"/>
    <w:rsid w:val="00F247CC"/>
    <w:rsid w:val="00F24829"/>
    <w:rsid w:val="00F24853"/>
    <w:rsid w:val="00F24858"/>
    <w:rsid w:val="00F249D2"/>
    <w:rsid w:val="00F24A70"/>
    <w:rsid w:val="00F24AD1"/>
    <w:rsid w:val="00F24C42"/>
    <w:rsid w:val="00F24D59"/>
    <w:rsid w:val="00F24D9A"/>
    <w:rsid w:val="00F24DA9"/>
    <w:rsid w:val="00F24E7F"/>
    <w:rsid w:val="00F24F7D"/>
    <w:rsid w:val="00F24F93"/>
    <w:rsid w:val="00F24FE0"/>
    <w:rsid w:val="00F25126"/>
    <w:rsid w:val="00F2514D"/>
    <w:rsid w:val="00F25156"/>
    <w:rsid w:val="00F2515A"/>
    <w:rsid w:val="00F25163"/>
    <w:rsid w:val="00F25180"/>
    <w:rsid w:val="00F251C1"/>
    <w:rsid w:val="00F251E6"/>
    <w:rsid w:val="00F25201"/>
    <w:rsid w:val="00F25411"/>
    <w:rsid w:val="00F254B3"/>
    <w:rsid w:val="00F255F8"/>
    <w:rsid w:val="00F2579A"/>
    <w:rsid w:val="00F25B39"/>
    <w:rsid w:val="00F25B96"/>
    <w:rsid w:val="00F25BB9"/>
    <w:rsid w:val="00F25C91"/>
    <w:rsid w:val="00F25E4A"/>
    <w:rsid w:val="00F25EDE"/>
    <w:rsid w:val="00F25F1D"/>
    <w:rsid w:val="00F25FB1"/>
    <w:rsid w:val="00F2602C"/>
    <w:rsid w:val="00F260B4"/>
    <w:rsid w:val="00F260DC"/>
    <w:rsid w:val="00F26176"/>
    <w:rsid w:val="00F261CD"/>
    <w:rsid w:val="00F261F8"/>
    <w:rsid w:val="00F26215"/>
    <w:rsid w:val="00F26253"/>
    <w:rsid w:val="00F26483"/>
    <w:rsid w:val="00F26607"/>
    <w:rsid w:val="00F2664A"/>
    <w:rsid w:val="00F26689"/>
    <w:rsid w:val="00F26715"/>
    <w:rsid w:val="00F26924"/>
    <w:rsid w:val="00F2696F"/>
    <w:rsid w:val="00F26A2A"/>
    <w:rsid w:val="00F26A37"/>
    <w:rsid w:val="00F26AD4"/>
    <w:rsid w:val="00F26BC3"/>
    <w:rsid w:val="00F26BFF"/>
    <w:rsid w:val="00F26C03"/>
    <w:rsid w:val="00F26CBE"/>
    <w:rsid w:val="00F26CC4"/>
    <w:rsid w:val="00F26D1F"/>
    <w:rsid w:val="00F26D42"/>
    <w:rsid w:val="00F26D64"/>
    <w:rsid w:val="00F26EB1"/>
    <w:rsid w:val="00F26F01"/>
    <w:rsid w:val="00F27183"/>
    <w:rsid w:val="00F27193"/>
    <w:rsid w:val="00F2745C"/>
    <w:rsid w:val="00F27527"/>
    <w:rsid w:val="00F2757E"/>
    <w:rsid w:val="00F2759F"/>
    <w:rsid w:val="00F27838"/>
    <w:rsid w:val="00F2788B"/>
    <w:rsid w:val="00F278C0"/>
    <w:rsid w:val="00F27930"/>
    <w:rsid w:val="00F279BD"/>
    <w:rsid w:val="00F27A10"/>
    <w:rsid w:val="00F27ADE"/>
    <w:rsid w:val="00F27C25"/>
    <w:rsid w:val="00F27C59"/>
    <w:rsid w:val="00F27C99"/>
    <w:rsid w:val="00F27CBF"/>
    <w:rsid w:val="00F27CD2"/>
    <w:rsid w:val="00F27D24"/>
    <w:rsid w:val="00F27D98"/>
    <w:rsid w:val="00F27E6F"/>
    <w:rsid w:val="00F27FED"/>
    <w:rsid w:val="00F3007C"/>
    <w:rsid w:val="00F301F5"/>
    <w:rsid w:val="00F3037C"/>
    <w:rsid w:val="00F3042A"/>
    <w:rsid w:val="00F306F4"/>
    <w:rsid w:val="00F308BB"/>
    <w:rsid w:val="00F308F8"/>
    <w:rsid w:val="00F3096A"/>
    <w:rsid w:val="00F30A0E"/>
    <w:rsid w:val="00F30ADB"/>
    <w:rsid w:val="00F30B39"/>
    <w:rsid w:val="00F30BF9"/>
    <w:rsid w:val="00F30C02"/>
    <w:rsid w:val="00F30C1B"/>
    <w:rsid w:val="00F30CAE"/>
    <w:rsid w:val="00F30DBD"/>
    <w:rsid w:val="00F30E18"/>
    <w:rsid w:val="00F30EE5"/>
    <w:rsid w:val="00F30EE7"/>
    <w:rsid w:val="00F30FA6"/>
    <w:rsid w:val="00F30FDA"/>
    <w:rsid w:val="00F31016"/>
    <w:rsid w:val="00F31025"/>
    <w:rsid w:val="00F3103D"/>
    <w:rsid w:val="00F310F2"/>
    <w:rsid w:val="00F31276"/>
    <w:rsid w:val="00F31384"/>
    <w:rsid w:val="00F314AE"/>
    <w:rsid w:val="00F315A8"/>
    <w:rsid w:val="00F31617"/>
    <w:rsid w:val="00F31633"/>
    <w:rsid w:val="00F31672"/>
    <w:rsid w:val="00F316B9"/>
    <w:rsid w:val="00F31717"/>
    <w:rsid w:val="00F3173C"/>
    <w:rsid w:val="00F3176B"/>
    <w:rsid w:val="00F3179D"/>
    <w:rsid w:val="00F317F9"/>
    <w:rsid w:val="00F31931"/>
    <w:rsid w:val="00F319DE"/>
    <w:rsid w:val="00F31A15"/>
    <w:rsid w:val="00F31A36"/>
    <w:rsid w:val="00F31A65"/>
    <w:rsid w:val="00F31B18"/>
    <w:rsid w:val="00F31B1E"/>
    <w:rsid w:val="00F31C66"/>
    <w:rsid w:val="00F31E4C"/>
    <w:rsid w:val="00F31E7B"/>
    <w:rsid w:val="00F31FE0"/>
    <w:rsid w:val="00F32027"/>
    <w:rsid w:val="00F3208C"/>
    <w:rsid w:val="00F320B9"/>
    <w:rsid w:val="00F320F7"/>
    <w:rsid w:val="00F3210F"/>
    <w:rsid w:val="00F32131"/>
    <w:rsid w:val="00F32161"/>
    <w:rsid w:val="00F321BA"/>
    <w:rsid w:val="00F321F9"/>
    <w:rsid w:val="00F32258"/>
    <w:rsid w:val="00F3230B"/>
    <w:rsid w:val="00F32315"/>
    <w:rsid w:val="00F32320"/>
    <w:rsid w:val="00F3234A"/>
    <w:rsid w:val="00F3241F"/>
    <w:rsid w:val="00F32431"/>
    <w:rsid w:val="00F32490"/>
    <w:rsid w:val="00F3262F"/>
    <w:rsid w:val="00F32771"/>
    <w:rsid w:val="00F327A5"/>
    <w:rsid w:val="00F327AC"/>
    <w:rsid w:val="00F32952"/>
    <w:rsid w:val="00F329D4"/>
    <w:rsid w:val="00F32A65"/>
    <w:rsid w:val="00F32A7B"/>
    <w:rsid w:val="00F32B4E"/>
    <w:rsid w:val="00F32C9E"/>
    <w:rsid w:val="00F32CD6"/>
    <w:rsid w:val="00F32F68"/>
    <w:rsid w:val="00F32FD9"/>
    <w:rsid w:val="00F32FF4"/>
    <w:rsid w:val="00F331D3"/>
    <w:rsid w:val="00F3322E"/>
    <w:rsid w:val="00F3325B"/>
    <w:rsid w:val="00F33297"/>
    <w:rsid w:val="00F332E4"/>
    <w:rsid w:val="00F3340E"/>
    <w:rsid w:val="00F33419"/>
    <w:rsid w:val="00F335A5"/>
    <w:rsid w:val="00F33889"/>
    <w:rsid w:val="00F338F9"/>
    <w:rsid w:val="00F33916"/>
    <w:rsid w:val="00F3393E"/>
    <w:rsid w:val="00F33BDF"/>
    <w:rsid w:val="00F33C1D"/>
    <w:rsid w:val="00F33C9E"/>
    <w:rsid w:val="00F33D13"/>
    <w:rsid w:val="00F33DC8"/>
    <w:rsid w:val="00F33E75"/>
    <w:rsid w:val="00F33F2F"/>
    <w:rsid w:val="00F34069"/>
    <w:rsid w:val="00F34106"/>
    <w:rsid w:val="00F34110"/>
    <w:rsid w:val="00F341C1"/>
    <w:rsid w:val="00F341DE"/>
    <w:rsid w:val="00F343F8"/>
    <w:rsid w:val="00F34622"/>
    <w:rsid w:val="00F34630"/>
    <w:rsid w:val="00F34667"/>
    <w:rsid w:val="00F34686"/>
    <w:rsid w:val="00F347DA"/>
    <w:rsid w:val="00F3488B"/>
    <w:rsid w:val="00F34B99"/>
    <w:rsid w:val="00F34BD9"/>
    <w:rsid w:val="00F34BE8"/>
    <w:rsid w:val="00F34D5E"/>
    <w:rsid w:val="00F34ED6"/>
    <w:rsid w:val="00F35128"/>
    <w:rsid w:val="00F351A7"/>
    <w:rsid w:val="00F35224"/>
    <w:rsid w:val="00F3532F"/>
    <w:rsid w:val="00F35421"/>
    <w:rsid w:val="00F3544C"/>
    <w:rsid w:val="00F35490"/>
    <w:rsid w:val="00F354AB"/>
    <w:rsid w:val="00F354ED"/>
    <w:rsid w:val="00F35545"/>
    <w:rsid w:val="00F355AE"/>
    <w:rsid w:val="00F355D0"/>
    <w:rsid w:val="00F358DE"/>
    <w:rsid w:val="00F35ADE"/>
    <w:rsid w:val="00F35B5F"/>
    <w:rsid w:val="00F35CE9"/>
    <w:rsid w:val="00F35D0A"/>
    <w:rsid w:val="00F35FA6"/>
    <w:rsid w:val="00F35FD2"/>
    <w:rsid w:val="00F36037"/>
    <w:rsid w:val="00F36067"/>
    <w:rsid w:val="00F36097"/>
    <w:rsid w:val="00F3615A"/>
    <w:rsid w:val="00F36208"/>
    <w:rsid w:val="00F36246"/>
    <w:rsid w:val="00F36282"/>
    <w:rsid w:val="00F3628F"/>
    <w:rsid w:val="00F362D1"/>
    <w:rsid w:val="00F36358"/>
    <w:rsid w:val="00F3637D"/>
    <w:rsid w:val="00F363F0"/>
    <w:rsid w:val="00F36477"/>
    <w:rsid w:val="00F3647D"/>
    <w:rsid w:val="00F36515"/>
    <w:rsid w:val="00F3668D"/>
    <w:rsid w:val="00F368C9"/>
    <w:rsid w:val="00F36919"/>
    <w:rsid w:val="00F36A7E"/>
    <w:rsid w:val="00F36AFE"/>
    <w:rsid w:val="00F36BEC"/>
    <w:rsid w:val="00F36CC6"/>
    <w:rsid w:val="00F36CF7"/>
    <w:rsid w:val="00F36E28"/>
    <w:rsid w:val="00F36E4B"/>
    <w:rsid w:val="00F36EF3"/>
    <w:rsid w:val="00F36F26"/>
    <w:rsid w:val="00F36F71"/>
    <w:rsid w:val="00F36FB9"/>
    <w:rsid w:val="00F370A0"/>
    <w:rsid w:val="00F370E8"/>
    <w:rsid w:val="00F370EE"/>
    <w:rsid w:val="00F37260"/>
    <w:rsid w:val="00F37342"/>
    <w:rsid w:val="00F3734C"/>
    <w:rsid w:val="00F37369"/>
    <w:rsid w:val="00F37396"/>
    <w:rsid w:val="00F3744C"/>
    <w:rsid w:val="00F374B7"/>
    <w:rsid w:val="00F374DA"/>
    <w:rsid w:val="00F3753A"/>
    <w:rsid w:val="00F375AC"/>
    <w:rsid w:val="00F375E0"/>
    <w:rsid w:val="00F375F7"/>
    <w:rsid w:val="00F37621"/>
    <w:rsid w:val="00F376A4"/>
    <w:rsid w:val="00F376BC"/>
    <w:rsid w:val="00F37741"/>
    <w:rsid w:val="00F377E1"/>
    <w:rsid w:val="00F37854"/>
    <w:rsid w:val="00F378A9"/>
    <w:rsid w:val="00F378FE"/>
    <w:rsid w:val="00F379E1"/>
    <w:rsid w:val="00F37BE8"/>
    <w:rsid w:val="00F37BFB"/>
    <w:rsid w:val="00F37C5E"/>
    <w:rsid w:val="00F37D83"/>
    <w:rsid w:val="00F37D86"/>
    <w:rsid w:val="00F37D95"/>
    <w:rsid w:val="00F37DD3"/>
    <w:rsid w:val="00F37DFB"/>
    <w:rsid w:val="00F37EAD"/>
    <w:rsid w:val="00F37F94"/>
    <w:rsid w:val="00F37FBA"/>
    <w:rsid w:val="00F40146"/>
    <w:rsid w:val="00F40186"/>
    <w:rsid w:val="00F40226"/>
    <w:rsid w:val="00F4030A"/>
    <w:rsid w:val="00F403F4"/>
    <w:rsid w:val="00F40479"/>
    <w:rsid w:val="00F404DB"/>
    <w:rsid w:val="00F40595"/>
    <w:rsid w:val="00F4061B"/>
    <w:rsid w:val="00F4065B"/>
    <w:rsid w:val="00F406CE"/>
    <w:rsid w:val="00F4071F"/>
    <w:rsid w:val="00F40741"/>
    <w:rsid w:val="00F407BA"/>
    <w:rsid w:val="00F407E9"/>
    <w:rsid w:val="00F408FF"/>
    <w:rsid w:val="00F40989"/>
    <w:rsid w:val="00F409B5"/>
    <w:rsid w:val="00F40C25"/>
    <w:rsid w:val="00F40C8D"/>
    <w:rsid w:val="00F40CCC"/>
    <w:rsid w:val="00F40CED"/>
    <w:rsid w:val="00F40E7E"/>
    <w:rsid w:val="00F40F29"/>
    <w:rsid w:val="00F40FB1"/>
    <w:rsid w:val="00F40FB8"/>
    <w:rsid w:val="00F40FF8"/>
    <w:rsid w:val="00F41016"/>
    <w:rsid w:val="00F411D7"/>
    <w:rsid w:val="00F41370"/>
    <w:rsid w:val="00F41385"/>
    <w:rsid w:val="00F414A6"/>
    <w:rsid w:val="00F41527"/>
    <w:rsid w:val="00F415F7"/>
    <w:rsid w:val="00F415FF"/>
    <w:rsid w:val="00F4165A"/>
    <w:rsid w:val="00F41670"/>
    <w:rsid w:val="00F4170D"/>
    <w:rsid w:val="00F41934"/>
    <w:rsid w:val="00F41AB1"/>
    <w:rsid w:val="00F41BEB"/>
    <w:rsid w:val="00F41C05"/>
    <w:rsid w:val="00F41CA9"/>
    <w:rsid w:val="00F41D9B"/>
    <w:rsid w:val="00F41E34"/>
    <w:rsid w:val="00F41EA1"/>
    <w:rsid w:val="00F41EBE"/>
    <w:rsid w:val="00F41F16"/>
    <w:rsid w:val="00F41F42"/>
    <w:rsid w:val="00F41FFF"/>
    <w:rsid w:val="00F42195"/>
    <w:rsid w:val="00F4227A"/>
    <w:rsid w:val="00F422A7"/>
    <w:rsid w:val="00F422D9"/>
    <w:rsid w:val="00F422E7"/>
    <w:rsid w:val="00F42353"/>
    <w:rsid w:val="00F423B8"/>
    <w:rsid w:val="00F42425"/>
    <w:rsid w:val="00F42448"/>
    <w:rsid w:val="00F424C9"/>
    <w:rsid w:val="00F42663"/>
    <w:rsid w:val="00F426AD"/>
    <w:rsid w:val="00F42738"/>
    <w:rsid w:val="00F427C5"/>
    <w:rsid w:val="00F42824"/>
    <w:rsid w:val="00F42872"/>
    <w:rsid w:val="00F428B7"/>
    <w:rsid w:val="00F428FB"/>
    <w:rsid w:val="00F42A3A"/>
    <w:rsid w:val="00F42B0B"/>
    <w:rsid w:val="00F42B0F"/>
    <w:rsid w:val="00F42B1D"/>
    <w:rsid w:val="00F42CA6"/>
    <w:rsid w:val="00F42CAE"/>
    <w:rsid w:val="00F42D70"/>
    <w:rsid w:val="00F42D76"/>
    <w:rsid w:val="00F42DF2"/>
    <w:rsid w:val="00F42E0C"/>
    <w:rsid w:val="00F42EE1"/>
    <w:rsid w:val="00F42F28"/>
    <w:rsid w:val="00F42FDE"/>
    <w:rsid w:val="00F43100"/>
    <w:rsid w:val="00F43179"/>
    <w:rsid w:val="00F43212"/>
    <w:rsid w:val="00F433B1"/>
    <w:rsid w:val="00F433F4"/>
    <w:rsid w:val="00F433FE"/>
    <w:rsid w:val="00F43401"/>
    <w:rsid w:val="00F4340A"/>
    <w:rsid w:val="00F4345C"/>
    <w:rsid w:val="00F43533"/>
    <w:rsid w:val="00F43580"/>
    <w:rsid w:val="00F435AF"/>
    <w:rsid w:val="00F43706"/>
    <w:rsid w:val="00F43834"/>
    <w:rsid w:val="00F438C1"/>
    <w:rsid w:val="00F43940"/>
    <w:rsid w:val="00F439B4"/>
    <w:rsid w:val="00F43ACD"/>
    <w:rsid w:val="00F43B84"/>
    <w:rsid w:val="00F43C75"/>
    <w:rsid w:val="00F43D3A"/>
    <w:rsid w:val="00F43E7B"/>
    <w:rsid w:val="00F43F20"/>
    <w:rsid w:val="00F43F2D"/>
    <w:rsid w:val="00F4403A"/>
    <w:rsid w:val="00F44293"/>
    <w:rsid w:val="00F442B8"/>
    <w:rsid w:val="00F44338"/>
    <w:rsid w:val="00F443F5"/>
    <w:rsid w:val="00F443FB"/>
    <w:rsid w:val="00F446B0"/>
    <w:rsid w:val="00F446E1"/>
    <w:rsid w:val="00F4477A"/>
    <w:rsid w:val="00F44783"/>
    <w:rsid w:val="00F44802"/>
    <w:rsid w:val="00F448EE"/>
    <w:rsid w:val="00F4490B"/>
    <w:rsid w:val="00F44977"/>
    <w:rsid w:val="00F449CE"/>
    <w:rsid w:val="00F44A3E"/>
    <w:rsid w:val="00F44A76"/>
    <w:rsid w:val="00F44B54"/>
    <w:rsid w:val="00F44C94"/>
    <w:rsid w:val="00F44E06"/>
    <w:rsid w:val="00F44EB9"/>
    <w:rsid w:val="00F44FDA"/>
    <w:rsid w:val="00F45034"/>
    <w:rsid w:val="00F45061"/>
    <w:rsid w:val="00F4506F"/>
    <w:rsid w:val="00F450C8"/>
    <w:rsid w:val="00F450CA"/>
    <w:rsid w:val="00F45136"/>
    <w:rsid w:val="00F4518C"/>
    <w:rsid w:val="00F451B3"/>
    <w:rsid w:val="00F4531B"/>
    <w:rsid w:val="00F45415"/>
    <w:rsid w:val="00F454C5"/>
    <w:rsid w:val="00F455D0"/>
    <w:rsid w:val="00F455F6"/>
    <w:rsid w:val="00F45619"/>
    <w:rsid w:val="00F456FA"/>
    <w:rsid w:val="00F4579E"/>
    <w:rsid w:val="00F4581D"/>
    <w:rsid w:val="00F45846"/>
    <w:rsid w:val="00F458E4"/>
    <w:rsid w:val="00F45944"/>
    <w:rsid w:val="00F45A47"/>
    <w:rsid w:val="00F45A72"/>
    <w:rsid w:val="00F45A88"/>
    <w:rsid w:val="00F45B0A"/>
    <w:rsid w:val="00F45C3D"/>
    <w:rsid w:val="00F45CFD"/>
    <w:rsid w:val="00F45D04"/>
    <w:rsid w:val="00F45E1B"/>
    <w:rsid w:val="00F45E6C"/>
    <w:rsid w:val="00F45E90"/>
    <w:rsid w:val="00F45EF5"/>
    <w:rsid w:val="00F45F14"/>
    <w:rsid w:val="00F45F1E"/>
    <w:rsid w:val="00F45FE8"/>
    <w:rsid w:val="00F46056"/>
    <w:rsid w:val="00F46225"/>
    <w:rsid w:val="00F46249"/>
    <w:rsid w:val="00F462BD"/>
    <w:rsid w:val="00F462DE"/>
    <w:rsid w:val="00F46361"/>
    <w:rsid w:val="00F46386"/>
    <w:rsid w:val="00F463EE"/>
    <w:rsid w:val="00F463EF"/>
    <w:rsid w:val="00F4649A"/>
    <w:rsid w:val="00F46546"/>
    <w:rsid w:val="00F46612"/>
    <w:rsid w:val="00F46756"/>
    <w:rsid w:val="00F467C8"/>
    <w:rsid w:val="00F4686A"/>
    <w:rsid w:val="00F469E2"/>
    <w:rsid w:val="00F46B5F"/>
    <w:rsid w:val="00F46B72"/>
    <w:rsid w:val="00F46BC8"/>
    <w:rsid w:val="00F46D14"/>
    <w:rsid w:val="00F46D1B"/>
    <w:rsid w:val="00F46E57"/>
    <w:rsid w:val="00F46F50"/>
    <w:rsid w:val="00F46F8C"/>
    <w:rsid w:val="00F46FC9"/>
    <w:rsid w:val="00F46FDA"/>
    <w:rsid w:val="00F47031"/>
    <w:rsid w:val="00F4706E"/>
    <w:rsid w:val="00F470C8"/>
    <w:rsid w:val="00F471A2"/>
    <w:rsid w:val="00F471D2"/>
    <w:rsid w:val="00F471D6"/>
    <w:rsid w:val="00F471EE"/>
    <w:rsid w:val="00F47202"/>
    <w:rsid w:val="00F47247"/>
    <w:rsid w:val="00F472AD"/>
    <w:rsid w:val="00F4733E"/>
    <w:rsid w:val="00F473CA"/>
    <w:rsid w:val="00F47455"/>
    <w:rsid w:val="00F474CE"/>
    <w:rsid w:val="00F47515"/>
    <w:rsid w:val="00F4751B"/>
    <w:rsid w:val="00F47551"/>
    <w:rsid w:val="00F47622"/>
    <w:rsid w:val="00F4765E"/>
    <w:rsid w:val="00F476B8"/>
    <w:rsid w:val="00F476FE"/>
    <w:rsid w:val="00F47707"/>
    <w:rsid w:val="00F477F8"/>
    <w:rsid w:val="00F4785B"/>
    <w:rsid w:val="00F47885"/>
    <w:rsid w:val="00F478B8"/>
    <w:rsid w:val="00F4793C"/>
    <w:rsid w:val="00F47942"/>
    <w:rsid w:val="00F47955"/>
    <w:rsid w:val="00F479C3"/>
    <w:rsid w:val="00F47A4E"/>
    <w:rsid w:val="00F47AA8"/>
    <w:rsid w:val="00F47ABE"/>
    <w:rsid w:val="00F47B20"/>
    <w:rsid w:val="00F47B62"/>
    <w:rsid w:val="00F47C06"/>
    <w:rsid w:val="00F47C14"/>
    <w:rsid w:val="00F47C45"/>
    <w:rsid w:val="00F47C5E"/>
    <w:rsid w:val="00F47D23"/>
    <w:rsid w:val="00F47E31"/>
    <w:rsid w:val="00F47EE2"/>
    <w:rsid w:val="00F47F5D"/>
    <w:rsid w:val="00F50286"/>
    <w:rsid w:val="00F50289"/>
    <w:rsid w:val="00F505D8"/>
    <w:rsid w:val="00F505E2"/>
    <w:rsid w:val="00F5065C"/>
    <w:rsid w:val="00F5072A"/>
    <w:rsid w:val="00F507DE"/>
    <w:rsid w:val="00F508D2"/>
    <w:rsid w:val="00F50A10"/>
    <w:rsid w:val="00F50A36"/>
    <w:rsid w:val="00F50BEC"/>
    <w:rsid w:val="00F50C4A"/>
    <w:rsid w:val="00F50C9D"/>
    <w:rsid w:val="00F50D92"/>
    <w:rsid w:val="00F50EE3"/>
    <w:rsid w:val="00F50FDA"/>
    <w:rsid w:val="00F5101E"/>
    <w:rsid w:val="00F51142"/>
    <w:rsid w:val="00F511DF"/>
    <w:rsid w:val="00F5120F"/>
    <w:rsid w:val="00F513E2"/>
    <w:rsid w:val="00F514D0"/>
    <w:rsid w:val="00F51657"/>
    <w:rsid w:val="00F516B7"/>
    <w:rsid w:val="00F516D6"/>
    <w:rsid w:val="00F51717"/>
    <w:rsid w:val="00F51747"/>
    <w:rsid w:val="00F51862"/>
    <w:rsid w:val="00F518B1"/>
    <w:rsid w:val="00F51AC8"/>
    <w:rsid w:val="00F51AE9"/>
    <w:rsid w:val="00F51B84"/>
    <w:rsid w:val="00F51D18"/>
    <w:rsid w:val="00F51D7A"/>
    <w:rsid w:val="00F51D87"/>
    <w:rsid w:val="00F51E06"/>
    <w:rsid w:val="00F51EF5"/>
    <w:rsid w:val="00F52084"/>
    <w:rsid w:val="00F52091"/>
    <w:rsid w:val="00F520DE"/>
    <w:rsid w:val="00F52109"/>
    <w:rsid w:val="00F5210E"/>
    <w:rsid w:val="00F52227"/>
    <w:rsid w:val="00F52262"/>
    <w:rsid w:val="00F52484"/>
    <w:rsid w:val="00F524CA"/>
    <w:rsid w:val="00F524CC"/>
    <w:rsid w:val="00F524DC"/>
    <w:rsid w:val="00F524FF"/>
    <w:rsid w:val="00F525B0"/>
    <w:rsid w:val="00F52682"/>
    <w:rsid w:val="00F5269F"/>
    <w:rsid w:val="00F526D6"/>
    <w:rsid w:val="00F52732"/>
    <w:rsid w:val="00F528CF"/>
    <w:rsid w:val="00F528D4"/>
    <w:rsid w:val="00F52954"/>
    <w:rsid w:val="00F52A94"/>
    <w:rsid w:val="00F52B84"/>
    <w:rsid w:val="00F52D15"/>
    <w:rsid w:val="00F52D51"/>
    <w:rsid w:val="00F52D9E"/>
    <w:rsid w:val="00F52E5C"/>
    <w:rsid w:val="00F52E5E"/>
    <w:rsid w:val="00F52EC3"/>
    <w:rsid w:val="00F52EFA"/>
    <w:rsid w:val="00F52F28"/>
    <w:rsid w:val="00F52F74"/>
    <w:rsid w:val="00F53062"/>
    <w:rsid w:val="00F5313C"/>
    <w:rsid w:val="00F5322A"/>
    <w:rsid w:val="00F532C1"/>
    <w:rsid w:val="00F532E9"/>
    <w:rsid w:val="00F5331F"/>
    <w:rsid w:val="00F533AB"/>
    <w:rsid w:val="00F5343B"/>
    <w:rsid w:val="00F53461"/>
    <w:rsid w:val="00F53520"/>
    <w:rsid w:val="00F53570"/>
    <w:rsid w:val="00F53612"/>
    <w:rsid w:val="00F53683"/>
    <w:rsid w:val="00F5369A"/>
    <w:rsid w:val="00F53715"/>
    <w:rsid w:val="00F537AF"/>
    <w:rsid w:val="00F538B6"/>
    <w:rsid w:val="00F5392C"/>
    <w:rsid w:val="00F53B4A"/>
    <w:rsid w:val="00F53CCA"/>
    <w:rsid w:val="00F53D5B"/>
    <w:rsid w:val="00F53E7F"/>
    <w:rsid w:val="00F53F45"/>
    <w:rsid w:val="00F5401F"/>
    <w:rsid w:val="00F5403E"/>
    <w:rsid w:val="00F54054"/>
    <w:rsid w:val="00F5414B"/>
    <w:rsid w:val="00F5416E"/>
    <w:rsid w:val="00F54206"/>
    <w:rsid w:val="00F5429D"/>
    <w:rsid w:val="00F542BF"/>
    <w:rsid w:val="00F542FC"/>
    <w:rsid w:val="00F54395"/>
    <w:rsid w:val="00F5439E"/>
    <w:rsid w:val="00F544D4"/>
    <w:rsid w:val="00F54565"/>
    <w:rsid w:val="00F54597"/>
    <w:rsid w:val="00F545CD"/>
    <w:rsid w:val="00F5469B"/>
    <w:rsid w:val="00F546F5"/>
    <w:rsid w:val="00F54740"/>
    <w:rsid w:val="00F54759"/>
    <w:rsid w:val="00F547D9"/>
    <w:rsid w:val="00F54831"/>
    <w:rsid w:val="00F5484D"/>
    <w:rsid w:val="00F548B8"/>
    <w:rsid w:val="00F548C7"/>
    <w:rsid w:val="00F548CB"/>
    <w:rsid w:val="00F54948"/>
    <w:rsid w:val="00F54960"/>
    <w:rsid w:val="00F549AA"/>
    <w:rsid w:val="00F54A17"/>
    <w:rsid w:val="00F54C26"/>
    <w:rsid w:val="00F54D4A"/>
    <w:rsid w:val="00F54DD6"/>
    <w:rsid w:val="00F54EEB"/>
    <w:rsid w:val="00F54FA2"/>
    <w:rsid w:val="00F5518A"/>
    <w:rsid w:val="00F552C4"/>
    <w:rsid w:val="00F55345"/>
    <w:rsid w:val="00F55384"/>
    <w:rsid w:val="00F5551B"/>
    <w:rsid w:val="00F556BB"/>
    <w:rsid w:val="00F5575D"/>
    <w:rsid w:val="00F557B5"/>
    <w:rsid w:val="00F557E8"/>
    <w:rsid w:val="00F55852"/>
    <w:rsid w:val="00F558EC"/>
    <w:rsid w:val="00F559D9"/>
    <w:rsid w:val="00F55ABC"/>
    <w:rsid w:val="00F55B64"/>
    <w:rsid w:val="00F55BF6"/>
    <w:rsid w:val="00F55D11"/>
    <w:rsid w:val="00F55E2C"/>
    <w:rsid w:val="00F55EB8"/>
    <w:rsid w:val="00F55F31"/>
    <w:rsid w:val="00F56011"/>
    <w:rsid w:val="00F56054"/>
    <w:rsid w:val="00F5608C"/>
    <w:rsid w:val="00F560DB"/>
    <w:rsid w:val="00F5617F"/>
    <w:rsid w:val="00F561F0"/>
    <w:rsid w:val="00F56300"/>
    <w:rsid w:val="00F5636E"/>
    <w:rsid w:val="00F56392"/>
    <w:rsid w:val="00F5644F"/>
    <w:rsid w:val="00F5655B"/>
    <w:rsid w:val="00F56595"/>
    <w:rsid w:val="00F56619"/>
    <w:rsid w:val="00F56632"/>
    <w:rsid w:val="00F567A3"/>
    <w:rsid w:val="00F5683A"/>
    <w:rsid w:val="00F56AC7"/>
    <w:rsid w:val="00F56BF6"/>
    <w:rsid w:val="00F56BFE"/>
    <w:rsid w:val="00F56C50"/>
    <w:rsid w:val="00F56C7C"/>
    <w:rsid w:val="00F56CA3"/>
    <w:rsid w:val="00F56D0D"/>
    <w:rsid w:val="00F56D93"/>
    <w:rsid w:val="00F56DEA"/>
    <w:rsid w:val="00F56E3C"/>
    <w:rsid w:val="00F56E41"/>
    <w:rsid w:val="00F56EB8"/>
    <w:rsid w:val="00F56ED7"/>
    <w:rsid w:val="00F57006"/>
    <w:rsid w:val="00F571F5"/>
    <w:rsid w:val="00F572CC"/>
    <w:rsid w:val="00F5730C"/>
    <w:rsid w:val="00F57454"/>
    <w:rsid w:val="00F5757E"/>
    <w:rsid w:val="00F5758A"/>
    <w:rsid w:val="00F5766F"/>
    <w:rsid w:val="00F576D0"/>
    <w:rsid w:val="00F577B7"/>
    <w:rsid w:val="00F5780B"/>
    <w:rsid w:val="00F57906"/>
    <w:rsid w:val="00F57930"/>
    <w:rsid w:val="00F57A25"/>
    <w:rsid w:val="00F57A3D"/>
    <w:rsid w:val="00F57A56"/>
    <w:rsid w:val="00F57C3F"/>
    <w:rsid w:val="00F57C66"/>
    <w:rsid w:val="00F57DC1"/>
    <w:rsid w:val="00F57DEF"/>
    <w:rsid w:val="00F57EFF"/>
    <w:rsid w:val="00F57F37"/>
    <w:rsid w:val="00F57F7B"/>
    <w:rsid w:val="00F57FE5"/>
    <w:rsid w:val="00F57FF0"/>
    <w:rsid w:val="00F600E9"/>
    <w:rsid w:val="00F601EE"/>
    <w:rsid w:val="00F60316"/>
    <w:rsid w:val="00F603D9"/>
    <w:rsid w:val="00F604CA"/>
    <w:rsid w:val="00F605D9"/>
    <w:rsid w:val="00F60683"/>
    <w:rsid w:val="00F6086F"/>
    <w:rsid w:val="00F60A2C"/>
    <w:rsid w:val="00F60A92"/>
    <w:rsid w:val="00F60B8F"/>
    <w:rsid w:val="00F60C2F"/>
    <w:rsid w:val="00F60D37"/>
    <w:rsid w:val="00F60F27"/>
    <w:rsid w:val="00F60F29"/>
    <w:rsid w:val="00F6115D"/>
    <w:rsid w:val="00F611B1"/>
    <w:rsid w:val="00F61290"/>
    <w:rsid w:val="00F612F8"/>
    <w:rsid w:val="00F61349"/>
    <w:rsid w:val="00F6136A"/>
    <w:rsid w:val="00F61544"/>
    <w:rsid w:val="00F61593"/>
    <w:rsid w:val="00F616AD"/>
    <w:rsid w:val="00F61731"/>
    <w:rsid w:val="00F6179F"/>
    <w:rsid w:val="00F617CC"/>
    <w:rsid w:val="00F6187C"/>
    <w:rsid w:val="00F618A0"/>
    <w:rsid w:val="00F618C7"/>
    <w:rsid w:val="00F618E3"/>
    <w:rsid w:val="00F61949"/>
    <w:rsid w:val="00F61ACE"/>
    <w:rsid w:val="00F61C67"/>
    <w:rsid w:val="00F61D3E"/>
    <w:rsid w:val="00F61F04"/>
    <w:rsid w:val="00F61F1F"/>
    <w:rsid w:val="00F61F39"/>
    <w:rsid w:val="00F61F89"/>
    <w:rsid w:val="00F62144"/>
    <w:rsid w:val="00F621ED"/>
    <w:rsid w:val="00F62347"/>
    <w:rsid w:val="00F623AD"/>
    <w:rsid w:val="00F623C5"/>
    <w:rsid w:val="00F6240D"/>
    <w:rsid w:val="00F62584"/>
    <w:rsid w:val="00F62623"/>
    <w:rsid w:val="00F62716"/>
    <w:rsid w:val="00F627FC"/>
    <w:rsid w:val="00F6280F"/>
    <w:rsid w:val="00F62933"/>
    <w:rsid w:val="00F629C9"/>
    <w:rsid w:val="00F62A2A"/>
    <w:rsid w:val="00F62A7C"/>
    <w:rsid w:val="00F62E12"/>
    <w:rsid w:val="00F62EFD"/>
    <w:rsid w:val="00F62F91"/>
    <w:rsid w:val="00F62FE0"/>
    <w:rsid w:val="00F63095"/>
    <w:rsid w:val="00F630FA"/>
    <w:rsid w:val="00F631C5"/>
    <w:rsid w:val="00F63271"/>
    <w:rsid w:val="00F632CA"/>
    <w:rsid w:val="00F632F3"/>
    <w:rsid w:val="00F63307"/>
    <w:rsid w:val="00F63367"/>
    <w:rsid w:val="00F63403"/>
    <w:rsid w:val="00F634CF"/>
    <w:rsid w:val="00F63510"/>
    <w:rsid w:val="00F635AA"/>
    <w:rsid w:val="00F635E4"/>
    <w:rsid w:val="00F63631"/>
    <w:rsid w:val="00F63918"/>
    <w:rsid w:val="00F6392F"/>
    <w:rsid w:val="00F639DB"/>
    <w:rsid w:val="00F639DC"/>
    <w:rsid w:val="00F639E1"/>
    <w:rsid w:val="00F63B6B"/>
    <w:rsid w:val="00F63C29"/>
    <w:rsid w:val="00F63C78"/>
    <w:rsid w:val="00F63CBF"/>
    <w:rsid w:val="00F63ECD"/>
    <w:rsid w:val="00F63F02"/>
    <w:rsid w:val="00F63F35"/>
    <w:rsid w:val="00F64034"/>
    <w:rsid w:val="00F64053"/>
    <w:rsid w:val="00F64132"/>
    <w:rsid w:val="00F6419C"/>
    <w:rsid w:val="00F64269"/>
    <w:rsid w:val="00F643D2"/>
    <w:rsid w:val="00F643D9"/>
    <w:rsid w:val="00F643F2"/>
    <w:rsid w:val="00F644CC"/>
    <w:rsid w:val="00F6453F"/>
    <w:rsid w:val="00F64542"/>
    <w:rsid w:val="00F6463A"/>
    <w:rsid w:val="00F646CA"/>
    <w:rsid w:val="00F64730"/>
    <w:rsid w:val="00F64741"/>
    <w:rsid w:val="00F6477D"/>
    <w:rsid w:val="00F649AA"/>
    <w:rsid w:val="00F649C4"/>
    <w:rsid w:val="00F64A0F"/>
    <w:rsid w:val="00F64B30"/>
    <w:rsid w:val="00F64CD5"/>
    <w:rsid w:val="00F64CF1"/>
    <w:rsid w:val="00F64D6A"/>
    <w:rsid w:val="00F64DBD"/>
    <w:rsid w:val="00F64EF6"/>
    <w:rsid w:val="00F64F0A"/>
    <w:rsid w:val="00F64F3E"/>
    <w:rsid w:val="00F64FC7"/>
    <w:rsid w:val="00F65002"/>
    <w:rsid w:val="00F650CB"/>
    <w:rsid w:val="00F65147"/>
    <w:rsid w:val="00F65250"/>
    <w:rsid w:val="00F652C8"/>
    <w:rsid w:val="00F652F3"/>
    <w:rsid w:val="00F65308"/>
    <w:rsid w:val="00F65433"/>
    <w:rsid w:val="00F654BB"/>
    <w:rsid w:val="00F65716"/>
    <w:rsid w:val="00F65759"/>
    <w:rsid w:val="00F6590A"/>
    <w:rsid w:val="00F6594E"/>
    <w:rsid w:val="00F65AA0"/>
    <w:rsid w:val="00F65AB2"/>
    <w:rsid w:val="00F65AD3"/>
    <w:rsid w:val="00F65C0A"/>
    <w:rsid w:val="00F65C90"/>
    <w:rsid w:val="00F65C99"/>
    <w:rsid w:val="00F65D29"/>
    <w:rsid w:val="00F65DD3"/>
    <w:rsid w:val="00F65DDF"/>
    <w:rsid w:val="00F65E16"/>
    <w:rsid w:val="00F65E3E"/>
    <w:rsid w:val="00F65FE0"/>
    <w:rsid w:val="00F6603C"/>
    <w:rsid w:val="00F6604E"/>
    <w:rsid w:val="00F662C9"/>
    <w:rsid w:val="00F662D2"/>
    <w:rsid w:val="00F662E8"/>
    <w:rsid w:val="00F6639E"/>
    <w:rsid w:val="00F663B0"/>
    <w:rsid w:val="00F663DA"/>
    <w:rsid w:val="00F664D3"/>
    <w:rsid w:val="00F66553"/>
    <w:rsid w:val="00F66732"/>
    <w:rsid w:val="00F667D1"/>
    <w:rsid w:val="00F66883"/>
    <w:rsid w:val="00F668B5"/>
    <w:rsid w:val="00F66919"/>
    <w:rsid w:val="00F6691C"/>
    <w:rsid w:val="00F669B2"/>
    <w:rsid w:val="00F66B10"/>
    <w:rsid w:val="00F66B1E"/>
    <w:rsid w:val="00F66BBF"/>
    <w:rsid w:val="00F66D4D"/>
    <w:rsid w:val="00F66DE4"/>
    <w:rsid w:val="00F66F9D"/>
    <w:rsid w:val="00F671D2"/>
    <w:rsid w:val="00F671D5"/>
    <w:rsid w:val="00F6720E"/>
    <w:rsid w:val="00F672C1"/>
    <w:rsid w:val="00F673BE"/>
    <w:rsid w:val="00F67460"/>
    <w:rsid w:val="00F675AA"/>
    <w:rsid w:val="00F675EF"/>
    <w:rsid w:val="00F67603"/>
    <w:rsid w:val="00F67668"/>
    <w:rsid w:val="00F679B6"/>
    <w:rsid w:val="00F67ACD"/>
    <w:rsid w:val="00F67AD7"/>
    <w:rsid w:val="00F67B6C"/>
    <w:rsid w:val="00F67BA6"/>
    <w:rsid w:val="00F67D62"/>
    <w:rsid w:val="00F67E67"/>
    <w:rsid w:val="00F67E6F"/>
    <w:rsid w:val="00F67E76"/>
    <w:rsid w:val="00F67EED"/>
    <w:rsid w:val="00F67FB3"/>
    <w:rsid w:val="00F67FB6"/>
    <w:rsid w:val="00F7006C"/>
    <w:rsid w:val="00F70124"/>
    <w:rsid w:val="00F7015C"/>
    <w:rsid w:val="00F70198"/>
    <w:rsid w:val="00F70218"/>
    <w:rsid w:val="00F7022C"/>
    <w:rsid w:val="00F7029C"/>
    <w:rsid w:val="00F7034A"/>
    <w:rsid w:val="00F703B0"/>
    <w:rsid w:val="00F703EA"/>
    <w:rsid w:val="00F704C2"/>
    <w:rsid w:val="00F7050B"/>
    <w:rsid w:val="00F70543"/>
    <w:rsid w:val="00F706DB"/>
    <w:rsid w:val="00F706DF"/>
    <w:rsid w:val="00F70743"/>
    <w:rsid w:val="00F707CC"/>
    <w:rsid w:val="00F7082A"/>
    <w:rsid w:val="00F70854"/>
    <w:rsid w:val="00F70978"/>
    <w:rsid w:val="00F70A17"/>
    <w:rsid w:val="00F70A2D"/>
    <w:rsid w:val="00F70B35"/>
    <w:rsid w:val="00F70B39"/>
    <w:rsid w:val="00F70B80"/>
    <w:rsid w:val="00F70D07"/>
    <w:rsid w:val="00F70D90"/>
    <w:rsid w:val="00F70DD8"/>
    <w:rsid w:val="00F70EA6"/>
    <w:rsid w:val="00F70F6F"/>
    <w:rsid w:val="00F70F88"/>
    <w:rsid w:val="00F70FDB"/>
    <w:rsid w:val="00F71021"/>
    <w:rsid w:val="00F71074"/>
    <w:rsid w:val="00F7110D"/>
    <w:rsid w:val="00F71126"/>
    <w:rsid w:val="00F7114F"/>
    <w:rsid w:val="00F711C6"/>
    <w:rsid w:val="00F71210"/>
    <w:rsid w:val="00F7139A"/>
    <w:rsid w:val="00F713EA"/>
    <w:rsid w:val="00F7144A"/>
    <w:rsid w:val="00F714A7"/>
    <w:rsid w:val="00F71559"/>
    <w:rsid w:val="00F716EF"/>
    <w:rsid w:val="00F7183B"/>
    <w:rsid w:val="00F71896"/>
    <w:rsid w:val="00F71993"/>
    <w:rsid w:val="00F7199C"/>
    <w:rsid w:val="00F71A66"/>
    <w:rsid w:val="00F71ACD"/>
    <w:rsid w:val="00F71BD4"/>
    <w:rsid w:val="00F71C47"/>
    <w:rsid w:val="00F71C60"/>
    <w:rsid w:val="00F71D61"/>
    <w:rsid w:val="00F71D7E"/>
    <w:rsid w:val="00F71E15"/>
    <w:rsid w:val="00F71E8A"/>
    <w:rsid w:val="00F72176"/>
    <w:rsid w:val="00F7217E"/>
    <w:rsid w:val="00F721B7"/>
    <w:rsid w:val="00F7220A"/>
    <w:rsid w:val="00F7222C"/>
    <w:rsid w:val="00F722E6"/>
    <w:rsid w:val="00F722EB"/>
    <w:rsid w:val="00F723CA"/>
    <w:rsid w:val="00F72428"/>
    <w:rsid w:val="00F7244F"/>
    <w:rsid w:val="00F72488"/>
    <w:rsid w:val="00F72549"/>
    <w:rsid w:val="00F72611"/>
    <w:rsid w:val="00F72612"/>
    <w:rsid w:val="00F7275F"/>
    <w:rsid w:val="00F72783"/>
    <w:rsid w:val="00F727BE"/>
    <w:rsid w:val="00F72820"/>
    <w:rsid w:val="00F7290C"/>
    <w:rsid w:val="00F72948"/>
    <w:rsid w:val="00F729E5"/>
    <w:rsid w:val="00F72A31"/>
    <w:rsid w:val="00F72ADF"/>
    <w:rsid w:val="00F72B7B"/>
    <w:rsid w:val="00F72D61"/>
    <w:rsid w:val="00F72DA4"/>
    <w:rsid w:val="00F72EAD"/>
    <w:rsid w:val="00F72F18"/>
    <w:rsid w:val="00F72F48"/>
    <w:rsid w:val="00F73030"/>
    <w:rsid w:val="00F7311E"/>
    <w:rsid w:val="00F73194"/>
    <w:rsid w:val="00F731E6"/>
    <w:rsid w:val="00F7321F"/>
    <w:rsid w:val="00F73247"/>
    <w:rsid w:val="00F73272"/>
    <w:rsid w:val="00F73341"/>
    <w:rsid w:val="00F73366"/>
    <w:rsid w:val="00F7337C"/>
    <w:rsid w:val="00F733FA"/>
    <w:rsid w:val="00F73457"/>
    <w:rsid w:val="00F73479"/>
    <w:rsid w:val="00F73489"/>
    <w:rsid w:val="00F734C1"/>
    <w:rsid w:val="00F7353B"/>
    <w:rsid w:val="00F735BF"/>
    <w:rsid w:val="00F736AA"/>
    <w:rsid w:val="00F737AD"/>
    <w:rsid w:val="00F73883"/>
    <w:rsid w:val="00F73A6F"/>
    <w:rsid w:val="00F73B11"/>
    <w:rsid w:val="00F73B6B"/>
    <w:rsid w:val="00F73C45"/>
    <w:rsid w:val="00F73CB5"/>
    <w:rsid w:val="00F73CE3"/>
    <w:rsid w:val="00F73E73"/>
    <w:rsid w:val="00F73E89"/>
    <w:rsid w:val="00F74023"/>
    <w:rsid w:val="00F74281"/>
    <w:rsid w:val="00F74292"/>
    <w:rsid w:val="00F74353"/>
    <w:rsid w:val="00F743BF"/>
    <w:rsid w:val="00F744F1"/>
    <w:rsid w:val="00F74569"/>
    <w:rsid w:val="00F746CD"/>
    <w:rsid w:val="00F746F2"/>
    <w:rsid w:val="00F74777"/>
    <w:rsid w:val="00F74791"/>
    <w:rsid w:val="00F74853"/>
    <w:rsid w:val="00F74924"/>
    <w:rsid w:val="00F74A7D"/>
    <w:rsid w:val="00F74B08"/>
    <w:rsid w:val="00F74BDA"/>
    <w:rsid w:val="00F74CDC"/>
    <w:rsid w:val="00F74DF8"/>
    <w:rsid w:val="00F74E83"/>
    <w:rsid w:val="00F74EC8"/>
    <w:rsid w:val="00F752DC"/>
    <w:rsid w:val="00F752F5"/>
    <w:rsid w:val="00F75325"/>
    <w:rsid w:val="00F7544C"/>
    <w:rsid w:val="00F75492"/>
    <w:rsid w:val="00F7551F"/>
    <w:rsid w:val="00F75637"/>
    <w:rsid w:val="00F756C9"/>
    <w:rsid w:val="00F757D4"/>
    <w:rsid w:val="00F758D2"/>
    <w:rsid w:val="00F75C5D"/>
    <w:rsid w:val="00F75C82"/>
    <w:rsid w:val="00F75D54"/>
    <w:rsid w:val="00F75EA3"/>
    <w:rsid w:val="00F75F76"/>
    <w:rsid w:val="00F75FDF"/>
    <w:rsid w:val="00F76148"/>
    <w:rsid w:val="00F761D8"/>
    <w:rsid w:val="00F761E1"/>
    <w:rsid w:val="00F76205"/>
    <w:rsid w:val="00F7631E"/>
    <w:rsid w:val="00F7632D"/>
    <w:rsid w:val="00F76352"/>
    <w:rsid w:val="00F7640C"/>
    <w:rsid w:val="00F76576"/>
    <w:rsid w:val="00F7664D"/>
    <w:rsid w:val="00F7672E"/>
    <w:rsid w:val="00F76745"/>
    <w:rsid w:val="00F76864"/>
    <w:rsid w:val="00F7689C"/>
    <w:rsid w:val="00F768E1"/>
    <w:rsid w:val="00F768F3"/>
    <w:rsid w:val="00F768FA"/>
    <w:rsid w:val="00F769C5"/>
    <w:rsid w:val="00F76A78"/>
    <w:rsid w:val="00F76BA1"/>
    <w:rsid w:val="00F76BE4"/>
    <w:rsid w:val="00F76C1F"/>
    <w:rsid w:val="00F76C7E"/>
    <w:rsid w:val="00F76D3E"/>
    <w:rsid w:val="00F76D4E"/>
    <w:rsid w:val="00F76DB9"/>
    <w:rsid w:val="00F76ED3"/>
    <w:rsid w:val="00F76FD8"/>
    <w:rsid w:val="00F7704C"/>
    <w:rsid w:val="00F77089"/>
    <w:rsid w:val="00F77253"/>
    <w:rsid w:val="00F77265"/>
    <w:rsid w:val="00F77286"/>
    <w:rsid w:val="00F77366"/>
    <w:rsid w:val="00F773F2"/>
    <w:rsid w:val="00F7747E"/>
    <w:rsid w:val="00F774FD"/>
    <w:rsid w:val="00F77554"/>
    <w:rsid w:val="00F77664"/>
    <w:rsid w:val="00F7772F"/>
    <w:rsid w:val="00F7781A"/>
    <w:rsid w:val="00F7787E"/>
    <w:rsid w:val="00F778F8"/>
    <w:rsid w:val="00F77AB5"/>
    <w:rsid w:val="00F77BB5"/>
    <w:rsid w:val="00F77C91"/>
    <w:rsid w:val="00F77ED7"/>
    <w:rsid w:val="00F77F49"/>
    <w:rsid w:val="00F77F5E"/>
    <w:rsid w:val="00F80052"/>
    <w:rsid w:val="00F800C2"/>
    <w:rsid w:val="00F80114"/>
    <w:rsid w:val="00F8038B"/>
    <w:rsid w:val="00F803DD"/>
    <w:rsid w:val="00F80483"/>
    <w:rsid w:val="00F80524"/>
    <w:rsid w:val="00F80533"/>
    <w:rsid w:val="00F80640"/>
    <w:rsid w:val="00F80736"/>
    <w:rsid w:val="00F80794"/>
    <w:rsid w:val="00F80810"/>
    <w:rsid w:val="00F809BD"/>
    <w:rsid w:val="00F80A79"/>
    <w:rsid w:val="00F80B16"/>
    <w:rsid w:val="00F80CAC"/>
    <w:rsid w:val="00F80CC7"/>
    <w:rsid w:val="00F80D29"/>
    <w:rsid w:val="00F80FE5"/>
    <w:rsid w:val="00F81094"/>
    <w:rsid w:val="00F8113F"/>
    <w:rsid w:val="00F811FD"/>
    <w:rsid w:val="00F81292"/>
    <w:rsid w:val="00F812AA"/>
    <w:rsid w:val="00F812C7"/>
    <w:rsid w:val="00F814EE"/>
    <w:rsid w:val="00F81620"/>
    <w:rsid w:val="00F81695"/>
    <w:rsid w:val="00F8193F"/>
    <w:rsid w:val="00F819B7"/>
    <w:rsid w:val="00F819D6"/>
    <w:rsid w:val="00F819DE"/>
    <w:rsid w:val="00F81A25"/>
    <w:rsid w:val="00F81AD9"/>
    <w:rsid w:val="00F81AE9"/>
    <w:rsid w:val="00F81BA1"/>
    <w:rsid w:val="00F81C70"/>
    <w:rsid w:val="00F81CC7"/>
    <w:rsid w:val="00F81D30"/>
    <w:rsid w:val="00F81D3A"/>
    <w:rsid w:val="00F81D4D"/>
    <w:rsid w:val="00F81E94"/>
    <w:rsid w:val="00F81EBC"/>
    <w:rsid w:val="00F81ECA"/>
    <w:rsid w:val="00F81F14"/>
    <w:rsid w:val="00F81F30"/>
    <w:rsid w:val="00F81F37"/>
    <w:rsid w:val="00F81FBA"/>
    <w:rsid w:val="00F81FBF"/>
    <w:rsid w:val="00F82181"/>
    <w:rsid w:val="00F82236"/>
    <w:rsid w:val="00F82313"/>
    <w:rsid w:val="00F823EA"/>
    <w:rsid w:val="00F823F1"/>
    <w:rsid w:val="00F824C2"/>
    <w:rsid w:val="00F824D3"/>
    <w:rsid w:val="00F824F8"/>
    <w:rsid w:val="00F82620"/>
    <w:rsid w:val="00F8265D"/>
    <w:rsid w:val="00F826B1"/>
    <w:rsid w:val="00F82764"/>
    <w:rsid w:val="00F8295B"/>
    <w:rsid w:val="00F82A37"/>
    <w:rsid w:val="00F82AFF"/>
    <w:rsid w:val="00F82B1A"/>
    <w:rsid w:val="00F82CBA"/>
    <w:rsid w:val="00F82CD1"/>
    <w:rsid w:val="00F82D7D"/>
    <w:rsid w:val="00F82DB4"/>
    <w:rsid w:val="00F82E13"/>
    <w:rsid w:val="00F82F35"/>
    <w:rsid w:val="00F82F4B"/>
    <w:rsid w:val="00F830E2"/>
    <w:rsid w:val="00F831C4"/>
    <w:rsid w:val="00F831F8"/>
    <w:rsid w:val="00F8324C"/>
    <w:rsid w:val="00F83305"/>
    <w:rsid w:val="00F8337F"/>
    <w:rsid w:val="00F83444"/>
    <w:rsid w:val="00F835A2"/>
    <w:rsid w:val="00F83622"/>
    <w:rsid w:val="00F83626"/>
    <w:rsid w:val="00F83632"/>
    <w:rsid w:val="00F83754"/>
    <w:rsid w:val="00F8378E"/>
    <w:rsid w:val="00F83790"/>
    <w:rsid w:val="00F8389B"/>
    <w:rsid w:val="00F838AA"/>
    <w:rsid w:val="00F8392A"/>
    <w:rsid w:val="00F839B9"/>
    <w:rsid w:val="00F83A06"/>
    <w:rsid w:val="00F83AE8"/>
    <w:rsid w:val="00F83B40"/>
    <w:rsid w:val="00F83BA3"/>
    <w:rsid w:val="00F83BCD"/>
    <w:rsid w:val="00F83C55"/>
    <w:rsid w:val="00F83CE7"/>
    <w:rsid w:val="00F83DD9"/>
    <w:rsid w:val="00F83EB1"/>
    <w:rsid w:val="00F83EBE"/>
    <w:rsid w:val="00F83ECA"/>
    <w:rsid w:val="00F83FC5"/>
    <w:rsid w:val="00F8401E"/>
    <w:rsid w:val="00F84045"/>
    <w:rsid w:val="00F840F1"/>
    <w:rsid w:val="00F841D3"/>
    <w:rsid w:val="00F84470"/>
    <w:rsid w:val="00F84584"/>
    <w:rsid w:val="00F8459D"/>
    <w:rsid w:val="00F84609"/>
    <w:rsid w:val="00F84626"/>
    <w:rsid w:val="00F8472D"/>
    <w:rsid w:val="00F84809"/>
    <w:rsid w:val="00F8481B"/>
    <w:rsid w:val="00F84840"/>
    <w:rsid w:val="00F84859"/>
    <w:rsid w:val="00F8488F"/>
    <w:rsid w:val="00F84910"/>
    <w:rsid w:val="00F8494F"/>
    <w:rsid w:val="00F849BD"/>
    <w:rsid w:val="00F84B3F"/>
    <w:rsid w:val="00F84B66"/>
    <w:rsid w:val="00F84B7E"/>
    <w:rsid w:val="00F84C9D"/>
    <w:rsid w:val="00F84CB1"/>
    <w:rsid w:val="00F84CFB"/>
    <w:rsid w:val="00F84D0A"/>
    <w:rsid w:val="00F84D78"/>
    <w:rsid w:val="00F8504C"/>
    <w:rsid w:val="00F850A1"/>
    <w:rsid w:val="00F85191"/>
    <w:rsid w:val="00F85215"/>
    <w:rsid w:val="00F853B1"/>
    <w:rsid w:val="00F8544E"/>
    <w:rsid w:val="00F85458"/>
    <w:rsid w:val="00F8552D"/>
    <w:rsid w:val="00F85558"/>
    <w:rsid w:val="00F8559C"/>
    <w:rsid w:val="00F855CD"/>
    <w:rsid w:val="00F8564A"/>
    <w:rsid w:val="00F8564D"/>
    <w:rsid w:val="00F856A4"/>
    <w:rsid w:val="00F856FB"/>
    <w:rsid w:val="00F85738"/>
    <w:rsid w:val="00F857AB"/>
    <w:rsid w:val="00F8593B"/>
    <w:rsid w:val="00F8595F"/>
    <w:rsid w:val="00F85983"/>
    <w:rsid w:val="00F85A10"/>
    <w:rsid w:val="00F85AAD"/>
    <w:rsid w:val="00F85B2B"/>
    <w:rsid w:val="00F85C50"/>
    <w:rsid w:val="00F85C7D"/>
    <w:rsid w:val="00F85CC8"/>
    <w:rsid w:val="00F85DCE"/>
    <w:rsid w:val="00F85DDA"/>
    <w:rsid w:val="00F85DEC"/>
    <w:rsid w:val="00F85EA0"/>
    <w:rsid w:val="00F85EC6"/>
    <w:rsid w:val="00F85F00"/>
    <w:rsid w:val="00F8600D"/>
    <w:rsid w:val="00F8606F"/>
    <w:rsid w:val="00F860BD"/>
    <w:rsid w:val="00F860F0"/>
    <w:rsid w:val="00F86193"/>
    <w:rsid w:val="00F861C8"/>
    <w:rsid w:val="00F86225"/>
    <w:rsid w:val="00F8622B"/>
    <w:rsid w:val="00F862B6"/>
    <w:rsid w:val="00F86328"/>
    <w:rsid w:val="00F863F6"/>
    <w:rsid w:val="00F8642B"/>
    <w:rsid w:val="00F86574"/>
    <w:rsid w:val="00F86597"/>
    <w:rsid w:val="00F8659A"/>
    <w:rsid w:val="00F865EC"/>
    <w:rsid w:val="00F86646"/>
    <w:rsid w:val="00F867A0"/>
    <w:rsid w:val="00F867AE"/>
    <w:rsid w:val="00F86BD6"/>
    <w:rsid w:val="00F86CCC"/>
    <w:rsid w:val="00F86CEE"/>
    <w:rsid w:val="00F86CF6"/>
    <w:rsid w:val="00F86D39"/>
    <w:rsid w:val="00F86D3F"/>
    <w:rsid w:val="00F86D7C"/>
    <w:rsid w:val="00F86DF2"/>
    <w:rsid w:val="00F86E2B"/>
    <w:rsid w:val="00F86F15"/>
    <w:rsid w:val="00F87140"/>
    <w:rsid w:val="00F8716B"/>
    <w:rsid w:val="00F87232"/>
    <w:rsid w:val="00F87288"/>
    <w:rsid w:val="00F872B9"/>
    <w:rsid w:val="00F87328"/>
    <w:rsid w:val="00F873D2"/>
    <w:rsid w:val="00F874AC"/>
    <w:rsid w:val="00F874B2"/>
    <w:rsid w:val="00F874CC"/>
    <w:rsid w:val="00F875FF"/>
    <w:rsid w:val="00F876F5"/>
    <w:rsid w:val="00F87747"/>
    <w:rsid w:val="00F877EB"/>
    <w:rsid w:val="00F8788A"/>
    <w:rsid w:val="00F87902"/>
    <w:rsid w:val="00F8792E"/>
    <w:rsid w:val="00F87AA3"/>
    <w:rsid w:val="00F87ABC"/>
    <w:rsid w:val="00F87C6A"/>
    <w:rsid w:val="00F87D2E"/>
    <w:rsid w:val="00F87DBF"/>
    <w:rsid w:val="00F87E3B"/>
    <w:rsid w:val="00F87E71"/>
    <w:rsid w:val="00F87F04"/>
    <w:rsid w:val="00F87F12"/>
    <w:rsid w:val="00F90264"/>
    <w:rsid w:val="00F90295"/>
    <w:rsid w:val="00F902BC"/>
    <w:rsid w:val="00F902FB"/>
    <w:rsid w:val="00F903CA"/>
    <w:rsid w:val="00F90578"/>
    <w:rsid w:val="00F90644"/>
    <w:rsid w:val="00F9068C"/>
    <w:rsid w:val="00F9071F"/>
    <w:rsid w:val="00F907F0"/>
    <w:rsid w:val="00F90801"/>
    <w:rsid w:val="00F90819"/>
    <w:rsid w:val="00F909B5"/>
    <w:rsid w:val="00F90AC0"/>
    <w:rsid w:val="00F90ADB"/>
    <w:rsid w:val="00F90CD9"/>
    <w:rsid w:val="00F90D84"/>
    <w:rsid w:val="00F90DF0"/>
    <w:rsid w:val="00F90E69"/>
    <w:rsid w:val="00F90F72"/>
    <w:rsid w:val="00F90F83"/>
    <w:rsid w:val="00F90F8E"/>
    <w:rsid w:val="00F90FA1"/>
    <w:rsid w:val="00F90FED"/>
    <w:rsid w:val="00F9102B"/>
    <w:rsid w:val="00F9103E"/>
    <w:rsid w:val="00F91055"/>
    <w:rsid w:val="00F9113B"/>
    <w:rsid w:val="00F91249"/>
    <w:rsid w:val="00F912B5"/>
    <w:rsid w:val="00F9146F"/>
    <w:rsid w:val="00F914F0"/>
    <w:rsid w:val="00F91540"/>
    <w:rsid w:val="00F91553"/>
    <w:rsid w:val="00F915CA"/>
    <w:rsid w:val="00F9172D"/>
    <w:rsid w:val="00F91764"/>
    <w:rsid w:val="00F91788"/>
    <w:rsid w:val="00F91852"/>
    <w:rsid w:val="00F9191F"/>
    <w:rsid w:val="00F9198E"/>
    <w:rsid w:val="00F9198F"/>
    <w:rsid w:val="00F91A74"/>
    <w:rsid w:val="00F91A83"/>
    <w:rsid w:val="00F91AD4"/>
    <w:rsid w:val="00F91C6E"/>
    <w:rsid w:val="00F91CE2"/>
    <w:rsid w:val="00F91E12"/>
    <w:rsid w:val="00F91EF7"/>
    <w:rsid w:val="00F91F06"/>
    <w:rsid w:val="00F91F78"/>
    <w:rsid w:val="00F91F89"/>
    <w:rsid w:val="00F9210D"/>
    <w:rsid w:val="00F921AD"/>
    <w:rsid w:val="00F9221B"/>
    <w:rsid w:val="00F9229E"/>
    <w:rsid w:val="00F92304"/>
    <w:rsid w:val="00F923C0"/>
    <w:rsid w:val="00F923EC"/>
    <w:rsid w:val="00F924AE"/>
    <w:rsid w:val="00F924CD"/>
    <w:rsid w:val="00F924E3"/>
    <w:rsid w:val="00F92566"/>
    <w:rsid w:val="00F92711"/>
    <w:rsid w:val="00F928A2"/>
    <w:rsid w:val="00F928D5"/>
    <w:rsid w:val="00F92AC8"/>
    <w:rsid w:val="00F92C7B"/>
    <w:rsid w:val="00F92C86"/>
    <w:rsid w:val="00F92DA2"/>
    <w:rsid w:val="00F92DA6"/>
    <w:rsid w:val="00F92F3A"/>
    <w:rsid w:val="00F92F72"/>
    <w:rsid w:val="00F93020"/>
    <w:rsid w:val="00F93100"/>
    <w:rsid w:val="00F93141"/>
    <w:rsid w:val="00F9319B"/>
    <w:rsid w:val="00F931C6"/>
    <w:rsid w:val="00F931DD"/>
    <w:rsid w:val="00F93229"/>
    <w:rsid w:val="00F93553"/>
    <w:rsid w:val="00F93574"/>
    <w:rsid w:val="00F935D9"/>
    <w:rsid w:val="00F93616"/>
    <w:rsid w:val="00F93665"/>
    <w:rsid w:val="00F9367E"/>
    <w:rsid w:val="00F93861"/>
    <w:rsid w:val="00F938B4"/>
    <w:rsid w:val="00F938BD"/>
    <w:rsid w:val="00F93911"/>
    <w:rsid w:val="00F93947"/>
    <w:rsid w:val="00F93949"/>
    <w:rsid w:val="00F93995"/>
    <w:rsid w:val="00F939DD"/>
    <w:rsid w:val="00F93B06"/>
    <w:rsid w:val="00F93B24"/>
    <w:rsid w:val="00F93BC3"/>
    <w:rsid w:val="00F93CDD"/>
    <w:rsid w:val="00F93DAD"/>
    <w:rsid w:val="00F93FB8"/>
    <w:rsid w:val="00F94361"/>
    <w:rsid w:val="00F94364"/>
    <w:rsid w:val="00F9437A"/>
    <w:rsid w:val="00F94447"/>
    <w:rsid w:val="00F94500"/>
    <w:rsid w:val="00F94534"/>
    <w:rsid w:val="00F9459E"/>
    <w:rsid w:val="00F945F9"/>
    <w:rsid w:val="00F9470F"/>
    <w:rsid w:val="00F94722"/>
    <w:rsid w:val="00F94942"/>
    <w:rsid w:val="00F94A6C"/>
    <w:rsid w:val="00F94AF0"/>
    <w:rsid w:val="00F94B6D"/>
    <w:rsid w:val="00F94B8E"/>
    <w:rsid w:val="00F94BB1"/>
    <w:rsid w:val="00F94BEE"/>
    <w:rsid w:val="00F94C20"/>
    <w:rsid w:val="00F94C24"/>
    <w:rsid w:val="00F94C5A"/>
    <w:rsid w:val="00F94C70"/>
    <w:rsid w:val="00F94D57"/>
    <w:rsid w:val="00F94DD6"/>
    <w:rsid w:val="00F94E61"/>
    <w:rsid w:val="00F94ECB"/>
    <w:rsid w:val="00F94F09"/>
    <w:rsid w:val="00F94F1C"/>
    <w:rsid w:val="00F94F38"/>
    <w:rsid w:val="00F95065"/>
    <w:rsid w:val="00F95086"/>
    <w:rsid w:val="00F95157"/>
    <w:rsid w:val="00F95241"/>
    <w:rsid w:val="00F952D4"/>
    <w:rsid w:val="00F95348"/>
    <w:rsid w:val="00F953BB"/>
    <w:rsid w:val="00F9541E"/>
    <w:rsid w:val="00F9551C"/>
    <w:rsid w:val="00F9559E"/>
    <w:rsid w:val="00F95728"/>
    <w:rsid w:val="00F95866"/>
    <w:rsid w:val="00F958A0"/>
    <w:rsid w:val="00F958A4"/>
    <w:rsid w:val="00F95A4D"/>
    <w:rsid w:val="00F95A50"/>
    <w:rsid w:val="00F95B78"/>
    <w:rsid w:val="00F95CEC"/>
    <w:rsid w:val="00F95CF7"/>
    <w:rsid w:val="00F95D05"/>
    <w:rsid w:val="00F95D26"/>
    <w:rsid w:val="00F95D44"/>
    <w:rsid w:val="00F95D6D"/>
    <w:rsid w:val="00F95E77"/>
    <w:rsid w:val="00F95ED1"/>
    <w:rsid w:val="00F95F01"/>
    <w:rsid w:val="00F960B3"/>
    <w:rsid w:val="00F9625E"/>
    <w:rsid w:val="00F9628C"/>
    <w:rsid w:val="00F962D6"/>
    <w:rsid w:val="00F96393"/>
    <w:rsid w:val="00F963C0"/>
    <w:rsid w:val="00F96431"/>
    <w:rsid w:val="00F964F9"/>
    <w:rsid w:val="00F965CD"/>
    <w:rsid w:val="00F96715"/>
    <w:rsid w:val="00F967A3"/>
    <w:rsid w:val="00F967CC"/>
    <w:rsid w:val="00F96A2A"/>
    <w:rsid w:val="00F96AA7"/>
    <w:rsid w:val="00F96B91"/>
    <w:rsid w:val="00F96C11"/>
    <w:rsid w:val="00F96C14"/>
    <w:rsid w:val="00F96C66"/>
    <w:rsid w:val="00F96ECC"/>
    <w:rsid w:val="00F96F53"/>
    <w:rsid w:val="00F96FDF"/>
    <w:rsid w:val="00F9700A"/>
    <w:rsid w:val="00F9706B"/>
    <w:rsid w:val="00F97130"/>
    <w:rsid w:val="00F97196"/>
    <w:rsid w:val="00F971AE"/>
    <w:rsid w:val="00F97255"/>
    <w:rsid w:val="00F972A6"/>
    <w:rsid w:val="00F972F0"/>
    <w:rsid w:val="00F97341"/>
    <w:rsid w:val="00F973CF"/>
    <w:rsid w:val="00F975BA"/>
    <w:rsid w:val="00F975F8"/>
    <w:rsid w:val="00F9764F"/>
    <w:rsid w:val="00F97693"/>
    <w:rsid w:val="00F9772A"/>
    <w:rsid w:val="00F977C4"/>
    <w:rsid w:val="00F979B5"/>
    <w:rsid w:val="00F979E8"/>
    <w:rsid w:val="00F97AFD"/>
    <w:rsid w:val="00F97B35"/>
    <w:rsid w:val="00F97B58"/>
    <w:rsid w:val="00F97B6A"/>
    <w:rsid w:val="00F97B7F"/>
    <w:rsid w:val="00F97B94"/>
    <w:rsid w:val="00F97C6E"/>
    <w:rsid w:val="00F97C99"/>
    <w:rsid w:val="00F97D45"/>
    <w:rsid w:val="00F97D57"/>
    <w:rsid w:val="00F97E23"/>
    <w:rsid w:val="00F97F15"/>
    <w:rsid w:val="00FA0056"/>
    <w:rsid w:val="00FA00E7"/>
    <w:rsid w:val="00FA0260"/>
    <w:rsid w:val="00FA0274"/>
    <w:rsid w:val="00FA02AF"/>
    <w:rsid w:val="00FA02E2"/>
    <w:rsid w:val="00FA032A"/>
    <w:rsid w:val="00FA0693"/>
    <w:rsid w:val="00FA06CA"/>
    <w:rsid w:val="00FA074A"/>
    <w:rsid w:val="00FA07D7"/>
    <w:rsid w:val="00FA0870"/>
    <w:rsid w:val="00FA0B28"/>
    <w:rsid w:val="00FA0BA5"/>
    <w:rsid w:val="00FA0C33"/>
    <w:rsid w:val="00FA0CA9"/>
    <w:rsid w:val="00FA0D41"/>
    <w:rsid w:val="00FA0D60"/>
    <w:rsid w:val="00FA0DAC"/>
    <w:rsid w:val="00FA0DAF"/>
    <w:rsid w:val="00FA0E99"/>
    <w:rsid w:val="00FA1118"/>
    <w:rsid w:val="00FA1119"/>
    <w:rsid w:val="00FA1127"/>
    <w:rsid w:val="00FA12BF"/>
    <w:rsid w:val="00FA12D3"/>
    <w:rsid w:val="00FA13C1"/>
    <w:rsid w:val="00FA143D"/>
    <w:rsid w:val="00FA152B"/>
    <w:rsid w:val="00FA16E0"/>
    <w:rsid w:val="00FA181B"/>
    <w:rsid w:val="00FA1881"/>
    <w:rsid w:val="00FA188D"/>
    <w:rsid w:val="00FA1A3A"/>
    <w:rsid w:val="00FA1D28"/>
    <w:rsid w:val="00FA1D54"/>
    <w:rsid w:val="00FA1D6D"/>
    <w:rsid w:val="00FA1D9A"/>
    <w:rsid w:val="00FA1D9F"/>
    <w:rsid w:val="00FA1DDF"/>
    <w:rsid w:val="00FA1E19"/>
    <w:rsid w:val="00FA1F66"/>
    <w:rsid w:val="00FA2135"/>
    <w:rsid w:val="00FA2183"/>
    <w:rsid w:val="00FA237A"/>
    <w:rsid w:val="00FA23AE"/>
    <w:rsid w:val="00FA24C3"/>
    <w:rsid w:val="00FA2505"/>
    <w:rsid w:val="00FA25A6"/>
    <w:rsid w:val="00FA25D7"/>
    <w:rsid w:val="00FA2692"/>
    <w:rsid w:val="00FA2761"/>
    <w:rsid w:val="00FA27DE"/>
    <w:rsid w:val="00FA28EA"/>
    <w:rsid w:val="00FA2906"/>
    <w:rsid w:val="00FA292F"/>
    <w:rsid w:val="00FA295E"/>
    <w:rsid w:val="00FA29B0"/>
    <w:rsid w:val="00FA2B56"/>
    <w:rsid w:val="00FA2B71"/>
    <w:rsid w:val="00FA2C29"/>
    <w:rsid w:val="00FA2C86"/>
    <w:rsid w:val="00FA2D35"/>
    <w:rsid w:val="00FA2D5D"/>
    <w:rsid w:val="00FA2E0F"/>
    <w:rsid w:val="00FA3039"/>
    <w:rsid w:val="00FA31C5"/>
    <w:rsid w:val="00FA31CC"/>
    <w:rsid w:val="00FA31CF"/>
    <w:rsid w:val="00FA31E8"/>
    <w:rsid w:val="00FA32C3"/>
    <w:rsid w:val="00FA3380"/>
    <w:rsid w:val="00FA350E"/>
    <w:rsid w:val="00FA36BB"/>
    <w:rsid w:val="00FA36F3"/>
    <w:rsid w:val="00FA3758"/>
    <w:rsid w:val="00FA37B4"/>
    <w:rsid w:val="00FA37EF"/>
    <w:rsid w:val="00FA38C2"/>
    <w:rsid w:val="00FA399C"/>
    <w:rsid w:val="00FA39F5"/>
    <w:rsid w:val="00FA3C7E"/>
    <w:rsid w:val="00FA3D6E"/>
    <w:rsid w:val="00FA3DC0"/>
    <w:rsid w:val="00FA3EC0"/>
    <w:rsid w:val="00FA40E3"/>
    <w:rsid w:val="00FA447F"/>
    <w:rsid w:val="00FA44B7"/>
    <w:rsid w:val="00FA4549"/>
    <w:rsid w:val="00FA45E2"/>
    <w:rsid w:val="00FA474B"/>
    <w:rsid w:val="00FA4758"/>
    <w:rsid w:val="00FA486E"/>
    <w:rsid w:val="00FA4987"/>
    <w:rsid w:val="00FA4998"/>
    <w:rsid w:val="00FA4B07"/>
    <w:rsid w:val="00FA4BF8"/>
    <w:rsid w:val="00FA4C48"/>
    <w:rsid w:val="00FA4D20"/>
    <w:rsid w:val="00FA4D67"/>
    <w:rsid w:val="00FA4DA1"/>
    <w:rsid w:val="00FA4F39"/>
    <w:rsid w:val="00FA4F86"/>
    <w:rsid w:val="00FA505C"/>
    <w:rsid w:val="00FA505E"/>
    <w:rsid w:val="00FA50E2"/>
    <w:rsid w:val="00FA518D"/>
    <w:rsid w:val="00FA5277"/>
    <w:rsid w:val="00FA531C"/>
    <w:rsid w:val="00FA539E"/>
    <w:rsid w:val="00FA5402"/>
    <w:rsid w:val="00FA5549"/>
    <w:rsid w:val="00FA554B"/>
    <w:rsid w:val="00FA5567"/>
    <w:rsid w:val="00FA55C0"/>
    <w:rsid w:val="00FA5601"/>
    <w:rsid w:val="00FA5671"/>
    <w:rsid w:val="00FA568C"/>
    <w:rsid w:val="00FA56B5"/>
    <w:rsid w:val="00FA570E"/>
    <w:rsid w:val="00FA5847"/>
    <w:rsid w:val="00FA587B"/>
    <w:rsid w:val="00FA596D"/>
    <w:rsid w:val="00FA598B"/>
    <w:rsid w:val="00FA5A92"/>
    <w:rsid w:val="00FA5B31"/>
    <w:rsid w:val="00FA5C29"/>
    <w:rsid w:val="00FA5CD7"/>
    <w:rsid w:val="00FA5D7A"/>
    <w:rsid w:val="00FA5E6F"/>
    <w:rsid w:val="00FA5ED2"/>
    <w:rsid w:val="00FA5F11"/>
    <w:rsid w:val="00FA5FBD"/>
    <w:rsid w:val="00FA60AB"/>
    <w:rsid w:val="00FA6133"/>
    <w:rsid w:val="00FA620A"/>
    <w:rsid w:val="00FA6290"/>
    <w:rsid w:val="00FA642B"/>
    <w:rsid w:val="00FA643B"/>
    <w:rsid w:val="00FA64A6"/>
    <w:rsid w:val="00FA64AD"/>
    <w:rsid w:val="00FA660A"/>
    <w:rsid w:val="00FA6804"/>
    <w:rsid w:val="00FA68B8"/>
    <w:rsid w:val="00FA6A31"/>
    <w:rsid w:val="00FA6C75"/>
    <w:rsid w:val="00FA6CEE"/>
    <w:rsid w:val="00FA6DDC"/>
    <w:rsid w:val="00FA6E35"/>
    <w:rsid w:val="00FA6EC9"/>
    <w:rsid w:val="00FA6F33"/>
    <w:rsid w:val="00FA6F79"/>
    <w:rsid w:val="00FA6FA1"/>
    <w:rsid w:val="00FA704F"/>
    <w:rsid w:val="00FA70FD"/>
    <w:rsid w:val="00FA718C"/>
    <w:rsid w:val="00FA71D8"/>
    <w:rsid w:val="00FA720D"/>
    <w:rsid w:val="00FA731E"/>
    <w:rsid w:val="00FA73DF"/>
    <w:rsid w:val="00FA74C4"/>
    <w:rsid w:val="00FA74DF"/>
    <w:rsid w:val="00FA7538"/>
    <w:rsid w:val="00FA75DE"/>
    <w:rsid w:val="00FA7604"/>
    <w:rsid w:val="00FA7619"/>
    <w:rsid w:val="00FA76A8"/>
    <w:rsid w:val="00FA7850"/>
    <w:rsid w:val="00FA7906"/>
    <w:rsid w:val="00FA7964"/>
    <w:rsid w:val="00FA7A3A"/>
    <w:rsid w:val="00FA7AAC"/>
    <w:rsid w:val="00FA7AC2"/>
    <w:rsid w:val="00FA7ACA"/>
    <w:rsid w:val="00FA7C22"/>
    <w:rsid w:val="00FA7C65"/>
    <w:rsid w:val="00FA7F5A"/>
    <w:rsid w:val="00FB00AB"/>
    <w:rsid w:val="00FB0251"/>
    <w:rsid w:val="00FB02A4"/>
    <w:rsid w:val="00FB02D1"/>
    <w:rsid w:val="00FB0354"/>
    <w:rsid w:val="00FB0369"/>
    <w:rsid w:val="00FB0374"/>
    <w:rsid w:val="00FB03C5"/>
    <w:rsid w:val="00FB03F3"/>
    <w:rsid w:val="00FB04C9"/>
    <w:rsid w:val="00FB055D"/>
    <w:rsid w:val="00FB0564"/>
    <w:rsid w:val="00FB056F"/>
    <w:rsid w:val="00FB0570"/>
    <w:rsid w:val="00FB05C4"/>
    <w:rsid w:val="00FB0767"/>
    <w:rsid w:val="00FB079D"/>
    <w:rsid w:val="00FB07CD"/>
    <w:rsid w:val="00FB07DB"/>
    <w:rsid w:val="00FB0820"/>
    <w:rsid w:val="00FB082B"/>
    <w:rsid w:val="00FB0959"/>
    <w:rsid w:val="00FB0964"/>
    <w:rsid w:val="00FB0A55"/>
    <w:rsid w:val="00FB0AA3"/>
    <w:rsid w:val="00FB0C55"/>
    <w:rsid w:val="00FB0C65"/>
    <w:rsid w:val="00FB0D69"/>
    <w:rsid w:val="00FB0DFC"/>
    <w:rsid w:val="00FB0F6F"/>
    <w:rsid w:val="00FB0F98"/>
    <w:rsid w:val="00FB0F9D"/>
    <w:rsid w:val="00FB108A"/>
    <w:rsid w:val="00FB10A3"/>
    <w:rsid w:val="00FB11D5"/>
    <w:rsid w:val="00FB11E3"/>
    <w:rsid w:val="00FB1222"/>
    <w:rsid w:val="00FB122F"/>
    <w:rsid w:val="00FB127B"/>
    <w:rsid w:val="00FB12F6"/>
    <w:rsid w:val="00FB1343"/>
    <w:rsid w:val="00FB143C"/>
    <w:rsid w:val="00FB1449"/>
    <w:rsid w:val="00FB173E"/>
    <w:rsid w:val="00FB17F5"/>
    <w:rsid w:val="00FB189B"/>
    <w:rsid w:val="00FB1945"/>
    <w:rsid w:val="00FB19AB"/>
    <w:rsid w:val="00FB1A7C"/>
    <w:rsid w:val="00FB1B1D"/>
    <w:rsid w:val="00FB1B91"/>
    <w:rsid w:val="00FB1D28"/>
    <w:rsid w:val="00FB1D42"/>
    <w:rsid w:val="00FB1D81"/>
    <w:rsid w:val="00FB1D8A"/>
    <w:rsid w:val="00FB1DEA"/>
    <w:rsid w:val="00FB1E66"/>
    <w:rsid w:val="00FB1E6F"/>
    <w:rsid w:val="00FB1F66"/>
    <w:rsid w:val="00FB1FAE"/>
    <w:rsid w:val="00FB1FB2"/>
    <w:rsid w:val="00FB20C6"/>
    <w:rsid w:val="00FB21C9"/>
    <w:rsid w:val="00FB2239"/>
    <w:rsid w:val="00FB2251"/>
    <w:rsid w:val="00FB2259"/>
    <w:rsid w:val="00FB23AB"/>
    <w:rsid w:val="00FB23AD"/>
    <w:rsid w:val="00FB23CF"/>
    <w:rsid w:val="00FB248C"/>
    <w:rsid w:val="00FB24E1"/>
    <w:rsid w:val="00FB25C5"/>
    <w:rsid w:val="00FB271E"/>
    <w:rsid w:val="00FB27F6"/>
    <w:rsid w:val="00FB2824"/>
    <w:rsid w:val="00FB2A11"/>
    <w:rsid w:val="00FB2A8C"/>
    <w:rsid w:val="00FB2B74"/>
    <w:rsid w:val="00FB2C97"/>
    <w:rsid w:val="00FB2E22"/>
    <w:rsid w:val="00FB2F13"/>
    <w:rsid w:val="00FB2F2F"/>
    <w:rsid w:val="00FB2F5B"/>
    <w:rsid w:val="00FB2FAA"/>
    <w:rsid w:val="00FB2FC1"/>
    <w:rsid w:val="00FB313C"/>
    <w:rsid w:val="00FB322F"/>
    <w:rsid w:val="00FB3248"/>
    <w:rsid w:val="00FB3282"/>
    <w:rsid w:val="00FB33D1"/>
    <w:rsid w:val="00FB34B7"/>
    <w:rsid w:val="00FB3703"/>
    <w:rsid w:val="00FB389B"/>
    <w:rsid w:val="00FB3B21"/>
    <w:rsid w:val="00FB3BE0"/>
    <w:rsid w:val="00FB3C31"/>
    <w:rsid w:val="00FB3C8A"/>
    <w:rsid w:val="00FB3CCA"/>
    <w:rsid w:val="00FB3D38"/>
    <w:rsid w:val="00FB3E5B"/>
    <w:rsid w:val="00FB3F34"/>
    <w:rsid w:val="00FB3FEB"/>
    <w:rsid w:val="00FB402B"/>
    <w:rsid w:val="00FB40FE"/>
    <w:rsid w:val="00FB4173"/>
    <w:rsid w:val="00FB417B"/>
    <w:rsid w:val="00FB4188"/>
    <w:rsid w:val="00FB419E"/>
    <w:rsid w:val="00FB4261"/>
    <w:rsid w:val="00FB42CE"/>
    <w:rsid w:val="00FB4307"/>
    <w:rsid w:val="00FB4312"/>
    <w:rsid w:val="00FB4327"/>
    <w:rsid w:val="00FB435C"/>
    <w:rsid w:val="00FB43CB"/>
    <w:rsid w:val="00FB43DC"/>
    <w:rsid w:val="00FB43EF"/>
    <w:rsid w:val="00FB44B3"/>
    <w:rsid w:val="00FB4570"/>
    <w:rsid w:val="00FB45CF"/>
    <w:rsid w:val="00FB45D7"/>
    <w:rsid w:val="00FB46BB"/>
    <w:rsid w:val="00FB46BC"/>
    <w:rsid w:val="00FB49C2"/>
    <w:rsid w:val="00FB4AB2"/>
    <w:rsid w:val="00FB4B63"/>
    <w:rsid w:val="00FB4BAD"/>
    <w:rsid w:val="00FB4BC4"/>
    <w:rsid w:val="00FB4BE0"/>
    <w:rsid w:val="00FB4C7A"/>
    <w:rsid w:val="00FB4CA9"/>
    <w:rsid w:val="00FB4D0F"/>
    <w:rsid w:val="00FB4D55"/>
    <w:rsid w:val="00FB4DA0"/>
    <w:rsid w:val="00FB4E76"/>
    <w:rsid w:val="00FB4ED9"/>
    <w:rsid w:val="00FB500B"/>
    <w:rsid w:val="00FB5025"/>
    <w:rsid w:val="00FB505B"/>
    <w:rsid w:val="00FB50CF"/>
    <w:rsid w:val="00FB5139"/>
    <w:rsid w:val="00FB5175"/>
    <w:rsid w:val="00FB51D3"/>
    <w:rsid w:val="00FB5208"/>
    <w:rsid w:val="00FB520A"/>
    <w:rsid w:val="00FB5227"/>
    <w:rsid w:val="00FB538B"/>
    <w:rsid w:val="00FB541A"/>
    <w:rsid w:val="00FB547F"/>
    <w:rsid w:val="00FB54E2"/>
    <w:rsid w:val="00FB55AB"/>
    <w:rsid w:val="00FB55B6"/>
    <w:rsid w:val="00FB55C4"/>
    <w:rsid w:val="00FB5611"/>
    <w:rsid w:val="00FB5629"/>
    <w:rsid w:val="00FB564B"/>
    <w:rsid w:val="00FB56F5"/>
    <w:rsid w:val="00FB5751"/>
    <w:rsid w:val="00FB57A8"/>
    <w:rsid w:val="00FB57AD"/>
    <w:rsid w:val="00FB5988"/>
    <w:rsid w:val="00FB5BB7"/>
    <w:rsid w:val="00FB5BBE"/>
    <w:rsid w:val="00FB5C76"/>
    <w:rsid w:val="00FB5D33"/>
    <w:rsid w:val="00FB5E03"/>
    <w:rsid w:val="00FB5E5F"/>
    <w:rsid w:val="00FB5ECE"/>
    <w:rsid w:val="00FB5EDF"/>
    <w:rsid w:val="00FB5EE5"/>
    <w:rsid w:val="00FB5F1E"/>
    <w:rsid w:val="00FB6088"/>
    <w:rsid w:val="00FB6205"/>
    <w:rsid w:val="00FB638D"/>
    <w:rsid w:val="00FB6390"/>
    <w:rsid w:val="00FB662F"/>
    <w:rsid w:val="00FB6676"/>
    <w:rsid w:val="00FB66B9"/>
    <w:rsid w:val="00FB66E0"/>
    <w:rsid w:val="00FB677C"/>
    <w:rsid w:val="00FB68A4"/>
    <w:rsid w:val="00FB696A"/>
    <w:rsid w:val="00FB6A9D"/>
    <w:rsid w:val="00FB6B63"/>
    <w:rsid w:val="00FB6C01"/>
    <w:rsid w:val="00FB6CBF"/>
    <w:rsid w:val="00FB6D44"/>
    <w:rsid w:val="00FB6D4D"/>
    <w:rsid w:val="00FB6D89"/>
    <w:rsid w:val="00FB6DB5"/>
    <w:rsid w:val="00FB6E07"/>
    <w:rsid w:val="00FB6F31"/>
    <w:rsid w:val="00FB7023"/>
    <w:rsid w:val="00FB7199"/>
    <w:rsid w:val="00FB71EC"/>
    <w:rsid w:val="00FB723D"/>
    <w:rsid w:val="00FB730D"/>
    <w:rsid w:val="00FB734B"/>
    <w:rsid w:val="00FB7445"/>
    <w:rsid w:val="00FB7449"/>
    <w:rsid w:val="00FB754C"/>
    <w:rsid w:val="00FB758E"/>
    <w:rsid w:val="00FB77A3"/>
    <w:rsid w:val="00FB77C7"/>
    <w:rsid w:val="00FB77DE"/>
    <w:rsid w:val="00FB78B1"/>
    <w:rsid w:val="00FB7912"/>
    <w:rsid w:val="00FB796E"/>
    <w:rsid w:val="00FB7977"/>
    <w:rsid w:val="00FB797B"/>
    <w:rsid w:val="00FB798D"/>
    <w:rsid w:val="00FB7B17"/>
    <w:rsid w:val="00FB7BAF"/>
    <w:rsid w:val="00FB7BE2"/>
    <w:rsid w:val="00FB7C4F"/>
    <w:rsid w:val="00FB7D2B"/>
    <w:rsid w:val="00FB7D8D"/>
    <w:rsid w:val="00FB7DD7"/>
    <w:rsid w:val="00FB7E38"/>
    <w:rsid w:val="00FB7F2C"/>
    <w:rsid w:val="00FB7F94"/>
    <w:rsid w:val="00FB7FAD"/>
    <w:rsid w:val="00FC0043"/>
    <w:rsid w:val="00FC00C5"/>
    <w:rsid w:val="00FC00D4"/>
    <w:rsid w:val="00FC018A"/>
    <w:rsid w:val="00FC032A"/>
    <w:rsid w:val="00FC0390"/>
    <w:rsid w:val="00FC03AD"/>
    <w:rsid w:val="00FC03B0"/>
    <w:rsid w:val="00FC03E5"/>
    <w:rsid w:val="00FC03FF"/>
    <w:rsid w:val="00FC0482"/>
    <w:rsid w:val="00FC0559"/>
    <w:rsid w:val="00FC057E"/>
    <w:rsid w:val="00FC0610"/>
    <w:rsid w:val="00FC0646"/>
    <w:rsid w:val="00FC0736"/>
    <w:rsid w:val="00FC0794"/>
    <w:rsid w:val="00FC0799"/>
    <w:rsid w:val="00FC08A6"/>
    <w:rsid w:val="00FC0945"/>
    <w:rsid w:val="00FC0964"/>
    <w:rsid w:val="00FC09E0"/>
    <w:rsid w:val="00FC0A4A"/>
    <w:rsid w:val="00FC0A4C"/>
    <w:rsid w:val="00FC0AAC"/>
    <w:rsid w:val="00FC0B1D"/>
    <w:rsid w:val="00FC0B9D"/>
    <w:rsid w:val="00FC0B9E"/>
    <w:rsid w:val="00FC0BBA"/>
    <w:rsid w:val="00FC0C32"/>
    <w:rsid w:val="00FC0CE7"/>
    <w:rsid w:val="00FC0D1A"/>
    <w:rsid w:val="00FC0E87"/>
    <w:rsid w:val="00FC0EB7"/>
    <w:rsid w:val="00FC0F58"/>
    <w:rsid w:val="00FC0FE9"/>
    <w:rsid w:val="00FC115D"/>
    <w:rsid w:val="00FC1342"/>
    <w:rsid w:val="00FC1447"/>
    <w:rsid w:val="00FC14C8"/>
    <w:rsid w:val="00FC1514"/>
    <w:rsid w:val="00FC15F1"/>
    <w:rsid w:val="00FC1622"/>
    <w:rsid w:val="00FC1898"/>
    <w:rsid w:val="00FC190F"/>
    <w:rsid w:val="00FC191B"/>
    <w:rsid w:val="00FC19C4"/>
    <w:rsid w:val="00FC1A25"/>
    <w:rsid w:val="00FC1A44"/>
    <w:rsid w:val="00FC1A51"/>
    <w:rsid w:val="00FC1A60"/>
    <w:rsid w:val="00FC1B98"/>
    <w:rsid w:val="00FC1BF1"/>
    <w:rsid w:val="00FC1C61"/>
    <w:rsid w:val="00FC1D45"/>
    <w:rsid w:val="00FC1E29"/>
    <w:rsid w:val="00FC1E6C"/>
    <w:rsid w:val="00FC2183"/>
    <w:rsid w:val="00FC2263"/>
    <w:rsid w:val="00FC22DB"/>
    <w:rsid w:val="00FC22EB"/>
    <w:rsid w:val="00FC2383"/>
    <w:rsid w:val="00FC23B5"/>
    <w:rsid w:val="00FC25B2"/>
    <w:rsid w:val="00FC26C1"/>
    <w:rsid w:val="00FC2759"/>
    <w:rsid w:val="00FC278C"/>
    <w:rsid w:val="00FC2818"/>
    <w:rsid w:val="00FC292E"/>
    <w:rsid w:val="00FC299A"/>
    <w:rsid w:val="00FC29F4"/>
    <w:rsid w:val="00FC2BCA"/>
    <w:rsid w:val="00FC2CCD"/>
    <w:rsid w:val="00FC2D33"/>
    <w:rsid w:val="00FC2D4B"/>
    <w:rsid w:val="00FC2D83"/>
    <w:rsid w:val="00FC2E14"/>
    <w:rsid w:val="00FC2F64"/>
    <w:rsid w:val="00FC306B"/>
    <w:rsid w:val="00FC3094"/>
    <w:rsid w:val="00FC3168"/>
    <w:rsid w:val="00FC316B"/>
    <w:rsid w:val="00FC31FD"/>
    <w:rsid w:val="00FC326C"/>
    <w:rsid w:val="00FC33AB"/>
    <w:rsid w:val="00FC3404"/>
    <w:rsid w:val="00FC3502"/>
    <w:rsid w:val="00FC3552"/>
    <w:rsid w:val="00FC362E"/>
    <w:rsid w:val="00FC385E"/>
    <w:rsid w:val="00FC386F"/>
    <w:rsid w:val="00FC3890"/>
    <w:rsid w:val="00FC38CC"/>
    <w:rsid w:val="00FC3980"/>
    <w:rsid w:val="00FC39A1"/>
    <w:rsid w:val="00FC3A68"/>
    <w:rsid w:val="00FC3AC3"/>
    <w:rsid w:val="00FC3B12"/>
    <w:rsid w:val="00FC3B55"/>
    <w:rsid w:val="00FC3BA4"/>
    <w:rsid w:val="00FC3D6A"/>
    <w:rsid w:val="00FC40C2"/>
    <w:rsid w:val="00FC41B8"/>
    <w:rsid w:val="00FC4299"/>
    <w:rsid w:val="00FC4341"/>
    <w:rsid w:val="00FC44BB"/>
    <w:rsid w:val="00FC451C"/>
    <w:rsid w:val="00FC453E"/>
    <w:rsid w:val="00FC45DF"/>
    <w:rsid w:val="00FC4683"/>
    <w:rsid w:val="00FC469B"/>
    <w:rsid w:val="00FC46F7"/>
    <w:rsid w:val="00FC47ED"/>
    <w:rsid w:val="00FC48E5"/>
    <w:rsid w:val="00FC492F"/>
    <w:rsid w:val="00FC49D0"/>
    <w:rsid w:val="00FC49FF"/>
    <w:rsid w:val="00FC4A4E"/>
    <w:rsid w:val="00FC4AB3"/>
    <w:rsid w:val="00FC4B55"/>
    <w:rsid w:val="00FC4C90"/>
    <w:rsid w:val="00FC4D17"/>
    <w:rsid w:val="00FC4D40"/>
    <w:rsid w:val="00FC4EDD"/>
    <w:rsid w:val="00FC505E"/>
    <w:rsid w:val="00FC50BB"/>
    <w:rsid w:val="00FC5210"/>
    <w:rsid w:val="00FC5256"/>
    <w:rsid w:val="00FC52F4"/>
    <w:rsid w:val="00FC5335"/>
    <w:rsid w:val="00FC5436"/>
    <w:rsid w:val="00FC5512"/>
    <w:rsid w:val="00FC5558"/>
    <w:rsid w:val="00FC555F"/>
    <w:rsid w:val="00FC557D"/>
    <w:rsid w:val="00FC56CF"/>
    <w:rsid w:val="00FC56D6"/>
    <w:rsid w:val="00FC5700"/>
    <w:rsid w:val="00FC5713"/>
    <w:rsid w:val="00FC573A"/>
    <w:rsid w:val="00FC575A"/>
    <w:rsid w:val="00FC5791"/>
    <w:rsid w:val="00FC57A4"/>
    <w:rsid w:val="00FC58A0"/>
    <w:rsid w:val="00FC5962"/>
    <w:rsid w:val="00FC5A15"/>
    <w:rsid w:val="00FC5AB2"/>
    <w:rsid w:val="00FC5BE3"/>
    <w:rsid w:val="00FC5C60"/>
    <w:rsid w:val="00FC5CEA"/>
    <w:rsid w:val="00FC5DBD"/>
    <w:rsid w:val="00FC5DCC"/>
    <w:rsid w:val="00FC5DEF"/>
    <w:rsid w:val="00FC5E4F"/>
    <w:rsid w:val="00FC5F22"/>
    <w:rsid w:val="00FC5FC8"/>
    <w:rsid w:val="00FC6024"/>
    <w:rsid w:val="00FC6056"/>
    <w:rsid w:val="00FC6099"/>
    <w:rsid w:val="00FC619F"/>
    <w:rsid w:val="00FC61A2"/>
    <w:rsid w:val="00FC61AA"/>
    <w:rsid w:val="00FC61B8"/>
    <w:rsid w:val="00FC61E2"/>
    <w:rsid w:val="00FC6202"/>
    <w:rsid w:val="00FC62C6"/>
    <w:rsid w:val="00FC6328"/>
    <w:rsid w:val="00FC649C"/>
    <w:rsid w:val="00FC64DB"/>
    <w:rsid w:val="00FC6573"/>
    <w:rsid w:val="00FC66FB"/>
    <w:rsid w:val="00FC6815"/>
    <w:rsid w:val="00FC6829"/>
    <w:rsid w:val="00FC688F"/>
    <w:rsid w:val="00FC68FC"/>
    <w:rsid w:val="00FC68FE"/>
    <w:rsid w:val="00FC6919"/>
    <w:rsid w:val="00FC69A5"/>
    <w:rsid w:val="00FC6A24"/>
    <w:rsid w:val="00FC6A53"/>
    <w:rsid w:val="00FC6B95"/>
    <w:rsid w:val="00FC6CD0"/>
    <w:rsid w:val="00FC6CE0"/>
    <w:rsid w:val="00FC6F52"/>
    <w:rsid w:val="00FC704E"/>
    <w:rsid w:val="00FC7083"/>
    <w:rsid w:val="00FC716F"/>
    <w:rsid w:val="00FC71A4"/>
    <w:rsid w:val="00FC71BD"/>
    <w:rsid w:val="00FC720A"/>
    <w:rsid w:val="00FC73A5"/>
    <w:rsid w:val="00FC7408"/>
    <w:rsid w:val="00FC747F"/>
    <w:rsid w:val="00FC76C0"/>
    <w:rsid w:val="00FC7805"/>
    <w:rsid w:val="00FC78CA"/>
    <w:rsid w:val="00FC7969"/>
    <w:rsid w:val="00FC7A76"/>
    <w:rsid w:val="00FC7ACC"/>
    <w:rsid w:val="00FC7B90"/>
    <w:rsid w:val="00FC7BAF"/>
    <w:rsid w:val="00FC7C46"/>
    <w:rsid w:val="00FC7CA0"/>
    <w:rsid w:val="00FC7FAE"/>
    <w:rsid w:val="00FC7FC7"/>
    <w:rsid w:val="00FD0005"/>
    <w:rsid w:val="00FD0093"/>
    <w:rsid w:val="00FD038F"/>
    <w:rsid w:val="00FD03F3"/>
    <w:rsid w:val="00FD06DE"/>
    <w:rsid w:val="00FD07ED"/>
    <w:rsid w:val="00FD08E9"/>
    <w:rsid w:val="00FD0A75"/>
    <w:rsid w:val="00FD0AE9"/>
    <w:rsid w:val="00FD0BF8"/>
    <w:rsid w:val="00FD0E19"/>
    <w:rsid w:val="00FD0EF7"/>
    <w:rsid w:val="00FD0F74"/>
    <w:rsid w:val="00FD1095"/>
    <w:rsid w:val="00FD115A"/>
    <w:rsid w:val="00FD11EE"/>
    <w:rsid w:val="00FD1247"/>
    <w:rsid w:val="00FD1270"/>
    <w:rsid w:val="00FD1296"/>
    <w:rsid w:val="00FD1350"/>
    <w:rsid w:val="00FD140F"/>
    <w:rsid w:val="00FD14B0"/>
    <w:rsid w:val="00FD14FF"/>
    <w:rsid w:val="00FD150B"/>
    <w:rsid w:val="00FD157B"/>
    <w:rsid w:val="00FD1602"/>
    <w:rsid w:val="00FD1668"/>
    <w:rsid w:val="00FD172F"/>
    <w:rsid w:val="00FD1761"/>
    <w:rsid w:val="00FD18CD"/>
    <w:rsid w:val="00FD1A3D"/>
    <w:rsid w:val="00FD1B55"/>
    <w:rsid w:val="00FD1B7D"/>
    <w:rsid w:val="00FD1BB4"/>
    <w:rsid w:val="00FD1BDC"/>
    <w:rsid w:val="00FD1D71"/>
    <w:rsid w:val="00FD1F5F"/>
    <w:rsid w:val="00FD1F60"/>
    <w:rsid w:val="00FD2030"/>
    <w:rsid w:val="00FD2055"/>
    <w:rsid w:val="00FD2189"/>
    <w:rsid w:val="00FD22A3"/>
    <w:rsid w:val="00FD2325"/>
    <w:rsid w:val="00FD24BA"/>
    <w:rsid w:val="00FD26AC"/>
    <w:rsid w:val="00FD283E"/>
    <w:rsid w:val="00FD284B"/>
    <w:rsid w:val="00FD28A0"/>
    <w:rsid w:val="00FD28BA"/>
    <w:rsid w:val="00FD28FD"/>
    <w:rsid w:val="00FD2A53"/>
    <w:rsid w:val="00FD2B11"/>
    <w:rsid w:val="00FD2B48"/>
    <w:rsid w:val="00FD2BDF"/>
    <w:rsid w:val="00FD2BED"/>
    <w:rsid w:val="00FD2BF5"/>
    <w:rsid w:val="00FD2C6C"/>
    <w:rsid w:val="00FD2CA7"/>
    <w:rsid w:val="00FD2CE6"/>
    <w:rsid w:val="00FD2D02"/>
    <w:rsid w:val="00FD2DCC"/>
    <w:rsid w:val="00FD2DD8"/>
    <w:rsid w:val="00FD2E12"/>
    <w:rsid w:val="00FD2E42"/>
    <w:rsid w:val="00FD2EAA"/>
    <w:rsid w:val="00FD2F84"/>
    <w:rsid w:val="00FD302F"/>
    <w:rsid w:val="00FD3192"/>
    <w:rsid w:val="00FD31ED"/>
    <w:rsid w:val="00FD31FD"/>
    <w:rsid w:val="00FD3244"/>
    <w:rsid w:val="00FD325C"/>
    <w:rsid w:val="00FD327F"/>
    <w:rsid w:val="00FD332B"/>
    <w:rsid w:val="00FD33AF"/>
    <w:rsid w:val="00FD3440"/>
    <w:rsid w:val="00FD3477"/>
    <w:rsid w:val="00FD349A"/>
    <w:rsid w:val="00FD35E0"/>
    <w:rsid w:val="00FD3638"/>
    <w:rsid w:val="00FD3650"/>
    <w:rsid w:val="00FD375E"/>
    <w:rsid w:val="00FD38A6"/>
    <w:rsid w:val="00FD3935"/>
    <w:rsid w:val="00FD39F1"/>
    <w:rsid w:val="00FD3B6D"/>
    <w:rsid w:val="00FD3C34"/>
    <w:rsid w:val="00FD3CEC"/>
    <w:rsid w:val="00FD3D21"/>
    <w:rsid w:val="00FD3D2C"/>
    <w:rsid w:val="00FD3E77"/>
    <w:rsid w:val="00FD3EBE"/>
    <w:rsid w:val="00FD3ECE"/>
    <w:rsid w:val="00FD3F01"/>
    <w:rsid w:val="00FD3FC3"/>
    <w:rsid w:val="00FD4040"/>
    <w:rsid w:val="00FD420C"/>
    <w:rsid w:val="00FD4256"/>
    <w:rsid w:val="00FD42D9"/>
    <w:rsid w:val="00FD4364"/>
    <w:rsid w:val="00FD4487"/>
    <w:rsid w:val="00FD44F7"/>
    <w:rsid w:val="00FD4546"/>
    <w:rsid w:val="00FD462D"/>
    <w:rsid w:val="00FD4771"/>
    <w:rsid w:val="00FD4A11"/>
    <w:rsid w:val="00FD4A21"/>
    <w:rsid w:val="00FD4A77"/>
    <w:rsid w:val="00FD4AF3"/>
    <w:rsid w:val="00FD4BE1"/>
    <w:rsid w:val="00FD4CCE"/>
    <w:rsid w:val="00FD4D7C"/>
    <w:rsid w:val="00FD4DB2"/>
    <w:rsid w:val="00FD4EEA"/>
    <w:rsid w:val="00FD4F64"/>
    <w:rsid w:val="00FD4FB8"/>
    <w:rsid w:val="00FD4FD4"/>
    <w:rsid w:val="00FD5012"/>
    <w:rsid w:val="00FD5071"/>
    <w:rsid w:val="00FD5176"/>
    <w:rsid w:val="00FD517F"/>
    <w:rsid w:val="00FD5196"/>
    <w:rsid w:val="00FD532F"/>
    <w:rsid w:val="00FD5363"/>
    <w:rsid w:val="00FD5494"/>
    <w:rsid w:val="00FD54EF"/>
    <w:rsid w:val="00FD5689"/>
    <w:rsid w:val="00FD5700"/>
    <w:rsid w:val="00FD574A"/>
    <w:rsid w:val="00FD5828"/>
    <w:rsid w:val="00FD5882"/>
    <w:rsid w:val="00FD592F"/>
    <w:rsid w:val="00FD5953"/>
    <w:rsid w:val="00FD5979"/>
    <w:rsid w:val="00FD5994"/>
    <w:rsid w:val="00FD59C2"/>
    <w:rsid w:val="00FD5B57"/>
    <w:rsid w:val="00FD5B74"/>
    <w:rsid w:val="00FD5D65"/>
    <w:rsid w:val="00FD5D6E"/>
    <w:rsid w:val="00FD5E06"/>
    <w:rsid w:val="00FD5E4B"/>
    <w:rsid w:val="00FD601A"/>
    <w:rsid w:val="00FD6059"/>
    <w:rsid w:val="00FD607E"/>
    <w:rsid w:val="00FD609A"/>
    <w:rsid w:val="00FD60A3"/>
    <w:rsid w:val="00FD6197"/>
    <w:rsid w:val="00FD623D"/>
    <w:rsid w:val="00FD62CC"/>
    <w:rsid w:val="00FD6496"/>
    <w:rsid w:val="00FD651B"/>
    <w:rsid w:val="00FD6526"/>
    <w:rsid w:val="00FD659A"/>
    <w:rsid w:val="00FD65C0"/>
    <w:rsid w:val="00FD6641"/>
    <w:rsid w:val="00FD6652"/>
    <w:rsid w:val="00FD66C1"/>
    <w:rsid w:val="00FD6790"/>
    <w:rsid w:val="00FD67FE"/>
    <w:rsid w:val="00FD6886"/>
    <w:rsid w:val="00FD6B26"/>
    <w:rsid w:val="00FD6B43"/>
    <w:rsid w:val="00FD6BA0"/>
    <w:rsid w:val="00FD6BF7"/>
    <w:rsid w:val="00FD6C56"/>
    <w:rsid w:val="00FD6C7B"/>
    <w:rsid w:val="00FD6CBB"/>
    <w:rsid w:val="00FD6D7B"/>
    <w:rsid w:val="00FD6D8B"/>
    <w:rsid w:val="00FD6D98"/>
    <w:rsid w:val="00FD6EA3"/>
    <w:rsid w:val="00FD6EB6"/>
    <w:rsid w:val="00FD6EBB"/>
    <w:rsid w:val="00FD6F46"/>
    <w:rsid w:val="00FD6FF5"/>
    <w:rsid w:val="00FD7028"/>
    <w:rsid w:val="00FD716D"/>
    <w:rsid w:val="00FD718B"/>
    <w:rsid w:val="00FD729F"/>
    <w:rsid w:val="00FD73CC"/>
    <w:rsid w:val="00FD74A4"/>
    <w:rsid w:val="00FD74CF"/>
    <w:rsid w:val="00FD7644"/>
    <w:rsid w:val="00FD76C5"/>
    <w:rsid w:val="00FD789C"/>
    <w:rsid w:val="00FD7986"/>
    <w:rsid w:val="00FD79E8"/>
    <w:rsid w:val="00FD7A22"/>
    <w:rsid w:val="00FD7B41"/>
    <w:rsid w:val="00FD7BD2"/>
    <w:rsid w:val="00FE0005"/>
    <w:rsid w:val="00FE002F"/>
    <w:rsid w:val="00FE00D6"/>
    <w:rsid w:val="00FE0147"/>
    <w:rsid w:val="00FE036A"/>
    <w:rsid w:val="00FE03A6"/>
    <w:rsid w:val="00FE03FA"/>
    <w:rsid w:val="00FE042F"/>
    <w:rsid w:val="00FE0475"/>
    <w:rsid w:val="00FE04FC"/>
    <w:rsid w:val="00FE054E"/>
    <w:rsid w:val="00FE063E"/>
    <w:rsid w:val="00FE0643"/>
    <w:rsid w:val="00FE0707"/>
    <w:rsid w:val="00FE070F"/>
    <w:rsid w:val="00FE0786"/>
    <w:rsid w:val="00FE0795"/>
    <w:rsid w:val="00FE08E6"/>
    <w:rsid w:val="00FE0993"/>
    <w:rsid w:val="00FE09B5"/>
    <w:rsid w:val="00FE0B08"/>
    <w:rsid w:val="00FE0C70"/>
    <w:rsid w:val="00FE0CDB"/>
    <w:rsid w:val="00FE0EF9"/>
    <w:rsid w:val="00FE0F42"/>
    <w:rsid w:val="00FE0FFA"/>
    <w:rsid w:val="00FE1003"/>
    <w:rsid w:val="00FE10AB"/>
    <w:rsid w:val="00FE10FD"/>
    <w:rsid w:val="00FE1120"/>
    <w:rsid w:val="00FE11E0"/>
    <w:rsid w:val="00FE11E9"/>
    <w:rsid w:val="00FE123C"/>
    <w:rsid w:val="00FE12AD"/>
    <w:rsid w:val="00FE1356"/>
    <w:rsid w:val="00FE1665"/>
    <w:rsid w:val="00FE16E5"/>
    <w:rsid w:val="00FE17AE"/>
    <w:rsid w:val="00FE1896"/>
    <w:rsid w:val="00FE1B1E"/>
    <w:rsid w:val="00FE1BF9"/>
    <w:rsid w:val="00FE1CE1"/>
    <w:rsid w:val="00FE1D93"/>
    <w:rsid w:val="00FE1EEC"/>
    <w:rsid w:val="00FE1F9A"/>
    <w:rsid w:val="00FE20C6"/>
    <w:rsid w:val="00FE21D8"/>
    <w:rsid w:val="00FE2251"/>
    <w:rsid w:val="00FE22D1"/>
    <w:rsid w:val="00FE2386"/>
    <w:rsid w:val="00FE24AE"/>
    <w:rsid w:val="00FE2522"/>
    <w:rsid w:val="00FE253F"/>
    <w:rsid w:val="00FE2569"/>
    <w:rsid w:val="00FE25E3"/>
    <w:rsid w:val="00FE25F3"/>
    <w:rsid w:val="00FE266F"/>
    <w:rsid w:val="00FE26F3"/>
    <w:rsid w:val="00FE272E"/>
    <w:rsid w:val="00FE27DB"/>
    <w:rsid w:val="00FE2817"/>
    <w:rsid w:val="00FE2956"/>
    <w:rsid w:val="00FE297C"/>
    <w:rsid w:val="00FE29CB"/>
    <w:rsid w:val="00FE2A12"/>
    <w:rsid w:val="00FE2F2C"/>
    <w:rsid w:val="00FE2F69"/>
    <w:rsid w:val="00FE3076"/>
    <w:rsid w:val="00FE30B0"/>
    <w:rsid w:val="00FE3110"/>
    <w:rsid w:val="00FE3313"/>
    <w:rsid w:val="00FE3325"/>
    <w:rsid w:val="00FE3348"/>
    <w:rsid w:val="00FE347C"/>
    <w:rsid w:val="00FE3492"/>
    <w:rsid w:val="00FE35DA"/>
    <w:rsid w:val="00FE3607"/>
    <w:rsid w:val="00FE368E"/>
    <w:rsid w:val="00FE369E"/>
    <w:rsid w:val="00FE3702"/>
    <w:rsid w:val="00FE37A0"/>
    <w:rsid w:val="00FE37AC"/>
    <w:rsid w:val="00FE37B3"/>
    <w:rsid w:val="00FE37F8"/>
    <w:rsid w:val="00FE3813"/>
    <w:rsid w:val="00FE3830"/>
    <w:rsid w:val="00FE3887"/>
    <w:rsid w:val="00FE39A6"/>
    <w:rsid w:val="00FE39E1"/>
    <w:rsid w:val="00FE3A69"/>
    <w:rsid w:val="00FE3AA2"/>
    <w:rsid w:val="00FE3B07"/>
    <w:rsid w:val="00FE3B91"/>
    <w:rsid w:val="00FE3B97"/>
    <w:rsid w:val="00FE3C35"/>
    <w:rsid w:val="00FE3D08"/>
    <w:rsid w:val="00FE3DD4"/>
    <w:rsid w:val="00FE3DDF"/>
    <w:rsid w:val="00FE3F70"/>
    <w:rsid w:val="00FE40C9"/>
    <w:rsid w:val="00FE4134"/>
    <w:rsid w:val="00FE4331"/>
    <w:rsid w:val="00FE43A7"/>
    <w:rsid w:val="00FE44BA"/>
    <w:rsid w:val="00FE4576"/>
    <w:rsid w:val="00FE4645"/>
    <w:rsid w:val="00FE4736"/>
    <w:rsid w:val="00FE477C"/>
    <w:rsid w:val="00FE4786"/>
    <w:rsid w:val="00FE47BA"/>
    <w:rsid w:val="00FE47D5"/>
    <w:rsid w:val="00FE4853"/>
    <w:rsid w:val="00FE4880"/>
    <w:rsid w:val="00FE494D"/>
    <w:rsid w:val="00FE496F"/>
    <w:rsid w:val="00FE49B9"/>
    <w:rsid w:val="00FE49DC"/>
    <w:rsid w:val="00FE4AC8"/>
    <w:rsid w:val="00FE4AF4"/>
    <w:rsid w:val="00FE4AFD"/>
    <w:rsid w:val="00FE4B85"/>
    <w:rsid w:val="00FE4DA7"/>
    <w:rsid w:val="00FE4E4A"/>
    <w:rsid w:val="00FE4E9F"/>
    <w:rsid w:val="00FE4ECC"/>
    <w:rsid w:val="00FE4EFA"/>
    <w:rsid w:val="00FE4F9C"/>
    <w:rsid w:val="00FE501E"/>
    <w:rsid w:val="00FE5023"/>
    <w:rsid w:val="00FE5115"/>
    <w:rsid w:val="00FE518B"/>
    <w:rsid w:val="00FE5285"/>
    <w:rsid w:val="00FE52A2"/>
    <w:rsid w:val="00FE52D7"/>
    <w:rsid w:val="00FE53DC"/>
    <w:rsid w:val="00FE550B"/>
    <w:rsid w:val="00FE55CF"/>
    <w:rsid w:val="00FE5687"/>
    <w:rsid w:val="00FE56C7"/>
    <w:rsid w:val="00FE5727"/>
    <w:rsid w:val="00FE5866"/>
    <w:rsid w:val="00FE5889"/>
    <w:rsid w:val="00FE5960"/>
    <w:rsid w:val="00FE59AF"/>
    <w:rsid w:val="00FE5A46"/>
    <w:rsid w:val="00FE5A4C"/>
    <w:rsid w:val="00FE5B33"/>
    <w:rsid w:val="00FE5B8B"/>
    <w:rsid w:val="00FE5BCC"/>
    <w:rsid w:val="00FE5C74"/>
    <w:rsid w:val="00FE5D6F"/>
    <w:rsid w:val="00FE5EDC"/>
    <w:rsid w:val="00FE5F22"/>
    <w:rsid w:val="00FE5F24"/>
    <w:rsid w:val="00FE5F2A"/>
    <w:rsid w:val="00FE5F7F"/>
    <w:rsid w:val="00FE605F"/>
    <w:rsid w:val="00FE609E"/>
    <w:rsid w:val="00FE6142"/>
    <w:rsid w:val="00FE61D3"/>
    <w:rsid w:val="00FE6250"/>
    <w:rsid w:val="00FE62B8"/>
    <w:rsid w:val="00FE6308"/>
    <w:rsid w:val="00FE640C"/>
    <w:rsid w:val="00FE6484"/>
    <w:rsid w:val="00FE6542"/>
    <w:rsid w:val="00FE6597"/>
    <w:rsid w:val="00FE6610"/>
    <w:rsid w:val="00FE677E"/>
    <w:rsid w:val="00FE6858"/>
    <w:rsid w:val="00FE68D7"/>
    <w:rsid w:val="00FE6B0F"/>
    <w:rsid w:val="00FE6B55"/>
    <w:rsid w:val="00FE6B89"/>
    <w:rsid w:val="00FE6BAC"/>
    <w:rsid w:val="00FE6BB0"/>
    <w:rsid w:val="00FE6C21"/>
    <w:rsid w:val="00FE6C84"/>
    <w:rsid w:val="00FE6CAE"/>
    <w:rsid w:val="00FE6D72"/>
    <w:rsid w:val="00FE6E4B"/>
    <w:rsid w:val="00FE6E6E"/>
    <w:rsid w:val="00FE6F4C"/>
    <w:rsid w:val="00FE70AA"/>
    <w:rsid w:val="00FE7145"/>
    <w:rsid w:val="00FE719E"/>
    <w:rsid w:val="00FE73C6"/>
    <w:rsid w:val="00FE73EA"/>
    <w:rsid w:val="00FE7425"/>
    <w:rsid w:val="00FE747A"/>
    <w:rsid w:val="00FE75EA"/>
    <w:rsid w:val="00FE7674"/>
    <w:rsid w:val="00FE7729"/>
    <w:rsid w:val="00FE7874"/>
    <w:rsid w:val="00FE78A5"/>
    <w:rsid w:val="00FE795A"/>
    <w:rsid w:val="00FE7BE0"/>
    <w:rsid w:val="00FE7BE7"/>
    <w:rsid w:val="00FE7C0F"/>
    <w:rsid w:val="00FE7C5C"/>
    <w:rsid w:val="00FE7CCF"/>
    <w:rsid w:val="00FE7DA2"/>
    <w:rsid w:val="00FE7DE3"/>
    <w:rsid w:val="00FE7E49"/>
    <w:rsid w:val="00FF0011"/>
    <w:rsid w:val="00FF0113"/>
    <w:rsid w:val="00FF014C"/>
    <w:rsid w:val="00FF0186"/>
    <w:rsid w:val="00FF0381"/>
    <w:rsid w:val="00FF0383"/>
    <w:rsid w:val="00FF05BA"/>
    <w:rsid w:val="00FF0604"/>
    <w:rsid w:val="00FF0642"/>
    <w:rsid w:val="00FF065F"/>
    <w:rsid w:val="00FF06E9"/>
    <w:rsid w:val="00FF082E"/>
    <w:rsid w:val="00FF09A1"/>
    <w:rsid w:val="00FF09E0"/>
    <w:rsid w:val="00FF0AD4"/>
    <w:rsid w:val="00FF0B2F"/>
    <w:rsid w:val="00FF0B60"/>
    <w:rsid w:val="00FF0C8E"/>
    <w:rsid w:val="00FF0CA8"/>
    <w:rsid w:val="00FF0CAA"/>
    <w:rsid w:val="00FF0D0C"/>
    <w:rsid w:val="00FF0DB5"/>
    <w:rsid w:val="00FF0E17"/>
    <w:rsid w:val="00FF0F8A"/>
    <w:rsid w:val="00FF0FD5"/>
    <w:rsid w:val="00FF107A"/>
    <w:rsid w:val="00FF1082"/>
    <w:rsid w:val="00FF10F1"/>
    <w:rsid w:val="00FF117D"/>
    <w:rsid w:val="00FF1192"/>
    <w:rsid w:val="00FF1224"/>
    <w:rsid w:val="00FF1296"/>
    <w:rsid w:val="00FF1301"/>
    <w:rsid w:val="00FF1391"/>
    <w:rsid w:val="00FF13E5"/>
    <w:rsid w:val="00FF13F1"/>
    <w:rsid w:val="00FF1449"/>
    <w:rsid w:val="00FF1522"/>
    <w:rsid w:val="00FF168E"/>
    <w:rsid w:val="00FF1810"/>
    <w:rsid w:val="00FF1943"/>
    <w:rsid w:val="00FF1A44"/>
    <w:rsid w:val="00FF1A4E"/>
    <w:rsid w:val="00FF1A6F"/>
    <w:rsid w:val="00FF1B27"/>
    <w:rsid w:val="00FF1C54"/>
    <w:rsid w:val="00FF1CA9"/>
    <w:rsid w:val="00FF1DB3"/>
    <w:rsid w:val="00FF1E40"/>
    <w:rsid w:val="00FF1F1C"/>
    <w:rsid w:val="00FF1F32"/>
    <w:rsid w:val="00FF200C"/>
    <w:rsid w:val="00FF2029"/>
    <w:rsid w:val="00FF204A"/>
    <w:rsid w:val="00FF205B"/>
    <w:rsid w:val="00FF2098"/>
    <w:rsid w:val="00FF210E"/>
    <w:rsid w:val="00FF212B"/>
    <w:rsid w:val="00FF21E7"/>
    <w:rsid w:val="00FF22B1"/>
    <w:rsid w:val="00FF23B0"/>
    <w:rsid w:val="00FF23C6"/>
    <w:rsid w:val="00FF2400"/>
    <w:rsid w:val="00FF2415"/>
    <w:rsid w:val="00FF2448"/>
    <w:rsid w:val="00FF26A7"/>
    <w:rsid w:val="00FF26D1"/>
    <w:rsid w:val="00FF26F6"/>
    <w:rsid w:val="00FF2738"/>
    <w:rsid w:val="00FF2745"/>
    <w:rsid w:val="00FF277F"/>
    <w:rsid w:val="00FF280E"/>
    <w:rsid w:val="00FF2889"/>
    <w:rsid w:val="00FF2962"/>
    <w:rsid w:val="00FF2975"/>
    <w:rsid w:val="00FF2A49"/>
    <w:rsid w:val="00FF2BF3"/>
    <w:rsid w:val="00FF2D45"/>
    <w:rsid w:val="00FF2D51"/>
    <w:rsid w:val="00FF2E76"/>
    <w:rsid w:val="00FF2EE3"/>
    <w:rsid w:val="00FF3000"/>
    <w:rsid w:val="00FF3091"/>
    <w:rsid w:val="00FF30AF"/>
    <w:rsid w:val="00FF30BA"/>
    <w:rsid w:val="00FF30DE"/>
    <w:rsid w:val="00FF315E"/>
    <w:rsid w:val="00FF316C"/>
    <w:rsid w:val="00FF324D"/>
    <w:rsid w:val="00FF3378"/>
    <w:rsid w:val="00FF33D4"/>
    <w:rsid w:val="00FF3404"/>
    <w:rsid w:val="00FF3432"/>
    <w:rsid w:val="00FF34B7"/>
    <w:rsid w:val="00FF354E"/>
    <w:rsid w:val="00FF3623"/>
    <w:rsid w:val="00FF371A"/>
    <w:rsid w:val="00FF373D"/>
    <w:rsid w:val="00FF3747"/>
    <w:rsid w:val="00FF37C7"/>
    <w:rsid w:val="00FF37C8"/>
    <w:rsid w:val="00FF38DF"/>
    <w:rsid w:val="00FF3918"/>
    <w:rsid w:val="00FF393A"/>
    <w:rsid w:val="00FF3A1B"/>
    <w:rsid w:val="00FF3B6F"/>
    <w:rsid w:val="00FF3B9A"/>
    <w:rsid w:val="00FF3B9C"/>
    <w:rsid w:val="00FF3D97"/>
    <w:rsid w:val="00FF3E9E"/>
    <w:rsid w:val="00FF3F1A"/>
    <w:rsid w:val="00FF414A"/>
    <w:rsid w:val="00FF4279"/>
    <w:rsid w:val="00FF4306"/>
    <w:rsid w:val="00FF4331"/>
    <w:rsid w:val="00FF43A7"/>
    <w:rsid w:val="00FF43FB"/>
    <w:rsid w:val="00FF45D9"/>
    <w:rsid w:val="00FF46AE"/>
    <w:rsid w:val="00FF4759"/>
    <w:rsid w:val="00FF47C2"/>
    <w:rsid w:val="00FF47CE"/>
    <w:rsid w:val="00FF481A"/>
    <w:rsid w:val="00FF4965"/>
    <w:rsid w:val="00FF4975"/>
    <w:rsid w:val="00FF49FB"/>
    <w:rsid w:val="00FF4B0D"/>
    <w:rsid w:val="00FF4BB2"/>
    <w:rsid w:val="00FF4C19"/>
    <w:rsid w:val="00FF4C24"/>
    <w:rsid w:val="00FF4C94"/>
    <w:rsid w:val="00FF504C"/>
    <w:rsid w:val="00FF5192"/>
    <w:rsid w:val="00FF5278"/>
    <w:rsid w:val="00FF5280"/>
    <w:rsid w:val="00FF5358"/>
    <w:rsid w:val="00FF5441"/>
    <w:rsid w:val="00FF5623"/>
    <w:rsid w:val="00FF5648"/>
    <w:rsid w:val="00FF5660"/>
    <w:rsid w:val="00FF5691"/>
    <w:rsid w:val="00FF56FA"/>
    <w:rsid w:val="00FF56FD"/>
    <w:rsid w:val="00FF5785"/>
    <w:rsid w:val="00FF580A"/>
    <w:rsid w:val="00FF580B"/>
    <w:rsid w:val="00FF590C"/>
    <w:rsid w:val="00FF59DA"/>
    <w:rsid w:val="00FF5C39"/>
    <w:rsid w:val="00FF5D60"/>
    <w:rsid w:val="00FF5D77"/>
    <w:rsid w:val="00FF5E0B"/>
    <w:rsid w:val="00FF5EC3"/>
    <w:rsid w:val="00FF5F51"/>
    <w:rsid w:val="00FF600E"/>
    <w:rsid w:val="00FF608B"/>
    <w:rsid w:val="00FF60A6"/>
    <w:rsid w:val="00FF610E"/>
    <w:rsid w:val="00FF6254"/>
    <w:rsid w:val="00FF6279"/>
    <w:rsid w:val="00FF633B"/>
    <w:rsid w:val="00FF635D"/>
    <w:rsid w:val="00FF6426"/>
    <w:rsid w:val="00FF6631"/>
    <w:rsid w:val="00FF665C"/>
    <w:rsid w:val="00FF667D"/>
    <w:rsid w:val="00FF677C"/>
    <w:rsid w:val="00FF683E"/>
    <w:rsid w:val="00FF68A9"/>
    <w:rsid w:val="00FF68FA"/>
    <w:rsid w:val="00FF69A4"/>
    <w:rsid w:val="00FF6A07"/>
    <w:rsid w:val="00FF6A3E"/>
    <w:rsid w:val="00FF6A59"/>
    <w:rsid w:val="00FF6CDD"/>
    <w:rsid w:val="00FF6DAC"/>
    <w:rsid w:val="00FF6F91"/>
    <w:rsid w:val="00FF704F"/>
    <w:rsid w:val="00FF7162"/>
    <w:rsid w:val="00FF7169"/>
    <w:rsid w:val="00FF717A"/>
    <w:rsid w:val="00FF7281"/>
    <w:rsid w:val="00FF72AE"/>
    <w:rsid w:val="00FF7392"/>
    <w:rsid w:val="00FF73AF"/>
    <w:rsid w:val="00FF741E"/>
    <w:rsid w:val="00FF754F"/>
    <w:rsid w:val="00FF7551"/>
    <w:rsid w:val="00FF757B"/>
    <w:rsid w:val="00FF7634"/>
    <w:rsid w:val="00FF77A2"/>
    <w:rsid w:val="00FF77E1"/>
    <w:rsid w:val="00FF7871"/>
    <w:rsid w:val="00FF7903"/>
    <w:rsid w:val="00FF79BA"/>
    <w:rsid w:val="00FF7A4A"/>
    <w:rsid w:val="00FF7AA4"/>
    <w:rsid w:val="00FF7B52"/>
    <w:rsid w:val="00FF7B6E"/>
    <w:rsid w:val="00FF7B82"/>
    <w:rsid w:val="00FF7C44"/>
    <w:rsid w:val="00FF7CB6"/>
    <w:rsid w:val="00FF7D02"/>
    <w:rsid w:val="00FF7D69"/>
    <w:rsid w:val="00FF7D91"/>
    <w:rsid w:val="00FF7D96"/>
    <w:rsid w:val="00FF7DED"/>
    <w:rsid w:val="00FF7E23"/>
    <w:rsid w:val="00FF7E82"/>
    <w:rsid w:val="00FF7EA6"/>
    <w:rsid w:val="00FF7EBF"/>
    <w:rsid w:val="00FF7F3E"/>
    <w:rsid w:val="00FF7F6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3c,#33f,#006,#00c"/>
    </o:shapedefaults>
    <o:shapelayout v:ext="edit">
      <o:idmap v:ext="edit" data="1"/>
    </o:shapelayout>
  </w:shapeDefaults>
  <w:decimalSymbol w:val="."/>
  <w:listSeparator w:val=","/>
  <w14:docId w14:val="0F42C22B"/>
  <w15:docId w15:val="{0BFA3DCF-5A7B-4B36-87B5-4E9E0907F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157B"/>
    <w:rPr>
      <w:sz w:val="24"/>
      <w:szCs w:val="24"/>
      <w:lang w:eastAsia="es-ES"/>
    </w:rPr>
  </w:style>
  <w:style w:type="paragraph" w:styleId="Ttulo1">
    <w:name w:val="heading 1"/>
    <w:aliases w:val="num.                          1"/>
    <w:basedOn w:val="Normal"/>
    <w:link w:val="Ttulo1Car"/>
    <w:uiPriority w:val="9"/>
    <w:qFormat/>
    <w:rsid w:val="00412ED0"/>
    <w:pPr>
      <w:spacing w:before="100" w:beforeAutospacing="1" w:after="100" w:afterAutospacing="1"/>
      <w:outlineLvl w:val="0"/>
    </w:pPr>
    <w:rPr>
      <w:rFonts w:ascii="Arial" w:hAnsi="Arial" w:cs="Arial"/>
      <w:b/>
      <w:bCs/>
      <w:kern w:val="36"/>
      <w:sz w:val="48"/>
      <w:szCs w:val="48"/>
      <w:lang w:eastAsia="es-MX"/>
    </w:rPr>
  </w:style>
  <w:style w:type="paragraph" w:styleId="Ttulo2">
    <w:name w:val="heading 2"/>
    <w:basedOn w:val="Normal"/>
    <w:next w:val="Normal"/>
    <w:link w:val="Ttulo2Car"/>
    <w:uiPriority w:val="9"/>
    <w:qFormat/>
    <w:rsid w:val="002B0452"/>
    <w:pPr>
      <w:keepNext/>
      <w:spacing w:before="60" w:after="60"/>
      <w:jc w:val="center"/>
      <w:outlineLvl w:val="1"/>
    </w:pPr>
    <w:rPr>
      <w:b/>
      <w:bCs/>
      <w:sz w:val="16"/>
      <w:szCs w:val="26"/>
      <w:lang w:val="es-ES"/>
    </w:rPr>
  </w:style>
  <w:style w:type="paragraph" w:styleId="Ttulo3">
    <w:name w:val="heading 3"/>
    <w:aliases w:val="num.                                              3"/>
    <w:basedOn w:val="Normal"/>
    <w:next w:val="Normal"/>
    <w:link w:val="Ttulo3Car"/>
    <w:uiPriority w:val="9"/>
    <w:qFormat/>
    <w:rsid w:val="002B0452"/>
    <w:pPr>
      <w:keepNext/>
      <w:spacing w:after="120"/>
      <w:jc w:val="center"/>
      <w:outlineLvl w:val="2"/>
    </w:pPr>
    <w:rPr>
      <w:b/>
      <w:bCs/>
      <w:sz w:val="22"/>
      <w:szCs w:val="22"/>
      <w:lang w:val="es-ES"/>
    </w:rPr>
  </w:style>
  <w:style w:type="paragraph" w:styleId="Ttulo4">
    <w:name w:val="heading 4"/>
    <w:aliases w:val="num.                                               4"/>
    <w:basedOn w:val="Normal"/>
    <w:next w:val="Normal"/>
    <w:link w:val="Ttulo4Car"/>
    <w:uiPriority w:val="9"/>
    <w:qFormat/>
    <w:rsid w:val="002B0452"/>
    <w:pPr>
      <w:keepNext/>
      <w:jc w:val="center"/>
      <w:outlineLvl w:val="3"/>
    </w:pPr>
    <w:rPr>
      <w:b/>
      <w:bCs/>
      <w:caps/>
      <w:sz w:val="18"/>
      <w:szCs w:val="26"/>
      <w:lang w:val="es-ES"/>
    </w:rPr>
  </w:style>
  <w:style w:type="paragraph" w:styleId="Ttulo5">
    <w:name w:val="heading 5"/>
    <w:aliases w:val="num.                                       5"/>
    <w:basedOn w:val="Normal"/>
    <w:next w:val="Normal"/>
    <w:link w:val="Ttulo5Car"/>
    <w:uiPriority w:val="9"/>
    <w:qFormat/>
    <w:rsid w:val="002B0452"/>
    <w:pPr>
      <w:keepNext/>
      <w:jc w:val="center"/>
      <w:outlineLvl w:val="4"/>
    </w:pPr>
    <w:rPr>
      <w:b/>
      <w:bCs/>
      <w:sz w:val="20"/>
      <w:szCs w:val="22"/>
      <w:lang w:val="es-ES"/>
    </w:rPr>
  </w:style>
  <w:style w:type="paragraph" w:styleId="Ttulo6">
    <w:name w:val="heading 6"/>
    <w:basedOn w:val="Normal"/>
    <w:next w:val="Normal"/>
    <w:link w:val="Ttulo6Car"/>
    <w:uiPriority w:val="9"/>
    <w:qFormat/>
    <w:rsid w:val="002B0452"/>
    <w:pPr>
      <w:keepNext/>
      <w:spacing w:after="120"/>
      <w:jc w:val="center"/>
      <w:outlineLvl w:val="5"/>
    </w:pPr>
    <w:rPr>
      <w:b/>
      <w:sz w:val="26"/>
      <w:szCs w:val="26"/>
      <w:lang w:val="es-ES"/>
    </w:rPr>
  </w:style>
  <w:style w:type="paragraph" w:styleId="Ttulo7">
    <w:name w:val="heading 7"/>
    <w:basedOn w:val="Normal"/>
    <w:next w:val="Normal"/>
    <w:link w:val="Ttulo7Car"/>
    <w:uiPriority w:val="99"/>
    <w:qFormat/>
    <w:rsid w:val="002B0452"/>
    <w:pPr>
      <w:keepNext/>
      <w:spacing w:before="60"/>
      <w:jc w:val="center"/>
      <w:outlineLvl w:val="6"/>
    </w:pPr>
    <w:rPr>
      <w:b/>
      <w:bCs/>
      <w:sz w:val="14"/>
      <w:szCs w:val="26"/>
      <w:lang w:val="es-ES"/>
    </w:rPr>
  </w:style>
  <w:style w:type="paragraph" w:styleId="Ttulo8">
    <w:name w:val="heading 8"/>
    <w:basedOn w:val="Normal"/>
    <w:next w:val="Normal"/>
    <w:link w:val="Ttulo8Car"/>
    <w:uiPriority w:val="99"/>
    <w:qFormat/>
    <w:rsid w:val="00E74EAE"/>
    <w:pPr>
      <w:tabs>
        <w:tab w:val="num" w:pos="1440"/>
      </w:tabs>
      <w:spacing w:before="240" w:after="60"/>
      <w:ind w:left="1440" w:hanging="1440"/>
      <w:outlineLvl w:val="7"/>
    </w:pPr>
    <w:rPr>
      <w:i/>
      <w:iCs/>
    </w:rPr>
  </w:style>
  <w:style w:type="paragraph" w:styleId="Ttulo9">
    <w:name w:val="heading 9"/>
    <w:basedOn w:val="Normal"/>
    <w:next w:val="Normal"/>
    <w:link w:val="Ttulo9Car"/>
    <w:uiPriority w:val="99"/>
    <w:qFormat/>
    <w:rsid w:val="00E74EAE"/>
    <w:pPr>
      <w:tabs>
        <w:tab w:val="num" w:pos="1584"/>
      </w:tabs>
      <w:spacing w:before="240" w:after="60"/>
      <w:ind w:left="1584" w:hanging="1584"/>
      <w:outlineLvl w:val="8"/>
    </w:pPr>
    <w:rPr>
      <w:rFonts w:ascii="Arial" w:hAnsi="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F103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rsid w:val="00F6477D"/>
    <w:pPr>
      <w:tabs>
        <w:tab w:val="center" w:pos="4252"/>
        <w:tab w:val="right" w:pos="8504"/>
      </w:tabs>
    </w:pPr>
  </w:style>
  <w:style w:type="paragraph" w:styleId="Piedepgina">
    <w:name w:val="footer"/>
    <w:basedOn w:val="Normal"/>
    <w:link w:val="PiedepginaCar"/>
    <w:rsid w:val="00F6477D"/>
    <w:pPr>
      <w:tabs>
        <w:tab w:val="center" w:pos="4252"/>
        <w:tab w:val="right" w:pos="8504"/>
      </w:tabs>
    </w:pPr>
  </w:style>
  <w:style w:type="character" w:styleId="Nmerodepgina">
    <w:name w:val="page number"/>
    <w:basedOn w:val="Fuentedeprrafopredeter"/>
    <w:rsid w:val="00F6477D"/>
  </w:style>
  <w:style w:type="paragraph" w:styleId="Textonotapie">
    <w:name w:val="footnote text"/>
    <w:aliases w:val="Footnote Text Char1,Footnote Text Char1 Char,Footnote Text Char Char Char"/>
    <w:basedOn w:val="Normal"/>
    <w:link w:val="TextonotapieCar"/>
    <w:uiPriority w:val="99"/>
    <w:rsid w:val="00242B75"/>
    <w:rPr>
      <w:sz w:val="20"/>
      <w:szCs w:val="20"/>
      <w:lang w:val="es-ES"/>
    </w:rPr>
  </w:style>
  <w:style w:type="character" w:customStyle="1" w:styleId="TextonotapieCar">
    <w:name w:val="Texto nota pie Car"/>
    <w:aliases w:val="Footnote Text Char1 Car1,Footnote Text Char1 Char Car1,Footnote Text Char Char Char Car"/>
    <w:basedOn w:val="Fuentedeprrafopredeter"/>
    <w:link w:val="Textonotapie"/>
    <w:uiPriority w:val="99"/>
    <w:rsid w:val="00242B75"/>
    <w:rPr>
      <w:lang w:val="es-ES" w:eastAsia="es-ES" w:bidi="ar-SA"/>
    </w:rPr>
  </w:style>
  <w:style w:type="character" w:styleId="Refdenotaalpie">
    <w:name w:val="footnote reference"/>
    <w:aliases w:val="Ref,de nota al pie,註腳內容,de nota al pie + (Asian) MS Mincho,11 pt"/>
    <w:basedOn w:val="Fuentedeprrafopredeter"/>
    <w:uiPriority w:val="99"/>
    <w:rsid w:val="00242B75"/>
    <w:rPr>
      <w:vertAlign w:val="superscript"/>
    </w:rPr>
  </w:style>
  <w:style w:type="character" w:styleId="Hipervnculo">
    <w:name w:val="Hyperlink"/>
    <w:basedOn w:val="Fuentedeprrafopredeter"/>
    <w:uiPriority w:val="99"/>
    <w:rsid w:val="00242B75"/>
    <w:rPr>
      <w:color w:val="0000FF"/>
      <w:u w:val="single"/>
    </w:rPr>
  </w:style>
  <w:style w:type="table" w:customStyle="1" w:styleId="Tablaconcuadrcula160">
    <w:name w:val="Tabla con cuadrícula160"/>
    <w:basedOn w:val="Tablanormal"/>
    <w:next w:val="Tablaconcuadrcula"/>
    <w:rsid w:val="0011623A"/>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8B2BC9"/>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rsid w:val="00A426AC"/>
    <w:rPr>
      <w:color w:val="800080"/>
      <w:u w:val="single"/>
    </w:rPr>
  </w:style>
  <w:style w:type="table" w:customStyle="1" w:styleId="Tablaconcuadrcula2">
    <w:name w:val="Tabla con cuadrícula2"/>
    <w:basedOn w:val="Tablanormal"/>
    <w:next w:val="Tablaconcuadrcula"/>
    <w:rsid w:val="004D2A7C"/>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aliases w:val=" Car Car Car Car Car Car,Car Car Car Car Car Car"/>
    <w:basedOn w:val="Normal"/>
    <w:link w:val="TextoindependienteCar"/>
    <w:rsid w:val="00A63EA1"/>
    <w:pPr>
      <w:jc w:val="center"/>
    </w:pPr>
    <w:rPr>
      <w:sz w:val="20"/>
    </w:rPr>
  </w:style>
  <w:style w:type="paragraph" w:styleId="Textoindependiente2">
    <w:name w:val="Body Text 2"/>
    <w:basedOn w:val="Normal"/>
    <w:link w:val="Textoindependiente2Car"/>
    <w:uiPriority w:val="99"/>
    <w:rsid w:val="00A63EA1"/>
    <w:pPr>
      <w:spacing w:after="360" w:line="360" w:lineRule="auto"/>
      <w:ind w:right="-159"/>
      <w:jc w:val="both"/>
    </w:pPr>
    <w:rPr>
      <w:sz w:val="26"/>
    </w:rPr>
  </w:style>
  <w:style w:type="table" w:customStyle="1" w:styleId="Tablaconcuadrcula21">
    <w:name w:val="Tabla con cuadrícula21"/>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A432D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874955"/>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semiHidden/>
    <w:unhideWhenUsed/>
    <w:rsid w:val="00412ED0"/>
  </w:style>
  <w:style w:type="character" w:customStyle="1" w:styleId="Ttulo1Car">
    <w:name w:val="Título 1 Car"/>
    <w:aliases w:val="num.                          1 Car"/>
    <w:basedOn w:val="Fuentedeprrafopredeter"/>
    <w:link w:val="Ttulo1"/>
    <w:uiPriority w:val="9"/>
    <w:rsid w:val="00412ED0"/>
    <w:rPr>
      <w:rFonts w:ascii="Arial" w:hAnsi="Arial" w:cs="Arial"/>
      <w:b/>
      <w:bCs/>
      <w:kern w:val="36"/>
      <w:sz w:val="48"/>
      <w:szCs w:val="48"/>
      <w:lang w:val="es-MX" w:eastAsia="es-MX" w:bidi="ar-SA"/>
    </w:rPr>
  </w:style>
  <w:style w:type="table" w:customStyle="1" w:styleId="Tablaconcuadrcula3">
    <w:name w:val="Tabla con cuadrícula3"/>
    <w:basedOn w:val="Tablanormal"/>
    <w:next w:val="Tablaconcuadrcula"/>
    <w:rsid w:val="00412ED0"/>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
    <w:name w:val="Sin lista2"/>
    <w:next w:val="Sinlista"/>
    <w:semiHidden/>
    <w:unhideWhenUsed/>
    <w:rsid w:val="00A81FDB"/>
  </w:style>
  <w:style w:type="table" w:customStyle="1" w:styleId="Tablaconcuadrcula4">
    <w:name w:val="Tabla con cuadrícula4"/>
    <w:basedOn w:val="Tablanormal"/>
    <w:next w:val="Tablaconcuadrcula"/>
    <w:rsid w:val="00A81FD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bsica1">
    <w:name w:val="Table Simple 1"/>
    <w:basedOn w:val="Tablanormal"/>
    <w:rsid w:val="00A81FDB"/>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
    <w:name w:val="Sin lista11"/>
    <w:next w:val="Sinlista"/>
    <w:semiHidden/>
    <w:rsid w:val="00A81FDB"/>
  </w:style>
  <w:style w:type="table" w:customStyle="1" w:styleId="Tablaconcuadrcula11">
    <w:name w:val="Tabla con cuadrícula11"/>
    <w:basedOn w:val="Tablanormal"/>
    <w:next w:val="Tablaconcuadrcula"/>
    <w:rsid w:val="00A81F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8B7994"/>
    <w:rPr>
      <w:rFonts w:ascii="Tahoma" w:hAnsi="Tahoma" w:cs="Tahoma"/>
      <w:sz w:val="16"/>
      <w:szCs w:val="16"/>
    </w:rPr>
  </w:style>
  <w:style w:type="paragraph" w:styleId="NormalWeb">
    <w:name w:val="Normal (Web)"/>
    <w:basedOn w:val="Normal"/>
    <w:rsid w:val="00C219FB"/>
    <w:pPr>
      <w:spacing w:before="100" w:beforeAutospacing="1" w:after="100" w:afterAutospacing="1"/>
    </w:pPr>
    <w:rPr>
      <w:color w:val="000000"/>
      <w:lang w:val="es-ES"/>
    </w:rPr>
  </w:style>
  <w:style w:type="table" w:styleId="Tablaconcuadrcula10">
    <w:name w:val="Table Grid 1"/>
    <w:basedOn w:val="Tablanormal"/>
    <w:rsid w:val="00C219F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Mapadeldocumento">
    <w:name w:val="Document Map"/>
    <w:basedOn w:val="Normal"/>
    <w:link w:val="MapadeldocumentoCar"/>
    <w:uiPriority w:val="99"/>
    <w:semiHidden/>
    <w:rsid w:val="00F10036"/>
    <w:pPr>
      <w:shd w:val="clear" w:color="auto" w:fill="000080"/>
    </w:pPr>
    <w:rPr>
      <w:rFonts w:ascii="Tahoma" w:hAnsi="Tahoma" w:cs="Tahoma"/>
      <w:sz w:val="20"/>
      <w:szCs w:val="20"/>
    </w:rPr>
  </w:style>
  <w:style w:type="paragraph" w:styleId="Textoindependiente3">
    <w:name w:val="Body Text 3"/>
    <w:basedOn w:val="Normal"/>
    <w:link w:val="Textoindependiente3Car"/>
    <w:uiPriority w:val="99"/>
    <w:rsid w:val="002B0452"/>
    <w:pPr>
      <w:spacing w:after="120"/>
      <w:jc w:val="both"/>
    </w:pPr>
    <w:rPr>
      <w:sz w:val="16"/>
      <w:szCs w:val="26"/>
      <w:lang w:val="es-ES"/>
    </w:rPr>
  </w:style>
  <w:style w:type="table" w:customStyle="1" w:styleId="Tablaconcuadrcula190">
    <w:name w:val="Tabla con cuadrícula190"/>
    <w:basedOn w:val="Tablanormal"/>
    <w:next w:val="Tablaconcuadrcula"/>
    <w:rsid w:val="005A74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ncabezadoCar">
    <w:name w:val="Encabezado Car"/>
    <w:basedOn w:val="Fuentedeprrafopredeter"/>
    <w:link w:val="Encabezado"/>
    <w:rsid w:val="0018776F"/>
    <w:rPr>
      <w:sz w:val="24"/>
      <w:szCs w:val="24"/>
      <w:lang w:val="es-MX" w:eastAsia="es-ES" w:bidi="ar-SA"/>
    </w:rPr>
  </w:style>
  <w:style w:type="table" w:customStyle="1" w:styleId="Tablaconcuadrcula293">
    <w:name w:val="Tabla con cuadrícula293"/>
    <w:basedOn w:val="Tablanormal"/>
    <w:next w:val="Tablaconcuadrcula"/>
    <w:rsid w:val="000C68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idenciasubseccion">
    <w:name w:val="presidencia_subseccion"/>
    <w:basedOn w:val="Normal"/>
    <w:uiPriority w:val="99"/>
    <w:rsid w:val="00CA76AF"/>
    <w:rPr>
      <w:rFonts w:ascii="Verdana" w:hAnsi="Verdana"/>
      <w:b/>
      <w:bCs/>
      <w:color w:val="909179"/>
      <w:sz w:val="19"/>
      <w:szCs w:val="19"/>
      <w:lang w:val="es-ES"/>
    </w:rPr>
  </w:style>
  <w:style w:type="character" w:styleId="Textoennegrita">
    <w:name w:val="Strong"/>
    <w:basedOn w:val="Fuentedeprrafopredeter"/>
    <w:qFormat/>
    <w:rsid w:val="00CE3D4C"/>
    <w:rPr>
      <w:b/>
      <w:bCs/>
    </w:rPr>
  </w:style>
  <w:style w:type="table" w:customStyle="1" w:styleId="Tablaconcuadrcula5">
    <w:name w:val="Tabla con cuadrícula5"/>
    <w:basedOn w:val="Tablanormal"/>
    <w:next w:val="Tablaconcuadrcula"/>
    <w:rsid w:val="0076787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mes">
    <w:name w:val="times"/>
    <w:basedOn w:val="Normal"/>
    <w:uiPriority w:val="99"/>
    <w:rsid w:val="00AB3DB1"/>
    <w:pPr>
      <w:spacing w:before="100" w:beforeAutospacing="1" w:after="100" w:afterAutospacing="1"/>
    </w:pPr>
    <w:rPr>
      <w:lang w:val="es-ES"/>
    </w:rPr>
  </w:style>
  <w:style w:type="paragraph" w:customStyle="1" w:styleId="Texto">
    <w:name w:val="Texto"/>
    <w:basedOn w:val="Normal"/>
    <w:link w:val="TextoCar"/>
    <w:rsid w:val="002B2D6F"/>
    <w:pPr>
      <w:spacing w:after="101" w:line="216" w:lineRule="exact"/>
      <w:ind w:firstLine="288"/>
      <w:jc w:val="both"/>
    </w:pPr>
    <w:rPr>
      <w:rFonts w:ascii="Arial" w:hAnsi="Arial" w:cs="Arial"/>
      <w:sz w:val="18"/>
      <w:szCs w:val="18"/>
      <w:lang w:eastAsia="es-MX"/>
    </w:rPr>
  </w:style>
  <w:style w:type="character" w:customStyle="1" w:styleId="CarCar3">
    <w:name w:val="Car Car3"/>
    <w:basedOn w:val="Fuentedeprrafopredeter"/>
    <w:rsid w:val="003C0183"/>
    <w:rPr>
      <w:b/>
      <w:bCs/>
      <w:sz w:val="16"/>
      <w:szCs w:val="24"/>
      <w:lang w:eastAsia="es-ES"/>
    </w:rPr>
  </w:style>
  <w:style w:type="table" w:customStyle="1" w:styleId="Tablaconcuadrcula6">
    <w:name w:val="Tabla con cuadrícula6"/>
    <w:basedOn w:val="Tablanormal"/>
    <w:next w:val="Tablaconcuadrcula"/>
    <w:rsid w:val="003C018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basedOn w:val="Fuentedeprrafopredeter"/>
    <w:uiPriority w:val="20"/>
    <w:qFormat/>
    <w:rsid w:val="003C0183"/>
    <w:rPr>
      <w:i/>
      <w:iCs/>
    </w:rPr>
  </w:style>
  <w:style w:type="paragraph" w:customStyle="1" w:styleId="Default">
    <w:name w:val="Default"/>
    <w:rsid w:val="00715D2D"/>
    <w:pPr>
      <w:autoSpaceDE w:val="0"/>
      <w:autoSpaceDN w:val="0"/>
      <w:adjustRightInd w:val="0"/>
    </w:pPr>
    <w:rPr>
      <w:color w:val="000000"/>
      <w:sz w:val="24"/>
      <w:szCs w:val="24"/>
      <w:lang w:val="es-ES" w:eastAsia="es-ES"/>
    </w:rPr>
  </w:style>
  <w:style w:type="numbering" w:customStyle="1" w:styleId="Sinlista3">
    <w:name w:val="Sin lista3"/>
    <w:next w:val="Sinlista"/>
    <w:semiHidden/>
    <w:unhideWhenUsed/>
    <w:rsid w:val="00020328"/>
  </w:style>
  <w:style w:type="table" w:customStyle="1" w:styleId="Tablaconcuadrcula7">
    <w:name w:val="Tabla con cuadrícula7"/>
    <w:basedOn w:val="Tablanormal"/>
    <w:next w:val="Tablaconcuadrcula"/>
    <w:rsid w:val="000203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ilite">
    <w:name w:val="hilite"/>
    <w:basedOn w:val="Fuentedeprrafopredeter"/>
    <w:rsid w:val="00F75492"/>
  </w:style>
  <w:style w:type="character" w:customStyle="1" w:styleId="TextoCar">
    <w:name w:val="Texto Car"/>
    <w:basedOn w:val="Fuentedeprrafopredeter"/>
    <w:link w:val="Texto"/>
    <w:rsid w:val="00983C63"/>
    <w:rPr>
      <w:rFonts w:ascii="Arial" w:hAnsi="Arial" w:cs="Arial"/>
      <w:sz w:val="18"/>
      <w:szCs w:val="18"/>
      <w:lang w:val="es-MX" w:eastAsia="es-MX" w:bidi="ar-SA"/>
    </w:rPr>
  </w:style>
  <w:style w:type="table" w:customStyle="1" w:styleId="Tablaconcuadrcula182">
    <w:name w:val="Tabla con cuadrícula182"/>
    <w:basedOn w:val="Tablanormal"/>
    <w:next w:val="Tablaconcuadrcula"/>
    <w:rsid w:val="00E74E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loque">
    <w:name w:val="Block Text"/>
    <w:basedOn w:val="Normal"/>
    <w:uiPriority w:val="99"/>
    <w:rsid w:val="00E74EAE"/>
    <w:pPr>
      <w:spacing w:after="360" w:line="360" w:lineRule="auto"/>
      <w:ind w:left="397" w:right="-159" w:hanging="397"/>
      <w:jc w:val="both"/>
    </w:pPr>
    <w:rPr>
      <w:sz w:val="26"/>
      <w:szCs w:val="26"/>
    </w:rPr>
  </w:style>
  <w:style w:type="table" w:customStyle="1" w:styleId="Tablaconcuadrcula51">
    <w:name w:val="Tabla con cuadrícula51"/>
    <w:basedOn w:val="Tablanormal"/>
    <w:next w:val="Tablaconcuadrcula"/>
    <w:rsid w:val="00C677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semiHidden/>
    <w:rsid w:val="000E1F88"/>
  </w:style>
  <w:style w:type="table" w:customStyle="1" w:styleId="Tablaconcuadrcula1901">
    <w:name w:val="Tabla con cuadrícula1901"/>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rsid w:val="000E1F88"/>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31">
    <w:name w:val="f31"/>
    <w:basedOn w:val="Fuentedeprrafopredeter"/>
    <w:rsid w:val="00675BAE"/>
    <w:rPr>
      <w:rFonts w:ascii="Verdana" w:hAnsi="Verdana" w:hint="default"/>
      <w:sz w:val="18"/>
      <w:szCs w:val="18"/>
    </w:rPr>
  </w:style>
  <w:style w:type="paragraph" w:styleId="Puesto">
    <w:name w:val="Title"/>
    <w:aliases w:val="maripaz"/>
    <w:basedOn w:val="Normal"/>
    <w:link w:val="PuestoCar"/>
    <w:qFormat/>
    <w:rsid w:val="00AF6B01"/>
    <w:pPr>
      <w:spacing w:before="240" w:after="60"/>
      <w:jc w:val="center"/>
      <w:outlineLvl w:val="0"/>
    </w:pPr>
    <w:rPr>
      <w:rFonts w:ascii="Arial" w:hAnsi="Arial" w:cs="Arial"/>
      <w:b/>
      <w:bCs/>
      <w:kern w:val="28"/>
      <w:sz w:val="32"/>
      <w:szCs w:val="32"/>
    </w:rPr>
  </w:style>
  <w:style w:type="paragraph" w:customStyle="1" w:styleId="texto0">
    <w:name w:val="texto"/>
    <w:basedOn w:val="Normal"/>
    <w:link w:val="textoCar0"/>
    <w:rsid w:val="00375242"/>
    <w:pPr>
      <w:autoSpaceDE w:val="0"/>
      <w:autoSpaceDN w:val="0"/>
      <w:spacing w:line="360" w:lineRule="auto"/>
      <w:ind w:right="-232"/>
      <w:jc w:val="both"/>
    </w:pPr>
    <w:rPr>
      <w:sz w:val="26"/>
      <w:szCs w:val="26"/>
      <w:lang w:val="es-ES_tradnl"/>
    </w:rPr>
  </w:style>
  <w:style w:type="paragraph" w:styleId="Listaconvietas2">
    <w:name w:val="List Bullet 2"/>
    <w:basedOn w:val="Normal"/>
    <w:autoRedefine/>
    <w:uiPriority w:val="99"/>
    <w:rsid w:val="00375242"/>
    <w:pPr>
      <w:numPr>
        <w:numId w:val="2"/>
      </w:numPr>
    </w:pPr>
    <w:rPr>
      <w:lang w:val="es-ES"/>
    </w:rPr>
  </w:style>
  <w:style w:type="paragraph" w:styleId="Sangradetextonormal">
    <w:name w:val="Body Text Indent"/>
    <w:basedOn w:val="Normal"/>
    <w:link w:val="SangradetextonormalCar"/>
    <w:uiPriority w:val="99"/>
    <w:rsid w:val="00375242"/>
    <w:pPr>
      <w:spacing w:after="120"/>
      <w:ind w:left="360"/>
    </w:pPr>
    <w:rPr>
      <w:lang w:val="es-ES"/>
    </w:rPr>
  </w:style>
  <w:style w:type="paragraph" w:styleId="Sangranormal">
    <w:name w:val="Normal Indent"/>
    <w:basedOn w:val="Normal"/>
    <w:uiPriority w:val="99"/>
    <w:rsid w:val="00375242"/>
    <w:pPr>
      <w:ind w:left="708"/>
    </w:pPr>
    <w:rPr>
      <w:lang w:val="es-ES"/>
    </w:rPr>
  </w:style>
  <w:style w:type="paragraph" w:styleId="Sangra2detindependiente">
    <w:name w:val="Body Text Indent 2"/>
    <w:basedOn w:val="Normal"/>
    <w:link w:val="Sangra2detindependienteCar"/>
    <w:uiPriority w:val="99"/>
    <w:rsid w:val="00375242"/>
    <w:pPr>
      <w:spacing w:after="120" w:line="480" w:lineRule="auto"/>
      <w:ind w:left="360"/>
    </w:pPr>
    <w:rPr>
      <w:lang w:val="es-ES"/>
    </w:rPr>
  </w:style>
  <w:style w:type="paragraph" w:customStyle="1" w:styleId="ROMANOS">
    <w:name w:val="ROMANOS"/>
    <w:basedOn w:val="Normal"/>
    <w:link w:val="ROMANOSCar"/>
    <w:rsid w:val="006D745B"/>
    <w:pPr>
      <w:tabs>
        <w:tab w:val="left" w:pos="720"/>
      </w:tabs>
      <w:spacing w:after="101" w:line="216" w:lineRule="exact"/>
      <w:ind w:left="720" w:hanging="432"/>
      <w:jc w:val="both"/>
    </w:pPr>
    <w:rPr>
      <w:rFonts w:ascii="Arial" w:hAnsi="Arial" w:cs="Arial"/>
      <w:sz w:val="18"/>
      <w:szCs w:val="18"/>
      <w:lang w:eastAsia="es-MX"/>
    </w:rPr>
  </w:style>
  <w:style w:type="paragraph" w:customStyle="1" w:styleId="INCISO">
    <w:name w:val="INCISO"/>
    <w:basedOn w:val="Normal"/>
    <w:uiPriority w:val="99"/>
    <w:rsid w:val="006D745B"/>
    <w:pPr>
      <w:tabs>
        <w:tab w:val="left" w:pos="1080"/>
      </w:tabs>
      <w:spacing w:after="101" w:line="216" w:lineRule="exact"/>
      <w:ind w:left="1080" w:hanging="360"/>
      <w:jc w:val="both"/>
    </w:pPr>
    <w:rPr>
      <w:rFonts w:ascii="Arial" w:hAnsi="Arial" w:cs="Arial"/>
      <w:sz w:val="18"/>
      <w:szCs w:val="18"/>
      <w:lang w:eastAsia="es-MX"/>
    </w:rPr>
  </w:style>
  <w:style w:type="paragraph" w:customStyle="1" w:styleId="Titulo1">
    <w:name w:val="Titulo 1"/>
    <w:basedOn w:val="Normal"/>
    <w:uiPriority w:val="99"/>
    <w:rsid w:val="006D745B"/>
    <w:pPr>
      <w:pBdr>
        <w:bottom w:val="single" w:sz="12" w:space="1" w:color="auto"/>
      </w:pBdr>
      <w:spacing w:before="120"/>
      <w:jc w:val="both"/>
      <w:outlineLvl w:val="0"/>
    </w:pPr>
    <w:rPr>
      <w:b/>
      <w:sz w:val="18"/>
      <w:szCs w:val="18"/>
      <w:lang w:eastAsia="es-MX"/>
    </w:rPr>
  </w:style>
  <w:style w:type="paragraph" w:customStyle="1" w:styleId="Titulo2">
    <w:name w:val="Titulo 2"/>
    <w:basedOn w:val="Normal"/>
    <w:uiPriority w:val="99"/>
    <w:rsid w:val="006D745B"/>
    <w:pPr>
      <w:pBdr>
        <w:top w:val="double" w:sz="6" w:space="1" w:color="auto"/>
      </w:pBdr>
      <w:spacing w:after="101"/>
      <w:jc w:val="both"/>
      <w:outlineLvl w:val="1"/>
    </w:pPr>
    <w:rPr>
      <w:rFonts w:ascii="Arial" w:hAnsi="Arial" w:cs="Arial"/>
      <w:sz w:val="18"/>
      <w:szCs w:val="18"/>
      <w:lang w:eastAsia="es-MX"/>
    </w:rPr>
  </w:style>
  <w:style w:type="paragraph" w:customStyle="1" w:styleId="ANOTACION">
    <w:name w:val="ANOTACION"/>
    <w:basedOn w:val="Normal"/>
    <w:link w:val="ANOTACIONCar"/>
    <w:rsid w:val="006D745B"/>
    <w:pPr>
      <w:spacing w:before="101" w:after="101"/>
      <w:jc w:val="center"/>
    </w:pPr>
    <w:rPr>
      <w:b/>
      <w:sz w:val="18"/>
      <w:szCs w:val="18"/>
      <w:lang w:eastAsia="es-MX"/>
    </w:rPr>
  </w:style>
  <w:style w:type="paragraph" w:customStyle="1" w:styleId="Fechas">
    <w:name w:val="Fechas"/>
    <w:basedOn w:val="Normal"/>
    <w:uiPriority w:val="99"/>
    <w:rsid w:val="006D745B"/>
    <w:pPr>
      <w:pBdr>
        <w:bottom w:val="double" w:sz="6" w:space="1" w:color="auto"/>
      </w:pBdr>
      <w:tabs>
        <w:tab w:val="center" w:pos="4464"/>
        <w:tab w:val="right" w:pos="8582"/>
      </w:tabs>
      <w:ind w:left="288" w:right="288"/>
      <w:jc w:val="both"/>
    </w:pPr>
    <w:rPr>
      <w:sz w:val="18"/>
      <w:szCs w:val="18"/>
      <w:lang w:eastAsia="es-MX"/>
    </w:rPr>
  </w:style>
  <w:style w:type="paragraph" w:customStyle="1" w:styleId="CABEZA">
    <w:name w:val="CABEZA"/>
    <w:basedOn w:val="Normal"/>
    <w:uiPriority w:val="99"/>
    <w:rsid w:val="006D745B"/>
    <w:pPr>
      <w:jc w:val="center"/>
    </w:pPr>
    <w:rPr>
      <w:b/>
      <w:sz w:val="28"/>
      <w:szCs w:val="28"/>
      <w:lang w:eastAsia="es-MX"/>
    </w:rPr>
  </w:style>
  <w:style w:type="paragraph" w:customStyle="1" w:styleId="Textonormal">
    <w:name w:val="Texto normal"/>
    <w:basedOn w:val="Normal"/>
    <w:uiPriority w:val="99"/>
    <w:rsid w:val="006D745B"/>
    <w:pPr>
      <w:jc w:val="both"/>
    </w:pPr>
    <w:rPr>
      <w:rFonts w:ascii="Arial" w:hAnsi="Arial" w:cs="Arial"/>
      <w:sz w:val="22"/>
      <w:szCs w:val="20"/>
      <w:lang w:val="es-ES_tradnl"/>
    </w:rPr>
  </w:style>
  <w:style w:type="paragraph" w:customStyle="1" w:styleId="Textoindependiente31">
    <w:name w:val="Texto independiente 31"/>
    <w:basedOn w:val="Normal"/>
    <w:uiPriority w:val="99"/>
    <w:rsid w:val="006D745B"/>
    <w:pPr>
      <w:spacing w:after="480"/>
      <w:jc w:val="both"/>
    </w:pPr>
    <w:rPr>
      <w:rFonts w:ascii="Arial" w:hAnsi="Arial" w:cs="Arial"/>
      <w:color w:val="000000"/>
      <w:sz w:val="22"/>
      <w:szCs w:val="20"/>
      <w:lang w:val="es-ES_tradnl"/>
    </w:rPr>
  </w:style>
  <w:style w:type="paragraph" w:styleId="Prrafodelista">
    <w:name w:val="List Paragraph"/>
    <w:basedOn w:val="Normal"/>
    <w:uiPriority w:val="34"/>
    <w:qFormat/>
    <w:rsid w:val="006D745B"/>
    <w:pPr>
      <w:ind w:left="708"/>
    </w:pPr>
    <w:rPr>
      <w:rFonts w:ascii="Century Gothic" w:hAnsi="Century Gothic" w:cs="Century Gothic"/>
      <w:szCs w:val="20"/>
      <w:lang w:val="es-ES_tradnl"/>
    </w:rPr>
  </w:style>
  <w:style w:type="paragraph" w:customStyle="1" w:styleId="SUBIN">
    <w:name w:val="SUBIN"/>
    <w:basedOn w:val="Texto"/>
    <w:uiPriority w:val="99"/>
    <w:rsid w:val="006D745B"/>
    <w:pPr>
      <w:ind w:left="1987" w:hanging="720"/>
    </w:pPr>
    <w:rPr>
      <w:szCs w:val="20"/>
      <w:lang w:eastAsia="es-ES"/>
    </w:rPr>
  </w:style>
  <w:style w:type="paragraph" w:customStyle="1" w:styleId="tt">
    <w:name w:val="tt"/>
    <w:basedOn w:val="Texto"/>
    <w:uiPriority w:val="99"/>
    <w:rsid w:val="006D745B"/>
    <w:pPr>
      <w:tabs>
        <w:tab w:val="left" w:pos="1320"/>
        <w:tab w:val="left" w:pos="1629"/>
      </w:tabs>
      <w:ind w:left="1647" w:hanging="1440"/>
    </w:pPr>
    <w:rPr>
      <w:szCs w:val="20"/>
      <w:lang w:val="es-ES_tradnl" w:eastAsia="es-ES"/>
    </w:rPr>
  </w:style>
  <w:style w:type="paragraph" w:customStyle="1" w:styleId="sum">
    <w:name w:val="sum"/>
    <w:basedOn w:val="Texto"/>
    <w:uiPriority w:val="99"/>
    <w:rsid w:val="006D745B"/>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uiPriority w:val="99"/>
    <w:rsid w:val="006D745B"/>
    <w:pPr>
      <w:spacing w:after="101" w:line="216" w:lineRule="exact"/>
      <w:jc w:val="both"/>
    </w:pPr>
    <w:rPr>
      <w:rFonts w:ascii="Arial" w:hAnsi="Arial"/>
      <w:sz w:val="18"/>
      <w:szCs w:val="20"/>
      <w:lang w:eastAsia="es-MX"/>
    </w:rPr>
  </w:style>
  <w:style w:type="paragraph" w:customStyle="1" w:styleId="xl28">
    <w:name w:val="xl28"/>
    <w:basedOn w:val="Normal"/>
    <w:uiPriority w:val="99"/>
    <w:rsid w:val="006D745B"/>
    <w:pPr>
      <w:shd w:val="clear" w:color="auto" w:fill="FFFFFF"/>
      <w:spacing w:before="100" w:beforeAutospacing="1" w:after="100" w:afterAutospacing="1"/>
      <w:jc w:val="right"/>
    </w:pPr>
    <w:rPr>
      <w:rFonts w:ascii="Arial" w:eastAsia="Arial Unicode MS" w:hAnsi="Arial" w:cs="Arial"/>
      <w:lang w:val="es-ES"/>
    </w:rPr>
  </w:style>
  <w:style w:type="paragraph" w:customStyle="1" w:styleId="Sumario">
    <w:name w:val="Sumario"/>
    <w:basedOn w:val="Normal"/>
    <w:uiPriority w:val="99"/>
    <w:rsid w:val="006D745B"/>
    <w:pPr>
      <w:tabs>
        <w:tab w:val="right" w:leader="dot" w:pos="8107"/>
        <w:tab w:val="right" w:pos="8640"/>
      </w:tabs>
      <w:spacing w:line="260" w:lineRule="exact"/>
      <w:ind w:left="274" w:right="749"/>
      <w:jc w:val="both"/>
    </w:pPr>
    <w:rPr>
      <w:rFonts w:ascii="Arial" w:hAnsi="Arial"/>
      <w:sz w:val="18"/>
      <w:szCs w:val="18"/>
      <w:lang w:val="es-ES"/>
    </w:rPr>
  </w:style>
  <w:style w:type="numbering" w:customStyle="1" w:styleId="Sinlista5">
    <w:name w:val="Sin lista5"/>
    <w:next w:val="Sinlista"/>
    <w:semiHidden/>
    <w:unhideWhenUsed/>
    <w:rsid w:val="004A06CE"/>
  </w:style>
  <w:style w:type="numbering" w:customStyle="1" w:styleId="Sinlista12">
    <w:name w:val="Sin lista12"/>
    <w:next w:val="Sinlista"/>
    <w:semiHidden/>
    <w:rsid w:val="004A06CE"/>
  </w:style>
  <w:style w:type="character" w:customStyle="1" w:styleId="titulonoticia1">
    <w:name w:val="titulonoticia1"/>
    <w:basedOn w:val="Fuentedeprrafopredeter"/>
    <w:rsid w:val="00B558E2"/>
    <w:rPr>
      <w:b/>
      <w:bCs/>
      <w:color w:val="000000"/>
      <w:sz w:val="27"/>
      <w:szCs w:val="27"/>
    </w:rPr>
  </w:style>
  <w:style w:type="character" w:customStyle="1" w:styleId="fechaylugar1">
    <w:name w:val="fechaylugar1"/>
    <w:basedOn w:val="Fuentedeprrafopredeter"/>
    <w:rsid w:val="00B558E2"/>
    <w:rPr>
      <w:b w:val="0"/>
      <w:bCs w:val="0"/>
      <w:color w:val="666666"/>
      <w:sz w:val="17"/>
      <w:szCs w:val="17"/>
    </w:rPr>
  </w:style>
  <w:style w:type="paragraph" w:customStyle="1" w:styleId="Subtit">
    <w:name w:val="Subtit"/>
    <w:basedOn w:val="Normal"/>
    <w:uiPriority w:val="99"/>
    <w:rsid w:val="003020DA"/>
    <w:pPr>
      <w:spacing w:line="320" w:lineRule="exact"/>
      <w:ind w:right="-232"/>
      <w:jc w:val="both"/>
    </w:pPr>
    <w:rPr>
      <w:rFonts w:ascii="Arial" w:hAnsi="Arial" w:cs="Arial"/>
      <w:b/>
      <w:bCs/>
      <w:lang w:val="es-ES"/>
    </w:rPr>
  </w:style>
  <w:style w:type="paragraph" w:customStyle="1" w:styleId="Sangradetextonormal1">
    <w:name w:val="Sangría de texto normal1"/>
    <w:basedOn w:val="Normal"/>
    <w:uiPriority w:val="99"/>
    <w:rsid w:val="003020DA"/>
    <w:pPr>
      <w:spacing w:after="120" w:line="480" w:lineRule="auto"/>
    </w:pPr>
    <w:rPr>
      <w:sz w:val="20"/>
      <w:szCs w:val="20"/>
    </w:rPr>
  </w:style>
  <w:style w:type="character" w:customStyle="1" w:styleId="titu1">
    <w:name w:val="titu1"/>
    <w:basedOn w:val="Fuentedeprrafopredeter"/>
    <w:rsid w:val="003020DA"/>
    <w:rPr>
      <w:rFonts w:ascii="Verdana" w:hAnsi="Verdana" w:hint="default"/>
      <w:color w:val="000000"/>
      <w:sz w:val="18"/>
      <w:szCs w:val="18"/>
    </w:rPr>
  </w:style>
  <w:style w:type="character" w:customStyle="1" w:styleId="tit1">
    <w:name w:val="tit1"/>
    <w:basedOn w:val="Fuentedeprrafopredeter"/>
    <w:rsid w:val="003020DA"/>
    <w:rPr>
      <w:rFonts w:ascii="Verdana" w:hAnsi="Verdana" w:hint="default"/>
      <w:strike w:val="0"/>
      <w:dstrike w:val="0"/>
      <w:color w:val="000000"/>
      <w:sz w:val="16"/>
      <w:szCs w:val="16"/>
      <w:u w:val="none"/>
      <w:effect w:val="none"/>
    </w:rPr>
  </w:style>
  <w:style w:type="paragraph" w:styleId="Sangra3detindependiente">
    <w:name w:val="Body Text Indent 3"/>
    <w:basedOn w:val="Normal"/>
    <w:link w:val="Sangra3detindependienteCar"/>
    <w:uiPriority w:val="99"/>
    <w:rsid w:val="003020DA"/>
    <w:pPr>
      <w:widowControl w:val="0"/>
      <w:adjustRightInd w:val="0"/>
      <w:spacing w:after="120" w:line="360" w:lineRule="atLeast"/>
      <w:ind w:left="283"/>
      <w:jc w:val="both"/>
      <w:textAlignment w:val="baseline"/>
    </w:pPr>
    <w:rPr>
      <w:sz w:val="16"/>
      <w:szCs w:val="16"/>
      <w:lang w:val="en-GB" w:eastAsia="en-US"/>
    </w:rPr>
  </w:style>
  <w:style w:type="paragraph" w:customStyle="1" w:styleId="Fuente">
    <w:name w:val="Fuente"/>
    <w:basedOn w:val="Normal"/>
    <w:uiPriority w:val="99"/>
    <w:rsid w:val="003020DA"/>
    <w:pPr>
      <w:widowControl w:val="0"/>
      <w:adjustRightInd w:val="0"/>
      <w:spacing w:line="360" w:lineRule="auto"/>
      <w:jc w:val="both"/>
      <w:textAlignment w:val="baseline"/>
    </w:pPr>
    <w:rPr>
      <w:rFonts w:ascii="Garamond" w:hAnsi="Garamond"/>
      <w:sz w:val="22"/>
      <w:szCs w:val="20"/>
      <w:lang w:val="es-ES"/>
    </w:rPr>
  </w:style>
  <w:style w:type="paragraph" w:customStyle="1" w:styleId="2">
    <w:name w:val="2"/>
    <w:basedOn w:val="Normal"/>
    <w:next w:val="Sangradetextonormal"/>
    <w:uiPriority w:val="99"/>
    <w:rsid w:val="003020DA"/>
    <w:pPr>
      <w:widowControl w:val="0"/>
      <w:adjustRightInd w:val="0"/>
      <w:spacing w:line="360" w:lineRule="auto"/>
      <w:ind w:left="420"/>
      <w:jc w:val="both"/>
      <w:textAlignment w:val="baseline"/>
    </w:pPr>
    <w:rPr>
      <w:rFonts w:ascii="Garamond" w:hAnsi="Garamond"/>
      <w:szCs w:val="20"/>
      <w:lang w:val="es-ES"/>
    </w:rPr>
  </w:style>
  <w:style w:type="paragraph" w:customStyle="1" w:styleId="Textoindependiente21">
    <w:name w:val="Texto independiente 21"/>
    <w:basedOn w:val="Normal"/>
    <w:uiPriority w:val="99"/>
    <w:rsid w:val="003020DA"/>
    <w:pPr>
      <w:widowControl w:val="0"/>
      <w:adjustRightInd w:val="0"/>
      <w:spacing w:after="360" w:line="300" w:lineRule="exact"/>
      <w:ind w:firstLine="709"/>
      <w:jc w:val="both"/>
      <w:textAlignment w:val="baseline"/>
    </w:pPr>
    <w:rPr>
      <w:rFonts w:ascii="Arial" w:hAnsi="Arial"/>
      <w:sz w:val="22"/>
      <w:szCs w:val="20"/>
      <w:lang w:val="es-ES_tradnl"/>
    </w:rPr>
  </w:style>
  <w:style w:type="paragraph" w:customStyle="1" w:styleId="1">
    <w:name w:val="1"/>
    <w:basedOn w:val="Normal"/>
    <w:next w:val="Sangradetextonormal"/>
    <w:uiPriority w:val="99"/>
    <w:rsid w:val="003020DA"/>
    <w:pPr>
      <w:widowControl w:val="0"/>
      <w:autoSpaceDE w:val="0"/>
      <w:autoSpaceDN w:val="0"/>
      <w:adjustRightInd w:val="0"/>
      <w:spacing w:after="360" w:line="360" w:lineRule="atLeast"/>
      <w:ind w:left="454"/>
      <w:jc w:val="both"/>
      <w:textAlignment w:val="baseline"/>
    </w:pPr>
    <w:rPr>
      <w:sz w:val="26"/>
      <w:szCs w:val="26"/>
      <w:lang w:val="es-ES" w:eastAsia="en-US"/>
    </w:rPr>
  </w:style>
  <w:style w:type="paragraph" w:customStyle="1" w:styleId="dinamicostxtchico">
    <w:name w:val="dinamicos_txtchico"/>
    <w:basedOn w:val="Normal"/>
    <w:uiPriority w:val="99"/>
    <w:rsid w:val="003020DA"/>
    <w:pPr>
      <w:widowControl w:val="0"/>
      <w:adjustRightInd w:val="0"/>
      <w:spacing w:before="100" w:beforeAutospacing="1" w:after="100" w:afterAutospacing="1" w:line="360" w:lineRule="atLeast"/>
      <w:jc w:val="both"/>
      <w:textAlignment w:val="baseline"/>
    </w:pPr>
    <w:rPr>
      <w:rFonts w:ascii="Arial" w:eastAsia="Arial Unicode MS" w:hAnsi="Arial" w:cs="Arial"/>
      <w:color w:val="000000"/>
      <w:sz w:val="18"/>
      <w:szCs w:val="18"/>
      <w:lang w:val="es-ES"/>
    </w:rPr>
  </w:style>
  <w:style w:type="paragraph" w:customStyle="1" w:styleId="titulografica">
    <w:name w:val="titulo grafica"/>
    <w:basedOn w:val="Normal"/>
    <w:uiPriority w:val="99"/>
    <w:rsid w:val="003020DA"/>
    <w:pPr>
      <w:keepNext/>
      <w:widowControl w:val="0"/>
      <w:adjustRightInd w:val="0"/>
      <w:spacing w:line="360" w:lineRule="atLeast"/>
      <w:jc w:val="both"/>
      <w:textAlignment w:val="baseline"/>
    </w:pPr>
    <w:rPr>
      <w:rFonts w:ascii="Arial" w:hAnsi="Arial"/>
      <w:b/>
      <w:sz w:val="18"/>
      <w:szCs w:val="20"/>
      <w:lang w:val="es-ES"/>
    </w:rPr>
  </w:style>
  <w:style w:type="paragraph" w:customStyle="1" w:styleId="subtitulografica">
    <w:name w:val="subtitulo grafica"/>
    <w:basedOn w:val="Normal"/>
    <w:uiPriority w:val="99"/>
    <w:rsid w:val="003020DA"/>
    <w:pPr>
      <w:keepNext/>
      <w:widowControl w:val="0"/>
      <w:adjustRightInd w:val="0"/>
      <w:spacing w:line="360" w:lineRule="atLeast"/>
      <w:jc w:val="both"/>
      <w:textAlignment w:val="baseline"/>
    </w:pPr>
    <w:rPr>
      <w:rFonts w:ascii="Arial" w:hAnsi="Arial"/>
      <w:b/>
      <w:color w:val="0000FF"/>
      <w:sz w:val="16"/>
      <w:szCs w:val="20"/>
      <w:lang w:val="es-ES"/>
    </w:rPr>
  </w:style>
  <w:style w:type="paragraph" w:customStyle="1" w:styleId="sangra3detindependiente0">
    <w:name w:val="sangra3detindependiente"/>
    <w:basedOn w:val="Normal"/>
    <w:uiPriority w:val="99"/>
    <w:rsid w:val="003020DA"/>
    <w:pPr>
      <w:widowControl w:val="0"/>
      <w:adjustRightInd w:val="0"/>
      <w:spacing w:before="100" w:beforeAutospacing="1" w:after="100" w:afterAutospacing="1" w:line="360" w:lineRule="atLeast"/>
      <w:jc w:val="both"/>
      <w:textAlignment w:val="baseline"/>
    </w:pPr>
    <w:rPr>
      <w:rFonts w:ascii="Arial Unicode MS" w:eastAsia="Arial Unicode MS" w:hAnsi="Arial Unicode MS" w:cs="Arial Unicode MS"/>
      <w:color w:val="000000"/>
      <w:lang w:val="es-ES"/>
    </w:rPr>
  </w:style>
  <w:style w:type="paragraph" w:styleId="Descripcin">
    <w:name w:val="caption"/>
    <w:basedOn w:val="Normal"/>
    <w:next w:val="Normal"/>
    <w:uiPriority w:val="99"/>
    <w:qFormat/>
    <w:rsid w:val="003020DA"/>
    <w:pPr>
      <w:widowControl w:val="0"/>
      <w:autoSpaceDE w:val="0"/>
      <w:autoSpaceDN w:val="0"/>
      <w:adjustRightInd w:val="0"/>
      <w:spacing w:after="240" w:line="360" w:lineRule="auto"/>
      <w:jc w:val="both"/>
      <w:textAlignment w:val="baseline"/>
    </w:pPr>
    <w:rPr>
      <w:b/>
      <w:bCs/>
      <w:sz w:val="26"/>
      <w:szCs w:val="41"/>
      <w:lang w:val="es-ES"/>
    </w:rPr>
  </w:style>
  <w:style w:type="paragraph" w:customStyle="1" w:styleId="BodyText21">
    <w:name w:val="Body Text 21"/>
    <w:basedOn w:val="Normal"/>
    <w:uiPriority w:val="99"/>
    <w:rsid w:val="003020DA"/>
    <w:pPr>
      <w:widowControl w:val="0"/>
      <w:adjustRightInd w:val="0"/>
      <w:spacing w:line="360" w:lineRule="atLeast"/>
      <w:jc w:val="both"/>
      <w:textAlignment w:val="baseline"/>
    </w:pPr>
    <w:rPr>
      <w:rFonts w:ascii="Arial" w:hAnsi="Arial"/>
      <w:szCs w:val="20"/>
      <w:lang w:val="es-ES"/>
    </w:rPr>
  </w:style>
  <w:style w:type="paragraph" w:styleId="Lista">
    <w:name w:val="List"/>
    <w:basedOn w:val="Normal"/>
    <w:uiPriority w:val="99"/>
    <w:rsid w:val="003020DA"/>
    <w:pPr>
      <w:widowControl w:val="0"/>
      <w:adjustRightInd w:val="0"/>
      <w:spacing w:line="360" w:lineRule="atLeast"/>
      <w:ind w:left="283" w:hanging="283"/>
      <w:jc w:val="both"/>
      <w:textAlignment w:val="baseline"/>
    </w:pPr>
    <w:rPr>
      <w:lang w:val="en-GB" w:eastAsia="en-US"/>
    </w:rPr>
  </w:style>
  <w:style w:type="paragraph" w:styleId="Lista2">
    <w:name w:val="List 2"/>
    <w:basedOn w:val="Normal"/>
    <w:uiPriority w:val="99"/>
    <w:rsid w:val="003020DA"/>
    <w:pPr>
      <w:widowControl w:val="0"/>
      <w:adjustRightInd w:val="0"/>
      <w:spacing w:line="360" w:lineRule="atLeast"/>
      <w:ind w:left="566" w:hanging="283"/>
      <w:jc w:val="both"/>
      <w:textAlignment w:val="baseline"/>
    </w:pPr>
    <w:rPr>
      <w:lang w:val="en-GB" w:eastAsia="en-US"/>
    </w:rPr>
  </w:style>
  <w:style w:type="paragraph" w:styleId="Lista3">
    <w:name w:val="List 3"/>
    <w:basedOn w:val="Normal"/>
    <w:uiPriority w:val="99"/>
    <w:rsid w:val="003020DA"/>
    <w:pPr>
      <w:widowControl w:val="0"/>
      <w:adjustRightInd w:val="0"/>
      <w:spacing w:line="360" w:lineRule="atLeast"/>
      <w:ind w:left="849" w:hanging="283"/>
      <w:jc w:val="both"/>
      <w:textAlignment w:val="baseline"/>
    </w:pPr>
    <w:rPr>
      <w:lang w:val="en-GB" w:eastAsia="en-US"/>
    </w:rPr>
  </w:style>
  <w:style w:type="paragraph" w:styleId="Saludo">
    <w:name w:val="Salutation"/>
    <w:basedOn w:val="Normal"/>
    <w:next w:val="Normal"/>
    <w:link w:val="SaludoCar"/>
    <w:uiPriority w:val="99"/>
    <w:rsid w:val="003020DA"/>
    <w:pPr>
      <w:widowControl w:val="0"/>
      <w:adjustRightInd w:val="0"/>
      <w:spacing w:line="360" w:lineRule="atLeast"/>
      <w:jc w:val="both"/>
      <w:textAlignment w:val="baseline"/>
    </w:pPr>
    <w:rPr>
      <w:lang w:val="en-GB" w:eastAsia="en-US"/>
    </w:rPr>
  </w:style>
  <w:style w:type="paragraph" w:styleId="Fecha">
    <w:name w:val="Date"/>
    <w:basedOn w:val="Normal"/>
    <w:next w:val="Normal"/>
    <w:link w:val="FechaCar"/>
    <w:uiPriority w:val="99"/>
    <w:rsid w:val="003020DA"/>
    <w:pPr>
      <w:widowControl w:val="0"/>
      <w:adjustRightInd w:val="0"/>
      <w:spacing w:line="360" w:lineRule="atLeast"/>
      <w:jc w:val="both"/>
      <w:textAlignment w:val="baseline"/>
    </w:pPr>
    <w:rPr>
      <w:lang w:val="en-GB" w:eastAsia="en-US"/>
    </w:rPr>
  </w:style>
  <w:style w:type="paragraph" w:styleId="Listaconvietas">
    <w:name w:val="List Bullet"/>
    <w:basedOn w:val="Normal"/>
    <w:autoRedefine/>
    <w:uiPriority w:val="99"/>
    <w:rsid w:val="003020DA"/>
    <w:pPr>
      <w:widowControl w:val="0"/>
      <w:numPr>
        <w:numId w:val="3"/>
      </w:numPr>
      <w:adjustRightInd w:val="0"/>
      <w:spacing w:line="360" w:lineRule="atLeast"/>
      <w:jc w:val="both"/>
      <w:textAlignment w:val="baseline"/>
    </w:pPr>
    <w:rPr>
      <w:lang w:val="en-GB" w:eastAsia="en-US"/>
    </w:rPr>
  </w:style>
  <w:style w:type="paragraph" w:styleId="Continuarlista2">
    <w:name w:val="List Continue 2"/>
    <w:basedOn w:val="Normal"/>
    <w:uiPriority w:val="99"/>
    <w:rsid w:val="003020DA"/>
    <w:pPr>
      <w:widowControl w:val="0"/>
      <w:adjustRightInd w:val="0"/>
      <w:spacing w:after="120" w:line="360" w:lineRule="atLeast"/>
      <w:ind w:left="566"/>
      <w:jc w:val="both"/>
      <w:textAlignment w:val="baseline"/>
    </w:pPr>
    <w:rPr>
      <w:lang w:val="en-GB" w:eastAsia="en-US"/>
    </w:rPr>
  </w:style>
  <w:style w:type="paragraph" w:customStyle="1" w:styleId="Remiteabreviado">
    <w:name w:val="Remite abreviado"/>
    <w:basedOn w:val="Normal"/>
    <w:uiPriority w:val="99"/>
    <w:rsid w:val="003020DA"/>
    <w:pPr>
      <w:widowControl w:val="0"/>
      <w:adjustRightInd w:val="0"/>
      <w:spacing w:line="360" w:lineRule="atLeast"/>
      <w:jc w:val="both"/>
      <w:textAlignment w:val="baseline"/>
    </w:pPr>
    <w:rPr>
      <w:lang w:val="en-GB" w:eastAsia="en-US"/>
    </w:rPr>
  </w:style>
  <w:style w:type="paragraph" w:customStyle="1" w:styleId="Anotacion0">
    <w:name w:val="Anotacion"/>
    <w:basedOn w:val="Normal"/>
    <w:uiPriority w:val="99"/>
    <w:rsid w:val="003020DA"/>
    <w:pPr>
      <w:widowControl w:val="0"/>
      <w:adjustRightInd w:val="0"/>
      <w:spacing w:before="101" w:after="101" w:line="360" w:lineRule="atLeast"/>
      <w:jc w:val="center"/>
      <w:textAlignment w:val="baseline"/>
    </w:pPr>
    <w:rPr>
      <w:rFonts w:cs="Arial"/>
      <w:b/>
      <w:sz w:val="18"/>
      <w:szCs w:val="18"/>
      <w:lang w:val="es-ES"/>
    </w:rPr>
  </w:style>
  <w:style w:type="character" w:customStyle="1" w:styleId="INCISOCar">
    <w:name w:val="INCISO Car"/>
    <w:basedOn w:val="Fuentedeprrafopredeter"/>
    <w:rsid w:val="003020DA"/>
    <w:rPr>
      <w:rFonts w:ascii="Arial" w:hAnsi="Arial" w:cs="Arial"/>
      <w:sz w:val="18"/>
      <w:szCs w:val="18"/>
      <w:lang w:val="es-ES" w:eastAsia="es-ES" w:bidi="ar-SA"/>
    </w:rPr>
  </w:style>
  <w:style w:type="paragraph" w:customStyle="1" w:styleId="Cuadros">
    <w:name w:val="Cuadros"/>
    <w:basedOn w:val="texto0"/>
    <w:uiPriority w:val="99"/>
    <w:rsid w:val="003020DA"/>
    <w:pPr>
      <w:widowControl w:val="0"/>
      <w:autoSpaceDE/>
      <w:autoSpaceDN/>
      <w:adjustRightInd w:val="0"/>
      <w:spacing w:line="240" w:lineRule="auto"/>
      <w:ind w:right="-374"/>
      <w:jc w:val="left"/>
      <w:textAlignment w:val="baseline"/>
    </w:pPr>
    <w:rPr>
      <w:sz w:val="20"/>
      <w:szCs w:val="20"/>
    </w:rPr>
  </w:style>
  <w:style w:type="paragraph" w:customStyle="1" w:styleId="cuadro">
    <w:name w:val="cuadro"/>
    <w:basedOn w:val="texto0"/>
    <w:uiPriority w:val="99"/>
    <w:rsid w:val="003020DA"/>
    <w:pPr>
      <w:widowControl w:val="0"/>
      <w:autoSpaceDE/>
      <w:autoSpaceDN/>
      <w:adjustRightInd w:val="0"/>
      <w:spacing w:line="240" w:lineRule="auto"/>
      <w:textAlignment w:val="baseline"/>
    </w:pPr>
    <w:rPr>
      <w:sz w:val="18"/>
      <w:szCs w:val="20"/>
    </w:rPr>
  </w:style>
  <w:style w:type="paragraph" w:customStyle="1" w:styleId="xl24">
    <w:name w:val="xl24"/>
    <w:basedOn w:val="Normal"/>
    <w:uiPriority w:val="99"/>
    <w:rsid w:val="003020DA"/>
    <w:pPr>
      <w:widowControl w:val="0"/>
      <w:adjustRightInd w:val="0"/>
      <w:spacing w:before="100" w:beforeAutospacing="1" w:after="100" w:afterAutospacing="1" w:line="360" w:lineRule="atLeast"/>
      <w:jc w:val="both"/>
      <w:textAlignment w:val="baseline"/>
    </w:pPr>
    <w:rPr>
      <w:sz w:val="18"/>
      <w:szCs w:val="18"/>
      <w:lang w:val="es-ES"/>
    </w:rPr>
  </w:style>
  <w:style w:type="paragraph" w:customStyle="1" w:styleId="NotaGrfico">
    <w:name w:val="Nota Gráfico"/>
    <w:uiPriority w:val="99"/>
    <w:rsid w:val="003020DA"/>
    <w:pPr>
      <w:widowControl w:val="0"/>
      <w:adjustRightInd w:val="0"/>
      <w:spacing w:line="360" w:lineRule="atLeast"/>
      <w:jc w:val="both"/>
      <w:textAlignment w:val="baseline"/>
    </w:pPr>
    <w:rPr>
      <w:rFonts w:ascii="Arial" w:hAnsi="Arial"/>
      <w:sz w:val="14"/>
      <w:lang w:eastAsia="es-ES"/>
    </w:rPr>
  </w:style>
  <w:style w:type="paragraph" w:customStyle="1" w:styleId="Grfico">
    <w:name w:val="Gráfico"/>
    <w:basedOn w:val="Normal"/>
    <w:next w:val="Normal"/>
    <w:uiPriority w:val="99"/>
    <w:rsid w:val="003020DA"/>
    <w:pPr>
      <w:widowControl w:val="0"/>
      <w:adjustRightInd w:val="0"/>
      <w:spacing w:line="360" w:lineRule="auto"/>
      <w:jc w:val="both"/>
      <w:textAlignment w:val="baseline"/>
    </w:pPr>
    <w:rPr>
      <w:noProof/>
      <w:szCs w:val="20"/>
      <w:lang w:val="es-ES"/>
    </w:rPr>
  </w:style>
  <w:style w:type="paragraph" w:customStyle="1" w:styleId="paralargetext">
    <w:name w:val="paralarge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lang w:val="es-ES"/>
    </w:rPr>
  </w:style>
  <w:style w:type="paragraph" w:customStyle="1" w:styleId="paranormaltext">
    <w:name w:val="paranorma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20"/>
      <w:szCs w:val="20"/>
      <w:lang w:val="es-ES"/>
    </w:rPr>
  </w:style>
  <w:style w:type="paragraph" w:customStyle="1" w:styleId="paraboldtext">
    <w:name w:val="parabold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sz w:val="20"/>
      <w:szCs w:val="20"/>
      <w:lang w:val="es-ES"/>
    </w:rPr>
  </w:style>
  <w:style w:type="character" w:customStyle="1" w:styleId="parasmallcolourtext1">
    <w:name w:val="parasmallcolourtext1"/>
    <w:basedOn w:val="Fuentedeprrafopredeter"/>
    <w:rsid w:val="003020DA"/>
    <w:rPr>
      <w:rFonts w:ascii="Trebuchet MS" w:hAnsi="Trebuchet MS" w:hint="default"/>
      <w:b w:val="0"/>
      <w:bCs w:val="0"/>
      <w:i w:val="0"/>
      <w:iCs w:val="0"/>
      <w:color w:val="0080FF"/>
      <w:sz w:val="16"/>
      <w:szCs w:val="16"/>
    </w:rPr>
  </w:style>
  <w:style w:type="paragraph" w:styleId="Textonotaalfinal">
    <w:name w:val="endnote text"/>
    <w:basedOn w:val="Normal"/>
    <w:link w:val="TextonotaalfinalCar"/>
    <w:uiPriority w:val="99"/>
    <w:semiHidden/>
    <w:rsid w:val="003020DA"/>
    <w:pPr>
      <w:widowControl w:val="0"/>
      <w:adjustRightInd w:val="0"/>
      <w:spacing w:line="360" w:lineRule="atLeast"/>
      <w:jc w:val="both"/>
      <w:textAlignment w:val="baseline"/>
    </w:pPr>
    <w:rPr>
      <w:sz w:val="20"/>
      <w:szCs w:val="20"/>
      <w:lang w:val="es-ES"/>
    </w:rPr>
  </w:style>
  <w:style w:type="paragraph" w:customStyle="1" w:styleId="p0">
    <w:name w:val="p0"/>
    <w:basedOn w:val="Normal"/>
    <w:uiPriority w:val="99"/>
    <w:rsid w:val="003020DA"/>
    <w:pPr>
      <w:widowControl w:val="0"/>
      <w:adjustRightInd w:val="0"/>
      <w:spacing w:before="240" w:line="360" w:lineRule="atLeast"/>
      <w:ind w:left="1417" w:right="23" w:hanging="709"/>
      <w:jc w:val="both"/>
      <w:textAlignment w:val="baseline"/>
    </w:pPr>
    <w:rPr>
      <w:rFonts w:ascii="Arial" w:hAnsi="Arial"/>
      <w:color w:val="0000FF"/>
      <w:szCs w:val="20"/>
    </w:rPr>
  </w:style>
  <w:style w:type="paragraph" w:customStyle="1" w:styleId="subtit-1">
    <w:name w:val="subtit-1"/>
    <w:basedOn w:val="Normal"/>
    <w:uiPriority w:val="99"/>
    <w:rsid w:val="003020DA"/>
    <w:pPr>
      <w:widowControl w:val="0"/>
      <w:autoSpaceDE w:val="0"/>
      <w:autoSpaceDN w:val="0"/>
      <w:adjustRightInd w:val="0"/>
      <w:spacing w:line="360" w:lineRule="atLeast"/>
      <w:jc w:val="both"/>
      <w:textAlignment w:val="baseline"/>
    </w:pPr>
    <w:rPr>
      <w:bCs/>
      <w:spacing w:val="-4"/>
      <w:sz w:val="26"/>
      <w:szCs w:val="26"/>
      <w:lang w:val="es-ES_tradnl"/>
    </w:rPr>
  </w:style>
  <w:style w:type="paragraph" w:styleId="Subttulo">
    <w:name w:val="Subtitle"/>
    <w:basedOn w:val="Normal"/>
    <w:link w:val="SubttuloCar"/>
    <w:uiPriority w:val="99"/>
    <w:qFormat/>
    <w:rsid w:val="003020DA"/>
    <w:pPr>
      <w:widowControl w:val="0"/>
      <w:adjustRightInd w:val="0"/>
      <w:spacing w:before="60" w:after="60" w:line="360" w:lineRule="atLeast"/>
      <w:jc w:val="center"/>
      <w:textAlignment w:val="baseline"/>
    </w:pPr>
    <w:rPr>
      <w:b/>
      <w:bCs/>
      <w:sz w:val="20"/>
      <w:lang w:val="es-ES"/>
    </w:rPr>
  </w:style>
  <w:style w:type="paragraph" w:customStyle="1" w:styleId="kickertext">
    <w:name w:val="kickertext"/>
    <w:basedOn w:val="Normal"/>
    <w:uiPriority w:val="99"/>
    <w:rsid w:val="003020DA"/>
    <w:pPr>
      <w:widowControl w:val="0"/>
      <w:adjustRightInd w:val="0"/>
      <w:spacing w:before="100" w:beforeAutospacing="1" w:line="360" w:lineRule="atLeast"/>
      <w:jc w:val="both"/>
      <w:textAlignment w:val="baseline"/>
    </w:pPr>
    <w:rPr>
      <w:rFonts w:ascii="Trebuchet MS" w:hAnsi="Trebuchet MS"/>
      <w:sz w:val="20"/>
      <w:szCs w:val="20"/>
      <w:lang w:val="es-ES"/>
    </w:rPr>
  </w:style>
  <w:style w:type="paragraph" w:customStyle="1" w:styleId="pagetitletext">
    <w:name w:val="pagetitletext"/>
    <w:basedOn w:val="Normal"/>
    <w:uiPriority w:val="99"/>
    <w:rsid w:val="003020DA"/>
    <w:pPr>
      <w:widowControl w:val="0"/>
      <w:adjustRightInd w:val="0"/>
      <w:spacing w:after="100" w:afterAutospacing="1" w:line="360" w:lineRule="atLeast"/>
      <w:jc w:val="both"/>
      <w:textAlignment w:val="baseline"/>
    </w:pPr>
    <w:rPr>
      <w:rFonts w:ascii="Trebuchet MS" w:hAnsi="Trebuchet MS"/>
      <w:b/>
      <w:bCs/>
      <w:color w:val="0080FF"/>
      <w:sz w:val="36"/>
      <w:szCs w:val="36"/>
      <w:lang w:val="es-ES"/>
    </w:rPr>
  </w:style>
  <w:style w:type="paragraph" w:customStyle="1" w:styleId="paraboldcolourtext">
    <w:name w:val="parabold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FF"/>
      <w:sz w:val="20"/>
      <w:szCs w:val="20"/>
      <w:lang w:val="es-ES"/>
    </w:rPr>
  </w:style>
  <w:style w:type="paragraph" w:customStyle="1" w:styleId="paracolourtext">
    <w:name w:val="para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20"/>
      <w:szCs w:val="20"/>
      <w:lang w:val="es-ES"/>
    </w:rPr>
  </w:style>
  <w:style w:type="paragraph" w:customStyle="1" w:styleId="parasmallcolourtext">
    <w:name w:val="parasmall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sz w:val="16"/>
      <w:szCs w:val="16"/>
      <w:lang w:val="es-ES"/>
    </w:rPr>
  </w:style>
  <w:style w:type="character" w:customStyle="1" w:styleId="paraboldcolourtext1">
    <w:name w:val="paraboldcolourtext1"/>
    <w:basedOn w:val="Fuentedeprrafopredeter"/>
    <w:rsid w:val="003020DA"/>
    <w:rPr>
      <w:rFonts w:ascii="Trebuchet MS" w:hAnsi="Trebuchet MS" w:hint="default"/>
      <w:b/>
      <w:bCs/>
      <w:i w:val="0"/>
      <w:iCs w:val="0"/>
      <w:color w:val="0080FF"/>
      <w:sz w:val="20"/>
      <w:szCs w:val="20"/>
    </w:rPr>
  </w:style>
  <w:style w:type="paragraph" w:customStyle="1" w:styleId="parasmalltext">
    <w:name w:val="parasmall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sz w:val="16"/>
      <w:szCs w:val="16"/>
      <w:lang w:val="es-ES"/>
    </w:rPr>
  </w:style>
  <w:style w:type="character" w:customStyle="1" w:styleId="parasmalltext1">
    <w:name w:val="parasmalltext1"/>
    <w:basedOn w:val="Fuentedeprrafopredeter"/>
    <w:rsid w:val="003020DA"/>
    <w:rPr>
      <w:rFonts w:ascii="Trebuchet MS" w:hAnsi="Trebuchet MS" w:hint="default"/>
      <w:b w:val="0"/>
      <w:bCs w:val="0"/>
      <w:i w:val="0"/>
      <w:iCs w:val="0"/>
      <w:sz w:val="16"/>
      <w:szCs w:val="16"/>
    </w:rPr>
  </w:style>
  <w:style w:type="paragraph" w:styleId="z-Principiodelformulario">
    <w:name w:val="HTML Top of Form"/>
    <w:basedOn w:val="Normal"/>
    <w:next w:val="Normal"/>
    <w:link w:val="z-PrincipiodelformularioCar"/>
    <w:hidden/>
    <w:uiPriority w:val="99"/>
    <w:rsid w:val="003020DA"/>
    <w:pPr>
      <w:widowControl w:val="0"/>
      <w:pBdr>
        <w:bottom w:val="single" w:sz="6" w:space="1" w:color="auto"/>
      </w:pBdr>
      <w:adjustRightInd w:val="0"/>
      <w:spacing w:line="360" w:lineRule="atLeast"/>
      <w:jc w:val="center"/>
      <w:textAlignment w:val="baseline"/>
    </w:pPr>
    <w:rPr>
      <w:rFonts w:ascii="Arial" w:hAnsi="Arial" w:cs="Arial"/>
      <w:vanish/>
      <w:sz w:val="16"/>
      <w:szCs w:val="16"/>
      <w:lang w:val="es-ES"/>
    </w:rPr>
  </w:style>
  <w:style w:type="paragraph" w:styleId="z-Finaldelformulario">
    <w:name w:val="HTML Bottom of Form"/>
    <w:basedOn w:val="Normal"/>
    <w:next w:val="Normal"/>
    <w:link w:val="z-FinaldelformularioCar"/>
    <w:hidden/>
    <w:uiPriority w:val="99"/>
    <w:rsid w:val="003020DA"/>
    <w:pPr>
      <w:widowControl w:val="0"/>
      <w:pBdr>
        <w:top w:val="single" w:sz="6" w:space="1" w:color="auto"/>
      </w:pBdr>
      <w:adjustRightInd w:val="0"/>
      <w:spacing w:line="360" w:lineRule="atLeast"/>
      <w:jc w:val="center"/>
      <w:textAlignment w:val="baseline"/>
    </w:pPr>
    <w:rPr>
      <w:rFonts w:ascii="Arial" w:hAnsi="Arial" w:cs="Arial"/>
      <w:vanish/>
      <w:sz w:val="16"/>
      <w:szCs w:val="16"/>
      <w:lang w:val="es-ES"/>
    </w:rPr>
  </w:style>
  <w:style w:type="character" w:customStyle="1" w:styleId="parasmallgreytext1">
    <w:name w:val="parasmallgreytext1"/>
    <w:basedOn w:val="Fuentedeprrafopredeter"/>
    <w:rsid w:val="003020DA"/>
    <w:rPr>
      <w:rFonts w:ascii="Trebuchet MS" w:hAnsi="Trebuchet MS" w:hint="default"/>
      <w:b w:val="0"/>
      <w:bCs w:val="0"/>
      <w:i w:val="0"/>
      <w:iCs w:val="0"/>
      <w:color w:val="808080"/>
      <w:sz w:val="16"/>
      <w:szCs w:val="16"/>
    </w:rPr>
  </w:style>
  <w:style w:type="paragraph" w:styleId="HTMLconformatoprevio">
    <w:name w:val="HTML Preformatted"/>
    <w:basedOn w:val="Normal"/>
    <w:link w:val="HTMLconformatoprevioCar"/>
    <w:uiPriority w:val="99"/>
    <w:rsid w:val="003020D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jc w:val="both"/>
      <w:textAlignment w:val="baseline"/>
    </w:pPr>
    <w:rPr>
      <w:rFonts w:ascii="Courier New" w:hAnsi="Courier New" w:cs="Courier New"/>
      <w:sz w:val="20"/>
      <w:szCs w:val="20"/>
      <w:lang w:val="es-ES"/>
    </w:rPr>
  </w:style>
  <w:style w:type="paragraph" w:customStyle="1" w:styleId="news1bodytext">
    <w:name w:val="news1bodytext"/>
    <w:basedOn w:val="Normal"/>
    <w:uiPriority w:val="99"/>
    <w:rsid w:val="003020DA"/>
    <w:pPr>
      <w:widowControl w:val="0"/>
      <w:adjustRightInd w:val="0"/>
      <w:spacing w:after="100" w:afterAutospacing="1" w:line="360" w:lineRule="atLeast"/>
      <w:jc w:val="both"/>
      <w:textAlignment w:val="baseline"/>
    </w:pPr>
    <w:rPr>
      <w:rFonts w:ascii="Trebuchet MS" w:hAnsi="Trebuchet MS"/>
      <w:lang w:val="es-ES"/>
    </w:rPr>
  </w:style>
  <w:style w:type="paragraph" w:customStyle="1" w:styleId="news1headlinetext">
    <w:name w:val="news1headlinetext"/>
    <w:basedOn w:val="Normal"/>
    <w:uiPriority w:val="99"/>
    <w:rsid w:val="003020DA"/>
    <w:pPr>
      <w:widowControl w:val="0"/>
      <w:adjustRightInd w:val="0"/>
      <w:spacing w:before="100" w:beforeAutospacing="1" w:line="360" w:lineRule="atLeast"/>
      <w:jc w:val="both"/>
      <w:textAlignment w:val="baseline"/>
    </w:pPr>
    <w:rPr>
      <w:rFonts w:ascii="Trebuchet MS" w:hAnsi="Trebuchet MS"/>
      <w:b/>
      <w:bCs/>
      <w:color w:val="0080FF"/>
      <w:sz w:val="36"/>
      <w:szCs w:val="36"/>
      <w:lang w:val="es-ES"/>
    </w:rPr>
  </w:style>
  <w:style w:type="paragraph" w:customStyle="1" w:styleId="Estilo3">
    <w:name w:val="Estilo3"/>
    <w:basedOn w:val="Ttulo1"/>
    <w:uiPriority w:val="99"/>
    <w:rsid w:val="003020DA"/>
    <w:pPr>
      <w:keepNext/>
      <w:widowControl w:val="0"/>
      <w:tabs>
        <w:tab w:val="num" w:pos="360"/>
      </w:tabs>
      <w:adjustRightInd w:val="0"/>
      <w:spacing w:before="240" w:beforeAutospacing="0" w:after="60" w:afterAutospacing="0" w:line="360" w:lineRule="atLeast"/>
      <w:jc w:val="both"/>
      <w:textAlignment w:val="baseline"/>
    </w:pPr>
    <w:rPr>
      <w:rFonts w:ascii="Lucida Sans Unicode" w:hAnsi="Lucida Sans Unicode"/>
      <w:color w:val="FF6600"/>
      <w:kern w:val="32"/>
      <w:sz w:val="28"/>
      <w:szCs w:val="28"/>
      <w:lang w:val="es-ES" w:eastAsia="es-ES"/>
    </w:rPr>
  </w:style>
  <w:style w:type="paragraph" w:customStyle="1" w:styleId="Estilo4">
    <w:name w:val="Estilo4"/>
    <w:basedOn w:val="Ttulo1"/>
    <w:uiPriority w:val="99"/>
    <w:rsid w:val="003020DA"/>
    <w:pPr>
      <w:keepNext/>
      <w:widowControl w:val="0"/>
      <w:tabs>
        <w:tab w:val="num" w:pos="360"/>
      </w:tabs>
      <w:adjustRightInd w:val="0"/>
      <w:spacing w:before="240" w:beforeAutospacing="0" w:after="60" w:afterAutospacing="0" w:line="360" w:lineRule="atLeast"/>
      <w:textAlignment w:val="baseline"/>
    </w:pPr>
    <w:rPr>
      <w:rFonts w:ascii="Lucida Sans Unicode" w:hAnsi="Lucida Sans Unicode"/>
      <w:kern w:val="32"/>
      <w:sz w:val="32"/>
      <w:szCs w:val="28"/>
      <w:lang w:val="es-ES" w:eastAsia="es-ES"/>
    </w:rPr>
  </w:style>
  <w:style w:type="paragraph" w:customStyle="1" w:styleId="Ttulo10">
    <w:name w:val="Tìtulo 1"/>
    <w:basedOn w:val="Normal"/>
    <w:uiPriority w:val="99"/>
    <w:rsid w:val="003020DA"/>
    <w:pPr>
      <w:keepNext/>
      <w:widowControl w:val="0"/>
      <w:adjustRightInd w:val="0"/>
      <w:spacing w:before="240" w:after="60" w:line="360" w:lineRule="atLeast"/>
      <w:jc w:val="both"/>
      <w:textAlignment w:val="baseline"/>
      <w:outlineLvl w:val="0"/>
    </w:pPr>
    <w:rPr>
      <w:rFonts w:ascii="Lucida Sans Unicode" w:hAnsi="Lucida Sans Unicode" w:cs="Arial"/>
      <w:bCs/>
      <w:color w:val="00FFFF"/>
      <w:kern w:val="32"/>
      <w:sz w:val="28"/>
      <w:szCs w:val="28"/>
      <w:lang w:val="es-ES"/>
    </w:rPr>
  </w:style>
  <w:style w:type="character" w:customStyle="1" w:styleId="copy1">
    <w:name w:val="copy1"/>
    <w:rsid w:val="003020DA"/>
    <w:rPr>
      <w:i/>
      <w:iCs/>
      <w:color w:val="000000"/>
      <w:sz w:val="22"/>
      <w:szCs w:val="22"/>
    </w:rPr>
  </w:style>
  <w:style w:type="paragraph" w:customStyle="1" w:styleId="cabeza0">
    <w:name w:val="cabeza"/>
    <w:basedOn w:val="Normal"/>
    <w:uiPriority w:val="99"/>
    <w:rsid w:val="003020DA"/>
    <w:pPr>
      <w:widowControl w:val="0"/>
      <w:adjustRightInd w:val="0"/>
      <w:spacing w:before="100" w:beforeAutospacing="1" w:after="100" w:afterAutospacing="1" w:line="360" w:lineRule="atLeast"/>
      <w:jc w:val="both"/>
      <w:textAlignment w:val="baseline"/>
    </w:pPr>
    <w:rPr>
      <w:rFonts w:ascii="Verdana" w:hAnsi="Verdana"/>
      <w:b/>
      <w:bCs/>
      <w:spacing w:val="-10"/>
      <w:sz w:val="31"/>
      <w:szCs w:val="31"/>
      <w:lang w:val="es-ES"/>
    </w:rPr>
  </w:style>
  <w:style w:type="character" w:customStyle="1" w:styleId="texto1">
    <w:name w:val="texto1"/>
    <w:basedOn w:val="Fuentedeprrafopredeter"/>
    <w:rsid w:val="003020DA"/>
    <w:rPr>
      <w:rFonts w:ascii="Arial" w:hAnsi="Arial" w:cs="Arial" w:hint="default"/>
      <w:color w:val="000000"/>
      <w:sz w:val="20"/>
      <w:szCs w:val="20"/>
    </w:rPr>
  </w:style>
  <w:style w:type="paragraph" w:customStyle="1" w:styleId="SubttuloGrfico">
    <w:name w:val="Subtítulo Gráfico"/>
    <w:basedOn w:val="Normal"/>
    <w:next w:val="Normal"/>
    <w:uiPriority w:val="99"/>
    <w:rsid w:val="003020DA"/>
    <w:pPr>
      <w:keepNext/>
      <w:widowControl w:val="0"/>
      <w:adjustRightInd w:val="0"/>
      <w:spacing w:line="360" w:lineRule="atLeast"/>
      <w:ind w:firstLine="1560"/>
      <w:jc w:val="both"/>
      <w:textAlignment w:val="baseline"/>
    </w:pPr>
    <w:rPr>
      <w:rFonts w:ascii="Arial" w:hAnsi="Arial"/>
      <w:color w:val="000080"/>
      <w:sz w:val="20"/>
      <w:szCs w:val="20"/>
    </w:rPr>
  </w:style>
  <w:style w:type="character" w:customStyle="1" w:styleId="paraboldgreytext1">
    <w:name w:val="paraboldgreytext1"/>
    <w:basedOn w:val="Fuentedeprrafopredeter"/>
    <w:rsid w:val="003020DA"/>
    <w:rPr>
      <w:rFonts w:ascii="Trebuchet MS" w:hAnsi="Trebuchet MS" w:hint="default"/>
      <w:b/>
      <w:bCs/>
      <w:i w:val="0"/>
      <w:iCs w:val="0"/>
      <w:color w:val="808080"/>
      <w:sz w:val="20"/>
      <w:szCs w:val="20"/>
    </w:rPr>
  </w:style>
  <w:style w:type="character" w:customStyle="1" w:styleId="CarCarCarCarCarCarCarCar">
    <w:name w:val="Car Car Car Car Car Car Car Car"/>
    <w:basedOn w:val="Fuentedeprrafopredeter"/>
    <w:rsid w:val="003020DA"/>
    <w:rPr>
      <w:rFonts w:ascii="Arial" w:hAnsi="Arial" w:cs="Arial"/>
      <w:sz w:val="26"/>
      <w:szCs w:val="26"/>
      <w:lang w:val="es-ES" w:eastAsia="es-ES" w:bidi="ar-SA"/>
    </w:rPr>
  </w:style>
  <w:style w:type="paragraph" w:styleId="Listaconvietas3">
    <w:name w:val="List Bullet 3"/>
    <w:basedOn w:val="Normal"/>
    <w:autoRedefine/>
    <w:uiPriority w:val="99"/>
    <w:rsid w:val="003020DA"/>
    <w:pPr>
      <w:widowControl w:val="0"/>
      <w:numPr>
        <w:numId w:val="4"/>
      </w:numPr>
      <w:adjustRightInd w:val="0"/>
      <w:spacing w:line="360" w:lineRule="atLeast"/>
      <w:jc w:val="both"/>
      <w:textAlignment w:val="baseline"/>
    </w:pPr>
    <w:rPr>
      <w:lang w:val="es-ES"/>
    </w:rPr>
  </w:style>
  <w:style w:type="paragraph" w:customStyle="1" w:styleId="Imagen">
    <w:name w:val="Imagen"/>
    <w:basedOn w:val="Normal"/>
    <w:uiPriority w:val="99"/>
    <w:rsid w:val="003020DA"/>
    <w:pPr>
      <w:widowControl w:val="0"/>
      <w:adjustRightInd w:val="0"/>
      <w:spacing w:line="360" w:lineRule="atLeast"/>
      <w:jc w:val="both"/>
      <w:textAlignment w:val="baseline"/>
    </w:pPr>
    <w:rPr>
      <w:lang w:val="es-ES"/>
    </w:rPr>
  </w:style>
  <w:style w:type="paragraph" w:customStyle="1" w:styleId="3">
    <w:name w:val="3"/>
    <w:basedOn w:val="Normal"/>
    <w:next w:val="Sangradetextonormal"/>
    <w:uiPriority w:val="99"/>
    <w:rsid w:val="003020DA"/>
    <w:pPr>
      <w:widowControl w:val="0"/>
      <w:adjustRightInd w:val="0"/>
      <w:spacing w:after="120" w:line="360" w:lineRule="atLeast"/>
      <w:ind w:left="283"/>
      <w:jc w:val="both"/>
      <w:textAlignment w:val="baseline"/>
    </w:pPr>
    <w:rPr>
      <w:rFonts w:ascii="Arial" w:hAnsi="Arial"/>
      <w:lang w:val="es-ES"/>
    </w:rPr>
  </w:style>
  <w:style w:type="character" w:customStyle="1" w:styleId="style5">
    <w:name w:val="style5"/>
    <w:basedOn w:val="Fuentedeprrafopredeter"/>
    <w:rsid w:val="003020DA"/>
  </w:style>
  <w:style w:type="paragraph" w:styleId="Continuarlista">
    <w:name w:val="List Continue"/>
    <w:basedOn w:val="Normal"/>
    <w:uiPriority w:val="99"/>
    <w:rsid w:val="003020DA"/>
    <w:pPr>
      <w:widowControl w:val="0"/>
      <w:adjustRightInd w:val="0"/>
      <w:spacing w:after="120" w:line="360" w:lineRule="atLeast"/>
      <w:ind w:left="283"/>
      <w:jc w:val="both"/>
      <w:textAlignment w:val="baseline"/>
    </w:pPr>
    <w:rPr>
      <w:lang w:val="es-ES"/>
    </w:rPr>
  </w:style>
  <w:style w:type="paragraph" w:customStyle="1" w:styleId="Direccininterior">
    <w:name w:val="Dirección interior"/>
    <w:basedOn w:val="Normal"/>
    <w:uiPriority w:val="99"/>
    <w:rsid w:val="003020DA"/>
    <w:pPr>
      <w:widowControl w:val="0"/>
      <w:adjustRightInd w:val="0"/>
      <w:spacing w:line="360" w:lineRule="atLeast"/>
      <w:jc w:val="both"/>
      <w:textAlignment w:val="baseline"/>
    </w:pPr>
    <w:rPr>
      <w:lang w:val="es-ES"/>
    </w:rPr>
  </w:style>
  <w:style w:type="paragraph" w:customStyle="1" w:styleId="Lneadeasunto">
    <w:name w:val="Línea de asunto"/>
    <w:basedOn w:val="Normal"/>
    <w:uiPriority w:val="99"/>
    <w:rsid w:val="003020DA"/>
    <w:pPr>
      <w:widowControl w:val="0"/>
      <w:adjustRightInd w:val="0"/>
      <w:spacing w:line="360" w:lineRule="atLeast"/>
      <w:jc w:val="both"/>
      <w:textAlignment w:val="baseline"/>
    </w:pPr>
    <w:rPr>
      <w:lang w:val="es-ES"/>
    </w:rPr>
  </w:style>
  <w:style w:type="paragraph" w:styleId="Textoindependienteprimerasangra2">
    <w:name w:val="Body Text First Indent 2"/>
    <w:basedOn w:val="Sangradetextonormal"/>
    <w:link w:val="Textoindependienteprimerasangra2Car"/>
    <w:uiPriority w:val="99"/>
    <w:rsid w:val="003020DA"/>
    <w:pPr>
      <w:widowControl w:val="0"/>
      <w:adjustRightInd w:val="0"/>
      <w:spacing w:line="360" w:lineRule="atLeast"/>
      <w:ind w:left="283" w:firstLine="210"/>
      <w:jc w:val="both"/>
      <w:textAlignment w:val="baseline"/>
    </w:pPr>
  </w:style>
  <w:style w:type="paragraph" w:customStyle="1" w:styleId="paralargecolourtext">
    <w:name w:val="paralarg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color w:val="0080FF"/>
      <w:lang w:val="es-ES"/>
    </w:rPr>
  </w:style>
  <w:style w:type="paragraph" w:customStyle="1" w:styleId="subtitlecolourtext">
    <w:name w:val="subtitlecolourtext"/>
    <w:basedOn w:val="Normal"/>
    <w:uiPriority w:val="99"/>
    <w:rsid w:val="003020DA"/>
    <w:pPr>
      <w:widowControl w:val="0"/>
      <w:adjustRightInd w:val="0"/>
      <w:spacing w:before="100" w:beforeAutospacing="1" w:after="100" w:afterAutospacing="1" w:line="360" w:lineRule="atLeast"/>
      <w:jc w:val="both"/>
      <w:textAlignment w:val="baseline"/>
    </w:pPr>
    <w:rPr>
      <w:rFonts w:ascii="Trebuchet MS" w:hAnsi="Trebuchet MS"/>
      <w:b/>
      <w:bCs/>
      <w:color w:val="008080"/>
      <w:lang w:val="es-ES"/>
    </w:rPr>
  </w:style>
  <w:style w:type="character" w:customStyle="1" w:styleId="TextoCar1">
    <w:name w:val="Texto Car1"/>
    <w:basedOn w:val="Fuentedeprrafopredeter"/>
    <w:rsid w:val="003020DA"/>
    <w:rPr>
      <w:rFonts w:ascii="Arial" w:hAnsi="Arial" w:cs="Arial"/>
      <w:sz w:val="18"/>
      <w:szCs w:val="18"/>
      <w:lang w:val="es-ES" w:eastAsia="es-ES" w:bidi="ar-SA"/>
    </w:rPr>
  </w:style>
  <w:style w:type="paragraph" w:customStyle="1" w:styleId="menudefaulttext">
    <w:name w:val="menudefaulttext"/>
    <w:basedOn w:val="Normal"/>
    <w:uiPriority w:val="99"/>
    <w:rsid w:val="003020DA"/>
    <w:pPr>
      <w:spacing w:before="100" w:beforeAutospacing="1" w:after="100" w:afterAutospacing="1"/>
    </w:pPr>
    <w:rPr>
      <w:b/>
      <w:bCs/>
      <w:color w:val="808080"/>
      <w:sz w:val="16"/>
      <w:szCs w:val="16"/>
      <w:lang w:val="es-ES"/>
    </w:rPr>
  </w:style>
  <w:style w:type="paragraph" w:customStyle="1" w:styleId="menubelongstext">
    <w:name w:val="menubelongstext"/>
    <w:basedOn w:val="Normal"/>
    <w:uiPriority w:val="99"/>
    <w:rsid w:val="003020DA"/>
    <w:pPr>
      <w:spacing w:before="100" w:beforeAutospacing="1" w:after="100" w:afterAutospacing="1"/>
    </w:pPr>
    <w:rPr>
      <w:b/>
      <w:bCs/>
      <w:color w:val="0080FF"/>
      <w:sz w:val="16"/>
      <w:szCs w:val="16"/>
      <w:lang w:val="es-ES"/>
    </w:rPr>
  </w:style>
  <w:style w:type="paragraph" w:customStyle="1" w:styleId="menulanguagetext">
    <w:name w:val="menulanguagetext"/>
    <w:basedOn w:val="Normal"/>
    <w:uiPriority w:val="99"/>
    <w:rsid w:val="003020DA"/>
    <w:pPr>
      <w:spacing w:before="100" w:beforeAutospacing="1" w:after="100" w:afterAutospacing="1"/>
    </w:pPr>
    <w:rPr>
      <w:color w:val="000080"/>
      <w:sz w:val="18"/>
      <w:szCs w:val="18"/>
      <w:lang w:val="es-ES"/>
    </w:rPr>
  </w:style>
  <w:style w:type="paragraph" w:customStyle="1" w:styleId="menuredtext">
    <w:name w:val="menuredtext"/>
    <w:basedOn w:val="Normal"/>
    <w:uiPriority w:val="99"/>
    <w:rsid w:val="003020DA"/>
    <w:pPr>
      <w:spacing w:before="100" w:beforeAutospacing="1" w:after="100" w:afterAutospacing="1"/>
    </w:pPr>
    <w:rPr>
      <w:b/>
      <w:bCs/>
      <w:color w:val="FF8040"/>
      <w:sz w:val="18"/>
      <w:szCs w:val="18"/>
      <w:lang w:val="es-ES"/>
    </w:rPr>
  </w:style>
  <w:style w:type="paragraph" w:customStyle="1" w:styleId="menubluetext">
    <w:name w:val="menubluetext"/>
    <w:basedOn w:val="Normal"/>
    <w:uiPriority w:val="99"/>
    <w:rsid w:val="003020DA"/>
    <w:pPr>
      <w:spacing w:before="100" w:beforeAutospacing="1" w:after="100" w:afterAutospacing="1"/>
    </w:pPr>
    <w:rPr>
      <w:b/>
      <w:bCs/>
      <w:color w:val="0080C0"/>
      <w:sz w:val="18"/>
      <w:szCs w:val="18"/>
      <w:lang w:val="es-ES"/>
    </w:rPr>
  </w:style>
  <w:style w:type="paragraph" w:customStyle="1" w:styleId="maintitletext">
    <w:name w:val="maintitletext"/>
    <w:basedOn w:val="Normal"/>
    <w:uiPriority w:val="99"/>
    <w:rsid w:val="003020DA"/>
    <w:pPr>
      <w:spacing w:before="100" w:beforeAutospacing="1" w:after="100" w:afterAutospacing="1"/>
    </w:pPr>
    <w:rPr>
      <w:b/>
      <w:bCs/>
      <w:color w:val="0080FF"/>
      <w:sz w:val="36"/>
      <w:szCs w:val="36"/>
      <w:lang w:val="es-ES"/>
    </w:rPr>
  </w:style>
  <w:style w:type="paragraph" w:customStyle="1" w:styleId="dropdownboxtext">
    <w:name w:val="dropdownboxtext"/>
    <w:basedOn w:val="Normal"/>
    <w:uiPriority w:val="99"/>
    <w:rsid w:val="003020DA"/>
    <w:pPr>
      <w:spacing w:before="100" w:beforeAutospacing="1" w:after="100" w:afterAutospacing="1"/>
    </w:pPr>
    <w:rPr>
      <w:color w:val="000000"/>
      <w:sz w:val="18"/>
      <w:szCs w:val="18"/>
      <w:lang w:val="es-ES"/>
    </w:rPr>
  </w:style>
  <w:style w:type="paragraph" w:customStyle="1" w:styleId="paragreytext">
    <w:name w:val="paragreytext"/>
    <w:basedOn w:val="Normal"/>
    <w:uiPriority w:val="99"/>
    <w:rsid w:val="003020DA"/>
    <w:pPr>
      <w:spacing w:before="100" w:beforeAutospacing="1" w:after="100" w:afterAutospacing="1"/>
    </w:pPr>
    <w:rPr>
      <w:color w:val="808080"/>
      <w:sz w:val="20"/>
      <w:szCs w:val="20"/>
      <w:lang w:val="es-ES"/>
    </w:rPr>
  </w:style>
  <w:style w:type="paragraph" w:customStyle="1" w:styleId="boldwhitetext">
    <w:name w:val="boldwhitetext"/>
    <w:basedOn w:val="Normal"/>
    <w:uiPriority w:val="99"/>
    <w:rsid w:val="003020DA"/>
    <w:pPr>
      <w:spacing w:before="100" w:beforeAutospacing="1" w:after="100" w:afterAutospacing="1"/>
    </w:pPr>
    <w:rPr>
      <w:b/>
      <w:bCs/>
      <w:color w:val="FFFFFF"/>
      <w:sz w:val="20"/>
      <w:szCs w:val="20"/>
      <w:lang w:val="es-ES"/>
    </w:rPr>
  </w:style>
  <w:style w:type="paragraph" w:customStyle="1" w:styleId="paraorangetext">
    <w:name w:val="paraorangetext"/>
    <w:basedOn w:val="Normal"/>
    <w:uiPriority w:val="99"/>
    <w:rsid w:val="003020DA"/>
    <w:pPr>
      <w:spacing w:before="100" w:beforeAutospacing="1" w:after="100" w:afterAutospacing="1"/>
    </w:pPr>
    <w:rPr>
      <w:color w:val="FF8040"/>
      <w:sz w:val="20"/>
      <w:szCs w:val="20"/>
      <w:lang w:val="es-ES"/>
    </w:rPr>
  </w:style>
  <w:style w:type="paragraph" w:customStyle="1" w:styleId="parasmallgreytext">
    <w:name w:val="parasmallgreytext"/>
    <w:basedOn w:val="Normal"/>
    <w:uiPriority w:val="99"/>
    <w:rsid w:val="003020DA"/>
    <w:pPr>
      <w:spacing w:before="100" w:beforeAutospacing="1" w:after="100" w:afterAutospacing="1"/>
    </w:pPr>
    <w:rPr>
      <w:color w:val="808080"/>
      <w:sz w:val="16"/>
      <w:szCs w:val="16"/>
      <w:lang w:val="es-ES"/>
    </w:rPr>
  </w:style>
  <w:style w:type="paragraph" w:customStyle="1" w:styleId="highlighttext">
    <w:name w:val="highlighttext"/>
    <w:basedOn w:val="Normal"/>
    <w:uiPriority w:val="99"/>
    <w:rsid w:val="003020DA"/>
    <w:pPr>
      <w:shd w:val="clear" w:color="auto" w:fill="FFFFFF"/>
      <w:spacing w:before="100" w:beforeAutospacing="1" w:after="100" w:afterAutospacing="1"/>
    </w:pPr>
    <w:rPr>
      <w:color w:val="000000"/>
      <w:sz w:val="20"/>
      <w:szCs w:val="20"/>
      <w:lang w:val="es-ES"/>
    </w:rPr>
  </w:style>
  <w:style w:type="paragraph" w:customStyle="1" w:styleId="parasmallredtext">
    <w:name w:val="parasmallredtext"/>
    <w:basedOn w:val="Normal"/>
    <w:uiPriority w:val="99"/>
    <w:rsid w:val="003020DA"/>
    <w:pPr>
      <w:spacing w:before="100" w:beforeAutospacing="1" w:after="100" w:afterAutospacing="1"/>
    </w:pPr>
    <w:rPr>
      <w:color w:val="FF0000"/>
      <w:sz w:val="16"/>
      <w:szCs w:val="16"/>
      <w:lang w:val="es-ES"/>
    </w:rPr>
  </w:style>
  <w:style w:type="paragraph" w:customStyle="1" w:styleId="parawhitetext">
    <w:name w:val="parawhitetext"/>
    <w:basedOn w:val="Normal"/>
    <w:uiPriority w:val="99"/>
    <w:rsid w:val="003020DA"/>
    <w:pPr>
      <w:spacing w:before="100" w:beforeAutospacing="1" w:after="100" w:afterAutospacing="1"/>
    </w:pPr>
    <w:rPr>
      <w:color w:val="FFFFFF"/>
      <w:sz w:val="20"/>
      <w:szCs w:val="20"/>
      <w:lang w:val="es-ES"/>
    </w:rPr>
  </w:style>
  <w:style w:type="paragraph" w:customStyle="1" w:styleId="paralargeboldtext">
    <w:name w:val="paralargeboldtext"/>
    <w:basedOn w:val="Normal"/>
    <w:uiPriority w:val="99"/>
    <w:rsid w:val="003020DA"/>
    <w:pPr>
      <w:spacing w:before="100" w:beforeAutospacing="1" w:after="100" w:afterAutospacing="1"/>
    </w:pPr>
    <w:rPr>
      <w:b/>
      <w:bCs/>
      <w:color w:val="000000"/>
      <w:lang w:val="es-ES"/>
    </w:rPr>
  </w:style>
  <w:style w:type="paragraph" w:customStyle="1" w:styleId="parasmallboldcolourtext">
    <w:name w:val="parasmallboldcolourtext"/>
    <w:basedOn w:val="Normal"/>
    <w:uiPriority w:val="99"/>
    <w:rsid w:val="003020DA"/>
    <w:pPr>
      <w:spacing w:before="100" w:beforeAutospacing="1" w:after="100" w:afterAutospacing="1"/>
    </w:pPr>
    <w:rPr>
      <w:b/>
      <w:bCs/>
      <w:color w:val="0080FF"/>
      <w:sz w:val="16"/>
      <w:szCs w:val="16"/>
      <w:lang w:val="es-ES"/>
    </w:rPr>
  </w:style>
  <w:style w:type="paragraph" w:customStyle="1" w:styleId="paraboldgreytext">
    <w:name w:val="paraboldgreytext"/>
    <w:basedOn w:val="Normal"/>
    <w:uiPriority w:val="99"/>
    <w:rsid w:val="003020DA"/>
    <w:pPr>
      <w:spacing w:before="100" w:beforeAutospacing="1" w:after="100" w:afterAutospacing="1"/>
    </w:pPr>
    <w:rPr>
      <w:b/>
      <w:bCs/>
      <w:color w:val="808080"/>
      <w:sz w:val="20"/>
      <w:szCs w:val="20"/>
      <w:lang w:val="es-ES"/>
    </w:rPr>
  </w:style>
  <w:style w:type="paragraph" w:customStyle="1" w:styleId="parasmalldarkredtext">
    <w:name w:val="parasmalldarkredtext"/>
    <w:basedOn w:val="Normal"/>
    <w:uiPriority w:val="99"/>
    <w:rsid w:val="003020DA"/>
    <w:pPr>
      <w:spacing w:before="100" w:beforeAutospacing="1" w:after="100" w:afterAutospacing="1"/>
    </w:pPr>
    <w:rPr>
      <w:color w:val="800000"/>
      <w:sz w:val="16"/>
      <w:szCs w:val="16"/>
      <w:lang w:val="es-ES"/>
    </w:rPr>
  </w:style>
  <w:style w:type="paragraph" w:customStyle="1" w:styleId="pararedtext">
    <w:name w:val="pararedtext"/>
    <w:basedOn w:val="Normal"/>
    <w:uiPriority w:val="99"/>
    <w:rsid w:val="003020DA"/>
    <w:pPr>
      <w:spacing w:before="100" w:beforeAutospacing="1" w:after="100" w:afterAutospacing="1"/>
    </w:pPr>
    <w:rPr>
      <w:color w:val="FF0000"/>
      <w:sz w:val="20"/>
      <w:szCs w:val="20"/>
      <w:lang w:val="es-ES"/>
    </w:rPr>
  </w:style>
  <w:style w:type="paragraph" w:customStyle="1" w:styleId="paradarkredtext">
    <w:name w:val="paradarkredtext"/>
    <w:basedOn w:val="Normal"/>
    <w:uiPriority w:val="99"/>
    <w:rsid w:val="003020DA"/>
    <w:pPr>
      <w:spacing w:before="100" w:beforeAutospacing="1" w:after="100" w:afterAutospacing="1"/>
    </w:pPr>
    <w:rPr>
      <w:color w:val="800000"/>
      <w:sz w:val="20"/>
      <w:szCs w:val="20"/>
      <w:lang w:val="es-ES"/>
    </w:rPr>
  </w:style>
  <w:style w:type="paragraph" w:customStyle="1" w:styleId="newsbodytext">
    <w:name w:val="newsbodytext"/>
    <w:basedOn w:val="Normal"/>
    <w:uiPriority w:val="99"/>
    <w:rsid w:val="003020DA"/>
    <w:pPr>
      <w:spacing w:after="100" w:afterAutospacing="1"/>
    </w:pPr>
    <w:rPr>
      <w:color w:val="000000"/>
      <w:sz w:val="20"/>
      <w:szCs w:val="20"/>
      <w:lang w:val="es-ES"/>
    </w:rPr>
  </w:style>
  <w:style w:type="paragraph" w:customStyle="1" w:styleId="newsheadlinetext">
    <w:name w:val="newsheadlinetext"/>
    <w:basedOn w:val="Normal"/>
    <w:uiPriority w:val="99"/>
    <w:rsid w:val="003020DA"/>
    <w:pPr>
      <w:spacing w:before="100" w:beforeAutospacing="1"/>
    </w:pPr>
    <w:rPr>
      <w:b/>
      <w:bCs/>
      <w:color w:val="0080FF"/>
      <w:sz w:val="20"/>
      <w:szCs w:val="20"/>
      <w:lang w:val="es-ES"/>
    </w:rPr>
  </w:style>
  <w:style w:type="paragraph" w:customStyle="1" w:styleId="docsonline">
    <w:name w:val="docsonline"/>
    <w:basedOn w:val="Normal"/>
    <w:uiPriority w:val="99"/>
    <w:rsid w:val="003020DA"/>
    <w:pPr>
      <w:shd w:val="clear" w:color="auto" w:fill="FDF7E3"/>
      <w:spacing w:before="100" w:beforeAutospacing="1" w:after="100" w:afterAutospacing="1"/>
    </w:pPr>
    <w:rPr>
      <w:b/>
      <w:bCs/>
      <w:color w:val="800000"/>
      <w:sz w:val="20"/>
      <w:szCs w:val="20"/>
      <w:lang w:val="es-ES"/>
    </w:rPr>
  </w:style>
  <w:style w:type="paragraph" w:customStyle="1" w:styleId="paradarkbluetext">
    <w:name w:val="paradarkbluetext"/>
    <w:basedOn w:val="Normal"/>
    <w:uiPriority w:val="99"/>
    <w:rsid w:val="003020DA"/>
    <w:pPr>
      <w:spacing w:before="100" w:beforeAutospacing="1" w:after="100" w:afterAutospacing="1"/>
    </w:pPr>
    <w:rPr>
      <w:color w:val="000080"/>
      <w:sz w:val="20"/>
      <w:szCs w:val="20"/>
      <w:lang w:val="es-ES"/>
    </w:rPr>
  </w:style>
  <w:style w:type="paragraph" w:customStyle="1" w:styleId="parasmalldarkbluetext">
    <w:name w:val="parasmalldarkbluetext"/>
    <w:basedOn w:val="Normal"/>
    <w:uiPriority w:val="99"/>
    <w:rsid w:val="003020DA"/>
    <w:pPr>
      <w:spacing w:before="100" w:beforeAutospacing="1" w:after="100" w:afterAutospacing="1"/>
    </w:pPr>
    <w:rPr>
      <w:color w:val="000080"/>
      <w:sz w:val="16"/>
      <w:szCs w:val="16"/>
      <w:lang w:val="es-ES"/>
    </w:rPr>
  </w:style>
  <w:style w:type="paragraph" w:customStyle="1" w:styleId="strippednormaltext">
    <w:name w:val="strippednormaltext"/>
    <w:basedOn w:val="Normal"/>
    <w:uiPriority w:val="99"/>
    <w:rsid w:val="003020DA"/>
    <w:rPr>
      <w:color w:val="000000"/>
      <w:sz w:val="20"/>
      <w:szCs w:val="20"/>
      <w:lang w:val="es-ES"/>
    </w:rPr>
  </w:style>
  <w:style w:type="paragraph" w:customStyle="1" w:styleId="strippedindent1text">
    <w:name w:val="strippedindent1text"/>
    <w:basedOn w:val="Normal"/>
    <w:uiPriority w:val="99"/>
    <w:rsid w:val="003020DA"/>
    <w:pPr>
      <w:ind w:left="198"/>
    </w:pPr>
    <w:rPr>
      <w:color w:val="000000"/>
      <w:sz w:val="20"/>
      <w:szCs w:val="20"/>
      <w:lang w:val="es-ES"/>
    </w:rPr>
  </w:style>
  <w:style w:type="paragraph" w:customStyle="1" w:styleId="paralargedarkredtext">
    <w:name w:val="paralargedarkredtext"/>
    <w:basedOn w:val="Normal"/>
    <w:uiPriority w:val="99"/>
    <w:rsid w:val="003020DA"/>
    <w:pPr>
      <w:spacing w:before="100" w:beforeAutospacing="1" w:after="100" w:afterAutospacing="1"/>
    </w:pPr>
    <w:rPr>
      <w:color w:val="800000"/>
      <w:lang w:val="es-ES"/>
    </w:rPr>
  </w:style>
  <w:style w:type="paragraph" w:customStyle="1" w:styleId="greaterlistitem">
    <w:name w:val="greaterlistitem"/>
    <w:basedOn w:val="Normal"/>
    <w:uiPriority w:val="99"/>
    <w:rsid w:val="003020DA"/>
    <w:pPr>
      <w:ind w:left="79" w:hanging="79"/>
    </w:pPr>
    <w:rPr>
      <w:color w:val="000000"/>
      <w:sz w:val="20"/>
      <w:szCs w:val="20"/>
      <w:lang w:val="es-ES"/>
    </w:rPr>
  </w:style>
  <w:style w:type="paragraph" w:customStyle="1" w:styleId="strippedgreytext">
    <w:name w:val="strippedgreytext"/>
    <w:basedOn w:val="Normal"/>
    <w:uiPriority w:val="99"/>
    <w:rsid w:val="003020DA"/>
    <w:rPr>
      <w:color w:val="808080"/>
      <w:sz w:val="20"/>
      <w:szCs w:val="20"/>
      <w:lang w:val="es-ES"/>
    </w:rPr>
  </w:style>
  <w:style w:type="paragraph" w:customStyle="1" w:styleId="paralargeorangetext">
    <w:name w:val="paralargeorangetext"/>
    <w:basedOn w:val="Normal"/>
    <w:uiPriority w:val="99"/>
    <w:rsid w:val="003020DA"/>
    <w:pPr>
      <w:spacing w:before="100" w:beforeAutospacing="1" w:after="100" w:afterAutospacing="1"/>
    </w:pPr>
    <w:rPr>
      <w:color w:val="FF8040"/>
      <w:lang w:val="es-ES"/>
    </w:rPr>
  </w:style>
  <w:style w:type="paragraph" w:customStyle="1" w:styleId="parasmallthewtobluetext">
    <w:name w:val="parasmallthewtobluetext"/>
    <w:basedOn w:val="Normal"/>
    <w:uiPriority w:val="99"/>
    <w:rsid w:val="003020DA"/>
    <w:pPr>
      <w:spacing w:before="100" w:beforeAutospacing="1" w:after="100" w:afterAutospacing="1"/>
    </w:pPr>
    <w:rPr>
      <w:color w:val="0080C0"/>
      <w:sz w:val="16"/>
      <w:szCs w:val="16"/>
      <w:lang w:val="es-ES"/>
    </w:rPr>
  </w:style>
  <w:style w:type="paragraph" w:customStyle="1" w:styleId="graytd">
    <w:name w:val="graytd"/>
    <w:basedOn w:val="Normal"/>
    <w:uiPriority w:val="99"/>
    <w:rsid w:val="003020DA"/>
    <w:pPr>
      <w:shd w:val="clear" w:color="auto" w:fill="E5E5E5"/>
      <w:spacing w:before="100" w:beforeAutospacing="1" w:after="100" w:afterAutospacing="1"/>
    </w:pPr>
    <w:rPr>
      <w:sz w:val="20"/>
      <w:szCs w:val="20"/>
      <w:lang w:val="es-ES"/>
    </w:rPr>
  </w:style>
  <w:style w:type="paragraph" w:customStyle="1" w:styleId="tocindent1">
    <w:name w:val="tocindent1"/>
    <w:basedOn w:val="Normal"/>
    <w:uiPriority w:val="99"/>
    <w:rsid w:val="003020DA"/>
    <w:pPr>
      <w:ind w:left="79"/>
    </w:pPr>
    <w:rPr>
      <w:sz w:val="20"/>
      <w:szCs w:val="20"/>
      <w:lang w:val="es-ES"/>
    </w:rPr>
  </w:style>
  <w:style w:type="paragraph" w:customStyle="1" w:styleId="tocindent2">
    <w:name w:val="tocindent2"/>
    <w:basedOn w:val="Normal"/>
    <w:uiPriority w:val="99"/>
    <w:rsid w:val="003020DA"/>
    <w:pPr>
      <w:ind w:left="158"/>
    </w:pPr>
    <w:rPr>
      <w:sz w:val="20"/>
      <w:szCs w:val="20"/>
      <w:lang w:val="es-ES"/>
    </w:rPr>
  </w:style>
  <w:style w:type="paragraph" w:customStyle="1" w:styleId="tocindent3">
    <w:name w:val="tocindent3"/>
    <w:basedOn w:val="Normal"/>
    <w:uiPriority w:val="99"/>
    <w:rsid w:val="003020DA"/>
    <w:pPr>
      <w:ind w:left="237"/>
    </w:pPr>
    <w:rPr>
      <w:sz w:val="20"/>
      <w:szCs w:val="20"/>
      <w:lang w:val="es-ES"/>
    </w:rPr>
  </w:style>
  <w:style w:type="paragraph" w:customStyle="1" w:styleId="tocindent4">
    <w:name w:val="tocindent4"/>
    <w:basedOn w:val="Normal"/>
    <w:uiPriority w:val="99"/>
    <w:rsid w:val="003020DA"/>
    <w:pPr>
      <w:ind w:left="316"/>
    </w:pPr>
    <w:rPr>
      <w:sz w:val="20"/>
      <w:szCs w:val="20"/>
      <w:lang w:val="es-ES"/>
    </w:rPr>
  </w:style>
  <w:style w:type="paragraph" w:customStyle="1" w:styleId="tocindent5">
    <w:name w:val="tocindent5"/>
    <w:basedOn w:val="Normal"/>
    <w:uiPriority w:val="99"/>
    <w:rsid w:val="003020DA"/>
    <w:pPr>
      <w:ind w:left="396"/>
    </w:pPr>
    <w:rPr>
      <w:sz w:val="20"/>
      <w:szCs w:val="20"/>
      <w:lang w:val="es-ES"/>
    </w:rPr>
  </w:style>
  <w:style w:type="paragraph" w:customStyle="1" w:styleId="tocindent6">
    <w:name w:val="tocindent6"/>
    <w:basedOn w:val="Normal"/>
    <w:uiPriority w:val="99"/>
    <w:rsid w:val="003020DA"/>
    <w:pPr>
      <w:ind w:left="475"/>
    </w:pPr>
    <w:rPr>
      <w:sz w:val="20"/>
      <w:szCs w:val="20"/>
      <w:lang w:val="es-ES"/>
    </w:rPr>
  </w:style>
  <w:style w:type="paragraph" w:customStyle="1" w:styleId="tocindent7">
    <w:name w:val="tocindent7"/>
    <w:basedOn w:val="Normal"/>
    <w:uiPriority w:val="99"/>
    <w:rsid w:val="003020DA"/>
    <w:pPr>
      <w:ind w:left="554"/>
    </w:pPr>
    <w:rPr>
      <w:sz w:val="20"/>
      <w:szCs w:val="20"/>
      <w:lang w:val="es-ES"/>
    </w:rPr>
  </w:style>
  <w:style w:type="paragraph" w:customStyle="1" w:styleId="tocindent8">
    <w:name w:val="tocindent8"/>
    <w:basedOn w:val="Normal"/>
    <w:uiPriority w:val="99"/>
    <w:rsid w:val="003020DA"/>
    <w:pPr>
      <w:ind w:left="633"/>
    </w:pPr>
    <w:rPr>
      <w:sz w:val="20"/>
      <w:szCs w:val="20"/>
      <w:lang w:val="es-ES"/>
    </w:rPr>
  </w:style>
  <w:style w:type="paragraph" w:customStyle="1" w:styleId="tocindent9">
    <w:name w:val="tocindent9"/>
    <w:basedOn w:val="Normal"/>
    <w:uiPriority w:val="99"/>
    <w:rsid w:val="003020DA"/>
    <w:pPr>
      <w:ind w:left="712"/>
    </w:pPr>
    <w:rPr>
      <w:sz w:val="20"/>
      <w:szCs w:val="20"/>
      <w:lang w:val="es-ES"/>
    </w:rPr>
  </w:style>
  <w:style w:type="paragraph" w:customStyle="1" w:styleId="tocindent10">
    <w:name w:val="tocindent10"/>
    <w:basedOn w:val="Normal"/>
    <w:uiPriority w:val="99"/>
    <w:rsid w:val="003020DA"/>
    <w:pPr>
      <w:ind w:left="791"/>
    </w:pPr>
    <w:rPr>
      <w:sz w:val="20"/>
      <w:szCs w:val="20"/>
      <w:lang w:val="es-ES"/>
    </w:rPr>
  </w:style>
  <w:style w:type="paragraph" w:customStyle="1" w:styleId="greaterlistitemindent1">
    <w:name w:val="greaterlistitemindent1"/>
    <w:basedOn w:val="Normal"/>
    <w:uiPriority w:val="99"/>
    <w:rsid w:val="003020DA"/>
    <w:pPr>
      <w:ind w:left="158" w:hanging="79"/>
    </w:pPr>
    <w:rPr>
      <w:sz w:val="20"/>
      <w:szCs w:val="20"/>
      <w:lang w:val="es-ES"/>
    </w:rPr>
  </w:style>
  <w:style w:type="paragraph" w:customStyle="1" w:styleId="scheduleweek">
    <w:name w:val="scheduleweek"/>
    <w:basedOn w:val="Normal"/>
    <w:uiPriority w:val="99"/>
    <w:rsid w:val="003020DA"/>
    <w:pPr>
      <w:spacing w:before="100" w:beforeAutospacing="1" w:after="100" w:afterAutospacing="1"/>
    </w:pPr>
    <w:rPr>
      <w:b/>
      <w:bCs/>
      <w:color w:val="0080FF"/>
      <w:sz w:val="16"/>
      <w:szCs w:val="16"/>
      <w:lang w:val="es-ES"/>
    </w:rPr>
  </w:style>
  <w:style w:type="paragraph" w:customStyle="1" w:styleId="schedulenote">
    <w:name w:val="schedulenote"/>
    <w:basedOn w:val="Normal"/>
    <w:uiPriority w:val="99"/>
    <w:rsid w:val="003020DA"/>
    <w:pPr>
      <w:spacing w:after="100" w:afterAutospacing="1"/>
    </w:pPr>
    <w:rPr>
      <w:color w:val="000000"/>
      <w:sz w:val="16"/>
      <w:szCs w:val="16"/>
      <w:lang w:val="es-ES"/>
    </w:rPr>
  </w:style>
  <w:style w:type="paragraph" w:customStyle="1" w:styleId="scheduleday">
    <w:name w:val="scheduleday"/>
    <w:basedOn w:val="Normal"/>
    <w:uiPriority w:val="99"/>
    <w:rsid w:val="003020DA"/>
    <w:pPr>
      <w:spacing w:before="100" w:beforeAutospacing="1"/>
    </w:pPr>
    <w:rPr>
      <w:color w:val="0080FF"/>
      <w:sz w:val="16"/>
      <w:szCs w:val="16"/>
      <w:lang w:val="es-ES"/>
    </w:rPr>
  </w:style>
  <w:style w:type="paragraph" w:customStyle="1" w:styleId="scheduletime">
    <w:name w:val="scheduletime"/>
    <w:basedOn w:val="Normal"/>
    <w:uiPriority w:val="99"/>
    <w:rsid w:val="003020DA"/>
    <w:rPr>
      <w:b/>
      <w:bCs/>
      <w:color w:val="000000"/>
      <w:sz w:val="16"/>
      <w:szCs w:val="16"/>
      <w:lang w:val="es-ES"/>
    </w:rPr>
  </w:style>
  <w:style w:type="paragraph" w:customStyle="1" w:styleId="schedulemeeting">
    <w:name w:val="schedulemeeting"/>
    <w:basedOn w:val="Normal"/>
    <w:uiPriority w:val="99"/>
    <w:rsid w:val="003020DA"/>
    <w:rPr>
      <w:color w:val="000000"/>
      <w:sz w:val="16"/>
      <w:szCs w:val="16"/>
      <w:lang w:val="es-ES"/>
    </w:rPr>
  </w:style>
  <w:style w:type="paragraph" w:customStyle="1" w:styleId="tooltiptext">
    <w:name w:val="tooltiptext"/>
    <w:basedOn w:val="Normal"/>
    <w:uiPriority w:val="99"/>
    <w:rsid w:val="003020DA"/>
    <w:pPr>
      <w:pBdr>
        <w:top w:val="single" w:sz="2" w:space="0" w:color="808080"/>
        <w:left w:val="single" w:sz="2" w:space="0" w:color="808080"/>
        <w:bottom w:val="single" w:sz="2" w:space="0" w:color="808080"/>
        <w:right w:val="single" w:sz="2" w:space="0" w:color="808080"/>
      </w:pBdr>
      <w:shd w:val="clear" w:color="auto" w:fill="FFFFE8"/>
      <w:spacing w:before="100" w:beforeAutospacing="1" w:after="100" w:afterAutospacing="1"/>
    </w:pPr>
    <w:rPr>
      <w:color w:val="808080"/>
      <w:sz w:val="16"/>
      <w:szCs w:val="16"/>
      <w:lang w:val="es-ES"/>
    </w:rPr>
  </w:style>
  <w:style w:type="paragraph" w:customStyle="1" w:styleId="colourtable">
    <w:name w:val="colourtable"/>
    <w:basedOn w:val="Normal"/>
    <w:uiPriority w:val="99"/>
    <w:rsid w:val="003020DA"/>
    <w:pPr>
      <w:shd w:val="clear" w:color="auto" w:fill="E5E5E5"/>
      <w:spacing w:before="100" w:beforeAutospacing="1" w:after="100" w:afterAutospacing="1"/>
    </w:pPr>
    <w:rPr>
      <w:rFonts w:ascii="Trebuchet MS" w:hAnsi="Trebuchet MS"/>
      <w:sz w:val="20"/>
      <w:szCs w:val="20"/>
      <w:lang w:val="es-ES"/>
    </w:rPr>
  </w:style>
  <w:style w:type="paragraph" w:customStyle="1" w:styleId="smallgreaterlistitem">
    <w:name w:val="smallgreaterlistitem"/>
    <w:basedOn w:val="Normal"/>
    <w:uiPriority w:val="99"/>
    <w:rsid w:val="003020DA"/>
    <w:pPr>
      <w:ind w:left="79" w:hanging="79"/>
    </w:pPr>
    <w:rPr>
      <w:rFonts w:ascii="Trebuchet MS" w:hAnsi="Trebuchet MS"/>
      <w:sz w:val="16"/>
      <w:szCs w:val="16"/>
      <w:lang w:val="es-ES"/>
    </w:rPr>
  </w:style>
  <w:style w:type="paragraph" w:customStyle="1" w:styleId="cellheadingblacktext">
    <w:name w:val="cellheadingblacktext"/>
    <w:basedOn w:val="Normal"/>
    <w:uiPriority w:val="99"/>
    <w:rsid w:val="003020DA"/>
    <w:pPr>
      <w:spacing w:line="180" w:lineRule="atLeast"/>
    </w:pPr>
    <w:rPr>
      <w:b/>
      <w:bCs/>
      <w:color w:val="000000"/>
      <w:sz w:val="18"/>
      <w:szCs w:val="18"/>
      <w:lang w:val="es-ES"/>
    </w:rPr>
  </w:style>
  <w:style w:type="paragraph" w:customStyle="1" w:styleId="cellheadingwhitetext">
    <w:name w:val="cellheadingwhitetext"/>
    <w:basedOn w:val="Normal"/>
    <w:uiPriority w:val="99"/>
    <w:rsid w:val="003020DA"/>
    <w:pPr>
      <w:shd w:val="clear" w:color="auto" w:fill="0080FF"/>
      <w:spacing w:line="180" w:lineRule="atLeast"/>
    </w:pPr>
    <w:rPr>
      <w:b/>
      <w:bCs/>
      <w:color w:val="FFFFFF"/>
      <w:sz w:val="18"/>
      <w:szCs w:val="18"/>
      <w:lang w:val="es-ES"/>
    </w:rPr>
  </w:style>
  <w:style w:type="paragraph" w:customStyle="1" w:styleId="subnormalboldcolourtext">
    <w:name w:val="subnormalboldcolourtext"/>
    <w:basedOn w:val="Normal"/>
    <w:uiPriority w:val="99"/>
    <w:rsid w:val="003020DA"/>
    <w:pPr>
      <w:spacing w:before="100" w:beforeAutospacing="1"/>
    </w:pPr>
    <w:rPr>
      <w:b/>
      <w:bCs/>
      <w:color w:val="0080FF"/>
      <w:sz w:val="18"/>
      <w:szCs w:val="18"/>
      <w:lang w:val="es-ES"/>
    </w:rPr>
  </w:style>
  <w:style w:type="paragraph" w:customStyle="1" w:styleId="4">
    <w:name w:val="4"/>
    <w:basedOn w:val="Normal"/>
    <w:next w:val="Sangradetextonormal"/>
    <w:uiPriority w:val="99"/>
    <w:rsid w:val="003020DA"/>
    <w:pPr>
      <w:spacing w:after="120"/>
      <w:ind w:left="283"/>
    </w:pPr>
    <w:rPr>
      <w:rFonts w:ascii="Arial" w:hAnsi="Arial"/>
      <w:lang w:val="es-ES"/>
    </w:rPr>
  </w:style>
  <w:style w:type="paragraph" w:styleId="Revisin">
    <w:name w:val="Revision"/>
    <w:hidden/>
    <w:uiPriority w:val="99"/>
    <w:semiHidden/>
    <w:rsid w:val="003020DA"/>
    <w:rPr>
      <w:sz w:val="24"/>
      <w:szCs w:val="24"/>
      <w:lang w:val="es-ES" w:eastAsia="es-ES"/>
    </w:rPr>
  </w:style>
  <w:style w:type="character" w:customStyle="1" w:styleId="FootnoteCharacters">
    <w:name w:val="Footnote Characters"/>
    <w:rsid w:val="003020DA"/>
    <w:rPr>
      <w:vertAlign w:val="superscript"/>
    </w:rPr>
  </w:style>
  <w:style w:type="character" w:customStyle="1" w:styleId="NumberingSymbols">
    <w:name w:val="Numbering Symbols"/>
    <w:rsid w:val="003020DA"/>
  </w:style>
  <w:style w:type="character" w:customStyle="1" w:styleId="Bullets">
    <w:name w:val="Bullets"/>
    <w:rsid w:val="003020DA"/>
    <w:rPr>
      <w:rFonts w:ascii="StarSymbol" w:eastAsia="StarSymbol" w:hAnsi="StarSymbol" w:cs="Helvetica"/>
      <w:sz w:val="18"/>
      <w:szCs w:val="18"/>
    </w:rPr>
  </w:style>
  <w:style w:type="character" w:customStyle="1" w:styleId="EndnoteCharacters">
    <w:name w:val="Endnote Characters"/>
    <w:rsid w:val="003020DA"/>
    <w:rPr>
      <w:vertAlign w:val="superscript"/>
    </w:rPr>
  </w:style>
  <w:style w:type="character" w:customStyle="1" w:styleId="WW8Num2z0">
    <w:name w:val="WW8Num2z0"/>
    <w:rsid w:val="003020DA"/>
    <w:rPr>
      <w:rFonts w:ascii="Symbol" w:hAnsi="Symbol"/>
    </w:rPr>
  </w:style>
  <w:style w:type="character" w:customStyle="1" w:styleId="WW8Num2z1">
    <w:name w:val="WW8Num2z1"/>
    <w:rsid w:val="003020DA"/>
    <w:rPr>
      <w:rFonts w:ascii="Courier New" w:hAnsi="Courier New"/>
    </w:rPr>
  </w:style>
  <w:style w:type="character" w:customStyle="1" w:styleId="WW8Num2z2">
    <w:name w:val="WW8Num2z2"/>
    <w:rsid w:val="003020DA"/>
    <w:rPr>
      <w:rFonts w:ascii="Wingdings" w:hAnsi="Wingdings"/>
    </w:rPr>
  </w:style>
  <w:style w:type="character" w:customStyle="1" w:styleId="WW8Num2z3">
    <w:name w:val="WW8Num2z3"/>
    <w:rsid w:val="003020DA"/>
    <w:rPr>
      <w:rFonts w:ascii="Wingdings" w:hAnsi="Wingdings" w:cs="Helvetica"/>
      <w:sz w:val="18"/>
      <w:szCs w:val="18"/>
    </w:rPr>
  </w:style>
  <w:style w:type="character" w:customStyle="1" w:styleId="DefaultParagraphFont1">
    <w:name w:val="Default Paragraph Font1"/>
    <w:rsid w:val="003020DA"/>
  </w:style>
  <w:style w:type="character" w:customStyle="1" w:styleId="WW-DefaultParagraphFont">
    <w:name w:val="WW-Default Paragraph Font"/>
    <w:rsid w:val="003020DA"/>
  </w:style>
  <w:style w:type="character" w:customStyle="1" w:styleId="WW-DefaultParagraphFont1">
    <w:name w:val="WW-Default Paragraph Font1"/>
    <w:rsid w:val="003020DA"/>
  </w:style>
  <w:style w:type="character" w:customStyle="1" w:styleId="WW-FootnoteReference">
    <w:name w:val="WW-Footnote Reference"/>
    <w:rsid w:val="003020DA"/>
    <w:rPr>
      <w:vertAlign w:val="superscript"/>
    </w:rPr>
  </w:style>
  <w:style w:type="character" w:styleId="Refdenotaalfinal">
    <w:name w:val="endnote reference"/>
    <w:uiPriority w:val="99"/>
    <w:semiHidden/>
    <w:rsid w:val="003020DA"/>
    <w:rPr>
      <w:vertAlign w:val="superscript"/>
    </w:rPr>
  </w:style>
  <w:style w:type="character" w:customStyle="1" w:styleId="Absatz-Standardschriftart">
    <w:name w:val="Absatz-Standardschriftart"/>
    <w:rsid w:val="003020DA"/>
  </w:style>
  <w:style w:type="character" w:customStyle="1" w:styleId="WW-Absatz-Standardschriftart">
    <w:name w:val="WW-Absatz-Standardschriftart"/>
    <w:rsid w:val="003020DA"/>
  </w:style>
  <w:style w:type="character" w:customStyle="1" w:styleId="WW-Absatz-Standardschriftart1">
    <w:name w:val="WW-Absatz-Standardschriftart1"/>
    <w:rsid w:val="003020DA"/>
  </w:style>
  <w:style w:type="character" w:customStyle="1" w:styleId="WW-Absatz-Standardschriftart11">
    <w:name w:val="WW-Absatz-Standardschriftart11"/>
    <w:rsid w:val="003020DA"/>
  </w:style>
  <w:style w:type="character" w:customStyle="1" w:styleId="WW-DefaultParagraphFont11">
    <w:name w:val="WW-Default Paragraph Font11"/>
    <w:rsid w:val="003020DA"/>
  </w:style>
  <w:style w:type="character" w:customStyle="1" w:styleId="WW-FootnoteReference1">
    <w:name w:val="WW-Footnote Reference1"/>
    <w:rsid w:val="003020DA"/>
    <w:rPr>
      <w:vertAlign w:val="superscript"/>
    </w:rPr>
  </w:style>
  <w:style w:type="character" w:customStyle="1" w:styleId="WW8Num2z4">
    <w:name w:val="WW8Num2z4"/>
    <w:rsid w:val="003020DA"/>
    <w:rPr>
      <w:rFonts w:ascii="Courier New" w:hAnsi="Courier New" w:cs="Courier New"/>
    </w:rPr>
  </w:style>
  <w:style w:type="character" w:customStyle="1" w:styleId="WW8Num3z0">
    <w:name w:val="WW8Num3z0"/>
    <w:rsid w:val="003020DA"/>
    <w:rPr>
      <w:rFonts w:ascii="Courier New" w:hAnsi="Courier New"/>
    </w:rPr>
  </w:style>
  <w:style w:type="character" w:customStyle="1" w:styleId="WW8Num3z1">
    <w:name w:val="WW8Num3z1"/>
    <w:rsid w:val="003020DA"/>
    <w:rPr>
      <w:rFonts w:ascii="Courier New" w:hAnsi="Courier New" w:cs="Helvetica"/>
    </w:rPr>
  </w:style>
  <w:style w:type="character" w:customStyle="1" w:styleId="WW8Num3z2">
    <w:name w:val="WW8Num3z2"/>
    <w:rsid w:val="003020DA"/>
    <w:rPr>
      <w:rFonts w:ascii="Wingdings" w:hAnsi="Wingdings"/>
    </w:rPr>
  </w:style>
  <w:style w:type="character" w:customStyle="1" w:styleId="WW8Num4z0">
    <w:name w:val="WW8Num4z0"/>
    <w:rsid w:val="003020DA"/>
    <w:rPr>
      <w:rFonts w:ascii="Symbol" w:hAnsi="Symbol"/>
      <w:color w:val="000000"/>
    </w:rPr>
  </w:style>
  <w:style w:type="character" w:customStyle="1" w:styleId="WW8Num4z1">
    <w:name w:val="WW8Num4z1"/>
    <w:rsid w:val="003020DA"/>
    <w:rPr>
      <w:rFonts w:ascii="Courier New" w:hAnsi="Courier New" w:cs="Courier New"/>
    </w:rPr>
  </w:style>
  <w:style w:type="character" w:customStyle="1" w:styleId="WW8Num4z2">
    <w:name w:val="WW8Num4z2"/>
    <w:rsid w:val="003020DA"/>
    <w:rPr>
      <w:rFonts w:ascii="Wingdings" w:hAnsi="Wingdings"/>
    </w:rPr>
  </w:style>
  <w:style w:type="character" w:customStyle="1" w:styleId="WW8Num4z3">
    <w:name w:val="WW8Num4z3"/>
    <w:rsid w:val="003020DA"/>
    <w:rPr>
      <w:rFonts w:ascii="Symbol" w:hAnsi="Symbol"/>
    </w:rPr>
  </w:style>
  <w:style w:type="character" w:customStyle="1" w:styleId="WW8Num5z0">
    <w:name w:val="WW8Num5z0"/>
    <w:rsid w:val="003020DA"/>
    <w:rPr>
      <w:rFonts w:ascii="Wingdings" w:hAnsi="Wingdings"/>
      <w:color w:val="000000"/>
    </w:rPr>
  </w:style>
  <w:style w:type="character" w:customStyle="1" w:styleId="WW8Num5z1">
    <w:name w:val="WW8Num5z1"/>
    <w:rsid w:val="003020DA"/>
    <w:rPr>
      <w:rFonts w:ascii="Courier New" w:hAnsi="Courier New" w:cs="Courier New"/>
    </w:rPr>
  </w:style>
  <w:style w:type="character" w:customStyle="1" w:styleId="WW8Num5z2">
    <w:name w:val="WW8Num5z2"/>
    <w:rsid w:val="003020DA"/>
    <w:rPr>
      <w:rFonts w:ascii="Wingdings" w:hAnsi="Wingdings"/>
    </w:rPr>
  </w:style>
  <w:style w:type="character" w:customStyle="1" w:styleId="WW8Num5z3">
    <w:name w:val="WW8Num5z3"/>
    <w:rsid w:val="003020DA"/>
    <w:rPr>
      <w:rFonts w:ascii="Symbol" w:hAnsi="Symbol"/>
    </w:rPr>
  </w:style>
  <w:style w:type="character" w:customStyle="1" w:styleId="WW8Num6z0">
    <w:name w:val="WW8Num6z0"/>
    <w:rsid w:val="003020DA"/>
    <w:rPr>
      <w:rFonts w:ascii="Symbol" w:hAnsi="Symbol"/>
      <w:color w:val="000000"/>
    </w:rPr>
  </w:style>
  <w:style w:type="character" w:customStyle="1" w:styleId="WW8Num6z1">
    <w:name w:val="WW8Num6z1"/>
    <w:rsid w:val="003020DA"/>
    <w:rPr>
      <w:rFonts w:ascii="Courier New" w:hAnsi="Courier New" w:cs="Courier New"/>
    </w:rPr>
  </w:style>
  <w:style w:type="character" w:customStyle="1" w:styleId="WW8Num6z2">
    <w:name w:val="WW8Num6z2"/>
    <w:rsid w:val="003020DA"/>
    <w:rPr>
      <w:rFonts w:ascii="Wingdings" w:hAnsi="Wingdings"/>
    </w:rPr>
  </w:style>
  <w:style w:type="character" w:customStyle="1" w:styleId="WW8Num6z3">
    <w:name w:val="WW8Num6z3"/>
    <w:rsid w:val="003020DA"/>
    <w:rPr>
      <w:rFonts w:ascii="Symbol" w:hAnsi="Symbol"/>
    </w:rPr>
  </w:style>
  <w:style w:type="character" w:customStyle="1" w:styleId="WW8Num7z0">
    <w:name w:val="WW8Num7z0"/>
    <w:rsid w:val="003020DA"/>
    <w:rPr>
      <w:sz w:val="14"/>
    </w:rPr>
  </w:style>
  <w:style w:type="character" w:customStyle="1" w:styleId="WW8Num8z0">
    <w:name w:val="WW8Num8z0"/>
    <w:rsid w:val="003020DA"/>
    <w:rPr>
      <w:rFonts w:ascii="Symbol" w:hAnsi="Symbol"/>
    </w:rPr>
  </w:style>
  <w:style w:type="character" w:customStyle="1" w:styleId="WW8Num11z0">
    <w:name w:val="WW8Num11z0"/>
    <w:rsid w:val="003020DA"/>
    <w:rPr>
      <w:rFonts w:ascii="Wingdings" w:hAnsi="Wingdings"/>
      <w:color w:val="000000"/>
    </w:rPr>
  </w:style>
  <w:style w:type="character" w:customStyle="1" w:styleId="WW8Num11z1">
    <w:name w:val="WW8Num11z1"/>
    <w:rsid w:val="003020DA"/>
    <w:rPr>
      <w:rFonts w:ascii="Courier New" w:hAnsi="Courier New" w:cs="Courier New"/>
    </w:rPr>
  </w:style>
  <w:style w:type="character" w:customStyle="1" w:styleId="WW8Num11z2">
    <w:name w:val="WW8Num11z2"/>
    <w:rsid w:val="003020DA"/>
    <w:rPr>
      <w:rFonts w:ascii="Wingdings" w:hAnsi="Wingdings"/>
    </w:rPr>
  </w:style>
  <w:style w:type="character" w:customStyle="1" w:styleId="WW8Num11z3">
    <w:name w:val="WW8Num11z3"/>
    <w:rsid w:val="003020DA"/>
    <w:rPr>
      <w:rFonts w:ascii="Symbol" w:hAnsi="Symbol"/>
    </w:rPr>
  </w:style>
  <w:style w:type="character" w:customStyle="1" w:styleId="WW8Num12z0">
    <w:name w:val="WW8Num12z0"/>
    <w:rsid w:val="003020DA"/>
    <w:rPr>
      <w:rFonts w:ascii="Symbol" w:hAnsi="Symbol"/>
    </w:rPr>
  </w:style>
  <w:style w:type="character" w:customStyle="1" w:styleId="WW8Num12z1">
    <w:name w:val="WW8Num12z1"/>
    <w:rsid w:val="003020DA"/>
    <w:rPr>
      <w:rFonts w:ascii="Courier New" w:hAnsi="Courier New" w:cs="Courier New"/>
    </w:rPr>
  </w:style>
  <w:style w:type="character" w:customStyle="1" w:styleId="WW8Num12z2">
    <w:name w:val="WW8Num12z2"/>
    <w:rsid w:val="003020DA"/>
    <w:rPr>
      <w:rFonts w:ascii="Wingdings" w:hAnsi="Wingdings"/>
    </w:rPr>
  </w:style>
  <w:style w:type="character" w:customStyle="1" w:styleId="WW8Num14z0">
    <w:name w:val="WW8Num14z0"/>
    <w:rsid w:val="003020DA"/>
    <w:rPr>
      <w:rFonts w:ascii="Symbol" w:hAnsi="Symbol"/>
      <w:color w:val="000000"/>
    </w:rPr>
  </w:style>
  <w:style w:type="character" w:customStyle="1" w:styleId="WW8Num14z1">
    <w:name w:val="WW8Num14z1"/>
    <w:rsid w:val="003020DA"/>
    <w:rPr>
      <w:rFonts w:ascii="Courier New" w:hAnsi="Courier New" w:cs="Courier New"/>
    </w:rPr>
  </w:style>
  <w:style w:type="character" w:customStyle="1" w:styleId="WW8Num14z2">
    <w:name w:val="WW8Num14z2"/>
    <w:rsid w:val="003020DA"/>
    <w:rPr>
      <w:rFonts w:ascii="Wingdings" w:hAnsi="Wingdings"/>
    </w:rPr>
  </w:style>
  <w:style w:type="character" w:customStyle="1" w:styleId="WW8Num14z3">
    <w:name w:val="WW8Num14z3"/>
    <w:rsid w:val="003020DA"/>
    <w:rPr>
      <w:rFonts w:ascii="Symbol" w:hAnsi="Symbol"/>
    </w:rPr>
  </w:style>
  <w:style w:type="character" w:customStyle="1" w:styleId="WW8Num17z0">
    <w:name w:val="WW8Num17z0"/>
    <w:rsid w:val="003020DA"/>
    <w:rPr>
      <w:sz w:val="14"/>
    </w:rPr>
  </w:style>
  <w:style w:type="character" w:customStyle="1" w:styleId="WW8Num20z0">
    <w:name w:val="WW8Num20z0"/>
    <w:rsid w:val="003020DA"/>
    <w:rPr>
      <w:rFonts w:ascii="Symbol" w:hAnsi="Symbol"/>
    </w:rPr>
  </w:style>
  <w:style w:type="character" w:customStyle="1" w:styleId="WW8Num20z1">
    <w:name w:val="WW8Num20z1"/>
    <w:rsid w:val="003020DA"/>
    <w:rPr>
      <w:rFonts w:ascii="Courier New" w:hAnsi="Courier New" w:cs="Tahoma"/>
    </w:rPr>
  </w:style>
  <w:style w:type="character" w:customStyle="1" w:styleId="WW8Num20z2">
    <w:name w:val="WW8Num20z2"/>
    <w:rsid w:val="003020DA"/>
    <w:rPr>
      <w:rFonts w:ascii="Wingdings" w:hAnsi="Wingdings"/>
    </w:rPr>
  </w:style>
  <w:style w:type="character" w:customStyle="1" w:styleId="WW8Num21z0">
    <w:name w:val="WW8Num21z0"/>
    <w:rsid w:val="003020DA"/>
    <w:rPr>
      <w:rFonts w:ascii="Symbol" w:hAnsi="Symbol"/>
    </w:rPr>
  </w:style>
  <w:style w:type="character" w:customStyle="1" w:styleId="WW8Num21z2">
    <w:name w:val="WW8Num21z2"/>
    <w:rsid w:val="003020DA"/>
    <w:rPr>
      <w:rFonts w:ascii="Wingdings" w:hAnsi="Wingdings"/>
    </w:rPr>
  </w:style>
  <w:style w:type="character" w:customStyle="1" w:styleId="WW8Num21z4">
    <w:name w:val="WW8Num21z4"/>
    <w:rsid w:val="003020DA"/>
    <w:rPr>
      <w:rFonts w:ascii="Courier New" w:hAnsi="Courier New" w:cs="Courier New"/>
    </w:rPr>
  </w:style>
  <w:style w:type="character" w:customStyle="1" w:styleId="WW8Num22z0">
    <w:name w:val="WW8Num22z0"/>
    <w:rsid w:val="003020DA"/>
    <w:rPr>
      <w:rFonts w:ascii="Symbol" w:hAnsi="Symbol"/>
    </w:rPr>
  </w:style>
  <w:style w:type="character" w:customStyle="1" w:styleId="WW8Num22z2">
    <w:name w:val="WW8Num22z2"/>
    <w:rsid w:val="003020DA"/>
    <w:rPr>
      <w:rFonts w:ascii="Wingdings" w:hAnsi="Wingdings"/>
    </w:rPr>
  </w:style>
  <w:style w:type="character" w:customStyle="1" w:styleId="WW8Num22z4">
    <w:name w:val="WW8Num22z4"/>
    <w:rsid w:val="003020DA"/>
    <w:rPr>
      <w:rFonts w:ascii="Courier New" w:hAnsi="Courier New" w:cs="Courier New"/>
    </w:rPr>
  </w:style>
  <w:style w:type="character" w:customStyle="1" w:styleId="WW8Num23z0">
    <w:name w:val="WW8Num23z0"/>
    <w:rsid w:val="003020DA"/>
    <w:rPr>
      <w:rFonts w:ascii="Symbol" w:hAnsi="Symbol"/>
      <w:color w:val="000000"/>
    </w:rPr>
  </w:style>
  <w:style w:type="character" w:customStyle="1" w:styleId="WW8Num23z1">
    <w:name w:val="WW8Num23z1"/>
    <w:rsid w:val="003020DA"/>
    <w:rPr>
      <w:rFonts w:ascii="Courier New" w:hAnsi="Courier New" w:cs="Courier New"/>
    </w:rPr>
  </w:style>
  <w:style w:type="character" w:customStyle="1" w:styleId="WW8Num23z2">
    <w:name w:val="WW8Num23z2"/>
    <w:rsid w:val="003020DA"/>
    <w:rPr>
      <w:rFonts w:ascii="Wingdings" w:hAnsi="Wingdings"/>
    </w:rPr>
  </w:style>
  <w:style w:type="character" w:customStyle="1" w:styleId="WW8Num23z3">
    <w:name w:val="WW8Num23z3"/>
    <w:rsid w:val="003020DA"/>
    <w:rPr>
      <w:rFonts w:ascii="Symbol" w:hAnsi="Symbol"/>
    </w:rPr>
  </w:style>
  <w:style w:type="character" w:customStyle="1" w:styleId="WW8Num24z0">
    <w:name w:val="WW8Num24z0"/>
    <w:rsid w:val="003020DA"/>
    <w:rPr>
      <w:rFonts w:ascii="Symbol" w:hAnsi="Symbol"/>
      <w:color w:val="000000"/>
    </w:rPr>
  </w:style>
  <w:style w:type="character" w:customStyle="1" w:styleId="WW8Num24z1">
    <w:name w:val="WW8Num24z1"/>
    <w:rsid w:val="003020DA"/>
    <w:rPr>
      <w:rFonts w:ascii="Courier New" w:hAnsi="Courier New" w:cs="Courier New"/>
    </w:rPr>
  </w:style>
  <w:style w:type="character" w:customStyle="1" w:styleId="WW8Num24z2">
    <w:name w:val="WW8Num24z2"/>
    <w:rsid w:val="003020DA"/>
    <w:rPr>
      <w:rFonts w:ascii="Wingdings" w:hAnsi="Wingdings"/>
    </w:rPr>
  </w:style>
  <w:style w:type="character" w:customStyle="1" w:styleId="WW8Num24z3">
    <w:name w:val="WW8Num24z3"/>
    <w:rsid w:val="003020DA"/>
    <w:rPr>
      <w:rFonts w:ascii="Symbol" w:hAnsi="Symbol"/>
    </w:rPr>
  </w:style>
  <w:style w:type="character" w:customStyle="1" w:styleId="WW-FootnoteReference11">
    <w:name w:val="WW-Footnote Reference11"/>
    <w:rsid w:val="003020DA"/>
    <w:rPr>
      <w:vertAlign w:val="superscript"/>
    </w:rPr>
  </w:style>
  <w:style w:type="character" w:customStyle="1" w:styleId="WW8Num3z3">
    <w:name w:val="WW8Num3z3"/>
    <w:rsid w:val="003020DA"/>
    <w:rPr>
      <w:rFonts w:ascii="Symbol" w:hAnsi="Symbol"/>
    </w:rPr>
  </w:style>
  <w:style w:type="character" w:customStyle="1" w:styleId="WW-DefaultParagraphFont111">
    <w:name w:val="WW-Default Paragraph Font111"/>
    <w:rsid w:val="003020DA"/>
  </w:style>
  <w:style w:type="character" w:customStyle="1" w:styleId="FootnoteReference1">
    <w:name w:val="Footnote Reference1"/>
    <w:rsid w:val="003020DA"/>
    <w:rPr>
      <w:vertAlign w:val="superscript"/>
    </w:rPr>
  </w:style>
  <w:style w:type="character" w:customStyle="1" w:styleId="WW-FootnoteReference111">
    <w:name w:val="WW-Footnote Reference111"/>
    <w:rsid w:val="003020DA"/>
    <w:rPr>
      <w:vertAlign w:val="superscript"/>
    </w:rPr>
  </w:style>
  <w:style w:type="character" w:customStyle="1" w:styleId="WW8Dropcap0">
    <w:name w:val="WW8Dropcap0"/>
    <w:rsid w:val="003020DA"/>
    <w:rPr>
      <w:color w:val="CC9900"/>
      <w:sz w:val="123"/>
    </w:rPr>
  </w:style>
  <w:style w:type="character" w:customStyle="1" w:styleId="WW-EndnoteCharacters">
    <w:name w:val="WW-Endnote Characters"/>
    <w:rsid w:val="003020DA"/>
  </w:style>
  <w:style w:type="character" w:customStyle="1" w:styleId="WW-EndnoteReference">
    <w:name w:val="WW-Endnote Reference"/>
    <w:rsid w:val="003020DA"/>
    <w:rPr>
      <w:vertAlign w:val="superscript"/>
    </w:rPr>
  </w:style>
  <w:style w:type="character" w:customStyle="1" w:styleId="BulletlistshortChar">
    <w:name w:val="Bullet list (short) Char"/>
    <w:basedOn w:val="WW-DefaultParagraphFont"/>
    <w:rsid w:val="003020DA"/>
    <w:rPr>
      <w:sz w:val="22"/>
      <w:szCs w:val="24"/>
      <w:lang w:val="en-US" w:eastAsia="ar-SA" w:bidi="ar-SA"/>
    </w:rPr>
  </w:style>
  <w:style w:type="character" w:customStyle="1" w:styleId="ReferencesChar">
    <w:name w:val="References Char"/>
    <w:basedOn w:val="WW-DefaultParagraphFont"/>
    <w:rsid w:val="003020DA"/>
    <w:rPr>
      <w:sz w:val="22"/>
      <w:szCs w:val="24"/>
      <w:lang w:val="en-US" w:eastAsia="ar-SA" w:bidi="ar-SA"/>
    </w:rPr>
  </w:style>
  <w:style w:type="character" w:customStyle="1" w:styleId="BodycopyChar">
    <w:name w:val="Body copy Char"/>
    <w:basedOn w:val="WW-DefaultParagraphFont"/>
    <w:rsid w:val="003020DA"/>
    <w:rPr>
      <w:sz w:val="22"/>
      <w:lang w:val="en-US" w:eastAsia="ar-SA" w:bidi="ar-SA"/>
    </w:rPr>
  </w:style>
  <w:style w:type="character" w:customStyle="1" w:styleId="BodycopyChar1">
    <w:name w:val="Body copy Char1"/>
    <w:basedOn w:val="WW-DefaultParagraphFont"/>
    <w:rsid w:val="003020DA"/>
    <w:rPr>
      <w:sz w:val="22"/>
      <w:lang w:val="en-US" w:eastAsia="ar-SA" w:bidi="ar-SA"/>
    </w:rPr>
  </w:style>
  <w:style w:type="character" w:customStyle="1" w:styleId="FootnotetextChar">
    <w:name w:val="Footnote text Char"/>
    <w:basedOn w:val="WW-DefaultParagraphFont"/>
    <w:rsid w:val="003020DA"/>
    <w:rPr>
      <w:sz w:val="22"/>
      <w:lang w:val="en-US" w:eastAsia="ar-SA" w:bidi="ar-SA"/>
    </w:rPr>
  </w:style>
  <w:style w:type="character" w:customStyle="1" w:styleId="medium-bold">
    <w:name w:val="medium-bold"/>
    <w:basedOn w:val="WW-DefaultParagraphFont"/>
    <w:rsid w:val="003020DA"/>
  </w:style>
  <w:style w:type="character" w:customStyle="1" w:styleId="medium-normal">
    <w:name w:val="medium-normal"/>
    <w:basedOn w:val="WW-DefaultParagraphFont"/>
    <w:rsid w:val="003020DA"/>
  </w:style>
  <w:style w:type="character" w:customStyle="1" w:styleId="CaptionChar">
    <w:name w:val="Caption Char"/>
    <w:basedOn w:val="WW-DefaultParagraphFont"/>
    <w:rsid w:val="003020DA"/>
    <w:rPr>
      <w:rFonts w:ascii="Arial Black" w:hAnsi="Arial Black"/>
      <w:sz w:val="18"/>
      <w:lang w:val="en-US" w:eastAsia="ar-SA" w:bidi="ar-SA"/>
    </w:rPr>
  </w:style>
  <w:style w:type="character" w:customStyle="1" w:styleId="CaptionChar1">
    <w:name w:val="Caption Char1"/>
    <w:basedOn w:val="WW-DefaultParagraphFont"/>
    <w:rsid w:val="003020DA"/>
    <w:rPr>
      <w:rFonts w:ascii="Arial Black" w:hAnsi="Arial Black"/>
      <w:sz w:val="18"/>
      <w:lang w:val="en-US" w:eastAsia="ar-SA" w:bidi="ar-SA"/>
    </w:rPr>
  </w:style>
  <w:style w:type="character" w:customStyle="1" w:styleId="WW8Dropcap1">
    <w:name w:val="WW8Dropcap1"/>
    <w:rsid w:val="003020DA"/>
    <w:rPr>
      <w:color w:val="CC9900"/>
      <w:sz w:val="118"/>
    </w:rPr>
  </w:style>
  <w:style w:type="character" w:customStyle="1" w:styleId="WW8Dropcap2">
    <w:name w:val="WW8Dropcap2"/>
    <w:rsid w:val="003020DA"/>
    <w:rPr>
      <w:color w:val="CC9900"/>
      <w:sz w:val="112"/>
    </w:rPr>
  </w:style>
  <w:style w:type="character" w:customStyle="1" w:styleId="WW8Dropcap3">
    <w:name w:val="WW8Dropcap3"/>
    <w:rsid w:val="003020DA"/>
    <w:rPr>
      <w:color w:val="CC9900"/>
      <w:sz w:val="118"/>
    </w:rPr>
  </w:style>
  <w:style w:type="character" w:customStyle="1" w:styleId="WW8Dropcap4">
    <w:name w:val="WW8Dropcap4"/>
    <w:rsid w:val="003020DA"/>
    <w:rPr>
      <w:color w:val="CC9900"/>
      <w:sz w:val="118"/>
    </w:rPr>
  </w:style>
  <w:style w:type="character" w:customStyle="1" w:styleId="WW-EndnoteReference1">
    <w:name w:val="WW-Endnote Reference1"/>
    <w:rsid w:val="003020DA"/>
    <w:rPr>
      <w:vertAlign w:val="superscript"/>
    </w:rPr>
  </w:style>
  <w:style w:type="character" w:customStyle="1" w:styleId="INS">
    <w:name w:val="INS"/>
    <w:rsid w:val="003020DA"/>
  </w:style>
  <w:style w:type="character" w:customStyle="1" w:styleId="RTFNum21">
    <w:name w:val="RTF_Num 2 1"/>
    <w:rsid w:val="003020DA"/>
    <w:rPr>
      <w:rFonts w:cs="Times New Roman"/>
      <w:b w:val="0"/>
      <w:bCs w:val="0"/>
      <w:i w:val="0"/>
      <w:iCs w:val="0"/>
      <w:sz w:val="16"/>
      <w:szCs w:val="16"/>
    </w:rPr>
  </w:style>
  <w:style w:type="character" w:customStyle="1" w:styleId="RTFNum22">
    <w:name w:val="RTF_Num 2 2"/>
    <w:rsid w:val="003020DA"/>
    <w:rPr>
      <w:rFonts w:ascii="Symbol" w:eastAsia="Symbol" w:hAnsi="Symbol" w:cs="Symbol"/>
      <w:sz w:val="16"/>
      <w:szCs w:val="16"/>
    </w:rPr>
  </w:style>
  <w:style w:type="character" w:customStyle="1" w:styleId="RTFNum23">
    <w:name w:val="RTF_Num 2 3"/>
    <w:rsid w:val="003020DA"/>
    <w:rPr>
      <w:rFonts w:cs="Times New Roman"/>
      <w:b w:val="0"/>
      <w:bCs w:val="0"/>
      <w:i w:val="0"/>
      <w:iCs w:val="0"/>
      <w:sz w:val="16"/>
      <w:szCs w:val="16"/>
    </w:rPr>
  </w:style>
  <w:style w:type="character" w:customStyle="1" w:styleId="RTFNum24">
    <w:name w:val="RTF_Num 2 4"/>
    <w:rsid w:val="003020DA"/>
    <w:rPr>
      <w:rFonts w:cs="Times New Roman"/>
    </w:rPr>
  </w:style>
  <w:style w:type="character" w:customStyle="1" w:styleId="RTFNum25">
    <w:name w:val="RTF_Num 2 5"/>
    <w:rsid w:val="003020DA"/>
    <w:rPr>
      <w:rFonts w:cs="Times New Roman"/>
    </w:rPr>
  </w:style>
  <w:style w:type="character" w:customStyle="1" w:styleId="RTFNum26">
    <w:name w:val="RTF_Num 2 6"/>
    <w:rsid w:val="003020DA"/>
    <w:rPr>
      <w:rFonts w:cs="Times New Roman"/>
    </w:rPr>
  </w:style>
  <w:style w:type="character" w:customStyle="1" w:styleId="RTFNum27">
    <w:name w:val="RTF_Num 2 7"/>
    <w:rsid w:val="003020DA"/>
    <w:rPr>
      <w:rFonts w:cs="Times New Roman"/>
    </w:rPr>
  </w:style>
  <w:style w:type="character" w:customStyle="1" w:styleId="RTFNum28">
    <w:name w:val="RTF_Num 2 8"/>
    <w:rsid w:val="003020DA"/>
    <w:rPr>
      <w:rFonts w:cs="Times New Roman"/>
    </w:rPr>
  </w:style>
  <w:style w:type="character" w:customStyle="1" w:styleId="RTFNum29">
    <w:name w:val="RTF_Num 2 9"/>
    <w:rsid w:val="003020DA"/>
    <w:rPr>
      <w:rFonts w:cs="Times New Roman"/>
    </w:rPr>
  </w:style>
  <w:style w:type="character" w:customStyle="1" w:styleId="Refdenotaalfinal1">
    <w:name w:val="Ref. de nota al final1"/>
    <w:rsid w:val="003020DA"/>
    <w:rPr>
      <w:position w:val="1"/>
      <w:sz w:val="14"/>
    </w:rPr>
  </w:style>
  <w:style w:type="character" w:customStyle="1" w:styleId="Heading2Char">
    <w:name w:val="Heading 2 Char"/>
    <w:basedOn w:val="WW-DefaultParagraphFont1"/>
    <w:rsid w:val="003020DA"/>
    <w:rPr>
      <w:rFonts w:ascii="Arial Black" w:hAnsi="Arial Black"/>
      <w:sz w:val="22"/>
      <w:szCs w:val="24"/>
      <w:lang w:val="en-US" w:eastAsia="ar-SA" w:bidi="ar-SA"/>
    </w:rPr>
  </w:style>
  <w:style w:type="character" w:customStyle="1" w:styleId="WW8Dropcap5">
    <w:name w:val="WW8Dropcap5"/>
    <w:rsid w:val="003020DA"/>
    <w:rPr>
      <w:color w:val="0066CC"/>
      <w:sz w:val="74"/>
    </w:rPr>
  </w:style>
  <w:style w:type="character" w:customStyle="1" w:styleId="WW-EndnoteReference12">
    <w:name w:val="WW-Endnote Reference12"/>
    <w:rsid w:val="003020DA"/>
    <w:rPr>
      <w:vertAlign w:val="superscript"/>
    </w:rPr>
  </w:style>
  <w:style w:type="paragraph" w:customStyle="1" w:styleId="Heading">
    <w:name w:val="Heading"/>
    <w:basedOn w:val="Normal"/>
    <w:next w:val="Textoindependiente"/>
    <w:uiPriority w:val="99"/>
    <w:rsid w:val="003020DA"/>
    <w:pPr>
      <w:keepNext/>
      <w:widowControl w:val="0"/>
      <w:suppressAutoHyphens/>
      <w:spacing w:before="240" w:after="120"/>
    </w:pPr>
    <w:rPr>
      <w:rFonts w:ascii="Arial" w:eastAsia="MS Mincho" w:hAnsi="Arial" w:cs="Arial Unicode MS"/>
      <w:sz w:val="28"/>
      <w:szCs w:val="28"/>
      <w:lang w:val="es-ES_tradnl" w:eastAsia="ar-SA"/>
    </w:rPr>
  </w:style>
  <w:style w:type="paragraph" w:customStyle="1" w:styleId="TableContents">
    <w:name w:val="Table Contents"/>
    <w:basedOn w:val="Normal"/>
    <w:uiPriority w:val="99"/>
    <w:rsid w:val="003020DA"/>
    <w:pPr>
      <w:widowControl w:val="0"/>
      <w:suppressLineNumbers/>
      <w:suppressAutoHyphens/>
    </w:pPr>
    <w:rPr>
      <w:rFonts w:eastAsia="Arial Unicode MS"/>
      <w:lang w:val="es-ES_tradnl" w:eastAsia="ar-SA"/>
    </w:rPr>
  </w:style>
  <w:style w:type="paragraph" w:customStyle="1" w:styleId="TableHeading">
    <w:name w:val="Table Heading"/>
    <w:basedOn w:val="TableContents"/>
    <w:uiPriority w:val="99"/>
    <w:rsid w:val="003020DA"/>
    <w:pPr>
      <w:jc w:val="center"/>
    </w:pPr>
    <w:rPr>
      <w:b/>
      <w:bCs/>
      <w:i/>
      <w:iCs/>
    </w:rPr>
  </w:style>
  <w:style w:type="paragraph" w:customStyle="1" w:styleId="Framecontents">
    <w:name w:val="Frame contents"/>
    <w:basedOn w:val="Textoindependiente"/>
    <w:uiPriority w:val="99"/>
    <w:rsid w:val="003020DA"/>
    <w:pPr>
      <w:widowControl w:val="0"/>
      <w:suppressAutoHyphens/>
      <w:spacing w:after="120" w:line="288" w:lineRule="auto"/>
      <w:ind w:firstLine="720"/>
      <w:jc w:val="both"/>
    </w:pPr>
    <w:rPr>
      <w:rFonts w:eastAsia="Arial Unicode MS"/>
      <w:sz w:val="24"/>
      <w:lang w:val="es-ES_tradnl" w:eastAsia="ar-SA"/>
    </w:rPr>
  </w:style>
  <w:style w:type="paragraph" w:customStyle="1" w:styleId="Index">
    <w:name w:val="Index"/>
    <w:basedOn w:val="Normal"/>
    <w:uiPriority w:val="99"/>
    <w:rsid w:val="003020DA"/>
    <w:pPr>
      <w:widowControl w:val="0"/>
      <w:suppressLineNumbers/>
      <w:suppressAutoHyphens/>
    </w:pPr>
    <w:rPr>
      <w:rFonts w:eastAsia="Arial Unicode MS" w:cs="Arial Unicode MS"/>
      <w:lang w:val="es-ES_tradnl" w:eastAsia="ar-SA"/>
    </w:rPr>
  </w:style>
  <w:style w:type="paragraph" w:customStyle="1" w:styleId="Bibliography1">
    <w:name w:val="Bibliography 1"/>
    <w:basedOn w:val="Normal"/>
    <w:uiPriority w:val="99"/>
    <w:rsid w:val="003020DA"/>
    <w:pPr>
      <w:widowControl w:val="0"/>
      <w:suppressLineNumbers/>
      <w:tabs>
        <w:tab w:val="right" w:leader="dot" w:pos="10404"/>
      </w:tabs>
      <w:suppressAutoHyphens/>
      <w:spacing w:before="173"/>
      <w:ind w:left="432" w:hanging="432"/>
    </w:pPr>
    <w:rPr>
      <w:rFonts w:eastAsia="Arial Unicode MS" w:cs="Arial Unicode MS"/>
      <w:lang w:val="es-ES_tradnl" w:eastAsia="ar-SA"/>
    </w:rPr>
  </w:style>
  <w:style w:type="paragraph" w:customStyle="1" w:styleId="-subsectionheader">
    <w:name w:val="- subsection header"/>
    <w:basedOn w:val="Normal"/>
    <w:uiPriority w:val="99"/>
    <w:rsid w:val="003020DA"/>
    <w:pPr>
      <w:widowControl w:val="0"/>
      <w:suppressAutoHyphens/>
      <w:spacing w:before="86" w:after="43"/>
    </w:pPr>
    <w:rPr>
      <w:rFonts w:eastAsia="Arial Unicode MS"/>
      <w:b/>
      <w:bCs/>
      <w:i/>
      <w:sz w:val="22"/>
      <w:szCs w:val="22"/>
      <w:lang w:val="es-ES_tradnl" w:eastAsia="ar-SA"/>
    </w:rPr>
  </w:style>
  <w:style w:type="paragraph" w:customStyle="1" w:styleId="-subsectionheaderII">
    <w:name w:val="- subsection header II"/>
    <w:basedOn w:val="-subsectionheader"/>
    <w:uiPriority w:val="99"/>
    <w:rsid w:val="003020DA"/>
    <w:rPr>
      <w:b w:val="0"/>
      <w:bCs w:val="0"/>
    </w:rPr>
  </w:style>
  <w:style w:type="paragraph" w:customStyle="1" w:styleId="-subheading">
    <w:name w:val="- subheading"/>
    <w:basedOn w:val="Textoindependiente"/>
    <w:uiPriority w:val="99"/>
    <w:rsid w:val="003020DA"/>
    <w:pPr>
      <w:widowControl w:val="0"/>
      <w:suppressAutoHyphens/>
      <w:spacing w:after="29" w:line="288" w:lineRule="auto"/>
      <w:ind w:firstLine="720"/>
      <w:jc w:val="both"/>
    </w:pPr>
    <w:rPr>
      <w:rFonts w:ascii="Arial Black" w:eastAsia="Arial Unicode MS" w:hAnsi="Arial Black"/>
      <w:bCs/>
      <w:i/>
      <w:iCs/>
      <w:sz w:val="22"/>
      <w:szCs w:val="22"/>
      <w:lang w:val="es-ES_tradnl" w:eastAsia="ar-SA"/>
    </w:rPr>
  </w:style>
  <w:style w:type="paragraph" w:customStyle="1" w:styleId="Bodycopy">
    <w:name w:val="Body copy"/>
    <w:basedOn w:val="Normal"/>
    <w:uiPriority w:val="99"/>
    <w:rsid w:val="003020DA"/>
    <w:pPr>
      <w:spacing w:before="120" w:after="120" w:line="100" w:lineRule="atLeast"/>
      <w:ind w:firstLine="360"/>
      <w:jc w:val="both"/>
    </w:pPr>
    <w:rPr>
      <w:sz w:val="22"/>
      <w:lang w:val="es-ES_tradnl" w:eastAsia="ar-SA"/>
    </w:rPr>
  </w:style>
  <w:style w:type="paragraph" w:customStyle="1" w:styleId="Bulletlistshort">
    <w:name w:val="Bullet list (short)"/>
    <w:basedOn w:val="Bodycopy"/>
    <w:next w:val="Bodycopy"/>
    <w:uiPriority w:val="99"/>
    <w:rsid w:val="003020DA"/>
    <w:pPr>
      <w:ind w:firstLine="0"/>
    </w:pPr>
  </w:style>
  <w:style w:type="paragraph" w:customStyle="1" w:styleId="Bulletsublist">
    <w:name w:val="Bullet sublist"/>
    <w:basedOn w:val="Bulletlistshort"/>
    <w:uiPriority w:val="99"/>
    <w:rsid w:val="003020DA"/>
  </w:style>
  <w:style w:type="paragraph" w:customStyle="1" w:styleId="Firstparagraph">
    <w:name w:val="First paragraph"/>
    <w:basedOn w:val="Bodycopy"/>
    <w:next w:val="Bodycopy"/>
    <w:uiPriority w:val="99"/>
    <w:rsid w:val="003020DA"/>
    <w:pPr>
      <w:ind w:firstLine="0"/>
    </w:pPr>
  </w:style>
  <w:style w:type="paragraph" w:customStyle="1" w:styleId="Textonotapie1">
    <w:name w:val="Texto nota pie1"/>
    <w:basedOn w:val="Firstparagraph"/>
    <w:uiPriority w:val="99"/>
    <w:rsid w:val="003020DA"/>
    <w:pPr>
      <w:spacing w:before="0" w:after="60"/>
    </w:pPr>
    <w:rPr>
      <w:sz w:val="20"/>
    </w:rPr>
  </w:style>
  <w:style w:type="paragraph" w:customStyle="1" w:styleId="Tabletext">
    <w:name w:val="Table text"/>
    <w:basedOn w:val="Bodycopy"/>
    <w:uiPriority w:val="99"/>
    <w:rsid w:val="003020DA"/>
    <w:pPr>
      <w:tabs>
        <w:tab w:val="left" w:pos="360"/>
        <w:tab w:val="left" w:pos="720"/>
      </w:tabs>
      <w:spacing w:before="40" w:after="40"/>
      <w:ind w:firstLine="0"/>
    </w:pPr>
    <w:rPr>
      <w:sz w:val="20"/>
    </w:rPr>
  </w:style>
  <w:style w:type="paragraph" w:customStyle="1" w:styleId="Sourcenotes">
    <w:name w:val="Source/notes"/>
    <w:basedOn w:val="Tabletext"/>
    <w:next w:val="Normal"/>
    <w:uiPriority w:val="99"/>
    <w:rsid w:val="003020DA"/>
    <w:pPr>
      <w:spacing w:before="80" w:after="0"/>
    </w:pPr>
  </w:style>
  <w:style w:type="paragraph" w:customStyle="1" w:styleId="Tablecellcaption">
    <w:name w:val="Table cell caption"/>
    <w:basedOn w:val="Tabletext"/>
    <w:uiPriority w:val="99"/>
    <w:rsid w:val="003020DA"/>
    <w:rPr>
      <w:rFonts w:ascii="Arial Black" w:hAnsi="Arial Black"/>
      <w:sz w:val="18"/>
      <w:lang w:val="en-GB"/>
    </w:rPr>
  </w:style>
  <w:style w:type="paragraph" w:customStyle="1" w:styleId="Tabletextindent">
    <w:name w:val="Table text indent"/>
    <w:basedOn w:val="Tabletext"/>
    <w:uiPriority w:val="99"/>
    <w:rsid w:val="003020DA"/>
    <w:pPr>
      <w:ind w:firstLine="360"/>
    </w:pPr>
  </w:style>
  <w:style w:type="paragraph" w:customStyle="1" w:styleId="References">
    <w:name w:val="References"/>
    <w:basedOn w:val="Firstparagraph"/>
    <w:uiPriority w:val="99"/>
    <w:rsid w:val="003020DA"/>
    <w:pPr>
      <w:ind w:left="720" w:hanging="720"/>
      <w:jc w:val="left"/>
    </w:pPr>
  </w:style>
  <w:style w:type="paragraph" w:customStyle="1" w:styleId="Boxtext">
    <w:name w:val="Box text"/>
    <w:basedOn w:val="Normal"/>
    <w:uiPriority w:val="99"/>
    <w:rsid w:val="003020DA"/>
    <w:pPr>
      <w:keepLines/>
      <w:spacing w:after="120"/>
    </w:pPr>
    <w:rPr>
      <w:sz w:val="20"/>
      <w:szCs w:val="20"/>
      <w:lang w:val="es-ES_tradnl" w:eastAsia="ar-SA"/>
    </w:rPr>
  </w:style>
  <w:style w:type="paragraph" w:customStyle="1" w:styleId="Chapterhead">
    <w:name w:val="Chapter head"/>
    <w:basedOn w:val="Normal"/>
    <w:uiPriority w:val="99"/>
    <w:rsid w:val="003020DA"/>
    <w:pPr>
      <w:spacing w:before="480" w:after="240"/>
      <w:jc w:val="center"/>
    </w:pPr>
    <w:rPr>
      <w:rFonts w:ascii="Arial Black" w:hAnsi="Arial Black"/>
      <w:sz w:val="44"/>
      <w:szCs w:val="20"/>
      <w:lang w:val="es-ES_tradnl" w:eastAsia="ar-SA"/>
    </w:rPr>
  </w:style>
  <w:style w:type="paragraph" w:customStyle="1" w:styleId="ChapterTitle">
    <w:name w:val="Chapter Title"/>
    <w:basedOn w:val="Normal"/>
    <w:uiPriority w:val="99"/>
    <w:rsid w:val="003020DA"/>
    <w:pPr>
      <w:spacing w:before="240" w:after="60"/>
      <w:jc w:val="center"/>
    </w:pPr>
    <w:rPr>
      <w:rFonts w:ascii="Arial" w:hAnsi="Arial" w:cs="Arial"/>
      <w:color w:val="CC9900"/>
      <w:kern w:val="1"/>
      <w:sz w:val="44"/>
      <w:szCs w:val="32"/>
      <w:lang w:val="es-ES_tradnl" w:eastAsia="ar-SA"/>
    </w:rPr>
  </w:style>
  <w:style w:type="paragraph" w:customStyle="1" w:styleId="Textonotaalfinal1">
    <w:name w:val="Texto nota al final1"/>
    <w:basedOn w:val="Normal"/>
    <w:uiPriority w:val="99"/>
    <w:rsid w:val="003020DA"/>
    <w:pPr>
      <w:widowControl w:val="0"/>
      <w:suppressAutoHyphens/>
    </w:pPr>
    <w:rPr>
      <w:rFonts w:eastAsia="Arial Unicode MS"/>
      <w:sz w:val="20"/>
      <w:szCs w:val="20"/>
      <w:lang w:val="es-ES_tradnl" w:eastAsia="ar-SA"/>
    </w:rPr>
  </w:style>
  <w:style w:type="paragraph" w:customStyle="1" w:styleId="Comment">
    <w:name w:val="Comment"/>
    <w:basedOn w:val="Ttulo2"/>
    <w:uiPriority w:val="99"/>
    <w:rsid w:val="003020DA"/>
    <w:pPr>
      <w:tabs>
        <w:tab w:val="left" w:pos="0"/>
      </w:tabs>
      <w:spacing w:before="0" w:after="187"/>
      <w:jc w:val="left"/>
    </w:pPr>
    <w:rPr>
      <w:rFonts w:ascii="Arial Narrow" w:hAnsi="Arial Narrow"/>
      <w:b w:val="0"/>
      <w:bCs w:val="0"/>
      <w:i/>
      <w:iCs/>
      <w:sz w:val="22"/>
      <w:szCs w:val="24"/>
      <w:lang w:val="en-US" w:eastAsia="ar-SA"/>
    </w:rPr>
  </w:style>
  <w:style w:type="paragraph" w:customStyle="1" w:styleId="Heading2wComment">
    <w:name w:val="Heading 2 w Comment"/>
    <w:basedOn w:val="Ttulo2"/>
    <w:uiPriority w:val="99"/>
    <w:rsid w:val="003020DA"/>
    <w:pPr>
      <w:tabs>
        <w:tab w:val="left" w:pos="0"/>
      </w:tabs>
      <w:spacing w:before="245" w:after="0"/>
      <w:jc w:val="left"/>
    </w:pPr>
    <w:rPr>
      <w:rFonts w:ascii="Arial Black" w:hAnsi="Arial Black"/>
      <w:b w:val="0"/>
      <w:bCs w:val="0"/>
      <w:sz w:val="22"/>
      <w:szCs w:val="24"/>
      <w:lang w:val="en-US" w:eastAsia="ar-SA"/>
    </w:rPr>
  </w:style>
  <w:style w:type="paragraph" w:customStyle="1" w:styleId="Bigletterpara">
    <w:name w:val="Big letter para"/>
    <w:basedOn w:val="Firstparagraph"/>
    <w:uiPriority w:val="99"/>
    <w:rsid w:val="003020DA"/>
    <w:pPr>
      <w:spacing w:before="240"/>
    </w:pPr>
  </w:style>
  <w:style w:type="character" w:styleId="Refdecomentario">
    <w:name w:val="annotation reference"/>
    <w:basedOn w:val="Fuentedeprrafopredeter"/>
    <w:uiPriority w:val="99"/>
    <w:semiHidden/>
    <w:rsid w:val="003020DA"/>
    <w:rPr>
      <w:sz w:val="16"/>
      <w:szCs w:val="16"/>
    </w:rPr>
  </w:style>
  <w:style w:type="paragraph" w:styleId="Textocomentario">
    <w:name w:val="annotation text"/>
    <w:basedOn w:val="Normal"/>
    <w:link w:val="TextocomentarioCar"/>
    <w:uiPriority w:val="99"/>
    <w:rsid w:val="003020DA"/>
    <w:pPr>
      <w:widowControl w:val="0"/>
      <w:suppressAutoHyphens/>
    </w:pPr>
    <w:rPr>
      <w:rFonts w:eastAsia="Arial Unicode MS"/>
      <w:sz w:val="20"/>
      <w:szCs w:val="20"/>
      <w:lang w:val="es-ES_tradnl" w:eastAsia="ar-SA"/>
    </w:rPr>
  </w:style>
  <w:style w:type="paragraph" w:styleId="Asuntodelcomentario">
    <w:name w:val="annotation subject"/>
    <w:basedOn w:val="Textocomentario"/>
    <w:next w:val="Textocomentario"/>
    <w:link w:val="AsuntodelcomentarioCar"/>
    <w:uiPriority w:val="99"/>
    <w:semiHidden/>
    <w:rsid w:val="003020DA"/>
    <w:rPr>
      <w:b/>
      <w:bCs/>
    </w:rPr>
  </w:style>
  <w:style w:type="character" w:customStyle="1" w:styleId="contenido1">
    <w:name w:val="contenido1"/>
    <w:basedOn w:val="Fuentedeprrafopredeter"/>
    <w:rsid w:val="003020DA"/>
    <w:rPr>
      <w:rFonts w:ascii="Verdana" w:hAnsi="Verdana" w:hint="default"/>
      <w:color w:val="333333"/>
      <w:sz w:val="9"/>
      <w:szCs w:val="9"/>
    </w:rPr>
  </w:style>
  <w:style w:type="paragraph" w:customStyle="1" w:styleId="contenido">
    <w:name w:val="contenido"/>
    <w:basedOn w:val="Normal"/>
    <w:uiPriority w:val="99"/>
    <w:rsid w:val="003020DA"/>
    <w:pPr>
      <w:spacing w:before="100" w:beforeAutospacing="1" w:after="100" w:afterAutospacing="1"/>
    </w:pPr>
    <w:rPr>
      <w:rFonts w:ascii="Verdana" w:hAnsi="Verdana"/>
      <w:color w:val="333333"/>
      <w:sz w:val="9"/>
      <w:szCs w:val="9"/>
      <w:lang w:val="es-ES"/>
    </w:rPr>
  </w:style>
  <w:style w:type="numbering" w:customStyle="1" w:styleId="Sinlista6">
    <w:name w:val="Sin lista6"/>
    <w:next w:val="Sinlista"/>
    <w:semiHidden/>
    <w:unhideWhenUsed/>
    <w:rsid w:val="00B83D8B"/>
  </w:style>
  <w:style w:type="paragraph" w:customStyle="1" w:styleId="CarCarCarCarCarCarCar">
    <w:name w:val="Car Car Car Car Car Car Car"/>
    <w:basedOn w:val="Normal"/>
    <w:rsid w:val="00B83D8B"/>
    <w:pPr>
      <w:spacing w:after="160" w:line="240" w:lineRule="exact"/>
    </w:pPr>
    <w:rPr>
      <w:rFonts w:ascii="Tahoma" w:hAnsi="Tahoma"/>
      <w:sz w:val="20"/>
      <w:szCs w:val="20"/>
      <w:lang w:val="en-US" w:eastAsia="en-US"/>
    </w:rPr>
  </w:style>
  <w:style w:type="table" w:customStyle="1" w:styleId="Tablaconcuadrcula9">
    <w:name w:val="Tabla con cuadrícula9"/>
    <w:basedOn w:val="Tablanormal"/>
    <w:next w:val="Tablaconcuadrcula"/>
    <w:rsid w:val="00B83D8B"/>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
    <w:name w:val="Sin lista7"/>
    <w:next w:val="Sinlista"/>
    <w:semiHidden/>
    <w:unhideWhenUsed/>
    <w:rsid w:val="000D4BB7"/>
  </w:style>
  <w:style w:type="table" w:customStyle="1" w:styleId="Tablaconcuadrcula100">
    <w:name w:val="Tabla con cuadrícula10"/>
    <w:basedOn w:val="Tablanormal"/>
    <w:next w:val="Tablaconcuadrcula"/>
    <w:rsid w:val="000D4BB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
    <w:name w:val="Tabla con cuadrícula12"/>
    <w:basedOn w:val="Tablanormal"/>
    <w:next w:val="Tablaconcuadrcula"/>
    <w:rsid w:val="000D4B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rsid w:val="00D8741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semiHidden/>
    <w:unhideWhenUsed/>
    <w:rsid w:val="00A51645"/>
  </w:style>
  <w:style w:type="table" w:customStyle="1" w:styleId="Tablaconcuadrcula14">
    <w:name w:val="Tabla con cuadrícula14"/>
    <w:basedOn w:val="Tablanormal"/>
    <w:next w:val="Tablaconcuadrcula"/>
    <w:rsid w:val="00A5164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
    <w:name w:val="Sin lista9"/>
    <w:next w:val="Sinlista"/>
    <w:semiHidden/>
    <w:rsid w:val="00EF6A8F"/>
  </w:style>
  <w:style w:type="paragraph" w:customStyle="1" w:styleId="WebHeadline">
    <w:name w:val="_WebHeadline"/>
    <w:basedOn w:val="Normal"/>
    <w:next w:val="Normal"/>
    <w:uiPriority w:val="99"/>
    <w:rsid w:val="00336F7F"/>
    <w:pPr>
      <w:autoSpaceDE w:val="0"/>
      <w:autoSpaceDN w:val="0"/>
      <w:adjustRightInd w:val="0"/>
      <w:spacing w:after="240"/>
    </w:pPr>
    <w:rPr>
      <w:rFonts w:ascii="Arial" w:hAnsi="Arial"/>
      <w:lang w:val="es-ES"/>
    </w:rPr>
  </w:style>
  <w:style w:type="character" w:customStyle="1" w:styleId="A1">
    <w:name w:val="A1"/>
    <w:rsid w:val="0085605D"/>
    <w:rPr>
      <w:rFonts w:cs="Frutiger LT Std 45 Light"/>
      <w:b/>
      <w:bCs/>
      <w:color w:val="000000"/>
      <w:sz w:val="20"/>
      <w:szCs w:val="20"/>
    </w:rPr>
  </w:style>
  <w:style w:type="character" w:customStyle="1" w:styleId="A18">
    <w:name w:val="A18"/>
    <w:rsid w:val="0085605D"/>
    <w:rPr>
      <w:rFonts w:cs="Frutiger LT Std 45 Light"/>
      <w:color w:val="000000"/>
    </w:rPr>
  </w:style>
  <w:style w:type="numbering" w:customStyle="1" w:styleId="Sinlista10">
    <w:name w:val="Sin lista10"/>
    <w:next w:val="Sinlista"/>
    <w:semiHidden/>
    <w:unhideWhenUsed/>
    <w:rsid w:val="00447456"/>
  </w:style>
  <w:style w:type="numbering" w:customStyle="1" w:styleId="Sinlista13">
    <w:name w:val="Sin lista13"/>
    <w:next w:val="Sinlista"/>
    <w:semiHidden/>
    <w:rsid w:val="00447456"/>
  </w:style>
  <w:style w:type="table" w:customStyle="1" w:styleId="Tablaconcuadrcula52">
    <w:name w:val="Tabla con cuadrícula52"/>
    <w:basedOn w:val="Tablanormal"/>
    <w:next w:val="Tablaconcuadrcula"/>
    <w:rsid w:val="005158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rsid w:val="0048699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
    <w:name w:val="Sin lista14"/>
    <w:next w:val="Sinlista"/>
    <w:semiHidden/>
    <w:rsid w:val="00D117DF"/>
  </w:style>
  <w:style w:type="table" w:customStyle="1" w:styleId="Tablaconcuadrcula16">
    <w:name w:val="Tabla con cuadrícula16"/>
    <w:basedOn w:val="Tablanormal"/>
    <w:next w:val="Tablaconcuadrcula"/>
    <w:rsid w:val="00D117D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semiHidden/>
    <w:rsid w:val="00F571F5"/>
  </w:style>
  <w:style w:type="table" w:customStyle="1" w:styleId="Tablaconcuadrcula17">
    <w:name w:val="Tabla con cuadrícula17"/>
    <w:basedOn w:val="Tablanormal"/>
    <w:next w:val="Tablaconcuadrcula"/>
    <w:rsid w:val="00F571F5"/>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
    <w:name w:val="Sin lista16"/>
    <w:next w:val="Sinlista"/>
    <w:semiHidden/>
    <w:rsid w:val="00236012"/>
  </w:style>
  <w:style w:type="table" w:customStyle="1" w:styleId="Tablaconcuadrcula18">
    <w:name w:val="Tabla con cuadrícula18"/>
    <w:basedOn w:val="Tablanormal"/>
    <w:next w:val="Tablaconcuadrcula"/>
    <w:rsid w:val="0023601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rsid w:val="00B246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07">
    <w:name w:val="Pa0+7"/>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7">
    <w:name w:val="A0+7"/>
    <w:rsid w:val="006B6EB3"/>
    <w:rPr>
      <w:rFonts w:cs="Lucida Sans"/>
      <w:b/>
      <w:bCs/>
      <w:color w:val="000000"/>
      <w:sz w:val="32"/>
      <w:szCs w:val="32"/>
    </w:rPr>
  </w:style>
  <w:style w:type="character" w:customStyle="1" w:styleId="A17">
    <w:name w:val="A1+7"/>
    <w:rsid w:val="006B6EB3"/>
    <w:rPr>
      <w:rFonts w:cs="Lucida Sans"/>
      <w:color w:val="000000"/>
      <w:sz w:val="28"/>
      <w:szCs w:val="28"/>
    </w:rPr>
  </w:style>
  <w:style w:type="paragraph" w:customStyle="1" w:styleId="Pa91">
    <w:name w:val="Pa9+1"/>
    <w:basedOn w:val="Normal"/>
    <w:next w:val="Normal"/>
    <w:uiPriority w:val="99"/>
    <w:rsid w:val="006B6EB3"/>
    <w:pPr>
      <w:autoSpaceDE w:val="0"/>
      <w:autoSpaceDN w:val="0"/>
      <w:adjustRightInd w:val="0"/>
      <w:spacing w:line="241" w:lineRule="atLeast"/>
    </w:pPr>
    <w:rPr>
      <w:rFonts w:ascii="Lucida Sans" w:hAnsi="Lucida Sans"/>
      <w:lang w:val="es-ES"/>
    </w:rPr>
  </w:style>
  <w:style w:type="character" w:customStyle="1" w:styleId="A01">
    <w:name w:val="A0+1"/>
    <w:rsid w:val="006B6EB3"/>
    <w:rPr>
      <w:rFonts w:cs="Lucida Sans"/>
      <w:b/>
      <w:bCs/>
      <w:color w:val="000000"/>
      <w:sz w:val="32"/>
      <w:szCs w:val="32"/>
    </w:rPr>
  </w:style>
  <w:style w:type="paragraph" w:customStyle="1" w:styleId="waiarticlechapeau1">
    <w:name w:val="wai_article_chapeau1"/>
    <w:basedOn w:val="Normal"/>
    <w:uiPriority w:val="99"/>
    <w:rsid w:val="00F75F76"/>
    <w:pPr>
      <w:spacing w:before="100" w:beforeAutospacing="1" w:after="100" w:afterAutospacing="1"/>
    </w:pPr>
    <w:rPr>
      <w:b/>
      <w:bCs/>
      <w:lang w:val="es-ES"/>
    </w:rPr>
  </w:style>
  <w:style w:type="paragraph" w:customStyle="1" w:styleId="Ttulo11">
    <w:name w:val="Título1"/>
    <w:basedOn w:val="Normal"/>
    <w:uiPriority w:val="99"/>
    <w:rsid w:val="00896463"/>
    <w:pPr>
      <w:spacing w:before="100" w:beforeAutospacing="1" w:after="100" w:afterAutospacing="1"/>
    </w:pPr>
    <w:rPr>
      <w:color w:val="000000"/>
      <w:lang w:val="es-ES"/>
    </w:rPr>
  </w:style>
  <w:style w:type="paragraph" w:customStyle="1" w:styleId="separadorherramientas">
    <w:name w:val="separador_herramientas"/>
    <w:basedOn w:val="Normal"/>
    <w:uiPriority w:val="99"/>
    <w:rsid w:val="00C60E4B"/>
    <w:pPr>
      <w:spacing w:before="100" w:beforeAutospacing="1" w:after="100" w:afterAutospacing="1"/>
    </w:pPr>
    <w:rPr>
      <w:rFonts w:ascii="Verdana" w:hAnsi="Verdana"/>
      <w:b/>
      <w:bCs/>
      <w:color w:val="00B5CC"/>
      <w:sz w:val="9"/>
      <w:szCs w:val="9"/>
      <w:lang w:val="es-ES"/>
    </w:rPr>
  </w:style>
  <w:style w:type="paragraph" w:customStyle="1" w:styleId="formobservaciones">
    <w:name w:val="form_observaciones"/>
    <w:basedOn w:val="Normal"/>
    <w:uiPriority w:val="99"/>
    <w:rsid w:val="00C60E4B"/>
    <w:pPr>
      <w:spacing w:before="100" w:beforeAutospacing="1" w:after="100" w:afterAutospacing="1"/>
    </w:pPr>
    <w:rPr>
      <w:lang w:val="es-ES"/>
    </w:rPr>
  </w:style>
  <w:style w:type="paragraph" w:customStyle="1" w:styleId="menuprincipal">
    <w:name w:val="menu_principal"/>
    <w:basedOn w:val="Normal"/>
    <w:uiPriority w:val="99"/>
    <w:rsid w:val="00C60E4B"/>
    <w:pPr>
      <w:shd w:val="clear" w:color="auto" w:fill="C7DBF3"/>
    </w:pPr>
    <w:rPr>
      <w:lang w:val="es-ES"/>
    </w:rPr>
  </w:style>
  <w:style w:type="paragraph" w:customStyle="1" w:styleId="titulonotasecundaria1">
    <w:name w:val="titulo_notasecundaria1"/>
    <w:basedOn w:val="Normal"/>
    <w:uiPriority w:val="99"/>
    <w:rsid w:val="00C60E4B"/>
    <w:pPr>
      <w:spacing w:before="100" w:beforeAutospacing="1" w:after="100" w:afterAutospacing="1"/>
    </w:pPr>
    <w:rPr>
      <w:rFonts w:ascii="Verdana" w:hAnsi="Verdana"/>
      <w:b/>
      <w:bCs/>
      <w:color w:val="5D98D3"/>
      <w:sz w:val="12"/>
      <w:szCs w:val="12"/>
      <w:lang w:val="es-ES"/>
    </w:rPr>
  </w:style>
  <w:style w:type="paragraph" w:customStyle="1" w:styleId="tituloseccioninterior">
    <w:name w:val="titulo_seccioninterior"/>
    <w:basedOn w:val="Normal"/>
    <w:uiPriority w:val="99"/>
    <w:rsid w:val="00C60E4B"/>
    <w:pPr>
      <w:spacing w:before="100" w:beforeAutospacing="1" w:after="100" w:afterAutospacing="1"/>
    </w:pPr>
    <w:rPr>
      <w:rFonts w:ascii="Verdana" w:hAnsi="Verdana"/>
      <w:b/>
      <w:bCs/>
      <w:color w:val="00B5CC"/>
      <w:sz w:val="14"/>
      <w:szCs w:val="14"/>
      <w:lang w:val="es-ES"/>
    </w:rPr>
  </w:style>
  <w:style w:type="paragraph" w:customStyle="1" w:styleId="subtituloseccioninterior">
    <w:name w:val="subtitulo_seccioninterior"/>
    <w:basedOn w:val="Normal"/>
    <w:uiPriority w:val="99"/>
    <w:rsid w:val="00C60E4B"/>
    <w:pPr>
      <w:spacing w:before="100" w:beforeAutospacing="1" w:after="100" w:afterAutospacing="1"/>
    </w:pPr>
    <w:rPr>
      <w:rFonts w:ascii="Verdana" w:hAnsi="Verdana"/>
      <w:b/>
      <w:bCs/>
      <w:color w:val="0768A9"/>
      <w:sz w:val="12"/>
      <w:szCs w:val="12"/>
      <w:lang w:val="es-ES"/>
    </w:rPr>
  </w:style>
  <w:style w:type="paragraph" w:customStyle="1" w:styleId="enlaceslabel">
    <w:name w:val="enlaceslabel"/>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fechaportal">
    <w:name w:val="fecha_portal"/>
    <w:basedOn w:val="Normal"/>
    <w:uiPriority w:val="99"/>
    <w:rsid w:val="00C60E4B"/>
    <w:pPr>
      <w:spacing w:before="100" w:beforeAutospacing="1" w:after="100" w:afterAutospacing="1"/>
    </w:pPr>
    <w:rPr>
      <w:rFonts w:ascii="Verdana" w:hAnsi="Verdana"/>
      <w:color w:val="FFFFFF"/>
      <w:sz w:val="10"/>
      <w:szCs w:val="10"/>
      <w:lang w:val="es-ES"/>
    </w:rPr>
  </w:style>
  <w:style w:type="paragraph" w:customStyle="1" w:styleId="fechanoticias">
    <w:name w:val="fecha_noticias"/>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imprimirenviar">
    <w:name w:val="imprimir_enviar"/>
    <w:basedOn w:val="Normal"/>
    <w:uiPriority w:val="99"/>
    <w:rsid w:val="00C60E4B"/>
    <w:pPr>
      <w:spacing w:before="100" w:beforeAutospacing="1" w:after="100" w:afterAutospacing="1"/>
    </w:pPr>
    <w:rPr>
      <w:rFonts w:ascii="Verdana" w:hAnsi="Verdana"/>
      <w:b/>
      <w:bCs/>
      <w:color w:val="595959"/>
      <w:sz w:val="11"/>
      <w:szCs w:val="11"/>
      <w:lang w:val="es-ES"/>
    </w:rPr>
  </w:style>
  <w:style w:type="paragraph" w:customStyle="1" w:styleId="separador">
    <w:name w:val="separador"/>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breadcrumb">
    <w:name w:val="breadcrumb"/>
    <w:basedOn w:val="Normal"/>
    <w:uiPriority w:val="99"/>
    <w:rsid w:val="00C60E4B"/>
    <w:pPr>
      <w:spacing w:before="100" w:beforeAutospacing="1" w:after="100" w:afterAutospacing="1"/>
    </w:pPr>
    <w:rPr>
      <w:rFonts w:ascii="Verdana" w:hAnsi="Verdana"/>
      <w:b/>
      <w:bCs/>
      <w:color w:val="00B5CC"/>
      <w:sz w:val="11"/>
      <w:szCs w:val="11"/>
      <w:lang w:val="es-ES"/>
    </w:rPr>
  </w:style>
  <w:style w:type="paragraph" w:customStyle="1" w:styleId="txt">
    <w:name w:val="txt"/>
    <w:basedOn w:val="Normal"/>
    <w:uiPriority w:val="99"/>
    <w:rsid w:val="00C60E4B"/>
    <w:pPr>
      <w:spacing w:before="100" w:beforeAutospacing="1" w:after="100" w:afterAutospacing="1"/>
    </w:pPr>
    <w:rPr>
      <w:rFonts w:ascii="Verdana" w:hAnsi="Verdana"/>
      <w:color w:val="595959"/>
      <w:sz w:val="10"/>
      <w:szCs w:val="10"/>
      <w:lang w:val="es-ES"/>
    </w:rPr>
  </w:style>
  <w:style w:type="paragraph" w:customStyle="1" w:styleId="txtgab">
    <w:name w:val="txtgab"/>
    <w:basedOn w:val="Normal"/>
    <w:uiPriority w:val="99"/>
    <w:rsid w:val="00C60E4B"/>
    <w:pPr>
      <w:spacing w:before="100" w:beforeAutospacing="1" w:after="100" w:afterAutospacing="1"/>
      <w:ind w:firstLine="100"/>
    </w:pPr>
    <w:rPr>
      <w:rFonts w:ascii="Verdana" w:hAnsi="Verdana"/>
      <w:color w:val="595959"/>
      <w:sz w:val="10"/>
      <w:szCs w:val="10"/>
      <w:lang w:val="es-ES"/>
    </w:rPr>
  </w:style>
  <w:style w:type="paragraph" w:customStyle="1" w:styleId="txtblanco">
    <w:name w:val="txt_blanco"/>
    <w:basedOn w:val="Normal"/>
    <w:uiPriority w:val="99"/>
    <w:rsid w:val="00C60E4B"/>
    <w:pPr>
      <w:spacing w:before="100" w:beforeAutospacing="1" w:after="100" w:afterAutospacing="1"/>
    </w:pPr>
    <w:rPr>
      <w:rFonts w:ascii="Verdana" w:hAnsi="Verdana"/>
      <w:b/>
      <w:bCs/>
      <w:color w:val="FFFFFF"/>
      <w:sz w:val="12"/>
      <w:szCs w:val="12"/>
      <w:lang w:val="es-ES"/>
    </w:rPr>
  </w:style>
  <w:style w:type="paragraph" w:customStyle="1" w:styleId="txtblanco2">
    <w:name w:val="txt_blanco2"/>
    <w:basedOn w:val="Normal"/>
    <w:uiPriority w:val="99"/>
    <w:rsid w:val="00C60E4B"/>
    <w:pPr>
      <w:spacing w:before="100" w:beforeAutospacing="1" w:after="100" w:afterAutospacing="1"/>
    </w:pPr>
    <w:rPr>
      <w:rFonts w:ascii="Verdana" w:hAnsi="Verdana"/>
      <w:b/>
      <w:bCs/>
      <w:color w:val="FFFFFF"/>
      <w:sz w:val="10"/>
      <w:szCs w:val="10"/>
      <w:lang w:val="es-ES"/>
    </w:rPr>
  </w:style>
  <w:style w:type="paragraph" w:customStyle="1" w:styleId="txtazul">
    <w:name w:val="txt_azul"/>
    <w:basedOn w:val="Normal"/>
    <w:uiPriority w:val="99"/>
    <w:rsid w:val="00C60E4B"/>
    <w:pPr>
      <w:spacing w:before="100" w:beforeAutospacing="1" w:after="100" w:afterAutospacing="1"/>
    </w:pPr>
    <w:rPr>
      <w:rFonts w:ascii="Verdana" w:hAnsi="Verdana"/>
      <w:color w:val="1E6AC2"/>
      <w:sz w:val="10"/>
      <w:szCs w:val="10"/>
      <w:lang w:val="es-ES"/>
    </w:rPr>
  </w:style>
  <w:style w:type="paragraph" w:customStyle="1" w:styleId="titleazul">
    <w:name w:val="title_azul"/>
    <w:basedOn w:val="Normal"/>
    <w:uiPriority w:val="99"/>
    <w:rsid w:val="00C60E4B"/>
    <w:pPr>
      <w:spacing w:before="100" w:beforeAutospacing="1" w:after="100" w:afterAutospacing="1"/>
    </w:pPr>
    <w:rPr>
      <w:rFonts w:ascii="Verdana" w:hAnsi="Verdana"/>
      <w:b/>
      <w:bCs/>
      <w:color w:val="1E6AC2"/>
      <w:sz w:val="12"/>
      <w:szCs w:val="12"/>
      <w:lang w:val="es-ES"/>
    </w:rPr>
  </w:style>
  <w:style w:type="paragraph" w:customStyle="1" w:styleId="subtitleazul">
    <w:name w:val="subtitle_azul"/>
    <w:basedOn w:val="Normal"/>
    <w:uiPriority w:val="99"/>
    <w:rsid w:val="00C60E4B"/>
    <w:pPr>
      <w:spacing w:before="100" w:beforeAutospacing="1" w:after="100" w:afterAutospacing="1"/>
    </w:pPr>
    <w:rPr>
      <w:rFonts w:ascii="Verdana" w:hAnsi="Verdana"/>
      <w:b/>
      <w:bCs/>
      <w:color w:val="1E6AC2"/>
      <w:sz w:val="10"/>
      <w:szCs w:val="10"/>
      <w:lang w:val="es-ES"/>
    </w:rPr>
  </w:style>
  <w:style w:type="paragraph" w:customStyle="1" w:styleId="txtgral">
    <w:name w:val="txt_gral"/>
    <w:basedOn w:val="Normal"/>
    <w:uiPriority w:val="99"/>
    <w:rsid w:val="00C60E4B"/>
    <w:pPr>
      <w:spacing w:before="100" w:beforeAutospacing="1" w:after="100" w:afterAutospacing="1"/>
    </w:pPr>
    <w:rPr>
      <w:rFonts w:ascii="Verdana" w:hAnsi="Verdana"/>
      <w:color w:val="595959"/>
      <w:sz w:val="11"/>
      <w:szCs w:val="11"/>
      <w:lang w:val="es-ES"/>
    </w:rPr>
  </w:style>
  <w:style w:type="paragraph" w:customStyle="1" w:styleId="actualizacion">
    <w:name w:val="actualizacion"/>
    <w:basedOn w:val="Normal"/>
    <w:uiPriority w:val="99"/>
    <w:rsid w:val="00C60E4B"/>
    <w:pPr>
      <w:spacing w:before="100" w:beforeAutospacing="1" w:after="100" w:afterAutospacing="1"/>
    </w:pPr>
    <w:rPr>
      <w:rFonts w:ascii="Verdana" w:hAnsi="Verdana"/>
      <w:color w:val="808080"/>
      <w:sz w:val="9"/>
      <w:szCs w:val="9"/>
      <w:lang w:val="es-ES"/>
    </w:rPr>
  </w:style>
  <w:style w:type="paragraph" w:customStyle="1" w:styleId="Piedepgina1">
    <w:name w:val="Pie de página1"/>
    <w:basedOn w:val="Normal"/>
    <w:rsid w:val="00C60E4B"/>
    <w:pPr>
      <w:spacing w:before="100" w:beforeAutospacing="1" w:after="100" w:afterAutospacing="1"/>
    </w:pPr>
    <w:rPr>
      <w:rFonts w:ascii="Verdana" w:hAnsi="Verdana"/>
      <w:color w:val="FFFFFF"/>
      <w:sz w:val="9"/>
      <w:szCs w:val="9"/>
      <w:lang w:val="es-ES"/>
    </w:rPr>
  </w:style>
  <w:style w:type="paragraph" w:customStyle="1" w:styleId="footer2">
    <w:name w:val="footer2"/>
    <w:basedOn w:val="Normal"/>
    <w:rsid w:val="00C60E4B"/>
    <w:pPr>
      <w:spacing w:before="100" w:beforeAutospacing="1" w:after="100" w:afterAutospacing="1"/>
    </w:pPr>
    <w:rPr>
      <w:rFonts w:ascii="Verdana" w:hAnsi="Verdana"/>
      <w:color w:val="BABABA"/>
      <w:sz w:val="9"/>
      <w:szCs w:val="9"/>
      <w:lang w:val="es-ES"/>
    </w:rPr>
  </w:style>
  <w:style w:type="paragraph" w:customStyle="1" w:styleId="menusuperiorinicio">
    <w:name w:val="menu_superior_inicio"/>
    <w:basedOn w:val="Normal"/>
    <w:uiPriority w:val="99"/>
    <w:rsid w:val="00C60E4B"/>
    <w:pPr>
      <w:spacing w:before="100" w:beforeAutospacing="1" w:after="100" w:afterAutospacing="1"/>
    </w:pPr>
    <w:rPr>
      <w:lang w:val="es-ES"/>
    </w:rPr>
  </w:style>
  <w:style w:type="paragraph" w:customStyle="1" w:styleId="menusuperiormapadelsitio">
    <w:name w:val="menu_superior_mapadelsitio"/>
    <w:basedOn w:val="Normal"/>
    <w:uiPriority w:val="99"/>
    <w:rsid w:val="00C60E4B"/>
    <w:pPr>
      <w:spacing w:before="100" w:beforeAutospacing="1" w:after="100" w:afterAutospacing="1"/>
    </w:pPr>
    <w:rPr>
      <w:lang w:val="es-ES"/>
    </w:rPr>
  </w:style>
  <w:style w:type="paragraph" w:customStyle="1" w:styleId="menusuperiorcontacto">
    <w:name w:val="menu_superior_contacto"/>
    <w:basedOn w:val="Normal"/>
    <w:uiPriority w:val="99"/>
    <w:rsid w:val="00C60E4B"/>
    <w:pPr>
      <w:spacing w:before="100" w:beforeAutospacing="1" w:after="100" w:afterAutospacing="1"/>
    </w:pPr>
    <w:rPr>
      <w:lang w:val="es-ES"/>
    </w:rPr>
  </w:style>
  <w:style w:type="paragraph" w:customStyle="1" w:styleId="menusuperiorespaniol">
    <w:name w:val="menu_superior_espaniol"/>
    <w:basedOn w:val="Normal"/>
    <w:uiPriority w:val="99"/>
    <w:rsid w:val="00C60E4B"/>
    <w:pPr>
      <w:spacing w:before="100" w:beforeAutospacing="1" w:after="100" w:afterAutospacing="1"/>
    </w:pPr>
    <w:rPr>
      <w:lang w:val="es-ES"/>
    </w:rPr>
  </w:style>
  <w:style w:type="paragraph" w:customStyle="1" w:styleId="menusuperioringles">
    <w:name w:val="menu_superior_ingles"/>
    <w:basedOn w:val="Normal"/>
    <w:uiPriority w:val="99"/>
    <w:rsid w:val="00C60E4B"/>
    <w:pPr>
      <w:spacing w:before="100" w:beforeAutospacing="1" w:after="100" w:afterAutospacing="1"/>
    </w:pPr>
    <w:rPr>
      <w:lang w:val="es-ES"/>
    </w:rPr>
  </w:style>
  <w:style w:type="paragraph" w:customStyle="1" w:styleId="form">
    <w:name w:val="form"/>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2">
    <w:name w:val="form2"/>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3">
    <w:name w:val="form3"/>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4">
    <w:name w:val="form4"/>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5">
    <w:name w:val="form5"/>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6">
    <w:name w:val="form6"/>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7">
    <w:name w:val="form7"/>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form8">
    <w:name w:val="form8"/>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combo">
    <w:name w:val="combo"/>
    <w:basedOn w:val="Normal"/>
    <w:uiPriority w:val="99"/>
    <w:rsid w:val="00C60E4B"/>
    <w:pPr>
      <w:spacing w:before="100" w:beforeAutospacing="1" w:after="100" w:afterAutospacing="1"/>
    </w:pPr>
    <w:rPr>
      <w:rFonts w:ascii="Verdana" w:hAnsi="Verdana"/>
      <w:color w:val="6EABD8"/>
      <w:sz w:val="10"/>
      <w:szCs w:val="10"/>
      <w:lang w:val="es-ES"/>
    </w:rPr>
  </w:style>
  <w:style w:type="paragraph" w:customStyle="1" w:styleId="breadcrum">
    <w:name w:val="breadcrum"/>
    <w:basedOn w:val="Normal"/>
    <w:uiPriority w:val="99"/>
    <w:rsid w:val="00C60E4B"/>
    <w:pPr>
      <w:spacing w:before="100" w:beforeAutospacing="1" w:after="100" w:afterAutospacing="1"/>
    </w:pPr>
    <w:rPr>
      <w:rFonts w:ascii="Verdana" w:hAnsi="Verdana"/>
      <w:color w:val="67A7D7"/>
      <w:sz w:val="10"/>
      <w:szCs w:val="10"/>
      <w:lang w:val="es-ES"/>
    </w:rPr>
  </w:style>
  <w:style w:type="paragraph" w:customStyle="1" w:styleId="titulo20">
    <w:name w:val="titulo_2"/>
    <w:basedOn w:val="Normal"/>
    <w:uiPriority w:val="99"/>
    <w:rsid w:val="00C60E4B"/>
    <w:pPr>
      <w:pBdr>
        <w:top w:val="single" w:sz="6" w:space="0" w:color="000000"/>
      </w:pBdr>
      <w:spacing w:before="100" w:beforeAutospacing="1" w:after="101"/>
      <w:jc w:val="both"/>
    </w:pPr>
    <w:rPr>
      <w:rFonts w:ascii="Arial" w:hAnsi="Arial" w:cs="Arial"/>
      <w:sz w:val="18"/>
      <w:szCs w:val="18"/>
      <w:lang w:val="es-ES"/>
    </w:rPr>
  </w:style>
  <w:style w:type="paragraph" w:customStyle="1" w:styleId="romanos0">
    <w:name w:val="romanos"/>
    <w:basedOn w:val="Normal"/>
    <w:uiPriority w:val="99"/>
    <w:rsid w:val="00C60E4B"/>
    <w:pPr>
      <w:spacing w:before="100" w:beforeAutospacing="1" w:after="101"/>
      <w:ind w:left="720" w:hanging="432"/>
      <w:jc w:val="both"/>
    </w:pPr>
    <w:rPr>
      <w:rFonts w:ascii="Arial" w:hAnsi="Arial" w:cs="Arial"/>
      <w:sz w:val="18"/>
      <w:szCs w:val="18"/>
      <w:lang w:val="es-ES"/>
    </w:rPr>
  </w:style>
  <w:style w:type="paragraph" w:customStyle="1" w:styleId="fechas0">
    <w:name w:val="fechas"/>
    <w:basedOn w:val="Normal"/>
    <w:uiPriority w:val="99"/>
    <w:rsid w:val="00C60E4B"/>
    <w:pPr>
      <w:pBdr>
        <w:bottom w:val="single" w:sz="6" w:space="0" w:color="000000"/>
      </w:pBdr>
      <w:spacing w:before="100" w:beforeAutospacing="1" w:after="101"/>
      <w:ind w:left="288" w:right="288"/>
      <w:jc w:val="both"/>
    </w:pPr>
    <w:rPr>
      <w:rFonts w:ascii="Arial" w:hAnsi="Arial" w:cs="Arial"/>
      <w:sz w:val="18"/>
      <w:szCs w:val="18"/>
      <w:lang w:val="es-ES"/>
    </w:rPr>
  </w:style>
  <w:style w:type="paragraph" w:customStyle="1" w:styleId="inciso0">
    <w:name w:val="inciso"/>
    <w:basedOn w:val="Normal"/>
    <w:uiPriority w:val="99"/>
    <w:rsid w:val="00C60E4B"/>
    <w:pPr>
      <w:spacing w:before="100" w:beforeAutospacing="1" w:after="101"/>
      <w:ind w:left="1080" w:hanging="360"/>
      <w:jc w:val="both"/>
    </w:pPr>
    <w:rPr>
      <w:rFonts w:ascii="Arial" w:hAnsi="Arial" w:cs="Arial"/>
      <w:sz w:val="18"/>
      <w:szCs w:val="18"/>
      <w:lang w:val="es-ES"/>
    </w:rPr>
  </w:style>
  <w:style w:type="paragraph" w:customStyle="1" w:styleId="titulo10">
    <w:name w:val="titulo_1"/>
    <w:basedOn w:val="Normal"/>
    <w:uiPriority w:val="99"/>
    <w:rsid w:val="00C60E4B"/>
    <w:pPr>
      <w:pBdr>
        <w:bottom w:val="single" w:sz="12" w:space="0" w:color="000000"/>
      </w:pBdr>
      <w:spacing w:before="120"/>
      <w:jc w:val="both"/>
    </w:pPr>
    <w:rPr>
      <w:b/>
      <w:bCs/>
      <w:sz w:val="18"/>
      <w:szCs w:val="18"/>
      <w:lang w:val="es-ES"/>
    </w:rPr>
  </w:style>
  <w:style w:type="paragraph" w:customStyle="1" w:styleId="anotacion1">
    <w:name w:val="anotacion"/>
    <w:basedOn w:val="Normal"/>
    <w:uiPriority w:val="99"/>
    <w:rsid w:val="00C60E4B"/>
    <w:pPr>
      <w:spacing w:before="101" w:after="101"/>
      <w:jc w:val="center"/>
    </w:pPr>
    <w:rPr>
      <w:b/>
      <w:bCs/>
      <w:sz w:val="18"/>
      <w:szCs w:val="18"/>
      <w:lang w:val="es-ES"/>
    </w:rPr>
  </w:style>
  <w:style w:type="paragraph" w:customStyle="1" w:styleId="Normal1">
    <w:name w:val="Normal1"/>
    <w:basedOn w:val="Normal"/>
    <w:uiPriority w:val="99"/>
    <w:rsid w:val="00C60E4B"/>
    <w:pPr>
      <w:spacing w:before="100" w:beforeAutospacing="1" w:after="100" w:afterAutospacing="1"/>
    </w:pPr>
    <w:rPr>
      <w:lang w:val="es-ES"/>
    </w:rPr>
  </w:style>
  <w:style w:type="paragraph" w:customStyle="1" w:styleId="Encabezado1">
    <w:name w:val="Encabezado1"/>
    <w:basedOn w:val="Normal"/>
    <w:rsid w:val="00C60E4B"/>
    <w:pPr>
      <w:spacing w:before="100" w:beforeAutospacing="1" w:after="100" w:afterAutospacing="1"/>
    </w:pPr>
    <w:rPr>
      <w:lang w:val="es-ES"/>
    </w:rPr>
  </w:style>
  <w:style w:type="paragraph" w:customStyle="1" w:styleId="combos">
    <w:name w:val="combos"/>
    <w:basedOn w:val="Normal"/>
    <w:uiPriority w:val="99"/>
    <w:rsid w:val="00C60E4B"/>
    <w:pPr>
      <w:spacing w:before="100" w:beforeAutospacing="1" w:after="100" w:afterAutospacing="1"/>
    </w:pPr>
    <w:rPr>
      <w:lang w:val="es-ES"/>
    </w:rPr>
  </w:style>
  <w:style w:type="paragraph" w:customStyle="1" w:styleId="previousdays">
    <w:name w:val="previousdays"/>
    <w:basedOn w:val="Normal"/>
    <w:uiPriority w:val="99"/>
    <w:rsid w:val="00C60E4B"/>
    <w:pPr>
      <w:spacing w:before="100" w:beforeAutospacing="1" w:after="100" w:afterAutospacing="1"/>
    </w:pPr>
    <w:rPr>
      <w:lang w:val="es-ES"/>
    </w:rPr>
  </w:style>
  <w:style w:type="paragraph" w:customStyle="1" w:styleId="actualdays">
    <w:name w:val="actualdays"/>
    <w:basedOn w:val="Normal"/>
    <w:uiPriority w:val="99"/>
    <w:rsid w:val="00C60E4B"/>
    <w:pPr>
      <w:spacing w:before="100" w:beforeAutospacing="1" w:after="100" w:afterAutospacing="1"/>
    </w:pPr>
    <w:rPr>
      <w:lang w:val="es-ES"/>
    </w:rPr>
  </w:style>
  <w:style w:type="paragraph" w:customStyle="1" w:styleId="actualdayslink">
    <w:name w:val="actualdayslink"/>
    <w:basedOn w:val="Normal"/>
    <w:uiPriority w:val="99"/>
    <w:rsid w:val="00C60E4B"/>
    <w:pPr>
      <w:spacing w:before="100" w:beforeAutospacing="1" w:after="100" w:afterAutospacing="1"/>
    </w:pPr>
    <w:rPr>
      <w:lang w:val="es-ES"/>
    </w:rPr>
  </w:style>
  <w:style w:type="paragraph" w:customStyle="1" w:styleId="today">
    <w:name w:val="today"/>
    <w:basedOn w:val="Normal"/>
    <w:uiPriority w:val="99"/>
    <w:rsid w:val="00C60E4B"/>
    <w:pPr>
      <w:spacing w:before="100" w:beforeAutospacing="1" w:after="100" w:afterAutospacing="1"/>
    </w:pPr>
    <w:rPr>
      <w:lang w:val="es-ES"/>
    </w:rPr>
  </w:style>
  <w:style w:type="paragraph" w:customStyle="1" w:styleId="nextdays">
    <w:name w:val="nextdays"/>
    <w:basedOn w:val="Normal"/>
    <w:uiPriority w:val="99"/>
    <w:rsid w:val="00C60E4B"/>
    <w:pPr>
      <w:spacing w:before="100" w:beforeAutospacing="1" w:after="100" w:afterAutospacing="1"/>
    </w:pPr>
    <w:rPr>
      <w:lang w:val="es-ES"/>
    </w:rPr>
  </w:style>
  <w:style w:type="paragraph" w:customStyle="1" w:styleId="header1">
    <w:name w:val="header1"/>
    <w:basedOn w:val="Normal"/>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combos1">
    <w:name w:val="combos1"/>
    <w:basedOn w:val="Normal"/>
    <w:uiPriority w:val="99"/>
    <w:rsid w:val="00C60E4B"/>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previousdays1">
    <w:name w:val="previous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paragraph" w:customStyle="1" w:styleId="actualdays1">
    <w:name w:val="actualdays1"/>
    <w:basedOn w:val="Normal"/>
    <w:uiPriority w:val="99"/>
    <w:rsid w:val="00C60E4B"/>
    <w:pPr>
      <w:spacing w:before="100" w:beforeAutospacing="1" w:after="100" w:afterAutospacing="1"/>
      <w:jc w:val="center"/>
    </w:pPr>
    <w:rPr>
      <w:rFonts w:ascii="Verdana" w:hAnsi="Verdana"/>
      <w:color w:val="58595A"/>
      <w:sz w:val="10"/>
      <w:szCs w:val="10"/>
      <w:lang w:val="es-ES"/>
    </w:rPr>
  </w:style>
  <w:style w:type="paragraph" w:customStyle="1" w:styleId="actualdayslink1">
    <w:name w:val="actualdayslink1"/>
    <w:basedOn w:val="Normal"/>
    <w:uiPriority w:val="99"/>
    <w:rsid w:val="00C60E4B"/>
    <w:pPr>
      <w:spacing w:before="100" w:beforeAutospacing="1" w:after="100" w:afterAutospacing="1"/>
      <w:jc w:val="center"/>
    </w:pPr>
    <w:rPr>
      <w:rFonts w:ascii="Verdana" w:hAnsi="Verdana"/>
      <w:sz w:val="10"/>
      <w:szCs w:val="10"/>
      <w:lang w:val="es-ES"/>
    </w:rPr>
  </w:style>
  <w:style w:type="paragraph" w:customStyle="1" w:styleId="today1">
    <w:name w:val="today1"/>
    <w:basedOn w:val="Normal"/>
    <w:uiPriority w:val="99"/>
    <w:rsid w:val="00C60E4B"/>
    <w:pPr>
      <w:shd w:val="clear" w:color="auto" w:fill="E9E9E9"/>
      <w:spacing w:before="100" w:beforeAutospacing="1" w:after="100" w:afterAutospacing="1"/>
      <w:jc w:val="center"/>
    </w:pPr>
    <w:rPr>
      <w:rFonts w:ascii="Verdana" w:hAnsi="Verdana"/>
      <w:b/>
      <w:bCs/>
      <w:color w:val="FF0000"/>
      <w:sz w:val="10"/>
      <w:szCs w:val="10"/>
      <w:lang w:val="es-ES"/>
    </w:rPr>
  </w:style>
  <w:style w:type="paragraph" w:customStyle="1" w:styleId="nextdays1">
    <w:name w:val="nextdays1"/>
    <w:basedOn w:val="Normal"/>
    <w:uiPriority w:val="99"/>
    <w:rsid w:val="00C60E4B"/>
    <w:pPr>
      <w:spacing w:before="100" w:beforeAutospacing="1" w:after="100" w:afterAutospacing="1"/>
      <w:jc w:val="center"/>
    </w:pPr>
    <w:rPr>
      <w:rFonts w:ascii="Verdana" w:hAnsi="Verdana"/>
      <w:color w:val="A3A3A3"/>
      <w:sz w:val="10"/>
      <w:szCs w:val="10"/>
      <w:lang w:val="es-ES"/>
    </w:rPr>
  </w:style>
  <w:style w:type="numbering" w:customStyle="1" w:styleId="Sinlista17">
    <w:name w:val="Sin lista17"/>
    <w:next w:val="Sinlista"/>
    <w:semiHidden/>
    <w:rsid w:val="002A4BE1"/>
  </w:style>
  <w:style w:type="table" w:customStyle="1" w:styleId="Tablaconcuadrcula20">
    <w:name w:val="Tabla con cuadrícula20"/>
    <w:basedOn w:val="Tablanormal"/>
    <w:next w:val="Tablaconcuadrcula"/>
    <w:rsid w:val="002A4BE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
    <w:name w:val="Sin lista18"/>
    <w:next w:val="Sinlista"/>
    <w:semiHidden/>
    <w:rsid w:val="002A4BE1"/>
  </w:style>
  <w:style w:type="table" w:customStyle="1" w:styleId="Tablaconcuadrcula110">
    <w:name w:val="Tabla con cuadrícula110"/>
    <w:basedOn w:val="Tablanormal"/>
    <w:next w:val="Tablaconcuadrcula"/>
    <w:rsid w:val="002A4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inlista"/>
    <w:rsid w:val="002A4BE1"/>
  </w:style>
  <w:style w:type="numbering" w:customStyle="1" w:styleId="Sinlista19">
    <w:name w:val="Sin lista19"/>
    <w:next w:val="Sinlista"/>
    <w:semiHidden/>
    <w:unhideWhenUsed/>
    <w:rsid w:val="008E5F5C"/>
  </w:style>
  <w:style w:type="table" w:customStyle="1" w:styleId="Tablaconcuadrcula207">
    <w:name w:val="Tabla con cuadrícula207"/>
    <w:basedOn w:val="Tablanormal"/>
    <w:next w:val="Tablaconcuadrcula"/>
    <w:rsid w:val="008E5F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rsid w:val="008E5F5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pskipnav">
    <w:name w:val="ep_skipnav"/>
    <w:basedOn w:val="Normal"/>
    <w:uiPriority w:val="99"/>
    <w:rsid w:val="005900B0"/>
    <w:pPr>
      <w:spacing w:before="100" w:beforeAutospacing="1" w:after="100" w:afterAutospacing="1"/>
    </w:pPr>
    <w:rPr>
      <w:vanish/>
      <w:sz w:val="31"/>
      <w:szCs w:val="31"/>
      <w:lang w:val="es-ES"/>
    </w:rPr>
  </w:style>
  <w:style w:type="character" w:customStyle="1" w:styleId="Ttulo2Car">
    <w:name w:val="Título 2 Car"/>
    <w:basedOn w:val="Fuentedeprrafopredeter"/>
    <w:link w:val="Ttulo2"/>
    <w:uiPriority w:val="9"/>
    <w:rsid w:val="00413240"/>
    <w:rPr>
      <w:b/>
      <w:bCs/>
      <w:sz w:val="16"/>
      <w:szCs w:val="26"/>
      <w:lang w:val="es-ES" w:eastAsia="es-ES" w:bidi="ar-SA"/>
    </w:rPr>
  </w:style>
  <w:style w:type="table" w:customStyle="1" w:styleId="Tablaconcuadrcula25">
    <w:name w:val="Tabla con cuadrícula25"/>
    <w:basedOn w:val="Tablanormal"/>
    <w:next w:val="Tablaconcuadrcula"/>
    <w:rsid w:val="0043085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
    <w:name w:val="Tabla con cuadrícula26"/>
    <w:basedOn w:val="Tablanormal"/>
    <w:next w:val="Tablaconcuadrcula"/>
    <w:rsid w:val="006C4C3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PR1stpagetitle">
    <w:name w:val="TPR1st page title"/>
    <w:basedOn w:val="Normal"/>
    <w:uiPriority w:val="99"/>
    <w:rsid w:val="002418CB"/>
    <w:pPr>
      <w:tabs>
        <w:tab w:val="left" w:pos="720"/>
      </w:tabs>
      <w:jc w:val="center"/>
    </w:pPr>
    <w:rPr>
      <w:b/>
      <w:kern w:val="36"/>
      <w:sz w:val="36"/>
      <w:szCs w:val="20"/>
      <w:lang w:val="es-ES" w:eastAsia="en-US"/>
    </w:rPr>
  </w:style>
  <w:style w:type="paragraph" w:customStyle="1" w:styleId="bodytext">
    <w:name w:val="bodytext"/>
    <w:basedOn w:val="Normal"/>
    <w:uiPriority w:val="99"/>
    <w:rsid w:val="004E651E"/>
    <w:pPr>
      <w:spacing w:before="100" w:beforeAutospacing="1" w:after="100" w:afterAutospacing="1"/>
    </w:pPr>
    <w:rPr>
      <w:lang w:val="es-ES"/>
    </w:rPr>
  </w:style>
  <w:style w:type="table" w:customStyle="1" w:styleId="Tablaconcuadrcula27">
    <w:name w:val="Tabla con cuadrícula27"/>
    <w:basedOn w:val="Tablanormal"/>
    <w:next w:val="Tablaconcuadrcula"/>
    <w:rsid w:val="0073496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rsid w:val="008B10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
    <w:name w:val="Sin lista20"/>
    <w:next w:val="Sinlista"/>
    <w:semiHidden/>
    <w:rsid w:val="004900C9"/>
  </w:style>
  <w:style w:type="character" w:customStyle="1" w:styleId="red1">
    <w:name w:val="red1"/>
    <w:basedOn w:val="Fuentedeprrafopredeter"/>
    <w:rsid w:val="004900C9"/>
    <w:rPr>
      <w:color w:val="993300"/>
    </w:rPr>
  </w:style>
  <w:style w:type="table" w:customStyle="1" w:styleId="Tablaconcuadrcula29">
    <w:name w:val="Tabla con cuadrícula29"/>
    <w:basedOn w:val="Tablanormal"/>
    <w:next w:val="Tablaconcuadrcula"/>
    <w:rsid w:val="004900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rsid w:val="00E07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 11"/>
    <w:basedOn w:val="Tablanormal"/>
    <w:next w:val="Tablaconcuadrcula10"/>
    <w:rsid w:val="00025A3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
    <w:name w:val="Sin lista21"/>
    <w:next w:val="Sinlista"/>
    <w:semiHidden/>
    <w:rsid w:val="00EA6632"/>
  </w:style>
  <w:style w:type="table" w:customStyle="1" w:styleId="Tablaconcuadrcula120">
    <w:name w:val="Tabla con cuadrícula 12"/>
    <w:basedOn w:val="Tablanormal"/>
    <w:next w:val="Tablaconcuadrcula10"/>
    <w:rsid w:val="00EA663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0">
    <w:name w:val="Tabla con cuadrícula 13"/>
    <w:basedOn w:val="Tablanormal"/>
    <w:next w:val="Tablaconcuadrcula10"/>
    <w:rsid w:val="00E2779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
    <w:name w:val="Tabla con cuadrícula31"/>
    <w:basedOn w:val="Tablanormal"/>
    <w:next w:val="Tablaconcuadrcula"/>
    <w:rsid w:val="004967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rsid w:val="00B67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next w:val="Tablaconcuadrcula"/>
    <w:rsid w:val="002B6D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
    <w:name w:val="Tabla con cuadrícula 14"/>
    <w:basedOn w:val="Tablanormal"/>
    <w:next w:val="Tablaconcuadrcula10"/>
    <w:rsid w:val="002B6DE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
    <w:name w:val="Tabla con cuadrícula34"/>
    <w:basedOn w:val="Tablanormal"/>
    <w:next w:val="Tablaconcuadrcula"/>
    <w:rsid w:val="009D68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
    <w:name w:val="Tabla con cuadrícula 15"/>
    <w:basedOn w:val="Tablanormal"/>
    <w:next w:val="Tablaconcuadrcula10"/>
    <w:rsid w:val="005E0A4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
    <w:name w:val="Tabla con cuadrícula35"/>
    <w:basedOn w:val="Tablanormal"/>
    <w:next w:val="Tablaconcuadrcula"/>
    <w:rsid w:val="002E77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rsid w:val="00A53CD8"/>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rsid w:val="005F670C"/>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semiHidden/>
    <w:rsid w:val="00FA0260"/>
  </w:style>
  <w:style w:type="numbering" w:customStyle="1" w:styleId="Sinlista23">
    <w:name w:val="Sin lista23"/>
    <w:next w:val="Sinlista"/>
    <w:semiHidden/>
    <w:rsid w:val="001972BE"/>
  </w:style>
  <w:style w:type="table" w:customStyle="1" w:styleId="Tablaconcuadrcula38">
    <w:name w:val="Tabla con cuadrícula38"/>
    <w:basedOn w:val="Tablanormal"/>
    <w:next w:val="Tablaconcuadrcula"/>
    <w:rsid w:val="001972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rsid w:val="00D437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semiHidden/>
    <w:rsid w:val="004A5C94"/>
  </w:style>
  <w:style w:type="numbering" w:customStyle="1" w:styleId="Sinlista25">
    <w:name w:val="Sin lista25"/>
    <w:next w:val="Sinlista"/>
    <w:semiHidden/>
    <w:rsid w:val="0022559F"/>
  </w:style>
  <w:style w:type="numbering" w:customStyle="1" w:styleId="Sinlista26">
    <w:name w:val="Sin lista26"/>
    <w:next w:val="Sinlista"/>
    <w:semiHidden/>
    <w:rsid w:val="00A601A8"/>
  </w:style>
  <w:style w:type="table" w:customStyle="1" w:styleId="Tablaconcuadrcula40">
    <w:name w:val="Tabla con cuadrícula40"/>
    <w:basedOn w:val="Tablanormal"/>
    <w:next w:val="Tablaconcuadrcula"/>
    <w:rsid w:val="00A601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
    <w:name w:val="Sin lista27"/>
    <w:next w:val="Sinlista"/>
    <w:semiHidden/>
    <w:rsid w:val="004F6E1D"/>
  </w:style>
  <w:style w:type="table" w:customStyle="1" w:styleId="Tablaconcuadrcula41">
    <w:name w:val="Tabla con cuadrícula41"/>
    <w:basedOn w:val="Tablanormal"/>
    <w:next w:val="Tablaconcuadrcula"/>
    <w:rsid w:val="004F6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rsid w:val="000778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rsid w:val="009D04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rsid w:val="002F0F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 16"/>
    <w:basedOn w:val="Tablanormal"/>
    <w:next w:val="Tablaconcuadrcula10"/>
    <w:rsid w:val="0071070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
    <w:name w:val="Tabla con cuadrícula45"/>
    <w:basedOn w:val="Tablanormal"/>
    <w:next w:val="Tablaconcuadrcula"/>
    <w:rsid w:val="00087A4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rsid w:val="00EC2D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next w:val="Tablaconcuadrcula"/>
    <w:rsid w:val="00F13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next w:val="Tablaconcuadrcula"/>
    <w:rsid w:val="004A7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next w:val="Tablaconcuadrcula"/>
    <w:rsid w:val="003B3D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semiHidden/>
    <w:rsid w:val="003924DE"/>
  </w:style>
  <w:style w:type="paragraph" w:customStyle="1" w:styleId="Textoindependiente4">
    <w:name w:val="Texto independiente 4"/>
    <w:basedOn w:val="Normal"/>
    <w:uiPriority w:val="99"/>
    <w:rsid w:val="003924DE"/>
    <w:pPr>
      <w:tabs>
        <w:tab w:val="num" w:pos="2160"/>
      </w:tabs>
      <w:spacing w:after="240"/>
      <w:ind w:left="2160" w:hanging="720"/>
      <w:jc w:val="both"/>
    </w:pPr>
    <w:rPr>
      <w:rFonts w:eastAsia="Times New Roman"/>
      <w:sz w:val="22"/>
      <w:szCs w:val="22"/>
      <w:lang w:val="es-ES"/>
    </w:rPr>
  </w:style>
  <w:style w:type="table" w:customStyle="1" w:styleId="Tablaconcuadrcula50">
    <w:name w:val="Tabla con cuadrícula50"/>
    <w:basedOn w:val="Tablanormal"/>
    <w:next w:val="Tablaconcuadrcula"/>
    <w:rsid w:val="003924DE"/>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
    <w:name w:val="Tabla con cuadrícula501"/>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
    <w:name w:val="Tabla con cuadrícula 17"/>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0">
    <w:name w:val="Tabla con cuadrícula 18"/>
    <w:basedOn w:val="Tablanormal"/>
    <w:next w:val="Tablaconcuadrcula10"/>
    <w:rsid w:val="00C80B1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
    <w:name w:val="Tabla con cuadrícula53"/>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
    <w:name w:val="Tabla con cuadrícula502"/>
    <w:basedOn w:val="Tablanormal"/>
    <w:next w:val="Tablaconcuadrcula"/>
    <w:rsid w:val="00C80B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
    <w:name w:val="Sin lista29"/>
    <w:next w:val="Sinlista"/>
    <w:semiHidden/>
    <w:rsid w:val="000A5FF6"/>
  </w:style>
  <w:style w:type="table" w:customStyle="1" w:styleId="Tablaconcuadrcula54">
    <w:name w:val="Tabla con cuadrícula54"/>
    <w:basedOn w:val="Tablanormal"/>
    <w:next w:val="Tablaconcuadrcula"/>
    <w:rsid w:val="00BB59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uiestudiosfecha">
    <w:name w:val="data ui_estudios_fecha"/>
    <w:basedOn w:val="Normal"/>
    <w:uiPriority w:val="99"/>
    <w:rsid w:val="003B6C44"/>
    <w:pPr>
      <w:spacing w:before="100" w:beforeAutospacing="1" w:after="100" w:afterAutospacing="1"/>
    </w:pPr>
    <w:rPr>
      <w:rFonts w:eastAsia="Times New Roman"/>
      <w:lang w:val="es-ES"/>
    </w:rPr>
  </w:style>
  <w:style w:type="table" w:customStyle="1" w:styleId="Tablaconcuadrcula55">
    <w:name w:val="Tabla con cuadrícula55"/>
    <w:basedOn w:val="Tablanormal"/>
    <w:next w:val="Tablaconcuadrcula"/>
    <w:rsid w:val="003B6C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 19"/>
    <w:basedOn w:val="Tablanormal"/>
    <w:next w:val="Tablaconcuadrcula10"/>
    <w:rsid w:val="0084258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
    <w:name w:val="Tabla con cuadrícula56"/>
    <w:basedOn w:val="Tablanormal"/>
    <w:next w:val="Tablaconcuadrcula"/>
    <w:rsid w:val="00C4476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
    <w:name w:val="Sin lista30"/>
    <w:next w:val="Sinlista"/>
    <w:semiHidden/>
    <w:rsid w:val="00E945D8"/>
  </w:style>
  <w:style w:type="table" w:customStyle="1" w:styleId="Tablaconcuadrcula1100">
    <w:name w:val="Tabla con cuadrícula 110"/>
    <w:basedOn w:val="Tablanormal"/>
    <w:next w:val="Tablaconcuadrcula10"/>
    <w:rsid w:val="00F0097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
    <w:name w:val="Sin lista31"/>
    <w:next w:val="Sinlista"/>
    <w:semiHidden/>
    <w:rsid w:val="00CA7C6B"/>
  </w:style>
  <w:style w:type="table" w:customStyle="1" w:styleId="Tablaconcuadrcula57">
    <w:name w:val="Tabla con cuadrícula57"/>
    <w:basedOn w:val="Tablanormal"/>
    <w:next w:val="Tablaconcuadrcula"/>
    <w:rsid w:val="00CA7C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
    <w:name w:val="Tabla con cuadrícula58"/>
    <w:basedOn w:val="Tablanormal"/>
    <w:next w:val="Tablaconcuadrcula"/>
    <w:rsid w:val="008C4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
    <w:name w:val="Tabla con cuadrícula59"/>
    <w:basedOn w:val="Tablanormal"/>
    <w:next w:val="Tablaconcuadrcula"/>
    <w:rsid w:val="009C2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
    <w:name w:val="Tabla con cuadrícula60"/>
    <w:basedOn w:val="Tablanormal"/>
    <w:next w:val="Tablaconcuadrcula"/>
    <w:rsid w:val="00E367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rsid w:val="00A83A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rsid w:val="002F1B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semiHidden/>
    <w:rsid w:val="001B51E5"/>
  </w:style>
  <w:style w:type="table" w:customStyle="1" w:styleId="Tablaconcuadrcula63">
    <w:name w:val="Tabla con cuadrícula63"/>
    <w:basedOn w:val="Tablanormal"/>
    <w:next w:val="Tablaconcuadrcula"/>
    <w:rsid w:val="001B51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next w:val="Tablaconcuadrcula"/>
    <w:rsid w:val="00100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semiHidden/>
    <w:unhideWhenUsed/>
    <w:rsid w:val="00E878FA"/>
  </w:style>
  <w:style w:type="table" w:customStyle="1" w:styleId="Tablaconcuadrcula65">
    <w:name w:val="Tabla con cuadrícula65"/>
    <w:basedOn w:val="Tablanormal"/>
    <w:next w:val="Tablaconcuadrcula"/>
    <w:rsid w:val="00E878F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
    <w:name w:val="Sin lista34"/>
    <w:next w:val="Sinlista"/>
    <w:semiHidden/>
    <w:rsid w:val="00D84E42"/>
  </w:style>
  <w:style w:type="numbering" w:customStyle="1" w:styleId="Sinlista35">
    <w:name w:val="Sin lista35"/>
    <w:next w:val="Sinlista"/>
    <w:semiHidden/>
    <w:rsid w:val="004475AF"/>
  </w:style>
  <w:style w:type="table" w:customStyle="1" w:styleId="Tablaconcuadrcula66">
    <w:name w:val="Tabla con cuadrícula66"/>
    <w:basedOn w:val="Tablanormal"/>
    <w:next w:val="Tablaconcuadrcula"/>
    <w:rsid w:val="004475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
    <w:name w:val="Sin lista36"/>
    <w:next w:val="Sinlista"/>
    <w:semiHidden/>
    <w:rsid w:val="00731ED8"/>
  </w:style>
  <w:style w:type="table" w:customStyle="1" w:styleId="Tablaconcuadrcula67">
    <w:name w:val="Tabla con cuadrícula67"/>
    <w:basedOn w:val="Tablanormal"/>
    <w:next w:val="Tablaconcuadrcula"/>
    <w:rsid w:val="00731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
    <w:name w:val="Sin lista37"/>
    <w:next w:val="Sinlista"/>
    <w:semiHidden/>
    <w:rsid w:val="00CB70E2"/>
  </w:style>
  <w:style w:type="table" w:customStyle="1" w:styleId="Tablaconcuadrcula68">
    <w:name w:val="Tabla con cuadrícula68"/>
    <w:basedOn w:val="Tablanormal"/>
    <w:next w:val="Tablaconcuadrcula"/>
    <w:rsid w:val="00CB70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
    <w:name w:val="Sin lista38"/>
    <w:next w:val="Sinlista"/>
    <w:semiHidden/>
    <w:rsid w:val="00DD7E51"/>
  </w:style>
  <w:style w:type="table" w:customStyle="1" w:styleId="Tablaconcuadrcula69">
    <w:name w:val="Tabla con cuadrícula69"/>
    <w:basedOn w:val="Tablanormal"/>
    <w:next w:val="Tablaconcuadrcula"/>
    <w:rsid w:val="00DD7E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
    <w:name w:val="Sin lista39"/>
    <w:next w:val="Sinlista"/>
    <w:semiHidden/>
    <w:rsid w:val="001A050E"/>
  </w:style>
  <w:style w:type="table" w:customStyle="1" w:styleId="Tablaconcuadrcula70">
    <w:name w:val="Tabla con cuadrícula70"/>
    <w:basedOn w:val="Tablanormal"/>
    <w:next w:val="Tablaconcuadrcula"/>
    <w:rsid w:val="001A0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rsid w:val="007725F5"/>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
    <w:name w:val="Sin lista40"/>
    <w:next w:val="Sinlista"/>
    <w:semiHidden/>
    <w:rsid w:val="0045343E"/>
  </w:style>
  <w:style w:type="table" w:customStyle="1" w:styleId="Tablaconcuadrcula72">
    <w:name w:val="Tabla con cuadrícula72"/>
    <w:basedOn w:val="Tablanormal"/>
    <w:next w:val="Tablaconcuadrcula"/>
    <w:rsid w:val="004534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semiHidden/>
    <w:rsid w:val="00186AC2"/>
  </w:style>
  <w:style w:type="table" w:customStyle="1" w:styleId="Tablaconcuadrcula73">
    <w:name w:val="Tabla con cuadrícula73"/>
    <w:basedOn w:val="Tablanormal"/>
    <w:next w:val="Tablaconcuadrcula"/>
    <w:rsid w:val="00186A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next w:val="Tablaconcuadrcula"/>
    <w:rsid w:val="00537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next w:val="Tablaconcuadrcula"/>
    <w:rsid w:val="003C17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semiHidden/>
    <w:rsid w:val="008D09B1"/>
  </w:style>
  <w:style w:type="table" w:customStyle="1" w:styleId="Tablaconcuadrcula76">
    <w:name w:val="Tabla con cuadrícula76"/>
    <w:basedOn w:val="Tablanormal"/>
    <w:next w:val="Tablaconcuadrcula"/>
    <w:rsid w:val="002A7B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
    <w:name w:val="Tabla con cuadrícula77"/>
    <w:basedOn w:val="Tablanormal"/>
    <w:next w:val="Tablaconcuadrcula"/>
    <w:rsid w:val="00862C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semiHidden/>
    <w:rsid w:val="009672B9"/>
  </w:style>
  <w:style w:type="table" w:customStyle="1" w:styleId="Tablaconcuadrcula78">
    <w:name w:val="Tabla con cuadrícula78"/>
    <w:basedOn w:val="Tablanormal"/>
    <w:next w:val="Tablaconcuadrcula"/>
    <w:rsid w:val="009672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
    <w:name w:val="Tabla con cuadrícula79"/>
    <w:basedOn w:val="Tablanormal"/>
    <w:next w:val="Tablaconcuadrcula"/>
    <w:rsid w:val="00451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0"/>
    <w:basedOn w:val="Tablanormal"/>
    <w:next w:val="Tablaconcuadrcula"/>
    <w:rsid w:val="00FB1D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semiHidden/>
    <w:rsid w:val="00E52E8A"/>
  </w:style>
  <w:style w:type="table" w:customStyle="1" w:styleId="Tablaconcuadrcula81">
    <w:name w:val="Tabla con cuadrícula81"/>
    <w:basedOn w:val="Tablanormal"/>
    <w:next w:val="Tablaconcuadrcula"/>
    <w:rsid w:val="00E52E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rsid w:val="00AE5A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
    <w:name w:val="Sin lista45"/>
    <w:next w:val="Sinlista"/>
    <w:semiHidden/>
    <w:rsid w:val="00AB2382"/>
  </w:style>
  <w:style w:type="table" w:customStyle="1" w:styleId="Tablaconcuadrcula83">
    <w:name w:val="Tabla con cuadrícula83"/>
    <w:basedOn w:val="Tablanormal"/>
    <w:next w:val="Tablaconcuadrcula"/>
    <w:rsid w:val="00AB2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
    <w:name w:val="Sin lista46"/>
    <w:next w:val="Sinlista"/>
    <w:semiHidden/>
    <w:rsid w:val="00CF064F"/>
  </w:style>
  <w:style w:type="table" w:customStyle="1" w:styleId="Tablaconcuadrcula84">
    <w:name w:val="Tabla con cuadrícula84"/>
    <w:basedOn w:val="Tablanormal"/>
    <w:next w:val="Tablaconcuadrcula"/>
    <w:rsid w:val="00CF06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next w:val="Tablaconcuadrcula"/>
    <w:rsid w:val="007666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
    <w:name w:val="Tabla con cuadrícula86"/>
    <w:basedOn w:val="Tablanormal"/>
    <w:next w:val="Tablaconcuadrcula"/>
    <w:rsid w:val="006D29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
    <w:name w:val="Sin lista47"/>
    <w:next w:val="Sinlista"/>
    <w:semiHidden/>
    <w:rsid w:val="008C25B4"/>
  </w:style>
  <w:style w:type="table" w:customStyle="1" w:styleId="Tablaconcuadrcula87">
    <w:name w:val="Tabla con cuadrícula87"/>
    <w:basedOn w:val="Tablanormal"/>
    <w:next w:val="Tablaconcuadrcula"/>
    <w:rsid w:val="00E34A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
    <w:name w:val="Tabla con cuadrícula88"/>
    <w:basedOn w:val="Tablanormal"/>
    <w:next w:val="Tablaconcuadrcula"/>
    <w:rsid w:val="003F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
    <w:name w:val="Sin lista48"/>
    <w:next w:val="Sinlista"/>
    <w:semiHidden/>
    <w:rsid w:val="00420F12"/>
  </w:style>
  <w:style w:type="table" w:customStyle="1" w:styleId="Tablaconcuadrcula89">
    <w:name w:val="Tabla con cuadrícula89"/>
    <w:basedOn w:val="Tablanormal"/>
    <w:next w:val="Tablaconcuadrcula"/>
    <w:rsid w:val="00420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
    <w:name w:val="Tabla con cuadrícula90"/>
    <w:basedOn w:val="Tablanormal"/>
    <w:next w:val="Tablaconcuadrcula"/>
    <w:rsid w:val="00CD7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rsid w:val="006850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
    <w:name w:val="Sin lista49"/>
    <w:next w:val="Sinlista"/>
    <w:semiHidden/>
    <w:rsid w:val="00A50640"/>
  </w:style>
  <w:style w:type="table" w:customStyle="1" w:styleId="Tablaconcuadrcula92">
    <w:name w:val="Tabla con cuadrícula92"/>
    <w:basedOn w:val="Tablanormal"/>
    <w:next w:val="Tablaconcuadrcula"/>
    <w:rsid w:val="007323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gress1">
    <w:name w:val="ingress1"/>
    <w:basedOn w:val="Normal"/>
    <w:uiPriority w:val="99"/>
    <w:rsid w:val="009D78DB"/>
    <w:pPr>
      <w:spacing w:before="100" w:beforeAutospacing="1" w:after="180"/>
    </w:pPr>
    <w:rPr>
      <w:rFonts w:eastAsia="Times New Roman"/>
      <w:b/>
      <w:bCs/>
      <w:color w:val="333333"/>
      <w:lang w:val="es-ES"/>
    </w:rPr>
  </w:style>
  <w:style w:type="numbering" w:customStyle="1" w:styleId="Sinlista50">
    <w:name w:val="Sin lista50"/>
    <w:next w:val="Sinlista"/>
    <w:semiHidden/>
    <w:rsid w:val="00B8080B"/>
  </w:style>
  <w:style w:type="table" w:customStyle="1" w:styleId="Tablaconcuadrcula93">
    <w:name w:val="Tabla con cuadrícula93"/>
    <w:basedOn w:val="Tablanormal"/>
    <w:next w:val="Tablaconcuadrcula"/>
    <w:rsid w:val="00B808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rsid w:val="005E4C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
    <w:name w:val="Sin lista51"/>
    <w:next w:val="Sinlista"/>
    <w:semiHidden/>
    <w:rsid w:val="00202DB4"/>
  </w:style>
  <w:style w:type="table" w:customStyle="1" w:styleId="Tablaconcuadrcula95">
    <w:name w:val="Tabla con cuadrícula95"/>
    <w:basedOn w:val="Tablanormal"/>
    <w:next w:val="Tablaconcuadrcula"/>
    <w:rsid w:val="00202D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
    <w:name w:val="Tabla con cuadrícula96"/>
    <w:basedOn w:val="Tablanormal"/>
    <w:next w:val="Tablaconcuadrcula"/>
    <w:rsid w:val="008542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
    <w:name w:val="Sin lista52"/>
    <w:next w:val="Sinlista"/>
    <w:semiHidden/>
    <w:rsid w:val="00AD691E"/>
  </w:style>
  <w:style w:type="numbering" w:customStyle="1" w:styleId="Sinlista53">
    <w:name w:val="Sin lista53"/>
    <w:next w:val="Sinlista"/>
    <w:semiHidden/>
    <w:rsid w:val="00F9628C"/>
  </w:style>
  <w:style w:type="table" w:customStyle="1" w:styleId="Tablaconcuadrcula97">
    <w:name w:val="Tabla con cuadrícula97"/>
    <w:basedOn w:val="Tablanormal"/>
    <w:next w:val="Tablaconcuadrcula"/>
    <w:rsid w:val="00732FD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
    <w:name w:val="Sin lista54"/>
    <w:next w:val="Sinlista"/>
    <w:semiHidden/>
    <w:rsid w:val="00B96C72"/>
  </w:style>
  <w:style w:type="table" w:customStyle="1" w:styleId="Tablaconcuadrcula98">
    <w:name w:val="Tabla con cuadrícula98"/>
    <w:basedOn w:val="Tablanormal"/>
    <w:next w:val="Tablaconcuadrcula"/>
    <w:rsid w:val="006106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
    <w:name w:val="Tabla con cuadrícula99"/>
    <w:basedOn w:val="Tablanormal"/>
    <w:next w:val="Tablaconcuadrcula"/>
    <w:rsid w:val="009A3A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
    <w:name w:val="Sin lista55"/>
    <w:next w:val="Sinlista"/>
    <w:semiHidden/>
    <w:rsid w:val="005C23F4"/>
  </w:style>
  <w:style w:type="table" w:customStyle="1" w:styleId="Tablaconcuadrcula1000">
    <w:name w:val="Tabla con cuadrícula100"/>
    <w:basedOn w:val="Tablanormal"/>
    <w:next w:val="Tablaconcuadrcula"/>
    <w:rsid w:val="00E33DC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next w:val="Tablaconcuadrcula10"/>
    <w:rsid w:val="000E775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
    <w:name w:val="Sin lista56"/>
    <w:next w:val="Sinlista"/>
    <w:semiHidden/>
    <w:rsid w:val="00392B76"/>
  </w:style>
  <w:style w:type="table" w:customStyle="1" w:styleId="Tablaconcuadrcula101">
    <w:name w:val="Tabla con cuadrícula101"/>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oogle-src-text1">
    <w:name w:val="google-src-text1"/>
    <w:basedOn w:val="Fuentedeprrafopredeter"/>
    <w:rsid w:val="00392B76"/>
    <w:rPr>
      <w:vanish/>
      <w:webHidden w:val="0"/>
      <w:specVanish w:val="0"/>
    </w:rPr>
  </w:style>
  <w:style w:type="table" w:customStyle="1" w:styleId="Tablaconcuadrcula102">
    <w:name w:val="Tabla con cuadrícula102"/>
    <w:basedOn w:val="Tablanormal"/>
    <w:next w:val="Tablaconcuadrcula"/>
    <w:rsid w:val="00392B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next w:val="Tablaconcuadrcula"/>
    <w:rsid w:val="00604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
    <w:name w:val="Sin lista57"/>
    <w:next w:val="Sinlista"/>
    <w:semiHidden/>
    <w:rsid w:val="002E0702"/>
  </w:style>
  <w:style w:type="table" w:customStyle="1" w:styleId="Tablaconcuadrcula112">
    <w:name w:val="Tabla con cuadrícula 112"/>
    <w:basedOn w:val="Tablanormal"/>
    <w:next w:val="Tablaconcuadrcula10"/>
    <w:rsid w:val="006827C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
    <w:name w:val="Tabla con cuadrícula104"/>
    <w:basedOn w:val="Tablanormal"/>
    <w:next w:val="Tablaconcuadrcula"/>
    <w:rsid w:val="007E32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
    <w:name w:val="Sin lista58"/>
    <w:next w:val="Sinlista"/>
    <w:semiHidden/>
    <w:rsid w:val="00DA3F44"/>
  </w:style>
  <w:style w:type="table" w:customStyle="1" w:styleId="Tablaconcuadrcula105">
    <w:name w:val="Tabla con cuadrícula105"/>
    <w:basedOn w:val="Tablanormal"/>
    <w:next w:val="Tablaconcuadrcula"/>
    <w:rsid w:val="00DA3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
    <w:name w:val="Sin lista59"/>
    <w:next w:val="Sinlista"/>
    <w:semiHidden/>
    <w:rsid w:val="000255E0"/>
  </w:style>
  <w:style w:type="table" w:customStyle="1" w:styleId="Tablaconcuadrcula106">
    <w:name w:val="Tabla con cuadrícula106"/>
    <w:basedOn w:val="Tablanormal"/>
    <w:next w:val="Tablaconcuadrcula"/>
    <w:rsid w:val="0055173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
    <w:name w:val="Tabla con cuadrícula107"/>
    <w:basedOn w:val="Tablanormal"/>
    <w:next w:val="Tablaconcuadrcula"/>
    <w:rsid w:val="007E17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
    <w:name w:val="Tabla con cuadrícula108"/>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
    <w:name w:val="Tabla con cuadrícula109"/>
    <w:basedOn w:val="Tablanormal"/>
    <w:next w:val="Tablaconcuadrcula"/>
    <w:rsid w:val="009343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112"/>
    <w:basedOn w:val="Tablanormal"/>
    <w:next w:val="Tablaconcuadrcula"/>
    <w:rsid w:val="00104A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
    <w:name w:val="Sin lista60"/>
    <w:next w:val="Sinlista"/>
    <w:semiHidden/>
    <w:rsid w:val="00475800"/>
  </w:style>
  <w:style w:type="table" w:customStyle="1" w:styleId="Tablaconcuadrcula113">
    <w:name w:val="Tabla con cuadrícula113"/>
    <w:basedOn w:val="Tablanormal"/>
    <w:next w:val="Tablaconcuadrcula"/>
    <w:rsid w:val="00475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
    <w:name w:val="Sin lista61"/>
    <w:next w:val="Sinlista"/>
    <w:semiHidden/>
    <w:rsid w:val="00232E03"/>
  </w:style>
  <w:style w:type="table" w:customStyle="1" w:styleId="Tablaconcuadrcula114">
    <w:name w:val="Tabla con cuadrícula114"/>
    <w:basedOn w:val="Tablanormal"/>
    <w:next w:val="Tablaconcuadrcula"/>
    <w:rsid w:val="00232E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rsid w:val="009E3C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
    <w:name w:val="Sin lista62"/>
    <w:next w:val="Sinlista"/>
    <w:semiHidden/>
    <w:rsid w:val="006D6FD6"/>
  </w:style>
  <w:style w:type="table" w:customStyle="1" w:styleId="Tablaconcuadrcula116">
    <w:name w:val="Tabla con cuadrícula116"/>
    <w:basedOn w:val="Tablanormal"/>
    <w:next w:val="Tablaconcuadrcula"/>
    <w:rsid w:val="006D6F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0">
    <w:name w:val="Tabla con cuadrícula 113"/>
    <w:basedOn w:val="Tablanormal"/>
    <w:next w:val="Tablaconcuadrcula10"/>
    <w:rsid w:val="0061162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
    <w:name w:val="Sin lista63"/>
    <w:next w:val="Sinlista"/>
    <w:semiHidden/>
    <w:rsid w:val="00544AC2"/>
  </w:style>
  <w:style w:type="paragraph" w:customStyle="1" w:styleId="xl66">
    <w:name w:val="xl66"/>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67">
    <w:name w:val="xl67"/>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68">
    <w:name w:val="xl68"/>
    <w:basedOn w:val="Normal"/>
    <w:uiPriority w:val="99"/>
    <w:rsid w:val="001A41F9"/>
    <w:pPr>
      <w:spacing w:before="100" w:beforeAutospacing="1" w:after="100" w:afterAutospacing="1"/>
      <w:jc w:val="center"/>
    </w:pPr>
    <w:rPr>
      <w:rFonts w:ascii="Arial" w:eastAsia="Times New Roman" w:hAnsi="Arial" w:cs="Arial"/>
      <w:b/>
      <w:bCs/>
      <w:sz w:val="16"/>
      <w:szCs w:val="16"/>
      <w:lang w:val="es-ES"/>
    </w:rPr>
  </w:style>
  <w:style w:type="paragraph" w:customStyle="1" w:styleId="xl69">
    <w:name w:val="xl69"/>
    <w:basedOn w:val="Normal"/>
    <w:uiPriority w:val="99"/>
    <w:rsid w:val="001A41F9"/>
    <w:pPr>
      <w:spacing w:before="100" w:beforeAutospacing="1" w:after="100" w:afterAutospacing="1"/>
    </w:pPr>
    <w:rPr>
      <w:rFonts w:ascii="Arial" w:eastAsia="Times New Roman" w:hAnsi="Arial" w:cs="Arial"/>
      <w:b/>
      <w:bCs/>
      <w:sz w:val="16"/>
      <w:szCs w:val="16"/>
      <w:lang w:val="es-ES"/>
    </w:rPr>
  </w:style>
  <w:style w:type="paragraph" w:customStyle="1" w:styleId="xl70">
    <w:name w:val="xl70"/>
    <w:basedOn w:val="Normal"/>
    <w:uiPriority w:val="99"/>
    <w:rsid w:val="001A41F9"/>
    <w:pPr>
      <w:spacing w:before="100" w:beforeAutospacing="1" w:after="100" w:afterAutospacing="1"/>
    </w:pPr>
    <w:rPr>
      <w:rFonts w:ascii="Arial" w:eastAsia="Times New Roman" w:hAnsi="Arial" w:cs="Arial"/>
      <w:lang w:val="es-ES"/>
    </w:rPr>
  </w:style>
  <w:style w:type="paragraph" w:customStyle="1" w:styleId="xl71">
    <w:name w:val="xl71"/>
    <w:basedOn w:val="Normal"/>
    <w:uiPriority w:val="99"/>
    <w:rsid w:val="001A41F9"/>
    <w:pPr>
      <w:spacing w:before="100" w:beforeAutospacing="1" w:after="100" w:afterAutospacing="1"/>
    </w:pPr>
    <w:rPr>
      <w:rFonts w:ascii="Arial" w:eastAsia="Times New Roman" w:hAnsi="Arial" w:cs="Arial"/>
      <w:sz w:val="16"/>
      <w:szCs w:val="16"/>
      <w:lang w:val="es-ES"/>
    </w:rPr>
  </w:style>
  <w:style w:type="paragraph" w:customStyle="1" w:styleId="xl72">
    <w:name w:val="xl72"/>
    <w:basedOn w:val="Normal"/>
    <w:uiPriority w:val="99"/>
    <w:rsid w:val="001A41F9"/>
    <w:pPr>
      <w:spacing w:before="100" w:beforeAutospacing="1" w:after="100" w:afterAutospacing="1"/>
      <w:jc w:val="center"/>
    </w:pPr>
    <w:rPr>
      <w:rFonts w:ascii="Arial" w:eastAsia="Times New Roman" w:hAnsi="Arial" w:cs="Arial"/>
      <w:b/>
      <w:bCs/>
      <w:sz w:val="14"/>
      <w:szCs w:val="14"/>
      <w:lang w:val="es-ES"/>
    </w:rPr>
  </w:style>
  <w:style w:type="paragraph" w:customStyle="1" w:styleId="xl73">
    <w:name w:val="xl73"/>
    <w:basedOn w:val="Normal"/>
    <w:uiPriority w:val="99"/>
    <w:rsid w:val="001A41F9"/>
    <w:pPr>
      <w:spacing w:before="100" w:beforeAutospacing="1" w:after="100" w:afterAutospacing="1"/>
      <w:jc w:val="center"/>
    </w:pPr>
    <w:rPr>
      <w:rFonts w:ascii="Arial" w:eastAsia="Times New Roman" w:hAnsi="Arial" w:cs="Arial"/>
      <w:sz w:val="16"/>
      <w:szCs w:val="16"/>
      <w:lang w:val="es-ES"/>
    </w:rPr>
  </w:style>
  <w:style w:type="paragraph" w:customStyle="1" w:styleId="xl74">
    <w:name w:val="xl74"/>
    <w:basedOn w:val="Normal"/>
    <w:uiPriority w:val="99"/>
    <w:rsid w:val="001A41F9"/>
    <w:pPr>
      <w:pBdr>
        <w:top w:val="single" w:sz="8" w:space="0" w:color="auto"/>
        <w:left w:val="single" w:sz="8" w:space="0" w:color="auto"/>
        <w:bottom w:val="single" w:sz="8" w:space="0" w:color="auto"/>
      </w:pBdr>
      <w:spacing w:before="100" w:beforeAutospacing="1" w:after="100" w:afterAutospacing="1"/>
      <w:jc w:val="center"/>
    </w:pPr>
    <w:rPr>
      <w:rFonts w:ascii="Arial" w:eastAsia="Times New Roman" w:hAnsi="Arial" w:cs="Arial"/>
      <w:b/>
      <w:bCs/>
      <w:lang w:val="es-ES"/>
    </w:rPr>
  </w:style>
  <w:style w:type="paragraph" w:customStyle="1" w:styleId="xl75">
    <w:name w:val="xl75"/>
    <w:basedOn w:val="Normal"/>
    <w:uiPriority w:val="99"/>
    <w:rsid w:val="001A41F9"/>
    <w:pPr>
      <w:pBdr>
        <w:top w:val="single" w:sz="8" w:space="0" w:color="auto"/>
        <w:bottom w:val="single" w:sz="8" w:space="0" w:color="auto"/>
      </w:pBdr>
      <w:spacing w:before="100" w:beforeAutospacing="1" w:after="100" w:afterAutospacing="1"/>
      <w:jc w:val="center"/>
    </w:pPr>
    <w:rPr>
      <w:rFonts w:eastAsia="Times New Roman"/>
      <w:lang w:val="es-ES"/>
    </w:rPr>
  </w:style>
  <w:style w:type="paragraph" w:customStyle="1" w:styleId="xl76">
    <w:name w:val="xl76"/>
    <w:basedOn w:val="Normal"/>
    <w:uiPriority w:val="99"/>
    <w:rsid w:val="001A41F9"/>
    <w:pPr>
      <w:pBdr>
        <w:top w:val="single" w:sz="8" w:space="0" w:color="auto"/>
        <w:bottom w:val="single" w:sz="8" w:space="0" w:color="auto"/>
        <w:right w:val="single" w:sz="8" w:space="0" w:color="auto"/>
      </w:pBdr>
      <w:spacing w:before="100" w:beforeAutospacing="1" w:after="100" w:afterAutospacing="1"/>
      <w:jc w:val="center"/>
    </w:pPr>
    <w:rPr>
      <w:rFonts w:eastAsia="Times New Roman"/>
      <w:lang w:val="es-ES"/>
    </w:rPr>
  </w:style>
  <w:style w:type="table" w:customStyle="1" w:styleId="Tablaconcuadrcula117">
    <w:name w:val="Tabla con cuadrícula117"/>
    <w:basedOn w:val="Tablanormal"/>
    <w:next w:val="Tablaconcuadrcula"/>
    <w:rsid w:val="006E68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
    <w:name w:val="Sin lista64"/>
    <w:next w:val="Sinlista"/>
    <w:semiHidden/>
    <w:rsid w:val="00021617"/>
  </w:style>
  <w:style w:type="table" w:customStyle="1" w:styleId="Tablaconcuadrcula118">
    <w:name w:val="Tabla con cuadrícula118"/>
    <w:basedOn w:val="Tablanormal"/>
    <w:next w:val="Tablaconcuadrcula"/>
    <w:rsid w:val="000216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
    <w:name w:val="Sin lista65"/>
    <w:next w:val="Sinlista"/>
    <w:semiHidden/>
    <w:rsid w:val="000718D5"/>
  </w:style>
  <w:style w:type="table" w:customStyle="1" w:styleId="Tablaconcuadrcula119">
    <w:name w:val="Tabla con cuadrícula119"/>
    <w:basedOn w:val="Tablanormal"/>
    <w:next w:val="Tablaconcuadrcula"/>
    <w:rsid w:val="001131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
    <w:name w:val="Sin lista66"/>
    <w:next w:val="Sinlista"/>
    <w:semiHidden/>
    <w:rsid w:val="002008A7"/>
  </w:style>
  <w:style w:type="table" w:customStyle="1" w:styleId="Tablaconcuadrcula1200">
    <w:name w:val="Tabla con cuadrícula120"/>
    <w:basedOn w:val="Tablanormal"/>
    <w:next w:val="Tablaconcuadrcula"/>
    <w:rsid w:val="002008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
    <w:name w:val="Sin lista67"/>
    <w:next w:val="Sinlista"/>
    <w:semiHidden/>
    <w:rsid w:val="00353D07"/>
  </w:style>
  <w:style w:type="numbering" w:customStyle="1" w:styleId="Sinlista68">
    <w:name w:val="Sin lista68"/>
    <w:next w:val="Sinlista"/>
    <w:semiHidden/>
    <w:rsid w:val="000A0412"/>
  </w:style>
  <w:style w:type="table" w:customStyle="1" w:styleId="Tablaconcuadrcula121">
    <w:name w:val="Tabla con cuadrícula121"/>
    <w:basedOn w:val="Tablanormal"/>
    <w:next w:val="Tablaconcuadrcula"/>
    <w:rsid w:val="000A04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rsid w:val="008D68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rsid w:val="00CC06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
    <w:name w:val="Sin lista69"/>
    <w:next w:val="Sinlista"/>
    <w:semiHidden/>
    <w:rsid w:val="009F0276"/>
  </w:style>
  <w:style w:type="table" w:customStyle="1" w:styleId="Tablaconcuadrcula124">
    <w:name w:val="Tabla con cuadrícula124"/>
    <w:basedOn w:val="Tablanormal"/>
    <w:next w:val="Tablaconcuadrcula"/>
    <w:rsid w:val="002178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next w:val="Tablaconcuadrcula"/>
    <w:rsid w:val="00A956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next w:val="Tablaconcuadrcula"/>
    <w:rsid w:val="00DA7D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
    <w:name w:val="Tabla con cuadrícula127"/>
    <w:basedOn w:val="Tablanormal"/>
    <w:next w:val="Tablaconcuadrcula"/>
    <w:rsid w:val="002D59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next w:val="Tablaconcuadrcula"/>
    <w:rsid w:val="00C124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
    <w:name w:val="Sin lista70"/>
    <w:next w:val="Sinlista"/>
    <w:semiHidden/>
    <w:rsid w:val="00C124B0"/>
  </w:style>
  <w:style w:type="numbering" w:customStyle="1" w:styleId="Sinlista71">
    <w:name w:val="Sin lista71"/>
    <w:next w:val="Sinlista"/>
    <w:semiHidden/>
    <w:rsid w:val="002C60C0"/>
  </w:style>
  <w:style w:type="table" w:customStyle="1" w:styleId="Tablaconcuadrcula129">
    <w:name w:val="Tabla con cuadrícula129"/>
    <w:basedOn w:val="Tablanormal"/>
    <w:next w:val="Tablaconcuadrcula"/>
    <w:rsid w:val="002C6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
    <w:name w:val="Sin lista72"/>
    <w:next w:val="Sinlista"/>
    <w:semiHidden/>
    <w:rsid w:val="00CB4B12"/>
  </w:style>
  <w:style w:type="table" w:customStyle="1" w:styleId="Tablaconcuadrcula1300">
    <w:name w:val="Tabla con cuadrícula130"/>
    <w:basedOn w:val="Tablanormal"/>
    <w:next w:val="Tablaconcuadrcula"/>
    <w:rsid w:val="00CB4B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rsid w:val="00A40F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
    <w:name w:val="Sin lista73"/>
    <w:next w:val="Sinlista"/>
    <w:semiHidden/>
    <w:rsid w:val="00D1607E"/>
  </w:style>
  <w:style w:type="table" w:customStyle="1" w:styleId="Tablaconcuadrcula133">
    <w:name w:val="Tabla con cuadrícula133"/>
    <w:basedOn w:val="Tablanormal"/>
    <w:next w:val="Tablaconcuadrcula"/>
    <w:rsid w:val="00D160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next w:val="Tablaconcuadrcula"/>
    <w:rsid w:val="00FA59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next w:val="Tablaconcuadrcula"/>
    <w:rsid w:val="00A25D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
    <w:name w:val="Sin lista74"/>
    <w:next w:val="Sinlista"/>
    <w:semiHidden/>
    <w:rsid w:val="00D85EC0"/>
  </w:style>
  <w:style w:type="table" w:customStyle="1" w:styleId="Tablaconcuadrcula136">
    <w:name w:val="Tabla con cuadrícula136"/>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next w:val="Tablaconcuadrcula"/>
    <w:rsid w:val="00D85EC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next w:val="Tablaconcuadrcula"/>
    <w:rsid w:val="00D85E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0">
    <w:name w:val="Tabla con cuadrícula140"/>
    <w:basedOn w:val="Tablanormal"/>
    <w:next w:val="Tablaconcuadrcula"/>
    <w:rsid w:val="007D0A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FB734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rsid w:val="002749F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rsid w:val="006A5F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rsid w:val="006A5FE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
    <w:name w:val="Sin lista75"/>
    <w:next w:val="Sinlista"/>
    <w:semiHidden/>
    <w:rsid w:val="006616BE"/>
  </w:style>
  <w:style w:type="table" w:customStyle="1" w:styleId="Tablaconcuadrcula145">
    <w:name w:val="Tabla con cuadrícula145"/>
    <w:basedOn w:val="Tablanormal"/>
    <w:next w:val="Tablaconcuadrcula"/>
    <w:rsid w:val="006616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
    <w:name w:val="Sin lista76"/>
    <w:next w:val="Sinlista"/>
    <w:semiHidden/>
    <w:rsid w:val="00A16993"/>
  </w:style>
  <w:style w:type="table" w:customStyle="1" w:styleId="Tablaconcuadrcula146">
    <w:name w:val="Tabla con cuadrícula146"/>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rsid w:val="00A16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0">
    <w:name w:val="Tabla con cuadrícula 114"/>
    <w:basedOn w:val="Tablanormal"/>
    <w:next w:val="Tablaconcuadrcula10"/>
    <w:rsid w:val="006A438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
    <w:name w:val="Tabla con cuadrícula147"/>
    <w:basedOn w:val="Tablanormal"/>
    <w:next w:val="Tablaconcuadrcula"/>
    <w:rsid w:val="002833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0">
    <w:name w:val="Tabla con cuadrícula 115"/>
    <w:basedOn w:val="Tablanormal"/>
    <w:next w:val="Tablaconcuadrcula10"/>
    <w:rsid w:val="007F120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
    <w:name w:val="Tabla con cuadrícula148"/>
    <w:basedOn w:val="Tablanormal"/>
    <w:next w:val="Tablaconcuadrcula"/>
    <w:rsid w:val="000816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next w:val="Tablaconcuadrcula"/>
    <w:rsid w:val="006861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0">
    <w:name w:val="Tabla con cuadrícula150"/>
    <w:basedOn w:val="Tablanormal"/>
    <w:next w:val="Tablaconcuadrcula"/>
    <w:rsid w:val="004A325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
    <w:name w:val="Sin lista77"/>
    <w:next w:val="Sinlista"/>
    <w:semiHidden/>
    <w:rsid w:val="00AF04A7"/>
  </w:style>
  <w:style w:type="table" w:customStyle="1" w:styleId="Tablaconcuadrcula151">
    <w:name w:val="Tabla con cuadrícula151"/>
    <w:basedOn w:val="Tablanormal"/>
    <w:next w:val="Tablaconcuadrcula"/>
    <w:rsid w:val="00AF04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next w:val="Tablaconcuadrcula"/>
    <w:rsid w:val="00C52D1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
    <w:name w:val="Tabla con cuadrícula153"/>
    <w:basedOn w:val="Tablanormal"/>
    <w:next w:val="Tablaconcuadrcula"/>
    <w:rsid w:val="00DE13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
    <w:name w:val="Tabla con cuadrícula154"/>
    <w:basedOn w:val="Tablanormal"/>
    <w:next w:val="Tablaconcuadrcula"/>
    <w:rsid w:val="00377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ulonoticia">
    <w:name w:val="titulonoticia"/>
    <w:basedOn w:val="Normal"/>
    <w:uiPriority w:val="99"/>
    <w:rsid w:val="000D35D2"/>
    <w:pPr>
      <w:spacing w:before="100" w:beforeAutospacing="1" w:after="100" w:afterAutospacing="1"/>
      <w:jc w:val="both"/>
    </w:pPr>
    <w:rPr>
      <w:rFonts w:ascii="Arial" w:eastAsia="Times New Roman" w:hAnsi="Arial" w:cs="Arial"/>
      <w:b/>
      <w:bCs/>
      <w:color w:val="285480"/>
      <w:sz w:val="27"/>
      <w:szCs w:val="27"/>
      <w:lang w:val="es-ES"/>
    </w:rPr>
  </w:style>
  <w:style w:type="numbering" w:customStyle="1" w:styleId="Sinlista78">
    <w:name w:val="Sin lista78"/>
    <w:next w:val="Sinlista"/>
    <w:semiHidden/>
    <w:rsid w:val="00C02A88"/>
  </w:style>
  <w:style w:type="table" w:customStyle="1" w:styleId="Tablaconcuadrcula1160">
    <w:name w:val="Tabla con cuadrícula 116"/>
    <w:basedOn w:val="Tablanormal"/>
    <w:next w:val="Tablaconcuadrcula10"/>
    <w:rsid w:val="004A1FA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0">
    <w:name w:val="Tabla con cuadrícula 117"/>
    <w:basedOn w:val="Tablanormal"/>
    <w:next w:val="Tablaconcuadrcula10"/>
    <w:rsid w:val="00E741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0">
    <w:name w:val="Tabla con cuadrícula 118"/>
    <w:basedOn w:val="Tablanormal"/>
    <w:next w:val="Tablaconcuadrcula10"/>
    <w:rsid w:val="00376C5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
    <w:name w:val="Sin lista79"/>
    <w:next w:val="Sinlista"/>
    <w:semiHidden/>
    <w:rsid w:val="005D5F76"/>
  </w:style>
  <w:style w:type="table" w:customStyle="1" w:styleId="Tablaconcuadrcula155">
    <w:name w:val="Tabla con cuadrícula155"/>
    <w:basedOn w:val="Tablanormal"/>
    <w:next w:val="Tablaconcuadrcula"/>
    <w:rsid w:val="005D5F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
    <w:name w:val="Sin lista80"/>
    <w:next w:val="Sinlista"/>
    <w:semiHidden/>
    <w:rsid w:val="001F1386"/>
  </w:style>
  <w:style w:type="table" w:customStyle="1" w:styleId="Tablaconcuadrcula156">
    <w:name w:val="Tabla con cuadrícula156"/>
    <w:basedOn w:val="Tablanormal"/>
    <w:next w:val="Tablaconcuadrcula"/>
    <w:rsid w:val="001F13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
    <w:name w:val="Tabla con cuadrícula157"/>
    <w:basedOn w:val="Tablanormal"/>
    <w:next w:val="Tablaconcuadrcula"/>
    <w:rsid w:val="00E770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
    <w:name w:val="Sin lista81"/>
    <w:next w:val="Sinlista"/>
    <w:semiHidden/>
    <w:rsid w:val="006427BF"/>
  </w:style>
  <w:style w:type="table" w:customStyle="1" w:styleId="Tablaconcuadrcula158">
    <w:name w:val="Tabla con cuadrícula158"/>
    <w:basedOn w:val="Tablanormal"/>
    <w:next w:val="Tablaconcuadrcula"/>
    <w:rsid w:val="006427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
    <w:name w:val="Sin lista82"/>
    <w:next w:val="Sinlista"/>
    <w:semiHidden/>
    <w:rsid w:val="00510851"/>
  </w:style>
  <w:style w:type="table" w:customStyle="1" w:styleId="Tablaconcuadrcula159">
    <w:name w:val="Tabla con cuadrícula159"/>
    <w:basedOn w:val="Tablanormal"/>
    <w:next w:val="Tablaconcuadrcula"/>
    <w:rsid w:val="005108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
    <w:name w:val="Sin lista83"/>
    <w:next w:val="Sinlista"/>
    <w:semiHidden/>
    <w:rsid w:val="00267A81"/>
  </w:style>
  <w:style w:type="table" w:customStyle="1" w:styleId="Tablaconcuadrcula1610">
    <w:name w:val="Tabla con cuadrícula161"/>
    <w:basedOn w:val="Tablanormal"/>
    <w:next w:val="Tablaconcuadrcula"/>
    <w:rsid w:val="00267A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next w:val="Tablaconcuadrcula"/>
    <w:rsid w:val="00652C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next w:val="Tablaconcuadrcula"/>
    <w:rsid w:val="00A708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next w:val="Tablaconcuadrcula"/>
    <w:rsid w:val="004466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4">
    <w:name w:val="List 4"/>
    <w:basedOn w:val="Normal"/>
    <w:uiPriority w:val="99"/>
    <w:rsid w:val="00F92304"/>
    <w:pPr>
      <w:ind w:left="1132" w:hanging="283"/>
    </w:pPr>
  </w:style>
  <w:style w:type="paragraph" w:styleId="Lista5">
    <w:name w:val="List 5"/>
    <w:basedOn w:val="Normal"/>
    <w:uiPriority w:val="99"/>
    <w:rsid w:val="00F92304"/>
    <w:pPr>
      <w:ind w:left="1415" w:hanging="283"/>
    </w:pPr>
  </w:style>
  <w:style w:type="paragraph" w:styleId="Listaconvietas4">
    <w:name w:val="List Bullet 4"/>
    <w:basedOn w:val="Normal"/>
    <w:uiPriority w:val="99"/>
    <w:rsid w:val="00F92304"/>
    <w:pPr>
      <w:numPr>
        <w:numId w:val="8"/>
      </w:numPr>
    </w:pPr>
  </w:style>
  <w:style w:type="paragraph" w:styleId="Continuarlista3">
    <w:name w:val="List Continue 3"/>
    <w:basedOn w:val="Normal"/>
    <w:uiPriority w:val="99"/>
    <w:rsid w:val="00F92304"/>
    <w:pPr>
      <w:spacing w:after="120"/>
      <w:ind w:left="849"/>
    </w:pPr>
  </w:style>
  <w:style w:type="paragraph" w:styleId="Continuarlista4">
    <w:name w:val="List Continue 4"/>
    <w:basedOn w:val="Normal"/>
    <w:uiPriority w:val="99"/>
    <w:rsid w:val="00F92304"/>
    <w:pPr>
      <w:spacing w:after="120"/>
      <w:ind w:left="1132"/>
    </w:pPr>
  </w:style>
  <w:style w:type="paragraph" w:styleId="Textoindependienteprimerasangra">
    <w:name w:val="Body Text First Indent"/>
    <w:basedOn w:val="Textoindependiente"/>
    <w:link w:val="TextoindependienteprimerasangraCar"/>
    <w:uiPriority w:val="99"/>
    <w:rsid w:val="00F92304"/>
    <w:pPr>
      <w:spacing w:after="120"/>
      <w:ind w:firstLine="210"/>
      <w:jc w:val="left"/>
    </w:pPr>
    <w:rPr>
      <w:sz w:val="24"/>
    </w:rPr>
  </w:style>
  <w:style w:type="numbering" w:customStyle="1" w:styleId="Sinlista84">
    <w:name w:val="Sin lista84"/>
    <w:next w:val="Sinlista"/>
    <w:semiHidden/>
    <w:rsid w:val="00F92304"/>
  </w:style>
  <w:style w:type="table" w:customStyle="1" w:styleId="Tablaconcuadrcula165">
    <w:name w:val="Tabla con cuadrícula165"/>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next w:val="Tablaconcuadrcula"/>
    <w:rsid w:val="00F923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
    <w:name w:val="Sin lista85"/>
    <w:next w:val="Sinlista"/>
    <w:semiHidden/>
    <w:rsid w:val="003133EA"/>
  </w:style>
  <w:style w:type="table" w:customStyle="1" w:styleId="Tablaconcuadrcula167">
    <w:name w:val="Tabla con cuadrícula167"/>
    <w:basedOn w:val="Tablanormal"/>
    <w:next w:val="Tablaconcuadrcula"/>
    <w:rsid w:val="007978DB"/>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
    <w:name w:val="Sin lista86"/>
    <w:next w:val="Sinlista"/>
    <w:semiHidden/>
    <w:rsid w:val="00F03DE9"/>
  </w:style>
  <w:style w:type="table" w:customStyle="1" w:styleId="Tablaconcuadrcula168">
    <w:name w:val="Tabla con cuadrícula168"/>
    <w:basedOn w:val="Tablanormal"/>
    <w:next w:val="Tablaconcuadrcula"/>
    <w:rsid w:val="00F03D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next w:val="Tablaconcuadrcula"/>
    <w:rsid w:val="00A539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0">
    <w:name w:val="Tabla con cuadrícula170"/>
    <w:basedOn w:val="Tablanormal"/>
    <w:next w:val="Tablaconcuadrcula"/>
    <w:rsid w:val="002D66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rsid w:val="00B10B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
    <w:name w:val="Sin lista87"/>
    <w:next w:val="Sinlista"/>
    <w:semiHidden/>
    <w:rsid w:val="00CF6179"/>
  </w:style>
  <w:style w:type="table" w:customStyle="1" w:styleId="Tablaconcuadrcula172">
    <w:name w:val="Tabla con cuadrícula172"/>
    <w:basedOn w:val="Tablanormal"/>
    <w:next w:val="Tablaconcuadrcula"/>
    <w:rsid w:val="00CF6179"/>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
    <w:name w:val="Sin lista88"/>
    <w:next w:val="Sinlista"/>
    <w:semiHidden/>
    <w:rsid w:val="00D17197"/>
  </w:style>
  <w:style w:type="table" w:customStyle="1" w:styleId="Tablaconcuadrcula173">
    <w:name w:val="Tabla con cuadrícula173"/>
    <w:basedOn w:val="Tablanormal"/>
    <w:next w:val="Tablaconcuadrcula"/>
    <w:rsid w:val="00D1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
    <w:name w:val="Tabla con cuadrícula174"/>
    <w:basedOn w:val="Tablanormal"/>
    <w:next w:val="Tablaconcuadrcula"/>
    <w:rsid w:val="009607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
    <w:name w:val="Sin lista89"/>
    <w:next w:val="Sinlista"/>
    <w:semiHidden/>
    <w:rsid w:val="00337B64"/>
  </w:style>
  <w:style w:type="table" w:customStyle="1" w:styleId="Tablaconcuadrcula175">
    <w:name w:val="Tabla con cuadrícula175"/>
    <w:basedOn w:val="Tablanormal"/>
    <w:next w:val="Tablaconcuadrcula"/>
    <w:rsid w:val="000D21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
    <w:name w:val="Tabla con cuadrícula176"/>
    <w:basedOn w:val="Tablanormal"/>
    <w:next w:val="Tablaconcuadrcula"/>
    <w:rsid w:val="00DC33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
    <w:name w:val="Sin lista90"/>
    <w:next w:val="Sinlista"/>
    <w:semiHidden/>
    <w:rsid w:val="00B17245"/>
  </w:style>
  <w:style w:type="character" w:customStyle="1" w:styleId="publicationtitle1">
    <w:name w:val="publication_title1"/>
    <w:basedOn w:val="Fuentedeprrafopredeter"/>
    <w:rsid w:val="00B17245"/>
    <w:rPr>
      <w:b/>
      <w:bCs/>
      <w:i w:val="0"/>
      <w:iCs w:val="0"/>
      <w:color w:val="990000"/>
      <w:sz w:val="21"/>
      <w:szCs w:val="21"/>
    </w:rPr>
  </w:style>
  <w:style w:type="table" w:customStyle="1" w:styleId="Tablaconcuadrcula177">
    <w:name w:val="Tabla con cuadrícula177"/>
    <w:basedOn w:val="Tablanormal"/>
    <w:next w:val="Tablaconcuadrcula"/>
    <w:rsid w:val="00EB56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
    <w:name w:val="Tabla con cuadrícula178"/>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
    <w:name w:val="Tabla con cuadrícula179"/>
    <w:basedOn w:val="Tablanormal"/>
    <w:next w:val="Tablaconcuadrcula"/>
    <w:rsid w:val="00D16A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0">
    <w:name w:val="Tabla con cuadrícula180"/>
    <w:basedOn w:val="Tablanormal"/>
    <w:next w:val="Tablaconcuadrcula"/>
    <w:rsid w:val="000326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
    <w:name w:val="Sin lista91"/>
    <w:next w:val="Sinlista"/>
    <w:semiHidden/>
    <w:rsid w:val="00771FED"/>
  </w:style>
  <w:style w:type="table" w:customStyle="1" w:styleId="Tablaconcuadrcula181">
    <w:name w:val="Tabla con cuadrícula181"/>
    <w:basedOn w:val="Tablanormal"/>
    <w:next w:val="Tablaconcuadrcula"/>
    <w:rsid w:val="00771F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
    <w:name w:val="Sin lista92"/>
    <w:next w:val="Sinlista"/>
    <w:semiHidden/>
    <w:rsid w:val="00DE41E9"/>
  </w:style>
  <w:style w:type="numbering" w:customStyle="1" w:styleId="Sinlista93">
    <w:name w:val="Sin lista93"/>
    <w:next w:val="Sinlista"/>
    <w:semiHidden/>
    <w:rsid w:val="00620CD5"/>
  </w:style>
  <w:style w:type="table" w:customStyle="1" w:styleId="Tablaconcuadrcula183">
    <w:name w:val="Tabla con cuadrícula183"/>
    <w:basedOn w:val="Tablanormal"/>
    <w:next w:val="Tablaconcuadrcula"/>
    <w:rsid w:val="00F07A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
    <w:name w:val="Sin lista94"/>
    <w:next w:val="Sinlista"/>
    <w:semiHidden/>
    <w:rsid w:val="009F4003"/>
  </w:style>
  <w:style w:type="numbering" w:customStyle="1" w:styleId="Sinlista95">
    <w:name w:val="Sin lista95"/>
    <w:next w:val="Sinlista"/>
    <w:semiHidden/>
    <w:rsid w:val="008B40C0"/>
  </w:style>
  <w:style w:type="table" w:customStyle="1" w:styleId="Tablaconcuadrcula184">
    <w:name w:val="Tabla con cuadrícula184"/>
    <w:basedOn w:val="Tablanormal"/>
    <w:next w:val="Tablaconcuadrcula"/>
    <w:rsid w:val="008B40C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0">
    <w:name w:val="Tabla con cuadrícula 119"/>
    <w:basedOn w:val="Tablanormal"/>
    <w:next w:val="Tablaconcuadrcula10"/>
    <w:rsid w:val="008B40C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
    <w:name w:val="Tabla con cuadrícula185"/>
    <w:basedOn w:val="Tablanormal"/>
    <w:next w:val="Tablaconcuadrcula"/>
    <w:rsid w:val="00C805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
    <w:name w:val="Sin lista96"/>
    <w:next w:val="Sinlista"/>
    <w:semiHidden/>
    <w:rsid w:val="00F140FF"/>
  </w:style>
  <w:style w:type="table" w:customStyle="1" w:styleId="Tablaconcuadrcula186">
    <w:name w:val="Tabla con cuadrícula186"/>
    <w:basedOn w:val="Tablanormal"/>
    <w:next w:val="Tablaconcuadrcula"/>
    <w:rsid w:val="00F140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
    <w:name w:val="Tabla con cuadrícula 120"/>
    <w:basedOn w:val="Tablanormal"/>
    <w:next w:val="Tablaconcuadrcula10"/>
    <w:rsid w:val="00ED266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0">
    <w:name w:val="Tabla con cuadrícula 121"/>
    <w:basedOn w:val="Tablanormal"/>
    <w:next w:val="Tablaconcuadrcula10"/>
    <w:rsid w:val="00DE0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
    <w:name w:val="Sin lista97"/>
    <w:next w:val="Sinlista"/>
    <w:semiHidden/>
    <w:rsid w:val="00B10C66"/>
  </w:style>
  <w:style w:type="table" w:customStyle="1" w:styleId="Tablaconcuadrcula187">
    <w:name w:val="Tabla con cuadrícula187"/>
    <w:basedOn w:val="Tablanormal"/>
    <w:next w:val="Tablaconcuadrcula"/>
    <w:rsid w:val="00B10C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
    <w:name w:val="Sin lista98"/>
    <w:next w:val="Sinlista"/>
    <w:semiHidden/>
    <w:rsid w:val="004E177E"/>
  </w:style>
  <w:style w:type="table" w:customStyle="1" w:styleId="Tablaconcuadrcula188">
    <w:name w:val="Tabla con cuadrícula188"/>
    <w:basedOn w:val="Tablanormal"/>
    <w:next w:val="Tablaconcuadrcula"/>
    <w:rsid w:val="004E17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
    <w:name w:val="Sin lista99"/>
    <w:next w:val="Sinlista"/>
    <w:semiHidden/>
    <w:rsid w:val="00750BCC"/>
  </w:style>
  <w:style w:type="table" w:customStyle="1" w:styleId="Tablaconcuadrcula189">
    <w:name w:val="Tabla con cuadrícula189"/>
    <w:basedOn w:val="Tablanormal"/>
    <w:next w:val="Tablaconcuadrcula"/>
    <w:rsid w:val="00750B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
    <w:name w:val="Sin lista100"/>
    <w:next w:val="Sinlista"/>
    <w:semiHidden/>
    <w:rsid w:val="00C15F87"/>
  </w:style>
  <w:style w:type="numbering" w:customStyle="1" w:styleId="Sinlista101">
    <w:name w:val="Sin lista101"/>
    <w:next w:val="Sinlista"/>
    <w:semiHidden/>
    <w:rsid w:val="00AF002F"/>
  </w:style>
  <w:style w:type="table" w:customStyle="1" w:styleId="Tablaconcuadrcula1910">
    <w:name w:val="Tabla con cuadrícula191"/>
    <w:basedOn w:val="Tablanormal"/>
    <w:next w:val="Tablaconcuadrcula"/>
    <w:rsid w:val="00AF00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
    <w:name w:val="Sin lista102"/>
    <w:next w:val="Sinlista"/>
    <w:semiHidden/>
    <w:rsid w:val="00B145F3"/>
  </w:style>
  <w:style w:type="table" w:customStyle="1" w:styleId="Tablaconcuadrcula192">
    <w:name w:val="Tabla con cuadrícula192"/>
    <w:basedOn w:val="Tablanormal"/>
    <w:next w:val="Tablaconcuadrcula"/>
    <w:rsid w:val="00B145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
    <w:name w:val="Sin lista103"/>
    <w:next w:val="Sinlista"/>
    <w:semiHidden/>
    <w:rsid w:val="00E8734B"/>
  </w:style>
  <w:style w:type="table" w:customStyle="1" w:styleId="Tablaconcuadrcula193">
    <w:name w:val="Tabla con cuadrícula193"/>
    <w:basedOn w:val="Tablanormal"/>
    <w:next w:val="Tablaconcuadrcula"/>
    <w:rsid w:val="00E873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next w:val="Tablaconcuadrcula"/>
    <w:rsid w:val="00EE21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next w:val="Tablaconcuadrcula"/>
    <w:rsid w:val="00D727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
    <w:name w:val="Sin lista104"/>
    <w:next w:val="Sinlista"/>
    <w:semiHidden/>
    <w:rsid w:val="00B8310B"/>
  </w:style>
  <w:style w:type="table" w:customStyle="1" w:styleId="Tablaconcuadrcula196">
    <w:name w:val="Tabla con cuadrícula196"/>
    <w:basedOn w:val="Tablanormal"/>
    <w:next w:val="Tablaconcuadrcula"/>
    <w:rsid w:val="00B8310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
    <w:name w:val="Tabla con cuadrícula197"/>
    <w:basedOn w:val="Tablanormal"/>
    <w:next w:val="Tablaconcuadrcula"/>
    <w:rsid w:val="00F473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
    <w:name w:val="Sin lista105"/>
    <w:next w:val="Sinlista"/>
    <w:semiHidden/>
    <w:rsid w:val="00C54DB9"/>
  </w:style>
  <w:style w:type="table" w:customStyle="1" w:styleId="Tablaconcuadrcula198">
    <w:name w:val="Tabla con cuadrícula198"/>
    <w:basedOn w:val="Tablanormal"/>
    <w:next w:val="Tablaconcuadrcula"/>
    <w:rsid w:val="00C54D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
    <w:name w:val="Sin lista106"/>
    <w:next w:val="Sinlista"/>
    <w:semiHidden/>
    <w:rsid w:val="00362B64"/>
  </w:style>
  <w:style w:type="table" w:customStyle="1" w:styleId="Tablaconcuadrcula199">
    <w:name w:val="Tabla con cuadrícula199"/>
    <w:basedOn w:val="Tablanormal"/>
    <w:next w:val="Tablaconcuadrcula"/>
    <w:rsid w:val="00362B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
    <w:name w:val="Sin lista107"/>
    <w:next w:val="Sinlista"/>
    <w:semiHidden/>
    <w:rsid w:val="0082460B"/>
  </w:style>
  <w:style w:type="paragraph" w:styleId="Encabezadodemensaje">
    <w:name w:val="Message Header"/>
    <w:basedOn w:val="Normal"/>
    <w:link w:val="EncabezadodemensajeCar"/>
    <w:uiPriority w:val="99"/>
    <w:rsid w:val="00987C6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table" w:customStyle="1" w:styleId="Tablaconcuadrcula200">
    <w:name w:val="Tabla con cuadrícula200"/>
    <w:basedOn w:val="Tablanormal"/>
    <w:next w:val="Tablaconcuadrcula"/>
    <w:rsid w:val="006B65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next w:val="Tablaconcuadrcula"/>
    <w:rsid w:val="00DA60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
    <w:name w:val="Tabla con cuadrícula202"/>
    <w:basedOn w:val="Tablanormal"/>
    <w:next w:val="Tablaconcuadrcula"/>
    <w:rsid w:val="00BA6D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
    <w:name w:val="Tabla con cuadrícula203"/>
    <w:basedOn w:val="Tablanormal"/>
    <w:next w:val="Tablaconcuadrcula"/>
    <w:rsid w:val="00AC1B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
    <w:name w:val="Sin lista108"/>
    <w:next w:val="Sinlista"/>
    <w:semiHidden/>
    <w:rsid w:val="00324F0F"/>
  </w:style>
  <w:style w:type="table" w:customStyle="1" w:styleId="Tablaconcuadrcula204">
    <w:name w:val="Tabla con cuadrícula204"/>
    <w:basedOn w:val="Tablanormal"/>
    <w:next w:val="Tablaconcuadrcula"/>
    <w:rsid w:val="00324F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
    <w:name w:val="Sin lista109"/>
    <w:next w:val="Sinlista"/>
    <w:semiHidden/>
    <w:rsid w:val="00B02B63"/>
  </w:style>
  <w:style w:type="table" w:customStyle="1" w:styleId="Tablaconcuadrcula205">
    <w:name w:val="Tabla con cuadrícula205"/>
    <w:basedOn w:val="Tablanormal"/>
    <w:next w:val="Tablaconcuadrcula"/>
    <w:rsid w:val="00B02B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
    <w:name w:val="Sin lista110"/>
    <w:next w:val="Sinlista"/>
    <w:semiHidden/>
    <w:rsid w:val="00370036"/>
  </w:style>
  <w:style w:type="table" w:customStyle="1" w:styleId="Tablaconcuadrcula206">
    <w:name w:val="Tabla con cuadrícula206"/>
    <w:basedOn w:val="Tablanormal"/>
    <w:next w:val="Tablaconcuadrcula"/>
    <w:rsid w:val="003700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
    <w:name w:val="Tabla con cuadrícula208"/>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
    <w:name w:val="Tabla con cuadrícula209"/>
    <w:basedOn w:val="Tablanormal"/>
    <w:next w:val="Tablaconcuadrcula"/>
    <w:rsid w:val="00555B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0">
    <w:name w:val="Tabla con cuadrícula 122"/>
    <w:basedOn w:val="Tablanormal"/>
    <w:next w:val="Tablaconcuadrcula10"/>
    <w:rsid w:val="0031791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
    <w:name w:val="Sin lista111"/>
    <w:next w:val="Sinlista"/>
    <w:semiHidden/>
    <w:rsid w:val="00F7217E"/>
  </w:style>
  <w:style w:type="table" w:customStyle="1" w:styleId="Tablaconcuadrcula210">
    <w:name w:val="Tabla con cuadrícula210"/>
    <w:basedOn w:val="Tablanormal"/>
    <w:next w:val="Tablaconcuadrcula"/>
    <w:rsid w:val="00F721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
    <w:name w:val="Sin lista112"/>
    <w:next w:val="Sinlista"/>
    <w:semiHidden/>
    <w:rsid w:val="00F85738"/>
  </w:style>
  <w:style w:type="table" w:customStyle="1" w:styleId="Tablaconcuadrcula211">
    <w:name w:val="Tabla con cuadrícula211"/>
    <w:basedOn w:val="Tablanormal"/>
    <w:next w:val="Tablaconcuadrcula"/>
    <w:rsid w:val="00F857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next w:val="Tablaconcuadrcula"/>
    <w:rsid w:val="00486B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next w:val="Tablaconcuadrcula"/>
    <w:rsid w:val="003C50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
    <w:name w:val="Sin lista113"/>
    <w:next w:val="Sinlista"/>
    <w:semiHidden/>
    <w:rsid w:val="00164211"/>
  </w:style>
  <w:style w:type="table" w:customStyle="1" w:styleId="Tablaconcuadrcula214">
    <w:name w:val="Tabla con cuadrícula214"/>
    <w:basedOn w:val="Tablanormal"/>
    <w:next w:val="Tablaconcuadrcula"/>
    <w:rsid w:val="001642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5">
    <w:name w:val="Style 15"/>
    <w:basedOn w:val="Normal"/>
    <w:uiPriority w:val="99"/>
    <w:rsid w:val="00164211"/>
    <w:pPr>
      <w:widowControl w:val="0"/>
      <w:autoSpaceDE w:val="0"/>
      <w:autoSpaceDN w:val="0"/>
      <w:spacing w:before="72"/>
    </w:pPr>
    <w:rPr>
      <w:rFonts w:eastAsia="Times New Roman"/>
      <w:lang w:val="en-US"/>
    </w:rPr>
  </w:style>
  <w:style w:type="table" w:customStyle="1" w:styleId="Tablaconcuadrcula1230">
    <w:name w:val="Tabla con cuadrícula 123"/>
    <w:basedOn w:val="Tablanormal"/>
    <w:next w:val="Tablaconcuadrcula10"/>
    <w:rsid w:val="0016421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20">
    <w:name w:val="Style 20"/>
    <w:basedOn w:val="Normal"/>
    <w:uiPriority w:val="99"/>
    <w:rsid w:val="00164211"/>
    <w:pPr>
      <w:widowControl w:val="0"/>
      <w:autoSpaceDE w:val="0"/>
      <w:autoSpaceDN w:val="0"/>
      <w:spacing w:before="72"/>
      <w:ind w:right="792"/>
      <w:jc w:val="right"/>
    </w:pPr>
    <w:rPr>
      <w:rFonts w:eastAsia="Times New Roman"/>
      <w:lang w:val="en-US"/>
    </w:rPr>
  </w:style>
  <w:style w:type="paragraph" w:customStyle="1" w:styleId="Style39">
    <w:name w:val="Style 39"/>
    <w:basedOn w:val="Normal"/>
    <w:uiPriority w:val="99"/>
    <w:rsid w:val="00164211"/>
    <w:pPr>
      <w:widowControl w:val="0"/>
      <w:autoSpaceDE w:val="0"/>
      <w:autoSpaceDN w:val="0"/>
      <w:spacing w:before="252"/>
      <w:ind w:left="1512" w:hanging="432"/>
      <w:jc w:val="both"/>
    </w:pPr>
    <w:rPr>
      <w:rFonts w:eastAsia="Times New Roman"/>
      <w:lang w:val="en-US"/>
    </w:rPr>
  </w:style>
  <w:style w:type="paragraph" w:customStyle="1" w:styleId="Style48">
    <w:name w:val="Style 48"/>
    <w:basedOn w:val="Normal"/>
    <w:uiPriority w:val="99"/>
    <w:rsid w:val="00164211"/>
    <w:pPr>
      <w:widowControl w:val="0"/>
      <w:autoSpaceDE w:val="0"/>
      <w:autoSpaceDN w:val="0"/>
      <w:spacing w:before="108"/>
      <w:ind w:left="1584" w:hanging="504"/>
      <w:jc w:val="both"/>
    </w:pPr>
    <w:rPr>
      <w:rFonts w:eastAsia="Times New Roman"/>
      <w:lang w:val="en-US"/>
    </w:rPr>
  </w:style>
  <w:style w:type="paragraph" w:customStyle="1" w:styleId="Style26">
    <w:name w:val="Style 26"/>
    <w:basedOn w:val="Normal"/>
    <w:uiPriority w:val="99"/>
    <w:rsid w:val="00164211"/>
    <w:pPr>
      <w:widowControl w:val="0"/>
      <w:tabs>
        <w:tab w:val="decimal" w:pos="792"/>
      </w:tabs>
      <w:autoSpaceDE w:val="0"/>
      <w:autoSpaceDN w:val="0"/>
      <w:spacing w:before="72"/>
    </w:pPr>
    <w:rPr>
      <w:rFonts w:eastAsia="Times New Roman"/>
      <w:lang w:val="en-US"/>
    </w:rPr>
  </w:style>
  <w:style w:type="paragraph" w:customStyle="1" w:styleId="Style27">
    <w:name w:val="Style 27"/>
    <w:basedOn w:val="Normal"/>
    <w:uiPriority w:val="99"/>
    <w:rsid w:val="00164211"/>
    <w:pPr>
      <w:widowControl w:val="0"/>
      <w:tabs>
        <w:tab w:val="decimal" w:pos="684"/>
      </w:tabs>
      <w:autoSpaceDE w:val="0"/>
      <w:autoSpaceDN w:val="0"/>
      <w:spacing w:before="108" w:after="72"/>
    </w:pPr>
    <w:rPr>
      <w:rFonts w:eastAsia="Times New Roman"/>
      <w:lang w:val="en-US"/>
    </w:rPr>
  </w:style>
  <w:style w:type="paragraph" w:customStyle="1" w:styleId="Style28">
    <w:name w:val="Style 28"/>
    <w:basedOn w:val="Normal"/>
    <w:uiPriority w:val="99"/>
    <w:rsid w:val="00164211"/>
    <w:pPr>
      <w:widowControl w:val="0"/>
      <w:tabs>
        <w:tab w:val="decimal" w:pos="684"/>
      </w:tabs>
      <w:autoSpaceDE w:val="0"/>
      <w:autoSpaceDN w:val="0"/>
      <w:spacing w:before="72" w:after="72"/>
    </w:pPr>
    <w:rPr>
      <w:rFonts w:eastAsia="Times New Roman"/>
      <w:lang w:val="en-US"/>
    </w:rPr>
  </w:style>
  <w:style w:type="paragraph" w:customStyle="1" w:styleId="Style30">
    <w:name w:val="Style 30"/>
    <w:basedOn w:val="Normal"/>
    <w:uiPriority w:val="99"/>
    <w:rsid w:val="00164211"/>
    <w:pPr>
      <w:widowControl w:val="0"/>
      <w:tabs>
        <w:tab w:val="decimal" w:pos="252"/>
      </w:tabs>
      <w:autoSpaceDE w:val="0"/>
      <w:autoSpaceDN w:val="0"/>
      <w:spacing w:before="72" w:after="72"/>
    </w:pPr>
    <w:rPr>
      <w:rFonts w:eastAsia="Times New Roman"/>
      <w:lang w:val="en-US"/>
    </w:rPr>
  </w:style>
  <w:style w:type="paragraph" w:customStyle="1" w:styleId="Style29">
    <w:name w:val="Style 29"/>
    <w:basedOn w:val="Normal"/>
    <w:uiPriority w:val="99"/>
    <w:rsid w:val="00164211"/>
    <w:pPr>
      <w:widowControl w:val="0"/>
      <w:autoSpaceDE w:val="0"/>
      <w:autoSpaceDN w:val="0"/>
      <w:spacing w:before="72" w:after="72"/>
      <w:ind w:right="216"/>
      <w:jc w:val="right"/>
    </w:pPr>
    <w:rPr>
      <w:rFonts w:eastAsia="Times New Roman"/>
      <w:lang w:val="en-US"/>
    </w:rPr>
  </w:style>
  <w:style w:type="paragraph" w:customStyle="1" w:styleId="Style32">
    <w:name w:val="Style 32"/>
    <w:basedOn w:val="Normal"/>
    <w:uiPriority w:val="99"/>
    <w:rsid w:val="00164211"/>
    <w:pPr>
      <w:widowControl w:val="0"/>
      <w:autoSpaceDE w:val="0"/>
      <w:autoSpaceDN w:val="0"/>
      <w:adjustRightInd w:val="0"/>
    </w:pPr>
    <w:rPr>
      <w:rFonts w:eastAsia="Times New Roman"/>
      <w:lang w:val="en-US"/>
    </w:rPr>
  </w:style>
  <w:style w:type="paragraph" w:customStyle="1" w:styleId="Style33">
    <w:name w:val="Style 33"/>
    <w:basedOn w:val="Normal"/>
    <w:uiPriority w:val="99"/>
    <w:rsid w:val="00164211"/>
    <w:pPr>
      <w:widowControl w:val="0"/>
      <w:tabs>
        <w:tab w:val="left" w:pos="720"/>
      </w:tabs>
      <w:autoSpaceDE w:val="0"/>
      <w:autoSpaceDN w:val="0"/>
      <w:spacing w:line="360" w:lineRule="auto"/>
    </w:pPr>
    <w:rPr>
      <w:rFonts w:eastAsia="Times New Roman"/>
      <w:lang w:val="en-US"/>
    </w:rPr>
  </w:style>
  <w:style w:type="character" w:customStyle="1" w:styleId="titularesestilo5">
    <w:name w:val="titulares estilo5"/>
    <w:basedOn w:val="Fuentedeprrafopredeter"/>
    <w:rsid w:val="0070456B"/>
  </w:style>
  <w:style w:type="numbering" w:customStyle="1" w:styleId="Sinlista114">
    <w:name w:val="Sin lista114"/>
    <w:next w:val="Sinlista"/>
    <w:semiHidden/>
    <w:rsid w:val="0070752D"/>
  </w:style>
  <w:style w:type="paragraph" w:customStyle="1" w:styleId="Estilo1">
    <w:name w:val="Estilo1"/>
    <w:basedOn w:val="Textonotapie"/>
    <w:uiPriority w:val="99"/>
    <w:rsid w:val="0070752D"/>
    <w:pPr>
      <w:autoSpaceDE w:val="0"/>
      <w:autoSpaceDN w:val="0"/>
      <w:adjustRightInd w:val="0"/>
      <w:jc w:val="both"/>
    </w:pPr>
    <w:rPr>
      <w:rFonts w:eastAsia="Times New Roman"/>
    </w:rPr>
  </w:style>
  <w:style w:type="table" w:customStyle="1" w:styleId="Tablaconcuadrcula215">
    <w:name w:val="Tabla con cuadrícula215"/>
    <w:basedOn w:val="Tablanormal"/>
    <w:next w:val="Tablaconcuadrcula"/>
    <w:rsid w:val="007075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
    <w:name w:val="Sin lista115"/>
    <w:next w:val="Sinlista"/>
    <w:semiHidden/>
    <w:rsid w:val="00AD142F"/>
  </w:style>
  <w:style w:type="numbering" w:customStyle="1" w:styleId="Sinlista116">
    <w:name w:val="Sin lista116"/>
    <w:next w:val="Sinlista"/>
    <w:semiHidden/>
    <w:rsid w:val="00E23BB8"/>
  </w:style>
  <w:style w:type="table" w:customStyle="1" w:styleId="Tablaconcuadrcula216">
    <w:name w:val="Tabla con cuadrícula216"/>
    <w:basedOn w:val="Tablanormal"/>
    <w:next w:val="Tablaconcuadrcula"/>
    <w:rsid w:val="00E23B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
    <w:name w:val="Tabla con cuadrícula217"/>
    <w:basedOn w:val="Tablanormal"/>
    <w:next w:val="Tablaconcuadrcula"/>
    <w:rsid w:val="003A13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
    <w:name w:val="Sin lista117"/>
    <w:next w:val="Sinlista"/>
    <w:semiHidden/>
    <w:rsid w:val="00B9303D"/>
  </w:style>
  <w:style w:type="table" w:customStyle="1" w:styleId="Tablaconcuadrcula218">
    <w:name w:val="Tabla con cuadrícula218"/>
    <w:basedOn w:val="Tablanormal"/>
    <w:next w:val="Tablaconcuadrcula"/>
    <w:rsid w:val="00B930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
    <w:name w:val="Sin lista118"/>
    <w:next w:val="Sinlista"/>
    <w:semiHidden/>
    <w:rsid w:val="00377A24"/>
  </w:style>
  <w:style w:type="table" w:customStyle="1" w:styleId="Tablaconcuadrcula219">
    <w:name w:val="Tabla con cuadrícula219"/>
    <w:basedOn w:val="Tablanormal"/>
    <w:next w:val="Tablaconcuadrcula"/>
    <w:rsid w:val="00377A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
    <w:name w:val="Tabla con cuadrícula220"/>
    <w:basedOn w:val="Tablanormal"/>
    <w:next w:val="Tablaconcuadrcula"/>
    <w:rsid w:val="00167E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
    <w:name w:val="Sin lista119"/>
    <w:next w:val="Sinlista"/>
    <w:semiHidden/>
    <w:rsid w:val="009635D1"/>
  </w:style>
  <w:style w:type="table" w:customStyle="1" w:styleId="Tablaconcuadrcula221">
    <w:name w:val="Tabla con cuadrícula221"/>
    <w:basedOn w:val="Tablanormal"/>
    <w:next w:val="Tablaconcuadrcula"/>
    <w:rsid w:val="009635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0">
    <w:name w:val="Style 40"/>
    <w:basedOn w:val="Normal"/>
    <w:uiPriority w:val="99"/>
    <w:rsid w:val="009635D1"/>
    <w:pPr>
      <w:widowControl w:val="0"/>
      <w:autoSpaceDE w:val="0"/>
      <w:autoSpaceDN w:val="0"/>
      <w:jc w:val="right"/>
    </w:pPr>
    <w:rPr>
      <w:rFonts w:eastAsia="Times New Roman"/>
      <w:lang w:val="en-US"/>
    </w:rPr>
  </w:style>
  <w:style w:type="table" w:customStyle="1" w:styleId="Tablaconcuadrcula222">
    <w:name w:val="Tabla con cuadrícula222"/>
    <w:basedOn w:val="Tablanormal"/>
    <w:next w:val="Tablaconcuadrcula"/>
    <w:rsid w:val="008A00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
    <w:name w:val="Sin lista120"/>
    <w:next w:val="Sinlista"/>
    <w:semiHidden/>
    <w:rsid w:val="003336F0"/>
  </w:style>
  <w:style w:type="numbering" w:customStyle="1" w:styleId="Sinlista121">
    <w:name w:val="Sin lista121"/>
    <w:next w:val="Sinlista"/>
    <w:semiHidden/>
    <w:rsid w:val="00E312DA"/>
  </w:style>
  <w:style w:type="table" w:customStyle="1" w:styleId="Tablaconcuadrcula223">
    <w:name w:val="Tabla con cuadrícula223"/>
    <w:basedOn w:val="Tablanormal"/>
    <w:next w:val="Tablaconcuadrcula"/>
    <w:rsid w:val="00E312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semiHidden/>
    <w:rsid w:val="00E10B82"/>
  </w:style>
  <w:style w:type="table" w:customStyle="1" w:styleId="Tablaconcuadrcula224">
    <w:name w:val="Tabla con cuadrícula224"/>
    <w:basedOn w:val="Tablanormal"/>
    <w:next w:val="Tablaconcuadrcula"/>
    <w:rsid w:val="00E10B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semiHidden/>
    <w:rsid w:val="00CD2583"/>
  </w:style>
  <w:style w:type="paragraph" w:customStyle="1" w:styleId="xl32">
    <w:name w:val="xl32"/>
    <w:basedOn w:val="Normal"/>
    <w:uiPriority w:val="99"/>
    <w:rsid w:val="00CD2583"/>
    <w:pPr>
      <w:pBdr>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33">
    <w:name w:val="xl33"/>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4">
    <w:name w:val="xl34"/>
    <w:basedOn w:val="Normal"/>
    <w:uiPriority w:val="99"/>
    <w:rsid w:val="00CD2583"/>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5">
    <w:name w:val="xl35"/>
    <w:basedOn w:val="Normal"/>
    <w:uiPriority w:val="99"/>
    <w:rsid w:val="00CD2583"/>
    <w:pPr>
      <w:pBdr>
        <w:bottom w:val="single" w:sz="8" w:space="0" w:color="auto"/>
      </w:pBdr>
      <w:spacing w:before="100" w:beforeAutospacing="1" w:after="100" w:afterAutospacing="1"/>
      <w:jc w:val="center"/>
    </w:pPr>
    <w:rPr>
      <w:rFonts w:eastAsia="Times New Roman"/>
      <w:b/>
      <w:bCs/>
      <w:color w:val="000080"/>
      <w:sz w:val="16"/>
      <w:szCs w:val="16"/>
      <w:lang w:val="es-ES"/>
    </w:rPr>
  </w:style>
  <w:style w:type="paragraph" w:customStyle="1" w:styleId="xl36">
    <w:name w:val="xl36"/>
    <w:basedOn w:val="Normal"/>
    <w:uiPriority w:val="99"/>
    <w:rsid w:val="00CD2583"/>
    <w:pPr>
      <w:spacing w:before="100" w:beforeAutospacing="1" w:after="100" w:afterAutospacing="1"/>
    </w:pPr>
    <w:rPr>
      <w:rFonts w:eastAsia="Times New Roman"/>
      <w:sz w:val="16"/>
      <w:szCs w:val="16"/>
      <w:lang w:val="es-ES"/>
    </w:rPr>
  </w:style>
  <w:style w:type="paragraph" w:customStyle="1" w:styleId="xl37">
    <w:name w:val="xl37"/>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38">
    <w:name w:val="xl38"/>
    <w:basedOn w:val="Normal"/>
    <w:uiPriority w:val="99"/>
    <w:rsid w:val="00CD2583"/>
    <w:pPr>
      <w:spacing w:before="100" w:beforeAutospacing="1" w:after="100" w:afterAutospacing="1"/>
    </w:pPr>
    <w:rPr>
      <w:rFonts w:eastAsia="Times New Roman"/>
      <w:sz w:val="16"/>
      <w:szCs w:val="16"/>
      <w:lang w:val="es-ES"/>
    </w:rPr>
  </w:style>
  <w:style w:type="paragraph" w:customStyle="1" w:styleId="xl39">
    <w:name w:val="xl39"/>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0">
    <w:name w:val="xl40"/>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1">
    <w:name w:val="xl41"/>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2">
    <w:name w:val="xl42"/>
    <w:basedOn w:val="Normal"/>
    <w:uiPriority w:val="99"/>
    <w:rsid w:val="00CD2583"/>
    <w:pPr>
      <w:spacing w:before="100" w:beforeAutospacing="1" w:after="100" w:afterAutospacing="1"/>
      <w:jc w:val="center"/>
      <w:textAlignment w:val="top"/>
    </w:pPr>
    <w:rPr>
      <w:rFonts w:eastAsia="Times New Roman"/>
      <w:sz w:val="16"/>
      <w:szCs w:val="16"/>
      <w:lang w:val="es-ES"/>
    </w:rPr>
  </w:style>
  <w:style w:type="paragraph" w:customStyle="1" w:styleId="xl43">
    <w:name w:val="xl4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44">
    <w:name w:val="xl44"/>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5">
    <w:name w:val="xl45"/>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46">
    <w:name w:val="xl46"/>
    <w:basedOn w:val="Normal"/>
    <w:uiPriority w:val="99"/>
    <w:rsid w:val="00CD2583"/>
    <w:pPr>
      <w:shd w:val="clear" w:color="auto" w:fill="C0C0C0"/>
      <w:spacing w:before="100" w:beforeAutospacing="1" w:after="100" w:afterAutospacing="1"/>
    </w:pPr>
    <w:rPr>
      <w:rFonts w:eastAsia="Times New Roman"/>
      <w:sz w:val="16"/>
      <w:szCs w:val="16"/>
      <w:lang w:val="es-ES"/>
    </w:rPr>
  </w:style>
  <w:style w:type="paragraph" w:customStyle="1" w:styleId="xl47">
    <w:name w:val="xl47"/>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8">
    <w:name w:val="xl48"/>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49">
    <w:name w:val="xl49"/>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0">
    <w:name w:val="xl50"/>
    <w:basedOn w:val="Normal"/>
    <w:uiPriority w:val="99"/>
    <w:rsid w:val="00CD2583"/>
    <w:pPr>
      <w:shd w:val="clear" w:color="auto" w:fill="C0C0C0"/>
      <w:spacing w:before="100" w:beforeAutospacing="1" w:after="100" w:afterAutospacing="1"/>
      <w:jc w:val="center"/>
      <w:textAlignment w:val="top"/>
    </w:pPr>
    <w:rPr>
      <w:rFonts w:eastAsia="Times New Roman"/>
      <w:sz w:val="16"/>
      <w:szCs w:val="16"/>
      <w:lang w:val="es-ES"/>
    </w:rPr>
  </w:style>
  <w:style w:type="paragraph" w:customStyle="1" w:styleId="xl51">
    <w:name w:val="xl51"/>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2">
    <w:name w:val="xl52"/>
    <w:basedOn w:val="Normal"/>
    <w:uiPriority w:val="99"/>
    <w:rsid w:val="00CD2583"/>
    <w:pPr>
      <w:shd w:val="clear" w:color="auto" w:fill="C0C0C0"/>
      <w:spacing w:before="100" w:beforeAutospacing="1" w:after="100" w:afterAutospacing="1"/>
      <w:jc w:val="center"/>
    </w:pPr>
    <w:rPr>
      <w:rFonts w:eastAsia="Times New Roman"/>
      <w:sz w:val="16"/>
      <w:szCs w:val="16"/>
      <w:lang w:val="es-ES"/>
    </w:rPr>
  </w:style>
  <w:style w:type="paragraph" w:customStyle="1" w:styleId="xl53">
    <w:name w:val="xl53"/>
    <w:basedOn w:val="Normal"/>
    <w:uiPriority w:val="99"/>
    <w:rsid w:val="00CD2583"/>
    <w:pPr>
      <w:spacing w:before="100" w:beforeAutospacing="1" w:after="100" w:afterAutospacing="1"/>
      <w:jc w:val="center"/>
    </w:pPr>
    <w:rPr>
      <w:rFonts w:eastAsia="Times New Roman"/>
      <w:sz w:val="16"/>
      <w:szCs w:val="16"/>
      <w:lang w:val="es-ES"/>
    </w:rPr>
  </w:style>
  <w:style w:type="paragraph" w:customStyle="1" w:styleId="xl54">
    <w:name w:val="xl54"/>
    <w:basedOn w:val="Normal"/>
    <w:uiPriority w:val="99"/>
    <w:rsid w:val="00CD2583"/>
    <w:pPr>
      <w:pBdr>
        <w:top w:val="single" w:sz="8" w:space="0" w:color="auto"/>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55">
    <w:name w:val="xl55"/>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6">
    <w:name w:val="xl56"/>
    <w:basedOn w:val="Normal"/>
    <w:uiPriority w:val="99"/>
    <w:rsid w:val="00CD2583"/>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7">
    <w:name w:val="xl57"/>
    <w:basedOn w:val="Normal"/>
    <w:uiPriority w:val="99"/>
    <w:rsid w:val="00CD2583"/>
    <w:pPr>
      <w:pBdr>
        <w:top w:val="single" w:sz="8" w:space="0" w:color="auto"/>
        <w:bottom w:val="single" w:sz="8" w:space="0" w:color="auto"/>
      </w:pBdr>
      <w:spacing w:before="100" w:beforeAutospacing="1" w:after="100" w:afterAutospacing="1"/>
      <w:jc w:val="center"/>
    </w:pPr>
    <w:rPr>
      <w:rFonts w:eastAsia="Times New Roman"/>
      <w:b/>
      <w:bCs/>
      <w:color w:val="000080"/>
      <w:sz w:val="16"/>
      <w:szCs w:val="16"/>
      <w:lang w:val="es-ES"/>
    </w:rPr>
  </w:style>
  <w:style w:type="table" w:customStyle="1" w:styleId="Tablaconcuadrcula1240">
    <w:name w:val="Tabla con cuadrícula 124"/>
    <w:basedOn w:val="Tablanormal"/>
    <w:next w:val="Tablaconcuadrcula10"/>
    <w:rsid w:val="00CD25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
    <w:name w:val="Tabla con cuadrícula225"/>
    <w:basedOn w:val="Tablanormal"/>
    <w:next w:val="Tablaconcuadrcula"/>
    <w:rsid w:val="00CD25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
    <w:name w:val="Tabla con cuadrícula226"/>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
    <w:name w:val="Tabla con cuadrícula227"/>
    <w:basedOn w:val="Tablanormal"/>
    <w:next w:val="Tablaconcuadrcula"/>
    <w:rsid w:val="00AA6C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
    <w:name w:val="Tabla con cuadrícula228"/>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
    <w:name w:val="Tabla con cuadrícula229"/>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
    <w:name w:val="Tabla con cuadrícula230"/>
    <w:basedOn w:val="Tablanormal"/>
    <w:next w:val="Tablaconcuadrcula"/>
    <w:rsid w:val="00032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
    <w:name w:val="Sin lista124"/>
    <w:next w:val="Sinlista"/>
    <w:semiHidden/>
    <w:rsid w:val="00D30EBB"/>
  </w:style>
  <w:style w:type="table" w:customStyle="1" w:styleId="Tablaconcuadrcula231">
    <w:name w:val="Tabla con cuadrícula231"/>
    <w:basedOn w:val="Tablanormal"/>
    <w:next w:val="Tablaconcuadrcula"/>
    <w:rsid w:val="00D30E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0">
    <w:name w:val="Tabla con cuadrícula 125"/>
    <w:basedOn w:val="Tablanormal"/>
    <w:next w:val="Tablaconcuadrcula10"/>
    <w:rsid w:val="00A449B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
    <w:name w:val="Sin lista125"/>
    <w:next w:val="Sinlista"/>
    <w:semiHidden/>
    <w:rsid w:val="00976D73"/>
  </w:style>
  <w:style w:type="table" w:customStyle="1" w:styleId="Tablaconcuadrcula232">
    <w:name w:val="Tabla con cuadrícula232"/>
    <w:basedOn w:val="Tablanormal"/>
    <w:next w:val="Tablaconcuadrcula"/>
    <w:rsid w:val="00976D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
    <w:name w:val="Tabla con cuadrícula233"/>
    <w:basedOn w:val="Tablanormal"/>
    <w:next w:val="Tablaconcuadrcula"/>
    <w:rsid w:val="009227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0">
    <w:name w:val="Tabla con cuadrícula 126"/>
    <w:basedOn w:val="Tablanormal"/>
    <w:next w:val="Tablaconcuadrcula10"/>
    <w:rsid w:val="00EC29A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
    <w:name w:val="Tabla con cuadrícula234"/>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next w:val="Tablaconcuadrcula"/>
    <w:rsid w:val="00B45E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
    <w:name w:val="Tabla con cuadrícula235"/>
    <w:basedOn w:val="Tablanormal"/>
    <w:next w:val="Tablaconcuadrcula"/>
    <w:rsid w:val="00222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noticias">
    <w:name w:val="textonoticias"/>
    <w:basedOn w:val="Normal"/>
    <w:uiPriority w:val="99"/>
    <w:rsid w:val="00226AE9"/>
    <w:pPr>
      <w:spacing w:before="100" w:beforeAutospacing="1" w:after="100" w:afterAutospacing="1"/>
    </w:pPr>
    <w:rPr>
      <w:rFonts w:ascii="Verdana" w:eastAsia="Times New Roman" w:hAnsi="Verdana"/>
      <w:color w:val="000000"/>
      <w:sz w:val="21"/>
      <w:szCs w:val="21"/>
      <w:lang w:val="es-ES"/>
    </w:rPr>
  </w:style>
  <w:style w:type="table" w:customStyle="1" w:styleId="Tablaconcuadrcula236">
    <w:name w:val="Tabla con cuadrícula236"/>
    <w:basedOn w:val="Tablanormal"/>
    <w:next w:val="Tablaconcuadrcula"/>
    <w:rsid w:val="000508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
    <w:name w:val="Sin lista126"/>
    <w:next w:val="Sinlista"/>
    <w:semiHidden/>
    <w:rsid w:val="00643F24"/>
  </w:style>
  <w:style w:type="table" w:customStyle="1" w:styleId="Tablaconcuadrcula237">
    <w:name w:val="Tabla con cuadrícula237"/>
    <w:basedOn w:val="Tablanormal"/>
    <w:next w:val="Tablaconcuadrcula"/>
    <w:rsid w:val="00643F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0">
    <w:name w:val="Tabla con cuadrícula 127"/>
    <w:basedOn w:val="Tablanormal"/>
    <w:next w:val="Tablaconcuadrcula10"/>
    <w:rsid w:val="00643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8">
    <w:name w:val="Style 8"/>
    <w:basedOn w:val="Normal"/>
    <w:uiPriority w:val="99"/>
    <w:rsid w:val="00643F24"/>
    <w:pPr>
      <w:widowControl w:val="0"/>
      <w:autoSpaceDE w:val="0"/>
      <w:autoSpaceDN w:val="0"/>
      <w:spacing w:before="288"/>
      <w:ind w:right="396"/>
      <w:jc w:val="right"/>
    </w:pPr>
    <w:rPr>
      <w:rFonts w:eastAsia="Times New Roman"/>
      <w:lang w:val="en-US"/>
    </w:rPr>
  </w:style>
  <w:style w:type="table" w:customStyle="1" w:styleId="Tablaconcuadrcula238">
    <w:name w:val="Tabla con cuadrícula238"/>
    <w:basedOn w:val="Tablanormal"/>
    <w:next w:val="Tablaconcuadrcula"/>
    <w:rsid w:val="00CD4C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
    <w:name w:val="Tabla con cuadrícula239"/>
    <w:basedOn w:val="Tablanormal"/>
    <w:next w:val="Tablaconcuadrcula"/>
    <w:rsid w:val="00C05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
    <w:name w:val="Tabla con cuadrícula240"/>
    <w:basedOn w:val="Tablanormal"/>
    <w:next w:val="Tablaconcuadrcula"/>
    <w:rsid w:val="004761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
    <w:name w:val="Sin lista127"/>
    <w:next w:val="Sinlista"/>
    <w:semiHidden/>
    <w:rsid w:val="00A25582"/>
  </w:style>
  <w:style w:type="table" w:customStyle="1" w:styleId="Tablaconcuadrcula241">
    <w:name w:val="Tabla con cuadrícula241"/>
    <w:basedOn w:val="Tablanormal"/>
    <w:next w:val="Tablaconcuadrcula"/>
    <w:rsid w:val="00A25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
    <w:name w:val="Sin lista128"/>
    <w:next w:val="Sinlista"/>
    <w:semiHidden/>
    <w:rsid w:val="00DD485C"/>
  </w:style>
  <w:style w:type="paragraph" w:customStyle="1" w:styleId="feedbackbox">
    <w:name w:val="feedbackbox"/>
    <w:basedOn w:val="Normal"/>
    <w:uiPriority w:val="99"/>
    <w:rsid w:val="00DD485C"/>
    <w:pPr>
      <w:spacing w:before="100" w:beforeAutospacing="1" w:after="100" w:afterAutospacing="1"/>
    </w:pPr>
    <w:rPr>
      <w:rFonts w:eastAsia="Times New Roman"/>
      <w:color w:val="FFFFFF"/>
      <w:lang w:val="es-ES"/>
    </w:rPr>
  </w:style>
  <w:style w:type="paragraph" w:customStyle="1" w:styleId="feedbackinputline">
    <w:name w:val="feedbackinputline"/>
    <w:basedOn w:val="Normal"/>
    <w:uiPriority w:val="99"/>
    <w:rsid w:val="00DD485C"/>
    <w:pPr>
      <w:shd w:val="clear" w:color="auto" w:fill="FFFFFF"/>
      <w:spacing w:before="100" w:beforeAutospacing="1" w:after="100" w:afterAutospacing="1" w:line="210" w:lineRule="atLeast"/>
      <w:textAlignment w:val="center"/>
    </w:pPr>
    <w:rPr>
      <w:rFonts w:eastAsia="Times New Roman"/>
      <w:color w:val="333333"/>
      <w:lang w:val="es-ES"/>
    </w:rPr>
  </w:style>
  <w:style w:type="paragraph" w:customStyle="1" w:styleId="feedbackinputbox">
    <w:name w:val="feedbackinputbox"/>
    <w:basedOn w:val="Normal"/>
    <w:uiPriority w:val="99"/>
    <w:rsid w:val="00DD485C"/>
    <w:pPr>
      <w:shd w:val="clear" w:color="auto" w:fill="FFFFFF"/>
      <w:spacing w:before="100" w:beforeAutospacing="1" w:after="100" w:afterAutospacing="1"/>
    </w:pPr>
    <w:rPr>
      <w:rFonts w:eastAsia="Times New Roman"/>
      <w:color w:val="333333"/>
      <w:sz w:val="29"/>
      <w:szCs w:val="29"/>
      <w:lang w:val="es-ES"/>
    </w:rPr>
  </w:style>
  <w:style w:type="paragraph" w:customStyle="1" w:styleId="sendform">
    <w:name w:val="sendform"/>
    <w:basedOn w:val="Normal"/>
    <w:uiPriority w:val="99"/>
    <w:rsid w:val="00DD485C"/>
    <w:pPr>
      <w:pBdr>
        <w:top w:val="single" w:sz="6" w:space="0" w:color="666666"/>
        <w:left w:val="single" w:sz="6" w:space="0" w:color="666666"/>
        <w:bottom w:val="single" w:sz="6" w:space="0" w:color="666666"/>
        <w:right w:val="single" w:sz="6" w:space="0" w:color="666666"/>
      </w:pBdr>
      <w:spacing w:before="100" w:beforeAutospacing="1" w:after="100" w:afterAutospacing="1"/>
    </w:pPr>
    <w:rPr>
      <w:rFonts w:eastAsia="Times New Roman"/>
      <w:sz w:val="17"/>
      <w:szCs w:val="17"/>
      <w:lang w:val="es-ES"/>
    </w:rPr>
  </w:style>
  <w:style w:type="paragraph" w:customStyle="1" w:styleId="orgname">
    <w:name w:val="orgname"/>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ntact">
    <w:name w:val="contact"/>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contactname">
    <w:name w:val="contact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country">
    <w:name w:val="country"/>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typo">
    <w:name w:val="typo"/>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address">
    <w:name w:val="address"/>
    <w:basedOn w:val="Normal"/>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addressname">
    <w:name w:val="address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website">
    <w:name w:val="website"/>
    <w:basedOn w:val="Normal"/>
    <w:uiPriority w:val="99"/>
    <w:rsid w:val="00DD485C"/>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websitename">
    <w:name w:val="websitename"/>
    <w:basedOn w:val="Normal"/>
    <w:uiPriority w:val="99"/>
    <w:rsid w:val="00DD485C"/>
    <w:pPr>
      <w:spacing w:before="100" w:beforeAutospacing="1" w:after="100" w:afterAutospacing="1"/>
    </w:pPr>
    <w:rPr>
      <w:rFonts w:ascii="Arial" w:eastAsia="Times New Roman" w:hAnsi="Arial" w:cs="Arial"/>
      <w:color w:val="000000"/>
      <w:sz w:val="17"/>
      <w:szCs w:val="17"/>
      <w:lang w:val="es-ES"/>
    </w:rPr>
  </w:style>
  <w:style w:type="paragraph" w:customStyle="1" w:styleId="email">
    <w:name w:val="email"/>
    <w:basedOn w:val="Normal"/>
    <w:uiPriority w:val="99"/>
    <w:rsid w:val="00DD485C"/>
    <w:pPr>
      <w:spacing w:before="100" w:beforeAutospacing="1" w:after="100" w:afterAutospacing="1"/>
    </w:pPr>
    <w:rPr>
      <w:rFonts w:ascii="Arial" w:eastAsia="Times New Roman" w:hAnsi="Arial" w:cs="Arial"/>
      <w:b/>
      <w:bCs/>
      <w:color w:val="000000"/>
      <w:sz w:val="17"/>
      <w:szCs w:val="17"/>
      <w:lang w:val="es-ES"/>
    </w:rPr>
  </w:style>
  <w:style w:type="paragraph" w:customStyle="1" w:styleId="countryname">
    <w:name w:val="countryname"/>
    <w:basedOn w:val="Normal"/>
    <w:uiPriority w:val="99"/>
    <w:rsid w:val="00DD485C"/>
    <w:pPr>
      <w:spacing w:before="100" w:beforeAutospacing="1" w:after="100" w:afterAutospacing="1"/>
    </w:pPr>
    <w:rPr>
      <w:rFonts w:ascii="Arial" w:eastAsia="Times New Roman" w:hAnsi="Arial" w:cs="Arial"/>
      <w:b/>
      <w:bCs/>
      <w:color w:val="000000"/>
      <w:sz w:val="20"/>
      <w:szCs w:val="20"/>
      <w:lang w:val="es-ES"/>
    </w:rPr>
  </w:style>
  <w:style w:type="paragraph" w:customStyle="1" w:styleId="selectedtop">
    <w:name w:val="selected_to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nr">
    <w:name w:val="selected_n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gp">
    <w:name w:val="selected_g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rp">
    <w:name w:val="selected_rp"/>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r">
    <w:name w:val="selected_pr"/>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tools">
    <w:name w:val="selected_tool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ubs">
    <w:name w:val="selected_pubs"/>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su">
    <w:name w:val="selected_su"/>
    <w:basedOn w:val="Normal"/>
    <w:uiPriority w:val="99"/>
    <w:rsid w:val="00DD485C"/>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firstlevelbuttonsright">
    <w:name w:val="firstlevelbuttonsright"/>
    <w:basedOn w:val="Normal"/>
    <w:uiPriority w:val="99"/>
    <w:rsid w:val="00DD485C"/>
    <w:pPr>
      <w:shd w:val="clear" w:color="auto" w:fill="336699"/>
      <w:spacing w:before="100" w:beforeAutospacing="1" w:after="100" w:afterAutospacing="1" w:line="240" w:lineRule="atLeast"/>
    </w:pPr>
    <w:rPr>
      <w:rFonts w:eastAsia="Times New Roman"/>
      <w:b/>
      <w:bCs/>
      <w:color w:val="FFFFFF"/>
      <w:lang w:val="es-ES"/>
    </w:rPr>
  </w:style>
  <w:style w:type="paragraph" w:customStyle="1" w:styleId="topmenuinputbox">
    <w:name w:val="topmenuinputbox"/>
    <w:basedOn w:val="Normal"/>
    <w:uiPriority w:val="99"/>
    <w:rsid w:val="00DD485C"/>
    <w:pPr>
      <w:pBdr>
        <w:top w:val="single" w:sz="6" w:space="0" w:color="000000"/>
        <w:left w:val="single" w:sz="6" w:space="0" w:color="000000"/>
        <w:bottom w:val="single" w:sz="6" w:space="0" w:color="000000"/>
        <w:right w:val="single" w:sz="6" w:space="0" w:color="000000"/>
      </w:pBdr>
      <w:shd w:val="clear" w:color="auto" w:fill="FFFFFF"/>
      <w:ind w:left="150" w:right="75"/>
      <w:textAlignment w:val="top"/>
    </w:pPr>
    <w:rPr>
      <w:rFonts w:eastAsia="Times New Roman"/>
      <w:color w:val="336699"/>
      <w:sz w:val="15"/>
      <w:szCs w:val="15"/>
      <w:lang w:val="es-ES"/>
    </w:rPr>
  </w:style>
  <w:style w:type="paragraph" w:customStyle="1" w:styleId="logobanner">
    <w:name w:val="logobanner"/>
    <w:basedOn w:val="Normal"/>
    <w:uiPriority w:val="99"/>
    <w:rsid w:val="00DD485C"/>
    <w:pPr>
      <w:pBdr>
        <w:top w:val="single" w:sz="6" w:space="0" w:color="FFFFFF"/>
        <w:bottom w:val="single" w:sz="6" w:space="0" w:color="FFFFFF"/>
        <w:right w:val="single" w:sz="6" w:space="0" w:color="FFFFFF"/>
      </w:pBdr>
      <w:shd w:val="clear" w:color="auto" w:fill="D9EBF9"/>
      <w:spacing w:before="100" w:beforeAutospacing="1" w:after="100" w:afterAutospacing="1"/>
    </w:pPr>
    <w:rPr>
      <w:rFonts w:eastAsia="Times New Roman"/>
      <w:lang w:val="es-ES"/>
    </w:rPr>
  </w:style>
  <w:style w:type="paragraph" w:customStyle="1" w:styleId="secondlevel">
    <w:name w:val="secondlevel"/>
    <w:basedOn w:val="Normal"/>
    <w:uiPriority w:val="99"/>
    <w:rsid w:val="00DD485C"/>
    <w:pPr>
      <w:pBdr>
        <w:top w:val="single" w:sz="6" w:space="0" w:color="FFFFFF"/>
      </w:pBdr>
      <w:shd w:val="clear" w:color="auto" w:fill="336699"/>
      <w:spacing w:before="100" w:beforeAutospacing="1" w:after="100" w:afterAutospacing="1"/>
    </w:pPr>
    <w:rPr>
      <w:rFonts w:eastAsia="Times New Roman"/>
      <w:color w:val="FFFFFF"/>
      <w:lang w:val="es-ES"/>
    </w:rPr>
  </w:style>
  <w:style w:type="paragraph" w:customStyle="1" w:styleId="crumbtrailnr">
    <w:name w:val="crumbtrail_nr"/>
    <w:basedOn w:val="Normal"/>
    <w:uiPriority w:val="99"/>
    <w:rsid w:val="00DD485C"/>
    <w:pPr>
      <w:spacing w:before="100" w:beforeAutospacing="1" w:after="100" w:afterAutospacing="1"/>
    </w:pPr>
    <w:rPr>
      <w:rFonts w:eastAsia="Times New Roman"/>
      <w:lang w:val="es-ES"/>
    </w:rPr>
  </w:style>
  <w:style w:type="paragraph" w:customStyle="1" w:styleId="crumbtrailgp">
    <w:name w:val="crumbtrail_gp"/>
    <w:basedOn w:val="Normal"/>
    <w:uiPriority w:val="99"/>
    <w:rsid w:val="00DD485C"/>
    <w:pPr>
      <w:spacing w:before="100" w:beforeAutospacing="1" w:after="100" w:afterAutospacing="1"/>
    </w:pPr>
    <w:rPr>
      <w:rFonts w:eastAsia="Times New Roman"/>
      <w:lang w:val="es-ES"/>
    </w:rPr>
  </w:style>
  <w:style w:type="paragraph" w:customStyle="1" w:styleId="crumbtrailrp">
    <w:name w:val="crumbtrail_rp"/>
    <w:basedOn w:val="Normal"/>
    <w:uiPriority w:val="99"/>
    <w:rsid w:val="00DD485C"/>
    <w:pPr>
      <w:spacing w:before="100" w:beforeAutospacing="1" w:after="100" w:afterAutospacing="1"/>
    </w:pPr>
    <w:rPr>
      <w:rFonts w:eastAsia="Times New Roman"/>
      <w:lang w:val="es-ES"/>
    </w:rPr>
  </w:style>
  <w:style w:type="paragraph" w:customStyle="1" w:styleId="crumbtrailpr">
    <w:name w:val="crumbtrail_pr"/>
    <w:basedOn w:val="Normal"/>
    <w:uiPriority w:val="99"/>
    <w:rsid w:val="00DD485C"/>
    <w:pPr>
      <w:spacing w:before="100" w:beforeAutospacing="1" w:after="100" w:afterAutospacing="1"/>
    </w:pPr>
    <w:rPr>
      <w:rFonts w:eastAsia="Times New Roman"/>
      <w:lang w:val="es-ES"/>
    </w:rPr>
  </w:style>
  <w:style w:type="paragraph" w:customStyle="1" w:styleId="crumbtrailtools">
    <w:name w:val="crumbtrail_tools"/>
    <w:basedOn w:val="Normal"/>
    <w:uiPriority w:val="99"/>
    <w:rsid w:val="00DD485C"/>
    <w:pPr>
      <w:spacing w:before="100" w:beforeAutospacing="1" w:after="100" w:afterAutospacing="1"/>
    </w:pPr>
    <w:rPr>
      <w:rFonts w:eastAsia="Times New Roman"/>
      <w:lang w:val="es-ES"/>
    </w:rPr>
  </w:style>
  <w:style w:type="paragraph" w:customStyle="1" w:styleId="crumbtrailpubs">
    <w:name w:val="crumbtrail_pubs"/>
    <w:basedOn w:val="Normal"/>
    <w:uiPriority w:val="99"/>
    <w:rsid w:val="00DD485C"/>
    <w:pPr>
      <w:spacing w:before="100" w:beforeAutospacing="1" w:after="100" w:afterAutospacing="1"/>
    </w:pPr>
    <w:rPr>
      <w:rFonts w:eastAsia="Times New Roman"/>
      <w:lang w:val="es-ES"/>
    </w:rPr>
  </w:style>
  <w:style w:type="paragraph" w:customStyle="1" w:styleId="crumbtrailau">
    <w:name w:val="crumbtrail_au"/>
    <w:basedOn w:val="Normal"/>
    <w:uiPriority w:val="99"/>
    <w:rsid w:val="00DD485C"/>
    <w:pPr>
      <w:spacing w:before="100" w:beforeAutospacing="1" w:after="100" w:afterAutospacing="1"/>
    </w:pPr>
    <w:rPr>
      <w:rFonts w:eastAsia="Times New Roman"/>
      <w:lang w:val="es-ES"/>
    </w:rPr>
  </w:style>
  <w:style w:type="paragraph" w:customStyle="1" w:styleId="crumbtrailcu">
    <w:name w:val="crumbtrail_cu"/>
    <w:basedOn w:val="Normal"/>
    <w:uiPriority w:val="99"/>
    <w:rsid w:val="00DD485C"/>
    <w:pPr>
      <w:spacing w:before="100" w:beforeAutospacing="1" w:after="100" w:afterAutospacing="1"/>
    </w:pPr>
    <w:rPr>
      <w:rFonts w:eastAsia="Times New Roman"/>
      <w:lang w:val="es-ES"/>
    </w:rPr>
  </w:style>
  <w:style w:type="paragraph" w:customStyle="1" w:styleId="crumbtrailsu">
    <w:name w:val="crumbtrail_su"/>
    <w:basedOn w:val="Normal"/>
    <w:uiPriority w:val="99"/>
    <w:rsid w:val="00DD485C"/>
    <w:pPr>
      <w:spacing w:before="100" w:beforeAutospacing="1" w:after="100" w:afterAutospacing="1"/>
    </w:pPr>
    <w:rPr>
      <w:rFonts w:eastAsia="Times New Roman"/>
      <w:lang w:val="es-ES"/>
    </w:rPr>
  </w:style>
  <w:style w:type="paragraph" w:customStyle="1" w:styleId="contenttitle">
    <w:name w:val="content_title"/>
    <w:basedOn w:val="Normal"/>
    <w:uiPriority w:val="99"/>
    <w:rsid w:val="00DD485C"/>
    <w:pPr>
      <w:spacing w:before="100" w:beforeAutospacing="1" w:after="100" w:afterAutospacing="1" w:line="255" w:lineRule="atLeast"/>
    </w:pPr>
    <w:rPr>
      <w:rFonts w:eastAsia="Times New Roman"/>
      <w:b/>
      <w:bCs/>
      <w:color w:val="333333"/>
      <w:lang w:val="es-ES"/>
    </w:rPr>
  </w:style>
  <w:style w:type="paragraph" w:customStyle="1" w:styleId="contentprintme">
    <w:name w:val="content_printme"/>
    <w:basedOn w:val="Normal"/>
    <w:uiPriority w:val="99"/>
    <w:rsid w:val="00DD485C"/>
    <w:pPr>
      <w:spacing w:before="100" w:beforeAutospacing="1" w:after="100" w:afterAutospacing="1" w:line="225" w:lineRule="atLeast"/>
    </w:pPr>
    <w:rPr>
      <w:rFonts w:eastAsia="Times New Roman"/>
      <w:color w:val="333333"/>
      <w:lang w:val="es-ES"/>
    </w:rPr>
  </w:style>
  <w:style w:type="paragraph" w:customStyle="1" w:styleId="headlinetxtnr">
    <w:name w:val="headline_txt_nr"/>
    <w:basedOn w:val="Normal"/>
    <w:uiPriority w:val="99"/>
    <w:rsid w:val="00DD485C"/>
    <w:pPr>
      <w:shd w:val="clear" w:color="auto" w:fill="CC0000"/>
      <w:spacing w:before="100" w:beforeAutospacing="1" w:after="100" w:afterAutospacing="1" w:line="255" w:lineRule="atLeast"/>
      <w:jc w:val="center"/>
    </w:pPr>
    <w:rPr>
      <w:rFonts w:eastAsia="Times New Roman"/>
      <w:b/>
      <w:bCs/>
      <w:color w:val="FFFFFF"/>
      <w:lang w:val="es-ES"/>
    </w:rPr>
  </w:style>
  <w:style w:type="paragraph" w:customStyle="1" w:styleId="headlinetxtgp">
    <w:name w:val="headline_txt_gp"/>
    <w:basedOn w:val="Normal"/>
    <w:uiPriority w:val="99"/>
    <w:rsid w:val="00DD485C"/>
    <w:pPr>
      <w:shd w:val="clear" w:color="auto" w:fill="FF9933"/>
      <w:spacing w:before="100" w:beforeAutospacing="1" w:after="100" w:afterAutospacing="1" w:line="255" w:lineRule="atLeast"/>
      <w:jc w:val="center"/>
    </w:pPr>
    <w:rPr>
      <w:rFonts w:eastAsia="Times New Roman"/>
      <w:b/>
      <w:bCs/>
      <w:color w:val="FFFFFF"/>
      <w:lang w:val="es-ES"/>
    </w:rPr>
  </w:style>
  <w:style w:type="paragraph" w:customStyle="1" w:styleId="headlinetxtrp">
    <w:name w:val="headline_txt_rp"/>
    <w:basedOn w:val="Normal"/>
    <w:uiPriority w:val="99"/>
    <w:rsid w:val="00DD485C"/>
    <w:pPr>
      <w:shd w:val="clear" w:color="auto" w:fill="66CC66"/>
      <w:spacing w:before="100" w:beforeAutospacing="1" w:after="100" w:afterAutospacing="1" w:line="255" w:lineRule="atLeast"/>
      <w:jc w:val="center"/>
    </w:pPr>
    <w:rPr>
      <w:rFonts w:eastAsia="Times New Roman"/>
      <w:b/>
      <w:bCs/>
      <w:color w:val="FFFFFF"/>
      <w:lang w:val="es-ES"/>
    </w:rPr>
  </w:style>
  <w:style w:type="paragraph" w:customStyle="1" w:styleId="headlinetxtpr">
    <w:name w:val="headline_txt_pr"/>
    <w:basedOn w:val="Normal"/>
    <w:uiPriority w:val="99"/>
    <w:rsid w:val="00DD485C"/>
    <w:pPr>
      <w:shd w:val="clear" w:color="auto" w:fill="339999"/>
      <w:spacing w:before="100" w:beforeAutospacing="1" w:after="100" w:afterAutospacing="1" w:line="255" w:lineRule="atLeast"/>
      <w:jc w:val="center"/>
    </w:pPr>
    <w:rPr>
      <w:rFonts w:eastAsia="Times New Roman"/>
      <w:b/>
      <w:bCs/>
      <w:color w:val="FFFFFF"/>
      <w:lang w:val="es-ES"/>
    </w:rPr>
  </w:style>
  <w:style w:type="paragraph" w:customStyle="1" w:styleId="headlinetxttools">
    <w:name w:val="headline_txt_tools"/>
    <w:basedOn w:val="Normal"/>
    <w:uiPriority w:val="99"/>
    <w:rsid w:val="00DD485C"/>
    <w:pPr>
      <w:shd w:val="clear" w:color="auto" w:fill="CCCC99"/>
      <w:spacing w:before="100" w:beforeAutospacing="1" w:after="100" w:afterAutospacing="1" w:line="255" w:lineRule="atLeast"/>
      <w:jc w:val="center"/>
    </w:pPr>
    <w:rPr>
      <w:rFonts w:eastAsia="Times New Roman"/>
      <w:b/>
      <w:bCs/>
      <w:color w:val="FFFFFF"/>
      <w:lang w:val="es-ES"/>
    </w:rPr>
  </w:style>
  <w:style w:type="paragraph" w:customStyle="1" w:styleId="headlinetxtpubs">
    <w:name w:val="headline_txt_pubs"/>
    <w:basedOn w:val="Normal"/>
    <w:uiPriority w:val="99"/>
    <w:rsid w:val="00DD485C"/>
    <w:pPr>
      <w:shd w:val="clear" w:color="auto" w:fill="996699"/>
      <w:spacing w:before="100" w:beforeAutospacing="1" w:after="100" w:afterAutospacing="1" w:line="255" w:lineRule="atLeast"/>
      <w:jc w:val="center"/>
    </w:pPr>
    <w:rPr>
      <w:rFonts w:eastAsia="Times New Roman"/>
      <w:b/>
      <w:bCs/>
      <w:color w:val="FFFFFF"/>
      <w:lang w:val="es-ES"/>
    </w:rPr>
  </w:style>
  <w:style w:type="paragraph" w:customStyle="1" w:styleId="headlinetxtsu">
    <w:name w:val="headline_txt_su"/>
    <w:basedOn w:val="Normal"/>
    <w:uiPriority w:val="99"/>
    <w:rsid w:val="00DD485C"/>
    <w:pPr>
      <w:shd w:val="clear" w:color="auto" w:fill="6699CC"/>
      <w:spacing w:before="100" w:beforeAutospacing="1" w:after="100" w:afterAutospacing="1" w:line="255" w:lineRule="atLeast"/>
      <w:jc w:val="center"/>
    </w:pPr>
    <w:rPr>
      <w:rFonts w:eastAsia="Times New Roman"/>
      <w:b/>
      <w:bCs/>
      <w:color w:val="FFFFFF"/>
      <w:lang w:val="es-ES"/>
    </w:rPr>
  </w:style>
  <w:style w:type="paragraph" w:customStyle="1" w:styleId="headline">
    <w:name w:val="headline"/>
    <w:basedOn w:val="Normal"/>
    <w:uiPriority w:val="99"/>
    <w:rsid w:val="00DD485C"/>
    <w:pPr>
      <w:spacing w:before="100" w:beforeAutospacing="1" w:after="100" w:afterAutospacing="1"/>
    </w:pPr>
    <w:rPr>
      <w:rFonts w:eastAsia="Times New Roman"/>
      <w:lang w:val="es-ES"/>
    </w:rPr>
  </w:style>
  <w:style w:type="paragraph" w:customStyle="1" w:styleId="infoboxblue">
    <w:name w:val="infobox_blue"/>
    <w:basedOn w:val="Normal"/>
    <w:uiPriority w:val="99"/>
    <w:rsid w:val="00DD485C"/>
    <w:pPr>
      <w:pBdr>
        <w:bottom w:val="single" w:sz="6" w:space="0" w:color="003366"/>
      </w:pBdr>
      <w:shd w:val="clear" w:color="auto" w:fill="D9EBF9"/>
      <w:spacing w:before="100" w:beforeAutospacing="1" w:after="100" w:afterAutospacing="1"/>
    </w:pPr>
    <w:rPr>
      <w:rFonts w:eastAsia="Times New Roman"/>
      <w:color w:val="003366"/>
      <w:lang w:val="es-ES"/>
    </w:rPr>
  </w:style>
  <w:style w:type="paragraph" w:customStyle="1" w:styleId="infoboxgrey">
    <w:name w:val="infobox_grey"/>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red">
    <w:name w:val="infobox_red"/>
    <w:basedOn w:val="Normal"/>
    <w:uiPriority w:val="99"/>
    <w:rsid w:val="00DD485C"/>
    <w:pPr>
      <w:shd w:val="clear" w:color="auto" w:fill="D9EBF9"/>
      <w:spacing w:before="100" w:beforeAutospacing="1" w:after="100" w:afterAutospacing="1"/>
    </w:pPr>
    <w:rPr>
      <w:rFonts w:eastAsia="Times New Roman"/>
      <w:color w:val="003366"/>
      <w:lang w:val="es-ES"/>
    </w:rPr>
  </w:style>
  <w:style w:type="paragraph" w:customStyle="1" w:styleId="infoboxsi">
    <w:name w:val="infobox_si"/>
    <w:basedOn w:val="Normal"/>
    <w:uiPriority w:val="99"/>
    <w:rsid w:val="00DD485C"/>
    <w:pPr>
      <w:spacing w:before="100" w:beforeAutospacing="1" w:after="100" w:afterAutospacing="1"/>
    </w:pPr>
    <w:rPr>
      <w:rFonts w:eastAsia="Times New Roman"/>
      <w:color w:val="003366"/>
      <w:lang w:val="es-ES"/>
    </w:rPr>
  </w:style>
  <w:style w:type="paragraph" w:customStyle="1" w:styleId="infoboxsitop">
    <w:name w:val="infobox_si_top"/>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sibottom">
    <w:name w:val="infobox_si_bottom"/>
    <w:basedOn w:val="Normal"/>
    <w:uiPriority w:val="99"/>
    <w:rsid w:val="00DD485C"/>
    <w:pPr>
      <w:shd w:val="clear" w:color="auto" w:fill="D9EBF9"/>
      <w:spacing w:before="100" w:beforeAutospacing="1" w:after="100" w:afterAutospacing="1"/>
    </w:pPr>
    <w:rPr>
      <w:rFonts w:eastAsia="Times New Roman"/>
      <w:lang w:val="es-ES"/>
    </w:rPr>
  </w:style>
  <w:style w:type="paragraph" w:customStyle="1" w:styleId="infoboxcatwtop">
    <w:name w:val="infobox_catw_top"/>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foboxcatwbottom">
    <w:name w:val="infobox_catw_bottom"/>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naviboxnewsletter">
    <w:name w:val="navibox_newsletter"/>
    <w:basedOn w:val="Normal"/>
    <w:uiPriority w:val="99"/>
    <w:rsid w:val="00DD485C"/>
    <w:pPr>
      <w:pBdr>
        <w:top w:val="single" w:sz="6" w:space="0" w:color="666666"/>
        <w:left w:val="single" w:sz="6" w:space="0" w:color="666666"/>
        <w:bottom w:val="single" w:sz="6" w:space="0" w:color="666666"/>
        <w:right w:val="single" w:sz="6" w:space="0" w:color="666666"/>
      </w:pBdr>
      <w:spacing w:line="288" w:lineRule="atLeast"/>
    </w:pPr>
    <w:rPr>
      <w:rFonts w:eastAsia="Times New Roman"/>
      <w:color w:val="333333"/>
      <w:lang w:val="es-ES"/>
    </w:rPr>
  </w:style>
  <w:style w:type="paragraph" w:customStyle="1" w:styleId="navibox">
    <w:name w:val="navibox"/>
    <w:basedOn w:val="Normal"/>
    <w:uiPriority w:val="99"/>
    <w:rsid w:val="00DD485C"/>
    <w:pPr>
      <w:pBdr>
        <w:top w:val="single" w:sz="6" w:space="4" w:color="666666"/>
        <w:left w:val="single" w:sz="6" w:space="4" w:color="666666"/>
        <w:bottom w:val="single" w:sz="6" w:space="4" w:color="666666"/>
        <w:right w:val="single" w:sz="6" w:space="4" w:color="666666"/>
      </w:pBdr>
      <w:spacing w:before="100" w:beforeAutospacing="1" w:after="100" w:afterAutospacing="1" w:line="288" w:lineRule="atLeast"/>
    </w:pPr>
    <w:rPr>
      <w:rFonts w:eastAsia="Times New Roman"/>
      <w:color w:val="333333"/>
      <w:lang w:val="es-ES"/>
    </w:rPr>
  </w:style>
  <w:style w:type="paragraph" w:customStyle="1" w:styleId="thirdlevelulnr">
    <w:name w:val="thirdlevel_ul_nr"/>
    <w:basedOn w:val="Normal"/>
    <w:uiPriority w:val="99"/>
    <w:rsid w:val="00DD485C"/>
    <w:rPr>
      <w:rFonts w:eastAsia="Times New Roman"/>
      <w:lang w:val="es-ES"/>
    </w:rPr>
  </w:style>
  <w:style w:type="paragraph" w:customStyle="1" w:styleId="thirdlevelulgp">
    <w:name w:val="thirdlevel_ul_gp"/>
    <w:basedOn w:val="Normal"/>
    <w:uiPriority w:val="99"/>
    <w:rsid w:val="00DD485C"/>
    <w:rPr>
      <w:rFonts w:eastAsia="Times New Roman"/>
      <w:lang w:val="es-ES"/>
    </w:rPr>
  </w:style>
  <w:style w:type="paragraph" w:customStyle="1" w:styleId="thirdlevelulrp">
    <w:name w:val="thirdlevel_ul_rp"/>
    <w:basedOn w:val="Normal"/>
    <w:uiPriority w:val="99"/>
    <w:rsid w:val="00DD485C"/>
    <w:rPr>
      <w:rFonts w:eastAsia="Times New Roman"/>
      <w:lang w:val="es-ES"/>
    </w:rPr>
  </w:style>
  <w:style w:type="paragraph" w:customStyle="1" w:styleId="thirdlevelulpr">
    <w:name w:val="thirdlevel_ul_pr"/>
    <w:basedOn w:val="Normal"/>
    <w:uiPriority w:val="99"/>
    <w:rsid w:val="00DD485C"/>
    <w:rPr>
      <w:rFonts w:eastAsia="Times New Roman"/>
      <w:lang w:val="es-ES"/>
    </w:rPr>
  </w:style>
  <w:style w:type="paragraph" w:customStyle="1" w:styleId="thirdlevelultools">
    <w:name w:val="thirdlevel_ul_tools"/>
    <w:basedOn w:val="Normal"/>
    <w:uiPriority w:val="99"/>
    <w:rsid w:val="00DD485C"/>
    <w:rPr>
      <w:rFonts w:eastAsia="Times New Roman"/>
      <w:lang w:val="es-ES"/>
    </w:rPr>
  </w:style>
  <w:style w:type="paragraph" w:customStyle="1" w:styleId="thirdlevelulpubs">
    <w:name w:val="thirdlevel_ul_pubs"/>
    <w:basedOn w:val="Normal"/>
    <w:uiPriority w:val="99"/>
    <w:rsid w:val="00DD485C"/>
    <w:rPr>
      <w:rFonts w:eastAsia="Times New Roman"/>
      <w:lang w:val="es-ES"/>
    </w:rPr>
  </w:style>
  <w:style w:type="paragraph" w:customStyle="1" w:styleId="thirdlevelulsu">
    <w:name w:val="thirdlevel_ul_su"/>
    <w:basedOn w:val="Normal"/>
    <w:uiPriority w:val="99"/>
    <w:rsid w:val="00DD485C"/>
    <w:rPr>
      <w:rFonts w:eastAsia="Times New Roman"/>
      <w:lang w:val="es-ES"/>
    </w:rPr>
  </w:style>
  <w:style w:type="paragraph" w:customStyle="1" w:styleId="fourthlevelulnr">
    <w:name w:val="fourthlevel_ul_nr"/>
    <w:basedOn w:val="Normal"/>
    <w:uiPriority w:val="99"/>
    <w:rsid w:val="00DD485C"/>
    <w:rPr>
      <w:rFonts w:eastAsia="Times New Roman"/>
      <w:lang w:val="es-ES"/>
    </w:rPr>
  </w:style>
  <w:style w:type="paragraph" w:customStyle="1" w:styleId="fourthlevelulgp">
    <w:name w:val="fourthlevel_ul_gp"/>
    <w:basedOn w:val="Normal"/>
    <w:uiPriority w:val="99"/>
    <w:rsid w:val="00DD485C"/>
    <w:rPr>
      <w:rFonts w:eastAsia="Times New Roman"/>
      <w:lang w:val="es-ES"/>
    </w:rPr>
  </w:style>
  <w:style w:type="paragraph" w:customStyle="1" w:styleId="fourthlevelulrp">
    <w:name w:val="fourthlevel_ul_rp"/>
    <w:basedOn w:val="Normal"/>
    <w:uiPriority w:val="99"/>
    <w:rsid w:val="00DD485C"/>
    <w:rPr>
      <w:rFonts w:eastAsia="Times New Roman"/>
      <w:lang w:val="es-ES"/>
    </w:rPr>
  </w:style>
  <w:style w:type="paragraph" w:customStyle="1" w:styleId="fourthlevelulpr">
    <w:name w:val="fourthlevel_ul_pr"/>
    <w:basedOn w:val="Normal"/>
    <w:uiPriority w:val="99"/>
    <w:rsid w:val="00DD485C"/>
    <w:rPr>
      <w:rFonts w:eastAsia="Times New Roman"/>
      <w:lang w:val="es-ES"/>
    </w:rPr>
  </w:style>
  <w:style w:type="paragraph" w:customStyle="1" w:styleId="fourthlevelultools">
    <w:name w:val="fourthlevel_ul_tools"/>
    <w:basedOn w:val="Normal"/>
    <w:uiPriority w:val="99"/>
    <w:rsid w:val="00DD485C"/>
    <w:rPr>
      <w:rFonts w:eastAsia="Times New Roman"/>
      <w:lang w:val="es-ES"/>
    </w:rPr>
  </w:style>
  <w:style w:type="paragraph" w:customStyle="1" w:styleId="fourthlevelulpubs">
    <w:name w:val="fourthlevel_ul_pubs"/>
    <w:basedOn w:val="Normal"/>
    <w:uiPriority w:val="99"/>
    <w:rsid w:val="00DD485C"/>
    <w:rPr>
      <w:rFonts w:eastAsia="Times New Roman"/>
      <w:lang w:val="es-ES"/>
    </w:rPr>
  </w:style>
  <w:style w:type="paragraph" w:customStyle="1" w:styleId="fourthlevelulsu">
    <w:name w:val="fourthlevel_ul_su"/>
    <w:basedOn w:val="Normal"/>
    <w:uiPriority w:val="99"/>
    <w:rsid w:val="00DD485C"/>
    <w:rPr>
      <w:rFonts w:eastAsia="Times New Roman"/>
      <w:lang w:val="es-ES"/>
    </w:rPr>
  </w:style>
  <w:style w:type="paragraph" w:customStyle="1" w:styleId="fifthlevelulnr">
    <w:name w:val="fifthlevel_ul_nr"/>
    <w:basedOn w:val="Normal"/>
    <w:uiPriority w:val="99"/>
    <w:rsid w:val="00DD485C"/>
    <w:rPr>
      <w:rFonts w:eastAsia="Times New Roman"/>
      <w:lang w:val="es-ES"/>
    </w:rPr>
  </w:style>
  <w:style w:type="paragraph" w:customStyle="1" w:styleId="fifthlevelulgp">
    <w:name w:val="fifthlevel_ul_gp"/>
    <w:basedOn w:val="Normal"/>
    <w:uiPriority w:val="99"/>
    <w:rsid w:val="00DD485C"/>
    <w:rPr>
      <w:rFonts w:eastAsia="Times New Roman"/>
      <w:lang w:val="es-ES"/>
    </w:rPr>
  </w:style>
  <w:style w:type="paragraph" w:customStyle="1" w:styleId="fifthlevelulrp">
    <w:name w:val="fifthlevel_ul_rp"/>
    <w:basedOn w:val="Normal"/>
    <w:uiPriority w:val="99"/>
    <w:rsid w:val="00DD485C"/>
    <w:rPr>
      <w:rFonts w:eastAsia="Times New Roman"/>
      <w:lang w:val="es-ES"/>
    </w:rPr>
  </w:style>
  <w:style w:type="paragraph" w:customStyle="1" w:styleId="fifthlevelulpr">
    <w:name w:val="fifthlevel_ul_pr"/>
    <w:basedOn w:val="Normal"/>
    <w:uiPriority w:val="99"/>
    <w:rsid w:val="00DD485C"/>
    <w:rPr>
      <w:rFonts w:eastAsia="Times New Roman"/>
      <w:lang w:val="es-ES"/>
    </w:rPr>
  </w:style>
  <w:style w:type="paragraph" w:customStyle="1" w:styleId="fifthlevelultools">
    <w:name w:val="fifthlevel_ul_tools"/>
    <w:basedOn w:val="Normal"/>
    <w:uiPriority w:val="99"/>
    <w:rsid w:val="00DD485C"/>
    <w:rPr>
      <w:rFonts w:eastAsia="Times New Roman"/>
      <w:lang w:val="es-ES"/>
    </w:rPr>
  </w:style>
  <w:style w:type="paragraph" w:customStyle="1" w:styleId="fifthlevelulpubs">
    <w:name w:val="fifthlevel_ul_pubs"/>
    <w:basedOn w:val="Normal"/>
    <w:uiPriority w:val="99"/>
    <w:rsid w:val="00DD485C"/>
    <w:rPr>
      <w:rFonts w:eastAsia="Times New Roman"/>
      <w:lang w:val="es-ES"/>
    </w:rPr>
  </w:style>
  <w:style w:type="paragraph" w:customStyle="1" w:styleId="fifthlevelulsu">
    <w:name w:val="fifthlevel_ul_su"/>
    <w:basedOn w:val="Normal"/>
    <w:uiPriority w:val="99"/>
    <w:rsid w:val="00DD485C"/>
    <w:rPr>
      <w:rFonts w:eastAsia="Times New Roman"/>
      <w:lang w:val="es-ES"/>
    </w:rPr>
  </w:style>
  <w:style w:type="paragraph" w:customStyle="1" w:styleId="thirdlevellistnr">
    <w:name w:val="thirdlevel_list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nr">
    <w:name w:val="four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nr">
    <w:name w:val="thirdlevel_list_active_n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nr">
    <w:name w:val="fourthlevel_list_active_n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nr">
    <w:name w:val="thirdlevel_list_active_ws_n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nr">
    <w:name w:val="fourthlevel_list_active_ws_n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gp">
    <w:name w:val="thirdlevel_list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gp">
    <w:name w:val="four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gp">
    <w:name w:val="thirdlevel_list_active_n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gp">
    <w:name w:val="fourthlevel_list_active_n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gp">
    <w:name w:val="thirdlevel_list_active_ws_g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gp">
    <w:name w:val="fourthlevel_list_active_ws_g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rp">
    <w:name w:val="thirdlevel_list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rp">
    <w:name w:val="four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rp">
    <w:name w:val="thirdlevel_list_active_n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rp">
    <w:name w:val="fourthlevel_list_active_n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rp">
    <w:name w:val="thirdlevel_list_active_ws_rp"/>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rp">
    <w:name w:val="fourthlevel_list_active_ws_rp"/>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r">
    <w:name w:val="thirdlevel_list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r">
    <w:name w:val="four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r">
    <w:name w:val="thirdlevel_list_active_n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r">
    <w:name w:val="fourthlevel_list_active_n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r">
    <w:name w:val="thirdlevel_list_active_ws_pr"/>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r">
    <w:name w:val="fourthlevel_list_active_ws_pr"/>
    <w:basedOn w:val="Normal"/>
    <w:uiPriority w:val="99"/>
    <w:rsid w:val="00DD485C"/>
    <w:pPr>
      <w:spacing w:before="100" w:beforeAutospacing="1" w:after="100" w:afterAutospacing="1"/>
    </w:pPr>
    <w:rPr>
      <w:rFonts w:eastAsia="Times New Roman"/>
      <w:color w:val="333333"/>
      <w:lang w:val="es-ES"/>
    </w:rPr>
  </w:style>
  <w:style w:type="paragraph" w:customStyle="1" w:styleId="thirdlevellisttools">
    <w:name w:val="thirdlevel_list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tools">
    <w:name w:val="four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tools">
    <w:name w:val="thirdlevel_list_active_n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tools">
    <w:name w:val="fourthlevel_list_active_n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tools">
    <w:name w:val="thirdlevel_list_active_ws_tool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tools">
    <w:name w:val="fourthlevel_list_active_ws_tool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pubs">
    <w:name w:val="thirdlevel_list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pubs">
    <w:name w:val="four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pubs">
    <w:name w:val="thirdlevel_list_active_n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pubs">
    <w:name w:val="fourthlevel_list_active_n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pubs">
    <w:name w:val="thirdlevel_list_active_ws_pubs"/>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pubs">
    <w:name w:val="fourthlevel_list_active_ws_pubs"/>
    <w:basedOn w:val="Normal"/>
    <w:uiPriority w:val="99"/>
    <w:rsid w:val="00DD485C"/>
    <w:pPr>
      <w:spacing w:before="100" w:beforeAutospacing="1" w:after="100" w:afterAutospacing="1"/>
    </w:pPr>
    <w:rPr>
      <w:rFonts w:eastAsia="Times New Roman"/>
      <w:color w:val="333333"/>
      <w:lang w:val="es-ES"/>
    </w:rPr>
  </w:style>
  <w:style w:type="paragraph" w:customStyle="1" w:styleId="thirdlevellistsu">
    <w:name w:val="thirdlevel_list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su">
    <w:name w:val="four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nssu">
    <w:name w:val="thirdlevel_list_active_n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nssu">
    <w:name w:val="fourthlevel_list_active_ns_su"/>
    <w:basedOn w:val="Normal"/>
    <w:uiPriority w:val="99"/>
    <w:rsid w:val="00DD485C"/>
    <w:pPr>
      <w:spacing w:before="100" w:beforeAutospacing="1" w:after="100" w:afterAutospacing="1"/>
    </w:pPr>
    <w:rPr>
      <w:rFonts w:eastAsia="Times New Roman"/>
      <w:color w:val="333333"/>
      <w:lang w:val="es-ES"/>
    </w:rPr>
  </w:style>
  <w:style w:type="paragraph" w:customStyle="1" w:styleId="thirdlevellistactivewssu">
    <w:name w:val="thirdlevel_list_active_ws_su"/>
    <w:basedOn w:val="Normal"/>
    <w:uiPriority w:val="99"/>
    <w:rsid w:val="00DD485C"/>
    <w:pPr>
      <w:spacing w:before="100" w:beforeAutospacing="1" w:after="100" w:afterAutospacing="1"/>
    </w:pPr>
    <w:rPr>
      <w:rFonts w:eastAsia="Times New Roman"/>
      <w:b/>
      <w:bCs/>
      <w:color w:val="333333"/>
      <w:lang w:val="es-ES"/>
    </w:rPr>
  </w:style>
  <w:style w:type="paragraph" w:customStyle="1" w:styleId="fourthlevellistactivewssu">
    <w:name w:val="fourthlevel_list_active_ws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nr">
    <w:name w:val="fifthlevel_list_n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gp">
    <w:name w:val="fifthlevel_list_g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rp">
    <w:name w:val="fifthlevel_list_rp"/>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r">
    <w:name w:val="fifthlevel_list_pr"/>
    <w:basedOn w:val="Normal"/>
    <w:uiPriority w:val="99"/>
    <w:rsid w:val="00DD485C"/>
    <w:pPr>
      <w:spacing w:before="100" w:beforeAutospacing="1" w:after="100" w:afterAutospacing="1"/>
    </w:pPr>
    <w:rPr>
      <w:rFonts w:eastAsia="Times New Roman"/>
      <w:color w:val="333333"/>
      <w:lang w:val="es-ES"/>
    </w:rPr>
  </w:style>
  <w:style w:type="paragraph" w:customStyle="1" w:styleId="fifthlevellisttools">
    <w:name w:val="fifthlevel_list_tool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pubs">
    <w:name w:val="fifthlevel_list_pubs"/>
    <w:basedOn w:val="Normal"/>
    <w:uiPriority w:val="99"/>
    <w:rsid w:val="00DD485C"/>
    <w:pPr>
      <w:spacing w:before="100" w:beforeAutospacing="1" w:after="100" w:afterAutospacing="1"/>
    </w:pPr>
    <w:rPr>
      <w:rFonts w:eastAsia="Times New Roman"/>
      <w:color w:val="333333"/>
      <w:lang w:val="es-ES"/>
    </w:rPr>
  </w:style>
  <w:style w:type="paragraph" w:customStyle="1" w:styleId="fifthlevellistsu">
    <w:name w:val="fifthlevel_list_su"/>
    <w:basedOn w:val="Normal"/>
    <w:uiPriority w:val="99"/>
    <w:rsid w:val="00DD485C"/>
    <w:pPr>
      <w:spacing w:before="100" w:beforeAutospacing="1" w:after="100" w:afterAutospacing="1"/>
    </w:pPr>
    <w:rPr>
      <w:rFonts w:eastAsia="Times New Roman"/>
      <w:color w:val="333333"/>
      <w:lang w:val="es-ES"/>
    </w:rPr>
  </w:style>
  <w:style w:type="paragraph" w:customStyle="1" w:styleId="fifthlevellistactivenr">
    <w:name w:val="fifthlevel_list_active_nr"/>
    <w:basedOn w:val="Normal"/>
    <w:uiPriority w:val="99"/>
    <w:rsid w:val="00DD485C"/>
    <w:pPr>
      <w:shd w:val="clear" w:color="auto" w:fill="FACBCF"/>
      <w:spacing w:before="100" w:beforeAutospacing="1" w:after="100" w:afterAutospacing="1"/>
    </w:pPr>
    <w:rPr>
      <w:rFonts w:eastAsia="Times New Roman"/>
      <w:color w:val="333333"/>
      <w:lang w:val="es-ES"/>
    </w:rPr>
  </w:style>
  <w:style w:type="paragraph" w:customStyle="1" w:styleId="fifthlevellistactivegp">
    <w:name w:val="fifthlevel_list_active_gp"/>
    <w:basedOn w:val="Normal"/>
    <w:uiPriority w:val="99"/>
    <w:rsid w:val="00DD485C"/>
    <w:pPr>
      <w:shd w:val="clear" w:color="auto" w:fill="F5EAC8"/>
      <w:spacing w:before="100" w:beforeAutospacing="1" w:after="100" w:afterAutospacing="1"/>
    </w:pPr>
    <w:rPr>
      <w:rFonts w:eastAsia="Times New Roman"/>
      <w:color w:val="333333"/>
      <w:lang w:val="es-ES"/>
    </w:rPr>
  </w:style>
  <w:style w:type="paragraph" w:customStyle="1" w:styleId="fifthlevellistactiverp">
    <w:name w:val="fifthlevel_list_active_rp"/>
    <w:basedOn w:val="Normal"/>
    <w:uiPriority w:val="99"/>
    <w:rsid w:val="00DD485C"/>
    <w:pPr>
      <w:shd w:val="clear" w:color="auto" w:fill="CCE4CB"/>
      <w:spacing w:before="100" w:beforeAutospacing="1" w:after="100" w:afterAutospacing="1"/>
    </w:pPr>
    <w:rPr>
      <w:rFonts w:eastAsia="Times New Roman"/>
      <w:color w:val="333333"/>
      <w:lang w:val="es-ES"/>
    </w:rPr>
  </w:style>
  <w:style w:type="paragraph" w:customStyle="1" w:styleId="fifthlevellistactivepr">
    <w:name w:val="fifthlevel_list_active_pr"/>
    <w:basedOn w:val="Normal"/>
    <w:uiPriority w:val="99"/>
    <w:rsid w:val="00DD485C"/>
    <w:pPr>
      <w:shd w:val="clear" w:color="auto" w:fill="C7D9D8"/>
      <w:spacing w:before="100" w:beforeAutospacing="1" w:after="100" w:afterAutospacing="1"/>
    </w:pPr>
    <w:rPr>
      <w:rFonts w:eastAsia="Times New Roman"/>
      <w:color w:val="333333"/>
      <w:lang w:val="es-ES"/>
    </w:rPr>
  </w:style>
  <w:style w:type="paragraph" w:customStyle="1" w:styleId="fifthlevellistactivetools">
    <w:name w:val="fifthlevel_list_active_tools"/>
    <w:basedOn w:val="Normal"/>
    <w:uiPriority w:val="99"/>
    <w:rsid w:val="00DD485C"/>
    <w:pPr>
      <w:shd w:val="clear" w:color="auto" w:fill="E2E2CB"/>
      <w:spacing w:before="100" w:beforeAutospacing="1" w:after="100" w:afterAutospacing="1"/>
    </w:pPr>
    <w:rPr>
      <w:rFonts w:eastAsia="Times New Roman"/>
      <w:color w:val="333333"/>
      <w:lang w:val="es-ES"/>
    </w:rPr>
  </w:style>
  <w:style w:type="paragraph" w:customStyle="1" w:styleId="fifthlevellistactivepubs">
    <w:name w:val="fifthlevel_list_active_pubs"/>
    <w:basedOn w:val="Normal"/>
    <w:uiPriority w:val="99"/>
    <w:rsid w:val="00DD485C"/>
    <w:pPr>
      <w:shd w:val="clear" w:color="auto" w:fill="DDCFDC"/>
      <w:spacing w:before="100" w:beforeAutospacing="1" w:after="100" w:afterAutospacing="1"/>
    </w:pPr>
    <w:rPr>
      <w:rFonts w:eastAsia="Times New Roman"/>
      <w:color w:val="333333"/>
      <w:lang w:val="es-ES"/>
    </w:rPr>
  </w:style>
  <w:style w:type="paragraph" w:customStyle="1" w:styleId="fifthlevellistactivesu">
    <w:name w:val="fifthlevel_list_active_su"/>
    <w:basedOn w:val="Normal"/>
    <w:uiPriority w:val="99"/>
    <w:rsid w:val="00DD485C"/>
    <w:pPr>
      <w:shd w:val="clear" w:color="auto" w:fill="E1ECF3"/>
      <w:spacing w:before="100" w:beforeAutospacing="1" w:after="100" w:afterAutospacing="1"/>
    </w:pPr>
    <w:rPr>
      <w:rFonts w:eastAsia="Times New Roman"/>
      <w:color w:val="333333"/>
      <w:lang w:val="es-ES"/>
    </w:rPr>
  </w:style>
  <w:style w:type="paragraph" w:customStyle="1" w:styleId="titledividelevel3nr">
    <w:name w:val="titledivide_level3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4nr">
    <w:name w:val="titledivide_level4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5nr">
    <w:name w:val="titledivide_level5_nr"/>
    <w:basedOn w:val="Normal"/>
    <w:uiPriority w:val="99"/>
    <w:rsid w:val="00DD485C"/>
    <w:pPr>
      <w:shd w:val="clear" w:color="auto" w:fill="CC0000"/>
      <w:spacing w:before="45" w:after="45"/>
    </w:pPr>
    <w:rPr>
      <w:rFonts w:eastAsia="Times New Roman"/>
      <w:b/>
      <w:bCs/>
      <w:color w:val="FFFFFF"/>
      <w:lang w:val="es-ES"/>
    </w:rPr>
  </w:style>
  <w:style w:type="paragraph" w:customStyle="1" w:styleId="titledividelevel3gp">
    <w:name w:val="titledivide_level3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4gp">
    <w:name w:val="titledivide_level4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5gp">
    <w:name w:val="titledivide_level5_gp"/>
    <w:basedOn w:val="Normal"/>
    <w:uiPriority w:val="99"/>
    <w:rsid w:val="00DD485C"/>
    <w:pPr>
      <w:shd w:val="clear" w:color="auto" w:fill="FF9933"/>
      <w:spacing w:before="45" w:after="45"/>
    </w:pPr>
    <w:rPr>
      <w:rFonts w:eastAsia="Times New Roman"/>
      <w:b/>
      <w:bCs/>
      <w:color w:val="FFFFFF"/>
      <w:lang w:val="es-ES"/>
    </w:rPr>
  </w:style>
  <w:style w:type="paragraph" w:customStyle="1" w:styleId="titledividelevel3rp">
    <w:name w:val="titledivide_level3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4rp">
    <w:name w:val="titledivide_level4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5rp">
    <w:name w:val="titledivide_level5_rp"/>
    <w:basedOn w:val="Normal"/>
    <w:uiPriority w:val="99"/>
    <w:rsid w:val="00DD485C"/>
    <w:pPr>
      <w:shd w:val="clear" w:color="auto" w:fill="66CC66"/>
      <w:spacing w:before="45" w:after="45"/>
    </w:pPr>
    <w:rPr>
      <w:rFonts w:eastAsia="Times New Roman"/>
      <w:b/>
      <w:bCs/>
      <w:color w:val="FFFFFF"/>
      <w:lang w:val="es-ES"/>
    </w:rPr>
  </w:style>
  <w:style w:type="paragraph" w:customStyle="1" w:styleId="titledividelevel3pr">
    <w:name w:val="titledivide_level3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4pr">
    <w:name w:val="titledivide_level4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5pr">
    <w:name w:val="titledivide_level5_pr"/>
    <w:basedOn w:val="Normal"/>
    <w:uiPriority w:val="99"/>
    <w:rsid w:val="00DD485C"/>
    <w:pPr>
      <w:shd w:val="clear" w:color="auto" w:fill="339999"/>
      <w:spacing w:before="45" w:after="45"/>
    </w:pPr>
    <w:rPr>
      <w:rFonts w:eastAsia="Times New Roman"/>
      <w:b/>
      <w:bCs/>
      <w:color w:val="FFFFFF"/>
      <w:lang w:val="es-ES"/>
    </w:rPr>
  </w:style>
  <w:style w:type="paragraph" w:customStyle="1" w:styleId="titledividelevel3tools">
    <w:name w:val="titledivide_level3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4tools">
    <w:name w:val="titledivide_level4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5tools">
    <w:name w:val="titledivide_level5_tools"/>
    <w:basedOn w:val="Normal"/>
    <w:uiPriority w:val="99"/>
    <w:rsid w:val="00DD485C"/>
    <w:pPr>
      <w:shd w:val="clear" w:color="auto" w:fill="CCCC99"/>
      <w:spacing w:before="45" w:after="45"/>
    </w:pPr>
    <w:rPr>
      <w:rFonts w:eastAsia="Times New Roman"/>
      <w:b/>
      <w:bCs/>
      <w:color w:val="FFFFFF"/>
      <w:lang w:val="es-ES"/>
    </w:rPr>
  </w:style>
  <w:style w:type="paragraph" w:customStyle="1" w:styleId="titledividelevel3pubs">
    <w:name w:val="titledivide_level3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4pubs">
    <w:name w:val="titledivide_level4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5pubs">
    <w:name w:val="titledivide_level5_pubs"/>
    <w:basedOn w:val="Normal"/>
    <w:uiPriority w:val="99"/>
    <w:rsid w:val="00DD485C"/>
    <w:pPr>
      <w:shd w:val="clear" w:color="auto" w:fill="996699"/>
      <w:spacing w:before="45" w:after="45"/>
    </w:pPr>
    <w:rPr>
      <w:rFonts w:eastAsia="Times New Roman"/>
      <w:b/>
      <w:bCs/>
      <w:color w:val="FFFFFF"/>
      <w:lang w:val="es-ES"/>
    </w:rPr>
  </w:style>
  <w:style w:type="paragraph" w:customStyle="1" w:styleId="titledividelevel3su">
    <w:name w:val="titledivide_level3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4su">
    <w:name w:val="titledivide_level4_su"/>
    <w:basedOn w:val="Normal"/>
    <w:uiPriority w:val="99"/>
    <w:rsid w:val="00DD485C"/>
    <w:pPr>
      <w:shd w:val="clear" w:color="auto" w:fill="6699CC"/>
      <w:spacing w:before="45" w:after="45"/>
    </w:pPr>
    <w:rPr>
      <w:rFonts w:eastAsia="Times New Roman"/>
      <w:b/>
      <w:bCs/>
      <w:color w:val="FFFFFF"/>
      <w:lang w:val="es-ES"/>
    </w:rPr>
  </w:style>
  <w:style w:type="paragraph" w:customStyle="1" w:styleId="titledividelevel5su">
    <w:name w:val="titledivide_level5_su"/>
    <w:basedOn w:val="Normal"/>
    <w:uiPriority w:val="99"/>
    <w:rsid w:val="00DD485C"/>
    <w:pPr>
      <w:shd w:val="clear" w:color="auto" w:fill="6699CC"/>
      <w:spacing w:before="45" w:after="45"/>
    </w:pPr>
    <w:rPr>
      <w:rFonts w:eastAsia="Times New Roman"/>
      <w:b/>
      <w:bCs/>
      <w:color w:val="FFFFFF"/>
      <w:lang w:val="es-ES"/>
    </w:rPr>
  </w:style>
  <w:style w:type="paragraph" w:customStyle="1" w:styleId="searchinputbox">
    <w:name w:val="searchinputbox"/>
    <w:basedOn w:val="Normal"/>
    <w:uiPriority w:val="99"/>
    <w:rsid w:val="00DD485C"/>
    <w:pPr>
      <w:pBdr>
        <w:top w:val="single" w:sz="6" w:space="0" w:color="666666"/>
        <w:left w:val="single" w:sz="6" w:space="2" w:color="666666"/>
        <w:bottom w:val="single" w:sz="6" w:space="0" w:color="666666"/>
        <w:right w:val="single" w:sz="6" w:space="0" w:color="666666"/>
      </w:pBdr>
      <w:shd w:val="clear" w:color="auto" w:fill="E7E7E7"/>
      <w:spacing w:before="100" w:beforeAutospacing="1" w:after="100" w:afterAutospacing="1"/>
      <w:textAlignment w:val="center"/>
    </w:pPr>
    <w:rPr>
      <w:rFonts w:eastAsia="Times New Roman"/>
      <w:color w:val="333333"/>
      <w:lang w:val="es-ES"/>
    </w:rPr>
  </w:style>
  <w:style w:type="paragraph" w:customStyle="1" w:styleId="leftnavboxnr">
    <w:name w:val="leftnavbox_nr"/>
    <w:basedOn w:val="Normal"/>
    <w:uiPriority w:val="99"/>
    <w:rsid w:val="00DD485C"/>
    <w:pPr>
      <w:shd w:val="clear" w:color="auto" w:fill="CC0000"/>
      <w:spacing w:before="100" w:beforeAutospacing="1" w:after="100" w:afterAutospacing="1"/>
    </w:pPr>
    <w:rPr>
      <w:rFonts w:eastAsia="Times New Roman"/>
      <w:lang w:val="es-ES"/>
    </w:rPr>
  </w:style>
  <w:style w:type="paragraph" w:customStyle="1" w:styleId="leftnavboxgp">
    <w:name w:val="leftnavbox_gp"/>
    <w:basedOn w:val="Normal"/>
    <w:uiPriority w:val="99"/>
    <w:rsid w:val="00DD485C"/>
    <w:pPr>
      <w:shd w:val="clear" w:color="auto" w:fill="FF9933"/>
      <w:spacing w:before="100" w:beforeAutospacing="1" w:after="100" w:afterAutospacing="1"/>
    </w:pPr>
    <w:rPr>
      <w:rFonts w:eastAsia="Times New Roman"/>
      <w:lang w:val="es-ES"/>
    </w:rPr>
  </w:style>
  <w:style w:type="paragraph" w:customStyle="1" w:styleId="leftnavboxrp">
    <w:name w:val="leftnavbox_rp"/>
    <w:basedOn w:val="Normal"/>
    <w:uiPriority w:val="99"/>
    <w:rsid w:val="00DD485C"/>
    <w:pPr>
      <w:shd w:val="clear" w:color="auto" w:fill="66CC66"/>
      <w:spacing w:before="100" w:beforeAutospacing="1" w:after="100" w:afterAutospacing="1"/>
    </w:pPr>
    <w:rPr>
      <w:rFonts w:eastAsia="Times New Roman"/>
      <w:lang w:val="es-ES"/>
    </w:rPr>
  </w:style>
  <w:style w:type="paragraph" w:customStyle="1" w:styleId="leftnavboxpr">
    <w:name w:val="leftnavbox_pr"/>
    <w:basedOn w:val="Normal"/>
    <w:uiPriority w:val="99"/>
    <w:rsid w:val="00DD485C"/>
    <w:pPr>
      <w:shd w:val="clear" w:color="auto" w:fill="669999"/>
      <w:spacing w:before="100" w:beforeAutospacing="1" w:after="100" w:afterAutospacing="1"/>
    </w:pPr>
    <w:rPr>
      <w:rFonts w:eastAsia="Times New Roman"/>
      <w:lang w:val="es-ES"/>
    </w:rPr>
  </w:style>
  <w:style w:type="paragraph" w:customStyle="1" w:styleId="leftnavboxtools">
    <w:name w:val="leftnavbox_tools"/>
    <w:basedOn w:val="Normal"/>
    <w:uiPriority w:val="99"/>
    <w:rsid w:val="00DD485C"/>
    <w:pPr>
      <w:shd w:val="clear" w:color="auto" w:fill="CCCC99"/>
      <w:spacing w:before="100" w:beforeAutospacing="1" w:after="100" w:afterAutospacing="1"/>
    </w:pPr>
    <w:rPr>
      <w:rFonts w:eastAsia="Times New Roman"/>
      <w:lang w:val="es-ES"/>
    </w:rPr>
  </w:style>
  <w:style w:type="paragraph" w:customStyle="1" w:styleId="leftnavboxpubs">
    <w:name w:val="leftnavbox_pubs"/>
    <w:basedOn w:val="Normal"/>
    <w:uiPriority w:val="99"/>
    <w:rsid w:val="00DD485C"/>
    <w:pPr>
      <w:shd w:val="clear" w:color="auto" w:fill="996699"/>
      <w:spacing w:before="100" w:beforeAutospacing="1" w:after="100" w:afterAutospacing="1"/>
    </w:pPr>
    <w:rPr>
      <w:rFonts w:eastAsia="Times New Roman"/>
      <w:lang w:val="es-ES"/>
    </w:rPr>
  </w:style>
  <w:style w:type="paragraph" w:customStyle="1" w:styleId="leftnavboxsu">
    <w:name w:val="leftnavbox_su"/>
    <w:basedOn w:val="Normal"/>
    <w:uiPriority w:val="99"/>
    <w:rsid w:val="00DD485C"/>
    <w:pPr>
      <w:shd w:val="clear" w:color="auto" w:fill="6699CC"/>
      <w:spacing w:before="100" w:beforeAutospacing="1" w:after="100" w:afterAutospacing="1"/>
    </w:pPr>
    <w:rPr>
      <w:rFonts w:eastAsia="Times New Roman"/>
      <w:lang w:val="es-ES"/>
    </w:rPr>
  </w:style>
  <w:style w:type="paragraph" w:customStyle="1" w:styleId="intropicboxnr">
    <w:name w:val="intropicbox_nr"/>
    <w:basedOn w:val="Normal"/>
    <w:uiPriority w:val="99"/>
    <w:rsid w:val="00DD485C"/>
    <w:pPr>
      <w:pBdr>
        <w:left w:val="single" w:sz="6" w:space="0" w:color="CC0000"/>
        <w:bottom w:val="single" w:sz="6" w:space="0" w:color="CC0000"/>
      </w:pBdr>
      <w:spacing w:before="100" w:beforeAutospacing="1" w:after="100" w:afterAutospacing="1"/>
    </w:pPr>
    <w:rPr>
      <w:rFonts w:eastAsia="Times New Roman"/>
      <w:lang w:val="es-ES"/>
    </w:rPr>
  </w:style>
  <w:style w:type="paragraph" w:customStyle="1" w:styleId="intropicboxgp">
    <w:name w:val="intropicbox_gp"/>
    <w:basedOn w:val="Normal"/>
    <w:uiPriority w:val="99"/>
    <w:rsid w:val="00DD485C"/>
    <w:pPr>
      <w:pBdr>
        <w:left w:val="single" w:sz="6" w:space="0" w:color="FF9933"/>
        <w:bottom w:val="single" w:sz="6" w:space="0" w:color="FF9933"/>
      </w:pBdr>
      <w:spacing w:before="100" w:beforeAutospacing="1" w:after="100" w:afterAutospacing="1"/>
    </w:pPr>
    <w:rPr>
      <w:rFonts w:eastAsia="Times New Roman"/>
      <w:lang w:val="es-ES"/>
    </w:rPr>
  </w:style>
  <w:style w:type="paragraph" w:customStyle="1" w:styleId="intropicboxrp">
    <w:name w:val="intropicbox_rp"/>
    <w:basedOn w:val="Normal"/>
    <w:uiPriority w:val="99"/>
    <w:rsid w:val="00DD485C"/>
    <w:pPr>
      <w:pBdr>
        <w:left w:val="single" w:sz="6" w:space="0" w:color="66CC66"/>
        <w:bottom w:val="single" w:sz="6" w:space="0" w:color="66CC66"/>
      </w:pBdr>
      <w:spacing w:before="100" w:beforeAutospacing="1" w:after="100" w:afterAutospacing="1"/>
    </w:pPr>
    <w:rPr>
      <w:rFonts w:eastAsia="Times New Roman"/>
      <w:lang w:val="es-ES"/>
    </w:rPr>
  </w:style>
  <w:style w:type="paragraph" w:customStyle="1" w:styleId="intropicboxpr">
    <w:name w:val="intropicbox_pr"/>
    <w:basedOn w:val="Normal"/>
    <w:uiPriority w:val="99"/>
    <w:rsid w:val="00DD485C"/>
    <w:pPr>
      <w:pBdr>
        <w:left w:val="single" w:sz="6" w:space="0" w:color="339999"/>
        <w:bottom w:val="single" w:sz="6" w:space="0" w:color="339999"/>
      </w:pBdr>
      <w:spacing w:before="100" w:beforeAutospacing="1" w:after="100" w:afterAutospacing="1"/>
    </w:pPr>
    <w:rPr>
      <w:rFonts w:eastAsia="Times New Roman"/>
      <w:lang w:val="es-ES"/>
    </w:rPr>
  </w:style>
  <w:style w:type="paragraph" w:customStyle="1" w:styleId="intropicboxtools">
    <w:name w:val="intropicbox_tools"/>
    <w:basedOn w:val="Normal"/>
    <w:uiPriority w:val="99"/>
    <w:rsid w:val="00DD485C"/>
    <w:pPr>
      <w:pBdr>
        <w:left w:val="single" w:sz="6" w:space="0" w:color="CCCC99"/>
        <w:bottom w:val="single" w:sz="6" w:space="0" w:color="CCCC99"/>
      </w:pBdr>
      <w:spacing w:before="100" w:beforeAutospacing="1" w:after="100" w:afterAutospacing="1"/>
    </w:pPr>
    <w:rPr>
      <w:rFonts w:eastAsia="Times New Roman"/>
      <w:lang w:val="es-ES"/>
    </w:rPr>
  </w:style>
  <w:style w:type="paragraph" w:customStyle="1" w:styleId="intropicboxpubs">
    <w:name w:val="intropicbox_pubs"/>
    <w:basedOn w:val="Normal"/>
    <w:uiPriority w:val="99"/>
    <w:rsid w:val="00DD485C"/>
    <w:pPr>
      <w:pBdr>
        <w:left w:val="single" w:sz="6" w:space="0" w:color="996699"/>
        <w:bottom w:val="single" w:sz="6" w:space="0" w:color="996699"/>
      </w:pBdr>
      <w:spacing w:before="100" w:beforeAutospacing="1" w:after="100" w:afterAutospacing="1"/>
    </w:pPr>
    <w:rPr>
      <w:rFonts w:eastAsia="Times New Roman"/>
      <w:lang w:val="es-ES"/>
    </w:rPr>
  </w:style>
  <w:style w:type="paragraph" w:customStyle="1" w:styleId="intropicboxsu">
    <w:name w:val="intropicbox_su"/>
    <w:basedOn w:val="Normal"/>
    <w:uiPriority w:val="99"/>
    <w:rsid w:val="00DD485C"/>
    <w:pPr>
      <w:pBdr>
        <w:left w:val="single" w:sz="6" w:space="0" w:color="6699CC"/>
        <w:bottom w:val="single" w:sz="6" w:space="0" w:color="6699CC"/>
      </w:pBdr>
      <w:spacing w:before="100" w:beforeAutospacing="1" w:after="100" w:afterAutospacing="1"/>
    </w:pPr>
    <w:rPr>
      <w:rFonts w:eastAsia="Times New Roman"/>
      <w:lang w:val="es-ES"/>
    </w:rPr>
  </w:style>
  <w:style w:type="paragraph" w:customStyle="1" w:styleId="nlintrotext">
    <w:name w:val="nl_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introtext">
    <w:name w:val="introtext"/>
    <w:basedOn w:val="Normal"/>
    <w:uiPriority w:val="99"/>
    <w:rsid w:val="00DD485C"/>
    <w:pPr>
      <w:spacing w:before="100" w:beforeAutospacing="1" w:after="100" w:afterAutospacing="1"/>
    </w:pPr>
    <w:rPr>
      <w:rFonts w:eastAsia="Times New Roman"/>
      <w:i/>
      <w:iCs/>
      <w:color w:val="333333"/>
      <w:lang w:val="es-ES"/>
    </w:rPr>
  </w:style>
  <w:style w:type="paragraph" w:customStyle="1" w:styleId="contenttxt">
    <w:name w:val="content_txt"/>
    <w:basedOn w:val="Normal"/>
    <w:uiPriority w:val="99"/>
    <w:rsid w:val="00DD485C"/>
    <w:pPr>
      <w:spacing w:before="100" w:beforeAutospacing="1" w:after="100" w:afterAutospacing="1"/>
    </w:pPr>
    <w:rPr>
      <w:rFonts w:eastAsia="Times New Roman"/>
      <w:lang w:val="es-ES"/>
    </w:rPr>
  </w:style>
  <w:style w:type="paragraph" w:customStyle="1" w:styleId="nlcontenttxt">
    <w:name w:val="nl_content_txt"/>
    <w:basedOn w:val="Normal"/>
    <w:uiPriority w:val="99"/>
    <w:rsid w:val="00DD485C"/>
    <w:pPr>
      <w:spacing w:before="100" w:beforeAutospacing="1" w:after="100" w:afterAutospacing="1" w:line="288" w:lineRule="atLeast"/>
    </w:pPr>
    <w:rPr>
      <w:rFonts w:eastAsia="Times New Roman"/>
      <w:lang w:val="es-ES"/>
    </w:rPr>
  </w:style>
  <w:style w:type="paragraph" w:customStyle="1" w:styleId="contentheadernr">
    <w:name w:val="contentheader_nr"/>
    <w:basedOn w:val="Normal"/>
    <w:uiPriority w:val="99"/>
    <w:rsid w:val="00DD485C"/>
    <w:pPr>
      <w:shd w:val="clear" w:color="auto" w:fill="CC0000"/>
      <w:spacing w:before="100" w:beforeAutospacing="1" w:after="105"/>
    </w:pPr>
    <w:rPr>
      <w:rFonts w:eastAsia="Times New Roman"/>
      <w:b/>
      <w:bCs/>
      <w:color w:val="FFFFFF"/>
      <w:lang w:val="es-ES"/>
    </w:rPr>
  </w:style>
  <w:style w:type="paragraph" w:customStyle="1" w:styleId="contentheadernr2">
    <w:name w:val="contentheader_nr2"/>
    <w:basedOn w:val="Normal"/>
    <w:uiPriority w:val="99"/>
    <w:rsid w:val="00DD485C"/>
    <w:pPr>
      <w:shd w:val="clear" w:color="auto" w:fill="CC4A4C"/>
      <w:spacing w:before="100" w:beforeAutospacing="1" w:after="105"/>
    </w:pPr>
    <w:rPr>
      <w:rFonts w:eastAsia="Times New Roman"/>
      <w:b/>
      <w:bCs/>
      <w:color w:val="FFFFFF"/>
      <w:lang w:val="es-ES"/>
    </w:rPr>
  </w:style>
  <w:style w:type="paragraph" w:customStyle="1" w:styleId="contentheadergp">
    <w:name w:val="contentheader_gp"/>
    <w:basedOn w:val="Normal"/>
    <w:uiPriority w:val="99"/>
    <w:rsid w:val="00DD485C"/>
    <w:pPr>
      <w:shd w:val="clear" w:color="auto" w:fill="FF9933"/>
      <w:spacing w:before="100" w:beforeAutospacing="1" w:after="105"/>
    </w:pPr>
    <w:rPr>
      <w:rFonts w:eastAsia="Times New Roman"/>
      <w:b/>
      <w:bCs/>
      <w:color w:val="FFFFFF"/>
      <w:lang w:val="es-ES"/>
    </w:rPr>
  </w:style>
  <w:style w:type="paragraph" w:customStyle="1" w:styleId="contentheadergp2">
    <w:name w:val="contentheader_gp2"/>
    <w:basedOn w:val="Normal"/>
    <w:uiPriority w:val="99"/>
    <w:rsid w:val="00DD485C"/>
    <w:pPr>
      <w:shd w:val="clear" w:color="auto" w:fill="FFCC99"/>
      <w:spacing w:before="100" w:beforeAutospacing="1" w:after="105"/>
    </w:pPr>
    <w:rPr>
      <w:rFonts w:eastAsia="Times New Roman"/>
      <w:b/>
      <w:bCs/>
      <w:color w:val="FFFFFF"/>
      <w:lang w:val="es-ES"/>
    </w:rPr>
  </w:style>
  <w:style w:type="paragraph" w:customStyle="1" w:styleId="contentheaderrp">
    <w:name w:val="contentheader_rp"/>
    <w:basedOn w:val="Normal"/>
    <w:uiPriority w:val="99"/>
    <w:rsid w:val="00DD485C"/>
    <w:pPr>
      <w:shd w:val="clear" w:color="auto" w:fill="66CC66"/>
      <w:spacing w:before="100" w:beforeAutospacing="1" w:after="105"/>
    </w:pPr>
    <w:rPr>
      <w:rFonts w:eastAsia="Times New Roman"/>
      <w:b/>
      <w:bCs/>
      <w:color w:val="FFFFFF"/>
      <w:lang w:val="es-ES"/>
    </w:rPr>
  </w:style>
  <w:style w:type="paragraph" w:customStyle="1" w:styleId="contentheaderrp2">
    <w:name w:val="contentheader_rp2"/>
    <w:basedOn w:val="Normal"/>
    <w:uiPriority w:val="99"/>
    <w:rsid w:val="00DD485C"/>
    <w:pPr>
      <w:shd w:val="clear" w:color="auto" w:fill="99CC99"/>
      <w:spacing w:before="100" w:beforeAutospacing="1" w:after="105"/>
    </w:pPr>
    <w:rPr>
      <w:rFonts w:eastAsia="Times New Roman"/>
      <w:b/>
      <w:bCs/>
      <w:color w:val="FFFFFF"/>
      <w:lang w:val="es-ES"/>
    </w:rPr>
  </w:style>
  <w:style w:type="paragraph" w:customStyle="1" w:styleId="contentheaderpr">
    <w:name w:val="contentheader_pr"/>
    <w:basedOn w:val="Normal"/>
    <w:uiPriority w:val="99"/>
    <w:rsid w:val="00DD485C"/>
    <w:pPr>
      <w:shd w:val="clear" w:color="auto" w:fill="339999"/>
      <w:spacing w:before="100" w:beforeAutospacing="1" w:after="105"/>
    </w:pPr>
    <w:rPr>
      <w:rFonts w:eastAsia="Times New Roman"/>
      <w:b/>
      <w:bCs/>
      <w:color w:val="FFFFFF"/>
      <w:lang w:val="es-ES"/>
    </w:rPr>
  </w:style>
  <w:style w:type="paragraph" w:customStyle="1" w:styleId="contentheaderpr2">
    <w:name w:val="contentheader_pr2"/>
    <w:basedOn w:val="Normal"/>
    <w:uiPriority w:val="99"/>
    <w:rsid w:val="00DD485C"/>
    <w:pPr>
      <w:shd w:val="clear" w:color="auto" w:fill="99CCCC"/>
      <w:spacing w:before="100" w:beforeAutospacing="1" w:after="105"/>
    </w:pPr>
    <w:rPr>
      <w:rFonts w:eastAsia="Times New Roman"/>
      <w:b/>
      <w:bCs/>
      <w:color w:val="FFFFFF"/>
      <w:lang w:val="es-ES"/>
    </w:rPr>
  </w:style>
  <w:style w:type="paragraph" w:customStyle="1" w:styleId="contentheadertools">
    <w:name w:val="contentheader_tools"/>
    <w:basedOn w:val="Normal"/>
    <w:uiPriority w:val="99"/>
    <w:rsid w:val="00DD485C"/>
    <w:pPr>
      <w:shd w:val="clear" w:color="auto" w:fill="CCCC99"/>
      <w:spacing w:before="100" w:beforeAutospacing="1" w:after="105"/>
    </w:pPr>
    <w:rPr>
      <w:rFonts w:eastAsia="Times New Roman"/>
      <w:b/>
      <w:bCs/>
      <w:color w:val="FFFFFF"/>
      <w:lang w:val="es-ES"/>
    </w:rPr>
  </w:style>
  <w:style w:type="paragraph" w:customStyle="1" w:styleId="contentheadertools2">
    <w:name w:val="contentheader_tools2"/>
    <w:basedOn w:val="Normal"/>
    <w:uiPriority w:val="99"/>
    <w:rsid w:val="00DD485C"/>
    <w:pPr>
      <w:shd w:val="clear" w:color="auto" w:fill="EFEECF"/>
      <w:spacing w:before="100" w:beforeAutospacing="1" w:after="105"/>
    </w:pPr>
    <w:rPr>
      <w:rFonts w:eastAsia="Times New Roman"/>
      <w:b/>
      <w:bCs/>
      <w:color w:val="FFFFFF"/>
      <w:lang w:val="es-ES"/>
    </w:rPr>
  </w:style>
  <w:style w:type="paragraph" w:customStyle="1" w:styleId="contentheaderpubs">
    <w:name w:val="contentheader_pubs"/>
    <w:basedOn w:val="Normal"/>
    <w:uiPriority w:val="99"/>
    <w:rsid w:val="00DD485C"/>
    <w:pPr>
      <w:shd w:val="clear" w:color="auto" w:fill="996699"/>
      <w:spacing w:before="100" w:beforeAutospacing="1" w:after="105"/>
    </w:pPr>
    <w:rPr>
      <w:rFonts w:eastAsia="Times New Roman"/>
      <w:b/>
      <w:bCs/>
      <w:color w:val="FFFFFF"/>
      <w:lang w:val="es-ES"/>
    </w:rPr>
  </w:style>
  <w:style w:type="paragraph" w:customStyle="1" w:styleId="contentheaderpubs2">
    <w:name w:val="contentheader_pubs2"/>
    <w:basedOn w:val="Normal"/>
    <w:uiPriority w:val="99"/>
    <w:rsid w:val="00DD485C"/>
    <w:pPr>
      <w:shd w:val="clear" w:color="auto" w:fill="CC99CC"/>
      <w:spacing w:before="100" w:beforeAutospacing="1" w:after="105"/>
    </w:pPr>
    <w:rPr>
      <w:rFonts w:eastAsia="Times New Roman"/>
      <w:b/>
      <w:bCs/>
      <w:color w:val="FFFFFF"/>
      <w:lang w:val="es-ES"/>
    </w:rPr>
  </w:style>
  <w:style w:type="paragraph" w:customStyle="1" w:styleId="contentheadersu">
    <w:name w:val="contentheader_su"/>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su2">
    <w:name w:val="contentheader_su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headerus">
    <w:name w:val="contentheader_us"/>
    <w:basedOn w:val="Normal"/>
    <w:uiPriority w:val="99"/>
    <w:rsid w:val="00DD485C"/>
    <w:pPr>
      <w:shd w:val="clear" w:color="auto" w:fill="336699"/>
      <w:spacing w:before="100" w:beforeAutospacing="1" w:after="105"/>
    </w:pPr>
    <w:rPr>
      <w:rFonts w:eastAsia="Times New Roman"/>
      <w:b/>
      <w:bCs/>
      <w:color w:val="FFFFFF"/>
      <w:lang w:val="es-ES"/>
    </w:rPr>
  </w:style>
  <w:style w:type="paragraph" w:customStyle="1" w:styleId="contentheaderus2">
    <w:name w:val="contentheader_us2"/>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infocusiaheader">
    <w:name w:val="infocus_ia_header"/>
    <w:basedOn w:val="Normal"/>
    <w:uiPriority w:val="99"/>
    <w:rsid w:val="00DD485C"/>
    <w:pPr>
      <w:shd w:val="clear" w:color="auto" w:fill="852714"/>
      <w:spacing w:before="100" w:beforeAutospacing="1" w:after="105"/>
    </w:pPr>
    <w:rPr>
      <w:rFonts w:eastAsia="Times New Roman"/>
      <w:b/>
      <w:bCs/>
      <w:color w:val="FFFFFF"/>
      <w:lang w:val="es-ES"/>
    </w:rPr>
  </w:style>
  <w:style w:type="paragraph" w:customStyle="1" w:styleId="contentheaderblue">
    <w:name w:val="contentheader_blue"/>
    <w:basedOn w:val="Normal"/>
    <w:uiPriority w:val="99"/>
    <w:rsid w:val="00DD485C"/>
    <w:pPr>
      <w:shd w:val="clear" w:color="auto" w:fill="6699CC"/>
      <w:spacing w:before="100" w:beforeAutospacing="1" w:after="105"/>
    </w:pPr>
    <w:rPr>
      <w:rFonts w:eastAsia="Times New Roman"/>
      <w:b/>
      <w:bCs/>
      <w:color w:val="FFFFFF"/>
      <w:lang w:val="es-ES"/>
    </w:rPr>
  </w:style>
  <w:style w:type="paragraph" w:customStyle="1" w:styleId="contenttextboxcream">
    <w:name w:val="contenttextbox_cream"/>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F6F7E7"/>
      <w:spacing w:before="100" w:beforeAutospacing="1" w:after="105"/>
    </w:pPr>
    <w:rPr>
      <w:rFonts w:eastAsia="Times New Roman"/>
      <w:color w:val="003366"/>
      <w:lang w:val="es-ES"/>
    </w:rPr>
  </w:style>
  <w:style w:type="paragraph" w:customStyle="1" w:styleId="contenttextboxgrey">
    <w:name w:val="contenttextbox_grey"/>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E7E7E7"/>
      <w:spacing w:before="100" w:beforeAutospacing="1" w:after="105"/>
    </w:pPr>
    <w:rPr>
      <w:rFonts w:eastAsia="Times New Roman"/>
      <w:color w:val="003366"/>
      <w:lang w:val="es-ES"/>
    </w:rPr>
  </w:style>
  <w:style w:type="paragraph" w:customStyle="1" w:styleId="contenttextboxblue">
    <w:name w:val="contenttextbox_blue"/>
    <w:basedOn w:val="Normal"/>
    <w:uiPriority w:val="99"/>
    <w:rsid w:val="00DD485C"/>
    <w:pPr>
      <w:pBdr>
        <w:top w:val="single" w:sz="6" w:space="0" w:color="666666"/>
        <w:left w:val="single" w:sz="6" w:space="4" w:color="666666"/>
        <w:bottom w:val="single" w:sz="6" w:space="0" w:color="666666"/>
        <w:right w:val="single" w:sz="6" w:space="0" w:color="666666"/>
      </w:pBdr>
      <w:shd w:val="clear" w:color="auto" w:fill="D9EBF9"/>
      <w:spacing w:before="100" w:beforeAutospacing="1" w:after="105"/>
    </w:pPr>
    <w:rPr>
      <w:rFonts w:eastAsia="Times New Roman"/>
      <w:color w:val="003366"/>
      <w:lang w:val="es-ES"/>
    </w:rPr>
  </w:style>
  <w:style w:type="paragraph" w:customStyle="1" w:styleId="contenttextboxnr">
    <w:name w:val="contenttextbox_nr"/>
    <w:basedOn w:val="Normal"/>
    <w:uiPriority w:val="99"/>
    <w:rsid w:val="00DD485C"/>
    <w:pPr>
      <w:pBdr>
        <w:top w:val="single" w:sz="6" w:space="0" w:color="CC0000"/>
        <w:left w:val="single" w:sz="6" w:space="4" w:color="CC0000"/>
        <w:bottom w:val="single" w:sz="6" w:space="0" w:color="CC0000"/>
        <w:right w:val="single" w:sz="6" w:space="0" w:color="CC0000"/>
      </w:pBdr>
      <w:shd w:val="clear" w:color="auto" w:fill="CC4A4C"/>
      <w:spacing w:before="100" w:beforeAutospacing="1" w:after="105"/>
    </w:pPr>
    <w:rPr>
      <w:rFonts w:eastAsia="Times New Roman"/>
      <w:color w:val="FFFFFF"/>
      <w:lang w:val="es-ES"/>
    </w:rPr>
  </w:style>
  <w:style w:type="paragraph" w:customStyle="1" w:styleId="contenttextboxgp">
    <w:name w:val="contenttextbox_gp"/>
    <w:basedOn w:val="Normal"/>
    <w:uiPriority w:val="99"/>
    <w:rsid w:val="00DD485C"/>
    <w:pPr>
      <w:pBdr>
        <w:top w:val="single" w:sz="6" w:space="0" w:color="FF6600"/>
        <w:left w:val="single" w:sz="6" w:space="4" w:color="FF6600"/>
        <w:bottom w:val="single" w:sz="6" w:space="0" w:color="FF6600"/>
        <w:right w:val="single" w:sz="6" w:space="0" w:color="FF6600"/>
      </w:pBdr>
      <w:shd w:val="clear" w:color="auto" w:fill="FF9933"/>
      <w:spacing w:before="100" w:beforeAutospacing="1" w:after="105"/>
    </w:pPr>
    <w:rPr>
      <w:rFonts w:eastAsia="Times New Roman"/>
      <w:color w:val="FF6600"/>
      <w:lang w:val="es-ES"/>
    </w:rPr>
  </w:style>
  <w:style w:type="paragraph" w:customStyle="1" w:styleId="contenttextboxrp">
    <w:name w:val="contenttextbox_rp"/>
    <w:basedOn w:val="Normal"/>
    <w:uiPriority w:val="99"/>
    <w:rsid w:val="00DD485C"/>
    <w:pPr>
      <w:pBdr>
        <w:top w:val="single" w:sz="6" w:space="0" w:color="009966"/>
        <w:left w:val="single" w:sz="6" w:space="4" w:color="009966"/>
        <w:bottom w:val="single" w:sz="6" w:space="0" w:color="009966"/>
        <w:right w:val="single" w:sz="6" w:space="0" w:color="009966"/>
      </w:pBdr>
      <w:shd w:val="clear" w:color="auto" w:fill="CCFFCC"/>
      <w:spacing w:before="100" w:beforeAutospacing="1" w:after="105"/>
    </w:pPr>
    <w:rPr>
      <w:rFonts w:eastAsia="Times New Roman"/>
      <w:color w:val="009966"/>
      <w:lang w:val="es-ES"/>
    </w:rPr>
  </w:style>
  <w:style w:type="paragraph" w:customStyle="1" w:styleId="contenttextboxpr">
    <w:name w:val="contenttextbox_pr"/>
    <w:basedOn w:val="Normal"/>
    <w:uiPriority w:val="99"/>
    <w:rsid w:val="00DD485C"/>
    <w:pPr>
      <w:pBdr>
        <w:top w:val="single" w:sz="6" w:space="0" w:color="006666"/>
        <w:left w:val="single" w:sz="6" w:space="4" w:color="006666"/>
        <w:bottom w:val="single" w:sz="6" w:space="0" w:color="006666"/>
        <w:right w:val="single" w:sz="6" w:space="0" w:color="006666"/>
      </w:pBdr>
      <w:shd w:val="clear" w:color="auto" w:fill="CCFFFF"/>
      <w:spacing w:before="100" w:beforeAutospacing="1" w:after="105"/>
    </w:pPr>
    <w:rPr>
      <w:rFonts w:eastAsia="Times New Roman"/>
      <w:color w:val="006666"/>
      <w:lang w:val="es-ES"/>
    </w:rPr>
  </w:style>
  <w:style w:type="paragraph" w:customStyle="1" w:styleId="contenttextboxtools">
    <w:name w:val="contenttextbox_tools"/>
    <w:basedOn w:val="Normal"/>
    <w:uiPriority w:val="99"/>
    <w:rsid w:val="00DD485C"/>
    <w:pPr>
      <w:pBdr>
        <w:top w:val="single" w:sz="6" w:space="0" w:color="999966"/>
        <w:left w:val="single" w:sz="6" w:space="4" w:color="999966"/>
        <w:bottom w:val="single" w:sz="6" w:space="0" w:color="999966"/>
        <w:right w:val="single" w:sz="6" w:space="0" w:color="999966"/>
      </w:pBdr>
      <w:shd w:val="clear" w:color="auto" w:fill="EFEECF"/>
      <w:spacing w:before="100" w:beforeAutospacing="1" w:after="105"/>
    </w:pPr>
    <w:rPr>
      <w:rFonts w:eastAsia="Times New Roman"/>
      <w:color w:val="999966"/>
      <w:lang w:val="es-ES"/>
    </w:rPr>
  </w:style>
  <w:style w:type="paragraph" w:customStyle="1" w:styleId="contenttextboxpubs">
    <w:name w:val="contenttextbox_pubs"/>
    <w:basedOn w:val="Normal"/>
    <w:uiPriority w:val="99"/>
    <w:rsid w:val="00DD485C"/>
    <w:pPr>
      <w:pBdr>
        <w:top w:val="single" w:sz="6" w:space="0" w:color="660000"/>
        <w:left w:val="single" w:sz="6" w:space="4" w:color="660000"/>
        <w:bottom w:val="single" w:sz="6" w:space="0" w:color="660000"/>
        <w:right w:val="single" w:sz="6" w:space="0" w:color="660000"/>
      </w:pBdr>
      <w:shd w:val="clear" w:color="auto" w:fill="F7E7F7"/>
      <w:spacing w:before="100" w:beforeAutospacing="1" w:after="105"/>
    </w:pPr>
    <w:rPr>
      <w:rFonts w:eastAsia="Times New Roman"/>
      <w:color w:val="660000"/>
      <w:lang w:val="es-ES"/>
    </w:rPr>
  </w:style>
  <w:style w:type="paragraph" w:customStyle="1" w:styleId="contenttextboxsu">
    <w:name w:val="contenttextbox_su"/>
    <w:basedOn w:val="Normal"/>
    <w:uiPriority w:val="99"/>
    <w:rsid w:val="00DD485C"/>
    <w:pPr>
      <w:pBdr>
        <w:top w:val="single" w:sz="6" w:space="0" w:color="333366"/>
        <w:left w:val="single" w:sz="6" w:space="4" w:color="333366"/>
        <w:bottom w:val="single" w:sz="6" w:space="0" w:color="333366"/>
        <w:right w:val="single" w:sz="6" w:space="0" w:color="333366"/>
      </w:pBdr>
      <w:shd w:val="clear" w:color="auto" w:fill="99CCFF"/>
      <w:spacing w:before="100" w:beforeAutospacing="1" w:after="105"/>
    </w:pPr>
    <w:rPr>
      <w:rFonts w:eastAsia="Times New Roman"/>
      <w:color w:val="333366"/>
      <w:lang w:val="es-ES"/>
    </w:rPr>
  </w:style>
  <w:style w:type="paragraph" w:customStyle="1" w:styleId="clr">
    <w:name w:val="clr"/>
    <w:basedOn w:val="Normal"/>
    <w:uiPriority w:val="99"/>
    <w:rsid w:val="00DD485C"/>
    <w:pPr>
      <w:spacing w:before="100" w:beforeAutospacing="1" w:after="100" w:afterAutospacing="1"/>
    </w:pPr>
    <w:rPr>
      <w:rFonts w:eastAsia="Times New Roman"/>
      <w:lang w:val="es-ES"/>
    </w:rPr>
  </w:style>
  <w:style w:type="paragraph" w:customStyle="1" w:styleId="clr-left">
    <w:name w:val="clr-left"/>
    <w:basedOn w:val="Normal"/>
    <w:uiPriority w:val="99"/>
    <w:rsid w:val="00DD485C"/>
    <w:pPr>
      <w:spacing w:before="100" w:beforeAutospacing="1" w:after="100" w:afterAutospacing="1"/>
    </w:pPr>
    <w:rPr>
      <w:rFonts w:eastAsia="Times New Roman"/>
      <w:lang w:val="es-ES"/>
    </w:rPr>
  </w:style>
  <w:style w:type="paragraph" w:customStyle="1" w:styleId="topnewsbox">
    <w:name w:val="topnews_box"/>
    <w:basedOn w:val="Normal"/>
    <w:uiPriority w:val="99"/>
    <w:rsid w:val="00DD485C"/>
    <w:pPr>
      <w:spacing w:before="100" w:beforeAutospacing="1" w:after="100" w:afterAutospacing="1"/>
    </w:pPr>
    <w:rPr>
      <w:rFonts w:eastAsia="Times New Roman"/>
      <w:lang w:val="es-ES"/>
    </w:rPr>
  </w:style>
  <w:style w:type="paragraph" w:customStyle="1" w:styleId="topnewsline">
    <w:name w:val="topnews_line"/>
    <w:basedOn w:val="Normal"/>
    <w:uiPriority w:val="99"/>
    <w:rsid w:val="00DD485C"/>
    <w:pPr>
      <w:spacing w:before="48" w:after="48"/>
      <w:jc w:val="center"/>
    </w:pPr>
    <w:rPr>
      <w:rFonts w:eastAsia="Times New Roman"/>
      <w:lang w:val="es-ES"/>
    </w:rPr>
  </w:style>
  <w:style w:type="paragraph" w:customStyle="1" w:styleId="faveventsline">
    <w:name w:val="favevents_line"/>
    <w:basedOn w:val="Normal"/>
    <w:uiPriority w:val="99"/>
    <w:rsid w:val="00DD485C"/>
    <w:pPr>
      <w:spacing w:before="48" w:after="48"/>
      <w:jc w:val="center"/>
    </w:pPr>
    <w:rPr>
      <w:rFonts w:eastAsia="Times New Roman"/>
      <w:lang w:val="es-ES"/>
    </w:rPr>
  </w:style>
  <w:style w:type="paragraph" w:customStyle="1" w:styleId="faveventsbox">
    <w:name w:val="favevents_box"/>
    <w:basedOn w:val="Normal"/>
    <w:uiPriority w:val="99"/>
    <w:rsid w:val="00DD485C"/>
    <w:pPr>
      <w:spacing w:before="100" w:beforeAutospacing="1" w:after="100" w:afterAutospacing="1"/>
    </w:pPr>
    <w:rPr>
      <w:rFonts w:eastAsia="Times New Roman"/>
      <w:lang w:val="es-ES"/>
    </w:rPr>
  </w:style>
  <w:style w:type="paragraph" w:customStyle="1" w:styleId="hrindex">
    <w:name w:val="hr_index"/>
    <w:basedOn w:val="Normal"/>
    <w:uiPriority w:val="99"/>
    <w:rsid w:val="00DD485C"/>
    <w:pPr>
      <w:shd w:val="clear" w:color="auto" w:fill="336699"/>
      <w:spacing w:before="100" w:beforeAutospacing="1" w:after="100" w:afterAutospacing="1"/>
    </w:pPr>
    <w:rPr>
      <w:rFonts w:eastAsia="Times New Roman"/>
      <w:lang w:val="es-ES"/>
    </w:rPr>
  </w:style>
  <w:style w:type="paragraph" w:customStyle="1" w:styleId="indexinfoboxradiobox">
    <w:name w:val="indexinfo_box_radiobox"/>
    <w:basedOn w:val="Normal"/>
    <w:uiPriority w:val="99"/>
    <w:rsid w:val="00DD485C"/>
    <w:pPr>
      <w:spacing w:before="100" w:beforeAutospacing="1" w:after="100" w:afterAutospacing="1"/>
    </w:pPr>
    <w:rPr>
      <w:rFonts w:eastAsia="Times New Roman"/>
      <w:lang w:val="es-ES"/>
    </w:rPr>
  </w:style>
  <w:style w:type="paragraph" w:customStyle="1" w:styleId="indexinfopolltitle">
    <w:name w:val="indexinfo_poll_title"/>
    <w:basedOn w:val="Normal"/>
    <w:uiPriority w:val="99"/>
    <w:rsid w:val="00DD485C"/>
    <w:pPr>
      <w:spacing w:before="100" w:beforeAutospacing="1" w:after="100" w:afterAutospacing="1"/>
    </w:pPr>
    <w:rPr>
      <w:rFonts w:eastAsia="Times New Roman"/>
      <w:b/>
      <w:bCs/>
      <w:lang w:val="es-ES"/>
    </w:rPr>
  </w:style>
  <w:style w:type="paragraph" w:customStyle="1" w:styleId="indexinfoboxvote">
    <w:name w:val="indexinfo_box_vote"/>
    <w:basedOn w:val="Normal"/>
    <w:uiPriority w:val="99"/>
    <w:rsid w:val="00DD485C"/>
    <w:pPr>
      <w:shd w:val="clear" w:color="auto" w:fill="336699"/>
      <w:spacing w:before="100" w:beforeAutospacing="1" w:after="100" w:afterAutospacing="1"/>
      <w:jc w:val="center"/>
    </w:pPr>
    <w:rPr>
      <w:rFonts w:eastAsia="Times New Roman"/>
      <w:b/>
      <w:bCs/>
      <w:color w:val="FFFFFF"/>
      <w:lang w:val="es-ES"/>
    </w:rPr>
  </w:style>
  <w:style w:type="paragraph" w:customStyle="1" w:styleId="newsletterpdfdownload">
    <w:name w:val="newsletter_pdf_download"/>
    <w:basedOn w:val="Normal"/>
    <w:uiPriority w:val="99"/>
    <w:rsid w:val="00DD485C"/>
    <w:pPr>
      <w:spacing w:before="100" w:beforeAutospacing="1" w:after="100" w:afterAutospacing="1"/>
      <w:jc w:val="right"/>
    </w:pPr>
    <w:rPr>
      <w:rFonts w:eastAsia="Times New Roman"/>
      <w:lang w:val="es-ES"/>
    </w:rPr>
  </w:style>
  <w:style w:type="paragraph" w:customStyle="1" w:styleId="newsletterdatebox">
    <w:name w:val="newsletter_datebox"/>
    <w:basedOn w:val="Normal"/>
    <w:uiPriority w:val="99"/>
    <w:rsid w:val="00DD485C"/>
    <w:pPr>
      <w:spacing w:before="100" w:beforeAutospacing="1" w:after="100" w:afterAutospacing="1"/>
      <w:jc w:val="right"/>
    </w:pPr>
    <w:rPr>
      <w:rFonts w:eastAsia="Times New Roman"/>
      <w:caps/>
      <w:lang w:val="es-ES"/>
    </w:rPr>
  </w:style>
  <w:style w:type="paragraph" w:customStyle="1" w:styleId="newsletterheadline">
    <w:name w:val="newsletter_headline"/>
    <w:basedOn w:val="Normal"/>
    <w:uiPriority w:val="99"/>
    <w:rsid w:val="00DD485C"/>
    <w:pPr>
      <w:spacing w:before="100" w:beforeAutospacing="1" w:after="100" w:afterAutospacing="1"/>
    </w:pPr>
    <w:rPr>
      <w:rFonts w:eastAsia="Times New Roman"/>
      <w:b/>
      <w:bCs/>
      <w:caps/>
      <w:lang w:val="es-ES"/>
    </w:rPr>
  </w:style>
  <w:style w:type="paragraph" w:customStyle="1" w:styleId="newsletterheadlineqa">
    <w:name w:val="newsletter_headline_qa"/>
    <w:basedOn w:val="Normal"/>
    <w:uiPriority w:val="99"/>
    <w:rsid w:val="00DD485C"/>
    <w:pPr>
      <w:pBdr>
        <w:left w:val="single" w:sz="48" w:space="0" w:color="FFFFFF"/>
      </w:pBdr>
      <w:shd w:val="clear" w:color="auto" w:fill="0179B6"/>
      <w:spacing w:before="100" w:beforeAutospacing="1" w:after="100" w:afterAutospacing="1"/>
      <w:jc w:val="right"/>
    </w:pPr>
    <w:rPr>
      <w:rFonts w:eastAsia="Times New Roman"/>
      <w:b/>
      <w:bCs/>
      <w:caps/>
      <w:color w:val="FFFFFF"/>
      <w:lang w:val="es-ES"/>
    </w:rPr>
  </w:style>
  <w:style w:type="paragraph" w:customStyle="1" w:styleId="newsletterheadlinetiand">
    <w:name w:val="newsletter_headline_ti_and"/>
    <w:basedOn w:val="Normal"/>
    <w:uiPriority w:val="99"/>
    <w:rsid w:val="00DD485C"/>
    <w:pPr>
      <w:spacing w:before="100" w:beforeAutospacing="1" w:after="100" w:afterAutospacing="1"/>
    </w:pPr>
    <w:rPr>
      <w:rFonts w:eastAsia="Times New Roman"/>
      <w:caps/>
      <w:color w:val="996699"/>
      <w:lang w:val="es-ES"/>
    </w:rPr>
  </w:style>
  <w:style w:type="paragraph" w:customStyle="1" w:styleId="newslettertitlebox">
    <w:name w:val="newsletter_titlebox"/>
    <w:basedOn w:val="Normal"/>
    <w:uiPriority w:val="99"/>
    <w:rsid w:val="00DD485C"/>
    <w:pPr>
      <w:shd w:val="clear" w:color="auto" w:fill="E4F1FA"/>
      <w:spacing w:before="100" w:beforeAutospacing="1" w:after="100" w:afterAutospacing="1"/>
    </w:pPr>
    <w:rPr>
      <w:rFonts w:eastAsia="Times New Roman"/>
      <w:lang w:val="es-ES"/>
    </w:rPr>
  </w:style>
  <w:style w:type="paragraph" w:customStyle="1" w:styleId="newsletterteaser01">
    <w:name w:val="newsletter_teaser_01"/>
    <w:basedOn w:val="Normal"/>
    <w:uiPriority w:val="99"/>
    <w:rsid w:val="00DD485C"/>
    <w:pPr>
      <w:spacing w:before="100" w:beforeAutospacing="1" w:after="100" w:afterAutospacing="1"/>
    </w:pPr>
    <w:rPr>
      <w:rFonts w:eastAsia="Times New Roman"/>
      <w:lang w:val="es-ES"/>
    </w:rPr>
  </w:style>
  <w:style w:type="paragraph" w:customStyle="1" w:styleId="newsletterttxtbox01">
    <w:name w:val="newsletter_ttxtbox_01"/>
    <w:basedOn w:val="Normal"/>
    <w:uiPriority w:val="99"/>
    <w:rsid w:val="00DD485C"/>
    <w:pPr>
      <w:spacing w:before="100" w:beforeAutospacing="1" w:after="100" w:afterAutospacing="1"/>
    </w:pPr>
    <w:rPr>
      <w:rFonts w:eastAsia="Times New Roman"/>
      <w:lang w:val="es-ES"/>
    </w:rPr>
  </w:style>
  <w:style w:type="paragraph" w:customStyle="1" w:styleId="newsletterttxt01">
    <w:name w:val="newsletter_ttxt_01"/>
    <w:basedOn w:val="Normal"/>
    <w:uiPriority w:val="99"/>
    <w:rsid w:val="00DD485C"/>
    <w:pPr>
      <w:pBdr>
        <w:left w:val="single" w:sz="6" w:space="8" w:color="CCCCCC"/>
      </w:pBdr>
      <w:spacing w:before="100" w:beforeAutospacing="1" w:after="100" w:afterAutospacing="1"/>
    </w:pPr>
    <w:rPr>
      <w:rFonts w:eastAsia="Times New Roman"/>
      <w:lang w:val="es-ES"/>
    </w:rPr>
  </w:style>
  <w:style w:type="paragraph" w:customStyle="1" w:styleId="newsletterttxttiand">
    <w:name w:val="newsletter_ttxt_ti_and"/>
    <w:basedOn w:val="Normal"/>
    <w:uiPriority w:val="99"/>
    <w:rsid w:val="00DD485C"/>
    <w:pPr>
      <w:shd w:val="clear" w:color="auto" w:fill="98788D"/>
      <w:spacing w:before="100" w:beforeAutospacing="1" w:after="100" w:afterAutospacing="1" w:line="288" w:lineRule="atLeast"/>
    </w:pPr>
    <w:rPr>
      <w:rFonts w:eastAsia="Times New Roman"/>
      <w:color w:val="FFFFFF"/>
      <w:lang w:val="es-ES"/>
    </w:rPr>
  </w:style>
  <w:style w:type="paragraph" w:customStyle="1" w:styleId="newsletterttxtqa">
    <w:name w:val="newsletter_ttxt_qa"/>
    <w:basedOn w:val="Normal"/>
    <w:uiPriority w:val="99"/>
    <w:rsid w:val="00DD485C"/>
    <w:pPr>
      <w:pBdr>
        <w:left w:val="single" w:sz="48" w:space="4" w:color="FFFFFF"/>
      </w:pBdr>
      <w:shd w:val="clear" w:color="auto" w:fill="98788D"/>
      <w:spacing w:before="100" w:beforeAutospacing="1" w:after="100" w:afterAutospacing="1" w:line="288" w:lineRule="atLeast"/>
    </w:pPr>
    <w:rPr>
      <w:rFonts w:eastAsia="Times New Roman"/>
      <w:color w:val="FFFFFF"/>
      <w:lang w:val="es-ES"/>
    </w:rPr>
  </w:style>
  <w:style w:type="paragraph" w:customStyle="1" w:styleId="newsletterteasertiand">
    <w:name w:val="newsletter_teaser_ti_and"/>
    <w:basedOn w:val="Normal"/>
    <w:uiPriority w:val="99"/>
    <w:rsid w:val="00DD485C"/>
    <w:pPr>
      <w:spacing w:before="100" w:beforeAutospacing="1" w:after="100" w:afterAutospacing="1"/>
    </w:pPr>
    <w:rPr>
      <w:rFonts w:eastAsia="Times New Roman"/>
      <w:lang w:val="es-ES"/>
    </w:rPr>
  </w:style>
  <w:style w:type="paragraph" w:customStyle="1" w:styleId="newsletteracw">
    <w:name w:val="newsletter_acw"/>
    <w:basedOn w:val="Normal"/>
    <w:uiPriority w:val="99"/>
    <w:rsid w:val="00DD485C"/>
    <w:pPr>
      <w:pBdr>
        <w:right w:val="single" w:sz="6" w:space="0" w:color="CCCCCC"/>
      </w:pBdr>
      <w:spacing w:before="100" w:beforeAutospacing="1" w:after="100" w:afterAutospacing="1"/>
    </w:pPr>
    <w:rPr>
      <w:rFonts w:eastAsia="Times New Roman"/>
      <w:lang w:val="es-ES"/>
    </w:rPr>
  </w:style>
  <w:style w:type="paragraph" w:customStyle="1" w:styleId="newslettercnews">
    <w:name w:val="newsletter_cnews"/>
    <w:basedOn w:val="Normal"/>
    <w:uiPriority w:val="99"/>
    <w:rsid w:val="00DD485C"/>
    <w:pPr>
      <w:spacing w:before="100" w:beforeAutospacing="1" w:after="100" w:afterAutospacing="1"/>
    </w:pPr>
    <w:rPr>
      <w:rFonts w:eastAsia="Times New Roman"/>
      <w:lang w:val="es-ES"/>
    </w:rPr>
  </w:style>
  <w:style w:type="paragraph" w:customStyle="1" w:styleId="newsletteracwimg">
    <w:name w:val="newsletter_acw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cnewsimg">
    <w:name w:val="newsletter_cnews_img"/>
    <w:basedOn w:val="Normal"/>
    <w:uiPriority w:val="99"/>
    <w:rsid w:val="00DD485C"/>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bottomteaser">
    <w:name w:val="newsletter_bottom_teaser"/>
    <w:basedOn w:val="Normal"/>
    <w:uiPriority w:val="99"/>
    <w:rsid w:val="00DD485C"/>
    <w:pPr>
      <w:pBdr>
        <w:left w:val="single" w:sz="6" w:space="19" w:color="CCCCCC"/>
      </w:pBdr>
      <w:spacing w:before="100" w:beforeAutospacing="1" w:after="100" w:afterAutospacing="1"/>
    </w:pPr>
    <w:rPr>
      <w:rFonts w:eastAsia="Times New Roman"/>
      <w:lang w:val="es-ES"/>
    </w:rPr>
  </w:style>
  <w:style w:type="paragraph" w:customStyle="1" w:styleId="newsletterheadlinebottomteaser">
    <w:name w:val="newsletter_headline_bottom_teaser"/>
    <w:basedOn w:val="Normal"/>
    <w:uiPriority w:val="99"/>
    <w:rsid w:val="00DD485C"/>
    <w:pPr>
      <w:spacing w:before="100" w:beforeAutospacing="1" w:after="100" w:afterAutospacing="1"/>
    </w:pPr>
    <w:rPr>
      <w:rFonts w:eastAsia="Times New Roman"/>
      <w:b/>
      <w:bCs/>
      <w:caps/>
      <w:color w:val="996699"/>
      <w:lang w:val="es-ES"/>
    </w:rPr>
  </w:style>
  <w:style w:type="paragraph" w:customStyle="1" w:styleId="headlinenewsletter">
    <w:name w:val="headline_newsletter"/>
    <w:basedOn w:val="Normal"/>
    <w:uiPriority w:val="99"/>
    <w:rsid w:val="00DD485C"/>
    <w:pPr>
      <w:shd w:val="clear" w:color="auto" w:fill="996699"/>
      <w:spacing w:line="225" w:lineRule="atLeast"/>
      <w:jc w:val="center"/>
    </w:pPr>
    <w:rPr>
      <w:rFonts w:eastAsia="Times New Roman"/>
      <w:b/>
      <w:bCs/>
      <w:color w:val="FFFFFF"/>
      <w:lang w:val="es-ES"/>
    </w:rPr>
  </w:style>
  <w:style w:type="paragraph" w:customStyle="1" w:styleId="newsletterimgph">
    <w:name w:val="newsletter_img_ph"/>
    <w:basedOn w:val="Normal"/>
    <w:uiPriority w:val="99"/>
    <w:rsid w:val="00DD485C"/>
    <w:pPr>
      <w:spacing w:before="100" w:beforeAutospacing="1" w:after="100" w:afterAutospacing="1"/>
    </w:pPr>
    <w:rPr>
      <w:rFonts w:eastAsia="Times New Roman"/>
      <w:lang w:val="es-ES"/>
    </w:rPr>
  </w:style>
  <w:style w:type="paragraph" w:customStyle="1" w:styleId="newsletterlogobanner">
    <w:name w:val="newsletter_logobanner"/>
    <w:basedOn w:val="Normal"/>
    <w:uiPriority w:val="99"/>
    <w:rsid w:val="00DD485C"/>
    <w:pPr>
      <w:spacing w:before="100" w:beforeAutospacing="1" w:after="100" w:afterAutospacing="1"/>
    </w:pPr>
    <w:rPr>
      <w:rFonts w:eastAsia="Times New Roman"/>
      <w:lang w:val="es-ES"/>
    </w:rPr>
  </w:style>
  <w:style w:type="paragraph" w:customStyle="1" w:styleId="newslettercontent">
    <w:name w:val="newsletter_content"/>
    <w:basedOn w:val="Normal"/>
    <w:uiPriority w:val="99"/>
    <w:rsid w:val="00DD485C"/>
    <w:pPr>
      <w:spacing w:before="100" w:beforeAutospacing="1" w:after="100" w:afterAutospacing="1"/>
    </w:pPr>
    <w:rPr>
      <w:rFonts w:eastAsia="Times New Roman"/>
      <w:lang w:val="es-ES"/>
    </w:rPr>
  </w:style>
  <w:style w:type="paragraph" w:customStyle="1" w:styleId="donatebox">
    <w:name w:val="donatebox"/>
    <w:basedOn w:val="Normal"/>
    <w:uiPriority w:val="99"/>
    <w:rsid w:val="00DD485C"/>
    <w:pPr>
      <w:shd w:val="clear" w:color="auto" w:fill="D9EBF9"/>
      <w:spacing w:before="100" w:beforeAutospacing="1" w:after="100" w:afterAutospacing="1"/>
    </w:pPr>
    <w:rPr>
      <w:rFonts w:eastAsia="Times New Roman"/>
      <w:color w:val="000000"/>
      <w:lang w:val="es-ES"/>
    </w:rPr>
  </w:style>
  <w:style w:type="paragraph" w:customStyle="1" w:styleId="donateinputbox">
    <w:name w:val="donateinputbox"/>
    <w:basedOn w:val="Normal"/>
    <w:uiPriority w:val="99"/>
    <w:rsid w:val="00DD485C"/>
    <w:pPr>
      <w:shd w:val="clear" w:color="auto" w:fill="FFFFFF"/>
      <w:spacing w:before="100" w:beforeAutospacing="1" w:after="100" w:afterAutospacing="1"/>
      <w:textAlignment w:val="center"/>
    </w:pPr>
    <w:rPr>
      <w:rFonts w:eastAsia="Times New Roman"/>
      <w:color w:val="333333"/>
      <w:lang w:val="es-ES"/>
    </w:rPr>
  </w:style>
  <w:style w:type="paragraph" w:customStyle="1" w:styleId="donateinputline">
    <w:name w:val="donateinputline"/>
    <w:basedOn w:val="Normal"/>
    <w:uiPriority w:val="99"/>
    <w:rsid w:val="00DD485C"/>
    <w:pPr>
      <w:shd w:val="clear" w:color="auto" w:fill="FFFFFF"/>
      <w:spacing w:before="100" w:beforeAutospacing="1" w:after="100" w:afterAutospacing="1" w:line="180" w:lineRule="atLeast"/>
      <w:textAlignment w:val="center"/>
    </w:pPr>
    <w:rPr>
      <w:rFonts w:eastAsia="Times New Roman"/>
      <w:color w:val="333333"/>
      <w:lang w:val="es-ES"/>
    </w:rPr>
  </w:style>
  <w:style w:type="paragraph" w:customStyle="1" w:styleId="next">
    <w:name w:val="next"/>
    <w:basedOn w:val="Normal"/>
    <w:uiPriority w:val="99"/>
    <w:rsid w:val="00DD485C"/>
    <w:pPr>
      <w:pBdr>
        <w:top w:val="single" w:sz="6" w:space="0" w:color="666666"/>
        <w:left w:val="single" w:sz="6" w:space="0" w:color="666666"/>
        <w:bottom w:val="single" w:sz="6" w:space="0" w:color="666666"/>
        <w:right w:val="single" w:sz="6" w:space="0" w:color="666666"/>
      </w:pBdr>
      <w:shd w:val="clear" w:color="auto" w:fill="D9EBF9"/>
      <w:spacing w:before="100" w:beforeAutospacing="1" w:after="100" w:afterAutospacing="1"/>
    </w:pPr>
    <w:rPr>
      <w:rFonts w:eastAsia="Times New Roman"/>
      <w:lang w:val="es-ES"/>
    </w:rPr>
  </w:style>
  <w:style w:type="paragraph" w:customStyle="1" w:styleId="useinfocusspace">
    <w:name w:val="use_infocus_space"/>
    <w:basedOn w:val="Normal"/>
    <w:uiPriority w:val="99"/>
    <w:rsid w:val="00DD485C"/>
    <w:pPr>
      <w:shd w:val="clear" w:color="auto" w:fill="D9EBF8"/>
      <w:spacing w:before="100" w:beforeAutospacing="1" w:after="100" w:afterAutospacing="1"/>
    </w:pPr>
    <w:rPr>
      <w:rFonts w:eastAsia="Times New Roman"/>
      <w:lang w:val="es-ES"/>
    </w:rPr>
  </w:style>
  <w:style w:type="paragraph" w:customStyle="1" w:styleId="infocusbox">
    <w:name w:val="infocus_box"/>
    <w:basedOn w:val="Normal"/>
    <w:uiPriority w:val="99"/>
    <w:rsid w:val="00DD485C"/>
    <w:pPr>
      <w:spacing w:before="100" w:beforeAutospacing="1" w:after="100" w:afterAutospacing="1"/>
    </w:pPr>
    <w:rPr>
      <w:rFonts w:eastAsia="Times New Roman"/>
      <w:b/>
      <w:bCs/>
      <w:color w:val="FFFFFF"/>
      <w:sz w:val="18"/>
      <w:szCs w:val="18"/>
      <w:lang w:val="es-ES"/>
    </w:rPr>
  </w:style>
  <w:style w:type="paragraph" w:customStyle="1" w:styleId="infocus2box">
    <w:name w:val="infocus2_box"/>
    <w:basedOn w:val="Normal"/>
    <w:uiPriority w:val="99"/>
    <w:rsid w:val="00DD485C"/>
    <w:pPr>
      <w:shd w:val="clear" w:color="auto" w:fill="FFFFFF"/>
      <w:spacing w:before="100" w:beforeAutospacing="1" w:after="100" w:afterAutospacing="1"/>
    </w:pPr>
    <w:rPr>
      <w:rFonts w:eastAsia="Times New Roman"/>
      <w:color w:val="FFFFFF"/>
      <w:lang w:val="es-ES"/>
    </w:rPr>
  </w:style>
  <w:style w:type="paragraph" w:customStyle="1" w:styleId="infocusboxtxt">
    <w:name w:val="infocus_box_txt"/>
    <w:basedOn w:val="Normal"/>
    <w:uiPriority w:val="99"/>
    <w:rsid w:val="00DD485C"/>
    <w:pPr>
      <w:spacing w:before="100" w:beforeAutospacing="1" w:after="100" w:afterAutospacing="1" w:line="288" w:lineRule="atLeast"/>
    </w:pPr>
    <w:rPr>
      <w:rFonts w:eastAsia="Times New Roman"/>
      <w:lang w:val="es-ES"/>
    </w:rPr>
  </w:style>
  <w:style w:type="paragraph" w:customStyle="1" w:styleId="infocus2txt">
    <w:name w:val="infocus2_txt"/>
    <w:basedOn w:val="Normal"/>
    <w:uiPriority w:val="99"/>
    <w:rsid w:val="00DD485C"/>
    <w:pPr>
      <w:spacing w:before="100" w:beforeAutospacing="1" w:after="100" w:afterAutospacing="1"/>
    </w:pPr>
    <w:rPr>
      <w:rFonts w:eastAsia="Times New Roman"/>
      <w:lang w:val="es-ES"/>
    </w:rPr>
  </w:style>
  <w:style w:type="paragraph" w:customStyle="1" w:styleId="infocus2boxtxt">
    <w:name w:val="infocus2_box_txt"/>
    <w:basedOn w:val="Normal"/>
    <w:uiPriority w:val="99"/>
    <w:rsid w:val="00DD485C"/>
    <w:pPr>
      <w:shd w:val="clear" w:color="auto" w:fill="000000"/>
      <w:spacing w:before="100" w:beforeAutospacing="1" w:after="100" w:afterAutospacing="1" w:line="288" w:lineRule="atLeast"/>
    </w:pPr>
    <w:rPr>
      <w:rFonts w:eastAsia="Times New Roman"/>
      <w:color w:val="FFFFFF"/>
      <w:lang w:val="es-ES"/>
    </w:rPr>
  </w:style>
  <w:style w:type="paragraph" w:customStyle="1" w:styleId="newsteaser">
    <w:name w:val="news_teaser"/>
    <w:basedOn w:val="Normal"/>
    <w:uiPriority w:val="99"/>
    <w:rsid w:val="00DD485C"/>
    <w:pPr>
      <w:pBdr>
        <w:top w:val="single" w:sz="12" w:space="0" w:color="CC0000"/>
        <w:left w:val="single" w:sz="12" w:space="0" w:color="CC0000"/>
        <w:bottom w:val="single" w:sz="12" w:space="0" w:color="CC0000"/>
        <w:right w:val="single" w:sz="12" w:space="0" w:color="CC0000"/>
      </w:pBdr>
      <w:shd w:val="clear" w:color="auto" w:fill="CC4A4C"/>
      <w:spacing w:before="100" w:beforeAutospacing="1" w:after="240" w:line="264" w:lineRule="atLeast"/>
    </w:pPr>
    <w:rPr>
      <w:rFonts w:eastAsia="Times New Roman"/>
      <w:color w:val="FFFFFF"/>
      <w:sz w:val="15"/>
      <w:szCs w:val="15"/>
      <w:lang w:val="es-ES"/>
    </w:rPr>
  </w:style>
  <w:style w:type="paragraph" w:customStyle="1" w:styleId="linkbox">
    <w:name w:val="link_box"/>
    <w:basedOn w:val="Normal"/>
    <w:uiPriority w:val="99"/>
    <w:rsid w:val="00DD485C"/>
    <w:pPr>
      <w:pBdr>
        <w:top w:val="single" w:sz="6" w:space="11" w:color="auto"/>
        <w:left w:val="single" w:sz="6" w:space="4" w:color="auto"/>
        <w:bottom w:val="single" w:sz="6" w:space="4" w:color="auto"/>
        <w:right w:val="single" w:sz="6" w:space="4" w:color="auto"/>
      </w:pBdr>
      <w:spacing w:before="100" w:beforeAutospacing="1" w:after="100" w:afterAutospacing="1"/>
    </w:pPr>
    <w:rPr>
      <w:rFonts w:eastAsia="Times New Roman"/>
      <w:lang w:val="es-ES"/>
    </w:rPr>
  </w:style>
  <w:style w:type="paragraph" w:customStyle="1" w:styleId="linkboxtitle">
    <w:name w:val="link_box_title"/>
    <w:basedOn w:val="Normal"/>
    <w:uiPriority w:val="99"/>
    <w:rsid w:val="00DD485C"/>
    <w:pPr>
      <w:spacing w:before="100" w:beforeAutospacing="1" w:after="100" w:afterAutospacing="1"/>
    </w:pPr>
    <w:rPr>
      <w:rFonts w:eastAsia="Times New Roman"/>
      <w:b/>
      <w:bCs/>
      <w:color w:val="FFFFFF"/>
      <w:lang w:val="es-ES"/>
    </w:rPr>
  </w:style>
  <w:style w:type="paragraph" w:customStyle="1" w:styleId="indexinfobox">
    <w:name w:val="indexinfo_box"/>
    <w:basedOn w:val="Normal"/>
    <w:uiPriority w:val="99"/>
    <w:rsid w:val="00DD485C"/>
    <w:pPr>
      <w:spacing w:before="100" w:beforeAutospacing="1" w:after="100" w:afterAutospacing="1"/>
      <w:ind w:right="300"/>
    </w:pPr>
    <w:rPr>
      <w:rFonts w:eastAsia="Times New Roman"/>
      <w:lang w:val="es-ES"/>
    </w:rPr>
  </w:style>
  <w:style w:type="paragraph" w:customStyle="1" w:styleId="indexinfoboxtitle">
    <w:name w:val="indexinfo_box_title"/>
    <w:basedOn w:val="Normal"/>
    <w:uiPriority w:val="99"/>
    <w:rsid w:val="00DD485C"/>
    <w:pPr>
      <w:shd w:val="clear" w:color="auto" w:fill="336699"/>
      <w:spacing w:before="100" w:beforeAutospacing="1" w:after="100" w:afterAutospacing="1" w:line="264" w:lineRule="atLeast"/>
    </w:pPr>
    <w:rPr>
      <w:rFonts w:eastAsia="Times New Roman"/>
      <w:color w:val="FFFFFF"/>
      <w:lang w:val="es-ES"/>
    </w:rPr>
  </w:style>
  <w:style w:type="paragraph" w:customStyle="1" w:styleId="indexinfoboxtxtclr">
    <w:name w:val="indexinfo_box_txtclr"/>
    <w:basedOn w:val="Normal"/>
    <w:uiPriority w:val="99"/>
    <w:rsid w:val="00DD485C"/>
    <w:pPr>
      <w:spacing w:before="100" w:beforeAutospacing="1" w:after="100" w:afterAutospacing="1"/>
    </w:pPr>
    <w:rPr>
      <w:rFonts w:eastAsia="Times New Roman"/>
      <w:color w:val="6699CC"/>
      <w:lang w:val="es-ES"/>
    </w:rPr>
  </w:style>
  <w:style w:type="paragraph" w:customStyle="1" w:styleId="votebutton">
    <w:name w:val="votebutton"/>
    <w:basedOn w:val="Normal"/>
    <w:uiPriority w:val="99"/>
    <w:rsid w:val="00DD485C"/>
    <w:pPr>
      <w:pBdr>
        <w:top w:val="single" w:sz="6" w:space="2" w:color="FFFFFF"/>
        <w:left w:val="single" w:sz="6" w:space="0" w:color="FFFFFF"/>
        <w:bottom w:val="single" w:sz="6" w:space="0" w:color="FFFFFF"/>
        <w:right w:val="single" w:sz="6" w:space="0" w:color="FFFFFF"/>
      </w:pBdr>
      <w:shd w:val="clear" w:color="auto" w:fill="336699"/>
      <w:spacing w:before="45" w:after="45"/>
    </w:pPr>
    <w:rPr>
      <w:rFonts w:ascii="Arial" w:eastAsia="Times New Roman" w:hAnsi="Arial" w:cs="Arial"/>
      <w:b/>
      <w:bCs/>
      <w:color w:val="FFFFFF"/>
      <w:sz w:val="17"/>
      <w:szCs w:val="17"/>
      <w:lang w:val="es-ES"/>
    </w:rPr>
  </w:style>
  <w:style w:type="paragraph" w:customStyle="1" w:styleId="actionbox">
    <w:name w:val="actionbox"/>
    <w:basedOn w:val="Normal"/>
    <w:uiPriority w:val="99"/>
    <w:rsid w:val="00DD485C"/>
    <w:pPr>
      <w:spacing w:before="100" w:beforeAutospacing="1" w:after="100" w:afterAutospacing="1" w:line="264" w:lineRule="atLeast"/>
    </w:pPr>
    <w:rPr>
      <w:rFonts w:eastAsia="Times New Roman"/>
      <w:color w:val="FFFFFF"/>
      <w:sz w:val="23"/>
      <w:szCs w:val="23"/>
      <w:lang w:val="es-ES"/>
    </w:rPr>
  </w:style>
  <w:style w:type="paragraph" w:customStyle="1" w:styleId="infocusdate">
    <w:name w:val="infocus_date"/>
    <w:basedOn w:val="Normal"/>
    <w:uiPriority w:val="99"/>
    <w:rsid w:val="00DD485C"/>
    <w:pPr>
      <w:spacing w:before="100" w:beforeAutospacing="1" w:after="100" w:afterAutospacing="1"/>
    </w:pPr>
    <w:rPr>
      <w:rFonts w:eastAsia="Times New Roman"/>
      <w:lang w:val="es-ES"/>
    </w:rPr>
  </w:style>
  <w:style w:type="paragraph" w:customStyle="1" w:styleId="subscribeheadline">
    <w:name w:val="subscribe_headline"/>
    <w:basedOn w:val="Normal"/>
    <w:uiPriority w:val="99"/>
    <w:rsid w:val="00DD485C"/>
    <w:pPr>
      <w:spacing w:before="100" w:beforeAutospacing="1" w:after="100" w:afterAutospacing="1"/>
    </w:pPr>
    <w:rPr>
      <w:rFonts w:eastAsia="Times New Roman"/>
      <w:lang w:val="es-ES"/>
    </w:rPr>
  </w:style>
  <w:style w:type="paragraph" w:customStyle="1" w:styleId="infocusdate1">
    <w:name w:val="infocus_date1"/>
    <w:basedOn w:val="Normal"/>
    <w:uiPriority w:val="99"/>
    <w:rsid w:val="00DD485C"/>
    <w:pPr>
      <w:jc w:val="right"/>
    </w:pPr>
    <w:rPr>
      <w:rFonts w:eastAsia="Times New Roman"/>
      <w:i/>
      <w:iCs/>
      <w:sz w:val="15"/>
      <w:szCs w:val="15"/>
      <w:lang w:val="es-ES"/>
    </w:rPr>
  </w:style>
  <w:style w:type="paragraph" w:customStyle="1" w:styleId="subscribeheadline1">
    <w:name w:val="subscribe_headline1"/>
    <w:basedOn w:val="Normal"/>
    <w:uiPriority w:val="99"/>
    <w:rsid w:val="00DD485C"/>
    <w:rPr>
      <w:rFonts w:eastAsia="Times New Roman"/>
      <w:b/>
      <w:bCs/>
      <w:color w:val="6699CC"/>
      <w:lang w:val="es-ES"/>
    </w:rPr>
  </w:style>
  <w:style w:type="paragraph" w:customStyle="1" w:styleId="infocusdate2">
    <w:name w:val="infocus_date2"/>
    <w:basedOn w:val="Normal"/>
    <w:uiPriority w:val="99"/>
    <w:rsid w:val="00DD485C"/>
    <w:pPr>
      <w:jc w:val="right"/>
    </w:pPr>
    <w:rPr>
      <w:rFonts w:eastAsia="Times New Roman"/>
      <w:i/>
      <w:iCs/>
      <w:sz w:val="15"/>
      <w:szCs w:val="15"/>
      <w:lang w:val="es-ES"/>
    </w:rPr>
  </w:style>
  <w:style w:type="paragraph" w:customStyle="1" w:styleId="subscribeheadline2">
    <w:name w:val="subscribe_headline2"/>
    <w:basedOn w:val="Normal"/>
    <w:uiPriority w:val="99"/>
    <w:rsid w:val="00DD485C"/>
    <w:rPr>
      <w:rFonts w:eastAsia="Times New Roman"/>
      <w:b/>
      <w:bCs/>
      <w:color w:val="6699CC"/>
      <w:lang w:val="es-ES"/>
    </w:rPr>
  </w:style>
  <w:style w:type="table" w:customStyle="1" w:styleId="Tablaconcuadrcula1280">
    <w:name w:val="Tabla con cuadrícula 128"/>
    <w:basedOn w:val="Tablanormal"/>
    <w:next w:val="Tablaconcuadrcula10"/>
    <w:rsid w:val="00DD485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
    <w:name w:val="Tabla con cuadrícula242"/>
    <w:basedOn w:val="Tablanormal"/>
    <w:next w:val="Tablaconcuadrcula"/>
    <w:rsid w:val="00DD48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
    <w:name w:val="Sin lista129"/>
    <w:next w:val="Sinlista"/>
    <w:semiHidden/>
    <w:rsid w:val="006B23D1"/>
  </w:style>
  <w:style w:type="table" w:customStyle="1" w:styleId="Tablaconcuadrcula243">
    <w:name w:val="Tabla con cuadrícula243"/>
    <w:basedOn w:val="Tablanormal"/>
    <w:next w:val="Tablaconcuadrcula"/>
    <w:rsid w:val="006B23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
    <w:name w:val="Sin lista130"/>
    <w:next w:val="Sinlista"/>
    <w:semiHidden/>
    <w:rsid w:val="004E4F81"/>
  </w:style>
  <w:style w:type="table" w:customStyle="1" w:styleId="Tablaconcuadrcula244">
    <w:name w:val="Tabla con cuadrícula244"/>
    <w:basedOn w:val="Tablanormal"/>
    <w:next w:val="Tablaconcuadrcula"/>
    <w:rsid w:val="008B59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semiHidden/>
    <w:rsid w:val="00525E61"/>
  </w:style>
  <w:style w:type="table" w:customStyle="1" w:styleId="Tablaconcuadrcula245">
    <w:name w:val="Tabla con cuadrícula245"/>
    <w:basedOn w:val="Tablanormal"/>
    <w:next w:val="Tablaconcuadrcula"/>
    <w:rsid w:val="00525E61"/>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
    <w:name w:val="Sin lista132"/>
    <w:next w:val="Sinlista"/>
    <w:semiHidden/>
    <w:rsid w:val="00F96B91"/>
  </w:style>
  <w:style w:type="numbering" w:customStyle="1" w:styleId="Sinlista133">
    <w:name w:val="Sin lista133"/>
    <w:next w:val="Sinlista"/>
    <w:semiHidden/>
    <w:rsid w:val="000E2ED1"/>
  </w:style>
  <w:style w:type="table" w:customStyle="1" w:styleId="Tablaconcuadrcula246">
    <w:name w:val="Tabla con cuadrícula246"/>
    <w:basedOn w:val="Tablanormal"/>
    <w:next w:val="Tablaconcuadrcula"/>
    <w:rsid w:val="000E2E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
    <w:name w:val="Sin lista134"/>
    <w:next w:val="Sinlista"/>
    <w:semiHidden/>
    <w:rsid w:val="008E55AC"/>
  </w:style>
  <w:style w:type="table" w:customStyle="1" w:styleId="Tablaconcuadrcula247">
    <w:name w:val="Tabla con cuadrícula247"/>
    <w:basedOn w:val="Tablanormal"/>
    <w:next w:val="Tablaconcuadrcula"/>
    <w:rsid w:val="008E55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
    <w:name w:val="Sin lista135"/>
    <w:next w:val="Sinlista"/>
    <w:semiHidden/>
    <w:rsid w:val="00750288"/>
  </w:style>
  <w:style w:type="table" w:customStyle="1" w:styleId="Tablaconcuadrcula248">
    <w:name w:val="Tabla con cuadrícula248"/>
    <w:basedOn w:val="Tablanormal"/>
    <w:next w:val="Tablaconcuadrcula"/>
    <w:rsid w:val="007502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
    <w:name w:val="Sin lista136"/>
    <w:next w:val="Sinlista"/>
    <w:semiHidden/>
    <w:rsid w:val="00356302"/>
  </w:style>
  <w:style w:type="table" w:customStyle="1" w:styleId="Tablaconcuadrcula249">
    <w:name w:val="Tabla con cuadrícula249"/>
    <w:basedOn w:val="Tablanormal"/>
    <w:next w:val="Tablaconcuadrcula"/>
    <w:rsid w:val="0035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
    <w:name w:val="Tabla con cuadrícula250"/>
    <w:basedOn w:val="Tablanormal"/>
    <w:next w:val="Tablaconcuadrcula"/>
    <w:rsid w:val="003362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
    <w:name w:val="Sin lista137"/>
    <w:next w:val="Sinlista"/>
    <w:semiHidden/>
    <w:rsid w:val="00B85DD2"/>
  </w:style>
  <w:style w:type="table" w:customStyle="1" w:styleId="Tablaconcuadrcula251">
    <w:name w:val="Tabla con cuadrícula251"/>
    <w:basedOn w:val="Tablanormal"/>
    <w:next w:val="Tablaconcuadrcula"/>
    <w:rsid w:val="00B85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
    <w:name w:val="Sin lista138"/>
    <w:next w:val="Sinlista"/>
    <w:semiHidden/>
    <w:rsid w:val="00B85DD2"/>
  </w:style>
  <w:style w:type="table" w:customStyle="1" w:styleId="Tablaconcuadrcula11000">
    <w:name w:val="Tabla con cuadrícula1100"/>
    <w:basedOn w:val="Tablanormal"/>
    <w:next w:val="Tablaconcuadrcula"/>
    <w:rsid w:val="00B85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Car0">
    <w:name w:val="texto Car"/>
    <w:basedOn w:val="Fuentedeprrafopredeter"/>
    <w:link w:val="texto0"/>
    <w:rsid w:val="00B85DD2"/>
    <w:rPr>
      <w:rFonts w:eastAsia="SimSun"/>
      <w:sz w:val="26"/>
      <w:szCs w:val="26"/>
      <w:lang w:val="es-ES_tradnl" w:eastAsia="es-ES" w:bidi="ar-SA"/>
    </w:rPr>
  </w:style>
  <w:style w:type="table" w:customStyle="1" w:styleId="Tablaconcuadrcula252">
    <w:name w:val="Tabla con cuadrícula252"/>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
    <w:name w:val="Tabla con cuadrícula253"/>
    <w:basedOn w:val="Tablanormal"/>
    <w:next w:val="Tablaconcuadrcula"/>
    <w:rsid w:val="00654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
    <w:name w:val="Tabla con cuadrícula254"/>
    <w:basedOn w:val="Tablanormal"/>
    <w:next w:val="Tablaconcuadrcula"/>
    <w:rsid w:val="00AD6C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
    <w:name w:val="Tabla con cuadrícula255"/>
    <w:basedOn w:val="Tablanormal"/>
    <w:next w:val="Tablaconcuadrcula"/>
    <w:rsid w:val="00E513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
    <w:name w:val="Sin lista139"/>
    <w:next w:val="Sinlista"/>
    <w:semiHidden/>
    <w:rsid w:val="009603C2"/>
  </w:style>
  <w:style w:type="table" w:customStyle="1" w:styleId="Tablaconcuadrcula256">
    <w:name w:val="Tabla con cuadrícula256"/>
    <w:basedOn w:val="Tablanormal"/>
    <w:next w:val="Tablaconcuadrcula"/>
    <w:rsid w:val="009603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
    <w:name w:val="Sin lista140"/>
    <w:next w:val="Sinlista"/>
    <w:semiHidden/>
    <w:rsid w:val="008E0113"/>
  </w:style>
  <w:style w:type="table" w:customStyle="1" w:styleId="Tablaconcuadrcula257">
    <w:name w:val="Tabla con cuadrícula257"/>
    <w:basedOn w:val="Tablanormal"/>
    <w:next w:val="Tablaconcuadrcula"/>
    <w:rsid w:val="009E69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
    <w:name w:val="Tabla con cuadrícula258"/>
    <w:basedOn w:val="Tablanormal"/>
    <w:next w:val="Tablaconcuadrcula"/>
    <w:rsid w:val="003E7B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semiHidden/>
    <w:rsid w:val="00DD1A07"/>
  </w:style>
  <w:style w:type="table" w:customStyle="1" w:styleId="Tablaconcuadrcula259">
    <w:name w:val="Tabla con cuadrícula259"/>
    <w:basedOn w:val="Tablanormal"/>
    <w:next w:val="Tablaconcuadrcula"/>
    <w:rsid w:val="00DD1A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
    <w:name w:val="Sin lista142"/>
    <w:next w:val="Sinlista"/>
    <w:semiHidden/>
    <w:rsid w:val="00387BD2"/>
  </w:style>
  <w:style w:type="numbering" w:customStyle="1" w:styleId="Sinlista143">
    <w:name w:val="Sin lista143"/>
    <w:next w:val="Sinlista"/>
    <w:semiHidden/>
    <w:rsid w:val="003476CC"/>
  </w:style>
  <w:style w:type="table" w:customStyle="1" w:styleId="Tablaconcuadrcula260">
    <w:name w:val="Tabla con cuadrícula260"/>
    <w:basedOn w:val="Tablanormal"/>
    <w:next w:val="Tablaconcuadrcula"/>
    <w:rsid w:val="003476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next w:val="Tablaconcuadrcula"/>
    <w:rsid w:val="00102C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
    <w:name w:val="Tabla con cuadrícula262"/>
    <w:basedOn w:val="Tablanormal"/>
    <w:next w:val="Tablaconcuadrcula"/>
    <w:rsid w:val="00B47E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
    <w:name w:val="Tabla con cuadrícula263"/>
    <w:basedOn w:val="Tablanormal"/>
    <w:next w:val="Tablaconcuadrcula"/>
    <w:rsid w:val="00DC11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
    <w:name w:val="Tabla con cuadrícula264"/>
    <w:basedOn w:val="Tablanormal"/>
    <w:next w:val="Tablaconcuadrcula"/>
    <w:rsid w:val="009B6F4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
    <w:name w:val="Tabla con cuadrícula265"/>
    <w:basedOn w:val="Tablanormal"/>
    <w:next w:val="Tablaconcuadrcula"/>
    <w:rsid w:val="00724E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
    <w:name w:val="Sin lista144"/>
    <w:next w:val="Sinlista"/>
    <w:semiHidden/>
    <w:rsid w:val="00A81D32"/>
  </w:style>
  <w:style w:type="table" w:customStyle="1" w:styleId="Tablaconcuadrcula266">
    <w:name w:val="Tabla con cuadrícula266"/>
    <w:basedOn w:val="Tablanormal"/>
    <w:next w:val="Tablaconcuadrcula"/>
    <w:rsid w:val="00C50F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
    <w:name w:val="Sin lista145"/>
    <w:next w:val="Sinlista"/>
    <w:semiHidden/>
    <w:rsid w:val="00954A79"/>
  </w:style>
  <w:style w:type="paragraph" w:customStyle="1" w:styleId="font5">
    <w:name w:val="font5"/>
    <w:basedOn w:val="Normal"/>
    <w:uiPriority w:val="99"/>
    <w:rsid w:val="00954A79"/>
    <w:pPr>
      <w:spacing w:before="100" w:beforeAutospacing="1" w:after="100" w:afterAutospacing="1"/>
    </w:pPr>
    <w:rPr>
      <w:rFonts w:eastAsia="Times New Roman"/>
      <w:sz w:val="20"/>
      <w:szCs w:val="20"/>
      <w:lang w:val="es-ES"/>
    </w:rPr>
  </w:style>
  <w:style w:type="paragraph" w:customStyle="1" w:styleId="font6">
    <w:name w:val="font6"/>
    <w:basedOn w:val="Normal"/>
    <w:uiPriority w:val="99"/>
    <w:rsid w:val="00954A79"/>
    <w:pPr>
      <w:spacing w:before="100" w:beforeAutospacing="1" w:after="100" w:afterAutospacing="1"/>
    </w:pPr>
    <w:rPr>
      <w:rFonts w:eastAsia="Times New Roman"/>
      <w:i/>
      <w:iCs/>
      <w:sz w:val="20"/>
      <w:szCs w:val="20"/>
      <w:lang w:val="es-ES"/>
    </w:rPr>
  </w:style>
  <w:style w:type="paragraph" w:customStyle="1" w:styleId="font7">
    <w:name w:val="font7"/>
    <w:basedOn w:val="Normal"/>
    <w:uiPriority w:val="99"/>
    <w:rsid w:val="00954A79"/>
    <w:pPr>
      <w:spacing w:before="100" w:beforeAutospacing="1" w:after="100" w:afterAutospacing="1"/>
    </w:pPr>
    <w:rPr>
      <w:rFonts w:eastAsia="Times New Roman"/>
      <w:i/>
      <w:iCs/>
      <w:color w:val="000000"/>
      <w:sz w:val="20"/>
      <w:szCs w:val="20"/>
      <w:lang w:val="es-ES"/>
    </w:rPr>
  </w:style>
  <w:style w:type="paragraph" w:customStyle="1" w:styleId="xl25">
    <w:name w:val="xl25"/>
    <w:basedOn w:val="Normal"/>
    <w:uiPriority w:val="99"/>
    <w:rsid w:val="00954A79"/>
    <w:pPr>
      <w:spacing w:before="100" w:beforeAutospacing="1" w:after="100" w:afterAutospacing="1"/>
    </w:pPr>
    <w:rPr>
      <w:rFonts w:eastAsia="Times New Roman"/>
      <w:b/>
      <w:bCs/>
      <w:color w:val="000000"/>
      <w:lang w:val="es-ES"/>
    </w:rPr>
  </w:style>
  <w:style w:type="paragraph" w:customStyle="1" w:styleId="xl26">
    <w:name w:val="xl26"/>
    <w:basedOn w:val="Normal"/>
    <w:uiPriority w:val="99"/>
    <w:rsid w:val="00954A79"/>
    <w:pPr>
      <w:spacing w:before="100" w:beforeAutospacing="1" w:after="100" w:afterAutospacing="1"/>
    </w:pPr>
    <w:rPr>
      <w:rFonts w:eastAsia="Times New Roman"/>
      <w:color w:val="000000"/>
      <w:lang w:val="es-ES"/>
    </w:rPr>
  </w:style>
  <w:style w:type="paragraph" w:customStyle="1" w:styleId="xl27">
    <w:name w:val="xl27"/>
    <w:basedOn w:val="Normal"/>
    <w:uiPriority w:val="99"/>
    <w:rsid w:val="00954A79"/>
    <w:pPr>
      <w:spacing w:before="100" w:beforeAutospacing="1" w:after="100" w:afterAutospacing="1"/>
    </w:pPr>
    <w:rPr>
      <w:rFonts w:eastAsia="Times New Roman"/>
      <w:color w:val="000000"/>
      <w:lang w:val="es-ES"/>
    </w:rPr>
  </w:style>
  <w:style w:type="paragraph" w:customStyle="1" w:styleId="xl29">
    <w:name w:val="xl29"/>
    <w:basedOn w:val="Normal"/>
    <w:uiPriority w:val="99"/>
    <w:rsid w:val="00954A79"/>
    <w:pPr>
      <w:pBdr>
        <w:bottom w:val="single" w:sz="4" w:space="0" w:color="auto"/>
      </w:pBdr>
      <w:spacing w:before="100" w:beforeAutospacing="1" w:after="100" w:afterAutospacing="1"/>
    </w:pPr>
    <w:rPr>
      <w:rFonts w:eastAsia="Times New Roman"/>
      <w:color w:val="000000"/>
      <w:lang w:val="es-ES"/>
    </w:rPr>
  </w:style>
  <w:style w:type="paragraph" w:customStyle="1" w:styleId="xl30">
    <w:name w:val="xl30"/>
    <w:basedOn w:val="Normal"/>
    <w:uiPriority w:val="99"/>
    <w:rsid w:val="00954A79"/>
    <w:pPr>
      <w:pBdr>
        <w:bottom w:val="single" w:sz="4" w:space="0" w:color="auto"/>
      </w:pBdr>
      <w:spacing w:before="100" w:beforeAutospacing="1" w:after="100" w:afterAutospacing="1"/>
    </w:pPr>
    <w:rPr>
      <w:rFonts w:eastAsia="Times New Roman"/>
      <w:lang w:val="es-ES"/>
    </w:rPr>
  </w:style>
  <w:style w:type="paragraph" w:customStyle="1" w:styleId="xl31">
    <w:name w:val="xl31"/>
    <w:basedOn w:val="Normal"/>
    <w:uiPriority w:val="99"/>
    <w:rsid w:val="00954A79"/>
    <w:pPr>
      <w:pBdr>
        <w:bottom w:val="single" w:sz="4" w:space="0" w:color="auto"/>
      </w:pBdr>
      <w:spacing w:before="100" w:beforeAutospacing="1" w:after="100" w:afterAutospacing="1"/>
      <w:jc w:val="right"/>
    </w:pPr>
    <w:rPr>
      <w:rFonts w:eastAsia="Times New Roman"/>
      <w:lang w:val="es-ES"/>
    </w:rPr>
  </w:style>
  <w:style w:type="paragraph" w:customStyle="1" w:styleId="xl22">
    <w:name w:val="xl22"/>
    <w:basedOn w:val="Normal"/>
    <w:uiPriority w:val="99"/>
    <w:rsid w:val="00954A79"/>
    <w:pPr>
      <w:spacing w:before="100" w:beforeAutospacing="1" w:after="100" w:afterAutospacing="1"/>
    </w:pPr>
    <w:rPr>
      <w:rFonts w:eastAsia="Times New Roman"/>
      <w:lang w:val="es-ES"/>
    </w:rPr>
  </w:style>
  <w:style w:type="paragraph" w:customStyle="1" w:styleId="xl23">
    <w:name w:val="xl23"/>
    <w:basedOn w:val="Normal"/>
    <w:uiPriority w:val="99"/>
    <w:rsid w:val="00954A79"/>
    <w:pPr>
      <w:spacing w:before="100" w:beforeAutospacing="1" w:after="100" w:afterAutospacing="1"/>
    </w:pPr>
    <w:rPr>
      <w:rFonts w:eastAsia="Times New Roman"/>
      <w:lang w:val="es-ES"/>
    </w:rPr>
  </w:style>
  <w:style w:type="numbering" w:customStyle="1" w:styleId="Sinlista146">
    <w:name w:val="Sin lista146"/>
    <w:next w:val="Sinlista"/>
    <w:semiHidden/>
    <w:rsid w:val="00954A79"/>
  </w:style>
  <w:style w:type="table" w:customStyle="1" w:styleId="Tablaconcuadrcula267">
    <w:name w:val="Tabla con cuadrícula267"/>
    <w:basedOn w:val="Tablanormal"/>
    <w:next w:val="Tablaconcuadrcula"/>
    <w:rsid w:val="00954A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1">
    <w:name w:val="short_text1"/>
    <w:basedOn w:val="Fuentedeprrafopredeter"/>
    <w:rsid w:val="00954A79"/>
    <w:rPr>
      <w:sz w:val="19"/>
      <w:szCs w:val="19"/>
    </w:rPr>
  </w:style>
  <w:style w:type="table" w:customStyle="1" w:styleId="Tablaconcuadrcula1290">
    <w:name w:val="Tabla con cuadrícula 129"/>
    <w:basedOn w:val="Tablanormal"/>
    <w:next w:val="Tablaconcuadrcula10"/>
    <w:rsid w:val="00B34F2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
    <w:name w:val="Sin lista147"/>
    <w:next w:val="Sinlista"/>
    <w:semiHidden/>
    <w:rsid w:val="00DA172D"/>
  </w:style>
  <w:style w:type="table" w:customStyle="1" w:styleId="Tablaconcuadrcula268">
    <w:name w:val="Tabla con cuadrícula268"/>
    <w:basedOn w:val="Tablanormal"/>
    <w:next w:val="Tablaconcuadrcula"/>
    <w:rsid w:val="00DA17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
    <w:name w:val="Style 9"/>
    <w:basedOn w:val="Normal"/>
    <w:uiPriority w:val="99"/>
    <w:rsid w:val="00DA172D"/>
    <w:pPr>
      <w:widowControl w:val="0"/>
      <w:autoSpaceDE w:val="0"/>
      <w:autoSpaceDN w:val="0"/>
      <w:spacing w:before="108"/>
      <w:ind w:right="144"/>
      <w:jc w:val="both"/>
    </w:pPr>
    <w:rPr>
      <w:rFonts w:eastAsia="Times New Roman"/>
      <w:lang w:val="en-US"/>
    </w:rPr>
  </w:style>
  <w:style w:type="paragraph" w:customStyle="1" w:styleId="Style13">
    <w:name w:val="Style 13"/>
    <w:basedOn w:val="Normal"/>
    <w:uiPriority w:val="99"/>
    <w:rsid w:val="00DA172D"/>
    <w:pPr>
      <w:widowControl w:val="0"/>
      <w:autoSpaceDE w:val="0"/>
      <w:autoSpaceDN w:val="0"/>
      <w:spacing w:before="252" w:after="216"/>
    </w:pPr>
    <w:rPr>
      <w:rFonts w:eastAsia="Times New Roman"/>
      <w:lang w:val="en-US"/>
    </w:rPr>
  </w:style>
  <w:style w:type="paragraph" w:customStyle="1" w:styleId="Style14">
    <w:name w:val="Style 14"/>
    <w:basedOn w:val="Normal"/>
    <w:uiPriority w:val="99"/>
    <w:rsid w:val="00DA172D"/>
    <w:pPr>
      <w:widowControl w:val="0"/>
      <w:autoSpaceDE w:val="0"/>
      <w:autoSpaceDN w:val="0"/>
      <w:adjustRightInd w:val="0"/>
    </w:pPr>
    <w:rPr>
      <w:rFonts w:eastAsia="Times New Roman"/>
      <w:lang w:val="en-US"/>
    </w:rPr>
  </w:style>
  <w:style w:type="paragraph" w:customStyle="1" w:styleId="Style1">
    <w:name w:val="Style 1"/>
    <w:basedOn w:val="Normal"/>
    <w:uiPriority w:val="99"/>
    <w:rsid w:val="00DA172D"/>
    <w:pPr>
      <w:widowControl w:val="0"/>
      <w:tabs>
        <w:tab w:val="decimal" w:pos="360"/>
      </w:tabs>
      <w:autoSpaceDE w:val="0"/>
      <w:autoSpaceDN w:val="0"/>
      <w:spacing w:before="36"/>
    </w:pPr>
    <w:rPr>
      <w:rFonts w:eastAsia="Times New Roman"/>
      <w:lang w:val="en-US"/>
    </w:rPr>
  </w:style>
  <w:style w:type="paragraph" w:customStyle="1" w:styleId="Style11">
    <w:name w:val="Style 11"/>
    <w:basedOn w:val="Normal"/>
    <w:uiPriority w:val="99"/>
    <w:rsid w:val="00DA172D"/>
    <w:pPr>
      <w:widowControl w:val="0"/>
      <w:autoSpaceDE w:val="0"/>
      <w:autoSpaceDN w:val="0"/>
      <w:spacing w:before="360"/>
      <w:jc w:val="both"/>
    </w:pPr>
    <w:rPr>
      <w:rFonts w:eastAsia="Times New Roman"/>
      <w:lang w:val="en-US"/>
    </w:rPr>
  </w:style>
  <w:style w:type="paragraph" w:customStyle="1" w:styleId="Style16">
    <w:name w:val="Style 16"/>
    <w:basedOn w:val="Normal"/>
    <w:uiPriority w:val="99"/>
    <w:rsid w:val="00DA172D"/>
    <w:pPr>
      <w:widowControl w:val="0"/>
      <w:autoSpaceDE w:val="0"/>
      <w:autoSpaceDN w:val="0"/>
      <w:spacing w:before="108"/>
      <w:jc w:val="both"/>
    </w:pPr>
    <w:rPr>
      <w:rFonts w:eastAsia="Times New Roman"/>
      <w:lang w:val="en-US"/>
    </w:rPr>
  </w:style>
  <w:style w:type="paragraph" w:customStyle="1" w:styleId="Style17">
    <w:name w:val="Style 17"/>
    <w:basedOn w:val="Normal"/>
    <w:uiPriority w:val="99"/>
    <w:rsid w:val="00DA172D"/>
    <w:pPr>
      <w:widowControl w:val="0"/>
      <w:autoSpaceDE w:val="0"/>
      <w:autoSpaceDN w:val="0"/>
      <w:adjustRightInd w:val="0"/>
    </w:pPr>
    <w:rPr>
      <w:rFonts w:eastAsia="Times New Roman"/>
      <w:lang w:val="en-US"/>
    </w:rPr>
  </w:style>
  <w:style w:type="paragraph" w:customStyle="1" w:styleId="Style18">
    <w:name w:val="Style 18"/>
    <w:basedOn w:val="Normal"/>
    <w:uiPriority w:val="99"/>
    <w:rsid w:val="00DA172D"/>
    <w:pPr>
      <w:widowControl w:val="0"/>
      <w:tabs>
        <w:tab w:val="decimal" w:pos="3888"/>
        <w:tab w:val="decimal" w:pos="4896"/>
        <w:tab w:val="left" w:pos="5652"/>
        <w:tab w:val="right" w:pos="6804"/>
        <w:tab w:val="decimal" w:pos="7920"/>
      </w:tabs>
      <w:autoSpaceDE w:val="0"/>
      <w:autoSpaceDN w:val="0"/>
      <w:spacing w:line="360" w:lineRule="auto"/>
      <w:ind w:left="288"/>
    </w:pPr>
    <w:rPr>
      <w:rFonts w:eastAsia="Times New Roman"/>
      <w:lang w:val="en-US"/>
    </w:rPr>
  </w:style>
  <w:style w:type="paragraph" w:customStyle="1" w:styleId="Style19">
    <w:name w:val="Style 19"/>
    <w:basedOn w:val="Normal"/>
    <w:uiPriority w:val="99"/>
    <w:rsid w:val="00DA172D"/>
    <w:pPr>
      <w:widowControl w:val="0"/>
      <w:autoSpaceDE w:val="0"/>
      <w:autoSpaceDN w:val="0"/>
      <w:ind w:left="324"/>
    </w:pPr>
    <w:rPr>
      <w:rFonts w:eastAsia="Times New Roman"/>
      <w:lang w:val="en-US"/>
    </w:rPr>
  </w:style>
  <w:style w:type="paragraph" w:customStyle="1" w:styleId="Style12">
    <w:name w:val="Style 12"/>
    <w:basedOn w:val="Normal"/>
    <w:uiPriority w:val="99"/>
    <w:rsid w:val="00DA172D"/>
    <w:pPr>
      <w:widowControl w:val="0"/>
      <w:autoSpaceDE w:val="0"/>
      <w:autoSpaceDN w:val="0"/>
      <w:spacing w:before="108" w:after="10224"/>
      <w:jc w:val="both"/>
    </w:pPr>
    <w:rPr>
      <w:rFonts w:eastAsia="Times New Roman"/>
      <w:lang w:val="en-US"/>
    </w:rPr>
  </w:style>
  <w:style w:type="paragraph" w:customStyle="1" w:styleId="Style10">
    <w:name w:val="Style 10"/>
    <w:basedOn w:val="Normal"/>
    <w:uiPriority w:val="99"/>
    <w:rsid w:val="00DA172D"/>
    <w:pPr>
      <w:widowControl w:val="0"/>
      <w:autoSpaceDE w:val="0"/>
      <w:autoSpaceDN w:val="0"/>
      <w:jc w:val="both"/>
    </w:pPr>
    <w:rPr>
      <w:rFonts w:eastAsia="Times New Roman"/>
      <w:lang w:val="en-US"/>
    </w:rPr>
  </w:style>
  <w:style w:type="table" w:styleId="Tablaconcuadrcula2a">
    <w:name w:val="Table Grid 2"/>
    <w:basedOn w:val="Tablanormal"/>
    <w:rsid w:val="00DA172D"/>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
    <w:name w:val="Tabla con cuadrícula269"/>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
    <w:name w:val="Tabla con cuadrícula270"/>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
    <w:name w:val="Tabla con cuadrícula271"/>
    <w:basedOn w:val="Tablanormal"/>
    <w:next w:val="Tablaconcuadrcula"/>
    <w:rsid w:val="00A642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
    <w:name w:val="Sin lista148"/>
    <w:next w:val="Sinlista"/>
    <w:semiHidden/>
    <w:rsid w:val="00CA6BF5"/>
  </w:style>
  <w:style w:type="table" w:customStyle="1" w:styleId="Tablaconcuadrcula1301">
    <w:name w:val="Tabla con cuadrícula 130"/>
    <w:basedOn w:val="Tablanormal"/>
    <w:next w:val="Tablaconcuadrcula10"/>
    <w:rsid w:val="00CA6BF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
    <w:name w:val="Sin lista149"/>
    <w:next w:val="Sinlista"/>
    <w:semiHidden/>
    <w:rsid w:val="00DE74B8"/>
  </w:style>
  <w:style w:type="table" w:customStyle="1" w:styleId="Tablaconcuadrcula272">
    <w:name w:val="Tabla con cuadrícula272"/>
    <w:basedOn w:val="Tablanormal"/>
    <w:next w:val="Tablaconcuadrcula"/>
    <w:rsid w:val="00DE74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
    <w:name w:val="Sin lista150"/>
    <w:next w:val="Sinlista"/>
    <w:semiHidden/>
    <w:rsid w:val="008B7A9E"/>
  </w:style>
  <w:style w:type="table" w:customStyle="1" w:styleId="Tablaconcuadrcula273">
    <w:name w:val="Tabla con cuadrícula273"/>
    <w:basedOn w:val="Tablanormal"/>
    <w:next w:val="Tablaconcuadrcula"/>
    <w:rsid w:val="008B7A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
    <w:name w:val="Tabla con cuadrícula274"/>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
    <w:name w:val="Tabla con cuadrícula275"/>
    <w:basedOn w:val="Tablanormal"/>
    <w:next w:val="Tablaconcuadrcula"/>
    <w:rsid w:val="00CA0C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
    <w:name w:val="Sin lista151"/>
    <w:next w:val="Sinlista"/>
    <w:semiHidden/>
    <w:rsid w:val="00B23A94"/>
  </w:style>
  <w:style w:type="numbering" w:customStyle="1" w:styleId="Sinlista152">
    <w:name w:val="Sin lista152"/>
    <w:next w:val="Sinlista"/>
    <w:semiHidden/>
    <w:rsid w:val="00511A66"/>
  </w:style>
  <w:style w:type="table" w:customStyle="1" w:styleId="Tablaconcuadrcula276">
    <w:name w:val="Tabla con cuadrícula276"/>
    <w:basedOn w:val="Tablanormal"/>
    <w:next w:val="Tablaconcuadrcula"/>
    <w:rsid w:val="00511A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
    <w:name w:val="Sin lista153"/>
    <w:next w:val="Sinlista"/>
    <w:semiHidden/>
    <w:rsid w:val="004272E4"/>
  </w:style>
  <w:style w:type="character" w:customStyle="1" w:styleId="longtext1">
    <w:name w:val="long_text1"/>
    <w:basedOn w:val="Fuentedeprrafopredeter"/>
    <w:rsid w:val="004272E4"/>
    <w:rPr>
      <w:sz w:val="20"/>
      <w:szCs w:val="20"/>
    </w:rPr>
  </w:style>
  <w:style w:type="character" w:customStyle="1" w:styleId="normaltext1">
    <w:name w:val="normaltext1"/>
    <w:basedOn w:val="Fuentedeprrafopredeter"/>
    <w:rsid w:val="004272E4"/>
    <w:rPr>
      <w:b/>
      <w:bCs/>
    </w:rPr>
  </w:style>
  <w:style w:type="character" w:customStyle="1" w:styleId="goog-zippy-collapsed">
    <w:name w:val="goog-zippy-collapsed"/>
    <w:basedOn w:val="Fuentedeprrafopredeter"/>
    <w:rsid w:val="004272E4"/>
  </w:style>
  <w:style w:type="table" w:customStyle="1" w:styleId="Tablaconcuadrcula1310">
    <w:name w:val="Tabla con cuadrícula 131"/>
    <w:basedOn w:val="Tablanormal"/>
    <w:next w:val="Tablaconcuadrcula10"/>
    <w:rsid w:val="005E7D4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
    <w:name w:val="Tabla con cuadrícula277"/>
    <w:basedOn w:val="Tablanormal"/>
    <w:next w:val="Tablaconcuadrcula"/>
    <w:rsid w:val="003B4F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
    <w:name w:val="Sin lista154"/>
    <w:next w:val="Sinlista"/>
    <w:semiHidden/>
    <w:rsid w:val="00AA1609"/>
  </w:style>
  <w:style w:type="table" w:customStyle="1" w:styleId="Tablaconcuadrcula278">
    <w:name w:val="Tabla con cuadrícula278"/>
    <w:basedOn w:val="Tablanormal"/>
    <w:next w:val="Tablaconcuadrcula"/>
    <w:rsid w:val="00AA1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
    <w:name w:val="Tabla con cuadrícula279"/>
    <w:basedOn w:val="Tablanormal"/>
    <w:next w:val="Tablaconcuadrcula"/>
    <w:rsid w:val="00AB5B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
    <w:name w:val="Sin lista155"/>
    <w:next w:val="Sinlista"/>
    <w:semiHidden/>
    <w:rsid w:val="007D6E87"/>
  </w:style>
  <w:style w:type="table" w:customStyle="1" w:styleId="Tablaconcuadrcula280">
    <w:name w:val="Tabla con cuadrícula280"/>
    <w:basedOn w:val="Tablanormal"/>
    <w:next w:val="Tablaconcuadrcula"/>
    <w:rsid w:val="007D6E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next w:val="Tablaconcuadrcula"/>
    <w:rsid w:val="000D43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0">
    <w:name w:val="Tabla con cuadrícula 132"/>
    <w:basedOn w:val="Tablanormal"/>
    <w:next w:val="Tablaconcuadrcula10"/>
    <w:rsid w:val="00AC38D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
    <w:name w:val="Tabla con cuadrícula282"/>
    <w:basedOn w:val="Tablanormal"/>
    <w:next w:val="Tablaconcuadrcula"/>
    <w:rsid w:val="005762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
    <w:name w:val="Tabla con cuadrícula283"/>
    <w:basedOn w:val="Tablanormal"/>
    <w:next w:val="Tablaconcuadrcula"/>
    <w:rsid w:val="006C5A7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next w:val="Tablaconcuadrcula"/>
    <w:rsid w:val="006C5A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
    <w:name w:val="Sin lista156"/>
    <w:next w:val="Sinlista"/>
    <w:semiHidden/>
    <w:rsid w:val="00C17A96"/>
  </w:style>
  <w:style w:type="table" w:customStyle="1" w:styleId="Tablaconcuadrcula284">
    <w:name w:val="Tabla con cuadrícula284"/>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1Car">
    <w:name w:val="Footnote Text Char1 Car"/>
    <w:aliases w:val="Footnote Text Char1 Char Car,Footnote Text Char Char Char Car Car,Texto nota pie Car1,Footnote Text Char Char Char Car1"/>
    <w:basedOn w:val="Fuentedeprrafopredeter"/>
    <w:uiPriority w:val="99"/>
    <w:rsid w:val="00C17A96"/>
    <w:rPr>
      <w:lang w:val="es-ES" w:eastAsia="es-ES" w:bidi="ar-SA"/>
    </w:rPr>
  </w:style>
  <w:style w:type="table" w:customStyle="1" w:styleId="Tablaconcuadrcula1601">
    <w:name w:val="Tabla con cuadrícula1601"/>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
    <w:name w:val="Tabla con cuadrícula21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
    <w:name w:val="Tabla con cuadrícula22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
    <w:name w:val="Tabla con cuadrícula2310"/>
    <w:basedOn w:val="Tablanormal"/>
    <w:next w:val="Tablaconcuadrcula"/>
    <w:rsid w:val="00C17A96"/>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
    <w:name w:val="Sin lista157"/>
    <w:next w:val="Sinlista"/>
    <w:semiHidden/>
    <w:unhideWhenUsed/>
    <w:rsid w:val="00C17A96"/>
  </w:style>
  <w:style w:type="character" w:customStyle="1" w:styleId="num1CarCar">
    <w:name w:val="num.                          1 Car Car"/>
    <w:basedOn w:val="Fuentedeprrafopredeter"/>
    <w:rsid w:val="00C17A96"/>
    <w:rPr>
      <w:rFonts w:ascii="Arial" w:hAnsi="Arial" w:cs="Arial"/>
      <w:b/>
      <w:bCs/>
      <w:kern w:val="36"/>
      <w:sz w:val="48"/>
      <w:szCs w:val="48"/>
      <w:lang w:val="es-MX" w:eastAsia="es-MX" w:bidi="ar-SA"/>
    </w:rPr>
  </w:style>
  <w:style w:type="numbering" w:customStyle="1" w:styleId="Sinlista210">
    <w:name w:val="Sin lista210"/>
    <w:next w:val="Sinlista"/>
    <w:semiHidden/>
    <w:unhideWhenUsed/>
    <w:rsid w:val="00C17A96"/>
  </w:style>
  <w:style w:type="table" w:customStyle="1" w:styleId="Tablabsica11">
    <w:name w:val="Tabla básica 11"/>
    <w:basedOn w:val="Tablanormal"/>
    <w:next w:val="Tablabsica1"/>
    <w:rsid w:val="00C17A96"/>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
    <w:name w:val="Sin lista1110"/>
    <w:next w:val="Sinlista"/>
    <w:semiHidden/>
    <w:rsid w:val="00C17A96"/>
  </w:style>
  <w:style w:type="table" w:customStyle="1" w:styleId="Tablaconcuadrcula11100">
    <w:name w:val="Tabla con cuadrícula11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0">
    <w:name w:val="Tabla con cuadrícula 133"/>
    <w:basedOn w:val="Tablanormal"/>
    <w:next w:val="Tablaconcuadrcula10"/>
    <w:rsid w:val="00C17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
    <w:name w:val="Sin lista310"/>
    <w:next w:val="Sinlista"/>
    <w:semiHidden/>
    <w:unhideWhenUsed/>
    <w:rsid w:val="00C17A96"/>
  </w:style>
  <w:style w:type="table" w:customStyle="1" w:styleId="Tablaconcuadrcula1821">
    <w:name w:val="Tabla con cuadrícula18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
    <w:name w:val="Tabla con cuadrícula513"/>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
    <w:name w:val="Sin lista410"/>
    <w:next w:val="Sinlista"/>
    <w:semiHidden/>
    <w:rsid w:val="00C17A96"/>
  </w:style>
  <w:style w:type="numbering" w:customStyle="1" w:styleId="Sinlista510">
    <w:name w:val="Sin lista510"/>
    <w:next w:val="Sinlista"/>
    <w:semiHidden/>
    <w:unhideWhenUsed/>
    <w:rsid w:val="00C17A96"/>
  </w:style>
  <w:style w:type="numbering" w:customStyle="1" w:styleId="Sinlista1210">
    <w:name w:val="Sin lista1210"/>
    <w:next w:val="Sinlista"/>
    <w:semiHidden/>
    <w:rsid w:val="00C17A96"/>
  </w:style>
  <w:style w:type="numbering" w:customStyle="1" w:styleId="Sinlista610">
    <w:name w:val="Sin lista610"/>
    <w:next w:val="Sinlista"/>
    <w:semiHidden/>
    <w:unhideWhenUsed/>
    <w:rsid w:val="00C17A96"/>
  </w:style>
  <w:style w:type="numbering" w:customStyle="1" w:styleId="Sinlista710">
    <w:name w:val="Sin lista710"/>
    <w:next w:val="Sinlista"/>
    <w:semiHidden/>
    <w:unhideWhenUsed/>
    <w:rsid w:val="00C17A96"/>
  </w:style>
  <w:style w:type="table" w:customStyle="1" w:styleId="Tablaconcuadrcula12100">
    <w:name w:val="Tabla con cuadrícula1210"/>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
    <w:name w:val="Sin lista810"/>
    <w:next w:val="Sinlista"/>
    <w:semiHidden/>
    <w:unhideWhenUsed/>
    <w:rsid w:val="00C17A96"/>
  </w:style>
  <w:style w:type="numbering" w:customStyle="1" w:styleId="Sinlista910">
    <w:name w:val="Sin lista910"/>
    <w:next w:val="Sinlista"/>
    <w:semiHidden/>
    <w:rsid w:val="00C17A96"/>
  </w:style>
  <w:style w:type="numbering" w:customStyle="1" w:styleId="Sinlista1010">
    <w:name w:val="Sin lista1010"/>
    <w:next w:val="Sinlista"/>
    <w:semiHidden/>
    <w:unhideWhenUsed/>
    <w:rsid w:val="00C17A96"/>
  </w:style>
  <w:style w:type="numbering" w:customStyle="1" w:styleId="Sinlista1310">
    <w:name w:val="Sin lista1310"/>
    <w:next w:val="Sinlista"/>
    <w:semiHidden/>
    <w:rsid w:val="00C17A96"/>
  </w:style>
  <w:style w:type="table" w:customStyle="1" w:styleId="Tablaconcuadrcula521">
    <w:name w:val="Tabla con cuadrícula52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
    <w:name w:val="Tabla con cuadrícula1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
    <w:name w:val="Sin lista1410"/>
    <w:next w:val="Sinlista"/>
    <w:semiHidden/>
    <w:rsid w:val="00C17A96"/>
  </w:style>
  <w:style w:type="numbering" w:customStyle="1" w:styleId="Sinlista158">
    <w:name w:val="Sin lista158"/>
    <w:next w:val="Sinlista"/>
    <w:semiHidden/>
    <w:rsid w:val="00C17A96"/>
  </w:style>
  <w:style w:type="numbering" w:customStyle="1" w:styleId="Sinlista161">
    <w:name w:val="Sin lista161"/>
    <w:next w:val="Sinlista"/>
    <w:semiHidden/>
    <w:rsid w:val="00C17A96"/>
  </w:style>
  <w:style w:type="table" w:customStyle="1" w:styleId="Tablaconcuadrcula19100">
    <w:name w:val="Tabla con cuadrícula19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
    <w:name w:val="Sin lista171"/>
    <w:next w:val="Sinlista"/>
    <w:semiHidden/>
    <w:rsid w:val="00C17A96"/>
  </w:style>
  <w:style w:type="numbering" w:customStyle="1" w:styleId="Sinlista181">
    <w:name w:val="Sin lista181"/>
    <w:next w:val="Sinlista"/>
    <w:semiHidden/>
    <w:rsid w:val="00C17A96"/>
  </w:style>
  <w:style w:type="table" w:customStyle="1" w:styleId="Tablaconcuadrcula1102">
    <w:name w:val="Tabla con cuadrícula1102"/>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Sinlista"/>
    <w:next w:val="111111"/>
    <w:rsid w:val="00C17A96"/>
  </w:style>
  <w:style w:type="numbering" w:customStyle="1" w:styleId="Sinlista191">
    <w:name w:val="Sin lista191"/>
    <w:next w:val="Sinlista"/>
    <w:semiHidden/>
    <w:unhideWhenUsed/>
    <w:rsid w:val="00C17A96"/>
  </w:style>
  <w:style w:type="table" w:customStyle="1" w:styleId="Tablaconcuadrcula2071">
    <w:name w:val="Tabla con cuadrícula207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
    <w:name w:val="1 / 1.1 / 1.1.111"/>
    <w:basedOn w:val="Sinlista"/>
    <w:next w:val="111111"/>
    <w:rsid w:val="00C17A96"/>
  </w:style>
  <w:style w:type="table" w:customStyle="1" w:styleId="Tablaconcuadrcula2510">
    <w:name w:val="Tabla con cuadrícula25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
    <w:name w:val="Tabla con cuadrícula2610"/>
    <w:basedOn w:val="Tablanormal"/>
    <w:next w:val="Tablaconcuadrcula"/>
    <w:rsid w:val="00C17A9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
    <w:name w:val="Sin lista201"/>
    <w:next w:val="Sinlista"/>
    <w:semiHidden/>
    <w:rsid w:val="00C17A96"/>
  </w:style>
  <w:style w:type="table" w:customStyle="1" w:styleId="Tablaconcuadrcula2710">
    <w:name w:val="Tabla con cuadrícula2710"/>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next w:val="Tablaconcuadrcula"/>
    <w:rsid w:val="00C17A96"/>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
    <w:name w:val="Sin lista1101"/>
    <w:next w:val="Sinlista"/>
    <w:semiHidden/>
    <w:unhideWhenUsed/>
    <w:rsid w:val="00C17A96"/>
  </w:style>
  <w:style w:type="numbering" w:customStyle="1" w:styleId="Sinlista211">
    <w:name w:val="Sin lista211"/>
    <w:next w:val="Sinlista"/>
    <w:semiHidden/>
    <w:unhideWhenUsed/>
    <w:rsid w:val="00C17A96"/>
  </w:style>
  <w:style w:type="table" w:customStyle="1" w:styleId="Tablabsica111">
    <w:name w:val="Tabla básica 111"/>
    <w:basedOn w:val="Tablanormal"/>
    <w:next w:val="Tablabsica1"/>
    <w:rsid w:val="00C17A9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
    <w:name w:val="Sin lista1111"/>
    <w:next w:val="Sinlista"/>
    <w:semiHidden/>
    <w:rsid w:val="00C17A96"/>
  </w:style>
  <w:style w:type="table" w:customStyle="1" w:styleId="Tablaconcuadrcula11110">
    <w:name w:val="Tabla con cuadrícula1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
    <w:name w:val="Tabla con cuadrícula 1110"/>
    <w:basedOn w:val="Tablanormal"/>
    <w:next w:val="Tablaconcuadrcula10"/>
    <w:rsid w:val="00C17A9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
    <w:name w:val="Sin lista311"/>
    <w:next w:val="Sinlista"/>
    <w:semiHidden/>
    <w:unhideWhenUsed/>
    <w:rsid w:val="00C17A96"/>
  </w:style>
  <w:style w:type="table" w:customStyle="1" w:styleId="Tablaconcuadrcula18211">
    <w:name w:val="Tabla con cuadrícula18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semiHidden/>
    <w:rsid w:val="00C17A96"/>
  </w:style>
  <w:style w:type="numbering" w:customStyle="1" w:styleId="Sinlista511">
    <w:name w:val="Sin lista511"/>
    <w:next w:val="Sinlista"/>
    <w:semiHidden/>
    <w:unhideWhenUsed/>
    <w:rsid w:val="00C17A96"/>
  </w:style>
  <w:style w:type="numbering" w:customStyle="1" w:styleId="Sinlista1211">
    <w:name w:val="Sin lista1211"/>
    <w:next w:val="Sinlista"/>
    <w:semiHidden/>
    <w:rsid w:val="00C17A96"/>
  </w:style>
  <w:style w:type="numbering" w:customStyle="1" w:styleId="Sinlista611">
    <w:name w:val="Sin lista611"/>
    <w:next w:val="Sinlista"/>
    <w:semiHidden/>
    <w:unhideWhenUsed/>
    <w:rsid w:val="00C17A96"/>
  </w:style>
  <w:style w:type="numbering" w:customStyle="1" w:styleId="Sinlista711">
    <w:name w:val="Sin lista711"/>
    <w:next w:val="Sinlista"/>
    <w:semiHidden/>
    <w:unhideWhenUsed/>
    <w:rsid w:val="00C17A96"/>
  </w:style>
  <w:style w:type="table" w:customStyle="1" w:styleId="Tablaconcuadrcula1211">
    <w:name w:val="Tabla con cuadrícula1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
    <w:name w:val="Sin lista811"/>
    <w:next w:val="Sinlista"/>
    <w:semiHidden/>
    <w:unhideWhenUsed/>
    <w:rsid w:val="00C17A96"/>
  </w:style>
  <w:style w:type="numbering" w:customStyle="1" w:styleId="Sinlista911">
    <w:name w:val="Sin lista911"/>
    <w:next w:val="Sinlista"/>
    <w:semiHidden/>
    <w:rsid w:val="00C17A96"/>
  </w:style>
  <w:style w:type="numbering" w:customStyle="1" w:styleId="Sinlista1011">
    <w:name w:val="Sin lista1011"/>
    <w:next w:val="Sinlista"/>
    <w:semiHidden/>
    <w:unhideWhenUsed/>
    <w:rsid w:val="00C17A96"/>
  </w:style>
  <w:style w:type="numbering" w:customStyle="1" w:styleId="Sinlista1311">
    <w:name w:val="Sin lista1311"/>
    <w:next w:val="Sinlista"/>
    <w:semiHidden/>
    <w:rsid w:val="00C17A96"/>
  </w:style>
  <w:style w:type="table" w:customStyle="1" w:styleId="Tablaconcuadrcula5211">
    <w:name w:val="Tabla con cuadrícula52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
    <w:name w:val="Tabla con cuadrícula1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
    <w:name w:val="Sin lista1411"/>
    <w:next w:val="Sinlista"/>
    <w:semiHidden/>
    <w:rsid w:val="00C17A96"/>
  </w:style>
  <w:style w:type="numbering" w:customStyle="1" w:styleId="Sinlista1511">
    <w:name w:val="Sin lista1511"/>
    <w:next w:val="Sinlista"/>
    <w:semiHidden/>
    <w:rsid w:val="00C17A96"/>
  </w:style>
  <w:style w:type="numbering" w:customStyle="1" w:styleId="Sinlista1611">
    <w:name w:val="Sin lista1611"/>
    <w:next w:val="Sinlista"/>
    <w:semiHidden/>
    <w:rsid w:val="00C17A96"/>
  </w:style>
  <w:style w:type="table" w:customStyle="1" w:styleId="Tablaconcuadrcula1911">
    <w:name w:val="Tabla con cuadrícula19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
    <w:name w:val="Sin lista1711"/>
    <w:next w:val="Sinlista"/>
    <w:semiHidden/>
    <w:rsid w:val="00C17A96"/>
  </w:style>
  <w:style w:type="numbering" w:customStyle="1" w:styleId="Sinlista1811">
    <w:name w:val="Sin lista1811"/>
    <w:next w:val="Sinlista"/>
    <w:semiHidden/>
    <w:rsid w:val="00C17A96"/>
  </w:style>
  <w:style w:type="numbering" w:customStyle="1" w:styleId="1111112">
    <w:name w:val="1 / 1.1 / 1.1.12"/>
    <w:basedOn w:val="Sinlista"/>
    <w:next w:val="111111"/>
    <w:rsid w:val="00C17A96"/>
    <w:pPr>
      <w:numPr>
        <w:numId w:val="9"/>
      </w:numPr>
    </w:pPr>
  </w:style>
  <w:style w:type="numbering" w:customStyle="1" w:styleId="Sinlista1911">
    <w:name w:val="Sin lista1911"/>
    <w:next w:val="Sinlista"/>
    <w:semiHidden/>
    <w:unhideWhenUsed/>
    <w:rsid w:val="00C17A96"/>
  </w:style>
  <w:style w:type="table" w:customStyle="1" w:styleId="Tablaconcuadrcula20711">
    <w:name w:val="Tabla con cuadrícula20711"/>
    <w:basedOn w:val="Tablanormal"/>
    <w:next w:val="Tablaconcuadrcula"/>
    <w:rsid w:val="00C17A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
    <w:name w:val="Tabla con cuadrícula25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
    <w:name w:val="Tabla con cuadrícula2611"/>
    <w:basedOn w:val="Tablanormal"/>
    <w:next w:val="Tablaconcuadrcula"/>
    <w:rsid w:val="00C17A9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
    <w:name w:val="Tabla con cuadrícula2711"/>
    <w:basedOn w:val="Tablanormal"/>
    <w:next w:val="Tablaconcuadrcula"/>
    <w:rsid w:val="00C17A9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
    <w:name w:val="Sin lista2011"/>
    <w:next w:val="Sinlista"/>
    <w:semiHidden/>
    <w:rsid w:val="00C17A96"/>
  </w:style>
  <w:style w:type="numbering" w:customStyle="1" w:styleId="Sinlista2111">
    <w:name w:val="Sin lista2111"/>
    <w:next w:val="Sinlista"/>
    <w:semiHidden/>
    <w:rsid w:val="00C17A96"/>
  </w:style>
  <w:style w:type="numbering" w:customStyle="1" w:styleId="Sinlista221">
    <w:name w:val="Sin lista221"/>
    <w:next w:val="Sinlista"/>
    <w:semiHidden/>
    <w:rsid w:val="00C17A96"/>
  </w:style>
  <w:style w:type="numbering" w:customStyle="1" w:styleId="Sinlista231">
    <w:name w:val="Sin lista231"/>
    <w:next w:val="Sinlista"/>
    <w:semiHidden/>
    <w:rsid w:val="00C17A96"/>
  </w:style>
  <w:style w:type="numbering" w:customStyle="1" w:styleId="Sinlista241">
    <w:name w:val="Sin lista241"/>
    <w:next w:val="Sinlista"/>
    <w:semiHidden/>
    <w:rsid w:val="00C17A96"/>
  </w:style>
  <w:style w:type="numbering" w:customStyle="1" w:styleId="Sinlista251">
    <w:name w:val="Sin lista251"/>
    <w:next w:val="Sinlista"/>
    <w:semiHidden/>
    <w:rsid w:val="00C17A96"/>
  </w:style>
  <w:style w:type="numbering" w:customStyle="1" w:styleId="Sinlista261">
    <w:name w:val="Sin lista261"/>
    <w:next w:val="Sinlista"/>
    <w:semiHidden/>
    <w:rsid w:val="00C17A96"/>
  </w:style>
  <w:style w:type="numbering" w:customStyle="1" w:styleId="Sinlista271">
    <w:name w:val="Sin lista271"/>
    <w:next w:val="Sinlista"/>
    <w:semiHidden/>
    <w:rsid w:val="00C17A96"/>
  </w:style>
  <w:style w:type="numbering" w:customStyle="1" w:styleId="Sinlista281">
    <w:name w:val="Sin lista281"/>
    <w:next w:val="Sinlista"/>
    <w:semiHidden/>
    <w:rsid w:val="00C17A96"/>
  </w:style>
  <w:style w:type="numbering" w:customStyle="1" w:styleId="Sinlista291">
    <w:name w:val="Sin lista291"/>
    <w:next w:val="Sinlista"/>
    <w:semiHidden/>
    <w:rsid w:val="00C17A96"/>
  </w:style>
  <w:style w:type="numbering" w:customStyle="1" w:styleId="Sinlista301">
    <w:name w:val="Sin lista301"/>
    <w:next w:val="Sinlista"/>
    <w:semiHidden/>
    <w:rsid w:val="00C17A96"/>
  </w:style>
  <w:style w:type="numbering" w:customStyle="1" w:styleId="Sinlista3111">
    <w:name w:val="Sin lista3111"/>
    <w:next w:val="Sinlista"/>
    <w:semiHidden/>
    <w:rsid w:val="00C17A96"/>
  </w:style>
  <w:style w:type="table" w:customStyle="1" w:styleId="Tablaconcuadrcula6111">
    <w:name w:val="Tabla con cuadrícula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
    <w:name w:val="Sin lista321"/>
    <w:next w:val="Sinlista"/>
    <w:semiHidden/>
    <w:rsid w:val="00C17A96"/>
  </w:style>
  <w:style w:type="numbering" w:customStyle="1" w:styleId="Sinlista331">
    <w:name w:val="Sin lista331"/>
    <w:next w:val="Sinlista"/>
    <w:semiHidden/>
    <w:unhideWhenUsed/>
    <w:rsid w:val="00C17A96"/>
  </w:style>
  <w:style w:type="numbering" w:customStyle="1" w:styleId="Sinlista341">
    <w:name w:val="Sin lista341"/>
    <w:next w:val="Sinlista"/>
    <w:semiHidden/>
    <w:rsid w:val="00C17A96"/>
  </w:style>
  <w:style w:type="numbering" w:customStyle="1" w:styleId="Sinlista351">
    <w:name w:val="Sin lista351"/>
    <w:next w:val="Sinlista"/>
    <w:semiHidden/>
    <w:rsid w:val="00C17A96"/>
  </w:style>
  <w:style w:type="numbering" w:customStyle="1" w:styleId="Sinlista361">
    <w:name w:val="Sin lista361"/>
    <w:next w:val="Sinlista"/>
    <w:semiHidden/>
    <w:rsid w:val="00C17A96"/>
  </w:style>
  <w:style w:type="numbering" w:customStyle="1" w:styleId="Sinlista371">
    <w:name w:val="Sin lista371"/>
    <w:next w:val="Sinlista"/>
    <w:semiHidden/>
    <w:rsid w:val="00C17A96"/>
  </w:style>
  <w:style w:type="numbering" w:customStyle="1" w:styleId="Sinlista381">
    <w:name w:val="Sin lista381"/>
    <w:next w:val="Sinlista"/>
    <w:semiHidden/>
    <w:rsid w:val="00C17A96"/>
  </w:style>
  <w:style w:type="numbering" w:customStyle="1" w:styleId="Sinlista391">
    <w:name w:val="Sin lista391"/>
    <w:next w:val="Sinlista"/>
    <w:semiHidden/>
    <w:rsid w:val="00C17A96"/>
  </w:style>
  <w:style w:type="numbering" w:customStyle="1" w:styleId="Sinlista401">
    <w:name w:val="Sin lista401"/>
    <w:next w:val="Sinlista"/>
    <w:semiHidden/>
    <w:rsid w:val="00C17A96"/>
  </w:style>
  <w:style w:type="numbering" w:customStyle="1" w:styleId="Sinlista4111">
    <w:name w:val="Sin lista4111"/>
    <w:next w:val="Sinlista"/>
    <w:semiHidden/>
    <w:rsid w:val="00C17A96"/>
  </w:style>
  <w:style w:type="numbering" w:customStyle="1" w:styleId="Sinlista421">
    <w:name w:val="Sin lista421"/>
    <w:next w:val="Sinlista"/>
    <w:semiHidden/>
    <w:rsid w:val="00C17A96"/>
  </w:style>
  <w:style w:type="numbering" w:customStyle="1" w:styleId="Sinlista431">
    <w:name w:val="Sin lista431"/>
    <w:next w:val="Sinlista"/>
    <w:semiHidden/>
    <w:rsid w:val="00C17A96"/>
  </w:style>
  <w:style w:type="numbering" w:customStyle="1" w:styleId="Sinlista441">
    <w:name w:val="Sin lista441"/>
    <w:next w:val="Sinlista"/>
    <w:semiHidden/>
    <w:rsid w:val="00C17A96"/>
  </w:style>
  <w:style w:type="numbering" w:customStyle="1" w:styleId="Sinlista451">
    <w:name w:val="Sin lista451"/>
    <w:next w:val="Sinlista"/>
    <w:semiHidden/>
    <w:rsid w:val="00C17A96"/>
  </w:style>
  <w:style w:type="numbering" w:customStyle="1" w:styleId="Sinlista461">
    <w:name w:val="Sin lista461"/>
    <w:next w:val="Sinlista"/>
    <w:semiHidden/>
    <w:rsid w:val="00C17A96"/>
  </w:style>
  <w:style w:type="numbering" w:customStyle="1" w:styleId="Sinlista471">
    <w:name w:val="Sin lista471"/>
    <w:next w:val="Sinlista"/>
    <w:semiHidden/>
    <w:rsid w:val="00C17A96"/>
  </w:style>
  <w:style w:type="numbering" w:customStyle="1" w:styleId="Sinlista481">
    <w:name w:val="Sin lista481"/>
    <w:next w:val="Sinlista"/>
    <w:semiHidden/>
    <w:rsid w:val="00C17A96"/>
  </w:style>
  <w:style w:type="numbering" w:customStyle="1" w:styleId="Sinlista491">
    <w:name w:val="Sin lista491"/>
    <w:next w:val="Sinlista"/>
    <w:semiHidden/>
    <w:rsid w:val="00C17A96"/>
  </w:style>
  <w:style w:type="numbering" w:customStyle="1" w:styleId="Sinlista501">
    <w:name w:val="Sin lista501"/>
    <w:next w:val="Sinlista"/>
    <w:semiHidden/>
    <w:rsid w:val="00C17A96"/>
  </w:style>
  <w:style w:type="numbering" w:customStyle="1" w:styleId="Sinlista5111">
    <w:name w:val="Sin lista5111"/>
    <w:next w:val="Sinlista"/>
    <w:semiHidden/>
    <w:rsid w:val="00C17A96"/>
  </w:style>
  <w:style w:type="numbering" w:customStyle="1" w:styleId="Sinlista521">
    <w:name w:val="Sin lista521"/>
    <w:next w:val="Sinlista"/>
    <w:semiHidden/>
    <w:rsid w:val="00C17A96"/>
  </w:style>
  <w:style w:type="numbering" w:customStyle="1" w:styleId="Sinlista531">
    <w:name w:val="Sin lista531"/>
    <w:next w:val="Sinlista"/>
    <w:semiHidden/>
    <w:rsid w:val="00C17A96"/>
  </w:style>
  <w:style w:type="numbering" w:customStyle="1" w:styleId="Sinlista541">
    <w:name w:val="Sin lista541"/>
    <w:next w:val="Sinlista"/>
    <w:semiHidden/>
    <w:rsid w:val="00C17A96"/>
  </w:style>
  <w:style w:type="numbering" w:customStyle="1" w:styleId="Sinlista551">
    <w:name w:val="Sin lista551"/>
    <w:next w:val="Sinlista"/>
    <w:semiHidden/>
    <w:rsid w:val="00C17A96"/>
  </w:style>
  <w:style w:type="numbering" w:customStyle="1" w:styleId="Sinlista561">
    <w:name w:val="Sin lista561"/>
    <w:next w:val="Sinlista"/>
    <w:semiHidden/>
    <w:rsid w:val="00C17A96"/>
  </w:style>
  <w:style w:type="numbering" w:customStyle="1" w:styleId="Sinlista571">
    <w:name w:val="Sin lista571"/>
    <w:next w:val="Sinlista"/>
    <w:semiHidden/>
    <w:rsid w:val="00C17A96"/>
  </w:style>
  <w:style w:type="numbering" w:customStyle="1" w:styleId="Sinlista581">
    <w:name w:val="Sin lista581"/>
    <w:next w:val="Sinlista"/>
    <w:semiHidden/>
    <w:rsid w:val="00C17A96"/>
  </w:style>
  <w:style w:type="numbering" w:customStyle="1" w:styleId="Sinlista591">
    <w:name w:val="Sin lista591"/>
    <w:next w:val="Sinlista"/>
    <w:semiHidden/>
    <w:rsid w:val="00C17A96"/>
  </w:style>
  <w:style w:type="table" w:customStyle="1" w:styleId="Tablaconcuadrcula11111">
    <w:name w:val="Tabla con cuadrícula1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
    <w:name w:val="Sin lista601"/>
    <w:next w:val="Sinlista"/>
    <w:semiHidden/>
    <w:rsid w:val="00C17A96"/>
  </w:style>
  <w:style w:type="numbering" w:customStyle="1" w:styleId="Sinlista6111">
    <w:name w:val="Sin lista6111"/>
    <w:next w:val="Sinlista"/>
    <w:semiHidden/>
    <w:rsid w:val="00C17A96"/>
  </w:style>
  <w:style w:type="numbering" w:customStyle="1" w:styleId="Sinlista621">
    <w:name w:val="Sin lista621"/>
    <w:next w:val="Sinlista"/>
    <w:semiHidden/>
    <w:rsid w:val="00C17A96"/>
  </w:style>
  <w:style w:type="numbering" w:customStyle="1" w:styleId="Sinlista631">
    <w:name w:val="Sin lista631"/>
    <w:next w:val="Sinlista"/>
    <w:semiHidden/>
    <w:rsid w:val="00C17A96"/>
  </w:style>
  <w:style w:type="numbering" w:customStyle="1" w:styleId="Sinlista641">
    <w:name w:val="Sin lista641"/>
    <w:next w:val="Sinlista"/>
    <w:semiHidden/>
    <w:rsid w:val="00C17A96"/>
  </w:style>
  <w:style w:type="numbering" w:customStyle="1" w:styleId="Sinlista651">
    <w:name w:val="Sin lista651"/>
    <w:next w:val="Sinlista"/>
    <w:semiHidden/>
    <w:rsid w:val="00C17A96"/>
  </w:style>
  <w:style w:type="numbering" w:customStyle="1" w:styleId="Sinlista661">
    <w:name w:val="Sin lista661"/>
    <w:next w:val="Sinlista"/>
    <w:semiHidden/>
    <w:rsid w:val="00C17A96"/>
  </w:style>
  <w:style w:type="numbering" w:customStyle="1" w:styleId="Sinlista671">
    <w:name w:val="Sin lista671"/>
    <w:next w:val="Sinlista"/>
    <w:semiHidden/>
    <w:rsid w:val="00C17A96"/>
  </w:style>
  <w:style w:type="numbering" w:customStyle="1" w:styleId="Sinlista681">
    <w:name w:val="Sin lista681"/>
    <w:next w:val="Sinlista"/>
    <w:semiHidden/>
    <w:rsid w:val="00C17A96"/>
  </w:style>
  <w:style w:type="table" w:customStyle="1" w:styleId="Tablaconcuadrcula12111">
    <w:name w:val="Tabla con cuadrícula1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
    <w:name w:val="Sin lista691"/>
    <w:next w:val="Sinlista"/>
    <w:semiHidden/>
    <w:rsid w:val="00C17A96"/>
  </w:style>
  <w:style w:type="numbering" w:customStyle="1" w:styleId="Sinlista701">
    <w:name w:val="Sin lista701"/>
    <w:next w:val="Sinlista"/>
    <w:semiHidden/>
    <w:rsid w:val="00C17A96"/>
  </w:style>
  <w:style w:type="numbering" w:customStyle="1" w:styleId="Sinlista7111">
    <w:name w:val="Sin lista7111"/>
    <w:next w:val="Sinlista"/>
    <w:semiHidden/>
    <w:rsid w:val="00C17A96"/>
  </w:style>
  <w:style w:type="numbering" w:customStyle="1" w:styleId="Sinlista721">
    <w:name w:val="Sin lista721"/>
    <w:next w:val="Sinlista"/>
    <w:semiHidden/>
    <w:rsid w:val="00C17A96"/>
  </w:style>
  <w:style w:type="numbering" w:customStyle="1" w:styleId="Sinlista731">
    <w:name w:val="Sin lista731"/>
    <w:next w:val="Sinlista"/>
    <w:semiHidden/>
    <w:rsid w:val="00C17A96"/>
  </w:style>
  <w:style w:type="numbering" w:customStyle="1" w:styleId="Sinlista741">
    <w:name w:val="Sin lista741"/>
    <w:next w:val="Sinlista"/>
    <w:semiHidden/>
    <w:rsid w:val="00C17A96"/>
  </w:style>
  <w:style w:type="numbering" w:customStyle="1" w:styleId="Sinlista751">
    <w:name w:val="Sin lista751"/>
    <w:next w:val="Sinlista"/>
    <w:semiHidden/>
    <w:rsid w:val="00C17A96"/>
  </w:style>
  <w:style w:type="numbering" w:customStyle="1" w:styleId="Sinlista761">
    <w:name w:val="Sin lista761"/>
    <w:next w:val="Sinlista"/>
    <w:semiHidden/>
    <w:rsid w:val="00C17A96"/>
  </w:style>
  <w:style w:type="table" w:customStyle="1" w:styleId="Tablaconcuadrcula51111">
    <w:name w:val="Tabla con cuadrícula5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
    <w:name w:val="Sin lista771"/>
    <w:next w:val="Sinlista"/>
    <w:semiHidden/>
    <w:rsid w:val="00C17A96"/>
  </w:style>
  <w:style w:type="table" w:customStyle="1" w:styleId="Tablaconcuadrcula15111">
    <w:name w:val="Tabla con cuadrícula1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
    <w:name w:val="Sin lista781"/>
    <w:next w:val="Sinlista"/>
    <w:semiHidden/>
    <w:rsid w:val="00C17A96"/>
  </w:style>
  <w:style w:type="numbering" w:customStyle="1" w:styleId="Sinlista791">
    <w:name w:val="Sin lista791"/>
    <w:next w:val="Sinlista"/>
    <w:semiHidden/>
    <w:rsid w:val="00C17A96"/>
  </w:style>
  <w:style w:type="numbering" w:customStyle="1" w:styleId="Sinlista801">
    <w:name w:val="Sin lista801"/>
    <w:next w:val="Sinlista"/>
    <w:semiHidden/>
    <w:rsid w:val="00C17A96"/>
  </w:style>
  <w:style w:type="numbering" w:customStyle="1" w:styleId="Sinlista8111">
    <w:name w:val="Sin lista8111"/>
    <w:next w:val="Sinlista"/>
    <w:semiHidden/>
    <w:rsid w:val="00C17A96"/>
  </w:style>
  <w:style w:type="numbering" w:customStyle="1" w:styleId="Sinlista821">
    <w:name w:val="Sin lista821"/>
    <w:next w:val="Sinlista"/>
    <w:semiHidden/>
    <w:rsid w:val="00C17A96"/>
  </w:style>
  <w:style w:type="numbering" w:customStyle="1" w:styleId="Sinlista831">
    <w:name w:val="Sin lista831"/>
    <w:next w:val="Sinlista"/>
    <w:semiHidden/>
    <w:rsid w:val="00C17A96"/>
  </w:style>
  <w:style w:type="numbering" w:customStyle="1" w:styleId="Sinlista841">
    <w:name w:val="Sin lista841"/>
    <w:next w:val="Sinlista"/>
    <w:semiHidden/>
    <w:rsid w:val="00C17A96"/>
  </w:style>
  <w:style w:type="numbering" w:customStyle="1" w:styleId="Sinlista851">
    <w:name w:val="Sin lista851"/>
    <w:next w:val="Sinlista"/>
    <w:semiHidden/>
    <w:rsid w:val="00C17A96"/>
  </w:style>
  <w:style w:type="numbering" w:customStyle="1" w:styleId="Sinlista861">
    <w:name w:val="Sin lista861"/>
    <w:next w:val="Sinlista"/>
    <w:semiHidden/>
    <w:rsid w:val="00C17A96"/>
  </w:style>
  <w:style w:type="numbering" w:customStyle="1" w:styleId="Sinlista871">
    <w:name w:val="Sin lista871"/>
    <w:next w:val="Sinlista"/>
    <w:semiHidden/>
    <w:rsid w:val="00C17A96"/>
  </w:style>
  <w:style w:type="numbering" w:customStyle="1" w:styleId="Sinlista881">
    <w:name w:val="Sin lista881"/>
    <w:next w:val="Sinlista"/>
    <w:semiHidden/>
    <w:rsid w:val="00C17A96"/>
  </w:style>
  <w:style w:type="numbering" w:customStyle="1" w:styleId="Sinlista891">
    <w:name w:val="Sin lista891"/>
    <w:next w:val="Sinlista"/>
    <w:semiHidden/>
    <w:rsid w:val="00C17A96"/>
  </w:style>
  <w:style w:type="numbering" w:customStyle="1" w:styleId="Sinlista901">
    <w:name w:val="Sin lista901"/>
    <w:next w:val="Sinlista"/>
    <w:semiHidden/>
    <w:rsid w:val="00C17A96"/>
  </w:style>
  <w:style w:type="numbering" w:customStyle="1" w:styleId="Sinlista9111">
    <w:name w:val="Sin lista9111"/>
    <w:next w:val="Sinlista"/>
    <w:semiHidden/>
    <w:rsid w:val="00C17A96"/>
  </w:style>
  <w:style w:type="numbering" w:customStyle="1" w:styleId="Sinlista921">
    <w:name w:val="Sin lista921"/>
    <w:next w:val="Sinlista"/>
    <w:semiHidden/>
    <w:rsid w:val="00C17A96"/>
  </w:style>
  <w:style w:type="numbering" w:customStyle="1" w:styleId="Sinlista931">
    <w:name w:val="Sin lista931"/>
    <w:next w:val="Sinlista"/>
    <w:semiHidden/>
    <w:rsid w:val="00C17A96"/>
  </w:style>
  <w:style w:type="numbering" w:customStyle="1" w:styleId="Sinlista941">
    <w:name w:val="Sin lista941"/>
    <w:next w:val="Sinlista"/>
    <w:semiHidden/>
    <w:rsid w:val="00C17A96"/>
  </w:style>
  <w:style w:type="numbering" w:customStyle="1" w:styleId="Sinlista951">
    <w:name w:val="Sin lista951"/>
    <w:next w:val="Sinlista"/>
    <w:semiHidden/>
    <w:rsid w:val="00C17A96"/>
  </w:style>
  <w:style w:type="numbering" w:customStyle="1" w:styleId="Sinlista961">
    <w:name w:val="Sin lista961"/>
    <w:next w:val="Sinlista"/>
    <w:semiHidden/>
    <w:rsid w:val="00C17A96"/>
  </w:style>
  <w:style w:type="numbering" w:customStyle="1" w:styleId="Sinlista971">
    <w:name w:val="Sin lista971"/>
    <w:next w:val="Sinlista"/>
    <w:semiHidden/>
    <w:rsid w:val="00C17A96"/>
  </w:style>
  <w:style w:type="numbering" w:customStyle="1" w:styleId="Sinlista981">
    <w:name w:val="Sin lista981"/>
    <w:next w:val="Sinlista"/>
    <w:semiHidden/>
    <w:rsid w:val="00C17A96"/>
  </w:style>
  <w:style w:type="numbering" w:customStyle="1" w:styleId="Sinlista991">
    <w:name w:val="Sin lista991"/>
    <w:next w:val="Sinlista"/>
    <w:semiHidden/>
    <w:rsid w:val="00C17A96"/>
  </w:style>
  <w:style w:type="numbering" w:customStyle="1" w:styleId="Sinlista1001">
    <w:name w:val="Sin lista1001"/>
    <w:next w:val="Sinlista"/>
    <w:semiHidden/>
    <w:rsid w:val="00C17A96"/>
  </w:style>
  <w:style w:type="numbering" w:customStyle="1" w:styleId="Sinlista10111">
    <w:name w:val="Sin lista10111"/>
    <w:next w:val="Sinlista"/>
    <w:semiHidden/>
    <w:rsid w:val="00C17A96"/>
  </w:style>
  <w:style w:type="table" w:customStyle="1" w:styleId="Tablaconcuadrcula19111">
    <w:name w:val="Tabla con cuadrícula19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1">
    <w:name w:val="Sin lista1021"/>
    <w:next w:val="Sinlista"/>
    <w:semiHidden/>
    <w:rsid w:val="00C17A96"/>
  </w:style>
  <w:style w:type="numbering" w:customStyle="1" w:styleId="Sinlista1031">
    <w:name w:val="Sin lista1031"/>
    <w:next w:val="Sinlista"/>
    <w:semiHidden/>
    <w:rsid w:val="00C17A96"/>
  </w:style>
  <w:style w:type="numbering" w:customStyle="1" w:styleId="Sinlista1041">
    <w:name w:val="Sin lista1041"/>
    <w:next w:val="Sinlista"/>
    <w:semiHidden/>
    <w:rsid w:val="00C17A96"/>
  </w:style>
  <w:style w:type="numbering" w:customStyle="1" w:styleId="Sinlista1051">
    <w:name w:val="Sin lista1051"/>
    <w:next w:val="Sinlista"/>
    <w:semiHidden/>
    <w:rsid w:val="00C17A96"/>
  </w:style>
  <w:style w:type="numbering" w:customStyle="1" w:styleId="Sinlista1061">
    <w:name w:val="Sin lista1061"/>
    <w:next w:val="Sinlista"/>
    <w:semiHidden/>
    <w:rsid w:val="00C17A96"/>
  </w:style>
  <w:style w:type="numbering" w:customStyle="1" w:styleId="Sinlista1071">
    <w:name w:val="Sin lista1071"/>
    <w:next w:val="Sinlista"/>
    <w:semiHidden/>
    <w:rsid w:val="00C17A96"/>
  </w:style>
  <w:style w:type="numbering" w:customStyle="1" w:styleId="Sinlista1081">
    <w:name w:val="Sin lista1081"/>
    <w:next w:val="Sinlista"/>
    <w:semiHidden/>
    <w:rsid w:val="00C17A96"/>
  </w:style>
  <w:style w:type="numbering" w:customStyle="1" w:styleId="Sinlista1091">
    <w:name w:val="Sin lista1091"/>
    <w:next w:val="Sinlista"/>
    <w:semiHidden/>
    <w:rsid w:val="00C17A96"/>
  </w:style>
  <w:style w:type="numbering" w:customStyle="1" w:styleId="Sinlista11011">
    <w:name w:val="Sin lista11011"/>
    <w:next w:val="Sinlista"/>
    <w:semiHidden/>
    <w:rsid w:val="00C17A96"/>
  </w:style>
  <w:style w:type="numbering" w:customStyle="1" w:styleId="Sinlista11111">
    <w:name w:val="Sin lista11111"/>
    <w:next w:val="Sinlista"/>
    <w:semiHidden/>
    <w:rsid w:val="00C17A96"/>
  </w:style>
  <w:style w:type="numbering" w:customStyle="1" w:styleId="Sinlista1121">
    <w:name w:val="Sin lista1121"/>
    <w:next w:val="Sinlista"/>
    <w:semiHidden/>
    <w:rsid w:val="00C17A96"/>
  </w:style>
  <w:style w:type="table" w:customStyle="1" w:styleId="Tablaconcuadrcula21111">
    <w:name w:val="Tabla con cuadrícula21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1">
    <w:name w:val="Sin lista1131"/>
    <w:next w:val="Sinlista"/>
    <w:semiHidden/>
    <w:rsid w:val="00C17A96"/>
  </w:style>
  <w:style w:type="numbering" w:customStyle="1" w:styleId="Sinlista1141">
    <w:name w:val="Sin lista1141"/>
    <w:next w:val="Sinlista"/>
    <w:semiHidden/>
    <w:rsid w:val="00C17A96"/>
  </w:style>
  <w:style w:type="numbering" w:customStyle="1" w:styleId="Sinlista1151">
    <w:name w:val="Sin lista1151"/>
    <w:next w:val="Sinlista"/>
    <w:semiHidden/>
    <w:rsid w:val="00C17A96"/>
  </w:style>
  <w:style w:type="numbering" w:customStyle="1" w:styleId="Sinlista1161">
    <w:name w:val="Sin lista1161"/>
    <w:next w:val="Sinlista"/>
    <w:semiHidden/>
    <w:rsid w:val="00C17A96"/>
  </w:style>
  <w:style w:type="numbering" w:customStyle="1" w:styleId="Sinlista1171">
    <w:name w:val="Sin lista1171"/>
    <w:next w:val="Sinlista"/>
    <w:semiHidden/>
    <w:rsid w:val="00C17A96"/>
  </w:style>
  <w:style w:type="numbering" w:customStyle="1" w:styleId="Sinlista1181">
    <w:name w:val="Sin lista1181"/>
    <w:next w:val="Sinlista"/>
    <w:semiHidden/>
    <w:rsid w:val="00C17A96"/>
  </w:style>
  <w:style w:type="numbering" w:customStyle="1" w:styleId="Sinlista1191">
    <w:name w:val="Sin lista1191"/>
    <w:next w:val="Sinlista"/>
    <w:semiHidden/>
    <w:rsid w:val="00C17A96"/>
  </w:style>
  <w:style w:type="table" w:customStyle="1" w:styleId="Tablaconcuadrcula22111">
    <w:name w:val="Tabla con cuadrícula22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1">
    <w:name w:val="Sin lista1201"/>
    <w:next w:val="Sinlista"/>
    <w:semiHidden/>
    <w:rsid w:val="00C17A96"/>
  </w:style>
  <w:style w:type="numbering" w:customStyle="1" w:styleId="Sinlista12111">
    <w:name w:val="Sin lista12111"/>
    <w:next w:val="Sinlista"/>
    <w:semiHidden/>
    <w:rsid w:val="00C17A96"/>
  </w:style>
  <w:style w:type="numbering" w:customStyle="1" w:styleId="Sinlista1221">
    <w:name w:val="Sin lista1221"/>
    <w:next w:val="Sinlista"/>
    <w:semiHidden/>
    <w:rsid w:val="00C17A96"/>
  </w:style>
  <w:style w:type="numbering" w:customStyle="1" w:styleId="Sinlista1231">
    <w:name w:val="Sin lista1231"/>
    <w:next w:val="Sinlista"/>
    <w:semiHidden/>
    <w:rsid w:val="00C17A96"/>
  </w:style>
  <w:style w:type="numbering" w:customStyle="1" w:styleId="Sinlista1241">
    <w:name w:val="Sin lista1241"/>
    <w:next w:val="Sinlista"/>
    <w:semiHidden/>
    <w:rsid w:val="00C17A96"/>
  </w:style>
  <w:style w:type="table" w:customStyle="1" w:styleId="Tablaconcuadrcula23111">
    <w:name w:val="Tabla con cuadrícula23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1">
    <w:name w:val="Sin lista1251"/>
    <w:next w:val="Sinlista"/>
    <w:semiHidden/>
    <w:rsid w:val="00C17A96"/>
  </w:style>
  <w:style w:type="numbering" w:customStyle="1" w:styleId="Sinlista1261">
    <w:name w:val="Sin lista1261"/>
    <w:next w:val="Sinlista"/>
    <w:semiHidden/>
    <w:rsid w:val="00C17A96"/>
  </w:style>
  <w:style w:type="numbering" w:customStyle="1" w:styleId="Sinlista1271">
    <w:name w:val="Sin lista1271"/>
    <w:next w:val="Sinlista"/>
    <w:semiHidden/>
    <w:rsid w:val="00C17A96"/>
  </w:style>
  <w:style w:type="numbering" w:customStyle="1" w:styleId="Sinlista1281">
    <w:name w:val="Sin lista1281"/>
    <w:next w:val="Sinlista"/>
    <w:semiHidden/>
    <w:rsid w:val="00C17A96"/>
  </w:style>
  <w:style w:type="numbering" w:customStyle="1" w:styleId="Sinlista1291">
    <w:name w:val="Sin lista1291"/>
    <w:next w:val="Sinlista"/>
    <w:semiHidden/>
    <w:rsid w:val="00C17A96"/>
  </w:style>
  <w:style w:type="numbering" w:customStyle="1" w:styleId="Sinlista1301">
    <w:name w:val="Sin lista1301"/>
    <w:next w:val="Sinlista"/>
    <w:semiHidden/>
    <w:rsid w:val="00C17A96"/>
  </w:style>
  <w:style w:type="numbering" w:customStyle="1" w:styleId="Sinlista13111">
    <w:name w:val="Sin lista13111"/>
    <w:next w:val="Sinlista"/>
    <w:semiHidden/>
    <w:rsid w:val="00C17A96"/>
  </w:style>
  <w:style w:type="numbering" w:customStyle="1" w:styleId="Sinlista1321">
    <w:name w:val="Sin lista1321"/>
    <w:next w:val="Sinlista"/>
    <w:semiHidden/>
    <w:rsid w:val="00C17A96"/>
  </w:style>
  <w:style w:type="numbering" w:customStyle="1" w:styleId="Sinlista1331">
    <w:name w:val="Sin lista1331"/>
    <w:next w:val="Sinlista"/>
    <w:semiHidden/>
    <w:rsid w:val="00C17A96"/>
  </w:style>
  <w:style w:type="numbering" w:customStyle="1" w:styleId="Sinlista1341">
    <w:name w:val="Sin lista1341"/>
    <w:next w:val="Sinlista"/>
    <w:semiHidden/>
    <w:rsid w:val="00C17A96"/>
  </w:style>
  <w:style w:type="numbering" w:customStyle="1" w:styleId="Sinlista1351">
    <w:name w:val="Sin lista1351"/>
    <w:next w:val="Sinlista"/>
    <w:semiHidden/>
    <w:rsid w:val="00C17A96"/>
  </w:style>
  <w:style w:type="numbering" w:customStyle="1" w:styleId="Sinlista1361">
    <w:name w:val="Sin lista1361"/>
    <w:next w:val="Sinlista"/>
    <w:semiHidden/>
    <w:rsid w:val="00C17A96"/>
  </w:style>
  <w:style w:type="numbering" w:customStyle="1" w:styleId="Sinlista1371">
    <w:name w:val="Sin lista1371"/>
    <w:next w:val="Sinlista"/>
    <w:semiHidden/>
    <w:rsid w:val="00C17A96"/>
  </w:style>
  <w:style w:type="table" w:customStyle="1" w:styleId="Tablaconcuadrcula25111">
    <w:name w:val="Tabla con cuadrícula25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1">
    <w:name w:val="Sin lista1381"/>
    <w:next w:val="Sinlista"/>
    <w:semiHidden/>
    <w:rsid w:val="00C17A96"/>
  </w:style>
  <w:style w:type="numbering" w:customStyle="1" w:styleId="Sinlista1391">
    <w:name w:val="Sin lista1391"/>
    <w:next w:val="Sinlista"/>
    <w:semiHidden/>
    <w:rsid w:val="00C17A96"/>
  </w:style>
  <w:style w:type="numbering" w:customStyle="1" w:styleId="Sinlista1401">
    <w:name w:val="Sin lista1401"/>
    <w:next w:val="Sinlista"/>
    <w:semiHidden/>
    <w:rsid w:val="00C17A96"/>
  </w:style>
  <w:style w:type="numbering" w:customStyle="1" w:styleId="Sinlista14111">
    <w:name w:val="Sin lista14111"/>
    <w:next w:val="Sinlista"/>
    <w:semiHidden/>
    <w:rsid w:val="00C17A96"/>
  </w:style>
  <w:style w:type="numbering" w:customStyle="1" w:styleId="Sinlista1421">
    <w:name w:val="Sin lista1421"/>
    <w:next w:val="Sinlista"/>
    <w:semiHidden/>
    <w:rsid w:val="00C17A96"/>
  </w:style>
  <w:style w:type="numbering" w:customStyle="1" w:styleId="Sinlista1431">
    <w:name w:val="Sin lista1431"/>
    <w:next w:val="Sinlista"/>
    <w:semiHidden/>
    <w:rsid w:val="00C17A96"/>
  </w:style>
  <w:style w:type="table" w:customStyle="1" w:styleId="Tablaconcuadrcula26111">
    <w:name w:val="Tabla con cuadrícula26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1">
    <w:name w:val="Sin lista1441"/>
    <w:next w:val="Sinlista"/>
    <w:semiHidden/>
    <w:rsid w:val="00C17A96"/>
  </w:style>
  <w:style w:type="numbering" w:customStyle="1" w:styleId="Sinlista1451">
    <w:name w:val="Sin lista1451"/>
    <w:next w:val="Sinlista"/>
    <w:semiHidden/>
    <w:rsid w:val="00C17A96"/>
  </w:style>
  <w:style w:type="numbering" w:customStyle="1" w:styleId="Sinlista1461">
    <w:name w:val="Sin lista1461"/>
    <w:next w:val="Sinlista"/>
    <w:semiHidden/>
    <w:rsid w:val="00C17A96"/>
  </w:style>
  <w:style w:type="numbering" w:customStyle="1" w:styleId="Sinlista1471">
    <w:name w:val="Sin lista1471"/>
    <w:next w:val="Sinlista"/>
    <w:semiHidden/>
    <w:rsid w:val="00C17A96"/>
  </w:style>
  <w:style w:type="table" w:customStyle="1" w:styleId="Tablaconcuadrcula27111">
    <w:name w:val="Tabla con cuadrícula27111"/>
    <w:basedOn w:val="Tablanormal"/>
    <w:next w:val="Tablaconcuadrcula"/>
    <w:rsid w:val="00C17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1">
    <w:name w:val="Sin lista1481"/>
    <w:next w:val="Sinlista"/>
    <w:semiHidden/>
    <w:rsid w:val="00C17A96"/>
  </w:style>
  <w:style w:type="numbering" w:customStyle="1" w:styleId="Sinlista1491">
    <w:name w:val="Sin lista1491"/>
    <w:next w:val="Sinlista"/>
    <w:semiHidden/>
    <w:rsid w:val="00C17A96"/>
  </w:style>
  <w:style w:type="numbering" w:customStyle="1" w:styleId="Sinlista1501">
    <w:name w:val="Sin lista1501"/>
    <w:next w:val="Sinlista"/>
    <w:semiHidden/>
    <w:rsid w:val="00C17A96"/>
  </w:style>
  <w:style w:type="numbering" w:customStyle="1" w:styleId="Sinlista15111">
    <w:name w:val="Sin lista15111"/>
    <w:next w:val="Sinlista"/>
    <w:semiHidden/>
    <w:rsid w:val="00C17A96"/>
  </w:style>
  <w:style w:type="numbering" w:customStyle="1" w:styleId="Sinlista1521">
    <w:name w:val="Sin lista1521"/>
    <w:next w:val="Sinlista"/>
    <w:semiHidden/>
    <w:rsid w:val="00C17A96"/>
  </w:style>
  <w:style w:type="numbering" w:customStyle="1" w:styleId="Sinlista1531">
    <w:name w:val="Sin lista1531"/>
    <w:next w:val="Sinlista"/>
    <w:semiHidden/>
    <w:rsid w:val="00C17A96"/>
  </w:style>
  <w:style w:type="numbering" w:customStyle="1" w:styleId="Sinlista1541">
    <w:name w:val="Sin lista1541"/>
    <w:next w:val="Sinlista"/>
    <w:semiHidden/>
    <w:rsid w:val="00C17A96"/>
  </w:style>
  <w:style w:type="numbering" w:customStyle="1" w:styleId="Sinlista1551">
    <w:name w:val="Sin lista1551"/>
    <w:next w:val="Sinlista"/>
    <w:semiHidden/>
    <w:rsid w:val="00C17A96"/>
  </w:style>
  <w:style w:type="numbering" w:customStyle="1" w:styleId="Sinlista159">
    <w:name w:val="Sin lista159"/>
    <w:next w:val="Sinlista"/>
    <w:semiHidden/>
    <w:rsid w:val="00804DD2"/>
  </w:style>
  <w:style w:type="table" w:customStyle="1" w:styleId="Tablaconcuadrcula285">
    <w:name w:val="Tabla con cuadrícula285"/>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2">
    <w:name w:val="Tabla con cuadrícula21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2">
    <w:name w:val="Tabla con cuadrícula22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2">
    <w:name w:val="Tabla con cuadrícula2312"/>
    <w:basedOn w:val="Tablanormal"/>
    <w:next w:val="Tablaconcuadrcula"/>
    <w:rsid w:val="00804DD2"/>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0">
    <w:name w:val="Sin lista160"/>
    <w:next w:val="Sinlista"/>
    <w:semiHidden/>
    <w:unhideWhenUsed/>
    <w:rsid w:val="00804DD2"/>
  </w:style>
  <w:style w:type="numbering" w:customStyle="1" w:styleId="Sinlista212">
    <w:name w:val="Sin lista212"/>
    <w:next w:val="Sinlista"/>
    <w:semiHidden/>
    <w:unhideWhenUsed/>
    <w:rsid w:val="00804DD2"/>
  </w:style>
  <w:style w:type="table" w:customStyle="1" w:styleId="Tablabsica12">
    <w:name w:val="Tabla básica 12"/>
    <w:basedOn w:val="Tablanormal"/>
    <w:next w:val="Tablabsica1"/>
    <w:rsid w:val="00804DD2"/>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2">
    <w:name w:val="Sin lista1112"/>
    <w:next w:val="Sinlista"/>
    <w:semiHidden/>
    <w:rsid w:val="00804DD2"/>
  </w:style>
  <w:style w:type="table" w:customStyle="1" w:styleId="Tablaconcuadrcula1112">
    <w:name w:val="Tabla con cuadrícula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0">
    <w:name w:val="Tabla con cuadrícula 134"/>
    <w:basedOn w:val="Tablanormal"/>
    <w:next w:val="Tablaconcuadrcula10"/>
    <w:rsid w:val="00804D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2">
    <w:name w:val="Sin lista312"/>
    <w:next w:val="Sinlista"/>
    <w:semiHidden/>
    <w:unhideWhenUsed/>
    <w:rsid w:val="00804DD2"/>
  </w:style>
  <w:style w:type="table" w:customStyle="1" w:styleId="Tablaconcuadrcula1822">
    <w:name w:val="Tabla con cuadrícula18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4">
    <w:name w:val="Tabla con cuadrícula514"/>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2">
    <w:name w:val="Sin lista412"/>
    <w:next w:val="Sinlista"/>
    <w:semiHidden/>
    <w:rsid w:val="00804DD2"/>
  </w:style>
  <w:style w:type="numbering" w:customStyle="1" w:styleId="Sinlista512">
    <w:name w:val="Sin lista512"/>
    <w:next w:val="Sinlista"/>
    <w:semiHidden/>
    <w:unhideWhenUsed/>
    <w:rsid w:val="00804DD2"/>
  </w:style>
  <w:style w:type="numbering" w:customStyle="1" w:styleId="Sinlista1212">
    <w:name w:val="Sin lista1212"/>
    <w:next w:val="Sinlista"/>
    <w:semiHidden/>
    <w:rsid w:val="00804DD2"/>
  </w:style>
  <w:style w:type="numbering" w:customStyle="1" w:styleId="Sinlista612">
    <w:name w:val="Sin lista612"/>
    <w:next w:val="Sinlista"/>
    <w:semiHidden/>
    <w:unhideWhenUsed/>
    <w:rsid w:val="00804DD2"/>
  </w:style>
  <w:style w:type="numbering" w:customStyle="1" w:styleId="Sinlista712">
    <w:name w:val="Sin lista712"/>
    <w:next w:val="Sinlista"/>
    <w:semiHidden/>
    <w:unhideWhenUsed/>
    <w:rsid w:val="00804DD2"/>
  </w:style>
  <w:style w:type="table" w:customStyle="1" w:styleId="Tablaconcuadrcula1212">
    <w:name w:val="Tabla con cuadrícula12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2">
    <w:name w:val="Sin lista812"/>
    <w:next w:val="Sinlista"/>
    <w:semiHidden/>
    <w:unhideWhenUsed/>
    <w:rsid w:val="00804DD2"/>
  </w:style>
  <w:style w:type="numbering" w:customStyle="1" w:styleId="Sinlista912">
    <w:name w:val="Sin lista912"/>
    <w:next w:val="Sinlista"/>
    <w:semiHidden/>
    <w:rsid w:val="00804DD2"/>
  </w:style>
  <w:style w:type="numbering" w:customStyle="1" w:styleId="Sinlista1012">
    <w:name w:val="Sin lista1012"/>
    <w:next w:val="Sinlista"/>
    <w:semiHidden/>
    <w:unhideWhenUsed/>
    <w:rsid w:val="00804DD2"/>
  </w:style>
  <w:style w:type="numbering" w:customStyle="1" w:styleId="Sinlista1312">
    <w:name w:val="Sin lista1312"/>
    <w:next w:val="Sinlista"/>
    <w:semiHidden/>
    <w:rsid w:val="00804DD2"/>
  </w:style>
  <w:style w:type="table" w:customStyle="1" w:styleId="Tablaconcuadrcula522">
    <w:name w:val="Tabla con cuadrícula52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2">
    <w:name w:val="Tabla con cuadrícula1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2">
    <w:name w:val="Sin lista1412"/>
    <w:next w:val="Sinlista"/>
    <w:semiHidden/>
    <w:rsid w:val="00804DD2"/>
  </w:style>
  <w:style w:type="numbering" w:customStyle="1" w:styleId="Sinlista1510">
    <w:name w:val="Sin lista1510"/>
    <w:next w:val="Sinlista"/>
    <w:semiHidden/>
    <w:rsid w:val="00804DD2"/>
  </w:style>
  <w:style w:type="numbering" w:customStyle="1" w:styleId="Sinlista162">
    <w:name w:val="Sin lista162"/>
    <w:next w:val="Sinlista"/>
    <w:semiHidden/>
    <w:rsid w:val="00804DD2"/>
  </w:style>
  <w:style w:type="table" w:customStyle="1" w:styleId="Tablaconcuadrcula1912">
    <w:name w:val="Tabla con cuadrícula19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2">
    <w:name w:val="Sin lista172"/>
    <w:next w:val="Sinlista"/>
    <w:semiHidden/>
    <w:rsid w:val="00804DD2"/>
  </w:style>
  <w:style w:type="numbering" w:customStyle="1" w:styleId="Sinlista182">
    <w:name w:val="Sin lista182"/>
    <w:next w:val="Sinlista"/>
    <w:semiHidden/>
    <w:rsid w:val="00804DD2"/>
  </w:style>
  <w:style w:type="table" w:customStyle="1" w:styleId="Tablaconcuadrcula1103">
    <w:name w:val="Tabla con cuadrícula1103"/>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Sinlista"/>
    <w:next w:val="111111"/>
    <w:rsid w:val="00804DD2"/>
  </w:style>
  <w:style w:type="numbering" w:customStyle="1" w:styleId="Sinlista192">
    <w:name w:val="Sin lista192"/>
    <w:next w:val="Sinlista"/>
    <w:semiHidden/>
    <w:unhideWhenUsed/>
    <w:rsid w:val="00804DD2"/>
  </w:style>
  <w:style w:type="table" w:customStyle="1" w:styleId="Tablaconcuadrcula2072">
    <w:name w:val="Tabla con cuadrícula207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
    <w:name w:val="1 / 1.1 / 1.1.112"/>
    <w:basedOn w:val="Sinlista"/>
    <w:next w:val="111111"/>
    <w:rsid w:val="00804DD2"/>
  </w:style>
  <w:style w:type="table" w:customStyle="1" w:styleId="Tablaconcuadrcula2512">
    <w:name w:val="Tabla con cuadrícula25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2">
    <w:name w:val="Tabla con cuadrícula2612"/>
    <w:basedOn w:val="Tablanormal"/>
    <w:next w:val="Tablaconcuadrcula"/>
    <w:rsid w:val="00804DD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2">
    <w:name w:val="Sin lista202"/>
    <w:next w:val="Sinlista"/>
    <w:semiHidden/>
    <w:rsid w:val="00804DD2"/>
  </w:style>
  <w:style w:type="table" w:customStyle="1" w:styleId="Tablaconcuadrcula2712">
    <w:name w:val="Tabla con cuadrícula2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2">
    <w:name w:val="Tabla con cuadrícula16012"/>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3">
    <w:name w:val="Tabla con cuadrícula21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3">
    <w:name w:val="Tabla con cuadrícula22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3">
    <w:name w:val="Tabla con cuadrícula2313"/>
    <w:basedOn w:val="Tablanormal"/>
    <w:next w:val="Tablaconcuadrcula"/>
    <w:rsid w:val="00804DD2"/>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2">
    <w:name w:val="Sin lista1102"/>
    <w:next w:val="Sinlista"/>
    <w:semiHidden/>
    <w:unhideWhenUsed/>
    <w:rsid w:val="00804DD2"/>
  </w:style>
  <w:style w:type="numbering" w:customStyle="1" w:styleId="Sinlista213">
    <w:name w:val="Sin lista213"/>
    <w:next w:val="Sinlista"/>
    <w:semiHidden/>
    <w:unhideWhenUsed/>
    <w:rsid w:val="00804DD2"/>
  </w:style>
  <w:style w:type="table" w:customStyle="1" w:styleId="Tablabsica112">
    <w:name w:val="Tabla básica 112"/>
    <w:basedOn w:val="Tablanormal"/>
    <w:next w:val="Tablabsica1"/>
    <w:rsid w:val="00804DD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3">
    <w:name w:val="Sin lista1113"/>
    <w:next w:val="Sinlista"/>
    <w:semiHidden/>
    <w:rsid w:val="00804DD2"/>
  </w:style>
  <w:style w:type="table" w:customStyle="1" w:styleId="Tablaconcuadrcula1113">
    <w:name w:val="Tabla con cuadrícula11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 1111"/>
    <w:basedOn w:val="Tablanormal"/>
    <w:next w:val="Tablaconcuadrcula10"/>
    <w:rsid w:val="00804DD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2">
    <w:name w:val="Tabla con cuadrícula1902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2">
    <w:name w:val="Tabla con cuadrícula293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3">
    <w:name w:val="Sin lista313"/>
    <w:next w:val="Sinlista"/>
    <w:semiHidden/>
    <w:unhideWhenUsed/>
    <w:rsid w:val="00804DD2"/>
  </w:style>
  <w:style w:type="table" w:customStyle="1" w:styleId="Tablaconcuadrcula18212">
    <w:name w:val="Tabla con cuadrícula18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
    <w:name w:val="Tabla con cuadrícula51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3">
    <w:name w:val="Sin lista413"/>
    <w:next w:val="Sinlista"/>
    <w:semiHidden/>
    <w:rsid w:val="00804DD2"/>
  </w:style>
  <w:style w:type="numbering" w:customStyle="1" w:styleId="Sinlista513">
    <w:name w:val="Sin lista513"/>
    <w:next w:val="Sinlista"/>
    <w:semiHidden/>
    <w:unhideWhenUsed/>
    <w:rsid w:val="00804DD2"/>
  </w:style>
  <w:style w:type="numbering" w:customStyle="1" w:styleId="Sinlista1213">
    <w:name w:val="Sin lista1213"/>
    <w:next w:val="Sinlista"/>
    <w:semiHidden/>
    <w:rsid w:val="00804DD2"/>
  </w:style>
  <w:style w:type="numbering" w:customStyle="1" w:styleId="Sinlista613">
    <w:name w:val="Sin lista613"/>
    <w:next w:val="Sinlista"/>
    <w:semiHidden/>
    <w:unhideWhenUsed/>
    <w:rsid w:val="00804DD2"/>
  </w:style>
  <w:style w:type="numbering" w:customStyle="1" w:styleId="Sinlista713">
    <w:name w:val="Sin lista713"/>
    <w:next w:val="Sinlista"/>
    <w:semiHidden/>
    <w:unhideWhenUsed/>
    <w:rsid w:val="00804DD2"/>
  </w:style>
  <w:style w:type="table" w:customStyle="1" w:styleId="Tablaconcuadrcula1213">
    <w:name w:val="Tabla con cuadrícula1213"/>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3">
    <w:name w:val="Sin lista813"/>
    <w:next w:val="Sinlista"/>
    <w:semiHidden/>
    <w:unhideWhenUsed/>
    <w:rsid w:val="00804DD2"/>
  </w:style>
  <w:style w:type="numbering" w:customStyle="1" w:styleId="Sinlista913">
    <w:name w:val="Sin lista913"/>
    <w:next w:val="Sinlista"/>
    <w:semiHidden/>
    <w:rsid w:val="00804DD2"/>
  </w:style>
  <w:style w:type="numbering" w:customStyle="1" w:styleId="Sinlista1013">
    <w:name w:val="Sin lista1013"/>
    <w:next w:val="Sinlista"/>
    <w:semiHidden/>
    <w:unhideWhenUsed/>
    <w:rsid w:val="00804DD2"/>
  </w:style>
  <w:style w:type="numbering" w:customStyle="1" w:styleId="Sinlista1313">
    <w:name w:val="Sin lista1313"/>
    <w:next w:val="Sinlista"/>
    <w:semiHidden/>
    <w:rsid w:val="00804DD2"/>
  </w:style>
  <w:style w:type="table" w:customStyle="1" w:styleId="Tablaconcuadrcula5212">
    <w:name w:val="Tabla con cuadrícula52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3">
    <w:name w:val="Tabla con cuadrícula1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3">
    <w:name w:val="Sin lista1413"/>
    <w:next w:val="Sinlista"/>
    <w:semiHidden/>
    <w:rsid w:val="00804DD2"/>
  </w:style>
  <w:style w:type="numbering" w:customStyle="1" w:styleId="Sinlista1512">
    <w:name w:val="Sin lista1512"/>
    <w:next w:val="Sinlista"/>
    <w:semiHidden/>
    <w:rsid w:val="00804DD2"/>
  </w:style>
  <w:style w:type="numbering" w:customStyle="1" w:styleId="Sinlista1612">
    <w:name w:val="Sin lista1612"/>
    <w:next w:val="Sinlista"/>
    <w:semiHidden/>
    <w:rsid w:val="00804DD2"/>
  </w:style>
  <w:style w:type="table" w:customStyle="1" w:styleId="Tablaconcuadrcula1913">
    <w:name w:val="Tabla con cuadrícula19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2">
    <w:name w:val="Sin lista1712"/>
    <w:next w:val="Sinlista"/>
    <w:semiHidden/>
    <w:rsid w:val="00804DD2"/>
  </w:style>
  <w:style w:type="numbering" w:customStyle="1" w:styleId="Sinlista1812">
    <w:name w:val="Sin lista1812"/>
    <w:next w:val="Sinlista"/>
    <w:semiHidden/>
    <w:rsid w:val="00804DD2"/>
  </w:style>
  <w:style w:type="numbering" w:customStyle="1" w:styleId="11111121">
    <w:name w:val="1 / 1.1 / 1.1.121"/>
    <w:basedOn w:val="Sinlista"/>
    <w:next w:val="111111"/>
    <w:rsid w:val="00804DD2"/>
  </w:style>
  <w:style w:type="numbering" w:customStyle="1" w:styleId="Sinlista1912">
    <w:name w:val="Sin lista1912"/>
    <w:next w:val="Sinlista"/>
    <w:semiHidden/>
    <w:unhideWhenUsed/>
    <w:rsid w:val="00804DD2"/>
  </w:style>
  <w:style w:type="table" w:customStyle="1" w:styleId="Tablaconcuadrcula20712">
    <w:name w:val="Tabla con cuadrícula20712"/>
    <w:basedOn w:val="Tablanormal"/>
    <w:next w:val="Tablaconcuadrcula"/>
    <w:rsid w:val="00804D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3">
    <w:name w:val="Tabla con cuadrícula25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3">
    <w:name w:val="Tabla con cuadrícula2613"/>
    <w:basedOn w:val="Tablanormal"/>
    <w:next w:val="Tablaconcuadrcula"/>
    <w:rsid w:val="00804D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3">
    <w:name w:val="Tabla con cuadrícula2713"/>
    <w:basedOn w:val="Tablanormal"/>
    <w:next w:val="Tablaconcuadrcula"/>
    <w:rsid w:val="00804DD2"/>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2">
    <w:name w:val="Sin lista2012"/>
    <w:next w:val="Sinlista"/>
    <w:semiHidden/>
    <w:rsid w:val="00804DD2"/>
  </w:style>
  <w:style w:type="numbering" w:customStyle="1" w:styleId="Sinlista2112">
    <w:name w:val="Sin lista2112"/>
    <w:next w:val="Sinlista"/>
    <w:semiHidden/>
    <w:rsid w:val="00804DD2"/>
  </w:style>
  <w:style w:type="numbering" w:customStyle="1" w:styleId="Sinlista222">
    <w:name w:val="Sin lista222"/>
    <w:next w:val="Sinlista"/>
    <w:semiHidden/>
    <w:rsid w:val="00804DD2"/>
  </w:style>
  <w:style w:type="numbering" w:customStyle="1" w:styleId="Sinlista232">
    <w:name w:val="Sin lista232"/>
    <w:next w:val="Sinlista"/>
    <w:semiHidden/>
    <w:rsid w:val="00804DD2"/>
  </w:style>
  <w:style w:type="numbering" w:customStyle="1" w:styleId="Sinlista242">
    <w:name w:val="Sin lista242"/>
    <w:next w:val="Sinlista"/>
    <w:semiHidden/>
    <w:rsid w:val="00804DD2"/>
  </w:style>
  <w:style w:type="numbering" w:customStyle="1" w:styleId="Sinlista252">
    <w:name w:val="Sin lista252"/>
    <w:next w:val="Sinlista"/>
    <w:semiHidden/>
    <w:rsid w:val="00804DD2"/>
  </w:style>
  <w:style w:type="numbering" w:customStyle="1" w:styleId="Sinlista262">
    <w:name w:val="Sin lista262"/>
    <w:next w:val="Sinlista"/>
    <w:semiHidden/>
    <w:rsid w:val="00804DD2"/>
  </w:style>
  <w:style w:type="numbering" w:customStyle="1" w:styleId="Sinlista272">
    <w:name w:val="Sin lista272"/>
    <w:next w:val="Sinlista"/>
    <w:semiHidden/>
    <w:rsid w:val="00804DD2"/>
  </w:style>
  <w:style w:type="numbering" w:customStyle="1" w:styleId="Sinlista282">
    <w:name w:val="Sin lista282"/>
    <w:next w:val="Sinlista"/>
    <w:semiHidden/>
    <w:rsid w:val="00804DD2"/>
  </w:style>
  <w:style w:type="numbering" w:customStyle="1" w:styleId="Sinlista292">
    <w:name w:val="Sin lista292"/>
    <w:next w:val="Sinlista"/>
    <w:semiHidden/>
    <w:rsid w:val="00804DD2"/>
  </w:style>
  <w:style w:type="numbering" w:customStyle="1" w:styleId="Sinlista302">
    <w:name w:val="Sin lista302"/>
    <w:next w:val="Sinlista"/>
    <w:semiHidden/>
    <w:rsid w:val="00804DD2"/>
  </w:style>
  <w:style w:type="numbering" w:customStyle="1" w:styleId="Sinlista3112">
    <w:name w:val="Sin lista3112"/>
    <w:next w:val="Sinlista"/>
    <w:semiHidden/>
    <w:rsid w:val="00804DD2"/>
  </w:style>
  <w:style w:type="table" w:customStyle="1" w:styleId="Tablaconcuadrcula6112">
    <w:name w:val="Tabla con cuadrícula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2">
    <w:name w:val="Sin lista322"/>
    <w:next w:val="Sinlista"/>
    <w:semiHidden/>
    <w:rsid w:val="00804DD2"/>
  </w:style>
  <w:style w:type="numbering" w:customStyle="1" w:styleId="Sinlista332">
    <w:name w:val="Sin lista332"/>
    <w:next w:val="Sinlista"/>
    <w:semiHidden/>
    <w:unhideWhenUsed/>
    <w:rsid w:val="00804DD2"/>
  </w:style>
  <w:style w:type="numbering" w:customStyle="1" w:styleId="Sinlista342">
    <w:name w:val="Sin lista342"/>
    <w:next w:val="Sinlista"/>
    <w:semiHidden/>
    <w:rsid w:val="00804DD2"/>
  </w:style>
  <w:style w:type="numbering" w:customStyle="1" w:styleId="Sinlista352">
    <w:name w:val="Sin lista352"/>
    <w:next w:val="Sinlista"/>
    <w:semiHidden/>
    <w:rsid w:val="00804DD2"/>
  </w:style>
  <w:style w:type="numbering" w:customStyle="1" w:styleId="Sinlista362">
    <w:name w:val="Sin lista362"/>
    <w:next w:val="Sinlista"/>
    <w:semiHidden/>
    <w:rsid w:val="00804DD2"/>
  </w:style>
  <w:style w:type="numbering" w:customStyle="1" w:styleId="Sinlista372">
    <w:name w:val="Sin lista372"/>
    <w:next w:val="Sinlista"/>
    <w:semiHidden/>
    <w:rsid w:val="00804DD2"/>
  </w:style>
  <w:style w:type="numbering" w:customStyle="1" w:styleId="Sinlista382">
    <w:name w:val="Sin lista382"/>
    <w:next w:val="Sinlista"/>
    <w:semiHidden/>
    <w:rsid w:val="00804DD2"/>
  </w:style>
  <w:style w:type="numbering" w:customStyle="1" w:styleId="Sinlista392">
    <w:name w:val="Sin lista392"/>
    <w:next w:val="Sinlista"/>
    <w:semiHidden/>
    <w:rsid w:val="00804DD2"/>
  </w:style>
  <w:style w:type="numbering" w:customStyle="1" w:styleId="Sinlista402">
    <w:name w:val="Sin lista402"/>
    <w:next w:val="Sinlista"/>
    <w:semiHidden/>
    <w:rsid w:val="00804DD2"/>
  </w:style>
  <w:style w:type="numbering" w:customStyle="1" w:styleId="Sinlista4112">
    <w:name w:val="Sin lista4112"/>
    <w:next w:val="Sinlista"/>
    <w:semiHidden/>
    <w:rsid w:val="00804DD2"/>
  </w:style>
  <w:style w:type="numbering" w:customStyle="1" w:styleId="Sinlista422">
    <w:name w:val="Sin lista422"/>
    <w:next w:val="Sinlista"/>
    <w:semiHidden/>
    <w:rsid w:val="00804DD2"/>
  </w:style>
  <w:style w:type="numbering" w:customStyle="1" w:styleId="Sinlista432">
    <w:name w:val="Sin lista432"/>
    <w:next w:val="Sinlista"/>
    <w:semiHidden/>
    <w:rsid w:val="00804DD2"/>
  </w:style>
  <w:style w:type="numbering" w:customStyle="1" w:styleId="Sinlista442">
    <w:name w:val="Sin lista442"/>
    <w:next w:val="Sinlista"/>
    <w:semiHidden/>
    <w:rsid w:val="00804DD2"/>
  </w:style>
  <w:style w:type="numbering" w:customStyle="1" w:styleId="Sinlista452">
    <w:name w:val="Sin lista452"/>
    <w:next w:val="Sinlista"/>
    <w:semiHidden/>
    <w:rsid w:val="00804DD2"/>
  </w:style>
  <w:style w:type="numbering" w:customStyle="1" w:styleId="Sinlista462">
    <w:name w:val="Sin lista462"/>
    <w:next w:val="Sinlista"/>
    <w:semiHidden/>
    <w:rsid w:val="00804DD2"/>
  </w:style>
  <w:style w:type="numbering" w:customStyle="1" w:styleId="Sinlista472">
    <w:name w:val="Sin lista472"/>
    <w:next w:val="Sinlista"/>
    <w:semiHidden/>
    <w:rsid w:val="00804DD2"/>
  </w:style>
  <w:style w:type="numbering" w:customStyle="1" w:styleId="Sinlista482">
    <w:name w:val="Sin lista482"/>
    <w:next w:val="Sinlista"/>
    <w:semiHidden/>
    <w:rsid w:val="00804DD2"/>
  </w:style>
  <w:style w:type="numbering" w:customStyle="1" w:styleId="Sinlista492">
    <w:name w:val="Sin lista492"/>
    <w:next w:val="Sinlista"/>
    <w:semiHidden/>
    <w:rsid w:val="00804DD2"/>
  </w:style>
  <w:style w:type="numbering" w:customStyle="1" w:styleId="Sinlista502">
    <w:name w:val="Sin lista502"/>
    <w:next w:val="Sinlista"/>
    <w:semiHidden/>
    <w:rsid w:val="00804DD2"/>
  </w:style>
  <w:style w:type="numbering" w:customStyle="1" w:styleId="Sinlista5112">
    <w:name w:val="Sin lista5112"/>
    <w:next w:val="Sinlista"/>
    <w:semiHidden/>
    <w:rsid w:val="00804DD2"/>
  </w:style>
  <w:style w:type="numbering" w:customStyle="1" w:styleId="Sinlista522">
    <w:name w:val="Sin lista522"/>
    <w:next w:val="Sinlista"/>
    <w:semiHidden/>
    <w:rsid w:val="00804DD2"/>
  </w:style>
  <w:style w:type="numbering" w:customStyle="1" w:styleId="Sinlista532">
    <w:name w:val="Sin lista532"/>
    <w:next w:val="Sinlista"/>
    <w:semiHidden/>
    <w:rsid w:val="00804DD2"/>
  </w:style>
  <w:style w:type="numbering" w:customStyle="1" w:styleId="Sinlista542">
    <w:name w:val="Sin lista542"/>
    <w:next w:val="Sinlista"/>
    <w:semiHidden/>
    <w:rsid w:val="00804DD2"/>
  </w:style>
  <w:style w:type="numbering" w:customStyle="1" w:styleId="Sinlista552">
    <w:name w:val="Sin lista552"/>
    <w:next w:val="Sinlista"/>
    <w:semiHidden/>
    <w:rsid w:val="00804DD2"/>
  </w:style>
  <w:style w:type="numbering" w:customStyle="1" w:styleId="Sinlista562">
    <w:name w:val="Sin lista562"/>
    <w:next w:val="Sinlista"/>
    <w:semiHidden/>
    <w:rsid w:val="00804DD2"/>
  </w:style>
  <w:style w:type="numbering" w:customStyle="1" w:styleId="Sinlista572">
    <w:name w:val="Sin lista572"/>
    <w:next w:val="Sinlista"/>
    <w:semiHidden/>
    <w:rsid w:val="00804DD2"/>
  </w:style>
  <w:style w:type="numbering" w:customStyle="1" w:styleId="Sinlista582">
    <w:name w:val="Sin lista582"/>
    <w:next w:val="Sinlista"/>
    <w:semiHidden/>
    <w:rsid w:val="00804DD2"/>
  </w:style>
  <w:style w:type="numbering" w:customStyle="1" w:styleId="Sinlista592">
    <w:name w:val="Sin lista592"/>
    <w:next w:val="Sinlista"/>
    <w:semiHidden/>
    <w:rsid w:val="00804DD2"/>
  </w:style>
  <w:style w:type="table" w:customStyle="1" w:styleId="Tablaconcuadrcula111120">
    <w:name w:val="Tabla con cuadrícula1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2">
    <w:name w:val="Sin lista602"/>
    <w:next w:val="Sinlista"/>
    <w:semiHidden/>
    <w:rsid w:val="00804DD2"/>
  </w:style>
  <w:style w:type="numbering" w:customStyle="1" w:styleId="Sinlista6112">
    <w:name w:val="Sin lista6112"/>
    <w:next w:val="Sinlista"/>
    <w:semiHidden/>
    <w:rsid w:val="00804DD2"/>
  </w:style>
  <w:style w:type="numbering" w:customStyle="1" w:styleId="Sinlista622">
    <w:name w:val="Sin lista622"/>
    <w:next w:val="Sinlista"/>
    <w:semiHidden/>
    <w:rsid w:val="00804DD2"/>
  </w:style>
  <w:style w:type="numbering" w:customStyle="1" w:styleId="Sinlista632">
    <w:name w:val="Sin lista632"/>
    <w:next w:val="Sinlista"/>
    <w:semiHidden/>
    <w:rsid w:val="00804DD2"/>
  </w:style>
  <w:style w:type="numbering" w:customStyle="1" w:styleId="Sinlista642">
    <w:name w:val="Sin lista642"/>
    <w:next w:val="Sinlista"/>
    <w:semiHidden/>
    <w:rsid w:val="00804DD2"/>
  </w:style>
  <w:style w:type="numbering" w:customStyle="1" w:styleId="Sinlista652">
    <w:name w:val="Sin lista652"/>
    <w:next w:val="Sinlista"/>
    <w:semiHidden/>
    <w:rsid w:val="00804DD2"/>
  </w:style>
  <w:style w:type="numbering" w:customStyle="1" w:styleId="Sinlista662">
    <w:name w:val="Sin lista662"/>
    <w:next w:val="Sinlista"/>
    <w:semiHidden/>
    <w:rsid w:val="00804DD2"/>
  </w:style>
  <w:style w:type="numbering" w:customStyle="1" w:styleId="Sinlista672">
    <w:name w:val="Sin lista672"/>
    <w:next w:val="Sinlista"/>
    <w:semiHidden/>
    <w:rsid w:val="00804DD2"/>
  </w:style>
  <w:style w:type="numbering" w:customStyle="1" w:styleId="Sinlista682">
    <w:name w:val="Sin lista682"/>
    <w:next w:val="Sinlista"/>
    <w:semiHidden/>
    <w:rsid w:val="00804DD2"/>
  </w:style>
  <w:style w:type="table" w:customStyle="1" w:styleId="Tablaconcuadrcula12112">
    <w:name w:val="Tabla con cuadrícula1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2">
    <w:name w:val="Sin lista692"/>
    <w:next w:val="Sinlista"/>
    <w:semiHidden/>
    <w:rsid w:val="00804DD2"/>
  </w:style>
  <w:style w:type="numbering" w:customStyle="1" w:styleId="Sinlista702">
    <w:name w:val="Sin lista702"/>
    <w:next w:val="Sinlista"/>
    <w:semiHidden/>
    <w:rsid w:val="00804DD2"/>
  </w:style>
  <w:style w:type="numbering" w:customStyle="1" w:styleId="Sinlista7112">
    <w:name w:val="Sin lista7112"/>
    <w:next w:val="Sinlista"/>
    <w:semiHidden/>
    <w:rsid w:val="00804DD2"/>
  </w:style>
  <w:style w:type="numbering" w:customStyle="1" w:styleId="Sinlista722">
    <w:name w:val="Sin lista722"/>
    <w:next w:val="Sinlista"/>
    <w:semiHidden/>
    <w:rsid w:val="00804DD2"/>
  </w:style>
  <w:style w:type="numbering" w:customStyle="1" w:styleId="Sinlista732">
    <w:name w:val="Sin lista732"/>
    <w:next w:val="Sinlista"/>
    <w:semiHidden/>
    <w:rsid w:val="00804DD2"/>
  </w:style>
  <w:style w:type="numbering" w:customStyle="1" w:styleId="Sinlista742">
    <w:name w:val="Sin lista742"/>
    <w:next w:val="Sinlista"/>
    <w:semiHidden/>
    <w:rsid w:val="00804DD2"/>
  </w:style>
  <w:style w:type="numbering" w:customStyle="1" w:styleId="Sinlista752">
    <w:name w:val="Sin lista752"/>
    <w:next w:val="Sinlista"/>
    <w:semiHidden/>
    <w:rsid w:val="00804DD2"/>
  </w:style>
  <w:style w:type="numbering" w:customStyle="1" w:styleId="Sinlista762">
    <w:name w:val="Sin lista762"/>
    <w:next w:val="Sinlista"/>
    <w:semiHidden/>
    <w:rsid w:val="00804DD2"/>
  </w:style>
  <w:style w:type="table" w:customStyle="1" w:styleId="Tablaconcuadrcula51112">
    <w:name w:val="Tabla con cuadrícula5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2">
    <w:name w:val="Sin lista772"/>
    <w:next w:val="Sinlista"/>
    <w:semiHidden/>
    <w:rsid w:val="00804DD2"/>
  </w:style>
  <w:style w:type="table" w:customStyle="1" w:styleId="Tablaconcuadrcula15112">
    <w:name w:val="Tabla con cuadrícula1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2">
    <w:name w:val="Sin lista782"/>
    <w:next w:val="Sinlista"/>
    <w:semiHidden/>
    <w:rsid w:val="00804DD2"/>
  </w:style>
  <w:style w:type="numbering" w:customStyle="1" w:styleId="Sinlista792">
    <w:name w:val="Sin lista792"/>
    <w:next w:val="Sinlista"/>
    <w:semiHidden/>
    <w:rsid w:val="00804DD2"/>
  </w:style>
  <w:style w:type="numbering" w:customStyle="1" w:styleId="Sinlista802">
    <w:name w:val="Sin lista802"/>
    <w:next w:val="Sinlista"/>
    <w:semiHidden/>
    <w:rsid w:val="00804DD2"/>
  </w:style>
  <w:style w:type="numbering" w:customStyle="1" w:styleId="Sinlista8112">
    <w:name w:val="Sin lista8112"/>
    <w:next w:val="Sinlista"/>
    <w:semiHidden/>
    <w:rsid w:val="00804DD2"/>
  </w:style>
  <w:style w:type="numbering" w:customStyle="1" w:styleId="Sinlista822">
    <w:name w:val="Sin lista822"/>
    <w:next w:val="Sinlista"/>
    <w:semiHidden/>
    <w:rsid w:val="00804DD2"/>
  </w:style>
  <w:style w:type="numbering" w:customStyle="1" w:styleId="Sinlista832">
    <w:name w:val="Sin lista832"/>
    <w:next w:val="Sinlista"/>
    <w:semiHidden/>
    <w:rsid w:val="00804DD2"/>
  </w:style>
  <w:style w:type="numbering" w:customStyle="1" w:styleId="Sinlista842">
    <w:name w:val="Sin lista842"/>
    <w:next w:val="Sinlista"/>
    <w:semiHidden/>
    <w:rsid w:val="00804DD2"/>
  </w:style>
  <w:style w:type="numbering" w:customStyle="1" w:styleId="Sinlista852">
    <w:name w:val="Sin lista852"/>
    <w:next w:val="Sinlista"/>
    <w:semiHidden/>
    <w:rsid w:val="00804DD2"/>
  </w:style>
  <w:style w:type="numbering" w:customStyle="1" w:styleId="Sinlista862">
    <w:name w:val="Sin lista862"/>
    <w:next w:val="Sinlista"/>
    <w:semiHidden/>
    <w:rsid w:val="00804DD2"/>
  </w:style>
  <w:style w:type="numbering" w:customStyle="1" w:styleId="Sinlista872">
    <w:name w:val="Sin lista872"/>
    <w:next w:val="Sinlista"/>
    <w:semiHidden/>
    <w:rsid w:val="00804DD2"/>
  </w:style>
  <w:style w:type="numbering" w:customStyle="1" w:styleId="Sinlista882">
    <w:name w:val="Sin lista882"/>
    <w:next w:val="Sinlista"/>
    <w:semiHidden/>
    <w:rsid w:val="00804DD2"/>
  </w:style>
  <w:style w:type="numbering" w:customStyle="1" w:styleId="Sinlista892">
    <w:name w:val="Sin lista892"/>
    <w:next w:val="Sinlista"/>
    <w:semiHidden/>
    <w:rsid w:val="00804DD2"/>
  </w:style>
  <w:style w:type="numbering" w:customStyle="1" w:styleId="Sinlista902">
    <w:name w:val="Sin lista902"/>
    <w:next w:val="Sinlista"/>
    <w:semiHidden/>
    <w:rsid w:val="00804DD2"/>
  </w:style>
  <w:style w:type="numbering" w:customStyle="1" w:styleId="Sinlista9112">
    <w:name w:val="Sin lista9112"/>
    <w:next w:val="Sinlista"/>
    <w:semiHidden/>
    <w:rsid w:val="00804DD2"/>
  </w:style>
  <w:style w:type="numbering" w:customStyle="1" w:styleId="Sinlista922">
    <w:name w:val="Sin lista922"/>
    <w:next w:val="Sinlista"/>
    <w:semiHidden/>
    <w:rsid w:val="00804DD2"/>
  </w:style>
  <w:style w:type="numbering" w:customStyle="1" w:styleId="Sinlista932">
    <w:name w:val="Sin lista932"/>
    <w:next w:val="Sinlista"/>
    <w:semiHidden/>
    <w:rsid w:val="00804DD2"/>
  </w:style>
  <w:style w:type="numbering" w:customStyle="1" w:styleId="Sinlista942">
    <w:name w:val="Sin lista942"/>
    <w:next w:val="Sinlista"/>
    <w:semiHidden/>
    <w:rsid w:val="00804DD2"/>
  </w:style>
  <w:style w:type="numbering" w:customStyle="1" w:styleId="Sinlista952">
    <w:name w:val="Sin lista952"/>
    <w:next w:val="Sinlista"/>
    <w:semiHidden/>
    <w:rsid w:val="00804DD2"/>
  </w:style>
  <w:style w:type="numbering" w:customStyle="1" w:styleId="Sinlista962">
    <w:name w:val="Sin lista962"/>
    <w:next w:val="Sinlista"/>
    <w:semiHidden/>
    <w:rsid w:val="00804DD2"/>
  </w:style>
  <w:style w:type="numbering" w:customStyle="1" w:styleId="Sinlista972">
    <w:name w:val="Sin lista972"/>
    <w:next w:val="Sinlista"/>
    <w:semiHidden/>
    <w:rsid w:val="00804DD2"/>
  </w:style>
  <w:style w:type="numbering" w:customStyle="1" w:styleId="Sinlista982">
    <w:name w:val="Sin lista982"/>
    <w:next w:val="Sinlista"/>
    <w:semiHidden/>
    <w:rsid w:val="00804DD2"/>
  </w:style>
  <w:style w:type="numbering" w:customStyle="1" w:styleId="Sinlista992">
    <w:name w:val="Sin lista992"/>
    <w:next w:val="Sinlista"/>
    <w:semiHidden/>
    <w:rsid w:val="00804DD2"/>
  </w:style>
  <w:style w:type="numbering" w:customStyle="1" w:styleId="Sinlista1002">
    <w:name w:val="Sin lista1002"/>
    <w:next w:val="Sinlista"/>
    <w:semiHidden/>
    <w:rsid w:val="00804DD2"/>
  </w:style>
  <w:style w:type="numbering" w:customStyle="1" w:styleId="Sinlista10112">
    <w:name w:val="Sin lista10112"/>
    <w:next w:val="Sinlista"/>
    <w:semiHidden/>
    <w:rsid w:val="00804DD2"/>
  </w:style>
  <w:style w:type="table" w:customStyle="1" w:styleId="Tablaconcuadrcula19112">
    <w:name w:val="Tabla con cuadrícula19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2">
    <w:name w:val="Sin lista1022"/>
    <w:next w:val="Sinlista"/>
    <w:semiHidden/>
    <w:rsid w:val="00804DD2"/>
  </w:style>
  <w:style w:type="numbering" w:customStyle="1" w:styleId="Sinlista1032">
    <w:name w:val="Sin lista1032"/>
    <w:next w:val="Sinlista"/>
    <w:semiHidden/>
    <w:rsid w:val="00804DD2"/>
  </w:style>
  <w:style w:type="numbering" w:customStyle="1" w:styleId="Sinlista1042">
    <w:name w:val="Sin lista1042"/>
    <w:next w:val="Sinlista"/>
    <w:semiHidden/>
    <w:rsid w:val="00804DD2"/>
  </w:style>
  <w:style w:type="numbering" w:customStyle="1" w:styleId="Sinlista1052">
    <w:name w:val="Sin lista1052"/>
    <w:next w:val="Sinlista"/>
    <w:semiHidden/>
    <w:rsid w:val="00804DD2"/>
  </w:style>
  <w:style w:type="numbering" w:customStyle="1" w:styleId="Sinlista1062">
    <w:name w:val="Sin lista1062"/>
    <w:next w:val="Sinlista"/>
    <w:semiHidden/>
    <w:rsid w:val="00804DD2"/>
  </w:style>
  <w:style w:type="numbering" w:customStyle="1" w:styleId="Sinlista1072">
    <w:name w:val="Sin lista1072"/>
    <w:next w:val="Sinlista"/>
    <w:semiHidden/>
    <w:rsid w:val="00804DD2"/>
  </w:style>
  <w:style w:type="numbering" w:customStyle="1" w:styleId="Sinlista1082">
    <w:name w:val="Sin lista1082"/>
    <w:next w:val="Sinlista"/>
    <w:semiHidden/>
    <w:rsid w:val="00804DD2"/>
  </w:style>
  <w:style w:type="numbering" w:customStyle="1" w:styleId="Sinlista1092">
    <w:name w:val="Sin lista1092"/>
    <w:next w:val="Sinlista"/>
    <w:semiHidden/>
    <w:rsid w:val="00804DD2"/>
  </w:style>
  <w:style w:type="numbering" w:customStyle="1" w:styleId="Sinlista11012">
    <w:name w:val="Sin lista11012"/>
    <w:next w:val="Sinlista"/>
    <w:semiHidden/>
    <w:rsid w:val="00804DD2"/>
  </w:style>
  <w:style w:type="numbering" w:customStyle="1" w:styleId="Sinlista11112">
    <w:name w:val="Sin lista11112"/>
    <w:next w:val="Sinlista"/>
    <w:semiHidden/>
    <w:rsid w:val="00804DD2"/>
  </w:style>
  <w:style w:type="numbering" w:customStyle="1" w:styleId="Sinlista1122">
    <w:name w:val="Sin lista1122"/>
    <w:next w:val="Sinlista"/>
    <w:semiHidden/>
    <w:rsid w:val="00804DD2"/>
  </w:style>
  <w:style w:type="table" w:customStyle="1" w:styleId="Tablaconcuadrcula21112">
    <w:name w:val="Tabla con cuadrícula21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2">
    <w:name w:val="Sin lista1132"/>
    <w:next w:val="Sinlista"/>
    <w:semiHidden/>
    <w:rsid w:val="00804DD2"/>
  </w:style>
  <w:style w:type="numbering" w:customStyle="1" w:styleId="Sinlista1142">
    <w:name w:val="Sin lista1142"/>
    <w:next w:val="Sinlista"/>
    <w:semiHidden/>
    <w:rsid w:val="00804DD2"/>
  </w:style>
  <w:style w:type="numbering" w:customStyle="1" w:styleId="Sinlista1152">
    <w:name w:val="Sin lista1152"/>
    <w:next w:val="Sinlista"/>
    <w:semiHidden/>
    <w:rsid w:val="00804DD2"/>
  </w:style>
  <w:style w:type="numbering" w:customStyle="1" w:styleId="Sinlista1162">
    <w:name w:val="Sin lista1162"/>
    <w:next w:val="Sinlista"/>
    <w:semiHidden/>
    <w:rsid w:val="00804DD2"/>
  </w:style>
  <w:style w:type="numbering" w:customStyle="1" w:styleId="Sinlista1172">
    <w:name w:val="Sin lista1172"/>
    <w:next w:val="Sinlista"/>
    <w:semiHidden/>
    <w:rsid w:val="00804DD2"/>
  </w:style>
  <w:style w:type="numbering" w:customStyle="1" w:styleId="Sinlista1182">
    <w:name w:val="Sin lista1182"/>
    <w:next w:val="Sinlista"/>
    <w:semiHidden/>
    <w:rsid w:val="00804DD2"/>
  </w:style>
  <w:style w:type="numbering" w:customStyle="1" w:styleId="Sinlista1192">
    <w:name w:val="Sin lista1192"/>
    <w:next w:val="Sinlista"/>
    <w:semiHidden/>
    <w:rsid w:val="00804DD2"/>
  </w:style>
  <w:style w:type="table" w:customStyle="1" w:styleId="Tablaconcuadrcula22112">
    <w:name w:val="Tabla con cuadrícula22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2">
    <w:name w:val="Sin lista1202"/>
    <w:next w:val="Sinlista"/>
    <w:semiHidden/>
    <w:rsid w:val="00804DD2"/>
  </w:style>
  <w:style w:type="numbering" w:customStyle="1" w:styleId="Sinlista12112">
    <w:name w:val="Sin lista12112"/>
    <w:next w:val="Sinlista"/>
    <w:semiHidden/>
    <w:rsid w:val="00804DD2"/>
  </w:style>
  <w:style w:type="numbering" w:customStyle="1" w:styleId="Sinlista1222">
    <w:name w:val="Sin lista1222"/>
    <w:next w:val="Sinlista"/>
    <w:semiHidden/>
    <w:rsid w:val="00804DD2"/>
  </w:style>
  <w:style w:type="numbering" w:customStyle="1" w:styleId="Sinlista1232">
    <w:name w:val="Sin lista1232"/>
    <w:next w:val="Sinlista"/>
    <w:semiHidden/>
    <w:rsid w:val="00804DD2"/>
  </w:style>
  <w:style w:type="numbering" w:customStyle="1" w:styleId="Sinlista1242">
    <w:name w:val="Sin lista1242"/>
    <w:next w:val="Sinlista"/>
    <w:semiHidden/>
    <w:rsid w:val="00804DD2"/>
  </w:style>
  <w:style w:type="table" w:customStyle="1" w:styleId="Tablaconcuadrcula23112">
    <w:name w:val="Tabla con cuadrícula23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2">
    <w:name w:val="Sin lista1252"/>
    <w:next w:val="Sinlista"/>
    <w:semiHidden/>
    <w:rsid w:val="00804DD2"/>
  </w:style>
  <w:style w:type="numbering" w:customStyle="1" w:styleId="Sinlista1262">
    <w:name w:val="Sin lista1262"/>
    <w:next w:val="Sinlista"/>
    <w:semiHidden/>
    <w:rsid w:val="00804DD2"/>
  </w:style>
  <w:style w:type="numbering" w:customStyle="1" w:styleId="Sinlista1272">
    <w:name w:val="Sin lista1272"/>
    <w:next w:val="Sinlista"/>
    <w:semiHidden/>
    <w:rsid w:val="00804DD2"/>
  </w:style>
  <w:style w:type="numbering" w:customStyle="1" w:styleId="Sinlista1282">
    <w:name w:val="Sin lista1282"/>
    <w:next w:val="Sinlista"/>
    <w:semiHidden/>
    <w:rsid w:val="00804DD2"/>
  </w:style>
  <w:style w:type="numbering" w:customStyle="1" w:styleId="Sinlista1292">
    <w:name w:val="Sin lista1292"/>
    <w:next w:val="Sinlista"/>
    <w:semiHidden/>
    <w:rsid w:val="00804DD2"/>
  </w:style>
  <w:style w:type="numbering" w:customStyle="1" w:styleId="Sinlista1302">
    <w:name w:val="Sin lista1302"/>
    <w:next w:val="Sinlista"/>
    <w:semiHidden/>
    <w:rsid w:val="00804DD2"/>
  </w:style>
  <w:style w:type="numbering" w:customStyle="1" w:styleId="Sinlista13112">
    <w:name w:val="Sin lista13112"/>
    <w:next w:val="Sinlista"/>
    <w:semiHidden/>
    <w:rsid w:val="00804DD2"/>
  </w:style>
  <w:style w:type="numbering" w:customStyle="1" w:styleId="Sinlista1322">
    <w:name w:val="Sin lista1322"/>
    <w:next w:val="Sinlista"/>
    <w:semiHidden/>
    <w:rsid w:val="00804DD2"/>
  </w:style>
  <w:style w:type="numbering" w:customStyle="1" w:styleId="Sinlista1332">
    <w:name w:val="Sin lista1332"/>
    <w:next w:val="Sinlista"/>
    <w:semiHidden/>
    <w:rsid w:val="00804DD2"/>
  </w:style>
  <w:style w:type="numbering" w:customStyle="1" w:styleId="Sinlista1342">
    <w:name w:val="Sin lista1342"/>
    <w:next w:val="Sinlista"/>
    <w:semiHidden/>
    <w:rsid w:val="00804DD2"/>
  </w:style>
  <w:style w:type="numbering" w:customStyle="1" w:styleId="Sinlista1352">
    <w:name w:val="Sin lista1352"/>
    <w:next w:val="Sinlista"/>
    <w:semiHidden/>
    <w:rsid w:val="00804DD2"/>
  </w:style>
  <w:style w:type="numbering" w:customStyle="1" w:styleId="Sinlista1362">
    <w:name w:val="Sin lista1362"/>
    <w:next w:val="Sinlista"/>
    <w:semiHidden/>
    <w:rsid w:val="00804DD2"/>
  </w:style>
  <w:style w:type="numbering" w:customStyle="1" w:styleId="Sinlista1372">
    <w:name w:val="Sin lista1372"/>
    <w:next w:val="Sinlista"/>
    <w:semiHidden/>
    <w:rsid w:val="00804DD2"/>
  </w:style>
  <w:style w:type="table" w:customStyle="1" w:styleId="Tablaconcuadrcula25112">
    <w:name w:val="Tabla con cuadrícula25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2">
    <w:name w:val="Sin lista1382"/>
    <w:next w:val="Sinlista"/>
    <w:semiHidden/>
    <w:rsid w:val="00804DD2"/>
  </w:style>
  <w:style w:type="numbering" w:customStyle="1" w:styleId="Sinlista1392">
    <w:name w:val="Sin lista1392"/>
    <w:next w:val="Sinlista"/>
    <w:semiHidden/>
    <w:rsid w:val="00804DD2"/>
  </w:style>
  <w:style w:type="numbering" w:customStyle="1" w:styleId="Sinlista1402">
    <w:name w:val="Sin lista1402"/>
    <w:next w:val="Sinlista"/>
    <w:semiHidden/>
    <w:rsid w:val="00804DD2"/>
  </w:style>
  <w:style w:type="numbering" w:customStyle="1" w:styleId="Sinlista14112">
    <w:name w:val="Sin lista14112"/>
    <w:next w:val="Sinlista"/>
    <w:semiHidden/>
    <w:rsid w:val="00804DD2"/>
  </w:style>
  <w:style w:type="numbering" w:customStyle="1" w:styleId="Sinlista1422">
    <w:name w:val="Sin lista1422"/>
    <w:next w:val="Sinlista"/>
    <w:semiHidden/>
    <w:rsid w:val="00804DD2"/>
  </w:style>
  <w:style w:type="numbering" w:customStyle="1" w:styleId="Sinlista1432">
    <w:name w:val="Sin lista1432"/>
    <w:next w:val="Sinlista"/>
    <w:semiHidden/>
    <w:rsid w:val="00804DD2"/>
  </w:style>
  <w:style w:type="table" w:customStyle="1" w:styleId="Tablaconcuadrcula26112">
    <w:name w:val="Tabla con cuadrícula26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2">
    <w:name w:val="Sin lista1442"/>
    <w:next w:val="Sinlista"/>
    <w:semiHidden/>
    <w:rsid w:val="00804DD2"/>
  </w:style>
  <w:style w:type="numbering" w:customStyle="1" w:styleId="Sinlista1452">
    <w:name w:val="Sin lista1452"/>
    <w:next w:val="Sinlista"/>
    <w:semiHidden/>
    <w:rsid w:val="00804DD2"/>
  </w:style>
  <w:style w:type="numbering" w:customStyle="1" w:styleId="Sinlista1462">
    <w:name w:val="Sin lista1462"/>
    <w:next w:val="Sinlista"/>
    <w:semiHidden/>
    <w:rsid w:val="00804DD2"/>
  </w:style>
  <w:style w:type="numbering" w:customStyle="1" w:styleId="Sinlista1472">
    <w:name w:val="Sin lista1472"/>
    <w:next w:val="Sinlista"/>
    <w:semiHidden/>
    <w:rsid w:val="00804DD2"/>
  </w:style>
  <w:style w:type="table" w:customStyle="1" w:styleId="Tablaconcuadrcula27112">
    <w:name w:val="Tabla con cuadrícula27112"/>
    <w:basedOn w:val="Tablanormal"/>
    <w:next w:val="Tablaconcuadrcula"/>
    <w:rsid w:val="00804D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2">
    <w:name w:val="Sin lista1482"/>
    <w:next w:val="Sinlista"/>
    <w:semiHidden/>
    <w:rsid w:val="00804DD2"/>
  </w:style>
  <w:style w:type="numbering" w:customStyle="1" w:styleId="Sinlista1492">
    <w:name w:val="Sin lista1492"/>
    <w:next w:val="Sinlista"/>
    <w:semiHidden/>
    <w:rsid w:val="00804DD2"/>
  </w:style>
  <w:style w:type="numbering" w:customStyle="1" w:styleId="Sinlista1502">
    <w:name w:val="Sin lista1502"/>
    <w:next w:val="Sinlista"/>
    <w:semiHidden/>
    <w:rsid w:val="00804DD2"/>
  </w:style>
  <w:style w:type="numbering" w:customStyle="1" w:styleId="Sinlista15112">
    <w:name w:val="Sin lista15112"/>
    <w:next w:val="Sinlista"/>
    <w:semiHidden/>
    <w:rsid w:val="00804DD2"/>
  </w:style>
  <w:style w:type="numbering" w:customStyle="1" w:styleId="Sinlista1522">
    <w:name w:val="Sin lista1522"/>
    <w:next w:val="Sinlista"/>
    <w:semiHidden/>
    <w:rsid w:val="00804DD2"/>
  </w:style>
  <w:style w:type="numbering" w:customStyle="1" w:styleId="Sinlista1532">
    <w:name w:val="Sin lista1532"/>
    <w:next w:val="Sinlista"/>
    <w:semiHidden/>
    <w:rsid w:val="00804DD2"/>
  </w:style>
  <w:style w:type="numbering" w:customStyle="1" w:styleId="Sinlista1542">
    <w:name w:val="Sin lista1542"/>
    <w:next w:val="Sinlista"/>
    <w:semiHidden/>
    <w:rsid w:val="00804DD2"/>
  </w:style>
  <w:style w:type="numbering" w:customStyle="1" w:styleId="Sinlista1552">
    <w:name w:val="Sin lista1552"/>
    <w:next w:val="Sinlista"/>
    <w:semiHidden/>
    <w:rsid w:val="00804DD2"/>
  </w:style>
  <w:style w:type="numbering" w:customStyle="1" w:styleId="Sinlista163">
    <w:name w:val="Sin lista163"/>
    <w:next w:val="Sinlista"/>
    <w:semiHidden/>
    <w:rsid w:val="00904BA1"/>
  </w:style>
  <w:style w:type="table" w:customStyle="1" w:styleId="Tablaconcuadrcula286">
    <w:name w:val="Tabla con cuadrícula286"/>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3">
    <w:name w:val="Tabla con cuadrícula1603"/>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4">
    <w:name w:val="Tabla con cuadrícula21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4">
    <w:name w:val="Tabla con cuadrícula22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4">
    <w:name w:val="Tabla con cuadrícula2314"/>
    <w:basedOn w:val="Tablanormal"/>
    <w:next w:val="Tablaconcuadrcula"/>
    <w:rsid w:val="00904BA1"/>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4">
    <w:name w:val="Sin lista164"/>
    <w:next w:val="Sinlista"/>
    <w:semiHidden/>
    <w:unhideWhenUsed/>
    <w:rsid w:val="00904BA1"/>
  </w:style>
  <w:style w:type="numbering" w:customStyle="1" w:styleId="Sinlista214">
    <w:name w:val="Sin lista214"/>
    <w:next w:val="Sinlista"/>
    <w:semiHidden/>
    <w:unhideWhenUsed/>
    <w:rsid w:val="00904BA1"/>
  </w:style>
  <w:style w:type="table" w:customStyle="1" w:styleId="Tablabsica13">
    <w:name w:val="Tabla básica 13"/>
    <w:basedOn w:val="Tablanormal"/>
    <w:next w:val="Tablabsica1"/>
    <w:rsid w:val="00904BA1"/>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4">
    <w:name w:val="Sin lista1114"/>
    <w:next w:val="Sinlista"/>
    <w:semiHidden/>
    <w:rsid w:val="00904BA1"/>
  </w:style>
  <w:style w:type="table" w:customStyle="1" w:styleId="Tablaconcuadrcula1114">
    <w:name w:val="Tabla con cuadrícula11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0">
    <w:name w:val="Tabla con cuadrícula 135"/>
    <w:basedOn w:val="Tablanormal"/>
    <w:next w:val="Tablaconcuadrcula10"/>
    <w:rsid w:val="00904BA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4">
    <w:name w:val="Tabla con cuadrícula19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3">
    <w:name w:val="Tabla con cuadrícula293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4">
    <w:name w:val="Tabla con cuadrícula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4">
    <w:name w:val="Sin lista314"/>
    <w:next w:val="Sinlista"/>
    <w:semiHidden/>
    <w:unhideWhenUsed/>
    <w:rsid w:val="00904BA1"/>
  </w:style>
  <w:style w:type="table" w:customStyle="1" w:styleId="Tablaconcuadrcula1823">
    <w:name w:val="Tabla con cuadrícula18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5">
    <w:name w:val="Tabla con cuadrícula515"/>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4">
    <w:name w:val="Sin lista414"/>
    <w:next w:val="Sinlista"/>
    <w:semiHidden/>
    <w:rsid w:val="00904BA1"/>
  </w:style>
  <w:style w:type="numbering" w:customStyle="1" w:styleId="Sinlista514">
    <w:name w:val="Sin lista514"/>
    <w:next w:val="Sinlista"/>
    <w:semiHidden/>
    <w:unhideWhenUsed/>
    <w:rsid w:val="00904BA1"/>
  </w:style>
  <w:style w:type="numbering" w:customStyle="1" w:styleId="Sinlista1214">
    <w:name w:val="Sin lista1214"/>
    <w:next w:val="Sinlista"/>
    <w:semiHidden/>
    <w:rsid w:val="00904BA1"/>
  </w:style>
  <w:style w:type="numbering" w:customStyle="1" w:styleId="Sinlista614">
    <w:name w:val="Sin lista614"/>
    <w:next w:val="Sinlista"/>
    <w:semiHidden/>
    <w:unhideWhenUsed/>
    <w:rsid w:val="00904BA1"/>
  </w:style>
  <w:style w:type="numbering" w:customStyle="1" w:styleId="Sinlista714">
    <w:name w:val="Sin lista714"/>
    <w:next w:val="Sinlista"/>
    <w:semiHidden/>
    <w:unhideWhenUsed/>
    <w:rsid w:val="00904BA1"/>
  </w:style>
  <w:style w:type="table" w:customStyle="1" w:styleId="Tablaconcuadrcula1214">
    <w:name w:val="Tabla con cuadrícula121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4">
    <w:name w:val="Sin lista814"/>
    <w:next w:val="Sinlista"/>
    <w:semiHidden/>
    <w:unhideWhenUsed/>
    <w:rsid w:val="00904BA1"/>
  </w:style>
  <w:style w:type="numbering" w:customStyle="1" w:styleId="Sinlista914">
    <w:name w:val="Sin lista914"/>
    <w:next w:val="Sinlista"/>
    <w:semiHidden/>
    <w:rsid w:val="00904BA1"/>
  </w:style>
  <w:style w:type="numbering" w:customStyle="1" w:styleId="Sinlista1014">
    <w:name w:val="Sin lista1014"/>
    <w:next w:val="Sinlista"/>
    <w:semiHidden/>
    <w:unhideWhenUsed/>
    <w:rsid w:val="00904BA1"/>
  </w:style>
  <w:style w:type="numbering" w:customStyle="1" w:styleId="Sinlista1314">
    <w:name w:val="Sin lista1314"/>
    <w:next w:val="Sinlista"/>
    <w:semiHidden/>
    <w:rsid w:val="00904BA1"/>
  </w:style>
  <w:style w:type="table" w:customStyle="1" w:styleId="Tablaconcuadrcula523">
    <w:name w:val="Tabla con cuadrícula52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4">
    <w:name w:val="Tabla con cuadrícula1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4">
    <w:name w:val="Sin lista1414"/>
    <w:next w:val="Sinlista"/>
    <w:semiHidden/>
    <w:rsid w:val="00904BA1"/>
  </w:style>
  <w:style w:type="numbering" w:customStyle="1" w:styleId="Sinlista1513">
    <w:name w:val="Sin lista1513"/>
    <w:next w:val="Sinlista"/>
    <w:semiHidden/>
    <w:rsid w:val="00904BA1"/>
  </w:style>
  <w:style w:type="numbering" w:customStyle="1" w:styleId="Sinlista165">
    <w:name w:val="Sin lista165"/>
    <w:next w:val="Sinlista"/>
    <w:semiHidden/>
    <w:rsid w:val="00904BA1"/>
  </w:style>
  <w:style w:type="table" w:customStyle="1" w:styleId="Tablaconcuadrcula1914">
    <w:name w:val="Tabla con cuadrícula19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3">
    <w:name w:val="Sin lista173"/>
    <w:next w:val="Sinlista"/>
    <w:semiHidden/>
    <w:rsid w:val="00904BA1"/>
  </w:style>
  <w:style w:type="numbering" w:customStyle="1" w:styleId="Sinlista183">
    <w:name w:val="Sin lista183"/>
    <w:next w:val="Sinlista"/>
    <w:semiHidden/>
    <w:rsid w:val="00904BA1"/>
  </w:style>
  <w:style w:type="table" w:customStyle="1" w:styleId="Tablaconcuadrcula1104">
    <w:name w:val="Tabla con cuadrícula1104"/>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
    <w:name w:val="1 / 1.1 / 1.1.14"/>
    <w:basedOn w:val="Sinlista"/>
    <w:next w:val="111111"/>
    <w:rsid w:val="00904BA1"/>
  </w:style>
  <w:style w:type="numbering" w:customStyle="1" w:styleId="Sinlista193">
    <w:name w:val="Sin lista193"/>
    <w:next w:val="Sinlista"/>
    <w:semiHidden/>
    <w:unhideWhenUsed/>
    <w:rsid w:val="00904BA1"/>
  </w:style>
  <w:style w:type="table" w:customStyle="1" w:styleId="Tablaconcuadrcula2073">
    <w:name w:val="Tabla con cuadrícula207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3">
    <w:name w:val="1 / 1.1 / 1.1.113"/>
    <w:basedOn w:val="Sinlista"/>
    <w:next w:val="111111"/>
    <w:rsid w:val="00904BA1"/>
  </w:style>
  <w:style w:type="table" w:customStyle="1" w:styleId="Tablaconcuadrcula2514">
    <w:name w:val="Tabla con cuadrícula25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4">
    <w:name w:val="Tabla con cuadrícula2614"/>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
    <w:name w:val="1 / 1.1 / 1.1.1111"/>
    <w:basedOn w:val="Sinlista"/>
    <w:next w:val="111111"/>
    <w:rsid w:val="00904BA1"/>
  </w:style>
  <w:style w:type="numbering" w:customStyle="1" w:styleId="Sinlista203">
    <w:name w:val="Sin lista203"/>
    <w:next w:val="Sinlista"/>
    <w:semiHidden/>
    <w:rsid w:val="00904BA1"/>
  </w:style>
  <w:style w:type="table" w:customStyle="1" w:styleId="Tablaconcuadrcula2714">
    <w:name w:val="Tabla con cuadrícula2714"/>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3">
    <w:name w:val="Tabla con cuadrícula16013"/>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5">
    <w:name w:val="Tabla con cuadrícula21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5">
    <w:name w:val="Tabla con cuadrícula22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5">
    <w:name w:val="Tabla con cuadrícula2315"/>
    <w:basedOn w:val="Tablanormal"/>
    <w:next w:val="Tablaconcuadrcula"/>
    <w:rsid w:val="00904BA1"/>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3">
    <w:name w:val="Sin lista1103"/>
    <w:next w:val="Sinlista"/>
    <w:semiHidden/>
    <w:unhideWhenUsed/>
    <w:rsid w:val="00904BA1"/>
  </w:style>
  <w:style w:type="numbering" w:customStyle="1" w:styleId="Sinlista215">
    <w:name w:val="Sin lista215"/>
    <w:next w:val="Sinlista"/>
    <w:semiHidden/>
    <w:unhideWhenUsed/>
    <w:rsid w:val="00904BA1"/>
  </w:style>
  <w:style w:type="table" w:customStyle="1" w:styleId="Tablabsica113">
    <w:name w:val="Tabla básica 113"/>
    <w:basedOn w:val="Tablanormal"/>
    <w:next w:val="Tablabsica1"/>
    <w:rsid w:val="00904BA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5">
    <w:name w:val="Sin lista1115"/>
    <w:next w:val="Sinlista"/>
    <w:semiHidden/>
    <w:rsid w:val="00904BA1"/>
  </w:style>
  <w:style w:type="table" w:customStyle="1" w:styleId="Tablaconcuadrcula1115">
    <w:name w:val="Tabla con cuadrícula11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0">
    <w:name w:val="Tabla con cuadrícula 1112"/>
    <w:basedOn w:val="Tablanormal"/>
    <w:next w:val="Tablaconcuadrcula10"/>
    <w:rsid w:val="00904BA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3">
    <w:name w:val="Tabla con cuadrícula1902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3">
    <w:name w:val="Tabla con cuadrícula293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5">
    <w:name w:val="Tabla con cuadrícula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5">
    <w:name w:val="Sin lista315"/>
    <w:next w:val="Sinlista"/>
    <w:semiHidden/>
    <w:unhideWhenUsed/>
    <w:rsid w:val="00904BA1"/>
  </w:style>
  <w:style w:type="table" w:customStyle="1" w:styleId="Tablaconcuadrcula18213">
    <w:name w:val="Tabla con cuadrícula18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3">
    <w:name w:val="Tabla con cuadrícula51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5">
    <w:name w:val="Sin lista415"/>
    <w:next w:val="Sinlista"/>
    <w:semiHidden/>
    <w:rsid w:val="00904BA1"/>
  </w:style>
  <w:style w:type="numbering" w:customStyle="1" w:styleId="Sinlista515">
    <w:name w:val="Sin lista515"/>
    <w:next w:val="Sinlista"/>
    <w:semiHidden/>
    <w:unhideWhenUsed/>
    <w:rsid w:val="00904BA1"/>
  </w:style>
  <w:style w:type="numbering" w:customStyle="1" w:styleId="Sinlista1215">
    <w:name w:val="Sin lista1215"/>
    <w:next w:val="Sinlista"/>
    <w:semiHidden/>
    <w:rsid w:val="00904BA1"/>
  </w:style>
  <w:style w:type="numbering" w:customStyle="1" w:styleId="Sinlista615">
    <w:name w:val="Sin lista615"/>
    <w:next w:val="Sinlista"/>
    <w:semiHidden/>
    <w:unhideWhenUsed/>
    <w:rsid w:val="00904BA1"/>
  </w:style>
  <w:style w:type="numbering" w:customStyle="1" w:styleId="Sinlista715">
    <w:name w:val="Sin lista715"/>
    <w:next w:val="Sinlista"/>
    <w:semiHidden/>
    <w:unhideWhenUsed/>
    <w:rsid w:val="00904BA1"/>
  </w:style>
  <w:style w:type="table" w:customStyle="1" w:styleId="Tablaconcuadrcula1215">
    <w:name w:val="Tabla con cuadrícula1215"/>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5">
    <w:name w:val="Sin lista815"/>
    <w:next w:val="Sinlista"/>
    <w:semiHidden/>
    <w:unhideWhenUsed/>
    <w:rsid w:val="00904BA1"/>
  </w:style>
  <w:style w:type="numbering" w:customStyle="1" w:styleId="Sinlista915">
    <w:name w:val="Sin lista915"/>
    <w:next w:val="Sinlista"/>
    <w:semiHidden/>
    <w:rsid w:val="00904BA1"/>
  </w:style>
  <w:style w:type="numbering" w:customStyle="1" w:styleId="Sinlista1015">
    <w:name w:val="Sin lista1015"/>
    <w:next w:val="Sinlista"/>
    <w:semiHidden/>
    <w:unhideWhenUsed/>
    <w:rsid w:val="00904BA1"/>
  </w:style>
  <w:style w:type="numbering" w:customStyle="1" w:styleId="Sinlista1315">
    <w:name w:val="Sin lista1315"/>
    <w:next w:val="Sinlista"/>
    <w:semiHidden/>
    <w:rsid w:val="00904BA1"/>
  </w:style>
  <w:style w:type="table" w:customStyle="1" w:styleId="Tablaconcuadrcula5213">
    <w:name w:val="Tabla con cuadrícula52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5">
    <w:name w:val="Tabla con cuadrícula1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5">
    <w:name w:val="Sin lista1415"/>
    <w:next w:val="Sinlista"/>
    <w:semiHidden/>
    <w:rsid w:val="00904BA1"/>
  </w:style>
  <w:style w:type="numbering" w:customStyle="1" w:styleId="Sinlista1514">
    <w:name w:val="Sin lista1514"/>
    <w:next w:val="Sinlista"/>
    <w:semiHidden/>
    <w:rsid w:val="00904BA1"/>
  </w:style>
  <w:style w:type="numbering" w:customStyle="1" w:styleId="Sinlista1613">
    <w:name w:val="Sin lista1613"/>
    <w:next w:val="Sinlista"/>
    <w:semiHidden/>
    <w:rsid w:val="00904BA1"/>
  </w:style>
  <w:style w:type="table" w:customStyle="1" w:styleId="Tablaconcuadrcula1915">
    <w:name w:val="Tabla con cuadrícula19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3">
    <w:name w:val="Sin lista1713"/>
    <w:next w:val="Sinlista"/>
    <w:semiHidden/>
    <w:rsid w:val="00904BA1"/>
  </w:style>
  <w:style w:type="numbering" w:customStyle="1" w:styleId="Sinlista1813">
    <w:name w:val="Sin lista1813"/>
    <w:next w:val="Sinlista"/>
    <w:semiHidden/>
    <w:rsid w:val="00904BA1"/>
  </w:style>
  <w:style w:type="numbering" w:customStyle="1" w:styleId="11111122">
    <w:name w:val="1 / 1.1 / 1.1.122"/>
    <w:basedOn w:val="Sinlista"/>
    <w:next w:val="111111"/>
    <w:rsid w:val="00904BA1"/>
  </w:style>
  <w:style w:type="numbering" w:customStyle="1" w:styleId="Sinlista1913">
    <w:name w:val="Sin lista1913"/>
    <w:next w:val="Sinlista"/>
    <w:semiHidden/>
    <w:unhideWhenUsed/>
    <w:rsid w:val="00904BA1"/>
  </w:style>
  <w:style w:type="table" w:customStyle="1" w:styleId="Tablaconcuadrcula20713">
    <w:name w:val="Tabla con cuadrícula20713"/>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5">
    <w:name w:val="Tabla con cuadrícula25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5">
    <w:name w:val="Tabla con cuadrícula2615"/>
    <w:basedOn w:val="Tablanormal"/>
    <w:next w:val="Tablaconcuadrcula"/>
    <w:rsid w:val="00904B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5">
    <w:name w:val="Tabla con cuadrícula2715"/>
    <w:basedOn w:val="Tablanormal"/>
    <w:next w:val="Tablaconcuadrcula"/>
    <w:rsid w:val="00904BA1"/>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3">
    <w:name w:val="Sin lista2013"/>
    <w:next w:val="Sinlista"/>
    <w:semiHidden/>
    <w:rsid w:val="00904BA1"/>
  </w:style>
  <w:style w:type="numbering" w:customStyle="1" w:styleId="Sinlista2113">
    <w:name w:val="Sin lista2113"/>
    <w:next w:val="Sinlista"/>
    <w:semiHidden/>
    <w:rsid w:val="00904BA1"/>
  </w:style>
  <w:style w:type="numbering" w:customStyle="1" w:styleId="Sinlista223">
    <w:name w:val="Sin lista223"/>
    <w:next w:val="Sinlista"/>
    <w:semiHidden/>
    <w:rsid w:val="00904BA1"/>
  </w:style>
  <w:style w:type="numbering" w:customStyle="1" w:styleId="Sinlista233">
    <w:name w:val="Sin lista233"/>
    <w:next w:val="Sinlista"/>
    <w:semiHidden/>
    <w:rsid w:val="00904BA1"/>
  </w:style>
  <w:style w:type="numbering" w:customStyle="1" w:styleId="Sinlista243">
    <w:name w:val="Sin lista243"/>
    <w:next w:val="Sinlista"/>
    <w:semiHidden/>
    <w:rsid w:val="00904BA1"/>
  </w:style>
  <w:style w:type="numbering" w:customStyle="1" w:styleId="Sinlista253">
    <w:name w:val="Sin lista253"/>
    <w:next w:val="Sinlista"/>
    <w:semiHidden/>
    <w:rsid w:val="00904BA1"/>
  </w:style>
  <w:style w:type="numbering" w:customStyle="1" w:styleId="Sinlista263">
    <w:name w:val="Sin lista263"/>
    <w:next w:val="Sinlista"/>
    <w:semiHidden/>
    <w:rsid w:val="00904BA1"/>
  </w:style>
  <w:style w:type="numbering" w:customStyle="1" w:styleId="Sinlista273">
    <w:name w:val="Sin lista273"/>
    <w:next w:val="Sinlista"/>
    <w:semiHidden/>
    <w:rsid w:val="00904BA1"/>
  </w:style>
  <w:style w:type="numbering" w:customStyle="1" w:styleId="Sinlista283">
    <w:name w:val="Sin lista283"/>
    <w:next w:val="Sinlista"/>
    <w:semiHidden/>
    <w:rsid w:val="00904BA1"/>
  </w:style>
  <w:style w:type="numbering" w:customStyle="1" w:styleId="Sinlista293">
    <w:name w:val="Sin lista293"/>
    <w:next w:val="Sinlista"/>
    <w:semiHidden/>
    <w:rsid w:val="00904BA1"/>
  </w:style>
  <w:style w:type="numbering" w:customStyle="1" w:styleId="Sinlista303">
    <w:name w:val="Sin lista303"/>
    <w:next w:val="Sinlista"/>
    <w:semiHidden/>
    <w:rsid w:val="00904BA1"/>
  </w:style>
  <w:style w:type="numbering" w:customStyle="1" w:styleId="Sinlista3113">
    <w:name w:val="Sin lista3113"/>
    <w:next w:val="Sinlista"/>
    <w:semiHidden/>
    <w:rsid w:val="00904BA1"/>
  </w:style>
  <w:style w:type="table" w:customStyle="1" w:styleId="Tablaconcuadrcula6113">
    <w:name w:val="Tabla con cuadrícula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3">
    <w:name w:val="Sin lista323"/>
    <w:next w:val="Sinlista"/>
    <w:semiHidden/>
    <w:rsid w:val="00904BA1"/>
  </w:style>
  <w:style w:type="numbering" w:customStyle="1" w:styleId="Sinlista333">
    <w:name w:val="Sin lista333"/>
    <w:next w:val="Sinlista"/>
    <w:semiHidden/>
    <w:unhideWhenUsed/>
    <w:rsid w:val="00904BA1"/>
  </w:style>
  <w:style w:type="numbering" w:customStyle="1" w:styleId="Sinlista343">
    <w:name w:val="Sin lista343"/>
    <w:next w:val="Sinlista"/>
    <w:semiHidden/>
    <w:rsid w:val="00904BA1"/>
  </w:style>
  <w:style w:type="numbering" w:customStyle="1" w:styleId="Sinlista353">
    <w:name w:val="Sin lista353"/>
    <w:next w:val="Sinlista"/>
    <w:semiHidden/>
    <w:rsid w:val="00904BA1"/>
  </w:style>
  <w:style w:type="numbering" w:customStyle="1" w:styleId="Sinlista363">
    <w:name w:val="Sin lista363"/>
    <w:next w:val="Sinlista"/>
    <w:semiHidden/>
    <w:rsid w:val="00904BA1"/>
  </w:style>
  <w:style w:type="numbering" w:customStyle="1" w:styleId="Sinlista373">
    <w:name w:val="Sin lista373"/>
    <w:next w:val="Sinlista"/>
    <w:semiHidden/>
    <w:rsid w:val="00904BA1"/>
  </w:style>
  <w:style w:type="numbering" w:customStyle="1" w:styleId="Sinlista383">
    <w:name w:val="Sin lista383"/>
    <w:next w:val="Sinlista"/>
    <w:semiHidden/>
    <w:rsid w:val="00904BA1"/>
  </w:style>
  <w:style w:type="numbering" w:customStyle="1" w:styleId="Sinlista393">
    <w:name w:val="Sin lista393"/>
    <w:next w:val="Sinlista"/>
    <w:semiHidden/>
    <w:rsid w:val="00904BA1"/>
  </w:style>
  <w:style w:type="numbering" w:customStyle="1" w:styleId="Sinlista403">
    <w:name w:val="Sin lista403"/>
    <w:next w:val="Sinlista"/>
    <w:semiHidden/>
    <w:rsid w:val="00904BA1"/>
  </w:style>
  <w:style w:type="numbering" w:customStyle="1" w:styleId="Sinlista4113">
    <w:name w:val="Sin lista4113"/>
    <w:next w:val="Sinlista"/>
    <w:semiHidden/>
    <w:rsid w:val="00904BA1"/>
  </w:style>
  <w:style w:type="numbering" w:customStyle="1" w:styleId="Sinlista423">
    <w:name w:val="Sin lista423"/>
    <w:next w:val="Sinlista"/>
    <w:semiHidden/>
    <w:rsid w:val="00904BA1"/>
  </w:style>
  <w:style w:type="numbering" w:customStyle="1" w:styleId="Sinlista433">
    <w:name w:val="Sin lista433"/>
    <w:next w:val="Sinlista"/>
    <w:semiHidden/>
    <w:rsid w:val="00904BA1"/>
  </w:style>
  <w:style w:type="numbering" w:customStyle="1" w:styleId="Sinlista443">
    <w:name w:val="Sin lista443"/>
    <w:next w:val="Sinlista"/>
    <w:semiHidden/>
    <w:rsid w:val="00904BA1"/>
  </w:style>
  <w:style w:type="numbering" w:customStyle="1" w:styleId="Sinlista453">
    <w:name w:val="Sin lista453"/>
    <w:next w:val="Sinlista"/>
    <w:semiHidden/>
    <w:rsid w:val="00904BA1"/>
  </w:style>
  <w:style w:type="numbering" w:customStyle="1" w:styleId="Sinlista463">
    <w:name w:val="Sin lista463"/>
    <w:next w:val="Sinlista"/>
    <w:semiHidden/>
    <w:rsid w:val="00904BA1"/>
  </w:style>
  <w:style w:type="numbering" w:customStyle="1" w:styleId="Sinlista473">
    <w:name w:val="Sin lista473"/>
    <w:next w:val="Sinlista"/>
    <w:semiHidden/>
    <w:rsid w:val="00904BA1"/>
  </w:style>
  <w:style w:type="numbering" w:customStyle="1" w:styleId="Sinlista483">
    <w:name w:val="Sin lista483"/>
    <w:next w:val="Sinlista"/>
    <w:semiHidden/>
    <w:rsid w:val="00904BA1"/>
  </w:style>
  <w:style w:type="numbering" w:customStyle="1" w:styleId="Sinlista493">
    <w:name w:val="Sin lista493"/>
    <w:next w:val="Sinlista"/>
    <w:semiHidden/>
    <w:rsid w:val="00904BA1"/>
  </w:style>
  <w:style w:type="numbering" w:customStyle="1" w:styleId="Sinlista503">
    <w:name w:val="Sin lista503"/>
    <w:next w:val="Sinlista"/>
    <w:semiHidden/>
    <w:rsid w:val="00904BA1"/>
  </w:style>
  <w:style w:type="numbering" w:customStyle="1" w:styleId="Sinlista5113">
    <w:name w:val="Sin lista5113"/>
    <w:next w:val="Sinlista"/>
    <w:semiHidden/>
    <w:rsid w:val="00904BA1"/>
  </w:style>
  <w:style w:type="numbering" w:customStyle="1" w:styleId="Sinlista523">
    <w:name w:val="Sin lista523"/>
    <w:next w:val="Sinlista"/>
    <w:semiHidden/>
    <w:rsid w:val="00904BA1"/>
  </w:style>
  <w:style w:type="numbering" w:customStyle="1" w:styleId="Sinlista533">
    <w:name w:val="Sin lista533"/>
    <w:next w:val="Sinlista"/>
    <w:semiHidden/>
    <w:rsid w:val="00904BA1"/>
  </w:style>
  <w:style w:type="numbering" w:customStyle="1" w:styleId="Sinlista543">
    <w:name w:val="Sin lista543"/>
    <w:next w:val="Sinlista"/>
    <w:semiHidden/>
    <w:rsid w:val="00904BA1"/>
  </w:style>
  <w:style w:type="numbering" w:customStyle="1" w:styleId="Sinlista553">
    <w:name w:val="Sin lista553"/>
    <w:next w:val="Sinlista"/>
    <w:semiHidden/>
    <w:rsid w:val="00904BA1"/>
  </w:style>
  <w:style w:type="numbering" w:customStyle="1" w:styleId="Sinlista563">
    <w:name w:val="Sin lista563"/>
    <w:next w:val="Sinlista"/>
    <w:semiHidden/>
    <w:rsid w:val="00904BA1"/>
  </w:style>
  <w:style w:type="numbering" w:customStyle="1" w:styleId="Sinlista573">
    <w:name w:val="Sin lista573"/>
    <w:next w:val="Sinlista"/>
    <w:semiHidden/>
    <w:rsid w:val="00904BA1"/>
  </w:style>
  <w:style w:type="numbering" w:customStyle="1" w:styleId="Sinlista583">
    <w:name w:val="Sin lista583"/>
    <w:next w:val="Sinlista"/>
    <w:semiHidden/>
    <w:rsid w:val="00904BA1"/>
  </w:style>
  <w:style w:type="numbering" w:customStyle="1" w:styleId="Sinlista593">
    <w:name w:val="Sin lista593"/>
    <w:next w:val="Sinlista"/>
    <w:semiHidden/>
    <w:rsid w:val="00904BA1"/>
  </w:style>
  <w:style w:type="table" w:customStyle="1" w:styleId="Tablaconcuadrcula11113">
    <w:name w:val="Tabla con cuadrícula1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3">
    <w:name w:val="Sin lista603"/>
    <w:next w:val="Sinlista"/>
    <w:semiHidden/>
    <w:rsid w:val="00904BA1"/>
  </w:style>
  <w:style w:type="numbering" w:customStyle="1" w:styleId="Sinlista6113">
    <w:name w:val="Sin lista6113"/>
    <w:next w:val="Sinlista"/>
    <w:semiHidden/>
    <w:rsid w:val="00904BA1"/>
  </w:style>
  <w:style w:type="numbering" w:customStyle="1" w:styleId="Sinlista623">
    <w:name w:val="Sin lista623"/>
    <w:next w:val="Sinlista"/>
    <w:semiHidden/>
    <w:rsid w:val="00904BA1"/>
  </w:style>
  <w:style w:type="numbering" w:customStyle="1" w:styleId="Sinlista633">
    <w:name w:val="Sin lista633"/>
    <w:next w:val="Sinlista"/>
    <w:semiHidden/>
    <w:rsid w:val="00904BA1"/>
  </w:style>
  <w:style w:type="numbering" w:customStyle="1" w:styleId="Sinlista643">
    <w:name w:val="Sin lista643"/>
    <w:next w:val="Sinlista"/>
    <w:semiHidden/>
    <w:rsid w:val="00904BA1"/>
  </w:style>
  <w:style w:type="numbering" w:customStyle="1" w:styleId="Sinlista653">
    <w:name w:val="Sin lista653"/>
    <w:next w:val="Sinlista"/>
    <w:semiHidden/>
    <w:rsid w:val="00904BA1"/>
  </w:style>
  <w:style w:type="numbering" w:customStyle="1" w:styleId="Sinlista663">
    <w:name w:val="Sin lista663"/>
    <w:next w:val="Sinlista"/>
    <w:semiHidden/>
    <w:rsid w:val="00904BA1"/>
  </w:style>
  <w:style w:type="numbering" w:customStyle="1" w:styleId="Sinlista673">
    <w:name w:val="Sin lista673"/>
    <w:next w:val="Sinlista"/>
    <w:semiHidden/>
    <w:rsid w:val="00904BA1"/>
  </w:style>
  <w:style w:type="numbering" w:customStyle="1" w:styleId="Sinlista683">
    <w:name w:val="Sin lista683"/>
    <w:next w:val="Sinlista"/>
    <w:semiHidden/>
    <w:rsid w:val="00904BA1"/>
  </w:style>
  <w:style w:type="table" w:customStyle="1" w:styleId="Tablaconcuadrcula12113">
    <w:name w:val="Tabla con cuadrícula1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3">
    <w:name w:val="Sin lista693"/>
    <w:next w:val="Sinlista"/>
    <w:semiHidden/>
    <w:rsid w:val="00904BA1"/>
  </w:style>
  <w:style w:type="numbering" w:customStyle="1" w:styleId="Sinlista703">
    <w:name w:val="Sin lista703"/>
    <w:next w:val="Sinlista"/>
    <w:semiHidden/>
    <w:rsid w:val="00904BA1"/>
  </w:style>
  <w:style w:type="numbering" w:customStyle="1" w:styleId="Sinlista7113">
    <w:name w:val="Sin lista7113"/>
    <w:next w:val="Sinlista"/>
    <w:semiHidden/>
    <w:rsid w:val="00904BA1"/>
  </w:style>
  <w:style w:type="numbering" w:customStyle="1" w:styleId="Sinlista723">
    <w:name w:val="Sin lista723"/>
    <w:next w:val="Sinlista"/>
    <w:semiHidden/>
    <w:rsid w:val="00904BA1"/>
  </w:style>
  <w:style w:type="numbering" w:customStyle="1" w:styleId="Sinlista733">
    <w:name w:val="Sin lista733"/>
    <w:next w:val="Sinlista"/>
    <w:semiHidden/>
    <w:rsid w:val="00904BA1"/>
  </w:style>
  <w:style w:type="numbering" w:customStyle="1" w:styleId="Sinlista743">
    <w:name w:val="Sin lista743"/>
    <w:next w:val="Sinlista"/>
    <w:semiHidden/>
    <w:rsid w:val="00904BA1"/>
  </w:style>
  <w:style w:type="numbering" w:customStyle="1" w:styleId="Sinlista753">
    <w:name w:val="Sin lista753"/>
    <w:next w:val="Sinlista"/>
    <w:semiHidden/>
    <w:rsid w:val="00904BA1"/>
  </w:style>
  <w:style w:type="numbering" w:customStyle="1" w:styleId="Sinlista763">
    <w:name w:val="Sin lista763"/>
    <w:next w:val="Sinlista"/>
    <w:semiHidden/>
    <w:rsid w:val="00904BA1"/>
  </w:style>
  <w:style w:type="table" w:customStyle="1" w:styleId="Tablaconcuadrcula51113">
    <w:name w:val="Tabla con cuadrícula5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3">
    <w:name w:val="Sin lista773"/>
    <w:next w:val="Sinlista"/>
    <w:semiHidden/>
    <w:rsid w:val="00904BA1"/>
  </w:style>
  <w:style w:type="table" w:customStyle="1" w:styleId="Tablaconcuadrcula15113">
    <w:name w:val="Tabla con cuadrícula1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3">
    <w:name w:val="Sin lista783"/>
    <w:next w:val="Sinlista"/>
    <w:semiHidden/>
    <w:rsid w:val="00904BA1"/>
  </w:style>
  <w:style w:type="numbering" w:customStyle="1" w:styleId="Sinlista793">
    <w:name w:val="Sin lista793"/>
    <w:next w:val="Sinlista"/>
    <w:semiHidden/>
    <w:rsid w:val="00904BA1"/>
  </w:style>
  <w:style w:type="numbering" w:customStyle="1" w:styleId="Sinlista803">
    <w:name w:val="Sin lista803"/>
    <w:next w:val="Sinlista"/>
    <w:semiHidden/>
    <w:rsid w:val="00904BA1"/>
  </w:style>
  <w:style w:type="numbering" w:customStyle="1" w:styleId="Sinlista8113">
    <w:name w:val="Sin lista8113"/>
    <w:next w:val="Sinlista"/>
    <w:semiHidden/>
    <w:rsid w:val="00904BA1"/>
  </w:style>
  <w:style w:type="numbering" w:customStyle="1" w:styleId="Sinlista823">
    <w:name w:val="Sin lista823"/>
    <w:next w:val="Sinlista"/>
    <w:semiHidden/>
    <w:rsid w:val="00904BA1"/>
  </w:style>
  <w:style w:type="numbering" w:customStyle="1" w:styleId="Sinlista833">
    <w:name w:val="Sin lista833"/>
    <w:next w:val="Sinlista"/>
    <w:semiHidden/>
    <w:rsid w:val="00904BA1"/>
  </w:style>
  <w:style w:type="numbering" w:customStyle="1" w:styleId="Sinlista843">
    <w:name w:val="Sin lista843"/>
    <w:next w:val="Sinlista"/>
    <w:semiHidden/>
    <w:rsid w:val="00904BA1"/>
  </w:style>
  <w:style w:type="numbering" w:customStyle="1" w:styleId="Sinlista853">
    <w:name w:val="Sin lista853"/>
    <w:next w:val="Sinlista"/>
    <w:semiHidden/>
    <w:rsid w:val="00904BA1"/>
  </w:style>
  <w:style w:type="numbering" w:customStyle="1" w:styleId="Sinlista863">
    <w:name w:val="Sin lista863"/>
    <w:next w:val="Sinlista"/>
    <w:semiHidden/>
    <w:rsid w:val="00904BA1"/>
  </w:style>
  <w:style w:type="numbering" w:customStyle="1" w:styleId="Sinlista873">
    <w:name w:val="Sin lista873"/>
    <w:next w:val="Sinlista"/>
    <w:semiHidden/>
    <w:rsid w:val="00904BA1"/>
  </w:style>
  <w:style w:type="numbering" w:customStyle="1" w:styleId="Sinlista883">
    <w:name w:val="Sin lista883"/>
    <w:next w:val="Sinlista"/>
    <w:semiHidden/>
    <w:rsid w:val="00904BA1"/>
  </w:style>
  <w:style w:type="numbering" w:customStyle="1" w:styleId="Sinlista893">
    <w:name w:val="Sin lista893"/>
    <w:next w:val="Sinlista"/>
    <w:semiHidden/>
    <w:rsid w:val="00904BA1"/>
  </w:style>
  <w:style w:type="numbering" w:customStyle="1" w:styleId="Sinlista903">
    <w:name w:val="Sin lista903"/>
    <w:next w:val="Sinlista"/>
    <w:semiHidden/>
    <w:rsid w:val="00904BA1"/>
  </w:style>
  <w:style w:type="numbering" w:customStyle="1" w:styleId="Sinlista9113">
    <w:name w:val="Sin lista9113"/>
    <w:next w:val="Sinlista"/>
    <w:semiHidden/>
    <w:rsid w:val="00904BA1"/>
  </w:style>
  <w:style w:type="numbering" w:customStyle="1" w:styleId="Sinlista923">
    <w:name w:val="Sin lista923"/>
    <w:next w:val="Sinlista"/>
    <w:semiHidden/>
    <w:rsid w:val="00904BA1"/>
  </w:style>
  <w:style w:type="numbering" w:customStyle="1" w:styleId="Sinlista933">
    <w:name w:val="Sin lista933"/>
    <w:next w:val="Sinlista"/>
    <w:semiHidden/>
    <w:rsid w:val="00904BA1"/>
  </w:style>
  <w:style w:type="numbering" w:customStyle="1" w:styleId="Sinlista943">
    <w:name w:val="Sin lista943"/>
    <w:next w:val="Sinlista"/>
    <w:semiHidden/>
    <w:rsid w:val="00904BA1"/>
  </w:style>
  <w:style w:type="numbering" w:customStyle="1" w:styleId="Sinlista953">
    <w:name w:val="Sin lista953"/>
    <w:next w:val="Sinlista"/>
    <w:semiHidden/>
    <w:rsid w:val="00904BA1"/>
  </w:style>
  <w:style w:type="numbering" w:customStyle="1" w:styleId="Sinlista963">
    <w:name w:val="Sin lista963"/>
    <w:next w:val="Sinlista"/>
    <w:semiHidden/>
    <w:rsid w:val="00904BA1"/>
  </w:style>
  <w:style w:type="numbering" w:customStyle="1" w:styleId="Sinlista973">
    <w:name w:val="Sin lista973"/>
    <w:next w:val="Sinlista"/>
    <w:semiHidden/>
    <w:rsid w:val="00904BA1"/>
  </w:style>
  <w:style w:type="numbering" w:customStyle="1" w:styleId="Sinlista983">
    <w:name w:val="Sin lista983"/>
    <w:next w:val="Sinlista"/>
    <w:semiHidden/>
    <w:rsid w:val="00904BA1"/>
  </w:style>
  <w:style w:type="numbering" w:customStyle="1" w:styleId="Sinlista993">
    <w:name w:val="Sin lista993"/>
    <w:next w:val="Sinlista"/>
    <w:semiHidden/>
    <w:rsid w:val="00904BA1"/>
  </w:style>
  <w:style w:type="numbering" w:customStyle="1" w:styleId="Sinlista1003">
    <w:name w:val="Sin lista1003"/>
    <w:next w:val="Sinlista"/>
    <w:semiHidden/>
    <w:rsid w:val="00904BA1"/>
  </w:style>
  <w:style w:type="numbering" w:customStyle="1" w:styleId="Sinlista10113">
    <w:name w:val="Sin lista10113"/>
    <w:next w:val="Sinlista"/>
    <w:semiHidden/>
    <w:rsid w:val="00904BA1"/>
  </w:style>
  <w:style w:type="table" w:customStyle="1" w:styleId="Tablaconcuadrcula19113">
    <w:name w:val="Tabla con cuadrícula19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3">
    <w:name w:val="Sin lista1023"/>
    <w:next w:val="Sinlista"/>
    <w:semiHidden/>
    <w:rsid w:val="00904BA1"/>
  </w:style>
  <w:style w:type="numbering" w:customStyle="1" w:styleId="Sinlista1033">
    <w:name w:val="Sin lista1033"/>
    <w:next w:val="Sinlista"/>
    <w:semiHidden/>
    <w:rsid w:val="00904BA1"/>
  </w:style>
  <w:style w:type="numbering" w:customStyle="1" w:styleId="Sinlista1043">
    <w:name w:val="Sin lista1043"/>
    <w:next w:val="Sinlista"/>
    <w:semiHidden/>
    <w:rsid w:val="00904BA1"/>
  </w:style>
  <w:style w:type="numbering" w:customStyle="1" w:styleId="Sinlista1053">
    <w:name w:val="Sin lista1053"/>
    <w:next w:val="Sinlista"/>
    <w:semiHidden/>
    <w:rsid w:val="00904BA1"/>
  </w:style>
  <w:style w:type="numbering" w:customStyle="1" w:styleId="Sinlista1063">
    <w:name w:val="Sin lista1063"/>
    <w:next w:val="Sinlista"/>
    <w:semiHidden/>
    <w:rsid w:val="00904BA1"/>
  </w:style>
  <w:style w:type="numbering" w:customStyle="1" w:styleId="Sinlista1073">
    <w:name w:val="Sin lista1073"/>
    <w:next w:val="Sinlista"/>
    <w:semiHidden/>
    <w:rsid w:val="00904BA1"/>
  </w:style>
  <w:style w:type="numbering" w:customStyle="1" w:styleId="Sinlista1083">
    <w:name w:val="Sin lista1083"/>
    <w:next w:val="Sinlista"/>
    <w:semiHidden/>
    <w:rsid w:val="00904BA1"/>
  </w:style>
  <w:style w:type="numbering" w:customStyle="1" w:styleId="Sinlista1093">
    <w:name w:val="Sin lista1093"/>
    <w:next w:val="Sinlista"/>
    <w:semiHidden/>
    <w:rsid w:val="00904BA1"/>
  </w:style>
  <w:style w:type="numbering" w:customStyle="1" w:styleId="Sinlista11013">
    <w:name w:val="Sin lista11013"/>
    <w:next w:val="Sinlista"/>
    <w:semiHidden/>
    <w:rsid w:val="00904BA1"/>
  </w:style>
  <w:style w:type="numbering" w:customStyle="1" w:styleId="Sinlista11113">
    <w:name w:val="Sin lista11113"/>
    <w:next w:val="Sinlista"/>
    <w:semiHidden/>
    <w:rsid w:val="00904BA1"/>
  </w:style>
  <w:style w:type="numbering" w:customStyle="1" w:styleId="Sinlista1123">
    <w:name w:val="Sin lista1123"/>
    <w:next w:val="Sinlista"/>
    <w:semiHidden/>
    <w:rsid w:val="00904BA1"/>
  </w:style>
  <w:style w:type="table" w:customStyle="1" w:styleId="Tablaconcuadrcula21113">
    <w:name w:val="Tabla con cuadrícula21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3">
    <w:name w:val="Sin lista1133"/>
    <w:next w:val="Sinlista"/>
    <w:semiHidden/>
    <w:rsid w:val="00904BA1"/>
  </w:style>
  <w:style w:type="numbering" w:customStyle="1" w:styleId="Sinlista1143">
    <w:name w:val="Sin lista1143"/>
    <w:next w:val="Sinlista"/>
    <w:semiHidden/>
    <w:rsid w:val="00904BA1"/>
  </w:style>
  <w:style w:type="numbering" w:customStyle="1" w:styleId="Sinlista1153">
    <w:name w:val="Sin lista1153"/>
    <w:next w:val="Sinlista"/>
    <w:semiHidden/>
    <w:rsid w:val="00904BA1"/>
  </w:style>
  <w:style w:type="numbering" w:customStyle="1" w:styleId="Sinlista1163">
    <w:name w:val="Sin lista1163"/>
    <w:next w:val="Sinlista"/>
    <w:semiHidden/>
    <w:rsid w:val="00904BA1"/>
  </w:style>
  <w:style w:type="numbering" w:customStyle="1" w:styleId="Sinlista1173">
    <w:name w:val="Sin lista1173"/>
    <w:next w:val="Sinlista"/>
    <w:semiHidden/>
    <w:rsid w:val="00904BA1"/>
  </w:style>
  <w:style w:type="numbering" w:customStyle="1" w:styleId="Sinlista1183">
    <w:name w:val="Sin lista1183"/>
    <w:next w:val="Sinlista"/>
    <w:semiHidden/>
    <w:rsid w:val="00904BA1"/>
  </w:style>
  <w:style w:type="numbering" w:customStyle="1" w:styleId="Sinlista1193">
    <w:name w:val="Sin lista1193"/>
    <w:next w:val="Sinlista"/>
    <w:semiHidden/>
    <w:rsid w:val="00904BA1"/>
  </w:style>
  <w:style w:type="table" w:customStyle="1" w:styleId="Tablaconcuadrcula22113">
    <w:name w:val="Tabla con cuadrícula22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3">
    <w:name w:val="Sin lista1203"/>
    <w:next w:val="Sinlista"/>
    <w:semiHidden/>
    <w:rsid w:val="00904BA1"/>
  </w:style>
  <w:style w:type="numbering" w:customStyle="1" w:styleId="Sinlista12113">
    <w:name w:val="Sin lista12113"/>
    <w:next w:val="Sinlista"/>
    <w:semiHidden/>
    <w:rsid w:val="00904BA1"/>
  </w:style>
  <w:style w:type="numbering" w:customStyle="1" w:styleId="Sinlista1223">
    <w:name w:val="Sin lista1223"/>
    <w:next w:val="Sinlista"/>
    <w:semiHidden/>
    <w:rsid w:val="00904BA1"/>
  </w:style>
  <w:style w:type="numbering" w:customStyle="1" w:styleId="Sinlista1233">
    <w:name w:val="Sin lista1233"/>
    <w:next w:val="Sinlista"/>
    <w:semiHidden/>
    <w:rsid w:val="00904BA1"/>
  </w:style>
  <w:style w:type="numbering" w:customStyle="1" w:styleId="Sinlista1243">
    <w:name w:val="Sin lista1243"/>
    <w:next w:val="Sinlista"/>
    <w:semiHidden/>
    <w:rsid w:val="00904BA1"/>
  </w:style>
  <w:style w:type="table" w:customStyle="1" w:styleId="Tablaconcuadrcula23113">
    <w:name w:val="Tabla con cuadrícula23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3">
    <w:name w:val="Sin lista1253"/>
    <w:next w:val="Sinlista"/>
    <w:semiHidden/>
    <w:rsid w:val="00904BA1"/>
  </w:style>
  <w:style w:type="numbering" w:customStyle="1" w:styleId="Sinlista1263">
    <w:name w:val="Sin lista1263"/>
    <w:next w:val="Sinlista"/>
    <w:semiHidden/>
    <w:rsid w:val="00904BA1"/>
  </w:style>
  <w:style w:type="numbering" w:customStyle="1" w:styleId="Sinlista1273">
    <w:name w:val="Sin lista1273"/>
    <w:next w:val="Sinlista"/>
    <w:semiHidden/>
    <w:rsid w:val="00904BA1"/>
  </w:style>
  <w:style w:type="numbering" w:customStyle="1" w:styleId="Sinlista1283">
    <w:name w:val="Sin lista1283"/>
    <w:next w:val="Sinlista"/>
    <w:semiHidden/>
    <w:rsid w:val="00904BA1"/>
  </w:style>
  <w:style w:type="numbering" w:customStyle="1" w:styleId="Sinlista1293">
    <w:name w:val="Sin lista1293"/>
    <w:next w:val="Sinlista"/>
    <w:semiHidden/>
    <w:rsid w:val="00904BA1"/>
  </w:style>
  <w:style w:type="numbering" w:customStyle="1" w:styleId="Sinlista1303">
    <w:name w:val="Sin lista1303"/>
    <w:next w:val="Sinlista"/>
    <w:semiHidden/>
    <w:rsid w:val="00904BA1"/>
  </w:style>
  <w:style w:type="numbering" w:customStyle="1" w:styleId="Sinlista13113">
    <w:name w:val="Sin lista13113"/>
    <w:next w:val="Sinlista"/>
    <w:semiHidden/>
    <w:rsid w:val="00904BA1"/>
  </w:style>
  <w:style w:type="numbering" w:customStyle="1" w:styleId="Sinlista1323">
    <w:name w:val="Sin lista1323"/>
    <w:next w:val="Sinlista"/>
    <w:semiHidden/>
    <w:rsid w:val="00904BA1"/>
  </w:style>
  <w:style w:type="numbering" w:customStyle="1" w:styleId="Sinlista1333">
    <w:name w:val="Sin lista1333"/>
    <w:next w:val="Sinlista"/>
    <w:semiHidden/>
    <w:rsid w:val="00904BA1"/>
  </w:style>
  <w:style w:type="numbering" w:customStyle="1" w:styleId="Sinlista1343">
    <w:name w:val="Sin lista1343"/>
    <w:next w:val="Sinlista"/>
    <w:semiHidden/>
    <w:rsid w:val="00904BA1"/>
  </w:style>
  <w:style w:type="numbering" w:customStyle="1" w:styleId="Sinlista1353">
    <w:name w:val="Sin lista1353"/>
    <w:next w:val="Sinlista"/>
    <w:semiHidden/>
    <w:rsid w:val="00904BA1"/>
  </w:style>
  <w:style w:type="numbering" w:customStyle="1" w:styleId="Sinlista1363">
    <w:name w:val="Sin lista1363"/>
    <w:next w:val="Sinlista"/>
    <w:semiHidden/>
    <w:rsid w:val="00904BA1"/>
  </w:style>
  <w:style w:type="numbering" w:customStyle="1" w:styleId="Sinlista1373">
    <w:name w:val="Sin lista1373"/>
    <w:next w:val="Sinlista"/>
    <w:semiHidden/>
    <w:rsid w:val="00904BA1"/>
  </w:style>
  <w:style w:type="table" w:customStyle="1" w:styleId="Tablaconcuadrcula25113">
    <w:name w:val="Tabla con cuadrícula25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3">
    <w:name w:val="Sin lista1383"/>
    <w:next w:val="Sinlista"/>
    <w:semiHidden/>
    <w:rsid w:val="00904BA1"/>
  </w:style>
  <w:style w:type="numbering" w:customStyle="1" w:styleId="Sinlista1393">
    <w:name w:val="Sin lista1393"/>
    <w:next w:val="Sinlista"/>
    <w:semiHidden/>
    <w:rsid w:val="00904BA1"/>
  </w:style>
  <w:style w:type="numbering" w:customStyle="1" w:styleId="Sinlista1403">
    <w:name w:val="Sin lista1403"/>
    <w:next w:val="Sinlista"/>
    <w:semiHidden/>
    <w:rsid w:val="00904BA1"/>
  </w:style>
  <w:style w:type="numbering" w:customStyle="1" w:styleId="Sinlista14113">
    <w:name w:val="Sin lista14113"/>
    <w:next w:val="Sinlista"/>
    <w:semiHidden/>
    <w:rsid w:val="00904BA1"/>
  </w:style>
  <w:style w:type="numbering" w:customStyle="1" w:styleId="Sinlista1423">
    <w:name w:val="Sin lista1423"/>
    <w:next w:val="Sinlista"/>
    <w:semiHidden/>
    <w:rsid w:val="00904BA1"/>
  </w:style>
  <w:style w:type="numbering" w:customStyle="1" w:styleId="Sinlista1433">
    <w:name w:val="Sin lista1433"/>
    <w:next w:val="Sinlista"/>
    <w:semiHidden/>
    <w:rsid w:val="00904BA1"/>
  </w:style>
  <w:style w:type="table" w:customStyle="1" w:styleId="Tablaconcuadrcula26113">
    <w:name w:val="Tabla con cuadrícula26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3">
    <w:name w:val="Sin lista1443"/>
    <w:next w:val="Sinlista"/>
    <w:semiHidden/>
    <w:rsid w:val="00904BA1"/>
  </w:style>
  <w:style w:type="numbering" w:customStyle="1" w:styleId="Sinlista1453">
    <w:name w:val="Sin lista1453"/>
    <w:next w:val="Sinlista"/>
    <w:semiHidden/>
    <w:rsid w:val="00904BA1"/>
  </w:style>
  <w:style w:type="numbering" w:customStyle="1" w:styleId="Sinlista1463">
    <w:name w:val="Sin lista1463"/>
    <w:next w:val="Sinlista"/>
    <w:semiHidden/>
    <w:rsid w:val="00904BA1"/>
  </w:style>
  <w:style w:type="numbering" w:customStyle="1" w:styleId="Sinlista1473">
    <w:name w:val="Sin lista1473"/>
    <w:next w:val="Sinlista"/>
    <w:semiHidden/>
    <w:rsid w:val="00904BA1"/>
  </w:style>
  <w:style w:type="table" w:customStyle="1" w:styleId="Tablaconcuadrcula27113">
    <w:name w:val="Tabla con cuadrícula27113"/>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3">
    <w:name w:val="Sin lista1483"/>
    <w:next w:val="Sinlista"/>
    <w:semiHidden/>
    <w:rsid w:val="00904BA1"/>
  </w:style>
  <w:style w:type="numbering" w:customStyle="1" w:styleId="Sinlista1493">
    <w:name w:val="Sin lista1493"/>
    <w:next w:val="Sinlista"/>
    <w:semiHidden/>
    <w:rsid w:val="00904BA1"/>
  </w:style>
  <w:style w:type="numbering" w:customStyle="1" w:styleId="Sinlista1503">
    <w:name w:val="Sin lista1503"/>
    <w:next w:val="Sinlista"/>
    <w:semiHidden/>
    <w:rsid w:val="00904BA1"/>
  </w:style>
  <w:style w:type="numbering" w:customStyle="1" w:styleId="Sinlista15113">
    <w:name w:val="Sin lista15113"/>
    <w:next w:val="Sinlista"/>
    <w:semiHidden/>
    <w:rsid w:val="00904BA1"/>
  </w:style>
  <w:style w:type="numbering" w:customStyle="1" w:styleId="Sinlista1523">
    <w:name w:val="Sin lista1523"/>
    <w:next w:val="Sinlista"/>
    <w:semiHidden/>
    <w:rsid w:val="00904BA1"/>
  </w:style>
  <w:style w:type="numbering" w:customStyle="1" w:styleId="Sinlista1533">
    <w:name w:val="Sin lista1533"/>
    <w:next w:val="Sinlista"/>
    <w:semiHidden/>
    <w:rsid w:val="00904BA1"/>
  </w:style>
  <w:style w:type="numbering" w:customStyle="1" w:styleId="Sinlista1543">
    <w:name w:val="Sin lista1543"/>
    <w:next w:val="Sinlista"/>
    <w:semiHidden/>
    <w:rsid w:val="00904BA1"/>
  </w:style>
  <w:style w:type="numbering" w:customStyle="1" w:styleId="Sinlista1553">
    <w:name w:val="Sin lista1553"/>
    <w:next w:val="Sinlista"/>
    <w:semiHidden/>
    <w:rsid w:val="00904BA1"/>
  </w:style>
  <w:style w:type="numbering" w:customStyle="1" w:styleId="111111121">
    <w:name w:val="1 / 1.1 / 1.1.1121"/>
    <w:basedOn w:val="Sinlista"/>
    <w:next w:val="111111"/>
    <w:rsid w:val="00904BA1"/>
  </w:style>
  <w:style w:type="numbering" w:customStyle="1" w:styleId="111111211">
    <w:name w:val="1 / 1.1 / 1.1.1211"/>
    <w:basedOn w:val="Sinlista"/>
    <w:next w:val="111111"/>
    <w:rsid w:val="00904BA1"/>
    <w:pPr>
      <w:numPr>
        <w:numId w:val="10"/>
      </w:numPr>
    </w:pPr>
  </w:style>
  <w:style w:type="table" w:customStyle="1" w:styleId="Tablaconcuadrcula11011">
    <w:name w:val="Tabla con cuadrícula110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basedOn w:val="Sinlista"/>
    <w:next w:val="111111"/>
    <w:rsid w:val="00904BA1"/>
    <w:pPr>
      <w:numPr>
        <w:numId w:val="5"/>
      </w:numPr>
    </w:pPr>
  </w:style>
  <w:style w:type="numbering" w:customStyle="1" w:styleId="111111112">
    <w:name w:val="1 / 1.1 / 1.1.1112"/>
    <w:basedOn w:val="Sinlista"/>
    <w:next w:val="111111"/>
    <w:rsid w:val="00904BA1"/>
  </w:style>
  <w:style w:type="table" w:customStyle="1" w:styleId="Tablaconcuadrcula2541">
    <w:name w:val="Tabla con cuadrícula2541"/>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6">
    <w:name w:val="Tabla con cuadrícula2616"/>
    <w:basedOn w:val="Tablanormal"/>
    <w:next w:val="Tablaconcuadrcula"/>
    <w:rsid w:val="00904BA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111">
    <w:name w:val="1 / 1.1 / 1.1.11111"/>
    <w:basedOn w:val="Sinlista"/>
    <w:next w:val="111111"/>
    <w:rsid w:val="00904BA1"/>
    <w:pPr>
      <w:numPr>
        <w:numId w:val="7"/>
      </w:numPr>
    </w:pPr>
  </w:style>
  <w:style w:type="table" w:customStyle="1" w:styleId="Tablaconcuadrcula2716">
    <w:name w:val="Tabla con cuadrícula2716"/>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11">
    <w:name w:val="Tabla con cuadrícula110111"/>
    <w:basedOn w:val="Tablanormal"/>
    <w:next w:val="Tablaconcuadrcula"/>
    <w:rsid w:val="00904B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3">
    <w:name w:val="1 / 1.1 / 1.1.123"/>
    <w:basedOn w:val="Sinlista"/>
    <w:next w:val="111111"/>
    <w:rsid w:val="00904BA1"/>
  </w:style>
  <w:style w:type="table" w:customStyle="1" w:styleId="Tablaconcuadrcula25411">
    <w:name w:val="Tabla con cuadrícula25411"/>
    <w:basedOn w:val="Tablanormal"/>
    <w:next w:val="Tablaconcuadrcula"/>
    <w:rsid w:val="00904BA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2">
    <w:name w:val="1 / 1.1 / 1.1.1122"/>
    <w:basedOn w:val="Sinlista"/>
    <w:next w:val="111111"/>
    <w:rsid w:val="00904BA1"/>
    <w:pPr>
      <w:numPr>
        <w:numId w:val="4"/>
      </w:numPr>
    </w:pPr>
  </w:style>
  <w:style w:type="numbering" w:customStyle="1" w:styleId="111111212">
    <w:name w:val="1 / 1.1 / 1.1.1212"/>
    <w:basedOn w:val="Sinlista"/>
    <w:next w:val="111111"/>
    <w:rsid w:val="00904BA1"/>
    <w:pPr>
      <w:numPr>
        <w:numId w:val="6"/>
      </w:numPr>
    </w:pPr>
  </w:style>
  <w:style w:type="numbering" w:customStyle="1" w:styleId="Sinlista166">
    <w:name w:val="Sin lista166"/>
    <w:next w:val="Sinlista"/>
    <w:semiHidden/>
    <w:rsid w:val="0018011E"/>
  </w:style>
  <w:style w:type="table" w:customStyle="1" w:styleId="Tablaconcuadrcula287">
    <w:name w:val="Tabla con cuadrícula287"/>
    <w:basedOn w:val="Tablanormal"/>
    <w:next w:val="Tablaconcuadrcula"/>
    <w:rsid w:val="00AE34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8">
    <w:name w:val="Tabla con cuadrícula288"/>
    <w:basedOn w:val="Tablanormal"/>
    <w:next w:val="Tablaconcuadrcula"/>
    <w:rsid w:val="00B21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7">
    <w:name w:val="Sin lista167"/>
    <w:next w:val="Sinlista"/>
    <w:semiHidden/>
    <w:rsid w:val="0018317D"/>
  </w:style>
  <w:style w:type="table" w:customStyle="1" w:styleId="Tablaconcuadrcula289">
    <w:name w:val="Tabla con cuadrícula289"/>
    <w:basedOn w:val="Tablanormal"/>
    <w:next w:val="Tablaconcuadrcula"/>
    <w:rsid w:val="001831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0">
    <w:name w:val="Tabla con cuadrícula290"/>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1">
    <w:name w:val="Tabla con cuadrícula291"/>
    <w:basedOn w:val="Tablanormal"/>
    <w:next w:val="Tablaconcuadrcula"/>
    <w:rsid w:val="003B1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2">
    <w:name w:val="Tabla con cuadrícula292"/>
    <w:basedOn w:val="Tablanormal"/>
    <w:next w:val="Tablaconcuadrcula"/>
    <w:rsid w:val="00E52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4">
    <w:name w:val="Tabla con cuadrícula294"/>
    <w:basedOn w:val="Tablanormal"/>
    <w:next w:val="Tablaconcuadrcula"/>
    <w:rsid w:val="005106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8">
    <w:name w:val="Sin lista168"/>
    <w:next w:val="Sinlista"/>
    <w:semiHidden/>
    <w:rsid w:val="00BA1038"/>
  </w:style>
  <w:style w:type="table" w:customStyle="1" w:styleId="Tablaconcuadrcula295">
    <w:name w:val="Tabla con cuadrícula295"/>
    <w:basedOn w:val="Tablanormal"/>
    <w:next w:val="Tablaconcuadrcula"/>
    <w:rsid w:val="00BA1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69">
    <w:name w:val="Sin lista169"/>
    <w:next w:val="Sinlista"/>
    <w:semiHidden/>
    <w:rsid w:val="00242136"/>
  </w:style>
  <w:style w:type="table" w:customStyle="1" w:styleId="Tablaconcuadrcula296">
    <w:name w:val="Tabla con cuadrícula296"/>
    <w:basedOn w:val="Tablanormal"/>
    <w:next w:val="Tablaconcuadrcula"/>
    <w:rsid w:val="002421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0">
    <w:name w:val="Tabla con cuadrícula 136"/>
    <w:basedOn w:val="Tablanormal"/>
    <w:next w:val="Tablaconcuadrcula10"/>
    <w:rsid w:val="00C661F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97">
    <w:name w:val="Tabla con cuadrícula297"/>
    <w:basedOn w:val="Tablanormal"/>
    <w:next w:val="Tablaconcuadrcula"/>
    <w:rsid w:val="001770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8">
    <w:name w:val="Tabla con cuadrícula298"/>
    <w:basedOn w:val="Tablanormal"/>
    <w:next w:val="Tablaconcuadrcula"/>
    <w:rsid w:val="000220B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0">
    <w:name w:val="Sin lista170"/>
    <w:next w:val="Sinlista"/>
    <w:semiHidden/>
    <w:rsid w:val="009A0A04"/>
  </w:style>
  <w:style w:type="numbering" w:customStyle="1" w:styleId="Sinlista174">
    <w:name w:val="Sin lista174"/>
    <w:next w:val="Sinlista"/>
    <w:semiHidden/>
    <w:rsid w:val="00FB3E5B"/>
  </w:style>
  <w:style w:type="table" w:customStyle="1" w:styleId="Tablaconcuadrcula299">
    <w:name w:val="Tabla con cuadrícula299"/>
    <w:basedOn w:val="Tablanormal"/>
    <w:next w:val="Tablaconcuadrcula"/>
    <w:rsid w:val="00FB3E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5">
    <w:name w:val="Sin lista175"/>
    <w:next w:val="Sinlista"/>
    <w:semiHidden/>
    <w:rsid w:val="00653B9E"/>
  </w:style>
  <w:style w:type="paragraph" w:customStyle="1" w:styleId="titpuntos">
    <w:name w:val="tit_puntos"/>
    <w:basedOn w:val="Normal"/>
    <w:uiPriority w:val="99"/>
    <w:rsid w:val="00653B9E"/>
    <w:pPr>
      <w:spacing w:before="100" w:beforeAutospacing="1" w:after="100" w:afterAutospacing="1"/>
    </w:pPr>
    <w:rPr>
      <w:rFonts w:eastAsia="Times New Roman"/>
      <w:lang w:val="es-ES"/>
    </w:rPr>
  </w:style>
  <w:style w:type="table" w:customStyle="1" w:styleId="Tablaconcuadrcula300">
    <w:name w:val="Tabla con cuadrícula300"/>
    <w:basedOn w:val="Tablanormal"/>
    <w:next w:val="Tablaconcuadrcula"/>
    <w:rsid w:val="00420A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0">
    <w:name w:val="Tabla con cuadrícula 137"/>
    <w:basedOn w:val="Tablanormal"/>
    <w:next w:val="Tablaconcuadrcula10"/>
    <w:rsid w:val="00C47FE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01">
    <w:name w:val="Tabla con cuadrícula301"/>
    <w:basedOn w:val="Tablanormal"/>
    <w:next w:val="Tablaconcuadrcula"/>
    <w:rsid w:val="001110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6">
    <w:name w:val="Sin lista176"/>
    <w:next w:val="Sinlista"/>
    <w:semiHidden/>
    <w:rsid w:val="00C05CDD"/>
  </w:style>
  <w:style w:type="numbering" w:customStyle="1" w:styleId="Sinlista177">
    <w:name w:val="Sin lista177"/>
    <w:next w:val="Sinlista"/>
    <w:semiHidden/>
    <w:rsid w:val="00961703"/>
  </w:style>
  <w:style w:type="paragraph" w:styleId="TDC2">
    <w:name w:val="toc 2"/>
    <w:basedOn w:val="Normal"/>
    <w:next w:val="Normal"/>
    <w:autoRedefine/>
    <w:uiPriority w:val="99"/>
    <w:rsid w:val="006626D3"/>
    <w:pPr>
      <w:tabs>
        <w:tab w:val="left" w:pos="660"/>
        <w:tab w:val="right" w:leader="dot" w:pos="8494"/>
      </w:tabs>
      <w:spacing w:before="60"/>
      <w:ind w:left="709" w:hanging="709"/>
      <w:jc w:val="both"/>
    </w:pPr>
    <w:rPr>
      <w:rFonts w:ascii="Arial" w:eastAsia="Times New Roman" w:hAnsi="Arial"/>
      <w:sz w:val="22"/>
      <w:lang w:val="es-ES"/>
    </w:rPr>
  </w:style>
  <w:style w:type="paragraph" w:styleId="TDC1">
    <w:name w:val="toc 1"/>
    <w:basedOn w:val="Normal"/>
    <w:next w:val="Normal"/>
    <w:autoRedefine/>
    <w:uiPriority w:val="99"/>
    <w:rsid w:val="006626D3"/>
    <w:pPr>
      <w:spacing w:before="240"/>
      <w:jc w:val="both"/>
    </w:pPr>
    <w:rPr>
      <w:rFonts w:ascii="Arial" w:eastAsia="Times New Roman" w:hAnsi="Arial"/>
      <w:b/>
      <w:sz w:val="22"/>
      <w:lang w:val="es-ES"/>
    </w:rPr>
  </w:style>
  <w:style w:type="paragraph" w:styleId="TDC3">
    <w:name w:val="toc 3"/>
    <w:basedOn w:val="Normal"/>
    <w:next w:val="Normal"/>
    <w:autoRedefine/>
    <w:uiPriority w:val="99"/>
    <w:rsid w:val="006626D3"/>
    <w:pPr>
      <w:jc w:val="both"/>
    </w:pPr>
    <w:rPr>
      <w:rFonts w:ascii="Arial" w:eastAsia="Times New Roman" w:hAnsi="Arial"/>
      <w:sz w:val="22"/>
      <w:lang w:val="es-ES"/>
    </w:rPr>
  </w:style>
  <w:style w:type="paragraph" w:customStyle="1" w:styleId="EstiloTtulo214pt">
    <w:name w:val="Estilo Título 2 + 14 pt"/>
    <w:basedOn w:val="Ttulo2"/>
    <w:uiPriority w:val="99"/>
    <w:rsid w:val="006626D3"/>
    <w:pPr>
      <w:tabs>
        <w:tab w:val="num" w:pos="709"/>
      </w:tabs>
      <w:spacing w:after="240"/>
      <w:ind w:left="709" w:hanging="709"/>
      <w:jc w:val="both"/>
    </w:pPr>
    <w:rPr>
      <w:rFonts w:ascii="Arial" w:eastAsia="Times New Roman" w:hAnsi="Arial" w:cs="Arial"/>
      <w:sz w:val="28"/>
      <w:szCs w:val="22"/>
    </w:rPr>
  </w:style>
  <w:style w:type="numbering" w:customStyle="1" w:styleId="Sinlista178">
    <w:name w:val="Sin lista178"/>
    <w:next w:val="Sinlista"/>
    <w:semiHidden/>
    <w:rsid w:val="00D92F23"/>
  </w:style>
  <w:style w:type="table" w:customStyle="1" w:styleId="Tablaconcuadrcula302">
    <w:name w:val="Tabla con cuadrícula302"/>
    <w:basedOn w:val="Tablanormal"/>
    <w:next w:val="Tablaconcuadrcula"/>
    <w:rsid w:val="00D92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79">
    <w:name w:val="Sin lista179"/>
    <w:next w:val="Sinlista"/>
    <w:semiHidden/>
    <w:rsid w:val="006A7FF5"/>
  </w:style>
  <w:style w:type="numbering" w:customStyle="1" w:styleId="Sinlista180">
    <w:name w:val="Sin lista180"/>
    <w:next w:val="Sinlista"/>
    <w:semiHidden/>
    <w:rsid w:val="00F03841"/>
  </w:style>
  <w:style w:type="paragraph" w:customStyle="1" w:styleId="Style50">
    <w:name w:val="Style 5"/>
    <w:basedOn w:val="Normal"/>
    <w:uiPriority w:val="99"/>
    <w:rsid w:val="00F03841"/>
    <w:pPr>
      <w:widowControl w:val="0"/>
      <w:spacing w:before="252"/>
      <w:jc w:val="both"/>
    </w:pPr>
    <w:rPr>
      <w:rFonts w:eastAsia="Times New Roman"/>
      <w:sz w:val="22"/>
      <w:szCs w:val="22"/>
      <w:lang w:val="en-US"/>
    </w:rPr>
  </w:style>
  <w:style w:type="paragraph" w:customStyle="1" w:styleId="Style6">
    <w:name w:val="Style 6"/>
    <w:basedOn w:val="Normal"/>
    <w:uiPriority w:val="99"/>
    <w:rsid w:val="00F03841"/>
    <w:pPr>
      <w:widowControl w:val="0"/>
    </w:pPr>
    <w:rPr>
      <w:rFonts w:eastAsia="Times New Roman"/>
      <w:sz w:val="6"/>
      <w:szCs w:val="6"/>
      <w:lang w:val="en-US"/>
    </w:rPr>
  </w:style>
  <w:style w:type="paragraph" w:customStyle="1" w:styleId="Style4">
    <w:name w:val="Style 4"/>
    <w:basedOn w:val="Normal"/>
    <w:uiPriority w:val="99"/>
    <w:rsid w:val="00F03841"/>
    <w:pPr>
      <w:widowControl w:val="0"/>
    </w:pPr>
    <w:rPr>
      <w:rFonts w:eastAsia="Times New Roman"/>
      <w:sz w:val="20"/>
      <w:szCs w:val="20"/>
      <w:lang w:val="en-US"/>
    </w:rPr>
  </w:style>
  <w:style w:type="paragraph" w:customStyle="1" w:styleId="Style3">
    <w:name w:val="Style 3"/>
    <w:basedOn w:val="Normal"/>
    <w:uiPriority w:val="99"/>
    <w:rsid w:val="00F03841"/>
    <w:pPr>
      <w:widowControl w:val="0"/>
      <w:ind w:left="72"/>
      <w:jc w:val="both"/>
    </w:pPr>
    <w:rPr>
      <w:rFonts w:eastAsia="Times New Roman"/>
      <w:lang w:val="en-US"/>
    </w:rPr>
  </w:style>
  <w:style w:type="paragraph" w:customStyle="1" w:styleId="Style2">
    <w:name w:val="Style 2"/>
    <w:basedOn w:val="Normal"/>
    <w:uiPriority w:val="99"/>
    <w:rsid w:val="00F03841"/>
    <w:pPr>
      <w:widowControl w:val="0"/>
    </w:pPr>
    <w:rPr>
      <w:rFonts w:eastAsia="Times New Roman"/>
      <w:lang w:val="en-US"/>
    </w:rPr>
  </w:style>
  <w:style w:type="paragraph" w:customStyle="1" w:styleId="Style21">
    <w:name w:val="Style 21"/>
    <w:basedOn w:val="Normal"/>
    <w:uiPriority w:val="99"/>
    <w:rsid w:val="00F03841"/>
    <w:pPr>
      <w:widowControl w:val="0"/>
      <w:spacing w:line="96" w:lineRule="exact"/>
    </w:pPr>
    <w:rPr>
      <w:rFonts w:eastAsia="Times New Roman"/>
      <w:lang w:val="en-US"/>
    </w:rPr>
  </w:style>
  <w:style w:type="character" w:customStyle="1" w:styleId="CharacterStyle1">
    <w:name w:val="Character Style 1"/>
    <w:uiPriority w:val="99"/>
    <w:rsid w:val="00F03841"/>
    <w:rPr>
      <w:rFonts w:ascii="Times New Roman" w:hAnsi="Times New Roman" w:cs="Times New Roman"/>
      <w:sz w:val="22"/>
      <w:szCs w:val="22"/>
    </w:rPr>
  </w:style>
  <w:style w:type="character" w:customStyle="1" w:styleId="CharacterStyle17">
    <w:name w:val="Character Style 17"/>
    <w:uiPriority w:val="99"/>
    <w:rsid w:val="00F03841"/>
    <w:rPr>
      <w:rFonts w:ascii="Times New Roman" w:hAnsi="Times New Roman" w:cs="Times New Roman"/>
      <w:sz w:val="6"/>
      <w:szCs w:val="6"/>
    </w:rPr>
  </w:style>
  <w:style w:type="character" w:customStyle="1" w:styleId="CharacterStyle19">
    <w:name w:val="Character Style 19"/>
    <w:rsid w:val="00F03841"/>
    <w:rPr>
      <w:rFonts w:ascii="Times New Roman" w:hAnsi="Times New Roman" w:cs="Times New Roman"/>
      <w:sz w:val="20"/>
      <w:szCs w:val="20"/>
    </w:rPr>
  </w:style>
  <w:style w:type="character" w:customStyle="1" w:styleId="CharacterStyle3">
    <w:name w:val="Character Style 3"/>
    <w:uiPriority w:val="99"/>
    <w:rsid w:val="00F03841"/>
    <w:rPr>
      <w:rFonts w:ascii="Times New Roman" w:hAnsi="Times New Roman" w:cs="Times New Roman"/>
      <w:sz w:val="20"/>
      <w:szCs w:val="20"/>
    </w:rPr>
  </w:style>
  <w:style w:type="character" w:customStyle="1" w:styleId="CharacterStyle10">
    <w:name w:val="Character Style 10"/>
    <w:uiPriority w:val="99"/>
    <w:rsid w:val="00F03841"/>
    <w:rPr>
      <w:rFonts w:ascii="Times New Roman" w:hAnsi="Times New Roman" w:cs="Times New Roman"/>
      <w:b/>
      <w:sz w:val="20"/>
      <w:szCs w:val="20"/>
    </w:rPr>
  </w:style>
  <w:style w:type="character" w:customStyle="1" w:styleId="CharacterStyle23">
    <w:name w:val="Character Style 23"/>
    <w:uiPriority w:val="99"/>
    <w:rsid w:val="00F03841"/>
    <w:rPr>
      <w:rFonts w:ascii="Times New Roman" w:hAnsi="Times New Roman" w:cs="Times New Roman"/>
      <w:sz w:val="18"/>
      <w:szCs w:val="18"/>
    </w:rPr>
  </w:style>
  <w:style w:type="table" w:customStyle="1" w:styleId="Tablaconcuadrcula303">
    <w:name w:val="Tabla con cuadrícula303"/>
    <w:basedOn w:val="Tablanormal"/>
    <w:next w:val="Tablaconcuadrcula"/>
    <w:rsid w:val="00F03841"/>
    <w:pPr>
      <w:widowControl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4">
    <w:name w:val="Sin lista184"/>
    <w:next w:val="Sinlista"/>
    <w:semiHidden/>
    <w:rsid w:val="003F78D9"/>
  </w:style>
  <w:style w:type="table" w:customStyle="1" w:styleId="Tablaconcuadrcula304">
    <w:name w:val="Tabla con cuadrícula304"/>
    <w:basedOn w:val="Tablanormal"/>
    <w:next w:val="Tablaconcuadrcula"/>
    <w:rsid w:val="00E019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5">
    <w:name w:val="Tabla con cuadrícula305"/>
    <w:basedOn w:val="Tablanormal"/>
    <w:next w:val="Tablaconcuadrcula"/>
    <w:rsid w:val="00B30E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6">
    <w:name w:val="Tabla con cuadrícula306"/>
    <w:basedOn w:val="Tablanormal"/>
    <w:next w:val="Tablaconcuadrcula"/>
    <w:rsid w:val="007222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5">
    <w:name w:val="Sin lista185"/>
    <w:next w:val="Sinlista"/>
    <w:semiHidden/>
    <w:rsid w:val="009C3B05"/>
  </w:style>
  <w:style w:type="numbering" w:customStyle="1" w:styleId="Sinlista186">
    <w:name w:val="Sin lista186"/>
    <w:next w:val="Sinlista"/>
    <w:semiHidden/>
    <w:rsid w:val="000A562F"/>
  </w:style>
  <w:style w:type="character" w:customStyle="1" w:styleId="Ttulo4Car">
    <w:name w:val="Título 4 Car"/>
    <w:aliases w:val="num.                                               4 Car"/>
    <w:basedOn w:val="Fuentedeprrafopredeter"/>
    <w:link w:val="Ttulo4"/>
    <w:uiPriority w:val="9"/>
    <w:locked/>
    <w:rsid w:val="000A562F"/>
    <w:rPr>
      <w:rFonts w:eastAsia="SimSun"/>
      <w:b/>
      <w:bCs/>
      <w:caps/>
      <w:sz w:val="18"/>
      <w:szCs w:val="26"/>
      <w:lang w:val="es-ES" w:eastAsia="es-ES" w:bidi="ar-SA"/>
    </w:rPr>
  </w:style>
  <w:style w:type="character" w:customStyle="1" w:styleId="Ttulo5Car">
    <w:name w:val="Título 5 Car"/>
    <w:aliases w:val="num.                                       5 Car"/>
    <w:basedOn w:val="Fuentedeprrafopredeter"/>
    <w:link w:val="Ttulo5"/>
    <w:uiPriority w:val="9"/>
    <w:locked/>
    <w:rsid w:val="000A562F"/>
    <w:rPr>
      <w:rFonts w:eastAsia="SimSun"/>
      <w:b/>
      <w:bCs/>
      <w:szCs w:val="22"/>
      <w:lang w:val="es-ES" w:eastAsia="es-ES" w:bidi="ar-SA"/>
    </w:rPr>
  </w:style>
  <w:style w:type="character" w:customStyle="1" w:styleId="CarCar">
    <w:name w:val="Car Car"/>
    <w:basedOn w:val="Fuentedeprrafopredeter"/>
    <w:locked/>
    <w:rsid w:val="000A562F"/>
    <w:rPr>
      <w:lang w:val="es-ES" w:eastAsia="es-ES" w:bidi="ar-SA"/>
    </w:rPr>
  </w:style>
  <w:style w:type="character" w:customStyle="1" w:styleId="parasmallboldcolourtext1">
    <w:name w:val="parasmallboldcolourtext1"/>
    <w:basedOn w:val="Fuentedeprrafopredeter"/>
    <w:rsid w:val="000A562F"/>
    <w:rPr>
      <w:b/>
      <w:bCs/>
      <w:color w:val="0080FF"/>
      <w:sz w:val="16"/>
      <w:szCs w:val="16"/>
    </w:rPr>
  </w:style>
  <w:style w:type="character" w:customStyle="1" w:styleId="paranormaltext1">
    <w:name w:val="paranormaltext1"/>
    <w:basedOn w:val="Fuentedeprrafopredeter"/>
    <w:rsid w:val="000A562F"/>
    <w:rPr>
      <w:b w:val="0"/>
      <w:bCs w:val="0"/>
      <w:color w:val="000000"/>
      <w:sz w:val="20"/>
      <w:szCs w:val="20"/>
    </w:rPr>
  </w:style>
  <w:style w:type="table" w:customStyle="1" w:styleId="Tablaconcuadrcula307">
    <w:name w:val="Tabla con cuadrícula307"/>
    <w:basedOn w:val="Tablanormal"/>
    <w:next w:val="Tablaconcuadrcula"/>
    <w:rsid w:val="000A562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08">
    <w:name w:val="Tabla con cuadrícula308"/>
    <w:basedOn w:val="Tablanormal"/>
    <w:next w:val="Tablaconcuadrcula"/>
    <w:rsid w:val="00B97D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9">
    <w:name w:val="Tabla con cuadrícula309"/>
    <w:basedOn w:val="Tablanormal"/>
    <w:next w:val="Tablaconcuadrcula"/>
    <w:rsid w:val="006513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
    <w:name w:val="Tabla con cuadrícula310"/>
    <w:basedOn w:val="Tablanormal"/>
    <w:next w:val="Tablaconcuadrcula"/>
    <w:rsid w:val="002E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DA52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7">
    <w:name w:val="Sin lista187"/>
    <w:next w:val="Sinlista"/>
    <w:semiHidden/>
    <w:rsid w:val="00210D3D"/>
  </w:style>
  <w:style w:type="table" w:customStyle="1" w:styleId="Tablaconcuadrcula312">
    <w:name w:val="Tabla con cuadrícula312"/>
    <w:basedOn w:val="Tablanormal"/>
    <w:next w:val="Tablaconcuadrcula"/>
    <w:rsid w:val="00210D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next w:val="Tablaconcuadrcula"/>
    <w:rsid w:val="006734C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8">
    <w:name w:val="Sin lista188"/>
    <w:next w:val="Sinlista"/>
    <w:semiHidden/>
    <w:rsid w:val="00155473"/>
  </w:style>
  <w:style w:type="table" w:customStyle="1" w:styleId="Tablaconcuadrcula314">
    <w:name w:val="Tabla con cuadrícula314"/>
    <w:basedOn w:val="Tablanormal"/>
    <w:next w:val="Tablaconcuadrcula"/>
    <w:rsid w:val="001554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5">
    <w:name w:val="Tabla con cuadrícula315"/>
    <w:basedOn w:val="Tablanormal"/>
    <w:next w:val="Tablaconcuadrcula"/>
    <w:rsid w:val="005961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9">
    <w:name w:val="Sin lista189"/>
    <w:next w:val="Sinlista"/>
    <w:semiHidden/>
    <w:rsid w:val="00751597"/>
  </w:style>
  <w:style w:type="table" w:customStyle="1" w:styleId="Tablaconcuadrcula316">
    <w:name w:val="Tabla con cuadrícula316"/>
    <w:basedOn w:val="Tablanormal"/>
    <w:next w:val="Tablaconcuadrcula"/>
    <w:rsid w:val="007515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7">
    <w:name w:val="Tabla con cuadrícula317"/>
    <w:basedOn w:val="Tablanormal"/>
    <w:next w:val="Tablaconcuadrcula"/>
    <w:rsid w:val="006024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8">
    <w:name w:val="Tabla con cuadrícula318"/>
    <w:basedOn w:val="Tablanormal"/>
    <w:next w:val="Tablaconcuadrcula"/>
    <w:rsid w:val="000A691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0">
    <w:name w:val="Sin lista190"/>
    <w:next w:val="Sinlista"/>
    <w:semiHidden/>
    <w:rsid w:val="000A691E"/>
  </w:style>
  <w:style w:type="table" w:customStyle="1" w:styleId="Tablaconcuadrcula1380">
    <w:name w:val="Tabla con cuadrícula 138"/>
    <w:basedOn w:val="Tablanormal"/>
    <w:next w:val="Tablaconcuadrcula10"/>
    <w:rsid w:val="000A691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9">
    <w:name w:val="Tabla con cuadrícula319"/>
    <w:basedOn w:val="Tablanormal"/>
    <w:next w:val="Tablaconcuadrcula"/>
    <w:rsid w:val="001F7C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4">
    <w:name w:val="Sin lista194"/>
    <w:next w:val="Sinlista"/>
    <w:semiHidden/>
    <w:rsid w:val="0056162E"/>
  </w:style>
  <w:style w:type="numbering" w:customStyle="1" w:styleId="Sinlista195">
    <w:name w:val="Sin lista195"/>
    <w:next w:val="Sinlista"/>
    <w:semiHidden/>
    <w:rsid w:val="00C71328"/>
  </w:style>
  <w:style w:type="table" w:customStyle="1" w:styleId="Tablaconcuadrcula320">
    <w:name w:val="Tabla con cuadrícula320"/>
    <w:basedOn w:val="Tablanormal"/>
    <w:next w:val="Tablaconcuadrcula"/>
    <w:rsid w:val="00EA5C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0">
    <w:name w:val="Tabla con cuadrícula 139"/>
    <w:basedOn w:val="Tablanormal"/>
    <w:next w:val="Tablaconcuadrcula10"/>
    <w:rsid w:val="00FC1E6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21">
    <w:name w:val="Tabla con cuadrícula321"/>
    <w:basedOn w:val="Tablanormal"/>
    <w:next w:val="Tablaconcuadrcula"/>
    <w:rsid w:val="00A135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2">
    <w:name w:val="Tabla con cuadrícula322"/>
    <w:basedOn w:val="Tablanormal"/>
    <w:next w:val="Tablaconcuadrcula"/>
    <w:rsid w:val="00DD63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6">
    <w:name w:val="Sin lista196"/>
    <w:next w:val="Sinlista"/>
    <w:semiHidden/>
    <w:rsid w:val="001E1CAA"/>
  </w:style>
  <w:style w:type="table" w:customStyle="1" w:styleId="Tablaconcuadrcula323">
    <w:name w:val="Tabla con cuadrícula323"/>
    <w:basedOn w:val="Tablanormal"/>
    <w:next w:val="Tablaconcuadrcula"/>
    <w:rsid w:val="008D254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4">
    <w:name w:val="Tabla con cuadrícula324"/>
    <w:basedOn w:val="Tablanormal"/>
    <w:next w:val="Tablaconcuadrcula"/>
    <w:rsid w:val="00414F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5">
    <w:name w:val="Tabla con cuadrícula325"/>
    <w:basedOn w:val="Tablanormal"/>
    <w:next w:val="Tablaconcuadrcula"/>
    <w:rsid w:val="005341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7">
    <w:name w:val="Sin lista197"/>
    <w:next w:val="Sinlista"/>
    <w:semiHidden/>
    <w:rsid w:val="00155B7C"/>
  </w:style>
  <w:style w:type="table" w:customStyle="1" w:styleId="Tablaconcuadrcula326">
    <w:name w:val="Tabla con cuadrícula326"/>
    <w:basedOn w:val="Tablanormal"/>
    <w:next w:val="Tablaconcuadrcula"/>
    <w:rsid w:val="00155B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7">
    <w:name w:val="Tabla con cuadrícula327"/>
    <w:basedOn w:val="Tablanormal"/>
    <w:next w:val="Tablaconcuadrcula"/>
    <w:rsid w:val="00A008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8">
    <w:name w:val="Sin lista198"/>
    <w:next w:val="Sinlista"/>
    <w:semiHidden/>
    <w:rsid w:val="001952E4"/>
  </w:style>
  <w:style w:type="table" w:customStyle="1" w:styleId="Tablaconcuadrcula328">
    <w:name w:val="Tabla con cuadrícula328"/>
    <w:basedOn w:val="Tablanormal"/>
    <w:next w:val="Tablaconcuadrcula"/>
    <w:rsid w:val="001952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9">
    <w:name w:val="Tabla con cuadrícula329"/>
    <w:basedOn w:val="Tablanormal"/>
    <w:next w:val="Tablaconcuadrcula"/>
    <w:rsid w:val="00327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9">
    <w:name w:val="Sin lista199"/>
    <w:next w:val="Sinlista"/>
    <w:semiHidden/>
    <w:rsid w:val="00CC266C"/>
  </w:style>
  <w:style w:type="table" w:customStyle="1" w:styleId="Tablaconcuadrcula330">
    <w:name w:val="Tabla con cuadrícula330"/>
    <w:basedOn w:val="Tablanormal"/>
    <w:next w:val="Tablaconcuadrcula"/>
    <w:rsid w:val="00CC26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next w:val="Tablaconcuadrcula"/>
    <w:rsid w:val="000D47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0">
    <w:name w:val="Sin lista200"/>
    <w:next w:val="Sinlista"/>
    <w:semiHidden/>
    <w:rsid w:val="0011468D"/>
  </w:style>
  <w:style w:type="table" w:customStyle="1" w:styleId="Tablaconcuadrcula332">
    <w:name w:val="Tabla con cuadrícula332"/>
    <w:basedOn w:val="Tablanormal"/>
    <w:next w:val="Tablaconcuadrcula"/>
    <w:rsid w:val="00B96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4">
    <w:name w:val="Sin lista204"/>
    <w:next w:val="Sinlista"/>
    <w:semiHidden/>
    <w:rsid w:val="00C20181"/>
  </w:style>
  <w:style w:type="numbering" w:customStyle="1" w:styleId="Sinlista205">
    <w:name w:val="Sin lista205"/>
    <w:next w:val="Sinlista"/>
    <w:semiHidden/>
    <w:rsid w:val="002B64A8"/>
  </w:style>
  <w:style w:type="numbering" w:customStyle="1" w:styleId="Sinlista206">
    <w:name w:val="Sin lista206"/>
    <w:next w:val="Sinlista"/>
    <w:semiHidden/>
    <w:rsid w:val="0028710F"/>
  </w:style>
  <w:style w:type="table" w:customStyle="1" w:styleId="Tablaconcuadrcula333">
    <w:name w:val="Tabla con cuadrícula333"/>
    <w:basedOn w:val="Tablanormal"/>
    <w:next w:val="Tablaconcuadrcula"/>
    <w:rsid w:val="002871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4">
    <w:name w:val="Tabla con cuadrícula334"/>
    <w:basedOn w:val="Tablanormal"/>
    <w:next w:val="Tablaconcuadrcula"/>
    <w:rsid w:val="006674A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5">
    <w:name w:val="Tabla con cuadrícula335"/>
    <w:basedOn w:val="Tablanormal"/>
    <w:next w:val="Tablaconcuadrcula"/>
    <w:rsid w:val="009D46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7">
    <w:name w:val="Sin lista207"/>
    <w:next w:val="Sinlista"/>
    <w:semiHidden/>
    <w:rsid w:val="00F40FB1"/>
  </w:style>
  <w:style w:type="table" w:customStyle="1" w:styleId="Tablaconcuadrcula336">
    <w:name w:val="Tabla con cuadrícula336"/>
    <w:basedOn w:val="Tablanormal"/>
    <w:next w:val="Tablaconcuadrcula"/>
    <w:rsid w:val="003B2DF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8">
    <w:name w:val="Sin lista208"/>
    <w:next w:val="Sinlista"/>
    <w:semiHidden/>
    <w:rsid w:val="00186DF1"/>
  </w:style>
  <w:style w:type="table" w:customStyle="1" w:styleId="Tablaconcuadrcula337">
    <w:name w:val="Tabla con cuadrícula337"/>
    <w:basedOn w:val="Tablanormal"/>
    <w:next w:val="Tablaconcuadrcula"/>
    <w:rsid w:val="00186D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8">
    <w:name w:val="Tabla con cuadrícula338"/>
    <w:basedOn w:val="Tablanormal"/>
    <w:next w:val="Tablaconcuadrcula"/>
    <w:rsid w:val="00D127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9">
    <w:name w:val="Sin lista209"/>
    <w:next w:val="Sinlista"/>
    <w:semiHidden/>
    <w:rsid w:val="00E41272"/>
  </w:style>
  <w:style w:type="table" w:customStyle="1" w:styleId="Tablaconcuadrcula339">
    <w:name w:val="Tabla con cuadrícula339"/>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0">
    <w:name w:val="Tabla con cuadrícula340"/>
    <w:basedOn w:val="Tablanormal"/>
    <w:next w:val="Tablaconcuadrcula"/>
    <w:rsid w:val="008443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6">
    <w:name w:val="Sin lista216"/>
    <w:next w:val="Sinlista"/>
    <w:semiHidden/>
    <w:rsid w:val="00953D5D"/>
  </w:style>
  <w:style w:type="table" w:customStyle="1" w:styleId="Tablaconcuadrcula341">
    <w:name w:val="Tabla con cuadrícula341"/>
    <w:basedOn w:val="Tablanormal"/>
    <w:next w:val="Tablaconcuadrcula"/>
    <w:rsid w:val="00953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2">
    <w:name w:val="Tabla con cuadrícula342"/>
    <w:basedOn w:val="Tablanormal"/>
    <w:next w:val="Tablaconcuadrcula"/>
    <w:rsid w:val="001372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3">
    <w:name w:val="Tabla con cuadrícula343"/>
    <w:basedOn w:val="Tablanormal"/>
    <w:next w:val="Tablaconcuadrcula"/>
    <w:rsid w:val="00021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1">
    <w:name w:val="1 / 1.1 / 1.1.12121"/>
    <w:basedOn w:val="Sinlista"/>
    <w:next w:val="111111"/>
    <w:rsid w:val="00EE7D10"/>
    <w:pPr>
      <w:numPr>
        <w:numId w:val="2"/>
      </w:numPr>
    </w:pPr>
  </w:style>
  <w:style w:type="table" w:customStyle="1" w:styleId="Tablaconcuadrcula344">
    <w:name w:val="Tabla con cuadrícula344"/>
    <w:basedOn w:val="Tablanormal"/>
    <w:next w:val="Tablaconcuadrcula"/>
    <w:rsid w:val="000354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7">
    <w:name w:val="Sin lista217"/>
    <w:next w:val="Sinlista"/>
    <w:semiHidden/>
    <w:rsid w:val="00ED7D72"/>
  </w:style>
  <w:style w:type="table" w:customStyle="1" w:styleId="Tablaconcuadrcula345">
    <w:name w:val="Tabla con cuadrícula345"/>
    <w:basedOn w:val="Tablanormal"/>
    <w:next w:val="Tablaconcuadrcula"/>
    <w:rsid w:val="00ED7D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8">
    <w:name w:val="Sin lista218"/>
    <w:next w:val="Sinlista"/>
    <w:semiHidden/>
    <w:rsid w:val="00D76BEE"/>
  </w:style>
  <w:style w:type="table" w:customStyle="1" w:styleId="Tablaconcuadrcula346">
    <w:name w:val="Tabla con cuadrícula34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6">
    <w:name w:val="Tabla con cuadrícula516"/>
    <w:basedOn w:val="Tablanormal"/>
    <w:next w:val="Tablaconcuadrcula"/>
    <w:rsid w:val="00D76B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9">
    <w:name w:val="Sin lista219"/>
    <w:next w:val="Sinlista"/>
    <w:semiHidden/>
    <w:rsid w:val="00B83050"/>
  </w:style>
  <w:style w:type="table" w:customStyle="1" w:styleId="Tablaconcuadrcula347">
    <w:name w:val="Tabla con cuadrícula347"/>
    <w:basedOn w:val="Tablanormal"/>
    <w:next w:val="Tablaconcuadrcula"/>
    <w:rsid w:val="00B8305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8">
    <w:name w:val="Tabla con cuadrícula348"/>
    <w:basedOn w:val="Tablanormal"/>
    <w:next w:val="Tablaconcuadrcula"/>
    <w:rsid w:val="001505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0">
    <w:name w:val="Sin lista220"/>
    <w:next w:val="Sinlista"/>
    <w:semiHidden/>
    <w:rsid w:val="000A368B"/>
  </w:style>
  <w:style w:type="table" w:customStyle="1" w:styleId="Tablaconcuadrcula1401">
    <w:name w:val="Tabla con cuadrícula 140"/>
    <w:basedOn w:val="Tablanormal"/>
    <w:next w:val="Tablaconcuadrcula10"/>
    <w:rsid w:val="000A368B"/>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9">
    <w:name w:val="Tabla con cuadrícula349"/>
    <w:basedOn w:val="Tablanormal"/>
    <w:next w:val="Tablaconcuadrcula"/>
    <w:rsid w:val="000A368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
    <w:name w:val="Tabla con cuadrícula 141"/>
    <w:basedOn w:val="Tablanormal"/>
    <w:next w:val="Tablaconcuadrcula10"/>
    <w:rsid w:val="00B82330"/>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0">
    <w:name w:val="Tabla con cuadrícula350"/>
    <w:basedOn w:val="Tablanormal"/>
    <w:next w:val="Tablaconcuadrcula"/>
    <w:rsid w:val="002E79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4">
    <w:name w:val="Sin lista224"/>
    <w:next w:val="Sinlista"/>
    <w:semiHidden/>
    <w:rsid w:val="008D2536"/>
  </w:style>
  <w:style w:type="table" w:customStyle="1" w:styleId="Tablaconcuadrcula351">
    <w:name w:val="Tabla con cuadrícula351"/>
    <w:basedOn w:val="Tablanormal"/>
    <w:next w:val="Tablaconcuadrcula"/>
    <w:rsid w:val="008D25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5">
    <w:name w:val="Sin lista225"/>
    <w:next w:val="Sinlista"/>
    <w:semiHidden/>
    <w:rsid w:val="0015067C"/>
  </w:style>
  <w:style w:type="table" w:customStyle="1" w:styleId="Tablaconcuadrcula352">
    <w:name w:val="Tabla con cuadrícula352"/>
    <w:basedOn w:val="Tablanormal"/>
    <w:next w:val="Tablaconcuadrcula"/>
    <w:rsid w:val="001506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6">
    <w:name w:val="Sin lista226"/>
    <w:next w:val="Sinlista"/>
    <w:semiHidden/>
    <w:rsid w:val="00FD6C56"/>
  </w:style>
  <w:style w:type="table" w:customStyle="1" w:styleId="Tablaconcuadrcula353">
    <w:name w:val="Tabla con cuadrícula353"/>
    <w:basedOn w:val="Tablanormal"/>
    <w:next w:val="Tablaconcuadrcula"/>
    <w:rsid w:val="00FD6C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7">
    <w:name w:val="Sin lista227"/>
    <w:next w:val="Sinlista"/>
    <w:semiHidden/>
    <w:rsid w:val="00BB2905"/>
  </w:style>
  <w:style w:type="table" w:customStyle="1" w:styleId="Tablaconcuadrcula354">
    <w:name w:val="Tabla con cuadrícula354"/>
    <w:basedOn w:val="Tablanormal"/>
    <w:next w:val="Tablaconcuadrcula"/>
    <w:rsid w:val="00AE1A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5">
    <w:name w:val="Tabla con cuadrícula355"/>
    <w:basedOn w:val="Tablanormal"/>
    <w:next w:val="Tablaconcuadrcula"/>
    <w:rsid w:val="00AD6A3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6">
    <w:name w:val="Tabla con cuadrícula356"/>
    <w:basedOn w:val="Tablanormal"/>
    <w:next w:val="Tablaconcuadrcula"/>
    <w:rsid w:val="005329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7">
    <w:name w:val="Tabla con cuadrícula357"/>
    <w:basedOn w:val="Tablanormal"/>
    <w:next w:val="Tablaconcuadrcula"/>
    <w:rsid w:val="007F5E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8">
    <w:name w:val="Tabla con cuadrícula358"/>
    <w:basedOn w:val="Tablanormal"/>
    <w:next w:val="Tablaconcuadrcula"/>
    <w:rsid w:val="00DB69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9">
    <w:name w:val="Tabla con cuadrícula359"/>
    <w:basedOn w:val="Tablanormal"/>
    <w:next w:val="Tablaconcuadrcula"/>
    <w:rsid w:val="001E54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8">
    <w:name w:val="Sin lista228"/>
    <w:next w:val="Sinlista"/>
    <w:semiHidden/>
    <w:rsid w:val="00390FB0"/>
  </w:style>
  <w:style w:type="numbering" w:customStyle="1" w:styleId="Sinlista229">
    <w:name w:val="Sin lista229"/>
    <w:next w:val="Sinlista"/>
    <w:semiHidden/>
    <w:rsid w:val="00ED2177"/>
  </w:style>
  <w:style w:type="table" w:customStyle="1" w:styleId="Tablaconcuadrcula360">
    <w:name w:val="Tabla con cuadrícula360"/>
    <w:basedOn w:val="Tablanormal"/>
    <w:next w:val="Tablaconcuadrcula"/>
    <w:rsid w:val="00ED21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0">
    <w:name w:val="Sin lista230"/>
    <w:next w:val="Sinlista"/>
    <w:semiHidden/>
    <w:rsid w:val="00054668"/>
  </w:style>
  <w:style w:type="table" w:customStyle="1" w:styleId="Tablaconcuadrcula361">
    <w:name w:val="Tabla con cuadrícula361"/>
    <w:basedOn w:val="Tablanormal"/>
    <w:next w:val="Tablaconcuadrcula"/>
    <w:rsid w:val="000546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4">
    <w:name w:val="Sin lista234"/>
    <w:next w:val="Sinlista"/>
    <w:semiHidden/>
    <w:rsid w:val="00A61315"/>
  </w:style>
  <w:style w:type="numbering" w:customStyle="1" w:styleId="Sinlista235">
    <w:name w:val="Sin lista235"/>
    <w:next w:val="Sinlista"/>
    <w:semiHidden/>
    <w:rsid w:val="00C3798F"/>
  </w:style>
  <w:style w:type="table" w:customStyle="1" w:styleId="Tablaconcuadrcula362">
    <w:name w:val="Tabla con cuadrícula362"/>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3">
    <w:name w:val="Tabla con cuadrícula363"/>
    <w:basedOn w:val="Tablanormal"/>
    <w:next w:val="Tablaconcuadrcula"/>
    <w:rsid w:val="00C379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6">
    <w:name w:val="Sin lista236"/>
    <w:next w:val="Sinlista"/>
    <w:semiHidden/>
    <w:rsid w:val="00DF710D"/>
  </w:style>
  <w:style w:type="paragraph" w:customStyle="1" w:styleId="bajadas">
    <w:name w:val="bajadas"/>
    <w:basedOn w:val="Normal"/>
    <w:uiPriority w:val="99"/>
    <w:rsid w:val="00DF710D"/>
    <w:rPr>
      <w:rFonts w:ascii="Georgia, Times" w:eastAsia="Times New Roman" w:hAnsi="Georgia, Times"/>
      <w:color w:val="3B4646"/>
      <w:sz w:val="21"/>
      <w:szCs w:val="21"/>
      <w:lang w:val="es-ES"/>
    </w:rPr>
  </w:style>
  <w:style w:type="paragraph" w:customStyle="1" w:styleId="fotorankinghome">
    <w:name w:val="foto_ranking_home"/>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fotoizquierda">
    <w:name w:val="foto_izquierda"/>
    <w:basedOn w:val="Normal"/>
    <w:uiPriority w:val="99"/>
    <w:rsid w:val="00DF710D"/>
    <w:rPr>
      <w:rFonts w:ascii="Georgia, Times" w:eastAsia="Times New Roman" w:hAnsi="Georgia, Times"/>
      <w:color w:val="3A4646"/>
      <w:sz w:val="21"/>
      <w:szCs w:val="21"/>
      <w:lang w:val="es-ES"/>
    </w:rPr>
  </w:style>
  <w:style w:type="paragraph" w:customStyle="1" w:styleId="fotoizquierda2">
    <w:name w:val="foto_izquierda2"/>
    <w:basedOn w:val="Normal"/>
    <w:uiPriority w:val="99"/>
    <w:rsid w:val="00DF710D"/>
    <w:rPr>
      <w:rFonts w:ascii="Georgia, Times" w:eastAsia="Times New Roman" w:hAnsi="Georgia, Times"/>
      <w:color w:val="3A4646"/>
      <w:sz w:val="21"/>
      <w:szCs w:val="21"/>
      <w:lang w:val="es-ES"/>
    </w:rPr>
  </w:style>
  <w:style w:type="paragraph" w:customStyle="1" w:styleId="fotocentro">
    <w:name w:val="foto_centro"/>
    <w:basedOn w:val="Normal"/>
    <w:uiPriority w:val="99"/>
    <w:rsid w:val="00DF710D"/>
    <w:pPr>
      <w:spacing w:before="100" w:beforeAutospacing="1" w:after="100" w:afterAutospacing="1"/>
      <w:jc w:val="center"/>
    </w:pPr>
    <w:rPr>
      <w:rFonts w:ascii="Georgia, Times" w:eastAsia="Times New Roman" w:hAnsi="Georgia, Times"/>
      <w:color w:val="3A4646"/>
      <w:sz w:val="21"/>
      <w:szCs w:val="21"/>
      <w:lang w:val="es-ES"/>
    </w:rPr>
  </w:style>
  <w:style w:type="paragraph" w:customStyle="1" w:styleId="separacionart">
    <w:name w:val="separacion_art"/>
    <w:basedOn w:val="Normal"/>
    <w:uiPriority w:val="99"/>
    <w:rsid w:val="00DF710D"/>
    <w:pPr>
      <w:spacing w:before="150" w:after="150"/>
    </w:pPr>
    <w:rPr>
      <w:rFonts w:ascii="Georgia, Times" w:eastAsia="Times New Roman" w:hAnsi="Georgia, Times"/>
      <w:color w:val="3A4646"/>
      <w:sz w:val="21"/>
      <w:szCs w:val="21"/>
      <w:lang w:val="es-ES"/>
    </w:rPr>
  </w:style>
  <w:style w:type="paragraph" w:customStyle="1" w:styleId="separacionlinkfooter">
    <w:name w:val="separacion_link_footer"/>
    <w:basedOn w:val="Normal"/>
    <w:uiPriority w:val="99"/>
    <w:rsid w:val="00DF710D"/>
    <w:pPr>
      <w:ind w:left="750" w:right="750"/>
    </w:pPr>
    <w:rPr>
      <w:rFonts w:ascii="Georgia, Times" w:eastAsia="Times New Roman" w:hAnsi="Georgia, Times"/>
      <w:color w:val="3A4646"/>
      <w:sz w:val="21"/>
      <w:szCs w:val="21"/>
      <w:lang w:val="es-ES"/>
    </w:rPr>
  </w:style>
  <w:style w:type="paragraph" w:customStyle="1" w:styleId="texto25blanco">
    <w:name w:val="texto_25_blanco"/>
    <w:basedOn w:val="Normal"/>
    <w:uiPriority w:val="99"/>
    <w:rsid w:val="00DF710D"/>
    <w:rPr>
      <w:rFonts w:ascii="Georgia, Times, serif" w:eastAsia="Times New Roman" w:hAnsi="Georgia, Times, serif"/>
      <w:color w:val="FFFFFF"/>
      <w:sz w:val="38"/>
      <w:szCs w:val="38"/>
      <w:lang w:val="es-ES"/>
    </w:rPr>
  </w:style>
  <w:style w:type="paragraph" w:customStyle="1" w:styleId="texto18blanco">
    <w:name w:val="texto_18_blanco"/>
    <w:basedOn w:val="Normal"/>
    <w:uiPriority w:val="99"/>
    <w:rsid w:val="00DF710D"/>
    <w:pPr>
      <w:spacing w:before="150" w:after="150"/>
      <w:ind w:left="150" w:right="150"/>
    </w:pPr>
    <w:rPr>
      <w:rFonts w:ascii="Georgia, Times" w:eastAsia="Times New Roman" w:hAnsi="Georgia, Times"/>
      <w:color w:val="FFFFFF"/>
      <w:sz w:val="27"/>
      <w:szCs w:val="27"/>
      <w:lang w:val="es-ES"/>
    </w:rPr>
  </w:style>
  <w:style w:type="paragraph" w:customStyle="1" w:styleId="texto14blanco">
    <w:name w:val="texto_14_blanco"/>
    <w:basedOn w:val="Normal"/>
    <w:uiPriority w:val="99"/>
    <w:rsid w:val="00DF710D"/>
    <w:rPr>
      <w:rFonts w:ascii="Georgia, Times" w:eastAsia="Times New Roman" w:hAnsi="Georgia, Times"/>
      <w:color w:val="FFFFFF"/>
      <w:sz w:val="21"/>
      <w:szCs w:val="21"/>
      <w:lang w:val="es-ES"/>
    </w:rPr>
  </w:style>
  <w:style w:type="paragraph" w:customStyle="1" w:styleId="texto14azul">
    <w:name w:val="texto_14_azul"/>
    <w:basedOn w:val="Normal"/>
    <w:uiPriority w:val="99"/>
    <w:rsid w:val="00DF710D"/>
    <w:rPr>
      <w:rFonts w:ascii="Georgia, Times" w:eastAsia="Times New Roman" w:hAnsi="Georgia, Times"/>
      <w:color w:val="105586"/>
      <w:sz w:val="21"/>
      <w:szCs w:val="21"/>
      <w:lang w:val="es-ES"/>
    </w:rPr>
  </w:style>
  <w:style w:type="paragraph" w:customStyle="1" w:styleId="texto14blancoizq">
    <w:name w:val="texto_14_blanco_izq"/>
    <w:basedOn w:val="Normal"/>
    <w:uiPriority w:val="99"/>
    <w:rsid w:val="00DF710D"/>
    <w:rPr>
      <w:rFonts w:ascii="Georgia, Times" w:eastAsia="Times New Roman" w:hAnsi="Georgia, Times"/>
      <w:color w:val="FFFFFF"/>
      <w:sz w:val="21"/>
      <w:szCs w:val="21"/>
      <w:lang w:val="es-ES"/>
    </w:rPr>
  </w:style>
  <w:style w:type="paragraph" w:customStyle="1" w:styleId="titprinhome">
    <w:name w:val="tit_prin_home"/>
    <w:basedOn w:val="Normal"/>
    <w:uiPriority w:val="99"/>
    <w:rsid w:val="00DF710D"/>
    <w:rPr>
      <w:rFonts w:ascii="Georgia, Times" w:eastAsia="Times New Roman" w:hAnsi="Georgia, Times"/>
      <w:color w:val="3A4646"/>
      <w:sz w:val="21"/>
      <w:szCs w:val="21"/>
      <w:lang w:val="es-ES"/>
    </w:rPr>
  </w:style>
  <w:style w:type="paragraph" w:customStyle="1" w:styleId="tit18blanco">
    <w:name w:val="tit_18_blanco"/>
    <w:basedOn w:val="Normal"/>
    <w:uiPriority w:val="99"/>
    <w:rsid w:val="00DF710D"/>
    <w:pPr>
      <w:jc w:val="center"/>
    </w:pPr>
    <w:rPr>
      <w:rFonts w:ascii="Georgia, Times" w:eastAsia="Times New Roman" w:hAnsi="Georgia, Times"/>
      <w:color w:val="FFFFFF"/>
      <w:sz w:val="27"/>
      <w:szCs w:val="27"/>
      <w:lang w:val="es-ES"/>
    </w:rPr>
  </w:style>
  <w:style w:type="paragraph" w:customStyle="1" w:styleId="logotipo">
    <w:name w:val="logotipo"/>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botonera">
    <w:name w:val="botonera"/>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contenedorhome">
    <w:name w:val="contenedor_home"/>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menuderecho">
    <w:name w:val="menu_derech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menuizquierdo">
    <w:name w:val="menu_izquierdo"/>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
    <w:name w:val="despliegues"/>
    <w:basedOn w:val="Normal"/>
    <w:uiPriority w:val="99"/>
    <w:rsid w:val="00DF710D"/>
    <w:pPr>
      <w:spacing w:before="150"/>
    </w:pPr>
    <w:rPr>
      <w:rFonts w:ascii="Georgia, Times" w:eastAsia="Times New Roman" w:hAnsi="Georgia, Times"/>
      <w:color w:val="3A4646"/>
      <w:sz w:val="21"/>
      <w:szCs w:val="21"/>
      <w:lang w:val="es-ES"/>
    </w:rPr>
  </w:style>
  <w:style w:type="paragraph" w:customStyle="1" w:styleId="desplieguesinternos">
    <w:name w:val="despliegues_internos"/>
    <w:basedOn w:val="Normal"/>
    <w:uiPriority w:val="99"/>
    <w:rsid w:val="00DF710D"/>
    <w:rPr>
      <w:rFonts w:ascii="Georgia, Times" w:eastAsia="Times New Roman" w:hAnsi="Georgia, Times"/>
      <w:color w:val="3A4646"/>
      <w:sz w:val="21"/>
      <w:szCs w:val="21"/>
      <w:lang w:val="es-ES"/>
    </w:rPr>
  </w:style>
  <w:style w:type="paragraph" w:customStyle="1" w:styleId="tablaranking">
    <w:name w:val="tabla_ranking"/>
    <w:basedOn w:val="Normal"/>
    <w:uiPriority w:val="99"/>
    <w:rsid w:val="00DF710D"/>
    <w:rPr>
      <w:rFonts w:ascii="Georgia, Times" w:eastAsia="Times New Roman" w:hAnsi="Georgia, Times"/>
      <w:color w:val="3A4646"/>
      <w:sz w:val="21"/>
      <w:szCs w:val="21"/>
      <w:lang w:val="es-ES"/>
    </w:rPr>
  </w:style>
  <w:style w:type="paragraph" w:customStyle="1" w:styleId="tablatits">
    <w:name w:val="tabla_tits"/>
    <w:basedOn w:val="Normal"/>
    <w:uiPriority w:val="99"/>
    <w:rsid w:val="00DF710D"/>
    <w:pPr>
      <w:shd w:val="clear" w:color="auto" w:fill="ABCBDA"/>
      <w:jc w:val="center"/>
    </w:pPr>
    <w:rPr>
      <w:rFonts w:ascii="Arial" w:eastAsia="Times New Roman" w:hAnsi="Arial" w:cs="Arial"/>
      <w:b/>
      <w:bCs/>
      <w:color w:val="3A4646"/>
      <w:sz w:val="17"/>
      <w:szCs w:val="17"/>
      <w:lang w:val="es-ES"/>
    </w:rPr>
  </w:style>
  <w:style w:type="paragraph" w:customStyle="1" w:styleId="lineaclara">
    <w:name w:val="linea_clara"/>
    <w:basedOn w:val="Normal"/>
    <w:uiPriority w:val="99"/>
    <w:rsid w:val="00DF710D"/>
    <w:pPr>
      <w:shd w:val="clear" w:color="auto" w:fill="E5EEF3"/>
    </w:pPr>
    <w:rPr>
      <w:rFonts w:ascii="Georgia, Times" w:eastAsia="Times New Roman" w:hAnsi="Georgia, Times"/>
      <w:color w:val="3A4646"/>
      <w:sz w:val="21"/>
      <w:szCs w:val="21"/>
      <w:lang w:val="es-ES"/>
    </w:rPr>
  </w:style>
  <w:style w:type="paragraph" w:customStyle="1" w:styleId="lineaclararight">
    <w:name w:val="linea_clara_right"/>
    <w:basedOn w:val="Normal"/>
    <w:uiPriority w:val="99"/>
    <w:rsid w:val="00DF710D"/>
    <w:pPr>
      <w:shd w:val="clear" w:color="auto" w:fill="E5EEF3"/>
      <w:jc w:val="right"/>
    </w:pPr>
    <w:rPr>
      <w:rFonts w:ascii="Georgia, Times" w:eastAsia="Times New Roman" w:hAnsi="Georgia, Times"/>
      <w:color w:val="3A4646"/>
      <w:sz w:val="21"/>
      <w:szCs w:val="21"/>
      <w:lang w:val="es-ES"/>
    </w:rPr>
  </w:style>
  <w:style w:type="paragraph" w:customStyle="1" w:styleId="submenurankings">
    <w:name w:val="submenu_rankings"/>
    <w:basedOn w:val="Normal"/>
    <w:uiPriority w:val="99"/>
    <w:rsid w:val="00DF710D"/>
    <w:pPr>
      <w:spacing w:after="300"/>
    </w:pPr>
    <w:rPr>
      <w:rFonts w:ascii="Georgia, Times" w:eastAsia="Times New Roman" w:hAnsi="Georgia, Times"/>
      <w:color w:val="3A4646"/>
      <w:sz w:val="21"/>
      <w:szCs w:val="21"/>
      <w:lang w:val="es-ES"/>
    </w:rPr>
  </w:style>
  <w:style w:type="paragraph" w:customStyle="1" w:styleId="imagenprincipal">
    <w:name w:val="imagen_principal"/>
    <w:basedOn w:val="Normal"/>
    <w:uiPriority w:val="99"/>
    <w:rsid w:val="00DF710D"/>
    <w:rPr>
      <w:rFonts w:ascii="Georgia, Times" w:eastAsia="Times New Roman" w:hAnsi="Georgia, Times"/>
      <w:color w:val="3A4646"/>
      <w:sz w:val="21"/>
      <w:szCs w:val="21"/>
      <w:lang w:val="es-ES"/>
    </w:rPr>
  </w:style>
  <w:style w:type="paragraph" w:customStyle="1" w:styleId="artprincipal">
    <w:name w:val="art_principal"/>
    <w:basedOn w:val="Normal"/>
    <w:uiPriority w:val="99"/>
    <w:rsid w:val="00DF710D"/>
    <w:pPr>
      <w:spacing w:before="450"/>
    </w:pPr>
    <w:rPr>
      <w:rFonts w:ascii="Georgia, Times" w:eastAsia="Times New Roman" w:hAnsi="Georgia, Times"/>
      <w:color w:val="3A4646"/>
      <w:sz w:val="21"/>
      <w:szCs w:val="21"/>
      <w:lang w:val="es-ES"/>
    </w:rPr>
  </w:style>
  <w:style w:type="paragraph" w:customStyle="1" w:styleId="artsecundario">
    <w:name w:val="art_secundario"/>
    <w:basedOn w:val="Normal"/>
    <w:uiPriority w:val="99"/>
    <w:rsid w:val="00DF710D"/>
    <w:pPr>
      <w:spacing w:before="450"/>
      <w:ind w:left="300"/>
    </w:pPr>
    <w:rPr>
      <w:rFonts w:ascii="Georgia, Times" w:eastAsia="Times New Roman" w:hAnsi="Georgia, Times"/>
      <w:color w:val="3A4646"/>
      <w:sz w:val="21"/>
      <w:szCs w:val="21"/>
      <w:lang w:val="es-ES"/>
    </w:rPr>
  </w:style>
  <w:style w:type="paragraph" w:customStyle="1" w:styleId="cajaranking">
    <w:name w:val="caja_ranking"/>
    <w:basedOn w:val="Normal"/>
    <w:uiPriority w:val="99"/>
    <w:rsid w:val="00DF710D"/>
    <w:pPr>
      <w:shd w:val="clear" w:color="auto" w:fill="FFFFFF"/>
      <w:spacing w:after="150"/>
    </w:pPr>
    <w:rPr>
      <w:rFonts w:ascii="Georgia, Times" w:eastAsia="Times New Roman" w:hAnsi="Georgia, Times"/>
      <w:color w:val="3A4646"/>
      <w:sz w:val="21"/>
      <w:szCs w:val="21"/>
      <w:lang w:val="es-ES"/>
    </w:rPr>
  </w:style>
  <w:style w:type="paragraph" w:customStyle="1" w:styleId="titrankinghome">
    <w:name w:val="tit_ranking_home"/>
    <w:basedOn w:val="Normal"/>
    <w:uiPriority w:val="99"/>
    <w:rsid w:val="00DF710D"/>
    <w:pPr>
      <w:pBdr>
        <w:bottom w:val="dotted" w:sz="6" w:space="0" w:color="105586"/>
      </w:pBdr>
    </w:pPr>
    <w:rPr>
      <w:rFonts w:ascii="Georgia, Times" w:eastAsia="Times New Roman" w:hAnsi="Georgia, Times"/>
      <w:color w:val="105586"/>
      <w:sz w:val="27"/>
      <w:szCs w:val="27"/>
      <w:lang w:val="es-ES"/>
    </w:rPr>
  </w:style>
  <w:style w:type="paragraph" w:customStyle="1" w:styleId="titotrosrankings">
    <w:name w:val="tit_otros_rankings"/>
    <w:basedOn w:val="Normal"/>
    <w:uiPriority w:val="99"/>
    <w:rsid w:val="00DF710D"/>
    <w:pPr>
      <w:pBdr>
        <w:bottom w:val="dotted" w:sz="6" w:space="0" w:color="105586"/>
      </w:pBdr>
      <w:spacing w:after="75"/>
    </w:pPr>
    <w:rPr>
      <w:rFonts w:ascii="Georgia, Times" w:eastAsia="Times New Roman" w:hAnsi="Georgia, Times"/>
      <w:color w:val="105586"/>
      <w:lang w:val="es-ES"/>
    </w:rPr>
  </w:style>
  <w:style w:type="paragraph" w:customStyle="1" w:styleId="titgraficoshome">
    <w:name w:val="tit_graficos_home"/>
    <w:basedOn w:val="Normal"/>
    <w:uiPriority w:val="99"/>
    <w:rsid w:val="00DF710D"/>
    <w:pPr>
      <w:pBdr>
        <w:bottom w:val="dotted" w:sz="6" w:space="0" w:color="FFFFFF"/>
      </w:pBdr>
      <w:spacing w:after="150"/>
    </w:pPr>
    <w:rPr>
      <w:rFonts w:ascii="Georgia, Times" w:eastAsia="Times New Roman" w:hAnsi="Georgia, Times"/>
      <w:color w:val="FFFFFF"/>
      <w:sz w:val="33"/>
      <w:szCs w:val="33"/>
      <w:lang w:val="es-ES"/>
    </w:rPr>
  </w:style>
  <w:style w:type="paragraph" w:customStyle="1" w:styleId="cajaarticulos">
    <w:name w:val="caja_articulos"/>
    <w:basedOn w:val="Normal"/>
    <w:uiPriority w:val="99"/>
    <w:rsid w:val="00DF710D"/>
    <w:rPr>
      <w:rFonts w:ascii="Georgia, Times" w:eastAsia="Times New Roman" w:hAnsi="Georgia, Times"/>
      <w:color w:val="3A4646"/>
      <w:sz w:val="21"/>
      <w:szCs w:val="21"/>
      <w:lang w:val="es-ES"/>
    </w:rPr>
  </w:style>
  <w:style w:type="paragraph" w:customStyle="1" w:styleId="footercent">
    <w:name w:val="footer_cent"/>
    <w:basedOn w:val="Normal"/>
    <w:uiPriority w:val="99"/>
    <w:rsid w:val="00DF710D"/>
    <w:pPr>
      <w:spacing w:before="100" w:beforeAutospacing="1" w:after="100" w:afterAutospacing="1"/>
    </w:pPr>
    <w:rPr>
      <w:rFonts w:ascii="Georgia, Times" w:eastAsia="Times New Roman" w:hAnsi="Georgia, Times"/>
      <w:color w:val="3A4646"/>
      <w:sz w:val="21"/>
      <w:szCs w:val="21"/>
      <w:lang w:val="es-ES"/>
    </w:rPr>
  </w:style>
  <w:style w:type="paragraph" w:customStyle="1" w:styleId="top">
    <w:name w:val="top"/>
    <w:basedOn w:val="Normal"/>
    <w:uiPriority w:val="99"/>
    <w:rsid w:val="00DF710D"/>
    <w:rPr>
      <w:rFonts w:ascii="Georgia, Times" w:eastAsia="Times New Roman" w:hAnsi="Georgia, Times"/>
      <w:color w:val="3A4646"/>
      <w:sz w:val="21"/>
      <w:szCs w:val="21"/>
      <w:lang w:val="es-ES"/>
    </w:rPr>
  </w:style>
  <w:style w:type="paragraph" w:customStyle="1" w:styleId="cent">
    <w:name w:val="cent"/>
    <w:basedOn w:val="Normal"/>
    <w:uiPriority w:val="99"/>
    <w:rsid w:val="00DF710D"/>
    <w:rPr>
      <w:rFonts w:ascii="Georgia, Times" w:eastAsia="Times New Roman" w:hAnsi="Georgia, Times"/>
      <w:color w:val="3A4646"/>
      <w:sz w:val="21"/>
      <w:szCs w:val="21"/>
      <w:lang w:val="es-ES"/>
    </w:rPr>
  </w:style>
  <w:style w:type="paragraph" w:customStyle="1" w:styleId="bot">
    <w:name w:val="bot"/>
    <w:basedOn w:val="Normal"/>
    <w:uiPriority w:val="99"/>
    <w:rsid w:val="00DF710D"/>
    <w:rPr>
      <w:rFonts w:ascii="Georgia, Times" w:eastAsia="Times New Roman" w:hAnsi="Georgia, Times"/>
      <w:color w:val="3A4646"/>
      <w:sz w:val="21"/>
      <w:szCs w:val="21"/>
      <w:lang w:val="es-ES"/>
    </w:rPr>
  </w:style>
  <w:style w:type="paragraph" w:customStyle="1" w:styleId="footeraccdirectos">
    <w:name w:val="footer_acc_directos"/>
    <w:basedOn w:val="Normal"/>
    <w:uiPriority w:val="99"/>
    <w:rsid w:val="00DF710D"/>
    <w:rPr>
      <w:rFonts w:ascii="Georgia, Times" w:eastAsia="Times New Roman" w:hAnsi="Georgia, Times"/>
      <w:color w:val="3A4646"/>
      <w:sz w:val="21"/>
      <w:szCs w:val="21"/>
      <w:lang w:val="es-ES"/>
    </w:rPr>
  </w:style>
  <w:style w:type="paragraph" w:customStyle="1" w:styleId="logoaefooter">
    <w:name w:val="logo_ae_footer"/>
    <w:basedOn w:val="Normal"/>
    <w:uiPriority w:val="99"/>
    <w:rsid w:val="00DF710D"/>
    <w:rPr>
      <w:rFonts w:ascii="Georgia, Times" w:eastAsia="Times New Roman" w:hAnsi="Georgia, Times"/>
      <w:color w:val="3A4646"/>
      <w:sz w:val="21"/>
      <w:szCs w:val="21"/>
      <w:lang w:val="es-ES"/>
    </w:rPr>
  </w:style>
  <w:style w:type="paragraph" w:customStyle="1" w:styleId="top1">
    <w:name w:val="top1"/>
    <w:basedOn w:val="Normal"/>
    <w:uiPriority w:val="99"/>
    <w:rsid w:val="00DF710D"/>
    <w:rPr>
      <w:rFonts w:ascii="Georgia, Times" w:eastAsia="Times New Roman" w:hAnsi="Georgia, Times"/>
      <w:color w:val="3A4646"/>
      <w:sz w:val="21"/>
      <w:szCs w:val="21"/>
      <w:lang w:val="es-ES"/>
    </w:rPr>
  </w:style>
  <w:style w:type="paragraph" w:customStyle="1" w:styleId="cent1">
    <w:name w:val="cent1"/>
    <w:basedOn w:val="Normal"/>
    <w:uiPriority w:val="99"/>
    <w:rsid w:val="00DF710D"/>
    <w:rPr>
      <w:rFonts w:ascii="Georgia, Times" w:eastAsia="Times New Roman" w:hAnsi="Georgia, Times"/>
      <w:color w:val="3A4646"/>
      <w:sz w:val="21"/>
      <w:szCs w:val="21"/>
      <w:lang w:val="es-ES"/>
    </w:rPr>
  </w:style>
  <w:style w:type="paragraph" w:customStyle="1" w:styleId="bot1">
    <w:name w:val="bot1"/>
    <w:basedOn w:val="Normal"/>
    <w:uiPriority w:val="99"/>
    <w:rsid w:val="00DF710D"/>
    <w:rPr>
      <w:rFonts w:ascii="Georgia, Times" w:eastAsia="Times New Roman" w:hAnsi="Georgia, Times"/>
      <w:color w:val="3A4646"/>
      <w:sz w:val="21"/>
      <w:szCs w:val="21"/>
      <w:lang w:val="es-ES"/>
    </w:rPr>
  </w:style>
  <w:style w:type="paragraph" w:customStyle="1" w:styleId="footeraccdirectos1">
    <w:name w:val="footer_acc_directos1"/>
    <w:basedOn w:val="Normal"/>
    <w:uiPriority w:val="99"/>
    <w:rsid w:val="00DF710D"/>
    <w:pPr>
      <w:pBdr>
        <w:top w:val="dotted" w:sz="6" w:space="4" w:color="FFFFFF"/>
        <w:bottom w:val="dotted" w:sz="6" w:space="4" w:color="FFFFFF"/>
      </w:pBdr>
    </w:pPr>
    <w:rPr>
      <w:rFonts w:ascii="Georgia, Times" w:eastAsia="Times New Roman" w:hAnsi="Georgia, Times"/>
      <w:color w:val="3A4646"/>
      <w:sz w:val="21"/>
      <w:szCs w:val="21"/>
      <w:lang w:val="es-ES"/>
    </w:rPr>
  </w:style>
  <w:style w:type="paragraph" w:customStyle="1" w:styleId="logoaefooter1">
    <w:name w:val="logo_ae_footer1"/>
    <w:basedOn w:val="Normal"/>
    <w:uiPriority w:val="99"/>
    <w:rsid w:val="00DF710D"/>
    <w:pPr>
      <w:jc w:val="right"/>
    </w:pPr>
    <w:rPr>
      <w:rFonts w:ascii="Georgia, Times" w:eastAsia="Times New Roman" w:hAnsi="Georgia, Times"/>
      <w:color w:val="3A4646"/>
      <w:sz w:val="21"/>
      <w:szCs w:val="21"/>
      <w:lang w:val="es-ES"/>
    </w:rPr>
  </w:style>
  <w:style w:type="table" w:customStyle="1" w:styleId="Tablaconcuadrcula1420">
    <w:name w:val="Tabla con cuadrícula 142"/>
    <w:basedOn w:val="Tablanormal"/>
    <w:next w:val="Tablaconcuadrcula10"/>
    <w:rsid w:val="00DF710D"/>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64">
    <w:name w:val="Tabla con cuadrícula364"/>
    <w:basedOn w:val="Tablanormal"/>
    <w:next w:val="Tablaconcuadrcula"/>
    <w:rsid w:val="00E741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7">
    <w:name w:val="Sin lista237"/>
    <w:next w:val="Sinlista"/>
    <w:semiHidden/>
    <w:rsid w:val="000811A3"/>
  </w:style>
  <w:style w:type="table" w:customStyle="1" w:styleId="Tablaconcuadrcula365">
    <w:name w:val="Tabla con cuadrícula365"/>
    <w:basedOn w:val="Tablanormal"/>
    <w:next w:val="Tablaconcuadrcula"/>
    <w:rsid w:val="000811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6">
    <w:name w:val="Tabla con cuadrícula366"/>
    <w:basedOn w:val="Tablanormal"/>
    <w:next w:val="Tablaconcuadrcula"/>
    <w:rsid w:val="006C7C1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38">
    <w:name w:val="Sin lista238"/>
    <w:next w:val="Sinlista"/>
    <w:semiHidden/>
    <w:rsid w:val="00917A53"/>
  </w:style>
  <w:style w:type="table" w:customStyle="1" w:styleId="Tablaconcuadrcula367">
    <w:name w:val="Tabla con cuadrícula367"/>
    <w:basedOn w:val="Tablanormal"/>
    <w:next w:val="Tablaconcuadrcula"/>
    <w:rsid w:val="001B5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8">
    <w:name w:val="Tabla con cuadrícula368"/>
    <w:basedOn w:val="Tablanormal"/>
    <w:next w:val="Tablaconcuadrcula"/>
    <w:rsid w:val="000A00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9">
    <w:name w:val="Tabla con cuadrícula369"/>
    <w:basedOn w:val="Tablanormal"/>
    <w:next w:val="Tablaconcuadrcula"/>
    <w:rsid w:val="009704E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9">
    <w:name w:val="Sin lista239"/>
    <w:next w:val="Sinlista"/>
    <w:semiHidden/>
    <w:rsid w:val="003A1963"/>
  </w:style>
  <w:style w:type="table" w:customStyle="1" w:styleId="Tablaconcuadrcula370">
    <w:name w:val="Tabla con cuadrícula370"/>
    <w:basedOn w:val="Tablanormal"/>
    <w:next w:val="Tablaconcuadrcula"/>
    <w:rsid w:val="00B94D6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
    <w:name w:val="Tabla con cuadrícula371"/>
    <w:basedOn w:val="Tablanormal"/>
    <w:next w:val="Tablaconcuadrcula"/>
    <w:rsid w:val="00A44B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0">
    <w:name w:val="Sin lista240"/>
    <w:next w:val="Sinlista"/>
    <w:semiHidden/>
    <w:rsid w:val="006F0382"/>
  </w:style>
  <w:style w:type="character" w:customStyle="1" w:styleId="mediumtext1">
    <w:name w:val="medium_text1"/>
    <w:basedOn w:val="Fuentedeprrafopredeter"/>
    <w:rsid w:val="006F0382"/>
    <w:rPr>
      <w:sz w:val="16"/>
      <w:szCs w:val="16"/>
    </w:rPr>
  </w:style>
  <w:style w:type="table" w:customStyle="1" w:styleId="Tablaconcuadrcula372">
    <w:name w:val="Tabla con cuadrícula372"/>
    <w:basedOn w:val="Tablanormal"/>
    <w:next w:val="Tablaconcuadrcula"/>
    <w:rsid w:val="006F03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3">
    <w:name w:val="Tabla con cuadrícula373"/>
    <w:basedOn w:val="Tablanormal"/>
    <w:next w:val="Tablaconcuadrcula"/>
    <w:rsid w:val="00C2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4">
    <w:name w:val="Tabla con cuadrícula374"/>
    <w:basedOn w:val="Tablanormal"/>
    <w:next w:val="Tablaconcuadrcula"/>
    <w:rsid w:val="001A12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5">
    <w:name w:val="Tabla con cuadrícula375"/>
    <w:basedOn w:val="Tablanormal"/>
    <w:next w:val="Tablaconcuadrcula"/>
    <w:rsid w:val="001341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0">
    <w:name w:val="Tabla con cuadrícula 143"/>
    <w:basedOn w:val="Tablanormal"/>
    <w:next w:val="Tablaconcuadrcula10"/>
    <w:rsid w:val="0013418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40">
    <w:name w:val="Tabla con cuadrícula 144"/>
    <w:basedOn w:val="Tablanormal"/>
    <w:next w:val="Tablaconcuadrcula10"/>
    <w:rsid w:val="00B6768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6">
    <w:name w:val="Tabla con cuadrícula376"/>
    <w:basedOn w:val="Tablanormal"/>
    <w:next w:val="Tablaconcuadrcula"/>
    <w:rsid w:val="008A5E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4">
    <w:name w:val="Sin lista244"/>
    <w:next w:val="Sinlista"/>
    <w:semiHidden/>
    <w:rsid w:val="002B023C"/>
  </w:style>
  <w:style w:type="paragraph" w:customStyle="1" w:styleId="bajada">
    <w:name w:val="bajada"/>
    <w:basedOn w:val="Normal"/>
    <w:uiPriority w:val="99"/>
    <w:rsid w:val="002B023C"/>
    <w:pPr>
      <w:spacing w:after="150" w:line="288" w:lineRule="auto"/>
    </w:pPr>
    <w:rPr>
      <w:rFonts w:eastAsia="Times New Roman"/>
      <w:b/>
      <w:bCs/>
      <w:sz w:val="23"/>
      <w:szCs w:val="23"/>
      <w:lang w:val="es-ES"/>
    </w:rPr>
  </w:style>
  <w:style w:type="table" w:customStyle="1" w:styleId="Tablaconcuadrcula1450">
    <w:name w:val="Tabla con cuadrícula 145"/>
    <w:basedOn w:val="Tablanormal"/>
    <w:next w:val="Tablaconcuadrcula10"/>
    <w:rsid w:val="002B023C"/>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7">
    <w:name w:val="Tabla con cuadrícula377"/>
    <w:basedOn w:val="Tablanormal"/>
    <w:next w:val="Tablaconcuadrcula"/>
    <w:rsid w:val="002B02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ro">
    <w:name w:val="intro"/>
    <w:basedOn w:val="Normal"/>
    <w:rsid w:val="002B023C"/>
    <w:pPr>
      <w:spacing w:after="150" w:line="288" w:lineRule="auto"/>
    </w:pPr>
    <w:rPr>
      <w:rFonts w:eastAsia="Times New Roman"/>
      <w:sz w:val="23"/>
      <w:szCs w:val="23"/>
      <w:lang w:val="es-ES"/>
    </w:rPr>
  </w:style>
  <w:style w:type="paragraph" w:customStyle="1" w:styleId="futbol">
    <w:name w:val="futbol"/>
    <w:basedOn w:val="Normal"/>
    <w:uiPriority w:val="99"/>
    <w:rsid w:val="002B023C"/>
    <w:pPr>
      <w:pBdr>
        <w:top w:val="single" w:sz="6" w:space="4" w:color="C2C1A5"/>
        <w:left w:val="single" w:sz="6" w:space="4" w:color="C2C1A5"/>
        <w:bottom w:val="single" w:sz="6" w:space="4" w:color="C2C1A5"/>
        <w:right w:val="single" w:sz="6" w:space="4" w:color="C2C1A5"/>
      </w:pBdr>
      <w:shd w:val="clear" w:color="auto" w:fill="F4EBD2"/>
      <w:spacing w:before="300" w:line="288" w:lineRule="auto"/>
      <w:ind w:left="300"/>
    </w:pPr>
    <w:rPr>
      <w:rFonts w:eastAsia="Times New Roman"/>
      <w:sz w:val="23"/>
      <w:szCs w:val="23"/>
      <w:lang w:val="es-ES"/>
    </w:rPr>
  </w:style>
  <w:style w:type="paragraph" w:customStyle="1" w:styleId="referencias">
    <w:name w:val="referencias"/>
    <w:basedOn w:val="Normal"/>
    <w:uiPriority w:val="99"/>
    <w:rsid w:val="002B023C"/>
    <w:pPr>
      <w:pBdr>
        <w:top w:val="single" w:sz="6" w:space="2" w:color="CCCCCC"/>
        <w:left w:val="single" w:sz="6" w:space="2" w:color="CCCCCC"/>
        <w:bottom w:val="single" w:sz="6" w:space="2" w:color="CCCCCC"/>
        <w:right w:val="single" w:sz="6" w:space="2" w:color="CCCCCC"/>
      </w:pBdr>
      <w:shd w:val="clear" w:color="auto" w:fill="EFEFEF"/>
      <w:spacing w:before="150" w:after="150" w:line="288" w:lineRule="auto"/>
      <w:ind w:left="300" w:right="300"/>
    </w:pPr>
    <w:rPr>
      <w:rFonts w:eastAsia="Times New Roman"/>
      <w:sz w:val="20"/>
      <w:szCs w:val="20"/>
      <w:lang w:val="es-ES"/>
    </w:rPr>
  </w:style>
  <w:style w:type="paragraph" w:customStyle="1" w:styleId="destacado">
    <w:name w:val="destacado"/>
    <w:basedOn w:val="Normal"/>
    <w:uiPriority w:val="99"/>
    <w:rsid w:val="002B023C"/>
    <w:pPr>
      <w:pBdr>
        <w:top w:val="single" w:sz="18" w:space="4" w:color="999999"/>
        <w:bottom w:val="single" w:sz="18" w:space="4" w:color="999999"/>
      </w:pBdr>
      <w:spacing w:after="150" w:line="288" w:lineRule="auto"/>
    </w:pPr>
    <w:rPr>
      <w:rFonts w:eastAsia="Times New Roman"/>
      <w:sz w:val="23"/>
      <w:szCs w:val="23"/>
      <w:lang w:val="es-ES"/>
    </w:rPr>
  </w:style>
  <w:style w:type="paragraph" w:customStyle="1" w:styleId="align-iz">
    <w:name w:val="align-iz"/>
    <w:basedOn w:val="Normal"/>
    <w:uiPriority w:val="99"/>
    <w:rsid w:val="002B023C"/>
    <w:pPr>
      <w:spacing w:before="75" w:after="75" w:line="288" w:lineRule="auto"/>
      <w:ind w:right="150"/>
    </w:pPr>
    <w:rPr>
      <w:rFonts w:eastAsia="Times New Roman"/>
      <w:sz w:val="23"/>
      <w:szCs w:val="23"/>
      <w:lang w:val="es-ES"/>
    </w:rPr>
  </w:style>
  <w:style w:type="paragraph" w:customStyle="1" w:styleId="align-de">
    <w:name w:val="align-de"/>
    <w:basedOn w:val="Normal"/>
    <w:uiPriority w:val="99"/>
    <w:rsid w:val="002B023C"/>
    <w:pPr>
      <w:spacing w:before="75" w:after="75" w:line="288" w:lineRule="auto"/>
      <w:ind w:left="150"/>
    </w:pPr>
    <w:rPr>
      <w:rFonts w:eastAsia="Times New Roman"/>
      <w:sz w:val="23"/>
      <w:szCs w:val="23"/>
      <w:lang w:val="es-ES"/>
    </w:rPr>
  </w:style>
  <w:style w:type="paragraph" w:customStyle="1" w:styleId="actualice">
    <w:name w:val="actualice"/>
    <w:basedOn w:val="Normal"/>
    <w:uiPriority w:val="99"/>
    <w:rsid w:val="002B023C"/>
    <w:pPr>
      <w:pBdr>
        <w:top w:val="single" w:sz="6" w:space="4" w:color="999999"/>
        <w:left w:val="single" w:sz="6" w:space="4" w:color="999999"/>
        <w:bottom w:val="single" w:sz="6" w:space="4" w:color="999999"/>
        <w:right w:val="single" w:sz="6" w:space="4" w:color="999999"/>
      </w:pBdr>
      <w:shd w:val="clear" w:color="auto" w:fill="CCCCCC"/>
      <w:spacing w:before="150" w:after="150" w:line="288" w:lineRule="auto"/>
      <w:jc w:val="center"/>
    </w:pPr>
    <w:rPr>
      <w:rFonts w:eastAsia="Times New Roman"/>
      <w:sz w:val="23"/>
      <w:szCs w:val="23"/>
      <w:lang w:val="es-ES"/>
    </w:rPr>
  </w:style>
  <w:style w:type="paragraph" w:customStyle="1" w:styleId="tablaicur">
    <w:name w:val="tabla_icur"/>
    <w:basedOn w:val="Normal"/>
    <w:uiPriority w:val="99"/>
    <w:rsid w:val="002B023C"/>
    <w:pPr>
      <w:pBdr>
        <w:top w:val="single" w:sz="6" w:space="0" w:color="C2C1A5"/>
        <w:left w:val="single" w:sz="6" w:space="0" w:color="C2C1A5"/>
        <w:bottom w:val="single" w:sz="6" w:space="0" w:color="C2C1A5"/>
        <w:right w:val="single" w:sz="6" w:space="0" w:color="C2C1A5"/>
      </w:pBdr>
      <w:spacing w:before="225" w:after="225" w:line="288" w:lineRule="auto"/>
    </w:pPr>
    <w:rPr>
      <w:rFonts w:eastAsia="Times New Roman"/>
      <w:sz w:val="23"/>
      <w:szCs w:val="23"/>
      <w:lang w:val="es-ES"/>
    </w:rPr>
  </w:style>
  <w:style w:type="paragraph" w:customStyle="1" w:styleId="titdatosrelevantes">
    <w:name w:val="tit_datos_relevantes"/>
    <w:basedOn w:val="Normal"/>
    <w:uiPriority w:val="99"/>
    <w:rsid w:val="002B023C"/>
    <w:pPr>
      <w:spacing w:before="225" w:after="225" w:line="288" w:lineRule="auto"/>
      <w:ind w:left="225" w:right="225"/>
    </w:pPr>
    <w:rPr>
      <w:rFonts w:eastAsia="Times New Roman"/>
      <w:color w:val="999999"/>
      <w:sz w:val="30"/>
      <w:szCs w:val="30"/>
      <w:lang w:val="es-ES"/>
    </w:rPr>
  </w:style>
  <w:style w:type="paragraph" w:customStyle="1" w:styleId="datosrelevantes">
    <w:name w:val="datos_relevantes"/>
    <w:basedOn w:val="Normal"/>
    <w:uiPriority w:val="99"/>
    <w:rsid w:val="002B023C"/>
    <w:pPr>
      <w:spacing w:line="288" w:lineRule="auto"/>
    </w:pPr>
    <w:rPr>
      <w:rFonts w:eastAsia="Times New Roman"/>
      <w:sz w:val="23"/>
      <w:szCs w:val="23"/>
      <w:lang w:val="es-ES"/>
    </w:rPr>
  </w:style>
  <w:style w:type="paragraph" w:customStyle="1" w:styleId="separadordatos">
    <w:name w:val="separador_datos"/>
    <w:basedOn w:val="Normal"/>
    <w:uiPriority w:val="99"/>
    <w:rsid w:val="002B023C"/>
    <w:pPr>
      <w:spacing w:after="150" w:line="288" w:lineRule="auto"/>
    </w:pPr>
    <w:rPr>
      <w:rFonts w:eastAsia="Times New Roman"/>
      <w:sz w:val="23"/>
      <w:szCs w:val="23"/>
      <w:lang w:val="es-ES"/>
    </w:rPr>
  </w:style>
  <w:style w:type="paragraph" w:customStyle="1" w:styleId="ranking">
    <w:name w:val="ranking"/>
    <w:basedOn w:val="Normal"/>
    <w:uiPriority w:val="99"/>
    <w:rsid w:val="002B023C"/>
    <w:pPr>
      <w:pBdr>
        <w:top w:val="single" w:sz="6" w:space="0" w:color="C2C1A5"/>
        <w:left w:val="single" w:sz="6" w:space="0" w:color="C2C1A5"/>
        <w:bottom w:val="single" w:sz="6" w:space="0" w:color="C2C1A5"/>
        <w:right w:val="single" w:sz="6" w:space="0" w:color="C2C1A5"/>
      </w:pBdr>
      <w:spacing w:after="150" w:line="288" w:lineRule="auto"/>
    </w:pPr>
    <w:rPr>
      <w:rFonts w:eastAsia="Times New Roman"/>
      <w:sz w:val="20"/>
      <w:szCs w:val="20"/>
      <w:lang w:val="es-ES"/>
    </w:rPr>
  </w:style>
  <w:style w:type="paragraph" w:customStyle="1" w:styleId="caja">
    <w:name w:val="caja"/>
    <w:basedOn w:val="Normal"/>
    <w:uiPriority w:val="99"/>
    <w:rsid w:val="002B023C"/>
    <w:pPr>
      <w:pBdr>
        <w:top w:val="single" w:sz="6" w:space="4" w:color="C2C1A5"/>
        <w:left w:val="single" w:sz="6" w:space="8" w:color="C2C1A5"/>
        <w:bottom w:val="single" w:sz="6" w:space="8" w:color="C2C1A5"/>
        <w:right w:val="single" w:sz="6" w:space="8" w:color="C2C1A5"/>
      </w:pBdr>
      <w:shd w:val="clear" w:color="auto" w:fill="FFFFFF"/>
      <w:spacing w:after="375" w:line="288" w:lineRule="auto"/>
    </w:pPr>
    <w:rPr>
      <w:rFonts w:eastAsia="Times New Roman"/>
      <w:sz w:val="23"/>
      <w:szCs w:val="23"/>
      <w:lang w:val="es-ES"/>
    </w:rPr>
  </w:style>
  <w:style w:type="paragraph" w:customStyle="1" w:styleId="metodologia">
    <w:name w:val="metodologia"/>
    <w:basedOn w:val="Normal"/>
    <w:uiPriority w:val="99"/>
    <w:rsid w:val="002B023C"/>
    <w:pPr>
      <w:spacing w:before="300" w:after="300" w:line="288" w:lineRule="auto"/>
      <w:ind w:left="150"/>
    </w:pPr>
    <w:rPr>
      <w:rFonts w:eastAsia="Times New Roman"/>
      <w:sz w:val="23"/>
      <w:szCs w:val="23"/>
      <w:lang w:val="es-ES"/>
    </w:rPr>
  </w:style>
  <w:style w:type="paragraph" w:customStyle="1" w:styleId="graficos">
    <w:name w:val="graficos"/>
    <w:basedOn w:val="Normal"/>
    <w:uiPriority w:val="99"/>
    <w:rsid w:val="002B023C"/>
    <w:pPr>
      <w:spacing w:after="150" w:line="288" w:lineRule="auto"/>
    </w:pPr>
    <w:rPr>
      <w:rFonts w:eastAsia="Times New Roman"/>
      <w:sz w:val="23"/>
      <w:szCs w:val="23"/>
      <w:lang w:val="es-ES"/>
    </w:rPr>
  </w:style>
  <w:style w:type="paragraph" w:customStyle="1" w:styleId="fin">
    <w:name w:val="fin"/>
    <w:basedOn w:val="Normal"/>
    <w:uiPriority w:val="99"/>
    <w:rsid w:val="002B023C"/>
    <w:pPr>
      <w:spacing w:after="150" w:line="288" w:lineRule="auto"/>
    </w:pPr>
    <w:rPr>
      <w:rFonts w:eastAsia="Times New Roman"/>
      <w:sz w:val="23"/>
      <w:szCs w:val="23"/>
      <w:lang w:val="es-ES"/>
    </w:rPr>
  </w:style>
  <w:style w:type="paragraph" w:customStyle="1" w:styleId="footerbotdirectos">
    <w:name w:val="footer_bot_directos"/>
    <w:basedOn w:val="Normal"/>
    <w:uiPriority w:val="99"/>
    <w:rsid w:val="002B023C"/>
    <w:pPr>
      <w:spacing w:after="150" w:line="288" w:lineRule="auto"/>
    </w:pPr>
    <w:rPr>
      <w:rFonts w:eastAsia="Times New Roman"/>
      <w:sz w:val="23"/>
      <w:szCs w:val="23"/>
      <w:lang w:val="es-ES"/>
    </w:rPr>
  </w:style>
  <w:style w:type="paragraph" w:customStyle="1" w:styleId="ui-slider-handle">
    <w:name w:val="ui-slider-handle"/>
    <w:basedOn w:val="Normal"/>
    <w:uiPriority w:val="99"/>
    <w:rsid w:val="002B023C"/>
    <w:pPr>
      <w:pBdr>
        <w:top w:val="single" w:sz="6" w:space="0" w:color="CCCCCC"/>
        <w:left w:val="single" w:sz="6" w:space="0" w:color="CCCCCC"/>
        <w:bottom w:val="single" w:sz="6" w:space="0" w:color="CCCCCC"/>
        <w:right w:val="single" w:sz="6" w:space="0" w:color="CCCCCC"/>
      </w:pBdr>
      <w:shd w:val="clear" w:color="auto" w:fill="FF6600"/>
      <w:spacing w:after="150" w:line="288" w:lineRule="auto"/>
    </w:pPr>
    <w:rPr>
      <w:rFonts w:eastAsia="Times New Roman"/>
      <w:sz w:val="23"/>
      <w:szCs w:val="23"/>
      <w:lang w:val="es-ES"/>
    </w:rPr>
  </w:style>
  <w:style w:type="paragraph" w:customStyle="1" w:styleId="paginador">
    <w:name w:val="paginador"/>
    <w:basedOn w:val="Normal"/>
    <w:uiPriority w:val="99"/>
    <w:rsid w:val="002B023C"/>
    <w:pPr>
      <w:spacing w:after="150" w:line="288" w:lineRule="auto"/>
    </w:pPr>
    <w:rPr>
      <w:rFonts w:eastAsia="Times New Roman"/>
      <w:sz w:val="23"/>
      <w:szCs w:val="23"/>
      <w:lang w:val="es-ES"/>
    </w:rPr>
  </w:style>
  <w:style w:type="paragraph" w:customStyle="1" w:styleId="sub">
    <w:name w:val="sub"/>
    <w:basedOn w:val="Normal"/>
    <w:uiPriority w:val="99"/>
    <w:rsid w:val="002B023C"/>
    <w:pPr>
      <w:spacing w:after="150" w:line="288" w:lineRule="auto"/>
    </w:pPr>
    <w:rPr>
      <w:rFonts w:eastAsia="Times New Roman"/>
      <w:sz w:val="23"/>
      <w:szCs w:val="23"/>
      <w:lang w:val="es-ES"/>
    </w:rPr>
  </w:style>
  <w:style w:type="paragraph" w:customStyle="1" w:styleId="rank">
    <w:name w:val="rank"/>
    <w:basedOn w:val="Normal"/>
    <w:uiPriority w:val="99"/>
    <w:rsid w:val="002B023C"/>
    <w:pPr>
      <w:spacing w:after="150" w:line="288" w:lineRule="auto"/>
    </w:pPr>
    <w:rPr>
      <w:rFonts w:eastAsia="Times New Roman"/>
      <w:sz w:val="23"/>
      <w:szCs w:val="23"/>
      <w:lang w:val="es-ES"/>
    </w:rPr>
  </w:style>
  <w:style w:type="paragraph" w:customStyle="1" w:styleId="columna">
    <w:name w:val="columna"/>
    <w:basedOn w:val="Normal"/>
    <w:uiPriority w:val="99"/>
    <w:rsid w:val="002B023C"/>
    <w:pPr>
      <w:spacing w:after="150" w:line="288" w:lineRule="auto"/>
    </w:pPr>
    <w:rPr>
      <w:rFonts w:eastAsia="Times New Roman"/>
      <w:sz w:val="23"/>
      <w:szCs w:val="23"/>
      <w:lang w:val="es-ES"/>
    </w:rPr>
  </w:style>
  <w:style w:type="paragraph" w:customStyle="1" w:styleId="col">
    <w:name w:val="col"/>
    <w:basedOn w:val="Normal"/>
    <w:uiPriority w:val="99"/>
    <w:rsid w:val="002B023C"/>
    <w:pPr>
      <w:spacing w:after="150" w:line="288" w:lineRule="auto"/>
    </w:pPr>
    <w:rPr>
      <w:rFonts w:eastAsia="Times New Roman"/>
      <w:sz w:val="23"/>
      <w:szCs w:val="23"/>
      <w:lang w:val="es-ES"/>
    </w:rPr>
  </w:style>
  <w:style w:type="paragraph" w:customStyle="1" w:styleId="espaciado">
    <w:name w:val="espaciado"/>
    <w:basedOn w:val="Normal"/>
    <w:uiPriority w:val="99"/>
    <w:rsid w:val="002B023C"/>
    <w:pPr>
      <w:spacing w:after="150" w:line="288" w:lineRule="auto"/>
    </w:pPr>
    <w:rPr>
      <w:rFonts w:eastAsia="Times New Roman"/>
      <w:sz w:val="23"/>
      <w:szCs w:val="23"/>
      <w:lang w:val="es-ES"/>
    </w:rPr>
  </w:style>
  <w:style w:type="paragraph" w:customStyle="1" w:styleId="icur">
    <w:name w:val="icur"/>
    <w:basedOn w:val="Normal"/>
    <w:uiPriority w:val="99"/>
    <w:rsid w:val="002B023C"/>
    <w:pPr>
      <w:spacing w:after="150" w:line="288" w:lineRule="auto"/>
    </w:pPr>
    <w:rPr>
      <w:rFonts w:eastAsia="Times New Roman"/>
      <w:sz w:val="23"/>
      <w:szCs w:val="23"/>
      <w:lang w:val="es-ES"/>
    </w:rPr>
  </w:style>
  <w:style w:type="paragraph" w:customStyle="1" w:styleId="colfinal">
    <w:name w:val="col_final"/>
    <w:basedOn w:val="Normal"/>
    <w:uiPriority w:val="99"/>
    <w:rsid w:val="002B023C"/>
    <w:pPr>
      <w:spacing w:after="150" w:line="288" w:lineRule="auto"/>
    </w:pPr>
    <w:rPr>
      <w:rFonts w:eastAsia="Times New Roman"/>
      <w:sz w:val="23"/>
      <w:szCs w:val="23"/>
      <w:lang w:val="es-ES"/>
    </w:rPr>
  </w:style>
  <w:style w:type="paragraph" w:customStyle="1" w:styleId="sub1">
    <w:name w:val="sub1"/>
    <w:basedOn w:val="Normal"/>
    <w:uiPriority w:val="99"/>
    <w:rsid w:val="002B023C"/>
    <w:pPr>
      <w:spacing w:after="375" w:line="288" w:lineRule="auto"/>
      <w:ind w:left="150"/>
    </w:pPr>
    <w:rPr>
      <w:rFonts w:eastAsia="Times New Roman"/>
      <w:sz w:val="20"/>
      <w:szCs w:val="20"/>
      <w:lang w:val="es-ES"/>
    </w:rPr>
  </w:style>
  <w:style w:type="paragraph" w:customStyle="1" w:styleId="rank1">
    <w:name w:val="rank1"/>
    <w:basedOn w:val="Normal"/>
    <w:uiPriority w:val="99"/>
    <w:rsid w:val="002B023C"/>
    <w:pPr>
      <w:spacing w:before="150" w:line="288" w:lineRule="auto"/>
      <w:ind w:left="225" w:right="225"/>
    </w:pPr>
    <w:rPr>
      <w:rFonts w:eastAsia="Times New Roman"/>
      <w:sz w:val="23"/>
      <w:szCs w:val="23"/>
      <w:lang w:val="es-ES"/>
    </w:rPr>
  </w:style>
  <w:style w:type="paragraph" w:customStyle="1" w:styleId="intro1">
    <w:name w:val="intro1"/>
    <w:basedOn w:val="Normal"/>
    <w:rsid w:val="002B023C"/>
    <w:pPr>
      <w:spacing w:after="150" w:line="288" w:lineRule="auto"/>
    </w:pPr>
    <w:rPr>
      <w:rFonts w:eastAsia="Times New Roman"/>
      <w:sz w:val="23"/>
      <w:szCs w:val="23"/>
      <w:lang w:val="es-ES"/>
    </w:rPr>
  </w:style>
  <w:style w:type="paragraph" w:customStyle="1" w:styleId="col1">
    <w:name w:val="col1"/>
    <w:basedOn w:val="Normal"/>
    <w:uiPriority w:val="99"/>
    <w:rsid w:val="002B023C"/>
    <w:pPr>
      <w:spacing w:after="150" w:line="288" w:lineRule="auto"/>
    </w:pPr>
    <w:rPr>
      <w:rFonts w:eastAsia="Times New Roman"/>
      <w:sz w:val="23"/>
      <w:szCs w:val="23"/>
      <w:lang w:val="es-ES"/>
    </w:rPr>
  </w:style>
  <w:style w:type="paragraph" w:customStyle="1" w:styleId="espaciado1">
    <w:name w:val="espaciado1"/>
    <w:basedOn w:val="Normal"/>
    <w:uiPriority w:val="99"/>
    <w:rsid w:val="002B023C"/>
    <w:pPr>
      <w:pBdr>
        <w:left w:val="single" w:sz="6" w:space="15" w:color="C2C1A5"/>
      </w:pBdr>
      <w:spacing w:after="150" w:line="288" w:lineRule="auto"/>
    </w:pPr>
    <w:rPr>
      <w:rFonts w:eastAsia="Times New Roman"/>
      <w:sz w:val="23"/>
      <w:szCs w:val="23"/>
      <w:lang w:val="es-ES"/>
    </w:rPr>
  </w:style>
  <w:style w:type="paragraph" w:customStyle="1" w:styleId="icur1">
    <w:name w:val="icur1"/>
    <w:basedOn w:val="Normal"/>
    <w:uiPriority w:val="99"/>
    <w:rsid w:val="002B023C"/>
    <w:pPr>
      <w:spacing w:after="150" w:line="288" w:lineRule="auto"/>
      <w:ind w:left="450"/>
    </w:pPr>
    <w:rPr>
      <w:rFonts w:eastAsia="Times New Roman"/>
      <w:sz w:val="23"/>
      <w:szCs w:val="23"/>
      <w:lang w:val="es-ES"/>
    </w:rPr>
  </w:style>
  <w:style w:type="paragraph" w:customStyle="1" w:styleId="colfinal1">
    <w:name w:val="col_final1"/>
    <w:basedOn w:val="Normal"/>
    <w:uiPriority w:val="99"/>
    <w:rsid w:val="002B023C"/>
    <w:pPr>
      <w:pBdr>
        <w:top w:val="single" w:sz="6" w:space="15" w:color="C2C1A5"/>
      </w:pBdr>
      <w:spacing w:after="150" w:line="288" w:lineRule="auto"/>
    </w:pPr>
    <w:rPr>
      <w:rFonts w:eastAsia="Times New Roman"/>
      <w:sz w:val="23"/>
      <w:szCs w:val="23"/>
      <w:lang w:val="es-ES"/>
    </w:rPr>
  </w:style>
  <w:style w:type="paragraph" w:customStyle="1" w:styleId="paginador1">
    <w:name w:val="paginador1"/>
    <w:basedOn w:val="Normal"/>
    <w:uiPriority w:val="99"/>
    <w:rsid w:val="002B023C"/>
    <w:pPr>
      <w:spacing w:before="450" w:after="450" w:line="288" w:lineRule="auto"/>
      <w:jc w:val="center"/>
    </w:pPr>
    <w:rPr>
      <w:rFonts w:eastAsia="Times New Roman"/>
      <w:b/>
      <w:bCs/>
      <w:sz w:val="23"/>
      <w:szCs w:val="23"/>
      <w:lang w:val="es-ES"/>
    </w:rPr>
  </w:style>
  <w:style w:type="paragraph" w:customStyle="1" w:styleId="separadordatos1">
    <w:name w:val="separador_datos1"/>
    <w:basedOn w:val="Normal"/>
    <w:uiPriority w:val="99"/>
    <w:rsid w:val="002B023C"/>
    <w:pPr>
      <w:shd w:val="clear" w:color="auto" w:fill="FFFFFF"/>
      <w:spacing w:after="150" w:line="288" w:lineRule="auto"/>
    </w:pPr>
    <w:rPr>
      <w:rFonts w:eastAsia="Times New Roman"/>
      <w:sz w:val="23"/>
      <w:szCs w:val="23"/>
      <w:lang w:val="es-ES"/>
    </w:rPr>
  </w:style>
  <w:style w:type="paragraph" w:customStyle="1" w:styleId="separador1">
    <w:name w:val="separador1"/>
    <w:basedOn w:val="Normal"/>
    <w:uiPriority w:val="99"/>
    <w:rsid w:val="002B023C"/>
    <w:pPr>
      <w:shd w:val="clear" w:color="auto" w:fill="FFF4DC"/>
      <w:spacing w:after="150" w:line="288" w:lineRule="auto"/>
    </w:pPr>
    <w:rPr>
      <w:rFonts w:eastAsia="Times New Roman"/>
      <w:sz w:val="23"/>
      <w:szCs w:val="23"/>
      <w:lang w:val="es-ES"/>
    </w:rPr>
  </w:style>
  <w:style w:type="paragraph" w:customStyle="1" w:styleId="columna1">
    <w:name w:val="columna1"/>
    <w:basedOn w:val="Normal"/>
    <w:uiPriority w:val="99"/>
    <w:rsid w:val="002B023C"/>
    <w:pPr>
      <w:spacing w:before="150" w:line="288" w:lineRule="auto"/>
      <w:ind w:left="225"/>
    </w:pPr>
    <w:rPr>
      <w:rFonts w:eastAsia="Times New Roman"/>
      <w:sz w:val="23"/>
      <w:szCs w:val="23"/>
      <w:lang w:val="es-ES"/>
    </w:rPr>
  </w:style>
  <w:style w:type="table" w:customStyle="1" w:styleId="Tablaconcuadrcula378">
    <w:name w:val="Tabla con cuadrícula378"/>
    <w:basedOn w:val="Tablanormal"/>
    <w:next w:val="Tablaconcuadrcula"/>
    <w:rsid w:val="004223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5">
    <w:name w:val="Sin lista245"/>
    <w:next w:val="Sinlista"/>
    <w:semiHidden/>
    <w:rsid w:val="00110D1F"/>
  </w:style>
  <w:style w:type="table" w:customStyle="1" w:styleId="Tablaconcuadrcula379">
    <w:name w:val="Tabla con cuadrícula379"/>
    <w:basedOn w:val="Tablanormal"/>
    <w:next w:val="Tablaconcuadrcula"/>
    <w:rsid w:val="00110D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6">
    <w:name w:val="Sin lista246"/>
    <w:next w:val="Sinlista"/>
    <w:semiHidden/>
    <w:rsid w:val="00767BB9"/>
  </w:style>
  <w:style w:type="table" w:customStyle="1" w:styleId="Tablaconcuadrcula380">
    <w:name w:val="Tabla con cuadrícula380"/>
    <w:basedOn w:val="Tablanormal"/>
    <w:next w:val="Tablaconcuadrcula"/>
    <w:rsid w:val="00767B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7">
    <w:name w:val="Sin lista247"/>
    <w:next w:val="Sinlista"/>
    <w:semiHidden/>
    <w:rsid w:val="00590D83"/>
  </w:style>
  <w:style w:type="table" w:customStyle="1" w:styleId="Tablaconcuadrcula1460">
    <w:name w:val="Tabla con cuadrícula 146"/>
    <w:basedOn w:val="Tablanormal"/>
    <w:next w:val="Tablaconcuadrcula10"/>
    <w:rsid w:val="00590D8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Listaconnmeros2">
    <w:name w:val="List Number 2"/>
    <w:basedOn w:val="Normal"/>
    <w:uiPriority w:val="99"/>
    <w:rsid w:val="00590D83"/>
    <w:pPr>
      <w:numPr>
        <w:numId w:val="11"/>
      </w:numPr>
      <w:tabs>
        <w:tab w:val="clear" w:pos="643"/>
        <w:tab w:val="left" w:pos="720"/>
      </w:tabs>
      <w:ind w:left="1440" w:hanging="720"/>
      <w:jc w:val="both"/>
    </w:pPr>
    <w:rPr>
      <w:rFonts w:eastAsia="Times New Roman"/>
      <w:sz w:val="22"/>
      <w:szCs w:val="20"/>
      <w:lang w:val="es-ES" w:eastAsia="en-GB"/>
    </w:rPr>
  </w:style>
  <w:style w:type="table" w:customStyle="1" w:styleId="Tablaconcuadrcula381">
    <w:name w:val="Tabla con cuadrícula381"/>
    <w:basedOn w:val="Tablanormal"/>
    <w:next w:val="Tablaconcuadrcula"/>
    <w:rsid w:val="00D749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8">
    <w:name w:val="Sin lista248"/>
    <w:next w:val="Sinlista"/>
    <w:semiHidden/>
    <w:rsid w:val="00980C2F"/>
  </w:style>
  <w:style w:type="table" w:customStyle="1" w:styleId="Tablaconcuadrcula1470">
    <w:name w:val="Tabla con cuadrícula 147"/>
    <w:basedOn w:val="Tablanormal"/>
    <w:next w:val="Tablaconcuadrcula10"/>
    <w:rsid w:val="00980C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footnote3">
    <w:name w:val="footnote3"/>
    <w:basedOn w:val="Normal"/>
    <w:uiPriority w:val="99"/>
    <w:rsid w:val="00A53EC0"/>
    <w:pPr>
      <w:spacing w:after="312" w:line="312" w:lineRule="atLeast"/>
    </w:pPr>
    <w:rPr>
      <w:rFonts w:ascii="Verdana" w:eastAsia="Times New Roman" w:hAnsi="Verdana"/>
      <w:sz w:val="22"/>
      <w:szCs w:val="22"/>
      <w:lang w:val="es-ES"/>
    </w:rPr>
  </w:style>
  <w:style w:type="numbering" w:customStyle="1" w:styleId="Sinlista249">
    <w:name w:val="Sin lista249"/>
    <w:next w:val="Sinlista"/>
    <w:semiHidden/>
    <w:rsid w:val="00957534"/>
  </w:style>
  <w:style w:type="table" w:customStyle="1" w:styleId="Tablaconcuadrcula382">
    <w:name w:val="Tabla con cuadrícula382"/>
    <w:basedOn w:val="Tablanormal"/>
    <w:next w:val="Tablaconcuadrcula"/>
    <w:rsid w:val="009575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3">
    <w:name w:val="Tabla con cuadrícula383"/>
    <w:basedOn w:val="Tablanormal"/>
    <w:next w:val="Tablaconcuadrcula"/>
    <w:rsid w:val="00642F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4">
    <w:name w:val="Tabla con cuadrícula384"/>
    <w:basedOn w:val="Tablanormal"/>
    <w:next w:val="Tablaconcuadrcula"/>
    <w:rsid w:val="005932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0">
    <w:name w:val="Sin lista250"/>
    <w:next w:val="Sinlista"/>
    <w:semiHidden/>
    <w:rsid w:val="00FB055D"/>
  </w:style>
  <w:style w:type="table" w:customStyle="1" w:styleId="Tablaconcuadrcula385">
    <w:name w:val="Tabla con cuadrícula385"/>
    <w:basedOn w:val="Tablanormal"/>
    <w:next w:val="Tablaconcuadrcula"/>
    <w:rsid w:val="00FB05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6">
    <w:name w:val="Tabla con cuadrícula386"/>
    <w:basedOn w:val="Tablanormal"/>
    <w:next w:val="Tablaconcuadrcula"/>
    <w:rsid w:val="001C25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4">
    <w:name w:val="Sin lista254"/>
    <w:next w:val="Sinlista"/>
    <w:semiHidden/>
    <w:rsid w:val="00A5100F"/>
  </w:style>
  <w:style w:type="table" w:customStyle="1" w:styleId="Tablaconcuadrcula387">
    <w:name w:val="Tabla con cuadrícula387"/>
    <w:basedOn w:val="Tablanormal"/>
    <w:next w:val="Tablaconcuadrcula"/>
    <w:rsid w:val="00C577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0">
    <w:name w:val="Tabla con cuadrícula 148"/>
    <w:basedOn w:val="Tablanormal"/>
    <w:next w:val="Tablaconcuadrcula10"/>
    <w:rsid w:val="003947DA"/>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8">
    <w:name w:val="Tabla con cuadrícula388"/>
    <w:basedOn w:val="Tablanormal"/>
    <w:next w:val="Tablaconcuadrcula"/>
    <w:rsid w:val="002D3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5">
    <w:name w:val="Sin lista255"/>
    <w:next w:val="Sinlista"/>
    <w:semiHidden/>
    <w:rsid w:val="00D1615D"/>
  </w:style>
  <w:style w:type="paragraph" w:customStyle="1" w:styleId="msonospacing0">
    <w:name w:val="msonospacing"/>
    <w:basedOn w:val="Normal"/>
    <w:rsid w:val="00D1615D"/>
    <w:pPr>
      <w:spacing w:before="100" w:beforeAutospacing="1" w:after="100" w:afterAutospacing="1"/>
    </w:pPr>
    <w:rPr>
      <w:rFonts w:eastAsia="Times New Roman"/>
      <w:lang w:val="es-ES"/>
    </w:rPr>
  </w:style>
  <w:style w:type="table" w:customStyle="1" w:styleId="Tablaconcuadrcula389">
    <w:name w:val="Tabla con cuadrícula389"/>
    <w:basedOn w:val="Tablanormal"/>
    <w:next w:val="Tablaconcuadrcula"/>
    <w:rsid w:val="00D161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0">
    <w:name w:val="Tabla con cuadrícula390"/>
    <w:basedOn w:val="Tablanormal"/>
    <w:next w:val="Tablaconcuadrcula"/>
    <w:rsid w:val="00644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6">
    <w:name w:val="Sin lista256"/>
    <w:next w:val="Sinlista"/>
    <w:semiHidden/>
    <w:rsid w:val="003563C3"/>
  </w:style>
  <w:style w:type="numbering" w:customStyle="1" w:styleId="Sinlista257">
    <w:name w:val="Sin lista257"/>
    <w:next w:val="Sinlista"/>
    <w:semiHidden/>
    <w:rsid w:val="003237A0"/>
  </w:style>
  <w:style w:type="table" w:customStyle="1" w:styleId="Tablaconcuadrcula391">
    <w:name w:val="Tabla con cuadrícula391"/>
    <w:basedOn w:val="Tablanormal"/>
    <w:next w:val="Tablaconcuadrcula"/>
    <w:rsid w:val="006F21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2">
    <w:name w:val="Tabla con cuadrícula392"/>
    <w:basedOn w:val="Tablanormal"/>
    <w:next w:val="Tablaconcuadrcula"/>
    <w:rsid w:val="008B7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3">
    <w:name w:val="Tabla con cuadrícula393"/>
    <w:basedOn w:val="Tablanormal"/>
    <w:next w:val="Tablaconcuadrcula"/>
    <w:rsid w:val="007B62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4">
    <w:name w:val="Tabla con cuadrícula394"/>
    <w:basedOn w:val="Tablanormal"/>
    <w:next w:val="Tablaconcuadrcula"/>
    <w:rsid w:val="000B5FF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8">
    <w:name w:val="Sin lista258"/>
    <w:next w:val="Sinlista"/>
    <w:semiHidden/>
    <w:rsid w:val="001862AE"/>
  </w:style>
  <w:style w:type="table" w:customStyle="1" w:styleId="Tablaconcuadrcula395">
    <w:name w:val="Tabla con cuadrícula395"/>
    <w:basedOn w:val="Tablanormal"/>
    <w:next w:val="Tablaconcuadrcula"/>
    <w:rsid w:val="002C17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9">
    <w:name w:val="Sin lista259"/>
    <w:next w:val="Sinlista"/>
    <w:semiHidden/>
    <w:rsid w:val="00C60BD6"/>
  </w:style>
  <w:style w:type="table" w:customStyle="1" w:styleId="Tablaconcuadrcula396">
    <w:name w:val="Tabla con cuadrícula396"/>
    <w:basedOn w:val="Tablanormal"/>
    <w:next w:val="Tablaconcuadrcula"/>
    <w:rsid w:val="00C60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0">
    <w:name w:val="Sin lista260"/>
    <w:next w:val="Sinlista"/>
    <w:semiHidden/>
    <w:rsid w:val="00384FDC"/>
  </w:style>
  <w:style w:type="character" w:customStyle="1" w:styleId="noteinfo1">
    <w:name w:val="noteinfo1"/>
    <w:basedOn w:val="Fuentedeprrafopredeter"/>
    <w:rsid w:val="00384FDC"/>
    <w:rPr>
      <w:vanish w:val="0"/>
      <w:webHidden w:val="0"/>
      <w:color w:val="969696"/>
      <w:specVanish w:val="0"/>
    </w:rPr>
  </w:style>
  <w:style w:type="character" w:customStyle="1" w:styleId="noteintro1">
    <w:name w:val="noteintro1"/>
    <w:basedOn w:val="Fuentedeprrafopredeter"/>
    <w:rsid w:val="00384FDC"/>
    <w:rPr>
      <w:color w:val="000000"/>
      <w:sz w:val="23"/>
      <w:szCs w:val="23"/>
    </w:rPr>
  </w:style>
  <w:style w:type="table" w:customStyle="1" w:styleId="Tablaconcuadrcula397">
    <w:name w:val="Tabla con cuadrícula397"/>
    <w:basedOn w:val="Tablanormal"/>
    <w:next w:val="Tablaconcuadrcula"/>
    <w:rsid w:val="00384F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4">
    <w:name w:val="Sin lista264"/>
    <w:next w:val="Sinlista"/>
    <w:semiHidden/>
    <w:rsid w:val="005E1DD2"/>
  </w:style>
  <w:style w:type="numbering" w:customStyle="1" w:styleId="Sinlista265">
    <w:name w:val="Sin lista265"/>
    <w:next w:val="Sinlista"/>
    <w:semiHidden/>
    <w:rsid w:val="00EC76F9"/>
  </w:style>
  <w:style w:type="numbering" w:customStyle="1" w:styleId="Sinlista266">
    <w:name w:val="Sin lista266"/>
    <w:next w:val="Sinlista"/>
    <w:semiHidden/>
    <w:rsid w:val="00EC76F9"/>
  </w:style>
  <w:style w:type="table" w:customStyle="1" w:styleId="Tablaconcuadrcula398">
    <w:name w:val="Tabla con cuadrícula398"/>
    <w:basedOn w:val="Tablanormal"/>
    <w:next w:val="Tablaconcuadrcula"/>
    <w:rsid w:val="00EC76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9">
    <w:name w:val="Tabla con cuadrícula399"/>
    <w:basedOn w:val="Tablanormal"/>
    <w:next w:val="Tablaconcuadrcula"/>
    <w:rsid w:val="00BA41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0">
    <w:name w:val="Tabla con cuadrícula400"/>
    <w:basedOn w:val="Tablanormal"/>
    <w:next w:val="Tablaconcuadrcula"/>
    <w:rsid w:val="00E534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7">
    <w:name w:val="Sin lista267"/>
    <w:next w:val="Sinlista"/>
    <w:semiHidden/>
    <w:rsid w:val="00BF2EBD"/>
  </w:style>
  <w:style w:type="numbering" w:customStyle="1" w:styleId="Sinlista268">
    <w:name w:val="Sin lista268"/>
    <w:next w:val="Sinlista"/>
    <w:semiHidden/>
    <w:rsid w:val="00883CEA"/>
  </w:style>
  <w:style w:type="paragraph" w:customStyle="1" w:styleId="Style22">
    <w:name w:val="Style 22"/>
    <w:basedOn w:val="Normal"/>
    <w:uiPriority w:val="99"/>
    <w:rsid w:val="00883CEA"/>
    <w:pPr>
      <w:widowControl w:val="0"/>
      <w:autoSpaceDE w:val="0"/>
      <w:autoSpaceDN w:val="0"/>
      <w:ind w:left="108"/>
    </w:pPr>
    <w:rPr>
      <w:rFonts w:eastAsia="Times New Roman"/>
      <w:lang w:val="en-US"/>
    </w:rPr>
  </w:style>
  <w:style w:type="table" w:customStyle="1" w:styleId="Tablaconcuadrcula401">
    <w:name w:val="Tabla con cuadrícula401"/>
    <w:basedOn w:val="Tablanormal"/>
    <w:next w:val="Tablaconcuadrcula"/>
    <w:rsid w:val="00883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2">
    <w:name w:val="Tabla con cuadrícula402"/>
    <w:basedOn w:val="Tablanormal"/>
    <w:next w:val="Tablaconcuadrcula"/>
    <w:rsid w:val="00F601E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9">
    <w:name w:val="Sin lista269"/>
    <w:next w:val="Sinlista"/>
    <w:semiHidden/>
    <w:rsid w:val="00010413"/>
  </w:style>
  <w:style w:type="table" w:customStyle="1" w:styleId="Tablaconcuadrcula403">
    <w:name w:val="Tabla con cuadrícula403"/>
    <w:basedOn w:val="Tablanormal"/>
    <w:next w:val="Tablaconcuadrcula"/>
    <w:rsid w:val="005174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4">
    <w:name w:val="Tabla con cuadrícula404"/>
    <w:basedOn w:val="Tablanormal"/>
    <w:next w:val="Tablaconcuadrcula"/>
    <w:rsid w:val="001D089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490">
    <w:name w:val="Tabla con cuadrícula 149"/>
    <w:basedOn w:val="Tablanormal"/>
    <w:next w:val="Tablaconcuadrcula10"/>
    <w:rsid w:val="00A1704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70">
    <w:name w:val="Sin lista270"/>
    <w:next w:val="Sinlista"/>
    <w:semiHidden/>
    <w:rsid w:val="00892EBE"/>
  </w:style>
  <w:style w:type="table" w:customStyle="1" w:styleId="Tablaconcuadrcula1501">
    <w:name w:val="Tabla con cuadrícula 150"/>
    <w:basedOn w:val="Tablanormal"/>
    <w:next w:val="Tablaconcuadrcula10"/>
    <w:rsid w:val="00BB3DA8"/>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05">
    <w:name w:val="Tabla con cuadrícula405"/>
    <w:basedOn w:val="Tablanormal"/>
    <w:next w:val="Tablaconcuadrcula"/>
    <w:rsid w:val="00FD59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4">
    <w:name w:val="Sin lista274"/>
    <w:next w:val="Sinlista"/>
    <w:semiHidden/>
    <w:rsid w:val="001C6D47"/>
  </w:style>
  <w:style w:type="table" w:customStyle="1" w:styleId="Tablaconcuadrcula406">
    <w:name w:val="Tabla con cuadrícula406"/>
    <w:basedOn w:val="Tablanormal"/>
    <w:next w:val="Tablaconcuadrcula"/>
    <w:rsid w:val="001C6D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5">
    <w:name w:val="Sin lista275"/>
    <w:next w:val="Sinlista"/>
    <w:semiHidden/>
    <w:rsid w:val="00AC612A"/>
  </w:style>
  <w:style w:type="table" w:customStyle="1" w:styleId="Tablaconcuadrcula407">
    <w:name w:val="Tabla con cuadrícula407"/>
    <w:basedOn w:val="Tablanormal"/>
    <w:next w:val="Tablaconcuadrcula"/>
    <w:rsid w:val="00AC612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8">
    <w:name w:val="Tabla con cuadrícula408"/>
    <w:basedOn w:val="Tablanormal"/>
    <w:next w:val="Tablaconcuadrcula"/>
    <w:rsid w:val="00B757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9">
    <w:name w:val="Tabla con cuadrícula409"/>
    <w:basedOn w:val="Tablanormal"/>
    <w:next w:val="Tablaconcuadrcula"/>
    <w:rsid w:val="00035D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6">
    <w:name w:val="Sin lista276"/>
    <w:next w:val="Sinlista"/>
    <w:semiHidden/>
    <w:rsid w:val="00121CB4"/>
  </w:style>
  <w:style w:type="table" w:customStyle="1" w:styleId="Tablaconcuadrcula410">
    <w:name w:val="Tabla con cuadrícula410"/>
    <w:basedOn w:val="Tablanormal"/>
    <w:next w:val="Tablaconcuadrcula"/>
    <w:rsid w:val="00121C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rsid w:val="0056205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rsid w:val="007210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7">
    <w:name w:val="Sin lista277"/>
    <w:next w:val="Sinlista"/>
    <w:semiHidden/>
    <w:rsid w:val="00A94C1F"/>
  </w:style>
  <w:style w:type="table" w:customStyle="1" w:styleId="Tablaconcuadrcula413">
    <w:name w:val="Tabla con cuadrícula413"/>
    <w:basedOn w:val="Tablanormal"/>
    <w:next w:val="Tablaconcuadrcula"/>
    <w:rsid w:val="00A94C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8">
    <w:name w:val="Sin lista278"/>
    <w:next w:val="Sinlista"/>
    <w:semiHidden/>
    <w:rsid w:val="006E3CC2"/>
  </w:style>
  <w:style w:type="table" w:customStyle="1" w:styleId="Tablaconcuadrcula414">
    <w:name w:val="Tabla con cuadrícula414"/>
    <w:basedOn w:val="Tablanormal"/>
    <w:next w:val="Tablaconcuadrcula"/>
    <w:rsid w:val="006E3C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9">
    <w:name w:val="Sin lista279"/>
    <w:next w:val="Sinlista"/>
    <w:semiHidden/>
    <w:rsid w:val="006E1899"/>
  </w:style>
  <w:style w:type="table" w:customStyle="1" w:styleId="Tablaconcuadrcula415">
    <w:name w:val="Tabla con cuadrícula415"/>
    <w:basedOn w:val="Tablanormal"/>
    <w:next w:val="Tablaconcuadrcula"/>
    <w:rsid w:val="006E189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0">
    <w:name w:val="Sin lista280"/>
    <w:next w:val="Sinlista"/>
    <w:semiHidden/>
    <w:rsid w:val="00D215E7"/>
  </w:style>
  <w:style w:type="table" w:customStyle="1" w:styleId="Tablaconcuadrcula416">
    <w:name w:val="Tabla con cuadrícula416"/>
    <w:basedOn w:val="Tablanormal"/>
    <w:next w:val="Tablaconcuadrcula"/>
    <w:rsid w:val="00D215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4">
    <w:name w:val="Sin lista284"/>
    <w:next w:val="Sinlista"/>
    <w:semiHidden/>
    <w:rsid w:val="00FA295E"/>
  </w:style>
  <w:style w:type="table" w:customStyle="1" w:styleId="Tablaconcuadrcula417">
    <w:name w:val="Tabla con cuadrícula417"/>
    <w:basedOn w:val="Tablanormal"/>
    <w:next w:val="Tablaconcuadrcula"/>
    <w:rsid w:val="00FA29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
    <w:name w:val="Tabla con cuadrícula 151"/>
    <w:basedOn w:val="Tablanormal"/>
    <w:next w:val="Tablaconcuadrcula10"/>
    <w:rsid w:val="00057ED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85">
    <w:name w:val="Sin lista285"/>
    <w:next w:val="Sinlista"/>
    <w:semiHidden/>
    <w:rsid w:val="002B5A3B"/>
  </w:style>
  <w:style w:type="table" w:customStyle="1" w:styleId="Tablaconcuadrcula418">
    <w:name w:val="Tabla con cuadrícula418"/>
    <w:basedOn w:val="Tablanormal"/>
    <w:next w:val="Tablaconcuadrcula"/>
    <w:rsid w:val="002B5A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6">
    <w:name w:val="Sin lista286"/>
    <w:next w:val="Sinlista"/>
    <w:semiHidden/>
    <w:rsid w:val="00A377EF"/>
  </w:style>
  <w:style w:type="table" w:customStyle="1" w:styleId="Tablaconcuadrcula419">
    <w:name w:val="Tabla con cuadrícula419"/>
    <w:basedOn w:val="Tablanormal"/>
    <w:next w:val="Tablaconcuadrcula"/>
    <w:rsid w:val="00A377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7">
    <w:name w:val="Sin lista287"/>
    <w:next w:val="Sinlista"/>
    <w:semiHidden/>
    <w:rsid w:val="008676DE"/>
  </w:style>
  <w:style w:type="table" w:customStyle="1" w:styleId="Tablaconcuadrcula420">
    <w:name w:val="Tabla con cuadrícula420"/>
    <w:basedOn w:val="Tablanormal"/>
    <w:next w:val="Tablaconcuadrcula"/>
    <w:rsid w:val="008676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8">
    <w:name w:val="Sin lista288"/>
    <w:next w:val="Sinlista"/>
    <w:semiHidden/>
    <w:rsid w:val="009173C4"/>
  </w:style>
  <w:style w:type="table" w:customStyle="1" w:styleId="Tablaconcuadrcula421">
    <w:name w:val="Tabla con cuadrícula421"/>
    <w:basedOn w:val="Tablanormal"/>
    <w:next w:val="Tablaconcuadrcula"/>
    <w:rsid w:val="009173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9">
    <w:name w:val="Sin lista289"/>
    <w:next w:val="Sinlista"/>
    <w:semiHidden/>
    <w:rsid w:val="00127795"/>
  </w:style>
  <w:style w:type="table" w:customStyle="1" w:styleId="Tablaconcuadrcula422">
    <w:name w:val="Tabla con cuadrícula422"/>
    <w:basedOn w:val="Tablanormal"/>
    <w:next w:val="Tablaconcuadrcula"/>
    <w:rsid w:val="00127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next w:val="Tablaconcuadrcula"/>
    <w:rsid w:val="00243BC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90">
    <w:name w:val="Sin lista290"/>
    <w:next w:val="Sinlista"/>
    <w:semiHidden/>
    <w:rsid w:val="008B0611"/>
  </w:style>
  <w:style w:type="table" w:customStyle="1" w:styleId="Tablaconcuadrcula424">
    <w:name w:val="Tabla con cuadrícula424"/>
    <w:basedOn w:val="Tablanormal"/>
    <w:next w:val="Tablaconcuadrcula"/>
    <w:rsid w:val="008B06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next w:val="Tablaconcuadrcula"/>
    <w:rsid w:val="00FE11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0">
    <w:name w:val="Tabla con cuadrícula 152"/>
    <w:basedOn w:val="Tablanormal"/>
    <w:next w:val="Tablaconcuadrcula10"/>
    <w:rsid w:val="009E76F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26">
    <w:name w:val="Tabla con cuadrícula426"/>
    <w:basedOn w:val="Tablanormal"/>
    <w:next w:val="Tablaconcuadrcula"/>
    <w:rsid w:val="00B710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4">
    <w:name w:val="Sin lista294"/>
    <w:next w:val="Sinlista"/>
    <w:semiHidden/>
    <w:rsid w:val="00576B47"/>
  </w:style>
  <w:style w:type="table" w:customStyle="1" w:styleId="Tablaconcuadrcula427">
    <w:name w:val="Tabla con cuadrícula427"/>
    <w:basedOn w:val="Tablanormal"/>
    <w:next w:val="Tablaconcuadrcula"/>
    <w:rsid w:val="00576B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5">
    <w:name w:val="Sin lista295"/>
    <w:next w:val="Sinlista"/>
    <w:semiHidden/>
    <w:rsid w:val="00956EDE"/>
  </w:style>
  <w:style w:type="table" w:customStyle="1" w:styleId="Tablaconcuadrcula428">
    <w:name w:val="Tabla con cuadrícula428"/>
    <w:basedOn w:val="Tablanormal"/>
    <w:next w:val="Tablaconcuadrcula"/>
    <w:rsid w:val="00956E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6">
    <w:name w:val="Sin lista296"/>
    <w:next w:val="Sinlista"/>
    <w:semiHidden/>
    <w:rsid w:val="0048716F"/>
  </w:style>
  <w:style w:type="table" w:customStyle="1" w:styleId="Tablaconcuadrcula429">
    <w:name w:val="Tabla con cuadrícula429"/>
    <w:basedOn w:val="Tablanormal"/>
    <w:next w:val="Tablaconcuadrcula"/>
    <w:rsid w:val="004871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next w:val="Tablaconcuadrcula"/>
    <w:rsid w:val="006E48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7">
    <w:name w:val="Sin lista297"/>
    <w:next w:val="Sinlista"/>
    <w:semiHidden/>
    <w:rsid w:val="005A5817"/>
  </w:style>
  <w:style w:type="table" w:customStyle="1" w:styleId="Tablaconcuadrcula431">
    <w:name w:val="Tabla con cuadrícula431"/>
    <w:basedOn w:val="Tablanormal"/>
    <w:next w:val="Tablaconcuadrcula"/>
    <w:rsid w:val="00D308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next w:val="Tablaconcuadrcula"/>
    <w:rsid w:val="002E72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next w:val="Tablaconcuadrcula"/>
    <w:rsid w:val="000238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8">
    <w:name w:val="Sin lista298"/>
    <w:next w:val="Sinlista"/>
    <w:semiHidden/>
    <w:rsid w:val="00B527C4"/>
  </w:style>
  <w:style w:type="table" w:customStyle="1" w:styleId="Tablaconcuadrcula434">
    <w:name w:val="Tabla con cuadrícula434"/>
    <w:basedOn w:val="Tablanormal"/>
    <w:next w:val="Tablaconcuadrcula"/>
    <w:rsid w:val="00B527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next w:val="Tablaconcuadrcula"/>
    <w:rsid w:val="00B90E4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9">
    <w:name w:val="Sin lista299"/>
    <w:next w:val="Sinlista"/>
    <w:semiHidden/>
    <w:rsid w:val="002F5D4A"/>
  </w:style>
  <w:style w:type="table" w:customStyle="1" w:styleId="Tablaconcuadrcula436">
    <w:name w:val="Tabla con cuadrícula436"/>
    <w:basedOn w:val="Tablanormal"/>
    <w:next w:val="Tablaconcuadrcula"/>
    <w:rsid w:val="002F5D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next w:val="Tablaconcuadrcula"/>
    <w:rsid w:val="00E96B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next w:val="Tablaconcuadrcula"/>
    <w:rsid w:val="003614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0">
    <w:name w:val="Sin lista300"/>
    <w:next w:val="Sinlista"/>
    <w:semiHidden/>
    <w:rsid w:val="00C655B1"/>
  </w:style>
  <w:style w:type="table" w:customStyle="1" w:styleId="Tablaconcuadrcula439">
    <w:name w:val="Tabla con cuadrícula439"/>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4">
    <w:name w:val="Sin lista304"/>
    <w:next w:val="Sinlista"/>
    <w:semiHidden/>
    <w:rsid w:val="00D02182"/>
  </w:style>
  <w:style w:type="table" w:customStyle="1" w:styleId="Tablaconcuadrcula440">
    <w:name w:val="Tabla con cuadrícula440"/>
    <w:basedOn w:val="Tablanormal"/>
    <w:next w:val="Tablaconcuadrcula"/>
    <w:rsid w:val="00D021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rsid w:val="00BA47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5">
    <w:name w:val="Sin lista305"/>
    <w:next w:val="Sinlista"/>
    <w:semiHidden/>
    <w:rsid w:val="005818B8"/>
  </w:style>
  <w:style w:type="table" w:customStyle="1" w:styleId="Tablaconcuadrcula442">
    <w:name w:val="Tabla con cuadrícula442"/>
    <w:basedOn w:val="Tablanormal"/>
    <w:next w:val="Tablaconcuadrcula"/>
    <w:rsid w:val="005818B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6">
    <w:name w:val="Sin lista306"/>
    <w:next w:val="Sinlista"/>
    <w:semiHidden/>
    <w:rsid w:val="007600C7"/>
  </w:style>
  <w:style w:type="table" w:customStyle="1" w:styleId="Tablaconcuadrcula443">
    <w:name w:val="Tabla con cuadrícula443"/>
    <w:basedOn w:val="Tablanormal"/>
    <w:next w:val="Tablaconcuadrcula"/>
    <w:rsid w:val="007600C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next w:val="Tablaconcuadrcula"/>
    <w:rsid w:val="007D60C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7">
    <w:name w:val="Sin lista307"/>
    <w:next w:val="Sinlista"/>
    <w:semiHidden/>
    <w:rsid w:val="00E86245"/>
  </w:style>
  <w:style w:type="table" w:customStyle="1" w:styleId="Tablaconcuadrcula445">
    <w:name w:val="Tabla con cuadrícula445"/>
    <w:basedOn w:val="Tablanormal"/>
    <w:next w:val="Tablaconcuadrcula"/>
    <w:rsid w:val="00E862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next w:val="Tablaconcuadrcula"/>
    <w:rsid w:val="00B134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next w:val="Tablaconcuadrcula"/>
    <w:rsid w:val="006160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next w:val="Tablaconcuadrcula"/>
    <w:rsid w:val="00FB11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0">
    <w:name w:val="Tabla con cuadrícula 153"/>
    <w:basedOn w:val="Tablanormal"/>
    <w:next w:val="Tablaconcuadrcula10"/>
    <w:rsid w:val="0099037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08">
    <w:name w:val="Sin lista308"/>
    <w:next w:val="Sinlista"/>
    <w:semiHidden/>
    <w:rsid w:val="0076440E"/>
  </w:style>
  <w:style w:type="table" w:customStyle="1" w:styleId="Tablaconcuadrcula449">
    <w:name w:val="Tabla con cuadrícula449"/>
    <w:basedOn w:val="Tablanormal"/>
    <w:next w:val="Tablaconcuadrcula"/>
    <w:rsid w:val="007644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9">
    <w:name w:val="Sin lista309"/>
    <w:next w:val="Sinlista"/>
    <w:semiHidden/>
    <w:rsid w:val="006B3542"/>
  </w:style>
  <w:style w:type="numbering" w:customStyle="1" w:styleId="Sinlista316">
    <w:name w:val="Sin lista316"/>
    <w:next w:val="Sinlista"/>
    <w:semiHidden/>
    <w:rsid w:val="00643404"/>
  </w:style>
  <w:style w:type="table" w:customStyle="1" w:styleId="Tablaconcuadrcula450">
    <w:name w:val="Tabla con cuadrícula450"/>
    <w:basedOn w:val="Tablanormal"/>
    <w:next w:val="Tablaconcuadrcula"/>
    <w:rsid w:val="006434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7">
    <w:name w:val="Sin lista317"/>
    <w:next w:val="Sinlista"/>
    <w:semiHidden/>
    <w:rsid w:val="00DA6F07"/>
  </w:style>
  <w:style w:type="table" w:customStyle="1" w:styleId="Tablaconcuadrcula451">
    <w:name w:val="Tabla con cuadrícula451"/>
    <w:basedOn w:val="Tablanormal"/>
    <w:next w:val="Tablaconcuadrcula"/>
    <w:rsid w:val="00DA6F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60">
    <w:name w:val="Character Style 60"/>
    <w:rsid w:val="00DA6F07"/>
    <w:rPr>
      <w:color w:val="000000"/>
      <w:sz w:val="6"/>
      <w:szCs w:val="6"/>
      <w:shd w:val="clear" w:color="auto" w:fill="DFDFDF"/>
    </w:rPr>
  </w:style>
  <w:style w:type="table" w:customStyle="1" w:styleId="Tablaconcuadrcula1540">
    <w:name w:val="Tabla con cuadrícula 154"/>
    <w:basedOn w:val="Tablanormal"/>
    <w:next w:val="Tablaconcuadrcula10"/>
    <w:rsid w:val="00DA6F07"/>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tyle7">
    <w:name w:val="Style 7"/>
    <w:basedOn w:val="Normal"/>
    <w:uiPriority w:val="99"/>
    <w:rsid w:val="00DA6F07"/>
    <w:pPr>
      <w:widowControl w:val="0"/>
      <w:autoSpaceDE w:val="0"/>
      <w:autoSpaceDN w:val="0"/>
      <w:ind w:firstLine="288"/>
      <w:jc w:val="both"/>
    </w:pPr>
    <w:rPr>
      <w:rFonts w:eastAsia="Times New Roman"/>
      <w:sz w:val="21"/>
      <w:szCs w:val="21"/>
      <w:lang w:val="en-US"/>
    </w:rPr>
  </w:style>
  <w:style w:type="numbering" w:customStyle="1" w:styleId="Sinlista318">
    <w:name w:val="Sin lista318"/>
    <w:next w:val="Sinlista"/>
    <w:semiHidden/>
    <w:rsid w:val="009B69A9"/>
  </w:style>
  <w:style w:type="table" w:customStyle="1" w:styleId="Tablaconcuadrcula452">
    <w:name w:val="Tabla con cuadrícula452"/>
    <w:basedOn w:val="Tablanormal"/>
    <w:next w:val="Tablaconcuadrcula"/>
    <w:rsid w:val="009B69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basedOn w:val="Sinlista"/>
    <w:next w:val="111111"/>
    <w:rsid w:val="00101047"/>
  </w:style>
  <w:style w:type="table" w:customStyle="1" w:styleId="Tablaconcuadrcula453">
    <w:name w:val="Tabla con cuadrícula453"/>
    <w:basedOn w:val="Tablanormal"/>
    <w:next w:val="Tablaconcuadrcula"/>
    <w:rsid w:val="001010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Sinlista"/>
    <w:next w:val="111111"/>
    <w:rsid w:val="00101047"/>
  </w:style>
  <w:style w:type="numbering" w:customStyle="1" w:styleId="Sinlista319">
    <w:name w:val="Sin lista319"/>
    <w:next w:val="Sinlista"/>
    <w:semiHidden/>
    <w:rsid w:val="004B43B6"/>
  </w:style>
  <w:style w:type="table" w:customStyle="1" w:styleId="Tablaconcuadrcula454">
    <w:name w:val="Tabla con cuadrícula454"/>
    <w:basedOn w:val="Tablanormal"/>
    <w:next w:val="Tablaconcuadrcula"/>
    <w:rsid w:val="00A61C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0">
    <w:name w:val="Sin lista320"/>
    <w:next w:val="Sinlista"/>
    <w:semiHidden/>
    <w:rsid w:val="0019748F"/>
  </w:style>
  <w:style w:type="character" w:customStyle="1" w:styleId="CarCar18">
    <w:name w:val="Car Car18"/>
    <w:rsid w:val="0019748F"/>
    <w:rPr>
      <w:rFonts w:cs="CG Palacio (WN)"/>
      <w:b/>
      <w:sz w:val="18"/>
      <w:szCs w:val="24"/>
      <w:lang w:val="es-ES" w:eastAsia="es-ES" w:bidi="ar-SA"/>
    </w:rPr>
  </w:style>
  <w:style w:type="character" w:customStyle="1" w:styleId="CarCar17">
    <w:name w:val="Car Car17"/>
    <w:rsid w:val="0019748F"/>
    <w:rPr>
      <w:rFonts w:ascii="Arial" w:hAnsi="Arial" w:cs="Helv"/>
      <w:sz w:val="18"/>
      <w:lang w:val="es-ES_tradnl" w:eastAsia="es-MX" w:bidi="ar-SA"/>
    </w:rPr>
  </w:style>
  <w:style w:type="character" w:customStyle="1" w:styleId="Ttulo3Car">
    <w:name w:val="Título 3 Car"/>
    <w:aliases w:val="num.                                              3 Car"/>
    <w:link w:val="Ttulo3"/>
    <w:uiPriority w:val="9"/>
    <w:rsid w:val="0019748F"/>
    <w:rPr>
      <w:rFonts w:eastAsia="SimSun"/>
      <w:b/>
      <w:bCs/>
      <w:sz w:val="22"/>
      <w:szCs w:val="22"/>
      <w:lang w:val="es-ES" w:eastAsia="es-ES" w:bidi="ar-SA"/>
    </w:rPr>
  </w:style>
  <w:style w:type="character" w:customStyle="1" w:styleId="CarCar15">
    <w:name w:val="Car Car15"/>
    <w:rsid w:val="0019748F"/>
    <w:rPr>
      <w:sz w:val="24"/>
      <w:lang w:val="es-ES" w:eastAsia="es-ES" w:bidi="ar-SA"/>
    </w:rPr>
  </w:style>
  <w:style w:type="character" w:customStyle="1" w:styleId="CarCar14">
    <w:name w:val="Car Car14"/>
    <w:rsid w:val="0019748F"/>
    <w:rPr>
      <w:rFonts w:ascii="Arial" w:hAnsi="Arial"/>
      <w:b/>
      <w:sz w:val="24"/>
      <w:lang w:val="es-ES" w:eastAsia="es-ES" w:bidi="ar-SA"/>
    </w:rPr>
  </w:style>
  <w:style w:type="character" w:customStyle="1" w:styleId="Ttulo6Car">
    <w:name w:val="Título 6 Car"/>
    <w:link w:val="Ttulo6"/>
    <w:uiPriority w:val="9"/>
    <w:rsid w:val="0019748F"/>
    <w:rPr>
      <w:rFonts w:eastAsia="SimSun"/>
      <w:b/>
      <w:sz w:val="26"/>
      <w:szCs w:val="26"/>
      <w:lang w:val="es-ES" w:eastAsia="es-ES" w:bidi="ar-SA"/>
    </w:rPr>
  </w:style>
  <w:style w:type="character" w:customStyle="1" w:styleId="Ttulo7Car">
    <w:name w:val="Título 7 Car"/>
    <w:link w:val="Ttulo7"/>
    <w:uiPriority w:val="99"/>
    <w:rsid w:val="0019748F"/>
    <w:rPr>
      <w:rFonts w:eastAsia="SimSun"/>
      <w:b/>
      <w:bCs/>
      <w:sz w:val="14"/>
      <w:szCs w:val="26"/>
      <w:lang w:val="es-ES" w:eastAsia="es-ES" w:bidi="ar-SA"/>
    </w:rPr>
  </w:style>
  <w:style w:type="character" w:customStyle="1" w:styleId="Ttulo8Car">
    <w:name w:val="Título 8 Car"/>
    <w:link w:val="Ttulo8"/>
    <w:uiPriority w:val="99"/>
    <w:rsid w:val="0019748F"/>
    <w:rPr>
      <w:rFonts w:eastAsia="SimSun"/>
      <w:i/>
      <w:iCs/>
      <w:sz w:val="24"/>
      <w:szCs w:val="24"/>
      <w:lang w:val="es-MX" w:eastAsia="es-ES" w:bidi="ar-SA"/>
    </w:rPr>
  </w:style>
  <w:style w:type="character" w:customStyle="1" w:styleId="Ttulo9Car">
    <w:name w:val="Título 9 Car"/>
    <w:link w:val="Ttulo9"/>
    <w:uiPriority w:val="99"/>
    <w:rsid w:val="0019748F"/>
    <w:rPr>
      <w:rFonts w:ascii="Arial" w:eastAsia="SimSun" w:hAnsi="Arial"/>
      <w:sz w:val="22"/>
      <w:szCs w:val="22"/>
      <w:lang w:val="es-MX" w:eastAsia="es-ES" w:bidi="ar-SA"/>
    </w:rPr>
  </w:style>
  <w:style w:type="character" w:customStyle="1" w:styleId="SangradetextonormalCar">
    <w:name w:val="Sangría de texto normal Car"/>
    <w:link w:val="Sangradetextonormal"/>
    <w:uiPriority w:val="99"/>
    <w:rsid w:val="0019748F"/>
    <w:rPr>
      <w:rFonts w:eastAsia="SimSun"/>
      <w:sz w:val="24"/>
      <w:szCs w:val="24"/>
      <w:lang w:val="es-ES" w:eastAsia="es-ES" w:bidi="ar-SA"/>
    </w:rPr>
  </w:style>
  <w:style w:type="character" w:customStyle="1" w:styleId="Sangra2detindependienteCar">
    <w:name w:val="Sangría 2 de t. independiente Car"/>
    <w:link w:val="Sangra2detindependiente"/>
    <w:uiPriority w:val="99"/>
    <w:rsid w:val="0019748F"/>
    <w:rPr>
      <w:rFonts w:eastAsia="SimSun"/>
      <w:sz w:val="24"/>
      <w:szCs w:val="24"/>
      <w:lang w:val="es-ES" w:eastAsia="es-ES" w:bidi="ar-SA"/>
    </w:rPr>
  </w:style>
  <w:style w:type="character" w:customStyle="1" w:styleId="CarCar7">
    <w:name w:val="Car Car7"/>
    <w:rsid w:val="0019748F"/>
    <w:rPr>
      <w:lang w:val="es-ES" w:eastAsia="es-ES" w:bidi="ar-SA"/>
    </w:rPr>
  </w:style>
  <w:style w:type="character" w:customStyle="1" w:styleId="PiedepginaCar">
    <w:name w:val="Pie de página Car"/>
    <w:link w:val="Piedepgina"/>
    <w:rsid w:val="0019748F"/>
    <w:rPr>
      <w:rFonts w:eastAsia="SimSun"/>
      <w:sz w:val="24"/>
      <w:szCs w:val="24"/>
      <w:lang w:val="es-MX" w:eastAsia="es-ES" w:bidi="ar-SA"/>
    </w:rPr>
  </w:style>
  <w:style w:type="character" w:customStyle="1" w:styleId="TextoindependienteCar">
    <w:name w:val="Texto independiente Car"/>
    <w:aliases w:val=" Car Car Car Car Car Car Car,Car Car Car Car Car Car Car1"/>
    <w:link w:val="Textoindependiente"/>
    <w:rsid w:val="0019748F"/>
    <w:rPr>
      <w:rFonts w:eastAsia="SimSun"/>
      <w:szCs w:val="24"/>
      <w:lang w:val="es-MX" w:eastAsia="es-ES" w:bidi="ar-SA"/>
    </w:rPr>
  </w:style>
  <w:style w:type="character" w:customStyle="1" w:styleId="Textoindependiente2Car">
    <w:name w:val="Texto independiente 2 Car"/>
    <w:link w:val="Textoindependiente2"/>
    <w:uiPriority w:val="99"/>
    <w:rsid w:val="0019748F"/>
    <w:rPr>
      <w:rFonts w:eastAsia="SimSun"/>
      <w:sz w:val="26"/>
      <w:szCs w:val="24"/>
      <w:lang w:val="es-MX" w:eastAsia="es-ES" w:bidi="ar-SA"/>
    </w:rPr>
  </w:style>
  <w:style w:type="paragraph" w:customStyle="1" w:styleId="xl114">
    <w:name w:val="xl114"/>
    <w:basedOn w:val="Normal"/>
    <w:uiPriority w:val="99"/>
    <w:rsid w:val="0019748F"/>
    <w:pPr>
      <w:shd w:val="clear" w:color="000000" w:fill="FFFFFF"/>
      <w:spacing w:before="100" w:beforeAutospacing="1" w:after="100" w:afterAutospacing="1"/>
      <w:jc w:val="center"/>
    </w:pPr>
    <w:rPr>
      <w:rFonts w:eastAsia="Times New Roman"/>
      <w:lang w:eastAsia="es-MX"/>
    </w:rPr>
  </w:style>
  <w:style w:type="paragraph" w:customStyle="1" w:styleId="xl128">
    <w:name w:val="xl128"/>
    <w:basedOn w:val="Normal"/>
    <w:uiPriority w:val="99"/>
    <w:rsid w:val="0019748F"/>
    <w:pPr>
      <w:shd w:val="clear" w:color="000000" w:fill="FFFFFF"/>
      <w:spacing w:before="100" w:beforeAutospacing="1" w:after="100" w:afterAutospacing="1"/>
      <w:jc w:val="center"/>
    </w:pPr>
    <w:rPr>
      <w:rFonts w:ascii="Arial" w:eastAsia="Times New Roman" w:hAnsi="Arial" w:cs="Arial"/>
      <w:sz w:val="22"/>
      <w:szCs w:val="22"/>
      <w:lang w:eastAsia="es-MX"/>
    </w:rPr>
  </w:style>
  <w:style w:type="paragraph" w:customStyle="1" w:styleId="Secreta">
    <w:name w:val="Secreta"/>
    <w:basedOn w:val="Normal"/>
    <w:autoRedefine/>
    <w:uiPriority w:val="99"/>
    <w:rsid w:val="0019748F"/>
    <w:pPr>
      <w:tabs>
        <w:tab w:val="right" w:leader="dot" w:pos="8100"/>
        <w:tab w:val="right" w:pos="8640"/>
      </w:tabs>
      <w:spacing w:line="334" w:lineRule="exact"/>
      <w:ind w:left="274" w:right="749"/>
      <w:jc w:val="both"/>
    </w:pPr>
    <w:rPr>
      <w:rFonts w:eastAsia="Times New Roman"/>
      <w:b/>
      <w:sz w:val="20"/>
      <w:szCs w:val="20"/>
      <w:u w:val="single"/>
      <w:lang w:val="es-ES_tradnl"/>
    </w:rPr>
  </w:style>
  <w:style w:type="table" w:customStyle="1" w:styleId="Tablaconcuadrcula455">
    <w:name w:val="Tabla con cuadrícula455"/>
    <w:basedOn w:val="Tablanormal"/>
    <w:next w:val="Tablaconcuadrcula"/>
    <w:rsid w:val="000C1D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next w:val="Tablaconcuadrcula"/>
    <w:rsid w:val="003F0E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next w:val="Tablaconcuadrcula"/>
    <w:rsid w:val="000F33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4">
    <w:name w:val="Sin lista324"/>
    <w:next w:val="Sinlista"/>
    <w:semiHidden/>
    <w:rsid w:val="0073114E"/>
  </w:style>
  <w:style w:type="table" w:customStyle="1" w:styleId="Tablaconcuadrcula458">
    <w:name w:val="Tabla con cuadrícula458"/>
    <w:basedOn w:val="Tablanormal"/>
    <w:next w:val="Tablaconcuadrcula"/>
    <w:rsid w:val="00AD7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next w:val="Tablaconcuadrcula"/>
    <w:rsid w:val="005D68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0">
    <w:name w:val="Tabla con cuadrícula460"/>
    <w:basedOn w:val="Tablanormal"/>
    <w:next w:val="Tablaconcuadrcula"/>
    <w:rsid w:val="003107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5">
    <w:name w:val="Sin lista325"/>
    <w:next w:val="Sinlista"/>
    <w:semiHidden/>
    <w:rsid w:val="004E20F6"/>
  </w:style>
  <w:style w:type="table" w:customStyle="1" w:styleId="Tablaconcuadrcula461">
    <w:name w:val="Tabla con cuadrícula461"/>
    <w:basedOn w:val="Tablanormal"/>
    <w:next w:val="Tablaconcuadrcula"/>
    <w:rsid w:val="004E2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next w:val="Tablaconcuadrcula"/>
    <w:rsid w:val="005D11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3">
    <w:name w:val="Tabla con cuadrícula463"/>
    <w:basedOn w:val="Tablanormal"/>
    <w:next w:val="Tablaconcuadrcula"/>
    <w:rsid w:val="00473E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6">
    <w:name w:val="Sin lista326"/>
    <w:next w:val="Sinlista"/>
    <w:semiHidden/>
    <w:rsid w:val="007D6242"/>
  </w:style>
  <w:style w:type="table" w:customStyle="1" w:styleId="Tablaconcuadrcula464">
    <w:name w:val="Tabla con cuadrícula464"/>
    <w:basedOn w:val="Tablanormal"/>
    <w:next w:val="Tablaconcuadrcula"/>
    <w:rsid w:val="007D62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50">
    <w:name w:val="Tabla con cuadrícula 155"/>
    <w:basedOn w:val="Tablanormal"/>
    <w:next w:val="Tablaconcuadrcula10"/>
    <w:rsid w:val="00ED7BC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27">
    <w:name w:val="Sin lista327"/>
    <w:next w:val="Sinlista"/>
    <w:semiHidden/>
    <w:rsid w:val="00C66900"/>
  </w:style>
  <w:style w:type="table" w:customStyle="1" w:styleId="Tablaconcuadrcula465">
    <w:name w:val="Tabla con cuadrícula465"/>
    <w:basedOn w:val="Tablanormal"/>
    <w:next w:val="Tablaconcuadrcula"/>
    <w:rsid w:val="00C669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8">
    <w:name w:val="Sin lista328"/>
    <w:next w:val="Sinlista"/>
    <w:semiHidden/>
    <w:rsid w:val="00322D90"/>
  </w:style>
  <w:style w:type="table" w:customStyle="1" w:styleId="Tablaconcuadrcula466">
    <w:name w:val="Tabla con cuadrícula466"/>
    <w:basedOn w:val="Tablanormal"/>
    <w:next w:val="Tablaconcuadrcula"/>
    <w:rsid w:val="00322D9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9">
    <w:name w:val="Sin lista329"/>
    <w:next w:val="Sinlista"/>
    <w:semiHidden/>
    <w:rsid w:val="00E832CC"/>
  </w:style>
  <w:style w:type="table" w:customStyle="1" w:styleId="Tablaconcuadrcula467">
    <w:name w:val="Tabla con cuadrícula467"/>
    <w:basedOn w:val="Tablanormal"/>
    <w:next w:val="Tablaconcuadrcula"/>
    <w:rsid w:val="00E83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8">
    <w:name w:val="Tabla con cuadrícula468"/>
    <w:basedOn w:val="Tablanormal"/>
    <w:next w:val="Tablaconcuadrcula"/>
    <w:rsid w:val="000B2E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0">
    <w:name w:val="Sin lista330"/>
    <w:next w:val="Sinlista"/>
    <w:semiHidden/>
    <w:rsid w:val="00933439"/>
  </w:style>
  <w:style w:type="table" w:customStyle="1" w:styleId="Tablaconcuadrcula469">
    <w:name w:val="Tabla con cuadrícula469"/>
    <w:basedOn w:val="Tablanormal"/>
    <w:next w:val="Tablaconcuadrcula"/>
    <w:rsid w:val="00C615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4">
    <w:name w:val="Sin lista334"/>
    <w:next w:val="Sinlista"/>
    <w:semiHidden/>
    <w:rsid w:val="0091338E"/>
  </w:style>
  <w:style w:type="table" w:customStyle="1" w:styleId="Tablaconcuadrcula1560">
    <w:name w:val="Tabla con cuadrícula 156"/>
    <w:basedOn w:val="Tablanormal"/>
    <w:next w:val="Tablaconcuadrcula10"/>
    <w:rsid w:val="0091338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35">
    <w:name w:val="Sin lista335"/>
    <w:next w:val="Sinlista"/>
    <w:semiHidden/>
    <w:rsid w:val="000860BC"/>
  </w:style>
  <w:style w:type="table" w:customStyle="1" w:styleId="Tablaconcuadrcula470">
    <w:name w:val="Tabla con cuadrícula470"/>
    <w:basedOn w:val="Tablanormal"/>
    <w:next w:val="Tablaconcuadrcula"/>
    <w:rsid w:val="000860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
    <w:name w:val="Tabla con cuadrícula471"/>
    <w:basedOn w:val="Tablanormal"/>
    <w:next w:val="Tablaconcuadrcula"/>
    <w:rsid w:val="00EA652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2">
    <w:name w:val="Tabla con cuadrícula472"/>
    <w:basedOn w:val="Tablanormal"/>
    <w:next w:val="Tablaconcuadrcula"/>
    <w:rsid w:val="00FA50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3">
    <w:name w:val="Tabla con cuadrícula473"/>
    <w:basedOn w:val="Tablanormal"/>
    <w:next w:val="Tablaconcuadrcula"/>
    <w:rsid w:val="00C8658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4">
    <w:name w:val="Tabla con cuadrícula474"/>
    <w:basedOn w:val="Tablanormal"/>
    <w:next w:val="Tablaconcuadrcula"/>
    <w:rsid w:val="00395B6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6">
    <w:name w:val="Sin lista336"/>
    <w:next w:val="Sinlista"/>
    <w:semiHidden/>
    <w:rsid w:val="006C7C31"/>
  </w:style>
  <w:style w:type="table" w:customStyle="1" w:styleId="Tablaconcuadrcula475">
    <w:name w:val="Tabla con cuadrícula475"/>
    <w:basedOn w:val="Tablanormal"/>
    <w:next w:val="Tablaconcuadrcula"/>
    <w:rsid w:val="006C7C3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7">
    <w:name w:val="Sin lista337"/>
    <w:next w:val="Sinlista"/>
    <w:semiHidden/>
    <w:rsid w:val="004745F4"/>
  </w:style>
  <w:style w:type="numbering" w:customStyle="1" w:styleId="Sinlista338">
    <w:name w:val="Sin lista338"/>
    <w:next w:val="Sinlista"/>
    <w:semiHidden/>
    <w:rsid w:val="00727106"/>
  </w:style>
  <w:style w:type="table" w:customStyle="1" w:styleId="Tablaconcuadrcula476">
    <w:name w:val="Tabla con cuadrícula476"/>
    <w:basedOn w:val="Tablanormal"/>
    <w:next w:val="Tablaconcuadrcula"/>
    <w:rsid w:val="007271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
    <w:name w:val="1 / 1.1 / 1.1.1142"/>
    <w:basedOn w:val="Sinlista"/>
    <w:next w:val="111111"/>
    <w:rsid w:val="00776874"/>
    <w:pPr>
      <w:numPr>
        <w:numId w:val="1"/>
      </w:numPr>
    </w:pPr>
  </w:style>
  <w:style w:type="table" w:customStyle="1" w:styleId="Tablaconcuadrcula477">
    <w:name w:val="Tabla con cuadrícula477"/>
    <w:basedOn w:val="Tablanormal"/>
    <w:next w:val="Tablaconcuadrcula"/>
    <w:rsid w:val="005373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8">
    <w:name w:val="Tabla con cuadrícula478"/>
    <w:basedOn w:val="Tablanormal"/>
    <w:next w:val="Tablaconcuadrcula"/>
    <w:rsid w:val="00E549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9">
    <w:name w:val="Tabla con cuadrícula479"/>
    <w:basedOn w:val="Tablanormal"/>
    <w:next w:val="Tablaconcuadrcula"/>
    <w:rsid w:val="007129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9">
    <w:name w:val="Sin lista339"/>
    <w:next w:val="Sinlista"/>
    <w:semiHidden/>
    <w:rsid w:val="0080080D"/>
  </w:style>
  <w:style w:type="numbering" w:customStyle="1" w:styleId="Sinlista340">
    <w:name w:val="Sin lista340"/>
    <w:next w:val="Sinlista"/>
    <w:semiHidden/>
    <w:rsid w:val="003B17A9"/>
  </w:style>
  <w:style w:type="table" w:customStyle="1" w:styleId="Tablaconcuadrcula480">
    <w:name w:val="Tabla con cuadrícula480"/>
    <w:basedOn w:val="Tablanormal"/>
    <w:next w:val="Tablaconcuadrcula"/>
    <w:rsid w:val="003B17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
    <w:name w:val="Tabla con cuadrícula481"/>
    <w:basedOn w:val="Tablanormal"/>
    <w:next w:val="Tablaconcuadrcula"/>
    <w:rsid w:val="004D74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2">
    <w:name w:val="Tabla con cuadrícula482"/>
    <w:basedOn w:val="Tablanormal"/>
    <w:next w:val="Tablaconcuadrcula"/>
    <w:rsid w:val="00965A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4">
    <w:name w:val="Sin lista344"/>
    <w:next w:val="Sinlista"/>
    <w:semiHidden/>
    <w:rsid w:val="006577E9"/>
  </w:style>
  <w:style w:type="table" w:customStyle="1" w:styleId="Tablaconcuadrcula1570">
    <w:name w:val="Tabla con cuadrícula 157"/>
    <w:basedOn w:val="Tablanormal"/>
    <w:next w:val="Tablaconcuadrcula10"/>
    <w:rsid w:val="006577E9"/>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83">
    <w:name w:val="Tabla con cuadrícula483"/>
    <w:basedOn w:val="Tablanormal"/>
    <w:next w:val="Tablaconcuadrcula"/>
    <w:rsid w:val="006577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5">
    <w:name w:val="Sin lista345"/>
    <w:next w:val="Sinlista"/>
    <w:semiHidden/>
    <w:rsid w:val="00F86BD6"/>
  </w:style>
  <w:style w:type="table" w:customStyle="1" w:styleId="Tablaconcuadrcula1105">
    <w:name w:val="Tabla con cuadrícula1105"/>
    <w:basedOn w:val="Tablanormal"/>
    <w:next w:val="Tablaconcuadrcula"/>
    <w:rsid w:val="00F86B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4">
    <w:name w:val="Tabla con cuadrícula484"/>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5">
    <w:name w:val="Tabla con cuadrícula485"/>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6">
    <w:name w:val="Tabla con cuadrícula486"/>
    <w:basedOn w:val="Tablanormal"/>
    <w:next w:val="Tablaconcuadrcula"/>
    <w:rsid w:val="00415D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7">
    <w:name w:val="Tabla con cuadrícula487"/>
    <w:basedOn w:val="Tablanormal"/>
    <w:next w:val="Tablaconcuadrcula"/>
    <w:rsid w:val="003848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6">
    <w:name w:val="Sin lista346"/>
    <w:next w:val="Sinlista"/>
    <w:semiHidden/>
    <w:rsid w:val="006B7453"/>
  </w:style>
  <w:style w:type="table" w:customStyle="1" w:styleId="Tablaconcuadrcula488">
    <w:name w:val="Tabla con cuadrícula488"/>
    <w:basedOn w:val="Tablanormal"/>
    <w:next w:val="Tablaconcuadrcula"/>
    <w:rsid w:val="006B745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9">
    <w:name w:val="Tabla con cuadrícula489"/>
    <w:basedOn w:val="Tablanormal"/>
    <w:next w:val="Tablaconcuadrcula"/>
    <w:rsid w:val="00D80F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0">
    <w:name w:val="Tabla con cuadrícula 158"/>
    <w:basedOn w:val="Tablanormal"/>
    <w:next w:val="Tablaconcuadrcula10"/>
    <w:rsid w:val="00D33833"/>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0">
    <w:name w:val="Tabla con cuadrícula490"/>
    <w:basedOn w:val="Tablanormal"/>
    <w:next w:val="Tablaconcuadrcula"/>
    <w:rsid w:val="00687D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0">
    <w:name w:val="Tabla con cuadrícula 159"/>
    <w:basedOn w:val="Tablanormal"/>
    <w:next w:val="Tablaconcuadrcula10"/>
    <w:rsid w:val="00BC6985"/>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47">
    <w:name w:val="Sin lista347"/>
    <w:next w:val="Sinlista"/>
    <w:semiHidden/>
    <w:rsid w:val="003F5F23"/>
  </w:style>
  <w:style w:type="table" w:customStyle="1" w:styleId="Tablaconcuadrcula491">
    <w:name w:val="Tabla con cuadrícula491"/>
    <w:basedOn w:val="Tablanormal"/>
    <w:next w:val="Tablaconcuadrcula"/>
    <w:rsid w:val="003F5F2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8">
    <w:name w:val="Sin lista348"/>
    <w:next w:val="Sinlista"/>
    <w:semiHidden/>
    <w:rsid w:val="002D25D0"/>
  </w:style>
  <w:style w:type="numbering" w:customStyle="1" w:styleId="Sinlista349">
    <w:name w:val="Sin lista349"/>
    <w:next w:val="Sinlista"/>
    <w:semiHidden/>
    <w:rsid w:val="00853D07"/>
  </w:style>
  <w:style w:type="table" w:customStyle="1" w:styleId="Tablaconcuadrcula492">
    <w:name w:val="Tabla con cuadrícula492"/>
    <w:basedOn w:val="Tablanormal"/>
    <w:next w:val="Tablaconcuadrcula"/>
    <w:rsid w:val="00853D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0">
    <w:name w:val="Sin lista350"/>
    <w:next w:val="Sinlista"/>
    <w:semiHidden/>
    <w:rsid w:val="00180B2F"/>
  </w:style>
  <w:style w:type="table" w:customStyle="1" w:styleId="Tablaconcuadrcula1600">
    <w:name w:val="Tabla con cuadrícula 160"/>
    <w:basedOn w:val="Tablanormal"/>
    <w:next w:val="Tablaconcuadrcula10"/>
    <w:rsid w:val="00180B2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3">
    <w:name w:val="Tabla con cuadrícula493"/>
    <w:basedOn w:val="Tablanormal"/>
    <w:next w:val="Tablaconcuadrcula"/>
    <w:rsid w:val="00DA55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4">
    <w:name w:val="Sin lista354"/>
    <w:next w:val="Sinlista"/>
    <w:semiHidden/>
    <w:rsid w:val="00B61BEE"/>
  </w:style>
  <w:style w:type="numbering" w:customStyle="1" w:styleId="Sinlista355">
    <w:name w:val="Sin lista355"/>
    <w:next w:val="Sinlista"/>
    <w:semiHidden/>
    <w:rsid w:val="000F5B37"/>
  </w:style>
  <w:style w:type="table" w:customStyle="1" w:styleId="Tablaconcuadrcula494">
    <w:name w:val="Tabla con cuadrícula494"/>
    <w:basedOn w:val="Tablanormal"/>
    <w:next w:val="Tablaconcuadrcula"/>
    <w:rsid w:val="000F5B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6">
    <w:name w:val="Sin lista356"/>
    <w:next w:val="Sinlista"/>
    <w:semiHidden/>
    <w:rsid w:val="0014404F"/>
  </w:style>
  <w:style w:type="character" w:customStyle="1" w:styleId="EstiloCorreo24501">
    <w:name w:val="EstiloCorreo24501"/>
    <w:basedOn w:val="Fuentedeprrafopredeter"/>
    <w:semiHidden/>
    <w:rsid w:val="0014404F"/>
    <w:rPr>
      <w:rFonts w:ascii="Arial" w:hAnsi="Arial" w:cs="Arial"/>
      <w:color w:val="auto"/>
      <w:sz w:val="20"/>
      <w:szCs w:val="20"/>
    </w:rPr>
  </w:style>
  <w:style w:type="table" w:customStyle="1" w:styleId="Tablaconcuadrcula495">
    <w:name w:val="Tabla con cuadrícula495"/>
    <w:basedOn w:val="Tablanormal"/>
    <w:next w:val="Tablaconcuadrcula"/>
    <w:rsid w:val="00E478C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7">
    <w:name w:val="Sin lista357"/>
    <w:next w:val="Sinlista"/>
    <w:semiHidden/>
    <w:rsid w:val="00E26576"/>
  </w:style>
  <w:style w:type="table" w:customStyle="1" w:styleId="Tablaconcuadrcula496">
    <w:name w:val="Tabla con cuadrícula496"/>
    <w:basedOn w:val="Tablanormal"/>
    <w:next w:val="Tablaconcuadrcula"/>
    <w:rsid w:val="00E265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7">
    <w:name w:val="Tabla con cuadrícula497"/>
    <w:basedOn w:val="Tablanormal"/>
    <w:next w:val="Tablaconcuadrcula"/>
    <w:rsid w:val="001D72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8">
    <w:name w:val="Tabla con cuadrícula498"/>
    <w:basedOn w:val="Tablanormal"/>
    <w:next w:val="Tablaconcuadrcula"/>
    <w:rsid w:val="00A85F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8">
    <w:name w:val="Sin lista358"/>
    <w:next w:val="Sinlista"/>
    <w:semiHidden/>
    <w:rsid w:val="00794ADA"/>
  </w:style>
  <w:style w:type="table" w:customStyle="1" w:styleId="Tablaconcuadrcula499">
    <w:name w:val="Tabla con cuadrícula499"/>
    <w:basedOn w:val="Tablanormal"/>
    <w:next w:val="Tablaconcuadrcula"/>
    <w:rsid w:val="00794A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9">
    <w:name w:val="Sin lista359"/>
    <w:next w:val="Sinlista"/>
    <w:semiHidden/>
    <w:rsid w:val="008D1A96"/>
  </w:style>
  <w:style w:type="table" w:customStyle="1" w:styleId="Tablaconcuadrcula500">
    <w:name w:val="Tabla con cuadrícula500"/>
    <w:basedOn w:val="Tablanormal"/>
    <w:next w:val="Tablaconcuadrcula"/>
    <w:rsid w:val="008D1A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a">
    <w:name w:val="Tabla con cuadrícula 21"/>
    <w:basedOn w:val="Tablanormal"/>
    <w:next w:val="Tablaconcuadrcula2a"/>
    <w:rsid w:val="008D1A96"/>
    <w:rPr>
      <w:rFonts w:eastAsia="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aconcuadrcula1611">
    <w:name w:val="Tabla con cuadrícula 161"/>
    <w:basedOn w:val="Tablanormal"/>
    <w:next w:val="Tablaconcuadrcula10"/>
    <w:rsid w:val="008D1A9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3">
    <w:name w:val="Tabla con cuadrícula503"/>
    <w:basedOn w:val="Tablanormal"/>
    <w:next w:val="Tablaconcuadrcula"/>
    <w:rsid w:val="00A018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4">
    <w:name w:val="Tabla con cuadrícula504"/>
    <w:basedOn w:val="Tablanormal"/>
    <w:next w:val="Tablaconcuadrcula"/>
    <w:rsid w:val="00361B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5">
    <w:name w:val="Tabla con cuadrícula505"/>
    <w:basedOn w:val="Tablanormal"/>
    <w:next w:val="Tablaconcuadrcula"/>
    <w:rsid w:val="007216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0">
    <w:name w:val="Sin lista360"/>
    <w:next w:val="Sinlista"/>
    <w:semiHidden/>
    <w:rsid w:val="00ED4174"/>
  </w:style>
  <w:style w:type="table" w:customStyle="1" w:styleId="Tablaconcuadrcula506">
    <w:name w:val="Tabla con cuadrícula506"/>
    <w:basedOn w:val="Tablanormal"/>
    <w:next w:val="Tablaconcuadrcula"/>
    <w:rsid w:val="00ED417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0">
    <w:name w:val="Tabla con cuadrícula 162"/>
    <w:basedOn w:val="Tablanormal"/>
    <w:next w:val="Tablaconcuadrcula10"/>
    <w:rsid w:val="00ED417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7">
    <w:name w:val="Tabla con cuadrícula507"/>
    <w:basedOn w:val="Tablanormal"/>
    <w:next w:val="Tablaconcuadrcula"/>
    <w:rsid w:val="00C87C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8">
    <w:name w:val="Tabla con cuadrícula508"/>
    <w:basedOn w:val="Tablanormal"/>
    <w:next w:val="Tablaconcuadrcula"/>
    <w:rsid w:val="006255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9">
    <w:name w:val="Tabla con cuadrícula509"/>
    <w:basedOn w:val="Tablanormal"/>
    <w:next w:val="Tablaconcuadrcula"/>
    <w:rsid w:val="009834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
    <w:name w:val="Tabla con cuadrícula510"/>
    <w:basedOn w:val="Tablanormal"/>
    <w:next w:val="Tablaconcuadrcula"/>
    <w:rsid w:val="003275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7">
    <w:name w:val="Tabla con cuadrícula517"/>
    <w:basedOn w:val="Tablanormal"/>
    <w:next w:val="Tablaconcuadrcula"/>
    <w:rsid w:val="005976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8">
    <w:name w:val="Tabla con cuadrícula518"/>
    <w:basedOn w:val="Tablanormal"/>
    <w:next w:val="Tablaconcuadrcula"/>
    <w:rsid w:val="00DC69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4">
    <w:name w:val="Sin lista364"/>
    <w:next w:val="Sinlista"/>
    <w:semiHidden/>
    <w:rsid w:val="0034733D"/>
  </w:style>
  <w:style w:type="table" w:customStyle="1" w:styleId="Tablaconcuadrcula519">
    <w:name w:val="Tabla con cuadrícula519"/>
    <w:basedOn w:val="Tablanormal"/>
    <w:next w:val="Tablaconcuadrcula"/>
    <w:rsid w:val="00347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5">
    <w:name w:val="Sin lista365"/>
    <w:next w:val="Sinlista"/>
    <w:semiHidden/>
    <w:rsid w:val="00777382"/>
  </w:style>
  <w:style w:type="table" w:customStyle="1" w:styleId="Tablaconcuadrcula520">
    <w:name w:val="Tabla con cuadrícula520"/>
    <w:basedOn w:val="Tablanormal"/>
    <w:next w:val="Tablaconcuadrcula"/>
    <w:rsid w:val="001D170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6">
    <w:name w:val="Sin lista366"/>
    <w:next w:val="Sinlista"/>
    <w:semiHidden/>
    <w:rsid w:val="00BB0286"/>
  </w:style>
  <w:style w:type="table" w:customStyle="1" w:styleId="Tablaconcuadrcula524">
    <w:name w:val="Tabla con cuadrícula524"/>
    <w:basedOn w:val="Tablanormal"/>
    <w:next w:val="Tablaconcuadrcula"/>
    <w:rsid w:val="00BB02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5">
    <w:name w:val="Tabla con cuadrícula525"/>
    <w:basedOn w:val="Tablanormal"/>
    <w:next w:val="Tablaconcuadrcula"/>
    <w:rsid w:val="00C82E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6">
    <w:name w:val="Tabla con cuadrícula526"/>
    <w:basedOn w:val="Tablanormal"/>
    <w:next w:val="Tablaconcuadrcula"/>
    <w:rsid w:val="00E406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7">
    <w:name w:val="Tabla con cuadrícula527"/>
    <w:basedOn w:val="Tablanormal"/>
    <w:next w:val="Tablaconcuadrcula"/>
    <w:rsid w:val="00DB68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8">
    <w:name w:val="Tabla con cuadrícula528"/>
    <w:basedOn w:val="Tablanormal"/>
    <w:next w:val="Tablaconcuadrcula"/>
    <w:rsid w:val="00860B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9">
    <w:name w:val="Tabla con cuadrícula529"/>
    <w:basedOn w:val="Tablanormal"/>
    <w:next w:val="Tablaconcuadrcula"/>
    <w:rsid w:val="00C75D3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0">
    <w:name w:val="Tabla con cuadrícula530"/>
    <w:basedOn w:val="Tablanormal"/>
    <w:next w:val="Tablaconcuadrcula"/>
    <w:rsid w:val="00084A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7">
    <w:name w:val="Sin lista367"/>
    <w:next w:val="Sinlista"/>
    <w:semiHidden/>
    <w:rsid w:val="005327B1"/>
  </w:style>
  <w:style w:type="numbering" w:customStyle="1" w:styleId="Sinlista368">
    <w:name w:val="Sin lista368"/>
    <w:next w:val="Sinlista"/>
    <w:semiHidden/>
    <w:rsid w:val="007935A8"/>
  </w:style>
  <w:style w:type="numbering" w:customStyle="1" w:styleId="Sinlista369">
    <w:name w:val="Sin lista369"/>
    <w:next w:val="Sinlista"/>
    <w:semiHidden/>
    <w:rsid w:val="00AF0F84"/>
  </w:style>
  <w:style w:type="table" w:customStyle="1" w:styleId="Tablaconcuadrcula531">
    <w:name w:val="Tabla con cuadrícula531"/>
    <w:basedOn w:val="Tablanormal"/>
    <w:next w:val="Tablaconcuadrcula"/>
    <w:rsid w:val="00AF0F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0">
    <w:name w:val="Sin lista370"/>
    <w:next w:val="Sinlista"/>
    <w:semiHidden/>
    <w:rsid w:val="003B575D"/>
  </w:style>
  <w:style w:type="table" w:customStyle="1" w:styleId="Tablaconcuadrcula532">
    <w:name w:val="Tabla con cuadrícula532"/>
    <w:basedOn w:val="Tablanormal"/>
    <w:next w:val="Tablaconcuadrcula"/>
    <w:rsid w:val="003B57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4">
    <w:name w:val="Sin lista374"/>
    <w:next w:val="Sinlista"/>
    <w:semiHidden/>
    <w:rsid w:val="00D637A7"/>
  </w:style>
  <w:style w:type="table" w:customStyle="1" w:styleId="Tablaconcuadrcula533">
    <w:name w:val="Tabla con cuadrícula533"/>
    <w:basedOn w:val="Tablanormal"/>
    <w:next w:val="Tablaconcuadrcula"/>
    <w:rsid w:val="00D637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5">
    <w:name w:val="Sin lista375"/>
    <w:next w:val="Sinlista"/>
    <w:semiHidden/>
    <w:rsid w:val="007924E0"/>
  </w:style>
  <w:style w:type="table" w:customStyle="1" w:styleId="Tablaconcuadrcula534">
    <w:name w:val="Tabla con cuadrícula534"/>
    <w:basedOn w:val="Tablanormal"/>
    <w:next w:val="Tablaconcuadrcula"/>
    <w:rsid w:val="007924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6">
    <w:name w:val="Sin lista376"/>
    <w:next w:val="Sinlista"/>
    <w:semiHidden/>
    <w:rsid w:val="00A034EB"/>
  </w:style>
  <w:style w:type="table" w:customStyle="1" w:styleId="Tablaconcuadrcula535">
    <w:name w:val="Tabla con cuadrícula535"/>
    <w:basedOn w:val="Tablanormal"/>
    <w:next w:val="Tablaconcuadrcula"/>
    <w:rsid w:val="00A034E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7">
    <w:name w:val="Sin lista377"/>
    <w:next w:val="Sinlista"/>
    <w:semiHidden/>
    <w:rsid w:val="0026239B"/>
  </w:style>
  <w:style w:type="table" w:customStyle="1" w:styleId="Tablaconcuadrcula536">
    <w:name w:val="Tabla con cuadrícula536"/>
    <w:basedOn w:val="Tablanormal"/>
    <w:next w:val="Tablaconcuadrcula"/>
    <w:rsid w:val="002623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0">
    <w:name w:val="Tabla con cuadrícula 163"/>
    <w:basedOn w:val="Tablanormal"/>
    <w:next w:val="Tablaconcuadrcula10"/>
    <w:rsid w:val="001E29B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7">
    <w:name w:val="Tabla con cuadrícula537"/>
    <w:basedOn w:val="Tablanormal"/>
    <w:next w:val="Tablaconcuadrcula"/>
    <w:rsid w:val="00B154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8">
    <w:name w:val="Tabla con cuadrícula538"/>
    <w:basedOn w:val="Tablanormal"/>
    <w:next w:val="Tablaconcuadrcula"/>
    <w:rsid w:val="006A237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9">
    <w:name w:val="Tabla con cuadrícula539"/>
    <w:basedOn w:val="Tablanormal"/>
    <w:next w:val="Tablaconcuadrcula"/>
    <w:rsid w:val="00F2393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8">
    <w:name w:val="Sin lista378"/>
    <w:next w:val="Sinlista"/>
    <w:semiHidden/>
    <w:rsid w:val="00C163B2"/>
  </w:style>
  <w:style w:type="table" w:customStyle="1" w:styleId="Tablaconcuadrcula1640">
    <w:name w:val="Tabla con cuadrícula 164"/>
    <w:basedOn w:val="Tablanormal"/>
    <w:next w:val="Tablaconcuadrcula10"/>
    <w:rsid w:val="00C163B2"/>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40">
    <w:name w:val="Tabla con cuadrícula540"/>
    <w:basedOn w:val="Tablanormal"/>
    <w:next w:val="Tablaconcuadrcula"/>
    <w:rsid w:val="00FE4A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next w:val="Tablaconcuadrcula"/>
    <w:rsid w:val="00811E8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79">
    <w:name w:val="Sin lista379"/>
    <w:next w:val="Sinlista"/>
    <w:semiHidden/>
    <w:rsid w:val="00EB3E41"/>
  </w:style>
  <w:style w:type="table" w:customStyle="1" w:styleId="Tablaconcuadrcula542">
    <w:name w:val="Tabla con cuadrícula542"/>
    <w:basedOn w:val="Tablanormal"/>
    <w:next w:val="Tablaconcuadrcula"/>
    <w:rsid w:val="00EB3E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3">
    <w:name w:val="Tabla con cuadrícula543"/>
    <w:basedOn w:val="Tablanormal"/>
    <w:next w:val="Tablaconcuadrcula"/>
    <w:rsid w:val="00C468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4">
    <w:name w:val="Tabla con cuadrícula544"/>
    <w:basedOn w:val="Tablanormal"/>
    <w:next w:val="Tablaconcuadrcula"/>
    <w:rsid w:val="006F11D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5">
    <w:name w:val="Tabla con cuadrícula545"/>
    <w:basedOn w:val="Tablanormal"/>
    <w:next w:val="Tablaconcuadrcula"/>
    <w:rsid w:val="00CA01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6">
    <w:name w:val="Tabla con cuadrícula546"/>
    <w:basedOn w:val="Tablanormal"/>
    <w:next w:val="Tablaconcuadrcula"/>
    <w:rsid w:val="00C1441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0">
    <w:name w:val="Sin lista380"/>
    <w:next w:val="Sinlista"/>
    <w:semiHidden/>
    <w:rsid w:val="00710A09"/>
  </w:style>
  <w:style w:type="numbering" w:customStyle="1" w:styleId="Sinlista384">
    <w:name w:val="Sin lista384"/>
    <w:next w:val="Sinlista"/>
    <w:semiHidden/>
    <w:rsid w:val="00FC6B95"/>
  </w:style>
  <w:style w:type="table" w:customStyle="1" w:styleId="Tablaconcuadrcula547">
    <w:name w:val="Tabla con cuadrícula547"/>
    <w:basedOn w:val="Tablanormal"/>
    <w:next w:val="Tablaconcuadrcula"/>
    <w:rsid w:val="00FC6B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8">
    <w:name w:val="Tabla con cuadrícula548"/>
    <w:basedOn w:val="Tablanormal"/>
    <w:next w:val="Tablaconcuadrcula"/>
    <w:rsid w:val="0081081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5">
    <w:name w:val="Sin lista385"/>
    <w:next w:val="Sinlista"/>
    <w:semiHidden/>
    <w:rsid w:val="007C140A"/>
  </w:style>
  <w:style w:type="table" w:customStyle="1" w:styleId="Tablaconcuadrcula549">
    <w:name w:val="Tabla con cuadrícula549"/>
    <w:basedOn w:val="Tablanormal"/>
    <w:next w:val="Tablaconcuadrcula"/>
    <w:rsid w:val="007970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0">
    <w:name w:val="Tabla con cuadrícula550"/>
    <w:basedOn w:val="Tablanormal"/>
    <w:next w:val="Tablaconcuadrcula"/>
    <w:rsid w:val="00797B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6">
    <w:name w:val="Sin lista386"/>
    <w:next w:val="Sinlista"/>
    <w:semiHidden/>
    <w:rsid w:val="001661DA"/>
  </w:style>
  <w:style w:type="table" w:customStyle="1" w:styleId="Tablaconcuadrcula551">
    <w:name w:val="Tabla con cuadrícula551"/>
    <w:basedOn w:val="Tablanormal"/>
    <w:next w:val="Tablaconcuadrcula"/>
    <w:rsid w:val="001661D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7">
    <w:name w:val="Sin lista387"/>
    <w:next w:val="Sinlista"/>
    <w:semiHidden/>
    <w:rsid w:val="00002FEA"/>
  </w:style>
  <w:style w:type="table" w:customStyle="1" w:styleId="Tablaconcuadrcula552">
    <w:name w:val="Tabla con cuadrícula552"/>
    <w:basedOn w:val="Tablanormal"/>
    <w:next w:val="Tablaconcuadrcula"/>
    <w:rsid w:val="00002F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8">
    <w:name w:val="Sin lista388"/>
    <w:next w:val="Sinlista"/>
    <w:semiHidden/>
    <w:rsid w:val="00DB3342"/>
  </w:style>
  <w:style w:type="table" w:customStyle="1" w:styleId="Tablaconcuadrcula553">
    <w:name w:val="Tabla con cuadrícula553"/>
    <w:basedOn w:val="Tablanormal"/>
    <w:next w:val="Tablaconcuadrcula"/>
    <w:rsid w:val="00DB33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4">
    <w:name w:val="Tabla con cuadrícula554"/>
    <w:basedOn w:val="Tablanormal"/>
    <w:next w:val="Tablaconcuadrcula"/>
    <w:rsid w:val="00AF32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9">
    <w:name w:val="Sin lista389"/>
    <w:next w:val="Sinlista"/>
    <w:semiHidden/>
    <w:rsid w:val="0053744D"/>
  </w:style>
  <w:style w:type="table" w:customStyle="1" w:styleId="Tablaconcuadrcula555">
    <w:name w:val="Tabla con cuadrícula555"/>
    <w:basedOn w:val="Tablanormal"/>
    <w:next w:val="Tablaconcuadrcula"/>
    <w:rsid w:val="005374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6">
    <w:name w:val="Tabla con cuadrícula556"/>
    <w:basedOn w:val="Tablanormal"/>
    <w:next w:val="Tablaconcuadrcula"/>
    <w:rsid w:val="00F038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7">
    <w:name w:val="Tabla con cuadrícula557"/>
    <w:basedOn w:val="Tablanormal"/>
    <w:next w:val="Tablaconcuadrcula"/>
    <w:rsid w:val="00C407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8">
    <w:name w:val="Tabla con cuadrícula558"/>
    <w:basedOn w:val="Tablanormal"/>
    <w:next w:val="Tablaconcuadrcula"/>
    <w:rsid w:val="006E10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9">
    <w:name w:val="Tabla con cuadrícula559"/>
    <w:basedOn w:val="Tablanormal"/>
    <w:next w:val="Tablaconcuadrcula"/>
    <w:rsid w:val="00C73C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0">
    <w:name w:val="Tabla con cuadrícula560"/>
    <w:basedOn w:val="Tablanormal"/>
    <w:next w:val="Tablaconcuadrcula"/>
    <w:rsid w:val="008F1A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1">
    <w:name w:val="Tabla con cuadrícula561"/>
    <w:basedOn w:val="Tablanormal"/>
    <w:next w:val="Tablaconcuadrcula"/>
    <w:rsid w:val="005F28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0">
    <w:name w:val="Sin lista390"/>
    <w:next w:val="Sinlista"/>
    <w:semiHidden/>
    <w:rsid w:val="0057105D"/>
  </w:style>
  <w:style w:type="table" w:customStyle="1" w:styleId="Tablaconcuadrcula562">
    <w:name w:val="Tabla con cuadrícula562"/>
    <w:basedOn w:val="Tablanormal"/>
    <w:next w:val="Tablaconcuadrcula"/>
    <w:rsid w:val="005710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3">
    <w:name w:val="Tabla con cuadrícula563"/>
    <w:basedOn w:val="Tablanormal"/>
    <w:next w:val="Tablaconcuadrcula"/>
    <w:rsid w:val="0022637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94">
    <w:name w:val="Sin lista394"/>
    <w:next w:val="Sinlista"/>
    <w:semiHidden/>
    <w:rsid w:val="009A1C55"/>
  </w:style>
  <w:style w:type="table" w:customStyle="1" w:styleId="Tablaconcuadrcula564">
    <w:name w:val="Tabla con cuadrícula564"/>
    <w:basedOn w:val="Tablanormal"/>
    <w:next w:val="Tablaconcuadrcula"/>
    <w:rsid w:val="009A1C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5">
    <w:name w:val="Tabla con cuadrícula565"/>
    <w:basedOn w:val="Tablanormal"/>
    <w:next w:val="Tablaconcuadrcula"/>
    <w:rsid w:val="003728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5">
    <w:name w:val="Sin lista395"/>
    <w:next w:val="Sinlista"/>
    <w:semiHidden/>
    <w:rsid w:val="00F520DE"/>
  </w:style>
  <w:style w:type="table" w:customStyle="1" w:styleId="Tablaconcuadrcula566">
    <w:name w:val="Tabla con cuadrícula566"/>
    <w:basedOn w:val="Tablanormal"/>
    <w:next w:val="Tablaconcuadrcula"/>
    <w:rsid w:val="00F52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7">
    <w:name w:val="Tabla con cuadrícula567"/>
    <w:basedOn w:val="Tablanormal"/>
    <w:next w:val="Tablaconcuadrcula"/>
    <w:rsid w:val="00C335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8">
    <w:name w:val="Tabla con cuadrícula568"/>
    <w:basedOn w:val="Tablanormal"/>
    <w:next w:val="Tablaconcuadrcula"/>
    <w:rsid w:val="00135E1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6">
    <w:name w:val="Sin lista396"/>
    <w:next w:val="Sinlista"/>
    <w:semiHidden/>
    <w:rsid w:val="00B61388"/>
  </w:style>
  <w:style w:type="table" w:customStyle="1" w:styleId="Tablaconcuadrcula569">
    <w:name w:val="Tabla con cuadrícula569"/>
    <w:basedOn w:val="Tablanormal"/>
    <w:next w:val="Tablaconcuadrcula"/>
    <w:rsid w:val="00B613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0">
    <w:name w:val="Tabla con cuadrícula570"/>
    <w:basedOn w:val="Tablanormal"/>
    <w:next w:val="Tablaconcuadrcula"/>
    <w:rsid w:val="00F774F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1">
    <w:name w:val="Tabla con cuadrícula571"/>
    <w:basedOn w:val="Tablanormal"/>
    <w:next w:val="Tablaconcuadrcula"/>
    <w:rsid w:val="001D44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2">
    <w:name w:val="Tabla con cuadrícula572"/>
    <w:basedOn w:val="Tablanormal"/>
    <w:next w:val="Tablaconcuadrcula"/>
    <w:rsid w:val="00B80B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3">
    <w:name w:val="Tabla con cuadrícula573"/>
    <w:basedOn w:val="Tablanormal"/>
    <w:next w:val="Tablaconcuadrcula"/>
    <w:rsid w:val="00054A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4">
    <w:name w:val="Tabla con cuadrícula574"/>
    <w:basedOn w:val="Tablanormal"/>
    <w:next w:val="Tablaconcuadrcula"/>
    <w:rsid w:val="00AD71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5">
    <w:name w:val="Tabla con cuadrícula575"/>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6">
    <w:name w:val="Tabla con cuadrícula576"/>
    <w:basedOn w:val="Tablanormal"/>
    <w:next w:val="Tablaconcuadrcula"/>
    <w:rsid w:val="00871C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7">
    <w:name w:val="Sin lista397"/>
    <w:next w:val="Sinlista"/>
    <w:semiHidden/>
    <w:rsid w:val="008E3AEF"/>
  </w:style>
  <w:style w:type="table" w:customStyle="1" w:styleId="Tablaconcuadrcula577">
    <w:name w:val="Tabla con cuadrícula577"/>
    <w:basedOn w:val="Tablanormal"/>
    <w:next w:val="Tablaconcuadrcula"/>
    <w:rsid w:val="00BC6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8">
    <w:name w:val="Sin lista398"/>
    <w:next w:val="Sinlista"/>
    <w:semiHidden/>
    <w:rsid w:val="00857EA9"/>
  </w:style>
  <w:style w:type="table" w:customStyle="1" w:styleId="Tablaconcuadrcula578">
    <w:name w:val="Tabla con cuadrícula578"/>
    <w:basedOn w:val="Tablanormal"/>
    <w:next w:val="Tablaconcuadrcula"/>
    <w:rsid w:val="00857E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9">
    <w:name w:val="Tabla con cuadrícula579"/>
    <w:basedOn w:val="Tablanormal"/>
    <w:next w:val="Tablaconcuadrcula"/>
    <w:rsid w:val="002C15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0">
    <w:name w:val="Tabla con cuadrícula580"/>
    <w:basedOn w:val="Tablanormal"/>
    <w:next w:val="Tablaconcuadrcula"/>
    <w:rsid w:val="005E20A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9">
    <w:name w:val="Sin lista399"/>
    <w:next w:val="Sinlista"/>
    <w:semiHidden/>
    <w:rsid w:val="00DA75B6"/>
  </w:style>
  <w:style w:type="table" w:customStyle="1" w:styleId="Tablaconcuadrcula581">
    <w:name w:val="Tabla con cuadrícula581"/>
    <w:basedOn w:val="Tablanormal"/>
    <w:next w:val="Tablaconcuadrcula"/>
    <w:rsid w:val="00DA75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2">
    <w:name w:val="Tabla con cuadrícula582"/>
    <w:basedOn w:val="Tablanormal"/>
    <w:next w:val="Tablaconcuadrcula"/>
    <w:rsid w:val="00F404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3">
    <w:name w:val="Tabla con cuadrícula583"/>
    <w:basedOn w:val="Tablanormal"/>
    <w:next w:val="Tablaconcuadrcula"/>
    <w:rsid w:val="008B0AE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4">
    <w:name w:val="Tabla con cuadrícula584"/>
    <w:basedOn w:val="Tablanormal"/>
    <w:next w:val="Tablaconcuadrcula"/>
    <w:rsid w:val="00FC7A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5">
    <w:name w:val="Tabla con cuadrícula585"/>
    <w:basedOn w:val="Tablanormal"/>
    <w:next w:val="Tablaconcuadrcula"/>
    <w:rsid w:val="00C2058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6">
    <w:name w:val="Tabla con cuadrícula586"/>
    <w:basedOn w:val="Tablanormal"/>
    <w:next w:val="Tablaconcuadrcula"/>
    <w:rsid w:val="00EC2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7">
    <w:name w:val="Tabla con cuadrícula587"/>
    <w:basedOn w:val="Tablanormal"/>
    <w:next w:val="Tablaconcuadrcula"/>
    <w:rsid w:val="002F4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8">
    <w:name w:val="Tabla con cuadrícula588"/>
    <w:basedOn w:val="Tablanormal"/>
    <w:next w:val="Tablaconcuadrcula"/>
    <w:rsid w:val="005F3B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0">
    <w:name w:val="Sin lista400"/>
    <w:next w:val="Sinlista"/>
    <w:semiHidden/>
    <w:rsid w:val="00AD555C"/>
  </w:style>
  <w:style w:type="numbering" w:customStyle="1" w:styleId="Sinlista404">
    <w:name w:val="Sin lista404"/>
    <w:next w:val="Sinlista"/>
    <w:semiHidden/>
    <w:rsid w:val="00223825"/>
  </w:style>
  <w:style w:type="table" w:customStyle="1" w:styleId="Tablaconcuadrcula589">
    <w:name w:val="Tabla con cuadrícula589"/>
    <w:basedOn w:val="Tablanormal"/>
    <w:next w:val="Tablaconcuadrcula"/>
    <w:rsid w:val="002238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5">
    <w:name w:val="Sin lista405"/>
    <w:next w:val="Sinlista"/>
    <w:semiHidden/>
    <w:rsid w:val="00FE2A12"/>
  </w:style>
  <w:style w:type="table" w:customStyle="1" w:styleId="Tablaconcuadrcula590">
    <w:name w:val="Tabla con cuadrícula590"/>
    <w:basedOn w:val="Tablanormal"/>
    <w:next w:val="Tablaconcuadrcula"/>
    <w:rsid w:val="001202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
    <w:name w:val="Tabla con cuadrícula591"/>
    <w:basedOn w:val="Tablanormal"/>
    <w:next w:val="Tablaconcuadrcula"/>
    <w:rsid w:val="00147E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2">
    <w:name w:val="Tabla con cuadrícula592"/>
    <w:basedOn w:val="Tablanormal"/>
    <w:next w:val="Tablaconcuadrcula"/>
    <w:rsid w:val="00F240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6">
    <w:name w:val="Sin lista406"/>
    <w:next w:val="Sinlista"/>
    <w:semiHidden/>
    <w:rsid w:val="005E2FF4"/>
  </w:style>
  <w:style w:type="table" w:customStyle="1" w:styleId="Tablaconcuadrcula593">
    <w:name w:val="Tabla con cuadrícula593"/>
    <w:basedOn w:val="Tablanormal"/>
    <w:next w:val="Tablaconcuadrcula"/>
    <w:rsid w:val="005E2FF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4">
    <w:name w:val="Tabla con cuadrícula594"/>
    <w:basedOn w:val="Tablanormal"/>
    <w:next w:val="Tablaconcuadrcula"/>
    <w:rsid w:val="001D63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7">
    <w:name w:val="Sin lista407"/>
    <w:next w:val="Sinlista"/>
    <w:semiHidden/>
    <w:rsid w:val="00CD62E3"/>
  </w:style>
  <w:style w:type="table" w:customStyle="1" w:styleId="Tablaconcuadrcula595">
    <w:name w:val="Tabla con cuadrícula595"/>
    <w:basedOn w:val="Tablanormal"/>
    <w:next w:val="Tablaconcuadrcula"/>
    <w:rsid w:val="00CD62E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8">
    <w:name w:val="Sin lista408"/>
    <w:next w:val="Sinlista"/>
    <w:semiHidden/>
    <w:rsid w:val="00987EF7"/>
  </w:style>
  <w:style w:type="table" w:customStyle="1" w:styleId="Tablaconcuadrcula596">
    <w:name w:val="Tabla con cuadrícula596"/>
    <w:basedOn w:val="Tablanormal"/>
    <w:next w:val="Tablaconcuadrcula"/>
    <w:rsid w:val="00987E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p">
    <w:name w:val="spip"/>
    <w:basedOn w:val="Normal"/>
    <w:uiPriority w:val="99"/>
    <w:rsid w:val="00DF052F"/>
    <w:pPr>
      <w:spacing w:before="100" w:beforeAutospacing="1" w:after="100" w:afterAutospacing="1"/>
    </w:pPr>
    <w:rPr>
      <w:rFonts w:eastAsia="Times New Roman"/>
      <w:lang w:val="es-ES"/>
    </w:rPr>
  </w:style>
  <w:style w:type="table" w:customStyle="1" w:styleId="Tablaconcuadrcula597">
    <w:name w:val="Tabla con cuadrícula597"/>
    <w:basedOn w:val="Tablanormal"/>
    <w:next w:val="Tablaconcuadrcula"/>
    <w:rsid w:val="00EE06E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8">
    <w:name w:val="Tabla con cuadrícula598"/>
    <w:basedOn w:val="Tablanormal"/>
    <w:next w:val="Tablaconcuadrcula"/>
    <w:rsid w:val="00592F3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9">
    <w:name w:val="Tabla con cuadrícula599"/>
    <w:basedOn w:val="Tablanormal"/>
    <w:next w:val="Tablaconcuadrcula"/>
    <w:rsid w:val="00473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0">
    <w:name w:val="Tabla con cuadrícula600"/>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
    <w:name w:val="Tabla con cuadrícula601"/>
    <w:basedOn w:val="Tablanormal"/>
    <w:next w:val="Tablaconcuadrcula"/>
    <w:rsid w:val="004C24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9">
    <w:name w:val="Sin lista409"/>
    <w:next w:val="Sinlista"/>
    <w:semiHidden/>
    <w:rsid w:val="003B529A"/>
  </w:style>
  <w:style w:type="table" w:customStyle="1" w:styleId="Tablaconcuadrcula602">
    <w:name w:val="Tabla con cuadrícula602"/>
    <w:basedOn w:val="Tablanormal"/>
    <w:next w:val="Tablaconcuadrcula"/>
    <w:rsid w:val="003B52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3">
    <w:name w:val="Tabla con cuadrícula603"/>
    <w:basedOn w:val="Tablanormal"/>
    <w:next w:val="Tablaconcuadrcula"/>
    <w:rsid w:val="003175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4">
    <w:name w:val="Tabla con cuadrícula604"/>
    <w:basedOn w:val="Tablanormal"/>
    <w:next w:val="Tablaconcuadrcula"/>
    <w:rsid w:val="00D372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5">
    <w:name w:val="Tabla con cuadrícula605"/>
    <w:basedOn w:val="Tablanormal"/>
    <w:next w:val="Tablaconcuadrcula"/>
    <w:rsid w:val="00EF4E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6">
    <w:name w:val="Sin lista416"/>
    <w:next w:val="Sinlista"/>
    <w:semiHidden/>
    <w:rsid w:val="00E01CBB"/>
  </w:style>
  <w:style w:type="table" w:customStyle="1" w:styleId="Tablaconcuadrcula606">
    <w:name w:val="Tabla con cuadrícula606"/>
    <w:basedOn w:val="Tablanormal"/>
    <w:next w:val="Tablaconcuadrcula"/>
    <w:rsid w:val="00E01CB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7">
    <w:name w:val="Sin lista417"/>
    <w:next w:val="Sinlista"/>
    <w:semiHidden/>
    <w:rsid w:val="00960F64"/>
  </w:style>
  <w:style w:type="table" w:customStyle="1" w:styleId="Tablaconcuadrcula607">
    <w:name w:val="Tabla con cuadrícula607"/>
    <w:basedOn w:val="Tablanormal"/>
    <w:next w:val="Tablaconcuadrcula"/>
    <w:rsid w:val="00960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8">
    <w:name w:val="Sin lista418"/>
    <w:next w:val="Sinlista"/>
    <w:semiHidden/>
    <w:rsid w:val="005B2D60"/>
  </w:style>
  <w:style w:type="table" w:customStyle="1" w:styleId="Tablaconcuadrcula608">
    <w:name w:val="Tabla con cuadrícula608"/>
    <w:basedOn w:val="Tablanormal"/>
    <w:next w:val="Tablaconcuadrcula"/>
    <w:rsid w:val="005B2D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9">
    <w:name w:val="Tabla con cuadrícula609"/>
    <w:basedOn w:val="Tablanormal"/>
    <w:next w:val="Tablaconcuadrcula"/>
    <w:rsid w:val="00D26E8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6">
    <w:name w:val="Tabla con cuadrícula616"/>
    <w:basedOn w:val="Tablanormal"/>
    <w:next w:val="Tablaconcuadrcula"/>
    <w:rsid w:val="00026E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9">
    <w:name w:val="Sin lista419"/>
    <w:next w:val="Sinlista"/>
    <w:semiHidden/>
    <w:rsid w:val="00490B4B"/>
  </w:style>
  <w:style w:type="table" w:customStyle="1" w:styleId="Tablaconcuadrcula617">
    <w:name w:val="Tabla con cuadrícula617"/>
    <w:basedOn w:val="Tablanormal"/>
    <w:next w:val="Tablaconcuadrcula"/>
    <w:rsid w:val="00490B4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6">
    <w:name w:val="Tabla con cuadrícula1106"/>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0">
    <w:name w:val="Tabla con cuadrícula2100"/>
    <w:basedOn w:val="Tablanormal"/>
    <w:next w:val="Tablaconcuadrcula"/>
    <w:rsid w:val="00490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0">
    <w:name w:val="Sin lista420"/>
    <w:next w:val="Sinlista"/>
    <w:semiHidden/>
    <w:rsid w:val="00136901"/>
  </w:style>
  <w:style w:type="table" w:customStyle="1" w:styleId="Tablaconcuadrcula618">
    <w:name w:val="Tabla con cuadrícula618"/>
    <w:basedOn w:val="Tablanormal"/>
    <w:next w:val="Tablaconcuadrcula"/>
    <w:rsid w:val="006B31D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9">
    <w:name w:val="Tabla con cuadrícula619"/>
    <w:basedOn w:val="Tablanormal"/>
    <w:next w:val="Tablaconcuadrcula"/>
    <w:rsid w:val="00C23E5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0">
    <w:name w:val="Tabla con cuadrícula620"/>
    <w:basedOn w:val="Tablanormal"/>
    <w:next w:val="Tablaconcuadrcula"/>
    <w:rsid w:val="00515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4">
    <w:name w:val="Sin lista424"/>
    <w:next w:val="Sinlista"/>
    <w:semiHidden/>
    <w:rsid w:val="00B15CD5"/>
  </w:style>
  <w:style w:type="table" w:customStyle="1" w:styleId="Tablaconcuadrcula621">
    <w:name w:val="Tabla con cuadrícula621"/>
    <w:basedOn w:val="Tablanormal"/>
    <w:next w:val="Tablaconcuadrcula"/>
    <w:rsid w:val="00B15C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5">
    <w:name w:val="Sin lista425"/>
    <w:next w:val="Sinlista"/>
    <w:semiHidden/>
    <w:rsid w:val="006B6E18"/>
  </w:style>
  <w:style w:type="table" w:customStyle="1" w:styleId="Tablaconcuadrcula622">
    <w:name w:val="Tabla con cuadrícula622"/>
    <w:basedOn w:val="Tablanormal"/>
    <w:next w:val="Tablaconcuadrcula"/>
    <w:rsid w:val="006B6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3">
    <w:name w:val="Tabla con cuadrícula623"/>
    <w:basedOn w:val="Tablanormal"/>
    <w:next w:val="Tablaconcuadrcula"/>
    <w:rsid w:val="00950B7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4">
    <w:name w:val="Tabla con cuadrícula624"/>
    <w:basedOn w:val="Tablanormal"/>
    <w:next w:val="Tablaconcuadrcula"/>
    <w:rsid w:val="00164E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5">
    <w:name w:val="Tabla con cuadrícula625"/>
    <w:basedOn w:val="Tablanormal"/>
    <w:next w:val="Tablaconcuadrcula"/>
    <w:rsid w:val="003972E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6">
    <w:name w:val="Sin lista426"/>
    <w:next w:val="Sinlista"/>
    <w:semiHidden/>
    <w:rsid w:val="00FE5889"/>
  </w:style>
  <w:style w:type="table" w:customStyle="1" w:styleId="Tablaconcuadrcula626">
    <w:name w:val="Tabla con cuadrícula626"/>
    <w:basedOn w:val="Tablanormal"/>
    <w:next w:val="Tablaconcuadrcula"/>
    <w:rsid w:val="00FE58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0">
    <w:name w:val="Footnote Text Char"/>
    <w:aliases w:val="Footnote Text Char1 Char1,Footnote Text Char1 Char Char,Footnote Text Char Char Char Char"/>
    <w:basedOn w:val="Fuentedeprrafopredeter"/>
    <w:semiHidden/>
    <w:locked/>
    <w:rsid w:val="0091248F"/>
    <w:rPr>
      <w:rFonts w:eastAsia="SimSun"/>
      <w:lang w:val="es-MX" w:eastAsia="es-ES" w:bidi="ar-SA"/>
    </w:rPr>
  </w:style>
  <w:style w:type="numbering" w:customStyle="1" w:styleId="Sinlista427">
    <w:name w:val="Sin lista427"/>
    <w:next w:val="Sinlista"/>
    <w:semiHidden/>
    <w:rsid w:val="000B5902"/>
  </w:style>
  <w:style w:type="table" w:customStyle="1" w:styleId="Tablaconcuadrcula627">
    <w:name w:val="Tabla con cuadrícula627"/>
    <w:basedOn w:val="Tablanormal"/>
    <w:next w:val="Tablaconcuadrcula"/>
    <w:rsid w:val="000B590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8">
    <w:name w:val="Sin lista428"/>
    <w:next w:val="Sinlista"/>
    <w:semiHidden/>
    <w:rsid w:val="007014A5"/>
  </w:style>
  <w:style w:type="table" w:customStyle="1" w:styleId="Tablaconcuadrcula628">
    <w:name w:val="Tabla con cuadrícula628"/>
    <w:basedOn w:val="Tablanormal"/>
    <w:next w:val="Tablaconcuadrcula"/>
    <w:rsid w:val="007014A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9">
    <w:name w:val="Sin lista429"/>
    <w:next w:val="Sinlista"/>
    <w:semiHidden/>
    <w:rsid w:val="001473D2"/>
  </w:style>
  <w:style w:type="table" w:customStyle="1" w:styleId="Tablaconcuadrcula629">
    <w:name w:val="Tabla con cuadrícula629"/>
    <w:basedOn w:val="Tablanormal"/>
    <w:next w:val="Tablaconcuadrcula"/>
    <w:rsid w:val="001473D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0">
    <w:name w:val="Sin lista430"/>
    <w:next w:val="Sinlista"/>
    <w:semiHidden/>
    <w:rsid w:val="00BE2D39"/>
  </w:style>
  <w:style w:type="table" w:customStyle="1" w:styleId="Tablaconcuadrcula630">
    <w:name w:val="Tabla con cuadrícula630"/>
    <w:basedOn w:val="Tablanormal"/>
    <w:next w:val="Tablaconcuadrcula"/>
    <w:rsid w:val="00BE2D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next w:val="Tablaconcuadrcula"/>
    <w:rsid w:val="00DF64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4">
    <w:name w:val="Sin lista434"/>
    <w:next w:val="Sinlista"/>
    <w:semiHidden/>
    <w:rsid w:val="000C0064"/>
  </w:style>
  <w:style w:type="table" w:customStyle="1" w:styleId="Tablaconcuadrcula632">
    <w:name w:val="Tabla con cuadrícula632"/>
    <w:basedOn w:val="Tablanormal"/>
    <w:next w:val="Tablaconcuadrcula"/>
    <w:rsid w:val="000C00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5">
    <w:name w:val="Sin lista435"/>
    <w:next w:val="Sinlista"/>
    <w:semiHidden/>
    <w:rsid w:val="00EC4773"/>
  </w:style>
  <w:style w:type="table" w:customStyle="1" w:styleId="Tablaconcuadrcula633">
    <w:name w:val="Tabla con cuadrícula633"/>
    <w:basedOn w:val="Tablanormal"/>
    <w:next w:val="Tablaconcuadrcula"/>
    <w:rsid w:val="00EC47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6">
    <w:name w:val="Sin lista436"/>
    <w:next w:val="Sinlista"/>
    <w:semiHidden/>
    <w:rsid w:val="006F1F64"/>
  </w:style>
  <w:style w:type="table" w:customStyle="1" w:styleId="Tablaconcuadrcula634">
    <w:name w:val="Tabla con cuadrícula634"/>
    <w:basedOn w:val="Tablanormal"/>
    <w:next w:val="Tablaconcuadrcula"/>
    <w:rsid w:val="006F1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7">
    <w:name w:val="Sin lista437"/>
    <w:next w:val="Sinlista"/>
    <w:semiHidden/>
    <w:rsid w:val="00DB3241"/>
  </w:style>
  <w:style w:type="table" w:customStyle="1" w:styleId="Tablaconcuadrcula635">
    <w:name w:val="Tabla con cuadrícula635"/>
    <w:basedOn w:val="Tablanormal"/>
    <w:next w:val="Tablaconcuadrcula"/>
    <w:rsid w:val="00DB324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8">
    <w:name w:val="Sin lista438"/>
    <w:next w:val="Sinlista"/>
    <w:semiHidden/>
    <w:rsid w:val="00CF16C8"/>
  </w:style>
  <w:style w:type="table" w:customStyle="1" w:styleId="Tablaconcuadrcula636">
    <w:name w:val="Tabla con cuadrícula636"/>
    <w:basedOn w:val="Tablanormal"/>
    <w:next w:val="Tablaconcuadrcula"/>
    <w:rsid w:val="00CF16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9">
    <w:name w:val="Sin lista439"/>
    <w:next w:val="Sinlista"/>
    <w:semiHidden/>
    <w:rsid w:val="00FD6D7B"/>
  </w:style>
  <w:style w:type="table" w:customStyle="1" w:styleId="Tablaconcuadrcula637">
    <w:name w:val="Tabla con cuadrícula637"/>
    <w:basedOn w:val="Tablanormal"/>
    <w:next w:val="Tablaconcuadrcula"/>
    <w:rsid w:val="00FD6D7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0">
    <w:name w:val="Sin lista440"/>
    <w:next w:val="Sinlista"/>
    <w:semiHidden/>
    <w:rsid w:val="00D971F8"/>
  </w:style>
  <w:style w:type="table" w:customStyle="1" w:styleId="Tablaconcuadrcula638">
    <w:name w:val="Tabla con cuadrícula638"/>
    <w:basedOn w:val="Tablanormal"/>
    <w:next w:val="Tablaconcuadrcula"/>
    <w:rsid w:val="00D971F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9">
    <w:name w:val="Tabla con cuadrícula639"/>
    <w:basedOn w:val="Tablanormal"/>
    <w:next w:val="Tablaconcuadrcula"/>
    <w:rsid w:val="00A45EE8"/>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40">
    <w:name w:val="Tabla con cuadrícula640"/>
    <w:basedOn w:val="Tablanormal"/>
    <w:next w:val="Tablaconcuadrcula"/>
    <w:rsid w:val="00F247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next w:val="Tablaconcuadrcula"/>
    <w:rsid w:val="009D21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4">
    <w:name w:val="Sin lista444"/>
    <w:next w:val="Sinlista"/>
    <w:semiHidden/>
    <w:rsid w:val="00033B15"/>
  </w:style>
  <w:style w:type="table" w:customStyle="1" w:styleId="Tablaconcuadrcula642">
    <w:name w:val="Tabla con cuadrícula642"/>
    <w:basedOn w:val="Tablanormal"/>
    <w:next w:val="Tablaconcuadrcula"/>
    <w:rsid w:val="00033B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5">
    <w:name w:val="Sin lista445"/>
    <w:next w:val="Sinlista"/>
    <w:semiHidden/>
    <w:rsid w:val="000E5B81"/>
  </w:style>
  <w:style w:type="table" w:customStyle="1" w:styleId="Tablaconcuadrcula643">
    <w:name w:val="Tabla con cuadrícula643"/>
    <w:basedOn w:val="Tablanormal"/>
    <w:next w:val="Tablaconcuadrcula"/>
    <w:rsid w:val="000E5B8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4">
    <w:name w:val="Tabla con cuadrícula644"/>
    <w:basedOn w:val="Tablanormal"/>
    <w:next w:val="Tablaconcuadrcula"/>
    <w:rsid w:val="006255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5">
    <w:name w:val="Tabla con cuadrícula645"/>
    <w:basedOn w:val="Tablanormal"/>
    <w:next w:val="Tablaconcuadrcula"/>
    <w:rsid w:val="00EB169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6">
    <w:name w:val="Sin lista446"/>
    <w:next w:val="Sinlista"/>
    <w:semiHidden/>
    <w:rsid w:val="00A161C4"/>
  </w:style>
  <w:style w:type="table" w:customStyle="1" w:styleId="Tablaconcuadrcula646">
    <w:name w:val="Tabla con cuadrícula646"/>
    <w:basedOn w:val="Tablanormal"/>
    <w:next w:val="Tablaconcuadrcula"/>
    <w:rsid w:val="00A161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7">
    <w:name w:val="Sin lista447"/>
    <w:next w:val="Sinlista"/>
    <w:semiHidden/>
    <w:rsid w:val="008B1DDD"/>
  </w:style>
  <w:style w:type="numbering" w:customStyle="1" w:styleId="Sinlista448">
    <w:name w:val="Sin lista448"/>
    <w:next w:val="Sinlista"/>
    <w:semiHidden/>
    <w:rsid w:val="00877C0E"/>
  </w:style>
  <w:style w:type="table" w:customStyle="1" w:styleId="Tablaconcuadrcula647">
    <w:name w:val="Tabla con cuadrícula647"/>
    <w:basedOn w:val="Tablanormal"/>
    <w:next w:val="Tablaconcuadrcula"/>
    <w:rsid w:val="003D7C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8">
    <w:name w:val="Tabla con cuadrícula648"/>
    <w:basedOn w:val="Tablanormal"/>
    <w:next w:val="Tablaconcuadrcula"/>
    <w:rsid w:val="00D11D5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9">
    <w:name w:val="Tabla con cuadrícula649"/>
    <w:basedOn w:val="Tablanormal"/>
    <w:next w:val="Tablaconcuadrcula"/>
    <w:rsid w:val="006576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9">
    <w:name w:val="Sin lista449"/>
    <w:next w:val="Sinlista"/>
    <w:semiHidden/>
    <w:rsid w:val="001738F6"/>
  </w:style>
  <w:style w:type="table" w:customStyle="1" w:styleId="Tablaconcuadrcula650">
    <w:name w:val="Tabla con cuadrícula650"/>
    <w:basedOn w:val="Tablanormal"/>
    <w:next w:val="Tablaconcuadrcula"/>
    <w:rsid w:val="001738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0">
    <w:name w:val="Sin lista450"/>
    <w:next w:val="Sinlista"/>
    <w:semiHidden/>
    <w:rsid w:val="00227EDD"/>
  </w:style>
  <w:style w:type="table" w:customStyle="1" w:styleId="Tablaconcuadrcula651">
    <w:name w:val="Tabla con cuadrícula651"/>
    <w:basedOn w:val="Tablanormal"/>
    <w:next w:val="Tablaconcuadrcula"/>
    <w:rsid w:val="00227E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2">
    <w:name w:val="Tabla con cuadrícula652"/>
    <w:basedOn w:val="Tablanormal"/>
    <w:next w:val="Tablaconcuadrcula"/>
    <w:rsid w:val="00B148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26651">
    <w:name w:val="EstiloCorreo26651"/>
    <w:basedOn w:val="Fuentedeprrafopredeter"/>
    <w:semiHidden/>
    <w:rsid w:val="003B2825"/>
    <w:rPr>
      <w:rFonts w:ascii="Arial" w:hAnsi="Arial" w:cs="Arial"/>
      <w:color w:val="auto"/>
      <w:sz w:val="20"/>
      <w:szCs w:val="20"/>
    </w:rPr>
  </w:style>
  <w:style w:type="table" w:customStyle="1" w:styleId="Tablaconcuadrcula653">
    <w:name w:val="Tabla con cuadrícula653"/>
    <w:basedOn w:val="Tablanormal"/>
    <w:next w:val="Tablaconcuadrcula"/>
    <w:rsid w:val="00BC69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4">
    <w:name w:val="Tabla con cuadrícula654"/>
    <w:basedOn w:val="Tablanormal"/>
    <w:next w:val="Tablaconcuadrcula"/>
    <w:rsid w:val="00EB41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5">
    <w:name w:val="Tabla con cuadrícula655"/>
    <w:basedOn w:val="Tablanormal"/>
    <w:next w:val="Tablaconcuadrcula"/>
    <w:rsid w:val="00D536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6">
    <w:name w:val="Tabla con cuadrícula656"/>
    <w:basedOn w:val="Tablanormal"/>
    <w:next w:val="Tablaconcuadrcula"/>
    <w:rsid w:val="001922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4">
    <w:name w:val="Sin lista454"/>
    <w:next w:val="Sinlista"/>
    <w:semiHidden/>
    <w:rsid w:val="00A73A8C"/>
  </w:style>
  <w:style w:type="table" w:customStyle="1" w:styleId="Tablaconcuadrcula657">
    <w:name w:val="Tabla con cuadrícula657"/>
    <w:basedOn w:val="Tablanormal"/>
    <w:next w:val="Tablaconcuadrcula"/>
    <w:rsid w:val="00A73A8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5">
    <w:name w:val="Sin lista455"/>
    <w:next w:val="Sinlista"/>
    <w:semiHidden/>
    <w:rsid w:val="00DB7A0C"/>
  </w:style>
  <w:style w:type="numbering" w:customStyle="1" w:styleId="Sinlista456">
    <w:name w:val="Sin lista456"/>
    <w:next w:val="Sinlista"/>
    <w:semiHidden/>
    <w:rsid w:val="009D297D"/>
  </w:style>
  <w:style w:type="table" w:customStyle="1" w:styleId="Tablaconcuadrcula658">
    <w:name w:val="Tabla con cuadrícula658"/>
    <w:basedOn w:val="Tablanormal"/>
    <w:next w:val="Tablaconcuadrcula"/>
    <w:rsid w:val="009D297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9">
    <w:name w:val="Tabla con cuadrícula659"/>
    <w:basedOn w:val="Tablanormal"/>
    <w:next w:val="Tablaconcuadrcula"/>
    <w:rsid w:val="009D297D"/>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7">
    <w:name w:val="Sin lista457"/>
    <w:next w:val="Sinlista"/>
    <w:semiHidden/>
    <w:rsid w:val="001A68F3"/>
  </w:style>
  <w:style w:type="table" w:customStyle="1" w:styleId="Tablaconcuadrcula660">
    <w:name w:val="Tabla con cuadrícula660"/>
    <w:basedOn w:val="Tablanormal"/>
    <w:next w:val="Tablaconcuadrcula"/>
    <w:rsid w:val="001A68F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458">
    <w:name w:val="Sin lista458"/>
    <w:next w:val="Sinlista"/>
    <w:semiHidden/>
    <w:rsid w:val="003A37B7"/>
  </w:style>
  <w:style w:type="table" w:customStyle="1" w:styleId="Tablaconcuadrcula661">
    <w:name w:val="Tabla con cuadrícula661"/>
    <w:basedOn w:val="Tablanormal"/>
    <w:next w:val="Tablaconcuadrcula"/>
    <w:rsid w:val="003A37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9">
    <w:name w:val="Sin lista459"/>
    <w:next w:val="Sinlista"/>
    <w:semiHidden/>
    <w:rsid w:val="00F17AA0"/>
  </w:style>
  <w:style w:type="numbering" w:customStyle="1" w:styleId="Sinlista460">
    <w:name w:val="Sin lista460"/>
    <w:next w:val="Sinlista"/>
    <w:semiHidden/>
    <w:rsid w:val="00E03516"/>
  </w:style>
  <w:style w:type="paragraph" w:customStyle="1" w:styleId="txtnegro">
    <w:name w:val="txt_negro"/>
    <w:basedOn w:val="Normal"/>
    <w:uiPriority w:val="99"/>
    <w:rsid w:val="00E03516"/>
    <w:pPr>
      <w:spacing w:before="100" w:beforeAutospacing="1" w:after="100" w:afterAutospacing="1"/>
    </w:pPr>
    <w:rPr>
      <w:rFonts w:ascii="Verdana" w:eastAsia="Times New Roman" w:hAnsi="Verdana"/>
      <w:color w:val="595959"/>
      <w:sz w:val="15"/>
      <w:szCs w:val="15"/>
      <w:lang w:val="es-ES"/>
    </w:rPr>
  </w:style>
  <w:style w:type="table" w:customStyle="1" w:styleId="Tablaconcuadrcula662">
    <w:name w:val="Tabla con cuadrícula662"/>
    <w:basedOn w:val="Tablanormal"/>
    <w:next w:val="Tablaconcuadrcula"/>
    <w:rsid w:val="00A17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3">
    <w:name w:val="Tabla con cuadrícula663"/>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4">
    <w:name w:val="Tabla con cuadrícula664"/>
    <w:basedOn w:val="Tablanormal"/>
    <w:next w:val="Tablaconcuadrcula"/>
    <w:rsid w:val="000F66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5">
    <w:name w:val="Tabla con cuadrícula665"/>
    <w:basedOn w:val="Tablanormal"/>
    <w:next w:val="Tablaconcuadrcula"/>
    <w:rsid w:val="0074627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4">
    <w:name w:val="Sin lista464"/>
    <w:next w:val="Sinlista"/>
    <w:semiHidden/>
    <w:rsid w:val="00F31B18"/>
  </w:style>
  <w:style w:type="table" w:customStyle="1" w:styleId="Tablaconcuadrcula666">
    <w:name w:val="Tabla con cuadrícula666"/>
    <w:basedOn w:val="Tablanormal"/>
    <w:next w:val="Tablaconcuadrcula"/>
    <w:rsid w:val="00F31B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5">
    <w:name w:val="Sin lista465"/>
    <w:next w:val="Sinlista"/>
    <w:semiHidden/>
    <w:rsid w:val="00823263"/>
  </w:style>
  <w:style w:type="table" w:customStyle="1" w:styleId="Tablaconcuadrcula667">
    <w:name w:val="Tabla con cuadrícula667"/>
    <w:basedOn w:val="Tablanormal"/>
    <w:next w:val="Tablaconcuadrcula"/>
    <w:rsid w:val="008232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6">
    <w:name w:val="Sin lista466"/>
    <w:next w:val="Sinlista"/>
    <w:semiHidden/>
    <w:rsid w:val="00743EC4"/>
  </w:style>
  <w:style w:type="table" w:customStyle="1" w:styleId="Tablaconcuadrcula668">
    <w:name w:val="Tabla con cuadrícula668"/>
    <w:basedOn w:val="Tablanormal"/>
    <w:next w:val="Tablaconcuadrcula"/>
    <w:rsid w:val="00743EC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7">
    <w:name w:val="Sin lista467"/>
    <w:next w:val="Sinlista"/>
    <w:semiHidden/>
    <w:rsid w:val="002E16DD"/>
  </w:style>
  <w:style w:type="table" w:customStyle="1" w:styleId="Tablaconcuadrcula669">
    <w:name w:val="Tabla con cuadrícula669"/>
    <w:basedOn w:val="Tablanormal"/>
    <w:next w:val="Tablaconcuadrcula"/>
    <w:rsid w:val="002E16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0">
    <w:name w:val="Tabla con cuadrícula670"/>
    <w:basedOn w:val="Tablanormal"/>
    <w:next w:val="Tablaconcuadrcula"/>
    <w:rsid w:val="00E162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1">
    <w:name w:val="Tabla con cuadrícula671"/>
    <w:basedOn w:val="Tablanormal"/>
    <w:next w:val="Tablaconcuadrcula"/>
    <w:rsid w:val="005A5D0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8">
    <w:name w:val="Sin lista468"/>
    <w:next w:val="Sinlista"/>
    <w:semiHidden/>
    <w:rsid w:val="00F47C45"/>
  </w:style>
  <w:style w:type="table" w:customStyle="1" w:styleId="Tablaconcuadrcula672">
    <w:name w:val="Tabla con cuadrícula672"/>
    <w:basedOn w:val="Tablanormal"/>
    <w:next w:val="Tablaconcuadrcula"/>
    <w:rsid w:val="00F47C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9">
    <w:name w:val="Sin lista469"/>
    <w:next w:val="Sinlista"/>
    <w:semiHidden/>
    <w:rsid w:val="000E0FF1"/>
  </w:style>
  <w:style w:type="table" w:customStyle="1" w:styleId="Tablaconcuadrcula673">
    <w:name w:val="Tabla con cuadrícula673"/>
    <w:basedOn w:val="Tablanormal"/>
    <w:next w:val="Tablaconcuadrcula"/>
    <w:rsid w:val="000E0FF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0">
    <w:name w:val="Sin lista470"/>
    <w:next w:val="Sinlista"/>
    <w:semiHidden/>
    <w:rsid w:val="00B04CF7"/>
  </w:style>
  <w:style w:type="table" w:customStyle="1" w:styleId="Tablaconcuadrcula674">
    <w:name w:val="Tabla con cuadrícula674"/>
    <w:basedOn w:val="Tablanormal"/>
    <w:next w:val="Tablaconcuadrcula"/>
    <w:rsid w:val="00B04C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5">
    <w:name w:val="Tabla con cuadrícula675"/>
    <w:basedOn w:val="Tablanormal"/>
    <w:next w:val="Tablaconcuadrcula"/>
    <w:rsid w:val="00A975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4">
    <w:name w:val="Sin lista474"/>
    <w:next w:val="Sinlista"/>
    <w:semiHidden/>
    <w:rsid w:val="00707839"/>
  </w:style>
  <w:style w:type="table" w:customStyle="1" w:styleId="Tablaconcuadrcula676">
    <w:name w:val="Tabla con cuadrícula676"/>
    <w:basedOn w:val="Tablanormal"/>
    <w:next w:val="Tablaconcuadrcula"/>
    <w:rsid w:val="007078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A9"/>
    <w:uiPriority w:val="99"/>
    <w:rsid w:val="00707839"/>
    <w:rPr>
      <w:rFonts w:cs="Frutiger LT Std 55 Roman"/>
      <w:color w:val="000000"/>
      <w:sz w:val="12"/>
      <w:szCs w:val="12"/>
    </w:rPr>
  </w:style>
  <w:style w:type="paragraph" w:customStyle="1" w:styleId="Pa92">
    <w:name w:val="Pa9+2"/>
    <w:basedOn w:val="Normal"/>
    <w:next w:val="Normal"/>
    <w:uiPriority w:val="99"/>
    <w:rsid w:val="00707839"/>
    <w:pPr>
      <w:autoSpaceDE w:val="0"/>
      <w:autoSpaceDN w:val="0"/>
      <w:adjustRightInd w:val="0"/>
      <w:spacing w:line="241" w:lineRule="atLeast"/>
    </w:pPr>
    <w:rPr>
      <w:rFonts w:ascii="Frutiger LT Std 47 Light Cn" w:eastAsia="Times New Roman" w:hAnsi="Frutiger LT Std 47 Light Cn"/>
      <w:lang w:eastAsia="es-MX"/>
    </w:rPr>
  </w:style>
  <w:style w:type="character" w:customStyle="1" w:styleId="A72">
    <w:name w:val="A7+2"/>
    <w:rsid w:val="00707839"/>
    <w:rPr>
      <w:rFonts w:cs="Frutiger LT Std 47 Light Cn"/>
      <w:b/>
      <w:bCs/>
      <w:color w:val="000000"/>
      <w:sz w:val="16"/>
      <w:szCs w:val="16"/>
    </w:rPr>
  </w:style>
  <w:style w:type="paragraph" w:customStyle="1" w:styleId="Pa02">
    <w:name w:val="Pa0+2"/>
    <w:basedOn w:val="Normal"/>
    <w:next w:val="Normal"/>
    <w:uiPriority w:val="99"/>
    <w:rsid w:val="00707839"/>
    <w:pPr>
      <w:autoSpaceDE w:val="0"/>
      <w:autoSpaceDN w:val="0"/>
      <w:adjustRightInd w:val="0"/>
      <w:spacing w:line="241" w:lineRule="atLeast"/>
    </w:pPr>
    <w:rPr>
      <w:rFonts w:ascii="Frutiger LT Std 57 Cn" w:eastAsia="Times New Roman" w:hAnsi="Frutiger LT Std 57 Cn"/>
      <w:lang w:eastAsia="es-MX"/>
    </w:rPr>
  </w:style>
  <w:style w:type="character" w:customStyle="1" w:styleId="A81">
    <w:name w:val="A8+1"/>
    <w:rsid w:val="00707839"/>
    <w:rPr>
      <w:rFonts w:cs="Frutiger LT Std 57 Cn"/>
      <w:color w:val="000000"/>
      <w:sz w:val="12"/>
      <w:szCs w:val="12"/>
    </w:rPr>
  </w:style>
  <w:style w:type="character" w:customStyle="1" w:styleId="A131">
    <w:name w:val="A13+1"/>
    <w:rsid w:val="00707839"/>
    <w:rPr>
      <w:rFonts w:cs="Frutiger LT Std 47 Light Cn"/>
      <w:b/>
      <w:bCs/>
      <w:color w:val="000000"/>
      <w:sz w:val="18"/>
      <w:szCs w:val="18"/>
    </w:rPr>
  </w:style>
  <w:style w:type="numbering" w:customStyle="1" w:styleId="Sinlista475">
    <w:name w:val="Sin lista475"/>
    <w:next w:val="Sinlista"/>
    <w:semiHidden/>
    <w:rsid w:val="00523BCC"/>
  </w:style>
  <w:style w:type="numbering" w:customStyle="1" w:styleId="Sinlista476">
    <w:name w:val="Sin lista476"/>
    <w:next w:val="Sinlista"/>
    <w:semiHidden/>
    <w:rsid w:val="004248D1"/>
  </w:style>
  <w:style w:type="table" w:customStyle="1" w:styleId="Tablaconcuadrcula677">
    <w:name w:val="Tabla con cuadrícula677"/>
    <w:basedOn w:val="Tablanormal"/>
    <w:next w:val="Tablaconcuadrcula"/>
    <w:rsid w:val="004248D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8">
    <w:name w:val="Tabla con cuadrícula678"/>
    <w:basedOn w:val="Tablanormal"/>
    <w:next w:val="Tablaconcuadrcula"/>
    <w:rsid w:val="007F72C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9">
    <w:name w:val="Tabla con cuadrícula679"/>
    <w:basedOn w:val="Tablanormal"/>
    <w:next w:val="Tablaconcuadrcula"/>
    <w:rsid w:val="003E3E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0">
    <w:name w:val="Tabla con cuadrícula680"/>
    <w:basedOn w:val="Tablanormal"/>
    <w:next w:val="Tablaconcuadrcula"/>
    <w:rsid w:val="00001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1">
    <w:name w:val="Tabla con cuadrícula681"/>
    <w:basedOn w:val="Tablanormal"/>
    <w:next w:val="Tablaconcuadrcula"/>
    <w:rsid w:val="006F36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7">
    <w:name w:val="Sin lista477"/>
    <w:next w:val="Sinlista"/>
    <w:semiHidden/>
    <w:rsid w:val="001324FF"/>
  </w:style>
  <w:style w:type="table" w:customStyle="1" w:styleId="Tablaconcuadrcula682">
    <w:name w:val="Tabla con cuadrícula682"/>
    <w:basedOn w:val="Tablanormal"/>
    <w:next w:val="Tablaconcuadrcula"/>
    <w:rsid w:val="001324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3">
    <w:name w:val="Tabla con cuadrícula683"/>
    <w:basedOn w:val="Tablanormal"/>
    <w:next w:val="Tablaconcuadrcula"/>
    <w:rsid w:val="00CD52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4">
    <w:name w:val="Tabla con cuadrícula684"/>
    <w:basedOn w:val="Tablanormal"/>
    <w:next w:val="Tablaconcuadrcula"/>
    <w:rsid w:val="00046F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8">
    <w:name w:val="Sin lista478"/>
    <w:next w:val="Sinlista"/>
    <w:semiHidden/>
    <w:rsid w:val="004A1626"/>
  </w:style>
  <w:style w:type="numbering" w:customStyle="1" w:styleId="Sinlista479">
    <w:name w:val="Sin lista479"/>
    <w:next w:val="Sinlista"/>
    <w:semiHidden/>
    <w:rsid w:val="00BF4147"/>
  </w:style>
  <w:style w:type="table" w:customStyle="1" w:styleId="Tablaconcuadrcula685">
    <w:name w:val="Tabla con cuadrícula685"/>
    <w:basedOn w:val="Tablanormal"/>
    <w:next w:val="Tablaconcuadrcula"/>
    <w:rsid w:val="00E75E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6">
    <w:name w:val="Tabla con cuadrícula686"/>
    <w:basedOn w:val="Tablanormal"/>
    <w:next w:val="Tablaconcuadrcula"/>
    <w:rsid w:val="00F049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0">
    <w:name w:val="Sin lista480"/>
    <w:next w:val="Sinlista"/>
    <w:semiHidden/>
    <w:rsid w:val="00A24D93"/>
  </w:style>
  <w:style w:type="table" w:customStyle="1" w:styleId="Tablaconcuadrcula687">
    <w:name w:val="Tabla con cuadrícula687"/>
    <w:basedOn w:val="Tablanormal"/>
    <w:next w:val="Tablaconcuadrcula"/>
    <w:rsid w:val="00A24D9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4">
    <w:name w:val="Sin lista484"/>
    <w:next w:val="Sinlista"/>
    <w:semiHidden/>
    <w:rsid w:val="00E82932"/>
  </w:style>
  <w:style w:type="table" w:customStyle="1" w:styleId="Tablaconcuadrcula688">
    <w:name w:val="Tabla con cuadrícula688"/>
    <w:basedOn w:val="Tablanormal"/>
    <w:next w:val="Tablaconcuadrcula"/>
    <w:rsid w:val="00E829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9">
    <w:name w:val="Tabla con cuadrícula689"/>
    <w:basedOn w:val="Tablanormal"/>
    <w:next w:val="Tablaconcuadrcula"/>
    <w:rsid w:val="001F6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5">
    <w:name w:val="Sin lista485"/>
    <w:next w:val="Sinlista"/>
    <w:semiHidden/>
    <w:rsid w:val="00D240B6"/>
  </w:style>
  <w:style w:type="table" w:customStyle="1" w:styleId="Tablaconcuadrcula690">
    <w:name w:val="Tabla con cuadrícula690"/>
    <w:basedOn w:val="Tablanormal"/>
    <w:next w:val="Tablaconcuadrcula"/>
    <w:rsid w:val="0009035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1">
    <w:name w:val="Tabla con cuadrícula691"/>
    <w:basedOn w:val="Tablanormal"/>
    <w:next w:val="Tablaconcuadrcula"/>
    <w:rsid w:val="00DD14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6">
    <w:name w:val="Sin lista486"/>
    <w:next w:val="Sinlista"/>
    <w:semiHidden/>
    <w:rsid w:val="00893BF5"/>
  </w:style>
  <w:style w:type="table" w:customStyle="1" w:styleId="Tablaconcuadrcula692">
    <w:name w:val="Tabla con cuadrícula692"/>
    <w:basedOn w:val="Tablanormal"/>
    <w:next w:val="Tablaconcuadrcula"/>
    <w:rsid w:val="00893B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text">
    <w:name w:val="articletext"/>
    <w:basedOn w:val="Normal"/>
    <w:uiPriority w:val="99"/>
    <w:rsid w:val="00893BF5"/>
    <w:pPr>
      <w:spacing w:before="100" w:beforeAutospacing="1" w:after="100" w:afterAutospacing="1"/>
    </w:pPr>
    <w:rPr>
      <w:rFonts w:eastAsia="Times New Roman"/>
      <w:lang w:val="es-ES"/>
    </w:rPr>
  </w:style>
  <w:style w:type="table" w:customStyle="1" w:styleId="Tablaconcuadrcula693">
    <w:name w:val="Tabla con cuadrícula693"/>
    <w:basedOn w:val="Tablanormal"/>
    <w:next w:val="Tablaconcuadrcula"/>
    <w:rsid w:val="00807B4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7">
    <w:name w:val="Sin lista487"/>
    <w:next w:val="Sinlista"/>
    <w:semiHidden/>
    <w:rsid w:val="00002AE6"/>
  </w:style>
  <w:style w:type="table" w:customStyle="1" w:styleId="Tablaconcuadrcula694">
    <w:name w:val="Tabla con cuadrícula694"/>
    <w:basedOn w:val="Tablanormal"/>
    <w:next w:val="Tablaconcuadrcula"/>
    <w:rsid w:val="00002A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5">
    <w:name w:val="Tabla con cuadrícula695"/>
    <w:basedOn w:val="Tablanormal"/>
    <w:next w:val="Tablaconcuadrcula"/>
    <w:rsid w:val="009F495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8">
    <w:name w:val="Sin lista488"/>
    <w:next w:val="Sinlista"/>
    <w:semiHidden/>
    <w:rsid w:val="00370232"/>
  </w:style>
  <w:style w:type="table" w:customStyle="1" w:styleId="Tablaconcuadrcula696">
    <w:name w:val="Tabla con cuadrícula696"/>
    <w:basedOn w:val="Tablanormal"/>
    <w:next w:val="Tablaconcuadrcula"/>
    <w:rsid w:val="003702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0">
    <w:name w:val="Sin lista1100"/>
    <w:next w:val="Sinlista"/>
    <w:semiHidden/>
    <w:rsid w:val="00370232"/>
  </w:style>
  <w:style w:type="table" w:customStyle="1" w:styleId="Tablaconcuadrcula1107">
    <w:name w:val="Tabla con cuadrícula1107"/>
    <w:basedOn w:val="Tablanormal"/>
    <w:next w:val="Tablaconcuadrcula"/>
    <w:rsid w:val="00370232"/>
    <w:pPr>
      <w:widowControl w:val="0"/>
      <w:autoSpaceDE w:val="0"/>
      <w:autoSpaceDN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9">
    <w:name w:val="Sin lista489"/>
    <w:next w:val="Sinlista"/>
    <w:semiHidden/>
    <w:rsid w:val="002C0288"/>
  </w:style>
  <w:style w:type="numbering" w:customStyle="1" w:styleId="Sinlista490">
    <w:name w:val="Sin lista490"/>
    <w:next w:val="Sinlista"/>
    <w:semiHidden/>
    <w:rsid w:val="00E80795"/>
  </w:style>
  <w:style w:type="table" w:customStyle="1" w:styleId="Tablaconcuadrcula697">
    <w:name w:val="Tabla con cuadrícula697"/>
    <w:basedOn w:val="Tablanormal"/>
    <w:next w:val="Tablaconcuadrcula"/>
    <w:rsid w:val="00E8079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8">
    <w:name w:val="Tabla con cuadrícula698"/>
    <w:basedOn w:val="Tablanormal"/>
    <w:next w:val="Tablaconcuadrcula"/>
    <w:rsid w:val="004864F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9">
    <w:name w:val="Tabla con cuadrícula699"/>
    <w:basedOn w:val="Tablanormal"/>
    <w:next w:val="Tablaconcuadrcula"/>
    <w:rsid w:val="004A081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4">
    <w:name w:val="Sin lista494"/>
    <w:next w:val="Sinlista"/>
    <w:semiHidden/>
    <w:rsid w:val="00662C0A"/>
  </w:style>
  <w:style w:type="table" w:customStyle="1" w:styleId="Tablaconcuadrcula700">
    <w:name w:val="Tabla con cuadrícula700"/>
    <w:basedOn w:val="Tablanormal"/>
    <w:next w:val="Tablaconcuadrcula"/>
    <w:rsid w:val="00662C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5">
    <w:name w:val="Sin lista495"/>
    <w:next w:val="Sinlista"/>
    <w:semiHidden/>
    <w:rsid w:val="009A5989"/>
  </w:style>
  <w:style w:type="table" w:customStyle="1" w:styleId="Tablaconcuadrcula701">
    <w:name w:val="Tabla con cuadrícula701"/>
    <w:basedOn w:val="Tablanormal"/>
    <w:next w:val="Tablaconcuadrcula"/>
    <w:rsid w:val="009A598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2">
    <w:name w:val="Tabla con cuadrícula702"/>
    <w:basedOn w:val="Tablanormal"/>
    <w:next w:val="Tablaconcuadrcula"/>
    <w:rsid w:val="00057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3">
    <w:name w:val="Tabla con cuadrícula703"/>
    <w:basedOn w:val="Tablanormal"/>
    <w:next w:val="Tablaconcuadrcula"/>
    <w:rsid w:val="00D655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6">
    <w:name w:val="Sin lista496"/>
    <w:next w:val="Sinlista"/>
    <w:semiHidden/>
    <w:rsid w:val="00005DC2"/>
  </w:style>
  <w:style w:type="numbering" w:customStyle="1" w:styleId="Sinlista497">
    <w:name w:val="Sin lista497"/>
    <w:next w:val="Sinlista"/>
    <w:semiHidden/>
    <w:rsid w:val="0007687F"/>
  </w:style>
  <w:style w:type="table" w:customStyle="1" w:styleId="Tablaconcuadrcula704">
    <w:name w:val="Tabla con cuadrícula704"/>
    <w:basedOn w:val="Tablanormal"/>
    <w:next w:val="Tablaconcuadrcula"/>
    <w:rsid w:val="0007687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5">
    <w:name w:val="Tabla con cuadrícula705"/>
    <w:basedOn w:val="Tablanormal"/>
    <w:next w:val="Tablaconcuadrcula"/>
    <w:rsid w:val="003C76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6">
    <w:name w:val="Tabla con cuadrícula706"/>
    <w:basedOn w:val="Tablanormal"/>
    <w:next w:val="Tablaconcuadrcula"/>
    <w:rsid w:val="002C73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8">
    <w:name w:val="Sin lista498"/>
    <w:next w:val="Sinlista"/>
    <w:semiHidden/>
    <w:rsid w:val="00D96587"/>
  </w:style>
  <w:style w:type="character" w:customStyle="1" w:styleId="apple-style-spanfirst-childlast-child">
    <w:name w:val="apple-style-span first-child last-child"/>
    <w:basedOn w:val="Fuentedeprrafopredeter"/>
    <w:rsid w:val="00D96587"/>
  </w:style>
  <w:style w:type="table" w:customStyle="1" w:styleId="Tablaconcuadrcula707">
    <w:name w:val="Tabla con cuadrícula707"/>
    <w:basedOn w:val="Tablanormal"/>
    <w:next w:val="Tablaconcuadrcula"/>
    <w:rsid w:val="00D9658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8">
    <w:name w:val="Tabla con cuadrícula708"/>
    <w:basedOn w:val="Tablanormal"/>
    <w:next w:val="Tablaconcuadrcula"/>
    <w:rsid w:val="006E7A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9">
    <w:name w:val="Tabla con cuadrícula709"/>
    <w:basedOn w:val="Tablanormal"/>
    <w:next w:val="Tablaconcuadrcula"/>
    <w:rsid w:val="00ED5C7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0">
    <w:name w:val="Tabla con cuadrícula710"/>
    <w:basedOn w:val="Tablanormal"/>
    <w:next w:val="Tablaconcuadrcula"/>
    <w:rsid w:val="0042674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next w:val="Tablaconcuadrcula"/>
    <w:rsid w:val="006802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9">
    <w:name w:val="Sin lista499"/>
    <w:next w:val="Sinlista"/>
    <w:semiHidden/>
    <w:rsid w:val="0028454B"/>
  </w:style>
  <w:style w:type="table" w:customStyle="1" w:styleId="Tablaconcuadrcula712">
    <w:name w:val="Tabla con cuadrícula712"/>
    <w:basedOn w:val="Tablanormal"/>
    <w:next w:val="Tablaconcuadrcula"/>
    <w:rsid w:val="00284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3">
    <w:name w:val="Tabla con cuadrícula713"/>
    <w:basedOn w:val="Tablanormal"/>
    <w:next w:val="Tablaconcuadrcula"/>
    <w:rsid w:val="00BE01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0">
    <w:name w:val="Sin lista500"/>
    <w:next w:val="Sinlista"/>
    <w:semiHidden/>
    <w:rsid w:val="006C75F2"/>
  </w:style>
  <w:style w:type="table" w:customStyle="1" w:styleId="Tablaconcuadrcula714">
    <w:name w:val="Tabla con cuadrícula714"/>
    <w:basedOn w:val="Tablanormal"/>
    <w:next w:val="Tablaconcuadrcula"/>
    <w:rsid w:val="006C75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5">
    <w:name w:val="Tabla con cuadrícula715"/>
    <w:basedOn w:val="Tablanormal"/>
    <w:next w:val="Tablaconcuadrcula"/>
    <w:rsid w:val="00077BA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6">
    <w:name w:val="Tabla con cuadrícula716"/>
    <w:basedOn w:val="Tablanormal"/>
    <w:next w:val="Tablaconcuadrcula"/>
    <w:rsid w:val="008B442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7">
    <w:name w:val="Tabla con cuadrícula717"/>
    <w:basedOn w:val="Tablanormal"/>
    <w:next w:val="Tablaconcuadrcula"/>
    <w:rsid w:val="00BB0D9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8">
    <w:name w:val="Tabla con cuadrícula718"/>
    <w:basedOn w:val="Tablanormal"/>
    <w:next w:val="Tablaconcuadrcula"/>
    <w:rsid w:val="002E603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4">
    <w:name w:val="Sin lista504"/>
    <w:next w:val="Sinlista"/>
    <w:semiHidden/>
    <w:rsid w:val="000D0E0A"/>
  </w:style>
  <w:style w:type="table" w:customStyle="1" w:styleId="Tablaconcuadrcula719">
    <w:name w:val="Tabla con cuadrícula719"/>
    <w:basedOn w:val="Tablanormal"/>
    <w:next w:val="Tablaconcuadrcula"/>
    <w:rsid w:val="000D0E0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0">
    <w:name w:val="Tabla con cuadrícula720"/>
    <w:basedOn w:val="Tablanormal"/>
    <w:next w:val="Tablaconcuadrcula"/>
    <w:rsid w:val="007271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next w:val="Tablaconcuadrcula"/>
    <w:rsid w:val="00283B2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2">
    <w:name w:val="Tabla con cuadrícula722"/>
    <w:basedOn w:val="Tablanormal"/>
    <w:next w:val="Tablaconcuadrcula"/>
    <w:rsid w:val="00F5369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3">
    <w:name w:val="Tabla con cuadrícula723"/>
    <w:basedOn w:val="Tablanormal"/>
    <w:next w:val="Tablaconcuadrcula"/>
    <w:rsid w:val="00FF497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4">
    <w:name w:val="Tabla con cuadrícula724"/>
    <w:basedOn w:val="Tablanormal"/>
    <w:next w:val="Tablaconcuadrcula"/>
    <w:rsid w:val="006B45F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5">
    <w:name w:val="Tabla con cuadrícula725"/>
    <w:basedOn w:val="Tablanormal"/>
    <w:next w:val="Tablaconcuadrcula"/>
    <w:rsid w:val="005479D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6">
    <w:name w:val="Tabla con cuadrícula726"/>
    <w:basedOn w:val="Tablanormal"/>
    <w:next w:val="Tablaconcuadrcula"/>
    <w:rsid w:val="00E8651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5">
    <w:name w:val="Sin lista505"/>
    <w:next w:val="Sinlista"/>
    <w:semiHidden/>
    <w:rsid w:val="002A2A2C"/>
  </w:style>
  <w:style w:type="table" w:customStyle="1" w:styleId="Tablaconcuadrcula727">
    <w:name w:val="Tabla con cuadrícula727"/>
    <w:basedOn w:val="Tablanormal"/>
    <w:next w:val="Tablaconcuadrcula"/>
    <w:rsid w:val="002A2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8">
    <w:name w:val="Tabla con cuadrícula728"/>
    <w:basedOn w:val="Tablanormal"/>
    <w:next w:val="Tablaconcuadrcula"/>
    <w:rsid w:val="00371FE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6">
    <w:name w:val="Sin lista506"/>
    <w:next w:val="Sinlista"/>
    <w:semiHidden/>
    <w:rsid w:val="00F9221B"/>
  </w:style>
  <w:style w:type="table" w:customStyle="1" w:styleId="Tablaconcuadrcula729">
    <w:name w:val="Tabla con cuadrícula729"/>
    <w:basedOn w:val="Tablanormal"/>
    <w:next w:val="Tablaconcuadrcula"/>
    <w:rsid w:val="00F9221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0">
    <w:name w:val="Tabla con cuadrícula730"/>
    <w:basedOn w:val="Tablanormal"/>
    <w:next w:val="Tablaconcuadrcula"/>
    <w:rsid w:val="00C536B5"/>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31">
    <w:name w:val="Tabla con cuadrícula731"/>
    <w:basedOn w:val="Tablanormal"/>
    <w:next w:val="Tablaconcuadrcula"/>
    <w:rsid w:val="004C09B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2">
    <w:name w:val="Tabla con cuadrícula732"/>
    <w:basedOn w:val="Tablanormal"/>
    <w:next w:val="Tablaconcuadrcula"/>
    <w:rsid w:val="001E133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7">
    <w:name w:val="Sin lista507"/>
    <w:next w:val="Sinlista"/>
    <w:semiHidden/>
    <w:rsid w:val="006B1843"/>
  </w:style>
  <w:style w:type="table" w:customStyle="1" w:styleId="Tablaconcuadrcula733">
    <w:name w:val="Tabla con cuadrícula733"/>
    <w:basedOn w:val="Tablanormal"/>
    <w:next w:val="Tablaconcuadrcula"/>
    <w:rsid w:val="006B184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4">
    <w:name w:val="Tabla con cuadrícula734"/>
    <w:basedOn w:val="Tablanormal"/>
    <w:next w:val="Tablaconcuadrcula"/>
    <w:rsid w:val="009926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5">
    <w:name w:val="Tabla con cuadrícula735"/>
    <w:basedOn w:val="Tablanormal"/>
    <w:next w:val="Tablaconcuadrcula"/>
    <w:rsid w:val="008E2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8">
    <w:name w:val="Sin lista508"/>
    <w:next w:val="Sinlista"/>
    <w:semiHidden/>
    <w:rsid w:val="00C00E5A"/>
  </w:style>
  <w:style w:type="table" w:customStyle="1" w:styleId="Tablaconcuadrcula736">
    <w:name w:val="Tabla con cuadrícula736"/>
    <w:basedOn w:val="Tablanormal"/>
    <w:next w:val="Tablaconcuadrcula"/>
    <w:rsid w:val="00C00E5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7">
    <w:name w:val="Tabla con cuadrícula737"/>
    <w:basedOn w:val="Tablanormal"/>
    <w:next w:val="Tablaconcuadrcula"/>
    <w:rsid w:val="00AF159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9">
    <w:name w:val="Sin lista509"/>
    <w:next w:val="Sinlista"/>
    <w:semiHidden/>
    <w:rsid w:val="00E278C4"/>
  </w:style>
  <w:style w:type="character" w:customStyle="1" w:styleId="ROMANOSCar">
    <w:name w:val="ROMANOS Car"/>
    <w:link w:val="ROMANOS"/>
    <w:locked/>
    <w:rsid w:val="00E278C4"/>
    <w:rPr>
      <w:rFonts w:ascii="Arial" w:eastAsia="SimSun" w:hAnsi="Arial" w:cs="Arial"/>
      <w:sz w:val="18"/>
      <w:szCs w:val="18"/>
      <w:lang w:val="es-MX" w:eastAsia="es-MX" w:bidi="ar-SA"/>
    </w:rPr>
  </w:style>
  <w:style w:type="character" w:customStyle="1" w:styleId="ANOTACIONCar">
    <w:name w:val="ANOTACION Car"/>
    <w:link w:val="ANOTACION"/>
    <w:locked/>
    <w:rsid w:val="00E278C4"/>
    <w:rPr>
      <w:rFonts w:eastAsia="SimSun"/>
      <w:b/>
      <w:sz w:val="18"/>
      <w:szCs w:val="18"/>
      <w:lang w:val="es-MX" w:eastAsia="es-MX" w:bidi="ar-SA"/>
    </w:rPr>
  </w:style>
  <w:style w:type="paragraph" w:customStyle="1" w:styleId="Sangra2detindependiente1">
    <w:name w:val="Sangría 2 de t. independiente1"/>
    <w:basedOn w:val="Normal"/>
    <w:uiPriority w:val="99"/>
    <w:rsid w:val="00E278C4"/>
    <w:pPr>
      <w:ind w:left="3969"/>
      <w:jc w:val="both"/>
    </w:pPr>
    <w:rPr>
      <w:rFonts w:ascii="Arial" w:eastAsia="Times New Roman" w:hAnsi="Arial" w:cs="Arial"/>
      <w:sz w:val="20"/>
      <w:szCs w:val="20"/>
      <w:lang w:val="es-ES" w:eastAsia="es-MX"/>
    </w:rPr>
  </w:style>
  <w:style w:type="paragraph" w:customStyle="1" w:styleId="Textodeglobo1">
    <w:name w:val="Texto de globo1"/>
    <w:basedOn w:val="Normal"/>
    <w:uiPriority w:val="99"/>
    <w:rsid w:val="00E278C4"/>
    <w:rPr>
      <w:rFonts w:ascii="Tahoma" w:eastAsia="Times New Roman" w:hAnsi="Tahoma" w:cs="Tahoma"/>
      <w:sz w:val="16"/>
      <w:szCs w:val="20"/>
      <w:lang w:val="es-ES" w:eastAsia="es-MX"/>
    </w:rPr>
  </w:style>
  <w:style w:type="paragraph" w:customStyle="1" w:styleId="ColorfulShadingAccent">
    <w:name w:val="Colorful Shading Accent"/>
    <w:uiPriority w:val="99"/>
    <w:rsid w:val="00E278C4"/>
    <w:rPr>
      <w:rFonts w:eastAsia="Times New Roman"/>
      <w:lang w:val="es-ES"/>
    </w:rPr>
  </w:style>
  <w:style w:type="paragraph" w:customStyle="1" w:styleId="xl110">
    <w:name w:val="xl110"/>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11">
    <w:name w:val="xl111"/>
    <w:basedOn w:val="Normal"/>
    <w:uiPriority w:val="99"/>
    <w:rsid w:val="00E278C4"/>
    <w:pPr>
      <w:shd w:val="clear" w:color="000000" w:fill="FFFFFF"/>
      <w:spacing w:before="100" w:after="100"/>
    </w:pPr>
    <w:rPr>
      <w:rFonts w:eastAsia="Times New Roman"/>
      <w:szCs w:val="20"/>
      <w:lang w:eastAsia="es-MX"/>
    </w:rPr>
  </w:style>
  <w:style w:type="paragraph" w:customStyle="1" w:styleId="xl112">
    <w:name w:val="xl112"/>
    <w:basedOn w:val="Normal"/>
    <w:uiPriority w:val="99"/>
    <w:rsid w:val="00E278C4"/>
    <w:pPr>
      <w:shd w:val="clear" w:color="000000" w:fill="FFFFFF"/>
      <w:spacing w:before="100" w:after="100"/>
      <w:jc w:val="center"/>
    </w:pPr>
    <w:rPr>
      <w:rFonts w:eastAsia="Times New Roman"/>
      <w:szCs w:val="20"/>
      <w:lang w:eastAsia="es-MX"/>
    </w:rPr>
  </w:style>
  <w:style w:type="paragraph" w:customStyle="1" w:styleId="xl113">
    <w:name w:val="xl113"/>
    <w:basedOn w:val="Normal"/>
    <w:uiPriority w:val="99"/>
    <w:rsid w:val="00E278C4"/>
    <w:pPr>
      <w:shd w:val="clear" w:color="000000" w:fill="FFFFFF"/>
      <w:spacing w:before="100" w:after="100"/>
    </w:pPr>
    <w:rPr>
      <w:rFonts w:eastAsia="Times New Roman"/>
      <w:szCs w:val="20"/>
      <w:lang w:eastAsia="es-MX"/>
    </w:rPr>
  </w:style>
  <w:style w:type="paragraph" w:customStyle="1" w:styleId="xl115">
    <w:name w:val="xl115"/>
    <w:basedOn w:val="Normal"/>
    <w:uiPriority w:val="99"/>
    <w:rsid w:val="00E278C4"/>
    <w:pPr>
      <w:shd w:val="clear" w:color="000000" w:fill="FFFFFF"/>
      <w:spacing w:before="100" w:after="100"/>
    </w:pPr>
    <w:rPr>
      <w:rFonts w:ascii="Arial" w:eastAsia="Times New Roman" w:hAnsi="Arial" w:cs="Arial"/>
      <w:color w:val="FFFFFF"/>
      <w:szCs w:val="20"/>
      <w:lang w:eastAsia="es-MX"/>
    </w:rPr>
  </w:style>
  <w:style w:type="paragraph" w:customStyle="1" w:styleId="xl116">
    <w:name w:val="xl116"/>
    <w:basedOn w:val="Normal"/>
    <w:uiPriority w:val="99"/>
    <w:rsid w:val="00E278C4"/>
    <w:pPr>
      <w:shd w:val="clear" w:color="000000" w:fill="FFFFFF"/>
      <w:spacing w:before="100" w:after="100"/>
      <w:jc w:val="right"/>
    </w:pPr>
    <w:rPr>
      <w:rFonts w:ascii="Arial" w:eastAsia="Times New Roman" w:hAnsi="Arial" w:cs="Arial"/>
      <w:color w:val="0000FF"/>
      <w:szCs w:val="20"/>
      <w:lang w:eastAsia="es-MX"/>
    </w:rPr>
  </w:style>
  <w:style w:type="paragraph" w:customStyle="1" w:styleId="xl117">
    <w:name w:val="xl117"/>
    <w:basedOn w:val="Normal"/>
    <w:uiPriority w:val="99"/>
    <w:rsid w:val="00E278C4"/>
    <w:pPr>
      <w:shd w:val="clear" w:color="000000" w:fill="FFFFFF"/>
      <w:spacing w:before="100" w:after="100"/>
    </w:pPr>
    <w:rPr>
      <w:rFonts w:ascii="Arial" w:eastAsia="Times New Roman" w:hAnsi="Arial" w:cs="Arial"/>
      <w:color w:val="0000FF"/>
      <w:szCs w:val="20"/>
      <w:lang w:eastAsia="es-MX"/>
    </w:rPr>
  </w:style>
  <w:style w:type="paragraph" w:customStyle="1" w:styleId="xl118">
    <w:name w:val="xl118"/>
    <w:basedOn w:val="Normal"/>
    <w:uiPriority w:val="99"/>
    <w:rsid w:val="00E278C4"/>
    <w:pPr>
      <w:shd w:val="clear" w:color="000000" w:fill="FFFFFF"/>
      <w:spacing w:before="100" w:after="100"/>
      <w:jc w:val="center"/>
    </w:pPr>
    <w:rPr>
      <w:rFonts w:ascii="Arial" w:eastAsia="Times New Roman" w:hAnsi="Arial" w:cs="Arial"/>
      <w:color w:val="0000FF"/>
      <w:szCs w:val="20"/>
      <w:lang w:eastAsia="es-MX"/>
    </w:rPr>
  </w:style>
  <w:style w:type="paragraph" w:customStyle="1" w:styleId="xl119">
    <w:name w:val="xl119"/>
    <w:basedOn w:val="Normal"/>
    <w:uiPriority w:val="99"/>
    <w:rsid w:val="00E278C4"/>
    <w:pPr>
      <w:shd w:val="clear" w:color="000000" w:fill="FFFFFF"/>
      <w:spacing w:before="100" w:after="100"/>
      <w:jc w:val="center"/>
    </w:pPr>
    <w:rPr>
      <w:rFonts w:ascii="Arial" w:eastAsia="Times New Roman" w:hAnsi="Arial" w:cs="Arial"/>
      <w:b/>
      <w:sz w:val="22"/>
      <w:szCs w:val="20"/>
      <w:lang w:eastAsia="es-MX"/>
    </w:rPr>
  </w:style>
  <w:style w:type="paragraph" w:customStyle="1" w:styleId="xl120">
    <w:name w:val="xl120"/>
    <w:basedOn w:val="Normal"/>
    <w:uiPriority w:val="99"/>
    <w:rsid w:val="00E278C4"/>
    <w:pPr>
      <w:shd w:val="clear" w:color="000000" w:fill="FFFFFF"/>
      <w:spacing w:before="100" w:after="100"/>
    </w:pPr>
    <w:rPr>
      <w:rFonts w:ascii="Arial MT" w:eastAsia="Times New Roman" w:hAnsi="Arial MT" w:cs="Arial MT"/>
      <w:b/>
      <w:szCs w:val="20"/>
      <w:lang w:eastAsia="es-MX"/>
    </w:rPr>
  </w:style>
  <w:style w:type="paragraph" w:customStyle="1" w:styleId="xl121">
    <w:name w:val="xl121"/>
    <w:basedOn w:val="Normal"/>
    <w:uiPriority w:val="99"/>
    <w:rsid w:val="00E278C4"/>
    <w:pPr>
      <w:pBdr>
        <w:bottom w:val="single" w:sz="6" w:space="0" w:color="auto"/>
      </w:pBdr>
      <w:shd w:val="clear" w:color="000000" w:fill="FFFFFF"/>
      <w:spacing w:before="100" w:after="100"/>
    </w:pPr>
    <w:rPr>
      <w:rFonts w:ascii="Arial" w:eastAsia="Times New Roman" w:hAnsi="Arial" w:cs="Arial"/>
      <w:b/>
      <w:szCs w:val="20"/>
      <w:lang w:eastAsia="es-MX"/>
    </w:rPr>
  </w:style>
  <w:style w:type="paragraph" w:customStyle="1" w:styleId="xl122">
    <w:name w:val="xl122"/>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3">
    <w:name w:val="xl123"/>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 w:val="18"/>
      <w:szCs w:val="20"/>
      <w:lang w:eastAsia="es-MX"/>
    </w:rPr>
  </w:style>
  <w:style w:type="paragraph" w:customStyle="1" w:styleId="xl124">
    <w:name w:val="xl124"/>
    <w:basedOn w:val="Normal"/>
    <w:uiPriority w:val="99"/>
    <w:rsid w:val="00E278C4"/>
    <w:pPr>
      <w:pBdr>
        <w:bottom w:val="single" w:sz="6" w:space="0" w:color="auto"/>
      </w:pBdr>
      <w:shd w:val="clear" w:color="000000" w:fill="FFFFFF"/>
      <w:spacing w:before="100" w:after="100"/>
      <w:jc w:val="center"/>
    </w:pPr>
    <w:rPr>
      <w:rFonts w:ascii="Arial" w:eastAsia="Times New Roman" w:hAnsi="Arial" w:cs="Arial"/>
      <w:b/>
      <w:szCs w:val="20"/>
      <w:lang w:eastAsia="es-MX"/>
    </w:rPr>
  </w:style>
  <w:style w:type="paragraph" w:customStyle="1" w:styleId="xl125">
    <w:name w:val="xl125"/>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6">
    <w:name w:val="xl126"/>
    <w:basedOn w:val="Normal"/>
    <w:uiPriority w:val="99"/>
    <w:rsid w:val="00E278C4"/>
    <w:pPr>
      <w:shd w:val="clear" w:color="000000" w:fill="FFFFFF"/>
      <w:spacing w:before="100" w:after="100"/>
      <w:jc w:val="right"/>
    </w:pPr>
    <w:rPr>
      <w:rFonts w:ascii="Arial" w:eastAsia="Times New Roman" w:hAnsi="Arial" w:cs="Arial"/>
      <w:szCs w:val="20"/>
      <w:lang w:eastAsia="es-MX"/>
    </w:rPr>
  </w:style>
  <w:style w:type="paragraph" w:customStyle="1" w:styleId="xl127">
    <w:name w:val="xl127"/>
    <w:basedOn w:val="Normal"/>
    <w:uiPriority w:val="99"/>
    <w:rsid w:val="00E278C4"/>
    <w:pPr>
      <w:shd w:val="clear" w:color="000000" w:fill="FFFFFF"/>
      <w:spacing w:before="100" w:after="100"/>
    </w:pPr>
    <w:rPr>
      <w:rFonts w:eastAsia="Times New Roman"/>
      <w:szCs w:val="20"/>
      <w:lang w:eastAsia="es-MX"/>
    </w:rPr>
  </w:style>
  <w:style w:type="paragraph" w:customStyle="1" w:styleId="xl129">
    <w:name w:val="xl129"/>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0">
    <w:name w:val="xl130"/>
    <w:basedOn w:val="Normal"/>
    <w:uiPriority w:val="99"/>
    <w:rsid w:val="00E278C4"/>
    <w:pPr>
      <w:shd w:val="clear" w:color="000000" w:fill="FFFFFF"/>
      <w:spacing w:before="100" w:after="100"/>
    </w:pPr>
    <w:rPr>
      <w:rFonts w:ascii="Arial" w:eastAsia="Times New Roman" w:hAnsi="Arial" w:cs="Arial"/>
      <w:szCs w:val="20"/>
      <w:lang w:eastAsia="es-MX"/>
    </w:rPr>
  </w:style>
  <w:style w:type="paragraph" w:customStyle="1" w:styleId="xl131">
    <w:name w:val="xl131"/>
    <w:basedOn w:val="Normal"/>
    <w:uiPriority w:val="99"/>
    <w:rsid w:val="00E278C4"/>
    <w:pPr>
      <w:shd w:val="clear" w:color="000000" w:fill="FFFFFF"/>
      <w:spacing w:before="100" w:after="100"/>
      <w:jc w:val="center"/>
    </w:pPr>
    <w:rPr>
      <w:rFonts w:ascii="Arial" w:eastAsia="Times New Roman" w:hAnsi="Arial" w:cs="Arial"/>
      <w:color w:val="FFFFFF"/>
      <w:szCs w:val="20"/>
      <w:lang w:eastAsia="es-MX"/>
    </w:rPr>
  </w:style>
  <w:style w:type="paragraph" w:customStyle="1" w:styleId="xl132">
    <w:name w:val="xl132"/>
    <w:basedOn w:val="Normal"/>
    <w:uiPriority w:val="99"/>
    <w:rsid w:val="00E278C4"/>
    <w:pPr>
      <w:shd w:val="clear" w:color="000000" w:fill="FFFFFF"/>
      <w:spacing w:before="100" w:after="100"/>
      <w:jc w:val="right"/>
    </w:pPr>
    <w:rPr>
      <w:rFonts w:eastAsia="Times New Roman"/>
      <w:szCs w:val="20"/>
      <w:lang w:eastAsia="es-MX"/>
    </w:rPr>
  </w:style>
  <w:style w:type="paragraph" w:customStyle="1" w:styleId="xl133">
    <w:name w:val="xl133"/>
    <w:basedOn w:val="Normal"/>
    <w:uiPriority w:val="99"/>
    <w:rsid w:val="00E278C4"/>
    <w:pPr>
      <w:shd w:val="clear" w:color="000000" w:fill="FFFFFF"/>
      <w:spacing w:before="100" w:after="100"/>
    </w:pPr>
    <w:rPr>
      <w:rFonts w:eastAsia="Times New Roman"/>
      <w:szCs w:val="20"/>
      <w:lang w:eastAsia="es-MX"/>
    </w:rPr>
  </w:style>
  <w:style w:type="paragraph" w:customStyle="1" w:styleId="xl134">
    <w:name w:val="xl134"/>
    <w:basedOn w:val="Normal"/>
    <w:uiPriority w:val="99"/>
    <w:rsid w:val="00E278C4"/>
    <w:pPr>
      <w:shd w:val="clear" w:color="000000" w:fill="FFFFFF"/>
      <w:spacing w:before="100" w:after="100"/>
      <w:jc w:val="center"/>
    </w:pPr>
    <w:rPr>
      <w:rFonts w:ascii="Arial" w:eastAsia="Times New Roman" w:hAnsi="Arial" w:cs="Arial"/>
      <w:szCs w:val="20"/>
      <w:lang w:eastAsia="es-MX"/>
    </w:rPr>
  </w:style>
  <w:style w:type="paragraph" w:customStyle="1" w:styleId="xl135">
    <w:name w:val="xl135"/>
    <w:basedOn w:val="Normal"/>
    <w:uiPriority w:val="99"/>
    <w:rsid w:val="00E278C4"/>
    <w:pPr>
      <w:pBdr>
        <w:bottom w:val="single" w:sz="6" w:space="0" w:color="auto"/>
      </w:pBdr>
      <w:shd w:val="clear" w:color="000000" w:fill="FFFFFF"/>
      <w:spacing w:before="100" w:after="100"/>
      <w:jc w:val="right"/>
    </w:pPr>
    <w:rPr>
      <w:rFonts w:ascii="Arial" w:eastAsia="Times New Roman" w:hAnsi="Arial" w:cs="Arial"/>
      <w:b/>
      <w:szCs w:val="20"/>
      <w:lang w:eastAsia="es-MX"/>
    </w:rPr>
  </w:style>
  <w:style w:type="paragraph" w:customStyle="1" w:styleId="xl136">
    <w:name w:val="xl136"/>
    <w:basedOn w:val="Normal"/>
    <w:uiPriority w:val="99"/>
    <w:rsid w:val="00E278C4"/>
    <w:pPr>
      <w:shd w:val="clear" w:color="000000" w:fill="FFFFFF"/>
      <w:spacing w:before="100" w:after="100"/>
      <w:jc w:val="center"/>
    </w:pPr>
    <w:rPr>
      <w:rFonts w:ascii="Arial" w:eastAsia="Times New Roman" w:hAnsi="Arial" w:cs="Arial"/>
      <w:b/>
      <w:color w:val="0000FF"/>
      <w:szCs w:val="20"/>
      <w:lang w:eastAsia="es-MX"/>
    </w:rPr>
  </w:style>
  <w:style w:type="paragraph" w:customStyle="1" w:styleId="xl137">
    <w:name w:val="xl137"/>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8">
    <w:name w:val="xl138"/>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xl139">
    <w:name w:val="xl139"/>
    <w:basedOn w:val="Normal"/>
    <w:uiPriority w:val="99"/>
    <w:rsid w:val="00E278C4"/>
    <w:pPr>
      <w:shd w:val="clear" w:color="000000" w:fill="FFFFFF"/>
      <w:spacing w:before="100" w:after="100"/>
      <w:jc w:val="center"/>
    </w:pPr>
    <w:rPr>
      <w:rFonts w:ascii="Arial" w:eastAsia="Times New Roman" w:hAnsi="Arial" w:cs="Arial"/>
      <w:b/>
      <w:szCs w:val="20"/>
      <w:lang w:eastAsia="es-MX"/>
    </w:rPr>
  </w:style>
  <w:style w:type="paragraph" w:customStyle="1" w:styleId="Mapadeldocumento1">
    <w:name w:val="Mapa del documento1"/>
    <w:basedOn w:val="Normal"/>
    <w:uiPriority w:val="99"/>
    <w:rsid w:val="00E278C4"/>
    <w:pPr>
      <w:shd w:val="clear" w:color="auto" w:fill="000080"/>
    </w:pPr>
    <w:rPr>
      <w:rFonts w:ascii="Tahoma" w:eastAsia="Times New Roman" w:hAnsi="Tahoma" w:cs="Tahoma"/>
      <w:sz w:val="20"/>
      <w:szCs w:val="20"/>
      <w:lang w:eastAsia="es-MX"/>
    </w:rPr>
  </w:style>
  <w:style w:type="paragraph" w:customStyle="1" w:styleId="EstilotextoPrimeral">
    <w:name w:val="Estilo texto + Primera l"/>
    <w:basedOn w:val="texto0"/>
    <w:uiPriority w:val="99"/>
    <w:rsid w:val="00E278C4"/>
    <w:pPr>
      <w:autoSpaceDE/>
      <w:autoSpaceDN/>
      <w:spacing w:after="101" w:line="216" w:lineRule="exact"/>
      <w:ind w:right="0"/>
    </w:pPr>
    <w:rPr>
      <w:rFonts w:ascii="Arial" w:eastAsia="Times New Roman" w:hAnsi="Arial" w:cs="Arial"/>
      <w:sz w:val="18"/>
      <w:szCs w:val="20"/>
      <w:lang w:val="es-MX" w:eastAsia="es-MX"/>
    </w:rPr>
  </w:style>
  <w:style w:type="paragraph" w:customStyle="1" w:styleId="Listavistosa-nfasis11">
    <w:name w:val="Lista vistosa - Énfasis 11"/>
    <w:basedOn w:val="Normal"/>
    <w:uiPriority w:val="99"/>
    <w:rsid w:val="00E278C4"/>
    <w:pPr>
      <w:spacing w:after="200" w:line="276" w:lineRule="atLeast"/>
      <w:ind w:left="720"/>
    </w:pPr>
    <w:rPr>
      <w:rFonts w:ascii="Calibri" w:eastAsia="Times New Roman" w:hAnsi="Calibri" w:cs="Calibri"/>
      <w:sz w:val="22"/>
      <w:szCs w:val="20"/>
      <w:lang w:val="es-ES" w:eastAsia="es-MX"/>
    </w:rPr>
  </w:style>
  <w:style w:type="numbering" w:customStyle="1" w:styleId="Sinlista516">
    <w:name w:val="Sin lista516"/>
    <w:next w:val="Sinlista"/>
    <w:semiHidden/>
    <w:rsid w:val="0099726E"/>
  </w:style>
  <w:style w:type="table" w:customStyle="1" w:styleId="Tablaconcuadrcula738">
    <w:name w:val="Tabla con cuadrícula738"/>
    <w:basedOn w:val="Tablanormal"/>
    <w:next w:val="Tablaconcuadrcula"/>
    <w:rsid w:val="0099726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9">
    <w:name w:val="Tabla con cuadrícula739"/>
    <w:basedOn w:val="Tablanormal"/>
    <w:next w:val="Tablaconcuadrcula"/>
    <w:rsid w:val="00C13F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7">
    <w:name w:val="Sin lista517"/>
    <w:next w:val="Sinlista"/>
    <w:semiHidden/>
    <w:rsid w:val="00841BAF"/>
  </w:style>
  <w:style w:type="table" w:customStyle="1" w:styleId="Tablaconcuadrcula740">
    <w:name w:val="Tabla con cuadrícula740"/>
    <w:basedOn w:val="Tablanormal"/>
    <w:next w:val="Tablaconcuadrcula"/>
    <w:rsid w:val="00841B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7">
    <w:name w:val="Tabla con cuadrícula747"/>
    <w:basedOn w:val="Tablanormal"/>
    <w:next w:val="Tablaconcuadrcula"/>
    <w:rsid w:val="002A6C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2">
    <w:name w:val="Tabla con cuadrícula742"/>
    <w:basedOn w:val="Tablanormal"/>
    <w:next w:val="Tablaconcuadrcula"/>
    <w:rsid w:val="00D04F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8">
    <w:name w:val="Sin lista518"/>
    <w:next w:val="Sinlista"/>
    <w:semiHidden/>
    <w:rsid w:val="006C5CE6"/>
  </w:style>
  <w:style w:type="numbering" w:customStyle="1" w:styleId="Sinlista519">
    <w:name w:val="Sin lista519"/>
    <w:next w:val="Sinlista"/>
    <w:semiHidden/>
    <w:rsid w:val="006C5CE6"/>
  </w:style>
  <w:style w:type="table" w:customStyle="1" w:styleId="Tablaconcuadrcula743">
    <w:name w:val="Tabla con cuadrícula743"/>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0">
    <w:name w:val="Sin lista520"/>
    <w:next w:val="Sinlista"/>
    <w:semiHidden/>
    <w:rsid w:val="006C5CE6"/>
  </w:style>
  <w:style w:type="table" w:customStyle="1" w:styleId="Tablaconcuadrcula744">
    <w:name w:val="Tabla con cuadrícula744"/>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4">
    <w:name w:val="Sin lista524"/>
    <w:next w:val="Sinlista"/>
    <w:semiHidden/>
    <w:rsid w:val="006C5CE6"/>
  </w:style>
  <w:style w:type="table" w:customStyle="1" w:styleId="Tablaconcuadrcula745">
    <w:name w:val="Tabla con cuadrícula745"/>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5">
    <w:name w:val="Sin lista525"/>
    <w:next w:val="Sinlista"/>
    <w:semiHidden/>
    <w:rsid w:val="006C5CE6"/>
  </w:style>
  <w:style w:type="table" w:customStyle="1" w:styleId="Tablaconcuadrcula746">
    <w:name w:val="Tabla con cuadrícula746"/>
    <w:basedOn w:val="Tablanormal"/>
    <w:next w:val="Tablaconcuadrcula"/>
    <w:rsid w:val="006C5CE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6">
    <w:name w:val="Sin lista526"/>
    <w:next w:val="Sinlista"/>
    <w:semiHidden/>
    <w:rsid w:val="006C5CE6"/>
  </w:style>
  <w:style w:type="numbering" w:customStyle="1" w:styleId="Sinlista527">
    <w:name w:val="Sin lista527"/>
    <w:next w:val="Sinlista"/>
    <w:semiHidden/>
    <w:rsid w:val="009E4D95"/>
  </w:style>
  <w:style w:type="table" w:customStyle="1" w:styleId="Tablaconcuadrcula748">
    <w:name w:val="Tabla con cuadrícula748"/>
    <w:basedOn w:val="Tablanormal"/>
    <w:next w:val="Tablaconcuadrcula"/>
    <w:rsid w:val="004A2D0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9">
    <w:name w:val="Tabla con cuadrícula749"/>
    <w:basedOn w:val="Tablanormal"/>
    <w:next w:val="Tablaconcuadrcula"/>
    <w:rsid w:val="00716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0">
    <w:name w:val="Tabla con cuadrícula750"/>
    <w:basedOn w:val="Tablanormal"/>
    <w:next w:val="Tablaconcuadrcula"/>
    <w:rsid w:val="004D393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
    <w:name w:val="Tabla con cuadrícula751"/>
    <w:basedOn w:val="Tablanormal"/>
    <w:next w:val="Tablaconcuadrcula"/>
    <w:rsid w:val="008662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2">
    <w:name w:val="Tabla con cuadrícula752"/>
    <w:basedOn w:val="Tablanormal"/>
    <w:next w:val="Tablaconcuadrcula"/>
    <w:rsid w:val="00AA73A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3">
    <w:name w:val="Tabla con cuadrícula753"/>
    <w:basedOn w:val="Tablanormal"/>
    <w:next w:val="Tablaconcuadrcula"/>
    <w:rsid w:val="00430E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4">
    <w:name w:val="Tabla con cuadrícula754"/>
    <w:basedOn w:val="Tablanormal"/>
    <w:next w:val="Tablaconcuadrcula"/>
    <w:rsid w:val="007F64C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5">
    <w:name w:val="Tabla con cuadrícula755"/>
    <w:basedOn w:val="Tablanormal"/>
    <w:next w:val="Tablaconcuadrcula"/>
    <w:rsid w:val="003460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8">
    <w:name w:val="Sin lista528"/>
    <w:next w:val="Sinlista"/>
    <w:semiHidden/>
    <w:rsid w:val="00FA45E2"/>
  </w:style>
  <w:style w:type="table" w:customStyle="1" w:styleId="Tablaconcuadrcula756">
    <w:name w:val="Tabla con cuadrícula756"/>
    <w:basedOn w:val="Tablanormal"/>
    <w:next w:val="Tablaconcuadrcula"/>
    <w:rsid w:val="00FA45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9">
    <w:name w:val="Sin lista529"/>
    <w:next w:val="Sinlista"/>
    <w:semiHidden/>
    <w:rsid w:val="00E515DF"/>
  </w:style>
  <w:style w:type="character" w:customStyle="1" w:styleId="hps">
    <w:name w:val="hps"/>
    <w:basedOn w:val="Fuentedeprrafopredeter"/>
    <w:rsid w:val="00E515DF"/>
  </w:style>
  <w:style w:type="character" w:customStyle="1" w:styleId="hpsatn">
    <w:name w:val="hps atn"/>
    <w:basedOn w:val="Fuentedeprrafopredeter"/>
    <w:rsid w:val="00E515DF"/>
  </w:style>
  <w:style w:type="numbering" w:customStyle="1" w:styleId="Sinlista530">
    <w:name w:val="Sin lista530"/>
    <w:next w:val="Sinlista"/>
    <w:semiHidden/>
    <w:rsid w:val="00F1490C"/>
  </w:style>
  <w:style w:type="table" w:customStyle="1" w:styleId="Tablaconcuadrcula757">
    <w:name w:val="Tabla con cuadrícula757"/>
    <w:basedOn w:val="Tablanormal"/>
    <w:next w:val="Tablaconcuadrcula"/>
    <w:rsid w:val="00F149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4">
    <w:name w:val="Sin lista534"/>
    <w:next w:val="Sinlista"/>
    <w:semiHidden/>
    <w:rsid w:val="00532686"/>
  </w:style>
  <w:style w:type="table" w:customStyle="1" w:styleId="Tablaconcuadrcula758">
    <w:name w:val="Tabla con cuadrícula758"/>
    <w:basedOn w:val="Tablanormal"/>
    <w:next w:val="Tablaconcuadrcula"/>
    <w:rsid w:val="005326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9">
    <w:name w:val="Tabla con cuadrícula759"/>
    <w:basedOn w:val="Tablanormal"/>
    <w:next w:val="Tablaconcuadrcula"/>
    <w:rsid w:val="007D723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0">
    <w:name w:val="Tabla con cuadrícula760"/>
    <w:basedOn w:val="Tablanormal"/>
    <w:next w:val="Tablaconcuadrcula"/>
    <w:rsid w:val="000E50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1">
    <w:name w:val="Tabla con cuadrícula761"/>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2">
    <w:name w:val="Tabla con cuadrícula762"/>
    <w:basedOn w:val="Tablanormal"/>
    <w:next w:val="Tablaconcuadrcula"/>
    <w:rsid w:val="00B770F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5">
    <w:name w:val="Sin lista535"/>
    <w:next w:val="Sinlista"/>
    <w:semiHidden/>
    <w:rsid w:val="00A57FF7"/>
  </w:style>
  <w:style w:type="numbering" w:customStyle="1" w:styleId="Sinlista536">
    <w:name w:val="Sin lista536"/>
    <w:next w:val="Sinlista"/>
    <w:semiHidden/>
    <w:rsid w:val="00C67639"/>
  </w:style>
  <w:style w:type="table" w:customStyle="1" w:styleId="Tablaconcuadrcula763">
    <w:name w:val="Tabla con cuadrícula763"/>
    <w:basedOn w:val="Tablanormal"/>
    <w:next w:val="Tablaconcuadrcula"/>
    <w:rsid w:val="00C6763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7">
    <w:name w:val="Sin lista537"/>
    <w:next w:val="Sinlista"/>
    <w:semiHidden/>
    <w:rsid w:val="002B6117"/>
  </w:style>
  <w:style w:type="table" w:customStyle="1" w:styleId="Tablaconcuadrcula764">
    <w:name w:val="Tabla con cuadrícula764"/>
    <w:basedOn w:val="Tablanormal"/>
    <w:next w:val="Tablaconcuadrcula"/>
    <w:rsid w:val="00BF7C6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38">
    <w:name w:val="Sin lista538"/>
    <w:next w:val="Sinlista"/>
    <w:semiHidden/>
    <w:rsid w:val="00211834"/>
  </w:style>
  <w:style w:type="table" w:customStyle="1" w:styleId="Tablaconcuadrcula765">
    <w:name w:val="Tabla con cuadrícula765"/>
    <w:basedOn w:val="Tablanormal"/>
    <w:next w:val="Tablaconcuadrcula"/>
    <w:rsid w:val="0021183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39">
    <w:name w:val="Sin lista539"/>
    <w:next w:val="Sinlista"/>
    <w:semiHidden/>
    <w:rsid w:val="000F3AE2"/>
  </w:style>
  <w:style w:type="table" w:customStyle="1" w:styleId="Tablaconcuadrcula766">
    <w:name w:val="Tabla con cuadrícula766"/>
    <w:basedOn w:val="Tablanormal"/>
    <w:next w:val="Tablaconcuadrcula"/>
    <w:rsid w:val="000F3A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0">
    <w:name w:val="Sin lista540"/>
    <w:next w:val="Sinlista"/>
    <w:semiHidden/>
    <w:rsid w:val="000F5384"/>
  </w:style>
  <w:style w:type="table" w:customStyle="1" w:styleId="Tablaconcuadrcula767">
    <w:name w:val="Tabla con cuadrícula767"/>
    <w:basedOn w:val="Tablanormal"/>
    <w:next w:val="Tablaconcuadrcula"/>
    <w:rsid w:val="000F538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4">
    <w:name w:val="Sin lista544"/>
    <w:next w:val="Sinlista"/>
    <w:semiHidden/>
    <w:rsid w:val="00886718"/>
  </w:style>
  <w:style w:type="table" w:customStyle="1" w:styleId="Tablaconcuadrcula768">
    <w:name w:val="Tabla con cuadrícula768"/>
    <w:basedOn w:val="Tablanormal"/>
    <w:next w:val="Tablaconcuadrcula"/>
    <w:rsid w:val="008867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9">
    <w:name w:val="Tabla con cuadrícula769"/>
    <w:basedOn w:val="Tablanormal"/>
    <w:next w:val="Tablaconcuadrcula"/>
    <w:rsid w:val="00005B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0">
    <w:name w:val="Tabla con cuadrícula770"/>
    <w:basedOn w:val="Tablanormal"/>
    <w:next w:val="Tablaconcuadrcula"/>
    <w:rsid w:val="009227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5">
    <w:name w:val="Sin lista545"/>
    <w:next w:val="Sinlista"/>
    <w:semiHidden/>
    <w:rsid w:val="005C0CFA"/>
  </w:style>
  <w:style w:type="table" w:customStyle="1" w:styleId="Tablaconcuadrcula771">
    <w:name w:val="Tabla con cuadrícula771"/>
    <w:basedOn w:val="Tablanormal"/>
    <w:next w:val="Tablaconcuadrcula"/>
    <w:rsid w:val="005C0C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6">
    <w:name w:val="Sin lista546"/>
    <w:next w:val="Sinlista"/>
    <w:semiHidden/>
    <w:rsid w:val="00023E48"/>
  </w:style>
  <w:style w:type="table" w:customStyle="1" w:styleId="Tablaconcuadrcula772">
    <w:name w:val="Tabla con cuadrícula772"/>
    <w:basedOn w:val="Tablanormal"/>
    <w:next w:val="Tablaconcuadrcula"/>
    <w:rsid w:val="00023E4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7">
    <w:name w:val="Sin lista547"/>
    <w:next w:val="Sinlista"/>
    <w:semiHidden/>
    <w:rsid w:val="00DF5E01"/>
  </w:style>
  <w:style w:type="table" w:customStyle="1" w:styleId="Tablaconcuadrcula773">
    <w:name w:val="Tabla con cuadrícula773"/>
    <w:basedOn w:val="Tablanormal"/>
    <w:next w:val="Tablaconcuadrcula"/>
    <w:rsid w:val="00DF5E0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8">
    <w:name w:val="Sin lista548"/>
    <w:next w:val="Sinlista"/>
    <w:semiHidden/>
    <w:rsid w:val="00EF45DE"/>
  </w:style>
  <w:style w:type="table" w:customStyle="1" w:styleId="Tablaconcuadrcula774">
    <w:name w:val="Tabla con cuadrícula774"/>
    <w:basedOn w:val="Tablanormal"/>
    <w:next w:val="Tablaconcuadrcula"/>
    <w:rsid w:val="00EF3C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5">
    <w:name w:val="Tabla con cuadrícula775"/>
    <w:basedOn w:val="Tablanormal"/>
    <w:next w:val="Tablaconcuadrcula"/>
    <w:rsid w:val="00767FC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9">
    <w:name w:val="Sin lista549"/>
    <w:next w:val="Sinlista"/>
    <w:semiHidden/>
    <w:rsid w:val="009A1F9F"/>
  </w:style>
  <w:style w:type="table" w:customStyle="1" w:styleId="Tablaconcuadrcula776">
    <w:name w:val="Tabla con cuadrícula776"/>
    <w:basedOn w:val="Tablanormal"/>
    <w:next w:val="Tablaconcuadrcula"/>
    <w:rsid w:val="009A1F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7">
    <w:name w:val="Tabla con cuadrícula777"/>
    <w:basedOn w:val="Tablanormal"/>
    <w:next w:val="Tablaconcuadrcula"/>
    <w:rsid w:val="007E42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0">
    <w:name w:val="Sin lista550"/>
    <w:next w:val="Sinlista"/>
    <w:semiHidden/>
    <w:rsid w:val="00D978BD"/>
  </w:style>
  <w:style w:type="table" w:customStyle="1" w:styleId="Tablaconcuadrcula778">
    <w:name w:val="Tabla con cuadrícula778"/>
    <w:basedOn w:val="Tablanormal"/>
    <w:next w:val="Tablaconcuadrcula"/>
    <w:rsid w:val="00D978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9">
    <w:name w:val="Tabla con cuadrícula779"/>
    <w:basedOn w:val="Tablanormal"/>
    <w:next w:val="Tablaconcuadrcula"/>
    <w:uiPriority w:val="59"/>
    <w:rsid w:val="00D968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0">
    <w:name w:val="Tabla con cuadrícula780"/>
    <w:basedOn w:val="Tablanormal"/>
    <w:next w:val="Tablaconcuadrcula"/>
    <w:rsid w:val="00785C6B"/>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1">
    <w:name w:val="Tabla con cuadrícula781"/>
    <w:basedOn w:val="Tablanormal"/>
    <w:next w:val="Tablaconcuadrcula"/>
    <w:rsid w:val="00EE14F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4">
    <w:name w:val="Sin lista554"/>
    <w:next w:val="Sinlista"/>
    <w:semiHidden/>
    <w:unhideWhenUsed/>
    <w:rsid w:val="006E7E47"/>
  </w:style>
  <w:style w:type="table" w:customStyle="1" w:styleId="Tablaconcuadrcula782">
    <w:name w:val="Tabla con cuadrícula782"/>
    <w:basedOn w:val="Tablanormal"/>
    <w:next w:val="Tablaconcuadrcula"/>
    <w:rsid w:val="006E7E4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5">
    <w:name w:val="Sin lista555"/>
    <w:next w:val="Sinlista"/>
    <w:semiHidden/>
    <w:unhideWhenUsed/>
    <w:rsid w:val="00930E01"/>
  </w:style>
  <w:style w:type="character" w:customStyle="1" w:styleId="TextodegloboCar">
    <w:name w:val="Texto de globo Car"/>
    <w:basedOn w:val="Fuentedeprrafopredeter"/>
    <w:link w:val="Textodeglobo"/>
    <w:uiPriority w:val="99"/>
    <w:rsid w:val="00930E01"/>
    <w:rPr>
      <w:rFonts w:ascii="Tahoma" w:hAnsi="Tahoma" w:cs="Tahoma"/>
      <w:sz w:val="16"/>
      <w:szCs w:val="16"/>
      <w:lang w:eastAsia="es-ES"/>
    </w:rPr>
  </w:style>
  <w:style w:type="table" w:customStyle="1" w:styleId="Tablaconcuadrcula783">
    <w:name w:val="Tabla con cuadrícula783"/>
    <w:basedOn w:val="Tablanormal"/>
    <w:next w:val="Tablaconcuadrcula"/>
    <w:rsid w:val="00930E0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4">
    <w:name w:val="Tabla con cuadrícula784"/>
    <w:basedOn w:val="Tablanormal"/>
    <w:next w:val="Tablaconcuadrcula"/>
    <w:rsid w:val="00904B7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5">
    <w:name w:val="Tabla con cuadrícula785"/>
    <w:basedOn w:val="Tablanormal"/>
    <w:next w:val="Tablaconcuadrcula"/>
    <w:rsid w:val="00385B5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6">
    <w:name w:val="Tabla con cuadrícula786"/>
    <w:basedOn w:val="Tablanormal"/>
    <w:next w:val="Tablaconcuadrcula"/>
    <w:uiPriority w:val="59"/>
    <w:rsid w:val="00AF5B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6">
    <w:name w:val="Sin lista556"/>
    <w:next w:val="Sinlista"/>
    <w:uiPriority w:val="99"/>
    <w:semiHidden/>
    <w:unhideWhenUsed/>
    <w:rsid w:val="003E3852"/>
  </w:style>
  <w:style w:type="table" w:customStyle="1" w:styleId="Tablaconcuadrcula787">
    <w:name w:val="Tabla con cuadrícula787"/>
    <w:basedOn w:val="Tablanormal"/>
    <w:next w:val="Tablaconcuadrcula"/>
    <w:rsid w:val="003E3852"/>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557">
    <w:name w:val="Sin lista557"/>
    <w:next w:val="Sinlista"/>
    <w:semiHidden/>
    <w:unhideWhenUsed/>
    <w:rsid w:val="00612D4F"/>
  </w:style>
  <w:style w:type="table" w:customStyle="1" w:styleId="Tablaconcuadrcula788">
    <w:name w:val="Tabla con cuadrícula788"/>
    <w:basedOn w:val="Tablanormal"/>
    <w:next w:val="Tablaconcuadrcula"/>
    <w:rsid w:val="00612D4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9">
    <w:name w:val="Tabla con cuadrícula789"/>
    <w:basedOn w:val="Tablanormal"/>
    <w:next w:val="Tablaconcuadrcula"/>
    <w:rsid w:val="00E46F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8">
    <w:name w:val="Sin lista558"/>
    <w:next w:val="Sinlista"/>
    <w:semiHidden/>
    <w:unhideWhenUsed/>
    <w:rsid w:val="003F3357"/>
  </w:style>
  <w:style w:type="table" w:customStyle="1" w:styleId="Tablaconcuadrcula790">
    <w:name w:val="Tabla con cuadrícula790"/>
    <w:basedOn w:val="Tablanormal"/>
    <w:next w:val="Tablaconcuadrcula"/>
    <w:rsid w:val="003F3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documentosadjuntos">
    <w:name w:val="Info documentos adjuntos"/>
    <w:basedOn w:val="Normal"/>
    <w:uiPriority w:val="99"/>
    <w:rsid w:val="00465231"/>
  </w:style>
  <w:style w:type="numbering" w:customStyle="1" w:styleId="Sinlista559">
    <w:name w:val="Sin lista559"/>
    <w:next w:val="Sinlista"/>
    <w:uiPriority w:val="99"/>
    <w:semiHidden/>
    <w:unhideWhenUsed/>
    <w:rsid w:val="00C12F25"/>
  </w:style>
  <w:style w:type="table" w:customStyle="1" w:styleId="Tablaconcuadrcula791">
    <w:name w:val="Tabla con cuadrícula791"/>
    <w:basedOn w:val="Tablanormal"/>
    <w:next w:val="Tablaconcuadrcula"/>
    <w:rsid w:val="00C12F2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oat-left">
    <w:name w:val="float-left"/>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character" w:customStyle="1" w:styleId="orden">
    <w:name w:val="orden"/>
    <w:basedOn w:val="Fuentedeprrafopredeter"/>
    <w:rsid w:val="00C12F25"/>
  </w:style>
  <w:style w:type="character" w:customStyle="1" w:styleId="seleccionado1">
    <w:name w:val="seleccionado1"/>
    <w:basedOn w:val="Fuentedeprrafopredeter"/>
    <w:rsid w:val="00C12F25"/>
    <w:rPr>
      <w:vanish w:val="0"/>
      <w:webHidden w:val="0"/>
      <w:bdr w:val="single" w:sz="4" w:space="1" w:color="C1C7C7" w:frame="1"/>
      <w:shd w:val="clear" w:color="auto" w:fill="F0F1F3"/>
      <w:specVanish w:val="0"/>
    </w:rPr>
  </w:style>
  <w:style w:type="character" w:customStyle="1" w:styleId="date5">
    <w:name w:val="date5"/>
    <w:basedOn w:val="Fuentedeprrafopredeter"/>
    <w:rsid w:val="00C12F25"/>
  </w:style>
  <w:style w:type="paragraph" w:customStyle="1" w:styleId="float-right4">
    <w:name w:val="float-right4"/>
    <w:basedOn w:val="Normal"/>
    <w:uiPriority w:val="99"/>
    <w:rsid w:val="00C12F25"/>
    <w:pPr>
      <w:spacing w:before="100" w:beforeAutospacing="1" w:after="100" w:afterAutospacing="1" w:line="300" w:lineRule="atLeast"/>
      <w:ind w:left="709" w:hanging="709"/>
      <w:jc w:val="both"/>
    </w:pPr>
    <w:rPr>
      <w:rFonts w:eastAsia="Times New Roman"/>
      <w:sz w:val="26"/>
      <w:lang w:val="es-ES"/>
    </w:rPr>
  </w:style>
  <w:style w:type="paragraph" w:customStyle="1" w:styleId="bottomfoot2">
    <w:name w:val="bottom_foot2"/>
    <w:basedOn w:val="Normal"/>
    <w:uiPriority w:val="99"/>
    <w:rsid w:val="00C12F25"/>
    <w:pPr>
      <w:spacing w:before="100" w:beforeAutospacing="1" w:after="100" w:afterAutospacing="1" w:line="300" w:lineRule="atLeast"/>
      <w:ind w:left="709" w:hanging="709"/>
      <w:jc w:val="both"/>
    </w:pPr>
    <w:rPr>
      <w:rFonts w:eastAsia="Times New Roman"/>
      <w:color w:val="666666"/>
      <w:sz w:val="26"/>
      <w:lang w:val="es-ES"/>
    </w:rPr>
  </w:style>
  <w:style w:type="paragraph" w:styleId="Sinespaciado">
    <w:name w:val="No Spacing"/>
    <w:aliases w:val="Fuente de cuadros y gráficas,Sin espaciado1"/>
    <w:uiPriority w:val="1"/>
    <w:qFormat/>
    <w:rsid w:val="00C12F25"/>
    <w:pPr>
      <w:ind w:left="709" w:hanging="709"/>
    </w:pPr>
    <w:rPr>
      <w:rFonts w:eastAsia="Times New Roman"/>
      <w:szCs w:val="24"/>
      <w:lang w:val="es-ES" w:eastAsia="es-ES"/>
    </w:rPr>
  </w:style>
  <w:style w:type="table" w:customStyle="1" w:styleId="Tablaconcuadrcula792">
    <w:name w:val="Tabla con cuadrícula792"/>
    <w:basedOn w:val="Tablanormal"/>
    <w:next w:val="Tablaconcuadrcula"/>
    <w:rsid w:val="001C58A6"/>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3">
    <w:name w:val="Tabla con cuadrícula793"/>
    <w:basedOn w:val="Tablanormal"/>
    <w:next w:val="Tablaconcuadrcula"/>
    <w:rsid w:val="00D324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4">
    <w:name w:val="Tabla con cuadrícula794"/>
    <w:basedOn w:val="Tablanormal"/>
    <w:next w:val="Tablaconcuadrcula"/>
    <w:rsid w:val="00FA0C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0">
    <w:name w:val="Sin lista560"/>
    <w:next w:val="Sinlista"/>
    <w:uiPriority w:val="99"/>
    <w:semiHidden/>
    <w:unhideWhenUsed/>
    <w:rsid w:val="00AC0030"/>
  </w:style>
  <w:style w:type="table" w:customStyle="1" w:styleId="Tablaconcuadrcula795">
    <w:name w:val="Tabla con cuadrícula795"/>
    <w:basedOn w:val="Tablanormal"/>
    <w:next w:val="Tablaconcuadrcula"/>
    <w:rsid w:val="00AC00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4">
    <w:name w:val="Sin lista1104"/>
    <w:next w:val="Sinlista"/>
    <w:semiHidden/>
    <w:rsid w:val="00AC0030"/>
  </w:style>
  <w:style w:type="table" w:customStyle="1" w:styleId="Tablaconcuadrcula1108">
    <w:name w:val="Tabla con cuadrícula1108"/>
    <w:basedOn w:val="Tablanormal"/>
    <w:next w:val="Tablaconcuadrcula"/>
    <w:rsid w:val="00AC003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1">
    <w:name w:val="Tabla con cuadrícula2101"/>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0">
    <w:name w:val="Tabla con cuadrícula3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0">
    <w:name w:val="Tabla con cuadrícula4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0">
    <w:name w:val="Tabla con cuadrícula5100"/>
    <w:basedOn w:val="Tablanormal"/>
    <w:next w:val="Tablaconcuadrcula"/>
    <w:rsid w:val="00AC0030"/>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6">
    <w:name w:val="Tabla con cuadrícula796"/>
    <w:basedOn w:val="Tablanormal"/>
    <w:next w:val="Tablaconcuadrcula"/>
    <w:rsid w:val="009E6F04"/>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4">
    <w:name w:val="Sin lista564"/>
    <w:next w:val="Sinlista"/>
    <w:semiHidden/>
    <w:unhideWhenUsed/>
    <w:rsid w:val="00DD5D06"/>
  </w:style>
  <w:style w:type="table" w:customStyle="1" w:styleId="Tablaconcuadrcula797">
    <w:name w:val="Tabla con cuadrícula797"/>
    <w:basedOn w:val="Tablanormal"/>
    <w:next w:val="Tablaconcuadrcula"/>
    <w:rsid w:val="00DD5D0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5">
    <w:name w:val="Sin lista565"/>
    <w:next w:val="Sinlista"/>
    <w:uiPriority w:val="99"/>
    <w:semiHidden/>
    <w:unhideWhenUsed/>
    <w:rsid w:val="00496822"/>
  </w:style>
  <w:style w:type="table" w:customStyle="1" w:styleId="Tablaconcuadrcula798">
    <w:name w:val="Tabla con cuadrícula798"/>
    <w:basedOn w:val="Tablanormal"/>
    <w:next w:val="Tablaconcuadrcula"/>
    <w:rsid w:val="00496822"/>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tuloCar">
    <w:name w:val="Subtítulo Car"/>
    <w:basedOn w:val="Fuentedeprrafopredeter"/>
    <w:link w:val="Subttulo"/>
    <w:uiPriority w:val="99"/>
    <w:rsid w:val="00496822"/>
    <w:rPr>
      <w:b/>
      <w:bCs/>
      <w:szCs w:val="24"/>
      <w:lang w:val="es-ES" w:eastAsia="es-ES"/>
    </w:rPr>
  </w:style>
  <w:style w:type="character" w:customStyle="1" w:styleId="PuestoCar">
    <w:name w:val="Puesto Car"/>
    <w:aliases w:val="maripaz Car"/>
    <w:basedOn w:val="Fuentedeprrafopredeter"/>
    <w:link w:val="Puesto"/>
    <w:rsid w:val="00496822"/>
    <w:rPr>
      <w:rFonts w:ascii="Arial" w:hAnsi="Arial" w:cs="Arial"/>
      <w:b/>
      <w:bCs/>
      <w:kern w:val="28"/>
      <w:sz w:val="32"/>
      <w:szCs w:val="32"/>
      <w:lang w:eastAsia="es-ES"/>
    </w:rPr>
  </w:style>
  <w:style w:type="numbering" w:customStyle="1" w:styleId="Sinlista566">
    <w:name w:val="Sin lista566"/>
    <w:next w:val="Sinlista"/>
    <w:uiPriority w:val="99"/>
    <w:semiHidden/>
    <w:unhideWhenUsed/>
    <w:rsid w:val="00C54349"/>
  </w:style>
  <w:style w:type="table" w:customStyle="1" w:styleId="Tablaconcuadrcula799">
    <w:name w:val="Tabla con cuadrícula799"/>
    <w:basedOn w:val="Tablanormal"/>
    <w:next w:val="Tablaconcuadrcula"/>
    <w:uiPriority w:val="59"/>
    <w:rsid w:val="00C5434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7">
    <w:name w:val="Sin lista567"/>
    <w:next w:val="Sinlista"/>
    <w:semiHidden/>
    <w:rsid w:val="008B2EA4"/>
  </w:style>
  <w:style w:type="table" w:customStyle="1" w:styleId="Tablaconcuadrcula800">
    <w:name w:val="Tabla con cuadrícula800"/>
    <w:basedOn w:val="Tablanormal"/>
    <w:next w:val="Tablaconcuadrcula"/>
    <w:rsid w:val="008B2EA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
    <w:name w:val="Tabla con cuadrícula801"/>
    <w:basedOn w:val="Tablanormal"/>
    <w:next w:val="Tablaconcuadrcula"/>
    <w:rsid w:val="006D2DE1"/>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2">
    <w:name w:val="Tabla con cuadrícula802"/>
    <w:basedOn w:val="Tablanormal"/>
    <w:next w:val="Tablaconcuadrcula"/>
    <w:uiPriority w:val="59"/>
    <w:rsid w:val="00C33BC8"/>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3">
    <w:name w:val="Tabla con cuadrícula803"/>
    <w:basedOn w:val="Tablanormal"/>
    <w:next w:val="Tablaconcuadrcula"/>
    <w:rsid w:val="001463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8">
    <w:name w:val="Sin lista568"/>
    <w:next w:val="Sinlista"/>
    <w:uiPriority w:val="99"/>
    <w:semiHidden/>
    <w:unhideWhenUsed/>
    <w:rsid w:val="00856B5A"/>
  </w:style>
  <w:style w:type="table" w:customStyle="1" w:styleId="Tablaconcuadrcula804">
    <w:name w:val="Tabla con cuadrícula804"/>
    <w:basedOn w:val="Tablanormal"/>
    <w:next w:val="Tablaconcuadrcula"/>
    <w:uiPriority w:val="59"/>
    <w:rsid w:val="00856B5A"/>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5">
    <w:name w:val="Tabla con cuadrícula805"/>
    <w:basedOn w:val="Tablanormal"/>
    <w:next w:val="Tablaconcuadrcula"/>
    <w:rsid w:val="00CA1E2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6">
    <w:name w:val="Tabla con cuadrícula806"/>
    <w:basedOn w:val="Tablanormal"/>
    <w:next w:val="Tablaconcuadrcula"/>
    <w:rsid w:val="00DC04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7">
    <w:name w:val="Tabla con cuadrícula807"/>
    <w:basedOn w:val="Tablanormal"/>
    <w:next w:val="Tablaconcuadrcula"/>
    <w:rsid w:val="004E7D5F"/>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8">
    <w:name w:val="Tabla con cuadrícula808"/>
    <w:basedOn w:val="Tablanormal"/>
    <w:next w:val="Tablaconcuadrcula"/>
    <w:uiPriority w:val="59"/>
    <w:rsid w:val="004920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69">
    <w:name w:val="Sin lista569"/>
    <w:next w:val="Sinlista"/>
    <w:uiPriority w:val="99"/>
    <w:semiHidden/>
    <w:unhideWhenUsed/>
    <w:rsid w:val="00D102FC"/>
  </w:style>
  <w:style w:type="numbering" w:customStyle="1" w:styleId="Sinlista570">
    <w:name w:val="Sin lista570"/>
    <w:next w:val="Sinlista"/>
    <w:uiPriority w:val="99"/>
    <w:semiHidden/>
    <w:unhideWhenUsed/>
    <w:rsid w:val="00657385"/>
  </w:style>
  <w:style w:type="table" w:customStyle="1" w:styleId="Tablaconcuadrcula809">
    <w:name w:val="Tabla con cuadrícula809"/>
    <w:basedOn w:val="Tablanormal"/>
    <w:next w:val="Tablaconcuadrcula"/>
    <w:rsid w:val="0065738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4">
    <w:name w:val="Sin lista574"/>
    <w:next w:val="Sinlista"/>
    <w:uiPriority w:val="99"/>
    <w:semiHidden/>
    <w:unhideWhenUsed/>
    <w:rsid w:val="00F422D9"/>
  </w:style>
  <w:style w:type="table" w:customStyle="1" w:styleId="Tablaconcuadrcula810">
    <w:name w:val="Tabla con cuadrícula810"/>
    <w:basedOn w:val="Tablanormal"/>
    <w:next w:val="Tablaconcuadrcula"/>
    <w:uiPriority w:val="59"/>
    <w:rsid w:val="00F422D9"/>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5">
    <w:name w:val="Sin lista575"/>
    <w:next w:val="Sinlista"/>
    <w:uiPriority w:val="99"/>
    <w:semiHidden/>
    <w:unhideWhenUsed/>
    <w:rsid w:val="004F31D7"/>
  </w:style>
  <w:style w:type="table" w:customStyle="1" w:styleId="Tablaconcuadrcula811">
    <w:name w:val="Tabla con cuadrícula811"/>
    <w:basedOn w:val="Tablanormal"/>
    <w:next w:val="Tablaconcuadrcula"/>
    <w:rsid w:val="004F31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2">
    <w:name w:val="Tabla con cuadrícula812"/>
    <w:basedOn w:val="Tablanormal"/>
    <w:next w:val="Tablaconcuadrcula"/>
    <w:rsid w:val="00664E2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6">
    <w:name w:val="Sin lista576"/>
    <w:next w:val="Sinlista"/>
    <w:uiPriority w:val="99"/>
    <w:semiHidden/>
    <w:unhideWhenUsed/>
    <w:rsid w:val="00492BCD"/>
  </w:style>
  <w:style w:type="table" w:customStyle="1" w:styleId="Tablaconcuadrcula813">
    <w:name w:val="Tabla con cuadrícula813"/>
    <w:basedOn w:val="Tablanormal"/>
    <w:next w:val="Tablaconcuadrcula"/>
    <w:rsid w:val="00492BC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7">
    <w:name w:val="Sin lista577"/>
    <w:next w:val="Sinlista"/>
    <w:uiPriority w:val="99"/>
    <w:semiHidden/>
    <w:unhideWhenUsed/>
    <w:rsid w:val="003D29D6"/>
  </w:style>
  <w:style w:type="table" w:customStyle="1" w:styleId="Tablaconcuadrcula814">
    <w:name w:val="Tabla con cuadrícula814"/>
    <w:basedOn w:val="Tablanormal"/>
    <w:next w:val="Tablaconcuadrcula"/>
    <w:uiPriority w:val="59"/>
    <w:rsid w:val="003D29D6"/>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alfinalCar">
    <w:name w:val="Texto nota al final Car"/>
    <w:basedOn w:val="Fuentedeprrafopredeter"/>
    <w:link w:val="Textonotaalfinal"/>
    <w:uiPriority w:val="99"/>
    <w:semiHidden/>
    <w:rsid w:val="003D29D6"/>
    <w:rPr>
      <w:lang w:val="es-ES" w:eastAsia="es-ES"/>
    </w:rPr>
  </w:style>
  <w:style w:type="numbering" w:customStyle="1" w:styleId="Sinlista578">
    <w:name w:val="Sin lista578"/>
    <w:next w:val="Sinlista"/>
    <w:uiPriority w:val="99"/>
    <w:semiHidden/>
    <w:unhideWhenUsed/>
    <w:rsid w:val="002654E2"/>
  </w:style>
  <w:style w:type="table" w:customStyle="1" w:styleId="Tablaconcuadrcula815">
    <w:name w:val="Tabla con cuadrícula815"/>
    <w:basedOn w:val="Tablanormal"/>
    <w:next w:val="Tablaconcuadrcula"/>
    <w:rsid w:val="002654E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9">
    <w:name w:val="Sin lista579"/>
    <w:next w:val="Sinlista"/>
    <w:semiHidden/>
    <w:rsid w:val="005930B3"/>
  </w:style>
  <w:style w:type="table" w:customStyle="1" w:styleId="Tablaconcuadrcula816">
    <w:name w:val="Tabla con cuadrícula816"/>
    <w:basedOn w:val="Tablanormal"/>
    <w:next w:val="Tablaconcuadrcula"/>
    <w:rsid w:val="005930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0">
    <w:name w:val="Sin lista580"/>
    <w:next w:val="Sinlista"/>
    <w:uiPriority w:val="99"/>
    <w:semiHidden/>
    <w:unhideWhenUsed/>
    <w:rsid w:val="00BC5018"/>
  </w:style>
  <w:style w:type="numbering" w:customStyle="1" w:styleId="Sinlista584">
    <w:name w:val="Sin lista584"/>
    <w:next w:val="Sinlista"/>
    <w:uiPriority w:val="99"/>
    <w:semiHidden/>
    <w:unhideWhenUsed/>
    <w:rsid w:val="00DE2ED6"/>
  </w:style>
  <w:style w:type="table" w:customStyle="1" w:styleId="Tablaconcuadrcula817">
    <w:name w:val="Tabla con cuadrícula817"/>
    <w:basedOn w:val="Tablanormal"/>
    <w:next w:val="Tablaconcuadrcula"/>
    <w:rsid w:val="00DE2ED6"/>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8">
    <w:name w:val="Tabla con cuadrícula818"/>
    <w:basedOn w:val="Tablanormal"/>
    <w:next w:val="Tablaconcuadrcula"/>
    <w:rsid w:val="0052416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5">
    <w:name w:val="Sin lista585"/>
    <w:next w:val="Sinlista"/>
    <w:uiPriority w:val="99"/>
    <w:semiHidden/>
    <w:unhideWhenUsed/>
    <w:rsid w:val="002159CD"/>
  </w:style>
  <w:style w:type="table" w:customStyle="1" w:styleId="Tablaconcuadrcula819">
    <w:name w:val="Tabla con cuadrícula819"/>
    <w:basedOn w:val="Tablanormal"/>
    <w:next w:val="Tablaconcuadrcula"/>
    <w:rsid w:val="002159CD"/>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6">
    <w:name w:val="Sin lista586"/>
    <w:next w:val="Sinlista"/>
    <w:uiPriority w:val="99"/>
    <w:semiHidden/>
    <w:unhideWhenUsed/>
    <w:rsid w:val="00580977"/>
  </w:style>
  <w:style w:type="table" w:customStyle="1" w:styleId="Tablaconcuadrcula820">
    <w:name w:val="Tabla con cuadrícula820"/>
    <w:basedOn w:val="Tablanormal"/>
    <w:next w:val="Tablaconcuadrcula"/>
    <w:rsid w:val="00D25E67"/>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7">
    <w:name w:val="Sin lista587"/>
    <w:next w:val="Sinlista"/>
    <w:uiPriority w:val="99"/>
    <w:semiHidden/>
    <w:unhideWhenUsed/>
    <w:rsid w:val="0027639C"/>
  </w:style>
  <w:style w:type="numbering" w:customStyle="1" w:styleId="Sinlista588">
    <w:name w:val="Sin lista588"/>
    <w:next w:val="Sinlista"/>
    <w:uiPriority w:val="99"/>
    <w:semiHidden/>
    <w:unhideWhenUsed/>
    <w:rsid w:val="00656CBD"/>
  </w:style>
  <w:style w:type="table" w:customStyle="1" w:styleId="Tablaconcuadrcula821">
    <w:name w:val="Tabla con cuadrícula821"/>
    <w:basedOn w:val="Tablanormal"/>
    <w:next w:val="Tablaconcuadrcula"/>
    <w:rsid w:val="00656CB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2">
    <w:name w:val="Tabla con cuadrícula822"/>
    <w:basedOn w:val="Tablanormal"/>
    <w:next w:val="Tablaconcuadrcula"/>
    <w:uiPriority w:val="59"/>
    <w:rsid w:val="00C058DE"/>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3">
    <w:name w:val="Tabla con cuadrícula823"/>
    <w:basedOn w:val="Tablanormal"/>
    <w:next w:val="Tablaconcuadrcula"/>
    <w:rsid w:val="009A60D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4">
    <w:name w:val="Tabla con cuadrícula824"/>
    <w:basedOn w:val="Tablanormal"/>
    <w:next w:val="Tablaconcuadrcula"/>
    <w:rsid w:val="001E42B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5">
    <w:name w:val="Tabla con cuadrícula825"/>
    <w:basedOn w:val="Tablanormal"/>
    <w:next w:val="Tablaconcuadrcula"/>
    <w:rsid w:val="00E1075F"/>
    <w:pPr>
      <w:ind w:left="709" w:hanging="709"/>
      <w:jc w:val="both"/>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6">
    <w:name w:val="Tabla con cuadrícula826"/>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7">
    <w:name w:val="Tabla con cuadrícula827"/>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8">
    <w:name w:val="Tabla con cuadrícula828"/>
    <w:basedOn w:val="Tablanormal"/>
    <w:next w:val="Tablaconcuadrcula"/>
    <w:rsid w:val="0039434A"/>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9">
    <w:name w:val="Tabla con cuadrícula829"/>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0">
    <w:name w:val="Tabla con cuadrícula830"/>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2">
    <w:name w:val="Tabla con cuadrícula832"/>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3">
    <w:name w:val="Tabla con cuadrícula833"/>
    <w:basedOn w:val="Tablanormal"/>
    <w:next w:val="Tablaconcuadrcula"/>
    <w:rsid w:val="00F1425C"/>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4">
    <w:name w:val="Tabla con cuadrícula834"/>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5">
    <w:name w:val="Tabla con cuadrícula835"/>
    <w:basedOn w:val="Tablanormal"/>
    <w:next w:val="Tablaconcuadrcula"/>
    <w:rsid w:val="00145AD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6">
    <w:name w:val="Tabla con cuadrícula836"/>
    <w:basedOn w:val="Tablanormal"/>
    <w:next w:val="Tablaconcuadrcula"/>
    <w:rsid w:val="009734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7">
    <w:name w:val="Tabla con cuadrícula837"/>
    <w:basedOn w:val="Tablanormal"/>
    <w:next w:val="Tablaconcuadrcula"/>
    <w:rsid w:val="009C33C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8">
    <w:name w:val="Tabla con cuadrícula838"/>
    <w:basedOn w:val="Tablanormal"/>
    <w:next w:val="Tablaconcuadrcula"/>
    <w:uiPriority w:val="59"/>
    <w:rsid w:val="008A5C4B"/>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9">
    <w:name w:val="Sin lista589"/>
    <w:next w:val="Sinlista"/>
    <w:uiPriority w:val="99"/>
    <w:semiHidden/>
    <w:unhideWhenUsed/>
    <w:rsid w:val="008E6D9B"/>
  </w:style>
  <w:style w:type="table" w:customStyle="1" w:styleId="Tablaconcuadrcula839">
    <w:name w:val="Tabla con cuadrícula839"/>
    <w:basedOn w:val="Tablanormal"/>
    <w:next w:val="Tablaconcuadrcula"/>
    <w:rsid w:val="008E6D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0">
    <w:name w:val="Tabla con cuadrícula840"/>
    <w:basedOn w:val="Tablanormal"/>
    <w:next w:val="Tablaconcuadrcula"/>
    <w:uiPriority w:val="59"/>
    <w:rsid w:val="00BA189C"/>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0">
    <w:name w:val="Sin lista590"/>
    <w:next w:val="Sinlista"/>
    <w:semiHidden/>
    <w:unhideWhenUsed/>
    <w:rsid w:val="00402C96"/>
  </w:style>
  <w:style w:type="table" w:customStyle="1" w:styleId="Tablaconcuadrcula841">
    <w:name w:val="Tabla con cuadrícula841"/>
    <w:basedOn w:val="Tablanormal"/>
    <w:next w:val="Tablaconcuadrcula"/>
    <w:uiPriority w:val="59"/>
    <w:rsid w:val="003A411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4">
    <w:name w:val="Sin lista594"/>
    <w:next w:val="Sinlista"/>
    <w:uiPriority w:val="99"/>
    <w:semiHidden/>
    <w:unhideWhenUsed/>
    <w:rsid w:val="00285896"/>
  </w:style>
  <w:style w:type="table" w:customStyle="1" w:styleId="Tablaconcuadrcula842">
    <w:name w:val="Tabla con cuadrícula842"/>
    <w:basedOn w:val="Tablanormal"/>
    <w:next w:val="Tablaconcuadrcula"/>
    <w:rsid w:val="00285896"/>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5">
    <w:name w:val="Sin lista595"/>
    <w:next w:val="Sinlista"/>
    <w:uiPriority w:val="99"/>
    <w:semiHidden/>
    <w:unhideWhenUsed/>
    <w:rsid w:val="007654A9"/>
  </w:style>
  <w:style w:type="table" w:customStyle="1" w:styleId="Tablaconcuadrcula843">
    <w:name w:val="Tabla con cuadrícula843"/>
    <w:basedOn w:val="Tablanormal"/>
    <w:next w:val="Tablaconcuadrcula"/>
    <w:rsid w:val="007654A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6">
    <w:name w:val="Sin lista596"/>
    <w:next w:val="Sinlista"/>
    <w:uiPriority w:val="99"/>
    <w:semiHidden/>
    <w:unhideWhenUsed/>
    <w:rsid w:val="00AC62DD"/>
  </w:style>
  <w:style w:type="numbering" w:customStyle="1" w:styleId="Sinlista597">
    <w:name w:val="Sin lista597"/>
    <w:next w:val="Sinlista"/>
    <w:semiHidden/>
    <w:rsid w:val="006E754B"/>
  </w:style>
  <w:style w:type="table" w:customStyle="1" w:styleId="Tablaconcuadrcula844">
    <w:name w:val="Tabla con cuadrícula844"/>
    <w:basedOn w:val="Tablanormal"/>
    <w:next w:val="Tablaconcuadrcula"/>
    <w:rsid w:val="006E75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justificado">
    <w:name w:val="textojustificado"/>
    <w:basedOn w:val="Normal"/>
    <w:uiPriority w:val="99"/>
    <w:rsid w:val="00EA4FC6"/>
    <w:pPr>
      <w:spacing w:before="100" w:beforeAutospacing="1" w:after="100" w:afterAutospacing="1"/>
    </w:pPr>
    <w:rPr>
      <w:rFonts w:eastAsia="Times New Roman"/>
      <w:lang w:eastAsia="es-MX"/>
    </w:rPr>
  </w:style>
  <w:style w:type="table" w:customStyle="1" w:styleId="Tablaconcuadrcula845">
    <w:name w:val="Tabla con cuadrícula845"/>
    <w:basedOn w:val="Tablanormal"/>
    <w:next w:val="Tablaconcuadrcula"/>
    <w:uiPriority w:val="59"/>
    <w:rsid w:val="00DE4997"/>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6">
    <w:name w:val="Tabla con cuadrícula846"/>
    <w:basedOn w:val="Tablanormal"/>
    <w:next w:val="Tablaconcuadrcula"/>
    <w:rsid w:val="00FF316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8">
    <w:name w:val="Sin lista598"/>
    <w:next w:val="Sinlista"/>
    <w:uiPriority w:val="99"/>
    <w:semiHidden/>
    <w:unhideWhenUsed/>
    <w:rsid w:val="004E5C18"/>
  </w:style>
  <w:style w:type="table" w:customStyle="1" w:styleId="Tablaconcuadrcula847">
    <w:name w:val="Tabla con cuadrícula847"/>
    <w:basedOn w:val="Tablanormal"/>
    <w:next w:val="Tablaconcuadrcula"/>
    <w:rsid w:val="004E5C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9">
    <w:name w:val="Sin lista599"/>
    <w:next w:val="Sinlista"/>
    <w:uiPriority w:val="99"/>
    <w:semiHidden/>
    <w:unhideWhenUsed/>
    <w:rsid w:val="00EE7A02"/>
  </w:style>
  <w:style w:type="table" w:customStyle="1" w:styleId="Tablaconcuadrcula848">
    <w:name w:val="Tabla con cuadrícula848"/>
    <w:basedOn w:val="Tablanormal"/>
    <w:next w:val="Tablaconcuadrcula"/>
    <w:uiPriority w:val="59"/>
    <w:rsid w:val="00EE7A02"/>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0">
    <w:name w:val="Sin lista600"/>
    <w:next w:val="Sinlista"/>
    <w:uiPriority w:val="99"/>
    <w:semiHidden/>
    <w:unhideWhenUsed/>
    <w:rsid w:val="00B37EB0"/>
  </w:style>
  <w:style w:type="table" w:customStyle="1" w:styleId="Tablaconcuadrcula849">
    <w:name w:val="Tabla con cuadrícula849"/>
    <w:basedOn w:val="Tablanormal"/>
    <w:next w:val="Tablaconcuadrcula"/>
    <w:uiPriority w:val="59"/>
    <w:rsid w:val="00B37EB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4">
    <w:name w:val="Sin lista604"/>
    <w:next w:val="Sinlista"/>
    <w:semiHidden/>
    <w:rsid w:val="004A7F09"/>
  </w:style>
  <w:style w:type="table" w:customStyle="1" w:styleId="Tablaconcuadrcula850">
    <w:name w:val="Tabla con cuadrícula850"/>
    <w:basedOn w:val="Tablanormal"/>
    <w:next w:val="Tablaconcuadrcula"/>
    <w:uiPriority w:val="59"/>
    <w:rsid w:val="006F6360"/>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
    <w:name w:val="Tabla con cuadrícula851"/>
    <w:basedOn w:val="Tablanormal"/>
    <w:next w:val="Tablaconcuadrcula"/>
    <w:uiPriority w:val="59"/>
    <w:rsid w:val="006B46D4"/>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2">
    <w:name w:val="Tabla con cuadrícula852"/>
    <w:basedOn w:val="Tablanormal"/>
    <w:next w:val="Tablaconcuadrcula"/>
    <w:rsid w:val="001024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3">
    <w:name w:val="Tabla con cuadrícula853"/>
    <w:basedOn w:val="Tablanormal"/>
    <w:next w:val="Tablaconcuadrcula"/>
    <w:uiPriority w:val="59"/>
    <w:rsid w:val="00676B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4">
    <w:name w:val="Tabla con cuadrícula854"/>
    <w:basedOn w:val="Tablanormal"/>
    <w:next w:val="Tablaconcuadrcula"/>
    <w:uiPriority w:val="59"/>
    <w:rsid w:val="007A10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5">
    <w:name w:val="Tabla con cuadrícula855"/>
    <w:basedOn w:val="Tablanormal"/>
    <w:next w:val="Tablaconcuadrcula"/>
    <w:uiPriority w:val="59"/>
    <w:rsid w:val="009745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6">
    <w:name w:val="Tabla con cuadrícula856"/>
    <w:basedOn w:val="Tablanormal"/>
    <w:next w:val="Tablaconcuadrcula"/>
    <w:uiPriority w:val="59"/>
    <w:rsid w:val="00B41DE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7">
    <w:name w:val="Tabla con cuadrícula857"/>
    <w:basedOn w:val="Tablanormal"/>
    <w:next w:val="Tablaconcuadrcula"/>
    <w:uiPriority w:val="59"/>
    <w:rsid w:val="00707A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5">
    <w:name w:val="Sin lista605"/>
    <w:next w:val="Sinlista"/>
    <w:uiPriority w:val="99"/>
    <w:semiHidden/>
    <w:unhideWhenUsed/>
    <w:rsid w:val="00407520"/>
  </w:style>
  <w:style w:type="numbering" w:customStyle="1" w:styleId="Sinlista606">
    <w:name w:val="Sin lista606"/>
    <w:next w:val="Sinlista"/>
    <w:semiHidden/>
    <w:unhideWhenUsed/>
    <w:rsid w:val="004A3CAC"/>
  </w:style>
  <w:style w:type="table" w:customStyle="1" w:styleId="Tablaconcuadrcula858">
    <w:name w:val="Tabla con cuadrícula858"/>
    <w:basedOn w:val="Tablanormal"/>
    <w:next w:val="Tablaconcuadrcula"/>
    <w:rsid w:val="004A3CA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9">
    <w:name w:val="Tabla con cuadrícula859"/>
    <w:basedOn w:val="Tablanormal"/>
    <w:next w:val="Tablaconcuadrcula"/>
    <w:uiPriority w:val="59"/>
    <w:rsid w:val="00F44783"/>
    <w:pPr>
      <w:ind w:right="159"/>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7">
    <w:name w:val="Sin lista607"/>
    <w:next w:val="Sinlista"/>
    <w:uiPriority w:val="99"/>
    <w:semiHidden/>
    <w:unhideWhenUsed/>
    <w:rsid w:val="00C033C1"/>
  </w:style>
  <w:style w:type="table" w:customStyle="1" w:styleId="Tablaconcuadrcula860">
    <w:name w:val="Tabla con cuadrícula860"/>
    <w:basedOn w:val="Tablanormal"/>
    <w:next w:val="Tablaconcuadrcula"/>
    <w:uiPriority w:val="59"/>
    <w:rsid w:val="00C033C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
    <w:name w:val="Tabla con cuadrícula861"/>
    <w:basedOn w:val="Tablanormal"/>
    <w:next w:val="Tablaconcuadrcula"/>
    <w:uiPriority w:val="59"/>
    <w:rsid w:val="007D2A9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2">
    <w:name w:val="Tabla con cuadrícula862"/>
    <w:basedOn w:val="Tablanormal"/>
    <w:next w:val="Tablaconcuadrcula"/>
    <w:uiPriority w:val="59"/>
    <w:rsid w:val="001906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3">
    <w:name w:val="Tabla con cuadrícula863"/>
    <w:basedOn w:val="Tablanormal"/>
    <w:next w:val="Tablaconcuadrcula"/>
    <w:rsid w:val="00F713EA"/>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64">
    <w:name w:val="Tabla con cuadrícula864"/>
    <w:basedOn w:val="Tablanormal"/>
    <w:next w:val="Tablaconcuadrcula"/>
    <w:uiPriority w:val="59"/>
    <w:rsid w:val="00E819D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8">
    <w:name w:val="Sin lista608"/>
    <w:next w:val="Sinlista"/>
    <w:uiPriority w:val="99"/>
    <w:semiHidden/>
    <w:unhideWhenUsed/>
    <w:rsid w:val="00C63D03"/>
  </w:style>
  <w:style w:type="table" w:customStyle="1" w:styleId="Tablaconcuadrcula865">
    <w:name w:val="Tabla con cuadrícula865"/>
    <w:basedOn w:val="Tablanormal"/>
    <w:next w:val="Tablaconcuadrcula"/>
    <w:rsid w:val="00C63D03"/>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9">
    <w:name w:val="Sin lista609"/>
    <w:next w:val="Sinlista"/>
    <w:uiPriority w:val="99"/>
    <w:semiHidden/>
    <w:unhideWhenUsed/>
    <w:rsid w:val="004F7698"/>
  </w:style>
  <w:style w:type="table" w:customStyle="1" w:styleId="Tablaconcuadrcula866">
    <w:name w:val="Tabla con cuadrícula866"/>
    <w:basedOn w:val="Tablanormal"/>
    <w:next w:val="Tablaconcuadrcula"/>
    <w:rsid w:val="004F769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6">
    <w:name w:val="Sin lista616"/>
    <w:next w:val="Sinlista"/>
    <w:uiPriority w:val="99"/>
    <w:semiHidden/>
    <w:unhideWhenUsed/>
    <w:rsid w:val="002742B3"/>
  </w:style>
  <w:style w:type="table" w:customStyle="1" w:styleId="Tablaconcuadrcula867">
    <w:name w:val="Tabla con cuadrícula867"/>
    <w:basedOn w:val="Tablanormal"/>
    <w:next w:val="Tablaconcuadrcula"/>
    <w:rsid w:val="002742B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8">
    <w:name w:val="Tabla con cuadrícula868"/>
    <w:basedOn w:val="Tablanormal"/>
    <w:next w:val="Tablaconcuadrcula"/>
    <w:uiPriority w:val="59"/>
    <w:rsid w:val="002D0E0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9">
    <w:name w:val="Tabla con cuadrícula869"/>
    <w:basedOn w:val="Tablanormal"/>
    <w:next w:val="Tablaconcuadrcula"/>
    <w:rsid w:val="000257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0">
    <w:name w:val="Tabla con cuadrícula870"/>
    <w:basedOn w:val="Tablanormal"/>
    <w:next w:val="Tablaconcuadrcula"/>
    <w:uiPriority w:val="59"/>
    <w:rsid w:val="00EA2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1">
    <w:name w:val="Tabla con cuadrícula871"/>
    <w:basedOn w:val="Tablanormal"/>
    <w:next w:val="Tablaconcuadrcula"/>
    <w:uiPriority w:val="59"/>
    <w:rsid w:val="007F052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7">
    <w:name w:val="Sin lista617"/>
    <w:next w:val="Sinlista"/>
    <w:uiPriority w:val="99"/>
    <w:semiHidden/>
    <w:unhideWhenUsed/>
    <w:rsid w:val="00DF2CB5"/>
  </w:style>
  <w:style w:type="table" w:customStyle="1" w:styleId="Tablaconcuadrcula872">
    <w:name w:val="Tabla con cuadrícula872"/>
    <w:basedOn w:val="Tablanormal"/>
    <w:next w:val="Tablaconcuadrcula"/>
    <w:rsid w:val="00DF2CB5"/>
    <w:pPr>
      <w:ind w:left="709" w:hanging="709"/>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Fuentedeprrafopredeter"/>
    <w:rsid w:val="00DF2CB5"/>
  </w:style>
  <w:style w:type="table" w:customStyle="1" w:styleId="Tablaconcuadrcula873">
    <w:name w:val="Tabla con cuadrícula873"/>
    <w:basedOn w:val="Tablanormal"/>
    <w:next w:val="Tablaconcuadrcula"/>
    <w:rsid w:val="00672B0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4">
    <w:name w:val="Tabla con cuadrícula874"/>
    <w:basedOn w:val="Tablanormal"/>
    <w:next w:val="Tablaconcuadrcula"/>
    <w:rsid w:val="00AE61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8">
    <w:name w:val="Sin lista618"/>
    <w:next w:val="Sinlista"/>
    <w:semiHidden/>
    <w:unhideWhenUsed/>
    <w:rsid w:val="007938F2"/>
  </w:style>
  <w:style w:type="table" w:customStyle="1" w:styleId="Tablaconcuadrcula875">
    <w:name w:val="Tabla con cuadrícula875"/>
    <w:basedOn w:val="Tablanormal"/>
    <w:next w:val="Tablaconcuadrcula"/>
    <w:rsid w:val="00B41E9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9">
    <w:name w:val="Sin lista619"/>
    <w:next w:val="Sinlista"/>
    <w:semiHidden/>
    <w:rsid w:val="00A438ED"/>
  </w:style>
  <w:style w:type="table" w:customStyle="1" w:styleId="Tablaconcuadrcula876">
    <w:name w:val="Tabla con cuadrícula876"/>
    <w:basedOn w:val="Tablanormal"/>
    <w:next w:val="Tablaconcuadrcula"/>
    <w:rsid w:val="00A438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0">
    <w:name w:val="Sin lista620"/>
    <w:next w:val="Sinlista"/>
    <w:uiPriority w:val="99"/>
    <w:semiHidden/>
    <w:unhideWhenUsed/>
    <w:rsid w:val="00734CE0"/>
  </w:style>
  <w:style w:type="table" w:customStyle="1" w:styleId="Tablaconcuadrcula877">
    <w:name w:val="Tabla con cuadrícula877"/>
    <w:basedOn w:val="Tablanormal"/>
    <w:next w:val="Tablaconcuadrcula"/>
    <w:uiPriority w:val="59"/>
    <w:rsid w:val="00734CE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5">
    <w:name w:val="Sin lista1105"/>
    <w:next w:val="Sinlista"/>
    <w:uiPriority w:val="99"/>
    <w:semiHidden/>
    <w:unhideWhenUsed/>
    <w:rsid w:val="00734CE0"/>
  </w:style>
  <w:style w:type="table" w:customStyle="1" w:styleId="Tablaconcuadrcula1109">
    <w:name w:val="Tabla con cuadrícula1109"/>
    <w:basedOn w:val="Tablanormal"/>
    <w:next w:val="Tablaconcuadrcula"/>
    <w:rsid w:val="00734CE0"/>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next w:val="Tablaconcuadrcula"/>
    <w:rsid w:val="00734CE0"/>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8">
    <w:name w:val="Tabla con cuadrícula878"/>
    <w:basedOn w:val="Tablanormal"/>
    <w:next w:val="Tablaconcuadrcula"/>
    <w:rsid w:val="00295A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4">
    <w:name w:val="Sin lista624"/>
    <w:next w:val="Sinlista"/>
    <w:uiPriority w:val="99"/>
    <w:semiHidden/>
    <w:unhideWhenUsed/>
    <w:rsid w:val="00BD3ACF"/>
  </w:style>
  <w:style w:type="table" w:customStyle="1" w:styleId="Tablaconcuadrcula879">
    <w:name w:val="Tabla con cuadrícula879"/>
    <w:basedOn w:val="Tablanormal"/>
    <w:next w:val="Tablaconcuadrcula"/>
    <w:rsid w:val="00BD3AC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5">
    <w:name w:val="Sin lista625"/>
    <w:next w:val="Sinlista"/>
    <w:uiPriority w:val="99"/>
    <w:semiHidden/>
    <w:unhideWhenUsed/>
    <w:rsid w:val="00E2725F"/>
  </w:style>
  <w:style w:type="table" w:customStyle="1" w:styleId="Tablaconcuadrcula880">
    <w:name w:val="Tabla con cuadrícula880"/>
    <w:basedOn w:val="Tablanormal"/>
    <w:next w:val="Tablaconcuadrcula"/>
    <w:uiPriority w:val="59"/>
    <w:rsid w:val="00E2725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
    <w:name w:val="Tabla con cuadrícula881"/>
    <w:basedOn w:val="Tablanormal"/>
    <w:next w:val="Tablaconcuadrcula"/>
    <w:rsid w:val="001322F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6">
    <w:name w:val="Sin lista626"/>
    <w:next w:val="Sinlista"/>
    <w:uiPriority w:val="99"/>
    <w:semiHidden/>
    <w:unhideWhenUsed/>
    <w:rsid w:val="00B21357"/>
  </w:style>
  <w:style w:type="table" w:customStyle="1" w:styleId="Tablaconcuadrcula882">
    <w:name w:val="Tabla con cuadrícula882"/>
    <w:basedOn w:val="Tablanormal"/>
    <w:next w:val="Tablaconcuadrcula"/>
    <w:rsid w:val="00B2135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3">
    <w:name w:val="Tabla con cuadrícula883"/>
    <w:basedOn w:val="Tablanormal"/>
    <w:next w:val="Tablaconcuadrcula"/>
    <w:uiPriority w:val="59"/>
    <w:rsid w:val="0024532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4">
    <w:name w:val="Tabla con cuadrícula884"/>
    <w:basedOn w:val="Tablanormal"/>
    <w:next w:val="Tablaconcuadrcula"/>
    <w:uiPriority w:val="59"/>
    <w:rsid w:val="00B92F5B"/>
    <w:pPr>
      <w:ind w:right="-159"/>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7">
    <w:name w:val="Sin lista627"/>
    <w:next w:val="Sinlista"/>
    <w:uiPriority w:val="99"/>
    <w:semiHidden/>
    <w:unhideWhenUsed/>
    <w:rsid w:val="00A70595"/>
  </w:style>
  <w:style w:type="table" w:customStyle="1" w:styleId="Tablaconcuadrcula885">
    <w:name w:val="Tabla con cuadrícula885"/>
    <w:basedOn w:val="Tablanormal"/>
    <w:next w:val="Tablaconcuadrcula"/>
    <w:uiPriority w:val="59"/>
    <w:rsid w:val="00A7059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8">
    <w:name w:val="Sin lista628"/>
    <w:next w:val="Sinlista"/>
    <w:semiHidden/>
    <w:unhideWhenUsed/>
    <w:rsid w:val="00543FEF"/>
  </w:style>
  <w:style w:type="table" w:customStyle="1" w:styleId="Tablaconcuadrcula886">
    <w:name w:val="Tabla con cuadrícula886"/>
    <w:basedOn w:val="Tablanormal"/>
    <w:next w:val="Tablaconcuadrcula"/>
    <w:rsid w:val="00543F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7">
    <w:name w:val="Tabla con cuadrícula887"/>
    <w:basedOn w:val="Tablanormal"/>
    <w:next w:val="Tablaconcuadrcula"/>
    <w:rsid w:val="000C146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9">
    <w:name w:val="Sin lista629"/>
    <w:next w:val="Sinlista"/>
    <w:uiPriority w:val="99"/>
    <w:semiHidden/>
    <w:unhideWhenUsed/>
    <w:rsid w:val="005B5C8D"/>
  </w:style>
  <w:style w:type="table" w:customStyle="1" w:styleId="Tablaconcuadrcula888">
    <w:name w:val="Tabla con cuadrícula888"/>
    <w:basedOn w:val="Tablanormal"/>
    <w:next w:val="Tablaconcuadrcula"/>
    <w:rsid w:val="005B5C8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next w:val="Tablaconcuadrcula"/>
    <w:rsid w:val="005B5C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0">
    <w:name w:val="Sin lista630"/>
    <w:next w:val="Sinlista"/>
    <w:semiHidden/>
    <w:unhideWhenUsed/>
    <w:rsid w:val="00490B6B"/>
  </w:style>
  <w:style w:type="table" w:customStyle="1" w:styleId="Tablaconcuadrcula889">
    <w:name w:val="Tabla con cuadrícula889"/>
    <w:basedOn w:val="Tablanormal"/>
    <w:next w:val="Tablaconcuadrcula"/>
    <w:rsid w:val="00490B6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0">
    <w:name w:val="Tabla con cuadrícula890"/>
    <w:basedOn w:val="Tablanormal"/>
    <w:next w:val="Tablaconcuadrcula"/>
    <w:uiPriority w:val="59"/>
    <w:rsid w:val="00902E19"/>
    <w:pPr>
      <w:ind w:right="-159"/>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1">
    <w:name w:val="Tabla con cuadrícula891"/>
    <w:basedOn w:val="Tablanormal"/>
    <w:next w:val="Tablaconcuadrcula"/>
    <w:rsid w:val="00C7293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2">
    <w:name w:val="Tabla con cuadrícula892"/>
    <w:basedOn w:val="Tablanormal"/>
    <w:next w:val="Tablaconcuadrcula"/>
    <w:rsid w:val="008F070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4">
    <w:name w:val="Sin lista634"/>
    <w:next w:val="Sinlista"/>
    <w:uiPriority w:val="99"/>
    <w:semiHidden/>
    <w:unhideWhenUsed/>
    <w:rsid w:val="00AB09D7"/>
  </w:style>
  <w:style w:type="table" w:customStyle="1" w:styleId="Tablaconcuadrcula893">
    <w:name w:val="Tabla con cuadrícula893"/>
    <w:basedOn w:val="Tablanormal"/>
    <w:next w:val="Tablaconcuadrcula"/>
    <w:uiPriority w:val="59"/>
    <w:rsid w:val="00AB09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3">
    <w:name w:val="Pa13"/>
    <w:basedOn w:val="Normal"/>
    <w:next w:val="Normal"/>
    <w:uiPriority w:val="99"/>
    <w:rsid w:val="00AB09D7"/>
    <w:pPr>
      <w:autoSpaceDE w:val="0"/>
      <w:autoSpaceDN w:val="0"/>
      <w:adjustRightInd w:val="0"/>
      <w:spacing w:line="201" w:lineRule="atLeast"/>
    </w:pPr>
    <w:rPr>
      <w:rFonts w:ascii="Stag Sans Light" w:eastAsiaTheme="minorHAnsi" w:hAnsi="Stag Sans Light" w:cstheme="minorBidi"/>
      <w:lang w:eastAsia="en-US"/>
    </w:rPr>
  </w:style>
  <w:style w:type="paragraph" w:customStyle="1" w:styleId="Pa16">
    <w:name w:val="Pa16"/>
    <w:basedOn w:val="Normal"/>
    <w:next w:val="Normal"/>
    <w:uiPriority w:val="99"/>
    <w:rsid w:val="00AB09D7"/>
    <w:pPr>
      <w:autoSpaceDE w:val="0"/>
      <w:autoSpaceDN w:val="0"/>
      <w:adjustRightInd w:val="0"/>
      <w:spacing w:line="141" w:lineRule="atLeast"/>
    </w:pPr>
    <w:rPr>
      <w:rFonts w:ascii="Stag Sans Light" w:eastAsiaTheme="minorHAnsi" w:hAnsi="Stag Sans Light" w:cstheme="minorBidi"/>
      <w:lang w:eastAsia="en-US"/>
    </w:rPr>
  </w:style>
  <w:style w:type="table" w:customStyle="1" w:styleId="Tablaconcuadrcula894">
    <w:name w:val="Tabla con cuadrícula894"/>
    <w:basedOn w:val="Tablanormal"/>
    <w:next w:val="Tablaconcuadrcula"/>
    <w:rsid w:val="0095627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35">
    <w:name w:val="Sin lista635"/>
    <w:next w:val="Sinlista"/>
    <w:uiPriority w:val="99"/>
    <w:semiHidden/>
    <w:unhideWhenUsed/>
    <w:rsid w:val="00275042"/>
  </w:style>
  <w:style w:type="table" w:customStyle="1" w:styleId="Tablaconcuadrcula895">
    <w:name w:val="Tabla con cuadrícula895"/>
    <w:basedOn w:val="Tablanormal"/>
    <w:next w:val="Tablaconcuadrcula"/>
    <w:rsid w:val="0027504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6">
    <w:name w:val="Tabla con cuadrícula896"/>
    <w:basedOn w:val="Tablanormal"/>
    <w:next w:val="Tablaconcuadrcula"/>
    <w:rsid w:val="00802E1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7">
    <w:name w:val="Tabla con cuadrícula897"/>
    <w:basedOn w:val="Tablanormal"/>
    <w:next w:val="Tablaconcuadrcula"/>
    <w:rsid w:val="0004191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8">
    <w:name w:val="Tabla con cuadrícula898"/>
    <w:basedOn w:val="Tablanormal"/>
    <w:next w:val="Tablaconcuadrcula"/>
    <w:rsid w:val="002C1E8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9">
    <w:name w:val="Tabla con cuadrícula899"/>
    <w:basedOn w:val="Tablanormal"/>
    <w:next w:val="Tablaconcuadrcula"/>
    <w:rsid w:val="009A346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0">
    <w:name w:val="Tabla con cuadrícula900"/>
    <w:basedOn w:val="Tablanormal"/>
    <w:next w:val="Tablaconcuadrcula"/>
    <w:uiPriority w:val="59"/>
    <w:rsid w:val="00553BB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
    <w:name w:val="Tabla con cuadrícula901"/>
    <w:basedOn w:val="Tablanormal"/>
    <w:next w:val="Tablaconcuadrcula"/>
    <w:rsid w:val="00964B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2">
    <w:name w:val="Tabla con cuadrícula902"/>
    <w:basedOn w:val="Tablanormal"/>
    <w:next w:val="Tablaconcuadrcula"/>
    <w:uiPriority w:val="59"/>
    <w:rsid w:val="006C058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6">
    <w:name w:val="Sin lista636"/>
    <w:next w:val="Sinlista"/>
    <w:uiPriority w:val="99"/>
    <w:semiHidden/>
    <w:unhideWhenUsed/>
    <w:rsid w:val="00967AE3"/>
  </w:style>
  <w:style w:type="paragraph" w:customStyle="1" w:styleId="Sangradetextonormal2">
    <w:name w:val="Sangría de texto normal2"/>
    <w:basedOn w:val="Normal"/>
    <w:uiPriority w:val="99"/>
    <w:rsid w:val="00FC7B90"/>
    <w:pPr>
      <w:spacing w:after="120" w:line="480" w:lineRule="auto"/>
    </w:pPr>
    <w:rPr>
      <w:rFonts w:eastAsia="Times New Roman"/>
      <w:sz w:val="20"/>
      <w:szCs w:val="20"/>
    </w:rPr>
  </w:style>
  <w:style w:type="table" w:customStyle="1" w:styleId="Tablaconcuadrcula903">
    <w:name w:val="Tabla con cuadrícula903"/>
    <w:basedOn w:val="Tablanormal"/>
    <w:next w:val="Tablaconcuadrcula"/>
    <w:rsid w:val="00D972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7">
    <w:name w:val="Sin lista637"/>
    <w:next w:val="Sinlista"/>
    <w:uiPriority w:val="99"/>
    <w:semiHidden/>
    <w:unhideWhenUsed/>
    <w:rsid w:val="003F4C3C"/>
  </w:style>
  <w:style w:type="table" w:customStyle="1" w:styleId="Tablaconcuadrcula904">
    <w:name w:val="Tabla con cuadrícula904"/>
    <w:basedOn w:val="Tablanormal"/>
    <w:next w:val="Tablaconcuadrcula"/>
    <w:uiPriority w:val="59"/>
    <w:rsid w:val="003F4C3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5">
    <w:name w:val="Tabla con cuadrícula905"/>
    <w:basedOn w:val="Tablanormal"/>
    <w:next w:val="Tablaconcuadrcula"/>
    <w:rsid w:val="00CF3E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6">
    <w:name w:val="Tabla con cuadrícula906"/>
    <w:basedOn w:val="Tablanormal"/>
    <w:next w:val="Tablaconcuadrcula"/>
    <w:uiPriority w:val="59"/>
    <w:rsid w:val="00B5620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8">
    <w:name w:val="Sin lista638"/>
    <w:next w:val="Sinlista"/>
    <w:uiPriority w:val="99"/>
    <w:semiHidden/>
    <w:unhideWhenUsed/>
    <w:rsid w:val="00650E40"/>
  </w:style>
  <w:style w:type="table" w:customStyle="1" w:styleId="Tablaconcuadrcula907">
    <w:name w:val="Tabla con cuadrícula907"/>
    <w:basedOn w:val="Tablanormal"/>
    <w:next w:val="Tablaconcuadrcula"/>
    <w:rsid w:val="00650E4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8">
    <w:name w:val="Tabla con cuadrícula908"/>
    <w:basedOn w:val="Tablanormal"/>
    <w:next w:val="Tablaconcuadrcula"/>
    <w:uiPriority w:val="59"/>
    <w:rsid w:val="00D415A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39">
    <w:name w:val="Sin lista639"/>
    <w:next w:val="Sinlista"/>
    <w:semiHidden/>
    <w:unhideWhenUsed/>
    <w:rsid w:val="00523E4E"/>
  </w:style>
  <w:style w:type="numbering" w:customStyle="1" w:styleId="Sinlista640">
    <w:name w:val="Sin lista640"/>
    <w:next w:val="Sinlista"/>
    <w:uiPriority w:val="99"/>
    <w:semiHidden/>
    <w:unhideWhenUsed/>
    <w:rsid w:val="00361647"/>
  </w:style>
  <w:style w:type="table" w:customStyle="1" w:styleId="Tablaconcuadrcula909">
    <w:name w:val="Tabla con cuadrícula909"/>
    <w:basedOn w:val="Tablanormal"/>
    <w:next w:val="Tablaconcuadrcula"/>
    <w:uiPriority w:val="59"/>
    <w:rsid w:val="0036164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0">
    <w:name w:val="Tabla con cuadrícula910"/>
    <w:basedOn w:val="Tablanormal"/>
    <w:next w:val="Tablaconcuadrcula"/>
    <w:rsid w:val="003B480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4">
    <w:name w:val="Sin lista644"/>
    <w:next w:val="Sinlista"/>
    <w:uiPriority w:val="99"/>
    <w:semiHidden/>
    <w:unhideWhenUsed/>
    <w:rsid w:val="008C3D86"/>
  </w:style>
  <w:style w:type="table" w:customStyle="1" w:styleId="Tablaconcuadrcula911">
    <w:name w:val="Tabla con cuadrícula911"/>
    <w:basedOn w:val="Tablanormal"/>
    <w:next w:val="Tablaconcuadrcula"/>
    <w:uiPriority w:val="59"/>
    <w:rsid w:val="00A12DB2"/>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2">
    <w:name w:val="Tabla con cuadrícula912"/>
    <w:basedOn w:val="Tablanormal"/>
    <w:next w:val="Tablaconcuadrcula"/>
    <w:uiPriority w:val="59"/>
    <w:rsid w:val="008A6E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3">
    <w:name w:val="Tabla con cuadrícula913"/>
    <w:basedOn w:val="Tablanormal"/>
    <w:next w:val="Tablaconcuadrcula"/>
    <w:rsid w:val="00742757"/>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5">
    <w:name w:val="Sin lista645"/>
    <w:next w:val="Sinlista"/>
    <w:uiPriority w:val="99"/>
    <w:semiHidden/>
    <w:unhideWhenUsed/>
    <w:rsid w:val="00A105D6"/>
  </w:style>
  <w:style w:type="table" w:customStyle="1" w:styleId="Tablaconcuadrcula914">
    <w:name w:val="Tabla con cuadrícula914"/>
    <w:basedOn w:val="Tablanormal"/>
    <w:next w:val="Tablaconcuadrcula"/>
    <w:rsid w:val="00A105D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6">
    <w:name w:val="Sin lista646"/>
    <w:next w:val="Sinlista"/>
    <w:uiPriority w:val="99"/>
    <w:semiHidden/>
    <w:unhideWhenUsed/>
    <w:rsid w:val="008302B1"/>
  </w:style>
  <w:style w:type="table" w:customStyle="1" w:styleId="Tablaconcuadrcula915">
    <w:name w:val="Tabla con cuadrícula915"/>
    <w:basedOn w:val="Tablanormal"/>
    <w:next w:val="Tablaconcuadrcula"/>
    <w:rsid w:val="008302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6">
    <w:name w:val="Tabla con cuadrícula916"/>
    <w:basedOn w:val="Tablanormal"/>
    <w:next w:val="Tablaconcuadrcula"/>
    <w:rsid w:val="003352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7">
    <w:name w:val="Sin lista647"/>
    <w:next w:val="Sinlista"/>
    <w:uiPriority w:val="99"/>
    <w:semiHidden/>
    <w:unhideWhenUsed/>
    <w:rsid w:val="00740F8B"/>
  </w:style>
  <w:style w:type="numbering" w:customStyle="1" w:styleId="Sinlista648">
    <w:name w:val="Sin lista648"/>
    <w:next w:val="Sinlista"/>
    <w:uiPriority w:val="99"/>
    <w:semiHidden/>
    <w:unhideWhenUsed/>
    <w:rsid w:val="00FF2EE3"/>
  </w:style>
  <w:style w:type="numbering" w:customStyle="1" w:styleId="Sinlista649">
    <w:name w:val="Sin lista649"/>
    <w:next w:val="Sinlista"/>
    <w:uiPriority w:val="99"/>
    <w:semiHidden/>
    <w:unhideWhenUsed/>
    <w:rsid w:val="00315E3B"/>
  </w:style>
  <w:style w:type="numbering" w:customStyle="1" w:styleId="Sinlista1106">
    <w:name w:val="Sin lista1106"/>
    <w:next w:val="Sinlista"/>
    <w:semiHidden/>
    <w:rsid w:val="00315E3B"/>
  </w:style>
  <w:style w:type="table" w:customStyle="1" w:styleId="Tablaconcuadrcula917">
    <w:name w:val="Tabla con cuadrícula917"/>
    <w:basedOn w:val="Tablanormal"/>
    <w:next w:val="Tablaconcuadrcula"/>
    <w:uiPriority w:val="59"/>
    <w:rsid w:val="00315E3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8">
    <w:name w:val="Tabla con cuadrícula918"/>
    <w:basedOn w:val="Tablanormal"/>
    <w:next w:val="Tablaconcuadrcula"/>
    <w:uiPriority w:val="59"/>
    <w:rsid w:val="00331BD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9">
    <w:name w:val="Tabla con cuadrícula919"/>
    <w:basedOn w:val="Tablanormal"/>
    <w:next w:val="Tablaconcuadrcula"/>
    <w:rsid w:val="0098418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0">
    <w:name w:val="Sin lista650"/>
    <w:next w:val="Sinlista"/>
    <w:uiPriority w:val="99"/>
    <w:semiHidden/>
    <w:unhideWhenUsed/>
    <w:rsid w:val="00272B7B"/>
  </w:style>
  <w:style w:type="table" w:customStyle="1" w:styleId="Tablaconcuadrcula920">
    <w:name w:val="Tabla con cuadrícula920"/>
    <w:basedOn w:val="Tablanormal"/>
    <w:next w:val="Tablaconcuadrcula"/>
    <w:uiPriority w:val="59"/>
    <w:rsid w:val="00272B7B"/>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Fuentedeprrafopredeter"/>
    <w:rsid w:val="00272B7B"/>
  </w:style>
  <w:style w:type="table" w:customStyle="1" w:styleId="Tablaconcuadrcula921">
    <w:name w:val="Tabla con cuadrícula921"/>
    <w:basedOn w:val="Tablanormal"/>
    <w:next w:val="Tablaconcuadrcula"/>
    <w:rsid w:val="00EC69E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2">
    <w:name w:val="Tabla con cuadrícula922"/>
    <w:basedOn w:val="Tablanormal"/>
    <w:next w:val="Tablaconcuadrcula"/>
    <w:uiPriority w:val="59"/>
    <w:rsid w:val="00110B6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4">
    <w:name w:val="Sin lista654"/>
    <w:next w:val="Sinlista"/>
    <w:uiPriority w:val="99"/>
    <w:semiHidden/>
    <w:unhideWhenUsed/>
    <w:rsid w:val="00111E5F"/>
  </w:style>
  <w:style w:type="table" w:customStyle="1" w:styleId="Tablaconcuadrcula923">
    <w:name w:val="Tabla con cuadrícula923"/>
    <w:basedOn w:val="Tablanormal"/>
    <w:next w:val="Tablaconcuadrcula"/>
    <w:uiPriority w:val="59"/>
    <w:rsid w:val="00111E5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2">
    <w:name w:val="Tabla con cuadrícula2102"/>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1">
    <w:name w:val="Tabla con cuadrícula3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1">
    <w:name w:val="Tabla con cuadrícula4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1">
    <w:name w:val="Tabla con cuadrícula5101"/>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0">
    <w:name w:val="Tabla con cuadrícula6100"/>
    <w:basedOn w:val="Tablanormal"/>
    <w:next w:val="Tablaconcuadrcula"/>
    <w:rsid w:val="00111E5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4">
    <w:name w:val="Tabla con cuadrícula924"/>
    <w:basedOn w:val="Tablanormal"/>
    <w:next w:val="Tablaconcuadrcula"/>
    <w:rsid w:val="00A80F2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5">
    <w:name w:val="Sin lista655"/>
    <w:next w:val="Sinlista"/>
    <w:uiPriority w:val="99"/>
    <w:semiHidden/>
    <w:unhideWhenUsed/>
    <w:rsid w:val="001D5D04"/>
  </w:style>
  <w:style w:type="numbering" w:customStyle="1" w:styleId="Sinlista656">
    <w:name w:val="Sin lista656"/>
    <w:next w:val="Sinlista"/>
    <w:uiPriority w:val="99"/>
    <w:semiHidden/>
    <w:unhideWhenUsed/>
    <w:rsid w:val="009C1BAB"/>
  </w:style>
  <w:style w:type="table" w:customStyle="1" w:styleId="Tablaconcuadrcula925">
    <w:name w:val="Tabla con cuadrícula925"/>
    <w:basedOn w:val="Tablanormal"/>
    <w:next w:val="Tablaconcuadrcula"/>
    <w:rsid w:val="009C1BA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6">
    <w:name w:val="Tabla con cuadrícula926"/>
    <w:basedOn w:val="Tablanormal"/>
    <w:next w:val="Tablaconcuadrcula"/>
    <w:uiPriority w:val="59"/>
    <w:rsid w:val="00F0027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7">
    <w:name w:val="Sin lista657"/>
    <w:next w:val="Sinlista"/>
    <w:uiPriority w:val="99"/>
    <w:semiHidden/>
    <w:unhideWhenUsed/>
    <w:rsid w:val="00617915"/>
  </w:style>
  <w:style w:type="table" w:customStyle="1" w:styleId="Tablaconcuadrcula927">
    <w:name w:val="Tabla con cuadrícula927"/>
    <w:basedOn w:val="Tablanormal"/>
    <w:next w:val="Tablaconcuadrcula"/>
    <w:uiPriority w:val="59"/>
    <w:rsid w:val="00617915"/>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28">
    <w:name w:val="Tabla con cuadrícula928"/>
    <w:basedOn w:val="Tablanormal"/>
    <w:next w:val="Tablaconcuadrcula"/>
    <w:rsid w:val="00085883"/>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58">
    <w:name w:val="Sin lista658"/>
    <w:next w:val="Sinlista"/>
    <w:uiPriority w:val="99"/>
    <w:semiHidden/>
    <w:unhideWhenUsed/>
    <w:rsid w:val="00DA6633"/>
  </w:style>
  <w:style w:type="table" w:customStyle="1" w:styleId="Tablaconcuadrcula929">
    <w:name w:val="Tabla con cuadrícula929"/>
    <w:basedOn w:val="Tablanormal"/>
    <w:next w:val="Tablaconcuadrcula"/>
    <w:uiPriority w:val="59"/>
    <w:rsid w:val="00DA663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0">
    <w:name w:val="Tabla con cuadrícula930"/>
    <w:basedOn w:val="Tablanormal"/>
    <w:next w:val="Tablaconcuadrcula"/>
    <w:rsid w:val="000E377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9">
    <w:name w:val="Sin lista659"/>
    <w:next w:val="Sinlista"/>
    <w:uiPriority w:val="99"/>
    <w:semiHidden/>
    <w:unhideWhenUsed/>
    <w:rsid w:val="001A5B51"/>
  </w:style>
  <w:style w:type="table" w:customStyle="1" w:styleId="Tablaconcuadrcula931">
    <w:name w:val="Tabla con cuadrícula931"/>
    <w:basedOn w:val="Tablanormal"/>
    <w:next w:val="Tablaconcuadrcula"/>
    <w:rsid w:val="001A5B5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2">
    <w:name w:val="Tabla con cuadrícula932"/>
    <w:basedOn w:val="Tablanormal"/>
    <w:next w:val="Tablaconcuadrcula"/>
    <w:uiPriority w:val="59"/>
    <w:rsid w:val="00361E46"/>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33">
    <w:name w:val="Tabla con cuadrícula933"/>
    <w:basedOn w:val="Tablanormal"/>
    <w:next w:val="Tablaconcuadrcula"/>
    <w:uiPriority w:val="59"/>
    <w:rsid w:val="00102EC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4">
    <w:name w:val="Tabla con cuadrícula934"/>
    <w:basedOn w:val="Tablanormal"/>
    <w:next w:val="Tablaconcuadrcula"/>
    <w:rsid w:val="0032703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5">
    <w:name w:val="Tabla con cuadrícula935"/>
    <w:basedOn w:val="Tablanormal"/>
    <w:next w:val="Tablaconcuadrcula"/>
    <w:uiPriority w:val="59"/>
    <w:rsid w:val="00111BE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6">
    <w:name w:val="Tabla con cuadrícula936"/>
    <w:basedOn w:val="Tablanormal"/>
    <w:next w:val="Tablaconcuadrcula"/>
    <w:rsid w:val="002347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
    <w:name w:val="Tabla con cuadrícula937"/>
    <w:basedOn w:val="Tablanormal"/>
    <w:next w:val="Tablaconcuadrcula"/>
    <w:rsid w:val="005C267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
    <w:name w:val="Tabla con cuadrícula938"/>
    <w:basedOn w:val="Tablanormal"/>
    <w:next w:val="Tablaconcuadrcula"/>
    <w:rsid w:val="0096364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0">
    <w:name w:val="Sin lista660"/>
    <w:next w:val="Sinlista"/>
    <w:uiPriority w:val="99"/>
    <w:semiHidden/>
    <w:unhideWhenUsed/>
    <w:rsid w:val="00803CC4"/>
  </w:style>
  <w:style w:type="numbering" w:customStyle="1" w:styleId="Sinlista1107">
    <w:name w:val="Sin lista1107"/>
    <w:next w:val="Sinlista"/>
    <w:semiHidden/>
    <w:rsid w:val="00803CC4"/>
  </w:style>
  <w:style w:type="table" w:customStyle="1" w:styleId="Tablaconcuadrcula939">
    <w:name w:val="Tabla con cuadrícula939"/>
    <w:basedOn w:val="Tablanormal"/>
    <w:next w:val="Tablaconcuadrcula"/>
    <w:uiPriority w:val="59"/>
    <w:rsid w:val="00803C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4">
    <w:name w:val="Sin lista664"/>
    <w:next w:val="Sinlista"/>
    <w:uiPriority w:val="99"/>
    <w:semiHidden/>
    <w:unhideWhenUsed/>
    <w:rsid w:val="006F1D14"/>
  </w:style>
  <w:style w:type="table" w:customStyle="1" w:styleId="Tablaconcuadrcula940">
    <w:name w:val="Tabla con cuadrícula940"/>
    <w:basedOn w:val="Tablanormal"/>
    <w:next w:val="Tablaconcuadrcula"/>
    <w:rsid w:val="006F1D1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8">
    <w:name w:val="Pa18"/>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paragraph" w:customStyle="1" w:styleId="Pa22">
    <w:name w:val="Pa22"/>
    <w:basedOn w:val="Normal"/>
    <w:next w:val="Normal"/>
    <w:uiPriority w:val="99"/>
    <w:rsid w:val="006F1D14"/>
    <w:pPr>
      <w:autoSpaceDE w:val="0"/>
      <w:autoSpaceDN w:val="0"/>
      <w:adjustRightInd w:val="0"/>
      <w:spacing w:line="221" w:lineRule="atLeast"/>
    </w:pPr>
    <w:rPr>
      <w:rFonts w:ascii="MetroflexUniBold" w:eastAsia="Times New Roman" w:hAnsi="MetroflexUniBold"/>
      <w:lang w:eastAsia="es-MX"/>
    </w:rPr>
  </w:style>
  <w:style w:type="character" w:customStyle="1" w:styleId="A10">
    <w:name w:val="A10"/>
    <w:uiPriority w:val="99"/>
    <w:rsid w:val="006F1D14"/>
    <w:rPr>
      <w:rFonts w:cs="MetroflexUniBold"/>
      <w:color w:val="000000"/>
      <w:sz w:val="18"/>
      <w:szCs w:val="18"/>
    </w:rPr>
  </w:style>
  <w:style w:type="table" w:customStyle="1" w:styleId="Tablaconcuadrcula941">
    <w:name w:val="Tabla con cuadrícula941"/>
    <w:basedOn w:val="Tablanormal"/>
    <w:next w:val="Tablaconcuadrcula"/>
    <w:uiPriority w:val="59"/>
    <w:rsid w:val="00C43FE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5">
    <w:name w:val="Sin lista665"/>
    <w:next w:val="Sinlista"/>
    <w:uiPriority w:val="99"/>
    <w:semiHidden/>
    <w:unhideWhenUsed/>
    <w:rsid w:val="00EA23CE"/>
  </w:style>
  <w:style w:type="table" w:customStyle="1" w:styleId="Tablaconcuadrcula942">
    <w:name w:val="Tabla con cuadrícula942"/>
    <w:basedOn w:val="Tablanormal"/>
    <w:next w:val="Tablaconcuadrcula"/>
    <w:rsid w:val="00EA23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3">
    <w:name w:val="Tabla con cuadrícula943"/>
    <w:basedOn w:val="Tablanormal"/>
    <w:next w:val="Tablaconcuadrcula"/>
    <w:uiPriority w:val="59"/>
    <w:rsid w:val="00342F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4">
    <w:name w:val="Tabla con cuadrícula944"/>
    <w:basedOn w:val="Tablanormal"/>
    <w:next w:val="Tablaconcuadrcula"/>
    <w:uiPriority w:val="59"/>
    <w:rsid w:val="002045B1"/>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6">
    <w:name w:val="Sin lista666"/>
    <w:next w:val="Sinlista"/>
    <w:uiPriority w:val="99"/>
    <w:semiHidden/>
    <w:unhideWhenUsed/>
    <w:rsid w:val="00FE795A"/>
  </w:style>
  <w:style w:type="table" w:customStyle="1" w:styleId="Tablaconcuadrcula945">
    <w:name w:val="Tabla con cuadrícula945"/>
    <w:basedOn w:val="Tablanormal"/>
    <w:next w:val="Tablaconcuadrcula"/>
    <w:uiPriority w:val="59"/>
    <w:rsid w:val="00FE795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7">
    <w:name w:val="Sin lista667"/>
    <w:next w:val="Sinlista"/>
    <w:uiPriority w:val="99"/>
    <w:semiHidden/>
    <w:unhideWhenUsed/>
    <w:rsid w:val="003F3CBB"/>
  </w:style>
  <w:style w:type="table" w:customStyle="1" w:styleId="Tablaconcuadrcula946">
    <w:name w:val="Tabla con cuadrícula946"/>
    <w:basedOn w:val="Tablanormal"/>
    <w:next w:val="Tablaconcuadrcula"/>
    <w:uiPriority w:val="59"/>
    <w:rsid w:val="003F3C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8">
    <w:name w:val="Sin lista668"/>
    <w:next w:val="Sinlista"/>
    <w:uiPriority w:val="99"/>
    <w:semiHidden/>
    <w:unhideWhenUsed/>
    <w:rsid w:val="008B5355"/>
  </w:style>
  <w:style w:type="numbering" w:customStyle="1" w:styleId="Sinlista669">
    <w:name w:val="Sin lista669"/>
    <w:next w:val="Sinlista"/>
    <w:uiPriority w:val="99"/>
    <w:semiHidden/>
    <w:unhideWhenUsed/>
    <w:rsid w:val="00B305EC"/>
  </w:style>
  <w:style w:type="table" w:customStyle="1" w:styleId="Tablaconcuadrcula947">
    <w:name w:val="Tabla con cuadrícula947"/>
    <w:basedOn w:val="Tablanormal"/>
    <w:next w:val="Tablaconcuadrcula"/>
    <w:rsid w:val="00B305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B305EC"/>
    <w:rPr>
      <w:color w:val="808080"/>
    </w:rPr>
  </w:style>
  <w:style w:type="numbering" w:customStyle="1" w:styleId="Sinlista670">
    <w:name w:val="Sin lista670"/>
    <w:next w:val="Sinlista"/>
    <w:uiPriority w:val="99"/>
    <w:semiHidden/>
    <w:unhideWhenUsed/>
    <w:rsid w:val="004775C6"/>
  </w:style>
  <w:style w:type="table" w:customStyle="1" w:styleId="Tablaconcuadrcula948">
    <w:name w:val="Tabla con cuadrícula948"/>
    <w:basedOn w:val="Tablanormal"/>
    <w:next w:val="Tablaconcuadrcula"/>
    <w:rsid w:val="004775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9">
    <w:name w:val="Tabla con cuadrícula949"/>
    <w:basedOn w:val="Tablanormal"/>
    <w:next w:val="Tablaconcuadrcula"/>
    <w:rsid w:val="00B730DB"/>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0">
    <w:name w:val="Tabla con cuadrícula950"/>
    <w:basedOn w:val="Tablanormal"/>
    <w:next w:val="Tablaconcuadrcula"/>
    <w:rsid w:val="009161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4">
    <w:name w:val="Sin lista674"/>
    <w:next w:val="Sinlista"/>
    <w:uiPriority w:val="99"/>
    <w:semiHidden/>
    <w:unhideWhenUsed/>
    <w:rsid w:val="004112FD"/>
  </w:style>
  <w:style w:type="table" w:customStyle="1" w:styleId="Tablaconcuadrcula951">
    <w:name w:val="Tabla con cuadrícula951"/>
    <w:basedOn w:val="Tablanormal"/>
    <w:next w:val="Tablaconcuadrcula"/>
    <w:uiPriority w:val="59"/>
    <w:rsid w:val="004112FD"/>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952">
    <w:name w:val="Tabla con cuadrícula952"/>
    <w:basedOn w:val="Tablanormal"/>
    <w:next w:val="Tablaconcuadrcula"/>
    <w:uiPriority w:val="59"/>
    <w:rsid w:val="005044F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5">
    <w:name w:val="Sin lista675"/>
    <w:next w:val="Sinlista"/>
    <w:semiHidden/>
    <w:rsid w:val="00973A2E"/>
  </w:style>
  <w:style w:type="table" w:customStyle="1" w:styleId="Tablaconcuadrcula953">
    <w:name w:val="Tabla con cuadrícula953"/>
    <w:basedOn w:val="Tablanormal"/>
    <w:next w:val="Tablaconcuadrcula"/>
    <w:rsid w:val="00973A2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6">
    <w:name w:val="Sin lista676"/>
    <w:next w:val="Sinlista"/>
    <w:uiPriority w:val="99"/>
    <w:semiHidden/>
    <w:unhideWhenUsed/>
    <w:rsid w:val="00042EF9"/>
  </w:style>
  <w:style w:type="table" w:customStyle="1" w:styleId="Tablaconcuadrcula954">
    <w:name w:val="Tabla con cuadrícula954"/>
    <w:basedOn w:val="Tablanormal"/>
    <w:next w:val="Tablaconcuadrcula"/>
    <w:uiPriority w:val="59"/>
    <w:rsid w:val="00042E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7">
    <w:name w:val="Sin lista677"/>
    <w:next w:val="Sinlista"/>
    <w:uiPriority w:val="99"/>
    <w:semiHidden/>
    <w:unhideWhenUsed/>
    <w:rsid w:val="00BA0336"/>
  </w:style>
  <w:style w:type="numbering" w:customStyle="1" w:styleId="Sinlista1108">
    <w:name w:val="Sin lista1108"/>
    <w:next w:val="Sinlista"/>
    <w:semiHidden/>
    <w:rsid w:val="00BA0336"/>
  </w:style>
  <w:style w:type="numbering" w:customStyle="1" w:styleId="Sinlista678">
    <w:name w:val="Sin lista678"/>
    <w:next w:val="Sinlista"/>
    <w:uiPriority w:val="99"/>
    <w:semiHidden/>
    <w:unhideWhenUsed/>
    <w:rsid w:val="00121ED4"/>
  </w:style>
  <w:style w:type="table" w:customStyle="1" w:styleId="Tablaconcuadrcula955">
    <w:name w:val="Tabla con cuadrícula955"/>
    <w:basedOn w:val="Tablanormal"/>
    <w:next w:val="Tablaconcuadrcula"/>
    <w:rsid w:val="00121ED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6">
    <w:name w:val="Tabla con cuadrícula956"/>
    <w:basedOn w:val="Tablanormal"/>
    <w:next w:val="Tablaconcuadrcula"/>
    <w:uiPriority w:val="59"/>
    <w:rsid w:val="001D05C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7">
    <w:name w:val="Tabla con cuadrícula957"/>
    <w:basedOn w:val="Tablanormal"/>
    <w:next w:val="Tablaconcuadrcula"/>
    <w:rsid w:val="00564E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9">
    <w:name w:val="Sin lista679"/>
    <w:next w:val="Sinlista"/>
    <w:uiPriority w:val="99"/>
    <w:semiHidden/>
    <w:unhideWhenUsed/>
    <w:rsid w:val="006B11F3"/>
  </w:style>
  <w:style w:type="table" w:customStyle="1" w:styleId="Tablaconcuadrcula958">
    <w:name w:val="Tabla con cuadrícula958"/>
    <w:basedOn w:val="Tablanormal"/>
    <w:next w:val="Tablaconcuadrcula"/>
    <w:uiPriority w:val="59"/>
    <w:rsid w:val="006B11F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0">
    <w:name w:val="Sin lista680"/>
    <w:next w:val="Sinlista"/>
    <w:semiHidden/>
    <w:unhideWhenUsed/>
    <w:rsid w:val="009869B9"/>
  </w:style>
  <w:style w:type="table" w:customStyle="1" w:styleId="Tablaconcuadrcula959">
    <w:name w:val="Tabla con cuadrícula959"/>
    <w:basedOn w:val="Tablanormal"/>
    <w:next w:val="Tablaconcuadrcula"/>
    <w:rsid w:val="009869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0">
    <w:name w:val="Tabla con cuadrícula960"/>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
    <w:name w:val="Tabla con cuadrícula961"/>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2">
    <w:name w:val="Tabla con cuadrícula962"/>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3">
    <w:name w:val="Tabla con cuadrícula963"/>
    <w:basedOn w:val="Tablanormal"/>
    <w:next w:val="Tablaconcuadrcula"/>
    <w:uiPriority w:val="59"/>
    <w:rsid w:val="00BD23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4">
    <w:name w:val="Sin lista684"/>
    <w:next w:val="Sinlista"/>
    <w:uiPriority w:val="99"/>
    <w:semiHidden/>
    <w:unhideWhenUsed/>
    <w:rsid w:val="006D2E96"/>
  </w:style>
  <w:style w:type="table" w:customStyle="1" w:styleId="Tablaconcuadrcula964">
    <w:name w:val="Tabla con cuadrícula964"/>
    <w:basedOn w:val="Tablanormal"/>
    <w:next w:val="Tablaconcuadrcula"/>
    <w:uiPriority w:val="59"/>
    <w:rsid w:val="006D2E9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5">
    <w:name w:val="Sin lista685"/>
    <w:next w:val="Sinlista"/>
    <w:uiPriority w:val="99"/>
    <w:semiHidden/>
    <w:unhideWhenUsed/>
    <w:rsid w:val="00425036"/>
  </w:style>
  <w:style w:type="paragraph" w:customStyle="1" w:styleId="Prrafodelista1">
    <w:name w:val="Párrafo de lista1"/>
    <w:basedOn w:val="Normal"/>
    <w:uiPriority w:val="99"/>
    <w:rsid w:val="00425036"/>
    <w:pPr>
      <w:spacing w:after="200" w:line="276" w:lineRule="auto"/>
      <w:ind w:left="720"/>
      <w:contextualSpacing/>
    </w:pPr>
    <w:rPr>
      <w:rFonts w:ascii="Calibri" w:eastAsia="Times New Roman" w:hAnsi="Calibri"/>
      <w:sz w:val="22"/>
      <w:szCs w:val="22"/>
      <w:lang w:eastAsia="en-US"/>
    </w:rPr>
  </w:style>
  <w:style w:type="table" w:customStyle="1" w:styleId="Tablaconcuadrcula965">
    <w:name w:val="Tabla con cuadrícula965"/>
    <w:basedOn w:val="Tablanormal"/>
    <w:next w:val="Tablaconcuadrcula"/>
    <w:rsid w:val="0042503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50">
    <w:name w:val="Tabla con cuadrícula 165"/>
    <w:basedOn w:val="Tablanormal"/>
    <w:next w:val="Tablaconcuadrcula10"/>
    <w:rsid w:val="00425036"/>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CarCar4">
    <w:name w:val="Car Car4"/>
    <w:basedOn w:val="Fuentedeprrafopredeter"/>
    <w:locked/>
    <w:rsid w:val="00425036"/>
    <w:rPr>
      <w:rFonts w:cs="Times New Roman"/>
      <w:sz w:val="24"/>
      <w:szCs w:val="24"/>
    </w:rPr>
  </w:style>
  <w:style w:type="numbering" w:customStyle="1" w:styleId="Sinlista686">
    <w:name w:val="Sin lista686"/>
    <w:next w:val="Sinlista"/>
    <w:uiPriority w:val="99"/>
    <w:semiHidden/>
    <w:unhideWhenUsed/>
    <w:rsid w:val="001E339D"/>
  </w:style>
  <w:style w:type="table" w:customStyle="1" w:styleId="Tablaconcuadrcula966">
    <w:name w:val="Tabla con cuadrícula966"/>
    <w:basedOn w:val="Tablanormal"/>
    <w:next w:val="Tablaconcuadrcula"/>
    <w:rsid w:val="001E339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7">
    <w:name w:val="Sin lista687"/>
    <w:next w:val="Sinlista"/>
    <w:semiHidden/>
    <w:unhideWhenUsed/>
    <w:rsid w:val="0045712C"/>
  </w:style>
  <w:style w:type="table" w:customStyle="1" w:styleId="Tablaconcuadrcula967">
    <w:name w:val="Tabla con cuadrícula967"/>
    <w:basedOn w:val="Tablanormal"/>
    <w:next w:val="Tablaconcuadrcula"/>
    <w:rsid w:val="004571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8">
    <w:name w:val="Tabla con cuadrícula968"/>
    <w:basedOn w:val="Tablanormal"/>
    <w:next w:val="Tablaconcuadrcula"/>
    <w:uiPriority w:val="59"/>
    <w:rsid w:val="00A310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8">
    <w:name w:val="Sin lista688"/>
    <w:next w:val="Sinlista"/>
    <w:uiPriority w:val="99"/>
    <w:semiHidden/>
    <w:unhideWhenUsed/>
    <w:rsid w:val="00F54597"/>
  </w:style>
  <w:style w:type="table" w:customStyle="1" w:styleId="Tablaconcuadrcula969">
    <w:name w:val="Tabla con cuadrícula969"/>
    <w:basedOn w:val="Tablanormal"/>
    <w:next w:val="Tablaconcuadrcula"/>
    <w:rsid w:val="00F54597"/>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0">
    <w:name w:val="Tabla con cuadrícula970"/>
    <w:basedOn w:val="Tablanormal"/>
    <w:next w:val="Tablaconcuadrcula"/>
    <w:uiPriority w:val="59"/>
    <w:rsid w:val="00C1462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1">
    <w:name w:val="Tabla con cuadrícula971"/>
    <w:basedOn w:val="Tablanormal"/>
    <w:next w:val="Tablaconcuadrcula"/>
    <w:rsid w:val="00FF73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89">
    <w:name w:val="Sin lista689"/>
    <w:next w:val="Sinlista"/>
    <w:semiHidden/>
    <w:unhideWhenUsed/>
    <w:rsid w:val="003226AD"/>
  </w:style>
  <w:style w:type="table" w:customStyle="1" w:styleId="Tablaconcuadrcula972">
    <w:name w:val="Tabla con cuadrícula972"/>
    <w:basedOn w:val="Tablanormal"/>
    <w:next w:val="Tablaconcuadrcula"/>
    <w:rsid w:val="003226A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52">
    <w:name w:val="Pa15+2"/>
    <w:basedOn w:val="Default"/>
    <w:next w:val="Default"/>
    <w:uiPriority w:val="99"/>
    <w:rsid w:val="003226AD"/>
    <w:pPr>
      <w:spacing w:line="161" w:lineRule="atLeast"/>
    </w:pPr>
    <w:rPr>
      <w:rFonts w:ascii="HelveticaNeue Condensed" w:eastAsia="Times New Roman" w:hAnsi="HelveticaNeue Condensed"/>
      <w:color w:val="auto"/>
    </w:rPr>
  </w:style>
  <w:style w:type="paragraph" w:customStyle="1" w:styleId="Pa332">
    <w:name w:val="Pa33+2"/>
    <w:basedOn w:val="Default"/>
    <w:next w:val="Default"/>
    <w:uiPriority w:val="99"/>
    <w:rsid w:val="003226AD"/>
    <w:pPr>
      <w:spacing w:line="161" w:lineRule="atLeast"/>
    </w:pPr>
    <w:rPr>
      <w:rFonts w:ascii="HelveticaNeue Condensed" w:eastAsia="Times New Roman" w:hAnsi="HelveticaNeue Condensed"/>
      <w:color w:val="auto"/>
    </w:rPr>
  </w:style>
  <w:style w:type="character" w:customStyle="1" w:styleId="A102">
    <w:name w:val="A10+2"/>
    <w:rsid w:val="003226AD"/>
    <w:rPr>
      <w:rFonts w:cs="HelveticaNeue Condensed"/>
      <w:color w:val="000000"/>
      <w:sz w:val="11"/>
      <w:szCs w:val="11"/>
    </w:rPr>
  </w:style>
  <w:style w:type="paragraph" w:customStyle="1" w:styleId="Pa162">
    <w:name w:val="Pa16+2"/>
    <w:basedOn w:val="Default"/>
    <w:next w:val="Default"/>
    <w:uiPriority w:val="99"/>
    <w:rsid w:val="003226AD"/>
    <w:pPr>
      <w:spacing w:line="161" w:lineRule="atLeast"/>
    </w:pPr>
    <w:rPr>
      <w:rFonts w:ascii="HelveticaNeue Condensed" w:eastAsia="Times New Roman" w:hAnsi="HelveticaNeue Condensed"/>
      <w:color w:val="auto"/>
    </w:rPr>
  </w:style>
  <w:style w:type="table" w:customStyle="1" w:styleId="Tablaconcuadrcula973">
    <w:name w:val="Tabla con cuadrícula973"/>
    <w:basedOn w:val="Tablanormal"/>
    <w:next w:val="Tablaconcuadrcula"/>
    <w:uiPriority w:val="59"/>
    <w:rsid w:val="006D6C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4">
    <w:name w:val="Tabla con cuadrícula974"/>
    <w:basedOn w:val="Tablanormal"/>
    <w:next w:val="Tablaconcuadrcula"/>
    <w:uiPriority w:val="59"/>
    <w:rsid w:val="00CE3916"/>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5">
    <w:name w:val="Tabla con cuadrícula975"/>
    <w:basedOn w:val="Tablanormal"/>
    <w:next w:val="Tablaconcuadrcula"/>
    <w:uiPriority w:val="59"/>
    <w:rsid w:val="00ED2B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6">
    <w:name w:val="Tabla con cuadrícula976"/>
    <w:basedOn w:val="Tablanormal"/>
    <w:next w:val="Tablaconcuadrcula"/>
    <w:rsid w:val="00EB029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7">
    <w:name w:val="Tabla con cuadrícula977"/>
    <w:basedOn w:val="Tablanormal"/>
    <w:next w:val="Tablaconcuadrcula"/>
    <w:uiPriority w:val="59"/>
    <w:rsid w:val="001A60D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0">
    <w:name w:val="Sin lista690"/>
    <w:next w:val="Sinlista"/>
    <w:uiPriority w:val="99"/>
    <w:semiHidden/>
    <w:unhideWhenUsed/>
    <w:rsid w:val="001C3BF9"/>
  </w:style>
  <w:style w:type="table" w:customStyle="1" w:styleId="Tablaconcuadrcula978">
    <w:name w:val="Tabla con cuadrícula978"/>
    <w:basedOn w:val="Tablanormal"/>
    <w:next w:val="Tablaconcuadrcula"/>
    <w:uiPriority w:val="59"/>
    <w:rsid w:val="001C3BF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9">
    <w:name w:val="Tabla con cuadrícula979"/>
    <w:basedOn w:val="Tablanormal"/>
    <w:next w:val="Tablaconcuadrcula"/>
    <w:uiPriority w:val="59"/>
    <w:rsid w:val="006C2584"/>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694">
    <w:name w:val="Sin lista694"/>
    <w:next w:val="Sinlista"/>
    <w:uiPriority w:val="99"/>
    <w:semiHidden/>
    <w:unhideWhenUsed/>
    <w:rsid w:val="00500E03"/>
  </w:style>
  <w:style w:type="table" w:customStyle="1" w:styleId="Tablaconcuadrcula980">
    <w:name w:val="Tabla con cuadrícula980"/>
    <w:basedOn w:val="Tablanormal"/>
    <w:next w:val="Tablaconcuadrcula"/>
    <w:uiPriority w:val="59"/>
    <w:rsid w:val="00500E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5">
    <w:name w:val="Sin lista695"/>
    <w:next w:val="Sinlista"/>
    <w:uiPriority w:val="99"/>
    <w:semiHidden/>
    <w:unhideWhenUsed/>
    <w:rsid w:val="00A52B35"/>
  </w:style>
  <w:style w:type="table" w:customStyle="1" w:styleId="Tablaconcuadrcula981">
    <w:name w:val="Tabla con cuadrícula981"/>
    <w:basedOn w:val="Tablanormal"/>
    <w:next w:val="Tablaconcuadrcula"/>
    <w:uiPriority w:val="59"/>
    <w:rsid w:val="00A52B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
    <w:name w:val="long_text"/>
    <w:basedOn w:val="Fuentedeprrafopredeter"/>
    <w:rsid w:val="00A52B35"/>
  </w:style>
  <w:style w:type="numbering" w:customStyle="1" w:styleId="Sinlista696">
    <w:name w:val="Sin lista696"/>
    <w:next w:val="Sinlista"/>
    <w:uiPriority w:val="99"/>
    <w:semiHidden/>
    <w:unhideWhenUsed/>
    <w:rsid w:val="00B52536"/>
  </w:style>
  <w:style w:type="table" w:customStyle="1" w:styleId="Tablaconcuadrcula982">
    <w:name w:val="Tabla con cuadrícula982"/>
    <w:basedOn w:val="Tablanormal"/>
    <w:next w:val="Tablaconcuadrcula"/>
    <w:uiPriority w:val="59"/>
    <w:rsid w:val="00B5253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7">
    <w:name w:val="Sin lista697"/>
    <w:next w:val="Sinlista"/>
    <w:uiPriority w:val="99"/>
    <w:semiHidden/>
    <w:unhideWhenUsed/>
    <w:rsid w:val="00CA1225"/>
  </w:style>
  <w:style w:type="table" w:customStyle="1" w:styleId="Tablaconcuadrcula983">
    <w:name w:val="Tabla con cuadrícula983"/>
    <w:basedOn w:val="Tablanormal"/>
    <w:next w:val="Tablaconcuadrcula"/>
    <w:uiPriority w:val="59"/>
    <w:rsid w:val="00CA122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8">
    <w:name w:val="Sin lista698"/>
    <w:next w:val="Sinlista"/>
    <w:uiPriority w:val="99"/>
    <w:semiHidden/>
    <w:unhideWhenUsed/>
    <w:rsid w:val="00477DCF"/>
  </w:style>
  <w:style w:type="table" w:customStyle="1" w:styleId="Tablaconcuadrcula984">
    <w:name w:val="Tabla con cuadrícula984"/>
    <w:basedOn w:val="Tablanormal"/>
    <w:next w:val="Tablaconcuadrcula"/>
    <w:rsid w:val="00477DC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5">
    <w:name w:val="Tabla con cuadrícula985"/>
    <w:basedOn w:val="Tablanormal"/>
    <w:next w:val="Tablaconcuadrcula"/>
    <w:rsid w:val="00DC3A28"/>
    <w:rPr>
      <w:rFonts w:asciiTheme="minorHAnsi" w:eastAsia="Times New Roman"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6">
    <w:name w:val="Tabla con cuadrícula986"/>
    <w:basedOn w:val="Tablanormal"/>
    <w:next w:val="Tablaconcuadrcula"/>
    <w:rsid w:val="00CC26A1"/>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7">
    <w:name w:val="Tabla con cuadrícula987"/>
    <w:basedOn w:val="Tablanormal"/>
    <w:next w:val="Tablaconcuadrcula"/>
    <w:uiPriority w:val="59"/>
    <w:rsid w:val="0078342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8">
    <w:name w:val="Tabla con cuadrícula988"/>
    <w:basedOn w:val="Tablanormal"/>
    <w:next w:val="Tablaconcuadrcula"/>
    <w:uiPriority w:val="59"/>
    <w:rsid w:val="00667F8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9">
    <w:name w:val="Sin lista699"/>
    <w:next w:val="Sinlista"/>
    <w:uiPriority w:val="99"/>
    <w:semiHidden/>
    <w:unhideWhenUsed/>
    <w:rsid w:val="00E06EAA"/>
  </w:style>
  <w:style w:type="table" w:customStyle="1" w:styleId="Tablaconcuadrcula989">
    <w:name w:val="Tabla con cuadrícula989"/>
    <w:basedOn w:val="Tablanormal"/>
    <w:next w:val="Tablaconcuadrcula"/>
    <w:uiPriority w:val="59"/>
    <w:rsid w:val="00E06EA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0">
    <w:name w:val="Tabla con cuadrícula990"/>
    <w:basedOn w:val="Tablanormal"/>
    <w:next w:val="Tablaconcuadrcula"/>
    <w:uiPriority w:val="59"/>
    <w:rsid w:val="001A4F7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
    <w:name w:val="Tabla con cuadrícula991"/>
    <w:basedOn w:val="Tablanormal"/>
    <w:next w:val="Tablaconcuadrcula"/>
    <w:uiPriority w:val="59"/>
    <w:rsid w:val="00172F6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2">
    <w:name w:val="Tabla con cuadrícula992"/>
    <w:basedOn w:val="Tablanormal"/>
    <w:next w:val="Tablaconcuadrcula"/>
    <w:uiPriority w:val="59"/>
    <w:rsid w:val="009C6CCB"/>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3">
    <w:name w:val="Tabla con cuadrícula993"/>
    <w:basedOn w:val="Tablanormal"/>
    <w:next w:val="Tablaconcuadrcula"/>
    <w:uiPriority w:val="59"/>
    <w:rsid w:val="00965235"/>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4">
    <w:name w:val="Tabla con cuadrícula994"/>
    <w:basedOn w:val="Tablanormal"/>
    <w:next w:val="Tablaconcuadrcula"/>
    <w:uiPriority w:val="59"/>
    <w:rsid w:val="002A483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5">
    <w:name w:val="Tabla con cuadrícula995"/>
    <w:basedOn w:val="Tablanormal"/>
    <w:next w:val="Tablaconcuadrcula"/>
    <w:uiPriority w:val="59"/>
    <w:rsid w:val="00E56233"/>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6">
    <w:name w:val="Tabla con cuadrícula996"/>
    <w:basedOn w:val="Tablanormal"/>
    <w:next w:val="Tablaconcuadrcula"/>
    <w:rsid w:val="00CC5FF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0">
    <w:name w:val="Sin lista700"/>
    <w:next w:val="Sinlista"/>
    <w:uiPriority w:val="99"/>
    <w:semiHidden/>
    <w:unhideWhenUsed/>
    <w:rsid w:val="00D47F04"/>
  </w:style>
  <w:style w:type="table" w:customStyle="1" w:styleId="Tablaconcuadrcula997">
    <w:name w:val="Tabla con cuadrícula997"/>
    <w:basedOn w:val="Tablanormal"/>
    <w:next w:val="Tablaconcuadrcula"/>
    <w:rsid w:val="00D47F0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4">
    <w:name w:val="Sin lista704"/>
    <w:next w:val="Sinlista"/>
    <w:uiPriority w:val="99"/>
    <w:semiHidden/>
    <w:unhideWhenUsed/>
    <w:rsid w:val="00D6023F"/>
  </w:style>
  <w:style w:type="table" w:customStyle="1" w:styleId="Tablaconcuadrcula998">
    <w:name w:val="Tabla con cuadrícula998"/>
    <w:basedOn w:val="Tablanormal"/>
    <w:next w:val="Tablaconcuadrcula"/>
    <w:rsid w:val="00D6023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next w:val="Tablaconcuadrcula"/>
    <w:rsid w:val="00D6023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5">
    <w:name w:val="Sin lista705"/>
    <w:next w:val="Sinlista"/>
    <w:uiPriority w:val="99"/>
    <w:semiHidden/>
    <w:unhideWhenUsed/>
    <w:rsid w:val="00B666DA"/>
  </w:style>
  <w:style w:type="table" w:customStyle="1" w:styleId="Tablaconcuadrcula999">
    <w:name w:val="Tabla con cuadrícula999"/>
    <w:basedOn w:val="Tablanormal"/>
    <w:next w:val="Tablaconcuadrcula"/>
    <w:uiPriority w:val="59"/>
    <w:rsid w:val="00B666DA"/>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00">
    <w:name w:val="Tabla con cuadrícula1000"/>
    <w:basedOn w:val="Tablanormal"/>
    <w:next w:val="Tablaconcuadrcula"/>
    <w:uiPriority w:val="59"/>
    <w:rsid w:val="00486C5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1">
    <w:name w:val="Tabla con cuadrícula1001"/>
    <w:basedOn w:val="Tablanormal"/>
    <w:next w:val="Tablaconcuadrcula"/>
    <w:rsid w:val="00E34F92"/>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2">
    <w:name w:val="Tabla con cuadrícula1002"/>
    <w:basedOn w:val="Tablanormal"/>
    <w:next w:val="Tablaconcuadrcula"/>
    <w:rsid w:val="00227DB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6">
    <w:name w:val="Sin lista706"/>
    <w:next w:val="Sinlista"/>
    <w:uiPriority w:val="99"/>
    <w:semiHidden/>
    <w:unhideWhenUsed/>
    <w:rsid w:val="00FB5E5F"/>
  </w:style>
  <w:style w:type="table" w:customStyle="1" w:styleId="Tablaconcuadrcula1003">
    <w:name w:val="Tabla con cuadrícula1003"/>
    <w:basedOn w:val="Tablanormal"/>
    <w:next w:val="Tablaconcuadrcula"/>
    <w:uiPriority w:val="59"/>
    <w:rsid w:val="00183CCD"/>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7">
    <w:name w:val="Sin lista707"/>
    <w:next w:val="Sinlista"/>
    <w:uiPriority w:val="99"/>
    <w:semiHidden/>
    <w:unhideWhenUsed/>
    <w:rsid w:val="00136C91"/>
  </w:style>
  <w:style w:type="table" w:customStyle="1" w:styleId="Tablaconcuadrcula1004">
    <w:name w:val="Tabla con cuadrícula1004"/>
    <w:basedOn w:val="Tablanormal"/>
    <w:next w:val="Tablaconcuadrcula"/>
    <w:uiPriority w:val="59"/>
    <w:rsid w:val="00F30EE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5">
    <w:name w:val="Tabla con cuadrícula1005"/>
    <w:basedOn w:val="Tablanormal"/>
    <w:next w:val="Tablaconcuadrcula"/>
    <w:uiPriority w:val="59"/>
    <w:rsid w:val="00EB71D9"/>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8">
    <w:name w:val="Sin lista708"/>
    <w:next w:val="Sinlista"/>
    <w:uiPriority w:val="99"/>
    <w:semiHidden/>
    <w:unhideWhenUsed/>
    <w:rsid w:val="00D626E3"/>
  </w:style>
  <w:style w:type="table" w:customStyle="1" w:styleId="Tablaconcuadrcula1006">
    <w:name w:val="Tabla con cuadrícula1006"/>
    <w:basedOn w:val="Tablanormal"/>
    <w:next w:val="Tablaconcuadrcula"/>
    <w:uiPriority w:val="59"/>
    <w:rsid w:val="00D626E3"/>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Sinlista709">
    <w:name w:val="Sin lista709"/>
    <w:next w:val="Sinlista"/>
    <w:uiPriority w:val="99"/>
    <w:semiHidden/>
    <w:unhideWhenUsed/>
    <w:rsid w:val="00F61D3E"/>
  </w:style>
  <w:style w:type="table" w:customStyle="1" w:styleId="Tablaconcuadrcula1007">
    <w:name w:val="Tabla con cuadrícula1007"/>
    <w:basedOn w:val="Tablanormal"/>
    <w:next w:val="Tablaconcuadrcula"/>
    <w:rsid w:val="00F61D3E"/>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60">
    <w:name w:val="Tabla con cuadrícula 166"/>
    <w:basedOn w:val="Tablanormal"/>
    <w:next w:val="Tablaconcuadrcula10"/>
    <w:rsid w:val="00F61D3E"/>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16">
    <w:name w:val="Sin lista716"/>
    <w:next w:val="Sinlista"/>
    <w:uiPriority w:val="99"/>
    <w:semiHidden/>
    <w:unhideWhenUsed/>
    <w:rsid w:val="00CA74ED"/>
  </w:style>
  <w:style w:type="table" w:customStyle="1" w:styleId="Tablaconcuadrcula1008">
    <w:name w:val="Tabla con cuadrícula1008"/>
    <w:basedOn w:val="Tablanormal"/>
    <w:next w:val="Tablaconcuadrcula"/>
    <w:rsid w:val="00CA74E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1">
    <w:name w:val="p01"/>
    <w:basedOn w:val="Normal"/>
    <w:next w:val="p0"/>
    <w:uiPriority w:val="99"/>
    <w:rsid w:val="00182BC6"/>
    <w:pPr>
      <w:keepLines/>
      <w:spacing w:before="240"/>
      <w:jc w:val="both"/>
    </w:pPr>
    <w:rPr>
      <w:rFonts w:ascii="Univers" w:eastAsia="Times New Roman" w:hAnsi="Univers"/>
      <w:color w:val="0000FF"/>
      <w:szCs w:val="20"/>
      <w:lang w:val="es-ES_tradnl"/>
    </w:rPr>
  </w:style>
  <w:style w:type="numbering" w:customStyle="1" w:styleId="Sinlista717">
    <w:name w:val="Sin lista717"/>
    <w:next w:val="Sinlista"/>
    <w:uiPriority w:val="99"/>
    <w:semiHidden/>
    <w:unhideWhenUsed/>
    <w:rsid w:val="00A7180D"/>
  </w:style>
  <w:style w:type="table" w:customStyle="1" w:styleId="Tablaconcuadrcula1009">
    <w:name w:val="Tabla con cuadrícula1009"/>
    <w:basedOn w:val="Tablanormal"/>
    <w:next w:val="Tablaconcuadrcula"/>
    <w:rsid w:val="00A7180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8">
    <w:name w:val="Sin lista718"/>
    <w:next w:val="Sinlista"/>
    <w:uiPriority w:val="99"/>
    <w:semiHidden/>
    <w:unhideWhenUsed/>
    <w:rsid w:val="007A5777"/>
  </w:style>
  <w:style w:type="table" w:customStyle="1" w:styleId="Tablaconcuadrcula1010">
    <w:name w:val="Tabla con cuadrícula1010"/>
    <w:basedOn w:val="Tablanormal"/>
    <w:next w:val="Tablaconcuadrcula"/>
    <w:uiPriority w:val="59"/>
    <w:rsid w:val="007A5777"/>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next w:val="Tablaconcuadrcula"/>
    <w:rsid w:val="00AF6128"/>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2">
    <w:name w:val="Tabla con cuadrícula1012"/>
    <w:basedOn w:val="Tablanormal"/>
    <w:next w:val="Tablaconcuadrcula"/>
    <w:rsid w:val="00AF612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3">
    <w:name w:val="Tabla con cuadrícula1013"/>
    <w:basedOn w:val="Tablanormal"/>
    <w:next w:val="Tablaconcuadrcula"/>
    <w:uiPriority w:val="59"/>
    <w:rsid w:val="001D03E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9">
    <w:name w:val="Sin lista719"/>
    <w:next w:val="Sinlista"/>
    <w:uiPriority w:val="99"/>
    <w:semiHidden/>
    <w:unhideWhenUsed/>
    <w:rsid w:val="00BB50C3"/>
  </w:style>
  <w:style w:type="numbering" w:customStyle="1" w:styleId="Sinlista720">
    <w:name w:val="Sin lista720"/>
    <w:next w:val="Sinlista"/>
    <w:uiPriority w:val="99"/>
    <w:semiHidden/>
    <w:unhideWhenUsed/>
    <w:rsid w:val="0067630D"/>
  </w:style>
  <w:style w:type="table" w:customStyle="1" w:styleId="Tablaconcuadrcula1014">
    <w:name w:val="Tabla con cuadrícula1014"/>
    <w:basedOn w:val="Tablanormal"/>
    <w:next w:val="Tablaconcuadrcula"/>
    <w:uiPriority w:val="59"/>
    <w:rsid w:val="0067630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4">
    <w:name w:val="Sin lista724"/>
    <w:next w:val="Sinlista"/>
    <w:uiPriority w:val="99"/>
    <w:semiHidden/>
    <w:unhideWhenUsed/>
    <w:rsid w:val="00C7439A"/>
  </w:style>
  <w:style w:type="table" w:customStyle="1" w:styleId="Tablaconcuadrcula1015">
    <w:name w:val="Tabla con cuadrícula1015"/>
    <w:basedOn w:val="Tablanormal"/>
    <w:next w:val="Tablaconcuadrcula"/>
    <w:uiPriority w:val="59"/>
    <w:rsid w:val="00C7439A"/>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6">
    <w:name w:val="Tabla con cuadrícula1016"/>
    <w:basedOn w:val="Tablanormal"/>
    <w:next w:val="Tablaconcuadrcula"/>
    <w:rsid w:val="001867A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5">
    <w:name w:val="Sin lista725"/>
    <w:next w:val="Sinlista"/>
    <w:uiPriority w:val="99"/>
    <w:semiHidden/>
    <w:unhideWhenUsed/>
    <w:rsid w:val="00223A5B"/>
  </w:style>
  <w:style w:type="table" w:customStyle="1" w:styleId="Tablaconcuadrcula1017">
    <w:name w:val="Tabla con cuadrícula1017"/>
    <w:basedOn w:val="Tablanormal"/>
    <w:next w:val="Tablaconcuadrcula"/>
    <w:rsid w:val="00223A5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6">
    <w:name w:val="Sin lista726"/>
    <w:next w:val="Sinlista"/>
    <w:uiPriority w:val="99"/>
    <w:semiHidden/>
    <w:unhideWhenUsed/>
    <w:rsid w:val="0025326F"/>
  </w:style>
  <w:style w:type="table" w:customStyle="1" w:styleId="Tablaconcuadrcula1018">
    <w:name w:val="Tabla con cuadrícula1018"/>
    <w:basedOn w:val="Tablanormal"/>
    <w:next w:val="Tablaconcuadrcula"/>
    <w:uiPriority w:val="59"/>
    <w:rsid w:val="0025326F"/>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7">
    <w:name w:val="Sin lista727"/>
    <w:next w:val="Sinlista"/>
    <w:uiPriority w:val="99"/>
    <w:semiHidden/>
    <w:unhideWhenUsed/>
    <w:rsid w:val="001F1917"/>
  </w:style>
  <w:style w:type="table" w:customStyle="1" w:styleId="Tablaconcuadrcula1019">
    <w:name w:val="Tabla con cuadrícula1019"/>
    <w:basedOn w:val="Tablanormal"/>
    <w:next w:val="Tablaconcuadrcula"/>
    <w:uiPriority w:val="59"/>
    <w:rsid w:val="001F19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8">
    <w:name w:val="Sin lista728"/>
    <w:next w:val="Sinlista"/>
    <w:uiPriority w:val="99"/>
    <w:semiHidden/>
    <w:unhideWhenUsed/>
    <w:rsid w:val="006952FF"/>
  </w:style>
  <w:style w:type="table" w:customStyle="1" w:styleId="Tablaconcuadrcula1020">
    <w:name w:val="Tabla con cuadrícula1020"/>
    <w:basedOn w:val="Tablanormal"/>
    <w:next w:val="Tablaconcuadrcula"/>
    <w:uiPriority w:val="59"/>
    <w:rsid w:val="006952F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next w:val="Tablaconcuadrcula"/>
    <w:uiPriority w:val="59"/>
    <w:rsid w:val="001B723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9">
    <w:name w:val="Sin lista729"/>
    <w:next w:val="Sinlista"/>
    <w:uiPriority w:val="99"/>
    <w:semiHidden/>
    <w:unhideWhenUsed/>
    <w:rsid w:val="004D60EA"/>
  </w:style>
  <w:style w:type="table" w:customStyle="1" w:styleId="Tablaconcuadrcula1022">
    <w:name w:val="Tabla con cuadrícula1022"/>
    <w:basedOn w:val="Tablanormal"/>
    <w:next w:val="Tablaconcuadrcula"/>
    <w:rsid w:val="004D60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3">
    <w:name w:val="Tabla con cuadrícula1023"/>
    <w:basedOn w:val="Tablanormal"/>
    <w:next w:val="Tablaconcuadrcula"/>
    <w:uiPriority w:val="59"/>
    <w:rsid w:val="00267F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4">
    <w:name w:val="Tabla con cuadrícula1024"/>
    <w:basedOn w:val="Tablanormal"/>
    <w:next w:val="Tablaconcuadrcula"/>
    <w:uiPriority w:val="59"/>
    <w:rsid w:val="00D478F7"/>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5">
    <w:name w:val="Tabla con cuadrícula1025"/>
    <w:basedOn w:val="Tablanormal"/>
    <w:next w:val="Tablaconcuadrcula"/>
    <w:rsid w:val="0019681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6">
    <w:name w:val="Tabla con cuadrícula1026"/>
    <w:basedOn w:val="Tablanormal"/>
    <w:next w:val="Tablaconcuadrcula"/>
    <w:rsid w:val="006F08B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0">
    <w:name w:val="Sin lista730"/>
    <w:next w:val="Sinlista"/>
    <w:semiHidden/>
    <w:unhideWhenUsed/>
    <w:rsid w:val="00D46ED8"/>
  </w:style>
  <w:style w:type="paragraph" w:customStyle="1" w:styleId="date1">
    <w:name w:val="date1"/>
    <w:basedOn w:val="Normal"/>
    <w:rsid w:val="00D46ED8"/>
    <w:rPr>
      <w:rFonts w:eastAsia="Times New Roman"/>
      <w:color w:val="E27626"/>
      <w:sz w:val="9"/>
      <w:szCs w:val="9"/>
      <w:lang w:eastAsia="es-MX"/>
    </w:rPr>
  </w:style>
  <w:style w:type="table" w:customStyle="1" w:styleId="Tablaconcuadrcula1027">
    <w:name w:val="Tabla con cuadrícula1027"/>
    <w:basedOn w:val="Tablanormal"/>
    <w:next w:val="Tablaconcuadrcula"/>
    <w:rsid w:val="00D46ED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8">
    <w:name w:val="Tabla con cuadrícula1028"/>
    <w:basedOn w:val="Tablanormal"/>
    <w:next w:val="Tablaconcuadrcula"/>
    <w:uiPriority w:val="59"/>
    <w:rsid w:val="00C5124C"/>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4">
    <w:name w:val="Sin lista734"/>
    <w:next w:val="Sinlista"/>
    <w:uiPriority w:val="99"/>
    <w:semiHidden/>
    <w:unhideWhenUsed/>
    <w:rsid w:val="004B1BE8"/>
  </w:style>
  <w:style w:type="table" w:customStyle="1" w:styleId="Tablaconcuadrcula1029">
    <w:name w:val="Tabla con cuadrícula1029"/>
    <w:basedOn w:val="Tablanormal"/>
    <w:next w:val="Tablaconcuadrcula"/>
    <w:uiPriority w:val="59"/>
    <w:rsid w:val="004B1BE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0">
    <w:name w:val="Tabla con cuadrícula1030"/>
    <w:basedOn w:val="Tablanormal"/>
    <w:next w:val="Tablaconcuadrcula"/>
    <w:uiPriority w:val="59"/>
    <w:rsid w:val="00740798"/>
    <w:pPr>
      <w:ind w:right="-159"/>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next w:val="Tablaconcuadrcula"/>
    <w:uiPriority w:val="59"/>
    <w:rsid w:val="0024757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5">
    <w:name w:val="Sin lista735"/>
    <w:next w:val="Sinlista"/>
    <w:uiPriority w:val="99"/>
    <w:semiHidden/>
    <w:unhideWhenUsed/>
    <w:rsid w:val="002B7839"/>
  </w:style>
  <w:style w:type="table" w:customStyle="1" w:styleId="Tablaconcuadrcula1032">
    <w:name w:val="Tabla con cuadrícula1032"/>
    <w:basedOn w:val="Tablanormal"/>
    <w:next w:val="Tablaconcuadrcula"/>
    <w:uiPriority w:val="59"/>
    <w:rsid w:val="002B783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3">
    <w:name w:val="Tabla con cuadrícula1033"/>
    <w:basedOn w:val="Tablanormal"/>
    <w:next w:val="Tablaconcuadrcula"/>
    <w:uiPriority w:val="59"/>
    <w:rsid w:val="0034064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6">
    <w:name w:val="Sin lista736"/>
    <w:next w:val="Sinlista"/>
    <w:uiPriority w:val="99"/>
    <w:semiHidden/>
    <w:unhideWhenUsed/>
    <w:rsid w:val="00660393"/>
  </w:style>
  <w:style w:type="table" w:customStyle="1" w:styleId="Tablaconcuadrcula1034">
    <w:name w:val="Tabla con cuadrícula1034"/>
    <w:basedOn w:val="Tablanormal"/>
    <w:next w:val="Tablaconcuadrcula"/>
    <w:uiPriority w:val="59"/>
    <w:rsid w:val="0066039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5">
    <w:name w:val="Tabla con cuadrícula1035"/>
    <w:basedOn w:val="Tablanormal"/>
    <w:next w:val="Tablaconcuadrcula"/>
    <w:rsid w:val="00E75CA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6">
    <w:name w:val="Tabla con cuadrícula1036"/>
    <w:basedOn w:val="Tablanormal"/>
    <w:next w:val="Tablaconcuadrcula"/>
    <w:uiPriority w:val="59"/>
    <w:rsid w:val="00F33C9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7">
    <w:name w:val="Tabla con cuadrícula1037"/>
    <w:basedOn w:val="Tablanormal"/>
    <w:next w:val="Tablaconcuadrcula"/>
    <w:rsid w:val="008A7484"/>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38">
    <w:name w:val="Tabla con cuadrícula1038"/>
    <w:basedOn w:val="Tablanormal"/>
    <w:next w:val="Tablaconcuadrcula"/>
    <w:uiPriority w:val="59"/>
    <w:rsid w:val="006F04B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7">
    <w:name w:val="Sin lista737"/>
    <w:next w:val="Sinlista"/>
    <w:uiPriority w:val="99"/>
    <w:semiHidden/>
    <w:unhideWhenUsed/>
    <w:rsid w:val="00D066A2"/>
  </w:style>
  <w:style w:type="table" w:customStyle="1" w:styleId="Tablaconcuadrcula1039">
    <w:name w:val="Tabla con cuadrícula1039"/>
    <w:basedOn w:val="Tablanormal"/>
    <w:next w:val="Tablaconcuadrcula"/>
    <w:rsid w:val="00D066A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8">
    <w:name w:val="Sin lista738"/>
    <w:next w:val="Sinlista"/>
    <w:uiPriority w:val="99"/>
    <w:semiHidden/>
    <w:unhideWhenUsed/>
    <w:rsid w:val="00240109"/>
  </w:style>
  <w:style w:type="table" w:customStyle="1" w:styleId="Tablaconcuadrcula1040">
    <w:name w:val="Tabla con cuadrícula1040"/>
    <w:basedOn w:val="Tablanormal"/>
    <w:next w:val="Tablaconcuadrcula"/>
    <w:uiPriority w:val="59"/>
    <w:rsid w:val="0024010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next w:val="Tablaconcuadrcula"/>
    <w:uiPriority w:val="59"/>
    <w:rsid w:val="00D512D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9">
    <w:name w:val="Sin lista739"/>
    <w:next w:val="Sinlista"/>
    <w:uiPriority w:val="99"/>
    <w:semiHidden/>
    <w:unhideWhenUsed/>
    <w:rsid w:val="002D374F"/>
  </w:style>
  <w:style w:type="table" w:customStyle="1" w:styleId="Tablaconcuadrcula1042">
    <w:name w:val="Tabla con cuadrícula1042"/>
    <w:basedOn w:val="Tablanormal"/>
    <w:next w:val="Tablaconcuadrcula"/>
    <w:uiPriority w:val="59"/>
    <w:rsid w:val="002D374F"/>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3">
    <w:name w:val="Tabla con cuadrícula1043"/>
    <w:basedOn w:val="Tablanormal"/>
    <w:next w:val="Tablaconcuadrcula"/>
    <w:uiPriority w:val="59"/>
    <w:rsid w:val="00851756"/>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4">
    <w:name w:val="Tabla con cuadrícula1044"/>
    <w:basedOn w:val="Tablanormal"/>
    <w:next w:val="Tablaconcuadrcula"/>
    <w:rsid w:val="00356A1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5">
    <w:name w:val="Tabla con cuadrícula1045"/>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6">
    <w:name w:val="Tabla con cuadrícula1046"/>
    <w:basedOn w:val="Tablanormal"/>
    <w:next w:val="Tablaconcuadrcula"/>
    <w:uiPriority w:val="59"/>
    <w:rsid w:val="00AD225D"/>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7">
    <w:name w:val="Tabla con cuadrícula1047"/>
    <w:basedOn w:val="Tablanormal"/>
    <w:next w:val="Tablaconcuadrcula"/>
    <w:uiPriority w:val="59"/>
    <w:rsid w:val="009B3F4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3">
    <w:name w:val="1 / 1.1 / 1.1.1143"/>
    <w:basedOn w:val="Sinlista"/>
    <w:next w:val="111111"/>
    <w:rsid w:val="00A77BB9"/>
  </w:style>
  <w:style w:type="table" w:customStyle="1" w:styleId="Tablaconcuadrcula10331">
    <w:name w:val="Tabla con cuadrícula10331"/>
    <w:basedOn w:val="Tablanormal"/>
    <w:next w:val="Tablaconcuadrcula3"/>
    <w:uiPriority w:val="59"/>
    <w:rsid w:val="00A77BB9"/>
    <w:pPr>
      <w:ind w:right="170"/>
      <w:jc w:val="right"/>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1">
    <w:name w:val="Tabla con cuadrícula10411"/>
    <w:basedOn w:val="Tablanormal"/>
    <w:uiPriority w:val="59"/>
    <w:rsid w:val="00A77BB9"/>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0">
    <w:name w:val="Sin lista740"/>
    <w:next w:val="Sinlista"/>
    <w:uiPriority w:val="99"/>
    <w:semiHidden/>
    <w:unhideWhenUsed/>
    <w:rsid w:val="00B208D9"/>
  </w:style>
  <w:style w:type="table" w:customStyle="1" w:styleId="Tablaconcuadrcula1048">
    <w:name w:val="Tabla con cuadrícula1048"/>
    <w:basedOn w:val="Tablanormal"/>
    <w:next w:val="Tablaconcuadrcula"/>
    <w:uiPriority w:val="59"/>
    <w:rsid w:val="00B208D9"/>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4">
    <w:name w:val="Sin lista744"/>
    <w:next w:val="Sinlista"/>
    <w:uiPriority w:val="99"/>
    <w:semiHidden/>
    <w:unhideWhenUsed/>
    <w:rsid w:val="00336652"/>
  </w:style>
  <w:style w:type="table" w:customStyle="1" w:styleId="Tablaconcuadrcula1049">
    <w:name w:val="Tabla con cuadrícula1049"/>
    <w:basedOn w:val="Tablanormal"/>
    <w:next w:val="Tablaconcuadrcula"/>
    <w:uiPriority w:val="59"/>
    <w:rsid w:val="00336652"/>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5">
    <w:name w:val="Sin lista745"/>
    <w:next w:val="Sinlista"/>
    <w:uiPriority w:val="99"/>
    <w:semiHidden/>
    <w:unhideWhenUsed/>
    <w:rsid w:val="00BE3853"/>
  </w:style>
  <w:style w:type="table" w:customStyle="1" w:styleId="Tablaconcuadrcula1050">
    <w:name w:val="Tabla con cuadrícula1050"/>
    <w:basedOn w:val="Tablanormal"/>
    <w:next w:val="Tablaconcuadrcula"/>
    <w:uiPriority w:val="59"/>
    <w:rsid w:val="00BE385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1">
    <w:name w:val="Tabla con cuadrícula1051"/>
    <w:basedOn w:val="Tablanormal"/>
    <w:next w:val="Tablaconcuadrcula"/>
    <w:uiPriority w:val="59"/>
    <w:rsid w:val="0096519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2">
    <w:name w:val="Tabla con cuadrícula1052"/>
    <w:basedOn w:val="Tablanormal"/>
    <w:next w:val="Tablaconcuadrcula"/>
    <w:uiPriority w:val="59"/>
    <w:rsid w:val="004A36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1">
    <w:name w:val="Tabla con cuadrícula937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1">
    <w:name w:val="Tabla con cuadrícula9381"/>
    <w:basedOn w:val="Tablanormal"/>
    <w:next w:val="Tablaconcuadrcula"/>
    <w:rsid w:val="004A36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3">
    <w:name w:val="Tabla con cuadrícula1053"/>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4">
    <w:name w:val="Tabla con cuadrícula1054"/>
    <w:basedOn w:val="Tablanormal"/>
    <w:next w:val="Tablaconcuadrcula"/>
    <w:uiPriority w:val="59"/>
    <w:rsid w:val="00E9672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5">
    <w:name w:val="Tabla con cuadrícula1055"/>
    <w:basedOn w:val="Tablanormal"/>
    <w:next w:val="Tablaconcuadrcula"/>
    <w:uiPriority w:val="59"/>
    <w:rsid w:val="0061426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6">
    <w:name w:val="Tabla con cuadrícula1056"/>
    <w:basedOn w:val="Tablanormal"/>
    <w:next w:val="Tablaconcuadrcula"/>
    <w:uiPriority w:val="59"/>
    <w:rsid w:val="00C919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7">
    <w:name w:val="Tabla con cuadrícula1057"/>
    <w:basedOn w:val="Tablanormal"/>
    <w:next w:val="Tablaconcuadrcula"/>
    <w:uiPriority w:val="59"/>
    <w:rsid w:val="004B70A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8">
    <w:name w:val="Tabla con cuadrícula1058"/>
    <w:basedOn w:val="Tablanormal"/>
    <w:next w:val="Tablaconcuadrcula"/>
    <w:rsid w:val="00EF1183"/>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9">
    <w:name w:val="Tabla con cuadrícula1059"/>
    <w:basedOn w:val="Tablanormal"/>
    <w:next w:val="Tablaconcuadrcula"/>
    <w:uiPriority w:val="59"/>
    <w:rsid w:val="001C4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0">
    <w:name w:val="Tabla con cuadrícula1060"/>
    <w:basedOn w:val="Tablanormal"/>
    <w:next w:val="Tablaconcuadrcula"/>
    <w:rsid w:val="00C4178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6">
    <w:name w:val="Sin lista746"/>
    <w:next w:val="Sinlista"/>
    <w:uiPriority w:val="99"/>
    <w:semiHidden/>
    <w:unhideWhenUsed/>
    <w:rsid w:val="005F5DD4"/>
  </w:style>
  <w:style w:type="table" w:customStyle="1" w:styleId="Tablaconcuadrcula1061">
    <w:name w:val="Tabla con cuadrícula1061"/>
    <w:basedOn w:val="Tablanormal"/>
    <w:next w:val="Tablaconcuadrcula"/>
    <w:uiPriority w:val="59"/>
    <w:rsid w:val="00BA147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2">
    <w:name w:val="Tabla con cuadrícula1062"/>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3">
    <w:name w:val="Tabla con cuadrícula1063"/>
    <w:basedOn w:val="Tablanormal"/>
    <w:next w:val="Tablaconcuadrcula"/>
    <w:uiPriority w:val="59"/>
    <w:rsid w:val="009D2E0A"/>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064">
    <w:name w:val="Tabla con cuadrícula1064"/>
    <w:basedOn w:val="Tablanormal"/>
    <w:next w:val="Tablaconcuadrcula"/>
    <w:uiPriority w:val="59"/>
    <w:rsid w:val="0000391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5">
    <w:name w:val="Tabla con cuadrícula1065"/>
    <w:basedOn w:val="Tablanormal"/>
    <w:next w:val="Tablaconcuadrcula"/>
    <w:uiPriority w:val="59"/>
    <w:rsid w:val="008B6B0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6">
    <w:name w:val="Tabla con cuadrícula1066"/>
    <w:basedOn w:val="Tablanormal"/>
    <w:next w:val="Tablaconcuadrcula"/>
    <w:uiPriority w:val="59"/>
    <w:rsid w:val="006508B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7">
    <w:name w:val="Tabla con cuadrícula1067"/>
    <w:basedOn w:val="Tablanormal"/>
    <w:next w:val="Tablaconcuadrcula"/>
    <w:uiPriority w:val="59"/>
    <w:rsid w:val="00BD583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7">
    <w:name w:val="Sin lista747"/>
    <w:next w:val="Sinlista"/>
    <w:uiPriority w:val="99"/>
    <w:semiHidden/>
    <w:unhideWhenUsed/>
    <w:rsid w:val="00797820"/>
  </w:style>
  <w:style w:type="table" w:customStyle="1" w:styleId="Tablaconcuadrcula1068">
    <w:name w:val="Tabla con cuadrícula1068"/>
    <w:basedOn w:val="Tablanormal"/>
    <w:next w:val="Tablaconcuadrcula"/>
    <w:uiPriority w:val="59"/>
    <w:rsid w:val="0079782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9">
    <w:name w:val="Tabla con cuadrícula1069"/>
    <w:basedOn w:val="Tablanormal"/>
    <w:next w:val="Tablaconcuadrcula"/>
    <w:uiPriority w:val="59"/>
    <w:rsid w:val="005F208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8">
    <w:name w:val="Sin lista748"/>
    <w:next w:val="Sinlista"/>
    <w:uiPriority w:val="99"/>
    <w:semiHidden/>
    <w:unhideWhenUsed/>
    <w:rsid w:val="006B3051"/>
  </w:style>
  <w:style w:type="table" w:customStyle="1" w:styleId="Tablaconcuadrcula1070">
    <w:name w:val="Tabla con cuadrícula1070"/>
    <w:basedOn w:val="Tablanormal"/>
    <w:next w:val="Tablaconcuadrcula"/>
    <w:rsid w:val="006B305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70">
    <w:name w:val="Tabla con cuadrícula 167"/>
    <w:basedOn w:val="Tablanormal"/>
    <w:next w:val="Tablaconcuadrcula10"/>
    <w:rsid w:val="006B3051"/>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71">
    <w:name w:val="Tabla con cuadrícula1071"/>
    <w:basedOn w:val="Tablanormal"/>
    <w:next w:val="Tablaconcuadrcula"/>
    <w:uiPriority w:val="59"/>
    <w:rsid w:val="00F362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2">
    <w:name w:val="Tabla con cuadrícula1072"/>
    <w:basedOn w:val="Tablanormal"/>
    <w:next w:val="Tablaconcuadrcula"/>
    <w:uiPriority w:val="59"/>
    <w:rsid w:val="00EC22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9">
    <w:name w:val="Sin lista749"/>
    <w:next w:val="Sinlista"/>
    <w:uiPriority w:val="99"/>
    <w:semiHidden/>
    <w:unhideWhenUsed/>
    <w:rsid w:val="007B0BDD"/>
  </w:style>
  <w:style w:type="table" w:customStyle="1" w:styleId="Tablaconcuadrcula1073">
    <w:name w:val="Tabla con cuadrícula1073"/>
    <w:basedOn w:val="Tablanormal"/>
    <w:next w:val="Tablaconcuadrcula"/>
    <w:rsid w:val="007B0BD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4">
    <w:name w:val="Tabla con cuadrícula1074"/>
    <w:basedOn w:val="Tablanormal"/>
    <w:next w:val="Tablaconcuadrcula"/>
    <w:uiPriority w:val="59"/>
    <w:rsid w:val="001D45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0">
    <w:name w:val="Tabla con cuadrícula1120"/>
    <w:basedOn w:val="Tablanormal"/>
    <w:next w:val="Tablaconcuadrcula"/>
    <w:uiPriority w:val="59"/>
    <w:rsid w:val="001D459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0">
    <w:name w:val="Sin lista750"/>
    <w:next w:val="Sinlista"/>
    <w:uiPriority w:val="99"/>
    <w:semiHidden/>
    <w:unhideWhenUsed/>
    <w:rsid w:val="008A2D5E"/>
  </w:style>
  <w:style w:type="table" w:customStyle="1" w:styleId="Tablaconcuadrcula1075">
    <w:name w:val="Tabla con cuadrícula1075"/>
    <w:basedOn w:val="Tablanormal"/>
    <w:next w:val="Tablaconcuadrcula"/>
    <w:rsid w:val="008A2D5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2">
    <w:name w:val="Character Style 2"/>
    <w:uiPriority w:val="99"/>
    <w:rsid w:val="008A2D5E"/>
    <w:rPr>
      <w:sz w:val="20"/>
      <w:szCs w:val="20"/>
    </w:rPr>
  </w:style>
  <w:style w:type="numbering" w:customStyle="1" w:styleId="Sinlista1109">
    <w:name w:val="Sin lista1109"/>
    <w:next w:val="Sinlista"/>
    <w:semiHidden/>
    <w:rsid w:val="008A2D5E"/>
  </w:style>
  <w:style w:type="table" w:customStyle="1" w:styleId="Tablaconcuadrcula1076">
    <w:name w:val="Tabla con cuadrícula1076"/>
    <w:basedOn w:val="Tablanormal"/>
    <w:next w:val="Tablaconcuadrcula"/>
    <w:rsid w:val="0070352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7">
    <w:name w:val="Tabla con cuadrícula1077"/>
    <w:basedOn w:val="Tablanormal"/>
    <w:next w:val="Tablaconcuadrcula"/>
    <w:uiPriority w:val="59"/>
    <w:rsid w:val="007810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8">
    <w:name w:val="Tabla con cuadrícula1078"/>
    <w:basedOn w:val="Tablanormal"/>
    <w:next w:val="Tablaconcuadrcula"/>
    <w:rsid w:val="000E531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9">
    <w:name w:val="Tabla con cuadrícula1079"/>
    <w:basedOn w:val="Tablanormal"/>
    <w:next w:val="Tablaconcuadrcula"/>
    <w:rsid w:val="001800E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0">
    <w:name w:val="Tabla con cuadrícula1080"/>
    <w:basedOn w:val="Tablanormal"/>
    <w:next w:val="Tablaconcuadrcula"/>
    <w:rsid w:val="00A865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
    <w:name w:val="Tabla con cuadrícula1081"/>
    <w:basedOn w:val="Tablanormal"/>
    <w:next w:val="Tablaconcuadrcula"/>
    <w:uiPriority w:val="59"/>
    <w:rsid w:val="0039406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4">
    <w:name w:val="Sin lista754"/>
    <w:next w:val="Sinlista"/>
    <w:uiPriority w:val="99"/>
    <w:semiHidden/>
    <w:unhideWhenUsed/>
    <w:rsid w:val="00275B34"/>
  </w:style>
  <w:style w:type="table" w:customStyle="1" w:styleId="Tablaconcuadrcula1082">
    <w:name w:val="Tabla con cuadrícula1082"/>
    <w:basedOn w:val="Tablanormal"/>
    <w:next w:val="Tablaconcuadrcula"/>
    <w:uiPriority w:val="59"/>
    <w:rsid w:val="00275B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5">
    <w:name w:val="Sin lista755"/>
    <w:next w:val="Sinlista"/>
    <w:uiPriority w:val="99"/>
    <w:semiHidden/>
    <w:unhideWhenUsed/>
    <w:rsid w:val="00193BBE"/>
  </w:style>
  <w:style w:type="table" w:customStyle="1" w:styleId="Tablaconcuadrcula1083">
    <w:name w:val="Tabla con cuadrícula1083"/>
    <w:basedOn w:val="Tablanormal"/>
    <w:next w:val="Tablaconcuadrcula"/>
    <w:uiPriority w:val="59"/>
    <w:rsid w:val="00193BB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rsid w:val="00193BBE"/>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4">
    <w:name w:val="Tabla con cuadrícula1084"/>
    <w:basedOn w:val="Tablanormal"/>
    <w:next w:val="Tablaconcuadrcula"/>
    <w:rsid w:val="00A4410D"/>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59"/>
    <w:rsid w:val="00A441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5">
    <w:name w:val="Tabla con cuadrícula1085"/>
    <w:basedOn w:val="Tablanormal"/>
    <w:next w:val="Tablaconcuadrcula"/>
    <w:uiPriority w:val="59"/>
    <w:rsid w:val="00F76C7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6">
    <w:name w:val="Sin lista756"/>
    <w:next w:val="Sinlista"/>
    <w:uiPriority w:val="99"/>
    <w:semiHidden/>
    <w:unhideWhenUsed/>
    <w:rsid w:val="00F54759"/>
  </w:style>
  <w:style w:type="table" w:customStyle="1" w:styleId="Tablaconcuadrcula1086">
    <w:name w:val="Tabla con cuadrícula1086"/>
    <w:basedOn w:val="Tablanormal"/>
    <w:next w:val="Tablaconcuadrcula"/>
    <w:uiPriority w:val="59"/>
    <w:rsid w:val="00F5475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7">
    <w:name w:val="Sin lista757"/>
    <w:next w:val="Sinlista"/>
    <w:uiPriority w:val="99"/>
    <w:semiHidden/>
    <w:unhideWhenUsed/>
    <w:rsid w:val="00195739"/>
  </w:style>
  <w:style w:type="table" w:customStyle="1" w:styleId="Tablaconcuadrcula1087">
    <w:name w:val="Tabla con cuadrícula1087"/>
    <w:basedOn w:val="Tablanormal"/>
    <w:next w:val="Tablaconcuadrcula"/>
    <w:uiPriority w:val="59"/>
    <w:rsid w:val="001957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8">
    <w:name w:val="Tabla con cuadrícula1088"/>
    <w:basedOn w:val="Tablanormal"/>
    <w:next w:val="Tablaconcuadrcula"/>
    <w:uiPriority w:val="59"/>
    <w:rsid w:val="0010166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9">
    <w:name w:val="Tabla con cuadrícula1089"/>
    <w:basedOn w:val="Tablanormal"/>
    <w:next w:val="Tablaconcuadrcula"/>
    <w:uiPriority w:val="59"/>
    <w:rsid w:val="00C93D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0">
    <w:name w:val="Tabla con cuadrícula1090"/>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1">
    <w:name w:val="Tabla con cuadrícula1091"/>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2">
    <w:name w:val="Tabla con cuadrícula1092"/>
    <w:basedOn w:val="Tablanormal"/>
    <w:next w:val="Tablaconcuadrcula"/>
    <w:uiPriority w:val="59"/>
    <w:rsid w:val="00E525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3">
    <w:name w:val="Tabla con cuadrícula1093"/>
    <w:basedOn w:val="Tablanormal"/>
    <w:next w:val="Tablaconcuadrcula"/>
    <w:uiPriority w:val="59"/>
    <w:rsid w:val="00A57C73"/>
    <w:pPr>
      <w:ind w:right="170"/>
      <w:jc w:val="righ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4">
    <w:name w:val="Tabla con cuadrícula1094"/>
    <w:basedOn w:val="Tablanormal"/>
    <w:next w:val="Tablaconcuadrcula"/>
    <w:uiPriority w:val="59"/>
    <w:rsid w:val="00B01D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2">
    <w:name w:val="Tabla con cuadrícula937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2">
    <w:name w:val="Tabla con cuadrícula9382"/>
    <w:basedOn w:val="Tablanormal"/>
    <w:next w:val="Tablaconcuadrcula"/>
    <w:rsid w:val="00B01D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5">
    <w:name w:val="Tabla con cuadrícula1095"/>
    <w:basedOn w:val="Tablanormal"/>
    <w:next w:val="Tablaconcuadrcula"/>
    <w:uiPriority w:val="59"/>
    <w:rsid w:val="00527A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8">
    <w:name w:val="Sin lista758"/>
    <w:next w:val="Sinlista"/>
    <w:uiPriority w:val="99"/>
    <w:semiHidden/>
    <w:unhideWhenUsed/>
    <w:rsid w:val="006D239F"/>
  </w:style>
  <w:style w:type="numbering" w:customStyle="1" w:styleId="Sinlista1116">
    <w:name w:val="Sin lista1116"/>
    <w:next w:val="Sinlista"/>
    <w:uiPriority w:val="99"/>
    <w:semiHidden/>
    <w:unhideWhenUsed/>
    <w:rsid w:val="006D239F"/>
  </w:style>
  <w:style w:type="table" w:customStyle="1" w:styleId="Tablaconcuadrcula1096">
    <w:name w:val="Tabla con cuadrícula1096"/>
    <w:basedOn w:val="Tablanormal"/>
    <w:next w:val="Tablaconcuadrcula"/>
    <w:uiPriority w:val="59"/>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4">
    <w:name w:val="Tabla con cuadrícula160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3">
    <w:name w:val="Tabla con cuadrícula2103"/>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6">
    <w:name w:val="Tabla con cuadrícula21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6">
    <w:name w:val="Tabla con cuadrícula22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6">
    <w:name w:val="Tabla con cuadrícula2316"/>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7">
    <w:name w:val="Sin lista1117"/>
    <w:next w:val="Sinlista"/>
    <w:semiHidden/>
    <w:unhideWhenUsed/>
    <w:rsid w:val="006D239F"/>
  </w:style>
  <w:style w:type="table" w:customStyle="1" w:styleId="Tablaconcuadrcula3102">
    <w:name w:val="Tabla con cuadrícula3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00">
    <w:name w:val="Sin lista2100"/>
    <w:next w:val="Sinlista"/>
    <w:semiHidden/>
    <w:unhideWhenUsed/>
    <w:rsid w:val="006D239F"/>
  </w:style>
  <w:style w:type="table" w:customStyle="1" w:styleId="Tablaconcuadrcula4102">
    <w:name w:val="Tabla con cuadrícula4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4">
    <w:name w:val="Tabla básica 14"/>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8">
    <w:name w:val="Sin lista1118"/>
    <w:next w:val="Sinlista"/>
    <w:semiHidden/>
    <w:rsid w:val="006D239F"/>
  </w:style>
  <w:style w:type="table" w:customStyle="1" w:styleId="Tablaconcuadrcula1124">
    <w:name w:val="Tabla con cuadrícula11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0">
    <w:name w:val="Tabla con cuadrícula 168"/>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MapadeldocumentoCar">
    <w:name w:val="Mapa del documento Car"/>
    <w:basedOn w:val="Fuentedeprrafopredeter"/>
    <w:link w:val="Mapadeldocumento"/>
    <w:uiPriority w:val="99"/>
    <w:semiHidden/>
    <w:rsid w:val="006D239F"/>
    <w:rPr>
      <w:rFonts w:ascii="Tahoma" w:hAnsi="Tahoma" w:cs="Tahoma"/>
      <w:shd w:val="clear" w:color="auto" w:fill="000080"/>
      <w:lang w:eastAsia="es-ES"/>
    </w:rPr>
  </w:style>
  <w:style w:type="character" w:customStyle="1" w:styleId="Textoindependiente3Car">
    <w:name w:val="Texto independiente 3 Car"/>
    <w:basedOn w:val="Fuentedeprrafopredeter"/>
    <w:link w:val="Textoindependiente3"/>
    <w:uiPriority w:val="99"/>
    <w:rsid w:val="006D239F"/>
    <w:rPr>
      <w:sz w:val="16"/>
      <w:szCs w:val="26"/>
      <w:lang w:val="es-ES" w:eastAsia="es-ES"/>
    </w:rPr>
  </w:style>
  <w:style w:type="table" w:customStyle="1" w:styleId="Tablaconcuadrcula1905">
    <w:name w:val="Tabla con cuadrícula1905"/>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4">
    <w:name w:val="Tabla con cuadrícula293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2">
    <w:name w:val="Tabla con cuadrícula5102"/>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01">
    <w:name w:val="Tabla con cuadrícula6101"/>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0">
    <w:name w:val="Sin lista3100"/>
    <w:next w:val="Sinlista"/>
    <w:semiHidden/>
    <w:unhideWhenUsed/>
    <w:rsid w:val="006D239F"/>
  </w:style>
  <w:style w:type="table" w:customStyle="1" w:styleId="Tablaconcuadrcula7100">
    <w:name w:val="Tabla con cuadrícula7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4">
    <w:name w:val="Tabla con cuadrícula182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0">
    <w:name w:val="Tabla con cuadrícula51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0">
    <w:name w:val="Sin lista4100"/>
    <w:next w:val="Sinlista"/>
    <w:semiHidden/>
    <w:rsid w:val="006D239F"/>
  </w:style>
  <w:style w:type="table" w:customStyle="1" w:styleId="Tablaconcuadrcula19011">
    <w:name w:val="Tabla con cuadrícula19011"/>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00">
    <w:name w:val="Tabla con cuadrícula8100"/>
    <w:basedOn w:val="Tablanormal"/>
    <w:next w:val="Tablaconcuadrcula"/>
    <w:rsid w:val="006D239F"/>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00">
    <w:name w:val="Sin lista5100"/>
    <w:next w:val="Sinlista"/>
    <w:semiHidden/>
    <w:unhideWhenUsed/>
    <w:rsid w:val="006D239F"/>
  </w:style>
  <w:style w:type="numbering" w:customStyle="1" w:styleId="Sinlista1216">
    <w:name w:val="Sin lista1216"/>
    <w:next w:val="Sinlista"/>
    <w:semiHidden/>
    <w:rsid w:val="006D239F"/>
  </w:style>
  <w:style w:type="character" w:customStyle="1" w:styleId="Sangra3detindependienteCar">
    <w:name w:val="Sangría 3 de t. independiente Car"/>
    <w:basedOn w:val="Fuentedeprrafopredeter"/>
    <w:link w:val="Sangra3detindependiente"/>
    <w:uiPriority w:val="99"/>
    <w:rsid w:val="006D239F"/>
    <w:rPr>
      <w:sz w:val="16"/>
      <w:szCs w:val="16"/>
      <w:lang w:val="en-GB" w:eastAsia="en-US"/>
    </w:rPr>
  </w:style>
  <w:style w:type="character" w:customStyle="1" w:styleId="SaludoCar">
    <w:name w:val="Saludo Car"/>
    <w:basedOn w:val="Fuentedeprrafopredeter"/>
    <w:link w:val="Saludo"/>
    <w:uiPriority w:val="99"/>
    <w:rsid w:val="006D239F"/>
    <w:rPr>
      <w:sz w:val="24"/>
      <w:szCs w:val="24"/>
      <w:lang w:val="en-GB" w:eastAsia="en-US"/>
    </w:rPr>
  </w:style>
  <w:style w:type="character" w:customStyle="1" w:styleId="FechaCar">
    <w:name w:val="Fecha Car"/>
    <w:basedOn w:val="Fuentedeprrafopredeter"/>
    <w:link w:val="Fecha"/>
    <w:uiPriority w:val="99"/>
    <w:rsid w:val="006D239F"/>
    <w:rPr>
      <w:sz w:val="24"/>
      <w:szCs w:val="24"/>
      <w:lang w:val="en-GB" w:eastAsia="en-US"/>
    </w:rPr>
  </w:style>
  <w:style w:type="character" w:customStyle="1" w:styleId="z-PrincipiodelformularioCar">
    <w:name w:val="z-Principio del formulario Car"/>
    <w:basedOn w:val="Fuentedeprrafopredeter"/>
    <w:link w:val="z-Principiodelformulario"/>
    <w:uiPriority w:val="99"/>
    <w:rsid w:val="006D239F"/>
    <w:rPr>
      <w:rFonts w:ascii="Arial" w:hAnsi="Arial" w:cs="Arial"/>
      <w:vanish/>
      <w:sz w:val="16"/>
      <w:szCs w:val="16"/>
      <w:lang w:val="es-ES" w:eastAsia="es-ES"/>
    </w:rPr>
  </w:style>
  <w:style w:type="character" w:customStyle="1" w:styleId="z-FinaldelformularioCar">
    <w:name w:val="z-Final del formulario Car"/>
    <w:basedOn w:val="Fuentedeprrafopredeter"/>
    <w:link w:val="z-Finaldelformulario"/>
    <w:uiPriority w:val="99"/>
    <w:rsid w:val="006D239F"/>
    <w:rPr>
      <w:rFonts w:ascii="Arial" w:hAnsi="Arial" w:cs="Arial"/>
      <w:vanish/>
      <w:sz w:val="16"/>
      <w:szCs w:val="16"/>
      <w:lang w:val="es-ES" w:eastAsia="es-ES"/>
    </w:rPr>
  </w:style>
  <w:style w:type="character" w:customStyle="1" w:styleId="HTMLconformatoprevioCar">
    <w:name w:val="HTML con formato previo Car"/>
    <w:basedOn w:val="Fuentedeprrafopredeter"/>
    <w:link w:val="HTMLconformatoprevio"/>
    <w:uiPriority w:val="99"/>
    <w:rsid w:val="006D239F"/>
    <w:rPr>
      <w:rFonts w:ascii="Courier New" w:hAnsi="Courier New" w:cs="Courier New"/>
      <w:lang w:val="es-ES" w:eastAsia="es-ES"/>
    </w:rPr>
  </w:style>
  <w:style w:type="character" w:customStyle="1" w:styleId="Textoindependienteprimerasangra2Car">
    <w:name w:val="Texto independiente primera sangría 2 Car"/>
    <w:basedOn w:val="SangradetextonormalCar"/>
    <w:link w:val="Textoindependienteprimerasangra2"/>
    <w:uiPriority w:val="99"/>
    <w:rsid w:val="006D239F"/>
    <w:rPr>
      <w:rFonts w:eastAsia="SimSun"/>
      <w:sz w:val="24"/>
      <w:szCs w:val="24"/>
      <w:lang w:val="es-ES" w:eastAsia="es-ES" w:bidi="ar-SA"/>
    </w:rPr>
  </w:style>
  <w:style w:type="character" w:customStyle="1" w:styleId="TextocomentarioCar">
    <w:name w:val="Texto comentario Car"/>
    <w:basedOn w:val="Fuentedeprrafopredeter"/>
    <w:link w:val="Textocomentario"/>
    <w:uiPriority w:val="99"/>
    <w:rsid w:val="006D239F"/>
    <w:rPr>
      <w:rFonts w:eastAsia="Arial Unicode MS"/>
      <w:lang w:val="es-ES_tradnl" w:eastAsia="ar-SA"/>
    </w:rPr>
  </w:style>
  <w:style w:type="character" w:customStyle="1" w:styleId="AsuntodelcomentarioCar">
    <w:name w:val="Asunto del comentario Car"/>
    <w:basedOn w:val="TextocomentarioCar"/>
    <w:link w:val="Asuntodelcomentario"/>
    <w:uiPriority w:val="99"/>
    <w:semiHidden/>
    <w:rsid w:val="006D239F"/>
    <w:rPr>
      <w:rFonts w:eastAsia="Arial Unicode MS"/>
      <w:b/>
      <w:bCs/>
      <w:lang w:val="es-ES_tradnl" w:eastAsia="ar-SA"/>
    </w:rPr>
  </w:style>
  <w:style w:type="numbering" w:customStyle="1" w:styleId="Sinlista6100">
    <w:name w:val="Sin lista6100"/>
    <w:next w:val="Sinlista"/>
    <w:semiHidden/>
    <w:unhideWhenUsed/>
    <w:rsid w:val="006D239F"/>
  </w:style>
  <w:style w:type="table" w:customStyle="1" w:styleId="Tablaconcuadrcula9100">
    <w:name w:val="Tabla con cuadrícula910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759">
    <w:name w:val="Sin lista759"/>
    <w:next w:val="Sinlista"/>
    <w:semiHidden/>
    <w:unhideWhenUsed/>
    <w:rsid w:val="006D239F"/>
  </w:style>
  <w:style w:type="table" w:customStyle="1" w:styleId="Tablaconcuadrcula1097">
    <w:name w:val="Tabla con cuadrícula1097"/>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16">
    <w:name w:val="Tabla con cuadrícula1216"/>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0">
    <w:name w:val="Tabla con cuadrícula13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6">
    <w:name w:val="Sin lista816"/>
    <w:next w:val="Sinlista"/>
    <w:semiHidden/>
    <w:unhideWhenUsed/>
    <w:rsid w:val="006D239F"/>
  </w:style>
  <w:style w:type="table" w:customStyle="1" w:styleId="Tablaconcuadrcula14100">
    <w:name w:val="Tabla con cuadrícula14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916">
    <w:name w:val="Sin lista916"/>
    <w:next w:val="Sinlista"/>
    <w:semiHidden/>
    <w:rsid w:val="006D239F"/>
  </w:style>
  <w:style w:type="numbering" w:customStyle="1" w:styleId="Sinlista1016">
    <w:name w:val="Sin lista1016"/>
    <w:next w:val="Sinlista"/>
    <w:semiHidden/>
    <w:unhideWhenUsed/>
    <w:rsid w:val="006D239F"/>
  </w:style>
  <w:style w:type="numbering" w:customStyle="1" w:styleId="Sinlista1316">
    <w:name w:val="Sin lista1316"/>
    <w:next w:val="Sinlista"/>
    <w:semiHidden/>
    <w:rsid w:val="006D239F"/>
  </w:style>
  <w:style w:type="table" w:customStyle="1" w:styleId="Tablaconcuadrcula5210">
    <w:name w:val="Tabla con cuadrícula52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0">
    <w:name w:val="Tabla con cuadrícula1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6">
    <w:name w:val="Sin lista1416"/>
    <w:next w:val="Sinlista"/>
    <w:semiHidden/>
    <w:rsid w:val="006D239F"/>
  </w:style>
  <w:style w:type="table" w:customStyle="1" w:styleId="Tablaconcuadrcula16100">
    <w:name w:val="Tabla con cuadrícula1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5">
    <w:name w:val="Sin lista1515"/>
    <w:next w:val="Sinlista"/>
    <w:semiHidden/>
    <w:rsid w:val="006D239F"/>
  </w:style>
  <w:style w:type="table" w:customStyle="1" w:styleId="Tablaconcuadrcula1710">
    <w:name w:val="Tabla con cuadrícula17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610">
    <w:name w:val="Sin lista1610"/>
    <w:next w:val="Sinlista"/>
    <w:semiHidden/>
    <w:rsid w:val="006D239F"/>
  </w:style>
  <w:style w:type="table" w:customStyle="1" w:styleId="Tablaconcuadrcula1810">
    <w:name w:val="Tabla con cuadrícula18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6">
    <w:name w:val="Tabla con cuadrícula19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0">
    <w:name w:val="Sin lista1710"/>
    <w:next w:val="Sinlista"/>
    <w:semiHidden/>
    <w:rsid w:val="006D239F"/>
  </w:style>
  <w:style w:type="table" w:customStyle="1" w:styleId="Tablaconcuadrcula2010">
    <w:name w:val="Tabla con cuadrícula20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810">
    <w:name w:val="Sin lista1810"/>
    <w:next w:val="Sinlista"/>
    <w:semiHidden/>
    <w:rsid w:val="006D239F"/>
  </w:style>
  <w:style w:type="table" w:customStyle="1" w:styleId="Tablaconcuadrcula11010">
    <w:name w:val="Tabla con cuadrícula11010"/>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6">
    <w:name w:val="1 / 1.1 / 1.1.16"/>
    <w:basedOn w:val="Sinlista"/>
    <w:next w:val="111111"/>
    <w:rsid w:val="006D239F"/>
  </w:style>
  <w:style w:type="numbering" w:customStyle="1" w:styleId="Sinlista1910">
    <w:name w:val="Sin lista1910"/>
    <w:next w:val="Sinlista"/>
    <w:semiHidden/>
    <w:unhideWhenUsed/>
    <w:rsid w:val="006D239F"/>
  </w:style>
  <w:style w:type="table" w:customStyle="1" w:styleId="Tablaconcuadrcula2074">
    <w:name w:val="Tabla con cuadrícula207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0">
    <w:name w:val="Tabla con cuadrícula24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6">
    <w:name w:val="Tabla con cuadrícula2516"/>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7">
    <w:name w:val="Tabla con cuadrícula2617"/>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7">
    <w:name w:val="Tabla con cuadrícula2717"/>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0">
    <w:name w:val="Tabla con cuadrícula2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0">
    <w:name w:val="Sin lista2010"/>
    <w:next w:val="Sinlista"/>
    <w:semiHidden/>
    <w:rsid w:val="006D239F"/>
  </w:style>
  <w:style w:type="table" w:customStyle="1" w:styleId="Tablaconcuadrcula2910">
    <w:name w:val="Tabla con cuadrícula2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10">
    <w:name w:val="Tabla con cuadrícula3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0">
    <w:name w:val="Tabla con cuadrícula 1113"/>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2110">
    <w:name w:val="Sin lista2110"/>
    <w:next w:val="Sinlista"/>
    <w:semiHidden/>
    <w:rsid w:val="006D239F"/>
  </w:style>
  <w:style w:type="table" w:customStyle="1" w:styleId="Tablaconcuadrcula12101">
    <w:name w:val="Tabla con cuadrícula 12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101">
    <w:name w:val="Tabla con cuadrícula 13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10">
    <w:name w:val="Tabla con cuadrícula3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0">
    <w:name w:val="Tabla con cuadrícula3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0">
    <w:name w:val="Tabla con cuadrícula3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1">
    <w:name w:val="Tabla con cuadrícula 14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10">
    <w:name w:val="Tabla con cuadrícula3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0">
    <w:name w:val="Tabla con cuadrícula 1510"/>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10">
    <w:name w:val="Tabla con cuadrícula3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10">
    <w:name w:val="Tabla con cuadrícula3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0">
    <w:name w:val="Tabla con cuadrícula37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10">
    <w:name w:val="Sin lista2210"/>
    <w:next w:val="Sinlista"/>
    <w:semiHidden/>
    <w:rsid w:val="006D239F"/>
  </w:style>
  <w:style w:type="numbering" w:customStyle="1" w:styleId="Sinlista2310">
    <w:name w:val="Sin lista2310"/>
    <w:next w:val="Sinlista"/>
    <w:semiHidden/>
    <w:rsid w:val="006D239F"/>
  </w:style>
  <w:style w:type="table" w:customStyle="1" w:styleId="Tablaconcuadrcula3810">
    <w:name w:val="Tabla con cuadrícula3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10">
    <w:name w:val="Tabla con cuadrícula3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10">
    <w:name w:val="Sin lista2410"/>
    <w:next w:val="Sinlista"/>
    <w:semiHidden/>
    <w:rsid w:val="006D239F"/>
  </w:style>
  <w:style w:type="numbering" w:customStyle="1" w:styleId="Sinlista2510">
    <w:name w:val="Sin lista2510"/>
    <w:next w:val="Sinlista"/>
    <w:semiHidden/>
    <w:rsid w:val="006D239F"/>
  </w:style>
  <w:style w:type="numbering" w:customStyle="1" w:styleId="Sinlista2610">
    <w:name w:val="Sin lista2610"/>
    <w:next w:val="Sinlista"/>
    <w:semiHidden/>
    <w:rsid w:val="006D239F"/>
  </w:style>
  <w:style w:type="table" w:customStyle="1" w:styleId="Tablaconcuadrcula4010">
    <w:name w:val="Tabla con cuadrícula4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10">
    <w:name w:val="Sin lista2710"/>
    <w:next w:val="Sinlista"/>
    <w:semiHidden/>
    <w:rsid w:val="006D239F"/>
  </w:style>
  <w:style w:type="table" w:customStyle="1" w:styleId="Tablaconcuadrcula4110">
    <w:name w:val="Tabla con cuadrícula4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0">
    <w:name w:val="Tabla con cuadrícula4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0">
    <w:name w:val="Tabla con cuadrícula4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0">
    <w:name w:val="Tabla con cuadrícula 169"/>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10">
    <w:name w:val="Tabla con cuadrícula45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0">
    <w:name w:val="Tabla con cuadrícula4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0">
    <w:name w:val="Tabla con cuadrícula4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0">
    <w:name w:val="Tabla con cuadrícula4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10">
    <w:name w:val="Tabla con cuadrícula49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10">
    <w:name w:val="Sin lista2810"/>
    <w:next w:val="Sinlista"/>
    <w:semiHidden/>
    <w:rsid w:val="006D239F"/>
  </w:style>
  <w:style w:type="table" w:customStyle="1" w:styleId="Tablaconcuadrcula5010">
    <w:name w:val="Tabla con cuadrícula5010"/>
    <w:basedOn w:val="Tablanormal"/>
    <w:next w:val="Tablaconcuadrcula"/>
    <w:rsid w:val="006D239F"/>
    <w:pPr>
      <w:tabs>
        <w:tab w:val="left" w:pos="720"/>
      </w:tabs>
      <w:jc w:val="both"/>
    </w:pPr>
    <w:rPr>
      <w:rFonts w:eastAsia="Times New Roman"/>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1">
    <w:name w:val="Tabla con cuadrícula5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
    <w:name w:val="Tabla con cuadrícula 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11">
    <w:name w:val="Tabla con cuadrícula 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10">
    <w:name w:val="Tabla con cuadrícula5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1">
    <w:name w:val="Tabla con cuadrícula5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10">
    <w:name w:val="Sin lista2910"/>
    <w:next w:val="Sinlista"/>
    <w:semiHidden/>
    <w:rsid w:val="006D239F"/>
  </w:style>
  <w:style w:type="table" w:customStyle="1" w:styleId="Tablaconcuadrcula5410">
    <w:name w:val="Tabla con cuadrícula5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10">
    <w:name w:val="Tabla con cuadrícula5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7">
    <w:name w:val="Tabla con cuadrícula 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10">
    <w:name w:val="Tabla con cuadrícula5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010">
    <w:name w:val="Sin lista3010"/>
    <w:next w:val="Sinlista"/>
    <w:semiHidden/>
    <w:rsid w:val="006D239F"/>
  </w:style>
  <w:style w:type="table" w:customStyle="1" w:styleId="Tablaconcuadrcula11012">
    <w:name w:val="Tabla con cuadrícula 11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3110">
    <w:name w:val="Sin lista3110"/>
    <w:next w:val="Sinlista"/>
    <w:semiHidden/>
    <w:rsid w:val="006D239F"/>
  </w:style>
  <w:style w:type="table" w:customStyle="1" w:styleId="Tablaconcuadrcula5710">
    <w:name w:val="Tabla con cuadrícula5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10">
    <w:name w:val="Tabla con cuadrícula5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0">
    <w:name w:val="Tabla con cuadrícula5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0">
    <w:name w:val="Tabla con cuadrícula6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0">
    <w:name w:val="Tabla con cuadrícula6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0">
    <w:name w:val="Tabla con cuadrícula6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0">
    <w:name w:val="Sin lista3210"/>
    <w:next w:val="Sinlista"/>
    <w:semiHidden/>
    <w:rsid w:val="006D239F"/>
  </w:style>
  <w:style w:type="table" w:customStyle="1" w:styleId="Tablaconcuadrcula6310">
    <w:name w:val="Tabla con cuadrícula6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0">
    <w:name w:val="Tabla con cuadrícula6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10">
    <w:name w:val="Sin lista3310"/>
    <w:next w:val="Sinlista"/>
    <w:semiHidden/>
    <w:unhideWhenUsed/>
    <w:rsid w:val="006D239F"/>
  </w:style>
  <w:style w:type="table" w:customStyle="1" w:styleId="Tablaconcuadrcula6510">
    <w:name w:val="Tabla con cuadrícula6510"/>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410">
    <w:name w:val="Sin lista3410"/>
    <w:next w:val="Sinlista"/>
    <w:semiHidden/>
    <w:rsid w:val="006D239F"/>
  </w:style>
  <w:style w:type="numbering" w:customStyle="1" w:styleId="Sinlista3510">
    <w:name w:val="Sin lista3510"/>
    <w:next w:val="Sinlista"/>
    <w:semiHidden/>
    <w:rsid w:val="006D239F"/>
  </w:style>
  <w:style w:type="table" w:customStyle="1" w:styleId="Tablaconcuadrcula6610">
    <w:name w:val="Tabla con cuadrícula6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10">
    <w:name w:val="Sin lista3610"/>
    <w:next w:val="Sinlista"/>
    <w:semiHidden/>
    <w:rsid w:val="006D239F"/>
  </w:style>
  <w:style w:type="table" w:customStyle="1" w:styleId="Tablaconcuadrcula6710">
    <w:name w:val="Tabla con cuadrícula6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10">
    <w:name w:val="Sin lista3710"/>
    <w:next w:val="Sinlista"/>
    <w:semiHidden/>
    <w:rsid w:val="006D239F"/>
  </w:style>
  <w:style w:type="table" w:customStyle="1" w:styleId="Tablaconcuadrcula6810">
    <w:name w:val="Tabla con cuadrícula6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10">
    <w:name w:val="Sin lista3810"/>
    <w:next w:val="Sinlista"/>
    <w:semiHidden/>
    <w:rsid w:val="006D239F"/>
  </w:style>
  <w:style w:type="table" w:customStyle="1" w:styleId="Tablaconcuadrcula6910">
    <w:name w:val="Tabla con cuadrícula6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10">
    <w:name w:val="Sin lista3910"/>
    <w:next w:val="Sinlista"/>
    <w:semiHidden/>
    <w:rsid w:val="006D239F"/>
  </w:style>
  <w:style w:type="table" w:customStyle="1" w:styleId="Tablaconcuadrcula7010">
    <w:name w:val="Tabla con cuadrícula7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0">
    <w:name w:val="Tabla con cuadrícula71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010">
    <w:name w:val="Sin lista4010"/>
    <w:next w:val="Sinlista"/>
    <w:semiHidden/>
    <w:rsid w:val="006D239F"/>
  </w:style>
  <w:style w:type="table" w:customStyle="1" w:styleId="Tablaconcuadrcula7210">
    <w:name w:val="Tabla con cuadrícula7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0">
    <w:name w:val="Sin lista4110"/>
    <w:next w:val="Sinlista"/>
    <w:semiHidden/>
    <w:rsid w:val="006D239F"/>
  </w:style>
  <w:style w:type="table" w:customStyle="1" w:styleId="Tablaconcuadrcula7310">
    <w:name w:val="Tabla con cuadrícula7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0">
    <w:name w:val="Tabla con cuadrícula7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0">
    <w:name w:val="Tabla con cuadrícula7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10">
    <w:name w:val="Sin lista4210"/>
    <w:next w:val="Sinlista"/>
    <w:semiHidden/>
    <w:rsid w:val="006D239F"/>
  </w:style>
  <w:style w:type="table" w:customStyle="1" w:styleId="Tablaconcuadrcula7610">
    <w:name w:val="Tabla con cuadrícula7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10">
    <w:name w:val="Tabla con cuadrícula7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10">
    <w:name w:val="Sin lista4310"/>
    <w:next w:val="Sinlista"/>
    <w:semiHidden/>
    <w:rsid w:val="006D239F"/>
  </w:style>
  <w:style w:type="table" w:customStyle="1" w:styleId="Tablaconcuadrcula7810">
    <w:name w:val="Tabla con cuadrícula7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10">
    <w:name w:val="Tabla con cuadrícula7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0">
    <w:name w:val="Tabla con cuadrícula8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10">
    <w:name w:val="Sin lista4410"/>
    <w:next w:val="Sinlista"/>
    <w:semiHidden/>
    <w:rsid w:val="006D239F"/>
  </w:style>
  <w:style w:type="table" w:customStyle="1" w:styleId="Tablaconcuadrcula8110">
    <w:name w:val="Tabla con cuadrícula8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0">
    <w:name w:val="Tabla con cuadrícula8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10">
    <w:name w:val="Sin lista4510"/>
    <w:next w:val="Sinlista"/>
    <w:semiHidden/>
    <w:rsid w:val="006D239F"/>
  </w:style>
  <w:style w:type="table" w:customStyle="1" w:styleId="Tablaconcuadrcula8310">
    <w:name w:val="Tabla con cuadrícula8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10">
    <w:name w:val="Sin lista4610"/>
    <w:next w:val="Sinlista"/>
    <w:semiHidden/>
    <w:rsid w:val="006D239F"/>
  </w:style>
  <w:style w:type="table" w:customStyle="1" w:styleId="Tablaconcuadrcula8410">
    <w:name w:val="Tabla con cuadrícula8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0">
    <w:name w:val="Tabla con cuadrícula8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0">
    <w:name w:val="Tabla con cuadrícula8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10">
    <w:name w:val="Sin lista4710"/>
    <w:next w:val="Sinlista"/>
    <w:semiHidden/>
    <w:rsid w:val="006D239F"/>
  </w:style>
  <w:style w:type="table" w:customStyle="1" w:styleId="Tablaconcuadrcula8710">
    <w:name w:val="Tabla con cuadrícula8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0">
    <w:name w:val="Tabla con cuadrícula8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10">
    <w:name w:val="Sin lista4810"/>
    <w:next w:val="Sinlista"/>
    <w:semiHidden/>
    <w:rsid w:val="006D239F"/>
  </w:style>
  <w:style w:type="table" w:customStyle="1" w:styleId="Tablaconcuadrcula8910">
    <w:name w:val="Tabla con cuadrícula8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0">
    <w:name w:val="Tabla con cuadrícula9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0">
    <w:name w:val="Tabla con cuadrícula9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10">
    <w:name w:val="Sin lista4910"/>
    <w:next w:val="Sinlista"/>
    <w:semiHidden/>
    <w:rsid w:val="006D239F"/>
  </w:style>
  <w:style w:type="table" w:customStyle="1" w:styleId="Tablaconcuadrcula9210">
    <w:name w:val="Tabla con cuadrícula9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10">
    <w:name w:val="Sin lista5010"/>
    <w:next w:val="Sinlista"/>
    <w:semiHidden/>
    <w:rsid w:val="006D239F"/>
  </w:style>
  <w:style w:type="table" w:customStyle="1" w:styleId="Tablaconcuadrcula9310">
    <w:name w:val="Tabla con cuadrícula9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10">
    <w:name w:val="Tabla con cuadrícula9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10">
    <w:name w:val="Sin lista5110"/>
    <w:next w:val="Sinlista"/>
    <w:semiHidden/>
    <w:rsid w:val="006D239F"/>
  </w:style>
  <w:style w:type="table" w:customStyle="1" w:styleId="Tablaconcuadrcula9510">
    <w:name w:val="Tabla con cuadrícula9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0">
    <w:name w:val="Tabla con cuadrícula96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10">
    <w:name w:val="Sin lista5210"/>
    <w:next w:val="Sinlista"/>
    <w:semiHidden/>
    <w:rsid w:val="006D239F"/>
  </w:style>
  <w:style w:type="numbering" w:customStyle="1" w:styleId="Sinlista5310">
    <w:name w:val="Sin lista5310"/>
    <w:next w:val="Sinlista"/>
    <w:semiHidden/>
    <w:rsid w:val="006D239F"/>
  </w:style>
  <w:style w:type="table" w:customStyle="1" w:styleId="Tablaconcuadrcula9710">
    <w:name w:val="Tabla con cuadrícula9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410">
    <w:name w:val="Sin lista5410"/>
    <w:next w:val="Sinlista"/>
    <w:semiHidden/>
    <w:rsid w:val="006D239F"/>
  </w:style>
  <w:style w:type="table" w:customStyle="1" w:styleId="Tablaconcuadrcula9810">
    <w:name w:val="Tabla con cuadrícula9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0">
    <w:name w:val="Tabla con cuadrícula99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510">
    <w:name w:val="Sin lista5510"/>
    <w:next w:val="Sinlista"/>
    <w:semiHidden/>
    <w:rsid w:val="006D239F"/>
  </w:style>
  <w:style w:type="table" w:customStyle="1" w:styleId="Tablaconcuadrcula10010">
    <w:name w:val="Tabla con cuadrícula100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0">
    <w:name w:val="Tabla con cuadrícula 1114"/>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5610">
    <w:name w:val="Sin lista5610"/>
    <w:next w:val="Sinlista"/>
    <w:semiHidden/>
    <w:rsid w:val="006D239F"/>
  </w:style>
  <w:style w:type="table" w:customStyle="1" w:styleId="Tablaconcuadrcula10110">
    <w:name w:val="Tabla con cuadrícula10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0">
    <w:name w:val="Tabla con cuadrícula102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0">
    <w:name w:val="Tabla con cuadrícula103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710">
    <w:name w:val="Sin lista5710"/>
    <w:next w:val="Sinlista"/>
    <w:semiHidden/>
    <w:rsid w:val="006D239F"/>
  </w:style>
  <w:style w:type="table" w:customStyle="1" w:styleId="Tablaconcuadrcula11210">
    <w:name w:val="Tabla con cuadrícula 11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10">
    <w:name w:val="Tabla con cuadrícula104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10">
    <w:name w:val="Sin lista5810"/>
    <w:next w:val="Sinlista"/>
    <w:semiHidden/>
    <w:rsid w:val="006D239F"/>
  </w:style>
  <w:style w:type="table" w:customStyle="1" w:styleId="Tablaconcuadrcula10510">
    <w:name w:val="Tabla con cuadrícula105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910">
    <w:name w:val="Sin lista5910"/>
    <w:next w:val="Sinlista"/>
    <w:semiHidden/>
    <w:rsid w:val="006D239F"/>
  </w:style>
  <w:style w:type="table" w:customStyle="1" w:styleId="Tablaconcuadrcula10610">
    <w:name w:val="Tabla con cuadrícula10610"/>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10">
    <w:name w:val="Tabla con cuadrícula107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0">
    <w:name w:val="Tabla con cuadrícula108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8">
    <w:name w:val="Tabla con cuadrícula109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0">
    <w:name w:val="Tabla con cuadrícula11110"/>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0">
    <w:name w:val="Sin lista6010"/>
    <w:next w:val="Sinlista"/>
    <w:semiHidden/>
    <w:rsid w:val="006D239F"/>
  </w:style>
  <w:style w:type="table" w:customStyle="1" w:styleId="Tablaconcuadrcula1131">
    <w:name w:val="Tabla con cuadrícula1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10">
    <w:name w:val="Sin lista6110"/>
    <w:next w:val="Sinlista"/>
    <w:semiHidden/>
    <w:rsid w:val="006D239F"/>
  </w:style>
  <w:style w:type="table" w:customStyle="1" w:styleId="Tablaconcuadrcula1141">
    <w:name w:val="Tabla con cuadrícula1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6210">
    <w:name w:val="Sin lista6210"/>
    <w:next w:val="Sinlista"/>
    <w:semiHidden/>
    <w:rsid w:val="006D239F"/>
  </w:style>
  <w:style w:type="table" w:customStyle="1" w:styleId="Tablaconcuadrcula1161">
    <w:name w:val="Tabla con cuadrícula1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0">
    <w:name w:val="Tabla con cuadrícula 11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6310">
    <w:name w:val="Sin lista6310"/>
    <w:next w:val="Sinlista"/>
    <w:semiHidden/>
    <w:rsid w:val="006D239F"/>
  </w:style>
  <w:style w:type="table" w:customStyle="1" w:styleId="Tablaconcuadrcula1171">
    <w:name w:val="Tabla con cuadrícula1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410">
    <w:name w:val="Sin lista6410"/>
    <w:next w:val="Sinlista"/>
    <w:semiHidden/>
    <w:rsid w:val="006D239F"/>
  </w:style>
  <w:style w:type="table" w:customStyle="1" w:styleId="Tablaconcuadrcula1181">
    <w:name w:val="Tabla con cuadrícula1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510">
    <w:name w:val="Sin lista6510"/>
    <w:next w:val="Sinlista"/>
    <w:semiHidden/>
    <w:rsid w:val="006D239F"/>
  </w:style>
  <w:style w:type="table" w:customStyle="1" w:styleId="Tablaconcuadrcula1191">
    <w:name w:val="Tabla con cuadrícula1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610">
    <w:name w:val="Sin lista6610"/>
    <w:next w:val="Sinlista"/>
    <w:semiHidden/>
    <w:rsid w:val="006D239F"/>
  </w:style>
  <w:style w:type="table" w:customStyle="1" w:styleId="Tablaconcuadrcula12010">
    <w:name w:val="Tabla con cuadrícula1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710">
    <w:name w:val="Sin lista6710"/>
    <w:next w:val="Sinlista"/>
    <w:semiHidden/>
    <w:rsid w:val="006D239F"/>
  </w:style>
  <w:style w:type="numbering" w:customStyle="1" w:styleId="Sinlista6810">
    <w:name w:val="Sin lista6810"/>
    <w:next w:val="Sinlista"/>
    <w:semiHidden/>
    <w:rsid w:val="006D239F"/>
  </w:style>
  <w:style w:type="table" w:customStyle="1" w:styleId="Tablaconcuadrcula1217">
    <w:name w:val="Tabla con cuadrícula1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0">
    <w:name w:val="Sin lista6910"/>
    <w:next w:val="Sinlista"/>
    <w:semiHidden/>
    <w:rsid w:val="006D239F"/>
  </w:style>
  <w:style w:type="table" w:customStyle="1" w:styleId="Tablaconcuadrcula1241">
    <w:name w:val="Tabla con cuadrícula1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
    <w:name w:val="Tabla con cuadrícula1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
    <w:name w:val="Tabla con cuadrícula1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
    <w:name w:val="Tabla con cuadrícula1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1">
    <w:name w:val="Tabla con cuadrícula1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010">
    <w:name w:val="Sin lista7010"/>
    <w:next w:val="Sinlista"/>
    <w:semiHidden/>
    <w:rsid w:val="006D239F"/>
  </w:style>
  <w:style w:type="numbering" w:customStyle="1" w:styleId="Sinlista7110">
    <w:name w:val="Sin lista7110"/>
    <w:next w:val="Sinlista"/>
    <w:semiHidden/>
    <w:rsid w:val="006D239F"/>
  </w:style>
  <w:style w:type="table" w:customStyle="1" w:styleId="Tablaconcuadrcula1291">
    <w:name w:val="Tabla con cuadrícula1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210">
    <w:name w:val="Sin lista7210"/>
    <w:next w:val="Sinlista"/>
    <w:semiHidden/>
    <w:rsid w:val="006D239F"/>
  </w:style>
  <w:style w:type="table" w:customStyle="1" w:styleId="Tablaconcuadrcula13010">
    <w:name w:val="Tabla con cuadrícula1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310">
    <w:name w:val="Sin lista7310"/>
    <w:next w:val="Sinlista"/>
    <w:semiHidden/>
    <w:rsid w:val="006D239F"/>
  </w:style>
  <w:style w:type="table" w:customStyle="1" w:styleId="Tablaconcuadrcula1331">
    <w:name w:val="Tabla con cuadrícula1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1">
    <w:name w:val="Tabla con cuadrícula135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410">
    <w:name w:val="Sin lista7410"/>
    <w:next w:val="Sinlista"/>
    <w:semiHidden/>
    <w:rsid w:val="006D239F"/>
  </w:style>
  <w:style w:type="table" w:customStyle="1" w:styleId="Tablaconcuadrcula1361">
    <w:name w:val="Tabla con cuadrícula1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1">
    <w:name w:val="Tabla con cuadrícula13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1">
    <w:name w:val="Tabla con cuadrícula1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1">
    <w:name w:val="Tabla con cuadrícula1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10">
    <w:name w:val="Tabla con cuadrícula1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510">
    <w:name w:val="Sin lista7510"/>
    <w:next w:val="Sinlista"/>
    <w:semiHidden/>
    <w:rsid w:val="006D239F"/>
  </w:style>
  <w:style w:type="table" w:customStyle="1" w:styleId="Tablaconcuadrcula1451">
    <w:name w:val="Tabla con cuadrícula14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64">
    <w:name w:val="Sin lista764"/>
    <w:next w:val="Sinlista"/>
    <w:semiHidden/>
    <w:rsid w:val="006D239F"/>
  </w:style>
  <w:style w:type="table" w:customStyle="1" w:styleId="Tablaconcuadrcula1461">
    <w:name w:val="Tabla con cuadrícula1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4">
    <w:name w:val="Tabla con cuadrícula51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0">
    <w:name w:val="Tabla con cuadrícula 11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1">
    <w:name w:val="Tabla con cuadrícula1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0">
    <w:name w:val="Tabla con cuadrícula 11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1">
    <w:name w:val="Tabla con cuadrícula1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1">
    <w:name w:val="Tabla con cuadrícula1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10">
    <w:name w:val="Tabla con cuadrícula150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4">
    <w:name w:val="Sin lista774"/>
    <w:next w:val="Sinlista"/>
    <w:semiHidden/>
    <w:rsid w:val="006D239F"/>
  </w:style>
  <w:style w:type="table" w:customStyle="1" w:styleId="Tablaconcuadrcula1517">
    <w:name w:val="Tabla con cuadrícula1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1">
    <w:name w:val="Tabla con cuadrícula15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1">
    <w:name w:val="Tabla con cuadrícula1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1">
    <w:name w:val="Tabla con cuadrícula15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4">
    <w:name w:val="Sin lista784"/>
    <w:next w:val="Sinlista"/>
    <w:semiHidden/>
    <w:rsid w:val="006D239F"/>
  </w:style>
  <w:style w:type="table" w:customStyle="1" w:styleId="Tablaconcuadrcula11610">
    <w:name w:val="Tabla con cuadrícula 11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10">
    <w:name w:val="Tabla con cuadrícula 11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10">
    <w:name w:val="Tabla con cuadrícula 11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794">
    <w:name w:val="Sin lista794"/>
    <w:next w:val="Sinlista"/>
    <w:semiHidden/>
    <w:rsid w:val="006D239F"/>
  </w:style>
  <w:style w:type="table" w:customStyle="1" w:styleId="Tablaconcuadrcula1551">
    <w:name w:val="Tabla con cuadrícula1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04">
    <w:name w:val="Sin lista804"/>
    <w:next w:val="Sinlista"/>
    <w:semiHidden/>
    <w:rsid w:val="006D239F"/>
  </w:style>
  <w:style w:type="table" w:customStyle="1" w:styleId="Tablaconcuadrcula1561">
    <w:name w:val="Tabla con cuadrícula1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1">
    <w:name w:val="Tabla con cuadrícula1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7">
    <w:name w:val="Sin lista817"/>
    <w:next w:val="Sinlista"/>
    <w:semiHidden/>
    <w:rsid w:val="006D239F"/>
  </w:style>
  <w:style w:type="table" w:customStyle="1" w:styleId="Tablaconcuadrcula1581">
    <w:name w:val="Tabla con cuadrícula1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24">
    <w:name w:val="Sin lista824"/>
    <w:next w:val="Sinlista"/>
    <w:semiHidden/>
    <w:rsid w:val="006D239F"/>
  </w:style>
  <w:style w:type="table" w:customStyle="1" w:styleId="Tablaconcuadrcula1591">
    <w:name w:val="Tabla con cuadrícula1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34">
    <w:name w:val="Sin lista834"/>
    <w:next w:val="Sinlista"/>
    <w:semiHidden/>
    <w:rsid w:val="006D239F"/>
  </w:style>
  <w:style w:type="table" w:customStyle="1" w:styleId="Tablaconcuadrcula16110">
    <w:name w:val="Tabla con cuadrícula16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1">
    <w:name w:val="Tabla con cuadrícula1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1">
    <w:name w:val="Tabla con cuadrícula1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1">
    <w:name w:val="Tabla con cuadrícula1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primerasangraCar">
    <w:name w:val="Texto independiente primera sangría Car"/>
    <w:basedOn w:val="TextoindependienteCar"/>
    <w:link w:val="Textoindependienteprimerasangra"/>
    <w:uiPriority w:val="99"/>
    <w:rsid w:val="006D239F"/>
    <w:rPr>
      <w:rFonts w:eastAsia="SimSun"/>
      <w:sz w:val="24"/>
      <w:szCs w:val="24"/>
      <w:lang w:val="es-MX" w:eastAsia="es-ES" w:bidi="ar-SA"/>
    </w:rPr>
  </w:style>
  <w:style w:type="numbering" w:customStyle="1" w:styleId="Sinlista844">
    <w:name w:val="Sin lista844"/>
    <w:next w:val="Sinlista"/>
    <w:semiHidden/>
    <w:rsid w:val="006D239F"/>
  </w:style>
  <w:style w:type="table" w:customStyle="1" w:styleId="Tablaconcuadrcula1651">
    <w:name w:val="Tabla con cuadrícula1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1">
    <w:name w:val="Tabla con cuadrícula1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54">
    <w:name w:val="Sin lista854"/>
    <w:next w:val="Sinlista"/>
    <w:semiHidden/>
    <w:rsid w:val="006D239F"/>
  </w:style>
  <w:style w:type="table" w:customStyle="1" w:styleId="Tablaconcuadrcula1671">
    <w:name w:val="Tabla con cuadrícula167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64">
    <w:name w:val="Sin lista864"/>
    <w:next w:val="Sinlista"/>
    <w:semiHidden/>
    <w:rsid w:val="006D239F"/>
  </w:style>
  <w:style w:type="table" w:customStyle="1" w:styleId="Tablaconcuadrcula1681">
    <w:name w:val="Tabla con cuadrícula1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1">
    <w:name w:val="Tabla con cuadrícula1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1">
    <w:name w:val="Tabla con cuadrícula1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0">
    <w:name w:val="Tabla con cuadrícula17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74">
    <w:name w:val="Sin lista874"/>
    <w:next w:val="Sinlista"/>
    <w:semiHidden/>
    <w:rsid w:val="006D239F"/>
  </w:style>
  <w:style w:type="table" w:customStyle="1" w:styleId="Tablaconcuadrcula1721">
    <w:name w:val="Tabla con cuadrícula1721"/>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84">
    <w:name w:val="Sin lista884"/>
    <w:next w:val="Sinlista"/>
    <w:semiHidden/>
    <w:rsid w:val="006D239F"/>
  </w:style>
  <w:style w:type="table" w:customStyle="1" w:styleId="Tablaconcuadrcula1731">
    <w:name w:val="Tabla con cuadrícula1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1">
    <w:name w:val="Tabla con cuadrícula1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94">
    <w:name w:val="Sin lista894"/>
    <w:next w:val="Sinlista"/>
    <w:semiHidden/>
    <w:rsid w:val="006D239F"/>
  </w:style>
  <w:style w:type="table" w:customStyle="1" w:styleId="Tablaconcuadrcula1751">
    <w:name w:val="Tabla con cuadrícula1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1">
    <w:name w:val="Tabla con cuadrícula1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04">
    <w:name w:val="Sin lista904"/>
    <w:next w:val="Sinlista"/>
    <w:semiHidden/>
    <w:rsid w:val="006D239F"/>
  </w:style>
  <w:style w:type="table" w:customStyle="1" w:styleId="Tablaconcuadrcula1771">
    <w:name w:val="Tabla con cuadrícula1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1">
    <w:name w:val="Tabla con cuadrícula1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1">
    <w:name w:val="Tabla con cuadrícula1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1">
    <w:name w:val="Tabla con cuadrícula1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17">
    <w:name w:val="Sin lista917"/>
    <w:next w:val="Sinlista"/>
    <w:semiHidden/>
    <w:rsid w:val="006D239F"/>
  </w:style>
  <w:style w:type="table" w:customStyle="1" w:styleId="Tablaconcuadrcula18110">
    <w:name w:val="Tabla con cuadrícula1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24">
    <w:name w:val="Sin lista924"/>
    <w:next w:val="Sinlista"/>
    <w:semiHidden/>
    <w:rsid w:val="006D239F"/>
  </w:style>
  <w:style w:type="numbering" w:customStyle="1" w:styleId="Sinlista934">
    <w:name w:val="Sin lista934"/>
    <w:next w:val="Sinlista"/>
    <w:semiHidden/>
    <w:rsid w:val="006D239F"/>
  </w:style>
  <w:style w:type="table" w:customStyle="1" w:styleId="Tablaconcuadrcula1831">
    <w:name w:val="Tabla con cuadrícula1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44">
    <w:name w:val="Sin lista944"/>
    <w:next w:val="Sinlista"/>
    <w:semiHidden/>
    <w:rsid w:val="006D239F"/>
  </w:style>
  <w:style w:type="numbering" w:customStyle="1" w:styleId="Sinlista954">
    <w:name w:val="Sin lista954"/>
    <w:next w:val="Sinlista"/>
    <w:semiHidden/>
    <w:rsid w:val="006D239F"/>
  </w:style>
  <w:style w:type="table" w:customStyle="1" w:styleId="Tablaconcuadrcula1841">
    <w:name w:val="Tabla con cuadrícula1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10">
    <w:name w:val="Tabla con cuadrícula 11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1">
    <w:name w:val="Tabla con cuadrícula18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64">
    <w:name w:val="Sin lista964"/>
    <w:next w:val="Sinlista"/>
    <w:semiHidden/>
    <w:rsid w:val="006D239F"/>
  </w:style>
  <w:style w:type="table" w:customStyle="1" w:styleId="Tablaconcuadrcula1861">
    <w:name w:val="Tabla con cuadrícula18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1">
    <w:name w:val="Tabla con cuadrícula 12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10">
    <w:name w:val="Tabla con cuadrícula 12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974">
    <w:name w:val="Sin lista974"/>
    <w:next w:val="Sinlista"/>
    <w:semiHidden/>
    <w:rsid w:val="006D239F"/>
  </w:style>
  <w:style w:type="table" w:customStyle="1" w:styleId="Tablaconcuadrcula1871">
    <w:name w:val="Tabla con cuadrícula18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84">
    <w:name w:val="Sin lista984"/>
    <w:next w:val="Sinlista"/>
    <w:semiHidden/>
    <w:rsid w:val="006D239F"/>
  </w:style>
  <w:style w:type="table" w:customStyle="1" w:styleId="Tablaconcuadrcula1881">
    <w:name w:val="Tabla con cuadrícula18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94">
    <w:name w:val="Sin lista994"/>
    <w:next w:val="Sinlista"/>
    <w:semiHidden/>
    <w:rsid w:val="006D239F"/>
  </w:style>
  <w:style w:type="table" w:customStyle="1" w:styleId="Tablaconcuadrcula1891">
    <w:name w:val="Tabla con cuadrícula18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04">
    <w:name w:val="Sin lista1004"/>
    <w:next w:val="Sinlista"/>
    <w:semiHidden/>
    <w:rsid w:val="006D239F"/>
  </w:style>
  <w:style w:type="numbering" w:customStyle="1" w:styleId="Sinlista1017">
    <w:name w:val="Sin lista1017"/>
    <w:next w:val="Sinlista"/>
    <w:semiHidden/>
    <w:rsid w:val="006D239F"/>
  </w:style>
  <w:style w:type="table" w:customStyle="1" w:styleId="Tablaconcuadrcula19170">
    <w:name w:val="Tabla con cuadrícula19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24">
    <w:name w:val="Sin lista1024"/>
    <w:next w:val="Sinlista"/>
    <w:semiHidden/>
    <w:rsid w:val="006D239F"/>
  </w:style>
  <w:style w:type="table" w:customStyle="1" w:styleId="Tablaconcuadrcula1921">
    <w:name w:val="Tabla con cuadrícula19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34">
    <w:name w:val="Sin lista1034"/>
    <w:next w:val="Sinlista"/>
    <w:semiHidden/>
    <w:rsid w:val="006D239F"/>
  </w:style>
  <w:style w:type="table" w:customStyle="1" w:styleId="Tablaconcuadrcula1931">
    <w:name w:val="Tabla con cuadrícula19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1">
    <w:name w:val="Tabla con cuadrícula19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44">
    <w:name w:val="Sin lista1044"/>
    <w:next w:val="Sinlista"/>
    <w:semiHidden/>
    <w:rsid w:val="006D239F"/>
  </w:style>
  <w:style w:type="table" w:customStyle="1" w:styleId="Tablaconcuadrcula1961">
    <w:name w:val="Tabla con cuadrícula19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1">
    <w:name w:val="Tabla con cuadrícula19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54">
    <w:name w:val="Sin lista1054"/>
    <w:next w:val="Sinlista"/>
    <w:semiHidden/>
    <w:rsid w:val="006D239F"/>
  </w:style>
  <w:style w:type="table" w:customStyle="1" w:styleId="Tablaconcuadrcula1981">
    <w:name w:val="Tabla con cuadrícula19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64">
    <w:name w:val="Sin lista1064"/>
    <w:next w:val="Sinlista"/>
    <w:semiHidden/>
    <w:rsid w:val="006D239F"/>
  </w:style>
  <w:style w:type="table" w:customStyle="1" w:styleId="Tablaconcuadrcula1991">
    <w:name w:val="Tabla con cuadrícula19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74">
    <w:name w:val="Sin lista1074"/>
    <w:next w:val="Sinlista"/>
    <w:semiHidden/>
    <w:rsid w:val="006D239F"/>
  </w:style>
  <w:style w:type="character" w:customStyle="1" w:styleId="EncabezadodemensajeCar">
    <w:name w:val="Encabezado de mensaje Car"/>
    <w:basedOn w:val="Fuentedeprrafopredeter"/>
    <w:link w:val="Encabezadodemensaje"/>
    <w:uiPriority w:val="99"/>
    <w:rsid w:val="006D239F"/>
    <w:rPr>
      <w:rFonts w:ascii="Arial" w:hAnsi="Arial" w:cs="Arial"/>
      <w:sz w:val="24"/>
      <w:szCs w:val="24"/>
      <w:shd w:val="pct20" w:color="auto" w:fill="auto"/>
      <w:lang w:eastAsia="es-ES"/>
    </w:rPr>
  </w:style>
  <w:style w:type="table" w:customStyle="1" w:styleId="Tablaconcuadrcula2001">
    <w:name w:val="Tabla con cuadrícula20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1">
    <w:name w:val="Tabla con cuadrícula20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1">
    <w:name w:val="Tabla con cuadrícula2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1">
    <w:name w:val="Tabla con cuadrícula20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84">
    <w:name w:val="Sin lista1084"/>
    <w:next w:val="Sinlista"/>
    <w:semiHidden/>
    <w:rsid w:val="006D239F"/>
  </w:style>
  <w:style w:type="table" w:customStyle="1" w:styleId="Tablaconcuadrcula2041">
    <w:name w:val="Tabla con cuadrícula20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94">
    <w:name w:val="Sin lista1094"/>
    <w:next w:val="Sinlista"/>
    <w:semiHidden/>
    <w:rsid w:val="006D239F"/>
  </w:style>
  <w:style w:type="table" w:customStyle="1" w:styleId="Tablaconcuadrcula2051">
    <w:name w:val="Tabla con cuadrícula20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0">
    <w:name w:val="Sin lista11010"/>
    <w:next w:val="Sinlista"/>
    <w:semiHidden/>
    <w:rsid w:val="006D239F"/>
  </w:style>
  <w:style w:type="table" w:customStyle="1" w:styleId="Tablaconcuadrcula2061">
    <w:name w:val="Tabla con cuadrícula20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1">
    <w:name w:val="Tabla con cuadrícula20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1">
    <w:name w:val="Tabla con cuadrícula20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0">
    <w:name w:val="Tabla con cuadrícula 12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114">
    <w:name w:val="Sin lista11114"/>
    <w:next w:val="Sinlista"/>
    <w:semiHidden/>
    <w:rsid w:val="006D239F"/>
  </w:style>
  <w:style w:type="table" w:customStyle="1" w:styleId="Tablaconcuadrcula2104">
    <w:name w:val="Tabla con cuadrícula210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4">
    <w:name w:val="Sin lista1124"/>
    <w:next w:val="Sinlista"/>
    <w:semiHidden/>
    <w:rsid w:val="006D239F"/>
  </w:style>
  <w:style w:type="table" w:customStyle="1" w:styleId="Tablaconcuadrcula2117">
    <w:name w:val="Tabla con cuadrícula21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1">
    <w:name w:val="Tabla con cuadrícula2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4">
    <w:name w:val="Sin lista1134"/>
    <w:next w:val="Sinlista"/>
    <w:semiHidden/>
    <w:rsid w:val="006D239F"/>
  </w:style>
  <w:style w:type="table" w:customStyle="1" w:styleId="Tablaconcuadrcula2141">
    <w:name w:val="Tabla con cuadrícula21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0">
    <w:name w:val="Tabla con cuadrícula 12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144">
    <w:name w:val="Sin lista1144"/>
    <w:next w:val="Sinlista"/>
    <w:semiHidden/>
    <w:rsid w:val="006D239F"/>
  </w:style>
  <w:style w:type="table" w:customStyle="1" w:styleId="Tablaconcuadrcula2151">
    <w:name w:val="Tabla con cuadrícula21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4">
    <w:name w:val="Sin lista1154"/>
    <w:next w:val="Sinlista"/>
    <w:semiHidden/>
    <w:rsid w:val="006D239F"/>
  </w:style>
  <w:style w:type="numbering" w:customStyle="1" w:styleId="Sinlista1164">
    <w:name w:val="Sin lista1164"/>
    <w:next w:val="Sinlista"/>
    <w:semiHidden/>
    <w:rsid w:val="006D239F"/>
  </w:style>
  <w:style w:type="table" w:customStyle="1" w:styleId="Tablaconcuadrcula2161">
    <w:name w:val="Tabla con cuadrícula21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1">
    <w:name w:val="Tabla con cuadrícula21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4">
    <w:name w:val="Sin lista1174"/>
    <w:next w:val="Sinlista"/>
    <w:semiHidden/>
    <w:rsid w:val="006D239F"/>
  </w:style>
  <w:style w:type="table" w:customStyle="1" w:styleId="Tablaconcuadrcula2181">
    <w:name w:val="Tabla con cuadrícula21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4">
    <w:name w:val="Sin lista1184"/>
    <w:next w:val="Sinlista"/>
    <w:semiHidden/>
    <w:rsid w:val="006D239F"/>
  </w:style>
  <w:style w:type="table" w:customStyle="1" w:styleId="Tablaconcuadrcula2191">
    <w:name w:val="Tabla con cuadrícula21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1">
    <w:name w:val="Tabla con cuadrícula22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4">
    <w:name w:val="Sin lista1194"/>
    <w:next w:val="Sinlista"/>
    <w:semiHidden/>
    <w:rsid w:val="006D239F"/>
  </w:style>
  <w:style w:type="table" w:customStyle="1" w:styleId="Tablaconcuadrcula2217">
    <w:name w:val="Tabla con cuadrícula22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1">
    <w:name w:val="Tabla con cuadrícula22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4">
    <w:name w:val="Sin lista1204"/>
    <w:next w:val="Sinlista"/>
    <w:semiHidden/>
    <w:rsid w:val="006D239F"/>
  </w:style>
  <w:style w:type="numbering" w:customStyle="1" w:styleId="Sinlista1217">
    <w:name w:val="Sin lista1217"/>
    <w:next w:val="Sinlista"/>
    <w:semiHidden/>
    <w:rsid w:val="006D239F"/>
  </w:style>
  <w:style w:type="table" w:customStyle="1" w:styleId="Tablaconcuadrcula2231">
    <w:name w:val="Tabla con cuadrícula22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4">
    <w:name w:val="Sin lista1224"/>
    <w:next w:val="Sinlista"/>
    <w:semiHidden/>
    <w:rsid w:val="006D239F"/>
  </w:style>
  <w:style w:type="table" w:customStyle="1" w:styleId="Tablaconcuadrcula2241">
    <w:name w:val="Tabla con cuadrícula22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4">
    <w:name w:val="Sin lista1234"/>
    <w:next w:val="Sinlista"/>
    <w:semiHidden/>
    <w:rsid w:val="006D239F"/>
  </w:style>
  <w:style w:type="table" w:customStyle="1" w:styleId="Tablaconcuadrcula12410">
    <w:name w:val="Tabla con cuadrícula 124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1">
    <w:name w:val="Tabla con cuadrícula22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1">
    <w:name w:val="Tabla con cuadrícula22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1">
    <w:name w:val="Tabla con cuadrícula22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1">
    <w:name w:val="Tabla con cuadrícula22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1">
    <w:name w:val="Tabla con cuadrícula22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1">
    <w:name w:val="Tabla con cuadrícula23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4">
    <w:name w:val="Sin lista1244"/>
    <w:next w:val="Sinlista"/>
    <w:semiHidden/>
    <w:rsid w:val="006D239F"/>
  </w:style>
  <w:style w:type="table" w:customStyle="1" w:styleId="Tablaconcuadrcula2317">
    <w:name w:val="Tabla con cuadrícula23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0">
    <w:name w:val="Tabla con cuadrícula 125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254">
    <w:name w:val="Sin lista1254"/>
    <w:next w:val="Sinlista"/>
    <w:semiHidden/>
    <w:rsid w:val="006D239F"/>
  </w:style>
  <w:style w:type="table" w:customStyle="1" w:styleId="Tablaconcuadrcula2321">
    <w:name w:val="Tabla con cuadrícula23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1">
    <w:name w:val="Tabla con cuadrícula23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0">
    <w:name w:val="Tabla con cuadrícula 126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1">
    <w:name w:val="Tabla con cuadrícula23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1">
    <w:name w:val="Tabla con cuadrícula51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1">
    <w:name w:val="Tabla con cuadrícula23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61">
    <w:name w:val="Tabla con cuadrícula23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4">
    <w:name w:val="Sin lista1264"/>
    <w:next w:val="Sinlista"/>
    <w:semiHidden/>
    <w:rsid w:val="006D239F"/>
  </w:style>
  <w:style w:type="table" w:customStyle="1" w:styleId="Tablaconcuadrcula2371">
    <w:name w:val="Tabla con cuadrícula23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0">
    <w:name w:val="Tabla con cuadrícula 127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81">
    <w:name w:val="Tabla con cuadrícula23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1">
    <w:name w:val="Tabla con cuadrícula23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1">
    <w:name w:val="Tabla con cuadrícula24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4">
    <w:name w:val="Sin lista1274"/>
    <w:next w:val="Sinlista"/>
    <w:semiHidden/>
    <w:rsid w:val="006D239F"/>
  </w:style>
  <w:style w:type="table" w:customStyle="1" w:styleId="Tablaconcuadrcula2411">
    <w:name w:val="Tabla con cuadrícula24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4">
    <w:name w:val="Sin lista1284"/>
    <w:next w:val="Sinlista"/>
    <w:semiHidden/>
    <w:rsid w:val="006D239F"/>
  </w:style>
  <w:style w:type="table" w:customStyle="1" w:styleId="Tablaconcuadrcula12810">
    <w:name w:val="Tabla con cuadrícula 128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1">
    <w:name w:val="Tabla con cuadrícula24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4">
    <w:name w:val="Sin lista1294"/>
    <w:next w:val="Sinlista"/>
    <w:semiHidden/>
    <w:rsid w:val="006D239F"/>
  </w:style>
  <w:style w:type="table" w:customStyle="1" w:styleId="Tablaconcuadrcula2431">
    <w:name w:val="Tabla con cuadrícula24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04">
    <w:name w:val="Sin lista1304"/>
    <w:next w:val="Sinlista"/>
    <w:semiHidden/>
    <w:rsid w:val="006D239F"/>
  </w:style>
  <w:style w:type="table" w:customStyle="1" w:styleId="Tablaconcuadrcula2441">
    <w:name w:val="Tabla con cuadrícula24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7">
    <w:name w:val="Sin lista1317"/>
    <w:next w:val="Sinlista"/>
    <w:semiHidden/>
    <w:rsid w:val="006D239F"/>
  </w:style>
  <w:style w:type="table" w:customStyle="1" w:styleId="Tablaconcuadrcula2451">
    <w:name w:val="Tabla con cuadrícula2451"/>
    <w:basedOn w:val="Tablanormal"/>
    <w:next w:val="Tablaconcuadrcula"/>
    <w:rsid w:val="006D239F"/>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324">
    <w:name w:val="Sin lista1324"/>
    <w:next w:val="Sinlista"/>
    <w:semiHidden/>
    <w:rsid w:val="006D239F"/>
  </w:style>
  <w:style w:type="numbering" w:customStyle="1" w:styleId="Sinlista1334">
    <w:name w:val="Sin lista1334"/>
    <w:next w:val="Sinlista"/>
    <w:semiHidden/>
    <w:rsid w:val="006D239F"/>
  </w:style>
  <w:style w:type="table" w:customStyle="1" w:styleId="Tablaconcuadrcula2461">
    <w:name w:val="Tabla con cuadrícula24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4">
    <w:name w:val="Sin lista1344"/>
    <w:next w:val="Sinlista"/>
    <w:semiHidden/>
    <w:rsid w:val="006D239F"/>
  </w:style>
  <w:style w:type="table" w:customStyle="1" w:styleId="Tablaconcuadrcula2471">
    <w:name w:val="Tabla con cuadrícula24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4">
    <w:name w:val="Sin lista1354"/>
    <w:next w:val="Sinlista"/>
    <w:semiHidden/>
    <w:rsid w:val="006D239F"/>
  </w:style>
  <w:style w:type="table" w:customStyle="1" w:styleId="Tablaconcuadrcula2481">
    <w:name w:val="Tabla con cuadrícula24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4">
    <w:name w:val="Sin lista1364"/>
    <w:next w:val="Sinlista"/>
    <w:semiHidden/>
    <w:rsid w:val="006D239F"/>
  </w:style>
  <w:style w:type="table" w:customStyle="1" w:styleId="Tablaconcuadrcula2491">
    <w:name w:val="Tabla con cuadrícula24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1">
    <w:name w:val="Tabla con cuadrícula25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4">
    <w:name w:val="Sin lista1374"/>
    <w:next w:val="Sinlista"/>
    <w:semiHidden/>
    <w:rsid w:val="006D239F"/>
  </w:style>
  <w:style w:type="table" w:customStyle="1" w:styleId="Tablaconcuadrcula2517">
    <w:name w:val="Tabla con cuadrícula2517"/>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4">
    <w:name w:val="Sin lista1384"/>
    <w:next w:val="Sinlista"/>
    <w:semiHidden/>
    <w:rsid w:val="006D239F"/>
  </w:style>
  <w:style w:type="table" w:customStyle="1" w:styleId="Tablaconcuadrcula11001">
    <w:name w:val="Tabla con cuadrícula110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1">
    <w:name w:val="Tabla con cuadrícula25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1">
    <w:name w:val="Tabla con cuadrícula25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2">
    <w:name w:val="Tabla con cuadrícula2542"/>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1">
    <w:name w:val="Tabla con cuadrícula25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4">
    <w:name w:val="Sin lista1394"/>
    <w:next w:val="Sinlista"/>
    <w:semiHidden/>
    <w:rsid w:val="006D239F"/>
  </w:style>
  <w:style w:type="table" w:customStyle="1" w:styleId="Tablaconcuadrcula2561">
    <w:name w:val="Tabla con cuadrícula25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04">
    <w:name w:val="Sin lista1404"/>
    <w:next w:val="Sinlista"/>
    <w:semiHidden/>
    <w:rsid w:val="006D239F"/>
  </w:style>
  <w:style w:type="table" w:customStyle="1" w:styleId="Tablaconcuadrcula2571">
    <w:name w:val="Tabla con cuadrícula25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1">
    <w:name w:val="Tabla con cuadrícula25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7">
    <w:name w:val="Sin lista1417"/>
    <w:next w:val="Sinlista"/>
    <w:semiHidden/>
    <w:rsid w:val="006D239F"/>
  </w:style>
  <w:style w:type="table" w:customStyle="1" w:styleId="Tablaconcuadrcula2591">
    <w:name w:val="Tabla con cuadrícula25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4">
    <w:name w:val="Sin lista1424"/>
    <w:next w:val="Sinlista"/>
    <w:semiHidden/>
    <w:rsid w:val="006D239F"/>
  </w:style>
  <w:style w:type="numbering" w:customStyle="1" w:styleId="Sinlista1434">
    <w:name w:val="Sin lista1434"/>
    <w:next w:val="Sinlista"/>
    <w:semiHidden/>
    <w:rsid w:val="006D239F"/>
  </w:style>
  <w:style w:type="table" w:customStyle="1" w:styleId="Tablaconcuadrcula2601">
    <w:name w:val="Tabla con cuadrícula26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8">
    <w:name w:val="Tabla con cuadrícula26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1">
    <w:name w:val="Tabla con cuadrícula26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1">
    <w:name w:val="Tabla con cuadrícula26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1">
    <w:name w:val="Tabla con cuadrícula26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1">
    <w:name w:val="Tabla con cuadrícula26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4">
    <w:name w:val="Sin lista1444"/>
    <w:next w:val="Sinlista"/>
    <w:semiHidden/>
    <w:rsid w:val="006D239F"/>
  </w:style>
  <w:style w:type="table" w:customStyle="1" w:styleId="Tablaconcuadrcula2661">
    <w:name w:val="Tabla con cuadrícula26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4">
    <w:name w:val="Sin lista1454"/>
    <w:next w:val="Sinlista"/>
    <w:semiHidden/>
    <w:rsid w:val="006D239F"/>
  </w:style>
  <w:style w:type="numbering" w:customStyle="1" w:styleId="Sinlista1464">
    <w:name w:val="Sin lista1464"/>
    <w:next w:val="Sinlista"/>
    <w:semiHidden/>
    <w:rsid w:val="006D239F"/>
  </w:style>
  <w:style w:type="table" w:customStyle="1" w:styleId="Tablaconcuadrcula2671">
    <w:name w:val="Tabla con cuadrícula26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10">
    <w:name w:val="Tabla con cuadrícula 129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74">
    <w:name w:val="Sin lista1474"/>
    <w:next w:val="Sinlista"/>
    <w:semiHidden/>
    <w:rsid w:val="006D239F"/>
  </w:style>
  <w:style w:type="table" w:customStyle="1" w:styleId="Tablaconcuadrcula2681">
    <w:name w:val="Tabla con cuadrícula26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a">
    <w:name w:val="Tabla con cuadrícula 22"/>
    <w:basedOn w:val="Tablanormal"/>
    <w:next w:val="Tablaconcuadrcula2a"/>
    <w:rsid w:val="006D239F"/>
    <w:pPr>
      <w:widowControl w:val="0"/>
      <w:autoSpaceDE w:val="0"/>
      <w:autoSpaceDN w:val="0"/>
    </w:pPr>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Tablaconcuadrcula2691">
    <w:name w:val="Tabla con cuadrícula26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1">
    <w:name w:val="Tabla con cuadrícula27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8">
    <w:name w:val="Tabla con cuadrícula2718"/>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4">
    <w:name w:val="Sin lista1484"/>
    <w:next w:val="Sinlista"/>
    <w:semiHidden/>
    <w:rsid w:val="006D239F"/>
  </w:style>
  <w:style w:type="table" w:customStyle="1" w:styleId="Tablaconcuadrcula13011">
    <w:name w:val="Tabla con cuadrícula 130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Sinlista1494">
    <w:name w:val="Sin lista1494"/>
    <w:next w:val="Sinlista"/>
    <w:semiHidden/>
    <w:rsid w:val="006D239F"/>
  </w:style>
  <w:style w:type="table" w:customStyle="1" w:styleId="Tablaconcuadrcula2721">
    <w:name w:val="Tabla con cuadrícula27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04">
    <w:name w:val="Sin lista1504"/>
    <w:next w:val="Sinlista"/>
    <w:semiHidden/>
    <w:rsid w:val="006D239F"/>
  </w:style>
  <w:style w:type="table" w:customStyle="1" w:styleId="Tablaconcuadrcula2731">
    <w:name w:val="Tabla con cuadrícula27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1">
    <w:name w:val="Tabla con cuadrícula27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1">
    <w:name w:val="Tabla con cuadrícula275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6">
    <w:name w:val="Sin lista1516"/>
    <w:next w:val="Sinlista"/>
    <w:semiHidden/>
    <w:rsid w:val="006D239F"/>
  </w:style>
  <w:style w:type="numbering" w:customStyle="1" w:styleId="Sinlista1524">
    <w:name w:val="Sin lista1524"/>
    <w:next w:val="Sinlista"/>
    <w:semiHidden/>
    <w:rsid w:val="006D239F"/>
  </w:style>
  <w:style w:type="table" w:customStyle="1" w:styleId="Tablaconcuadrcula2761">
    <w:name w:val="Tabla con cuadrícula276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34">
    <w:name w:val="Sin lista1534"/>
    <w:next w:val="Sinlista"/>
    <w:semiHidden/>
    <w:rsid w:val="006D239F"/>
  </w:style>
  <w:style w:type="table" w:customStyle="1" w:styleId="Tablaconcuadrcula13110">
    <w:name w:val="Tabla con cuadrícula 131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1">
    <w:name w:val="Tabla con cuadrícula277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44">
    <w:name w:val="Sin lista1544"/>
    <w:next w:val="Sinlista"/>
    <w:semiHidden/>
    <w:rsid w:val="006D239F"/>
  </w:style>
  <w:style w:type="table" w:customStyle="1" w:styleId="Tablaconcuadrcula2781">
    <w:name w:val="Tabla con cuadrícula278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1">
    <w:name w:val="Tabla con cuadrícula279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54">
    <w:name w:val="Sin lista1554"/>
    <w:next w:val="Sinlista"/>
    <w:semiHidden/>
    <w:rsid w:val="006D239F"/>
  </w:style>
  <w:style w:type="table" w:customStyle="1" w:styleId="Tablaconcuadrcula2801">
    <w:name w:val="Tabla con cuadrícula28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1">
    <w:name w:val="Tabla con cuadrícula28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0">
    <w:name w:val="Tabla con cuadrícula 132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1">
    <w:name w:val="Tabla con cuadrícula28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1">
    <w:name w:val="Tabla con cuadrícula28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20">
    <w:name w:val="Tabla con cuadrícula11012"/>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61">
    <w:name w:val="Sin lista1561"/>
    <w:next w:val="Sinlista"/>
    <w:semiHidden/>
    <w:rsid w:val="006D239F"/>
  </w:style>
  <w:style w:type="table" w:customStyle="1" w:styleId="Tablaconcuadrcula2841">
    <w:name w:val="Tabla con cuadrícula284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4">
    <w:name w:val="Tabla con cuadrícula16014"/>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1">
    <w:name w:val="Tabla con cuadrícula21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1">
    <w:name w:val="Tabla con cuadrícula22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1">
    <w:name w:val="Tabla con cuadrícula23101"/>
    <w:basedOn w:val="Tablanormal"/>
    <w:next w:val="Tablaconcuadrcula"/>
    <w:rsid w:val="006D239F"/>
    <w:pPr>
      <w:widowControl w:val="0"/>
      <w:adjustRightInd w:val="0"/>
      <w:spacing w:line="360" w:lineRule="atLeast"/>
      <w:jc w:val="both"/>
      <w:textAlignment w:val="baseline"/>
    </w:pPr>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71">
    <w:name w:val="Sin lista1571"/>
    <w:next w:val="Sinlista"/>
    <w:semiHidden/>
    <w:unhideWhenUsed/>
    <w:rsid w:val="006D239F"/>
  </w:style>
  <w:style w:type="numbering" w:customStyle="1" w:styleId="Sinlista2101">
    <w:name w:val="Sin lista2101"/>
    <w:next w:val="Sinlista"/>
    <w:semiHidden/>
    <w:unhideWhenUsed/>
    <w:rsid w:val="006D239F"/>
  </w:style>
  <w:style w:type="table" w:customStyle="1" w:styleId="Tablabsica114">
    <w:name w:val="Tabla básica 114"/>
    <w:basedOn w:val="Tablanormal"/>
    <w:next w:val="Tablabsica1"/>
    <w:rsid w:val="006D239F"/>
    <w:rPr>
      <w:rFonts w:eastAsia="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01">
    <w:name w:val="Sin lista11101"/>
    <w:next w:val="Sinlista"/>
    <w:semiHidden/>
    <w:rsid w:val="006D239F"/>
  </w:style>
  <w:style w:type="table" w:customStyle="1" w:styleId="Tablaconcuadrcula111010">
    <w:name w:val="Tabla con cuadrícula11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0">
    <w:name w:val="Tabla con cuadrícula 1331"/>
    <w:basedOn w:val="Tablanormal"/>
    <w:next w:val="Tablaconcuadrcula10"/>
    <w:rsid w:val="006D239F"/>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4">
    <w:name w:val="Tabla con cuadrícula1902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4">
    <w:name w:val="Tabla con cuadrícula293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2">
    <w:name w:val="Tabla con cuadrícula6102"/>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01">
    <w:name w:val="Sin lista3101"/>
    <w:next w:val="Sinlista"/>
    <w:semiHidden/>
    <w:unhideWhenUsed/>
    <w:rsid w:val="006D239F"/>
  </w:style>
  <w:style w:type="table" w:customStyle="1" w:styleId="Tablaconcuadrcula18214">
    <w:name w:val="Tabla con cuadrícula18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1">
    <w:name w:val="Tabla con cuadrícula513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01">
    <w:name w:val="Sin lista4101"/>
    <w:next w:val="Sinlista"/>
    <w:semiHidden/>
    <w:rsid w:val="006D239F"/>
  </w:style>
  <w:style w:type="numbering" w:customStyle="1" w:styleId="Sinlista5101">
    <w:name w:val="Sin lista5101"/>
    <w:next w:val="Sinlista"/>
    <w:semiHidden/>
    <w:unhideWhenUsed/>
    <w:rsid w:val="006D239F"/>
  </w:style>
  <w:style w:type="numbering" w:customStyle="1" w:styleId="Sinlista12101">
    <w:name w:val="Sin lista12101"/>
    <w:next w:val="Sinlista"/>
    <w:semiHidden/>
    <w:rsid w:val="006D239F"/>
  </w:style>
  <w:style w:type="numbering" w:customStyle="1" w:styleId="Sinlista6101">
    <w:name w:val="Sin lista6101"/>
    <w:next w:val="Sinlista"/>
    <w:semiHidden/>
    <w:unhideWhenUsed/>
    <w:rsid w:val="006D239F"/>
  </w:style>
  <w:style w:type="numbering" w:customStyle="1" w:styleId="Sinlista7101">
    <w:name w:val="Sin lista7101"/>
    <w:next w:val="Sinlista"/>
    <w:semiHidden/>
    <w:unhideWhenUsed/>
    <w:rsid w:val="006D239F"/>
  </w:style>
  <w:style w:type="table" w:customStyle="1" w:styleId="Tablaconcuadrcula121010">
    <w:name w:val="Tabla con cuadrícula1210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01">
    <w:name w:val="Sin lista8101"/>
    <w:next w:val="Sinlista"/>
    <w:semiHidden/>
    <w:unhideWhenUsed/>
    <w:rsid w:val="006D239F"/>
  </w:style>
  <w:style w:type="numbering" w:customStyle="1" w:styleId="Sinlista9101">
    <w:name w:val="Sin lista9101"/>
    <w:next w:val="Sinlista"/>
    <w:semiHidden/>
    <w:rsid w:val="006D239F"/>
  </w:style>
  <w:style w:type="numbering" w:customStyle="1" w:styleId="Sinlista10101">
    <w:name w:val="Sin lista10101"/>
    <w:next w:val="Sinlista"/>
    <w:semiHidden/>
    <w:unhideWhenUsed/>
    <w:rsid w:val="006D239F"/>
  </w:style>
  <w:style w:type="numbering" w:customStyle="1" w:styleId="Sinlista13101">
    <w:name w:val="Sin lista13101"/>
    <w:next w:val="Sinlista"/>
    <w:semiHidden/>
    <w:rsid w:val="006D239F"/>
  </w:style>
  <w:style w:type="table" w:customStyle="1" w:styleId="Tablaconcuadrcula5214">
    <w:name w:val="Tabla con cuadrícula52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1">
    <w:name w:val="Tabla con cuadrícula1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01">
    <w:name w:val="Sin lista14101"/>
    <w:next w:val="Sinlista"/>
    <w:semiHidden/>
    <w:rsid w:val="006D239F"/>
  </w:style>
  <w:style w:type="numbering" w:customStyle="1" w:styleId="Sinlista1581">
    <w:name w:val="Sin lista1581"/>
    <w:next w:val="Sinlista"/>
    <w:semiHidden/>
    <w:rsid w:val="006D239F"/>
  </w:style>
  <w:style w:type="numbering" w:customStyle="1" w:styleId="Sinlista1614">
    <w:name w:val="Sin lista1614"/>
    <w:next w:val="Sinlista"/>
    <w:semiHidden/>
    <w:rsid w:val="006D239F"/>
  </w:style>
  <w:style w:type="table" w:customStyle="1" w:styleId="Tablaconcuadrcula19101">
    <w:name w:val="Tabla con cuadrícula19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4">
    <w:name w:val="Sin lista1714"/>
    <w:next w:val="Sinlista"/>
    <w:semiHidden/>
    <w:rsid w:val="006D239F"/>
  </w:style>
  <w:style w:type="numbering" w:customStyle="1" w:styleId="Sinlista1814">
    <w:name w:val="Sin lista1814"/>
    <w:next w:val="Sinlista"/>
    <w:semiHidden/>
    <w:rsid w:val="006D239F"/>
  </w:style>
  <w:style w:type="table" w:customStyle="1" w:styleId="Tablaconcuadrcula11021">
    <w:name w:val="Tabla con cuadrícula1102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5">
    <w:name w:val="1 / 1.1 / 1.1.115"/>
    <w:basedOn w:val="Sinlista"/>
    <w:next w:val="111111"/>
    <w:rsid w:val="006D239F"/>
  </w:style>
  <w:style w:type="numbering" w:customStyle="1" w:styleId="Sinlista1914">
    <w:name w:val="Sin lista1914"/>
    <w:next w:val="Sinlista"/>
    <w:semiHidden/>
    <w:unhideWhenUsed/>
    <w:rsid w:val="006D239F"/>
  </w:style>
  <w:style w:type="table" w:customStyle="1" w:styleId="Tablaconcuadrcula20714">
    <w:name w:val="Tabla con cuadrícula20714"/>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3">
    <w:name w:val="1 / 1.1 / 1.1.1113"/>
    <w:basedOn w:val="Sinlista"/>
    <w:next w:val="111111"/>
    <w:rsid w:val="006D239F"/>
  </w:style>
  <w:style w:type="table" w:customStyle="1" w:styleId="Tablaconcuadrcula25101">
    <w:name w:val="Tabla con cuadrícula25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1">
    <w:name w:val="Tabla con cuadrícula26101"/>
    <w:basedOn w:val="Tablanormal"/>
    <w:next w:val="Tablaconcuadrcula"/>
    <w:rsid w:val="006D239F"/>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014">
    <w:name w:val="Sin lista2014"/>
    <w:next w:val="Sinlista"/>
    <w:semiHidden/>
    <w:rsid w:val="006D239F"/>
  </w:style>
  <w:style w:type="table" w:customStyle="1" w:styleId="Tablaconcuadrcula27101">
    <w:name w:val="Tabla con cuadrícula2710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1">
    <w:name w:val="Tabla con cuadrícula160111"/>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4">
    <w:name w:val="Tabla con cuadrícula21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4">
    <w:name w:val="Tabla con cuadrícula22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4">
    <w:name w:val="Tabla con cuadrícula23114"/>
    <w:basedOn w:val="Tablanormal"/>
    <w:next w:val="Tablaconcuadrcula"/>
    <w:rsid w:val="006D239F"/>
    <w:pPr>
      <w:widowControl w:val="0"/>
      <w:adjustRightInd w:val="0"/>
      <w:spacing w:line="360" w:lineRule="atLeast"/>
      <w:jc w:val="both"/>
      <w:textAlignment w:val="baseline"/>
    </w:pPr>
    <w:rPr>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14">
    <w:name w:val="Sin lista11014"/>
    <w:next w:val="Sinlista"/>
    <w:semiHidden/>
    <w:unhideWhenUsed/>
    <w:rsid w:val="006D239F"/>
  </w:style>
  <w:style w:type="numbering" w:customStyle="1" w:styleId="Sinlista2114">
    <w:name w:val="Sin lista2114"/>
    <w:next w:val="Sinlista"/>
    <w:semiHidden/>
    <w:unhideWhenUsed/>
    <w:rsid w:val="006D239F"/>
  </w:style>
  <w:style w:type="table" w:customStyle="1" w:styleId="Tablabsica1111">
    <w:name w:val="Tabla básica 1111"/>
    <w:basedOn w:val="Tablanormal"/>
    <w:next w:val="Tablabsica1"/>
    <w:rsid w:val="006D239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11">
    <w:name w:val="Sin lista111111"/>
    <w:next w:val="Sinlista"/>
    <w:semiHidden/>
    <w:rsid w:val="006D239F"/>
  </w:style>
  <w:style w:type="table" w:customStyle="1" w:styleId="Tablaconcuadrcula11114">
    <w:name w:val="Tabla con cuadrícula1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1">
    <w:name w:val="Tabla con cuadrícula 11101"/>
    <w:basedOn w:val="Tablanormal"/>
    <w:next w:val="Tablaconcuadrcula10"/>
    <w:rsid w:val="006D239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1">
    <w:name w:val="Tabla con cuadrícula1902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1">
    <w:name w:val="Tabla con cuadrícula293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4">
    <w:name w:val="Tabla con cuadrícula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4">
    <w:name w:val="Sin lista3114"/>
    <w:next w:val="Sinlista"/>
    <w:semiHidden/>
    <w:unhideWhenUsed/>
    <w:rsid w:val="006D239F"/>
  </w:style>
  <w:style w:type="table" w:customStyle="1" w:styleId="Tablaconcuadrcula182111">
    <w:name w:val="Tabla con cuadrícula18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4">
    <w:name w:val="Tabla con cuadrícula51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4">
    <w:name w:val="Sin lista4114"/>
    <w:next w:val="Sinlista"/>
    <w:semiHidden/>
    <w:rsid w:val="006D239F"/>
  </w:style>
  <w:style w:type="numbering" w:customStyle="1" w:styleId="Sinlista5114">
    <w:name w:val="Sin lista5114"/>
    <w:next w:val="Sinlista"/>
    <w:semiHidden/>
    <w:unhideWhenUsed/>
    <w:rsid w:val="006D239F"/>
  </w:style>
  <w:style w:type="numbering" w:customStyle="1" w:styleId="Sinlista12114">
    <w:name w:val="Sin lista12114"/>
    <w:next w:val="Sinlista"/>
    <w:semiHidden/>
    <w:rsid w:val="006D239F"/>
  </w:style>
  <w:style w:type="numbering" w:customStyle="1" w:styleId="Sinlista6114">
    <w:name w:val="Sin lista6114"/>
    <w:next w:val="Sinlista"/>
    <w:semiHidden/>
    <w:unhideWhenUsed/>
    <w:rsid w:val="006D239F"/>
  </w:style>
  <w:style w:type="numbering" w:customStyle="1" w:styleId="Sinlista7114">
    <w:name w:val="Sin lista7114"/>
    <w:next w:val="Sinlista"/>
    <w:semiHidden/>
    <w:unhideWhenUsed/>
    <w:rsid w:val="006D239F"/>
  </w:style>
  <w:style w:type="table" w:customStyle="1" w:styleId="Tablaconcuadrcula12114">
    <w:name w:val="Tabla con cuadrícula12114"/>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114">
    <w:name w:val="Sin lista8114"/>
    <w:next w:val="Sinlista"/>
    <w:semiHidden/>
    <w:unhideWhenUsed/>
    <w:rsid w:val="006D239F"/>
  </w:style>
  <w:style w:type="numbering" w:customStyle="1" w:styleId="Sinlista9114">
    <w:name w:val="Sin lista9114"/>
    <w:next w:val="Sinlista"/>
    <w:semiHidden/>
    <w:rsid w:val="006D239F"/>
  </w:style>
  <w:style w:type="numbering" w:customStyle="1" w:styleId="Sinlista10114">
    <w:name w:val="Sin lista10114"/>
    <w:next w:val="Sinlista"/>
    <w:semiHidden/>
    <w:unhideWhenUsed/>
    <w:rsid w:val="006D239F"/>
  </w:style>
  <w:style w:type="numbering" w:customStyle="1" w:styleId="Sinlista13114">
    <w:name w:val="Sin lista13114"/>
    <w:next w:val="Sinlista"/>
    <w:semiHidden/>
    <w:rsid w:val="006D239F"/>
  </w:style>
  <w:style w:type="table" w:customStyle="1" w:styleId="Tablaconcuadrcula52111">
    <w:name w:val="Tabla con cuadrícula52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4">
    <w:name w:val="Tabla con cuadrícula1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4114">
    <w:name w:val="Sin lista14114"/>
    <w:next w:val="Sinlista"/>
    <w:semiHidden/>
    <w:rsid w:val="006D239F"/>
  </w:style>
  <w:style w:type="numbering" w:customStyle="1" w:styleId="Sinlista15114">
    <w:name w:val="Sin lista15114"/>
    <w:next w:val="Sinlista"/>
    <w:semiHidden/>
    <w:rsid w:val="006D239F"/>
  </w:style>
  <w:style w:type="numbering" w:customStyle="1" w:styleId="Sinlista16111">
    <w:name w:val="Sin lista16111"/>
    <w:next w:val="Sinlista"/>
    <w:semiHidden/>
    <w:rsid w:val="006D239F"/>
  </w:style>
  <w:style w:type="table" w:customStyle="1" w:styleId="Tablaconcuadrcula19114">
    <w:name w:val="Tabla con cuadrícula19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7111">
    <w:name w:val="Sin lista17111"/>
    <w:next w:val="Sinlista"/>
    <w:semiHidden/>
    <w:rsid w:val="006D239F"/>
  </w:style>
  <w:style w:type="numbering" w:customStyle="1" w:styleId="Sinlista18111">
    <w:name w:val="Sin lista18111"/>
    <w:next w:val="Sinlista"/>
    <w:semiHidden/>
    <w:rsid w:val="006D239F"/>
  </w:style>
  <w:style w:type="numbering" w:customStyle="1" w:styleId="11111124">
    <w:name w:val="1 / 1.1 / 1.1.124"/>
    <w:basedOn w:val="Sinlista"/>
    <w:next w:val="111111"/>
    <w:rsid w:val="006D239F"/>
    <w:pPr>
      <w:numPr>
        <w:numId w:val="13"/>
      </w:numPr>
    </w:pPr>
  </w:style>
  <w:style w:type="numbering" w:customStyle="1" w:styleId="Sinlista19111">
    <w:name w:val="Sin lista19111"/>
    <w:next w:val="Sinlista"/>
    <w:semiHidden/>
    <w:unhideWhenUsed/>
    <w:rsid w:val="006D239F"/>
  </w:style>
  <w:style w:type="table" w:customStyle="1" w:styleId="Tablaconcuadrcula207111">
    <w:name w:val="Tabla con cuadrícula207111"/>
    <w:basedOn w:val="Tablanormal"/>
    <w:next w:val="Tablaconcuadrcula"/>
    <w:rsid w:val="006D23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4">
    <w:name w:val="Tabla con cuadrícula25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4">
    <w:name w:val="Tabla con cuadrícula26114"/>
    <w:basedOn w:val="Tablanormal"/>
    <w:next w:val="Tablaconcuadrcula"/>
    <w:rsid w:val="006D239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4">
    <w:name w:val="Tabla con cuadrícula27114"/>
    <w:basedOn w:val="Tablanormal"/>
    <w:next w:val="Tablaconcuadrcula"/>
    <w:rsid w:val="006D239F"/>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111">
    <w:name w:val="Sin lista20111"/>
    <w:next w:val="Sinlista"/>
    <w:semiHidden/>
    <w:rsid w:val="006D239F"/>
  </w:style>
  <w:style w:type="numbering" w:customStyle="1" w:styleId="Sinlista21111">
    <w:name w:val="Sin lista21111"/>
    <w:next w:val="Sinlista"/>
    <w:semiHidden/>
    <w:rsid w:val="006D239F"/>
  </w:style>
  <w:style w:type="numbering" w:customStyle="1" w:styleId="Sinlista2211">
    <w:name w:val="Sin lista2211"/>
    <w:next w:val="Sinlista"/>
    <w:semiHidden/>
    <w:rsid w:val="006D239F"/>
  </w:style>
  <w:style w:type="numbering" w:customStyle="1" w:styleId="Sinlista2311">
    <w:name w:val="Sin lista2311"/>
    <w:next w:val="Sinlista"/>
    <w:semiHidden/>
    <w:rsid w:val="006D239F"/>
  </w:style>
  <w:style w:type="numbering" w:customStyle="1" w:styleId="Sinlista2411">
    <w:name w:val="Sin lista2411"/>
    <w:next w:val="Sinlista"/>
    <w:semiHidden/>
    <w:rsid w:val="006D239F"/>
  </w:style>
  <w:style w:type="numbering" w:customStyle="1" w:styleId="Sinlista2511">
    <w:name w:val="Sin lista2511"/>
    <w:next w:val="Sinlista"/>
    <w:semiHidden/>
    <w:rsid w:val="006D239F"/>
  </w:style>
  <w:style w:type="numbering" w:customStyle="1" w:styleId="Sinlista2611">
    <w:name w:val="Sin lista2611"/>
    <w:next w:val="Sinlista"/>
    <w:semiHidden/>
    <w:rsid w:val="006D239F"/>
  </w:style>
  <w:style w:type="numbering" w:customStyle="1" w:styleId="Sinlista2711">
    <w:name w:val="Sin lista2711"/>
    <w:next w:val="Sinlista"/>
    <w:semiHidden/>
    <w:rsid w:val="006D239F"/>
  </w:style>
  <w:style w:type="numbering" w:customStyle="1" w:styleId="Sinlista2811">
    <w:name w:val="Sin lista2811"/>
    <w:next w:val="Sinlista"/>
    <w:semiHidden/>
    <w:rsid w:val="006D239F"/>
  </w:style>
  <w:style w:type="numbering" w:customStyle="1" w:styleId="Sinlista2911">
    <w:name w:val="Sin lista2911"/>
    <w:next w:val="Sinlista"/>
    <w:semiHidden/>
    <w:rsid w:val="006D239F"/>
  </w:style>
  <w:style w:type="numbering" w:customStyle="1" w:styleId="Sinlista3011">
    <w:name w:val="Sin lista3011"/>
    <w:next w:val="Sinlista"/>
    <w:semiHidden/>
    <w:rsid w:val="006D239F"/>
  </w:style>
  <w:style w:type="numbering" w:customStyle="1" w:styleId="Sinlista31111">
    <w:name w:val="Sin lista31111"/>
    <w:next w:val="Sinlista"/>
    <w:semiHidden/>
    <w:rsid w:val="006D239F"/>
  </w:style>
  <w:style w:type="table" w:customStyle="1" w:styleId="Tablaconcuadrcula61111">
    <w:name w:val="Tabla con cuadrícula6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11">
    <w:name w:val="Sin lista3211"/>
    <w:next w:val="Sinlista"/>
    <w:semiHidden/>
    <w:rsid w:val="006D239F"/>
  </w:style>
  <w:style w:type="numbering" w:customStyle="1" w:styleId="Sinlista3311">
    <w:name w:val="Sin lista3311"/>
    <w:next w:val="Sinlista"/>
    <w:semiHidden/>
    <w:unhideWhenUsed/>
    <w:rsid w:val="006D239F"/>
  </w:style>
  <w:style w:type="numbering" w:customStyle="1" w:styleId="Sinlista3411">
    <w:name w:val="Sin lista3411"/>
    <w:next w:val="Sinlista"/>
    <w:semiHidden/>
    <w:rsid w:val="006D239F"/>
  </w:style>
  <w:style w:type="numbering" w:customStyle="1" w:styleId="Sinlista3511">
    <w:name w:val="Sin lista3511"/>
    <w:next w:val="Sinlista"/>
    <w:semiHidden/>
    <w:rsid w:val="006D239F"/>
  </w:style>
  <w:style w:type="numbering" w:customStyle="1" w:styleId="Sinlista3611">
    <w:name w:val="Sin lista3611"/>
    <w:next w:val="Sinlista"/>
    <w:semiHidden/>
    <w:rsid w:val="006D239F"/>
  </w:style>
  <w:style w:type="numbering" w:customStyle="1" w:styleId="Sinlista3711">
    <w:name w:val="Sin lista3711"/>
    <w:next w:val="Sinlista"/>
    <w:semiHidden/>
    <w:rsid w:val="006D239F"/>
  </w:style>
  <w:style w:type="numbering" w:customStyle="1" w:styleId="Sinlista3811">
    <w:name w:val="Sin lista3811"/>
    <w:next w:val="Sinlista"/>
    <w:semiHidden/>
    <w:rsid w:val="006D239F"/>
  </w:style>
  <w:style w:type="numbering" w:customStyle="1" w:styleId="Sinlista3911">
    <w:name w:val="Sin lista3911"/>
    <w:next w:val="Sinlista"/>
    <w:semiHidden/>
    <w:rsid w:val="006D239F"/>
  </w:style>
  <w:style w:type="numbering" w:customStyle="1" w:styleId="Sinlista4011">
    <w:name w:val="Sin lista4011"/>
    <w:next w:val="Sinlista"/>
    <w:semiHidden/>
    <w:rsid w:val="006D239F"/>
  </w:style>
  <w:style w:type="numbering" w:customStyle="1" w:styleId="Sinlista41111">
    <w:name w:val="Sin lista41111"/>
    <w:next w:val="Sinlista"/>
    <w:semiHidden/>
    <w:rsid w:val="006D239F"/>
  </w:style>
  <w:style w:type="numbering" w:customStyle="1" w:styleId="Sinlista4211">
    <w:name w:val="Sin lista4211"/>
    <w:next w:val="Sinlista"/>
    <w:semiHidden/>
    <w:rsid w:val="006D239F"/>
  </w:style>
  <w:style w:type="numbering" w:customStyle="1" w:styleId="Sinlista4311">
    <w:name w:val="Sin lista4311"/>
    <w:next w:val="Sinlista"/>
    <w:semiHidden/>
    <w:rsid w:val="006D239F"/>
  </w:style>
  <w:style w:type="numbering" w:customStyle="1" w:styleId="Sinlista4411">
    <w:name w:val="Sin lista4411"/>
    <w:next w:val="Sinlista"/>
    <w:semiHidden/>
    <w:rsid w:val="006D239F"/>
  </w:style>
  <w:style w:type="numbering" w:customStyle="1" w:styleId="Sinlista4511">
    <w:name w:val="Sin lista4511"/>
    <w:next w:val="Sinlista"/>
    <w:semiHidden/>
    <w:rsid w:val="006D239F"/>
  </w:style>
  <w:style w:type="numbering" w:customStyle="1" w:styleId="Sinlista4611">
    <w:name w:val="Sin lista4611"/>
    <w:next w:val="Sinlista"/>
    <w:semiHidden/>
    <w:rsid w:val="006D239F"/>
  </w:style>
  <w:style w:type="numbering" w:customStyle="1" w:styleId="Sinlista4711">
    <w:name w:val="Sin lista4711"/>
    <w:next w:val="Sinlista"/>
    <w:semiHidden/>
    <w:rsid w:val="006D239F"/>
  </w:style>
  <w:style w:type="numbering" w:customStyle="1" w:styleId="Sinlista4811">
    <w:name w:val="Sin lista4811"/>
    <w:next w:val="Sinlista"/>
    <w:semiHidden/>
    <w:rsid w:val="006D239F"/>
  </w:style>
  <w:style w:type="numbering" w:customStyle="1" w:styleId="Sinlista4911">
    <w:name w:val="Sin lista4911"/>
    <w:next w:val="Sinlista"/>
    <w:semiHidden/>
    <w:rsid w:val="006D239F"/>
  </w:style>
  <w:style w:type="numbering" w:customStyle="1" w:styleId="Sinlista5011">
    <w:name w:val="Sin lista5011"/>
    <w:next w:val="Sinlista"/>
    <w:semiHidden/>
    <w:rsid w:val="006D239F"/>
  </w:style>
  <w:style w:type="numbering" w:customStyle="1" w:styleId="Sinlista51111">
    <w:name w:val="Sin lista51111"/>
    <w:next w:val="Sinlista"/>
    <w:semiHidden/>
    <w:rsid w:val="006D239F"/>
  </w:style>
  <w:style w:type="numbering" w:customStyle="1" w:styleId="Sinlista5211">
    <w:name w:val="Sin lista5211"/>
    <w:next w:val="Sinlista"/>
    <w:semiHidden/>
    <w:rsid w:val="006D239F"/>
  </w:style>
  <w:style w:type="numbering" w:customStyle="1" w:styleId="Sinlista5311">
    <w:name w:val="Sin lista5311"/>
    <w:next w:val="Sinlista"/>
    <w:semiHidden/>
    <w:rsid w:val="006D239F"/>
  </w:style>
  <w:style w:type="numbering" w:customStyle="1" w:styleId="Sinlista5411">
    <w:name w:val="Sin lista5411"/>
    <w:next w:val="Sinlista"/>
    <w:semiHidden/>
    <w:rsid w:val="006D239F"/>
  </w:style>
  <w:style w:type="numbering" w:customStyle="1" w:styleId="Sinlista5511">
    <w:name w:val="Sin lista5511"/>
    <w:next w:val="Sinlista"/>
    <w:semiHidden/>
    <w:rsid w:val="006D239F"/>
  </w:style>
  <w:style w:type="numbering" w:customStyle="1" w:styleId="Sinlista5611">
    <w:name w:val="Sin lista5611"/>
    <w:next w:val="Sinlista"/>
    <w:semiHidden/>
    <w:rsid w:val="006D239F"/>
  </w:style>
  <w:style w:type="numbering" w:customStyle="1" w:styleId="Sinlista5711">
    <w:name w:val="Sin lista5711"/>
    <w:next w:val="Sinlista"/>
    <w:semiHidden/>
    <w:rsid w:val="006D239F"/>
  </w:style>
  <w:style w:type="numbering" w:customStyle="1" w:styleId="Sinlista5811">
    <w:name w:val="Sin lista5811"/>
    <w:next w:val="Sinlista"/>
    <w:semiHidden/>
    <w:rsid w:val="006D239F"/>
  </w:style>
  <w:style w:type="numbering" w:customStyle="1" w:styleId="Sinlista5911">
    <w:name w:val="Sin lista5911"/>
    <w:next w:val="Sinlista"/>
    <w:semiHidden/>
    <w:rsid w:val="006D239F"/>
  </w:style>
  <w:style w:type="table" w:customStyle="1" w:styleId="Tablaconcuadrcula111111">
    <w:name w:val="Tabla con cuadrícula1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011">
    <w:name w:val="Sin lista6011"/>
    <w:next w:val="Sinlista"/>
    <w:semiHidden/>
    <w:rsid w:val="006D239F"/>
  </w:style>
  <w:style w:type="numbering" w:customStyle="1" w:styleId="Sinlista61111">
    <w:name w:val="Sin lista61111"/>
    <w:next w:val="Sinlista"/>
    <w:semiHidden/>
    <w:rsid w:val="006D239F"/>
  </w:style>
  <w:style w:type="numbering" w:customStyle="1" w:styleId="Sinlista6211">
    <w:name w:val="Sin lista6211"/>
    <w:next w:val="Sinlista"/>
    <w:semiHidden/>
    <w:rsid w:val="006D239F"/>
  </w:style>
  <w:style w:type="numbering" w:customStyle="1" w:styleId="Sinlista6311">
    <w:name w:val="Sin lista6311"/>
    <w:next w:val="Sinlista"/>
    <w:semiHidden/>
    <w:rsid w:val="006D239F"/>
  </w:style>
  <w:style w:type="numbering" w:customStyle="1" w:styleId="Sinlista6411">
    <w:name w:val="Sin lista6411"/>
    <w:next w:val="Sinlista"/>
    <w:semiHidden/>
    <w:rsid w:val="006D239F"/>
  </w:style>
  <w:style w:type="numbering" w:customStyle="1" w:styleId="Sinlista6511">
    <w:name w:val="Sin lista6511"/>
    <w:next w:val="Sinlista"/>
    <w:semiHidden/>
    <w:rsid w:val="006D239F"/>
  </w:style>
  <w:style w:type="numbering" w:customStyle="1" w:styleId="Sinlista6611">
    <w:name w:val="Sin lista6611"/>
    <w:next w:val="Sinlista"/>
    <w:semiHidden/>
    <w:rsid w:val="006D239F"/>
  </w:style>
  <w:style w:type="numbering" w:customStyle="1" w:styleId="Sinlista6711">
    <w:name w:val="Sin lista6711"/>
    <w:next w:val="Sinlista"/>
    <w:semiHidden/>
    <w:rsid w:val="006D239F"/>
  </w:style>
  <w:style w:type="numbering" w:customStyle="1" w:styleId="Sinlista6811">
    <w:name w:val="Sin lista6811"/>
    <w:next w:val="Sinlista"/>
    <w:semiHidden/>
    <w:rsid w:val="006D239F"/>
  </w:style>
  <w:style w:type="table" w:customStyle="1" w:styleId="Tablaconcuadrcula121111">
    <w:name w:val="Tabla con cuadrícula12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911">
    <w:name w:val="Sin lista6911"/>
    <w:next w:val="Sinlista"/>
    <w:semiHidden/>
    <w:rsid w:val="006D239F"/>
  </w:style>
  <w:style w:type="numbering" w:customStyle="1" w:styleId="Sinlista7011">
    <w:name w:val="Sin lista7011"/>
    <w:next w:val="Sinlista"/>
    <w:semiHidden/>
    <w:rsid w:val="006D239F"/>
  </w:style>
  <w:style w:type="numbering" w:customStyle="1" w:styleId="Sinlista71111">
    <w:name w:val="Sin lista71111"/>
    <w:next w:val="Sinlista"/>
    <w:semiHidden/>
    <w:rsid w:val="006D239F"/>
  </w:style>
  <w:style w:type="numbering" w:customStyle="1" w:styleId="Sinlista7211">
    <w:name w:val="Sin lista7211"/>
    <w:next w:val="Sinlista"/>
    <w:semiHidden/>
    <w:rsid w:val="006D239F"/>
  </w:style>
  <w:style w:type="numbering" w:customStyle="1" w:styleId="Sinlista7311">
    <w:name w:val="Sin lista7311"/>
    <w:next w:val="Sinlista"/>
    <w:semiHidden/>
    <w:rsid w:val="006D239F"/>
  </w:style>
  <w:style w:type="numbering" w:customStyle="1" w:styleId="Sinlista7411">
    <w:name w:val="Sin lista7411"/>
    <w:next w:val="Sinlista"/>
    <w:semiHidden/>
    <w:rsid w:val="006D239F"/>
  </w:style>
  <w:style w:type="numbering" w:customStyle="1" w:styleId="Sinlista7511">
    <w:name w:val="Sin lista7511"/>
    <w:next w:val="Sinlista"/>
    <w:semiHidden/>
    <w:rsid w:val="006D239F"/>
  </w:style>
  <w:style w:type="numbering" w:customStyle="1" w:styleId="Sinlista7611">
    <w:name w:val="Sin lista7611"/>
    <w:next w:val="Sinlista"/>
    <w:semiHidden/>
    <w:rsid w:val="006D239F"/>
  </w:style>
  <w:style w:type="table" w:customStyle="1" w:styleId="Tablaconcuadrcula511111">
    <w:name w:val="Tabla con cuadrícula51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711">
    <w:name w:val="Sin lista7711"/>
    <w:next w:val="Sinlista"/>
    <w:semiHidden/>
    <w:rsid w:val="006D239F"/>
  </w:style>
  <w:style w:type="table" w:customStyle="1" w:styleId="Tablaconcuadrcula151111">
    <w:name w:val="Tabla con cuadrícula151111"/>
    <w:basedOn w:val="Tablanormal"/>
    <w:next w:val="Tablaconcuadrcula"/>
    <w:rsid w:val="006D239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811">
    <w:name w:val="Sin lista7811"/>
    <w:next w:val="Sinlista"/>
    <w:semiHidden/>
    <w:rsid w:val="006D239F"/>
  </w:style>
  <w:style w:type="numbering" w:customStyle="1" w:styleId="Sinlista7911">
    <w:name w:val="Sin lista7911"/>
    <w:next w:val="Sinlista"/>
    <w:semiHidden/>
    <w:rsid w:val="006D239F"/>
  </w:style>
  <w:style w:type="numbering" w:customStyle="1" w:styleId="Sinlista8011">
    <w:name w:val="Sin lista8011"/>
    <w:next w:val="Sinlista"/>
    <w:semiHidden/>
    <w:rsid w:val="006D239F"/>
  </w:style>
  <w:style w:type="numbering" w:customStyle="1" w:styleId="Sinlista81111">
    <w:name w:val="Sin lista81111"/>
    <w:next w:val="Sinlista"/>
    <w:semiHidden/>
    <w:rsid w:val="006D239F"/>
  </w:style>
  <w:style w:type="numbering" w:customStyle="1" w:styleId="Sinlista8211">
    <w:name w:val="Sin lista8211"/>
    <w:next w:val="Sinlista"/>
    <w:semiHidden/>
    <w:rsid w:val="006D239F"/>
  </w:style>
  <w:style w:type="numbering" w:customStyle="1" w:styleId="Sinlista8311">
    <w:name w:val="Sin lista8311"/>
    <w:next w:val="Sinlista"/>
    <w:semiHidden/>
    <w:rsid w:val="006D239F"/>
  </w:style>
  <w:style w:type="numbering" w:customStyle="1" w:styleId="Sinlista8411">
    <w:name w:val="Sin lista8411"/>
    <w:next w:val="Sinlista"/>
    <w:semiHidden/>
    <w:rsid w:val="006D239F"/>
  </w:style>
  <w:style w:type="numbering" w:customStyle="1" w:styleId="Sinlista8511">
    <w:name w:val="Sin lista8511"/>
    <w:next w:val="Sinlista"/>
    <w:semiHidden/>
    <w:rsid w:val="006D239F"/>
  </w:style>
  <w:style w:type="numbering" w:customStyle="1" w:styleId="Sinlista8611">
    <w:name w:val="Sin lista8611"/>
    <w:next w:val="Sinlista"/>
    <w:semiHidden/>
    <w:rsid w:val="006D239F"/>
  </w:style>
  <w:style w:type="numbering" w:customStyle="1" w:styleId="Sinlista8711">
    <w:name w:val="Sin lista8711"/>
    <w:next w:val="Sinlista"/>
    <w:semiHidden/>
    <w:rsid w:val="006D239F"/>
  </w:style>
  <w:style w:type="numbering" w:customStyle="1" w:styleId="Sinlista8811">
    <w:name w:val="Sin lista8811"/>
    <w:next w:val="Sinlista"/>
    <w:semiHidden/>
    <w:rsid w:val="006D239F"/>
  </w:style>
  <w:style w:type="numbering" w:customStyle="1" w:styleId="Sinlista8911">
    <w:name w:val="Sin lista8911"/>
    <w:next w:val="Sinlista"/>
    <w:semiHidden/>
    <w:rsid w:val="006D239F"/>
  </w:style>
  <w:style w:type="numbering" w:customStyle="1" w:styleId="Sinlista9011">
    <w:name w:val="Sin lista9011"/>
    <w:next w:val="Sinlista"/>
    <w:semiHidden/>
    <w:rsid w:val="006D239F"/>
  </w:style>
  <w:style w:type="numbering" w:customStyle="1" w:styleId="Sinlista91111">
    <w:name w:val="Sin lista91111"/>
    <w:next w:val="Sinlista"/>
    <w:semiHidden/>
    <w:rsid w:val="006D239F"/>
  </w:style>
  <w:style w:type="numbering" w:customStyle="1" w:styleId="Sinlista9211">
    <w:name w:val="Sin lista9211"/>
    <w:next w:val="Sinlista"/>
    <w:semiHidden/>
    <w:rsid w:val="006D239F"/>
  </w:style>
  <w:style w:type="numbering" w:customStyle="1" w:styleId="Sinlista9311">
    <w:name w:val="Sin lista9311"/>
    <w:next w:val="Sinlista"/>
    <w:semiHidden/>
    <w:rsid w:val="006D239F"/>
  </w:style>
  <w:style w:type="numbering" w:customStyle="1" w:styleId="Sinlista9411">
    <w:name w:val="Sin lista9411"/>
    <w:next w:val="Sinlista"/>
    <w:semiHidden/>
    <w:rsid w:val="006D239F"/>
  </w:style>
  <w:style w:type="numbering" w:customStyle="1" w:styleId="Sinlista9511">
    <w:name w:val="Sin lista9511"/>
    <w:next w:val="Sinlista"/>
    <w:semiHidden/>
    <w:rsid w:val="006D239F"/>
  </w:style>
  <w:style w:type="table" w:customStyle="1" w:styleId="Tablaconcuadrcula1099">
    <w:name w:val="Tabla con cuadrícula1099"/>
    <w:basedOn w:val="Tablanormal"/>
    <w:next w:val="Tablaconcuadrcula"/>
    <w:uiPriority w:val="59"/>
    <w:rsid w:val="0043163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78163">
      <w:bodyDiv w:val="1"/>
      <w:marLeft w:val="0"/>
      <w:marRight w:val="0"/>
      <w:marTop w:val="0"/>
      <w:marBottom w:val="0"/>
      <w:divBdr>
        <w:top w:val="none" w:sz="0" w:space="0" w:color="auto"/>
        <w:left w:val="none" w:sz="0" w:space="0" w:color="auto"/>
        <w:bottom w:val="none" w:sz="0" w:space="0" w:color="auto"/>
        <w:right w:val="none" w:sz="0" w:space="0" w:color="auto"/>
      </w:divBdr>
      <w:divsChild>
        <w:div w:id="973484287">
          <w:marLeft w:val="0"/>
          <w:marRight w:val="0"/>
          <w:marTop w:val="0"/>
          <w:marBottom w:val="0"/>
          <w:divBdr>
            <w:top w:val="none" w:sz="0" w:space="0" w:color="auto"/>
            <w:left w:val="none" w:sz="0" w:space="0" w:color="auto"/>
            <w:bottom w:val="none" w:sz="0" w:space="0" w:color="auto"/>
            <w:right w:val="none" w:sz="0" w:space="0" w:color="auto"/>
          </w:divBdr>
          <w:divsChild>
            <w:div w:id="41564519">
              <w:marLeft w:val="0"/>
              <w:marRight w:val="0"/>
              <w:marTop w:val="0"/>
              <w:marBottom w:val="0"/>
              <w:divBdr>
                <w:top w:val="none" w:sz="0" w:space="0" w:color="auto"/>
                <w:left w:val="none" w:sz="0" w:space="0" w:color="auto"/>
                <w:bottom w:val="none" w:sz="0" w:space="0" w:color="auto"/>
                <w:right w:val="none" w:sz="0" w:space="0" w:color="auto"/>
              </w:divBdr>
            </w:div>
            <w:div w:id="131093760">
              <w:marLeft w:val="0"/>
              <w:marRight w:val="0"/>
              <w:marTop w:val="0"/>
              <w:marBottom w:val="0"/>
              <w:divBdr>
                <w:top w:val="none" w:sz="0" w:space="0" w:color="auto"/>
                <w:left w:val="none" w:sz="0" w:space="0" w:color="auto"/>
                <w:bottom w:val="none" w:sz="0" w:space="0" w:color="auto"/>
                <w:right w:val="none" w:sz="0" w:space="0" w:color="auto"/>
              </w:divBdr>
            </w:div>
            <w:div w:id="189681957">
              <w:marLeft w:val="0"/>
              <w:marRight w:val="0"/>
              <w:marTop w:val="0"/>
              <w:marBottom w:val="0"/>
              <w:divBdr>
                <w:top w:val="none" w:sz="0" w:space="0" w:color="auto"/>
                <w:left w:val="none" w:sz="0" w:space="0" w:color="auto"/>
                <w:bottom w:val="none" w:sz="0" w:space="0" w:color="auto"/>
                <w:right w:val="none" w:sz="0" w:space="0" w:color="auto"/>
              </w:divBdr>
            </w:div>
            <w:div w:id="298731966">
              <w:marLeft w:val="0"/>
              <w:marRight w:val="0"/>
              <w:marTop w:val="0"/>
              <w:marBottom w:val="0"/>
              <w:divBdr>
                <w:top w:val="none" w:sz="0" w:space="0" w:color="auto"/>
                <w:left w:val="none" w:sz="0" w:space="0" w:color="auto"/>
                <w:bottom w:val="none" w:sz="0" w:space="0" w:color="auto"/>
                <w:right w:val="none" w:sz="0" w:space="0" w:color="auto"/>
              </w:divBdr>
            </w:div>
            <w:div w:id="342514959">
              <w:marLeft w:val="0"/>
              <w:marRight w:val="0"/>
              <w:marTop w:val="0"/>
              <w:marBottom w:val="0"/>
              <w:divBdr>
                <w:top w:val="none" w:sz="0" w:space="0" w:color="auto"/>
                <w:left w:val="none" w:sz="0" w:space="0" w:color="auto"/>
                <w:bottom w:val="none" w:sz="0" w:space="0" w:color="auto"/>
                <w:right w:val="none" w:sz="0" w:space="0" w:color="auto"/>
              </w:divBdr>
            </w:div>
            <w:div w:id="370375806">
              <w:marLeft w:val="0"/>
              <w:marRight w:val="0"/>
              <w:marTop w:val="0"/>
              <w:marBottom w:val="0"/>
              <w:divBdr>
                <w:top w:val="none" w:sz="0" w:space="0" w:color="auto"/>
                <w:left w:val="none" w:sz="0" w:space="0" w:color="auto"/>
                <w:bottom w:val="none" w:sz="0" w:space="0" w:color="auto"/>
                <w:right w:val="none" w:sz="0" w:space="0" w:color="auto"/>
              </w:divBdr>
            </w:div>
            <w:div w:id="487936823">
              <w:marLeft w:val="0"/>
              <w:marRight w:val="0"/>
              <w:marTop w:val="0"/>
              <w:marBottom w:val="0"/>
              <w:divBdr>
                <w:top w:val="none" w:sz="0" w:space="0" w:color="auto"/>
                <w:left w:val="none" w:sz="0" w:space="0" w:color="auto"/>
                <w:bottom w:val="none" w:sz="0" w:space="0" w:color="auto"/>
                <w:right w:val="none" w:sz="0" w:space="0" w:color="auto"/>
              </w:divBdr>
            </w:div>
            <w:div w:id="514156643">
              <w:marLeft w:val="0"/>
              <w:marRight w:val="0"/>
              <w:marTop w:val="0"/>
              <w:marBottom w:val="0"/>
              <w:divBdr>
                <w:top w:val="none" w:sz="0" w:space="0" w:color="auto"/>
                <w:left w:val="none" w:sz="0" w:space="0" w:color="auto"/>
                <w:bottom w:val="none" w:sz="0" w:space="0" w:color="auto"/>
                <w:right w:val="none" w:sz="0" w:space="0" w:color="auto"/>
              </w:divBdr>
            </w:div>
            <w:div w:id="554001139">
              <w:marLeft w:val="0"/>
              <w:marRight w:val="0"/>
              <w:marTop w:val="0"/>
              <w:marBottom w:val="0"/>
              <w:divBdr>
                <w:top w:val="none" w:sz="0" w:space="0" w:color="auto"/>
                <w:left w:val="none" w:sz="0" w:space="0" w:color="auto"/>
                <w:bottom w:val="none" w:sz="0" w:space="0" w:color="auto"/>
                <w:right w:val="none" w:sz="0" w:space="0" w:color="auto"/>
              </w:divBdr>
            </w:div>
            <w:div w:id="798961929">
              <w:marLeft w:val="0"/>
              <w:marRight w:val="0"/>
              <w:marTop w:val="0"/>
              <w:marBottom w:val="0"/>
              <w:divBdr>
                <w:top w:val="none" w:sz="0" w:space="0" w:color="auto"/>
                <w:left w:val="none" w:sz="0" w:space="0" w:color="auto"/>
                <w:bottom w:val="none" w:sz="0" w:space="0" w:color="auto"/>
                <w:right w:val="none" w:sz="0" w:space="0" w:color="auto"/>
              </w:divBdr>
            </w:div>
            <w:div w:id="808283219">
              <w:marLeft w:val="0"/>
              <w:marRight w:val="0"/>
              <w:marTop w:val="0"/>
              <w:marBottom w:val="0"/>
              <w:divBdr>
                <w:top w:val="none" w:sz="0" w:space="0" w:color="auto"/>
                <w:left w:val="none" w:sz="0" w:space="0" w:color="auto"/>
                <w:bottom w:val="none" w:sz="0" w:space="0" w:color="auto"/>
                <w:right w:val="none" w:sz="0" w:space="0" w:color="auto"/>
              </w:divBdr>
            </w:div>
            <w:div w:id="820193410">
              <w:marLeft w:val="0"/>
              <w:marRight w:val="0"/>
              <w:marTop w:val="0"/>
              <w:marBottom w:val="0"/>
              <w:divBdr>
                <w:top w:val="none" w:sz="0" w:space="0" w:color="auto"/>
                <w:left w:val="none" w:sz="0" w:space="0" w:color="auto"/>
                <w:bottom w:val="none" w:sz="0" w:space="0" w:color="auto"/>
                <w:right w:val="none" w:sz="0" w:space="0" w:color="auto"/>
              </w:divBdr>
            </w:div>
            <w:div w:id="1017120399">
              <w:marLeft w:val="0"/>
              <w:marRight w:val="0"/>
              <w:marTop w:val="0"/>
              <w:marBottom w:val="0"/>
              <w:divBdr>
                <w:top w:val="none" w:sz="0" w:space="0" w:color="auto"/>
                <w:left w:val="none" w:sz="0" w:space="0" w:color="auto"/>
                <w:bottom w:val="none" w:sz="0" w:space="0" w:color="auto"/>
                <w:right w:val="none" w:sz="0" w:space="0" w:color="auto"/>
              </w:divBdr>
            </w:div>
            <w:div w:id="1038161467">
              <w:marLeft w:val="0"/>
              <w:marRight w:val="0"/>
              <w:marTop w:val="0"/>
              <w:marBottom w:val="0"/>
              <w:divBdr>
                <w:top w:val="none" w:sz="0" w:space="0" w:color="auto"/>
                <w:left w:val="none" w:sz="0" w:space="0" w:color="auto"/>
                <w:bottom w:val="none" w:sz="0" w:space="0" w:color="auto"/>
                <w:right w:val="none" w:sz="0" w:space="0" w:color="auto"/>
              </w:divBdr>
            </w:div>
            <w:div w:id="1087383139">
              <w:marLeft w:val="0"/>
              <w:marRight w:val="0"/>
              <w:marTop w:val="0"/>
              <w:marBottom w:val="0"/>
              <w:divBdr>
                <w:top w:val="none" w:sz="0" w:space="0" w:color="auto"/>
                <w:left w:val="none" w:sz="0" w:space="0" w:color="auto"/>
                <w:bottom w:val="none" w:sz="0" w:space="0" w:color="auto"/>
                <w:right w:val="none" w:sz="0" w:space="0" w:color="auto"/>
              </w:divBdr>
            </w:div>
            <w:div w:id="1314750259">
              <w:marLeft w:val="0"/>
              <w:marRight w:val="0"/>
              <w:marTop w:val="0"/>
              <w:marBottom w:val="0"/>
              <w:divBdr>
                <w:top w:val="none" w:sz="0" w:space="0" w:color="auto"/>
                <w:left w:val="none" w:sz="0" w:space="0" w:color="auto"/>
                <w:bottom w:val="none" w:sz="0" w:space="0" w:color="auto"/>
                <w:right w:val="none" w:sz="0" w:space="0" w:color="auto"/>
              </w:divBdr>
            </w:div>
            <w:div w:id="1421440787">
              <w:marLeft w:val="0"/>
              <w:marRight w:val="0"/>
              <w:marTop w:val="0"/>
              <w:marBottom w:val="0"/>
              <w:divBdr>
                <w:top w:val="none" w:sz="0" w:space="0" w:color="auto"/>
                <w:left w:val="none" w:sz="0" w:space="0" w:color="auto"/>
                <w:bottom w:val="none" w:sz="0" w:space="0" w:color="auto"/>
                <w:right w:val="none" w:sz="0" w:space="0" w:color="auto"/>
              </w:divBdr>
            </w:div>
            <w:div w:id="1503005837">
              <w:marLeft w:val="0"/>
              <w:marRight w:val="0"/>
              <w:marTop w:val="0"/>
              <w:marBottom w:val="0"/>
              <w:divBdr>
                <w:top w:val="none" w:sz="0" w:space="0" w:color="auto"/>
                <w:left w:val="none" w:sz="0" w:space="0" w:color="auto"/>
                <w:bottom w:val="none" w:sz="0" w:space="0" w:color="auto"/>
                <w:right w:val="none" w:sz="0" w:space="0" w:color="auto"/>
              </w:divBdr>
            </w:div>
            <w:div w:id="1658924668">
              <w:marLeft w:val="0"/>
              <w:marRight w:val="0"/>
              <w:marTop w:val="0"/>
              <w:marBottom w:val="0"/>
              <w:divBdr>
                <w:top w:val="none" w:sz="0" w:space="0" w:color="auto"/>
                <w:left w:val="none" w:sz="0" w:space="0" w:color="auto"/>
                <w:bottom w:val="none" w:sz="0" w:space="0" w:color="auto"/>
                <w:right w:val="none" w:sz="0" w:space="0" w:color="auto"/>
              </w:divBdr>
            </w:div>
            <w:div w:id="1813209298">
              <w:marLeft w:val="0"/>
              <w:marRight w:val="0"/>
              <w:marTop w:val="0"/>
              <w:marBottom w:val="0"/>
              <w:divBdr>
                <w:top w:val="none" w:sz="0" w:space="0" w:color="auto"/>
                <w:left w:val="none" w:sz="0" w:space="0" w:color="auto"/>
                <w:bottom w:val="none" w:sz="0" w:space="0" w:color="auto"/>
                <w:right w:val="none" w:sz="0" w:space="0" w:color="auto"/>
              </w:divBdr>
            </w:div>
            <w:div w:id="1875077418">
              <w:marLeft w:val="0"/>
              <w:marRight w:val="0"/>
              <w:marTop w:val="0"/>
              <w:marBottom w:val="0"/>
              <w:divBdr>
                <w:top w:val="none" w:sz="0" w:space="0" w:color="auto"/>
                <w:left w:val="none" w:sz="0" w:space="0" w:color="auto"/>
                <w:bottom w:val="none" w:sz="0" w:space="0" w:color="auto"/>
                <w:right w:val="none" w:sz="0" w:space="0" w:color="auto"/>
              </w:divBdr>
            </w:div>
          </w:divsChild>
        </w:div>
        <w:div w:id="1248881601">
          <w:marLeft w:val="0"/>
          <w:marRight w:val="0"/>
          <w:marTop w:val="0"/>
          <w:marBottom w:val="0"/>
          <w:divBdr>
            <w:top w:val="none" w:sz="0" w:space="0" w:color="auto"/>
            <w:left w:val="none" w:sz="0" w:space="0" w:color="auto"/>
            <w:bottom w:val="none" w:sz="0" w:space="0" w:color="auto"/>
            <w:right w:val="none" w:sz="0" w:space="0" w:color="auto"/>
          </w:divBdr>
          <w:divsChild>
            <w:div w:id="2055887647">
              <w:marLeft w:val="0"/>
              <w:marRight w:val="0"/>
              <w:marTop w:val="0"/>
              <w:marBottom w:val="0"/>
              <w:divBdr>
                <w:top w:val="none" w:sz="0" w:space="0" w:color="auto"/>
                <w:left w:val="none" w:sz="0" w:space="0" w:color="auto"/>
                <w:bottom w:val="none" w:sz="0" w:space="0" w:color="auto"/>
                <w:right w:val="none" w:sz="0" w:space="0" w:color="auto"/>
              </w:divBdr>
              <w:divsChild>
                <w:div w:id="83939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0311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49586">
      <w:bodyDiv w:val="1"/>
      <w:marLeft w:val="0"/>
      <w:marRight w:val="0"/>
      <w:marTop w:val="0"/>
      <w:marBottom w:val="0"/>
      <w:divBdr>
        <w:top w:val="none" w:sz="0" w:space="0" w:color="auto"/>
        <w:left w:val="none" w:sz="0" w:space="0" w:color="auto"/>
        <w:bottom w:val="none" w:sz="0" w:space="0" w:color="auto"/>
        <w:right w:val="none" w:sz="0" w:space="0" w:color="auto"/>
      </w:divBdr>
    </w:div>
    <w:div w:id="16125322">
      <w:bodyDiv w:val="1"/>
      <w:marLeft w:val="0"/>
      <w:marRight w:val="0"/>
      <w:marTop w:val="0"/>
      <w:marBottom w:val="0"/>
      <w:divBdr>
        <w:top w:val="none" w:sz="0" w:space="0" w:color="auto"/>
        <w:left w:val="none" w:sz="0" w:space="0" w:color="auto"/>
        <w:bottom w:val="none" w:sz="0" w:space="0" w:color="auto"/>
        <w:right w:val="none" w:sz="0" w:space="0" w:color="auto"/>
      </w:divBdr>
    </w:div>
    <w:div w:id="26835422">
      <w:bodyDiv w:val="1"/>
      <w:marLeft w:val="0"/>
      <w:marRight w:val="0"/>
      <w:marTop w:val="0"/>
      <w:marBottom w:val="0"/>
      <w:divBdr>
        <w:top w:val="none" w:sz="0" w:space="0" w:color="auto"/>
        <w:left w:val="none" w:sz="0" w:space="0" w:color="auto"/>
        <w:bottom w:val="none" w:sz="0" w:space="0" w:color="auto"/>
        <w:right w:val="none" w:sz="0" w:space="0" w:color="auto"/>
      </w:divBdr>
    </w:div>
    <w:div w:id="37706207">
      <w:bodyDiv w:val="1"/>
      <w:marLeft w:val="0"/>
      <w:marRight w:val="0"/>
      <w:marTop w:val="0"/>
      <w:marBottom w:val="0"/>
      <w:divBdr>
        <w:top w:val="none" w:sz="0" w:space="0" w:color="auto"/>
        <w:left w:val="none" w:sz="0" w:space="0" w:color="auto"/>
        <w:bottom w:val="none" w:sz="0" w:space="0" w:color="auto"/>
        <w:right w:val="none" w:sz="0" w:space="0" w:color="auto"/>
      </w:divBdr>
    </w:div>
    <w:div w:id="39131455">
      <w:bodyDiv w:val="1"/>
      <w:marLeft w:val="0"/>
      <w:marRight w:val="0"/>
      <w:marTop w:val="0"/>
      <w:marBottom w:val="0"/>
      <w:divBdr>
        <w:top w:val="none" w:sz="0" w:space="0" w:color="auto"/>
        <w:left w:val="none" w:sz="0" w:space="0" w:color="auto"/>
        <w:bottom w:val="none" w:sz="0" w:space="0" w:color="auto"/>
        <w:right w:val="none" w:sz="0" w:space="0" w:color="auto"/>
      </w:divBdr>
    </w:div>
    <w:div w:id="70156022">
      <w:bodyDiv w:val="1"/>
      <w:marLeft w:val="0"/>
      <w:marRight w:val="0"/>
      <w:marTop w:val="0"/>
      <w:marBottom w:val="0"/>
      <w:divBdr>
        <w:top w:val="none" w:sz="0" w:space="0" w:color="auto"/>
        <w:left w:val="none" w:sz="0" w:space="0" w:color="auto"/>
        <w:bottom w:val="none" w:sz="0" w:space="0" w:color="auto"/>
        <w:right w:val="none" w:sz="0" w:space="0" w:color="auto"/>
      </w:divBdr>
    </w:div>
    <w:div w:id="71127360">
      <w:bodyDiv w:val="1"/>
      <w:marLeft w:val="0"/>
      <w:marRight w:val="0"/>
      <w:marTop w:val="0"/>
      <w:marBottom w:val="0"/>
      <w:divBdr>
        <w:top w:val="none" w:sz="0" w:space="0" w:color="auto"/>
        <w:left w:val="none" w:sz="0" w:space="0" w:color="auto"/>
        <w:bottom w:val="none" w:sz="0" w:space="0" w:color="auto"/>
        <w:right w:val="none" w:sz="0" w:space="0" w:color="auto"/>
      </w:divBdr>
    </w:div>
    <w:div w:id="75447338">
      <w:bodyDiv w:val="1"/>
      <w:marLeft w:val="0"/>
      <w:marRight w:val="0"/>
      <w:marTop w:val="0"/>
      <w:marBottom w:val="0"/>
      <w:divBdr>
        <w:top w:val="none" w:sz="0" w:space="0" w:color="auto"/>
        <w:left w:val="none" w:sz="0" w:space="0" w:color="auto"/>
        <w:bottom w:val="none" w:sz="0" w:space="0" w:color="auto"/>
        <w:right w:val="none" w:sz="0" w:space="0" w:color="auto"/>
      </w:divBdr>
    </w:div>
    <w:div w:id="78842056">
      <w:bodyDiv w:val="1"/>
      <w:marLeft w:val="0"/>
      <w:marRight w:val="0"/>
      <w:marTop w:val="0"/>
      <w:marBottom w:val="0"/>
      <w:divBdr>
        <w:top w:val="none" w:sz="0" w:space="0" w:color="auto"/>
        <w:left w:val="none" w:sz="0" w:space="0" w:color="auto"/>
        <w:bottom w:val="none" w:sz="0" w:space="0" w:color="auto"/>
        <w:right w:val="none" w:sz="0" w:space="0" w:color="auto"/>
      </w:divBdr>
    </w:div>
    <w:div w:id="88083276">
      <w:bodyDiv w:val="1"/>
      <w:marLeft w:val="0"/>
      <w:marRight w:val="0"/>
      <w:marTop w:val="0"/>
      <w:marBottom w:val="0"/>
      <w:divBdr>
        <w:top w:val="none" w:sz="0" w:space="0" w:color="auto"/>
        <w:left w:val="none" w:sz="0" w:space="0" w:color="auto"/>
        <w:bottom w:val="none" w:sz="0" w:space="0" w:color="auto"/>
        <w:right w:val="none" w:sz="0" w:space="0" w:color="auto"/>
      </w:divBdr>
    </w:div>
    <w:div w:id="116723441">
      <w:bodyDiv w:val="1"/>
      <w:marLeft w:val="0"/>
      <w:marRight w:val="0"/>
      <w:marTop w:val="0"/>
      <w:marBottom w:val="0"/>
      <w:divBdr>
        <w:top w:val="none" w:sz="0" w:space="0" w:color="auto"/>
        <w:left w:val="none" w:sz="0" w:space="0" w:color="auto"/>
        <w:bottom w:val="none" w:sz="0" w:space="0" w:color="auto"/>
        <w:right w:val="none" w:sz="0" w:space="0" w:color="auto"/>
      </w:divBdr>
    </w:div>
    <w:div w:id="132410450">
      <w:bodyDiv w:val="1"/>
      <w:marLeft w:val="0"/>
      <w:marRight w:val="0"/>
      <w:marTop w:val="0"/>
      <w:marBottom w:val="0"/>
      <w:divBdr>
        <w:top w:val="none" w:sz="0" w:space="0" w:color="auto"/>
        <w:left w:val="none" w:sz="0" w:space="0" w:color="auto"/>
        <w:bottom w:val="none" w:sz="0" w:space="0" w:color="auto"/>
        <w:right w:val="none" w:sz="0" w:space="0" w:color="auto"/>
      </w:divBdr>
      <w:divsChild>
        <w:div w:id="1051802174">
          <w:marLeft w:val="0"/>
          <w:marRight w:val="0"/>
          <w:marTop w:val="0"/>
          <w:marBottom w:val="0"/>
          <w:divBdr>
            <w:top w:val="none" w:sz="0" w:space="0" w:color="auto"/>
            <w:left w:val="none" w:sz="0" w:space="0" w:color="auto"/>
            <w:bottom w:val="none" w:sz="0" w:space="0" w:color="auto"/>
            <w:right w:val="none" w:sz="0" w:space="0" w:color="auto"/>
          </w:divBdr>
          <w:divsChild>
            <w:div w:id="43282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71766">
      <w:bodyDiv w:val="1"/>
      <w:marLeft w:val="0"/>
      <w:marRight w:val="0"/>
      <w:marTop w:val="0"/>
      <w:marBottom w:val="0"/>
      <w:divBdr>
        <w:top w:val="none" w:sz="0" w:space="0" w:color="auto"/>
        <w:left w:val="none" w:sz="0" w:space="0" w:color="auto"/>
        <w:bottom w:val="none" w:sz="0" w:space="0" w:color="auto"/>
        <w:right w:val="none" w:sz="0" w:space="0" w:color="auto"/>
      </w:divBdr>
    </w:div>
    <w:div w:id="135032699">
      <w:bodyDiv w:val="1"/>
      <w:marLeft w:val="0"/>
      <w:marRight w:val="0"/>
      <w:marTop w:val="0"/>
      <w:marBottom w:val="0"/>
      <w:divBdr>
        <w:top w:val="none" w:sz="0" w:space="0" w:color="auto"/>
        <w:left w:val="none" w:sz="0" w:space="0" w:color="auto"/>
        <w:bottom w:val="none" w:sz="0" w:space="0" w:color="auto"/>
        <w:right w:val="none" w:sz="0" w:space="0" w:color="auto"/>
      </w:divBdr>
    </w:div>
    <w:div w:id="186413181">
      <w:bodyDiv w:val="1"/>
      <w:marLeft w:val="0"/>
      <w:marRight w:val="0"/>
      <w:marTop w:val="0"/>
      <w:marBottom w:val="0"/>
      <w:divBdr>
        <w:top w:val="none" w:sz="0" w:space="0" w:color="auto"/>
        <w:left w:val="none" w:sz="0" w:space="0" w:color="auto"/>
        <w:bottom w:val="none" w:sz="0" w:space="0" w:color="auto"/>
        <w:right w:val="none" w:sz="0" w:space="0" w:color="auto"/>
      </w:divBdr>
    </w:div>
    <w:div w:id="208222800">
      <w:bodyDiv w:val="1"/>
      <w:marLeft w:val="0"/>
      <w:marRight w:val="0"/>
      <w:marTop w:val="0"/>
      <w:marBottom w:val="0"/>
      <w:divBdr>
        <w:top w:val="none" w:sz="0" w:space="0" w:color="auto"/>
        <w:left w:val="none" w:sz="0" w:space="0" w:color="auto"/>
        <w:bottom w:val="none" w:sz="0" w:space="0" w:color="auto"/>
        <w:right w:val="none" w:sz="0" w:space="0" w:color="auto"/>
      </w:divBdr>
    </w:div>
    <w:div w:id="210657560">
      <w:bodyDiv w:val="1"/>
      <w:marLeft w:val="0"/>
      <w:marRight w:val="0"/>
      <w:marTop w:val="0"/>
      <w:marBottom w:val="0"/>
      <w:divBdr>
        <w:top w:val="none" w:sz="0" w:space="0" w:color="auto"/>
        <w:left w:val="none" w:sz="0" w:space="0" w:color="auto"/>
        <w:bottom w:val="none" w:sz="0" w:space="0" w:color="auto"/>
        <w:right w:val="none" w:sz="0" w:space="0" w:color="auto"/>
      </w:divBdr>
    </w:div>
    <w:div w:id="243076595">
      <w:bodyDiv w:val="1"/>
      <w:marLeft w:val="0"/>
      <w:marRight w:val="0"/>
      <w:marTop w:val="0"/>
      <w:marBottom w:val="0"/>
      <w:divBdr>
        <w:top w:val="none" w:sz="0" w:space="0" w:color="auto"/>
        <w:left w:val="none" w:sz="0" w:space="0" w:color="auto"/>
        <w:bottom w:val="none" w:sz="0" w:space="0" w:color="auto"/>
        <w:right w:val="none" w:sz="0" w:space="0" w:color="auto"/>
      </w:divBdr>
    </w:div>
    <w:div w:id="257715608">
      <w:bodyDiv w:val="1"/>
      <w:marLeft w:val="0"/>
      <w:marRight w:val="0"/>
      <w:marTop w:val="0"/>
      <w:marBottom w:val="0"/>
      <w:divBdr>
        <w:top w:val="none" w:sz="0" w:space="0" w:color="auto"/>
        <w:left w:val="none" w:sz="0" w:space="0" w:color="auto"/>
        <w:bottom w:val="none" w:sz="0" w:space="0" w:color="auto"/>
        <w:right w:val="none" w:sz="0" w:space="0" w:color="auto"/>
      </w:divBdr>
    </w:div>
    <w:div w:id="261036803">
      <w:bodyDiv w:val="1"/>
      <w:marLeft w:val="0"/>
      <w:marRight w:val="0"/>
      <w:marTop w:val="0"/>
      <w:marBottom w:val="0"/>
      <w:divBdr>
        <w:top w:val="none" w:sz="0" w:space="0" w:color="auto"/>
        <w:left w:val="none" w:sz="0" w:space="0" w:color="auto"/>
        <w:bottom w:val="none" w:sz="0" w:space="0" w:color="auto"/>
        <w:right w:val="none" w:sz="0" w:space="0" w:color="auto"/>
      </w:divBdr>
    </w:div>
    <w:div w:id="265432974">
      <w:bodyDiv w:val="1"/>
      <w:marLeft w:val="0"/>
      <w:marRight w:val="0"/>
      <w:marTop w:val="0"/>
      <w:marBottom w:val="0"/>
      <w:divBdr>
        <w:top w:val="none" w:sz="0" w:space="0" w:color="auto"/>
        <w:left w:val="none" w:sz="0" w:space="0" w:color="auto"/>
        <w:bottom w:val="none" w:sz="0" w:space="0" w:color="auto"/>
        <w:right w:val="none" w:sz="0" w:space="0" w:color="auto"/>
      </w:divBdr>
    </w:div>
    <w:div w:id="289820912">
      <w:bodyDiv w:val="1"/>
      <w:marLeft w:val="0"/>
      <w:marRight w:val="0"/>
      <w:marTop w:val="0"/>
      <w:marBottom w:val="0"/>
      <w:divBdr>
        <w:top w:val="none" w:sz="0" w:space="0" w:color="auto"/>
        <w:left w:val="none" w:sz="0" w:space="0" w:color="auto"/>
        <w:bottom w:val="none" w:sz="0" w:space="0" w:color="auto"/>
        <w:right w:val="none" w:sz="0" w:space="0" w:color="auto"/>
      </w:divBdr>
    </w:div>
    <w:div w:id="297498540">
      <w:bodyDiv w:val="1"/>
      <w:marLeft w:val="0"/>
      <w:marRight w:val="0"/>
      <w:marTop w:val="0"/>
      <w:marBottom w:val="0"/>
      <w:divBdr>
        <w:top w:val="none" w:sz="0" w:space="0" w:color="auto"/>
        <w:left w:val="none" w:sz="0" w:space="0" w:color="auto"/>
        <w:bottom w:val="none" w:sz="0" w:space="0" w:color="auto"/>
        <w:right w:val="none" w:sz="0" w:space="0" w:color="auto"/>
      </w:divBdr>
    </w:div>
    <w:div w:id="310789198">
      <w:bodyDiv w:val="1"/>
      <w:marLeft w:val="0"/>
      <w:marRight w:val="0"/>
      <w:marTop w:val="0"/>
      <w:marBottom w:val="0"/>
      <w:divBdr>
        <w:top w:val="none" w:sz="0" w:space="0" w:color="auto"/>
        <w:left w:val="none" w:sz="0" w:space="0" w:color="auto"/>
        <w:bottom w:val="none" w:sz="0" w:space="0" w:color="auto"/>
        <w:right w:val="none" w:sz="0" w:space="0" w:color="auto"/>
      </w:divBdr>
      <w:divsChild>
        <w:div w:id="1543245625">
          <w:marLeft w:val="0"/>
          <w:marRight w:val="0"/>
          <w:marTop w:val="0"/>
          <w:marBottom w:val="0"/>
          <w:divBdr>
            <w:top w:val="none" w:sz="0" w:space="0" w:color="auto"/>
            <w:left w:val="none" w:sz="0" w:space="0" w:color="auto"/>
            <w:bottom w:val="none" w:sz="0" w:space="0" w:color="auto"/>
            <w:right w:val="none" w:sz="0" w:space="0" w:color="auto"/>
          </w:divBdr>
        </w:div>
      </w:divsChild>
    </w:div>
    <w:div w:id="314645297">
      <w:bodyDiv w:val="1"/>
      <w:marLeft w:val="0"/>
      <w:marRight w:val="0"/>
      <w:marTop w:val="0"/>
      <w:marBottom w:val="0"/>
      <w:divBdr>
        <w:top w:val="none" w:sz="0" w:space="0" w:color="auto"/>
        <w:left w:val="none" w:sz="0" w:space="0" w:color="auto"/>
        <w:bottom w:val="none" w:sz="0" w:space="0" w:color="auto"/>
        <w:right w:val="none" w:sz="0" w:space="0" w:color="auto"/>
      </w:divBdr>
    </w:div>
    <w:div w:id="323900449">
      <w:bodyDiv w:val="1"/>
      <w:marLeft w:val="0"/>
      <w:marRight w:val="0"/>
      <w:marTop w:val="0"/>
      <w:marBottom w:val="0"/>
      <w:divBdr>
        <w:top w:val="none" w:sz="0" w:space="0" w:color="auto"/>
        <w:left w:val="none" w:sz="0" w:space="0" w:color="auto"/>
        <w:bottom w:val="none" w:sz="0" w:space="0" w:color="auto"/>
        <w:right w:val="none" w:sz="0" w:space="0" w:color="auto"/>
      </w:divBdr>
    </w:div>
    <w:div w:id="325405431">
      <w:bodyDiv w:val="1"/>
      <w:marLeft w:val="0"/>
      <w:marRight w:val="0"/>
      <w:marTop w:val="0"/>
      <w:marBottom w:val="0"/>
      <w:divBdr>
        <w:top w:val="none" w:sz="0" w:space="0" w:color="auto"/>
        <w:left w:val="none" w:sz="0" w:space="0" w:color="auto"/>
        <w:bottom w:val="none" w:sz="0" w:space="0" w:color="auto"/>
        <w:right w:val="none" w:sz="0" w:space="0" w:color="auto"/>
      </w:divBdr>
    </w:div>
    <w:div w:id="345640035">
      <w:bodyDiv w:val="1"/>
      <w:marLeft w:val="0"/>
      <w:marRight w:val="0"/>
      <w:marTop w:val="0"/>
      <w:marBottom w:val="0"/>
      <w:divBdr>
        <w:top w:val="none" w:sz="0" w:space="0" w:color="auto"/>
        <w:left w:val="none" w:sz="0" w:space="0" w:color="auto"/>
        <w:bottom w:val="none" w:sz="0" w:space="0" w:color="auto"/>
        <w:right w:val="none" w:sz="0" w:space="0" w:color="auto"/>
      </w:divBdr>
    </w:div>
    <w:div w:id="350227336">
      <w:bodyDiv w:val="1"/>
      <w:marLeft w:val="0"/>
      <w:marRight w:val="0"/>
      <w:marTop w:val="0"/>
      <w:marBottom w:val="0"/>
      <w:divBdr>
        <w:top w:val="none" w:sz="0" w:space="0" w:color="auto"/>
        <w:left w:val="none" w:sz="0" w:space="0" w:color="auto"/>
        <w:bottom w:val="none" w:sz="0" w:space="0" w:color="auto"/>
        <w:right w:val="none" w:sz="0" w:space="0" w:color="auto"/>
      </w:divBdr>
    </w:div>
    <w:div w:id="358042697">
      <w:bodyDiv w:val="1"/>
      <w:marLeft w:val="0"/>
      <w:marRight w:val="0"/>
      <w:marTop w:val="0"/>
      <w:marBottom w:val="0"/>
      <w:divBdr>
        <w:top w:val="none" w:sz="0" w:space="0" w:color="auto"/>
        <w:left w:val="none" w:sz="0" w:space="0" w:color="auto"/>
        <w:bottom w:val="none" w:sz="0" w:space="0" w:color="auto"/>
        <w:right w:val="none" w:sz="0" w:space="0" w:color="auto"/>
      </w:divBdr>
      <w:divsChild>
        <w:div w:id="300765877">
          <w:marLeft w:val="0"/>
          <w:marRight w:val="0"/>
          <w:marTop w:val="0"/>
          <w:marBottom w:val="0"/>
          <w:divBdr>
            <w:top w:val="none" w:sz="0" w:space="0" w:color="auto"/>
            <w:left w:val="none" w:sz="0" w:space="0" w:color="auto"/>
            <w:bottom w:val="none" w:sz="0" w:space="0" w:color="auto"/>
            <w:right w:val="none" w:sz="0" w:space="0" w:color="auto"/>
          </w:divBdr>
        </w:div>
      </w:divsChild>
    </w:div>
    <w:div w:id="362436686">
      <w:bodyDiv w:val="1"/>
      <w:marLeft w:val="0"/>
      <w:marRight w:val="0"/>
      <w:marTop w:val="0"/>
      <w:marBottom w:val="0"/>
      <w:divBdr>
        <w:top w:val="none" w:sz="0" w:space="0" w:color="auto"/>
        <w:left w:val="none" w:sz="0" w:space="0" w:color="auto"/>
        <w:bottom w:val="none" w:sz="0" w:space="0" w:color="auto"/>
        <w:right w:val="none" w:sz="0" w:space="0" w:color="auto"/>
      </w:divBdr>
      <w:divsChild>
        <w:div w:id="390469047">
          <w:marLeft w:val="0"/>
          <w:marRight w:val="0"/>
          <w:marTop w:val="0"/>
          <w:marBottom w:val="0"/>
          <w:divBdr>
            <w:top w:val="none" w:sz="0" w:space="0" w:color="auto"/>
            <w:left w:val="none" w:sz="0" w:space="0" w:color="auto"/>
            <w:bottom w:val="none" w:sz="0" w:space="0" w:color="auto"/>
            <w:right w:val="none" w:sz="0" w:space="0" w:color="auto"/>
          </w:divBdr>
          <w:divsChild>
            <w:div w:id="2138135152">
              <w:marLeft w:val="0"/>
              <w:marRight w:val="0"/>
              <w:marTop w:val="0"/>
              <w:marBottom w:val="0"/>
              <w:divBdr>
                <w:top w:val="none" w:sz="0" w:space="0" w:color="auto"/>
                <w:left w:val="none" w:sz="0" w:space="0" w:color="auto"/>
                <w:bottom w:val="none" w:sz="0" w:space="0" w:color="auto"/>
                <w:right w:val="none" w:sz="0" w:space="0" w:color="auto"/>
              </w:divBdr>
              <w:divsChild>
                <w:div w:id="364985148">
                  <w:marLeft w:val="0"/>
                  <w:marRight w:val="0"/>
                  <w:marTop w:val="0"/>
                  <w:marBottom w:val="0"/>
                  <w:divBdr>
                    <w:top w:val="none" w:sz="0" w:space="0" w:color="auto"/>
                    <w:left w:val="none" w:sz="0" w:space="0" w:color="auto"/>
                    <w:bottom w:val="none" w:sz="0" w:space="0" w:color="auto"/>
                    <w:right w:val="none" w:sz="0" w:space="0" w:color="auto"/>
                  </w:divBdr>
                  <w:divsChild>
                    <w:div w:id="36171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8530966">
      <w:bodyDiv w:val="1"/>
      <w:marLeft w:val="0"/>
      <w:marRight w:val="0"/>
      <w:marTop w:val="0"/>
      <w:marBottom w:val="0"/>
      <w:divBdr>
        <w:top w:val="none" w:sz="0" w:space="0" w:color="auto"/>
        <w:left w:val="none" w:sz="0" w:space="0" w:color="auto"/>
        <w:bottom w:val="none" w:sz="0" w:space="0" w:color="auto"/>
        <w:right w:val="none" w:sz="0" w:space="0" w:color="auto"/>
      </w:divBdr>
    </w:div>
    <w:div w:id="385643864">
      <w:bodyDiv w:val="1"/>
      <w:marLeft w:val="0"/>
      <w:marRight w:val="0"/>
      <w:marTop w:val="0"/>
      <w:marBottom w:val="0"/>
      <w:divBdr>
        <w:top w:val="none" w:sz="0" w:space="0" w:color="auto"/>
        <w:left w:val="none" w:sz="0" w:space="0" w:color="auto"/>
        <w:bottom w:val="none" w:sz="0" w:space="0" w:color="auto"/>
        <w:right w:val="none" w:sz="0" w:space="0" w:color="auto"/>
      </w:divBdr>
    </w:div>
    <w:div w:id="400954339">
      <w:bodyDiv w:val="1"/>
      <w:marLeft w:val="0"/>
      <w:marRight w:val="0"/>
      <w:marTop w:val="0"/>
      <w:marBottom w:val="0"/>
      <w:divBdr>
        <w:top w:val="none" w:sz="0" w:space="0" w:color="auto"/>
        <w:left w:val="none" w:sz="0" w:space="0" w:color="auto"/>
        <w:bottom w:val="none" w:sz="0" w:space="0" w:color="auto"/>
        <w:right w:val="none" w:sz="0" w:space="0" w:color="auto"/>
      </w:divBdr>
    </w:div>
    <w:div w:id="402335387">
      <w:bodyDiv w:val="1"/>
      <w:marLeft w:val="0"/>
      <w:marRight w:val="0"/>
      <w:marTop w:val="0"/>
      <w:marBottom w:val="0"/>
      <w:divBdr>
        <w:top w:val="none" w:sz="0" w:space="0" w:color="auto"/>
        <w:left w:val="none" w:sz="0" w:space="0" w:color="auto"/>
        <w:bottom w:val="none" w:sz="0" w:space="0" w:color="auto"/>
        <w:right w:val="none" w:sz="0" w:space="0" w:color="auto"/>
      </w:divBdr>
    </w:div>
    <w:div w:id="406652472">
      <w:bodyDiv w:val="1"/>
      <w:marLeft w:val="0"/>
      <w:marRight w:val="0"/>
      <w:marTop w:val="0"/>
      <w:marBottom w:val="0"/>
      <w:divBdr>
        <w:top w:val="none" w:sz="0" w:space="0" w:color="auto"/>
        <w:left w:val="none" w:sz="0" w:space="0" w:color="auto"/>
        <w:bottom w:val="none" w:sz="0" w:space="0" w:color="auto"/>
        <w:right w:val="none" w:sz="0" w:space="0" w:color="auto"/>
      </w:divBdr>
      <w:divsChild>
        <w:div w:id="1382560635">
          <w:marLeft w:val="0"/>
          <w:marRight w:val="0"/>
          <w:marTop w:val="100"/>
          <w:marBottom w:val="100"/>
          <w:divBdr>
            <w:top w:val="none" w:sz="0" w:space="0" w:color="auto"/>
            <w:left w:val="none" w:sz="0" w:space="0" w:color="auto"/>
            <w:bottom w:val="none" w:sz="0" w:space="0" w:color="auto"/>
            <w:right w:val="none" w:sz="0" w:space="0" w:color="auto"/>
          </w:divBdr>
          <w:divsChild>
            <w:div w:id="651064547">
              <w:marLeft w:val="0"/>
              <w:marRight w:val="0"/>
              <w:marTop w:val="100"/>
              <w:marBottom w:val="100"/>
              <w:divBdr>
                <w:top w:val="none" w:sz="0" w:space="0" w:color="auto"/>
                <w:left w:val="none" w:sz="0" w:space="0" w:color="auto"/>
                <w:bottom w:val="none" w:sz="0" w:space="0" w:color="auto"/>
                <w:right w:val="none" w:sz="0" w:space="0" w:color="auto"/>
              </w:divBdr>
              <w:divsChild>
                <w:div w:id="342904471">
                  <w:marLeft w:val="0"/>
                  <w:marRight w:val="0"/>
                  <w:marTop w:val="0"/>
                  <w:marBottom w:val="0"/>
                  <w:divBdr>
                    <w:top w:val="none" w:sz="0" w:space="0" w:color="auto"/>
                    <w:left w:val="none" w:sz="0" w:space="0" w:color="auto"/>
                    <w:bottom w:val="none" w:sz="0" w:space="0" w:color="auto"/>
                    <w:right w:val="none" w:sz="0" w:space="0" w:color="auto"/>
                  </w:divBdr>
                  <w:divsChild>
                    <w:div w:id="291903216">
                      <w:marLeft w:val="0"/>
                      <w:marRight w:val="0"/>
                      <w:marTop w:val="0"/>
                      <w:marBottom w:val="0"/>
                      <w:divBdr>
                        <w:top w:val="none" w:sz="0" w:space="0" w:color="auto"/>
                        <w:left w:val="none" w:sz="0" w:space="0" w:color="auto"/>
                        <w:bottom w:val="none" w:sz="0" w:space="0" w:color="auto"/>
                        <w:right w:val="none" w:sz="0" w:space="0" w:color="auto"/>
                      </w:divBdr>
                      <w:divsChild>
                        <w:div w:id="2020504654">
                          <w:marLeft w:val="0"/>
                          <w:marRight w:val="0"/>
                          <w:marTop w:val="0"/>
                          <w:marBottom w:val="0"/>
                          <w:divBdr>
                            <w:top w:val="none" w:sz="0" w:space="0" w:color="auto"/>
                            <w:left w:val="none" w:sz="0" w:space="0" w:color="auto"/>
                            <w:bottom w:val="none" w:sz="0" w:space="0" w:color="auto"/>
                            <w:right w:val="none" w:sz="0" w:space="0" w:color="auto"/>
                          </w:divBdr>
                          <w:divsChild>
                            <w:div w:id="814100526">
                              <w:marLeft w:val="69"/>
                              <w:marRight w:val="69"/>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9758501">
      <w:bodyDiv w:val="1"/>
      <w:marLeft w:val="0"/>
      <w:marRight w:val="0"/>
      <w:marTop w:val="0"/>
      <w:marBottom w:val="0"/>
      <w:divBdr>
        <w:top w:val="none" w:sz="0" w:space="0" w:color="auto"/>
        <w:left w:val="none" w:sz="0" w:space="0" w:color="auto"/>
        <w:bottom w:val="none" w:sz="0" w:space="0" w:color="auto"/>
        <w:right w:val="none" w:sz="0" w:space="0" w:color="auto"/>
      </w:divBdr>
    </w:div>
    <w:div w:id="462430730">
      <w:bodyDiv w:val="1"/>
      <w:marLeft w:val="0"/>
      <w:marRight w:val="0"/>
      <w:marTop w:val="0"/>
      <w:marBottom w:val="0"/>
      <w:divBdr>
        <w:top w:val="none" w:sz="0" w:space="0" w:color="auto"/>
        <w:left w:val="none" w:sz="0" w:space="0" w:color="auto"/>
        <w:bottom w:val="none" w:sz="0" w:space="0" w:color="auto"/>
        <w:right w:val="none" w:sz="0" w:space="0" w:color="auto"/>
      </w:divBdr>
    </w:div>
    <w:div w:id="473060068">
      <w:bodyDiv w:val="1"/>
      <w:marLeft w:val="0"/>
      <w:marRight w:val="0"/>
      <w:marTop w:val="0"/>
      <w:marBottom w:val="0"/>
      <w:divBdr>
        <w:top w:val="none" w:sz="0" w:space="0" w:color="auto"/>
        <w:left w:val="none" w:sz="0" w:space="0" w:color="auto"/>
        <w:bottom w:val="none" w:sz="0" w:space="0" w:color="auto"/>
        <w:right w:val="none" w:sz="0" w:space="0" w:color="auto"/>
      </w:divBdr>
      <w:divsChild>
        <w:div w:id="252862431">
          <w:marLeft w:val="0"/>
          <w:marRight w:val="0"/>
          <w:marTop w:val="0"/>
          <w:marBottom w:val="0"/>
          <w:divBdr>
            <w:top w:val="none" w:sz="0" w:space="0" w:color="auto"/>
            <w:left w:val="none" w:sz="0" w:space="0" w:color="auto"/>
            <w:bottom w:val="none" w:sz="0" w:space="0" w:color="auto"/>
            <w:right w:val="none" w:sz="0" w:space="0" w:color="auto"/>
          </w:divBdr>
          <w:divsChild>
            <w:div w:id="1922174117">
              <w:marLeft w:val="0"/>
              <w:marRight w:val="0"/>
              <w:marTop w:val="0"/>
              <w:marBottom w:val="0"/>
              <w:divBdr>
                <w:top w:val="none" w:sz="0" w:space="0" w:color="auto"/>
                <w:left w:val="none" w:sz="0" w:space="0" w:color="auto"/>
                <w:bottom w:val="none" w:sz="0" w:space="0" w:color="auto"/>
                <w:right w:val="none" w:sz="0" w:space="0" w:color="auto"/>
              </w:divBdr>
              <w:divsChild>
                <w:div w:id="206576268">
                  <w:marLeft w:val="0"/>
                  <w:marRight w:val="0"/>
                  <w:marTop w:val="0"/>
                  <w:marBottom w:val="0"/>
                  <w:divBdr>
                    <w:top w:val="none" w:sz="0" w:space="0" w:color="auto"/>
                    <w:left w:val="none" w:sz="0" w:space="0" w:color="auto"/>
                    <w:bottom w:val="none" w:sz="0" w:space="0" w:color="auto"/>
                    <w:right w:val="none" w:sz="0" w:space="0" w:color="auto"/>
                  </w:divBdr>
                  <w:divsChild>
                    <w:div w:id="332489909">
                      <w:marLeft w:val="0"/>
                      <w:marRight w:val="0"/>
                      <w:marTop w:val="0"/>
                      <w:marBottom w:val="0"/>
                      <w:divBdr>
                        <w:top w:val="none" w:sz="0" w:space="0" w:color="auto"/>
                        <w:left w:val="none" w:sz="0" w:space="0" w:color="auto"/>
                        <w:bottom w:val="none" w:sz="0" w:space="0" w:color="auto"/>
                        <w:right w:val="none" w:sz="0" w:space="0" w:color="auto"/>
                      </w:divBdr>
                      <w:divsChild>
                        <w:div w:id="1368719928">
                          <w:marLeft w:val="0"/>
                          <w:marRight w:val="0"/>
                          <w:marTop w:val="0"/>
                          <w:marBottom w:val="0"/>
                          <w:divBdr>
                            <w:top w:val="none" w:sz="0" w:space="0" w:color="auto"/>
                            <w:left w:val="none" w:sz="0" w:space="0" w:color="auto"/>
                            <w:bottom w:val="none" w:sz="0" w:space="0" w:color="auto"/>
                            <w:right w:val="none" w:sz="0" w:space="0" w:color="auto"/>
                          </w:divBdr>
                          <w:divsChild>
                            <w:div w:id="768429050">
                              <w:marLeft w:val="0"/>
                              <w:marRight w:val="0"/>
                              <w:marTop w:val="0"/>
                              <w:marBottom w:val="0"/>
                              <w:divBdr>
                                <w:top w:val="none" w:sz="0" w:space="0" w:color="auto"/>
                                <w:left w:val="none" w:sz="0" w:space="0" w:color="auto"/>
                                <w:bottom w:val="none" w:sz="0" w:space="0" w:color="auto"/>
                                <w:right w:val="none" w:sz="0" w:space="0" w:color="auto"/>
                              </w:divBdr>
                              <w:divsChild>
                                <w:div w:id="1797210848">
                                  <w:marLeft w:val="0"/>
                                  <w:marRight w:val="0"/>
                                  <w:marTop w:val="240"/>
                                  <w:marBottom w:val="240"/>
                                  <w:divBdr>
                                    <w:top w:val="none" w:sz="0" w:space="0" w:color="auto"/>
                                    <w:left w:val="none" w:sz="0" w:space="0" w:color="auto"/>
                                    <w:bottom w:val="none" w:sz="0" w:space="0" w:color="auto"/>
                                    <w:right w:val="none" w:sz="0" w:space="0" w:color="auto"/>
                                  </w:divBdr>
                                  <w:divsChild>
                                    <w:div w:id="260139982">
                                      <w:marLeft w:val="0"/>
                                      <w:marRight w:val="0"/>
                                      <w:marTop w:val="0"/>
                                      <w:marBottom w:val="0"/>
                                      <w:divBdr>
                                        <w:top w:val="none" w:sz="0" w:space="0" w:color="auto"/>
                                        <w:left w:val="none" w:sz="0" w:space="0" w:color="auto"/>
                                        <w:bottom w:val="none" w:sz="0" w:space="0" w:color="auto"/>
                                        <w:right w:val="none" w:sz="0" w:space="0" w:color="auto"/>
                                      </w:divBdr>
                                      <w:divsChild>
                                        <w:div w:id="211166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8690005">
      <w:bodyDiv w:val="1"/>
      <w:marLeft w:val="0"/>
      <w:marRight w:val="0"/>
      <w:marTop w:val="0"/>
      <w:marBottom w:val="0"/>
      <w:divBdr>
        <w:top w:val="none" w:sz="0" w:space="0" w:color="auto"/>
        <w:left w:val="none" w:sz="0" w:space="0" w:color="auto"/>
        <w:bottom w:val="none" w:sz="0" w:space="0" w:color="auto"/>
        <w:right w:val="none" w:sz="0" w:space="0" w:color="auto"/>
      </w:divBdr>
      <w:divsChild>
        <w:div w:id="607195925">
          <w:marLeft w:val="0"/>
          <w:marRight w:val="0"/>
          <w:marTop w:val="0"/>
          <w:marBottom w:val="0"/>
          <w:divBdr>
            <w:top w:val="none" w:sz="0" w:space="0" w:color="auto"/>
            <w:left w:val="none" w:sz="0" w:space="0" w:color="auto"/>
            <w:bottom w:val="none" w:sz="0" w:space="0" w:color="auto"/>
            <w:right w:val="none" w:sz="0" w:space="0" w:color="auto"/>
          </w:divBdr>
          <w:divsChild>
            <w:div w:id="857813934">
              <w:marLeft w:val="0"/>
              <w:marRight w:val="0"/>
              <w:marTop w:val="0"/>
              <w:marBottom w:val="0"/>
              <w:divBdr>
                <w:top w:val="none" w:sz="0" w:space="0" w:color="auto"/>
                <w:left w:val="none" w:sz="0" w:space="0" w:color="auto"/>
                <w:bottom w:val="none" w:sz="0" w:space="0" w:color="auto"/>
                <w:right w:val="none" w:sz="0" w:space="0" w:color="auto"/>
              </w:divBdr>
              <w:divsChild>
                <w:div w:id="1089499515">
                  <w:marLeft w:val="0"/>
                  <w:marRight w:val="0"/>
                  <w:marTop w:val="0"/>
                  <w:marBottom w:val="0"/>
                  <w:divBdr>
                    <w:top w:val="none" w:sz="0" w:space="0" w:color="auto"/>
                    <w:left w:val="none" w:sz="0" w:space="0" w:color="auto"/>
                    <w:bottom w:val="none" w:sz="0" w:space="0" w:color="auto"/>
                    <w:right w:val="none" w:sz="0" w:space="0" w:color="auto"/>
                  </w:divBdr>
                  <w:divsChild>
                    <w:div w:id="1096054894">
                      <w:marLeft w:val="0"/>
                      <w:marRight w:val="0"/>
                      <w:marTop w:val="0"/>
                      <w:marBottom w:val="0"/>
                      <w:divBdr>
                        <w:top w:val="none" w:sz="0" w:space="0" w:color="auto"/>
                        <w:left w:val="none" w:sz="0" w:space="0" w:color="auto"/>
                        <w:bottom w:val="none" w:sz="0" w:space="0" w:color="auto"/>
                        <w:right w:val="none" w:sz="0" w:space="0" w:color="auto"/>
                      </w:divBdr>
                      <w:divsChild>
                        <w:div w:id="1581526888">
                          <w:marLeft w:val="0"/>
                          <w:marRight w:val="0"/>
                          <w:marTop w:val="0"/>
                          <w:marBottom w:val="0"/>
                          <w:divBdr>
                            <w:top w:val="none" w:sz="0" w:space="0" w:color="auto"/>
                            <w:left w:val="none" w:sz="0" w:space="0" w:color="auto"/>
                            <w:bottom w:val="none" w:sz="0" w:space="0" w:color="auto"/>
                            <w:right w:val="none" w:sz="0" w:space="0" w:color="auto"/>
                          </w:divBdr>
                          <w:divsChild>
                            <w:div w:id="430979382">
                              <w:marLeft w:val="0"/>
                              <w:marRight w:val="0"/>
                              <w:marTop w:val="0"/>
                              <w:marBottom w:val="0"/>
                              <w:divBdr>
                                <w:top w:val="none" w:sz="0" w:space="0" w:color="auto"/>
                                <w:left w:val="none" w:sz="0" w:space="0" w:color="auto"/>
                                <w:bottom w:val="none" w:sz="0" w:space="0" w:color="auto"/>
                                <w:right w:val="none" w:sz="0" w:space="0" w:color="auto"/>
                              </w:divBdr>
                              <w:divsChild>
                                <w:div w:id="99840856">
                                  <w:marLeft w:val="0"/>
                                  <w:marRight w:val="0"/>
                                  <w:marTop w:val="240"/>
                                  <w:marBottom w:val="240"/>
                                  <w:divBdr>
                                    <w:top w:val="none" w:sz="0" w:space="0" w:color="auto"/>
                                    <w:left w:val="none" w:sz="0" w:space="0" w:color="auto"/>
                                    <w:bottom w:val="none" w:sz="0" w:space="0" w:color="auto"/>
                                    <w:right w:val="none" w:sz="0" w:space="0" w:color="auto"/>
                                  </w:divBdr>
                                  <w:divsChild>
                                    <w:div w:id="451636589">
                                      <w:marLeft w:val="0"/>
                                      <w:marRight w:val="0"/>
                                      <w:marTop w:val="0"/>
                                      <w:marBottom w:val="0"/>
                                      <w:divBdr>
                                        <w:top w:val="none" w:sz="0" w:space="0" w:color="auto"/>
                                        <w:left w:val="none" w:sz="0" w:space="0" w:color="auto"/>
                                        <w:bottom w:val="none" w:sz="0" w:space="0" w:color="auto"/>
                                        <w:right w:val="none" w:sz="0" w:space="0" w:color="auto"/>
                                      </w:divBdr>
                                      <w:divsChild>
                                        <w:div w:id="3166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1723268">
      <w:bodyDiv w:val="1"/>
      <w:marLeft w:val="0"/>
      <w:marRight w:val="0"/>
      <w:marTop w:val="0"/>
      <w:marBottom w:val="0"/>
      <w:divBdr>
        <w:top w:val="none" w:sz="0" w:space="0" w:color="auto"/>
        <w:left w:val="none" w:sz="0" w:space="0" w:color="auto"/>
        <w:bottom w:val="none" w:sz="0" w:space="0" w:color="auto"/>
        <w:right w:val="none" w:sz="0" w:space="0" w:color="auto"/>
      </w:divBdr>
    </w:div>
    <w:div w:id="564921703">
      <w:bodyDiv w:val="1"/>
      <w:marLeft w:val="0"/>
      <w:marRight w:val="0"/>
      <w:marTop w:val="0"/>
      <w:marBottom w:val="0"/>
      <w:divBdr>
        <w:top w:val="none" w:sz="0" w:space="0" w:color="auto"/>
        <w:left w:val="none" w:sz="0" w:space="0" w:color="auto"/>
        <w:bottom w:val="none" w:sz="0" w:space="0" w:color="auto"/>
        <w:right w:val="none" w:sz="0" w:space="0" w:color="auto"/>
      </w:divBdr>
    </w:div>
    <w:div w:id="568853260">
      <w:bodyDiv w:val="1"/>
      <w:marLeft w:val="0"/>
      <w:marRight w:val="0"/>
      <w:marTop w:val="0"/>
      <w:marBottom w:val="0"/>
      <w:divBdr>
        <w:top w:val="none" w:sz="0" w:space="0" w:color="auto"/>
        <w:left w:val="none" w:sz="0" w:space="0" w:color="auto"/>
        <w:bottom w:val="none" w:sz="0" w:space="0" w:color="auto"/>
        <w:right w:val="none" w:sz="0" w:space="0" w:color="auto"/>
      </w:divBdr>
    </w:div>
    <w:div w:id="582185202">
      <w:bodyDiv w:val="1"/>
      <w:marLeft w:val="0"/>
      <w:marRight w:val="0"/>
      <w:marTop w:val="0"/>
      <w:marBottom w:val="0"/>
      <w:divBdr>
        <w:top w:val="none" w:sz="0" w:space="0" w:color="auto"/>
        <w:left w:val="none" w:sz="0" w:space="0" w:color="auto"/>
        <w:bottom w:val="none" w:sz="0" w:space="0" w:color="auto"/>
        <w:right w:val="none" w:sz="0" w:space="0" w:color="auto"/>
      </w:divBdr>
    </w:div>
    <w:div w:id="602570632">
      <w:bodyDiv w:val="1"/>
      <w:marLeft w:val="0"/>
      <w:marRight w:val="0"/>
      <w:marTop w:val="0"/>
      <w:marBottom w:val="0"/>
      <w:divBdr>
        <w:top w:val="none" w:sz="0" w:space="0" w:color="auto"/>
        <w:left w:val="none" w:sz="0" w:space="0" w:color="auto"/>
        <w:bottom w:val="none" w:sz="0" w:space="0" w:color="auto"/>
        <w:right w:val="none" w:sz="0" w:space="0" w:color="auto"/>
      </w:divBdr>
    </w:div>
    <w:div w:id="604733115">
      <w:bodyDiv w:val="1"/>
      <w:marLeft w:val="0"/>
      <w:marRight w:val="0"/>
      <w:marTop w:val="0"/>
      <w:marBottom w:val="0"/>
      <w:divBdr>
        <w:top w:val="none" w:sz="0" w:space="0" w:color="auto"/>
        <w:left w:val="none" w:sz="0" w:space="0" w:color="auto"/>
        <w:bottom w:val="none" w:sz="0" w:space="0" w:color="auto"/>
        <w:right w:val="none" w:sz="0" w:space="0" w:color="auto"/>
      </w:divBdr>
    </w:div>
    <w:div w:id="607392862">
      <w:bodyDiv w:val="1"/>
      <w:marLeft w:val="0"/>
      <w:marRight w:val="0"/>
      <w:marTop w:val="0"/>
      <w:marBottom w:val="0"/>
      <w:divBdr>
        <w:top w:val="none" w:sz="0" w:space="0" w:color="auto"/>
        <w:left w:val="none" w:sz="0" w:space="0" w:color="auto"/>
        <w:bottom w:val="none" w:sz="0" w:space="0" w:color="auto"/>
        <w:right w:val="none" w:sz="0" w:space="0" w:color="auto"/>
      </w:divBdr>
      <w:divsChild>
        <w:div w:id="951476585">
          <w:marLeft w:val="0"/>
          <w:marRight w:val="0"/>
          <w:marTop w:val="0"/>
          <w:marBottom w:val="0"/>
          <w:divBdr>
            <w:top w:val="none" w:sz="0" w:space="0" w:color="auto"/>
            <w:left w:val="none" w:sz="0" w:space="0" w:color="auto"/>
            <w:bottom w:val="none" w:sz="0" w:space="0" w:color="auto"/>
            <w:right w:val="none" w:sz="0" w:space="0" w:color="auto"/>
          </w:divBdr>
          <w:divsChild>
            <w:div w:id="174923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3442643">
      <w:bodyDiv w:val="1"/>
      <w:marLeft w:val="0"/>
      <w:marRight w:val="0"/>
      <w:marTop w:val="0"/>
      <w:marBottom w:val="0"/>
      <w:divBdr>
        <w:top w:val="none" w:sz="0" w:space="0" w:color="auto"/>
        <w:left w:val="none" w:sz="0" w:space="0" w:color="auto"/>
        <w:bottom w:val="none" w:sz="0" w:space="0" w:color="auto"/>
        <w:right w:val="none" w:sz="0" w:space="0" w:color="auto"/>
      </w:divBdr>
    </w:div>
    <w:div w:id="616179716">
      <w:bodyDiv w:val="1"/>
      <w:marLeft w:val="0"/>
      <w:marRight w:val="0"/>
      <w:marTop w:val="0"/>
      <w:marBottom w:val="0"/>
      <w:divBdr>
        <w:top w:val="none" w:sz="0" w:space="0" w:color="auto"/>
        <w:left w:val="none" w:sz="0" w:space="0" w:color="auto"/>
        <w:bottom w:val="none" w:sz="0" w:space="0" w:color="auto"/>
        <w:right w:val="none" w:sz="0" w:space="0" w:color="auto"/>
      </w:divBdr>
    </w:div>
    <w:div w:id="621109644">
      <w:bodyDiv w:val="1"/>
      <w:marLeft w:val="0"/>
      <w:marRight w:val="0"/>
      <w:marTop w:val="0"/>
      <w:marBottom w:val="0"/>
      <w:divBdr>
        <w:top w:val="none" w:sz="0" w:space="0" w:color="auto"/>
        <w:left w:val="none" w:sz="0" w:space="0" w:color="auto"/>
        <w:bottom w:val="none" w:sz="0" w:space="0" w:color="auto"/>
        <w:right w:val="none" w:sz="0" w:space="0" w:color="auto"/>
      </w:divBdr>
      <w:divsChild>
        <w:div w:id="512304231">
          <w:marLeft w:val="0"/>
          <w:marRight w:val="0"/>
          <w:marTop w:val="0"/>
          <w:marBottom w:val="0"/>
          <w:divBdr>
            <w:top w:val="none" w:sz="0" w:space="0" w:color="auto"/>
            <w:left w:val="none" w:sz="0" w:space="0" w:color="auto"/>
            <w:bottom w:val="none" w:sz="0" w:space="0" w:color="auto"/>
            <w:right w:val="none" w:sz="0" w:space="0" w:color="auto"/>
          </w:divBdr>
          <w:divsChild>
            <w:div w:id="805859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899032">
      <w:bodyDiv w:val="1"/>
      <w:marLeft w:val="0"/>
      <w:marRight w:val="0"/>
      <w:marTop w:val="0"/>
      <w:marBottom w:val="0"/>
      <w:divBdr>
        <w:top w:val="none" w:sz="0" w:space="0" w:color="auto"/>
        <w:left w:val="none" w:sz="0" w:space="0" w:color="auto"/>
        <w:bottom w:val="none" w:sz="0" w:space="0" w:color="auto"/>
        <w:right w:val="none" w:sz="0" w:space="0" w:color="auto"/>
      </w:divBdr>
    </w:div>
    <w:div w:id="671028547">
      <w:bodyDiv w:val="1"/>
      <w:marLeft w:val="0"/>
      <w:marRight w:val="0"/>
      <w:marTop w:val="0"/>
      <w:marBottom w:val="0"/>
      <w:divBdr>
        <w:top w:val="none" w:sz="0" w:space="0" w:color="auto"/>
        <w:left w:val="none" w:sz="0" w:space="0" w:color="auto"/>
        <w:bottom w:val="none" w:sz="0" w:space="0" w:color="auto"/>
        <w:right w:val="none" w:sz="0" w:space="0" w:color="auto"/>
      </w:divBdr>
    </w:div>
    <w:div w:id="682125763">
      <w:bodyDiv w:val="1"/>
      <w:marLeft w:val="0"/>
      <w:marRight w:val="0"/>
      <w:marTop w:val="0"/>
      <w:marBottom w:val="0"/>
      <w:divBdr>
        <w:top w:val="none" w:sz="0" w:space="0" w:color="auto"/>
        <w:left w:val="none" w:sz="0" w:space="0" w:color="auto"/>
        <w:bottom w:val="none" w:sz="0" w:space="0" w:color="auto"/>
        <w:right w:val="none" w:sz="0" w:space="0" w:color="auto"/>
      </w:divBdr>
    </w:div>
    <w:div w:id="690648882">
      <w:bodyDiv w:val="1"/>
      <w:marLeft w:val="0"/>
      <w:marRight w:val="0"/>
      <w:marTop w:val="0"/>
      <w:marBottom w:val="0"/>
      <w:divBdr>
        <w:top w:val="none" w:sz="0" w:space="0" w:color="auto"/>
        <w:left w:val="none" w:sz="0" w:space="0" w:color="auto"/>
        <w:bottom w:val="none" w:sz="0" w:space="0" w:color="auto"/>
        <w:right w:val="none" w:sz="0" w:space="0" w:color="auto"/>
      </w:divBdr>
    </w:div>
    <w:div w:id="704520355">
      <w:bodyDiv w:val="1"/>
      <w:marLeft w:val="0"/>
      <w:marRight w:val="0"/>
      <w:marTop w:val="0"/>
      <w:marBottom w:val="0"/>
      <w:divBdr>
        <w:top w:val="none" w:sz="0" w:space="0" w:color="auto"/>
        <w:left w:val="none" w:sz="0" w:space="0" w:color="auto"/>
        <w:bottom w:val="none" w:sz="0" w:space="0" w:color="auto"/>
        <w:right w:val="none" w:sz="0" w:space="0" w:color="auto"/>
      </w:divBdr>
    </w:div>
    <w:div w:id="710302417">
      <w:bodyDiv w:val="1"/>
      <w:marLeft w:val="0"/>
      <w:marRight w:val="0"/>
      <w:marTop w:val="0"/>
      <w:marBottom w:val="0"/>
      <w:divBdr>
        <w:top w:val="none" w:sz="0" w:space="0" w:color="auto"/>
        <w:left w:val="none" w:sz="0" w:space="0" w:color="auto"/>
        <w:bottom w:val="none" w:sz="0" w:space="0" w:color="auto"/>
        <w:right w:val="none" w:sz="0" w:space="0" w:color="auto"/>
      </w:divBdr>
    </w:div>
    <w:div w:id="714546892">
      <w:bodyDiv w:val="1"/>
      <w:marLeft w:val="0"/>
      <w:marRight w:val="0"/>
      <w:marTop w:val="0"/>
      <w:marBottom w:val="0"/>
      <w:divBdr>
        <w:top w:val="none" w:sz="0" w:space="0" w:color="auto"/>
        <w:left w:val="none" w:sz="0" w:space="0" w:color="auto"/>
        <w:bottom w:val="none" w:sz="0" w:space="0" w:color="auto"/>
        <w:right w:val="none" w:sz="0" w:space="0" w:color="auto"/>
      </w:divBdr>
    </w:div>
    <w:div w:id="733554249">
      <w:bodyDiv w:val="1"/>
      <w:marLeft w:val="0"/>
      <w:marRight w:val="0"/>
      <w:marTop w:val="0"/>
      <w:marBottom w:val="0"/>
      <w:divBdr>
        <w:top w:val="none" w:sz="0" w:space="0" w:color="auto"/>
        <w:left w:val="none" w:sz="0" w:space="0" w:color="auto"/>
        <w:bottom w:val="none" w:sz="0" w:space="0" w:color="auto"/>
        <w:right w:val="none" w:sz="0" w:space="0" w:color="auto"/>
      </w:divBdr>
      <w:divsChild>
        <w:div w:id="621157449">
          <w:marLeft w:val="0"/>
          <w:marRight w:val="0"/>
          <w:marTop w:val="0"/>
          <w:marBottom w:val="0"/>
          <w:divBdr>
            <w:top w:val="none" w:sz="0" w:space="0" w:color="auto"/>
            <w:left w:val="none" w:sz="0" w:space="0" w:color="auto"/>
            <w:bottom w:val="none" w:sz="0" w:space="0" w:color="auto"/>
            <w:right w:val="none" w:sz="0" w:space="0" w:color="auto"/>
          </w:divBdr>
          <w:divsChild>
            <w:div w:id="130195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295132">
      <w:bodyDiv w:val="1"/>
      <w:marLeft w:val="0"/>
      <w:marRight w:val="0"/>
      <w:marTop w:val="0"/>
      <w:marBottom w:val="0"/>
      <w:divBdr>
        <w:top w:val="none" w:sz="0" w:space="0" w:color="auto"/>
        <w:left w:val="none" w:sz="0" w:space="0" w:color="auto"/>
        <w:bottom w:val="none" w:sz="0" w:space="0" w:color="auto"/>
        <w:right w:val="none" w:sz="0" w:space="0" w:color="auto"/>
      </w:divBdr>
    </w:div>
    <w:div w:id="745885047">
      <w:bodyDiv w:val="1"/>
      <w:marLeft w:val="0"/>
      <w:marRight w:val="0"/>
      <w:marTop w:val="0"/>
      <w:marBottom w:val="0"/>
      <w:divBdr>
        <w:top w:val="none" w:sz="0" w:space="0" w:color="auto"/>
        <w:left w:val="none" w:sz="0" w:space="0" w:color="auto"/>
        <w:bottom w:val="none" w:sz="0" w:space="0" w:color="auto"/>
        <w:right w:val="none" w:sz="0" w:space="0" w:color="auto"/>
      </w:divBdr>
    </w:div>
    <w:div w:id="770709711">
      <w:bodyDiv w:val="1"/>
      <w:marLeft w:val="0"/>
      <w:marRight w:val="0"/>
      <w:marTop w:val="0"/>
      <w:marBottom w:val="0"/>
      <w:divBdr>
        <w:top w:val="none" w:sz="0" w:space="0" w:color="auto"/>
        <w:left w:val="none" w:sz="0" w:space="0" w:color="auto"/>
        <w:bottom w:val="none" w:sz="0" w:space="0" w:color="auto"/>
        <w:right w:val="none" w:sz="0" w:space="0" w:color="auto"/>
      </w:divBdr>
    </w:div>
    <w:div w:id="778838616">
      <w:bodyDiv w:val="1"/>
      <w:marLeft w:val="0"/>
      <w:marRight w:val="0"/>
      <w:marTop w:val="72"/>
      <w:marBottom w:val="0"/>
      <w:divBdr>
        <w:top w:val="none" w:sz="0" w:space="0" w:color="auto"/>
        <w:left w:val="none" w:sz="0" w:space="0" w:color="auto"/>
        <w:bottom w:val="none" w:sz="0" w:space="0" w:color="auto"/>
        <w:right w:val="none" w:sz="0" w:space="0" w:color="auto"/>
      </w:divBdr>
      <w:divsChild>
        <w:div w:id="822965090">
          <w:marLeft w:val="0"/>
          <w:marRight w:val="0"/>
          <w:marTop w:val="0"/>
          <w:marBottom w:val="0"/>
          <w:divBdr>
            <w:top w:val="none" w:sz="0" w:space="0" w:color="auto"/>
            <w:left w:val="none" w:sz="0" w:space="0" w:color="auto"/>
            <w:bottom w:val="none" w:sz="0" w:space="0" w:color="auto"/>
            <w:right w:val="none" w:sz="0" w:space="0" w:color="auto"/>
          </w:divBdr>
          <w:divsChild>
            <w:div w:id="755171990">
              <w:marLeft w:val="1725"/>
              <w:marRight w:val="0"/>
              <w:marTop w:val="0"/>
              <w:marBottom w:val="0"/>
              <w:divBdr>
                <w:top w:val="none" w:sz="0" w:space="0" w:color="auto"/>
                <w:left w:val="none" w:sz="0" w:space="0" w:color="auto"/>
                <w:bottom w:val="none" w:sz="0" w:space="0" w:color="auto"/>
                <w:right w:val="none" w:sz="0" w:space="0" w:color="auto"/>
              </w:divBdr>
              <w:divsChild>
                <w:div w:id="1450473698">
                  <w:marLeft w:val="120"/>
                  <w:marRight w:val="0"/>
                  <w:marTop w:val="120"/>
                  <w:marBottom w:val="0"/>
                  <w:divBdr>
                    <w:top w:val="none" w:sz="0" w:space="0" w:color="auto"/>
                    <w:left w:val="none" w:sz="0" w:space="0" w:color="auto"/>
                    <w:bottom w:val="none" w:sz="0" w:space="0" w:color="auto"/>
                    <w:right w:val="none" w:sz="0" w:space="0" w:color="auto"/>
                  </w:divBdr>
                  <w:divsChild>
                    <w:div w:id="977803688">
                      <w:marLeft w:val="0"/>
                      <w:marRight w:val="0"/>
                      <w:marTop w:val="0"/>
                      <w:marBottom w:val="0"/>
                      <w:divBdr>
                        <w:top w:val="none" w:sz="0" w:space="0" w:color="auto"/>
                        <w:left w:val="none" w:sz="0" w:space="0" w:color="auto"/>
                        <w:bottom w:val="none" w:sz="0" w:space="0" w:color="auto"/>
                        <w:right w:val="none" w:sz="0" w:space="0" w:color="auto"/>
                      </w:divBdr>
                      <w:divsChild>
                        <w:div w:id="1004281392">
                          <w:marLeft w:val="0"/>
                          <w:marRight w:val="0"/>
                          <w:marTop w:val="0"/>
                          <w:marBottom w:val="0"/>
                          <w:divBdr>
                            <w:top w:val="none" w:sz="0" w:space="0" w:color="auto"/>
                            <w:left w:val="none" w:sz="0" w:space="0" w:color="auto"/>
                            <w:bottom w:val="none" w:sz="0" w:space="0" w:color="auto"/>
                            <w:right w:val="none" w:sz="0" w:space="0" w:color="auto"/>
                          </w:divBdr>
                          <w:divsChild>
                            <w:div w:id="86417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5199505">
      <w:bodyDiv w:val="1"/>
      <w:marLeft w:val="0"/>
      <w:marRight w:val="0"/>
      <w:marTop w:val="0"/>
      <w:marBottom w:val="0"/>
      <w:divBdr>
        <w:top w:val="none" w:sz="0" w:space="0" w:color="auto"/>
        <w:left w:val="none" w:sz="0" w:space="0" w:color="auto"/>
        <w:bottom w:val="none" w:sz="0" w:space="0" w:color="auto"/>
        <w:right w:val="none" w:sz="0" w:space="0" w:color="auto"/>
      </w:divBdr>
    </w:div>
    <w:div w:id="794786215">
      <w:bodyDiv w:val="1"/>
      <w:marLeft w:val="0"/>
      <w:marRight w:val="0"/>
      <w:marTop w:val="0"/>
      <w:marBottom w:val="0"/>
      <w:divBdr>
        <w:top w:val="none" w:sz="0" w:space="0" w:color="auto"/>
        <w:left w:val="none" w:sz="0" w:space="0" w:color="auto"/>
        <w:bottom w:val="none" w:sz="0" w:space="0" w:color="auto"/>
        <w:right w:val="none" w:sz="0" w:space="0" w:color="auto"/>
      </w:divBdr>
    </w:div>
    <w:div w:id="803962585">
      <w:bodyDiv w:val="1"/>
      <w:marLeft w:val="0"/>
      <w:marRight w:val="0"/>
      <w:marTop w:val="0"/>
      <w:marBottom w:val="0"/>
      <w:divBdr>
        <w:top w:val="none" w:sz="0" w:space="0" w:color="auto"/>
        <w:left w:val="none" w:sz="0" w:space="0" w:color="auto"/>
        <w:bottom w:val="none" w:sz="0" w:space="0" w:color="auto"/>
        <w:right w:val="none" w:sz="0" w:space="0" w:color="auto"/>
      </w:divBdr>
    </w:div>
    <w:div w:id="812261848">
      <w:bodyDiv w:val="1"/>
      <w:marLeft w:val="0"/>
      <w:marRight w:val="0"/>
      <w:marTop w:val="0"/>
      <w:marBottom w:val="0"/>
      <w:divBdr>
        <w:top w:val="none" w:sz="0" w:space="0" w:color="auto"/>
        <w:left w:val="none" w:sz="0" w:space="0" w:color="auto"/>
        <w:bottom w:val="none" w:sz="0" w:space="0" w:color="auto"/>
        <w:right w:val="none" w:sz="0" w:space="0" w:color="auto"/>
      </w:divBdr>
    </w:div>
    <w:div w:id="838929284">
      <w:bodyDiv w:val="1"/>
      <w:marLeft w:val="0"/>
      <w:marRight w:val="0"/>
      <w:marTop w:val="0"/>
      <w:marBottom w:val="0"/>
      <w:divBdr>
        <w:top w:val="none" w:sz="0" w:space="0" w:color="auto"/>
        <w:left w:val="none" w:sz="0" w:space="0" w:color="auto"/>
        <w:bottom w:val="none" w:sz="0" w:space="0" w:color="auto"/>
        <w:right w:val="none" w:sz="0" w:space="0" w:color="auto"/>
      </w:divBdr>
    </w:div>
    <w:div w:id="848060961">
      <w:bodyDiv w:val="1"/>
      <w:marLeft w:val="0"/>
      <w:marRight w:val="0"/>
      <w:marTop w:val="0"/>
      <w:marBottom w:val="0"/>
      <w:divBdr>
        <w:top w:val="none" w:sz="0" w:space="0" w:color="auto"/>
        <w:left w:val="none" w:sz="0" w:space="0" w:color="auto"/>
        <w:bottom w:val="none" w:sz="0" w:space="0" w:color="auto"/>
        <w:right w:val="none" w:sz="0" w:space="0" w:color="auto"/>
      </w:divBdr>
    </w:div>
    <w:div w:id="879324920">
      <w:bodyDiv w:val="1"/>
      <w:marLeft w:val="0"/>
      <w:marRight w:val="0"/>
      <w:marTop w:val="0"/>
      <w:marBottom w:val="0"/>
      <w:divBdr>
        <w:top w:val="none" w:sz="0" w:space="0" w:color="auto"/>
        <w:left w:val="none" w:sz="0" w:space="0" w:color="auto"/>
        <w:bottom w:val="none" w:sz="0" w:space="0" w:color="auto"/>
        <w:right w:val="none" w:sz="0" w:space="0" w:color="auto"/>
      </w:divBdr>
    </w:div>
    <w:div w:id="900747520">
      <w:bodyDiv w:val="1"/>
      <w:marLeft w:val="0"/>
      <w:marRight w:val="0"/>
      <w:marTop w:val="0"/>
      <w:marBottom w:val="0"/>
      <w:divBdr>
        <w:top w:val="none" w:sz="0" w:space="0" w:color="auto"/>
        <w:left w:val="none" w:sz="0" w:space="0" w:color="auto"/>
        <w:bottom w:val="none" w:sz="0" w:space="0" w:color="auto"/>
        <w:right w:val="none" w:sz="0" w:space="0" w:color="auto"/>
      </w:divBdr>
    </w:div>
    <w:div w:id="903566359">
      <w:bodyDiv w:val="1"/>
      <w:marLeft w:val="0"/>
      <w:marRight w:val="0"/>
      <w:marTop w:val="0"/>
      <w:marBottom w:val="0"/>
      <w:divBdr>
        <w:top w:val="none" w:sz="0" w:space="0" w:color="auto"/>
        <w:left w:val="none" w:sz="0" w:space="0" w:color="auto"/>
        <w:bottom w:val="none" w:sz="0" w:space="0" w:color="auto"/>
        <w:right w:val="none" w:sz="0" w:space="0" w:color="auto"/>
      </w:divBdr>
    </w:div>
    <w:div w:id="976881918">
      <w:bodyDiv w:val="1"/>
      <w:marLeft w:val="0"/>
      <w:marRight w:val="0"/>
      <w:marTop w:val="0"/>
      <w:marBottom w:val="0"/>
      <w:divBdr>
        <w:top w:val="none" w:sz="0" w:space="0" w:color="auto"/>
        <w:left w:val="none" w:sz="0" w:space="0" w:color="auto"/>
        <w:bottom w:val="none" w:sz="0" w:space="0" w:color="auto"/>
        <w:right w:val="none" w:sz="0" w:space="0" w:color="auto"/>
      </w:divBdr>
      <w:divsChild>
        <w:div w:id="833448488">
          <w:marLeft w:val="0"/>
          <w:marRight w:val="0"/>
          <w:marTop w:val="100"/>
          <w:marBottom w:val="100"/>
          <w:divBdr>
            <w:top w:val="none" w:sz="0" w:space="0" w:color="auto"/>
            <w:left w:val="none" w:sz="0" w:space="0" w:color="auto"/>
            <w:bottom w:val="none" w:sz="0" w:space="0" w:color="auto"/>
            <w:right w:val="none" w:sz="0" w:space="0" w:color="auto"/>
          </w:divBdr>
          <w:divsChild>
            <w:div w:id="368797985">
              <w:marLeft w:val="0"/>
              <w:marRight w:val="0"/>
              <w:marTop w:val="77"/>
              <w:marBottom w:val="0"/>
              <w:divBdr>
                <w:top w:val="none" w:sz="0" w:space="0" w:color="auto"/>
                <w:left w:val="none" w:sz="0" w:space="0" w:color="auto"/>
                <w:bottom w:val="none" w:sz="0" w:space="0" w:color="auto"/>
                <w:right w:val="none" w:sz="0" w:space="0" w:color="auto"/>
              </w:divBdr>
              <w:divsChild>
                <w:div w:id="935291779">
                  <w:marLeft w:val="0"/>
                  <w:marRight w:val="-6000"/>
                  <w:marTop w:val="0"/>
                  <w:marBottom w:val="0"/>
                  <w:divBdr>
                    <w:top w:val="none" w:sz="0" w:space="0" w:color="auto"/>
                    <w:left w:val="none" w:sz="0" w:space="0" w:color="auto"/>
                    <w:bottom w:val="none" w:sz="0" w:space="0" w:color="auto"/>
                    <w:right w:val="none" w:sz="0" w:space="0" w:color="auto"/>
                  </w:divBdr>
                  <w:divsChild>
                    <w:div w:id="892153550">
                      <w:marLeft w:val="0"/>
                      <w:marRight w:val="5778"/>
                      <w:marTop w:val="0"/>
                      <w:marBottom w:val="0"/>
                      <w:divBdr>
                        <w:top w:val="none" w:sz="0" w:space="0" w:color="auto"/>
                        <w:left w:val="none" w:sz="0" w:space="0" w:color="auto"/>
                        <w:bottom w:val="none" w:sz="0" w:space="0" w:color="auto"/>
                        <w:right w:val="none" w:sz="0" w:space="0" w:color="auto"/>
                      </w:divBdr>
                      <w:divsChild>
                        <w:div w:id="1027681428">
                          <w:marLeft w:val="0"/>
                          <w:marRight w:val="0"/>
                          <w:marTop w:val="0"/>
                          <w:marBottom w:val="0"/>
                          <w:divBdr>
                            <w:top w:val="none" w:sz="0" w:space="0" w:color="auto"/>
                            <w:left w:val="none" w:sz="0" w:space="0" w:color="auto"/>
                            <w:bottom w:val="none" w:sz="0" w:space="0" w:color="auto"/>
                            <w:right w:val="none" w:sz="0" w:space="0" w:color="auto"/>
                          </w:divBdr>
                          <w:divsChild>
                            <w:div w:id="510683478">
                              <w:marLeft w:val="0"/>
                              <w:marRight w:val="0"/>
                              <w:marTop w:val="240"/>
                              <w:marBottom w:val="0"/>
                              <w:divBdr>
                                <w:top w:val="none" w:sz="0" w:space="0" w:color="auto"/>
                                <w:left w:val="none" w:sz="0" w:space="0" w:color="auto"/>
                                <w:bottom w:val="none" w:sz="0" w:space="0" w:color="auto"/>
                                <w:right w:val="none" w:sz="0" w:space="0" w:color="auto"/>
                              </w:divBdr>
                              <w:divsChild>
                                <w:div w:id="69535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2849990">
      <w:bodyDiv w:val="1"/>
      <w:marLeft w:val="0"/>
      <w:marRight w:val="0"/>
      <w:marTop w:val="0"/>
      <w:marBottom w:val="0"/>
      <w:divBdr>
        <w:top w:val="none" w:sz="0" w:space="0" w:color="auto"/>
        <w:left w:val="none" w:sz="0" w:space="0" w:color="auto"/>
        <w:bottom w:val="none" w:sz="0" w:space="0" w:color="auto"/>
        <w:right w:val="none" w:sz="0" w:space="0" w:color="auto"/>
      </w:divBdr>
    </w:div>
    <w:div w:id="1001467238">
      <w:bodyDiv w:val="1"/>
      <w:marLeft w:val="0"/>
      <w:marRight w:val="0"/>
      <w:marTop w:val="0"/>
      <w:marBottom w:val="0"/>
      <w:divBdr>
        <w:top w:val="none" w:sz="0" w:space="0" w:color="auto"/>
        <w:left w:val="none" w:sz="0" w:space="0" w:color="auto"/>
        <w:bottom w:val="none" w:sz="0" w:space="0" w:color="auto"/>
        <w:right w:val="none" w:sz="0" w:space="0" w:color="auto"/>
      </w:divBdr>
    </w:div>
    <w:div w:id="1001929168">
      <w:bodyDiv w:val="1"/>
      <w:marLeft w:val="0"/>
      <w:marRight w:val="0"/>
      <w:marTop w:val="0"/>
      <w:marBottom w:val="0"/>
      <w:divBdr>
        <w:top w:val="none" w:sz="0" w:space="0" w:color="auto"/>
        <w:left w:val="none" w:sz="0" w:space="0" w:color="auto"/>
        <w:bottom w:val="none" w:sz="0" w:space="0" w:color="auto"/>
        <w:right w:val="none" w:sz="0" w:space="0" w:color="auto"/>
      </w:divBdr>
    </w:div>
    <w:div w:id="1005399962">
      <w:bodyDiv w:val="1"/>
      <w:marLeft w:val="0"/>
      <w:marRight w:val="0"/>
      <w:marTop w:val="0"/>
      <w:marBottom w:val="0"/>
      <w:divBdr>
        <w:top w:val="none" w:sz="0" w:space="0" w:color="auto"/>
        <w:left w:val="none" w:sz="0" w:space="0" w:color="auto"/>
        <w:bottom w:val="none" w:sz="0" w:space="0" w:color="auto"/>
        <w:right w:val="none" w:sz="0" w:space="0" w:color="auto"/>
      </w:divBdr>
    </w:div>
    <w:div w:id="1016350876">
      <w:bodyDiv w:val="1"/>
      <w:marLeft w:val="0"/>
      <w:marRight w:val="0"/>
      <w:marTop w:val="0"/>
      <w:marBottom w:val="0"/>
      <w:divBdr>
        <w:top w:val="none" w:sz="0" w:space="0" w:color="auto"/>
        <w:left w:val="none" w:sz="0" w:space="0" w:color="auto"/>
        <w:bottom w:val="none" w:sz="0" w:space="0" w:color="auto"/>
        <w:right w:val="none" w:sz="0" w:space="0" w:color="auto"/>
      </w:divBdr>
    </w:div>
    <w:div w:id="1024747524">
      <w:bodyDiv w:val="1"/>
      <w:marLeft w:val="0"/>
      <w:marRight w:val="0"/>
      <w:marTop w:val="0"/>
      <w:marBottom w:val="0"/>
      <w:divBdr>
        <w:top w:val="none" w:sz="0" w:space="0" w:color="auto"/>
        <w:left w:val="none" w:sz="0" w:space="0" w:color="auto"/>
        <w:bottom w:val="none" w:sz="0" w:space="0" w:color="auto"/>
        <w:right w:val="none" w:sz="0" w:space="0" w:color="auto"/>
      </w:divBdr>
    </w:div>
    <w:div w:id="1042053528">
      <w:bodyDiv w:val="1"/>
      <w:marLeft w:val="0"/>
      <w:marRight w:val="0"/>
      <w:marTop w:val="0"/>
      <w:marBottom w:val="0"/>
      <w:divBdr>
        <w:top w:val="none" w:sz="0" w:space="0" w:color="auto"/>
        <w:left w:val="none" w:sz="0" w:space="0" w:color="auto"/>
        <w:bottom w:val="none" w:sz="0" w:space="0" w:color="auto"/>
        <w:right w:val="none" w:sz="0" w:space="0" w:color="auto"/>
      </w:divBdr>
    </w:div>
    <w:div w:id="1043797023">
      <w:bodyDiv w:val="1"/>
      <w:marLeft w:val="0"/>
      <w:marRight w:val="0"/>
      <w:marTop w:val="0"/>
      <w:marBottom w:val="0"/>
      <w:divBdr>
        <w:top w:val="none" w:sz="0" w:space="0" w:color="auto"/>
        <w:left w:val="none" w:sz="0" w:space="0" w:color="auto"/>
        <w:bottom w:val="none" w:sz="0" w:space="0" w:color="auto"/>
        <w:right w:val="none" w:sz="0" w:space="0" w:color="auto"/>
      </w:divBdr>
    </w:div>
    <w:div w:id="1051659422">
      <w:bodyDiv w:val="1"/>
      <w:marLeft w:val="0"/>
      <w:marRight w:val="0"/>
      <w:marTop w:val="0"/>
      <w:marBottom w:val="0"/>
      <w:divBdr>
        <w:top w:val="none" w:sz="0" w:space="0" w:color="auto"/>
        <w:left w:val="none" w:sz="0" w:space="0" w:color="auto"/>
        <w:bottom w:val="none" w:sz="0" w:space="0" w:color="auto"/>
        <w:right w:val="none" w:sz="0" w:space="0" w:color="auto"/>
      </w:divBdr>
      <w:divsChild>
        <w:div w:id="1031607572">
          <w:marLeft w:val="0"/>
          <w:marRight w:val="0"/>
          <w:marTop w:val="100"/>
          <w:marBottom w:val="100"/>
          <w:divBdr>
            <w:top w:val="none" w:sz="0" w:space="0" w:color="auto"/>
            <w:left w:val="none" w:sz="0" w:space="0" w:color="auto"/>
            <w:bottom w:val="none" w:sz="0" w:space="0" w:color="auto"/>
            <w:right w:val="none" w:sz="0" w:space="0" w:color="auto"/>
          </w:divBdr>
          <w:divsChild>
            <w:div w:id="626470977">
              <w:marLeft w:val="0"/>
              <w:marRight w:val="0"/>
              <w:marTop w:val="77"/>
              <w:marBottom w:val="0"/>
              <w:divBdr>
                <w:top w:val="none" w:sz="0" w:space="0" w:color="auto"/>
                <w:left w:val="none" w:sz="0" w:space="0" w:color="auto"/>
                <w:bottom w:val="none" w:sz="0" w:space="0" w:color="auto"/>
                <w:right w:val="none" w:sz="0" w:space="0" w:color="auto"/>
              </w:divBdr>
              <w:divsChild>
                <w:div w:id="157885844">
                  <w:marLeft w:val="0"/>
                  <w:marRight w:val="-6000"/>
                  <w:marTop w:val="0"/>
                  <w:marBottom w:val="0"/>
                  <w:divBdr>
                    <w:top w:val="none" w:sz="0" w:space="0" w:color="auto"/>
                    <w:left w:val="none" w:sz="0" w:space="0" w:color="auto"/>
                    <w:bottom w:val="none" w:sz="0" w:space="0" w:color="auto"/>
                    <w:right w:val="none" w:sz="0" w:space="0" w:color="auto"/>
                  </w:divBdr>
                  <w:divsChild>
                    <w:div w:id="1043166256">
                      <w:marLeft w:val="0"/>
                      <w:marRight w:val="5778"/>
                      <w:marTop w:val="0"/>
                      <w:marBottom w:val="0"/>
                      <w:divBdr>
                        <w:top w:val="none" w:sz="0" w:space="0" w:color="auto"/>
                        <w:left w:val="none" w:sz="0" w:space="0" w:color="auto"/>
                        <w:bottom w:val="none" w:sz="0" w:space="0" w:color="auto"/>
                        <w:right w:val="none" w:sz="0" w:space="0" w:color="auto"/>
                      </w:divBdr>
                      <w:divsChild>
                        <w:div w:id="1536382980">
                          <w:marLeft w:val="0"/>
                          <w:marRight w:val="0"/>
                          <w:marTop w:val="0"/>
                          <w:marBottom w:val="0"/>
                          <w:divBdr>
                            <w:top w:val="none" w:sz="0" w:space="0" w:color="auto"/>
                            <w:left w:val="none" w:sz="0" w:space="0" w:color="auto"/>
                            <w:bottom w:val="none" w:sz="0" w:space="0" w:color="auto"/>
                            <w:right w:val="none" w:sz="0" w:space="0" w:color="auto"/>
                          </w:divBdr>
                          <w:divsChild>
                            <w:div w:id="1440756168">
                              <w:marLeft w:val="0"/>
                              <w:marRight w:val="0"/>
                              <w:marTop w:val="240"/>
                              <w:marBottom w:val="0"/>
                              <w:divBdr>
                                <w:top w:val="none" w:sz="0" w:space="0" w:color="auto"/>
                                <w:left w:val="none" w:sz="0" w:space="0" w:color="auto"/>
                                <w:bottom w:val="none" w:sz="0" w:space="0" w:color="auto"/>
                                <w:right w:val="none" w:sz="0" w:space="0" w:color="auto"/>
                              </w:divBdr>
                              <w:divsChild>
                                <w:div w:id="110581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5009921">
      <w:bodyDiv w:val="1"/>
      <w:marLeft w:val="0"/>
      <w:marRight w:val="0"/>
      <w:marTop w:val="0"/>
      <w:marBottom w:val="0"/>
      <w:divBdr>
        <w:top w:val="none" w:sz="0" w:space="0" w:color="auto"/>
        <w:left w:val="none" w:sz="0" w:space="0" w:color="auto"/>
        <w:bottom w:val="none" w:sz="0" w:space="0" w:color="auto"/>
        <w:right w:val="none" w:sz="0" w:space="0" w:color="auto"/>
      </w:divBdr>
    </w:div>
    <w:div w:id="1104426575">
      <w:bodyDiv w:val="1"/>
      <w:marLeft w:val="0"/>
      <w:marRight w:val="0"/>
      <w:marTop w:val="0"/>
      <w:marBottom w:val="0"/>
      <w:divBdr>
        <w:top w:val="none" w:sz="0" w:space="0" w:color="auto"/>
        <w:left w:val="none" w:sz="0" w:space="0" w:color="auto"/>
        <w:bottom w:val="none" w:sz="0" w:space="0" w:color="auto"/>
        <w:right w:val="none" w:sz="0" w:space="0" w:color="auto"/>
      </w:divBdr>
    </w:div>
    <w:div w:id="1153377309">
      <w:bodyDiv w:val="1"/>
      <w:marLeft w:val="0"/>
      <w:marRight w:val="0"/>
      <w:marTop w:val="0"/>
      <w:marBottom w:val="0"/>
      <w:divBdr>
        <w:top w:val="none" w:sz="0" w:space="0" w:color="auto"/>
        <w:left w:val="none" w:sz="0" w:space="0" w:color="auto"/>
        <w:bottom w:val="none" w:sz="0" w:space="0" w:color="auto"/>
        <w:right w:val="none" w:sz="0" w:space="0" w:color="auto"/>
      </w:divBdr>
    </w:div>
    <w:div w:id="1177186547">
      <w:bodyDiv w:val="1"/>
      <w:marLeft w:val="0"/>
      <w:marRight w:val="0"/>
      <w:marTop w:val="0"/>
      <w:marBottom w:val="0"/>
      <w:divBdr>
        <w:top w:val="none" w:sz="0" w:space="0" w:color="auto"/>
        <w:left w:val="none" w:sz="0" w:space="0" w:color="auto"/>
        <w:bottom w:val="none" w:sz="0" w:space="0" w:color="auto"/>
        <w:right w:val="none" w:sz="0" w:space="0" w:color="auto"/>
      </w:divBdr>
      <w:divsChild>
        <w:div w:id="733359522">
          <w:marLeft w:val="0"/>
          <w:marRight w:val="0"/>
          <w:marTop w:val="0"/>
          <w:marBottom w:val="0"/>
          <w:divBdr>
            <w:top w:val="none" w:sz="0" w:space="0" w:color="auto"/>
            <w:left w:val="none" w:sz="0" w:space="0" w:color="auto"/>
            <w:bottom w:val="none" w:sz="0" w:space="0" w:color="auto"/>
            <w:right w:val="none" w:sz="0" w:space="0" w:color="auto"/>
          </w:divBdr>
          <w:divsChild>
            <w:div w:id="71633395">
              <w:marLeft w:val="0"/>
              <w:marRight w:val="0"/>
              <w:marTop w:val="0"/>
              <w:marBottom w:val="0"/>
              <w:divBdr>
                <w:top w:val="none" w:sz="0" w:space="0" w:color="auto"/>
                <w:left w:val="none" w:sz="0" w:space="0" w:color="auto"/>
                <w:bottom w:val="none" w:sz="0" w:space="0" w:color="auto"/>
                <w:right w:val="none" w:sz="0" w:space="0" w:color="auto"/>
              </w:divBdr>
              <w:divsChild>
                <w:div w:id="327943162">
                  <w:marLeft w:val="0"/>
                  <w:marRight w:val="0"/>
                  <w:marTop w:val="0"/>
                  <w:marBottom w:val="0"/>
                  <w:divBdr>
                    <w:top w:val="none" w:sz="0" w:space="0" w:color="auto"/>
                    <w:left w:val="none" w:sz="0" w:space="0" w:color="auto"/>
                    <w:bottom w:val="none" w:sz="0" w:space="0" w:color="auto"/>
                    <w:right w:val="none" w:sz="0" w:space="0" w:color="auto"/>
                  </w:divBdr>
                  <w:divsChild>
                    <w:div w:id="1278177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594730">
      <w:bodyDiv w:val="1"/>
      <w:marLeft w:val="0"/>
      <w:marRight w:val="0"/>
      <w:marTop w:val="0"/>
      <w:marBottom w:val="0"/>
      <w:divBdr>
        <w:top w:val="none" w:sz="0" w:space="0" w:color="auto"/>
        <w:left w:val="none" w:sz="0" w:space="0" w:color="auto"/>
        <w:bottom w:val="none" w:sz="0" w:space="0" w:color="auto"/>
        <w:right w:val="none" w:sz="0" w:space="0" w:color="auto"/>
      </w:divBdr>
    </w:div>
    <w:div w:id="1208687362">
      <w:bodyDiv w:val="1"/>
      <w:marLeft w:val="0"/>
      <w:marRight w:val="0"/>
      <w:marTop w:val="0"/>
      <w:marBottom w:val="0"/>
      <w:divBdr>
        <w:top w:val="none" w:sz="0" w:space="0" w:color="auto"/>
        <w:left w:val="none" w:sz="0" w:space="0" w:color="auto"/>
        <w:bottom w:val="none" w:sz="0" w:space="0" w:color="auto"/>
        <w:right w:val="none" w:sz="0" w:space="0" w:color="auto"/>
      </w:divBdr>
    </w:div>
    <w:div w:id="1230650618">
      <w:bodyDiv w:val="1"/>
      <w:marLeft w:val="0"/>
      <w:marRight w:val="0"/>
      <w:marTop w:val="0"/>
      <w:marBottom w:val="0"/>
      <w:divBdr>
        <w:top w:val="none" w:sz="0" w:space="0" w:color="auto"/>
        <w:left w:val="none" w:sz="0" w:space="0" w:color="auto"/>
        <w:bottom w:val="none" w:sz="0" w:space="0" w:color="auto"/>
        <w:right w:val="none" w:sz="0" w:space="0" w:color="auto"/>
      </w:divBdr>
    </w:div>
    <w:div w:id="1233615343">
      <w:bodyDiv w:val="1"/>
      <w:marLeft w:val="0"/>
      <w:marRight w:val="0"/>
      <w:marTop w:val="0"/>
      <w:marBottom w:val="0"/>
      <w:divBdr>
        <w:top w:val="none" w:sz="0" w:space="0" w:color="auto"/>
        <w:left w:val="none" w:sz="0" w:space="0" w:color="auto"/>
        <w:bottom w:val="none" w:sz="0" w:space="0" w:color="auto"/>
        <w:right w:val="none" w:sz="0" w:space="0" w:color="auto"/>
      </w:divBdr>
    </w:div>
    <w:div w:id="1235360419">
      <w:bodyDiv w:val="1"/>
      <w:marLeft w:val="0"/>
      <w:marRight w:val="0"/>
      <w:marTop w:val="0"/>
      <w:marBottom w:val="0"/>
      <w:divBdr>
        <w:top w:val="none" w:sz="0" w:space="0" w:color="auto"/>
        <w:left w:val="none" w:sz="0" w:space="0" w:color="auto"/>
        <w:bottom w:val="none" w:sz="0" w:space="0" w:color="auto"/>
        <w:right w:val="none" w:sz="0" w:space="0" w:color="auto"/>
      </w:divBdr>
    </w:div>
    <w:div w:id="1240361686">
      <w:bodyDiv w:val="1"/>
      <w:marLeft w:val="0"/>
      <w:marRight w:val="0"/>
      <w:marTop w:val="0"/>
      <w:marBottom w:val="0"/>
      <w:divBdr>
        <w:top w:val="none" w:sz="0" w:space="0" w:color="auto"/>
        <w:left w:val="none" w:sz="0" w:space="0" w:color="auto"/>
        <w:bottom w:val="none" w:sz="0" w:space="0" w:color="auto"/>
        <w:right w:val="none" w:sz="0" w:space="0" w:color="auto"/>
      </w:divBdr>
    </w:div>
    <w:div w:id="1248466480">
      <w:bodyDiv w:val="1"/>
      <w:marLeft w:val="0"/>
      <w:marRight w:val="0"/>
      <w:marTop w:val="0"/>
      <w:marBottom w:val="0"/>
      <w:divBdr>
        <w:top w:val="none" w:sz="0" w:space="0" w:color="auto"/>
        <w:left w:val="none" w:sz="0" w:space="0" w:color="auto"/>
        <w:bottom w:val="none" w:sz="0" w:space="0" w:color="auto"/>
        <w:right w:val="none" w:sz="0" w:space="0" w:color="auto"/>
      </w:divBdr>
    </w:div>
    <w:div w:id="1271620885">
      <w:bodyDiv w:val="1"/>
      <w:marLeft w:val="0"/>
      <w:marRight w:val="0"/>
      <w:marTop w:val="0"/>
      <w:marBottom w:val="0"/>
      <w:divBdr>
        <w:top w:val="none" w:sz="0" w:space="0" w:color="auto"/>
        <w:left w:val="none" w:sz="0" w:space="0" w:color="auto"/>
        <w:bottom w:val="none" w:sz="0" w:space="0" w:color="auto"/>
        <w:right w:val="none" w:sz="0" w:space="0" w:color="auto"/>
      </w:divBdr>
    </w:div>
    <w:div w:id="1299917559">
      <w:bodyDiv w:val="1"/>
      <w:marLeft w:val="0"/>
      <w:marRight w:val="0"/>
      <w:marTop w:val="0"/>
      <w:marBottom w:val="0"/>
      <w:divBdr>
        <w:top w:val="none" w:sz="0" w:space="0" w:color="auto"/>
        <w:left w:val="none" w:sz="0" w:space="0" w:color="auto"/>
        <w:bottom w:val="none" w:sz="0" w:space="0" w:color="auto"/>
        <w:right w:val="none" w:sz="0" w:space="0" w:color="auto"/>
      </w:divBdr>
    </w:div>
    <w:div w:id="1303459150">
      <w:bodyDiv w:val="1"/>
      <w:marLeft w:val="0"/>
      <w:marRight w:val="0"/>
      <w:marTop w:val="0"/>
      <w:marBottom w:val="0"/>
      <w:divBdr>
        <w:top w:val="none" w:sz="0" w:space="0" w:color="auto"/>
        <w:left w:val="none" w:sz="0" w:space="0" w:color="auto"/>
        <w:bottom w:val="none" w:sz="0" w:space="0" w:color="auto"/>
        <w:right w:val="none" w:sz="0" w:space="0" w:color="auto"/>
      </w:divBdr>
    </w:div>
    <w:div w:id="1304697107">
      <w:bodyDiv w:val="1"/>
      <w:marLeft w:val="0"/>
      <w:marRight w:val="0"/>
      <w:marTop w:val="0"/>
      <w:marBottom w:val="0"/>
      <w:divBdr>
        <w:top w:val="none" w:sz="0" w:space="0" w:color="auto"/>
        <w:left w:val="none" w:sz="0" w:space="0" w:color="auto"/>
        <w:bottom w:val="none" w:sz="0" w:space="0" w:color="auto"/>
        <w:right w:val="none" w:sz="0" w:space="0" w:color="auto"/>
      </w:divBdr>
    </w:div>
    <w:div w:id="1330057582">
      <w:bodyDiv w:val="1"/>
      <w:marLeft w:val="0"/>
      <w:marRight w:val="0"/>
      <w:marTop w:val="0"/>
      <w:marBottom w:val="0"/>
      <w:divBdr>
        <w:top w:val="none" w:sz="0" w:space="0" w:color="auto"/>
        <w:left w:val="none" w:sz="0" w:space="0" w:color="auto"/>
        <w:bottom w:val="none" w:sz="0" w:space="0" w:color="auto"/>
        <w:right w:val="none" w:sz="0" w:space="0" w:color="auto"/>
      </w:divBdr>
    </w:div>
    <w:div w:id="1347056257">
      <w:bodyDiv w:val="1"/>
      <w:marLeft w:val="0"/>
      <w:marRight w:val="0"/>
      <w:marTop w:val="0"/>
      <w:marBottom w:val="0"/>
      <w:divBdr>
        <w:top w:val="none" w:sz="0" w:space="0" w:color="auto"/>
        <w:left w:val="none" w:sz="0" w:space="0" w:color="auto"/>
        <w:bottom w:val="none" w:sz="0" w:space="0" w:color="auto"/>
        <w:right w:val="none" w:sz="0" w:space="0" w:color="auto"/>
      </w:divBdr>
    </w:div>
    <w:div w:id="1359357250">
      <w:bodyDiv w:val="1"/>
      <w:marLeft w:val="0"/>
      <w:marRight w:val="0"/>
      <w:marTop w:val="0"/>
      <w:marBottom w:val="0"/>
      <w:divBdr>
        <w:top w:val="none" w:sz="0" w:space="0" w:color="auto"/>
        <w:left w:val="none" w:sz="0" w:space="0" w:color="auto"/>
        <w:bottom w:val="none" w:sz="0" w:space="0" w:color="auto"/>
        <w:right w:val="none" w:sz="0" w:space="0" w:color="auto"/>
      </w:divBdr>
      <w:divsChild>
        <w:div w:id="87970584">
          <w:marLeft w:val="0"/>
          <w:marRight w:val="0"/>
          <w:marTop w:val="0"/>
          <w:marBottom w:val="0"/>
          <w:divBdr>
            <w:top w:val="none" w:sz="0" w:space="0" w:color="auto"/>
            <w:left w:val="none" w:sz="0" w:space="0" w:color="auto"/>
            <w:bottom w:val="none" w:sz="0" w:space="0" w:color="auto"/>
            <w:right w:val="none" w:sz="0" w:space="0" w:color="auto"/>
          </w:divBdr>
          <w:divsChild>
            <w:div w:id="625043410">
              <w:marLeft w:val="0"/>
              <w:marRight w:val="0"/>
              <w:marTop w:val="100"/>
              <w:marBottom w:val="100"/>
              <w:divBdr>
                <w:top w:val="none" w:sz="0" w:space="0" w:color="auto"/>
                <w:left w:val="none" w:sz="0" w:space="0" w:color="auto"/>
                <w:bottom w:val="none" w:sz="0" w:space="0" w:color="auto"/>
                <w:right w:val="none" w:sz="0" w:space="0" w:color="auto"/>
              </w:divBdr>
              <w:divsChild>
                <w:div w:id="1883596298">
                  <w:marLeft w:val="0"/>
                  <w:marRight w:val="0"/>
                  <w:marTop w:val="100"/>
                  <w:marBottom w:val="100"/>
                  <w:divBdr>
                    <w:top w:val="none" w:sz="0" w:space="0" w:color="auto"/>
                    <w:left w:val="none" w:sz="0" w:space="0" w:color="auto"/>
                    <w:bottom w:val="none" w:sz="0" w:space="0" w:color="auto"/>
                    <w:right w:val="none" w:sz="0" w:space="0" w:color="auto"/>
                  </w:divBdr>
                  <w:divsChild>
                    <w:div w:id="813448766">
                      <w:marLeft w:val="79"/>
                      <w:marRight w:val="0"/>
                      <w:marTop w:val="79"/>
                      <w:marBottom w:val="0"/>
                      <w:divBdr>
                        <w:top w:val="none" w:sz="0" w:space="0" w:color="auto"/>
                        <w:left w:val="none" w:sz="0" w:space="0" w:color="auto"/>
                        <w:bottom w:val="none" w:sz="0" w:space="0" w:color="auto"/>
                        <w:right w:val="none" w:sz="0" w:space="0" w:color="auto"/>
                      </w:divBdr>
                      <w:divsChild>
                        <w:div w:id="994458396">
                          <w:marLeft w:val="0"/>
                          <w:marRight w:val="0"/>
                          <w:marTop w:val="79"/>
                          <w:marBottom w:val="0"/>
                          <w:divBdr>
                            <w:top w:val="none" w:sz="0" w:space="0" w:color="auto"/>
                            <w:left w:val="none" w:sz="0" w:space="0" w:color="auto"/>
                            <w:bottom w:val="none" w:sz="0" w:space="0" w:color="auto"/>
                            <w:right w:val="none" w:sz="0" w:space="0" w:color="auto"/>
                          </w:divBdr>
                          <w:divsChild>
                            <w:div w:id="435752579">
                              <w:marLeft w:val="0"/>
                              <w:marRight w:val="0"/>
                              <w:marTop w:val="0"/>
                              <w:marBottom w:val="0"/>
                              <w:divBdr>
                                <w:top w:val="none" w:sz="0" w:space="0" w:color="auto"/>
                                <w:left w:val="none" w:sz="0" w:space="0" w:color="auto"/>
                                <w:bottom w:val="none" w:sz="0" w:space="0" w:color="auto"/>
                                <w:right w:val="none" w:sz="0" w:space="0" w:color="auto"/>
                              </w:divBdr>
                              <w:divsChild>
                                <w:div w:id="437406225">
                                  <w:marLeft w:val="0"/>
                                  <w:marRight w:val="0"/>
                                  <w:marTop w:val="0"/>
                                  <w:marBottom w:val="0"/>
                                  <w:divBdr>
                                    <w:top w:val="none" w:sz="0" w:space="0" w:color="auto"/>
                                    <w:left w:val="none" w:sz="0" w:space="0" w:color="auto"/>
                                    <w:bottom w:val="none" w:sz="0" w:space="0" w:color="auto"/>
                                    <w:right w:val="none" w:sz="0" w:space="0" w:color="auto"/>
                                  </w:divBdr>
                                  <w:divsChild>
                                    <w:div w:id="158776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64285984">
      <w:bodyDiv w:val="1"/>
      <w:marLeft w:val="0"/>
      <w:marRight w:val="0"/>
      <w:marTop w:val="0"/>
      <w:marBottom w:val="0"/>
      <w:divBdr>
        <w:top w:val="none" w:sz="0" w:space="0" w:color="auto"/>
        <w:left w:val="none" w:sz="0" w:space="0" w:color="auto"/>
        <w:bottom w:val="none" w:sz="0" w:space="0" w:color="auto"/>
        <w:right w:val="none" w:sz="0" w:space="0" w:color="auto"/>
      </w:divBdr>
    </w:div>
    <w:div w:id="1384401983">
      <w:bodyDiv w:val="1"/>
      <w:marLeft w:val="0"/>
      <w:marRight w:val="0"/>
      <w:marTop w:val="0"/>
      <w:marBottom w:val="0"/>
      <w:divBdr>
        <w:top w:val="none" w:sz="0" w:space="0" w:color="auto"/>
        <w:left w:val="none" w:sz="0" w:space="0" w:color="auto"/>
        <w:bottom w:val="none" w:sz="0" w:space="0" w:color="auto"/>
        <w:right w:val="none" w:sz="0" w:space="0" w:color="auto"/>
      </w:divBdr>
      <w:divsChild>
        <w:div w:id="1738547034">
          <w:marLeft w:val="0"/>
          <w:marRight w:val="0"/>
          <w:marTop w:val="0"/>
          <w:marBottom w:val="0"/>
          <w:divBdr>
            <w:top w:val="none" w:sz="0" w:space="0" w:color="auto"/>
            <w:left w:val="none" w:sz="0" w:space="0" w:color="auto"/>
            <w:bottom w:val="none" w:sz="0" w:space="0" w:color="auto"/>
            <w:right w:val="none" w:sz="0" w:space="0" w:color="auto"/>
          </w:divBdr>
          <w:divsChild>
            <w:div w:id="1275138829">
              <w:marLeft w:val="0"/>
              <w:marRight w:val="0"/>
              <w:marTop w:val="0"/>
              <w:marBottom w:val="0"/>
              <w:divBdr>
                <w:top w:val="none" w:sz="0" w:space="0" w:color="auto"/>
                <w:left w:val="none" w:sz="0" w:space="0" w:color="auto"/>
                <w:bottom w:val="none" w:sz="0" w:space="0" w:color="auto"/>
                <w:right w:val="none" w:sz="0" w:space="0" w:color="auto"/>
              </w:divBdr>
              <w:divsChild>
                <w:div w:id="93937836">
                  <w:marLeft w:val="0"/>
                  <w:marRight w:val="0"/>
                  <w:marTop w:val="0"/>
                  <w:marBottom w:val="0"/>
                  <w:divBdr>
                    <w:top w:val="none" w:sz="0" w:space="0" w:color="auto"/>
                    <w:left w:val="none" w:sz="0" w:space="0" w:color="auto"/>
                    <w:bottom w:val="none" w:sz="0" w:space="0" w:color="auto"/>
                    <w:right w:val="none" w:sz="0" w:space="0" w:color="auto"/>
                  </w:divBdr>
                  <w:divsChild>
                    <w:div w:id="84732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4521069">
      <w:bodyDiv w:val="1"/>
      <w:marLeft w:val="0"/>
      <w:marRight w:val="0"/>
      <w:marTop w:val="0"/>
      <w:marBottom w:val="0"/>
      <w:divBdr>
        <w:top w:val="none" w:sz="0" w:space="0" w:color="auto"/>
        <w:left w:val="none" w:sz="0" w:space="0" w:color="auto"/>
        <w:bottom w:val="none" w:sz="0" w:space="0" w:color="auto"/>
        <w:right w:val="none" w:sz="0" w:space="0" w:color="auto"/>
      </w:divBdr>
    </w:div>
    <w:div w:id="1388649445">
      <w:bodyDiv w:val="1"/>
      <w:marLeft w:val="0"/>
      <w:marRight w:val="0"/>
      <w:marTop w:val="0"/>
      <w:marBottom w:val="0"/>
      <w:divBdr>
        <w:top w:val="none" w:sz="0" w:space="0" w:color="auto"/>
        <w:left w:val="none" w:sz="0" w:space="0" w:color="auto"/>
        <w:bottom w:val="none" w:sz="0" w:space="0" w:color="auto"/>
        <w:right w:val="none" w:sz="0" w:space="0" w:color="auto"/>
      </w:divBdr>
    </w:div>
    <w:div w:id="1392192003">
      <w:bodyDiv w:val="1"/>
      <w:marLeft w:val="0"/>
      <w:marRight w:val="0"/>
      <w:marTop w:val="0"/>
      <w:marBottom w:val="0"/>
      <w:divBdr>
        <w:top w:val="none" w:sz="0" w:space="0" w:color="auto"/>
        <w:left w:val="none" w:sz="0" w:space="0" w:color="auto"/>
        <w:bottom w:val="none" w:sz="0" w:space="0" w:color="auto"/>
        <w:right w:val="none" w:sz="0" w:space="0" w:color="auto"/>
      </w:divBdr>
    </w:div>
    <w:div w:id="1426923567">
      <w:bodyDiv w:val="1"/>
      <w:marLeft w:val="0"/>
      <w:marRight w:val="0"/>
      <w:marTop w:val="0"/>
      <w:marBottom w:val="0"/>
      <w:divBdr>
        <w:top w:val="none" w:sz="0" w:space="0" w:color="auto"/>
        <w:left w:val="none" w:sz="0" w:space="0" w:color="auto"/>
        <w:bottom w:val="none" w:sz="0" w:space="0" w:color="auto"/>
        <w:right w:val="none" w:sz="0" w:space="0" w:color="auto"/>
      </w:divBdr>
      <w:divsChild>
        <w:div w:id="1203253677">
          <w:marLeft w:val="0"/>
          <w:marRight w:val="0"/>
          <w:marTop w:val="0"/>
          <w:marBottom w:val="0"/>
          <w:divBdr>
            <w:top w:val="none" w:sz="0" w:space="0" w:color="auto"/>
            <w:left w:val="none" w:sz="0" w:space="0" w:color="auto"/>
            <w:bottom w:val="none" w:sz="0" w:space="0" w:color="auto"/>
            <w:right w:val="none" w:sz="0" w:space="0" w:color="auto"/>
          </w:divBdr>
          <w:divsChild>
            <w:div w:id="295526165">
              <w:marLeft w:val="0"/>
              <w:marRight w:val="0"/>
              <w:marTop w:val="0"/>
              <w:marBottom w:val="0"/>
              <w:divBdr>
                <w:top w:val="none" w:sz="0" w:space="0" w:color="auto"/>
                <w:left w:val="none" w:sz="0" w:space="0" w:color="auto"/>
                <w:bottom w:val="none" w:sz="0" w:space="0" w:color="auto"/>
                <w:right w:val="none" w:sz="0" w:space="0" w:color="auto"/>
              </w:divBdr>
              <w:divsChild>
                <w:div w:id="1625648259">
                  <w:marLeft w:val="0"/>
                  <w:marRight w:val="0"/>
                  <w:marTop w:val="0"/>
                  <w:marBottom w:val="0"/>
                  <w:divBdr>
                    <w:top w:val="none" w:sz="0" w:space="0" w:color="auto"/>
                    <w:left w:val="none" w:sz="0" w:space="0" w:color="auto"/>
                    <w:bottom w:val="none" w:sz="0" w:space="0" w:color="auto"/>
                    <w:right w:val="none" w:sz="0" w:space="0" w:color="auto"/>
                  </w:divBdr>
                  <w:divsChild>
                    <w:div w:id="164766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158163">
      <w:bodyDiv w:val="1"/>
      <w:marLeft w:val="0"/>
      <w:marRight w:val="0"/>
      <w:marTop w:val="0"/>
      <w:marBottom w:val="0"/>
      <w:divBdr>
        <w:top w:val="none" w:sz="0" w:space="0" w:color="auto"/>
        <w:left w:val="none" w:sz="0" w:space="0" w:color="auto"/>
        <w:bottom w:val="none" w:sz="0" w:space="0" w:color="auto"/>
        <w:right w:val="none" w:sz="0" w:space="0" w:color="auto"/>
      </w:divBdr>
    </w:div>
    <w:div w:id="1436052302">
      <w:bodyDiv w:val="1"/>
      <w:marLeft w:val="0"/>
      <w:marRight w:val="0"/>
      <w:marTop w:val="0"/>
      <w:marBottom w:val="0"/>
      <w:divBdr>
        <w:top w:val="none" w:sz="0" w:space="0" w:color="auto"/>
        <w:left w:val="none" w:sz="0" w:space="0" w:color="auto"/>
        <w:bottom w:val="none" w:sz="0" w:space="0" w:color="auto"/>
        <w:right w:val="none" w:sz="0" w:space="0" w:color="auto"/>
      </w:divBdr>
      <w:divsChild>
        <w:div w:id="636836329">
          <w:marLeft w:val="0"/>
          <w:marRight w:val="0"/>
          <w:marTop w:val="0"/>
          <w:marBottom w:val="0"/>
          <w:divBdr>
            <w:top w:val="none" w:sz="0" w:space="0" w:color="auto"/>
            <w:left w:val="none" w:sz="0" w:space="0" w:color="auto"/>
            <w:bottom w:val="none" w:sz="0" w:space="0" w:color="auto"/>
            <w:right w:val="none" w:sz="0" w:space="0" w:color="auto"/>
          </w:divBdr>
        </w:div>
      </w:divsChild>
    </w:div>
    <w:div w:id="1444226465">
      <w:bodyDiv w:val="1"/>
      <w:marLeft w:val="0"/>
      <w:marRight w:val="0"/>
      <w:marTop w:val="0"/>
      <w:marBottom w:val="0"/>
      <w:divBdr>
        <w:top w:val="none" w:sz="0" w:space="0" w:color="auto"/>
        <w:left w:val="none" w:sz="0" w:space="0" w:color="auto"/>
        <w:bottom w:val="none" w:sz="0" w:space="0" w:color="auto"/>
        <w:right w:val="none" w:sz="0" w:space="0" w:color="auto"/>
      </w:divBdr>
      <w:divsChild>
        <w:div w:id="1400785340">
          <w:marLeft w:val="0"/>
          <w:marRight w:val="0"/>
          <w:marTop w:val="0"/>
          <w:marBottom w:val="0"/>
          <w:divBdr>
            <w:top w:val="none" w:sz="0" w:space="0" w:color="auto"/>
            <w:left w:val="none" w:sz="0" w:space="0" w:color="auto"/>
            <w:bottom w:val="none" w:sz="0" w:space="0" w:color="auto"/>
            <w:right w:val="none" w:sz="0" w:space="0" w:color="auto"/>
          </w:divBdr>
          <w:divsChild>
            <w:div w:id="1921330575">
              <w:marLeft w:val="0"/>
              <w:marRight w:val="0"/>
              <w:marTop w:val="0"/>
              <w:marBottom w:val="0"/>
              <w:divBdr>
                <w:top w:val="none" w:sz="0" w:space="0" w:color="auto"/>
                <w:left w:val="none" w:sz="0" w:space="0" w:color="auto"/>
                <w:bottom w:val="none" w:sz="0" w:space="0" w:color="auto"/>
                <w:right w:val="none" w:sz="0" w:space="0" w:color="auto"/>
              </w:divBdr>
              <w:divsChild>
                <w:div w:id="187183948">
                  <w:marLeft w:val="0"/>
                  <w:marRight w:val="0"/>
                  <w:marTop w:val="0"/>
                  <w:marBottom w:val="0"/>
                  <w:divBdr>
                    <w:top w:val="none" w:sz="0" w:space="0" w:color="auto"/>
                    <w:left w:val="none" w:sz="0" w:space="0" w:color="auto"/>
                    <w:bottom w:val="none" w:sz="0" w:space="0" w:color="auto"/>
                    <w:right w:val="none" w:sz="0" w:space="0" w:color="auto"/>
                  </w:divBdr>
                  <w:divsChild>
                    <w:div w:id="748691188">
                      <w:marLeft w:val="0"/>
                      <w:marRight w:val="0"/>
                      <w:marTop w:val="0"/>
                      <w:marBottom w:val="0"/>
                      <w:divBdr>
                        <w:top w:val="none" w:sz="0" w:space="0" w:color="auto"/>
                        <w:left w:val="none" w:sz="0" w:space="0" w:color="auto"/>
                        <w:bottom w:val="none" w:sz="0" w:space="0" w:color="auto"/>
                        <w:right w:val="none" w:sz="0" w:space="0" w:color="auto"/>
                      </w:divBdr>
                      <w:divsChild>
                        <w:div w:id="162465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8614347">
      <w:bodyDiv w:val="1"/>
      <w:marLeft w:val="0"/>
      <w:marRight w:val="0"/>
      <w:marTop w:val="0"/>
      <w:marBottom w:val="0"/>
      <w:divBdr>
        <w:top w:val="none" w:sz="0" w:space="0" w:color="auto"/>
        <w:left w:val="none" w:sz="0" w:space="0" w:color="auto"/>
        <w:bottom w:val="none" w:sz="0" w:space="0" w:color="auto"/>
        <w:right w:val="none" w:sz="0" w:space="0" w:color="auto"/>
      </w:divBdr>
    </w:div>
    <w:div w:id="1523861612">
      <w:bodyDiv w:val="1"/>
      <w:marLeft w:val="0"/>
      <w:marRight w:val="0"/>
      <w:marTop w:val="0"/>
      <w:marBottom w:val="0"/>
      <w:divBdr>
        <w:top w:val="none" w:sz="0" w:space="0" w:color="auto"/>
        <w:left w:val="none" w:sz="0" w:space="0" w:color="auto"/>
        <w:bottom w:val="none" w:sz="0" w:space="0" w:color="auto"/>
        <w:right w:val="none" w:sz="0" w:space="0" w:color="auto"/>
      </w:divBdr>
    </w:div>
    <w:div w:id="1529179170">
      <w:bodyDiv w:val="1"/>
      <w:marLeft w:val="0"/>
      <w:marRight w:val="0"/>
      <w:marTop w:val="0"/>
      <w:marBottom w:val="0"/>
      <w:divBdr>
        <w:top w:val="none" w:sz="0" w:space="0" w:color="auto"/>
        <w:left w:val="none" w:sz="0" w:space="0" w:color="auto"/>
        <w:bottom w:val="none" w:sz="0" w:space="0" w:color="auto"/>
        <w:right w:val="none" w:sz="0" w:space="0" w:color="auto"/>
      </w:divBdr>
    </w:div>
    <w:div w:id="1543514023">
      <w:bodyDiv w:val="1"/>
      <w:marLeft w:val="0"/>
      <w:marRight w:val="0"/>
      <w:marTop w:val="0"/>
      <w:marBottom w:val="0"/>
      <w:divBdr>
        <w:top w:val="none" w:sz="0" w:space="0" w:color="auto"/>
        <w:left w:val="none" w:sz="0" w:space="0" w:color="auto"/>
        <w:bottom w:val="none" w:sz="0" w:space="0" w:color="auto"/>
        <w:right w:val="none" w:sz="0" w:space="0" w:color="auto"/>
      </w:divBdr>
    </w:div>
    <w:div w:id="1559975068">
      <w:bodyDiv w:val="1"/>
      <w:marLeft w:val="0"/>
      <w:marRight w:val="0"/>
      <w:marTop w:val="0"/>
      <w:marBottom w:val="0"/>
      <w:divBdr>
        <w:top w:val="none" w:sz="0" w:space="0" w:color="auto"/>
        <w:left w:val="none" w:sz="0" w:space="0" w:color="auto"/>
        <w:bottom w:val="none" w:sz="0" w:space="0" w:color="auto"/>
        <w:right w:val="none" w:sz="0" w:space="0" w:color="auto"/>
      </w:divBdr>
    </w:div>
    <w:div w:id="1606578064">
      <w:bodyDiv w:val="1"/>
      <w:marLeft w:val="0"/>
      <w:marRight w:val="0"/>
      <w:marTop w:val="0"/>
      <w:marBottom w:val="0"/>
      <w:divBdr>
        <w:top w:val="none" w:sz="0" w:space="0" w:color="auto"/>
        <w:left w:val="none" w:sz="0" w:space="0" w:color="auto"/>
        <w:bottom w:val="none" w:sz="0" w:space="0" w:color="auto"/>
        <w:right w:val="none" w:sz="0" w:space="0" w:color="auto"/>
      </w:divBdr>
    </w:div>
    <w:div w:id="1609695934">
      <w:bodyDiv w:val="1"/>
      <w:marLeft w:val="0"/>
      <w:marRight w:val="0"/>
      <w:marTop w:val="0"/>
      <w:marBottom w:val="0"/>
      <w:divBdr>
        <w:top w:val="none" w:sz="0" w:space="0" w:color="auto"/>
        <w:left w:val="none" w:sz="0" w:space="0" w:color="auto"/>
        <w:bottom w:val="none" w:sz="0" w:space="0" w:color="auto"/>
        <w:right w:val="none" w:sz="0" w:space="0" w:color="auto"/>
      </w:divBdr>
    </w:div>
    <w:div w:id="1621303731">
      <w:bodyDiv w:val="1"/>
      <w:marLeft w:val="0"/>
      <w:marRight w:val="0"/>
      <w:marTop w:val="0"/>
      <w:marBottom w:val="0"/>
      <w:divBdr>
        <w:top w:val="none" w:sz="0" w:space="0" w:color="auto"/>
        <w:left w:val="none" w:sz="0" w:space="0" w:color="auto"/>
        <w:bottom w:val="none" w:sz="0" w:space="0" w:color="auto"/>
        <w:right w:val="none" w:sz="0" w:space="0" w:color="auto"/>
      </w:divBdr>
    </w:div>
    <w:div w:id="1631328503">
      <w:bodyDiv w:val="1"/>
      <w:marLeft w:val="0"/>
      <w:marRight w:val="0"/>
      <w:marTop w:val="0"/>
      <w:marBottom w:val="0"/>
      <w:divBdr>
        <w:top w:val="none" w:sz="0" w:space="0" w:color="auto"/>
        <w:left w:val="none" w:sz="0" w:space="0" w:color="auto"/>
        <w:bottom w:val="none" w:sz="0" w:space="0" w:color="auto"/>
        <w:right w:val="none" w:sz="0" w:space="0" w:color="auto"/>
      </w:divBdr>
    </w:div>
    <w:div w:id="1732388998">
      <w:bodyDiv w:val="1"/>
      <w:marLeft w:val="0"/>
      <w:marRight w:val="0"/>
      <w:marTop w:val="0"/>
      <w:marBottom w:val="0"/>
      <w:divBdr>
        <w:top w:val="none" w:sz="0" w:space="0" w:color="auto"/>
        <w:left w:val="none" w:sz="0" w:space="0" w:color="auto"/>
        <w:bottom w:val="none" w:sz="0" w:space="0" w:color="auto"/>
        <w:right w:val="none" w:sz="0" w:space="0" w:color="auto"/>
      </w:divBdr>
    </w:div>
    <w:div w:id="1736708940">
      <w:bodyDiv w:val="1"/>
      <w:marLeft w:val="0"/>
      <w:marRight w:val="0"/>
      <w:marTop w:val="0"/>
      <w:marBottom w:val="0"/>
      <w:divBdr>
        <w:top w:val="none" w:sz="0" w:space="0" w:color="auto"/>
        <w:left w:val="none" w:sz="0" w:space="0" w:color="auto"/>
        <w:bottom w:val="none" w:sz="0" w:space="0" w:color="auto"/>
        <w:right w:val="none" w:sz="0" w:space="0" w:color="auto"/>
      </w:divBdr>
      <w:divsChild>
        <w:div w:id="742996321">
          <w:marLeft w:val="0"/>
          <w:marRight w:val="0"/>
          <w:marTop w:val="0"/>
          <w:marBottom w:val="0"/>
          <w:divBdr>
            <w:top w:val="none" w:sz="0" w:space="0" w:color="auto"/>
            <w:left w:val="none" w:sz="0" w:space="0" w:color="auto"/>
            <w:bottom w:val="none" w:sz="0" w:space="0" w:color="auto"/>
            <w:right w:val="none" w:sz="0" w:space="0" w:color="auto"/>
          </w:divBdr>
          <w:divsChild>
            <w:div w:id="697202998">
              <w:marLeft w:val="0"/>
              <w:marRight w:val="0"/>
              <w:marTop w:val="0"/>
              <w:marBottom w:val="0"/>
              <w:divBdr>
                <w:top w:val="none" w:sz="0" w:space="0" w:color="auto"/>
                <w:left w:val="none" w:sz="0" w:space="0" w:color="auto"/>
                <w:bottom w:val="none" w:sz="0" w:space="0" w:color="auto"/>
                <w:right w:val="none" w:sz="0" w:space="0" w:color="auto"/>
              </w:divBdr>
              <w:divsChild>
                <w:div w:id="1489445454">
                  <w:marLeft w:val="0"/>
                  <w:marRight w:val="0"/>
                  <w:marTop w:val="0"/>
                  <w:marBottom w:val="0"/>
                  <w:divBdr>
                    <w:top w:val="none" w:sz="0" w:space="0" w:color="auto"/>
                    <w:left w:val="none" w:sz="0" w:space="0" w:color="auto"/>
                    <w:bottom w:val="none" w:sz="0" w:space="0" w:color="auto"/>
                    <w:right w:val="none" w:sz="0" w:space="0" w:color="auto"/>
                  </w:divBdr>
                  <w:divsChild>
                    <w:div w:id="120864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0076899">
      <w:bodyDiv w:val="1"/>
      <w:marLeft w:val="0"/>
      <w:marRight w:val="0"/>
      <w:marTop w:val="0"/>
      <w:marBottom w:val="0"/>
      <w:divBdr>
        <w:top w:val="none" w:sz="0" w:space="0" w:color="auto"/>
        <w:left w:val="none" w:sz="0" w:space="0" w:color="auto"/>
        <w:bottom w:val="none" w:sz="0" w:space="0" w:color="auto"/>
        <w:right w:val="none" w:sz="0" w:space="0" w:color="auto"/>
      </w:divBdr>
    </w:div>
    <w:div w:id="1767845190">
      <w:bodyDiv w:val="1"/>
      <w:marLeft w:val="0"/>
      <w:marRight w:val="0"/>
      <w:marTop w:val="0"/>
      <w:marBottom w:val="0"/>
      <w:divBdr>
        <w:top w:val="none" w:sz="0" w:space="0" w:color="auto"/>
        <w:left w:val="none" w:sz="0" w:space="0" w:color="auto"/>
        <w:bottom w:val="none" w:sz="0" w:space="0" w:color="auto"/>
        <w:right w:val="none" w:sz="0" w:space="0" w:color="auto"/>
      </w:divBdr>
    </w:div>
    <w:div w:id="1810780425">
      <w:bodyDiv w:val="1"/>
      <w:marLeft w:val="0"/>
      <w:marRight w:val="0"/>
      <w:marTop w:val="0"/>
      <w:marBottom w:val="0"/>
      <w:divBdr>
        <w:top w:val="none" w:sz="0" w:space="0" w:color="auto"/>
        <w:left w:val="none" w:sz="0" w:space="0" w:color="auto"/>
        <w:bottom w:val="none" w:sz="0" w:space="0" w:color="auto"/>
        <w:right w:val="none" w:sz="0" w:space="0" w:color="auto"/>
      </w:divBdr>
    </w:div>
    <w:div w:id="1819298760">
      <w:bodyDiv w:val="1"/>
      <w:marLeft w:val="0"/>
      <w:marRight w:val="0"/>
      <w:marTop w:val="0"/>
      <w:marBottom w:val="0"/>
      <w:divBdr>
        <w:top w:val="none" w:sz="0" w:space="0" w:color="auto"/>
        <w:left w:val="none" w:sz="0" w:space="0" w:color="auto"/>
        <w:bottom w:val="none" w:sz="0" w:space="0" w:color="auto"/>
        <w:right w:val="none" w:sz="0" w:space="0" w:color="auto"/>
      </w:divBdr>
    </w:div>
    <w:div w:id="1827236000">
      <w:bodyDiv w:val="1"/>
      <w:marLeft w:val="0"/>
      <w:marRight w:val="0"/>
      <w:marTop w:val="0"/>
      <w:marBottom w:val="0"/>
      <w:divBdr>
        <w:top w:val="none" w:sz="0" w:space="0" w:color="auto"/>
        <w:left w:val="none" w:sz="0" w:space="0" w:color="auto"/>
        <w:bottom w:val="none" w:sz="0" w:space="0" w:color="auto"/>
        <w:right w:val="none" w:sz="0" w:space="0" w:color="auto"/>
      </w:divBdr>
    </w:div>
    <w:div w:id="1833836342">
      <w:bodyDiv w:val="1"/>
      <w:marLeft w:val="0"/>
      <w:marRight w:val="0"/>
      <w:marTop w:val="0"/>
      <w:marBottom w:val="0"/>
      <w:divBdr>
        <w:top w:val="none" w:sz="0" w:space="0" w:color="auto"/>
        <w:left w:val="none" w:sz="0" w:space="0" w:color="auto"/>
        <w:bottom w:val="none" w:sz="0" w:space="0" w:color="auto"/>
        <w:right w:val="none" w:sz="0" w:space="0" w:color="auto"/>
      </w:divBdr>
    </w:div>
    <w:div w:id="1848670764">
      <w:bodyDiv w:val="1"/>
      <w:marLeft w:val="0"/>
      <w:marRight w:val="0"/>
      <w:marTop w:val="0"/>
      <w:marBottom w:val="0"/>
      <w:divBdr>
        <w:top w:val="none" w:sz="0" w:space="0" w:color="auto"/>
        <w:left w:val="none" w:sz="0" w:space="0" w:color="auto"/>
        <w:bottom w:val="none" w:sz="0" w:space="0" w:color="auto"/>
        <w:right w:val="none" w:sz="0" w:space="0" w:color="auto"/>
      </w:divBdr>
    </w:div>
    <w:div w:id="1851337754">
      <w:bodyDiv w:val="1"/>
      <w:marLeft w:val="0"/>
      <w:marRight w:val="0"/>
      <w:marTop w:val="0"/>
      <w:marBottom w:val="0"/>
      <w:divBdr>
        <w:top w:val="none" w:sz="0" w:space="0" w:color="auto"/>
        <w:left w:val="none" w:sz="0" w:space="0" w:color="auto"/>
        <w:bottom w:val="none" w:sz="0" w:space="0" w:color="auto"/>
        <w:right w:val="none" w:sz="0" w:space="0" w:color="auto"/>
      </w:divBdr>
    </w:div>
    <w:div w:id="1876891903">
      <w:bodyDiv w:val="1"/>
      <w:marLeft w:val="0"/>
      <w:marRight w:val="0"/>
      <w:marTop w:val="0"/>
      <w:marBottom w:val="0"/>
      <w:divBdr>
        <w:top w:val="none" w:sz="0" w:space="0" w:color="auto"/>
        <w:left w:val="none" w:sz="0" w:space="0" w:color="auto"/>
        <w:bottom w:val="none" w:sz="0" w:space="0" w:color="auto"/>
        <w:right w:val="none" w:sz="0" w:space="0" w:color="auto"/>
      </w:divBdr>
    </w:div>
    <w:div w:id="1900283541">
      <w:bodyDiv w:val="1"/>
      <w:marLeft w:val="0"/>
      <w:marRight w:val="0"/>
      <w:marTop w:val="0"/>
      <w:marBottom w:val="0"/>
      <w:divBdr>
        <w:top w:val="none" w:sz="0" w:space="0" w:color="auto"/>
        <w:left w:val="none" w:sz="0" w:space="0" w:color="auto"/>
        <w:bottom w:val="none" w:sz="0" w:space="0" w:color="auto"/>
        <w:right w:val="none" w:sz="0" w:space="0" w:color="auto"/>
      </w:divBdr>
      <w:divsChild>
        <w:div w:id="529607275">
          <w:marLeft w:val="0"/>
          <w:marRight w:val="0"/>
          <w:marTop w:val="0"/>
          <w:marBottom w:val="0"/>
          <w:divBdr>
            <w:top w:val="none" w:sz="0" w:space="0" w:color="auto"/>
            <w:left w:val="none" w:sz="0" w:space="0" w:color="auto"/>
            <w:bottom w:val="none" w:sz="0" w:space="0" w:color="auto"/>
            <w:right w:val="none" w:sz="0" w:space="0" w:color="auto"/>
          </w:divBdr>
          <w:divsChild>
            <w:div w:id="1536231806">
              <w:marLeft w:val="0"/>
              <w:marRight w:val="0"/>
              <w:marTop w:val="0"/>
              <w:marBottom w:val="0"/>
              <w:divBdr>
                <w:top w:val="none" w:sz="0" w:space="0" w:color="auto"/>
                <w:left w:val="none" w:sz="0" w:space="0" w:color="auto"/>
                <w:bottom w:val="none" w:sz="0" w:space="0" w:color="auto"/>
                <w:right w:val="none" w:sz="0" w:space="0" w:color="auto"/>
              </w:divBdr>
              <w:divsChild>
                <w:div w:id="1974092780">
                  <w:marLeft w:val="0"/>
                  <w:marRight w:val="0"/>
                  <w:marTop w:val="0"/>
                  <w:marBottom w:val="0"/>
                  <w:divBdr>
                    <w:top w:val="none" w:sz="0" w:space="0" w:color="auto"/>
                    <w:left w:val="none" w:sz="0" w:space="0" w:color="auto"/>
                    <w:bottom w:val="none" w:sz="0" w:space="0" w:color="auto"/>
                    <w:right w:val="none" w:sz="0" w:space="0" w:color="auto"/>
                  </w:divBdr>
                  <w:divsChild>
                    <w:div w:id="203040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3633536">
      <w:bodyDiv w:val="1"/>
      <w:marLeft w:val="0"/>
      <w:marRight w:val="0"/>
      <w:marTop w:val="0"/>
      <w:marBottom w:val="0"/>
      <w:divBdr>
        <w:top w:val="none" w:sz="0" w:space="0" w:color="auto"/>
        <w:left w:val="none" w:sz="0" w:space="0" w:color="auto"/>
        <w:bottom w:val="none" w:sz="0" w:space="0" w:color="auto"/>
        <w:right w:val="none" w:sz="0" w:space="0" w:color="auto"/>
      </w:divBdr>
    </w:div>
    <w:div w:id="1910533830">
      <w:bodyDiv w:val="1"/>
      <w:marLeft w:val="0"/>
      <w:marRight w:val="0"/>
      <w:marTop w:val="0"/>
      <w:marBottom w:val="0"/>
      <w:divBdr>
        <w:top w:val="none" w:sz="0" w:space="0" w:color="auto"/>
        <w:left w:val="none" w:sz="0" w:space="0" w:color="auto"/>
        <w:bottom w:val="none" w:sz="0" w:space="0" w:color="auto"/>
        <w:right w:val="none" w:sz="0" w:space="0" w:color="auto"/>
      </w:divBdr>
    </w:div>
    <w:div w:id="1985887733">
      <w:bodyDiv w:val="1"/>
      <w:marLeft w:val="0"/>
      <w:marRight w:val="0"/>
      <w:marTop w:val="0"/>
      <w:marBottom w:val="0"/>
      <w:divBdr>
        <w:top w:val="none" w:sz="0" w:space="0" w:color="auto"/>
        <w:left w:val="none" w:sz="0" w:space="0" w:color="auto"/>
        <w:bottom w:val="none" w:sz="0" w:space="0" w:color="auto"/>
        <w:right w:val="none" w:sz="0" w:space="0" w:color="auto"/>
      </w:divBdr>
      <w:divsChild>
        <w:div w:id="198858678">
          <w:marLeft w:val="0"/>
          <w:marRight w:val="0"/>
          <w:marTop w:val="0"/>
          <w:marBottom w:val="0"/>
          <w:divBdr>
            <w:top w:val="none" w:sz="0" w:space="0" w:color="auto"/>
            <w:left w:val="none" w:sz="0" w:space="0" w:color="auto"/>
            <w:bottom w:val="none" w:sz="0" w:space="0" w:color="auto"/>
            <w:right w:val="none" w:sz="0" w:space="0" w:color="auto"/>
          </w:divBdr>
          <w:divsChild>
            <w:div w:id="2139444430">
              <w:marLeft w:val="0"/>
              <w:marRight w:val="0"/>
              <w:marTop w:val="0"/>
              <w:marBottom w:val="0"/>
              <w:divBdr>
                <w:top w:val="none" w:sz="0" w:space="0" w:color="auto"/>
                <w:left w:val="none" w:sz="0" w:space="0" w:color="auto"/>
                <w:bottom w:val="none" w:sz="0" w:space="0" w:color="auto"/>
                <w:right w:val="none" w:sz="0" w:space="0" w:color="auto"/>
              </w:divBdr>
              <w:divsChild>
                <w:div w:id="349795169">
                  <w:marLeft w:val="0"/>
                  <w:marRight w:val="0"/>
                  <w:marTop w:val="0"/>
                  <w:marBottom w:val="0"/>
                  <w:divBdr>
                    <w:top w:val="none" w:sz="0" w:space="0" w:color="auto"/>
                    <w:left w:val="none" w:sz="0" w:space="0" w:color="auto"/>
                    <w:bottom w:val="none" w:sz="0" w:space="0" w:color="auto"/>
                    <w:right w:val="none" w:sz="0" w:space="0" w:color="auto"/>
                  </w:divBdr>
                  <w:divsChild>
                    <w:div w:id="665132865">
                      <w:marLeft w:val="0"/>
                      <w:marRight w:val="0"/>
                      <w:marTop w:val="0"/>
                      <w:marBottom w:val="0"/>
                      <w:divBdr>
                        <w:top w:val="none" w:sz="0" w:space="0" w:color="auto"/>
                        <w:left w:val="none" w:sz="0" w:space="0" w:color="auto"/>
                        <w:bottom w:val="none" w:sz="0" w:space="0" w:color="auto"/>
                        <w:right w:val="none" w:sz="0" w:space="0" w:color="auto"/>
                      </w:divBdr>
                      <w:divsChild>
                        <w:div w:id="290719989">
                          <w:marLeft w:val="0"/>
                          <w:marRight w:val="0"/>
                          <w:marTop w:val="0"/>
                          <w:marBottom w:val="0"/>
                          <w:divBdr>
                            <w:top w:val="none" w:sz="0" w:space="0" w:color="auto"/>
                            <w:left w:val="none" w:sz="0" w:space="0" w:color="auto"/>
                            <w:bottom w:val="none" w:sz="0" w:space="0" w:color="auto"/>
                            <w:right w:val="none" w:sz="0" w:space="0" w:color="auto"/>
                          </w:divBdr>
                          <w:divsChild>
                            <w:div w:id="811293225">
                              <w:marLeft w:val="0"/>
                              <w:marRight w:val="0"/>
                              <w:marTop w:val="0"/>
                              <w:marBottom w:val="0"/>
                              <w:divBdr>
                                <w:top w:val="none" w:sz="0" w:space="0" w:color="auto"/>
                                <w:left w:val="none" w:sz="0" w:space="0" w:color="auto"/>
                                <w:bottom w:val="none" w:sz="0" w:space="0" w:color="auto"/>
                                <w:right w:val="none" w:sz="0" w:space="0" w:color="auto"/>
                              </w:divBdr>
                            </w:div>
                            <w:div w:id="1644313231">
                              <w:marLeft w:val="0"/>
                              <w:marRight w:val="0"/>
                              <w:marTop w:val="0"/>
                              <w:marBottom w:val="0"/>
                              <w:divBdr>
                                <w:top w:val="none" w:sz="0" w:space="0" w:color="auto"/>
                                <w:left w:val="none" w:sz="0" w:space="0" w:color="auto"/>
                                <w:bottom w:val="none" w:sz="0" w:space="0" w:color="auto"/>
                                <w:right w:val="none" w:sz="0" w:space="0" w:color="auto"/>
                              </w:divBdr>
                              <w:divsChild>
                                <w:div w:id="1515338125">
                                  <w:marLeft w:val="0"/>
                                  <w:marRight w:val="0"/>
                                  <w:marTop w:val="0"/>
                                  <w:marBottom w:val="0"/>
                                  <w:divBdr>
                                    <w:top w:val="none" w:sz="0" w:space="0" w:color="auto"/>
                                    <w:left w:val="none" w:sz="0" w:space="0" w:color="auto"/>
                                    <w:bottom w:val="none" w:sz="0" w:space="0" w:color="auto"/>
                                    <w:right w:val="none" w:sz="0" w:space="0" w:color="auto"/>
                                  </w:divBdr>
                                  <w:divsChild>
                                    <w:div w:id="182959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4486179">
      <w:bodyDiv w:val="1"/>
      <w:marLeft w:val="0"/>
      <w:marRight w:val="0"/>
      <w:marTop w:val="0"/>
      <w:marBottom w:val="0"/>
      <w:divBdr>
        <w:top w:val="none" w:sz="0" w:space="0" w:color="auto"/>
        <w:left w:val="none" w:sz="0" w:space="0" w:color="auto"/>
        <w:bottom w:val="none" w:sz="0" w:space="0" w:color="auto"/>
        <w:right w:val="none" w:sz="0" w:space="0" w:color="auto"/>
      </w:divBdr>
    </w:div>
    <w:div w:id="2033919264">
      <w:bodyDiv w:val="1"/>
      <w:marLeft w:val="0"/>
      <w:marRight w:val="0"/>
      <w:marTop w:val="0"/>
      <w:marBottom w:val="0"/>
      <w:divBdr>
        <w:top w:val="none" w:sz="0" w:space="0" w:color="auto"/>
        <w:left w:val="none" w:sz="0" w:space="0" w:color="auto"/>
        <w:bottom w:val="none" w:sz="0" w:space="0" w:color="auto"/>
        <w:right w:val="none" w:sz="0" w:space="0" w:color="auto"/>
      </w:divBdr>
    </w:div>
    <w:div w:id="2034257789">
      <w:bodyDiv w:val="1"/>
      <w:marLeft w:val="0"/>
      <w:marRight w:val="0"/>
      <w:marTop w:val="0"/>
      <w:marBottom w:val="0"/>
      <w:divBdr>
        <w:top w:val="none" w:sz="0" w:space="0" w:color="auto"/>
        <w:left w:val="none" w:sz="0" w:space="0" w:color="auto"/>
        <w:bottom w:val="none" w:sz="0" w:space="0" w:color="auto"/>
        <w:right w:val="none" w:sz="0" w:space="0" w:color="auto"/>
      </w:divBdr>
    </w:div>
    <w:div w:id="2039041220">
      <w:bodyDiv w:val="1"/>
      <w:marLeft w:val="0"/>
      <w:marRight w:val="0"/>
      <w:marTop w:val="0"/>
      <w:marBottom w:val="0"/>
      <w:divBdr>
        <w:top w:val="none" w:sz="0" w:space="0" w:color="auto"/>
        <w:left w:val="none" w:sz="0" w:space="0" w:color="auto"/>
        <w:bottom w:val="none" w:sz="0" w:space="0" w:color="auto"/>
        <w:right w:val="none" w:sz="0" w:space="0" w:color="auto"/>
      </w:divBdr>
    </w:div>
    <w:div w:id="2046634585">
      <w:bodyDiv w:val="1"/>
      <w:marLeft w:val="0"/>
      <w:marRight w:val="0"/>
      <w:marTop w:val="0"/>
      <w:marBottom w:val="0"/>
      <w:divBdr>
        <w:top w:val="none" w:sz="0" w:space="0" w:color="auto"/>
        <w:left w:val="none" w:sz="0" w:space="0" w:color="auto"/>
        <w:bottom w:val="none" w:sz="0" w:space="0" w:color="auto"/>
        <w:right w:val="none" w:sz="0" w:space="0" w:color="auto"/>
      </w:divBdr>
    </w:div>
    <w:div w:id="2052537950">
      <w:bodyDiv w:val="1"/>
      <w:marLeft w:val="0"/>
      <w:marRight w:val="0"/>
      <w:marTop w:val="0"/>
      <w:marBottom w:val="0"/>
      <w:divBdr>
        <w:top w:val="none" w:sz="0" w:space="0" w:color="auto"/>
        <w:left w:val="none" w:sz="0" w:space="0" w:color="auto"/>
        <w:bottom w:val="none" w:sz="0" w:space="0" w:color="auto"/>
        <w:right w:val="none" w:sz="0" w:space="0" w:color="auto"/>
      </w:divBdr>
    </w:div>
    <w:div w:id="2057777176">
      <w:bodyDiv w:val="1"/>
      <w:marLeft w:val="0"/>
      <w:marRight w:val="0"/>
      <w:marTop w:val="0"/>
      <w:marBottom w:val="0"/>
      <w:divBdr>
        <w:top w:val="none" w:sz="0" w:space="0" w:color="auto"/>
        <w:left w:val="none" w:sz="0" w:space="0" w:color="auto"/>
        <w:bottom w:val="none" w:sz="0" w:space="0" w:color="auto"/>
        <w:right w:val="none" w:sz="0" w:space="0" w:color="auto"/>
      </w:divBdr>
    </w:div>
    <w:div w:id="2074231683">
      <w:bodyDiv w:val="1"/>
      <w:marLeft w:val="0"/>
      <w:marRight w:val="0"/>
      <w:marTop w:val="0"/>
      <w:marBottom w:val="0"/>
      <w:divBdr>
        <w:top w:val="none" w:sz="0" w:space="0" w:color="auto"/>
        <w:left w:val="none" w:sz="0" w:space="0" w:color="auto"/>
        <w:bottom w:val="none" w:sz="0" w:space="0" w:color="auto"/>
        <w:right w:val="none" w:sz="0" w:space="0" w:color="auto"/>
      </w:divBdr>
    </w:div>
    <w:div w:id="2102993143">
      <w:bodyDiv w:val="1"/>
      <w:marLeft w:val="0"/>
      <w:marRight w:val="0"/>
      <w:marTop w:val="0"/>
      <w:marBottom w:val="0"/>
      <w:divBdr>
        <w:top w:val="none" w:sz="0" w:space="0" w:color="auto"/>
        <w:left w:val="none" w:sz="0" w:space="0" w:color="auto"/>
        <w:bottom w:val="none" w:sz="0" w:space="0" w:color="auto"/>
        <w:right w:val="none" w:sz="0" w:space="0" w:color="auto"/>
      </w:divBdr>
    </w:div>
    <w:div w:id="2105179720">
      <w:bodyDiv w:val="1"/>
      <w:marLeft w:val="0"/>
      <w:marRight w:val="0"/>
      <w:marTop w:val="0"/>
      <w:marBottom w:val="0"/>
      <w:divBdr>
        <w:top w:val="none" w:sz="0" w:space="0" w:color="auto"/>
        <w:left w:val="none" w:sz="0" w:space="0" w:color="auto"/>
        <w:bottom w:val="none" w:sz="0" w:space="0" w:color="auto"/>
        <w:right w:val="none" w:sz="0" w:space="0" w:color="auto"/>
      </w:divBdr>
    </w:div>
    <w:div w:id="2113627713">
      <w:bodyDiv w:val="1"/>
      <w:marLeft w:val="0"/>
      <w:marRight w:val="0"/>
      <w:marTop w:val="0"/>
      <w:marBottom w:val="0"/>
      <w:divBdr>
        <w:top w:val="none" w:sz="0" w:space="0" w:color="auto"/>
        <w:left w:val="none" w:sz="0" w:space="0" w:color="auto"/>
        <w:bottom w:val="none" w:sz="0" w:space="0" w:color="auto"/>
        <w:right w:val="none" w:sz="0" w:space="0" w:color="auto"/>
      </w:divBdr>
    </w:div>
    <w:div w:id="2118987939">
      <w:bodyDiv w:val="1"/>
      <w:marLeft w:val="0"/>
      <w:marRight w:val="0"/>
      <w:marTop w:val="0"/>
      <w:marBottom w:val="0"/>
      <w:divBdr>
        <w:top w:val="none" w:sz="0" w:space="0" w:color="auto"/>
        <w:left w:val="none" w:sz="0" w:space="0" w:color="auto"/>
        <w:bottom w:val="none" w:sz="0" w:space="0" w:color="auto"/>
        <w:right w:val="none" w:sz="0" w:space="0" w:color="auto"/>
      </w:divBdr>
    </w:div>
    <w:div w:id="2141653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hyperlink" Target="http://www.inegi.org.mx/saladeprensa/boletines/2015/balcom_o/balcom_o2015_03.pdf" TargetMode="External"/><Relationship Id="rId42" Type="http://schemas.openxmlformats.org/officeDocument/2006/relationships/image" Target="media/image29.png"/><Relationship Id="rId47" Type="http://schemas.openxmlformats.org/officeDocument/2006/relationships/hyperlink" Target="http://publications.iadb.org/bitstream/handle/11319/6830/Corea_y_America_Latina_Hacia_una_relacion_diversa_y_dinamica.pdf?sequence=9" TargetMode="External"/><Relationship Id="rId63" Type="http://schemas.openxmlformats.org/officeDocument/2006/relationships/hyperlink" Target="http://www.sectur.gob.mx/2015/03/31/boletin-65-crece-8-0-arribo-de-turistas-internacionales-por-via-aerea-en-el-periodo-enero-febrero-de-2015-respecto-a-2014/" TargetMode="External"/><Relationship Id="rId68" Type="http://schemas.openxmlformats.org/officeDocument/2006/relationships/image" Target="media/image38.emf"/><Relationship Id="rId84" Type="http://schemas.openxmlformats.org/officeDocument/2006/relationships/hyperlink" Target="http://multipress.com.mx/estudios/%e2%80%8bla-poblacion-latina-en-estados-unidos-un-gigante-dormido-llorente-cuenca/" TargetMode="External"/><Relationship Id="rId16" Type="http://schemas.openxmlformats.org/officeDocument/2006/relationships/image" Target="media/image9.emf"/><Relationship Id="rId11" Type="http://schemas.openxmlformats.org/officeDocument/2006/relationships/image" Target="media/image4.emf"/><Relationship Id="rId32" Type="http://schemas.openxmlformats.org/officeDocument/2006/relationships/image" Target="media/image19.emf"/><Relationship Id="rId37" Type="http://schemas.openxmlformats.org/officeDocument/2006/relationships/image" Target="media/image24.emf"/><Relationship Id="rId53" Type="http://schemas.openxmlformats.org/officeDocument/2006/relationships/image" Target="media/image33.emf"/><Relationship Id="rId58" Type="http://schemas.openxmlformats.org/officeDocument/2006/relationships/hyperlink" Target="http://www.sectur.gob.mx/2015/03/23/boletin-58-inaugura-hoy-el-presidente-enrique-pena-nieto-la-40-edicion-del-tianguis-turistico/" TargetMode="External"/><Relationship Id="rId74" Type="http://schemas.openxmlformats.org/officeDocument/2006/relationships/image" Target="media/image42.emf"/><Relationship Id="rId79" Type="http://schemas.openxmlformats.org/officeDocument/2006/relationships/hyperlink" Target="http://multipress.com.mx/estudios/%e2%80%8bla-poblacion-latina-en-estados-unidos-un-gigante-dormido-llorente-cuenca/" TargetMode="External"/><Relationship Id="rId5" Type="http://schemas.openxmlformats.org/officeDocument/2006/relationships/webSettings" Target="webSettings.xml"/><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hyperlink" Target="http://www.forbes.com.mx/inversion-extranjera-la-esperanza-de-las-reformas/" TargetMode="External"/><Relationship Id="rId27" Type="http://schemas.openxmlformats.org/officeDocument/2006/relationships/image" Target="media/image18.emf"/><Relationship Id="rId30" Type="http://schemas.openxmlformats.org/officeDocument/2006/relationships/hyperlink" Target="https://www.wto.org/spanish/news_s/news15_s/hod_18mar15_s.htm" TargetMode="External"/><Relationship Id="rId35" Type="http://schemas.openxmlformats.org/officeDocument/2006/relationships/image" Target="media/image22.emf"/><Relationship Id="rId43" Type="http://schemas.openxmlformats.org/officeDocument/2006/relationships/image" Target="media/image30.png"/><Relationship Id="rId48" Type="http://schemas.openxmlformats.org/officeDocument/2006/relationships/hyperlink" Target="http://www.iadb.org/es/reunion-anual/2015/business-hub,18784.html" TargetMode="External"/><Relationship Id="rId56" Type="http://schemas.openxmlformats.org/officeDocument/2006/relationships/hyperlink" Target="http://www.presidencia.gob.mx/articulos-prensa/palabras-del-presidente-de-los-estados-unidos-mexicanos-licenciado-enrique-pena-nieto-durante-el-anuncio-de-inversion-en-el-sector-turistico/" TargetMode="External"/><Relationship Id="rId64" Type="http://schemas.openxmlformats.org/officeDocument/2006/relationships/image" Target="media/image34.emf"/><Relationship Id="rId69" Type="http://schemas.openxmlformats.org/officeDocument/2006/relationships/image" Target="media/image39.emf"/><Relationship Id="rId77" Type="http://schemas.openxmlformats.org/officeDocument/2006/relationships/hyperlink" Target="http://www.bancomundial.org/es/news/press-release/2015/04/13/remittances-growth-to-slow-sharply-in-2015-as-europe-and-russia-stay-weak-pick-up-expected-next-year" TargetMode="External"/><Relationship Id="rId8" Type="http://schemas.openxmlformats.org/officeDocument/2006/relationships/image" Target="media/image1.emf"/><Relationship Id="rId51" Type="http://schemas.openxmlformats.org/officeDocument/2006/relationships/image" Target="media/image31.emf"/><Relationship Id="rId72" Type="http://schemas.openxmlformats.org/officeDocument/2006/relationships/hyperlink" Target="http://dtxtq4w60xqpw.cloudfront.net/sites/all/files/pdf/unwto_barom15_02_april_except_O.pdf" TargetMode="External"/><Relationship Id="rId80" Type="http://schemas.openxmlformats.org/officeDocument/2006/relationships/hyperlink" Target="http://citiesforaction.us/statement4/" TargetMode="External"/><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6.emf"/><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hyperlink" Target="http://www.iadb.org/es/noticias/comunicados-de-prensa/2015-03-26/cumbre-empresarial-corea-america-latina-y-el-caribe%2c11099.html?WT.mc_id=NewsEmail_Short_11099&amp;wtSrc=Email&amp;wtType=Short&amp;wtArticleID=11099" TargetMode="External"/><Relationship Id="rId59" Type="http://schemas.openxmlformats.org/officeDocument/2006/relationships/hyperlink" Target="http://www.sectur.gob.mx/2015/03/23/boletin-57-arranca-este-lunes-la-40-edicion-del-tianguis-turistico-mexico-acapulco-2015/" TargetMode="External"/><Relationship Id="rId67" Type="http://schemas.openxmlformats.org/officeDocument/2006/relationships/image" Target="media/image37.emf"/><Relationship Id="rId20" Type="http://schemas.openxmlformats.org/officeDocument/2006/relationships/image" Target="media/image13.emf"/><Relationship Id="rId41" Type="http://schemas.openxmlformats.org/officeDocument/2006/relationships/image" Target="media/image28.png"/><Relationship Id="rId54" Type="http://schemas.openxmlformats.org/officeDocument/2006/relationships/hyperlink" Target="http://www.banxico.org.mx/SieInternet/consultarDirectorioInternetAction.do?accion=consultarCuadroAnalitico&amp;idCuadro=CA198&amp;sector=1&amp;locale=es" TargetMode="External"/><Relationship Id="rId62" Type="http://schemas.openxmlformats.org/officeDocument/2006/relationships/hyperlink" Target="http://www.presidencia.gob.mx/inicia-la-40-edicion-del-tianguis-turistico-de-mexico/?ref=relacionadas" TargetMode="External"/><Relationship Id="rId70" Type="http://schemas.openxmlformats.org/officeDocument/2006/relationships/image" Target="media/image40.emf"/><Relationship Id="rId75" Type="http://schemas.openxmlformats.org/officeDocument/2006/relationships/hyperlink" Target="http://www.banxico.org.mx/SieInternet/consultarDirectorioInternetAction.do?accion=consultarCuadroAnalitico&amp;idCuadro=CA11&amp;sector=1&amp;locale=es" TargetMode="External"/><Relationship Id="rId83" Type="http://schemas.openxmlformats.org/officeDocument/2006/relationships/hyperlink" Target="http://multipress.com.mx/wp-content/uploads/2015/04/150407_DI_informe_especial_poblacion-latina_EEUU_ESP.pdf"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4.emf"/><Relationship Id="rId28" Type="http://schemas.openxmlformats.org/officeDocument/2006/relationships/hyperlink" Target="http://www.cefp.gob.mx/publicaciones/nota/2015/marzo/notacefp0132015.pdf" TargetMode="External"/><Relationship Id="rId36" Type="http://schemas.openxmlformats.org/officeDocument/2006/relationships/image" Target="media/image23.emf"/><Relationship Id="rId49" Type="http://schemas.openxmlformats.org/officeDocument/2006/relationships/hyperlink" Target="http://www.iadb.org/es/noticias/comunicados-de-prensa/2015-03-28/bid-y-corea-afianzan-alianza%2c11103.html?WT.mc_id=NewsEmail_Short_11103&amp;wtSrc=Email&amp;wtType=Short&amp;wtArticleID=11103" TargetMode="External"/><Relationship Id="rId57" Type="http://schemas.openxmlformats.org/officeDocument/2006/relationships/hyperlink" Target="http://www.presidencia.gob.mx/articulos-prensa/mexico-se-ubica-nuevamente-entre-las-diez-naciones-mas-visitadas-del-mundo-enrique-pena-nieto/" TargetMode="External"/><Relationship Id="rId10" Type="http://schemas.openxmlformats.org/officeDocument/2006/relationships/image" Target="media/image3.emf"/><Relationship Id="rId31" Type="http://schemas.openxmlformats.org/officeDocument/2006/relationships/hyperlink" Target="http://www.imf.org/external/Spanish/pubs/ft/survey/so/2015/POL032315AS.htm" TargetMode="External"/><Relationship Id="rId44" Type="http://schemas.openxmlformats.org/officeDocument/2006/relationships/hyperlink" Target="https://www.wto.org/spanish/news_s/pres15_s/pr739_s.htm" TargetMode="External"/><Relationship Id="rId52" Type="http://schemas.openxmlformats.org/officeDocument/2006/relationships/image" Target="media/image32.emf"/><Relationship Id="rId60" Type="http://schemas.openxmlformats.org/officeDocument/2006/relationships/hyperlink" Target="http://www.sectur.gob.mx/2015/03/26/boletin-59-participantes-al-tianguis-turistico-de-acapulco-reafirman-su-interes-por-mexico-crm/" TargetMode="External"/><Relationship Id="rId65" Type="http://schemas.openxmlformats.org/officeDocument/2006/relationships/image" Target="media/image35.emf"/><Relationship Id="rId73" Type="http://schemas.openxmlformats.org/officeDocument/2006/relationships/image" Target="media/image41.emf"/><Relationship Id="rId78" Type="http://schemas.openxmlformats.org/officeDocument/2006/relationships/hyperlink" Target="http://multipress.com.mx/wp-content/uploads/2015/04/150407_DI_informe_especial_poblacion-latina_EEUU_ESP.pdf" TargetMode="External"/><Relationship Id="rId81" Type="http://schemas.openxmlformats.org/officeDocument/2006/relationships/hyperlink" Target="http://mexico.cnn.com/mundo/2015/04/06/73-ciudades-de-eu-forman-coalicion-para-apoyar-plan-migratorio-de-obama?newscnn1=%5b20150407%5d" TargetMode="External"/><Relationship Id="rId86"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26.emf"/><Relationship Id="rId34" Type="http://schemas.openxmlformats.org/officeDocument/2006/relationships/image" Target="media/image21.emf"/><Relationship Id="rId50" Type="http://schemas.openxmlformats.org/officeDocument/2006/relationships/hyperlink" Target="http://www.iadb.org/es/noticias/comunicados-de-prensa/2015-03-29/cii-respaldo-a-40000-pymes-en-la-region-en-2014%2c11095.html?WT.mc_id=NewsEmail_Short_11095&amp;wtSrc=Email&amp;wtType=Short&amp;wtArticleID=11095" TargetMode="External"/><Relationship Id="rId55" Type="http://schemas.openxmlformats.org/officeDocument/2006/relationships/hyperlink" Target="http://www.banxico.org.mx/SieInternet/consultarDirectorioInternetAction.do?accion=consultarCuadroAnalitico&amp;idCuadro=CA199&amp;sector=1&amp;locale=es" TargetMode="External"/><Relationship Id="rId76" Type="http://schemas.openxmlformats.org/officeDocument/2006/relationships/hyperlink" Target="http://www.banxico.org.mx/SieInternet/consultarDirectorioInternetAction.do?accion=consultarCuadro&amp;idCuadro=CE81&amp;sector=1&amp;locale=es" TargetMode="External"/><Relationship Id="rId7" Type="http://schemas.openxmlformats.org/officeDocument/2006/relationships/endnotes" Target="endnotes.xml"/><Relationship Id="rId71" Type="http://schemas.openxmlformats.org/officeDocument/2006/relationships/hyperlink" Target="http://media.unwto.org/es/press-release/2015-04-15/las-exportaciones-generadas-por-el-turismo-internacional-llegan-15-billones" TargetMode="External"/><Relationship Id="rId2" Type="http://schemas.openxmlformats.org/officeDocument/2006/relationships/numbering" Target="numbering.xml"/><Relationship Id="rId29" Type="http://schemas.openxmlformats.org/officeDocument/2006/relationships/hyperlink" Target="http://www.sagarpa.gob.mx/saladeprensa/2012/Paginas/2015B201.aspx" TargetMode="External"/><Relationship Id="rId24" Type="http://schemas.openxmlformats.org/officeDocument/2006/relationships/image" Target="media/image15.emf"/><Relationship Id="rId40" Type="http://schemas.openxmlformats.org/officeDocument/2006/relationships/image" Target="media/image27.png"/><Relationship Id="rId45" Type="http://schemas.openxmlformats.org/officeDocument/2006/relationships/hyperlink" Target="https://www.wto.org/spanish/news_s/pres15_s/pr739_s.pdf" TargetMode="External"/><Relationship Id="rId66" Type="http://schemas.openxmlformats.org/officeDocument/2006/relationships/image" Target="media/image36.emf"/><Relationship Id="rId87" Type="http://schemas.openxmlformats.org/officeDocument/2006/relationships/fontTable" Target="fontTable.xml"/><Relationship Id="rId61" Type="http://schemas.openxmlformats.org/officeDocument/2006/relationships/hyperlink" Target="http://www.presidencia.gob.mx/el-tianguis-turistico-en-numeros/" TargetMode="External"/><Relationship Id="rId82" Type="http://schemas.openxmlformats.org/officeDocument/2006/relationships/hyperlink" Target="http://citiesforaction.us/"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noticias.entravision.com/2015/02/13/?override_market=san-diego" TargetMode="External"/><Relationship Id="rId13" Type="http://schemas.openxmlformats.org/officeDocument/2006/relationships/hyperlink" Target="http://www.elmundo.es/opinion/2014/03/20/532b5084268e3eb20a8b458d.html" TargetMode="External"/><Relationship Id="rId3" Type="http://schemas.openxmlformats.org/officeDocument/2006/relationships/hyperlink" Target="https://connectamericas.com/es" TargetMode="External"/><Relationship Id="rId7" Type="http://schemas.openxmlformats.org/officeDocument/2006/relationships/hyperlink" Target="http://www.census.gov/prod/cen2010/briefs/c2010br-04sp.pdf" TargetMode="External"/><Relationship Id="rId12" Type="http://schemas.openxmlformats.org/officeDocument/2006/relationships/hyperlink" Target="http://www.realinstitutoelcano.org/wps/portal/web/rielcano_es/contenido?WCM_GLOBAL_CONTEXT=/elcano/elcano_es/zonas_es/eeuu-dialogo+trasatlantico/ari51-2014-urena-royo-papel-del-voto-hispano-elecciones-de-noviembre-eeuu-2014" TargetMode="External"/><Relationship Id="rId2" Type="http://schemas.openxmlformats.org/officeDocument/2006/relationships/hyperlink" Target="http://publications.iadb.org/handle/11319/6830?scope=123456789/1&amp;thumbnail=false&amp;order=desc&amp;rpp=5&amp;sort_by=score&amp;page=0&amp;query=korea+and+latin+america&amp;group_by=none&amp;etal=0" TargetMode="External"/><Relationship Id="rId1" Type="http://schemas.openxmlformats.org/officeDocument/2006/relationships/hyperlink" Target="https://www.wto.org/english/res_e/statis_e/statis_e.htm" TargetMode="External"/><Relationship Id="rId6" Type="http://schemas.openxmlformats.org/officeDocument/2006/relationships/hyperlink" Target="http://www.census.gov/prod/cen2010/briefs/c2010br-04.pdf" TargetMode="External"/><Relationship Id="rId11" Type="http://schemas.openxmlformats.org/officeDocument/2006/relationships/hyperlink" Target="http://www.larepublica.pe/26-01-2009/aseguran-que-el-primer-presidente-hispano-de-eeuu-ya-ha-nacido" TargetMode="External"/><Relationship Id="rId5" Type="http://schemas.openxmlformats.org/officeDocument/2006/relationships/hyperlink" Target="http://www.census.gov/prod/cen2010/briefs/c2010br-04sp.pdf" TargetMode="External"/><Relationship Id="rId10" Type="http://schemas.openxmlformats.org/officeDocument/2006/relationships/hyperlink" Target="http://internacional.elpais.com/internacional/2014/10/19/actualidad/1413733870_041970.html" TargetMode="External"/><Relationship Id="rId4" Type="http://schemas.openxmlformats.org/officeDocument/2006/relationships/hyperlink" Target="http://www.sectur.gob.mx/2015/03/24/version-estenografica/" TargetMode="External"/><Relationship Id="rId9" Type="http://schemas.openxmlformats.org/officeDocument/2006/relationships/hyperlink" Target="http://www.nielsen.com/us/en/insights/reports/2012/state-of-the-hispanic-consumer-the-hispanic-market-imperative.html" TargetMode="External"/><Relationship Id="rId14" Type="http://schemas.openxmlformats.org/officeDocument/2006/relationships/hyperlink" Target="http://internacional.elpais.com/internacional/2015/03/01/actualidad/1425166727_525835.html" TargetMode="External"/></Relationships>
</file>

<file path=word/theme/theme1.xml><?xml version="1.0" encoding="utf-8"?>
<a:theme xmlns:a="http://schemas.openxmlformats.org/drawingml/2006/main" name="Tema de Office">
  <a:themeElements>
    <a:clrScheme name="Rojo naranja">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A76D83-AE8B-4D3E-8BA5-04B9AF19F4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135</Pages>
  <Words>34056</Words>
  <Characters>187313</Characters>
  <Application>Microsoft Office Word</Application>
  <DocSecurity>0</DocSecurity>
  <Lines>1560</Lines>
  <Paragraphs>441</Paragraphs>
  <ScaleCrop>false</ScaleCrop>
  <HeadingPairs>
    <vt:vector size="2" baseType="variant">
      <vt:variant>
        <vt:lpstr>Título</vt:lpstr>
      </vt:variant>
      <vt:variant>
        <vt:i4>1</vt:i4>
      </vt:variant>
    </vt:vector>
  </HeadingPairs>
  <TitlesOfParts>
    <vt:vector size="1" baseType="lpstr">
      <vt:lpstr>I</vt:lpstr>
    </vt:vector>
  </TitlesOfParts>
  <Company>CONASAMI</Company>
  <LinksUpToDate>false</LinksUpToDate>
  <CharactersWithSpaces>220928</CharactersWithSpaces>
  <SharedDoc>false</SharedDoc>
  <HLinks>
    <vt:vector size="1194" baseType="variant">
      <vt:variant>
        <vt:i4>2359407</vt:i4>
      </vt:variant>
      <vt:variant>
        <vt:i4>653</vt:i4>
      </vt:variant>
      <vt:variant>
        <vt:i4>0</vt:i4>
      </vt:variant>
      <vt:variant>
        <vt:i4>5</vt:i4>
      </vt:variant>
      <vt:variant>
        <vt:lpwstr>http://economy.blogs.ie.edu/archives/2012/02/perspectivas-economicas-riesgos-y-sorpresas-para-2012.php</vt:lpwstr>
      </vt:variant>
      <vt:variant>
        <vt:lpwstr/>
      </vt:variant>
      <vt:variant>
        <vt:i4>131164</vt:i4>
      </vt:variant>
      <vt:variant>
        <vt:i4>650</vt:i4>
      </vt:variant>
      <vt:variant>
        <vt:i4>0</vt:i4>
      </vt:variant>
      <vt:variant>
        <vt:i4>5</vt:i4>
      </vt:variant>
      <vt:variant>
        <vt:lpwstr>http://blog-dialogoafondo.org/?p=1637</vt:lpwstr>
      </vt:variant>
      <vt:variant>
        <vt:lpwstr/>
      </vt:variant>
      <vt:variant>
        <vt:i4>2293876</vt:i4>
      </vt:variant>
      <vt:variant>
        <vt:i4>647</vt:i4>
      </vt:variant>
      <vt:variant>
        <vt:i4>0</vt:i4>
      </vt:variant>
      <vt:variant>
        <vt:i4>5</vt:i4>
      </vt:variant>
      <vt:variant>
        <vt:lpwstr>http://www.felaban.com/</vt:lpwstr>
      </vt:variant>
      <vt:variant>
        <vt:lpwstr/>
      </vt:variant>
      <vt:variant>
        <vt:i4>5832730</vt:i4>
      </vt:variant>
      <vt:variant>
        <vt:i4>644</vt:i4>
      </vt:variant>
      <vt:variant>
        <vt:i4>0</vt:i4>
      </vt:variant>
      <vt:variant>
        <vt:i4>5</vt:i4>
      </vt:variant>
      <vt:variant>
        <vt:lpwstr>http://www.felaban.com/noticia.php?id=36</vt:lpwstr>
      </vt:variant>
      <vt:variant>
        <vt:lpwstr/>
      </vt:variant>
      <vt:variant>
        <vt:i4>65593</vt:i4>
      </vt:variant>
      <vt:variant>
        <vt:i4>641</vt:i4>
      </vt:variant>
      <vt:variant>
        <vt:i4>0</vt:i4>
      </vt:variant>
      <vt:variant>
        <vt:i4>5</vt:i4>
      </vt:variant>
      <vt:variant>
        <vt:lpwstr>http://www.felaban.com/archivos_noticias/Enero 30 - DISMINUCION DEL CRECIMIENTO PRONOSTICA FELABAN.pdf</vt:lpwstr>
      </vt:variant>
      <vt:variant>
        <vt:lpwstr/>
      </vt:variant>
      <vt:variant>
        <vt:i4>5046358</vt:i4>
      </vt:variant>
      <vt:variant>
        <vt:i4>638</vt:i4>
      </vt:variant>
      <vt:variant>
        <vt:i4>0</vt:i4>
      </vt:variant>
      <vt:variant>
        <vt:i4>5</vt:i4>
      </vt:variant>
      <vt:variant>
        <vt:lpwstr>http://www.imf.org/external/spanish/pubs/ft/weo/2012/update/01/pdf/0112s.pdf</vt:lpwstr>
      </vt:variant>
      <vt:variant>
        <vt:lpwstr/>
      </vt:variant>
      <vt:variant>
        <vt:i4>8257582</vt:i4>
      </vt:variant>
      <vt:variant>
        <vt:i4>596</vt:i4>
      </vt:variant>
      <vt:variant>
        <vt:i4>0</vt:i4>
      </vt:variant>
      <vt:variant>
        <vt:i4>5</vt:i4>
      </vt:variant>
      <vt:variant>
        <vt:lpwstr>http://www.oecd.org/dataoecd/35/8/49363879.pdf</vt:lpwstr>
      </vt:variant>
      <vt:variant>
        <vt:lpwstr/>
      </vt:variant>
      <vt:variant>
        <vt:i4>131139</vt:i4>
      </vt:variant>
      <vt:variant>
        <vt:i4>593</vt:i4>
      </vt:variant>
      <vt:variant>
        <vt:i4>0</vt:i4>
      </vt:variant>
      <vt:variant>
        <vt:i4>5</vt:i4>
      </vt:variant>
      <vt:variant>
        <vt:lpwstr>http://www.oecd.org/regreform/indicators</vt:lpwstr>
      </vt:variant>
      <vt:variant>
        <vt:lpwstr/>
      </vt:variant>
      <vt:variant>
        <vt:i4>6946868</vt:i4>
      </vt:variant>
      <vt:variant>
        <vt:i4>590</vt:i4>
      </vt:variant>
      <vt:variant>
        <vt:i4>0</vt:i4>
      </vt:variant>
      <vt:variant>
        <vt:i4>5</vt:i4>
      </vt:variant>
      <vt:variant>
        <vt:lpwstr>http://www.project-syndicate.org/commentary/soros76/Spanish</vt:lpwstr>
      </vt:variant>
      <vt:variant>
        <vt:lpwstr/>
      </vt:variant>
      <vt:variant>
        <vt:i4>4522007</vt:i4>
      </vt:variant>
      <vt:variant>
        <vt:i4>587</vt:i4>
      </vt:variant>
      <vt:variant>
        <vt:i4>0</vt:i4>
      </vt:variant>
      <vt:variant>
        <vt:i4>5</vt:i4>
      </vt:variant>
      <vt:variant>
        <vt:lpwstr>http://economy.blogs.ie.edu/</vt:lpwstr>
      </vt:variant>
      <vt:variant>
        <vt:lpwstr/>
      </vt:variant>
      <vt:variant>
        <vt:i4>6881403</vt:i4>
      </vt:variant>
      <vt:variant>
        <vt:i4>584</vt:i4>
      </vt:variant>
      <vt:variant>
        <vt:i4>0</vt:i4>
      </vt:variant>
      <vt:variant>
        <vt:i4>5</vt:i4>
      </vt:variant>
      <vt:variant>
        <vt:lpwstr>http://www.project-syndicate.org/commentary/stiglitz148/Spanish</vt:lpwstr>
      </vt:variant>
      <vt:variant>
        <vt:lpwstr/>
      </vt:variant>
      <vt:variant>
        <vt:i4>1835011</vt:i4>
      </vt:variant>
      <vt:variant>
        <vt:i4>581</vt:i4>
      </vt:variant>
      <vt:variant>
        <vt:i4>0</vt:i4>
      </vt:variant>
      <vt:variant>
        <vt:i4>5</vt:i4>
      </vt:variant>
      <vt:variant>
        <vt:lpwstr>http://www.comfin.com.mx/comunicados/fitch/12/feb/07informela.pdf</vt:lpwstr>
      </vt:variant>
      <vt:variant>
        <vt:lpwstr/>
      </vt:variant>
      <vt:variant>
        <vt:i4>3211274</vt:i4>
      </vt:variant>
      <vt:variant>
        <vt:i4>578</vt:i4>
      </vt:variant>
      <vt:variant>
        <vt:i4>0</vt:i4>
      </vt:variant>
      <vt:variant>
        <vt:i4>5</vt:i4>
      </vt:variant>
      <vt:variant>
        <vt:lpwstr>http://www.fitchmexico.com/ArchivosHTML/Com_9722.pdf</vt:lpwstr>
      </vt:variant>
      <vt:variant>
        <vt:lpwstr/>
      </vt:variant>
      <vt:variant>
        <vt:i4>2752533</vt:i4>
      </vt:variant>
      <vt:variant>
        <vt:i4>575</vt:i4>
      </vt:variant>
      <vt:variant>
        <vt:i4>0</vt:i4>
      </vt:variant>
      <vt:variant>
        <vt:i4>5</vt:i4>
      </vt:variant>
      <vt:variant>
        <vt:lpwstr>http://www.sela.org/attach/258/default/Canada_Politicas_Programas_Cooperacion_Internacional_para_el_Desarrollo-Oportunidades_para_ALC.pdf</vt:lpwstr>
      </vt:variant>
      <vt:variant>
        <vt:lpwstr/>
      </vt:variant>
      <vt:variant>
        <vt:i4>7864395</vt:i4>
      </vt:variant>
      <vt:variant>
        <vt:i4>572</vt:i4>
      </vt:variant>
      <vt:variant>
        <vt:i4>0</vt:i4>
      </vt:variant>
      <vt:variant>
        <vt:i4>5</vt:i4>
      </vt:variant>
      <vt:variant>
        <vt:lpwstr>http://www.sela.org/view/index.asp?ms=258&amp;pageMs=75192&amp;new_id=98107</vt:lpwstr>
      </vt:variant>
      <vt:variant>
        <vt:lpwstr/>
      </vt:variant>
      <vt:variant>
        <vt:i4>983058</vt:i4>
      </vt:variant>
      <vt:variant>
        <vt:i4>569</vt:i4>
      </vt:variant>
      <vt:variant>
        <vt:i4>0</vt:i4>
      </vt:variant>
      <vt:variant>
        <vt:i4>5</vt:i4>
      </vt:variant>
      <vt:variant>
        <vt:lpwstr>http://www.acdi-cida.gc.ca/acdi-cida/acdi-CIDA.nsf/eng/CAR-616135752-P3Q</vt:lpwstr>
      </vt:variant>
      <vt:variant>
        <vt:lpwstr/>
      </vt:variant>
      <vt:variant>
        <vt:i4>983058</vt:i4>
      </vt:variant>
      <vt:variant>
        <vt:i4>566</vt:i4>
      </vt:variant>
      <vt:variant>
        <vt:i4>0</vt:i4>
      </vt:variant>
      <vt:variant>
        <vt:i4>5</vt:i4>
      </vt:variant>
      <vt:variant>
        <vt:lpwstr>http://www.acdi-cida.gc.ca/acdi-cida/acdi-CIDA.nsf/eng/CAR-616135752-P3Q</vt:lpwstr>
      </vt:variant>
      <vt:variant>
        <vt:lpwstr/>
      </vt:variant>
      <vt:variant>
        <vt:i4>6160417</vt:i4>
      </vt:variant>
      <vt:variant>
        <vt:i4>563</vt:i4>
      </vt:variant>
      <vt:variant>
        <vt:i4>0</vt:i4>
      </vt:variant>
      <vt:variant>
        <vt:i4>5</vt:i4>
      </vt:variant>
      <vt:variant>
        <vt:lpwstr>http://files.shareholder.com/downloads/MAN/1350367079x0x535838/7071e568-457d-455e-b273-3a2eac7d290d/MAN_News_2012_1_24_General.pdf</vt:lpwstr>
      </vt:variant>
      <vt:variant>
        <vt:lpwstr/>
      </vt:variant>
      <vt:variant>
        <vt:i4>3080246</vt:i4>
      </vt:variant>
      <vt:variant>
        <vt:i4>560</vt:i4>
      </vt:variant>
      <vt:variant>
        <vt:i4>0</vt:i4>
      </vt:variant>
      <vt:variant>
        <vt:i4>5</vt:i4>
      </vt:variant>
      <vt:variant>
        <vt:lpwstr>http://www.revistasculturales.com/xrevistas/PDF/13/1480.pdf</vt:lpwstr>
      </vt:variant>
      <vt:variant>
        <vt:lpwstr/>
      </vt:variant>
      <vt:variant>
        <vt:i4>6881402</vt:i4>
      </vt:variant>
      <vt:variant>
        <vt:i4>557</vt:i4>
      </vt:variant>
      <vt:variant>
        <vt:i4>0</vt:i4>
      </vt:variant>
      <vt:variant>
        <vt:i4>5</vt:i4>
      </vt:variant>
      <vt:variant>
        <vt:lpwstr>http://www.cidob.org/es/publicaciones/articulos/revista_cidob_d_afers_internacionals/la_economia_rusa_en_la_crisis_mundial_una_valoracion_de_la_etapa_medvedev</vt:lpwstr>
      </vt:variant>
      <vt:variant>
        <vt:lpwstr/>
      </vt:variant>
      <vt:variant>
        <vt:i4>1441814</vt:i4>
      </vt:variant>
      <vt:variant>
        <vt:i4>554</vt:i4>
      </vt:variant>
      <vt:variant>
        <vt:i4>0</vt:i4>
      </vt:variant>
      <vt:variant>
        <vt:i4>5</vt:i4>
      </vt:variant>
      <vt:variant>
        <vt:lpwstr>http://www.oecd.org/dataoecd/2/13/49417295.pdf?contentId=49417296</vt:lpwstr>
      </vt:variant>
      <vt:variant>
        <vt:lpwstr/>
      </vt:variant>
      <vt:variant>
        <vt:i4>1441814</vt:i4>
      </vt:variant>
      <vt:variant>
        <vt:i4>551</vt:i4>
      </vt:variant>
      <vt:variant>
        <vt:i4>0</vt:i4>
      </vt:variant>
      <vt:variant>
        <vt:i4>5</vt:i4>
      </vt:variant>
      <vt:variant>
        <vt:lpwstr>http://www.oecd.org/dataoecd/2/13/49417295.pdf?contentId=49417296</vt:lpwstr>
      </vt:variant>
      <vt:variant>
        <vt:lpwstr/>
      </vt:variant>
      <vt:variant>
        <vt:i4>1966111</vt:i4>
      </vt:variant>
      <vt:variant>
        <vt:i4>548</vt:i4>
      </vt:variant>
      <vt:variant>
        <vt:i4>0</vt:i4>
      </vt:variant>
      <vt:variant>
        <vt:i4>5</vt:i4>
      </vt:variant>
      <vt:variant>
        <vt:lpwstr>http://www.oecd.org/dataoecd/2/14/49417273.pdf?contentId=49417274</vt:lpwstr>
      </vt:variant>
      <vt:variant>
        <vt:lpwstr/>
      </vt:variant>
      <vt:variant>
        <vt:i4>1966111</vt:i4>
      </vt:variant>
      <vt:variant>
        <vt:i4>545</vt:i4>
      </vt:variant>
      <vt:variant>
        <vt:i4>0</vt:i4>
      </vt:variant>
      <vt:variant>
        <vt:i4>5</vt:i4>
      </vt:variant>
      <vt:variant>
        <vt:lpwstr>http://www.oecd.org/dataoecd/2/14/49417273.pdf?contentId=49417274</vt:lpwstr>
      </vt:variant>
      <vt:variant>
        <vt:lpwstr/>
      </vt:variant>
      <vt:variant>
        <vt:i4>2752555</vt:i4>
      </vt:variant>
      <vt:variant>
        <vt:i4>542</vt:i4>
      </vt:variant>
      <vt:variant>
        <vt:i4>0</vt:i4>
      </vt:variant>
      <vt:variant>
        <vt:i4>5</vt:i4>
      </vt:variant>
      <vt:variant>
        <vt:lpwstr>http://www.oecd.org/dataoecd/44/27/49421268.pdf?contentId=49421269</vt:lpwstr>
      </vt:variant>
      <vt:variant>
        <vt:lpwstr/>
      </vt:variant>
      <vt:variant>
        <vt:i4>2752555</vt:i4>
      </vt:variant>
      <vt:variant>
        <vt:i4>539</vt:i4>
      </vt:variant>
      <vt:variant>
        <vt:i4>0</vt:i4>
      </vt:variant>
      <vt:variant>
        <vt:i4>5</vt:i4>
      </vt:variant>
      <vt:variant>
        <vt:lpwstr>http://www.oecd.org/dataoecd/44/27/49421268.pdf?contentId=49421269</vt:lpwstr>
      </vt:variant>
      <vt:variant>
        <vt:lpwstr/>
      </vt:variant>
      <vt:variant>
        <vt:i4>2228256</vt:i4>
      </vt:variant>
      <vt:variant>
        <vt:i4>536</vt:i4>
      </vt:variant>
      <vt:variant>
        <vt:i4>0</vt:i4>
      </vt:variant>
      <vt:variant>
        <vt:i4>5</vt:i4>
      </vt:variant>
      <vt:variant>
        <vt:lpwstr>http://www.oecd.org/dataoecd/44/26/49421421.pdf?contentId=49421422</vt:lpwstr>
      </vt:variant>
      <vt:variant>
        <vt:lpwstr/>
      </vt:variant>
      <vt:variant>
        <vt:i4>7798867</vt:i4>
      </vt:variant>
      <vt:variant>
        <vt:i4>533</vt:i4>
      </vt:variant>
      <vt:variant>
        <vt:i4>0</vt:i4>
      </vt:variant>
      <vt:variant>
        <vt:i4>5</vt:i4>
      </vt:variant>
      <vt:variant>
        <vt:lpwstr>http://www.oecd.org/document/36/0,3746,en_2649_34113_49334372_1_1_1_1,00.html</vt:lpwstr>
      </vt:variant>
      <vt:variant>
        <vt:lpwstr/>
      </vt:variant>
      <vt:variant>
        <vt:i4>721004</vt:i4>
      </vt:variant>
      <vt:variant>
        <vt:i4>530</vt:i4>
      </vt:variant>
      <vt:variant>
        <vt:i4>0</vt:i4>
      </vt:variant>
      <vt:variant>
        <vt:i4>5</vt:i4>
      </vt:variant>
      <vt:variant>
        <vt:lpwstr>http://www.oecd.org/document/39/0,3746,es_36288966_36288553_49448167_1_1_1_1,00.html</vt:lpwstr>
      </vt:variant>
      <vt:variant>
        <vt:lpwstr/>
      </vt:variant>
      <vt:variant>
        <vt:i4>5505067</vt:i4>
      </vt:variant>
      <vt:variant>
        <vt:i4>527</vt:i4>
      </vt:variant>
      <vt:variant>
        <vt:i4>0</vt:i4>
      </vt:variant>
      <vt:variant>
        <vt:i4>5</vt:i4>
      </vt:variant>
      <vt:variant>
        <vt:lpwstr>http://www.brookings.edu/reports/2012/0118_global_metro_monitor.aspx</vt:lpwstr>
      </vt:variant>
      <vt:variant>
        <vt:lpwstr/>
      </vt:variant>
      <vt:variant>
        <vt:i4>3604512</vt:i4>
      </vt:variant>
      <vt:variant>
        <vt:i4>524</vt:i4>
      </vt:variant>
      <vt:variant>
        <vt:i4>0</vt:i4>
      </vt:variant>
      <vt:variant>
        <vt:i4>5</vt:i4>
      </vt:variant>
      <vt:variant>
        <vt:lpwstr>http://www.brookings.edu/~/media/Files/rc/reports/2012/0118_global_metro_monitor/0118_global_metro_monitor.pdf</vt:lpwstr>
      </vt:variant>
      <vt:variant>
        <vt:lpwstr/>
      </vt:variant>
      <vt:variant>
        <vt:i4>1572917</vt:i4>
      </vt:variant>
      <vt:variant>
        <vt:i4>521</vt:i4>
      </vt:variant>
      <vt:variant>
        <vt:i4>0</vt:i4>
      </vt:variant>
      <vt:variant>
        <vt:i4>5</vt:i4>
      </vt:variant>
      <vt:variant>
        <vt:lpwstr>http://www.brookings.edu/~/media/Files/rc/reports/2012/0118_global_metro_monitor/0118_global_metro_monitor_sp.pdf</vt:lpwstr>
      </vt:variant>
      <vt:variant>
        <vt:lpwstr/>
      </vt:variant>
      <vt:variant>
        <vt:i4>4784214</vt:i4>
      </vt:variant>
      <vt:variant>
        <vt:i4>518</vt:i4>
      </vt:variant>
      <vt:variant>
        <vt:i4>0</vt:i4>
      </vt:variant>
      <vt:variant>
        <vt:i4>5</vt:i4>
      </vt:variant>
      <vt:variant>
        <vt:lpwstr>http://www.project-syndicate.org/commentary/zuma1/Spanish</vt:lpwstr>
      </vt:variant>
      <vt:variant>
        <vt:lpwstr/>
      </vt:variant>
      <vt:variant>
        <vt:i4>4390939</vt:i4>
      </vt:variant>
      <vt:variant>
        <vt:i4>515</vt:i4>
      </vt:variant>
      <vt:variant>
        <vt:i4>0</vt:i4>
      </vt:variant>
      <vt:variant>
        <vt:i4>5</vt:i4>
      </vt:variant>
      <vt:variant>
        <vt:lpwstr>http://www.presidencia.gob.mx/2012/02/encuentro-con-los-sherpas-del-g20/</vt:lpwstr>
      </vt:variant>
      <vt:variant>
        <vt:lpwstr/>
      </vt:variant>
      <vt:variant>
        <vt:i4>3473447</vt:i4>
      </vt:variant>
      <vt:variant>
        <vt:i4>512</vt:i4>
      </vt:variant>
      <vt:variant>
        <vt:i4>0</vt:i4>
      </vt:variant>
      <vt:variant>
        <vt:i4>5</vt:i4>
      </vt:variant>
      <vt:variant>
        <vt:lpwstr>http://www.presidencia.gob.mx/index.php?p=75088</vt:lpwstr>
      </vt:variant>
      <vt:variant>
        <vt:lpwstr/>
      </vt:variant>
      <vt:variant>
        <vt:i4>3473446</vt:i4>
      </vt:variant>
      <vt:variant>
        <vt:i4>509</vt:i4>
      </vt:variant>
      <vt:variant>
        <vt:i4>0</vt:i4>
      </vt:variant>
      <vt:variant>
        <vt:i4>5</vt:i4>
      </vt:variant>
      <vt:variant>
        <vt:lpwstr>http://www.presidencia.gob.mx/index.php?p=75184</vt:lpwstr>
      </vt:variant>
      <vt:variant>
        <vt:lpwstr/>
      </vt:variant>
      <vt:variant>
        <vt:i4>3473446</vt:i4>
      </vt:variant>
      <vt:variant>
        <vt:i4>506</vt:i4>
      </vt:variant>
      <vt:variant>
        <vt:i4>0</vt:i4>
      </vt:variant>
      <vt:variant>
        <vt:i4>5</vt:i4>
      </vt:variant>
      <vt:variant>
        <vt:lpwstr>http://www.presidencia.gob.mx/index.php?p=75185</vt:lpwstr>
      </vt:variant>
      <vt:variant>
        <vt:lpwstr/>
      </vt:variant>
      <vt:variant>
        <vt:i4>2228258</vt:i4>
      </vt:variant>
      <vt:variant>
        <vt:i4>503</vt:i4>
      </vt:variant>
      <vt:variant>
        <vt:i4>0</vt:i4>
      </vt:variant>
      <vt:variant>
        <vt:i4>5</vt:i4>
      </vt:variant>
      <vt:variant>
        <vt:lpwstr>http://www.presidencia.gob.mx/2012/01/se-reune-el-presidente-felipe-calderon-hinojosa-con-bill-gates-2/</vt:lpwstr>
      </vt:variant>
      <vt:variant>
        <vt:lpwstr/>
      </vt:variant>
      <vt:variant>
        <vt:i4>3473446</vt:i4>
      </vt:variant>
      <vt:variant>
        <vt:i4>500</vt:i4>
      </vt:variant>
      <vt:variant>
        <vt:i4>0</vt:i4>
      </vt:variant>
      <vt:variant>
        <vt:i4>5</vt:i4>
      </vt:variant>
      <vt:variant>
        <vt:lpwstr>http://www.presidencia.gob.mx/index.php?p=75184</vt:lpwstr>
      </vt:variant>
      <vt:variant>
        <vt:lpwstr/>
      </vt:variant>
      <vt:variant>
        <vt:i4>1441803</vt:i4>
      </vt:variant>
      <vt:variant>
        <vt:i4>497</vt:i4>
      </vt:variant>
      <vt:variant>
        <vt:i4>0</vt:i4>
      </vt:variant>
      <vt:variant>
        <vt:i4>5</vt:i4>
      </vt:variant>
      <vt:variant>
        <vt:lpwstr>http://www.presidencia.gob.mx/2012/01/premio-al-estadista-global/</vt:lpwstr>
      </vt:variant>
      <vt:variant>
        <vt:lpwstr/>
      </vt:variant>
      <vt:variant>
        <vt:i4>3473518</vt:i4>
      </vt:variant>
      <vt:variant>
        <vt:i4>494</vt:i4>
      </vt:variant>
      <vt:variant>
        <vt:i4>0</vt:i4>
      </vt:variant>
      <vt:variant>
        <vt:i4>5</vt:i4>
      </vt:variant>
      <vt:variant>
        <vt:lpwstr>http://presidencia.gob.mx/multimedia/infografias/?Info=503</vt:lpwstr>
      </vt:variant>
      <vt:variant>
        <vt:lpwstr/>
      </vt:variant>
      <vt:variant>
        <vt:i4>2621472</vt:i4>
      </vt:variant>
      <vt:variant>
        <vt:i4>491</vt:i4>
      </vt:variant>
      <vt:variant>
        <vt:i4>0</vt:i4>
      </vt:variant>
      <vt:variant>
        <vt:i4>5</vt:i4>
      </vt:variant>
      <vt:variant>
        <vt:lpwstr>http://www.project-syndicate.org/commentary/tyson2/Spanish</vt:lpwstr>
      </vt:variant>
      <vt:variant>
        <vt:lpwstr/>
      </vt:variant>
      <vt:variant>
        <vt:i4>7471151</vt:i4>
      </vt:variant>
      <vt:variant>
        <vt:i4>488</vt:i4>
      </vt:variant>
      <vt:variant>
        <vt:i4>0</vt:i4>
      </vt:variant>
      <vt:variant>
        <vt:i4>5</vt:i4>
      </vt:variant>
      <vt:variant>
        <vt:lpwstr>http://www.federalreserve.gov/monetarypolicy/files/fomcprojtabl20120125.pdf</vt:lpwstr>
      </vt:variant>
      <vt:variant>
        <vt:lpwstr/>
      </vt:variant>
      <vt:variant>
        <vt:i4>4325442</vt:i4>
      </vt:variant>
      <vt:variant>
        <vt:i4>485</vt:i4>
      </vt:variant>
      <vt:variant>
        <vt:i4>0</vt:i4>
      </vt:variant>
      <vt:variant>
        <vt:i4>5</vt:i4>
      </vt:variant>
      <vt:variant>
        <vt:lpwstr>http://www.federalreserve.gov/newsevents/press/monetary/20120125c.htm</vt:lpwstr>
      </vt:variant>
      <vt:variant>
        <vt:lpwstr/>
      </vt:variant>
      <vt:variant>
        <vt:i4>2687019</vt:i4>
      </vt:variant>
      <vt:variant>
        <vt:i4>482</vt:i4>
      </vt:variant>
      <vt:variant>
        <vt:i4>0</vt:i4>
      </vt:variant>
      <vt:variant>
        <vt:i4>5</vt:i4>
      </vt:variant>
      <vt:variant>
        <vt:lpwstr>http://www.project-syndicate.org/commentary/blejer9/Spanish</vt:lpwstr>
      </vt:variant>
      <vt:variant>
        <vt:lpwstr/>
      </vt:variant>
      <vt:variant>
        <vt:i4>262166</vt:i4>
      </vt:variant>
      <vt:variant>
        <vt:i4>479</vt:i4>
      </vt:variant>
      <vt:variant>
        <vt:i4>0</vt:i4>
      </vt:variant>
      <vt:variant>
        <vt:i4>5</vt:i4>
      </vt:variant>
      <vt:variant>
        <vt:lpwstr>http://www.elmundo.es/elmundo/2012/02/07/economia/1328585667.html</vt:lpwstr>
      </vt:variant>
      <vt:variant>
        <vt:lpwstr/>
      </vt:variant>
      <vt:variant>
        <vt:i4>7667812</vt:i4>
      </vt:variant>
      <vt:variant>
        <vt:i4>476</vt:i4>
      </vt:variant>
      <vt:variant>
        <vt:i4>0</vt:i4>
      </vt:variant>
      <vt:variant>
        <vt:i4>5</vt:i4>
      </vt:variant>
      <vt:variant>
        <vt:lpwstr>http://web.worldbank.org/WBSITE/EXTERNAL/NEWS/0,,contentMDK:23095597~pagePK:64257043~piPK:437376~theSitePK:4607,00.html</vt:lpwstr>
      </vt:variant>
      <vt:variant>
        <vt:lpwstr/>
      </vt:variant>
      <vt:variant>
        <vt:i4>3473512</vt:i4>
      </vt:variant>
      <vt:variant>
        <vt:i4>473</vt:i4>
      </vt:variant>
      <vt:variant>
        <vt:i4>0</vt:i4>
      </vt:variant>
      <vt:variant>
        <vt:i4>5</vt:i4>
      </vt:variant>
      <vt:variant>
        <vt:lpwstr>http://web.worldbank.org/WBSITE/EXTERNAL/BANCOMUNDIAL/NEWSSPANISH/0,,menuPK:1074627~pagePK:64001221~piPK:51189762~theSitePK:1074568,00.html</vt:lpwstr>
      </vt:variant>
      <vt:variant>
        <vt:lpwstr/>
      </vt:variant>
      <vt:variant>
        <vt:i4>2162695</vt:i4>
      </vt:variant>
      <vt:variant>
        <vt:i4>470</vt:i4>
      </vt:variant>
      <vt:variant>
        <vt:i4>0</vt:i4>
      </vt:variant>
      <vt:variant>
        <vt:i4>5</vt:i4>
      </vt:variant>
      <vt:variant>
        <vt:lpwstr>http://web.worldbank.org/WBSITE/EXTERNAL/BANCOMUNDIAL/NEWSSPANISH/0,,contentMDK:23095807~pagePK:64257043~piPK:437376~theSitePK:1074568,00.html?cid=EXT_BoletinES_W_EXT</vt:lpwstr>
      </vt:variant>
      <vt:variant>
        <vt:lpwstr/>
      </vt:variant>
      <vt:variant>
        <vt:i4>131098</vt:i4>
      </vt:variant>
      <vt:variant>
        <vt:i4>467</vt:i4>
      </vt:variant>
      <vt:variant>
        <vt:i4>0</vt:i4>
      </vt:variant>
      <vt:variant>
        <vt:i4>5</vt:i4>
      </vt:variant>
      <vt:variant>
        <vt:lpwstr>http://web.worldbank.org/WBSITE/EXTERNAL/BANCOMUNDIAL/NEWSSPANISH/0,,contentMDK:23096564~menuPK:1074627~pagePK:34370~piPK:34424~theSitePK:1074568,00.html</vt:lpwstr>
      </vt:variant>
      <vt:variant>
        <vt:lpwstr/>
      </vt:variant>
      <vt:variant>
        <vt:i4>65628</vt:i4>
      </vt:variant>
      <vt:variant>
        <vt:i4>464</vt:i4>
      </vt:variant>
      <vt:variant>
        <vt:i4>0</vt:i4>
      </vt:variant>
      <vt:variant>
        <vt:i4>5</vt:i4>
      </vt:variant>
      <vt:variant>
        <vt:lpwstr>http://blog-dialogoafondo.org/?p=1606</vt:lpwstr>
      </vt:variant>
      <vt:variant>
        <vt:lpwstr/>
      </vt:variant>
      <vt:variant>
        <vt:i4>5832752</vt:i4>
      </vt:variant>
      <vt:variant>
        <vt:i4>461</vt:i4>
      </vt:variant>
      <vt:variant>
        <vt:i4>0</vt:i4>
      </vt:variant>
      <vt:variant>
        <vt:i4>5</vt:i4>
      </vt:variant>
      <vt:variant>
        <vt:lpwstr>http://blog-dialogoafondo.org/?page_id=376</vt:lpwstr>
      </vt:variant>
      <vt:variant>
        <vt:lpwstr/>
      </vt:variant>
      <vt:variant>
        <vt:i4>1703943</vt:i4>
      </vt:variant>
      <vt:variant>
        <vt:i4>458</vt:i4>
      </vt:variant>
      <vt:variant>
        <vt:i4>0</vt:i4>
      </vt:variant>
      <vt:variant>
        <vt:i4>5</vt:i4>
      </vt:variant>
      <vt:variant>
        <vt:lpwstr>http://www.imf.org/external/spanish/pubs/ft/fmu/2012/01/0112s.pdf</vt:lpwstr>
      </vt:variant>
      <vt:variant>
        <vt:lpwstr/>
      </vt:variant>
      <vt:variant>
        <vt:i4>4915275</vt:i4>
      </vt:variant>
      <vt:variant>
        <vt:i4>455</vt:i4>
      </vt:variant>
      <vt:variant>
        <vt:i4>0</vt:i4>
      </vt:variant>
      <vt:variant>
        <vt:i4>5</vt:i4>
      </vt:variant>
      <vt:variant>
        <vt:lpwstr>http://www.imf.org/external/spanish/np/speeches/2012/012312s.htm</vt:lpwstr>
      </vt:variant>
      <vt:variant>
        <vt:lpwstr/>
      </vt:variant>
      <vt:variant>
        <vt:i4>1114132</vt:i4>
      </vt:variant>
      <vt:variant>
        <vt:i4>452</vt:i4>
      </vt:variant>
      <vt:variant>
        <vt:i4>0</vt:i4>
      </vt:variant>
      <vt:variant>
        <vt:i4>5</vt:i4>
      </vt:variant>
      <vt:variant>
        <vt:lpwstr>http://www.opec.org/opec_web/en/data_graphs/40.htm?selectedTab=daily</vt:lpwstr>
      </vt:variant>
      <vt:variant>
        <vt:lpwstr/>
      </vt:variant>
      <vt:variant>
        <vt:i4>4849680</vt:i4>
      </vt:variant>
      <vt:variant>
        <vt:i4>449</vt:i4>
      </vt:variant>
      <vt:variant>
        <vt:i4>0</vt:i4>
      </vt:variant>
      <vt:variant>
        <vt:i4>5</vt:i4>
      </vt:variant>
      <vt:variant>
        <vt:lpwstr>http://www.shcp.gob.mx/SALAPRENSA/doc_informe_petroleo/2012/02-08-12.pdf</vt:lpwstr>
      </vt:variant>
      <vt:variant>
        <vt:lpwstr/>
      </vt:variant>
      <vt:variant>
        <vt:i4>6684778</vt:i4>
      </vt:variant>
      <vt:variant>
        <vt:i4>446</vt:i4>
      </vt:variant>
      <vt:variant>
        <vt:i4>0</vt:i4>
      </vt:variant>
      <vt:variant>
        <vt:i4>5</vt:i4>
      </vt:variant>
      <vt:variant>
        <vt:lpwstr>http://www.pemex.com/index.cfm?action=news&amp;sectionid=8&amp;catid=40&amp;contentid=26014</vt:lpwstr>
      </vt:variant>
      <vt:variant>
        <vt:lpwstr/>
      </vt:variant>
      <vt:variant>
        <vt:i4>7077987</vt:i4>
      </vt:variant>
      <vt:variant>
        <vt:i4>443</vt:i4>
      </vt:variant>
      <vt:variant>
        <vt:i4>0</vt:i4>
      </vt:variant>
      <vt:variant>
        <vt:i4>5</vt:i4>
      </vt:variant>
      <vt:variant>
        <vt:lpwstr>http://www.pemex.com/index.cfm?action=news&amp;sectionid=8&amp;catid=40&amp;contentid=25986</vt:lpwstr>
      </vt:variant>
      <vt:variant>
        <vt:lpwstr/>
      </vt:variant>
      <vt:variant>
        <vt:i4>5767223</vt:i4>
      </vt:variant>
      <vt:variant>
        <vt:i4>440</vt:i4>
      </vt:variant>
      <vt:variant>
        <vt:i4>0</vt:i4>
      </vt:variant>
      <vt:variant>
        <vt:i4>5</vt:i4>
      </vt:variant>
      <vt:variant>
        <vt:lpwstr>http://www.ri.pemex.com/files/dcpe/petro/evolexporta_esp.pdf</vt:lpwstr>
      </vt:variant>
      <vt:variant>
        <vt:lpwstr/>
      </vt:variant>
      <vt:variant>
        <vt:i4>4587561</vt:i4>
      </vt:variant>
      <vt:variant>
        <vt:i4>437</vt:i4>
      </vt:variant>
      <vt:variant>
        <vt:i4>0</vt:i4>
      </vt:variant>
      <vt:variant>
        <vt:i4>5</vt:i4>
      </vt:variant>
      <vt:variant>
        <vt:lpwstr>http://www.ri.pemex.com/files/dcpe/petro/epreciopromedio_esp.xls</vt:lpwstr>
      </vt:variant>
      <vt:variant>
        <vt:lpwstr/>
      </vt:variant>
      <vt:variant>
        <vt:i4>5308483</vt:i4>
      </vt:variant>
      <vt:variant>
        <vt:i4>434</vt:i4>
      </vt:variant>
      <vt:variant>
        <vt:i4>0</vt:i4>
      </vt:variant>
      <vt:variant>
        <vt:i4>5</vt:i4>
      </vt:variant>
      <vt:variant>
        <vt:lpwstr>http://www.sener.gob.mx/webSener/portal/Default.aspx?id=1518</vt:lpwstr>
      </vt:variant>
      <vt:variant>
        <vt:lpwstr/>
      </vt:variant>
      <vt:variant>
        <vt:i4>6488163</vt:i4>
      </vt:variant>
      <vt:variant>
        <vt:i4>431</vt:i4>
      </vt:variant>
      <vt:variant>
        <vt:i4>0</vt:i4>
      </vt:variant>
      <vt:variant>
        <vt:i4>5</vt:i4>
      </vt:variant>
      <vt:variant>
        <vt:lpwstr>http://www.pemex.com/index.cfm?action=news&amp;sectionid=8&amp;catid=40&amp;contentid=25977</vt:lpwstr>
      </vt:variant>
      <vt:variant>
        <vt:lpwstr/>
      </vt:variant>
      <vt:variant>
        <vt:i4>4587561</vt:i4>
      </vt:variant>
      <vt:variant>
        <vt:i4>428</vt:i4>
      </vt:variant>
      <vt:variant>
        <vt:i4>0</vt:i4>
      </vt:variant>
      <vt:variant>
        <vt:i4>5</vt:i4>
      </vt:variant>
      <vt:variant>
        <vt:lpwstr>http://www.ri.pemex.com/files/dcpe/petro/epreciopromedio_esp.xls</vt:lpwstr>
      </vt:variant>
      <vt:variant>
        <vt:lpwstr/>
      </vt:variant>
      <vt:variant>
        <vt:i4>2359373</vt:i4>
      </vt:variant>
      <vt:variant>
        <vt:i4>425</vt:i4>
      </vt:variant>
      <vt:variant>
        <vt:i4>0</vt:i4>
      </vt:variant>
      <vt:variant>
        <vt:i4>5</vt:i4>
      </vt:variant>
      <vt:variant>
        <vt:lpwstr>http://www.ri.pemex.com/files/dcpe/petro/evalorexporta_esp.xls</vt:lpwstr>
      </vt:variant>
      <vt:variant>
        <vt:lpwstr/>
      </vt:variant>
      <vt:variant>
        <vt:i4>3735672</vt:i4>
      </vt:variant>
      <vt:variant>
        <vt:i4>422</vt:i4>
      </vt:variant>
      <vt:variant>
        <vt:i4>0</vt:i4>
      </vt:variant>
      <vt:variant>
        <vt:i4>5</vt:i4>
      </vt:variant>
      <vt:variant>
        <vt:lpwstr>http://web.worldbank.org/WBSITE/EXTERNAL/BANCOMUNDIAL/NEWSSPANISH/0,,contentMDK:23103981~menuPK:51191012~pagePK:34370~piPK:34424~theSitePK:1074568,00.html</vt:lpwstr>
      </vt:variant>
      <vt:variant>
        <vt:lpwstr/>
      </vt:variant>
      <vt:variant>
        <vt:i4>5242975</vt:i4>
      </vt:variant>
      <vt:variant>
        <vt:i4>419</vt:i4>
      </vt:variant>
      <vt:variant>
        <vt:i4>0</vt:i4>
      </vt:variant>
      <vt:variant>
        <vt:i4>5</vt:i4>
      </vt:variant>
      <vt:variant>
        <vt:lpwstr>http://web.worldbank.org/WBSITE/EXTERNAL/BANCOMUNDIAL/NEWSSPANISH/www.enviacentroamerica.org</vt:lpwstr>
      </vt:variant>
      <vt:variant>
        <vt:lpwstr/>
      </vt:variant>
      <vt:variant>
        <vt:i4>7471137</vt:i4>
      </vt:variant>
      <vt:variant>
        <vt:i4>416</vt:i4>
      </vt:variant>
      <vt:variant>
        <vt:i4>0</vt:i4>
      </vt:variant>
      <vt:variant>
        <vt:i4>5</vt:i4>
      </vt:variant>
      <vt:variant>
        <vt:lpwstr>http://www.cemla.org/pdf/DT-ComportamientRemesasMexico.pdf</vt:lpwstr>
      </vt:variant>
      <vt:variant>
        <vt:lpwstr/>
      </vt:variant>
      <vt:variant>
        <vt:i4>8061036</vt:i4>
      </vt:variant>
      <vt:variant>
        <vt:i4>413</vt:i4>
      </vt:variant>
      <vt:variant>
        <vt:i4>0</vt:i4>
      </vt:variant>
      <vt:variant>
        <vt:i4>5</vt:i4>
      </vt:variant>
      <vt:variant>
        <vt:lpwstr>http://www.banxico.org.mx/SieInternet/consultarDirectorioInternetAction.do?accion=consultarCuadro&amp;idCuadro=CE81&amp;sector=1&amp;locale=es</vt:lpwstr>
      </vt:variant>
      <vt:variant>
        <vt:lpwstr/>
      </vt:variant>
      <vt:variant>
        <vt:i4>3407911</vt:i4>
      </vt:variant>
      <vt:variant>
        <vt:i4>410</vt:i4>
      </vt:variant>
      <vt:variant>
        <vt:i4>0</vt:i4>
      </vt:variant>
      <vt:variant>
        <vt:i4>5</vt:i4>
      </vt:variant>
      <vt:variant>
        <vt:lpwstr>http://www.banxico.org.mx/SieInternet/consultarDirectorioInternetAction.do?accion=consultarCuadroAnalitico&amp;idCuadro=CA11&amp;sector=1&amp;locale=es</vt:lpwstr>
      </vt:variant>
      <vt:variant>
        <vt:lpwstr/>
      </vt:variant>
      <vt:variant>
        <vt:i4>655428</vt:i4>
      </vt:variant>
      <vt:variant>
        <vt:i4>407</vt:i4>
      </vt:variant>
      <vt:variant>
        <vt:i4>0</vt:i4>
      </vt:variant>
      <vt:variant>
        <vt:i4>5</vt:i4>
      </vt:variant>
      <vt:variant>
        <vt:lpwstr>http://www.sectur.gob.mx/es/sectur/Boletin_15_</vt:lpwstr>
      </vt:variant>
      <vt:variant>
        <vt:lpwstr/>
      </vt:variant>
      <vt:variant>
        <vt:i4>655429</vt:i4>
      </vt:variant>
      <vt:variant>
        <vt:i4>404</vt:i4>
      </vt:variant>
      <vt:variant>
        <vt:i4>0</vt:i4>
      </vt:variant>
      <vt:variant>
        <vt:i4>5</vt:i4>
      </vt:variant>
      <vt:variant>
        <vt:lpwstr>http://www.sectur.gob.mx/es/sectur/Boletin_14_</vt:lpwstr>
      </vt:variant>
      <vt:variant>
        <vt:lpwstr/>
      </vt:variant>
      <vt:variant>
        <vt:i4>3473447</vt:i4>
      </vt:variant>
      <vt:variant>
        <vt:i4>401</vt:i4>
      </vt:variant>
      <vt:variant>
        <vt:i4>0</vt:i4>
      </vt:variant>
      <vt:variant>
        <vt:i4>5</vt:i4>
      </vt:variant>
      <vt:variant>
        <vt:lpwstr>http://www.banxico.org.mx/SieInternet/consultarDirectorioInternetAction.do?accion=consultarCuadroAnalitico&amp;idCuadro=CA10&amp;sector=1&amp;locale=es</vt:lpwstr>
      </vt:variant>
      <vt:variant>
        <vt:lpwstr/>
      </vt:variant>
      <vt:variant>
        <vt:i4>3539055</vt:i4>
      </vt:variant>
      <vt:variant>
        <vt:i4>398</vt:i4>
      </vt:variant>
      <vt:variant>
        <vt:i4>0</vt:i4>
      </vt:variant>
      <vt:variant>
        <vt:i4>5</vt:i4>
      </vt:variant>
      <vt:variant>
        <vt:lpwstr>http://www.banxico.org.mx/SieInternet/consultarDirectorioInternetAction.do?accion=consultarCuadroAnalitico&amp;idCuadro=CA9&amp;sector=1&amp;locale=es</vt:lpwstr>
      </vt:variant>
      <vt:variant>
        <vt:lpwstr/>
      </vt:variant>
      <vt:variant>
        <vt:i4>4325467</vt:i4>
      </vt:variant>
      <vt:variant>
        <vt:i4>395</vt:i4>
      </vt:variant>
      <vt:variant>
        <vt:i4>0</vt:i4>
      </vt:variant>
      <vt:variant>
        <vt:i4>5</vt:i4>
      </vt:variant>
      <vt:variant>
        <vt:lpwstr>http://dgcnesyp.inegi.org.mx/cgi-win/bdieintsi.exe/NIVR550330</vt:lpwstr>
      </vt:variant>
      <vt:variant>
        <vt:lpwstr>ARBOL</vt:lpwstr>
      </vt:variant>
      <vt:variant>
        <vt:i4>6750256</vt:i4>
      </vt:variant>
      <vt:variant>
        <vt:i4>392</vt:i4>
      </vt:variant>
      <vt:variant>
        <vt:i4>0</vt:i4>
      </vt:variant>
      <vt:variant>
        <vt:i4>5</vt:i4>
      </vt:variant>
      <vt:variant>
        <vt:lpwstr>http://www.sagarpa.gob.mx/saladeprensa/boletines2/paginas/2012B079.aspx</vt:lpwstr>
      </vt:variant>
      <vt:variant>
        <vt:lpwstr/>
      </vt:variant>
      <vt:variant>
        <vt:i4>4653147</vt:i4>
      </vt:variant>
      <vt:variant>
        <vt:i4>389</vt:i4>
      </vt:variant>
      <vt:variant>
        <vt:i4>0</vt:i4>
      </vt:variant>
      <vt:variant>
        <vt:i4>5</vt:i4>
      </vt:variant>
      <vt:variant>
        <vt:lpwstr>http://dgcnesyp.inegi.org.mx/cgi-win/bdieintsi.exe/NIVR5503300050</vt:lpwstr>
      </vt:variant>
      <vt:variant>
        <vt:lpwstr>ARBOL</vt:lpwstr>
      </vt:variant>
      <vt:variant>
        <vt:i4>3538995</vt:i4>
      </vt:variant>
      <vt:variant>
        <vt:i4>386</vt:i4>
      </vt:variant>
      <vt:variant>
        <vt:i4>0</vt:i4>
      </vt:variant>
      <vt:variant>
        <vt:i4>5</vt:i4>
      </vt:variant>
      <vt:variant>
        <vt:lpwstr>http://www.economia.gob.mx/eventos-noticias/sala-de-prensa/informacion-relevante/7303-boletin032-12</vt:lpwstr>
      </vt:variant>
      <vt:variant>
        <vt:lpwstr/>
      </vt:variant>
      <vt:variant>
        <vt:i4>8060953</vt:i4>
      </vt:variant>
      <vt:variant>
        <vt:i4>383</vt:i4>
      </vt:variant>
      <vt:variant>
        <vt:i4>0</vt:i4>
      </vt:variant>
      <vt:variant>
        <vt:i4>5</vt:i4>
      </vt:variant>
      <vt:variant>
        <vt:lpwstr>http://www.wto.org/spanish/news_s/news12_s/394_395_398abr_s.htm</vt:lpwstr>
      </vt:variant>
      <vt:variant>
        <vt:lpwstr/>
      </vt:variant>
      <vt:variant>
        <vt:i4>4325467</vt:i4>
      </vt:variant>
      <vt:variant>
        <vt:i4>380</vt:i4>
      </vt:variant>
      <vt:variant>
        <vt:i4>0</vt:i4>
      </vt:variant>
      <vt:variant>
        <vt:i4>5</vt:i4>
      </vt:variant>
      <vt:variant>
        <vt:lpwstr>http://dgcnesyp.inegi.org.mx/cgi-win/bdieintsi.exe/NIVR550330</vt:lpwstr>
      </vt:variant>
      <vt:variant>
        <vt:lpwstr>ARBOL</vt:lpwstr>
      </vt:variant>
      <vt:variant>
        <vt:i4>3473460</vt:i4>
      </vt:variant>
      <vt:variant>
        <vt:i4>377</vt:i4>
      </vt:variant>
      <vt:variant>
        <vt:i4>0</vt:i4>
      </vt:variant>
      <vt:variant>
        <vt:i4>5</vt:i4>
      </vt:variant>
      <vt:variant>
        <vt:lpwstr>http://www.economia.gob.mx/eventos-noticias/sala-de-prensa/informacion-relevante/7284-boletin029-12</vt:lpwstr>
      </vt:variant>
      <vt:variant>
        <vt:lpwstr/>
      </vt:variant>
      <vt:variant>
        <vt:i4>8323134</vt:i4>
      </vt:variant>
      <vt:variant>
        <vt:i4>374</vt:i4>
      </vt:variant>
      <vt:variant>
        <vt:i4>0</vt:i4>
      </vt:variant>
      <vt:variant>
        <vt:i4>5</vt:i4>
      </vt:variant>
      <vt:variant>
        <vt:lpwstr>http://portal.salud.gob.mx/redirector?tipo=0&amp;n_seccion=Boletines&amp;seccion=2012-01-24_5570.html</vt:lpwstr>
      </vt:variant>
      <vt:variant>
        <vt:lpwstr/>
      </vt:variant>
      <vt:variant>
        <vt:i4>8257598</vt:i4>
      </vt:variant>
      <vt:variant>
        <vt:i4>371</vt:i4>
      </vt:variant>
      <vt:variant>
        <vt:i4>0</vt:i4>
      </vt:variant>
      <vt:variant>
        <vt:i4>5</vt:i4>
      </vt:variant>
      <vt:variant>
        <vt:lpwstr>http://portal.salud.gob.mx/redirector?tipo=0&amp;n_seccion=Boletines&amp;seccion=2012-01-24_5571.html</vt:lpwstr>
      </vt:variant>
      <vt:variant>
        <vt:lpwstr/>
      </vt:variant>
      <vt:variant>
        <vt:i4>8192062</vt:i4>
      </vt:variant>
      <vt:variant>
        <vt:i4>368</vt:i4>
      </vt:variant>
      <vt:variant>
        <vt:i4>0</vt:i4>
      </vt:variant>
      <vt:variant>
        <vt:i4>5</vt:i4>
      </vt:variant>
      <vt:variant>
        <vt:lpwstr>http://portal.salud.gob.mx/redirector?tipo=0&amp;n_seccion=Boletines&amp;seccion=2012-01-24_5572.html</vt:lpwstr>
      </vt:variant>
      <vt:variant>
        <vt:lpwstr/>
      </vt:variant>
      <vt:variant>
        <vt:i4>7798847</vt:i4>
      </vt:variant>
      <vt:variant>
        <vt:i4>365</vt:i4>
      </vt:variant>
      <vt:variant>
        <vt:i4>0</vt:i4>
      </vt:variant>
      <vt:variant>
        <vt:i4>5</vt:i4>
      </vt:variant>
      <vt:variant>
        <vt:lpwstr>http://portal.salud.gob.mx/redirector?tipo=0&amp;n_seccion=Boletines&amp;seccion=2012-01-24_5568.html</vt:lpwstr>
      </vt:variant>
      <vt:variant>
        <vt:lpwstr/>
      </vt:variant>
      <vt:variant>
        <vt:i4>4653147</vt:i4>
      </vt:variant>
      <vt:variant>
        <vt:i4>362</vt:i4>
      </vt:variant>
      <vt:variant>
        <vt:i4>0</vt:i4>
      </vt:variant>
      <vt:variant>
        <vt:i4>5</vt:i4>
      </vt:variant>
      <vt:variant>
        <vt:lpwstr>http://dgcnesyp.inegi.org.mx/cgi-win/bdieintsi.exe/NIVR5503300050</vt:lpwstr>
      </vt:variant>
      <vt:variant>
        <vt:lpwstr>ARBOL</vt:lpwstr>
      </vt:variant>
      <vt:variant>
        <vt:i4>3473456</vt:i4>
      </vt:variant>
      <vt:variant>
        <vt:i4>359</vt:i4>
      </vt:variant>
      <vt:variant>
        <vt:i4>0</vt:i4>
      </vt:variant>
      <vt:variant>
        <vt:i4>5</vt:i4>
      </vt:variant>
      <vt:variant>
        <vt:lpwstr>http://www.economia.gob.mx/eventos-noticias/sala-de-prensa/informacion-relevante/7260-boletin027-12</vt:lpwstr>
      </vt:variant>
      <vt:variant>
        <vt:lpwstr/>
      </vt:variant>
      <vt:variant>
        <vt:i4>7012414</vt:i4>
      </vt:variant>
      <vt:variant>
        <vt:i4>356</vt:i4>
      </vt:variant>
      <vt:variant>
        <vt:i4>0</vt:i4>
      </vt:variant>
      <vt:variant>
        <vt:i4>5</vt:i4>
      </vt:variant>
      <vt:variant>
        <vt:lpwstr>http://www.economia.gob.mx/eventos-noticias/sala-de-prensa/comunicados/7331-boletin-035-12</vt:lpwstr>
      </vt:variant>
      <vt:variant>
        <vt:lpwstr/>
      </vt:variant>
      <vt:variant>
        <vt:i4>983124</vt:i4>
      </vt:variant>
      <vt:variant>
        <vt:i4>353</vt:i4>
      </vt:variant>
      <vt:variant>
        <vt:i4>0</vt:i4>
      </vt:variant>
      <vt:variant>
        <vt:i4>5</vt:i4>
      </vt:variant>
      <vt:variant>
        <vt:lpwstr>http://www.wto.org/spanish/news_s/news12_s/ds381xapl_25jan12_s.htm</vt:lpwstr>
      </vt:variant>
      <vt:variant>
        <vt:lpwstr/>
      </vt:variant>
      <vt:variant>
        <vt:i4>1441794</vt:i4>
      </vt:variant>
      <vt:variant>
        <vt:i4>350</vt:i4>
      </vt:variant>
      <vt:variant>
        <vt:i4>0</vt:i4>
      </vt:variant>
      <vt:variant>
        <vt:i4>5</vt:i4>
      </vt:variant>
      <vt:variant>
        <vt:lpwstr>http://dof.gob.mx/index.php?year=2012&amp;month=01&amp;day=23</vt:lpwstr>
      </vt:variant>
      <vt:variant>
        <vt:lpwstr/>
      </vt:variant>
      <vt:variant>
        <vt:i4>2883586</vt:i4>
      </vt:variant>
      <vt:variant>
        <vt:i4>347</vt:i4>
      </vt:variant>
      <vt:variant>
        <vt:i4>0</vt:i4>
      </vt:variant>
      <vt:variant>
        <vt:i4>5</vt:i4>
      </vt:variant>
      <vt:variant>
        <vt:lpwstr>http://dof.gob.mx/nota_detalle.php?codigo=5230625&amp;fecha=23/01/2012</vt:lpwstr>
      </vt:variant>
      <vt:variant>
        <vt:lpwstr/>
      </vt:variant>
      <vt:variant>
        <vt:i4>5898263</vt:i4>
      </vt:variant>
      <vt:variant>
        <vt:i4>344</vt:i4>
      </vt:variant>
      <vt:variant>
        <vt:i4>0</vt:i4>
      </vt:variant>
      <vt:variant>
        <vt:i4>5</vt:i4>
      </vt:variant>
      <vt:variant>
        <vt:lpwstr>http://www.inegi.org.mx/inegi/contenidos/espanol/prensa/comunicados/balopbol.pdf</vt:lpwstr>
      </vt:variant>
      <vt:variant>
        <vt:lpwstr/>
      </vt:variant>
      <vt:variant>
        <vt:i4>589951</vt:i4>
      </vt:variant>
      <vt:variant>
        <vt:i4>323</vt:i4>
      </vt:variant>
      <vt:variant>
        <vt:i4>0</vt:i4>
      </vt:variant>
      <vt:variant>
        <vt:i4>5</vt:i4>
      </vt:variant>
      <vt:variant>
        <vt:lpwstr>http://www.banamex.com.mx/estudios_finanzas/finanzas/economia_internacional/riesgo_pais.htm</vt:lpwstr>
      </vt:variant>
      <vt:variant>
        <vt:lpwstr/>
      </vt:variant>
      <vt:variant>
        <vt:i4>1572936</vt:i4>
      </vt:variant>
      <vt:variant>
        <vt:i4>320</vt:i4>
      </vt:variant>
      <vt:variant>
        <vt:i4>0</vt:i4>
      </vt:variant>
      <vt:variant>
        <vt:i4>5</vt:i4>
      </vt:variant>
      <vt:variant>
        <vt:lpwstr>http://www.reforma.com/edicionimpresa/paginas/20120208/pdfs/rPRI20120208-012.pdf</vt:lpwstr>
      </vt:variant>
      <vt:variant>
        <vt:lpwstr/>
      </vt:variant>
      <vt:variant>
        <vt:i4>6225947</vt:i4>
      </vt:variant>
      <vt:variant>
        <vt:i4>317</vt:i4>
      </vt:variant>
      <vt:variant>
        <vt:i4>0</vt:i4>
      </vt:variant>
      <vt:variant>
        <vt:i4>5</vt:i4>
      </vt:variant>
      <vt:variant>
        <vt:lpwstr>http://www.banxico.org.mx/tipcamb/intInfHistAction.do</vt:lpwstr>
      </vt:variant>
      <vt:variant>
        <vt:lpwstr/>
      </vt:variant>
      <vt:variant>
        <vt:i4>458836</vt:i4>
      </vt:variant>
      <vt:variant>
        <vt:i4>314</vt:i4>
      </vt:variant>
      <vt:variant>
        <vt:i4>0</vt:i4>
      </vt:variant>
      <vt:variant>
        <vt:i4>5</vt:i4>
      </vt:variant>
      <vt:variant>
        <vt:lpwstr>http://www.banxico.org.mx/portal-mercado-cambiario/index.html</vt:lpwstr>
      </vt:variant>
      <vt:variant>
        <vt:lpwstr/>
      </vt:variant>
      <vt:variant>
        <vt:i4>8192035</vt:i4>
      </vt:variant>
      <vt:variant>
        <vt:i4>311</vt:i4>
      </vt:variant>
      <vt:variant>
        <vt:i4>0</vt:i4>
      </vt:variant>
      <vt:variant>
        <vt:i4>5</vt:i4>
      </vt:variant>
      <vt:variant>
        <vt:lpwstr>http://www.cnbv.gob.mx/Bursatil/BoletinesdePrensa/Prensa  Casas de Bolsa/02 de febrero de 2012.pdf</vt:lpwstr>
      </vt:variant>
      <vt:variant>
        <vt:lpwstr/>
      </vt:variant>
      <vt:variant>
        <vt:i4>7536682</vt:i4>
      </vt:variant>
      <vt:variant>
        <vt:i4>308</vt:i4>
      </vt:variant>
      <vt:variant>
        <vt:i4>0</vt:i4>
      </vt:variant>
      <vt:variant>
        <vt:i4>5</vt:i4>
      </vt:variant>
      <vt:variant>
        <vt:lpwstr>http://www.bmv.com.mx/</vt:lpwstr>
      </vt:variant>
      <vt:variant>
        <vt:lpwstr/>
      </vt:variant>
      <vt:variant>
        <vt:i4>5111897</vt:i4>
      </vt:variant>
      <vt:variant>
        <vt:i4>305</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302</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299</vt:i4>
      </vt:variant>
      <vt:variant>
        <vt:i4>0</vt:i4>
      </vt:variant>
      <vt:variant>
        <vt:i4>5</vt:i4>
      </vt:variant>
      <vt:variant>
        <vt:lpwstr>http://www.banxico.org.mx/SieInternet/consultarDirectorioInternetAction.do?accion=consultarCuadro&amp;idCuadro=CF112&amp;sector=18&amp;locale=es</vt:lpwstr>
      </vt:variant>
      <vt:variant>
        <vt:lpwstr/>
      </vt:variant>
      <vt:variant>
        <vt:i4>5111897</vt:i4>
      </vt:variant>
      <vt:variant>
        <vt:i4>296</vt:i4>
      </vt:variant>
      <vt:variant>
        <vt:i4>0</vt:i4>
      </vt:variant>
      <vt:variant>
        <vt:i4>5</vt:i4>
      </vt:variant>
      <vt:variant>
        <vt:lpwstr>http://www.banxico.org.mx/SieInternet/consultarDirectorioInternetAction.do?accion=consultarCuadro&amp;idCuadro=CF112&amp;sector=18&amp;locale=es</vt:lpwstr>
      </vt:variant>
      <vt:variant>
        <vt:lpwstr/>
      </vt:variant>
      <vt:variant>
        <vt:i4>8323108</vt:i4>
      </vt:variant>
      <vt:variant>
        <vt:i4>293</vt:i4>
      </vt:variant>
      <vt:variant>
        <vt:i4>0</vt:i4>
      </vt:variant>
      <vt:variant>
        <vt:i4>5</vt:i4>
      </vt:variant>
      <vt:variant>
        <vt:lpwstr>http://www.banxico.org.mx/polmoneinflacion/estadisticas/tasasInteres/tasasInteres.html</vt:lpwstr>
      </vt:variant>
      <vt:variant>
        <vt:lpwstr/>
      </vt:variant>
      <vt:variant>
        <vt:i4>4259931</vt:i4>
      </vt:variant>
      <vt:variant>
        <vt:i4>290</vt:i4>
      </vt:variant>
      <vt:variant>
        <vt:i4>0</vt:i4>
      </vt:variant>
      <vt:variant>
        <vt:i4>5</vt:i4>
      </vt:variant>
      <vt:variant>
        <vt:lpwstr>http://www.banxico.org.mx/SieInternet/consultarDirectorioInternetAction.do?accion=consultarCuadro&amp;idCuadro=CF107&amp;sector=22&amp;locale=es</vt:lpwstr>
      </vt:variant>
      <vt:variant>
        <vt:lpwstr/>
      </vt:variant>
      <vt:variant>
        <vt:i4>2424936</vt:i4>
      </vt:variant>
      <vt:variant>
        <vt:i4>287</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2424936</vt:i4>
      </vt:variant>
      <vt:variant>
        <vt:i4>284</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6553710</vt:i4>
      </vt:variant>
      <vt:variant>
        <vt:i4>281</vt:i4>
      </vt:variant>
      <vt:variant>
        <vt:i4>0</vt:i4>
      </vt:variant>
      <vt:variant>
        <vt:i4>5</vt:i4>
      </vt:variant>
      <vt:variant>
        <vt:lpwstr>http://www.banxico.org.mx/informacion-para-la-prensa/comunicados/banco-de-mexico/edo-cuenta-semanal/%7B1672B404-3026-7602-F0C2-163EEEF28E2C%7D.pdf</vt:lpwstr>
      </vt:variant>
      <vt:variant>
        <vt:lpwstr/>
      </vt:variant>
      <vt:variant>
        <vt:i4>6553648</vt:i4>
      </vt:variant>
      <vt:variant>
        <vt:i4>278</vt:i4>
      </vt:variant>
      <vt:variant>
        <vt:i4>0</vt:i4>
      </vt:variant>
      <vt:variant>
        <vt:i4>5</vt:i4>
      </vt:variant>
      <vt:variant>
        <vt:lpwstr>http://www.banxico.org.mx/informacion-para-la-prensa/comunicados/banco-de-mexico/edo-cuenta-semanal/%7BD6577E4E-910C-95B1-FBF4-A85FD43B6ED9%7D.pdf</vt:lpwstr>
      </vt:variant>
      <vt:variant>
        <vt:lpwstr/>
      </vt:variant>
      <vt:variant>
        <vt:i4>6553710</vt:i4>
      </vt:variant>
      <vt:variant>
        <vt:i4>275</vt:i4>
      </vt:variant>
      <vt:variant>
        <vt:i4>0</vt:i4>
      </vt:variant>
      <vt:variant>
        <vt:i4>5</vt:i4>
      </vt:variant>
      <vt:variant>
        <vt:lpwstr>http://www.banxico.org.mx/informacion-para-la-prensa/comunicados/banco-de-mexico/edo-cuenta-semanal/%7B1672B404-3026-7602-F0C2-163EEEF28E2C%7D.pdf</vt:lpwstr>
      </vt:variant>
      <vt:variant>
        <vt:lpwstr/>
      </vt:variant>
      <vt:variant>
        <vt:i4>3276887</vt:i4>
      </vt:variant>
      <vt:variant>
        <vt:i4>272</vt:i4>
      </vt:variant>
      <vt:variant>
        <vt:i4>0</vt:i4>
      </vt:variant>
      <vt:variant>
        <vt:i4>5</vt:i4>
      </vt:variant>
      <vt:variant>
        <vt:lpwstr>http://www.ipab.org.mx/03_finanzas/IHistoricoSubastasDisplay.asp</vt:lpwstr>
      </vt:variant>
      <vt:variant>
        <vt:lpwstr/>
      </vt:variant>
      <vt:variant>
        <vt:i4>852095</vt:i4>
      </vt:variant>
      <vt:variant>
        <vt:i4>269</vt:i4>
      </vt:variant>
      <vt:variant>
        <vt:i4>0</vt:i4>
      </vt:variant>
      <vt:variant>
        <vt:i4>5</vt:i4>
      </vt:variant>
      <vt:variant>
        <vt:lpwstr>http://www.ipab.org.mx/03_finanzas/InformeHistoricoSubastas.asp</vt:lpwstr>
      </vt:variant>
      <vt:variant>
        <vt:lpwstr/>
      </vt:variant>
      <vt:variant>
        <vt:i4>6094931</vt:i4>
      </vt:variant>
      <vt:variant>
        <vt:i4>266</vt:i4>
      </vt:variant>
      <vt:variant>
        <vt:i4>0</vt:i4>
      </vt:variant>
      <vt:variant>
        <vt:i4>5</vt:i4>
      </vt:variant>
      <vt:variant>
        <vt:lpwstr>http://www.ipab.org.mx/01_acerca_ipab/preguntas frecuentes.html</vt:lpwstr>
      </vt:variant>
      <vt:variant>
        <vt:lpwstr/>
      </vt:variant>
      <vt:variant>
        <vt:i4>3276887</vt:i4>
      </vt:variant>
      <vt:variant>
        <vt:i4>263</vt:i4>
      </vt:variant>
      <vt:variant>
        <vt:i4>0</vt:i4>
      </vt:variant>
      <vt:variant>
        <vt:i4>5</vt:i4>
      </vt:variant>
      <vt:variant>
        <vt:lpwstr>http://www.ipab.org.mx/03_finanzas/IHistoricoSubastasDisplay.asp</vt:lpwstr>
      </vt:variant>
      <vt:variant>
        <vt:lpwstr/>
      </vt:variant>
      <vt:variant>
        <vt:i4>3276887</vt:i4>
      </vt:variant>
      <vt:variant>
        <vt:i4>260</vt:i4>
      </vt:variant>
      <vt:variant>
        <vt:i4>0</vt:i4>
      </vt:variant>
      <vt:variant>
        <vt:i4>5</vt:i4>
      </vt:variant>
      <vt:variant>
        <vt:lpwstr>http://www.ipab.org.mx/03_finanzas/IHistoricoSubastasDisplay.asp</vt:lpwstr>
      </vt:variant>
      <vt:variant>
        <vt:lpwstr/>
      </vt:variant>
      <vt:variant>
        <vt:i4>2097261</vt:i4>
      </vt:variant>
      <vt:variant>
        <vt:i4>257</vt:i4>
      </vt:variant>
      <vt:variant>
        <vt:i4>0</vt:i4>
      </vt:variant>
      <vt:variant>
        <vt:i4>5</vt:i4>
      </vt:variant>
      <vt:variant>
        <vt:lpwstr>http://www.banxico.org.mx/informacion-para-la-prensa/comunicados/politica-monetaria/minutas-de-las-decisiones-de-politica-monetaria/%7B2BBC4364-3403-0E7E-B9DC-75FA9FA8C505%7D.pdf</vt:lpwstr>
      </vt:variant>
      <vt:variant>
        <vt:lpwstr/>
      </vt:variant>
      <vt:variant>
        <vt:i4>7012384</vt:i4>
      </vt:variant>
      <vt:variant>
        <vt:i4>252</vt:i4>
      </vt:variant>
      <vt:variant>
        <vt:i4>0</vt:i4>
      </vt:variant>
      <vt:variant>
        <vt:i4>5</vt:i4>
      </vt:variant>
      <vt:variant>
        <vt:lpwstr>http://www.banxico.org.mx/</vt:lpwstr>
      </vt:variant>
      <vt:variant>
        <vt:lpwstr/>
      </vt:variant>
      <vt:variant>
        <vt:i4>3735668</vt:i4>
      </vt:variant>
      <vt:variant>
        <vt:i4>249</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3735668</vt:i4>
      </vt:variant>
      <vt:variant>
        <vt:i4>246</vt:i4>
      </vt:variant>
      <vt:variant>
        <vt:i4>0</vt:i4>
      </vt:variant>
      <vt:variant>
        <vt:i4>5</vt:i4>
      </vt:variant>
      <vt:variant>
        <vt:lpwstr>http://www.banxico.org.mx/publicaciones-y-discursos/publicaciones/informes-periodicos/politica-monetaria-prog-anual/%7b10D4DF99-4E2B-102E-77FF-E6616A760E90%7d.pdf</vt:lpwstr>
      </vt:variant>
      <vt:variant>
        <vt:lpwstr/>
      </vt:variant>
      <vt:variant>
        <vt:i4>2949219</vt:i4>
      </vt:variant>
      <vt:variant>
        <vt:i4>243</vt:i4>
      </vt:variant>
      <vt:variant>
        <vt:i4>0</vt:i4>
      </vt:variant>
      <vt:variant>
        <vt:i4>5</vt:i4>
      </vt:variant>
      <vt:variant>
        <vt:lpwstr>http://www.consar.gob.mx/SeriesTiempo/CuadroInicial.aspx?md=10</vt:lpwstr>
      </vt:variant>
      <vt:variant>
        <vt:lpwstr/>
      </vt:variant>
      <vt:variant>
        <vt:i4>1900626</vt:i4>
      </vt:variant>
      <vt:variant>
        <vt:i4>240</vt:i4>
      </vt:variant>
      <vt:variant>
        <vt:i4>0</vt:i4>
      </vt:variant>
      <vt:variant>
        <vt:i4>5</vt:i4>
      </vt:variant>
      <vt:variant>
        <vt:lpwstr>http://www.consar.gob.mx/SeriesTiempo/CuadroInicial.aspx?md=2</vt:lpwstr>
      </vt:variant>
      <vt:variant>
        <vt:lpwstr/>
      </vt:variant>
      <vt:variant>
        <vt:i4>1900626</vt:i4>
      </vt:variant>
      <vt:variant>
        <vt:i4>237</vt:i4>
      </vt:variant>
      <vt:variant>
        <vt:i4>0</vt:i4>
      </vt:variant>
      <vt:variant>
        <vt:i4>5</vt:i4>
      </vt:variant>
      <vt:variant>
        <vt:lpwstr>http://www.consar.gob.mx/SeriesTiempo/CuadroInicial.aspx?md=6</vt:lpwstr>
      </vt:variant>
      <vt:variant>
        <vt:lpwstr/>
      </vt:variant>
      <vt:variant>
        <vt:i4>1900626</vt:i4>
      </vt:variant>
      <vt:variant>
        <vt:i4>234</vt:i4>
      </vt:variant>
      <vt:variant>
        <vt:i4>0</vt:i4>
      </vt:variant>
      <vt:variant>
        <vt:i4>5</vt:i4>
      </vt:variant>
      <vt:variant>
        <vt:lpwstr>http://www.consar.gob.mx/SeriesTiempo/CuadroInicial.aspx?md=5</vt:lpwstr>
      </vt:variant>
      <vt:variant>
        <vt:lpwstr/>
      </vt:variant>
      <vt:variant>
        <vt:i4>4259845</vt:i4>
      </vt:variant>
      <vt:variant>
        <vt:i4>231</vt:i4>
      </vt:variant>
      <vt:variant>
        <vt:i4>0</vt:i4>
      </vt:variant>
      <vt:variant>
        <vt:i4>5</vt:i4>
      </vt:variant>
      <vt:variant>
        <vt:lpwstr>http://www.consar.gob.mx/rendimiento_neto/rendimiento_neto_promedio_36.shtml</vt:lpwstr>
      </vt:variant>
      <vt:variant>
        <vt:lpwstr/>
      </vt:variant>
      <vt:variant>
        <vt:i4>3866645</vt:i4>
      </vt:variant>
      <vt:variant>
        <vt:i4>228</vt:i4>
      </vt:variant>
      <vt:variant>
        <vt:i4>0</vt:i4>
      </vt:variant>
      <vt:variant>
        <vt:i4>5</vt:i4>
      </vt:variant>
      <vt:variant>
        <vt:lpwstr>http://www.consar.gob.mx/sala_prensa/pdf/boletines/2012/BP_01_2012.pdf</vt:lpwstr>
      </vt:variant>
      <vt:variant>
        <vt:lpwstr/>
      </vt:variant>
      <vt:variant>
        <vt:i4>4718617</vt:i4>
      </vt:variant>
      <vt:variant>
        <vt:i4>225</vt:i4>
      </vt:variant>
      <vt:variant>
        <vt:i4>0</vt:i4>
      </vt:variant>
      <vt:variant>
        <vt:i4>5</vt:i4>
      </vt:variant>
      <vt:variant>
        <vt:lpwstr>http://www.cnbv.gob.mx/Bursatil/BoletinesdePrensa/Prensa  Emisoras/01 de febrero de 2012.pdf</vt:lpwstr>
      </vt:variant>
      <vt:variant>
        <vt:lpwstr/>
      </vt:variant>
      <vt:variant>
        <vt:i4>4718680</vt:i4>
      </vt:variant>
      <vt:variant>
        <vt:i4>222</vt:i4>
      </vt:variant>
      <vt:variant>
        <vt:i4>0</vt:i4>
      </vt:variant>
      <vt:variant>
        <vt:i4>5</vt:i4>
      </vt:variant>
      <vt:variant>
        <vt:lpwstr>http://www.banxico.org.mx/informacion-para-la-prensa/comunicados/sector-financiero/financiamiento-empresas/%7BF96331BA-586C-3FDC-0C80-FD897D6180DB%7D.pdf</vt:lpwstr>
      </vt:variant>
      <vt:variant>
        <vt:lpwstr/>
      </vt:variant>
      <vt:variant>
        <vt:i4>2424936</vt:i4>
      </vt:variant>
      <vt:variant>
        <vt:i4>219</vt:i4>
      </vt:variant>
      <vt:variant>
        <vt:i4>0</vt:i4>
      </vt:variant>
      <vt:variant>
        <vt:i4>5</vt:i4>
      </vt:variant>
      <vt:variant>
        <vt:lpwstr>http://www.banxico.org.mx/informacion-para-la-prensa/comunicados/sector-financiero/agregados-monetarios/%7BCC62E298-573F-DC20-E736-056657CDC1BD%7D.pdf</vt:lpwstr>
      </vt:variant>
      <vt:variant>
        <vt:lpwstr/>
      </vt:variant>
      <vt:variant>
        <vt:i4>1572874</vt:i4>
      </vt:variant>
      <vt:variant>
        <vt:i4>216</vt:i4>
      </vt:variant>
      <vt:variant>
        <vt:i4>0</vt:i4>
      </vt:variant>
      <vt:variant>
        <vt:i4>5</vt:i4>
      </vt:variant>
      <vt:variant>
        <vt:lpwstr>http://mexico.gfintegrity.org/es/</vt:lpwstr>
      </vt:variant>
      <vt:variant>
        <vt:lpwstr/>
      </vt:variant>
      <vt:variant>
        <vt:i4>3014759</vt:i4>
      </vt:variant>
      <vt:variant>
        <vt:i4>213</vt:i4>
      </vt:variant>
      <vt:variant>
        <vt:i4>0</vt:i4>
      </vt:variant>
      <vt:variant>
        <vt:i4>5</vt:i4>
      </vt:variant>
      <vt:variant>
        <vt:lpwstr>http://www.gfintegrity.org/</vt:lpwstr>
      </vt:variant>
      <vt:variant>
        <vt:lpwstr/>
      </vt:variant>
      <vt:variant>
        <vt:i4>4980805</vt:i4>
      </vt:variant>
      <vt:variant>
        <vt:i4>210</vt:i4>
      </vt:variant>
      <vt:variant>
        <vt:i4>0</vt:i4>
      </vt:variant>
      <vt:variant>
        <vt:i4>5</vt:i4>
      </vt:variant>
      <vt:variant>
        <vt:lpwstr>http://www.gfintegrity.org/storage/gfip/documents/reports/mexico/gfi_mexico_report_espanol_web.pdf</vt:lpwstr>
      </vt:variant>
      <vt:variant>
        <vt:lpwstr/>
      </vt:variant>
      <vt:variant>
        <vt:i4>6094876</vt:i4>
      </vt:variant>
      <vt:variant>
        <vt:i4>207</vt:i4>
      </vt:variant>
      <vt:variant>
        <vt:i4>0</vt:i4>
      </vt:variant>
      <vt:variant>
        <vt:i4>5</vt:i4>
      </vt:variant>
      <vt:variant>
        <vt:lpwstr>http://www.gfintegrity.org/storage/gfip/documents/reports/mexico/gfi mexico report spanish executive summary.pdf</vt:lpwstr>
      </vt:variant>
      <vt:variant>
        <vt:lpwstr/>
      </vt:variant>
      <vt:variant>
        <vt:i4>2097210</vt:i4>
      </vt:variant>
      <vt:variant>
        <vt:i4>204</vt:i4>
      </vt:variant>
      <vt:variant>
        <vt:i4>0</vt:i4>
      </vt:variant>
      <vt:variant>
        <vt:i4>5</vt:i4>
      </vt:variant>
      <vt:variant>
        <vt:lpwstr>http://www.gfintegrity.org/storage/gfip/documents/reports/mexico/gfi mexico report spanish resumen.pdf</vt:lpwstr>
      </vt:variant>
      <vt:variant>
        <vt:lpwstr/>
      </vt:variant>
      <vt:variant>
        <vt:i4>4128882</vt:i4>
      </vt:variant>
      <vt:variant>
        <vt:i4>201</vt:i4>
      </vt:variant>
      <vt:variant>
        <vt:i4>0</vt:i4>
      </vt:variant>
      <vt:variant>
        <vt:i4>5</vt:i4>
      </vt:variant>
      <vt:variant>
        <vt:lpwstr>http://www.project-syndicate.org/commentary/gros32/Spanish</vt:lpwstr>
      </vt:variant>
      <vt:variant>
        <vt:lpwstr/>
      </vt:variant>
      <vt:variant>
        <vt:i4>92</vt:i4>
      </vt:variant>
      <vt:variant>
        <vt:i4>198</vt:i4>
      </vt:variant>
      <vt:variant>
        <vt:i4>0</vt:i4>
      </vt:variant>
      <vt:variant>
        <vt:i4>5</vt:i4>
      </vt:variant>
      <vt:variant>
        <vt:lpwstr>http://blog-dialogoafondo.org/?p=1616</vt:lpwstr>
      </vt:variant>
      <vt:variant>
        <vt:lpwstr/>
      </vt:variant>
      <vt:variant>
        <vt:i4>7274553</vt:i4>
      </vt:variant>
      <vt:variant>
        <vt:i4>192</vt:i4>
      </vt:variant>
      <vt:variant>
        <vt:i4>0</vt:i4>
      </vt:variant>
      <vt:variant>
        <vt:i4>5</vt:i4>
      </vt:variant>
      <vt:variant>
        <vt:lpwstr>http://www.imf.org/external/spanish/pubs/ft/fm/2012/update/01/0112s.pdf</vt:lpwstr>
      </vt:variant>
      <vt:variant>
        <vt:lpwstr/>
      </vt:variant>
      <vt:variant>
        <vt:i4>2359394</vt:i4>
      </vt:variant>
      <vt:variant>
        <vt:i4>189</vt:i4>
      </vt:variant>
      <vt:variant>
        <vt:i4>0</vt:i4>
      </vt:variant>
      <vt:variant>
        <vt:i4>5</vt:i4>
      </vt:variant>
      <vt:variant>
        <vt:lpwstr>http://www.imf.org/external/np/speeches/2011/111811.htm</vt:lpwstr>
      </vt:variant>
      <vt:variant>
        <vt:lpwstr/>
      </vt:variant>
      <vt:variant>
        <vt:i4>2949165</vt:i4>
      </vt:variant>
      <vt:variant>
        <vt:i4>186</vt:i4>
      </vt:variant>
      <vt:variant>
        <vt:i4>0</vt:i4>
      </vt:variant>
      <vt:variant>
        <vt:i4>5</vt:i4>
      </vt:variant>
      <vt:variant>
        <vt:lpwstr>http://www.shcp.gob.mx/documentos_recientes_bliblioteca/comunicado_006_2012.pdf</vt:lpwstr>
      </vt:variant>
      <vt:variant>
        <vt:lpwstr/>
      </vt:variant>
      <vt:variant>
        <vt:i4>3735648</vt:i4>
      </vt:variant>
      <vt:variant>
        <vt:i4>183</vt:i4>
      </vt:variant>
      <vt:variant>
        <vt:i4>0</vt:i4>
      </vt:variant>
      <vt:variant>
        <vt:i4>5</vt:i4>
      </vt:variant>
      <vt:variant>
        <vt:lpwstr>http://www.shcp.gob.mx/SALAPRENSA/doc_comunicados_prensa/2012/enero/comunicado_007_2012.pdf</vt:lpwstr>
      </vt:variant>
      <vt:variant>
        <vt:lpwstr/>
      </vt:variant>
      <vt:variant>
        <vt:i4>2293805</vt:i4>
      </vt:variant>
      <vt:variant>
        <vt:i4>180</vt:i4>
      </vt:variant>
      <vt:variant>
        <vt:i4>0</vt:i4>
      </vt:variant>
      <vt:variant>
        <vt:i4>5</vt:i4>
      </vt:variant>
      <vt:variant>
        <vt:lpwstr>http://www.shcp.gob.mx/documentos_recientes_bliblioteca/comunicado_008_2012.pdf</vt:lpwstr>
      </vt:variant>
      <vt:variant>
        <vt:lpwstr/>
      </vt:variant>
      <vt:variant>
        <vt:i4>2359378</vt:i4>
      </vt:variant>
      <vt:variant>
        <vt:i4>177</vt:i4>
      </vt:variant>
      <vt:variant>
        <vt:i4>0</vt:i4>
      </vt:variant>
      <vt:variant>
        <vt:i4>5</vt:i4>
      </vt:variant>
      <vt:variant>
        <vt:lpwstr>http://www.hacienda.gob.mx/sitios/ucsv/html/4totrime2011/informe_cuarto_trim_2011.pdf</vt:lpwstr>
      </vt:variant>
      <vt:variant>
        <vt:lpwstr/>
      </vt:variant>
      <vt:variant>
        <vt:i4>1376307</vt:i4>
      </vt:variant>
      <vt:variant>
        <vt:i4>174</vt:i4>
      </vt:variant>
      <vt:variant>
        <vt:i4>0</vt:i4>
      </vt:variant>
      <vt:variant>
        <vt:i4>5</vt:i4>
      </vt:variant>
      <vt:variant>
        <vt:lpwstr>http://www3.diputados.gob.mx/camara/005_comunicacion/a_boletines/2012_2012/002_febrero/03_03/4681_aumento_de_la_canasta_basica_nulifico_el_incremento_a_salarios_minimos_cefp</vt:lpwstr>
      </vt:variant>
      <vt:variant>
        <vt:lpwstr/>
      </vt:variant>
      <vt:variant>
        <vt:i4>4259871</vt:i4>
      </vt:variant>
      <vt:variant>
        <vt:i4>171</vt:i4>
      </vt:variant>
      <vt:variant>
        <vt:i4>0</vt:i4>
      </vt:variant>
      <vt:variant>
        <vt:i4>5</vt:i4>
      </vt:variant>
      <vt:variant>
        <vt:lpwstr>http://www.banxico.org.mx/informacion-para-la-prensa/comunicados/resultados-de-encuestas/expectativas-de-los-especialistas/%7BF5263D3A-379E-776D-0509-5D94FAA859CD%7D.pdf</vt:lpwstr>
      </vt:variant>
      <vt:variant>
        <vt:lpwstr/>
      </vt:variant>
      <vt:variant>
        <vt:i4>5111810</vt:i4>
      </vt:variant>
      <vt:variant>
        <vt:i4>168</vt:i4>
      </vt:variant>
      <vt:variant>
        <vt:i4>0</vt:i4>
      </vt:variant>
      <vt:variant>
        <vt:i4>5</vt:i4>
      </vt:variant>
      <vt:variant>
        <vt:lpwstr>http://gruporeforma.reforma.com/wsjamericas/nota/default.aspx?Folio=1149971&amp;Idcol=325&amp;pc=102&amp;impresion=0</vt:lpwstr>
      </vt:variant>
      <vt:variant>
        <vt:lpwstr/>
      </vt:variant>
      <vt:variant>
        <vt:i4>4849685</vt:i4>
      </vt:variant>
      <vt:variant>
        <vt:i4>165</vt:i4>
      </vt:variant>
      <vt:variant>
        <vt:i4>0</vt:i4>
      </vt:variant>
      <vt:variant>
        <vt:i4>5</vt:i4>
      </vt:variant>
      <vt:variant>
        <vt:lpwstr>http://www.presidencia.gob.mx/2012/01/palabras-del-presidente-de-nissan-motors-carlos-ghosn-con-motivo-del-anuncio-de-inversion-de-nissan-en-mexico/</vt:lpwstr>
      </vt:variant>
      <vt:variant>
        <vt:lpwstr/>
      </vt:variant>
      <vt:variant>
        <vt:i4>4915231</vt:i4>
      </vt:variant>
      <vt:variant>
        <vt:i4>162</vt:i4>
      </vt:variant>
      <vt:variant>
        <vt:i4>0</vt:i4>
      </vt:variant>
      <vt:variant>
        <vt:i4>5</vt:i4>
      </vt:variant>
      <vt:variant>
        <vt:lpwstr>http://www.presidencia.gob.mx/2012/01/mensaje-del-presidente-calderon-con-motivo-del-anuncio-de-inversion-de-nissan/</vt:lpwstr>
      </vt:variant>
      <vt:variant>
        <vt:lpwstr/>
      </vt:variant>
      <vt:variant>
        <vt:i4>6619177</vt:i4>
      </vt:variant>
      <vt:variant>
        <vt:i4>159</vt:i4>
      </vt:variant>
      <vt:variant>
        <vt:i4>0</vt:i4>
      </vt:variant>
      <vt:variant>
        <vt:i4>5</vt:i4>
      </vt:variant>
      <vt:variant>
        <vt:lpwstr>http://www.presidencia.gob.mx/2012/01/el-presidente-calderon-en-el-anuncio-de-inversion-de-nissan-en-mexico-en-davos-suiza/</vt:lpwstr>
      </vt:variant>
      <vt:variant>
        <vt:lpwstr/>
      </vt:variant>
      <vt:variant>
        <vt:i4>2752550</vt:i4>
      </vt:variant>
      <vt:variant>
        <vt:i4>156</vt:i4>
      </vt:variant>
      <vt:variant>
        <vt:i4>0</vt:i4>
      </vt:variant>
      <vt:variant>
        <vt:i4>5</vt:i4>
      </vt:variant>
      <vt:variant>
        <vt:lpwstr>http://web.nissan.com.mx/corporativo/prensa</vt:lpwstr>
      </vt:variant>
      <vt:variant>
        <vt:lpwstr/>
      </vt:variant>
      <vt:variant>
        <vt:i4>7012419</vt:i4>
      </vt:variant>
      <vt:variant>
        <vt:i4>153</vt:i4>
      </vt:variant>
      <vt:variant>
        <vt:i4>0</vt:i4>
      </vt:variant>
      <vt:variant>
        <vt:i4>5</vt:i4>
      </vt:variant>
      <vt:variant>
        <vt:lpwstr>http://www3.diputados.gob.mx/camara/005_comunicacion/a_boletines/2012_2012/001_enero/26_26/4645_importacion_de_autos_usados_podria_afectar_la_venta_interna_de_nuevos_cefp</vt:lpwstr>
      </vt:variant>
      <vt:variant>
        <vt:lpwstr/>
      </vt:variant>
      <vt:variant>
        <vt:i4>655415</vt:i4>
      </vt:variant>
      <vt:variant>
        <vt:i4>150</vt:i4>
      </vt:variant>
      <vt:variant>
        <vt:i4>0</vt:i4>
      </vt:variant>
      <vt:variant>
        <vt:i4>5</vt:i4>
      </vt:variant>
      <vt:variant>
        <vt:lpwstr>http://www.deloitte.com/view/es_MX/mx/perspectivas/temas-de-actualidad/fa81a302f93b4310VgnVCM3000001c56f00aRCRD.htm</vt:lpwstr>
      </vt:variant>
      <vt:variant>
        <vt:lpwstr/>
      </vt:variant>
      <vt:variant>
        <vt:i4>1179774</vt:i4>
      </vt:variant>
      <vt:variant>
        <vt:i4>147</vt:i4>
      </vt:variant>
      <vt:variant>
        <vt:i4>0</vt:i4>
      </vt:variant>
      <vt:variant>
        <vt:i4>5</vt:i4>
      </vt:variant>
      <vt:variant>
        <vt:lpwstr>http://www.canacintra-digital.com.mx/home/index.php?option=com_content&amp;view=article&amp;id=593:boletin-004-canacintra-espera-para-el-2012&amp;catid=94:boletines--comunicados&amp;Itemid=221</vt:lpwstr>
      </vt:variant>
      <vt:variant>
        <vt:lpwstr/>
      </vt:variant>
      <vt:variant>
        <vt:i4>6684777</vt:i4>
      </vt:variant>
      <vt:variant>
        <vt:i4>144</vt:i4>
      </vt:variant>
      <vt:variant>
        <vt:i4>0</vt:i4>
      </vt:variant>
      <vt:variant>
        <vt:i4>5</vt:i4>
      </vt:variant>
      <vt:variant>
        <vt:lpwstr>http://www.imef.org.mx/main.aspx?pid=bWnk1cotW41DhhsX94WgRw==&amp;idioma=1&amp;parent=BfgdjnGyzOK%2bZZiYmONBO%2bgX7GaW7w97</vt:lpwstr>
      </vt:variant>
      <vt:variant>
        <vt:lpwstr/>
      </vt:variant>
      <vt:variant>
        <vt:i4>6225990</vt:i4>
      </vt:variant>
      <vt:variant>
        <vt:i4>141</vt:i4>
      </vt:variant>
      <vt:variant>
        <vt:i4>0</vt:i4>
      </vt:variant>
      <vt:variant>
        <vt:i4>5</vt:i4>
      </vt:variant>
      <vt:variant>
        <vt:lpwstr>http://www.eclac.cl/cgi-bin/getProd.asp?xml=/prensa/noticias/comunicados/8/45758/P45758.xml&amp;xsl=/prensa/tpl/p6f.xsl&amp;base=/tpl/top-bottom.xsl</vt:lpwstr>
      </vt:variant>
      <vt:variant>
        <vt:lpwstr/>
      </vt:variant>
      <vt:variant>
        <vt:i4>4128817</vt:i4>
      </vt:variant>
      <vt:variant>
        <vt:i4>138</vt:i4>
      </vt:variant>
      <vt:variant>
        <vt:i4>0</vt:i4>
      </vt:variant>
      <vt:variant>
        <vt:i4>5</vt:i4>
      </vt:variant>
      <vt:variant>
        <vt:lpwstr>http://www.ofilac.org/</vt:lpwstr>
      </vt:variant>
      <vt:variant>
        <vt:lpwstr/>
      </vt:variant>
      <vt:variant>
        <vt:i4>3080228</vt:i4>
      </vt:variant>
      <vt:variant>
        <vt:i4>135</vt:i4>
      </vt:variant>
      <vt:variant>
        <vt:i4>0</vt:i4>
      </vt:variant>
      <vt:variant>
        <vt:i4>5</vt:i4>
      </vt:variant>
      <vt:variant>
        <vt:lpwstr>http://www.cepal.org/cgi-bin/getprod.asp?xml=/ilpes/noticias/paginas/5/45305/P45305.xml&amp;xsl=/ilpes/tpl/p18f.xsl&amp;base=/ilpes/tpl/top-bottom.xsl</vt:lpwstr>
      </vt:variant>
      <vt:variant>
        <vt:lpwstr/>
      </vt:variant>
      <vt:variant>
        <vt:i4>3670053</vt:i4>
      </vt:variant>
      <vt:variant>
        <vt:i4>132</vt:i4>
      </vt:variant>
      <vt:variant>
        <vt:i4>0</vt:i4>
      </vt:variant>
      <vt:variant>
        <vt:i4>5</vt:i4>
      </vt:variant>
      <vt:variant>
        <vt:lpwstr>http://www.presidencia.gob.mx/index.php?p=75259</vt:lpwstr>
      </vt:variant>
      <vt:variant>
        <vt:lpwstr/>
      </vt:variant>
      <vt:variant>
        <vt:i4>8192032</vt:i4>
      </vt:variant>
      <vt:variant>
        <vt:i4>129</vt:i4>
      </vt:variant>
      <vt:variant>
        <vt:i4>0</vt:i4>
      </vt:variant>
      <vt:variant>
        <vt:i4>5</vt:i4>
      </vt:variant>
      <vt:variant>
        <vt:lpwstr>http://www.presidencia.gob.mx/2012/01/coca-cola-invierte-en-mexico/</vt:lpwstr>
      </vt:variant>
      <vt:variant>
        <vt:lpwstr/>
      </vt:variant>
      <vt:variant>
        <vt:i4>852049</vt:i4>
      </vt:variant>
      <vt:variant>
        <vt:i4>126</vt:i4>
      </vt:variant>
      <vt:variant>
        <vt:i4>0</vt:i4>
      </vt:variant>
      <vt:variant>
        <vt:i4>5</vt:i4>
      </vt:variant>
      <vt:variant>
        <vt:lpwstr>http://www.inegi.org.mx/inegi/contenidos/espanol/prensa/comunicados/inver.pdf</vt:lpwstr>
      </vt:variant>
      <vt:variant>
        <vt:lpwstr/>
      </vt:variant>
      <vt:variant>
        <vt:i4>5505101</vt:i4>
      </vt:variant>
      <vt:variant>
        <vt:i4>123</vt:i4>
      </vt:variant>
      <vt:variant>
        <vt:i4>0</vt:i4>
      </vt:variant>
      <vt:variant>
        <vt:i4>5</vt:i4>
      </vt:variant>
      <vt:variant>
        <vt:lpwstr>http://www.kpmg.com/MX/es/IssuesAndInsights/ArticlesPublications/Paginas/CP-Acelerada-adopcion-comercio-electronico.aspx</vt:lpwstr>
      </vt:variant>
      <vt:variant>
        <vt:lpwstr/>
      </vt:variant>
      <vt:variant>
        <vt:i4>3735652</vt:i4>
      </vt:variant>
      <vt:variant>
        <vt:i4>120</vt:i4>
      </vt:variant>
      <vt:variant>
        <vt:i4>0</vt:i4>
      </vt:variant>
      <vt:variant>
        <vt:i4>5</vt:i4>
      </vt:variant>
      <vt:variant>
        <vt:lpwstr>http://www.inegi.org.mx/inegi/contenidos/espanol/prensa/comunicados/indcon.pdf</vt:lpwstr>
      </vt:variant>
      <vt:variant>
        <vt:lpwstr/>
      </vt:variant>
      <vt:variant>
        <vt:i4>1310807</vt:i4>
      </vt:variant>
      <vt:variant>
        <vt:i4>108</vt:i4>
      </vt:variant>
      <vt:variant>
        <vt:i4>0</vt:i4>
      </vt:variant>
      <vt:variant>
        <vt:i4>5</vt:i4>
      </vt:variant>
      <vt:variant>
        <vt:lpwstr>http://www.inegi.org.mx/inegi/contenidos/espanol/prensa/comunicados/confianza.pdf</vt:lpwstr>
      </vt:variant>
      <vt:variant>
        <vt:lpwstr/>
      </vt:variant>
      <vt:variant>
        <vt:i4>6619199</vt:i4>
      </vt:variant>
      <vt:variant>
        <vt:i4>96</vt:i4>
      </vt:variant>
      <vt:variant>
        <vt:i4>0</vt:i4>
      </vt:variant>
      <vt:variant>
        <vt:i4>5</vt:i4>
      </vt:variant>
      <vt:variant>
        <vt:lpwstr>http://www.inegi.org.mx/inegi/contenidos/espanol/prensa/comunicados/pedidos.pdf</vt:lpwstr>
      </vt:variant>
      <vt:variant>
        <vt:lpwstr/>
      </vt:variant>
      <vt:variant>
        <vt:i4>6357011</vt:i4>
      </vt:variant>
      <vt:variant>
        <vt:i4>84</vt:i4>
      </vt:variant>
      <vt:variant>
        <vt:i4>0</vt:i4>
      </vt:variant>
      <vt:variant>
        <vt:i4>5</vt:i4>
      </vt:variant>
      <vt:variant>
        <vt:lpwstr>http://www.inegi.org.mx/inegi/contenidos/notasinformativas/exp_empre/NI-EE.pdf</vt:lpwstr>
      </vt:variant>
      <vt:variant>
        <vt:lpwstr/>
      </vt:variant>
      <vt:variant>
        <vt:i4>1835025</vt:i4>
      </vt:variant>
      <vt:variant>
        <vt:i4>81</vt:i4>
      </vt:variant>
      <vt:variant>
        <vt:i4>0</vt:i4>
      </vt:variant>
      <vt:variant>
        <vt:i4>5</vt:i4>
      </vt:variant>
      <vt:variant>
        <vt:lpwstr>http://www.oecd.org/dataoecd/8/3/49528111.pdf</vt:lpwstr>
      </vt:variant>
      <vt:variant>
        <vt:lpwstr/>
      </vt:variant>
      <vt:variant>
        <vt:i4>7143431</vt:i4>
      </vt:variant>
      <vt:variant>
        <vt:i4>78</vt:i4>
      </vt:variant>
      <vt:variant>
        <vt:i4>0</vt:i4>
      </vt:variant>
      <vt:variant>
        <vt:i4>5</vt:i4>
      </vt:variant>
      <vt:variant>
        <vt:lpwstr>http://www.inegi.org.mx/inegi/contenidos/notasinformativas/ind_miner/2012/01/NI-IM.pdf</vt:lpwstr>
      </vt:variant>
      <vt:variant>
        <vt:lpwstr/>
      </vt:variant>
      <vt:variant>
        <vt:i4>6946914</vt:i4>
      </vt:variant>
      <vt:variant>
        <vt:i4>75</vt:i4>
      </vt:variant>
      <vt:variant>
        <vt:i4>0</vt:i4>
      </vt:variant>
      <vt:variant>
        <vt:i4>5</vt:i4>
      </vt:variant>
      <vt:variant>
        <vt:lpwstr>http://www.inegi.org.mx/sistemas/productos/</vt:lpwstr>
      </vt:variant>
      <vt:variant>
        <vt:lpwstr/>
      </vt:variant>
      <vt:variant>
        <vt:i4>4849716</vt:i4>
      </vt:variant>
      <vt:variant>
        <vt:i4>72</vt:i4>
      </vt:variant>
      <vt:variant>
        <vt:i4>0</vt:i4>
      </vt:variant>
      <vt:variant>
        <vt:i4>5</vt:i4>
      </vt:variant>
      <vt:variant>
        <vt:lpwstr>http://www.inegi.org.mx/prod_serv/contenidos/espanol/bvinegi/productos/integracion/sociodemografico/Energetico/2011/Ener2011.pdf</vt:lpwstr>
      </vt:variant>
      <vt:variant>
        <vt:lpwstr/>
      </vt:variant>
      <vt:variant>
        <vt:i4>2031619</vt:i4>
      </vt:variant>
      <vt:variant>
        <vt:i4>69</vt:i4>
      </vt:variant>
      <vt:variant>
        <vt:i4>0</vt:i4>
      </vt:variant>
      <vt:variant>
        <vt:i4>5</vt:i4>
      </vt:variant>
      <vt:variant>
        <vt:lpwstr>http://dgcnesyp/</vt:lpwstr>
      </vt:variant>
      <vt:variant>
        <vt:lpwstr/>
      </vt:variant>
      <vt:variant>
        <vt:i4>2031619</vt:i4>
      </vt:variant>
      <vt:variant>
        <vt:i4>66</vt:i4>
      </vt:variant>
      <vt:variant>
        <vt:i4>0</vt:i4>
      </vt:variant>
      <vt:variant>
        <vt:i4>5</vt:i4>
      </vt:variant>
      <vt:variant>
        <vt:lpwstr>http://dgcnesyp/</vt:lpwstr>
      </vt:variant>
      <vt:variant>
        <vt:lpwstr/>
      </vt:variant>
      <vt:variant>
        <vt:i4>589902</vt:i4>
      </vt:variant>
      <vt:variant>
        <vt:i4>63</vt:i4>
      </vt:variant>
      <vt:variant>
        <vt:i4>0</vt:i4>
      </vt:variant>
      <vt:variant>
        <vt:i4>5</vt:i4>
      </vt:variant>
      <vt:variant>
        <vt:lpwstr>http://www.inegi.gob.mx/</vt:lpwstr>
      </vt:variant>
      <vt:variant>
        <vt:lpwstr/>
      </vt:variant>
      <vt:variant>
        <vt:i4>5832759</vt:i4>
      </vt:variant>
      <vt:variant>
        <vt:i4>60</vt:i4>
      </vt:variant>
      <vt:variant>
        <vt:i4>0</vt:i4>
      </vt:variant>
      <vt:variant>
        <vt:i4>5</vt:i4>
      </vt:variant>
      <vt:variant>
        <vt:lpwstr>http://www.siap.sagarpa.gob.mx/index.php?option=com_wrapper&amp;view=wrapper&amp;Itemid=364</vt:lpwstr>
      </vt:variant>
      <vt:variant>
        <vt:lpwstr/>
      </vt:variant>
      <vt:variant>
        <vt:i4>3538995</vt:i4>
      </vt:variant>
      <vt:variant>
        <vt:i4>57</vt:i4>
      </vt:variant>
      <vt:variant>
        <vt:i4>0</vt:i4>
      </vt:variant>
      <vt:variant>
        <vt:i4>5</vt:i4>
      </vt:variant>
      <vt:variant>
        <vt:lpwstr>http://www.economia.gob.mx/eventos-noticias/sala-de-prensa/informacion-relevante/7303-boletin032-12</vt:lpwstr>
      </vt:variant>
      <vt:variant>
        <vt:lpwstr/>
      </vt:variant>
      <vt:variant>
        <vt:i4>2949128</vt:i4>
      </vt:variant>
      <vt:variant>
        <vt:i4>54</vt:i4>
      </vt:variant>
      <vt:variant>
        <vt:i4>0</vt:i4>
      </vt:variant>
      <vt:variant>
        <vt:i4>5</vt:i4>
      </vt:variant>
      <vt:variant>
        <vt:lpwstr>http://dof.gob.mx/nota_detalle.php?codigo=5231901&amp;fecha=01/02/2012</vt:lpwstr>
      </vt:variant>
      <vt:variant>
        <vt:lpwstr/>
      </vt:variant>
      <vt:variant>
        <vt:i4>2818048</vt:i4>
      </vt:variant>
      <vt:variant>
        <vt:i4>51</vt:i4>
      </vt:variant>
      <vt:variant>
        <vt:i4>0</vt:i4>
      </vt:variant>
      <vt:variant>
        <vt:i4>5</vt:i4>
      </vt:variant>
      <vt:variant>
        <vt:lpwstr>http://dof.gob.mx/nota_detalle.php?codigo=5231868&amp;fecha=01/02/2012</vt:lpwstr>
      </vt:variant>
      <vt:variant>
        <vt:lpwstr/>
      </vt:variant>
      <vt:variant>
        <vt:i4>7929944</vt:i4>
      </vt:variant>
      <vt:variant>
        <vt:i4>48</vt:i4>
      </vt:variant>
      <vt:variant>
        <vt:i4>0</vt:i4>
      </vt:variant>
      <vt:variant>
        <vt:i4>5</vt:i4>
      </vt:variant>
      <vt:variant>
        <vt:lpwstr>http://www.cofemer.gob.mx/rfts/formulario/tramite.asp?coNodes=1296451&amp;num_modalidad=0&amp;epe=0&amp;nv=0</vt:lpwstr>
      </vt:variant>
      <vt:variant>
        <vt:lpwstr/>
      </vt:variant>
      <vt:variant>
        <vt:i4>8192085</vt:i4>
      </vt:variant>
      <vt:variant>
        <vt:i4>45</vt:i4>
      </vt:variant>
      <vt:variant>
        <vt:i4>0</vt:i4>
      </vt:variant>
      <vt:variant>
        <vt:i4>5</vt:i4>
      </vt:variant>
      <vt:variant>
        <vt:lpwstr>http://www.cofemer.gob.mx/rfts/formulario/tramite.asp?coNodes=1566760&amp;num_modalidad=0&amp;epe=0&amp;nv=0</vt:lpwstr>
      </vt:variant>
      <vt:variant>
        <vt:lpwstr/>
      </vt:variant>
      <vt:variant>
        <vt:i4>7143473</vt:i4>
      </vt:variant>
      <vt:variant>
        <vt:i4>42</vt:i4>
      </vt:variant>
      <vt:variant>
        <vt:i4>0</vt:i4>
      </vt:variant>
      <vt:variant>
        <vt:i4>5</vt:i4>
      </vt:variant>
      <vt:variant>
        <vt:lpwstr>http://www.sagarpa.gob.mx/saladeprensa/boletines2/paginas/2012B063.aspx</vt:lpwstr>
      </vt:variant>
      <vt:variant>
        <vt:lpwstr/>
      </vt:variant>
      <vt:variant>
        <vt:i4>2228326</vt:i4>
      </vt:variant>
      <vt:variant>
        <vt:i4>39</vt:i4>
      </vt:variant>
      <vt:variant>
        <vt:i4>0</vt:i4>
      </vt:variant>
      <vt:variant>
        <vt:i4>5</vt:i4>
      </vt:variant>
      <vt:variant>
        <vt:lpwstr>http://www.economia.gob.mx/eventos-noticias/sala-de-prensa/informacion-relevante/7289-garantizado-el-abasto-de-maiz-y-frijol-en-mexico</vt:lpwstr>
      </vt:variant>
      <vt:variant>
        <vt:lpwstr/>
      </vt:variant>
      <vt:variant>
        <vt:i4>3670055</vt:i4>
      </vt:variant>
      <vt:variant>
        <vt:i4>36</vt:i4>
      </vt:variant>
      <vt:variant>
        <vt:i4>0</vt:i4>
      </vt:variant>
      <vt:variant>
        <vt:i4>5</vt:i4>
      </vt:variant>
      <vt:variant>
        <vt:lpwstr>http://www.presidencia.gob.mx/index.php?p=75052</vt:lpwstr>
      </vt:variant>
      <vt:variant>
        <vt:lpwstr/>
      </vt:variant>
      <vt:variant>
        <vt:i4>7209071</vt:i4>
      </vt:variant>
      <vt:variant>
        <vt:i4>33</vt:i4>
      </vt:variant>
      <vt:variant>
        <vt:i4>0</vt:i4>
      </vt:variant>
      <vt:variant>
        <vt:i4>5</vt:i4>
      </vt:variant>
      <vt:variant>
        <vt:lpwstr>http://www.presidencia.gob.mx/el-blog/10-acciones-para-enfrentar-la-sequia-en-el-pais/</vt:lpwstr>
      </vt:variant>
      <vt:variant>
        <vt:lpwstr/>
      </vt:variant>
      <vt:variant>
        <vt:i4>3866657</vt:i4>
      </vt:variant>
      <vt:variant>
        <vt:i4>30</vt:i4>
      </vt:variant>
      <vt:variant>
        <vt:i4>0</vt:i4>
      </vt:variant>
      <vt:variant>
        <vt:i4>5</vt:i4>
      </vt:variant>
      <vt:variant>
        <vt:lpwstr>http://www.presidencia.gob.mx/2012/01/acciones-para-mitigar-la-sequia/</vt:lpwstr>
      </vt:variant>
      <vt:variant>
        <vt:lpwstr/>
      </vt:variant>
      <vt:variant>
        <vt:i4>7209071</vt:i4>
      </vt:variant>
      <vt:variant>
        <vt:i4>27</vt:i4>
      </vt:variant>
      <vt:variant>
        <vt:i4>0</vt:i4>
      </vt:variant>
      <vt:variant>
        <vt:i4>5</vt:i4>
      </vt:variant>
      <vt:variant>
        <vt:lpwstr>http://www.presidencia.gob.mx/el-blog/10-acciones-para-enfrentar-la-sequia-en-el-pais/</vt:lpwstr>
      </vt:variant>
      <vt:variant>
        <vt:lpwstr/>
      </vt:variant>
      <vt:variant>
        <vt:i4>6553721</vt:i4>
      </vt:variant>
      <vt:variant>
        <vt:i4>24</vt:i4>
      </vt:variant>
      <vt:variant>
        <vt:i4>0</vt:i4>
      </vt:variant>
      <vt:variant>
        <vt:i4>5</vt:i4>
      </vt:variant>
      <vt:variant>
        <vt:lpwstr>http://www.rlc.fao.org/es/prensa/noticias/fao-gobiernos-de-alc-deben-mantenerse-alerta-ante-los-efectos-que-una-recesion-mundial-podria-tener-en-la-seguridad-alimentaria/</vt:lpwstr>
      </vt:variant>
      <vt:variant>
        <vt:lpwstr/>
      </vt:variant>
      <vt:variant>
        <vt:i4>6357050</vt:i4>
      </vt:variant>
      <vt:variant>
        <vt:i4>21</vt:i4>
      </vt:variant>
      <vt:variant>
        <vt:i4>0</vt:i4>
      </vt:variant>
      <vt:variant>
        <vt:i4>5</vt:i4>
      </vt:variant>
      <vt:variant>
        <vt:lpwstr>http://www.inegi.org.mx/inegi/contenidos/espanol/prensa/comunicados/actividadee.pdf</vt:lpwstr>
      </vt:variant>
      <vt:variant>
        <vt:lpwstr/>
      </vt:variant>
      <vt:variant>
        <vt:i4>5373974</vt:i4>
      </vt:variant>
      <vt:variant>
        <vt:i4>18</vt:i4>
      </vt:variant>
      <vt:variant>
        <vt:i4>0</vt:i4>
      </vt:variant>
      <vt:variant>
        <vt:i4>5</vt:i4>
      </vt:variant>
      <vt:variant>
        <vt:lpwstr>http://www.inegi.org.mx/inegi/contenidos/espanol/prensa/comunicados/sica.pdf</vt:lpwstr>
      </vt:variant>
      <vt:variant>
        <vt:lpwstr/>
      </vt:variant>
      <vt:variant>
        <vt:i4>4718593</vt:i4>
      </vt:variant>
      <vt:variant>
        <vt:i4>45</vt:i4>
      </vt:variant>
      <vt:variant>
        <vt:i4>0</vt:i4>
      </vt:variant>
      <vt:variant>
        <vt:i4>5</vt:i4>
      </vt:variant>
      <vt:variant>
        <vt:lpwstr>http://www.un.org/spanish/millenniumgoals/bkgd.shtml</vt:lpwstr>
      </vt:variant>
      <vt:variant>
        <vt:lpwstr/>
      </vt:variant>
      <vt:variant>
        <vt:i4>6291513</vt:i4>
      </vt:variant>
      <vt:variant>
        <vt:i4>42</vt:i4>
      </vt:variant>
      <vt:variant>
        <vt:i4>0</vt:i4>
      </vt:variant>
      <vt:variant>
        <vt:i4>5</vt:i4>
      </vt:variant>
      <vt:variant>
        <vt:lpwstr>http://www.oecd.org/dataoecd/1/58/49416686.pdf</vt:lpwstr>
      </vt:variant>
      <vt:variant>
        <vt:lpwstr/>
      </vt:variant>
      <vt:variant>
        <vt:i4>7536721</vt:i4>
      </vt:variant>
      <vt:variant>
        <vt:i4>39</vt:i4>
      </vt:variant>
      <vt:variant>
        <vt:i4>0</vt:i4>
      </vt:variant>
      <vt:variant>
        <vt:i4>5</vt:i4>
      </vt:variant>
      <vt:variant>
        <vt:lpwstr>http://www.oecd.org/document/47/0,3746,en_2649_34113_49331311_1_1_1_1,00.html</vt:lpwstr>
      </vt:variant>
      <vt:variant>
        <vt:lpwstr/>
      </vt:variant>
      <vt:variant>
        <vt:i4>3473446</vt:i4>
      </vt:variant>
      <vt:variant>
        <vt:i4>36</vt:i4>
      </vt:variant>
      <vt:variant>
        <vt:i4>0</vt:i4>
      </vt:variant>
      <vt:variant>
        <vt:i4>5</vt:i4>
      </vt:variant>
      <vt:variant>
        <vt:lpwstr>http://www.presidencia.gob.mx/index.php?p=75184</vt:lpwstr>
      </vt:variant>
      <vt:variant>
        <vt:lpwstr/>
      </vt:variant>
      <vt:variant>
        <vt:i4>1441803</vt:i4>
      </vt:variant>
      <vt:variant>
        <vt:i4>33</vt:i4>
      </vt:variant>
      <vt:variant>
        <vt:i4>0</vt:i4>
      </vt:variant>
      <vt:variant>
        <vt:i4>5</vt:i4>
      </vt:variant>
      <vt:variant>
        <vt:lpwstr>http://www.presidencia.gob.mx/2012/01/premio-al-estadista-global/</vt:lpwstr>
      </vt:variant>
      <vt:variant>
        <vt:lpwstr/>
      </vt:variant>
      <vt:variant>
        <vt:i4>3014758</vt:i4>
      </vt:variant>
      <vt:variant>
        <vt:i4>30</vt:i4>
      </vt:variant>
      <vt:variant>
        <vt:i4>0</vt:i4>
      </vt:variant>
      <vt:variant>
        <vt:i4>5</vt:i4>
      </vt:variant>
      <vt:variant>
        <vt:lpwstr>http://www.ecb.int/stats/money/surveys/lend/html/index.en.html</vt:lpwstr>
      </vt:variant>
      <vt:variant>
        <vt:lpwstr/>
      </vt:variant>
      <vt:variant>
        <vt:i4>7471228</vt:i4>
      </vt:variant>
      <vt:variant>
        <vt:i4>27</vt:i4>
      </vt:variant>
      <vt:variant>
        <vt:i4>0</vt:i4>
      </vt:variant>
      <vt:variant>
        <vt:i4>5</vt:i4>
      </vt:variant>
      <vt:variant>
        <vt:lpwstr>http://148.245.102.209/enviacentroamerica/</vt:lpwstr>
      </vt:variant>
      <vt:variant>
        <vt:lpwstr/>
      </vt:variant>
      <vt:variant>
        <vt:i4>8126535</vt:i4>
      </vt:variant>
      <vt:variant>
        <vt:i4>24</vt:i4>
      </vt:variant>
      <vt:variant>
        <vt:i4>0</vt:i4>
      </vt:variant>
      <vt:variant>
        <vt:i4>5</vt:i4>
      </vt:variant>
      <vt:variant>
        <vt:lpwstr>http://www.deloitte.com/view/es_MX/mx/sala-de-prensa/boletines-de-prensa/5e0942db</vt:lpwstr>
      </vt:variant>
      <vt:variant>
        <vt:lpwstr/>
      </vt:variant>
      <vt:variant>
        <vt:i4>8257639</vt:i4>
      </vt:variant>
      <vt:variant>
        <vt:i4>21</vt:i4>
      </vt:variant>
      <vt:variant>
        <vt:i4>0</vt:i4>
      </vt:variant>
      <vt:variant>
        <vt:i4>5</vt:i4>
      </vt:variant>
      <vt:variant>
        <vt:lpwstr>http://www.deloitte.com/assets/Dcom-Mexico/Local Assets/Documents/</vt:lpwstr>
      </vt:variant>
      <vt:variant>
        <vt:lpwstr/>
      </vt:variant>
      <vt:variant>
        <vt:i4>4259909</vt:i4>
      </vt:variant>
      <vt:variant>
        <vt:i4>18</vt:i4>
      </vt:variant>
      <vt:variant>
        <vt:i4>0</vt:i4>
      </vt:variant>
      <vt:variant>
        <vt:i4>5</vt:i4>
      </vt:variant>
      <vt:variant>
        <vt:lpwstr>http://www.deloitte.com.mx/multimedia/tips/security/</vt:lpwstr>
      </vt:variant>
      <vt:variant>
        <vt:lpwstr/>
      </vt:variant>
      <vt:variant>
        <vt:i4>458851</vt:i4>
      </vt:variant>
      <vt:variant>
        <vt:i4>15</vt:i4>
      </vt:variant>
      <vt:variant>
        <vt:i4>0</vt:i4>
      </vt:variant>
      <vt:variant>
        <vt:i4>5</vt:i4>
      </vt:variant>
      <vt:variant>
        <vt:lpwstr>http://www.deloitte.com/view/es_MX/mx/industrias/serviciosfinancieros/</vt:lpwstr>
      </vt:variant>
      <vt:variant>
        <vt:lpwstr/>
      </vt:variant>
      <vt:variant>
        <vt:i4>1048607</vt:i4>
      </vt:variant>
      <vt:variant>
        <vt:i4>12</vt:i4>
      </vt:variant>
      <vt:variant>
        <vt:i4>0</vt:i4>
      </vt:variant>
      <vt:variant>
        <vt:i4>5</vt:i4>
      </vt:variant>
      <vt:variant>
        <vt:lpwstr>http://www.deloitte.com/assets/Dcom-UnitedStates/Local Assets/Documents/</vt:lpwstr>
      </vt:variant>
      <vt:variant>
        <vt:lpwstr/>
      </vt:variant>
      <vt:variant>
        <vt:i4>3407976</vt:i4>
      </vt:variant>
      <vt:variant>
        <vt:i4>9</vt:i4>
      </vt:variant>
      <vt:variant>
        <vt:i4>0</vt:i4>
      </vt:variant>
      <vt:variant>
        <vt:i4>5</vt:i4>
      </vt:variant>
      <vt:variant>
        <vt:lpwstr>http://www.deloitte.com/assets/Dcom-UnitedStates/Local Assets/</vt:lpwstr>
      </vt:variant>
      <vt:variant>
        <vt:lpwstr/>
      </vt:variant>
      <vt:variant>
        <vt:i4>1310798</vt:i4>
      </vt:variant>
      <vt:variant>
        <vt:i4>6</vt:i4>
      </vt:variant>
      <vt:variant>
        <vt:i4>0</vt:i4>
      </vt:variant>
      <vt:variant>
        <vt:i4>5</vt:i4>
      </vt:variant>
      <vt:variant>
        <vt:lpwstr>http://www.cepal.org/ofilac/</vt:lpwstr>
      </vt:variant>
      <vt:variant>
        <vt:lpwstr/>
      </vt:variant>
      <vt:variant>
        <vt:i4>4784155</vt:i4>
      </vt:variant>
      <vt:variant>
        <vt:i4>3</vt:i4>
      </vt:variant>
      <vt:variant>
        <vt:i4>0</vt:i4>
      </vt:variant>
      <vt:variant>
        <vt:i4>5</vt:i4>
      </vt:variant>
      <vt:variant>
        <vt:lpwstr>http://www.cepal.org/cgi-bin/getProd.asp?xml=/ofilac/noticias/noticias/2/42262/P42262.xml&amp;xsl=/ofilac/tpl/p1f.xsl&amp;base=/ofilac/tpl/top-bottom.xsl</vt:lpwstr>
      </vt:variant>
      <vt:variant>
        <vt:lpwstr/>
      </vt:variant>
      <vt:variant>
        <vt:i4>7209071</vt:i4>
      </vt:variant>
      <vt:variant>
        <vt:i4>0</vt:i4>
      </vt:variant>
      <vt:variant>
        <vt:i4>0</vt:i4>
      </vt:variant>
      <vt:variant>
        <vt:i4>5</vt:i4>
      </vt:variant>
      <vt:variant>
        <vt:lpwstr>http://www.presidencia.gob.mx/el-blog/10-acciones-para-enfrentar-la-sequia-en-el-pais/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c:title>
  <dc:subject/>
  <dc:creator>AGONZALEZ</dc:creator>
  <cp:keywords/>
  <dc:description/>
  <cp:lastModifiedBy>Guadalupe Patricia Cuca Villegas</cp:lastModifiedBy>
  <cp:revision>16</cp:revision>
  <cp:lastPrinted>2015-04-27T16:47:00Z</cp:lastPrinted>
  <dcterms:created xsi:type="dcterms:W3CDTF">2015-04-27T18:21:00Z</dcterms:created>
  <dcterms:modified xsi:type="dcterms:W3CDTF">2015-04-30T14:30:00Z</dcterms:modified>
</cp:coreProperties>
</file>