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1CE5DF9" w14:textId="21BF8455" w:rsidR="0082752C" w:rsidRPr="00692817" w:rsidRDefault="00AB0F34" w:rsidP="00692817">
      <w:pPr>
        <w:keepNext/>
        <w:pBdr>
          <w:top w:val="double" w:sz="6" w:space="10" w:color="002060"/>
          <w:bottom w:val="double" w:sz="6" w:space="1" w:color="002060"/>
        </w:pBdr>
        <w:spacing w:after="480" w:line="360" w:lineRule="auto"/>
        <w:ind w:right="-102"/>
        <w:rPr>
          <w:color w:val="002060"/>
          <w:sz w:val="20"/>
          <w:szCs w:val="20"/>
        </w:rPr>
      </w:pPr>
      <w:bookmarkStart w:id="0" w:name="OLE_LINK104"/>
      <w:bookmarkStart w:id="1" w:name="OLE_LINK105"/>
      <w:bookmarkStart w:id="2" w:name="OLE_LINK90"/>
      <w:r w:rsidRPr="00692817">
        <w:rPr>
          <w:b/>
          <w:color w:val="002060"/>
          <w:sz w:val="32"/>
          <w:szCs w:val="32"/>
        </w:rPr>
        <w:t xml:space="preserve"> </w:t>
      </w:r>
      <w:r w:rsidR="00821904" w:rsidRPr="00692817">
        <w:rPr>
          <w:b/>
          <w:color w:val="002060"/>
          <w:sz w:val="32"/>
          <w:szCs w:val="32"/>
        </w:rPr>
        <w:t>I</w:t>
      </w:r>
      <w:r w:rsidR="00F3721A" w:rsidRPr="00692817">
        <w:rPr>
          <w:b/>
          <w:color w:val="002060"/>
          <w:sz w:val="32"/>
          <w:szCs w:val="32"/>
        </w:rPr>
        <w:t>V</w:t>
      </w:r>
      <w:r w:rsidR="00DE6CE3" w:rsidRPr="00692817">
        <w:rPr>
          <w:b/>
          <w:color w:val="002060"/>
          <w:sz w:val="32"/>
          <w:szCs w:val="32"/>
        </w:rPr>
        <w:t xml:space="preserve">.  </w:t>
      </w:r>
      <w:r w:rsidR="00821904" w:rsidRPr="00692817">
        <w:rPr>
          <w:b/>
          <w:color w:val="002060"/>
          <w:sz w:val="32"/>
          <w:szCs w:val="32"/>
        </w:rPr>
        <w:t>P</w:t>
      </w:r>
      <w:r w:rsidR="00F3721A" w:rsidRPr="00692817">
        <w:rPr>
          <w:b/>
          <w:color w:val="002060"/>
          <w:sz w:val="32"/>
          <w:szCs w:val="32"/>
        </w:rPr>
        <w:t>OSTCRISIS FINANCIERA MUNDIAL</w:t>
      </w:r>
      <w:bookmarkEnd w:id="0"/>
      <w:bookmarkEnd w:id="1"/>
      <w:bookmarkEnd w:id="2"/>
    </w:p>
    <w:p w14:paraId="4E4A9331" w14:textId="77777777" w:rsidR="007F2EDE" w:rsidRPr="007F2EDE" w:rsidRDefault="007F2EDE" w:rsidP="007F2EDE">
      <w:pPr>
        <w:ind w:right="-159"/>
        <w:jc w:val="both"/>
        <w:rPr>
          <w:rFonts w:eastAsia="Calibri"/>
          <w:b/>
          <w:sz w:val="26"/>
          <w:szCs w:val="26"/>
          <w:lang w:eastAsia="en-US"/>
        </w:rPr>
      </w:pPr>
      <w:r w:rsidRPr="007F2EDE">
        <w:rPr>
          <w:rFonts w:eastAsia="Calibri"/>
          <w:b/>
          <w:sz w:val="26"/>
          <w:szCs w:val="26"/>
          <w:lang w:eastAsia="en-US"/>
        </w:rPr>
        <w:t>Disminución del crecimiento potencial:</w:t>
      </w:r>
    </w:p>
    <w:p w14:paraId="1DFD8DA1" w14:textId="77777777" w:rsidR="007F2EDE" w:rsidRPr="007F2EDE" w:rsidRDefault="007F2EDE" w:rsidP="007F2EDE">
      <w:pPr>
        <w:spacing w:after="360" w:line="360" w:lineRule="auto"/>
        <w:ind w:right="-159"/>
        <w:jc w:val="both"/>
        <w:rPr>
          <w:rFonts w:eastAsia="Calibri"/>
          <w:b/>
          <w:sz w:val="26"/>
          <w:szCs w:val="26"/>
          <w:lang w:eastAsia="en-US"/>
        </w:rPr>
      </w:pPr>
      <w:r w:rsidRPr="007F2EDE">
        <w:rPr>
          <w:rFonts w:eastAsia="Calibri"/>
          <w:b/>
          <w:sz w:val="26"/>
          <w:szCs w:val="26"/>
          <w:lang w:eastAsia="en-US"/>
        </w:rPr>
        <w:t>Una   nueva   realidad   (FMI)</w:t>
      </w:r>
    </w:p>
    <w:p w14:paraId="232F1043" w14:textId="77777777" w:rsidR="007F2EDE" w:rsidRPr="007F2EDE" w:rsidRDefault="007F2EDE" w:rsidP="007F2EDE">
      <w:pPr>
        <w:spacing w:after="360" w:line="360" w:lineRule="auto"/>
        <w:ind w:right="-159"/>
        <w:jc w:val="both"/>
        <w:rPr>
          <w:rFonts w:eastAsia="Calibri"/>
          <w:sz w:val="26"/>
          <w:szCs w:val="26"/>
          <w:lang w:eastAsia="en-US"/>
        </w:rPr>
      </w:pPr>
      <w:r w:rsidRPr="007F2EDE">
        <w:rPr>
          <w:rFonts w:eastAsia="Calibri"/>
          <w:sz w:val="26"/>
          <w:szCs w:val="26"/>
          <w:lang w:eastAsia="en-US"/>
        </w:rPr>
        <w:t>El 7 de abril de 2015, el Fondo Monetario Internacional (FMI) publicó la nota “Disminución del crecimiento potencial: Una nueva realidad”, a continuación se presenta la información.</w:t>
      </w:r>
    </w:p>
    <w:p w14:paraId="5F8FABB6" w14:textId="77777777" w:rsidR="007F2EDE" w:rsidRPr="007F2EDE" w:rsidRDefault="007F2EDE" w:rsidP="007F2EDE">
      <w:pPr>
        <w:spacing w:after="360" w:line="360" w:lineRule="auto"/>
        <w:ind w:right="-159"/>
        <w:jc w:val="both"/>
        <w:rPr>
          <w:rFonts w:eastAsia="Calibri"/>
          <w:sz w:val="26"/>
          <w:szCs w:val="26"/>
          <w:lang w:eastAsia="en-US"/>
        </w:rPr>
      </w:pPr>
      <w:r w:rsidRPr="007F2EDE">
        <w:rPr>
          <w:rFonts w:eastAsia="Calibri"/>
          <w:sz w:val="26"/>
          <w:szCs w:val="26"/>
          <w:lang w:eastAsia="en-US"/>
        </w:rPr>
        <w:t xml:space="preserve">Desde el estallido de la crisis financiera internacional, muchas economías han experimentado una disminución del crecimiento de la capacidad productiva, lo cual podría implicar una mejora más lenta de los niveles de vida en el futuro, de acuerdo con un nuevo estudio del FMI. </w:t>
      </w:r>
    </w:p>
    <w:p w14:paraId="25BB4900" w14:textId="77777777" w:rsidR="007F2EDE" w:rsidRPr="007F2EDE" w:rsidRDefault="007F2EDE" w:rsidP="007F2EDE">
      <w:pPr>
        <w:spacing w:after="360" w:line="360" w:lineRule="auto"/>
        <w:ind w:right="-159"/>
        <w:jc w:val="both"/>
        <w:rPr>
          <w:rFonts w:eastAsia="Calibri"/>
          <w:sz w:val="26"/>
          <w:szCs w:val="26"/>
          <w:lang w:eastAsia="en-US"/>
        </w:rPr>
      </w:pPr>
      <w:r w:rsidRPr="007F2EDE">
        <w:rPr>
          <w:rFonts w:eastAsia="Calibri"/>
          <w:sz w:val="26"/>
          <w:szCs w:val="26"/>
          <w:lang w:eastAsia="en-US"/>
        </w:rPr>
        <w:t>El crecimiento del producto mundial sufrió una marcada disminución durante la crisis financiera internacional, y un nuevo estudio publicado en la edición de abril de 2015 de Perspectivas de la Economía Mundial del FMI (informe WEO, por sus siglas en inglés) sugiere que una parte considerable de esa desaceleración se debe a que las economías se enfrentan a “límites de velocidad” más bajos. El límite de velocidad de una economía —técnicamente, el crecimiento del producto potencial— determina con qué rapidez se puede expandir la producción de bienes y servicios sin provocar un aumento de la inflación.</w:t>
      </w:r>
    </w:p>
    <w:p w14:paraId="1CEC3D59" w14:textId="1540EBA3" w:rsidR="007F2EDE" w:rsidRDefault="007F2EDE" w:rsidP="007F2EDE">
      <w:pPr>
        <w:spacing w:after="360" w:line="360" w:lineRule="auto"/>
        <w:ind w:right="-159"/>
        <w:jc w:val="both"/>
        <w:rPr>
          <w:rFonts w:eastAsia="Calibri"/>
          <w:sz w:val="26"/>
          <w:szCs w:val="26"/>
          <w:lang w:eastAsia="en-US"/>
        </w:rPr>
      </w:pPr>
      <w:r w:rsidRPr="007F2EDE">
        <w:rPr>
          <w:rFonts w:eastAsia="Calibri"/>
          <w:sz w:val="26"/>
          <w:szCs w:val="26"/>
          <w:lang w:eastAsia="en-US"/>
        </w:rPr>
        <w:t xml:space="preserve">Los datos presentados en el estudio hacen pensar que a falta de medidas que fomenten la innovación, promuevan la inversión en capital productivo y contrarresten el empuje negativo del envejecimiento, los países tendrán que adaptarse a una nueva realidad de límites de velocidad más bajos. </w:t>
      </w:r>
    </w:p>
    <w:p w14:paraId="5223B095" w14:textId="769C7665" w:rsidR="00467489" w:rsidRPr="007F2EDE" w:rsidRDefault="008924D5" w:rsidP="007F2EDE">
      <w:pPr>
        <w:spacing w:after="360" w:line="360" w:lineRule="auto"/>
        <w:ind w:right="-159"/>
        <w:jc w:val="both"/>
        <w:rPr>
          <w:rFonts w:eastAsia="Calibri"/>
          <w:sz w:val="26"/>
          <w:szCs w:val="26"/>
          <w:lang w:eastAsia="en-US"/>
        </w:rPr>
      </w:pPr>
      <w:r w:rsidRPr="00570084">
        <w:rPr>
          <w:rFonts w:eastAsia="Calibri"/>
          <w:noProof/>
          <w:sz w:val="26"/>
          <w:szCs w:val="26"/>
          <w:lang w:eastAsia="es-MX"/>
        </w:rPr>
        <mc:AlternateContent>
          <mc:Choice Requires="wps">
            <w:drawing>
              <wp:anchor distT="45720" distB="45720" distL="114300" distR="114300" simplePos="0" relativeHeight="251659264" behindDoc="0" locked="0" layoutInCell="1" allowOverlap="1" wp14:anchorId="6F0012FC" wp14:editId="5B2FEE99">
                <wp:simplePos x="0" y="0"/>
                <wp:positionH relativeFrom="column">
                  <wp:posOffset>3378200</wp:posOffset>
                </wp:positionH>
                <wp:positionV relativeFrom="page">
                  <wp:posOffset>8947150</wp:posOffset>
                </wp:positionV>
                <wp:extent cx="2360930" cy="275590"/>
                <wp:effectExtent l="0" t="0" r="1270" b="0"/>
                <wp:wrapSquare wrapText="bothSides"/>
                <wp:docPr id="21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275590"/>
                        </a:xfrm>
                        <a:prstGeom prst="rect">
                          <a:avLst/>
                        </a:prstGeom>
                        <a:solidFill>
                          <a:srgbClr val="FFFFFF"/>
                        </a:solidFill>
                        <a:ln w="9525">
                          <a:noFill/>
                          <a:miter lim="800000"/>
                          <a:headEnd/>
                          <a:tailEnd/>
                        </a:ln>
                      </wps:spPr>
                      <wps:txbx>
                        <w:txbxContent>
                          <w:p w14:paraId="46B5A7AC" w14:textId="77777777" w:rsidR="00AB0F34" w:rsidRDefault="00AB0F34" w:rsidP="008924D5">
                            <w:pPr>
                              <w:tabs>
                                <w:tab w:val="center" w:pos="4252"/>
                                <w:tab w:val="right" w:pos="8504"/>
                              </w:tabs>
                              <w:jc w:val="right"/>
                            </w:pPr>
                            <w:r w:rsidRPr="00570084">
                              <w:rPr>
                                <w:rFonts w:eastAsia="Times New Roman"/>
                                <w:lang w:val="es-ES"/>
                              </w:rPr>
                              <w:t>F1 P-07-02  Rev.00</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type w14:anchorId="6F0012FC" id="_x0000_t202" coordsize="21600,21600" o:spt="202" path="m,l,21600r21600,l21600,xe">
                <v:stroke joinstyle="miter"/>
                <v:path gradientshapeok="t" o:connecttype="rect"/>
              </v:shapetype>
              <v:shape id="Cuadro de texto 2" o:spid="_x0000_s1026" type="#_x0000_t202" style="position:absolute;left:0;text-align:left;margin-left:266pt;margin-top:704.5pt;width:185.9pt;height:21.7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" stroked="f">
                <v:textbox style="mso-fit-shape-to-text:t">
                  <w:txbxContent>
                    <w:p w14:paraId="46B5A7AC" w14:textId="77777777" w:rsidR="00AB0F34" w:rsidRDefault="00AB0F34" w:rsidP="008924D5">
                      <w:pPr>
                        <w:tabs>
                          <w:tab w:val="center" w:pos="4252"/>
                          <w:tab w:val="right" w:pos="8504"/>
                        </w:tabs>
                        <w:jc w:val="right"/>
                      </w:pPr>
                      <w:r w:rsidRPr="00570084">
                        <w:rPr>
                          <w:rFonts w:eastAsia="Times New Roman"/>
                          <w:lang w:val="es-ES"/>
                        </w:rPr>
                        <w:t>F1 P-07-02  Rev.00</w:t>
                      </w:r>
                    </w:p>
                  </w:txbxContent>
                </v:textbox>
                <w10:wrap type="square" anchory="page"/>
              </v:shape>
            </w:pict>
          </mc:Fallback>
        </mc:AlternateContent>
      </w:r>
    </w:p>
    <w:p w14:paraId="2DFA4996" w14:textId="77777777" w:rsidR="007F2EDE" w:rsidRPr="007F2EDE" w:rsidRDefault="007F2EDE" w:rsidP="007F2EDE">
      <w:pPr>
        <w:spacing w:after="360" w:line="360" w:lineRule="auto"/>
        <w:ind w:right="-159"/>
        <w:jc w:val="both"/>
        <w:rPr>
          <w:rFonts w:eastAsia="Calibri"/>
          <w:b/>
          <w:sz w:val="26"/>
          <w:szCs w:val="26"/>
          <w:lang w:eastAsia="en-US"/>
        </w:rPr>
      </w:pPr>
      <w:r w:rsidRPr="007F2EDE">
        <w:rPr>
          <w:rFonts w:eastAsia="Calibri"/>
          <w:b/>
          <w:sz w:val="26"/>
          <w:szCs w:val="26"/>
          <w:lang w:eastAsia="en-US"/>
        </w:rPr>
        <w:lastRenderedPageBreak/>
        <w:t>El producto potencial: Balance de situación</w:t>
      </w:r>
    </w:p>
    <w:p w14:paraId="75E5D98E" w14:textId="77777777" w:rsidR="007F2EDE" w:rsidRPr="007F2EDE" w:rsidRDefault="007F2EDE" w:rsidP="007F2EDE">
      <w:pPr>
        <w:spacing w:after="360" w:line="360" w:lineRule="auto"/>
        <w:ind w:right="-159"/>
        <w:jc w:val="both"/>
        <w:rPr>
          <w:rFonts w:eastAsia="Calibri"/>
          <w:sz w:val="26"/>
          <w:szCs w:val="26"/>
          <w:lang w:eastAsia="en-US"/>
        </w:rPr>
      </w:pPr>
      <w:r w:rsidRPr="007F2EDE">
        <w:rPr>
          <w:rFonts w:eastAsia="Calibri"/>
          <w:sz w:val="26"/>
          <w:szCs w:val="26"/>
          <w:lang w:eastAsia="en-US"/>
        </w:rPr>
        <w:t xml:space="preserve">El producto potencial mide la capacidad productiva de un país con inflación estable. Depende de la oferta de dos factores de producción —los insumos de trabajo y capital— y de la productividad con que se los aproveche. Para que el producto potencial crezca, la oferta de estos factores o la productividad tienen que aumentar. </w:t>
      </w:r>
    </w:p>
    <w:p w14:paraId="0DD8032B" w14:textId="77777777" w:rsidR="007F2EDE" w:rsidRPr="007F2EDE" w:rsidRDefault="007F2EDE" w:rsidP="007F2EDE">
      <w:pPr>
        <w:spacing w:after="360" w:line="360" w:lineRule="auto"/>
        <w:ind w:right="-159"/>
        <w:jc w:val="both"/>
        <w:rPr>
          <w:rFonts w:eastAsia="Calibri"/>
          <w:sz w:val="26"/>
          <w:szCs w:val="26"/>
          <w:lang w:eastAsia="en-US"/>
        </w:rPr>
      </w:pPr>
      <w:r w:rsidRPr="007F2EDE">
        <w:rPr>
          <w:rFonts w:eastAsia="Calibri"/>
          <w:sz w:val="26"/>
          <w:szCs w:val="26"/>
          <w:lang w:eastAsia="en-US"/>
        </w:rPr>
        <w:t xml:space="preserve">En los años transcurridos desde la crisis financiera internacional, muchas economías han experimentado una expansión más lenta de uno o más de estos componentes críticos del crecimiento del producto potencial (véase la gráfica siguiente). La disminución del crecimiento potencial de las economías avanzadas se debe, más o menos en igual medida, al enlentecimiento de la acumulación del capital y al del aumento de la mano de obra, provocado más que nada por factores demográficos adversos. En las economías de mercados emergentes, gran parte de esa disminución es atribuible a un aumento más lento de la productividad. </w:t>
      </w:r>
    </w:p>
    <w:p w14:paraId="32FE2F5C" w14:textId="77777777" w:rsidR="007F2EDE" w:rsidRPr="007F2EDE" w:rsidRDefault="007F2EDE" w:rsidP="007F2EDE">
      <w:pPr>
        <w:spacing w:after="360" w:line="360" w:lineRule="auto"/>
        <w:ind w:right="-159"/>
        <w:jc w:val="both"/>
        <w:rPr>
          <w:rFonts w:eastAsia="Calibri"/>
          <w:sz w:val="26"/>
          <w:szCs w:val="26"/>
          <w:lang w:eastAsia="en-US"/>
        </w:rPr>
      </w:pPr>
    </w:p>
    <w:p w14:paraId="5C6BB2BD" w14:textId="77777777" w:rsidR="007F2EDE" w:rsidRPr="007F2EDE" w:rsidRDefault="007F2EDE" w:rsidP="007F2EDE">
      <w:pPr>
        <w:spacing w:after="360" w:line="360" w:lineRule="auto"/>
        <w:ind w:right="-159"/>
        <w:jc w:val="both"/>
        <w:rPr>
          <w:rFonts w:eastAsia="Calibri"/>
          <w:sz w:val="26"/>
          <w:szCs w:val="26"/>
          <w:lang w:eastAsia="en-US"/>
        </w:rPr>
      </w:pPr>
    </w:p>
    <w:p w14:paraId="2AB4E017" w14:textId="77777777" w:rsidR="007F2EDE" w:rsidRPr="007F2EDE" w:rsidRDefault="007F2EDE" w:rsidP="007F2EDE">
      <w:pPr>
        <w:spacing w:after="360" w:line="360" w:lineRule="auto"/>
        <w:ind w:right="-159"/>
        <w:jc w:val="both"/>
        <w:rPr>
          <w:rFonts w:eastAsia="Calibri"/>
          <w:sz w:val="26"/>
          <w:szCs w:val="26"/>
          <w:lang w:eastAsia="en-US"/>
        </w:rPr>
      </w:pPr>
    </w:p>
    <w:p w14:paraId="7805AD9D" w14:textId="77777777" w:rsidR="007F2EDE" w:rsidRPr="007F2EDE" w:rsidRDefault="007F2EDE" w:rsidP="007F2EDE">
      <w:pPr>
        <w:spacing w:after="360" w:line="360" w:lineRule="auto"/>
        <w:ind w:right="-159"/>
        <w:jc w:val="both"/>
        <w:rPr>
          <w:rFonts w:eastAsia="Calibri"/>
          <w:sz w:val="26"/>
          <w:szCs w:val="26"/>
          <w:lang w:eastAsia="en-US"/>
        </w:rPr>
      </w:pPr>
    </w:p>
    <w:p w14:paraId="0CE26962" w14:textId="77777777" w:rsidR="007F2EDE" w:rsidRPr="007F2EDE" w:rsidRDefault="007F2EDE" w:rsidP="007F2EDE">
      <w:pPr>
        <w:spacing w:after="360" w:line="360" w:lineRule="auto"/>
        <w:ind w:right="-159"/>
        <w:jc w:val="both"/>
        <w:rPr>
          <w:rFonts w:eastAsia="Calibri"/>
          <w:sz w:val="26"/>
          <w:szCs w:val="26"/>
          <w:lang w:eastAsia="en-US"/>
        </w:rPr>
      </w:pPr>
    </w:p>
    <w:p w14:paraId="20B4676C" w14:textId="77777777" w:rsidR="007F2EDE" w:rsidRPr="007F2EDE" w:rsidRDefault="007F2EDE" w:rsidP="007F2EDE">
      <w:pPr>
        <w:spacing w:after="360" w:line="360" w:lineRule="auto"/>
        <w:ind w:right="-159"/>
        <w:jc w:val="both"/>
        <w:rPr>
          <w:rFonts w:eastAsia="Calibri"/>
          <w:sz w:val="26"/>
          <w:szCs w:val="26"/>
          <w:lang w:eastAsia="en-US"/>
        </w:rPr>
      </w:pPr>
    </w:p>
    <w:p w14:paraId="43F05EB8" w14:textId="77777777" w:rsidR="007F2EDE" w:rsidRPr="007F2EDE" w:rsidRDefault="007F2EDE" w:rsidP="007F2EDE">
      <w:pPr>
        <w:spacing w:after="360" w:line="360" w:lineRule="auto"/>
        <w:ind w:right="-159"/>
        <w:jc w:val="both"/>
        <w:rPr>
          <w:rFonts w:eastAsia="Calibri"/>
          <w:sz w:val="26"/>
          <w:szCs w:val="26"/>
          <w:lang w:eastAsia="en-US"/>
        </w:rPr>
      </w:pPr>
    </w:p>
    <w:p w14:paraId="776E936E" w14:textId="77777777" w:rsidR="007F2EDE" w:rsidRPr="007F2EDE" w:rsidRDefault="007F2EDE" w:rsidP="007F2EDE">
      <w:pPr>
        <w:spacing w:after="360" w:line="360" w:lineRule="auto"/>
        <w:ind w:right="-159"/>
        <w:jc w:val="both"/>
        <w:rPr>
          <w:rFonts w:eastAsia="Calibri"/>
          <w:sz w:val="26"/>
          <w:szCs w:val="26"/>
          <w:lang w:eastAsia="en-US"/>
        </w:rPr>
      </w:pPr>
    </w:p>
    <w:tbl>
      <w:tblPr>
        <w:tblW w:w="0" w:type="auto"/>
        <w:jc w:val="center"/>
        <w:tblBorders>
          <w:insideV w:val="single" w:sz="4" w:space="0" w:color="auto"/>
        </w:tblBorders>
        <w:tblLook w:val="04A0" w:firstRow="1" w:lastRow="0" w:firstColumn="1" w:lastColumn="0" w:noHBand="0" w:noVBand="1"/>
      </w:tblPr>
      <w:tblGrid>
        <w:gridCol w:w="8082"/>
      </w:tblGrid>
      <w:tr w:rsidR="007F2EDE" w:rsidRPr="007F2EDE" w14:paraId="7646E242" w14:textId="77777777" w:rsidTr="00835D95">
        <w:trPr>
          <w:jc w:val="center"/>
        </w:trPr>
        <w:tc>
          <w:tcPr>
            <w:tcW w:w="7268" w:type="dxa"/>
          </w:tcPr>
          <w:p w14:paraId="681AD3F3" w14:textId="77777777" w:rsidR="007F2EDE" w:rsidRPr="007F2EDE" w:rsidRDefault="007F2EDE" w:rsidP="007F2EDE">
            <w:pPr>
              <w:jc w:val="center"/>
              <w:rPr>
                <w:rFonts w:eastAsia="Calibri"/>
                <w:b/>
                <w:sz w:val="22"/>
                <w:szCs w:val="26"/>
                <w:lang w:eastAsia="en-US"/>
              </w:rPr>
            </w:pPr>
            <w:r w:rsidRPr="007F2EDE">
              <w:rPr>
                <w:rFonts w:eastAsia="Calibri"/>
                <w:b/>
                <w:sz w:val="22"/>
                <w:szCs w:val="26"/>
                <w:lang w:eastAsia="en-US"/>
              </w:rPr>
              <w:lastRenderedPageBreak/>
              <w:t>DISMINUCIÓN DEL CRECIMIENTO POTENCIAL TRAS LA CRISIS FINANCIERA INTERNACIONAL</w:t>
            </w:r>
          </w:p>
          <w:p w14:paraId="68420E2E" w14:textId="77777777" w:rsidR="007F2EDE" w:rsidRPr="007F2EDE" w:rsidRDefault="007F2EDE" w:rsidP="007F2EDE">
            <w:pPr>
              <w:jc w:val="center"/>
              <w:rPr>
                <w:rFonts w:eastAsia="Calibri"/>
                <w:b/>
                <w:sz w:val="22"/>
                <w:szCs w:val="26"/>
                <w:lang w:eastAsia="en-US"/>
              </w:rPr>
            </w:pPr>
            <w:r w:rsidRPr="007F2EDE">
              <w:rPr>
                <w:rFonts w:eastAsia="Calibri"/>
                <w:b/>
                <w:sz w:val="22"/>
                <w:szCs w:val="26"/>
                <w:lang w:eastAsia="en-US"/>
              </w:rPr>
              <w:t>En las economías avanzadas, la disminución del crecimiento potencial durante la crisis financiera internacional puede atribuirse más que nada a los efectos de la crisis en el crecimiento del capit</w:t>
            </w:r>
            <w:bookmarkStart w:id="3" w:name="_GoBack"/>
            <w:bookmarkEnd w:id="3"/>
            <w:r w:rsidRPr="007F2EDE">
              <w:rPr>
                <w:rFonts w:eastAsia="Calibri"/>
                <w:b/>
                <w:sz w:val="22"/>
                <w:szCs w:val="26"/>
                <w:lang w:eastAsia="en-US"/>
              </w:rPr>
              <w:t>al y la disminución del crecimiento potencial del empleo vinculada al envejecimiento. En las economías de mercados emergentes, la disminución del crecimiento potencial durante la crisis financiera internacional se debe principalmente al menor aumento de la productividad total de los factores</w:t>
            </w:r>
          </w:p>
          <w:p w14:paraId="4926F30C" w14:textId="77777777" w:rsidR="007F2EDE" w:rsidRPr="007F2EDE" w:rsidRDefault="007F2EDE" w:rsidP="007F2EDE">
            <w:pPr>
              <w:jc w:val="center"/>
              <w:rPr>
                <w:rFonts w:eastAsia="Calibri"/>
                <w:b/>
                <w:sz w:val="22"/>
                <w:szCs w:val="26"/>
                <w:lang w:eastAsia="en-US"/>
              </w:rPr>
            </w:pPr>
            <w:r w:rsidRPr="007F2EDE">
              <w:rPr>
                <w:rFonts w:eastAsia="Calibri"/>
                <w:b/>
                <w:sz w:val="22"/>
                <w:szCs w:val="26"/>
                <w:lang w:eastAsia="en-US"/>
              </w:rPr>
              <w:t>-Porcentajes-</w:t>
            </w:r>
          </w:p>
        </w:tc>
      </w:tr>
      <w:tr w:rsidR="007F2EDE" w:rsidRPr="007F2EDE" w14:paraId="24880CE2" w14:textId="77777777" w:rsidTr="00835D95">
        <w:trPr>
          <w:jc w:val="center"/>
        </w:trPr>
        <w:tc>
          <w:tcPr>
            <w:tcW w:w="7268" w:type="dxa"/>
          </w:tcPr>
          <w:p w14:paraId="1862E215" w14:textId="77777777" w:rsidR="007F2EDE" w:rsidRPr="007F2EDE" w:rsidRDefault="007F2EDE" w:rsidP="007F2EDE">
            <w:pPr>
              <w:jc w:val="center"/>
              <w:rPr>
                <w:rFonts w:eastAsia="Calibri"/>
                <w:sz w:val="26"/>
                <w:szCs w:val="26"/>
                <w:lang w:eastAsia="en-US"/>
              </w:rPr>
            </w:pPr>
            <w:r w:rsidRPr="007F2EDE">
              <w:rPr>
                <w:rFonts w:eastAsia="Calibri"/>
                <w:noProof/>
                <w:sz w:val="26"/>
                <w:szCs w:val="26"/>
                <w:lang w:eastAsia="es-MX"/>
              </w:rPr>
              <w:drawing>
                <wp:inline distT="0" distB="0" distL="0" distR="0" wp14:anchorId="4675C331" wp14:editId="2ECE0C63">
                  <wp:extent cx="4995263" cy="3960000"/>
                  <wp:effectExtent l="0" t="0" r="0" b="0"/>
                  <wp:docPr id="1733" name="Imagen 1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95263" cy="3960000"/>
                          </a:xfrm>
                          <a:prstGeom prst="rect">
                            <a:avLst/>
                          </a:prstGeom>
                          <a:noFill/>
                          <a:ln>
                            <a:noFill/>
                          </a:ln>
                        </pic:spPr>
                      </pic:pic>
                    </a:graphicData>
                  </a:graphic>
                </wp:inline>
              </w:drawing>
            </w:r>
          </w:p>
        </w:tc>
      </w:tr>
      <w:tr w:rsidR="007F2EDE" w:rsidRPr="007F2EDE" w14:paraId="548ED8E1" w14:textId="77777777" w:rsidTr="00835D95">
        <w:trPr>
          <w:jc w:val="center"/>
        </w:trPr>
        <w:tc>
          <w:tcPr>
            <w:tcW w:w="7268" w:type="dxa"/>
          </w:tcPr>
          <w:p w14:paraId="1262F7FF" w14:textId="77777777" w:rsidR="007F2EDE" w:rsidRPr="007F2EDE" w:rsidRDefault="007F2EDE" w:rsidP="007F2EDE">
            <w:pPr>
              <w:jc w:val="both"/>
              <w:rPr>
                <w:rFonts w:eastAsia="Calibri"/>
                <w:sz w:val="20"/>
                <w:szCs w:val="26"/>
                <w:lang w:eastAsia="en-US"/>
              </w:rPr>
            </w:pPr>
            <w:r w:rsidRPr="007F2EDE">
              <w:rPr>
                <w:rFonts w:eastAsia="Calibri"/>
                <w:sz w:val="20"/>
                <w:szCs w:val="26"/>
                <w:lang w:eastAsia="en-US"/>
              </w:rPr>
              <w:t>Nota: Los grupos de economías se definen en el anexo 3.1 del documento original del FMI.</w:t>
            </w:r>
          </w:p>
          <w:p w14:paraId="79D0A675" w14:textId="77777777" w:rsidR="007F2EDE" w:rsidRPr="007F2EDE" w:rsidRDefault="007F2EDE" w:rsidP="007F2EDE">
            <w:pPr>
              <w:ind w:left="907" w:hanging="907"/>
              <w:jc w:val="both"/>
              <w:rPr>
                <w:rFonts w:eastAsia="Calibri"/>
                <w:sz w:val="20"/>
                <w:szCs w:val="26"/>
                <w:lang w:eastAsia="en-US"/>
              </w:rPr>
            </w:pPr>
            <w:r w:rsidRPr="007F2EDE">
              <w:rPr>
                <w:rFonts w:eastAsia="Calibri"/>
                <w:sz w:val="20"/>
                <w:szCs w:val="26"/>
                <w:lang w:eastAsia="en-US"/>
              </w:rPr>
              <w:t>FUENTE: Estimaciones del personal técnico del FMI.</w:t>
            </w:r>
          </w:p>
        </w:tc>
      </w:tr>
    </w:tbl>
    <w:p w14:paraId="07230BAE" w14:textId="77777777" w:rsidR="007F2EDE" w:rsidRPr="007F2EDE" w:rsidRDefault="007F2EDE" w:rsidP="007F2EDE">
      <w:pPr>
        <w:spacing w:after="360" w:line="360" w:lineRule="auto"/>
        <w:ind w:right="-159"/>
        <w:jc w:val="both"/>
        <w:rPr>
          <w:rFonts w:eastAsia="Calibri"/>
          <w:sz w:val="26"/>
          <w:szCs w:val="26"/>
          <w:lang w:eastAsia="en-US"/>
        </w:rPr>
      </w:pPr>
    </w:p>
    <w:p w14:paraId="6683C0D0" w14:textId="77777777" w:rsidR="007F2EDE" w:rsidRPr="007F2EDE" w:rsidRDefault="007F2EDE" w:rsidP="007F2EDE">
      <w:pPr>
        <w:spacing w:after="360" w:line="360" w:lineRule="auto"/>
        <w:ind w:right="-159"/>
        <w:jc w:val="both"/>
        <w:rPr>
          <w:rFonts w:eastAsia="Calibri"/>
          <w:b/>
          <w:sz w:val="26"/>
          <w:szCs w:val="26"/>
          <w:lang w:eastAsia="en-US"/>
        </w:rPr>
      </w:pPr>
      <w:r w:rsidRPr="007F2EDE">
        <w:rPr>
          <w:rFonts w:eastAsia="Calibri"/>
          <w:b/>
          <w:sz w:val="26"/>
          <w:szCs w:val="26"/>
          <w:lang w:eastAsia="en-US"/>
        </w:rPr>
        <w:t>De cara al futuro: ¿Qué cabe esperar?</w:t>
      </w:r>
    </w:p>
    <w:p w14:paraId="6788EB03" w14:textId="77777777" w:rsidR="007F2EDE" w:rsidRPr="007F2EDE" w:rsidRDefault="007F2EDE" w:rsidP="007F2EDE">
      <w:pPr>
        <w:spacing w:after="360" w:line="360" w:lineRule="auto"/>
        <w:ind w:right="-159"/>
        <w:jc w:val="both"/>
        <w:rPr>
          <w:rFonts w:eastAsia="Calibri"/>
          <w:sz w:val="26"/>
          <w:szCs w:val="26"/>
          <w:lang w:eastAsia="en-US"/>
        </w:rPr>
      </w:pPr>
      <w:r w:rsidRPr="007F2EDE">
        <w:rPr>
          <w:rFonts w:eastAsia="Calibri"/>
          <w:sz w:val="26"/>
          <w:szCs w:val="26"/>
          <w:lang w:eastAsia="en-US"/>
        </w:rPr>
        <w:t xml:space="preserve">A medida que las condiciones económicas mejoren y la actividad se recupere, el crecimiento de la inversión debería repuntar, promoviendo una recuperación paulatina del crecimiento del capital productivo en muchas economías avanzadas. Sin embargo, las perspectivas de la fuerza laboral son más sombrías. Como lo muestra la gráfica siguiente, es probable que los factores demográficos pongan freno al crecimiento en </w:t>
      </w:r>
      <w:r w:rsidRPr="007F2EDE">
        <w:rPr>
          <w:rFonts w:eastAsia="Calibri"/>
          <w:sz w:val="26"/>
          <w:szCs w:val="26"/>
          <w:lang w:eastAsia="en-US"/>
        </w:rPr>
        <w:lastRenderedPageBreak/>
        <w:t>muchas economías avanzadas y emergentes, a medida que la población envejezca y los trabajadores se jubilen.</w:t>
      </w:r>
    </w:p>
    <w:tbl>
      <w:tblPr>
        <w:tblW w:w="0" w:type="auto"/>
        <w:jc w:val="center"/>
        <w:tblBorders>
          <w:insideV w:val="single" w:sz="4" w:space="0" w:color="auto"/>
        </w:tblBorders>
        <w:tblLook w:val="04A0" w:firstRow="1" w:lastRow="0" w:firstColumn="1" w:lastColumn="0" w:noHBand="0" w:noVBand="1"/>
      </w:tblPr>
      <w:tblGrid>
        <w:gridCol w:w="7268"/>
      </w:tblGrid>
      <w:tr w:rsidR="007F2EDE" w:rsidRPr="007F2EDE" w14:paraId="36303C06" w14:textId="77777777" w:rsidTr="00835D95">
        <w:trPr>
          <w:jc w:val="center"/>
        </w:trPr>
        <w:tc>
          <w:tcPr>
            <w:tcW w:w="7268" w:type="dxa"/>
          </w:tcPr>
          <w:p w14:paraId="0AACD12C" w14:textId="77777777" w:rsidR="007F2EDE" w:rsidRPr="007F2EDE" w:rsidRDefault="007F2EDE" w:rsidP="007F2EDE">
            <w:pPr>
              <w:jc w:val="center"/>
              <w:rPr>
                <w:rFonts w:eastAsia="Calibri"/>
                <w:b/>
                <w:sz w:val="22"/>
                <w:szCs w:val="26"/>
                <w:lang w:eastAsia="en-US"/>
              </w:rPr>
            </w:pPr>
            <w:r w:rsidRPr="007F2EDE">
              <w:rPr>
                <w:rFonts w:eastAsia="Calibri"/>
                <w:b/>
                <w:sz w:val="22"/>
                <w:szCs w:val="26"/>
                <w:lang w:eastAsia="en-US"/>
              </w:rPr>
              <w:t>EFECTO DE LOS FACTORES DEMOGRÁFICOS EN EL CRECIMIENTO DEL EMPLEO</w:t>
            </w:r>
          </w:p>
          <w:p w14:paraId="22E13ADC" w14:textId="5989CA22" w:rsidR="007F2EDE" w:rsidRPr="007F2EDE" w:rsidRDefault="007F2EDE" w:rsidP="007F2EDE">
            <w:pPr>
              <w:jc w:val="center"/>
              <w:rPr>
                <w:rFonts w:eastAsia="Calibri"/>
                <w:b/>
                <w:sz w:val="22"/>
                <w:szCs w:val="26"/>
                <w:lang w:eastAsia="en-US"/>
              </w:rPr>
            </w:pPr>
            <w:r w:rsidRPr="007F2EDE">
              <w:rPr>
                <w:rFonts w:eastAsia="Calibri"/>
                <w:b/>
                <w:sz w:val="22"/>
                <w:szCs w:val="26"/>
                <w:lang w:eastAsia="en-US"/>
              </w:rPr>
              <w:t>En comparación con las tasas previas a la crisis, se prevé que el crecimiento potencial del empleo disminuya en mayor medida tanto en las economías avanzadas como en las emergentes. Esto se debe a factores demográficos que influirán negativamente en el crecimiento de la población activa y en las tasas tendenciales de participación e</w:t>
            </w:r>
            <w:r w:rsidR="001569A0">
              <w:rPr>
                <w:rFonts w:eastAsia="Calibri"/>
                <w:b/>
                <w:sz w:val="22"/>
                <w:szCs w:val="26"/>
                <w:lang w:eastAsia="en-US"/>
              </w:rPr>
              <w:t>n</w:t>
            </w:r>
            <w:r w:rsidRPr="007F2EDE">
              <w:rPr>
                <w:rFonts w:eastAsia="Calibri"/>
                <w:b/>
                <w:sz w:val="22"/>
                <w:szCs w:val="26"/>
                <w:lang w:eastAsia="en-US"/>
              </w:rPr>
              <w:t xml:space="preserve"> la fuerza laboral</w:t>
            </w:r>
          </w:p>
          <w:p w14:paraId="359BD467" w14:textId="77777777" w:rsidR="007F2EDE" w:rsidRPr="007F2EDE" w:rsidRDefault="007F2EDE" w:rsidP="007F2EDE">
            <w:pPr>
              <w:jc w:val="center"/>
              <w:rPr>
                <w:rFonts w:eastAsia="Calibri"/>
                <w:b/>
                <w:sz w:val="22"/>
                <w:szCs w:val="26"/>
                <w:lang w:eastAsia="en-US"/>
              </w:rPr>
            </w:pPr>
            <w:r w:rsidRPr="007F2EDE">
              <w:rPr>
                <w:rFonts w:eastAsia="Calibri"/>
                <w:b/>
                <w:sz w:val="22"/>
                <w:szCs w:val="26"/>
                <w:lang w:eastAsia="en-US"/>
              </w:rPr>
              <w:t>-Porcentajes-</w:t>
            </w:r>
          </w:p>
        </w:tc>
      </w:tr>
      <w:tr w:rsidR="007F2EDE" w:rsidRPr="007F2EDE" w14:paraId="65C5CCD7" w14:textId="77777777" w:rsidTr="00835D95">
        <w:trPr>
          <w:jc w:val="center"/>
        </w:trPr>
        <w:tc>
          <w:tcPr>
            <w:tcW w:w="7268" w:type="dxa"/>
          </w:tcPr>
          <w:p w14:paraId="737B8C64" w14:textId="77777777" w:rsidR="007F2EDE" w:rsidRPr="007F2EDE" w:rsidRDefault="007F2EDE" w:rsidP="007F2EDE">
            <w:pPr>
              <w:jc w:val="center"/>
              <w:rPr>
                <w:rFonts w:eastAsia="Calibri"/>
                <w:sz w:val="26"/>
                <w:szCs w:val="26"/>
                <w:lang w:eastAsia="en-US"/>
              </w:rPr>
            </w:pPr>
            <w:r w:rsidRPr="007F2EDE">
              <w:rPr>
                <w:rFonts w:eastAsia="Calibri"/>
                <w:noProof/>
                <w:sz w:val="26"/>
                <w:szCs w:val="26"/>
                <w:lang w:eastAsia="es-MX"/>
              </w:rPr>
              <w:drawing>
                <wp:inline distT="0" distB="0" distL="0" distR="0" wp14:anchorId="31BE06C9" wp14:editId="6217182C">
                  <wp:extent cx="4375150" cy="4706620"/>
                  <wp:effectExtent l="0" t="0" r="6350" b="0"/>
                  <wp:docPr id="1734" name="Imagen 1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1390" t="3136" r="2902"/>
                          <a:stretch/>
                        </pic:blipFill>
                        <pic:spPr bwMode="auto">
                          <a:xfrm>
                            <a:off x="0" y="0"/>
                            <a:ext cx="4376051" cy="4707589"/>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F2EDE" w:rsidRPr="007F2EDE" w14:paraId="281240AB" w14:textId="77777777" w:rsidTr="00835D95">
        <w:trPr>
          <w:jc w:val="center"/>
        </w:trPr>
        <w:tc>
          <w:tcPr>
            <w:tcW w:w="7268" w:type="dxa"/>
          </w:tcPr>
          <w:p w14:paraId="70503F53" w14:textId="77777777" w:rsidR="007F2EDE" w:rsidRPr="007F2EDE" w:rsidRDefault="007F2EDE" w:rsidP="007F2EDE">
            <w:pPr>
              <w:ind w:left="510" w:hanging="510"/>
              <w:jc w:val="both"/>
              <w:rPr>
                <w:rFonts w:eastAsia="Calibri"/>
                <w:sz w:val="20"/>
                <w:szCs w:val="26"/>
                <w:lang w:eastAsia="en-US"/>
              </w:rPr>
            </w:pPr>
            <w:r w:rsidRPr="007F2EDE">
              <w:rPr>
                <w:rFonts w:eastAsia="Calibri"/>
                <w:sz w:val="20"/>
                <w:szCs w:val="26"/>
                <w:lang w:eastAsia="en-US"/>
              </w:rPr>
              <w:t>Nota: Los grupos de economías se definen en el anexo 3.1 del documento original del FMI.</w:t>
            </w:r>
          </w:p>
          <w:p w14:paraId="519A5095" w14:textId="77777777" w:rsidR="007F2EDE" w:rsidRPr="007F2EDE" w:rsidRDefault="007F2EDE" w:rsidP="007F2EDE">
            <w:pPr>
              <w:ind w:left="907" w:hanging="907"/>
              <w:jc w:val="both"/>
              <w:rPr>
                <w:rFonts w:eastAsia="Calibri"/>
                <w:sz w:val="20"/>
                <w:szCs w:val="26"/>
                <w:lang w:eastAsia="en-US"/>
              </w:rPr>
            </w:pPr>
            <w:r w:rsidRPr="007F2EDE">
              <w:rPr>
                <w:rFonts w:eastAsia="Calibri"/>
                <w:sz w:val="20"/>
                <w:szCs w:val="26"/>
                <w:lang w:eastAsia="en-US"/>
              </w:rPr>
              <w:t>FUENTE: Estimaciones del personal técnico del FMI.</w:t>
            </w:r>
          </w:p>
        </w:tc>
      </w:tr>
    </w:tbl>
    <w:p w14:paraId="5F47A01C" w14:textId="77777777" w:rsidR="007F2EDE" w:rsidRPr="007F2EDE" w:rsidRDefault="007F2EDE" w:rsidP="007F2EDE">
      <w:pPr>
        <w:spacing w:after="360" w:line="360" w:lineRule="auto"/>
        <w:ind w:right="-159"/>
        <w:jc w:val="both"/>
        <w:rPr>
          <w:rFonts w:eastAsia="Calibri"/>
          <w:sz w:val="26"/>
          <w:szCs w:val="26"/>
          <w:lang w:eastAsia="en-US"/>
        </w:rPr>
      </w:pPr>
    </w:p>
    <w:p w14:paraId="59D630A8" w14:textId="77777777" w:rsidR="007F2EDE" w:rsidRPr="007F2EDE" w:rsidRDefault="007F2EDE" w:rsidP="007F2EDE">
      <w:pPr>
        <w:spacing w:after="360" w:line="360" w:lineRule="auto"/>
        <w:ind w:right="-159"/>
        <w:jc w:val="both"/>
        <w:rPr>
          <w:rFonts w:eastAsia="Calibri"/>
          <w:sz w:val="26"/>
          <w:szCs w:val="26"/>
          <w:lang w:eastAsia="en-US"/>
        </w:rPr>
      </w:pPr>
      <w:r w:rsidRPr="007F2EDE">
        <w:rPr>
          <w:rFonts w:eastAsia="Calibri"/>
          <w:sz w:val="26"/>
          <w:szCs w:val="26"/>
          <w:lang w:eastAsia="en-US"/>
        </w:rPr>
        <w:lastRenderedPageBreak/>
        <w:t>No se prevé un aumento de la productividad con las políticas en vigor. En las economías de mercados emergentes, los avances tecnológicos y el mejor logro educativo del pasado han permitido reducir la brecha que las separa de las economías avanzadas. Si bien se podría reforzar el crecimiento progresando aún más en esos ámbitos, es poco probable que el rendimiento de la educación y de la innovación sea tan pronunciado como al comienzo, cuando estas economías se encontraban más lejos de la frontera tecnológica. Esto lleva a pensar en un aumento más débil de la productividad de estas economías en el futuro.</w:t>
      </w:r>
    </w:p>
    <w:p w14:paraId="091578BF" w14:textId="77777777" w:rsidR="007F2EDE" w:rsidRPr="007F2EDE" w:rsidRDefault="007F2EDE" w:rsidP="007F2EDE">
      <w:pPr>
        <w:spacing w:after="360" w:line="360" w:lineRule="auto"/>
        <w:ind w:right="-159"/>
        <w:jc w:val="both"/>
        <w:rPr>
          <w:rFonts w:eastAsia="Calibri"/>
          <w:sz w:val="26"/>
          <w:szCs w:val="26"/>
          <w:lang w:eastAsia="en-US"/>
        </w:rPr>
      </w:pPr>
      <w:r w:rsidRPr="007F2EDE">
        <w:rPr>
          <w:rFonts w:eastAsia="Calibri"/>
          <w:sz w:val="26"/>
          <w:szCs w:val="26"/>
          <w:lang w:eastAsia="en-US"/>
        </w:rPr>
        <w:t>Las economías avanzadas, por su parte, deberían experimentar un aumento de la productividad cercano a las tasas recientes en los años venideros. Con todo, son escasas las probabilidades de que se repita el rápido ritmo de expansión observado a fines de la década de 1990 y comienzos de la de 2000, alimentado por el boom excepcional de la tecnología de la información y las comunicaciones.</w:t>
      </w:r>
    </w:p>
    <w:p w14:paraId="17C5F774" w14:textId="77777777" w:rsidR="007F2EDE" w:rsidRPr="007F2EDE" w:rsidRDefault="007F2EDE" w:rsidP="007F2EDE">
      <w:pPr>
        <w:spacing w:after="360" w:line="360" w:lineRule="auto"/>
        <w:ind w:right="-159"/>
        <w:jc w:val="both"/>
        <w:rPr>
          <w:rFonts w:eastAsia="Calibri"/>
          <w:sz w:val="26"/>
          <w:szCs w:val="26"/>
          <w:lang w:eastAsia="en-US"/>
        </w:rPr>
      </w:pPr>
      <w:r w:rsidRPr="007F2EDE">
        <w:rPr>
          <w:rFonts w:eastAsia="Calibri"/>
          <w:sz w:val="26"/>
          <w:szCs w:val="26"/>
          <w:lang w:eastAsia="en-US"/>
        </w:rPr>
        <w:t>En suma, estos escenarios sugieren que el crecimiento potencial de las economías avanzadas probablemente se mantenga por debajo de las tasas previas a la crisis, y que disminuya más en las economías de mercados emergentes a mediano plazo (véase la gráfica siguiente).</w:t>
      </w:r>
    </w:p>
    <w:p w14:paraId="20B2DC3C" w14:textId="77777777" w:rsidR="007F2EDE" w:rsidRPr="007F2EDE" w:rsidRDefault="007F2EDE" w:rsidP="007F2EDE">
      <w:pPr>
        <w:spacing w:after="360" w:line="360" w:lineRule="auto"/>
        <w:ind w:right="-159"/>
        <w:jc w:val="both"/>
        <w:rPr>
          <w:rFonts w:eastAsia="Calibri"/>
          <w:sz w:val="26"/>
          <w:szCs w:val="26"/>
          <w:lang w:eastAsia="en-US"/>
        </w:rPr>
      </w:pPr>
    </w:p>
    <w:p w14:paraId="08B79B07" w14:textId="77777777" w:rsidR="007F2EDE" w:rsidRPr="007F2EDE" w:rsidRDefault="007F2EDE" w:rsidP="007F2EDE">
      <w:pPr>
        <w:spacing w:after="360" w:line="360" w:lineRule="auto"/>
        <w:ind w:right="-159"/>
        <w:jc w:val="both"/>
        <w:rPr>
          <w:rFonts w:eastAsia="Calibri"/>
          <w:sz w:val="26"/>
          <w:szCs w:val="26"/>
          <w:lang w:eastAsia="en-US"/>
        </w:rPr>
      </w:pPr>
    </w:p>
    <w:p w14:paraId="06C31BFC" w14:textId="77777777" w:rsidR="007F2EDE" w:rsidRPr="007F2EDE" w:rsidRDefault="007F2EDE" w:rsidP="007F2EDE">
      <w:pPr>
        <w:spacing w:after="360" w:line="360" w:lineRule="auto"/>
        <w:ind w:right="-159"/>
        <w:jc w:val="both"/>
        <w:rPr>
          <w:rFonts w:eastAsia="Calibri"/>
          <w:sz w:val="26"/>
          <w:szCs w:val="26"/>
          <w:lang w:eastAsia="en-US"/>
        </w:rPr>
      </w:pPr>
    </w:p>
    <w:p w14:paraId="06154E1E" w14:textId="77777777" w:rsidR="007F2EDE" w:rsidRPr="007F2EDE" w:rsidRDefault="007F2EDE" w:rsidP="007F2EDE">
      <w:pPr>
        <w:spacing w:after="360" w:line="360" w:lineRule="auto"/>
        <w:ind w:right="-159"/>
        <w:jc w:val="both"/>
        <w:rPr>
          <w:rFonts w:eastAsia="Calibri"/>
          <w:sz w:val="26"/>
          <w:szCs w:val="26"/>
          <w:lang w:eastAsia="en-US"/>
        </w:rPr>
      </w:pPr>
    </w:p>
    <w:p w14:paraId="7A6297E2" w14:textId="77777777" w:rsidR="007F2EDE" w:rsidRPr="007F2EDE" w:rsidRDefault="007F2EDE" w:rsidP="007F2EDE">
      <w:pPr>
        <w:spacing w:after="360" w:line="360" w:lineRule="auto"/>
        <w:ind w:right="-159"/>
        <w:jc w:val="both"/>
        <w:rPr>
          <w:rFonts w:eastAsia="Calibri"/>
          <w:sz w:val="26"/>
          <w:szCs w:val="26"/>
          <w:lang w:eastAsia="en-US"/>
        </w:rPr>
      </w:pPr>
    </w:p>
    <w:tbl>
      <w:tblPr>
        <w:tblW w:w="0" w:type="auto"/>
        <w:jc w:val="center"/>
        <w:tblBorders>
          <w:insideV w:val="single" w:sz="4" w:space="0" w:color="auto"/>
        </w:tblBorders>
        <w:tblLook w:val="04A0" w:firstRow="1" w:lastRow="0" w:firstColumn="1" w:lastColumn="0" w:noHBand="0" w:noVBand="1"/>
      </w:tblPr>
      <w:tblGrid>
        <w:gridCol w:w="6559"/>
      </w:tblGrid>
      <w:tr w:rsidR="007F2EDE" w:rsidRPr="007F2EDE" w14:paraId="25F71FB8" w14:textId="77777777" w:rsidTr="00835D95">
        <w:trPr>
          <w:jc w:val="center"/>
        </w:trPr>
        <w:tc>
          <w:tcPr>
            <w:tcW w:w="6559" w:type="dxa"/>
          </w:tcPr>
          <w:p w14:paraId="76701FB0" w14:textId="77777777" w:rsidR="007F2EDE" w:rsidRPr="007F2EDE" w:rsidRDefault="007F2EDE" w:rsidP="007F2EDE">
            <w:pPr>
              <w:jc w:val="center"/>
              <w:rPr>
                <w:rFonts w:eastAsia="Calibri"/>
                <w:b/>
                <w:sz w:val="22"/>
                <w:szCs w:val="26"/>
                <w:lang w:eastAsia="en-US"/>
              </w:rPr>
            </w:pPr>
            <w:r w:rsidRPr="007F2EDE">
              <w:rPr>
                <w:rFonts w:eastAsia="Calibri"/>
                <w:b/>
                <w:sz w:val="22"/>
                <w:szCs w:val="26"/>
                <w:lang w:eastAsia="en-US"/>
              </w:rPr>
              <w:lastRenderedPageBreak/>
              <w:t>EVOLUCIÓN DEL CRECIMIENTO DEL PRODUCTO POTENCIAL Y SUS COMPONENTES</w:t>
            </w:r>
          </w:p>
          <w:p w14:paraId="467C9F52" w14:textId="161C6B32" w:rsidR="007F2EDE" w:rsidRPr="007F2EDE" w:rsidRDefault="007F2EDE" w:rsidP="007F2EDE">
            <w:pPr>
              <w:jc w:val="center"/>
              <w:rPr>
                <w:rFonts w:eastAsia="Calibri"/>
                <w:b/>
                <w:sz w:val="22"/>
                <w:szCs w:val="26"/>
                <w:lang w:eastAsia="en-US"/>
              </w:rPr>
            </w:pPr>
            <w:r w:rsidRPr="007F2EDE">
              <w:rPr>
                <w:rFonts w:eastAsia="Calibri"/>
                <w:b/>
                <w:sz w:val="22"/>
                <w:szCs w:val="26"/>
                <w:lang w:eastAsia="en-US"/>
              </w:rPr>
              <w:t xml:space="preserve">En las economías avanzadas, se prevé que el crecimiento del producto potencial apenas supere las tasas actuales a medida que se diluyan algunos factores vinculados a la crisis, pero que se mantenga por debajo de las tasas previas a la crisis. En las economías de mercados emergentes, el crecimiento del producto potencial disminuiría aún más como resultado del menor aumento de la productividad total de los factores </w:t>
            </w:r>
            <w:r w:rsidR="001569A0">
              <w:rPr>
                <w:rFonts w:eastAsia="Calibri"/>
                <w:b/>
                <w:sz w:val="22"/>
                <w:szCs w:val="26"/>
                <w:lang w:eastAsia="en-US"/>
              </w:rPr>
              <w:t xml:space="preserve">y </w:t>
            </w:r>
            <w:r w:rsidRPr="007F2EDE">
              <w:rPr>
                <w:rFonts w:eastAsia="Calibri"/>
                <w:b/>
                <w:sz w:val="22"/>
                <w:szCs w:val="26"/>
                <w:lang w:eastAsia="en-US"/>
              </w:rPr>
              <w:t>del menor crecimiento del empleo potencial</w:t>
            </w:r>
          </w:p>
          <w:p w14:paraId="35F8D459" w14:textId="77777777" w:rsidR="007F2EDE" w:rsidRPr="007F2EDE" w:rsidRDefault="007F2EDE" w:rsidP="007F2EDE">
            <w:pPr>
              <w:jc w:val="center"/>
              <w:rPr>
                <w:rFonts w:eastAsia="Calibri"/>
                <w:b/>
                <w:sz w:val="22"/>
                <w:szCs w:val="26"/>
                <w:lang w:eastAsia="en-US"/>
              </w:rPr>
            </w:pPr>
            <w:r w:rsidRPr="007F2EDE">
              <w:rPr>
                <w:rFonts w:eastAsia="Calibri"/>
                <w:b/>
                <w:sz w:val="22"/>
                <w:szCs w:val="26"/>
                <w:lang w:eastAsia="en-US"/>
              </w:rPr>
              <w:t>-Porcentajes-</w:t>
            </w:r>
          </w:p>
        </w:tc>
      </w:tr>
      <w:tr w:rsidR="007F2EDE" w:rsidRPr="007F2EDE" w14:paraId="562E1345" w14:textId="77777777" w:rsidTr="00835D95">
        <w:trPr>
          <w:jc w:val="center"/>
        </w:trPr>
        <w:tc>
          <w:tcPr>
            <w:tcW w:w="6559" w:type="dxa"/>
          </w:tcPr>
          <w:p w14:paraId="148890F7" w14:textId="77777777" w:rsidR="007F2EDE" w:rsidRPr="007F2EDE" w:rsidRDefault="007F2EDE" w:rsidP="007F2EDE">
            <w:pPr>
              <w:jc w:val="center"/>
              <w:rPr>
                <w:rFonts w:eastAsia="Calibri"/>
                <w:sz w:val="26"/>
                <w:szCs w:val="26"/>
                <w:lang w:eastAsia="en-US"/>
              </w:rPr>
            </w:pPr>
            <w:r w:rsidRPr="007F2EDE">
              <w:rPr>
                <w:rFonts w:eastAsia="Calibri"/>
                <w:noProof/>
                <w:sz w:val="26"/>
                <w:szCs w:val="26"/>
                <w:lang w:eastAsia="es-MX"/>
              </w:rPr>
              <w:drawing>
                <wp:inline distT="0" distB="0" distL="0" distR="0" wp14:anchorId="2B0730F1" wp14:editId="4DED690A">
                  <wp:extent cx="4010660" cy="4436011"/>
                  <wp:effectExtent l="0" t="0" r="8890" b="0"/>
                  <wp:docPr id="1735" name="Imagen 1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t="3722" r="13840"/>
                          <a:stretch/>
                        </pic:blipFill>
                        <pic:spPr bwMode="auto">
                          <a:xfrm>
                            <a:off x="0" y="0"/>
                            <a:ext cx="4011129" cy="443653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F2EDE" w:rsidRPr="007F2EDE" w14:paraId="7A623847" w14:textId="77777777" w:rsidTr="00835D95">
        <w:trPr>
          <w:jc w:val="center"/>
        </w:trPr>
        <w:tc>
          <w:tcPr>
            <w:tcW w:w="6559" w:type="dxa"/>
          </w:tcPr>
          <w:p w14:paraId="40A6191B" w14:textId="77777777" w:rsidR="007F2EDE" w:rsidRPr="007F2EDE" w:rsidRDefault="007F2EDE" w:rsidP="007F2EDE">
            <w:pPr>
              <w:ind w:left="510" w:hanging="510"/>
              <w:jc w:val="both"/>
              <w:rPr>
                <w:rFonts w:eastAsia="Calibri"/>
                <w:sz w:val="20"/>
                <w:szCs w:val="26"/>
                <w:lang w:eastAsia="en-US"/>
              </w:rPr>
            </w:pPr>
            <w:r w:rsidRPr="007F2EDE">
              <w:rPr>
                <w:rFonts w:eastAsia="Calibri"/>
                <w:sz w:val="20"/>
                <w:szCs w:val="26"/>
                <w:lang w:eastAsia="en-US"/>
              </w:rPr>
              <w:t>Nota: Los grupos de economías se definen en el anexo 3.1 del documento original del FMI.</w:t>
            </w:r>
          </w:p>
          <w:p w14:paraId="3F1DEEE2" w14:textId="77777777" w:rsidR="007F2EDE" w:rsidRPr="007F2EDE" w:rsidRDefault="007F2EDE" w:rsidP="007F2EDE">
            <w:pPr>
              <w:ind w:left="907" w:hanging="907"/>
              <w:jc w:val="both"/>
              <w:rPr>
                <w:rFonts w:eastAsia="Calibri"/>
                <w:sz w:val="20"/>
                <w:szCs w:val="26"/>
                <w:lang w:eastAsia="en-US"/>
              </w:rPr>
            </w:pPr>
            <w:r w:rsidRPr="007F2EDE">
              <w:rPr>
                <w:rFonts w:eastAsia="Calibri"/>
                <w:sz w:val="20"/>
                <w:szCs w:val="26"/>
                <w:lang w:eastAsia="en-US"/>
              </w:rPr>
              <w:t>FUENTE: Estimaciones del personal técnico del FMI.</w:t>
            </w:r>
          </w:p>
        </w:tc>
      </w:tr>
    </w:tbl>
    <w:p w14:paraId="2515F661" w14:textId="77777777" w:rsidR="007F2EDE" w:rsidRPr="007F2EDE" w:rsidRDefault="007F2EDE" w:rsidP="007F2EDE">
      <w:pPr>
        <w:spacing w:after="360" w:line="360" w:lineRule="auto"/>
        <w:ind w:right="-159"/>
        <w:jc w:val="both"/>
        <w:rPr>
          <w:rFonts w:eastAsia="Calibri"/>
          <w:sz w:val="26"/>
          <w:szCs w:val="26"/>
          <w:lang w:eastAsia="en-US"/>
        </w:rPr>
      </w:pPr>
    </w:p>
    <w:p w14:paraId="5699A102" w14:textId="77777777" w:rsidR="007F2EDE" w:rsidRPr="007F2EDE" w:rsidRDefault="007F2EDE" w:rsidP="007F2EDE">
      <w:pPr>
        <w:spacing w:after="360" w:line="360" w:lineRule="auto"/>
        <w:ind w:right="-159"/>
        <w:jc w:val="both"/>
        <w:rPr>
          <w:rFonts w:eastAsia="Calibri"/>
          <w:sz w:val="26"/>
          <w:szCs w:val="26"/>
          <w:lang w:eastAsia="en-US"/>
        </w:rPr>
      </w:pPr>
      <w:r w:rsidRPr="007F2EDE">
        <w:rPr>
          <w:rFonts w:eastAsia="Calibri"/>
          <w:sz w:val="26"/>
          <w:szCs w:val="26"/>
          <w:lang w:eastAsia="en-US"/>
        </w:rPr>
        <w:t>Estas determinaciones implican que los niveles de vida podrían mejorar con mayor lentitud en el futuro. Además, será más difícil mantener la sostenibilidad fiscal a medida que disminuya el ritmo de expansión de la base tributaria.</w:t>
      </w:r>
    </w:p>
    <w:p w14:paraId="5EC2A54A" w14:textId="77777777" w:rsidR="007F2EDE" w:rsidRPr="007F2EDE" w:rsidRDefault="007F2EDE" w:rsidP="007F2EDE">
      <w:pPr>
        <w:spacing w:after="360" w:line="360" w:lineRule="auto"/>
        <w:ind w:right="-159"/>
        <w:jc w:val="both"/>
        <w:rPr>
          <w:rFonts w:eastAsia="Calibri"/>
          <w:b/>
          <w:sz w:val="26"/>
          <w:szCs w:val="26"/>
          <w:lang w:eastAsia="en-US"/>
        </w:rPr>
      </w:pPr>
      <w:r w:rsidRPr="007F2EDE">
        <w:rPr>
          <w:rFonts w:eastAsia="Calibri"/>
          <w:b/>
          <w:sz w:val="26"/>
          <w:szCs w:val="26"/>
          <w:lang w:eastAsia="en-US"/>
        </w:rPr>
        <w:lastRenderedPageBreak/>
        <w:t>Medidas de política destinadas a aumentar el límite de velocidad</w:t>
      </w:r>
    </w:p>
    <w:p w14:paraId="6C4BE05F" w14:textId="77777777" w:rsidR="007F2EDE" w:rsidRPr="007F2EDE" w:rsidRDefault="007F2EDE" w:rsidP="007F2EDE">
      <w:pPr>
        <w:spacing w:after="360" w:line="360" w:lineRule="auto"/>
        <w:ind w:right="-159"/>
        <w:jc w:val="both"/>
        <w:rPr>
          <w:rFonts w:eastAsia="Calibri"/>
          <w:sz w:val="26"/>
          <w:szCs w:val="26"/>
          <w:lang w:eastAsia="en-US"/>
        </w:rPr>
      </w:pPr>
      <w:r w:rsidRPr="007F2EDE">
        <w:rPr>
          <w:rFonts w:eastAsia="Calibri"/>
          <w:sz w:val="26"/>
          <w:szCs w:val="26"/>
          <w:lang w:eastAsia="en-US"/>
        </w:rPr>
        <w:t xml:space="preserve">Aún hay margen para ser optimistas: la trayectoria futura del producto potencial no es inalterable. Sin embargo, es necesario actuar. Para aumentar los límites de velocidad de la economía hay que adoptar políticas que fomenten la innovación, promuevan la inversión en capital productivo y contrarresten el empuje negativo del envejecimiento. Aunque la combinación ideal de políticas varía según el país, hay algunas recomendaciones generales: </w:t>
      </w:r>
    </w:p>
    <w:p w14:paraId="35EB8A35" w14:textId="77777777" w:rsidR="007F2EDE" w:rsidRPr="007F2EDE" w:rsidRDefault="007F2EDE" w:rsidP="002D3902">
      <w:pPr>
        <w:numPr>
          <w:ilvl w:val="0"/>
          <w:numId w:val="98"/>
        </w:numPr>
        <w:spacing w:after="360" w:line="360" w:lineRule="auto"/>
        <w:ind w:left="714" w:right="-159" w:hanging="357"/>
        <w:jc w:val="both"/>
        <w:rPr>
          <w:rFonts w:eastAsia="Calibri"/>
          <w:sz w:val="26"/>
          <w:szCs w:val="26"/>
          <w:lang w:eastAsia="en-US"/>
        </w:rPr>
      </w:pPr>
      <w:r w:rsidRPr="007F2EDE">
        <w:rPr>
          <w:rFonts w:eastAsia="Calibri"/>
          <w:sz w:val="26"/>
          <w:szCs w:val="26"/>
          <w:lang w:eastAsia="en-US"/>
        </w:rPr>
        <w:t xml:space="preserve">Se pueden estimular la innovación y la productividad brindando más respaldo a las actividades de investigación y desarrollo, lo cual requiere, por ejemplo, reforzar los sistemas de patentes y adoptar subsidios e incentivos tributarios bien diseñados en las economías donde faltan. </w:t>
      </w:r>
    </w:p>
    <w:p w14:paraId="2821EA19" w14:textId="77777777" w:rsidR="007F2EDE" w:rsidRPr="007F2EDE" w:rsidRDefault="007F2EDE" w:rsidP="002D3902">
      <w:pPr>
        <w:numPr>
          <w:ilvl w:val="0"/>
          <w:numId w:val="98"/>
        </w:numPr>
        <w:spacing w:after="360" w:line="360" w:lineRule="auto"/>
        <w:ind w:left="714" w:right="-159" w:hanging="357"/>
        <w:jc w:val="both"/>
        <w:rPr>
          <w:rFonts w:eastAsia="Calibri"/>
          <w:sz w:val="26"/>
          <w:szCs w:val="26"/>
          <w:lang w:eastAsia="en-US"/>
        </w:rPr>
      </w:pPr>
      <w:r w:rsidRPr="007F2EDE">
        <w:rPr>
          <w:rFonts w:eastAsia="Calibri"/>
          <w:sz w:val="26"/>
          <w:szCs w:val="26"/>
          <w:lang w:eastAsia="en-US"/>
        </w:rPr>
        <w:t>Se puede promover la productividad de los trabajadores mejorando la calidad de la educación y el logro educativo a nivel secundario y terciario.</w:t>
      </w:r>
    </w:p>
    <w:p w14:paraId="381E8890" w14:textId="77777777" w:rsidR="007F2EDE" w:rsidRPr="007F2EDE" w:rsidRDefault="007F2EDE" w:rsidP="002D3902">
      <w:pPr>
        <w:numPr>
          <w:ilvl w:val="0"/>
          <w:numId w:val="98"/>
        </w:numPr>
        <w:spacing w:after="360" w:line="360" w:lineRule="auto"/>
        <w:ind w:left="714" w:right="-159" w:hanging="357"/>
        <w:jc w:val="both"/>
        <w:rPr>
          <w:rFonts w:eastAsia="Calibri"/>
          <w:sz w:val="26"/>
          <w:szCs w:val="26"/>
          <w:lang w:eastAsia="en-US"/>
        </w:rPr>
      </w:pPr>
      <w:r w:rsidRPr="007F2EDE">
        <w:rPr>
          <w:rFonts w:eastAsia="Calibri"/>
          <w:sz w:val="26"/>
          <w:szCs w:val="26"/>
          <w:lang w:eastAsia="en-US"/>
        </w:rPr>
        <w:t xml:space="preserve">Se pueden eliminar los cuellos de botella que mantienen frenada la producción en algunas economías de mercados emergentes incrementando el gasto en infraestructura. </w:t>
      </w:r>
    </w:p>
    <w:p w14:paraId="0669E118" w14:textId="77777777" w:rsidR="007F2EDE" w:rsidRPr="007F2EDE" w:rsidRDefault="007F2EDE" w:rsidP="002D3902">
      <w:pPr>
        <w:numPr>
          <w:ilvl w:val="0"/>
          <w:numId w:val="98"/>
        </w:numPr>
        <w:spacing w:after="360" w:line="360" w:lineRule="auto"/>
        <w:ind w:left="714" w:right="-159" w:hanging="357"/>
        <w:jc w:val="both"/>
        <w:rPr>
          <w:rFonts w:eastAsia="Calibri"/>
          <w:sz w:val="26"/>
          <w:szCs w:val="26"/>
          <w:lang w:eastAsia="en-US"/>
        </w:rPr>
      </w:pPr>
      <w:r w:rsidRPr="007F2EDE">
        <w:rPr>
          <w:rFonts w:eastAsia="Calibri"/>
          <w:sz w:val="26"/>
          <w:szCs w:val="26"/>
          <w:lang w:eastAsia="en-US"/>
        </w:rPr>
        <w:t>Hay margen para mejorar el clima empresarial y el funcionamiento de los mercados de productos en algunos países.</w:t>
      </w:r>
    </w:p>
    <w:p w14:paraId="26ED14F6" w14:textId="77777777" w:rsidR="007F2EDE" w:rsidRPr="007F2EDE" w:rsidRDefault="007F2EDE" w:rsidP="002D3902">
      <w:pPr>
        <w:numPr>
          <w:ilvl w:val="0"/>
          <w:numId w:val="98"/>
        </w:numPr>
        <w:spacing w:after="360" w:line="360" w:lineRule="auto"/>
        <w:ind w:left="714" w:right="-159" w:hanging="357"/>
        <w:jc w:val="both"/>
        <w:rPr>
          <w:rFonts w:eastAsia="Calibri"/>
          <w:sz w:val="26"/>
          <w:szCs w:val="26"/>
          <w:lang w:eastAsia="en-US"/>
        </w:rPr>
      </w:pPr>
      <w:r w:rsidRPr="007F2EDE">
        <w:rPr>
          <w:rFonts w:eastAsia="Calibri"/>
          <w:sz w:val="26"/>
          <w:szCs w:val="26"/>
          <w:lang w:eastAsia="en-US"/>
        </w:rPr>
        <w:t>Es necesario promover la participación en la fuerza laboral, sobre todo entre la mano de obra femenina en algunos países y los trabajadores de más edad en otros, lo cual implicaría una mejor concepción de las políticas de tributación y gasto de algunas economías.</w:t>
      </w:r>
    </w:p>
    <w:p w14:paraId="7049E087" w14:textId="77777777" w:rsidR="007F2EDE" w:rsidRPr="007F2EDE" w:rsidRDefault="007F2EDE" w:rsidP="002D3902">
      <w:pPr>
        <w:numPr>
          <w:ilvl w:val="0"/>
          <w:numId w:val="98"/>
        </w:numPr>
        <w:spacing w:after="360" w:line="360" w:lineRule="auto"/>
        <w:ind w:left="714" w:right="-159" w:hanging="357"/>
        <w:jc w:val="both"/>
        <w:rPr>
          <w:rFonts w:eastAsia="Calibri"/>
          <w:sz w:val="26"/>
          <w:szCs w:val="26"/>
          <w:lang w:eastAsia="en-US"/>
        </w:rPr>
      </w:pPr>
      <w:r w:rsidRPr="007F2EDE">
        <w:rPr>
          <w:rFonts w:eastAsia="Calibri"/>
          <w:sz w:val="26"/>
          <w:szCs w:val="26"/>
          <w:lang w:eastAsia="en-US"/>
        </w:rPr>
        <w:lastRenderedPageBreak/>
        <w:t>En varias economías aún es importante respaldar la demanda a través de la política monetaria y, de ser posible, la política fiscal, a fin de estimular el crecimiento de la inversión y el capital.</w:t>
      </w:r>
    </w:p>
    <w:p w14:paraId="5D379FF7" w14:textId="77777777" w:rsidR="007F2EDE" w:rsidRPr="007F2EDE" w:rsidRDefault="007F2EDE" w:rsidP="007F2EDE">
      <w:pPr>
        <w:ind w:right="-159"/>
        <w:jc w:val="both"/>
        <w:rPr>
          <w:rFonts w:eastAsia="Calibri"/>
          <w:b/>
          <w:sz w:val="20"/>
          <w:szCs w:val="26"/>
          <w:lang w:eastAsia="en-US"/>
        </w:rPr>
      </w:pPr>
      <w:r w:rsidRPr="007F2EDE">
        <w:rPr>
          <w:rFonts w:eastAsia="Calibri"/>
          <w:b/>
          <w:sz w:val="20"/>
          <w:szCs w:val="26"/>
          <w:lang w:eastAsia="en-US"/>
        </w:rPr>
        <w:t>Fuente de información:</w:t>
      </w:r>
    </w:p>
    <w:p w14:paraId="3A00A990" w14:textId="77777777" w:rsidR="007F2EDE" w:rsidRPr="00330C00" w:rsidRDefault="00AB7A4A" w:rsidP="00330C00">
      <w:pPr>
        <w:spacing w:after="720"/>
        <w:ind w:right="-159"/>
        <w:jc w:val="both"/>
        <w:rPr>
          <w:rFonts w:eastAsia="Calibri"/>
          <w:color w:val="0000FF"/>
          <w:sz w:val="20"/>
          <w:szCs w:val="20"/>
          <w:lang w:eastAsia="en-US"/>
        </w:rPr>
      </w:pPr>
      <w:hyperlink r:id="rId11" w:history="1">
        <w:r w:rsidR="007F2EDE" w:rsidRPr="00330C00">
          <w:rPr>
            <w:rFonts w:eastAsia="Calibri"/>
            <w:color w:val="0000FF"/>
            <w:sz w:val="20"/>
            <w:szCs w:val="20"/>
            <w:u w:val="single"/>
            <w:lang w:eastAsia="en-US"/>
          </w:rPr>
          <w:t>http://www.imf.org/external/spanish/pubs/ft/survey/so/2015/new040715as.htm</w:t>
        </w:r>
      </w:hyperlink>
      <w:r w:rsidR="007F2EDE" w:rsidRPr="00330C00">
        <w:rPr>
          <w:rFonts w:eastAsia="Calibri"/>
          <w:color w:val="0000FF"/>
          <w:sz w:val="20"/>
          <w:szCs w:val="20"/>
          <w:lang w:eastAsia="en-US"/>
        </w:rPr>
        <w:t xml:space="preserve"> </w:t>
      </w:r>
    </w:p>
    <w:p w14:paraId="61F0B3F1" w14:textId="77777777" w:rsidR="00276BC4" w:rsidRPr="00276BC4" w:rsidRDefault="00276BC4" w:rsidP="00276BC4">
      <w:pPr>
        <w:spacing w:after="360" w:line="360" w:lineRule="auto"/>
        <w:ind w:right="-159"/>
        <w:jc w:val="both"/>
        <w:rPr>
          <w:rFonts w:eastAsia="Calibri"/>
          <w:b/>
          <w:sz w:val="26"/>
          <w:szCs w:val="26"/>
          <w:lang w:eastAsia="en-US"/>
        </w:rPr>
      </w:pPr>
      <w:r w:rsidRPr="00276BC4">
        <w:rPr>
          <w:rFonts w:eastAsia="Calibri"/>
          <w:b/>
          <w:sz w:val="26"/>
          <w:szCs w:val="26"/>
          <w:lang w:eastAsia="en-US"/>
        </w:rPr>
        <w:t>Promovamos el crecimiento hoy, mañana, juntos (FMI)</w:t>
      </w:r>
    </w:p>
    <w:p w14:paraId="6A341FE1" w14:textId="6630CF4F" w:rsidR="00276BC4" w:rsidRPr="00276BC4" w:rsidRDefault="00276BC4" w:rsidP="00276BC4">
      <w:pPr>
        <w:spacing w:after="360" w:line="360" w:lineRule="auto"/>
        <w:ind w:right="-159"/>
        <w:jc w:val="both"/>
        <w:rPr>
          <w:rFonts w:eastAsia="Calibri"/>
          <w:sz w:val="26"/>
          <w:szCs w:val="26"/>
          <w:lang w:eastAsia="en-US"/>
        </w:rPr>
      </w:pPr>
      <w:r w:rsidRPr="00276BC4">
        <w:rPr>
          <w:rFonts w:eastAsia="Calibri"/>
          <w:sz w:val="26"/>
          <w:szCs w:val="26"/>
          <w:lang w:eastAsia="en-US"/>
        </w:rPr>
        <w:t xml:space="preserve">El 9 de abril de 2015, el Fondo Monetario Internacional (FMI) </w:t>
      </w:r>
      <w:r w:rsidR="00AD5580">
        <w:rPr>
          <w:rFonts w:eastAsia="Calibri"/>
          <w:sz w:val="26"/>
          <w:szCs w:val="26"/>
          <w:lang w:eastAsia="en-US"/>
        </w:rPr>
        <w:t>difundió la intervención de su</w:t>
      </w:r>
      <w:r w:rsidRPr="00276BC4">
        <w:rPr>
          <w:rFonts w:eastAsia="Calibri"/>
          <w:sz w:val="26"/>
          <w:szCs w:val="26"/>
          <w:lang w:eastAsia="en-US"/>
        </w:rPr>
        <w:t xml:space="preserve"> Directora Gerente en</w:t>
      </w:r>
      <w:r w:rsidR="00AD5580">
        <w:rPr>
          <w:rFonts w:eastAsia="Calibri"/>
          <w:sz w:val="26"/>
          <w:szCs w:val="26"/>
          <w:lang w:eastAsia="en-US"/>
        </w:rPr>
        <w:t xml:space="preserve"> el</w:t>
      </w:r>
      <w:r w:rsidRPr="00276BC4">
        <w:rPr>
          <w:rFonts w:eastAsia="Calibri"/>
          <w:sz w:val="26"/>
          <w:szCs w:val="26"/>
          <w:lang w:eastAsia="en-US"/>
        </w:rPr>
        <w:t xml:space="preserve"> </w:t>
      </w:r>
      <w:r w:rsidRPr="00276BC4">
        <w:rPr>
          <w:rFonts w:eastAsia="Calibri"/>
          <w:i/>
          <w:sz w:val="26"/>
          <w:szCs w:val="26"/>
          <w:lang w:eastAsia="en-US"/>
        </w:rPr>
        <w:t>Atlantic Council</w:t>
      </w:r>
      <w:r w:rsidR="00AD5580">
        <w:rPr>
          <w:rFonts w:eastAsia="Calibri"/>
          <w:i/>
          <w:sz w:val="26"/>
          <w:szCs w:val="26"/>
          <w:lang w:eastAsia="en-US"/>
        </w:rPr>
        <w:t>.</w:t>
      </w:r>
      <w:r w:rsidRPr="00276BC4">
        <w:rPr>
          <w:rFonts w:eastAsia="Calibri"/>
          <w:sz w:val="26"/>
          <w:szCs w:val="26"/>
          <w:lang w:eastAsia="en-US"/>
        </w:rPr>
        <w:t xml:space="preserve"> </w:t>
      </w:r>
      <w:r w:rsidR="00AD5580">
        <w:rPr>
          <w:rFonts w:eastAsia="Calibri"/>
          <w:sz w:val="26"/>
          <w:szCs w:val="26"/>
          <w:lang w:eastAsia="en-US"/>
        </w:rPr>
        <w:t>A continuación se presenta su discurso</w:t>
      </w:r>
      <w:r w:rsidRPr="00276BC4">
        <w:rPr>
          <w:rFonts w:eastAsia="Calibri"/>
          <w:sz w:val="26"/>
          <w:szCs w:val="26"/>
          <w:lang w:eastAsia="en-US"/>
        </w:rPr>
        <w:t>.</w:t>
      </w:r>
    </w:p>
    <w:p w14:paraId="6CB7FA30" w14:textId="77777777" w:rsidR="00276BC4" w:rsidRPr="00276BC4" w:rsidRDefault="00276BC4" w:rsidP="00276BC4">
      <w:pPr>
        <w:spacing w:after="360" w:line="360" w:lineRule="auto"/>
        <w:ind w:right="-159"/>
        <w:jc w:val="both"/>
        <w:rPr>
          <w:rFonts w:eastAsia="Calibri"/>
          <w:sz w:val="26"/>
          <w:szCs w:val="26"/>
          <w:lang w:eastAsia="en-US"/>
        </w:rPr>
      </w:pPr>
      <w:r w:rsidRPr="00276BC4">
        <w:rPr>
          <w:rFonts w:eastAsia="Calibri"/>
          <w:sz w:val="26"/>
          <w:szCs w:val="26"/>
          <w:lang w:eastAsia="en-US"/>
        </w:rPr>
        <w:t>“¡Buenos días!</w:t>
      </w:r>
    </w:p>
    <w:p w14:paraId="69060284" w14:textId="77777777" w:rsidR="00276BC4" w:rsidRPr="00276BC4" w:rsidRDefault="00276BC4" w:rsidP="00276BC4">
      <w:pPr>
        <w:spacing w:after="360" w:line="360" w:lineRule="auto"/>
        <w:ind w:right="-159"/>
        <w:jc w:val="both"/>
        <w:rPr>
          <w:rFonts w:eastAsia="Calibri"/>
          <w:sz w:val="26"/>
          <w:szCs w:val="26"/>
          <w:lang w:eastAsia="en-US"/>
        </w:rPr>
      </w:pPr>
      <w:r w:rsidRPr="00276BC4">
        <w:rPr>
          <w:rFonts w:eastAsia="Calibri"/>
          <w:sz w:val="26"/>
          <w:szCs w:val="26"/>
          <w:lang w:eastAsia="en-US"/>
        </w:rPr>
        <w:t>Gracias, amigo Fred Kempe, por su gentil presentación.</w:t>
      </w:r>
    </w:p>
    <w:p w14:paraId="269B5E31" w14:textId="77777777" w:rsidR="00276BC4" w:rsidRPr="00276BC4" w:rsidRDefault="00276BC4" w:rsidP="00276BC4">
      <w:pPr>
        <w:spacing w:after="360" w:line="360" w:lineRule="auto"/>
        <w:ind w:right="-159"/>
        <w:jc w:val="both"/>
        <w:rPr>
          <w:rFonts w:eastAsia="Calibri"/>
          <w:sz w:val="26"/>
          <w:szCs w:val="26"/>
          <w:lang w:eastAsia="en-US"/>
        </w:rPr>
      </w:pPr>
      <w:r w:rsidRPr="00276BC4">
        <w:rPr>
          <w:rFonts w:eastAsia="Calibri"/>
          <w:sz w:val="26"/>
          <w:szCs w:val="26"/>
          <w:lang w:eastAsia="en-US"/>
        </w:rPr>
        <w:t xml:space="preserve">Gobernador Huntsman, gracias a usted y al Atlantic Council por esta oportunidad de dirigirme a tan </w:t>
      </w:r>
      <w:r w:rsidRPr="00276BC4">
        <w:rPr>
          <w:rFonts w:eastAsia="Calibri"/>
          <w:sz w:val="26"/>
          <w:szCs w:val="26"/>
          <w:u w:val="single"/>
          <w:lang w:eastAsia="en-US"/>
        </w:rPr>
        <w:t>distinguido</w:t>
      </w:r>
      <w:r w:rsidRPr="00276BC4">
        <w:rPr>
          <w:rFonts w:eastAsia="Calibri"/>
          <w:sz w:val="26"/>
          <w:szCs w:val="26"/>
          <w:lang w:eastAsia="en-US"/>
        </w:rPr>
        <w:t xml:space="preserve"> público.</w:t>
      </w:r>
    </w:p>
    <w:p w14:paraId="31794848" w14:textId="77777777" w:rsidR="00276BC4" w:rsidRPr="00276BC4" w:rsidRDefault="00276BC4" w:rsidP="00276BC4">
      <w:pPr>
        <w:spacing w:after="360" w:line="360" w:lineRule="auto"/>
        <w:ind w:right="-159"/>
        <w:jc w:val="both"/>
        <w:rPr>
          <w:rFonts w:eastAsia="Calibri"/>
          <w:sz w:val="26"/>
          <w:szCs w:val="26"/>
          <w:lang w:eastAsia="en-US"/>
        </w:rPr>
      </w:pPr>
      <w:r w:rsidRPr="00276BC4">
        <w:rPr>
          <w:rFonts w:eastAsia="Calibri"/>
          <w:sz w:val="26"/>
          <w:szCs w:val="26"/>
          <w:lang w:eastAsia="en-US"/>
        </w:rPr>
        <w:t>Esta institución está reconocida por su excepcional capacidad para congregar a las máximas autoridades internacionales de ambos lados del Atlántico, algo que tiene en común con el FMI.</w:t>
      </w:r>
    </w:p>
    <w:p w14:paraId="14D6BAC4" w14:textId="77777777" w:rsidR="00276BC4" w:rsidRPr="00276BC4" w:rsidRDefault="00276BC4" w:rsidP="00276BC4">
      <w:pPr>
        <w:spacing w:after="360" w:line="360" w:lineRule="auto"/>
        <w:ind w:right="-159"/>
        <w:jc w:val="both"/>
        <w:rPr>
          <w:rFonts w:eastAsia="Calibri"/>
          <w:sz w:val="26"/>
          <w:szCs w:val="26"/>
          <w:lang w:eastAsia="en-US"/>
        </w:rPr>
      </w:pPr>
      <w:r w:rsidRPr="00276BC4">
        <w:rPr>
          <w:rFonts w:eastAsia="Calibri"/>
          <w:sz w:val="26"/>
          <w:szCs w:val="26"/>
          <w:lang w:eastAsia="en-US"/>
        </w:rPr>
        <w:t>La semana próxima, los Presidentes de los Bancos Centrales y los Ministros de Hacienda de nuestros 188 países miembros llegarán a Washington para asistir a nuestras Reuniones de Primavera. Su atención estará centrada en el estado de la economía mundial.</w:t>
      </w:r>
    </w:p>
    <w:p w14:paraId="0CC7A50F" w14:textId="77777777" w:rsidR="00276BC4" w:rsidRPr="00276BC4" w:rsidRDefault="00276BC4" w:rsidP="00276BC4">
      <w:pPr>
        <w:spacing w:after="360" w:line="360" w:lineRule="auto"/>
        <w:ind w:right="-159"/>
        <w:jc w:val="both"/>
        <w:rPr>
          <w:rFonts w:eastAsia="Calibri"/>
          <w:sz w:val="26"/>
          <w:szCs w:val="26"/>
          <w:lang w:eastAsia="en-US"/>
        </w:rPr>
      </w:pPr>
      <w:r w:rsidRPr="00276BC4">
        <w:rPr>
          <w:rFonts w:eastAsia="Calibri"/>
          <w:sz w:val="26"/>
          <w:szCs w:val="26"/>
          <w:lang w:eastAsia="en-US"/>
        </w:rPr>
        <w:t xml:space="preserve">Desde las Reuniones Anuales que celebramos el otoño pasado, ha habido una serie de novedades importantes. La economía mundial se ha beneficiado del estímulo generado por el abaratamiento del petróleo y del sólido desempeño de la economía más grande </w:t>
      </w:r>
      <w:r w:rsidRPr="00276BC4">
        <w:rPr>
          <w:rFonts w:eastAsia="Calibri"/>
          <w:sz w:val="26"/>
          <w:szCs w:val="26"/>
          <w:lang w:eastAsia="en-US"/>
        </w:rPr>
        <w:lastRenderedPageBreak/>
        <w:t>del mundo, Estados Unidos de Norteamérica. En términos generales, los riesgos macroeconómicos se han atenuado.</w:t>
      </w:r>
    </w:p>
    <w:p w14:paraId="6213D83C" w14:textId="77777777" w:rsidR="00276BC4" w:rsidRPr="00276BC4" w:rsidRDefault="00276BC4" w:rsidP="00276BC4">
      <w:pPr>
        <w:spacing w:after="360" w:line="360" w:lineRule="auto"/>
        <w:ind w:right="-159"/>
        <w:jc w:val="both"/>
        <w:rPr>
          <w:rFonts w:eastAsia="Calibri"/>
          <w:sz w:val="26"/>
          <w:szCs w:val="26"/>
          <w:lang w:eastAsia="en-US"/>
        </w:rPr>
      </w:pPr>
      <w:r w:rsidRPr="00276BC4">
        <w:rPr>
          <w:rFonts w:eastAsia="Calibri"/>
          <w:sz w:val="26"/>
          <w:szCs w:val="26"/>
          <w:lang w:eastAsia="en-US"/>
        </w:rPr>
        <w:t>De modo que la recuperación mundial continúa, pero es moderada y desigual. En demasiadas partes del mundo, no es suficientemente vigorosa. En demasiadas partes del mundo, la gente no la siente en forma suficiente. Y, además, los riesgos financieros y geopolíticos han recrudecido.</w:t>
      </w:r>
    </w:p>
    <w:p w14:paraId="2E5B60F2" w14:textId="77777777" w:rsidR="00276BC4" w:rsidRPr="00276BC4" w:rsidRDefault="00276BC4" w:rsidP="00276BC4">
      <w:pPr>
        <w:spacing w:after="360" w:line="360" w:lineRule="auto"/>
        <w:ind w:right="-159"/>
        <w:jc w:val="both"/>
        <w:rPr>
          <w:rFonts w:eastAsia="Calibri"/>
          <w:sz w:val="26"/>
          <w:szCs w:val="26"/>
          <w:lang w:eastAsia="en-US"/>
        </w:rPr>
      </w:pPr>
      <w:r w:rsidRPr="00276BC4">
        <w:rPr>
          <w:rFonts w:eastAsia="Calibri"/>
          <w:sz w:val="26"/>
          <w:szCs w:val="26"/>
          <w:lang w:eastAsia="en-US"/>
        </w:rPr>
        <w:t>No es que el crecimiento global sea bajo: el del año pasado, de 3.4%, es más o menos el promedio de las tres últimas décadas. Es que, dado el efecto que han tenido en la gente las secuelas de la Gran Recesión —por ejemplo, un desempleo juvenil de 50% en algunos países—, ese nivel de crecimiento sencillamente no basta.</w:t>
      </w:r>
    </w:p>
    <w:p w14:paraId="02A2F404" w14:textId="77777777" w:rsidR="00276BC4" w:rsidRPr="00276BC4" w:rsidRDefault="00276BC4" w:rsidP="00276BC4">
      <w:pPr>
        <w:spacing w:after="360" w:line="360" w:lineRule="auto"/>
        <w:ind w:right="-159"/>
        <w:jc w:val="both"/>
        <w:rPr>
          <w:rFonts w:eastAsia="Calibri"/>
          <w:sz w:val="26"/>
          <w:szCs w:val="26"/>
          <w:lang w:eastAsia="en-US"/>
        </w:rPr>
      </w:pPr>
      <w:r w:rsidRPr="00276BC4">
        <w:rPr>
          <w:rFonts w:eastAsia="Calibri"/>
          <w:sz w:val="26"/>
          <w:szCs w:val="26"/>
          <w:lang w:eastAsia="en-US"/>
        </w:rPr>
        <w:t>Hace seis meses, advertí sobre el riesgo de una “nueva mediocridad”; o sea, una baja tasa de crecimiento durante mucho tiempo. Hoy, debemos evitar que esa nueva mediocridad se transforme en la “nueva realidad”.</w:t>
      </w:r>
    </w:p>
    <w:p w14:paraId="4077F799" w14:textId="77777777" w:rsidR="00276BC4" w:rsidRPr="00276BC4" w:rsidRDefault="00276BC4" w:rsidP="00276BC4">
      <w:pPr>
        <w:spacing w:after="360" w:line="360" w:lineRule="auto"/>
        <w:ind w:right="-159"/>
        <w:jc w:val="both"/>
        <w:rPr>
          <w:rFonts w:eastAsia="Calibri"/>
          <w:sz w:val="26"/>
          <w:szCs w:val="26"/>
          <w:lang w:eastAsia="en-US"/>
        </w:rPr>
      </w:pPr>
      <w:r w:rsidRPr="00276BC4">
        <w:rPr>
          <w:rFonts w:eastAsia="Calibri"/>
          <w:sz w:val="26"/>
          <w:szCs w:val="26"/>
          <w:lang w:eastAsia="en-US"/>
        </w:rPr>
        <w:t>No podemos conformarnos. No debemos conformarnos.</w:t>
      </w:r>
    </w:p>
    <w:p w14:paraId="556280A0" w14:textId="77777777" w:rsidR="00276BC4" w:rsidRPr="00276BC4" w:rsidRDefault="00276BC4" w:rsidP="00276BC4">
      <w:pPr>
        <w:spacing w:after="360" w:line="360" w:lineRule="auto"/>
        <w:ind w:right="-159"/>
        <w:jc w:val="both"/>
        <w:rPr>
          <w:rFonts w:eastAsia="Calibri"/>
          <w:sz w:val="26"/>
          <w:szCs w:val="26"/>
          <w:lang w:eastAsia="en-US"/>
        </w:rPr>
      </w:pPr>
      <w:r w:rsidRPr="00276BC4">
        <w:rPr>
          <w:rFonts w:eastAsia="Calibri"/>
          <w:sz w:val="26"/>
          <w:szCs w:val="26"/>
          <w:lang w:eastAsia="en-US"/>
        </w:rPr>
        <w:t>Inspirado por los ideales de la cooperación transatlántica, John F. Kennedy una vez dijo:</w:t>
      </w:r>
    </w:p>
    <w:p w14:paraId="3EED5503" w14:textId="77777777" w:rsidR="00276BC4" w:rsidRPr="00276BC4" w:rsidRDefault="00276BC4" w:rsidP="00276BC4">
      <w:pPr>
        <w:spacing w:after="360" w:line="360" w:lineRule="auto"/>
        <w:ind w:right="-159"/>
        <w:jc w:val="both"/>
        <w:rPr>
          <w:rFonts w:eastAsia="Calibri"/>
          <w:sz w:val="26"/>
          <w:szCs w:val="26"/>
          <w:lang w:eastAsia="en-US"/>
        </w:rPr>
      </w:pPr>
      <w:r w:rsidRPr="00276BC4">
        <w:rPr>
          <w:rFonts w:eastAsia="Calibri"/>
          <w:sz w:val="26"/>
          <w:szCs w:val="26"/>
          <w:lang w:eastAsia="en-US"/>
        </w:rPr>
        <w:t>“Actuar acarrea riesgos y costos. Pero mucho menos que los riesgos a largo plazo de quedarse cómodamente cruzados de brazos.”</w:t>
      </w:r>
    </w:p>
    <w:p w14:paraId="31E33A98" w14:textId="77777777" w:rsidR="00276BC4" w:rsidRPr="00276BC4" w:rsidRDefault="00276BC4" w:rsidP="00276BC4">
      <w:pPr>
        <w:spacing w:after="360" w:line="360" w:lineRule="auto"/>
        <w:ind w:right="-159"/>
        <w:jc w:val="both"/>
        <w:rPr>
          <w:rFonts w:eastAsia="Calibri"/>
          <w:sz w:val="26"/>
          <w:szCs w:val="26"/>
          <w:lang w:eastAsia="en-US"/>
        </w:rPr>
      </w:pPr>
      <w:r w:rsidRPr="00276BC4">
        <w:rPr>
          <w:rFonts w:eastAsia="Calibri"/>
          <w:sz w:val="26"/>
          <w:szCs w:val="26"/>
          <w:lang w:eastAsia="en-US"/>
        </w:rPr>
        <w:t>Quedarnos cómodamente cruzados de brazos es lo que debemos evitar. Y de eso quiero hablarles hoy.</w:t>
      </w:r>
    </w:p>
    <w:p w14:paraId="754B9F46" w14:textId="77777777" w:rsidR="00276BC4" w:rsidRPr="00276BC4" w:rsidRDefault="00276BC4" w:rsidP="002D3902">
      <w:pPr>
        <w:numPr>
          <w:ilvl w:val="0"/>
          <w:numId w:val="106"/>
        </w:numPr>
        <w:spacing w:after="360" w:line="360" w:lineRule="auto"/>
        <w:ind w:left="714" w:right="-159" w:hanging="357"/>
        <w:jc w:val="both"/>
        <w:rPr>
          <w:rFonts w:eastAsia="Calibri"/>
          <w:sz w:val="26"/>
          <w:szCs w:val="26"/>
          <w:lang w:eastAsia="en-US"/>
        </w:rPr>
      </w:pPr>
      <w:r w:rsidRPr="00276BC4">
        <w:rPr>
          <w:rFonts w:eastAsia="Calibri"/>
          <w:sz w:val="26"/>
          <w:szCs w:val="26"/>
          <w:lang w:eastAsia="en-US"/>
        </w:rPr>
        <w:t>Cómo promover el crecimiento hoy aprovechando todos los instrumentos y el margen de maniobra de las políticas con más eficacia.</w:t>
      </w:r>
    </w:p>
    <w:p w14:paraId="712A3A43" w14:textId="77777777" w:rsidR="00276BC4" w:rsidRPr="00276BC4" w:rsidRDefault="00276BC4" w:rsidP="002D3902">
      <w:pPr>
        <w:numPr>
          <w:ilvl w:val="0"/>
          <w:numId w:val="106"/>
        </w:numPr>
        <w:spacing w:after="360" w:line="360" w:lineRule="auto"/>
        <w:ind w:left="714" w:right="-159" w:hanging="357"/>
        <w:jc w:val="both"/>
        <w:rPr>
          <w:rFonts w:eastAsia="Calibri"/>
          <w:sz w:val="26"/>
          <w:szCs w:val="26"/>
          <w:lang w:eastAsia="en-US"/>
        </w:rPr>
      </w:pPr>
      <w:r w:rsidRPr="00276BC4">
        <w:rPr>
          <w:rFonts w:eastAsia="Calibri"/>
          <w:sz w:val="26"/>
          <w:szCs w:val="26"/>
          <w:lang w:eastAsia="en-US"/>
        </w:rPr>
        <w:lastRenderedPageBreak/>
        <w:t>Cómo promover el crecimiento mañana y evitar así una nueva mediocridad.</w:t>
      </w:r>
    </w:p>
    <w:p w14:paraId="7C0A03AA" w14:textId="77777777" w:rsidR="00276BC4" w:rsidRPr="00276BC4" w:rsidRDefault="00276BC4" w:rsidP="002D3902">
      <w:pPr>
        <w:numPr>
          <w:ilvl w:val="0"/>
          <w:numId w:val="106"/>
        </w:numPr>
        <w:spacing w:after="360" w:line="360" w:lineRule="auto"/>
        <w:ind w:left="714" w:right="-159" w:hanging="357"/>
        <w:jc w:val="both"/>
        <w:rPr>
          <w:rFonts w:eastAsia="Calibri"/>
          <w:sz w:val="26"/>
          <w:szCs w:val="26"/>
          <w:lang w:eastAsia="en-US"/>
        </w:rPr>
      </w:pPr>
      <w:r w:rsidRPr="00276BC4">
        <w:rPr>
          <w:rFonts w:eastAsia="Calibri"/>
          <w:sz w:val="26"/>
          <w:szCs w:val="26"/>
          <w:lang w:eastAsia="en-US"/>
        </w:rPr>
        <w:t>Cómo trabajar juntos para afianzar la arquitectura financiera internacional, impulsar el desarrollo y lograr un crecimiento más inclusivo y sostenible.</w:t>
      </w:r>
    </w:p>
    <w:p w14:paraId="273B7D2E" w14:textId="77777777" w:rsidR="00276BC4" w:rsidRPr="00276BC4" w:rsidRDefault="00276BC4" w:rsidP="00276BC4">
      <w:pPr>
        <w:spacing w:after="360" w:line="360" w:lineRule="auto"/>
        <w:ind w:right="-159"/>
        <w:jc w:val="both"/>
        <w:rPr>
          <w:rFonts w:eastAsia="Calibri"/>
          <w:b/>
          <w:sz w:val="26"/>
          <w:szCs w:val="26"/>
          <w:lang w:eastAsia="en-US"/>
        </w:rPr>
      </w:pPr>
      <w:r w:rsidRPr="00276BC4">
        <w:rPr>
          <w:rFonts w:eastAsia="Calibri"/>
          <w:b/>
          <w:sz w:val="26"/>
          <w:szCs w:val="26"/>
          <w:lang w:eastAsia="en-US"/>
        </w:rPr>
        <w:t>1. Promover el crecimiento hoy</w:t>
      </w:r>
    </w:p>
    <w:p w14:paraId="303E2142" w14:textId="78B8ED95" w:rsidR="00276BC4" w:rsidRPr="00276BC4" w:rsidRDefault="00276BC4" w:rsidP="00276BC4">
      <w:pPr>
        <w:spacing w:after="360" w:line="360" w:lineRule="auto"/>
        <w:ind w:right="-159"/>
        <w:jc w:val="both"/>
        <w:rPr>
          <w:rFonts w:eastAsia="Calibri"/>
          <w:sz w:val="26"/>
          <w:szCs w:val="26"/>
          <w:lang w:eastAsia="en-US"/>
        </w:rPr>
      </w:pPr>
      <w:r w:rsidRPr="00276BC4">
        <w:rPr>
          <w:rFonts w:eastAsia="Calibri"/>
          <w:sz w:val="26"/>
          <w:szCs w:val="26"/>
          <w:lang w:eastAsia="en-US"/>
        </w:rPr>
        <w:t xml:space="preserve">Permítanme comenzar recapitulando la situación de la economía mundial y el reto inmediato de promover el crecimiento hoy. La semana próxima publicaremos el informe </w:t>
      </w:r>
      <w:r w:rsidR="00AD5580">
        <w:rPr>
          <w:rFonts w:eastAsia="Calibri"/>
          <w:sz w:val="26"/>
          <w:szCs w:val="26"/>
          <w:lang w:eastAsia="en-US"/>
        </w:rPr>
        <w:t>“</w:t>
      </w:r>
      <w:r w:rsidRPr="00AD5580">
        <w:rPr>
          <w:rFonts w:eastAsia="Calibri"/>
          <w:sz w:val="26"/>
          <w:szCs w:val="26"/>
          <w:lang w:eastAsia="en-US"/>
        </w:rPr>
        <w:t xml:space="preserve">Perspectivas de la </w:t>
      </w:r>
      <w:r w:rsidR="00AD5580">
        <w:rPr>
          <w:rFonts w:eastAsia="Calibri"/>
          <w:sz w:val="26"/>
          <w:szCs w:val="26"/>
          <w:lang w:eastAsia="en-US"/>
        </w:rPr>
        <w:t>E</w:t>
      </w:r>
      <w:r w:rsidRPr="00AD5580">
        <w:rPr>
          <w:rFonts w:eastAsia="Calibri"/>
          <w:sz w:val="26"/>
          <w:szCs w:val="26"/>
          <w:lang w:eastAsia="en-US"/>
        </w:rPr>
        <w:t xml:space="preserve">conomía </w:t>
      </w:r>
      <w:r w:rsidR="00AD5580">
        <w:rPr>
          <w:rFonts w:eastAsia="Calibri"/>
          <w:sz w:val="26"/>
          <w:szCs w:val="26"/>
          <w:lang w:eastAsia="en-US"/>
        </w:rPr>
        <w:t>M</w:t>
      </w:r>
      <w:r w:rsidRPr="00AD5580">
        <w:rPr>
          <w:rFonts w:eastAsia="Calibri"/>
          <w:sz w:val="26"/>
          <w:szCs w:val="26"/>
          <w:lang w:eastAsia="en-US"/>
        </w:rPr>
        <w:t>undial</w:t>
      </w:r>
      <w:r w:rsidR="00AD5580">
        <w:rPr>
          <w:rFonts w:eastAsia="Calibri"/>
          <w:sz w:val="26"/>
          <w:szCs w:val="26"/>
          <w:lang w:eastAsia="en-US"/>
        </w:rPr>
        <w:t>”</w:t>
      </w:r>
      <w:r w:rsidRPr="00276BC4">
        <w:rPr>
          <w:rFonts w:eastAsia="Calibri"/>
          <w:sz w:val="26"/>
          <w:szCs w:val="26"/>
          <w:lang w:eastAsia="en-US"/>
        </w:rPr>
        <w:t xml:space="preserve"> (informe WEO), así que no entraré hoy en gran detalle sobre las tendencias y las recomendaciones de política económica.</w:t>
      </w:r>
    </w:p>
    <w:p w14:paraId="5A8EA8C2" w14:textId="77777777" w:rsidR="00276BC4" w:rsidRPr="00276BC4" w:rsidRDefault="00276BC4" w:rsidP="00276BC4">
      <w:pPr>
        <w:spacing w:after="360" w:line="360" w:lineRule="auto"/>
        <w:ind w:right="-159"/>
        <w:jc w:val="both"/>
        <w:rPr>
          <w:rFonts w:eastAsia="Calibri"/>
          <w:sz w:val="26"/>
          <w:szCs w:val="26"/>
          <w:lang w:eastAsia="en-US"/>
        </w:rPr>
      </w:pPr>
      <w:r w:rsidRPr="00276BC4">
        <w:rPr>
          <w:rFonts w:eastAsia="Calibri"/>
          <w:sz w:val="26"/>
          <w:szCs w:val="26"/>
          <w:lang w:eastAsia="en-US"/>
        </w:rPr>
        <w:t>Como indiqué antes, el crecimiento sigue siendo moderado; es más o menos igual al del año pasado.</w:t>
      </w:r>
    </w:p>
    <w:p w14:paraId="2DECF4C4" w14:textId="77777777" w:rsidR="00276BC4" w:rsidRPr="00276BC4" w:rsidRDefault="00276BC4" w:rsidP="00276BC4">
      <w:pPr>
        <w:spacing w:after="360" w:line="360" w:lineRule="auto"/>
        <w:ind w:right="-159"/>
        <w:jc w:val="both"/>
        <w:rPr>
          <w:rFonts w:eastAsia="Calibri"/>
          <w:sz w:val="26"/>
          <w:szCs w:val="26"/>
          <w:lang w:eastAsia="en-US"/>
        </w:rPr>
      </w:pPr>
      <w:r w:rsidRPr="00276BC4">
        <w:rPr>
          <w:rFonts w:eastAsia="Calibri"/>
          <w:sz w:val="26"/>
          <w:szCs w:val="26"/>
          <w:lang w:eastAsia="en-US"/>
        </w:rPr>
        <w:t>El desempeño de las economías avanzadas es ligeramente superior al del año pasado: la recuperación se está afianzando en Estados Unidos de Norteamérica y el Reino Unido. Las perspectivas de la zona del euro están mejorando, gracias al respaldo que ha brindado la expansión monetaria lanzada por el Banco Central Europeo (BCE).</w:t>
      </w:r>
    </w:p>
    <w:p w14:paraId="7676D852" w14:textId="77777777" w:rsidR="00276BC4" w:rsidRPr="00276BC4" w:rsidRDefault="00276BC4" w:rsidP="00276BC4">
      <w:pPr>
        <w:spacing w:after="360" w:line="360" w:lineRule="auto"/>
        <w:ind w:right="-159"/>
        <w:jc w:val="both"/>
        <w:rPr>
          <w:rFonts w:eastAsia="Calibri"/>
          <w:sz w:val="26"/>
          <w:szCs w:val="26"/>
          <w:lang w:eastAsia="en-US"/>
        </w:rPr>
      </w:pPr>
      <w:r w:rsidRPr="00276BC4">
        <w:rPr>
          <w:rFonts w:eastAsia="Calibri"/>
          <w:sz w:val="26"/>
          <w:szCs w:val="26"/>
          <w:lang w:eastAsia="en-US"/>
        </w:rPr>
        <w:t>Los pronósticos para la mayoría de las economías emergentes y en desarrollo han empeorado ligeramente respecto del año pasado, y una de las principales causas ha sido la caída de los precios de las materias primas. Aunque estas economías aún generan más de dos tercios del crecimiento mundial este año, existe una tremenda diversidad dentro del grupo. Por ejemplo:</w:t>
      </w:r>
    </w:p>
    <w:p w14:paraId="4855A8D1" w14:textId="77777777" w:rsidR="00276BC4" w:rsidRPr="00276BC4" w:rsidRDefault="00276BC4" w:rsidP="002D3902">
      <w:pPr>
        <w:numPr>
          <w:ilvl w:val="0"/>
          <w:numId w:val="107"/>
        </w:numPr>
        <w:spacing w:after="360" w:line="360" w:lineRule="auto"/>
        <w:ind w:left="714" w:right="-159" w:hanging="357"/>
        <w:jc w:val="both"/>
        <w:rPr>
          <w:rFonts w:eastAsia="Calibri"/>
          <w:sz w:val="26"/>
          <w:szCs w:val="26"/>
          <w:lang w:eastAsia="en-US"/>
        </w:rPr>
      </w:pPr>
      <w:r w:rsidRPr="00276BC4">
        <w:rPr>
          <w:rFonts w:eastAsia="Calibri"/>
          <w:sz w:val="26"/>
          <w:szCs w:val="26"/>
          <w:lang w:eastAsia="en-US"/>
        </w:rPr>
        <w:t>India es un foco de crecimiento.</w:t>
      </w:r>
    </w:p>
    <w:p w14:paraId="193A2A7A" w14:textId="77777777" w:rsidR="00276BC4" w:rsidRPr="00276BC4" w:rsidRDefault="00276BC4" w:rsidP="002D3902">
      <w:pPr>
        <w:numPr>
          <w:ilvl w:val="0"/>
          <w:numId w:val="107"/>
        </w:numPr>
        <w:spacing w:after="360" w:line="360" w:lineRule="auto"/>
        <w:ind w:left="714" w:right="-159" w:hanging="357"/>
        <w:jc w:val="both"/>
        <w:rPr>
          <w:rFonts w:eastAsia="Calibri"/>
          <w:sz w:val="26"/>
          <w:szCs w:val="26"/>
          <w:lang w:eastAsia="en-US"/>
        </w:rPr>
      </w:pPr>
      <w:r w:rsidRPr="00276BC4">
        <w:rPr>
          <w:rFonts w:eastAsia="Calibri"/>
          <w:sz w:val="26"/>
          <w:szCs w:val="26"/>
          <w:lang w:eastAsia="en-US"/>
        </w:rPr>
        <w:t>China se está desacelerando, pero su crecimiento es más sostenible.</w:t>
      </w:r>
    </w:p>
    <w:p w14:paraId="677C47E9" w14:textId="3F1BD2C3" w:rsidR="00276BC4" w:rsidRPr="00276BC4" w:rsidRDefault="00276BC4" w:rsidP="002D3902">
      <w:pPr>
        <w:numPr>
          <w:ilvl w:val="0"/>
          <w:numId w:val="108"/>
        </w:numPr>
        <w:spacing w:after="360" w:line="360" w:lineRule="auto"/>
        <w:ind w:left="714" w:right="-159" w:hanging="357"/>
        <w:jc w:val="both"/>
        <w:rPr>
          <w:rFonts w:eastAsia="Calibri"/>
          <w:sz w:val="26"/>
          <w:szCs w:val="26"/>
          <w:lang w:eastAsia="en-US"/>
        </w:rPr>
      </w:pPr>
      <w:r w:rsidRPr="00276BC4">
        <w:rPr>
          <w:rFonts w:eastAsia="Calibri"/>
          <w:sz w:val="26"/>
          <w:szCs w:val="26"/>
          <w:lang w:eastAsia="en-US"/>
        </w:rPr>
        <w:lastRenderedPageBreak/>
        <w:t xml:space="preserve">África </w:t>
      </w:r>
      <w:r w:rsidR="001611C8">
        <w:rPr>
          <w:rFonts w:eastAsia="Calibri"/>
          <w:sz w:val="26"/>
          <w:szCs w:val="26"/>
          <w:lang w:eastAsia="en-US"/>
        </w:rPr>
        <w:t>Subsahariana</w:t>
      </w:r>
      <w:r w:rsidRPr="00276BC4">
        <w:rPr>
          <w:rFonts w:eastAsia="Calibri"/>
          <w:sz w:val="26"/>
          <w:szCs w:val="26"/>
          <w:lang w:eastAsia="en-US"/>
        </w:rPr>
        <w:t xml:space="preserve"> continúa con un sólido desempeño.</w:t>
      </w:r>
    </w:p>
    <w:p w14:paraId="25DF9B53" w14:textId="77777777" w:rsidR="00276BC4" w:rsidRPr="00276BC4" w:rsidRDefault="00276BC4" w:rsidP="002D3902">
      <w:pPr>
        <w:numPr>
          <w:ilvl w:val="0"/>
          <w:numId w:val="108"/>
        </w:numPr>
        <w:spacing w:after="360" w:line="360" w:lineRule="auto"/>
        <w:ind w:left="714" w:right="-159" w:hanging="357"/>
        <w:jc w:val="both"/>
        <w:rPr>
          <w:rFonts w:eastAsia="Calibri"/>
          <w:sz w:val="26"/>
          <w:szCs w:val="26"/>
          <w:lang w:eastAsia="en-US"/>
        </w:rPr>
      </w:pPr>
      <w:r w:rsidRPr="00276BC4">
        <w:rPr>
          <w:rFonts w:eastAsia="Calibri"/>
          <w:sz w:val="26"/>
          <w:szCs w:val="26"/>
          <w:lang w:eastAsia="en-US"/>
        </w:rPr>
        <w:t>Rusia, por otra parte, está sufriendo dificultades económicas.</w:t>
      </w:r>
    </w:p>
    <w:p w14:paraId="0E56854A" w14:textId="77777777" w:rsidR="00276BC4" w:rsidRPr="00276BC4" w:rsidRDefault="00276BC4" w:rsidP="002D3902">
      <w:pPr>
        <w:numPr>
          <w:ilvl w:val="0"/>
          <w:numId w:val="108"/>
        </w:numPr>
        <w:spacing w:after="360" w:line="360" w:lineRule="auto"/>
        <w:ind w:left="714" w:right="-159" w:hanging="357"/>
        <w:jc w:val="both"/>
        <w:rPr>
          <w:rFonts w:eastAsia="Calibri"/>
          <w:sz w:val="26"/>
          <w:szCs w:val="26"/>
          <w:lang w:eastAsia="en-US"/>
        </w:rPr>
      </w:pPr>
      <w:r w:rsidRPr="00276BC4">
        <w:rPr>
          <w:rFonts w:eastAsia="Calibri"/>
          <w:sz w:val="26"/>
          <w:szCs w:val="26"/>
          <w:lang w:eastAsia="en-US"/>
        </w:rPr>
        <w:t>Brasil también se está estancando.</w:t>
      </w:r>
    </w:p>
    <w:p w14:paraId="28441BF6" w14:textId="77777777" w:rsidR="00276BC4" w:rsidRPr="00276BC4" w:rsidRDefault="00276BC4" w:rsidP="002D3902">
      <w:pPr>
        <w:numPr>
          <w:ilvl w:val="0"/>
          <w:numId w:val="108"/>
        </w:numPr>
        <w:spacing w:after="360" w:line="360" w:lineRule="auto"/>
        <w:ind w:left="714" w:right="-159" w:hanging="357"/>
        <w:jc w:val="both"/>
        <w:rPr>
          <w:rFonts w:eastAsia="Calibri"/>
          <w:sz w:val="26"/>
          <w:szCs w:val="26"/>
          <w:lang w:eastAsia="en-US"/>
        </w:rPr>
      </w:pPr>
      <w:r w:rsidRPr="00276BC4">
        <w:rPr>
          <w:rFonts w:eastAsia="Calibri"/>
          <w:sz w:val="26"/>
          <w:szCs w:val="26"/>
          <w:lang w:eastAsia="en-US"/>
        </w:rPr>
        <w:t>Y muchas partes de Oriente Medio están plagadas de turbulencia política y económica.</w:t>
      </w:r>
    </w:p>
    <w:p w14:paraId="57F1690F" w14:textId="77777777" w:rsidR="00276BC4" w:rsidRPr="00276BC4" w:rsidRDefault="00276BC4" w:rsidP="00276BC4">
      <w:pPr>
        <w:spacing w:after="360" w:line="360" w:lineRule="auto"/>
        <w:ind w:right="-159"/>
        <w:jc w:val="both"/>
        <w:rPr>
          <w:rFonts w:eastAsia="Calibri"/>
          <w:sz w:val="26"/>
          <w:szCs w:val="26"/>
          <w:lang w:eastAsia="en-US"/>
        </w:rPr>
      </w:pPr>
      <w:r w:rsidRPr="00276BC4">
        <w:rPr>
          <w:rFonts w:eastAsia="Calibri"/>
          <w:sz w:val="26"/>
          <w:szCs w:val="26"/>
          <w:lang w:eastAsia="en-US"/>
        </w:rPr>
        <w:t>Por lo tanto, no debemos pensar en las economías emergentes como un grupo uniforme. Cada país se enfrenta a circunstancias muy específicas; algunas más fáciles, otras más difíciles.</w:t>
      </w:r>
    </w:p>
    <w:p w14:paraId="6358433B" w14:textId="77777777" w:rsidR="00276BC4" w:rsidRPr="00276BC4" w:rsidRDefault="00276BC4" w:rsidP="00276BC4">
      <w:pPr>
        <w:spacing w:after="360" w:line="360" w:lineRule="auto"/>
        <w:ind w:right="-159"/>
        <w:jc w:val="both"/>
        <w:rPr>
          <w:rFonts w:eastAsia="Calibri"/>
          <w:sz w:val="26"/>
          <w:szCs w:val="26"/>
          <w:lang w:eastAsia="en-US"/>
        </w:rPr>
      </w:pPr>
      <w:r w:rsidRPr="00276BC4">
        <w:rPr>
          <w:rFonts w:eastAsia="Calibri"/>
          <w:sz w:val="26"/>
          <w:szCs w:val="26"/>
          <w:lang w:eastAsia="en-US"/>
        </w:rPr>
        <w:t>¿Cuáles son las implicaciones?</w:t>
      </w:r>
    </w:p>
    <w:p w14:paraId="4C182605" w14:textId="77777777" w:rsidR="00276BC4" w:rsidRPr="00276BC4" w:rsidRDefault="00276BC4" w:rsidP="00276BC4">
      <w:pPr>
        <w:spacing w:after="360" w:line="360" w:lineRule="auto"/>
        <w:ind w:right="-159"/>
        <w:jc w:val="both"/>
        <w:rPr>
          <w:rFonts w:eastAsia="Calibri"/>
          <w:sz w:val="26"/>
          <w:szCs w:val="26"/>
          <w:lang w:eastAsia="en-US"/>
        </w:rPr>
      </w:pPr>
      <w:r w:rsidRPr="00276BC4">
        <w:rPr>
          <w:rFonts w:eastAsia="Calibri"/>
          <w:sz w:val="26"/>
          <w:szCs w:val="26"/>
          <w:lang w:eastAsia="en-US"/>
        </w:rPr>
        <w:t>Con un crecimiento global moderado, la economía mundial sigue enfrentándose a una serie de retos significativos. Por ejemplo, en una serie de economías avanzadas persiste lo que he denominado el escenario “doble bajo, doble alto”; es decir, el riesgo de una baja tasa de crecimiento y un bajo nivel de inflación combinados con alto endeudamiento y alto desempleo.</w:t>
      </w:r>
    </w:p>
    <w:p w14:paraId="557763C2" w14:textId="77777777" w:rsidR="00276BC4" w:rsidRPr="00276BC4" w:rsidRDefault="00276BC4" w:rsidP="00276BC4">
      <w:pPr>
        <w:spacing w:after="360" w:line="360" w:lineRule="auto"/>
        <w:ind w:right="-159"/>
        <w:jc w:val="both"/>
        <w:rPr>
          <w:rFonts w:eastAsia="Calibri"/>
          <w:sz w:val="26"/>
          <w:szCs w:val="26"/>
          <w:lang w:eastAsia="en-US"/>
        </w:rPr>
      </w:pPr>
      <w:r w:rsidRPr="00276BC4">
        <w:rPr>
          <w:rFonts w:eastAsia="Calibri"/>
          <w:sz w:val="26"/>
          <w:szCs w:val="26"/>
          <w:lang w:eastAsia="en-US"/>
        </w:rPr>
        <w:t>No cabe duda de que es necesario emplear todos los instrumentos y el margen de maniobra de política, empezando por apuntalar la demanda.</w:t>
      </w:r>
    </w:p>
    <w:p w14:paraId="603AF06D" w14:textId="77777777" w:rsidR="00276BC4" w:rsidRPr="00276BC4" w:rsidRDefault="00276BC4" w:rsidP="00276BC4">
      <w:pPr>
        <w:spacing w:after="360" w:line="360" w:lineRule="auto"/>
        <w:ind w:right="-159"/>
        <w:jc w:val="both"/>
        <w:rPr>
          <w:rFonts w:eastAsia="Calibri"/>
          <w:sz w:val="26"/>
          <w:szCs w:val="26"/>
          <w:lang w:eastAsia="en-US"/>
        </w:rPr>
      </w:pPr>
      <w:r w:rsidRPr="00276BC4">
        <w:rPr>
          <w:rFonts w:eastAsia="Calibri"/>
          <w:sz w:val="26"/>
          <w:szCs w:val="26"/>
          <w:lang w:eastAsia="en-US"/>
        </w:rPr>
        <w:t>Es necesario mantener la orientación acomodaticia de la política monetaria, especialmente en la zona del euro y Japón. También es necesario calibrar la política fiscal en función del vigor de la recuperación, sin perder de vista la sostenibilidad de la deuda a mediano plazo.</w:t>
      </w:r>
    </w:p>
    <w:p w14:paraId="50267577" w14:textId="77777777" w:rsidR="00276BC4" w:rsidRPr="00276BC4" w:rsidRDefault="00276BC4" w:rsidP="00276BC4">
      <w:pPr>
        <w:spacing w:after="360" w:line="360" w:lineRule="auto"/>
        <w:ind w:right="-159"/>
        <w:jc w:val="both"/>
        <w:rPr>
          <w:rFonts w:eastAsia="Calibri"/>
          <w:sz w:val="26"/>
          <w:szCs w:val="26"/>
          <w:lang w:eastAsia="en-US"/>
        </w:rPr>
      </w:pPr>
      <w:r w:rsidRPr="00276BC4">
        <w:rPr>
          <w:rFonts w:eastAsia="Calibri"/>
          <w:sz w:val="26"/>
          <w:szCs w:val="26"/>
          <w:lang w:eastAsia="en-US"/>
        </w:rPr>
        <w:t>Asimismo, las políticas de respaldo a la demanda podrían ser más eficaces. Por ejemplo:</w:t>
      </w:r>
    </w:p>
    <w:p w14:paraId="6E753756" w14:textId="77777777" w:rsidR="00276BC4" w:rsidRPr="00276BC4" w:rsidRDefault="00276BC4" w:rsidP="002D3902">
      <w:pPr>
        <w:numPr>
          <w:ilvl w:val="0"/>
          <w:numId w:val="109"/>
        </w:numPr>
        <w:spacing w:after="360" w:line="360" w:lineRule="auto"/>
        <w:ind w:left="714" w:right="-159" w:hanging="357"/>
        <w:jc w:val="both"/>
        <w:rPr>
          <w:rFonts w:eastAsia="Calibri"/>
          <w:sz w:val="26"/>
          <w:szCs w:val="26"/>
          <w:lang w:eastAsia="en-US"/>
        </w:rPr>
      </w:pPr>
      <w:r w:rsidRPr="00276BC4">
        <w:rPr>
          <w:rFonts w:eastAsia="Calibri"/>
          <w:sz w:val="26"/>
          <w:szCs w:val="26"/>
          <w:lang w:eastAsia="en-US"/>
        </w:rPr>
        <w:lastRenderedPageBreak/>
        <w:t>Desatascando los canales a través de los cuales funcionan la distensión monetaria y la política fiscal en la zona del euro. Es crucial contar con regímenes de insolvencia eficaces para corregir el sobreendeudamiento privado y lidiar con la masa total de 900 mil millones de euros de préstamos en mora que está obstruyendo los canales de crédito.</w:t>
      </w:r>
    </w:p>
    <w:p w14:paraId="21D8C7AB" w14:textId="77777777" w:rsidR="00276BC4" w:rsidRPr="00276BC4" w:rsidRDefault="00276BC4" w:rsidP="002D3902">
      <w:pPr>
        <w:numPr>
          <w:ilvl w:val="0"/>
          <w:numId w:val="109"/>
        </w:numPr>
        <w:spacing w:after="360" w:line="360" w:lineRule="auto"/>
        <w:ind w:left="714" w:right="-159" w:hanging="357"/>
        <w:jc w:val="both"/>
        <w:rPr>
          <w:rFonts w:eastAsia="Calibri"/>
          <w:sz w:val="26"/>
          <w:szCs w:val="26"/>
          <w:lang w:eastAsia="en-US"/>
        </w:rPr>
      </w:pPr>
      <w:r w:rsidRPr="00276BC4">
        <w:rPr>
          <w:rFonts w:eastAsia="Calibri"/>
          <w:sz w:val="26"/>
          <w:szCs w:val="26"/>
          <w:lang w:eastAsia="en-US"/>
        </w:rPr>
        <w:t>En Japón, las autoridades deben sustentar el ímpetu de la segunda y la tercera “flechas” —a saber, la consolidación fiscal y las reformas estructurales— para que la primera flecha —la distensión monetaria— pueda surtir el efecto deseado de estimular la inflación y el crecimiento.</w:t>
      </w:r>
    </w:p>
    <w:p w14:paraId="1470B47B" w14:textId="77777777" w:rsidR="00276BC4" w:rsidRPr="00276BC4" w:rsidRDefault="00276BC4" w:rsidP="00917B87">
      <w:pPr>
        <w:numPr>
          <w:ilvl w:val="0"/>
          <w:numId w:val="109"/>
        </w:numPr>
        <w:spacing w:after="360" w:line="360" w:lineRule="auto"/>
        <w:ind w:left="714" w:right="-159" w:hanging="357"/>
        <w:jc w:val="both"/>
        <w:rPr>
          <w:rFonts w:eastAsia="Calibri"/>
          <w:sz w:val="26"/>
          <w:szCs w:val="26"/>
          <w:lang w:eastAsia="en-US"/>
        </w:rPr>
      </w:pPr>
      <w:r w:rsidRPr="00276BC4">
        <w:rPr>
          <w:rFonts w:eastAsia="Calibri"/>
          <w:sz w:val="26"/>
          <w:szCs w:val="26"/>
          <w:lang w:eastAsia="en-US"/>
        </w:rPr>
        <w:t>Al recortar los subsidios energéticos aprovechando la caída de los precios del petróleo, las economías emergentes y en desarrollo importadoras de petróleo podrían ahorrar, en promedio, un 1% del PIB en 2015, y reasignar esos recursos a inversiones propicias para el crecimiento; por ejemplo, en infraestructura, educación y salud.</w:t>
      </w:r>
    </w:p>
    <w:p w14:paraId="42C87F7E" w14:textId="77777777" w:rsidR="00276BC4" w:rsidRPr="00276BC4" w:rsidRDefault="00276BC4" w:rsidP="00276BC4">
      <w:pPr>
        <w:spacing w:after="360" w:line="360" w:lineRule="auto"/>
        <w:ind w:right="-159"/>
        <w:jc w:val="both"/>
        <w:rPr>
          <w:rFonts w:eastAsia="Calibri"/>
          <w:sz w:val="26"/>
          <w:szCs w:val="26"/>
          <w:lang w:eastAsia="en-US"/>
        </w:rPr>
      </w:pPr>
      <w:r w:rsidRPr="00276BC4">
        <w:rPr>
          <w:rFonts w:eastAsia="Calibri"/>
          <w:sz w:val="26"/>
          <w:szCs w:val="26"/>
          <w:lang w:eastAsia="en-US"/>
        </w:rPr>
        <w:t>Estas son algunas de las dimensiones macroeconómicas. Pasemos ahora a las que tienen que ver con la estabilidad financiera.</w:t>
      </w:r>
    </w:p>
    <w:p w14:paraId="20CFD014" w14:textId="77777777" w:rsidR="00276BC4" w:rsidRPr="00276BC4" w:rsidRDefault="00276BC4" w:rsidP="00276BC4">
      <w:pPr>
        <w:spacing w:after="360" w:line="360" w:lineRule="auto"/>
        <w:ind w:right="-159"/>
        <w:jc w:val="both"/>
        <w:rPr>
          <w:rFonts w:eastAsia="Calibri"/>
          <w:sz w:val="26"/>
          <w:szCs w:val="26"/>
          <w:lang w:eastAsia="en-US"/>
        </w:rPr>
      </w:pPr>
      <w:r w:rsidRPr="00276BC4">
        <w:rPr>
          <w:rFonts w:eastAsia="Calibri"/>
          <w:sz w:val="26"/>
          <w:szCs w:val="26"/>
          <w:lang w:eastAsia="en-US"/>
        </w:rPr>
        <w:t>En pocas palabras, los riesgos para la estabilidad financiera mundial se están agudizando. Un entorno de crecimiento caracterizado por la “nueva mediocridad” no es favorable para la estabilidad financiera.</w:t>
      </w:r>
    </w:p>
    <w:p w14:paraId="5F6E57CB" w14:textId="77777777" w:rsidR="00276BC4" w:rsidRPr="00276BC4" w:rsidRDefault="00276BC4" w:rsidP="00276BC4">
      <w:pPr>
        <w:spacing w:after="360" w:line="360" w:lineRule="auto"/>
        <w:ind w:right="-159"/>
        <w:jc w:val="both"/>
        <w:rPr>
          <w:rFonts w:eastAsia="Calibri"/>
          <w:sz w:val="26"/>
          <w:szCs w:val="26"/>
          <w:lang w:eastAsia="en-US"/>
        </w:rPr>
      </w:pPr>
      <w:r w:rsidRPr="00276BC4">
        <w:rPr>
          <w:rFonts w:eastAsia="Calibri"/>
          <w:sz w:val="26"/>
          <w:szCs w:val="26"/>
          <w:lang w:eastAsia="en-US"/>
        </w:rPr>
        <w:t>Los riesgos financieros pueden haber disminuido en algunos ámbitos, pero en otros también se han desplazado; por ejemplo, del sector bancario al no bancario, y de las economías avanzadas a los mercados emergentes.</w:t>
      </w:r>
    </w:p>
    <w:p w14:paraId="272B005B" w14:textId="77777777" w:rsidR="00276BC4" w:rsidRPr="00276BC4" w:rsidRDefault="00276BC4" w:rsidP="00276BC4">
      <w:pPr>
        <w:spacing w:after="360" w:line="360" w:lineRule="auto"/>
        <w:ind w:right="-159"/>
        <w:jc w:val="both"/>
        <w:rPr>
          <w:rFonts w:eastAsia="Calibri"/>
          <w:sz w:val="26"/>
          <w:szCs w:val="26"/>
          <w:lang w:eastAsia="en-US"/>
        </w:rPr>
      </w:pPr>
      <w:r w:rsidRPr="00276BC4">
        <w:rPr>
          <w:rFonts w:eastAsia="Calibri"/>
          <w:sz w:val="26"/>
          <w:szCs w:val="26"/>
          <w:lang w:eastAsia="en-US"/>
        </w:rPr>
        <w:t xml:space="preserve">Pensemos en los efectos colaterales negativos de las tasas de interés muy bajas —o incluso negativas— derivadas de las políticas monetarias acomodaticias que fue </w:t>
      </w:r>
      <w:r w:rsidRPr="00276BC4">
        <w:rPr>
          <w:rFonts w:eastAsia="Calibri"/>
          <w:sz w:val="26"/>
          <w:szCs w:val="26"/>
          <w:lang w:eastAsia="en-US"/>
        </w:rPr>
        <w:lastRenderedPageBreak/>
        <w:t>necesario adoptar. Estas tasas promueven una mayor tolerancia al riesgo entre los inversionistas, lo cual puede conducir a sobrevaluaciones. Y si las tasas de interés se mantienen bajas, pueden crear problemas de solvencia para las empresas de seguros de vida y los fondos de pensiones de prestaciones definidas.</w:t>
      </w:r>
    </w:p>
    <w:p w14:paraId="37B97555" w14:textId="77777777" w:rsidR="00276BC4" w:rsidRPr="00276BC4" w:rsidRDefault="00276BC4" w:rsidP="00276BC4">
      <w:pPr>
        <w:spacing w:after="360" w:line="360" w:lineRule="auto"/>
        <w:ind w:right="-159"/>
        <w:jc w:val="both"/>
        <w:rPr>
          <w:rFonts w:eastAsia="Calibri"/>
          <w:sz w:val="26"/>
          <w:szCs w:val="26"/>
          <w:lang w:eastAsia="en-US"/>
        </w:rPr>
      </w:pPr>
      <w:r w:rsidRPr="00276BC4">
        <w:rPr>
          <w:rFonts w:eastAsia="Calibri"/>
          <w:sz w:val="26"/>
          <w:szCs w:val="26"/>
          <w:lang w:eastAsia="en-US"/>
        </w:rPr>
        <w:t>O pensemos en las amplias fluctuaciones de los tipos de cambio ocurridas en los últimos tiempos. En los últimos seis meses, el dólar de Estados Unidos de Norteamérica se apreció 12% en términos reales frente a una cesta de importantes monedas.</w:t>
      </w:r>
    </w:p>
    <w:p w14:paraId="60D70249" w14:textId="77777777" w:rsidR="00276BC4" w:rsidRPr="00276BC4" w:rsidRDefault="00276BC4" w:rsidP="00276BC4">
      <w:pPr>
        <w:spacing w:after="360" w:line="360" w:lineRule="auto"/>
        <w:ind w:right="-159"/>
        <w:jc w:val="both"/>
        <w:rPr>
          <w:rFonts w:eastAsia="Calibri"/>
          <w:sz w:val="26"/>
          <w:szCs w:val="26"/>
          <w:lang w:eastAsia="en-US"/>
        </w:rPr>
      </w:pPr>
      <w:r w:rsidRPr="00276BC4">
        <w:rPr>
          <w:rFonts w:eastAsia="Calibri"/>
          <w:sz w:val="26"/>
          <w:szCs w:val="26"/>
          <w:lang w:eastAsia="en-US"/>
        </w:rPr>
        <w:t>Naturalmente, algunos países en condiciones macroeconómicas más difíciles y con un margen de acción más limitado en términos de política económica se beneficiaron de la relativa depreciación de la moneda. En otros, que tienen elevados volúmenes de deuda denominada en moneda extranjera, estas fuertes fluctuaciones pueden ser desestabilizantes. Ese es el caso especialmente de las empresas de economías de mercados emergentes que se encuentran atrapadas entre un dólar de Estados Unidos de Norteamérica fuerte, la caída de los precios de las materias primas y el encarecimiento de la deuda, y que posiblemente no hayan tomado recaudos para protegerse.</w:t>
      </w:r>
    </w:p>
    <w:p w14:paraId="337FA481" w14:textId="77777777" w:rsidR="00276BC4" w:rsidRPr="00276BC4" w:rsidRDefault="00276BC4" w:rsidP="00276BC4">
      <w:pPr>
        <w:spacing w:after="360" w:line="360" w:lineRule="auto"/>
        <w:ind w:right="-159"/>
        <w:jc w:val="both"/>
        <w:rPr>
          <w:rFonts w:eastAsia="Calibri"/>
          <w:sz w:val="26"/>
          <w:szCs w:val="26"/>
          <w:lang w:eastAsia="en-US"/>
        </w:rPr>
      </w:pPr>
      <w:r w:rsidRPr="00276BC4">
        <w:rPr>
          <w:rFonts w:eastAsia="Calibri"/>
          <w:sz w:val="26"/>
          <w:szCs w:val="26"/>
          <w:lang w:eastAsia="en-US"/>
        </w:rPr>
        <w:t>Estos riesgos quizá sean manejables individualmente, pero también tenemos que lidiar con una disminución estructural de la liquidez del mercado. Esto se debe, más que nada, a la reciente reestructuración de la industria de la gestión de activos en las economías avanzadas, que ha creado un descalce de vencimientos entre activos y pasivos. La consecuencia es que la liquidez puede evaporarse rápidamente si se produce un éxodo masivo, lo que podría generar trastornos cuando, por ejemplo, la Reserva Federal comience a subir las tasas a corto plazo.</w:t>
      </w:r>
    </w:p>
    <w:p w14:paraId="42D6B79D" w14:textId="77777777" w:rsidR="00276BC4" w:rsidRPr="00276BC4" w:rsidRDefault="00276BC4" w:rsidP="00276BC4">
      <w:pPr>
        <w:spacing w:after="360" w:line="360" w:lineRule="auto"/>
        <w:ind w:right="-159"/>
        <w:jc w:val="both"/>
        <w:rPr>
          <w:rFonts w:eastAsia="Calibri"/>
          <w:sz w:val="26"/>
          <w:szCs w:val="26"/>
          <w:lang w:eastAsia="en-US"/>
        </w:rPr>
      </w:pPr>
      <w:r w:rsidRPr="00276BC4">
        <w:rPr>
          <w:rFonts w:eastAsia="Calibri"/>
          <w:sz w:val="26"/>
          <w:szCs w:val="26"/>
          <w:lang w:eastAsia="en-US"/>
        </w:rPr>
        <w:t>Esta nueva configuración de riesgos financieros pone de relieve la importancia de afianzar las políticas financieras:</w:t>
      </w:r>
    </w:p>
    <w:p w14:paraId="424ED834" w14:textId="77777777" w:rsidR="00276BC4" w:rsidRPr="00276BC4" w:rsidRDefault="00276BC4" w:rsidP="002D3902">
      <w:pPr>
        <w:numPr>
          <w:ilvl w:val="0"/>
          <w:numId w:val="110"/>
        </w:numPr>
        <w:spacing w:after="360" w:line="360" w:lineRule="auto"/>
        <w:ind w:left="714" w:right="-159" w:hanging="357"/>
        <w:jc w:val="both"/>
        <w:rPr>
          <w:rFonts w:eastAsia="Calibri"/>
          <w:sz w:val="26"/>
          <w:szCs w:val="26"/>
          <w:lang w:eastAsia="en-US"/>
        </w:rPr>
      </w:pPr>
      <w:r w:rsidRPr="00276BC4">
        <w:rPr>
          <w:rFonts w:eastAsia="Calibri"/>
          <w:sz w:val="26"/>
          <w:szCs w:val="26"/>
          <w:lang w:eastAsia="en-US"/>
        </w:rPr>
        <w:lastRenderedPageBreak/>
        <w:t>A nivel mundial, significa garantizar la liquidez del mercado en momentos de tensión, mejorando las políticas macro y microprudenciales del sector no bancario y poniendo en práctica el programa de reforma regulatoria, especialmente de las instituciones demasiado grandes para quebrar.</w:t>
      </w:r>
    </w:p>
    <w:p w14:paraId="65C91862" w14:textId="77777777" w:rsidR="00276BC4" w:rsidRPr="00276BC4" w:rsidRDefault="00276BC4" w:rsidP="002D3902">
      <w:pPr>
        <w:numPr>
          <w:ilvl w:val="0"/>
          <w:numId w:val="110"/>
        </w:numPr>
        <w:spacing w:after="360" w:line="360" w:lineRule="auto"/>
        <w:ind w:left="714" w:right="-159" w:hanging="357"/>
        <w:jc w:val="both"/>
        <w:rPr>
          <w:rFonts w:eastAsia="Calibri"/>
          <w:sz w:val="26"/>
          <w:szCs w:val="26"/>
          <w:lang w:eastAsia="en-US"/>
        </w:rPr>
      </w:pPr>
      <w:r w:rsidRPr="00276BC4">
        <w:rPr>
          <w:rFonts w:eastAsia="Calibri"/>
          <w:sz w:val="26"/>
          <w:szCs w:val="26"/>
          <w:lang w:eastAsia="en-US"/>
        </w:rPr>
        <w:t xml:space="preserve">Y a nivel de país significa restringir la asunción excesiva de riesgos y manejar las vulnerabilidades que ya existen. </w:t>
      </w:r>
    </w:p>
    <w:p w14:paraId="6EB94B1B" w14:textId="77777777" w:rsidR="00276BC4" w:rsidRPr="00276BC4" w:rsidRDefault="00276BC4" w:rsidP="00276BC4">
      <w:pPr>
        <w:spacing w:after="360" w:line="360" w:lineRule="auto"/>
        <w:ind w:right="-159"/>
        <w:jc w:val="both"/>
        <w:rPr>
          <w:rFonts w:eastAsia="Calibri"/>
          <w:sz w:val="26"/>
          <w:szCs w:val="26"/>
          <w:lang w:eastAsia="en-US"/>
        </w:rPr>
      </w:pPr>
      <w:r w:rsidRPr="00276BC4">
        <w:rPr>
          <w:rFonts w:eastAsia="Calibri"/>
          <w:sz w:val="26"/>
          <w:szCs w:val="26"/>
          <w:lang w:eastAsia="en-US"/>
        </w:rPr>
        <w:t>Nuevamente, si bien la lista de medidas adecuadas debe adaptarse a cada país, este conjunto general de políticas puede ayudarnos a promover el crecimiento hoy.</w:t>
      </w:r>
    </w:p>
    <w:p w14:paraId="55832D0A" w14:textId="77777777" w:rsidR="00276BC4" w:rsidRPr="00276BC4" w:rsidRDefault="00276BC4" w:rsidP="00276BC4">
      <w:pPr>
        <w:spacing w:after="360" w:line="360" w:lineRule="auto"/>
        <w:ind w:right="-159"/>
        <w:jc w:val="both"/>
        <w:rPr>
          <w:rFonts w:eastAsia="Calibri"/>
          <w:sz w:val="26"/>
          <w:szCs w:val="26"/>
          <w:lang w:eastAsia="en-US"/>
        </w:rPr>
      </w:pPr>
      <w:r w:rsidRPr="00276BC4">
        <w:rPr>
          <w:rFonts w:eastAsia="Calibri"/>
          <w:sz w:val="26"/>
          <w:szCs w:val="26"/>
          <w:lang w:eastAsia="en-US"/>
        </w:rPr>
        <w:t>¿Qué decir del crecimiento de mañana?</w:t>
      </w:r>
    </w:p>
    <w:p w14:paraId="2463B792" w14:textId="77777777" w:rsidR="00276BC4" w:rsidRPr="00276BC4" w:rsidRDefault="00276BC4" w:rsidP="00276BC4">
      <w:pPr>
        <w:spacing w:after="360" w:line="360" w:lineRule="auto"/>
        <w:ind w:right="-159"/>
        <w:jc w:val="both"/>
        <w:rPr>
          <w:rFonts w:eastAsia="Calibri"/>
          <w:b/>
          <w:sz w:val="26"/>
          <w:szCs w:val="26"/>
          <w:lang w:eastAsia="en-US"/>
        </w:rPr>
      </w:pPr>
      <w:r w:rsidRPr="00276BC4">
        <w:rPr>
          <w:rFonts w:eastAsia="Calibri"/>
          <w:b/>
          <w:sz w:val="26"/>
          <w:szCs w:val="26"/>
          <w:lang w:eastAsia="en-US"/>
        </w:rPr>
        <w:t>2. Promover el crecimiento mañana</w:t>
      </w:r>
    </w:p>
    <w:p w14:paraId="208614D6" w14:textId="203AD0C8" w:rsidR="00276BC4" w:rsidRPr="00276BC4" w:rsidRDefault="001569A0" w:rsidP="00276BC4">
      <w:pPr>
        <w:spacing w:after="360" w:line="360" w:lineRule="auto"/>
        <w:ind w:right="-159"/>
        <w:jc w:val="both"/>
        <w:rPr>
          <w:rFonts w:eastAsia="Calibri"/>
          <w:sz w:val="26"/>
          <w:szCs w:val="26"/>
          <w:lang w:eastAsia="en-US"/>
        </w:rPr>
      </w:pPr>
      <w:r>
        <w:rPr>
          <w:rFonts w:eastAsia="Calibri"/>
          <w:sz w:val="26"/>
          <w:szCs w:val="26"/>
          <w:lang w:eastAsia="en-US"/>
        </w:rPr>
        <w:t>É</w:t>
      </w:r>
      <w:r w:rsidR="00276BC4" w:rsidRPr="00276BC4">
        <w:rPr>
          <w:rFonts w:eastAsia="Calibri"/>
          <w:sz w:val="26"/>
          <w:szCs w:val="26"/>
          <w:lang w:eastAsia="en-US"/>
        </w:rPr>
        <w:t>sta es la gran cuestión: mientras el crecimiento actual sea moderado, también lo serán las perspectivas a mediano plazo.</w:t>
      </w:r>
    </w:p>
    <w:p w14:paraId="52DA2371" w14:textId="77777777" w:rsidR="00276BC4" w:rsidRPr="00276BC4" w:rsidRDefault="00276BC4" w:rsidP="00276BC4">
      <w:pPr>
        <w:spacing w:after="360" w:line="360" w:lineRule="auto"/>
        <w:ind w:right="-159"/>
        <w:jc w:val="both"/>
        <w:rPr>
          <w:rFonts w:eastAsia="Calibri"/>
          <w:sz w:val="26"/>
          <w:szCs w:val="26"/>
          <w:lang w:eastAsia="en-US"/>
        </w:rPr>
      </w:pPr>
      <w:r w:rsidRPr="00276BC4">
        <w:rPr>
          <w:rFonts w:eastAsia="Calibri"/>
          <w:sz w:val="26"/>
          <w:szCs w:val="26"/>
          <w:lang w:eastAsia="en-US"/>
        </w:rPr>
        <w:t>Tanto en las economías avanzadas como en las de mercados emergentes, el crecimiento potencial está siendo revisado a la baja. Esto se debe en gran medida a las duraderas secuelas de la crisis financiera, pero también a los fenómenos subyacentes de los cambios demográficos y la menor productividad.</w:t>
      </w:r>
    </w:p>
    <w:p w14:paraId="158E8DC1" w14:textId="77777777" w:rsidR="00276BC4" w:rsidRPr="00276BC4" w:rsidRDefault="00276BC4" w:rsidP="00276BC4">
      <w:pPr>
        <w:spacing w:after="360" w:line="360" w:lineRule="auto"/>
        <w:ind w:right="-159"/>
        <w:jc w:val="both"/>
        <w:rPr>
          <w:rFonts w:eastAsia="Calibri"/>
          <w:sz w:val="26"/>
          <w:szCs w:val="26"/>
          <w:lang w:eastAsia="en-US"/>
        </w:rPr>
      </w:pPr>
      <w:r w:rsidRPr="00276BC4">
        <w:rPr>
          <w:rFonts w:eastAsia="Calibri"/>
          <w:sz w:val="26"/>
          <w:szCs w:val="26"/>
          <w:lang w:eastAsia="en-US"/>
        </w:rPr>
        <w:t>Para evitar que esta “nueva mediocridad” se convierta en una “nueva realidad”, las reformas estructurales tienen que ir de la mano de políticas macroeconómicas y financieras para elevar la confianza y generar inversión. Y la verdad es que en demasiados países estas reformas han estado rezagadas.</w:t>
      </w:r>
    </w:p>
    <w:p w14:paraId="18E0E794" w14:textId="77777777" w:rsidR="00276BC4" w:rsidRPr="00276BC4" w:rsidRDefault="00276BC4" w:rsidP="00276BC4">
      <w:pPr>
        <w:spacing w:after="360" w:line="360" w:lineRule="auto"/>
        <w:ind w:right="-159"/>
        <w:jc w:val="both"/>
        <w:rPr>
          <w:rFonts w:eastAsia="Calibri"/>
          <w:sz w:val="26"/>
          <w:szCs w:val="26"/>
          <w:lang w:eastAsia="en-US"/>
        </w:rPr>
      </w:pPr>
      <w:r w:rsidRPr="00276BC4">
        <w:rPr>
          <w:rFonts w:eastAsia="Calibri"/>
          <w:sz w:val="26"/>
          <w:szCs w:val="26"/>
          <w:lang w:eastAsia="en-US"/>
        </w:rPr>
        <w:lastRenderedPageBreak/>
        <w:t>Las reformas estructurales abarcan una amplia gama de políticas; algunas reformas tienen un efecto más inmediato en la demanda, otras inciden en el lado de la oferta y demoran más en dar fruto.</w:t>
      </w:r>
    </w:p>
    <w:p w14:paraId="0720D0AA" w14:textId="77777777" w:rsidR="00276BC4" w:rsidRPr="00276BC4" w:rsidRDefault="00276BC4" w:rsidP="00276BC4">
      <w:pPr>
        <w:spacing w:after="360" w:line="360" w:lineRule="auto"/>
        <w:ind w:right="-159"/>
        <w:jc w:val="both"/>
        <w:rPr>
          <w:rFonts w:eastAsia="Calibri"/>
          <w:sz w:val="26"/>
          <w:szCs w:val="26"/>
          <w:lang w:eastAsia="en-US"/>
        </w:rPr>
      </w:pPr>
      <w:r w:rsidRPr="00276BC4">
        <w:rPr>
          <w:rFonts w:eastAsia="Calibri"/>
          <w:sz w:val="26"/>
          <w:szCs w:val="26"/>
          <w:lang w:eastAsia="en-US"/>
        </w:rPr>
        <w:t>Hay un conjunto de reformas que se sitúan en el punto de intersección de la demanda y la oferta: la inversión en infraestructura. Nuestros estudios demuestran que al promover la inversión eficiente en infraestructura se puede transmitir un fuerte ímpetu al crecimiento tanto a corto como a largo plazo.</w:t>
      </w:r>
    </w:p>
    <w:p w14:paraId="10F1D091" w14:textId="77777777" w:rsidR="00276BC4" w:rsidRPr="00276BC4" w:rsidRDefault="00276BC4" w:rsidP="00276BC4">
      <w:pPr>
        <w:spacing w:after="360" w:line="360" w:lineRule="auto"/>
        <w:ind w:right="-159"/>
        <w:jc w:val="both"/>
        <w:rPr>
          <w:rFonts w:eastAsia="Calibri"/>
          <w:sz w:val="26"/>
          <w:szCs w:val="26"/>
          <w:lang w:eastAsia="en-US"/>
        </w:rPr>
      </w:pPr>
      <w:r w:rsidRPr="00276BC4">
        <w:rPr>
          <w:rFonts w:eastAsia="Calibri"/>
          <w:sz w:val="26"/>
          <w:szCs w:val="26"/>
          <w:lang w:eastAsia="en-US"/>
        </w:rPr>
        <w:t>Otras reformas, como las de los mercados de trabajo, productos y servicios, tienden a surtir efecto a lo largo de un horizonte más prolongado. Pero no dejan de ser esenciales para fomentar la productividad y la innovación, factores que a su vez pueden ser poderosos antídotos contra el impacto del envejecimiento de la población.</w:t>
      </w:r>
    </w:p>
    <w:p w14:paraId="27DB171B" w14:textId="77777777" w:rsidR="00276BC4" w:rsidRPr="00276BC4" w:rsidRDefault="00276BC4" w:rsidP="00276BC4">
      <w:pPr>
        <w:spacing w:after="360" w:line="360" w:lineRule="auto"/>
        <w:ind w:right="-159"/>
        <w:jc w:val="both"/>
        <w:rPr>
          <w:rFonts w:eastAsia="Calibri"/>
          <w:sz w:val="26"/>
          <w:szCs w:val="26"/>
          <w:lang w:eastAsia="en-US"/>
        </w:rPr>
      </w:pPr>
      <w:r w:rsidRPr="00276BC4">
        <w:rPr>
          <w:rFonts w:eastAsia="Calibri"/>
          <w:sz w:val="26"/>
          <w:szCs w:val="26"/>
          <w:lang w:eastAsia="en-US"/>
        </w:rPr>
        <w:t>Investigaciones recientes del FMI ponen de relieve las prioridades y las ventajas que se lograrían en los ámbitos de crecimiento de la productividad, participación en la fuerza laboral y comercio.</w:t>
      </w:r>
    </w:p>
    <w:p w14:paraId="1B1224C7" w14:textId="77777777" w:rsidR="00276BC4" w:rsidRPr="00276BC4" w:rsidRDefault="00276BC4" w:rsidP="00276BC4">
      <w:pPr>
        <w:spacing w:after="360" w:line="360" w:lineRule="auto"/>
        <w:ind w:right="-159"/>
        <w:jc w:val="both"/>
        <w:rPr>
          <w:rFonts w:eastAsia="Calibri"/>
          <w:sz w:val="26"/>
          <w:szCs w:val="26"/>
          <w:lang w:eastAsia="en-US"/>
        </w:rPr>
      </w:pPr>
      <w:r w:rsidRPr="00276BC4">
        <w:rPr>
          <w:rFonts w:eastAsia="Calibri"/>
          <w:sz w:val="26"/>
          <w:szCs w:val="26"/>
          <w:lang w:eastAsia="en-US"/>
        </w:rPr>
        <w:t>Por ejemplo, para revertir el descenso del crecimiento de la productividad en las economías avanzadas es necesario reducir las barreras que dificultan la entrada a los mercados de productos y servicios.</w:t>
      </w:r>
    </w:p>
    <w:p w14:paraId="2219A217" w14:textId="77777777" w:rsidR="00276BC4" w:rsidRPr="00276BC4" w:rsidRDefault="00276BC4" w:rsidP="002D3902">
      <w:pPr>
        <w:numPr>
          <w:ilvl w:val="0"/>
          <w:numId w:val="111"/>
        </w:numPr>
        <w:spacing w:after="360" w:line="360" w:lineRule="auto"/>
        <w:ind w:left="714" w:right="-159" w:hanging="357"/>
        <w:jc w:val="both"/>
        <w:rPr>
          <w:rFonts w:eastAsia="Calibri"/>
          <w:sz w:val="26"/>
          <w:szCs w:val="26"/>
          <w:lang w:eastAsia="en-US"/>
        </w:rPr>
      </w:pPr>
      <w:r w:rsidRPr="00276BC4">
        <w:rPr>
          <w:rFonts w:eastAsia="Calibri"/>
          <w:sz w:val="26"/>
          <w:szCs w:val="26"/>
          <w:lang w:eastAsia="en-US"/>
        </w:rPr>
        <w:t>Nuestra investigación demuestra, por ejemplo, que al mejorar la asignación de mano de obra y capital entre los diferentes sectores es posible elevar significativamente la productividad total de los factores.</w:t>
      </w:r>
    </w:p>
    <w:p w14:paraId="4C6BFDE2" w14:textId="77777777" w:rsidR="00276BC4" w:rsidRPr="00276BC4" w:rsidRDefault="00276BC4" w:rsidP="002D3902">
      <w:pPr>
        <w:numPr>
          <w:ilvl w:val="0"/>
          <w:numId w:val="111"/>
        </w:numPr>
        <w:spacing w:after="360" w:line="360" w:lineRule="auto"/>
        <w:ind w:left="714" w:right="-159" w:hanging="357"/>
        <w:jc w:val="both"/>
        <w:rPr>
          <w:rFonts w:eastAsia="Calibri"/>
          <w:sz w:val="26"/>
          <w:szCs w:val="26"/>
          <w:lang w:eastAsia="en-US"/>
        </w:rPr>
      </w:pPr>
      <w:r w:rsidRPr="00276BC4">
        <w:rPr>
          <w:rFonts w:eastAsia="Calibri"/>
          <w:sz w:val="26"/>
          <w:szCs w:val="26"/>
          <w:lang w:eastAsia="en-US"/>
        </w:rPr>
        <w:t>Otro ejemplo está en los posibles beneficios de ampliar el acceso de las pequeñas empresas al financiamiento:</w:t>
      </w:r>
    </w:p>
    <w:p w14:paraId="65F7A369" w14:textId="77777777" w:rsidR="00276BC4" w:rsidRPr="00276BC4" w:rsidRDefault="00276BC4" w:rsidP="00276BC4">
      <w:pPr>
        <w:spacing w:after="360" w:line="360" w:lineRule="auto"/>
        <w:ind w:left="720" w:right="-159"/>
        <w:contextualSpacing/>
        <w:jc w:val="both"/>
        <w:rPr>
          <w:rFonts w:eastAsia="Calibri"/>
          <w:sz w:val="26"/>
          <w:szCs w:val="26"/>
          <w:lang w:eastAsia="en-US"/>
        </w:rPr>
      </w:pPr>
      <w:r w:rsidRPr="00276BC4">
        <w:rPr>
          <w:rFonts w:eastAsia="Calibri"/>
          <w:sz w:val="26"/>
          <w:szCs w:val="26"/>
          <w:lang w:eastAsia="en-US"/>
        </w:rPr>
        <w:lastRenderedPageBreak/>
        <w:t>En Europa, las pequeñas y medianas empresas —que representan casi el 100% de los 20 millones de empresas no financieras, y casi dos terceras partes del empleo— son responsables de una proporción de los préstamos en mora 50% mayor, en promedio, que la proporción que les corresponde a las empresas más grandes. No cabe duda de que situar al sector de la pequeña empresa en una base más firme arrojaría importantes beneficios.</w:t>
      </w:r>
    </w:p>
    <w:p w14:paraId="6844EAF4" w14:textId="77777777" w:rsidR="00276BC4" w:rsidRPr="00276BC4" w:rsidRDefault="00276BC4" w:rsidP="00276BC4">
      <w:pPr>
        <w:spacing w:after="360" w:line="360" w:lineRule="auto"/>
        <w:ind w:left="720" w:right="-159"/>
        <w:jc w:val="both"/>
        <w:rPr>
          <w:rFonts w:eastAsia="Calibri"/>
          <w:sz w:val="26"/>
          <w:szCs w:val="26"/>
          <w:lang w:eastAsia="en-US"/>
        </w:rPr>
      </w:pPr>
      <w:r w:rsidRPr="00276BC4">
        <w:rPr>
          <w:rFonts w:eastAsia="Calibri"/>
          <w:sz w:val="26"/>
          <w:szCs w:val="26"/>
          <w:lang w:eastAsia="en-US"/>
        </w:rPr>
        <w:t>En China, las pequeñas empresas desempeñan un papel crucial en la economía en términos de producto, empleo, ingresos tributarios e innovación. No obstante, el acceso al financiamiento sigue siendo un obstáculo clave, que el gobierno está tratando de resolver.</w:t>
      </w:r>
    </w:p>
    <w:p w14:paraId="36F67D7D" w14:textId="77777777" w:rsidR="00276BC4" w:rsidRPr="00276BC4" w:rsidRDefault="00276BC4" w:rsidP="002D3902">
      <w:pPr>
        <w:numPr>
          <w:ilvl w:val="0"/>
          <w:numId w:val="111"/>
        </w:numPr>
        <w:spacing w:after="360" w:line="360" w:lineRule="auto"/>
        <w:ind w:right="-159"/>
        <w:jc w:val="both"/>
        <w:rPr>
          <w:rFonts w:eastAsia="Calibri"/>
          <w:sz w:val="26"/>
          <w:szCs w:val="26"/>
          <w:lang w:eastAsia="en-US"/>
        </w:rPr>
      </w:pPr>
      <w:r w:rsidRPr="00276BC4">
        <w:rPr>
          <w:rFonts w:eastAsia="Calibri"/>
          <w:sz w:val="26"/>
          <w:szCs w:val="26"/>
          <w:lang w:eastAsia="en-US"/>
        </w:rPr>
        <w:t>Las economías de mercados emergentes como Indonesia y Rusia pueden conseguir aumentos de la productividad flexibilizando los límites de la inversión y mejorando el clima de negocios. En otros países, como Brasil, India y Sudáfrica, la atención ha de centrarse en reformas de la educación y los mercados de trabajo y productos.</w:t>
      </w:r>
    </w:p>
    <w:p w14:paraId="2938FF00" w14:textId="77777777" w:rsidR="00276BC4" w:rsidRPr="00276BC4" w:rsidRDefault="00276BC4" w:rsidP="001E7CBA">
      <w:pPr>
        <w:numPr>
          <w:ilvl w:val="0"/>
          <w:numId w:val="111"/>
        </w:numPr>
        <w:spacing w:after="360" w:line="360" w:lineRule="auto"/>
        <w:ind w:left="714" w:right="-159" w:hanging="357"/>
        <w:jc w:val="both"/>
        <w:rPr>
          <w:rFonts w:eastAsia="Calibri"/>
          <w:sz w:val="26"/>
          <w:szCs w:val="26"/>
          <w:lang w:eastAsia="en-US"/>
        </w:rPr>
      </w:pPr>
      <w:r w:rsidRPr="00276BC4">
        <w:rPr>
          <w:rFonts w:eastAsia="Calibri"/>
          <w:sz w:val="26"/>
          <w:szCs w:val="26"/>
          <w:lang w:eastAsia="en-US"/>
        </w:rPr>
        <w:t>Y en los países de bajo ingreso, Oriente Medio y Asia Central, las mejoras en los ámbitos de la gestión de gobierno y la inclusión financiera ayudarán a sentar las bases para un sector privado pujante.</w:t>
      </w:r>
    </w:p>
    <w:p w14:paraId="0A9B6DA2" w14:textId="77777777" w:rsidR="00276BC4" w:rsidRPr="00276BC4" w:rsidRDefault="00276BC4" w:rsidP="00276BC4">
      <w:pPr>
        <w:spacing w:after="360" w:line="360" w:lineRule="auto"/>
        <w:ind w:right="-159"/>
        <w:jc w:val="both"/>
        <w:rPr>
          <w:rFonts w:eastAsia="Calibri"/>
          <w:sz w:val="26"/>
          <w:szCs w:val="26"/>
          <w:lang w:eastAsia="en-US"/>
        </w:rPr>
      </w:pPr>
      <w:r w:rsidRPr="00276BC4">
        <w:rPr>
          <w:rFonts w:eastAsia="Calibri"/>
          <w:sz w:val="26"/>
          <w:szCs w:val="26"/>
          <w:lang w:eastAsia="en-US"/>
        </w:rPr>
        <w:t>Otro importante conjunto de medidas es necesario para eliminar barreras a la participación en la fuerza laboral, que es crucial para combatir la desigualdad y garantizar un crecimiento de amplia base. Por ejemplo:</w:t>
      </w:r>
    </w:p>
    <w:p w14:paraId="07C99009" w14:textId="77777777" w:rsidR="00276BC4" w:rsidRPr="00276BC4" w:rsidRDefault="00276BC4" w:rsidP="002D3902">
      <w:pPr>
        <w:numPr>
          <w:ilvl w:val="0"/>
          <w:numId w:val="112"/>
        </w:numPr>
        <w:spacing w:after="360" w:line="360" w:lineRule="auto"/>
        <w:ind w:left="714" w:right="-159" w:hanging="357"/>
        <w:jc w:val="both"/>
        <w:rPr>
          <w:rFonts w:eastAsia="Calibri"/>
          <w:sz w:val="26"/>
          <w:szCs w:val="26"/>
          <w:lang w:eastAsia="en-US"/>
        </w:rPr>
      </w:pPr>
      <w:r w:rsidRPr="00276BC4">
        <w:rPr>
          <w:rFonts w:eastAsia="Calibri"/>
          <w:sz w:val="26"/>
          <w:szCs w:val="26"/>
          <w:lang w:eastAsia="en-US"/>
        </w:rPr>
        <w:t>En Japón y la zona del euro aún existen demasiados desincentivos tributarios.</w:t>
      </w:r>
    </w:p>
    <w:p w14:paraId="5AA754E0" w14:textId="77777777" w:rsidR="00276BC4" w:rsidRPr="00276BC4" w:rsidRDefault="00276BC4" w:rsidP="002D3902">
      <w:pPr>
        <w:numPr>
          <w:ilvl w:val="0"/>
          <w:numId w:val="112"/>
        </w:numPr>
        <w:spacing w:after="360" w:line="360" w:lineRule="auto"/>
        <w:ind w:left="714" w:right="-159" w:hanging="357"/>
        <w:jc w:val="both"/>
        <w:rPr>
          <w:rFonts w:eastAsia="Calibri"/>
          <w:sz w:val="26"/>
          <w:szCs w:val="26"/>
          <w:lang w:eastAsia="en-US"/>
        </w:rPr>
      </w:pPr>
      <w:r w:rsidRPr="00276BC4">
        <w:rPr>
          <w:rFonts w:eastAsia="Calibri"/>
          <w:sz w:val="26"/>
          <w:szCs w:val="26"/>
          <w:lang w:eastAsia="en-US"/>
        </w:rPr>
        <w:t>En demasiados países persisten desigualdades jurídicas, que en particular crean obstáculos a una mayor participación de la mujer en la economía.</w:t>
      </w:r>
    </w:p>
    <w:p w14:paraId="60700AA3" w14:textId="77777777" w:rsidR="00276BC4" w:rsidRPr="00276BC4" w:rsidRDefault="00276BC4" w:rsidP="002D3902">
      <w:pPr>
        <w:numPr>
          <w:ilvl w:val="0"/>
          <w:numId w:val="112"/>
        </w:numPr>
        <w:spacing w:after="360" w:line="360" w:lineRule="auto"/>
        <w:ind w:left="714" w:right="-159" w:hanging="357"/>
        <w:jc w:val="both"/>
        <w:rPr>
          <w:rFonts w:eastAsia="Calibri"/>
          <w:sz w:val="26"/>
          <w:szCs w:val="26"/>
          <w:lang w:eastAsia="en-US"/>
        </w:rPr>
      </w:pPr>
      <w:r w:rsidRPr="00276BC4">
        <w:rPr>
          <w:rFonts w:eastAsia="Calibri"/>
          <w:sz w:val="26"/>
          <w:szCs w:val="26"/>
          <w:lang w:eastAsia="en-US"/>
        </w:rPr>
        <w:lastRenderedPageBreak/>
        <w:t>Se estima que la reducción de la brecha de género en un 25% durante el próximo decenio, una de las metas clave de la estrategia de crecimiento del G-20, generaría unos 100 millones de empleos adicionales de aquí a 2025. Esto imprimiría un enorme estímulo al crecimiento y también a la reducción de la pobreza y la desigualdad.</w:t>
      </w:r>
    </w:p>
    <w:p w14:paraId="4554F352" w14:textId="77777777" w:rsidR="00276BC4" w:rsidRPr="00276BC4" w:rsidRDefault="00276BC4" w:rsidP="00276BC4">
      <w:pPr>
        <w:spacing w:after="360" w:line="360" w:lineRule="auto"/>
        <w:ind w:right="-159"/>
        <w:jc w:val="both"/>
        <w:rPr>
          <w:rFonts w:eastAsia="Calibri"/>
          <w:sz w:val="26"/>
          <w:szCs w:val="26"/>
          <w:lang w:eastAsia="en-US"/>
        </w:rPr>
      </w:pPr>
      <w:r w:rsidRPr="00276BC4">
        <w:rPr>
          <w:rFonts w:eastAsia="Calibri"/>
          <w:sz w:val="26"/>
          <w:szCs w:val="26"/>
          <w:lang w:eastAsia="en-US"/>
        </w:rPr>
        <w:t>Y por último, a escala mundial hay ventajas potencialmente enormes que se podrían aprovechar mediante una mayor reforma del comercio e integración.</w:t>
      </w:r>
    </w:p>
    <w:p w14:paraId="67075E0A" w14:textId="77777777" w:rsidR="00276BC4" w:rsidRPr="00276BC4" w:rsidRDefault="00276BC4" w:rsidP="002D3902">
      <w:pPr>
        <w:numPr>
          <w:ilvl w:val="0"/>
          <w:numId w:val="113"/>
        </w:numPr>
        <w:spacing w:after="360" w:line="360" w:lineRule="auto"/>
        <w:ind w:left="714" w:right="-159" w:hanging="357"/>
        <w:jc w:val="both"/>
        <w:rPr>
          <w:rFonts w:eastAsia="Calibri"/>
          <w:sz w:val="26"/>
          <w:szCs w:val="26"/>
          <w:lang w:eastAsia="en-US"/>
        </w:rPr>
      </w:pPr>
      <w:r w:rsidRPr="00276BC4">
        <w:rPr>
          <w:rFonts w:eastAsia="Calibri"/>
          <w:sz w:val="26"/>
          <w:szCs w:val="26"/>
          <w:lang w:eastAsia="en-US"/>
        </w:rPr>
        <w:t>El comercio ha sido el principal propulsor del progreso económico en los últimos 30 años, pero 2015 probablemente será el cuarto año consecutivo en que el comercio registre un crecimiento inferior al promedio.</w:t>
      </w:r>
    </w:p>
    <w:p w14:paraId="20AF89E4" w14:textId="77777777" w:rsidR="00276BC4" w:rsidRPr="00276BC4" w:rsidRDefault="00276BC4" w:rsidP="002D3902">
      <w:pPr>
        <w:numPr>
          <w:ilvl w:val="0"/>
          <w:numId w:val="113"/>
        </w:numPr>
        <w:spacing w:after="360" w:line="360" w:lineRule="auto"/>
        <w:ind w:left="714" w:right="-159" w:hanging="357"/>
        <w:jc w:val="both"/>
        <w:rPr>
          <w:rFonts w:eastAsia="Calibri"/>
          <w:sz w:val="26"/>
          <w:szCs w:val="26"/>
          <w:lang w:eastAsia="en-US"/>
        </w:rPr>
      </w:pPr>
      <w:r w:rsidRPr="00276BC4">
        <w:rPr>
          <w:rFonts w:eastAsia="Calibri"/>
          <w:sz w:val="26"/>
          <w:szCs w:val="26"/>
          <w:lang w:eastAsia="en-US"/>
        </w:rPr>
        <w:t>Los recientes esfuerzos son positivos, como por ejemplo el acuerdo que la Organización Mundial del Comercio (OMC) alcanzó en Bali, en virtud del cual se reducirían los costos del comercio y se generaría un impulso económico anual de 1 billón de dólares.</w:t>
      </w:r>
    </w:p>
    <w:p w14:paraId="0949A4A8" w14:textId="77777777" w:rsidR="00276BC4" w:rsidRPr="00276BC4" w:rsidRDefault="00276BC4" w:rsidP="002D3902">
      <w:pPr>
        <w:numPr>
          <w:ilvl w:val="0"/>
          <w:numId w:val="113"/>
        </w:numPr>
        <w:spacing w:after="360" w:line="360" w:lineRule="auto"/>
        <w:ind w:left="714" w:right="-159" w:hanging="357"/>
        <w:jc w:val="both"/>
        <w:rPr>
          <w:rFonts w:eastAsia="Calibri"/>
          <w:sz w:val="26"/>
          <w:szCs w:val="26"/>
          <w:lang w:eastAsia="en-US"/>
        </w:rPr>
      </w:pPr>
      <w:r w:rsidRPr="00276BC4">
        <w:rPr>
          <w:rFonts w:eastAsia="Calibri"/>
          <w:sz w:val="26"/>
          <w:szCs w:val="26"/>
          <w:lang w:eastAsia="en-US"/>
        </w:rPr>
        <w:t>No debemos conformarnos con esto, sino que más bien debemos ir más allá: el comercio sigue siendo un motor esencial para la economía mundial, al promover el crecimiento, crear empleo y conjurar la nueva mediocridad.</w:t>
      </w:r>
    </w:p>
    <w:p w14:paraId="693E76AD" w14:textId="77777777" w:rsidR="00276BC4" w:rsidRPr="00276BC4" w:rsidRDefault="00276BC4" w:rsidP="00276BC4">
      <w:pPr>
        <w:spacing w:after="360" w:line="360" w:lineRule="auto"/>
        <w:ind w:right="-159"/>
        <w:jc w:val="both"/>
        <w:rPr>
          <w:rFonts w:eastAsia="Calibri"/>
          <w:sz w:val="26"/>
          <w:szCs w:val="26"/>
          <w:lang w:eastAsia="en-US"/>
        </w:rPr>
      </w:pPr>
      <w:r w:rsidRPr="00276BC4">
        <w:rPr>
          <w:rFonts w:eastAsia="Calibri"/>
          <w:sz w:val="26"/>
          <w:szCs w:val="26"/>
          <w:lang w:eastAsia="en-US"/>
        </w:rPr>
        <w:t>Es cierto, la economía política de estas reformas es complicada, y también es cierto que implica decisiones y sacrificios difíciles que dejarán ganadores y perdedores a corto plazo.</w:t>
      </w:r>
    </w:p>
    <w:p w14:paraId="1C5BCD27" w14:textId="77777777" w:rsidR="00276BC4" w:rsidRDefault="00276BC4" w:rsidP="00276BC4">
      <w:pPr>
        <w:spacing w:after="360" w:line="360" w:lineRule="auto"/>
        <w:ind w:right="-159"/>
        <w:jc w:val="both"/>
        <w:rPr>
          <w:rFonts w:eastAsia="Calibri"/>
          <w:sz w:val="26"/>
          <w:szCs w:val="26"/>
          <w:lang w:eastAsia="en-US"/>
        </w:rPr>
      </w:pPr>
      <w:r w:rsidRPr="00276BC4">
        <w:rPr>
          <w:rFonts w:eastAsia="Calibri"/>
          <w:sz w:val="26"/>
          <w:szCs w:val="26"/>
          <w:lang w:eastAsia="en-US"/>
        </w:rPr>
        <w:t>Pero a la larga, todos saldremos ganando.</w:t>
      </w:r>
    </w:p>
    <w:p w14:paraId="7278D265" w14:textId="77777777" w:rsidR="001E7CBA" w:rsidRPr="00276BC4" w:rsidRDefault="001E7CBA" w:rsidP="00276BC4">
      <w:pPr>
        <w:spacing w:after="360" w:line="360" w:lineRule="auto"/>
        <w:ind w:right="-159"/>
        <w:jc w:val="both"/>
        <w:rPr>
          <w:rFonts w:eastAsia="Calibri"/>
          <w:sz w:val="26"/>
          <w:szCs w:val="26"/>
          <w:lang w:eastAsia="en-US"/>
        </w:rPr>
      </w:pPr>
    </w:p>
    <w:p w14:paraId="08D9FFC7" w14:textId="77777777" w:rsidR="00276BC4" w:rsidRPr="00276BC4" w:rsidRDefault="00276BC4" w:rsidP="00276BC4">
      <w:pPr>
        <w:spacing w:after="360" w:line="360" w:lineRule="auto"/>
        <w:ind w:right="-159"/>
        <w:jc w:val="both"/>
        <w:rPr>
          <w:rFonts w:eastAsia="Calibri"/>
          <w:b/>
          <w:sz w:val="26"/>
          <w:szCs w:val="26"/>
          <w:lang w:eastAsia="en-US"/>
        </w:rPr>
      </w:pPr>
      <w:r w:rsidRPr="00276BC4">
        <w:rPr>
          <w:rFonts w:eastAsia="Calibri"/>
          <w:b/>
          <w:sz w:val="26"/>
          <w:szCs w:val="26"/>
          <w:lang w:eastAsia="en-US"/>
        </w:rPr>
        <w:lastRenderedPageBreak/>
        <w:t>3. Mejorar la manera de trabajar juntos</w:t>
      </w:r>
    </w:p>
    <w:p w14:paraId="2E362805" w14:textId="77777777" w:rsidR="00276BC4" w:rsidRPr="00276BC4" w:rsidRDefault="00276BC4" w:rsidP="00276BC4">
      <w:pPr>
        <w:spacing w:after="360" w:line="360" w:lineRule="auto"/>
        <w:ind w:right="-159"/>
        <w:jc w:val="both"/>
        <w:rPr>
          <w:rFonts w:eastAsia="Calibri"/>
          <w:sz w:val="26"/>
          <w:szCs w:val="26"/>
          <w:lang w:eastAsia="en-US"/>
        </w:rPr>
      </w:pPr>
      <w:r w:rsidRPr="00276BC4">
        <w:rPr>
          <w:rFonts w:eastAsia="Calibri"/>
          <w:sz w:val="26"/>
          <w:szCs w:val="26"/>
          <w:lang w:eastAsia="en-US"/>
        </w:rPr>
        <w:t>¿Cómo podemos ganar? Trabajando juntos.</w:t>
      </w:r>
    </w:p>
    <w:p w14:paraId="6EAA2087" w14:textId="77777777" w:rsidR="00276BC4" w:rsidRPr="00276BC4" w:rsidRDefault="00276BC4" w:rsidP="00276BC4">
      <w:pPr>
        <w:spacing w:after="360" w:line="360" w:lineRule="auto"/>
        <w:ind w:right="-159"/>
        <w:jc w:val="both"/>
        <w:rPr>
          <w:rFonts w:eastAsia="Calibri"/>
          <w:sz w:val="26"/>
          <w:szCs w:val="26"/>
          <w:lang w:eastAsia="en-US"/>
        </w:rPr>
      </w:pPr>
      <w:r w:rsidRPr="00276BC4">
        <w:rPr>
          <w:rFonts w:eastAsia="Calibri"/>
          <w:sz w:val="26"/>
          <w:szCs w:val="26"/>
          <w:lang w:eastAsia="en-US"/>
        </w:rPr>
        <w:t>Una vez más, me llama la atención cómo las acciones para impulsar el crecimiento son cada vez más específicas para cada país, y a la vez comprenden múltiples facetas y están interconectadas. El desafío para las autoridades en todo el mundo consiste en combinar las políticas necesarias para estimular el crecimiento hoy en día con aquellas que refuerzan las perspectivas para el futuro, y en aprovechar las iniciativas nacionales para el beneficio de la comunidad mundial.</w:t>
      </w:r>
    </w:p>
    <w:p w14:paraId="0FAEDDA5" w14:textId="77777777" w:rsidR="00276BC4" w:rsidRPr="00276BC4" w:rsidRDefault="00276BC4" w:rsidP="00276BC4">
      <w:pPr>
        <w:spacing w:after="360" w:line="360" w:lineRule="auto"/>
        <w:ind w:right="-159"/>
        <w:jc w:val="both"/>
        <w:rPr>
          <w:rFonts w:eastAsia="Calibri"/>
          <w:sz w:val="26"/>
          <w:szCs w:val="26"/>
          <w:lang w:eastAsia="en-US"/>
        </w:rPr>
      </w:pPr>
      <w:r w:rsidRPr="00276BC4">
        <w:rPr>
          <w:rFonts w:eastAsia="Calibri"/>
          <w:sz w:val="26"/>
          <w:szCs w:val="26"/>
          <w:lang w:eastAsia="en-US"/>
        </w:rPr>
        <w:t>Suele suceder que lo que es bueno para un país también lo es para la comunidad internacional.</w:t>
      </w:r>
    </w:p>
    <w:p w14:paraId="4279CD7F" w14:textId="77777777" w:rsidR="00276BC4" w:rsidRPr="00276BC4" w:rsidRDefault="00276BC4" w:rsidP="002D3902">
      <w:pPr>
        <w:numPr>
          <w:ilvl w:val="1"/>
          <w:numId w:val="114"/>
        </w:numPr>
        <w:spacing w:after="360" w:line="360" w:lineRule="auto"/>
        <w:ind w:left="714" w:right="-159" w:hanging="357"/>
        <w:jc w:val="both"/>
        <w:rPr>
          <w:rFonts w:eastAsia="Calibri"/>
          <w:sz w:val="26"/>
          <w:szCs w:val="26"/>
          <w:lang w:eastAsia="en-US"/>
        </w:rPr>
      </w:pPr>
      <w:r w:rsidRPr="00276BC4">
        <w:rPr>
          <w:rFonts w:eastAsia="Calibri"/>
          <w:sz w:val="26"/>
          <w:szCs w:val="26"/>
          <w:lang w:eastAsia="en-US"/>
        </w:rPr>
        <w:t>Si los países afianzan sus bancos, por ejemplo, no solo les será útil a ellos, sino que también esta medida reforzará el sistema financiero mundial.</w:t>
      </w:r>
    </w:p>
    <w:p w14:paraId="55CD50B6" w14:textId="77777777" w:rsidR="00276BC4" w:rsidRPr="00276BC4" w:rsidRDefault="00276BC4" w:rsidP="002D3902">
      <w:pPr>
        <w:numPr>
          <w:ilvl w:val="1"/>
          <w:numId w:val="114"/>
        </w:numPr>
        <w:spacing w:after="360" w:line="360" w:lineRule="auto"/>
        <w:ind w:left="714" w:right="-159" w:hanging="357"/>
        <w:jc w:val="both"/>
        <w:rPr>
          <w:rFonts w:eastAsia="Calibri"/>
          <w:sz w:val="26"/>
          <w:szCs w:val="26"/>
          <w:lang w:eastAsia="en-US"/>
        </w:rPr>
      </w:pPr>
      <w:r w:rsidRPr="00276BC4">
        <w:rPr>
          <w:rFonts w:eastAsia="Calibri"/>
          <w:sz w:val="26"/>
          <w:szCs w:val="26"/>
          <w:lang w:eastAsia="en-US"/>
        </w:rPr>
        <w:t>Si los países son precavidos y se protegen contra los riesgos de las variaciones cambiarias y la volatilidad, no solo protegerán sus propios sectores financieros sino que también apuntalarán la estabilidad financiera mundial.</w:t>
      </w:r>
    </w:p>
    <w:p w14:paraId="409E2C36" w14:textId="77777777" w:rsidR="00276BC4" w:rsidRPr="00276BC4" w:rsidRDefault="00276BC4" w:rsidP="002D3902">
      <w:pPr>
        <w:numPr>
          <w:ilvl w:val="1"/>
          <w:numId w:val="114"/>
        </w:numPr>
        <w:spacing w:after="360" w:line="360" w:lineRule="auto"/>
        <w:ind w:left="714" w:right="-159" w:hanging="357"/>
        <w:jc w:val="both"/>
        <w:rPr>
          <w:rFonts w:eastAsia="Calibri"/>
          <w:sz w:val="26"/>
          <w:szCs w:val="26"/>
          <w:lang w:eastAsia="en-US"/>
        </w:rPr>
      </w:pPr>
      <w:r w:rsidRPr="00276BC4">
        <w:rPr>
          <w:rFonts w:eastAsia="Calibri"/>
          <w:sz w:val="26"/>
          <w:szCs w:val="26"/>
          <w:lang w:eastAsia="en-US"/>
        </w:rPr>
        <w:t>Si los países adoptan políticas benignas para el clima, eso beneficiará a sus poblaciones pero también contribuirá a reducir las emisiones mundiales.</w:t>
      </w:r>
    </w:p>
    <w:p w14:paraId="0F12E225" w14:textId="77777777" w:rsidR="00276BC4" w:rsidRPr="00276BC4" w:rsidRDefault="00276BC4" w:rsidP="00276BC4">
      <w:pPr>
        <w:spacing w:after="360" w:line="360" w:lineRule="auto"/>
        <w:ind w:right="-159"/>
        <w:jc w:val="both"/>
        <w:rPr>
          <w:rFonts w:eastAsia="Calibri"/>
          <w:sz w:val="26"/>
          <w:szCs w:val="26"/>
          <w:lang w:eastAsia="en-US"/>
        </w:rPr>
      </w:pPr>
      <w:r w:rsidRPr="00276BC4">
        <w:rPr>
          <w:rFonts w:eastAsia="Calibri"/>
          <w:sz w:val="26"/>
          <w:szCs w:val="26"/>
          <w:lang w:eastAsia="en-US"/>
        </w:rPr>
        <w:t>Es por estas razones que necesitamos un sistema multilateral abierto y resistente que pueda aprovechar estas ventajas a escala nacional y que ayude a evitar incongruencias que puedan dar lugar a efectos de contagio negativos. En un mundo sumamente interconectado, en el que están surgiendo nuevos y dinámicos ejes de poder político y económico, sencillamente no queda más alternativa que aprovechar lo que he denominado el “nuevo multilateralismo”.</w:t>
      </w:r>
    </w:p>
    <w:p w14:paraId="627A66B4" w14:textId="77777777" w:rsidR="00276BC4" w:rsidRPr="00276BC4" w:rsidRDefault="00276BC4" w:rsidP="00276BC4">
      <w:pPr>
        <w:spacing w:after="360" w:line="360" w:lineRule="auto"/>
        <w:ind w:right="-159"/>
        <w:jc w:val="both"/>
        <w:rPr>
          <w:rFonts w:eastAsia="Calibri"/>
          <w:sz w:val="26"/>
          <w:szCs w:val="26"/>
          <w:lang w:eastAsia="en-US"/>
        </w:rPr>
      </w:pPr>
      <w:r w:rsidRPr="00276BC4">
        <w:rPr>
          <w:rFonts w:eastAsia="Calibri"/>
          <w:sz w:val="26"/>
          <w:szCs w:val="26"/>
          <w:lang w:eastAsia="en-US"/>
        </w:rPr>
        <w:lastRenderedPageBreak/>
        <w:t>¿Qué se debe hacer?</w:t>
      </w:r>
    </w:p>
    <w:p w14:paraId="0CC2E940" w14:textId="77777777" w:rsidR="00276BC4" w:rsidRPr="00276BC4" w:rsidRDefault="00276BC4" w:rsidP="00276BC4">
      <w:pPr>
        <w:spacing w:after="360" w:line="360" w:lineRule="auto"/>
        <w:ind w:right="-159"/>
        <w:jc w:val="both"/>
        <w:rPr>
          <w:rFonts w:eastAsia="Calibri"/>
          <w:sz w:val="26"/>
          <w:szCs w:val="26"/>
          <w:lang w:eastAsia="en-US"/>
        </w:rPr>
      </w:pPr>
      <w:r w:rsidRPr="00276BC4">
        <w:rPr>
          <w:rFonts w:eastAsia="Calibri"/>
          <w:sz w:val="26"/>
          <w:szCs w:val="26"/>
          <w:lang w:eastAsia="en-US"/>
        </w:rPr>
        <w:t>Los países de mercados emergentes y en desarrollo deben tener más peso y representación en las instituciones económicas mundiales, a fin de reflejar la nueva realidad de sus aportes y responsabilidades dentro de la economía mundial.</w:t>
      </w:r>
    </w:p>
    <w:p w14:paraId="2C7AF845" w14:textId="77777777" w:rsidR="00276BC4" w:rsidRPr="00276BC4" w:rsidRDefault="00276BC4" w:rsidP="00276BC4">
      <w:pPr>
        <w:spacing w:after="360" w:line="360" w:lineRule="auto"/>
        <w:ind w:right="-159"/>
        <w:jc w:val="both"/>
        <w:rPr>
          <w:rFonts w:eastAsia="Calibri"/>
          <w:sz w:val="26"/>
          <w:szCs w:val="26"/>
          <w:lang w:eastAsia="en-US"/>
        </w:rPr>
      </w:pPr>
      <w:r w:rsidRPr="00276BC4">
        <w:rPr>
          <w:rFonts w:eastAsia="Calibri"/>
          <w:sz w:val="26"/>
          <w:szCs w:val="26"/>
          <w:lang w:eastAsia="en-US"/>
        </w:rPr>
        <w:t>El propósito de la reforma de 2010 sobre el régimen de cuotas y la estructura de gobierno del FMI es ayudar a alcanzar este objetivo. Prácticamente todos nuestros países miembros están de acuerdo, y ahora solo estamos a la espera de la ratificación por parte del Congreso de Estados Unidos de Norteamérica. El plazo se ha cumplido, pero no nos hemos dado por vencidos, y los países miembros actualmente están considerando medidas provisionales que nos acerquen al objetivo final.</w:t>
      </w:r>
    </w:p>
    <w:p w14:paraId="04933581" w14:textId="77777777" w:rsidR="00276BC4" w:rsidRPr="00276BC4" w:rsidRDefault="00276BC4" w:rsidP="00276BC4">
      <w:pPr>
        <w:spacing w:after="360" w:line="360" w:lineRule="auto"/>
        <w:ind w:right="-159"/>
        <w:jc w:val="both"/>
        <w:rPr>
          <w:rFonts w:eastAsia="Calibri"/>
          <w:sz w:val="26"/>
          <w:szCs w:val="26"/>
          <w:lang w:eastAsia="en-US"/>
        </w:rPr>
      </w:pPr>
      <w:r w:rsidRPr="00276BC4">
        <w:rPr>
          <w:rFonts w:eastAsia="Calibri"/>
          <w:sz w:val="26"/>
          <w:szCs w:val="26"/>
          <w:lang w:eastAsia="en-US"/>
        </w:rPr>
        <w:t>Algunas de las medidas adicionales para hacer más resistente la arquitectura financiera internacional son las siguientes:</w:t>
      </w:r>
    </w:p>
    <w:p w14:paraId="1E783F73" w14:textId="77777777" w:rsidR="00276BC4" w:rsidRPr="00276BC4" w:rsidRDefault="00276BC4" w:rsidP="002D3902">
      <w:pPr>
        <w:numPr>
          <w:ilvl w:val="0"/>
          <w:numId w:val="115"/>
        </w:numPr>
        <w:spacing w:after="360" w:line="360" w:lineRule="auto"/>
        <w:ind w:left="714" w:right="-159" w:hanging="357"/>
        <w:jc w:val="both"/>
        <w:rPr>
          <w:rFonts w:eastAsia="Calibri"/>
          <w:sz w:val="26"/>
          <w:szCs w:val="26"/>
          <w:lang w:eastAsia="en-US"/>
        </w:rPr>
      </w:pPr>
      <w:r w:rsidRPr="00276BC4">
        <w:rPr>
          <w:rFonts w:eastAsia="Calibri"/>
          <w:sz w:val="26"/>
          <w:szCs w:val="26"/>
          <w:lang w:eastAsia="en-US"/>
        </w:rPr>
        <w:t>Reforzar la cooperación con mecanismos e instituciones regionales, como por ejemplo el nuevo Banco Asiático de Inversión e Infraestructura.</w:t>
      </w:r>
    </w:p>
    <w:p w14:paraId="0626F15A" w14:textId="77777777" w:rsidR="00276BC4" w:rsidRPr="00276BC4" w:rsidRDefault="00276BC4" w:rsidP="002D3902">
      <w:pPr>
        <w:numPr>
          <w:ilvl w:val="0"/>
          <w:numId w:val="115"/>
        </w:numPr>
        <w:spacing w:after="360" w:line="360" w:lineRule="auto"/>
        <w:ind w:left="714" w:right="-159" w:hanging="357"/>
        <w:jc w:val="both"/>
        <w:rPr>
          <w:rFonts w:eastAsia="Calibri"/>
          <w:sz w:val="26"/>
          <w:szCs w:val="26"/>
          <w:lang w:eastAsia="en-US"/>
        </w:rPr>
      </w:pPr>
      <w:r w:rsidRPr="00276BC4">
        <w:rPr>
          <w:rFonts w:eastAsia="Calibri"/>
          <w:sz w:val="26"/>
          <w:szCs w:val="26"/>
          <w:lang w:eastAsia="en-US"/>
        </w:rPr>
        <w:t>Ampliar el papel del DEG como activo de reserva internacional y facilitar la integración de los mercados emergentes dinámicos en la economía mundial.</w:t>
      </w:r>
    </w:p>
    <w:p w14:paraId="1F05C39E" w14:textId="77777777" w:rsidR="00276BC4" w:rsidRPr="00276BC4" w:rsidRDefault="00276BC4" w:rsidP="002D3902">
      <w:pPr>
        <w:numPr>
          <w:ilvl w:val="0"/>
          <w:numId w:val="115"/>
        </w:numPr>
        <w:spacing w:after="360" w:line="360" w:lineRule="auto"/>
        <w:ind w:left="714" w:right="-159" w:hanging="357"/>
        <w:jc w:val="both"/>
        <w:rPr>
          <w:rFonts w:eastAsia="Calibri"/>
          <w:sz w:val="26"/>
          <w:szCs w:val="26"/>
          <w:lang w:eastAsia="en-US"/>
        </w:rPr>
      </w:pPr>
      <w:r w:rsidRPr="00276BC4">
        <w:rPr>
          <w:rFonts w:eastAsia="Calibri"/>
          <w:sz w:val="26"/>
          <w:szCs w:val="26"/>
          <w:lang w:eastAsia="en-US"/>
        </w:rPr>
        <w:t>Afianzar los recursos del FMI, lo cual también guarda relación con la reforma de las cuotas.</w:t>
      </w:r>
    </w:p>
    <w:p w14:paraId="3B2E4789" w14:textId="77777777" w:rsidR="00276BC4" w:rsidRPr="00276BC4" w:rsidRDefault="00276BC4" w:rsidP="00276BC4">
      <w:pPr>
        <w:spacing w:after="360" w:line="360" w:lineRule="auto"/>
        <w:ind w:right="-159"/>
        <w:jc w:val="both"/>
        <w:rPr>
          <w:rFonts w:eastAsia="Calibri"/>
          <w:sz w:val="26"/>
          <w:szCs w:val="26"/>
          <w:lang w:eastAsia="en-US"/>
        </w:rPr>
      </w:pPr>
      <w:r w:rsidRPr="00276BC4">
        <w:rPr>
          <w:rFonts w:eastAsia="Calibri"/>
          <w:sz w:val="26"/>
          <w:szCs w:val="26"/>
          <w:lang w:eastAsia="en-US"/>
        </w:rPr>
        <w:t>Como resultado, el sistema monetario internacional se verá reforzado y se tornará más estable.</w:t>
      </w:r>
    </w:p>
    <w:p w14:paraId="797B2304" w14:textId="77777777" w:rsidR="00276BC4" w:rsidRPr="00276BC4" w:rsidRDefault="00276BC4" w:rsidP="00276BC4">
      <w:pPr>
        <w:spacing w:after="360" w:line="360" w:lineRule="auto"/>
        <w:ind w:right="-159"/>
        <w:jc w:val="both"/>
        <w:rPr>
          <w:rFonts w:eastAsia="Calibri"/>
          <w:sz w:val="26"/>
          <w:szCs w:val="26"/>
          <w:lang w:eastAsia="en-US"/>
        </w:rPr>
      </w:pPr>
      <w:r w:rsidRPr="00276BC4">
        <w:rPr>
          <w:rFonts w:eastAsia="Calibri"/>
          <w:sz w:val="26"/>
          <w:szCs w:val="26"/>
          <w:lang w:eastAsia="en-US"/>
        </w:rPr>
        <w:t>¿Y el sistema de desarrollo internacional?</w:t>
      </w:r>
    </w:p>
    <w:p w14:paraId="03FB3EE7" w14:textId="77777777" w:rsidR="00276BC4" w:rsidRPr="00276BC4" w:rsidRDefault="00276BC4" w:rsidP="00276BC4">
      <w:pPr>
        <w:spacing w:after="360" w:line="360" w:lineRule="auto"/>
        <w:ind w:right="-159"/>
        <w:jc w:val="both"/>
        <w:rPr>
          <w:rFonts w:eastAsia="Calibri"/>
          <w:sz w:val="26"/>
          <w:szCs w:val="26"/>
          <w:lang w:eastAsia="en-US"/>
        </w:rPr>
      </w:pPr>
      <w:r w:rsidRPr="00276BC4">
        <w:rPr>
          <w:rFonts w:eastAsia="Calibri"/>
          <w:sz w:val="26"/>
          <w:szCs w:val="26"/>
          <w:lang w:eastAsia="en-US"/>
        </w:rPr>
        <w:lastRenderedPageBreak/>
        <w:t>En este sentido, 2015 es un momento especial: una oportunidad para marcar una diferencia tangible en las vidas de muchas personas en el mundo, en especial los más pobres.</w:t>
      </w:r>
    </w:p>
    <w:p w14:paraId="58A8CD81" w14:textId="77777777" w:rsidR="00276BC4" w:rsidRPr="00276BC4" w:rsidRDefault="00276BC4" w:rsidP="00276BC4">
      <w:pPr>
        <w:spacing w:after="360" w:line="360" w:lineRule="auto"/>
        <w:ind w:right="-159"/>
        <w:jc w:val="both"/>
        <w:rPr>
          <w:rFonts w:eastAsia="Calibri"/>
          <w:sz w:val="26"/>
          <w:szCs w:val="26"/>
          <w:lang w:eastAsia="en-US"/>
        </w:rPr>
      </w:pPr>
      <w:r w:rsidRPr="00276BC4">
        <w:rPr>
          <w:rFonts w:eastAsia="Calibri"/>
          <w:sz w:val="26"/>
          <w:szCs w:val="26"/>
          <w:lang w:eastAsia="en-US"/>
        </w:rPr>
        <w:t>La agenda contiene tres temas de importancia crítica:</w:t>
      </w:r>
    </w:p>
    <w:p w14:paraId="5EE0A06F" w14:textId="77777777" w:rsidR="00276BC4" w:rsidRPr="00276BC4" w:rsidRDefault="00276BC4" w:rsidP="002D3902">
      <w:pPr>
        <w:numPr>
          <w:ilvl w:val="0"/>
          <w:numId w:val="116"/>
        </w:numPr>
        <w:spacing w:after="360" w:line="360" w:lineRule="auto"/>
        <w:ind w:left="714" w:right="-159" w:hanging="357"/>
        <w:jc w:val="both"/>
        <w:rPr>
          <w:rFonts w:eastAsia="Calibri"/>
          <w:sz w:val="26"/>
          <w:szCs w:val="26"/>
          <w:lang w:eastAsia="en-US"/>
        </w:rPr>
      </w:pPr>
      <w:r w:rsidRPr="00276BC4">
        <w:rPr>
          <w:rFonts w:eastAsia="Calibri"/>
          <w:sz w:val="26"/>
          <w:szCs w:val="26"/>
          <w:lang w:eastAsia="en-US"/>
        </w:rPr>
        <w:t xml:space="preserve">Financiamiento para el desarrollo.&lt;.li&gt; </w:t>
      </w:r>
    </w:p>
    <w:p w14:paraId="6A77A29B" w14:textId="77777777" w:rsidR="00276BC4" w:rsidRPr="00276BC4" w:rsidRDefault="00276BC4" w:rsidP="002D3902">
      <w:pPr>
        <w:numPr>
          <w:ilvl w:val="0"/>
          <w:numId w:val="116"/>
        </w:numPr>
        <w:spacing w:after="360" w:line="360" w:lineRule="auto"/>
        <w:ind w:left="714" w:right="-159" w:hanging="357"/>
        <w:jc w:val="both"/>
        <w:rPr>
          <w:rFonts w:eastAsia="Calibri"/>
          <w:sz w:val="26"/>
          <w:szCs w:val="26"/>
          <w:lang w:eastAsia="en-US"/>
        </w:rPr>
      </w:pPr>
      <w:r w:rsidRPr="00276BC4">
        <w:rPr>
          <w:rFonts w:eastAsia="Calibri"/>
          <w:sz w:val="26"/>
          <w:szCs w:val="26"/>
          <w:lang w:eastAsia="en-US"/>
        </w:rPr>
        <w:t>Los nuevos “objetivos de desarrollo sostenible”, u ODS (que sucederán a los ODM).</w:t>
      </w:r>
    </w:p>
    <w:p w14:paraId="0AA5FDD0" w14:textId="77777777" w:rsidR="00276BC4" w:rsidRPr="00276BC4" w:rsidRDefault="00276BC4" w:rsidP="002D3902">
      <w:pPr>
        <w:numPr>
          <w:ilvl w:val="0"/>
          <w:numId w:val="116"/>
        </w:numPr>
        <w:spacing w:after="360" w:line="360" w:lineRule="auto"/>
        <w:ind w:left="714" w:right="-159" w:hanging="357"/>
        <w:jc w:val="both"/>
        <w:rPr>
          <w:rFonts w:eastAsia="Calibri"/>
          <w:sz w:val="26"/>
          <w:szCs w:val="26"/>
          <w:lang w:eastAsia="en-US"/>
        </w:rPr>
      </w:pPr>
      <w:r w:rsidRPr="00276BC4">
        <w:rPr>
          <w:rFonts w:eastAsia="Calibri"/>
          <w:sz w:val="26"/>
          <w:szCs w:val="26"/>
          <w:lang w:eastAsia="en-US"/>
        </w:rPr>
        <w:t>Cambio climático.</w:t>
      </w:r>
    </w:p>
    <w:p w14:paraId="1D06BE73" w14:textId="77777777" w:rsidR="00276BC4" w:rsidRPr="00276BC4" w:rsidRDefault="00276BC4" w:rsidP="00276BC4">
      <w:pPr>
        <w:spacing w:after="360" w:line="360" w:lineRule="auto"/>
        <w:ind w:right="-159"/>
        <w:jc w:val="both"/>
        <w:rPr>
          <w:rFonts w:eastAsia="Calibri"/>
          <w:sz w:val="26"/>
          <w:szCs w:val="26"/>
          <w:lang w:eastAsia="en-US"/>
        </w:rPr>
      </w:pPr>
      <w:r w:rsidRPr="00276BC4">
        <w:rPr>
          <w:rFonts w:eastAsia="Calibri"/>
          <w:sz w:val="26"/>
          <w:szCs w:val="26"/>
          <w:lang w:eastAsia="en-US"/>
        </w:rPr>
        <w:t>El FMI es un socio comprometido con esta iniciativa. Tengo previsto analizar con nuestros países miembros la próxima semana lo que el FMI puede aportar en sus tres esferas de especialización:</w:t>
      </w:r>
    </w:p>
    <w:p w14:paraId="26C509DC" w14:textId="77777777" w:rsidR="00276BC4" w:rsidRPr="00276BC4" w:rsidRDefault="00276BC4" w:rsidP="002D3902">
      <w:pPr>
        <w:numPr>
          <w:ilvl w:val="0"/>
          <w:numId w:val="117"/>
        </w:numPr>
        <w:spacing w:after="360" w:line="360" w:lineRule="auto"/>
        <w:ind w:left="714" w:right="-159" w:hanging="357"/>
        <w:jc w:val="both"/>
        <w:rPr>
          <w:rFonts w:eastAsia="Calibri"/>
          <w:sz w:val="26"/>
          <w:szCs w:val="26"/>
          <w:lang w:eastAsia="en-US"/>
        </w:rPr>
      </w:pPr>
      <w:r w:rsidRPr="00276BC4">
        <w:rPr>
          <w:rFonts w:eastAsia="Calibri"/>
          <w:sz w:val="26"/>
          <w:szCs w:val="26"/>
          <w:lang w:eastAsia="en-US"/>
        </w:rPr>
        <w:t>En primer lugar, financiamiento. Ya hemos realizado un “primer pago” al contribuir recientemente con 390 millones de dólares para los países afectados por el ébola, incluidos 100 millones de dólares en alivio de la deuda en el marco del nuevo Fondo Fiduciario para Alivio y Contención de Catástrofes. Además, estudiaremos la posibilidad de ampliar el acceso de los países miembros más pobres a los recursos del FMI.</w:t>
      </w:r>
    </w:p>
    <w:p w14:paraId="70180CB8" w14:textId="77777777" w:rsidR="00276BC4" w:rsidRPr="00276BC4" w:rsidRDefault="00276BC4" w:rsidP="002D3902">
      <w:pPr>
        <w:numPr>
          <w:ilvl w:val="0"/>
          <w:numId w:val="117"/>
        </w:numPr>
        <w:spacing w:after="360" w:line="360" w:lineRule="auto"/>
        <w:ind w:left="714" w:right="-159" w:hanging="357"/>
        <w:jc w:val="both"/>
        <w:rPr>
          <w:rFonts w:eastAsia="Calibri"/>
          <w:sz w:val="26"/>
          <w:szCs w:val="26"/>
          <w:lang w:eastAsia="en-US"/>
        </w:rPr>
      </w:pPr>
      <w:r w:rsidRPr="00276BC4">
        <w:rPr>
          <w:rFonts w:eastAsia="Calibri"/>
          <w:sz w:val="26"/>
          <w:szCs w:val="26"/>
          <w:lang w:eastAsia="en-US"/>
        </w:rPr>
        <w:t xml:space="preserve">En nuestra segunda esfera de especialización, asesoramiento y análisis en materia de políticas (supervisión), seguiremos ayudando a nuestros países miembros brindándoles apoyo esencial en lo que respecta a la movilización de recursos internos, el desarrollo del mercado de capital y la inversión extranjera directa. Asimismo, haremos más hincapié en cuestiones macroeconómicas esenciales, como la desigualdad y la participación de la mujer en el mercado </w:t>
      </w:r>
      <w:r w:rsidRPr="00276BC4">
        <w:rPr>
          <w:rFonts w:eastAsia="Calibri"/>
          <w:sz w:val="26"/>
          <w:szCs w:val="26"/>
          <w:lang w:eastAsia="en-US"/>
        </w:rPr>
        <w:lastRenderedPageBreak/>
        <w:t>laboral, así como la reforma de los subsidios a la energía y los impuestos al carbono. Todos sabemos que “es el momento justo para encontrar el precio justo”, y esto puede ayudarnos a hacer lo correcto en materia de cambio climático.</w:t>
      </w:r>
    </w:p>
    <w:p w14:paraId="65ACD9D7" w14:textId="77777777" w:rsidR="00276BC4" w:rsidRPr="00276BC4" w:rsidRDefault="00276BC4" w:rsidP="002D3902">
      <w:pPr>
        <w:numPr>
          <w:ilvl w:val="0"/>
          <w:numId w:val="117"/>
        </w:numPr>
        <w:spacing w:after="360" w:line="360" w:lineRule="auto"/>
        <w:ind w:left="714" w:right="-159" w:hanging="357"/>
        <w:jc w:val="both"/>
        <w:rPr>
          <w:rFonts w:eastAsia="Calibri"/>
          <w:sz w:val="26"/>
          <w:szCs w:val="26"/>
          <w:lang w:eastAsia="en-US"/>
        </w:rPr>
      </w:pPr>
      <w:r w:rsidRPr="00276BC4">
        <w:rPr>
          <w:rFonts w:eastAsia="Calibri"/>
          <w:sz w:val="26"/>
          <w:szCs w:val="26"/>
          <w:lang w:eastAsia="en-US"/>
        </w:rPr>
        <w:t>Nuestra tercera esfera de especialización es el fortalecimiento de las capacidades y la asistencia técnica. Estamos ampliando nuestros servicios en este campo, por ejemplo, a través de nueve centros regionales de asistencia técnica y siete centros regionales de capacitación ubicados en África, Asia, América Latina y Oriente Medio. También estamos incrementando nuestra oferta de cursos abiertos masivos en línea (MOOC, por sus siglas en inglés), que ya cuentan con 10 mil participantes y 5.400 graduados. Además, a modo de contribución específica para la iniciativa de 2015, analizaremos formas de potenciar nuestras actividades de fortalecimiento de las capacidades en los Estados frágiles.</w:t>
      </w:r>
    </w:p>
    <w:p w14:paraId="332DF5A2" w14:textId="77777777" w:rsidR="00276BC4" w:rsidRPr="00276BC4" w:rsidRDefault="00276BC4" w:rsidP="00276BC4">
      <w:pPr>
        <w:spacing w:after="360" w:line="360" w:lineRule="auto"/>
        <w:ind w:right="-159"/>
        <w:jc w:val="both"/>
        <w:rPr>
          <w:rFonts w:eastAsia="Calibri"/>
          <w:b/>
          <w:sz w:val="26"/>
          <w:szCs w:val="26"/>
          <w:lang w:eastAsia="en-US"/>
        </w:rPr>
      </w:pPr>
      <w:r w:rsidRPr="00276BC4">
        <w:rPr>
          <w:rFonts w:eastAsia="Calibri"/>
          <w:b/>
          <w:sz w:val="26"/>
          <w:szCs w:val="26"/>
          <w:lang w:eastAsia="en-US"/>
        </w:rPr>
        <w:t>Conclusión: Ahora es el momento</w:t>
      </w:r>
    </w:p>
    <w:p w14:paraId="05350A3E" w14:textId="77777777" w:rsidR="00276BC4" w:rsidRPr="00276BC4" w:rsidRDefault="00276BC4" w:rsidP="00276BC4">
      <w:pPr>
        <w:spacing w:after="360" w:line="360" w:lineRule="auto"/>
        <w:ind w:right="-159"/>
        <w:jc w:val="both"/>
        <w:rPr>
          <w:rFonts w:eastAsia="Calibri"/>
          <w:sz w:val="26"/>
          <w:szCs w:val="26"/>
          <w:lang w:eastAsia="en-US"/>
        </w:rPr>
      </w:pPr>
      <w:r w:rsidRPr="00276BC4">
        <w:rPr>
          <w:rFonts w:eastAsia="Calibri"/>
          <w:sz w:val="26"/>
          <w:szCs w:val="26"/>
          <w:lang w:eastAsia="en-US"/>
        </w:rPr>
        <w:t>Como señalé, la única manera de lograr esto es trabajando juntos.</w:t>
      </w:r>
    </w:p>
    <w:p w14:paraId="5ED69D73" w14:textId="77777777" w:rsidR="00276BC4" w:rsidRPr="00276BC4" w:rsidRDefault="00276BC4" w:rsidP="00276BC4">
      <w:pPr>
        <w:spacing w:after="360" w:line="360" w:lineRule="auto"/>
        <w:ind w:right="-159"/>
        <w:jc w:val="both"/>
        <w:rPr>
          <w:rFonts w:eastAsia="Calibri"/>
          <w:sz w:val="26"/>
          <w:szCs w:val="26"/>
          <w:lang w:eastAsia="en-US"/>
        </w:rPr>
      </w:pPr>
      <w:r w:rsidRPr="00276BC4">
        <w:rPr>
          <w:rFonts w:eastAsia="Calibri"/>
          <w:sz w:val="26"/>
          <w:szCs w:val="26"/>
          <w:lang w:eastAsia="en-US"/>
        </w:rPr>
        <w:t>Esto se aplica a todos los aspectos a los que me he referido: desde el crecimiento más vigoroso hoy en día, al mejor crecimiento mañana; desde un sistema monetario internacional más resistente, a un sistema de desarrollo internacional más robusto; desde el mundo en el que vivimos hoy en día, al mundo que podemos crear para el futuro.</w:t>
      </w:r>
    </w:p>
    <w:p w14:paraId="6A633611" w14:textId="77777777" w:rsidR="00276BC4" w:rsidRPr="00276BC4" w:rsidRDefault="00276BC4" w:rsidP="00276BC4">
      <w:pPr>
        <w:spacing w:after="360" w:line="360" w:lineRule="auto"/>
        <w:ind w:right="-159"/>
        <w:jc w:val="both"/>
        <w:rPr>
          <w:rFonts w:eastAsia="Calibri"/>
          <w:sz w:val="26"/>
          <w:szCs w:val="26"/>
          <w:lang w:eastAsia="en-US"/>
        </w:rPr>
      </w:pPr>
      <w:r w:rsidRPr="00276BC4">
        <w:rPr>
          <w:rFonts w:eastAsia="Calibri"/>
          <w:sz w:val="26"/>
          <w:szCs w:val="26"/>
          <w:lang w:eastAsia="en-US"/>
        </w:rPr>
        <w:t>El éxito dependerá de un compromiso renovado con los principios de la cooperación internacional que tanto nos han ayudado a la hora de hacer frente a los grandes desafíos mundiales. Necesitamos con urgencia este nuevo multilateralismo para fomentar el crecimiento y generar confianza en nuestro futuro compartido.</w:t>
      </w:r>
    </w:p>
    <w:p w14:paraId="7B1E1C97" w14:textId="77777777" w:rsidR="00276BC4" w:rsidRPr="00276BC4" w:rsidRDefault="00276BC4" w:rsidP="00276BC4">
      <w:pPr>
        <w:spacing w:after="360" w:line="360" w:lineRule="auto"/>
        <w:ind w:right="-159"/>
        <w:jc w:val="both"/>
        <w:rPr>
          <w:rFonts w:eastAsia="Calibri"/>
          <w:sz w:val="26"/>
          <w:szCs w:val="26"/>
          <w:lang w:eastAsia="en-US"/>
        </w:rPr>
      </w:pPr>
      <w:r w:rsidRPr="00276BC4">
        <w:rPr>
          <w:rFonts w:eastAsia="Calibri"/>
          <w:sz w:val="26"/>
          <w:szCs w:val="26"/>
          <w:lang w:eastAsia="en-US"/>
        </w:rPr>
        <w:lastRenderedPageBreak/>
        <w:t>Hoy comencé con una cita de un gran defensor de la cooperación transatlántica de este lado del océano, el Presidente Kennedy. Permítanme concluir con un eco proveniente del otro lado del océano. Winston Churchill una vez dijo:</w:t>
      </w:r>
    </w:p>
    <w:p w14:paraId="4D3BB4B5" w14:textId="77777777" w:rsidR="00276BC4" w:rsidRPr="00276BC4" w:rsidRDefault="00276BC4" w:rsidP="00276BC4">
      <w:pPr>
        <w:spacing w:after="360" w:line="360" w:lineRule="auto"/>
        <w:ind w:right="-159"/>
        <w:jc w:val="both"/>
        <w:rPr>
          <w:rFonts w:eastAsia="Calibri"/>
          <w:sz w:val="26"/>
          <w:szCs w:val="26"/>
          <w:lang w:eastAsia="en-US"/>
        </w:rPr>
      </w:pPr>
      <w:r w:rsidRPr="00276BC4">
        <w:rPr>
          <w:rFonts w:eastAsia="Calibri"/>
          <w:sz w:val="26"/>
          <w:szCs w:val="26"/>
          <w:lang w:eastAsia="en-US"/>
        </w:rPr>
        <w:t>“Nunca me preocupa la acción, solo la inacción”.</w:t>
      </w:r>
    </w:p>
    <w:p w14:paraId="0690544E" w14:textId="77777777" w:rsidR="00276BC4" w:rsidRPr="00276BC4" w:rsidRDefault="00276BC4" w:rsidP="00276BC4">
      <w:pPr>
        <w:spacing w:after="360" w:line="360" w:lineRule="auto"/>
        <w:ind w:right="-159"/>
        <w:jc w:val="both"/>
        <w:rPr>
          <w:rFonts w:eastAsia="Calibri"/>
          <w:sz w:val="26"/>
          <w:szCs w:val="26"/>
          <w:lang w:eastAsia="en-US"/>
        </w:rPr>
      </w:pPr>
      <w:r w:rsidRPr="00276BC4">
        <w:rPr>
          <w:rFonts w:eastAsia="Calibri"/>
          <w:sz w:val="26"/>
          <w:szCs w:val="26"/>
          <w:lang w:eastAsia="en-US"/>
        </w:rPr>
        <w:t>Podemos y tenemos que promover un mejor crecimiento hoy, mañana, y juntos.</w:t>
      </w:r>
    </w:p>
    <w:p w14:paraId="69FEF1ED" w14:textId="77777777" w:rsidR="00276BC4" w:rsidRPr="00276BC4" w:rsidRDefault="00276BC4" w:rsidP="00276BC4">
      <w:pPr>
        <w:spacing w:after="360" w:line="360" w:lineRule="auto"/>
        <w:ind w:right="-159"/>
        <w:jc w:val="both"/>
        <w:rPr>
          <w:rFonts w:eastAsia="Calibri"/>
          <w:sz w:val="26"/>
          <w:szCs w:val="26"/>
          <w:lang w:eastAsia="en-US"/>
        </w:rPr>
      </w:pPr>
      <w:r w:rsidRPr="00276BC4">
        <w:rPr>
          <w:rFonts w:eastAsia="Calibri"/>
          <w:sz w:val="26"/>
          <w:szCs w:val="26"/>
          <w:lang w:eastAsia="en-US"/>
        </w:rPr>
        <w:t>Gracias.”</w:t>
      </w:r>
    </w:p>
    <w:p w14:paraId="7493F6C6" w14:textId="77777777" w:rsidR="00276BC4" w:rsidRPr="00276BC4" w:rsidRDefault="00276BC4" w:rsidP="00276BC4">
      <w:pPr>
        <w:tabs>
          <w:tab w:val="left" w:pos="2970"/>
        </w:tabs>
        <w:ind w:right="-159"/>
        <w:jc w:val="both"/>
        <w:rPr>
          <w:rFonts w:eastAsia="Calibri"/>
          <w:b/>
          <w:sz w:val="20"/>
          <w:szCs w:val="26"/>
          <w:lang w:eastAsia="en-US"/>
        </w:rPr>
      </w:pPr>
      <w:r w:rsidRPr="00276BC4">
        <w:rPr>
          <w:rFonts w:eastAsia="Calibri"/>
          <w:b/>
          <w:sz w:val="20"/>
          <w:szCs w:val="26"/>
          <w:lang w:eastAsia="en-US"/>
        </w:rPr>
        <w:t>Fuente de información:</w:t>
      </w:r>
    </w:p>
    <w:p w14:paraId="6B6EF66C" w14:textId="77777777" w:rsidR="00276BC4" w:rsidRPr="00330C00" w:rsidRDefault="00AB7A4A" w:rsidP="00330C00">
      <w:pPr>
        <w:spacing w:after="720"/>
        <w:ind w:right="-159"/>
        <w:jc w:val="both"/>
        <w:rPr>
          <w:rFonts w:eastAsia="Calibri"/>
          <w:color w:val="0000FF"/>
          <w:sz w:val="20"/>
          <w:szCs w:val="20"/>
          <w:lang w:eastAsia="en-US"/>
        </w:rPr>
      </w:pPr>
      <w:hyperlink r:id="rId12" w:history="1">
        <w:r w:rsidR="00276BC4" w:rsidRPr="00330C00">
          <w:rPr>
            <w:rFonts w:eastAsia="Calibri"/>
            <w:color w:val="0000FF"/>
            <w:sz w:val="20"/>
            <w:szCs w:val="20"/>
            <w:u w:val="single"/>
            <w:lang w:eastAsia="en-US"/>
          </w:rPr>
          <w:t>http://www.imf.org/external/spanish/np/speeches/2015/040915s.htm</w:t>
        </w:r>
      </w:hyperlink>
      <w:r w:rsidR="00276BC4" w:rsidRPr="00330C00">
        <w:rPr>
          <w:rFonts w:eastAsia="Calibri"/>
          <w:color w:val="0000FF"/>
          <w:sz w:val="20"/>
          <w:szCs w:val="20"/>
          <w:lang w:eastAsia="en-US"/>
        </w:rPr>
        <w:t xml:space="preserve"> </w:t>
      </w:r>
    </w:p>
    <w:p w14:paraId="1D38EFD5" w14:textId="77777777" w:rsidR="00E42758" w:rsidRPr="00E42758" w:rsidRDefault="00E42758" w:rsidP="00E42758">
      <w:pPr>
        <w:ind w:right="-159"/>
        <w:jc w:val="both"/>
        <w:rPr>
          <w:rFonts w:eastAsia="Calibri"/>
          <w:b/>
          <w:sz w:val="26"/>
          <w:szCs w:val="26"/>
          <w:lang w:eastAsia="en-US"/>
        </w:rPr>
      </w:pPr>
      <w:r w:rsidRPr="00E42758">
        <w:rPr>
          <w:rFonts w:eastAsia="Calibri"/>
          <w:b/>
          <w:sz w:val="26"/>
          <w:szCs w:val="26"/>
          <w:lang w:eastAsia="en-US"/>
        </w:rPr>
        <w:t>Evitar que la “nueva mediocridad se convierta</w:t>
      </w:r>
    </w:p>
    <w:p w14:paraId="2C558FC1" w14:textId="77777777" w:rsidR="00E42758" w:rsidRPr="00E42758" w:rsidRDefault="00E42758" w:rsidP="00E42758">
      <w:pPr>
        <w:spacing w:after="360" w:line="360" w:lineRule="auto"/>
        <w:ind w:right="-159"/>
        <w:jc w:val="both"/>
        <w:rPr>
          <w:rFonts w:eastAsia="Calibri"/>
          <w:b/>
          <w:sz w:val="26"/>
          <w:szCs w:val="26"/>
          <w:lang w:eastAsia="en-US"/>
        </w:rPr>
      </w:pPr>
      <w:r w:rsidRPr="00E42758">
        <w:rPr>
          <w:rFonts w:eastAsia="Calibri"/>
          <w:b/>
          <w:sz w:val="26"/>
          <w:szCs w:val="26"/>
          <w:lang w:eastAsia="en-US"/>
        </w:rPr>
        <w:t>en una “nueva realidad” (FMI)</w:t>
      </w:r>
    </w:p>
    <w:p w14:paraId="69789CA1" w14:textId="6A61716F" w:rsidR="00E42758" w:rsidRPr="00E42758" w:rsidRDefault="00E42758" w:rsidP="00E42758">
      <w:pPr>
        <w:spacing w:after="360" w:line="360" w:lineRule="auto"/>
        <w:ind w:right="-159"/>
        <w:jc w:val="both"/>
        <w:rPr>
          <w:rFonts w:eastAsia="Calibri"/>
          <w:sz w:val="26"/>
          <w:szCs w:val="26"/>
          <w:lang w:eastAsia="en-US"/>
        </w:rPr>
      </w:pPr>
      <w:r w:rsidRPr="00E42758">
        <w:rPr>
          <w:rFonts w:eastAsia="Calibri"/>
          <w:sz w:val="26"/>
          <w:szCs w:val="26"/>
          <w:lang w:eastAsia="en-US"/>
        </w:rPr>
        <w:t xml:space="preserve">El 9 de abril de 2015, </w:t>
      </w:r>
      <w:r w:rsidR="00AA0E1D">
        <w:rPr>
          <w:rFonts w:eastAsia="Calibri"/>
          <w:sz w:val="26"/>
          <w:szCs w:val="26"/>
          <w:lang w:eastAsia="en-US"/>
        </w:rPr>
        <w:t>la Directora Gerente d</w:t>
      </w:r>
      <w:r w:rsidRPr="00E42758">
        <w:rPr>
          <w:rFonts w:eastAsia="Calibri"/>
          <w:sz w:val="26"/>
          <w:szCs w:val="26"/>
          <w:lang w:eastAsia="en-US"/>
        </w:rPr>
        <w:t xml:space="preserve">el Fondo Monetario Internacional (FMI) </w:t>
      </w:r>
      <w:r w:rsidR="00AA0E1D">
        <w:rPr>
          <w:rFonts w:eastAsia="Calibri"/>
          <w:sz w:val="26"/>
          <w:szCs w:val="26"/>
          <w:lang w:eastAsia="en-US"/>
        </w:rPr>
        <w:t xml:space="preserve">afirmó, en un discurso pronunciado en el Atlantic Council </w:t>
      </w:r>
      <w:r w:rsidRPr="00E42758">
        <w:rPr>
          <w:rFonts w:eastAsia="Calibri"/>
          <w:sz w:val="26"/>
          <w:szCs w:val="26"/>
          <w:lang w:eastAsia="en-US"/>
        </w:rPr>
        <w:t>informó que para evitar que un período prolongado de bajo crecimiento eche raíces, las autoridades deben trabajar juntas para acelerar el ritmo de la recuperación y generar más crecimiento hoy y en el futuro</w:t>
      </w:r>
      <w:r w:rsidR="00AA0E1D">
        <w:rPr>
          <w:rFonts w:eastAsia="Calibri"/>
          <w:sz w:val="26"/>
          <w:szCs w:val="26"/>
          <w:lang w:eastAsia="en-US"/>
        </w:rPr>
        <w:t>. A</w:t>
      </w:r>
      <w:r w:rsidRPr="00E42758">
        <w:rPr>
          <w:rFonts w:eastAsia="Calibri"/>
          <w:sz w:val="26"/>
          <w:szCs w:val="26"/>
          <w:lang w:eastAsia="en-US"/>
        </w:rPr>
        <w:t xml:space="preserve"> continuación se presenta el discurso.</w:t>
      </w:r>
    </w:p>
    <w:p w14:paraId="531DAB32" w14:textId="77777777" w:rsidR="00E42758" w:rsidRPr="00E42758" w:rsidRDefault="00E42758" w:rsidP="00E42758">
      <w:pPr>
        <w:spacing w:after="360" w:line="360" w:lineRule="auto"/>
        <w:ind w:right="-159"/>
        <w:jc w:val="both"/>
        <w:rPr>
          <w:rFonts w:eastAsia="Calibri"/>
          <w:sz w:val="26"/>
          <w:szCs w:val="26"/>
          <w:lang w:eastAsia="en-US"/>
        </w:rPr>
      </w:pPr>
      <w:r w:rsidRPr="00E42758">
        <w:rPr>
          <w:rFonts w:eastAsia="Calibri"/>
          <w:sz w:val="26"/>
          <w:szCs w:val="26"/>
          <w:lang w:eastAsia="en-US"/>
        </w:rPr>
        <w:t>“Hace seis meses, advertí sobre el riesgo de una ‘nueva mediocridad’; o sea, una baja tasa de crecimiento durante mucho tiempo”, señaló la Directora Gerente del FMI. “Hoy, debemos evitar que esa ‘nueva mediocridad’ se transforme en la ‘nueva realidad’”.</w:t>
      </w:r>
    </w:p>
    <w:p w14:paraId="343D8DC8" w14:textId="77777777" w:rsidR="00E42758" w:rsidRPr="00E42758" w:rsidRDefault="00E42758" w:rsidP="00E42758">
      <w:pPr>
        <w:spacing w:after="360" w:line="360" w:lineRule="auto"/>
        <w:ind w:right="-159"/>
        <w:jc w:val="both"/>
        <w:rPr>
          <w:rFonts w:eastAsia="Calibri"/>
          <w:sz w:val="26"/>
          <w:szCs w:val="26"/>
          <w:lang w:eastAsia="en-US"/>
        </w:rPr>
      </w:pPr>
      <w:r w:rsidRPr="00E42758">
        <w:rPr>
          <w:rFonts w:eastAsia="Calibri"/>
          <w:sz w:val="26"/>
          <w:szCs w:val="26"/>
          <w:lang w:eastAsia="en-US"/>
        </w:rPr>
        <w:t xml:space="preserve">En un discurso pronunciado en vísperas de las Reuniones de Primavera del FMI y el Banco Mundial que se celebrarán en Washington del 17 al 19 de abril, la Directora Gerente del FMI observó que desde las Reuniones Anuales de octubre del año pasado la economía mundial se ha beneficiado del descenso de los precios del petróleo y de un sólido desempeño de la principal economía del mundo, Estados Unidos de </w:t>
      </w:r>
      <w:r w:rsidRPr="00E42758">
        <w:rPr>
          <w:rFonts w:eastAsia="Calibri"/>
          <w:sz w:val="26"/>
          <w:szCs w:val="26"/>
          <w:lang w:eastAsia="en-US"/>
        </w:rPr>
        <w:lastRenderedPageBreak/>
        <w:t>Norteamérica. “De modo que la recuperación mundial continúa, pero es moderada y desigual”.</w:t>
      </w:r>
    </w:p>
    <w:p w14:paraId="38750BB9" w14:textId="77777777" w:rsidR="00E42758" w:rsidRPr="00E42758" w:rsidRDefault="00E42758" w:rsidP="00E42758">
      <w:pPr>
        <w:spacing w:after="360" w:line="360" w:lineRule="auto"/>
        <w:ind w:right="-159"/>
        <w:jc w:val="both"/>
        <w:rPr>
          <w:rFonts w:eastAsia="Calibri"/>
          <w:sz w:val="26"/>
          <w:szCs w:val="26"/>
          <w:lang w:eastAsia="en-US"/>
        </w:rPr>
      </w:pPr>
      <w:r w:rsidRPr="00E42758">
        <w:rPr>
          <w:rFonts w:eastAsia="Calibri"/>
          <w:sz w:val="26"/>
          <w:szCs w:val="26"/>
          <w:lang w:eastAsia="en-US"/>
        </w:rPr>
        <w:t>“El desafío para las autoridades en todo el mundo consiste en combinar las políticas necesarias para estimular el crecimiento hoy en día con aquellas que refuerzan las perspectivas para el futuro”, explicó.</w:t>
      </w:r>
    </w:p>
    <w:p w14:paraId="7D4F786B" w14:textId="11921E59" w:rsidR="00E42758" w:rsidRPr="00E42758" w:rsidRDefault="00AA0E1D" w:rsidP="00E42758">
      <w:pPr>
        <w:spacing w:after="360" w:line="360" w:lineRule="auto"/>
        <w:ind w:right="-159"/>
        <w:jc w:val="both"/>
        <w:rPr>
          <w:rFonts w:eastAsia="Calibri"/>
          <w:sz w:val="26"/>
          <w:szCs w:val="26"/>
          <w:lang w:eastAsia="en-US"/>
        </w:rPr>
      </w:pPr>
      <w:r>
        <w:rPr>
          <w:rFonts w:eastAsia="Calibri"/>
          <w:sz w:val="26"/>
          <w:szCs w:val="26"/>
          <w:lang w:eastAsia="en-US"/>
        </w:rPr>
        <w:t xml:space="preserve">Asimismo, </w:t>
      </w:r>
      <w:r w:rsidR="00E42758" w:rsidRPr="00E42758">
        <w:rPr>
          <w:rFonts w:eastAsia="Calibri"/>
          <w:sz w:val="26"/>
          <w:szCs w:val="26"/>
          <w:lang w:eastAsia="en-US"/>
        </w:rPr>
        <w:t>subrayó que el crecimiento mundial no es malo —3.4% el año pasado coincide más o menos con el promedio de las tres últimas décadas—, pero “sencillamente no basta”. Instó a las autoridades a seguir impulsando las reformas necesarias.</w:t>
      </w:r>
    </w:p>
    <w:p w14:paraId="6CCB9442" w14:textId="5E1BD247" w:rsidR="00E42758" w:rsidRPr="00E42758" w:rsidRDefault="00E42758" w:rsidP="00E42758">
      <w:pPr>
        <w:spacing w:after="360" w:line="360" w:lineRule="auto"/>
        <w:ind w:right="-159"/>
        <w:jc w:val="both"/>
        <w:rPr>
          <w:rFonts w:eastAsia="Calibri"/>
          <w:sz w:val="26"/>
          <w:szCs w:val="26"/>
          <w:lang w:eastAsia="en-US"/>
        </w:rPr>
      </w:pPr>
      <w:r w:rsidRPr="00E42758">
        <w:rPr>
          <w:rFonts w:eastAsia="Calibri"/>
          <w:sz w:val="26"/>
          <w:szCs w:val="26"/>
          <w:lang w:eastAsia="en-US"/>
        </w:rPr>
        <w:t xml:space="preserve">Con una cita de John F. Kennedy acerca de los riesgos de la inacción, la </w:t>
      </w:r>
      <w:r w:rsidR="00AA0E1D">
        <w:rPr>
          <w:rFonts w:eastAsia="Calibri"/>
          <w:sz w:val="26"/>
          <w:szCs w:val="26"/>
          <w:lang w:eastAsia="en-US"/>
        </w:rPr>
        <w:t>Titular del FM</w:t>
      </w:r>
      <w:r w:rsidRPr="00E42758">
        <w:rPr>
          <w:rFonts w:eastAsia="Calibri"/>
          <w:sz w:val="26"/>
          <w:szCs w:val="26"/>
          <w:lang w:eastAsia="en-US"/>
        </w:rPr>
        <w:t>I advirtió del peligro de “quedarse cómodamente cruzados de brazos.”</w:t>
      </w:r>
    </w:p>
    <w:p w14:paraId="59039DB0" w14:textId="77777777" w:rsidR="00E42758" w:rsidRPr="00E42758" w:rsidRDefault="00E42758" w:rsidP="00E42758">
      <w:pPr>
        <w:spacing w:after="360" w:line="360" w:lineRule="auto"/>
        <w:ind w:right="-159"/>
        <w:jc w:val="both"/>
        <w:rPr>
          <w:rFonts w:eastAsia="Calibri"/>
          <w:b/>
          <w:sz w:val="26"/>
          <w:szCs w:val="26"/>
          <w:lang w:eastAsia="en-US"/>
        </w:rPr>
      </w:pPr>
      <w:r w:rsidRPr="00E42758">
        <w:rPr>
          <w:rFonts w:eastAsia="Calibri"/>
          <w:b/>
          <w:sz w:val="26"/>
          <w:szCs w:val="26"/>
          <w:lang w:eastAsia="en-US"/>
        </w:rPr>
        <w:t>Promover el crecimiento hoy</w:t>
      </w:r>
    </w:p>
    <w:p w14:paraId="7AC5508F" w14:textId="78D95359" w:rsidR="00E42758" w:rsidRPr="00E42758" w:rsidRDefault="00E42758" w:rsidP="00E42758">
      <w:pPr>
        <w:spacing w:after="360" w:line="360" w:lineRule="auto"/>
        <w:ind w:right="-159"/>
        <w:jc w:val="both"/>
        <w:rPr>
          <w:rFonts w:eastAsia="Calibri"/>
          <w:sz w:val="26"/>
          <w:szCs w:val="26"/>
          <w:lang w:eastAsia="en-US"/>
        </w:rPr>
      </w:pPr>
      <w:r w:rsidRPr="00E42758">
        <w:rPr>
          <w:rFonts w:eastAsia="Calibri"/>
          <w:sz w:val="26"/>
          <w:szCs w:val="26"/>
          <w:lang w:eastAsia="en-US"/>
        </w:rPr>
        <w:t>La Directora Gerente del FMI dijo que el crecimiento sigue siendo moderado, que se sitúa en un nivel más o menos igual al del año anterior. Las economías avanzadas están teniendo un desempeño un poco mejor que el año pasado y las perspectivas en la zona del euro están mejorando. Pero los pronósticos para la mayoría de las economías emergentes y en desarrollo han empeorado un poco con respecto a 2014, principalmente debido al nivel más bajo de los precios de las materias primas. Sin embargo, señaló que “existe una tremenda diversidad dentro de este grupo de economías”.</w:t>
      </w:r>
    </w:p>
    <w:p w14:paraId="7EB0862A" w14:textId="77777777" w:rsidR="00E42758" w:rsidRPr="00E42758" w:rsidRDefault="00E42758" w:rsidP="00E42758">
      <w:pPr>
        <w:spacing w:after="360" w:line="360" w:lineRule="auto"/>
        <w:ind w:right="-159"/>
        <w:jc w:val="both"/>
        <w:rPr>
          <w:rFonts w:eastAsia="Calibri"/>
          <w:sz w:val="26"/>
          <w:szCs w:val="26"/>
          <w:lang w:eastAsia="en-US"/>
        </w:rPr>
      </w:pPr>
      <w:r w:rsidRPr="00E42758">
        <w:rPr>
          <w:rFonts w:eastAsia="Calibri"/>
          <w:sz w:val="26"/>
          <w:szCs w:val="26"/>
          <w:lang w:eastAsia="en-US"/>
        </w:rPr>
        <w:t>Con un crecimiento general moderado, la economía mundial continúa enfrentando considerables desafíos:</w:t>
      </w:r>
    </w:p>
    <w:p w14:paraId="55180227" w14:textId="77777777" w:rsidR="00E42758" w:rsidRPr="00E42758" w:rsidRDefault="00E42758" w:rsidP="00E42758">
      <w:pPr>
        <w:spacing w:after="360" w:line="360" w:lineRule="auto"/>
        <w:ind w:right="-159"/>
        <w:jc w:val="both"/>
        <w:rPr>
          <w:rFonts w:eastAsia="Calibri"/>
          <w:sz w:val="26"/>
          <w:szCs w:val="26"/>
          <w:lang w:eastAsia="en-US"/>
        </w:rPr>
      </w:pPr>
      <w:r w:rsidRPr="00E42758">
        <w:rPr>
          <w:rFonts w:eastAsia="Calibri"/>
          <w:sz w:val="26"/>
          <w:szCs w:val="26"/>
          <w:lang w:eastAsia="en-US"/>
        </w:rPr>
        <w:t xml:space="preserve">Riesgos macroeconómicos. En varias economías avanzadas persiste el riesgo de bajos niveles de crecimiento e inflación y altos niveles de deuda y desempleo. Estos países </w:t>
      </w:r>
      <w:r w:rsidRPr="00E42758">
        <w:rPr>
          <w:rFonts w:eastAsia="Calibri"/>
          <w:sz w:val="26"/>
          <w:szCs w:val="26"/>
          <w:lang w:eastAsia="en-US"/>
        </w:rPr>
        <w:lastRenderedPageBreak/>
        <w:t>deben aplicar políticas de apoyo a la demanda para promover hoy el crecimiento. Es necesario mantener la orientación acomodaticia de la política monetaria, especialmente en la zona del euro y Japón, y la política fiscal debería calibrarse mejor en función del vigor de la recuperación.</w:t>
      </w:r>
    </w:p>
    <w:p w14:paraId="1517669D" w14:textId="77777777" w:rsidR="00E42758" w:rsidRPr="00E42758" w:rsidRDefault="00E42758" w:rsidP="00E42758">
      <w:pPr>
        <w:spacing w:after="360" w:line="360" w:lineRule="auto"/>
        <w:ind w:right="-159"/>
        <w:jc w:val="both"/>
        <w:rPr>
          <w:rFonts w:eastAsia="Calibri"/>
          <w:sz w:val="26"/>
          <w:szCs w:val="26"/>
          <w:lang w:eastAsia="en-US"/>
        </w:rPr>
      </w:pPr>
      <w:r w:rsidRPr="00E42758">
        <w:rPr>
          <w:rFonts w:eastAsia="Calibri"/>
          <w:sz w:val="26"/>
          <w:szCs w:val="26"/>
          <w:lang w:eastAsia="en-US"/>
        </w:rPr>
        <w:t>Riesgos financieros. Los riesgos para la estabilidad financiera mundial se están agudizando y también se están desplazando, por ejemplo, del sector bancario al no bancario, y de las economías avanzadas a los mercados emergentes. Para abordar estos riesgos, lo que se necesita a nivel mundial es garantizar la liquidez del mercado en momentos de tensión, mejorando las políticas macro y microprudenciales del sector no bancario, y poniendo en práctica el programa de reforma regulatoria. Y a nivel de país implica restringir la asunción excesiva de riesgos y manejar las vulnerabilidades que ya existan.</w:t>
      </w:r>
    </w:p>
    <w:p w14:paraId="3DC863B6" w14:textId="77777777" w:rsidR="00E42758" w:rsidRPr="00E42758" w:rsidRDefault="00E42758" w:rsidP="00E42758">
      <w:pPr>
        <w:spacing w:after="360" w:line="360" w:lineRule="auto"/>
        <w:ind w:right="-159"/>
        <w:jc w:val="both"/>
        <w:rPr>
          <w:rFonts w:eastAsia="Calibri"/>
          <w:b/>
          <w:sz w:val="26"/>
          <w:szCs w:val="26"/>
          <w:lang w:eastAsia="en-US"/>
        </w:rPr>
      </w:pPr>
      <w:r w:rsidRPr="00E42758">
        <w:rPr>
          <w:rFonts w:eastAsia="Calibri"/>
          <w:b/>
          <w:sz w:val="26"/>
          <w:szCs w:val="26"/>
          <w:lang w:eastAsia="en-US"/>
        </w:rPr>
        <w:t>Crecimiento más sólido en el futuro</w:t>
      </w:r>
    </w:p>
    <w:p w14:paraId="4BA60C51" w14:textId="77777777" w:rsidR="00E42758" w:rsidRPr="00E42758" w:rsidRDefault="00E42758" w:rsidP="00E42758">
      <w:pPr>
        <w:spacing w:after="360" w:line="360" w:lineRule="auto"/>
        <w:ind w:right="-159"/>
        <w:jc w:val="both"/>
        <w:rPr>
          <w:rFonts w:eastAsia="Calibri"/>
          <w:sz w:val="26"/>
          <w:szCs w:val="26"/>
          <w:lang w:eastAsia="en-US"/>
        </w:rPr>
      </w:pPr>
      <w:r w:rsidRPr="00E42758">
        <w:rPr>
          <w:rFonts w:eastAsia="Calibri"/>
          <w:sz w:val="26"/>
          <w:szCs w:val="26"/>
          <w:lang w:eastAsia="en-US"/>
        </w:rPr>
        <w:t>La Directora Gerente del FMI indicó que tanto en las economías avanzadas como en las de mercados emergentes, el crecimiento potencial está siendo revisado a la baja, en gran medida debido a las secuelas duraderas de la crisis financiera. Esto significa que “las reformas estructurales tienen que ir de la mano de políticas macroeconómicas y financieras para elevar la confianza y generar inversión”.</w:t>
      </w:r>
    </w:p>
    <w:p w14:paraId="3C33590A" w14:textId="0CE582AF" w:rsidR="00E42758" w:rsidRPr="00E42758" w:rsidRDefault="00E42758" w:rsidP="00E42758">
      <w:pPr>
        <w:spacing w:after="360" w:line="360" w:lineRule="auto"/>
        <w:ind w:right="-159"/>
        <w:jc w:val="both"/>
        <w:rPr>
          <w:rFonts w:eastAsia="Calibri"/>
          <w:sz w:val="26"/>
          <w:szCs w:val="26"/>
          <w:lang w:eastAsia="en-US"/>
        </w:rPr>
      </w:pPr>
      <w:r w:rsidRPr="00E42758">
        <w:rPr>
          <w:rFonts w:eastAsia="Calibri"/>
          <w:sz w:val="26"/>
          <w:szCs w:val="26"/>
          <w:lang w:eastAsia="en-US"/>
        </w:rPr>
        <w:t xml:space="preserve">Mientras ciertas reformas estructurales demoran más en dar fruto, otras tienen un efecto más inmediato en la demanda. “Nuestros estudios demuestran que al promover la inversión eficiente en infraestructura se puede transmitir un fuerte ímpetu al crecimiento tanto a corto como a largo plazo”, observó la </w:t>
      </w:r>
      <w:r w:rsidR="00AA0E1D">
        <w:rPr>
          <w:rFonts w:eastAsia="Calibri"/>
          <w:sz w:val="26"/>
          <w:szCs w:val="26"/>
          <w:lang w:eastAsia="en-US"/>
        </w:rPr>
        <w:t>funcionaria</w:t>
      </w:r>
      <w:r w:rsidRPr="00E42758">
        <w:rPr>
          <w:rFonts w:eastAsia="Calibri"/>
          <w:sz w:val="26"/>
          <w:szCs w:val="26"/>
          <w:lang w:eastAsia="en-US"/>
        </w:rPr>
        <w:t>.</w:t>
      </w:r>
    </w:p>
    <w:p w14:paraId="18EBB7C4" w14:textId="5818227E" w:rsidR="00E42758" w:rsidRPr="00E42758" w:rsidRDefault="00AA0E1D" w:rsidP="00E42758">
      <w:pPr>
        <w:spacing w:after="360" w:line="360" w:lineRule="auto"/>
        <w:ind w:right="-159"/>
        <w:jc w:val="both"/>
        <w:rPr>
          <w:rFonts w:eastAsia="Calibri"/>
          <w:sz w:val="26"/>
          <w:szCs w:val="26"/>
          <w:lang w:eastAsia="en-US"/>
        </w:rPr>
      </w:pPr>
      <w:r>
        <w:rPr>
          <w:rFonts w:eastAsia="Calibri"/>
          <w:sz w:val="26"/>
          <w:szCs w:val="26"/>
          <w:lang w:eastAsia="en-US"/>
        </w:rPr>
        <w:t>T</w:t>
      </w:r>
      <w:r w:rsidR="00E42758" w:rsidRPr="00E42758">
        <w:rPr>
          <w:rFonts w:eastAsia="Calibri"/>
          <w:sz w:val="26"/>
          <w:szCs w:val="26"/>
          <w:lang w:eastAsia="en-US"/>
        </w:rPr>
        <w:t>ambién destacó las investigaciones recientes del FMI que ponen de relieve las prioridades y las ventajas que se lograrían en los ámbitos de crecimiento de la productividad, participación en la fuerza laboral y comercio.</w:t>
      </w:r>
    </w:p>
    <w:p w14:paraId="25F59998" w14:textId="77777777" w:rsidR="00E42758" w:rsidRPr="00E42758" w:rsidRDefault="00E42758" w:rsidP="002D3902">
      <w:pPr>
        <w:numPr>
          <w:ilvl w:val="0"/>
          <w:numId w:val="118"/>
        </w:numPr>
        <w:spacing w:after="360" w:line="360" w:lineRule="auto"/>
        <w:ind w:left="714" w:right="-159" w:hanging="357"/>
        <w:jc w:val="both"/>
        <w:rPr>
          <w:rFonts w:eastAsia="Calibri"/>
          <w:sz w:val="26"/>
          <w:szCs w:val="26"/>
          <w:lang w:eastAsia="en-US"/>
        </w:rPr>
      </w:pPr>
      <w:r w:rsidRPr="00E42758">
        <w:rPr>
          <w:rFonts w:eastAsia="Calibri"/>
          <w:sz w:val="26"/>
          <w:szCs w:val="26"/>
          <w:lang w:eastAsia="en-US"/>
        </w:rPr>
        <w:lastRenderedPageBreak/>
        <w:t>Primero, para revertir el descenso del crecimiento de la productividad en las economías avanzadas es necesario reducir las barreras que dificultan la entrada a los mercados de productos y servicios.</w:t>
      </w:r>
    </w:p>
    <w:p w14:paraId="5A122952" w14:textId="77777777" w:rsidR="00E42758" w:rsidRPr="00E42758" w:rsidRDefault="00E42758" w:rsidP="002D3902">
      <w:pPr>
        <w:numPr>
          <w:ilvl w:val="0"/>
          <w:numId w:val="118"/>
        </w:numPr>
        <w:spacing w:after="360" w:line="360" w:lineRule="auto"/>
        <w:ind w:left="714" w:right="-159" w:hanging="357"/>
        <w:jc w:val="both"/>
        <w:rPr>
          <w:rFonts w:eastAsia="Calibri"/>
          <w:sz w:val="26"/>
          <w:szCs w:val="26"/>
          <w:lang w:eastAsia="en-US"/>
        </w:rPr>
      </w:pPr>
      <w:r w:rsidRPr="00E42758">
        <w:rPr>
          <w:rFonts w:eastAsia="Calibri"/>
          <w:sz w:val="26"/>
          <w:szCs w:val="26"/>
          <w:lang w:eastAsia="en-US"/>
        </w:rPr>
        <w:t>Segundo, eliminar las barreras a la participación en la fuerza laboral es crucial para combatir la desigualdad y garantizar un crecimiento de amplia base.</w:t>
      </w:r>
    </w:p>
    <w:p w14:paraId="05C8051C" w14:textId="77777777" w:rsidR="00E42758" w:rsidRPr="00E42758" w:rsidRDefault="00E42758" w:rsidP="002D3902">
      <w:pPr>
        <w:numPr>
          <w:ilvl w:val="0"/>
          <w:numId w:val="118"/>
        </w:numPr>
        <w:spacing w:after="360" w:line="360" w:lineRule="auto"/>
        <w:ind w:left="714" w:right="-159" w:hanging="357"/>
        <w:jc w:val="both"/>
        <w:rPr>
          <w:rFonts w:eastAsia="Calibri"/>
          <w:sz w:val="26"/>
          <w:szCs w:val="26"/>
          <w:lang w:eastAsia="en-US"/>
        </w:rPr>
      </w:pPr>
      <w:r w:rsidRPr="00E42758">
        <w:rPr>
          <w:rFonts w:eastAsia="Calibri"/>
          <w:sz w:val="26"/>
          <w:szCs w:val="26"/>
          <w:lang w:eastAsia="en-US"/>
        </w:rPr>
        <w:t>Tercero, a escala mundial hay ventajas potencialmente enormes que se podrían aprovechar mediante una mayor reforma del comercio e integración.</w:t>
      </w:r>
    </w:p>
    <w:p w14:paraId="6578C03D" w14:textId="77777777" w:rsidR="00E42758" w:rsidRPr="00E42758" w:rsidRDefault="00E42758" w:rsidP="00E42758">
      <w:pPr>
        <w:spacing w:after="360" w:line="360" w:lineRule="auto"/>
        <w:ind w:right="-159"/>
        <w:jc w:val="both"/>
        <w:rPr>
          <w:rFonts w:eastAsia="Calibri"/>
          <w:b/>
          <w:sz w:val="26"/>
          <w:szCs w:val="26"/>
          <w:lang w:eastAsia="en-US"/>
        </w:rPr>
      </w:pPr>
      <w:r w:rsidRPr="00E42758">
        <w:rPr>
          <w:rFonts w:eastAsia="Calibri"/>
          <w:b/>
          <w:sz w:val="26"/>
          <w:szCs w:val="26"/>
          <w:lang w:eastAsia="en-US"/>
        </w:rPr>
        <w:t>Trabajar juntos</w:t>
      </w:r>
    </w:p>
    <w:p w14:paraId="6473BF6C" w14:textId="77777777" w:rsidR="00E42758" w:rsidRPr="00E42758" w:rsidRDefault="00E42758" w:rsidP="00E42758">
      <w:pPr>
        <w:spacing w:after="360" w:line="360" w:lineRule="auto"/>
        <w:ind w:right="-159"/>
        <w:jc w:val="both"/>
        <w:rPr>
          <w:rFonts w:eastAsia="Calibri"/>
          <w:sz w:val="26"/>
          <w:szCs w:val="26"/>
          <w:lang w:eastAsia="en-US"/>
        </w:rPr>
      </w:pPr>
      <w:r w:rsidRPr="00E42758">
        <w:rPr>
          <w:rFonts w:eastAsia="Calibri"/>
          <w:sz w:val="26"/>
          <w:szCs w:val="26"/>
          <w:lang w:eastAsia="en-US"/>
        </w:rPr>
        <w:t>La Directora Gerente del FMI destacó la necesidad de un sistema multilateral abierto y resistente que pueda aprovechar estas ventajas a escala nacional y que ayude a evitar incongruencias que puedan dar lugar a efectos de contagio negativos.</w:t>
      </w:r>
    </w:p>
    <w:p w14:paraId="47837537" w14:textId="0B8C83F5" w:rsidR="00E42758" w:rsidRPr="00E42758" w:rsidRDefault="00E42758" w:rsidP="00E42758">
      <w:pPr>
        <w:spacing w:after="360" w:line="360" w:lineRule="auto"/>
        <w:ind w:right="-159"/>
        <w:jc w:val="both"/>
        <w:rPr>
          <w:rFonts w:eastAsia="Calibri"/>
          <w:sz w:val="26"/>
          <w:szCs w:val="26"/>
          <w:lang w:eastAsia="en-US"/>
        </w:rPr>
      </w:pPr>
      <w:r w:rsidRPr="00E42758">
        <w:rPr>
          <w:rFonts w:eastAsia="Calibri"/>
          <w:sz w:val="26"/>
          <w:szCs w:val="26"/>
          <w:lang w:eastAsia="en-US"/>
        </w:rPr>
        <w:t xml:space="preserve">Los países de mercados emergentes y en desarrollo deben tener más peso y representación en las instituciones económicas mundiales, a fin de reflejar la nueva realidad de sus aportes y responsabilidades dentro de la economía mundial. </w:t>
      </w:r>
      <w:r w:rsidR="00AA0E1D">
        <w:rPr>
          <w:rFonts w:eastAsia="Calibri"/>
          <w:sz w:val="26"/>
          <w:szCs w:val="26"/>
          <w:lang w:eastAsia="en-US"/>
        </w:rPr>
        <w:t>De igual modo,</w:t>
      </w:r>
      <w:r w:rsidRPr="00E42758">
        <w:rPr>
          <w:rFonts w:eastAsia="Calibri"/>
          <w:sz w:val="26"/>
          <w:szCs w:val="26"/>
          <w:lang w:eastAsia="en-US"/>
        </w:rPr>
        <w:t xml:space="preserve"> exhortó al Congreso de Estados Unidos de Norteamérica a ratificar las reformas de 2010 sobre el régimen de cuotas y la estructura de gobierno del FMI para que las medidas puedan entrar en vigor.</w:t>
      </w:r>
    </w:p>
    <w:p w14:paraId="193496CD" w14:textId="6340B546" w:rsidR="00E42758" w:rsidRPr="00E42758" w:rsidRDefault="00E42758" w:rsidP="00E42758">
      <w:pPr>
        <w:spacing w:after="360" w:line="360" w:lineRule="auto"/>
        <w:ind w:right="-159"/>
        <w:jc w:val="both"/>
        <w:rPr>
          <w:rFonts w:eastAsia="Calibri"/>
          <w:sz w:val="26"/>
          <w:szCs w:val="26"/>
          <w:lang w:eastAsia="en-US"/>
        </w:rPr>
      </w:pPr>
      <w:r w:rsidRPr="00E42758">
        <w:rPr>
          <w:rFonts w:eastAsia="Calibri"/>
          <w:sz w:val="26"/>
          <w:szCs w:val="26"/>
          <w:lang w:eastAsia="en-US"/>
        </w:rPr>
        <w:t xml:space="preserve">Otra reforma para hacer más resistente el sistema monetario internacional, dijo la </w:t>
      </w:r>
      <w:r w:rsidR="00AA0E1D">
        <w:rPr>
          <w:rFonts w:eastAsia="Calibri"/>
          <w:sz w:val="26"/>
          <w:szCs w:val="26"/>
          <w:lang w:eastAsia="en-US"/>
        </w:rPr>
        <w:t>funcionaria</w:t>
      </w:r>
      <w:r w:rsidRPr="00E42758">
        <w:rPr>
          <w:rFonts w:eastAsia="Calibri"/>
          <w:sz w:val="26"/>
          <w:szCs w:val="26"/>
          <w:lang w:eastAsia="en-US"/>
        </w:rPr>
        <w:t xml:space="preserve"> del FMI, consistiría en ampliar el papel de los derechos especial de giro del FMI como activo de reserva internacional y facilitar la integración de los mercados emergentes dinámicos en la economía mundial.</w:t>
      </w:r>
    </w:p>
    <w:p w14:paraId="1189E575" w14:textId="674E004A" w:rsidR="00E42758" w:rsidRPr="00E42758" w:rsidRDefault="00AA0E1D" w:rsidP="00E42758">
      <w:pPr>
        <w:spacing w:after="360" w:line="360" w:lineRule="auto"/>
        <w:ind w:right="-159"/>
        <w:jc w:val="both"/>
        <w:rPr>
          <w:rFonts w:eastAsia="Calibri"/>
          <w:sz w:val="26"/>
          <w:szCs w:val="26"/>
          <w:lang w:eastAsia="en-US"/>
        </w:rPr>
      </w:pPr>
      <w:r>
        <w:rPr>
          <w:rFonts w:eastAsia="Calibri"/>
          <w:sz w:val="26"/>
          <w:szCs w:val="26"/>
          <w:lang w:eastAsia="en-US"/>
        </w:rPr>
        <w:t>As</w:t>
      </w:r>
      <w:r w:rsidR="00E42758" w:rsidRPr="00E42758">
        <w:rPr>
          <w:rFonts w:eastAsia="Calibri"/>
          <w:sz w:val="26"/>
          <w:szCs w:val="26"/>
          <w:lang w:eastAsia="en-US"/>
        </w:rPr>
        <w:t>imismo</w:t>
      </w:r>
      <w:r w:rsidR="00AD5580">
        <w:rPr>
          <w:rFonts w:eastAsia="Calibri"/>
          <w:sz w:val="26"/>
          <w:szCs w:val="26"/>
          <w:lang w:eastAsia="en-US"/>
        </w:rPr>
        <w:t>,</w:t>
      </w:r>
      <w:r w:rsidR="00E42758" w:rsidRPr="00E42758">
        <w:rPr>
          <w:rFonts w:eastAsia="Calibri"/>
          <w:sz w:val="26"/>
          <w:szCs w:val="26"/>
          <w:lang w:eastAsia="en-US"/>
        </w:rPr>
        <w:t xml:space="preserve"> subrayó la importancia de afianzar el sistema de desarrollo internacional, y destacó tres temas de importancia crítica en el agenda: financiamiento para el </w:t>
      </w:r>
      <w:r w:rsidR="00E42758" w:rsidRPr="00E42758">
        <w:rPr>
          <w:rFonts w:eastAsia="Calibri"/>
          <w:sz w:val="26"/>
          <w:szCs w:val="26"/>
          <w:lang w:eastAsia="en-US"/>
        </w:rPr>
        <w:lastRenderedPageBreak/>
        <w:t>desarrollo, los nuevos “objetivos de desarrollo sostenible” (ODS) y el cambio climático; y declaró que el FMI es un socio comprometido con esta iniciativa. El FMI puede contribuir mediante su trabajo en ámbitos como el financiamiento, el asesoramiento y análisis en materia de políticas y el fortalecimiento de las capacidades y la asistencia técnica.</w:t>
      </w:r>
    </w:p>
    <w:p w14:paraId="723468B5" w14:textId="77777777" w:rsidR="00E42758" w:rsidRPr="00E42758" w:rsidRDefault="00E42758" w:rsidP="00E42758">
      <w:pPr>
        <w:spacing w:after="360" w:line="360" w:lineRule="auto"/>
        <w:ind w:right="-159"/>
        <w:jc w:val="both"/>
        <w:rPr>
          <w:rFonts w:eastAsia="Calibri"/>
          <w:sz w:val="26"/>
          <w:szCs w:val="26"/>
          <w:lang w:eastAsia="en-US"/>
        </w:rPr>
      </w:pPr>
      <w:r w:rsidRPr="00E42758">
        <w:rPr>
          <w:rFonts w:eastAsia="Calibri"/>
          <w:sz w:val="26"/>
          <w:szCs w:val="26"/>
          <w:lang w:eastAsia="en-US"/>
        </w:rPr>
        <w:t>“En este sentido, 2015 es un momento especial: es una oportunidad para marcar una diferencia tangible en la vida de muchas personas en el mundo, en especial los más pobres”, señaló la Directora Gerente del FMI.</w:t>
      </w:r>
    </w:p>
    <w:p w14:paraId="5FA1D23A" w14:textId="77777777" w:rsidR="00E42758" w:rsidRPr="00E42758" w:rsidRDefault="00E42758" w:rsidP="00E42758">
      <w:pPr>
        <w:ind w:right="-159"/>
        <w:jc w:val="both"/>
        <w:rPr>
          <w:rFonts w:eastAsia="Calibri"/>
          <w:b/>
          <w:sz w:val="20"/>
          <w:szCs w:val="20"/>
          <w:lang w:eastAsia="en-US"/>
        </w:rPr>
      </w:pPr>
      <w:r w:rsidRPr="00E42758">
        <w:rPr>
          <w:rFonts w:eastAsia="Calibri"/>
          <w:b/>
          <w:sz w:val="20"/>
          <w:szCs w:val="20"/>
          <w:lang w:eastAsia="en-US"/>
        </w:rPr>
        <w:t>Fuente de información:</w:t>
      </w:r>
    </w:p>
    <w:p w14:paraId="5E0AD941" w14:textId="77777777" w:rsidR="00E42758" w:rsidRPr="00330C00" w:rsidRDefault="00AB7A4A" w:rsidP="00330C00">
      <w:pPr>
        <w:spacing w:after="720"/>
        <w:ind w:right="-159"/>
        <w:jc w:val="both"/>
        <w:rPr>
          <w:rFonts w:eastAsia="Calibri"/>
          <w:color w:val="0000FF"/>
          <w:sz w:val="20"/>
          <w:szCs w:val="20"/>
          <w:lang w:eastAsia="en-US"/>
        </w:rPr>
      </w:pPr>
      <w:hyperlink r:id="rId13" w:history="1">
        <w:r w:rsidR="00E42758" w:rsidRPr="00330C00">
          <w:rPr>
            <w:rFonts w:eastAsia="Calibri"/>
            <w:color w:val="0000FF"/>
            <w:sz w:val="20"/>
            <w:szCs w:val="20"/>
            <w:u w:val="single"/>
            <w:lang w:eastAsia="en-US"/>
          </w:rPr>
          <w:t>http://www.imf.org/external/spanish/pubs/ft/survey/so/2015/new040915as.htm</w:t>
        </w:r>
      </w:hyperlink>
      <w:r w:rsidR="00E42758" w:rsidRPr="00330C00">
        <w:rPr>
          <w:rFonts w:eastAsia="Calibri"/>
          <w:color w:val="0000FF"/>
          <w:sz w:val="20"/>
          <w:szCs w:val="20"/>
          <w:lang w:eastAsia="en-US"/>
        </w:rPr>
        <w:t xml:space="preserve"> </w:t>
      </w:r>
    </w:p>
    <w:p w14:paraId="227F9911" w14:textId="77777777" w:rsidR="00C5414A" w:rsidRPr="00C5414A" w:rsidRDefault="00C5414A" w:rsidP="00C5414A">
      <w:pPr>
        <w:ind w:right="-159"/>
        <w:jc w:val="both"/>
        <w:rPr>
          <w:rFonts w:eastAsia="Calibri"/>
          <w:b/>
          <w:sz w:val="26"/>
          <w:szCs w:val="26"/>
          <w:lang w:eastAsia="en-US"/>
        </w:rPr>
      </w:pPr>
      <w:r w:rsidRPr="00C5414A">
        <w:rPr>
          <w:rFonts w:eastAsia="Calibri"/>
          <w:b/>
          <w:sz w:val="26"/>
          <w:szCs w:val="26"/>
          <w:lang w:eastAsia="en-US"/>
        </w:rPr>
        <w:t>Riesgos Mundiales: Acomodándose a</w:t>
      </w:r>
    </w:p>
    <w:p w14:paraId="141FDE2C" w14:textId="77777777" w:rsidR="00C5414A" w:rsidRPr="00C5414A" w:rsidRDefault="00C5414A" w:rsidP="00C5414A">
      <w:pPr>
        <w:spacing w:after="360" w:line="360" w:lineRule="auto"/>
        <w:ind w:right="-159"/>
        <w:jc w:val="both"/>
        <w:rPr>
          <w:rFonts w:eastAsia="Calibri"/>
          <w:b/>
          <w:sz w:val="26"/>
          <w:szCs w:val="26"/>
          <w:lang w:eastAsia="en-US"/>
        </w:rPr>
      </w:pPr>
      <w:r w:rsidRPr="00C5414A">
        <w:rPr>
          <w:rFonts w:eastAsia="Calibri"/>
          <w:b/>
          <w:sz w:val="26"/>
          <w:szCs w:val="26"/>
          <w:lang w:eastAsia="en-US"/>
        </w:rPr>
        <w:t>un nuevo escenario (BBVA Research)</w:t>
      </w:r>
    </w:p>
    <w:p w14:paraId="259AEBEB" w14:textId="25B75C19" w:rsidR="00C5414A" w:rsidRPr="00C5414A" w:rsidRDefault="00C5414A" w:rsidP="00C5414A">
      <w:pPr>
        <w:spacing w:after="360" w:line="360" w:lineRule="auto"/>
        <w:ind w:right="-159"/>
        <w:jc w:val="both"/>
        <w:rPr>
          <w:rFonts w:eastAsia="Calibri"/>
          <w:sz w:val="26"/>
          <w:szCs w:val="26"/>
          <w:lang w:eastAsia="en-US"/>
        </w:rPr>
      </w:pPr>
      <w:r w:rsidRPr="00C5414A">
        <w:rPr>
          <w:rFonts w:eastAsia="Calibri"/>
          <w:sz w:val="26"/>
          <w:szCs w:val="26"/>
          <w:lang w:eastAsia="en-US"/>
        </w:rPr>
        <w:t>El 4 de abril, la sección de Análisis Económico de BBVA Research publicó el artículo “Riesgos Mundiales: Acomodándose a un nuevo escenario”, a continuación se incluye el contenido.</w:t>
      </w:r>
    </w:p>
    <w:p w14:paraId="4359571C" w14:textId="3332D28D" w:rsidR="00C5414A" w:rsidRPr="00C5414A" w:rsidRDefault="00C5414A" w:rsidP="00C5414A">
      <w:pPr>
        <w:spacing w:after="360" w:line="360" w:lineRule="auto"/>
        <w:ind w:right="-159"/>
        <w:jc w:val="both"/>
        <w:rPr>
          <w:rFonts w:eastAsia="Calibri"/>
          <w:sz w:val="26"/>
          <w:szCs w:val="26"/>
          <w:lang w:eastAsia="en-US"/>
        </w:rPr>
      </w:pPr>
      <w:r w:rsidRPr="00C5414A">
        <w:rPr>
          <w:rFonts w:eastAsia="Calibri"/>
          <w:sz w:val="26"/>
          <w:szCs w:val="26"/>
          <w:lang w:eastAsia="en-US"/>
        </w:rPr>
        <w:t>Con el primer trimestre ya cerrado, los invers</w:t>
      </w:r>
      <w:r w:rsidR="00BA61DD">
        <w:rPr>
          <w:rFonts w:eastAsia="Calibri"/>
          <w:sz w:val="26"/>
          <w:szCs w:val="26"/>
          <w:lang w:eastAsia="en-US"/>
        </w:rPr>
        <w:t>ionistas</w:t>
      </w:r>
      <w:r w:rsidRPr="00C5414A">
        <w:rPr>
          <w:rFonts w:eastAsia="Calibri"/>
          <w:sz w:val="26"/>
          <w:szCs w:val="26"/>
          <w:lang w:eastAsia="en-US"/>
        </w:rPr>
        <w:t xml:space="preserve"> continúan ajustando las carteras internacionales. La reasignación de activos viene determinada por un crecimiento económico desigual, expectativas de política monetaria divergentes y un aumento del riesgo geopolítico mundial.</w:t>
      </w:r>
    </w:p>
    <w:p w14:paraId="556FA49D" w14:textId="77777777" w:rsidR="00C5414A" w:rsidRPr="00C5414A" w:rsidRDefault="00C5414A" w:rsidP="00C5414A">
      <w:pPr>
        <w:spacing w:after="360" w:line="360" w:lineRule="auto"/>
        <w:ind w:right="-159"/>
        <w:jc w:val="both"/>
        <w:rPr>
          <w:rFonts w:eastAsia="Calibri"/>
          <w:sz w:val="26"/>
          <w:szCs w:val="26"/>
          <w:lang w:eastAsia="en-US"/>
        </w:rPr>
      </w:pPr>
      <w:r w:rsidRPr="00C5414A">
        <w:rPr>
          <w:rFonts w:eastAsia="Calibri"/>
          <w:sz w:val="26"/>
          <w:szCs w:val="26"/>
          <w:lang w:eastAsia="en-US"/>
        </w:rPr>
        <w:t xml:space="preserve">El crecimiento económico mundial sigue siendo desigual. En Estados Unidos de Norteamérica, los datos de actividad y empleo apuntan a que este año los tipos de interés comenzarán a despegarse del suelo. En Europa, los últimos datos muestran una mejora, pero no lo suficiente para asentarse en la complacencia. Grecia sigue arrojando dudas, mientras que en el norte de Europa la preocupación por el impacto del conflicto entre Rusia y Ucrania mantiene cierta alerta. En el mundo emergente, el crecimiento Chino </w:t>
      </w:r>
      <w:r w:rsidRPr="00C5414A">
        <w:rPr>
          <w:rFonts w:eastAsia="Calibri"/>
          <w:sz w:val="26"/>
          <w:szCs w:val="26"/>
          <w:lang w:eastAsia="en-US"/>
        </w:rPr>
        <w:lastRenderedPageBreak/>
        <w:t>sigue mostrando datos que están lejos ya de los dos dígitos y en cifras no vistas desde hace dos décadas. Los exportadores netos de energía y materias primas se preparan a crecer con menores vientos de cola.</w:t>
      </w:r>
    </w:p>
    <w:p w14:paraId="370AF3E7" w14:textId="2F52670A" w:rsidR="00C5414A" w:rsidRPr="00C5414A" w:rsidRDefault="00C5414A" w:rsidP="00C5414A">
      <w:pPr>
        <w:spacing w:after="360" w:line="360" w:lineRule="auto"/>
        <w:ind w:right="-159"/>
        <w:jc w:val="both"/>
        <w:rPr>
          <w:rFonts w:eastAsia="Calibri"/>
          <w:sz w:val="26"/>
          <w:szCs w:val="26"/>
          <w:lang w:eastAsia="en-US"/>
        </w:rPr>
      </w:pPr>
      <w:r w:rsidRPr="00C5414A">
        <w:rPr>
          <w:rFonts w:eastAsia="Calibri"/>
          <w:sz w:val="26"/>
          <w:szCs w:val="26"/>
          <w:lang w:eastAsia="en-US"/>
        </w:rPr>
        <w:t xml:space="preserve">Los grandes Bancos Centrales mantienen expectativas divergentes y en consecuencia los tipos de cambio se han ajustado. Las expectativas de alzas de tipos de interés en Estados Unidos de Norteamérica se han traducido en una apreciación generalizada del dólar frente a la mayoría de monedas desarrolladas y emergentes. Este efecto se ha reforzado frente al Euro a medida que el Banco Central Europeo (BCE) apuntala tipos de interés bajos por un prolongado </w:t>
      </w:r>
      <w:r w:rsidR="00BA61DD">
        <w:rPr>
          <w:rFonts w:eastAsia="Calibri"/>
          <w:sz w:val="26"/>
          <w:szCs w:val="26"/>
          <w:lang w:eastAsia="en-US"/>
        </w:rPr>
        <w:t>período</w:t>
      </w:r>
      <w:r w:rsidRPr="00C5414A">
        <w:rPr>
          <w:rFonts w:eastAsia="Calibri"/>
          <w:sz w:val="26"/>
          <w:szCs w:val="26"/>
          <w:lang w:eastAsia="en-US"/>
        </w:rPr>
        <w:t xml:space="preserve"> de tiempo. Las monedas emergentes comienzan a digerir menores diferenciales de tipos de interés y mayores primas de riesgo.</w:t>
      </w:r>
    </w:p>
    <w:p w14:paraId="3A3BA8BB" w14:textId="77777777" w:rsidR="00C5414A" w:rsidRPr="00C5414A" w:rsidRDefault="00C5414A" w:rsidP="00C5414A">
      <w:pPr>
        <w:spacing w:after="360" w:line="360" w:lineRule="auto"/>
        <w:ind w:right="-159"/>
        <w:jc w:val="both"/>
        <w:rPr>
          <w:rFonts w:eastAsia="Calibri"/>
          <w:sz w:val="26"/>
          <w:szCs w:val="26"/>
          <w:lang w:eastAsia="en-US"/>
        </w:rPr>
      </w:pPr>
      <w:r w:rsidRPr="00C5414A">
        <w:rPr>
          <w:rFonts w:eastAsia="Calibri"/>
          <w:sz w:val="26"/>
          <w:szCs w:val="26"/>
          <w:lang w:eastAsia="en-US"/>
        </w:rPr>
        <w:t>La Reserva Federal seguirá marcando la pauta aunque los resultados globales de su política no deberían ser tan perversos como en episodios anteriores. La mejora de la comunicación verbal de la Reserva Federal y los cambios que se han producido en los emergentes desde hace ya años deberían apoyar este escenario. La comunicación ha permitido que la subida de tipos lleve tiempo descontada por los analistas, mientras que los niveles que alcancen los fondos federales en un futuro serán más bajos que en episodios anteriores de acuerdo con las propias expectativas de los miembros de la Reserva Federal. Gracias a ello, parte del efecto en los mercados emergentes ya se ha producido como constata el ajuste de los flujos netos de cartera a estos países desde que se anunciara el principio del fin de la política ultra expansiva.</w:t>
      </w:r>
    </w:p>
    <w:p w14:paraId="1DC4D02C" w14:textId="77777777" w:rsidR="00C5414A" w:rsidRPr="00C5414A" w:rsidRDefault="00C5414A" w:rsidP="00C5414A">
      <w:pPr>
        <w:spacing w:after="360" w:line="360" w:lineRule="auto"/>
        <w:ind w:right="-159"/>
        <w:jc w:val="both"/>
        <w:rPr>
          <w:rFonts w:eastAsia="Calibri"/>
          <w:sz w:val="26"/>
          <w:szCs w:val="26"/>
          <w:lang w:eastAsia="en-US"/>
        </w:rPr>
      </w:pPr>
      <w:r w:rsidRPr="00C5414A">
        <w:rPr>
          <w:rFonts w:eastAsia="Calibri"/>
          <w:sz w:val="26"/>
          <w:szCs w:val="26"/>
          <w:lang w:eastAsia="en-US"/>
        </w:rPr>
        <w:t>En los emergentes también se han producido mejoras desde hace ya tiempo. Los niveles de deuda son menores, los tipos de cambio son ahora flexibles y el endeudamiento en moneda extranjera es mucho más reducido que antaño. Europa del Este sigue constituyendo la excepción a este nuevo esquema, aunque el endeudamiento de sus familias y empresas es básicamente en euros y francos suizos.</w:t>
      </w:r>
    </w:p>
    <w:p w14:paraId="2272F157" w14:textId="77777777" w:rsidR="00C5414A" w:rsidRPr="00C5414A" w:rsidRDefault="00C5414A" w:rsidP="00C5414A">
      <w:pPr>
        <w:spacing w:after="360" w:line="360" w:lineRule="auto"/>
        <w:ind w:right="-159"/>
        <w:jc w:val="both"/>
        <w:rPr>
          <w:rFonts w:eastAsia="Calibri"/>
          <w:sz w:val="26"/>
          <w:szCs w:val="26"/>
          <w:lang w:eastAsia="en-US"/>
        </w:rPr>
      </w:pPr>
      <w:r w:rsidRPr="00C5414A">
        <w:rPr>
          <w:rFonts w:eastAsia="Calibri"/>
          <w:sz w:val="26"/>
          <w:szCs w:val="26"/>
          <w:lang w:eastAsia="en-US"/>
        </w:rPr>
        <w:lastRenderedPageBreak/>
        <w:t>Menos optimismo apunta la situación geopolítica mundial con focos de tensión que, en importancia y coincidencia, no se producían desde el final de la guerra fría. Aquí, en situaciones complejas de evaluar y con implicaciones a veces impredecibles, el mercado reaccionará acontecimiento a acontecimiento.</w:t>
      </w:r>
    </w:p>
    <w:p w14:paraId="2EA169C7" w14:textId="3CD707FC" w:rsidR="00C5414A" w:rsidRPr="00C5414A" w:rsidRDefault="00C5414A" w:rsidP="00C5414A">
      <w:pPr>
        <w:spacing w:after="360" w:line="360" w:lineRule="auto"/>
        <w:ind w:right="-159"/>
        <w:jc w:val="both"/>
        <w:rPr>
          <w:rFonts w:eastAsia="Calibri"/>
          <w:sz w:val="26"/>
          <w:szCs w:val="26"/>
          <w:lang w:eastAsia="en-US"/>
        </w:rPr>
      </w:pPr>
      <w:r w:rsidRPr="00C5414A">
        <w:rPr>
          <w:rFonts w:eastAsia="Calibri"/>
          <w:sz w:val="26"/>
          <w:szCs w:val="26"/>
          <w:lang w:eastAsia="en-US"/>
        </w:rPr>
        <w:t>En Europa, el conflicto entre Ucrania y Rusia mantiene la atención de estrategas y analistas. Ucrania está al borde de la suspensión de pagos y sus problemas económicos pueden complicar aún más su ya difícil situación política. En Rusia, las sanciones y el precio del petróleo afectarán a la economía si bien los efectos sobre la sociedad civil rusa, la oposición interna y un Gobierno altamente impredecible son difíciles de evaluar. En Oriente Medio, la lucha frente al Estado Islámico en Siria e Iraq, su avance al Norte de África, la fragmentación e intervención de Yemen y el nuevo escenario tras el fin de las negociaciones de los países P5+1 con Irán,</w:t>
      </w:r>
      <w:r w:rsidR="001569A0">
        <w:rPr>
          <w:rFonts w:eastAsia="Calibri"/>
          <w:sz w:val="26"/>
          <w:szCs w:val="26"/>
          <w:lang w:eastAsia="en-US"/>
        </w:rPr>
        <w:t xml:space="preserve"> </w:t>
      </w:r>
      <w:r w:rsidRPr="00C5414A">
        <w:rPr>
          <w:rFonts w:eastAsia="Calibri"/>
          <w:sz w:val="26"/>
          <w:szCs w:val="26"/>
          <w:lang w:eastAsia="en-US"/>
        </w:rPr>
        <w:t>configuran un escenario complejo y de difícil resolución a corto plazo.</w:t>
      </w:r>
    </w:p>
    <w:p w14:paraId="0163C29A" w14:textId="77777777" w:rsidR="00C5414A" w:rsidRPr="00C5414A" w:rsidRDefault="00C5414A" w:rsidP="00C5414A">
      <w:pPr>
        <w:spacing w:after="360" w:line="360" w:lineRule="auto"/>
        <w:ind w:right="-159"/>
        <w:jc w:val="both"/>
        <w:rPr>
          <w:rFonts w:eastAsia="Calibri"/>
          <w:sz w:val="26"/>
          <w:szCs w:val="26"/>
          <w:lang w:eastAsia="en-US"/>
        </w:rPr>
      </w:pPr>
      <w:r w:rsidRPr="00C5414A">
        <w:rPr>
          <w:rFonts w:eastAsia="Calibri"/>
          <w:sz w:val="26"/>
          <w:szCs w:val="26"/>
          <w:lang w:eastAsia="en-US"/>
        </w:rPr>
        <w:t>Por último, la reacción de la sociedad civil a una crisis que ya se alarga en el tiempo puede arrojar una mayor incertidumbre. La respuesta puede ser más intensa en las calles o más inesperada en las urnas, no solo en Europa sino en Oriente Medio y el Norte de África. Al final, esto puede terminar por afectar al margen de política económica y al escenario macroeconómico en general.</w:t>
      </w:r>
    </w:p>
    <w:p w14:paraId="6B2D301C" w14:textId="77777777" w:rsidR="00C5414A" w:rsidRPr="00C5414A" w:rsidRDefault="00C5414A" w:rsidP="00C5414A">
      <w:pPr>
        <w:spacing w:after="360" w:line="360" w:lineRule="auto"/>
        <w:ind w:right="-159"/>
        <w:jc w:val="both"/>
        <w:rPr>
          <w:rFonts w:eastAsia="Calibri"/>
          <w:sz w:val="26"/>
          <w:szCs w:val="26"/>
          <w:lang w:eastAsia="en-US"/>
        </w:rPr>
      </w:pPr>
      <w:r w:rsidRPr="00C5414A">
        <w:rPr>
          <w:rFonts w:eastAsia="Calibri"/>
          <w:sz w:val="26"/>
          <w:szCs w:val="26"/>
          <w:lang w:eastAsia="en-US"/>
        </w:rPr>
        <w:t>En resumen, habrá que acomodarse al nuevo escenario y prestar atención no solo al entorno económico, sino al geopolítico.</w:t>
      </w:r>
    </w:p>
    <w:p w14:paraId="3F9B9BC8" w14:textId="77777777" w:rsidR="00C5414A" w:rsidRPr="00C5414A" w:rsidRDefault="00C5414A" w:rsidP="00C5414A">
      <w:pPr>
        <w:ind w:right="-159"/>
        <w:jc w:val="both"/>
        <w:rPr>
          <w:rFonts w:eastAsia="Calibri"/>
          <w:b/>
          <w:sz w:val="20"/>
          <w:szCs w:val="26"/>
          <w:lang w:eastAsia="en-US"/>
        </w:rPr>
      </w:pPr>
      <w:r w:rsidRPr="00C5414A">
        <w:rPr>
          <w:rFonts w:eastAsia="Calibri"/>
          <w:b/>
          <w:sz w:val="20"/>
          <w:szCs w:val="26"/>
          <w:lang w:eastAsia="en-US"/>
        </w:rPr>
        <w:t>Fuente de información:</w:t>
      </w:r>
    </w:p>
    <w:p w14:paraId="4FB4258A" w14:textId="77777777" w:rsidR="00C5414A" w:rsidRPr="00330C00" w:rsidRDefault="00AB7A4A" w:rsidP="00330C00">
      <w:pPr>
        <w:spacing w:after="720"/>
        <w:ind w:right="-159"/>
        <w:jc w:val="both"/>
        <w:rPr>
          <w:rFonts w:eastAsia="Calibri"/>
          <w:color w:val="0000FF"/>
          <w:sz w:val="20"/>
          <w:szCs w:val="20"/>
          <w:lang w:eastAsia="en-US"/>
        </w:rPr>
      </w:pPr>
      <w:hyperlink r:id="rId14" w:history="1">
        <w:r w:rsidR="00C5414A" w:rsidRPr="00330C00">
          <w:rPr>
            <w:rFonts w:eastAsia="Calibri"/>
            <w:color w:val="0000FF"/>
            <w:sz w:val="20"/>
            <w:szCs w:val="20"/>
            <w:u w:val="single"/>
            <w:lang w:eastAsia="en-US"/>
          </w:rPr>
          <w:t>https://www.bbvaresearch.com/wp-content/plugins/custom-pdf-generator/generate.php?post=70593</w:t>
        </w:r>
      </w:hyperlink>
      <w:r w:rsidR="00C5414A" w:rsidRPr="00330C00">
        <w:rPr>
          <w:rFonts w:eastAsia="Calibri"/>
          <w:color w:val="0000FF"/>
          <w:sz w:val="20"/>
          <w:szCs w:val="20"/>
          <w:lang w:eastAsia="en-US"/>
        </w:rPr>
        <w:t xml:space="preserve"> </w:t>
      </w:r>
    </w:p>
    <w:p w14:paraId="1B3E0AA9" w14:textId="77777777" w:rsidR="00330C00" w:rsidRDefault="00330C00" w:rsidP="00A975BD">
      <w:pPr>
        <w:spacing w:after="360" w:line="360" w:lineRule="auto"/>
        <w:ind w:right="-159"/>
        <w:jc w:val="both"/>
        <w:rPr>
          <w:rFonts w:eastAsia="Calibri"/>
          <w:b/>
          <w:sz w:val="26"/>
          <w:szCs w:val="26"/>
          <w:lang w:eastAsia="en-US"/>
        </w:rPr>
      </w:pPr>
    </w:p>
    <w:p w14:paraId="362BB78F" w14:textId="77777777" w:rsidR="00330C00" w:rsidRDefault="00330C00" w:rsidP="00A975BD">
      <w:pPr>
        <w:spacing w:after="360" w:line="360" w:lineRule="auto"/>
        <w:ind w:right="-159"/>
        <w:jc w:val="both"/>
        <w:rPr>
          <w:rFonts w:eastAsia="Calibri"/>
          <w:b/>
          <w:sz w:val="26"/>
          <w:szCs w:val="26"/>
          <w:lang w:eastAsia="en-US"/>
        </w:rPr>
      </w:pPr>
    </w:p>
    <w:p w14:paraId="2F91CDF8" w14:textId="77777777" w:rsidR="00A975BD" w:rsidRPr="00A975BD" w:rsidRDefault="00A975BD" w:rsidP="00A975BD">
      <w:pPr>
        <w:spacing w:after="360" w:line="360" w:lineRule="auto"/>
        <w:ind w:right="-159"/>
        <w:jc w:val="both"/>
        <w:rPr>
          <w:rFonts w:eastAsia="Calibri"/>
          <w:b/>
          <w:sz w:val="26"/>
          <w:szCs w:val="26"/>
          <w:lang w:eastAsia="en-US"/>
        </w:rPr>
      </w:pPr>
      <w:r w:rsidRPr="00A975BD">
        <w:rPr>
          <w:rFonts w:eastAsia="Calibri"/>
          <w:b/>
          <w:sz w:val="26"/>
          <w:szCs w:val="26"/>
          <w:lang w:eastAsia="en-US"/>
        </w:rPr>
        <w:lastRenderedPageBreak/>
        <w:t>Un escenario económico “glocal” (BBVA Research)</w:t>
      </w:r>
    </w:p>
    <w:p w14:paraId="07977A77" w14:textId="77777777" w:rsidR="00A975BD" w:rsidRPr="00A975BD" w:rsidRDefault="00A975BD" w:rsidP="00A975BD">
      <w:pPr>
        <w:spacing w:after="360" w:line="360" w:lineRule="auto"/>
        <w:ind w:right="-159"/>
        <w:jc w:val="both"/>
        <w:rPr>
          <w:rFonts w:eastAsia="Calibri"/>
          <w:sz w:val="26"/>
          <w:szCs w:val="26"/>
          <w:lang w:val="es-ES" w:eastAsia="en-US"/>
        </w:rPr>
      </w:pPr>
      <w:r w:rsidRPr="00A975BD">
        <w:rPr>
          <w:rFonts w:eastAsia="Calibri"/>
          <w:sz w:val="26"/>
          <w:szCs w:val="26"/>
          <w:lang w:val="es-ES" w:eastAsia="en-US"/>
        </w:rPr>
        <w:t>El 11 de abril de 2015, la sección de Análisis Económico de BBVA Research publicó el artículo de prensa “</w:t>
      </w:r>
      <w:r w:rsidRPr="00A975BD">
        <w:rPr>
          <w:rFonts w:eastAsia="Calibri"/>
          <w:sz w:val="26"/>
          <w:szCs w:val="26"/>
          <w:lang w:eastAsia="en-US"/>
        </w:rPr>
        <w:t>Un escenario económico ‘glocal’”. A</w:t>
      </w:r>
      <w:r w:rsidRPr="00A975BD">
        <w:rPr>
          <w:rFonts w:eastAsia="Calibri"/>
          <w:b/>
          <w:sz w:val="26"/>
          <w:szCs w:val="26"/>
          <w:lang w:eastAsia="en-US"/>
        </w:rPr>
        <w:t xml:space="preserve"> </w:t>
      </w:r>
      <w:r w:rsidRPr="00A975BD">
        <w:rPr>
          <w:rFonts w:eastAsia="Calibri"/>
          <w:sz w:val="26"/>
          <w:szCs w:val="26"/>
          <w:lang w:val="es-ES" w:eastAsia="en-US"/>
        </w:rPr>
        <w:t>continuación se presenta el contenido.</w:t>
      </w:r>
    </w:p>
    <w:p w14:paraId="5941D2C3" w14:textId="77777777" w:rsidR="00A975BD" w:rsidRPr="00A975BD" w:rsidRDefault="00A975BD" w:rsidP="00A975BD">
      <w:pPr>
        <w:spacing w:after="360" w:line="360" w:lineRule="auto"/>
        <w:ind w:right="-159"/>
        <w:jc w:val="both"/>
        <w:rPr>
          <w:rFonts w:eastAsia="Calibri"/>
          <w:sz w:val="26"/>
          <w:szCs w:val="26"/>
          <w:lang w:val="es-ES" w:eastAsia="en-US"/>
        </w:rPr>
      </w:pPr>
      <w:r w:rsidRPr="00A975BD">
        <w:rPr>
          <w:rFonts w:eastAsia="Calibri"/>
          <w:sz w:val="26"/>
          <w:szCs w:val="26"/>
          <w:lang w:val="es-ES" w:eastAsia="en-US"/>
        </w:rPr>
        <w:t>Se acerca la reunión de primavera del Fondo Monetario Internacional (FMI) y del Banco Mundial, un buen momento para repasar el escenario económico global. Por resumirlo en pocas cifras, en BBVA Research se estima que el Producto Interno Bruto (PIB) mundial habría crecido en el primer trimestre de 2015 a un ritmo anual en el rango entre 3.1 y 3.3%, unas décimas menos que el crecimiento de la segunda mitad de 2014, entre el 3.3 y el 3.6%, y cerca del promedio de la última década. Esta ligera desaceleración es consistente con el freno transitorio de Estados Unidos de Norteamérica, la paulatina recuperación de Europa y un crecimiento más bajo del grueso de economías emergentes, en particular de China.</w:t>
      </w:r>
    </w:p>
    <w:p w14:paraId="4D3F7122" w14:textId="77777777" w:rsidR="00A975BD" w:rsidRPr="00A975BD" w:rsidRDefault="00A975BD" w:rsidP="00A975BD">
      <w:pPr>
        <w:spacing w:after="360" w:line="360" w:lineRule="auto"/>
        <w:ind w:right="-159"/>
        <w:jc w:val="both"/>
        <w:rPr>
          <w:rFonts w:eastAsia="Calibri"/>
          <w:sz w:val="26"/>
          <w:szCs w:val="26"/>
          <w:lang w:val="es-ES" w:eastAsia="en-US"/>
        </w:rPr>
      </w:pPr>
      <w:r w:rsidRPr="00A975BD">
        <w:rPr>
          <w:rFonts w:eastAsia="Calibri"/>
          <w:sz w:val="26"/>
          <w:szCs w:val="26"/>
          <w:lang w:val="es-ES" w:eastAsia="en-US"/>
        </w:rPr>
        <w:t>El título del próximo informe semestral del FMI, “Crecimiento desigual: factores de corto y de largo plazo” resume bien un panorama en el que, desde el punto de vista de BBVA Research, la diferenciación entre áreas económicas se acrecienta y los factores de alcance local ganan peso para entender lo que está pasando. No se trata de que la globalización económica esté frenándose, todo lo contrario; sino de que los factores de alcance global en estos momentos tienen impactos asimétricos.</w:t>
      </w:r>
    </w:p>
    <w:p w14:paraId="15E40D94" w14:textId="77777777" w:rsidR="00A975BD" w:rsidRPr="00A975BD" w:rsidRDefault="00A975BD" w:rsidP="00A975BD">
      <w:pPr>
        <w:spacing w:after="360" w:line="360" w:lineRule="auto"/>
        <w:ind w:right="-159"/>
        <w:jc w:val="both"/>
        <w:rPr>
          <w:rFonts w:eastAsia="Calibri"/>
          <w:sz w:val="26"/>
          <w:szCs w:val="26"/>
          <w:lang w:val="es-ES" w:eastAsia="en-US"/>
        </w:rPr>
      </w:pPr>
      <w:r w:rsidRPr="00A975BD">
        <w:rPr>
          <w:rFonts w:eastAsia="Calibri"/>
          <w:sz w:val="26"/>
          <w:szCs w:val="26"/>
          <w:lang w:val="es-ES" w:eastAsia="en-US"/>
        </w:rPr>
        <w:t xml:space="preserve">El petróleo es el ejemplo perfecto de elemento de impacto asimétrico, ya que cambios en su precio alteran inmediatamente la transferencia de renta desde las economías consumidoras a las productoras. La reducción de las expectativas de precios del petróleo ha elevado las perspectivas de crecimiento de las primeras y reducido las de las segundas. Por otro lado, el efecto de las políticas monetarias de alcance global, en un entorno de libertad de flujos financieros, depende de la coincidencia o las divergencias entre al menos la Reserva Federal, el Banco Central Europeo (BCE) y el </w:t>
      </w:r>
      <w:r w:rsidRPr="00A975BD">
        <w:rPr>
          <w:rFonts w:eastAsia="Calibri"/>
          <w:sz w:val="26"/>
          <w:szCs w:val="26"/>
          <w:lang w:val="es-ES" w:eastAsia="en-US"/>
        </w:rPr>
        <w:lastRenderedPageBreak/>
        <w:t>Banco de Japón. La Reserva Federal ya no aumenta la liquidez global acrecentando su balance y está sugiriendo una alza de tipos de interés para este año; el BCE ha empezado a hacer lo contrario, una política de expansión cuantitativa como la que sigue el Banco de Japón, mientras que el banco central de China probablemente reduzca los tipos de interés más de lo que se esperaba hace poco.</w:t>
      </w:r>
    </w:p>
    <w:p w14:paraId="68E9B3A4" w14:textId="77777777" w:rsidR="00A975BD" w:rsidRPr="00A975BD" w:rsidRDefault="00A975BD" w:rsidP="00A975BD">
      <w:pPr>
        <w:spacing w:after="360" w:line="360" w:lineRule="auto"/>
        <w:ind w:right="-159"/>
        <w:jc w:val="both"/>
        <w:rPr>
          <w:rFonts w:eastAsia="Calibri"/>
          <w:sz w:val="26"/>
          <w:szCs w:val="26"/>
          <w:lang w:val="es-ES" w:eastAsia="en-US"/>
        </w:rPr>
      </w:pPr>
      <w:r w:rsidRPr="00A975BD">
        <w:rPr>
          <w:rFonts w:eastAsia="Calibri"/>
          <w:sz w:val="26"/>
          <w:szCs w:val="26"/>
          <w:lang w:val="es-ES" w:eastAsia="en-US"/>
        </w:rPr>
        <w:t>En resumen, estamos ante un escenario monetario que marca la salida del período de impulsos excepcionales, pero todavía laxo, y en el que crece el activismo en los mercados emergentes. Los recortes de tipos son casi generalizados (Brasil está entre las pocas excepciones) y las depreciaciones de las divisas frente al dólar también, buscando relajar las condiciones financieras locales en un entorno de crecimiento global menos favorable. La interpretación benigna es que las economías emergentes utilizan el margen de maniobra que les da la libre fluctuación de sus monedas y el control de sus políticas económicas. Sería la recompensa por las reformas con las que lograron estabilizarse nominalmente anclando las perspectivas de inflación y limitando los desequilibrios fiscales y de cuenta corriente. Pero esa no es la única justificación. Hay diferencias entre emergentes.</w:t>
      </w:r>
    </w:p>
    <w:p w14:paraId="689D825A" w14:textId="77777777" w:rsidR="00A975BD" w:rsidRPr="00A975BD" w:rsidRDefault="00A975BD" w:rsidP="00A975BD">
      <w:pPr>
        <w:spacing w:after="360" w:line="360" w:lineRule="auto"/>
        <w:ind w:right="-159"/>
        <w:jc w:val="both"/>
        <w:rPr>
          <w:rFonts w:eastAsia="Calibri"/>
          <w:sz w:val="26"/>
          <w:szCs w:val="26"/>
          <w:lang w:val="es-ES" w:eastAsia="en-US"/>
        </w:rPr>
      </w:pPr>
      <w:r w:rsidRPr="00A975BD">
        <w:rPr>
          <w:rFonts w:eastAsia="Calibri"/>
          <w:sz w:val="26"/>
          <w:szCs w:val="26"/>
          <w:lang w:val="es-ES" w:eastAsia="en-US"/>
        </w:rPr>
        <w:t xml:space="preserve">No todos han anclado igual de firmemente sus expectativas de inflación o reducido por igual sus desequilibrios fiscales; tampoco han recurrido en la misma medida al ahorro externo para atender los aumentos de inversión y consumo doméstico ni sus empresas han apelado en la misma medida al endeudamiento en divisa extranjera (principalmente en dólares). Y finalmente, no todos están igual de expuestos a un entorno externo en el que el crecimiento de China seguirá bajando, lenta pero sostenidamente. Así, las restricciones para atender el servicio de su deuda, en general mayor tras años de búsqueda de rentabilidad en un escenario de expansiones cuantitativas generalizadas, divergen de forma notable. Estas diferencias son las que los inversionistas también valoran y reflejan en los movimientos de flujos de capital, tipos de cambio y precios de los activos financieros; y en las que se observa una diferenciación geográfica mayor, </w:t>
      </w:r>
      <w:r w:rsidRPr="00A975BD">
        <w:rPr>
          <w:rFonts w:eastAsia="Calibri"/>
          <w:sz w:val="26"/>
          <w:szCs w:val="26"/>
          <w:lang w:val="es-ES" w:eastAsia="en-US"/>
        </w:rPr>
        <w:lastRenderedPageBreak/>
        <w:t>atendiendo a las características locales mencionadas, a sus fortalezas y vulnerabilidades ante un escenario global menos favorable.</w:t>
      </w:r>
    </w:p>
    <w:p w14:paraId="7D9EA67C" w14:textId="77777777" w:rsidR="00A975BD" w:rsidRPr="00A975BD" w:rsidRDefault="00A975BD" w:rsidP="00A975BD">
      <w:pPr>
        <w:spacing w:after="360" w:line="360" w:lineRule="auto"/>
        <w:ind w:right="-159"/>
        <w:jc w:val="both"/>
        <w:rPr>
          <w:rFonts w:eastAsia="Calibri"/>
          <w:sz w:val="26"/>
          <w:szCs w:val="26"/>
          <w:lang w:val="es-ES" w:eastAsia="en-US"/>
        </w:rPr>
      </w:pPr>
      <w:r w:rsidRPr="00A975BD">
        <w:rPr>
          <w:rFonts w:eastAsia="Calibri"/>
          <w:sz w:val="26"/>
          <w:szCs w:val="26"/>
          <w:lang w:val="es-ES" w:eastAsia="en-US"/>
        </w:rPr>
        <w:t>Parece claro que el análisis de las economías agrupándolas dentro de grupos grandes como “emergentes” o “ desarrolladas” es algo, como poco, incompleto. Los factores globales importan, pero los locales también, mucho más en un momento en el que el tono de los primeros está cambiando.</w:t>
      </w:r>
    </w:p>
    <w:p w14:paraId="4A65E38C" w14:textId="77777777" w:rsidR="00A975BD" w:rsidRPr="00A975BD" w:rsidRDefault="00A975BD" w:rsidP="00A975BD">
      <w:pPr>
        <w:spacing w:before="360"/>
        <w:ind w:right="-159"/>
        <w:jc w:val="both"/>
        <w:rPr>
          <w:rFonts w:eastAsia="Calibri"/>
          <w:b/>
          <w:sz w:val="20"/>
          <w:szCs w:val="20"/>
          <w:lang w:val="es-ES" w:eastAsia="en-US"/>
        </w:rPr>
      </w:pPr>
      <w:r w:rsidRPr="00A975BD">
        <w:rPr>
          <w:rFonts w:eastAsia="Calibri"/>
          <w:b/>
          <w:sz w:val="20"/>
          <w:szCs w:val="20"/>
          <w:lang w:val="es-ES" w:eastAsia="en-US"/>
        </w:rPr>
        <w:t>Fuente de información:</w:t>
      </w:r>
    </w:p>
    <w:p w14:paraId="41D75F7B" w14:textId="77777777" w:rsidR="00A975BD" w:rsidRPr="00330C00" w:rsidRDefault="00AB7A4A" w:rsidP="00330C00">
      <w:pPr>
        <w:spacing w:after="720"/>
        <w:ind w:right="-159"/>
        <w:jc w:val="both"/>
        <w:rPr>
          <w:rFonts w:eastAsia="Calibri"/>
          <w:color w:val="0000FF"/>
          <w:sz w:val="20"/>
          <w:szCs w:val="20"/>
          <w:lang w:eastAsia="en-US"/>
        </w:rPr>
      </w:pPr>
      <w:hyperlink r:id="rId15" w:history="1">
        <w:r w:rsidR="00A975BD" w:rsidRPr="00330C00">
          <w:rPr>
            <w:rFonts w:eastAsia="Calibri"/>
            <w:color w:val="0000FF"/>
            <w:sz w:val="20"/>
            <w:szCs w:val="20"/>
            <w:u w:val="single"/>
            <w:lang w:eastAsia="en-US"/>
          </w:rPr>
          <w:t>https://www.bbvaresearch.com/wp-content/plugins/custom-pdf-generator/generate.php?post=71775</w:t>
        </w:r>
      </w:hyperlink>
    </w:p>
    <w:p w14:paraId="42E3AC71" w14:textId="77777777" w:rsidR="0015387C" w:rsidRPr="0015387C" w:rsidRDefault="0015387C" w:rsidP="0015387C">
      <w:pPr>
        <w:ind w:right="-159"/>
        <w:jc w:val="both"/>
        <w:rPr>
          <w:rFonts w:eastAsia="Calibri"/>
          <w:b/>
          <w:sz w:val="26"/>
          <w:szCs w:val="26"/>
          <w:lang w:eastAsia="en-US"/>
        </w:rPr>
      </w:pPr>
      <w:r w:rsidRPr="0015387C">
        <w:rPr>
          <w:rFonts w:eastAsia="Calibri"/>
          <w:b/>
          <w:sz w:val="26"/>
          <w:szCs w:val="26"/>
          <w:lang w:eastAsia="en-US"/>
        </w:rPr>
        <w:t>América Latina, un nuevo comienzo</w:t>
      </w:r>
    </w:p>
    <w:p w14:paraId="335B32FC" w14:textId="77777777" w:rsidR="0015387C" w:rsidRPr="0015387C" w:rsidRDefault="0015387C" w:rsidP="0015387C">
      <w:pPr>
        <w:spacing w:after="360" w:line="360" w:lineRule="auto"/>
        <w:ind w:right="-159"/>
        <w:jc w:val="both"/>
        <w:rPr>
          <w:rFonts w:eastAsia="Calibri"/>
          <w:b/>
          <w:sz w:val="26"/>
          <w:szCs w:val="26"/>
          <w:lang w:eastAsia="en-US"/>
        </w:rPr>
      </w:pPr>
      <w:r w:rsidRPr="0015387C">
        <w:rPr>
          <w:rFonts w:eastAsia="Calibri"/>
          <w:b/>
          <w:sz w:val="26"/>
          <w:szCs w:val="26"/>
          <w:lang w:eastAsia="en-US"/>
        </w:rPr>
        <w:t>tras el fin de la bonanza (BM)</w:t>
      </w:r>
    </w:p>
    <w:p w14:paraId="4CBFAF69" w14:textId="77777777" w:rsidR="0015387C" w:rsidRPr="0015387C" w:rsidRDefault="0015387C" w:rsidP="0015387C">
      <w:pPr>
        <w:spacing w:after="360" w:line="360" w:lineRule="auto"/>
        <w:ind w:right="-159"/>
        <w:jc w:val="both"/>
        <w:rPr>
          <w:rFonts w:eastAsia="Calibri"/>
          <w:sz w:val="26"/>
          <w:szCs w:val="26"/>
          <w:lang w:eastAsia="en-US"/>
        </w:rPr>
      </w:pPr>
      <w:r w:rsidRPr="0015387C">
        <w:rPr>
          <w:rFonts w:eastAsia="Calibri"/>
          <w:sz w:val="26"/>
          <w:szCs w:val="26"/>
          <w:lang w:eastAsia="en-US"/>
        </w:rPr>
        <w:t>El 15 de abril de 2015, en el marco de la presentación del informe “Perspectivas Económicas América Latina 2015”,  el Banco Mundial (BM) publicó una nota informativa en el que se hace énfasis al fin del auge de las materias primas para América Latina y, en consecuencia, el inicio de una nueva era. Agrega, que la desaceleración de la economía china y la caída en los precios de las materias primas plantean nuevos desafíos a una región que no descuida sus conquistas sociales. A continuación se presenta el contenido.</w:t>
      </w:r>
    </w:p>
    <w:p w14:paraId="70B91C05" w14:textId="77777777" w:rsidR="0015387C" w:rsidRPr="0015387C" w:rsidRDefault="0015387C" w:rsidP="0015387C">
      <w:pPr>
        <w:spacing w:after="360" w:line="360" w:lineRule="auto"/>
        <w:ind w:right="-159"/>
        <w:jc w:val="both"/>
        <w:rPr>
          <w:rFonts w:eastAsia="Calibri"/>
          <w:sz w:val="26"/>
          <w:szCs w:val="26"/>
          <w:lang w:eastAsia="en-US"/>
        </w:rPr>
      </w:pPr>
      <w:r w:rsidRPr="0015387C">
        <w:rPr>
          <w:rFonts w:eastAsia="Calibri"/>
          <w:sz w:val="26"/>
          <w:szCs w:val="26"/>
          <w:lang w:eastAsia="en-US"/>
        </w:rPr>
        <w:t>Los titulares de la prensa económica en América latina hablan cada vez más del “fin de la fiesta”, “el cierre de un ciclo de bonanza”, “la desaceleración del auge” de la región.</w:t>
      </w:r>
    </w:p>
    <w:p w14:paraId="0874D399" w14:textId="77777777" w:rsidR="0015387C" w:rsidRPr="0015387C" w:rsidRDefault="0015387C" w:rsidP="0015387C">
      <w:pPr>
        <w:spacing w:after="360" w:line="360" w:lineRule="auto"/>
        <w:ind w:right="-159"/>
        <w:jc w:val="both"/>
        <w:rPr>
          <w:rFonts w:eastAsia="Calibri"/>
          <w:sz w:val="26"/>
          <w:szCs w:val="26"/>
          <w:lang w:eastAsia="en-US"/>
        </w:rPr>
      </w:pPr>
      <w:r w:rsidRPr="0015387C">
        <w:rPr>
          <w:rFonts w:eastAsia="Calibri"/>
          <w:sz w:val="26"/>
          <w:szCs w:val="26"/>
          <w:lang w:eastAsia="en-US"/>
        </w:rPr>
        <w:t>Es que después de disfrutar de un extenso período de auge, marcado por el alto precio de las materias primas, el crecimiento de China y de otros países emergentes que contribuyeron al mejor desempeño de la región en 40 años, las cifras comprueban que la fiesta, efectivamente, está por terminar: de un crecimiento promedio de 4% en 2011, la región bajó a 1% en 2014 y se pronostica para este año una expansión de apenas 0.8 por ciento.</w:t>
      </w:r>
    </w:p>
    <w:p w14:paraId="04E637BA" w14:textId="77777777" w:rsidR="0015387C" w:rsidRPr="0015387C" w:rsidRDefault="0015387C" w:rsidP="0015387C">
      <w:pPr>
        <w:spacing w:after="360" w:line="360" w:lineRule="auto"/>
        <w:ind w:right="-159"/>
        <w:jc w:val="both"/>
        <w:rPr>
          <w:rFonts w:eastAsia="Calibri"/>
          <w:sz w:val="26"/>
          <w:szCs w:val="26"/>
          <w:lang w:eastAsia="en-US"/>
        </w:rPr>
      </w:pPr>
      <w:r w:rsidRPr="0015387C">
        <w:rPr>
          <w:rFonts w:eastAsia="Calibri"/>
          <w:sz w:val="26"/>
          <w:szCs w:val="26"/>
          <w:lang w:eastAsia="en-US"/>
        </w:rPr>
        <w:lastRenderedPageBreak/>
        <w:t>Con razón dice el refrán que con el periódico de mañana todos somos adivinos, porque hoy parece evidente que ya en 2012 estaban dadas todas las señales de que la fiesta estaba por acabarse, que el “boom” llegaba a su fin.</w:t>
      </w:r>
    </w:p>
    <w:p w14:paraId="0EF49551" w14:textId="186A5F27" w:rsidR="0015387C" w:rsidRPr="0015387C" w:rsidRDefault="0015387C" w:rsidP="0015387C">
      <w:pPr>
        <w:spacing w:after="360" w:line="360" w:lineRule="auto"/>
        <w:ind w:right="-159"/>
        <w:jc w:val="both"/>
        <w:rPr>
          <w:rFonts w:eastAsia="Calibri"/>
          <w:sz w:val="26"/>
          <w:szCs w:val="26"/>
          <w:lang w:eastAsia="en-US"/>
        </w:rPr>
      </w:pPr>
      <w:r w:rsidRPr="0015387C">
        <w:rPr>
          <w:rFonts w:eastAsia="Calibri"/>
          <w:sz w:val="26"/>
          <w:szCs w:val="26"/>
          <w:lang w:eastAsia="en-US"/>
        </w:rPr>
        <w:t xml:space="preserve">Surge entonces la pregunta, ¿se </w:t>
      </w:r>
      <w:r w:rsidR="00330C00">
        <w:rPr>
          <w:rFonts w:eastAsia="Calibri"/>
          <w:sz w:val="26"/>
          <w:szCs w:val="26"/>
          <w:lang w:eastAsia="en-US"/>
        </w:rPr>
        <w:t>a</w:t>
      </w:r>
      <w:r w:rsidRPr="0015387C">
        <w:rPr>
          <w:rFonts w:eastAsia="Calibri"/>
          <w:sz w:val="26"/>
          <w:szCs w:val="26"/>
          <w:lang w:eastAsia="en-US"/>
        </w:rPr>
        <w:t>provechó el auge económico de esos años para hacer reformas estructurales, para hacer economías más competitivas, para fomentar modelos menos dependientes de las fluctuaciones en los precios de las materias primas?</w:t>
      </w:r>
    </w:p>
    <w:p w14:paraId="5811077C" w14:textId="4642A094" w:rsidR="0015387C" w:rsidRPr="0015387C" w:rsidRDefault="0015387C" w:rsidP="0015387C">
      <w:pPr>
        <w:spacing w:after="360" w:line="360" w:lineRule="auto"/>
        <w:ind w:right="-159"/>
        <w:jc w:val="both"/>
        <w:rPr>
          <w:rFonts w:eastAsia="Calibri"/>
          <w:sz w:val="26"/>
          <w:szCs w:val="26"/>
          <w:lang w:eastAsia="en-US"/>
        </w:rPr>
      </w:pPr>
      <w:r w:rsidRPr="0015387C">
        <w:rPr>
          <w:rFonts w:eastAsia="Calibri"/>
          <w:sz w:val="26"/>
          <w:szCs w:val="26"/>
          <w:lang w:eastAsia="en-US"/>
        </w:rPr>
        <w:t>Est</w:t>
      </w:r>
      <w:r w:rsidR="00330C00">
        <w:rPr>
          <w:rFonts w:eastAsia="Calibri"/>
          <w:sz w:val="26"/>
          <w:szCs w:val="26"/>
          <w:lang w:eastAsia="en-US"/>
        </w:rPr>
        <w:t>os</w:t>
      </w:r>
      <w:r w:rsidRPr="0015387C">
        <w:rPr>
          <w:rFonts w:eastAsia="Calibri"/>
          <w:sz w:val="26"/>
          <w:szCs w:val="26"/>
          <w:lang w:eastAsia="en-US"/>
        </w:rPr>
        <w:t xml:space="preserve"> fueron algunos de los puntos de discusión en la presentación del informe “Perspectivas 2015”, realizado por el economista jefe Augusto de la Torre en Washington, Estados Unidos de Norteamérica, y transmitido en vivo vía internet a través de la plataforma “En Vivo del Banco Mundial”, y en las portadas de El País América, RPP de Perú y el Financiero de México</w:t>
      </w:r>
      <w:r w:rsidRPr="0015387C">
        <w:rPr>
          <w:rFonts w:eastAsia="Calibri"/>
          <w:sz w:val="26"/>
          <w:szCs w:val="26"/>
          <w:vertAlign w:val="superscript"/>
          <w:lang w:eastAsia="en-US"/>
        </w:rPr>
        <w:footnoteReference w:id="1"/>
      </w:r>
      <w:r w:rsidR="00917B87">
        <w:rPr>
          <w:rFonts w:eastAsia="Calibri"/>
          <w:sz w:val="26"/>
          <w:szCs w:val="26"/>
          <w:lang w:eastAsia="en-US"/>
        </w:rPr>
        <w:t>.</w:t>
      </w:r>
    </w:p>
    <w:p w14:paraId="20590FB1" w14:textId="19A2DF9C" w:rsidR="0015387C" w:rsidRPr="0015387C" w:rsidRDefault="0015387C" w:rsidP="0015387C">
      <w:pPr>
        <w:spacing w:after="360" w:line="360" w:lineRule="auto"/>
        <w:ind w:right="-159"/>
        <w:jc w:val="both"/>
        <w:rPr>
          <w:rFonts w:eastAsia="Calibri"/>
          <w:sz w:val="26"/>
          <w:szCs w:val="26"/>
          <w:lang w:eastAsia="en-US"/>
        </w:rPr>
      </w:pPr>
      <w:r w:rsidRPr="0015387C">
        <w:rPr>
          <w:rFonts w:eastAsia="Calibri"/>
          <w:sz w:val="26"/>
          <w:szCs w:val="26"/>
          <w:lang w:eastAsia="en-US"/>
        </w:rPr>
        <w:t>“Por supuesto, la región podría haber hecho mucho más reformas, pero eso no significa que no se haya aprovechado el ‘boom’”, aseguró de la Torre, autor principal del informe “América Latina recorre un estrecho camino al crecimiento: la desaceleración y sus retos macroeconómicos”</w:t>
      </w:r>
      <w:r w:rsidRPr="0015387C">
        <w:rPr>
          <w:rFonts w:eastAsia="Calibri"/>
          <w:sz w:val="26"/>
          <w:szCs w:val="26"/>
          <w:vertAlign w:val="superscript"/>
          <w:lang w:eastAsia="en-US"/>
        </w:rPr>
        <w:footnoteReference w:id="2"/>
      </w:r>
      <w:r w:rsidR="0061687E">
        <w:rPr>
          <w:rFonts w:eastAsia="Calibri"/>
          <w:sz w:val="26"/>
          <w:szCs w:val="26"/>
          <w:lang w:eastAsia="en-US"/>
        </w:rPr>
        <w:t>.</w:t>
      </w:r>
    </w:p>
    <w:p w14:paraId="13BBC582" w14:textId="77777777" w:rsidR="0015387C" w:rsidRPr="0015387C" w:rsidRDefault="0015387C" w:rsidP="0015387C">
      <w:pPr>
        <w:spacing w:after="360" w:line="360" w:lineRule="auto"/>
        <w:ind w:right="-159"/>
        <w:jc w:val="both"/>
        <w:rPr>
          <w:rFonts w:eastAsia="Calibri"/>
          <w:sz w:val="26"/>
          <w:szCs w:val="26"/>
          <w:lang w:eastAsia="en-US"/>
        </w:rPr>
      </w:pPr>
      <w:r w:rsidRPr="0015387C">
        <w:rPr>
          <w:rFonts w:eastAsia="Calibri"/>
          <w:sz w:val="26"/>
          <w:szCs w:val="26"/>
          <w:lang w:eastAsia="en-US"/>
        </w:rPr>
        <w:t>“En primer lugar, se aprovechó el período 2003-2008, para mejorar los modelos de política macroeconómica. La región en su conjunto es menos vulnerable a los “</w:t>
      </w:r>
      <w:r w:rsidRPr="0015387C">
        <w:rPr>
          <w:rFonts w:eastAsia="Calibri"/>
          <w:i/>
          <w:sz w:val="26"/>
          <w:szCs w:val="26"/>
          <w:lang w:eastAsia="en-US"/>
        </w:rPr>
        <w:t>shocks</w:t>
      </w:r>
      <w:r w:rsidRPr="0015387C">
        <w:rPr>
          <w:rFonts w:eastAsia="Calibri"/>
          <w:sz w:val="26"/>
          <w:szCs w:val="26"/>
          <w:lang w:eastAsia="en-US"/>
        </w:rPr>
        <w:t>” macroeconómicos y financieros”, añadió.</w:t>
      </w:r>
    </w:p>
    <w:p w14:paraId="2594B54A" w14:textId="77777777" w:rsidR="0015387C" w:rsidRPr="0015387C" w:rsidRDefault="0015387C" w:rsidP="0015387C">
      <w:pPr>
        <w:spacing w:after="360" w:line="360" w:lineRule="auto"/>
        <w:ind w:right="-159"/>
        <w:jc w:val="both"/>
        <w:rPr>
          <w:rFonts w:eastAsia="Calibri"/>
          <w:sz w:val="26"/>
          <w:szCs w:val="26"/>
          <w:lang w:eastAsia="en-US"/>
        </w:rPr>
      </w:pPr>
      <w:r w:rsidRPr="0015387C">
        <w:rPr>
          <w:rFonts w:eastAsia="Calibri"/>
          <w:sz w:val="26"/>
          <w:szCs w:val="26"/>
          <w:lang w:eastAsia="en-US"/>
        </w:rPr>
        <w:t xml:space="preserve">De La Torre también señaló que, aunque la región sigue siendo muy dependiente de las materias primas, su modelo de exportación es muy diferente del de los años ochenta (del siglo XX). Además, los procesos de producción agrícolas y minerales han </w:t>
      </w:r>
      <w:r w:rsidRPr="0015387C">
        <w:rPr>
          <w:rFonts w:eastAsia="Calibri"/>
          <w:sz w:val="26"/>
          <w:szCs w:val="26"/>
          <w:lang w:eastAsia="en-US"/>
        </w:rPr>
        <w:lastRenderedPageBreak/>
        <w:t>experimentado significativas mejoras tecnológicas y están más conectados con las economías locales. Por lo tanto, benefician más a los productores y a los ciudadanos.</w:t>
      </w:r>
    </w:p>
    <w:p w14:paraId="54FBA00A" w14:textId="77777777" w:rsidR="0015387C" w:rsidRPr="0015387C" w:rsidRDefault="0015387C" w:rsidP="0015387C">
      <w:pPr>
        <w:spacing w:after="360" w:line="360" w:lineRule="auto"/>
        <w:ind w:right="-159"/>
        <w:jc w:val="both"/>
        <w:rPr>
          <w:rFonts w:eastAsia="Calibri"/>
          <w:sz w:val="26"/>
          <w:szCs w:val="26"/>
          <w:lang w:eastAsia="en-US"/>
        </w:rPr>
      </w:pPr>
      <w:r w:rsidRPr="0015387C">
        <w:rPr>
          <w:rFonts w:eastAsia="Calibri"/>
          <w:sz w:val="26"/>
          <w:szCs w:val="26"/>
          <w:lang w:eastAsia="en-US"/>
        </w:rPr>
        <w:t>“Desafortunadamente, el tiempo de bonanza no fue suficiente para que las reformas orientadas al crecimiento pudieran hacerse en medio de un contexto más favorable”", agregó Samuel Pieknagura, co-autor del informe.</w:t>
      </w:r>
    </w:p>
    <w:p w14:paraId="54377666" w14:textId="77777777" w:rsidR="0015387C" w:rsidRPr="0015387C" w:rsidRDefault="0015387C" w:rsidP="0015387C">
      <w:pPr>
        <w:spacing w:after="360" w:line="360" w:lineRule="auto"/>
        <w:ind w:right="-159"/>
        <w:jc w:val="both"/>
        <w:rPr>
          <w:rFonts w:eastAsia="Calibri"/>
          <w:sz w:val="26"/>
          <w:szCs w:val="26"/>
          <w:lang w:eastAsia="en-US"/>
        </w:rPr>
      </w:pPr>
      <w:r w:rsidRPr="0015387C">
        <w:rPr>
          <w:rFonts w:eastAsia="Calibri"/>
          <w:sz w:val="26"/>
          <w:szCs w:val="26"/>
          <w:lang w:eastAsia="en-US"/>
        </w:rPr>
        <w:t>“Por no hablar de que muchos de estos cambios son lentos para entrar en vigor. Por eso, aunque algunos países han creado e implementado programas orientados al crecimiento, todavía no pueden ver los frutos de la reforma”, añadió Pieknagura.</w:t>
      </w:r>
    </w:p>
    <w:p w14:paraId="6EC60DEE" w14:textId="77777777" w:rsidR="0015387C" w:rsidRPr="0015387C" w:rsidRDefault="0015387C" w:rsidP="0015387C">
      <w:pPr>
        <w:spacing w:after="360" w:line="360" w:lineRule="auto"/>
        <w:ind w:right="-159"/>
        <w:jc w:val="both"/>
        <w:rPr>
          <w:rFonts w:eastAsia="Calibri"/>
          <w:sz w:val="26"/>
          <w:szCs w:val="26"/>
          <w:lang w:eastAsia="en-US"/>
        </w:rPr>
      </w:pPr>
      <w:r w:rsidRPr="0015387C">
        <w:rPr>
          <w:rFonts w:eastAsia="Calibri"/>
          <w:sz w:val="26"/>
          <w:szCs w:val="26"/>
          <w:lang w:eastAsia="en-US"/>
        </w:rPr>
        <w:t>El informe tuvo bastante eco en redes sociales. Algunos participantes, como el economista mexicano Rodrigo Aguilera, subrayaron que 2015 será un año decisivo para sus países. “Las grandes expectativas económicas del sexenio se ven cada vez menos realistas”, tuiteó. Otros, como @Conocimiente, contribuyeron con ideas: “Recuperaremos crecimiento, cuando gobiernos se dediquen a crear condiciones para surgimiento de empresarios”.</w:t>
      </w:r>
    </w:p>
    <w:p w14:paraId="3F114C5C" w14:textId="77777777" w:rsidR="0015387C" w:rsidRPr="0015387C" w:rsidRDefault="0015387C" w:rsidP="0015387C">
      <w:pPr>
        <w:spacing w:after="360" w:line="360" w:lineRule="auto"/>
        <w:ind w:right="-159"/>
        <w:jc w:val="both"/>
        <w:rPr>
          <w:rFonts w:eastAsia="Calibri"/>
          <w:sz w:val="26"/>
          <w:szCs w:val="26"/>
          <w:lang w:eastAsia="en-US"/>
        </w:rPr>
      </w:pPr>
      <w:r w:rsidRPr="0015387C">
        <w:rPr>
          <w:rFonts w:eastAsia="Calibri"/>
          <w:b/>
          <w:bCs/>
          <w:sz w:val="26"/>
          <w:szCs w:val="26"/>
          <w:lang w:eastAsia="en-US"/>
        </w:rPr>
        <w:t>Educación y competitividad</w:t>
      </w:r>
    </w:p>
    <w:p w14:paraId="15AB4AA7" w14:textId="77777777" w:rsidR="0015387C" w:rsidRPr="0015387C" w:rsidRDefault="0015387C" w:rsidP="0015387C">
      <w:pPr>
        <w:spacing w:after="360" w:line="360" w:lineRule="auto"/>
        <w:ind w:right="-159"/>
        <w:jc w:val="both"/>
        <w:rPr>
          <w:rFonts w:eastAsia="Calibri"/>
          <w:sz w:val="26"/>
          <w:szCs w:val="26"/>
          <w:lang w:eastAsia="en-US"/>
        </w:rPr>
      </w:pPr>
      <w:r w:rsidRPr="0015387C">
        <w:rPr>
          <w:rFonts w:eastAsia="Calibri"/>
          <w:sz w:val="26"/>
          <w:szCs w:val="26"/>
          <w:lang w:eastAsia="en-US"/>
        </w:rPr>
        <w:t>Además de hacer estas reformas —aunque no en la profundidad que se podía haber esperado— América Latina aprovechó el impulso del auge económico para fortalecer el progreso social, algo que no puede ser ignorado, dicen los autores.</w:t>
      </w:r>
    </w:p>
    <w:p w14:paraId="675BAB5A" w14:textId="77777777" w:rsidR="0015387C" w:rsidRPr="0015387C" w:rsidRDefault="0015387C" w:rsidP="0015387C">
      <w:pPr>
        <w:spacing w:after="360" w:line="360" w:lineRule="auto"/>
        <w:ind w:right="-159"/>
        <w:jc w:val="both"/>
        <w:rPr>
          <w:rFonts w:eastAsia="Calibri"/>
          <w:sz w:val="26"/>
          <w:szCs w:val="26"/>
          <w:lang w:eastAsia="en-US"/>
        </w:rPr>
      </w:pPr>
      <w:r w:rsidRPr="0015387C">
        <w:rPr>
          <w:rFonts w:eastAsia="Calibri"/>
          <w:sz w:val="26"/>
          <w:szCs w:val="26"/>
          <w:lang w:eastAsia="en-US"/>
        </w:rPr>
        <w:t>Más de 70 millones de latinoamericanos dejaron de ser pobres y 50 millones se han unido a la clase media en la última década. Si en la década de 1990, el 50% de la población regional era pobre y el 20% de la clase media, hoy este porcentaje se invierte: los pobres representan el 25%, mientras que la clase media es del 34%. La nueva clase media de América Latina es un gran logro y también la principal causa de preocupación entre los autores.</w:t>
      </w:r>
    </w:p>
    <w:p w14:paraId="42C98EDC" w14:textId="77777777" w:rsidR="0015387C" w:rsidRPr="0015387C" w:rsidRDefault="0015387C" w:rsidP="0015387C">
      <w:pPr>
        <w:spacing w:after="360" w:line="360" w:lineRule="auto"/>
        <w:ind w:right="-159"/>
        <w:jc w:val="both"/>
        <w:rPr>
          <w:rFonts w:eastAsia="Calibri"/>
          <w:sz w:val="26"/>
          <w:szCs w:val="26"/>
          <w:lang w:eastAsia="en-US"/>
        </w:rPr>
      </w:pPr>
      <w:r w:rsidRPr="0015387C">
        <w:rPr>
          <w:rFonts w:eastAsia="Calibri"/>
          <w:sz w:val="26"/>
          <w:szCs w:val="26"/>
          <w:lang w:eastAsia="en-US"/>
        </w:rPr>
        <w:lastRenderedPageBreak/>
        <w:t>“No creo que este cambio estructural vaya a dar marcha atrás, pero el ritmo de progreso tiende a reducir la velocidad y detenerse. Dada la situación actual, tal vez en el futuro podemos restaurar un crecimiento promedio entre 2.0 y 2.5%, más o menos, pero esto aún no es suficiente para garantizar el progreso social en la región”, comenta Augusto de la Torre.</w:t>
      </w:r>
    </w:p>
    <w:p w14:paraId="497A6EBB" w14:textId="77777777" w:rsidR="0015387C" w:rsidRPr="0015387C" w:rsidRDefault="0015387C" w:rsidP="0015387C">
      <w:pPr>
        <w:spacing w:after="360" w:line="360" w:lineRule="auto"/>
        <w:ind w:right="-159"/>
        <w:jc w:val="both"/>
        <w:rPr>
          <w:rFonts w:eastAsia="Calibri"/>
          <w:sz w:val="26"/>
          <w:szCs w:val="26"/>
          <w:lang w:eastAsia="en-US"/>
        </w:rPr>
      </w:pPr>
      <w:r w:rsidRPr="0015387C">
        <w:rPr>
          <w:rFonts w:eastAsia="Calibri"/>
          <w:sz w:val="26"/>
          <w:szCs w:val="26"/>
          <w:lang w:eastAsia="en-US"/>
        </w:rPr>
        <w:t>El informe muestra que es muy poco probable que China puede vivir de nuevo un auge en el crecimiento como el de la primera década del siglo 21. También es poco probable que se recuperen a corto plazo los precios de las materias primas, no a los niveles que vimos en los últimos años.</w:t>
      </w:r>
    </w:p>
    <w:p w14:paraId="78F6C97B" w14:textId="77777777" w:rsidR="0015387C" w:rsidRPr="0015387C" w:rsidRDefault="0015387C" w:rsidP="0015387C">
      <w:pPr>
        <w:spacing w:after="360" w:line="360" w:lineRule="auto"/>
        <w:ind w:right="-159"/>
        <w:jc w:val="both"/>
        <w:rPr>
          <w:rFonts w:eastAsia="Calibri"/>
          <w:sz w:val="26"/>
          <w:szCs w:val="26"/>
          <w:lang w:eastAsia="en-US"/>
        </w:rPr>
      </w:pPr>
      <w:r w:rsidRPr="0015387C">
        <w:rPr>
          <w:rFonts w:eastAsia="Calibri"/>
          <w:b/>
          <w:bCs/>
          <w:sz w:val="26"/>
          <w:szCs w:val="26"/>
          <w:lang w:eastAsia="en-US"/>
        </w:rPr>
        <w:t>Nuevas bases</w:t>
      </w:r>
    </w:p>
    <w:p w14:paraId="2E9C73D0" w14:textId="77777777" w:rsidR="0015387C" w:rsidRPr="0015387C" w:rsidRDefault="0015387C" w:rsidP="0015387C">
      <w:pPr>
        <w:spacing w:after="360" w:line="360" w:lineRule="auto"/>
        <w:ind w:right="-159"/>
        <w:jc w:val="both"/>
        <w:rPr>
          <w:rFonts w:eastAsia="Calibri"/>
          <w:sz w:val="26"/>
          <w:szCs w:val="26"/>
          <w:lang w:eastAsia="en-US"/>
        </w:rPr>
      </w:pPr>
      <w:r w:rsidRPr="0015387C">
        <w:rPr>
          <w:rFonts w:eastAsia="Calibri"/>
          <w:sz w:val="26"/>
          <w:szCs w:val="26"/>
          <w:lang w:eastAsia="en-US"/>
        </w:rPr>
        <w:t>En resumen, aunque difícilmente vuelva a repetirse una oportunidad para crecer como en la última década, América Latina sigue siendo capaz de adaptarse y ser más competitiva.</w:t>
      </w:r>
    </w:p>
    <w:p w14:paraId="4313BD6A" w14:textId="77777777" w:rsidR="0015387C" w:rsidRPr="0015387C" w:rsidRDefault="0015387C" w:rsidP="0015387C">
      <w:pPr>
        <w:spacing w:after="360" w:line="360" w:lineRule="auto"/>
        <w:ind w:right="-159"/>
        <w:jc w:val="both"/>
        <w:rPr>
          <w:rFonts w:eastAsia="Calibri"/>
          <w:sz w:val="26"/>
          <w:szCs w:val="26"/>
          <w:lang w:eastAsia="en-US"/>
        </w:rPr>
      </w:pPr>
      <w:r w:rsidRPr="0015387C">
        <w:rPr>
          <w:rFonts w:eastAsia="Calibri"/>
          <w:sz w:val="26"/>
          <w:szCs w:val="26"/>
          <w:lang w:eastAsia="en-US"/>
        </w:rPr>
        <w:t>Esto pasa a través por una serie de reformas para mejorar la recaudación y un gasto público más eficiente, con el fin de aumentar la tasa de ahorro, por ejemplo. Actualmente, las tasas de ahorro en América Latina son alrededor de 10 puntos porcentuales por debajo de los indicadores de Asia.</w:t>
      </w:r>
    </w:p>
    <w:p w14:paraId="675676F4" w14:textId="77777777" w:rsidR="0015387C" w:rsidRPr="0015387C" w:rsidRDefault="0015387C" w:rsidP="0015387C">
      <w:pPr>
        <w:spacing w:after="360" w:line="360" w:lineRule="auto"/>
        <w:ind w:right="-159"/>
        <w:jc w:val="both"/>
        <w:rPr>
          <w:rFonts w:eastAsia="Calibri"/>
          <w:sz w:val="26"/>
          <w:szCs w:val="26"/>
          <w:lang w:eastAsia="en-US"/>
        </w:rPr>
      </w:pPr>
      <w:r w:rsidRPr="0015387C">
        <w:rPr>
          <w:rFonts w:eastAsia="Calibri"/>
          <w:sz w:val="26"/>
          <w:szCs w:val="26"/>
          <w:lang w:eastAsia="en-US"/>
        </w:rPr>
        <w:t>Los autores coinciden que todavía hay tiempo de tomar algunas de estas medidas sin perjudicar los programas sociales en la región. También recomiendan adaptar la formación de los latinoamericanos a las necesidades productivas, para tener más empleos de calidad.</w:t>
      </w:r>
    </w:p>
    <w:p w14:paraId="7B1E5A9C" w14:textId="58CDA0D4" w:rsidR="0015387C" w:rsidRPr="0015387C" w:rsidRDefault="00330C00" w:rsidP="0015387C">
      <w:pPr>
        <w:spacing w:after="360" w:line="360" w:lineRule="auto"/>
        <w:ind w:right="-159"/>
        <w:jc w:val="both"/>
        <w:rPr>
          <w:rFonts w:eastAsia="Calibri"/>
          <w:sz w:val="26"/>
          <w:szCs w:val="26"/>
          <w:lang w:eastAsia="en-US"/>
        </w:rPr>
      </w:pPr>
      <w:r>
        <w:rPr>
          <w:rFonts w:eastAsia="Calibri"/>
          <w:sz w:val="26"/>
          <w:szCs w:val="26"/>
          <w:lang w:eastAsia="en-US"/>
        </w:rPr>
        <w:t>“Tal vez é</w:t>
      </w:r>
      <w:r w:rsidR="0015387C" w:rsidRPr="0015387C">
        <w:rPr>
          <w:rFonts w:eastAsia="Calibri"/>
          <w:sz w:val="26"/>
          <w:szCs w:val="26"/>
          <w:lang w:eastAsia="en-US"/>
        </w:rPr>
        <w:t>ste es el momento ideal para realizar reformas educativas, para mejorar todo lo posible en la infraestructura física. En fin, tengo la impresión</w:t>
      </w:r>
      <w:r>
        <w:rPr>
          <w:rFonts w:eastAsia="Calibri"/>
          <w:sz w:val="26"/>
          <w:szCs w:val="26"/>
          <w:lang w:eastAsia="en-US"/>
        </w:rPr>
        <w:t xml:space="preserve"> de que é</w:t>
      </w:r>
      <w:r w:rsidR="0015387C" w:rsidRPr="0015387C">
        <w:rPr>
          <w:rFonts w:eastAsia="Calibri"/>
          <w:sz w:val="26"/>
          <w:szCs w:val="26"/>
          <w:lang w:eastAsia="en-US"/>
        </w:rPr>
        <w:t>stos serán los temas centrales de debate en la región durante los próximos 10 años”, dijo de la Torre.</w:t>
      </w:r>
    </w:p>
    <w:p w14:paraId="5687090F" w14:textId="77777777" w:rsidR="0015387C" w:rsidRPr="0015387C" w:rsidRDefault="0015387C" w:rsidP="0015387C">
      <w:pPr>
        <w:spacing w:after="360" w:line="360" w:lineRule="auto"/>
        <w:ind w:right="-159"/>
        <w:jc w:val="both"/>
        <w:rPr>
          <w:rFonts w:eastAsia="Calibri"/>
          <w:sz w:val="26"/>
          <w:szCs w:val="26"/>
          <w:lang w:eastAsia="en-US"/>
        </w:rPr>
      </w:pPr>
      <w:r w:rsidRPr="0015387C">
        <w:rPr>
          <w:rFonts w:eastAsia="Calibri"/>
          <w:sz w:val="26"/>
          <w:szCs w:val="26"/>
          <w:lang w:eastAsia="en-US"/>
        </w:rPr>
        <w:lastRenderedPageBreak/>
        <w:t>Quizá los titulares de la prensa latinoamericana tengan razón y, en efecto, estamos ante el fin de la bonanza, pero parece claro que eso no agota las posibilidades de promover un crecimiento económico fundado en nuevas bases, incluso más sólidas que las anteriores.</w:t>
      </w:r>
    </w:p>
    <w:p w14:paraId="15735DFE" w14:textId="77777777" w:rsidR="0015387C" w:rsidRPr="0015387C" w:rsidRDefault="0015387C" w:rsidP="0015387C">
      <w:pPr>
        <w:spacing w:after="360" w:line="360" w:lineRule="auto"/>
        <w:ind w:right="-159"/>
        <w:jc w:val="both"/>
        <w:rPr>
          <w:rFonts w:eastAsia="Calibri"/>
          <w:sz w:val="26"/>
          <w:szCs w:val="26"/>
          <w:lang w:eastAsia="en-US"/>
        </w:rPr>
      </w:pPr>
      <w:r w:rsidRPr="0015387C">
        <w:rPr>
          <w:rFonts w:eastAsia="Calibri"/>
          <w:sz w:val="26"/>
          <w:szCs w:val="26"/>
          <w:lang w:eastAsia="en-US"/>
        </w:rPr>
        <w:t>A continuación se presenta el Resumen Ejecutivo del documento de Banco Mundial.</w:t>
      </w:r>
    </w:p>
    <w:p w14:paraId="05E98F13" w14:textId="77777777" w:rsidR="0015387C" w:rsidRPr="0015387C" w:rsidRDefault="0015387C" w:rsidP="00432922">
      <w:pPr>
        <w:spacing w:after="360"/>
        <w:ind w:right="-159"/>
        <w:jc w:val="both"/>
        <w:rPr>
          <w:rFonts w:eastAsia="Calibri"/>
          <w:b/>
          <w:sz w:val="26"/>
          <w:szCs w:val="26"/>
          <w:lang w:eastAsia="en-US"/>
        </w:rPr>
      </w:pPr>
      <w:r w:rsidRPr="0015387C">
        <w:rPr>
          <w:rFonts w:eastAsia="Calibri"/>
          <w:b/>
          <w:sz w:val="26"/>
          <w:szCs w:val="26"/>
          <w:lang w:eastAsia="en-US"/>
        </w:rPr>
        <w:t>América Latina recorre un estrecho camino al crecimiento: La desaceleración y sus retos macroeconómicos</w:t>
      </w:r>
      <w:r w:rsidRPr="0015387C">
        <w:rPr>
          <w:rFonts w:eastAsia="Calibri"/>
          <w:b/>
          <w:sz w:val="26"/>
          <w:szCs w:val="26"/>
          <w:vertAlign w:val="superscript"/>
          <w:lang w:eastAsia="en-US"/>
        </w:rPr>
        <w:footnoteReference w:id="3"/>
      </w:r>
    </w:p>
    <w:p w14:paraId="6C228F69" w14:textId="77777777" w:rsidR="0015387C" w:rsidRPr="0015387C" w:rsidRDefault="0015387C" w:rsidP="0015387C">
      <w:pPr>
        <w:spacing w:after="360" w:line="360" w:lineRule="auto"/>
        <w:ind w:right="-159"/>
        <w:jc w:val="both"/>
        <w:rPr>
          <w:rFonts w:eastAsia="Calibri"/>
          <w:b/>
          <w:bCs/>
          <w:sz w:val="26"/>
          <w:szCs w:val="26"/>
          <w:lang w:eastAsia="en-US"/>
        </w:rPr>
      </w:pPr>
      <w:r w:rsidRPr="0015387C">
        <w:rPr>
          <w:rFonts w:eastAsia="Calibri"/>
          <w:b/>
          <w:bCs/>
          <w:sz w:val="26"/>
          <w:szCs w:val="26"/>
          <w:lang w:eastAsia="en-US"/>
        </w:rPr>
        <w:t>Resumen Ejecutivo</w:t>
      </w:r>
    </w:p>
    <w:p w14:paraId="04E4A23D" w14:textId="77777777" w:rsidR="0015387C" w:rsidRPr="0015387C" w:rsidRDefault="0015387C" w:rsidP="0015387C">
      <w:pPr>
        <w:spacing w:after="360" w:line="360" w:lineRule="auto"/>
        <w:ind w:right="-159"/>
        <w:jc w:val="both"/>
        <w:rPr>
          <w:rFonts w:eastAsia="Calibri"/>
          <w:sz w:val="26"/>
          <w:szCs w:val="26"/>
          <w:lang w:eastAsia="en-US"/>
        </w:rPr>
      </w:pPr>
      <w:r w:rsidRPr="0015387C">
        <w:rPr>
          <w:rFonts w:eastAsia="Calibri"/>
          <w:sz w:val="26"/>
          <w:szCs w:val="26"/>
          <w:lang w:eastAsia="en-US"/>
        </w:rPr>
        <w:t>Tras casi una década de fuerte desempeño durante los años 2000, el crecimiento económico en América Latina y el Caribe (ALyC) se ha desacelerado en los últimos años. Desde el año 2011 y por cuatro años consecutivos, el crecimiento promedio de la región no ha dejado de desacelerarse, pasando de casi el 4% a alrededor de 1% en 2014 y a aproximadamente 0.8% previsto para 2015.</w:t>
      </w:r>
    </w:p>
    <w:p w14:paraId="5230B1A3" w14:textId="77777777" w:rsidR="0015387C" w:rsidRPr="0015387C" w:rsidRDefault="0015387C" w:rsidP="0015387C">
      <w:pPr>
        <w:spacing w:after="360" w:line="360" w:lineRule="auto"/>
        <w:ind w:right="-159"/>
        <w:jc w:val="both"/>
        <w:rPr>
          <w:rFonts w:eastAsia="Calibri"/>
          <w:sz w:val="26"/>
          <w:szCs w:val="26"/>
          <w:lang w:eastAsia="en-US"/>
        </w:rPr>
      </w:pPr>
      <w:r w:rsidRPr="0015387C">
        <w:rPr>
          <w:rFonts w:eastAsia="Calibri"/>
          <w:sz w:val="26"/>
          <w:szCs w:val="26"/>
          <w:lang w:eastAsia="en-US"/>
        </w:rPr>
        <w:t>La aguda desaceleración de ALyC se ubica al final del gran ciclo de China, que comenzó cuando dicho país se unió a la Organización Mundial del Comercio a principios de los años 2000. Con el tirón del inusual crecimiento chino —que fue a su vez el resultado del efecto combinado de un enorme salto hacia la frontera de posibilidades de producción y de una rápida expansión de dicha frontera debida al crecimiento de la productividad y a una muy acelerada acumulación de factores—, el crecimiento de ALyC experimentó el mayor desempeño de los últimos 40 años y capeó con éxito notable la crisis global más grande desde la Gran Depresión. No obstante, cuando el crecimiento chino finalmente chocó contra su inevitable techo a comienzos de 2011, el crecimiento de ALyC también se deterioró.</w:t>
      </w:r>
    </w:p>
    <w:p w14:paraId="311B8BE3" w14:textId="77777777" w:rsidR="0015387C" w:rsidRPr="0015387C" w:rsidRDefault="0015387C" w:rsidP="0015387C">
      <w:pPr>
        <w:spacing w:after="360" w:line="360" w:lineRule="auto"/>
        <w:ind w:right="-159"/>
        <w:jc w:val="both"/>
        <w:rPr>
          <w:rFonts w:eastAsia="Calibri"/>
          <w:sz w:val="26"/>
          <w:szCs w:val="26"/>
          <w:lang w:eastAsia="en-US"/>
        </w:rPr>
      </w:pPr>
      <w:r w:rsidRPr="0015387C">
        <w:rPr>
          <w:rFonts w:eastAsia="Calibri"/>
          <w:sz w:val="26"/>
          <w:szCs w:val="26"/>
          <w:lang w:eastAsia="en-US"/>
        </w:rPr>
        <w:lastRenderedPageBreak/>
        <w:t>Cabe destacar que la actividad económica se ralentizó más rápidamente en ALyC que en las demás regiones emergentes. Esta desaceleración amplificada refleja el papel crucial que los precios de las materias primas desempeñan en la región. La inversión tuvo su auge cuando los precios de las materias primas aumentaron la rentabilidad de los nuevos proyectos petroleros, mineros y agrícolas, y después se colapsó (especialmente en el caso del petróleo y los minerales) cuando la reducción de los precios de las materias primas redujo la rentabilidad o incrementó los riesgos. La gran dependencia de las materias primas de la región explica por qué la ralentización más drástica del crecimiento estuvo acompañada de fluctuaciones más marcadas de los precios de los activos (incluidos los precios de las acciones y los tipos de cambio) que en otras regiones. La preponderancia de las materias primas también se ve reflejada en la muy alta correlación entre los precios de las mismas y los índices bursátiles de muchos países del Cono Sur, entre los que destacan Chile y Perú. No en vano, estos países experimentaron el efecto amplificador de la inversión en su máxima expresión.</w:t>
      </w:r>
    </w:p>
    <w:p w14:paraId="08D25CDC" w14:textId="008C71AB" w:rsidR="0015387C" w:rsidRPr="0015387C" w:rsidRDefault="0015387C" w:rsidP="0015387C">
      <w:pPr>
        <w:spacing w:after="360" w:line="360" w:lineRule="auto"/>
        <w:ind w:right="-159"/>
        <w:jc w:val="both"/>
        <w:rPr>
          <w:rFonts w:eastAsia="Calibri"/>
          <w:sz w:val="26"/>
          <w:szCs w:val="26"/>
          <w:lang w:eastAsia="en-US"/>
        </w:rPr>
      </w:pPr>
      <w:r w:rsidRPr="0015387C">
        <w:rPr>
          <w:rFonts w:eastAsia="Calibri"/>
          <w:sz w:val="26"/>
          <w:szCs w:val="26"/>
          <w:lang w:eastAsia="en-US"/>
        </w:rPr>
        <w:t>En general, en los países cuyos términos de intercambio empeoraron (sobre todo los países exportadores de materias primas de América del Sur que tras la crisis financiera mundial lideraron la región en términos de crecimiento), el crecimiento se está deteriorando debido a la reducción de los precios de las materias primas y al debilitamiento de la demanda de China. Así, son estos los países que han determinado la ralentización en la región. En cambio, los países cuyos términos de intercambio mejoraron (sobre todo los países importadores de materias primas de América Central y el Caribe, en los que la crisis financiera global de 2008-2009 hizo estragos) se enfrentan ahora a un entorno exterior más propicio y sus tasas de crecimiento, estables o en proceso de mejoría, son en general su</w:t>
      </w:r>
      <w:r w:rsidR="00330C00">
        <w:rPr>
          <w:rFonts w:eastAsia="Calibri"/>
          <w:sz w:val="26"/>
          <w:szCs w:val="26"/>
          <w:lang w:eastAsia="en-US"/>
        </w:rPr>
        <w:t>periores al promedio regional. É</w:t>
      </w:r>
      <w:r w:rsidRPr="0015387C">
        <w:rPr>
          <w:rFonts w:eastAsia="Calibri"/>
          <w:sz w:val="26"/>
          <w:szCs w:val="26"/>
          <w:lang w:eastAsia="en-US"/>
        </w:rPr>
        <w:t xml:space="preserve">ste es también el caso de </w:t>
      </w:r>
      <w:r w:rsidRPr="00432922">
        <w:rPr>
          <w:rFonts w:eastAsia="Calibri"/>
          <w:sz w:val="26"/>
          <w:szCs w:val="26"/>
          <w:lang w:eastAsia="en-US"/>
        </w:rPr>
        <w:t>México</w:t>
      </w:r>
      <w:r w:rsidRPr="0015387C">
        <w:rPr>
          <w:rFonts w:eastAsia="Calibri"/>
          <w:sz w:val="26"/>
          <w:szCs w:val="26"/>
          <w:lang w:eastAsia="en-US"/>
        </w:rPr>
        <w:t>, que ahora se beneficia del empuje derivado de la consolidación de la recuperación de la economía estadounidense.</w:t>
      </w:r>
    </w:p>
    <w:p w14:paraId="09410BCA" w14:textId="2EBA8F48" w:rsidR="0015387C" w:rsidRPr="0015387C" w:rsidRDefault="0015387C" w:rsidP="0015387C">
      <w:pPr>
        <w:spacing w:after="360" w:line="360" w:lineRule="auto"/>
        <w:ind w:right="-159"/>
        <w:jc w:val="both"/>
        <w:rPr>
          <w:rFonts w:eastAsia="Calibri"/>
          <w:sz w:val="26"/>
          <w:szCs w:val="26"/>
          <w:lang w:eastAsia="en-US"/>
        </w:rPr>
      </w:pPr>
      <w:r w:rsidRPr="0015387C">
        <w:rPr>
          <w:rFonts w:eastAsia="Calibri"/>
          <w:sz w:val="26"/>
          <w:szCs w:val="26"/>
          <w:lang w:eastAsia="en-US"/>
        </w:rPr>
        <w:lastRenderedPageBreak/>
        <w:t xml:space="preserve">De cara al futuro, la evidencia existente indica que los choques externos derivados de la desaceleración china y los cambios en los términos de intercambio son permanentes, lo que apunta decididamente en la dirección de una reducción permanente del crecimiento para la región en su conjunto. Parece poco probable que China vuelva a experimentar un auge del crecimiento de las proporciones épicas que se dieron durante la primera década del siglo XXI. Más bien, China parece estar estabilizándose en torno a una trayectoria de crecimiento más bajo pero más sostenible en la que el consumo jugará una función más relevante. Pese a que el crecimiento estadounidense ha repuntado, hay dudas acerca de cuánto durará esta situación, especialmente a la luz de la lenta recuperación europea, cuyas perspectivas siguen siendo inciertas, y de la continua apreciación del dólar con respecto a otras monedas. También parece poco probable que los precios de las materias primas se recuperen rápidamente o que, en caso de permanecer bajos, logren por sí solos impulsar el crecimiento mundial. Por lo tanto, el crecimiento más moderado de China y las proyecciones cautas de crecimiento del </w:t>
      </w:r>
      <w:r w:rsidR="00432922">
        <w:rPr>
          <w:rFonts w:eastAsia="Calibri"/>
          <w:sz w:val="26"/>
          <w:szCs w:val="26"/>
          <w:lang w:eastAsia="en-US"/>
        </w:rPr>
        <w:t xml:space="preserve"> </w:t>
      </w:r>
      <w:r w:rsidRPr="0015387C">
        <w:rPr>
          <w:rFonts w:eastAsia="Calibri"/>
          <w:sz w:val="26"/>
          <w:szCs w:val="26"/>
          <w:lang w:eastAsia="en-US"/>
        </w:rPr>
        <w:t>G-7 apuntan a un crecimiento promedio en ALyC del orden de 2.0 a 2.5%, una “nueva normalidad” solo marginalmente por encima de la tasa de crecimiento de la región previa al comienzo del gran ciclo chino.</w:t>
      </w:r>
    </w:p>
    <w:p w14:paraId="1F6DE9C6" w14:textId="77777777" w:rsidR="0015387C" w:rsidRPr="0015387C" w:rsidRDefault="0015387C" w:rsidP="0015387C">
      <w:pPr>
        <w:spacing w:after="360" w:line="360" w:lineRule="auto"/>
        <w:ind w:right="-159"/>
        <w:jc w:val="both"/>
        <w:rPr>
          <w:rFonts w:eastAsia="Calibri"/>
          <w:sz w:val="26"/>
          <w:szCs w:val="26"/>
          <w:lang w:eastAsia="en-US"/>
        </w:rPr>
      </w:pPr>
      <w:r w:rsidRPr="0015387C">
        <w:rPr>
          <w:rFonts w:eastAsia="Calibri"/>
          <w:sz w:val="26"/>
          <w:szCs w:val="26"/>
          <w:lang w:eastAsia="en-US"/>
        </w:rPr>
        <w:t xml:space="preserve">Cabe destacar que solo ahora parece que la permanencia de la desaceleración del crecimiento se está asentando en las mentes de la mayoría de los consumidores de ALyC e incluso de los gobiernos. De hecho, la tasa de ahorro interno de la región comenzó a reducirse en 2010-2011, durante la recuperación de la crisis financiera global, lo que sugiere que los consumidores percibieron la recuperación como permanente. El mayor uso de ahorro externo (y el aumento del déficit por cuenta corriente) financió un repunte de la inversión (con respecto al PIB) que la devolvió a los niveles alcanzados durante el período de auge de 2003-2008. No obstante, la tasa de ahorro regional siguió cayendo durante la fase de desaceleración de 2012-2015, lo que indica que los consumidores pensaron que dicha desaceleración sería transitoria. Sin embargo, en este caso, el recurso de la región al ahorro externo (mediante un </w:t>
      </w:r>
      <w:r w:rsidRPr="0015387C">
        <w:rPr>
          <w:rFonts w:eastAsia="Calibri"/>
          <w:sz w:val="26"/>
          <w:szCs w:val="26"/>
          <w:lang w:eastAsia="en-US"/>
        </w:rPr>
        <w:lastRenderedPageBreak/>
        <w:t>crecimiento adicional del déficit por cuenta corriente) se destinó a financiar el consumo en lugar de la inversión. El hecho de que los mercados laborales se hayan mantenido boyantes hasta hace poco, junto a la inercia de los salarios, ha contribuido a impulsar el consumo pese a la reducción de la producción. Probablemente los gobiernos también tuvieron percepciones erróneas similares. Muchas autoridades fiscales se embarcaron en una segunda ronda de expansiones fiscales cuando sus economías comenzaron a desacelerarse. El vigor de dichas expansiones ante las disminuciones sostenidas de los ingresos fiscales, que generó un empeoramiento sustancial de las posiciones fiscales (sobre el que hablaremos más adelante), indica que el choque no se percibió como permanente.</w:t>
      </w:r>
    </w:p>
    <w:p w14:paraId="56AE1CE8" w14:textId="77777777" w:rsidR="0015387C" w:rsidRPr="0015387C" w:rsidRDefault="0015387C" w:rsidP="0015387C">
      <w:pPr>
        <w:spacing w:after="360" w:line="360" w:lineRule="auto"/>
        <w:ind w:right="-159"/>
        <w:jc w:val="both"/>
        <w:rPr>
          <w:rFonts w:eastAsia="Calibri"/>
          <w:sz w:val="26"/>
          <w:szCs w:val="26"/>
          <w:lang w:eastAsia="en-US"/>
        </w:rPr>
      </w:pPr>
      <w:r w:rsidRPr="0015387C">
        <w:rPr>
          <w:rFonts w:eastAsia="Calibri"/>
          <w:sz w:val="26"/>
          <w:szCs w:val="26"/>
          <w:lang w:eastAsia="en-US"/>
        </w:rPr>
        <w:t>Las respuestas de política de ALyC a la desaceleración deben ahora encontrar un equilibrio adecuado entre el ajuste a corto plazo —la transición macroeconómica a un nuevo tipo de cambio real de equilibrio— y la reactivación del crecimiento. Sin embargo, las respuestas de política necesariamente dependerán de la dirección en que los países se vean afectados por el choque. Así, los países que hayan recibido un impacto positivo —esto es, que hayan experimentado mejoras en los términos de intercambio y se hayan beneficiado de la mayor demanda externa procedente de Estados Unidos de Norteamérica— están siendo mucho menos afectados que los países que han recibido un impacto negativo, es decir, que han padecido un deterioro en sus términos de intercambio y sufrido las consecuencias del debilitamiento de la demanda china. Asimismo, las respuestas de política deben reflejar los instrumentos disponibles. Quienes tienen menos holgura en este ámbito son los países exportadores de materias primas sin flexibilidad del tipo de cambio y con amortiguadores fiscales débiles. Por último, las respuestas de política dependen del margen disponible para medidas contracíclicas fiscales o monetarias. Sin embargo, ya sea debido a una percepción errónea de la naturaleza del choque o a restricciones estructurales más profundas, el espacio necesario para un manejo holgado de política tiende a ser escaso en ALyC.</w:t>
      </w:r>
    </w:p>
    <w:p w14:paraId="7097D129" w14:textId="77777777" w:rsidR="0015387C" w:rsidRPr="0015387C" w:rsidRDefault="0015387C" w:rsidP="0015387C">
      <w:pPr>
        <w:spacing w:after="360" w:line="360" w:lineRule="auto"/>
        <w:ind w:right="-159"/>
        <w:jc w:val="both"/>
        <w:rPr>
          <w:rFonts w:eastAsia="Calibri"/>
          <w:sz w:val="26"/>
          <w:szCs w:val="26"/>
          <w:lang w:eastAsia="en-US"/>
        </w:rPr>
      </w:pPr>
      <w:r w:rsidRPr="0015387C">
        <w:rPr>
          <w:rFonts w:eastAsia="Calibri"/>
          <w:sz w:val="26"/>
          <w:szCs w:val="26"/>
          <w:lang w:eastAsia="en-US"/>
        </w:rPr>
        <w:lastRenderedPageBreak/>
        <w:t>Los bancos centrales de los países exportadores de materias primas de la región, en especial de aquellos con un marco de metas de inflación, están siendo sometidos a difíciles tensiones de política, pues las presiones inflacionarias son cada vez mayores, lo que impide que la política monetaria se relaje pese a la tendencia a la baja de la actividad económica. Esta “enorme falta de coincidencia divina” (mediante la cual el tipo de interés necesario para mantener la inflación bajo control no coincide con el que minimizaría la caída de la actividad económica) probablemente será el primer episodio de este tipo al que los bancos centrales de ALyC se enfrentarán como grupo desde la incorporación de metas de inflación. Pese a que las presiones inflacionarias se derivan claramente de la depreciación del tipo de cambio generada por la fortaleza del dólar y las reducciones de los términos de intercambio, su vigor ha resultado sorprendente. La intensificación del efecto de transmisión de las devaluaciones cambiarias hacia los precios podría deberse a que las depreciaciones en curso son percibidas cada vez más como permanentes en lugar de transitorias.</w:t>
      </w:r>
    </w:p>
    <w:p w14:paraId="0B400CC8" w14:textId="77777777" w:rsidR="0015387C" w:rsidRPr="0015387C" w:rsidRDefault="0015387C" w:rsidP="0015387C">
      <w:pPr>
        <w:spacing w:after="360" w:line="360" w:lineRule="auto"/>
        <w:ind w:right="-159"/>
        <w:jc w:val="both"/>
        <w:rPr>
          <w:rFonts w:eastAsia="Calibri"/>
          <w:sz w:val="26"/>
          <w:szCs w:val="26"/>
          <w:lang w:eastAsia="en-US"/>
        </w:rPr>
      </w:pPr>
      <w:r w:rsidRPr="0015387C">
        <w:rPr>
          <w:rFonts w:eastAsia="Calibri"/>
          <w:sz w:val="26"/>
          <w:szCs w:val="26"/>
          <w:lang w:eastAsia="en-US"/>
        </w:rPr>
        <w:t xml:space="preserve">En un escenario de credibilidad máxima de la política monetaria, los incrementos de precios generados por la depreciación del tipo de cambio deberían producirse de una sola vez. Por tanto, bajo estas circunstancias, una política monetaria acomodaticia ayudaría a amortiguar la desaceleración al tiempo que contribuiría a reavivar la inversión y el crecimiento. No obstante, el riesgo de una segunda ronda de aumentos de precios y salarios podría ser lo suficientemente elevado para justificar una política monetaria estricta (pese al debilitamiento de la actividad económica interna) destinada a mantener las expectativas inflacionarias a raya. Además, el margen para la política monetaria en la región está restringido porque la mayoría de los bancos centrales se están topando contra sus metas de inflación y los mercados laborales siguen siendo bastante apretados. Asimismo, las depreciaciones drásticas del tipo de cambio podrían estresar a las empresas dado el aumento reciente de su endeudamiento en dólares (que en buena parte es la contrapartida de la disminución del ahorro interno durante el </w:t>
      </w:r>
      <w:r w:rsidRPr="0015387C">
        <w:rPr>
          <w:rFonts w:eastAsia="Calibri"/>
          <w:sz w:val="26"/>
          <w:szCs w:val="26"/>
          <w:lang w:eastAsia="en-US"/>
        </w:rPr>
        <w:lastRenderedPageBreak/>
        <w:t>período de recuperación de la crisis), lo cual, a su vez, podría reducir más el margen de los bancos centrales para bajar los tipos de interés.</w:t>
      </w:r>
    </w:p>
    <w:p w14:paraId="333703F0" w14:textId="77777777" w:rsidR="0015387C" w:rsidRPr="0015387C" w:rsidRDefault="0015387C" w:rsidP="0015387C">
      <w:pPr>
        <w:spacing w:after="360" w:line="360" w:lineRule="auto"/>
        <w:ind w:right="-159"/>
        <w:jc w:val="both"/>
        <w:rPr>
          <w:rFonts w:eastAsia="Calibri"/>
          <w:sz w:val="26"/>
          <w:szCs w:val="26"/>
          <w:lang w:eastAsia="en-US"/>
        </w:rPr>
      </w:pPr>
      <w:r w:rsidRPr="0015387C">
        <w:rPr>
          <w:rFonts w:eastAsia="Calibri"/>
          <w:sz w:val="26"/>
          <w:szCs w:val="26"/>
          <w:lang w:eastAsia="en-US"/>
        </w:rPr>
        <w:t>Dada la falta de margen de maniobra por el lado monetario, expansiones fiscales, en principio, podrían usarse para evitar que la actividad económica se desmorone. Sin embargo, también en este caso el margen de maniobra parece estar limitado. Los índices de sostenibilidad fiscal, excelentes antes de la crisis, se han deteriorado en toda la región hasta el punto de volverse problemáticos en algunos países. Paralelamente, los paquetes de estímulos fiscales de muchos países han estado sesgados hacia las transferencias y el gasto en consumo en lugar de hacia el gasto en inversión, lo que pone en duda su capacidad de promover el crecimiento. Una explicación posible de dichos sesgos podría tener que ver con el tamaño relativamente pequeño (dados los estándares internacionales) de los gobiernos de ALyC, que a su vez refleja la escasa magnitud de los ingresos públicos. Así, el típico gobierno pequeño de ALyC podría haber reprimido gastos muy necesarios en servicios sociales hasta que las restricciones del gasto se relajaron para implementar los estímulos fiscales. Sin embargo, la evidencia apunta en la dirección opuesta, esto es, hacia sesgos estructurales de gasto, puesto que fueron precisamente los gobiernos más grandes de la región los que tendieron a embarcarse más en gastos orientados al consumo. De hecho, solo unos pocos países de la región (entre los que destaca Chile, pero también Bolivia y Perú) tienen en este momento un margen fiscal razonable, lo que se debe en gran medida al elevado ahorro de los últimos años que a su vez redujo la deuda gubernamental y/o la acumulación neta de reservas internacionales.</w:t>
      </w:r>
    </w:p>
    <w:p w14:paraId="609ED944" w14:textId="77777777" w:rsidR="0015387C" w:rsidRPr="0015387C" w:rsidRDefault="0015387C" w:rsidP="0015387C">
      <w:pPr>
        <w:spacing w:after="360" w:line="360" w:lineRule="auto"/>
        <w:ind w:right="-159"/>
        <w:jc w:val="both"/>
        <w:rPr>
          <w:rFonts w:eastAsia="Calibri"/>
          <w:sz w:val="26"/>
          <w:szCs w:val="26"/>
          <w:lang w:eastAsia="en-US"/>
        </w:rPr>
      </w:pPr>
      <w:r w:rsidRPr="0015387C">
        <w:rPr>
          <w:rFonts w:eastAsia="Calibri"/>
          <w:sz w:val="26"/>
          <w:szCs w:val="26"/>
          <w:lang w:eastAsia="en-US"/>
        </w:rPr>
        <w:t xml:space="preserve">Por lo tanto, parece que ha llegado el momento de que la región se esfuerce para aumentar el margen de maniobra de las políticas macroeconómicas. Por el lado monetario esto implica una mayor flexibilidad para permitir desviaciones temporales de la tasa de inflación de su meta cuando se produzcan choques de oferta. Mientras que un aumento adicional de credibilidad podría en muchos casos ser una condición </w:t>
      </w:r>
      <w:r w:rsidRPr="0015387C">
        <w:rPr>
          <w:rFonts w:eastAsia="Calibri"/>
          <w:sz w:val="26"/>
          <w:szCs w:val="26"/>
          <w:lang w:eastAsia="en-US"/>
        </w:rPr>
        <w:lastRenderedPageBreak/>
        <w:t>indispensable, cabe preguntarse hasta qué punto también convendría ampliar el ancho de las bandas de las metas de inflación. Por el lado fiscal, el margen de maniobra de las políticas podría incrementarse mediante la introducción o el fortalecimiento de reglas fiscales, estabilizadores automáticos, etcétera. Sin embargo, una lección crucial extraída de la experiencia reciente es que, para que estos mecanismos resulten efectivos, hay que valorar correctamente la naturaleza transitoria o permanente de los choques.</w:t>
      </w:r>
    </w:p>
    <w:p w14:paraId="4901DFB1" w14:textId="77777777" w:rsidR="0015387C" w:rsidRPr="0015387C" w:rsidRDefault="0015387C" w:rsidP="0015387C">
      <w:pPr>
        <w:spacing w:after="360" w:line="360" w:lineRule="auto"/>
        <w:ind w:right="-159"/>
        <w:jc w:val="both"/>
        <w:rPr>
          <w:rFonts w:eastAsia="Calibri"/>
          <w:sz w:val="26"/>
          <w:szCs w:val="26"/>
          <w:lang w:eastAsia="en-US"/>
        </w:rPr>
      </w:pPr>
      <w:r w:rsidRPr="0015387C">
        <w:rPr>
          <w:rFonts w:eastAsia="Calibri"/>
          <w:sz w:val="26"/>
          <w:szCs w:val="26"/>
          <w:lang w:eastAsia="en-US"/>
        </w:rPr>
        <w:t>Asimismo, existe una necesidad complementaria de movilizar el ahorro en la región, un aspecto en el que este informe hace un hincapié novedoso. La clave es que unas tasas de ahorro mayores darían más margen de maniobra a las políticas fiscal y monetaria, pues ayudarían a evitar aprietos macroeconómicos como los que acucian en este momento a algunos países de la región. Además, hay cada vez más evidencia según la cual el ahorro también es importante para el crecimiento, especialmente en países de ingreso mediano con déficit persistentes de cuenta corriente. El ahorro interno puede promover el crecimiento tanto mediante la depreciación del tipo de cambio real de equilibrio (que a su vez impulsa la competitividad) como a través de una menor dependencia del ahorro externo, que disminuye el costo del capital y mejora la sostenibilidad del crecimiento. En lo que respecta a este último tema, el informe sostiene que, dadas políticas adecuadas, el giro hacia el consumo del gasto de China podría tener un impacto no desdeñable sobre el crecimiento de ALyC al aumentar las tasas de ahorro de la región y, por tanto, depreciar sus tipos de cambio reales.</w:t>
      </w:r>
    </w:p>
    <w:p w14:paraId="67EF68E8" w14:textId="77777777" w:rsidR="0015387C" w:rsidRPr="0015387C" w:rsidRDefault="0015387C" w:rsidP="0015387C">
      <w:pPr>
        <w:spacing w:after="360" w:line="360" w:lineRule="auto"/>
        <w:ind w:right="-159"/>
        <w:jc w:val="both"/>
        <w:rPr>
          <w:rFonts w:eastAsia="Calibri"/>
          <w:sz w:val="26"/>
          <w:szCs w:val="26"/>
          <w:lang w:eastAsia="en-US"/>
        </w:rPr>
      </w:pPr>
      <w:r w:rsidRPr="0015387C">
        <w:rPr>
          <w:rFonts w:eastAsia="Calibri"/>
          <w:sz w:val="26"/>
          <w:szCs w:val="26"/>
          <w:lang w:eastAsia="en-US"/>
        </w:rPr>
        <w:t xml:space="preserve">Se necesita claramente un fortalecimiento fiscal que enfatice la reestructuración profunda de las finanzas públicas para que el gasto público sea más eficiente y más orientado al crecimiento. Por supuesto, la situación actual no es la idónea para llevar a cabo un gran ajuste fiscal. No obstante, la movilización del ahorro público y privado debería ser una parte central de la agenda futura de reformas promotoras del crecimiento y la estabilidad macroeconómica. No cabe duda de que la movilización del ahorro plantea una agenda amplia y ambiciosa que implica acciones simultáneas en muchos </w:t>
      </w:r>
      <w:r w:rsidRPr="0015387C">
        <w:rPr>
          <w:rFonts w:eastAsia="Calibri"/>
          <w:sz w:val="26"/>
          <w:szCs w:val="26"/>
          <w:lang w:eastAsia="en-US"/>
        </w:rPr>
        <w:lastRenderedPageBreak/>
        <w:t>frentes, incluidos el fiscal, el financiero y el de protección social. Si bien los escépticos con respecto a la posibilidad de cambiar significativamente la tasa de ahorro tienen en parte razón (ciertamente no es fácil aumentar el ahorro), la proposición de que el ahorro está más allá del alcance de las políticas y que, por tanto, no puede ser considerado en una agenda realista de políticas, es insostenible. Por supuesto, la movilización del ahorro no puede hacerse en un solo día y la implementación de una agenda agresiva orientada hacia ese fin en medio de una desaceleración podría no ser aconsejable. Sin embargo, debería desde ya ser integrada en la agenda de política y la definición de prioridades regionales para el crecimiento.</w:t>
      </w:r>
    </w:p>
    <w:p w14:paraId="669883CA" w14:textId="77777777" w:rsidR="0015387C" w:rsidRPr="0015387C" w:rsidRDefault="0015387C" w:rsidP="0015387C">
      <w:pPr>
        <w:ind w:right="-159"/>
        <w:jc w:val="both"/>
        <w:rPr>
          <w:rFonts w:eastAsia="Calibri"/>
          <w:b/>
          <w:sz w:val="20"/>
          <w:szCs w:val="20"/>
          <w:lang w:eastAsia="en-US"/>
        </w:rPr>
      </w:pPr>
      <w:r w:rsidRPr="0015387C">
        <w:rPr>
          <w:rFonts w:eastAsia="Calibri"/>
          <w:b/>
          <w:sz w:val="20"/>
          <w:szCs w:val="20"/>
          <w:lang w:eastAsia="en-US"/>
        </w:rPr>
        <w:t>Fuente de información:</w:t>
      </w:r>
    </w:p>
    <w:p w14:paraId="0404D1B9" w14:textId="77777777" w:rsidR="0015387C" w:rsidRPr="00330C00" w:rsidRDefault="00AB7A4A" w:rsidP="0015387C">
      <w:pPr>
        <w:ind w:right="-159"/>
        <w:jc w:val="both"/>
        <w:rPr>
          <w:rFonts w:eastAsia="Calibri"/>
          <w:color w:val="0000FF"/>
          <w:sz w:val="20"/>
          <w:szCs w:val="20"/>
          <w:lang w:eastAsia="en-US"/>
        </w:rPr>
      </w:pPr>
      <w:hyperlink r:id="rId16" w:history="1">
        <w:r w:rsidR="0015387C" w:rsidRPr="00330C00">
          <w:rPr>
            <w:rFonts w:eastAsia="Calibri"/>
            <w:color w:val="0000FF"/>
            <w:sz w:val="20"/>
            <w:szCs w:val="20"/>
            <w:u w:val="single"/>
            <w:lang w:eastAsia="en-US"/>
          </w:rPr>
          <w:t>http://www.bancomundial.org/es/news/feature/2015/04/15/america-latina-perspectivas-crecimiento-economia-2015</w:t>
        </w:r>
      </w:hyperlink>
      <w:r w:rsidR="0015387C" w:rsidRPr="00330C00">
        <w:rPr>
          <w:rFonts w:eastAsia="Calibri"/>
          <w:color w:val="0000FF"/>
          <w:sz w:val="20"/>
          <w:szCs w:val="20"/>
          <w:lang w:eastAsia="en-US"/>
        </w:rPr>
        <w:t xml:space="preserve"> </w:t>
      </w:r>
    </w:p>
    <w:p w14:paraId="47EE6AEB" w14:textId="77777777" w:rsidR="0015387C" w:rsidRPr="00330C00" w:rsidRDefault="00AB7A4A" w:rsidP="0015387C">
      <w:pPr>
        <w:ind w:right="-159"/>
        <w:jc w:val="both"/>
        <w:rPr>
          <w:rFonts w:eastAsia="Calibri"/>
          <w:color w:val="0000FF"/>
          <w:sz w:val="20"/>
          <w:szCs w:val="20"/>
          <w:lang w:eastAsia="en-US"/>
        </w:rPr>
      </w:pPr>
      <w:hyperlink r:id="rId17" w:history="1">
        <w:r w:rsidR="0015387C" w:rsidRPr="00330C00">
          <w:rPr>
            <w:rFonts w:eastAsia="Calibri"/>
            <w:color w:val="0000FF"/>
            <w:sz w:val="20"/>
            <w:szCs w:val="20"/>
            <w:u w:val="single"/>
            <w:lang w:eastAsia="en-US"/>
          </w:rPr>
          <w:t>http://www.worldbank.org/content/dam/Worldbank/Feature%20Story/lac/PELACResumen%20Ejecutivo_Reporte%20Semestral%20Abril%202015.pdf</w:t>
        </w:r>
      </w:hyperlink>
      <w:r w:rsidR="0015387C" w:rsidRPr="00330C00">
        <w:rPr>
          <w:rFonts w:eastAsia="Calibri"/>
          <w:color w:val="0000FF"/>
          <w:sz w:val="20"/>
          <w:szCs w:val="20"/>
          <w:lang w:eastAsia="en-US"/>
        </w:rPr>
        <w:t xml:space="preserve"> </w:t>
      </w:r>
    </w:p>
    <w:p w14:paraId="20888281" w14:textId="77777777" w:rsidR="0015387C" w:rsidRPr="00330C00" w:rsidRDefault="0015387C" w:rsidP="0015387C">
      <w:pPr>
        <w:ind w:right="-159"/>
        <w:jc w:val="both"/>
        <w:rPr>
          <w:rFonts w:eastAsia="Calibri"/>
          <w:sz w:val="20"/>
          <w:szCs w:val="20"/>
          <w:lang w:eastAsia="en-US"/>
        </w:rPr>
      </w:pPr>
      <w:r w:rsidRPr="00330C00">
        <w:rPr>
          <w:rFonts w:eastAsia="Calibri"/>
          <w:sz w:val="20"/>
          <w:szCs w:val="20"/>
          <w:lang w:eastAsia="en-US"/>
        </w:rPr>
        <w:t>Para tener acceso a información relacionada visite:</w:t>
      </w:r>
    </w:p>
    <w:p w14:paraId="30034D21" w14:textId="77777777" w:rsidR="0015387C" w:rsidRPr="00330C00" w:rsidRDefault="00AB7A4A" w:rsidP="00330C00">
      <w:pPr>
        <w:spacing w:after="720"/>
        <w:ind w:right="-159"/>
        <w:jc w:val="both"/>
        <w:rPr>
          <w:rFonts w:eastAsia="Calibri"/>
          <w:color w:val="0000FF"/>
          <w:sz w:val="20"/>
          <w:szCs w:val="20"/>
          <w:lang w:eastAsia="en-US"/>
        </w:rPr>
      </w:pPr>
      <w:hyperlink r:id="rId18" w:history="1">
        <w:r w:rsidR="0015387C" w:rsidRPr="00330C00">
          <w:rPr>
            <w:rFonts w:eastAsia="Calibri"/>
            <w:color w:val="0000FF"/>
            <w:sz w:val="20"/>
            <w:szCs w:val="20"/>
            <w:u w:val="single"/>
            <w:lang w:eastAsia="en-US"/>
          </w:rPr>
          <w:t>http://envivo.bancomundial.org/latinoamerica-en-busca-del-crecimiento-perdido</w:t>
        </w:r>
      </w:hyperlink>
      <w:r w:rsidR="0015387C" w:rsidRPr="00330C00">
        <w:rPr>
          <w:rFonts w:eastAsia="Calibri"/>
          <w:color w:val="0000FF"/>
          <w:sz w:val="20"/>
          <w:szCs w:val="20"/>
          <w:lang w:eastAsia="en-US"/>
        </w:rPr>
        <w:t xml:space="preserve"> </w:t>
      </w:r>
    </w:p>
    <w:p w14:paraId="02CA619F" w14:textId="77777777" w:rsidR="0015387C" w:rsidRPr="0015387C" w:rsidRDefault="0015387C" w:rsidP="0015387C">
      <w:pPr>
        <w:ind w:right="-159"/>
        <w:jc w:val="both"/>
        <w:rPr>
          <w:rFonts w:eastAsia="Calibri"/>
          <w:b/>
          <w:sz w:val="26"/>
          <w:szCs w:val="26"/>
          <w:lang w:eastAsia="en-US"/>
        </w:rPr>
      </w:pPr>
      <w:r w:rsidRPr="0015387C">
        <w:rPr>
          <w:rFonts w:eastAsia="Calibri"/>
          <w:b/>
          <w:bCs/>
          <w:sz w:val="26"/>
          <w:szCs w:val="26"/>
          <w:lang w:eastAsia="en-US"/>
        </w:rPr>
        <w:t xml:space="preserve">Latinoamérica </w:t>
      </w:r>
      <w:r w:rsidRPr="0015387C">
        <w:rPr>
          <w:rFonts w:eastAsia="Calibri"/>
          <w:b/>
          <w:sz w:val="26"/>
          <w:szCs w:val="26"/>
          <w:lang w:eastAsia="en-US"/>
        </w:rPr>
        <w:t>expuesta a baja en el ciclo</w:t>
      </w:r>
    </w:p>
    <w:p w14:paraId="290FBEB2" w14:textId="77777777" w:rsidR="0015387C" w:rsidRPr="0015387C" w:rsidRDefault="0015387C" w:rsidP="0015387C">
      <w:pPr>
        <w:spacing w:after="360" w:line="360" w:lineRule="auto"/>
        <w:ind w:right="-159"/>
        <w:jc w:val="both"/>
        <w:rPr>
          <w:rFonts w:eastAsia="Calibri"/>
          <w:b/>
          <w:sz w:val="26"/>
          <w:szCs w:val="26"/>
          <w:lang w:eastAsia="en-US"/>
        </w:rPr>
      </w:pPr>
      <w:r w:rsidRPr="0015387C">
        <w:rPr>
          <w:rFonts w:eastAsia="Calibri"/>
          <w:b/>
          <w:sz w:val="26"/>
          <w:szCs w:val="26"/>
          <w:lang w:eastAsia="en-US"/>
        </w:rPr>
        <w:t>y difícil entorno externo (</w:t>
      </w:r>
      <w:r w:rsidRPr="0015387C">
        <w:rPr>
          <w:rFonts w:eastAsia="Calibri"/>
          <w:b/>
          <w:bCs/>
          <w:sz w:val="26"/>
          <w:szCs w:val="26"/>
          <w:lang w:eastAsia="en-US"/>
        </w:rPr>
        <w:t>Fitch</w:t>
      </w:r>
      <w:r w:rsidRPr="0015387C">
        <w:rPr>
          <w:rFonts w:eastAsia="Calibri"/>
          <w:b/>
          <w:sz w:val="26"/>
          <w:szCs w:val="26"/>
          <w:lang w:eastAsia="en-US"/>
        </w:rPr>
        <w:t>)</w:t>
      </w:r>
    </w:p>
    <w:p w14:paraId="5C137367" w14:textId="2564B920" w:rsidR="0015387C" w:rsidRPr="0015387C" w:rsidRDefault="0015387C" w:rsidP="00330C00">
      <w:pPr>
        <w:spacing w:after="360" w:line="420" w:lineRule="exact"/>
        <w:ind w:right="-159"/>
        <w:jc w:val="both"/>
        <w:rPr>
          <w:rFonts w:eastAsia="Calibri"/>
          <w:sz w:val="26"/>
          <w:szCs w:val="26"/>
          <w:lang w:eastAsia="en-US"/>
        </w:rPr>
      </w:pPr>
      <w:r w:rsidRPr="0015387C">
        <w:rPr>
          <w:rFonts w:eastAsia="Calibri"/>
          <w:bCs/>
          <w:sz w:val="26"/>
          <w:szCs w:val="26"/>
          <w:lang w:eastAsia="en-US"/>
        </w:rPr>
        <w:t xml:space="preserve">El 16 abril de 2015, la casa calificadora Fitch Ratings presentó </w:t>
      </w:r>
      <w:r w:rsidRPr="0015387C">
        <w:rPr>
          <w:rFonts w:eastAsia="Calibri"/>
          <w:sz w:val="26"/>
          <w:szCs w:val="26"/>
          <w:lang w:eastAsia="en-US"/>
        </w:rPr>
        <w:t xml:space="preserve">su documento </w:t>
      </w:r>
      <w:r w:rsidRPr="0015387C">
        <w:rPr>
          <w:rFonts w:eastAsia="Calibri"/>
          <w:i/>
          <w:iCs/>
          <w:sz w:val="26"/>
          <w:szCs w:val="26"/>
          <w:lang w:eastAsia="en-US"/>
        </w:rPr>
        <w:t>Latin American Sovereign Overview</w:t>
      </w:r>
      <w:r w:rsidRPr="0015387C">
        <w:rPr>
          <w:rFonts w:eastAsia="Calibri"/>
          <w:sz w:val="26"/>
          <w:szCs w:val="26"/>
          <w:lang w:eastAsia="en-US"/>
        </w:rPr>
        <w:t xml:space="preserve">, Fitch proyecta un crecimiento real de sólo 0.5% para el </w:t>
      </w:r>
      <w:r w:rsidR="00432922">
        <w:rPr>
          <w:rFonts w:eastAsia="Calibri"/>
          <w:sz w:val="26"/>
          <w:szCs w:val="26"/>
          <w:lang w:eastAsia="en-US"/>
        </w:rPr>
        <w:t>Producto Interno Bruto (</w:t>
      </w:r>
      <w:r w:rsidRPr="0015387C">
        <w:rPr>
          <w:rFonts w:eastAsia="Calibri"/>
          <w:sz w:val="26"/>
          <w:szCs w:val="26"/>
          <w:lang w:eastAsia="en-US"/>
        </w:rPr>
        <w:t>PIB</w:t>
      </w:r>
      <w:r w:rsidR="00432922">
        <w:rPr>
          <w:rFonts w:eastAsia="Calibri"/>
          <w:sz w:val="26"/>
          <w:szCs w:val="26"/>
          <w:lang w:eastAsia="en-US"/>
        </w:rPr>
        <w:t>)</w:t>
      </w:r>
      <w:r w:rsidRPr="0015387C">
        <w:rPr>
          <w:rFonts w:eastAsia="Calibri"/>
          <w:sz w:val="26"/>
          <w:szCs w:val="26"/>
          <w:lang w:eastAsia="en-US"/>
        </w:rPr>
        <w:t xml:space="preserve"> de Latinoamérica, comparado con el 1.6% proyectado en diciembre de 2014. Se espera que las economías de Venezuela y Argentina registren tasas de crecimiento negativas en 2015, mientras que Brasil podría contraerse en 1% este año. Un crecimiento más débil, precios de materias primas más bajos y presiones continuas sobre el gasto público podrían llevar a déficit fiscales más altos en 2015.</w:t>
      </w:r>
    </w:p>
    <w:p w14:paraId="713F24DC" w14:textId="77777777" w:rsidR="0015387C" w:rsidRPr="0015387C" w:rsidRDefault="0015387C" w:rsidP="00330C00">
      <w:pPr>
        <w:spacing w:after="360" w:line="420" w:lineRule="exact"/>
        <w:ind w:right="-159"/>
        <w:jc w:val="both"/>
        <w:rPr>
          <w:rFonts w:eastAsia="Calibri"/>
          <w:sz w:val="26"/>
          <w:szCs w:val="26"/>
          <w:lang w:eastAsia="en-US"/>
        </w:rPr>
      </w:pPr>
      <w:r w:rsidRPr="0015387C">
        <w:rPr>
          <w:rFonts w:eastAsia="Calibri"/>
          <w:sz w:val="26"/>
          <w:szCs w:val="26"/>
          <w:lang w:eastAsia="en-US"/>
        </w:rPr>
        <w:t xml:space="preserve">Mientras que los importadores de materias primas de América Central y el Caribe podrían beneficiarse de la caída en los precios de las materias primas mediante una inflación menor, necesidades de financiamiento externo acotadas y ciertos ahorros fiscales, los exportadores de materias primas de la región enfrentan un debilitamiento </w:t>
      </w:r>
      <w:r w:rsidRPr="0015387C">
        <w:rPr>
          <w:rFonts w:eastAsia="Calibri"/>
          <w:sz w:val="26"/>
          <w:szCs w:val="26"/>
          <w:lang w:eastAsia="en-US"/>
        </w:rPr>
        <w:lastRenderedPageBreak/>
        <w:t>en la confianza, los precios de sus monedas y activos financieros, los déficit fiscales y el panorama externo.</w:t>
      </w:r>
    </w:p>
    <w:p w14:paraId="1E760216" w14:textId="77777777" w:rsidR="0015387C" w:rsidRPr="0015387C" w:rsidRDefault="0015387C" w:rsidP="00330C00">
      <w:pPr>
        <w:spacing w:after="360" w:line="420" w:lineRule="exact"/>
        <w:ind w:right="-159"/>
        <w:jc w:val="both"/>
        <w:rPr>
          <w:rFonts w:eastAsia="Calibri"/>
          <w:sz w:val="26"/>
          <w:szCs w:val="26"/>
          <w:lang w:eastAsia="en-US"/>
        </w:rPr>
      </w:pPr>
      <w:r w:rsidRPr="0015387C">
        <w:rPr>
          <w:rFonts w:eastAsia="Calibri"/>
          <w:sz w:val="26"/>
          <w:szCs w:val="26"/>
          <w:lang w:eastAsia="en-US"/>
        </w:rPr>
        <w:t>El deterioro en los términos de intercambio está pesando sobre el desempeño de los déficit en cuenta corriente de los países exportadores de materias primas y podría resultar en menores flujos de inversión extranjera directa a futuro. Sin embargo, colchones externos más amplios junto con la depreciación en las monedas de varios países podrían suavizar la transición al nuevo entorno global.</w:t>
      </w:r>
    </w:p>
    <w:p w14:paraId="303ACAB4" w14:textId="77777777" w:rsidR="0015387C" w:rsidRPr="0015387C" w:rsidRDefault="0015387C" w:rsidP="00330C00">
      <w:pPr>
        <w:spacing w:after="360" w:line="420" w:lineRule="exact"/>
        <w:ind w:right="-159"/>
        <w:jc w:val="both"/>
        <w:rPr>
          <w:rFonts w:eastAsia="Calibri"/>
          <w:sz w:val="26"/>
          <w:szCs w:val="26"/>
          <w:lang w:eastAsia="en-US"/>
        </w:rPr>
      </w:pPr>
      <w:r w:rsidRPr="0015387C">
        <w:rPr>
          <w:rFonts w:eastAsia="Calibri"/>
          <w:sz w:val="26"/>
          <w:szCs w:val="26"/>
          <w:lang w:eastAsia="en-US"/>
        </w:rPr>
        <w:t>Por otro lado, el aumento de la deuda externa privada expone a la región a movimientos adversos en las tasas de cambio y mayores costos de financiamiento. Además, el momento y velocidad del ajuste monetario en Estados Unidos de Norteamérica podría aumentar la volatilidad de los mercados y reducir los flujos de capitales hacia la región.</w:t>
      </w:r>
    </w:p>
    <w:p w14:paraId="5A7F2485" w14:textId="77777777" w:rsidR="0015387C" w:rsidRDefault="0015387C" w:rsidP="00330C00">
      <w:pPr>
        <w:spacing w:after="360" w:line="420" w:lineRule="exact"/>
        <w:ind w:right="-159"/>
        <w:jc w:val="both"/>
        <w:rPr>
          <w:rFonts w:eastAsia="Calibri"/>
          <w:sz w:val="26"/>
          <w:szCs w:val="26"/>
          <w:lang w:eastAsia="en-US"/>
        </w:rPr>
      </w:pPr>
      <w:r w:rsidRPr="0015387C">
        <w:rPr>
          <w:rFonts w:eastAsia="Calibri"/>
          <w:sz w:val="26"/>
          <w:szCs w:val="26"/>
          <w:lang w:eastAsia="en-US"/>
        </w:rPr>
        <w:t>En lo que va del año, las tendencias en las calificaciones han sido equilibradas, con dos acciones de calificación positivas (se subió la calificación de Paraguay y se asignó “perspectiva positiva” a la calificación de Jamaica) y dos acciones de calificación negativas (se asignaron “perspectivas negativas” a Brasil y Costa Rica). En adelante, la trayectoria de las calificaciones soberanas dependerá del punto de partida de los fundamentos crediticios de cada país, así como de sus respuestas de política para enfrentar el nuevo entorno.</w:t>
      </w:r>
    </w:p>
    <w:p w14:paraId="5AA8E6F2" w14:textId="77777777" w:rsidR="0015387C" w:rsidRPr="0015387C" w:rsidRDefault="0015387C" w:rsidP="00330C00">
      <w:pPr>
        <w:spacing w:after="360" w:line="420" w:lineRule="exact"/>
        <w:ind w:right="-159"/>
        <w:jc w:val="both"/>
        <w:rPr>
          <w:rFonts w:eastAsia="Calibri"/>
          <w:sz w:val="26"/>
          <w:szCs w:val="26"/>
          <w:lang w:eastAsia="en-US"/>
        </w:rPr>
      </w:pPr>
      <w:r w:rsidRPr="0015387C">
        <w:rPr>
          <w:rFonts w:eastAsia="Calibri"/>
          <w:sz w:val="26"/>
          <w:szCs w:val="26"/>
          <w:lang w:eastAsia="en-US"/>
        </w:rPr>
        <w:t>El informe completo “</w:t>
      </w:r>
      <w:r w:rsidRPr="0015387C">
        <w:rPr>
          <w:rFonts w:eastAsia="Calibri"/>
          <w:i/>
          <w:iCs/>
          <w:sz w:val="26"/>
          <w:szCs w:val="26"/>
          <w:lang w:eastAsia="en-US"/>
        </w:rPr>
        <w:t>Latin American Sovereign Overview</w:t>
      </w:r>
      <w:r w:rsidRPr="0015387C">
        <w:rPr>
          <w:rFonts w:eastAsia="Calibri"/>
          <w:sz w:val="26"/>
          <w:szCs w:val="26"/>
          <w:lang w:eastAsia="en-US"/>
        </w:rPr>
        <w:t>” provee un resumen de los perfiles crediticios de cada uno de los 20 soberanos calificados en América Latina y El Caribe, así como un resumen de la reciente evolución macroeconómica y de las tendencias en las calificaciones.</w:t>
      </w:r>
    </w:p>
    <w:p w14:paraId="1CB0A995" w14:textId="77777777" w:rsidR="0015387C" w:rsidRPr="0015387C" w:rsidRDefault="0015387C" w:rsidP="0015387C">
      <w:pPr>
        <w:ind w:right="-159"/>
        <w:jc w:val="both"/>
        <w:rPr>
          <w:rFonts w:eastAsia="Calibri"/>
          <w:b/>
          <w:sz w:val="20"/>
          <w:szCs w:val="20"/>
          <w:lang w:eastAsia="en-US"/>
        </w:rPr>
      </w:pPr>
      <w:r w:rsidRPr="0015387C">
        <w:rPr>
          <w:rFonts w:eastAsia="Calibri"/>
          <w:b/>
          <w:sz w:val="20"/>
          <w:szCs w:val="20"/>
          <w:lang w:eastAsia="en-US"/>
        </w:rPr>
        <w:t>Fuente de información:</w:t>
      </w:r>
    </w:p>
    <w:p w14:paraId="40668089" w14:textId="77777777" w:rsidR="0015387C" w:rsidRPr="00330C00" w:rsidRDefault="00AB7A4A" w:rsidP="0015387C">
      <w:pPr>
        <w:ind w:right="-159"/>
        <w:jc w:val="both"/>
        <w:rPr>
          <w:rFonts w:eastAsia="Calibri"/>
          <w:color w:val="0000FF"/>
          <w:sz w:val="20"/>
          <w:szCs w:val="20"/>
          <w:lang w:eastAsia="en-US"/>
        </w:rPr>
      </w:pPr>
      <w:hyperlink r:id="rId19" w:history="1">
        <w:r w:rsidR="0015387C" w:rsidRPr="00330C00">
          <w:rPr>
            <w:rFonts w:eastAsia="Calibri"/>
            <w:color w:val="0000FF"/>
            <w:sz w:val="20"/>
            <w:szCs w:val="20"/>
            <w:u w:val="single"/>
            <w:lang w:eastAsia="en-US"/>
          </w:rPr>
          <w:t>http://www.fitchratings.mx/ArchivosHTML/Coment_14018.pdf</w:t>
        </w:r>
      </w:hyperlink>
      <w:r w:rsidR="0015387C" w:rsidRPr="00330C00">
        <w:rPr>
          <w:rFonts w:eastAsia="Calibri"/>
          <w:color w:val="0000FF"/>
          <w:sz w:val="20"/>
          <w:szCs w:val="20"/>
          <w:lang w:eastAsia="en-US"/>
        </w:rPr>
        <w:t xml:space="preserve"> </w:t>
      </w:r>
    </w:p>
    <w:p w14:paraId="375DE595" w14:textId="77777777" w:rsidR="0015387C" w:rsidRPr="00330C00" w:rsidRDefault="0015387C" w:rsidP="0015387C">
      <w:pPr>
        <w:ind w:right="-159"/>
        <w:jc w:val="both"/>
        <w:rPr>
          <w:rFonts w:eastAsia="Calibri"/>
          <w:color w:val="0000FF"/>
          <w:sz w:val="20"/>
          <w:szCs w:val="20"/>
          <w:lang w:eastAsia="en-US"/>
        </w:rPr>
      </w:pPr>
      <w:r w:rsidRPr="00330C00">
        <w:rPr>
          <w:rFonts w:eastAsia="Calibri"/>
          <w:color w:val="0000FF"/>
          <w:sz w:val="20"/>
          <w:szCs w:val="20"/>
          <w:lang w:eastAsia="en-US"/>
        </w:rPr>
        <w:t>Para tener acceso a información relacionada visite:</w:t>
      </w:r>
    </w:p>
    <w:p w14:paraId="283D487E" w14:textId="77777777" w:rsidR="0015387C" w:rsidRPr="00330C00" w:rsidRDefault="00AB7A4A" w:rsidP="0015387C">
      <w:pPr>
        <w:ind w:right="-159"/>
        <w:jc w:val="both"/>
        <w:rPr>
          <w:rFonts w:eastAsia="Calibri"/>
          <w:color w:val="0000FF"/>
          <w:sz w:val="20"/>
          <w:szCs w:val="20"/>
          <w:lang w:eastAsia="en-US"/>
        </w:rPr>
      </w:pPr>
      <w:hyperlink r:id="rId20" w:history="1">
        <w:r w:rsidR="0015387C" w:rsidRPr="00330C00">
          <w:rPr>
            <w:rFonts w:eastAsia="Calibri"/>
            <w:color w:val="0000FF"/>
            <w:sz w:val="20"/>
            <w:szCs w:val="20"/>
            <w:u w:val="single"/>
            <w:lang w:eastAsia="en-US"/>
          </w:rPr>
          <w:t>http://www.bancomundial.org/es/news/feature/2015/04/15/america-latina-perspectivas-crecimiento-economia-2015</w:t>
        </w:r>
      </w:hyperlink>
      <w:r w:rsidR="0015387C" w:rsidRPr="00330C00">
        <w:rPr>
          <w:rFonts w:eastAsia="Calibri"/>
          <w:color w:val="0000FF"/>
          <w:sz w:val="20"/>
          <w:szCs w:val="20"/>
          <w:lang w:eastAsia="en-US"/>
        </w:rPr>
        <w:t xml:space="preserve"> </w:t>
      </w:r>
    </w:p>
    <w:p w14:paraId="5212C890" w14:textId="77777777" w:rsidR="0015387C" w:rsidRPr="00330C00" w:rsidRDefault="00AB7A4A" w:rsidP="0015387C">
      <w:pPr>
        <w:ind w:right="-159"/>
        <w:jc w:val="both"/>
        <w:rPr>
          <w:rFonts w:eastAsia="Calibri"/>
          <w:color w:val="0000FF"/>
          <w:sz w:val="20"/>
          <w:szCs w:val="20"/>
          <w:lang w:eastAsia="en-US"/>
        </w:rPr>
      </w:pPr>
      <w:hyperlink r:id="rId21" w:history="1">
        <w:r w:rsidR="0015387C" w:rsidRPr="00330C00">
          <w:rPr>
            <w:rFonts w:eastAsia="Calibri"/>
            <w:color w:val="0000FF"/>
            <w:sz w:val="20"/>
            <w:szCs w:val="20"/>
            <w:u w:val="single"/>
            <w:lang w:eastAsia="en-US"/>
          </w:rPr>
          <w:t>http://www.worldbank.org/content/dam/Worldbank/Feature%20Story/lac/PELACResumen%20Ejecutivo_Reporte%20Semestral%20Abril%202015.pdf</w:t>
        </w:r>
      </w:hyperlink>
      <w:r w:rsidR="0015387C" w:rsidRPr="00330C00">
        <w:rPr>
          <w:rFonts w:eastAsia="Calibri"/>
          <w:color w:val="0000FF"/>
          <w:sz w:val="20"/>
          <w:szCs w:val="20"/>
          <w:lang w:eastAsia="en-US"/>
        </w:rPr>
        <w:t xml:space="preserve"> </w:t>
      </w:r>
    </w:p>
    <w:p w14:paraId="35A51E65" w14:textId="77777777" w:rsidR="0015387C" w:rsidRPr="00330C00" w:rsidRDefault="00AB7A4A" w:rsidP="0015387C">
      <w:pPr>
        <w:ind w:right="-159"/>
        <w:jc w:val="both"/>
        <w:rPr>
          <w:rFonts w:eastAsia="Calibri"/>
          <w:color w:val="0000FF"/>
          <w:sz w:val="20"/>
          <w:szCs w:val="20"/>
          <w:lang w:eastAsia="en-US"/>
        </w:rPr>
      </w:pPr>
      <w:hyperlink r:id="rId22" w:history="1">
        <w:r w:rsidR="0015387C" w:rsidRPr="00330C00">
          <w:rPr>
            <w:rFonts w:eastAsia="Calibri"/>
            <w:color w:val="0000FF"/>
            <w:sz w:val="20"/>
            <w:szCs w:val="20"/>
            <w:u w:val="single"/>
            <w:lang w:eastAsia="en-US"/>
          </w:rPr>
          <w:t>http://envivo.bancomundial.org/latinoamerica-en-busca-del-crecimiento-perdido</w:t>
        </w:r>
      </w:hyperlink>
      <w:r w:rsidR="0015387C" w:rsidRPr="00330C00">
        <w:rPr>
          <w:rFonts w:eastAsia="Calibri"/>
          <w:color w:val="0000FF"/>
          <w:sz w:val="20"/>
          <w:szCs w:val="20"/>
          <w:lang w:eastAsia="en-US"/>
        </w:rPr>
        <w:t xml:space="preserve"> </w:t>
      </w:r>
    </w:p>
    <w:p w14:paraId="25313F1C" w14:textId="77777777" w:rsidR="00BE7DEE" w:rsidRPr="00BE7DEE" w:rsidRDefault="00BE7DEE" w:rsidP="00BE7DEE">
      <w:pPr>
        <w:spacing w:after="360" w:line="360" w:lineRule="auto"/>
        <w:ind w:right="-159"/>
        <w:jc w:val="both"/>
        <w:rPr>
          <w:rFonts w:eastAsia="Calibri"/>
          <w:b/>
          <w:sz w:val="26"/>
          <w:szCs w:val="26"/>
          <w:lang w:eastAsia="en-US"/>
        </w:rPr>
      </w:pPr>
      <w:r w:rsidRPr="00BE7DEE">
        <w:rPr>
          <w:rFonts w:eastAsia="Calibri"/>
          <w:b/>
          <w:bCs/>
          <w:sz w:val="26"/>
          <w:szCs w:val="26"/>
          <w:lang w:eastAsia="en-US"/>
        </w:rPr>
        <w:lastRenderedPageBreak/>
        <w:t>Reunión del Grupo Consultivo Africano</w:t>
      </w:r>
      <w:r w:rsidRPr="00BE7DEE">
        <w:rPr>
          <w:rFonts w:eastAsia="Calibri"/>
          <w:b/>
          <w:sz w:val="26"/>
          <w:szCs w:val="26"/>
          <w:lang w:eastAsia="en-US"/>
        </w:rPr>
        <w:t xml:space="preserve"> (FMI)</w:t>
      </w:r>
    </w:p>
    <w:p w14:paraId="04266674" w14:textId="31ABDA52" w:rsidR="00BE7DEE" w:rsidRPr="00BE7DEE" w:rsidRDefault="00BE7DEE" w:rsidP="00BE7DEE">
      <w:pPr>
        <w:spacing w:after="360" w:line="360" w:lineRule="auto"/>
        <w:ind w:right="-159"/>
        <w:jc w:val="both"/>
        <w:rPr>
          <w:rFonts w:eastAsia="Calibri"/>
          <w:sz w:val="26"/>
          <w:szCs w:val="26"/>
          <w:lang w:eastAsia="en-US"/>
        </w:rPr>
      </w:pPr>
      <w:r w:rsidRPr="00BE7DEE">
        <w:rPr>
          <w:rFonts w:eastAsia="Calibri"/>
          <w:sz w:val="26"/>
          <w:szCs w:val="26"/>
          <w:lang w:eastAsia="en-US"/>
        </w:rPr>
        <w:t xml:space="preserve">El 19 de abril de 2015, el Fondo Monetario Internacional (FMI) publicó el comunicado del </w:t>
      </w:r>
      <w:r w:rsidRPr="00BE7DEE">
        <w:rPr>
          <w:rFonts w:eastAsia="Calibri"/>
          <w:bCs/>
          <w:sz w:val="26"/>
          <w:szCs w:val="26"/>
          <w:lang w:eastAsia="en-US"/>
        </w:rPr>
        <w:t xml:space="preserve">Presidente del Grupo Africano y de la Directora Gerente del FMI. A continuación se presenta </w:t>
      </w:r>
      <w:r>
        <w:rPr>
          <w:rFonts w:eastAsia="Calibri"/>
          <w:bCs/>
          <w:sz w:val="26"/>
          <w:szCs w:val="26"/>
          <w:lang w:eastAsia="en-US"/>
        </w:rPr>
        <w:t xml:space="preserve">el </w:t>
      </w:r>
      <w:r w:rsidRPr="00BE7DEE">
        <w:rPr>
          <w:rFonts w:eastAsia="Calibri"/>
          <w:bCs/>
          <w:sz w:val="26"/>
          <w:szCs w:val="26"/>
          <w:lang w:eastAsia="en-US"/>
        </w:rPr>
        <w:t>Comunicado del Grupo Consultivo Africano:</w:t>
      </w:r>
    </w:p>
    <w:p w14:paraId="50351AC6" w14:textId="6B3C65E9" w:rsidR="00BE7DEE" w:rsidRPr="00BE7DEE" w:rsidRDefault="00BE7DEE" w:rsidP="00BE7DEE">
      <w:pPr>
        <w:spacing w:after="360" w:line="360" w:lineRule="auto"/>
        <w:ind w:right="-159"/>
        <w:jc w:val="both"/>
        <w:rPr>
          <w:rFonts w:eastAsia="Calibri"/>
          <w:sz w:val="26"/>
          <w:szCs w:val="26"/>
          <w:lang w:eastAsia="en-US"/>
        </w:rPr>
      </w:pPr>
      <w:r w:rsidRPr="00BE7DEE">
        <w:rPr>
          <w:rFonts w:eastAsia="Calibri"/>
          <w:sz w:val="26"/>
          <w:szCs w:val="26"/>
          <w:lang w:eastAsia="en-US"/>
        </w:rPr>
        <w:t>El Presidente del Grupo Africano y la Directora Gerente del FMI compartieron la presidencia de la reunión del Grupo Consultivo Africano celebrada en la sede del FMI. Dieron a conocer la siguiente declaración al término de la reunión del Grupo en la ciudad de Washington</w:t>
      </w:r>
      <w:r w:rsidRPr="00BE7DEE">
        <w:rPr>
          <w:rFonts w:eastAsia="Calibri"/>
          <w:sz w:val="26"/>
          <w:szCs w:val="26"/>
          <w:vertAlign w:val="superscript"/>
          <w:lang w:eastAsia="en-US"/>
        </w:rPr>
        <w:footnoteReference w:id="4"/>
      </w:r>
      <w:r w:rsidR="0061687E">
        <w:rPr>
          <w:rFonts w:eastAsia="Calibri"/>
          <w:sz w:val="26"/>
          <w:szCs w:val="26"/>
          <w:lang w:eastAsia="en-US"/>
        </w:rPr>
        <w:t>.</w:t>
      </w:r>
    </w:p>
    <w:p w14:paraId="20510555" w14:textId="77777777" w:rsidR="00BE7DEE" w:rsidRPr="00BE7DEE" w:rsidRDefault="00BE7DEE" w:rsidP="00BE7DEE">
      <w:pPr>
        <w:spacing w:after="360" w:line="360" w:lineRule="auto"/>
        <w:ind w:right="-159"/>
        <w:jc w:val="both"/>
        <w:rPr>
          <w:rFonts w:eastAsia="Calibri"/>
          <w:sz w:val="26"/>
          <w:szCs w:val="26"/>
          <w:lang w:eastAsia="en-US"/>
        </w:rPr>
      </w:pPr>
      <w:r w:rsidRPr="00BE7DEE">
        <w:rPr>
          <w:rFonts w:eastAsia="Calibri"/>
          <w:sz w:val="26"/>
          <w:szCs w:val="26"/>
          <w:lang w:eastAsia="en-US"/>
        </w:rPr>
        <w:t>“Celebramos deliberaciones muy productivas sobre las perspectivas a corto y mediano plazo para África, destacando tanto los desafíos en materia de políticas como las continuas oportunidades. Convinimos en que las perspectivas económicas siguen siendo prometedoras, dado que la proyección de la actividad económica apunta a un aumento a una tasa anual ligeramente superior a 4% en 2015, en un ambiente de inflación siempre moderada.</w:t>
      </w:r>
    </w:p>
    <w:p w14:paraId="5F465AD4" w14:textId="77777777" w:rsidR="00BE7DEE" w:rsidRPr="00BE7DEE" w:rsidRDefault="00BE7DEE" w:rsidP="00BE7DEE">
      <w:pPr>
        <w:spacing w:after="360" w:line="360" w:lineRule="auto"/>
        <w:ind w:right="-159"/>
        <w:jc w:val="both"/>
        <w:rPr>
          <w:rFonts w:eastAsia="Calibri"/>
          <w:sz w:val="26"/>
          <w:szCs w:val="26"/>
          <w:lang w:eastAsia="en-US"/>
        </w:rPr>
      </w:pPr>
      <w:r w:rsidRPr="00BE7DEE">
        <w:rPr>
          <w:rFonts w:eastAsia="Calibri"/>
          <w:sz w:val="26"/>
          <w:szCs w:val="26"/>
          <w:lang w:eastAsia="en-US"/>
        </w:rPr>
        <w:t>Tomamos nota de que la caída de los precios del petróleo es beneficiosa para los países del continente que lo importan, pero a la vez plantea importantes retos en las economías africanas que lo exportan, y requerirá ajustes fiscales sin dilación en esos países, así como la flexibilización del tipo de cambio cuando así sea posible.</w:t>
      </w:r>
    </w:p>
    <w:p w14:paraId="291765C3" w14:textId="77777777" w:rsidR="00BE7DEE" w:rsidRPr="00BE7DEE" w:rsidRDefault="00BE7DEE" w:rsidP="00BE7DEE">
      <w:pPr>
        <w:spacing w:after="360" w:line="360" w:lineRule="auto"/>
        <w:ind w:right="-159"/>
        <w:jc w:val="both"/>
        <w:rPr>
          <w:rFonts w:eastAsia="Calibri"/>
          <w:sz w:val="26"/>
          <w:szCs w:val="26"/>
          <w:lang w:eastAsia="en-US"/>
        </w:rPr>
      </w:pPr>
      <w:r w:rsidRPr="00BE7DEE">
        <w:rPr>
          <w:rFonts w:eastAsia="Calibri"/>
          <w:sz w:val="26"/>
          <w:szCs w:val="26"/>
          <w:lang w:eastAsia="en-US"/>
        </w:rPr>
        <w:t xml:space="preserve">También tomamos nota de que el principal riesgo a la baja para las perspectivas está relacionado con el repliegue de las políticas monetarias no convencionales y con el impacto que ello podría tener en los costos de endeudamiento. En este sentido, los </w:t>
      </w:r>
      <w:r w:rsidRPr="00BE7DEE">
        <w:rPr>
          <w:rFonts w:eastAsia="Calibri"/>
          <w:sz w:val="26"/>
          <w:szCs w:val="26"/>
          <w:lang w:eastAsia="en-US"/>
        </w:rPr>
        <w:lastRenderedPageBreak/>
        <w:t>países africanos deberían persistir en los esfuerzos por preservar la estabilidad macroeconómica y afianzar la capacidad de resistencia. En la mayoría de los países, será crítico en el período venidero encontrar el equilibrio justo entre reforzar las reservas, promover la inversión pública y privada, y lograr niveles adecuados de gasto social, mientras que, en algunos casos, también será importante mejorar los saldos fiscales y contener la acumulación de la deuda. Asimismo, aguardamos con ansias un esfuerzo concertado por restablecer la paz y la estabilidad en los países afectados por conflictos o inestabilidad política.</w:t>
      </w:r>
    </w:p>
    <w:p w14:paraId="01A7AF27" w14:textId="77777777" w:rsidR="00BE7DEE" w:rsidRPr="00BE7DEE" w:rsidRDefault="00BE7DEE" w:rsidP="00BE7DEE">
      <w:pPr>
        <w:spacing w:after="360" w:line="360" w:lineRule="auto"/>
        <w:ind w:right="-159"/>
        <w:jc w:val="both"/>
        <w:rPr>
          <w:rFonts w:eastAsia="Calibri"/>
          <w:sz w:val="26"/>
          <w:szCs w:val="26"/>
          <w:lang w:eastAsia="en-US"/>
        </w:rPr>
      </w:pPr>
      <w:r w:rsidRPr="00BE7DEE">
        <w:rPr>
          <w:rFonts w:eastAsia="Calibri"/>
          <w:sz w:val="26"/>
          <w:szCs w:val="26"/>
          <w:lang w:eastAsia="en-US"/>
        </w:rPr>
        <w:t>De cara al futuro, celebramos los esfuerzos de la comunidad internacional para lograr un acuerdo en torno a un nuevo conjunto de Objetivos de Desarrollo Sostenible, y debatimos las formas en que el FMI puede ayudar a los países miembros a alcanzar esos objetivos en el ámbito clave del financiamiento para el desarrollo”.</w:t>
      </w:r>
    </w:p>
    <w:p w14:paraId="18F71F52" w14:textId="0F884734" w:rsidR="00BE7DEE" w:rsidRPr="00BE7DEE" w:rsidRDefault="00BE7DEE" w:rsidP="00BE7DEE">
      <w:pPr>
        <w:spacing w:after="360" w:line="360" w:lineRule="auto"/>
        <w:ind w:right="-159"/>
        <w:jc w:val="both"/>
        <w:rPr>
          <w:rFonts w:eastAsia="Calibri"/>
          <w:sz w:val="26"/>
          <w:szCs w:val="26"/>
          <w:lang w:eastAsia="en-US"/>
        </w:rPr>
      </w:pPr>
      <w:r w:rsidRPr="00BE7DEE">
        <w:rPr>
          <w:rFonts w:eastAsia="Calibri"/>
          <w:sz w:val="26"/>
          <w:szCs w:val="26"/>
          <w:lang w:eastAsia="en-US"/>
        </w:rPr>
        <w:t xml:space="preserve">El Presidente del Grupo Africano manifestó que, hasta el momento, África </w:t>
      </w:r>
      <w:r w:rsidR="001611C8">
        <w:rPr>
          <w:rFonts w:eastAsia="Calibri"/>
          <w:sz w:val="26"/>
          <w:szCs w:val="26"/>
          <w:lang w:eastAsia="en-US"/>
        </w:rPr>
        <w:t>Subsahariana</w:t>
      </w:r>
      <w:r w:rsidRPr="00BE7DEE">
        <w:rPr>
          <w:rFonts w:eastAsia="Calibri"/>
          <w:sz w:val="26"/>
          <w:szCs w:val="26"/>
          <w:lang w:eastAsia="en-US"/>
        </w:rPr>
        <w:t xml:space="preserve"> ha mantenido una saludable tasa de crecimiento. Deseamos aprovechar esta oportunidad para agradecer al FMI la invalorable asistencia brindada a los países afectados por el ébola con el fin de contener la crisis, y solicitamos la continua participación de la comunidad internacional para contribuir al proceso de reconstrucción. En el corto plazo, África está sufriendo las consecuencias de la disminución de precios de las materias primas y sigue siendo vulnerable a una mayor desaceleración de las economías emergentes, sobre todo China. Contra este telón de fondo, los países africanos exportadores de petróleo reconocen la necesidad de un ajuste fiscal sin dilación, en tanto que los países africanos importadores de petróleo tienen intención de aprovechar esta oportunidad para recortar costosos subsidios energéticos y crear el espacio fiscal necesario para ir en pos de sus objetivos de desarrollo. Además, el acceso al financiamiento podría complicarse a medida que Estados Unidos de Norteamérica repliegue su política monetaria no convencional. En este contexto, los países africanos confían en que el FMI mantendrá una interacción fructífera con África. </w:t>
      </w:r>
      <w:r w:rsidRPr="00BE7DEE">
        <w:rPr>
          <w:rFonts w:eastAsia="Calibri"/>
          <w:sz w:val="26"/>
          <w:szCs w:val="26"/>
          <w:lang w:eastAsia="en-US"/>
        </w:rPr>
        <w:lastRenderedPageBreak/>
        <w:t xml:space="preserve">En el futuro, conforme avancemos hacia los Objetivos de Desarrollo Sostenible, convenimos en que será importante que los gobiernos preserven </w:t>
      </w:r>
      <w:r w:rsidR="00330C00">
        <w:rPr>
          <w:rFonts w:eastAsia="Calibri"/>
          <w:sz w:val="26"/>
          <w:szCs w:val="26"/>
          <w:lang w:eastAsia="en-US"/>
        </w:rPr>
        <w:t>la</w:t>
      </w:r>
      <w:r w:rsidRPr="00BE7DEE">
        <w:rPr>
          <w:rFonts w:eastAsia="Calibri"/>
          <w:sz w:val="26"/>
          <w:szCs w:val="26"/>
          <w:lang w:eastAsia="en-US"/>
        </w:rPr>
        <w:t xml:space="preserve"> estabilidad macroeconómica, afiancen las instituciones y el entorno empresarial, subsanen lagunas de infraestructura críticas, amplíen el acceso a servicios financieros en nuestras economías y procuren garantizar que el crecimiento sea de amplia base e inclusivo.</w:t>
      </w:r>
    </w:p>
    <w:p w14:paraId="5B795073" w14:textId="77777777" w:rsidR="00BE7DEE" w:rsidRPr="00BE7DEE" w:rsidRDefault="00BE7DEE" w:rsidP="00BE7DEE">
      <w:pPr>
        <w:spacing w:after="360" w:line="360" w:lineRule="auto"/>
        <w:ind w:right="-159"/>
        <w:jc w:val="both"/>
        <w:rPr>
          <w:rFonts w:eastAsia="Calibri"/>
          <w:sz w:val="26"/>
          <w:szCs w:val="26"/>
          <w:lang w:eastAsia="en-US"/>
        </w:rPr>
      </w:pPr>
      <w:r w:rsidRPr="00BE7DEE">
        <w:rPr>
          <w:rFonts w:eastAsia="Calibri"/>
          <w:sz w:val="26"/>
          <w:szCs w:val="26"/>
          <w:lang w:eastAsia="en-US"/>
        </w:rPr>
        <w:t>Al concluir, la Directora Gerente del FMI afirmó que el FMI seguirá colaborando estrechamente con los países miembros de África, respaldándolos con los recursos financieros y el asesoramiento técnico que sean necesarios. En particular, continuaremos dedicando recursos para proporcionar asistencia a los países del Norte de África en transición y los estados frágiles, a fin de dejar asegurada la estabilidad económica y afianzar la capacidad de resistencia. Al mismo tiempo, el FMI continuará reforzando los fundamentos analíticos de su asesoramiento en materia de políticas e instrumentos, y buscará adaptar sus políticas a las necesidades cambiantes de los países miembros.”</w:t>
      </w:r>
    </w:p>
    <w:p w14:paraId="581031F1" w14:textId="77777777" w:rsidR="00BE7DEE" w:rsidRPr="00BE7DEE" w:rsidRDefault="00BE7DEE" w:rsidP="00BE7DEE">
      <w:pPr>
        <w:ind w:right="-159"/>
        <w:jc w:val="both"/>
        <w:rPr>
          <w:rFonts w:eastAsia="Calibri"/>
          <w:b/>
          <w:sz w:val="20"/>
          <w:szCs w:val="20"/>
          <w:lang w:eastAsia="en-US"/>
        </w:rPr>
      </w:pPr>
      <w:r w:rsidRPr="00BE7DEE">
        <w:rPr>
          <w:rFonts w:eastAsia="Calibri"/>
          <w:b/>
          <w:sz w:val="20"/>
          <w:szCs w:val="20"/>
          <w:lang w:eastAsia="en-US"/>
        </w:rPr>
        <w:t>Fuente de información:</w:t>
      </w:r>
    </w:p>
    <w:p w14:paraId="0058CAC3" w14:textId="77777777" w:rsidR="00BE7DEE" w:rsidRPr="00330C00" w:rsidRDefault="00AB7A4A" w:rsidP="00330C00">
      <w:pPr>
        <w:spacing w:after="720"/>
        <w:ind w:right="-159"/>
        <w:jc w:val="both"/>
        <w:rPr>
          <w:rFonts w:eastAsia="Calibri"/>
          <w:color w:val="0000FF"/>
          <w:sz w:val="20"/>
          <w:szCs w:val="20"/>
          <w:lang w:eastAsia="en-US"/>
        </w:rPr>
      </w:pPr>
      <w:hyperlink r:id="rId23" w:history="1">
        <w:r w:rsidR="00BE7DEE" w:rsidRPr="00330C00">
          <w:rPr>
            <w:rFonts w:eastAsia="Calibri"/>
            <w:color w:val="0000FF"/>
            <w:sz w:val="20"/>
            <w:szCs w:val="20"/>
            <w:u w:val="single"/>
            <w:lang w:eastAsia="en-US"/>
          </w:rPr>
          <w:t>http://www.imf.org/external/spanish/np/sec/pr/2015/pr15174s.htm</w:t>
        </w:r>
      </w:hyperlink>
      <w:r w:rsidR="00BE7DEE" w:rsidRPr="00330C00">
        <w:rPr>
          <w:rFonts w:eastAsia="Calibri"/>
          <w:color w:val="0000FF"/>
          <w:sz w:val="20"/>
          <w:szCs w:val="20"/>
          <w:lang w:eastAsia="en-US"/>
        </w:rPr>
        <w:t xml:space="preserve"> </w:t>
      </w:r>
    </w:p>
    <w:p w14:paraId="305B5418" w14:textId="77777777" w:rsidR="00575778" w:rsidRPr="00575778" w:rsidRDefault="00575778" w:rsidP="00575778">
      <w:pPr>
        <w:ind w:right="-159"/>
        <w:jc w:val="both"/>
        <w:rPr>
          <w:rFonts w:eastAsia="Calibri"/>
          <w:b/>
          <w:bCs/>
          <w:sz w:val="26"/>
          <w:szCs w:val="26"/>
          <w:lang w:val="en" w:eastAsia="en-US"/>
        </w:rPr>
      </w:pPr>
      <w:r w:rsidRPr="00575778">
        <w:rPr>
          <w:rFonts w:eastAsia="Calibri"/>
          <w:b/>
          <w:bCs/>
          <w:sz w:val="26"/>
          <w:szCs w:val="26"/>
          <w:lang w:val="en" w:eastAsia="en-US"/>
        </w:rPr>
        <w:t>Bajos precios del petróleo y flexibilización</w:t>
      </w:r>
    </w:p>
    <w:p w14:paraId="3AB5F13D" w14:textId="77777777" w:rsidR="00575778" w:rsidRPr="00575778" w:rsidRDefault="00575778" w:rsidP="00575778">
      <w:pPr>
        <w:ind w:right="-159"/>
        <w:jc w:val="both"/>
        <w:rPr>
          <w:rFonts w:eastAsia="Calibri"/>
          <w:b/>
          <w:bCs/>
          <w:sz w:val="26"/>
          <w:szCs w:val="26"/>
          <w:lang w:val="en" w:eastAsia="en-US"/>
        </w:rPr>
      </w:pPr>
      <w:r w:rsidRPr="00575778">
        <w:rPr>
          <w:rFonts w:eastAsia="Calibri"/>
          <w:b/>
          <w:bCs/>
          <w:sz w:val="26"/>
          <w:szCs w:val="26"/>
          <w:lang w:val="en" w:eastAsia="en-US"/>
        </w:rPr>
        <w:t>monetaria provocan  modesta aceleración</w:t>
      </w:r>
    </w:p>
    <w:p w14:paraId="70F486CD" w14:textId="77777777" w:rsidR="00575778" w:rsidRPr="00575778" w:rsidRDefault="00575778" w:rsidP="00575778">
      <w:pPr>
        <w:spacing w:after="360" w:line="360" w:lineRule="auto"/>
        <w:ind w:right="-159"/>
        <w:jc w:val="both"/>
        <w:rPr>
          <w:rFonts w:eastAsia="Calibri"/>
          <w:b/>
          <w:sz w:val="26"/>
          <w:szCs w:val="26"/>
          <w:lang w:eastAsia="en-US"/>
        </w:rPr>
      </w:pPr>
      <w:r w:rsidRPr="00575778">
        <w:rPr>
          <w:rFonts w:eastAsia="Calibri"/>
          <w:b/>
          <w:bCs/>
          <w:sz w:val="26"/>
          <w:szCs w:val="26"/>
          <w:lang w:val="en" w:eastAsia="en-US"/>
        </w:rPr>
        <w:t>de la recuperación mundial</w:t>
      </w:r>
      <w:r w:rsidRPr="00575778">
        <w:rPr>
          <w:rFonts w:eastAsia="Calibri"/>
          <w:b/>
          <w:sz w:val="26"/>
          <w:szCs w:val="26"/>
          <w:lang w:eastAsia="en-US"/>
        </w:rPr>
        <w:t xml:space="preserve"> (OCDE)</w:t>
      </w:r>
    </w:p>
    <w:p w14:paraId="6FE457E9" w14:textId="205A1EA6" w:rsidR="00575778" w:rsidRPr="00575778" w:rsidRDefault="00575778" w:rsidP="00575778">
      <w:pPr>
        <w:spacing w:after="360" w:line="360" w:lineRule="auto"/>
        <w:ind w:right="-159"/>
        <w:jc w:val="both"/>
        <w:rPr>
          <w:rFonts w:eastAsia="Calibri"/>
          <w:sz w:val="26"/>
          <w:szCs w:val="26"/>
          <w:lang w:eastAsia="en-US"/>
        </w:rPr>
      </w:pPr>
      <w:r w:rsidRPr="00575778">
        <w:rPr>
          <w:rFonts w:eastAsia="Calibri"/>
          <w:sz w:val="26"/>
          <w:szCs w:val="26"/>
          <w:lang w:eastAsia="en-US"/>
        </w:rPr>
        <w:t>El 18 de marzo de 2015, Organización para la Cooperación y el Desarrollo Económicos (OCDE) comunicó que los bajos precios del petróleo y la flexibilización monetaria han impulsado el crecimiento de las principales economías, pero la expansión a corto plazo sigue siendo modesta, con una inflación y unas tasas de interés anormalmente bajas apuntan a riesgos de inestabilidad financiera. Lo anterio</w:t>
      </w:r>
      <w:r w:rsidR="001569A0">
        <w:rPr>
          <w:rFonts w:eastAsia="Calibri"/>
          <w:sz w:val="26"/>
          <w:szCs w:val="26"/>
          <w:lang w:eastAsia="en-US"/>
        </w:rPr>
        <w:t>r</w:t>
      </w:r>
      <w:r w:rsidRPr="00575778">
        <w:rPr>
          <w:rFonts w:eastAsia="Calibri"/>
          <w:sz w:val="26"/>
          <w:szCs w:val="26"/>
          <w:lang w:eastAsia="en-US"/>
        </w:rPr>
        <w:t xml:space="preserve">, de conformidad con el </w:t>
      </w:r>
      <w:r w:rsidRPr="00575778">
        <w:rPr>
          <w:rFonts w:eastAsia="Calibri"/>
          <w:sz w:val="26"/>
          <w:szCs w:val="26"/>
          <w:lang w:eastAsia="en-US"/>
        </w:rPr>
        <w:lastRenderedPageBreak/>
        <w:t xml:space="preserve">documento más reciente </w:t>
      </w:r>
      <w:r w:rsidRPr="00575778">
        <w:rPr>
          <w:rFonts w:eastAsia="Calibri"/>
          <w:i/>
          <w:sz w:val="26"/>
          <w:szCs w:val="26"/>
          <w:lang w:eastAsia="en-US"/>
        </w:rPr>
        <w:t>Economic Outlook and Interim Global Economic Assessment</w:t>
      </w:r>
      <w:r w:rsidRPr="00575778">
        <w:rPr>
          <w:rFonts w:eastAsia="Calibri"/>
          <w:sz w:val="26"/>
          <w:szCs w:val="26"/>
          <w:vertAlign w:val="superscript"/>
          <w:lang w:eastAsia="en-US"/>
        </w:rPr>
        <w:footnoteReference w:id="5"/>
      </w:r>
      <w:r w:rsidRPr="00575778">
        <w:rPr>
          <w:rFonts w:eastAsia="Calibri"/>
          <w:sz w:val="26"/>
          <w:szCs w:val="26"/>
          <w:lang w:eastAsia="en-US"/>
        </w:rPr>
        <w:t xml:space="preserve"> (“Panorama económico intermedio de la OCDE”).</w:t>
      </w:r>
    </w:p>
    <w:p w14:paraId="260D8626" w14:textId="77777777" w:rsidR="00575778" w:rsidRPr="00575778" w:rsidRDefault="00575778" w:rsidP="00575778">
      <w:pPr>
        <w:spacing w:after="360" w:line="360" w:lineRule="auto"/>
        <w:ind w:right="-159"/>
        <w:jc w:val="both"/>
        <w:rPr>
          <w:rFonts w:eastAsia="Calibri"/>
          <w:sz w:val="26"/>
          <w:szCs w:val="26"/>
          <w:lang w:eastAsia="en-US"/>
        </w:rPr>
      </w:pPr>
      <w:r w:rsidRPr="00575778">
        <w:rPr>
          <w:rFonts w:eastAsia="Calibri"/>
          <w:sz w:val="26"/>
          <w:szCs w:val="26"/>
          <w:lang w:eastAsia="en-US"/>
        </w:rPr>
        <w:t>La fuerte demanda interna impulsa el crecimiento en Estados Unidos de Norteamérica, lo que combinado con la apreciación del dólar se agrega a la demanda en el resto del mundo. El área Euro deberá beneficiarse de los bajos precios del petróleo, de estímulos monetarios y de la depreciación del Euro, los que combinados ofrecen una oportunidad para escapar del estancamiento.</w:t>
      </w:r>
    </w:p>
    <w:p w14:paraId="6FE0270F" w14:textId="77777777" w:rsidR="00575778" w:rsidRPr="00575778" w:rsidRDefault="00575778" w:rsidP="00575778">
      <w:pPr>
        <w:spacing w:after="360" w:line="360" w:lineRule="auto"/>
        <w:ind w:right="-159"/>
        <w:jc w:val="both"/>
        <w:rPr>
          <w:rFonts w:eastAsia="Calibri"/>
          <w:sz w:val="26"/>
          <w:szCs w:val="26"/>
          <w:lang w:eastAsia="en-US"/>
        </w:rPr>
      </w:pPr>
      <w:r w:rsidRPr="00575778">
        <w:rPr>
          <w:rFonts w:eastAsia="Calibri"/>
          <w:sz w:val="26"/>
          <w:szCs w:val="26"/>
          <w:lang w:eastAsia="en-US"/>
        </w:rPr>
        <w:t>En Japón, los estímulos monetarios y fiscales ofrecen un impulso más rápido para el crecimiento a corto plazo, pero los retos a largo plazo permanecen. Se espera que continúe una desaceleración gradual en China, cercana a la nueva meta oficial de crecimiento. Se espera que en los próximos dos años, India sea una de las principales economías con más rápido crecimiento, en tanto que el panorama es probable que empeore para muchas naciones exportadoras de materias primas y que Brasil entre en recesión.</w:t>
      </w:r>
    </w:p>
    <w:p w14:paraId="054760B1" w14:textId="77777777" w:rsidR="00575778" w:rsidRPr="00575778" w:rsidRDefault="00575778" w:rsidP="00575778">
      <w:pPr>
        <w:spacing w:after="360" w:line="360" w:lineRule="auto"/>
        <w:ind w:right="-159"/>
        <w:jc w:val="both"/>
        <w:rPr>
          <w:rFonts w:eastAsia="Calibri"/>
          <w:sz w:val="26"/>
          <w:szCs w:val="26"/>
          <w:lang w:val="en" w:eastAsia="en-US"/>
        </w:rPr>
      </w:pPr>
      <w:r w:rsidRPr="00575778">
        <w:rPr>
          <w:rFonts w:eastAsia="Calibri"/>
          <w:sz w:val="26"/>
          <w:szCs w:val="26"/>
          <w:lang w:val="en" w:eastAsia="en-US"/>
        </w:rPr>
        <w:t>“Los bajos precios del petróleo y la flexibilización monetaria generalizada han llevado a la economía mundial a un punto de inflexión, con el potencial de una aceleración del crecimiento que muchos países estaban necesitando” asevera la Economista en Jefe de la OCDE. “No hay espacio para la complacencia, sin embargo, dado que la excesiva dependencia en las políticas monetarias por si solas han constituido un riesgo financiero, sin reactivar todavía la inversión empresarial, es necesario un acercamiento político más balanceado, haciendo pleno uso de las reformas fiscales y estructurales, así como de una política monetaria, que aseguren el largo plazo las finanzas públicas y un crecimiento sustentable”.</w:t>
      </w:r>
    </w:p>
    <w:p w14:paraId="1E550BB1" w14:textId="77777777" w:rsidR="00575778" w:rsidRPr="00575778" w:rsidRDefault="00575778" w:rsidP="00575778">
      <w:pPr>
        <w:spacing w:after="360" w:line="360" w:lineRule="auto"/>
        <w:ind w:right="-159"/>
        <w:jc w:val="both"/>
        <w:rPr>
          <w:rFonts w:eastAsia="Calibri"/>
          <w:sz w:val="26"/>
          <w:szCs w:val="26"/>
          <w:lang w:val="en" w:eastAsia="en-US"/>
        </w:rPr>
      </w:pPr>
      <w:r w:rsidRPr="00575778">
        <w:rPr>
          <w:rFonts w:eastAsia="Calibri"/>
          <w:sz w:val="26"/>
          <w:szCs w:val="26"/>
          <w:lang w:val="en" w:eastAsia="en-US"/>
        </w:rPr>
        <w:lastRenderedPageBreak/>
        <w:t>La OCDE proyecta que Estados Unidos crecerán 3.1% este año y 3% en 2016, en tanto que Reino Unido se proyecta que crecerá 2.6% en 2015 y 2.5 en 2016. El crecimiento de Canadá está proyectado en 2.2% este año y 2.1 el próximo, en tanto que Japón tiene un crecimiento proyectado de 1% en 2015 y 1.4 en 2016.</w:t>
      </w:r>
    </w:p>
    <w:p w14:paraId="3FAE5147" w14:textId="77777777" w:rsidR="00575778" w:rsidRPr="00575778" w:rsidRDefault="00575778" w:rsidP="00575778">
      <w:pPr>
        <w:spacing w:after="360" w:line="360" w:lineRule="auto"/>
        <w:ind w:right="-159"/>
        <w:jc w:val="both"/>
        <w:rPr>
          <w:rFonts w:eastAsia="Calibri"/>
          <w:sz w:val="26"/>
          <w:szCs w:val="26"/>
          <w:lang w:val="en" w:eastAsia="en-US"/>
        </w:rPr>
      </w:pPr>
      <w:r w:rsidRPr="00575778">
        <w:rPr>
          <w:rFonts w:eastAsia="Calibri"/>
          <w:sz w:val="26"/>
          <w:szCs w:val="26"/>
          <w:lang w:val="en" w:eastAsia="en-US"/>
        </w:rPr>
        <w:t>La zona Euro crecerá 1.4% según las proyecciones en 2015 y 2% en 2016. Las proyecciones de crecimiento difieren ampliamente entre las principales economías de la Euro zona, se proyecta un crecimiento de 1.7% para Alemania en 2015 y 2.2 en 2016. Francia crecerá 1.1% en 2015 y 1.7 en 2016, mientras que Italia tendrá un crecimiento de 0.6% en 2015 y 1.3 en 2016.</w:t>
      </w:r>
    </w:p>
    <w:p w14:paraId="1D70F1AD" w14:textId="74F18754" w:rsidR="00575778" w:rsidRDefault="00575778" w:rsidP="00575778">
      <w:pPr>
        <w:spacing w:after="360" w:line="360" w:lineRule="auto"/>
        <w:ind w:right="-159"/>
        <w:jc w:val="both"/>
        <w:rPr>
          <w:rFonts w:eastAsia="Calibri"/>
          <w:sz w:val="26"/>
          <w:szCs w:val="26"/>
          <w:lang w:val="en" w:eastAsia="en-US"/>
        </w:rPr>
      </w:pPr>
      <w:r w:rsidRPr="00575778">
        <w:rPr>
          <w:rFonts w:eastAsia="Calibri"/>
          <w:sz w:val="26"/>
          <w:szCs w:val="26"/>
          <w:lang w:val="en" w:eastAsia="en-US"/>
        </w:rPr>
        <w:t>Se espera que China crezca aproximadamente 7% anualmente tanto en 2015 como en 2016. India crecerá 7.7% en 2015 y 8% en 2016. Se espera que</w:t>
      </w:r>
      <w:r w:rsidR="001569A0">
        <w:rPr>
          <w:rFonts w:eastAsia="Calibri"/>
          <w:sz w:val="26"/>
          <w:szCs w:val="26"/>
          <w:lang w:val="en" w:eastAsia="en-US"/>
        </w:rPr>
        <w:t xml:space="preserve"> </w:t>
      </w:r>
      <w:r w:rsidR="00330C00">
        <w:rPr>
          <w:rFonts w:eastAsia="Calibri"/>
          <w:sz w:val="26"/>
          <w:szCs w:val="26"/>
          <w:lang w:val="en" w:eastAsia="en-US"/>
        </w:rPr>
        <w:t>l</w:t>
      </w:r>
      <w:r w:rsidR="001569A0">
        <w:rPr>
          <w:rFonts w:eastAsia="Calibri"/>
          <w:sz w:val="26"/>
          <w:szCs w:val="26"/>
          <w:lang w:val="en" w:eastAsia="en-US"/>
        </w:rPr>
        <w:t>a economía brasileña se contraerá</w:t>
      </w:r>
      <w:r w:rsidRPr="00575778">
        <w:rPr>
          <w:rFonts w:eastAsia="Calibri"/>
          <w:sz w:val="26"/>
          <w:szCs w:val="26"/>
          <w:lang w:val="en" w:eastAsia="en-US"/>
        </w:rPr>
        <w:t xml:space="preserve"> 0.5% en 2015 retomando el crecimiento de 1.2% en 2016.</w:t>
      </w:r>
    </w:p>
    <w:tbl>
      <w:tblPr>
        <w:tblW w:w="0" w:type="auto"/>
        <w:jc w:val="center"/>
        <w:tblLook w:val="04A0" w:firstRow="1" w:lastRow="0" w:firstColumn="1" w:lastColumn="0" w:noHBand="0" w:noVBand="1"/>
      </w:tblPr>
      <w:tblGrid>
        <w:gridCol w:w="2410"/>
        <w:gridCol w:w="1283"/>
        <w:gridCol w:w="1284"/>
        <w:gridCol w:w="1283"/>
        <w:gridCol w:w="1284"/>
        <w:gridCol w:w="1284"/>
      </w:tblGrid>
      <w:tr w:rsidR="00575778" w:rsidRPr="00D46FA9" w14:paraId="3CDCB630" w14:textId="77777777" w:rsidTr="00D46FA9">
        <w:trPr>
          <w:jc w:val="center"/>
        </w:trPr>
        <w:tc>
          <w:tcPr>
            <w:tcW w:w="8828" w:type="dxa"/>
            <w:gridSpan w:val="6"/>
            <w:tcBorders>
              <w:top w:val="nil"/>
              <w:left w:val="nil"/>
              <w:bottom w:val="single" w:sz="4" w:space="0" w:color="auto"/>
              <w:right w:val="nil"/>
            </w:tcBorders>
            <w:vAlign w:val="center"/>
          </w:tcPr>
          <w:p w14:paraId="10F44E5F" w14:textId="77777777" w:rsidR="00575778" w:rsidRPr="00D46FA9" w:rsidRDefault="00575778" w:rsidP="00D46FA9">
            <w:pPr>
              <w:jc w:val="center"/>
              <w:rPr>
                <w:rFonts w:eastAsia="Times New Roman"/>
                <w:b/>
                <w:bCs/>
                <w:sz w:val="20"/>
                <w:szCs w:val="20"/>
              </w:rPr>
            </w:pPr>
            <w:r w:rsidRPr="00D46FA9">
              <w:rPr>
                <w:rFonts w:eastAsia="Times New Roman"/>
                <w:b/>
                <w:bCs/>
                <w:sz w:val="20"/>
                <w:szCs w:val="20"/>
              </w:rPr>
              <w:t>PERSPECTIVAS INTERMEDIAS: PEQUEÑAS REVISIONES A LA ALZA,</w:t>
            </w:r>
          </w:p>
          <w:p w14:paraId="076F41CC" w14:textId="77777777" w:rsidR="00575778" w:rsidRPr="00D46FA9" w:rsidRDefault="00575778" w:rsidP="00D46FA9">
            <w:pPr>
              <w:jc w:val="center"/>
              <w:rPr>
                <w:rFonts w:eastAsia="Times New Roman"/>
                <w:b/>
                <w:bCs/>
                <w:sz w:val="20"/>
                <w:szCs w:val="20"/>
              </w:rPr>
            </w:pPr>
            <w:r w:rsidRPr="00D46FA9">
              <w:rPr>
                <w:rFonts w:eastAsia="Times New Roman"/>
                <w:b/>
                <w:bCs/>
                <w:sz w:val="20"/>
                <w:szCs w:val="20"/>
              </w:rPr>
              <w:t>TODAVÍA SOLO UN CRECIMIENTO MODERADO</w:t>
            </w:r>
          </w:p>
          <w:p w14:paraId="5C3A1FA4" w14:textId="352903FF" w:rsidR="00575778" w:rsidRPr="00D46FA9" w:rsidRDefault="00575778" w:rsidP="00D46FA9">
            <w:pPr>
              <w:jc w:val="center"/>
              <w:rPr>
                <w:rFonts w:eastAsia="Times New Roman"/>
                <w:b/>
                <w:bCs/>
                <w:sz w:val="20"/>
                <w:szCs w:val="20"/>
              </w:rPr>
            </w:pPr>
            <w:r w:rsidRPr="00D46FA9">
              <w:rPr>
                <w:rFonts w:eastAsia="Times New Roman"/>
                <w:b/>
                <w:bCs/>
                <w:sz w:val="20"/>
                <w:szCs w:val="20"/>
              </w:rPr>
              <w:t xml:space="preserve">-Variación porcentual del PIB real </w:t>
            </w:r>
            <w:r w:rsidRPr="00D46FA9">
              <w:rPr>
                <w:rFonts w:eastAsia="Times New Roman"/>
                <w:b/>
                <w:bCs/>
                <w:sz w:val="20"/>
                <w:szCs w:val="20"/>
                <w:u w:val="single"/>
                <w:vertAlign w:val="superscript"/>
              </w:rPr>
              <w:t>1</w:t>
            </w:r>
            <w:r w:rsidRPr="00D46FA9">
              <w:rPr>
                <w:rFonts w:eastAsia="Times New Roman"/>
                <w:b/>
                <w:bCs/>
                <w:sz w:val="20"/>
                <w:szCs w:val="20"/>
                <w:vertAlign w:val="superscript"/>
              </w:rPr>
              <w:t>/</w:t>
            </w:r>
            <w:r w:rsidRPr="00D46FA9">
              <w:rPr>
                <w:rFonts w:eastAsia="Times New Roman"/>
                <w:b/>
                <w:bCs/>
                <w:sz w:val="20"/>
                <w:szCs w:val="20"/>
              </w:rPr>
              <w:t>-</w:t>
            </w:r>
          </w:p>
        </w:tc>
      </w:tr>
      <w:tr w:rsidR="00575778" w:rsidRPr="00575778" w14:paraId="7E45AF82" w14:textId="77777777" w:rsidTr="00D46FA9">
        <w:trPr>
          <w:jc w:val="center"/>
        </w:trPr>
        <w:tc>
          <w:tcPr>
            <w:tcW w:w="2410" w:type="dxa"/>
            <w:vMerge w:val="restart"/>
            <w:tcBorders>
              <w:top w:val="single" w:sz="4" w:space="0" w:color="auto"/>
              <w:left w:val="single" w:sz="4" w:space="0" w:color="auto"/>
              <w:bottom w:val="single" w:sz="4" w:space="0" w:color="auto"/>
              <w:right w:val="single" w:sz="4" w:space="0" w:color="auto"/>
            </w:tcBorders>
            <w:vAlign w:val="center"/>
          </w:tcPr>
          <w:p w14:paraId="7A462095" w14:textId="77777777" w:rsidR="00575778" w:rsidRPr="00575778" w:rsidRDefault="00575778" w:rsidP="00D46FA9">
            <w:pPr>
              <w:jc w:val="center"/>
              <w:rPr>
                <w:rFonts w:eastAsia="Times New Roman"/>
                <w:b/>
                <w:bCs/>
                <w:sz w:val="16"/>
                <w:szCs w:val="16"/>
              </w:rPr>
            </w:pPr>
            <w:r w:rsidRPr="00575778">
              <w:rPr>
                <w:rFonts w:eastAsia="Times New Roman"/>
                <w:b/>
                <w:bCs/>
                <w:sz w:val="16"/>
                <w:szCs w:val="16"/>
              </w:rPr>
              <w:t>País/región</w:t>
            </w:r>
          </w:p>
        </w:tc>
        <w:tc>
          <w:tcPr>
            <w:tcW w:w="1283" w:type="dxa"/>
            <w:vMerge w:val="restart"/>
            <w:tcBorders>
              <w:top w:val="single" w:sz="4" w:space="0" w:color="auto"/>
              <w:left w:val="single" w:sz="4" w:space="0" w:color="auto"/>
              <w:bottom w:val="single" w:sz="4" w:space="0" w:color="auto"/>
              <w:right w:val="single" w:sz="4" w:space="0" w:color="auto"/>
            </w:tcBorders>
            <w:vAlign w:val="center"/>
          </w:tcPr>
          <w:p w14:paraId="6F5CE977" w14:textId="77777777" w:rsidR="00575778" w:rsidRPr="00575778" w:rsidRDefault="00575778" w:rsidP="00D46FA9">
            <w:pPr>
              <w:jc w:val="center"/>
              <w:rPr>
                <w:rFonts w:eastAsia="Times New Roman"/>
                <w:b/>
                <w:bCs/>
                <w:sz w:val="16"/>
                <w:szCs w:val="16"/>
              </w:rPr>
            </w:pPr>
            <w:r w:rsidRPr="00575778">
              <w:rPr>
                <w:rFonts w:eastAsia="Times New Roman"/>
                <w:b/>
                <w:bCs/>
                <w:sz w:val="16"/>
                <w:szCs w:val="16"/>
              </w:rPr>
              <w:t>2014</w:t>
            </w:r>
          </w:p>
        </w:tc>
        <w:tc>
          <w:tcPr>
            <w:tcW w:w="2567" w:type="dxa"/>
            <w:gridSpan w:val="2"/>
            <w:tcBorders>
              <w:top w:val="single" w:sz="4" w:space="0" w:color="auto"/>
              <w:left w:val="single" w:sz="4" w:space="0" w:color="auto"/>
              <w:bottom w:val="single" w:sz="4" w:space="0" w:color="auto"/>
              <w:right w:val="single" w:sz="4" w:space="0" w:color="auto"/>
            </w:tcBorders>
            <w:vAlign w:val="center"/>
          </w:tcPr>
          <w:p w14:paraId="5A756574" w14:textId="77777777" w:rsidR="00575778" w:rsidRPr="00575778" w:rsidRDefault="00575778" w:rsidP="00D46FA9">
            <w:pPr>
              <w:jc w:val="center"/>
              <w:rPr>
                <w:rFonts w:eastAsia="Times New Roman"/>
                <w:b/>
                <w:bCs/>
                <w:sz w:val="16"/>
                <w:szCs w:val="16"/>
              </w:rPr>
            </w:pPr>
            <w:r w:rsidRPr="00575778">
              <w:rPr>
                <w:rFonts w:eastAsia="Times New Roman"/>
                <w:b/>
                <w:bCs/>
                <w:sz w:val="16"/>
                <w:szCs w:val="16"/>
              </w:rPr>
              <w:t>2015</w:t>
            </w:r>
          </w:p>
        </w:tc>
        <w:tc>
          <w:tcPr>
            <w:tcW w:w="2568" w:type="dxa"/>
            <w:gridSpan w:val="2"/>
            <w:tcBorders>
              <w:top w:val="single" w:sz="4" w:space="0" w:color="auto"/>
              <w:left w:val="single" w:sz="4" w:space="0" w:color="auto"/>
              <w:bottom w:val="single" w:sz="4" w:space="0" w:color="auto"/>
              <w:right w:val="single" w:sz="4" w:space="0" w:color="auto"/>
            </w:tcBorders>
            <w:vAlign w:val="center"/>
          </w:tcPr>
          <w:p w14:paraId="64C1EA48" w14:textId="77777777" w:rsidR="00575778" w:rsidRPr="00575778" w:rsidRDefault="00575778" w:rsidP="00D46FA9">
            <w:pPr>
              <w:jc w:val="center"/>
              <w:rPr>
                <w:rFonts w:eastAsia="Times New Roman"/>
                <w:b/>
                <w:bCs/>
                <w:sz w:val="16"/>
                <w:szCs w:val="16"/>
              </w:rPr>
            </w:pPr>
            <w:r w:rsidRPr="00575778">
              <w:rPr>
                <w:rFonts w:eastAsia="Times New Roman"/>
                <w:b/>
                <w:bCs/>
                <w:sz w:val="16"/>
                <w:szCs w:val="16"/>
              </w:rPr>
              <w:t>2016</w:t>
            </w:r>
          </w:p>
        </w:tc>
      </w:tr>
      <w:tr w:rsidR="00575778" w:rsidRPr="00575778" w14:paraId="0F8D8878" w14:textId="77777777" w:rsidTr="00D46FA9">
        <w:trPr>
          <w:jc w:val="center"/>
        </w:trPr>
        <w:tc>
          <w:tcPr>
            <w:tcW w:w="2410" w:type="dxa"/>
            <w:vMerge/>
            <w:tcBorders>
              <w:top w:val="single" w:sz="4" w:space="0" w:color="auto"/>
              <w:left w:val="single" w:sz="4" w:space="0" w:color="auto"/>
              <w:bottom w:val="single" w:sz="4" w:space="0" w:color="auto"/>
              <w:right w:val="single" w:sz="4" w:space="0" w:color="auto"/>
            </w:tcBorders>
            <w:vAlign w:val="center"/>
          </w:tcPr>
          <w:p w14:paraId="526B08E2" w14:textId="77777777" w:rsidR="00575778" w:rsidRPr="00575778" w:rsidRDefault="00575778" w:rsidP="00D46FA9">
            <w:pPr>
              <w:jc w:val="center"/>
              <w:rPr>
                <w:rFonts w:eastAsia="Times New Roman"/>
                <w:b/>
                <w:bCs/>
                <w:sz w:val="16"/>
                <w:szCs w:val="16"/>
              </w:rPr>
            </w:pPr>
          </w:p>
        </w:tc>
        <w:tc>
          <w:tcPr>
            <w:tcW w:w="1283" w:type="dxa"/>
            <w:vMerge/>
            <w:tcBorders>
              <w:top w:val="single" w:sz="4" w:space="0" w:color="auto"/>
              <w:left w:val="single" w:sz="4" w:space="0" w:color="auto"/>
              <w:bottom w:val="single" w:sz="4" w:space="0" w:color="auto"/>
              <w:right w:val="single" w:sz="4" w:space="0" w:color="auto"/>
            </w:tcBorders>
            <w:vAlign w:val="center"/>
          </w:tcPr>
          <w:p w14:paraId="6F40AD46" w14:textId="77777777" w:rsidR="00575778" w:rsidRPr="00575778" w:rsidRDefault="00575778" w:rsidP="00D46FA9">
            <w:pPr>
              <w:jc w:val="center"/>
              <w:rPr>
                <w:rFonts w:eastAsia="Times New Roman"/>
                <w:b/>
                <w:bCs/>
                <w:sz w:val="16"/>
                <w:szCs w:val="16"/>
              </w:rPr>
            </w:pPr>
          </w:p>
        </w:tc>
        <w:tc>
          <w:tcPr>
            <w:tcW w:w="1284" w:type="dxa"/>
            <w:tcBorders>
              <w:top w:val="single" w:sz="4" w:space="0" w:color="auto"/>
              <w:left w:val="single" w:sz="4" w:space="0" w:color="auto"/>
              <w:bottom w:val="single" w:sz="4" w:space="0" w:color="auto"/>
              <w:right w:val="single" w:sz="4" w:space="0" w:color="auto"/>
            </w:tcBorders>
            <w:vAlign w:val="center"/>
          </w:tcPr>
          <w:p w14:paraId="1F445B34" w14:textId="77777777" w:rsidR="00575778" w:rsidRPr="00575778" w:rsidRDefault="00575778" w:rsidP="00D46FA9">
            <w:pPr>
              <w:jc w:val="center"/>
              <w:rPr>
                <w:rFonts w:eastAsia="Times New Roman"/>
                <w:b/>
                <w:bCs/>
                <w:sz w:val="16"/>
                <w:szCs w:val="16"/>
              </w:rPr>
            </w:pPr>
            <w:r w:rsidRPr="00575778">
              <w:rPr>
                <w:rFonts w:eastAsia="Times New Roman"/>
                <w:b/>
                <w:bCs/>
                <w:sz w:val="16"/>
                <w:szCs w:val="16"/>
              </w:rPr>
              <w:t>Proyecciones intermedias, marzo de 2015</w:t>
            </w:r>
          </w:p>
        </w:tc>
        <w:tc>
          <w:tcPr>
            <w:tcW w:w="1283" w:type="dxa"/>
            <w:tcBorders>
              <w:top w:val="single" w:sz="4" w:space="0" w:color="auto"/>
              <w:left w:val="single" w:sz="4" w:space="0" w:color="auto"/>
              <w:bottom w:val="single" w:sz="4" w:space="0" w:color="auto"/>
              <w:right w:val="single" w:sz="4" w:space="0" w:color="auto"/>
            </w:tcBorders>
            <w:vAlign w:val="center"/>
          </w:tcPr>
          <w:p w14:paraId="1C6BAEA3" w14:textId="77777777" w:rsidR="00575778" w:rsidRPr="00575778" w:rsidRDefault="00575778" w:rsidP="00D46FA9">
            <w:pPr>
              <w:jc w:val="center"/>
              <w:rPr>
                <w:rFonts w:eastAsia="Times New Roman"/>
                <w:b/>
                <w:bCs/>
                <w:sz w:val="16"/>
                <w:szCs w:val="16"/>
              </w:rPr>
            </w:pPr>
            <w:r w:rsidRPr="00575778">
              <w:rPr>
                <w:rFonts w:eastAsia="Times New Roman"/>
                <w:b/>
                <w:bCs/>
                <w:sz w:val="16"/>
                <w:szCs w:val="16"/>
              </w:rPr>
              <w:t>Diferencia con respecto a las perspectivas de noviembre</w:t>
            </w:r>
          </w:p>
        </w:tc>
        <w:tc>
          <w:tcPr>
            <w:tcW w:w="1284" w:type="dxa"/>
            <w:tcBorders>
              <w:top w:val="single" w:sz="4" w:space="0" w:color="auto"/>
              <w:left w:val="single" w:sz="4" w:space="0" w:color="auto"/>
              <w:bottom w:val="single" w:sz="4" w:space="0" w:color="auto"/>
              <w:right w:val="single" w:sz="4" w:space="0" w:color="auto"/>
            </w:tcBorders>
            <w:vAlign w:val="center"/>
          </w:tcPr>
          <w:p w14:paraId="6A176766" w14:textId="77777777" w:rsidR="00575778" w:rsidRPr="00575778" w:rsidRDefault="00575778" w:rsidP="00D46FA9">
            <w:pPr>
              <w:jc w:val="center"/>
              <w:rPr>
                <w:rFonts w:eastAsia="Times New Roman"/>
                <w:b/>
                <w:bCs/>
                <w:sz w:val="16"/>
                <w:szCs w:val="16"/>
              </w:rPr>
            </w:pPr>
            <w:r w:rsidRPr="00575778">
              <w:rPr>
                <w:rFonts w:eastAsia="Times New Roman"/>
                <w:b/>
                <w:bCs/>
                <w:sz w:val="16"/>
                <w:szCs w:val="16"/>
              </w:rPr>
              <w:t>Proyecciones intermedias, marzo de 2015</w:t>
            </w:r>
          </w:p>
        </w:tc>
        <w:tc>
          <w:tcPr>
            <w:tcW w:w="1284" w:type="dxa"/>
            <w:tcBorders>
              <w:top w:val="single" w:sz="4" w:space="0" w:color="auto"/>
              <w:left w:val="single" w:sz="4" w:space="0" w:color="auto"/>
              <w:bottom w:val="single" w:sz="4" w:space="0" w:color="auto"/>
              <w:right w:val="single" w:sz="4" w:space="0" w:color="auto"/>
            </w:tcBorders>
            <w:vAlign w:val="center"/>
          </w:tcPr>
          <w:p w14:paraId="1EE69923" w14:textId="77777777" w:rsidR="00575778" w:rsidRPr="00575778" w:rsidRDefault="00575778" w:rsidP="00D46FA9">
            <w:pPr>
              <w:jc w:val="center"/>
              <w:rPr>
                <w:rFonts w:eastAsia="Times New Roman"/>
                <w:b/>
                <w:bCs/>
                <w:sz w:val="16"/>
                <w:szCs w:val="16"/>
              </w:rPr>
            </w:pPr>
            <w:r w:rsidRPr="00575778">
              <w:rPr>
                <w:rFonts w:eastAsia="Times New Roman"/>
                <w:b/>
                <w:bCs/>
                <w:sz w:val="16"/>
                <w:szCs w:val="16"/>
              </w:rPr>
              <w:t>Diferencia con respecto a las perspectivas de noviembre</w:t>
            </w:r>
          </w:p>
        </w:tc>
      </w:tr>
      <w:tr w:rsidR="00575778" w:rsidRPr="00575778" w14:paraId="3ACEDF1E" w14:textId="77777777" w:rsidTr="00D46FA9">
        <w:trPr>
          <w:jc w:val="center"/>
        </w:trPr>
        <w:tc>
          <w:tcPr>
            <w:tcW w:w="2410" w:type="dxa"/>
            <w:tcBorders>
              <w:top w:val="single" w:sz="4" w:space="0" w:color="auto"/>
              <w:left w:val="single" w:sz="4" w:space="0" w:color="auto"/>
              <w:bottom w:val="nil"/>
              <w:right w:val="single" w:sz="4" w:space="0" w:color="auto"/>
            </w:tcBorders>
            <w:vAlign w:val="center"/>
          </w:tcPr>
          <w:p w14:paraId="43B91246" w14:textId="77777777" w:rsidR="00575778" w:rsidRPr="00575778" w:rsidRDefault="00575778" w:rsidP="00D46FA9">
            <w:pPr>
              <w:rPr>
                <w:rFonts w:eastAsia="Times New Roman"/>
                <w:bCs/>
                <w:sz w:val="18"/>
                <w:szCs w:val="18"/>
              </w:rPr>
            </w:pPr>
            <w:r w:rsidRPr="00575778">
              <w:rPr>
                <w:rFonts w:eastAsia="Times New Roman"/>
                <w:bCs/>
                <w:sz w:val="18"/>
                <w:szCs w:val="18"/>
              </w:rPr>
              <w:t>Estados Unidos de Norteamérica</w:t>
            </w:r>
          </w:p>
        </w:tc>
        <w:tc>
          <w:tcPr>
            <w:tcW w:w="1283" w:type="dxa"/>
            <w:tcBorders>
              <w:top w:val="single" w:sz="4" w:space="0" w:color="auto"/>
              <w:left w:val="single" w:sz="4" w:space="0" w:color="auto"/>
              <w:bottom w:val="nil"/>
              <w:right w:val="single" w:sz="4" w:space="0" w:color="auto"/>
            </w:tcBorders>
            <w:vAlign w:val="center"/>
          </w:tcPr>
          <w:p w14:paraId="2DFEE77D" w14:textId="77777777" w:rsidR="00575778" w:rsidRPr="00575778" w:rsidRDefault="00575778" w:rsidP="00D46FA9">
            <w:pPr>
              <w:ind w:right="397"/>
              <w:jc w:val="right"/>
              <w:rPr>
                <w:rFonts w:eastAsia="Times New Roman"/>
                <w:bCs/>
                <w:sz w:val="18"/>
                <w:szCs w:val="18"/>
              </w:rPr>
            </w:pPr>
            <w:r w:rsidRPr="00575778">
              <w:rPr>
                <w:rFonts w:eastAsia="Times New Roman"/>
                <w:bCs/>
                <w:sz w:val="18"/>
                <w:szCs w:val="18"/>
              </w:rPr>
              <w:t>2.4</w:t>
            </w:r>
          </w:p>
        </w:tc>
        <w:tc>
          <w:tcPr>
            <w:tcW w:w="1284" w:type="dxa"/>
            <w:tcBorders>
              <w:top w:val="single" w:sz="4" w:space="0" w:color="auto"/>
              <w:left w:val="single" w:sz="4" w:space="0" w:color="auto"/>
              <w:bottom w:val="nil"/>
              <w:right w:val="single" w:sz="4" w:space="0" w:color="auto"/>
            </w:tcBorders>
            <w:vAlign w:val="center"/>
          </w:tcPr>
          <w:p w14:paraId="27037B02" w14:textId="77777777" w:rsidR="00575778" w:rsidRPr="00575778" w:rsidRDefault="00575778" w:rsidP="00D46FA9">
            <w:pPr>
              <w:ind w:right="397"/>
              <w:jc w:val="right"/>
              <w:rPr>
                <w:rFonts w:eastAsia="Times New Roman"/>
                <w:bCs/>
                <w:sz w:val="18"/>
                <w:szCs w:val="18"/>
              </w:rPr>
            </w:pPr>
            <w:r w:rsidRPr="00575778">
              <w:rPr>
                <w:rFonts w:eastAsia="Times New Roman"/>
                <w:bCs/>
                <w:sz w:val="18"/>
                <w:szCs w:val="18"/>
              </w:rPr>
              <w:t>3.1</w:t>
            </w:r>
          </w:p>
        </w:tc>
        <w:tc>
          <w:tcPr>
            <w:tcW w:w="1283" w:type="dxa"/>
            <w:tcBorders>
              <w:top w:val="single" w:sz="4" w:space="0" w:color="auto"/>
              <w:left w:val="single" w:sz="4" w:space="0" w:color="auto"/>
              <w:bottom w:val="nil"/>
              <w:right w:val="single" w:sz="4" w:space="0" w:color="auto"/>
            </w:tcBorders>
            <w:vAlign w:val="center"/>
          </w:tcPr>
          <w:p w14:paraId="4B92B1F9" w14:textId="77777777" w:rsidR="00575778" w:rsidRPr="00575778" w:rsidRDefault="00575778" w:rsidP="00D46FA9">
            <w:pPr>
              <w:ind w:right="397"/>
              <w:jc w:val="right"/>
              <w:rPr>
                <w:rFonts w:eastAsia="Times New Roman"/>
                <w:bCs/>
                <w:sz w:val="18"/>
                <w:szCs w:val="18"/>
              </w:rPr>
            </w:pPr>
            <w:r w:rsidRPr="00575778">
              <w:rPr>
                <w:rFonts w:eastAsia="Times New Roman"/>
                <w:bCs/>
                <w:sz w:val="18"/>
                <w:szCs w:val="18"/>
              </w:rPr>
              <w:t>0.0</w:t>
            </w:r>
          </w:p>
        </w:tc>
        <w:tc>
          <w:tcPr>
            <w:tcW w:w="1284" w:type="dxa"/>
            <w:tcBorders>
              <w:top w:val="single" w:sz="4" w:space="0" w:color="auto"/>
              <w:left w:val="single" w:sz="4" w:space="0" w:color="auto"/>
              <w:bottom w:val="nil"/>
              <w:right w:val="single" w:sz="4" w:space="0" w:color="auto"/>
            </w:tcBorders>
            <w:vAlign w:val="center"/>
          </w:tcPr>
          <w:p w14:paraId="55C28AC7" w14:textId="77777777" w:rsidR="00575778" w:rsidRPr="00575778" w:rsidRDefault="00575778" w:rsidP="00D46FA9">
            <w:pPr>
              <w:ind w:right="397"/>
              <w:jc w:val="right"/>
              <w:rPr>
                <w:rFonts w:eastAsia="Times New Roman"/>
                <w:bCs/>
                <w:sz w:val="18"/>
                <w:szCs w:val="18"/>
              </w:rPr>
            </w:pPr>
            <w:r w:rsidRPr="00575778">
              <w:rPr>
                <w:rFonts w:eastAsia="Times New Roman"/>
                <w:bCs/>
                <w:sz w:val="18"/>
                <w:szCs w:val="18"/>
              </w:rPr>
              <w:t>3.0</w:t>
            </w:r>
          </w:p>
        </w:tc>
        <w:tc>
          <w:tcPr>
            <w:tcW w:w="1284" w:type="dxa"/>
            <w:tcBorders>
              <w:top w:val="single" w:sz="4" w:space="0" w:color="auto"/>
              <w:left w:val="single" w:sz="4" w:space="0" w:color="auto"/>
              <w:bottom w:val="nil"/>
              <w:right w:val="single" w:sz="4" w:space="0" w:color="auto"/>
            </w:tcBorders>
            <w:vAlign w:val="center"/>
          </w:tcPr>
          <w:p w14:paraId="2352CEA9" w14:textId="77777777" w:rsidR="00575778" w:rsidRPr="00575778" w:rsidRDefault="00575778" w:rsidP="00D46FA9">
            <w:pPr>
              <w:ind w:right="397"/>
              <w:jc w:val="right"/>
              <w:rPr>
                <w:rFonts w:eastAsia="Times New Roman"/>
                <w:bCs/>
                <w:sz w:val="18"/>
                <w:szCs w:val="18"/>
              </w:rPr>
            </w:pPr>
            <w:r w:rsidRPr="00575778">
              <w:rPr>
                <w:rFonts w:eastAsia="Times New Roman"/>
                <w:bCs/>
                <w:sz w:val="18"/>
                <w:szCs w:val="18"/>
              </w:rPr>
              <w:t>0.0</w:t>
            </w:r>
          </w:p>
        </w:tc>
      </w:tr>
      <w:tr w:rsidR="00575778" w:rsidRPr="00575778" w14:paraId="63ADCA48" w14:textId="77777777" w:rsidTr="00D46FA9">
        <w:trPr>
          <w:jc w:val="center"/>
        </w:trPr>
        <w:tc>
          <w:tcPr>
            <w:tcW w:w="2410" w:type="dxa"/>
            <w:tcBorders>
              <w:top w:val="nil"/>
              <w:left w:val="single" w:sz="4" w:space="0" w:color="auto"/>
              <w:bottom w:val="nil"/>
              <w:right w:val="single" w:sz="4" w:space="0" w:color="auto"/>
            </w:tcBorders>
            <w:vAlign w:val="center"/>
          </w:tcPr>
          <w:p w14:paraId="2D5264CE" w14:textId="77777777" w:rsidR="00575778" w:rsidRPr="00575778" w:rsidRDefault="00575778" w:rsidP="00D46FA9">
            <w:pPr>
              <w:rPr>
                <w:rFonts w:eastAsia="Times New Roman"/>
                <w:bCs/>
                <w:sz w:val="18"/>
                <w:szCs w:val="18"/>
              </w:rPr>
            </w:pPr>
            <w:r w:rsidRPr="00575778">
              <w:rPr>
                <w:rFonts w:eastAsia="Times New Roman"/>
                <w:bCs/>
                <w:sz w:val="18"/>
                <w:szCs w:val="18"/>
              </w:rPr>
              <w:t>Zona Euro</w:t>
            </w:r>
          </w:p>
        </w:tc>
        <w:tc>
          <w:tcPr>
            <w:tcW w:w="1283" w:type="dxa"/>
            <w:tcBorders>
              <w:top w:val="nil"/>
              <w:left w:val="single" w:sz="4" w:space="0" w:color="auto"/>
              <w:bottom w:val="nil"/>
              <w:right w:val="single" w:sz="4" w:space="0" w:color="auto"/>
            </w:tcBorders>
            <w:vAlign w:val="center"/>
          </w:tcPr>
          <w:p w14:paraId="4CF203AF" w14:textId="77777777" w:rsidR="00575778" w:rsidRPr="00575778" w:rsidRDefault="00575778" w:rsidP="00D46FA9">
            <w:pPr>
              <w:ind w:right="397"/>
              <w:jc w:val="right"/>
              <w:rPr>
                <w:rFonts w:eastAsia="Times New Roman"/>
                <w:bCs/>
                <w:sz w:val="18"/>
                <w:szCs w:val="18"/>
              </w:rPr>
            </w:pPr>
            <w:r w:rsidRPr="00575778">
              <w:rPr>
                <w:rFonts w:eastAsia="Times New Roman"/>
                <w:bCs/>
                <w:sz w:val="18"/>
                <w:szCs w:val="18"/>
              </w:rPr>
              <w:t>0.9</w:t>
            </w:r>
          </w:p>
        </w:tc>
        <w:tc>
          <w:tcPr>
            <w:tcW w:w="1284" w:type="dxa"/>
            <w:tcBorders>
              <w:top w:val="nil"/>
              <w:left w:val="single" w:sz="4" w:space="0" w:color="auto"/>
              <w:bottom w:val="nil"/>
              <w:right w:val="single" w:sz="4" w:space="0" w:color="auto"/>
            </w:tcBorders>
            <w:vAlign w:val="center"/>
          </w:tcPr>
          <w:p w14:paraId="7B842A09" w14:textId="77777777" w:rsidR="00575778" w:rsidRPr="00575778" w:rsidRDefault="00575778" w:rsidP="00D46FA9">
            <w:pPr>
              <w:ind w:right="397"/>
              <w:jc w:val="right"/>
              <w:rPr>
                <w:rFonts w:eastAsia="Times New Roman"/>
                <w:bCs/>
                <w:sz w:val="18"/>
                <w:szCs w:val="18"/>
              </w:rPr>
            </w:pPr>
            <w:r w:rsidRPr="00575778">
              <w:rPr>
                <w:rFonts w:eastAsia="Times New Roman"/>
                <w:bCs/>
                <w:sz w:val="18"/>
                <w:szCs w:val="18"/>
              </w:rPr>
              <w:t>1.4</w:t>
            </w:r>
          </w:p>
        </w:tc>
        <w:tc>
          <w:tcPr>
            <w:tcW w:w="1283" w:type="dxa"/>
            <w:tcBorders>
              <w:top w:val="nil"/>
              <w:left w:val="single" w:sz="4" w:space="0" w:color="auto"/>
              <w:bottom w:val="nil"/>
              <w:right w:val="single" w:sz="4" w:space="0" w:color="auto"/>
            </w:tcBorders>
            <w:vAlign w:val="center"/>
          </w:tcPr>
          <w:p w14:paraId="184D96D4" w14:textId="77777777" w:rsidR="00575778" w:rsidRPr="00575778" w:rsidRDefault="00575778" w:rsidP="00D46FA9">
            <w:pPr>
              <w:ind w:right="397"/>
              <w:jc w:val="right"/>
              <w:rPr>
                <w:rFonts w:eastAsia="Times New Roman"/>
                <w:bCs/>
                <w:sz w:val="18"/>
                <w:szCs w:val="18"/>
              </w:rPr>
            </w:pPr>
            <w:r w:rsidRPr="00575778">
              <w:rPr>
                <w:rFonts w:eastAsia="Times New Roman"/>
                <w:bCs/>
                <w:sz w:val="18"/>
                <w:szCs w:val="18"/>
              </w:rPr>
              <w:t>0.3</w:t>
            </w:r>
          </w:p>
        </w:tc>
        <w:tc>
          <w:tcPr>
            <w:tcW w:w="1284" w:type="dxa"/>
            <w:tcBorders>
              <w:top w:val="nil"/>
              <w:left w:val="single" w:sz="4" w:space="0" w:color="auto"/>
              <w:bottom w:val="nil"/>
              <w:right w:val="single" w:sz="4" w:space="0" w:color="auto"/>
            </w:tcBorders>
            <w:vAlign w:val="center"/>
          </w:tcPr>
          <w:p w14:paraId="73A00AB8" w14:textId="77777777" w:rsidR="00575778" w:rsidRPr="00575778" w:rsidRDefault="00575778" w:rsidP="00D46FA9">
            <w:pPr>
              <w:ind w:right="397"/>
              <w:jc w:val="right"/>
              <w:rPr>
                <w:rFonts w:eastAsia="Times New Roman"/>
                <w:bCs/>
                <w:sz w:val="18"/>
                <w:szCs w:val="18"/>
              </w:rPr>
            </w:pPr>
            <w:r w:rsidRPr="00575778">
              <w:rPr>
                <w:rFonts w:eastAsia="Times New Roman"/>
                <w:bCs/>
                <w:sz w:val="18"/>
                <w:szCs w:val="18"/>
              </w:rPr>
              <w:t>2.0</w:t>
            </w:r>
          </w:p>
        </w:tc>
        <w:tc>
          <w:tcPr>
            <w:tcW w:w="1284" w:type="dxa"/>
            <w:tcBorders>
              <w:top w:val="nil"/>
              <w:left w:val="single" w:sz="4" w:space="0" w:color="auto"/>
              <w:bottom w:val="nil"/>
              <w:right w:val="single" w:sz="4" w:space="0" w:color="auto"/>
            </w:tcBorders>
            <w:vAlign w:val="center"/>
          </w:tcPr>
          <w:p w14:paraId="5DC82E87" w14:textId="77777777" w:rsidR="00575778" w:rsidRPr="00575778" w:rsidRDefault="00575778" w:rsidP="00D46FA9">
            <w:pPr>
              <w:ind w:right="397"/>
              <w:jc w:val="right"/>
              <w:rPr>
                <w:rFonts w:eastAsia="Times New Roman"/>
                <w:bCs/>
                <w:sz w:val="18"/>
                <w:szCs w:val="18"/>
              </w:rPr>
            </w:pPr>
            <w:r w:rsidRPr="00575778">
              <w:rPr>
                <w:rFonts w:eastAsia="Times New Roman"/>
                <w:bCs/>
                <w:sz w:val="18"/>
                <w:szCs w:val="18"/>
              </w:rPr>
              <w:t>0.3</w:t>
            </w:r>
          </w:p>
        </w:tc>
      </w:tr>
      <w:tr w:rsidR="00575778" w:rsidRPr="00575778" w14:paraId="7350288F" w14:textId="77777777" w:rsidTr="00D46FA9">
        <w:trPr>
          <w:jc w:val="center"/>
        </w:trPr>
        <w:tc>
          <w:tcPr>
            <w:tcW w:w="2410" w:type="dxa"/>
            <w:tcBorders>
              <w:top w:val="nil"/>
              <w:left w:val="single" w:sz="4" w:space="0" w:color="auto"/>
              <w:bottom w:val="nil"/>
              <w:right w:val="single" w:sz="4" w:space="0" w:color="auto"/>
            </w:tcBorders>
            <w:vAlign w:val="center"/>
          </w:tcPr>
          <w:p w14:paraId="1D3612CF" w14:textId="77777777" w:rsidR="00575778" w:rsidRPr="00575778" w:rsidRDefault="00575778" w:rsidP="00D46FA9">
            <w:pPr>
              <w:rPr>
                <w:rFonts w:eastAsia="Times New Roman"/>
                <w:bCs/>
                <w:sz w:val="18"/>
                <w:szCs w:val="18"/>
              </w:rPr>
            </w:pPr>
            <w:r w:rsidRPr="00575778">
              <w:rPr>
                <w:rFonts w:eastAsia="Times New Roman"/>
                <w:bCs/>
                <w:sz w:val="18"/>
                <w:szCs w:val="18"/>
              </w:rPr>
              <w:t>Japón</w:t>
            </w:r>
          </w:p>
        </w:tc>
        <w:tc>
          <w:tcPr>
            <w:tcW w:w="1283" w:type="dxa"/>
            <w:tcBorders>
              <w:top w:val="nil"/>
              <w:left w:val="single" w:sz="4" w:space="0" w:color="auto"/>
              <w:bottom w:val="nil"/>
              <w:right w:val="single" w:sz="4" w:space="0" w:color="auto"/>
            </w:tcBorders>
            <w:vAlign w:val="center"/>
          </w:tcPr>
          <w:p w14:paraId="3E7C6332" w14:textId="77777777" w:rsidR="00575778" w:rsidRPr="00575778" w:rsidRDefault="00575778" w:rsidP="00D46FA9">
            <w:pPr>
              <w:ind w:right="397"/>
              <w:jc w:val="right"/>
              <w:rPr>
                <w:rFonts w:eastAsia="Times New Roman"/>
                <w:bCs/>
                <w:sz w:val="18"/>
                <w:szCs w:val="18"/>
              </w:rPr>
            </w:pPr>
            <w:r w:rsidRPr="00575778">
              <w:rPr>
                <w:rFonts w:eastAsia="Times New Roman"/>
                <w:bCs/>
                <w:sz w:val="18"/>
                <w:szCs w:val="18"/>
              </w:rPr>
              <w:t>0.0</w:t>
            </w:r>
          </w:p>
        </w:tc>
        <w:tc>
          <w:tcPr>
            <w:tcW w:w="1284" w:type="dxa"/>
            <w:tcBorders>
              <w:top w:val="nil"/>
              <w:left w:val="single" w:sz="4" w:space="0" w:color="auto"/>
              <w:bottom w:val="nil"/>
              <w:right w:val="single" w:sz="4" w:space="0" w:color="auto"/>
            </w:tcBorders>
            <w:vAlign w:val="center"/>
          </w:tcPr>
          <w:p w14:paraId="44F64064" w14:textId="77777777" w:rsidR="00575778" w:rsidRPr="00575778" w:rsidRDefault="00575778" w:rsidP="00D46FA9">
            <w:pPr>
              <w:ind w:right="397"/>
              <w:jc w:val="right"/>
              <w:rPr>
                <w:rFonts w:eastAsia="Times New Roman"/>
                <w:bCs/>
                <w:sz w:val="18"/>
                <w:szCs w:val="18"/>
              </w:rPr>
            </w:pPr>
            <w:r w:rsidRPr="00575778">
              <w:rPr>
                <w:rFonts w:eastAsia="Times New Roman"/>
                <w:bCs/>
                <w:sz w:val="18"/>
                <w:szCs w:val="18"/>
              </w:rPr>
              <w:t>1.0</w:t>
            </w:r>
          </w:p>
        </w:tc>
        <w:tc>
          <w:tcPr>
            <w:tcW w:w="1283" w:type="dxa"/>
            <w:tcBorders>
              <w:top w:val="nil"/>
              <w:left w:val="single" w:sz="4" w:space="0" w:color="auto"/>
              <w:bottom w:val="nil"/>
              <w:right w:val="single" w:sz="4" w:space="0" w:color="auto"/>
            </w:tcBorders>
            <w:vAlign w:val="center"/>
          </w:tcPr>
          <w:p w14:paraId="36112441" w14:textId="77777777" w:rsidR="00575778" w:rsidRPr="00575778" w:rsidRDefault="00575778" w:rsidP="00D46FA9">
            <w:pPr>
              <w:ind w:right="397"/>
              <w:jc w:val="right"/>
              <w:rPr>
                <w:rFonts w:eastAsia="Times New Roman"/>
                <w:bCs/>
                <w:sz w:val="18"/>
                <w:szCs w:val="18"/>
              </w:rPr>
            </w:pPr>
            <w:r w:rsidRPr="00575778">
              <w:rPr>
                <w:rFonts w:eastAsia="Times New Roman"/>
                <w:bCs/>
                <w:sz w:val="18"/>
                <w:szCs w:val="18"/>
              </w:rPr>
              <w:t>0.2</w:t>
            </w:r>
          </w:p>
        </w:tc>
        <w:tc>
          <w:tcPr>
            <w:tcW w:w="1284" w:type="dxa"/>
            <w:tcBorders>
              <w:top w:val="nil"/>
              <w:left w:val="single" w:sz="4" w:space="0" w:color="auto"/>
              <w:bottom w:val="nil"/>
              <w:right w:val="single" w:sz="4" w:space="0" w:color="auto"/>
            </w:tcBorders>
            <w:vAlign w:val="center"/>
          </w:tcPr>
          <w:p w14:paraId="4AA8A8FB" w14:textId="77777777" w:rsidR="00575778" w:rsidRPr="00575778" w:rsidRDefault="00575778" w:rsidP="00D46FA9">
            <w:pPr>
              <w:ind w:right="397"/>
              <w:jc w:val="right"/>
              <w:rPr>
                <w:rFonts w:eastAsia="Times New Roman"/>
                <w:bCs/>
                <w:sz w:val="18"/>
                <w:szCs w:val="18"/>
              </w:rPr>
            </w:pPr>
            <w:r w:rsidRPr="00575778">
              <w:rPr>
                <w:rFonts w:eastAsia="Times New Roman"/>
                <w:bCs/>
                <w:sz w:val="18"/>
                <w:szCs w:val="18"/>
              </w:rPr>
              <w:t>1.4</w:t>
            </w:r>
          </w:p>
        </w:tc>
        <w:tc>
          <w:tcPr>
            <w:tcW w:w="1284" w:type="dxa"/>
            <w:tcBorders>
              <w:top w:val="nil"/>
              <w:left w:val="single" w:sz="4" w:space="0" w:color="auto"/>
              <w:bottom w:val="nil"/>
              <w:right w:val="single" w:sz="4" w:space="0" w:color="auto"/>
            </w:tcBorders>
            <w:vAlign w:val="center"/>
          </w:tcPr>
          <w:p w14:paraId="43677715" w14:textId="77777777" w:rsidR="00575778" w:rsidRPr="00575778" w:rsidRDefault="00575778" w:rsidP="00D46FA9">
            <w:pPr>
              <w:ind w:right="397"/>
              <w:jc w:val="right"/>
              <w:rPr>
                <w:rFonts w:eastAsia="Times New Roman"/>
                <w:bCs/>
                <w:sz w:val="18"/>
                <w:szCs w:val="18"/>
              </w:rPr>
            </w:pPr>
            <w:r w:rsidRPr="00575778">
              <w:rPr>
                <w:rFonts w:eastAsia="Times New Roman"/>
                <w:bCs/>
                <w:sz w:val="18"/>
                <w:szCs w:val="18"/>
              </w:rPr>
              <w:t>0.4</w:t>
            </w:r>
          </w:p>
        </w:tc>
      </w:tr>
      <w:tr w:rsidR="00575778" w:rsidRPr="00575778" w14:paraId="3C0D0FAF" w14:textId="77777777" w:rsidTr="00D46FA9">
        <w:trPr>
          <w:jc w:val="center"/>
        </w:trPr>
        <w:tc>
          <w:tcPr>
            <w:tcW w:w="2410" w:type="dxa"/>
            <w:tcBorders>
              <w:top w:val="nil"/>
              <w:left w:val="single" w:sz="4" w:space="0" w:color="auto"/>
              <w:bottom w:val="nil"/>
              <w:right w:val="single" w:sz="4" w:space="0" w:color="auto"/>
            </w:tcBorders>
            <w:vAlign w:val="center"/>
          </w:tcPr>
          <w:p w14:paraId="6530DE2C" w14:textId="77777777" w:rsidR="00575778" w:rsidRPr="00575778" w:rsidRDefault="00575778" w:rsidP="00D46FA9">
            <w:pPr>
              <w:rPr>
                <w:rFonts w:eastAsia="Times New Roman"/>
                <w:bCs/>
                <w:sz w:val="18"/>
                <w:szCs w:val="18"/>
              </w:rPr>
            </w:pPr>
            <w:r w:rsidRPr="00575778">
              <w:rPr>
                <w:rFonts w:eastAsia="Times New Roman"/>
                <w:bCs/>
                <w:sz w:val="18"/>
                <w:szCs w:val="18"/>
              </w:rPr>
              <w:t>Alemania</w:t>
            </w:r>
          </w:p>
        </w:tc>
        <w:tc>
          <w:tcPr>
            <w:tcW w:w="1283" w:type="dxa"/>
            <w:tcBorders>
              <w:top w:val="nil"/>
              <w:left w:val="single" w:sz="4" w:space="0" w:color="auto"/>
              <w:bottom w:val="nil"/>
              <w:right w:val="single" w:sz="4" w:space="0" w:color="auto"/>
            </w:tcBorders>
            <w:vAlign w:val="center"/>
          </w:tcPr>
          <w:p w14:paraId="1EC8314D" w14:textId="77777777" w:rsidR="00575778" w:rsidRPr="00575778" w:rsidRDefault="00575778" w:rsidP="00D46FA9">
            <w:pPr>
              <w:ind w:right="397"/>
              <w:jc w:val="right"/>
              <w:rPr>
                <w:rFonts w:eastAsia="Times New Roman"/>
                <w:bCs/>
                <w:sz w:val="18"/>
                <w:szCs w:val="18"/>
              </w:rPr>
            </w:pPr>
            <w:r w:rsidRPr="00575778">
              <w:rPr>
                <w:rFonts w:eastAsia="Times New Roman"/>
                <w:bCs/>
                <w:sz w:val="18"/>
                <w:szCs w:val="18"/>
              </w:rPr>
              <w:t>1.6</w:t>
            </w:r>
          </w:p>
        </w:tc>
        <w:tc>
          <w:tcPr>
            <w:tcW w:w="1284" w:type="dxa"/>
            <w:tcBorders>
              <w:top w:val="nil"/>
              <w:left w:val="single" w:sz="4" w:space="0" w:color="auto"/>
              <w:bottom w:val="nil"/>
              <w:right w:val="single" w:sz="4" w:space="0" w:color="auto"/>
            </w:tcBorders>
            <w:vAlign w:val="center"/>
          </w:tcPr>
          <w:p w14:paraId="01181F5C" w14:textId="77777777" w:rsidR="00575778" w:rsidRPr="00575778" w:rsidRDefault="00575778" w:rsidP="00D46FA9">
            <w:pPr>
              <w:ind w:right="397"/>
              <w:jc w:val="right"/>
              <w:rPr>
                <w:rFonts w:eastAsia="Times New Roman"/>
                <w:bCs/>
                <w:sz w:val="18"/>
                <w:szCs w:val="18"/>
              </w:rPr>
            </w:pPr>
            <w:r w:rsidRPr="00575778">
              <w:rPr>
                <w:rFonts w:eastAsia="Times New Roman"/>
                <w:bCs/>
                <w:sz w:val="18"/>
                <w:szCs w:val="18"/>
              </w:rPr>
              <w:t>1.7</w:t>
            </w:r>
          </w:p>
        </w:tc>
        <w:tc>
          <w:tcPr>
            <w:tcW w:w="1283" w:type="dxa"/>
            <w:tcBorders>
              <w:top w:val="nil"/>
              <w:left w:val="single" w:sz="4" w:space="0" w:color="auto"/>
              <w:bottom w:val="nil"/>
              <w:right w:val="single" w:sz="4" w:space="0" w:color="auto"/>
            </w:tcBorders>
            <w:vAlign w:val="center"/>
          </w:tcPr>
          <w:p w14:paraId="1577AB5F" w14:textId="77777777" w:rsidR="00575778" w:rsidRPr="00575778" w:rsidRDefault="00575778" w:rsidP="00D46FA9">
            <w:pPr>
              <w:ind w:right="397"/>
              <w:jc w:val="right"/>
              <w:rPr>
                <w:rFonts w:eastAsia="Times New Roman"/>
                <w:bCs/>
                <w:sz w:val="18"/>
                <w:szCs w:val="18"/>
              </w:rPr>
            </w:pPr>
            <w:r w:rsidRPr="00575778">
              <w:rPr>
                <w:rFonts w:eastAsia="Times New Roman"/>
                <w:bCs/>
                <w:sz w:val="18"/>
                <w:szCs w:val="18"/>
              </w:rPr>
              <w:t>0.6</w:t>
            </w:r>
          </w:p>
        </w:tc>
        <w:tc>
          <w:tcPr>
            <w:tcW w:w="1284" w:type="dxa"/>
            <w:tcBorders>
              <w:top w:val="nil"/>
              <w:left w:val="single" w:sz="4" w:space="0" w:color="auto"/>
              <w:bottom w:val="nil"/>
              <w:right w:val="single" w:sz="4" w:space="0" w:color="auto"/>
            </w:tcBorders>
            <w:vAlign w:val="center"/>
          </w:tcPr>
          <w:p w14:paraId="2AF60FAA" w14:textId="77777777" w:rsidR="00575778" w:rsidRPr="00575778" w:rsidRDefault="00575778" w:rsidP="00D46FA9">
            <w:pPr>
              <w:ind w:right="397"/>
              <w:jc w:val="right"/>
              <w:rPr>
                <w:rFonts w:eastAsia="Times New Roman"/>
                <w:bCs/>
                <w:sz w:val="18"/>
                <w:szCs w:val="18"/>
              </w:rPr>
            </w:pPr>
            <w:r w:rsidRPr="00575778">
              <w:rPr>
                <w:rFonts w:eastAsia="Times New Roman"/>
                <w:bCs/>
                <w:sz w:val="18"/>
                <w:szCs w:val="18"/>
              </w:rPr>
              <w:t>2.2</w:t>
            </w:r>
          </w:p>
        </w:tc>
        <w:tc>
          <w:tcPr>
            <w:tcW w:w="1284" w:type="dxa"/>
            <w:tcBorders>
              <w:top w:val="nil"/>
              <w:left w:val="single" w:sz="4" w:space="0" w:color="auto"/>
              <w:bottom w:val="nil"/>
              <w:right w:val="single" w:sz="4" w:space="0" w:color="auto"/>
            </w:tcBorders>
            <w:vAlign w:val="center"/>
          </w:tcPr>
          <w:p w14:paraId="3CC3BBEC" w14:textId="77777777" w:rsidR="00575778" w:rsidRPr="00575778" w:rsidRDefault="00575778" w:rsidP="00D46FA9">
            <w:pPr>
              <w:ind w:right="397"/>
              <w:jc w:val="right"/>
              <w:rPr>
                <w:rFonts w:eastAsia="Times New Roman"/>
                <w:bCs/>
                <w:sz w:val="18"/>
                <w:szCs w:val="18"/>
              </w:rPr>
            </w:pPr>
            <w:r w:rsidRPr="00575778">
              <w:rPr>
                <w:rFonts w:eastAsia="Times New Roman"/>
                <w:bCs/>
                <w:sz w:val="18"/>
                <w:szCs w:val="18"/>
              </w:rPr>
              <w:t>0.4</w:t>
            </w:r>
          </w:p>
        </w:tc>
      </w:tr>
      <w:tr w:rsidR="00575778" w:rsidRPr="00575778" w14:paraId="19AC7862" w14:textId="77777777" w:rsidTr="00D46FA9">
        <w:trPr>
          <w:jc w:val="center"/>
        </w:trPr>
        <w:tc>
          <w:tcPr>
            <w:tcW w:w="2410" w:type="dxa"/>
            <w:tcBorders>
              <w:top w:val="nil"/>
              <w:left w:val="single" w:sz="4" w:space="0" w:color="auto"/>
              <w:bottom w:val="nil"/>
              <w:right w:val="single" w:sz="4" w:space="0" w:color="auto"/>
            </w:tcBorders>
            <w:vAlign w:val="center"/>
          </w:tcPr>
          <w:p w14:paraId="5C1F7E8B" w14:textId="77777777" w:rsidR="00575778" w:rsidRPr="00575778" w:rsidRDefault="00575778" w:rsidP="00D46FA9">
            <w:pPr>
              <w:rPr>
                <w:rFonts w:eastAsia="Times New Roman"/>
                <w:bCs/>
                <w:sz w:val="18"/>
                <w:szCs w:val="18"/>
              </w:rPr>
            </w:pPr>
            <w:r w:rsidRPr="00575778">
              <w:rPr>
                <w:rFonts w:eastAsia="Times New Roman"/>
                <w:bCs/>
                <w:sz w:val="18"/>
                <w:szCs w:val="18"/>
              </w:rPr>
              <w:t>Francia</w:t>
            </w:r>
          </w:p>
        </w:tc>
        <w:tc>
          <w:tcPr>
            <w:tcW w:w="1283" w:type="dxa"/>
            <w:tcBorders>
              <w:top w:val="nil"/>
              <w:left w:val="single" w:sz="4" w:space="0" w:color="auto"/>
              <w:bottom w:val="nil"/>
              <w:right w:val="single" w:sz="4" w:space="0" w:color="auto"/>
            </w:tcBorders>
            <w:vAlign w:val="center"/>
          </w:tcPr>
          <w:p w14:paraId="3F468FC2" w14:textId="77777777" w:rsidR="00575778" w:rsidRPr="00575778" w:rsidRDefault="00575778" w:rsidP="00D46FA9">
            <w:pPr>
              <w:ind w:right="397"/>
              <w:jc w:val="right"/>
              <w:rPr>
                <w:rFonts w:eastAsia="Times New Roman"/>
                <w:bCs/>
                <w:sz w:val="18"/>
                <w:szCs w:val="18"/>
              </w:rPr>
            </w:pPr>
            <w:r w:rsidRPr="00575778">
              <w:rPr>
                <w:rFonts w:eastAsia="Times New Roman"/>
                <w:bCs/>
                <w:sz w:val="18"/>
                <w:szCs w:val="18"/>
              </w:rPr>
              <w:t>0.4</w:t>
            </w:r>
          </w:p>
        </w:tc>
        <w:tc>
          <w:tcPr>
            <w:tcW w:w="1284" w:type="dxa"/>
            <w:tcBorders>
              <w:top w:val="nil"/>
              <w:left w:val="single" w:sz="4" w:space="0" w:color="auto"/>
              <w:bottom w:val="nil"/>
              <w:right w:val="single" w:sz="4" w:space="0" w:color="auto"/>
            </w:tcBorders>
            <w:vAlign w:val="center"/>
          </w:tcPr>
          <w:p w14:paraId="1105E995" w14:textId="77777777" w:rsidR="00575778" w:rsidRPr="00575778" w:rsidRDefault="00575778" w:rsidP="00D46FA9">
            <w:pPr>
              <w:ind w:right="397"/>
              <w:jc w:val="right"/>
              <w:rPr>
                <w:rFonts w:eastAsia="Times New Roman"/>
                <w:bCs/>
                <w:sz w:val="18"/>
                <w:szCs w:val="18"/>
              </w:rPr>
            </w:pPr>
            <w:r w:rsidRPr="00575778">
              <w:rPr>
                <w:rFonts w:eastAsia="Times New Roman"/>
                <w:bCs/>
                <w:sz w:val="18"/>
                <w:szCs w:val="18"/>
              </w:rPr>
              <w:t>1.1</w:t>
            </w:r>
          </w:p>
        </w:tc>
        <w:tc>
          <w:tcPr>
            <w:tcW w:w="1283" w:type="dxa"/>
            <w:tcBorders>
              <w:top w:val="nil"/>
              <w:left w:val="single" w:sz="4" w:space="0" w:color="auto"/>
              <w:bottom w:val="nil"/>
              <w:right w:val="single" w:sz="4" w:space="0" w:color="auto"/>
            </w:tcBorders>
            <w:vAlign w:val="center"/>
          </w:tcPr>
          <w:p w14:paraId="2ADEC662" w14:textId="77777777" w:rsidR="00575778" w:rsidRPr="00575778" w:rsidRDefault="00575778" w:rsidP="00D46FA9">
            <w:pPr>
              <w:ind w:right="397"/>
              <w:jc w:val="right"/>
              <w:rPr>
                <w:rFonts w:eastAsia="Times New Roman"/>
                <w:bCs/>
                <w:sz w:val="18"/>
                <w:szCs w:val="18"/>
              </w:rPr>
            </w:pPr>
            <w:r w:rsidRPr="00575778">
              <w:rPr>
                <w:rFonts w:eastAsia="Times New Roman"/>
                <w:bCs/>
                <w:sz w:val="18"/>
                <w:szCs w:val="18"/>
              </w:rPr>
              <w:t>0.3</w:t>
            </w:r>
          </w:p>
        </w:tc>
        <w:tc>
          <w:tcPr>
            <w:tcW w:w="1284" w:type="dxa"/>
            <w:tcBorders>
              <w:top w:val="nil"/>
              <w:left w:val="single" w:sz="4" w:space="0" w:color="auto"/>
              <w:bottom w:val="nil"/>
              <w:right w:val="single" w:sz="4" w:space="0" w:color="auto"/>
            </w:tcBorders>
            <w:vAlign w:val="center"/>
          </w:tcPr>
          <w:p w14:paraId="3F6D5B7E" w14:textId="77777777" w:rsidR="00575778" w:rsidRPr="00575778" w:rsidRDefault="00575778" w:rsidP="00D46FA9">
            <w:pPr>
              <w:ind w:right="397"/>
              <w:jc w:val="right"/>
              <w:rPr>
                <w:rFonts w:eastAsia="Times New Roman"/>
                <w:bCs/>
                <w:sz w:val="18"/>
                <w:szCs w:val="18"/>
              </w:rPr>
            </w:pPr>
            <w:r w:rsidRPr="00575778">
              <w:rPr>
                <w:rFonts w:eastAsia="Times New Roman"/>
                <w:bCs/>
                <w:sz w:val="18"/>
                <w:szCs w:val="18"/>
              </w:rPr>
              <w:t>1.7</w:t>
            </w:r>
          </w:p>
        </w:tc>
        <w:tc>
          <w:tcPr>
            <w:tcW w:w="1284" w:type="dxa"/>
            <w:tcBorders>
              <w:top w:val="nil"/>
              <w:left w:val="single" w:sz="4" w:space="0" w:color="auto"/>
              <w:bottom w:val="nil"/>
              <w:right w:val="single" w:sz="4" w:space="0" w:color="auto"/>
            </w:tcBorders>
            <w:vAlign w:val="center"/>
          </w:tcPr>
          <w:p w14:paraId="615BCBF6" w14:textId="77777777" w:rsidR="00575778" w:rsidRPr="00575778" w:rsidRDefault="00575778" w:rsidP="00D46FA9">
            <w:pPr>
              <w:ind w:right="397"/>
              <w:jc w:val="right"/>
              <w:rPr>
                <w:rFonts w:eastAsia="Times New Roman"/>
                <w:bCs/>
                <w:sz w:val="18"/>
                <w:szCs w:val="18"/>
              </w:rPr>
            </w:pPr>
            <w:r w:rsidRPr="00575778">
              <w:rPr>
                <w:rFonts w:eastAsia="Times New Roman"/>
                <w:bCs/>
                <w:sz w:val="18"/>
                <w:szCs w:val="18"/>
              </w:rPr>
              <w:t>0.2</w:t>
            </w:r>
          </w:p>
        </w:tc>
      </w:tr>
      <w:tr w:rsidR="00575778" w:rsidRPr="00575778" w14:paraId="45D6D186" w14:textId="77777777" w:rsidTr="00D46FA9">
        <w:trPr>
          <w:jc w:val="center"/>
        </w:trPr>
        <w:tc>
          <w:tcPr>
            <w:tcW w:w="2410" w:type="dxa"/>
            <w:tcBorders>
              <w:top w:val="nil"/>
              <w:left w:val="single" w:sz="4" w:space="0" w:color="auto"/>
              <w:bottom w:val="nil"/>
              <w:right w:val="single" w:sz="4" w:space="0" w:color="auto"/>
            </w:tcBorders>
            <w:vAlign w:val="center"/>
          </w:tcPr>
          <w:p w14:paraId="0892FD2E" w14:textId="77777777" w:rsidR="00575778" w:rsidRPr="00575778" w:rsidRDefault="00575778" w:rsidP="00D46FA9">
            <w:pPr>
              <w:rPr>
                <w:rFonts w:eastAsia="Times New Roman"/>
                <w:bCs/>
                <w:sz w:val="18"/>
                <w:szCs w:val="18"/>
              </w:rPr>
            </w:pPr>
            <w:r w:rsidRPr="00575778">
              <w:rPr>
                <w:rFonts w:eastAsia="Times New Roman"/>
                <w:bCs/>
                <w:sz w:val="18"/>
                <w:szCs w:val="18"/>
              </w:rPr>
              <w:t>Italia</w:t>
            </w:r>
          </w:p>
        </w:tc>
        <w:tc>
          <w:tcPr>
            <w:tcW w:w="1283" w:type="dxa"/>
            <w:tcBorders>
              <w:top w:val="nil"/>
              <w:left w:val="single" w:sz="4" w:space="0" w:color="auto"/>
              <w:bottom w:val="nil"/>
              <w:right w:val="single" w:sz="4" w:space="0" w:color="auto"/>
            </w:tcBorders>
            <w:vAlign w:val="center"/>
          </w:tcPr>
          <w:p w14:paraId="0A077C52" w14:textId="77777777" w:rsidR="00575778" w:rsidRPr="00575778" w:rsidRDefault="00575778" w:rsidP="00D46FA9">
            <w:pPr>
              <w:ind w:right="397"/>
              <w:jc w:val="right"/>
              <w:rPr>
                <w:rFonts w:eastAsia="Times New Roman"/>
                <w:bCs/>
                <w:sz w:val="18"/>
                <w:szCs w:val="18"/>
              </w:rPr>
            </w:pPr>
            <w:r w:rsidRPr="00575778">
              <w:rPr>
                <w:rFonts w:eastAsia="Times New Roman"/>
                <w:bCs/>
                <w:sz w:val="18"/>
                <w:szCs w:val="18"/>
              </w:rPr>
              <w:t>-0.4</w:t>
            </w:r>
          </w:p>
        </w:tc>
        <w:tc>
          <w:tcPr>
            <w:tcW w:w="1284" w:type="dxa"/>
            <w:tcBorders>
              <w:top w:val="nil"/>
              <w:left w:val="single" w:sz="4" w:space="0" w:color="auto"/>
              <w:bottom w:val="nil"/>
              <w:right w:val="single" w:sz="4" w:space="0" w:color="auto"/>
            </w:tcBorders>
            <w:vAlign w:val="center"/>
          </w:tcPr>
          <w:p w14:paraId="5C390884" w14:textId="77777777" w:rsidR="00575778" w:rsidRPr="00575778" w:rsidRDefault="00575778" w:rsidP="00D46FA9">
            <w:pPr>
              <w:ind w:right="397"/>
              <w:jc w:val="right"/>
              <w:rPr>
                <w:rFonts w:eastAsia="Times New Roman"/>
                <w:bCs/>
                <w:sz w:val="18"/>
                <w:szCs w:val="18"/>
              </w:rPr>
            </w:pPr>
            <w:r w:rsidRPr="00575778">
              <w:rPr>
                <w:rFonts w:eastAsia="Times New Roman"/>
                <w:bCs/>
                <w:sz w:val="18"/>
                <w:szCs w:val="18"/>
              </w:rPr>
              <w:t>0.6</w:t>
            </w:r>
          </w:p>
        </w:tc>
        <w:tc>
          <w:tcPr>
            <w:tcW w:w="1283" w:type="dxa"/>
            <w:tcBorders>
              <w:top w:val="nil"/>
              <w:left w:val="single" w:sz="4" w:space="0" w:color="auto"/>
              <w:bottom w:val="nil"/>
              <w:right w:val="single" w:sz="4" w:space="0" w:color="auto"/>
            </w:tcBorders>
            <w:vAlign w:val="center"/>
          </w:tcPr>
          <w:p w14:paraId="130888AC" w14:textId="77777777" w:rsidR="00575778" w:rsidRPr="00575778" w:rsidRDefault="00575778" w:rsidP="00D46FA9">
            <w:pPr>
              <w:ind w:right="397"/>
              <w:jc w:val="right"/>
              <w:rPr>
                <w:rFonts w:eastAsia="Times New Roman"/>
                <w:bCs/>
                <w:sz w:val="18"/>
                <w:szCs w:val="18"/>
              </w:rPr>
            </w:pPr>
            <w:r w:rsidRPr="00575778">
              <w:rPr>
                <w:rFonts w:eastAsia="Times New Roman"/>
                <w:bCs/>
                <w:sz w:val="18"/>
                <w:szCs w:val="18"/>
              </w:rPr>
              <w:t>0.4</w:t>
            </w:r>
          </w:p>
        </w:tc>
        <w:tc>
          <w:tcPr>
            <w:tcW w:w="1284" w:type="dxa"/>
            <w:tcBorders>
              <w:top w:val="nil"/>
              <w:left w:val="single" w:sz="4" w:space="0" w:color="auto"/>
              <w:bottom w:val="nil"/>
              <w:right w:val="single" w:sz="4" w:space="0" w:color="auto"/>
            </w:tcBorders>
            <w:vAlign w:val="center"/>
          </w:tcPr>
          <w:p w14:paraId="496FE45C" w14:textId="77777777" w:rsidR="00575778" w:rsidRPr="00575778" w:rsidRDefault="00575778" w:rsidP="00D46FA9">
            <w:pPr>
              <w:ind w:right="397"/>
              <w:jc w:val="right"/>
              <w:rPr>
                <w:rFonts w:eastAsia="Times New Roman"/>
                <w:bCs/>
                <w:sz w:val="18"/>
                <w:szCs w:val="18"/>
              </w:rPr>
            </w:pPr>
            <w:r w:rsidRPr="00575778">
              <w:rPr>
                <w:rFonts w:eastAsia="Times New Roman"/>
                <w:bCs/>
                <w:sz w:val="18"/>
                <w:szCs w:val="18"/>
              </w:rPr>
              <w:t>1.3</w:t>
            </w:r>
          </w:p>
        </w:tc>
        <w:tc>
          <w:tcPr>
            <w:tcW w:w="1284" w:type="dxa"/>
            <w:tcBorders>
              <w:top w:val="nil"/>
              <w:left w:val="single" w:sz="4" w:space="0" w:color="auto"/>
              <w:bottom w:val="nil"/>
              <w:right w:val="single" w:sz="4" w:space="0" w:color="auto"/>
            </w:tcBorders>
            <w:vAlign w:val="center"/>
          </w:tcPr>
          <w:p w14:paraId="649867E6" w14:textId="77777777" w:rsidR="00575778" w:rsidRPr="00575778" w:rsidRDefault="00575778" w:rsidP="00D46FA9">
            <w:pPr>
              <w:ind w:right="397"/>
              <w:jc w:val="right"/>
              <w:rPr>
                <w:rFonts w:eastAsia="Times New Roman"/>
                <w:bCs/>
                <w:sz w:val="18"/>
                <w:szCs w:val="18"/>
              </w:rPr>
            </w:pPr>
            <w:r w:rsidRPr="00575778">
              <w:rPr>
                <w:rFonts w:eastAsia="Times New Roman"/>
                <w:bCs/>
                <w:sz w:val="18"/>
                <w:szCs w:val="18"/>
              </w:rPr>
              <w:t>0.3</w:t>
            </w:r>
          </w:p>
        </w:tc>
      </w:tr>
      <w:tr w:rsidR="00575778" w:rsidRPr="00575778" w14:paraId="67754901" w14:textId="77777777" w:rsidTr="00D46FA9">
        <w:trPr>
          <w:jc w:val="center"/>
        </w:trPr>
        <w:tc>
          <w:tcPr>
            <w:tcW w:w="2410" w:type="dxa"/>
            <w:tcBorders>
              <w:top w:val="nil"/>
              <w:left w:val="single" w:sz="4" w:space="0" w:color="auto"/>
              <w:bottom w:val="nil"/>
              <w:right w:val="single" w:sz="4" w:space="0" w:color="auto"/>
            </w:tcBorders>
            <w:vAlign w:val="center"/>
          </w:tcPr>
          <w:p w14:paraId="5D30DBE4" w14:textId="77777777" w:rsidR="00575778" w:rsidRPr="00575778" w:rsidRDefault="00575778" w:rsidP="00D46FA9">
            <w:pPr>
              <w:rPr>
                <w:rFonts w:eastAsia="Times New Roman"/>
                <w:bCs/>
                <w:sz w:val="18"/>
                <w:szCs w:val="18"/>
              </w:rPr>
            </w:pPr>
            <w:r w:rsidRPr="00575778">
              <w:rPr>
                <w:rFonts w:eastAsia="Times New Roman"/>
                <w:bCs/>
                <w:sz w:val="18"/>
                <w:szCs w:val="18"/>
              </w:rPr>
              <w:t>Reino Unido</w:t>
            </w:r>
          </w:p>
        </w:tc>
        <w:tc>
          <w:tcPr>
            <w:tcW w:w="1283" w:type="dxa"/>
            <w:tcBorders>
              <w:top w:val="nil"/>
              <w:left w:val="single" w:sz="4" w:space="0" w:color="auto"/>
              <w:bottom w:val="nil"/>
              <w:right w:val="single" w:sz="4" w:space="0" w:color="auto"/>
            </w:tcBorders>
            <w:vAlign w:val="center"/>
          </w:tcPr>
          <w:p w14:paraId="3670AE58" w14:textId="77777777" w:rsidR="00575778" w:rsidRPr="00575778" w:rsidRDefault="00575778" w:rsidP="00D46FA9">
            <w:pPr>
              <w:ind w:right="397"/>
              <w:jc w:val="right"/>
              <w:rPr>
                <w:rFonts w:eastAsia="Times New Roman"/>
                <w:bCs/>
                <w:sz w:val="18"/>
                <w:szCs w:val="18"/>
              </w:rPr>
            </w:pPr>
            <w:r w:rsidRPr="00575778">
              <w:rPr>
                <w:rFonts w:eastAsia="Times New Roman"/>
                <w:bCs/>
                <w:sz w:val="18"/>
                <w:szCs w:val="18"/>
              </w:rPr>
              <w:t>2.6</w:t>
            </w:r>
          </w:p>
        </w:tc>
        <w:tc>
          <w:tcPr>
            <w:tcW w:w="1284" w:type="dxa"/>
            <w:tcBorders>
              <w:top w:val="nil"/>
              <w:left w:val="single" w:sz="4" w:space="0" w:color="auto"/>
              <w:bottom w:val="nil"/>
              <w:right w:val="single" w:sz="4" w:space="0" w:color="auto"/>
            </w:tcBorders>
            <w:vAlign w:val="center"/>
          </w:tcPr>
          <w:p w14:paraId="1BDD2AC1" w14:textId="77777777" w:rsidR="00575778" w:rsidRPr="00575778" w:rsidRDefault="00575778" w:rsidP="00D46FA9">
            <w:pPr>
              <w:ind w:right="397"/>
              <w:jc w:val="right"/>
              <w:rPr>
                <w:rFonts w:eastAsia="Times New Roman"/>
                <w:bCs/>
                <w:sz w:val="18"/>
                <w:szCs w:val="18"/>
              </w:rPr>
            </w:pPr>
            <w:r w:rsidRPr="00575778">
              <w:rPr>
                <w:rFonts w:eastAsia="Times New Roman"/>
                <w:bCs/>
                <w:sz w:val="18"/>
                <w:szCs w:val="18"/>
              </w:rPr>
              <w:t>2.6</w:t>
            </w:r>
          </w:p>
        </w:tc>
        <w:tc>
          <w:tcPr>
            <w:tcW w:w="1283" w:type="dxa"/>
            <w:tcBorders>
              <w:top w:val="nil"/>
              <w:left w:val="single" w:sz="4" w:space="0" w:color="auto"/>
              <w:bottom w:val="nil"/>
              <w:right w:val="single" w:sz="4" w:space="0" w:color="auto"/>
            </w:tcBorders>
            <w:vAlign w:val="center"/>
          </w:tcPr>
          <w:p w14:paraId="0EBDFE37" w14:textId="77777777" w:rsidR="00575778" w:rsidRPr="00575778" w:rsidRDefault="00575778" w:rsidP="00D46FA9">
            <w:pPr>
              <w:ind w:right="397"/>
              <w:jc w:val="right"/>
              <w:rPr>
                <w:rFonts w:eastAsia="Times New Roman"/>
                <w:bCs/>
                <w:sz w:val="18"/>
                <w:szCs w:val="18"/>
              </w:rPr>
            </w:pPr>
            <w:r w:rsidRPr="00575778">
              <w:rPr>
                <w:rFonts w:eastAsia="Times New Roman"/>
                <w:bCs/>
                <w:sz w:val="18"/>
                <w:szCs w:val="18"/>
              </w:rPr>
              <w:t>-0.1</w:t>
            </w:r>
          </w:p>
        </w:tc>
        <w:tc>
          <w:tcPr>
            <w:tcW w:w="1284" w:type="dxa"/>
            <w:tcBorders>
              <w:top w:val="nil"/>
              <w:left w:val="single" w:sz="4" w:space="0" w:color="auto"/>
              <w:bottom w:val="nil"/>
              <w:right w:val="single" w:sz="4" w:space="0" w:color="auto"/>
            </w:tcBorders>
            <w:vAlign w:val="center"/>
          </w:tcPr>
          <w:p w14:paraId="29CE3E20" w14:textId="77777777" w:rsidR="00575778" w:rsidRPr="00575778" w:rsidRDefault="00575778" w:rsidP="00D46FA9">
            <w:pPr>
              <w:ind w:right="397"/>
              <w:jc w:val="right"/>
              <w:rPr>
                <w:rFonts w:eastAsia="Times New Roman"/>
                <w:bCs/>
                <w:sz w:val="18"/>
                <w:szCs w:val="18"/>
              </w:rPr>
            </w:pPr>
            <w:r w:rsidRPr="00575778">
              <w:rPr>
                <w:rFonts w:eastAsia="Times New Roman"/>
                <w:bCs/>
                <w:sz w:val="18"/>
                <w:szCs w:val="18"/>
              </w:rPr>
              <w:t>2.5</w:t>
            </w:r>
          </w:p>
        </w:tc>
        <w:tc>
          <w:tcPr>
            <w:tcW w:w="1284" w:type="dxa"/>
            <w:tcBorders>
              <w:top w:val="nil"/>
              <w:left w:val="single" w:sz="4" w:space="0" w:color="auto"/>
              <w:bottom w:val="nil"/>
              <w:right w:val="single" w:sz="4" w:space="0" w:color="auto"/>
            </w:tcBorders>
            <w:vAlign w:val="center"/>
          </w:tcPr>
          <w:p w14:paraId="683229AA" w14:textId="77777777" w:rsidR="00575778" w:rsidRPr="00575778" w:rsidRDefault="00575778" w:rsidP="00D46FA9">
            <w:pPr>
              <w:ind w:right="397"/>
              <w:jc w:val="right"/>
              <w:rPr>
                <w:rFonts w:eastAsia="Times New Roman"/>
                <w:bCs/>
                <w:sz w:val="18"/>
                <w:szCs w:val="18"/>
              </w:rPr>
            </w:pPr>
            <w:r w:rsidRPr="00575778">
              <w:rPr>
                <w:rFonts w:eastAsia="Times New Roman"/>
                <w:bCs/>
                <w:sz w:val="18"/>
                <w:szCs w:val="18"/>
              </w:rPr>
              <w:t>0.0</w:t>
            </w:r>
          </w:p>
        </w:tc>
      </w:tr>
      <w:tr w:rsidR="00575778" w:rsidRPr="00575778" w14:paraId="06EDF71F" w14:textId="77777777" w:rsidTr="00D46FA9">
        <w:trPr>
          <w:jc w:val="center"/>
        </w:trPr>
        <w:tc>
          <w:tcPr>
            <w:tcW w:w="2410" w:type="dxa"/>
            <w:tcBorders>
              <w:top w:val="nil"/>
              <w:left w:val="single" w:sz="4" w:space="0" w:color="auto"/>
              <w:bottom w:val="nil"/>
              <w:right w:val="single" w:sz="4" w:space="0" w:color="auto"/>
            </w:tcBorders>
            <w:vAlign w:val="center"/>
          </w:tcPr>
          <w:p w14:paraId="197E9AEF" w14:textId="77777777" w:rsidR="00575778" w:rsidRPr="00575778" w:rsidRDefault="00575778" w:rsidP="00D46FA9">
            <w:pPr>
              <w:rPr>
                <w:rFonts w:eastAsia="Times New Roman"/>
                <w:bCs/>
                <w:sz w:val="18"/>
                <w:szCs w:val="18"/>
              </w:rPr>
            </w:pPr>
            <w:r w:rsidRPr="00575778">
              <w:rPr>
                <w:rFonts w:eastAsia="Times New Roman"/>
                <w:bCs/>
                <w:sz w:val="18"/>
                <w:szCs w:val="18"/>
              </w:rPr>
              <w:t>Canadá</w:t>
            </w:r>
          </w:p>
        </w:tc>
        <w:tc>
          <w:tcPr>
            <w:tcW w:w="1283" w:type="dxa"/>
            <w:tcBorders>
              <w:top w:val="nil"/>
              <w:left w:val="single" w:sz="4" w:space="0" w:color="auto"/>
              <w:bottom w:val="nil"/>
              <w:right w:val="single" w:sz="4" w:space="0" w:color="auto"/>
            </w:tcBorders>
            <w:vAlign w:val="center"/>
          </w:tcPr>
          <w:p w14:paraId="290A880F" w14:textId="77777777" w:rsidR="00575778" w:rsidRPr="00575778" w:rsidRDefault="00575778" w:rsidP="00D46FA9">
            <w:pPr>
              <w:ind w:right="397"/>
              <w:jc w:val="right"/>
              <w:rPr>
                <w:rFonts w:eastAsia="Times New Roman"/>
                <w:bCs/>
                <w:sz w:val="18"/>
                <w:szCs w:val="18"/>
              </w:rPr>
            </w:pPr>
            <w:r w:rsidRPr="00575778">
              <w:rPr>
                <w:rFonts w:eastAsia="Times New Roman"/>
                <w:bCs/>
                <w:sz w:val="18"/>
                <w:szCs w:val="18"/>
              </w:rPr>
              <w:t>2.5</w:t>
            </w:r>
          </w:p>
        </w:tc>
        <w:tc>
          <w:tcPr>
            <w:tcW w:w="1284" w:type="dxa"/>
            <w:tcBorders>
              <w:top w:val="nil"/>
              <w:left w:val="single" w:sz="4" w:space="0" w:color="auto"/>
              <w:bottom w:val="nil"/>
              <w:right w:val="single" w:sz="4" w:space="0" w:color="auto"/>
            </w:tcBorders>
            <w:vAlign w:val="center"/>
          </w:tcPr>
          <w:p w14:paraId="14127AFF" w14:textId="77777777" w:rsidR="00575778" w:rsidRPr="00575778" w:rsidRDefault="00575778" w:rsidP="00D46FA9">
            <w:pPr>
              <w:ind w:right="397"/>
              <w:jc w:val="right"/>
              <w:rPr>
                <w:rFonts w:eastAsia="Times New Roman"/>
                <w:bCs/>
                <w:sz w:val="18"/>
                <w:szCs w:val="18"/>
              </w:rPr>
            </w:pPr>
            <w:r w:rsidRPr="00575778">
              <w:rPr>
                <w:rFonts w:eastAsia="Times New Roman"/>
                <w:bCs/>
                <w:sz w:val="18"/>
                <w:szCs w:val="18"/>
              </w:rPr>
              <w:t>2.2</w:t>
            </w:r>
          </w:p>
        </w:tc>
        <w:tc>
          <w:tcPr>
            <w:tcW w:w="1283" w:type="dxa"/>
            <w:tcBorders>
              <w:top w:val="nil"/>
              <w:left w:val="single" w:sz="4" w:space="0" w:color="auto"/>
              <w:bottom w:val="nil"/>
              <w:right w:val="single" w:sz="4" w:space="0" w:color="auto"/>
            </w:tcBorders>
            <w:vAlign w:val="center"/>
          </w:tcPr>
          <w:p w14:paraId="2405506C" w14:textId="77777777" w:rsidR="00575778" w:rsidRPr="00575778" w:rsidRDefault="00575778" w:rsidP="00D46FA9">
            <w:pPr>
              <w:ind w:right="397"/>
              <w:jc w:val="right"/>
              <w:rPr>
                <w:rFonts w:eastAsia="Times New Roman"/>
                <w:bCs/>
                <w:sz w:val="18"/>
                <w:szCs w:val="18"/>
              </w:rPr>
            </w:pPr>
            <w:r w:rsidRPr="00575778">
              <w:rPr>
                <w:rFonts w:eastAsia="Times New Roman"/>
                <w:bCs/>
                <w:sz w:val="18"/>
                <w:szCs w:val="18"/>
              </w:rPr>
              <w:t>-0.4</w:t>
            </w:r>
          </w:p>
        </w:tc>
        <w:tc>
          <w:tcPr>
            <w:tcW w:w="1284" w:type="dxa"/>
            <w:tcBorders>
              <w:top w:val="nil"/>
              <w:left w:val="single" w:sz="4" w:space="0" w:color="auto"/>
              <w:bottom w:val="nil"/>
              <w:right w:val="single" w:sz="4" w:space="0" w:color="auto"/>
            </w:tcBorders>
            <w:vAlign w:val="center"/>
          </w:tcPr>
          <w:p w14:paraId="7AEAF328" w14:textId="77777777" w:rsidR="00575778" w:rsidRPr="00575778" w:rsidRDefault="00575778" w:rsidP="00D46FA9">
            <w:pPr>
              <w:ind w:right="397"/>
              <w:jc w:val="right"/>
              <w:rPr>
                <w:rFonts w:eastAsia="Times New Roman"/>
                <w:bCs/>
                <w:sz w:val="18"/>
                <w:szCs w:val="18"/>
              </w:rPr>
            </w:pPr>
            <w:r w:rsidRPr="00575778">
              <w:rPr>
                <w:rFonts w:eastAsia="Times New Roman"/>
                <w:bCs/>
                <w:sz w:val="18"/>
                <w:szCs w:val="18"/>
              </w:rPr>
              <w:t>2.1</w:t>
            </w:r>
          </w:p>
        </w:tc>
        <w:tc>
          <w:tcPr>
            <w:tcW w:w="1284" w:type="dxa"/>
            <w:tcBorders>
              <w:top w:val="nil"/>
              <w:left w:val="single" w:sz="4" w:space="0" w:color="auto"/>
              <w:bottom w:val="nil"/>
              <w:right w:val="single" w:sz="4" w:space="0" w:color="auto"/>
            </w:tcBorders>
            <w:vAlign w:val="center"/>
          </w:tcPr>
          <w:p w14:paraId="227F4104" w14:textId="77777777" w:rsidR="00575778" w:rsidRPr="00575778" w:rsidRDefault="00575778" w:rsidP="00D46FA9">
            <w:pPr>
              <w:ind w:right="397"/>
              <w:jc w:val="right"/>
              <w:rPr>
                <w:rFonts w:eastAsia="Times New Roman"/>
                <w:bCs/>
                <w:sz w:val="18"/>
                <w:szCs w:val="18"/>
              </w:rPr>
            </w:pPr>
            <w:r w:rsidRPr="00575778">
              <w:rPr>
                <w:rFonts w:eastAsia="Times New Roman"/>
                <w:bCs/>
                <w:sz w:val="18"/>
                <w:szCs w:val="18"/>
              </w:rPr>
              <w:t>-0.3</w:t>
            </w:r>
          </w:p>
        </w:tc>
      </w:tr>
      <w:tr w:rsidR="00575778" w:rsidRPr="00575778" w14:paraId="1058D9F8" w14:textId="77777777" w:rsidTr="00D46FA9">
        <w:trPr>
          <w:jc w:val="center"/>
        </w:trPr>
        <w:tc>
          <w:tcPr>
            <w:tcW w:w="2410" w:type="dxa"/>
            <w:tcBorders>
              <w:top w:val="nil"/>
              <w:left w:val="single" w:sz="4" w:space="0" w:color="auto"/>
              <w:bottom w:val="nil"/>
              <w:right w:val="single" w:sz="4" w:space="0" w:color="auto"/>
            </w:tcBorders>
            <w:vAlign w:val="center"/>
          </w:tcPr>
          <w:p w14:paraId="722E0A5E" w14:textId="77777777" w:rsidR="00575778" w:rsidRPr="00575778" w:rsidRDefault="00575778" w:rsidP="00D46FA9">
            <w:pPr>
              <w:rPr>
                <w:rFonts w:eastAsia="Times New Roman"/>
                <w:bCs/>
                <w:sz w:val="18"/>
                <w:szCs w:val="18"/>
              </w:rPr>
            </w:pPr>
            <w:r w:rsidRPr="00575778">
              <w:rPr>
                <w:rFonts w:eastAsia="Times New Roman"/>
                <w:bCs/>
                <w:sz w:val="18"/>
                <w:szCs w:val="18"/>
              </w:rPr>
              <w:t>China</w:t>
            </w:r>
          </w:p>
        </w:tc>
        <w:tc>
          <w:tcPr>
            <w:tcW w:w="1283" w:type="dxa"/>
            <w:tcBorders>
              <w:top w:val="nil"/>
              <w:left w:val="single" w:sz="4" w:space="0" w:color="auto"/>
              <w:bottom w:val="nil"/>
              <w:right w:val="single" w:sz="4" w:space="0" w:color="auto"/>
            </w:tcBorders>
            <w:vAlign w:val="center"/>
          </w:tcPr>
          <w:p w14:paraId="6B50BB7F" w14:textId="77777777" w:rsidR="00575778" w:rsidRPr="00575778" w:rsidRDefault="00575778" w:rsidP="00D46FA9">
            <w:pPr>
              <w:ind w:right="397"/>
              <w:jc w:val="right"/>
              <w:rPr>
                <w:rFonts w:eastAsia="Times New Roman"/>
                <w:bCs/>
                <w:sz w:val="18"/>
                <w:szCs w:val="18"/>
              </w:rPr>
            </w:pPr>
            <w:r w:rsidRPr="00575778">
              <w:rPr>
                <w:rFonts w:eastAsia="Times New Roman"/>
                <w:bCs/>
                <w:sz w:val="18"/>
                <w:szCs w:val="18"/>
              </w:rPr>
              <w:t>7.4</w:t>
            </w:r>
          </w:p>
        </w:tc>
        <w:tc>
          <w:tcPr>
            <w:tcW w:w="1284" w:type="dxa"/>
            <w:tcBorders>
              <w:top w:val="nil"/>
              <w:left w:val="single" w:sz="4" w:space="0" w:color="auto"/>
              <w:bottom w:val="nil"/>
              <w:right w:val="single" w:sz="4" w:space="0" w:color="auto"/>
            </w:tcBorders>
            <w:vAlign w:val="center"/>
          </w:tcPr>
          <w:p w14:paraId="1335E103" w14:textId="77777777" w:rsidR="00575778" w:rsidRPr="00575778" w:rsidRDefault="00575778" w:rsidP="00D46FA9">
            <w:pPr>
              <w:ind w:right="397"/>
              <w:jc w:val="right"/>
              <w:rPr>
                <w:rFonts w:eastAsia="Times New Roman"/>
                <w:bCs/>
                <w:sz w:val="18"/>
                <w:szCs w:val="18"/>
              </w:rPr>
            </w:pPr>
            <w:r w:rsidRPr="00575778">
              <w:rPr>
                <w:rFonts w:eastAsia="Times New Roman"/>
                <w:bCs/>
                <w:sz w:val="18"/>
                <w:szCs w:val="18"/>
              </w:rPr>
              <w:t>7.0</w:t>
            </w:r>
          </w:p>
        </w:tc>
        <w:tc>
          <w:tcPr>
            <w:tcW w:w="1283" w:type="dxa"/>
            <w:tcBorders>
              <w:top w:val="nil"/>
              <w:left w:val="single" w:sz="4" w:space="0" w:color="auto"/>
              <w:bottom w:val="nil"/>
              <w:right w:val="single" w:sz="4" w:space="0" w:color="auto"/>
            </w:tcBorders>
            <w:vAlign w:val="center"/>
          </w:tcPr>
          <w:p w14:paraId="1505FCE5" w14:textId="77777777" w:rsidR="00575778" w:rsidRPr="00575778" w:rsidRDefault="00575778" w:rsidP="00D46FA9">
            <w:pPr>
              <w:ind w:right="397"/>
              <w:jc w:val="right"/>
              <w:rPr>
                <w:rFonts w:eastAsia="Times New Roman"/>
                <w:bCs/>
                <w:sz w:val="18"/>
                <w:szCs w:val="18"/>
              </w:rPr>
            </w:pPr>
            <w:r w:rsidRPr="00575778">
              <w:rPr>
                <w:rFonts w:eastAsia="Times New Roman"/>
                <w:bCs/>
                <w:sz w:val="18"/>
                <w:szCs w:val="18"/>
              </w:rPr>
              <w:t>-0.1</w:t>
            </w:r>
          </w:p>
        </w:tc>
        <w:tc>
          <w:tcPr>
            <w:tcW w:w="1284" w:type="dxa"/>
            <w:tcBorders>
              <w:top w:val="nil"/>
              <w:left w:val="single" w:sz="4" w:space="0" w:color="auto"/>
              <w:bottom w:val="nil"/>
              <w:right w:val="single" w:sz="4" w:space="0" w:color="auto"/>
            </w:tcBorders>
            <w:vAlign w:val="center"/>
          </w:tcPr>
          <w:p w14:paraId="21C397A3" w14:textId="77777777" w:rsidR="00575778" w:rsidRPr="00575778" w:rsidRDefault="00575778" w:rsidP="00D46FA9">
            <w:pPr>
              <w:ind w:right="397"/>
              <w:jc w:val="right"/>
              <w:rPr>
                <w:rFonts w:eastAsia="Times New Roman"/>
                <w:bCs/>
                <w:sz w:val="18"/>
                <w:szCs w:val="18"/>
              </w:rPr>
            </w:pPr>
            <w:r w:rsidRPr="00575778">
              <w:rPr>
                <w:rFonts w:eastAsia="Times New Roman"/>
                <w:bCs/>
                <w:sz w:val="18"/>
                <w:szCs w:val="18"/>
              </w:rPr>
              <w:t>6.9</w:t>
            </w:r>
          </w:p>
        </w:tc>
        <w:tc>
          <w:tcPr>
            <w:tcW w:w="1284" w:type="dxa"/>
            <w:tcBorders>
              <w:top w:val="nil"/>
              <w:left w:val="single" w:sz="4" w:space="0" w:color="auto"/>
              <w:bottom w:val="nil"/>
              <w:right w:val="single" w:sz="4" w:space="0" w:color="auto"/>
            </w:tcBorders>
            <w:vAlign w:val="center"/>
          </w:tcPr>
          <w:p w14:paraId="679D15C3" w14:textId="77777777" w:rsidR="00575778" w:rsidRPr="00575778" w:rsidRDefault="00575778" w:rsidP="00D46FA9">
            <w:pPr>
              <w:ind w:right="397"/>
              <w:jc w:val="right"/>
              <w:rPr>
                <w:rFonts w:eastAsia="Times New Roman"/>
                <w:bCs/>
                <w:sz w:val="18"/>
                <w:szCs w:val="18"/>
              </w:rPr>
            </w:pPr>
            <w:r w:rsidRPr="00575778">
              <w:rPr>
                <w:rFonts w:eastAsia="Times New Roman"/>
                <w:bCs/>
                <w:sz w:val="18"/>
                <w:szCs w:val="18"/>
              </w:rPr>
              <w:t>0.0</w:t>
            </w:r>
          </w:p>
        </w:tc>
      </w:tr>
      <w:tr w:rsidR="00575778" w:rsidRPr="00575778" w14:paraId="19F3D3ED" w14:textId="77777777" w:rsidTr="00D46FA9">
        <w:trPr>
          <w:jc w:val="center"/>
        </w:trPr>
        <w:tc>
          <w:tcPr>
            <w:tcW w:w="2410" w:type="dxa"/>
            <w:tcBorders>
              <w:top w:val="nil"/>
              <w:left w:val="single" w:sz="4" w:space="0" w:color="auto"/>
              <w:bottom w:val="nil"/>
              <w:right w:val="single" w:sz="4" w:space="0" w:color="auto"/>
            </w:tcBorders>
            <w:vAlign w:val="center"/>
          </w:tcPr>
          <w:p w14:paraId="3BAEC9CC" w14:textId="77777777" w:rsidR="00575778" w:rsidRPr="00575778" w:rsidRDefault="00575778" w:rsidP="00D46FA9">
            <w:pPr>
              <w:rPr>
                <w:rFonts w:eastAsia="Times New Roman"/>
                <w:bCs/>
                <w:sz w:val="18"/>
                <w:szCs w:val="18"/>
              </w:rPr>
            </w:pPr>
            <w:r w:rsidRPr="00575778">
              <w:rPr>
                <w:rFonts w:eastAsia="Times New Roman"/>
                <w:bCs/>
                <w:sz w:val="18"/>
                <w:szCs w:val="18"/>
              </w:rPr>
              <w:t>India</w:t>
            </w:r>
          </w:p>
        </w:tc>
        <w:tc>
          <w:tcPr>
            <w:tcW w:w="1283" w:type="dxa"/>
            <w:tcBorders>
              <w:top w:val="nil"/>
              <w:left w:val="single" w:sz="4" w:space="0" w:color="auto"/>
              <w:bottom w:val="nil"/>
              <w:right w:val="single" w:sz="4" w:space="0" w:color="auto"/>
            </w:tcBorders>
            <w:vAlign w:val="center"/>
          </w:tcPr>
          <w:p w14:paraId="3B80749F" w14:textId="77777777" w:rsidR="00575778" w:rsidRPr="00575778" w:rsidRDefault="00575778" w:rsidP="00D46FA9">
            <w:pPr>
              <w:ind w:right="397"/>
              <w:jc w:val="right"/>
              <w:rPr>
                <w:rFonts w:eastAsia="Times New Roman"/>
                <w:bCs/>
                <w:sz w:val="18"/>
                <w:szCs w:val="18"/>
              </w:rPr>
            </w:pPr>
            <w:r w:rsidRPr="00575778">
              <w:rPr>
                <w:rFonts w:eastAsia="Times New Roman"/>
                <w:bCs/>
                <w:sz w:val="18"/>
                <w:szCs w:val="18"/>
              </w:rPr>
              <w:t>7.3</w:t>
            </w:r>
          </w:p>
        </w:tc>
        <w:tc>
          <w:tcPr>
            <w:tcW w:w="1284" w:type="dxa"/>
            <w:tcBorders>
              <w:top w:val="nil"/>
              <w:left w:val="single" w:sz="4" w:space="0" w:color="auto"/>
              <w:bottom w:val="nil"/>
              <w:right w:val="single" w:sz="4" w:space="0" w:color="auto"/>
            </w:tcBorders>
            <w:vAlign w:val="center"/>
          </w:tcPr>
          <w:p w14:paraId="4A06C59D" w14:textId="77777777" w:rsidR="00575778" w:rsidRPr="00575778" w:rsidRDefault="00575778" w:rsidP="00D46FA9">
            <w:pPr>
              <w:ind w:right="397"/>
              <w:jc w:val="right"/>
              <w:rPr>
                <w:rFonts w:eastAsia="Times New Roman"/>
                <w:bCs/>
                <w:sz w:val="18"/>
                <w:szCs w:val="18"/>
              </w:rPr>
            </w:pPr>
            <w:r w:rsidRPr="00575778">
              <w:rPr>
                <w:rFonts w:eastAsia="Times New Roman"/>
                <w:bCs/>
                <w:sz w:val="18"/>
                <w:szCs w:val="18"/>
              </w:rPr>
              <w:t>7.7</w:t>
            </w:r>
          </w:p>
        </w:tc>
        <w:tc>
          <w:tcPr>
            <w:tcW w:w="1283" w:type="dxa"/>
            <w:tcBorders>
              <w:top w:val="nil"/>
              <w:left w:val="single" w:sz="4" w:space="0" w:color="auto"/>
              <w:bottom w:val="nil"/>
              <w:right w:val="single" w:sz="4" w:space="0" w:color="auto"/>
            </w:tcBorders>
            <w:vAlign w:val="center"/>
          </w:tcPr>
          <w:p w14:paraId="00D7E750" w14:textId="77777777" w:rsidR="00575778" w:rsidRPr="00575778" w:rsidRDefault="00575778" w:rsidP="00D46FA9">
            <w:pPr>
              <w:ind w:right="397"/>
              <w:jc w:val="right"/>
              <w:rPr>
                <w:rFonts w:eastAsia="Times New Roman"/>
                <w:bCs/>
                <w:sz w:val="18"/>
                <w:szCs w:val="18"/>
              </w:rPr>
            </w:pPr>
            <w:r w:rsidRPr="00575778">
              <w:rPr>
                <w:rFonts w:eastAsia="Times New Roman"/>
                <w:bCs/>
                <w:sz w:val="18"/>
                <w:szCs w:val="18"/>
              </w:rPr>
              <w:t>1.3</w:t>
            </w:r>
          </w:p>
        </w:tc>
        <w:tc>
          <w:tcPr>
            <w:tcW w:w="1284" w:type="dxa"/>
            <w:tcBorders>
              <w:top w:val="nil"/>
              <w:left w:val="single" w:sz="4" w:space="0" w:color="auto"/>
              <w:bottom w:val="nil"/>
              <w:right w:val="single" w:sz="4" w:space="0" w:color="auto"/>
            </w:tcBorders>
            <w:vAlign w:val="center"/>
          </w:tcPr>
          <w:p w14:paraId="75D1A247" w14:textId="77777777" w:rsidR="00575778" w:rsidRPr="00575778" w:rsidRDefault="00575778" w:rsidP="00D46FA9">
            <w:pPr>
              <w:ind w:right="397"/>
              <w:jc w:val="right"/>
              <w:rPr>
                <w:rFonts w:eastAsia="Times New Roman"/>
                <w:bCs/>
                <w:sz w:val="18"/>
                <w:szCs w:val="18"/>
              </w:rPr>
            </w:pPr>
            <w:r w:rsidRPr="00575778">
              <w:rPr>
                <w:rFonts w:eastAsia="Times New Roman"/>
                <w:bCs/>
                <w:sz w:val="18"/>
                <w:szCs w:val="18"/>
              </w:rPr>
              <w:t>8.0</w:t>
            </w:r>
          </w:p>
        </w:tc>
        <w:tc>
          <w:tcPr>
            <w:tcW w:w="1284" w:type="dxa"/>
            <w:tcBorders>
              <w:top w:val="nil"/>
              <w:left w:val="single" w:sz="4" w:space="0" w:color="auto"/>
              <w:bottom w:val="nil"/>
              <w:right w:val="single" w:sz="4" w:space="0" w:color="auto"/>
            </w:tcBorders>
            <w:vAlign w:val="center"/>
          </w:tcPr>
          <w:p w14:paraId="064B832C" w14:textId="77777777" w:rsidR="00575778" w:rsidRPr="00575778" w:rsidRDefault="00575778" w:rsidP="00D46FA9">
            <w:pPr>
              <w:ind w:right="397"/>
              <w:jc w:val="right"/>
              <w:rPr>
                <w:rFonts w:eastAsia="Times New Roman"/>
                <w:bCs/>
                <w:sz w:val="18"/>
                <w:szCs w:val="18"/>
              </w:rPr>
            </w:pPr>
            <w:r w:rsidRPr="00575778">
              <w:rPr>
                <w:rFonts w:eastAsia="Times New Roman"/>
                <w:bCs/>
                <w:sz w:val="18"/>
                <w:szCs w:val="18"/>
              </w:rPr>
              <w:t>1.4</w:t>
            </w:r>
          </w:p>
        </w:tc>
      </w:tr>
      <w:tr w:rsidR="00575778" w:rsidRPr="00575778" w14:paraId="038BC06A" w14:textId="77777777" w:rsidTr="00D46FA9">
        <w:trPr>
          <w:jc w:val="center"/>
        </w:trPr>
        <w:tc>
          <w:tcPr>
            <w:tcW w:w="2410" w:type="dxa"/>
            <w:tcBorders>
              <w:top w:val="nil"/>
              <w:left w:val="single" w:sz="4" w:space="0" w:color="auto"/>
              <w:bottom w:val="nil"/>
              <w:right w:val="single" w:sz="4" w:space="0" w:color="auto"/>
            </w:tcBorders>
            <w:vAlign w:val="center"/>
          </w:tcPr>
          <w:p w14:paraId="3A15F3A1" w14:textId="77777777" w:rsidR="00575778" w:rsidRPr="00575778" w:rsidRDefault="00575778" w:rsidP="00D46FA9">
            <w:pPr>
              <w:rPr>
                <w:rFonts w:eastAsia="Times New Roman"/>
                <w:bCs/>
                <w:sz w:val="18"/>
                <w:szCs w:val="18"/>
              </w:rPr>
            </w:pPr>
            <w:r w:rsidRPr="00575778">
              <w:rPr>
                <w:rFonts w:eastAsia="Times New Roman"/>
                <w:bCs/>
                <w:sz w:val="18"/>
                <w:szCs w:val="18"/>
              </w:rPr>
              <w:t>Brasil</w:t>
            </w:r>
          </w:p>
        </w:tc>
        <w:tc>
          <w:tcPr>
            <w:tcW w:w="1283" w:type="dxa"/>
            <w:tcBorders>
              <w:top w:val="nil"/>
              <w:left w:val="single" w:sz="4" w:space="0" w:color="auto"/>
              <w:bottom w:val="nil"/>
              <w:right w:val="single" w:sz="4" w:space="0" w:color="auto"/>
            </w:tcBorders>
            <w:vAlign w:val="center"/>
          </w:tcPr>
          <w:p w14:paraId="77303ABB" w14:textId="77777777" w:rsidR="00575778" w:rsidRPr="00575778" w:rsidRDefault="00575778" w:rsidP="00D46FA9">
            <w:pPr>
              <w:ind w:right="397"/>
              <w:jc w:val="right"/>
              <w:rPr>
                <w:rFonts w:eastAsia="Times New Roman"/>
                <w:bCs/>
                <w:sz w:val="18"/>
                <w:szCs w:val="18"/>
              </w:rPr>
            </w:pPr>
            <w:r w:rsidRPr="00575778">
              <w:rPr>
                <w:rFonts w:eastAsia="Times New Roman"/>
                <w:bCs/>
                <w:sz w:val="18"/>
                <w:szCs w:val="18"/>
              </w:rPr>
              <w:t>0.0</w:t>
            </w:r>
          </w:p>
        </w:tc>
        <w:tc>
          <w:tcPr>
            <w:tcW w:w="1284" w:type="dxa"/>
            <w:tcBorders>
              <w:top w:val="nil"/>
              <w:left w:val="single" w:sz="4" w:space="0" w:color="auto"/>
              <w:bottom w:val="nil"/>
              <w:right w:val="single" w:sz="4" w:space="0" w:color="auto"/>
            </w:tcBorders>
            <w:vAlign w:val="center"/>
          </w:tcPr>
          <w:p w14:paraId="104A1092" w14:textId="77777777" w:rsidR="00575778" w:rsidRPr="00575778" w:rsidRDefault="00575778" w:rsidP="00D46FA9">
            <w:pPr>
              <w:ind w:right="397"/>
              <w:jc w:val="right"/>
              <w:rPr>
                <w:rFonts w:eastAsia="Times New Roman"/>
                <w:bCs/>
                <w:sz w:val="18"/>
                <w:szCs w:val="18"/>
              </w:rPr>
            </w:pPr>
            <w:r w:rsidRPr="00575778">
              <w:rPr>
                <w:rFonts w:eastAsia="Times New Roman"/>
                <w:bCs/>
                <w:sz w:val="18"/>
                <w:szCs w:val="18"/>
              </w:rPr>
              <w:t>-0.5</w:t>
            </w:r>
          </w:p>
        </w:tc>
        <w:tc>
          <w:tcPr>
            <w:tcW w:w="1283" w:type="dxa"/>
            <w:tcBorders>
              <w:top w:val="nil"/>
              <w:left w:val="single" w:sz="4" w:space="0" w:color="auto"/>
              <w:bottom w:val="nil"/>
              <w:right w:val="single" w:sz="4" w:space="0" w:color="auto"/>
            </w:tcBorders>
            <w:vAlign w:val="center"/>
          </w:tcPr>
          <w:p w14:paraId="046A759A" w14:textId="77777777" w:rsidR="00575778" w:rsidRPr="00575778" w:rsidRDefault="00575778" w:rsidP="00D46FA9">
            <w:pPr>
              <w:ind w:right="397"/>
              <w:jc w:val="right"/>
              <w:rPr>
                <w:rFonts w:eastAsia="Times New Roman"/>
                <w:bCs/>
                <w:sz w:val="18"/>
                <w:szCs w:val="18"/>
              </w:rPr>
            </w:pPr>
            <w:r w:rsidRPr="00575778">
              <w:rPr>
                <w:rFonts w:eastAsia="Times New Roman"/>
                <w:bCs/>
                <w:sz w:val="18"/>
                <w:szCs w:val="18"/>
              </w:rPr>
              <w:t>-2.0</w:t>
            </w:r>
          </w:p>
        </w:tc>
        <w:tc>
          <w:tcPr>
            <w:tcW w:w="1284" w:type="dxa"/>
            <w:tcBorders>
              <w:top w:val="nil"/>
              <w:left w:val="single" w:sz="4" w:space="0" w:color="auto"/>
              <w:bottom w:val="nil"/>
              <w:right w:val="single" w:sz="4" w:space="0" w:color="auto"/>
            </w:tcBorders>
            <w:vAlign w:val="center"/>
          </w:tcPr>
          <w:p w14:paraId="032E5025" w14:textId="77777777" w:rsidR="00575778" w:rsidRPr="00575778" w:rsidRDefault="00575778" w:rsidP="00D46FA9">
            <w:pPr>
              <w:ind w:right="397"/>
              <w:jc w:val="right"/>
              <w:rPr>
                <w:rFonts w:eastAsia="Times New Roman"/>
                <w:bCs/>
                <w:sz w:val="18"/>
                <w:szCs w:val="18"/>
              </w:rPr>
            </w:pPr>
            <w:r w:rsidRPr="00575778">
              <w:rPr>
                <w:rFonts w:eastAsia="Times New Roman"/>
                <w:bCs/>
                <w:sz w:val="18"/>
                <w:szCs w:val="18"/>
              </w:rPr>
              <w:t>1.2</w:t>
            </w:r>
          </w:p>
        </w:tc>
        <w:tc>
          <w:tcPr>
            <w:tcW w:w="1284" w:type="dxa"/>
            <w:tcBorders>
              <w:top w:val="nil"/>
              <w:left w:val="single" w:sz="4" w:space="0" w:color="auto"/>
              <w:bottom w:val="nil"/>
              <w:right w:val="single" w:sz="4" w:space="0" w:color="auto"/>
            </w:tcBorders>
            <w:vAlign w:val="center"/>
          </w:tcPr>
          <w:p w14:paraId="22C53B96" w14:textId="77777777" w:rsidR="00575778" w:rsidRPr="00575778" w:rsidRDefault="00575778" w:rsidP="00D46FA9">
            <w:pPr>
              <w:ind w:right="397"/>
              <w:jc w:val="right"/>
              <w:rPr>
                <w:rFonts w:eastAsia="Times New Roman"/>
                <w:bCs/>
                <w:sz w:val="18"/>
                <w:szCs w:val="18"/>
              </w:rPr>
            </w:pPr>
            <w:r w:rsidRPr="00575778">
              <w:rPr>
                <w:rFonts w:eastAsia="Times New Roman"/>
                <w:bCs/>
                <w:sz w:val="18"/>
                <w:szCs w:val="18"/>
              </w:rPr>
              <w:t>-0.8</w:t>
            </w:r>
          </w:p>
        </w:tc>
      </w:tr>
      <w:tr w:rsidR="00575778" w:rsidRPr="00575778" w14:paraId="37AD85CC" w14:textId="77777777" w:rsidTr="00D46FA9">
        <w:trPr>
          <w:jc w:val="center"/>
        </w:trPr>
        <w:tc>
          <w:tcPr>
            <w:tcW w:w="2410" w:type="dxa"/>
            <w:tcBorders>
              <w:top w:val="nil"/>
              <w:left w:val="single" w:sz="4" w:space="0" w:color="auto"/>
              <w:bottom w:val="single" w:sz="4" w:space="0" w:color="auto"/>
              <w:right w:val="single" w:sz="4" w:space="0" w:color="auto"/>
            </w:tcBorders>
            <w:vAlign w:val="center"/>
          </w:tcPr>
          <w:p w14:paraId="23616199" w14:textId="77777777" w:rsidR="00575778" w:rsidRPr="00575778" w:rsidRDefault="00575778" w:rsidP="00D46FA9">
            <w:pPr>
              <w:rPr>
                <w:rFonts w:eastAsia="Times New Roman"/>
                <w:bCs/>
                <w:sz w:val="18"/>
                <w:szCs w:val="18"/>
              </w:rPr>
            </w:pPr>
            <w:r w:rsidRPr="00575778">
              <w:rPr>
                <w:rFonts w:eastAsia="Times New Roman"/>
                <w:bCs/>
                <w:sz w:val="18"/>
                <w:szCs w:val="18"/>
              </w:rPr>
              <w:t xml:space="preserve">Agregado </w:t>
            </w:r>
            <w:r w:rsidRPr="00575778">
              <w:rPr>
                <w:rFonts w:eastAsia="Times New Roman"/>
                <w:bCs/>
                <w:sz w:val="18"/>
                <w:szCs w:val="18"/>
                <w:u w:val="single"/>
                <w:vertAlign w:val="superscript"/>
              </w:rPr>
              <w:t>2</w:t>
            </w:r>
            <w:r w:rsidRPr="00575778">
              <w:rPr>
                <w:rFonts w:eastAsia="Times New Roman"/>
                <w:bCs/>
                <w:sz w:val="18"/>
                <w:szCs w:val="18"/>
                <w:vertAlign w:val="superscript"/>
              </w:rPr>
              <w:t>/</w:t>
            </w:r>
          </w:p>
        </w:tc>
        <w:tc>
          <w:tcPr>
            <w:tcW w:w="1283" w:type="dxa"/>
            <w:tcBorders>
              <w:top w:val="nil"/>
              <w:left w:val="single" w:sz="4" w:space="0" w:color="auto"/>
              <w:bottom w:val="single" w:sz="4" w:space="0" w:color="auto"/>
              <w:right w:val="single" w:sz="4" w:space="0" w:color="auto"/>
            </w:tcBorders>
            <w:vAlign w:val="center"/>
          </w:tcPr>
          <w:p w14:paraId="69EA022C" w14:textId="77777777" w:rsidR="00575778" w:rsidRPr="00575778" w:rsidRDefault="00575778" w:rsidP="00D46FA9">
            <w:pPr>
              <w:ind w:right="397"/>
              <w:jc w:val="right"/>
              <w:rPr>
                <w:rFonts w:eastAsia="Times New Roman"/>
                <w:bCs/>
                <w:sz w:val="18"/>
                <w:szCs w:val="18"/>
              </w:rPr>
            </w:pPr>
            <w:r w:rsidRPr="00575778">
              <w:rPr>
                <w:rFonts w:eastAsia="Times New Roman"/>
                <w:bCs/>
                <w:sz w:val="18"/>
                <w:szCs w:val="18"/>
              </w:rPr>
              <w:t>3.7</w:t>
            </w:r>
          </w:p>
        </w:tc>
        <w:tc>
          <w:tcPr>
            <w:tcW w:w="1284" w:type="dxa"/>
            <w:tcBorders>
              <w:top w:val="nil"/>
              <w:left w:val="single" w:sz="4" w:space="0" w:color="auto"/>
              <w:bottom w:val="single" w:sz="4" w:space="0" w:color="auto"/>
              <w:right w:val="single" w:sz="4" w:space="0" w:color="auto"/>
            </w:tcBorders>
            <w:vAlign w:val="center"/>
          </w:tcPr>
          <w:p w14:paraId="516238C9" w14:textId="77777777" w:rsidR="00575778" w:rsidRPr="00575778" w:rsidRDefault="00575778" w:rsidP="00D46FA9">
            <w:pPr>
              <w:ind w:right="397"/>
              <w:jc w:val="right"/>
              <w:rPr>
                <w:rFonts w:eastAsia="Times New Roman"/>
                <w:bCs/>
                <w:sz w:val="18"/>
                <w:szCs w:val="18"/>
              </w:rPr>
            </w:pPr>
            <w:r w:rsidRPr="00575778">
              <w:rPr>
                <w:rFonts w:eastAsia="Times New Roman"/>
                <w:bCs/>
                <w:sz w:val="18"/>
                <w:szCs w:val="18"/>
              </w:rPr>
              <w:t>4.0</w:t>
            </w:r>
          </w:p>
        </w:tc>
        <w:tc>
          <w:tcPr>
            <w:tcW w:w="1283" w:type="dxa"/>
            <w:tcBorders>
              <w:top w:val="nil"/>
              <w:left w:val="single" w:sz="4" w:space="0" w:color="auto"/>
              <w:bottom w:val="single" w:sz="4" w:space="0" w:color="auto"/>
              <w:right w:val="single" w:sz="4" w:space="0" w:color="auto"/>
            </w:tcBorders>
            <w:vAlign w:val="center"/>
          </w:tcPr>
          <w:p w14:paraId="402958F3" w14:textId="77777777" w:rsidR="00575778" w:rsidRPr="00575778" w:rsidRDefault="00575778" w:rsidP="00D46FA9">
            <w:pPr>
              <w:ind w:right="397"/>
              <w:jc w:val="right"/>
              <w:rPr>
                <w:rFonts w:eastAsia="Times New Roman"/>
                <w:bCs/>
                <w:sz w:val="18"/>
                <w:szCs w:val="18"/>
              </w:rPr>
            </w:pPr>
            <w:r w:rsidRPr="00575778">
              <w:rPr>
                <w:rFonts w:eastAsia="Times New Roman"/>
                <w:bCs/>
                <w:sz w:val="18"/>
                <w:szCs w:val="18"/>
              </w:rPr>
              <w:t>0.1</w:t>
            </w:r>
          </w:p>
        </w:tc>
        <w:tc>
          <w:tcPr>
            <w:tcW w:w="1284" w:type="dxa"/>
            <w:tcBorders>
              <w:top w:val="nil"/>
              <w:left w:val="single" w:sz="4" w:space="0" w:color="auto"/>
              <w:bottom w:val="single" w:sz="4" w:space="0" w:color="auto"/>
              <w:right w:val="single" w:sz="4" w:space="0" w:color="auto"/>
            </w:tcBorders>
            <w:vAlign w:val="center"/>
          </w:tcPr>
          <w:p w14:paraId="0D464BA1" w14:textId="77777777" w:rsidR="00575778" w:rsidRPr="00575778" w:rsidRDefault="00575778" w:rsidP="00D46FA9">
            <w:pPr>
              <w:ind w:right="397"/>
              <w:jc w:val="right"/>
              <w:rPr>
                <w:rFonts w:eastAsia="Times New Roman"/>
                <w:bCs/>
                <w:sz w:val="18"/>
                <w:szCs w:val="18"/>
              </w:rPr>
            </w:pPr>
            <w:r w:rsidRPr="00575778">
              <w:rPr>
                <w:rFonts w:eastAsia="Times New Roman"/>
                <w:bCs/>
                <w:sz w:val="18"/>
                <w:szCs w:val="18"/>
              </w:rPr>
              <w:t>4.3</w:t>
            </w:r>
          </w:p>
        </w:tc>
        <w:tc>
          <w:tcPr>
            <w:tcW w:w="1284" w:type="dxa"/>
            <w:tcBorders>
              <w:top w:val="nil"/>
              <w:left w:val="single" w:sz="4" w:space="0" w:color="auto"/>
              <w:bottom w:val="single" w:sz="4" w:space="0" w:color="auto"/>
              <w:right w:val="single" w:sz="4" w:space="0" w:color="auto"/>
            </w:tcBorders>
            <w:vAlign w:val="center"/>
          </w:tcPr>
          <w:p w14:paraId="5CD021CC" w14:textId="77777777" w:rsidR="00575778" w:rsidRPr="00575778" w:rsidRDefault="00575778" w:rsidP="00D46FA9">
            <w:pPr>
              <w:ind w:right="397"/>
              <w:jc w:val="right"/>
              <w:rPr>
                <w:rFonts w:eastAsia="Times New Roman"/>
                <w:bCs/>
                <w:sz w:val="18"/>
                <w:szCs w:val="18"/>
              </w:rPr>
            </w:pPr>
            <w:r w:rsidRPr="00575778">
              <w:rPr>
                <w:rFonts w:eastAsia="Times New Roman"/>
                <w:bCs/>
                <w:sz w:val="18"/>
                <w:szCs w:val="18"/>
              </w:rPr>
              <w:t>0.2</w:t>
            </w:r>
          </w:p>
        </w:tc>
      </w:tr>
      <w:tr w:rsidR="00575778" w:rsidRPr="00575778" w14:paraId="31E4A739" w14:textId="77777777" w:rsidTr="00F44802">
        <w:trPr>
          <w:jc w:val="center"/>
        </w:trPr>
        <w:tc>
          <w:tcPr>
            <w:tcW w:w="8828" w:type="dxa"/>
            <w:gridSpan w:val="6"/>
            <w:tcBorders>
              <w:left w:val="nil"/>
              <w:bottom w:val="nil"/>
              <w:right w:val="nil"/>
            </w:tcBorders>
            <w:vAlign w:val="center"/>
          </w:tcPr>
          <w:p w14:paraId="16F2B229" w14:textId="77777777" w:rsidR="00575778" w:rsidRPr="00D46FA9" w:rsidRDefault="00575778" w:rsidP="001569A0">
            <w:pPr>
              <w:ind w:left="198" w:hanging="198"/>
              <w:jc w:val="both"/>
              <w:rPr>
                <w:rFonts w:eastAsia="Times New Roman"/>
                <w:bCs/>
                <w:sz w:val="18"/>
                <w:szCs w:val="18"/>
              </w:rPr>
            </w:pPr>
            <w:r w:rsidRPr="00D46FA9">
              <w:rPr>
                <w:rFonts w:eastAsia="Times New Roman"/>
                <w:bCs/>
                <w:sz w:val="18"/>
                <w:szCs w:val="18"/>
                <w:u w:val="single"/>
              </w:rPr>
              <w:t>1</w:t>
            </w:r>
            <w:r w:rsidRPr="00D46FA9">
              <w:rPr>
                <w:rFonts w:eastAsia="Times New Roman"/>
                <w:bCs/>
                <w:sz w:val="18"/>
                <w:szCs w:val="18"/>
              </w:rPr>
              <w:t>/ PIB a precios de mercado ajustado por los días laborados. En el caso de Alemania, estas diferencias derivadas de la medición no incluyen el ajuste por los días laborados. La cifra sin ajuste para Alemania podría ser mayor a 0.2 puntos porcentuales en 2015 y en 0.1 puntos porcentuales en 2016.</w:t>
            </w:r>
          </w:p>
          <w:p w14:paraId="77A99A92" w14:textId="77777777" w:rsidR="00575778" w:rsidRPr="00D46FA9" w:rsidRDefault="00575778" w:rsidP="001569A0">
            <w:pPr>
              <w:ind w:left="198" w:hanging="198"/>
              <w:jc w:val="both"/>
              <w:rPr>
                <w:rFonts w:eastAsia="Times New Roman"/>
                <w:bCs/>
                <w:sz w:val="18"/>
                <w:szCs w:val="18"/>
              </w:rPr>
            </w:pPr>
            <w:r w:rsidRPr="00D46FA9">
              <w:rPr>
                <w:rFonts w:eastAsia="Times New Roman"/>
                <w:bCs/>
                <w:sz w:val="18"/>
                <w:szCs w:val="18"/>
                <w:u w:val="single"/>
              </w:rPr>
              <w:t>2</w:t>
            </w:r>
            <w:r w:rsidRPr="00D46FA9">
              <w:rPr>
                <w:rFonts w:eastAsia="Times New Roman"/>
                <w:bCs/>
                <w:sz w:val="18"/>
                <w:szCs w:val="18"/>
              </w:rPr>
              <w:t>/ El agregado de países representa más del 70% del PIB mundial medido con los tipos de cambio valuados con la paridad de poder de compra de 2013.</w:t>
            </w:r>
          </w:p>
          <w:p w14:paraId="409BBE69" w14:textId="77777777" w:rsidR="00575778" w:rsidRPr="00D46FA9" w:rsidRDefault="00575778" w:rsidP="00D46FA9">
            <w:pPr>
              <w:rPr>
                <w:rFonts w:eastAsia="Times New Roman"/>
                <w:bCs/>
                <w:sz w:val="18"/>
                <w:szCs w:val="18"/>
              </w:rPr>
            </w:pPr>
            <w:r w:rsidRPr="00D46FA9">
              <w:rPr>
                <w:rFonts w:eastAsia="Times New Roman"/>
                <w:bCs/>
                <w:sz w:val="18"/>
                <w:szCs w:val="18"/>
              </w:rPr>
              <w:t xml:space="preserve">FUENTE: OCDE, </w:t>
            </w:r>
            <w:r w:rsidRPr="00D46FA9">
              <w:rPr>
                <w:rFonts w:eastAsia="Times New Roman"/>
                <w:bCs/>
                <w:i/>
                <w:sz w:val="18"/>
                <w:szCs w:val="18"/>
              </w:rPr>
              <w:t>Economic Outlook and Interim Global Economic Assessment.</w:t>
            </w:r>
          </w:p>
        </w:tc>
      </w:tr>
    </w:tbl>
    <w:p w14:paraId="2BF010D2" w14:textId="77777777" w:rsidR="00575778" w:rsidRPr="00575778" w:rsidRDefault="00575778" w:rsidP="00575778">
      <w:pPr>
        <w:spacing w:after="360" w:line="360" w:lineRule="auto"/>
        <w:ind w:right="-159"/>
        <w:jc w:val="center"/>
        <w:rPr>
          <w:rFonts w:eastAsia="Calibri"/>
          <w:sz w:val="26"/>
          <w:szCs w:val="26"/>
          <w:lang w:val="en" w:eastAsia="en-US"/>
        </w:rPr>
      </w:pPr>
    </w:p>
    <w:p w14:paraId="33C21D55" w14:textId="77777777" w:rsidR="00575778" w:rsidRPr="00575778" w:rsidRDefault="00575778" w:rsidP="00575778">
      <w:pPr>
        <w:spacing w:after="360" w:line="360" w:lineRule="auto"/>
        <w:ind w:right="-159"/>
        <w:jc w:val="center"/>
        <w:rPr>
          <w:rFonts w:eastAsia="Calibri"/>
          <w:sz w:val="26"/>
          <w:szCs w:val="26"/>
          <w:lang w:val="en" w:eastAsia="en-US"/>
        </w:rPr>
      </w:pPr>
      <w:r w:rsidRPr="00575778">
        <w:rPr>
          <w:rFonts w:ascii="Calibri" w:eastAsia="Calibri" w:hAnsi="Calibri"/>
          <w:noProof/>
          <w:sz w:val="22"/>
          <w:szCs w:val="22"/>
          <w:lang w:eastAsia="es-MX"/>
        </w:rPr>
        <w:lastRenderedPageBreak/>
        <w:drawing>
          <wp:inline distT="0" distB="0" distL="0" distR="0" wp14:anchorId="2A64785D" wp14:editId="6B6A5CFA">
            <wp:extent cx="4559041" cy="2852596"/>
            <wp:effectExtent l="0" t="0" r="0" b="508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t="1106" b="15730"/>
                    <a:stretch/>
                  </pic:blipFill>
                  <pic:spPr bwMode="auto">
                    <a:xfrm>
                      <a:off x="0" y="0"/>
                      <a:ext cx="4559300" cy="2852758"/>
                    </a:xfrm>
                    <a:prstGeom prst="rect">
                      <a:avLst/>
                    </a:prstGeom>
                    <a:noFill/>
                    <a:ln>
                      <a:noFill/>
                    </a:ln>
                    <a:extLst>
                      <a:ext uri="{53640926-AAD7-44D8-BBD7-CCE9431645EC}">
                        <a14:shadowObscured xmlns:a14="http://schemas.microsoft.com/office/drawing/2010/main"/>
                      </a:ext>
                    </a:extLst>
                  </pic:spPr>
                </pic:pic>
              </a:graphicData>
            </a:graphic>
          </wp:inline>
        </w:drawing>
      </w:r>
    </w:p>
    <w:p w14:paraId="38EC25F0" w14:textId="3E7BD85D" w:rsidR="00575778" w:rsidRPr="00575778" w:rsidRDefault="00933B4E" w:rsidP="00575778">
      <w:pPr>
        <w:spacing w:after="360" w:line="360" w:lineRule="auto"/>
        <w:ind w:right="-159"/>
        <w:jc w:val="center"/>
        <w:rPr>
          <w:rFonts w:eastAsia="Calibri"/>
          <w:sz w:val="26"/>
          <w:szCs w:val="26"/>
          <w:lang w:val="en" w:eastAsia="en-US"/>
        </w:rPr>
      </w:pPr>
      <w:r w:rsidRPr="005F54BF">
        <w:rPr>
          <w:noProof/>
          <w:lang w:eastAsia="es-MX"/>
        </w:rPr>
        <w:drawing>
          <wp:inline distT="0" distB="0" distL="0" distR="0" wp14:anchorId="302844C6" wp14:editId="13E3235E">
            <wp:extent cx="4558732" cy="3025143"/>
            <wp:effectExtent l="0" t="0" r="0" b="3810"/>
            <wp:docPr id="1814" name="Imagen 1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t="1352" b="10447"/>
                    <a:stretch/>
                  </pic:blipFill>
                  <pic:spPr bwMode="auto">
                    <a:xfrm>
                      <a:off x="0" y="0"/>
                      <a:ext cx="4559300" cy="3025520"/>
                    </a:xfrm>
                    <a:prstGeom prst="rect">
                      <a:avLst/>
                    </a:prstGeom>
                    <a:noFill/>
                    <a:ln>
                      <a:noFill/>
                    </a:ln>
                    <a:extLst>
                      <a:ext uri="{53640926-AAD7-44D8-BBD7-CCE9431645EC}">
                        <a14:shadowObscured xmlns:a14="http://schemas.microsoft.com/office/drawing/2010/main"/>
                      </a:ext>
                    </a:extLst>
                  </pic:spPr>
                </pic:pic>
              </a:graphicData>
            </a:graphic>
          </wp:inline>
        </w:drawing>
      </w:r>
    </w:p>
    <w:p w14:paraId="56783CC8" w14:textId="24ACEBD8" w:rsidR="00575778" w:rsidRPr="00575778" w:rsidRDefault="00933B4E" w:rsidP="00575778">
      <w:pPr>
        <w:spacing w:after="360" w:line="360" w:lineRule="auto"/>
        <w:ind w:right="-159"/>
        <w:jc w:val="center"/>
        <w:rPr>
          <w:rFonts w:eastAsia="Calibri"/>
          <w:sz w:val="26"/>
          <w:szCs w:val="26"/>
          <w:lang w:val="en" w:eastAsia="en-US"/>
        </w:rPr>
      </w:pPr>
      <w:r w:rsidRPr="007720AF">
        <w:rPr>
          <w:noProof/>
          <w:lang w:eastAsia="es-MX"/>
        </w:rPr>
        <w:lastRenderedPageBreak/>
        <w:drawing>
          <wp:inline distT="0" distB="0" distL="0" distR="0" wp14:anchorId="18E08F98" wp14:editId="79F170B0">
            <wp:extent cx="4558606" cy="3295212"/>
            <wp:effectExtent l="0" t="0" r="0" b="635"/>
            <wp:docPr id="1815" name="Imagen 1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t="614" b="3308"/>
                    <a:stretch/>
                  </pic:blipFill>
                  <pic:spPr bwMode="auto">
                    <a:xfrm>
                      <a:off x="0" y="0"/>
                      <a:ext cx="4559300" cy="3295714"/>
                    </a:xfrm>
                    <a:prstGeom prst="rect">
                      <a:avLst/>
                    </a:prstGeom>
                    <a:noFill/>
                    <a:ln>
                      <a:noFill/>
                    </a:ln>
                    <a:extLst>
                      <a:ext uri="{53640926-AAD7-44D8-BBD7-CCE9431645EC}">
                        <a14:shadowObscured xmlns:a14="http://schemas.microsoft.com/office/drawing/2010/main"/>
                      </a:ext>
                    </a:extLst>
                  </pic:spPr>
                </pic:pic>
              </a:graphicData>
            </a:graphic>
          </wp:inline>
        </w:drawing>
      </w:r>
    </w:p>
    <w:p w14:paraId="5DC0A144" w14:textId="77777777" w:rsidR="00575778" w:rsidRPr="00575778" w:rsidRDefault="00575778" w:rsidP="00575778">
      <w:pPr>
        <w:ind w:right="-159"/>
        <w:jc w:val="both"/>
        <w:rPr>
          <w:rFonts w:eastAsia="Calibri"/>
          <w:b/>
          <w:sz w:val="20"/>
          <w:szCs w:val="20"/>
          <w:lang w:eastAsia="en-US"/>
        </w:rPr>
      </w:pPr>
      <w:r w:rsidRPr="00575778">
        <w:rPr>
          <w:rFonts w:eastAsia="Calibri"/>
          <w:b/>
          <w:sz w:val="20"/>
          <w:szCs w:val="20"/>
          <w:lang w:eastAsia="en-US"/>
        </w:rPr>
        <w:t>Fuente de información:</w:t>
      </w:r>
    </w:p>
    <w:p w14:paraId="41F79B06" w14:textId="77777777" w:rsidR="00575778" w:rsidRPr="00330C00" w:rsidRDefault="00AB7A4A" w:rsidP="00575778">
      <w:pPr>
        <w:ind w:right="-159"/>
        <w:jc w:val="both"/>
        <w:rPr>
          <w:rFonts w:eastAsia="Calibri"/>
          <w:color w:val="0000FF"/>
          <w:sz w:val="20"/>
          <w:szCs w:val="20"/>
          <w:lang w:eastAsia="en-US"/>
        </w:rPr>
      </w:pPr>
      <w:hyperlink r:id="rId27" w:history="1">
        <w:r w:rsidR="00575778" w:rsidRPr="00330C00">
          <w:rPr>
            <w:rFonts w:eastAsia="Calibri"/>
            <w:color w:val="0000FF"/>
            <w:sz w:val="20"/>
            <w:szCs w:val="20"/>
            <w:u w:val="single"/>
            <w:lang w:eastAsia="en-US"/>
          </w:rPr>
          <w:t>http://www.oecd.org/centrodemexico/medios/los-bajos-precios-del-petroleo-y-la-flexibilizacion-monetaria-han-provocado-una-modesta-aceleracion-de-la-recuperacion-mundial-dice-la-ocde.htm</w:t>
        </w:r>
      </w:hyperlink>
      <w:r w:rsidR="00575778" w:rsidRPr="00330C00">
        <w:rPr>
          <w:rFonts w:eastAsia="Calibri"/>
          <w:color w:val="0000FF"/>
          <w:sz w:val="20"/>
          <w:szCs w:val="20"/>
          <w:lang w:eastAsia="en-US"/>
        </w:rPr>
        <w:t xml:space="preserve"> </w:t>
      </w:r>
    </w:p>
    <w:p w14:paraId="53030F8B" w14:textId="77777777" w:rsidR="00575778" w:rsidRPr="00330C00" w:rsidRDefault="00AB7A4A" w:rsidP="00575778">
      <w:pPr>
        <w:ind w:right="-159"/>
        <w:jc w:val="both"/>
        <w:rPr>
          <w:rFonts w:eastAsia="Calibri"/>
          <w:color w:val="0000FF"/>
          <w:sz w:val="20"/>
          <w:szCs w:val="20"/>
          <w:lang w:eastAsia="en-US"/>
        </w:rPr>
      </w:pPr>
      <w:hyperlink r:id="rId28" w:history="1">
        <w:r w:rsidR="00575778" w:rsidRPr="00330C00">
          <w:rPr>
            <w:rFonts w:eastAsia="Calibri"/>
            <w:color w:val="0000FF"/>
            <w:sz w:val="20"/>
            <w:szCs w:val="20"/>
            <w:u w:val="single"/>
            <w:lang w:eastAsia="en-US"/>
          </w:rPr>
          <w:t>http://www.oecd.org/economy/economicoutlook.htm</w:t>
        </w:r>
      </w:hyperlink>
      <w:r w:rsidR="00575778" w:rsidRPr="00330C00">
        <w:rPr>
          <w:rFonts w:eastAsia="Calibri"/>
          <w:color w:val="0000FF"/>
          <w:sz w:val="20"/>
          <w:szCs w:val="20"/>
          <w:lang w:eastAsia="en-US"/>
        </w:rPr>
        <w:t xml:space="preserve"> (fuente de los gráficos).</w:t>
      </w:r>
    </w:p>
    <w:p w14:paraId="37782395" w14:textId="77777777" w:rsidR="00575778" w:rsidRPr="00575778" w:rsidRDefault="00575778" w:rsidP="00575778">
      <w:pPr>
        <w:ind w:right="-159"/>
        <w:jc w:val="both"/>
        <w:rPr>
          <w:rFonts w:eastAsia="Calibri"/>
          <w:sz w:val="20"/>
          <w:szCs w:val="20"/>
          <w:lang w:eastAsia="en-US"/>
        </w:rPr>
      </w:pPr>
      <w:r w:rsidRPr="00575778">
        <w:rPr>
          <w:rFonts w:eastAsia="Calibri"/>
          <w:sz w:val="20"/>
          <w:szCs w:val="20"/>
          <w:lang w:eastAsia="en-US"/>
        </w:rPr>
        <w:t>Para tener acceso a mayor información, visite:</w:t>
      </w:r>
    </w:p>
    <w:p w14:paraId="16F9EE09" w14:textId="77777777" w:rsidR="00575778" w:rsidRPr="00330C00" w:rsidRDefault="00AB7A4A" w:rsidP="00330C00">
      <w:pPr>
        <w:spacing w:after="720"/>
        <w:ind w:right="-159"/>
        <w:jc w:val="both"/>
        <w:rPr>
          <w:rFonts w:eastAsia="Calibri"/>
          <w:color w:val="0000FF"/>
          <w:sz w:val="20"/>
          <w:szCs w:val="20"/>
          <w:lang w:eastAsia="en-US"/>
        </w:rPr>
      </w:pPr>
      <w:hyperlink r:id="rId29" w:history="1">
        <w:r w:rsidR="00575778" w:rsidRPr="00330C00">
          <w:rPr>
            <w:rFonts w:eastAsia="Calibri"/>
            <w:color w:val="0000FF"/>
            <w:sz w:val="20"/>
            <w:szCs w:val="20"/>
            <w:u w:val="single"/>
            <w:lang w:eastAsia="en-US"/>
          </w:rPr>
          <w:t>http://www.slideshare.net/fullscreen/oecdeconomy/interim-economic-outlook-march-2015-45944742/7</w:t>
        </w:r>
      </w:hyperlink>
      <w:r w:rsidR="00575778" w:rsidRPr="00330C00">
        <w:rPr>
          <w:rFonts w:eastAsia="Calibri"/>
          <w:color w:val="0000FF"/>
          <w:sz w:val="20"/>
          <w:szCs w:val="20"/>
          <w:lang w:eastAsia="en-US"/>
        </w:rPr>
        <w:t xml:space="preserve"> (fuente del cuadro).</w:t>
      </w:r>
    </w:p>
    <w:p w14:paraId="465C02FE" w14:textId="77777777" w:rsidR="0019200D" w:rsidRPr="0019200D" w:rsidRDefault="0019200D" w:rsidP="0019200D">
      <w:pPr>
        <w:spacing w:after="360" w:line="360" w:lineRule="auto"/>
        <w:ind w:right="-159"/>
        <w:jc w:val="both"/>
        <w:rPr>
          <w:rFonts w:eastAsia="Calibri"/>
          <w:b/>
          <w:sz w:val="26"/>
          <w:szCs w:val="26"/>
          <w:lang w:eastAsia="en-US"/>
        </w:rPr>
      </w:pPr>
      <w:r w:rsidRPr="0019200D">
        <w:rPr>
          <w:rFonts w:eastAsia="Calibri"/>
          <w:b/>
          <w:sz w:val="26"/>
          <w:szCs w:val="26"/>
          <w:lang w:eastAsia="en-US"/>
        </w:rPr>
        <w:t>Momento crucial para Grecia (BBVA Research)</w:t>
      </w:r>
    </w:p>
    <w:p w14:paraId="52EBA742" w14:textId="77777777" w:rsidR="0019200D" w:rsidRPr="0019200D" w:rsidRDefault="0019200D" w:rsidP="0019200D">
      <w:pPr>
        <w:spacing w:after="360" w:line="360" w:lineRule="auto"/>
        <w:ind w:right="-159"/>
        <w:jc w:val="both"/>
        <w:rPr>
          <w:rFonts w:eastAsia="Calibri"/>
          <w:sz w:val="26"/>
          <w:szCs w:val="26"/>
          <w:lang w:val="es-ES" w:eastAsia="en-US"/>
        </w:rPr>
      </w:pPr>
      <w:r w:rsidRPr="0019200D">
        <w:rPr>
          <w:rFonts w:eastAsia="Calibri"/>
          <w:sz w:val="26"/>
          <w:szCs w:val="26"/>
          <w:lang w:val="es-ES" w:eastAsia="en-US"/>
        </w:rPr>
        <w:t>El 30 de marzo de 2015, la sección de estudios económicos de BBVA Research publicó el artículo de prensa “Momento crucial para Grecia” que se presenta a continuación.</w:t>
      </w:r>
    </w:p>
    <w:p w14:paraId="357C78C7" w14:textId="77777777" w:rsidR="0019200D" w:rsidRPr="0019200D" w:rsidRDefault="0019200D" w:rsidP="0019200D">
      <w:pPr>
        <w:spacing w:after="360" w:line="360" w:lineRule="auto"/>
        <w:ind w:right="-159"/>
        <w:jc w:val="both"/>
        <w:rPr>
          <w:rFonts w:eastAsia="Calibri"/>
          <w:sz w:val="26"/>
          <w:szCs w:val="26"/>
          <w:lang w:val="es-ES" w:eastAsia="en-US"/>
        </w:rPr>
      </w:pPr>
      <w:r w:rsidRPr="0019200D">
        <w:rPr>
          <w:rFonts w:eastAsia="Calibri"/>
          <w:sz w:val="26"/>
          <w:szCs w:val="26"/>
          <w:lang w:val="es-ES" w:eastAsia="en-US"/>
        </w:rPr>
        <w:t>La resolución de la crisis griega se prolonga más de lo que cabía esperar en un principio, aunque ya se acerca a un momento crucial. Por un lado, se espera que el lunes 30 el gobierno griego presente una lista completa de reformas al Eurogrupo; pero, además, las dificultades de financiamiento del gobierno griego son cada vez mayores, por lo que la presión para llegar a un acuerdo aumenta.</w:t>
      </w:r>
    </w:p>
    <w:p w14:paraId="0332300E" w14:textId="77777777" w:rsidR="0019200D" w:rsidRPr="0019200D" w:rsidRDefault="0019200D" w:rsidP="0019200D">
      <w:pPr>
        <w:spacing w:after="360" w:line="360" w:lineRule="auto"/>
        <w:ind w:right="-159"/>
        <w:jc w:val="both"/>
        <w:rPr>
          <w:rFonts w:eastAsia="Calibri"/>
          <w:sz w:val="26"/>
          <w:szCs w:val="26"/>
          <w:lang w:val="es-ES" w:eastAsia="en-US"/>
        </w:rPr>
      </w:pPr>
      <w:r w:rsidRPr="0019200D">
        <w:rPr>
          <w:rFonts w:eastAsia="Calibri"/>
          <w:sz w:val="26"/>
          <w:szCs w:val="26"/>
          <w:lang w:val="es-ES" w:eastAsia="en-US"/>
        </w:rPr>
        <w:lastRenderedPageBreak/>
        <w:t>El acuerdo del 20 de febrero entre el Eurogrupo y Grecia suponía mantener lo esencial del antiguo programa de rescate en términos de reformas, dando cierta flexibilidad al nuevo gobierno griego en términos presupuestarios y en el diseño de las medidas. El tema de la deuda quedaba, de momento, aparcado al renunciar Grecia a una restructuración.</w:t>
      </w:r>
    </w:p>
    <w:p w14:paraId="376A40AF" w14:textId="77777777" w:rsidR="0019200D" w:rsidRPr="0019200D" w:rsidRDefault="0019200D" w:rsidP="0019200D">
      <w:pPr>
        <w:spacing w:after="360" w:line="360" w:lineRule="auto"/>
        <w:ind w:right="-159"/>
        <w:jc w:val="both"/>
        <w:rPr>
          <w:rFonts w:eastAsia="Calibri"/>
          <w:sz w:val="26"/>
          <w:szCs w:val="26"/>
          <w:lang w:val="es-ES" w:eastAsia="en-US"/>
        </w:rPr>
      </w:pPr>
      <w:r w:rsidRPr="0019200D">
        <w:rPr>
          <w:rFonts w:eastAsia="Calibri"/>
          <w:sz w:val="26"/>
          <w:szCs w:val="26"/>
          <w:lang w:val="es-ES" w:eastAsia="en-US"/>
        </w:rPr>
        <w:t>Pero desde ese acuerdo apenas han avanzado las negociaciones. Ahora mismo, el gobierno griego se enfrenta a tres problemas importantes. Uno, la necesidad de presentar una lista de reformas detallada, incluyendo la cuantificación de las medidas, que sea aceptable para el Eurogrupo. Las medidas presentadas hasta ahora o no estaban cuantificadas o eran insuficientes, ya que se centraban fundamentalmente en la lucha contra la corrupción, el fraude fiscal y en la eficiencia de la administración tributaria, que son compartidas por los socios europeos y no tienen costo político, pero que no bastan para mantener las cuentas públicas cerca del equilibrio.</w:t>
      </w:r>
    </w:p>
    <w:p w14:paraId="02404AE1" w14:textId="77777777" w:rsidR="0019200D" w:rsidRPr="0019200D" w:rsidRDefault="0019200D" w:rsidP="0019200D">
      <w:pPr>
        <w:spacing w:after="360" w:line="360" w:lineRule="auto"/>
        <w:ind w:right="-159"/>
        <w:jc w:val="both"/>
        <w:rPr>
          <w:rFonts w:eastAsia="Calibri"/>
          <w:sz w:val="26"/>
          <w:szCs w:val="26"/>
          <w:lang w:val="es-ES" w:eastAsia="en-US"/>
        </w:rPr>
      </w:pPr>
      <w:r w:rsidRPr="0019200D">
        <w:rPr>
          <w:rFonts w:eastAsia="Calibri"/>
          <w:sz w:val="26"/>
          <w:szCs w:val="26"/>
          <w:lang w:val="es-ES" w:eastAsia="en-US"/>
        </w:rPr>
        <w:t>Dos, la fuga de depósitos, que ha sido intensa desde que se anunciaron las elecciones, ha arreciado tras la victoria de Syriza y continúa aún (aunque se haya frenado algo en febrero). De momento, el sistema financiero griego se está financiando gracias a la provisión de liquidez (de emergencia) del banco central griego, autorizado a cuentagotas por el Banco Central Europeo (BCE). Pero la solución definitiva al problema pasa por una vuelta de la confianza.</w:t>
      </w:r>
    </w:p>
    <w:p w14:paraId="778540EC" w14:textId="77777777" w:rsidR="0019200D" w:rsidRPr="0019200D" w:rsidRDefault="0019200D" w:rsidP="0019200D">
      <w:pPr>
        <w:spacing w:after="360" w:line="360" w:lineRule="auto"/>
        <w:ind w:right="-159"/>
        <w:jc w:val="both"/>
        <w:rPr>
          <w:rFonts w:eastAsia="Calibri"/>
          <w:sz w:val="26"/>
          <w:szCs w:val="26"/>
          <w:lang w:val="es-ES" w:eastAsia="en-US"/>
        </w:rPr>
      </w:pPr>
      <w:r w:rsidRPr="0019200D">
        <w:rPr>
          <w:rFonts w:eastAsia="Calibri"/>
          <w:sz w:val="26"/>
          <w:szCs w:val="26"/>
          <w:lang w:val="es-ES" w:eastAsia="en-US"/>
        </w:rPr>
        <w:t>Y tres, el agotamiento de fondos públicos. Al haber rechazado el nuevo gobierno la prolongación temporal del antiguo programa de rescate hasta que se negociase uno nuevo, se ha paralizado la última entrega de fondos por parte de las instituciones. Grecia no puede emitir más letras del Tesoro (ha alcanzado el techo acordado), tiene los mercados de deuda cerrados y está recurriendo a la liquidez de diversas entidades públicas para aguantar unas semanas más.</w:t>
      </w:r>
    </w:p>
    <w:p w14:paraId="4E189DDD" w14:textId="77777777" w:rsidR="0019200D" w:rsidRPr="0019200D" w:rsidRDefault="0019200D" w:rsidP="0019200D">
      <w:pPr>
        <w:spacing w:after="360" w:line="360" w:lineRule="auto"/>
        <w:ind w:right="-159"/>
        <w:jc w:val="both"/>
        <w:rPr>
          <w:rFonts w:eastAsia="Calibri"/>
          <w:sz w:val="26"/>
          <w:szCs w:val="26"/>
          <w:lang w:val="es-ES" w:eastAsia="en-US"/>
        </w:rPr>
      </w:pPr>
      <w:r w:rsidRPr="0019200D">
        <w:rPr>
          <w:rFonts w:eastAsia="Calibri"/>
          <w:sz w:val="26"/>
          <w:szCs w:val="26"/>
          <w:lang w:val="es-ES" w:eastAsia="en-US"/>
        </w:rPr>
        <w:lastRenderedPageBreak/>
        <w:t>Los tres temas están muy relacionados. En el momento en que llegue a un acuerdo sobre las reformas el Eurogrupo aprobará el último tramo de ayuda del antiguo programa, lo que aliviará el financiamiento del Estado y frenará, sin duda, la salida de depósitos. A partir de ahí, quedaría pendiente para antes del verano renegociar las condiciones de la deuda a largo plazo y, muy probablemente, un nuevo paquete de ayuda.</w:t>
      </w:r>
    </w:p>
    <w:p w14:paraId="216D0912" w14:textId="77777777" w:rsidR="0019200D" w:rsidRPr="0019200D" w:rsidRDefault="0019200D" w:rsidP="0019200D">
      <w:pPr>
        <w:spacing w:after="360" w:line="360" w:lineRule="auto"/>
        <w:ind w:right="-159"/>
        <w:jc w:val="both"/>
        <w:rPr>
          <w:rFonts w:eastAsia="Calibri"/>
          <w:sz w:val="26"/>
          <w:szCs w:val="26"/>
          <w:lang w:val="es-ES" w:eastAsia="en-US"/>
        </w:rPr>
      </w:pPr>
      <w:r w:rsidRPr="0019200D">
        <w:rPr>
          <w:rFonts w:eastAsia="Calibri"/>
          <w:sz w:val="26"/>
          <w:szCs w:val="26"/>
          <w:lang w:val="es-ES" w:eastAsia="en-US"/>
        </w:rPr>
        <w:t>Da la impresión de que se podría haber llegado a este punto mucho más fácilmente si Grecia hubiese aceptado desde un primer momento finalizar el programa anterior, que era temporal y cuyas medidas podían ser atribuidas al gobierno anterior, sin derrochar por el camino esfuerzos diplomáticos y sin perder credibilidad. En cualquier caso, parece que muy pronto estará cerrado un episodio más de una crisis que se alarga demasiado.</w:t>
      </w:r>
    </w:p>
    <w:p w14:paraId="6F01AC96" w14:textId="77777777" w:rsidR="0019200D" w:rsidRPr="0019200D" w:rsidRDefault="0019200D" w:rsidP="0019200D">
      <w:pPr>
        <w:spacing w:before="360"/>
        <w:ind w:right="-159"/>
        <w:jc w:val="both"/>
        <w:rPr>
          <w:rFonts w:eastAsia="Calibri"/>
          <w:b/>
          <w:sz w:val="20"/>
          <w:szCs w:val="20"/>
          <w:lang w:val="es-ES" w:eastAsia="en-US"/>
        </w:rPr>
      </w:pPr>
      <w:r w:rsidRPr="0019200D">
        <w:rPr>
          <w:rFonts w:eastAsia="Calibri"/>
          <w:b/>
          <w:sz w:val="20"/>
          <w:szCs w:val="20"/>
          <w:lang w:val="es-ES" w:eastAsia="en-US"/>
        </w:rPr>
        <w:t>Fuente de información:</w:t>
      </w:r>
    </w:p>
    <w:p w14:paraId="2E46E769" w14:textId="77777777" w:rsidR="0019200D" w:rsidRPr="00330C00" w:rsidRDefault="00AB7A4A" w:rsidP="00330C00">
      <w:pPr>
        <w:spacing w:after="720"/>
        <w:ind w:right="-159"/>
        <w:jc w:val="both"/>
        <w:rPr>
          <w:rFonts w:eastAsia="Calibri"/>
          <w:color w:val="0000FF"/>
          <w:sz w:val="20"/>
          <w:szCs w:val="20"/>
          <w:lang w:eastAsia="en-US"/>
        </w:rPr>
      </w:pPr>
      <w:hyperlink r:id="rId30" w:history="1">
        <w:r w:rsidR="0019200D" w:rsidRPr="00330C00">
          <w:rPr>
            <w:rFonts w:eastAsia="Calibri"/>
            <w:color w:val="0000FF"/>
            <w:sz w:val="20"/>
            <w:szCs w:val="20"/>
            <w:u w:val="single"/>
            <w:lang w:eastAsia="en-US"/>
          </w:rPr>
          <w:t>https://www.bbvaresearch.com/wp-content/uploads/pdf/67403_70278.pdf</w:t>
        </w:r>
      </w:hyperlink>
    </w:p>
    <w:p w14:paraId="75B0B44A" w14:textId="77777777" w:rsidR="00705582" w:rsidRPr="00705582" w:rsidRDefault="00705582" w:rsidP="00705582">
      <w:pPr>
        <w:spacing w:after="360" w:line="360" w:lineRule="auto"/>
        <w:ind w:right="-159"/>
        <w:jc w:val="both"/>
        <w:rPr>
          <w:rFonts w:eastAsia="Calibri"/>
          <w:b/>
          <w:sz w:val="26"/>
          <w:szCs w:val="26"/>
          <w:lang w:eastAsia="en-US"/>
        </w:rPr>
      </w:pPr>
      <w:r w:rsidRPr="00705582">
        <w:rPr>
          <w:rFonts w:eastAsia="Calibri"/>
          <w:b/>
          <w:sz w:val="26"/>
          <w:szCs w:val="26"/>
          <w:lang w:eastAsia="en-US"/>
        </w:rPr>
        <w:t>Grecia podría reestructurar su deuda sin salirse del euro (RIE)</w:t>
      </w:r>
    </w:p>
    <w:p w14:paraId="17016DE7" w14:textId="77777777" w:rsidR="00705582" w:rsidRPr="00705582" w:rsidRDefault="00705582" w:rsidP="00705582">
      <w:pPr>
        <w:spacing w:after="360" w:line="360" w:lineRule="auto"/>
        <w:ind w:right="-159"/>
        <w:jc w:val="both"/>
        <w:rPr>
          <w:rFonts w:eastAsia="Calibri"/>
          <w:sz w:val="26"/>
          <w:szCs w:val="26"/>
          <w:lang w:eastAsia="en-US"/>
        </w:rPr>
      </w:pPr>
      <w:r w:rsidRPr="00705582">
        <w:rPr>
          <w:rFonts w:eastAsia="Calibri"/>
          <w:sz w:val="26"/>
          <w:szCs w:val="26"/>
          <w:lang w:eastAsia="en-US"/>
        </w:rPr>
        <w:t xml:space="preserve">El 22 de abril de 2015, el Real Instituto Elcano (RIE) señaló que Grecia se está quedando sin dinero. Consiguió a duras penas hacer frente al vencimiento que tenía con el Fondo Monetario Internacional (FMI) el pasado 9 de abril, pero ahora se enfrenta a dos nuevos pagos, con el propio Fondo y con el Banco Central Europeo (BCE) para los que no cuenta con recursos. Desde que Syriza llegó al poder, el aumento de la incertidumbre y la negativa de la Troika y el Eurogrupo a desembolsar el último tramo del rescate de 7 mil 200 millones de euros, han acelerado las fugas de depósitos y capital y han ralentizado la economía, terminando por secar las arcas públicas. Poco importa que el servicio de la deuda sea bajo o que el perfil de vencimientos con los acreedores (que son en su mayoría los países europeos e instituciones internacionales y no inversionistas privados) sea a largo plazo. Si no recibe una nueva inyección de fondos, Grecia se enfrentará a la disyuntiva de hacer un </w:t>
      </w:r>
      <w:r w:rsidRPr="00705582">
        <w:rPr>
          <w:rFonts w:eastAsia="Calibri"/>
          <w:i/>
          <w:sz w:val="26"/>
          <w:szCs w:val="26"/>
          <w:lang w:eastAsia="en-US"/>
        </w:rPr>
        <w:t>default</w:t>
      </w:r>
      <w:r w:rsidRPr="00705582">
        <w:rPr>
          <w:rFonts w:eastAsia="Calibri"/>
          <w:sz w:val="26"/>
          <w:szCs w:val="26"/>
          <w:lang w:eastAsia="en-US"/>
        </w:rPr>
        <w:t xml:space="preserve"> interno (en forma de impago de </w:t>
      </w:r>
      <w:r w:rsidRPr="00705582">
        <w:rPr>
          <w:rFonts w:eastAsia="Calibri"/>
          <w:sz w:val="26"/>
          <w:szCs w:val="26"/>
          <w:lang w:eastAsia="en-US"/>
        </w:rPr>
        <w:lastRenderedPageBreak/>
        <w:t>pensiones o salarios públicos) o externo (a sus acreedores). Y probablemente el gobierno liderado por Tsipras optará por la segunda opción.</w:t>
      </w:r>
    </w:p>
    <w:p w14:paraId="2CE1E380" w14:textId="77777777" w:rsidR="00705582" w:rsidRPr="00705582" w:rsidRDefault="00705582" w:rsidP="00705582">
      <w:pPr>
        <w:spacing w:after="360" w:line="360" w:lineRule="auto"/>
        <w:ind w:right="-159"/>
        <w:jc w:val="both"/>
        <w:rPr>
          <w:rFonts w:eastAsia="Calibri"/>
          <w:sz w:val="26"/>
          <w:szCs w:val="26"/>
          <w:lang w:eastAsia="en-US"/>
        </w:rPr>
      </w:pPr>
      <w:r w:rsidRPr="00705582">
        <w:rPr>
          <w:rFonts w:eastAsia="Calibri"/>
          <w:sz w:val="26"/>
          <w:szCs w:val="26"/>
          <w:lang w:eastAsia="en-US"/>
        </w:rPr>
        <w:t xml:space="preserve">Ante este escenario ha vuelto el debate sobre la salida de Grecia del euro, una salida que nadie quiere pero que podría venir causada por un accidente (bautizado como </w:t>
      </w:r>
      <w:r w:rsidRPr="00705582">
        <w:rPr>
          <w:rFonts w:eastAsia="Calibri"/>
          <w:i/>
          <w:sz w:val="26"/>
          <w:szCs w:val="26"/>
          <w:lang w:eastAsia="en-US"/>
        </w:rPr>
        <w:t>Grexident</w:t>
      </w:r>
      <w:r w:rsidRPr="00705582">
        <w:rPr>
          <w:rFonts w:eastAsia="Calibri"/>
          <w:sz w:val="26"/>
          <w:szCs w:val="26"/>
          <w:lang w:eastAsia="en-US"/>
        </w:rPr>
        <w:t xml:space="preserve">) derivado de que los principales actores involucrados —sobre todo los gobiernos de Grecia y Alemania— calculen mal las implicaciones del “juego del gallina” en el que están involucrados. Los dos van a 200 kilómetros por hora hacia el precipicio del </w:t>
      </w:r>
      <w:r w:rsidRPr="00705582">
        <w:rPr>
          <w:rFonts w:eastAsia="Calibri"/>
          <w:i/>
          <w:sz w:val="26"/>
          <w:szCs w:val="26"/>
          <w:lang w:eastAsia="en-US"/>
        </w:rPr>
        <w:t>Grexident</w:t>
      </w:r>
      <w:r w:rsidRPr="00705582">
        <w:rPr>
          <w:rFonts w:eastAsia="Calibri"/>
          <w:sz w:val="26"/>
          <w:szCs w:val="26"/>
          <w:lang w:eastAsia="en-US"/>
        </w:rPr>
        <w:t xml:space="preserve"> con el convencimiento de que no se va a producir porque el otro va a frenar o girar antes. Según esta narrativa, si ninguno de los dos cede, al impago le seguiría una salida de capitales, un corralito y un corte del financiamiento de los bancos griegos por parte del BCE, que forzaría la salida de Grecia del euro en contra del deseo de la ciudadanía griega, que mayoritariamente apoya tanto a su nuevo gobierno como la permanencia en la zona euro.</w:t>
      </w:r>
    </w:p>
    <w:p w14:paraId="70E18242" w14:textId="3F2DCD86" w:rsidR="00705582" w:rsidRPr="00705582" w:rsidRDefault="00705582" w:rsidP="00705582">
      <w:pPr>
        <w:spacing w:after="360" w:line="360" w:lineRule="auto"/>
        <w:ind w:right="-159"/>
        <w:jc w:val="both"/>
        <w:rPr>
          <w:rFonts w:eastAsia="Calibri"/>
          <w:sz w:val="26"/>
          <w:szCs w:val="26"/>
          <w:lang w:eastAsia="en-US"/>
        </w:rPr>
      </w:pPr>
      <w:r w:rsidRPr="00705582">
        <w:rPr>
          <w:rFonts w:eastAsia="Calibri"/>
          <w:sz w:val="26"/>
          <w:szCs w:val="26"/>
          <w:lang w:eastAsia="en-US"/>
        </w:rPr>
        <w:t xml:space="preserve">Sin embargo, existe una posibilidad intermedia, que además sería mucho más provechosa para todos: un default de deuda dentro del euro. Se trataría de instrumentar una reestructuración de los compromisos financieros de Grecia con sus acreedores públicos en el marco de un nuevo acuerdo del Eurogrupo, por el cual Grecia conseguiría nuevo financiamiento a cambio de una nueva condicionalidad, pero todo sin poner en riesgo </w:t>
      </w:r>
      <w:r w:rsidR="00330C00">
        <w:rPr>
          <w:rFonts w:eastAsia="Calibri"/>
          <w:sz w:val="26"/>
          <w:szCs w:val="26"/>
          <w:lang w:eastAsia="en-US"/>
        </w:rPr>
        <w:t>su pertenencia al euro. Aunque é</w:t>
      </w:r>
      <w:r w:rsidRPr="00705582">
        <w:rPr>
          <w:rFonts w:eastAsia="Calibri"/>
          <w:sz w:val="26"/>
          <w:szCs w:val="26"/>
          <w:lang w:eastAsia="en-US"/>
        </w:rPr>
        <w:t>sta no es la opción preferida por los acreedores, que sufrirían pérdidas en sus préstamos, y tampoco está exenta de riesgos porque las reestructuraciones nunca son fáciles, con ella, Alemania y sus socios conseguirían alejar (tal vez de una vez por todas) el fantasma de la salida de un país de la moneda única. Asimismo, este acuerdo permitiría a Syriza salvar la cara en casa y, lo que es más importante, evitaría un referéndum en Grecia sobre la pertenencia al euro, reduciendo así las incertidumbres asociadas al mismo.</w:t>
      </w:r>
    </w:p>
    <w:p w14:paraId="164F193D" w14:textId="77777777" w:rsidR="00705582" w:rsidRPr="00705582" w:rsidRDefault="00705582" w:rsidP="00705582">
      <w:pPr>
        <w:spacing w:after="360" w:line="360" w:lineRule="auto"/>
        <w:ind w:right="-159"/>
        <w:jc w:val="both"/>
        <w:rPr>
          <w:rFonts w:eastAsia="Calibri"/>
          <w:sz w:val="26"/>
          <w:szCs w:val="26"/>
          <w:lang w:eastAsia="en-US"/>
        </w:rPr>
      </w:pPr>
      <w:r w:rsidRPr="00705582">
        <w:rPr>
          <w:rFonts w:eastAsia="Calibri"/>
          <w:sz w:val="26"/>
          <w:szCs w:val="26"/>
          <w:lang w:eastAsia="en-US"/>
        </w:rPr>
        <w:lastRenderedPageBreak/>
        <w:t xml:space="preserve">Nadie duda de que las negociaciones entre Grecia y el Eurogrupo seguirían siendo tensas y duras, pero tras un default controlado que implicaría que los acreedores pagasen al FMI y al BCE y que recapitalizasen a la banca griega para poder mantener la liquidez del BCE, éstas se producirían lejos del precipicio del </w:t>
      </w:r>
      <w:r w:rsidRPr="00705582">
        <w:rPr>
          <w:rFonts w:eastAsia="Calibri"/>
          <w:i/>
          <w:sz w:val="26"/>
          <w:szCs w:val="26"/>
          <w:lang w:eastAsia="en-US"/>
        </w:rPr>
        <w:t>Grexit</w:t>
      </w:r>
      <w:r w:rsidRPr="00705582">
        <w:rPr>
          <w:rFonts w:eastAsia="Calibri"/>
          <w:sz w:val="26"/>
          <w:szCs w:val="26"/>
          <w:lang w:eastAsia="en-US"/>
        </w:rPr>
        <w:t xml:space="preserve"> que desde 2010 amenaza con hundir al euro a pesar de los avances en la integración que se han producido en los últimos años. Ni siquiera los más optimistas pueden asegurar que la salida de un país del euro no causaría un cataclismo a corto plazo. Además, aunque el contagio hacia otros países fuera evitable y el euro pudiera superar este shock, el precedente de que la pertenencia a la unión monetaria es reversible sería muy peligroso a mediano y largo plazo: si el riesgo de vuelta a la moneda nacional existe, futuras crisis en otros países de la periferia elevarían las primas de riesgo rápidamente devolviendo a la inestabilidad previa a las palabras del presidente del BCE de junio de 2012, tras las que los mercados se calmaron ante el compromiso del BCE de jugar el papel de prestamista de último recurso. En otras palabras, si Grecia sale, el euro ya no es irreversible y la zona euro deja de ser una unión monetaria para convertirse en un mero mecanismo de tipos de cambio fijos, que por definición es susceptible de ser atacado por los especuladores.</w:t>
      </w:r>
    </w:p>
    <w:p w14:paraId="7387E4FE" w14:textId="77777777" w:rsidR="00705582" w:rsidRPr="00705582" w:rsidRDefault="00705582" w:rsidP="00705582">
      <w:pPr>
        <w:spacing w:after="360" w:line="360" w:lineRule="auto"/>
        <w:ind w:right="-159"/>
        <w:jc w:val="both"/>
        <w:rPr>
          <w:rFonts w:eastAsia="Calibri"/>
          <w:sz w:val="26"/>
          <w:szCs w:val="26"/>
          <w:lang w:eastAsia="en-US"/>
        </w:rPr>
      </w:pPr>
      <w:r w:rsidRPr="00705582">
        <w:rPr>
          <w:rFonts w:eastAsia="Calibri"/>
          <w:sz w:val="26"/>
          <w:szCs w:val="26"/>
          <w:lang w:eastAsia="en-US"/>
        </w:rPr>
        <w:t>Por lo tanto, demostrar a los mercados que un impago dentro de la zona euro no equivale al fin de la unión monetaria (de hecho, en 2011 ya se produjo una quita a los acreedores privados de Grecia), aunque tendría un precio y no estaría exento de riesgos y de negociaciones técnicas complejas, sería una opción relativamente barata (al menos comparada con las alternativas que hay hoy sobre la mesa). Con ella se conseguiría sustituir el precipicio que tenemos a nuestros pies por un puente que conduciría a una larga carretera, en la que Grecia y sus acreedores seguirían avanzando hacia la integración y en la que, como hasta ahora, los griegos dependerían de la solidaridad condicional de sus socios, que, para evitar riesgos morales, les seguirían exigiendo reformas por cada uno de los nuevos préstamos.</w:t>
      </w:r>
    </w:p>
    <w:p w14:paraId="3F68C814" w14:textId="77777777" w:rsidR="00705582" w:rsidRPr="00705582" w:rsidRDefault="00705582" w:rsidP="00705582">
      <w:pPr>
        <w:spacing w:after="360" w:line="360" w:lineRule="auto"/>
        <w:ind w:right="-159"/>
        <w:jc w:val="both"/>
        <w:rPr>
          <w:rFonts w:eastAsia="Calibri"/>
          <w:sz w:val="26"/>
          <w:szCs w:val="26"/>
          <w:lang w:eastAsia="en-US"/>
        </w:rPr>
      </w:pPr>
      <w:r w:rsidRPr="00705582">
        <w:rPr>
          <w:rFonts w:eastAsia="Calibri"/>
          <w:sz w:val="26"/>
          <w:szCs w:val="26"/>
          <w:lang w:eastAsia="en-US"/>
        </w:rPr>
        <w:lastRenderedPageBreak/>
        <w:t xml:space="preserve">En realidad esta opción no debería ser tan difícil de aceptar por parte de Alemania, que a lo largo de toda esta crisis siempre se ha resistido a ceder en sus posiciones, pero al mismo tiempo ha mostrado flexibilidad cuando la integridad del euro ha estado en peligro. Desde 2009 hemos visto que ocurrían cosas impensables, que además no estaban contempladas en la arquitectura original del euro, desde los rescates hasta la reestructuración de la deuda privada griega, pasando por la creación del Mecanismo Europeo de Estabilidad (MEDE), la unión bancaria o la compra masiva de deuda pública por parte del BCE. Por el camino, muchos han vaticinado el fin de la unión monetaria, pero el euro ha resistido. Si ahora se produjese una reestructuración ordenada de la deuda griega y se eliminase la opción de </w:t>
      </w:r>
      <w:r w:rsidRPr="00705582">
        <w:rPr>
          <w:rFonts w:eastAsia="Calibri"/>
          <w:i/>
          <w:sz w:val="26"/>
          <w:szCs w:val="26"/>
          <w:lang w:eastAsia="en-US"/>
        </w:rPr>
        <w:t>Grexit</w:t>
      </w:r>
      <w:r w:rsidRPr="00705582">
        <w:rPr>
          <w:rFonts w:eastAsia="Calibri"/>
          <w:sz w:val="26"/>
          <w:szCs w:val="26"/>
          <w:lang w:eastAsia="en-US"/>
        </w:rPr>
        <w:t>, la moneda única saldría fortalecida y los europeos demostrarían que cuando dicen que tienen un destino común, lo creen de verdad.</w:t>
      </w:r>
    </w:p>
    <w:p w14:paraId="31D07F02" w14:textId="77777777" w:rsidR="00705582" w:rsidRPr="00705582" w:rsidRDefault="00705582" w:rsidP="00705582">
      <w:pPr>
        <w:ind w:right="-159"/>
        <w:jc w:val="both"/>
        <w:rPr>
          <w:rFonts w:eastAsia="Calibri"/>
          <w:b/>
          <w:sz w:val="20"/>
          <w:szCs w:val="20"/>
          <w:lang w:eastAsia="en-US"/>
        </w:rPr>
      </w:pPr>
      <w:r w:rsidRPr="00705582">
        <w:rPr>
          <w:rFonts w:eastAsia="Calibri"/>
          <w:b/>
          <w:sz w:val="20"/>
          <w:szCs w:val="20"/>
          <w:lang w:eastAsia="en-US"/>
        </w:rPr>
        <w:t>Fuente de información:</w:t>
      </w:r>
    </w:p>
    <w:p w14:paraId="26A53E1A" w14:textId="77777777" w:rsidR="00705582" w:rsidRPr="00330C00" w:rsidRDefault="00AB7A4A" w:rsidP="00330C00">
      <w:pPr>
        <w:spacing w:after="720"/>
        <w:ind w:right="-159"/>
        <w:jc w:val="both"/>
        <w:rPr>
          <w:rFonts w:eastAsia="Calibri"/>
          <w:color w:val="0000FF"/>
          <w:sz w:val="20"/>
          <w:szCs w:val="20"/>
          <w:lang w:eastAsia="en-US"/>
        </w:rPr>
      </w:pPr>
      <w:hyperlink r:id="rId31" w:history="1">
        <w:r w:rsidR="00705582" w:rsidRPr="00330C00">
          <w:rPr>
            <w:rFonts w:eastAsia="Calibri"/>
            <w:color w:val="0000FF"/>
            <w:sz w:val="20"/>
            <w:szCs w:val="20"/>
            <w:u w:val="single"/>
            <w:lang w:eastAsia="en-US"/>
          </w:rPr>
          <w:t>http://www.realinstitutoelcano.org/wps/wcm/connect/4b1b5f80481b342fb685f68072069ee2/Steinberg-OteroIglesias-Grecia-podria-reestructurar-su-deuda-sin-salirse-del-euro.pdf?MOD=AJPERES&amp;CACHEID=4b1b5f80481b342fb685f68072069ee2</w:t>
        </w:r>
      </w:hyperlink>
    </w:p>
    <w:p w14:paraId="773E24F0" w14:textId="77777777" w:rsidR="00BA73FA" w:rsidRPr="00BA73FA" w:rsidRDefault="00BA73FA" w:rsidP="00BA73FA">
      <w:pPr>
        <w:rPr>
          <w:rFonts w:eastAsia="Calibri"/>
          <w:b/>
          <w:sz w:val="26"/>
          <w:szCs w:val="26"/>
          <w:lang w:eastAsia="en-US"/>
        </w:rPr>
      </w:pPr>
      <w:r w:rsidRPr="00BA73FA">
        <w:rPr>
          <w:rFonts w:eastAsia="Calibri"/>
          <w:b/>
          <w:sz w:val="26"/>
          <w:szCs w:val="26"/>
          <w:lang w:eastAsia="en-US"/>
        </w:rPr>
        <w:t>Comentarios de la Directora</w:t>
      </w:r>
    </w:p>
    <w:p w14:paraId="261C0A1E" w14:textId="77777777" w:rsidR="00BA73FA" w:rsidRPr="00BA73FA" w:rsidRDefault="00BA73FA" w:rsidP="00BA73FA">
      <w:pPr>
        <w:spacing w:after="360" w:line="360" w:lineRule="auto"/>
        <w:ind w:right="-159"/>
        <w:jc w:val="both"/>
        <w:rPr>
          <w:rFonts w:eastAsia="Calibri"/>
          <w:b/>
          <w:sz w:val="26"/>
          <w:szCs w:val="26"/>
          <w:lang w:eastAsia="en-US"/>
        </w:rPr>
      </w:pPr>
      <w:r w:rsidRPr="00BA73FA">
        <w:rPr>
          <w:rFonts w:eastAsia="Calibri"/>
          <w:b/>
          <w:sz w:val="26"/>
          <w:szCs w:val="26"/>
          <w:lang w:eastAsia="en-US"/>
        </w:rPr>
        <w:t>Gerente sobre Grecia (FMI)</w:t>
      </w:r>
    </w:p>
    <w:p w14:paraId="1CBCEF5A" w14:textId="77777777" w:rsidR="00BA73FA" w:rsidRPr="00D46FA9" w:rsidRDefault="00BA73FA" w:rsidP="00BA73FA">
      <w:pPr>
        <w:spacing w:after="360" w:line="360" w:lineRule="auto"/>
        <w:ind w:right="-159"/>
        <w:jc w:val="both"/>
        <w:rPr>
          <w:rFonts w:eastAsia="Calibri"/>
          <w:sz w:val="26"/>
          <w:szCs w:val="26"/>
          <w:lang w:val="es-ES" w:eastAsia="en-US"/>
        </w:rPr>
      </w:pPr>
      <w:r w:rsidRPr="00D46FA9">
        <w:rPr>
          <w:rFonts w:eastAsia="Calibri"/>
          <w:sz w:val="26"/>
          <w:szCs w:val="26"/>
          <w:lang w:eastAsia="en-US"/>
        </w:rPr>
        <w:t xml:space="preserve">El 5 de abril de 2015, </w:t>
      </w:r>
      <w:r w:rsidRPr="00D46FA9">
        <w:rPr>
          <w:rFonts w:eastAsia="Calibri"/>
          <w:sz w:val="26"/>
          <w:szCs w:val="26"/>
          <w:lang w:val="es-ES" w:eastAsia="en-US"/>
        </w:rPr>
        <w:t>el Fondo Monetario Internacional (FMI) publicó los comentarios realizados por su Directora Gerente sobre Grecia. A continuación se presenta la información.</w:t>
      </w:r>
    </w:p>
    <w:p w14:paraId="173709FE" w14:textId="47D7A24D" w:rsidR="00BA73FA" w:rsidRDefault="00BA73FA" w:rsidP="00BA73FA">
      <w:pPr>
        <w:spacing w:after="360" w:line="360" w:lineRule="auto"/>
        <w:ind w:right="-159"/>
        <w:jc w:val="both"/>
        <w:rPr>
          <w:rFonts w:eastAsia="Calibri"/>
          <w:sz w:val="26"/>
          <w:szCs w:val="26"/>
          <w:lang w:eastAsia="en-US"/>
        </w:rPr>
      </w:pPr>
      <w:r w:rsidRPr="00BA73FA">
        <w:rPr>
          <w:rFonts w:eastAsia="Calibri"/>
          <w:sz w:val="26"/>
          <w:szCs w:val="26"/>
          <w:lang w:eastAsia="en-US"/>
        </w:rPr>
        <w:t xml:space="preserve">La Directora Gerente del FMI se reunió con el Ministro de Finanzas de Grecia, para una discusión informal sobre el programa de reformas del Gobierno de </w:t>
      </w:r>
      <w:r w:rsidR="004F5993">
        <w:rPr>
          <w:rFonts w:eastAsia="Calibri"/>
          <w:sz w:val="26"/>
          <w:szCs w:val="26"/>
          <w:lang w:eastAsia="en-US"/>
        </w:rPr>
        <w:t>ese país</w:t>
      </w:r>
      <w:r w:rsidRPr="00BA73FA">
        <w:rPr>
          <w:rFonts w:eastAsia="Calibri"/>
          <w:sz w:val="26"/>
          <w:szCs w:val="26"/>
          <w:lang w:eastAsia="en-US"/>
        </w:rPr>
        <w:t>. Después de la reunión, la funcionaria del FMI hizo el siguiente comentario:</w:t>
      </w:r>
    </w:p>
    <w:p w14:paraId="358714E3" w14:textId="77777777" w:rsidR="00BA73FA" w:rsidRPr="00BA73FA" w:rsidRDefault="00BA73FA" w:rsidP="00BA73FA">
      <w:pPr>
        <w:spacing w:after="360" w:line="360" w:lineRule="auto"/>
        <w:ind w:right="-159"/>
        <w:jc w:val="both"/>
        <w:rPr>
          <w:rFonts w:eastAsia="Calibri"/>
          <w:sz w:val="26"/>
          <w:szCs w:val="26"/>
          <w:lang w:eastAsia="en-US"/>
        </w:rPr>
      </w:pPr>
      <w:r w:rsidRPr="00BA73FA">
        <w:rPr>
          <w:rFonts w:eastAsia="Calibri"/>
          <w:sz w:val="26"/>
          <w:szCs w:val="26"/>
          <w:lang w:eastAsia="en-US"/>
        </w:rPr>
        <w:t>La Directora Gerente del Fondo Monetario Internacional:</w:t>
      </w:r>
    </w:p>
    <w:p w14:paraId="1A392A79" w14:textId="77777777" w:rsidR="00BA73FA" w:rsidRPr="00BA73FA" w:rsidRDefault="00BA73FA" w:rsidP="00BA73FA">
      <w:pPr>
        <w:spacing w:after="360" w:line="360" w:lineRule="auto"/>
        <w:ind w:right="-159"/>
        <w:jc w:val="both"/>
        <w:rPr>
          <w:rFonts w:eastAsia="Calibri"/>
          <w:sz w:val="26"/>
          <w:szCs w:val="26"/>
          <w:lang w:eastAsia="en-US"/>
        </w:rPr>
      </w:pPr>
      <w:r w:rsidRPr="00BA73FA">
        <w:rPr>
          <w:rFonts w:eastAsia="Calibri"/>
          <w:sz w:val="26"/>
          <w:szCs w:val="26"/>
          <w:lang w:eastAsia="en-US"/>
        </w:rPr>
        <w:lastRenderedPageBreak/>
        <w:t>“El Ministro de Finanzas de Grecia y yo intercambiamos puntos de vista sobre la situación actual y los dos estuvimos de acuerdo en que la cooperación efectiva es del interés de todos. Resaltamos que la incertidumbre continua no es del interés de Grecia y recibí la confirmación por parte del Ministro de que el pago que corresponde al Fondo se obtendrá el 9 de abril.</w:t>
      </w:r>
    </w:p>
    <w:p w14:paraId="1E1F2DEA" w14:textId="77777777" w:rsidR="00BA73FA" w:rsidRPr="00BA73FA" w:rsidRDefault="00BA73FA" w:rsidP="00BA73FA">
      <w:pPr>
        <w:spacing w:after="360" w:line="360" w:lineRule="auto"/>
        <w:ind w:right="-159"/>
        <w:jc w:val="both"/>
        <w:rPr>
          <w:rFonts w:eastAsia="Calibri"/>
          <w:sz w:val="26"/>
          <w:szCs w:val="26"/>
          <w:lang w:eastAsia="en-US"/>
        </w:rPr>
      </w:pPr>
      <w:r w:rsidRPr="00BA73FA">
        <w:rPr>
          <w:rFonts w:eastAsia="Calibri"/>
          <w:sz w:val="26"/>
          <w:szCs w:val="26"/>
          <w:lang w:eastAsia="en-US"/>
        </w:rPr>
        <w:t>“Expresé mi reconocimiento por el compromiso del Ministro de mejorar la capacidad de los equipos técnicos para trabajar con las autoridades para llevar a cabo la necesaria y debida diligencia en Atenas, y para mejorar las discusiones sobre políticas con los equipos de Bruselas, las cuales se reanudarán de inmediato el lunes. Reiteré que el Fondo mantiene su compromiso de trabajar conjuntamente con las autoridades para ayudar a Grecia a volver a una senda sostenible de crecimiento y de empleo”.</w:t>
      </w:r>
    </w:p>
    <w:p w14:paraId="2D312833" w14:textId="77777777" w:rsidR="00BA73FA" w:rsidRPr="00BA73FA" w:rsidRDefault="00BA73FA" w:rsidP="00BA73FA">
      <w:pPr>
        <w:ind w:right="-159"/>
        <w:jc w:val="both"/>
        <w:rPr>
          <w:rFonts w:eastAsia="Calibri"/>
          <w:sz w:val="20"/>
          <w:szCs w:val="20"/>
          <w:lang w:eastAsia="en-US"/>
        </w:rPr>
      </w:pPr>
      <w:r w:rsidRPr="00BA73FA">
        <w:rPr>
          <w:rFonts w:eastAsia="Calibri"/>
          <w:b/>
          <w:sz w:val="20"/>
          <w:szCs w:val="20"/>
          <w:lang w:eastAsia="en-US"/>
        </w:rPr>
        <w:t>Fuente de información</w:t>
      </w:r>
      <w:r w:rsidRPr="00BA73FA">
        <w:rPr>
          <w:rFonts w:eastAsia="Calibri"/>
          <w:sz w:val="20"/>
          <w:szCs w:val="20"/>
          <w:lang w:eastAsia="en-US"/>
        </w:rPr>
        <w:t>:</w:t>
      </w:r>
    </w:p>
    <w:p w14:paraId="51DFFD39" w14:textId="77777777" w:rsidR="00BA73FA" w:rsidRPr="00330C00" w:rsidRDefault="00AB7A4A" w:rsidP="00330C00">
      <w:pPr>
        <w:spacing w:after="720"/>
        <w:ind w:right="-159"/>
        <w:jc w:val="both"/>
        <w:rPr>
          <w:rFonts w:eastAsia="Calibri"/>
          <w:color w:val="0000FF"/>
          <w:sz w:val="20"/>
          <w:szCs w:val="20"/>
          <w:lang w:eastAsia="en-US"/>
        </w:rPr>
      </w:pPr>
      <w:hyperlink r:id="rId32" w:history="1">
        <w:r w:rsidR="00BA73FA" w:rsidRPr="00330C00">
          <w:rPr>
            <w:rFonts w:eastAsia="Calibri"/>
            <w:color w:val="0000FF"/>
            <w:sz w:val="20"/>
            <w:szCs w:val="20"/>
            <w:u w:val="single"/>
            <w:lang w:eastAsia="en-US"/>
          </w:rPr>
          <w:t>http://www.imf.org/external/np/sec/pr/2015/pr15162.htm</w:t>
        </w:r>
      </w:hyperlink>
    </w:p>
    <w:p w14:paraId="333A53E2" w14:textId="77777777" w:rsidR="00575778" w:rsidRPr="00575778" w:rsidRDefault="00575778" w:rsidP="00575778">
      <w:pPr>
        <w:spacing w:after="360" w:line="360" w:lineRule="auto"/>
        <w:ind w:right="-159"/>
        <w:jc w:val="both"/>
        <w:rPr>
          <w:rFonts w:eastAsia="Calibri"/>
          <w:b/>
          <w:sz w:val="26"/>
          <w:szCs w:val="26"/>
          <w:lang w:eastAsia="en-US"/>
        </w:rPr>
      </w:pPr>
      <w:r w:rsidRPr="00575778">
        <w:rPr>
          <w:rFonts w:eastAsia="Calibri"/>
          <w:b/>
          <w:sz w:val="26"/>
          <w:szCs w:val="26"/>
          <w:lang w:eastAsia="en-US"/>
        </w:rPr>
        <w:t>Sostener la insostenible zona del euro (Project Syndicate)</w:t>
      </w:r>
    </w:p>
    <w:p w14:paraId="5FB0E190" w14:textId="2C62CC6B" w:rsidR="00575778" w:rsidRPr="00575778" w:rsidRDefault="00575778" w:rsidP="00575778">
      <w:pPr>
        <w:spacing w:after="360" w:line="360" w:lineRule="auto"/>
        <w:ind w:right="-159"/>
        <w:jc w:val="both"/>
        <w:rPr>
          <w:rFonts w:eastAsia="Calibri"/>
          <w:sz w:val="26"/>
          <w:szCs w:val="26"/>
          <w:lang w:val="es-ES" w:eastAsia="en-US"/>
        </w:rPr>
      </w:pPr>
      <w:r w:rsidRPr="00575778">
        <w:rPr>
          <w:rFonts w:eastAsia="Calibri"/>
          <w:sz w:val="26"/>
          <w:szCs w:val="26"/>
          <w:lang w:val="es-ES" w:eastAsia="en-US"/>
        </w:rPr>
        <w:t>El 25 de marzo de 2015, la organización Project Syndicate (</w:t>
      </w:r>
      <w:r w:rsidRPr="00575778">
        <w:rPr>
          <w:rFonts w:eastAsia="Calibri"/>
          <w:i/>
          <w:sz w:val="26"/>
          <w:szCs w:val="26"/>
          <w:lang w:val="es-ES" w:eastAsia="en-US"/>
        </w:rPr>
        <w:t>PS</w:t>
      </w:r>
      <w:r w:rsidRPr="00575778">
        <w:rPr>
          <w:rFonts w:eastAsia="Calibri"/>
          <w:sz w:val="26"/>
          <w:szCs w:val="26"/>
          <w:lang w:val="es-ES" w:eastAsia="en-US"/>
        </w:rPr>
        <w:t>) publicó el artículo “Sostener la insostenible zona del euro”</w:t>
      </w:r>
      <w:r w:rsidR="000F24E2">
        <w:rPr>
          <w:rFonts w:eastAsia="Calibri"/>
          <w:sz w:val="26"/>
          <w:szCs w:val="26"/>
          <w:lang w:val="es-ES" w:eastAsia="en-US"/>
        </w:rPr>
        <w:t>,</w:t>
      </w:r>
      <w:r w:rsidRPr="00575778">
        <w:rPr>
          <w:rFonts w:eastAsia="Calibri"/>
          <w:sz w:val="26"/>
          <w:szCs w:val="26"/>
          <w:lang w:val="es-ES" w:eastAsia="en-US"/>
        </w:rPr>
        <w:t xml:space="preserve"> elaborado por Yannos Papantoniu</w:t>
      </w:r>
      <w:r w:rsidRPr="00575778">
        <w:rPr>
          <w:rFonts w:eastAsia="Calibri"/>
          <w:sz w:val="26"/>
          <w:szCs w:val="26"/>
          <w:vertAlign w:val="superscript"/>
          <w:lang w:val="es-ES" w:eastAsia="en-US"/>
        </w:rPr>
        <w:footnoteReference w:id="6"/>
      </w:r>
      <w:r w:rsidR="000F24E2">
        <w:rPr>
          <w:rFonts w:eastAsia="Calibri"/>
          <w:sz w:val="26"/>
          <w:szCs w:val="26"/>
          <w:lang w:val="es-ES" w:eastAsia="en-US"/>
        </w:rPr>
        <w:t>.</w:t>
      </w:r>
      <w:r w:rsidRPr="00575778">
        <w:rPr>
          <w:rFonts w:eastAsia="Calibri"/>
          <w:sz w:val="26"/>
          <w:szCs w:val="26"/>
          <w:lang w:val="es-ES" w:eastAsia="en-US"/>
        </w:rPr>
        <w:t xml:space="preserve"> A continuación se presenta el contenido.</w:t>
      </w:r>
    </w:p>
    <w:p w14:paraId="1FCA47B4" w14:textId="77777777" w:rsidR="00575778" w:rsidRPr="00575778" w:rsidRDefault="00575778" w:rsidP="00575778">
      <w:pPr>
        <w:spacing w:after="360" w:line="360" w:lineRule="auto"/>
        <w:ind w:right="-159"/>
        <w:jc w:val="both"/>
        <w:rPr>
          <w:rFonts w:eastAsia="Calibri"/>
          <w:sz w:val="26"/>
          <w:szCs w:val="26"/>
          <w:lang w:val="es-ES" w:eastAsia="en-US"/>
        </w:rPr>
      </w:pPr>
      <w:r w:rsidRPr="00575778">
        <w:rPr>
          <w:rFonts w:eastAsia="Calibri"/>
          <w:sz w:val="26"/>
          <w:szCs w:val="26"/>
          <w:lang w:val="es-ES" w:eastAsia="en-US"/>
        </w:rPr>
        <w:t xml:space="preserve">Cuando se estableció la zona del euro, sus creadores previeron un progreso gradual hacia “un área monetaria óptima”, caracterizada por la integración fiscal, la libre circulación de los trabajadores y la unión política. Pero este proceso no ha tenido lugar y —como lo demuestra la interminable crisis griega— la zona del euro continúa plagada </w:t>
      </w:r>
      <w:r w:rsidRPr="00575778">
        <w:rPr>
          <w:rFonts w:eastAsia="Calibri"/>
          <w:sz w:val="26"/>
          <w:szCs w:val="26"/>
          <w:lang w:val="es-ES" w:eastAsia="en-US"/>
        </w:rPr>
        <w:lastRenderedPageBreak/>
        <w:t>de debilidades estructurales y es extremadamente vulnerable a los shocks internos. Esto claramente no es sostenible.</w:t>
      </w:r>
    </w:p>
    <w:p w14:paraId="2E2D7791" w14:textId="77777777" w:rsidR="00575778" w:rsidRPr="00575778" w:rsidRDefault="00575778" w:rsidP="00575778">
      <w:pPr>
        <w:spacing w:after="360" w:line="360" w:lineRule="auto"/>
        <w:ind w:right="-159"/>
        <w:jc w:val="both"/>
        <w:rPr>
          <w:rFonts w:eastAsia="Calibri"/>
          <w:sz w:val="26"/>
          <w:szCs w:val="26"/>
          <w:lang w:val="es-ES" w:eastAsia="en-US"/>
        </w:rPr>
      </w:pPr>
      <w:r w:rsidRPr="00575778">
        <w:rPr>
          <w:rFonts w:eastAsia="Calibri"/>
          <w:sz w:val="26"/>
          <w:szCs w:val="26"/>
          <w:lang w:val="es-ES" w:eastAsia="en-US"/>
        </w:rPr>
        <w:t>A pesar de los esfuerzos por promover la coordinación de las políticas fiscales, los presupuestos de los miembros de la eurozona aún se encuentran en el ámbito de autoridades nacionales separadas y los europeos del norte continúan oponiéndose a las transferencias desde los países más prósperos hacia aquellos en peor situación, más allá de la limitada asignación de los fondos regionales de la Unión Europea. Además, la movilidad de los trabajadores se ve gravemente limitada por las barreras lingüísticas y culturales, además de por los cuellos de botella administrativos. Una unión política “cada vez más estrecha” dejó de atraer el apoyo del público —si es que alguna vez lo hizo— y no resulta entonces viable hoy día.</w:t>
      </w:r>
    </w:p>
    <w:p w14:paraId="2150D1D7" w14:textId="77777777" w:rsidR="00575778" w:rsidRPr="00575778" w:rsidRDefault="00575778" w:rsidP="00575778">
      <w:pPr>
        <w:spacing w:after="360" w:line="360" w:lineRule="auto"/>
        <w:ind w:right="-159"/>
        <w:jc w:val="both"/>
        <w:rPr>
          <w:rFonts w:eastAsia="Calibri"/>
          <w:sz w:val="26"/>
          <w:szCs w:val="26"/>
          <w:lang w:val="es-ES" w:eastAsia="en-US"/>
        </w:rPr>
      </w:pPr>
      <w:r w:rsidRPr="00575778">
        <w:rPr>
          <w:rFonts w:eastAsia="Calibri"/>
          <w:sz w:val="26"/>
          <w:szCs w:val="26"/>
          <w:lang w:val="es-ES" w:eastAsia="en-US"/>
        </w:rPr>
        <w:t>Una creciente cantidad de comentaristas —no solo en el mundo anglosajón— cuestionan la viabilidad de la unión monetaria. Algunos alientan la salida de Grecia de la zona del euro, convencidos de que una unión monetaria más restringida y homogénea sería más sólida y fácil de unir. Otros consideran que una salida de Grecia sería tan solo el principio del inevitable desmoronamiento de un esquema que no sirve al propósito para cual fue creado.</w:t>
      </w:r>
    </w:p>
    <w:p w14:paraId="348EE89E" w14:textId="77777777" w:rsidR="00575778" w:rsidRPr="00575778" w:rsidRDefault="00575778" w:rsidP="00575778">
      <w:pPr>
        <w:spacing w:after="360" w:line="360" w:lineRule="auto"/>
        <w:ind w:right="-159"/>
        <w:jc w:val="both"/>
        <w:rPr>
          <w:rFonts w:eastAsia="Calibri"/>
          <w:sz w:val="26"/>
          <w:szCs w:val="26"/>
          <w:lang w:val="es-ES" w:eastAsia="en-US"/>
        </w:rPr>
      </w:pPr>
      <w:r w:rsidRPr="00575778">
        <w:rPr>
          <w:rFonts w:eastAsia="Calibri"/>
          <w:sz w:val="26"/>
          <w:szCs w:val="26"/>
          <w:lang w:val="es-ES" w:eastAsia="en-US"/>
        </w:rPr>
        <w:t>La zona del euro hasta ahora se las ha ingeniado para desacreditar a los agoreros. A fuerza de pura voluntad política se ha logrado un compromiso tras otro para sostener un proyecto histórico que no resulta, en su estado actual, sostenible.</w:t>
      </w:r>
    </w:p>
    <w:p w14:paraId="697EC21F" w14:textId="77777777" w:rsidR="00575778" w:rsidRPr="00575778" w:rsidRDefault="00575778" w:rsidP="00575778">
      <w:pPr>
        <w:spacing w:after="360" w:line="360" w:lineRule="auto"/>
        <w:ind w:right="-159"/>
        <w:jc w:val="both"/>
        <w:rPr>
          <w:rFonts w:eastAsia="Calibri"/>
          <w:sz w:val="26"/>
          <w:szCs w:val="26"/>
          <w:lang w:val="es-ES" w:eastAsia="en-US"/>
        </w:rPr>
      </w:pPr>
      <w:r w:rsidRPr="00575778">
        <w:rPr>
          <w:rFonts w:eastAsia="Calibri"/>
          <w:sz w:val="26"/>
          <w:szCs w:val="26"/>
          <w:lang w:val="es-ES" w:eastAsia="en-US"/>
        </w:rPr>
        <w:t>La necesidad de mantener este compromiso con la unidad europea y superar las dificultades económicas que van apareciendo se ve reforzada por los nuevos desafíos geopolíticos. En especial, la ambición que se percibe por parte de Rusia para recuperar su influencia de la era soviética desafía el orden basado en normas establecidas después de la Segunda Guerra Mundial, y una ola de extremismo religioso y político amenaza los valores democráticos y liberales.</w:t>
      </w:r>
    </w:p>
    <w:p w14:paraId="3EEA1F77" w14:textId="77777777" w:rsidR="00575778" w:rsidRPr="00575778" w:rsidRDefault="00575778" w:rsidP="00575778">
      <w:pPr>
        <w:spacing w:after="360" w:line="360" w:lineRule="auto"/>
        <w:ind w:right="-159"/>
        <w:jc w:val="both"/>
        <w:rPr>
          <w:rFonts w:eastAsia="Calibri"/>
          <w:sz w:val="26"/>
          <w:szCs w:val="26"/>
          <w:lang w:val="es-ES" w:eastAsia="en-US"/>
        </w:rPr>
      </w:pPr>
      <w:r w:rsidRPr="00575778">
        <w:rPr>
          <w:rFonts w:eastAsia="Calibri"/>
          <w:sz w:val="26"/>
          <w:szCs w:val="26"/>
          <w:lang w:val="es-ES" w:eastAsia="en-US"/>
        </w:rPr>
        <w:lastRenderedPageBreak/>
        <w:t>Pero las dificultades económicas están destinadas a continuar, alimentando las dudas sobre el futuro de la unión monetaria; dudas que podrían convertirse en profecías autocumplidas al socavar la capacidad del euro para funcionar adecuadamente. Las presiones económicas ya han exacerbado el sentimiento antieuropeo en España, Italia e incluso Francia; si se permite que continúe, ese sentimiento podría culminar en una secesión, con devastadoras consecuencias para la zona del euro y Europa en su conjunto.</w:t>
      </w:r>
    </w:p>
    <w:p w14:paraId="36C5E9E7" w14:textId="77777777" w:rsidR="00575778" w:rsidRPr="00575778" w:rsidRDefault="00575778" w:rsidP="00575778">
      <w:pPr>
        <w:spacing w:after="360" w:line="360" w:lineRule="auto"/>
        <w:ind w:right="-159"/>
        <w:jc w:val="both"/>
        <w:rPr>
          <w:rFonts w:eastAsia="Calibri"/>
          <w:sz w:val="26"/>
          <w:szCs w:val="26"/>
          <w:lang w:val="es-ES" w:eastAsia="en-US"/>
        </w:rPr>
      </w:pPr>
      <w:r w:rsidRPr="00575778">
        <w:rPr>
          <w:rFonts w:eastAsia="Calibri"/>
          <w:sz w:val="26"/>
          <w:szCs w:val="26"/>
          <w:lang w:val="es-ES" w:eastAsia="en-US"/>
        </w:rPr>
        <w:t>El primer paso en un proceso tal probablemente sería la división de la zona del euro en subáreas conformadas por países con una capacidad de recuperación relativamente igual. A medida que se torne cada vez más difícil implementar políticas fiscales y monetarias coherentes, aumentaría el riesgo de la disolución completa de la eurozona. La salida de Grecia podría acortar los plazos considerablemente.</w:t>
      </w:r>
    </w:p>
    <w:p w14:paraId="61AB1C4E" w14:textId="77777777" w:rsidR="00575778" w:rsidRPr="00575778" w:rsidRDefault="00575778" w:rsidP="00575778">
      <w:pPr>
        <w:spacing w:after="360" w:line="360" w:lineRule="auto"/>
        <w:ind w:right="-159"/>
        <w:jc w:val="both"/>
        <w:rPr>
          <w:rFonts w:eastAsia="Calibri"/>
          <w:sz w:val="26"/>
          <w:szCs w:val="26"/>
          <w:lang w:val="es-ES" w:eastAsia="en-US"/>
        </w:rPr>
      </w:pPr>
      <w:r w:rsidRPr="00575778">
        <w:rPr>
          <w:rFonts w:eastAsia="Calibri"/>
          <w:sz w:val="26"/>
          <w:szCs w:val="26"/>
          <w:lang w:val="es-ES" w:eastAsia="en-US"/>
        </w:rPr>
        <w:t>Si bien un escenario de ese tipo era inconcebible hace cinco años, cuando surgió la crisis griega, el término “Grexit” (una combinación de Grecia y “salida” en inglés) se incorporó al léxico europeo al poco tiempo, cuando la crisis aumentó su intensidad. Pero los líderes europeos parecieron darse cuenta de las implicaciones que tendría permitir que un país  —incluso Grecia, pequeña y golpeada por la crisis— abandone la eurozona. Por eso este año hubo una serie de reuniones del Eurogrupo con el propósito confesado de evitar ese resultado.</w:t>
      </w:r>
    </w:p>
    <w:p w14:paraId="7C69D0EC" w14:textId="77777777" w:rsidR="00575778" w:rsidRPr="00575778" w:rsidRDefault="00575778" w:rsidP="00330C00">
      <w:pPr>
        <w:spacing w:after="360" w:line="420" w:lineRule="exact"/>
        <w:ind w:right="-159"/>
        <w:jc w:val="both"/>
        <w:rPr>
          <w:rFonts w:eastAsia="Calibri"/>
          <w:sz w:val="26"/>
          <w:szCs w:val="26"/>
          <w:lang w:val="es-ES" w:eastAsia="en-US"/>
        </w:rPr>
      </w:pPr>
      <w:r w:rsidRPr="00575778">
        <w:rPr>
          <w:rFonts w:eastAsia="Calibri"/>
          <w:sz w:val="26"/>
          <w:szCs w:val="26"/>
          <w:lang w:val="es-ES" w:eastAsia="en-US"/>
        </w:rPr>
        <w:t>El problema es que los europeos se han acostumbrado tanto a arreglárselas que las soluciones de largo plazo parecen imposibles. De hecho, en los últimos años, las autoridades de la zona del euro han introducido varias políticas para combatir las crisis financieras, incluidos los fondos de rescate con respaldo gubernamental, una unión bancaria parcial, controles fiscales más estrictos y la función del Banco Central Europeo como prestamista de última instancia. Pero la mayoría de esas políticas —con la posible excepción de la unión bancaria— buscan gestionar el riesgo de cesación de pagos, pero no procuran eliminar sus causas.</w:t>
      </w:r>
    </w:p>
    <w:p w14:paraId="0280DFDB" w14:textId="77777777" w:rsidR="00575778" w:rsidRPr="00575778" w:rsidRDefault="00575778" w:rsidP="00330C00">
      <w:pPr>
        <w:spacing w:after="360" w:line="420" w:lineRule="exact"/>
        <w:ind w:right="-159"/>
        <w:jc w:val="both"/>
        <w:rPr>
          <w:rFonts w:eastAsia="Calibri"/>
          <w:sz w:val="26"/>
          <w:szCs w:val="26"/>
          <w:lang w:val="es-ES" w:eastAsia="en-US"/>
        </w:rPr>
      </w:pPr>
      <w:r w:rsidRPr="00575778">
        <w:rPr>
          <w:rFonts w:eastAsia="Calibri"/>
          <w:sz w:val="26"/>
          <w:szCs w:val="26"/>
          <w:lang w:val="es-ES" w:eastAsia="en-US"/>
        </w:rPr>
        <w:lastRenderedPageBreak/>
        <w:t>Es hora de recuperar la capacidad, exhibida por los fundadores de la Unión Europea (UE), para mirar hacia adelante y luchar por el sueño de un futuro mejor. Específicamente, los líderes de la eurozona deben introducir un mecanismo para las transferencias fiscales de las economías más sólidas a las más débiles.</w:t>
      </w:r>
    </w:p>
    <w:p w14:paraId="25187A40" w14:textId="77777777" w:rsidR="00575778" w:rsidRPr="00575778" w:rsidRDefault="00575778" w:rsidP="00330C00">
      <w:pPr>
        <w:spacing w:after="360" w:line="420" w:lineRule="exact"/>
        <w:ind w:right="-159"/>
        <w:jc w:val="both"/>
        <w:rPr>
          <w:rFonts w:eastAsia="Calibri"/>
          <w:sz w:val="26"/>
          <w:szCs w:val="26"/>
          <w:lang w:val="es-ES" w:eastAsia="en-US"/>
        </w:rPr>
      </w:pPr>
      <w:r w:rsidRPr="00575778">
        <w:rPr>
          <w:rFonts w:eastAsia="Calibri"/>
          <w:sz w:val="26"/>
          <w:szCs w:val="26"/>
          <w:lang w:val="es-ES" w:eastAsia="en-US"/>
        </w:rPr>
        <w:t>En una unión monetaria, las economías individuales no pueden alterar sus tipos de cambio para hacer frente a los cambios en sus competitividades relativas. La viscosidad de los precios resultante tiende a demorar la estabilización macroeconómica y el ajuste estructural, llevando a un aumento de la deuda y del desempleo en las economías más débiles. Sin la libre circulación de los trabajadores, las transferencias fiscales son la única opción de la zona del euro para aliviar los pagos de la deuda y, al estimular la actividad económica, impulsar el empleo.</w:t>
      </w:r>
    </w:p>
    <w:p w14:paraId="3716AABE" w14:textId="77777777" w:rsidR="00575778" w:rsidRPr="00575778" w:rsidRDefault="00575778" w:rsidP="00330C00">
      <w:pPr>
        <w:spacing w:after="360" w:line="420" w:lineRule="exact"/>
        <w:ind w:right="-159"/>
        <w:jc w:val="both"/>
        <w:rPr>
          <w:rFonts w:eastAsia="Calibri"/>
          <w:sz w:val="26"/>
          <w:szCs w:val="26"/>
          <w:lang w:val="es-ES" w:eastAsia="en-US"/>
        </w:rPr>
      </w:pPr>
      <w:r w:rsidRPr="00575778">
        <w:rPr>
          <w:rFonts w:eastAsia="Calibri"/>
          <w:sz w:val="26"/>
          <w:szCs w:val="26"/>
          <w:lang w:val="es-ES" w:eastAsia="en-US"/>
        </w:rPr>
        <w:t>Establecer un mecanismo de ese tipo no será fácil, ya que requieren un recurso escaso en la Europa actual: confianza. De hecho, el norte y el sur han tenido dificultades para superar sus diferencias culturales y las dispares condiciones económicas, que les impiden ver la situación desde la perspectiva del otro.</w:t>
      </w:r>
    </w:p>
    <w:p w14:paraId="7BA0FC0F" w14:textId="77777777" w:rsidR="00575778" w:rsidRDefault="00575778" w:rsidP="00330C00">
      <w:pPr>
        <w:spacing w:after="360" w:line="420" w:lineRule="exact"/>
        <w:ind w:right="-159"/>
        <w:jc w:val="both"/>
        <w:rPr>
          <w:rFonts w:eastAsia="Calibri"/>
          <w:sz w:val="26"/>
          <w:szCs w:val="26"/>
          <w:lang w:val="es-ES" w:eastAsia="en-US"/>
        </w:rPr>
      </w:pPr>
      <w:r w:rsidRPr="00575778">
        <w:rPr>
          <w:rFonts w:eastAsia="Calibri"/>
          <w:sz w:val="26"/>
          <w:szCs w:val="26"/>
          <w:lang w:val="es-ES" w:eastAsia="en-US"/>
        </w:rPr>
        <w:t>Acercar más estrechamente a la unión podría resultar fundamental para construir esa confianza. Una estrategia que combina la racionalidad con el gradualismo necesario para superar la resistencia política sería aumentar continuamente el presupuesto de la UE para que pueda, a la larga, desempeñar un papel macroeconómico, promover la estabilidad y a reforzar la cohesión en la zona del euro.</w:t>
      </w:r>
    </w:p>
    <w:p w14:paraId="69F2BEC3" w14:textId="77777777" w:rsidR="00575778" w:rsidRPr="00575778" w:rsidRDefault="00575778" w:rsidP="00330C00">
      <w:pPr>
        <w:spacing w:after="360" w:line="420" w:lineRule="exact"/>
        <w:ind w:right="-159"/>
        <w:jc w:val="both"/>
        <w:rPr>
          <w:rFonts w:eastAsia="Calibri"/>
          <w:sz w:val="26"/>
          <w:szCs w:val="26"/>
          <w:lang w:val="es-ES" w:eastAsia="en-US"/>
        </w:rPr>
      </w:pPr>
      <w:r w:rsidRPr="00575778">
        <w:rPr>
          <w:rFonts w:eastAsia="Calibri"/>
          <w:sz w:val="26"/>
          <w:szCs w:val="26"/>
          <w:lang w:val="es-ES" w:eastAsia="en-US"/>
        </w:rPr>
        <w:t>No se trata de un objetivo fácil, pero sí de uno fundamental.</w:t>
      </w:r>
    </w:p>
    <w:p w14:paraId="208D2DA9" w14:textId="77777777" w:rsidR="00575778" w:rsidRPr="00575778" w:rsidRDefault="00575778" w:rsidP="00575778">
      <w:pPr>
        <w:ind w:right="-159"/>
        <w:jc w:val="both"/>
        <w:rPr>
          <w:rFonts w:eastAsia="Calibri"/>
          <w:b/>
          <w:sz w:val="20"/>
          <w:szCs w:val="20"/>
          <w:lang w:eastAsia="en-US"/>
        </w:rPr>
      </w:pPr>
      <w:r w:rsidRPr="00575778">
        <w:rPr>
          <w:rFonts w:eastAsia="Calibri"/>
          <w:b/>
          <w:sz w:val="20"/>
          <w:szCs w:val="20"/>
          <w:lang w:eastAsia="en-US"/>
        </w:rPr>
        <w:t>Fuente de información:</w:t>
      </w:r>
    </w:p>
    <w:p w14:paraId="631D78AB" w14:textId="77777777" w:rsidR="00575778" w:rsidRPr="00330C00" w:rsidRDefault="00AB7A4A" w:rsidP="00330C00">
      <w:pPr>
        <w:spacing w:after="720"/>
        <w:ind w:right="-159"/>
        <w:jc w:val="both"/>
        <w:rPr>
          <w:rFonts w:eastAsia="Calibri"/>
          <w:color w:val="0000FF"/>
          <w:sz w:val="20"/>
          <w:szCs w:val="20"/>
          <w:lang w:val="es-ES" w:eastAsia="en-US"/>
        </w:rPr>
      </w:pPr>
      <w:hyperlink r:id="rId33" w:history="1">
        <w:r w:rsidR="00575778" w:rsidRPr="00330C00">
          <w:rPr>
            <w:rFonts w:eastAsia="Calibri"/>
            <w:color w:val="0000FF"/>
            <w:sz w:val="20"/>
            <w:szCs w:val="20"/>
            <w:u w:val="single"/>
            <w:lang w:val="es-ES" w:eastAsia="en-US"/>
          </w:rPr>
          <w:t>http://www.project-syndicate.org/commentary/eurozone-economies-fiscal-transfers-by-yannos-papantoniou-2015-03/spanish</w:t>
        </w:r>
      </w:hyperlink>
    </w:p>
    <w:p w14:paraId="438ED07D" w14:textId="77777777" w:rsidR="00F0445D" w:rsidRDefault="00F0445D" w:rsidP="00564C2B">
      <w:pPr>
        <w:spacing w:after="360" w:line="360" w:lineRule="auto"/>
        <w:ind w:right="-159"/>
        <w:jc w:val="both"/>
        <w:rPr>
          <w:rFonts w:eastAsia="Calibri"/>
          <w:sz w:val="26"/>
          <w:szCs w:val="26"/>
          <w:lang w:eastAsia="en-US"/>
        </w:rPr>
      </w:pPr>
    </w:p>
    <w:p w14:paraId="5424DAA6" w14:textId="77777777" w:rsidR="00172472" w:rsidRPr="00172472" w:rsidRDefault="00172472" w:rsidP="00172472">
      <w:pPr>
        <w:ind w:right="-159"/>
        <w:jc w:val="both"/>
        <w:rPr>
          <w:rFonts w:eastAsia="Calibri"/>
          <w:b/>
          <w:sz w:val="26"/>
          <w:szCs w:val="26"/>
          <w:lang w:eastAsia="en-US"/>
        </w:rPr>
      </w:pPr>
      <w:r w:rsidRPr="00172472">
        <w:rPr>
          <w:rFonts w:eastAsia="Calibri"/>
          <w:b/>
          <w:sz w:val="26"/>
          <w:szCs w:val="26"/>
          <w:lang w:eastAsia="en-US"/>
        </w:rPr>
        <w:lastRenderedPageBreak/>
        <w:t xml:space="preserve">Nuevas cifras muestran que la economía </w:t>
      </w:r>
    </w:p>
    <w:p w14:paraId="24E50279" w14:textId="77777777" w:rsidR="00172472" w:rsidRPr="00172472" w:rsidRDefault="00172472" w:rsidP="00172472">
      <w:pPr>
        <w:spacing w:after="360" w:line="360" w:lineRule="auto"/>
        <w:ind w:right="-159"/>
        <w:jc w:val="both"/>
        <w:rPr>
          <w:rFonts w:eastAsia="Calibri"/>
          <w:b/>
          <w:sz w:val="26"/>
          <w:szCs w:val="26"/>
          <w:lang w:eastAsia="en-US"/>
        </w:rPr>
      </w:pPr>
      <w:r w:rsidRPr="00172472">
        <w:rPr>
          <w:rFonts w:eastAsia="Calibri"/>
          <w:b/>
          <w:sz w:val="26"/>
          <w:szCs w:val="26"/>
          <w:lang w:eastAsia="en-US"/>
        </w:rPr>
        <w:t>brasileña  va  de   mal   en   peor   (WSJ)</w:t>
      </w:r>
    </w:p>
    <w:p w14:paraId="009CB294" w14:textId="77777777" w:rsidR="00172472" w:rsidRPr="00172472" w:rsidRDefault="00172472" w:rsidP="00172472">
      <w:pPr>
        <w:spacing w:after="360" w:line="360" w:lineRule="auto"/>
        <w:ind w:right="-159"/>
        <w:jc w:val="both"/>
        <w:rPr>
          <w:rFonts w:eastAsia="Calibri"/>
          <w:sz w:val="26"/>
          <w:szCs w:val="26"/>
          <w:lang w:eastAsia="en-US"/>
        </w:rPr>
      </w:pPr>
      <w:r w:rsidRPr="00172472">
        <w:rPr>
          <w:rFonts w:eastAsia="Calibri"/>
          <w:sz w:val="26"/>
          <w:szCs w:val="26"/>
          <w:lang w:eastAsia="en-US"/>
        </w:rPr>
        <w:t xml:space="preserve">El 26 de marzo de 2015, el periódico </w:t>
      </w:r>
      <w:r w:rsidRPr="00172472">
        <w:rPr>
          <w:rFonts w:eastAsia="Calibri"/>
          <w:i/>
          <w:sz w:val="26"/>
          <w:szCs w:val="26"/>
          <w:lang w:eastAsia="en-US"/>
        </w:rPr>
        <w:t>The Wall Street Journal</w:t>
      </w:r>
      <w:r w:rsidRPr="00172472">
        <w:rPr>
          <w:rFonts w:eastAsia="Calibri"/>
          <w:sz w:val="26"/>
          <w:szCs w:val="26"/>
          <w:lang w:eastAsia="en-US"/>
        </w:rPr>
        <w:t xml:space="preserve"> (WSJ) informó que nuevas cifras muestran que la economía brasileña va de mal en peor. A continuación se presenta la nota.</w:t>
      </w:r>
    </w:p>
    <w:p w14:paraId="167B8A58" w14:textId="3C77B2F2" w:rsidR="00172472" w:rsidRPr="00172472" w:rsidRDefault="00172472" w:rsidP="00172472">
      <w:pPr>
        <w:spacing w:after="360" w:line="360" w:lineRule="auto"/>
        <w:ind w:right="-159"/>
        <w:jc w:val="both"/>
        <w:rPr>
          <w:rFonts w:eastAsia="Calibri"/>
          <w:sz w:val="26"/>
          <w:szCs w:val="26"/>
          <w:lang w:eastAsia="en-US"/>
        </w:rPr>
      </w:pPr>
      <w:r w:rsidRPr="00172472">
        <w:rPr>
          <w:rFonts w:eastAsia="Calibri"/>
          <w:sz w:val="26"/>
          <w:szCs w:val="26"/>
          <w:lang w:eastAsia="en-US"/>
        </w:rPr>
        <w:t xml:space="preserve">La asediada Presidenta de Brasil recibió más malas noticias económicas, con un informe del gobierno que muestra un aumento en la inflación y otro prediciendo una desaceleración en el crecimiento y un aumento en la inflación. </w:t>
      </w:r>
    </w:p>
    <w:p w14:paraId="1C771CC0" w14:textId="77777777" w:rsidR="00172472" w:rsidRPr="00172472" w:rsidRDefault="00172472" w:rsidP="00172472">
      <w:pPr>
        <w:spacing w:after="360" w:line="360" w:lineRule="auto"/>
        <w:ind w:right="-159"/>
        <w:jc w:val="both"/>
        <w:rPr>
          <w:rFonts w:eastAsia="Calibri"/>
          <w:sz w:val="26"/>
          <w:szCs w:val="26"/>
          <w:lang w:eastAsia="en-US"/>
        </w:rPr>
      </w:pPr>
      <w:r w:rsidRPr="00172472">
        <w:rPr>
          <w:rFonts w:eastAsia="Calibri"/>
          <w:sz w:val="26"/>
          <w:szCs w:val="26"/>
          <w:lang w:eastAsia="en-US"/>
        </w:rPr>
        <w:t>La tasa de desempleo de Brasil subió a 5.9% en febrero, su cifra más alta en casi dos años, según la agencia de estadísticas del país. Mientras tanto, el banco central calculó que el Producto Interno Bruto (PIB) se contrajo 0.1% en 2014 y predijo una contracción de 0.5% para este año, a la vez que revisó su cálculo de inflación para 2015 al alza, a 7.9 por ciento.</w:t>
      </w:r>
    </w:p>
    <w:p w14:paraId="2096BB5F" w14:textId="77777777" w:rsidR="00172472" w:rsidRPr="00172472" w:rsidRDefault="00172472" w:rsidP="00172472">
      <w:pPr>
        <w:spacing w:after="360" w:line="360" w:lineRule="auto"/>
        <w:ind w:right="-159"/>
        <w:jc w:val="both"/>
        <w:rPr>
          <w:rFonts w:eastAsia="Calibri"/>
          <w:sz w:val="26"/>
          <w:szCs w:val="26"/>
          <w:lang w:eastAsia="en-US"/>
        </w:rPr>
      </w:pPr>
      <w:r w:rsidRPr="00172472">
        <w:rPr>
          <w:rFonts w:eastAsia="Calibri"/>
          <w:sz w:val="26"/>
          <w:szCs w:val="26"/>
          <w:lang w:eastAsia="en-US"/>
        </w:rPr>
        <w:t xml:space="preserve">La perspectiva negativa del banco central probablemente sea reforzada el viernes, cuando la agencia de estadísticas publique el informe oficial del PIB del país para el cuarto trimestre y el año 2014. Los economistas calculan que la agencia de estadísticas reportará que el PIB no creció con respecto al año previo. </w:t>
      </w:r>
    </w:p>
    <w:p w14:paraId="519EDD87" w14:textId="491F799B" w:rsidR="00172472" w:rsidRPr="00172472" w:rsidRDefault="00172472" w:rsidP="00172472">
      <w:pPr>
        <w:spacing w:after="360" w:line="360" w:lineRule="auto"/>
        <w:ind w:right="-159"/>
        <w:jc w:val="both"/>
        <w:rPr>
          <w:rFonts w:eastAsia="Calibri"/>
          <w:sz w:val="26"/>
          <w:szCs w:val="26"/>
          <w:lang w:eastAsia="en-US"/>
        </w:rPr>
      </w:pPr>
      <w:r w:rsidRPr="00172472">
        <w:rPr>
          <w:rFonts w:eastAsia="Calibri"/>
          <w:sz w:val="26"/>
          <w:szCs w:val="26"/>
          <w:lang w:eastAsia="en-US"/>
        </w:rPr>
        <w:t>Las cifras se conocen en momentos en que la Presidenta de Brasil enfrenta resistencia de sus aliados en el Congreso a sus propuestas de austeridad económica. El ministro de Hacienda trabaja para reducir el déficit presupuesta</w:t>
      </w:r>
      <w:r w:rsidR="00DA218A">
        <w:rPr>
          <w:rFonts w:eastAsia="Calibri"/>
          <w:sz w:val="26"/>
          <w:szCs w:val="26"/>
          <w:lang w:eastAsia="en-US"/>
        </w:rPr>
        <w:t>rio</w:t>
      </w:r>
      <w:r w:rsidRPr="00172472">
        <w:rPr>
          <w:rFonts w:eastAsia="Calibri"/>
          <w:sz w:val="26"/>
          <w:szCs w:val="26"/>
          <w:lang w:eastAsia="en-US"/>
        </w:rPr>
        <w:t xml:space="preserve"> del país incrementando los impuestos y reduciendo el déficit, medidas que podrían desacelerar aún más a la economía. </w:t>
      </w:r>
    </w:p>
    <w:p w14:paraId="56A5541A" w14:textId="77777777" w:rsidR="00172472" w:rsidRPr="00172472" w:rsidRDefault="00172472" w:rsidP="00172472">
      <w:pPr>
        <w:spacing w:after="360" w:line="360" w:lineRule="auto"/>
        <w:ind w:right="-159"/>
        <w:jc w:val="both"/>
        <w:rPr>
          <w:rFonts w:eastAsia="Calibri"/>
          <w:sz w:val="26"/>
          <w:szCs w:val="26"/>
          <w:lang w:eastAsia="en-US"/>
        </w:rPr>
      </w:pPr>
      <w:r w:rsidRPr="00172472">
        <w:rPr>
          <w:rFonts w:eastAsia="Calibri"/>
          <w:sz w:val="26"/>
          <w:szCs w:val="26"/>
          <w:lang w:eastAsia="en-US"/>
        </w:rPr>
        <w:lastRenderedPageBreak/>
        <w:t xml:space="preserve">Un debilitamiento de la economía es particularmente duro para la Presidenta de Brasil, ya que ella también lucha contra un profundo escándalo de corrupción que involucra a la petrolera estatal Petrobras.  </w:t>
      </w:r>
    </w:p>
    <w:p w14:paraId="1F9859B1" w14:textId="77777777" w:rsidR="00172472" w:rsidRPr="00172472" w:rsidRDefault="00172472" w:rsidP="00172472">
      <w:pPr>
        <w:spacing w:after="360" w:line="360" w:lineRule="auto"/>
        <w:ind w:right="-159"/>
        <w:jc w:val="both"/>
        <w:rPr>
          <w:rFonts w:eastAsia="Calibri"/>
          <w:sz w:val="26"/>
          <w:szCs w:val="26"/>
          <w:lang w:eastAsia="en-US"/>
        </w:rPr>
      </w:pPr>
      <w:r w:rsidRPr="00172472">
        <w:rPr>
          <w:rFonts w:eastAsia="Calibri"/>
          <w:sz w:val="26"/>
          <w:szCs w:val="26"/>
          <w:lang w:eastAsia="en-US"/>
        </w:rPr>
        <w:t>“Atravesamos un ajuste económico”, dijo el economista de Gradual Investimentos en São Paulo. “Pero estamos al principio y se va a poner peor antes que comience a mejorar”.</w:t>
      </w:r>
    </w:p>
    <w:p w14:paraId="32B59286" w14:textId="77777777" w:rsidR="00172472" w:rsidRPr="00172472" w:rsidRDefault="00172472" w:rsidP="00172472">
      <w:pPr>
        <w:spacing w:after="360" w:line="360" w:lineRule="auto"/>
        <w:ind w:right="-159"/>
        <w:jc w:val="both"/>
        <w:rPr>
          <w:rFonts w:eastAsia="Calibri"/>
          <w:sz w:val="26"/>
          <w:szCs w:val="26"/>
          <w:lang w:eastAsia="en-US"/>
        </w:rPr>
      </w:pPr>
      <w:r w:rsidRPr="00172472">
        <w:rPr>
          <w:rFonts w:eastAsia="Calibri"/>
          <w:sz w:val="26"/>
          <w:szCs w:val="26"/>
          <w:lang w:eastAsia="en-US"/>
        </w:rPr>
        <w:t xml:space="preserve">A principios de esta semana, un informe mostró que la confianza de los consumidores brasileños en marzo tocó su punto más bajo desde la creación del indicador en 2005. </w:t>
      </w:r>
    </w:p>
    <w:p w14:paraId="7AC2F37F" w14:textId="77777777" w:rsidR="00172472" w:rsidRPr="00172472" w:rsidRDefault="00172472" w:rsidP="00172472">
      <w:pPr>
        <w:spacing w:after="360" w:line="360" w:lineRule="auto"/>
        <w:ind w:right="-159"/>
        <w:jc w:val="both"/>
        <w:rPr>
          <w:rFonts w:eastAsia="Calibri"/>
          <w:sz w:val="26"/>
          <w:szCs w:val="26"/>
          <w:lang w:eastAsia="en-US"/>
        </w:rPr>
      </w:pPr>
      <w:r w:rsidRPr="00172472">
        <w:rPr>
          <w:rFonts w:eastAsia="Calibri"/>
          <w:sz w:val="26"/>
          <w:szCs w:val="26"/>
          <w:lang w:eastAsia="en-US"/>
        </w:rPr>
        <w:t xml:space="preserve">No obstante, no todo han sido malas noticias para la Presidenta de Brasil esta semana. El lunes, la agencia calificadora </w:t>
      </w:r>
      <w:r w:rsidRPr="00172472">
        <w:rPr>
          <w:rFonts w:eastAsia="Calibri"/>
          <w:i/>
          <w:sz w:val="26"/>
          <w:szCs w:val="26"/>
          <w:lang w:eastAsia="en-US"/>
        </w:rPr>
        <w:t>Standard &amp; Poor’s</w:t>
      </w:r>
      <w:r w:rsidRPr="00172472">
        <w:rPr>
          <w:rFonts w:eastAsia="Calibri"/>
          <w:sz w:val="26"/>
          <w:szCs w:val="26"/>
          <w:lang w:eastAsia="en-US"/>
        </w:rPr>
        <w:t xml:space="preserve"> dijo que mantuvo la calificación de crédito de Brasil en grado de inversión con una perspectiva estable. Algunos temían que S&amp;P rebajara la calificación del país, pero la firma citó el plan económico de Levy como su razón para no hacer cambios y dijo que espera que la presidenta y el Congreso continúen apoyándolo.</w:t>
      </w:r>
    </w:p>
    <w:p w14:paraId="240440A8" w14:textId="77777777" w:rsidR="00172472" w:rsidRPr="00172472" w:rsidRDefault="00172472" w:rsidP="00172472">
      <w:pPr>
        <w:spacing w:after="360" w:line="360" w:lineRule="auto"/>
        <w:ind w:right="-159"/>
        <w:jc w:val="both"/>
        <w:rPr>
          <w:rFonts w:eastAsia="Calibri"/>
          <w:sz w:val="26"/>
          <w:szCs w:val="26"/>
          <w:lang w:eastAsia="en-US"/>
        </w:rPr>
      </w:pPr>
      <w:r w:rsidRPr="00172472">
        <w:rPr>
          <w:rFonts w:eastAsia="Calibri"/>
          <w:sz w:val="26"/>
          <w:szCs w:val="26"/>
          <w:lang w:eastAsia="en-US"/>
        </w:rPr>
        <w:t xml:space="preserve">Sin embargo, El informe de empleos del jueves fue otro mal augurio para la presidenta. El crecimiento económico de Brasil se ha desacelerado marcadamente desde que se expandió 7.6% en 2010. En los años posteriores, la tasa de desempleo se había mantenido cerca de niveles históricamente bajos, lo que le daba a la presidenta un logro importante del cual presumir y le ayudó a ganar unas elecciones reñidas en octubre pasado. </w:t>
      </w:r>
    </w:p>
    <w:p w14:paraId="523127B3" w14:textId="5718BC37" w:rsidR="00172472" w:rsidRPr="00172472" w:rsidRDefault="00172472" w:rsidP="00172472">
      <w:pPr>
        <w:spacing w:after="360" w:line="360" w:lineRule="auto"/>
        <w:ind w:right="-159"/>
        <w:jc w:val="both"/>
        <w:rPr>
          <w:rFonts w:eastAsia="Calibri"/>
          <w:sz w:val="26"/>
          <w:szCs w:val="26"/>
          <w:lang w:eastAsia="en-US"/>
        </w:rPr>
      </w:pPr>
      <w:r w:rsidRPr="00172472">
        <w:rPr>
          <w:rFonts w:eastAsia="Calibri"/>
          <w:sz w:val="26"/>
          <w:szCs w:val="26"/>
          <w:lang w:eastAsia="en-US"/>
        </w:rPr>
        <w:t>Con el desempleo comenzando a subir, desde 4.3% en diciembre a 5.3</w:t>
      </w:r>
      <w:r w:rsidR="001C7810">
        <w:rPr>
          <w:rFonts w:eastAsia="Calibri"/>
          <w:sz w:val="26"/>
          <w:szCs w:val="26"/>
          <w:lang w:eastAsia="en-US"/>
        </w:rPr>
        <w:t>%</w:t>
      </w:r>
      <w:r w:rsidRPr="00172472">
        <w:rPr>
          <w:rFonts w:eastAsia="Calibri"/>
          <w:sz w:val="26"/>
          <w:szCs w:val="26"/>
          <w:lang w:eastAsia="en-US"/>
        </w:rPr>
        <w:t xml:space="preserve"> en enero, la Presidenta de Brasil podría estar perdiendo una de las pocas ventajas políticas que le quedan. </w:t>
      </w:r>
    </w:p>
    <w:p w14:paraId="42CCE07C" w14:textId="77777777" w:rsidR="00172472" w:rsidRPr="00172472" w:rsidRDefault="00172472" w:rsidP="00172472">
      <w:pPr>
        <w:spacing w:after="360" w:line="360" w:lineRule="auto"/>
        <w:ind w:right="-159"/>
        <w:jc w:val="both"/>
        <w:rPr>
          <w:rFonts w:eastAsia="Calibri"/>
          <w:sz w:val="26"/>
          <w:szCs w:val="26"/>
          <w:lang w:eastAsia="en-US"/>
        </w:rPr>
      </w:pPr>
      <w:r w:rsidRPr="00172472">
        <w:rPr>
          <w:rFonts w:eastAsia="Calibri"/>
          <w:sz w:val="26"/>
          <w:szCs w:val="26"/>
          <w:lang w:eastAsia="en-US"/>
        </w:rPr>
        <w:lastRenderedPageBreak/>
        <w:t xml:space="preserve">Mientras tanto, el informe sobre inflación y la economía del banco central, publicado el jueves, mostró que la perspectiva del banco sobre la economía se ha oscurecido considerablemente. La contracción prevista del PIB de 2014 fue una revisión respecto al informe anterior, publicado en diciembre, que calculaba un crecimiento de 0.2 por ciento. </w:t>
      </w:r>
    </w:p>
    <w:p w14:paraId="48CCC273" w14:textId="77777777" w:rsidR="00172472" w:rsidRPr="00172472" w:rsidRDefault="00172472" w:rsidP="00172472">
      <w:pPr>
        <w:spacing w:after="360" w:line="360" w:lineRule="auto"/>
        <w:ind w:right="-159"/>
        <w:jc w:val="both"/>
        <w:rPr>
          <w:rFonts w:eastAsia="Calibri"/>
          <w:sz w:val="26"/>
          <w:szCs w:val="26"/>
          <w:lang w:eastAsia="en-US"/>
        </w:rPr>
      </w:pPr>
      <w:r w:rsidRPr="00172472">
        <w:rPr>
          <w:rFonts w:eastAsia="Calibri"/>
          <w:sz w:val="26"/>
          <w:szCs w:val="26"/>
          <w:lang w:eastAsia="en-US"/>
        </w:rPr>
        <w:t>De igual manera, el banco central pasó de la predicción anterior de un crecimiento de 0.6% para el año a septiembre de 2015 a calcular una contracción de 0.5% durante todo 2015. Si la estimación del banco para 2014 y la predicción de 2015 son correctas, sería la primera vez en décadas en la que el país se contraería por dos años consecutivos.</w:t>
      </w:r>
    </w:p>
    <w:p w14:paraId="724C819A" w14:textId="77777777" w:rsidR="00172472" w:rsidRPr="00172472" w:rsidRDefault="00172472" w:rsidP="00172472">
      <w:pPr>
        <w:ind w:right="-159"/>
        <w:jc w:val="both"/>
        <w:rPr>
          <w:rFonts w:eastAsia="Calibri"/>
          <w:b/>
          <w:sz w:val="20"/>
          <w:szCs w:val="20"/>
          <w:lang w:eastAsia="en-US"/>
        </w:rPr>
      </w:pPr>
      <w:r w:rsidRPr="00172472">
        <w:rPr>
          <w:rFonts w:eastAsia="Calibri"/>
          <w:b/>
          <w:sz w:val="20"/>
          <w:szCs w:val="20"/>
          <w:lang w:eastAsia="en-US"/>
        </w:rPr>
        <w:t>Fuente de información:</w:t>
      </w:r>
    </w:p>
    <w:p w14:paraId="1A075698" w14:textId="2A114FF7" w:rsidR="00467489" w:rsidRDefault="00AB7A4A" w:rsidP="00D27972">
      <w:pPr>
        <w:ind w:right="-159"/>
        <w:jc w:val="both"/>
        <w:rPr>
          <w:rFonts w:eastAsia="Calibri"/>
          <w:sz w:val="26"/>
          <w:szCs w:val="26"/>
          <w:lang w:eastAsia="en-US"/>
        </w:rPr>
      </w:pPr>
      <w:hyperlink r:id="rId34" w:history="1">
        <w:r w:rsidR="00172472" w:rsidRPr="00330C00">
          <w:rPr>
            <w:rFonts w:eastAsia="Calibri"/>
            <w:color w:val="0000FF"/>
            <w:sz w:val="20"/>
            <w:szCs w:val="20"/>
            <w:u w:val="single"/>
            <w:lang w:eastAsia="en-US"/>
          </w:rPr>
          <w:t>http://lat.wsj.com/articles/SB11359226210375633378604580542393037917012?tesla=y</w:t>
        </w:r>
      </w:hyperlink>
      <w:r w:rsidR="00172472" w:rsidRPr="00330C00">
        <w:rPr>
          <w:rFonts w:eastAsia="Calibri"/>
          <w:color w:val="0000FF"/>
          <w:sz w:val="20"/>
          <w:szCs w:val="20"/>
          <w:lang w:eastAsia="en-US"/>
        </w:rPr>
        <w:t xml:space="preserve"> </w:t>
      </w:r>
    </w:p>
    <w:sectPr w:rsidR="00467489" w:rsidSect="00AB0F34">
      <w:headerReference w:type="even" r:id="rId35"/>
      <w:headerReference w:type="default" r:id="rId36"/>
      <w:pgSz w:w="12242" w:h="15842" w:code="1"/>
      <w:pgMar w:top="1417" w:right="1701" w:bottom="1417" w:left="1701" w:header="709" w:footer="709" w:gutter="0"/>
      <w:pgNumType w:start="955"/>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D232E48" w14:textId="77777777" w:rsidR="00AB7A4A" w:rsidRDefault="00AB7A4A">
      <w:r>
        <w:separator/>
      </w:r>
    </w:p>
  </w:endnote>
  <w:endnote w:type="continuationSeparator" w:id="0">
    <w:p w14:paraId="1D490313" w14:textId="77777777" w:rsidR="00AB7A4A" w:rsidRDefault="00AB7A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rinda">
    <w:panose1 w:val="020B0502040204020203"/>
    <w:charset w:val="01"/>
    <w:family w:val="roman"/>
    <w:notTrueType/>
    <w:pitch w:val="variable"/>
  </w:font>
  <w:font w:name="Calibri">
    <w:panose1 w:val="020F0502020204030204"/>
    <w:charset w:val="00"/>
    <w:family w:val="swiss"/>
    <w:pitch w:val="variable"/>
    <w:sig w:usb0="E00002FF" w:usb1="4000ACFF" w:usb2="00000001" w:usb3="00000000" w:csb0="0000019F" w:csb1="00000000"/>
  </w:font>
  <w:font w:name="Vladimir Script">
    <w:panose1 w:val="03050402040407070305"/>
    <w:charset w:val="00"/>
    <w:family w:val="script"/>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Century Gothic">
    <w:panose1 w:val="020B0502020202020204"/>
    <w:charset w:val="00"/>
    <w:family w:val="swiss"/>
    <w:pitch w:val="variable"/>
    <w:sig w:usb0="00000287" w:usb1="000000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Garamond">
    <w:panose1 w:val="02020404030301010803"/>
    <w:charset w:val="00"/>
    <w:family w:val="roman"/>
    <w:pitch w:val="variable"/>
    <w:sig w:usb0="00000287" w:usb1="00000000" w:usb2="00000000" w:usb3="00000000" w:csb0="0000009F" w:csb1="00000000"/>
  </w:font>
  <w:font w:name="Trebuchet MS">
    <w:panose1 w:val="020B0603020202020204"/>
    <w:charset w:val="00"/>
    <w:family w:val="swiss"/>
    <w:pitch w:val="variable"/>
    <w:sig w:usb0="00000287" w:usb1="00000003" w:usb2="00000000" w:usb3="00000000" w:csb0="0000009F" w:csb1="00000000"/>
  </w:font>
  <w:font w:name="Lucida Sans Unicode">
    <w:panose1 w:val="020B0602030504020204"/>
    <w:charset w:val="00"/>
    <w:family w:val="swiss"/>
    <w:pitch w:val="variable"/>
    <w:sig w:usb0="80000AFF" w:usb1="0000396B" w:usb2="00000000" w:usb3="00000000" w:csb0="000000BF" w:csb1="00000000"/>
  </w:font>
  <w:font w:name="StarSymbol">
    <w:altName w:val="Arial Unicode MS"/>
    <w:charset w:val="02"/>
    <w:family w:val="auto"/>
    <w:pitch w:val="default"/>
  </w:font>
  <w:font w:name="Helvetica">
    <w:panose1 w:val="020B0604020202020204"/>
    <w:charset w:val="00"/>
    <w:family w:val="swiss"/>
    <w:notTrueType/>
    <w:pitch w:val="variable"/>
    <w:sig w:usb0="00000003" w:usb1="00000000" w:usb2="00000000" w:usb3="00000000" w:csb0="00000001" w:csb1="00000000"/>
  </w:font>
  <w:font w:name="Arial Black">
    <w:panose1 w:val="020B0A04020102020204"/>
    <w:charset w:val="00"/>
    <w:family w:val="swiss"/>
    <w:pitch w:val="variable"/>
    <w:sig w:usb0="A00002AF" w:usb1="400078FB" w:usb2="00000000" w:usb3="00000000" w:csb0="0000009F" w:csb1="00000000"/>
  </w:font>
  <w:font w:name="MS Mincho">
    <w:altName w:val="ＭＳ 明朝"/>
    <w:panose1 w:val="02020609040205080304"/>
    <w:charset w:val="80"/>
    <w:family w:val="roman"/>
    <w:notTrueType/>
    <w:pitch w:val="fixed"/>
    <w:sig w:usb0="00000001" w:usb1="08070000" w:usb2="00000010" w:usb3="00000000" w:csb0="00020000" w:csb1="00000000"/>
  </w:font>
  <w:font w:name="Arial Narrow">
    <w:panose1 w:val="020B0606020202030204"/>
    <w:charset w:val="00"/>
    <w:family w:val="swiss"/>
    <w:pitch w:val="variable"/>
    <w:sig w:usb0="00000287" w:usb1="00000800" w:usb2="00000000" w:usb3="00000000" w:csb0="0000009F" w:csb1="00000000"/>
  </w:font>
  <w:font w:name="Frutiger LT Std 45 Light">
    <w:altName w:val="Frutiger LT Std 45 Light"/>
    <w:panose1 w:val="00000000000000000000"/>
    <w:charset w:val="00"/>
    <w:family w:val="swiss"/>
    <w:notTrueType/>
    <w:pitch w:val="default"/>
    <w:sig w:usb0="00000003" w:usb1="00000000" w:usb2="00000000" w:usb3="00000000" w:csb0="00000001" w:csb1="00000000"/>
  </w:font>
  <w:font w:name="Lucida Sans">
    <w:panose1 w:val="020B0602030504020204"/>
    <w:charset w:val="00"/>
    <w:family w:val="swiss"/>
    <w:pitch w:val="variable"/>
    <w:sig w:usb0="00000003" w:usb1="00000000" w:usb2="00000000" w:usb3="00000000" w:csb0="00000001" w:csb1="00000000"/>
  </w:font>
  <w:font w:name="Georgia, Times">
    <w:altName w:val="Times New Roman"/>
    <w:panose1 w:val="00000000000000000000"/>
    <w:charset w:val="00"/>
    <w:family w:val="roman"/>
    <w:notTrueType/>
    <w:pitch w:val="default"/>
  </w:font>
  <w:font w:name="Georgia, Times, serif">
    <w:altName w:val="Times New Roman"/>
    <w:panose1 w:val="00000000000000000000"/>
    <w:charset w:val="00"/>
    <w:family w:val="roman"/>
    <w:notTrueType/>
    <w:pitch w:val="default"/>
  </w:font>
  <w:font w:name="CG Palacio (WN)">
    <w:panose1 w:val="00000000000000000000"/>
    <w:charset w:val="00"/>
    <w:family w:val="roman"/>
    <w:notTrueType/>
    <w:pitch w:val="variable"/>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Frutiger LT Std 55 Roman">
    <w:altName w:val="Frutiger LT Std 55 Roman"/>
    <w:panose1 w:val="00000000000000000000"/>
    <w:charset w:val="00"/>
    <w:family w:val="roman"/>
    <w:notTrueType/>
    <w:pitch w:val="default"/>
    <w:sig w:usb0="00000003" w:usb1="00000000" w:usb2="00000000" w:usb3="00000000" w:csb0="00000001" w:csb1="00000000"/>
  </w:font>
  <w:font w:name="Frutiger LT Std 47 Light Cn">
    <w:altName w:val="Frutiger LT Std 47 Light Cn"/>
    <w:panose1 w:val="00000000000000000000"/>
    <w:charset w:val="00"/>
    <w:family w:val="swiss"/>
    <w:notTrueType/>
    <w:pitch w:val="default"/>
    <w:sig w:usb0="00000003" w:usb1="00000000" w:usb2="00000000" w:usb3="00000000" w:csb0="00000001" w:csb1="00000000"/>
  </w:font>
  <w:font w:name="Frutiger LT Std 57 Cn">
    <w:altName w:val="Frutiger LT Std 57 Cn"/>
    <w:panose1 w:val="00000000000000000000"/>
    <w:charset w:val="00"/>
    <w:family w:val="swiss"/>
    <w:notTrueType/>
    <w:pitch w:val="default"/>
    <w:sig w:usb0="00000003" w:usb1="00000000" w:usb2="00000000" w:usb3="00000000" w:csb0="00000001" w:csb1="00000000"/>
  </w:font>
  <w:font w:name="Arial MT">
    <w:altName w:val="Times New Roman"/>
    <w:panose1 w:val="00000000000000000000"/>
    <w:charset w:val="00"/>
    <w:family w:val="roman"/>
    <w:notTrueType/>
    <w:pitch w:val="default"/>
  </w:font>
  <w:font w:name="Stag Sans Light">
    <w:altName w:val="Stag Sans Light"/>
    <w:panose1 w:val="00000000000000000000"/>
    <w:charset w:val="00"/>
    <w:family w:val="swiss"/>
    <w:notTrueType/>
    <w:pitch w:val="default"/>
    <w:sig w:usb0="00000003" w:usb1="00000000" w:usb2="00000000" w:usb3="00000000" w:csb0="00000001" w:csb1="00000000"/>
  </w:font>
  <w:font w:name="MetroflexUniBold">
    <w:altName w:val="MetroflexUniBold"/>
    <w:panose1 w:val="00000000000000000000"/>
    <w:charset w:val="00"/>
    <w:family w:val="swiss"/>
    <w:notTrueType/>
    <w:pitch w:val="default"/>
    <w:sig w:usb0="00000003" w:usb1="00000000" w:usb2="00000000" w:usb3="00000000" w:csb0="00000001" w:csb1="00000000"/>
  </w:font>
  <w:font w:name="HelveticaNeue Condensed">
    <w:altName w:val="HelveticaNeue Condensed"/>
    <w:panose1 w:val="00000000000000000000"/>
    <w:charset w:val="00"/>
    <w:family w:val="swiss"/>
    <w:notTrueType/>
    <w:pitch w:val="default"/>
    <w:sig w:usb0="00000003" w:usb1="00000000" w:usb2="00000000" w:usb3="00000000" w:csb0="00000001" w:csb1="00000000"/>
  </w:font>
  <w:font w:name="Univers">
    <w:panose1 w:val="020B0603020202030204"/>
    <w:charset w:val="00"/>
    <w:family w:val="swiss"/>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25FBF0D" w14:textId="77777777" w:rsidR="00AB7A4A" w:rsidRDefault="00AB7A4A">
      <w:r>
        <w:separator/>
      </w:r>
    </w:p>
  </w:footnote>
  <w:footnote w:type="continuationSeparator" w:id="0">
    <w:p w14:paraId="603F75E1" w14:textId="77777777" w:rsidR="00AB7A4A" w:rsidRDefault="00AB7A4A">
      <w:r>
        <w:continuationSeparator/>
      </w:r>
    </w:p>
  </w:footnote>
  <w:footnote w:id="1">
    <w:p w14:paraId="29E26E71" w14:textId="55CB5D9A" w:rsidR="00AB0F34" w:rsidRPr="00330C00" w:rsidRDefault="00AB0F34" w:rsidP="00330C00">
      <w:pPr>
        <w:pStyle w:val="Textonotapie"/>
        <w:ind w:left="154" w:right="-159" w:hanging="98"/>
        <w:jc w:val="both"/>
        <w:rPr>
          <w:color w:val="0000FF"/>
        </w:rPr>
      </w:pPr>
      <w:r w:rsidRPr="00C37D4B">
        <w:rPr>
          <w:rStyle w:val="Refdenotaalpie"/>
        </w:rPr>
        <w:footnoteRef/>
      </w:r>
      <w:hyperlink r:id="rId1" w:history="1">
        <w:r w:rsidRPr="00330C00">
          <w:rPr>
            <w:rStyle w:val="Hipervnculo"/>
          </w:rPr>
          <w:t>http://envivo.bancomundial.org/latinoamerica-en-busca-del-crecimiento-perdido</w:t>
        </w:r>
      </w:hyperlink>
      <w:r w:rsidRPr="00330C00">
        <w:rPr>
          <w:color w:val="0000FF"/>
        </w:rPr>
        <w:t xml:space="preserve"> </w:t>
      </w:r>
    </w:p>
  </w:footnote>
  <w:footnote w:id="2">
    <w:p w14:paraId="6EB39C7F" w14:textId="4AB67C4C" w:rsidR="00AB0F34" w:rsidRPr="00330C00" w:rsidRDefault="00AB0F34" w:rsidP="00330C00">
      <w:pPr>
        <w:pStyle w:val="Textonotapie"/>
        <w:ind w:left="154" w:right="-159" w:hanging="98"/>
        <w:rPr>
          <w:color w:val="0000FF"/>
        </w:rPr>
      </w:pPr>
      <w:r w:rsidRPr="00C37D4B">
        <w:rPr>
          <w:rStyle w:val="Refdenotaalpie"/>
        </w:rPr>
        <w:footnoteRef/>
      </w:r>
      <w:hyperlink r:id="rId2" w:history="1">
        <w:r w:rsidRPr="00330C00">
          <w:rPr>
            <w:rStyle w:val="Hipervnculo"/>
          </w:rPr>
          <w:t>http://www.worldbank.org/content/dam/Worldbank/Feature%20Story/lac/PELACResumen%20Ejecutivo_Reporte%20Semestral%20Abril%202015.pdf</w:t>
        </w:r>
      </w:hyperlink>
      <w:r w:rsidRPr="00330C00">
        <w:rPr>
          <w:color w:val="0000FF"/>
        </w:rPr>
        <w:t xml:space="preserve"> </w:t>
      </w:r>
    </w:p>
  </w:footnote>
  <w:footnote w:id="3">
    <w:p w14:paraId="7B879DDB" w14:textId="77777777" w:rsidR="00AB0F34" w:rsidRPr="003364A1" w:rsidRDefault="00AB0F34" w:rsidP="0015387C">
      <w:pPr>
        <w:pStyle w:val="Textonotapie"/>
        <w:jc w:val="both"/>
      </w:pPr>
      <w:r w:rsidRPr="003364A1">
        <w:rPr>
          <w:rStyle w:val="Refdenotaalpie"/>
        </w:rPr>
        <w:footnoteRef/>
      </w:r>
      <w:r w:rsidRPr="003364A1">
        <w:t xml:space="preserve"> Reporte semestral</w:t>
      </w:r>
      <w:r>
        <w:t xml:space="preserve"> de la oficina del  </w:t>
      </w:r>
      <w:r w:rsidRPr="003364A1">
        <w:t>Economista Jefe Regional</w:t>
      </w:r>
      <w:r>
        <w:t>.</w:t>
      </w:r>
    </w:p>
  </w:footnote>
  <w:footnote w:id="4">
    <w:p w14:paraId="3C81BC19" w14:textId="77777777" w:rsidR="00AB0F34" w:rsidRPr="00636B1D" w:rsidRDefault="00AB0F34" w:rsidP="00330C00">
      <w:pPr>
        <w:pStyle w:val="Textonotapie"/>
        <w:ind w:left="196" w:right="-159" w:hanging="157"/>
        <w:jc w:val="both"/>
      </w:pPr>
      <w:r w:rsidRPr="00636B1D">
        <w:rPr>
          <w:rStyle w:val="Refdenotaalpie"/>
        </w:rPr>
        <w:footnoteRef/>
      </w:r>
      <w:r w:rsidRPr="00636B1D">
        <w:t xml:space="preserve"> El Grupo Consultivo Africano está integrado por los Gobernadores del FMI de un subconjunto de 15 países africanos que pertenecen al Grupo Africano (ministros de Hacienda y presidentes de bancos centrales africanos) y la gerencia del FMI. Se formó en 2007 para estrechar el diálogo con el Grupo Africano del FMI sobre las políticas. El Grupo se reúne en ocasión de las Reuniones de Primavera, en tanto que la gerencia del FMI se reúne con todos los miembros del Grupo Africano en las Reuniones Anuales.</w:t>
      </w:r>
    </w:p>
  </w:footnote>
  <w:footnote w:id="5">
    <w:p w14:paraId="608B61AC" w14:textId="77777777" w:rsidR="00AB0F34" w:rsidRPr="00330C00" w:rsidRDefault="00AB0F34" w:rsidP="00575778">
      <w:pPr>
        <w:pStyle w:val="Textonotapie"/>
        <w:jc w:val="both"/>
        <w:rPr>
          <w:color w:val="0000FF"/>
        </w:rPr>
      </w:pPr>
      <w:r w:rsidRPr="00330C00">
        <w:rPr>
          <w:rStyle w:val="Nmerodepgina"/>
          <w:vertAlign w:val="superscript"/>
        </w:rPr>
        <w:footnoteRef/>
      </w:r>
      <w:r w:rsidRPr="00330C00">
        <w:t xml:space="preserve"> </w:t>
      </w:r>
      <w:hyperlink r:id="rId3" w:history="1">
        <w:r w:rsidRPr="00330C00">
          <w:rPr>
            <w:rStyle w:val="Hipervnculo"/>
          </w:rPr>
          <w:t>http://www.oecd.org/economy/economicoutlook.htm</w:t>
        </w:r>
      </w:hyperlink>
      <w:r w:rsidRPr="00330C00">
        <w:rPr>
          <w:color w:val="0000FF"/>
        </w:rPr>
        <w:t xml:space="preserve"> </w:t>
      </w:r>
    </w:p>
  </w:footnote>
  <w:footnote w:id="6">
    <w:p w14:paraId="4F185FC6" w14:textId="77777777" w:rsidR="00AB0F34" w:rsidRPr="00261605" w:rsidRDefault="00AB0F34" w:rsidP="00330C00">
      <w:pPr>
        <w:pStyle w:val="Textonotapie"/>
        <w:ind w:left="196" w:right="-159" w:hanging="160"/>
        <w:jc w:val="both"/>
      </w:pPr>
      <w:r w:rsidRPr="00E06EFC">
        <w:rPr>
          <w:rStyle w:val="Refdenotaalpie"/>
        </w:rPr>
        <w:footnoteRef/>
      </w:r>
      <w:r w:rsidRPr="00E06EFC">
        <w:t xml:space="preserve"> </w:t>
      </w:r>
      <w:r w:rsidRPr="00E61323">
        <w:t>Yannos Papantoniou fue Ministro de Economía y Finanzas de Grecia de 1994 a 2001. En la actualidad es Presidente del Centro de Investigación de Política Progresista, un think-tank independiente.</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5BA8AF" w14:textId="77777777" w:rsidR="00AB0F34" w:rsidRPr="00692817" w:rsidRDefault="00AB0F34" w:rsidP="00692817">
    <w:pPr>
      <w:pStyle w:val="Encabezado"/>
      <w:pBdr>
        <w:bottom w:val="single" w:sz="4" w:space="1" w:color="660033"/>
      </w:pBdr>
      <w:tabs>
        <w:tab w:val="clear" w:pos="8504"/>
        <w:tab w:val="left" w:pos="4545"/>
        <w:tab w:val="right" w:pos="8820"/>
      </w:tabs>
      <w:ind w:right="-159"/>
      <w:rPr>
        <w:i/>
        <w:color w:val="660033"/>
        <w:sz w:val="22"/>
        <w:szCs w:val="22"/>
      </w:rPr>
    </w:pPr>
    <w:r w:rsidRPr="00692817">
      <w:rPr>
        <w:rStyle w:val="Nmerodepgina"/>
        <w:i/>
        <w:color w:val="660033"/>
        <w:sz w:val="22"/>
        <w:szCs w:val="22"/>
      </w:rPr>
      <w:fldChar w:fldCharType="begin"/>
    </w:r>
    <w:r w:rsidRPr="00692817">
      <w:rPr>
        <w:rStyle w:val="Nmerodepgina"/>
        <w:i/>
        <w:color w:val="660033"/>
        <w:sz w:val="22"/>
        <w:szCs w:val="22"/>
      </w:rPr>
      <w:instrText xml:space="preserve"> PAGE </w:instrText>
    </w:r>
    <w:r w:rsidRPr="00692817">
      <w:rPr>
        <w:rStyle w:val="Nmerodepgina"/>
        <w:i/>
        <w:color w:val="660033"/>
        <w:sz w:val="22"/>
        <w:szCs w:val="22"/>
      </w:rPr>
      <w:fldChar w:fldCharType="separate"/>
    </w:r>
    <w:r w:rsidR="00692817">
      <w:rPr>
        <w:rStyle w:val="Nmerodepgina"/>
        <w:i/>
        <w:noProof/>
        <w:color w:val="660033"/>
        <w:sz w:val="22"/>
        <w:szCs w:val="22"/>
      </w:rPr>
      <w:t>974</w:t>
    </w:r>
    <w:r w:rsidRPr="00692817">
      <w:rPr>
        <w:rStyle w:val="Nmerodepgina"/>
        <w:i/>
        <w:color w:val="660033"/>
        <w:sz w:val="22"/>
        <w:szCs w:val="22"/>
      </w:rPr>
      <w:fldChar w:fldCharType="end"/>
    </w:r>
    <w:r w:rsidRPr="00692817">
      <w:rPr>
        <w:rStyle w:val="Nmerodepgina"/>
        <w:i/>
        <w:color w:val="660033"/>
        <w:sz w:val="22"/>
        <w:szCs w:val="22"/>
      </w:rPr>
      <w:tab/>
    </w:r>
    <w:r w:rsidRPr="00692817">
      <w:rPr>
        <w:rStyle w:val="Nmerodepgina"/>
        <w:i/>
        <w:color w:val="660033"/>
        <w:sz w:val="22"/>
        <w:szCs w:val="22"/>
      </w:rPr>
      <w:tab/>
    </w:r>
    <w:r w:rsidRPr="00692817">
      <w:rPr>
        <w:rStyle w:val="Nmerodepgina"/>
        <w:i/>
        <w:color w:val="660033"/>
        <w:sz w:val="22"/>
        <w:szCs w:val="22"/>
      </w:rPr>
      <w:tab/>
    </w:r>
    <w:r w:rsidRPr="00692817">
      <w:rPr>
        <w:i/>
        <w:color w:val="660033"/>
        <w:sz w:val="22"/>
        <w:szCs w:val="22"/>
      </w:rPr>
      <w:t>Comisión Nacional de los Salarios Mínimos</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FD7D1EC" w14:textId="2975F90E" w:rsidR="00AB0F34" w:rsidRPr="00692817" w:rsidRDefault="00AB0F34" w:rsidP="00692817">
    <w:pPr>
      <w:pStyle w:val="Encabezado"/>
      <w:pBdr>
        <w:bottom w:val="single" w:sz="4" w:space="1" w:color="660033"/>
      </w:pBdr>
      <w:tabs>
        <w:tab w:val="clear" w:pos="8504"/>
        <w:tab w:val="right" w:pos="9000"/>
      </w:tabs>
      <w:ind w:right="-159"/>
      <w:rPr>
        <w:i/>
        <w:color w:val="660033"/>
        <w:sz w:val="22"/>
        <w:szCs w:val="22"/>
      </w:rPr>
    </w:pPr>
    <w:r w:rsidRPr="00692817">
      <w:rPr>
        <w:i/>
        <w:color w:val="660033"/>
        <w:sz w:val="22"/>
        <w:szCs w:val="22"/>
      </w:rPr>
      <w:t>Postcrisis Financiera Mundial</w:t>
    </w:r>
    <w:r w:rsidRPr="00692817">
      <w:rPr>
        <w:i/>
        <w:color w:val="660033"/>
        <w:sz w:val="22"/>
        <w:szCs w:val="22"/>
      </w:rPr>
      <w:tab/>
    </w:r>
    <w:r w:rsidRPr="00692817">
      <w:rPr>
        <w:i/>
        <w:color w:val="660033"/>
        <w:sz w:val="22"/>
        <w:szCs w:val="22"/>
      </w:rPr>
      <w:tab/>
      <w:t xml:space="preserve">    </w:t>
    </w:r>
    <w:r w:rsidRPr="00692817">
      <w:rPr>
        <w:rStyle w:val="Nmerodepgina"/>
        <w:i/>
        <w:color w:val="660033"/>
        <w:sz w:val="22"/>
        <w:szCs w:val="22"/>
      </w:rPr>
      <w:fldChar w:fldCharType="begin"/>
    </w:r>
    <w:r w:rsidRPr="00692817">
      <w:rPr>
        <w:rStyle w:val="Nmerodepgina"/>
        <w:i/>
        <w:color w:val="660033"/>
        <w:sz w:val="22"/>
        <w:szCs w:val="22"/>
      </w:rPr>
      <w:instrText xml:space="preserve"> PAGE </w:instrText>
    </w:r>
    <w:r w:rsidRPr="00692817">
      <w:rPr>
        <w:rStyle w:val="Nmerodepgina"/>
        <w:i/>
        <w:color w:val="660033"/>
        <w:sz w:val="22"/>
        <w:szCs w:val="22"/>
      </w:rPr>
      <w:fldChar w:fldCharType="separate"/>
    </w:r>
    <w:r w:rsidR="00692817">
      <w:rPr>
        <w:rStyle w:val="Nmerodepgina"/>
        <w:i/>
        <w:noProof/>
        <w:color w:val="660033"/>
        <w:sz w:val="22"/>
        <w:szCs w:val="22"/>
      </w:rPr>
      <w:t>975</w:t>
    </w:r>
    <w:r w:rsidRPr="00692817">
      <w:rPr>
        <w:rStyle w:val="Nmerodepgina"/>
        <w:i/>
        <w:color w:val="660033"/>
        <w:sz w:val="22"/>
        <w:szCs w:val="22"/>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F"/>
    <w:multiLevelType w:val="singleLevel"/>
    <w:tmpl w:val="BA526B70"/>
    <w:lvl w:ilvl="0">
      <w:start w:val="1"/>
      <w:numFmt w:val="decimal"/>
      <w:pStyle w:val="Listaconnmeros2"/>
      <w:lvlText w:val="%1."/>
      <w:lvlJc w:val="left"/>
      <w:pPr>
        <w:tabs>
          <w:tab w:val="num" w:pos="643"/>
        </w:tabs>
        <w:ind w:left="643" w:hanging="360"/>
      </w:pPr>
    </w:lvl>
  </w:abstractNum>
  <w:abstractNum w:abstractNumId="1">
    <w:nsid w:val="FFFFFF81"/>
    <w:multiLevelType w:val="singleLevel"/>
    <w:tmpl w:val="A2C00A2E"/>
    <w:lvl w:ilvl="0">
      <w:start w:val="1"/>
      <w:numFmt w:val="bullet"/>
      <w:pStyle w:val="Listaconvietas4"/>
      <w:lvlText w:val=""/>
      <w:lvlJc w:val="left"/>
      <w:pPr>
        <w:tabs>
          <w:tab w:val="num" w:pos="1209"/>
        </w:tabs>
        <w:ind w:left="1209" w:hanging="360"/>
      </w:pPr>
      <w:rPr>
        <w:rFonts w:ascii="Symbol" w:hAnsi="Symbol" w:hint="default"/>
      </w:rPr>
    </w:lvl>
  </w:abstractNum>
  <w:abstractNum w:abstractNumId="2">
    <w:nsid w:val="FFFFFF82"/>
    <w:multiLevelType w:val="singleLevel"/>
    <w:tmpl w:val="AB2C4894"/>
    <w:styleLink w:val="111111122"/>
    <w:lvl w:ilvl="0">
      <w:start w:val="1"/>
      <w:numFmt w:val="bullet"/>
      <w:pStyle w:val="Listaconvietas3"/>
      <w:lvlText w:val=""/>
      <w:lvlJc w:val="left"/>
      <w:pPr>
        <w:tabs>
          <w:tab w:val="num" w:pos="926"/>
        </w:tabs>
        <w:ind w:left="926" w:hanging="360"/>
      </w:pPr>
      <w:rPr>
        <w:rFonts w:ascii="Symbol" w:hAnsi="Symbol" w:hint="default"/>
      </w:rPr>
    </w:lvl>
  </w:abstractNum>
  <w:abstractNum w:abstractNumId="3">
    <w:nsid w:val="FFFFFF83"/>
    <w:multiLevelType w:val="singleLevel"/>
    <w:tmpl w:val="A2028E78"/>
    <w:styleLink w:val="1111112121"/>
    <w:lvl w:ilvl="0">
      <w:start w:val="1"/>
      <w:numFmt w:val="bullet"/>
      <w:pStyle w:val="Listaconvietas2"/>
      <w:lvlText w:val=""/>
      <w:lvlJc w:val="left"/>
      <w:pPr>
        <w:tabs>
          <w:tab w:val="num" w:pos="720"/>
        </w:tabs>
        <w:ind w:left="720" w:hanging="360"/>
      </w:pPr>
      <w:rPr>
        <w:rFonts w:ascii="Symbol" w:hAnsi="Symbol" w:hint="default"/>
      </w:rPr>
    </w:lvl>
  </w:abstractNum>
  <w:abstractNum w:abstractNumId="4">
    <w:nsid w:val="FFFFFF89"/>
    <w:multiLevelType w:val="singleLevel"/>
    <w:tmpl w:val="2592C078"/>
    <w:lvl w:ilvl="0">
      <w:start w:val="1"/>
      <w:numFmt w:val="bullet"/>
      <w:pStyle w:val="Listaconvietas"/>
      <w:lvlText w:val=""/>
      <w:lvlJc w:val="left"/>
      <w:pPr>
        <w:tabs>
          <w:tab w:val="num" w:pos="360"/>
        </w:tabs>
        <w:ind w:left="360" w:hanging="360"/>
      </w:pPr>
      <w:rPr>
        <w:rFonts w:ascii="Symbol" w:hAnsi="Symbol" w:hint="default"/>
      </w:rPr>
    </w:lvl>
  </w:abstractNum>
  <w:abstractNum w:abstractNumId="5">
    <w:nsid w:val="010669AE"/>
    <w:multiLevelType w:val="hybridMultilevel"/>
    <w:tmpl w:val="FEF82AFC"/>
    <w:lvl w:ilvl="0" w:tplc="7520DBFC">
      <w:start w:val="1"/>
      <w:numFmt w:val="bullet"/>
      <w:lvlText w:val="–"/>
      <w:lvlJc w:val="left"/>
      <w:pPr>
        <w:ind w:left="1008" w:hanging="360"/>
      </w:pPr>
      <w:rPr>
        <w:rFonts w:ascii="Times New Roman" w:hAnsi="Times New Roman" w:cs="Times New Roman" w:hint="default"/>
        <w:sz w:val="24"/>
      </w:rPr>
    </w:lvl>
    <w:lvl w:ilvl="1" w:tplc="080A0003" w:tentative="1">
      <w:start w:val="1"/>
      <w:numFmt w:val="bullet"/>
      <w:lvlText w:val="o"/>
      <w:lvlJc w:val="left"/>
      <w:pPr>
        <w:ind w:left="1728" w:hanging="360"/>
      </w:pPr>
      <w:rPr>
        <w:rFonts w:ascii="Courier New" w:hAnsi="Courier New" w:cs="Courier New" w:hint="default"/>
      </w:rPr>
    </w:lvl>
    <w:lvl w:ilvl="2" w:tplc="080A0005" w:tentative="1">
      <w:start w:val="1"/>
      <w:numFmt w:val="bullet"/>
      <w:lvlText w:val=""/>
      <w:lvlJc w:val="left"/>
      <w:pPr>
        <w:ind w:left="2448" w:hanging="360"/>
      </w:pPr>
      <w:rPr>
        <w:rFonts w:ascii="Wingdings" w:hAnsi="Wingdings" w:hint="default"/>
      </w:rPr>
    </w:lvl>
    <w:lvl w:ilvl="3" w:tplc="080A0001" w:tentative="1">
      <w:start w:val="1"/>
      <w:numFmt w:val="bullet"/>
      <w:lvlText w:val=""/>
      <w:lvlJc w:val="left"/>
      <w:pPr>
        <w:ind w:left="3168" w:hanging="360"/>
      </w:pPr>
      <w:rPr>
        <w:rFonts w:ascii="Symbol" w:hAnsi="Symbol" w:hint="default"/>
      </w:rPr>
    </w:lvl>
    <w:lvl w:ilvl="4" w:tplc="080A0003" w:tentative="1">
      <w:start w:val="1"/>
      <w:numFmt w:val="bullet"/>
      <w:lvlText w:val="o"/>
      <w:lvlJc w:val="left"/>
      <w:pPr>
        <w:ind w:left="3888" w:hanging="360"/>
      </w:pPr>
      <w:rPr>
        <w:rFonts w:ascii="Courier New" w:hAnsi="Courier New" w:cs="Courier New" w:hint="default"/>
      </w:rPr>
    </w:lvl>
    <w:lvl w:ilvl="5" w:tplc="080A0005" w:tentative="1">
      <w:start w:val="1"/>
      <w:numFmt w:val="bullet"/>
      <w:lvlText w:val=""/>
      <w:lvlJc w:val="left"/>
      <w:pPr>
        <w:ind w:left="4608" w:hanging="360"/>
      </w:pPr>
      <w:rPr>
        <w:rFonts w:ascii="Wingdings" w:hAnsi="Wingdings" w:hint="default"/>
      </w:rPr>
    </w:lvl>
    <w:lvl w:ilvl="6" w:tplc="080A0001" w:tentative="1">
      <w:start w:val="1"/>
      <w:numFmt w:val="bullet"/>
      <w:lvlText w:val=""/>
      <w:lvlJc w:val="left"/>
      <w:pPr>
        <w:ind w:left="5328" w:hanging="360"/>
      </w:pPr>
      <w:rPr>
        <w:rFonts w:ascii="Symbol" w:hAnsi="Symbol" w:hint="default"/>
      </w:rPr>
    </w:lvl>
    <w:lvl w:ilvl="7" w:tplc="080A0003" w:tentative="1">
      <w:start w:val="1"/>
      <w:numFmt w:val="bullet"/>
      <w:lvlText w:val="o"/>
      <w:lvlJc w:val="left"/>
      <w:pPr>
        <w:ind w:left="6048" w:hanging="360"/>
      </w:pPr>
      <w:rPr>
        <w:rFonts w:ascii="Courier New" w:hAnsi="Courier New" w:cs="Courier New" w:hint="default"/>
      </w:rPr>
    </w:lvl>
    <w:lvl w:ilvl="8" w:tplc="080A0005" w:tentative="1">
      <w:start w:val="1"/>
      <w:numFmt w:val="bullet"/>
      <w:lvlText w:val=""/>
      <w:lvlJc w:val="left"/>
      <w:pPr>
        <w:ind w:left="6768" w:hanging="360"/>
      </w:pPr>
      <w:rPr>
        <w:rFonts w:ascii="Wingdings" w:hAnsi="Wingdings" w:hint="default"/>
      </w:rPr>
    </w:lvl>
  </w:abstractNum>
  <w:abstractNum w:abstractNumId="6">
    <w:nsid w:val="014C6262"/>
    <w:multiLevelType w:val="hybridMultilevel"/>
    <w:tmpl w:val="16C4B478"/>
    <w:lvl w:ilvl="0" w:tplc="080A0005">
      <w:start w:val="1"/>
      <w:numFmt w:val="bullet"/>
      <w:lvlText w:val=""/>
      <w:lvlJc w:val="left"/>
      <w:pPr>
        <w:ind w:left="720" w:hanging="360"/>
      </w:pPr>
      <w:rPr>
        <w:rFonts w:ascii="Wingdings" w:hAnsi="Wingdings" w:hint="default"/>
      </w:rPr>
    </w:lvl>
    <w:lvl w:ilvl="1" w:tplc="080A0005">
      <w:start w:val="1"/>
      <w:numFmt w:val="bullet"/>
      <w:lvlText w:val=""/>
      <w:lvlJc w:val="left"/>
      <w:pPr>
        <w:ind w:left="1440" w:hanging="360"/>
      </w:pPr>
      <w:rPr>
        <w:rFonts w:ascii="Wingdings" w:hAnsi="Wingdings"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
    <w:nsid w:val="02A760C8"/>
    <w:multiLevelType w:val="singleLevel"/>
    <w:tmpl w:val="6978A7C0"/>
    <w:styleLink w:val="11111114"/>
    <w:lvl w:ilvl="0">
      <w:start w:val="1"/>
      <w:numFmt w:val="bullet"/>
      <w:lvlText w:val=""/>
      <w:lvlJc w:val="left"/>
      <w:pPr>
        <w:tabs>
          <w:tab w:val="num" w:pos="360"/>
        </w:tabs>
        <w:ind w:left="360" w:hanging="360"/>
      </w:pPr>
      <w:rPr>
        <w:rFonts w:ascii="Symbol" w:hAnsi="Symbol" w:hint="default"/>
        <w:sz w:val="28"/>
      </w:rPr>
    </w:lvl>
  </w:abstractNum>
  <w:abstractNum w:abstractNumId="8">
    <w:nsid w:val="03324292"/>
    <w:multiLevelType w:val="hybridMultilevel"/>
    <w:tmpl w:val="29AAD4A0"/>
    <w:lvl w:ilvl="0" w:tplc="080A001B">
      <w:start w:val="1"/>
      <w:numFmt w:val="low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
    <w:nsid w:val="038F225A"/>
    <w:multiLevelType w:val="hybridMultilevel"/>
    <w:tmpl w:val="30DCB6D0"/>
    <w:lvl w:ilvl="0" w:tplc="E654A1BE">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0">
    <w:nsid w:val="039A66FE"/>
    <w:multiLevelType w:val="hybridMultilevel"/>
    <w:tmpl w:val="F89614BA"/>
    <w:lvl w:ilvl="0" w:tplc="A41C4156">
      <w:start w:val="1"/>
      <w:numFmt w:val="bullet"/>
      <w:lvlText w:val="–"/>
      <w:lvlJc w:val="left"/>
      <w:pPr>
        <w:ind w:left="720" w:hanging="360"/>
      </w:pPr>
      <w:rPr>
        <w:rFonts w:ascii="Vrinda" w:hAnsi="Vrinda"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
    <w:nsid w:val="03AD38EC"/>
    <w:multiLevelType w:val="hybridMultilevel"/>
    <w:tmpl w:val="186ADAFC"/>
    <w:lvl w:ilvl="0" w:tplc="07128468">
      <w:start w:val="6"/>
      <w:numFmt w:val="lowerLetter"/>
      <w:lvlText w:val="%1)"/>
      <w:lvlJc w:val="left"/>
      <w:pPr>
        <w:ind w:left="830" w:hanging="360"/>
      </w:pPr>
      <w:rPr>
        <w:rFonts w:hint="default"/>
      </w:rPr>
    </w:lvl>
    <w:lvl w:ilvl="1" w:tplc="080A0019" w:tentative="1">
      <w:start w:val="1"/>
      <w:numFmt w:val="lowerLetter"/>
      <w:lvlText w:val="%2."/>
      <w:lvlJc w:val="left"/>
      <w:pPr>
        <w:ind w:left="1550" w:hanging="360"/>
      </w:pPr>
    </w:lvl>
    <w:lvl w:ilvl="2" w:tplc="080A001B" w:tentative="1">
      <w:start w:val="1"/>
      <w:numFmt w:val="lowerRoman"/>
      <w:lvlText w:val="%3."/>
      <w:lvlJc w:val="right"/>
      <w:pPr>
        <w:ind w:left="2270" w:hanging="180"/>
      </w:pPr>
    </w:lvl>
    <w:lvl w:ilvl="3" w:tplc="080A000F" w:tentative="1">
      <w:start w:val="1"/>
      <w:numFmt w:val="decimal"/>
      <w:lvlText w:val="%4."/>
      <w:lvlJc w:val="left"/>
      <w:pPr>
        <w:ind w:left="2990" w:hanging="360"/>
      </w:pPr>
    </w:lvl>
    <w:lvl w:ilvl="4" w:tplc="080A0019" w:tentative="1">
      <w:start w:val="1"/>
      <w:numFmt w:val="lowerLetter"/>
      <w:lvlText w:val="%5."/>
      <w:lvlJc w:val="left"/>
      <w:pPr>
        <w:ind w:left="3710" w:hanging="360"/>
      </w:pPr>
    </w:lvl>
    <w:lvl w:ilvl="5" w:tplc="080A001B" w:tentative="1">
      <w:start w:val="1"/>
      <w:numFmt w:val="lowerRoman"/>
      <w:lvlText w:val="%6."/>
      <w:lvlJc w:val="right"/>
      <w:pPr>
        <w:ind w:left="4430" w:hanging="180"/>
      </w:pPr>
    </w:lvl>
    <w:lvl w:ilvl="6" w:tplc="080A000F" w:tentative="1">
      <w:start w:val="1"/>
      <w:numFmt w:val="decimal"/>
      <w:lvlText w:val="%7."/>
      <w:lvlJc w:val="left"/>
      <w:pPr>
        <w:ind w:left="5150" w:hanging="360"/>
      </w:pPr>
    </w:lvl>
    <w:lvl w:ilvl="7" w:tplc="080A0019" w:tentative="1">
      <w:start w:val="1"/>
      <w:numFmt w:val="lowerLetter"/>
      <w:lvlText w:val="%8."/>
      <w:lvlJc w:val="left"/>
      <w:pPr>
        <w:ind w:left="5870" w:hanging="360"/>
      </w:pPr>
    </w:lvl>
    <w:lvl w:ilvl="8" w:tplc="080A001B" w:tentative="1">
      <w:start w:val="1"/>
      <w:numFmt w:val="lowerRoman"/>
      <w:lvlText w:val="%9."/>
      <w:lvlJc w:val="right"/>
      <w:pPr>
        <w:ind w:left="6590" w:hanging="180"/>
      </w:pPr>
    </w:lvl>
  </w:abstractNum>
  <w:abstractNum w:abstractNumId="12">
    <w:nsid w:val="03ED418D"/>
    <w:multiLevelType w:val="hybridMultilevel"/>
    <w:tmpl w:val="0DCA6E66"/>
    <w:lvl w:ilvl="0" w:tplc="A41C4156">
      <w:start w:val="1"/>
      <w:numFmt w:val="bullet"/>
      <w:lvlText w:val="–"/>
      <w:lvlJc w:val="left"/>
      <w:pPr>
        <w:ind w:left="360" w:hanging="360"/>
      </w:pPr>
      <w:rPr>
        <w:rFonts w:ascii="Vrinda" w:hAnsi="Vrinda"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3">
    <w:nsid w:val="04240CCD"/>
    <w:multiLevelType w:val="hybridMultilevel"/>
    <w:tmpl w:val="95CEA896"/>
    <w:lvl w:ilvl="0" w:tplc="AD90E8EA">
      <w:start w:val="1"/>
      <w:numFmt w:val="bullet"/>
      <w:lvlText w:val="-"/>
      <w:lvlJc w:val="left"/>
      <w:pPr>
        <w:ind w:left="720" w:hanging="360"/>
      </w:pPr>
      <w:rPr>
        <w:rFonts w:ascii="Courier New" w:hAnsi="Courier New" w:hint="default"/>
      </w:rPr>
    </w:lvl>
    <w:lvl w:ilvl="1" w:tplc="AD90E8EA">
      <w:start w:val="1"/>
      <w:numFmt w:val="bullet"/>
      <w:lvlText w:val="-"/>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
    <w:nsid w:val="043E65FB"/>
    <w:multiLevelType w:val="hybridMultilevel"/>
    <w:tmpl w:val="50928356"/>
    <w:lvl w:ilvl="0" w:tplc="E654A1BE">
      <w:start w:val="1"/>
      <w:numFmt w:val="bullet"/>
      <w:lvlText w:val=""/>
      <w:lvlJc w:val="left"/>
      <w:pPr>
        <w:ind w:left="720" w:hanging="360"/>
      </w:pPr>
      <w:rPr>
        <w:rFonts w:ascii="Symbol" w:hAnsi="Symbol" w:hint="default"/>
      </w:rPr>
    </w:lvl>
    <w:lvl w:ilvl="1" w:tplc="5D38ACC4">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
    <w:nsid w:val="045B5845"/>
    <w:multiLevelType w:val="hybridMultilevel"/>
    <w:tmpl w:val="2B0007F2"/>
    <w:lvl w:ilvl="0" w:tplc="4420CF3C">
      <w:start w:val="1"/>
      <w:numFmt w:val="decimal"/>
      <w:lvlText w:val="%1."/>
      <w:lvlJc w:val="left"/>
      <w:pPr>
        <w:ind w:left="1008" w:hanging="360"/>
      </w:pPr>
      <w:rPr>
        <w:rFonts w:hint="default"/>
        <w:b w:val="0"/>
        <w:i w:val="0"/>
        <w:color w:val="auto"/>
        <w:sz w:val="26"/>
      </w:rPr>
    </w:lvl>
    <w:lvl w:ilvl="1" w:tplc="080A0019" w:tentative="1">
      <w:start w:val="1"/>
      <w:numFmt w:val="lowerLetter"/>
      <w:lvlText w:val="%2."/>
      <w:lvlJc w:val="left"/>
      <w:pPr>
        <w:ind w:left="1728" w:hanging="360"/>
      </w:pPr>
    </w:lvl>
    <w:lvl w:ilvl="2" w:tplc="080A001B" w:tentative="1">
      <w:start w:val="1"/>
      <w:numFmt w:val="lowerRoman"/>
      <w:lvlText w:val="%3."/>
      <w:lvlJc w:val="right"/>
      <w:pPr>
        <w:ind w:left="2448" w:hanging="180"/>
      </w:pPr>
    </w:lvl>
    <w:lvl w:ilvl="3" w:tplc="080A000F" w:tentative="1">
      <w:start w:val="1"/>
      <w:numFmt w:val="decimal"/>
      <w:lvlText w:val="%4."/>
      <w:lvlJc w:val="left"/>
      <w:pPr>
        <w:ind w:left="3168" w:hanging="360"/>
      </w:pPr>
    </w:lvl>
    <w:lvl w:ilvl="4" w:tplc="080A0019" w:tentative="1">
      <w:start w:val="1"/>
      <w:numFmt w:val="lowerLetter"/>
      <w:lvlText w:val="%5."/>
      <w:lvlJc w:val="left"/>
      <w:pPr>
        <w:ind w:left="3888" w:hanging="360"/>
      </w:pPr>
    </w:lvl>
    <w:lvl w:ilvl="5" w:tplc="080A001B" w:tentative="1">
      <w:start w:val="1"/>
      <w:numFmt w:val="lowerRoman"/>
      <w:lvlText w:val="%6."/>
      <w:lvlJc w:val="right"/>
      <w:pPr>
        <w:ind w:left="4608" w:hanging="180"/>
      </w:pPr>
    </w:lvl>
    <w:lvl w:ilvl="6" w:tplc="080A000F" w:tentative="1">
      <w:start w:val="1"/>
      <w:numFmt w:val="decimal"/>
      <w:lvlText w:val="%7."/>
      <w:lvlJc w:val="left"/>
      <w:pPr>
        <w:ind w:left="5328" w:hanging="360"/>
      </w:pPr>
    </w:lvl>
    <w:lvl w:ilvl="7" w:tplc="080A0019" w:tentative="1">
      <w:start w:val="1"/>
      <w:numFmt w:val="lowerLetter"/>
      <w:lvlText w:val="%8."/>
      <w:lvlJc w:val="left"/>
      <w:pPr>
        <w:ind w:left="6048" w:hanging="360"/>
      </w:pPr>
    </w:lvl>
    <w:lvl w:ilvl="8" w:tplc="080A001B" w:tentative="1">
      <w:start w:val="1"/>
      <w:numFmt w:val="lowerRoman"/>
      <w:lvlText w:val="%9."/>
      <w:lvlJc w:val="right"/>
      <w:pPr>
        <w:ind w:left="6768" w:hanging="180"/>
      </w:pPr>
    </w:lvl>
  </w:abstractNum>
  <w:abstractNum w:abstractNumId="16">
    <w:nsid w:val="04776FA3"/>
    <w:multiLevelType w:val="hybridMultilevel"/>
    <w:tmpl w:val="93EC457C"/>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7">
    <w:nsid w:val="04E61AE8"/>
    <w:multiLevelType w:val="hybridMultilevel"/>
    <w:tmpl w:val="37B8DFEA"/>
    <w:lvl w:ilvl="0" w:tplc="080A000F">
      <w:start w:val="1"/>
      <w:numFmt w:val="decimal"/>
      <w:lvlText w:val="%1."/>
      <w:lvlJc w:val="left"/>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8">
    <w:nsid w:val="053C00B6"/>
    <w:multiLevelType w:val="hybridMultilevel"/>
    <w:tmpl w:val="EEA0355E"/>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9">
    <w:nsid w:val="063F5FAC"/>
    <w:multiLevelType w:val="hybridMultilevel"/>
    <w:tmpl w:val="76E01392"/>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0">
    <w:nsid w:val="071A2032"/>
    <w:multiLevelType w:val="hybridMultilevel"/>
    <w:tmpl w:val="CD34BEC6"/>
    <w:lvl w:ilvl="0" w:tplc="7520DBFC">
      <w:start w:val="1"/>
      <w:numFmt w:val="bullet"/>
      <w:lvlText w:val="–"/>
      <w:lvlJc w:val="left"/>
      <w:pPr>
        <w:ind w:left="360" w:hanging="360"/>
      </w:pPr>
      <w:rPr>
        <w:rFonts w:ascii="Times New Roman" w:hAnsi="Times New Roman" w:cs="Times New Roman" w:hint="default"/>
        <w:sz w:val="24"/>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21">
    <w:nsid w:val="073B2070"/>
    <w:multiLevelType w:val="hybridMultilevel"/>
    <w:tmpl w:val="4D04F5FE"/>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2">
    <w:nsid w:val="081C3F12"/>
    <w:multiLevelType w:val="hybridMultilevel"/>
    <w:tmpl w:val="BED8E8F0"/>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3">
    <w:nsid w:val="08B065C7"/>
    <w:multiLevelType w:val="hybridMultilevel"/>
    <w:tmpl w:val="2FE00C9E"/>
    <w:lvl w:ilvl="0" w:tplc="E654A1BE">
      <w:start w:val="1"/>
      <w:numFmt w:val="bullet"/>
      <w:lvlText w:val=""/>
      <w:lvlJc w:val="left"/>
      <w:pPr>
        <w:ind w:left="720" w:hanging="360"/>
      </w:pPr>
      <w:rPr>
        <w:rFonts w:ascii="Symbol" w:hAnsi="Symbol" w:hint="default"/>
      </w:rPr>
    </w:lvl>
    <w:lvl w:ilvl="1" w:tplc="49FE2694">
      <w:start w:val="3"/>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4">
    <w:nsid w:val="0B1026E1"/>
    <w:multiLevelType w:val="hybridMultilevel"/>
    <w:tmpl w:val="688638CC"/>
    <w:lvl w:ilvl="0" w:tplc="AD90E8EA">
      <w:start w:val="1"/>
      <w:numFmt w:val="bullet"/>
      <w:lvlText w:val="-"/>
      <w:lvlJc w:val="left"/>
      <w:pPr>
        <w:ind w:left="720" w:hanging="360"/>
      </w:pPr>
      <w:rPr>
        <w:rFonts w:ascii="Courier New" w:hAnsi="Courier New" w:hint="default"/>
      </w:rPr>
    </w:lvl>
    <w:lvl w:ilvl="1" w:tplc="AD90E8EA">
      <w:start w:val="1"/>
      <w:numFmt w:val="bullet"/>
      <w:lvlText w:val="-"/>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5">
    <w:nsid w:val="0B4E6E53"/>
    <w:multiLevelType w:val="hybridMultilevel"/>
    <w:tmpl w:val="E9DACF1C"/>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6">
    <w:nsid w:val="0BE2036D"/>
    <w:multiLevelType w:val="hybridMultilevel"/>
    <w:tmpl w:val="3DF8E34E"/>
    <w:lvl w:ilvl="0" w:tplc="A41C4156">
      <w:start w:val="1"/>
      <w:numFmt w:val="bullet"/>
      <w:lvlText w:val="–"/>
      <w:lvlJc w:val="left"/>
      <w:pPr>
        <w:ind w:left="-1068" w:hanging="360"/>
      </w:pPr>
      <w:rPr>
        <w:rFonts w:ascii="Vrinda" w:hAnsi="Vrinda" w:hint="default"/>
        <w:sz w:val="24"/>
      </w:rPr>
    </w:lvl>
    <w:lvl w:ilvl="1" w:tplc="B14AE8D8">
      <w:start w:val="3"/>
      <w:numFmt w:val="bullet"/>
      <w:lvlText w:val="–"/>
      <w:lvlJc w:val="left"/>
      <w:pPr>
        <w:ind w:left="-348" w:hanging="360"/>
      </w:pPr>
      <w:rPr>
        <w:rFonts w:ascii="Times New Roman" w:eastAsiaTheme="minorHAnsi" w:hAnsi="Times New Roman" w:cs="Times New Roman" w:hint="default"/>
      </w:rPr>
    </w:lvl>
    <w:lvl w:ilvl="2" w:tplc="080A0005" w:tentative="1">
      <w:start w:val="1"/>
      <w:numFmt w:val="bullet"/>
      <w:lvlText w:val=""/>
      <w:lvlJc w:val="left"/>
      <w:pPr>
        <w:ind w:left="372" w:hanging="360"/>
      </w:pPr>
      <w:rPr>
        <w:rFonts w:ascii="Wingdings" w:hAnsi="Wingdings" w:hint="default"/>
      </w:rPr>
    </w:lvl>
    <w:lvl w:ilvl="3" w:tplc="080A0001" w:tentative="1">
      <w:start w:val="1"/>
      <w:numFmt w:val="bullet"/>
      <w:lvlText w:val=""/>
      <w:lvlJc w:val="left"/>
      <w:pPr>
        <w:ind w:left="1092" w:hanging="360"/>
      </w:pPr>
      <w:rPr>
        <w:rFonts w:ascii="Symbol" w:hAnsi="Symbol" w:hint="default"/>
      </w:rPr>
    </w:lvl>
    <w:lvl w:ilvl="4" w:tplc="080A0003" w:tentative="1">
      <w:start w:val="1"/>
      <w:numFmt w:val="bullet"/>
      <w:lvlText w:val="o"/>
      <w:lvlJc w:val="left"/>
      <w:pPr>
        <w:ind w:left="1812" w:hanging="360"/>
      </w:pPr>
      <w:rPr>
        <w:rFonts w:ascii="Courier New" w:hAnsi="Courier New" w:cs="Courier New" w:hint="default"/>
      </w:rPr>
    </w:lvl>
    <w:lvl w:ilvl="5" w:tplc="080A0005" w:tentative="1">
      <w:start w:val="1"/>
      <w:numFmt w:val="bullet"/>
      <w:lvlText w:val=""/>
      <w:lvlJc w:val="left"/>
      <w:pPr>
        <w:ind w:left="2532" w:hanging="360"/>
      </w:pPr>
      <w:rPr>
        <w:rFonts w:ascii="Wingdings" w:hAnsi="Wingdings" w:hint="default"/>
      </w:rPr>
    </w:lvl>
    <w:lvl w:ilvl="6" w:tplc="080A0001" w:tentative="1">
      <w:start w:val="1"/>
      <w:numFmt w:val="bullet"/>
      <w:lvlText w:val=""/>
      <w:lvlJc w:val="left"/>
      <w:pPr>
        <w:ind w:left="3252" w:hanging="360"/>
      </w:pPr>
      <w:rPr>
        <w:rFonts w:ascii="Symbol" w:hAnsi="Symbol" w:hint="default"/>
      </w:rPr>
    </w:lvl>
    <w:lvl w:ilvl="7" w:tplc="080A0003" w:tentative="1">
      <w:start w:val="1"/>
      <w:numFmt w:val="bullet"/>
      <w:lvlText w:val="o"/>
      <w:lvlJc w:val="left"/>
      <w:pPr>
        <w:ind w:left="3972" w:hanging="360"/>
      </w:pPr>
      <w:rPr>
        <w:rFonts w:ascii="Courier New" w:hAnsi="Courier New" w:cs="Courier New" w:hint="default"/>
      </w:rPr>
    </w:lvl>
    <w:lvl w:ilvl="8" w:tplc="080A0005" w:tentative="1">
      <w:start w:val="1"/>
      <w:numFmt w:val="bullet"/>
      <w:lvlText w:val=""/>
      <w:lvlJc w:val="left"/>
      <w:pPr>
        <w:ind w:left="4692" w:hanging="360"/>
      </w:pPr>
      <w:rPr>
        <w:rFonts w:ascii="Wingdings" w:hAnsi="Wingdings" w:hint="default"/>
      </w:rPr>
    </w:lvl>
  </w:abstractNum>
  <w:abstractNum w:abstractNumId="27">
    <w:nsid w:val="0C6B10B4"/>
    <w:multiLevelType w:val="hybridMultilevel"/>
    <w:tmpl w:val="A1F4B7DC"/>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28">
    <w:nsid w:val="0C750696"/>
    <w:multiLevelType w:val="hybridMultilevel"/>
    <w:tmpl w:val="B23ADF32"/>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29">
    <w:nsid w:val="0D470919"/>
    <w:multiLevelType w:val="hybridMultilevel"/>
    <w:tmpl w:val="60701828"/>
    <w:styleLink w:val="111111142"/>
    <w:lvl w:ilvl="0" w:tplc="F57E94BA">
      <w:start w:val="1"/>
      <w:numFmt w:val="bullet"/>
      <w:lvlText w:val="-"/>
      <w:lvlJc w:val="left"/>
      <w:pPr>
        <w:tabs>
          <w:tab w:val="num" w:pos="720"/>
        </w:tabs>
        <w:ind w:left="720" w:hanging="360"/>
      </w:pPr>
      <w:rPr>
        <w:rFonts w:ascii="Vladimir Script" w:hAnsi="Vladimir Script"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0">
    <w:nsid w:val="0ED377C5"/>
    <w:multiLevelType w:val="hybridMultilevel"/>
    <w:tmpl w:val="39025E24"/>
    <w:lvl w:ilvl="0" w:tplc="A41C4156">
      <w:start w:val="1"/>
      <w:numFmt w:val="bullet"/>
      <w:lvlText w:val="–"/>
      <w:lvlJc w:val="left"/>
      <w:pPr>
        <w:ind w:left="360" w:hanging="360"/>
      </w:pPr>
      <w:rPr>
        <w:rFonts w:ascii="Vrinda" w:hAnsi="Vrinda"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31">
    <w:nsid w:val="0F8B6779"/>
    <w:multiLevelType w:val="hybridMultilevel"/>
    <w:tmpl w:val="C8CCACDE"/>
    <w:lvl w:ilvl="0" w:tplc="A41C4156">
      <w:start w:val="1"/>
      <w:numFmt w:val="bullet"/>
      <w:lvlText w:val="–"/>
      <w:lvlJc w:val="left"/>
      <w:pPr>
        <w:ind w:left="720" w:hanging="360"/>
      </w:pPr>
      <w:rPr>
        <w:rFonts w:ascii="Vrinda" w:hAnsi="Vrinda"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2">
    <w:nsid w:val="10E30907"/>
    <w:multiLevelType w:val="hybridMultilevel"/>
    <w:tmpl w:val="1BE6A3E8"/>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3">
    <w:nsid w:val="11243C34"/>
    <w:multiLevelType w:val="hybridMultilevel"/>
    <w:tmpl w:val="5BD43F66"/>
    <w:lvl w:ilvl="0" w:tplc="080A0017">
      <w:start w:val="1"/>
      <w:numFmt w:val="lowerLetter"/>
      <w:lvlText w:val="%1)"/>
      <w:lvlJc w:val="left"/>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34">
    <w:nsid w:val="11FD3EE8"/>
    <w:multiLevelType w:val="hybridMultilevel"/>
    <w:tmpl w:val="F34E83C0"/>
    <w:lvl w:ilvl="0" w:tplc="A41C4156">
      <w:start w:val="1"/>
      <w:numFmt w:val="bullet"/>
      <w:lvlText w:val="–"/>
      <w:lvlJc w:val="left"/>
      <w:pPr>
        <w:ind w:left="360" w:hanging="360"/>
      </w:pPr>
      <w:rPr>
        <w:rFonts w:ascii="Vrinda" w:hAnsi="Vrinda" w:hint="default"/>
        <w:sz w:val="24"/>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35">
    <w:nsid w:val="126015CC"/>
    <w:multiLevelType w:val="hybridMultilevel"/>
    <w:tmpl w:val="FC2CCB36"/>
    <w:lvl w:ilvl="0" w:tplc="E654A1BE">
      <w:start w:val="1"/>
      <w:numFmt w:val="bullet"/>
      <w:lvlText w:val=""/>
      <w:lvlJc w:val="left"/>
      <w:pPr>
        <w:ind w:left="720" w:hanging="360"/>
      </w:pPr>
      <w:rPr>
        <w:rFonts w:ascii="Symbol" w:hAnsi="Symbol" w:hint="default"/>
      </w:rPr>
    </w:lvl>
    <w:lvl w:ilvl="1" w:tplc="C818FEF8">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6">
    <w:nsid w:val="12737A20"/>
    <w:multiLevelType w:val="hybridMultilevel"/>
    <w:tmpl w:val="68DC60D6"/>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37">
    <w:nsid w:val="12A90822"/>
    <w:multiLevelType w:val="hybridMultilevel"/>
    <w:tmpl w:val="AC443DB4"/>
    <w:lvl w:ilvl="0" w:tplc="91F25FC6">
      <w:start w:val="1"/>
      <w:numFmt w:val="upperRoman"/>
      <w:lvlText w:val="%1."/>
      <w:lvlJc w:val="left"/>
      <w:pPr>
        <w:ind w:left="720" w:hanging="720"/>
      </w:pPr>
      <w:rPr>
        <w:rFonts w:hint="default"/>
        <w:b w:val="0"/>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38">
    <w:nsid w:val="132A657A"/>
    <w:multiLevelType w:val="multilevel"/>
    <w:tmpl w:val="74DE0B7A"/>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9">
    <w:nsid w:val="13487507"/>
    <w:multiLevelType w:val="hybridMultilevel"/>
    <w:tmpl w:val="A268FCEC"/>
    <w:lvl w:ilvl="0" w:tplc="AD90E8EA">
      <w:start w:val="1"/>
      <w:numFmt w:val="bullet"/>
      <w:lvlText w:val="-"/>
      <w:lvlJc w:val="left"/>
      <w:pPr>
        <w:ind w:left="720" w:hanging="360"/>
      </w:pPr>
      <w:rPr>
        <w:rFonts w:ascii="Courier New" w:hAnsi="Courier New" w:hint="default"/>
      </w:rPr>
    </w:lvl>
    <w:lvl w:ilvl="1" w:tplc="AD90E8EA">
      <w:start w:val="1"/>
      <w:numFmt w:val="bullet"/>
      <w:lvlText w:val="-"/>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0">
    <w:nsid w:val="13C636B7"/>
    <w:multiLevelType w:val="hybridMultilevel"/>
    <w:tmpl w:val="B75E387A"/>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1">
    <w:nsid w:val="15383E0C"/>
    <w:multiLevelType w:val="hybridMultilevel"/>
    <w:tmpl w:val="A0B26F3A"/>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2">
    <w:nsid w:val="16B85466"/>
    <w:multiLevelType w:val="hybridMultilevel"/>
    <w:tmpl w:val="B1466566"/>
    <w:lvl w:ilvl="0" w:tplc="080A0005">
      <w:start w:val="1"/>
      <w:numFmt w:val="bullet"/>
      <w:lvlText w:val=""/>
      <w:lvlJc w:val="left"/>
      <w:pPr>
        <w:ind w:left="360" w:hanging="360"/>
      </w:pPr>
      <w:rPr>
        <w:rFonts w:ascii="Wingdings" w:hAnsi="Wingdings" w:hint="default"/>
        <w:sz w:val="24"/>
      </w:rPr>
    </w:lvl>
    <w:lvl w:ilvl="1" w:tplc="080A0005">
      <w:start w:val="1"/>
      <w:numFmt w:val="bullet"/>
      <w:lvlText w:val=""/>
      <w:lvlJc w:val="left"/>
      <w:pPr>
        <w:ind w:left="1080" w:hanging="360"/>
      </w:pPr>
      <w:rPr>
        <w:rFonts w:ascii="Wingdings" w:hAnsi="Wingdings" w:hint="default"/>
        <w:sz w:val="24"/>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43">
    <w:nsid w:val="17085024"/>
    <w:multiLevelType w:val="hybridMultilevel"/>
    <w:tmpl w:val="5A62D89E"/>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4">
    <w:nsid w:val="18036C5F"/>
    <w:multiLevelType w:val="hybridMultilevel"/>
    <w:tmpl w:val="88FCBF42"/>
    <w:lvl w:ilvl="0" w:tplc="A41C4156">
      <w:start w:val="1"/>
      <w:numFmt w:val="bullet"/>
      <w:lvlText w:val="–"/>
      <w:lvlJc w:val="left"/>
      <w:pPr>
        <w:ind w:left="360" w:hanging="360"/>
      </w:pPr>
      <w:rPr>
        <w:rFonts w:ascii="Vrinda" w:hAnsi="Vrinda" w:hint="default"/>
      </w:rPr>
    </w:lvl>
    <w:lvl w:ilvl="1" w:tplc="080A0003">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45">
    <w:nsid w:val="181C1064"/>
    <w:multiLevelType w:val="hybridMultilevel"/>
    <w:tmpl w:val="508459BA"/>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6">
    <w:nsid w:val="18AE0BAA"/>
    <w:multiLevelType w:val="hybridMultilevel"/>
    <w:tmpl w:val="E6DC1962"/>
    <w:lvl w:ilvl="0" w:tplc="080A0015">
      <w:start w:val="1"/>
      <w:numFmt w:val="upperLetter"/>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47">
    <w:nsid w:val="19016E2A"/>
    <w:multiLevelType w:val="multilevel"/>
    <w:tmpl w:val="0C0A001F"/>
    <w:styleLink w:val="1111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8">
    <w:nsid w:val="1A7820A3"/>
    <w:multiLevelType w:val="hybridMultilevel"/>
    <w:tmpl w:val="784EB0AC"/>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9">
    <w:nsid w:val="1ABC6539"/>
    <w:multiLevelType w:val="hybridMultilevel"/>
    <w:tmpl w:val="06461076"/>
    <w:lvl w:ilvl="0" w:tplc="7520DBFC">
      <w:start w:val="1"/>
      <w:numFmt w:val="bullet"/>
      <w:lvlText w:val="–"/>
      <w:lvlJc w:val="left"/>
      <w:pPr>
        <w:ind w:left="360" w:hanging="360"/>
      </w:pPr>
      <w:rPr>
        <w:rFonts w:ascii="Times New Roman" w:hAnsi="Times New Roman" w:cs="Times New Roman" w:hint="default"/>
        <w:sz w:val="24"/>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50">
    <w:nsid w:val="1B5F4E9D"/>
    <w:multiLevelType w:val="hybridMultilevel"/>
    <w:tmpl w:val="33246E2E"/>
    <w:lvl w:ilvl="0" w:tplc="52DC1858">
      <w:start w:val="1"/>
      <w:numFmt w:val="decimal"/>
      <w:lvlText w:val="%1."/>
      <w:lvlJc w:val="left"/>
      <w:pPr>
        <w:ind w:left="720" w:hanging="360"/>
      </w:pPr>
      <w:rPr>
        <w:rFonts w:ascii="Times New Roman" w:hAnsi="Times New Roman" w:hint="default"/>
        <w:sz w:val="26"/>
        <w:szCs w:val="26"/>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1">
    <w:nsid w:val="1BF77B2B"/>
    <w:multiLevelType w:val="hybridMultilevel"/>
    <w:tmpl w:val="21480D6C"/>
    <w:lvl w:ilvl="0" w:tplc="DA7C6524">
      <w:start w:val="1"/>
      <w:numFmt w:val="decimal"/>
      <w:lvlText w:val="%1."/>
      <w:lvlJc w:val="left"/>
      <w:pPr>
        <w:ind w:left="720" w:hanging="360"/>
      </w:pPr>
      <w:rPr>
        <w:rFonts w:ascii="Times New Roman" w:hAnsi="Times New Roman" w:hint="default"/>
        <w:sz w:val="26"/>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6A5476B2">
      <w:start w:val="1"/>
      <w:numFmt w:val="decimal"/>
      <w:lvlText w:val="%4."/>
      <w:lvlJc w:val="left"/>
      <w:pPr>
        <w:ind w:left="2880" w:hanging="360"/>
      </w:pPr>
      <w:rPr>
        <w:rFonts w:ascii="Times New Roman" w:hAnsi="Times New Roman" w:hint="default"/>
        <w:b w:val="0"/>
        <w:i w:val="0"/>
        <w:sz w:val="26"/>
      </w:r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2">
    <w:nsid w:val="1C4365E5"/>
    <w:multiLevelType w:val="hybridMultilevel"/>
    <w:tmpl w:val="B3E87E94"/>
    <w:lvl w:ilvl="0" w:tplc="AD90E8EA">
      <w:start w:val="1"/>
      <w:numFmt w:val="bullet"/>
      <w:lvlText w:val="-"/>
      <w:lvlJc w:val="left"/>
      <w:pPr>
        <w:ind w:left="720" w:hanging="360"/>
      </w:pPr>
      <w:rPr>
        <w:rFonts w:ascii="Courier New" w:hAnsi="Courier New" w:hint="default"/>
      </w:rPr>
    </w:lvl>
    <w:lvl w:ilvl="1" w:tplc="AD90E8EA">
      <w:start w:val="1"/>
      <w:numFmt w:val="bullet"/>
      <w:lvlText w:val="-"/>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3">
    <w:nsid w:val="1D7D687D"/>
    <w:multiLevelType w:val="hybridMultilevel"/>
    <w:tmpl w:val="42DC73D8"/>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54">
    <w:nsid w:val="1DE463C8"/>
    <w:multiLevelType w:val="hybridMultilevel"/>
    <w:tmpl w:val="52B2FDF2"/>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5">
    <w:nsid w:val="1E0D1A6E"/>
    <w:multiLevelType w:val="hybridMultilevel"/>
    <w:tmpl w:val="22A6B688"/>
    <w:lvl w:ilvl="0" w:tplc="4420CF3C">
      <w:start w:val="1"/>
      <w:numFmt w:val="decimal"/>
      <w:lvlText w:val="%1."/>
      <w:lvlJc w:val="left"/>
      <w:pPr>
        <w:ind w:left="720" w:hanging="360"/>
      </w:pPr>
      <w:rPr>
        <w:rFonts w:hint="default"/>
        <w:b w:val="0"/>
        <w:i w:val="0"/>
        <w:color w:val="auto"/>
        <w:sz w:val="26"/>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6">
    <w:nsid w:val="1F4A15A5"/>
    <w:multiLevelType w:val="hybridMultilevel"/>
    <w:tmpl w:val="8428873C"/>
    <w:lvl w:ilvl="0" w:tplc="E654A1BE">
      <w:start w:val="1"/>
      <w:numFmt w:val="bullet"/>
      <w:lvlText w:val=""/>
      <w:lvlJc w:val="left"/>
      <w:pPr>
        <w:ind w:left="720" w:hanging="360"/>
      </w:pPr>
      <w:rPr>
        <w:rFonts w:ascii="Symbol" w:hAnsi="Symbol" w:hint="default"/>
      </w:rPr>
    </w:lvl>
    <w:lvl w:ilvl="1" w:tplc="82381932">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7">
    <w:nsid w:val="1FFC518B"/>
    <w:multiLevelType w:val="hybridMultilevel"/>
    <w:tmpl w:val="F90AA23C"/>
    <w:lvl w:ilvl="0" w:tplc="AD90E8EA">
      <w:start w:val="1"/>
      <w:numFmt w:val="bullet"/>
      <w:lvlText w:val="-"/>
      <w:lvlJc w:val="left"/>
      <w:pPr>
        <w:ind w:left="1440" w:hanging="360"/>
      </w:pPr>
      <w:rPr>
        <w:rFonts w:ascii="Courier New" w:hAnsi="Courier New"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58">
    <w:nsid w:val="21336BE7"/>
    <w:multiLevelType w:val="hybridMultilevel"/>
    <w:tmpl w:val="BC0CB07A"/>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9">
    <w:nsid w:val="218D57A5"/>
    <w:multiLevelType w:val="hybridMultilevel"/>
    <w:tmpl w:val="4364EA52"/>
    <w:lvl w:ilvl="0" w:tplc="E654A1BE">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60">
    <w:nsid w:val="224C7F8C"/>
    <w:multiLevelType w:val="hybridMultilevel"/>
    <w:tmpl w:val="0A140990"/>
    <w:lvl w:ilvl="0" w:tplc="A41C4156">
      <w:start w:val="1"/>
      <w:numFmt w:val="bullet"/>
      <w:lvlText w:val="–"/>
      <w:lvlJc w:val="left"/>
      <w:pPr>
        <w:ind w:left="360" w:hanging="360"/>
      </w:pPr>
      <w:rPr>
        <w:rFonts w:ascii="Vrinda" w:hAnsi="Vrinda"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61">
    <w:nsid w:val="229A3551"/>
    <w:multiLevelType w:val="hybridMultilevel"/>
    <w:tmpl w:val="5A8E4F16"/>
    <w:lvl w:ilvl="0" w:tplc="1258129A">
      <w:start w:val="1"/>
      <w:numFmt w:val="lowerLetter"/>
      <w:lvlText w:val="%1/"/>
      <w:lvlJc w:val="left"/>
      <w:pPr>
        <w:ind w:left="720" w:hanging="360"/>
      </w:pPr>
      <w:rPr>
        <w:rFonts w:hint="default"/>
        <w:color w:val="auto"/>
        <w:sz w:val="18"/>
        <w:u w:val="word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2">
    <w:nsid w:val="22F134CC"/>
    <w:multiLevelType w:val="hybridMultilevel"/>
    <w:tmpl w:val="85A6C5E6"/>
    <w:lvl w:ilvl="0" w:tplc="8ED02F22">
      <w:start w:val="1"/>
      <w:numFmt w:val="decimal"/>
      <w:lvlText w:val="%1."/>
      <w:lvlJc w:val="left"/>
      <w:pPr>
        <w:ind w:left="720" w:hanging="360"/>
      </w:pPr>
      <w:rPr>
        <w:rFonts w:ascii="Times New Roman" w:hAnsi="Times New Roman" w:cs="Tahoma" w:hint="default"/>
        <w:b w:val="0"/>
        <w:i w:val="0"/>
        <w:snapToGrid/>
        <w:spacing w:val="16"/>
        <w:sz w:val="26"/>
        <w:szCs w:val="14"/>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3">
    <w:nsid w:val="23EE19A4"/>
    <w:multiLevelType w:val="hybridMultilevel"/>
    <w:tmpl w:val="B4408604"/>
    <w:lvl w:ilvl="0" w:tplc="B14AE8D8">
      <w:start w:val="3"/>
      <w:numFmt w:val="bullet"/>
      <w:lvlText w:val="–"/>
      <w:lvlJc w:val="left"/>
      <w:pPr>
        <w:ind w:left="360" w:hanging="360"/>
      </w:pPr>
      <w:rPr>
        <w:rFonts w:ascii="Times New Roman" w:eastAsiaTheme="minorHAnsi" w:hAnsi="Times New Roman" w:cs="Times New Roman"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64">
    <w:nsid w:val="256015D5"/>
    <w:multiLevelType w:val="hybridMultilevel"/>
    <w:tmpl w:val="85404C74"/>
    <w:lvl w:ilvl="0" w:tplc="7520DBFC">
      <w:start w:val="1"/>
      <w:numFmt w:val="bullet"/>
      <w:lvlText w:val="–"/>
      <w:lvlJc w:val="left"/>
      <w:pPr>
        <w:ind w:left="720" w:hanging="360"/>
      </w:pPr>
      <w:rPr>
        <w:rFonts w:ascii="Times New Roman" w:hAnsi="Times New Roman" w:cs="Times New Roman" w:hint="default"/>
        <w:sz w:val="24"/>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5">
    <w:nsid w:val="265C6305"/>
    <w:multiLevelType w:val="hybridMultilevel"/>
    <w:tmpl w:val="F04A0100"/>
    <w:lvl w:ilvl="0" w:tplc="AD90E8EA">
      <w:start w:val="1"/>
      <w:numFmt w:val="bullet"/>
      <w:lvlText w:val="-"/>
      <w:lvlJc w:val="left"/>
      <w:pPr>
        <w:ind w:left="720" w:hanging="360"/>
      </w:pPr>
      <w:rPr>
        <w:rFonts w:ascii="Courier New" w:hAnsi="Courier New" w:hint="default"/>
      </w:rPr>
    </w:lvl>
    <w:lvl w:ilvl="1" w:tplc="AD90E8EA">
      <w:start w:val="1"/>
      <w:numFmt w:val="bullet"/>
      <w:lvlText w:val="-"/>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6">
    <w:nsid w:val="27022E14"/>
    <w:multiLevelType w:val="multilevel"/>
    <w:tmpl w:val="C9B80DCC"/>
    <w:styleLink w:val="11111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nsid w:val="28446241"/>
    <w:multiLevelType w:val="hybridMultilevel"/>
    <w:tmpl w:val="35D6B1AA"/>
    <w:lvl w:ilvl="0" w:tplc="080A0017">
      <w:start w:val="1"/>
      <w:numFmt w:val="lowerLetter"/>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68">
    <w:nsid w:val="2853409C"/>
    <w:multiLevelType w:val="hybridMultilevel"/>
    <w:tmpl w:val="CFDA89A2"/>
    <w:lvl w:ilvl="0" w:tplc="B14AE8D8">
      <w:start w:val="3"/>
      <w:numFmt w:val="bullet"/>
      <w:lvlText w:val="–"/>
      <w:lvlJc w:val="left"/>
      <w:pPr>
        <w:ind w:left="360" w:hanging="360"/>
      </w:pPr>
      <w:rPr>
        <w:rFonts w:ascii="Times New Roman" w:eastAsiaTheme="minorHAnsi" w:hAnsi="Times New Roman" w:cs="Times New Roman"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69">
    <w:nsid w:val="28627A17"/>
    <w:multiLevelType w:val="hybridMultilevel"/>
    <w:tmpl w:val="AEBA83A8"/>
    <w:lvl w:ilvl="0" w:tplc="E654A1BE">
      <w:start w:val="1"/>
      <w:numFmt w:val="bullet"/>
      <w:lvlText w:val=""/>
      <w:lvlJc w:val="left"/>
      <w:pPr>
        <w:ind w:left="720" w:hanging="360"/>
      </w:pPr>
      <w:rPr>
        <w:rFonts w:ascii="Symbol" w:hAnsi="Symbol" w:hint="default"/>
      </w:rPr>
    </w:lvl>
    <w:lvl w:ilvl="1" w:tplc="E654A1BE">
      <w:start w:val="1"/>
      <w:numFmt w:val="bullet"/>
      <w:lvlText w:val=""/>
      <w:lvlJc w:val="left"/>
      <w:pPr>
        <w:ind w:left="1440" w:hanging="360"/>
      </w:pPr>
      <w:rPr>
        <w:rFonts w:ascii="Symbol" w:hAnsi="Symbol"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0">
    <w:nsid w:val="28BF6E27"/>
    <w:multiLevelType w:val="hybridMultilevel"/>
    <w:tmpl w:val="17662C76"/>
    <w:lvl w:ilvl="0" w:tplc="A41C4156">
      <w:start w:val="1"/>
      <w:numFmt w:val="bullet"/>
      <w:lvlText w:val="–"/>
      <w:lvlJc w:val="left"/>
      <w:pPr>
        <w:ind w:left="360" w:hanging="360"/>
      </w:pPr>
      <w:rPr>
        <w:rFonts w:ascii="Vrinda" w:hAnsi="Vrinda" w:hint="default"/>
        <w:sz w:val="24"/>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71">
    <w:nsid w:val="29350233"/>
    <w:multiLevelType w:val="hybridMultilevel"/>
    <w:tmpl w:val="07D036F4"/>
    <w:lvl w:ilvl="0" w:tplc="C8EE0074">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2">
    <w:nsid w:val="2A5408D4"/>
    <w:multiLevelType w:val="hybridMultilevel"/>
    <w:tmpl w:val="CF50C448"/>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3">
    <w:nsid w:val="2AA83CBF"/>
    <w:multiLevelType w:val="hybridMultilevel"/>
    <w:tmpl w:val="4D02C960"/>
    <w:lvl w:ilvl="0" w:tplc="080A0001">
      <w:start w:val="1"/>
      <w:numFmt w:val="bullet"/>
      <w:lvlText w:val=""/>
      <w:lvlJc w:val="left"/>
      <w:pPr>
        <w:ind w:left="1008" w:hanging="360"/>
      </w:pPr>
      <w:rPr>
        <w:rFonts w:ascii="Symbol" w:hAnsi="Symbol" w:hint="default"/>
        <w:sz w:val="24"/>
      </w:rPr>
    </w:lvl>
    <w:lvl w:ilvl="1" w:tplc="080A0003" w:tentative="1">
      <w:start w:val="1"/>
      <w:numFmt w:val="bullet"/>
      <w:lvlText w:val="o"/>
      <w:lvlJc w:val="left"/>
      <w:pPr>
        <w:ind w:left="1728" w:hanging="360"/>
      </w:pPr>
      <w:rPr>
        <w:rFonts w:ascii="Courier New" w:hAnsi="Courier New" w:cs="Courier New" w:hint="default"/>
      </w:rPr>
    </w:lvl>
    <w:lvl w:ilvl="2" w:tplc="080A0005" w:tentative="1">
      <w:start w:val="1"/>
      <w:numFmt w:val="bullet"/>
      <w:lvlText w:val=""/>
      <w:lvlJc w:val="left"/>
      <w:pPr>
        <w:ind w:left="2448" w:hanging="360"/>
      </w:pPr>
      <w:rPr>
        <w:rFonts w:ascii="Wingdings" w:hAnsi="Wingdings" w:hint="default"/>
      </w:rPr>
    </w:lvl>
    <w:lvl w:ilvl="3" w:tplc="080A0001" w:tentative="1">
      <w:start w:val="1"/>
      <w:numFmt w:val="bullet"/>
      <w:lvlText w:val=""/>
      <w:lvlJc w:val="left"/>
      <w:pPr>
        <w:ind w:left="3168" w:hanging="360"/>
      </w:pPr>
      <w:rPr>
        <w:rFonts w:ascii="Symbol" w:hAnsi="Symbol" w:hint="default"/>
      </w:rPr>
    </w:lvl>
    <w:lvl w:ilvl="4" w:tplc="080A0003" w:tentative="1">
      <w:start w:val="1"/>
      <w:numFmt w:val="bullet"/>
      <w:lvlText w:val="o"/>
      <w:lvlJc w:val="left"/>
      <w:pPr>
        <w:ind w:left="3888" w:hanging="360"/>
      </w:pPr>
      <w:rPr>
        <w:rFonts w:ascii="Courier New" w:hAnsi="Courier New" w:cs="Courier New" w:hint="default"/>
      </w:rPr>
    </w:lvl>
    <w:lvl w:ilvl="5" w:tplc="080A0005" w:tentative="1">
      <w:start w:val="1"/>
      <w:numFmt w:val="bullet"/>
      <w:lvlText w:val=""/>
      <w:lvlJc w:val="left"/>
      <w:pPr>
        <w:ind w:left="4608" w:hanging="360"/>
      </w:pPr>
      <w:rPr>
        <w:rFonts w:ascii="Wingdings" w:hAnsi="Wingdings" w:hint="default"/>
      </w:rPr>
    </w:lvl>
    <w:lvl w:ilvl="6" w:tplc="080A0001" w:tentative="1">
      <w:start w:val="1"/>
      <w:numFmt w:val="bullet"/>
      <w:lvlText w:val=""/>
      <w:lvlJc w:val="left"/>
      <w:pPr>
        <w:ind w:left="5328" w:hanging="360"/>
      </w:pPr>
      <w:rPr>
        <w:rFonts w:ascii="Symbol" w:hAnsi="Symbol" w:hint="default"/>
      </w:rPr>
    </w:lvl>
    <w:lvl w:ilvl="7" w:tplc="080A0003" w:tentative="1">
      <w:start w:val="1"/>
      <w:numFmt w:val="bullet"/>
      <w:lvlText w:val="o"/>
      <w:lvlJc w:val="left"/>
      <w:pPr>
        <w:ind w:left="6048" w:hanging="360"/>
      </w:pPr>
      <w:rPr>
        <w:rFonts w:ascii="Courier New" w:hAnsi="Courier New" w:cs="Courier New" w:hint="default"/>
      </w:rPr>
    </w:lvl>
    <w:lvl w:ilvl="8" w:tplc="080A0005" w:tentative="1">
      <w:start w:val="1"/>
      <w:numFmt w:val="bullet"/>
      <w:lvlText w:val=""/>
      <w:lvlJc w:val="left"/>
      <w:pPr>
        <w:ind w:left="6768" w:hanging="360"/>
      </w:pPr>
      <w:rPr>
        <w:rFonts w:ascii="Wingdings" w:hAnsi="Wingdings" w:hint="default"/>
      </w:rPr>
    </w:lvl>
  </w:abstractNum>
  <w:abstractNum w:abstractNumId="74">
    <w:nsid w:val="2B0214B8"/>
    <w:multiLevelType w:val="hybridMultilevel"/>
    <w:tmpl w:val="D060B23C"/>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75">
    <w:nsid w:val="2C100D17"/>
    <w:multiLevelType w:val="hybridMultilevel"/>
    <w:tmpl w:val="CC0A20D2"/>
    <w:lvl w:ilvl="0" w:tplc="99ACF712">
      <w:start w:val="1"/>
      <w:numFmt w:val="lowerLetter"/>
      <w:lvlText w:val="%1)"/>
      <w:lvlJc w:val="left"/>
      <w:pPr>
        <w:ind w:left="720" w:hanging="360"/>
      </w:pPr>
      <w:rPr>
        <w:rFonts w:ascii="Times New Roman" w:hAnsi="Times New Roman" w:hint="default"/>
        <w:b w:val="0"/>
        <w:i w:val="0"/>
        <w:snapToGrid/>
        <w:spacing w:val="16"/>
        <w:sz w:val="26"/>
        <w:szCs w:val="14"/>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6">
    <w:nsid w:val="2C630185"/>
    <w:multiLevelType w:val="hybridMultilevel"/>
    <w:tmpl w:val="DE00606E"/>
    <w:lvl w:ilvl="0" w:tplc="A41C4156">
      <w:start w:val="1"/>
      <w:numFmt w:val="bullet"/>
      <w:lvlText w:val="–"/>
      <w:lvlJc w:val="left"/>
      <w:pPr>
        <w:ind w:left="720" w:hanging="360"/>
      </w:pPr>
      <w:rPr>
        <w:rFonts w:ascii="Vrinda" w:hAnsi="Vrinda"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7">
    <w:nsid w:val="2CC531D6"/>
    <w:multiLevelType w:val="hybridMultilevel"/>
    <w:tmpl w:val="17E2ADB4"/>
    <w:lvl w:ilvl="0" w:tplc="AD90E8EA">
      <w:start w:val="1"/>
      <w:numFmt w:val="bullet"/>
      <w:lvlText w:val="-"/>
      <w:lvlJc w:val="left"/>
      <w:pPr>
        <w:ind w:left="720" w:hanging="360"/>
      </w:pPr>
      <w:rPr>
        <w:rFonts w:ascii="Courier New" w:hAnsi="Courier New" w:hint="default"/>
      </w:rPr>
    </w:lvl>
    <w:lvl w:ilvl="1" w:tplc="AD90E8EA">
      <w:start w:val="1"/>
      <w:numFmt w:val="bullet"/>
      <w:lvlText w:val="-"/>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8">
    <w:nsid w:val="2D7E771E"/>
    <w:multiLevelType w:val="hybridMultilevel"/>
    <w:tmpl w:val="0488183C"/>
    <w:lvl w:ilvl="0" w:tplc="7AB291FE">
      <w:numFmt w:val="bullet"/>
      <w:lvlText w:val="—"/>
      <w:lvlJc w:val="left"/>
      <w:pPr>
        <w:ind w:left="360" w:hanging="360"/>
      </w:pPr>
      <w:rPr>
        <w:rFonts w:ascii="Times New Roman" w:eastAsiaTheme="minorHAnsi" w:hAnsi="Times New Roman" w:cs="Times New Roman"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79">
    <w:nsid w:val="2DFB4279"/>
    <w:multiLevelType w:val="hybridMultilevel"/>
    <w:tmpl w:val="9FA4FBF2"/>
    <w:lvl w:ilvl="0" w:tplc="AD90E8EA">
      <w:start w:val="1"/>
      <w:numFmt w:val="bullet"/>
      <w:lvlText w:val="-"/>
      <w:lvlJc w:val="left"/>
      <w:pPr>
        <w:ind w:left="720" w:hanging="360"/>
      </w:pPr>
      <w:rPr>
        <w:rFonts w:ascii="Courier New" w:hAnsi="Courier New"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0">
    <w:nsid w:val="2EA51E14"/>
    <w:multiLevelType w:val="hybridMultilevel"/>
    <w:tmpl w:val="40485A90"/>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1">
    <w:nsid w:val="2F382C25"/>
    <w:multiLevelType w:val="hybridMultilevel"/>
    <w:tmpl w:val="06542D02"/>
    <w:lvl w:ilvl="0" w:tplc="100CF0A2">
      <w:start w:val="1"/>
      <w:numFmt w:val="upperRoman"/>
      <w:lvlText w:val="%1."/>
      <w:lvlJc w:val="left"/>
      <w:pPr>
        <w:ind w:left="720" w:hanging="360"/>
      </w:pPr>
      <w:rPr>
        <w:rFonts w:hint="default"/>
        <w:b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2">
    <w:nsid w:val="2F411138"/>
    <w:multiLevelType w:val="hybridMultilevel"/>
    <w:tmpl w:val="4112C450"/>
    <w:lvl w:ilvl="0" w:tplc="90C665FC">
      <w:start w:val="1"/>
      <w:numFmt w:val="upperRoman"/>
      <w:lvlText w:val="%1."/>
      <w:lvlJc w:val="left"/>
      <w:pPr>
        <w:ind w:left="720" w:hanging="360"/>
      </w:pPr>
      <w:rPr>
        <w:rFonts w:hint="default"/>
        <w:b w:val="0"/>
        <w:i w:val="0"/>
        <w:snapToGrid/>
        <w:spacing w:val="16"/>
        <w:sz w:val="26"/>
        <w:szCs w:val="14"/>
      </w:rPr>
    </w:lvl>
    <w:lvl w:ilvl="1" w:tplc="D0ACF0B0">
      <w:start w:val="1"/>
      <w:numFmt w:val="lowerLetter"/>
      <w:lvlText w:val="%2)"/>
      <w:lvlJc w:val="left"/>
      <w:pPr>
        <w:ind w:left="1785" w:hanging="705"/>
      </w:pPr>
      <w:rPr>
        <w:rFonts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3">
    <w:nsid w:val="2F6E3B9C"/>
    <w:multiLevelType w:val="hybridMultilevel"/>
    <w:tmpl w:val="2E92235E"/>
    <w:lvl w:ilvl="0" w:tplc="7520DBFC">
      <w:start w:val="1"/>
      <w:numFmt w:val="bullet"/>
      <w:lvlText w:val="–"/>
      <w:lvlJc w:val="left"/>
      <w:pPr>
        <w:ind w:left="6" w:hanging="360"/>
      </w:pPr>
      <w:rPr>
        <w:rFonts w:ascii="Times New Roman" w:hAnsi="Times New Roman" w:cs="Times New Roman" w:hint="default"/>
        <w:sz w:val="24"/>
      </w:rPr>
    </w:lvl>
    <w:lvl w:ilvl="1" w:tplc="080A0003" w:tentative="1">
      <w:start w:val="1"/>
      <w:numFmt w:val="bullet"/>
      <w:lvlText w:val="o"/>
      <w:lvlJc w:val="left"/>
      <w:pPr>
        <w:ind w:left="726" w:hanging="360"/>
      </w:pPr>
      <w:rPr>
        <w:rFonts w:ascii="Courier New" w:hAnsi="Courier New" w:cs="Courier New" w:hint="default"/>
      </w:rPr>
    </w:lvl>
    <w:lvl w:ilvl="2" w:tplc="080A0005" w:tentative="1">
      <w:start w:val="1"/>
      <w:numFmt w:val="bullet"/>
      <w:lvlText w:val=""/>
      <w:lvlJc w:val="left"/>
      <w:pPr>
        <w:ind w:left="1446" w:hanging="360"/>
      </w:pPr>
      <w:rPr>
        <w:rFonts w:ascii="Wingdings" w:hAnsi="Wingdings" w:hint="default"/>
      </w:rPr>
    </w:lvl>
    <w:lvl w:ilvl="3" w:tplc="080A0001" w:tentative="1">
      <w:start w:val="1"/>
      <w:numFmt w:val="bullet"/>
      <w:lvlText w:val=""/>
      <w:lvlJc w:val="left"/>
      <w:pPr>
        <w:ind w:left="2166" w:hanging="360"/>
      </w:pPr>
      <w:rPr>
        <w:rFonts w:ascii="Symbol" w:hAnsi="Symbol" w:hint="default"/>
      </w:rPr>
    </w:lvl>
    <w:lvl w:ilvl="4" w:tplc="080A0003" w:tentative="1">
      <w:start w:val="1"/>
      <w:numFmt w:val="bullet"/>
      <w:lvlText w:val="o"/>
      <w:lvlJc w:val="left"/>
      <w:pPr>
        <w:ind w:left="2886" w:hanging="360"/>
      </w:pPr>
      <w:rPr>
        <w:rFonts w:ascii="Courier New" w:hAnsi="Courier New" w:cs="Courier New" w:hint="default"/>
      </w:rPr>
    </w:lvl>
    <w:lvl w:ilvl="5" w:tplc="080A0005" w:tentative="1">
      <w:start w:val="1"/>
      <w:numFmt w:val="bullet"/>
      <w:lvlText w:val=""/>
      <w:lvlJc w:val="left"/>
      <w:pPr>
        <w:ind w:left="3606" w:hanging="360"/>
      </w:pPr>
      <w:rPr>
        <w:rFonts w:ascii="Wingdings" w:hAnsi="Wingdings" w:hint="default"/>
      </w:rPr>
    </w:lvl>
    <w:lvl w:ilvl="6" w:tplc="080A0001" w:tentative="1">
      <w:start w:val="1"/>
      <w:numFmt w:val="bullet"/>
      <w:lvlText w:val=""/>
      <w:lvlJc w:val="left"/>
      <w:pPr>
        <w:ind w:left="4326" w:hanging="360"/>
      </w:pPr>
      <w:rPr>
        <w:rFonts w:ascii="Symbol" w:hAnsi="Symbol" w:hint="default"/>
      </w:rPr>
    </w:lvl>
    <w:lvl w:ilvl="7" w:tplc="080A0003" w:tentative="1">
      <w:start w:val="1"/>
      <w:numFmt w:val="bullet"/>
      <w:lvlText w:val="o"/>
      <w:lvlJc w:val="left"/>
      <w:pPr>
        <w:ind w:left="5046" w:hanging="360"/>
      </w:pPr>
      <w:rPr>
        <w:rFonts w:ascii="Courier New" w:hAnsi="Courier New" w:cs="Courier New" w:hint="default"/>
      </w:rPr>
    </w:lvl>
    <w:lvl w:ilvl="8" w:tplc="080A0005" w:tentative="1">
      <w:start w:val="1"/>
      <w:numFmt w:val="bullet"/>
      <w:lvlText w:val=""/>
      <w:lvlJc w:val="left"/>
      <w:pPr>
        <w:ind w:left="5766" w:hanging="360"/>
      </w:pPr>
      <w:rPr>
        <w:rFonts w:ascii="Wingdings" w:hAnsi="Wingdings" w:hint="default"/>
      </w:rPr>
    </w:lvl>
  </w:abstractNum>
  <w:abstractNum w:abstractNumId="84">
    <w:nsid w:val="305C69E5"/>
    <w:multiLevelType w:val="hybridMultilevel"/>
    <w:tmpl w:val="8FDA113A"/>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5">
    <w:nsid w:val="3076629F"/>
    <w:multiLevelType w:val="hybridMultilevel"/>
    <w:tmpl w:val="74D69C8A"/>
    <w:lvl w:ilvl="0" w:tplc="7E16A0F6">
      <w:start w:val="1"/>
      <w:numFmt w:val="bullet"/>
      <w:lvlText w:val=""/>
      <w:lvlJc w:val="left"/>
      <w:pPr>
        <w:ind w:left="720" w:hanging="360"/>
      </w:pPr>
      <w:rPr>
        <w:rFonts w:ascii="Symbol" w:hAnsi="Symbol" w:hint="default"/>
        <w:sz w:val="20"/>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6">
    <w:nsid w:val="31471DA7"/>
    <w:multiLevelType w:val="hybridMultilevel"/>
    <w:tmpl w:val="A62EA11A"/>
    <w:lvl w:ilvl="0" w:tplc="AD90E8EA">
      <w:start w:val="1"/>
      <w:numFmt w:val="bullet"/>
      <w:lvlText w:val="-"/>
      <w:lvlJc w:val="left"/>
      <w:pPr>
        <w:ind w:left="720" w:hanging="360"/>
      </w:pPr>
      <w:rPr>
        <w:rFonts w:ascii="Courier New" w:hAnsi="Courier New" w:hint="default"/>
      </w:rPr>
    </w:lvl>
    <w:lvl w:ilvl="1" w:tplc="AD90E8EA">
      <w:start w:val="1"/>
      <w:numFmt w:val="bullet"/>
      <w:lvlText w:val="-"/>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7">
    <w:nsid w:val="34D22412"/>
    <w:multiLevelType w:val="hybridMultilevel"/>
    <w:tmpl w:val="042667B8"/>
    <w:lvl w:ilvl="0" w:tplc="1258129A">
      <w:start w:val="1"/>
      <w:numFmt w:val="lowerLetter"/>
      <w:lvlText w:val="%1/"/>
      <w:lvlJc w:val="left"/>
      <w:pPr>
        <w:ind w:left="720" w:hanging="360"/>
      </w:pPr>
      <w:rPr>
        <w:rFonts w:hint="default"/>
        <w:color w:val="auto"/>
        <w:sz w:val="18"/>
        <w:u w:val="word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8">
    <w:nsid w:val="3746488B"/>
    <w:multiLevelType w:val="hybridMultilevel"/>
    <w:tmpl w:val="A0C08626"/>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9">
    <w:nsid w:val="38125670"/>
    <w:multiLevelType w:val="hybridMultilevel"/>
    <w:tmpl w:val="BBC64AA4"/>
    <w:styleLink w:val="11111124"/>
    <w:lvl w:ilvl="0" w:tplc="836A1296">
      <w:start w:val="1"/>
      <w:numFmt w:val="bullet"/>
      <w:lvlText w:val="-"/>
      <w:lvlJc w:val="left"/>
      <w:pPr>
        <w:ind w:left="1004" w:hanging="360"/>
      </w:pPr>
      <w:rPr>
        <w:rFonts w:ascii="Arial" w:hAnsi="Arial" w:hint="default"/>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90">
    <w:nsid w:val="388F07E9"/>
    <w:multiLevelType w:val="hybridMultilevel"/>
    <w:tmpl w:val="5D78472E"/>
    <w:lvl w:ilvl="0" w:tplc="A41C4156">
      <w:start w:val="1"/>
      <w:numFmt w:val="bullet"/>
      <w:lvlText w:val="–"/>
      <w:lvlJc w:val="left"/>
      <w:pPr>
        <w:ind w:left="720" w:hanging="360"/>
      </w:pPr>
      <w:rPr>
        <w:rFonts w:ascii="Vrinda" w:hAnsi="Vrinda"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1">
    <w:nsid w:val="3A0E79AB"/>
    <w:multiLevelType w:val="hybridMultilevel"/>
    <w:tmpl w:val="B45E0D6C"/>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2">
    <w:nsid w:val="3BCE0B84"/>
    <w:multiLevelType w:val="hybridMultilevel"/>
    <w:tmpl w:val="D2CA187A"/>
    <w:lvl w:ilvl="0" w:tplc="A41C4156">
      <w:start w:val="1"/>
      <w:numFmt w:val="bullet"/>
      <w:lvlText w:val="–"/>
      <w:lvlJc w:val="left"/>
      <w:pPr>
        <w:ind w:left="360" w:hanging="360"/>
      </w:pPr>
      <w:rPr>
        <w:rFonts w:ascii="Vrinda" w:hAnsi="Vrinda" w:hint="default"/>
        <w:sz w:val="24"/>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93">
    <w:nsid w:val="3CAB3ECE"/>
    <w:multiLevelType w:val="hybridMultilevel"/>
    <w:tmpl w:val="81BC8A24"/>
    <w:lvl w:ilvl="0" w:tplc="AD1A70D0">
      <w:start w:val="1"/>
      <w:numFmt w:val="bullet"/>
      <w:lvlText w:val="­"/>
      <w:lvlJc w:val="left"/>
      <w:pPr>
        <w:ind w:left="720" w:hanging="360"/>
      </w:pPr>
      <w:rPr>
        <w:rFonts w:ascii="Times New Roman" w:hAnsi="Times New Roman" w:cs="Times New Roman" w:hint="default"/>
        <w:sz w:val="24"/>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4">
    <w:nsid w:val="3CC05D43"/>
    <w:multiLevelType w:val="hybridMultilevel"/>
    <w:tmpl w:val="2D92A790"/>
    <w:lvl w:ilvl="0" w:tplc="AD90E8EA">
      <w:start w:val="1"/>
      <w:numFmt w:val="bullet"/>
      <w:lvlText w:val="-"/>
      <w:lvlJc w:val="left"/>
      <w:pPr>
        <w:ind w:left="1077" w:hanging="360"/>
      </w:pPr>
      <w:rPr>
        <w:rFonts w:ascii="Courier New" w:hAnsi="Courier New" w:hint="default"/>
      </w:rPr>
    </w:lvl>
    <w:lvl w:ilvl="1" w:tplc="080A0003" w:tentative="1">
      <w:start w:val="1"/>
      <w:numFmt w:val="bullet"/>
      <w:lvlText w:val="o"/>
      <w:lvlJc w:val="left"/>
      <w:pPr>
        <w:ind w:left="1797" w:hanging="360"/>
      </w:pPr>
      <w:rPr>
        <w:rFonts w:ascii="Courier New" w:hAnsi="Courier New" w:cs="Courier New" w:hint="default"/>
      </w:rPr>
    </w:lvl>
    <w:lvl w:ilvl="2" w:tplc="080A0005" w:tentative="1">
      <w:start w:val="1"/>
      <w:numFmt w:val="bullet"/>
      <w:lvlText w:val=""/>
      <w:lvlJc w:val="left"/>
      <w:pPr>
        <w:ind w:left="2517" w:hanging="360"/>
      </w:pPr>
      <w:rPr>
        <w:rFonts w:ascii="Wingdings" w:hAnsi="Wingdings" w:hint="default"/>
      </w:rPr>
    </w:lvl>
    <w:lvl w:ilvl="3" w:tplc="080A0001" w:tentative="1">
      <w:start w:val="1"/>
      <w:numFmt w:val="bullet"/>
      <w:lvlText w:val=""/>
      <w:lvlJc w:val="left"/>
      <w:pPr>
        <w:ind w:left="3237" w:hanging="360"/>
      </w:pPr>
      <w:rPr>
        <w:rFonts w:ascii="Symbol" w:hAnsi="Symbol" w:hint="default"/>
      </w:rPr>
    </w:lvl>
    <w:lvl w:ilvl="4" w:tplc="080A0003" w:tentative="1">
      <w:start w:val="1"/>
      <w:numFmt w:val="bullet"/>
      <w:lvlText w:val="o"/>
      <w:lvlJc w:val="left"/>
      <w:pPr>
        <w:ind w:left="3957" w:hanging="360"/>
      </w:pPr>
      <w:rPr>
        <w:rFonts w:ascii="Courier New" w:hAnsi="Courier New" w:cs="Courier New" w:hint="default"/>
      </w:rPr>
    </w:lvl>
    <w:lvl w:ilvl="5" w:tplc="080A0005" w:tentative="1">
      <w:start w:val="1"/>
      <w:numFmt w:val="bullet"/>
      <w:lvlText w:val=""/>
      <w:lvlJc w:val="left"/>
      <w:pPr>
        <w:ind w:left="4677" w:hanging="360"/>
      </w:pPr>
      <w:rPr>
        <w:rFonts w:ascii="Wingdings" w:hAnsi="Wingdings" w:hint="default"/>
      </w:rPr>
    </w:lvl>
    <w:lvl w:ilvl="6" w:tplc="080A0001" w:tentative="1">
      <w:start w:val="1"/>
      <w:numFmt w:val="bullet"/>
      <w:lvlText w:val=""/>
      <w:lvlJc w:val="left"/>
      <w:pPr>
        <w:ind w:left="5397" w:hanging="360"/>
      </w:pPr>
      <w:rPr>
        <w:rFonts w:ascii="Symbol" w:hAnsi="Symbol" w:hint="default"/>
      </w:rPr>
    </w:lvl>
    <w:lvl w:ilvl="7" w:tplc="080A0003" w:tentative="1">
      <w:start w:val="1"/>
      <w:numFmt w:val="bullet"/>
      <w:lvlText w:val="o"/>
      <w:lvlJc w:val="left"/>
      <w:pPr>
        <w:ind w:left="6117" w:hanging="360"/>
      </w:pPr>
      <w:rPr>
        <w:rFonts w:ascii="Courier New" w:hAnsi="Courier New" w:cs="Courier New" w:hint="default"/>
      </w:rPr>
    </w:lvl>
    <w:lvl w:ilvl="8" w:tplc="080A0005" w:tentative="1">
      <w:start w:val="1"/>
      <w:numFmt w:val="bullet"/>
      <w:lvlText w:val=""/>
      <w:lvlJc w:val="left"/>
      <w:pPr>
        <w:ind w:left="6837" w:hanging="360"/>
      </w:pPr>
      <w:rPr>
        <w:rFonts w:ascii="Wingdings" w:hAnsi="Wingdings" w:hint="default"/>
      </w:rPr>
    </w:lvl>
  </w:abstractNum>
  <w:abstractNum w:abstractNumId="95">
    <w:nsid w:val="3DBE66E2"/>
    <w:multiLevelType w:val="hybridMultilevel"/>
    <w:tmpl w:val="EE8E4820"/>
    <w:lvl w:ilvl="0" w:tplc="AD90E8EA">
      <w:start w:val="1"/>
      <w:numFmt w:val="bullet"/>
      <w:lvlText w:val="-"/>
      <w:lvlJc w:val="left"/>
      <w:pPr>
        <w:ind w:left="720" w:hanging="360"/>
      </w:pPr>
      <w:rPr>
        <w:rFonts w:ascii="Courier New" w:hAnsi="Courier New" w:hint="default"/>
      </w:rPr>
    </w:lvl>
    <w:lvl w:ilvl="1" w:tplc="8A8EF62E">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6">
    <w:nsid w:val="3E0E61DA"/>
    <w:multiLevelType w:val="hybridMultilevel"/>
    <w:tmpl w:val="DD9405BA"/>
    <w:lvl w:ilvl="0" w:tplc="99ACF712">
      <w:start w:val="1"/>
      <w:numFmt w:val="lowerLetter"/>
      <w:lvlText w:val="%1)"/>
      <w:lvlJc w:val="left"/>
      <w:pPr>
        <w:ind w:left="720" w:hanging="360"/>
      </w:pPr>
      <w:rPr>
        <w:rFonts w:ascii="Times New Roman" w:hAnsi="Times New Roman" w:hint="default"/>
        <w:b w:val="0"/>
        <w:i w:val="0"/>
        <w:snapToGrid/>
        <w:spacing w:val="16"/>
        <w:sz w:val="26"/>
        <w:szCs w:val="14"/>
      </w:rPr>
    </w:lvl>
    <w:lvl w:ilvl="1" w:tplc="99ACF712">
      <w:start w:val="1"/>
      <w:numFmt w:val="lowerLetter"/>
      <w:lvlText w:val="%2)"/>
      <w:lvlJc w:val="left"/>
      <w:pPr>
        <w:ind w:left="1440" w:hanging="360"/>
      </w:pPr>
      <w:rPr>
        <w:rFonts w:ascii="Times New Roman" w:hAnsi="Times New Roman" w:hint="default"/>
        <w:b w:val="0"/>
        <w:i w:val="0"/>
        <w:snapToGrid/>
        <w:spacing w:val="16"/>
        <w:sz w:val="26"/>
        <w:szCs w:val="14"/>
      </w:rPr>
    </w:lvl>
    <w:lvl w:ilvl="2" w:tplc="BD66A882">
      <w:start w:val="1"/>
      <w:numFmt w:val="upperRoman"/>
      <w:lvlText w:val="%3."/>
      <w:lvlJc w:val="left"/>
      <w:pPr>
        <w:ind w:left="2700" w:hanging="720"/>
      </w:pPr>
      <w:rPr>
        <w:rFonts w:hint="default"/>
      </w:rPr>
    </w:lvl>
    <w:lvl w:ilvl="3" w:tplc="FDC65120">
      <w:start w:val="1"/>
      <w:numFmt w:val="decimal"/>
      <w:lvlText w:val="%4."/>
      <w:lvlJc w:val="left"/>
      <w:pPr>
        <w:ind w:left="2880" w:hanging="360"/>
      </w:pPr>
      <w:rPr>
        <w:rFonts w:hint="default"/>
        <w:b/>
      </w:r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7">
    <w:nsid w:val="3E307B8B"/>
    <w:multiLevelType w:val="hybridMultilevel"/>
    <w:tmpl w:val="CC6838AC"/>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8">
    <w:nsid w:val="3E5B691F"/>
    <w:multiLevelType w:val="hybridMultilevel"/>
    <w:tmpl w:val="4014A862"/>
    <w:lvl w:ilvl="0" w:tplc="E654A1BE">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99">
    <w:nsid w:val="3EEC2827"/>
    <w:multiLevelType w:val="hybridMultilevel"/>
    <w:tmpl w:val="95D482DA"/>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00">
    <w:nsid w:val="3F9150FB"/>
    <w:multiLevelType w:val="hybridMultilevel"/>
    <w:tmpl w:val="E3EC71E0"/>
    <w:lvl w:ilvl="0" w:tplc="E654A1BE">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01">
    <w:nsid w:val="41383FE1"/>
    <w:multiLevelType w:val="hybridMultilevel"/>
    <w:tmpl w:val="D77AF8DC"/>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2">
    <w:nsid w:val="414A7B48"/>
    <w:multiLevelType w:val="hybridMultilevel"/>
    <w:tmpl w:val="ED928E66"/>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3">
    <w:nsid w:val="42A56AB9"/>
    <w:multiLevelType w:val="hybridMultilevel"/>
    <w:tmpl w:val="E246400E"/>
    <w:lvl w:ilvl="0" w:tplc="080A0017">
      <w:start w:val="1"/>
      <w:numFmt w:val="lowerLetter"/>
      <w:lvlText w:val="%1)"/>
      <w:lvlJc w:val="left"/>
      <w:pPr>
        <w:ind w:left="360" w:hanging="360"/>
      </w:pPr>
      <w:rPr>
        <w:rFonts w:hint="default"/>
      </w:rPr>
    </w:lvl>
    <w:lvl w:ilvl="1" w:tplc="AECE8746">
      <w:start w:val="2"/>
      <w:numFmt w:val="bullet"/>
      <w:lvlText w:val=""/>
      <w:lvlJc w:val="left"/>
      <w:pPr>
        <w:ind w:left="1080" w:hanging="360"/>
      </w:pPr>
      <w:rPr>
        <w:rFonts w:ascii="Symbol" w:eastAsiaTheme="minorHAnsi" w:hAnsi="Symbol" w:cs="Times New Roman" w:hint="default"/>
      </w:r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04">
    <w:nsid w:val="439F656F"/>
    <w:multiLevelType w:val="hybridMultilevel"/>
    <w:tmpl w:val="CA2217FC"/>
    <w:lvl w:ilvl="0" w:tplc="A15CEA52">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5">
    <w:nsid w:val="43C3541C"/>
    <w:multiLevelType w:val="hybridMultilevel"/>
    <w:tmpl w:val="F2C2A400"/>
    <w:lvl w:ilvl="0" w:tplc="A8F66970">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6">
    <w:nsid w:val="44BE68E5"/>
    <w:multiLevelType w:val="hybridMultilevel"/>
    <w:tmpl w:val="C9009642"/>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7">
    <w:nsid w:val="46920168"/>
    <w:multiLevelType w:val="hybridMultilevel"/>
    <w:tmpl w:val="9968A0EE"/>
    <w:lvl w:ilvl="0" w:tplc="080A0017">
      <w:start w:val="1"/>
      <w:numFmt w:val="lowerLetter"/>
      <w:lvlText w:val="%1)"/>
      <w:lvlJc w:val="left"/>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08">
    <w:nsid w:val="478623A5"/>
    <w:multiLevelType w:val="hybridMultilevel"/>
    <w:tmpl w:val="4BB48668"/>
    <w:lvl w:ilvl="0" w:tplc="B77A6332">
      <w:start w:val="2"/>
      <w:numFmt w:val="bullet"/>
      <w:lvlText w:val=""/>
      <w:lvlJc w:val="left"/>
      <w:pPr>
        <w:ind w:left="360" w:hanging="360"/>
      </w:pPr>
      <w:rPr>
        <w:rFonts w:ascii="Symbol" w:eastAsiaTheme="minorHAnsi" w:hAnsi="Symbol" w:cs="Times New Roman" w:hint="default"/>
      </w:rPr>
    </w:lvl>
    <w:lvl w:ilvl="1" w:tplc="080A0003">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09">
    <w:nsid w:val="479322D5"/>
    <w:multiLevelType w:val="hybridMultilevel"/>
    <w:tmpl w:val="EAA42780"/>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0">
    <w:nsid w:val="47D041BE"/>
    <w:multiLevelType w:val="hybridMultilevel"/>
    <w:tmpl w:val="C60660CC"/>
    <w:lvl w:ilvl="0" w:tplc="90C665FC">
      <w:start w:val="1"/>
      <w:numFmt w:val="upperRoman"/>
      <w:lvlText w:val="%1."/>
      <w:lvlJc w:val="left"/>
      <w:pPr>
        <w:ind w:left="720" w:hanging="360"/>
      </w:pPr>
      <w:rPr>
        <w:rFonts w:hint="default"/>
        <w:b w:val="0"/>
        <w:i w:val="0"/>
        <w:snapToGrid/>
        <w:spacing w:val="16"/>
        <w:sz w:val="26"/>
        <w:szCs w:val="14"/>
      </w:rPr>
    </w:lvl>
    <w:lvl w:ilvl="1" w:tplc="080A0019" w:tentative="1">
      <w:start w:val="1"/>
      <w:numFmt w:val="lowerLetter"/>
      <w:lvlText w:val="%2."/>
      <w:lvlJc w:val="left"/>
      <w:pPr>
        <w:ind w:left="1440" w:hanging="360"/>
      </w:pPr>
    </w:lvl>
    <w:lvl w:ilvl="2" w:tplc="35B00DD2">
      <w:start w:val="1"/>
      <w:numFmt w:val="upperRoman"/>
      <w:lvlText w:val="%3."/>
      <w:lvlJc w:val="left"/>
      <w:pPr>
        <w:ind w:left="2160" w:hanging="180"/>
      </w:pPr>
      <w:rPr>
        <w:rFonts w:ascii="Times New Roman" w:hAnsi="Times New Roman" w:cs="Tahoma" w:hint="default"/>
        <w:b w:val="0"/>
        <w:i w:val="0"/>
        <w:snapToGrid/>
        <w:spacing w:val="16"/>
        <w:sz w:val="26"/>
        <w:szCs w:val="14"/>
      </w:r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1">
    <w:nsid w:val="488B39C5"/>
    <w:multiLevelType w:val="hybridMultilevel"/>
    <w:tmpl w:val="F800E2FE"/>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2">
    <w:nsid w:val="48C97BDD"/>
    <w:multiLevelType w:val="hybridMultilevel"/>
    <w:tmpl w:val="56A8E278"/>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13">
    <w:nsid w:val="4B055361"/>
    <w:multiLevelType w:val="hybridMultilevel"/>
    <w:tmpl w:val="FD86C128"/>
    <w:lvl w:ilvl="0" w:tplc="AD90E8EA">
      <w:start w:val="1"/>
      <w:numFmt w:val="bullet"/>
      <w:lvlText w:val="-"/>
      <w:lvlJc w:val="left"/>
      <w:pPr>
        <w:ind w:left="720" w:hanging="360"/>
      </w:pPr>
      <w:rPr>
        <w:rFonts w:ascii="Courier New" w:hAnsi="Courier New" w:hint="default"/>
      </w:rPr>
    </w:lvl>
    <w:lvl w:ilvl="1" w:tplc="AD90E8EA">
      <w:start w:val="1"/>
      <w:numFmt w:val="bullet"/>
      <w:lvlText w:val="-"/>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4">
    <w:nsid w:val="4C397D5C"/>
    <w:multiLevelType w:val="hybridMultilevel"/>
    <w:tmpl w:val="2E503A92"/>
    <w:lvl w:ilvl="0" w:tplc="C8EE0074">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5">
    <w:nsid w:val="4C691FC3"/>
    <w:multiLevelType w:val="hybridMultilevel"/>
    <w:tmpl w:val="84841B94"/>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16">
    <w:nsid w:val="4C842DD1"/>
    <w:multiLevelType w:val="hybridMultilevel"/>
    <w:tmpl w:val="BCEC5E46"/>
    <w:lvl w:ilvl="0" w:tplc="B14AE8D8">
      <w:start w:val="3"/>
      <w:numFmt w:val="bullet"/>
      <w:lvlText w:val="–"/>
      <w:lvlJc w:val="left"/>
      <w:pPr>
        <w:ind w:left="360" w:hanging="360"/>
      </w:pPr>
      <w:rPr>
        <w:rFonts w:ascii="Times New Roman" w:eastAsiaTheme="minorHAnsi" w:hAnsi="Times New Roman" w:cs="Times New Roman"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17">
    <w:nsid w:val="4CC309D3"/>
    <w:multiLevelType w:val="hybridMultilevel"/>
    <w:tmpl w:val="80B661E2"/>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8">
    <w:nsid w:val="4D3D5A9E"/>
    <w:multiLevelType w:val="hybridMultilevel"/>
    <w:tmpl w:val="1D280514"/>
    <w:lvl w:ilvl="0" w:tplc="1B54B1CC">
      <w:start w:val="1"/>
      <w:numFmt w:val="decimal"/>
      <w:lvlText w:val="%1."/>
      <w:lvlJc w:val="left"/>
      <w:pPr>
        <w:ind w:left="360" w:hanging="360"/>
      </w:pPr>
      <w:rPr>
        <w:b w:val="0"/>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19">
    <w:nsid w:val="4DE74F38"/>
    <w:multiLevelType w:val="hybridMultilevel"/>
    <w:tmpl w:val="D712535A"/>
    <w:lvl w:ilvl="0" w:tplc="A41C4156">
      <w:start w:val="1"/>
      <w:numFmt w:val="bullet"/>
      <w:lvlText w:val="–"/>
      <w:lvlJc w:val="left"/>
      <w:pPr>
        <w:ind w:left="360" w:hanging="360"/>
      </w:pPr>
      <w:rPr>
        <w:rFonts w:ascii="Vrinda" w:hAnsi="Vrinda"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20">
    <w:nsid w:val="4E386FB0"/>
    <w:multiLevelType w:val="hybridMultilevel"/>
    <w:tmpl w:val="1E82C76C"/>
    <w:lvl w:ilvl="0" w:tplc="AD90E8EA">
      <w:start w:val="1"/>
      <w:numFmt w:val="bullet"/>
      <w:lvlText w:val="-"/>
      <w:lvlJc w:val="left"/>
      <w:pPr>
        <w:ind w:left="720" w:hanging="360"/>
      </w:pPr>
      <w:rPr>
        <w:rFonts w:ascii="Courier New" w:hAnsi="Courier New" w:hint="default"/>
      </w:rPr>
    </w:lvl>
    <w:lvl w:ilvl="1" w:tplc="AD90E8EA">
      <w:start w:val="1"/>
      <w:numFmt w:val="bullet"/>
      <w:lvlText w:val="-"/>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1">
    <w:nsid w:val="4E512FEB"/>
    <w:multiLevelType w:val="hybridMultilevel"/>
    <w:tmpl w:val="0FF68C62"/>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2">
    <w:nsid w:val="4EA4398C"/>
    <w:multiLevelType w:val="hybridMultilevel"/>
    <w:tmpl w:val="DB780C74"/>
    <w:lvl w:ilvl="0" w:tplc="080A0001">
      <w:start w:val="1"/>
      <w:numFmt w:val="bullet"/>
      <w:lvlText w:val=""/>
      <w:lvlJc w:val="left"/>
      <w:pPr>
        <w:ind w:left="1008" w:hanging="360"/>
      </w:pPr>
      <w:rPr>
        <w:rFonts w:ascii="Symbol" w:hAnsi="Symbol" w:hint="default"/>
        <w:sz w:val="24"/>
      </w:rPr>
    </w:lvl>
    <w:lvl w:ilvl="1" w:tplc="080A0003" w:tentative="1">
      <w:start w:val="1"/>
      <w:numFmt w:val="bullet"/>
      <w:lvlText w:val="o"/>
      <w:lvlJc w:val="left"/>
      <w:pPr>
        <w:ind w:left="1728" w:hanging="360"/>
      </w:pPr>
      <w:rPr>
        <w:rFonts w:ascii="Courier New" w:hAnsi="Courier New" w:cs="Courier New" w:hint="default"/>
      </w:rPr>
    </w:lvl>
    <w:lvl w:ilvl="2" w:tplc="080A0005" w:tentative="1">
      <w:start w:val="1"/>
      <w:numFmt w:val="bullet"/>
      <w:lvlText w:val=""/>
      <w:lvlJc w:val="left"/>
      <w:pPr>
        <w:ind w:left="2448" w:hanging="360"/>
      </w:pPr>
      <w:rPr>
        <w:rFonts w:ascii="Wingdings" w:hAnsi="Wingdings" w:hint="default"/>
      </w:rPr>
    </w:lvl>
    <w:lvl w:ilvl="3" w:tplc="080A0001" w:tentative="1">
      <w:start w:val="1"/>
      <w:numFmt w:val="bullet"/>
      <w:lvlText w:val=""/>
      <w:lvlJc w:val="left"/>
      <w:pPr>
        <w:ind w:left="3168" w:hanging="360"/>
      </w:pPr>
      <w:rPr>
        <w:rFonts w:ascii="Symbol" w:hAnsi="Symbol" w:hint="default"/>
      </w:rPr>
    </w:lvl>
    <w:lvl w:ilvl="4" w:tplc="080A0003" w:tentative="1">
      <w:start w:val="1"/>
      <w:numFmt w:val="bullet"/>
      <w:lvlText w:val="o"/>
      <w:lvlJc w:val="left"/>
      <w:pPr>
        <w:ind w:left="3888" w:hanging="360"/>
      </w:pPr>
      <w:rPr>
        <w:rFonts w:ascii="Courier New" w:hAnsi="Courier New" w:cs="Courier New" w:hint="default"/>
      </w:rPr>
    </w:lvl>
    <w:lvl w:ilvl="5" w:tplc="080A0005" w:tentative="1">
      <w:start w:val="1"/>
      <w:numFmt w:val="bullet"/>
      <w:lvlText w:val=""/>
      <w:lvlJc w:val="left"/>
      <w:pPr>
        <w:ind w:left="4608" w:hanging="360"/>
      </w:pPr>
      <w:rPr>
        <w:rFonts w:ascii="Wingdings" w:hAnsi="Wingdings" w:hint="default"/>
      </w:rPr>
    </w:lvl>
    <w:lvl w:ilvl="6" w:tplc="080A0001" w:tentative="1">
      <w:start w:val="1"/>
      <w:numFmt w:val="bullet"/>
      <w:lvlText w:val=""/>
      <w:lvlJc w:val="left"/>
      <w:pPr>
        <w:ind w:left="5328" w:hanging="360"/>
      </w:pPr>
      <w:rPr>
        <w:rFonts w:ascii="Symbol" w:hAnsi="Symbol" w:hint="default"/>
      </w:rPr>
    </w:lvl>
    <w:lvl w:ilvl="7" w:tplc="080A0003" w:tentative="1">
      <w:start w:val="1"/>
      <w:numFmt w:val="bullet"/>
      <w:lvlText w:val="o"/>
      <w:lvlJc w:val="left"/>
      <w:pPr>
        <w:ind w:left="6048" w:hanging="360"/>
      </w:pPr>
      <w:rPr>
        <w:rFonts w:ascii="Courier New" w:hAnsi="Courier New" w:cs="Courier New" w:hint="default"/>
      </w:rPr>
    </w:lvl>
    <w:lvl w:ilvl="8" w:tplc="080A0005" w:tentative="1">
      <w:start w:val="1"/>
      <w:numFmt w:val="bullet"/>
      <w:lvlText w:val=""/>
      <w:lvlJc w:val="left"/>
      <w:pPr>
        <w:ind w:left="6768" w:hanging="360"/>
      </w:pPr>
      <w:rPr>
        <w:rFonts w:ascii="Wingdings" w:hAnsi="Wingdings" w:hint="default"/>
      </w:rPr>
    </w:lvl>
  </w:abstractNum>
  <w:abstractNum w:abstractNumId="123">
    <w:nsid w:val="4EED2453"/>
    <w:multiLevelType w:val="hybridMultilevel"/>
    <w:tmpl w:val="1C14AA66"/>
    <w:styleLink w:val="111111211"/>
    <w:lvl w:ilvl="0" w:tplc="D9EA953C">
      <w:start w:val="1"/>
      <w:numFmt w:val="decimal"/>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24">
    <w:nsid w:val="4F4F4942"/>
    <w:multiLevelType w:val="hybridMultilevel"/>
    <w:tmpl w:val="B1E42B30"/>
    <w:lvl w:ilvl="0" w:tplc="A2A62EE0">
      <w:start w:val="1"/>
      <w:numFmt w:val="upperRoman"/>
      <w:lvlText w:val="%1."/>
      <w:lvlJc w:val="left"/>
      <w:pPr>
        <w:ind w:left="720" w:hanging="360"/>
      </w:pPr>
      <w:rPr>
        <w:rFonts w:ascii="Times New Roman" w:hAnsi="Times New Roman" w:cs="Tahoma" w:hint="default"/>
        <w:b w:val="0"/>
        <w:i w:val="0"/>
        <w:snapToGrid/>
        <w:spacing w:val="16"/>
        <w:sz w:val="20"/>
        <w:szCs w:val="14"/>
      </w:rPr>
    </w:lvl>
    <w:lvl w:ilvl="1" w:tplc="080A0019" w:tentative="1">
      <w:start w:val="1"/>
      <w:numFmt w:val="lowerLetter"/>
      <w:lvlText w:val="%2."/>
      <w:lvlJc w:val="left"/>
      <w:pPr>
        <w:ind w:left="1440" w:hanging="360"/>
      </w:pPr>
    </w:lvl>
    <w:lvl w:ilvl="2" w:tplc="35B00DD2">
      <w:start w:val="1"/>
      <w:numFmt w:val="upperRoman"/>
      <w:lvlText w:val="%3."/>
      <w:lvlJc w:val="left"/>
      <w:pPr>
        <w:ind w:left="2160" w:hanging="180"/>
      </w:pPr>
      <w:rPr>
        <w:rFonts w:ascii="Times New Roman" w:hAnsi="Times New Roman" w:cs="Tahoma" w:hint="default"/>
        <w:b w:val="0"/>
        <w:i w:val="0"/>
        <w:snapToGrid/>
        <w:spacing w:val="16"/>
        <w:sz w:val="26"/>
        <w:szCs w:val="14"/>
      </w:r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5">
    <w:nsid w:val="508C4DB5"/>
    <w:multiLevelType w:val="hybridMultilevel"/>
    <w:tmpl w:val="E80A7062"/>
    <w:lvl w:ilvl="0" w:tplc="E654A1BE">
      <w:start w:val="1"/>
      <w:numFmt w:val="bullet"/>
      <w:lvlText w:val=""/>
      <w:lvlJc w:val="left"/>
      <w:pPr>
        <w:ind w:left="720" w:hanging="360"/>
      </w:pPr>
      <w:rPr>
        <w:rFonts w:ascii="Symbol" w:hAnsi="Symbol" w:hint="default"/>
      </w:rPr>
    </w:lvl>
    <w:lvl w:ilvl="1" w:tplc="02F81DEC">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6">
    <w:nsid w:val="50E537BF"/>
    <w:multiLevelType w:val="hybridMultilevel"/>
    <w:tmpl w:val="CEB2415E"/>
    <w:lvl w:ilvl="0" w:tplc="6A5476B2">
      <w:start w:val="1"/>
      <w:numFmt w:val="decimal"/>
      <w:lvlText w:val="%1."/>
      <w:lvlJc w:val="left"/>
      <w:pPr>
        <w:ind w:left="720" w:hanging="360"/>
      </w:pPr>
      <w:rPr>
        <w:rFonts w:ascii="Times New Roman" w:hAnsi="Times New Roman" w:hint="default"/>
        <w:b w:val="0"/>
        <w:i w:val="0"/>
        <w:sz w:val="26"/>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7">
    <w:nsid w:val="50F8741C"/>
    <w:multiLevelType w:val="hybridMultilevel"/>
    <w:tmpl w:val="4A40F74A"/>
    <w:lvl w:ilvl="0" w:tplc="1258129A">
      <w:start w:val="1"/>
      <w:numFmt w:val="lowerLetter"/>
      <w:lvlText w:val="%1/"/>
      <w:lvlJc w:val="left"/>
      <w:pPr>
        <w:ind w:left="720" w:hanging="360"/>
      </w:pPr>
      <w:rPr>
        <w:rFonts w:hint="default"/>
        <w:color w:val="auto"/>
        <w:sz w:val="18"/>
        <w:u w:val="word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8">
    <w:nsid w:val="51224C0A"/>
    <w:multiLevelType w:val="hybridMultilevel"/>
    <w:tmpl w:val="D6B475A0"/>
    <w:lvl w:ilvl="0" w:tplc="B6B003C4">
      <w:start w:val="1"/>
      <w:numFmt w:val="decimal"/>
      <w:lvlText w:val="%1."/>
      <w:lvlJc w:val="left"/>
      <w:pPr>
        <w:ind w:left="720" w:hanging="360"/>
      </w:pPr>
      <w:rPr>
        <w:rFonts w:ascii="Times New Roman" w:hAnsi="Times New Roman" w:cs="Tahoma" w:hint="default"/>
        <w:snapToGrid/>
        <w:spacing w:val="16"/>
        <w:sz w:val="20"/>
        <w:szCs w:val="14"/>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9">
    <w:nsid w:val="52DE4C44"/>
    <w:multiLevelType w:val="hybridMultilevel"/>
    <w:tmpl w:val="1E6C8C38"/>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0">
    <w:nsid w:val="539A011A"/>
    <w:multiLevelType w:val="hybridMultilevel"/>
    <w:tmpl w:val="EBC6C9BE"/>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1">
    <w:nsid w:val="555D2B91"/>
    <w:multiLevelType w:val="hybridMultilevel"/>
    <w:tmpl w:val="976A2BD4"/>
    <w:lvl w:ilvl="0" w:tplc="080A000F">
      <w:start w:val="1"/>
      <w:numFmt w:val="decimal"/>
      <w:lvlText w:val="%1."/>
      <w:lvlJc w:val="left"/>
      <w:pPr>
        <w:ind w:left="-351" w:hanging="360"/>
      </w:pPr>
      <w:rPr>
        <w:rFonts w:hint="default"/>
      </w:rPr>
    </w:lvl>
    <w:lvl w:ilvl="1" w:tplc="080A0019" w:tentative="1">
      <w:start w:val="1"/>
      <w:numFmt w:val="lowerLetter"/>
      <w:lvlText w:val="%2."/>
      <w:lvlJc w:val="left"/>
      <w:pPr>
        <w:ind w:left="369" w:hanging="360"/>
      </w:pPr>
    </w:lvl>
    <w:lvl w:ilvl="2" w:tplc="080A001B" w:tentative="1">
      <w:start w:val="1"/>
      <w:numFmt w:val="lowerRoman"/>
      <w:lvlText w:val="%3."/>
      <w:lvlJc w:val="right"/>
      <w:pPr>
        <w:ind w:left="1089" w:hanging="180"/>
      </w:pPr>
    </w:lvl>
    <w:lvl w:ilvl="3" w:tplc="080A000F" w:tentative="1">
      <w:start w:val="1"/>
      <w:numFmt w:val="decimal"/>
      <w:lvlText w:val="%4."/>
      <w:lvlJc w:val="left"/>
      <w:pPr>
        <w:ind w:left="1809" w:hanging="360"/>
      </w:pPr>
    </w:lvl>
    <w:lvl w:ilvl="4" w:tplc="080A0019" w:tentative="1">
      <w:start w:val="1"/>
      <w:numFmt w:val="lowerLetter"/>
      <w:lvlText w:val="%5."/>
      <w:lvlJc w:val="left"/>
      <w:pPr>
        <w:ind w:left="2529" w:hanging="360"/>
      </w:pPr>
    </w:lvl>
    <w:lvl w:ilvl="5" w:tplc="080A001B" w:tentative="1">
      <w:start w:val="1"/>
      <w:numFmt w:val="lowerRoman"/>
      <w:lvlText w:val="%6."/>
      <w:lvlJc w:val="right"/>
      <w:pPr>
        <w:ind w:left="3249" w:hanging="180"/>
      </w:pPr>
    </w:lvl>
    <w:lvl w:ilvl="6" w:tplc="080A000F" w:tentative="1">
      <w:start w:val="1"/>
      <w:numFmt w:val="decimal"/>
      <w:lvlText w:val="%7."/>
      <w:lvlJc w:val="left"/>
      <w:pPr>
        <w:ind w:left="3969" w:hanging="360"/>
      </w:pPr>
    </w:lvl>
    <w:lvl w:ilvl="7" w:tplc="080A0019" w:tentative="1">
      <w:start w:val="1"/>
      <w:numFmt w:val="lowerLetter"/>
      <w:lvlText w:val="%8."/>
      <w:lvlJc w:val="left"/>
      <w:pPr>
        <w:ind w:left="4689" w:hanging="360"/>
      </w:pPr>
    </w:lvl>
    <w:lvl w:ilvl="8" w:tplc="080A001B" w:tentative="1">
      <w:start w:val="1"/>
      <w:numFmt w:val="lowerRoman"/>
      <w:lvlText w:val="%9."/>
      <w:lvlJc w:val="right"/>
      <w:pPr>
        <w:ind w:left="5409" w:hanging="180"/>
      </w:pPr>
    </w:lvl>
  </w:abstractNum>
  <w:abstractNum w:abstractNumId="132">
    <w:nsid w:val="55FA238E"/>
    <w:multiLevelType w:val="hybridMultilevel"/>
    <w:tmpl w:val="AEAC7422"/>
    <w:lvl w:ilvl="0" w:tplc="E654A1BE">
      <w:start w:val="1"/>
      <w:numFmt w:val="bullet"/>
      <w:lvlText w:val=""/>
      <w:lvlJc w:val="left"/>
      <w:pPr>
        <w:ind w:left="720" w:hanging="360"/>
      </w:pPr>
      <w:rPr>
        <w:rFonts w:ascii="Symbol" w:hAnsi="Symbol" w:hint="default"/>
      </w:rPr>
    </w:lvl>
    <w:lvl w:ilvl="1" w:tplc="BF943EEC">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3">
    <w:nsid w:val="56025205"/>
    <w:multiLevelType w:val="hybridMultilevel"/>
    <w:tmpl w:val="A350A1C2"/>
    <w:lvl w:ilvl="0" w:tplc="A41C4156">
      <w:start w:val="1"/>
      <w:numFmt w:val="bullet"/>
      <w:lvlText w:val="–"/>
      <w:lvlJc w:val="left"/>
      <w:pPr>
        <w:ind w:left="720" w:hanging="360"/>
      </w:pPr>
      <w:rPr>
        <w:rFonts w:ascii="Vrinda" w:hAnsi="Vrinda"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4">
    <w:nsid w:val="56AA6D5F"/>
    <w:multiLevelType w:val="hybridMultilevel"/>
    <w:tmpl w:val="5E6A7092"/>
    <w:lvl w:ilvl="0" w:tplc="4420CF3C">
      <w:start w:val="1"/>
      <w:numFmt w:val="decimal"/>
      <w:lvlText w:val="%1."/>
      <w:lvlJc w:val="left"/>
      <w:pPr>
        <w:ind w:left="720" w:hanging="360"/>
      </w:pPr>
      <w:rPr>
        <w:rFonts w:hint="default"/>
        <w:b w:val="0"/>
        <w:i w:val="0"/>
        <w:color w:val="auto"/>
        <w:sz w:val="26"/>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5">
    <w:nsid w:val="56D15058"/>
    <w:multiLevelType w:val="hybridMultilevel"/>
    <w:tmpl w:val="062E60E2"/>
    <w:lvl w:ilvl="0" w:tplc="6A4ECC3A">
      <w:start w:val="1"/>
      <w:numFmt w:val="upperRoman"/>
      <w:lvlText w:val="%1."/>
      <w:lvlJc w:val="left"/>
      <w:pPr>
        <w:ind w:left="720" w:hanging="360"/>
      </w:pPr>
      <w:rPr>
        <w:rFonts w:hint="default"/>
        <w:sz w:val="26"/>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6">
    <w:nsid w:val="57DC5B7F"/>
    <w:multiLevelType w:val="hybridMultilevel"/>
    <w:tmpl w:val="C28E572E"/>
    <w:lvl w:ilvl="0" w:tplc="1258129A">
      <w:start w:val="1"/>
      <w:numFmt w:val="lowerLetter"/>
      <w:lvlText w:val="%1/"/>
      <w:lvlJc w:val="left"/>
      <w:pPr>
        <w:ind w:left="720" w:hanging="360"/>
      </w:pPr>
      <w:rPr>
        <w:rFonts w:hint="default"/>
        <w:color w:val="auto"/>
        <w:sz w:val="18"/>
        <w:u w:val="word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7">
    <w:nsid w:val="580924DD"/>
    <w:multiLevelType w:val="hybridMultilevel"/>
    <w:tmpl w:val="CBD07EA6"/>
    <w:lvl w:ilvl="0" w:tplc="AD90E8EA">
      <w:start w:val="1"/>
      <w:numFmt w:val="bullet"/>
      <w:lvlText w:val="-"/>
      <w:lvlJc w:val="left"/>
      <w:pPr>
        <w:ind w:left="720" w:hanging="360"/>
      </w:pPr>
      <w:rPr>
        <w:rFonts w:ascii="Courier New" w:hAnsi="Courier New" w:hint="default"/>
      </w:rPr>
    </w:lvl>
    <w:lvl w:ilvl="1" w:tplc="AD90E8EA">
      <w:start w:val="1"/>
      <w:numFmt w:val="bullet"/>
      <w:lvlText w:val="-"/>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8">
    <w:nsid w:val="5840490A"/>
    <w:multiLevelType w:val="hybridMultilevel"/>
    <w:tmpl w:val="39E6898E"/>
    <w:lvl w:ilvl="0" w:tplc="080A0017">
      <w:start w:val="5"/>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9">
    <w:nsid w:val="5A7D446E"/>
    <w:multiLevelType w:val="hybridMultilevel"/>
    <w:tmpl w:val="B1BCE876"/>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40">
    <w:nsid w:val="5AED04B7"/>
    <w:multiLevelType w:val="hybridMultilevel"/>
    <w:tmpl w:val="0CFC9932"/>
    <w:lvl w:ilvl="0" w:tplc="B77A6332">
      <w:start w:val="2"/>
      <w:numFmt w:val="bullet"/>
      <w:lvlText w:val=""/>
      <w:lvlJc w:val="left"/>
      <w:pPr>
        <w:ind w:left="360" w:hanging="360"/>
      </w:pPr>
      <w:rPr>
        <w:rFonts w:ascii="Symbol" w:eastAsiaTheme="minorHAnsi" w:hAnsi="Symbol" w:cs="Times New Roman"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41">
    <w:nsid w:val="5DDA4EE9"/>
    <w:multiLevelType w:val="hybridMultilevel"/>
    <w:tmpl w:val="0C406864"/>
    <w:lvl w:ilvl="0" w:tplc="7520DBFC">
      <w:start w:val="1"/>
      <w:numFmt w:val="bullet"/>
      <w:lvlText w:val="–"/>
      <w:lvlJc w:val="left"/>
      <w:pPr>
        <w:ind w:left="360" w:hanging="360"/>
      </w:pPr>
      <w:rPr>
        <w:rFonts w:ascii="Times New Roman" w:hAnsi="Times New Roman" w:cs="Times New Roman" w:hint="default"/>
        <w:sz w:val="24"/>
      </w:rPr>
    </w:lvl>
    <w:lvl w:ilvl="1" w:tplc="2A4AD092">
      <w:start w:val="1"/>
      <w:numFmt w:val="bullet"/>
      <w:lvlText w:val=""/>
      <w:lvlJc w:val="left"/>
      <w:pPr>
        <w:ind w:left="1080" w:hanging="360"/>
      </w:pPr>
      <w:rPr>
        <w:rFonts w:ascii="Symbol" w:eastAsia="Times New Roman" w:hAnsi="Symbol" w:cs="Times New Roman"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42">
    <w:nsid w:val="5E1214A8"/>
    <w:multiLevelType w:val="hybridMultilevel"/>
    <w:tmpl w:val="99721684"/>
    <w:lvl w:ilvl="0" w:tplc="551EB9D4">
      <w:start w:val="1"/>
      <w:numFmt w:val="decimal"/>
      <w:lvlText w:val="%1."/>
      <w:lvlJc w:val="left"/>
      <w:pPr>
        <w:ind w:left="720" w:hanging="360"/>
      </w:pPr>
      <w:rPr>
        <w:rFonts w:ascii="Times New Roman" w:hAnsi="Times New Roman" w:cs="Tahoma" w:hint="default"/>
        <w:b w:val="0"/>
        <w:i w:val="0"/>
        <w:snapToGrid/>
        <w:spacing w:val="16"/>
        <w:sz w:val="20"/>
        <w:szCs w:val="14"/>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3">
    <w:nsid w:val="5E4F46A9"/>
    <w:multiLevelType w:val="hybridMultilevel"/>
    <w:tmpl w:val="E65029C0"/>
    <w:lvl w:ilvl="0" w:tplc="7520DBFC">
      <w:start w:val="1"/>
      <w:numFmt w:val="bullet"/>
      <w:lvlText w:val="–"/>
      <w:lvlJc w:val="left"/>
      <w:pPr>
        <w:ind w:left="720" w:hanging="360"/>
      </w:pPr>
      <w:rPr>
        <w:rFonts w:ascii="Times New Roman" w:hAnsi="Times New Roman" w:cs="Times New Roman" w:hint="default"/>
        <w:sz w:val="24"/>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4">
    <w:nsid w:val="5F1C7C60"/>
    <w:multiLevelType w:val="hybridMultilevel"/>
    <w:tmpl w:val="69009FF0"/>
    <w:lvl w:ilvl="0" w:tplc="C8EE0074">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5">
    <w:nsid w:val="5F9A5BAA"/>
    <w:multiLevelType w:val="hybridMultilevel"/>
    <w:tmpl w:val="ADC86776"/>
    <w:lvl w:ilvl="0" w:tplc="1258129A">
      <w:start w:val="1"/>
      <w:numFmt w:val="lowerLetter"/>
      <w:lvlText w:val="%1/"/>
      <w:lvlJc w:val="left"/>
      <w:pPr>
        <w:ind w:left="720" w:hanging="360"/>
      </w:pPr>
      <w:rPr>
        <w:rFonts w:hint="default"/>
        <w:color w:val="auto"/>
        <w:sz w:val="18"/>
        <w:u w:val="word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6">
    <w:nsid w:val="5FAF0E6E"/>
    <w:multiLevelType w:val="hybridMultilevel"/>
    <w:tmpl w:val="A9F0C9F8"/>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7">
    <w:nsid w:val="5FF1687A"/>
    <w:multiLevelType w:val="hybridMultilevel"/>
    <w:tmpl w:val="B5065A88"/>
    <w:lvl w:ilvl="0" w:tplc="7520DBFC">
      <w:start w:val="1"/>
      <w:numFmt w:val="bullet"/>
      <w:lvlText w:val="–"/>
      <w:lvlJc w:val="left"/>
      <w:pPr>
        <w:ind w:left="360" w:hanging="360"/>
      </w:pPr>
      <w:rPr>
        <w:rFonts w:ascii="Times New Roman" w:hAnsi="Times New Roman" w:cs="Times New Roman" w:hint="default"/>
        <w:sz w:val="24"/>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48">
    <w:nsid w:val="60A5676C"/>
    <w:multiLevelType w:val="hybridMultilevel"/>
    <w:tmpl w:val="F32C66D0"/>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9">
    <w:nsid w:val="60C531C7"/>
    <w:multiLevelType w:val="hybridMultilevel"/>
    <w:tmpl w:val="937443E0"/>
    <w:lvl w:ilvl="0" w:tplc="080A0005">
      <w:start w:val="1"/>
      <w:numFmt w:val="bullet"/>
      <w:lvlText w:val=""/>
      <w:lvlJc w:val="left"/>
      <w:pPr>
        <w:ind w:left="360" w:hanging="360"/>
      </w:pPr>
      <w:rPr>
        <w:rFonts w:ascii="Wingdings" w:hAnsi="Wingdings" w:hint="default"/>
        <w:sz w:val="24"/>
      </w:rPr>
    </w:lvl>
    <w:lvl w:ilvl="1" w:tplc="080A0005">
      <w:start w:val="1"/>
      <w:numFmt w:val="bullet"/>
      <w:lvlText w:val=""/>
      <w:lvlJc w:val="left"/>
      <w:pPr>
        <w:ind w:left="1080" w:hanging="360"/>
      </w:pPr>
      <w:rPr>
        <w:rFonts w:ascii="Wingdings" w:hAnsi="Wingdings" w:hint="default"/>
        <w:sz w:val="24"/>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50">
    <w:nsid w:val="61C50542"/>
    <w:multiLevelType w:val="hybridMultilevel"/>
    <w:tmpl w:val="7592C65E"/>
    <w:lvl w:ilvl="0" w:tplc="080A000F">
      <w:start w:val="1"/>
      <w:numFmt w:val="decimal"/>
      <w:lvlText w:val="%1."/>
      <w:lvlJc w:val="left"/>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51">
    <w:nsid w:val="623F6801"/>
    <w:multiLevelType w:val="hybridMultilevel"/>
    <w:tmpl w:val="525AC3C2"/>
    <w:lvl w:ilvl="0" w:tplc="99ACF712">
      <w:start w:val="1"/>
      <w:numFmt w:val="lowerLetter"/>
      <w:lvlText w:val="%1)"/>
      <w:lvlJc w:val="left"/>
      <w:pPr>
        <w:ind w:left="720" w:hanging="360"/>
      </w:pPr>
      <w:rPr>
        <w:rFonts w:ascii="Times New Roman" w:hAnsi="Times New Roman" w:hint="default"/>
        <w:b w:val="0"/>
        <w:i w:val="0"/>
        <w:snapToGrid/>
        <w:spacing w:val="16"/>
        <w:sz w:val="26"/>
        <w:szCs w:val="14"/>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52">
    <w:nsid w:val="62B32F3C"/>
    <w:multiLevelType w:val="hybridMultilevel"/>
    <w:tmpl w:val="0AA4A240"/>
    <w:lvl w:ilvl="0" w:tplc="EA78A8BC">
      <w:start w:val="1"/>
      <w:numFmt w:val="lowerLetter"/>
      <w:lvlText w:val="%1)"/>
      <w:lvlJc w:val="left"/>
      <w:pPr>
        <w:ind w:left="6" w:hanging="360"/>
      </w:pPr>
      <w:rPr>
        <w:b w:val="0"/>
      </w:rPr>
    </w:lvl>
    <w:lvl w:ilvl="1" w:tplc="080A0019" w:tentative="1">
      <w:start w:val="1"/>
      <w:numFmt w:val="lowerLetter"/>
      <w:lvlText w:val="%2."/>
      <w:lvlJc w:val="left"/>
      <w:pPr>
        <w:ind w:left="726" w:hanging="360"/>
      </w:pPr>
    </w:lvl>
    <w:lvl w:ilvl="2" w:tplc="080A001B" w:tentative="1">
      <w:start w:val="1"/>
      <w:numFmt w:val="lowerRoman"/>
      <w:lvlText w:val="%3."/>
      <w:lvlJc w:val="right"/>
      <w:pPr>
        <w:ind w:left="1446" w:hanging="180"/>
      </w:pPr>
    </w:lvl>
    <w:lvl w:ilvl="3" w:tplc="080A000F" w:tentative="1">
      <w:start w:val="1"/>
      <w:numFmt w:val="decimal"/>
      <w:lvlText w:val="%4."/>
      <w:lvlJc w:val="left"/>
      <w:pPr>
        <w:ind w:left="2166" w:hanging="360"/>
      </w:pPr>
    </w:lvl>
    <w:lvl w:ilvl="4" w:tplc="080A0019" w:tentative="1">
      <w:start w:val="1"/>
      <w:numFmt w:val="lowerLetter"/>
      <w:lvlText w:val="%5."/>
      <w:lvlJc w:val="left"/>
      <w:pPr>
        <w:ind w:left="2886" w:hanging="360"/>
      </w:pPr>
    </w:lvl>
    <w:lvl w:ilvl="5" w:tplc="080A001B" w:tentative="1">
      <w:start w:val="1"/>
      <w:numFmt w:val="lowerRoman"/>
      <w:lvlText w:val="%6."/>
      <w:lvlJc w:val="right"/>
      <w:pPr>
        <w:ind w:left="3606" w:hanging="180"/>
      </w:pPr>
    </w:lvl>
    <w:lvl w:ilvl="6" w:tplc="080A000F" w:tentative="1">
      <w:start w:val="1"/>
      <w:numFmt w:val="decimal"/>
      <w:lvlText w:val="%7."/>
      <w:lvlJc w:val="left"/>
      <w:pPr>
        <w:ind w:left="4326" w:hanging="360"/>
      </w:pPr>
    </w:lvl>
    <w:lvl w:ilvl="7" w:tplc="080A0019" w:tentative="1">
      <w:start w:val="1"/>
      <w:numFmt w:val="lowerLetter"/>
      <w:lvlText w:val="%8."/>
      <w:lvlJc w:val="left"/>
      <w:pPr>
        <w:ind w:left="5046" w:hanging="360"/>
      </w:pPr>
    </w:lvl>
    <w:lvl w:ilvl="8" w:tplc="080A001B" w:tentative="1">
      <w:start w:val="1"/>
      <w:numFmt w:val="lowerRoman"/>
      <w:lvlText w:val="%9."/>
      <w:lvlJc w:val="right"/>
      <w:pPr>
        <w:ind w:left="5766" w:hanging="180"/>
      </w:pPr>
    </w:lvl>
  </w:abstractNum>
  <w:abstractNum w:abstractNumId="153">
    <w:nsid w:val="644737D1"/>
    <w:multiLevelType w:val="multilevel"/>
    <w:tmpl w:val="F3EE74E0"/>
    <w:lvl w:ilvl="0">
      <w:start w:val="1"/>
      <w:numFmt w:val="bullet"/>
      <w:lvlText w:val="–"/>
      <w:lvlJc w:val="left"/>
      <w:pPr>
        <w:tabs>
          <w:tab w:val="num" w:pos="360"/>
        </w:tabs>
        <w:ind w:left="360" w:hanging="360"/>
      </w:pPr>
      <w:rPr>
        <w:rFonts w:ascii="Vrinda" w:hAnsi="Vrinda" w:hint="default"/>
        <w:sz w:val="20"/>
      </w:rPr>
    </w:lvl>
    <w:lvl w:ilvl="1" w:tentative="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Symbol" w:hAnsi="Symbol" w:hint="default"/>
        <w:sz w:val="20"/>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154">
    <w:nsid w:val="647A7724"/>
    <w:multiLevelType w:val="hybridMultilevel"/>
    <w:tmpl w:val="CF0691D4"/>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5">
    <w:nsid w:val="657C1826"/>
    <w:multiLevelType w:val="hybridMultilevel"/>
    <w:tmpl w:val="C79AF1D8"/>
    <w:lvl w:ilvl="0" w:tplc="B77A6332">
      <w:start w:val="2"/>
      <w:numFmt w:val="bullet"/>
      <w:lvlText w:val=""/>
      <w:lvlJc w:val="left"/>
      <w:pPr>
        <w:ind w:left="360" w:hanging="360"/>
      </w:pPr>
      <w:rPr>
        <w:rFonts w:ascii="Symbol" w:eastAsiaTheme="minorHAnsi" w:hAnsi="Symbol" w:cs="Times New Roman"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56">
    <w:nsid w:val="65A12B27"/>
    <w:multiLevelType w:val="hybridMultilevel"/>
    <w:tmpl w:val="483238AA"/>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7">
    <w:nsid w:val="662441DD"/>
    <w:multiLevelType w:val="hybridMultilevel"/>
    <w:tmpl w:val="E7287344"/>
    <w:lvl w:ilvl="0" w:tplc="E654A1BE">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58">
    <w:nsid w:val="66CE3A06"/>
    <w:multiLevelType w:val="hybridMultilevel"/>
    <w:tmpl w:val="80942BA6"/>
    <w:lvl w:ilvl="0" w:tplc="A41C4156">
      <w:start w:val="1"/>
      <w:numFmt w:val="bullet"/>
      <w:lvlText w:val="–"/>
      <w:lvlJc w:val="left"/>
      <w:pPr>
        <w:ind w:left="360" w:hanging="360"/>
      </w:pPr>
      <w:rPr>
        <w:rFonts w:ascii="Vrinda" w:hAnsi="Vrinda"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59">
    <w:nsid w:val="66D835FE"/>
    <w:multiLevelType w:val="hybridMultilevel"/>
    <w:tmpl w:val="41CC7E9E"/>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0">
    <w:nsid w:val="67A73DD8"/>
    <w:multiLevelType w:val="hybridMultilevel"/>
    <w:tmpl w:val="94528DB4"/>
    <w:lvl w:ilvl="0" w:tplc="AD90E8EA">
      <w:start w:val="1"/>
      <w:numFmt w:val="bullet"/>
      <w:lvlText w:val="-"/>
      <w:lvlJc w:val="left"/>
      <w:pPr>
        <w:ind w:left="720" w:hanging="360"/>
      </w:pPr>
      <w:rPr>
        <w:rFonts w:ascii="Courier New" w:hAnsi="Courier New" w:hint="default"/>
      </w:rPr>
    </w:lvl>
    <w:lvl w:ilvl="1" w:tplc="AD90E8EA">
      <w:start w:val="1"/>
      <w:numFmt w:val="bullet"/>
      <w:lvlText w:val="-"/>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1">
    <w:nsid w:val="67AD3688"/>
    <w:multiLevelType w:val="hybridMultilevel"/>
    <w:tmpl w:val="3890351A"/>
    <w:lvl w:ilvl="0" w:tplc="080A0015">
      <w:start w:val="1"/>
      <w:numFmt w:val="upp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62">
    <w:nsid w:val="68F67111"/>
    <w:multiLevelType w:val="hybridMultilevel"/>
    <w:tmpl w:val="E9DC487A"/>
    <w:lvl w:ilvl="0" w:tplc="080A0017">
      <w:start w:val="1"/>
      <w:numFmt w:val="lowerLetter"/>
      <w:lvlText w:val="%1)"/>
      <w:lvlJc w:val="left"/>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63">
    <w:nsid w:val="69E82754"/>
    <w:multiLevelType w:val="hybridMultilevel"/>
    <w:tmpl w:val="C4AA2CAE"/>
    <w:styleLink w:val="111111212"/>
    <w:lvl w:ilvl="0" w:tplc="B0C0234C">
      <w:start w:val="1"/>
      <w:numFmt w:val="lowerRoman"/>
      <w:lvlText w:val="%1)"/>
      <w:lvlJc w:val="left"/>
      <w:pPr>
        <w:tabs>
          <w:tab w:val="num" w:pos="1080"/>
        </w:tabs>
        <w:ind w:left="1080" w:hanging="720"/>
      </w:pPr>
      <w:rPr>
        <w:rFonts w:hint="default"/>
      </w:rPr>
    </w:lvl>
    <w:lvl w:ilvl="1" w:tplc="0C0A0003">
      <w:start w:val="1"/>
      <w:numFmt w:val="decimal"/>
      <w:lvlText w:val="%2."/>
      <w:lvlJc w:val="left"/>
      <w:pPr>
        <w:tabs>
          <w:tab w:val="num" w:pos="1440"/>
        </w:tabs>
        <w:ind w:left="1440" w:hanging="360"/>
      </w:pPr>
      <w:rPr>
        <w:rFonts w:hint="default"/>
      </w:rPr>
    </w:lvl>
    <w:lvl w:ilvl="2" w:tplc="0C0A0005">
      <w:start w:val="1"/>
      <w:numFmt w:val="lowerRoman"/>
      <w:lvlText w:val="(%3)"/>
      <w:lvlJc w:val="left"/>
      <w:pPr>
        <w:tabs>
          <w:tab w:val="num" w:pos="2700"/>
        </w:tabs>
        <w:ind w:left="2700" w:hanging="720"/>
      </w:pPr>
      <w:rPr>
        <w:rFonts w:hint="default"/>
      </w:rPr>
    </w:lvl>
    <w:lvl w:ilvl="3" w:tplc="0C0A0001">
      <w:start w:val="1"/>
      <w:numFmt w:val="decimal"/>
      <w:lvlText w:val="%4)"/>
      <w:lvlJc w:val="left"/>
      <w:pPr>
        <w:tabs>
          <w:tab w:val="num" w:pos="2910"/>
        </w:tabs>
        <w:ind w:left="2910" w:hanging="390"/>
      </w:pPr>
      <w:rPr>
        <w:rFonts w:hint="default"/>
      </w:rPr>
    </w:lvl>
    <w:lvl w:ilvl="4" w:tplc="0C0A0003">
      <w:start w:val="1"/>
      <w:numFmt w:val="lowerLetter"/>
      <w:lvlText w:val="%5)"/>
      <w:lvlJc w:val="left"/>
      <w:pPr>
        <w:tabs>
          <w:tab w:val="num" w:pos="3600"/>
        </w:tabs>
        <w:ind w:left="3600" w:hanging="360"/>
      </w:pPr>
      <w:rPr>
        <w:rFonts w:hint="default"/>
      </w:rPr>
    </w:lvl>
    <w:lvl w:ilvl="5" w:tplc="0C0A0005">
      <w:start w:val="1"/>
      <w:numFmt w:val="upperRoman"/>
      <w:lvlText w:val="%6."/>
      <w:lvlJc w:val="left"/>
      <w:pPr>
        <w:tabs>
          <w:tab w:val="num" w:pos="4860"/>
        </w:tabs>
        <w:ind w:left="4860" w:hanging="720"/>
      </w:pPr>
      <w:rPr>
        <w:rFonts w:hint="default"/>
      </w:rPr>
    </w:lvl>
    <w:lvl w:ilvl="6" w:tplc="0C0A0001" w:tentative="1">
      <w:start w:val="1"/>
      <w:numFmt w:val="decimal"/>
      <w:lvlText w:val="%7."/>
      <w:lvlJc w:val="left"/>
      <w:pPr>
        <w:tabs>
          <w:tab w:val="num" w:pos="5040"/>
        </w:tabs>
        <w:ind w:left="5040" w:hanging="360"/>
      </w:pPr>
    </w:lvl>
    <w:lvl w:ilvl="7" w:tplc="0C0A0003" w:tentative="1">
      <w:start w:val="1"/>
      <w:numFmt w:val="lowerLetter"/>
      <w:lvlText w:val="%8."/>
      <w:lvlJc w:val="left"/>
      <w:pPr>
        <w:tabs>
          <w:tab w:val="num" w:pos="5760"/>
        </w:tabs>
        <w:ind w:left="5760" w:hanging="360"/>
      </w:pPr>
    </w:lvl>
    <w:lvl w:ilvl="8" w:tplc="0C0A0005" w:tentative="1">
      <w:start w:val="1"/>
      <w:numFmt w:val="lowerRoman"/>
      <w:lvlText w:val="%9."/>
      <w:lvlJc w:val="right"/>
      <w:pPr>
        <w:tabs>
          <w:tab w:val="num" w:pos="6480"/>
        </w:tabs>
        <w:ind w:left="6480" w:hanging="180"/>
      </w:pPr>
    </w:lvl>
  </w:abstractNum>
  <w:abstractNum w:abstractNumId="164">
    <w:nsid w:val="6BC40618"/>
    <w:multiLevelType w:val="hybridMultilevel"/>
    <w:tmpl w:val="DE2CBC1E"/>
    <w:lvl w:ilvl="0" w:tplc="AD90E8EA">
      <w:start w:val="1"/>
      <w:numFmt w:val="bullet"/>
      <w:lvlText w:val="-"/>
      <w:lvlJc w:val="left"/>
      <w:pPr>
        <w:ind w:left="720" w:hanging="360"/>
      </w:pPr>
      <w:rPr>
        <w:rFonts w:ascii="Courier New" w:hAnsi="Courier New" w:hint="default"/>
      </w:rPr>
    </w:lvl>
    <w:lvl w:ilvl="1" w:tplc="AD90E8EA">
      <w:start w:val="1"/>
      <w:numFmt w:val="bullet"/>
      <w:lvlText w:val="-"/>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5">
    <w:nsid w:val="6BD476F3"/>
    <w:multiLevelType w:val="multilevel"/>
    <w:tmpl w:val="4D08C1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6">
    <w:nsid w:val="6C6D5AB4"/>
    <w:multiLevelType w:val="hybridMultilevel"/>
    <w:tmpl w:val="BA5C0230"/>
    <w:lvl w:ilvl="0" w:tplc="9FB2E6D8">
      <w:start w:val="1"/>
      <w:numFmt w:val="decimal"/>
      <w:lvlText w:val="%1."/>
      <w:lvlJc w:val="left"/>
      <w:pPr>
        <w:ind w:left="360" w:hanging="360"/>
      </w:pPr>
      <w:rPr>
        <w:rFonts w:hint="default"/>
        <w:b/>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67">
    <w:nsid w:val="6C956331"/>
    <w:multiLevelType w:val="hybridMultilevel"/>
    <w:tmpl w:val="3C04E33E"/>
    <w:lvl w:ilvl="0" w:tplc="7520DBFC">
      <w:start w:val="1"/>
      <w:numFmt w:val="bullet"/>
      <w:lvlText w:val="–"/>
      <w:lvlJc w:val="left"/>
      <w:pPr>
        <w:ind w:left="360" w:hanging="360"/>
      </w:pPr>
      <w:rPr>
        <w:rFonts w:ascii="Times New Roman" w:hAnsi="Times New Roman" w:cs="Times New Roman" w:hint="default"/>
        <w:sz w:val="24"/>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68">
    <w:nsid w:val="6CB36300"/>
    <w:multiLevelType w:val="hybridMultilevel"/>
    <w:tmpl w:val="377C135C"/>
    <w:lvl w:ilvl="0" w:tplc="288E1828">
      <w:start w:val="1"/>
      <w:numFmt w:val="upperRoman"/>
      <w:lvlText w:val="%1."/>
      <w:lvlJc w:val="right"/>
      <w:pPr>
        <w:ind w:left="720" w:hanging="360"/>
      </w:pPr>
      <w:rPr>
        <w:b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69">
    <w:nsid w:val="6D366E2A"/>
    <w:multiLevelType w:val="hybridMultilevel"/>
    <w:tmpl w:val="4532DD26"/>
    <w:lvl w:ilvl="0" w:tplc="A41C4156">
      <w:start w:val="1"/>
      <w:numFmt w:val="bullet"/>
      <w:lvlText w:val="–"/>
      <w:lvlJc w:val="left"/>
      <w:pPr>
        <w:ind w:left="720" w:hanging="360"/>
      </w:pPr>
      <w:rPr>
        <w:rFonts w:ascii="Vrinda" w:hAnsi="Vrinda"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0">
    <w:nsid w:val="6F3D4F0E"/>
    <w:multiLevelType w:val="hybridMultilevel"/>
    <w:tmpl w:val="0D804AB0"/>
    <w:lvl w:ilvl="0" w:tplc="A41C4156">
      <w:start w:val="1"/>
      <w:numFmt w:val="bullet"/>
      <w:lvlText w:val="–"/>
      <w:lvlJc w:val="left"/>
      <w:pPr>
        <w:ind w:left="814" w:hanging="360"/>
      </w:pPr>
      <w:rPr>
        <w:rFonts w:ascii="Vrinda" w:hAnsi="Vrinda" w:hint="default"/>
        <w:sz w:val="24"/>
      </w:rPr>
    </w:lvl>
    <w:lvl w:ilvl="1" w:tplc="080A0003" w:tentative="1">
      <w:start w:val="1"/>
      <w:numFmt w:val="bullet"/>
      <w:lvlText w:val="o"/>
      <w:lvlJc w:val="left"/>
      <w:pPr>
        <w:ind w:left="1246" w:hanging="360"/>
      </w:pPr>
      <w:rPr>
        <w:rFonts w:ascii="Courier New" w:hAnsi="Courier New" w:cs="Courier New" w:hint="default"/>
      </w:rPr>
    </w:lvl>
    <w:lvl w:ilvl="2" w:tplc="080A0005" w:tentative="1">
      <w:start w:val="1"/>
      <w:numFmt w:val="bullet"/>
      <w:lvlText w:val=""/>
      <w:lvlJc w:val="left"/>
      <w:pPr>
        <w:ind w:left="1966" w:hanging="360"/>
      </w:pPr>
      <w:rPr>
        <w:rFonts w:ascii="Wingdings" w:hAnsi="Wingdings" w:hint="default"/>
      </w:rPr>
    </w:lvl>
    <w:lvl w:ilvl="3" w:tplc="080A0001" w:tentative="1">
      <w:start w:val="1"/>
      <w:numFmt w:val="bullet"/>
      <w:lvlText w:val=""/>
      <w:lvlJc w:val="left"/>
      <w:pPr>
        <w:ind w:left="2686" w:hanging="360"/>
      </w:pPr>
      <w:rPr>
        <w:rFonts w:ascii="Symbol" w:hAnsi="Symbol" w:hint="default"/>
      </w:rPr>
    </w:lvl>
    <w:lvl w:ilvl="4" w:tplc="080A0003" w:tentative="1">
      <w:start w:val="1"/>
      <w:numFmt w:val="bullet"/>
      <w:lvlText w:val="o"/>
      <w:lvlJc w:val="left"/>
      <w:pPr>
        <w:ind w:left="3406" w:hanging="360"/>
      </w:pPr>
      <w:rPr>
        <w:rFonts w:ascii="Courier New" w:hAnsi="Courier New" w:cs="Courier New" w:hint="default"/>
      </w:rPr>
    </w:lvl>
    <w:lvl w:ilvl="5" w:tplc="080A0005" w:tentative="1">
      <w:start w:val="1"/>
      <w:numFmt w:val="bullet"/>
      <w:lvlText w:val=""/>
      <w:lvlJc w:val="left"/>
      <w:pPr>
        <w:ind w:left="4126" w:hanging="360"/>
      </w:pPr>
      <w:rPr>
        <w:rFonts w:ascii="Wingdings" w:hAnsi="Wingdings" w:hint="default"/>
      </w:rPr>
    </w:lvl>
    <w:lvl w:ilvl="6" w:tplc="080A0001" w:tentative="1">
      <w:start w:val="1"/>
      <w:numFmt w:val="bullet"/>
      <w:lvlText w:val=""/>
      <w:lvlJc w:val="left"/>
      <w:pPr>
        <w:ind w:left="4846" w:hanging="360"/>
      </w:pPr>
      <w:rPr>
        <w:rFonts w:ascii="Symbol" w:hAnsi="Symbol" w:hint="default"/>
      </w:rPr>
    </w:lvl>
    <w:lvl w:ilvl="7" w:tplc="080A0003" w:tentative="1">
      <w:start w:val="1"/>
      <w:numFmt w:val="bullet"/>
      <w:lvlText w:val="o"/>
      <w:lvlJc w:val="left"/>
      <w:pPr>
        <w:ind w:left="5566" w:hanging="360"/>
      </w:pPr>
      <w:rPr>
        <w:rFonts w:ascii="Courier New" w:hAnsi="Courier New" w:cs="Courier New" w:hint="default"/>
      </w:rPr>
    </w:lvl>
    <w:lvl w:ilvl="8" w:tplc="080A0005" w:tentative="1">
      <w:start w:val="1"/>
      <w:numFmt w:val="bullet"/>
      <w:lvlText w:val=""/>
      <w:lvlJc w:val="left"/>
      <w:pPr>
        <w:ind w:left="6286" w:hanging="360"/>
      </w:pPr>
      <w:rPr>
        <w:rFonts w:ascii="Wingdings" w:hAnsi="Wingdings" w:hint="default"/>
      </w:rPr>
    </w:lvl>
  </w:abstractNum>
  <w:abstractNum w:abstractNumId="171">
    <w:nsid w:val="7008290E"/>
    <w:multiLevelType w:val="hybridMultilevel"/>
    <w:tmpl w:val="768EC8AC"/>
    <w:lvl w:ilvl="0" w:tplc="7520DBFC">
      <w:start w:val="1"/>
      <w:numFmt w:val="bullet"/>
      <w:lvlText w:val="–"/>
      <w:lvlJc w:val="left"/>
      <w:pPr>
        <w:ind w:left="360" w:hanging="360"/>
      </w:pPr>
      <w:rPr>
        <w:rFonts w:ascii="Times New Roman" w:hAnsi="Times New Roman" w:cs="Times New Roman" w:hint="default"/>
        <w:sz w:val="24"/>
      </w:rPr>
    </w:lvl>
    <w:lvl w:ilvl="1" w:tplc="7520DBFC">
      <w:start w:val="1"/>
      <w:numFmt w:val="bullet"/>
      <w:lvlText w:val="–"/>
      <w:lvlJc w:val="left"/>
      <w:pPr>
        <w:ind w:left="1080" w:hanging="360"/>
      </w:pPr>
      <w:rPr>
        <w:rFonts w:ascii="Times New Roman" w:hAnsi="Times New Roman" w:cs="Times New Roman" w:hint="default"/>
        <w:sz w:val="24"/>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72">
    <w:nsid w:val="70A37F99"/>
    <w:multiLevelType w:val="hybridMultilevel"/>
    <w:tmpl w:val="2620F38C"/>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3">
    <w:nsid w:val="710356B7"/>
    <w:multiLevelType w:val="hybridMultilevel"/>
    <w:tmpl w:val="E084DD82"/>
    <w:lvl w:ilvl="0" w:tplc="AD90E8EA">
      <w:start w:val="1"/>
      <w:numFmt w:val="bullet"/>
      <w:lvlText w:val="-"/>
      <w:lvlJc w:val="left"/>
      <w:pPr>
        <w:ind w:left="720" w:hanging="360"/>
      </w:pPr>
      <w:rPr>
        <w:rFonts w:ascii="Courier New" w:hAnsi="Courier New"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4">
    <w:nsid w:val="717741DF"/>
    <w:multiLevelType w:val="hybridMultilevel"/>
    <w:tmpl w:val="80829038"/>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5">
    <w:nsid w:val="71AD3C57"/>
    <w:multiLevelType w:val="hybridMultilevel"/>
    <w:tmpl w:val="17EC1F92"/>
    <w:lvl w:ilvl="0" w:tplc="E654A1BE">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76">
    <w:nsid w:val="71CA3013"/>
    <w:multiLevelType w:val="hybridMultilevel"/>
    <w:tmpl w:val="55760B96"/>
    <w:lvl w:ilvl="0" w:tplc="5CB61D60">
      <w:start w:val="1"/>
      <w:numFmt w:val="decimal"/>
      <w:lvlText w:val="%1."/>
      <w:lvlJc w:val="left"/>
      <w:pPr>
        <w:ind w:left="720" w:hanging="360"/>
      </w:pPr>
      <w:rPr>
        <w:rFonts w:ascii="Times New Roman" w:hAnsi="Times New Roman" w:cs="Tahoma" w:hint="default"/>
        <w:snapToGrid/>
        <w:spacing w:val="16"/>
        <w:sz w:val="20"/>
        <w:szCs w:val="14"/>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77">
    <w:nsid w:val="758B1D60"/>
    <w:multiLevelType w:val="hybridMultilevel"/>
    <w:tmpl w:val="240EB6E8"/>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8">
    <w:nsid w:val="76766A3D"/>
    <w:multiLevelType w:val="hybridMultilevel"/>
    <w:tmpl w:val="04F0C600"/>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9">
    <w:nsid w:val="779F5309"/>
    <w:multiLevelType w:val="hybridMultilevel"/>
    <w:tmpl w:val="72685D52"/>
    <w:lvl w:ilvl="0" w:tplc="887CA48E">
      <w:start w:val="1"/>
      <w:numFmt w:val="decimal"/>
      <w:lvlText w:val="%1."/>
      <w:lvlJc w:val="left"/>
      <w:pPr>
        <w:ind w:left="644" w:hanging="360"/>
      </w:pPr>
      <w:rPr>
        <w:rFonts w:hint="default"/>
        <w:b w:val="0"/>
        <w:i w:val="0"/>
      </w:rPr>
    </w:lvl>
    <w:lvl w:ilvl="1" w:tplc="080A0019" w:tentative="1">
      <w:start w:val="1"/>
      <w:numFmt w:val="lowerLetter"/>
      <w:lvlText w:val="%2."/>
      <w:lvlJc w:val="left"/>
      <w:pPr>
        <w:ind w:left="1364" w:hanging="360"/>
      </w:pPr>
    </w:lvl>
    <w:lvl w:ilvl="2" w:tplc="080A001B" w:tentative="1">
      <w:start w:val="1"/>
      <w:numFmt w:val="lowerRoman"/>
      <w:lvlText w:val="%3."/>
      <w:lvlJc w:val="right"/>
      <w:pPr>
        <w:ind w:left="2084" w:hanging="180"/>
      </w:pPr>
    </w:lvl>
    <w:lvl w:ilvl="3" w:tplc="080A000F" w:tentative="1">
      <w:start w:val="1"/>
      <w:numFmt w:val="decimal"/>
      <w:lvlText w:val="%4."/>
      <w:lvlJc w:val="left"/>
      <w:pPr>
        <w:ind w:left="2804" w:hanging="360"/>
      </w:pPr>
    </w:lvl>
    <w:lvl w:ilvl="4" w:tplc="080A0019" w:tentative="1">
      <w:start w:val="1"/>
      <w:numFmt w:val="lowerLetter"/>
      <w:lvlText w:val="%5."/>
      <w:lvlJc w:val="left"/>
      <w:pPr>
        <w:ind w:left="3524" w:hanging="360"/>
      </w:pPr>
    </w:lvl>
    <w:lvl w:ilvl="5" w:tplc="080A001B" w:tentative="1">
      <w:start w:val="1"/>
      <w:numFmt w:val="lowerRoman"/>
      <w:lvlText w:val="%6."/>
      <w:lvlJc w:val="right"/>
      <w:pPr>
        <w:ind w:left="4244" w:hanging="180"/>
      </w:pPr>
    </w:lvl>
    <w:lvl w:ilvl="6" w:tplc="080A000F" w:tentative="1">
      <w:start w:val="1"/>
      <w:numFmt w:val="decimal"/>
      <w:lvlText w:val="%7."/>
      <w:lvlJc w:val="left"/>
      <w:pPr>
        <w:ind w:left="4964" w:hanging="360"/>
      </w:pPr>
    </w:lvl>
    <w:lvl w:ilvl="7" w:tplc="080A0019" w:tentative="1">
      <w:start w:val="1"/>
      <w:numFmt w:val="lowerLetter"/>
      <w:lvlText w:val="%8."/>
      <w:lvlJc w:val="left"/>
      <w:pPr>
        <w:ind w:left="5684" w:hanging="360"/>
      </w:pPr>
    </w:lvl>
    <w:lvl w:ilvl="8" w:tplc="080A001B" w:tentative="1">
      <w:start w:val="1"/>
      <w:numFmt w:val="lowerRoman"/>
      <w:lvlText w:val="%9."/>
      <w:lvlJc w:val="right"/>
      <w:pPr>
        <w:ind w:left="6404" w:hanging="180"/>
      </w:pPr>
    </w:lvl>
  </w:abstractNum>
  <w:abstractNum w:abstractNumId="180">
    <w:nsid w:val="78D5620A"/>
    <w:multiLevelType w:val="hybridMultilevel"/>
    <w:tmpl w:val="E8209ED4"/>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1">
    <w:nsid w:val="794B756F"/>
    <w:multiLevelType w:val="hybridMultilevel"/>
    <w:tmpl w:val="9C4CA55C"/>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2">
    <w:nsid w:val="79807063"/>
    <w:multiLevelType w:val="hybridMultilevel"/>
    <w:tmpl w:val="6C4ACD8A"/>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3">
    <w:nsid w:val="7B030847"/>
    <w:multiLevelType w:val="hybridMultilevel"/>
    <w:tmpl w:val="87EE579A"/>
    <w:lvl w:ilvl="0" w:tplc="AD90E8EA">
      <w:start w:val="1"/>
      <w:numFmt w:val="bullet"/>
      <w:lvlText w:val="-"/>
      <w:lvlJc w:val="left"/>
      <w:pPr>
        <w:ind w:left="720" w:hanging="360"/>
      </w:pPr>
      <w:rPr>
        <w:rFonts w:ascii="Courier New" w:hAnsi="Courier New" w:hint="default"/>
      </w:rPr>
    </w:lvl>
    <w:lvl w:ilvl="1" w:tplc="AD90E8EA">
      <w:start w:val="1"/>
      <w:numFmt w:val="bullet"/>
      <w:lvlText w:val="-"/>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4">
    <w:nsid w:val="7B0F4238"/>
    <w:multiLevelType w:val="hybridMultilevel"/>
    <w:tmpl w:val="51E8C5FA"/>
    <w:lvl w:ilvl="0" w:tplc="E654A1BE">
      <w:start w:val="1"/>
      <w:numFmt w:val="bullet"/>
      <w:lvlText w:val=""/>
      <w:lvlJc w:val="left"/>
      <w:pPr>
        <w:ind w:left="720" w:hanging="360"/>
      </w:pPr>
      <w:rPr>
        <w:rFonts w:ascii="Symbol" w:hAnsi="Symbol" w:hint="default"/>
      </w:rPr>
    </w:lvl>
    <w:lvl w:ilvl="1" w:tplc="8924B9DA">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5">
    <w:nsid w:val="7CEC4DAF"/>
    <w:multiLevelType w:val="hybridMultilevel"/>
    <w:tmpl w:val="E564E0E4"/>
    <w:lvl w:ilvl="0" w:tplc="080A0017">
      <w:start w:val="1"/>
      <w:numFmt w:val="lowerLetter"/>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86">
    <w:nsid w:val="7DA91125"/>
    <w:multiLevelType w:val="hybridMultilevel"/>
    <w:tmpl w:val="82A09620"/>
    <w:lvl w:ilvl="0" w:tplc="E654A1BE">
      <w:start w:val="1"/>
      <w:numFmt w:val="bullet"/>
      <w:lvlText w:val=""/>
      <w:lvlJc w:val="left"/>
      <w:pPr>
        <w:ind w:left="720" w:hanging="360"/>
      </w:pPr>
      <w:rPr>
        <w:rFonts w:ascii="Symbol" w:hAnsi="Symbol" w:hint="default"/>
      </w:rPr>
    </w:lvl>
    <w:lvl w:ilvl="1" w:tplc="1FA8C362">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7">
    <w:nsid w:val="7DF444EE"/>
    <w:multiLevelType w:val="hybridMultilevel"/>
    <w:tmpl w:val="47947598"/>
    <w:lvl w:ilvl="0" w:tplc="80187B4A">
      <w:start w:val="1"/>
      <w:numFmt w:val="decimal"/>
      <w:lvlText w:val="%1."/>
      <w:lvlJc w:val="left"/>
      <w:pPr>
        <w:ind w:left="720" w:hanging="360"/>
      </w:pPr>
      <w:rPr>
        <w:rFonts w:hint="default"/>
        <w:b/>
        <w:i w:val="0"/>
        <w:color w:val="auto"/>
        <w:sz w:val="26"/>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8">
    <w:nsid w:val="7E416607"/>
    <w:multiLevelType w:val="hybridMultilevel"/>
    <w:tmpl w:val="0AA26E5C"/>
    <w:lvl w:ilvl="0" w:tplc="E654A1BE">
      <w:start w:val="1"/>
      <w:numFmt w:val="bullet"/>
      <w:lvlText w:val=""/>
      <w:lvlJc w:val="left"/>
      <w:pPr>
        <w:ind w:left="720" w:hanging="360"/>
      </w:pPr>
      <w:rPr>
        <w:rFonts w:ascii="Symbol" w:hAnsi="Symbol" w:hint="default"/>
      </w:rPr>
    </w:lvl>
    <w:lvl w:ilvl="1" w:tplc="270C630C">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9">
    <w:nsid w:val="7FCA372B"/>
    <w:multiLevelType w:val="hybridMultilevel"/>
    <w:tmpl w:val="42D2081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90">
    <w:nsid w:val="7FEB3A3B"/>
    <w:multiLevelType w:val="hybridMultilevel"/>
    <w:tmpl w:val="4A42349C"/>
    <w:lvl w:ilvl="0" w:tplc="A41C4156">
      <w:start w:val="1"/>
      <w:numFmt w:val="bullet"/>
      <w:lvlText w:val="–"/>
      <w:lvlJc w:val="left"/>
      <w:pPr>
        <w:ind w:left="360" w:hanging="360"/>
      </w:pPr>
      <w:rPr>
        <w:rFonts w:ascii="Vrinda" w:hAnsi="Vrinda"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num w:numId="1">
    <w:abstractNumId w:val="29"/>
  </w:num>
  <w:num w:numId="2">
    <w:abstractNumId w:val="3"/>
  </w:num>
  <w:num w:numId="3">
    <w:abstractNumId w:val="4"/>
  </w:num>
  <w:num w:numId="4">
    <w:abstractNumId w:val="2"/>
  </w:num>
  <w:num w:numId="5">
    <w:abstractNumId w:val="7"/>
  </w:num>
  <w:num w:numId="6">
    <w:abstractNumId w:val="163"/>
  </w:num>
  <w:num w:numId="7">
    <w:abstractNumId w:val="47"/>
  </w:num>
  <w:num w:numId="8">
    <w:abstractNumId w:val="1"/>
  </w:num>
  <w:num w:numId="9">
    <w:abstractNumId w:val="66"/>
  </w:num>
  <w:num w:numId="10">
    <w:abstractNumId w:val="123"/>
  </w:num>
  <w:num w:numId="11">
    <w:abstractNumId w:val="0"/>
  </w:num>
  <w:num w:numId="12">
    <w:abstractNumId w:val="105"/>
  </w:num>
  <w:num w:numId="13">
    <w:abstractNumId w:val="89"/>
  </w:num>
  <w:num w:numId="14">
    <w:abstractNumId w:val="184"/>
  </w:num>
  <w:num w:numId="15">
    <w:abstractNumId w:val="76"/>
  </w:num>
  <w:num w:numId="16">
    <w:abstractNumId w:val="19"/>
  </w:num>
  <w:num w:numId="17">
    <w:abstractNumId w:val="104"/>
  </w:num>
  <w:num w:numId="18">
    <w:abstractNumId w:val="32"/>
  </w:num>
  <w:num w:numId="19">
    <w:abstractNumId w:val="128"/>
  </w:num>
  <w:num w:numId="20">
    <w:abstractNumId w:val="176"/>
  </w:num>
  <w:num w:numId="21">
    <w:abstractNumId w:val="156"/>
  </w:num>
  <w:num w:numId="22">
    <w:abstractNumId w:val="97"/>
  </w:num>
  <w:num w:numId="23">
    <w:abstractNumId w:val="111"/>
  </w:num>
  <w:num w:numId="24">
    <w:abstractNumId w:val="173"/>
  </w:num>
  <w:num w:numId="25">
    <w:abstractNumId w:val="79"/>
  </w:num>
  <w:num w:numId="26">
    <w:abstractNumId w:val="35"/>
  </w:num>
  <w:num w:numId="27">
    <w:abstractNumId w:val="56"/>
  </w:num>
  <w:num w:numId="28">
    <w:abstractNumId w:val="15"/>
  </w:num>
  <w:num w:numId="29">
    <w:abstractNumId w:val="55"/>
  </w:num>
  <w:num w:numId="30">
    <w:abstractNumId w:val="67"/>
  </w:num>
  <w:num w:numId="31">
    <w:abstractNumId w:val="122"/>
  </w:num>
  <w:num w:numId="32">
    <w:abstractNumId w:val="82"/>
  </w:num>
  <w:num w:numId="33">
    <w:abstractNumId w:val="75"/>
  </w:num>
  <w:num w:numId="34">
    <w:abstractNumId w:val="96"/>
  </w:num>
  <w:num w:numId="35">
    <w:abstractNumId w:val="124"/>
  </w:num>
  <w:num w:numId="36">
    <w:abstractNumId w:val="110"/>
  </w:num>
  <w:num w:numId="37">
    <w:abstractNumId w:val="54"/>
  </w:num>
  <w:num w:numId="38">
    <w:abstractNumId w:val="94"/>
  </w:num>
  <w:num w:numId="39">
    <w:abstractNumId w:val="62"/>
  </w:num>
  <w:num w:numId="40">
    <w:abstractNumId w:val="139"/>
  </w:num>
  <w:num w:numId="41">
    <w:abstractNumId w:val="179"/>
  </w:num>
  <w:num w:numId="42">
    <w:abstractNumId w:val="71"/>
  </w:num>
  <w:num w:numId="43">
    <w:abstractNumId w:val="98"/>
  </w:num>
  <w:num w:numId="44">
    <w:abstractNumId w:val="186"/>
  </w:num>
  <w:num w:numId="45">
    <w:abstractNumId w:val="17"/>
  </w:num>
  <w:num w:numId="46">
    <w:abstractNumId w:val="5"/>
  </w:num>
  <w:num w:numId="47">
    <w:abstractNumId w:val="188"/>
  </w:num>
  <w:num w:numId="48">
    <w:abstractNumId w:val="14"/>
  </w:num>
  <w:num w:numId="49">
    <w:abstractNumId w:val="45"/>
  </w:num>
  <w:num w:numId="50">
    <w:abstractNumId w:val="138"/>
  </w:num>
  <w:num w:numId="51">
    <w:abstractNumId w:val="11"/>
  </w:num>
  <w:num w:numId="52">
    <w:abstractNumId w:val="16"/>
  </w:num>
  <w:num w:numId="53">
    <w:abstractNumId w:val="165"/>
  </w:num>
  <w:num w:numId="54">
    <w:abstractNumId w:val="51"/>
  </w:num>
  <w:num w:numId="55">
    <w:abstractNumId w:val="37"/>
  </w:num>
  <w:num w:numId="56">
    <w:abstractNumId w:val="129"/>
  </w:num>
  <w:num w:numId="57">
    <w:abstractNumId w:val="159"/>
  </w:num>
  <w:num w:numId="58">
    <w:abstractNumId w:val="125"/>
  </w:num>
  <w:num w:numId="59">
    <w:abstractNumId w:val="88"/>
  </w:num>
  <w:num w:numId="60">
    <w:abstractNumId w:val="36"/>
  </w:num>
  <w:num w:numId="61">
    <w:abstractNumId w:val="90"/>
  </w:num>
  <w:num w:numId="62">
    <w:abstractNumId w:val="169"/>
  </w:num>
  <w:num w:numId="63">
    <w:abstractNumId w:val="44"/>
  </w:num>
  <w:num w:numId="64">
    <w:abstractNumId w:val="30"/>
  </w:num>
  <w:num w:numId="65">
    <w:abstractNumId w:val="133"/>
  </w:num>
  <w:num w:numId="66">
    <w:abstractNumId w:val="170"/>
  </w:num>
  <w:num w:numId="67">
    <w:abstractNumId w:val="126"/>
  </w:num>
  <w:num w:numId="68">
    <w:abstractNumId w:val="25"/>
  </w:num>
  <w:num w:numId="69">
    <w:abstractNumId w:val="178"/>
  </w:num>
  <w:num w:numId="70">
    <w:abstractNumId w:val="91"/>
  </w:num>
  <w:num w:numId="71">
    <w:abstractNumId w:val="40"/>
  </w:num>
  <w:num w:numId="72">
    <w:abstractNumId w:val="150"/>
  </w:num>
  <w:num w:numId="73">
    <w:abstractNumId w:val="143"/>
  </w:num>
  <w:num w:numId="74">
    <w:abstractNumId w:val="151"/>
  </w:num>
  <w:num w:numId="75">
    <w:abstractNumId w:val="114"/>
  </w:num>
  <w:num w:numId="76">
    <w:abstractNumId w:val="166"/>
  </w:num>
  <w:num w:numId="77">
    <w:abstractNumId w:val="162"/>
  </w:num>
  <w:num w:numId="78">
    <w:abstractNumId w:val="103"/>
  </w:num>
  <w:num w:numId="79">
    <w:abstractNumId w:val="33"/>
  </w:num>
  <w:num w:numId="80">
    <w:abstractNumId w:val="108"/>
  </w:num>
  <w:num w:numId="81">
    <w:abstractNumId w:val="107"/>
  </w:num>
  <w:num w:numId="82">
    <w:abstractNumId w:val="46"/>
  </w:num>
  <w:num w:numId="83">
    <w:abstractNumId w:val="26"/>
  </w:num>
  <w:num w:numId="84">
    <w:abstractNumId w:val="189"/>
  </w:num>
  <w:num w:numId="85">
    <w:abstractNumId w:val="146"/>
  </w:num>
  <w:num w:numId="86">
    <w:abstractNumId w:val="154"/>
  </w:num>
  <w:num w:numId="87">
    <w:abstractNumId w:val="175"/>
  </w:num>
  <w:num w:numId="88">
    <w:abstractNumId w:val="59"/>
  </w:num>
  <w:num w:numId="89">
    <w:abstractNumId w:val="70"/>
  </w:num>
  <w:num w:numId="90">
    <w:abstractNumId w:val="68"/>
  </w:num>
  <w:num w:numId="91">
    <w:abstractNumId w:val="63"/>
  </w:num>
  <w:num w:numId="92">
    <w:abstractNumId w:val="116"/>
  </w:num>
  <w:num w:numId="93">
    <w:abstractNumId w:val="158"/>
  </w:num>
  <w:num w:numId="94">
    <w:abstractNumId w:val="34"/>
  </w:num>
  <w:num w:numId="95">
    <w:abstractNumId w:val="83"/>
  </w:num>
  <w:num w:numId="96">
    <w:abstractNumId w:val="92"/>
  </w:num>
  <w:num w:numId="97">
    <w:abstractNumId w:val="100"/>
  </w:num>
  <w:num w:numId="98">
    <w:abstractNumId w:val="132"/>
  </w:num>
  <w:num w:numId="99">
    <w:abstractNumId w:val="93"/>
  </w:num>
  <w:num w:numId="100">
    <w:abstractNumId w:val="140"/>
  </w:num>
  <w:num w:numId="101">
    <w:abstractNumId w:val="185"/>
  </w:num>
  <w:num w:numId="102">
    <w:abstractNumId w:val="168"/>
  </w:num>
  <w:num w:numId="103">
    <w:abstractNumId w:val="152"/>
  </w:num>
  <w:num w:numId="104">
    <w:abstractNumId w:val="81"/>
  </w:num>
  <w:num w:numId="105">
    <w:abstractNumId w:val="49"/>
  </w:num>
  <w:num w:numId="106">
    <w:abstractNumId w:val="8"/>
  </w:num>
  <w:num w:numId="107">
    <w:abstractNumId w:val="117"/>
  </w:num>
  <w:num w:numId="108">
    <w:abstractNumId w:val="172"/>
  </w:num>
  <w:num w:numId="109">
    <w:abstractNumId w:val="121"/>
  </w:num>
  <w:num w:numId="110">
    <w:abstractNumId w:val="106"/>
  </w:num>
  <w:num w:numId="111">
    <w:abstractNumId w:val="181"/>
  </w:num>
  <w:num w:numId="112">
    <w:abstractNumId w:val="23"/>
  </w:num>
  <w:num w:numId="113">
    <w:abstractNumId w:val="102"/>
  </w:num>
  <w:num w:numId="114">
    <w:abstractNumId w:val="69"/>
  </w:num>
  <w:num w:numId="115">
    <w:abstractNumId w:val="182"/>
  </w:num>
  <w:num w:numId="116">
    <w:abstractNumId w:val="41"/>
  </w:num>
  <w:num w:numId="117">
    <w:abstractNumId w:val="174"/>
  </w:num>
  <w:num w:numId="118">
    <w:abstractNumId w:val="72"/>
  </w:num>
  <w:num w:numId="119">
    <w:abstractNumId w:val="20"/>
  </w:num>
  <w:num w:numId="120">
    <w:abstractNumId w:val="9"/>
  </w:num>
  <w:num w:numId="121">
    <w:abstractNumId w:val="157"/>
  </w:num>
  <w:num w:numId="122">
    <w:abstractNumId w:val="153"/>
  </w:num>
  <w:num w:numId="123">
    <w:abstractNumId w:val="38"/>
  </w:num>
  <w:num w:numId="124">
    <w:abstractNumId w:val="53"/>
  </w:num>
  <w:num w:numId="125">
    <w:abstractNumId w:val="12"/>
  </w:num>
  <w:num w:numId="126">
    <w:abstractNumId w:val="73"/>
  </w:num>
  <w:num w:numId="127">
    <w:abstractNumId w:val="119"/>
  </w:num>
  <w:num w:numId="128">
    <w:abstractNumId w:val="27"/>
  </w:num>
  <w:num w:numId="129">
    <w:abstractNumId w:val="28"/>
  </w:num>
  <w:num w:numId="130">
    <w:abstractNumId w:val="144"/>
  </w:num>
  <w:num w:numId="131">
    <w:abstractNumId w:val="115"/>
  </w:num>
  <w:num w:numId="132">
    <w:abstractNumId w:val="99"/>
  </w:num>
  <w:num w:numId="133">
    <w:abstractNumId w:val="127"/>
  </w:num>
  <w:num w:numId="134">
    <w:abstractNumId w:val="136"/>
  </w:num>
  <w:num w:numId="135">
    <w:abstractNumId w:val="61"/>
  </w:num>
  <w:num w:numId="136">
    <w:abstractNumId w:val="87"/>
  </w:num>
  <w:num w:numId="137">
    <w:abstractNumId w:val="145"/>
  </w:num>
  <w:num w:numId="138">
    <w:abstractNumId w:val="64"/>
  </w:num>
  <w:num w:numId="139">
    <w:abstractNumId w:val="167"/>
  </w:num>
  <w:num w:numId="140">
    <w:abstractNumId w:val="50"/>
  </w:num>
  <w:num w:numId="141">
    <w:abstractNumId w:val="118"/>
  </w:num>
  <w:num w:numId="142">
    <w:abstractNumId w:val="74"/>
  </w:num>
  <w:num w:numId="143">
    <w:abstractNumId w:val="135"/>
  </w:num>
  <w:num w:numId="144">
    <w:abstractNumId w:val="131"/>
  </w:num>
  <w:num w:numId="145">
    <w:abstractNumId w:val="148"/>
  </w:num>
  <w:num w:numId="146">
    <w:abstractNumId w:val="80"/>
  </w:num>
  <w:num w:numId="147">
    <w:abstractNumId w:val="48"/>
  </w:num>
  <w:num w:numId="148">
    <w:abstractNumId w:val="43"/>
  </w:num>
  <w:num w:numId="149">
    <w:abstractNumId w:val="180"/>
  </w:num>
  <w:num w:numId="150">
    <w:abstractNumId w:val="95"/>
  </w:num>
  <w:num w:numId="151">
    <w:abstractNumId w:val="57"/>
  </w:num>
  <w:num w:numId="152">
    <w:abstractNumId w:val="137"/>
  </w:num>
  <w:num w:numId="153">
    <w:abstractNumId w:val="65"/>
  </w:num>
  <w:num w:numId="154">
    <w:abstractNumId w:val="183"/>
  </w:num>
  <w:num w:numId="155">
    <w:abstractNumId w:val="86"/>
  </w:num>
  <w:num w:numId="156">
    <w:abstractNumId w:val="160"/>
  </w:num>
  <w:num w:numId="157">
    <w:abstractNumId w:val="77"/>
  </w:num>
  <w:num w:numId="158">
    <w:abstractNumId w:val="113"/>
  </w:num>
  <w:num w:numId="159">
    <w:abstractNumId w:val="13"/>
  </w:num>
  <w:num w:numId="160">
    <w:abstractNumId w:val="164"/>
  </w:num>
  <w:num w:numId="161">
    <w:abstractNumId w:val="39"/>
  </w:num>
  <w:num w:numId="162">
    <w:abstractNumId w:val="52"/>
  </w:num>
  <w:num w:numId="163">
    <w:abstractNumId w:val="24"/>
  </w:num>
  <w:num w:numId="164">
    <w:abstractNumId w:val="120"/>
  </w:num>
  <w:num w:numId="165">
    <w:abstractNumId w:val="58"/>
  </w:num>
  <w:num w:numId="166">
    <w:abstractNumId w:val="177"/>
  </w:num>
  <w:num w:numId="167">
    <w:abstractNumId w:val="85"/>
  </w:num>
  <w:num w:numId="168">
    <w:abstractNumId w:val="130"/>
  </w:num>
  <w:num w:numId="169">
    <w:abstractNumId w:val="161"/>
  </w:num>
  <w:num w:numId="170">
    <w:abstractNumId w:val="22"/>
  </w:num>
  <w:num w:numId="171">
    <w:abstractNumId w:val="84"/>
  </w:num>
  <w:num w:numId="172">
    <w:abstractNumId w:val="101"/>
  </w:num>
  <w:num w:numId="173">
    <w:abstractNumId w:val="142"/>
  </w:num>
  <w:num w:numId="174">
    <w:abstractNumId w:val="109"/>
  </w:num>
  <w:num w:numId="175">
    <w:abstractNumId w:val="21"/>
  </w:num>
  <w:num w:numId="176">
    <w:abstractNumId w:val="18"/>
  </w:num>
  <w:num w:numId="177">
    <w:abstractNumId w:val="190"/>
  </w:num>
  <w:num w:numId="178">
    <w:abstractNumId w:val="60"/>
  </w:num>
  <w:num w:numId="179">
    <w:abstractNumId w:val="31"/>
  </w:num>
  <w:num w:numId="180">
    <w:abstractNumId w:val="10"/>
  </w:num>
  <w:num w:numId="181">
    <w:abstractNumId w:val="147"/>
  </w:num>
  <w:num w:numId="182">
    <w:abstractNumId w:val="78"/>
  </w:num>
  <w:num w:numId="183">
    <w:abstractNumId w:val="112"/>
  </w:num>
  <w:num w:numId="184">
    <w:abstractNumId w:val="141"/>
  </w:num>
  <w:num w:numId="185">
    <w:abstractNumId w:val="187"/>
  </w:num>
  <w:num w:numId="186">
    <w:abstractNumId w:val="6"/>
  </w:num>
  <w:num w:numId="187">
    <w:abstractNumId w:val="171"/>
  </w:num>
  <w:num w:numId="188">
    <w:abstractNumId w:val="42"/>
  </w:num>
  <w:num w:numId="189">
    <w:abstractNumId w:val="134"/>
  </w:num>
  <w:num w:numId="190">
    <w:abstractNumId w:val="155"/>
  </w:num>
  <w:num w:numId="191">
    <w:abstractNumId w:val="149"/>
  </w:num>
  <w:numIdMacAtCleanup w:val="19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2"/>
  <w:displayBackgroundShape/>
  <w:hideSpellingErrors/>
  <w:hideGrammaticalErrors/>
  <w:activeWritingStyle w:appName="MSWord" w:lang="pt-BR" w:vendorID="64" w:dllVersion="131078" w:nlCheck="1" w:checkStyle="0"/>
  <w:activeWritingStyle w:appName="MSWord" w:lang="es-ES" w:vendorID="64" w:dllVersion="131078" w:nlCheck="1" w:checkStyle="1"/>
  <w:activeWritingStyle w:appName="MSWord" w:lang="es-MX" w:vendorID="64" w:dllVersion="131078" w:nlCheck="1" w:checkStyle="1"/>
  <w:activeWritingStyle w:appName="MSWord" w:lang="en-US" w:vendorID="64" w:dllVersion="131078" w:nlCheck="1" w:checkStyle="1"/>
  <w:activeWritingStyle w:appName="MSWord" w:lang="es-ES_tradnl" w:vendorID="64" w:dllVersion="131078" w:nlCheck="1" w:checkStyle="1"/>
  <w:activeWritingStyle w:appName="MSWord" w:lang="fr-FR" w:vendorID="64" w:dllVersion="131078" w:nlCheck="1" w:checkStyle="1"/>
  <w:activeWritingStyle w:appName="MSWord" w:lang="es-CO" w:vendorID="64" w:dllVersion="131078" w:nlCheck="1" w:checkStyle="1"/>
  <w:activeWritingStyle w:appName="MSWord" w:lang="es-419" w:vendorID="64" w:dllVersion="131078"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evenAndOddHeaders/>
  <w:noPunctuationKerning/>
  <w:characterSpacingControl w:val="doNotCompress"/>
  <w:hdrShapeDefaults>
    <o:shapedefaults v:ext="edit" spidmax="2049">
      <o:colormru v:ext="edit" colors="#33c,#33f,#006,#00c"/>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0081B"/>
    <w:rsid w:val="00000070"/>
    <w:rsid w:val="0000010F"/>
    <w:rsid w:val="00000156"/>
    <w:rsid w:val="0000017B"/>
    <w:rsid w:val="00000377"/>
    <w:rsid w:val="00000564"/>
    <w:rsid w:val="000005E4"/>
    <w:rsid w:val="00000743"/>
    <w:rsid w:val="000007C2"/>
    <w:rsid w:val="0000081A"/>
    <w:rsid w:val="000008FE"/>
    <w:rsid w:val="000009C4"/>
    <w:rsid w:val="00000A71"/>
    <w:rsid w:val="00000ADE"/>
    <w:rsid w:val="00000B31"/>
    <w:rsid w:val="00000B32"/>
    <w:rsid w:val="00000BBF"/>
    <w:rsid w:val="00000BC3"/>
    <w:rsid w:val="00000DBE"/>
    <w:rsid w:val="00000ED8"/>
    <w:rsid w:val="00000EF6"/>
    <w:rsid w:val="00000F7A"/>
    <w:rsid w:val="00000F8B"/>
    <w:rsid w:val="00000FBF"/>
    <w:rsid w:val="0000105B"/>
    <w:rsid w:val="000010AB"/>
    <w:rsid w:val="000010DB"/>
    <w:rsid w:val="000011C0"/>
    <w:rsid w:val="00001224"/>
    <w:rsid w:val="00001259"/>
    <w:rsid w:val="000012BB"/>
    <w:rsid w:val="00001370"/>
    <w:rsid w:val="000014C6"/>
    <w:rsid w:val="00001604"/>
    <w:rsid w:val="0000165B"/>
    <w:rsid w:val="00001670"/>
    <w:rsid w:val="000016EA"/>
    <w:rsid w:val="0000179C"/>
    <w:rsid w:val="000017F2"/>
    <w:rsid w:val="000018CF"/>
    <w:rsid w:val="000018F2"/>
    <w:rsid w:val="000019AE"/>
    <w:rsid w:val="000019E8"/>
    <w:rsid w:val="00001AAE"/>
    <w:rsid w:val="00001AD9"/>
    <w:rsid w:val="00001C37"/>
    <w:rsid w:val="00001C3B"/>
    <w:rsid w:val="00001C89"/>
    <w:rsid w:val="00001CDA"/>
    <w:rsid w:val="00001D9C"/>
    <w:rsid w:val="00001DFC"/>
    <w:rsid w:val="00001EBD"/>
    <w:rsid w:val="00001FA9"/>
    <w:rsid w:val="000021AB"/>
    <w:rsid w:val="00002265"/>
    <w:rsid w:val="00002311"/>
    <w:rsid w:val="00002388"/>
    <w:rsid w:val="00002507"/>
    <w:rsid w:val="00002510"/>
    <w:rsid w:val="00002586"/>
    <w:rsid w:val="00002587"/>
    <w:rsid w:val="0000259E"/>
    <w:rsid w:val="0000265C"/>
    <w:rsid w:val="0000266C"/>
    <w:rsid w:val="000027A1"/>
    <w:rsid w:val="0000284F"/>
    <w:rsid w:val="00002875"/>
    <w:rsid w:val="000028D3"/>
    <w:rsid w:val="000028DF"/>
    <w:rsid w:val="0000290A"/>
    <w:rsid w:val="0000291D"/>
    <w:rsid w:val="00002971"/>
    <w:rsid w:val="00002975"/>
    <w:rsid w:val="00002A18"/>
    <w:rsid w:val="00002A24"/>
    <w:rsid w:val="00002A51"/>
    <w:rsid w:val="00002AE6"/>
    <w:rsid w:val="00002B0B"/>
    <w:rsid w:val="00002C35"/>
    <w:rsid w:val="00002C77"/>
    <w:rsid w:val="00002C8D"/>
    <w:rsid w:val="00002CCD"/>
    <w:rsid w:val="00002D79"/>
    <w:rsid w:val="00002E56"/>
    <w:rsid w:val="00002EFD"/>
    <w:rsid w:val="00002F70"/>
    <w:rsid w:val="00002FB5"/>
    <w:rsid w:val="00002FE7"/>
    <w:rsid w:val="00002FEA"/>
    <w:rsid w:val="000030C9"/>
    <w:rsid w:val="00003103"/>
    <w:rsid w:val="00003105"/>
    <w:rsid w:val="000031C4"/>
    <w:rsid w:val="00003238"/>
    <w:rsid w:val="00003291"/>
    <w:rsid w:val="0000330B"/>
    <w:rsid w:val="0000333A"/>
    <w:rsid w:val="000033C0"/>
    <w:rsid w:val="0000340D"/>
    <w:rsid w:val="00003455"/>
    <w:rsid w:val="0000349C"/>
    <w:rsid w:val="0000353C"/>
    <w:rsid w:val="0000358E"/>
    <w:rsid w:val="000035B0"/>
    <w:rsid w:val="000035EC"/>
    <w:rsid w:val="0000366B"/>
    <w:rsid w:val="00003699"/>
    <w:rsid w:val="000036A1"/>
    <w:rsid w:val="00003735"/>
    <w:rsid w:val="00003748"/>
    <w:rsid w:val="00003840"/>
    <w:rsid w:val="0000391D"/>
    <w:rsid w:val="000039C0"/>
    <w:rsid w:val="000039DC"/>
    <w:rsid w:val="000039F5"/>
    <w:rsid w:val="00003B7F"/>
    <w:rsid w:val="00003BC6"/>
    <w:rsid w:val="00003C25"/>
    <w:rsid w:val="00003CA3"/>
    <w:rsid w:val="00003D12"/>
    <w:rsid w:val="00003EA8"/>
    <w:rsid w:val="000040E8"/>
    <w:rsid w:val="0000414F"/>
    <w:rsid w:val="000041A6"/>
    <w:rsid w:val="00004279"/>
    <w:rsid w:val="0000428D"/>
    <w:rsid w:val="000042EA"/>
    <w:rsid w:val="000042F0"/>
    <w:rsid w:val="00004634"/>
    <w:rsid w:val="000046F4"/>
    <w:rsid w:val="0000491F"/>
    <w:rsid w:val="00004959"/>
    <w:rsid w:val="00004A37"/>
    <w:rsid w:val="00004A3E"/>
    <w:rsid w:val="00004AD4"/>
    <w:rsid w:val="00004B25"/>
    <w:rsid w:val="00004B8A"/>
    <w:rsid w:val="00004BFF"/>
    <w:rsid w:val="00004C7D"/>
    <w:rsid w:val="00004D1A"/>
    <w:rsid w:val="00004DE0"/>
    <w:rsid w:val="00004F9F"/>
    <w:rsid w:val="00004FDF"/>
    <w:rsid w:val="000051D8"/>
    <w:rsid w:val="000052AC"/>
    <w:rsid w:val="00005338"/>
    <w:rsid w:val="00005579"/>
    <w:rsid w:val="000055DC"/>
    <w:rsid w:val="00005761"/>
    <w:rsid w:val="000057AB"/>
    <w:rsid w:val="000059BB"/>
    <w:rsid w:val="000059D0"/>
    <w:rsid w:val="00005A5B"/>
    <w:rsid w:val="00005A74"/>
    <w:rsid w:val="00005AA7"/>
    <w:rsid w:val="00005AB0"/>
    <w:rsid w:val="00005AB2"/>
    <w:rsid w:val="00005B31"/>
    <w:rsid w:val="00005B33"/>
    <w:rsid w:val="00005BA2"/>
    <w:rsid w:val="00005BB2"/>
    <w:rsid w:val="00005C72"/>
    <w:rsid w:val="00005D93"/>
    <w:rsid w:val="00005D97"/>
    <w:rsid w:val="00005DC2"/>
    <w:rsid w:val="00005DC7"/>
    <w:rsid w:val="00005FD7"/>
    <w:rsid w:val="0000602C"/>
    <w:rsid w:val="00006041"/>
    <w:rsid w:val="00006056"/>
    <w:rsid w:val="000060F8"/>
    <w:rsid w:val="0000614D"/>
    <w:rsid w:val="000061FB"/>
    <w:rsid w:val="00006351"/>
    <w:rsid w:val="00006576"/>
    <w:rsid w:val="0000664F"/>
    <w:rsid w:val="00006776"/>
    <w:rsid w:val="00006843"/>
    <w:rsid w:val="000068BD"/>
    <w:rsid w:val="00006AE3"/>
    <w:rsid w:val="00006AEF"/>
    <w:rsid w:val="00006B82"/>
    <w:rsid w:val="00006BD7"/>
    <w:rsid w:val="00006C43"/>
    <w:rsid w:val="00006D5F"/>
    <w:rsid w:val="00006DD4"/>
    <w:rsid w:val="00006E21"/>
    <w:rsid w:val="00006F64"/>
    <w:rsid w:val="00006FDE"/>
    <w:rsid w:val="0000700E"/>
    <w:rsid w:val="0000702E"/>
    <w:rsid w:val="0000704C"/>
    <w:rsid w:val="0000707D"/>
    <w:rsid w:val="0000713D"/>
    <w:rsid w:val="00007161"/>
    <w:rsid w:val="00007242"/>
    <w:rsid w:val="000073F8"/>
    <w:rsid w:val="0000741C"/>
    <w:rsid w:val="00007460"/>
    <w:rsid w:val="0000749C"/>
    <w:rsid w:val="000074E0"/>
    <w:rsid w:val="000075E9"/>
    <w:rsid w:val="00007708"/>
    <w:rsid w:val="00007716"/>
    <w:rsid w:val="0000787C"/>
    <w:rsid w:val="000078B0"/>
    <w:rsid w:val="000078C4"/>
    <w:rsid w:val="000078D3"/>
    <w:rsid w:val="00007948"/>
    <w:rsid w:val="00007A95"/>
    <w:rsid w:val="00007B5D"/>
    <w:rsid w:val="00007BFE"/>
    <w:rsid w:val="00007C2D"/>
    <w:rsid w:val="00007DE0"/>
    <w:rsid w:val="00007DFE"/>
    <w:rsid w:val="00007F2E"/>
    <w:rsid w:val="00007F31"/>
    <w:rsid w:val="00007FEB"/>
    <w:rsid w:val="000100B7"/>
    <w:rsid w:val="000100BB"/>
    <w:rsid w:val="000100C7"/>
    <w:rsid w:val="000100E4"/>
    <w:rsid w:val="00010141"/>
    <w:rsid w:val="00010223"/>
    <w:rsid w:val="00010282"/>
    <w:rsid w:val="000102B5"/>
    <w:rsid w:val="00010350"/>
    <w:rsid w:val="0001037D"/>
    <w:rsid w:val="000103A1"/>
    <w:rsid w:val="00010413"/>
    <w:rsid w:val="00010642"/>
    <w:rsid w:val="00010733"/>
    <w:rsid w:val="000108C3"/>
    <w:rsid w:val="000108E9"/>
    <w:rsid w:val="00010913"/>
    <w:rsid w:val="00010A9F"/>
    <w:rsid w:val="00010BB8"/>
    <w:rsid w:val="00010C22"/>
    <w:rsid w:val="00010D4D"/>
    <w:rsid w:val="00010D61"/>
    <w:rsid w:val="00010D80"/>
    <w:rsid w:val="00010F75"/>
    <w:rsid w:val="00010FEC"/>
    <w:rsid w:val="000110E1"/>
    <w:rsid w:val="000110E6"/>
    <w:rsid w:val="00011278"/>
    <w:rsid w:val="00011295"/>
    <w:rsid w:val="00011297"/>
    <w:rsid w:val="000112BD"/>
    <w:rsid w:val="00011383"/>
    <w:rsid w:val="0001140F"/>
    <w:rsid w:val="000114BA"/>
    <w:rsid w:val="00011564"/>
    <w:rsid w:val="0001164C"/>
    <w:rsid w:val="0001167B"/>
    <w:rsid w:val="00011683"/>
    <w:rsid w:val="00011737"/>
    <w:rsid w:val="00011823"/>
    <w:rsid w:val="00011835"/>
    <w:rsid w:val="00011896"/>
    <w:rsid w:val="000118A4"/>
    <w:rsid w:val="00011A1D"/>
    <w:rsid w:val="00011BED"/>
    <w:rsid w:val="00011C1A"/>
    <w:rsid w:val="00011C32"/>
    <w:rsid w:val="00011D43"/>
    <w:rsid w:val="00011DE5"/>
    <w:rsid w:val="00011E16"/>
    <w:rsid w:val="00011E79"/>
    <w:rsid w:val="00011EBA"/>
    <w:rsid w:val="00011FAB"/>
    <w:rsid w:val="00012453"/>
    <w:rsid w:val="000124AB"/>
    <w:rsid w:val="0001259D"/>
    <w:rsid w:val="000125F3"/>
    <w:rsid w:val="000126F7"/>
    <w:rsid w:val="0001271A"/>
    <w:rsid w:val="00012780"/>
    <w:rsid w:val="00012846"/>
    <w:rsid w:val="0001292A"/>
    <w:rsid w:val="00012A63"/>
    <w:rsid w:val="00012B20"/>
    <w:rsid w:val="00012B6B"/>
    <w:rsid w:val="00012C37"/>
    <w:rsid w:val="00012C3A"/>
    <w:rsid w:val="00012C60"/>
    <w:rsid w:val="00012D7C"/>
    <w:rsid w:val="00012DFD"/>
    <w:rsid w:val="0001301C"/>
    <w:rsid w:val="00013031"/>
    <w:rsid w:val="0001305F"/>
    <w:rsid w:val="000130B2"/>
    <w:rsid w:val="0001314E"/>
    <w:rsid w:val="000131C2"/>
    <w:rsid w:val="00013289"/>
    <w:rsid w:val="000132BD"/>
    <w:rsid w:val="000133B8"/>
    <w:rsid w:val="00013400"/>
    <w:rsid w:val="000134F2"/>
    <w:rsid w:val="00013507"/>
    <w:rsid w:val="00013553"/>
    <w:rsid w:val="00013877"/>
    <w:rsid w:val="000138E8"/>
    <w:rsid w:val="00013A3E"/>
    <w:rsid w:val="00013A42"/>
    <w:rsid w:val="00013B0D"/>
    <w:rsid w:val="00013B90"/>
    <w:rsid w:val="00013C05"/>
    <w:rsid w:val="00013D37"/>
    <w:rsid w:val="00013F00"/>
    <w:rsid w:val="00014000"/>
    <w:rsid w:val="000140A3"/>
    <w:rsid w:val="000140CA"/>
    <w:rsid w:val="00014259"/>
    <w:rsid w:val="0001425A"/>
    <w:rsid w:val="0001432B"/>
    <w:rsid w:val="00014444"/>
    <w:rsid w:val="000144B4"/>
    <w:rsid w:val="0001464D"/>
    <w:rsid w:val="00014706"/>
    <w:rsid w:val="00014760"/>
    <w:rsid w:val="000147A7"/>
    <w:rsid w:val="000147D7"/>
    <w:rsid w:val="0001495A"/>
    <w:rsid w:val="0001495B"/>
    <w:rsid w:val="000149E2"/>
    <w:rsid w:val="00014A2B"/>
    <w:rsid w:val="00014A7A"/>
    <w:rsid w:val="00014AEA"/>
    <w:rsid w:val="00014AEF"/>
    <w:rsid w:val="00014BC7"/>
    <w:rsid w:val="00014CF3"/>
    <w:rsid w:val="00014D96"/>
    <w:rsid w:val="00014E28"/>
    <w:rsid w:val="0001504F"/>
    <w:rsid w:val="00015054"/>
    <w:rsid w:val="00015090"/>
    <w:rsid w:val="000150A9"/>
    <w:rsid w:val="000150E2"/>
    <w:rsid w:val="00015119"/>
    <w:rsid w:val="0001537B"/>
    <w:rsid w:val="00015425"/>
    <w:rsid w:val="00015495"/>
    <w:rsid w:val="00015593"/>
    <w:rsid w:val="000155A8"/>
    <w:rsid w:val="00015733"/>
    <w:rsid w:val="00015737"/>
    <w:rsid w:val="0001575E"/>
    <w:rsid w:val="0001593E"/>
    <w:rsid w:val="00015B7E"/>
    <w:rsid w:val="00015BA5"/>
    <w:rsid w:val="00015BDD"/>
    <w:rsid w:val="00015CDA"/>
    <w:rsid w:val="00015CDE"/>
    <w:rsid w:val="00015CEB"/>
    <w:rsid w:val="00015D75"/>
    <w:rsid w:val="00015F04"/>
    <w:rsid w:val="00016093"/>
    <w:rsid w:val="00016164"/>
    <w:rsid w:val="000161E5"/>
    <w:rsid w:val="00016250"/>
    <w:rsid w:val="00016372"/>
    <w:rsid w:val="00016392"/>
    <w:rsid w:val="000164A7"/>
    <w:rsid w:val="000164D2"/>
    <w:rsid w:val="000166A8"/>
    <w:rsid w:val="00016815"/>
    <w:rsid w:val="0001686A"/>
    <w:rsid w:val="0001687C"/>
    <w:rsid w:val="000168AC"/>
    <w:rsid w:val="00016967"/>
    <w:rsid w:val="00016A05"/>
    <w:rsid w:val="00016BAC"/>
    <w:rsid w:val="00016C61"/>
    <w:rsid w:val="00016E38"/>
    <w:rsid w:val="00016E74"/>
    <w:rsid w:val="00017050"/>
    <w:rsid w:val="000170C9"/>
    <w:rsid w:val="000170CE"/>
    <w:rsid w:val="0001732F"/>
    <w:rsid w:val="00017381"/>
    <w:rsid w:val="000173D6"/>
    <w:rsid w:val="0001749D"/>
    <w:rsid w:val="00017714"/>
    <w:rsid w:val="000177D0"/>
    <w:rsid w:val="00017812"/>
    <w:rsid w:val="00017945"/>
    <w:rsid w:val="00017A18"/>
    <w:rsid w:val="00017A5C"/>
    <w:rsid w:val="00017A75"/>
    <w:rsid w:val="00017ACE"/>
    <w:rsid w:val="00017C83"/>
    <w:rsid w:val="00017CB9"/>
    <w:rsid w:val="00017D55"/>
    <w:rsid w:val="00017E7C"/>
    <w:rsid w:val="00017E9C"/>
    <w:rsid w:val="00020136"/>
    <w:rsid w:val="000201B7"/>
    <w:rsid w:val="000201E0"/>
    <w:rsid w:val="000201F1"/>
    <w:rsid w:val="0002024F"/>
    <w:rsid w:val="000202FA"/>
    <w:rsid w:val="00020328"/>
    <w:rsid w:val="000203DF"/>
    <w:rsid w:val="00020576"/>
    <w:rsid w:val="000206FE"/>
    <w:rsid w:val="0002070E"/>
    <w:rsid w:val="00020729"/>
    <w:rsid w:val="00020765"/>
    <w:rsid w:val="0002098E"/>
    <w:rsid w:val="00020993"/>
    <w:rsid w:val="000209C9"/>
    <w:rsid w:val="00020B44"/>
    <w:rsid w:val="00020C85"/>
    <w:rsid w:val="00020CC0"/>
    <w:rsid w:val="00020D35"/>
    <w:rsid w:val="00020E1A"/>
    <w:rsid w:val="00020EBA"/>
    <w:rsid w:val="00020FF3"/>
    <w:rsid w:val="0002107A"/>
    <w:rsid w:val="00021095"/>
    <w:rsid w:val="000210F6"/>
    <w:rsid w:val="00021187"/>
    <w:rsid w:val="0002121B"/>
    <w:rsid w:val="000212C0"/>
    <w:rsid w:val="0002136D"/>
    <w:rsid w:val="0002148A"/>
    <w:rsid w:val="000214F6"/>
    <w:rsid w:val="00021570"/>
    <w:rsid w:val="000215D3"/>
    <w:rsid w:val="0002160A"/>
    <w:rsid w:val="00021617"/>
    <w:rsid w:val="00021710"/>
    <w:rsid w:val="0002179C"/>
    <w:rsid w:val="00021803"/>
    <w:rsid w:val="00021A46"/>
    <w:rsid w:val="00021A8E"/>
    <w:rsid w:val="00021A93"/>
    <w:rsid w:val="00021B1B"/>
    <w:rsid w:val="00021B39"/>
    <w:rsid w:val="00021B47"/>
    <w:rsid w:val="00021C99"/>
    <w:rsid w:val="00021C9D"/>
    <w:rsid w:val="00021CA6"/>
    <w:rsid w:val="00021D97"/>
    <w:rsid w:val="00021F2C"/>
    <w:rsid w:val="00021FA0"/>
    <w:rsid w:val="0002200B"/>
    <w:rsid w:val="0002203A"/>
    <w:rsid w:val="000220BE"/>
    <w:rsid w:val="00022135"/>
    <w:rsid w:val="00022149"/>
    <w:rsid w:val="00022270"/>
    <w:rsid w:val="00022390"/>
    <w:rsid w:val="00022408"/>
    <w:rsid w:val="00022492"/>
    <w:rsid w:val="00022723"/>
    <w:rsid w:val="000228C7"/>
    <w:rsid w:val="00022974"/>
    <w:rsid w:val="0002298C"/>
    <w:rsid w:val="000229AC"/>
    <w:rsid w:val="000229E2"/>
    <w:rsid w:val="00022A0C"/>
    <w:rsid w:val="00022A64"/>
    <w:rsid w:val="00022BAD"/>
    <w:rsid w:val="00022BB2"/>
    <w:rsid w:val="00022BC3"/>
    <w:rsid w:val="00022BD6"/>
    <w:rsid w:val="00022C3C"/>
    <w:rsid w:val="00022CE9"/>
    <w:rsid w:val="00022CED"/>
    <w:rsid w:val="00022E44"/>
    <w:rsid w:val="00022FAE"/>
    <w:rsid w:val="00022FDF"/>
    <w:rsid w:val="0002309B"/>
    <w:rsid w:val="00023151"/>
    <w:rsid w:val="00023165"/>
    <w:rsid w:val="000231DF"/>
    <w:rsid w:val="000231E8"/>
    <w:rsid w:val="0002356A"/>
    <w:rsid w:val="00023620"/>
    <w:rsid w:val="0002364D"/>
    <w:rsid w:val="00023667"/>
    <w:rsid w:val="00023692"/>
    <w:rsid w:val="000236F6"/>
    <w:rsid w:val="00023861"/>
    <w:rsid w:val="00023871"/>
    <w:rsid w:val="000238B1"/>
    <w:rsid w:val="000238DF"/>
    <w:rsid w:val="000239B6"/>
    <w:rsid w:val="00023A6C"/>
    <w:rsid w:val="00023A92"/>
    <w:rsid w:val="00023B77"/>
    <w:rsid w:val="00023B7B"/>
    <w:rsid w:val="00023BFF"/>
    <w:rsid w:val="00023C77"/>
    <w:rsid w:val="00023CC9"/>
    <w:rsid w:val="00023D7D"/>
    <w:rsid w:val="00023E10"/>
    <w:rsid w:val="00023E48"/>
    <w:rsid w:val="00023EA2"/>
    <w:rsid w:val="00023FC6"/>
    <w:rsid w:val="000240BD"/>
    <w:rsid w:val="0002417A"/>
    <w:rsid w:val="000241BF"/>
    <w:rsid w:val="00024214"/>
    <w:rsid w:val="00024260"/>
    <w:rsid w:val="00024269"/>
    <w:rsid w:val="00024308"/>
    <w:rsid w:val="0002433B"/>
    <w:rsid w:val="00024375"/>
    <w:rsid w:val="000244B7"/>
    <w:rsid w:val="000244BB"/>
    <w:rsid w:val="00024512"/>
    <w:rsid w:val="0002453B"/>
    <w:rsid w:val="0002464C"/>
    <w:rsid w:val="0002481E"/>
    <w:rsid w:val="0002493A"/>
    <w:rsid w:val="00024A23"/>
    <w:rsid w:val="00024A6E"/>
    <w:rsid w:val="00024A91"/>
    <w:rsid w:val="00024B59"/>
    <w:rsid w:val="00024BA6"/>
    <w:rsid w:val="00024BB9"/>
    <w:rsid w:val="00024BD6"/>
    <w:rsid w:val="00024E27"/>
    <w:rsid w:val="00024FC6"/>
    <w:rsid w:val="00024FFB"/>
    <w:rsid w:val="00024FFD"/>
    <w:rsid w:val="00025123"/>
    <w:rsid w:val="00025187"/>
    <w:rsid w:val="000251BA"/>
    <w:rsid w:val="0002527E"/>
    <w:rsid w:val="000252D1"/>
    <w:rsid w:val="0002531F"/>
    <w:rsid w:val="00025342"/>
    <w:rsid w:val="0002554F"/>
    <w:rsid w:val="000255C6"/>
    <w:rsid w:val="000255E0"/>
    <w:rsid w:val="00025659"/>
    <w:rsid w:val="000256AE"/>
    <w:rsid w:val="000256C1"/>
    <w:rsid w:val="0002570E"/>
    <w:rsid w:val="0002571C"/>
    <w:rsid w:val="0002577C"/>
    <w:rsid w:val="000258B5"/>
    <w:rsid w:val="00025918"/>
    <w:rsid w:val="0002594B"/>
    <w:rsid w:val="000259A5"/>
    <w:rsid w:val="00025A34"/>
    <w:rsid w:val="00025A7A"/>
    <w:rsid w:val="00025BD0"/>
    <w:rsid w:val="00025D67"/>
    <w:rsid w:val="00025DE7"/>
    <w:rsid w:val="00025DFE"/>
    <w:rsid w:val="00025E0E"/>
    <w:rsid w:val="00025E6F"/>
    <w:rsid w:val="00025E7C"/>
    <w:rsid w:val="00025ED1"/>
    <w:rsid w:val="00025F3B"/>
    <w:rsid w:val="0002600C"/>
    <w:rsid w:val="000260AF"/>
    <w:rsid w:val="00026152"/>
    <w:rsid w:val="000263DD"/>
    <w:rsid w:val="000264AD"/>
    <w:rsid w:val="000265D2"/>
    <w:rsid w:val="000265D5"/>
    <w:rsid w:val="00026658"/>
    <w:rsid w:val="000266D3"/>
    <w:rsid w:val="0002671B"/>
    <w:rsid w:val="00026736"/>
    <w:rsid w:val="0002678C"/>
    <w:rsid w:val="00026A2A"/>
    <w:rsid w:val="00026B66"/>
    <w:rsid w:val="00026B98"/>
    <w:rsid w:val="00026BA1"/>
    <w:rsid w:val="00026CE4"/>
    <w:rsid w:val="00026EAD"/>
    <w:rsid w:val="00026ECA"/>
    <w:rsid w:val="00026F27"/>
    <w:rsid w:val="00026F50"/>
    <w:rsid w:val="00027025"/>
    <w:rsid w:val="0002709C"/>
    <w:rsid w:val="000270C7"/>
    <w:rsid w:val="000271C8"/>
    <w:rsid w:val="00027346"/>
    <w:rsid w:val="000273D4"/>
    <w:rsid w:val="00027463"/>
    <w:rsid w:val="00027477"/>
    <w:rsid w:val="000274F2"/>
    <w:rsid w:val="00027506"/>
    <w:rsid w:val="00027547"/>
    <w:rsid w:val="000275C9"/>
    <w:rsid w:val="000276C3"/>
    <w:rsid w:val="000276FF"/>
    <w:rsid w:val="00027786"/>
    <w:rsid w:val="000277DB"/>
    <w:rsid w:val="000277F7"/>
    <w:rsid w:val="000278E1"/>
    <w:rsid w:val="00027A65"/>
    <w:rsid w:val="00027CBA"/>
    <w:rsid w:val="00027CD5"/>
    <w:rsid w:val="00027CF7"/>
    <w:rsid w:val="00027D21"/>
    <w:rsid w:val="00027DB0"/>
    <w:rsid w:val="00027DFB"/>
    <w:rsid w:val="00027EAD"/>
    <w:rsid w:val="00027F10"/>
    <w:rsid w:val="00027F1C"/>
    <w:rsid w:val="00027F78"/>
    <w:rsid w:val="00030027"/>
    <w:rsid w:val="0003006E"/>
    <w:rsid w:val="00030093"/>
    <w:rsid w:val="000300E2"/>
    <w:rsid w:val="00030349"/>
    <w:rsid w:val="000304E9"/>
    <w:rsid w:val="00030677"/>
    <w:rsid w:val="00030766"/>
    <w:rsid w:val="00030771"/>
    <w:rsid w:val="00030810"/>
    <w:rsid w:val="000308E1"/>
    <w:rsid w:val="00030A02"/>
    <w:rsid w:val="00030A07"/>
    <w:rsid w:val="00030ACE"/>
    <w:rsid w:val="00030B4B"/>
    <w:rsid w:val="00030CA1"/>
    <w:rsid w:val="00030CFC"/>
    <w:rsid w:val="00030D27"/>
    <w:rsid w:val="00030D8B"/>
    <w:rsid w:val="00030D8E"/>
    <w:rsid w:val="00030E5F"/>
    <w:rsid w:val="00030FD8"/>
    <w:rsid w:val="00030FF4"/>
    <w:rsid w:val="0003106E"/>
    <w:rsid w:val="00031070"/>
    <w:rsid w:val="00031164"/>
    <w:rsid w:val="000311BB"/>
    <w:rsid w:val="000311C9"/>
    <w:rsid w:val="000312F7"/>
    <w:rsid w:val="000312FD"/>
    <w:rsid w:val="00031369"/>
    <w:rsid w:val="00031400"/>
    <w:rsid w:val="0003141F"/>
    <w:rsid w:val="00031481"/>
    <w:rsid w:val="000317C7"/>
    <w:rsid w:val="000318B0"/>
    <w:rsid w:val="00031970"/>
    <w:rsid w:val="0003198A"/>
    <w:rsid w:val="000319FE"/>
    <w:rsid w:val="00031AC7"/>
    <w:rsid w:val="00031CA3"/>
    <w:rsid w:val="00031D24"/>
    <w:rsid w:val="00031D73"/>
    <w:rsid w:val="00031D75"/>
    <w:rsid w:val="00031D8E"/>
    <w:rsid w:val="00031D97"/>
    <w:rsid w:val="00031DCF"/>
    <w:rsid w:val="00031E44"/>
    <w:rsid w:val="00031F14"/>
    <w:rsid w:val="0003205A"/>
    <w:rsid w:val="000321C0"/>
    <w:rsid w:val="000326B2"/>
    <w:rsid w:val="000326B5"/>
    <w:rsid w:val="000326D6"/>
    <w:rsid w:val="000326EF"/>
    <w:rsid w:val="0003273D"/>
    <w:rsid w:val="00032765"/>
    <w:rsid w:val="000327EA"/>
    <w:rsid w:val="00032844"/>
    <w:rsid w:val="00032928"/>
    <w:rsid w:val="000329B4"/>
    <w:rsid w:val="000329CB"/>
    <w:rsid w:val="00032AB1"/>
    <w:rsid w:val="00032AE3"/>
    <w:rsid w:val="00032C58"/>
    <w:rsid w:val="00032C6D"/>
    <w:rsid w:val="00032C93"/>
    <w:rsid w:val="00032DA0"/>
    <w:rsid w:val="00032DCA"/>
    <w:rsid w:val="00032DF1"/>
    <w:rsid w:val="00032E2C"/>
    <w:rsid w:val="00032E46"/>
    <w:rsid w:val="00032EF1"/>
    <w:rsid w:val="00032F19"/>
    <w:rsid w:val="00032F20"/>
    <w:rsid w:val="00032F2A"/>
    <w:rsid w:val="00033103"/>
    <w:rsid w:val="000332A1"/>
    <w:rsid w:val="000334CB"/>
    <w:rsid w:val="000334D2"/>
    <w:rsid w:val="0003376D"/>
    <w:rsid w:val="000337D3"/>
    <w:rsid w:val="000338C2"/>
    <w:rsid w:val="0003393C"/>
    <w:rsid w:val="000339BB"/>
    <w:rsid w:val="00033A22"/>
    <w:rsid w:val="00033B06"/>
    <w:rsid w:val="00033B15"/>
    <w:rsid w:val="00033D5B"/>
    <w:rsid w:val="00033E7F"/>
    <w:rsid w:val="00033F47"/>
    <w:rsid w:val="00034005"/>
    <w:rsid w:val="0003411B"/>
    <w:rsid w:val="000341DA"/>
    <w:rsid w:val="000341FD"/>
    <w:rsid w:val="00034324"/>
    <w:rsid w:val="0003446E"/>
    <w:rsid w:val="000344C0"/>
    <w:rsid w:val="00034518"/>
    <w:rsid w:val="00034671"/>
    <w:rsid w:val="00034799"/>
    <w:rsid w:val="00034C5B"/>
    <w:rsid w:val="00034C92"/>
    <w:rsid w:val="00034CB2"/>
    <w:rsid w:val="00034E01"/>
    <w:rsid w:val="00034E10"/>
    <w:rsid w:val="00034E69"/>
    <w:rsid w:val="00034F13"/>
    <w:rsid w:val="00034FC5"/>
    <w:rsid w:val="0003504D"/>
    <w:rsid w:val="0003506B"/>
    <w:rsid w:val="00035181"/>
    <w:rsid w:val="000352D0"/>
    <w:rsid w:val="00035343"/>
    <w:rsid w:val="000353DB"/>
    <w:rsid w:val="0003547C"/>
    <w:rsid w:val="00035482"/>
    <w:rsid w:val="00035707"/>
    <w:rsid w:val="0003573D"/>
    <w:rsid w:val="00035947"/>
    <w:rsid w:val="0003598F"/>
    <w:rsid w:val="00035AA7"/>
    <w:rsid w:val="00035AEA"/>
    <w:rsid w:val="00035AFB"/>
    <w:rsid w:val="00035B50"/>
    <w:rsid w:val="00035B54"/>
    <w:rsid w:val="00035BDE"/>
    <w:rsid w:val="00035C89"/>
    <w:rsid w:val="00035C9C"/>
    <w:rsid w:val="00035D1F"/>
    <w:rsid w:val="00035D4D"/>
    <w:rsid w:val="00035DAE"/>
    <w:rsid w:val="00035E39"/>
    <w:rsid w:val="0003601C"/>
    <w:rsid w:val="000360B9"/>
    <w:rsid w:val="00036109"/>
    <w:rsid w:val="000361DB"/>
    <w:rsid w:val="0003623C"/>
    <w:rsid w:val="00036248"/>
    <w:rsid w:val="000362B7"/>
    <w:rsid w:val="00036369"/>
    <w:rsid w:val="000363CC"/>
    <w:rsid w:val="000363D2"/>
    <w:rsid w:val="0003643F"/>
    <w:rsid w:val="00036488"/>
    <w:rsid w:val="0003656A"/>
    <w:rsid w:val="00036583"/>
    <w:rsid w:val="000365B7"/>
    <w:rsid w:val="00036625"/>
    <w:rsid w:val="00036793"/>
    <w:rsid w:val="00036816"/>
    <w:rsid w:val="00036893"/>
    <w:rsid w:val="000368B0"/>
    <w:rsid w:val="0003695B"/>
    <w:rsid w:val="00036987"/>
    <w:rsid w:val="00036A3C"/>
    <w:rsid w:val="00036B06"/>
    <w:rsid w:val="00036B89"/>
    <w:rsid w:val="00036B91"/>
    <w:rsid w:val="00036BFE"/>
    <w:rsid w:val="00036C64"/>
    <w:rsid w:val="00036C6A"/>
    <w:rsid w:val="00036D63"/>
    <w:rsid w:val="00036D97"/>
    <w:rsid w:val="00036DC9"/>
    <w:rsid w:val="00036FD5"/>
    <w:rsid w:val="0003702C"/>
    <w:rsid w:val="0003709D"/>
    <w:rsid w:val="000370D1"/>
    <w:rsid w:val="0003715E"/>
    <w:rsid w:val="000372BC"/>
    <w:rsid w:val="000372EB"/>
    <w:rsid w:val="00037332"/>
    <w:rsid w:val="000373C2"/>
    <w:rsid w:val="0003771A"/>
    <w:rsid w:val="00037824"/>
    <w:rsid w:val="00037843"/>
    <w:rsid w:val="0003785D"/>
    <w:rsid w:val="00037885"/>
    <w:rsid w:val="000378A5"/>
    <w:rsid w:val="00037A2A"/>
    <w:rsid w:val="00037A2C"/>
    <w:rsid w:val="00037B40"/>
    <w:rsid w:val="00037BCA"/>
    <w:rsid w:val="00037C14"/>
    <w:rsid w:val="00037C19"/>
    <w:rsid w:val="00037C29"/>
    <w:rsid w:val="00037D4E"/>
    <w:rsid w:val="00037ED6"/>
    <w:rsid w:val="00037EEF"/>
    <w:rsid w:val="0004003A"/>
    <w:rsid w:val="00040049"/>
    <w:rsid w:val="000400B2"/>
    <w:rsid w:val="00040167"/>
    <w:rsid w:val="0004019B"/>
    <w:rsid w:val="000402C8"/>
    <w:rsid w:val="000402CA"/>
    <w:rsid w:val="000403D5"/>
    <w:rsid w:val="000403F4"/>
    <w:rsid w:val="0004045D"/>
    <w:rsid w:val="000404AB"/>
    <w:rsid w:val="00040549"/>
    <w:rsid w:val="000405D8"/>
    <w:rsid w:val="00040615"/>
    <w:rsid w:val="00040623"/>
    <w:rsid w:val="00040673"/>
    <w:rsid w:val="0004074A"/>
    <w:rsid w:val="00040902"/>
    <w:rsid w:val="00040B11"/>
    <w:rsid w:val="00040B52"/>
    <w:rsid w:val="00040BA4"/>
    <w:rsid w:val="00040C20"/>
    <w:rsid w:val="00040C80"/>
    <w:rsid w:val="00040CEF"/>
    <w:rsid w:val="0004116D"/>
    <w:rsid w:val="00041198"/>
    <w:rsid w:val="000411CB"/>
    <w:rsid w:val="00041220"/>
    <w:rsid w:val="00041227"/>
    <w:rsid w:val="0004124C"/>
    <w:rsid w:val="000412A3"/>
    <w:rsid w:val="00041322"/>
    <w:rsid w:val="000414D2"/>
    <w:rsid w:val="0004158D"/>
    <w:rsid w:val="00041590"/>
    <w:rsid w:val="00041594"/>
    <w:rsid w:val="000415D9"/>
    <w:rsid w:val="000416B6"/>
    <w:rsid w:val="000416D1"/>
    <w:rsid w:val="000417D1"/>
    <w:rsid w:val="0004191F"/>
    <w:rsid w:val="0004196D"/>
    <w:rsid w:val="00041A92"/>
    <w:rsid w:val="00041AC4"/>
    <w:rsid w:val="00041ACF"/>
    <w:rsid w:val="00041B56"/>
    <w:rsid w:val="00041BB7"/>
    <w:rsid w:val="00041D43"/>
    <w:rsid w:val="00041DEF"/>
    <w:rsid w:val="00041F09"/>
    <w:rsid w:val="00041F2C"/>
    <w:rsid w:val="00041F9E"/>
    <w:rsid w:val="00042062"/>
    <w:rsid w:val="00042103"/>
    <w:rsid w:val="00042159"/>
    <w:rsid w:val="00042171"/>
    <w:rsid w:val="0004217D"/>
    <w:rsid w:val="000421E7"/>
    <w:rsid w:val="0004224E"/>
    <w:rsid w:val="000422D2"/>
    <w:rsid w:val="000422EE"/>
    <w:rsid w:val="000423AA"/>
    <w:rsid w:val="00042479"/>
    <w:rsid w:val="0004260D"/>
    <w:rsid w:val="00042618"/>
    <w:rsid w:val="000426C8"/>
    <w:rsid w:val="000426F4"/>
    <w:rsid w:val="00042873"/>
    <w:rsid w:val="00042896"/>
    <w:rsid w:val="000428A4"/>
    <w:rsid w:val="00042984"/>
    <w:rsid w:val="00042B08"/>
    <w:rsid w:val="00042B23"/>
    <w:rsid w:val="00042B9A"/>
    <w:rsid w:val="00042D5C"/>
    <w:rsid w:val="00042D74"/>
    <w:rsid w:val="00042D94"/>
    <w:rsid w:val="00042DA9"/>
    <w:rsid w:val="00042DD2"/>
    <w:rsid w:val="00042DF8"/>
    <w:rsid w:val="00042EF9"/>
    <w:rsid w:val="00043004"/>
    <w:rsid w:val="000430C5"/>
    <w:rsid w:val="000431AF"/>
    <w:rsid w:val="000431BC"/>
    <w:rsid w:val="000431E5"/>
    <w:rsid w:val="000431EF"/>
    <w:rsid w:val="0004323D"/>
    <w:rsid w:val="00043291"/>
    <w:rsid w:val="0004345E"/>
    <w:rsid w:val="000434FF"/>
    <w:rsid w:val="000435A2"/>
    <w:rsid w:val="000435AD"/>
    <w:rsid w:val="000436A0"/>
    <w:rsid w:val="000436C3"/>
    <w:rsid w:val="000436C9"/>
    <w:rsid w:val="000436D8"/>
    <w:rsid w:val="000436D9"/>
    <w:rsid w:val="0004379D"/>
    <w:rsid w:val="0004381C"/>
    <w:rsid w:val="00043896"/>
    <w:rsid w:val="00043931"/>
    <w:rsid w:val="000439AF"/>
    <w:rsid w:val="000439BE"/>
    <w:rsid w:val="000439D5"/>
    <w:rsid w:val="00043A17"/>
    <w:rsid w:val="00043A9C"/>
    <w:rsid w:val="00043ABC"/>
    <w:rsid w:val="00043BDB"/>
    <w:rsid w:val="00043C41"/>
    <w:rsid w:val="00043C79"/>
    <w:rsid w:val="00043D2E"/>
    <w:rsid w:val="00043D81"/>
    <w:rsid w:val="00043D84"/>
    <w:rsid w:val="00043F8B"/>
    <w:rsid w:val="00043FD8"/>
    <w:rsid w:val="0004409F"/>
    <w:rsid w:val="0004425A"/>
    <w:rsid w:val="00044321"/>
    <w:rsid w:val="00044439"/>
    <w:rsid w:val="00044501"/>
    <w:rsid w:val="00044631"/>
    <w:rsid w:val="000446A7"/>
    <w:rsid w:val="000446BB"/>
    <w:rsid w:val="0004474B"/>
    <w:rsid w:val="00044803"/>
    <w:rsid w:val="00044868"/>
    <w:rsid w:val="00044869"/>
    <w:rsid w:val="000448DA"/>
    <w:rsid w:val="00044A6A"/>
    <w:rsid w:val="00044AF4"/>
    <w:rsid w:val="00044BDC"/>
    <w:rsid w:val="00044C2B"/>
    <w:rsid w:val="00044C73"/>
    <w:rsid w:val="00044DA8"/>
    <w:rsid w:val="00044E12"/>
    <w:rsid w:val="00044E5A"/>
    <w:rsid w:val="00044E5D"/>
    <w:rsid w:val="00044ED8"/>
    <w:rsid w:val="00044F06"/>
    <w:rsid w:val="00044F48"/>
    <w:rsid w:val="00044FF6"/>
    <w:rsid w:val="00044FFE"/>
    <w:rsid w:val="000450B7"/>
    <w:rsid w:val="00045129"/>
    <w:rsid w:val="000451FF"/>
    <w:rsid w:val="00045294"/>
    <w:rsid w:val="0004550E"/>
    <w:rsid w:val="00045528"/>
    <w:rsid w:val="000455EB"/>
    <w:rsid w:val="00045681"/>
    <w:rsid w:val="000456C6"/>
    <w:rsid w:val="000457E5"/>
    <w:rsid w:val="000457FA"/>
    <w:rsid w:val="0004581C"/>
    <w:rsid w:val="00045A17"/>
    <w:rsid w:val="00045A20"/>
    <w:rsid w:val="00045C58"/>
    <w:rsid w:val="00045C6C"/>
    <w:rsid w:val="00045CAA"/>
    <w:rsid w:val="00045D73"/>
    <w:rsid w:val="00045DA6"/>
    <w:rsid w:val="00045DC9"/>
    <w:rsid w:val="00045E07"/>
    <w:rsid w:val="00045E49"/>
    <w:rsid w:val="00045F37"/>
    <w:rsid w:val="000460D5"/>
    <w:rsid w:val="00046119"/>
    <w:rsid w:val="00046198"/>
    <w:rsid w:val="00046221"/>
    <w:rsid w:val="0004631C"/>
    <w:rsid w:val="00046448"/>
    <w:rsid w:val="000465EE"/>
    <w:rsid w:val="00046612"/>
    <w:rsid w:val="000466D9"/>
    <w:rsid w:val="000466F9"/>
    <w:rsid w:val="0004678A"/>
    <w:rsid w:val="00046858"/>
    <w:rsid w:val="0004698F"/>
    <w:rsid w:val="000469AD"/>
    <w:rsid w:val="000469C4"/>
    <w:rsid w:val="00046B42"/>
    <w:rsid w:val="00046C70"/>
    <w:rsid w:val="00046CEB"/>
    <w:rsid w:val="00046D12"/>
    <w:rsid w:val="00046D8F"/>
    <w:rsid w:val="00046DD4"/>
    <w:rsid w:val="00046E91"/>
    <w:rsid w:val="00046EB6"/>
    <w:rsid w:val="00046F13"/>
    <w:rsid w:val="00046F6F"/>
    <w:rsid w:val="000470FC"/>
    <w:rsid w:val="00047236"/>
    <w:rsid w:val="0004724E"/>
    <w:rsid w:val="00047255"/>
    <w:rsid w:val="000472DC"/>
    <w:rsid w:val="000472E7"/>
    <w:rsid w:val="000472EA"/>
    <w:rsid w:val="0004743A"/>
    <w:rsid w:val="000474CA"/>
    <w:rsid w:val="0004759A"/>
    <w:rsid w:val="00047668"/>
    <w:rsid w:val="00047710"/>
    <w:rsid w:val="0004785C"/>
    <w:rsid w:val="000478E4"/>
    <w:rsid w:val="000479EF"/>
    <w:rsid w:val="00047A18"/>
    <w:rsid w:val="00047B25"/>
    <w:rsid w:val="00047BB4"/>
    <w:rsid w:val="00047C6C"/>
    <w:rsid w:val="00047D32"/>
    <w:rsid w:val="00047D9B"/>
    <w:rsid w:val="00047EDF"/>
    <w:rsid w:val="00047F43"/>
    <w:rsid w:val="00047F59"/>
    <w:rsid w:val="0005009E"/>
    <w:rsid w:val="00050325"/>
    <w:rsid w:val="00050343"/>
    <w:rsid w:val="00050424"/>
    <w:rsid w:val="0005042F"/>
    <w:rsid w:val="0005043C"/>
    <w:rsid w:val="0005049A"/>
    <w:rsid w:val="00050531"/>
    <w:rsid w:val="0005079E"/>
    <w:rsid w:val="000507DE"/>
    <w:rsid w:val="0005086F"/>
    <w:rsid w:val="00050887"/>
    <w:rsid w:val="000508DD"/>
    <w:rsid w:val="00050992"/>
    <w:rsid w:val="000509A2"/>
    <w:rsid w:val="000509CE"/>
    <w:rsid w:val="00050A11"/>
    <w:rsid w:val="00050A70"/>
    <w:rsid w:val="00050CE9"/>
    <w:rsid w:val="00050F4B"/>
    <w:rsid w:val="00050FCE"/>
    <w:rsid w:val="000510D7"/>
    <w:rsid w:val="00051107"/>
    <w:rsid w:val="00051158"/>
    <w:rsid w:val="000511D8"/>
    <w:rsid w:val="00051353"/>
    <w:rsid w:val="000513FE"/>
    <w:rsid w:val="00051431"/>
    <w:rsid w:val="0005152C"/>
    <w:rsid w:val="000515A5"/>
    <w:rsid w:val="00051616"/>
    <w:rsid w:val="000518F1"/>
    <w:rsid w:val="00051921"/>
    <w:rsid w:val="00051A48"/>
    <w:rsid w:val="00051A79"/>
    <w:rsid w:val="00051AB5"/>
    <w:rsid w:val="00051B99"/>
    <w:rsid w:val="00051D75"/>
    <w:rsid w:val="00051DC8"/>
    <w:rsid w:val="00051EAA"/>
    <w:rsid w:val="00051EF8"/>
    <w:rsid w:val="00051FDD"/>
    <w:rsid w:val="00052029"/>
    <w:rsid w:val="00052039"/>
    <w:rsid w:val="000520EE"/>
    <w:rsid w:val="000521C7"/>
    <w:rsid w:val="000521FC"/>
    <w:rsid w:val="00052230"/>
    <w:rsid w:val="0005229F"/>
    <w:rsid w:val="000522BB"/>
    <w:rsid w:val="000524D8"/>
    <w:rsid w:val="00052581"/>
    <w:rsid w:val="000525FB"/>
    <w:rsid w:val="00052604"/>
    <w:rsid w:val="00052658"/>
    <w:rsid w:val="00052757"/>
    <w:rsid w:val="00052784"/>
    <w:rsid w:val="0005293C"/>
    <w:rsid w:val="000529DB"/>
    <w:rsid w:val="00052A3A"/>
    <w:rsid w:val="00052ACE"/>
    <w:rsid w:val="00052C17"/>
    <w:rsid w:val="00052C23"/>
    <w:rsid w:val="00052CA3"/>
    <w:rsid w:val="00052E1F"/>
    <w:rsid w:val="00052F5A"/>
    <w:rsid w:val="00052F8C"/>
    <w:rsid w:val="0005308A"/>
    <w:rsid w:val="0005319A"/>
    <w:rsid w:val="000531D6"/>
    <w:rsid w:val="0005328E"/>
    <w:rsid w:val="000532BA"/>
    <w:rsid w:val="00053338"/>
    <w:rsid w:val="000533CA"/>
    <w:rsid w:val="00053402"/>
    <w:rsid w:val="0005349E"/>
    <w:rsid w:val="000534F5"/>
    <w:rsid w:val="00053517"/>
    <w:rsid w:val="000535E0"/>
    <w:rsid w:val="000535FF"/>
    <w:rsid w:val="00053734"/>
    <w:rsid w:val="00053780"/>
    <w:rsid w:val="000537AA"/>
    <w:rsid w:val="000537D7"/>
    <w:rsid w:val="00053810"/>
    <w:rsid w:val="000538C4"/>
    <w:rsid w:val="0005395B"/>
    <w:rsid w:val="00053963"/>
    <w:rsid w:val="00053981"/>
    <w:rsid w:val="00053A5A"/>
    <w:rsid w:val="00053A78"/>
    <w:rsid w:val="00053C00"/>
    <w:rsid w:val="00053C8D"/>
    <w:rsid w:val="00053D82"/>
    <w:rsid w:val="00053E88"/>
    <w:rsid w:val="00053E94"/>
    <w:rsid w:val="00053EFD"/>
    <w:rsid w:val="00053F38"/>
    <w:rsid w:val="00053F93"/>
    <w:rsid w:val="0005404A"/>
    <w:rsid w:val="00054079"/>
    <w:rsid w:val="00054220"/>
    <w:rsid w:val="00054385"/>
    <w:rsid w:val="000543C5"/>
    <w:rsid w:val="0005440F"/>
    <w:rsid w:val="00054448"/>
    <w:rsid w:val="00054464"/>
    <w:rsid w:val="000545C1"/>
    <w:rsid w:val="00054668"/>
    <w:rsid w:val="00054698"/>
    <w:rsid w:val="0005489F"/>
    <w:rsid w:val="00054989"/>
    <w:rsid w:val="00054A20"/>
    <w:rsid w:val="00054A42"/>
    <w:rsid w:val="00054ACD"/>
    <w:rsid w:val="00054C64"/>
    <w:rsid w:val="00054D02"/>
    <w:rsid w:val="00054E27"/>
    <w:rsid w:val="00054EF3"/>
    <w:rsid w:val="00054F64"/>
    <w:rsid w:val="00054F6E"/>
    <w:rsid w:val="00055015"/>
    <w:rsid w:val="000550AF"/>
    <w:rsid w:val="0005512F"/>
    <w:rsid w:val="00055132"/>
    <w:rsid w:val="0005538A"/>
    <w:rsid w:val="000553C4"/>
    <w:rsid w:val="0005554B"/>
    <w:rsid w:val="00055576"/>
    <w:rsid w:val="000555BF"/>
    <w:rsid w:val="0005561B"/>
    <w:rsid w:val="0005566D"/>
    <w:rsid w:val="000557D4"/>
    <w:rsid w:val="00055823"/>
    <w:rsid w:val="0005586B"/>
    <w:rsid w:val="000559A6"/>
    <w:rsid w:val="00055A25"/>
    <w:rsid w:val="00055A7C"/>
    <w:rsid w:val="00055CF0"/>
    <w:rsid w:val="00055D63"/>
    <w:rsid w:val="00055DA1"/>
    <w:rsid w:val="00055FCF"/>
    <w:rsid w:val="00056056"/>
    <w:rsid w:val="000560AD"/>
    <w:rsid w:val="00056129"/>
    <w:rsid w:val="00056273"/>
    <w:rsid w:val="00056278"/>
    <w:rsid w:val="000562C4"/>
    <w:rsid w:val="000562F4"/>
    <w:rsid w:val="00056386"/>
    <w:rsid w:val="0005639C"/>
    <w:rsid w:val="000563CF"/>
    <w:rsid w:val="0005641F"/>
    <w:rsid w:val="000564E3"/>
    <w:rsid w:val="00056593"/>
    <w:rsid w:val="000567BB"/>
    <w:rsid w:val="0005682F"/>
    <w:rsid w:val="000569D4"/>
    <w:rsid w:val="000569FF"/>
    <w:rsid w:val="00056AC6"/>
    <w:rsid w:val="00056AC7"/>
    <w:rsid w:val="00056B06"/>
    <w:rsid w:val="00056B6F"/>
    <w:rsid w:val="00056CAA"/>
    <w:rsid w:val="00056D85"/>
    <w:rsid w:val="00056F48"/>
    <w:rsid w:val="00056FBC"/>
    <w:rsid w:val="00057080"/>
    <w:rsid w:val="000571CA"/>
    <w:rsid w:val="00057237"/>
    <w:rsid w:val="00057488"/>
    <w:rsid w:val="000574AD"/>
    <w:rsid w:val="000574C9"/>
    <w:rsid w:val="0005753C"/>
    <w:rsid w:val="00057540"/>
    <w:rsid w:val="0005766D"/>
    <w:rsid w:val="00057732"/>
    <w:rsid w:val="00057831"/>
    <w:rsid w:val="000579B0"/>
    <w:rsid w:val="00057B9E"/>
    <w:rsid w:val="00057C51"/>
    <w:rsid w:val="00057C66"/>
    <w:rsid w:val="00057D37"/>
    <w:rsid w:val="00057DC6"/>
    <w:rsid w:val="00057E6A"/>
    <w:rsid w:val="00057ED2"/>
    <w:rsid w:val="00057FEA"/>
    <w:rsid w:val="00060102"/>
    <w:rsid w:val="000602A9"/>
    <w:rsid w:val="000602D4"/>
    <w:rsid w:val="00060357"/>
    <w:rsid w:val="0006041F"/>
    <w:rsid w:val="00060446"/>
    <w:rsid w:val="00060519"/>
    <w:rsid w:val="0006056A"/>
    <w:rsid w:val="000605DE"/>
    <w:rsid w:val="000606E5"/>
    <w:rsid w:val="00060784"/>
    <w:rsid w:val="00060789"/>
    <w:rsid w:val="00060848"/>
    <w:rsid w:val="000608EE"/>
    <w:rsid w:val="00060932"/>
    <w:rsid w:val="00060940"/>
    <w:rsid w:val="00060961"/>
    <w:rsid w:val="00060965"/>
    <w:rsid w:val="000609BB"/>
    <w:rsid w:val="000609C3"/>
    <w:rsid w:val="00060AC8"/>
    <w:rsid w:val="00060AE9"/>
    <w:rsid w:val="00060B10"/>
    <w:rsid w:val="00060B3A"/>
    <w:rsid w:val="00060B3B"/>
    <w:rsid w:val="00060BDF"/>
    <w:rsid w:val="00060C22"/>
    <w:rsid w:val="00060C28"/>
    <w:rsid w:val="00060C51"/>
    <w:rsid w:val="00060C8D"/>
    <w:rsid w:val="00060CDC"/>
    <w:rsid w:val="00060D53"/>
    <w:rsid w:val="00060DF2"/>
    <w:rsid w:val="00060E56"/>
    <w:rsid w:val="00060EDF"/>
    <w:rsid w:val="00060FAC"/>
    <w:rsid w:val="000610BF"/>
    <w:rsid w:val="00061192"/>
    <w:rsid w:val="00061275"/>
    <w:rsid w:val="000612A0"/>
    <w:rsid w:val="0006130C"/>
    <w:rsid w:val="000614CF"/>
    <w:rsid w:val="000614E3"/>
    <w:rsid w:val="000615A7"/>
    <w:rsid w:val="000615C7"/>
    <w:rsid w:val="0006177E"/>
    <w:rsid w:val="00061905"/>
    <w:rsid w:val="000619FD"/>
    <w:rsid w:val="00061BF8"/>
    <w:rsid w:val="00061C9B"/>
    <w:rsid w:val="00061CD7"/>
    <w:rsid w:val="00061E1C"/>
    <w:rsid w:val="00061E6E"/>
    <w:rsid w:val="00061EC3"/>
    <w:rsid w:val="00061F37"/>
    <w:rsid w:val="00061F3B"/>
    <w:rsid w:val="00061F3D"/>
    <w:rsid w:val="00061F79"/>
    <w:rsid w:val="000620B1"/>
    <w:rsid w:val="00062105"/>
    <w:rsid w:val="00062178"/>
    <w:rsid w:val="00062179"/>
    <w:rsid w:val="000621CE"/>
    <w:rsid w:val="000622D5"/>
    <w:rsid w:val="000622EC"/>
    <w:rsid w:val="00062307"/>
    <w:rsid w:val="000623BB"/>
    <w:rsid w:val="0006257A"/>
    <w:rsid w:val="00062583"/>
    <w:rsid w:val="0006266F"/>
    <w:rsid w:val="0006271F"/>
    <w:rsid w:val="0006281D"/>
    <w:rsid w:val="00062858"/>
    <w:rsid w:val="0006289B"/>
    <w:rsid w:val="0006290D"/>
    <w:rsid w:val="00062950"/>
    <w:rsid w:val="00062968"/>
    <w:rsid w:val="000629A4"/>
    <w:rsid w:val="00062BB6"/>
    <w:rsid w:val="00062BC8"/>
    <w:rsid w:val="00062C97"/>
    <w:rsid w:val="00062D85"/>
    <w:rsid w:val="00062DC2"/>
    <w:rsid w:val="00062E2A"/>
    <w:rsid w:val="00062E39"/>
    <w:rsid w:val="00062E6B"/>
    <w:rsid w:val="00062E9B"/>
    <w:rsid w:val="00062F0F"/>
    <w:rsid w:val="00063068"/>
    <w:rsid w:val="000630BE"/>
    <w:rsid w:val="000630D0"/>
    <w:rsid w:val="0006314A"/>
    <w:rsid w:val="0006326D"/>
    <w:rsid w:val="00063364"/>
    <w:rsid w:val="00063391"/>
    <w:rsid w:val="00063462"/>
    <w:rsid w:val="0006352D"/>
    <w:rsid w:val="000635C3"/>
    <w:rsid w:val="0006367D"/>
    <w:rsid w:val="000636C7"/>
    <w:rsid w:val="000636EF"/>
    <w:rsid w:val="00063722"/>
    <w:rsid w:val="00063733"/>
    <w:rsid w:val="00063883"/>
    <w:rsid w:val="00063962"/>
    <w:rsid w:val="00063AF2"/>
    <w:rsid w:val="00063BD3"/>
    <w:rsid w:val="00063C83"/>
    <w:rsid w:val="00063CA7"/>
    <w:rsid w:val="00063DF7"/>
    <w:rsid w:val="00063E66"/>
    <w:rsid w:val="00063EEE"/>
    <w:rsid w:val="00063FC3"/>
    <w:rsid w:val="000640E9"/>
    <w:rsid w:val="0006412F"/>
    <w:rsid w:val="0006415D"/>
    <w:rsid w:val="000641B7"/>
    <w:rsid w:val="000641C7"/>
    <w:rsid w:val="00064206"/>
    <w:rsid w:val="000642EC"/>
    <w:rsid w:val="000642F7"/>
    <w:rsid w:val="00064327"/>
    <w:rsid w:val="00064363"/>
    <w:rsid w:val="00064371"/>
    <w:rsid w:val="000643F6"/>
    <w:rsid w:val="0006474D"/>
    <w:rsid w:val="00064772"/>
    <w:rsid w:val="00064796"/>
    <w:rsid w:val="00064797"/>
    <w:rsid w:val="0006490B"/>
    <w:rsid w:val="00064913"/>
    <w:rsid w:val="00064A3B"/>
    <w:rsid w:val="00064A88"/>
    <w:rsid w:val="00064ABF"/>
    <w:rsid w:val="00064B69"/>
    <w:rsid w:val="00064BA0"/>
    <w:rsid w:val="00064BC5"/>
    <w:rsid w:val="00064C9F"/>
    <w:rsid w:val="00064CC4"/>
    <w:rsid w:val="00064D20"/>
    <w:rsid w:val="00064D67"/>
    <w:rsid w:val="00064DA5"/>
    <w:rsid w:val="00064DDE"/>
    <w:rsid w:val="00064DF6"/>
    <w:rsid w:val="00064ED1"/>
    <w:rsid w:val="00064EED"/>
    <w:rsid w:val="00064F74"/>
    <w:rsid w:val="00064FA8"/>
    <w:rsid w:val="00064FAB"/>
    <w:rsid w:val="0006501D"/>
    <w:rsid w:val="00065042"/>
    <w:rsid w:val="00065074"/>
    <w:rsid w:val="000650DD"/>
    <w:rsid w:val="0006527D"/>
    <w:rsid w:val="0006531E"/>
    <w:rsid w:val="0006546B"/>
    <w:rsid w:val="000655DF"/>
    <w:rsid w:val="000655EE"/>
    <w:rsid w:val="0006573E"/>
    <w:rsid w:val="000657BD"/>
    <w:rsid w:val="000657E1"/>
    <w:rsid w:val="0006585E"/>
    <w:rsid w:val="00065866"/>
    <w:rsid w:val="000659A7"/>
    <w:rsid w:val="00065C4F"/>
    <w:rsid w:val="00065CD1"/>
    <w:rsid w:val="00065D28"/>
    <w:rsid w:val="00065DEF"/>
    <w:rsid w:val="00065EAC"/>
    <w:rsid w:val="00065F39"/>
    <w:rsid w:val="00065F91"/>
    <w:rsid w:val="00065FBB"/>
    <w:rsid w:val="00066041"/>
    <w:rsid w:val="00066075"/>
    <w:rsid w:val="00066079"/>
    <w:rsid w:val="000660A0"/>
    <w:rsid w:val="00066108"/>
    <w:rsid w:val="000661A1"/>
    <w:rsid w:val="000661B2"/>
    <w:rsid w:val="00066321"/>
    <w:rsid w:val="00066377"/>
    <w:rsid w:val="000663FA"/>
    <w:rsid w:val="0006646B"/>
    <w:rsid w:val="00066484"/>
    <w:rsid w:val="000664C9"/>
    <w:rsid w:val="00066564"/>
    <w:rsid w:val="000666DA"/>
    <w:rsid w:val="0006675B"/>
    <w:rsid w:val="000667B0"/>
    <w:rsid w:val="00066822"/>
    <w:rsid w:val="0006682A"/>
    <w:rsid w:val="00066858"/>
    <w:rsid w:val="000668FA"/>
    <w:rsid w:val="000668FE"/>
    <w:rsid w:val="00066902"/>
    <w:rsid w:val="00066918"/>
    <w:rsid w:val="00066996"/>
    <w:rsid w:val="000669A8"/>
    <w:rsid w:val="00066A4F"/>
    <w:rsid w:val="00066B92"/>
    <w:rsid w:val="00066C45"/>
    <w:rsid w:val="00066E40"/>
    <w:rsid w:val="00066E65"/>
    <w:rsid w:val="00066F48"/>
    <w:rsid w:val="00067287"/>
    <w:rsid w:val="00067497"/>
    <w:rsid w:val="000674E8"/>
    <w:rsid w:val="00067563"/>
    <w:rsid w:val="0006762B"/>
    <w:rsid w:val="000676BE"/>
    <w:rsid w:val="000677B6"/>
    <w:rsid w:val="00067837"/>
    <w:rsid w:val="00067838"/>
    <w:rsid w:val="00067840"/>
    <w:rsid w:val="00067883"/>
    <w:rsid w:val="00067956"/>
    <w:rsid w:val="00067990"/>
    <w:rsid w:val="000679A3"/>
    <w:rsid w:val="00067A3E"/>
    <w:rsid w:val="00067AF3"/>
    <w:rsid w:val="00067B43"/>
    <w:rsid w:val="00067B71"/>
    <w:rsid w:val="00067B98"/>
    <w:rsid w:val="00067D29"/>
    <w:rsid w:val="00067D40"/>
    <w:rsid w:val="00067E28"/>
    <w:rsid w:val="00067E76"/>
    <w:rsid w:val="00067E9C"/>
    <w:rsid w:val="00067EE3"/>
    <w:rsid w:val="00067FEA"/>
    <w:rsid w:val="0007007F"/>
    <w:rsid w:val="000700DB"/>
    <w:rsid w:val="00070126"/>
    <w:rsid w:val="0007012E"/>
    <w:rsid w:val="000701E6"/>
    <w:rsid w:val="000701EA"/>
    <w:rsid w:val="00070240"/>
    <w:rsid w:val="00070256"/>
    <w:rsid w:val="000702DE"/>
    <w:rsid w:val="000703F8"/>
    <w:rsid w:val="00070401"/>
    <w:rsid w:val="000704DD"/>
    <w:rsid w:val="0007054A"/>
    <w:rsid w:val="00070671"/>
    <w:rsid w:val="000706F5"/>
    <w:rsid w:val="0007075A"/>
    <w:rsid w:val="000708EF"/>
    <w:rsid w:val="00070994"/>
    <w:rsid w:val="00070A29"/>
    <w:rsid w:val="00070A2F"/>
    <w:rsid w:val="00070A7D"/>
    <w:rsid w:val="00070BDD"/>
    <w:rsid w:val="00070C3A"/>
    <w:rsid w:val="00070C96"/>
    <w:rsid w:val="00070DB4"/>
    <w:rsid w:val="00070E2D"/>
    <w:rsid w:val="00070E6D"/>
    <w:rsid w:val="00070E81"/>
    <w:rsid w:val="00070FCA"/>
    <w:rsid w:val="00070FCB"/>
    <w:rsid w:val="00071024"/>
    <w:rsid w:val="00071051"/>
    <w:rsid w:val="000710EC"/>
    <w:rsid w:val="000710FC"/>
    <w:rsid w:val="00071181"/>
    <w:rsid w:val="000711B2"/>
    <w:rsid w:val="00071282"/>
    <w:rsid w:val="00071415"/>
    <w:rsid w:val="0007142E"/>
    <w:rsid w:val="000714A5"/>
    <w:rsid w:val="00071718"/>
    <w:rsid w:val="0007171A"/>
    <w:rsid w:val="00071792"/>
    <w:rsid w:val="000717E2"/>
    <w:rsid w:val="00071811"/>
    <w:rsid w:val="000718D5"/>
    <w:rsid w:val="0007190E"/>
    <w:rsid w:val="00071B0B"/>
    <w:rsid w:val="00071B25"/>
    <w:rsid w:val="00071B53"/>
    <w:rsid w:val="00071C09"/>
    <w:rsid w:val="00071C10"/>
    <w:rsid w:val="00071C26"/>
    <w:rsid w:val="00071C27"/>
    <w:rsid w:val="00071D83"/>
    <w:rsid w:val="00071D90"/>
    <w:rsid w:val="00071E2D"/>
    <w:rsid w:val="00071E9C"/>
    <w:rsid w:val="0007207D"/>
    <w:rsid w:val="000720AE"/>
    <w:rsid w:val="00072201"/>
    <w:rsid w:val="00072275"/>
    <w:rsid w:val="000722ED"/>
    <w:rsid w:val="00072303"/>
    <w:rsid w:val="000724FD"/>
    <w:rsid w:val="00072723"/>
    <w:rsid w:val="00072746"/>
    <w:rsid w:val="00072762"/>
    <w:rsid w:val="000727B6"/>
    <w:rsid w:val="000727BF"/>
    <w:rsid w:val="000727CA"/>
    <w:rsid w:val="0007281B"/>
    <w:rsid w:val="00072894"/>
    <w:rsid w:val="000728AF"/>
    <w:rsid w:val="00072928"/>
    <w:rsid w:val="0007297A"/>
    <w:rsid w:val="0007298C"/>
    <w:rsid w:val="00072A27"/>
    <w:rsid w:val="00072B4E"/>
    <w:rsid w:val="00072BB8"/>
    <w:rsid w:val="00072C55"/>
    <w:rsid w:val="00072CB4"/>
    <w:rsid w:val="00072CEE"/>
    <w:rsid w:val="00072CF2"/>
    <w:rsid w:val="00073185"/>
    <w:rsid w:val="00073204"/>
    <w:rsid w:val="00073399"/>
    <w:rsid w:val="000733A8"/>
    <w:rsid w:val="000733B5"/>
    <w:rsid w:val="00073435"/>
    <w:rsid w:val="0007369F"/>
    <w:rsid w:val="00073756"/>
    <w:rsid w:val="00073868"/>
    <w:rsid w:val="0007387A"/>
    <w:rsid w:val="0007389E"/>
    <w:rsid w:val="000738F4"/>
    <w:rsid w:val="0007391A"/>
    <w:rsid w:val="00073958"/>
    <w:rsid w:val="00073A90"/>
    <w:rsid w:val="00073B80"/>
    <w:rsid w:val="00073C89"/>
    <w:rsid w:val="00073DD2"/>
    <w:rsid w:val="00073DEB"/>
    <w:rsid w:val="00073E36"/>
    <w:rsid w:val="00073E5D"/>
    <w:rsid w:val="00073EA2"/>
    <w:rsid w:val="00073EA4"/>
    <w:rsid w:val="00073FC0"/>
    <w:rsid w:val="00074294"/>
    <w:rsid w:val="000742FB"/>
    <w:rsid w:val="000743AC"/>
    <w:rsid w:val="00074418"/>
    <w:rsid w:val="0007450B"/>
    <w:rsid w:val="00074710"/>
    <w:rsid w:val="000747A5"/>
    <w:rsid w:val="00074980"/>
    <w:rsid w:val="00074A56"/>
    <w:rsid w:val="00074C32"/>
    <w:rsid w:val="00074CD9"/>
    <w:rsid w:val="00074DE4"/>
    <w:rsid w:val="00074E4C"/>
    <w:rsid w:val="00074EE2"/>
    <w:rsid w:val="00074EE7"/>
    <w:rsid w:val="00074F2B"/>
    <w:rsid w:val="00074F3E"/>
    <w:rsid w:val="00074F40"/>
    <w:rsid w:val="00074FB5"/>
    <w:rsid w:val="000750E4"/>
    <w:rsid w:val="0007514D"/>
    <w:rsid w:val="00075240"/>
    <w:rsid w:val="0007524B"/>
    <w:rsid w:val="000752D3"/>
    <w:rsid w:val="0007530B"/>
    <w:rsid w:val="00075358"/>
    <w:rsid w:val="00075820"/>
    <w:rsid w:val="000758DE"/>
    <w:rsid w:val="00075944"/>
    <w:rsid w:val="000759F9"/>
    <w:rsid w:val="00075BED"/>
    <w:rsid w:val="00075BF4"/>
    <w:rsid w:val="00075C54"/>
    <w:rsid w:val="00075D8F"/>
    <w:rsid w:val="00075DC8"/>
    <w:rsid w:val="00075E9F"/>
    <w:rsid w:val="00075EAA"/>
    <w:rsid w:val="00075FDC"/>
    <w:rsid w:val="00076060"/>
    <w:rsid w:val="00076085"/>
    <w:rsid w:val="00076396"/>
    <w:rsid w:val="00076407"/>
    <w:rsid w:val="00076415"/>
    <w:rsid w:val="0007644A"/>
    <w:rsid w:val="0007644B"/>
    <w:rsid w:val="00076498"/>
    <w:rsid w:val="00076566"/>
    <w:rsid w:val="00076569"/>
    <w:rsid w:val="000766AA"/>
    <w:rsid w:val="00076797"/>
    <w:rsid w:val="000767D9"/>
    <w:rsid w:val="0007687F"/>
    <w:rsid w:val="00076883"/>
    <w:rsid w:val="00076886"/>
    <w:rsid w:val="000768E4"/>
    <w:rsid w:val="0007692D"/>
    <w:rsid w:val="00076A4E"/>
    <w:rsid w:val="00076A6A"/>
    <w:rsid w:val="00076AD9"/>
    <w:rsid w:val="00076ADF"/>
    <w:rsid w:val="00076B53"/>
    <w:rsid w:val="00076D97"/>
    <w:rsid w:val="00076E28"/>
    <w:rsid w:val="00076ED0"/>
    <w:rsid w:val="00076EE5"/>
    <w:rsid w:val="00077075"/>
    <w:rsid w:val="0007714E"/>
    <w:rsid w:val="00077168"/>
    <w:rsid w:val="000771DE"/>
    <w:rsid w:val="00077359"/>
    <w:rsid w:val="0007752F"/>
    <w:rsid w:val="00077544"/>
    <w:rsid w:val="0007761C"/>
    <w:rsid w:val="0007766F"/>
    <w:rsid w:val="00077702"/>
    <w:rsid w:val="0007772A"/>
    <w:rsid w:val="000777A7"/>
    <w:rsid w:val="00077844"/>
    <w:rsid w:val="000778C3"/>
    <w:rsid w:val="000779AD"/>
    <w:rsid w:val="00077BA7"/>
    <w:rsid w:val="00077BAD"/>
    <w:rsid w:val="00077C49"/>
    <w:rsid w:val="00077D94"/>
    <w:rsid w:val="00077DD4"/>
    <w:rsid w:val="00077E73"/>
    <w:rsid w:val="00080101"/>
    <w:rsid w:val="000801EF"/>
    <w:rsid w:val="0008020E"/>
    <w:rsid w:val="000802EE"/>
    <w:rsid w:val="0008030D"/>
    <w:rsid w:val="00080407"/>
    <w:rsid w:val="00080439"/>
    <w:rsid w:val="000804ED"/>
    <w:rsid w:val="00080549"/>
    <w:rsid w:val="00080690"/>
    <w:rsid w:val="0008070E"/>
    <w:rsid w:val="00080782"/>
    <w:rsid w:val="00080832"/>
    <w:rsid w:val="0008097B"/>
    <w:rsid w:val="000809D7"/>
    <w:rsid w:val="000809EC"/>
    <w:rsid w:val="00080A56"/>
    <w:rsid w:val="00080B07"/>
    <w:rsid w:val="00080B60"/>
    <w:rsid w:val="00080BB0"/>
    <w:rsid w:val="00080C40"/>
    <w:rsid w:val="00080CD2"/>
    <w:rsid w:val="00080CF4"/>
    <w:rsid w:val="00080D40"/>
    <w:rsid w:val="00080D43"/>
    <w:rsid w:val="00080E33"/>
    <w:rsid w:val="00081019"/>
    <w:rsid w:val="000810C9"/>
    <w:rsid w:val="000811A3"/>
    <w:rsid w:val="000811C4"/>
    <w:rsid w:val="000813B7"/>
    <w:rsid w:val="000813F3"/>
    <w:rsid w:val="0008149A"/>
    <w:rsid w:val="0008156D"/>
    <w:rsid w:val="00081685"/>
    <w:rsid w:val="00081699"/>
    <w:rsid w:val="000816F8"/>
    <w:rsid w:val="00081707"/>
    <w:rsid w:val="00081775"/>
    <w:rsid w:val="000817D1"/>
    <w:rsid w:val="00081913"/>
    <w:rsid w:val="00081999"/>
    <w:rsid w:val="00081A1E"/>
    <w:rsid w:val="00081B26"/>
    <w:rsid w:val="00081B7A"/>
    <w:rsid w:val="00081B93"/>
    <w:rsid w:val="00081BB9"/>
    <w:rsid w:val="00081C8D"/>
    <w:rsid w:val="00081CA4"/>
    <w:rsid w:val="00081CC0"/>
    <w:rsid w:val="00081CF4"/>
    <w:rsid w:val="00081EE0"/>
    <w:rsid w:val="00081EFE"/>
    <w:rsid w:val="00081F28"/>
    <w:rsid w:val="00082081"/>
    <w:rsid w:val="00082085"/>
    <w:rsid w:val="000821C1"/>
    <w:rsid w:val="000821F0"/>
    <w:rsid w:val="00082245"/>
    <w:rsid w:val="000823D1"/>
    <w:rsid w:val="00082427"/>
    <w:rsid w:val="000824CA"/>
    <w:rsid w:val="000825C3"/>
    <w:rsid w:val="000825E5"/>
    <w:rsid w:val="0008260E"/>
    <w:rsid w:val="000826BA"/>
    <w:rsid w:val="000826E6"/>
    <w:rsid w:val="0008280E"/>
    <w:rsid w:val="0008285D"/>
    <w:rsid w:val="000829C3"/>
    <w:rsid w:val="00082A22"/>
    <w:rsid w:val="00082A44"/>
    <w:rsid w:val="00082BA4"/>
    <w:rsid w:val="00082D0D"/>
    <w:rsid w:val="00082D34"/>
    <w:rsid w:val="00082DE5"/>
    <w:rsid w:val="00082DEC"/>
    <w:rsid w:val="00082E14"/>
    <w:rsid w:val="00082E52"/>
    <w:rsid w:val="00082E99"/>
    <w:rsid w:val="00082F7F"/>
    <w:rsid w:val="00082F9E"/>
    <w:rsid w:val="000830CC"/>
    <w:rsid w:val="000831D8"/>
    <w:rsid w:val="00083232"/>
    <w:rsid w:val="0008323E"/>
    <w:rsid w:val="00083466"/>
    <w:rsid w:val="000834F6"/>
    <w:rsid w:val="00083691"/>
    <w:rsid w:val="000837D7"/>
    <w:rsid w:val="000839C2"/>
    <w:rsid w:val="00083A55"/>
    <w:rsid w:val="00083B0E"/>
    <w:rsid w:val="00083BF1"/>
    <w:rsid w:val="00083D42"/>
    <w:rsid w:val="00083E31"/>
    <w:rsid w:val="00083E70"/>
    <w:rsid w:val="00083ED7"/>
    <w:rsid w:val="00083F53"/>
    <w:rsid w:val="00083F98"/>
    <w:rsid w:val="000841A1"/>
    <w:rsid w:val="00084324"/>
    <w:rsid w:val="000843F8"/>
    <w:rsid w:val="0008457E"/>
    <w:rsid w:val="000846F7"/>
    <w:rsid w:val="0008482E"/>
    <w:rsid w:val="00084A21"/>
    <w:rsid w:val="00084A98"/>
    <w:rsid w:val="00084BAB"/>
    <w:rsid w:val="00084BCA"/>
    <w:rsid w:val="00084D8E"/>
    <w:rsid w:val="00084D9A"/>
    <w:rsid w:val="00084E08"/>
    <w:rsid w:val="00084E36"/>
    <w:rsid w:val="00084E57"/>
    <w:rsid w:val="00084E95"/>
    <w:rsid w:val="00084F66"/>
    <w:rsid w:val="00084FC3"/>
    <w:rsid w:val="00084FF4"/>
    <w:rsid w:val="00085073"/>
    <w:rsid w:val="00085092"/>
    <w:rsid w:val="000850EE"/>
    <w:rsid w:val="000851F5"/>
    <w:rsid w:val="00085483"/>
    <w:rsid w:val="0008549B"/>
    <w:rsid w:val="000854F0"/>
    <w:rsid w:val="00085502"/>
    <w:rsid w:val="0008551F"/>
    <w:rsid w:val="0008553D"/>
    <w:rsid w:val="000855A7"/>
    <w:rsid w:val="0008573F"/>
    <w:rsid w:val="000857DE"/>
    <w:rsid w:val="000857E4"/>
    <w:rsid w:val="00085854"/>
    <w:rsid w:val="00085883"/>
    <w:rsid w:val="00085AB5"/>
    <w:rsid w:val="00085BB1"/>
    <w:rsid w:val="00085C93"/>
    <w:rsid w:val="00085D6F"/>
    <w:rsid w:val="00085D7A"/>
    <w:rsid w:val="00085DAB"/>
    <w:rsid w:val="00085E53"/>
    <w:rsid w:val="00085FEC"/>
    <w:rsid w:val="00086004"/>
    <w:rsid w:val="00086073"/>
    <w:rsid w:val="000860AE"/>
    <w:rsid w:val="000860BC"/>
    <w:rsid w:val="000860C8"/>
    <w:rsid w:val="00086167"/>
    <w:rsid w:val="00086190"/>
    <w:rsid w:val="00086261"/>
    <w:rsid w:val="00086275"/>
    <w:rsid w:val="000862DC"/>
    <w:rsid w:val="000862E0"/>
    <w:rsid w:val="0008631D"/>
    <w:rsid w:val="00086329"/>
    <w:rsid w:val="0008633F"/>
    <w:rsid w:val="00086697"/>
    <w:rsid w:val="000867F9"/>
    <w:rsid w:val="0008688A"/>
    <w:rsid w:val="000868E3"/>
    <w:rsid w:val="00086908"/>
    <w:rsid w:val="0008696F"/>
    <w:rsid w:val="00086A05"/>
    <w:rsid w:val="00086A12"/>
    <w:rsid w:val="00086AAC"/>
    <w:rsid w:val="00086C28"/>
    <w:rsid w:val="00086C6F"/>
    <w:rsid w:val="00086E88"/>
    <w:rsid w:val="000870DB"/>
    <w:rsid w:val="00087162"/>
    <w:rsid w:val="00087273"/>
    <w:rsid w:val="00087394"/>
    <w:rsid w:val="00087449"/>
    <w:rsid w:val="00087469"/>
    <w:rsid w:val="0008755B"/>
    <w:rsid w:val="000876AC"/>
    <w:rsid w:val="000876F6"/>
    <w:rsid w:val="0008774D"/>
    <w:rsid w:val="000877AD"/>
    <w:rsid w:val="00087835"/>
    <w:rsid w:val="0008788E"/>
    <w:rsid w:val="000878BD"/>
    <w:rsid w:val="00087939"/>
    <w:rsid w:val="00087A49"/>
    <w:rsid w:val="00087A82"/>
    <w:rsid w:val="00087ABF"/>
    <w:rsid w:val="00087BE6"/>
    <w:rsid w:val="00087C05"/>
    <w:rsid w:val="00087C4D"/>
    <w:rsid w:val="00087CF5"/>
    <w:rsid w:val="00087D12"/>
    <w:rsid w:val="00087D54"/>
    <w:rsid w:val="00087DBC"/>
    <w:rsid w:val="00087E79"/>
    <w:rsid w:val="00087FEE"/>
    <w:rsid w:val="00090078"/>
    <w:rsid w:val="0009020A"/>
    <w:rsid w:val="00090258"/>
    <w:rsid w:val="000902D8"/>
    <w:rsid w:val="000902F0"/>
    <w:rsid w:val="00090300"/>
    <w:rsid w:val="0009035C"/>
    <w:rsid w:val="00090429"/>
    <w:rsid w:val="00090570"/>
    <w:rsid w:val="000905B0"/>
    <w:rsid w:val="000905D4"/>
    <w:rsid w:val="000905D9"/>
    <w:rsid w:val="000906AA"/>
    <w:rsid w:val="000907B9"/>
    <w:rsid w:val="0009083A"/>
    <w:rsid w:val="00090900"/>
    <w:rsid w:val="00090926"/>
    <w:rsid w:val="00090978"/>
    <w:rsid w:val="000909BC"/>
    <w:rsid w:val="000909C9"/>
    <w:rsid w:val="000909DD"/>
    <w:rsid w:val="000909E4"/>
    <w:rsid w:val="00090A04"/>
    <w:rsid w:val="00090A1D"/>
    <w:rsid w:val="00090AAE"/>
    <w:rsid w:val="00090C77"/>
    <w:rsid w:val="00090D3F"/>
    <w:rsid w:val="00090F1B"/>
    <w:rsid w:val="00090F5C"/>
    <w:rsid w:val="00090F73"/>
    <w:rsid w:val="00090F91"/>
    <w:rsid w:val="00090FEE"/>
    <w:rsid w:val="0009102C"/>
    <w:rsid w:val="000914F7"/>
    <w:rsid w:val="00091531"/>
    <w:rsid w:val="000915A4"/>
    <w:rsid w:val="00091826"/>
    <w:rsid w:val="00091970"/>
    <w:rsid w:val="000919B2"/>
    <w:rsid w:val="000919D5"/>
    <w:rsid w:val="00091BBA"/>
    <w:rsid w:val="00091CC6"/>
    <w:rsid w:val="00091DBB"/>
    <w:rsid w:val="00091DDA"/>
    <w:rsid w:val="00091F23"/>
    <w:rsid w:val="00091F5D"/>
    <w:rsid w:val="00091FB5"/>
    <w:rsid w:val="00092127"/>
    <w:rsid w:val="000921CC"/>
    <w:rsid w:val="000921F1"/>
    <w:rsid w:val="000922B0"/>
    <w:rsid w:val="0009248A"/>
    <w:rsid w:val="0009251D"/>
    <w:rsid w:val="00092551"/>
    <w:rsid w:val="0009255D"/>
    <w:rsid w:val="0009267E"/>
    <w:rsid w:val="000926EC"/>
    <w:rsid w:val="00092760"/>
    <w:rsid w:val="00092832"/>
    <w:rsid w:val="000928E3"/>
    <w:rsid w:val="000928F5"/>
    <w:rsid w:val="00092A74"/>
    <w:rsid w:val="00092AB5"/>
    <w:rsid w:val="00092AB6"/>
    <w:rsid w:val="00092AC4"/>
    <w:rsid w:val="00092B77"/>
    <w:rsid w:val="00092CAA"/>
    <w:rsid w:val="00092CC8"/>
    <w:rsid w:val="00092CD0"/>
    <w:rsid w:val="00092E20"/>
    <w:rsid w:val="00092EDA"/>
    <w:rsid w:val="00092FAC"/>
    <w:rsid w:val="00092FB4"/>
    <w:rsid w:val="0009300F"/>
    <w:rsid w:val="00093093"/>
    <w:rsid w:val="000930A9"/>
    <w:rsid w:val="00093183"/>
    <w:rsid w:val="0009327F"/>
    <w:rsid w:val="0009329E"/>
    <w:rsid w:val="000932D5"/>
    <w:rsid w:val="000933AF"/>
    <w:rsid w:val="00093472"/>
    <w:rsid w:val="0009349D"/>
    <w:rsid w:val="000934F4"/>
    <w:rsid w:val="00093547"/>
    <w:rsid w:val="000935EA"/>
    <w:rsid w:val="00093600"/>
    <w:rsid w:val="0009366F"/>
    <w:rsid w:val="000936B6"/>
    <w:rsid w:val="00093865"/>
    <w:rsid w:val="0009399D"/>
    <w:rsid w:val="000939DE"/>
    <w:rsid w:val="00093B42"/>
    <w:rsid w:val="00093BDE"/>
    <w:rsid w:val="00093C16"/>
    <w:rsid w:val="00093CB5"/>
    <w:rsid w:val="00093CD1"/>
    <w:rsid w:val="00093CDC"/>
    <w:rsid w:val="00093D0E"/>
    <w:rsid w:val="00093D7E"/>
    <w:rsid w:val="00093DF3"/>
    <w:rsid w:val="00093E9D"/>
    <w:rsid w:val="00093FAF"/>
    <w:rsid w:val="00093FC6"/>
    <w:rsid w:val="00093FCB"/>
    <w:rsid w:val="00094128"/>
    <w:rsid w:val="00094134"/>
    <w:rsid w:val="00094308"/>
    <w:rsid w:val="00094347"/>
    <w:rsid w:val="000943A9"/>
    <w:rsid w:val="000943D3"/>
    <w:rsid w:val="00094431"/>
    <w:rsid w:val="00094446"/>
    <w:rsid w:val="000944EB"/>
    <w:rsid w:val="00094522"/>
    <w:rsid w:val="00094754"/>
    <w:rsid w:val="00094781"/>
    <w:rsid w:val="00094784"/>
    <w:rsid w:val="000948DA"/>
    <w:rsid w:val="00094990"/>
    <w:rsid w:val="000949A7"/>
    <w:rsid w:val="00094A04"/>
    <w:rsid w:val="00094A18"/>
    <w:rsid w:val="00094A2C"/>
    <w:rsid w:val="00094B12"/>
    <w:rsid w:val="00094DB6"/>
    <w:rsid w:val="00094EA8"/>
    <w:rsid w:val="00094EBC"/>
    <w:rsid w:val="00094F7F"/>
    <w:rsid w:val="00095113"/>
    <w:rsid w:val="00095123"/>
    <w:rsid w:val="0009512C"/>
    <w:rsid w:val="00095198"/>
    <w:rsid w:val="00095218"/>
    <w:rsid w:val="00095221"/>
    <w:rsid w:val="0009524B"/>
    <w:rsid w:val="000952EC"/>
    <w:rsid w:val="00095385"/>
    <w:rsid w:val="00095505"/>
    <w:rsid w:val="000956DB"/>
    <w:rsid w:val="00095714"/>
    <w:rsid w:val="00095727"/>
    <w:rsid w:val="00095862"/>
    <w:rsid w:val="000958EE"/>
    <w:rsid w:val="000959AB"/>
    <w:rsid w:val="000959FB"/>
    <w:rsid w:val="00095A8E"/>
    <w:rsid w:val="00095B6C"/>
    <w:rsid w:val="00095CA3"/>
    <w:rsid w:val="00095ED1"/>
    <w:rsid w:val="0009600A"/>
    <w:rsid w:val="0009609C"/>
    <w:rsid w:val="00096148"/>
    <w:rsid w:val="000962B6"/>
    <w:rsid w:val="0009634C"/>
    <w:rsid w:val="00096391"/>
    <w:rsid w:val="000963D6"/>
    <w:rsid w:val="00096414"/>
    <w:rsid w:val="00096447"/>
    <w:rsid w:val="000965D4"/>
    <w:rsid w:val="000965E7"/>
    <w:rsid w:val="0009684A"/>
    <w:rsid w:val="0009686B"/>
    <w:rsid w:val="000968A5"/>
    <w:rsid w:val="00096901"/>
    <w:rsid w:val="00096A36"/>
    <w:rsid w:val="00096A6F"/>
    <w:rsid w:val="00096BB5"/>
    <w:rsid w:val="00096BC9"/>
    <w:rsid w:val="00096BDC"/>
    <w:rsid w:val="00096C38"/>
    <w:rsid w:val="00096D98"/>
    <w:rsid w:val="00096ECB"/>
    <w:rsid w:val="00096F70"/>
    <w:rsid w:val="00096FED"/>
    <w:rsid w:val="00097154"/>
    <w:rsid w:val="000971D4"/>
    <w:rsid w:val="00097236"/>
    <w:rsid w:val="0009724B"/>
    <w:rsid w:val="000973B7"/>
    <w:rsid w:val="000973DD"/>
    <w:rsid w:val="000973E0"/>
    <w:rsid w:val="0009742A"/>
    <w:rsid w:val="00097496"/>
    <w:rsid w:val="000974AF"/>
    <w:rsid w:val="00097548"/>
    <w:rsid w:val="000975B4"/>
    <w:rsid w:val="0009760A"/>
    <w:rsid w:val="0009761F"/>
    <w:rsid w:val="0009769C"/>
    <w:rsid w:val="00097770"/>
    <w:rsid w:val="00097818"/>
    <w:rsid w:val="000978B0"/>
    <w:rsid w:val="00097986"/>
    <w:rsid w:val="000979E0"/>
    <w:rsid w:val="00097A12"/>
    <w:rsid w:val="00097A97"/>
    <w:rsid w:val="00097B0D"/>
    <w:rsid w:val="00097B15"/>
    <w:rsid w:val="00097D02"/>
    <w:rsid w:val="00097DA6"/>
    <w:rsid w:val="00097ED1"/>
    <w:rsid w:val="00097EFB"/>
    <w:rsid w:val="000A0083"/>
    <w:rsid w:val="000A0095"/>
    <w:rsid w:val="000A012F"/>
    <w:rsid w:val="000A01A2"/>
    <w:rsid w:val="000A01C2"/>
    <w:rsid w:val="000A02C6"/>
    <w:rsid w:val="000A0334"/>
    <w:rsid w:val="000A033B"/>
    <w:rsid w:val="000A0350"/>
    <w:rsid w:val="000A036B"/>
    <w:rsid w:val="000A037B"/>
    <w:rsid w:val="000A0412"/>
    <w:rsid w:val="000A0453"/>
    <w:rsid w:val="000A057E"/>
    <w:rsid w:val="000A05D7"/>
    <w:rsid w:val="000A0642"/>
    <w:rsid w:val="000A0712"/>
    <w:rsid w:val="000A0777"/>
    <w:rsid w:val="000A07C8"/>
    <w:rsid w:val="000A0812"/>
    <w:rsid w:val="000A0833"/>
    <w:rsid w:val="000A08BE"/>
    <w:rsid w:val="000A0A61"/>
    <w:rsid w:val="000A0BCA"/>
    <w:rsid w:val="000A0D7C"/>
    <w:rsid w:val="000A0EFC"/>
    <w:rsid w:val="000A0F0C"/>
    <w:rsid w:val="000A103E"/>
    <w:rsid w:val="000A103F"/>
    <w:rsid w:val="000A117F"/>
    <w:rsid w:val="000A1232"/>
    <w:rsid w:val="000A130F"/>
    <w:rsid w:val="000A13E2"/>
    <w:rsid w:val="000A1410"/>
    <w:rsid w:val="000A148C"/>
    <w:rsid w:val="000A14A1"/>
    <w:rsid w:val="000A1528"/>
    <w:rsid w:val="000A15A4"/>
    <w:rsid w:val="000A1608"/>
    <w:rsid w:val="000A161C"/>
    <w:rsid w:val="000A1647"/>
    <w:rsid w:val="000A172A"/>
    <w:rsid w:val="000A187E"/>
    <w:rsid w:val="000A1C4B"/>
    <w:rsid w:val="000A1F22"/>
    <w:rsid w:val="000A204A"/>
    <w:rsid w:val="000A20BC"/>
    <w:rsid w:val="000A217E"/>
    <w:rsid w:val="000A2203"/>
    <w:rsid w:val="000A2207"/>
    <w:rsid w:val="000A2209"/>
    <w:rsid w:val="000A2331"/>
    <w:rsid w:val="000A2339"/>
    <w:rsid w:val="000A23C9"/>
    <w:rsid w:val="000A2433"/>
    <w:rsid w:val="000A2606"/>
    <w:rsid w:val="000A2782"/>
    <w:rsid w:val="000A281F"/>
    <w:rsid w:val="000A2828"/>
    <w:rsid w:val="000A28B1"/>
    <w:rsid w:val="000A28CF"/>
    <w:rsid w:val="000A29DF"/>
    <w:rsid w:val="000A2A2B"/>
    <w:rsid w:val="000A2A41"/>
    <w:rsid w:val="000A2A4E"/>
    <w:rsid w:val="000A2A51"/>
    <w:rsid w:val="000A2AC0"/>
    <w:rsid w:val="000A2B61"/>
    <w:rsid w:val="000A2C05"/>
    <w:rsid w:val="000A2C09"/>
    <w:rsid w:val="000A2C1E"/>
    <w:rsid w:val="000A2C8A"/>
    <w:rsid w:val="000A2CD0"/>
    <w:rsid w:val="000A2CE0"/>
    <w:rsid w:val="000A2EAA"/>
    <w:rsid w:val="000A2EC8"/>
    <w:rsid w:val="000A2FD9"/>
    <w:rsid w:val="000A30E2"/>
    <w:rsid w:val="000A3109"/>
    <w:rsid w:val="000A3143"/>
    <w:rsid w:val="000A314A"/>
    <w:rsid w:val="000A3205"/>
    <w:rsid w:val="000A3281"/>
    <w:rsid w:val="000A339E"/>
    <w:rsid w:val="000A33DD"/>
    <w:rsid w:val="000A3487"/>
    <w:rsid w:val="000A34B1"/>
    <w:rsid w:val="000A35A8"/>
    <w:rsid w:val="000A363C"/>
    <w:rsid w:val="000A364F"/>
    <w:rsid w:val="000A368B"/>
    <w:rsid w:val="000A36AB"/>
    <w:rsid w:val="000A36DC"/>
    <w:rsid w:val="000A36EB"/>
    <w:rsid w:val="000A376C"/>
    <w:rsid w:val="000A3782"/>
    <w:rsid w:val="000A37A2"/>
    <w:rsid w:val="000A37C8"/>
    <w:rsid w:val="000A3A2A"/>
    <w:rsid w:val="000A3BBB"/>
    <w:rsid w:val="000A3E38"/>
    <w:rsid w:val="000A3F3E"/>
    <w:rsid w:val="000A3F56"/>
    <w:rsid w:val="000A3FE3"/>
    <w:rsid w:val="000A40AD"/>
    <w:rsid w:val="000A40DF"/>
    <w:rsid w:val="000A4123"/>
    <w:rsid w:val="000A4187"/>
    <w:rsid w:val="000A4198"/>
    <w:rsid w:val="000A41F7"/>
    <w:rsid w:val="000A4330"/>
    <w:rsid w:val="000A436C"/>
    <w:rsid w:val="000A4432"/>
    <w:rsid w:val="000A4481"/>
    <w:rsid w:val="000A44BC"/>
    <w:rsid w:val="000A459B"/>
    <w:rsid w:val="000A45AF"/>
    <w:rsid w:val="000A4658"/>
    <w:rsid w:val="000A4694"/>
    <w:rsid w:val="000A4812"/>
    <w:rsid w:val="000A48A6"/>
    <w:rsid w:val="000A48D6"/>
    <w:rsid w:val="000A4A99"/>
    <w:rsid w:val="000A4B82"/>
    <w:rsid w:val="000A4B94"/>
    <w:rsid w:val="000A4CF2"/>
    <w:rsid w:val="000A4D02"/>
    <w:rsid w:val="000A4EBD"/>
    <w:rsid w:val="000A504E"/>
    <w:rsid w:val="000A50AC"/>
    <w:rsid w:val="000A510D"/>
    <w:rsid w:val="000A5276"/>
    <w:rsid w:val="000A5361"/>
    <w:rsid w:val="000A53F2"/>
    <w:rsid w:val="000A5408"/>
    <w:rsid w:val="000A5416"/>
    <w:rsid w:val="000A5485"/>
    <w:rsid w:val="000A549D"/>
    <w:rsid w:val="000A5569"/>
    <w:rsid w:val="000A557A"/>
    <w:rsid w:val="000A55D4"/>
    <w:rsid w:val="000A562F"/>
    <w:rsid w:val="000A56AE"/>
    <w:rsid w:val="000A56B9"/>
    <w:rsid w:val="000A56F7"/>
    <w:rsid w:val="000A5875"/>
    <w:rsid w:val="000A58FA"/>
    <w:rsid w:val="000A5934"/>
    <w:rsid w:val="000A5B57"/>
    <w:rsid w:val="000A5C16"/>
    <w:rsid w:val="000A5C86"/>
    <w:rsid w:val="000A5D09"/>
    <w:rsid w:val="000A5D21"/>
    <w:rsid w:val="000A5D32"/>
    <w:rsid w:val="000A5EBC"/>
    <w:rsid w:val="000A5F5B"/>
    <w:rsid w:val="000A5FB2"/>
    <w:rsid w:val="000A5FF6"/>
    <w:rsid w:val="000A603F"/>
    <w:rsid w:val="000A6085"/>
    <w:rsid w:val="000A6100"/>
    <w:rsid w:val="000A61A4"/>
    <w:rsid w:val="000A61E4"/>
    <w:rsid w:val="000A6290"/>
    <w:rsid w:val="000A62C5"/>
    <w:rsid w:val="000A642B"/>
    <w:rsid w:val="000A6439"/>
    <w:rsid w:val="000A6550"/>
    <w:rsid w:val="000A657F"/>
    <w:rsid w:val="000A65DA"/>
    <w:rsid w:val="000A661B"/>
    <w:rsid w:val="000A674C"/>
    <w:rsid w:val="000A6818"/>
    <w:rsid w:val="000A691E"/>
    <w:rsid w:val="000A6A17"/>
    <w:rsid w:val="000A6A2E"/>
    <w:rsid w:val="000A6A41"/>
    <w:rsid w:val="000A6B33"/>
    <w:rsid w:val="000A6C4A"/>
    <w:rsid w:val="000A6C50"/>
    <w:rsid w:val="000A6D2C"/>
    <w:rsid w:val="000A6DFC"/>
    <w:rsid w:val="000A6E02"/>
    <w:rsid w:val="000A6E2C"/>
    <w:rsid w:val="000A6F42"/>
    <w:rsid w:val="000A70EE"/>
    <w:rsid w:val="000A74DB"/>
    <w:rsid w:val="000A7633"/>
    <w:rsid w:val="000A7686"/>
    <w:rsid w:val="000A77A9"/>
    <w:rsid w:val="000A784F"/>
    <w:rsid w:val="000A7891"/>
    <w:rsid w:val="000A78F6"/>
    <w:rsid w:val="000A7A43"/>
    <w:rsid w:val="000A7CD4"/>
    <w:rsid w:val="000A7D24"/>
    <w:rsid w:val="000A7DBD"/>
    <w:rsid w:val="000A7E5C"/>
    <w:rsid w:val="000A7F3C"/>
    <w:rsid w:val="000A7FC6"/>
    <w:rsid w:val="000A7FF1"/>
    <w:rsid w:val="000B00A2"/>
    <w:rsid w:val="000B01E0"/>
    <w:rsid w:val="000B030F"/>
    <w:rsid w:val="000B0334"/>
    <w:rsid w:val="000B03DF"/>
    <w:rsid w:val="000B054E"/>
    <w:rsid w:val="000B05BE"/>
    <w:rsid w:val="000B0616"/>
    <w:rsid w:val="000B0646"/>
    <w:rsid w:val="000B072B"/>
    <w:rsid w:val="000B078C"/>
    <w:rsid w:val="000B07E0"/>
    <w:rsid w:val="000B096C"/>
    <w:rsid w:val="000B09E7"/>
    <w:rsid w:val="000B0AA3"/>
    <w:rsid w:val="000B0AD0"/>
    <w:rsid w:val="000B0B44"/>
    <w:rsid w:val="000B0BAD"/>
    <w:rsid w:val="000B0C54"/>
    <w:rsid w:val="000B0D01"/>
    <w:rsid w:val="000B0DCA"/>
    <w:rsid w:val="000B0E7E"/>
    <w:rsid w:val="000B0ECE"/>
    <w:rsid w:val="000B0F3D"/>
    <w:rsid w:val="000B0FF2"/>
    <w:rsid w:val="000B1039"/>
    <w:rsid w:val="000B1111"/>
    <w:rsid w:val="000B116B"/>
    <w:rsid w:val="000B1281"/>
    <w:rsid w:val="000B1288"/>
    <w:rsid w:val="000B131C"/>
    <w:rsid w:val="000B14AF"/>
    <w:rsid w:val="000B1547"/>
    <w:rsid w:val="000B157C"/>
    <w:rsid w:val="000B15EF"/>
    <w:rsid w:val="000B15F9"/>
    <w:rsid w:val="000B1625"/>
    <w:rsid w:val="000B1629"/>
    <w:rsid w:val="000B1860"/>
    <w:rsid w:val="000B18EF"/>
    <w:rsid w:val="000B198F"/>
    <w:rsid w:val="000B1A73"/>
    <w:rsid w:val="000B1DDB"/>
    <w:rsid w:val="000B1E8C"/>
    <w:rsid w:val="000B20E1"/>
    <w:rsid w:val="000B21C7"/>
    <w:rsid w:val="000B228B"/>
    <w:rsid w:val="000B2307"/>
    <w:rsid w:val="000B2318"/>
    <w:rsid w:val="000B23CE"/>
    <w:rsid w:val="000B245C"/>
    <w:rsid w:val="000B249D"/>
    <w:rsid w:val="000B24FD"/>
    <w:rsid w:val="000B2554"/>
    <w:rsid w:val="000B258A"/>
    <w:rsid w:val="000B2610"/>
    <w:rsid w:val="000B26FB"/>
    <w:rsid w:val="000B27F7"/>
    <w:rsid w:val="000B28FB"/>
    <w:rsid w:val="000B2AC6"/>
    <w:rsid w:val="000B2B05"/>
    <w:rsid w:val="000B2BAE"/>
    <w:rsid w:val="000B2BF7"/>
    <w:rsid w:val="000B2C1A"/>
    <w:rsid w:val="000B2D31"/>
    <w:rsid w:val="000B2E73"/>
    <w:rsid w:val="000B2F06"/>
    <w:rsid w:val="000B3156"/>
    <w:rsid w:val="000B31E3"/>
    <w:rsid w:val="000B31EC"/>
    <w:rsid w:val="000B325B"/>
    <w:rsid w:val="000B32D3"/>
    <w:rsid w:val="000B32FC"/>
    <w:rsid w:val="000B3389"/>
    <w:rsid w:val="000B36FA"/>
    <w:rsid w:val="000B3774"/>
    <w:rsid w:val="000B379B"/>
    <w:rsid w:val="000B3871"/>
    <w:rsid w:val="000B38B2"/>
    <w:rsid w:val="000B38C1"/>
    <w:rsid w:val="000B38C5"/>
    <w:rsid w:val="000B38EF"/>
    <w:rsid w:val="000B3928"/>
    <w:rsid w:val="000B395E"/>
    <w:rsid w:val="000B3972"/>
    <w:rsid w:val="000B3A3B"/>
    <w:rsid w:val="000B3ABE"/>
    <w:rsid w:val="000B3B2A"/>
    <w:rsid w:val="000B3BBC"/>
    <w:rsid w:val="000B3C12"/>
    <w:rsid w:val="000B3C65"/>
    <w:rsid w:val="000B3D25"/>
    <w:rsid w:val="000B3DAD"/>
    <w:rsid w:val="000B3DF0"/>
    <w:rsid w:val="000B3E75"/>
    <w:rsid w:val="000B3EB2"/>
    <w:rsid w:val="000B40E5"/>
    <w:rsid w:val="000B41B2"/>
    <w:rsid w:val="000B41C7"/>
    <w:rsid w:val="000B422A"/>
    <w:rsid w:val="000B4282"/>
    <w:rsid w:val="000B42C3"/>
    <w:rsid w:val="000B43B4"/>
    <w:rsid w:val="000B4502"/>
    <w:rsid w:val="000B451C"/>
    <w:rsid w:val="000B4632"/>
    <w:rsid w:val="000B474C"/>
    <w:rsid w:val="000B48B7"/>
    <w:rsid w:val="000B49C8"/>
    <w:rsid w:val="000B4B19"/>
    <w:rsid w:val="000B4BED"/>
    <w:rsid w:val="000B4C09"/>
    <w:rsid w:val="000B4C87"/>
    <w:rsid w:val="000B4CB8"/>
    <w:rsid w:val="000B4CDD"/>
    <w:rsid w:val="000B4FDB"/>
    <w:rsid w:val="000B5029"/>
    <w:rsid w:val="000B507F"/>
    <w:rsid w:val="000B5279"/>
    <w:rsid w:val="000B531A"/>
    <w:rsid w:val="000B538D"/>
    <w:rsid w:val="000B53B6"/>
    <w:rsid w:val="000B53CC"/>
    <w:rsid w:val="000B543F"/>
    <w:rsid w:val="000B5440"/>
    <w:rsid w:val="000B54A1"/>
    <w:rsid w:val="000B5730"/>
    <w:rsid w:val="000B57C8"/>
    <w:rsid w:val="000B57E6"/>
    <w:rsid w:val="000B58F2"/>
    <w:rsid w:val="000B5902"/>
    <w:rsid w:val="000B59DA"/>
    <w:rsid w:val="000B59DD"/>
    <w:rsid w:val="000B5B77"/>
    <w:rsid w:val="000B5BCA"/>
    <w:rsid w:val="000B5BF7"/>
    <w:rsid w:val="000B5C4D"/>
    <w:rsid w:val="000B5C8B"/>
    <w:rsid w:val="000B5C8F"/>
    <w:rsid w:val="000B5E39"/>
    <w:rsid w:val="000B5EE1"/>
    <w:rsid w:val="000B5F94"/>
    <w:rsid w:val="000B5FFE"/>
    <w:rsid w:val="000B60DC"/>
    <w:rsid w:val="000B618E"/>
    <w:rsid w:val="000B618F"/>
    <w:rsid w:val="000B61CE"/>
    <w:rsid w:val="000B6292"/>
    <w:rsid w:val="000B635E"/>
    <w:rsid w:val="000B6527"/>
    <w:rsid w:val="000B657C"/>
    <w:rsid w:val="000B67C0"/>
    <w:rsid w:val="000B67E5"/>
    <w:rsid w:val="000B6845"/>
    <w:rsid w:val="000B68B8"/>
    <w:rsid w:val="000B68C9"/>
    <w:rsid w:val="000B6904"/>
    <w:rsid w:val="000B6916"/>
    <w:rsid w:val="000B6926"/>
    <w:rsid w:val="000B6962"/>
    <w:rsid w:val="000B69FB"/>
    <w:rsid w:val="000B6A22"/>
    <w:rsid w:val="000B6A23"/>
    <w:rsid w:val="000B6AB0"/>
    <w:rsid w:val="000B6ABA"/>
    <w:rsid w:val="000B6BBD"/>
    <w:rsid w:val="000B6BCE"/>
    <w:rsid w:val="000B6DA4"/>
    <w:rsid w:val="000B6E99"/>
    <w:rsid w:val="000B6F40"/>
    <w:rsid w:val="000B6FBF"/>
    <w:rsid w:val="000B6FDF"/>
    <w:rsid w:val="000B7084"/>
    <w:rsid w:val="000B71E5"/>
    <w:rsid w:val="000B7235"/>
    <w:rsid w:val="000B7241"/>
    <w:rsid w:val="000B725F"/>
    <w:rsid w:val="000B739E"/>
    <w:rsid w:val="000B73F0"/>
    <w:rsid w:val="000B75C0"/>
    <w:rsid w:val="000B7645"/>
    <w:rsid w:val="000B7647"/>
    <w:rsid w:val="000B76D0"/>
    <w:rsid w:val="000B76E9"/>
    <w:rsid w:val="000B7874"/>
    <w:rsid w:val="000B78E4"/>
    <w:rsid w:val="000B7A68"/>
    <w:rsid w:val="000B7BD4"/>
    <w:rsid w:val="000B7C08"/>
    <w:rsid w:val="000B7C25"/>
    <w:rsid w:val="000B7D50"/>
    <w:rsid w:val="000B7DC3"/>
    <w:rsid w:val="000B7E77"/>
    <w:rsid w:val="000C0064"/>
    <w:rsid w:val="000C007B"/>
    <w:rsid w:val="000C009F"/>
    <w:rsid w:val="000C00F0"/>
    <w:rsid w:val="000C027E"/>
    <w:rsid w:val="000C027F"/>
    <w:rsid w:val="000C03A3"/>
    <w:rsid w:val="000C03B6"/>
    <w:rsid w:val="000C04AB"/>
    <w:rsid w:val="000C0526"/>
    <w:rsid w:val="000C054A"/>
    <w:rsid w:val="000C0588"/>
    <w:rsid w:val="000C06ED"/>
    <w:rsid w:val="000C076E"/>
    <w:rsid w:val="000C0864"/>
    <w:rsid w:val="000C098D"/>
    <w:rsid w:val="000C09AC"/>
    <w:rsid w:val="000C0A10"/>
    <w:rsid w:val="000C0B0E"/>
    <w:rsid w:val="000C0B0F"/>
    <w:rsid w:val="000C0B3E"/>
    <w:rsid w:val="000C0C88"/>
    <w:rsid w:val="000C0D90"/>
    <w:rsid w:val="000C0D93"/>
    <w:rsid w:val="000C0DAA"/>
    <w:rsid w:val="000C0DEC"/>
    <w:rsid w:val="000C103E"/>
    <w:rsid w:val="000C10FE"/>
    <w:rsid w:val="000C1157"/>
    <w:rsid w:val="000C129B"/>
    <w:rsid w:val="000C1370"/>
    <w:rsid w:val="000C1424"/>
    <w:rsid w:val="000C1463"/>
    <w:rsid w:val="000C14F7"/>
    <w:rsid w:val="000C15EF"/>
    <w:rsid w:val="000C1633"/>
    <w:rsid w:val="000C16BB"/>
    <w:rsid w:val="000C16EE"/>
    <w:rsid w:val="000C1701"/>
    <w:rsid w:val="000C173A"/>
    <w:rsid w:val="000C176B"/>
    <w:rsid w:val="000C187C"/>
    <w:rsid w:val="000C18FE"/>
    <w:rsid w:val="000C1A08"/>
    <w:rsid w:val="000C1BCD"/>
    <w:rsid w:val="000C1C1B"/>
    <w:rsid w:val="000C1CBA"/>
    <w:rsid w:val="000C1D38"/>
    <w:rsid w:val="000C1D7E"/>
    <w:rsid w:val="000C1E17"/>
    <w:rsid w:val="000C1F59"/>
    <w:rsid w:val="000C2049"/>
    <w:rsid w:val="000C2150"/>
    <w:rsid w:val="000C2169"/>
    <w:rsid w:val="000C218D"/>
    <w:rsid w:val="000C21F6"/>
    <w:rsid w:val="000C2249"/>
    <w:rsid w:val="000C2252"/>
    <w:rsid w:val="000C22DE"/>
    <w:rsid w:val="000C2320"/>
    <w:rsid w:val="000C232C"/>
    <w:rsid w:val="000C2373"/>
    <w:rsid w:val="000C23E4"/>
    <w:rsid w:val="000C2442"/>
    <w:rsid w:val="000C2489"/>
    <w:rsid w:val="000C2550"/>
    <w:rsid w:val="000C255B"/>
    <w:rsid w:val="000C25B2"/>
    <w:rsid w:val="000C2667"/>
    <w:rsid w:val="000C26C0"/>
    <w:rsid w:val="000C26ED"/>
    <w:rsid w:val="000C274D"/>
    <w:rsid w:val="000C27AB"/>
    <w:rsid w:val="000C27B0"/>
    <w:rsid w:val="000C27BB"/>
    <w:rsid w:val="000C27D3"/>
    <w:rsid w:val="000C27D8"/>
    <w:rsid w:val="000C281A"/>
    <w:rsid w:val="000C293A"/>
    <w:rsid w:val="000C29FA"/>
    <w:rsid w:val="000C2A35"/>
    <w:rsid w:val="000C2B38"/>
    <w:rsid w:val="000C2B5E"/>
    <w:rsid w:val="000C2D11"/>
    <w:rsid w:val="000C2D41"/>
    <w:rsid w:val="000C2E46"/>
    <w:rsid w:val="000C2E88"/>
    <w:rsid w:val="000C2F0D"/>
    <w:rsid w:val="000C2F30"/>
    <w:rsid w:val="000C2F7D"/>
    <w:rsid w:val="000C301C"/>
    <w:rsid w:val="000C30F7"/>
    <w:rsid w:val="000C311D"/>
    <w:rsid w:val="000C317E"/>
    <w:rsid w:val="000C3231"/>
    <w:rsid w:val="000C32AF"/>
    <w:rsid w:val="000C32C8"/>
    <w:rsid w:val="000C331A"/>
    <w:rsid w:val="000C3476"/>
    <w:rsid w:val="000C34F8"/>
    <w:rsid w:val="000C3519"/>
    <w:rsid w:val="000C3610"/>
    <w:rsid w:val="000C3718"/>
    <w:rsid w:val="000C37CA"/>
    <w:rsid w:val="000C3867"/>
    <w:rsid w:val="000C3873"/>
    <w:rsid w:val="000C38C7"/>
    <w:rsid w:val="000C38FB"/>
    <w:rsid w:val="000C397C"/>
    <w:rsid w:val="000C3A00"/>
    <w:rsid w:val="000C3A75"/>
    <w:rsid w:val="000C3AC6"/>
    <w:rsid w:val="000C3B2B"/>
    <w:rsid w:val="000C3BC3"/>
    <w:rsid w:val="000C3BCC"/>
    <w:rsid w:val="000C3D09"/>
    <w:rsid w:val="000C3D2E"/>
    <w:rsid w:val="000C3D43"/>
    <w:rsid w:val="000C3DA3"/>
    <w:rsid w:val="000C3DCF"/>
    <w:rsid w:val="000C3F0C"/>
    <w:rsid w:val="000C3F62"/>
    <w:rsid w:val="000C40F0"/>
    <w:rsid w:val="000C4100"/>
    <w:rsid w:val="000C4133"/>
    <w:rsid w:val="000C4218"/>
    <w:rsid w:val="000C4282"/>
    <w:rsid w:val="000C43DF"/>
    <w:rsid w:val="000C4465"/>
    <w:rsid w:val="000C4490"/>
    <w:rsid w:val="000C44C5"/>
    <w:rsid w:val="000C450A"/>
    <w:rsid w:val="000C4515"/>
    <w:rsid w:val="000C45D3"/>
    <w:rsid w:val="000C4656"/>
    <w:rsid w:val="000C4658"/>
    <w:rsid w:val="000C46AC"/>
    <w:rsid w:val="000C4747"/>
    <w:rsid w:val="000C48AE"/>
    <w:rsid w:val="000C4966"/>
    <w:rsid w:val="000C4A52"/>
    <w:rsid w:val="000C4A78"/>
    <w:rsid w:val="000C4AF0"/>
    <w:rsid w:val="000C4BC0"/>
    <w:rsid w:val="000C4BE7"/>
    <w:rsid w:val="000C4C22"/>
    <w:rsid w:val="000C4DDB"/>
    <w:rsid w:val="000C4FD1"/>
    <w:rsid w:val="000C5085"/>
    <w:rsid w:val="000C50A6"/>
    <w:rsid w:val="000C513C"/>
    <w:rsid w:val="000C51DC"/>
    <w:rsid w:val="000C5374"/>
    <w:rsid w:val="000C53E1"/>
    <w:rsid w:val="000C53FE"/>
    <w:rsid w:val="000C54A8"/>
    <w:rsid w:val="000C5654"/>
    <w:rsid w:val="000C5757"/>
    <w:rsid w:val="000C5824"/>
    <w:rsid w:val="000C58ED"/>
    <w:rsid w:val="000C596F"/>
    <w:rsid w:val="000C5A71"/>
    <w:rsid w:val="000C5BFF"/>
    <w:rsid w:val="000C5C80"/>
    <w:rsid w:val="000C5D0A"/>
    <w:rsid w:val="000C5E81"/>
    <w:rsid w:val="000C5F7A"/>
    <w:rsid w:val="000C5F89"/>
    <w:rsid w:val="000C6015"/>
    <w:rsid w:val="000C621D"/>
    <w:rsid w:val="000C626C"/>
    <w:rsid w:val="000C6288"/>
    <w:rsid w:val="000C62FB"/>
    <w:rsid w:val="000C64D8"/>
    <w:rsid w:val="000C65E9"/>
    <w:rsid w:val="000C66DB"/>
    <w:rsid w:val="000C6787"/>
    <w:rsid w:val="000C6824"/>
    <w:rsid w:val="000C6838"/>
    <w:rsid w:val="000C685C"/>
    <w:rsid w:val="000C68C4"/>
    <w:rsid w:val="000C68C8"/>
    <w:rsid w:val="000C695F"/>
    <w:rsid w:val="000C69C6"/>
    <w:rsid w:val="000C6A03"/>
    <w:rsid w:val="000C6A11"/>
    <w:rsid w:val="000C6B03"/>
    <w:rsid w:val="000C6B4D"/>
    <w:rsid w:val="000C6B82"/>
    <w:rsid w:val="000C6BD5"/>
    <w:rsid w:val="000C6C3A"/>
    <w:rsid w:val="000C6C3C"/>
    <w:rsid w:val="000C6C5D"/>
    <w:rsid w:val="000C6F42"/>
    <w:rsid w:val="000C6F76"/>
    <w:rsid w:val="000C7043"/>
    <w:rsid w:val="000C706B"/>
    <w:rsid w:val="000C716F"/>
    <w:rsid w:val="000C71A9"/>
    <w:rsid w:val="000C7242"/>
    <w:rsid w:val="000C7277"/>
    <w:rsid w:val="000C727A"/>
    <w:rsid w:val="000C72CE"/>
    <w:rsid w:val="000C738B"/>
    <w:rsid w:val="000C73F9"/>
    <w:rsid w:val="000C7410"/>
    <w:rsid w:val="000C7478"/>
    <w:rsid w:val="000C754E"/>
    <w:rsid w:val="000C75D8"/>
    <w:rsid w:val="000C7660"/>
    <w:rsid w:val="000C7681"/>
    <w:rsid w:val="000C77E8"/>
    <w:rsid w:val="000C7846"/>
    <w:rsid w:val="000C7854"/>
    <w:rsid w:val="000C7996"/>
    <w:rsid w:val="000C7A66"/>
    <w:rsid w:val="000C7AE2"/>
    <w:rsid w:val="000C7B04"/>
    <w:rsid w:val="000C7B2C"/>
    <w:rsid w:val="000C7BDB"/>
    <w:rsid w:val="000C7BFB"/>
    <w:rsid w:val="000C7D3C"/>
    <w:rsid w:val="000C7D52"/>
    <w:rsid w:val="000C7D58"/>
    <w:rsid w:val="000C7E0C"/>
    <w:rsid w:val="000C7FE8"/>
    <w:rsid w:val="000D00CA"/>
    <w:rsid w:val="000D033E"/>
    <w:rsid w:val="000D036D"/>
    <w:rsid w:val="000D03A3"/>
    <w:rsid w:val="000D0465"/>
    <w:rsid w:val="000D048B"/>
    <w:rsid w:val="000D04D0"/>
    <w:rsid w:val="000D0548"/>
    <w:rsid w:val="000D059D"/>
    <w:rsid w:val="000D05B8"/>
    <w:rsid w:val="000D05EA"/>
    <w:rsid w:val="000D0696"/>
    <w:rsid w:val="000D06F2"/>
    <w:rsid w:val="000D0755"/>
    <w:rsid w:val="000D07AF"/>
    <w:rsid w:val="000D0802"/>
    <w:rsid w:val="000D089E"/>
    <w:rsid w:val="000D08A3"/>
    <w:rsid w:val="000D08A9"/>
    <w:rsid w:val="000D09B5"/>
    <w:rsid w:val="000D09FB"/>
    <w:rsid w:val="000D09FC"/>
    <w:rsid w:val="000D0AC0"/>
    <w:rsid w:val="000D0B64"/>
    <w:rsid w:val="000D0C8A"/>
    <w:rsid w:val="000D0C8E"/>
    <w:rsid w:val="000D0D25"/>
    <w:rsid w:val="000D0D81"/>
    <w:rsid w:val="000D0D99"/>
    <w:rsid w:val="000D0E0A"/>
    <w:rsid w:val="000D0EF4"/>
    <w:rsid w:val="000D1017"/>
    <w:rsid w:val="000D11ED"/>
    <w:rsid w:val="000D14A3"/>
    <w:rsid w:val="000D151C"/>
    <w:rsid w:val="000D1526"/>
    <w:rsid w:val="000D1598"/>
    <w:rsid w:val="000D1683"/>
    <w:rsid w:val="000D175E"/>
    <w:rsid w:val="000D1784"/>
    <w:rsid w:val="000D1A77"/>
    <w:rsid w:val="000D1C28"/>
    <w:rsid w:val="000D1D2C"/>
    <w:rsid w:val="000D1DC2"/>
    <w:rsid w:val="000D1DCF"/>
    <w:rsid w:val="000D1E16"/>
    <w:rsid w:val="000D1F41"/>
    <w:rsid w:val="000D1F8C"/>
    <w:rsid w:val="000D1FBB"/>
    <w:rsid w:val="000D20BC"/>
    <w:rsid w:val="000D218E"/>
    <w:rsid w:val="000D21B9"/>
    <w:rsid w:val="000D21F2"/>
    <w:rsid w:val="000D2285"/>
    <w:rsid w:val="000D2301"/>
    <w:rsid w:val="000D23E1"/>
    <w:rsid w:val="000D254C"/>
    <w:rsid w:val="000D264E"/>
    <w:rsid w:val="000D265B"/>
    <w:rsid w:val="000D2720"/>
    <w:rsid w:val="000D2760"/>
    <w:rsid w:val="000D27AC"/>
    <w:rsid w:val="000D29B2"/>
    <w:rsid w:val="000D2AE9"/>
    <w:rsid w:val="000D2B18"/>
    <w:rsid w:val="000D2B2D"/>
    <w:rsid w:val="000D2B64"/>
    <w:rsid w:val="000D2B70"/>
    <w:rsid w:val="000D2BFE"/>
    <w:rsid w:val="000D2DCA"/>
    <w:rsid w:val="000D2DFD"/>
    <w:rsid w:val="000D2E22"/>
    <w:rsid w:val="000D2E90"/>
    <w:rsid w:val="000D2FBD"/>
    <w:rsid w:val="000D3174"/>
    <w:rsid w:val="000D31C7"/>
    <w:rsid w:val="000D3287"/>
    <w:rsid w:val="000D3333"/>
    <w:rsid w:val="000D342C"/>
    <w:rsid w:val="000D3523"/>
    <w:rsid w:val="000D35AB"/>
    <w:rsid w:val="000D35D2"/>
    <w:rsid w:val="000D3605"/>
    <w:rsid w:val="000D360D"/>
    <w:rsid w:val="000D362E"/>
    <w:rsid w:val="000D3664"/>
    <w:rsid w:val="000D367C"/>
    <w:rsid w:val="000D372C"/>
    <w:rsid w:val="000D37AA"/>
    <w:rsid w:val="000D37D2"/>
    <w:rsid w:val="000D37FA"/>
    <w:rsid w:val="000D38BF"/>
    <w:rsid w:val="000D38DE"/>
    <w:rsid w:val="000D38DF"/>
    <w:rsid w:val="000D3906"/>
    <w:rsid w:val="000D3B68"/>
    <w:rsid w:val="000D3D77"/>
    <w:rsid w:val="000D3EB2"/>
    <w:rsid w:val="000D3F4B"/>
    <w:rsid w:val="000D3F74"/>
    <w:rsid w:val="000D3FB8"/>
    <w:rsid w:val="000D3FEE"/>
    <w:rsid w:val="000D40E9"/>
    <w:rsid w:val="000D431A"/>
    <w:rsid w:val="000D434B"/>
    <w:rsid w:val="000D4532"/>
    <w:rsid w:val="000D45FB"/>
    <w:rsid w:val="000D4658"/>
    <w:rsid w:val="000D479A"/>
    <w:rsid w:val="000D47D5"/>
    <w:rsid w:val="000D48E0"/>
    <w:rsid w:val="000D48F0"/>
    <w:rsid w:val="000D493D"/>
    <w:rsid w:val="000D4AA0"/>
    <w:rsid w:val="000D4ACA"/>
    <w:rsid w:val="000D4AEE"/>
    <w:rsid w:val="000D4AFA"/>
    <w:rsid w:val="000D4B59"/>
    <w:rsid w:val="000D4BB7"/>
    <w:rsid w:val="000D4C8F"/>
    <w:rsid w:val="000D4D8E"/>
    <w:rsid w:val="000D4DC5"/>
    <w:rsid w:val="000D4FAB"/>
    <w:rsid w:val="000D5042"/>
    <w:rsid w:val="000D5094"/>
    <w:rsid w:val="000D50C4"/>
    <w:rsid w:val="000D50EE"/>
    <w:rsid w:val="000D52B2"/>
    <w:rsid w:val="000D52CF"/>
    <w:rsid w:val="000D53FB"/>
    <w:rsid w:val="000D55BD"/>
    <w:rsid w:val="000D55BE"/>
    <w:rsid w:val="000D56C1"/>
    <w:rsid w:val="000D57A5"/>
    <w:rsid w:val="000D583B"/>
    <w:rsid w:val="000D58E7"/>
    <w:rsid w:val="000D5982"/>
    <w:rsid w:val="000D5992"/>
    <w:rsid w:val="000D59AC"/>
    <w:rsid w:val="000D59EF"/>
    <w:rsid w:val="000D5A1B"/>
    <w:rsid w:val="000D5A75"/>
    <w:rsid w:val="000D5C36"/>
    <w:rsid w:val="000D5C37"/>
    <w:rsid w:val="000D5C65"/>
    <w:rsid w:val="000D5CE9"/>
    <w:rsid w:val="000D5CFC"/>
    <w:rsid w:val="000D5D9E"/>
    <w:rsid w:val="000D5DD4"/>
    <w:rsid w:val="000D5ED6"/>
    <w:rsid w:val="000D5F56"/>
    <w:rsid w:val="000D5F71"/>
    <w:rsid w:val="000D6074"/>
    <w:rsid w:val="000D6132"/>
    <w:rsid w:val="000D6198"/>
    <w:rsid w:val="000D62E4"/>
    <w:rsid w:val="000D6334"/>
    <w:rsid w:val="000D6345"/>
    <w:rsid w:val="000D63AF"/>
    <w:rsid w:val="000D63D8"/>
    <w:rsid w:val="000D6442"/>
    <w:rsid w:val="000D6540"/>
    <w:rsid w:val="000D65E2"/>
    <w:rsid w:val="000D672E"/>
    <w:rsid w:val="000D67D8"/>
    <w:rsid w:val="000D689E"/>
    <w:rsid w:val="000D6907"/>
    <w:rsid w:val="000D694E"/>
    <w:rsid w:val="000D697D"/>
    <w:rsid w:val="000D69A0"/>
    <w:rsid w:val="000D6C4B"/>
    <w:rsid w:val="000D6D33"/>
    <w:rsid w:val="000D6E1A"/>
    <w:rsid w:val="000D6E80"/>
    <w:rsid w:val="000D6F13"/>
    <w:rsid w:val="000D71FB"/>
    <w:rsid w:val="000D7226"/>
    <w:rsid w:val="000D725C"/>
    <w:rsid w:val="000D729A"/>
    <w:rsid w:val="000D73D2"/>
    <w:rsid w:val="000D7465"/>
    <w:rsid w:val="000D7505"/>
    <w:rsid w:val="000D7506"/>
    <w:rsid w:val="000D76EE"/>
    <w:rsid w:val="000D77A2"/>
    <w:rsid w:val="000D77C6"/>
    <w:rsid w:val="000D7842"/>
    <w:rsid w:val="000D78AF"/>
    <w:rsid w:val="000D790E"/>
    <w:rsid w:val="000D7951"/>
    <w:rsid w:val="000D7A98"/>
    <w:rsid w:val="000D7B3B"/>
    <w:rsid w:val="000D7B3F"/>
    <w:rsid w:val="000D7B85"/>
    <w:rsid w:val="000D7BCF"/>
    <w:rsid w:val="000D7C9E"/>
    <w:rsid w:val="000D7D5E"/>
    <w:rsid w:val="000D7DD8"/>
    <w:rsid w:val="000D7E0F"/>
    <w:rsid w:val="000D7E4A"/>
    <w:rsid w:val="000D7E90"/>
    <w:rsid w:val="000D7F56"/>
    <w:rsid w:val="000E0067"/>
    <w:rsid w:val="000E008F"/>
    <w:rsid w:val="000E0105"/>
    <w:rsid w:val="000E018F"/>
    <w:rsid w:val="000E01BE"/>
    <w:rsid w:val="000E0230"/>
    <w:rsid w:val="000E02C7"/>
    <w:rsid w:val="000E035F"/>
    <w:rsid w:val="000E03CE"/>
    <w:rsid w:val="000E0479"/>
    <w:rsid w:val="000E059C"/>
    <w:rsid w:val="000E0600"/>
    <w:rsid w:val="000E06EF"/>
    <w:rsid w:val="000E0908"/>
    <w:rsid w:val="000E099C"/>
    <w:rsid w:val="000E09F4"/>
    <w:rsid w:val="000E0A1A"/>
    <w:rsid w:val="000E0B89"/>
    <w:rsid w:val="000E0B8B"/>
    <w:rsid w:val="000E0BD8"/>
    <w:rsid w:val="000E0CE8"/>
    <w:rsid w:val="000E0D08"/>
    <w:rsid w:val="000E0DA0"/>
    <w:rsid w:val="000E0E6D"/>
    <w:rsid w:val="000E0E9C"/>
    <w:rsid w:val="000E0F3B"/>
    <w:rsid w:val="000E0FB2"/>
    <w:rsid w:val="000E0FF1"/>
    <w:rsid w:val="000E104A"/>
    <w:rsid w:val="000E10D0"/>
    <w:rsid w:val="000E1102"/>
    <w:rsid w:val="000E119D"/>
    <w:rsid w:val="000E11E7"/>
    <w:rsid w:val="000E12EF"/>
    <w:rsid w:val="000E1420"/>
    <w:rsid w:val="000E145C"/>
    <w:rsid w:val="000E1589"/>
    <w:rsid w:val="000E15C3"/>
    <w:rsid w:val="000E16DA"/>
    <w:rsid w:val="000E172A"/>
    <w:rsid w:val="000E17B0"/>
    <w:rsid w:val="000E1873"/>
    <w:rsid w:val="000E1A66"/>
    <w:rsid w:val="000E1AA7"/>
    <w:rsid w:val="000E1AB6"/>
    <w:rsid w:val="000E1ACA"/>
    <w:rsid w:val="000E1AE5"/>
    <w:rsid w:val="000E1CA9"/>
    <w:rsid w:val="000E1CCC"/>
    <w:rsid w:val="000E1D2C"/>
    <w:rsid w:val="000E1DBA"/>
    <w:rsid w:val="000E1DF7"/>
    <w:rsid w:val="000E1F88"/>
    <w:rsid w:val="000E2014"/>
    <w:rsid w:val="000E2058"/>
    <w:rsid w:val="000E2064"/>
    <w:rsid w:val="000E2087"/>
    <w:rsid w:val="000E2091"/>
    <w:rsid w:val="000E20E6"/>
    <w:rsid w:val="000E215E"/>
    <w:rsid w:val="000E21AB"/>
    <w:rsid w:val="000E2228"/>
    <w:rsid w:val="000E2433"/>
    <w:rsid w:val="000E2457"/>
    <w:rsid w:val="000E24BF"/>
    <w:rsid w:val="000E24C0"/>
    <w:rsid w:val="000E257B"/>
    <w:rsid w:val="000E25ED"/>
    <w:rsid w:val="000E269F"/>
    <w:rsid w:val="000E26A5"/>
    <w:rsid w:val="000E26E3"/>
    <w:rsid w:val="000E27A4"/>
    <w:rsid w:val="000E28AC"/>
    <w:rsid w:val="000E28FF"/>
    <w:rsid w:val="000E2927"/>
    <w:rsid w:val="000E2B19"/>
    <w:rsid w:val="000E2C23"/>
    <w:rsid w:val="000E2CD1"/>
    <w:rsid w:val="000E2CE0"/>
    <w:rsid w:val="000E2D2F"/>
    <w:rsid w:val="000E2D4D"/>
    <w:rsid w:val="000E2D69"/>
    <w:rsid w:val="000E2ED1"/>
    <w:rsid w:val="000E2F77"/>
    <w:rsid w:val="000E2FAE"/>
    <w:rsid w:val="000E2FF1"/>
    <w:rsid w:val="000E3034"/>
    <w:rsid w:val="000E30E0"/>
    <w:rsid w:val="000E33E7"/>
    <w:rsid w:val="000E3478"/>
    <w:rsid w:val="000E34AF"/>
    <w:rsid w:val="000E3503"/>
    <w:rsid w:val="000E3681"/>
    <w:rsid w:val="000E3771"/>
    <w:rsid w:val="000E382B"/>
    <w:rsid w:val="000E3A45"/>
    <w:rsid w:val="000E3A86"/>
    <w:rsid w:val="000E3B41"/>
    <w:rsid w:val="000E3B67"/>
    <w:rsid w:val="000E3D88"/>
    <w:rsid w:val="000E3DF3"/>
    <w:rsid w:val="000E3EC6"/>
    <w:rsid w:val="000E3F86"/>
    <w:rsid w:val="000E4035"/>
    <w:rsid w:val="000E409C"/>
    <w:rsid w:val="000E41A7"/>
    <w:rsid w:val="000E41DC"/>
    <w:rsid w:val="000E4233"/>
    <w:rsid w:val="000E435E"/>
    <w:rsid w:val="000E437F"/>
    <w:rsid w:val="000E43D8"/>
    <w:rsid w:val="000E445C"/>
    <w:rsid w:val="000E4476"/>
    <w:rsid w:val="000E4480"/>
    <w:rsid w:val="000E44A4"/>
    <w:rsid w:val="000E457B"/>
    <w:rsid w:val="000E457E"/>
    <w:rsid w:val="000E4593"/>
    <w:rsid w:val="000E45EB"/>
    <w:rsid w:val="000E4766"/>
    <w:rsid w:val="000E4793"/>
    <w:rsid w:val="000E479B"/>
    <w:rsid w:val="000E47F0"/>
    <w:rsid w:val="000E4876"/>
    <w:rsid w:val="000E48BB"/>
    <w:rsid w:val="000E4929"/>
    <w:rsid w:val="000E4B10"/>
    <w:rsid w:val="000E4B3C"/>
    <w:rsid w:val="000E4C76"/>
    <w:rsid w:val="000E4C9C"/>
    <w:rsid w:val="000E4D3C"/>
    <w:rsid w:val="000E4DC6"/>
    <w:rsid w:val="000E4DC7"/>
    <w:rsid w:val="000E4E89"/>
    <w:rsid w:val="000E4E9A"/>
    <w:rsid w:val="000E4FD4"/>
    <w:rsid w:val="000E505B"/>
    <w:rsid w:val="000E5099"/>
    <w:rsid w:val="000E511F"/>
    <w:rsid w:val="000E51AB"/>
    <w:rsid w:val="000E51EF"/>
    <w:rsid w:val="000E51F0"/>
    <w:rsid w:val="000E5300"/>
    <w:rsid w:val="000E531D"/>
    <w:rsid w:val="000E53C8"/>
    <w:rsid w:val="000E54E3"/>
    <w:rsid w:val="000E5506"/>
    <w:rsid w:val="000E550C"/>
    <w:rsid w:val="000E563C"/>
    <w:rsid w:val="000E5708"/>
    <w:rsid w:val="000E5756"/>
    <w:rsid w:val="000E5854"/>
    <w:rsid w:val="000E58AD"/>
    <w:rsid w:val="000E58C6"/>
    <w:rsid w:val="000E599E"/>
    <w:rsid w:val="000E5ADA"/>
    <w:rsid w:val="000E5B81"/>
    <w:rsid w:val="000E5BAD"/>
    <w:rsid w:val="000E5C71"/>
    <w:rsid w:val="000E5C92"/>
    <w:rsid w:val="000E5CC9"/>
    <w:rsid w:val="000E5EE5"/>
    <w:rsid w:val="000E5FFC"/>
    <w:rsid w:val="000E60AD"/>
    <w:rsid w:val="000E6271"/>
    <w:rsid w:val="000E6428"/>
    <w:rsid w:val="000E64B5"/>
    <w:rsid w:val="000E656B"/>
    <w:rsid w:val="000E65EB"/>
    <w:rsid w:val="000E66B0"/>
    <w:rsid w:val="000E6838"/>
    <w:rsid w:val="000E68A4"/>
    <w:rsid w:val="000E694C"/>
    <w:rsid w:val="000E69C1"/>
    <w:rsid w:val="000E6A6B"/>
    <w:rsid w:val="000E6AD1"/>
    <w:rsid w:val="000E6BD5"/>
    <w:rsid w:val="000E6D20"/>
    <w:rsid w:val="000E6DCD"/>
    <w:rsid w:val="000E6E01"/>
    <w:rsid w:val="000E6E12"/>
    <w:rsid w:val="000E6E45"/>
    <w:rsid w:val="000E6F17"/>
    <w:rsid w:val="000E70A8"/>
    <w:rsid w:val="000E7158"/>
    <w:rsid w:val="000E7301"/>
    <w:rsid w:val="000E7376"/>
    <w:rsid w:val="000E74CA"/>
    <w:rsid w:val="000E751E"/>
    <w:rsid w:val="000E7528"/>
    <w:rsid w:val="000E7537"/>
    <w:rsid w:val="000E7552"/>
    <w:rsid w:val="000E7559"/>
    <w:rsid w:val="000E75A5"/>
    <w:rsid w:val="000E75C7"/>
    <w:rsid w:val="000E7754"/>
    <w:rsid w:val="000E77AE"/>
    <w:rsid w:val="000E7803"/>
    <w:rsid w:val="000E785E"/>
    <w:rsid w:val="000E7884"/>
    <w:rsid w:val="000E7885"/>
    <w:rsid w:val="000E7C1F"/>
    <w:rsid w:val="000E7DCA"/>
    <w:rsid w:val="000E7E75"/>
    <w:rsid w:val="000E7FF4"/>
    <w:rsid w:val="000F0015"/>
    <w:rsid w:val="000F0232"/>
    <w:rsid w:val="000F03BF"/>
    <w:rsid w:val="000F0421"/>
    <w:rsid w:val="000F046B"/>
    <w:rsid w:val="000F04D1"/>
    <w:rsid w:val="000F059D"/>
    <w:rsid w:val="000F05FD"/>
    <w:rsid w:val="000F0703"/>
    <w:rsid w:val="000F0773"/>
    <w:rsid w:val="000F0794"/>
    <w:rsid w:val="000F07DC"/>
    <w:rsid w:val="000F07F9"/>
    <w:rsid w:val="000F094E"/>
    <w:rsid w:val="000F09CE"/>
    <w:rsid w:val="000F09E0"/>
    <w:rsid w:val="000F0A79"/>
    <w:rsid w:val="000F0ABC"/>
    <w:rsid w:val="000F0AE5"/>
    <w:rsid w:val="000F0B17"/>
    <w:rsid w:val="000F0B40"/>
    <w:rsid w:val="000F0B59"/>
    <w:rsid w:val="000F0B7B"/>
    <w:rsid w:val="000F0D55"/>
    <w:rsid w:val="000F0DDD"/>
    <w:rsid w:val="000F0E94"/>
    <w:rsid w:val="000F0F66"/>
    <w:rsid w:val="000F1039"/>
    <w:rsid w:val="000F11D2"/>
    <w:rsid w:val="000F13E1"/>
    <w:rsid w:val="000F171F"/>
    <w:rsid w:val="000F1761"/>
    <w:rsid w:val="000F178A"/>
    <w:rsid w:val="000F18F8"/>
    <w:rsid w:val="000F1901"/>
    <w:rsid w:val="000F1990"/>
    <w:rsid w:val="000F1A36"/>
    <w:rsid w:val="000F1A88"/>
    <w:rsid w:val="000F1B2F"/>
    <w:rsid w:val="000F1C67"/>
    <w:rsid w:val="000F1CC5"/>
    <w:rsid w:val="000F1D74"/>
    <w:rsid w:val="000F1DBB"/>
    <w:rsid w:val="000F1F8E"/>
    <w:rsid w:val="000F205E"/>
    <w:rsid w:val="000F2074"/>
    <w:rsid w:val="000F20BC"/>
    <w:rsid w:val="000F20F6"/>
    <w:rsid w:val="000F2207"/>
    <w:rsid w:val="000F2239"/>
    <w:rsid w:val="000F2395"/>
    <w:rsid w:val="000F24E2"/>
    <w:rsid w:val="000F2660"/>
    <w:rsid w:val="000F26D7"/>
    <w:rsid w:val="000F279A"/>
    <w:rsid w:val="000F27BE"/>
    <w:rsid w:val="000F293F"/>
    <w:rsid w:val="000F294F"/>
    <w:rsid w:val="000F2987"/>
    <w:rsid w:val="000F29B5"/>
    <w:rsid w:val="000F2ACC"/>
    <w:rsid w:val="000F2B31"/>
    <w:rsid w:val="000F2BAE"/>
    <w:rsid w:val="000F2C3E"/>
    <w:rsid w:val="000F2CB7"/>
    <w:rsid w:val="000F2CB9"/>
    <w:rsid w:val="000F2EDC"/>
    <w:rsid w:val="000F2F25"/>
    <w:rsid w:val="000F3062"/>
    <w:rsid w:val="000F3145"/>
    <w:rsid w:val="000F3220"/>
    <w:rsid w:val="000F3340"/>
    <w:rsid w:val="000F33A1"/>
    <w:rsid w:val="000F3535"/>
    <w:rsid w:val="000F355F"/>
    <w:rsid w:val="000F384D"/>
    <w:rsid w:val="000F385C"/>
    <w:rsid w:val="000F3921"/>
    <w:rsid w:val="000F394D"/>
    <w:rsid w:val="000F3AE2"/>
    <w:rsid w:val="000F3B56"/>
    <w:rsid w:val="000F3BB4"/>
    <w:rsid w:val="000F3BE2"/>
    <w:rsid w:val="000F3C38"/>
    <w:rsid w:val="000F3CB7"/>
    <w:rsid w:val="000F3D6E"/>
    <w:rsid w:val="000F3EC3"/>
    <w:rsid w:val="000F3EED"/>
    <w:rsid w:val="000F3F2A"/>
    <w:rsid w:val="000F3F75"/>
    <w:rsid w:val="000F3F8E"/>
    <w:rsid w:val="000F4029"/>
    <w:rsid w:val="000F411A"/>
    <w:rsid w:val="000F4126"/>
    <w:rsid w:val="000F4224"/>
    <w:rsid w:val="000F4502"/>
    <w:rsid w:val="000F4529"/>
    <w:rsid w:val="000F470E"/>
    <w:rsid w:val="000F4845"/>
    <w:rsid w:val="000F4935"/>
    <w:rsid w:val="000F495D"/>
    <w:rsid w:val="000F4B51"/>
    <w:rsid w:val="000F4BD5"/>
    <w:rsid w:val="000F4BE4"/>
    <w:rsid w:val="000F4C11"/>
    <w:rsid w:val="000F4C88"/>
    <w:rsid w:val="000F4D87"/>
    <w:rsid w:val="000F4DE6"/>
    <w:rsid w:val="000F4DF7"/>
    <w:rsid w:val="000F4E53"/>
    <w:rsid w:val="000F4E73"/>
    <w:rsid w:val="000F4F1B"/>
    <w:rsid w:val="000F4FA0"/>
    <w:rsid w:val="000F4FA7"/>
    <w:rsid w:val="000F4FC7"/>
    <w:rsid w:val="000F4FDF"/>
    <w:rsid w:val="000F5025"/>
    <w:rsid w:val="000F52A0"/>
    <w:rsid w:val="000F533B"/>
    <w:rsid w:val="000F533F"/>
    <w:rsid w:val="000F5343"/>
    <w:rsid w:val="000F5346"/>
    <w:rsid w:val="000F5379"/>
    <w:rsid w:val="000F5384"/>
    <w:rsid w:val="000F5468"/>
    <w:rsid w:val="000F54F4"/>
    <w:rsid w:val="000F54FB"/>
    <w:rsid w:val="000F54FC"/>
    <w:rsid w:val="000F5555"/>
    <w:rsid w:val="000F56D6"/>
    <w:rsid w:val="000F5919"/>
    <w:rsid w:val="000F594C"/>
    <w:rsid w:val="000F5994"/>
    <w:rsid w:val="000F59BB"/>
    <w:rsid w:val="000F5A07"/>
    <w:rsid w:val="000F5A36"/>
    <w:rsid w:val="000F5A7F"/>
    <w:rsid w:val="000F5AE9"/>
    <w:rsid w:val="000F5B0B"/>
    <w:rsid w:val="000F5B37"/>
    <w:rsid w:val="000F5B79"/>
    <w:rsid w:val="000F5BFB"/>
    <w:rsid w:val="000F5C43"/>
    <w:rsid w:val="000F5D7A"/>
    <w:rsid w:val="000F5D81"/>
    <w:rsid w:val="000F5DB7"/>
    <w:rsid w:val="000F5DE1"/>
    <w:rsid w:val="000F5E58"/>
    <w:rsid w:val="000F5E93"/>
    <w:rsid w:val="000F5E9D"/>
    <w:rsid w:val="000F5EA3"/>
    <w:rsid w:val="000F5EE4"/>
    <w:rsid w:val="000F609E"/>
    <w:rsid w:val="000F60B7"/>
    <w:rsid w:val="000F61DF"/>
    <w:rsid w:val="000F6225"/>
    <w:rsid w:val="000F625B"/>
    <w:rsid w:val="000F62D4"/>
    <w:rsid w:val="000F62DF"/>
    <w:rsid w:val="000F63D7"/>
    <w:rsid w:val="000F647C"/>
    <w:rsid w:val="000F659F"/>
    <w:rsid w:val="000F65AC"/>
    <w:rsid w:val="000F65C6"/>
    <w:rsid w:val="000F65EF"/>
    <w:rsid w:val="000F65F4"/>
    <w:rsid w:val="000F6638"/>
    <w:rsid w:val="000F6669"/>
    <w:rsid w:val="000F6674"/>
    <w:rsid w:val="000F667D"/>
    <w:rsid w:val="000F6696"/>
    <w:rsid w:val="000F67A9"/>
    <w:rsid w:val="000F6820"/>
    <w:rsid w:val="000F685F"/>
    <w:rsid w:val="000F688E"/>
    <w:rsid w:val="000F68CF"/>
    <w:rsid w:val="000F6906"/>
    <w:rsid w:val="000F6911"/>
    <w:rsid w:val="000F694E"/>
    <w:rsid w:val="000F695E"/>
    <w:rsid w:val="000F6A91"/>
    <w:rsid w:val="000F6A92"/>
    <w:rsid w:val="000F6A9D"/>
    <w:rsid w:val="000F6C08"/>
    <w:rsid w:val="000F6C4A"/>
    <w:rsid w:val="000F6C72"/>
    <w:rsid w:val="000F6C85"/>
    <w:rsid w:val="000F6C93"/>
    <w:rsid w:val="000F6ECE"/>
    <w:rsid w:val="000F6ED8"/>
    <w:rsid w:val="000F6F47"/>
    <w:rsid w:val="000F6F68"/>
    <w:rsid w:val="000F700B"/>
    <w:rsid w:val="000F706A"/>
    <w:rsid w:val="000F70C0"/>
    <w:rsid w:val="000F7228"/>
    <w:rsid w:val="000F7315"/>
    <w:rsid w:val="000F7446"/>
    <w:rsid w:val="000F7484"/>
    <w:rsid w:val="000F7593"/>
    <w:rsid w:val="000F75A1"/>
    <w:rsid w:val="000F763C"/>
    <w:rsid w:val="000F7818"/>
    <w:rsid w:val="000F788F"/>
    <w:rsid w:val="000F7898"/>
    <w:rsid w:val="000F78E5"/>
    <w:rsid w:val="000F79E7"/>
    <w:rsid w:val="000F7A55"/>
    <w:rsid w:val="000F7BBE"/>
    <w:rsid w:val="000F7C3D"/>
    <w:rsid w:val="000F7CF9"/>
    <w:rsid w:val="000F7D92"/>
    <w:rsid w:val="000F7DEF"/>
    <w:rsid w:val="000F7E6A"/>
    <w:rsid w:val="000F7EED"/>
    <w:rsid w:val="000F7F3A"/>
    <w:rsid w:val="000F7F60"/>
    <w:rsid w:val="000F7F6E"/>
    <w:rsid w:val="000F7F85"/>
    <w:rsid w:val="00100046"/>
    <w:rsid w:val="0010008A"/>
    <w:rsid w:val="001001A5"/>
    <w:rsid w:val="001002D6"/>
    <w:rsid w:val="001003CB"/>
    <w:rsid w:val="001003F1"/>
    <w:rsid w:val="00100477"/>
    <w:rsid w:val="001004DB"/>
    <w:rsid w:val="00100524"/>
    <w:rsid w:val="00100537"/>
    <w:rsid w:val="0010067C"/>
    <w:rsid w:val="001006B7"/>
    <w:rsid w:val="00100762"/>
    <w:rsid w:val="001007F1"/>
    <w:rsid w:val="0010081B"/>
    <w:rsid w:val="00100823"/>
    <w:rsid w:val="00100848"/>
    <w:rsid w:val="00100922"/>
    <w:rsid w:val="001009F0"/>
    <w:rsid w:val="00100A7B"/>
    <w:rsid w:val="00100AC6"/>
    <w:rsid w:val="00100CC7"/>
    <w:rsid w:val="00100CE3"/>
    <w:rsid w:val="00100D4D"/>
    <w:rsid w:val="00100F5B"/>
    <w:rsid w:val="00100FFB"/>
    <w:rsid w:val="00101047"/>
    <w:rsid w:val="00101095"/>
    <w:rsid w:val="001010B8"/>
    <w:rsid w:val="00101147"/>
    <w:rsid w:val="001011CC"/>
    <w:rsid w:val="001011DC"/>
    <w:rsid w:val="00101244"/>
    <w:rsid w:val="00101298"/>
    <w:rsid w:val="001012B0"/>
    <w:rsid w:val="001013AB"/>
    <w:rsid w:val="001013B7"/>
    <w:rsid w:val="0010142F"/>
    <w:rsid w:val="00101551"/>
    <w:rsid w:val="001015A5"/>
    <w:rsid w:val="001015BB"/>
    <w:rsid w:val="00101669"/>
    <w:rsid w:val="00101719"/>
    <w:rsid w:val="0010176C"/>
    <w:rsid w:val="001018E5"/>
    <w:rsid w:val="00101A08"/>
    <w:rsid w:val="00101A5A"/>
    <w:rsid w:val="00101A87"/>
    <w:rsid w:val="00101A8B"/>
    <w:rsid w:val="00101B22"/>
    <w:rsid w:val="00101BC3"/>
    <w:rsid w:val="00101BFD"/>
    <w:rsid w:val="00101BFF"/>
    <w:rsid w:val="00101D35"/>
    <w:rsid w:val="00101D6A"/>
    <w:rsid w:val="00101E63"/>
    <w:rsid w:val="00101EB3"/>
    <w:rsid w:val="00101F02"/>
    <w:rsid w:val="0010200D"/>
    <w:rsid w:val="0010209E"/>
    <w:rsid w:val="001020AE"/>
    <w:rsid w:val="001021A5"/>
    <w:rsid w:val="00102255"/>
    <w:rsid w:val="001022B7"/>
    <w:rsid w:val="0010232A"/>
    <w:rsid w:val="0010236E"/>
    <w:rsid w:val="00102389"/>
    <w:rsid w:val="001023A8"/>
    <w:rsid w:val="001024F5"/>
    <w:rsid w:val="001025AD"/>
    <w:rsid w:val="001025CA"/>
    <w:rsid w:val="00102759"/>
    <w:rsid w:val="00102848"/>
    <w:rsid w:val="00102856"/>
    <w:rsid w:val="00102AFF"/>
    <w:rsid w:val="00102B2B"/>
    <w:rsid w:val="00102CAB"/>
    <w:rsid w:val="00102CC2"/>
    <w:rsid w:val="00102D60"/>
    <w:rsid w:val="00102E17"/>
    <w:rsid w:val="00102E6E"/>
    <w:rsid w:val="00102EC6"/>
    <w:rsid w:val="00102F62"/>
    <w:rsid w:val="00103001"/>
    <w:rsid w:val="0010304B"/>
    <w:rsid w:val="001030AF"/>
    <w:rsid w:val="001030F8"/>
    <w:rsid w:val="00103130"/>
    <w:rsid w:val="0010325C"/>
    <w:rsid w:val="001032DD"/>
    <w:rsid w:val="0010335B"/>
    <w:rsid w:val="00103451"/>
    <w:rsid w:val="00103486"/>
    <w:rsid w:val="001035AA"/>
    <w:rsid w:val="00103668"/>
    <w:rsid w:val="001036A4"/>
    <w:rsid w:val="0010373E"/>
    <w:rsid w:val="00103866"/>
    <w:rsid w:val="00103883"/>
    <w:rsid w:val="001038AB"/>
    <w:rsid w:val="001039AF"/>
    <w:rsid w:val="00103A2B"/>
    <w:rsid w:val="00103A45"/>
    <w:rsid w:val="00103A62"/>
    <w:rsid w:val="00103AAB"/>
    <w:rsid w:val="00103C46"/>
    <w:rsid w:val="00103D26"/>
    <w:rsid w:val="00103DB6"/>
    <w:rsid w:val="00103E09"/>
    <w:rsid w:val="0010410C"/>
    <w:rsid w:val="00104149"/>
    <w:rsid w:val="001041D7"/>
    <w:rsid w:val="00104217"/>
    <w:rsid w:val="001042DE"/>
    <w:rsid w:val="00104434"/>
    <w:rsid w:val="0010456D"/>
    <w:rsid w:val="00104705"/>
    <w:rsid w:val="00104777"/>
    <w:rsid w:val="00104873"/>
    <w:rsid w:val="00104A4F"/>
    <w:rsid w:val="00104A50"/>
    <w:rsid w:val="00104A6F"/>
    <w:rsid w:val="00104B1F"/>
    <w:rsid w:val="00104B2D"/>
    <w:rsid w:val="00104D7A"/>
    <w:rsid w:val="00104E7E"/>
    <w:rsid w:val="00104F82"/>
    <w:rsid w:val="00104F9F"/>
    <w:rsid w:val="00104FE3"/>
    <w:rsid w:val="0010520F"/>
    <w:rsid w:val="0010521A"/>
    <w:rsid w:val="0010525F"/>
    <w:rsid w:val="001052C9"/>
    <w:rsid w:val="001052FF"/>
    <w:rsid w:val="00105373"/>
    <w:rsid w:val="001053BB"/>
    <w:rsid w:val="0010557B"/>
    <w:rsid w:val="0010569B"/>
    <w:rsid w:val="001056CD"/>
    <w:rsid w:val="0010581E"/>
    <w:rsid w:val="001059C5"/>
    <w:rsid w:val="00105AD6"/>
    <w:rsid w:val="00105C41"/>
    <w:rsid w:val="00105DBD"/>
    <w:rsid w:val="00105DC6"/>
    <w:rsid w:val="00105E03"/>
    <w:rsid w:val="00105E84"/>
    <w:rsid w:val="00105EE4"/>
    <w:rsid w:val="00105FCD"/>
    <w:rsid w:val="0010609F"/>
    <w:rsid w:val="00106130"/>
    <w:rsid w:val="001061E6"/>
    <w:rsid w:val="00106270"/>
    <w:rsid w:val="00106289"/>
    <w:rsid w:val="001062A6"/>
    <w:rsid w:val="001062D0"/>
    <w:rsid w:val="00106316"/>
    <w:rsid w:val="001063AB"/>
    <w:rsid w:val="001063B0"/>
    <w:rsid w:val="001064CC"/>
    <w:rsid w:val="0010653C"/>
    <w:rsid w:val="001065ED"/>
    <w:rsid w:val="0010670D"/>
    <w:rsid w:val="001067E9"/>
    <w:rsid w:val="00106A42"/>
    <w:rsid w:val="00106A93"/>
    <w:rsid w:val="00106D4E"/>
    <w:rsid w:val="00106D62"/>
    <w:rsid w:val="00106FEB"/>
    <w:rsid w:val="001070D7"/>
    <w:rsid w:val="0010727D"/>
    <w:rsid w:val="0010741C"/>
    <w:rsid w:val="00107436"/>
    <w:rsid w:val="00107471"/>
    <w:rsid w:val="001074CE"/>
    <w:rsid w:val="001075EE"/>
    <w:rsid w:val="00107605"/>
    <w:rsid w:val="00107631"/>
    <w:rsid w:val="001076D7"/>
    <w:rsid w:val="001077BE"/>
    <w:rsid w:val="00107808"/>
    <w:rsid w:val="0010782F"/>
    <w:rsid w:val="00107844"/>
    <w:rsid w:val="00107876"/>
    <w:rsid w:val="0010791A"/>
    <w:rsid w:val="0010794A"/>
    <w:rsid w:val="001079C5"/>
    <w:rsid w:val="00107B51"/>
    <w:rsid w:val="00107BAF"/>
    <w:rsid w:val="00107C8F"/>
    <w:rsid w:val="00107D2F"/>
    <w:rsid w:val="00107D88"/>
    <w:rsid w:val="00107E27"/>
    <w:rsid w:val="00107F6C"/>
    <w:rsid w:val="0011001E"/>
    <w:rsid w:val="0011006C"/>
    <w:rsid w:val="001100B3"/>
    <w:rsid w:val="001100BE"/>
    <w:rsid w:val="00110254"/>
    <w:rsid w:val="00110290"/>
    <w:rsid w:val="001102BD"/>
    <w:rsid w:val="0011032B"/>
    <w:rsid w:val="0011037E"/>
    <w:rsid w:val="00110488"/>
    <w:rsid w:val="0011048B"/>
    <w:rsid w:val="001106D3"/>
    <w:rsid w:val="00110949"/>
    <w:rsid w:val="00110AC4"/>
    <w:rsid w:val="00110B66"/>
    <w:rsid w:val="00110C1D"/>
    <w:rsid w:val="00110C5A"/>
    <w:rsid w:val="00110D1F"/>
    <w:rsid w:val="00110D92"/>
    <w:rsid w:val="00110E7E"/>
    <w:rsid w:val="00110ECB"/>
    <w:rsid w:val="00111089"/>
    <w:rsid w:val="001116B3"/>
    <w:rsid w:val="0011172E"/>
    <w:rsid w:val="00111811"/>
    <w:rsid w:val="00111826"/>
    <w:rsid w:val="00111874"/>
    <w:rsid w:val="00111A32"/>
    <w:rsid w:val="00111A80"/>
    <w:rsid w:val="00111B66"/>
    <w:rsid w:val="00111B69"/>
    <w:rsid w:val="00111B96"/>
    <w:rsid w:val="00111BE6"/>
    <w:rsid w:val="00111C20"/>
    <w:rsid w:val="00111CF9"/>
    <w:rsid w:val="00111E3C"/>
    <w:rsid w:val="00111E5F"/>
    <w:rsid w:val="00111F79"/>
    <w:rsid w:val="00111F93"/>
    <w:rsid w:val="00111FC0"/>
    <w:rsid w:val="0011209E"/>
    <w:rsid w:val="001120B7"/>
    <w:rsid w:val="001120E7"/>
    <w:rsid w:val="00112112"/>
    <w:rsid w:val="0011211E"/>
    <w:rsid w:val="00112156"/>
    <w:rsid w:val="00112256"/>
    <w:rsid w:val="0011231B"/>
    <w:rsid w:val="0011239F"/>
    <w:rsid w:val="001123FC"/>
    <w:rsid w:val="0011241A"/>
    <w:rsid w:val="00112465"/>
    <w:rsid w:val="001124B7"/>
    <w:rsid w:val="001124F7"/>
    <w:rsid w:val="001125A7"/>
    <w:rsid w:val="00112605"/>
    <w:rsid w:val="0011269B"/>
    <w:rsid w:val="001126E5"/>
    <w:rsid w:val="001127B5"/>
    <w:rsid w:val="00112847"/>
    <w:rsid w:val="001128B5"/>
    <w:rsid w:val="001128C1"/>
    <w:rsid w:val="001128E1"/>
    <w:rsid w:val="00112900"/>
    <w:rsid w:val="0011292A"/>
    <w:rsid w:val="00112933"/>
    <w:rsid w:val="00112BF4"/>
    <w:rsid w:val="00112D94"/>
    <w:rsid w:val="00112E2D"/>
    <w:rsid w:val="00112E50"/>
    <w:rsid w:val="00112FD3"/>
    <w:rsid w:val="00113126"/>
    <w:rsid w:val="0011312B"/>
    <w:rsid w:val="00113388"/>
    <w:rsid w:val="001134C4"/>
    <w:rsid w:val="0011360A"/>
    <w:rsid w:val="0011384D"/>
    <w:rsid w:val="00113874"/>
    <w:rsid w:val="00113879"/>
    <w:rsid w:val="001138E2"/>
    <w:rsid w:val="001139BC"/>
    <w:rsid w:val="00113A45"/>
    <w:rsid w:val="00113ACA"/>
    <w:rsid w:val="00113AFC"/>
    <w:rsid w:val="00113BF8"/>
    <w:rsid w:val="00113C2F"/>
    <w:rsid w:val="00113C32"/>
    <w:rsid w:val="00113C54"/>
    <w:rsid w:val="00113F02"/>
    <w:rsid w:val="00114059"/>
    <w:rsid w:val="00114122"/>
    <w:rsid w:val="001141B4"/>
    <w:rsid w:val="00114209"/>
    <w:rsid w:val="0011426C"/>
    <w:rsid w:val="0011440F"/>
    <w:rsid w:val="00114458"/>
    <w:rsid w:val="00114546"/>
    <w:rsid w:val="0011458C"/>
    <w:rsid w:val="001145B4"/>
    <w:rsid w:val="0011468B"/>
    <w:rsid w:val="0011468D"/>
    <w:rsid w:val="001146AA"/>
    <w:rsid w:val="001146F1"/>
    <w:rsid w:val="001147F6"/>
    <w:rsid w:val="0011480A"/>
    <w:rsid w:val="0011480F"/>
    <w:rsid w:val="0011493D"/>
    <w:rsid w:val="00114985"/>
    <w:rsid w:val="00114A0B"/>
    <w:rsid w:val="00114B68"/>
    <w:rsid w:val="00114BA0"/>
    <w:rsid w:val="00114CB5"/>
    <w:rsid w:val="00114CDE"/>
    <w:rsid w:val="00114CFC"/>
    <w:rsid w:val="00114D37"/>
    <w:rsid w:val="00114E2C"/>
    <w:rsid w:val="00114E96"/>
    <w:rsid w:val="00114F22"/>
    <w:rsid w:val="00115076"/>
    <w:rsid w:val="001150E8"/>
    <w:rsid w:val="0011514D"/>
    <w:rsid w:val="00115170"/>
    <w:rsid w:val="001151D9"/>
    <w:rsid w:val="00115213"/>
    <w:rsid w:val="00115238"/>
    <w:rsid w:val="00115274"/>
    <w:rsid w:val="00115280"/>
    <w:rsid w:val="00115301"/>
    <w:rsid w:val="0011531E"/>
    <w:rsid w:val="001153D0"/>
    <w:rsid w:val="00115584"/>
    <w:rsid w:val="00115599"/>
    <w:rsid w:val="001155BC"/>
    <w:rsid w:val="001155FB"/>
    <w:rsid w:val="0011560C"/>
    <w:rsid w:val="0011563C"/>
    <w:rsid w:val="001156C1"/>
    <w:rsid w:val="00115749"/>
    <w:rsid w:val="001157B8"/>
    <w:rsid w:val="0011587B"/>
    <w:rsid w:val="00115927"/>
    <w:rsid w:val="00115987"/>
    <w:rsid w:val="00115A47"/>
    <w:rsid w:val="00115A8C"/>
    <w:rsid w:val="00115B08"/>
    <w:rsid w:val="00115BA2"/>
    <w:rsid w:val="00115BF4"/>
    <w:rsid w:val="00115C11"/>
    <w:rsid w:val="00115C67"/>
    <w:rsid w:val="00115DA1"/>
    <w:rsid w:val="00115DA5"/>
    <w:rsid w:val="00115E39"/>
    <w:rsid w:val="00115E9B"/>
    <w:rsid w:val="00115F52"/>
    <w:rsid w:val="00115FC9"/>
    <w:rsid w:val="00115FED"/>
    <w:rsid w:val="0011623A"/>
    <w:rsid w:val="001162EE"/>
    <w:rsid w:val="00116321"/>
    <w:rsid w:val="00116391"/>
    <w:rsid w:val="001164B0"/>
    <w:rsid w:val="0011657C"/>
    <w:rsid w:val="00116587"/>
    <w:rsid w:val="00116699"/>
    <w:rsid w:val="001168E5"/>
    <w:rsid w:val="00116999"/>
    <w:rsid w:val="00116A8A"/>
    <w:rsid w:val="00116AD3"/>
    <w:rsid w:val="00116AF5"/>
    <w:rsid w:val="00116B99"/>
    <w:rsid w:val="00116D25"/>
    <w:rsid w:val="00116E3A"/>
    <w:rsid w:val="00116EE6"/>
    <w:rsid w:val="0011717E"/>
    <w:rsid w:val="00117253"/>
    <w:rsid w:val="00117291"/>
    <w:rsid w:val="00117342"/>
    <w:rsid w:val="001174DB"/>
    <w:rsid w:val="001175C1"/>
    <w:rsid w:val="0011762B"/>
    <w:rsid w:val="0011767B"/>
    <w:rsid w:val="00117761"/>
    <w:rsid w:val="00117862"/>
    <w:rsid w:val="00117970"/>
    <w:rsid w:val="00117988"/>
    <w:rsid w:val="00117B06"/>
    <w:rsid w:val="00117B10"/>
    <w:rsid w:val="00117B1A"/>
    <w:rsid w:val="00117BAE"/>
    <w:rsid w:val="00117BC7"/>
    <w:rsid w:val="00117BF5"/>
    <w:rsid w:val="00117C58"/>
    <w:rsid w:val="00117C8A"/>
    <w:rsid w:val="00117D9E"/>
    <w:rsid w:val="00117E64"/>
    <w:rsid w:val="00117F22"/>
    <w:rsid w:val="00117F92"/>
    <w:rsid w:val="00120050"/>
    <w:rsid w:val="0012014F"/>
    <w:rsid w:val="001201EC"/>
    <w:rsid w:val="00120260"/>
    <w:rsid w:val="00120273"/>
    <w:rsid w:val="001202B6"/>
    <w:rsid w:val="001202CC"/>
    <w:rsid w:val="001202D9"/>
    <w:rsid w:val="0012039F"/>
    <w:rsid w:val="001203C9"/>
    <w:rsid w:val="0012041F"/>
    <w:rsid w:val="0012043D"/>
    <w:rsid w:val="0012044A"/>
    <w:rsid w:val="001204C6"/>
    <w:rsid w:val="00120516"/>
    <w:rsid w:val="00120523"/>
    <w:rsid w:val="001205DF"/>
    <w:rsid w:val="001205E7"/>
    <w:rsid w:val="00120649"/>
    <w:rsid w:val="0012085D"/>
    <w:rsid w:val="001209A6"/>
    <w:rsid w:val="00120B2C"/>
    <w:rsid w:val="00120C63"/>
    <w:rsid w:val="00120C6F"/>
    <w:rsid w:val="00120D20"/>
    <w:rsid w:val="00120DE6"/>
    <w:rsid w:val="00120DF6"/>
    <w:rsid w:val="00120F7D"/>
    <w:rsid w:val="001211DD"/>
    <w:rsid w:val="001212A3"/>
    <w:rsid w:val="001212B5"/>
    <w:rsid w:val="0012130F"/>
    <w:rsid w:val="00121342"/>
    <w:rsid w:val="00121429"/>
    <w:rsid w:val="001214B3"/>
    <w:rsid w:val="00121533"/>
    <w:rsid w:val="00121662"/>
    <w:rsid w:val="00121666"/>
    <w:rsid w:val="00121668"/>
    <w:rsid w:val="0012178C"/>
    <w:rsid w:val="0012182E"/>
    <w:rsid w:val="0012188A"/>
    <w:rsid w:val="0012192E"/>
    <w:rsid w:val="0012196F"/>
    <w:rsid w:val="001219B8"/>
    <w:rsid w:val="001219DA"/>
    <w:rsid w:val="001219EC"/>
    <w:rsid w:val="00121A8E"/>
    <w:rsid w:val="00121BD0"/>
    <w:rsid w:val="00121C15"/>
    <w:rsid w:val="00121C50"/>
    <w:rsid w:val="00121CB4"/>
    <w:rsid w:val="00121D9F"/>
    <w:rsid w:val="00121DBF"/>
    <w:rsid w:val="00121E48"/>
    <w:rsid w:val="00121E5E"/>
    <w:rsid w:val="00121E77"/>
    <w:rsid w:val="00121ED4"/>
    <w:rsid w:val="00121F49"/>
    <w:rsid w:val="00121F83"/>
    <w:rsid w:val="00121FDD"/>
    <w:rsid w:val="001220A2"/>
    <w:rsid w:val="001220F6"/>
    <w:rsid w:val="0012221E"/>
    <w:rsid w:val="00122265"/>
    <w:rsid w:val="0012226B"/>
    <w:rsid w:val="00122419"/>
    <w:rsid w:val="0012242C"/>
    <w:rsid w:val="001224A5"/>
    <w:rsid w:val="00122577"/>
    <w:rsid w:val="0012257C"/>
    <w:rsid w:val="001225D4"/>
    <w:rsid w:val="001226F6"/>
    <w:rsid w:val="001226F7"/>
    <w:rsid w:val="0012276F"/>
    <w:rsid w:val="00122886"/>
    <w:rsid w:val="001228D5"/>
    <w:rsid w:val="001228D7"/>
    <w:rsid w:val="00122A7B"/>
    <w:rsid w:val="00122A91"/>
    <w:rsid w:val="00122B89"/>
    <w:rsid w:val="00122D48"/>
    <w:rsid w:val="00122E05"/>
    <w:rsid w:val="00122E47"/>
    <w:rsid w:val="00122E50"/>
    <w:rsid w:val="00122E8E"/>
    <w:rsid w:val="00122F66"/>
    <w:rsid w:val="00122FF1"/>
    <w:rsid w:val="0012305C"/>
    <w:rsid w:val="0012306C"/>
    <w:rsid w:val="00123172"/>
    <w:rsid w:val="00123179"/>
    <w:rsid w:val="00123184"/>
    <w:rsid w:val="001231B0"/>
    <w:rsid w:val="0012326E"/>
    <w:rsid w:val="001232FD"/>
    <w:rsid w:val="0012330B"/>
    <w:rsid w:val="0012334F"/>
    <w:rsid w:val="001234EC"/>
    <w:rsid w:val="00123581"/>
    <w:rsid w:val="00123586"/>
    <w:rsid w:val="00123794"/>
    <w:rsid w:val="00123897"/>
    <w:rsid w:val="0012393E"/>
    <w:rsid w:val="0012399B"/>
    <w:rsid w:val="00123A54"/>
    <w:rsid w:val="00123A6B"/>
    <w:rsid w:val="00123A89"/>
    <w:rsid w:val="00123AAE"/>
    <w:rsid w:val="00123B65"/>
    <w:rsid w:val="00123C4F"/>
    <w:rsid w:val="00123D20"/>
    <w:rsid w:val="00123EB3"/>
    <w:rsid w:val="00123EC0"/>
    <w:rsid w:val="00123F1B"/>
    <w:rsid w:val="00123F40"/>
    <w:rsid w:val="00123F8C"/>
    <w:rsid w:val="001240F3"/>
    <w:rsid w:val="001241C8"/>
    <w:rsid w:val="001241D7"/>
    <w:rsid w:val="001241E2"/>
    <w:rsid w:val="001241ED"/>
    <w:rsid w:val="001242B0"/>
    <w:rsid w:val="001242E3"/>
    <w:rsid w:val="00124326"/>
    <w:rsid w:val="00124331"/>
    <w:rsid w:val="0012454B"/>
    <w:rsid w:val="0012454C"/>
    <w:rsid w:val="0012471B"/>
    <w:rsid w:val="001247F8"/>
    <w:rsid w:val="00124891"/>
    <w:rsid w:val="00124981"/>
    <w:rsid w:val="001249A0"/>
    <w:rsid w:val="001249BF"/>
    <w:rsid w:val="00124AAA"/>
    <w:rsid w:val="00124B1E"/>
    <w:rsid w:val="00124B3F"/>
    <w:rsid w:val="00124C20"/>
    <w:rsid w:val="00124C82"/>
    <w:rsid w:val="00124CD1"/>
    <w:rsid w:val="00124CFE"/>
    <w:rsid w:val="00124D97"/>
    <w:rsid w:val="00124EF0"/>
    <w:rsid w:val="00124F1A"/>
    <w:rsid w:val="00124F1D"/>
    <w:rsid w:val="00124F83"/>
    <w:rsid w:val="00125067"/>
    <w:rsid w:val="001250BC"/>
    <w:rsid w:val="001251CF"/>
    <w:rsid w:val="00125284"/>
    <w:rsid w:val="00125389"/>
    <w:rsid w:val="001253C8"/>
    <w:rsid w:val="00125447"/>
    <w:rsid w:val="00125469"/>
    <w:rsid w:val="0012549E"/>
    <w:rsid w:val="0012550A"/>
    <w:rsid w:val="00125542"/>
    <w:rsid w:val="001255FB"/>
    <w:rsid w:val="00125677"/>
    <w:rsid w:val="001256A5"/>
    <w:rsid w:val="001256B5"/>
    <w:rsid w:val="0012575B"/>
    <w:rsid w:val="001257B5"/>
    <w:rsid w:val="001257C2"/>
    <w:rsid w:val="00125A11"/>
    <w:rsid w:val="00125B96"/>
    <w:rsid w:val="00125B9B"/>
    <w:rsid w:val="00125BD9"/>
    <w:rsid w:val="00125BFD"/>
    <w:rsid w:val="00125BFE"/>
    <w:rsid w:val="00125CAC"/>
    <w:rsid w:val="00125CDA"/>
    <w:rsid w:val="00125D97"/>
    <w:rsid w:val="00125E2A"/>
    <w:rsid w:val="00125E72"/>
    <w:rsid w:val="00125F20"/>
    <w:rsid w:val="00125F6B"/>
    <w:rsid w:val="0012624E"/>
    <w:rsid w:val="0012640F"/>
    <w:rsid w:val="00126583"/>
    <w:rsid w:val="001265F1"/>
    <w:rsid w:val="00126658"/>
    <w:rsid w:val="00126664"/>
    <w:rsid w:val="0012667C"/>
    <w:rsid w:val="00126784"/>
    <w:rsid w:val="00126795"/>
    <w:rsid w:val="001267BC"/>
    <w:rsid w:val="001267C8"/>
    <w:rsid w:val="001267D5"/>
    <w:rsid w:val="001268F7"/>
    <w:rsid w:val="00126908"/>
    <w:rsid w:val="0012693A"/>
    <w:rsid w:val="0012694C"/>
    <w:rsid w:val="001269A6"/>
    <w:rsid w:val="00126A71"/>
    <w:rsid w:val="00126AAD"/>
    <w:rsid w:val="00126BB6"/>
    <w:rsid w:val="00126C87"/>
    <w:rsid w:val="00126D38"/>
    <w:rsid w:val="00126DF0"/>
    <w:rsid w:val="00126E15"/>
    <w:rsid w:val="00126F00"/>
    <w:rsid w:val="00126F07"/>
    <w:rsid w:val="00126F08"/>
    <w:rsid w:val="00126FA7"/>
    <w:rsid w:val="00127092"/>
    <w:rsid w:val="001270A7"/>
    <w:rsid w:val="0012712D"/>
    <w:rsid w:val="001271BF"/>
    <w:rsid w:val="001273B6"/>
    <w:rsid w:val="001273D4"/>
    <w:rsid w:val="001273F8"/>
    <w:rsid w:val="00127467"/>
    <w:rsid w:val="0012748D"/>
    <w:rsid w:val="001275C5"/>
    <w:rsid w:val="0012762F"/>
    <w:rsid w:val="00127671"/>
    <w:rsid w:val="00127795"/>
    <w:rsid w:val="0012784F"/>
    <w:rsid w:val="00127896"/>
    <w:rsid w:val="00127933"/>
    <w:rsid w:val="0012798B"/>
    <w:rsid w:val="00127B8E"/>
    <w:rsid w:val="00127C38"/>
    <w:rsid w:val="00127C95"/>
    <w:rsid w:val="00127DD2"/>
    <w:rsid w:val="00127EB5"/>
    <w:rsid w:val="00127F28"/>
    <w:rsid w:val="00127FFD"/>
    <w:rsid w:val="0013017D"/>
    <w:rsid w:val="001302A2"/>
    <w:rsid w:val="0013031B"/>
    <w:rsid w:val="00130391"/>
    <w:rsid w:val="001304E7"/>
    <w:rsid w:val="00130579"/>
    <w:rsid w:val="0013065F"/>
    <w:rsid w:val="001306A0"/>
    <w:rsid w:val="001307C8"/>
    <w:rsid w:val="001307F9"/>
    <w:rsid w:val="001308CA"/>
    <w:rsid w:val="00130942"/>
    <w:rsid w:val="001309EE"/>
    <w:rsid w:val="00130A4B"/>
    <w:rsid w:val="00130BBC"/>
    <w:rsid w:val="00130C57"/>
    <w:rsid w:val="00130C79"/>
    <w:rsid w:val="00130C97"/>
    <w:rsid w:val="00130D19"/>
    <w:rsid w:val="00130D3F"/>
    <w:rsid w:val="00130D64"/>
    <w:rsid w:val="00130D7B"/>
    <w:rsid w:val="00130E30"/>
    <w:rsid w:val="00130EDE"/>
    <w:rsid w:val="00130F30"/>
    <w:rsid w:val="00130F51"/>
    <w:rsid w:val="0013110C"/>
    <w:rsid w:val="001311FD"/>
    <w:rsid w:val="001312A0"/>
    <w:rsid w:val="001312A7"/>
    <w:rsid w:val="001312E3"/>
    <w:rsid w:val="001313F0"/>
    <w:rsid w:val="0013148C"/>
    <w:rsid w:val="001314B5"/>
    <w:rsid w:val="00131571"/>
    <w:rsid w:val="001315C1"/>
    <w:rsid w:val="001316FE"/>
    <w:rsid w:val="00131832"/>
    <w:rsid w:val="00131897"/>
    <w:rsid w:val="001318F8"/>
    <w:rsid w:val="00131952"/>
    <w:rsid w:val="0013196D"/>
    <w:rsid w:val="0013197F"/>
    <w:rsid w:val="001319E7"/>
    <w:rsid w:val="00131ABD"/>
    <w:rsid w:val="00131CDE"/>
    <w:rsid w:val="00131CEA"/>
    <w:rsid w:val="00131FE3"/>
    <w:rsid w:val="001320A0"/>
    <w:rsid w:val="001320A9"/>
    <w:rsid w:val="001321DB"/>
    <w:rsid w:val="00132280"/>
    <w:rsid w:val="00132295"/>
    <w:rsid w:val="001322D9"/>
    <w:rsid w:val="001322FC"/>
    <w:rsid w:val="001323A6"/>
    <w:rsid w:val="001324DD"/>
    <w:rsid w:val="001324FF"/>
    <w:rsid w:val="0013256B"/>
    <w:rsid w:val="0013259A"/>
    <w:rsid w:val="001325FA"/>
    <w:rsid w:val="00132647"/>
    <w:rsid w:val="0013267D"/>
    <w:rsid w:val="001327D5"/>
    <w:rsid w:val="001327D9"/>
    <w:rsid w:val="001327E1"/>
    <w:rsid w:val="001329AF"/>
    <w:rsid w:val="00132A71"/>
    <w:rsid w:val="00132AC9"/>
    <w:rsid w:val="00132C0B"/>
    <w:rsid w:val="00132D15"/>
    <w:rsid w:val="00132D23"/>
    <w:rsid w:val="00132D2C"/>
    <w:rsid w:val="00132EBE"/>
    <w:rsid w:val="00132EDC"/>
    <w:rsid w:val="00132F94"/>
    <w:rsid w:val="00133015"/>
    <w:rsid w:val="00133022"/>
    <w:rsid w:val="001330D2"/>
    <w:rsid w:val="00133161"/>
    <w:rsid w:val="0013326D"/>
    <w:rsid w:val="001332AA"/>
    <w:rsid w:val="001332AB"/>
    <w:rsid w:val="001334D8"/>
    <w:rsid w:val="001334DC"/>
    <w:rsid w:val="0013355E"/>
    <w:rsid w:val="001335C8"/>
    <w:rsid w:val="0013361B"/>
    <w:rsid w:val="00133682"/>
    <w:rsid w:val="00133714"/>
    <w:rsid w:val="001338D8"/>
    <w:rsid w:val="001338F1"/>
    <w:rsid w:val="00133A18"/>
    <w:rsid w:val="00133B3B"/>
    <w:rsid w:val="00133C7F"/>
    <w:rsid w:val="00133C9E"/>
    <w:rsid w:val="00133CBE"/>
    <w:rsid w:val="00133DC4"/>
    <w:rsid w:val="00133E3D"/>
    <w:rsid w:val="00133F21"/>
    <w:rsid w:val="00133F80"/>
    <w:rsid w:val="00134038"/>
    <w:rsid w:val="00134154"/>
    <w:rsid w:val="0013418F"/>
    <w:rsid w:val="001341E2"/>
    <w:rsid w:val="0013427E"/>
    <w:rsid w:val="001342BA"/>
    <w:rsid w:val="00134360"/>
    <w:rsid w:val="0013447C"/>
    <w:rsid w:val="00134560"/>
    <w:rsid w:val="001345B4"/>
    <w:rsid w:val="001346B6"/>
    <w:rsid w:val="001347B3"/>
    <w:rsid w:val="00134835"/>
    <w:rsid w:val="00134857"/>
    <w:rsid w:val="0013485D"/>
    <w:rsid w:val="001348C5"/>
    <w:rsid w:val="001348E0"/>
    <w:rsid w:val="00134912"/>
    <w:rsid w:val="00134A8F"/>
    <w:rsid w:val="00134AB8"/>
    <w:rsid w:val="00134BEF"/>
    <w:rsid w:val="00134CA7"/>
    <w:rsid w:val="00134CB1"/>
    <w:rsid w:val="00134D53"/>
    <w:rsid w:val="00134D76"/>
    <w:rsid w:val="00134D87"/>
    <w:rsid w:val="00134DA8"/>
    <w:rsid w:val="00134E6D"/>
    <w:rsid w:val="00134F1D"/>
    <w:rsid w:val="00134F1F"/>
    <w:rsid w:val="00134F63"/>
    <w:rsid w:val="001350F6"/>
    <w:rsid w:val="00135112"/>
    <w:rsid w:val="0013514B"/>
    <w:rsid w:val="00135323"/>
    <w:rsid w:val="0013533A"/>
    <w:rsid w:val="00135404"/>
    <w:rsid w:val="00135412"/>
    <w:rsid w:val="00135508"/>
    <w:rsid w:val="00135509"/>
    <w:rsid w:val="001356A0"/>
    <w:rsid w:val="001356D1"/>
    <w:rsid w:val="00135786"/>
    <w:rsid w:val="0013596A"/>
    <w:rsid w:val="001359B7"/>
    <w:rsid w:val="00135A57"/>
    <w:rsid w:val="00135B2B"/>
    <w:rsid w:val="00135C54"/>
    <w:rsid w:val="00135C7D"/>
    <w:rsid w:val="00135C87"/>
    <w:rsid w:val="00135DAF"/>
    <w:rsid w:val="00135DBB"/>
    <w:rsid w:val="00135DE5"/>
    <w:rsid w:val="00135E17"/>
    <w:rsid w:val="00136020"/>
    <w:rsid w:val="00136047"/>
    <w:rsid w:val="001360C4"/>
    <w:rsid w:val="00136219"/>
    <w:rsid w:val="00136287"/>
    <w:rsid w:val="00136331"/>
    <w:rsid w:val="001363CC"/>
    <w:rsid w:val="0013645C"/>
    <w:rsid w:val="00136466"/>
    <w:rsid w:val="00136513"/>
    <w:rsid w:val="001366E5"/>
    <w:rsid w:val="0013686D"/>
    <w:rsid w:val="001368CC"/>
    <w:rsid w:val="00136901"/>
    <w:rsid w:val="00136970"/>
    <w:rsid w:val="00136C05"/>
    <w:rsid w:val="00136C87"/>
    <w:rsid w:val="00136C91"/>
    <w:rsid w:val="00136DAB"/>
    <w:rsid w:val="00136DB3"/>
    <w:rsid w:val="00136DE0"/>
    <w:rsid w:val="00136E87"/>
    <w:rsid w:val="00136F4F"/>
    <w:rsid w:val="00136FE9"/>
    <w:rsid w:val="001370E6"/>
    <w:rsid w:val="00137149"/>
    <w:rsid w:val="001371A9"/>
    <w:rsid w:val="0013727E"/>
    <w:rsid w:val="001372AE"/>
    <w:rsid w:val="001372D6"/>
    <w:rsid w:val="00137400"/>
    <w:rsid w:val="001375FC"/>
    <w:rsid w:val="001376A8"/>
    <w:rsid w:val="00137856"/>
    <w:rsid w:val="00137946"/>
    <w:rsid w:val="00137A85"/>
    <w:rsid w:val="00137AB4"/>
    <w:rsid w:val="00137B32"/>
    <w:rsid w:val="00137D38"/>
    <w:rsid w:val="00137DC0"/>
    <w:rsid w:val="00137DCB"/>
    <w:rsid w:val="00137EC8"/>
    <w:rsid w:val="00137ECF"/>
    <w:rsid w:val="001400C1"/>
    <w:rsid w:val="00140174"/>
    <w:rsid w:val="00140184"/>
    <w:rsid w:val="001401D8"/>
    <w:rsid w:val="00140216"/>
    <w:rsid w:val="0014032F"/>
    <w:rsid w:val="00140397"/>
    <w:rsid w:val="0014050C"/>
    <w:rsid w:val="00140530"/>
    <w:rsid w:val="00140533"/>
    <w:rsid w:val="001405D6"/>
    <w:rsid w:val="00140637"/>
    <w:rsid w:val="00140651"/>
    <w:rsid w:val="00140842"/>
    <w:rsid w:val="00140956"/>
    <w:rsid w:val="00140A46"/>
    <w:rsid w:val="00140A58"/>
    <w:rsid w:val="00140AB0"/>
    <w:rsid w:val="00140B97"/>
    <w:rsid w:val="00140C8B"/>
    <w:rsid w:val="00140CAD"/>
    <w:rsid w:val="00140CEA"/>
    <w:rsid w:val="00140F56"/>
    <w:rsid w:val="00140F89"/>
    <w:rsid w:val="00140F96"/>
    <w:rsid w:val="00141098"/>
    <w:rsid w:val="001410B5"/>
    <w:rsid w:val="00141143"/>
    <w:rsid w:val="001412AB"/>
    <w:rsid w:val="00141348"/>
    <w:rsid w:val="00141456"/>
    <w:rsid w:val="00141472"/>
    <w:rsid w:val="001414F2"/>
    <w:rsid w:val="00141837"/>
    <w:rsid w:val="0014185E"/>
    <w:rsid w:val="00141862"/>
    <w:rsid w:val="0014186F"/>
    <w:rsid w:val="001419F7"/>
    <w:rsid w:val="00141B06"/>
    <w:rsid w:val="00141C99"/>
    <w:rsid w:val="00141D46"/>
    <w:rsid w:val="00141D7C"/>
    <w:rsid w:val="00141DE7"/>
    <w:rsid w:val="00141DF8"/>
    <w:rsid w:val="00141F0B"/>
    <w:rsid w:val="0014205A"/>
    <w:rsid w:val="00142139"/>
    <w:rsid w:val="00142150"/>
    <w:rsid w:val="001422BF"/>
    <w:rsid w:val="0014231E"/>
    <w:rsid w:val="0014236E"/>
    <w:rsid w:val="0014237E"/>
    <w:rsid w:val="0014240B"/>
    <w:rsid w:val="00142430"/>
    <w:rsid w:val="0014252C"/>
    <w:rsid w:val="0014254F"/>
    <w:rsid w:val="00142610"/>
    <w:rsid w:val="001427EA"/>
    <w:rsid w:val="00142955"/>
    <w:rsid w:val="001429A2"/>
    <w:rsid w:val="001429F9"/>
    <w:rsid w:val="00142AAF"/>
    <w:rsid w:val="00142BDD"/>
    <w:rsid w:val="00142C64"/>
    <w:rsid w:val="00142CE1"/>
    <w:rsid w:val="00142D1C"/>
    <w:rsid w:val="00142DB6"/>
    <w:rsid w:val="00142E40"/>
    <w:rsid w:val="00142EC0"/>
    <w:rsid w:val="00142F76"/>
    <w:rsid w:val="00142F8D"/>
    <w:rsid w:val="00143043"/>
    <w:rsid w:val="0014318F"/>
    <w:rsid w:val="00143213"/>
    <w:rsid w:val="00143341"/>
    <w:rsid w:val="00143421"/>
    <w:rsid w:val="001434BE"/>
    <w:rsid w:val="001435BE"/>
    <w:rsid w:val="0014361C"/>
    <w:rsid w:val="001437A8"/>
    <w:rsid w:val="001438BF"/>
    <w:rsid w:val="001439A7"/>
    <w:rsid w:val="00143C58"/>
    <w:rsid w:val="00143C84"/>
    <w:rsid w:val="00143D02"/>
    <w:rsid w:val="00143D8F"/>
    <w:rsid w:val="00143D90"/>
    <w:rsid w:val="00143FFF"/>
    <w:rsid w:val="00144011"/>
    <w:rsid w:val="0014404F"/>
    <w:rsid w:val="001441A3"/>
    <w:rsid w:val="0014424B"/>
    <w:rsid w:val="0014425C"/>
    <w:rsid w:val="00144329"/>
    <w:rsid w:val="00144342"/>
    <w:rsid w:val="0014435F"/>
    <w:rsid w:val="001443A1"/>
    <w:rsid w:val="0014445E"/>
    <w:rsid w:val="001444EF"/>
    <w:rsid w:val="001444FE"/>
    <w:rsid w:val="0014458B"/>
    <w:rsid w:val="001446BA"/>
    <w:rsid w:val="0014477A"/>
    <w:rsid w:val="00144847"/>
    <w:rsid w:val="0014488A"/>
    <w:rsid w:val="001448E5"/>
    <w:rsid w:val="00144A58"/>
    <w:rsid w:val="00144B75"/>
    <w:rsid w:val="00144E74"/>
    <w:rsid w:val="001450C7"/>
    <w:rsid w:val="001450ED"/>
    <w:rsid w:val="00145136"/>
    <w:rsid w:val="00145138"/>
    <w:rsid w:val="0014527B"/>
    <w:rsid w:val="001452BD"/>
    <w:rsid w:val="001452F7"/>
    <w:rsid w:val="001453A3"/>
    <w:rsid w:val="001453FE"/>
    <w:rsid w:val="00145499"/>
    <w:rsid w:val="001454D8"/>
    <w:rsid w:val="0014551F"/>
    <w:rsid w:val="00145596"/>
    <w:rsid w:val="0014560C"/>
    <w:rsid w:val="00145704"/>
    <w:rsid w:val="00145715"/>
    <w:rsid w:val="0014579A"/>
    <w:rsid w:val="001457E5"/>
    <w:rsid w:val="00145965"/>
    <w:rsid w:val="00145A36"/>
    <w:rsid w:val="00145AC0"/>
    <w:rsid w:val="00145ADF"/>
    <w:rsid w:val="00145BFD"/>
    <w:rsid w:val="00145C87"/>
    <w:rsid w:val="00145CB6"/>
    <w:rsid w:val="00145CDD"/>
    <w:rsid w:val="00145DF4"/>
    <w:rsid w:val="00145E06"/>
    <w:rsid w:val="00145EDB"/>
    <w:rsid w:val="00145EE9"/>
    <w:rsid w:val="00145F3F"/>
    <w:rsid w:val="00145FD6"/>
    <w:rsid w:val="00146003"/>
    <w:rsid w:val="0014605D"/>
    <w:rsid w:val="001460A4"/>
    <w:rsid w:val="0014624B"/>
    <w:rsid w:val="00146291"/>
    <w:rsid w:val="001462CD"/>
    <w:rsid w:val="0014631C"/>
    <w:rsid w:val="0014636F"/>
    <w:rsid w:val="001463B3"/>
    <w:rsid w:val="001463DE"/>
    <w:rsid w:val="00146470"/>
    <w:rsid w:val="00146499"/>
    <w:rsid w:val="001464B2"/>
    <w:rsid w:val="001464C4"/>
    <w:rsid w:val="00146511"/>
    <w:rsid w:val="0014655F"/>
    <w:rsid w:val="001465E8"/>
    <w:rsid w:val="00146671"/>
    <w:rsid w:val="00146723"/>
    <w:rsid w:val="00146726"/>
    <w:rsid w:val="001467DD"/>
    <w:rsid w:val="001468D5"/>
    <w:rsid w:val="0014694C"/>
    <w:rsid w:val="0014696E"/>
    <w:rsid w:val="001469D4"/>
    <w:rsid w:val="00146A4E"/>
    <w:rsid w:val="00146A8B"/>
    <w:rsid w:val="00146ACA"/>
    <w:rsid w:val="00146AE0"/>
    <w:rsid w:val="00146B52"/>
    <w:rsid w:val="00146CEC"/>
    <w:rsid w:val="00146D02"/>
    <w:rsid w:val="00146D7F"/>
    <w:rsid w:val="00146DB4"/>
    <w:rsid w:val="00146DF6"/>
    <w:rsid w:val="00146E1E"/>
    <w:rsid w:val="00146E3C"/>
    <w:rsid w:val="0014710A"/>
    <w:rsid w:val="00147152"/>
    <w:rsid w:val="001471D9"/>
    <w:rsid w:val="00147221"/>
    <w:rsid w:val="00147270"/>
    <w:rsid w:val="001472DF"/>
    <w:rsid w:val="00147301"/>
    <w:rsid w:val="001473D2"/>
    <w:rsid w:val="00147419"/>
    <w:rsid w:val="0014749A"/>
    <w:rsid w:val="0014751C"/>
    <w:rsid w:val="001475FE"/>
    <w:rsid w:val="00147638"/>
    <w:rsid w:val="0014764A"/>
    <w:rsid w:val="001478A4"/>
    <w:rsid w:val="00147908"/>
    <w:rsid w:val="001479AD"/>
    <w:rsid w:val="001479E3"/>
    <w:rsid w:val="00147AC2"/>
    <w:rsid w:val="00147B6B"/>
    <w:rsid w:val="00147C3C"/>
    <w:rsid w:val="00147C7A"/>
    <w:rsid w:val="00147D18"/>
    <w:rsid w:val="00147D33"/>
    <w:rsid w:val="00147DB1"/>
    <w:rsid w:val="00147E98"/>
    <w:rsid w:val="00147F3D"/>
    <w:rsid w:val="00150073"/>
    <w:rsid w:val="001501FB"/>
    <w:rsid w:val="001502CF"/>
    <w:rsid w:val="00150308"/>
    <w:rsid w:val="001503E0"/>
    <w:rsid w:val="00150532"/>
    <w:rsid w:val="00150576"/>
    <w:rsid w:val="0015057E"/>
    <w:rsid w:val="0015067C"/>
    <w:rsid w:val="001506B7"/>
    <w:rsid w:val="001507DD"/>
    <w:rsid w:val="00150819"/>
    <w:rsid w:val="00150867"/>
    <w:rsid w:val="001508BC"/>
    <w:rsid w:val="00150A0E"/>
    <w:rsid w:val="00150B15"/>
    <w:rsid w:val="00150BDD"/>
    <w:rsid w:val="00150C59"/>
    <w:rsid w:val="00150CC2"/>
    <w:rsid w:val="00150D07"/>
    <w:rsid w:val="00150D2B"/>
    <w:rsid w:val="00150D85"/>
    <w:rsid w:val="00150E6D"/>
    <w:rsid w:val="00150ED7"/>
    <w:rsid w:val="001510C1"/>
    <w:rsid w:val="0015110F"/>
    <w:rsid w:val="00151214"/>
    <w:rsid w:val="0015125A"/>
    <w:rsid w:val="0015125B"/>
    <w:rsid w:val="0015147E"/>
    <w:rsid w:val="0015148A"/>
    <w:rsid w:val="0015159B"/>
    <w:rsid w:val="001515E5"/>
    <w:rsid w:val="00151625"/>
    <w:rsid w:val="0015169D"/>
    <w:rsid w:val="001517EA"/>
    <w:rsid w:val="001518C1"/>
    <w:rsid w:val="00151933"/>
    <w:rsid w:val="00151947"/>
    <w:rsid w:val="00151987"/>
    <w:rsid w:val="00151A20"/>
    <w:rsid w:val="00151AC9"/>
    <w:rsid w:val="00151B09"/>
    <w:rsid w:val="00151B12"/>
    <w:rsid w:val="00151BA1"/>
    <w:rsid w:val="00151BAC"/>
    <w:rsid w:val="00151C16"/>
    <w:rsid w:val="00151C49"/>
    <w:rsid w:val="00151CF2"/>
    <w:rsid w:val="00151D87"/>
    <w:rsid w:val="00151D95"/>
    <w:rsid w:val="00151DB4"/>
    <w:rsid w:val="00151DCF"/>
    <w:rsid w:val="00151E01"/>
    <w:rsid w:val="00151E30"/>
    <w:rsid w:val="00151E4A"/>
    <w:rsid w:val="0015207E"/>
    <w:rsid w:val="00152139"/>
    <w:rsid w:val="0015220B"/>
    <w:rsid w:val="00152233"/>
    <w:rsid w:val="0015229A"/>
    <w:rsid w:val="001522E7"/>
    <w:rsid w:val="00152358"/>
    <w:rsid w:val="0015239D"/>
    <w:rsid w:val="001524CC"/>
    <w:rsid w:val="00152581"/>
    <w:rsid w:val="00152627"/>
    <w:rsid w:val="001526E6"/>
    <w:rsid w:val="0015282C"/>
    <w:rsid w:val="0015288B"/>
    <w:rsid w:val="00152ABC"/>
    <w:rsid w:val="00152B22"/>
    <w:rsid w:val="00152BD5"/>
    <w:rsid w:val="00152DA3"/>
    <w:rsid w:val="00152DA9"/>
    <w:rsid w:val="00152DEA"/>
    <w:rsid w:val="00152E60"/>
    <w:rsid w:val="00152E64"/>
    <w:rsid w:val="00152E75"/>
    <w:rsid w:val="00153048"/>
    <w:rsid w:val="0015312D"/>
    <w:rsid w:val="00153183"/>
    <w:rsid w:val="0015319E"/>
    <w:rsid w:val="001531A7"/>
    <w:rsid w:val="001531B0"/>
    <w:rsid w:val="0015323D"/>
    <w:rsid w:val="001532A2"/>
    <w:rsid w:val="0015331C"/>
    <w:rsid w:val="00153524"/>
    <w:rsid w:val="001536D2"/>
    <w:rsid w:val="001536FF"/>
    <w:rsid w:val="0015370C"/>
    <w:rsid w:val="0015373C"/>
    <w:rsid w:val="001537DE"/>
    <w:rsid w:val="0015387C"/>
    <w:rsid w:val="0015399E"/>
    <w:rsid w:val="00153BD8"/>
    <w:rsid w:val="00153C69"/>
    <w:rsid w:val="00153C7B"/>
    <w:rsid w:val="00153DE8"/>
    <w:rsid w:val="00153E0D"/>
    <w:rsid w:val="00153E1F"/>
    <w:rsid w:val="00153F01"/>
    <w:rsid w:val="00153F3C"/>
    <w:rsid w:val="001540C4"/>
    <w:rsid w:val="00154374"/>
    <w:rsid w:val="001543EC"/>
    <w:rsid w:val="00154480"/>
    <w:rsid w:val="0015448E"/>
    <w:rsid w:val="0015449C"/>
    <w:rsid w:val="001545B3"/>
    <w:rsid w:val="001546D0"/>
    <w:rsid w:val="00154704"/>
    <w:rsid w:val="0015472D"/>
    <w:rsid w:val="0015477B"/>
    <w:rsid w:val="00154796"/>
    <w:rsid w:val="001547C3"/>
    <w:rsid w:val="001548A4"/>
    <w:rsid w:val="001548E9"/>
    <w:rsid w:val="00154A1C"/>
    <w:rsid w:val="00154A85"/>
    <w:rsid w:val="00154C5D"/>
    <w:rsid w:val="00154D8E"/>
    <w:rsid w:val="00154D96"/>
    <w:rsid w:val="00154D97"/>
    <w:rsid w:val="00154E45"/>
    <w:rsid w:val="0015503D"/>
    <w:rsid w:val="001550FA"/>
    <w:rsid w:val="001551A8"/>
    <w:rsid w:val="001553AF"/>
    <w:rsid w:val="0015542C"/>
    <w:rsid w:val="00155473"/>
    <w:rsid w:val="001554D3"/>
    <w:rsid w:val="00155509"/>
    <w:rsid w:val="0015550F"/>
    <w:rsid w:val="00155585"/>
    <w:rsid w:val="00155762"/>
    <w:rsid w:val="001557AD"/>
    <w:rsid w:val="0015584E"/>
    <w:rsid w:val="00155AFB"/>
    <w:rsid w:val="00155B7C"/>
    <w:rsid w:val="00155EB6"/>
    <w:rsid w:val="00155F1F"/>
    <w:rsid w:val="00155F41"/>
    <w:rsid w:val="00155F53"/>
    <w:rsid w:val="00155F65"/>
    <w:rsid w:val="00155F76"/>
    <w:rsid w:val="00155FCC"/>
    <w:rsid w:val="00156008"/>
    <w:rsid w:val="00156034"/>
    <w:rsid w:val="00156040"/>
    <w:rsid w:val="001561A0"/>
    <w:rsid w:val="001561C0"/>
    <w:rsid w:val="00156255"/>
    <w:rsid w:val="00156338"/>
    <w:rsid w:val="0015643B"/>
    <w:rsid w:val="001564A1"/>
    <w:rsid w:val="001565BB"/>
    <w:rsid w:val="0015660F"/>
    <w:rsid w:val="0015666E"/>
    <w:rsid w:val="00156711"/>
    <w:rsid w:val="00156780"/>
    <w:rsid w:val="00156994"/>
    <w:rsid w:val="001569A0"/>
    <w:rsid w:val="00156A5D"/>
    <w:rsid w:val="00156B59"/>
    <w:rsid w:val="00156BBD"/>
    <w:rsid w:val="00156CC3"/>
    <w:rsid w:val="00156D37"/>
    <w:rsid w:val="00156E77"/>
    <w:rsid w:val="00156E9C"/>
    <w:rsid w:val="00156EE4"/>
    <w:rsid w:val="00156F5A"/>
    <w:rsid w:val="00157154"/>
    <w:rsid w:val="001571A8"/>
    <w:rsid w:val="001571AC"/>
    <w:rsid w:val="001571E1"/>
    <w:rsid w:val="001572A6"/>
    <w:rsid w:val="001572F1"/>
    <w:rsid w:val="00157331"/>
    <w:rsid w:val="001574AF"/>
    <w:rsid w:val="001574E8"/>
    <w:rsid w:val="00157635"/>
    <w:rsid w:val="00157649"/>
    <w:rsid w:val="001576CB"/>
    <w:rsid w:val="00157702"/>
    <w:rsid w:val="001578A5"/>
    <w:rsid w:val="001578A6"/>
    <w:rsid w:val="0015791F"/>
    <w:rsid w:val="00157974"/>
    <w:rsid w:val="001579D4"/>
    <w:rsid w:val="00157A8D"/>
    <w:rsid w:val="00157AAB"/>
    <w:rsid w:val="00157B9C"/>
    <w:rsid w:val="00157BF8"/>
    <w:rsid w:val="00157C1F"/>
    <w:rsid w:val="00157D7A"/>
    <w:rsid w:val="00157E95"/>
    <w:rsid w:val="00160093"/>
    <w:rsid w:val="001603C8"/>
    <w:rsid w:val="00160472"/>
    <w:rsid w:val="0016062D"/>
    <w:rsid w:val="00160676"/>
    <w:rsid w:val="001606AF"/>
    <w:rsid w:val="001606DD"/>
    <w:rsid w:val="0016074C"/>
    <w:rsid w:val="00160754"/>
    <w:rsid w:val="00160863"/>
    <w:rsid w:val="0016086E"/>
    <w:rsid w:val="00160F41"/>
    <w:rsid w:val="00160F9D"/>
    <w:rsid w:val="00161024"/>
    <w:rsid w:val="001610F1"/>
    <w:rsid w:val="00161141"/>
    <w:rsid w:val="001611C8"/>
    <w:rsid w:val="0016120F"/>
    <w:rsid w:val="00161246"/>
    <w:rsid w:val="001613CB"/>
    <w:rsid w:val="0016143E"/>
    <w:rsid w:val="00161514"/>
    <w:rsid w:val="00161595"/>
    <w:rsid w:val="001615D2"/>
    <w:rsid w:val="001615F1"/>
    <w:rsid w:val="001615F2"/>
    <w:rsid w:val="00161606"/>
    <w:rsid w:val="00161801"/>
    <w:rsid w:val="0016185B"/>
    <w:rsid w:val="00161874"/>
    <w:rsid w:val="00161A13"/>
    <w:rsid w:val="00161A4F"/>
    <w:rsid w:val="00161ADD"/>
    <w:rsid w:val="00161BB4"/>
    <w:rsid w:val="00161E72"/>
    <w:rsid w:val="00161E77"/>
    <w:rsid w:val="00161EB2"/>
    <w:rsid w:val="00161F34"/>
    <w:rsid w:val="00161F6B"/>
    <w:rsid w:val="0016201A"/>
    <w:rsid w:val="001620B2"/>
    <w:rsid w:val="00162114"/>
    <w:rsid w:val="00162190"/>
    <w:rsid w:val="00162268"/>
    <w:rsid w:val="0016231E"/>
    <w:rsid w:val="00162444"/>
    <w:rsid w:val="00162625"/>
    <w:rsid w:val="0016266C"/>
    <w:rsid w:val="001626FB"/>
    <w:rsid w:val="00162702"/>
    <w:rsid w:val="001627A5"/>
    <w:rsid w:val="001627DB"/>
    <w:rsid w:val="001627F0"/>
    <w:rsid w:val="0016297D"/>
    <w:rsid w:val="00162A81"/>
    <w:rsid w:val="00162A9F"/>
    <w:rsid w:val="00162B9A"/>
    <w:rsid w:val="00162BCF"/>
    <w:rsid w:val="00162C8A"/>
    <w:rsid w:val="00162D4C"/>
    <w:rsid w:val="00162E6C"/>
    <w:rsid w:val="001630AC"/>
    <w:rsid w:val="00163128"/>
    <w:rsid w:val="0016320F"/>
    <w:rsid w:val="001632A9"/>
    <w:rsid w:val="001632B9"/>
    <w:rsid w:val="00163338"/>
    <w:rsid w:val="00163354"/>
    <w:rsid w:val="001633D4"/>
    <w:rsid w:val="00163455"/>
    <w:rsid w:val="001636AD"/>
    <w:rsid w:val="0016376F"/>
    <w:rsid w:val="001639E5"/>
    <w:rsid w:val="00163AA0"/>
    <w:rsid w:val="00163AB9"/>
    <w:rsid w:val="00163B1B"/>
    <w:rsid w:val="00163C2E"/>
    <w:rsid w:val="00163C65"/>
    <w:rsid w:val="00163E57"/>
    <w:rsid w:val="00163E5F"/>
    <w:rsid w:val="00163F9D"/>
    <w:rsid w:val="0016406D"/>
    <w:rsid w:val="001640E3"/>
    <w:rsid w:val="001640FA"/>
    <w:rsid w:val="00164184"/>
    <w:rsid w:val="001641A1"/>
    <w:rsid w:val="00164211"/>
    <w:rsid w:val="00164244"/>
    <w:rsid w:val="0016427C"/>
    <w:rsid w:val="00164345"/>
    <w:rsid w:val="0016436A"/>
    <w:rsid w:val="00164398"/>
    <w:rsid w:val="00164407"/>
    <w:rsid w:val="001644B1"/>
    <w:rsid w:val="0016453C"/>
    <w:rsid w:val="001645C9"/>
    <w:rsid w:val="0016464E"/>
    <w:rsid w:val="001646B7"/>
    <w:rsid w:val="0016477B"/>
    <w:rsid w:val="001647DB"/>
    <w:rsid w:val="0016484C"/>
    <w:rsid w:val="00164866"/>
    <w:rsid w:val="00164871"/>
    <w:rsid w:val="001648DD"/>
    <w:rsid w:val="001649EA"/>
    <w:rsid w:val="00164A09"/>
    <w:rsid w:val="00164A0C"/>
    <w:rsid w:val="00164A87"/>
    <w:rsid w:val="00164B40"/>
    <w:rsid w:val="00164B81"/>
    <w:rsid w:val="00164B83"/>
    <w:rsid w:val="00164C4E"/>
    <w:rsid w:val="00164DCF"/>
    <w:rsid w:val="00164EC6"/>
    <w:rsid w:val="00165042"/>
    <w:rsid w:val="00165180"/>
    <w:rsid w:val="00165185"/>
    <w:rsid w:val="001651D6"/>
    <w:rsid w:val="00165202"/>
    <w:rsid w:val="0016544F"/>
    <w:rsid w:val="001654AF"/>
    <w:rsid w:val="001654E5"/>
    <w:rsid w:val="00165544"/>
    <w:rsid w:val="001655A9"/>
    <w:rsid w:val="00165667"/>
    <w:rsid w:val="00165668"/>
    <w:rsid w:val="001656AC"/>
    <w:rsid w:val="00165731"/>
    <w:rsid w:val="00165736"/>
    <w:rsid w:val="00165787"/>
    <w:rsid w:val="00165811"/>
    <w:rsid w:val="0016585D"/>
    <w:rsid w:val="001658B9"/>
    <w:rsid w:val="00165A10"/>
    <w:rsid w:val="00165A8D"/>
    <w:rsid w:val="00165A8E"/>
    <w:rsid w:val="00165B41"/>
    <w:rsid w:val="00165B59"/>
    <w:rsid w:val="00165B66"/>
    <w:rsid w:val="00165C42"/>
    <w:rsid w:val="00165C89"/>
    <w:rsid w:val="00165CC5"/>
    <w:rsid w:val="00165D0E"/>
    <w:rsid w:val="00165D4C"/>
    <w:rsid w:val="00165E81"/>
    <w:rsid w:val="00166147"/>
    <w:rsid w:val="001661DA"/>
    <w:rsid w:val="00166257"/>
    <w:rsid w:val="001663E7"/>
    <w:rsid w:val="001664C1"/>
    <w:rsid w:val="00166515"/>
    <w:rsid w:val="001665E6"/>
    <w:rsid w:val="00166788"/>
    <w:rsid w:val="001668F4"/>
    <w:rsid w:val="0016692E"/>
    <w:rsid w:val="00166A05"/>
    <w:rsid w:val="00166A2C"/>
    <w:rsid w:val="00166A2F"/>
    <w:rsid w:val="00166AEE"/>
    <w:rsid w:val="00166AF4"/>
    <w:rsid w:val="00166B98"/>
    <w:rsid w:val="00166C1A"/>
    <w:rsid w:val="00166C9F"/>
    <w:rsid w:val="00166CEB"/>
    <w:rsid w:val="00166E2F"/>
    <w:rsid w:val="00166F01"/>
    <w:rsid w:val="00166F3D"/>
    <w:rsid w:val="001670B0"/>
    <w:rsid w:val="001670EB"/>
    <w:rsid w:val="00167225"/>
    <w:rsid w:val="0016723C"/>
    <w:rsid w:val="0016727D"/>
    <w:rsid w:val="0016730C"/>
    <w:rsid w:val="0016737A"/>
    <w:rsid w:val="001673B3"/>
    <w:rsid w:val="001673E3"/>
    <w:rsid w:val="00167415"/>
    <w:rsid w:val="00167425"/>
    <w:rsid w:val="0016754D"/>
    <w:rsid w:val="00167645"/>
    <w:rsid w:val="0016764F"/>
    <w:rsid w:val="0016770F"/>
    <w:rsid w:val="00167713"/>
    <w:rsid w:val="00167729"/>
    <w:rsid w:val="001677CA"/>
    <w:rsid w:val="00167832"/>
    <w:rsid w:val="00167B0D"/>
    <w:rsid w:val="00167BDD"/>
    <w:rsid w:val="00167CEF"/>
    <w:rsid w:val="00167D46"/>
    <w:rsid w:val="00167E0F"/>
    <w:rsid w:val="00167E56"/>
    <w:rsid w:val="00167EF8"/>
    <w:rsid w:val="00167F3E"/>
    <w:rsid w:val="00170014"/>
    <w:rsid w:val="0017022B"/>
    <w:rsid w:val="001704CF"/>
    <w:rsid w:val="001706AE"/>
    <w:rsid w:val="00170747"/>
    <w:rsid w:val="0017075D"/>
    <w:rsid w:val="00170776"/>
    <w:rsid w:val="00170900"/>
    <w:rsid w:val="0017091C"/>
    <w:rsid w:val="00170A14"/>
    <w:rsid w:val="00170A34"/>
    <w:rsid w:val="00170AC2"/>
    <w:rsid w:val="00170B28"/>
    <w:rsid w:val="00170C25"/>
    <w:rsid w:val="00170CA4"/>
    <w:rsid w:val="00170CD2"/>
    <w:rsid w:val="00170DFE"/>
    <w:rsid w:val="00170E58"/>
    <w:rsid w:val="00170E77"/>
    <w:rsid w:val="00170EA5"/>
    <w:rsid w:val="00170EAF"/>
    <w:rsid w:val="00170F59"/>
    <w:rsid w:val="00170FB2"/>
    <w:rsid w:val="0017116E"/>
    <w:rsid w:val="00171197"/>
    <w:rsid w:val="00171289"/>
    <w:rsid w:val="0017141B"/>
    <w:rsid w:val="001714BC"/>
    <w:rsid w:val="001714C0"/>
    <w:rsid w:val="001714D3"/>
    <w:rsid w:val="001714D5"/>
    <w:rsid w:val="00171599"/>
    <w:rsid w:val="001716FB"/>
    <w:rsid w:val="001719A8"/>
    <w:rsid w:val="00171A1D"/>
    <w:rsid w:val="00171BB7"/>
    <w:rsid w:val="00171BE7"/>
    <w:rsid w:val="00171C02"/>
    <w:rsid w:val="00171C73"/>
    <w:rsid w:val="00171CBA"/>
    <w:rsid w:val="00171CEA"/>
    <w:rsid w:val="00171EBD"/>
    <w:rsid w:val="00171ED8"/>
    <w:rsid w:val="00171F18"/>
    <w:rsid w:val="001720A7"/>
    <w:rsid w:val="001722D4"/>
    <w:rsid w:val="001722FC"/>
    <w:rsid w:val="00172347"/>
    <w:rsid w:val="0017237F"/>
    <w:rsid w:val="00172472"/>
    <w:rsid w:val="001726DD"/>
    <w:rsid w:val="0017270D"/>
    <w:rsid w:val="00172878"/>
    <w:rsid w:val="001728DB"/>
    <w:rsid w:val="00172B3B"/>
    <w:rsid w:val="00172BEB"/>
    <w:rsid w:val="00172C7B"/>
    <w:rsid w:val="00172E55"/>
    <w:rsid w:val="00172F6F"/>
    <w:rsid w:val="00172F9D"/>
    <w:rsid w:val="0017311C"/>
    <w:rsid w:val="00173357"/>
    <w:rsid w:val="00173432"/>
    <w:rsid w:val="00173483"/>
    <w:rsid w:val="001734AD"/>
    <w:rsid w:val="00173521"/>
    <w:rsid w:val="00173531"/>
    <w:rsid w:val="001737DC"/>
    <w:rsid w:val="001738F6"/>
    <w:rsid w:val="0017392A"/>
    <w:rsid w:val="00173A14"/>
    <w:rsid w:val="00173A4D"/>
    <w:rsid w:val="00173A74"/>
    <w:rsid w:val="00173B28"/>
    <w:rsid w:val="00173B64"/>
    <w:rsid w:val="00173DC3"/>
    <w:rsid w:val="00173E7A"/>
    <w:rsid w:val="00173EEA"/>
    <w:rsid w:val="00173F89"/>
    <w:rsid w:val="00173FC1"/>
    <w:rsid w:val="001740D4"/>
    <w:rsid w:val="0017410C"/>
    <w:rsid w:val="001741D4"/>
    <w:rsid w:val="0017420B"/>
    <w:rsid w:val="001742FE"/>
    <w:rsid w:val="00174355"/>
    <w:rsid w:val="00174432"/>
    <w:rsid w:val="001744BF"/>
    <w:rsid w:val="0017453A"/>
    <w:rsid w:val="00174579"/>
    <w:rsid w:val="001745B8"/>
    <w:rsid w:val="0017469E"/>
    <w:rsid w:val="0017471E"/>
    <w:rsid w:val="0017479F"/>
    <w:rsid w:val="00174808"/>
    <w:rsid w:val="0017482E"/>
    <w:rsid w:val="001748A8"/>
    <w:rsid w:val="001748C5"/>
    <w:rsid w:val="001748F3"/>
    <w:rsid w:val="0017491B"/>
    <w:rsid w:val="00174949"/>
    <w:rsid w:val="001749E8"/>
    <w:rsid w:val="00174A8B"/>
    <w:rsid w:val="00174A8C"/>
    <w:rsid w:val="00174DB5"/>
    <w:rsid w:val="00174FCC"/>
    <w:rsid w:val="00174FEE"/>
    <w:rsid w:val="00175009"/>
    <w:rsid w:val="00175071"/>
    <w:rsid w:val="001750B5"/>
    <w:rsid w:val="0017519F"/>
    <w:rsid w:val="001751C1"/>
    <w:rsid w:val="00175255"/>
    <w:rsid w:val="0017527A"/>
    <w:rsid w:val="0017531F"/>
    <w:rsid w:val="0017532C"/>
    <w:rsid w:val="00175331"/>
    <w:rsid w:val="0017535B"/>
    <w:rsid w:val="0017548A"/>
    <w:rsid w:val="001754D5"/>
    <w:rsid w:val="00175536"/>
    <w:rsid w:val="00175583"/>
    <w:rsid w:val="00175895"/>
    <w:rsid w:val="00175A73"/>
    <w:rsid w:val="00175B55"/>
    <w:rsid w:val="00175BE9"/>
    <w:rsid w:val="00175C1F"/>
    <w:rsid w:val="00175CE1"/>
    <w:rsid w:val="00175DE2"/>
    <w:rsid w:val="00175DEF"/>
    <w:rsid w:val="00175E85"/>
    <w:rsid w:val="00175ED4"/>
    <w:rsid w:val="00175FE1"/>
    <w:rsid w:val="00176131"/>
    <w:rsid w:val="001761F0"/>
    <w:rsid w:val="0017626E"/>
    <w:rsid w:val="00176286"/>
    <w:rsid w:val="001762D4"/>
    <w:rsid w:val="00176366"/>
    <w:rsid w:val="001763B1"/>
    <w:rsid w:val="001763BB"/>
    <w:rsid w:val="00176424"/>
    <w:rsid w:val="001764CD"/>
    <w:rsid w:val="0017650C"/>
    <w:rsid w:val="0017654C"/>
    <w:rsid w:val="001765D6"/>
    <w:rsid w:val="0017674C"/>
    <w:rsid w:val="0017676A"/>
    <w:rsid w:val="001768C1"/>
    <w:rsid w:val="00176986"/>
    <w:rsid w:val="0017699E"/>
    <w:rsid w:val="00176A04"/>
    <w:rsid w:val="00176A69"/>
    <w:rsid w:val="00176AB5"/>
    <w:rsid w:val="00176ABD"/>
    <w:rsid w:val="00176AE1"/>
    <w:rsid w:val="00176B38"/>
    <w:rsid w:val="00176B41"/>
    <w:rsid w:val="00176B61"/>
    <w:rsid w:val="00176BBA"/>
    <w:rsid w:val="00176C07"/>
    <w:rsid w:val="00176C2F"/>
    <w:rsid w:val="00176CBF"/>
    <w:rsid w:val="00176D29"/>
    <w:rsid w:val="00176D9D"/>
    <w:rsid w:val="00176DED"/>
    <w:rsid w:val="00176EC0"/>
    <w:rsid w:val="00176EDB"/>
    <w:rsid w:val="00176F8D"/>
    <w:rsid w:val="00176FEF"/>
    <w:rsid w:val="00177065"/>
    <w:rsid w:val="00177067"/>
    <w:rsid w:val="001770BA"/>
    <w:rsid w:val="0017716B"/>
    <w:rsid w:val="0017727C"/>
    <w:rsid w:val="00177471"/>
    <w:rsid w:val="001774EA"/>
    <w:rsid w:val="0017764D"/>
    <w:rsid w:val="00177924"/>
    <w:rsid w:val="00177973"/>
    <w:rsid w:val="00177988"/>
    <w:rsid w:val="00177A9B"/>
    <w:rsid w:val="00177B1A"/>
    <w:rsid w:val="00177D06"/>
    <w:rsid w:val="00177D31"/>
    <w:rsid w:val="00177EB9"/>
    <w:rsid w:val="00177FC5"/>
    <w:rsid w:val="00180006"/>
    <w:rsid w:val="0018001A"/>
    <w:rsid w:val="00180085"/>
    <w:rsid w:val="001800E9"/>
    <w:rsid w:val="0018011E"/>
    <w:rsid w:val="00180143"/>
    <w:rsid w:val="00180165"/>
    <w:rsid w:val="001801CF"/>
    <w:rsid w:val="001801E2"/>
    <w:rsid w:val="001801FE"/>
    <w:rsid w:val="00180218"/>
    <w:rsid w:val="0018027F"/>
    <w:rsid w:val="001802C5"/>
    <w:rsid w:val="00180399"/>
    <w:rsid w:val="001804AA"/>
    <w:rsid w:val="00180707"/>
    <w:rsid w:val="00180728"/>
    <w:rsid w:val="00180823"/>
    <w:rsid w:val="0018084F"/>
    <w:rsid w:val="00180966"/>
    <w:rsid w:val="001809E6"/>
    <w:rsid w:val="00180A19"/>
    <w:rsid w:val="00180AF0"/>
    <w:rsid w:val="00180B2F"/>
    <w:rsid w:val="00180BB6"/>
    <w:rsid w:val="00180C35"/>
    <w:rsid w:val="00180D84"/>
    <w:rsid w:val="00180E1B"/>
    <w:rsid w:val="00180E37"/>
    <w:rsid w:val="0018107F"/>
    <w:rsid w:val="0018124A"/>
    <w:rsid w:val="0018133D"/>
    <w:rsid w:val="0018134B"/>
    <w:rsid w:val="001814E1"/>
    <w:rsid w:val="00181631"/>
    <w:rsid w:val="00181646"/>
    <w:rsid w:val="00181705"/>
    <w:rsid w:val="0018179C"/>
    <w:rsid w:val="0018185B"/>
    <w:rsid w:val="001818E0"/>
    <w:rsid w:val="00181915"/>
    <w:rsid w:val="00181AE7"/>
    <w:rsid w:val="00181B60"/>
    <w:rsid w:val="00181B81"/>
    <w:rsid w:val="00181BC2"/>
    <w:rsid w:val="00181C01"/>
    <w:rsid w:val="00181C16"/>
    <w:rsid w:val="00181CA6"/>
    <w:rsid w:val="00181DC5"/>
    <w:rsid w:val="00181DCB"/>
    <w:rsid w:val="00181EB7"/>
    <w:rsid w:val="00181FD9"/>
    <w:rsid w:val="00182009"/>
    <w:rsid w:val="001821A5"/>
    <w:rsid w:val="0018220B"/>
    <w:rsid w:val="00182286"/>
    <w:rsid w:val="0018229D"/>
    <w:rsid w:val="001822F4"/>
    <w:rsid w:val="00182369"/>
    <w:rsid w:val="001823AC"/>
    <w:rsid w:val="001823B9"/>
    <w:rsid w:val="001823EF"/>
    <w:rsid w:val="00182651"/>
    <w:rsid w:val="0018276B"/>
    <w:rsid w:val="00182828"/>
    <w:rsid w:val="001828C6"/>
    <w:rsid w:val="00182965"/>
    <w:rsid w:val="00182969"/>
    <w:rsid w:val="001829BE"/>
    <w:rsid w:val="00182A1B"/>
    <w:rsid w:val="00182A36"/>
    <w:rsid w:val="00182BA6"/>
    <w:rsid w:val="00182BC6"/>
    <w:rsid w:val="00182D46"/>
    <w:rsid w:val="00182E77"/>
    <w:rsid w:val="00182F6A"/>
    <w:rsid w:val="00182F79"/>
    <w:rsid w:val="00183023"/>
    <w:rsid w:val="00183062"/>
    <w:rsid w:val="00183100"/>
    <w:rsid w:val="00183154"/>
    <w:rsid w:val="0018317D"/>
    <w:rsid w:val="001831C8"/>
    <w:rsid w:val="001831D1"/>
    <w:rsid w:val="001831F8"/>
    <w:rsid w:val="00183296"/>
    <w:rsid w:val="00183342"/>
    <w:rsid w:val="0018338F"/>
    <w:rsid w:val="0018348E"/>
    <w:rsid w:val="001834AA"/>
    <w:rsid w:val="001835F8"/>
    <w:rsid w:val="0018372A"/>
    <w:rsid w:val="0018385A"/>
    <w:rsid w:val="001838D3"/>
    <w:rsid w:val="00183A72"/>
    <w:rsid w:val="00183B07"/>
    <w:rsid w:val="00183B1C"/>
    <w:rsid w:val="00183B64"/>
    <w:rsid w:val="00183C55"/>
    <w:rsid w:val="00183CCD"/>
    <w:rsid w:val="00183D2E"/>
    <w:rsid w:val="00183E57"/>
    <w:rsid w:val="00183EF2"/>
    <w:rsid w:val="00183FA7"/>
    <w:rsid w:val="00184040"/>
    <w:rsid w:val="00184070"/>
    <w:rsid w:val="0018415B"/>
    <w:rsid w:val="0018416D"/>
    <w:rsid w:val="00184272"/>
    <w:rsid w:val="00184336"/>
    <w:rsid w:val="001843E0"/>
    <w:rsid w:val="001843F5"/>
    <w:rsid w:val="0018442F"/>
    <w:rsid w:val="0018451E"/>
    <w:rsid w:val="00184527"/>
    <w:rsid w:val="00184718"/>
    <w:rsid w:val="001847FB"/>
    <w:rsid w:val="00184870"/>
    <w:rsid w:val="0018488E"/>
    <w:rsid w:val="00184904"/>
    <w:rsid w:val="00184955"/>
    <w:rsid w:val="001849EA"/>
    <w:rsid w:val="00184A01"/>
    <w:rsid w:val="00184B09"/>
    <w:rsid w:val="00184B29"/>
    <w:rsid w:val="00184C0B"/>
    <w:rsid w:val="00184C19"/>
    <w:rsid w:val="00184CE1"/>
    <w:rsid w:val="00184DEE"/>
    <w:rsid w:val="00184DFF"/>
    <w:rsid w:val="00184EE2"/>
    <w:rsid w:val="00184F82"/>
    <w:rsid w:val="001850B0"/>
    <w:rsid w:val="00185110"/>
    <w:rsid w:val="001851C6"/>
    <w:rsid w:val="00185280"/>
    <w:rsid w:val="001854BB"/>
    <w:rsid w:val="00185530"/>
    <w:rsid w:val="00185762"/>
    <w:rsid w:val="0018590E"/>
    <w:rsid w:val="00185AC0"/>
    <w:rsid w:val="00185AEB"/>
    <w:rsid w:val="00185B11"/>
    <w:rsid w:val="00185C5F"/>
    <w:rsid w:val="00185CEC"/>
    <w:rsid w:val="00185D08"/>
    <w:rsid w:val="00185D3A"/>
    <w:rsid w:val="00185DEA"/>
    <w:rsid w:val="00185E81"/>
    <w:rsid w:val="00185EB8"/>
    <w:rsid w:val="00185F44"/>
    <w:rsid w:val="00185F9D"/>
    <w:rsid w:val="00185FEE"/>
    <w:rsid w:val="001860D9"/>
    <w:rsid w:val="001861F6"/>
    <w:rsid w:val="001862AE"/>
    <w:rsid w:val="00186337"/>
    <w:rsid w:val="0018633A"/>
    <w:rsid w:val="00186358"/>
    <w:rsid w:val="001863E0"/>
    <w:rsid w:val="001863E9"/>
    <w:rsid w:val="0018649C"/>
    <w:rsid w:val="001864A1"/>
    <w:rsid w:val="001864A5"/>
    <w:rsid w:val="0018667F"/>
    <w:rsid w:val="001866DB"/>
    <w:rsid w:val="001866F8"/>
    <w:rsid w:val="001867AE"/>
    <w:rsid w:val="00186864"/>
    <w:rsid w:val="001868A6"/>
    <w:rsid w:val="00186A22"/>
    <w:rsid w:val="00186A80"/>
    <w:rsid w:val="00186AAD"/>
    <w:rsid w:val="00186AC2"/>
    <w:rsid w:val="00186BE4"/>
    <w:rsid w:val="00186C88"/>
    <w:rsid w:val="00186CC0"/>
    <w:rsid w:val="00186DF1"/>
    <w:rsid w:val="00186FCA"/>
    <w:rsid w:val="00187024"/>
    <w:rsid w:val="00187092"/>
    <w:rsid w:val="00187164"/>
    <w:rsid w:val="00187293"/>
    <w:rsid w:val="001872D1"/>
    <w:rsid w:val="00187353"/>
    <w:rsid w:val="001873B2"/>
    <w:rsid w:val="0018745A"/>
    <w:rsid w:val="001874E2"/>
    <w:rsid w:val="00187546"/>
    <w:rsid w:val="00187585"/>
    <w:rsid w:val="00187683"/>
    <w:rsid w:val="001876D6"/>
    <w:rsid w:val="00187749"/>
    <w:rsid w:val="0018776F"/>
    <w:rsid w:val="0018777D"/>
    <w:rsid w:val="0018779B"/>
    <w:rsid w:val="00187834"/>
    <w:rsid w:val="0018788F"/>
    <w:rsid w:val="00187922"/>
    <w:rsid w:val="001879C6"/>
    <w:rsid w:val="001879ED"/>
    <w:rsid w:val="00187A1E"/>
    <w:rsid w:val="00187B92"/>
    <w:rsid w:val="00187C05"/>
    <w:rsid w:val="00187D09"/>
    <w:rsid w:val="00187D3F"/>
    <w:rsid w:val="00187E26"/>
    <w:rsid w:val="00187E79"/>
    <w:rsid w:val="00187ECA"/>
    <w:rsid w:val="00190191"/>
    <w:rsid w:val="001902D5"/>
    <w:rsid w:val="001902DE"/>
    <w:rsid w:val="001903BE"/>
    <w:rsid w:val="0019046C"/>
    <w:rsid w:val="00190474"/>
    <w:rsid w:val="00190576"/>
    <w:rsid w:val="00190652"/>
    <w:rsid w:val="001906D5"/>
    <w:rsid w:val="00190704"/>
    <w:rsid w:val="0019070A"/>
    <w:rsid w:val="001907B4"/>
    <w:rsid w:val="001907F4"/>
    <w:rsid w:val="00190A69"/>
    <w:rsid w:val="00190A6E"/>
    <w:rsid w:val="00190B1C"/>
    <w:rsid w:val="00190B47"/>
    <w:rsid w:val="00190C10"/>
    <w:rsid w:val="00190D27"/>
    <w:rsid w:val="00190D55"/>
    <w:rsid w:val="00190DC5"/>
    <w:rsid w:val="00190E5E"/>
    <w:rsid w:val="00190E71"/>
    <w:rsid w:val="00190F15"/>
    <w:rsid w:val="00190F31"/>
    <w:rsid w:val="00190FF8"/>
    <w:rsid w:val="00191033"/>
    <w:rsid w:val="0019104A"/>
    <w:rsid w:val="0019107E"/>
    <w:rsid w:val="00191089"/>
    <w:rsid w:val="001910E1"/>
    <w:rsid w:val="001910E8"/>
    <w:rsid w:val="001910EA"/>
    <w:rsid w:val="001910F9"/>
    <w:rsid w:val="00191157"/>
    <w:rsid w:val="001911AA"/>
    <w:rsid w:val="001913FF"/>
    <w:rsid w:val="0019154A"/>
    <w:rsid w:val="00191616"/>
    <w:rsid w:val="00191749"/>
    <w:rsid w:val="001917BC"/>
    <w:rsid w:val="001918A4"/>
    <w:rsid w:val="00191915"/>
    <w:rsid w:val="00191952"/>
    <w:rsid w:val="001919EE"/>
    <w:rsid w:val="00191A1A"/>
    <w:rsid w:val="00191A28"/>
    <w:rsid w:val="00191A2B"/>
    <w:rsid w:val="00191AB0"/>
    <w:rsid w:val="00191ACE"/>
    <w:rsid w:val="00191C21"/>
    <w:rsid w:val="00191DA8"/>
    <w:rsid w:val="00191DB5"/>
    <w:rsid w:val="00191E11"/>
    <w:rsid w:val="00191E41"/>
    <w:rsid w:val="00191ECD"/>
    <w:rsid w:val="00191F82"/>
    <w:rsid w:val="0019200D"/>
    <w:rsid w:val="00192048"/>
    <w:rsid w:val="001921E8"/>
    <w:rsid w:val="00192273"/>
    <w:rsid w:val="0019229C"/>
    <w:rsid w:val="001922EE"/>
    <w:rsid w:val="00192317"/>
    <w:rsid w:val="001923AC"/>
    <w:rsid w:val="00192468"/>
    <w:rsid w:val="00192554"/>
    <w:rsid w:val="0019257D"/>
    <w:rsid w:val="00192588"/>
    <w:rsid w:val="001926A6"/>
    <w:rsid w:val="0019282E"/>
    <w:rsid w:val="001928AA"/>
    <w:rsid w:val="001928BE"/>
    <w:rsid w:val="00192907"/>
    <w:rsid w:val="00192994"/>
    <w:rsid w:val="00192A07"/>
    <w:rsid w:val="00192BB0"/>
    <w:rsid w:val="00192BC8"/>
    <w:rsid w:val="00192C3E"/>
    <w:rsid w:val="00192C79"/>
    <w:rsid w:val="00192C7B"/>
    <w:rsid w:val="00192CF9"/>
    <w:rsid w:val="00192D28"/>
    <w:rsid w:val="00192E55"/>
    <w:rsid w:val="00192F56"/>
    <w:rsid w:val="00192F6F"/>
    <w:rsid w:val="0019306F"/>
    <w:rsid w:val="001930BE"/>
    <w:rsid w:val="0019326C"/>
    <w:rsid w:val="0019331A"/>
    <w:rsid w:val="00193435"/>
    <w:rsid w:val="00193510"/>
    <w:rsid w:val="0019361C"/>
    <w:rsid w:val="00193707"/>
    <w:rsid w:val="0019371C"/>
    <w:rsid w:val="00193727"/>
    <w:rsid w:val="0019377A"/>
    <w:rsid w:val="001937A5"/>
    <w:rsid w:val="001937CF"/>
    <w:rsid w:val="001938FE"/>
    <w:rsid w:val="00193A11"/>
    <w:rsid w:val="00193AB1"/>
    <w:rsid w:val="00193AB4"/>
    <w:rsid w:val="00193ABD"/>
    <w:rsid w:val="00193B23"/>
    <w:rsid w:val="00193B35"/>
    <w:rsid w:val="00193B4C"/>
    <w:rsid w:val="00193B83"/>
    <w:rsid w:val="00193BBE"/>
    <w:rsid w:val="00193CF3"/>
    <w:rsid w:val="00193E52"/>
    <w:rsid w:val="00193EEF"/>
    <w:rsid w:val="00193FB1"/>
    <w:rsid w:val="0019422A"/>
    <w:rsid w:val="001942FA"/>
    <w:rsid w:val="00194528"/>
    <w:rsid w:val="0019457A"/>
    <w:rsid w:val="001945F4"/>
    <w:rsid w:val="0019466A"/>
    <w:rsid w:val="001946D7"/>
    <w:rsid w:val="001946E6"/>
    <w:rsid w:val="00194723"/>
    <w:rsid w:val="00194796"/>
    <w:rsid w:val="001947B2"/>
    <w:rsid w:val="0019483E"/>
    <w:rsid w:val="001948CD"/>
    <w:rsid w:val="00194975"/>
    <w:rsid w:val="001949A7"/>
    <w:rsid w:val="00194BB9"/>
    <w:rsid w:val="00194BC8"/>
    <w:rsid w:val="00194C4A"/>
    <w:rsid w:val="00194C6D"/>
    <w:rsid w:val="00194D59"/>
    <w:rsid w:val="00194D5E"/>
    <w:rsid w:val="00194D77"/>
    <w:rsid w:val="00194D93"/>
    <w:rsid w:val="00194DBC"/>
    <w:rsid w:val="00195058"/>
    <w:rsid w:val="00195072"/>
    <w:rsid w:val="0019508D"/>
    <w:rsid w:val="00195094"/>
    <w:rsid w:val="001950F0"/>
    <w:rsid w:val="00195117"/>
    <w:rsid w:val="00195276"/>
    <w:rsid w:val="001952E4"/>
    <w:rsid w:val="0019532D"/>
    <w:rsid w:val="0019538B"/>
    <w:rsid w:val="001953A0"/>
    <w:rsid w:val="00195410"/>
    <w:rsid w:val="00195437"/>
    <w:rsid w:val="0019546A"/>
    <w:rsid w:val="001954B0"/>
    <w:rsid w:val="001954B6"/>
    <w:rsid w:val="00195535"/>
    <w:rsid w:val="0019553C"/>
    <w:rsid w:val="001956A7"/>
    <w:rsid w:val="0019572C"/>
    <w:rsid w:val="00195739"/>
    <w:rsid w:val="00195795"/>
    <w:rsid w:val="0019581F"/>
    <w:rsid w:val="0019583C"/>
    <w:rsid w:val="00195851"/>
    <w:rsid w:val="001958B4"/>
    <w:rsid w:val="00195B48"/>
    <w:rsid w:val="00195B77"/>
    <w:rsid w:val="00195C4C"/>
    <w:rsid w:val="00195D5E"/>
    <w:rsid w:val="00195E49"/>
    <w:rsid w:val="00195E90"/>
    <w:rsid w:val="00196259"/>
    <w:rsid w:val="001962DF"/>
    <w:rsid w:val="001963F9"/>
    <w:rsid w:val="0019647F"/>
    <w:rsid w:val="001964A8"/>
    <w:rsid w:val="001964F8"/>
    <w:rsid w:val="0019659D"/>
    <w:rsid w:val="001966BE"/>
    <w:rsid w:val="00196813"/>
    <w:rsid w:val="00196838"/>
    <w:rsid w:val="001969F8"/>
    <w:rsid w:val="00196A7E"/>
    <w:rsid w:val="00196B7B"/>
    <w:rsid w:val="00196BB9"/>
    <w:rsid w:val="00196BBA"/>
    <w:rsid w:val="00196BBC"/>
    <w:rsid w:val="00196C94"/>
    <w:rsid w:val="00196CC8"/>
    <w:rsid w:val="00196D7D"/>
    <w:rsid w:val="00196ED1"/>
    <w:rsid w:val="00196ED4"/>
    <w:rsid w:val="00196FF8"/>
    <w:rsid w:val="0019707A"/>
    <w:rsid w:val="001970BB"/>
    <w:rsid w:val="0019710C"/>
    <w:rsid w:val="001972BE"/>
    <w:rsid w:val="001973D2"/>
    <w:rsid w:val="0019748F"/>
    <w:rsid w:val="001974EE"/>
    <w:rsid w:val="001975C3"/>
    <w:rsid w:val="00197605"/>
    <w:rsid w:val="0019765F"/>
    <w:rsid w:val="00197685"/>
    <w:rsid w:val="001976D0"/>
    <w:rsid w:val="00197714"/>
    <w:rsid w:val="001977D6"/>
    <w:rsid w:val="0019782A"/>
    <w:rsid w:val="0019785A"/>
    <w:rsid w:val="001978C8"/>
    <w:rsid w:val="0019797A"/>
    <w:rsid w:val="001979D2"/>
    <w:rsid w:val="001979E9"/>
    <w:rsid w:val="00197B6C"/>
    <w:rsid w:val="00197B7C"/>
    <w:rsid w:val="00197C2C"/>
    <w:rsid w:val="00197C2D"/>
    <w:rsid w:val="00197C33"/>
    <w:rsid w:val="00197C58"/>
    <w:rsid w:val="00197C7E"/>
    <w:rsid w:val="00197CDD"/>
    <w:rsid w:val="00197EBB"/>
    <w:rsid w:val="00197EE3"/>
    <w:rsid w:val="001A0175"/>
    <w:rsid w:val="001A024A"/>
    <w:rsid w:val="001A03E9"/>
    <w:rsid w:val="001A0408"/>
    <w:rsid w:val="001A04AB"/>
    <w:rsid w:val="001A050E"/>
    <w:rsid w:val="001A0634"/>
    <w:rsid w:val="001A06A9"/>
    <w:rsid w:val="001A0747"/>
    <w:rsid w:val="001A0840"/>
    <w:rsid w:val="001A0914"/>
    <w:rsid w:val="001A0934"/>
    <w:rsid w:val="001A0A97"/>
    <w:rsid w:val="001A0A9F"/>
    <w:rsid w:val="001A0AE4"/>
    <w:rsid w:val="001A0AFD"/>
    <w:rsid w:val="001A0BBB"/>
    <w:rsid w:val="001A0BD8"/>
    <w:rsid w:val="001A0BE0"/>
    <w:rsid w:val="001A0BE2"/>
    <w:rsid w:val="001A0C29"/>
    <w:rsid w:val="001A0D83"/>
    <w:rsid w:val="001A0DAE"/>
    <w:rsid w:val="001A0F28"/>
    <w:rsid w:val="001A0F34"/>
    <w:rsid w:val="001A0F42"/>
    <w:rsid w:val="001A1039"/>
    <w:rsid w:val="001A107E"/>
    <w:rsid w:val="001A126C"/>
    <w:rsid w:val="001A1338"/>
    <w:rsid w:val="001A134D"/>
    <w:rsid w:val="001A13A1"/>
    <w:rsid w:val="001A1585"/>
    <w:rsid w:val="001A17DD"/>
    <w:rsid w:val="001A185B"/>
    <w:rsid w:val="001A1999"/>
    <w:rsid w:val="001A1A4F"/>
    <w:rsid w:val="001A1B0F"/>
    <w:rsid w:val="001A1B2F"/>
    <w:rsid w:val="001A1B3F"/>
    <w:rsid w:val="001A1B55"/>
    <w:rsid w:val="001A1CEA"/>
    <w:rsid w:val="001A1D4E"/>
    <w:rsid w:val="001A1E3B"/>
    <w:rsid w:val="001A1EC9"/>
    <w:rsid w:val="001A1EFB"/>
    <w:rsid w:val="001A1FE9"/>
    <w:rsid w:val="001A2068"/>
    <w:rsid w:val="001A20DC"/>
    <w:rsid w:val="001A2109"/>
    <w:rsid w:val="001A21BF"/>
    <w:rsid w:val="001A2244"/>
    <w:rsid w:val="001A22B1"/>
    <w:rsid w:val="001A233E"/>
    <w:rsid w:val="001A234C"/>
    <w:rsid w:val="001A2676"/>
    <w:rsid w:val="001A273F"/>
    <w:rsid w:val="001A2783"/>
    <w:rsid w:val="001A27B7"/>
    <w:rsid w:val="001A287D"/>
    <w:rsid w:val="001A28C9"/>
    <w:rsid w:val="001A293E"/>
    <w:rsid w:val="001A29CC"/>
    <w:rsid w:val="001A2AA9"/>
    <w:rsid w:val="001A2B79"/>
    <w:rsid w:val="001A2B7E"/>
    <w:rsid w:val="001A2BF1"/>
    <w:rsid w:val="001A2C79"/>
    <w:rsid w:val="001A2EF9"/>
    <w:rsid w:val="001A2F92"/>
    <w:rsid w:val="001A2FDF"/>
    <w:rsid w:val="001A2FF5"/>
    <w:rsid w:val="001A3034"/>
    <w:rsid w:val="001A30AF"/>
    <w:rsid w:val="001A30CF"/>
    <w:rsid w:val="001A30F4"/>
    <w:rsid w:val="001A3108"/>
    <w:rsid w:val="001A3296"/>
    <w:rsid w:val="001A32FD"/>
    <w:rsid w:val="001A3322"/>
    <w:rsid w:val="001A3367"/>
    <w:rsid w:val="001A33D3"/>
    <w:rsid w:val="001A3412"/>
    <w:rsid w:val="001A34F8"/>
    <w:rsid w:val="001A3541"/>
    <w:rsid w:val="001A354D"/>
    <w:rsid w:val="001A36B6"/>
    <w:rsid w:val="001A3757"/>
    <w:rsid w:val="001A38EC"/>
    <w:rsid w:val="001A3903"/>
    <w:rsid w:val="001A3A43"/>
    <w:rsid w:val="001A3A8A"/>
    <w:rsid w:val="001A3B50"/>
    <w:rsid w:val="001A3BEE"/>
    <w:rsid w:val="001A3C16"/>
    <w:rsid w:val="001A3CC9"/>
    <w:rsid w:val="001A3D34"/>
    <w:rsid w:val="001A3D99"/>
    <w:rsid w:val="001A3DF3"/>
    <w:rsid w:val="001A3E7C"/>
    <w:rsid w:val="001A3E8F"/>
    <w:rsid w:val="001A3F14"/>
    <w:rsid w:val="001A3F69"/>
    <w:rsid w:val="001A40C9"/>
    <w:rsid w:val="001A40F0"/>
    <w:rsid w:val="001A41F9"/>
    <w:rsid w:val="001A447E"/>
    <w:rsid w:val="001A45B2"/>
    <w:rsid w:val="001A45F2"/>
    <w:rsid w:val="001A4629"/>
    <w:rsid w:val="001A4643"/>
    <w:rsid w:val="001A4660"/>
    <w:rsid w:val="001A474B"/>
    <w:rsid w:val="001A4845"/>
    <w:rsid w:val="001A48AC"/>
    <w:rsid w:val="001A48C4"/>
    <w:rsid w:val="001A4A38"/>
    <w:rsid w:val="001A4B30"/>
    <w:rsid w:val="001A4BCF"/>
    <w:rsid w:val="001A4BF7"/>
    <w:rsid w:val="001A4C9D"/>
    <w:rsid w:val="001A4D98"/>
    <w:rsid w:val="001A4E01"/>
    <w:rsid w:val="001A4E16"/>
    <w:rsid w:val="001A4F03"/>
    <w:rsid w:val="001A4F50"/>
    <w:rsid w:val="001A4F7A"/>
    <w:rsid w:val="001A4F9B"/>
    <w:rsid w:val="001A4FC7"/>
    <w:rsid w:val="001A509D"/>
    <w:rsid w:val="001A50C7"/>
    <w:rsid w:val="001A5128"/>
    <w:rsid w:val="001A52FF"/>
    <w:rsid w:val="001A532E"/>
    <w:rsid w:val="001A5343"/>
    <w:rsid w:val="001A5366"/>
    <w:rsid w:val="001A53C5"/>
    <w:rsid w:val="001A5431"/>
    <w:rsid w:val="001A5463"/>
    <w:rsid w:val="001A5486"/>
    <w:rsid w:val="001A5528"/>
    <w:rsid w:val="001A567D"/>
    <w:rsid w:val="001A56D0"/>
    <w:rsid w:val="001A572C"/>
    <w:rsid w:val="001A580E"/>
    <w:rsid w:val="001A58B3"/>
    <w:rsid w:val="001A590A"/>
    <w:rsid w:val="001A592B"/>
    <w:rsid w:val="001A5932"/>
    <w:rsid w:val="001A59C2"/>
    <w:rsid w:val="001A5A71"/>
    <w:rsid w:val="001A5B51"/>
    <w:rsid w:val="001A5BE9"/>
    <w:rsid w:val="001A5C32"/>
    <w:rsid w:val="001A5DC2"/>
    <w:rsid w:val="001A5DF0"/>
    <w:rsid w:val="001A5E2B"/>
    <w:rsid w:val="001A602E"/>
    <w:rsid w:val="001A6091"/>
    <w:rsid w:val="001A60D1"/>
    <w:rsid w:val="001A610B"/>
    <w:rsid w:val="001A6135"/>
    <w:rsid w:val="001A6200"/>
    <w:rsid w:val="001A6222"/>
    <w:rsid w:val="001A6266"/>
    <w:rsid w:val="001A62B3"/>
    <w:rsid w:val="001A62D8"/>
    <w:rsid w:val="001A62E1"/>
    <w:rsid w:val="001A6317"/>
    <w:rsid w:val="001A6416"/>
    <w:rsid w:val="001A64EA"/>
    <w:rsid w:val="001A65E6"/>
    <w:rsid w:val="001A66A1"/>
    <w:rsid w:val="001A670A"/>
    <w:rsid w:val="001A6781"/>
    <w:rsid w:val="001A67A3"/>
    <w:rsid w:val="001A685C"/>
    <w:rsid w:val="001A6892"/>
    <w:rsid w:val="001A68B5"/>
    <w:rsid w:val="001A68F3"/>
    <w:rsid w:val="001A690A"/>
    <w:rsid w:val="001A69E5"/>
    <w:rsid w:val="001A6BBC"/>
    <w:rsid w:val="001A6CA2"/>
    <w:rsid w:val="001A6E49"/>
    <w:rsid w:val="001A6EC6"/>
    <w:rsid w:val="001A6EDD"/>
    <w:rsid w:val="001A6F05"/>
    <w:rsid w:val="001A6F08"/>
    <w:rsid w:val="001A6F72"/>
    <w:rsid w:val="001A6F8B"/>
    <w:rsid w:val="001A7024"/>
    <w:rsid w:val="001A706F"/>
    <w:rsid w:val="001A7137"/>
    <w:rsid w:val="001A71CB"/>
    <w:rsid w:val="001A7225"/>
    <w:rsid w:val="001A729C"/>
    <w:rsid w:val="001A72D4"/>
    <w:rsid w:val="001A748B"/>
    <w:rsid w:val="001A74C5"/>
    <w:rsid w:val="001A7535"/>
    <w:rsid w:val="001A768E"/>
    <w:rsid w:val="001A769E"/>
    <w:rsid w:val="001A782A"/>
    <w:rsid w:val="001A78B2"/>
    <w:rsid w:val="001A7990"/>
    <w:rsid w:val="001A7A97"/>
    <w:rsid w:val="001A7B23"/>
    <w:rsid w:val="001A7B6F"/>
    <w:rsid w:val="001A7B96"/>
    <w:rsid w:val="001A7BA5"/>
    <w:rsid w:val="001A7BA7"/>
    <w:rsid w:val="001A7BF0"/>
    <w:rsid w:val="001A7E13"/>
    <w:rsid w:val="001A7E81"/>
    <w:rsid w:val="001A7F67"/>
    <w:rsid w:val="001B0155"/>
    <w:rsid w:val="001B0161"/>
    <w:rsid w:val="001B029E"/>
    <w:rsid w:val="001B0308"/>
    <w:rsid w:val="001B0331"/>
    <w:rsid w:val="001B036A"/>
    <w:rsid w:val="001B03F6"/>
    <w:rsid w:val="001B0444"/>
    <w:rsid w:val="001B0476"/>
    <w:rsid w:val="001B056E"/>
    <w:rsid w:val="001B0581"/>
    <w:rsid w:val="001B05F5"/>
    <w:rsid w:val="001B061D"/>
    <w:rsid w:val="001B067B"/>
    <w:rsid w:val="001B06A3"/>
    <w:rsid w:val="001B0834"/>
    <w:rsid w:val="001B0886"/>
    <w:rsid w:val="001B08A1"/>
    <w:rsid w:val="001B08B2"/>
    <w:rsid w:val="001B0913"/>
    <w:rsid w:val="001B0921"/>
    <w:rsid w:val="001B0AA2"/>
    <w:rsid w:val="001B0ADC"/>
    <w:rsid w:val="001B0B58"/>
    <w:rsid w:val="001B0B9B"/>
    <w:rsid w:val="001B0BE9"/>
    <w:rsid w:val="001B0C29"/>
    <w:rsid w:val="001B0D3D"/>
    <w:rsid w:val="001B0DFD"/>
    <w:rsid w:val="001B0E04"/>
    <w:rsid w:val="001B0E07"/>
    <w:rsid w:val="001B0F31"/>
    <w:rsid w:val="001B0F58"/>
    <w:rsid w:val="001B0FF4"/>
    <w:rsid w:val="001B100F"/>
    <w:rsid w:val="001B11C5"/>
    <w:rsid w:val="001B1226"/>
    <w:rsid w:val="001B130A"/>
    <w:rsid w:val="001B136A"/>
    <w:rsid w:val="001B14CE"/>
    <w:rsid w:val="001B14F3"/>
    <w:rsid w:val="001B150C"/>
    <w:rsid w:val="001B1702"/>
    <w:rsid w:val="001B18B9"/>
    <w:rsid w:val="001B19A6"/>
    <w:rsid w:val="001B19CB"/>
    <w:rsid w:val="001B19FD"/>
    <w:rsid w:val="001B1A49"/>
    <w:rsid w:val="001B1AC8"/>
    <w:rsid w:val="001B1B09"/>
    <w:rsid w:val="001B1B4E"/>
    <w:rsid w:val="001B1BCB"/>
    <w:rsid w:val="001B1C17"/>
    <w:rsid w:val="001B2111"/>
    <w:rsid w:val="001B2206"/>
    <w:rsid w:val="001B22A1"/>
    <w:rsid w:val="001B22A8"/>
    <w:rsid w:val="001B2330"/>
    <w:rsid w:val="001B2375"/>
    <w:rsid w:val="001B249E"/>
    <w:rsid w:val="001B2605"/>
    <w:rsid w:val="001B2618"/>
    <w:rsid w:val="001B261F"/>
    <w:rsid w:val="001B2620"/>
    <w:rsid w:val="001B270B"/>
    <w:rsid w:val="001B2782"/>
    <w:rsid w:val="001B2788"/>
    <w:rsid w:val="001B2799"/>
    <w:rsid w:val="001B2884"/>
    <w:rsid w:val="001B2917"/>
    <w:rsid w:val="001B2AAE"/>
    <w:rsid w:val="001B2BD2"/>
    <w:rsid w:val="001B2C9C"/>
    <w:rsid w:val="001B2F9A"/>
    <w:rsid w:val="001B2FD6"/>
    <w:rsid w:val="001B3035"/>
    <w:rsid w:val="001B30AC"/>
    <w:rsid w:val="001B30E3"/>
    <w:rsid w:val="001B31E3"/>
    <w:rsid w:val="001B3520"/>
    <w:rsid w:val="001B353C"/>
    <w:rsid w:val="001B354E"/>
    <w:rsid w:val="001B364C"/>
    <w:rsid w:val="001B36B5"/>
    <w:rsid w:val="001B374A"/>
    <w:rsid w:val="001B3880"/>
    <w:rsid w:val="001B3978"/>
    <w:rsid w:val="001B3990"/>
    <w:rsid w:val="001B3A09"/>
    <w:rsid w:val="001B3A67"/>
    <w:rsid w:val="001B3A84"/>
    <w:rsid w:val="001B3C0A"/>
    <w:rsid w:val="001B3CB5"/>
    <w:rsid w:val="001B3CD5"/>
    <w:rsid w:val="001B3D59"/>
    <w:rsid w:val="001B3DD5"/>
    <w:rsid w:val="001B3EAA"/>
    <w:rsid w:val="001B3F2C"/>
    <w:rsid w:val="001B4052"/>
    <w:rsid w:val="001B4068"/>
    <w:rsid w:val="001B40D8"/>
    <w:rsid w:val="001B4104"/>
    <w:rsid w:val="001B41A5"/>
    <w:rsid w:val="001B42E2"/>
    <w:rsid w:val="001B436F"/>
    <w:rsid w:val="001B446B"/>
    <w:rsid w:val="001B4487"/>
    <w:rsid w:val="001B4549"/>
    <w:rsid w:val="001B4580"/>
    <w:rsid w:val="001B46B5"/>
    <w:rsid w:val="001B476A"/>
    <w:rsid w:val="001B4783"/>
    <w:rsid w:val="001B487F"/>
    <w:rsid w:val="001B4888"/>
    <w:rsid w:val="001B49CB"/>
    <w:rsid w:val="001B4A57"/>
    <w:rsid w:val="001B4A94"/>
    <w:rsid w:val="001B4C1B"/>
    <w:rsid w:val="001B4C29"/>
    <w:rsid w:val="001B4E26"/>
    <w:rsid w:val="001B4E44"/>
    <w:rsid w:val="001B4ED9"/>
    <w:rsid w:val="001B4F1B"/>
    <w:rsid w:val="001B5010"/>
    <w:rsid w:val="001B50B4"/>
    <w:rsid w:val="001B5137"/>
    <w:rsid w:val="001B51E5"/>
    <w:rsid w:val="001B5200"/>
    <w:rsid w:val="001B5256"/>
    <w:rsid w:val="001B526C"/>
    <w:rsid w:val="001B52CF"/>
    <w:rsid w:val="001B5309"/>
    <w:rsid w:val="001B5350"/>
    <w:rsid w:val="001B53AB"/>
    <w:rsid w:val="001B56F3"/>
    <w:rsid w:val="001B56F8"/>
    <w:rsid w:val="001B571F"/>
    <w:rsid w:val="001B58C3"/>
    <w:rsid w:val="001B5999"/>
    <w:rsid w:val="001B599D"/>
    <w:rsid w:val="001B5AF2"/>
    <w:rsid w:val="001B5B40"/>
    <w:rsid w:val="001B5D7A"/>
    <w:rsid w:val="001B5DF9"/>
    <w:rsid w:val="001B6002"/>
    <w:rsid w:val="001B60A0"/>
    <w:rsid w:val="001B6123"/>
    <w:rsid w:val="001B6166"/>
    <w:rsid w:val="001B61A6"/>
    <w:rsid w:val="001B61EE"/>
    <w:rsid w:val="001B62AE"/>
    <w:rsid w:val="001B6399"/>
    <w:rsid w:val="001B6499"/>
    <w:rsid w:val="001B652D"/>
    <w:rsid w:val="001B6581"/>
    <w:rsid w:val="001B65E3"/>
    <w:rsid w:val="001B65FB"/>
    <w:rsid w:val="001B661E"/>
    <w:rsid w:val="001B6691"/>
    <w:rsid w:val="001B66F9"/>
    <w:rsid w:val="001B67A9"/>
    <w:rsid w:val="001B68B4"/>
    <w:rsid w:val="001B68C3"/>
    <w:rsid w:val="001B6964"/>
    <w:rsid w:val="001B699C"/>
    <w:rsid w:val="001B6A24"/>
    <w:rsid w:val="001B6A51"/>
    <w:rsid w:val="001B6D5A"/>
    <w:rsid w:val="001B6E30"/>
    <w:rsid w:val="001B6FE5"/>
    <w:rsid w:val="001B6FF5"/>
    <w:rsid w:val="001B70A2"/>
    <w:rsid w:val="001B7179"/>
    <w:rsid w:val="001B7189"/>
    <w:rsid w:val="001B723D"/>
    <w:rsid w:val="001B7305"/>
    <w:rsid w:val="001B7311"/>
    <w:rsid w:val="001B73A7"/>
    <w:rsid w:val="001B7451"/>
    <w:rsid w:val="001B754B"/>
    <w:rsid w:val="001B758F"/>
    <w:rsid w:val="001B7597"/>
    <w:rsid w:val="001B763F"/>
    <w:rsid w:val="001B76C7"/>
    <w:rsid w:val="001B76E3"/>
    <w:rsid w:val="001B76EC"/>
    <w:rsid w:val="001B770B"/>
    <w:rsid w:val="001B7710"/>
    <w:rsid w:val="001B775C"/>
    <w:rsid w:val="001B776A"/>
    <w:rsid w:val="001B781B"/>
    <w:rsid w:val="001B7950"/>
    <w:rsid w:val="001B7951"/>
    <w:rsid w:val="001B7966"/>
    <w:rsid w:val="001B7A2F"/>
    <w:rsid w:val="001B7A3F"/>
    <w:rsid w:val="001B7AD0"/>
    <w:rsid w:val="001B7BAB"/>
    <w:rsid w:val="001B7C77"/>
    <w:rsid w:val="001B7D61"/>
    <w:rsid w:val="001B7D91"/>
    <w:rsid w:val="001B7DAE"/>
    <w:rsid w:val="001B7EC5"/>
    <w:rsid w:val="001B7FAF"/>
    <w:rsid w:val="001C0042"/>
    <w:rsid w:val="001C006C"/>
    <w:rsid w:val="001C0126"/>
    <w:rsid w:val="001C0179"/>
    <w:rsid w:val="001C01EB"/>
    <w:rsid w:val="001C0258"/>
    <w:rsid w:val="001C02B6"/>
    <w:rsid w:val="001C02EC"/>
    <w:rsid w:val="001C03E0"/>
    <w:rsid w:val="001C0421"/>
    <w:rsid w:val="001C0430"/>
    <w:rsid w:val="001C045B"/>
    <w:rsid w:val="001C04E8"/>
    <w:rsid w:val="001C0556"/>
    <w:rsid w:val="001C0628"/>
    <w:rsid w:val="001C07AE"/>
    <w:rsid w:val="001C08C2"/>
    <w:rsid w:val="001C0914"/>
    <w:rsid w:val="001C09D9"/>
    <w:rsid w:val="001C09F1"/>
    <w:rsid w:val="001C0A07"/>
    <w:rsid w:val="001C0AC3"/>
    <w:rsid w:val="001C0B17"/>
    <w:rsid w:val="001C0BCC"/>
    <w:rsid w:val="001C0D2B"/>
    <w:rsid w:val="001C0D72"/>
    <w:rsid w:val="001C1026"/>
    <w:rsid w:val="001C1175"/>
    <w:rsid w:val="001C119A"/>
    <w:rsid w:val="001C12BB"/>
    <w:rsid w:val="001C1323"/>
    <w:rsid w:val="001C1377"/>
    <w:rsid w:val="001C1405"/>
    <w:rsid w:val="001C1408"/>
    <w:rsid w:val="001C1447"/>
    <w:rsid w:val="001C145E"/>
    <w:rsid w:val="001C14E8"/>
    <w:rsid w:val="001C1509"/>
    <w:rsid w:val="001C16CA"/>
    <w:rsid w:val="001C1794"/>
    <w:rsid w:val="001C17C9"/>
    <w:rsid w:val="001C18E9"/>
    <w:rsid w:val="001C1958"/>
    <w:rsid w:val="001C19C6"/>
    <w:rsid w:val="001C1A8A"/>
    <w:rsid w:val="001C1CCE"/>
    <w:rsid w:val="001C1D9E"/>
    <w:rsid w:val="001C1E68"/>
    <w:rsid w:val="001C1ECF"/>
    <w:rsid w:val="001C1ED2"/>
    <w:rsid w:val="001C1F64"/>
    <w:rsid w:val="001C1FA4"/>
    <w:rsid w:val="001C1FC2"/>
    <w:rsid w:val="001C219F"/>
    <w:rsid w:val="001C22E6"/>
    <w:rsid w:val="001C23AF"/>
    <w:rsid w:val="001C2482"/>
    <w:rsid w:val="001C2524"/>
    <w:rsid w:val="001C2537"/>
    <w:rsid w:val="001C2603"/>
    <w:rsid w:val="001C2667"/>
    <w:rsid w:val="001C26E4"/>
    <w:rsid w:val="001C26ED"/>
    <w:rsid w:val="001C2801"/>
    <w:rsid w:val="001C281F"/>
    <w:rsid w:val="001C28F3"/>
    <w:rsid w:val="001C2959"/>
    <w:rsid w:val="001C2A91"/>
    <w:rsid w:val="001C2B38"/>
    <w:rsid w:val="001C2C36"/>
    <w:rsid w:val="001C2D9C"/>
    <w:rsid w:val="001C2F2B"/>
    <w:rsid w:val="001C3029"/>
    <w:rsid w:val="001C30B9"/>
    <w:rsid w:val="001C30C8"/>
    <w:rsid w:val="001C3145"/>
    <w:rsid w:val="001C318D"/>
    <w:rsid w:val="001C3192"/>
    <w:rsid w:val="001C31BC"/>
    <w:rsid w:val="001C31BD"/>
    <w:rsid w:val="001C32EC"/>
    <w:rsid w:val="001C3367"/>
    <w:rsid w:val="001C3495"/>
    <w:rsid w:val="001C34C2"/>
    <w:rsid w:val="001C3607"/>
    <w:rsid w:val="001C3638"/>
    <w:rsid w:val="001C3735"/>
    <w:rsid w:val="001C373B"/>
    <w:rsid w:val="001C375A"/>
    <w:rsid w:val="001C3956"/>
    <w:rsid w:val="001C3969"/>
    <w:rsid w:val="001C39F6"/>
    <w:rsid w:val="001C3B50"/>
    <w:rsid w:val="001C3B79"/>
    <w:rsid w:val="001C3BF9"/>
    <w:rsid w:val="001C3C03"/>
    <w:rsid w:val="001C3CCE"/>
    <w:rsid w:val="001C3D60"/>
    <w:rsid w:val="001C3E09"/>
    <w:rsid w:val="001C3E7B"/>
    <w:rsid w:val="001C3E9B"/>
    <w:rsid w:val="001C3F4A"/>
    <w:rsid w:val="001C3FD1"/>
    <w:rsid w:val="001C411E"/>
    <w:rsid w:val="001C4167"/>
    <w:rsid w:val="001C41CE"/>
    <w:rsid w:val="001C425C"/>
    <w:rsid w:val="001C4260"/>
    <w:rsid w:val="001C42C1"/>
    <w:rsid w:val="001C4330"/>
    <w:rsid w:val="001C44AF"/>
    <w:rsid w:val="001C4528"/>
    <w:rsid w:val="001C460A"/>
    <w:rsid w:val="001C4696"/>
    <w:rsid w:val="001C46B4"/>
    <w:rsid w:val="001C47A1"/>
    <w:rsid w:val="001C484D"/>
    <w:rsid w:val="001C492F"/>
    <w:rsid w:val="001C4944"/>
    <w:rsid w:val="001C4954"/>
    <w:rsid w:val="001C4959"/>
    <w:rsid w:val="001C49E7"/>
    <w:rsid w:val="001C4A33"/>
    <w:rsid w:val="001C4B9E"/>
    <w:rsid w:val="001C4CD3"/>
    <w:rsid w:val="001C4CE6"/>
    <w:rsid w:val="001C4CF8"/>
    <w:rsid w:val="001C4D22"/>
    <w:rsid w:val="001C4D59"/>
    <w:rsid w:val="001C4D6A"/>
    <w:rsid w:val="001C4FEC"/>
    <w:rsid w:val="001C504B"/>
    <w:rsid w:val="001C51CE"/>
    <w:rsid w:val="001C526F"/>
    <w:rsid w:val="001C547A"/>
    <w:rsid w:val="001C5483"/>
    <w:rsid w:val="001C54E7"/>
    <w:rsid w:val="001C5546"/>
    <w:rsid w:val="001C56E4"/>
    <w:rsid w:val="001C574E"/>
    <w:rsid w:val="001C58A6"/>
    <w:rsid w:val="001C590C"/>
    <w:rsid w:val="001C5963"/>
    <w:rsid w:val="001C5A5B"/>
    <w:rsid w:val="001C5AAC"/>
    <w:rsid w:val="001C5B15"/>
    <w:rsid w:val="001C5C1F"/>
    <w:rsid w:val="001C5C6F"/>
    <w:rsid w:val="001C5D79"/>
    <w:rsid w:val="001C5D8A"/>
    <w:rsid w:val="001C5F63"/>
    <w:rsid w:val="001C5FB2"/>
    <w:rsid w:val="001C61FD"/>
    <w:rsid w:val="001C621A"/>
    <w:rsid w:val="001C627C"/>
    <w:rsid w:val="001C6300"/>
    <w:rsid w:val="001C6355"/>
    <w:rsid w:val="001C6430"/>
    <w:rsid w:val="001C64CE"/>
    <w:rsid w:val="001C65CD"/>
    <w:rsid w:val="001C6779"/>
    <w:rsid w:val="001C6785"/>
    <w:rsid w:val="001C680D"/>
    <w:rsid w:val="001C6A16"/>
    <w:rsid w:val="001C6AC8"/>
    <w:rsid w:val="001C6AD4"/>
    <w:rsid w:val="001C6ADB"/>
    <w:rsid w:val="001C6BE9"/>
    <w:rsid w:val="001C6C59"/>
    <w:rsid w:val="001C6C6C"/>
    <w:rsid w:val="001C6D47"/>
    <w:rsid w:val="001C6E08"/>
    <w:rsid w:val="001C6ED3"/>
    <w:rsid w:val="001C6F04"/>
    <w:rsid w:val="001C6F09"/>
    <w:rsid w:val="001C6F8A"/>
    <w:rsid w:val="001C6FE1"/>
    <w:rsid w:val="001C719C"/>
    <w:rsid w:val="001C7210"/>
    <w:rsid w:val="001C724F"/>
    <w:rsid w:val="001C75B3"/>
    <w:rsid w:val="001C76BE"/>
    <w:rsid w:val="001C775E"/>
    <w:rsid w:val="001C7810"/>
    <w:rsid w:val="001C7855"/>
    <w:rsid w:val="001C786D"/>
    <w:rsid w:val="001C78BC"/>
    <w:rsid w:val="001C794A"/>
    <w:rsid w:val="001C7A62"/>
    <w:rsid w:val="001C7B1F"/>
    <w:rsid w:val="001C7B25"/>
    <w:rsid w:val="001C7B3C"/>
    <w:rsid w:val="001C7B88"/>
    <w:rsid w:val="001C7B8C"/>
    <w:rsid w:val="001C7C96"/>
    <w:rsid w:val="001C7C9E"/>
    <w:rsid w:val="001C7D2F"/>
    <w:rsid w:val="001C7DD0"/>
    <w:rsid w:val="001C7E3E"/>
    <w:rsid w:val="001C7E41"/>
    <w:rsid w:val="001C7F09"/>
    <w:rsid w:val="001C7F15"/>
    <w:rsid w:val="001C7FB3"/>
    <w:rsid w:val="001C7FF1"/>
    <w:rsid w:val="001D00E4"/>
    <w:rsid w:val="001D0185"/>
    <w:rsid w:val="001D01EA"/>
    <w:rsid w:val="001D0328"/>
    <w:rsid w:val="001D03EC"/>
    <w:rsid w:val="001D0411"/>
    <w:rsid w:val="001D05C1"/>
    <w:rsid w:val="001D05CC"/>
    <w:rsid w:val="001D0641"/>
    <w:rsid w:val="001D07A0"/>
    <w:rsid w:val="001D07DC"/>
    <w:rsid w:val="001D0892"/>
    <w:rsid w:val="001D08ED"/>
    <w:rsid w:val="001D0942"/>
    <w:rsid w:val="001D0967"/>
    <w:rsid w:val="001D0A1D"/>
    <w:rsid w:val="001D0A55"/>
    <w:rsid w:val="001D0C1E"/>
    <w:rsid w:val="001D0CFF"/>
    <w:rsid w:val="001D0D62"/>
    <w:rsid w:val="001D0D8D"/>
    <w:rsid w:val="001D0DA8"/>
    <w:rsid w:val="001D129F"/>
    <w:rsid w:val="001D13A6"/>
    <w:rsid w:val="001D13EE"/>
    <w:rsid w:val="001D141C"/>
    <w:rsid w:val="001D1447"/>
    <w:rsid w:val="001D1479"/>
    <w:rsid w:val="001D1495"/>
    <w:rsid w:val="001D14D0"/>
    <w:rsid w:val="001D15A9"/>
    <w:rsid w:val="001D15D1"/>
    <w:rsid w:val="001D163A"/>
    <w:rsid w:val="001D16C2"/>
    <w:rsid w:val="001D1708"/>
    <w:rsid w:val="001D178A"/>
    <w:rsid w:val="001D17C4"/>
    <w:rsid w:val="001D18B1"/>
    <w:rsid w:val="001D1965"/>
    <w:rsid w:val="001D1A62"/>
    <w:rsid w:val="001D1AF2"/>
    <w:rsid w:val="001D1B28"/>
    <w:rsid w:val="001D1B68"/>
    <w:rsid w:val="001D1B93"/>
    <w:rsid w:val="001D1C3A"/>
    <w:rsid w:val="001D1CF4"/>
    <w:rsid w:val="001D1E99"/>
    <w:rsid w:val="001D2053"/>
    <w:rsid w:val="001D20A0"/>
    <w:rsid w:val="001D20C9"/>
    <w:rsid w:val="001D20F4"/>
    <w:rsid w:val="001D211D"/>
    <w:rsid w:val="001D21D1"/>
    <w:rsid w:val="001D21FD"/>
    <w:rsid w:val="001D2250"/>
    <w:rsid w:val="001D2361"/>
    <w:rsid w:val="001D238A"/>
    <w:rsid w:val="001D23BB"/>
    <w:rsid w:val="001D24B0"/>
    <w:rsid w:val="001D25BD"/>
    <w:rsid w:val="001D25BE"/>
    <w:rsid w:val="001D264C"/>
    <w:rsid w:val="001D2800"/>
    <w:rsid w:val="001D29D8"/>
    <w:rsid w:val="001D2AA6"/>
    <w:rsid w:val="001D2B0F"/>
    <w:rsid w:val="001D2C0C"/>
    <w:rsid w:val="001D2C67"/>
    <w:rsid w:val="001D2D3A"/>
    <w:rsid w:val="001D2D5F"/>
    <w:rsid w:val="001D2E45"/>
    <w:rsid w:val="001D2E95"/>
    <w:rsid w:val="001D2F42"/>
    <w:rsid w:val="001D2F8D"/>
    <w:rsid w:val="001D2FE9"/>
    <w:rsid w:val="001D3045"/>
    <w:rsid w:val="001D3070"/>
    <w:rsid w:val="001D3181"/>
    <w:rsid w:val="001D3331"/>
    <w:rsid w:val="001D339C"/>
    <w:rsid w:val="001D388D"/>
    <w:rsid w:val="001D3995"/>
    <w:rsid w:val="001D39DC"/>
    <w:rsid w:val="001D3A7C"/>
    <w:rsid w:val="001D3B2F"/>
    <w:rsid w:val="001D3B46"/>
    <w:rsid w:val="001D3B69"/>
    <w:rsid w:val="001D3CCA"/>
    <w:rsid w:val="001D3CE5"/>
    <w:rsid w:val="001D3CEB"/>
    <w:rsid w:val="001D3D7E"/>
    <w:rsid w:val="001D3E04"/>
    <w:rsid w:val="001D3F43"/>
    <w:rsid w:val="001D3F54"/>
    <w:rsid w:val="001D3F57"/>
    <w:rsid w:val="001D4000"/>
    <w:rsid w:val="001D4010"/>
    <w:rsid w:val="001D416C"/>
    <w:rsid w:val="001D4299"/>
    <w:rsid w:val="001D43E3"/>
    <w:rsid w:val="001D43FA"/>
    <w:rsid w:val="001D445A"/>
    <w:rsid w:val="001D4597"/>
    <w:rsid w:val="001D472A"/>
    <w:rsid w:val="001D477C"/>
    <w:rsid w:val="001D47AE"/>
    <w:rsid w:val="001D4898"/>
    <w:rsid w:val="001D48FC"/>
    <w:rsid w:val="001D49DC"/>
    <w:rsid w:val="001D4ADB"/>
    <w:rsid w:val="001D4AE9"/>
    <w:rsid w:val="001D4C49"/>
    <w:rsid w:val="001D4C92"/>
    <w:rsid w:val="001D4D01"/>
    <w:rsid w:val="001D4DA8"/>
    <w:rsid w:val="001D4DF4"/>
    <w:rsid w:val="001D4E02"/>
    <w:rsid w:val="001D4EC0"/>
    <w:rsid w:val="001D4F06"/>
    <w:rsid w:val="001D4F0F"/>
    <w:rsid w:val="001D5025"/>
    <w:rsid w:val="001D5026"/>
    <w:rsid w:val="001D5055"/>
    <w:rsid w:val="001D5065"/>
    <w:rsid w:val="001D508B"/>
    <w:rsid w:val="001D52EA"/>
    <w:rsid w:val="001D52FD"/>
    <w:rsid w:val="001D5328"/>
    <w:rsid w:val="001D5492"/>
    <w:rsid w:val="001D5689"/>
    <w:rsid w:val="001D5857"/>
    <w:rsid w:val="001D591B"/>
    <w:rsid w:val="001D5937"/>
    <w:rsid w:val="001D5B48"/>
    <w:rsid w:val="001D5B77"/>
    <w:rsid w:val="001D5CF1"/>
    <w:rsid w:val="001D5D04"/>
    <w:rsid w:val="001D5D71"/>
    <w:rsid w:val="001D5D76"/>
    <w:rsid w:val="001D5DDC"/>
    <w:rsid w:val="001D5E44"/>
    <w:rsid w:val="001D5E6E"/>
    <w:rsid w:val="001D5EC0"/>
    <w:rsid w:val="001D5F32"/>
    <w:rsid w:val="001D5F55"/>
    <w:rsid w:val="001D5F6B"/>
    <w:rsid w:val="001D5FDD"/>
    <w:rsid w:val="001D6046"/>
    <w:rsid w:val="001D60B2"/>
    <w:rsid w:val="001D6295"/>
    <w:rsid w:val="001D629A"/>
    <w:rsid w:val="001D62D9"/>
    <w:rsid w:val="001D6388"/>
    <w:rsid w:val="001D638A"/>
    <w:rsid w:val="001D63EF"/>
    <w:rsid w:val="001D66C9"/>
    <w:rsid w:val="001D672C"/>
    <w:rsid w:val="001D676C"/>
    <w:rsid w:val="001D679F"/>
    <w:rsid w:val="001D67B8"/>
    <w:rsid w:val="001D67E1"/>
    <w:rsid w:val="001D6806"/>
    <w:rsid w:val="001D6859"/>
    <w:rsid w:val="001D6996"/>
    <w:rsid w:val="001D6A5F"/>
    <w:rsid w:val="001D6A90"/>
    <w:rsid w:val="001D6AA9"/>
    <w:rsid w:val="001D6B78"/>
    <w:rsid w:val="001D6C2E"/>
    <w:rsid w:val="001D6C66"/>
    <w:rsid w:val="001D6CAC"/>
    <w:rsid w:val="001D6CF4"/>
    <w:rsid w:val="001D6D04"/>
    <w:rsid w:val="001D6DAE"/>
    <w:rsid w:val="001D6DB9"/>
    <w:rsid w:val="001D6E1A"/>
    <w:rsid w:val="001D6F09"/>
    <w:rsid w:val="001D6F96"/>
    <w:rsid w:val="001D7032"/>
    <w:rsid w:val="001D70C3"/>
    <w:rsid w:val="001D70E9"/>
    <w:rsid w:val="001D7167"/>
    <w:rsid w:val="001D7207"/>
    <w:rsid w:val="001D7267"/>
    <w:rsid w:val="001D740F"/>
    <w:rsid w:val="001D74E2"/>
    <w:rsid w:val="001D758F"/>
    <w:rsid w:val="001D762F"/>
    <w:rsid w:val="001D765E"/>
    <w:rsid w:val="001D769D"/>
    <w:rsid w:val="001D7753"/>
    <w:rsid w:val="001D783F"/>
    <w:rsid w:val="001D78E4"/>
    <w:rsid w:val="001D7946"/>
    <w:rsid w:val="001D7965"/>
    <w:rsid w:val="001D797C"/>
    <w:rsid w:val="001D79E1"/>
    <w:rsid w:val="001D7A8E"/>
    <w:rsid w:val="001D7AA8"/>
    <w:rsid w:val="001D7BBB"/>
    <w:rsid w:val="001D7BDC"/>
    <w:rsid w:val="001D7C24"/>
    <w:rsid w:val="001D7C8C"/>
    <w:rsid w:val="001D7CF1"/>
    <w:rsid w:val="001D7D7C"/>
    <w:rsid w:val="001D7DB3"/>
    <w:rsid w:val="001D7F3F"/>
    <w:rsid w:val="001D7F84"/>
    <w:rsid w:val="001E0148"/>
    <w:rsid w:val="001E0179"/>
    <w:rsid w:val="001E01CB"/>
    <w:rsid w:val="001E024C"/>
    <w:rsid w:val="001E030E"/>
    <w:rsid w:val="001E0350"/>
    <w:rsid w:val="001E0440"/>
    <w:rsid w:val="001E0458"/>
    <w:rsid w:val="001E0470"/>
    <w:rsid w:val="001E05AC"/>
    <w:rsid w:val="001E05C9"/>
    <w:rsid w:val="001E06EE"/>
    <w:rsid w:val="001E0784"/>
    <w:rsid w:val="001E0804"/>
    <w:rsid w:val="001E091A"/>
    <w:rsid w:val="001E092F"/>
    <w:rsid w:val="001E0965"/>
    <w:rsid w:val="001E0AD3"/>
    <w:rsid w:val="001E0B6A"/>
    <w:rsid w:val="001E0BBF"/>
    <w:rsid w:val="001E0C7B"/>
    <w:rsid w:val="001E0D6F"/>
    <w:rsid w:val="001E0E9F"/>
    <w:rsid w:val="001E0EF1"/>
    <w:rsid w:val="001E0F2F"/>
    <w:rsid w:val="001E1033"/>
    <w:rsid w:val="001E1258"/>
    <w:rsid w:val="001E1297"/>
    <w:rsid w:val="001E12CE"/>
    <w:rsid w:val="001E12F2"/>
    <w:rsid w:val="001E133D"/>
    <w:rsid w:val="001E1406"/>
    <w:rsid w:val="001E14EC"/>
    <w:rsid w:val="001E155E"/>
    <w:rsid w:val="001E1560"/>
    <w:rsid w:val="001E15DE"/>
    <w:rsid w:val="001E16F0"/>
    <w:rsid w:val="001E16F7"/>
    <w:rsid w:val="001E18B7"/>
    <w:rsid w:val="001E1993"/>
    <w:rsid w:val="001E19E5"/>
    <w:rsid w:val="001E1A31"/>
    <w:rsid w:val="001E1A82"/>
    <w:rsid w:val="001E1BDD"/>
    <w:rsid w:val="001E1C45"/>
    <w:rsid w:val="001E1CAA"/>
    <w:rsid w:val="001E1E1F"/>
    <w:rsid w:val="001E1F31"/>
    <w:rsid w:val="001E1F55"/>
    <w:rsid w:val="001E2059"/>
    <w:rsid w:val="001E2075"/>
    <w:rsid w:val="001E2348"/>
    <w:rsid w:val="001E2412"/>
    <w:rsid w:val="001E24C8"/>
    <w:rsid w:val="001E253B"/>
    <w:rsid w:val="001E2575"/>
    <w:rsid w:val="001E2635"/>
    <w:rsid w:val="001E26B8"/>
    <w:rsid w:val="001E2837"/>
    <w:rsid w:val="001E28A1"/>
    <w:rsid w:val="001E28EC"/>
    <w:rsid w:val="001E2981"/>
    <w:rsid w:val="001E29BF"/>
    <w:rsid w:val="001E2A4D"/>
    <w:rsid w:val="001E2B21"/>
    <w:rsid w:val="001E2B3B"/>
    <w:rsid w:val="001E2D28"/>
    <w:rsid w:val="001E2D72"/>
    <w:rsid w:val="001E2E3B"/>
    <w:rsid w:val="001E2F09"/>
    <w:rsid w:val="001E2F81"/>
    <w:rsid w:val="001E3002"/>
    <w:rsid w:val="001E3054"/>
    <w:rsid w:val="001E306F"/>
    <w:rsid w:val="001E3085"/>
    <w:rsid w:val="001E30BB"/>
    <w:rsid w:val="001E30E7"/>
    <w:rsid w:val="001E3170"/>
    <w:rsid w:val="001E328D"/>
    <w:rsid w:val="001E32EF"/>
    <w:rsid w:val="001E339D"/>
    <w:rsid w:val="001E33AC"/>
    <w:rsid w:val="001E36A0"/>
    <w:rsid w:val="001E36CA"/>
    <w:rsid w:val="001E3785"/>
    <w:rsid w:val="001E3836"/>
    <w:rsid w:val="001E3872"/>
    <w:rsid w:val="001E3894"/>
    <w:rsid w:val="001E3944"/>
    <w:rsid w:val="001E3945"/>
    <w:rsid w:val="001E396B"/>
    <w:rsid w:val="001E3A0B"/>
    <w:rsid w:val="001E3A85"/>
    <w:rsid w:val="001E3B18"/>
    <w:rsid w:val="001E3BFF"/>
    <w:rsid w:val="001E3C39"/>
    <w:rsid w:val="001E3C5C"/>
    <w:rsid w:val="001E3CEC"/>
    <w:rsid w:val="001E3D23"/>
    <w:rsid w:val="001E3DB6"/>
    <w:rsid w:val="001E3DC4"/>
    <w:rsid w:val="001E3E39"/>
    <w:rsid w:val="001E3EAE"/>
    <w:rsid w:val="001E3F19"/>
    <w:rsid w:val="001E3FEB"/>
    <w:rsid w:val="001E40C1"/>
    <w:rsid w:val="001E40D3"/>
    <w:rsid w:val="001E4152"/>
    <w:rsid w:val="001E41BE"/>
    <w:rsid w:val="001E421A"/>
    <w:rsid w:val="001E42B4"/>
    <w:rsid w:val="001E4358"/>
    <w:rsid w:val="001E4543"/>
    <w:rsid w:val="001E45BF"/>
    <w:rsid w:val="001E45D5"/>
    <w:rsid w:val="001E4874"/>
    <w:rsid w:val="001E48A6"/>
    <w:rsid w:val="001E48D6"/>
    <w:rsid w:val="001E4A4C"/>
    <w:rsid w:val="001E4A50"/>
    <w:rsid w:val="001E4AB6"/>
    <w:rsid w:val="001E4B01"/>
    <w:rsid w:val="001E4B8A"/>
    <w:rsid w:val="001E4BCB"/>
    <w:rsid w:val="001E4C29"/>
    <w:rsid w:val="001E4C86"/>
    <w:rsid w:val="001E4D19"/>
    <w:rsid w:val="001E4FA8"/>
    <w:rsid w:val="001E510B"/>
    <w:rsid w:val="001E52A7"/>
    <w:rsid w:val="001E5385"/>
    <w:rsid w:val="001E53F0"/>
    <w:rsid w:val="001E5463"/>
    <w:rsid w:val="001E5490"/>
    <w:rsid w:val="001E5545"/>
    <w:rsid w:val="001E55A3"/>
    <w:rsid w:val="001E5822"/>
    <w:rsid w:val="001E586C"/>
    <w:rsid w:val="001E58F5"/>
    <w:rsid w:val="001E5921"/>
    <w:rsid w:val="001E5BF2"/>
    <w:rsid w:val="001E5D24"/>
    <w:rsid w:val="001E5D81"/>
    <w:rsid w:val="001E5F24"/>
    <w:rsid w:val="001E60E1"/>
    <w:rsid w:val="001E6200"/>
    <w:rsid w:val="001E6276"/>
    <w:rsid w:val="001E63A3"/>
    <w:rsid w:val="001E6502"/>
    <w:rsid w:val="001E65DE"/>
    <w:rsid w:val="001E66BC"/>
    <w:rsid w:val="001E676C"/>
    <w:rsid w:val="001E67E7"/>
    <w:rsid w:val="001E682A"/>
    <w:rsid w:val="001E6855"/>
    <w:rsid w:val="001E686D"/>
    <w:rsid w:val="001E68DC"/>
    <w:rsid w:val="001E68EF"/>
    <w:rsid w:val="001E6A82"/>
    <w:rsid w:val="001E6C2C"/>
    <w:rsid w:val="001E6C43"/>
    <w:rsid w:val="001E6C4D"/>
    <w:rsid w:val="001E6D24"/>
    <w:rsid w:val="001E6D3A"/>
    <w:rsid w:val="001E6F58"/>
    <w:rsid w:val="001E6F88"/>
    <w:rsid w:val="001E70C5"/>
    <w:rsid w:val="001E7108"/>
    <w:rsid w:val="001E72E1"/>
    <w:rsid w:val="001E733E"/>
    <w:rsid w:val="001E742F"/>
    <w:rsid w:val="001E7441"/>
    <w:rsid w:val="001E7472"/>
    <w:rsid w:val="001E75F6"/>
    <w:rsid w:val="001E7619"/>
    <w:rsid w:val="001E7645"/>
    <w:rsid w:val="001E76C6"/>
    <w:rsid w:val="001E7735"/>
    <w:rsid w:val="001E77BE"/>
    <w:rsid w:val="001E77BF"/>
    <w:rsid w:val="001E7825"/>
    <w:rsid w:val="001E79C8"/>
    <w:rsid w:val="001E79CA"/>
    <w:rsid w:val="001E7A77"/>
    <w:rsid w:val="001E7C47"/>
    <w:rsid w:val="001E7CBA"/>
    <w:rsid w:val="001E7D5F"/>
    <w:rsid w:val="001E7D79"/>
    <w:rsid w:val="001E7E65"/>
    <w:rsid w:val="001E7E72"/>
    <w:rsid w:val="001E7F62"/>
    <w:rsid w:val="001E7F89"/>
    <w:rsid w:val="001F0112"/>
    <w:rsid w:val="001F01FD"/>
    <w:rsid w:val="001F02A9"/>
    <w:rsid w:val="001F034D"/>
    <w:rsid w:val="001F0380"/>
    <w:rsid w:val="001F0431"/>
    <w:rsid w:val="001F04C7"/>
    <w:rsid w:val="001F0572"/>
    <w:rsid w:val="001F0731"/>
    <w:rsid w:val="001F0750"/>
    <w:rsid w:val="001F08A3"/>
    <w:rsid w:val="001F08DA"/>
    <w:rsid w:val="001F09C9"/>
    <w:rsid w:val="001F0A1C"/>
    <w:rsid w:val="001F0B4B"/>
    <w:rsid w:val="001F0D11"/>
    <w:rsid w:val="001F0D65"/>
    <w:rsid w:val="001F0E13"/>
    <w:rsid w:val="001F0E2F"/>
    <w:rsid w:val="001F0E5B"/>
    <w:rsid w:val="001F0E6A"/>
    <w:rsid w:val="001F0E89"/>
    <w:rsid w:val="001F0FF2"/>
    <w:rsid w:val="001F10B3"/>
    <w:rsid w:val="001F10ED"/>
    <w:rsid w:val="001F12FE"/>
    <w:rsid w:val="001F1386"/>
    <w:rsid w:val="001F13BF"/>
    <w:rsid w:val="001F149B"/>
    <w:rsid w:val="001F15BD"/>
    <w:rsid w:val="001F1785"/>
    <w:rsid w:val="001F1831"/>
    <w:rsid w:val="001F1899"/>
    <w:rsid w:val="001F18EF"/>
    <w:rsid w:val="001F1917"/>
    <w:rsid w:val="001F1AA5"/>
    <w:rsid w:val="001F1C13"/>
    <w:rsid w:val="001F1C62"/>
    <w:rsid w:val="001F1C99"/>
    <w:rsid w:val="001F1CEA"/>
    <w:rsid w:val="001F1D46"/>
    <w:rsid w:val="001F1DAF"/>
    <w:rsid w:val="001F1DD7"/>
    <w:rsid w:val="001F2055"/>
    <w:rsid w:val="001F209C"/>
    <w:rsid w:val="001F20B3"/>
    <w:rsid w:val="001F20B4"/>
    <w:rsid w:val="001F21E4"/>
    <w:rsid w:val="001F21FE"/>
    <w:rsid w:val="001F2268"/>
    <w:rsid w:val="001F2276"/>
    <w:rsid w:val="001F2372"/>
    <w:rsid w:val="001F24DE"/>
    <w:rsid w:val="001F25BA"/>
    <w:rsid w:val="001F25F0"/>
    <w:rsid w:val="001F2666"/>
    <w:rsid w:val="001F26BF"/>
    <w:rsid w:val="001F26C7"/>
    <w:rsid w:val="001F28A8"/>
    <w:rsid w:val="001F298F"/>
    <w:rsid w:val="001F29A4"/>
    <w:rsid w:val="001F29F0"/>
    <w:rsid w:val="001F2A0A"/>
    <w:rsid w:val="001F2A0D"/>
    <w:rsid w:val="001F2A31"/>
    <w:rsid w:val="001F2B27"/>
    <w:rsid w:val="001F2B91"/>
    <w:rsid w:val="001F2BE6"/>
    <w:rsid w:val="001F2C24"/>
    <w:rsid w:val="001F2D25"/>
    <w:rsid w:val="001F2DBF"/>
    <w:rsid w:val="001F2DCB"/>
    <w:rsid w:val="001F2E61"/>
    <w:rsid w:val="001F2E91"/>
    <w:rsid w:val="001F3049"/>
    <w:rsid w:val="001F3079"/>
    <w:rsid w:val="001F30A3"/>
    <w:rsid w:val="001F30C6"/>
    <w:rsid w:val="001F3187"/>
    <w:rsid w:val="001F31C3"/>
    <w:rsid w:val="001F3320"/>
    <w:rsid w:val="001F3357"/>
    <w:rsid w:val="001F3414"/>
    <w:rsid w:val="001F3516"/>
    <w:rsid w:val="001F3686"/>
    <w:rsid w:val="001F36AD"/>
    <w:rsid w:val="001F36C9"/>
    <w:rsid w:val="001F3781"/>
    <w:rsid w:val="001F38DB"/>
    <w:rsid w:val="001F3BE1"/>
    <w:rsid w:val="001F3C4E"/>
    <w:rsid w:val="001F3CEF"/>
    <w:rsid w:val="001F3D11"/>
    <w:rsid w:val="001F3DEC"/>
    <w:rsid w:val="001F3EE7"/>
    <w:rsid w:val="001F3F8A"/>
    <w:rsid w:val="001F3F98"/>
    <w:rsid w:val="001F4034"/>
    <w:rsid w:val="001F407D"/>
    <w:rsid w:val="001F40C3"/>
    <w:rsid w:val="001F4118"/>
    <w:rsid w:val="001F414A"/>
    <w:rsid w:val="001F416B"/>
    <w:rsid w:val="001F431E"/>
    <w:rsid w:val="001F437F"/>
    <w:rsid w:val="001F43A0"/>
    <w:rsid w:val="001F442B"/>
    <w:rsid w:val="001F4448"/>
    <w:rsid w:val="001F4522"/>
    <w:rsid w:val="001F455E"/>
    <w:rsid w:val="001F4711"/>
    <w:rsid w:val="001F4733"/>
    <w:rsid w:val="001F4786"/>
    <w:rsid w:val="001F4791"/>
    <w:rsid w:val="001F49CE"/>
    <w:rsid w:val="001F4AEE"/>
    <w:rsid w:val="001F4B53"/>
    <w:rsid w:val="001F4C7D"/>
    <w:rsid w:val="001F4D47"/>
    <w:rsid w:val="001F4F2A"/>
    <w:rsid w:val="001F5045"/>
    <w:rsid w:val="001F5051"/>
    <w:rsid w:val="001F5155"/>
    <w:rsid w:val="001F5172"/>
    <w:rsid w:val="001F52A1"/>
    <w:rsid w:val="001F5317"/>
    <w:rsid w:val="001F53AC"/>
    <w:rsid w:val="001F53DA"/>
    <w:rsid w:val="001F54C2"/>
    <w:rsid w:val="001F5569"/>
    <w:rsid w:val="001F557C"/>
    <w:rsid w:val="001F5643"/>
    <w:rsid w:val="001F5666"/>
    <w:rsid w:val="001F567A"/>
    <w:rsid w:val="001F574A"/>
    <w:rsid w:val="001F57DF"/>
    <w:rsid w:val="001F5842"/>
    <w:rsid w:val="001F589E"/>
    <w:rsid w:val="001F58F9"/>
    <w:rsid w:val="001F59F2"/>
    <w:rsid w:val="001F5A44"/>
    <w:rsid w:val="001F5A51"/>
    <w:rsid w:val="001F5A9D"/>
    <w:rsid w:val="001F5AED"/>
    <w:rsid w:val="001F5B0C"/>
    <w:rsid w:val="001F5B74"/>
    <w:rsid w:val="001F5D7A"/>
    <w:rsid w:val="001F5E71"/>
    <w:rsid w:val="001F5F8A"/>
    <w:rsid w:val="001F6048"/>
    <w:rsid w:val="001F6091"/>
    <w:rsid w:val="001F61D7"/>
    <w:rsid w:val="001F626F"/>
    <w:rsid w:val="001F62A0"/>
    <w:rsid w:val="001F62B8"/>
    <w:rsid w:val="001F642C"/>
    <w:rsid w:val="001F6471"/>
    <w:rsid w:val="001F64BF"/>
    <w:rsid w:val="001F657E"/>
    <w:rsid w:val="001F6649"/>
    <w:rsid w:val="001F67F3"/>
    <w:rsid w:val="001F6898"/>
    <w:rsid w:val="001F69F4"/>
    <w:rsid w:val="001F6A5B"/>
    <w:rsid w:val="001F6A82"/>
    <w:rsid w:val="001F6B22"/>
    <w:rsid w:val="001F6B70"/>
    <w:rsid w:val="001F6BB0"/>
    <w:rsid w:val="001F6C58"/>
    <w:rsid w:val="001F6CBB"/>
    <w:rsid w:val="001F6DB2"/>
    <w:rsid w:val="001F6E05"/>
    <w:rsid w:val="001F6E76"/>
    <w:rsid w:val="001F6EE6"/>
    <w:rsid w:val="001F6FD5"/>
    <w:rsid w:val="001F7012"/>
    <w:rsid w:val="001F70D4"/>
    <w:rsid w:val="001F7106"/>
    <w:rsid w:val="001F7144"/>
    <w:rsid w:val="001F72FD"/>
    <w:rsid w:val="001F7333"/>
    <w:rsid w:val="001F7345"/>
    <w:rsid w:val="001F736A"/>
    <w:rsid w:val="001F73BA"/>
    <w:rsid w:val="001F73CB"/>
    <w:rsid w:val="001F75EA"/>
    <w:rsid w:val="001F75FB"/>
    <w:rsid w:val="001F7749"/>
    <w:rsid w:val="001F7818"/>
    <w:rsid w:val="001F78FC"/>
    <w:rsid w:val="001F7998"/>
    <w:rsid w:val="001F7B73"/>
    <w:rsid w:val="001F7B78"/>
    <w:rsid w:val="001F7C34"/>
    <w:rsid w:val="001F7E63"/>
    <w:rsid w:val="00200010"/>
    <w:rsid w:val="0020005D"/>
    <w:rsid w:val="00200135"/>
    <w:rsid w:val="0020015E"/>
    <w:rsid w:val="002001E7"/>
    <w:rsid w:val="0020038F"/>
    <w:rsid w:val="00200465"/>
    <w:rsid w:val="00200492"/>
    <w:rsid w:val="002005C4"/>
    <w:rsid w:val="002005E3"/>
    <w:rsid w:val="0020066B"/>
    <w:rsid w:val="0020070B"/>
    <w:rsid w:val="00200727"/>
    <w:rsid w:val="00200774"/>
    <w:rsid w:val="00200823"/>
    <w:rsid w:val="002008A7"/>
    <w:rsid w:val="002008FA"/>
    <w:rsid w:val="00200B00"/>
    <w:rsid w:val="00200B79"/>
    <w:rsid w:val="00200C73"/>
    <w:rsid w:val="00200C97"/>
    <w:rsid w:val="00200D63"/>
    <w:rsid w:val="00200E35"/>
    <w:rsid w:val="00200EE7"/>
    <w:rsid w:val="002010C9"/>
    <w:rsid w:val="0020110F"/>
    <w:rsid w:val="00201119"/>
    <w:rsid w:val="00201291"/>
    <w:rsid w:val="00201299"/>
    <w:rsid w:val="002014A5"/>
    <w:rsid w:val="0020175E"/>
    <w:rsid w:val="0020178E"/>
    <w:rsid w:val="002017E0"/>
    <w:rsid w:val="00201835"/>
    <w:rsid w:val="002019FD"/>
    <w:rsid w:val="00201AEC"/>
    <w:rsid w:val="00201B62"/>
    <w:rsid w:val="00201B79"/>
    <w:rsid w:val="00201BF1"/>
    <w:rsid w:val="00201C9E"/>
    <w:rsid w:val="00201DE9"/>
    <w:rsid w:val="00201DED"/>
    <w:rsid w:val="00201E4E"/>
    <w:rsid w:val="00202011"/>
    <w:rsid w:val="002020F0"/>
    <w:rsid w:val="0020210E"/>
    <w:rsid w:val="002022BD"/>
    <w:rsid w:val="00202318"/>
    <w:rsid w:val="0020234D"/>
    <w:rsid w:val="002023C6"/>
    <w:rsid w:val="002023D6"/>
    <w:rsid w:val="00202418"/>
    <w:rsid w:val="0020247C"/>
    <w:rsid w:val="00202519"/>
    <w:rsid w:val="002025A1"/>
    <w:rsid w:val="00202704"/>
    <w:rsid w:val="00202825"/>
    <w:rsid w:val="00202871"/>
    <w:rsid w:val="002028B5"/>
    <w:rsid w:val="002029F0"/>
    <w:rsid w:val="00202A20"/>
    <w:rsid w:val="00202AFA"/>
    <w:rsid w:val="00202BF8"/>
    <w:rsid w:val="00202C6D"/>
    <w:rsid w:val="00202CA8"/>
    <w:rsid w:val="00202CC9"/>
    <w:rsid w:val="00202DB4"/>
    <w:rsid w:val="00202E24"/>
    <w:rsid w:val="00202E4C"/>
    <w:rsid w:val="00202F6F"/>
    <w:rsid w:val="0020309F"/>
    <w:rsid w:val="00203169"/>
    <w:rsid w:val="002031DE"/>
    <w:rsid w:val="002031EE"/>
    <w:rsid w:val="0020321C"/>
    <w:rsid w:val="0020331C"/>
    <w:rsid w:val="002034E9"/>
    <w:rsid w:val="0020359C"/>
    <w:rsid w:val="002035EE"/>
    <w:rsid w:val="0020364E"/>
    <w:rsid w:val="002037B6"/>
    <w:rsid w:val="0020380F"/>
    <w:rsid w:val="002038CC"/>
    <w:rsid w:val="00203913"/>
    <w:rsid w:val="00203978"/>
    <w:rsid w:val="0020397D"/>
    <w:rsid w:val="002039D1"/>
    <w:rsid w:val="00203B5B"/>
    <w:rsid w:val="00203C47"/>
    <w:rsid w:val="00203CBE"/>
    <w:rsid w:val="00203CED"/>
    <w:rsid w:val="00203DFE"/>
    <w:rsid w:val="00203FCA"/>
    <w:rsid w:val="00203FF4"/>
    <w:rsid w:val="0020401E"/>
    <w:rsid w:val="00204109"/>
    <w:rsid w:val="00204129"/>
    <w:rsid w:val="00204171"/>
    <w:rsid w:val="002041AF"/>
    <w:rsid w:val="002044E3"/>
    <w:rsid w:val="0020452E"/>
    <w:rsid w:val="0020455D"/>
    <w:rsid w:val="002045B1"/>
    <w:rsid w:val="00204699"/>
    <w:rsid w:val="002046BD"/>
    <w:rsid w:val="0020483B"/>
    <w:rsid w:val="00204866"/>
    <w:rsid w:val="0020497D"/>
    <w:rsid w:val="00204BA3"/>
    <w:rsid w:val="00204CAA"/>
    <w:rsid w:val="00204D08"/>
    <w:rsid w:val="00204D21"/>
    <w:rsid w:val="00204DCB"/>
    <w:rsid w:val="00204E78"/>
    <w:rsid w:val="00204EFA"/>
    <w:rsid w:val="0020507E"/>
    <w:rsid w:val="002050C6"/>
    <w:rsid w:val="002051F9"/>
    <w:rsid w:val="00205292"/>
    <w:rsid w:val="002052CA"/>
    <w:rsid w:val="00205410"/>
    <w:rsid w:val="0020544E"/>
    <w:rsid w:val="002054B2"/>
    <w:rsid w:val="002054E7"/>
    <w:rsid w:val="00205506"/>
    <w:rsid w:val="002055C3"/>
    <w:rsid w:val="0020568C"/>
    <w:rsid w:val="0020570D"/>
    <w:rsid w:val="0020572A"/>
    <w:rsid w:val="0020574A"/>
    <w:rsid w:val="0020574F"/>
    <w:rsid w:val="0020584C"/>
    <w:rsid w:val="00205A29"/>
    <w:rsid w:val="00205AD9"/>
    <w:rsid w:val="00205C0B"/>
    <w:rsid w:val="00205C1C"/>
    <w:rsid w:val="00205C5C"/>
    <w:rsid w:val="00205C61"/>
    <w:rsid w:val="00205CB9"/>
    <w:rsid w:val="00205D34"/>
    <w:rsid w:val="00205E1F"/>
    <w:rsid w:val="00205E2F"/>
    <w:rsid w:val="00205EE9"/>
    <w:rsid w:val="002060BD"/>
    <w:rsid w:val="002060CF"/>
    <w:rsid w:val="002065BC"/>
    <w:rsid w:val="00206686"/>
    <w:rsid w:val="0020677C"/>
    <w:rsid w:val="0020679B"/>
    <w:rsid w:val="00206836"/>
    <w:rsid w:val="0020689F"/>
    <w:rsid w:val="002068E2"/>
    <w:rsid w:val="0020691C"/>
    <w:rsid w:val="00206980"/>
    <w:rsid w:val="00206B54"/>
    <w:rsid w:val="00206C50"/>
    <w:rsid w:val="00206C89"/>
    <w:rsid w:val="00206D12"/>
    <w:rsid w:val="00206D86"/>
    <w:rsid w:val="00206E58"/>
    <w:rsid w:val="0020701C"/>
    <w:rsid w:val="0020705A"/>
    <w:rsid w:val="0020713F"/>
    <w:rsid w:val="002071E4"/>
    <w:rsid w:val="00207421"/>
    <w:rsid w:val="00207452"/>
    <w:rsid w:val="00207546"/>
    <w:rsid w:val="0020754B"/>
    <w:rsid w:val="00207565"/>
    <w:rsid w:val="002075A7"/>
    <w:rsid w:val="002075B3"/>
    <w:rsid w:val="00207749"/>
    <w:rsid w:val="002077DB"/>
    <w:rsid w:val="00207823"/>
    <w:rsid w:val="0020784B"/>
    <w:rsid w:val="00207AE7"/>
    <w:rsid w:val="00207B5B"/>
    <w:rsid w:val="00207B70"/>
    <w:rsid w:val="00207C73"/>
    <w:rsid w:val="00207CC4"/>
    <w:rsid w:val="00207D80"/>
    <w:rsid w:val="00207F1E"/>
    <w:rsid w:val="00210066"/>
    <w:rsid w:val="00210084"/>
    <w:rsid w:val="00210096"/>
    <w:rsid w:val="0021009D"/>
    <w:rsid w:val="0021019A"/>
    <w:rsid w:val="00210284"/>
    <w:rsid w:val="002102E7"/>
    <w:rsid w:val="0021044B"/>
    <w:rsid w:val="0021045A"/>
    <w:rsid w:val="0021048E"/>
    <w:rsid w:val="0021056B"/>
    <w:rsid w:val="00210581"/>
    <w:rsid w:val="0021061C"/>
    <w:rsid w:val="002106BC"/>
    <w:rsid w:val="002106E9"/>
    <w:rsid w:val="00210724"/>
    <w:rsid w:val="00210761"/>
    <w:rsid w:val="00210773"/>
    <w:rsid w:val="002108B2"/>
    <w:rsid w:val="002108C1"/>
    <w:rsid w:val="002108C5"/>
    <w:rsid w:val="002108F2"/>
    <w:rsid w:val="0021097A"/>
    <w:rsid w:val="00210A19"/>
    <w:rsid w:val="00210C81"/>
    <w:rsid w:val="00210CBF"/>
    <w:rsid w:val="00210D22"/>
    <w:rsid w:val="00210D3D"/>
    <w:rsid w:val="00210EEA"/>
    <w:rsid w:val="00210EFD"/>
    <w:rsid w:val="00210F6A"/>
    <w:rsid w:val="00210FDA"/>
    <w:rsid w:val="0021108B"/>
    <w:rsid w:val="00211097"/>
    <w:rsid w:val="002110C8"/>
    <w:rsid w:val="002111AD"/>
    <w:rsid w:val="0021123F"/>
    <w:rsid w:val="00211321"/>
    <w:rsid w:val="00211402"/>
    <w:rsid w:val="00211410"/>
    <w:rsid w:val="0021147C"/>
    <w:rsid w:val="002114DC"/>
    <w:rsid w:val="00211502"/>
    <w:rsid w:val="0021153A"/>
    <w:rsid w:val="0021157E"/>
    <w:rsid w:val="00211672"/>
    <w:rsid w:val="002116AE"/>
    <w:rsid w:val="002116B7"/>
    <w:rsid w:val="00211715"/>
    <w:rsid w:val="0021172D"/>
    <w:rsid w:val="00211742"/>
    <w:rsid w:val="00211834"/>
    <w:rsid w:val="0021183C"/>
    <w:rsid w:val="00211842"/>
    <w:rsid w:val="002118CC"/>
    <w:rsid w:val="00211974"/>
    <w:rsid w:val="002119F5"/>
    <w:rsid w:val="00211A6B"/>
    <w:rsid w:val="00211BB8"/>
    <w:rsid w:val="00211BF0"/>
    <w:rsid w:val="00211CF0"/>
    <w:rsid w:val="00211E0A"/>
    <w:rsid w:val="00211E1B"/>
    <w:rsid w:val="00211FC3"/>
    <w:rsid w:val="0021204D"/>
    <w:rsid w:val="0021208D"/>
    <w:rsid w:val="002121CB"/>
    <w:rsid w:val="002121E8"/>
    <w:rsid w:val="00212315"/>
    <w:rsid w:val="002124EA"/>
    <w:rsid w:val="0021257D"/>
    <w:rsid w:val="002125C6"/>
    <w:rsid w:val="00212655"/>
    <w:rsid w:val="0021273B"/>
    <w:rsid w:val="00212780"/>
    <w:rsid w:val="00212782"/>
    <w:rsid w:val="002127FC"/>
    <w:rsid w:val="00212889"/>
    <w:rsid w:val="002128F8"/>
    <w:rsid w:val="002128FB"/>
    <w:rsid w:val="00212B00"/>
    <w:rsid w:val="00212B62"/>
    <w:rsid w:val="00212BA9"/>
    <w:rsid w:val="00212BCC"/>
    <w:rsid w:val="00212C17"/>
    <w:rsid w:val="00212CEE"/>
    <w:rsid w:val="00212CFC"/>
    <w:rsid w:val="00212D5F"/>
    <w:rsid w:val="00212DBC"/>
    <w:rsid w:val="00212E2D"/>
    <w:rsid w:val="00213135"/>
    <w:rsid w:val="00213292"/>
    <w:rsid w:val="002132B9"/>
    <w:rsid w:val="002133CF"/>
    <w:rsid w:val="00213414"/>
    <w:rsid w:val="00213466"/>
    <w:rsid w:val="0021349C"/>
    <w:rsid w:val="0021355B"/>
    <w:rsid w:val="0021360B"/>
    <w:rsid w:val="00213613"/>
    <w:rsid w:val="00213649"/>
    <w:rsid w:val="002136FE"/>
    <w:rsid w:val="002137A4"/>
    <w:rsid w:val="0021385B"/>
    <w:rsid w:val="0021393B"/>
    <w:rsid w:val="002139C6"/>
    <w:rsid w:val="00213B0E"/>
    <w:rsid w:val="00213B75"/>
    <w:rsid w:val="00213BF3"/>
    <w:rsid w:val="00213C29"/>
    <w:rsid w:val="00213DBC"/>
    <w:rsid w:val="00213F15"/>
    <w:rsid w:val="00213F1A"/>
    <w:rsid w:val="002140DC"/>
    <w:rsid w:val="00214258"/>
    <w:rsid w:val="002143D5"/>
    <w:rsid w:val="0021441F"/>
    <w:rsid w:val="0021452D"/>
    <w:rsid w:val="00214612"/>
    <w:rsid w:val="002146C9"/>
    <w:rsid w:val="00214887"/>
    <w:rsid w:val="0021490B"/>
    <w:rsid w:val="00214AD7"/>
    <w:rsid w:val="00214B5E"/>
    <w:rsid w:val="00214B7E"/>
    <w:rsid w:val="00214C14"/>
    <w:rsid w:val="00214C29"/>
    <w:rsid w:val="00214D96"/>
    <w:rsid w:val="00214E2C"/>
    <w:rsid w:val="00214E76"/>
    <w:rsid w:val="002151E8"/>
    <w:rsid w:val="002152B7"/>
    <w:rsid w:val="002152DE"/>
    <w:rsid w:val="0021536D"/>
    <w:rsid w:val="002153E7"/>
    <w:rsid w:val="00215453"/>
    <w:rsid w:val="002154A0"/>
    <w:rsid w:val="00215520"/>
    <w:rsid w:val="00215638"/>
    <w:rsid w:val="00215688"/>
    <w:rsid w:val="00215693"/>
    <w:rsid w:val="002156E7"/>
    <w:rsid w:val="00215788"/>
    <w:rsid w:val="002157D5"/>
    <w:rsid w:val="002157EF"/>
    <w:rsid w:val="00215895"/>
    <w:rsid w:val="002158EE"/>
    <w:rsid w:val="002159CD"/>
    <w:rsid w:val="002159E2"/>
    <w:rsid w:val="00215AF0"/>
    <w:rsid w:val="00215B55"/>
    <w:rsid w:val="00215C14"/>
    <w:rsid w:val="00215CBF"/>
    <w:rsid w:val="00215E2D"/>
    <w:rsid w:val="0021601B"/>
    <w:rsid w:val="0021605C"/>
    <w:rsid w:val="00216067"/>
    <w:rsid w:val="00216079"/>
    <w:rsid w:val="00216089"/>
    <w:rsid w:val="00216142"/>
    <w:rsid w:val="00216155"/>
    <w:rsid w:val="002161A7"/>
    <w:rsid w:val="00216208"/>
    <w:rsid w:val="00216241"/>
    <w:rsid w:val="002162C7"/>
    <w:rsid w:val="0021643C"/>
    <w:rsid w:val="0021643E"/>
    <w:rsid w:val="00216482"/>
    <w:rsid w:val="00216551"/>
    <w:rsid w:val="002165DD"/>
    <w:rsid w:val="00216658"/>
    <w:rsid w:val="00216674"/>
    <w:rsid w:val="002166E3"/>
    <w:rsid w:val="0021688F"/>
    <w:rsid w:val="002168F0"/>
    <w:rsid w:val="0021698D"/>
    <w:rsid w:val="00216A3A"/>
    <w:rsid w:val="00216A8F"/>
    <w:rsid w:val="00216B9A"/>
    <w:rsid w:val="00216BB8"/>
    <w:rsid w:val="00216CD8"/>
    <w:rsid w:val="00216D32"/>
    <w:rsid w:val="00216DC2"/>
    <w:rsid w:val="00216DE1"/>
    <w:rsid w:val="00216DE6"/>
    <w:rsid w:val="00216E83"/>
    <w:rsid w:val="00216FEE"/>
    <w:rsid w:val="00217020"/>
    <w:rsid w:val="002170F8"/>
    <w:rsid w:val="0021712A"/>
    <w:rsid w:val="0021718E"/>
    <w:rsid w:val="002171DA"/>
    <w:rsid w:val="00217286"/>
    <w:rsid w:val="00217289"/>
    <w:rsid w:val="0021729A"/>
    <w:rsid w:val="00217319"/>
    <w:rsid w:val="00217334"/>
    <w:rsid w:val="0021736A"/>
    <w:rsid w:val="002173E1"/>
    <w:rsid w:val="002174C7"/>
    <w:rsid w:val="002174F8"/>
    <w:rsid w:val="0021752B"/>
    <w:rsid w:val="002176D1"/>
    <w:rsid w:val="0021777F"/>
    <w:rsid w:val="002177D5"/>
    <w:rsid w:val="0021783E"/>
    <w:rsid w:val="0021791B"/>
    <w:rsid w:val="00217975"/>
    <w:rsid w:val="00217BBA"/>
    <w:rsid w:val="00217C11"/>
    <w:rsid w:val="00217C22"/>
    <w:rsid w:val="00217C2A"/>
    <w:rsid w:val="00217C71"/>
    <w:rsid w:val="00217D12"/>
    <w:rsid w:val="00217ED4"/>
    <w:rsid w:val="00217F48"/>
    <w:rsid w:val="0022019A"/>
    <w:rsid w:val="002201D4"/>
    <w:rsid w:val="002201DA"/>
    <w:rsid w:val="00220321"/>
    <w:rsid w:val="00220392"/>
    <w:rsid w:val="0022041B"/>
    <w:rsid w:val="0022053E"/>
    <w:rsid w:val="002205B9"/>
    <w:rsid w:val="00220621"/>
    <w:rsid w:val="002206AD"/>
    <w:rsid w:val="002206F9"/>
    <w:rsid w:val="002207EC"/>
    <w:rsid w:val="0022087A"/>
    <w:rsid w:val="0022089E"/>
    <w:rsid w:val="002208CA"/>
    <w:rsid w:val="00220A9E"/>
    <w:rsid w:val="00220B32"/>
    <w:rsid w:val="00220B78"/>
    <w:rsid w:val="00220BAD"/>
    <w:rsid w:val="00220C34"/>
    <w:rsid w:val="00220C45"/>
    <w:rsid w:val="00220EF2"/>
    <w:rsid w:val="00221168"/>
    <w:rsid w:val="00221369"/>
    <w:rsid w:val="00221376"/>
    <w:rsid w:val="002213CF"/>
    <w:rsid w:val="00221658"/>
    <w:rsid w:val="00221728"/>
    <w:rsid w:val="0022178B"/>
    <w:rsid w:val="00221879"/>
    <w:rsid w:val="002218E3"/>
    <w:rsid w:val="00221938"/>
    <w:rsid w:val="002219DD"/>
    <w:rsid w:val="002219F7"/>
    <w:rsid w:val="00221A1D"/>
    <w:rsid w:val="00221A6A"/>
    <w:rsid w:val="00221AA5"/>
    <w:rsid w:val="00221B22"/>
    <w:rsid w:val="00221C81"/>
    <w:rsid w:val="00221CBB"/>
    <w:rsid w:val="00221D4A"/>
    <w:rsid w:val="00221F6F"/>
    <w:rsid w:val="0022203C"/>
    <w:rsid w:val="0022206D"/>
    <w:rsid w:val="002222FE"/>
    <w:rsid w:val="0022241B"/>
    <w:rsid w:val="002224AD"/>
    <w:rsid w:val="0022252F"/>
    <w:rsid w:val="00222592"/>
    <w:rsid w:val="002225AA"/>
    <w:rsid w:val="002225C9"/>
    <w:rsid w:val="002225F4"/>
    <w:rsid w:val="0022281C"/>
    <w:rsid w:val="00222AB2"/>
    <w:rsid w:val="00222B51"/>
    <w:rsid w:val="00222BD5"/>
    <w:rsid w:val="00222BEA"/>
    <w:rsid w:val="00222C5A"/>
    <w:rsid w:val="00222C63"/>
    <w:rsid w:val="00222CB8"/>
    <w:rsid w:val="00222CF1"/>
    <w:rsid w:val="00222D14"/>
    <w:rsid w:val="00222E06"/>
    <w:rsid w:val="00222F9C"/>
    <w:rsid w:val="0022301C"/>
    <w:rsid w:val="00223029"/>
    <w:rsid w:val="0022319B"/>
    <w:rsid w:val="00223204"/>
    <w:rsid w:val="00223274"/>
    <w:rsid w:val="00223294"/>
    <w:rsid w:val="00223667"/>
    <w:rsid w:val="002237F8"/>
    <w:rsid w:val="00223825"/>
    <w:rsid w:val="00223995"/>
    <w:rsid w:val="00223A16"/>
    <w:rsid w:val="00223A5B"/>
    <w:rsid w:val="00223B65"/>
    <w:rsid w:val="00223BCB"/>
    <w:rsid w:val="00223D77"/>
    <w:rsid w:val="00223F2F"/>
    <w:rsid w:val="00224007"/>
    <w:rsid w:val="00224019"/>
    <w:rsid w:val="00224042"/>
    <w:rsid w:val="002240AC"/>
    <w:rsid w:val="002242CB"/>
    <w:rsid w:val="0022434B"/>
    <w:rsid w:val="00224370"/>
    <w:rsid w:val="002244A3"/>
    <w:rsid w:val="00224543"/>
    <w:rsid w:val="002245A9"/>
    <w:rsid w:val="002246E8"/>
    <w:rsid w:val="0022472A"/>
    <w:rsid w:val="002247F2"/>
    <w:rsid w:val="00224828"/>
    <w:rsid w:val="002248CA"/>
    <w:rsid w:val="002248CB"/>
    <w:rsid w:val="00224965"/>
    <w:rsid w:val="00224A4B"/>
    <w:rsid w:val="00224AC2"/>
    <w:rsid w:val="00224B8F"/>
    <w:rsid w:val="00224CA0"/>
    <w:rsid w:val="00224D73"/>
    <w:rsid w:val="00224D91"/>
    <w:rsid w:val="00224DC3"/>
    <w:rsid w:val="00224F92"/>
    <w:rsid w:val="0022503A"/>
    <w:rsid w:val="0022520C"/>
    <w:rsid w:val="00225240"/>
    <w:rsid w:val="0022529A"/>
    <w:rsid w:val="00225304"/>
    <w:rsid w:val="0022535F"/>
    <w:rsid w:val="00225363"/>
    <w:rsid w:val="0022540F"/>
    <w:rsid w:val="0022559F"/>
    <w:rsid w:val="002255B2"/>
    <w:rsid w:val="00225670"/>
    <w:rsid w:val="00225683"/>
    <w:rsid w:val="002256B3"/>
    <w:rsid w:val="002258FF"/>
    <w:rsid w:val="00225947"/>
    <w:rsid w:val="002259A5"/>
    <w:rsid w:val="00225A81"/>
    <w:rsid w:val="00225AAC"/>
    <w:rsid w:val="00225AE8"/>
    <w:rsid w:val="00225B80"/>
    <w:rsid w:val="00225C0C"/>
    <w:rsid w:val="00225C1C"/>
    <w:rsid w:val="00225D83"/>
    <w:rsid w:val="00225E8F"/>
    <w:rsid w:val="00225F3B"/>
    <w:rsid w:val="00225FE1"/>
    <w:rsid w:val="002260C7"/>
    <w:rsid w:val="002260CF"/>
    <w:rsid w:val="00226192"/>
    <w:rsid w:val="002261EF"/>
    <w:rsid w:val="002261FB"/>
    <w:rsid w:val="00226204"/>
    <w:rsid w:val="00226207"/>
    <w:rsid w:val="0022637C"/>
    <w:rsid w:val="002263B9"/>
    <w:rsid w:val="002263BB"/>
    <w:rsid w:val="0022640F"/>
    <w:rsid w:val="00226411"/>
    <w:rsid w:val="00226516"/>
    <w:rsid w:val="0022652D"/>
    <w:rsid w:val="0022654A"/>
    <w:rsid w:val="0022657E"/>
    <w:rsid w:val="00226674"/>
    <w:rsid w:val="002266AD"/>
    <w:rsid w:val="002266DB"/>
    <w:rsid w:val="0022675D"/>
    <w:rsid w:val="0022691D"/>
    <w:rsid w:val="002269ED"/>
    <w:rsid w:val="00226A3F"/>
    <w:rsid w:val="00226AE9"/>
    <w:rsid w:val="00226B20"/>
    <w:rsid w:val="00226B53"/>
    <w:rsid w:val="00226C71"/>
    <w:rsid w:val="00226C8F"/>
    <w:rsid w:val="00226D63"/>
    <w:rsid w:val="00226EB5"/>
    <w:rsid w:val="00226FED"/>
    <w:rsid w:val="002270F3"/>
    <w:rsid w:val="00227105"/>
    <w:rsid w:val="00227136"/>
    <w:rsid w:val="002272EF"/>
    <w:rsid w:val="0022743B"/>
    <w:rsid w:val="002274BC"/>
    <w:rsid w:val="00227570"/>
    <w:rsid w:val="00227761"/>
    <w:rsid w:val="00227846"/>
    <w:rsid w:val="0022793B"/>
    <w:rsid w:val="002279BA"/>
    <w:rsid w:val="002279FC"/>
    <w:rsid w:val="00227B2D"/>
    <w:rsid w:val="00227BD9"/>
    <w:rsid w:val="00227C3C"/>
    <w:rsid w:val="00227CD5"/>
    <w:rsid w:val="00227D19"/>
    <w:rsid w:val="00227D75"/>
    <w:rsid w:val="00227DB7"/>
    <w:rsid w:val="00227E4C"/>
    <w:rsid w:val="00227EDD"/>
    <w:rsid w:val="00227F96"/>
    <w:rsid w:val="0023012C"/>
    <w:rsid w:val="00230149"/>
    <w:rsid w:val="0023017A"/>
    <w:rsid w:val="0023018B"/>
    <w:rsid w:val="00230196"/>
    <w:rsid w:val="00230275"/>
    <w:rsid w:val="0023027C"/>
    <w:rsid w:val="002303B9"/>
    <w:rsid w:val="002303D2"/>
    <w:rsid w:val="0023044F"/>
    <w:rsid w:val="002304DE"/>
    <w:rsid w:val="002305FF"/>
    <w:rsid w:val="0023063A"/>
    <w:rsid w:val="002306B0"/>
    <w:rsid w:val="00230753"/>
    <w:rsid w:val="00230A39"/>
    <w:rsid w:val="00230A74"/>
    <w:rsid w:val="00230D59"/>
    <w:rsid w:val="00230E60"/>
    <w:rsid w:val="00230E98"/>
    <w:rsid w:val="002310FE"/>
    <w:rsid w:val="00231180"/>
    <w:rsid w:val="00231234"/>
    <w:rsid w:val="002312A8"/>
    <w:rsid w:val="0023152A"/>
    <w:rsid w:val="00231588"/>
    <w:rsid w:val="002315E8"/>
    <w:rsid w:val="00231716"/>
    <w:rsid w:val="002317C3"/>
    <w:rsid w:val="00231893"/>
    <w:rsid w:val="00231898"/>
    <w:rsid w:val="0023190E"/>
    <w:rsid w:val="00231926"/>
    <w:rsid w:val="0023194C"/>
    <w:rsid w:val="00231A7F"/>
    <w:rsid w:val="00231AB7"/>
    <w:rsid w:val="00231B5F"/>
    <w:rsid w:val="00231B60"/>
    <w:rsid w:val="00231BAB"/>
    <w:rsid w:val="00231BC5"/>
    <w:rsid w:val="00231DBF"/>
    <w:rsid w:val="00231F2F"/>
    <w:rsid w:val="00231F69"/>
    <w:rsid w:val="00232009"/>
    <w:rsid w:val="002320EA"/>
    <w:rsid w:val="00232399"/>
    <w:rsid w:val="002323C9"/>
    <w:rsid w:val="002323FA"/>
    <w:rsid w:val="00232434"/>
    <w:rsid w:val="00232449"/>
    <w:rsid w:val="00232600"/>
    <w:rsid w:val="002326CC"/>
    <w:rsid w:val="002326E1"/>
    <w:rsid w:val="00232806"/>
    <w:rsid w:val="002328FB"/>
    <w:rsid w:val="00232919"/>
    <w:rsid w:val="002329C7"/>
    <w:rsid w:val="002329D2"/>
    <w:rsid w:val="00232A64"/>
    <w:rsid w:val="00232AD8"/>
    <w:rsid w:val="00232B47"/>
    <w:rsid w:val="00232BC3"/>
    <w:rsid w:val="00232C56"/>
    <w:rsid w:val="00232C5B"/>
    <w:rsid w:val="00232C8E"/>
    <w:rsid w:val="00232C99"/>
    <w:rsid w:val="00232D3D"/>
    <w:rsid w:val="00232D4B"/>
    <w:rsid w:val="00232E03"/>
    <w:rsid w:val="00232F0D"/>
    <w:rsid w:val="00233027"/>
    <w:rsid w:val="00233120"/>
    <w:rsid w:val="00233181"/>
    <w:rsid w:val="002331BC"/>
    <w:rsid w:val="0023322A"/>
    <w:rsid w:val="0023323F"/>
    <w:rsid w:val="00233261"/>
    <w:rsid w:val="0023328F"/>
    <w:rsid w:val="002332E3"/>
    <w:rsid w:val="00233334"/>
    <w:rsid w:val="00233486"/>
    <w:rsid w:val="0023349F"/>
    <w:rsid w:val="002334E2"/>
    <w:rsid w:val="002334F9"/>
    <w:rsid w:val="00233590"/>
    <w:rsid w:val="002335EE"/>
    <w:rsid w:val="0023363B"/>
    <w:rsid w:val="00233642"/>
    <w:rsid w:val="00233707"/>
    <w:rsid w:val="0023375B"/>
    <w:rsid w:val="002337C6"/>
    <w:rsid w:val="00233822"/>
    <w:rsid w:val="002338FA"/>
    <w:rsid w:val="00233934"/>
    <w:rsid w:val="00233A5A"/>
    <w:rsid w:val="00233C7A"/>
    <w:rsid w:val="00233C9D"/>
    <w:rsid w:val="00233CF3"/>
    <w:rsid w:val="00233DB3"/>
    <w:rsid w:val="00233DED"/>
    <w:rsid w:val="00233E2F"/>
    <w:rsid w:val="00233F1C"/>
    <w:rsid w:val="00233F76"/>
    <w:rsid w:val="00233F81"/>
    <w:rsid w:val="00233FA0"/>
    <w:rsid w:val="00234053"/>
    <w:rsid w:val="0023405C"/>
    <w:rsid w:val="00234194"/>
    <w:rsid w:val="002341CA"/>
    <w:rsid w:val="00234223"/>
    <w:rsid w:val="002342F3"/>
    <w:rsid w:val="00234397"/>
    <w:rsid w:val="0023450D"/>
    <w:rsid w:val="00234639"/>
    <w:rsid w:val="002346E4"/>
    <w:rsid w:val="00234708"/>
    <w:rsid w:val="00234761"/>
    <w:rsid w:val="00234A7C"/>
    <w:rsid w:val="00234C03"/>
    <w:rsid w:val="00234C7B"/>
    <w:rsid w:val="00234CB7"/>
    <w:rsid w:val="00234D11"/>
    <w:rsid w:val="00234D65"/>
    <w:rsid w:val="00234EA8"/>
    <w:rsid w:val="00234EBC"/>
    <w:rsid w:val="0023510E"/>
    <w:rsid w:val="002351ED"/>
    <w:rsid w:val="002351F8"/>
    <w:rsid w:val="00235250"/>
    <w:rsid w:val="0023535D"/>
    <w:rsid w:val="0023545F"/>
    <w:rsid w:val="00235567"/>
    <w:rsid w:val="002355D5"/>
    <w:rsid w:val="00235777"/>
    <w:rsid w:val="002357B9"/>
    <w:rsid w:val="002357C9"/>
    <w:rsid w:val="0023587C"/>
    <w:rsid w:val="00235979"/>
    <w:rsid w:val="00235A1B"/>
    <w:rsid w:val="00235C2A"/>
    <w:rsid w:val="00235C34"/>
    <w:rsid w:val="00235D6A"/>
    <w:rsid w:val="00235D6C"/>
    <w:rsid w:val="00235DDA"/>
    <w:rsid w:val="00235E68"/>
    <w:rsid w:val="00235F1C"/>
    <w:rsid w:val="00235FE8"/>
    <w:rsid w:val="00236012"/>
    <w:rsid w:val="002360B8"/>
    <w:rsid w:val="002361F9"/>
    <w:rsid w:val="0023640D"/>
    <w:rsid w:val="00236417"/>
    <w:rsid w:val="00236634"/>
    <w:rsid w:val="002366BC"/>
    <w:rsid w:val="00236893"/>
    <w:rsid w:val="00236A64"/>
    <w:rsid w:val="00236BBE"/>
    <w:rsid w:val="00236BD4"/>
    <w:rsid w:val="00236BE8"/>
    <w:rsid w:val="00236C14"/>
    <w:rsid w:val="00236DB3"/>
    <w:rsid w:val="00236FF4"/>
    <w:rsid w:val="00236FFA"/>
    <w:rsid w:val="0023703B"/>
    <w:rsid w:val="00237225"/>
    <w:rsid w:val="0023729B"/>
    <w:rsid w:val="0023750A"/>
    <w:rsid w:val="00237588"/>
    <w:rsid w:val="002375D9"/>
    <w:rsid w:val="00237601"/>
    <w:rsid w:val="002376AE"/>
    <w:rsid w:val="002376D3"/>
    <w:rsid w:val="002376E5"/>
    <w:rsid w:val="002377D9"/>
    <w:rsid w:val="002378C4"/>
    <w:rsid w:val="00237977"/>
    <w:rsid w:val="0023798E"/>
    <w:rsid w:val="00237AC7"/>
    <w:rsid w:val="00237AEE"/>
    <w:rsid w:val="00237BF0"/>
    <w:rsid w:val="00237D78"/>
    <w:rsid w:val="00237DFC"/>
    <w:rsid w:val="00237EDF"/>
    <w:rsid w:val="00240109"/>
    <w:rsid w:val="00240116"/>
    <w:rsid w:val="0024012F"/>
    <w:rsid w:val="0024026D"/>
    <w:rsid w:val="00240367"/>
    <w:rsid w:val="00240458"/>
    <w:rsid w:val="002404F6"/>
    <w:rsid w:val="00240532"/>
    <w:rsid w:val="0024055A"/>
    <w:rsid w:val="002405B1"/>
    <w:rsid w:val="002405D1"/>
    <w:rsid w:val="00240649"/>
    <w:rsid w:val="0024065B"/>
    <w:rsid w:val="002406DC"/>
    <w:rsid w:val="002406ED"/>
    <w:rsid w:val="00240767"/>
    <w:rsid w:val="00240825"/>
    <w:rsid w:val="00240851"/>
    <w:rsid w:val="002409B5"/>
    <w:rsid w:val="002409E8"/>
    <w:rsid w:val="00240A42"/>
    <w:rsid w:val="00240A83"/>
    <w:rsid w:val="00240B5E"/>
    <w:rsid w:val="00240B74"/>
    <w:rsid w:val="00240BA0"/>
    <w:rsid w:val="00240BA3"/>
    <w:rsid w:val="00240C82"/>
    <w:rsid w:val="00240C88"/>
    <w:rsid w:val="00240D0E"/>
    <w:rsid w:val="00240F3A"/>
    <w:rsid w:val="00240F40"/>
    <w:rsid w:val="00240F80"/>
    <w:rsid w:val="00240FE2"/>
    <w:rsid w:val="00241026"/>
    <w:rsid w:val="002410C2"/>
    <w:rsid w:val="0024121D"/>
    <w:rsid w:val="00241226"/>
    <w:rsid w:val="00241297"/>
    <w:rsid w:val="00241398"/>
    <w:rsid w:val="00241434"/>
    <w:rsid w:val="00241600"/>
    <w:rsid w:val="00241601"/>
    <w:rsid w:val="0024167E"/>
    <w:rsid w:val="002416E2"/>
    <w:rsid w:val="0024171F"/>
    <w:rsid w:val="00241738"/>
    <w:rsid w:val="00241744"/>
    <w:rsid w:val="00241758"/>
    <w:rsid w:val="002417DC"/>
    <w:rsid w:val="002418CB"/>
    <w:rsid w:val="00241919"/>
    <w:rsid w:val="00241930"/>
    <w:rsid w:val="00241971"/>
    <w:rsid w:val="002419FB"/>
    <w:rsid w:val="00241A16"/>
    <w:rsid w:val="00241A4A"/>
    <w:rsid w:val="00241BB8"/>
    <w:rsid w:val="00241BF8"/>
    <w:rsid w:val="00241D10"/>
    <w:rsid w:val="00241E01"/>
    <w:rsid w:val="00241E1C"/>
    <w:rsid w:val="00241E2A"/>
    <w:rsid w:val="00241E2E"/>
    <w:rsid w:val="00241EE6"/>
    <w:rsid w:val="00241FF5"/>
    <w:rsid w:val="00242136"/>
    <w:rsid w:val="0024220C"/>
    <w:rsid w:val="00242227"/>
    <w:rsid w:val="0024222E"/>
    <w:rsid w:val="0024224F"/>
    <w:rsid w:val="002422A5"/>
    <w:rsid w:val="00242523"/>
    <w:rsid w:val="00242531"/>
    <w:rsid w:val="00242590"/>
    <w:rsid w:val="0024259E"/>
    <w:rsid w:val="0024272E"/>
    <w:rsid w:val="00242808"/>
    <w:rsid w:val="002428A8"/>
    <w:rsid w:val="0024290A"/>
    <w:rsid w:val="00242AC1"/>
    <w:rsid w:val="00242AF0"/>
    <w:rsid w:val="00242B26"/>
    <w:rsid w:val="00242B3B"/>
    <w:rsid w:val="00242B75"/>
    <w:rsid w:val="00242B7D"/>
    <w:rsid w:val="00242D0E"/>
    <w:rsid w:val="00242F01"/>
    <w:rsid w:val="0024302F"/>
    <w:rsid w:val="00243096"/>
    <w:rsid w:val="002430BD"/>
    <w:rsid w:val="00243121"/>
    <w:rsid w:val="0024329B"/>
    <w:rsid w:val="002433F9"/>
    <w:rsid w:val="00243429"/>
    <w:rsid w:val="002435B8"/>
    <w:rsid w:val="0024393E"/>
    <w:rsid w:val="00243A19"/>
    <w:rsid w:val="00243A24"/>
    <w:rsid w:val="00243A9C"/>
    <w:rsid w:val="00243AD3"/>
    <w:rsid w:val="00243AEA"/>
    <w:rsid w:val="00243BB9"/>
    <w:rsid w:val="00243BC3"/>
    <w:rsid w:val="00243C14"/>
    <w:rsid w:val="00243C46"/>
    <w:rsid w:val="00243E56"/>
    <w:rsid w:val="00243F20"/>
    <w:rsid w:val="00243F2D"/>
    <w:rsid w:val="00243FF6"/>
    <w:rsid w:val="0024415C"/>
    <w:rsid w:val="002443AD"/>
    <w:rsid w:val="002443C8"/>
    <w:rsid w:val="00244432"/>
    <w:rsid w:val="002444E7"/>
    <w:rsid w:val="00244521"/>
    <w:rsid w:val="00244583"/>
    <w:rsid w:val="002445CC"/>
    <w:rsid w:val="0024475F"/>
    <w:rsid w:val="00244780"/>
    <w:rsid w:val="00244804"/>
    <w:rsid w:val="002448B0"/>
    <w:rsid w:val="002448F5"/>
    <w:rsid w:val="0024492B"/>
    <w:rsid w:val="00244938"/>
    <w:rsid w:val="00244A27"/>
    <w:rsid w:val="00244A61"/>
    <w:rsid w:val="00244AF6"/>
    <w:rsid w:val="00244BDA"/>
    <w:rsid w:val="00244CEB"/>
    <w:rsid w:val="00244F7D"/>
    <w:rsid w:val="00244FA5"/>
    <w:rsid w:val="00245027"/>
    <w:rsid w:val="0024504D"/>
    <w:rsid w:val="002450CA"/>
    <w:rsid w:val="002451C7"/>
    <w:rsid w:val="00245237"/>
    <w:rsid w:val="002452CE"/>
    <w:rsid w:val="0024530F"/>
    <w:rsid w:val="00245314"/>
    <w:rsid w:val="00245323"/>
    <w:rsid w:val="0024534B"/>
    <w:rsid w:val="002453F6"/>
    <w:rsid w:val="0024543D"/>
    <w:rsid w:val="002454D8"/>
    <w:rsid w:val="00245533"/>
    <w:rsid w:val="002455DA"/>
    <w:rsid w:val="002456D7"/>
    <w:rsid w:val="002456E5"/>
    <w:rsid w:val="002457C8"/>
    <w:rsid w:val="00245803"/>
    <w:rsid w:val="0024581E"/>
    <w:rsid w:val="002458C5"/>
    <w:rsid w:val="002458FA"/>
    <w:rsid w:val="00245BC4"/>
    <w:rsid w:val="00245C9C"/>
    <w:rsid w:val="00245D01"/>
    <w:rsid w:val="00245E70"/>
    <w:rsid w:val="00245F90"/>
    <w:rsid w:val="00245FB8"/>
    <w:rsid w:val="00246070"/>
    <w:rsid w:val="0024607F"/>
    <w:rsid w:val="002460DC"/>
    <w:rsid w:val="002460EC"/>
    <w:rsid w:val="0024612F"/>
    <w:rsid w:val="002461F3"/>
    <w:rsid w:val="00246241"/>
    <w:rsid w:val="0024625F"/>
    <w:rsid w:val="002462FF"/>
    <w:rsid w:val="00246335"/>
    <w:rsid w:val="0024633D"/>
    <w:rsid w:val="0024646A"/>
    <w:rsid w:val="00246520"/>
    <w:rsid w:val="002466A0"/>
    <w:rsid w:val="002466CB"/>
    <w:rsid w:val="002466CC"/>
    <w:rsid w:val="002468DE"/>
    <w:rsid w:val="002468FC"/>
    <w:rsid w:val="00246965"/>
    <w:rsid w:val="00246997"/>
    <w:rsid w:val="00246BC0"/>
    <w:rsid w:val="00246C16"/>
    <w:rsid w:val="00246C39"/>
    <w:rsid w:val="00246C40"/>
    <w:rsid w:val="00246D31"/>
    <w:rsid w:val="00246DA6"/>
    <w:rsid w:val="00246DE3"/>
    <w:rsid w:val="00246E29"/>
    <w:rsid w:val="00246EC3"/>
    <w:rsid w:val="00246F11"/>
    <w:rsid w:val="00246F5F"/>
    <w:rsid w:val="00247002"/>
    <w:rsid w:val="00247030"/>
    <w:rsid w:val="002470E8"/>
    <w:rsid w:val="002470F5"/>
    <w:rsid w:val="00247150"/>
    <w:rsid w:val="0024717A"/>
    <w:rsid w:val="0024720D"/>
    <w:rsid w:val="00247231"/>
    <w:rsid w:val="0024725E"/>
    <w:rsid w:val="00247292"/>
    <w:rsid w:val="00247295"/>
    <w:rsid w:val="002472C7"/>
    <w:rsid w:val="002473D9"/>
    <w:rsid w:val="00247571"/>
    <w:rsid w:val="00247658"/>
    <w:rsid w:val="0024765B"/>
    <w:rsid w:val="00247AA2"/>
    <w:rsid w:val="00247AA6"/>
    <w:rsid w:val="00247AF6"/>
    <w:rsid w:val="00247B20"/>
    <w:rsid w:val="00247D7C"/>
    <w:rsid w:val="00247EC2"/>
    <w:rsid w:val="00247F54"/>
    <w:rsid w:val="00250261"/>
    <w:rsid w:val="00250369"/>
    <w:rsid w:val="002504C9"/>
    <w:rsid w:val="0025073E"/>
    <w:rsid w:val="00250791"/>
    <w:rsid w:val="002507E0"/>
    <w:rsid w:val="0025081C"/>
    <w:rsid w:val="00250849"/>
    <w:rsid w:val="00250874"/>
    <w:rsid w:val="002508CA"/>
    <w:rsid w:val="00250907"/>
    <w:rsid w:val="0025092D"/>
    <w:rsid w:val="00250A4C"/>
    <w:rsid w:val="00250C51"/>
    <w:rsid w:val="00250CFB"/>
    <w:rsid w:val="00250DE7"/>
    <w:rsid w:val="00250DFE"/>
    <w:rsid w:val="00250EC5"/>
    <w:rsid w:val="00250EE5"/>
    <w:rsid w:val="00250F0C"/>
    <w:rsid w:val="00250F6C"/>
    <w:rsid w:val="00250FD1"/>
    <w:rsid w:val="00251063"/>
    <w:rsid w:val="0025129D"/>
    <w:rsid w:val="00251361"/>
    <w:rsid w:val="0025149C"/>
    <w:rsid w:val="002514ED"/>
    <w:rsid w:val="00251588"/>
    <w:rsid w:val="00251614"/>
    <w:rsid w:val="002516DA"/>
    <w:rsid w:val="0025180F"/>
    <w:rsid w:val="00251814"/>
    <w:rsid w:val="0025185E"/>
    <w:rsid w:val="0025186F"/>
    <w:rsid w:val="002518F5"/>
    <w:rsid w:val="00251905"/>
    <w:rsid w:val="00251A27"/>
    <w:rsid w:val="00251A51"/>
    <w:rsid w:val="00251A67"/>
    <w:rsid w:val="00251A75"/>
    <w:rsid w:val="00251D21"/>
    <w:rsid w:val="00251DE2"/>
    <w:rsid w:val="00251E1C"/>
    <w:rsid w:val="00251E4F"/>
    <w:rsid w:val="00251E61"/>
    <w:rsid w:val="00251E6D"/>
    <w:rsid w:val="00251EEB"/>
    <w:rsid w:val="00251FB7"/>
    <w:rsid w:val="00252010"/>
    <w:rsid w:val="00252013"/>
    <w:rsid w:val="00252181"/>
    <w:rsid w:val="002521C1"/>
    <w:rsid w:val="00252257"/>
    <w:rsid w:val="002522FD"/>
    <w:rsid w:val="00252312"/>
    <w:rsid w:val="00252355"/>
    <w:rsid w:val="0025237F"/>
    <w:rsid w:val="0025244F"/>
    <w:rsid w:val="00252495"/>
    <w:rsid w:val="00252560"/>
    <w:rsid w:val="00252782"/>
    <w:rsid w:val="00252793"/>
    <w:rsid w:val="002527CB"/>
    <w:rsid w:val="002527DB"/>
    <w:rsid w:val="00252865"/>
    <w:rsid w:val="00252886"/>
    <w:rsid w:val="0025288E"/>
    <w:rsid w:val="002528E0"/>
    <w:rsid w:val="00252938"/>
    <w:rsid w:val="002529AB"/>
    <w:rsid w:val="002529C0"/>
    <w:rsid w:val="002529C6"/>
    <w:rsid w:val="002529CE"/>
    <w:rsid w:val="00252B0C"/>
    <w:rsid w:val="00252B75"/>
    <w:rsid w:val="00252BDB"/>
    <w:rsid w:val="00252CDA"/>
    <w:rsid w:val="00252D24"/>
    <w:rsid w:val="00252D94"/>
    <w:rsid w:val="00252DB6"/>
    <w:rsid w:val="00252DED"/>
    <w:rsid w:val="00252EB5"/>
    <w:rsid w:val="00252F56"/>
    <w:rsid w:val="00252F7F"/>
    <w:rsid w:val="00252F99"/>
    <w:rsid w:val="002531B4"/>
    <w:rsid w:val="0025326F"/>
    <w:rsid w:val="002532EF"/>
    <w:rsid w:val="00253303"/>
    <w:rsid w:val="0025334B"/>
    <w:rsid w:val="002533FB"/>
    <w:rsid w:val="00253424"/>
    <w:rsid w:val="00253426"/>
    <w:rsid w:val="002534B8"/>
    <w:rsid w:val="00253552"/>
    <w:rsid w:val="002535AF"/>
    <w:rsid w:val="002535C1"/>
    <w:rsid w:val="002535E6"/>
    <w:rsid w:val="00253678"/>
    <w:rsid w:val="002536DD"/>
    <w:rsid w:val="00253ADF"/>
    <w:rsid w:val="00253B16"/>
    <w:rsid w:val="00253BD7"/>
    <w:rsid w:val="00253CC9"/>
    <w:rsid w:val="00253D16"/>
    <w:rsid w:val="00253D50"/>
    <w:rsid w:val="00253D6E"/>
    <w:rsid w:val="00253E3C"/>
    <w:rsid w:val="00253FC9"/>
    <w:rsid w:val="00254001"/>
    <w:rsid w:val="00254166"/>
    <w:rsid w:val="00254173"/>
    <w:rsid w:val="002541C8"/>
    <w:rsid w:val="0025420D"/>
    <w:rsid w:val="002542C2"/>
    <w:rsid w:val="002543F9"/>
    <w:rsid w:val="00254459"/>
    <w:rsid w:val="0025445D"/>
    <w:rsid w:val="00254616"/>
    <w:rsid w:val="002546B8"/>
    <w:rsid w:val="0025472D"/>
    <w:rsid w:val="0025473B"/>
    <w:rsid w:val="002547C1"/>
    <w:rsid w:val="00254823"/>
    <w:rsid w:val="00254879"/>
    <w:rsid w:val="002548D4"/>
    <w:rsid w:val="00254A4D"/>
    <w:rsid w:val="00254ACC"/>
    <w:rsid w:val="00254AEC"/>
    <w:rsid w:val="00254B15"/>
    <w:rsid w:val="00254C27"/>
    <w:rsid w:val="00254C56"/>
    <w:rsid w:val="00254C61"/>
    <w:rsid w:val="00254C6E"/>
    <w:rsid w:val="00254CC1"/>
    <w:rsid w:val="00254CE9"/>
    <w:rsid w:val="00254E04"/>
    <w:rsid w:val="00254E31"/>
    <w:rsid w:val="00254EBB"/>
    <w:rsid w:val="00254FC0"/>
    <w:rsid w:val="00255049"/>
    <w:rsid w:val="0025511D"/>
    <w:rsid w:val="00255165"/>
    <w:rsid w:val="002553EC"/>
    <w:rsid w:val="002554A4"/>
    <w:rsid w:val="0025557C"/>
    <w:rsid w:val="00255725"/>
    <w:rsid w:val="0025575C"/>
    <w:rsid w:val="002557FB"/>
    <w:rsid w:val="0025594E"/>
    <w:rsid w:val="00255ABC"/>
    <w:rsid w:val="00255AEC"/>
    <w:rsid w:val="00255B0C"/>
    <w:rsid w:val="00255BBE"/>
    <w:rsid w:val="00255C22"/>
    <w:rsid w:val="00255CA6"/>
    <w:rsid w:val="00255DF1"/>
    <w:rsid w:val="00255E4F"/>
    <w:rsid w:val="00255FE2"/>
    <w:rsid w:val="002561CF"/>
    <w:rsid w:val="002561DC"/>
    <w:rsid w:val="00256248"/>
    <w:rsid w:val="0025637C"/>
    <w:rsid w:val="002563C6"/>
    <w:rsid w:val="002566C4"/>
    <w:rsid w:val="002566DD"/>
    <w:rsid w:val="0025671C"/>
    <w:rsid w:val="0025694E"/>
    <w:rsid w:val="00256961"/>
    <w:rsid w:val="002569A1"/>
    <w:rsid w:val="00256BFE"/>
    <w:rsid w:val="00256C72"/>
    <w:rsid w:val="00256CCF"/>
    <w:rsid w:val="00256D18"/>
    <w:rsid w:val="00256DF2"/>
    <w:rsid w:val="00256EB1"/>
    <w:rsid w:val="00256F0A"/>
    <w:rsid w:val="00256F80"/>
    <w:rsid w:val="00256FC1"/>
    <w:rsid w:val="00257121"/>
    <w:rsid w:val="002571F4"/>
    <w:rsid w:val="0025720D"/>
    <w:rsid w:val="00257281"/>
    <w:rsid w:val="0025733C"/>
    <w:rsid w:val="00257432"/>
    <w:rsid w:val="0025743A"/>
    <w:rsid w:val="0025757F"/>
    <w:rsid w:val="002575BA"/>
    <w:rsid w:val="002576A7"/>
    <w:rsid w:val="0025770B"/>
    <w:rsid w:val="00257733"/>
    <w:rsid w:val="0025776A"/>
    <w:rsid w:val="002577AD"/>
    <w:rsid w:val="002577C6"/>
    <w:rsid w:val="002578A0"/>
    <w:rsid w:val="0025793B"/>
    <w:rsid w:val="00257989"/>
    <w:rsid w:val="00257999"/>
    <w:rsid w:val="00257C2E"/>
    <w:rsid w:val="00257C9A"/>
    <w:rsid w:val="00257CE2"/>
    <w:rsid w:val="00257DC7"/>
    <w:rsid w:val="00257E00"/>
    <w:rsid w:val="00257E60"/>
    <w:rsid w:val="00257E7D"/>
    <w:rsid w:val="00257E94"/>
    <w:rsid w:val="00257EA4"/>
    <w:rsid w:val="00257EC4"/>
    <w:rsid w:val="00257F56"/>
    <w:rsid w:val="00257FD6"/>
    <w:rsid w:val="00257FFA"/>
    <w:rsid w:val="0026008C"/>
    <w:rsid w:val="0026015D"/>
    <w:rsid w:val="00260184"/>
    <w:rsid w:val="00260189"/>
    <w:rsid w:val="002601AD"/>
    <w:rsid w:val="00260282"/>
    <w:rsid w:val="0026049C"/>
    <w:rsid w:val="002608CB"/>
    <w:rsid w:val="00260925"/>
    <w:rsid w:val="002609E5"/>
    <w:rsid w:val="002609F8"/>
    <w:rsid w:val="00260A38"/>
    <w:rsid w:val="00260A80"/>
    <w:rsid w:val="00260BA4"/>
    <w:rsid w:val="00260C78"/>
    <w:rsid w:val="00260D25"/>
    <w:rsid w:val="00260D74"/>
    <w:rsid w:val="00260E94"/>
    <w:rsid w:val="00260F3D"/>
    <w:rsid w:val="00260F58"/>
    <w:rsid w:val="0026110F"/>
    <w:rsid w:val="0026128F"/>
    <w:rsid w:val="00261317"/>
    <w:rsid w:val="002613B5"/>
    <w:rsid w:val="002613DD"/>
    <w:rsid w:val="002613F0"/>
    <w:rsid w:val="002614B6"/>
    <w:rsid w:val="0026150A"/>
    <w:rsid w:val="0026161A"/>
    <w:rsid w:val="002616B3"/>
    <w:rsid w:val="002617B3"/>
    <w:rsid w:val="00261A98"/>
    <w:rsid w:val="00261AD7"/>
    <w:rsid w:val="00261B21"/>
    <w:rsid w:val="00261BEB"/>
    <w:rsid w:val="00261C26"/>
    <w:rsid w:val="00261D37"/>
    <w:rsid w:val="00261D69"/>
    <w:rsid w:val="00261DBD"/>
    <w:rsid w:val="00261E7B"/>
    <w:rsid w:val="00261F77"/>
    <w:rsid w:val="00262199"/>
    <w:rsid w:val="00262247"/>
    <w:rsid w:val="00262286"/>
    <w:rsid w:val="0026232B"/>
    <w:rsid w:val="0026239B"/>
    <w:rsid w:val="00262838"/>
    <w:rsid w:val="00262A49"/>
    <w:rsid w:val="00262A4D"/>
    <w:rsid w:val="00262B1D"/>
    <w:rsid w:val="00262B49"/>
    <w:rsid w:val="00262B58"/>
    <w:rsid w:val="00262B92"/>
    <w:rsid w:val="00262C5D"/>
    <w:rsid w:val="00262CB3"/>
    <w:rsid w:val="00262CC9"/>
    <w:rsid w:val="00262D41"/>
    <w:rsid w:val="00262ED0"/>
    <w:rsid w:val="00262F70"/>
    <w:rsid w:val="00262FAC"/>
    <w:rsid w:val="00263143"/>
    <w:rsid w:val="0026314A"/>
    <w:rsid w:val="002631A7"/>
    <w:rsid w:val="002632AC"/>
    <w:rsid w:val="002632C9"/>
    <w:rsid w:val="002632F2"/>
    <w:rsid w:val="002632F7"/>
    <w:rsid w:val="002633A8"/>
    <w:rsid w:val="002633C4"/>
    <w:rsid w:val="0026345B"/>
    <w:rsid w:val="0026345F"/>
    <w:rsid w:val="0026349D"/>
    <w:rsid w:val="00263519"/>
    <w:rsid w:val="00263549"/>
    <w:rsid w:val="0026359D"/>
    <w:rsid w:val="002635A8"/>
    <w:rsid w:val="002638A3"/>
    <w:rsid w:val="002638FC"/>
    <w:rsid w:val="0026399D"/>
    <w:rsid w:val="00263A0C"/>
    <w:rsid w:val="00263A4E"/>
    <w:rsid w:val="00263B2E"/>
    <w:rsid w:val="00263B5D"/>
    <w:rsid w:val="00263D84"/>
    <w:rsid w:val="00263ECA"/>
    <w:rsid w:val="00263F49"/>
    <w:rsid w:val="00263FA7"/>
    <w:rsid w:val="00263FAD"/>
    <w:rsid w:val="00264085"/>
    <w:rsid w:val="00264206"/>
    <w:rsid w:val="0026422C"/>
    <w:rsid w:val="00264251"/>
    <w:rsid w:val="0026427D"/>
    <w:rsid w:val="00264294"/>
    <w:rsid w:val="002642A5"/>
    <w:rsid w:val="002642CE"/>
    <w:rsid w:val="002642D5"/>
    <w:rsid w:val="002642F3"/>
    <w:rsid w:val="00264344"/>
    <w:rsid w:val="0026435F"/>
    <w:rsid w:val="00264382"/>
    <w:rsid w:val="002643C1"/>
    <w:rsid w:val="0026449F"/>
    <w:rsid w:val="002644BA"/>
    <w:rsid w:val="00264577"/>
    <w:rsid w:val="002645C4"/>
    <w:rsid w:val="0026460C"/>
    <w:rsid w:val="00264636"/>
    <w:rsid w:val="00264641"/>
    <w:rsid w:val="0026465D"/>
    <w:rsid w:val="00264709"/>
    <w:rsid w:val="00264786"/>
    <w:rsid w:val="002647A7"/>
    <w:rsid w:val="002647B5"/>
    <w:rsid w:val="0026488B"/>
    <w:rsid w:val="00264969"/>
    <w:rsid w:val="00264988"/>
    <w:rsid w:val="00264A43"/>
    <w:rsid w:val="00264B5F"/>
    <w:rsid w:val="00264C30"/>
    <w:rsid w:val="00264CA2"/>
    <w:rsid w:val="00264CD0"/>
    <w:rsid w:val="00264D39"/>
    <w:rsid w:val="00264DED"/>
    <w:rsid w:val="00264E7A"/>
    <w:rsid w:val="00264ED7"/>
    <w:rsid w:val="0026503B"/>
    <w:rsid w:val="0026505C"/>
    <w:rsid w:val="002653CA"/>
    <w:rsid w:val="002653D0"/>
    <w:rsid w:val="002653FE"/>
    <w:rsid w:val="002654E2"/>
    <w:rsid w:val="002656DF"/>
    <w:rsid w:val="002656EA"/>
    <w:rsid w:val="0026586C"/>
    <w:rsid w:val="00265926"/>
    <w:rsid w:val="00265A7A"/>
    <w:rsid w:val="00265A85"/>
    <w:rsid w:val="00265B18"/>
    <w:rsid w:val="00265B61"/>
    <w:rsid w:val="00265B79"/>
    <w:rsid w:val="00265B98"/>
    <w:rsid w:val="00265BC3"/>
    <w:rsid w:val="00265BDF"/>
    <w:rsid w:val="00265BEF"/>
    <w:rsid w:val="00265C46"/>
    <w:rsid w:val="00265D33"/>
    <w:rsid w:val="00265F3A"/>
    <w:rsid w:val="00265F7D"/>
    <w:rsid w:val="00266017"/>
    <w:rsid w:val="0026601C"/>
    <w:rsid w:val="00266057"/>
    <w:rsid w:val="0026607C"/>
    <w:rsid w:val="002660B8"/>
    <w:rsid w:val="002660E5"/>
    <w:rsid w:val="0026610B"/>
    <w:rsid w:val="00266130"/>
    <w:rsid w:val="002662B2"/>
    <w:rsid w:val="002662C2"/>
    <w:rsid w:val="002662F0"/>
    <w:rsid w:val="002664D2"/>
    <w:rsid w:val="002664F9"/>
    <w:rsid w:val="00266513"/>
    <w:rsid w:val="00266598"/>
    <w:rsid w:val="0026664B"/>
    <w:rsid w:val="00266701"/>
    <w:rsid w:val="00266751"/>
    <w:rsid w:val="00266886"/>
    <w:rsid w:val="002668BA"/>
    <w:rsid w:val="002669C3"/>
    <w:rsid w:val="002669E0"/>
    <w:rsid w:val="00266A07"/>
    <w:rsid w:val="00266AB1"/>
    <w:rsid w:val="00266AD3"/>
    <w:rsid w:val="00266B3B"/>
    <w:rsid w:val="00266B7C"/>
    <w:rsid w:val="00266D13"/>
    <w:rsid w:val="00266F0B"/>
    <w:rsid w:val="00266F44"/>
    <w:rsid w:val="00266F62"/>
    <w:rsid w:val="00266F7C"/>
    <w:rsid w:val="00266FAC"/>
    <w:rsid w:val="0026701C"/>
    <w:rsid w:val="0026702F"/>
    <w:rsid w:val="00267069"/>
    <w:rsid w:val="002671D9"/>
    <w:rsid w:val="0026720A"/>
    <w:rsid w:val="0026724C"/>
    <w:rsid w:val="002673FC"/>
    <w:rsid w:val="002674A2"/>
    <w:rsid w:val="00267573"/>
    <w:rsid w:val="0026762A"/>
    <w:rsid w:val="0026764A"/>
    <w:rsid w:val="002676D0"/>
    <w:rsid w:val="002677E5"/>
    <w:rsid w:val="0026780D"/>
    <w:rsid w:val="0026791C"/>
    <w:rsid w:val="00267A10"/>
    <w:rsid w:val="00267A81"/>
    <w:rsid w:val="00267AF9"/>
    <w:rsid w:val="00267B57"/>
    <w:rsid w:val="00267BDA"/>
    <w:rsid w:val="00267D0C"/>
    <w:rsid w:val="00267DEA"/>
    <w:rsid w:val="00267F25"/>
    <w:rsid w:val="00267F7E"/>
    <w:rsid w:val="00270028"/>
    <w:rsid w:val="0027003E"/>
    <w:rsid w:val="0027004D"/>
    <w:rsid w:val="0027010F"/>
    <w:rsid w:val="0027023C"/>
    <w:rsid w:val="002702CE"/>
    <w:rsid w:val="00270354"/>
    <w:rsid w:val="0027048F"/>
    <w:rsid w:val="0027059D"/>
    <w:rsid w:val="002705E1"/>
    <w:rsid w:val="002705EC"/>
    <w:rsid w:val="0027065C"/>
    <w:rsid w:val="00270673"/>
    <w:rsid w:val="00270714"/>
    <w:rsid w:val="0027073F"/>
    <w:rsid w:val="00270767"/>
    <w:rsid w:val="00270804"/>
    <w:rsid w:val="00270814"/>
    <w:rsid w:val="002708CC"/>
    <w:rsid w:val="00270954"/>
    <w:rsid w:val="00270988"/>
    <w:rsid w:val="002709CC"/>
    <w:rsid w:val="00270B52"/>
    <w:rsid w:val="00270B66"/>
    <w:rsid w:val="00270B7F"/>
    <w:rsid w:val="00270BB2"/>
    <w:rsid w:val="00270E4F"/>
    <w:rsid w:val="00270EA3"/>
    <w:rsid w:val="00270F55"/>
    <w:rsid w:val="00270FE4"/>
    <w:rsid w:val="00271012"/>
    <w:rsid w:val="0027107D"/>
    <w:rsid w:val="002712BC"/>
    <w:rsid w:val="0027140F"/>
    <w:rsid w:val="002714F0"/>
    <w:rsid w:val="0027151A"/>
    <w:rsid w:val="00271590"/>
    <w:rsid w:val="002715BA"/>
    <w:rsid w:val="002715BF"/>
    <w:rsid w:val="002715D3"/>
    <w:rsid w:val="002715FE"/>
    <w:rsid w:val="0027165A"/>
    <w:rsid w:val="00271680"/>
    <w:rsid w:val="00271686"/>
    <w:rsid w:val="002716C5"/>
    <w:rsid w:val="0027177C"/>
    <w:rsid w:val="0027180F"/>
    <w:rsid w:val="00271843"/>
    <w:rsid w:val="002718A9"/>
    <w:rsid w:val="002718D7"/>
    <w:rsid w:val="00271928"/>
    <w:rsid w:val="0027194A"/>
    <w:rsid w:val="00271BDB"/>
    <w:rsid w:val="00271BDC"/>
    <w:rsid w:val="00271D6A"/>
    <w:rsid w:val="00271DB7"/>
    <w:rsid w:val="00271F02"/>
    <w:rsid w:val="00271F61"/>
    <w:rsid w:val="00271F91"/>
    <w:rsid w:val="0027205B"/>
    <w:rsid w:val="00272071"/>
    <w:rsid w:val="002720CC"/>
    <w:rsid w:val="0027212A"/>
    <w:rsid w:val="00272211"/>
    <w:rsid w:val="00272331"/>
    <w:rsid w:val="002723C8"/>
    <w:rsid w:val="002723D6"/>
    <w:rsid w:val="002724E3"/>
    <w:rsid w:val="002724F4"/>
    <w:rsid w:val="0027259A"/>
    <w:rsid w:val="0027274A"/>
    <w:rsid w:val="002728DF"/>
    <w:rsid w:val="00272A08"/>
    <w:rsid w:val="00272B7B"/>
    <w:rsid w:val="00272C08"/>
    <w:rsid w:val="00272C69"/>
    <w:rsid w:val="00272D80"/>
    <w:rsid w:val="00272DA9"/>
    <w:rsid w:val="0027311B"/>
    <w:rsid w:val="002731CA"/>
    <w:rsid w:val="00273235"/>
    <w:rsid w:val="00273263"/>
    <w:rsid w:val="00273377"/>
    <w:rsid w:val="00273453"/>
    <w:rsid w:val="00273610"/>
    <w:rsid w:val="0027366F"/>
    <w:rsid w:val="0027372C"/>
    <w:rsid w:val="00273762"/>
    <w:rsid w:val="0027387B"/>
    <w:rsid w:val="00273892"/>
    <w:rsid w:val="00273947"/>
    <w:rsid w:val="00273A08"/>
    <w:rsid w:val="00273A10"/>
    <w:rsid w:val="00273A3F"/>
    <w:rsid w:val="00273A7D"/>
    <w:rsid w:val="00273AD5"/>
    <w:rsid w:val="00273B94"/>
    <w:rsid w:val="00273BE5"/>
    <w:rsid w:val="00273CCE"/>
    <w:rsid w:val="00273CDC"/>
    <w:rsid w:val="00273CE6"/>
    <w:rsid w:val="00273CFB"/>
    <w:rsid w:val="00273DF3"/>
    <w:rsid w:val="00273F91"/>
    <w:rsid w:val="00273F97"/>
    <w:rsid w:val="00274016"/>
    <w:rsid w:val="00274117"/>
    <w:rsid w:val="0027418F"/>
    <w:rsid w:val="002741C1"/>
    <w:rsid w:val="002742B3"/>
    <w:rsid w:val="0027448F"/>
    <w:rsid w:val="002746EA"/>
    <w:rsid w:val="0027491E"/>
    <w:rsid w:val="002749FF"/>
    <w:rsid w:val="00274A2E"/>
    <w:rsid w:val="00274AA2"/>
    <w:rsid w:val="00274C14"/>
    <w:rsid w:val="00274DDF"/>
    <w:rsid w:val="00274E2B"/>
    <w:rsid w:val="00274E93"/>
    <w:rsid w:val="00274E99"/>
    <w:rsid w:val="00275042"/>
    <w:rsid w:val="002750EA"/>
    <w:rsid w:val="0027539F"/>
    <w:rsid w:val="002753AD"/>
    <w:rsid w:val="00275485"/>
    <w:rsid w:val="0027550F"/>
    <w:rsid w:val="0027563B"/>
    <w:rsid w:val="002756E6"/>
    <w:rsid w:val="00275730"/>
    <w:rsid w:val="00275778"/>
    <w:rsid w:val="00275819"/>
    <w:rsid w:val="00275882"/>
    <w:rsid w:val="002759C8"/>
    <w:rsid w:val="00275ABF"/>
    <w:rsid w:val="00275B34"/>
    <w:rsid w:val="00275BBE"/>
    <w:rsid w:val="00275C25"/>
    <w:rsid w:val="00275FEA"/>
    <w:rsid w:val="00275FF9"/>
    <w:rsid w:val="002760F4"/>
    <w:rsid w:val="00276130"/>
    <w:rsid w:val="00276161"/>
    <w:rsid w:val="0027639C"/>
    <w:rsid w:val="002764D0"/>
    <w:rsid w:val="00276518"/>
    <w:rsid w:val="00276561"/>
    <w:rsid w:val="002765DB"/>
    <w:rsid w:val="00276663"/>
    <w:rsid w:val="002766AA"/>
    <w:rsid w:val="002766D9"/>
    <w:rsid w:val="002767CA"/>
    <w:rsid w:val="00276836"/>
    <w:rsid w:val="00276919"/>
    <w:rsid w:val="002769AF"/>
    <w:rsid w:val="002769BB"/>
    <w:rsid w:val="00276AD6"/>
    <w:rsid w:val="00276B29"/>
    <w:rsid w:val="00276B9C"/>
    <w:rsid w:val="00276BC4"/>
    <w:rsid w:val="00276C48"/>
    <w:rsid w:val="00276D80"/>
    <w:rsid w:val="00276DFE"/>
    <w:rsid w:val="00276E13"/>
    <w:rsid w:val="00276F3E"/>
    <w:rsid w:val="00276FB3"/>
    <w:rsid w:val="00276FBD"/>
    <w:rsid w:val="00277016"/>
    <w:rsid w:val="002772F7"/>
    <w:rsid w:val="00277401"/>
    <w:rsid w:val="00277402"/>
    <w:rsid w:val="00277436"/>
    <w:rsid w:val="002774BE"/>
    <w:rsid w:val="00277579"/>
    <w:rsid w:val="0027757D"/>
    <w:rsid w:val="00277593"/>
    <w:rsid w:val="002775A8"/>
    <w:rsid w:val="00277666"/>
    <w:rsid w:val="002776AC"/>
    <w:rsid w:val="002777B6"/>
    <w:rsid w:val="00277889"/>
    <w:rsid w:val="0027788B"/>
    <w:rsid w:val="002778D6"/>
    <w:rsid w:val="002778E3"/>
    <w:rsid w:val="00277937"/>
    <w:rsid w:val="002779C1"/>
    <w:rsid w:val="002779E0"/>
    <w:rsid w:val="00277A2A"/>
    <w:rsid w:val="00277BE2"/>
    <w:rsid w:val="00277D53"/>
    <w:rsid w:val="00277EC9"/>
    <w:rsid w:val="00277ECD"/>
    <w:rsid w:val="00277ED8"/>
    <w:rsid w:val="00277F04"/>
    <w:rsid w:val="00277FA7"/>
    <w:rsid w:val="00280018"/>
    <w:rsid w:val="002800B0"/>
    <w:rsid w:val="002800B1"/>
    <w:rsid w:val="00280181"/>
    <w:rsid w:val="0028024D"/>
    <w:rsid w:val="0028025A"/>
    <w:rsid w:val="002802CE"/>
    <w:rsid w:val="00280382"/>
    <w:rsid w:val="0028044B"/>
    <w:rsid w:val="00280527"/>
    <w:rsid w:val="002805EA"/>
    <w:rsid w:val="00280626"/>
    <w:rsid w:val="00280649"/>
    <w:rsid w:val="00280670"/>
    <w:rsid w:val="002806AC"/>
    <w:rsid w:val="002806ED"/>
    <w:rsid w:val="00280736"/>
    <w:rsid w:val="002807ED"/>
    <w:rsid w:val="0028084F"/>
    <w:rsid w:val="002808C3"/>
    <w:rsid w:val="002808C8"/>
    <w:rsid w:val="002808D4"/>
    <w:rsid w:val="00280996"/>
    <w:rsid w:val="00280B3E"/>
    <w:rsid w:val="00280C90"/>
    <w:rsid w:val="00280D9C"/>
    <w:rsid w:val="00280DE5"/>
    <w:rsid w:val="00280E0A"/>
    <w:rsid w:val="00280E66"/>
    <w:rsid w:val="00280FB7"/>
    <w:rsid w:val="00280FC9"/>
    <w:rsid w:val="0028108F"/>
    <w:rsid w:val="0028109B"/>
    <w:rsid w:val="002810A3"/>
    <w:rsid w:val="0028118D"/>
    <w:rsid w:val="002811A7"/>
    <w:rsid w:val="002811BF"/>
    <w:rsid w:val="00281329"/>
    <w:rsid w:val="0028139F"/>
    <w:rsid w:val="00281425"/>
    <w:rsid w:val="0028149E"/>
    <w:rsid w:val="002814FC"/>
    <w:rsid w:val="002818F4"/>
    <w:rsid w:val="00281947"/>
    <w:rsid w:val="00281960"/>
    <w:rsid w:val="00281A02"/>
    <w:rsid w:val="00281B36"/>
    <w:rsid w:val="00281CC9"/>
    <w:rsid w:val="00281D59"/>
    <w:rsid w:val="00281D99"/>
    <w:rsid w:val="00281DC5"/>
    <w:rsid w:val="00281E6A"/>
    <w:rsid w:val="00281F44"/>
    <w:rsid w:val="002820C1"/>
    <w:rsid w:val="00282179"/>
    <w:rsid w:val="0028219F"/>
    <w:rsid w:val="0028221A"/>
    <w:rsid w:val="002822AC"/>
    <w:rsid w:val="0028251D"/>
    <w:rsid w:val="00282576"/>
    <w:rsid w:val="0028269D"/>
    <w:rsid w:val="002826BE"/>
    <w:rsid w:val="0028285B"/>
    <w:rsid w:val="00282861"/>
    <w:rsid w:val="00282880"/>
    <w:rsid w:val="0028288C"/>
    <w:rsid w:val="002829A0"/>
    <w:rsid w:val="002829C8"/>
    <w:rsid w:val="00282A0F"/>
    <w:rsid w:val="00282A1C"/>
    <w:rsid w:val="00282BB2"/>
    <w:rsid w:val="00282BFD"/>
    <w:rsid w:val="00282C00"/>
    <w:rsid w:val="00282DBE"/>
    <w:rsid w:val="00282E1A"/>
    <w:rsid w:val="00282E4F"/>
    <w:rsid w:val="00282FE4"/>
    <w:rsid w:val="00283036"/>
    <w:rsid w:val="002831F9"/>
    <w:rsid w:val="0028322E"/>
    <w:rsid w:val="0028337E"/>
    <w:rsid w:val="002833ED"/>
    <w:rsid w:val="002834BD"/>
    <w:rsid w:val="002834F7"/>
    <w:rsid w:val="002835D8"/>
    <w:rsid w:val="0028363B"/>
    <w:rsid w:val="002836A4"/>
    <w:rsid w:val="00283805"/>
    <w:rsid w:val="0028386D"/>
    <w:rsid w:val="00283A44"/>
    <w:rsid w:val="00283B24"/>
    <w:rsid w:val="00283BC1"/>
    <w:rsid w:val="00283C0E"/>
    <w:rsid w:val="00283C26"/>
    <w:rsid w:val="00283C53"/>
    <w:rsid w:val="00283CE2"/>
    <w:rsid w:val="00283CF9"/>
    <w:rsid w:val="00283D7A"/>
    <w:rsid w:val="00283E59"/>
    <w:rsid w:val="00283E5F"/>
    <w:rsid w:val="00284099"/>
    <w:rsid w:val="002840EF"/>
    <w:rsid w:val="00284101"/>
    <w:rsid w:val="00284147"/>
    <w:rsid w:val="00284167"/>
    <w:rsid w:val="002841A6"/>
    <w:rsid w:val="00284314"/>
    <w:rsid w:val="00284418"/>
    <w:rsid w:val="0028454B"/>
    <w:rsid w:val="002845F8"/>
    <w:rsid w:val="002845FB"/>
    <w:rsid w:val="00284642"/>
    <w:rsid w:val="00284662"/>
    <w:rsid w:val="002846FC"/>
    <w:rsid w:val="002848E0"/>
    <w:rsid w:val="0028497A"/>
    <w:rsid w:val="002849AA"/>
    <w:rsid w:val="00284AAE"/>
    <w:rsid w:val="00284BB1"/>
    <w:rsid w:val="00284BF4"/>
    <w:rsid w:val="00284CBD"/>
    <w:rsid w:val="00284DB7"/>
    <w:rsid w:val="00284DFA"/>
    <w:rsid w:val="00284E0E"/>
    <w:rsid w:val="00284E2D"/>
    <w:rsid w:val="00284FF9"/>
    <w:rsid w:val="0028508A"/>
    <w:rsid w:val="002850FB"/>
    <w:rsid w:val="0028535A"/>
    <w:rsid w:val="00285448"/>
    <w:rsid w:val="00285452"/>
    <w:rsid w:val="00285557"/>
    <w:rsid w:val="0028566A"/>
    <w:rsid w:val="00285677"/>
    <w:rsid w:val="002856BD"/>
    <w:rsid w:val="00285745"/>
    <w:rsid w:val="002857B7"/>
    <w:rsid w:val="00285896"/>
    <w:rsid w:val="00285911"/>
    <w:rsid w:val="0028593E"/>
    <w:rsid w:val="00285965"/>
    <w:rsid w:val="00285996"/>
    <w:rsid w:val="00285A0B"/>
    <w:rsid w:val="00285A22"/>
    <w:rsid w:val="00285B39"/>
    <w:rsid w:val="00285BBE"/>
    <w:rsid w:val="00285C41"/>
    <w:rsid w:val="00285C58"/>
    <w:rsid w:val="00285E19"/>
    <w:rsid w:val="00285F04"/>
    <w:rsid w:val="002860E7"/>
    <w:rsid w:val="0028618F"/>
    <w:rsid w:val="002862A6"/>
    <w:rsid w:val="002863A9"/>
    <w:rsid w:val="002863E8"/>
    <w:rsid w:val="0028647D"/>
    <w:rsid w:val="002864BB"/>
    <w:rsid w:val="0028668D"/>
    <w:rsid w:val="002866A5"/>
    <w:rsid w:val="0028676C"/>
    <w:rsid w:val="00286A66"/>
    <w:rsid w:val="00286BC9"/>
    <w:rsid w:val="00286C56"/>
    <w:rsid w:val="00286C69"/>
    <w:rsid w:val="00286CCA"/>
    <w:rsid w:val="00286DF5"/>
    <w:rsid w:val="00286E34"/>
    <w:rsid w:val="00286E3A"/>
    <w:rsid w:val="0028703B"/>
    <w:rsid w:val="002870C2"/>
    <w:rsid w:val="0028710F"/>
    <w:rsid w:val="00287278"/>
    <w:rsid w:val="00287298"/>
    <w:rsid w:val="002872E0"/>
    <w:rsid w:val="0028730F"/>
    <w:rsid w:val="002873B2"/>
    <w:rsid w:val="00287490"/>
    <w:rsid w:val="002874BD"/>
    <w:rsid w:val="002874D4"/>
    <w:rsid w:val="00287508"/>
    <w:rsid w:val="00287549"/>
    <w:rsid w:val="00287769"/>
    <w:rsid w:val="002877A9"/>
    <w:rsid w:val="002878A7"/>
    <w:rsid w:val="002878B1"/>
    <w:rsid w:val="002878C3"/>
    <w:rsid w:val="00287B1A"/>
    <w:rsid w:val="00287B9C"/>
    <w:rsid w:val="00287BCB"/>
    <w:rsid w:val="00287BEB"/>
    <w:rsid w:val="00287D86"/>
    <w:rsid w:val="00287D89"/>
    <w:rsid w:val="00287F42"/>
    <w:rsid w:val="00287F81"/>
    <w:rsid w:val="00290153"/>
    <w:rsid w:val="002901CE"/>
    <w:rsid w:val="00290231"/>
    <w:rsid w:val="00290251"/>
    <w:rsid w:val="00290270"/>
    <w:rsid w:val="002902C3"/>
    <w:rsid w:val="002902FF"/>
    <w:rsid w:val="0029036F"/>
    <w:rsid w:val="002903A6"/>
    <w:rsid w:val="0029041E"/>
    <w:rsid w:val="00290442"/>
    <w:rsid w:val="00290496"/>
    <w:rsid w:val="00290511"/>
    <w:rsid w:val="00290666"/>
    <w:rsid w:val="00290780"/>
    <w:rsid w:val="002907E4"/>
    <w:rsid w:val="0029088E"/>
    <w:rsid w:val="002908DA"/>
    <w:rsid w:val="0029094F"/>
    <w:rsid w:val="002909A8"/>
    <w:rsid w:val="002909BD"/>
    <w:rsid w:val="00290AA2"/>
    <w:rsid w:val="00290C8C"/>
    <w:rsid w:val="0029105D"/>
    <w:rsid w:val="00291080"/>
    <w:rsid w:val="0029108E"/>
    <w:rsid w:val="00291155"/>
    <w:rsid w:val="00291318"/>
    <w:rsid w:val="0029131A"/>
    <w:rsid w:val="00291322"/>
    <w:rsid w:val="00291336"/>
    <w:rsid w:val="002915A5"/>
    <w:rsid w:val="002916D6"/>
    <w:rsid w:val="00291862"/>
    <w:rsid w:val="0029193D"/>
    <w:rsid w:val="002919FB"/>
    <w:rsid w:val="00291A6A"/>
    <w:rsid w:val="00291AA8"/>
    <w:rsid w:val="00291AD8"/>
    <w:rsid w:val="00291C3D"/>
    <w:rsid w:val="00291C76"/>
    <w:rsid w:val="00291C94"/>
    <w:rsid w:val="00291CD5"/>
    <w:rsid w:val="00291EB6"/>
    <w:rsid w:val="00291F38"/>
    <w:rsid w:val="0029225A"/>
    <w:rsid w:val="00292335"/>
    <w:rsid w:val="00292346"/>
    <w:rsid w:val="0029235F"/>
    <w:rsid w:val="00292367"/>
    <w:rsid w:val="00292463"/>
    <w:rsid w:val="002925B1"/>
    <w:rsid w:val="00292650"/>
    <w:rsid w:val="00292766"/>
    <w:rsid w:val="0029276E"/>
    <w:rsid w:val="002928DC"/>
    <w:rsid w:val="00292942"/>
    <w:rsid w:val="0029295E"/>
    <w:rsid w:val="00292AAC"/>
    <w:rsid w:val="00292AF6"/>
    <w:rsid w:val="00292AFA"/>
    <w:rsid w:val="00292CB5"/>
    <w:rsid w:val="00292CDB"/>
    <w:rsid w:val="00292D5E"/>
    <w:rsid w:val="00292E4B"/>
    <w:rsid w:val="00292F07"/>
    <w:rsid w:val="00293030"/>
    <w:rsid w:val="0029316D"/>
    <w:rsid w:val="0029318D"/>
    <w:rsid w:val="002932CC"/>
    <w:rsid w:val="0029331F"/>
    <w:rsid w:val="0029333B"/>
    <w:rsid w:val="00293361"/>
    <w:rsid w:val="002933B4"/>
    <w:rsid w:val="002933B9"/>
    <w:rsid w:val="002933ED"/>
    <w:rsid w:val="00293447"/>
    <w:rsid w:val="00293657"/>
    <w:rsid w:val="00293677"/>
    <w:rsid w:val="002936BD"/>
    <w:rsid w:val="00293829"/>
    <w:rsid w:val="002938E4"/>
    <w:rsid w:val="00293966"/>
    <w:rsid w:val="002939E4"/>
    <w:rsid w:val="00293AA9"/>
    <w:rsid w:val="00293ADF"/>
    <w:rsid w:val="00293B95"/>
    <w:rsid w:val="00293BED"/>
    <w:rsid w:val="00293C2D"/>
    <w:rsid w:val="00293D62"/>
    <w:rsid w:val="00293DF6"/>
    <w:rsid w:val="00293E25"/>
    <w:rsid w:val="00293E2A"/>
    <w:rsid w:val="00293EA5"/>
    <w:rsid w:val="00293EAB"/>
    <w:rsid w:val="00293F52"/>
    <w:rsid w:val="00293FC1"/>
    <w:rsid w:val="00294016"/>
    <w:rsid w:val="0029405B"/>
    <w:rsid w:val="002942A1"/>
    <w:rsid w:val="00294345"/>
    <w:rsid w:val="0029434A"/>
    <w:rsid w:val="0029441E"/>
    <w:rsid w:val="0029455C"/>
    <w:rsid w:val="00294560"/>
    <w:rsid w:val="0029458E"/>
    <w:rsid w:val="002945B8"/>
    <w:rsid w:val="002945F6"/>
    <w:rsid w:val="0029461B"/>
    <w:rsid w:val="00294640"/>
    <w:rsid w:val="00294678"/>
    <w:rsid w:val="002946A5"/>
    <w:rsid w:val="0029471F"/>
    <w:rsid w:val="0029476B"/>
    <w:rsid w:val="0029484E"/>
    <w:rsid w:val="00294939"/>
    <w:rsid w:val="002949F2"/>
    <w:rsid w:val="00294B2D"/>
    <w:rsid w:val="00294B36"/>
    <w:rsid w:val="00294C42"/>
    <w:rsid w:val="00294C72"/>
    <w:rsid w:val="00294C7A"/>
    <w:rsid w:val="00294C81"/>
    <w:rsid w:val="00294F16"/>
    <w:rsid w:val="00294F8C"/>
    <w:rsid w:val="002950C3"/>
    <w:rsid w:val="00295136"/>
    <w:rsid w:val="002951E4"/>
    <w:rsid w:val="002951EB"/>
    <w:rsid w:val="00295273"/>
    <w:rsid w:val="002952D4"/>
    <w:rsid w:val="002953A5"/>
    <w:rsid w:val="002953B4"/>
    <w:rsid w:val="00295486"/>
    <w:rsid w:val="0029558A"/>
    <w:rsid w:val="002955C9"/>
    <w:rsid w:val="002955DE"/>
    <w:rsid w:val="00295636"/>
    <w:rsid w:val="0029565C"/>
    <w:rsid w:val="0029577F"/>
    <w:rsid w:val="00295882"/>
    <w:rsid w:val="00295883"/>
    <w:rsid w:val="00295A7A"/>
    <w:rsid w:val="00295AEA"/>
    <w:rsid w:val="00295B83"/>
    <w:rsid w:val="00295BCE"/>
    <w:rsid w:val="00295C35"/>
    <w:rsid w:val="00295C41"/>
    <w:rsid w:val="00295C9D"/>
    <w:rsid w:val="00295DA8"/>
    <w:rsid w:val="00295E14"/>
    <w:rsid w:val="00295FD8"/>
    <w:rsid w:val="00296024"/>
    <w:rsid w:val="0029608C"/>
    <w:rsid w:val="002960C1"/>
    <w:rsid w:val="002960F0"/>
    <w:rsid w:val="002961F1"/>
    <w:rsid w:val="00296268"/>
    <w:rsid w:val="00296292"/>
    <w:rsid w:val="002962B3"/>
    <w:rsid w:val="00296376"/>
    <w:rsid w:val="0029660C"/>
    <w:rsid w:val="0029678A"/>
    <w:rsid w:val="00296792"/>
    <w:rsid w:val="00296915"/>
    <w:rsid w:val="00296987"/>
    <w:rsid w:val="0029699A"/>
    <w:rsid w:val="002969D6"/>
    <w:rsid w:val="00296AB5"/>
    <w:rsid w:val="00296C26"/>
    <w:rsid w:val="00296D28"/>
    <w:rsid w:val="00296E7E"/>
    <w:rsid w:val="00296E97"/>
    <w:rsid w:val="00296EA5"/>
    <w:rsid w:val="00296EF3"/>
    <w:rsid w:val="00296F0A"/>
    <w:rsid w:val="00296F33"/>
    <w:rsid w:val="00296F52"/>
    <w:rsid w:val="00296FE2"/>
    <w:rsid w:val="00297067"/>
    <w:rsid w:val="00297199"/>
    <w:rsid w:val="002971FF"/>
    <w:rsid w:val="0029725E"/>
    <w:rsid w:val="00297286"/>
    <w:rsid w:val="00297370"/>
    <w:rsid w:val="002973C0"/>
    <w:rsid w:val="002973D2"/>
    <w:rsid w:val="002973F2"/>
    <w:rsid w:val="002974BD"/>
    <w:rsid w:val="00297690"/>
    <w:rsid w:val="002976DC"/>
    <w:rsid w:val="002978A0"/>
    <w:rsid w:val="00297915"/>
    <w:rsid w:val="00297923"/>
    <w:rsid w:val="0029793A"/>
    <w:rsid w:val="00297A7E"/>
    <w:rsid w:val="00297AB7"/>
    <w:rsid w:val="00297B34"/>
    <w:rsid w:val="00297B5E"/>
    <w:rsid w:val="00297B82"/>
    <w:rsid w:val="00297B8B"/>
    <w:rsid w:val="00297BAD"/>
    <w:rsid w:val="00297BCB"/>
    <w:rsid w:val="00297C0B"/>
    <w:rsid w:val="00297CAF"/>
    <w:rsid w:val="00297CBE"/>
    <w:rsid w:val="00297CD9"/>
    <w:rsid w:val="00297D2D"/>
    <w:rsid w:val="00297D3D"/>
    <w:rsid w:val="00297E53"/>
    <w:rsid w:val="00297E9D"/>
    <w:rsid w:val="002A0032"/>
    <w:rsid w:val="002A0172"/>
    <w:rsid w:val="002A02EC"/>
    <w:rsid w:val="002A02EF"/>
    <w:rsid w:val="002A03E4"/>
    <w:rsid w:val="002A0401"/>
    <w:rsid w:val="002A0473"/>
    <w:rsid w:val="002A04A9"/>
    <w:rsid w:val="002A0583"/>
    <w:rsid w:val="002A0756"/>
    <w:rsid w:val="002A08B1"/>
    <w:rsid w:val="002A08DE"/>
    <w:rsid w:val="002A0993"/>
    <w:rsid w:val="002A09A2"/>
    <w:rsid w:val="002A0A50"/>
    <w:rsid w:val="002A0ADF"/>
    <w:rsid w:val="002A0B16"/>
    <w:rsid w:val="002A0CC9"/>
    <w:rsid w:val="002A0D38"/>
    <w:rsid w:val="002A0D81"/>
    <w:rsid w:val="002A0DB3"/>
    <w:rsid w:val="002A0DC6"/>
    <w:rsid w:val="002A0E5C"/>
    <w:rsid w:val="002A0F68"/>
    <w:rsid w:val="002A1039"/>
    <w:rsid w:val="002A1096"/>
    <w:rsid w:val="002A1166"/>
    <w:rsid w:val="002A119D"/>
    <w:rsid w:val="002A1247"/>
    <w:rsid w:val="002A125C"/>
    <w:rsid w:val="002A1260"/>
    <w:rsid w:val="002A1293"/>
    <w:rsid w:val="002A138C"/>
    <w:rsid w:val="002A13DC"/>
    <w:rsid w:val="002A1482"/>
    <w:rsid w:val="002A1689"/>
    <w:rsid w:val="002A16D9"/>
    <w:rsid w:val="002A1800"/>
    <w:rsid w:val="002A1806"/>
    <w:rsid w:val="002A18D5"/>
    <w:rsid w:val="002A1A1B"/>
    <w:rsid w:val="002A1A23"/>
    <w:rsid w:val="002A1B08"/>
    <w:rsid w:val="002A1B3A"/>
    <w:rsid w:val="002A1B4F"/>
    <w:rsid w:val="002A1B60"/>
    <w:rsid w:val="002A1B6A"/>
    <w:rsid w:val="002A1C1E"/>
    <w:rsid w:val="002A1C7B"/>
    <w:rsid w:val="002A1D12"/>
    <w:rsid w:val="002A1D61"/>
    <w:rsid w:val="002A1EEC"/>
    <w:rsid w:val="002A1FFB"/>
    <w:rsid w:val="002A203B"/>
    <w:rsid w:val="002A208A"/>
    <w:rsid w:val="002A2096"/>
    <w:rsid w:val="002A219B"/>
    <w:rsid w:val="002A2273"/>
    <w:rsid w:val="002A227B"/>
    <w:rsid w:val="002A22AF"/>
    <w:rsid w:val="002A22BF"/>
    <w:rsid w:val="002A2452"/>
    <w:rsid w:val="002A2454"/>
    <w:rsid w:val="002A2472"/>
    <w:rsid w:val="002A2501"/>
    <w:rsid w:val="002A2536"/>
    <w:rsid w:val="002A256A"/>
    <w:rsid w:val="002A25C4"/>
    <w:rsid w:val="002A2618"/>
    <w:rsid w:val="002A263E"/>
    <w:rsid w:val="002A2685"/>
    <w:rsid w:val="002A26D4"/>
    <w:rsid w:val="002A2738"/>
    <w:rsid w:val="002A27C3"/>
    <w:rsid w:val="002A28E5"/>
    <w:rsid w:val="002A2A2B"/>
    <w:rsid w:val="002A2A2C"/>
    <w:rsid w:val="002A2CB0"/>
    <w:rsid w:val="002A2D85"/>
    <w:rsid w:val="002A2E90"/>
    <w:rsid w:val="002A2E9C"/>
    <w:rsid w:val="002A2ECF"/>
    <w:rsid w:val="002A2F6B"/>
    <w:rsid w:val="002A2F70"/>
    <w:rsid w:val="002A2FB9"/>
    <w:rsid w:val="002A3021"/>
    <w:rsid w:val="002A30C2"/>
    <w:rsid w:val="002A3152"/>
    <w:rsid w:val="002A317C"/>
    <w:rsid w:val="002A32CD"/>
    <w:rsid w:val="002A33BD"/>
    <w:rsid w:val="002A3523"/>
    <w:rsid w:val="002A3722"/>
    <w:rsid w:val="002A3755"/>
    <w:rsid w:val="002A378C"/>
    <w:rsid w:val="002A3823"/>
    <w:rsid w:val="002A3A57"/>
    <w:rsid w:val="002A3B00"/>
    <w:rsid w:val="002A3C11"/>
    <w:rsid w:val="002A3CDD"/>
    <w:rsid w:val="002A3D31"/>
    <w:rsid w:val="002A3D68"/>
    <w:rsid w:val="002A3D71"/>
    <w:rsid w:val="002A3D9F"/>
    <w:rsid w:val="002A3F9E"/>
    <w:rsid w:val="002A3FB8"/>
    <w:rsid w:val="002A4014"/>
    <w:rsid w:val="002A4156"/>
    <w:rsid w:val="002A4259"/>
    <w:rsid w:val="002A428E"/>
    <w:rsid w:val="002A43B0"/>
    <w:rsid w:val="002A4538"/>
    <w:rsid w:val="002A462D"/>
    <w:rsid w:val="002A46A4"/>
    <w:rsid w:val="002A472A"/>
    <w:rsid w:val="002A483C"/>
    <w:rsid w:val="002A48D5"/>
    <w:rsid w:val="002A4924"/>
    <w:rsid w:val="002A4AED"/>
    <w:rsid w:val="002A4B58"/>
    <w:rsid w:val="002A4B66"/>
    <w:rsid w:val="002A4BBB"/>
    <w:rsid w:val="002A4BE1"/>
    <w:rsid w:val="002A4C0E"/>
    <w:rsid w:val="002A4C69"/>
    <w:rsid w:val="002A4D13"/>
    <w:rsid w:val="002A4D20"/>
    <w:rsid w:val="002A4F6C"/>
    <w:rsid w:val="002A50BC"/>
    <w:rsid w:val="002A50ED"/>
    <w:rsid w:val="002A5164"/>
    <w:rsid w:val="002A516D"/>
    <w:rsid w:val="002A524C"/>
    <w:rsid w:val="002A5345"/>
    <w:rsid w:val="002A53B3"/>
    <w:rsid w:val="002A544D"/>
    <w:rsid w:val="002A54B3"/>
    <w:rsid w:val="002A5534"/>
    <w:rsid w:val="002A56D3"/>
    <w:rsid w:val="002A5729"/>
    <w:rsid w:val="002A57A1"/>
    <w:rsid w:val="002A5805"/>
    <w:rsid w:val="002A5912"/>
    <w:rsid w:val="002A5A0B"/>
    <w:rsid w:val="002A5A89"/>
    <w:rsid w:val="002A5B84"/>
    <w:rsid w:val="002A5C1B"/>
    <w:rsid w:val="002A5C33"/>
    <w:rsid w:val="002A5D19"/>
    <w:rsid w:val="002A5D5C"/>
    <w:rsid w:val="002A5E3F"/>
    <w:rsid w:val="002A5E5B"/>
    <w:rsid w:val="002A5F16"/>
    <w:rsid w:val="002A5F4B"/>
    <w:rsid w:val="002A609F"/>
    <w:rsid w:val="002A613E"/>
    <w:rsid w:val="002A6201"/>
    <w:rsid w:val="002A62E2"/>
    <w:rsid w:val="002A6678"/>
    <w:rsid w:val="002A6753"/>
    <w:rsid w:val="002A67E3"/>
    <w:rsid w:val="002A698C"/>
    <w:rsid w:val="002A6ABB"/>
    <w:rsid w:val="002A6AFD"/>
    <w:rsid w:val="002A6B83"/>
    <w:rsid w:val="002A6C1C"/>
    <w:rsid w:val="002A6C3E"/>
    <w:rsid w:val="002A6C83"/>
    <w:rsid w:val="002A6C8B"/>
    <w:rsid w:val="002A6CDF"/>
    <w:rsid w:val="002A6DD1"/>
    <w:rsid w:val="002A6E02"/>
    <w:rsid w:val="002A6E30"/>
    <w:rsid w:val="002A6E8D"/>
    <w:rsid w:val="002A6EE0"/>
    <w:rsid w:val="002A7078"/>
    <w:rsid w:val="002A7085"/>
    <w:rsid w:val="002A70C3"/>
    <w:rsid w:val="002A70E3"/>
    <w:rsid w:val="002A7108"/>
    <w:rsid w:val="002A715D"/>
    <w:rsid w:val="002A71C4"/>
    <w:rsid w:val="002A731F"/>
    <w:rsid w:val="002A7324"/>
    <w:rsid w:val="002A74D0"/>
    <w:rsid w:val="002A758A"/>
    <w:rsid w:val="002A7590"/>
    <w:rsid w:val="002A75B7"/>
    <w:rsid w:val="002A778E"/>
    <w:rsid w:val="002A7792"/>
    <w:rsid w:val="002A786A"/>
    <w:rsid w:val="002A7927"/>
    <w:rsid w:val="002A7938"/>
    <w:rsid w:val="002A7B85"/>
    <w:rsid w:val="002A7B9A"/>
    <w:rsid w:val="002A7C32"/>
    <w:rsid w:val="002A7D82"/>
    <w:rsid w:val="002A7D92"/>
    <w:rsid w:val="002B008D"/>
    <w:rsid w:val="002B0168"/>
    <w:rsid w:val="002B023C"/>
    <w:rsid w:val="002B02AB"/>
    <w:rsid w:val="002B0307"/>
    <w:rsid w:val="002B03ED"/>
    <w:rsid w:val="002B0413"/>
    <w:rsid w:val="002B0452"/>
    <w:rsid w:val="002B045E"/>
    <w:rsid w:val="002B05CD"/>
    <w:rsid w:val="002B05D6"/>
    <w:rsid w:val="002B05EC"/>
    <w:rsid w:val="002B06D0"/>
    <w:rsid w:val="002B0724"/>
    <w:rsid w:val="002B0760"/>
    <w:rsid w:val="002B08DE"/>
    <w:rsid w:val="002B09AC"/>
    <w:rsid w:val="002B09C1"/>
    <w:rsid w:val="002B09FE"/>
    <w:rsid w:val="002B0A4B"/>
    <w:rsid w:val="002B0AA7"/>
    <w:rsid w:val="002B0D14"/>
    <w:rsid w:val="002B0DE2"/>
    <w:rsid w:val="002B0E4B"/>
    <w:rsid w:val="002B0E63"/>
    <w:rsid w:val="002B0F10"/>
    <w:rsid w:val="002B10F6"/>
    <w:rsid w:val="002B1138"/>
    <w:rsid w:val="002B1161"/>
    <w:rsid w:val="002B11AF"/>
    <w:rsid w:val="002B13B0"/>
    <w:rsid w:val="002B13EA"/>
    <w:rsid w:val="002B1552"/>
    <w:rsid w:val="002B1553"/>
    <w:rsid w:val="002B1578"/>
    <w:rsid w:val="002B16F4"/>
    <w:rsid w:val="002B173E"/>
    <w:rsid w:val="002B1743"/>
    <w:rsid w:val="002B17B4"/>
    <w:rsid w:val="002B18A8"/>
    <w:rsid w:val="002B1951"/>
    <w:rsid w:val="002B1955"/>
    <w:rsid w:val="002B19E0"/>
    <w:rsid w:val="002B1A18"/>
    <w:rsid w:val="002B1A4C"/>
    <w:rsid w:val="002B1A5F"/>
    <w:rsid w:val="002B1B03"/>
    <w:rsid w:val="002B1B05"/>
    <w:rsid w:val="002B1B57"/>
    <w:rsid w:val="002B1B5E"/>
    <w:rsid w:val="002B1C2F"/>
    <w:rsid w:val="002B1C4B"/>
    <w:rsid w:val="002B1C61"/>
    <w:rsid w:val="002B1D06"/>
    <w:rsid w:val="002B1DBC"/>
    <w:rsid w:val="002B1DE1"/>
    <w:rsid w:val="002B1FA2"/>
    <w:rsid w:val="002B20C0"/>
    <w:rsid w:val="002B2257"/>
    <w:rsid w:val="002B2269"/>
    <w:rsid w:val="002B23C0"/>
    <w:rsid w:val="002B2433"/>
    <w:rsid w:val="002B243A"/>
    <w:rsid w:val="002B24C2"/>
    <w:rsid w:val="002B25CE"/>
    <w:rsid w:val="002B25DF"/>
    <w:rsid w:val="002B2635"/>
    <w:rsid w:val="002B2664"/>
    <w:rsid w:val="002B268B"/>
    <w:rsid w:val="002B2700"/>
    <w:rsid w:val="002B280E"/>
    <w:rsid w:val="002B2817"/>
    <w:rsid w:val="002B29A5"/>
    <w:rsid w:val="002B29BE"/>
    <w:rsid w:val="002B29FE"/>
    <w:rsid w:val="002B2D6F"/>
    <w:rsid w:val="002B2EC2"/>
    <w:rsid w:val="002B2F73"/>
    <w:rsid w:val="002B2FD6"/>
    <w:rsid w:val="002B304C"/>
    <w:rsid w:val="002B3354"/>
    <w:rsid w:val="002B341F"/>
    <w:rsid w:val="002B34D4"/>
    <w:rsid w:val="002B354D"/>
    <w:rsid w:val="002B3585"/>
    <w:rsid w:val="002B360A"/>
    <w:rsid w:val="002B3628"/>
    <w:rsid w:val="002B36FB"/>
    <w:rsid w:val="002B3885"/>
    <w:rsid w:val="002B38EC"/>
    <w:rsid w:val="002B391E"/>
    <w:rsid w:val="002B392A"/>
    <w:rsid w:val="002B397F"/>
    <w:rsid w:val="002B39BE"/>
    <w:rsid w:val="002B3A4F"/>
    <w:rsid w:val="002B3A57"/>
    <w:rsid w:val="002B3A5F"/>
    <w:rsid w:val="002B3B13"/>
    <w:rsid w:val="002B3DC2"/>
    <w:rsid w:val="002B3FBE"/>
    <w:rsid w:val="002B401A"/>
    <w:rsid w:val="002B4039"/>
    <w:rsid w:val="002B408E"/>
    <w:rsid w:val="002B40C2"/>
    <w:rsid w:val="002B424A"/>
    <w:rsid w:val="002B42B7"/>
    <w:rsid w:val="002B4353"/>
    <w:rsid w:val="002B438A"/>
    <w:rsid w:val="002B43E0"/>
    <w:rsid w:val="002B4488"/>
    <w:rsid w:val="002B469A"/>
    <w:rsid w:val="002B4813"/>
    <w:rsid w:val="002B485B"/>
    <w:rsid w:val="002B4860"/>
    <w:rsid w:val="002B4893"/>
    <w:rsid w:val="002B4896"/>
    <w:rsid w:val="002B492B"/>
    <w:rsid w:val="002B4B51"/>
    <w:rsid w:val="002B4B77"/>
    <w:rsid w:val="002B4C68"/>
    <w:rsid w:val="002B4CC6"/>
    <w:rsid w:val="002B4E0D"/>
    <w:rsid w:val="002B4E1D"/>
    <w:rsid w:val="002B4EA3"/>
    <w:rsid w:val="002B4EB1"/>
    <w:rsid w:val="002B4F46"/>
    <w:rsid w:val="002B511F"/>
    <w:rsid w:val="002B5163"/>
    <w:rsid w:val="002B5230"/>
    <w:rsid w:val="002B526A"/>
    <w:rsid w:val="002B5298"/>
    <w:rsid w:val="002B532F"/>
    <w:rsid w:val="002B53D6"/>
    <w:rsid w:val="002B5400"/>
    <w:rsid w:val="002B5429"/>
    <w:rsid w:val="002B548F"/>
    <w:rsid w:val="002B559B"/>
    <w:rsid w:val="002B56E0"/>
    <w:rsid w:val="002B56F4"/>
    <w:rsid w:val="002B575F"/>
    <w:rsid w:val="002B57D2"/>
    <w:rsid w:val="002B57F9"/>
    <w:rsid w:val="002B5A3B"/>
    <w:rsid w:val="002B5A56"/>
    <w:rsid w:val="002B5A73"/>
    <w:rsid w:val="002B5A9A"/>
    <w:rsid w:val="002B5BCE"/>
    <w:rsid w:val="002B5C3E"/>
    <w:rsid w:val="002B5CD0"/>
    <w:rsid w:val="002B5DE1"/>
    <w:rsid w:val="002B5E48"/>
    <w:rsid w:val="002B5E9F"/>
    <w:rsid w:val="002B5EFB"/>
    <w:rsid w:val="002B5F0D"/>
    <w:rsid w:val="002B5FFD"/>
    <w:rsid w:val="002B604A"/>
    <w:rsid w:val="002B6117"/>
    <w:rsid w:val="002B622C"/>
    <w:rsid w:val="002B6367"/>
    <w:rsid w:val="002B63E0"/>
    <w:rsid w:val="002B6413"/>
    <w:rsid w:val="002B642A"/>
    <w:rsid w:val="002B64A8"/>
    <w:rsid w:val="002B6529"/>
    <w:rsid w:val="002B65E8"/>
    <w:rsid w:val="002B66DC"/>
    <w:rsid w:val="002B67E5"/>
    <w:rsid w:val="002B6846"/>
    <w:rsid w:val="002B6860"/>
    <w:rsid w:val="002B68F5"/>
    <w:rsid w:val="002B691F"/>
    <w:rsid w:val="002B6B68"/>
    <w:rsid w:val="002B6B7F"/>
    <w:rsid w:val="002B6B97"/>
    <w:rsid w:val="002B6BF7"/>
    <w:rsid w:val="002B6D5F"/>
    <w:rsid w:val="002B6D6D"/>
    <w:rsid w:val="002B6DED"/>
    <w:rsid w:val="002B6E02"/>
    <w:rsid w:val="002B6E3F"/>
    <w:rsid w:val="002B6E57"/>
    <w:rsid w:val="002B6F22"/>
    <w:rsid w:val="002B6F97"/>
    <w:rsid w:val="002B702B"/>
    <w:rsid w:val="002B703C"/>
    <w:rsid w:val="002B706F"/>
    <w:rsid w:val="002B7138"/>
    <w:rsid w:val="002B71F5"/>
    <w:rsid w:val="002B7285"/>
    <w:rsid w:val="002B72F7"/>
    <w:rsid w:val="002B7508"/>
    <w:rsid w:val="002B7562"/>
    <w:rsid w:val="002B7839"/>
    <w:rsid w:val="002B78AA"/>
    <w:rsid w:val="002B7930"/>
    <w:rsid w:val="002B7A6F"/>
    <w:rsid w:val="002B7A8C"/>
    <w:rsid w:val="002B7B20"/>
    <w:rsid w:val="002B7B8E"/>
    <w:rsid w:val="002B7BEE"/>
    <w:rsid w:val="002B7C49"/>
    <w:rsid w:val="002B7D36"/>
    <w:rsid w:val="002B7D9A"/>
    <w:rsid w:val="002B7DDC"/>
    <w:rsid w:val="002B7E0D"/>
    <w:rsid w:val="002B7E59"/>
    <w:rsid w:val="002B7E9F"/>
    <w:rsid w:val="002B7EAC"/>
    <w:rsid w:val="002C00D8"/>
    <w:rsid w:val="002C00FC"/>
    <w:rsid w:val="002C0123"/>
    <w:rsid w:val="002C015A"/>
    <w:rsid w:val="002C01B5"/>
    <w:rsid w:val="002C01C1"/>
    <w:rsid w:val="002C0288"/>
    <w:rsid w:val="002C02A4"/>
    <w:rsid w:val="002C0380"/>
    <w:rsid w:val="002C0381"/>
    <w:rsid w:val="002C0434"/>
    <w:rsid w:val="002C04B4"/>
    <w:rsid w:val="002C0642"/>
    <w:rsid w:val="002C0655"/>
    <w:rsid w:val="002C06C8"/>
    <w:rsid w:val="002C074E"/>
    <w:rsid w:val="002C0759"/>
    <w:rsid w:val="002C07D2"/>
    <w:rsid w:val="002C082D"/>
    <w:rsid w:val="002C0895"/>
    <w:rsid w:val="002C0A0C"/>
    <w:rsid w:val="002C0ACE"/>
    <w:rsid w:val="002C0CF5"/>
    <w:rsid w:val="002C0DBB"/>
    <w:rsid w:val="002C0F72"/>
    <w:rsid w:val="002C1071"/>
    <w:rsid w:val="002C1179"/>
    <w:rsid w:val="002C11BE"/>
    <w:rsid w:val="002C11CF"/>
    <w:rsid w:val="002C125A"/>
    <w:rsid w:val="002C12B7"/>
    <w:rsid w:val="002C14A5"/>
    <w:rsid w:val="002C14D9"/>
    <w:rsid w:val="002C14FF"/>
    <w:rsid w:val="002C150C"/>
    <w:rsid w:val="002C153B"/>
    <w:rsid w:val="002C1543"/>
    <w:rsid w:val="002C154B"/>
    <w:rsid w:val="002C1562"/>
    <w:rsid w:val="002C1609"/>
    <w:rsid w:val="002C1664"/>
    <w:rsid w:val="002C16CC"/>
    <w:rsid w:val="002C174B"/>
    <w:rsid w:val="002C1771"/>
    <w:rsid w:val="002C187C"/>
    <w:rsid w:val="002C19BC"/>
    <w:rsid w:val="002C1CAA"/>
    <w:rsid w:val="002C1CEB"/>
    <w:rsid w:val="002C1D06"/>
    <w:rsid w:val="002C1D26"/>
    <w:rsid w:val="002C1DE1"/>
    <w:rsid w:val="002C1DF3"/>
    <w:rsid w:val="002C1E36"/>
    <w:rsid w:val="002C1E87"/>
    <w:rsid w:val="002C1F3C"/>
    <w:rsid w:val="002C1FEE"/>
    <w:rsid w:val="002C2033"/>
    <w:rsid w:val="002C2116"/>
    <w:rsid w:val="002C2165"/>
    <w:rsid w:val="002C21F4"/>
    <w:rsid w:val="002C23BA"/>
    <w:rsid w:val="002C24F7"/>
    <w:rsid w:val="002C2507"/>
    <w:rsid w:val="002C2508"/>
    <w:rsid w:val="002C2567"/>
    <w:rsid w:val="002C2590"/>
    <w:rsid w:val="002C260C"/>
    <w:rsid w:val="002C2731"/>
    <w:rsid w:val="002C2757"/>
    <w:rsid w:val="002C2831"/>
    <w:rsid w:val="002C284D"/>
    <w:rsid w:val="002C2954"/>
    <w:rsid w:val="002C2974"/>
    <w:rsid w:val="002C2994"/>
    <w:rsid w:val="002C29D6"/>
    <w:rsid w:val="002C2ABB"/>
    <w:rsid w:val="002C2B04"/>
    <w:rsid w:val="002C2BA5"/>
    <w:rsid w:val="002C2BB9"/>
    <w:rsid w:val="002C2C68"/>
    <w:rsid w:val="002C2CCF"/>
    <w:rsid w:val="002C2DFF"/>
    <w:rsid w:val="002C309C"/>
    <w:rsid w:val="002C3103"/>
    <w:rsid w:val="002C3187"/>
    <w:rsid w:val="002C3218"/>
    <w:rsid w:val="002C3258"/>
    <w:rsid w:val="002C326C"/>
    <w:rsid w:val="002C32AA"/>
    <w:rsid w:val="002C3315"/>
    <w:rsid w:val="002C3341"/>
    <w:rsid w:val="002C342F"/>
    <w:rsid w:val="002C347F"/>
    <w:rsid w:val="002C34DA"/>
    <w:rsid w:val="002C3544"/>
    <w:rsid w:val="002C3548"/>
    <w:rsid w:val="002C354A"/>
    <w:rsid w:val="002C361D"/>
    <w:rsid w:val="002C3621"/>
    <w:rsid w:val="002C367A"/>
    <w:rsid w:val="002C36AD"/>
    <w:rsid w:val="002C3716"/>
    <w:rsid w:val="002C3740"/>
    <w:rsid w:val="002C377C"/>
    <w:rsid w:val="002C381D"/>
    <w:rsid w:val="002C3893"/>
    <w:rsid w:val="002C3A29"/>
    <w:rsid w:val="002C3A60"/>
    <w:rsid w:val="002C3A9D"/>
    <w:rsid w:val="002C3B97"/>
    <w:rsid w:val="002C3DE9"/>
    <w:rsid w:val="002C3E3C"/>
    <w:rsid w:val="002C3E47"/>
    <w:rsid w:val="002C406F"/>
    <w:rsid w:val="002C40B0"/>
    <w:rsid w:val="002C412E"/>
    <w:rsid w:val="002C41AC"/>
    <w:rsid w:val="002C4212"/>
    <w:rsid w:val="002C42BA"/>
    <w:rsid w:val="002C436B"/>
    <w:rsid w:val="002C450D"/>
    <w:rsid w:val="002C4545"/>
    <w:rsid w:val="002C4714"/>
    <w:rsid w:val="002C499A"/>
    <w:rsid w:val="002C49FA"/>
    <w:rsid w:val="002C4A7C"/>
    <w:rsid w:val="002C4ABB"/>
    <w:rsid w:val="002C4B97"/>
    <w:rsid w:val="002C4C48"/>
    <w:rsid w:val="002C4C69"/>
    <w:rsid w:val="002C4C84"/>
    <w:rsid w:val="002C4D1A"/>
    <w:rsid w:val="002C4D34"/>
    <w:rsid w:val="002C4E6E"/>
    <w:rsid w:val="002C4E95"/>
    <w:rsid w:val="002C4F41"/>
    <w:rsid w:val="002C4F63"/>
    <w:rsid w:val="002C4FF5"/>
    <w:rsid w:val="002C5040"/>
    <w:rsid w:val="002C5155"/>
    <w:rsid w:val="002C54D7"/>
    <w:rsid w:val="002C54F5"/>
    <w:rsid w:val="002C5529"/>
    <w:rsid w:val="002C556D"/>
    <w:rsid w:val="002C55BC"/>
    <w:rsid w:val="002C5627"/>
    <w:rsid w:val="002C5653"/>
    <w:rsid w:val="002C56BF"/>
    <w:rsid w:val="002C5796"/>
    <w:rsid w:val="002C57EC"/>
    <w:rsid w:val="002C588F"/>
    <w:rsid w:val="002C58C4"/>
    <w:rsid w:val="002C5A0C"/>
    <w:rsid w:val="002C5A5A"/>
    <w:rsid w:val="002C5BB0"/>
    <w:rsid w:val="002C5BEA"/>
    <w:rsid w:val="002C5CEC"/>
    <w:rsid w:val="002C5DC2"/>
    <w:rsid w:val="002C5DF4"/>
    <w:rsid w:val="002C5E92"/>
    <w:rsid w:val="002C5F2C"/>
    <w:rsid w:val="002C60C0"/>
    <w:rsid w:val="002C6121"/>
    <w:rsid w:val="002C61E1"/>
    <w:rsid w:val="002C621D"/>
    <w:rsid w:val="002C6356"/>
    <w:rsid w:val="002C64CB"/>
    <w:rsid w:val="002C6519"/>
    <w:rsid w:val="002C6544"/>
    <w:rsid w:val="002C6560"/>
    <w:rsid w:val="002C66A4"/>
    <w:rsid w:val="002C67C8"/>
    <w:rsid w:val="002C6806"/>
    <w:rsid w:val="002C68E3"/>
    <w:rsid w:val="002C68FF"/>
    <w:rsid w:val="002C6908"/>
    <w:rsid w:val="002C69E6"/>
    <w:rsid w:val="002C6A34"/>
    <w:rsid w:val="002C6A60"/>
    <w:rsid w:val="002C6B48"/>
    <w:rsid w:val="002C6B49"/>
    <w:rsid w:val="002C6E9D"/>
    <w:rsid w:val="002C7021"/>
    <w:rsid w:val="002C706E"/>
    <w:rsid w:val="002C70AE"/>
    <w:rsid w:val="002C730F"/>
    <w:rsid w:val="002C73DC"/>
    <w:rsid w:val="002C7410"/>
    <w:rsid w:val="002C749E"/>
    <w:rsid w:val="002C7503"/>
    <w:rsid w:val="002C754C"/>
    <w:rsid w:val="002C7699"/>
    <w:rsid w:val="002C7A5E"/>
    <w:rsid w:val="002C7AE5"/>
    <w:rsid w:val="002C7B23"/>
    <w:rsid w:val="002C7B64"/>
    <w:rsid w:val="002C7B71"/>
    <w:rsid w:val="002C7B9A"/>
    <w:rsid w:val="002C7DE2"/>
    <w:rsid w:val="002C7EBF"/>
    <w:rsid w:val="002D016D"/>
    <w:rsid w:val="002D01B3"/>
    <w:rsid w:val="002D01E7"/>
    <w:rsid w:val="002D02B7"/>
    <w:rsid w:val="002D0479"/>
    <w:rsid w:val="002D04C5"/>
    <w:rsid w:val="002D05DB"/>
    <w:rsid w:val="002D0606"/>
    <w:rsid w:val="002D0770"/>
    <w:rsid w:val="002D07C8"/>
    <w:rsid w:val="002D087F"/>
    <w:rsid w:val="002D08DB"/>
    <w:rsid w:val="002D08F3"/>
    <w:rsid w:val="002D0969"/>
    <w:rsid w:val="002D09D4"/>
    <w:rsid w:val="002D0A11"/>
    <w:rsid w:val="002D0A4E"/>
    <w:rsid w:val="002D0A6A"/>
    <w:rsid w:val="002D0ABF"/>
    <w:rsid w:val="002D0AF6"/>
    <w:rsid w:val="002D0B04"/>
    <w:rsid w:val="002D0B3D"/>
    <w:rsid w:val="002D0B7A"/>
    <w:rsid w:val="002D0B8E"/>
    <w:rsid w:val="002D0BEF"/>
    <w:rsid w:val="002D0BF8"/>
    <w:rsid w:val="002D0D96"/>
    <w:rsid w:val="002D0DAA"/>
    <w:rsid w:val="002D0E00"/>
    <w:rsid w:val="002D0E2D"/>
    <w:rsid w:val="002D0E5E"/>
    <w:rsid w:val="002D0EBD"/>
    <w:rsid w:val="002D0F3B"/>
    <w:rsid w:val="002D1175"/>
    <w:rsid w:val="002D117E"/>
    <w:rsid w:val="002D11AE"/>
    <w:rsid w:val="002D1395"/>
    <w:rsid w:val="002D1496"/>
    <w:rsid w:val="002D1821"/>
    <w:rsid w:val="002D18DF"/>
    <w:rsid w:val="002D1B54"/>
    <w:rsid w:val="002D1BA2"/>
    <w:rsid w:val="002D1BC8"/>
    <w:rsid w:val="002D1C80"/>
    <w:rsid w:val="002D1E9E"/>
    <w:rsid w:val="002D1FE0"/>
    <w:rsid w:val="002D212B"/>
    <w:rsid w:val="002D2140"/>
    <w:rsid w:val="002D227C"/>
    <w:rsid w:val="002D2405"/>
    <w:rsid w:val="002D24B8"/>
    <w:rsid w:val="002D24E3"/>
    <w:rsid w:val="002D24F3"/>
    <w:rsid w:val="002D25AA"/>
    <w:rsid w:val="002D25AC"/>
    <w:rsid w:val="002D25D0"/>
    <w:rsid w:val="002D26A0"/>
    <w:rsid w:val="002D2A89"/>
    <w:rsid w:val="002D2AE9"/>
    <w:rsid w:val="002D2B53"/>
    <w:rsid w:val="002D2BA8"/>
    <w:rsid w:val="002D2BF5"/>
    <w:rsid w:val="002D2C3C"/>
    <w:rsid w:val="002D2D12"/>
    <w:rsid w:val="002D2F8D"/>
    <w:rsid w:val="002D3168"/>
    <w:rsid w:val="002D3266"/>
    <w:rsid w:val="002D32A4"/>
    <w:rsid w:val="002D33BF"/>
    <w:rsid w:val="002D34A0"/>
    <w:rsid w:val="002D34EB"/>
    <w:rsid w:val="002D356B"/>
    <w:rsid w:val="002D358E"/>
    <w:rsid w:val="002D3599"/>
    <w:rsid w:val="002D36D4"/>
    <w:rsid w:val="002D374F"/>
    <w:rsid w:val="002D3902"/>
    <w:rsid w:val="002D3A70"/>
    <w:rsid w:val="002D3CFB"/>
    <w:rsid w:val="002D3DD9"/>
    <w:rsid w:val="002D408B"/>
    <w:rsid w:val="002D40B1"/>
    <w:rsid w:val="002D411F"/>
    <w:rsid w:val="002D413B"/>
    <w:rsid w:val="002D42B3"/>
    <w:rsid w:val="002D432B"/>
    <w:rsid w:val="002D4490"/>
    <w:rsid w:val="002D4552"/>
    <w:rsid w:val="002D4863"/>
    <w:rsid w:val="002D4966"/>
    <w:rsid w:val="002D49A0"/>
    <w:rsid w:val="002D49DD"/>
    <w:rsid w:val="002D4A04"/>
    <w:rsid w:val="002D4ADA"/>
    <w:rsid w:val="002D4BBA"/>
    <w:rsid w:val="002D4BFD"/>
    <w:rsid w:val="002D4C00"/>
    <w:rsid w:val="002D4CA2"/>
    <w:rsid w:val="002D4D42"/>
    <w:rsid w:val="002D4D7C"/>
    <w:rsid w:val="002D4DF2"/>
    <w:rsid w:val="002D50E0"/>
    <w:rsid w:val="002D5127"/>
    <w:rsid w:val="002D5159"/>
    <w:rsid w:val="002D51F4"/>
    <w:rsid w:val="002D5256"/>
    <w:rsid w:val="002D525B"/>
    <w:rsid w:val="002D52FB"/>
    <w:rsid w:val="002D5399"/>
    <w:rsid w:val="002D53CE"/>
    <w:rsid w:val="002D53E2"/>
    <w:rsid w:val="002D5549"/>
    <w:rsid w:val="002D5577"/>
    <w:rsid w:val="002D5735"/>
    <w:rsid w:val="002D591B"/>
    <w:rsid w:val="002D5980"/>
    <w:rsid w:val="002D598B"/>
    <w:rsid w:val="002D59F6"/>
    <w:rsid w:val="002D5A09"/>
    <w:rsid w:val="002D5B58"/>
    <w:rsid w:val="002D5BB0"/>
    <w:rsid w:val="002D5BFF"/>
    <w:rsid w:val="002D5C42"/>
    <w:rsid w:val="002D5DCC"/>
    <w:rsid w:val="002D5FBA"/>
    <w:rsid w:val="002D61CD"/>
    <w:rsid w:val="002D61DA"/>
    <w:rsid w:val="002D63F5"/>
    <w:rsid w:val="002D6476"/>
    <w:rsid w:val="002D64E9"/>
    <w:rsid w:val="002D65AE"/>
    <w:rsid w:val="002D66E3"/>
    <w:rsid w:val="002D67AA"/>
    <w:rsid w:val="002D67AF"/>
    <w:rsid w:val="002D67CB"/>
    <w:rsid w:val="002D6808"/>
    <w:rsid w:val="002D6879"/>
    <w:rsid w:val="002D68EB"/>
    <w:rsid w:val="002D697A"/>
    <w:rsid w:val="002D69C6"/>
    <w:rsid w:val="002D6A3C"/>
    <w:rsid w:val="002D6AFE"/>
    <w:rsid w:val="002D6B39"/>
    <w:rsid w:val="002D6B54"/>
    <w:rsid w:val="002D6BEB"/>
    <w:rsid w:val="002D6C3D"/>
    <w:rsid w:val="002D6C77"/>
    <w:rsid w:val="002D6CBB"/>
    <w:rsid w:val="002D6E90"/>
    <w:rsid w:val="002D6F20"/>
    <w:rsid w:val="002D6FBD"/>
    <w:rsid w:val="002D6FDC"/>
    <w:rsid w:val="002D6FF2"/>
    <w:rsid w:val="002D725A"/>
    <w:rsid w:val="002D72B3"/>
    <w:rsid w:val="002D732B"/>
    <w:rsid w:val="002D7386"/>
    <w:rsid w:val="002D73C9"/>
    <w:rsid w:val="002D73F6"/>
    <w:rsid w:val="002D740E"/>
    <w:rsid w:val="002D76DD"/>
    <w:rsid w:val="002D77E3"/>
    <w:rsid w:val="002D78AD"/>
    <w:rsid w:val="002D7979"/>
    <w:rsid w:val="002D7B81"/>
    <w:rsid w:val="002D7CE4"/>
    <w:rsid w:val="002D7D11"/>
    <w:rsid w:val="002D7D1C"/>
    <w:rsid w:val="002D7D6B"/>
    <w:rsid w:val="002D7F5E"/>
    <w:rsid w:val="002D7F60"/>
    <w:rsid w:val="002D7FC0"/>
    <w:rsid w:val="002E0010"/>
    <w:rsid w:val="002E0169"/>
    <w:rsid w:val="002E0239"/>
    <w:rsid w:val="002E034A"/>
    <w:rsid w:val="002E0355"/>
    <w:rsid w:val="002E0399"/>
    <w:rsid w:val="002E04F2"/>
    <w:rsid w:val="002E055D"/>
    <w:rsid w:val="002E0587"/>
    <w:rsid w:val="002E05E5"/>
    <w:rsid w:val="002E05F6"/>
    <w:rsid w:val="002E0648"/>
    <w:rsid w:val="002E06F3"/>
    <w:rsid w:val="002E0702"/>
    <w:rsid w:val="002E07AD"/>
    <w:rsid w:val="002E07FD"/>
    <w:rsid w:val="002E0882"/>
    <w:rsid w:val="002E08CA"/>
    <w:rsid w:val="002E0914"/>
    <w:rsid w:val="002E096C"/>
    <w:rsid w:val="002E098F"/>
    <w:rsid w:val="002E0A4B"/>
    <w:rsid w:val="002E0AB9"/>
    <w:rsid w:val="002E0B1F"/>
    <w:rsid w:val="002E0B57"/>
    <w:rsid w:val="002E0B89"/>
    <w:rsid w:val="002E0BEB"/>
    <w:rsid w:val="002E0C07"/>
    <w:rsid w:val="002E0C9F"/>
    <w:rsid w:val="002E0D8A"/>
    <w:rsid w:val="002E0DE2"/>
    <w:rsid w:val="002E0E00"/>
    <w:rsid w:val="002E0ED1"/>
    <w:rsid w:val="002E0EDF"/>
    <w:rsid w:val="002E0FC9"/>
    <w:rsid w:val="002E1166"/>
    <w:rsid w:val="002E128C"/>
    <w:rsid w:val="002E12FC"/>
    <w:rsid w:val="002E13BF"/>
    <w:rsid w:val="002E147A"/>
    <w:rsid w:val="002E16DD"/>
    <w:rsid w:val="002E1844"/>
    <w:rsid w:val="002E1910"/>
    <w:rsid w:val="002E1943"/>
    <w:rsid w:val="002E19DD"/>
    <w:rsid w:val="002E19DE"/>
    <w:rsid w:val="002E1AB7"/>
    <w:rsid w:val="002E1AF8"/>
    <w:rsid w:val="002E1BE8"/>
    <w:rsid w:val="002E1D78"/>
    <w:rsid w:val="002E1DA9"/>
    <w:rsid w:val="002E1E9C"/>
    <w:rsid w:val="002E1F60"/>
    <w:rsid w:val="002E1FA3"/>
    <w:rsid w:val="002E20A3"/>
    <w:rsid w:val="002E213C"/>
    <w:rsid w:val="002E2211"/>
    <w:rsid w:val="002E2328"/>
    <w:rsid w:val="002E2457"/>
    <w:rsid w:val="002E24AF"/>
    <w:rsid w:val="002E24B1"/>
    <w:rsid w:val="002E259A"/>
    <w:rsid w:val="002E25AB"/>
    <w:rsid w:val="002E2632"/>
    <w:rsid w:val="002E2765"/>
    <w:rsid w:val="002E285B"/>
    <w:rsid w:val="002E2956"/>
    <w:rsid w:val="002E2A15"/>
    <w:rsid w:val="002E2A66"/>
    <w:rsid w:val="002E2CB9"/>
    <w:rsid w:val="002E2CCC"/>
    <w:rsid w:val="002E2CF2"/>
    <w:rsid w:val="002E2CFB"/>
    <w:rsid w:val="002E2D2B"/>
    <w:rsid w:val="002E2D4F"/>
    <w:rsid w:val="002E2D6C"/>
    <w:rsid w:val="002E2F94"/>
    <w:rsid w:val="002E3012"/>
    <w:rsid w:val="002E3013"/>
    <w:rsid w:val="002E307E"/>
    <w:rsid w:val="002E30C2"/>
    <w:rsid w:val="002E315F"/>
    <w:rsid w:val="002E3179"/>
    <w:rsid w:val="002E31B4"/>
    <w:rsid w:val="002E31D4"/>
    <w:rsid w:val="002E31E6"/>
    <w:rsid w:val="002E3377"/>
    <w:rsid w:val="002E3436"/>
    <w:rsid w:val="002E366D"/>
    <w:rsid w:val="002E36DE"/>
    <w:rsid w:val="002E3724"/>
    <w:rsid w:val="002E37E1"/>
    <w:rsid w:val="002E3825"/>
    <w:rsid w:val="002E38EF"/>
    <w:rsid w:val="002E396C"/>
    <w:rsid w:val="002E3AC7"/>
    <w:rsid w:val="002E3B9C"/>
    <w:rsid w:val="002E3D0D"/>
    <w:rsid w:val="002E3DF5"/>
    <w:rsid w:val="002E3E91"/>
    <w:rsid w:val="002E3F47"/>
    <w:rsid w:val="002E3F79"/>
    <w:rsid w:val="002E4077"/>
    <w:rsid w:val="002E417E"/>
    <w:rsid w:val="002E427B"/>
    <w:rsid w:val="002E4289"/>
    <w:rsid w:val="002E42ED"/>
    <w:rsid w:val="002E4316"/>
    <w:rsid w:val="002E43FB"/>
    <w:rsid w:val="002E44BE"/>
    <w:rsid w:val="002E44D5"/>
    <w:rsid w:val="002E4562"/>
    <w:rsid w:val="002E4566"/>
    <w:rsid w:val="002E459F"/>
    <w:rsid w:val="002E46E4"/>
    <w:rsid w:val="002E473F"/>
    <w:rsid w:val="002E4746"/>
    <w:rsid w:val="002E4753"/>
    <w:rsid w:val="002E487D"/>
    <w:rsid w:val="002E48B6"/>
    <w:rsid w:val="002E494C"/>
    <w:rsid w:val="002E4AA3"/>
    <w:rsid w:val="002E4AAA"/>
    <w:rsid w:val="002E4B56"/>
    <w:rsid w:val="002E4CD0"/>
    <w:rsid w:val="002E4D49"/>
    <w:rsid w:val="002E4E25"/>
    <w:rsid w:val="002E4E74"/>
    <w:rsid w:val="002E4E8C"/>
    <w:rsid w:val="002E4F61"/>
    <w:rsid w:val="002E4FF5"/>
    <w:rsid w:val="002E5018"/>
    <w:rsid w:val="002E516E"/>
    <w:rsid w:val="002E524C"/>
    <w:rsid w:val="002E525D"/>
    <w:rsid w:val="002E53CC"/>
    <w:rsid w:val="002E5473"/>
    <w:rsid w:val="002E559B"/>
    <w:rsid w:val="002E56E1"/>
    <w:rsid w:val="002E577A"/>
    <w:rsid w:val="002E5781"/>
    <w:rsid w:val="002E57A2"/>
    <w:rsid w:val="002E5919"/>
    <w:rsid w:val="002E598A"/>
    <w:rsid w:val="002E5994"/>
    <w:rsid w:val="002E5A32"/>
    <w:rsid w:val="002E5A8F"/>
    <w:rsid w:val="002E5CCE"/>
    <w:rsid w:val="002E5D85"/>
    <w:rsid w:val="002E5D95"/>
    <w:rsid w:val="002E5E08"/>
    <w:rsid w:val="002E5E09"/>
    <w:rsid w:val="002E5E43"/>
    <w:rsid w:val="002E5F62"/>
    <w:rsid w:val="002E5FB2"/>
    <w:rsid w:val="002E5FC0"/>
    <w:rsid w:val="002E5FD2"/>
    <w:rsid w:val="002E603C"/>
    <w:rsid w:val="002E604C"/>
    <w:rsid w:val="002E60DF"/>
    <w:rsid w:val="002E60E9"/>
    <w:rsid w:val="002E6119"/>
    <w:rsid w:val="002E61B0"/>
    <w:rsid w:val="002E62E2"/>
    <w:rsid w:val="002E64A2"/>
    <w:rsid w:val="002E6559"/>
    <w:rsid w:val="002E6596"/>
    <w:rsid w:val="002E661F"/>
    <w:rsid w:val="002E665E"/>
    <w:rsid w:val="002E6660"/>
    <w:rsid w:val="002E66AC"/>
    <w:rsid w:val="002E66EB"/>
    <w:rsid w:val="002E6724"/>
    <w:rsid w:val="002E6977"/>
    <w:rsid w:val="002E69CC"/>
    <w:rsid w:val="002E69F0"/>
    <w:rsid w:val="002E6A18"/>
    <w:rsid w:val="002E6A33"/>
    <w:rsid w:val="002E6A34"/>
    <w:rsid w:val="002E6A70"/>
    <w:rsid w:val="002E6AC0"/>
    <w:rsid w:val="002E6AC8"/>
    <w:rsid w:val="002E6B1E"/>
    <w:rsid w:val="002E6C7C"/>
    <w:rsid w:val="002E6CAC"/>
    <w:rsid w:val="002E6CDC"/>
    <w:rsid w:val="002E6EED"/>
    <w:rsid w:val="002E6EFE"/>
    <w:rsid w:val="002E7043"/>
    <w:rsid w:val="002E7104"/>
    <w:rsid w:val="002E71E9"/>
    <w:rsid w:val="002E72B0"/>
    <w:rsid w:val="002E72EC"/>
    <w:rsid w:val="002E73A5"/>
    <w:rsid w:val="002E73D7"/>
    <w:rsid w:val="002E7439"/>
    <w:rsid w:val="002E7486"/>
    <w:rsid w:val="002E764A"/>
    <w:rsid w:val="002E76EB"/>
    <w:rsid w:val="002E77AA"/>
    <w:rsid w:val="002E77CA"/>
    <w:rsid w:val="002E77D3"/>
    <w:rsid w:val="002E797D"/>
    <w:rsid w:val="002E79DE"/>
    <w:rsid w:val="002E79FC"/>
    <w:rsid w:val="002E7AA9"/>
    <w:rsid w:val="002E7AD3"/>
    <w:rsid w:val="002E7D29"/>
    <w:rsid w:val="002E7DA9"/>
    <w:rsid w:val="002E7EDB"/>
    <w:rsid w:val="002F006A"/>
    <w:rsid w:val="002F00C5"/>
    <w:rsid w:val="002F01FC"/>
    <w:rsid w:val="002F02E8"/>
    <w:rsid w:val="002F03CD"/>
    <w:rsid w:val="002F0426"/>
    <w:rsid w:val="002F045D"/>
    <w:rsid w:val="002F04AA"/>
    <w:rsid w:val="002F04BE"/>
    <w:rsid w:val="002F0622"/>
    <w:rsid w:val="002F0689"/>
    <w:rsid w:val="002F0911"/>
    <w:rsid w:val="002F0926"/>
    <w:rsid w:val="002F092E"/>
    <w:rsid w:val="002F0B4E"/>
    <w:rsid w:val="002F0C33"/>
    <w:rsid w:val="002F0C8C"/>
    <w:rsid w:val="002F0CD6"/>
    <w:rsid w:val="002F0CF4"/>
    <w:rsid w:val="002F0D14"/>
    <w:rsid w:val="002F0D3F"/>
    <w:rsid w:val="002F0DAE"/>
    <w:rsid w:val="002F0DB1"/>
    <w:rsid w:val="002F0DFD"/>
    <w:rsid w:val="002F0E01"/>
    <w:rsid w:val="002F0E24"/>
    <w:rsid w:val="002F0E85"/>
    <w:rsid w:val="002F0FE3"/>
    <w:rsid w:val="002F0FF1"/>
    <w:rsid w:val="002F10B7"/>
    <w:rsid w:val="002F11AD"/>
    <w:rsid w:val="002F120C"/>
    <w:rsid w:val="002F12A6"/>
    <w:rsid w:val="002F131D"/>
    <w:rsid w:val="002F1346"/>
    <w:rsid w:val="002F1350"/>
    <w:rsid w:val="002F1441"/>
    <w:rsid w:val="002F148C"/>
    <w:rsid w:val="002F148F"/>
    <w:rsid w:val="002F1603"/>
    <w:rsid w:val="002F1649"/>
    <w:rsid w:val="002F16F3"/>
    <w:rsid w:val="002F1715"/>
    <w:rsid w:val="002F1734"/>
    <w:rsid w:val="002F179E"/>
    <w:rsid w:val="002F17BC"/>
    <w:rsid w:val="002F1869"/>
    <w:rsid w:val="002F1A29"/>
    <w:rsid w:val="002F1A90"/>
    <w:rsid w:val="002F1A9F"/>
    <w:rsid w:val="002F1B70"/>
    <w:rsid w:val="002F1C39"/>
    <w:rsid w:val="002F1CDA"/>
    <w:rsid w:val="002F1F0F"/>
    <w:rsid w:val="002F1F7A"/>
    <w:rsid w:val="002F1FC3"/>
    <w:rsid w:val="002F1FFE"/>
    <w:rsid w:val="002F207C"/>
    <w:rsid w:val="002F2081"/>
    <w:rsid w:val="002F20B8"/>
    <w:rsid w:val="002F2116"/>
    <w:rsid w:val="002F2272"/>
    <w:rsid w:val="002F231F"/>
    <w:rsid w:val="002F2403"/>
    <w:rsid w:val="002F2414"/>
    <w:rsid w:val="002F2435"/>
    <w:rsid w:val="002F244A"/>
    <w:rsid w:val="002F24D0"/>
    <w:rsid w:val="002F259A"/>
    <w:rsid w:val="002F26E1"/>
    <w:rsid w:val="002F26FA"/>
    <w:rsid w:val="002F2729"/>
    <w:rsid w:val="002F2882"/>
    <w:rsid w:val="002F2B1A"/>
    <w:rsid w:val="002F2C58"/>
    <w:rsid w:val="002F2D3F"/>
    <w:rsid w:val="002F2D52"/>
    <w:rsid w:val="002F2EA7"/>
    <w:rsid w:val="002F2EB0"/>
    <w:rsid w:val="002F2EDB"/>
    <w:rsid w:val="002F2F1C"/>
    <w:rsid w:val="002F2F58"/>
    <w:rsid w:val="002F3034"/>
    <w:rsid w:val="002F3066"/>
    <w:rsid w:val="002F30F4"/>
    <w:rsid w:val="002F3264"/>
    <w:rsid w:val="002F32F2"/>
    <w:rsid w:val="002F33A0"/>
    <w:rsid w:val="002F33EA"/>
    <w:rsid w:val="002F340E"/>
    <w:rsid w:val="002F34E1"/>
    <w:rsid w:val="002F34F8"/>
    <w:rsid w:val="002F35E0"/>
    <w:rsid w:val="002F3889"/>
    <w:rsid w:val="002F3A62"/>
    <w:rsid w:val="002F3ACA"/>
    <w:rsid w:val="002F3AE8"/>
    <w:rsid w:val="002F3D0C"/>
    <w:rsid w:val="002F3DDE"/>
    <w:rsid w:val="002F3E32"/>
    <w:rsid w:val="002F3E63"/>
    <w:rsid w:val="002F3E7C"/>
    <w:rsid w:val="002F3EA9"/>
    <w:rsid w:val="002F3F05"/>
    <w:rsid w:val="002F3F7F"/>
    <w:rsid w:val="002F3FF4"/>
    <w:rsid w:val="002F4064"/>
    <w:rsid w:val="002F4070"/>
    <w:rsid w:val="002F4090"/>
    <w:rsid w:val="002F40BE"/>
    <w:rsid w:val="002F412C"/>
    <w:rsid w:val="002F41CC"/>
    <w:rsid w:val="002F424B"/>
    <w:rsid w:val="002F427A"/>
    <w:rsid w:val="002F42A9"/>
    <w:rsid w:val="002F43C9"/>
    <w:rsid w:val="002F43CC"/>
    <w:rsid w:val="002F43F8"/>
    <w:rsid w:val="002F4497"/>
    <w:rsid w:val="002F45C7"/>
    <w:rsid w:val="002F4840"/>
    <w:rsid w:val="002F48E0"/>
    <w:rsid w:val="002F48F7"/>
    <w:rsid w:val="002F4AA5"/>
    <w:rsid w:val="002F4B26"/>
    <w:rsid w:val="002F4BDB"/>
    <w:rsid w:val="002F4E00"/>
    <w:rsid w:val="002F4E85"/>
    <w:rsid w:val="002F4EAB"/>
    <w:rsid w:val="002F4ECB"/>
    <w:rsid w:val="002F4F0D"/>
    <w:rsid w:val="002F4F59"/>
    <w:rsid w:val="002F50A6"/>
    <w:rsid w:val="002F5444"/>
    <w:rsid w:val="002F5458"/>
    <w:rsid w:val="002F56CB"/>
    <w:rsid w:val="002F572F"/>
    <w:rsid w:val="002F5788"/>
    <w:rsid w:val="002F5793"/>
    <w:rsid w:val="002F5854"/>
    <w:rsid w:val="002F5880"/>
    <w:rsid w:val="002F5994"/>
    <w:rsid w:val="002F5AC4"/>
    <w:rsid w:val="002F5AE2"/>
    <w:rsid w:val="002F5B06"/>
    <w:rsid w:val="002F5B66"/>
    <w:rsid w:val="002F5B72"/>
    <w:rsid w:val="002F5C16"/>
    <w:rsid w:val="002F5D02"/>
    <w:rsid w:val="002F5D05"/>
    <w:rsid w:val="002F5D4A"/>
    <w:rsid w:val="002F5DFF"/>
    <w:rsid w:val="002F5E06"/>
    <w:rsid w:val="002F5EA0"/>
    <w:rsid w:val="002F6024"/>
    <w:rsid w:val="002F60D4"/>
    <w:rsid w:val="002F60F3"/>
    <w:rsid w:val="002F6131"/>
    <w:rsid w:val="002F617C"/>
    <w:rsid w:val="002F61AF"/>
    <w:rsid w:val="002F623D"/>
    <w:rsid w:val="002F6284"/>
    <w:rsid w:val="002F63CF"/>
    <w:rsid w:val="002F6452"/>
    <w:rsid w:val="002F6459"/>
    <w:rsid w:val="002F65D6"/>
    <w:rsid w:val="002F6832"/>
    <w:rsid w:val="002F6876"/>
    <w:rsid w:val="002F68D4"/>
    <w:rsid w:val="002F693F"/>
    <w:rsid w:val="002F69B1"/>
    <w:rsid w:val="002F69F2"/>
    <w:rsid w:val="002F6CDA"/>
    <w:rsid w:val="002F6D89"/>
    <w:rsid w:val="002F6DD4"/>
    <w:rsid w:val="002F6E06"/>
    <w:rsid w:val="002F70C9"/>
    <w:rsid w:val="002F70D2"/>
    <w:rsid w:val="002F7160"/>
    <w:rsid w:val="002F7183"/>
    <w:rsid w:val="002F71E9"/>
    <w:rsid w:val="002F7369"/>
    <w:rsid w:val="002F74C0"/>
    <w:rsid w:val="002F74C9"/>
    <w:rsid w:val="002F7680"/>
    <w:rsid w:val="002F77BB"/>
    <w:rsid w:val="002F7868"/>
    <w:rsid w:val="002F7957"/>
    <w:rsid w:val="002F79DC"/>
    <w:rsid w:val="002F7A87"/>
    <w:rsid w:val="002F7B64"/>
    <w:rsid w:val="002F7E1C"/>
    <w:rsid w:val="00300027"/>
    <w:rsid w:val="0030005B"/>
    <w:rsid w:val="0030019F"/>
    <w:rsid w:val="003003FC"/>
    <w:rsid w:val="003004A8"/>
    <w:rsid w:val="0030068D"/>
    <w:rsid w:val="00300698"/>
    <w:rsid w:val="0030069B"/>
    <w:rsid w:val="003006A5"/>
    <w:rsid w:val="003009B7"/>
    <w:rsid w:val="00300AB2"/>
    <w:rsid w:val="00300B38"/>
    <w:rsid w:val="00300B54"/>
    <w:rsid w:val="00300BE8"/>
    <w:rsid w:val="00300D2F"/>
    <w:rsid w:val="00300D80"/>
    <w:rsid w:val="00300D89"/>
    <w:rsid w:val="00300DDB"/>
    <w:rsid w:val="00300DE4"/>
    <w:rsid w:val="00300E33"/>
    <w:rsid w:val="00300EA8"/>
    <w:rsid w:val="00300F9F"/>
    <w:rsid w:val="00300FED"/>
    <w:rsid w:val="003010E8"/>
    <w:rsid w:val="003011C5"/>
    <w:rsid w:val="0030139E"/>
    <w:rsid w:val="003014B2"/>
    <w:rsid w:val="003014FD"/>
    <w:rsid w:val="00301541"/>
    <w:rsid w:val="00301557"/>
    <w:rsid w:val="003015CD"/>
    <w:rsid w:val="00301782"/>
    <w:rsid w:val="00301830"/>
    <w:rsid w:val="0030187B"/>
    <w:rsid w:val="003018B5"/>
    <w:rsid w:val="00301AB1"/>
    <w:rsid w:val="00301C50"/>
    <w:rsid w:val="00301CC7"/>
    <w:rsid w:val="00301CCE"/>
    <w:rsid w:val="00301D63"/>
    <w:rsid w:val="00301DBB"/>
    <w:rsid w:val="00301E15"/>
    <w:rsid w:val="00301E8A"/>
    <w:rsid w:val="00301F2F"/>
    <w:rsid w:val="00301F60"/>
    <w:rsid w:val="00301FDD"/>
    <w:rsid w:val="00301FE9"/>
    <w:rsid w:val="00302007"/>
    <w:rsid w:val="0030204B"/>
    <w:rsid w:val="003020DA"/>
    <w:rsid w:val="0030216C"/>
    <w:rsid w:val="003021DF"/>
    <w:rsid w:val="003022FE"/>
    <w:rsid w:val="00302304"/>
    <w:rsid w:val="00302352"/>
    <w:rsid w:val="003023E2"/>
    <w:rsid w:val="003023F9"/>
    <w:rsid w:val="0030240E"/>
    <w:rsid w:val="00302442"/>
    <w:rsid w:val="003025D7"/>
    <w:rsid w:val="00302675"/>
    <w:rsid w:val="003026B8"/>
    <w:rsid w:val="003026F1"/>
    <w:rsid w:val="003026F7"/>
    <w:rsid w:val="00302753"/>
    <w:rsid w:val="003027E9"/>
    <w:rsid w:val="003028D2"/>
    <w:rsid w:val="00302923"/>
    <w:rsid w:val="003029C8"/>
    <w:rsid w:val="00302A84"/>
    <w:rsid w:val="00302AB4"/>
    <w:rsid w:val="00302AC5"/>
    <w:rsid w:val="00302B56"/>
    <w:rsid w:val="00302B98"/>
    <w:rsid w:val="00302D22"/>
    <w:rsid w:val="00302D55"/>
    <w:rsid w:val="00302D56"/>
    <w:rsid w:val="00302D89"/>
    <w:rsid w:val="00302E2A"/>
    <w:rsid w:val="00302E2D"/>
    <w:rsid w:val="00302E47"/>
    <w:rsid w:val="00302E56"/>
    <w:rsid w:val="00302F0E"/>
    <w:rsid w:val="00302F5E"/>
    <w:rsid w:val="00303107"/>
    <w:rsid w:val="00303125"/>
    <w:rsid w:val="00303172"/>
    <w:rsid w:val="003031DC"/>
    <w:rsid w:val="003032CB"/>
    <w:rsid w:val="003032FD"/>
    <w:rsid w:val="0030332D"/>
    <w:rsid w:val="00303338"/>
    <w:rsid w:val="0030333D"/>
    <w:rsid w:val="0030357D"/>
    <w:rsid w:val="003035B0"/>
    <w:rsid w:val="003035CA"/>
    <w:rsid w:val="003035DB"/>
    <w:rsid w:val="0030362A"/>
    <w:rsid w:val="003036B4"/>
    <w:rsid w:val="0030373A"/>
    <w:rsid w:val="0030376E"/>
    <w:rsid w:val="003037A4"/>
    <w:rsid w:val="00303887"/>
    <w:rsid w:val="00303951"/>
    <w:rsid w:val="003039B6"/>
    <w:rsid w:val="00303A35"/>
    <w:rsid w:val="00303ADC"/>
    <w:rsid w:val="00303B0D"/>
    <w:rsid w:val="00303B65"/>
    <w:rsid w:val="00303C24"/>
    <w:rsid w:val="00303C4D"/>
    <w:rsid w:val="00303CBA"/>
    <w:rsid w:val="00303D19"/>
    <w:rsid w:val="00303D21"/>
    <w:rsid w:val="00303D47"/>
    <w:rsid w:val="00303D4B"/>
    <w:rsid w:val="00303DB8"/>
    <w:rsid w:val="00303E67"/>
    <w:rsid w:val="00303EBA"/>
    <w:rsid w:val="00303EDA"/>
    <w:rsid w:val="00303EF4"/>
    <w:rsid w:val="00304192"/>
    <w:rsid w:val="0030428A"/>
    <w:rsid w:val="003042CD"/>
    <w:rsid w:val="003043AB"/>
    <w:rsid w:val="003043C0"/>
    <w:rsid w:val="00304401"/>
    <w:rsid w:val="003045FF"/>
    <w:rsid w:val="0030462A"/>
    <w:rsid w:val="003046B3"/>
    <w:rsid w:val="00304750"/>
    <w:rsid w:val="00304802"/>
    <w:rsid w:val="003048BE"/>
    <w:rsid w:val="00304A53"/>
    <w:rsid w:val="00304A6D"/>
    <w:rsid w:val="00304A8A"/>
    <w:rsid w:val="00304B91"/>
    <w:rsid w:val="00304B9C"/>
    <w:rsid w:val="00304C41"/>
    <w:rsid w:val="00304CCF"/>
    <w:rsid w:val="00304D28"/>
    <w:rsid w:val="00304E14"/>
    <w:rsid w:val="00304E74"/>
    <w:rsid w:val="00304F67"/>
    <w:rsid w:val="00304FBC"/>
    <w:rsid w:val="0030525B"/>
    <w:rsid w:val="00305360"/>
    <w:rsid w:val="00305386"/>
    <w:rsid w:val="00305502"/>
    <w:rsid w:val="00305539"/>
    <w:rsid w:val="003055BE"/>
    <w:rsid w:val="003055DF"/>
    <w:rsid w:val="00305802"/>
    <w:rsid w:val="0030583C"/>
    <w:rsid w:val="00305941"/>
    <w:rsid w:val="0030599D"/>
    <w:rsid w:val="00305AA0"/>
    <w:rsid w:val="00305B2A"/>
    <w:rsid w:val="00305B5A"/>
    <w:rsid w:val="00305D02"/>
    <w:rsid w:val="00305DC7"/>
    <w:rsid w:val="00305F17"/>
    <w:rsid w:val="00305F95"/>
    <w:rsid w:val="003060EE"/>
    <w:rsid w:val="00306131"/>
    <w:rsid w:val="0030616B"/>
    <w:rsid w:val="00306178"/>
    <w:rsid w:val="003062A4"/>
    <w:rsid w:val="003063F3"/>
    <w:rsid w:val="003064CC"/>
    <w:rsid w:val="00306531"/>
    <w:rsid w:val="0030653B"/>
    <w:rsid w:val="00306744"/>
    <w:rsid w:val="00306836"/>
    <w:rsid w:val="0030685E"/>
    <w:rsid w:val="003068EB"/>
    <w:rsid w:val="0030698F"/>
    <w:rsid w:val="003069A9"/>
    <w:rsid w:val="003069EA"/>
    <w:rsid w:val="00306A54"/>
    <w:rsid w:val="00306B48"/>
    <w:rsid w:val="00306BBE"/>
    <w:rsid w:val="00306CB7"/>
    <w:rsid w:val="00306E9A"/>
    <w:rsid w:val="00306EDB"/>
    <w:rsid w:val="00306EF9"/>
    <w:rsid w:val="0030707B"/>
    <w:rsid w:val="00307106"/>
    <w:rsid w:val="003071D5"/>
    <w:rsid w:val="00307250"/>
    <w:rsid w:val="003072A2"/>
    <w:rsid w:val="003072D0"/>
    <w:rsid w:val="003072FC"/>
    <w:rsid w:val="00307319"/>
    <w:rsid w:val="0030744A"/>
    <w:rsid w:val="00307489"/>
    <w:rsid w:val="0030748B"/>
    <w:rsid w:val="003074E0"/>
    <w:rsid w:val="00307628"/>
    <w:rsid w:val="003076D2"/>
    <w:rsid w:val="00307776"/>
    <w:rsid w:val="0030777C"/>
    <w:rsid w:val="00307795"/>
    <w:rsid w:val="00307A0D"/>
    <w:rsid w:val="00307A40"/>
    <w:rsid w:val="00307A4F"/>
    <w:rsid w:val="00307AEA"/>
    <w:rsid w:val="00307B94"/>
    <w:rsid w:val="00307C93"/>
    <w:rsid w:val="00307F8E"/>
    <w:rsid w:val="00310006"/>
    <w:rsid w:val="0031000E"/>
    <w:rsid w:val="003101E4"/>
    <w:rsid w:val="00310286"/>
    <w:rsid w:val="00310292"/>
    <w:rsid w:val="003102AF"/>
    <w:rsid w:val="0031031A"/>
    <w:rsid w:val="00310321"/>
    <w:rsid w:val="00310353"/>
    <w:rsid w:val="003103A9"/>
    <w:rsid w:val="00310517"/>
    <w:rsid w:val="00310551"/>
    <w:rsid w:val="0031055B"/>
    <w:rsid w:val="00310602"/>
    <w:rsid w:val="003106B9"/>
    <w:rsid w:val="003106DE"/>
    <w:rsid w:val="003106EE"/>
    <w:rsid w:val="00310708"/>
    <w:rsid w:val="00310750"/>
    <w:rsid w:val="003107B9"/>
    <w:rsid w:val="00310818"/>
    <w:rsid w:val="00310848"/>
    <w:rsid w:val="00310A54"/>
    <w:rsid w:val="00310ACF"/>
    <w:rsid w:val="00310B1E"/>
    <w:rsid w:val="00310BCF"/>
    <w:rsid w:val="00310C37"/>
    <w:rsid w:val="00310D2E"/>
    <w:rsid w:val="00310DBB"/>
    <w:rsid w:val="00310DEE"/>
    <w:rsid w:val="00310F07"/>
    <w:rsid w:val="00310F2C"/>
    <w:rsid w:val="00311114"/>
    <w:rsid w:val="003111AC"/>
    <w:rsid w:val="00311406"/>
    <w:rsid w:val="00311439"/>
    <w:rsid w:val="00311478"/>
    <w:rsid w:val="003114A8"/>
    <w:rsid w:val="00311549"/>
    <w:rsid w:val="003115AC"/>
    <w:rsid w:val="003115BF"/>
    <w:rsid w:val="00311603"/>
    <w:rsid w:val="00311646"/>
    <w:rsid w:val="0031166D"/>
    <w:rsid w:val="003117A2"/>
    <w:rsid w:val="00311803"/>
    <w:rsid w:val="0031180D"/>
    <w:rsid w:val="003118EE"/>
    <w:rsid w:val="003118F1"/>
    <w:rsid w:val="00311943"/>
    <w:rsid w:val="00311947"/>
    <w:rsid w:val="00311986"/>
    <w:rsid w:val="0031198E"/>
    <w:rsid w:val="00311AEF"/>
    <w:rsid w:val="00311BEB"/>
    <w:rsid w:val="00311BFC"/>
    <w:rsid w:val="00311CE8"/>
    <w:rsid w:val="00311D49"/>
    <w:rsid w:val="00311DCB"/>
    <w:rsid w:val="00311F66"/>
    <w:rsid w:val="00311F89"/>
    <w:rsid w:val="00312003"/>
    <w:rsid w:val="00312082"/>
    <w:rsid w:val="003122A8"/>
    <w:rsid w:val="00312388"/>
    <w:rsid w:val="003123C2"/>
    <w:rsid w:val="00312417"/>
    <w:rsid w:val="003124D5"/>
    <w:rsid w:val="00312516"/>
    <w:rsid w:val="0031258C"/>
    <w:rsid w:val="00312653"/>
    <w:rsid w:val="003126B5"/>
    <w:rsid w:val="003126B8"/>
    <w:rsid w:val="00312703"/>
    <w:rsid w:val="003127F7"/>
    <w:rsid w:val="00312862"/>
    <w:rsid w:val="0031286B"/>
    <w:rsid w:val="00312914"/>
    <w:rsid w:val="00312BDC"/>
    <w:rsid w:val="00312D9F"/>
    <w:rsid w:val="00312DB5"/>
    <w:rsid w:val="00312E08"/>
    <w:rsid w:val="00312E25"/>
    <w:rsid w:val="00312ED7"/>
    <w:rsid w:val="00312F2C"/>
    <w:rsid w:val="00312F61"/>
    <w:rsid w:val="00312F9F"/>
    <w:rsid w:val="00312FB4"/>
    <w:rsid w:val="0031300F"/>
    <w:rsid w:val="0031308C"/>
    <w:rsid w:val="00313149"/>
    <w:rsid w:val="003132E3"/>
    <w:rsid w:val="003133EA"/>
    <w:rsid w:val="00313469"/>
    <w:rsid w:val="00313498"/>
    <w:rsid w:val="003134A2"/>
    <w:rsid w:val="0031358D"/>
    <w:rsid w:val="003135E2"/>
    <w:rsid w:val="00313721"/>
    <w:rsid w:val="0031378F"/>
    <w:rsid w:val="003137F5"/>
    <w:rsid w:val="00313A1C"/>
    <w:rsid w:val="00313A1E"/>
    <w:rsid w:val="00313A30"/>
    <w:rsid w:val="00313B25"/>
    <w:rsid w:val="00313C78"/>
    <w:rsid w:val="00313D44"/>
    <w:rsid w:val="00313E94"/>
    <w:rsid w:val="00313EBA"/>
    <w:rsid w:val="00313EFD"/>
    <w:rsid w:val="00313F69"/>
    <w:rsid w:val="00313FA0"/>
    <w:rsid w:val="0031404F"/>
    <w:rsid w:val="003140B8"/>
    <w:rsid w:val="00314257"/>
    <w:rsid w:val="003142E9"/>
    <w:rsid w:val="0031437D"/>
    <w:rsid w:val="00314417"/>
    <w:rsid w:val="00314455"/>
    <w:rsid w:val="00314510"/>
    <w:rsid w:val="00314518"/>
    <w:rsid w:val="00314602"/>
    <w:rsid w:val="00314690"/>
    <w:rsid w:val="00314691"/>
    <w:rsid w:val="003146E4"/>
    <w:rsid w:val="00314720"/>
    <w:rsid w:val="0031478D"/>
    <w:rsid w:val="00314890"/>
    <w:rsid w:val="0031493A"/>
    <w:rsid w:val="0031495C"/>
    <w:rsid w:val="00314AA8"/>
    <w:rsid w:val="00314AB0"/>
    <w:rsid w:val="00314B04"/>
    <w:rsid w:val="00314F31"/>
    <w:rsid w:val="00314FB9"/>
    <w:rsid w:val="0031500E"/>
    <w:rsid w:val="00315171"/>
    <w:rsid w:val="003151D5"/>
    <w:rsid w:val="00315217"/>
    <w:rsid w:val="0031531E"/>
    <w:rsid w:val="00315382"/>
    <w:rsid w:val="0031540D"/>
    <w:rsid w:val="0031546B"/>
    <w:rsid w:val="0031567F"/>
    <w:rsid w:val="0031574B"/>
    <w:rsid w:val="003158B3"/>
    <w:rsid w:val="003158DE"/>
    <w:rsid w:val="003159B2"/>
    <w:rsid w:val="00315A03"/>
    <w:rsid w:val="00315A3D"/>
    <w:rsid w:val="00315B25"/>
    <w:rsid w:val="00315B2B"/>
    <w:rsid w:val="00315BEF"/>
    <w:rsid w:val="00315C2D"/>
    <w:rsid w:val="00315CC1"/>
    <w:rsid w:val="00315D36"/>
    <w:rsid w:val="00315DB3"/>
    <w:rsid w:val="00315E3B"/>
    <w:rsid w:val="00315EB5"/>
    <w:rsid w:val="00315ECB"/>
    <w:rsid w:val="00315F05"/>
    <w:rsid w:val="00315F1B"/>
    <w:rsid w:val="00315FD0"/>
    <w:rsid w:val="00316041"/>
    <w:rsid w:val="0031619F"/>
    <w:rsid w:val="0031620B"/>
    <w:rsid w:val="00316217"/>
    <w:rsid w:val="00316344"/>
    <w:rsid w:val="003163C9"/>
    <w:rsid w:val="00316519"/>
    <w:rsid w:val="00316542"/>
    <w:rsid w:val="0031658B"/>
    <w:rsid w:val="0031671D"/>
    <w:rsid w:val="0031675A"/>
    <w:rsid w:val="003167DB"/>
    <w:rsid w:val="00316808"/>
    <w:rsid w:val="0031689A"/>
    <w:rsid w:val="003168BF"/>
    <w:rsid w:val="00316922"/>
    <w:rsid w:val="003169F2"/>
    <w:rsid w:val="00316B05"/>
    <w:rsid w:val="00316B73"/>
    <w:rsid w:val="00316BB3"/>
    <w:rsid w:val="00316BDA"/>
    <w:rsid w:val="00316C4E"/>
    <w:rsid w:val="00316C76"/>
    <w:rsid w:val="00316CA9"/>
    <w:rsid w:val="00316D09"/>
    <w:rsid w:val="00316D54"/>
    <w:rsid w:val="00316DA3"/>
    <w:rsid w:val="003170C0"/>
    <w:rsid w:val="0031713A"/>
    <w:rsid w:val="00317212"/>
    <w:rsid w:val="0031728D"/>
    <w:rsid w:val="003172EB"/>
    <w:rsid w:val="0031741E"/>
    <w:rsid w:val="0031747D"/>
    <w:rsid w:val="0031754F"/>
    <w:rsid w:val="0031757C"/>
    <w:rsid w:val="003176A0"/>
    <w:rsid w:val="003176D7"/>
    <w:rsid w:val="00317836"/>
    <w:rsid w:val="00317888"/>
    <w:rsid w:val="00317915"/>
    <w:rsid w:val="0031792F"/>
    <w:rsid w:val="00317A3D"/>
    <w:rsid w:val="00317A61"/>
    <w:rsid w:val="00317A8C"/>
    <w:rsid w:val="00317AA9"/>
    <w:rsid w:val="00317BA7"/>
    <w:rsid w:val="00317CE0"/>
    <w:rsid w:val="00317D4B"/>
    <w:rsid w:val="00317F2F"/>
    <w:rsid w:val="0032000B"/>
    <w:rsid w:val="00320057"/>
    <w:rsid w:val="00320096"/>
    <w:rsid w:val="003200D5"/>
    <w:rsid w:val="00320119"/>
    <w:rsid w:val="00320249"/>
    <w:rsid w:val="00320481"/>
    <w:rsid w:val="003204B8"/>
    <w:rsid w:val="003204E9"/>
    <w:rsid w:val="0032057F"/>
    <w:rsid w:val="003205E7"/>
    <w:rsid w:val="00320656"/>
    <w:rsid w:val="003206A8"/>
    <w:rsid w:val="003207D1"/>
    <w:rsid w:val="00320848"/>
    <w:rsid w:val="00320892"/>
    <w:rsid w:val="00320922"/>
    <w:rsid w:val="00320ABD"/>
    <w:rsid w:val="00320B01"/>
    <w:rsid w:val="00320B1A"/>
    <w:rsid w:val="00320B41"/>
    <w:rsid w:val="00320BA6"/>
    <w:rsid w:val="00320C20"/>
    <w:rsid w:val="00320D90"/>
    <w:rsid w:val="00320E3C"/>
    <w:rsid w:val="00320E47"/>
    <w:rsid w:val="00320E9A"/>
    <w:rsid w:val="00320EB7"/>
    <w:rsid w:val="003210A6"/>
    <w:rsid w:val="003210C2"/>
    <w:rsid w:val="003210CA"/>
    <w:rsid w:val="00321190"/>
    <w:rsid w:val="003211B3"/>
    <w:rsid w:val="0032125C"/>
    <w:rsid w:val="003212F8"/>
    <w:rsid w:val="0032136D"/>
    <w:rsid w:val="00321401"/>
    <w:rsid w:val="003216B0"/>
    <w:rsid w:val="003216F6"/>
    <w:rsid w:val="0032171F"/>
    <w:rsid w:val="0032172E"/>
    <w:rsid w:val="003217BC"/>
    <w:rsid w:val="003219DC"/>
    <w:rsid w:val="00321A74"/>
    <w:rsid w:val="00321AA6"/>
    <w:rsid w:val="00321B5B"/>
    <w:rsid w:val="00321BC8"/>
    <w:rsid w:val="00321BFA"/>
    <w:rsid w:val="00321CB9"/>
    <w:rsid w:val="00321EA3"/>
    <w:rsid w:val="00321F15"/>
    <w:rsid w:val="00321FB6"/>
    <w:rsid w:val="00321FD6"/>
    <w:rsid w:val="00322046"/>
    <w:rsid w:val="00322061"/>
    <w:rsid w:val="00322215"/>
    <w:rsid w:val="0032223F"/>
    <w:rsid w:val="003223C3"/>
    <w:rsid w:val="00322564"/>
    <w:rsid w:val="003225C8"/>
    <w:rsid w:val="003225E8"/>
    <w:rsid w:val="00322608"/>
    <w:rsid w:val="00322612"/>
    <w:rsid w:val="00322615"/>
    <w:rsid w:val="00322618"/>
    <w:rsid w:val="003226AD"/>
    <w:rsid w:val="0032273E"/>
    <w:rsid w:val="00322772"/>
    <w:rsid w:val="003229C8"/>
    <w:rsid w:val="00322A10"/>
    <w:rsid w:val="00322A41"/>
    <w:rsid w:val="00322B51"/>
    <w:rsid w:val="00322BD1"/>
    <w:rsid w:val="00322BE4"/>
    <w:rsid w:val="00322C1C"/>
    <w:rsid w:val="00322C8B"/>
    <w:rsid w:val="00322CF9"/>
    <w:rsid w:val="00322D05"/>
    <w:rsid w:val="00322D90"/>
    <w:rsid w:val="00322DBE"/>
    <w:rsid w:val="00322F4F"/>
    <w:rsid w:val="00323043"/>
    <w:rsid w:val="003231C2"/>
    <w:rsid w:val="00323220"/>
    <w:rsid w:val="003232C6"/>
    <w:rsid w:val="0032333F"/>
    <w:rsid w:val="003233CF"/>
    <w:rsid w:val="00323499"/>
    <w:rsid w:val="003235A7"/>
    <w:rsid w:val="003235B8"/>
    <w:rsid w:val="00323733"/>
    <w:rsid w:val="0032378A"/>
    <w:rsid w:val="003237A0"/>
    <w:rsid w:val="00323946"/>
    <w:rsid w:val="003239E1"/>
    <w:rsid w:val="00323B97"/>
    <w:rsid w:val="00323C05"/>
    <w:rsid w:val="00323CB7"/>
    <w:rsid w:val="00323D59"/>
    <w:rsid w:val="00323E16"/>
    <w:rsid w:val="00323E1E"/>
    <w:rsid w:val="00324041"/>
    <w:rsid w:val="00324097"/>
    <w:rsid w:val="003240ED"/>
    <w:rsid w:val="003240F3"/>
    <w:rsid w:val="003241E5"/>
    <w:rsid w:val="003241E6"/>
    <w:rsid w:val="00324309"/>
    <w:rsid w:val="003243F3"/>
    <w:rsid w:val="00324406"/>
    <w:rsid w:val="00324440"/>
    <w:rsid w:val="00324489"/>
    <w:rsid w:val="00324577"/>
    <w:rsid w:val="00324643"/>
    <w:rsid w:val="00324651"/>
    <w:rsid w:val="003247C4"/>
    <w:rsid w:val="00324818"/>
    <w:rsid w:val="0032482D"/>
    <w:rsid w:val="00324932"/>
    <w:rsid w:val="00324AB0"/>
    <w:rsid w:val="00324AFA"/>
    <w:rsid w:val="00324B5B"/>
    <w:rsid w:val="00324BBE"/>
    <w:rsid w:val="00324C3E"/>
    <w:rsid w:val="00324CA3"/>
    <w:rsid w:val="00324E21"/>
    <w:rsid w:val="00324F0F"/>
    <w:rsid w:val="00324F3D"/>
    <w:rsid w:val="00324F82"/>
    <w:rsid w:val="00325008"/>
    <w:rsid w:val="00325229"/>
    <w:rsid w:val="003252F3"/>
    <w:rsid w:val="003253D2"/>
    <w:rsid w:val="003253E0"/>
    <w:rsid w:val="00325594"/>
    <w:rsid w:val="003255CC"/>
    <w:rsid w:val="003256A7"/>
    <w:rsid w:val="00325701"/>
    <w:rsid w:val="003258C6"/>
    <w:rsid w:val="003258D5"/>
    <w:rsid w:val="003258DB"/>
    <w:rsid w:val="003258EC"/>
    <w:rsid w:val="00325AD8"/>
    <w:rsid w:val="00325B5E"/>
    <w:rsid w:val="00325BBB"/>
    <w:rsid w:val="00325C02"/>
    <w:rsid w:val="00325C89"/>
    <w:rsid w:val="00325D2C"/>
    <w:rsid w:val="00325D37"/>
    <w:rsid w:val="00325DA6"/>
    <w:rsid w:val="00325DDF"/>
    <w:rsid w:val="00325E2A"/>
    <w:rsid w:val="00325EFE"/>
    <w:rsid w:val="00326252"/>
    <w:rsid w:val="003262A6"/>
    <w:rsid w:val="003262C6"/>
    <w:rsid w:val="00326420"/>
    <w:rsid w:val="0032643B"/>
    <w:rsid w:val="0032649A"/>
    <w:rsid w:val="003264B9"/>
    <w:rsid w:val="00326541"/>
    <w:rsid w:val="00326673"/>
    <w:rsid w:val="003266B9"/>
    <w:rsid w:val="00326714"/>
    <w:rsid w:val="00326748"/>
    <w:rsid w:val="0032683D"/>
    <w:rsid w:val="0032699E"/>
    <w:rsid w:val="003269AF"/>
    <w:rsid w:val="003269F8"/>
    <w:rsid w:val="00326A0E"/>
    <w:rsid w:val="00326A44"/>
    <w:rsid w:val="00326BE1"/>
    <w:rsid w:val="00326C07"/>
    <w:rsid w:val="00326D4B"/>
    <w:rsid w:val="00326D92"/>
    <w:rsid w:val="00326E1C"/>
    <w:rsid w:val="00326E3F"/>
    <w:rsid w:val="00326E65"/>
    <w:rsid w:val="00326ECA"/>
    <w:rsid w:val="00327038"/>
    <w:rsid w:val="00327204"/>
    <w:rsid w:val="00327330"/>
    <w:rsid w:val="00327340"/>
    <w:rsid w:val="00327347"/>
    <w:rsid w:val="00327353"/>
    <w:rsid w:val="003273EC"/>
    <w:rsid w:val="003274A6"/>
    <w:rsid w:val="003274EF"/>
    <w:rsid w:val="0032758C"/>
    <w:rsid w:val="0032758F"/>
    <w:rsid w:val="00327631"/>
    <w:rsid w:val="00327651"/>
    <w:rsid w:val="0032767F"/>
    <w:rsid w:val="0032769D"/>
    <w:rsid w:val="00327741"/>
    <w:rsid w:val="003277D4"/>
    <w:rsid w:val="0032784E"/>
    <w:rsid w:val="00327860"/>
    <w:rsid w:val="0032786D"/>
    <w:rsid w:val="003279DB"/>
    <w:rsid w:val="00327A03"/>
    <w:rsid w:val="00327A3B"/>
    <w:rsid w:val="00327A9E"/>
    <w:rsid w:val="00327DB6"/>
    <w:rsid w:val="00327E7C"/>
    <w:rsid w:val="00327ECA"/>
    <w:rsid w:val="00330025"/>
    <w:rsid w:val="00330135"/>
    <w:rsid w:val="00330239"/>
    <w:rsid w:val="00330272"/>
    <w:rsid w:val="0033031A"/>
    <w:rsid w:val="00330421"/>
    <w:rsid w:val="00330424"/>
    <w:rsid w:val="003304FC"/>
    <w:rsid w:val="0033068A"/>
    <w:rsid w:val="00330786"/>
    <w:rsid w:val="003307AE"/>
    <w:rsid w:val="0033083C"/>
    <w:rsid w:val="003308B6"/>
    <w:rsid w:val="003308DE"/>
    <w:rsid w:val="00330978"/>
    <w:rsid w:val="00330A12"/>
    <w:rsid w:val="00330A96"/>
    <w:rsid w:val="00330B09"/>
    <w:rsid w:val="00330C00"/>
    <w:rsid w:val="00330C27"/>
    <w:rsid w:val="00330C5A"/>
    <w:rsid w:val="00330D0B"/>
    <w:rsid w:val="00330DA0"/>
    <w:rsid w:val="00330E24"/>
    <w:rsid w:val="00330EC3"/>
    <w:rsid w:val="00330F8D"/>
    <w:rsid w:val="003310CE"/>
    <w:rsid w:val="003310E3"/>
    <w:rsid w:val="003310E5"/>
    <w:rsid w:val="003310E9"/>
    <w:rsid w:val="003310FB"/>
    <w:rsid w:val="0033119E"/>
    <w:rsid w:val="00331352"/>
    <w:rsid w:val="00331444"/>
    <w:rsid w:val="0033156C"/>
    <w:rsid w:val="00331616"/>
    <w:rsid w:val="00331641"/>
    <w:rsid w:val="003318EA"/>
    <w:rsid w:val="0033190F"/>
    <w:rsid w:val="00331B66"/>
    <w:rsid w:val="00331BC9"/>
    <w:rsid w:val="00331BD7"/>
    <w:rsid w:val="00331C1C"/>
    <w:rsid w:val="00331D37"/>
    <w:rsid w:val="00331D6D"/>
    <w:rsid w:val="00331D87"/>
    <w:rsid w:val="00331DB9"/>
    <w:rsid w:val="00331E16"/>
    <w:rsid w:val="00331E79"/>
    <w:rsid w:val="00331EE4"/>
    <w:rsid w:val="00331FB2"/>
    <w:rsid w:val="00332003"/>
    <w:rsid w:val="00332006"/>
    <w:rsid w:val="00332015"/>
    <w:rsid w:val="00332026"/>
    <w:rsid w:val="00332123"/>
    <w:rsid w:val="00332220"/>
    <w:rsid w:val="003322FC"/>
    <w:rsid w:val="00332416"/>
    <w:rsid w:val="0033247D"/>
    <w:rsid w:val="0033247F"/>
    <w:rsid w:val="00332538"/>
    <w:rsid w:val="0033254B"/>
    <w:rsid w:val="003325CF"/>
    <w:rsid w:val="0033265C"/>
    <w:rsid w:val="0033278A"/>
    <w:rsid w:val="003327D0"/>
    <w:rsid w:val="003327DB"/>
    <w:rsid w:val="0033281F"/>
    <w:rsid w:val="003329FE"/>
    <w:rsid w:val="00332A30"/>
    <w:rsid w:val="00332A84"/>
    <w:rsid w:val="00332B4A"/>
    <w:rsid w:val="00332B9E"/>
    <w:rsid w:val="00332CFA"/>
    <w:rsid w:val="00332D2D"/>
    <w:rsid w:val="00332D35"/>
    <w:rsid w:val="00332E15"/>
    <w:rsid w:val="00332E46"/>
    <w:rsid w:val="00332EC3"/>
    <w:rsid w:val="00332F67"/>
    <w:rsid w:val="00332FA2"/>
    <w:rsid w:val="00332FE4"/>
    <w:rsid w:val="0033334C"/>
    <w:rsid w:val="00333467"/>
    <w:rsid w:val="00333542"/>
    <w:rsid w:val="00333623"/>
    <w:rsid w:val="0033365E"/>
    <w:rsid w:val="003336F0"/>
    <w:rsid w:val="00333760"/>
    <w:rsid w:val="0033378E"/>
    <w:rsid w:val="00333872"/>
    <w:rsid w:val="003338AE"/>
    <w:rsid w:val="00333909"/>
    <w:rsid w:val="00333923"/>
    <w:rsid w:val="00333987"/>
    <w:rsid w:val="00333BCC"/>
    <w:rsid w:val="00333C57"/>
    <w:rsid w:val="00333C78"/>
    <w:rsid w:val="00333D84"/>
    <w:rsid w:val="00333EFD"/>
    <w:rsid w:val="003340AE"/>
    <w:rsid w:val="003341BD"/>
    <w:rsid w:val="00334208"/>
    <w:rsid w:val="00334297"/>
    <w:rsid w:val="00334389"/>
    <w:rsid w:val="00334432"/>
    <w:rsid w:val="00334439"/>
    <w:rsid w:val="0033457F"/>
    <w:rsid w:val="003345B7"/>
    <w:rsid w:val="003345FB"/>
    <w:rsid w:val="00334693"/>
    <w:rsid w:val="003346C0"/>
    <w:rsid w:val="00334723"/>
    <w:rsid w:val="0033478D"/>
    <w:rsid w:val="003348E5"/>
    <w:rsid w:val="003348FA"/>
    <w:rsid w:val="0033499A"/>
    <w:rsid w:val="00334A6E"/>
    <w:rsid w:val="00334AAD"/>
    <w:rsid w:val="00334B43"/>
    <w:rsid w:val="00334C08"/>
    <w:rsid w:val="00334C18"/>
    <w:rsid w:val="00334C4E"/>
    <w:rsid w:val="00334DC7"/>
    <w:rsid w:val="00334DDE"/>
    <w:rsid w:val="00334E17"/>
    <w:rsid w:val="00334E21"/>
    <w:rsid w:val="00334E27"/>
    <w:rsid w:val="00334E41"/>
    <w:rsid w:val="00334FEA"/>
    <w:rsid w:val="00335074"/>
    <w:rsid w:val="00335205"/>
    <w:rsid w:val="003354CE"/>
    <w:rsid w:val="0033561A"/>
    <w:rsid w:val="00335A87"/>
    <w:rsid w:val="00335AAA"/>
    <w:rsid w:val="00335BCE"/>
    <w:rsid w:val="00335BEF"/>
    <w:rsid w:val="00335BF1"/>
    <w:rsid w:val="00335CCC"/>
    <w:rsid w:val="00335D21"/>
    <w:rsid w:val="00335E17"/>
    <w:rsid w:val="00335E71"/>
    <w:rsid w:val="00335ED6"/>
    <w:rsid w:val="00335EED"/>
    <w:rsid w:val="00335F29"/>
    <w:rsid w:val="00335FBB"/>
    <w:rsid w:val="00336095"/>
    <w:rsid w:val="00336193"/>
    <w:rsid w:val="00336253"/>
    <w:rsid w:val="00336284"/>
    <w:rsid w:val="0033636C"/>
    <w:rsid w:val="003363F5"/>
    <w:rsid w:val="00336444"/>
    <w:rsid w:val="00336462"/>
    <w:rsid w:val="003364AA"/>
    <w:rsid w:val="003364C8"/>
    <w:rsid w:val="00336652"/>
    <w:rsid w:val="00336687"/>
    <w:rsid w:val="00336701"/>
    <w:rsid w:val="003368ED"/>
    <w:rsid w:val="00336A9B"/>
    <w:rsid w:val="00336BF2"/>
    <w:rsid w:val="00336C2A"/>
    <w:rsid w:val="00336D0E"/>
    <w:rsid w:val="00336D46"/>
    <w:rsid w:val="00336DCA"/>
    <w:rsid w:val="00336EDB"/>
    <w:rsid w:val="00336F7F"/>
    <w:rsid w:val="00336F9E"/>
    <w:rsid w:val="00336FB3"/>
    <w:rsid w:val="00337184"/>
    <w:rsid w:val="0033718E"/>
    <w:rsid w:val="0033757C"/>
    <w:rsid w:val="00337639"/>
    <w:rsid w:val="003376FE"/>
    <w:rsid w:val="00337750"/>
    <w:rsid w:val="0033788F"/>
    <w:rsid w:val="003378BF"/>
    <w:rsid w:val="00337917"/>
    <w:rsid w:val="0033795C"/>
    <w:rsid w:val="00337988"/>
    <w:rsid w:val="00337A17"/>
    <w:rsid w:val="00337A80"/>
    <w:rsid w:val="00337B64"/>
    <w:rsid w:val="00337D17"/>
    <w:rsid w:val="00337D71"/>
    <w:rsid w:val="00337D80"/>
    <w:rsid w:val="00337F2D"/>
    <w:rsid w:val="00337FA2"/>
    <w:rsid w:val="00337FE8"/>
    <w:rsid w:val="0034004E"/>
    <w:rsid w:val="003400FA"/>
    <w:rsid w:val="00340109"/>
    <w:rsid w:val="00340155"/>
    <w:rsid w:val="00340207"/>
    <w:rsid w:val="00340354"/>
    <w:rsid w:val="003403B5"/>
    <w:rsid w:val="00340473"/>
    <w:rsid w:val="003404E2"/>
    <w:rsid w:val="003404F4"/>
    <w:rsid w:val="00340540"/>
    <w:rsid w:val="0034057A"/>
    <w:rsid w:val="00340604"/>
    <w:rsid w:val="00340605"/>
    <w:rsid w:val="0034064D"/>
    <w:rsid w:val="003406C5"/>
    <w:rsid w:val="00340734"/>
    <w:rsid w:val="0034076E"/>
    <w:rsid w:val="0034080A"/>
    <w:rsid w:val="00340853"/>
    <w:rsid w:val="003408F1"/>
    <w:rsid w:val="0034093E"/>
    <w:rsid w:val="00340B54"/>
    <w:rsid w:val="00340CF6"/>
    <w:rsid w:val="00340D7B"/>
    <w:rsid w:val="00340DD7"/>
    <w:rsid w:val="00340EDB"/>
    <w:rsid w:val="00340EE5"/>
    <w:rsid w:val="00340F21"/>
    <w:rsid w:val="00341061"/>
    <w:rsid w:val="00341278"/>
    <w:rsid w:val="003412B4"/>
    <w:rsid w:val="003412C4"/>
    <w:rsid w:val="003412E6"/>
    <w:rsid w:val="003412E8"/>
    <w:rsid w:val="003413A2"/>
    <w:rsid w:val="0034141D"/>
    <w:rsid w:val="0034154B"/>
    <w:rsid w:val="00341550"/>
    <w:rsid w:val="003416DA"/>
    <w:rsid w:val="00341731"/>
    <w:rsid w:val="0034174F"/>
    <w:rsid w:val="003417DA"/>
    <w:rsid w:val="0034180C"/>
    <w:rsid w:val="00341859"/>
    <w:rsid w:val="00341888"/>
    <w:rsid w:val="00341889"/>
    <w:rsid w:val="003418FC"/>
    <w:rsid w:val="0034193D"/>
    <w:rsid w:val="00341AAF"/>
    <w:rsid w:val="00341C1C"/>
    <w:rsid w:val="00341C42"/>
    <w:rsid w:val="00341C67"/>
    <w:rsid w:val="00341D33"/>
    <w:rsid w:val="00341DB6"/>
    <w:rsid w:val="00341DDD"/>
    <w:rsid w:val="00341DEB"/>
    <w:rsid w:val="00341E22"/>
    <w:rsid w:val="00341ED1"/>
    <w:rsid w:val="00341EDE"/>
    <w:rsid w:val="00341F5C"/>
    <w:rsid w:val="00341F6B"/>
    <w:rsid w:val="0034201F"/>
    <w:rsid w:val="00342046"/>
    <w:rsid w:val="00342148"/>
    <w:rsid w:val="003421F7"/>
    <w:rsid w:val="00342220"/>
    <w:rsid w:val="00342226"/>
    <w:rsid w:val="0034227D"/>
    <w:rsid w:val="003422FB"/>
    <w:rsid w:val="00342325"/>
    <w:rsid w:val="00342364"/>
    <w:rsid w:val="00342392"/>
    <w:rsid w:val="00342488"/>
    <w:rsid w:val="00342508"/>
    <w:rsid w:val="003425AA"/>
    <w:rsid w:val="0034266C"/>
    <w:rsid w:val="00342722"/>
    <w:rsid w:val="00342811"/>
    <w:rsid w:val="00342865"/>
    <w:rsid w:val="003429BD"/>
    <w:rsid w:val="00342A12"/>
    <w:rsid w:val="00342A51"/>
    <w:rsid w:val="00342B35"/>
    <w:rsid w:val="00342B7D"/>
    <w:rsid w:val="00342B90"/>
    <w:rsid w:val="00342BE2"/>
    <w:rsid w:val="00342CAD"/>
    <w:rsid w:val="00342D5E"/>
    <w:rsid w:val="00342F67"/>
    <w:rsid w:val="00342F98"/>
    <w:rsid w:val="00342FFD"/>
    <w:rsid w:val="00343000"/>
    <w:rsid w:val="00343258"/>
    <w:rsid w:val="003432A6"/>
    <w:rsid w:val="00343385"/>
    <w:rsid w:val="003433BA"/>
    <w:rsid w:val="00343465"/>
    <w:rsid w:val="0034348B"/>
    <w:rsid w:val="003436D3"/>
    <w:rsid w:val="00343770"/>
    <w:rsid w:val="00343781"/>
    <w:rsid w:val="00343802"/>
    <w:rsid w:val="003438B6"/>
    <w:rsid w:val="003438EF"/>
    <w:rsid w:val="00343A56"/>
    <w:rsid w:val="00343A92"/>
    <w:rsid w:val="00343A9F"/>
    <w:rsid w:val="00343AE3"/>
    <w:rsid w:val="00343BB0"/>
    <w:rsid w:val="00343C65"/>
    <w:rsid w:val="00343CBD"/>
    <w:rsid w:val="00343F1B"/>
    <w:rsid w:val="00343FE9"/>
    <w:rsid w:val="00344008"/>
    <w:rsid w:val="00344235"/>
    <w:rsid w:val="003442D1"/>
    <w:rsid w:val="00344351"/>
    <w:rsid w:val="0034436C"/>
    <w:rsid w:val="0034438A"/>
    <w:rsid w:val="00344390"/>
    <w:rsid w:val="003443F5"/>
    <w:rsid w:val="0034441D"/>
    <w:rsid w:val="00344436"/>
    <w:rsid w:val="00344488"/>
    <w:rsid w:val="0034448B"/>
    <w:rsid w:val="00344698"/>
    <w:rsid w:val="0034472A"/>
    <w:rsid w:val="00344740"/>
    <w:rsid w:val="003447C2"/>
    <w:rsid w:val="003447CC"/>
    <w:rsid w:val="0034499A"/>
    <w:rsid w:val="003449A5"/>
    <w:rsid w:val="00344A2A"/>
    <w:rsid w:val="00344AB4"/>
    <w:rsid w:val="00344B38"/>
    <w:rsid w:val="00344B70"/>
    <w:rsid w:val="00344BA0"/>
    <w:rsid w:val="00344C2C"/>
    <w:rsid w:val="00344C53"/>
    <w:rsid w:val="00344C5B"/>
    <w:rsid w:val="00344C7D"/>
    <w:rsid w:val="00344D31"/>
    <w:rsid w:val="00344D87"/>
    <w:rsid w:val="00344DB1"/>
    <w:rsid w:val="00344E0E"/>
    <w:rsid w:val="00344F36"/>
    <w:rsid w:val="00344FEF"/>
    <w:rsid w:val="0034506A"/>
    <w:rsid w:val="00345077"/>
    <w:rsid w:val="003450F9"/>
    <w:rsid w:val="003451C9"/>
    <w:rsid w:val="003452BC"/>
    <w:rsid w:val="003452D5"/>
    <w:rsid w:val="003452E1"/>
    <w:rsid w:val="0034553F"/>
    <w:rsid w:val="00345553"/>
    <w:rsid w:val="003455C1"/>
    <w:rsid w:val="00345604"/>
    <w:rsid w:val="003456BC"/>
    <w:rsid w:val="00345737"/>
    <w:rsid w:val="003457E0"/>
    <w:rsid w:val="00345865"/>
    <w:rsid w:val="0034587A"/>
    <w:rsid w:val="0034587D"/>
    <w:rsid w:val="00345961"/>
    <w:rsid w:val="00345A06"/>
    <w:rsid w:val="00345AAC"/>
    <w:rsid w:val="00345BBD"/>
    <w:rsid w:val="00345C3F"/>
    <w:rsid w:val="00345CB0"/>
    <w:rsid w:val="00345CC5"/>
    <w:rsid w:val="00345D68"/>
    <w:rsid w:val="00345E10"/>
    <w:rsid w:val="00345EEF"/>
    <w:rsid w:val="00345F2A"/>
    <w:rsid w:val="00345FCF"/>
    <w:rsid w:val="003460B6"/>
    <w:rsid w:val="003460F7"/>
    <w:rsid w:val="003460FC"/>
    <w:rsid w:val="0034610E"/>
    <w:rsid w:val="003462CE"/>
    <w:rsid w:val="0034643F"/>
    <w:rsid w:val="00346446"/>
    <w:rsid w:val="0034644A"/>
    <w:rsid w:val="00346643"/>
    <w:rsid w:val="0034665E"/>
    <w:rsid w:val="003466E6"/>
    <w:rsid w:val="00346796"/>
    <w:rsid w:val="003468D5"/>
    <w:rsid w:val="00346929"/>
    <w:rsid w:val="00346985"/>
    <w:rsid w:val="003469C7"/>
    <w:rsid w:val="00346A18"/>
    <w:rsid w:val="00346B3E"/>
    <w:rsid w:val="00346B9C"/>
    <w:rsid w:val="00346C8A"/>
    <w:rsid w:val="00346C91"/>
    <w:rsid w:val="00346D0B"/>
    <w:rsid w:val="00346DC0"/>
    <w:rsid w:val="00346F51"/>
    <w:rsid w:val="003470CA"/>
    <w:rsid w:val="003471B2"/>
    <w:rsid w:val="00347294"/>
    <w:rsid w:val="0034729C"/>
    <w:rsid w:val="003472C2"/>
    <w:rsid w:val="0034733D"/>
    <w:rsid w:val="00347412"/>
    <w:rsid w:val="003475E0"/>
    <w:rsid w:val="003476CC"/>
    <w:rsid w:val="003476F7"/>
    <w:rsid w:val="0034778F"/>
    <w:rsid w:val="00347B4D"/>
    <w:rsid w:val="00347D16"/>
    <w:rsid w:val="00347D50"/>
    <w:rsid w:val="00347E11"/>
    <w:rsid w:val="00347EFE"/>
    <w:rsid w:val="00347F5C"/>
    <w:rsid w:val="00347F6F"/>
    <w:rsid w:val="0035007A"/>
    <w:rsid w:val="003500FE"/>
    <w:rsid w:val="003501C6"/>
    <w:rsid w:val="00350236"/>
    <w:rsid w:val="00350309"/>
    <w:rsid w:val="003503FA"/>
    <w:rsid w:val="00350423"/>
    <w:rsid w:val="0035043D"/>
    <w:rsid w:val="0035044B"/>
    <w:rsid w:val="003504EF"/>
    <w:rsid w:val="00350694"/>
    <w:rsid w:val="003506CB"/>
    <w:rsid w:val="00350787"/>
    <w:rsid w:val="003507A0"/>
    <w:rsid w:val="0035080C"/>
    <w:rsid w:val="00350948"/>
    <w:rsid w:val="003509C7"/>
    <w:rsid w:val="00350A42"/>
    <w:rsid w:val="00350A65"/>
    <w:rsid w:val="00350C67"/>
    <w:rsid w:val="00350DDD"/>
    <w:rsid w:val="00350E4F"/>
    <w:rsid w:val="00350E64"/>
    <w:rsid w:val="00350EE2"/>
    <w:rsid w:val="00350F3A"/>
    <w:rsid w:val="00350FAB"/>
    <w:rsid w:val="00350FEE"/>
    <w:rsid w:val="0035103E"/>
    <w:rsid w:val="003511D7"/>
    <w:rsid w:val="00351217"/>
    <w:rsid w:val="00351247"/>
    <w:rsid w:val="00351256"/>
    <w:rsid w:val="00351290"/>
    <w:rsid w:val="00351301"/>
    <w:rsid w:val="00351337"/>
    <w:rsid w:val="00351475"/>
    <w:rsid w:val="0035149B"/>
    <w:rsid w:val="003514DD"/>
    <w:rsid w:val="00351583"/>
    <w:rsid w:val="003515D3"/>
    <w:rsid w:val="003516FE"/>
    <w:rsid w:val="0035170D"/>
    <w:rsid w:val="0035173C"/>
    <w:rsid w:val="00351754"/>
    <w:rsid w:val="00351781"/>
    <w:rsid w:val="003518F4"/>
    <w:rsid w:val="00351973"/>
    <w:rsid w:val="00351A00"/>
    <w:rsid w:val="00351A24"/>
    <w:rsid w:val="00351A7C"/>
    <w:rsid w:val="00351E93"/>
    <w:rsid w:val="00352003"/>
    <w:rsid w:val="0035213F"/>
    <w:rsid w:val="003521DA"/>
    <w:rsid w:val="0035223D"/>
    <w:rsid w:val="0035238A"/>
    <w:rsid w:val="003524CD"/>
    <w:rsid w:val="00352569"/>
    <w:rsid w:val="003526CA"/>
    <w:rsid w:val="003526D4"/>
    <w:rsid w:val="0035270A"/>
    <w:rsid w:val="0035273B"/>
    <w:rsid w:val="003527CD"/>
    <w:rsid w:val="00352990"/>
    <w:rsid w:val="0035299E"/>
    <w:rsid w:val="00352BB5"/>
    <w:rsid w:val="00352D06"/>
    <w:rsid w:val="00352D4E"/>
    <w:rsid w:val="00352E7F"/>
    <w:rsid w:val="00352ECA"/>
    <w:rsid w:val="00352FDC"/>
    <w:rsid w:val="00353186"/>
    <w:rsid w:val="003531AC"/>
    <w:rsid w:val="003531BA"/>
    <w:rsid w:val="00353203"/>
    <w:rsid w:val="003533E5"/>
    <w:rsid w:val="003533FB"/>
    <w:rsid w:val="00353401"/>
    <w:rsid w:val="003534D2"/>
    <w:rsid w:val="0035354F"/>
    <w:rsid w:val="00353570"/>
    <w:rsid w:val="00353655"/>
    <w:rsid w:val="003536A9"/>
    <w:rsid w:val="0035380B"/>
    <w:rsid w:val="003539A2"/>
    <w:rsid w:val="003539CC"/>
    <w:rsid w:val="00353A96"/>
    <w:rsid w:val="00353AB4"/>
    <w:rsid w:val="00353B1B"/>
    <w:rsid w:val="00353BA0"/>
    <w:rsid w:val="00353C0F"/>
    <w:rsid w:val="00353C37"/>
    <w:rsid w:val="00353C65"/>
    <w:rsid w:val="00353CC4"/>
    <w:rsid w:val="00353D07"/>
    <w:rsid w:val="00353D26"/>
    <w:rsid w:val="00353D87"/>
    <w:rsid w:val="00353DC3"/>
    <w:rsid w:val="00353E1A"/>
    <w:rsid w:val="00353EFA"/>
    <w:rsid w:val="00353F5E"/>
    <w:rsid w:val="00354059"/>
    <w:rsid w:val="0035406B"/>
    <w:rsid w:val="00354124"/>
    <w:rsid w:val="003541D9"/>
    <w:rsid w:val="00354217"/>
    <w:rsid w:val="003546DC"/>
    <w:rsid w:val="0035473A"/>
    <w:rsid w:val="003547B5"/>
    <w:rsid w:val="003548EE"/>
    <w:rsid w:val="003548FA"/>
    <w:rsid w:val="00354965"/>
    <w:rsid w:val="003549E6"/>
    <w:rsid w:val="003549EC"/>
    <w:rsid w:val="00354A44"/>
    <w:rsid w:val="00354A6D"/>
    <w:rsid w:val="00354A7F"/>
    <w:rsid w:val="00354A85"/>
    <w:rsid w:val="00354A94"/>
    <w:rsid w:val="00354AB5"/>
    <w:rsid w:val="00354AE8"/>
    <w:rsid w:val="00354B69"/>
    <w:rsid w:val="00354CC0"/>
    <w:rsid w:val="00354D13"/>
    <w:rsid w:val="00354D94"/>
    <w:rsid w:val="00354EBF"/>
    <w:rsid w:val="00355077"/>
    <w:rsid w:val="0035524F"/>
    <w:rsid w:val="003554BE"/>
    <w:rsid w:val="003554C2"/>
    <w:rsid w:val="0035551A"/>
    <w:rsid w:val="00355616"/>
    <w:rsid w:val="00355673"/>
    <w:rsid w:val="00355746"/>
    <w:rsid w:val="00355833"/>
    <w:rsid w:val="00355896"/>
    <w:rsid w:val="00355898"/>
    <w:rsid w:val="00355A5E"/>
    <w:rsid w:val="00355A6A"/>
    <w:rsid w:val="00355B11"/>
    <w:rsid w:val="00355B47"/>
    <w:rsid w:val="00355BBA"/>
    <w:rsid w:val="00355BD7"/>
    <w:rsid w:val="00355C36"/>
    <w:rsid w:val="00355DF8"/>
    <w:rsid w:val="00355E99"/>
    <w:rsid w:val="00355FD6"/>
    <w:rsid w:val="00356036"/>
    <w:rsid w:val="00356195"/>
    <w:rsid w:val="0035625A"/>
    <w:rsid w:val="00356283"/>
    <w:rsid w:val="003562A5"/>
    <w:rsid w:val="003562CF"/>
    <w:rsid w:val="00356302"/>
    <w:rsid w:val="00356373"/>
    <w:rsid w:val="003563C3"/>
    <w:rsid w:val="003564CB"/>
    <w:rsid w:val="003564FA"/>
    <w:rsid w:val="003565CB"/>
    <w:rsid w:val="003565DD"/>
    <w:rsid w:val="003567A6"/>
    <w:rsid w:val="00356894"/>
    <w:rsid w:val="0035694E"/>
    <w:rsid w:val="00356980"/>
    <w:rsid w:val="003569AA"/>
    <w:rsid w:val="00356A09"/>
    <w:rsid w:val="00356A13"/>
    <w:rsid w:val="00356A1A"/>
    <w:rsid w:val="00356B85"/>
    <w:rsid w:val="00356B97"/>
    <w:rsid w:val="00356B99"/>
    <w:rsid w:val="00356BA9"/>
    <w:rsid w:val="00356C92"/>
    <w:rsid w:val="00356DD5"/>
    <w:rsid w:val="00356FBE"/>
    <w:rsid w:val="0035713C"/>
    <w:rsid w:val="003571C7"/>
    <w:rsid w:val="003574DB"/>
    <w:rsid w:val="00357874"/>
    <w:rsid w:val="003578FC"/>
    <w:rsid w:val="0035793D"/>
    <w:rsid w:val="00357976"/>
    <w:rsid w:val="003579B9"/>
    <w:rsid w:val="003579ED"/>
    <w:rsid w:val="00357A86"/>
    <w:rsid w:val="00357AF7"/>
    <w:rsid w:val="00357B50"/>
    <w:rsid w:val="00357B6D"/>
    <w:rsid w:val="00357BA1"/>
    <w:rsid w:val="00357BCB"/>
    <w:rsid w:val="00357D83"/>
    <w:rsid w:val="00357F68"/>
    <w:rsid w:val="00360063"/>
    <w:rsid w:val="00360071"/>
    <w:rsid w:val="00360079"/>
    <w:rsid w:val="00360108"/>
    <w:rsid w:val="0036010E"/>
    <w:rsid w:val="003601D1"/>
    <w:rsid w:val="00360284"/>
    <w:rsid w:val="003603C8"/>
    <w:rsid w:val="00360467"/>
    <w:rsid w:val="00360498"/>
    <w:rsid w:val="00360509"/>
    <w:rsid w:val="00360537"/>
    <w:rsid w:val="003605D7"/>
    <w:rsid w:val="003606D7"/>
    <w:rsid w:val="00360709"/>
    <w:rsid w:val="0036075B"/>
    <w:rsid w:val="0036082D"/>
    <w:rsid w:val="00360839"/>
    <w:rsid w:val="00360959"/>
    <w:rsid w:val="00360A3E"/>
    <w:rsid w:val="00360A62"/>
    <w:rsid w:val="00360B99"/>
    <w:rsid w:val="00360BAF"/>
    <w:rsid w:val="00360BD7"/>
    <w:rsid w:val="00360C46"/>
    <w:rsid w:val="00360CBD"/>
    <w:rsid w:val="00360D65"/>
    <w:rsid w:val="00360EDD"/>
    <w:rsid w:val="00360FCE"/>
    <w:rsid w:val="003610A2"/>
    <w:rsid w:val="003610C0"/>
    <w:rsid w:val="00361140"/>
    <w:rsid w:val="0036114A"/>
    <w:rsid w:val="00361289"/>
    <w:rsid w:val="00361351"/>
    <w:rsid w:val="00361355"/>
    <w:rsid w:val="00361446"/>
    <w:rsid w:val="003614B1"/>
    <w:rsid w:val="00361636"/>
    <w:rsid w:val="00361639"/>
    <w:rsid w:val="00361647"/>
    <w:rsid w:val="0036166E"/>
    <w:rsid w:val="00361895"/>
    <w:rsid w:val="00361A7F"/>
    <w:rsid w:val="00361AAA"/>
    <w:rsid w:val="00361B66"/>
    <w:rsid w:val="00361BAA"/>
    <w:rsid w:val="00361BC6"/>
    <w:rsid w:val="00361BDD"/>
    <w:rsid w:val="00361D7A"/>
    <w:rsid w:val="00361D8B"/>
    <w:rsid w:val="00361DDF"/>
    <w:rsid w:val="00361E46"/>
    <w:rsid w:val="00361E4F"/>
    <w:rsid w:val="00361F91"/>
    <w:rsid w:val="00361FCE"/>
    <w:rsid w:val="0036202E"/>
    <w:rsid w:val="00362054"/>
    <w:rsid w:val="0036208C"/>
    <w:rsid w:val="0036214E"/>
    <w:rsid w:val="0036216F"/>
    <w:rsid w:val="003621D3"/>
    <w:rsid w:val="00362425"/>
    <w:rsid w:val="003625AF"/>
    <w:rsid w:val="003625C6"/>
    <w:rsid w:val="00362699"/>
    <w:rsid w:val="00362798"/>
    <w:rsid w:val="003627C8"/>
    <w:rsid w:val="0036284A"/>
    <w:rsid w:val="00362898"/>
    <w:rsid w:val="003628CD"/>
    <w:rsid w:val="003628FE"/>
    <w:rsid w:val="00362A5B"/>
    <w:rsid w:val="00362B3D"/>
    <w:rsid w:val="00362B64"/>
    <w:rsid w:val="00362BC1"/>
    <w:rsid w:val="00362CCC"/>
    <w:rsid w:val="00362CEC"/>
    <w:rsid w:val="00362D79"/>
    <w:rsid w:val="00362D95"/>
    <w:rsid w:val="00362DA3"/>
    <w:rsid w:val="00362DEE"/>
    <w:rsid w:val="00362E0A"/>
    <w:rsid w:val="00362EC9"/>
    <w:rsid w:val="00362F00"/>
    <w:rsid w:val="00363159"/>
    <w:rsid w:val="003632B0"/>
    <w:rsid w:val="003633A8"/>
    <w:rsid w:val="003633F1"/>
    <w:rsid w:val="00363512"/>
    <w:rsid w:val="0036352C"/>
    <w:rsid w:val="003635AE"/>
    <w:rsid w:val="00363823"/>
    <w:rsid w:val="003638CC"/>
    <w:rsid w:val="00363A0B"/>
    <w:rsid w:val="00363A28"/>
    <w:rsid w:val="00363CFE"/>
    <w:rsid w:val="00363E00"/>
    <w:rsid w:val="00363FF9"/>
    <w:rsid w:val="0036400B"/>
    <w:rsid w:val="00364141"/>
    <w:rsid w:val="00364393"/>
    <w:rsid w:val="003643A1"/>
    <w:rsid w:val="003643F9"/>
    <w:rsid w:val="00364431"/>
    <w:rsid w:val="003644B5"/>
    <w:rsid w:val="00364542"/>
    <w:rsid w:val="00364577"/>
    <w:rsid w:val="00364642"/>
    <w:rsid w:val="0036464A"/>
    <w:rsid w:val="0036477D"/>
    <w:rsid w:val="003647A3"/>
    <w:rsid w:val="003647AD"/>
    <w:rsid w:val="00364806"/>
    <w:rsid w:val="003648ED"/>
    <w:rsid w:val="00364944"/>
    <w:rsid w:val="00364953"/>
    <w:rsid w:val="0036495B"/>
    <w:rsid w:val="00364A65"/>
    <w:rsid w:val="00364B20"/>
    <w:rsid w:val="00364B42"/>
    <w:rsid w:val="00364B66"/>
    <w:rsid w:val="00364C4C"/>
    <w:rsid w:val="00364D1E"/>
    <w:rsid w:val="00364DE8"/>
    <w:rsid w:val="00364ED5"/>
    <w:rsid w:val="003650B0"/>
    <w:rsid w:val="003651AF"/>
    <w:rsid w:val="003652CA"/>
    <w:rsid w:val="0036533B"/>
    <w:rsid w:val="003653B4"/>
    <w:rsid w:val="0036544E"/>
    <w:rsid w:val="0036545A"/>
    <w:rsid w:val="003654C8"/>
    <w:rsid w:val="003655AE"/>
    <w:rsid w:val="00365673"/>
    <w:rsid w:val="003657BC"/>
    <w:rsid w:val="00365805"/>
    <w:rsid w:val="00365861"/>
    <w:rsid w:val="003658CD"/>
    <w:rsid w:val="00365A0F"/>
    <w:rsid w:val="00365A35"/>
    <w:rsid w:val="00365B2A"/>
    <w:rsid w:val="00365B83"/>
    <w:rsid w:val="00365C93"/>
    <w:rsid w:val="00365D0D"/>
    <w:rsid w:val="00365DF5"/>
    <w:rsid w:val="00365DF9"/>
    <w:rsid w:val="00365E54"/>
    <w:rsid w:val="00365FEF"/>
    <w:rsid w:val="00366045"/>
    <w:rsid w:val="0036618A"/>
    <w:rsid w:val="003662BF"/>
    <w:rsid w:val="0036633F"/>
    <w:rsid w:val="0036640B"/>
    <w:rsid w:val="00366416"/>
    <w:rsid w:val="00366452"/>
    <w:rsid w:val="0036647A"/>
    <w:rsid w:val="00366508"/>
    <w:rsid w:val="00366510"/>
    <w:rsid w:val="0036655B"/>
    <w:rsid w:val="003665D2"/>
    <w:rsid w:val="003665F8"/>
    <w:rsid w:val="003666B7"/>
    <w:rsid w:val="003666D8"/>
    <w:rsid w:val="0036673A"/>
    <w:rsid w:val="00366855"/>
    <w:rsid w:val="003668F8"/>
    <w:rsid w:val="003669C5"/>
    <w:rsid w:val="00366C56"/>
    <w:rsid w:val="00366C5C"/>
    <w:rsid w:val="00366C76"/>
    <w:rsid w:val="00366CC5"/>
    <w:rsid w:val="00366E38"/>
    <w:rsid w:val="00366E46"/>
    <w:rsid w:val="00366F3F"/>
    <w:rsid w:val="00366F91"/>
    <w:rsid w:val="00366F96"/>
    <w:rsid w:val="00366FCF"/>
    <w:rsid w:val="0036705C"/>
    <w:rsid w:val="00367089"/>
    <w:rsid w:val="0036708B"/>
    <w:rsid w:val="00367097"/>
    <w:rsid w:val="003670E2"/>
    <w:rsid w:val="003670E5"/>
    <w:rsid w:val="0036715A"/>
    <w:rsid w:val="00367213"/>
    <w:rsid w:val="0036729C"/>
    <w:rsid w:val="003672FD"/>
    <w:rsid w:val="00367332"/>
    <w:rsid w:val="00367580"/>
    <w:rsid w:val="003677DA"/>
    <w:rsid w:val="00367847"/>
    <w:rsid w:val="003678D6"/>
    <w:rsid w:val="003678E7"/>
    <w:rsid w:val="003679C5"/>
    <w:rsid w:val="003679EB"/>
    <w:rsid w:val="00367A22"/>
    <w:rsid w:val="00367AF7"/>
    <w:rsid w:val="00367BA1"/>
    <w:rsid w:val="00367BD8"/>
    <w:rsid w:val="00367C0B"/>
    <w:rsid w:val="00367C5A"/>
    <w:rsid w:val="00367C88"/>
    <w:rsid w:val="00367CB9"/>
    <w:rsid w:val="00367E4F"/>
    <w:rsid w:val="00367F63"/>
    <w:rsid w:val="00370013"/>
    <w:rsid w:val="00370017"/>
    <w:rsid w:val="00370036"/>
    <w:rsid w:val="00370157"/>
    <w:rsid w:val="00370199"/>
    <w:rsid w:val="00370232"/>
    <w:rsid w:val="00370253"/>
    <w:rsid w:val="00370272"/>
    <w:rsid w:val="00370354"/>
    <w:rsid w:val="0037037E"/>
    <w:rsid w:val="003703D2"/>
    <w:rsid w:val="00370497"/>
    <w:rsid w:val="003704EF"/>
    <w:rsid w:val="003704F0"/>
    <w:rsid w:val="0037070B"/>
    <w:rsid w:val="0037076B"/>
    <w:rsid w:val="003707AB"/>
    <w:rsid w:val="003707EE"/>
    <w:rsid w:val="00370964"/>
    <w:rsid w:val="0037096C"/>
    <w:rsid w:val="00370996"/>
    <w:rsid w:val="003709BC"/>
    <w:rsid w:val="003709FA"/>
    <w:rsid w:val="00370A8E"/>
    <w:rsid w:val="00370AD8"/>
    <w:rsid w:val="00370B70"/>
    <w:rsid w:val="00370BAC"/>
    <w:rsid w:val="00370D0C"/>
    <w:rsid w:val="00370D3A"/>
    <w:rsid w:val="00370D5D"/>
    <w:rsid w:val="00370DCE"/>
    <w:rsid w:val="00370E03"/>
    <w:rsid w:val="003710C5"/>
    <w:rsid w:val="003710FA"/>
    <w:rsid w:val="00371110"/>
    <w:rsid w:val="003711B9"/>
    <w:rsid w:val="003712A1"/>
    <w:rsid w:val="003712C6"/>
    <w:rsid w:val="003713DB"/>
    <w:rsid w:val="00371400"/>
    <w:rsid w:val="0037146F"/>
    <w:rsid w:val="00371486"/>
    <w:rsid w:val="00371496"/>
    <w:rsid w:val="003714AC"/>
    <w:rsid w:val="003714F9"/>
    <w:rsid w:val="0037169E"/>
    <w:rsid w:val="0037172D"/>
    <w:rsid w:val="00371973"/>
    <w:rsid w:val="00371990"/>
    <w:rsid w:val="00371B7C"/>
    <w:rsid w:val="00371C21"/>
    <w:rsid w:val="00371C38"/>
    <w:rsid w:val="00371CCA"/>
    <w:rsid w:val="00371D2E"/>
    <w:rsid w:val="00371E56"/>
    <w:rsid w:val="00371FE4"/>
    <w:rsid w:val="00372000"/>
    <w:rsid w:val="0037208F"/>
    <w:rsid w:val="0037210F"/>
    <w:rsid w:val="00372137"/>
    <w:rsid w:val="00372302"/>
    <w:rsid w:val="00372393"/>
    <w:rsid w:val="00372427"/>
    <w:rsid w:val="0037247B"/>
    <w:rsid w:val="00372631"/>
    <w:rsid w:val="00372727"/>
    <w:rsid w:val="003727BA"/>
    <w:rsid w:val="003727DB"/>
    <w:rsid w:val="00372800"/>
    <w:rsid w:val="0037282A"/>
    <w:rsid w:val="00372877"/>
    <w:rsid w:val="00372896"/>
    <w:rsid w:val="003728B2"/>
    <w:rsid w:val="00372927"/>
    <w:rsid w:val="003729EC"/>
    <w:rsid w:val="00372A77"/>
    <w:rsid w:val="00372AB0"/>
    <w:rsid w:val="00372AC7"/>
    <w:rsid w:val="00372B4A"/>
    <w:rsid w:val="00372BBF"/>
    <w:rsid w:val="00372BFC"/>
    <w:rsid w:val="00372DE5"/>
    <w:rsid w:val="00372E10"/>
    <w:rsid w:val="00372E96"/>
    <w:rsid w:val="00372EBB"/>
    <w:rsid w:val="00372EFA"/>
    <w:rsid w:val="00373084"/>
    <w:rsid w:val="003730D2"/>
    <w:rsid w:val="003732AA"/>
    <w:rsid w:val="0037331F"/>
    <w:rsid w:val="00373379"/>
    <w:rsid w:val="003733B2"/>
    <w:rsid w:val="003733C7"/>
    <w:rsid w:val="00373429"/>
    <w:rsid w:val="0037350D"/>
    <w:rsid w:val="003735E5"/>
    <w:rsid w:val="0037361E"/>
    <w:rsid w:val="00373826"/>
    <w:rsid w:val="00373881"/>
    <w:rsid w:val="003738B4"/>
    <w:rsid w:val="003738BA"/>
    <w:rsid w:val="003739D0"/>
    <w:rsid w:val="003739FD"/>
    <w:rsid w:val="00373B4F"/>
    <w:rsid w:val="00373C10"/>
    <w:rsid w:val="00373C84"/>
    <w:rsid w:val="00374048"/>
    <w:rsid w:val="00374074"/>
    <w:rsid w:val="003740D1"/>
    <w:rsid w:val="00374165"/>
    <w:rsid w:val="0037419D"/>
    <w:rsid w:val="00374203"/>
    <w:rsid w:val="00374223"/>
    <w:rsid w:val="003742D9"/>
    <w:rsid w:val="00374359"/>
    <w:rsid w:val="0037455E"/>
    <w:rsid w:val="00374570"/>
    <w:rsid w:val="003745F8"/>
    <w:rsid w:val="00374613"/>
    <w:rsid w:val="00374746"/>
    <w:rsid w:val="00374789"/>
    <w:rsid w:val="003747FE"/>
    <w:rsid w:val="00374807"/>
    <w:rsid w:val="003748BC"/>
    <w:rsid w:val="003748C6"/>
    <w:rsid w:val="00374A15"/>
    <w:rsid w:val="00374A47"/>
    <w:rsid w:val="00374A75"/>
    <w:rsid w:val="00374A95"/>
    <w:rsid w:val="00374BA2"/>
    <w:rsid w:val="00374BB1"/>
    <w:rsid w:val="00374C8C"/>
    <w:rsid w:val="00374D72"/>
    <w:rsid w:val="00374E14"/>
    <w:rsid w:val="00374F30"/>
    <w:rsid w:val="00374F65"/>
    <w:rsid w:val="00375002"/>
    <w:rsid w:val="00375141"/>
    <w:rsid w:val="003751A6"/>
    <w:rsid w:val="003751DD"/>
    <w:rsid w:val="00375238"/>
    <w:rsid w:val="00375242"/>
    <w:rsid w:val="00375293"/>
    <w:rsid w:val="00375323"/>
    <w:rsid w:val="0037533E"/>
    <w:rsid w:val="00375392"/>
    <w:rsid w:val="003753B0"/>
    <w:rsid w:val="003754EE"/>
    <w:rsid w:val="0037560F"/>
    <w:rsid w:val="00375764"/>
    <w:rsid w:val="003757CD"/>
    <w:rsid w:val="0037586F"/>
    <w:rsid w:val="00375992"/>
    <w:rsid w:val="00375994"/>
    <w:rsid w:val="003759FE"/>
    <w:rsid w:val="00375A22"/>
    <w:rsid w:val="00375A42"/>
    <w:rsid w:val="00375A54"/>
    <w:rsid w:val="00375B0F"/>
    <w:rsid w:val="00375B51"/>
    <w:rsid w:val="00375B87"/>
    <w:rsid w:val="00375CEE"/>
    <w:rsid w:val="00375F27"/>
    <w:rsid w:val="0037607F"/>
    <w:rsid w:val="00376131"/>
    <w:rsid w:val="00376185"/>
    <w:rsid w:val="003762C4"/>
    <w:rsid w:val="003762DB"/>
    <w:rsid w:val="00376533"/>
    <w:rsid w:val="00376553"/>
    <w:rsid w:val="003768B9"/>
    <w:rsid w:val="003768BF"/>
    <w:rsid w:val="0037697B"/>
    <w:rsid w:val="00376999"/>
    <w:rsid w:val="00376B86"/>
    <w:rsid w:val="00376C5F"/>
    <w:rsid w:val="00376CB6"/>
    <w:rsid w:val="00376D5C"/>
    <w:rsid w:val="00376DE1"/>
    <w:rsid w:val="00376EFF"/>
    <w:rsid w:val="00376F75"/>
    <w:rsid w:val="00377032"/>
    <w:rsid w:val="0037709A"/>
    <w:rsid w:val="003770D6"/>
    <w:rsid w:val="003770E6"/>
    <w:rsid w:val="003770FA"/>
    <w:rsid w:val="00377237"/>
    <w:rsid w:val="003772BC"/>
    <w:rsid w:val="003773C9"/>
    <w:rsid w:val="003773E9"/>
    <w:rsid w:val="0037740A"/>
    <w:rsid w:val="00377433"/>
    <w:rsid w:val="00377495"/>
    <w:rsid w:val="00377524"/>
    <w:rsid w:val="003775B6"/>
    <w:rsid w:val="003775D7"/>
    <w:rsid w:val="003775E8"/>
    <w:rsid w:val="003776CD"/>
    <w:rsid w:val="003776DA"/>
    <w:rsid w:val="0037779F"/>
    <w:rsid w:val="003777B0"/>
    <w:rsid w:val="003778F2"/>
    <w:rsid w:val="0037790C"/>
    <w:rsid w:val="00377939"/>
    <w:rsid w:val="00377A24"/>
    <w:rsid w:val="00377A64"/>
    <w:rsid w:val="00377AD5"/>
    <w:rsid w:val="00377BB2"/>
    <w:rsid w:val="00377C4A"/>
    <w:rsid w:val="00377D7E"/>
    <w:rsid w:val="00377DAD"/>
    <w:rsid w:val="00377DC4"/>
    <w:rsid w:val="00377DCA"/>
    <w:rsid w:val="00377F3B"/>
    <w:rsid w:val="00377FBF"/>
    <w:rsid w:val="00377FD6"/>
    <w:rsid w:val="00380033"/>
    <w:rsid w:val="0038014E"/>
    <w:rsid w:val="00380205"/>
    <w:rsid w:val="00380210"/>
    <w:rsid w:val="0038021C"/>
    <w:rsid w:val="00380247"/>
    <w:rsid w:val="00380263"/>
    <w:rsid w:val="003802C1"/>
    <w:rsid w:val="003802C6"/>
    <w:rsid w:val="0038032E"/>
    <w:rsid w:val="0038049B"/>
    <w:rsid w:val="0038053E"/>
    <w:rsid w:val="00380577"/>
    <w:rsid w:val="00380617"/>
    <w:rsid w:val="003806D2"/>
    <w:rsid w:val="0038073E"/>
    <w:rsid w:val="0038075A"/>
    <w:rsid w:val="0038078B"/>
    <w:rsid w:val="003807FD"/>
    <w:rsid w:val="00380813"/>
    <w:rsid w:val="00380881"/>
    <w:rsid w:val="003808D3"/>
    <w:rsid w:val="003808D4"/>
    <w:rsid w:val="00380C4A"/>
    <w:rsid w:val="00380CF1"/>
    <w:rsid w:val="00380D40"/>
    <w:rsid w:val="00380D45"/>
    <w:rsid w:val="00380D55"/>
    <w:rsid w:val="00380EBF"/>
    <w:rsid w:val="00380EDB"/>
    <w:rsid w:val="00380F59"/>
    <w:rsid w:val="00380FA5"/>
    <w:rsid w:val="003810B3"/>
    <w:rsid w:val="003810ED"/>
    <w:rsid w:val="00381267"/>
    <w:rsid w:val="00381293"/>
    <w:rsid w:val="003812A1"/>
    <w:rsid w:val="0038142F"/>
    <w:rsid w:val="0038143A"/>
    <w:rsid w:val="00381472"/>
    <w:rsid w:val="0038157E"/>
    <w:rsid w:val="00381585"/>
    <w:rsid w:val="003815AC"/>
    <w:rsid w:val="0038161C"/>
    <w:rsid w:val="0038169A"/>
    <w:rsid w:val="00381702"/>
    <w:rsid w:val="00381849"/>
    <w:rsid w:val="0038184F"/>
    <w:rsid w:val="00381867"/>
    <w:rsid w:val="003819E4"/>
    <w:rsid w:val="00381A47"/>
    <w:rsid w:val="00381A71"/>
    <w:rsid w:val="00381AB8"/>
    <w:rsid w:val="00381ACF"/>
    <w:rsid w:val="00381CDD"/>
    <w:rsid w:val="00381D1F"/>
    <w:rsid w:val="00381D53"/>
    <w:rsid w:val="00381DA2"/>
    <w:rsid w:val="00381ED7"/>
    <w:rsid w:val="00381F99"/>
    <w:rsid w:val="003820CF"/>
    <w:rsid w:val="003820FF"/>
    <w:rsid w:val="003821A7"/>
    <w:rsid w:val="00382309"/>
    <w:rsid w:val="00382342"/>
    <w:rsid w:val="003823AD"/>
    <w:rsid w:val="003823C4"/>
    <w:rsid w:val="00382549"/>
    <w:rsid w:val="003825B9"/>
    <w:rsid w:val="003827D9"/>
    <w:rsid w:val="0038288E"/>
    <w:rsid w:val="00382A47"/>
    <w:rsid w:val="00382AF7"/>
    <w:rsid w:val="00382C96"/>
    <w:rsid w:val="00382E5B"/>
    <w:rsid w:val="00382EC4"/>
    <w:rsid w:val="00382F18"/>
    <w:rsid w:val="00382F37"/>
    <w:rsid w:val="00382FF0"/>
    <w:rsid w:val="00383037"/>
    <w:rsid w:val="00383193"/>
    <w:rsid w:val="00383245"/>
    <w:rsid w:val="0038327F"/>
    <w:rsid w:val="003832FD"/>
    <w:rsid w:val="003834ED"/>
    <w:rsid w:val="00383518"/>
    <w:rsid w:val="00383529"/>
    <w:rsid w:val="0038353B"/>
    <w:rsid w:val="003835D5"/>
    <w:rsid w:val="00383606"/>
    <w:rsid w:val="003836C9"/>
    <w:rsid w:val="003837A5"/>
    <w:rsid w:val="00383B38"/>
    <w:rsid w:val="00383BA2"/>
    <w:rsid w:val="00383BC4"/>
    <w:rsid w:val="00383C91"/>
    <w:rsid w:val="00383CB3"/>
    <w:rsid w:val="00383CC2"/>
    <w:rsid w:val="00383E16"/>
    <w:rsid w:val="00383F27"/>
    <w:rsid w:val="0038409C"/>
    <w:rsid w:val="00384109"/>
    <w:rsid w:val="00384199"/>
    <w:rsid w:val="003842CB"/>
    <w:rsid w:val="00384426"/>
    <w:rsid w:val="00384496"/>
    <w:rsid w:val="003846A4"/>
    <w:rsid w:val="0038471C"/>
    <w:rsid w:val="003847B3"/>
    <w:rsid w:val="00384859"/>
    <w:rsid w:val="003848AC"/>
    <w:rsid w:val="0038494F"/>
    <w:rsid w:val="00384A41"/>
    <w:rsid w:val="00384B32"/>
    <w:rsid w:val="00384B51"/>
    <w:rsid w:val="00384BC5"/>
    <w:rsid w:val="00384D0F"/>
    <w:rsid w:val="00384E1A"/>
    <w:rsid w:val="00384E1C"/>
    <w:rsid w:val="00384E7D"/>
    <w:rsid w:val="00384EA0"/>
    <w:rsid w:val="00384EAB"/>
    <w:rsid w:val="00384ED8"/>
    <w:rsid w:val="00384FAF"/>
    <w:rsid w:val="00384FDC"/>
    <w:rsid w:val="00385158"/>
    <w:rsid w:val="00385194"/>
    <w:rsid w:val="003851CE"/>
    <w:rsid w:val="00385315"/>
    <w:rsid w:val="0038541C"/>
    <w:rsid w:val="00385514"/>
    <w:rsid w:val="0038559F"/>
    <w:rsid w:val="003855CE"/>
    <w:rsid w:val="003855D4"/>
    <w:rsid w:val="0038564D"/>
    <w:rsid w:val="003856EC"/>
    <w:rsid w:val="003856F2"/>
    <w:rsid w:val="0038585F"/>
    <w:rsid w:val="0038586B"/>
    <w:rsid w:val="003858A9"/>
    <w:rsid w:val="00385989"/>
    <w:rsid w:val="00385A53"/>
    <w:rsid w:val="00385B5D"/>
    <w:rsid w:val="00385C8E"/>
    <w:rsid w:val="00385CE7"/>
    <w:rsid w:val="00385F30"/>
    <w:rsid w:val="003863C1"/>
    <w:rsid w:val="0038640C"/>
    <w:rsid w:val="0038645F"/>
    <w:rsid w:val="0038653F"/>
    <w:rsid w:val="003865C0"/>
    <w:rsid w:val="0038665F"/>
    <w:rsid w:val="003867B9"/>
    <w:rsid w:val="003867CA"/>
    <w:rsid w:val="003867DF"/>
    <w:rsid w:val="00386828"/>
    <w:rsid w:val="003868FA"/>
    <w:rsid w:val="0038697F"/>
    <w:rsid w:val="00386B91"/>
    <w:rsid w:val="00386B93"/>
    <w:rsid w:val="00386BA6"/>
    <w:rsid w:val="00386C76"/>
    <w:rsid w:val="00386CD6"/>
    <w:rsid w:val="00386D10"/>
    <w:rsid w:val="00386DAC"/>
    <w:rsid w:val="00386EC5"/>
    <w:rsid w:val="00386EE6"/>
    <w:rsid w:val="00386EFB"/>
    <w:rsid w:val="00386FE6"/>
    <w:rsid w:val="00387028"/>
    <w:rsid w:val="00387111"/>
    <w:rsid w:val="003872FA"/>
    <w:rsid w:val="00387385"/>
    <w:rsid w:val="00387418"/>
    <w:rsid w:val="003874AA"/>
    <w:rsid w:val="0038752D"/>
    <w:rsid w:val="00387537"/>
    <w:rsid w:val="003875F1"/>
    <w:rsid w:val="00387642"/>
    <w:rsid w:val="0038764F"/>
    <w:rsid w:val="00387755"/>
    <w:rsid w:val="003877D8"/>
    <w:rsid w:val="00387835"/>
    <w:rsid w:val="003878F4"/>
    <w:rsid w:val="00387943"/>
    <w:rsid w:val="00387A63"/>
    <w:rsid w:val="00387AE8"/>
    <w:rsid w:val="00387B09"/>
    <w:rsid w:val="00387B41"/>
    <w:rsid w:val="00387BB6"/>
    <w:rsid w:val="00387BD2"/>
    <w:rsid w:val="00387C2A"/>
    <w:rsid w:val="00387C53"/>
    <w:rsid w:val="00387CBD"/>
    <w:rsid w:val="00387CC4"/>
    <w:rsid w:val="00387D82"/>
    <w:rsid w:val="00387E5D"/>
    <w:rsid w:val="00387F6A"/>
    <w:rsid w:val="00390033"/>
    <w:rsid w:val="00390085"/>
    <w:rsid w:val="003901DC"/>
    <w:rsid w:val="003902C7"/>
    <w:rsid w:val="00390498"/>
    <w:rsid w:val="0039055A"/>
    <w:rsid w:val="003905E1"/>
    <w:rsid w:val="0039062F"/>
    <w:rsid w:val="0039069C"/>
    <w:rsid w:val="00390736"/>
    <w:rsid w:val="00390756"/>
    <w:rsid w:val="0039087F"/>
    <w:rsid w:val="003908E6"/>
    <w:rsid w:val="00390A21"/>
    <w:rsid w:val="00390BAE"/>
    <w:rsid w:val="00390C20"/>
    <w:rsid w:val="00390C55"/>
    <w:rsid w:val="00390CFD"/>
    <w:rsid w:val="00390D69"/>
    <w:rsid w:val="00390D9A"/>
    <w:rsid w:val="00390DC9"/>
    <w:rsid w:val="00390F17"/>
    <w:rsid w:val="00390F2E"/>
    <w:rsid w:val="00390F4D"/>
    <w:rsid w:val="00390FB0"/>
    <w:rsid w:val="00390FC4"/>
    <w:rsid w:val="00390FDF"/>
    <w:rsid w:val="003910D3"/>
    <w:rsid w:val="00391249"/>
    <w:rsid w:val="003912A4"/>
    <w:rsid w:val="00391328"/>
    <w:rsid w:val="003913AB"/>
    <w:rsid w:val="003914A7"/>
    <w:rsid w:val="00391547"/>
    <w:rsid w:val="003916DC"/>
    <w:rsid w:val="0039176D"/>
    <w:rsid w:val="00391822"/>
    <w:rsid w:val="003918EA"/>
    <w:rsid w:val="00391999"/>
    <w:rsid w:val="00391B11"/>
    <w:rsid w:val="00391C6E"/>
    <w:rsid w:val="00391CBF"/>
    <w:rsid w:val="00391E48"/>
    <w:rsid w:val="00391E97"/>
    <w:rsid w:val="00391EC2"/>
    <w:rsid w:val="00391FAB"/>
    <w:rsid w:val="0039209D"/>
    <w:rsid w:val="00392253"/>
    <w:rsid w:val="0039240B"/>
    <w:rsid w:val="00392442"/>
    <w:rsid w:val="00392499"/>
    <w:rsid w:val="003924DE"/>
    <w:rsid w:val="00392582"/>
    <w:rsid w:val="003927F3"/>
    <w:rsid w:val="0039286B"/>
    <w:rsid w:val="00392886"/>
    <w:rsid w:val="0039289F"/>
    <w:rsid w:val="003928D0"/>
    <w:rsid w:val="00392909"/>
    <w:rsid w:val="0039292A"/>
    <w:rsid w:val="00392A5F"/>
    <w:rsid w:val="00392A74"/>
    <w:rsid w:val="00392AE6"/>
    <w:rsid w:val="00392B2B"/>
    <w:rsid w:val="00392B76"/>
    <w:rsid w:val="00392C67"/>
    <w:rsid w:val="00392F66"/>
    <w:rsid w:val="00393007"/>
    <w:rsid w:val="0039304B"/>
    <w:rsid w:val="00393055"/>
    <w:rsid w:val="0039305F"/>
    <w:rsid w:val="00393096"/>
    <w:rsid w:val="00393112"/>
    <w:rsid w:val="00393119"/>
    <w:rsid w:val="00393122"/>
    <w:rsid w:val="00393126"/>
    <w:rsid w:val="0039324E"/>
    <w:rsid w:val="00393335"/>
    <w:rsid w:val="00393419"/>
    <w:rsid w:val="003935FD"/>
    <w:rsid w:val="00393638"/>
    <w:rsid w:val="0039369C"/>
    <w:rsid w:val="00393792"/>
    <w:rsid w:val="0039380E"/>
    <w:rsid w:val="00393923"/>
    <w:rsid w:val="003939F5"/>
    <w:rsid w:val="00393B40"/>
    <w:rsid w:val="00393CB6"/>
    <w:rsid w:val="00393D27"/>
    <w:rsid w:val="00393E00"/>
    <w:rsid w:val="00393FA9"/>
    <w:rsid w:val="00393FF9"/>
    <w:rsid w:val="0039405A"/>
    <w:rsid w:val="00394060"/>
    <w:rsid w:val="003940FC"/>
    <w:rsid w:val="00394110"/>
    <w:rsid w:val="00394171"/>
    <w:rsid w:val="0039426B"/>
    <w:rsid w:val="00394288"/>
    <w:rsid w:val="0039429A"/>
    <w:rsid w:val="0039434A"/>
    <w:rsid w:val="00394423"/>
    <w:rsid w:val="0039453C"/>
    <w:rsid w:val="003945E3"/>
    <w:rsid w:val="0039465C"/>
    <w:rsid w:val="0039467A"/>
    <w:rsid w:val="00394699"/>
    <w:rsid w:val="0039470D"/>
    <w:rsid w:val="003947DA"/>
    <w:rsid w:val="00394828"/>
    <w:rsid w:val="00394841"/>
    <w:rsid w:val="003948CB"/>
    <w:rsid w:val="0039496E"/>
    <w:rsid w:val="003949D2"/>
    <w:rsid w:val="00394AE4"/>
    <w:rsid w:val="00394B12"/>
    <w:rsid w:val="00394B81"/>
    <w:rsid w:val="00394B8D"/>
    <w:rsid w:val="00394BFA"/>
    <w:rsid w:val="00394D3B"/>
    <w:rsid w:val="00394FCE"/>
    <w:rsid w:val="003951B4"/>
    <w:rsid w:val="003951C7"/>
    <w:rsid w:val="003951E4"/>
    <w:rsid w:val="0039520D"/>
    <w:rsid w:val="003952D6"/>
    <w:rsid w:val="003954C9"/>
    <w:rsid w:val="003954DE"/>
    <w:rsid w:val="00395537"/>
    <w:rsid w:val="003955E0"/>
    <w:rsid w:val="003956B7"/>
    <w:rsid w:val="0039570A"/>
    <w:rsid w:val="00395730"/>
    <w:rsid w:val="003957B3"/>
    <w:rsid w:val="003957C7"/>
    <w:rsid w:val="003958FD"/>
    <w:rsid w:val="00395A54"/>
    <w:rsid w:val="00395AEA"/>
    <w:rsid w:val="00395B0A"/>
    <w:rsid w:val="00395B67"/>
    <w:rsid w:val="00395B7F"/>
    <w:rsid w:val="00395BD6"/>
    <w:rsid w:val="00395C4E"/>
    <w:rsid w:val="00395CBA"/>
    <w:rsid w:val="00395D5F"/>
    <w:rsid w:val="00395D7A"/>
    <w:rsid w:val="00395DC0"/>
    <w:rsid w:val="00395E3F"/>
    <w:rsid w:val="00395EB3"/>
    <w:rsid w:val="00395FC3"/>
    <w:rsid w:val="00396143"/>
    <w:rsid w:val="00396161"/>
    <w:rsid w:val="00396211"/>
    <w:rsid w:val="00396242"/>
    <w:rsid w:val="00396271"/>
    <w:rsid w:val="00396288"/>
    <w:rsid w:val="003962FC"/>
    <w:rsid w:val="003963CC"/>
    <w:rsid w:val="003964DE"/>
    <w:rsid w:val="003965A5"/>
    <w:rsid w:val="0039665F"/>
    <w:rsid w:val="00396670"/>
    <w:rsid w:val="00396847"/>
    <w:rsid w:val="00396C64"/>
    <w:rsid w:val="00396CDC"/>
    <w:rsid w:val="00396FBF"/>
    <w:rsid w:val="00397047"/>
    <w:rsid w:val="003970FD"/>
    <w:rsid w:val="00397152"/>
    <w:rsid w:val="003972BE"/>
    <w:rsid w:val="003972E1"/>
    <w:rsid w:val="00397343"/>
    <w:rsid w:val="003973D5"/>
    <w:rsid w:val="003974D8"/>
    <w:rsid w:val="00397583"/>
    <w:rsid w:val="0039761A"/>
    <w:rsid w:val="0039765E"/>
    <w:rsid w:val="0039768F"/>
    <w:rsid w:val="003977A6"/>
    <w:rsid w:val="003977E8"/>
    <w:rsid w:val="00397A23"/>
    <w:rsid w:val="00397A7E"/>
    <w:rsid w:val="00397C80"/>
    <w:rsid w:val="00397CA4"/>
    <w:rsid w:val="00397CBF"/>
    <w:rsid w:val="00397CDA"/>
    <w:rsid w:val="00397CED"/>
    <w:rsid w:val="00397E01"/>
    <w:rsid w:val="00397E34"/>
    <w:rsid w:val="00397FB4"/>
    <w:rsid w:val="00397FBB"/>
    <w:rsid w:val="003A0002"/>
    <w:rsid w:val="003A017C"/>
    <w:rsid w:val="003A01E8"/>
    <w:rsid w:val="003A020A"/>
    <w:rsid w:val="003A035E"/>
    <w:rsid w:val="003A0617"/>
    <w:rsid w:val="003A0893"/>
    <w:rsid w:val="003A0A84"/>
    <w:rsid w:val="003A0AC7"/>
    <w:rsid w:val="003A0B56"/>
    <w:rsid w:val="003A0BC9"/>
    <w:rsid w:val="003A0C10"/>
    <w:rsid w:val="003A0C55"/>
    <w:rsid w:val="003A0DC3"/>
    <w:rsid w:val="003A0E0A"/>
    <w:rsid w:val="003A1021"/>
    <w:rsid w:val="003A1099"/>
    <w:rsid w:val="003A1114"/>
    <w:rsid w:val="003A113B"/>
    <w:rsid w:val="003A1172"/>
    <w:rsid w:val="003A122C"/>
    <w:rsid w:val="003A12C4"/>
    <w:rsid w:val="003A1323"/>
    <w:rsid w:val="003A1359"/>
    <w:rsid w:val="003A139D"/>
    <w:rsid w:val="003A1406"/>
    <w:rsid w:val="003A146A"/>
    <w:rsid w:val="003A1536"/>
    <w:rsid w:val="003A1554"/>
    <w:rsid w:val="003A15A5"/>
    <w:rsid w:val="003A165A"/>
    <w:rsid w:val="003A167A"/>
    <w:rsid w:val="003A16DE"/>
    <w:rsid w:val="003A170E"/>
    <w:rsid w:val="003A173F"/>
    <w:rsid w:val="003A17A5"/>
    <w:rsid w:val="003A183A"/>
    <w:rsid w:val="003A1847"/>
    <w:rsid w:val="003A1963"/>
    <w:rsid w:val="003A1979"/>
    <w:rsid w:val="003A1988"/>
    <w:rsid w:val="003A19E1"/>
    <w:rsid w:val="003A1A4A"/>
    <w:rsid w:val="003A1C38"/>
    <w:rsid w:val="003A1CC9"/>
    <w:rsid w:val="003A1D31"/>
    <w:rsid w:val="003A1D76"/>
    <w:rsid w:val="003A1DF3"/>
    <w:rsid w:val="003A1DFD"/>
    <w:rsid w:val="003A1E5C"/>
    <w:rsid w:val="003A1F7D"/>
    <w:rsid w:val="003A1F97"/>
    <w:rsid w:val="003A20A7"/>
    <w:rsid w:val="003A2101"/>
    <w:rsid w:val="003A2114"/>
    <w:rsid w:val="003A2143"/>
    <w:rsid w:val="003A21AC"/>
    <w:rsid w:val="003A2207"/>
    <w:rsid w:val="003A2225"/>
    <w:rsid w:val="003A224B"/>
    <w:rsid w:val="003A22BB"/>
    <w:rsid w:val="003A22D9"/>
    <w:rsid w:val="003A2330"/>
    <w:rsid w:val="003A2426"/>
    <w:rsid w:val="003A24AC"/>
    <w:rsid w:val="003A252E"/>
    <w:rsid w:val="003A258D"/>
    <w:rsid w:val="003A27CC"/>
    <w:rsid w:val="003A2A0D"/>
    <w:rsid w:val="003A2A7D"/>
    <w:rsid w:val="003A2B70"/>
    <w:rsid w:val="003A2C18"/>
    <w:rsid w:val="003A2C44"/>
    <w:rsid w:val="003A2C5A"/>
    <w:rsid w:val="003A2D28"/>
    <w:rsid w:val="003A2F95"/>
    <w:rsid w:val="003A30CD"/>
    <w:rsid w:val="003A310D"/>
    <w:rsid w:val="003A3243"/>
    <w:rsid w:val="003A32D7"/>
    <w:rsid w:val="003A338A"/>
    <w:rsid w:val="003A3394"/>
    <w:rsid w:val="003A33BB"/>
    <w:rsid w:val="003A33E3"/>
    <w:rsid w:val="003A3449"/>
    <w:rsid w:val="003A34A1"/>
    <w:rsid w:val="003A351D"/>
    <w:rsid w:val="003A371F"/>
    <w:rsid w:val="003A37B7"/>
    <w:rsid w:val="003A3826"/>
    <w:rsid w:val="003A3841"/>
    <w:rsid w:val="003A38C5"/>
    <w:rsid w:val="003A391F"/>
    <w:rsid w:val="003A3A7B"/>
    <w:rsid w:val="003A3B4F"/>
    <w:rsid w:val="003A3B5C"/>
    <w:rsid w:val="003A3BBB"/>
    <w:rsid w:val="003A3C0A"/>
    <w:rsid w:val="003A3D60"/>
    <w:rsid w:val="003A3D83"/>
    <w:rsid w:val="003A3E29"/>
    <w:rsid w:val="003A3E64"/>
    <w:rsid w:val="003A3EF4"/>
    <w:rsid w:val="003A3F39"/>
    <w:rsid w:val="003A3FCA"/>
    <w:rsid w:val="003A40F4"/>
    <w:rsid w:val="003A4119"/>
    <w:rsid w:val="003A41B0"/>
    <w:rsid w:val="003A4249"/>
    <w:rsid w:val="003A432F"/>
    <w:rsid w:val="003A4611"/>
    <w:rsid w:val="003A472B"/>
    <w:rsid w:val="003A473A"/>
    <w:rsid w:val="003A47B3"/>
    <w:rsid w:val="003A48A8"/>
    <w:rsid w:val="003A4933"/>
    <w:rsid w:val="003A4963"/>
    <w:rsid w:val="003A4ABE"/>
    <w:rsid w:val="003A4B5C"/>
    <w:rsid w:val="003A4B9B"/>
    <w:rsid w:val="003A4BED"/>
    <w:rsid w:val="003A4D09"/>
    <w:rsid w:val="003A4D30"/>
    <w:rsid w:val="003A4D85"/>
    <w:rsid w:val="003A4DB8"/>
    <w:rsid w:val="003A4EEA"/>
    <w:rsid w:val="003A4F27"/>
    <w:rsid w:val="003A50BD"/>
    <w:rsid w:val="003A5169"/>
    <w:rsid w:val="003A51E8"/>
    <w:rsid w:val="003A52D3"/>
    <w:rsid w:val="003A5308"/>
    <w:rsid w:val="003A533C"/>
    <w:rsid w:val="003A54D8"/>
    <w:rsid w:val="003A5537"/>
    <w:rsid w:val="003A554C"/>
    <w:rsid w:val="003A5827"/>
    <w:rsid w:val="003A589B"/>
    <w:rsid w:val="003A58EA"/>
    <w:rsid w:val="003A596B"/>
    <w:rsid w:val="003A59DC"/>
    <w:rsid w:val="003A59F7"/>
    <w:rsid w:val="003A5A79"/>
    <w:rsid w:val="003A5AC2"/>
    <w:rsid w:val="003A5AD4"/>
    <w:rsid w:val="003A5B42"/>
    <w:rsid w:val="003A5BBB"/>
    <w:rsid w:val="003A5CF6"/>
    <w:rsid w:val="003A5E48"/>
    <w:rsid w:val="003A5E55"/>
    <w:rsid w:val="003A5E90"/>
    <w:rsid w:val="003A5F1D"/>
    <w:rsid w:val="003A5FDF"/>
    <w:rsid w:val="003A5FFB"/>
    <w:rsid w:val="003A60B0"/>
    <w:rsid w:val="003A6166"/>
    <w:rsid w:val="003A61FA"/>
    <w:rsid w:val="003A6281"/>
    <w:rsid w:val="003A6419"/>
    <w:rsid w:val="003A6431"/>
    <w:rsid w:val="003A64BF"/>
    <w:rsid w:val="003A64D6"/>
    <w:rsid w:val="003A6501"/>
    <w:rsid w:val="003A6538"/>
    <w:rsid w:val="003A65B1"/>
    <w:rsid w:val="003A65EB"/>
    <w:rsid w:val="003A66D8"/>
    <w:rsid w:val="003A66DE"/>
    <w:rsid w:val="003A66F2"/>
    <w:rsid w:val="003A6863"/>
    <w:rsid w:val="003A6974"/>
    <w:rsid w:val="003A6AD5"/>
    <w:rsid w:val="003A6AFC"/>
    <w:rsid w:val="003A6BD9"/>
    <w:rsid w:val="003A6DCE"/>
    <w:rsid w:val="003A6EEB"/>
    <w:rsid w:val="003A6F62"/>
    <w:rsid w:val="003A7109"/>
    <w:rsid w:val="003A7125"/>
    <w:rsid w:val="003A7144"/>
    <w:rsid w:val="003A7228"/>
    <w:rsid w:val="003A72B8"/>
    <w:rsid w:val="003A7395"/>
    <w:rsid w:val="003A73B5"/>
    <w:rsid w:val="003A747A"/>
    <w:rsid w:val="003A747D"/>
    <w:rsid w:val="003A74A2"/>
    <w:rsid w:val="003A74D3"/>
    <w:rsid w:val="003A74FF"/>
    <w:rsid w:val="003A75D6"/>
    <w:rsid w:val="003A760F"/>
    <w:rsid w:val="003A7692"/>
    <w:rsid w:val="003A76C7"/>
    <w:rsid w:val="003A7857"/>
    <w:rsid w:val="003A7952"/>
    <w:rsid w:val="003A798E"/>
    <w:rsid w:val="003A799A"/>
    <w:rsid w:val="003A7A11"/>
    <w:rsid w:val="003A7C3B"/>
    <w:rsid w:val="003A7C40"/>
    <w:rsid w:val="003A7D0F"/>
    <w:rsid w:val="003A7DE5"/>
    <w:rsid w:val="003A7E47"/>
    <w:rsid w:val="003A7E92"/>
    <w:rsid w:val="003A7F21"/>
    <w:rsid w:val="003B00E6"/>
    <w:rsid w:val="003B0167"/>
    <w:rsid w:val="003B0202"/>
    <w:rsid w:val="003B0343"/>
    <w:rsid w:val="003B0485"/>
    <w:rsid w:val="003B0527"/>
    <w:rsid w:val="003B0529"/>
    <w:rsid w:val="003B0542"/>
    <w:rsid w:val="003B0563"/>
    <w:rsid w:val="003B05A9"/>
    <w:rsid w:val="003B0678"/>
    <w:rsid w:val="003B06B2"/>
    <w:rsid w:val="003B06D4"/>
    <w:rsid w:val="003B0713"/>
    <w:rsid w:val="003B0725"/>
    <w:rsid w:val="003B0887"/>
    <w:rsid w:val="003B088C"/>
    <w:rsid w:val="003B08CF"/>
    <w:rsid w:val="003B08DD"/>
    <w:rsid w:val="003B08F2"/>
    <w:rsid w:val="003B09D9"/>
    <w:rsid w:val="003B0A27"/>
    <w:rsid w:val="003B0CA6"/>
    <w:rsid w:val="003B0CF8"/>
    <w:rsid w:val="003B0D67"/>
    <w:rsid w:val="003B0DD1"/>
    <w:rsid w:val="003B0E67"/>
    <w:rsid w:val="003B0EF8"/>
    <w:rsid w:val="003B0F88"/>
    <w:rsid w:val="003B1041"/>
    <w:rsid w:val="003B10AB"/>
    <w:rsid w:val="003B135C"/>
    <w:rsid w:val="003B136B"/>
    <w:rsid w:val="003B136D"/>
    <w:rsid w:val="003B1370"/>
    <w:rsid w:val="003B141A"/>
    <w:rsid w:val="003B1463"/>
    <w:rsid w:val="003B14CA"/>
    <w:rsid w:val="003B14CE"/>
    <w:rsid w:val="003B1660"/>
    <w:rsid w:val="003B17A6"/>
    <w:rsid w:val="003B17A9"/>
    <w:rsid w:val="003B17CB"/>
    <w:rsid w:val="003B1850"/>
    <w:rsid w:val="003B186A"/>
    <w:rsid w:val="003B187D"/>
    <w:rsid w:val="003B198B"/>
    <w:rsid w:val="003B19F3"/>
    <w:rsid w:val="003B1AAD"/>
    <w:rsid w:val="003B1E17"/>
    <w:rsid w:val="003B1E1E"/>
    <w:rsid w:val="003B1EA4"/>
    <w:rsid w:val="003B2190"/>
    <w:rsid w:val="003B21B7"/>
    <w:rsid w:val="003B21DA"/>
    <w:rsid w:val="003B22D3"/>
    <w:rsid w:val="003B2525"/>
    <w:rsid w:val="003B2556"/>
    <w:rsid w:val="003B256E"/>
    <w:rsid w:val="003B26E8"/>
    <w:rsid w:val="003B2730"/>
    <w:rsid w:val="003B274E"/>
    <w:rsid w:val="003B2793"/>
    <w:rsid w:val="003B27DE"/>
    <w:rsid w:val="003B27F8"/>
    <w:rsid w:val="003B2825"/>
    <w:rsid w:val="003B28A2"/>
    <w:rsid w:val="003B2923"/>
    <w:rsid w:val="003B29F0"/>
    <w:rsid w:val="003B2ABB"/>
    <w:rsid w:val="003B2AC6"/>
    <w:rsid w:val="003B2D31"/>
    <w:rsid w:val="003B2D72"/>
    <w:rsid w:val="003B2D92"/>
    <w:rsid w:val="003B2DF0"/>
    <w:rsid w:val="003B2F81"/>
    <w:rsid w:val="003B2FFE"/>
    <w:rsid w:val="003B3030"/>
    <w:rsid w:val="003B31CB"/>
    <w:rsid w:val="003B31F5"/>
    <w:rsid w:val="003B3285"/>
    <w:rsid w:val="003B32C7"/>
    <w:rsid w:val="003B3558"/>
    <w:rsid w:val="003B3680"/>
    <w:rsid w:val="003B37FA"/>
    <w:rsid w:val="003B38D1"/>
    <w:rsid w:val="003B395B"/>
    <w:rsid w:val="003B39F4"/>
    <w:rsid w:val="003B3B7D"/>
    <w:rsid w:val="003B3C1F"/>
    <w:rsid w:val="003B3CAB"/>
    <w:rsid w:val="003B3D19"/>
    <w:rsid w:val="003B3D84"/>
    <w:rsid w:val="003B3D9F"/>
    <w:rsid w:val="003B3E14"/>
    <w:rsid w:val="003B3F0B"/>
    <w:rsid w:val="003B3FA2"/>
    <w:rsid w:val="003B405C"/>
    <w:rsid w:val="003B40E2"/>
    <w:rsid w:val="003B4119"/>
    <w:rsid w:val="003B4198"/>
    <w:rsid w:val="003B424C"/>
    <w:rsid w:val="003B43D4"/>
    <w:rsid w:val="003B43FD"/>
    <w:rsid w:val="003B4789"/>
    <w:rsid w:val="003B4803"/>
    <w:rsid w:val="003B480F"/>
    <w:rsid w:val="003B4891"/>
    <w:rsid w:val="003B48FE"/>
    <w:rsid w:val="003B4901"/>
    <w:rsid w:val="003B49C9"/>
    <w:rsid w:val="003B49D3"/>
    <w:rsid w:val="003B4A6F"/>
    <w:rsid w:val="003B4C53"/>
    <w:rsid w:val="003B4D09"/>
    <w:rsid w:val="003B4DD9"/>
    <w:rsid w:val="003B4E2D"/>
    <w:rsid w:val="003B4E47"/>
    <w:rsid w:val="003B4E90"/>
    <w:rsid w:val="003B4E9F"/>
    <w:rsid w:val="003B4EBF"/>
    <w:rsid w:val="003B4ED5"/>
    <w:rsid w:val="003B4FAF"/>
    <w:rsid w:val="003B5060"/>
    <w:rsid w:val="003B50A9"/>
    <w:rsid w:val="003B528E"/>
    <w:rsid w:val="003B529A"/>
    <w:rsid w:val="003B52B6"/>
    <w:rsid w:val="003B5315"/>
    <w:rsid w:val="003B5403"/>
    <w:rsid w:val="003B5486"/>
    <w:rsid w:val="003B549F"/>
    <w:rsid w:val="003B54CC"/>
    <w:rsid w:val="003B5554"/>
    <w:rsid w:val="003B5663"/>
    <w:rsid w:val="003B566A"/>
    <w:rsid w:val="003B5725"/>
    <w:rsid w:val="003B575D"/>
    <w:rsid w:val="003B57E2"/>
    <w:rsid w:val="003B57EF"/>
    <w:rsid w:val="003B5811"/>
    <w:rsid w:val="003B58FF"/>
    <w:rsid w:val="003B593A"/>
    <w:rsid w:val="003B59A1"/>
    <w:rsid w:val="003B5A2F"/>
    <w:rsid w:val="003B5ACE"/>
    <w:rsid w:val="003B5AD2"/>
    <w:rsid w:val="003B5B8D"/>
    <w:rsid w:val="003B5CA8"/>
    <w:rsid w:val="003B5CBB"/>
    <w:rsid w:val="003B5CBE"/>
    <w:rsid w:val="003B5D93"/>
    <w:rsid w:val="003B5DC7"/>
    <w:rsid w:val="003B5F82"/>
    <w:rsid w:val="003B6030"/>
    <w:rsid w:val="003B615E"/>
    <w:rsid w:val="003B64C1"/>
    <w:rsid w:val="003B659F"/>
    <w:rsid w:val="003B65C1"/>
    <w:rsid w:val="003B65D9"/>
    <w:rsid w:val="003B664E"/>
    <w:rsid w:val="003B667A"/>
    <w:rsid w:val="003B66B1"/>
    <w:rsid w:val="003B674A"/>
    <w:rsid w:val="003B6801"/>
    <w:rsid w:val="003B68C3"/>
    <w:rsid w:val="003B696A"/>
    <w:rsid w:val="003B6983"/>
    <w:rsid w:val="003B6A2B"/>
    <w:rsid w:val="003B6AF3"/>
    <w:rsid w:val="003B6BE3"/>
    <w:rsid w:val="003B6C44"/>
    <w:rsid w:val="003B6D78"/>
    <w:rsid w:val="003B6D7B"/>
    <w:rsid w:val="003B6DFB"/>
    <w:rsid w:val="003B6E3B"/>
    <w:rsid w:val="003B6FB9"/>
    <w:rsid w:val="003B6FBB"/>
    <w:rsid w:val="003B71E0"/>
    <w:rsid w:val="003B7232"/>
    <w:rsid w:val="003B7280"/>
    <w:rsid w:val="003B729D"/>
    <w:rsid w:val="003B748C"/>
    <w:rsid w:val="003B74B6"/>
    <w:rsid w:val="003B7553"/>
    <w:rsid w:val="003B7571"/>
    <w:rsid w:val="003B759B"/>
    <w:rsid w:val="003B75FE"/>
    <w:rsid w:val="003B76EF"/>
    <w:rsid w:val="003B78F8"/>
    <w:rsid w:val="003B79BD"/>
    <w:rsid w:val="003B79CB"/>
    <w:rsid w:val="003B7AEF"/>
    <w:rsid w:val="003B7B98"/>
    <w:rsid w:val="003B7C3D"/>
    <w:rsid w:val="003B7C68"/>
    <w:rsid w:val="003B7D48"/>
    <w:rsid w:val="003B7D4B"/>
    <w:rsid w:val="003B7D57"/>
    <w:rsid w:val="003B7D8C"/>
    <w:rsid w:val="003B7EAA"/>
    <w:rsid w:val="003C0081"/>
    <w:rsid w:val="003C0183"/>
    <w:rsid w:val="003C0278"/>
    <w:rsid w:val="003C02DB"/>
    <w:rsid w:val="003C038C"/>
    <w:rsid w:val="003C041F"/>
    <w:rsid w:val="003C04A7"/>
    <w:rsid w:val="003C04F3"/>
    <w:rsid w:val="003C0669"/>
    <w:rsid w:val="003C067F"/>
    <w:rsid w:val="003C070B"/>
    <w:rsid w:val="003C07AB"/>
    <w:rsid w:val="003C07D3"/>
    <w:rsid w:val="003C0835"/>
    <w:rsid w:val="003C0845"/>
    <w:rsid w:val="003C0911"/>
    <w:rsid w:val="003C0930"/>
    <w:rsid w:val="003C0CAB"/>
    <w:rsid w:val="003C0CB0"/>
    <w:rsid w:val="003C0DDE"/>
    <w:rsid w:val="003C0E87"/>
    <w:rsid w:val="003C0EF9"/>
    <w:rsid w:val="003C0FDA"/>
    <w:rsid w:val="003C10F5"/>
    <w:rsid w:val="003C113F"/>
    <w:rsid w:val="003C11F2"/>
    <w:rsid w:val="003C11FD"/>
    <w:rsid w:val="003C1253"/>
    <w:rsid w:val="003C127D"/>
    <w:rsid w:val="003C1280"/>
    <w:rsid w:val="003C142F"/>
    <w:rsid w:val="003C1485"/>
    <w:rsid w:val="003C15A0"/>
    <w:rsid w:val="003C1610"/>
    <w:rsid w:val="003C1623"/>
    <w:rsid w:val="003C1638"/>
    <w:rsid w:val="003C1697"/>
    <w:rsid w:val="003C16D9"/>
    <w:rsid w:val="003C170B"/>
    <w:rsid w:val="003C1710"/>
    <w:rsid w:val="003C1843"/>
    <w:rsid w:val="003C186A"/>
    <w:rsid w:val="003C1A1C"/>
    <w:rsid w:val="003C1A21"/>
    <w:rsid w:val="003C1A86"/>
    <w:rsid w:val="003C1B8A"/>
    <w:rsid w:val="003C1C3B"/>
    <w:rsid w:val="003C1C7D"/>
    <w:rsid w:val="003C1C8D"/>
    <w:rsid w:val="003C1CE5"/>
    <w:rsid w:val="003C1CF5"/>
    <w:rsid w:val="003C1D6C"/>
    <w:rsid w:val="003C20CE"/>
    <w:rsid w:val="003C2251"/>
    <w:rsid w:val="003C2260"/>
    <w:rsid w:val="003C2294"/>
    <w:rsid w:val="003C231C"/>
    <w:rsid w:val="003C2446"/>
    <w:rsid w:val="003C26EB"/>
    <w:rsid w:val="003C2723"/>
    <w:rsid w:val="003C27BF"/>
    <w:rsid w:val="003C2835"/>
    <w:rsid w:val="003C2A29"/>
    <w:rsid w:val="003C2B09"/>
    <w:rsid w:val="003C2B2D"/>
    <w:rsid w:val="003C2B5B"/>
    <w:rsid w:val="003C2BA2"/>
    <w:rsid w:val="003C2BA8"/>
    <w:rsid w:val="003C2BCF"/>
    <w:rsid w:val="003C2C31"/>
    <w:rsid w:val="003C2C68"/>
    <w:rsid w:val="003C2CB7"/>
    <w:rsid w:val="003C2D78"/>
    <w:rsid w:val="003C2E08"/>
    <w:rsid w:val="003C2EAD"/>
    <w:rsid w:val="003C2F2A"/>
    <w:rsid w:val="003C307F"/>
    <w:rsid w:val="003C3147"/>
    <w:rsid w:val="003C322C"/>
    <w:rsid w:val="003C3424"/>
    <w:rsid w:val="003C351D"/>
    <w:rsid w:val="003C35CA"/>
    <w:rsid w:val="003C36CF"/>
    <w:rsid w:val="003C384D"/>
    <w:rsid w:val="003C385E"/>
    <w:rsid w:val="003C3880"/>
    <w:rsid w:val="003C38AE"/>
    <w:rsid w:val="003C3943"/>
    <w:rsid w:val="003C39FB"/>
    <w:rsid w:val="003C3A5C"/>
    <w:rsid w:val="003C3AC1"/>
    <w:rsid w:val="003C3AC9"/>
    <w:rsid w:val="003C3AD4"/>
    <w:rsid w:val="003C3B66"/>
    <w:rsid w:val="003C3C8B"/>
    <w:rsid w:val="003C3DC2"/>
    <w:rsid w:val="003C3E2B"/>
    <w:rsid w:val="003C3F73"/>
    <w:rsid w:val="003C3F7E"/>
    <w:rsid w:val="003C4135"/>
    <w:rsid w:val="003C41FF"/>
    <w:rsid w:val="003C4339"/>
    <w:rsid w:val="003C434B"/>
    <w:rsid w:val="003C437A"/>
    <w:rsid w:val="003C43A3"/>
    <w:rsid w:val="003C43ED"/>
    <w:rsid w:val="003C4435"/>
    <w:rsid w:val="003C4450"/>
    <w:rsid w:val="003C464E"/>
    <w:rsid w:val="003C46BC"/>
    <w:rsid w:val="003C47CF"/>
    <w:rsid w:val="003C483A"/>
    <w:rsid w:val="003C4894"/>
    <w:rsid w:val="003C48A4"/>
    <w:rsid w:val="003C48AD"/>
    <w:rsid w:val="003C49A0"/>
    <w:rsid w:val="003C4AC9"/>
    <w:rsid w:val="003C4AEC"/>
    <w:rsid w:val="003C4BA4"/>
    <w:rsid w:val="003C4C89"/>
    <w:rsid w:val="003C4D1A"/>
    <w:rsid w:val="003C4DD6"/>
    <w:rsid w:val="003C4DE2"/>
    <w:rsid w:val="003C4DF2"/>
    <w:rsid w:val="003C4DFB"/>
    <w:rsid w:val="003C4EA5"/>
    <w:rsid w:val="003C4EE8"/>
    <w:rsid w:val="003C4F5D"/>
    <w:rsid w:val="003C5088"/>
    <w:rsid w:val="003C5176"/>
    <w:rsid w:val="003C5189"/>
    <w:rsid w:val="003C5196"/>
    <w:rsid w:val="003C51ED"/>
    <w:rsid w:val="003C527A"/>
    <w:rsid w:val="003C52B7"/>
    <w:rsid w:val="003C53AD"/>
    <w:rsid w:val="003C53B4"/>
    <w:rsid w:val="003C53DE"/>
    <w:rsid w:val="003C54DE"/>
    <w:rsid w:val="003C5619"/>
    <w:rsid w:val="003C574C"/>
    <w:rsid w:val="003C5937"/>
    <w:rsid w:val="003C5999"/>
    <w:rsid w:val="003C5B93"/>
    <w:rsid w:val="003C5C7E"/>
    <w:rsid w:val="003C5D62"/>
    <w:rsid w:val="003C5ECC"/>
    <w:rsid w:val="003C5ED0"/>
    <w:rsid w:val="003C5F66"/>
    <w:rsid w:val="003C5FD4"/>
    <w:rsid w:val="003C602A"/>
    <w:rsid w:val="003C60AE"/>
    <w:rsid w:val="003C61B8"/>
    <w:rsid w:val="003C6333"/>
    <w:rsid w:val="003C6343"/>
    <w:rsid w:val="003C636C"/>
    <w:rsid w:val="003C63DA"/>
    <w:rsid w:val="003C640A"/>
    <w:rsid w:val="003C64BA"/>
    <w:rsid w:val="003C652F"/>
    <w:rsid w:val="003C65A2"/>
    <w:rsid w:val="003C6782"/>
    <w:rsid w:val="003C67B1"/>
    <w:rsid w:val="003C67E0"/>
    <w:rsid w:val="003C6803"/>
    <w:rsid w:val="003C69B1"/>
    <w:rsid w:val="003C6A7E"/>
    <w:rsid w:val="003C6AB8"/>
    <w:rsid w:val="003C6B01"/>
    <w:rsid w:val="003C6B19"/>
    <w:rsid w:val="003C6BCE"/>
    <w:rsid w:val="003C6C55"/>
    <w:rsid w:val="003C6DF3"/>
    <w:rsid w:val="003C6F9A"/>
    <w:rsid w:val="003C7089"/>
    <w:rsid w:val="003C70BF"/>
    <w:rsid w:val="003C70CE"/>
    <w:rsid w:val="003C70D0"/>
    <w:rsid w:val="003C7160"/>
    <w:rsid w:val="003C718D"/>
    <w:rsid w:val="003C7250"/>
    <w:rsid w:val="003C729A"/>
    <w:rsid w:val="003C735F"/>
    <w:rsid w:val="003C74C4"/>
    <w:rsid w:val="003C752F"/>
    <w:rsid w:val="003C7683"/>
    <w:rsid w:val="003C76B4"/>
    <w:rsid w:val="003C76E8"/>
    <w:rsid w:val="003C76F6"/>
    <w:rsid w:val="003C77A5"/>
    <w:rsid w:val="003C77C1"/>
    <w:rsid w:val="003C79D1"/>
    <w:rsid w:val="003C7B6A"/>
    <w:rsid w:val="003C7BCD"/>
    <w:rsid w:val="003C7BEB"/>
    <w:rsid w:val="003C7C20"/>
    <w:rsid w:val="003C7CFC"/>
    <w:rsid w:val="003C7D07"/>
    <w:rsid w:val="003C7D7A"/>
    <w:rsid w:val="003D008F"/>
    <w:rsid w:val="003D00EA"/>
    <w:rsid w:val="003D0143"/>
    <w:rsid w:val="003D0170"/>
    <w:rsid w:val="003D0213"/>
    <w:rsid w:val="003D0273"/>
    <w:rsid w:val="003D02C9"/>
    <w:rsid w:val="003D0582"/>
    <w:rsid w:val="003D0669"/>
    <w:rsid w:val="003D071C"/>
    <w:rsid w:val="003D07B1"/>
    <w:rsid w:val="003D08DE"/>
    <w:rsid w:val="003D0ACB"/>
    <w:rsid w:val="003D0B8C"/>
    <w:rsid w:val="003D0D22"/>
    <w:rsid w:val="003D0E63"/>
    <w:rsid w:val="003D0EBD"/>
    <w:rsid w:val="003D0FC6"/>
    <w:rsid w:val="003D11D3"/>
    <w:rsid w:val="003D138F"/>
    <w:rsid w:val="003D13C0"/>
    <w:rsid w:val="003D13D7"/>
    <w:rsid w:val="003D14EE"/>
    <w:rsid w:val="003D157D"/>
    <w:rsid w:val="003D16D1"/>
    <w:rsid w:val="003D17F5"/>
    <w:rsid w:val="003D195B"/>
    <w:rsid w:val="003D1A02"/>
    <w:rsid w:val="003D1A82"/>
    <w:rsid w:val="003D1C27"/>
    <w:rsid w:val="003D1D1C"/>
    <w:rsid w:val="003D1D79"/>
    <w:rsid w:val="003D1DC0"/>
    <w:rsid w:val="003D1F0F"/>
    <w:rsid w:val="003D1F52"/>
    <w:rsid w:val="003D1FCC"/>
    <w:rsid w:val="003D20AC"/>
    <w:rsid w:val="003D20E7"/>
    <w:rsid w:val="003D2180"/>
    <w:rsid w:val="003D2395"/>
    <w:rsid w:val="003D24DC"/>
    <w:rsid w:val="003D24FF"/>
    <w:rsid w:val="003D252F"/>
    <w:rsid w:val="003D2689"/>
    <w:rsid w:val="003D26C0"/>
    <w:rsid w:val="003D2869"/>
    <w:rsid w:val="003D298B"/>
    <w:rsid w:val="003D29AC"/>
    <w:rsid w:val="003D29BB"/>
    <w:rsid w:val="003D29CD"/>
    <w:rsid w:val="003D29D6"/>
    <w:rsid w:val="003D29F0"/>
    <w:rsid w:val="003D2A4F"/>
    <w:rsid w:val="003D2C0D"/>
    <w:rsid w:val="003D2C8B"/>
    <w:rsid w:val="003D2CFD"/>
    <w:rsid w:val="003D2E93"/>
    <w:rsid w:val="003D2F86"/>
    <w:rsid w:val="003D3041"/>
    <w:rsid w:val="003D3049"/>
    <w:rsid w:val="003D3115"/>
    <w:rsid w:val="003D3146"/>
    <w:rsid w:val="003D315C"/>
    <w:rsid w:val="003D3192"/>
    <w:rsid w:val="003D3248"/>
    <w:rsid w:val="003D325E"/>
    <w:rsid w:val="003D3272"/>
    <w:rsid w:val="003D33BC"/>
    <w:rsid w:val="003D33FA"/>
    <w:rsid w:val="003D33FF"/>
    <w:rsid w:val="003D3406"/>
    <w:rsid w:val="003D3569"/>
    <w:rsid w:val="003D3618"/>
    <w:rsid w:val="003D3633"/>
    <w:rsid w:val="003D36D3"/>
    <w:rsid w:val="003D3707"/>
    <w:rsid w:val="003D3782"/>
    <w:rsid w:val="003D3813"/>
    <w:rsid w:val="003D3864"/>
    <w:rsid w:val="003D3903"/>
    <w:rsid w:val="003D39AC"/>
    <w:rsid w:val="003D3AE7"/>
    <w:rsid w:val="003D3B04"/>
    <w:rsid w:val="003D3B19"/>
    <w:rsid w:val="003D3B1A"/>
    <w:rsid w:val="003D3B88"/>
    <w:rsid w:val="003D3C7C"/>
    <w:rsid w:val="003D3C81"/>
    <w:rsid w:val="003D3D90"/>
    <w:rsid w:val="003D3DAC"/>
    <w:rsid w:val="003D3F27"/>
    <w:rsid w:val="003D3F4D"/>
    <w:rsid w:val="003D3F4E"/>
    <w:rsid w:val="003D4013"/>
    <w:rsid w:val="003D41B7"/>
    <w:rsid w:val="003D42CC"/>
    <w:rsid w:val="003D4334"/>
    <w:rsid w:val="003D43D8"/>
    <w:rsid w:val="003D43F8"/>
    <w:rsid w:val="003D46C9"/>
    <w:rsid w:val="003D47BE"/>
    <w:rsid w:val="003D47E1"/>
    <w:rsid w:val="003D48A1"/>
    <w:rsid w:val="003D49AF"/>
    <w:rsid w:val="003D4BA6"/>
    <w:rsid w:val="003D4C25"/>
    <w:rsid w:val="003D4D49"/>
    <w:rsid w:val="003D4D7C"/>
    <w:rsid w:val="003D4DC2"/>
    <w:rsid w:val="003D4E58"/>
    <w:rsid w:val="003D4FAC"/>
    <w:rsid w:val="003D4FC2"/>
    <w:rsid w:val="003D5022"/>
    <w:rsid w:val="003D507A"/>
    <w:rsid w:val="003D521A"/>
    <w:rsid w:val="003D5229"/>
    <w:rsid w:val="003D5572"/>
    <w:rsid w:val="003D559F"/>
    <w:rsid w:val="003D55A8"/>
    <w:rsid w:val="003D56D1"/>
    <w:rsid w:val="003D576F"/>
    <w:rsid w:val="003D595B"/>
    <w:rsid w:val="003D59BB"/>
    <w:rsid w:val="003D59E2"/>
    <w:rsid w:val="003D5A00"/>
    <w:rsid w:val="003D5A07"/>
    <w:rsid w:val="003D5B87"/>
    <w:rsid w:val="003D5BA1"/>
    <w:rsid w:val="003D5C31"/>
    <w:rsid w:val="003D5CB4"/>
    <w:rsid w:val="003D5E03"/>
    <w:rsid w:val="003D5E68"/>
    <w:rsid w:val="003D5FA5"/>
    <w:rsid w:val="003D603F"/>
    <w:rsid w:val="003D605F"/>
    <w:rsid w:val="003D60AC"/>
    <w:rsid w:val="003D60BE"/>
    <w:rsid w:val="003D6138"/>
    <w:rsid w:val="003D6253"/>
    <w:rsid w:val="003D64D6"/>
    <w:rsid w:val="003D64FB"/>
    <w:rsid w:val="003D654F"/>
    <w:rsid w:val="003D6644"/>
    <w:rsid w:val="003D6700"/>
    <w:rsid w:val="003D6A99"/>
    <w:rsid w:val="003D6AB8"/>
    <w:rsid w:val="003D6B01"/>
    <w:rsid w:val="003D6BAB"/>
    <w:rsid w:val="003D6C9E"/>
    <w:rsid w:val="003D6D77"/>
    <w:rsid w:val="003D6E23"/>
    <w:rsid w:val="003D6E64"/>
    <w:rsid w:val="003D6ED4"/>
    <w:rsid w:val="003D6F6A"/>
    <w:rsid w:val="003D6FDD"/>
    <w:rsid w:val="003D7017"/>
    <w:rsid w:val="003D7056"/>
    <w:rsid w:val="003D70A5"/>
    <w:rsid w:val="003D7164"/>
    <w:rsid w:val="003D72EC"/>
    <w:rsid w:val="003D742C"/>
    <w:rsid w:val="003D7457"/>
    <w:rsid w:val="003D74C2"/>
    <w:rsid w:val="003D7684"/>
    <w:rsid w:val="003D7768"/>
    <w:rsid w:val="003D77EA"/>
    <w:rsid w:val="003D7822"/>
    <w:rsid w:val="003D78D7"/>
    <w:rsid w:val="003D78F3"/>
    <w:rsid w:val="003D7B18"/>
    <w:rsid w:val="003D7C61"/>
    <w:rsid w:val="003D7C68"/>
    <w:rsid w:val="003D7C93"/>
    <w:rsid w:val="003D7DBC"/>
    <w:rsid w:val="003D7FBF"/>
    <w:rsid w:val="003E0060"/>
    <w:rsid w:val="003E0334"/>
    <w:rsid w:val="003E0376"/>
    <w:rsid w:val="003E0390"/>
    <w:rsid w:val="003E03BA"/>
    <w:rsid w:val="003E03D9"/>
    <w:rsid w:val="003E03DE"/>
    <w:rsid w:val="003E0411"/>
    <w:rsid w:val="003E04C8"/>
    <w:rsid w:val="003E056B"/>
    <w:rsid w:val="003E057B"/>
    <w:rsid w:val="003E05FA"/>
    <w:rsid w:val="003E0695"/>
    <w:rsid w:val="003E06C1"/>
    <w:rsid w:val="003E06D1"/>
    <w:rsid w:val="003E079A"/>
    <w:rsid w:val="003E07FD"/>
    <w:rsid w:val="003E09B9"/>
    <w:rsid w:val="003E09BF"/>
    <w:rsid w:val="003E0A8D"/>
    <w:rsid w:val="003E0B76"/>
    <w:rsid w:val="003E0BAC"/>
    <w:rsid w:val="003E0C30"/>
    <w:rsid w:val="003E0CD3"/>
    <w:rsid w:val="003E0E1C"/>
    <w:rsid w:val="003E0EA4"/>
    <w:rsid w:val="003E0EF3"/>
    <w:rsid w:val="003E10D0"/>
    <w:rsid w:val="003E1142"/>
    <w:rsid w:val="003E1352"/>
    <w:rsid w:val="003E1397"/>
    <w:rsid w:val="003E13E5"/>
    <w:rsid w:val="003E1422"/>
    <w:rsid w:val="003E142D"/>
    <w:rsid w:val="003E164D"/>
    <w:rsid w:val="003E1740"/>
    <w:rsid w:val="003E177D"/>
    <w:rsid w:val="003E17AD"/>
    <w:rsid w:val="003E1876"/>
    <w:rsid w:val="003E1894"/>
    <w:rsid w:val="003E18D7"/>
    <w:rsid w:val="003E1A2D"/>
    <w:rsid w:val="003E1B15"/>
    <w:rsid w:val="003E1B22"/>
    <w:rsid w:val="003E1C6F"/>
    <w:rsid w:val="003E1CC6"/>
    <w:rsid w:val="003E1D6C"/>
    <w:rsid w:val="003E1D93"/>
    <w:rsid w:val="003E1E3F"/>
    <w:rsid w:val="003E1EAB"/>
    <w:rsid w:val="003E1FF2"/>
    <w:rsid w:val="003E2029"/>
    <w:rsid w:val="003E239E"/>
    <w:rsid w:val="003E23B6"/>
    <w:rsid w:val="003E23BC"/>
    <w:rsid w:val="003E2463"/>
    <w:rsid w:val="003E246E"/>
    <w:rsid w:val="003E285B"/>
    <w:rsid w:val="003E28D2"/>
    <w:rsid w:val="003E298F"/>
    <w:rsid w:val="003E29BF"/>
    <w:rsid w:val="003E29D9"/>
    <w:rsid w:val="003E2A0E"/>
    <w:rsid w:val="003E2A11"/>
    <w:rsid w:val="003E2B01"/>
    <w:rsid w:val="003E2B4D"/>
    <w:rsid w:val="003E2BA1"/>
    <w:rsid w:val="003E2BF9"/>
    <w:rsid w:val="003E2BFD"/>
    <w:rsid w:val="003E2CDD"/>
    <w:rsid w:val="003E2ED8"/>
    <w:rsid w:val="003E2EF1"/>
    <w:rsid w:val="003E2F9E"/>
    <w:rsid w:val="003E3073"/>
    <w:rsid w:val="003E310A"/>
    <w:rsid w:val="003E313C"/>
    <w:rsid w:val="003E32F4"/>
    <w:rsid w:val="003E342A"/>
    <w:rsid w:val="003E3503"/>
    <w:rsid w:val="003E354C"/>
    <w:rsid w:val="003E37E5"/>
    <w:rsid w:val="003E3852"/>
    <w:rsid w:val="003E385C"/>
    <w:rsid w:val="003E39D5"/>
    <w:rsid w:val="003E3B70"/>
    <w:rsid w:val="003E3C9A"/>
    <w:rsid w:val="003E3E04"/>
    <w:rsid w:val="003E3E41"/>
    <w:rsid w:val="003E3E68"/>
    <w:rsid w:val="003E3EB5"/>
    <w:rsid w:val="003E3EE4"/>
    <w:rsid w:val="003E3F59"/>
    <w:rsid w:val="003E3FE1"/>
    <w:rsid w:val="003E4085"/>
    <w:rsid w:val="003E4146"/>
    <w:rsid w:val="003E4181"/>
    <w:rsid w:val="003E41A6"/>
    <w:rsid w:val="003E41F6"/>
    <w:rsid w:val="003E43EE"/>
    <w:rsid w:val="003E4500"/>
    <w:rsid w:val="003E4584"/>
    <w:rsid w:val="003E4736"/>
    <w:rsid w:val="003E496E"/>
    <w:rsid w:val="003E4998"/>
    <w:rsid w:val="003E4AB4"/>
    <w:rsid w:val="003E4AC5"/>
    <w:rsid w:val="003E4C22"/>
    <w:rsid w:val="003E4C4F"/>
    <w:rsid w:val="003E4C8B"/>
    <w:rsid w:val="003E4DC4"/>
    <w:rsid w:val="003E4F1D"/>
    <w:rsid w:val="003E4FBF"/>
    <w:rsid w:val="003E5073"/>
    <w:rsid w:val="003E509A"/>
    <w:rsid w:val="003E50FA"/>
    <w:rsid w:val="003E512B"/>
    <w:rsid w:val="003E513D"/>
    <w:rsid w:val="003E520E"/>
    <w:rsid w:val="003E5272"/>
    <w:rsid w:val="003E5358"/>
    <w:rsid w:val="003E53E0"/>
    <w:rsid w:val="003E53E9"/>
    <w:rsid w:val="003E53F4"/>
    <w:rsid w:val="003E5493"/>
    <w:rsid w:val="003E5506"/>
    <w:rsid w:val="003E555F"/>
    <w:rsid w:val="003E5586"/>
    <w:rsid w:val="003E55E7"/>
    <w:rsid w:val="003E55F8"/>
    <w:rsid w:val="003E564E"/>
    <w:rsid w:val="003E56A2"/>
    <w:rsid w:val="003E57DF"/>
    <w:rsid w:val="003E5863"/>
    <w:rsid w:val="003E5921"/>
    <w:rsid w:val="003E596B"/>
    <w:rsid w:val="003E59E7"/>
    <w:rsid w:val="003E5C07"/>
    <w:rsid w:val="003E5C2C"/>
    <w:rsid w:val="003E5C80"/>
    <w:rsid w:val="003E5C83"/>
    <w:rsid w:val="003E5D17"/>
    <w:rsid w:val="003E5DA7"/>
    <w:rsid w:val="003E5ED8"/>
    <w:rsid w:val="003E5FC2"/>
    <w:rsid w:val="003E5FFC"/>
    <w:rsid w:val="003E6037"/>
    <w:rsid w:val="003E6294"/>
    <w:rsid w:val="003E63CA"/>
    <w:rsid w:val="003E6447"/>
    <w:rsid w:val="003E6468"/>
    <w:rsid w:val="003E649B"/>
    <w:rsid w:val="003E653C"/>
    <w:rsid w:val="003E654D"/>
    <w:rsid w:val="003E654E"/>
    <w:rsid w:val="003E65B3"/>
    <w:rsid w:val="003E675F"/>
    <w:rsid w:val="003E6836"/>
    <w:rsid w:val="003E683A"/>
    <w:rsid w:val="003E685C"/>
    <w:rsid w:val="003E6899"/>
    <w:rsid w:val="003E689C"/>
    <w:rsid w:val="003E6A24"/>
    <w:rsid w:val="003E6A92"/>
    <w:rsid w:val="003E6A9A"/>
    <w:rsid w:val="003E6AF0"/>
    <w:rsid w:val="003E6B1B"/>
    <w:rsid w:val="003E6C73"/>
    <w:rsid w:val="003E6CE6"/>
    <w:rsid w:val="003E6D63"/>
    <w:rsid w:val="003E6E34"/>
    <w:rsid w:val="003E71B4"/>
    <w:rsid w:val="003E7234"/>
    <w:rsid w:val="003E7389"/>
    <w:rsid w:val="003E73A0"/>
    <w:rsid w:val="003E7458"/>
    <w:rsid w:val="003E7483"/>
    <w:rsid w:val="003E75AC"/>
    <w:rsid w:val="003E7613"/>
    <w:rsid w:val="003E761C"/>
    <w:rsid w:val="003E767C"/>
    <w:rsid w:val="003E76BF"/>
    <w:rsid w:val="003E779B"/>
    <w:rsid w:val="003E779C"/>
    <w:rsid w:val="003E77C2"/>
    <w:rsid w:val="003E78C6"/>
    <w:rsid w:val="003E78FD"/>
    <w:rsid w:val="003E79F1"/>
    <w:rsid w:val="003E7B0D"/>
    <w:rsid w:val="003E7BED"/>
    <w:rsid w:val="003E7C37"/>
    <w:rsid w:val="003E7D31"/>
    <w:rsid w:val="003E7D84"/>
    <w:rsid w:val="003E7E33"/>
    <w:rsid w:val="003E7E3A"/>
    <w:rsid w:val="003E7F45"/>
    <w:rsid w:val="003E7F5C"/>
    <w:rsid w:val="003E7F66"/>
    <w:rsid w:val="003E7FD2"/>
    <w:rsid w:val="003E7FDC"/>
    <w:rsid w:val="003F002F"/>
    <w:rsid w:val="003F003B"/>
    <w:rsid w:val="003F00CE"/>
    <w:rsid w:val="003F00F8"/>
    <w:rsid w:val="003F00FB"/>
    <w:rsid w:val="003F0296"/>
    <w:rsid w:val="003F03BE"/>
    <w:rsid w:val="003F03C4"/>
    <w:rsid w:val="003F03F5"/>
    <w:rsid w:val="003F0430"/>
    <w:rsid w:val="003F046D"/>
    <w:rsid w:val="003F04DC"/>
    <w:rsid w:val="003F0570"/>
    <w:rsid w:val="003F05E8"/>
    <w:rsid w:val="003F065C"/>
    <w:rsid w:val="003F07B4"/>
    <w:rsid w:val="003F07C7"/>
    <w:rsid w:val="003F07CD"/>
    <w:rsid w:val="003F0935"/>
    <w:rsid w:val="003F0B15"/>
    <w:rsid w:val="003F0B8B"/>
    <w:rsid w:val="003F0CF0"/>
    <w:rsid w:val="003F0D2E"/>
    <w:rsid w:val="003F0E45"/>
    <w:rsid w:val="003F0E46"/>
    <w:rsid w:val="003F0EC3"/>
    <w:rsid w:val="003F0FA3"/>
    <w:rsid w:val="003F1077"/>
    <w:rsid w:val="003F10BC"/>
    <w:rsid w:val="003F11DC"/>
    <w:rsid w:val="003F1379"/>
    <w:rsid w:val="003F139B"/>
    <w:rsid w:val="003F13C3"/>
    <w:rsid w:val="003F13EC"/>
    <w:rsid w:val="003F1499"/>
    <w:rsid w:val="003F1503"/>
    <w:rsid w:val="003F1541"/>
    <w:rsid w:val="003F1547"/>
    <w:rsid w:val="003F15A2"/>
    <w:rsid w:val="003F15C9"/>
    <w:rsid w:val="003F1880"/>
    <w:rsid w:val="003F18E2"/>
    <w:rsid w:val="003F1985"/>
    <w:rsid w:val="003F1A06"/>
    <w:rsid w:val="003F1A6C"/>
    <w:rsid w:val="003F1A6F"/>
    <w:rsid w:val="003F1ACE"/>
    <w:rsid w:val="003F1C85"/>
    <w:rsid w:val="003F1D4C"/>
    <w:rsid w:val="003F1ECD"/>
    <w:rsid w:val="003F2015"/>
    <w:rsid w:val="003F205B"/>
    <w:rsid w:val="003F208A"/>
    <w:rsid w:val="003F21B7"/>
    <w:rsid w:val="003F21D0"/>
    <w:rsid w:val="003F220F"/>
    <w:rsid w:val="003F227C"/>
    <w:rsid w:val="003F239B"/>
    <w:rsid w:val="003F23CE"/>
    <w:rsid w:val="003F2427"/>
    <w:rsid w:val="003F247A"/>
    <w:rsid w:val="003F24BD"/>
    <w:rsid w:val="003F2685"/>
    <w:rsid w:val="003F2706"/>
    <w:rsid w:val="003F276C"/>
    <w:rsid w:val="003F284B"/>
    <w:rsid w:val="003F287F"/>
    <w:rsid w:val="003F296A"/>
    <w:rsid w:val="003F2A7E"/>
    <w:rsid w:val="003F2A89"/>
    <w:rsid w:val="003F2B10"/>
    <w:rsid w:val="003F2B33"/>
    <w:rsid w:val="003F2B63"/>
    <w:rsid w:val="003F2B93"/>
    <w:rsid w:val="003F2CC4"/>
    <w:rsid w:val="003F2EB2"/>
    <w:rsid w:val="003F2EFA"/>
    <w:rsid w:val="003F317B"/>
    <w:rsid w:val="003F3213"/>
    <w:rsid w:val="003F3299"/>
    <w:rsid w:val="003F3357"/>
    <w:rsid w:val="003F3379"/>
    <w:rsid w:val="003F33C8"/>
    <w:rsid w:val="003F33CC"/>
    <w:rsid w:val="003F3402"/>
    <w:rsid w:val="003F3446"/>
    <w:rsid w:val="003F3502"/>
    <w:rsid w:val="003F35D2"/>
    <w:rsid w:val="003F3633"/>
    <w:rsid w:val="003F369B"/>
    <w:rsid w:val="003F36E4"/>
    <w:rsid w:val="003F37B4"/>
    <w:rsid w:val="003F37B9"/>
    <w:rsid w:val="003F37D9"/>
    <w:rsid w:val="003F3984"/>
    <w:rsid w:val="003F39CD"/>
    <w:rsid w:val="003F39D1"/>
    <w:rsid w:val="003F3A48"/>
    <w:rsid w:val="003F3ACE"/>
    <w:rsid w:val="003F3AD5"/>
    <w:rsid w:val="003F3B2D"/>
    <w:rsid w:val="003F3B9D"/>
    <w:rsid w:val="003F3C9D"/>
    <w:rsid w:val="003F3CBB"/>
    <w:rsid w:val="003F3D6E"/>
    <w:rsid w:val="003F3DE6"/>
    <w:rsid w:val="003F3F60"/>
    <w:rsid w:val="003F3F62"/>
    <w:rsid w:val="003F4074"/>
    <w:rsid w:val="003F4091"/>
    <w:rsid w:val="003F411B"/>
    <w:rsid w:val="003F41B3"/>
    <w:rsid w:val="003F43E0"/>
    <w:rsid w:val="003F4433"/>
    <w:rsid w:val="003F4480"/>
    <w:rsid w:val="003F44B8"/>
    <w:rsid w:val="003F44C5"/>
    <w:rsid w:val="003F4595"/>
    <w:rsid w:val="003F47C0"/>
    <w:rsid w:val="003F47C4"/>
    <w:rsid w:val="003F488B"/>
    <w:rsid w:val="003F4A5C"/>
    <w:rsid w:val="003F4BA2"/>
    <w:rsid w:val="003F4BFB"/>
    <w:rsid w:val="003F4C3C"/>
    <w:rsid w:val="003F4C4F"/>
    <w:rsid w:val="003F4CB4"/>
    <w:rsid w:val="003F4F3A"/>
    <w:rsid w:val="003F501B"/>
    <w:rsid w:val="003F5216"/>
    <w:rsid w:val="003F5244"/>
    <w:rsid w:val="003F5282"/>
    <w:rsid w:val="003F5384"/>
    <w:rsid w:val="003F538F"/>
    <w:rsid w:val="003F5418"/>
    <w:rsid w:val="003F5421"/>
    <w:rsid w:val="003F556F"/>
    <w:rsid w:val="003F55DB"/>
    <w:rsid w:val="003F55E8"/>
    <w:rsid w:val="003F567E"/>
    <w:rsid w:val="003F5698"/>
    <w:rsid w:val="003F5921"/>
    <w:rsid w:val="003F5936"/>
    <w:rsid w:val="003F598D"/>
    <w:rsid w:val="003F59F0"/>
    <w:rsid w:val="003F5A4B"/>
    <w:rsid w:val="003F5A5D"/>
    <w:rsid w:val="003F5BB1"/>
    <w:rsid w:val="003F5BC8"/>
    <w:rsid w:val="003F5BD9"/>
    <w:rsid w:val="003F5CBD"/>
    <w:rsid w:val="003F5D1B"/>
    <w:rsid w:val="003F5D64"/>
    <w:rsid w:val="003F5DE0"/>
    <w:rsid w:val="003F5DFB"/>
    <w:rsid w:val="003F5E79"/>
    <w:rsid w:val="003F5F23"/>
    <w:rsid w:val="003F5F2D"/>
    <w:rsid w:val="003F5FDC"/>
    <w:rsid w:val="003F60D6"/>
    <w:rsid w:val="003F6188"/>
    <w:rsid w:val="003F61AC"/>
    <w:rsid w:val="003F6205"/>
    <w:rsid w:val="003F625B"/>
    <w:rsid w:val="003F626D"/>
    <w:rsid w:val="003F62E6"/>
    <w:rsid w:val="003F637D"/>
    <w:rsid w:val="003F6501"/>
    <w:rsid w:val="003F6561"/>
    <w:rsid w:val="003F6580"/>
    <w:rsid w:val="003F6595"/>
    <w:rsid w:val="003F65A8"/>
    <w:rsid w:val="003F6721"/>
    <w:rsid w:val="003F6847"/>
    <w:rsid w:val="003F68E7"/>
    <w:rsid w:val="003F6929"/>
    <w:rsid w:val="003F6955"/>
    <w:rsid w:val="003F6994"/>
    <w:rsid w:val="003F6A37"/>
    <w:rsid w:val="003F6BB8"/>
    <w:rsid w:val="003F6BE0"/>
    <w:rsid w:val="003F6C18"/>
    <w:rsid w:val="003F6C9F"/>
    <w:rsid w:val="003F6D1A"/>
    <w:rsid w:val="003F6DBD"/>
    <w:rsid w:val="003F6E67"/>
    <w:rsid w:val="003F6EDB"/>
    <w:rsid w:val="003F6F04"/>
    <w:rsid w:val="003F6FED"/>
    <w:rsid w:val="003F713D"/>
    <w:rsid w:val="003F71CA"/>
    <w:rsid w:val="003F72A1"/>
    <w:rsid w:val="003F72B3"/>
    <w:rsid w:val="003F72DC"/>
    <w:rsid w:val="003F7371"/>
    <w:rsid w:val="003F7440"/>
    <w:rsid w:val="003F753E"/>
    <w:rsid w:val="003F76C9"/>
    <w:rsid w:val="003F7771"/>
    <w:rsid w:val="003F78AD"/>
    <w:rsid w:val="003F78D9"/>
    <w:rsid w:val="003F7933"/>
    <w:rsid w:val="003F79BE"/>
    <w:rsid w:val="003F79E8"/>
    <w:rsid w:val="003F79FF"/>
    <w:rsid w:val="003F7A8F"/>
    <w:rsid w:val="003F7AD8"/>
    <w:rsid w:val="003F7B36"/>
    <w:rsid w:val="003F7B7D"/>
    <w:rsid w:val="003F7C17"/>
    <w:rsid w:val="003F7C3A"/>
    <w:rsid w:val="003F7C3F"/>
    <w:rsid w:val="003F7CE6"/>
    <w:rsid w:val="003F7D93"/>
    <w:rsid w:val="003F7F4D"/>
    <w:rsid w:val="003F7FE9"/>
    <w:rsid w:val="003F7FF1"/>
    <w:rsid w:val="00400169"/>
    <w:rsid w:val="0040018B"/>
    <w:rsid w:val="0040020A"/>
    <w:rsid w:val="00400294"/>
    <w:rsid w:val="0040031A"/>
    <w:rsid w:val="0040031C"/>
    <w:rsid w:val="00400366"/>
    <w:rsid w:val="00400417"/>
    <w:rsid w:val="00400713"/>
    <w:rsid w:val="00400784"/>
    <w:rsid w:val="00400814"/>
    <w:rsid w:val="00400827"/>
    <w:rsid w:val="004008DC"/>
    <w:rsid w:val="004008EE"/>
    <w:rsid w:val="00400A00"/>
    <w:rsid w:val="00400A79"/>
    <w:rsid w:val="00400A7D"/>
    <w:rsid w:val="00400B58"/>
    <w:rsid w:val="00400B8D"/>
    <w:rsid w:val="00400BAC"/>
    <w:rsid w:val="00400C32"/>
    <w:rsid w:val="00400CE6"/>
    <w:rsid w:val="00400D68"/>
    <w:rsid w:val="00400D6A"/>
    <w:rsid w:val="00400DDB"/>
    <w:rsid w:val="00400E73"/>
    <w:rsid w:val="00400F4F"/>
    <w:rsid w:val="00401035"/>
    <w:rsid w:val="004010E4"/>
    <w:rsid w:val="00401128"/>
    <w:rsid w:val="00401247"/>
    <w:rsid w:val="00401250"/>
    <w:rsid w:val="00401254"/>
    <w:rsid w:val="004012A0"/>
    <w:rsid w:val="004012B3"/>
    <w:rsid w:val="004012F2"/>
    <w:rsid w:val="0040130D"/>
    <w:rsid w:val="00401322"/>
    <w:rsid w:val="004013D6"/>
    <w:rsid w:val="0040160F"/>
    <w:rsid w:val="00401677"/>
    <w:rsid w:val="00401789"/>
    <w:rsid w:val="0040179A"/>
    <w:rsid w:val="004017FB"/>
    <w:rsid w:val="004018BE"/>
    <w:rsid w:val="00401A08"/>
    <w:rsid w:val="00401A30"/>
    <w:rsid w:val="00401B95"/>
    <w:rsid w:val="00401C2C"/>
    <w:rsid w:val="00401C8C"/>
    <w:rsid w:val="004020A6"/>
    <w:rsid w:val="00402120"/>
    <w:rsid w:val="0040215C"/>
    <w:rsid w:val="00402174"/>
    <w:rsid w:val="00402191"/>
    <w:rsid w:val="00402217"/>
    <w:rsid w:val="0040221C"/>
    <w:rsid w:val="00402511"/>
    <w:rsid w:val="00402654"/>
    <w:rsid w:val="004027C4"/>
    <w:rsid w:val="00402881"/>
    <w:rsid w:val="00402925"/>
    <w:rsid w:val="00402977"/>
    <w:rsid w:val="00402A02"/>
    <w:rsid w:val="00402A46"/>
    <w:rsid w:val="00402A71"/>
    <w:rsid w:val="00402A75"/>
    <w:rsid w:val="00402B92"/>
    <w:rsid w:val="00402BB8"/>
    <w:rsid w:val="00402C09"/>
    <w:rsid w:val="00402C96"/>
    <w:rsid w:val="00402D0F"/>
    <w:rsid w:val="00402E06"/>
    <w:rsid w:val="00402E26"/>
    <w:rsid w:val="00402ED8"/>
    <w:rsid w:val="0040300F"/>
    <w:rsid w:val="00403085"/>
    <w:rsid w:val="004031BC"/>
    <w:rsid w:val="004031DF"/>
    <w:rsid w:val="004032AD"/>
    <w:rsid w:val="00403336"/>
    <w:rsid w:val="0040341E"/>
    <w:rsid w:val="00403517"/>
    <w:rsid w:val="0040357D"/>
    <w:rsid w:val="0040360A"/>
    <w:rsid w:val="004036CD"/>
    <w:rsid w:val="0040377E"/>
    <w:rsid w:val="004038F1"/>
    <w:rsid w:val="00403A32"/>
    <w:rsid w:val="00403A5C"/>
    <w:rsid w:val="00403AC7"/>
    <w:rsid w:val="00403B13"/>
    <w:rsid w:val="00403B42"/>
    <w:rsid w:val="00403B67"/>
    <w:rsid w:val="00403DAB"/>
    <w:rsid w:val="00403DB9"/>
    <w:rsid w:val="00403E74"/>
    <w:rsid w:val="00403EC9"/>
    <w:rsid w:val="00403F26"/>
    <w:rsid w:val="0040402C"/>
    <w:rsid w:val="004040E6"/>
    <w:rsid w:val="00404182"/>
    <w:rsid w:val="004041EF"/>
    <w:rsid w:val="004043EF"/>
    <w:rsid w:val="0040450D"/>
    <w:rsid w:val="00404540"/>
    <w:rsid w:val="004046E8"/>
    <w:rsid w:val="00404701"/>
    <w:rsid w:val="0040478B"/>
    <w:rsid w:val="004047A0"/>
    <w:rsid w:val="004047A3"/>
    <w:rsid w:val="004047BE"/>
    <w:rsid w:val="00404917"/>
    <w:rsid w:val="00404962"/>
    <w:rsid w:val="00404AF2"/>
    <w:rsid w:val="00404CF0"/>
    <w:rsid w:val="00404DE1"/>
    <w:rsid w:val="00404EB0"/>
    <w:rsid w:val="00404F5F"/>
    <w:rsid w:val="00404F69"/>
    <w:rsid w:val="00404FA2"/>
    <w:rsid w:val="00405039"/>
    <w:rsid w:val="00405051"/>
    <w:rsid w:val="00405098"/>
    <w:rsid w:val="00405204"/>
    <w:rsid w:val="0040520A"/>
    <w:rsid w:val="0040522D"/>
    <w:rsid w:val="00405408"/>
    <w:rsid w:val="00405474"/>
    <w:rsid w:val="0040551D"/>
    <w:rsid w:val="00405560"/>
    <w:rsid w:val="004055D2"/>
    <w:rsid w:val="00405621"/>
    <w:rsid w:val="0040564B"/>
    <w:rsid w:val="004056C2"/>
    <w:rsid w:val="00405792"/>
    <w:rsid w:val="00405797"/>
    <w:rsid w:val="00405824"/>
    <w:rsid w:val="00405A15"/>
    <w:rsid w:val="00405A3D"/>
    <w:rsid w:val="00405B4E"/>
    <w:rsid w:val="00405B70"/>
    <w:rsid w:val="00405CCE"/>
    <w:rsid w:val="00405DE7"/>
    <w:rsid w:val="00405F1C"/>
    <w:rsid w:val="00405FC1"/>
    <w:rsid w:val="00406044"/>
    <w:rsid w:val="0040618E"/>
    <w:rsid w:val="004063A8"/>
    <w:rsid w:val="0040648D"/>
    <w:rsid w:val="004064BB"/>
    <w:rsid w:val="004064E4"/>
    <w:rsid w:val="004064E9"/>
    <w:rsid w:val="004065F8"/>
    <w:rsid w:val="004066E0"/>
    <w:rsid w:val="00406854"/>
    <w:rsid w:val="004069DB"/>
    <w:rsid w:val="00406A71"/>
    <w:rsid w:val="00406A9F"/>
    <w:rsid w:val="00406C7F"/>
    <w:rsid w:val="00406D1F"/>
    <w:rsid w:val="00406E48"/>
    <w:rsid w:val="00406EEC"/>
    <w:rsid w:val="00406F51"/>
    <w:rsid w:val="00407053"/>
    <w:rsid w:val="00407171"/>
    <w:rsid w:val="0040720B"/>
    <w:rsid w:val="0040738A"/>
    <w:rsid w:val="0040748A"/>
    <w:rsid w:val="00407520"/>
    <w:rsid w:val="004075D5"/>
    <w:rsid w:val="00407691"/>
    <w:rsid w:val="00407891"/>
    <w:rsid w:val="004078E3"/>
    <w:rsid w:val="0040791E"/>
    <w:rsid w:val="00407954"/>
    <w:rsid w:val="00407956"/>
    <w:rsid w:val="0040796A"/>
    <w:rsid w:val="00407A75"/>
    <w:rsid w:val="00407A8B"/>
    <w:rsid w:val="00407BC4"/>
    <w:rsid w:val="00407BDF"/>
    <w:rsid w:val="00407BE6"/>
    <w:rsid w:val="00407C76"/>
    <w:rsid w:val="00407CE5"/>
    <w:rsid w:val="00407E0E"/>
    <w:rsid w:val="00407E64"/>
    <w:rsid w:val="00407F02"/>
    <w:rsid w:val="00407F66"/>
    <w:rsid w:val="00407F6F"/>
    <w:rsid w:val="00407FFD"/>
    <w:rsid w:val="0041007B"/>
    <w:rsid w:val="00410085"/>
    <w:rsid w:val="0041030D"/>
    <w:rsid w:val="0041034A"/>
    <w:rsid w:val="00410356"/>
    <w:rsid w:val="0041040D"/>
    <w:rsid w:val="0041059D"/>
    <w:rsid w:val="004105B0"/>
    <w:rsid w:val="00410655"/>
    <w:rsid w:val="0041069F"/>
    <w:rsid w:val="004106A0"/>
    <w:rsid w:val="0041070B"/>
    <w:rsid w:val="00410719"/>
    <w:rsid w:val="004107AE"/>
    <w:rsid w:val="004107D8"/>
    <w:rsid w:val="00410918"/>
    <w:rsid w:val="00410B13"/>
    <w:rsid w:val="00410BBB"/>
    <w:rsid w:val="00410BBD"/>
    <w:rsid w:val="00410D11"/>
    <w:rsid w:val="00410D87"/>
    <w:rsid w:val="00410DD5"/>
    <w:rsid w:val="00410E96"/>
    <w:rsid w:val="00410FBE"/>
    <w:rsid w:val="00411051"/>
    <w:rsid w:val="004111F1"/>
    <w:rsid w:val="00411265"/>
    <w:rsid w:val="0041127C"/>
    <w:rsid w:val="004112D6"/>
    <w:rsid w:val="004112E0"/>
    <w:rsid w:val="004112FD"/>
    <w:rsid w:val="00411499"/>
    <w:rsid w:val="004114C7"/>
    <w:rsid w:val="0041164E"/>
    <w:rsid w:val="00411688"/>
    <w:rsid w:val="004116CB"/>
    <w:rsid w:val="0041172F"/>
    <w:rsid w:val="004117BB"/>
    <w:rsid w:val="004117C1"/>
    <w:rsid w:val="00411819"/>
    <w:rsid w:val="00411872"/>
    <w:rsid w:val="0041193B"/>
    <w:rsid w:val="0041194F"/>
    <w:rsid w:val="00411A68"/>
    <w:rsid w:val="00411B2F"/>
    <w:rsid w:val="00411B45"/>
    <w:rsid w:val="00411CB5"/>
    <w:rsid w:val="00411CD6"/>
    <w:rsid w:val="00411CF0"/>
    <w:rsid w:val="00411E1A"/>
    <w:rsid w:val="00411EE8"/>
    <w:rsid w:val="00411FA4"/>
    <w:rsid w:val="00412090"/>
    <w:rsid w:val="004120C3"/>
    <w:rsid w:val="00412113"/>
    <w:rsid w:val="0041215A"/>
    <w:rsid w:val="0041220C"/>
    <w:rsid w:val="00412213"/>
    <w:rsid w:val="004122A2"/>
    <w:rsid w:val="004122D8"/>
    <w:rsid w:val="00412464"/>
    <w:rsid w:val="00412519"/>
    <w:rsid w:val="0041252D"/>
    <w:rsid w:val="00412697"/>
    <w:rsid w:val="00412705"/>
    <w:rsid w:val="0041273B"/>
    <w:rsid w:val="0041288C"/>
    <w:rsid w:val="00412A1C"/>
    <w:rsid w:val="00412DF1"/>
    <w:rsid w:val="00412E3E"/>
    <w:rsid w:val="00412E41"/>
    <w:rsid w:val="00412ED0"/>
    <w:rsid w:val="00412F02"/>
    <w:rsid w:val="00412F68"/>
    <w:rsid w:val="0041305C"/>
    <w:rsid w:val="004130C4"/>
    <w:rsid w:val="004130E4"/>
    <w:rsid w:val="00413119"/>
    <w:rsid w:val="00413240"/>
    <w:rsid w:val="004132D9"/>
    <w:rsid w:val="0041336B"/>
    <w:rsid w:val="004133C1"/>
    <w:rsid w:val="004135BC"/>
    <w:rsid w:val="0041369B"/>
    <w:rsid w:val="004136C2"/>
    <w:rsid w:val="00413715"/>
    <w:rsid w:val="0041372B"/>
    <w:rsid w:val="0041375E"/>
    <w:rsid w:val="00413900"/>
    <w:rsid w:val="00413A49"/>
    <w:rsid w:val="00413B67"/>
    <w:rsid w:val="00413BD2"/>
    <w:rsid w:val="00413BF2"/>
    <w:rsid w:val="00413C56"/>
    <w:rsid w:val="00413CEB"/>
    <w:rsid w:val="00413DC6"/>
    <w:rsid w:val="00413DE7"/>
    <w:rsid w:val="00413E23"/>
    <w:rsid w:val="00413E36"/>
    <w:rsid w:val="00413F33"/>
    <w:rsid w:val="00413FF4"/>
    <w:rsid w:val="00414038"/>
    <w:rsid w:val="0041409D"/>
    <w:rsid w:val="00414106"/>
    <w:rsid w:val="00414196"/>
    <w:rsid w:val="00414256"/>
    <w:rsid w:val="0041431D"/>
    <w:rsid w:val="004143C7"/>
    <w:rsid w:val="004143E1"/>
    <w:rsid w:val="004144C7"/>
    <w:rsid w:val="00414694"/>
    <w:rsid w:val="0041470B"/>
    <w:rsid w:val="004147B3"/>
    <w:rsid w:val="004147F8"/>
    <w:rsid w:val="0041481C"/>
    <w:rsid w:val="00414A38"/>
    <w:rsid w:val="00414A68"/>
    <w:rsid w:val="00414CE4"/>
    <w:rsid w:val="00414D01"/>
    <w:rsid w:val="00414D60"/>
    <w:rsid w:val="00414EF9"/>
    <w:rsid w:val="00414F8A"/>
    <w:rsid w:val="00414FCE"/>
    <w:rsid w:val="00414FDB"/>
    <w:rsid w:val="0041506D"/>
    <w:rsid w:val="004150F5"/>
    <w:rsid w:val="00415106"/>
    <w:rsid w:val="0041514F"/>
    <w:rsid w:val="0041517E"/>
    <w:rsid w:val="0041520A"/>
    <w:rsid w:val="0041529C"/>
    <w:rsid w:val="00415306"/>
    <w:rsid w:val="0041533D"/>
    <w:rsid w:val="004153E9"/>
    <w:rsid w:val="00415426"/>
    <w:rsid w:val="004155D5"/>
    <w:rsid w:val="004155EF"/>
    <w:rsid w:val="00415679"/>
    <w:rsid w:val="0041569F"/>
    <w:rsid w:val="0041570A"/>
    <w:rsid w:val="00415776"/>
    <w:rsid w:val="004157ED"/>
    <w:rsid w:val="00415948"/>
    <w:rsid w:val="0041594A"/>
    <w:rsid w:val="004159C0"/>
    <w:rsid w:val="00415B09"/>
    <w:rsid w:val="00415DA7"/>
    <w:rsid w:val="00415E15"/>
    <w:rsid w:val="00415E2B"/>
    <w:rsid w:val="00415F64"/>
    <w:rsid w:val="004160DF"/>
    <w:rsid w:val="004160E5"/>
    <w:rsid w:val="004160FD"/>
    <w:rsid w:val="00416111"/>
    <w:rsid w:val="00416121"/>
    <w:rsid w:val="0041612A"/>
    <w:rsid w:val="00416139"/>
    <w:rsid w:val="0041625A"/>
    <w:rsid w:val="004162F3"/>
    <w:rsid w:val="0041645C"/>
    <w:rsid w:val="00416495"/>
    <w:rsid w:val="00416525"/>
    <w:rsid w:val="004165DC"/>
    <w:rsid w:val="00416675"/>
    <w:rsid w:val="00416690"/>
    <w:rsid w:val="004166C1"/>
    <w:rsid w:val="00416764"/>
    <w:rsid w:val="00416858"/>
    <w:rsid w:val="00416884"/>
    <w:rsid w:val="00416975"/>
    <w:rsid w:val="00416B71"/>
    <w:rsid w:val="00416B83"/>
    <w:rsid w:val="00416D26"/>
    <w:rsid w:val="00416D68"/>
    <w:rsid w:val="00416D6C"/>
    <w:rsid w:val="00416DBB"/>
    <w:rsid w:val="00416F89"/>
    <w:rsid w:val="00417094"/>
    <w:rsid w:val="004170D6"/>
    <w:rsid w:val="00417184"/>
    <w:rsid w:val="004171AF"/>
    <w:rsid w:val="004171BD"/>
    <w:rsid w:val="004171C1"/>
    <w:rsid w:val="004171E8"/>
    <w:rsid w:val="00417266"/>
    <w:rsid w:val="004172A5"/>
    <w:rsid w:val="004172F2"/>
    <w:rsid w:val="004173A7"/>
    <w:rsid w:val="00417406"/>
    <w:rsid w:val="0041753E"/>
    <w:rsid w:val="00417564"/>
    <w:rsid w:val="00417567"/>
    <w:rsid w:val="004176CB"/>
    <w:rsid w:val="004177B4"/>
    <w:rsid w:val="004177B7"/>
    <w:rsid w:val="004178BF"/>
    <w:rsid w:val="004178F7"/>
    <w:rsid w:val="00417900"/>
    <w:rsid w:val="00417967"/>
    <w:rsid w:val="00417976"/>
    <w:rsid w:val="00417A3F"/>
    <w:rsid w:val="00417A4D"/>
    <w:rsid w:val="00417C8D"/>
    <w:rsid w:val="00417CFF"/>
    <w:rsid w:val="00417D0A"/>
    <w:rsid w:val="00417D75"/>
    <w:rsid w:val="004200A3"/>
    <w:rsid w:val="0042010B"/>
    <w:rsid w:val="00420201"/>
    <w:rsid w:val="00420226"/>
    <w:rsid w:val="004202E9"/>
    <w:rsid w:val="0042041C"/>
    <w:rsid w:val="004205EC"/>
    <w:rsid w:val="0042061D"/>
    <w:rsid w:val="00420668"/>
    <w:rsid w:val="00420772"/>
    <w:rsid w:val="004207E2"/>
    <w:rsid w:val="00420834"/>
    <w:rsid w:val="004208AA"/>
    <w:rsid w:val="00420905"/>
    <w:rsid w:val="00420951"/>
    <w:rsid w:val="00420A10"/>
    <w:rsid w:val="00420B27"/>
    <w:rsid w:val="00420D12"/>
    <w:rsid w:val="00420D79"/>
    <w:rsid w:val="00420EAF"/>
    <w:rsid w:val="00420ED4"/>
    <w:rsid w:val="00420EE0"/>
    <w:rsid w:val="00420F12"/>
    <w:rsid w:val="00420F7C"/>
    <w:rsid w:val="004210A2"/>
    <w:rsid w:val="00421367"/>
    <w:rsid w:val="004213CF"/>
    <w:rsid w:val="00421429"/>
    <w:rsid w:val="004214B3"/>
    <w:rsid w:val="00421585"/>
    <w:rsid w:val="00421588"/>
    <w:rsid w:val="0042167A"/>
    <w:rsid w:val="004216B6"/>
    <w:rsid w:val="004216EB"/>
    <w:rsid w:val="0042171C"/>
    <w:rsid w:val="00421806"/>
    <w:rsid w:val="00421846"/>
    <w:rsid w:val="00421872"/>
    <w:rsid w:val="0042191A"/>
    <w:rsid w:val="004219F9"/>
    <w:rsid w:val="00421A01"/>
    <w:rsid w:val="00421A32"/>
    <w:rsid w:val="00421AA2"/>
    <w:rsid w:val="00421BC7"/>
    <w:rsid w:val="00421C30"/>
    <w:rsid w:val="00421CBF"/>
    <w:rsid w:val="00421DB7"/>
    <w:rsid w:val="00421DF4"/>
    <w:rsid w:val="00421EEC"/>
    <w:rsid w:val="00421F25"/>
    <w:rsid w:val="00422081"/>
    <w:rsid w:val="00422093"/>
    <w:rsid w:val="00422161"/>
    <w:rsid w:val="004222C7"/>
    <w:rsid w:val="004222D3"/>
    <w:rsid w:val="00422358"/>
    <w:rsid w:val="0042236F"/>
    <w:rsid w:val="00422374"/>
    <w:rsid w:val="004224F6"/>
    <w:rsid w:val="004225AD"/>
    <w:rsid w:val="004225BA"/>
    <w:rsid w:val="0042271F"/>
    <w:rsid w:val="004227DA"/>
    <w:rsid w:val="00422817"/>
    <w:rsid w:val="00422820"/>
    <w:rsid w:val="0042293D"/>
    <w:rsid w:val="00422944"/>
    <w:rsid w:val="00422A04"/>
    <w:rsid w:val="00422A17"/>
    <w:rsid w:val="00422A64"/>
    <w:rsid w:val="00422BAC"/>
    <w:rsid w:val="00422D98"/>
    <w:rsid w:val="00422E66"/>
    <w:rsid w:val="00422F40"/>
    <w:rsid w:val="00423007"/>
    <w:rsid w:val="00423010"/>
    <w:rsid w:val="00423198"/>
    <w:rsid w:val="0042319C"/>
    <w:rsid w:val="004232B2"/>
    <w:rsid w:val="00423384"/>
    <w:rsid w:val="00423470"/>
    <w:rsid w:val="004234A7"/>
    <w:rsid w:val="0042357B"/>
    <w:rsid w:val="004235E2"/>
    <w:rsid w:val="0042365F"/>
    <w:rsid w:val="004236D2"/>
    <w:rsid w:val="004236DA"/>
    <w:rsid w:val="00423710"/>
    <w:rsid w:val="0042371D"/>
    <w:rsid w:val="00423915"/>
    <w:rsid w:val="0042392E"/>
    <w:rsid w:val="004239CB"/>
    <w:rsid w:val="00423AA9"/>
    <w:rsid w:val="00423B5B"/>
    <w:rsid w:val="00423B73"/>
    <w:rsid w:val="00423C64"/>
    <w:rsid w:val="00423D5B"/>
    <w:rsid w:val="00423DD9"/>
    <w:rsid w:val="00423DE8"/>
    <w:rsid w:val="00423E0B"/>
    <w:rsid w:val="00423FDF"/>
    <w:rsid w:val="0042422D"/>
    <w:rsid w:val="004242BA"/>
    <w:rsid w:val="004242EA"/>
    <w:rsid w:val="004242F6"/>
    <w:rsid w:val="00424341"/>
    <w:rsid w:val="00424352"/>
    <w:rsid w:val="00424470"/>
    <w:rsid w:val="0042453D"/>
    <w:rsid w:val="00424651"/>
    <w:rsid w:val="00424677"/>
    <w:rsid w:val="00424765"/>
    <w:rsid w:val="004247FE"/>
    <w:rsid w:val="00424823"/>
    <w:rsid w:val="004248A8"/>
    <w:rsid w:val="004248D1"/>
    <w:rsid w:val="0042490A"/>
    <w:rsid w:val="00424A82"/>
    <w:rsid w:val="00424ABE"/>
    <w:rsid w:val="00424AD6"/>
    <w:rsid w:val="00424C35"/>
    <w:rsid w:val="00424F23"/>
    <w:rsid w:val="00424FF7"/>
    <w:rsid w:val="00425036"/>
    <w:rsid w:val="004251B5"/>
    <w:rsid w:val="00425226"/>
    <w:rsid w:val="004252AA"/>
    <w:rsid w:val="004252D8"/>
    <w:rsid w:val="004252E0"/>
    <w:rsid w:val="0042533C"/>
    <w:rsid w:val="0042538C"/>
    <w:rsid w:val="004253B4"/>
    <w:rsid w:val="0042561B"/>
    <w:rsid w:val="00425621"/>
    <w:rsid w:val="00425634"/>
    <w:rsid w:val="0042565A"/>
    <w:rsid w:val="004256E2"/>
    <w:rsid w:val="004257D5"/>
    <w:rsid w:val="004257D7"/>
    <w:rsid w:val="004258B1"/>
    <w:rsid w:val="00425923"/>
    <w:rsid w:val="00425926"/>
    <w:rsid w:val="00425944"/>
    <w:rsid w:val="004259D3"/>
    <w:rsid w:val="004259E5"/>
    <w:rsid w:val="00425A3B"/>
    <w:rsid w:val="00425D1C"/>
    <w:rsid w:val="00425D29"/>
    <w:rsid w:val="00425D61"/>
    <w:rsid w:val="00425D6F"/>
    <w:rsid w:val="00425E2C"/>
    <w:rsid w:val="00425E4B"/>
    <w:rsid w:val="00425EA6"/>
    <w:rsid w:val="00425F20"/>
    <w:rsid w:val="00425F2E"/>
    <w:rsid w:val="00425F88"/>
    <w:rsid w:val="00425FD0"/>
    <w:rsid w:val="00426092"/>
    <w:rsid w:val="00426102"/>
    <w:rsid w:val="00426158"/>
    <w:rsid w:val="004261A3"/>
    <w:rsid w:val="004261DD"/>
    <w:rsid w:val="004261E1"/>
    <w:rsid w:val="004261E8"/>
    <w:rsid w:val="00426236"/>
    <w:rsid w:val="004263C3"/>
    <w:rsid w:val="00426475"/>
    <w:rsid w:val="0042659F"/>
    <w:rsid w:val="004265AF"/>
    <w:rsid w:val="00426672"/>
    <w:rsid w:val="004266D0"/>
    <w:rsid w:val="0042674A"/>
    <w:rsid w:val="0042682E"/>
    <w:rsid w:val="004269B7"/>
    <w:rsid w:val="00426A55"/>
    <w:rsid w:val="00426A87"/>
    <w:rsid w:val="00426C33"/>
    <w:rsid w:val="00426E4F"/>
    <w:rsid w:val="00426EA9"/>
    <w:rsid w:val="00427026"/>
    <w:rsid w:val="00427114"/>
    <w:rsid w:val="0042727F"/>
    <w:rsid w:val="004272E4"/>
    <w:rsid w:val="004273AD"/>
    <w:rsid w:val="004273B5"/>
    <w:rsid w:val="004273F0"/>
    <w:rsid w:val="00427489"/>
    <w:rsid w:val="004274F5"/>
    <w:rsid w:val="004276C5"/>
    <w:rsid w:val="004276CE"/>
    <w:rsid w:val="004277F1"/>
    <w:rsid w:val="00427839"/>
    <w:rsid w:val="00427875"/>
    <w:rsid w:val="0042797B"/>
    <w:rsid w:val="00427A5F"/>
    <w:rsid w:val="00427B9B"/>
    <w:rsid w:val="00427C6E"/>
    <w:rsid w:val="00427CB1"/>
    <w:rsid w:val="00427E3C"/>
    <w:rsid w:val="00427EEC"/>
    <w:rsid w:val="00427FF9"/>
    <w:rsid w:val="00430064"/>
    <w:rsid w:val="00430118"/>
    <w:rsid w:val="0043026A"/>
    <w:rsid w:val="00430307"/>
    <w:rsid w:val="004303DA"/>
    <w:rsid w:val="004304A1"/>
    <w:rsid w:val="00430676"/>
    <w:rsid w:val="00430768"/>
    <w:rsid w:val="004307AD"/>
    <w:rsid w:val="004307B6"/>
    <w:rsid w:val="00430853"/>
    <w:rsid w:val="004309EE"/>
    <w:rsid w:val="00430A0F"/>
    <w:rsid w:val="00430B17"/>
    <w:rsid w:val="00430B6F"/>
    <w:rsid w:val="00430BD0"/>
    <w:rsid w:val="00430C00"/>
    <w:rsid w:val="00430DD7"/>
    <w:rsid w:val="00430EB2"/>
    <w:rsid w:val="00430F32"/>
    <w:rsid w:val="00430FB2"/>
    <w:rsid w:val="004310CD"/>
    <w:rsid w:val="0043116D"/>
    <w:rsid w:val="004312C4"/>
    <w:rsid w:val="004312F6"/>
    <w:rsid w:val="0043143E"/>
    <w:rsid w:val="0043146A"/>
    <w:rsid w:val="0043163E"/>
    <w:rsid w:val="0043164C"/>
    <w:rsid w:val="004316B0"/>
    <w:rsid w:val="00431780"/>
    <w:rsid w:val="0043192C"/>
    <w:rsid w:val="00431A0A"/>
    <w:rsid w:val="00431B85"/>
    <w:rsid w:val="00431D86"/>
    <w:rsid w:val="00431DA0"/>
    <w:rsid w:val="00431DA4"/>
    <w:rsid w:val="00431DE9"/>
    <w:rsid w:val="00431DFD"/>
    <w:rsid w:val="00431E6D"/>
    <w:rsid w:val="00431E94"/>
    <w:rsid w:val="00431ED9"/>
    <w:rsid w:val="00431FFA"/>
    <w:rsid w:val="00432091"/>
    <w:rsid w:val="00432099"/>
    <w:rsid w:val="004320B6"/>
    <w:rsid w:val="0043213C"/>
    <w:rsid w:val="00432251"/>
    <w:rsid w:val="0043230C"/>
    <w:rsid w:val="00432375"/>
    <w:rsid w:val="0043239B"/>
    <w:rsid w:val="004323FA"/>
    <w:rsid w:val="0043247A"/>
    <w:rsid w:val="004326D2"/>
    <w:rsid w:val="004326E1"/>
    <w:rsid w:val="004326FE"/>
    <w:rsid w:val="00432706"/>
    <w:rsid w:val="00432893"/>
    <w:rsid w:val="00432902"/>
    <w:rsid w:val="00432922"/>
    <w:rsid w:val="00432957"/>
    <w:rsid w:val="0043295A"/>
    <w:rsid w:val="004329BB"/>
    <w:rsid w:val="00432A39"/>
    <w:rsid w:val="00432AD3"/>
    <w:rsid w:val="00432B3B"/>
    <w:rsid w:val="00432C29"/>
    <w:rsid w:val="00432C90"/>
    <w:rsid w:val="00432CB6"/>
    <w:rsid w:val="00432D01"/>
    <w:rsid w:val="00432E3F"/>
    <w:rsid w:val="00432EE4"/>
    <w:rsid w:val="00432F1F"/>
    <w:rsid w:val="00433125"/>
    <w:rsid w:val="00433188"/>
    <w:rsid w:val="0043330F"/>
    <w:rsid w:val="004333E6"/>
    <w:rsid w:val="00433441"/>
    <w:rsid w:val="00433545"/>
    <w:rsid w:val="00433615"/>
    <w:rsid w:val="0043365B"/>
    <w:rsid w:val="004336D2"/>
    <w:rsid w:val="0043370E"/>
    <w:rsid w:val="004337C4"/>
    <w:rsid w:val="004337CD"/>
    <w:rsid w:val="00433909"/>
    <w:rsid w:val="0043396C"/>
    <w:rsid w:val="0043398B"/>
    <w:rsid w:val="004339D6"/>
    <w:rsid w:val="00433A46"/>
    <w:rsid w:val="00433B73"/>
    <w:rsid w:val="00433C5A"/>
    <w:rsid w:val="00433D6F"/>
    <w:rsid w:val="00433DD6"/>
    <w:rsid w:val="00433ECE"/>
    <w:rsid w:val="00433F05"/>
    <w:rsid w:val="00433F10"/>
    <w:rsid w:val="00433F15"/>
    <w:rsid w:val="00434046"/>
    <w:rsid w:val="00434169"/>
    <w:rsid w:val="0043418F"/>
    <w:rsid w:val="0043437F"/>
    <w:rsid w:val="004343C7"/>
    <w:rsid w:val="004343E8"/>
    <w:rsid w:val="004345F5"/>
    <w:rsid w:val="00434676"/>
    <w:rsid w:val="004346BF"/>
    <w:rsid w:val="004346EA"/>
    <w:rsid w:val="00434709"/>
    <w:rsid w:val="00434717"/>
    <w:rsid w:val="00434762"/>
    <w:rsid w:val="0043477A"/>
    <w:rsid w:val="00434934"/>
    <w:rsid w:val="004349D4"/>
    <w:rsid w:val="004349DF"/>
    <w:rsid w:val="00434AED"/>
    <w:rsid w:val="00434B4B"/>
    <w:rsid w:val="00434BB0"/>
    <w:rsid w:val="00434CC5"/>
    <w:rsid w:val="00434CCC"/>
    <w:rsid w:val="00434CF2"/>
    <w:rsid w:val="00434D98"/>
    <w:rsid w:val="00434F22"/>
    <w:rsid w:val="00435049"/>
    <w:rsid w:val="00435105"/>
    <w:rsid w:val="00435160"/>
    <w:rsid w:val="0043523F"/>
    <w:rsid w:val="00435243"/>
    <w:rsid w:val="004353B8"/>
    <w:rsid w:val="004353C5"/>
    <w:rsid w:val="004353D5"/>
    <w:rsid w:val="00435455"/>
    <w:rsid w:val="004354EC"/>
    <w:rsid w:val="00435610"/>
    <w:rsid w:val="00435635"/>
    <w:rsid w:val="00435648"/>
    <w:rsid w:val="0043585E"/>
    <w:rsid w:val="00435890"/>
    <w:rsid w:val="004359EB"/>
    <w:rsid w:val="00435A14"/>
    <w:rsid w:val="00435AC0"/>
    <w:rsid w:val="00435B81"/>
    <w:rsid w:val="00435C5D"/>
    <w:rsid w:val="00435CC1"/>
    <w:rsid w:val="00435CEC"/>
    <w:rsid w:val="00435D0C"/>
    <w:rsid w:val="00435D6A"/>
    <w:rsid w:val="00435D91"/>
    <w:rsid w:val="00435E6C"/>
    <w:rsid w:val="00436127"/>
    <w:rsid w:val="00436168"/>
    <w:rsid w:val="0043622F"/>
    <w:rsid w:val="00436268"/>
    <w:rsid w:val="004362FC"/>
    <w:rsid w:val="00436330"/>
    <w:rsid w:val="0043633F"/>
    <w:rsid w:val="00436447"/>
    <w:rsid w:val="0043647E"/>
    <w:rsid w:val="004367F8"/>
    <w:rsid w:val="00436845"/>
    <w:rsid w:val="004368AA"/>
    <w:rsid w:val="0043690B"/>
    <w:rsid w:val="0043695F"/>
    <w:rsid w:val="004369A4"/>
    <w:rsid w:val="00436A8E"/>
    <w:rsid w:val="00436AA7"/>
    <w:rsid w:val="00436B6C"/>
    <w:rsid w:val="00436BC4"/>
    <w:rsid w:val="00436D70"/>
    <w:rsid w:val="00436E42"/>
    <w:rsid w:val="00436FDB"/>
    <w:rsid w:val="0043709B"/>
    <w:rsid w:val="0043709E"/>
    <w:rsid w:val="0043715C"/>
    <w:rsid w:val="004371EF"/>
    <w:rsid w:val="00437280"/>
    <w:rsid w:val="00437385"/>
    <w:rsid w:val="004373AF"/>
    <w:rsid w:val="0043742D"/>
    <w:rsid w:val="0043744C"/>
    <w:rsid w:val="0043749A"/>
    <w:rsid w:val="0043750A"/>
    <w:rsid w:val="004375D6"/>
    <w:rsid w:val="00437603"/>
    <w:rsid w:val="00437701"/>
    <w:rsid w:val="004378E2"/>
    <w:rsid w:val="004378F8"/>
    <w:rsid w:val="004379C1"/>
    <w:rsid w:val="004379EF"/>
    <w:rsid w:val="00437A4B"/>
    <w:rsid w:val="00437B9F"/>
    <w:rsid w:val="00437C55"/>
    <w:rsid w:val="00437CBF"/>
    <w:rsid w:val="00437CE5"/>
    <w:rsid w:val="00437E03"/>
    <w:rsid w:val="00437F76"/>
    <w:rsid w:val="004400CF"/>
    <w:rsid w:val="00440140"/>
    <w:rsid w:val="00440263"/>
    <w:rsid w:val="004402BB"/>
    <w:rsid w:val="004402E5"/>
    <w:rsid w:val="00440339"/>
    <w:rsid w:val="0044044E"/>
    <w:rsid w:val="00440539"/>
    <w:rsid w:val="004405FB"/>
    <w:rsid w:val="00440748"/>
    <w:rsid w:val="0044079F"/>
    <w:rsid w:val="0044086F"/>
    <w:rsid w:val="00440A4A"/>
    <w:rsid w:val="00440A68"/>
    <w:rsid w:val="00440A72"/>
    <w:rsid w:val="00440AB6"/>
    <w:rsid w:val="00440D5B"/>
    <w:rsid w:val="00440DE0"/>
    <w:rsid w:val="00440E2E"/>
    <w:rsid w:val="00440F36"/>
    <w:rsid w:val="0044103B"/>
    <w:rsid w:val="004410A1"/>
    <w:rsid w:val="004410D0"/>
    <w:rsid w:val="0044112C"/>
    <w:rsid w:val="0044118D"/>
    <w:rsid w:val="00441249"/>
    <w:rsid w:val="0044128F"/>
    <w:rsid w:val="004413FD"/>
    <w:rsid w:val="004414A6"/>
    <w:rsid w:val="00441606"/>
    <w:rsid w:val="00441673"/>
    <w:rsid w:val="004416AF"/>
    <w:rsid w:val="004416BC"/>
    <w:rsid w:val="004417A5"/>
    <w:rsid w:val="0044185A"/>
    <w:rsid w:val="004418BC"/>
    <w:rsid w:val="0044198A"/>
    <w:rsid w:val="00441A84"/>
    <w:rsid w:val="00441BEA"/>
    <w:rsid w:val="00441BEB"/>
    <w:rsid w:val="00441D5E"/>
    <w:rsid w:val="00441E2D"/>
    <w:rsid w:val="00441E70"/>
    <w:rsid w:val="00441FDF"/>
    <w:rsid w:val="004420CC"/>
    <w:rsid w:val="00442302"/>
    <w:rsid w:val="0044235E"/>
    <w:rsid w:val="00442396"/>
    <w:rsid w:val="004423B2"/>
    <w:rsid w:val="004423F8"/>
    <w:rsid w:val="0044244A"/>
    <w:rsid w:val="004424BE"/>
    <w:rsid w:val="00442628"/>
    <w:rsid w:val="00442632"/>
    <w:rsid w:val="00442650"/>
    <w:rsid w:val="004426D0"/>
    <w:rsid w:val="00442762"/>
    <w:rsid w:val="00442A6A"/>
    <w:rsid w:val="00442A77"/>
    <w:rsid w:val="00442BB4"/>
    <w:rsid w:val="00442C9C"/>
    <w:rsid w:val="00442D23"/>
    <w:rsid w:val="00442DE2"/>
    <w:rsid w:val="00442E56"/>
    <w:rsid w:val="00442F85"/>
    <w:rsid w:val="0044300D"/>
    <w:rsid w:val="004430F2"/>
    <w:rsid w:val="00443122"/>
    <w:rsid w:val="0044312E"/>
    <w:rsid w:val="004431AE"/>
    <w:rsid w:val="0044344C"/>
    <w:rsid w:val="0044354E"/>
    <w:rsid w:val="00443580"/>
    <w:rsid w:val="00443811"/>
    <w:rsid w:val="00443961"/>
    <w:rsid w:val="00443A25"/>
    <w:rsid w:val="00443AA9"/>
    <w:rsid w:val="00443ABE"/>
    <w:rsid w:val="00443B2D"/>
    <w:rsid w:val="00443DD7"/>
    <w:rsid w:val="00443E20"/>
    <w:rsid w:val="00443EF8"/>
    <w:rsid w:val="00443FDC"/>
    <w:rsid w:val="0044417E"/>
    <w:rsid w:val="004441C6"/>
    <w:rsid w:val="0044423A"/>
    <w:rsid w:val="00444291"/>
    <w:rsid w:val="0044429B"/>
    <w:rsid w:val="00444337"/>
    <w:rsid w:val="0044435A"/>
    <w:rsid w:val="004443B8"/>
    <w:rsid w:val="0044441E"/>
    <w:rsid w:val="004444B2"/>
    <w:rsid w:val="00444535"/>
    <w:rsid w:val="00444554"/>
    <w:rsid w:val="004445B8"/>
    <w:rsid w:val="004445DD"/>
    <w:rsid w:val="00444631"/>
    <w:rsid w:val="00444706"/>
    <w:rsid w:val="00444857"/>
    <w:rsid w:val="004448B1"/>
    <w:rsid w:val="00444996"/>
    <w:rsid w:val="004449B4"/>
    <w:rsid w:val="00444AA6"/>
    <w:rsid w:val="00444AF4"/>
    <w:rsid w:val="00444B0C"/>
    <w:rsid w:val="00444B27"/>
    <w:rsid w:val="00444B7C"/>
    <w:rsid w:val="00444B90"/>
    <w:rsid w:val="00444BF1"/>
    <w:rsid w:val="00444CA0"/>
    <w:rsid w:val="00444D2B"/>
    <w:rsid w:val="00444D76"/>
    <w:rsid w:val="00444D8C"/>
    <w:rsid w:val="00444E21"/>
    <w:rsid w:val="00444F3B"/>
    <w:rsid w:val="00444F88"/>
    <w:rsid w:val="00444F91"/>
    <w:rsid w:val="00445025"/>
    <w:rsid w:val="004450C0"/>
    <w:rsid w:val="00445107"/>
    <w:rsid w:val="00445151"/>
    <w:rsid w:val="00445159"/>
    <w:rsid w:val="004451C5"/>
    <w:rsid w:val="00445214"/>
    <w:rsid w:val="00445228"/>
    <w:rsid w:val="00445304"/>
    <w:rsid w:val="004454C0"/>
    <w:rsid w:val="004454C2"/>
    <w:rsid w:val="004455A9"/>
    <w:rsid w:val="0044573D"/>
    <w:rsid w:val="004457C4"/>
    <w:rsid w:val="0044582E"/>
    <w:rsid w:val="0044592C"/>
    <w:rsid w:val="0044598C"/>
    <w:rsid w:val="00445A3B"/>
    <w:rsid w:val="00445B89"/>
    <w:rsid w:val="00445BCF"/>
    <w:rsid w:val="00445EF0"/>
    <w:rsid w:val="00445F1D"/>
    <w:rsid w:val="00445F1E"/>
    <w:rsid w:val="00445FA8"/>
    <w:rsid w:val="00446010"/>
    <w:rsid w:val="004460A5"/>
    <w:rsid w:val="00446139"/>
    <w:rsid w:val="0044616F"/>
    <w:rsid w:val="0044617C"/>
    <w:rsid w:val="004461A5"/>
    <w:rsid w:val="004463EF"/>
    <w:rsid w:val="004464BD"/>
    <w:rsid w:val="004464FC"/>
    <w:rsid w:val="00446523"/>
    <w:rsid w:val="004465BA"/>
    <w:rsid w:val="0044669D"/>
    <w:rsid w:val="004466A6"/>
    <w:rsid w:val="0044673D"/>
    <w:rsid w:val="00446831"/>
    <w:rsid w:val="0044685B"/>
    <w:rsid w:val="00446A35"/>
    <w:rsid w:val="00446D54"/>
    <w:rsid w:val="00446D5B"/>
    <w:rsid w:val="00446D8C"/>
    <w:rsid w:val="00446D9A"/>
    <w:rsid w:val="00446EEA"/>
    <w:rsid w:val="00446FA0"/>
    <w:rsid w:val="004471F7"/>
    <w:rsid w:val="00447301"/>
    <w:rsid w:val="0044733C"/>
    <w:rsid w:val="00447456"/>
    <w:rsid w:val="004474C0"/>
    <w:rsid w:val="00447555"/>
    <w:rsid w:val="004475AF"/>
    <w:rsid w:val="00447611"/>
    <w:rsid w:val="00447658"/>
    <w:rsid w:val="0044767F"/>
    <w:rsid w:val="004476B2"/>
    <w:rsid w:val="004476C7"/>
    <w:rsid w:val="00447820"/>
    <w:rsid w:val="00447991"/>
    <w:rsid w:val="004479B6"/>
    <w:rsid w:val="00447A69"/>
    <w:rsid w:val="00447B8D"/>
    <w:rsid w:val="00447BEF"/>
    <w:rsid w:val="00447C43"/>
    <w:rsid w:val="00447CB1"/>
    <w:rsid w:val="00447D3B"/>
    <w:rsid w:val="00447DAD"/>
    <w:rsid w:val="00447F54"/>
    <w:rsid w:val="00450007"/>
    <w:rsid w:val="00450152"/>
    <w:rsid w:val="004501A0"/>
    <w:rsid w:val="004502E1"/>
    <w:rsid w:val="004503DA"/>
    <w:rsid w:val="00450448"/>
    <w:rsid w:val="00450469"/>
    <w:rsid w:val="0045067F"/>
    <w:rsid w:val="00450885"/>
    <w:rsid w:val="004508EC"/>
    <w:rsid w:val="004508F2"/>
    <w:rsid w:val="004508FB"/>
    <w:rsid w:val="0045094D"/>
    <w:rsid w:val="004509AC"/>
    <w:rsid w:val="004509FF"/>
    <w:rsid w:val="00450A00"/>
    <w:rsid w:val="00450B4B"/>
    <w:rsid w:val="00450B5A"/>
    <w:rsid w:val="00450BE1"/>
    <w:rsid w:val="00450D32"/>
    <w:rsid w:val="00450D46"/>
    <w:rsid w:val="00450F09"/>
    <w:rsid w:val="00450F4B"/>
    <w:rsid w:val="00451164"/>
    <w:rsid w:val="00451179"/>
    <w:rsid w:val="004511E2"/>
    <w:rsid w:val="0045120C"/>
    <w:rsid w:val="0045120D"/>
    <w:rsid w:val="00451277"/>
    <w:rsid w:val="0045128A"/>
    <w:rsid w:val="004512C9"/>
    <w:rsid w:val="004513A1"/>
    <w:rsid w:val="004513DD"/>
    <w:rsid w:val="004513E3"/>
    <w:rsid w:val="004515DE"/>
    <w:rsid w:val="00451617"/>
    <w:rsid w:val="0045176E"/>
    <w:rsid w:val="00451860"/>
    <w:rsid w:val="00451916"/>
    <w:rsid w:val="00451A81"/>
    <w:rsid w:val="00451B4E"/>
    <w:rsid w:val="00451CF2"/>
    <w:rsid w:val="00451D44"/>
    <w:rsid w:val="00451E62"/>
    <w:rsid w:val="00451EFA"/>
    <w:rsid w:val="00451F34"/>
    <w:rsid w:val="00451F4E"/>
    <w:rsid w:val="00451FD6"/>
    <w:rsid w:val="00451FF9"/>
    <w:rsid w:val="00452129"/>
    <w:rsid w:val="0045224D"/>
    <w:rsid w:val="004522EC"/>
    <w:rsid w:val="004522FD"/>
    <w:rsid w:val="00452475"/>
    <w:rsid w:val="004524A9"/>
    <w:rsid w:val="004524AE"/>
    <w:rsid w:val="004524F9"/>
    <w:rsid w:val="0045253E"/>
    <w:rsid w:val="004526A8"/>
    <w:rsid w:val="004526A9"/>
    <w:rsid w:val="004526EB"/>
    <w:rsid w:val="00452728"/>
    <w:rsid w:val="00452971"/>
    <w:rsid w:val="004529E7"/>
    <w:rsid w:val="00452BEC"/>
    <w:rsid w:val="00452C26"/>
    <w:rsid w:val="00452C8E"/>
    <w:rsid w:val="00452D73"/>
    <w:rsid w:val="00452E2D"/>
    <w:rsid w:val="00452E34"/>
    <w:rsid w:val="00452F60"/>
    <w:rsid w:val="00452FAA"/>
    <w:rsid w:val="0045307A"/>
    <w:rsid w:val="00453160"/>
    <w:rsid w:val="0045318D"/>
    <w:rsid w:val="004531F0"/>
    <w:rsid w:val="0045324E"/>
    <w:rsid w:val="004533AC"/>
    <w:rsid w:val="004533B8"/>
    <w:rsid w:val="004533BD"/>
    <w:rsid w:val="00453413"/>
    <w:rsid w:val="0045343E"/>
    <w:rsid w:val="00453481"/>
    <w:rsid w:val="004534EE"/>
    <w:rsid w:val="0045357A"/>
    <w:rsid w:val="004535B3"/>
    <w:rsid w:val="004536F0"/>
    <w:rsid w:val="004538EF"/>
    <w:rsid w:val="00453965"/>
    <w:rsid w:val="00453A57"/>
    <w:rsid w:val="00453AA5"/>
    <w:rsid w:val="00453AEE"/>
    <w:rsid w:val="00453B64"/>
    <w:rsid w:val="00453B71"/>
    <w:rsid w:val="00453C34"/>
    <w:rsid w:val="00453EB6"/>
    <w:rsid w:val="00453EF9"/>
    <w:rsid w:val="00453F18"/>
    <w:rsid w:val="00453F80"/>
    <w:rsid w:val="0045417C"/>
    <w:rsid w:val="00454409"/>
    <w:rsid w:val="0045445E"/>
    <w:rsid w:val="00454474"/>
    <w:rsid w:val="004545CA"/>
    <w:rsid w:val="0045463B"/>
    <w:rsid w:val="00454674"/>
    <w:rsid w:val="004546E4"/>
    <w:rsid w:val="004547BF"/>
    <w:rsid w:val="004547E8"/>
    <w:rsid w:val="0045484C"/>
    <w:rsid w:val="00454873"/>
    <w:rsid w:val="004548D3"/>
    <w:rsid w:val="004548EC"/>
    <w:rsid w:val="004548EE"/>
    <w:rsid w:val="0045493E"/>
    <w:rsid w:val="0045496E"/>
    <w:rsid w:val="004549C2"/>
    <w:rsid w:val="00454B03"/>
    <w:rsid w:val="00454BD7"/>
    <w:rsid w:val="00454C05"/>
    <w:rsid w:val="00454C06"/>
    <w:rsid w:val="00454D57"/>
    <w:rsid w:val="00454DF0"/>
    <w:rsid w:val="00454EAC"/>
    <w:rsid w:val="00454F25"/>
    <w:rsid w:val="00454F8B"/>
    <w:rsid w:val="00454FC9"/>
    <w:rsid w:val="00454FFB"/>
    <w:rsid w:val="00455032"/>
    <w:rsid w:val="00455059"/>
    <w:rsid w:val="00455290"/>
    <w:rsid w:val="004552FE"/>
    <w:rsid w:val="00455323"/>
    <w:rsid w:val="004553E8"/>
    <w:rsid w:val="004553EB"/>
    <w:rsid w:val="00455402"/>
    <w:rsid w:val="004554E0"/>
    <w:rsid w:val="00455504"/>
    <w:rsid w:val="0045564C"/>
    <w:rsid w:val="00455663"/>
    <w:rsid w:val="004556DF"/>
    <w:rsid w:val="004556E8"/>
    <w:rsid w:val="0045583C"/>
    <w:rsid w:val="00455AB1"/>
    <w:rsid w:val="00455B42"/>
    <w:rsid w:val="00455B7B"/>
    <w:rsid w:val="00455B86"/>
    <w:rsid w:val="00455D70"/>
    <w:rsid w:val="00455D9A"/>
    <w:rsid w:val="00455DA9"/>
    <w:rsid w:val="00455DBE"/>
    <w:rsid w:val="00455E59"/>
    <w:rsid w:val="00455F26"/>
    <w:rsid w:val="00455FE9"/>
    <w:rsid w:val="00456067"/>
    <w:rsid w:val="0045612B"/>
    <w:rsid w:val="004562B1"/>
    <w:rsid w:val="0045637B"/>
    <w:rsid w:val="00456402"/>
    <w:rsid w:val="0045645A"/>
    <w:rsid w:val="00456541"/>
    <w:rsid w:val="0045659A"/>
    <w:rsid w:val="004565E8"/>
    <w:rsid w:val="00456618"/>
    <w:rsid w:val="00456671"/>
    <w:rsid w:val="004566E4"/>
    <w:rsid w:val="004567D1"/>
    <w:rsid w:val="00456833"/>
    <w:rsid w:val="004568C9"/>
    <w:rsid w:val="004568F9"/>
    <w:rsid w:val="004568FE"/>
    <w:rsid w:val="00456903"/>
    <w:rsid w:val="0045694B"/>
    <w:rsid w:val="00456A39"/>
    <w:rsid w:val="00456A9F"/>
    <w:rsid w:val="00456B07"/>
    <w:rsid w:val="00456B79"/>
    <w:rsid w:val="00456C4B"/>
    <w:rsid w:val="00456C89"/>
    <w:rsid w:val="00456D94"/>
    <w:rsid w:val="00456DD2"/>
    <w:rsid w:val="00456F86"/>
    <w:rsid w:val="00456FA1"/>
    <w:rsid w:val="00456FCB"/>
    <w:rsid w:val="0045704F"/>
    <w:rsid w:val="0045706E"/>
    <w:rsid w:val="004570C9"/>
    <w:rsid w:val="00457126"/>
    <w:rsid w:val="00457128"/>
    <w:rsid w:val="0045712C"/>
    <w:rsid w:val="00457138"/>
    <w:rsid w:val="00457157"/>
    <w:rsid w:val="00457251"/>
    <w:rsid w:val="004573A7"/>
    <w:rsid w:val="00457412"/>
    <w:rsid w:val="0045752C"/>
    <w:rsid w:val="00457580"/>
    <w:rsid w:val="004575CF"/>
    <w:rsid w:val="004576B4"/>
    <w:rsid w:val="004577D6"/>
    <w:rsid w:val="00457A2A"/>
    <w:rsid w:val="00457A3B"/>
    <w:rsid w:val="00457AE2"/>
    <w:rsid w:val="00457C2B"/>
    <w:rsid w:val="00457C3E"/>
    <w:rsid w:val="00457C5A"/>
    <w:rsid w:val="00457C85"/>
    <w:rsid w:val="00457CC1"/>
    <w:rsid w:val="00457EFF"/>
    <w:rsid w:val="00457F25"/>
    <w:rsid w:val="00457F7F"/>
    <w:rsid w:val="00457F93"/>
    <w:rsid w:val="00457FA7"/>
    <w:rsid w:val="00457FBA"/>
    <w:rsid w:val="00460094"/>
    <w:rsid w:val="0046017B"/>
    <w:rsid w:val="0046019F"/>
    <w:rsid w:val="004601E1"/>
    <w:rsid w:val="004602DB"/>
    <w:rsid w:val="00460328"/>
    <w:rsid w:val="00460395"/>
    <w:rsid w:val="00460446"/>
    <w:rsid w:val="00460489"/>
    <w:rsid w:val="0046051B"/>
    <w:rsid w:val="00460570"/>
    <w:rsid w:val="00460597"/>
    <w:rsid w:val="004605DB"/>
    <w:rsid w:val="004605ED"/>
    <w:rsid w:val="004606D9"/>
    <w:rsid w:val="00460736"/>
    <w:rsid w:val="004607EF"/>
    <w:rsid w:val="0046080E"/>
    <w:rsid w:val="00460898"/>
    <w:rsid w:val="004608A3"/>
    <w:rsid w:val="0046093D"/>
    <w:rsid w:val="0046095B"/>
    <w:rsid w:val="00460BDD"/>
    <w:rsid w:val="00460BF8"/>
    <w:rsid w:val="00460BF9"/>
    <w:rsid w:val="00460C89"/>
    <w:rsid w:val="00460CBC"/>
    <w:rsid w:val="00460CC5"/>
    <w:rsid w:val="00460D62"/>
    <w:rsid w:val="00460D95"/>
    <w:rsid w:val="00460DCF"/>
    <w:rsid w:val="00460DF0"/>
    <w:rsid w:val="00460EA2"/>
    <w:rsid w:val="00460F12"/>
    <w:rsid w:val="00461013"/>
    <w:rsid w:val="0046103A"/>
    <w:rsid w:val="00461067"/>
    <w:rsid w:val="004610A8"/>
    <w:rsid w:val="004611B7"/>
    <w:rsid w:val="00461213"/>
    <w:rsid w:val="00461242"/>
    <w:rsid w:val="004614DE"/>
    <w:rsid w:val="004614F2"/>
    <w:rsid w:val="0046165C"/>
    <w:rsid w:val="004616FB"/>
    <w:rsid w:val="004617E6"/>
    <w:rsid w:val="0046183C"/>
    <w:rsid w:val="004618AB"/>
    <w:rsid w:val="00461921"/>
    <w:rsid w:val="00461925"/>
    <w:rsid w:val="00461980"/>
    <w:rsid w:val="004619EE"/>
    <w:rsid w:val="00461A14"/>
    <w:rsid w:val="00461A30"/>
    <w:rsid w:val="00461A91"/>
    <w:rsid w:val="00461C29"/>
    <w:rsid w:val="00461C6A"/>
    <w:rsid w:val="00461D25"/>
    <w:rsid w:val="00461DED"/>
    <w:rsid w:val="00461E15"/>
    <w:rsid w:val="00461E16"/>
    <w:rsid w:val="004621C1"/>
    <w:rsid w:val="0046222A"/>
    <w:rsid w:val="00462284"/>
    <w:rsid w:val="004622FD"/>
    <w:rsid w:val="004623AE"/>
    <w:rsid w:val="00462568"/>
    <w:rsid w:val="004625A6"/>
    <w:rsid w:val="00462606"/>
    <w:rsid w:val="004626E9"/>
    <w:rsid w:val="0046270F"/>
    <w:rsid w:val="0046273C"/>
    <w:rsid w:val="00462840"/>
    <w:rsid w:val="00462B5D"/>
    <w:rsid w:val="00462BD6"/>
    <w:rsid w:val="00462C3C"/>
    <w:rsid w:val="00462C5E"/>
    <w:rsid w:val="00462D13"/>
    <w:rsid w:val="00462D5F"/>
    <w:rsid w:val="00462D75"/>
    <w:rsid w:val="00462E0A"/>
    <w:rsid w:val="00462E27"/>
    <w:rsid w:val="00462E89"/>
    <w:rsid w:val="0046304E"/>
    <w:rsid w:val="00463077"/>
    <w:rsid w:val="004630D6"/>
    <w:rsid w:val="004630FE"/>
    <w:rsid w:val="00463154"/>
    <w:rsid w:val="00463399"/>
    <w:rsid w:val="0046343F"/>
    <w:rsid w:val="004634B6"/>
    <w:rsid w:val="004634C4"/>
    <w:rsid w:val="004635C9"/>
    <w:rsid w:val="0046363A"/>
    <w:rsid w:val="004636E7"/>
    <w:rsid w:val="0046370B"/>
    <w:rsid w:val="0046377C"/>
    <w:rsid w:val="004638D5"/>
    <w:rsid w:val="00463974"/>
    <w:rsid w:val="00463AC7"/>
    <w:rsid w:val="00463ACA"/>
    <w:rsid w:val="00463BEE"/>
    <w:rsid w:val="00463DA1"/>
    <w:rsid w:val="00463DB3"/>
    <w:rsid w:val="00463DEC"/>
    <w:rsid w:val="00463E3E"/>
    <w:rsid w:val="00463E6B"/>
    <w:rsid w:val="00463E81"/>
    <w:rsid w:val="00463E8C"/>
    <w:rsid w:val="00463FBF"/>
    <w:rsid w:val="00463FC8"/>
    <w:rsid w:val="00464060"/>
    <w:rsid w:val="00464073"/>
    <w:rsid w:val="00464178"/>
    <w:rsid w:val="00464235"/>
    <w:rsid w:val="00464243"/>
    <w:rsid w:val="00464308"/>
    <w:rsid w:val="00464392"/>
    <w:rsid w:val="004643B5"/>
    <w:rsid w:val="004644FB"/>
    <w:rsid w:val="004645AA"/>
    <w:rsid w:val="00464620"/>
    <w:rsid w:val="0046463D"/>
    <w:rsid w:val="00464661"/>
    <w:rsid w:val="0046475D"/>
    <w:rsid w:val="004647B9"/>
    <w:rsid w:val="004647D9"/>
    <w:rsid w:val="0046485B"/>
    <w:rsid w:val="0046488C"/>
    <w:rsid w:val="00464908"/>
    <w:rsid w:val="00464924"/>
    <w:rsid w:val="00464937"/>
    <w:rsid w:val="004649BA"/>
    <w:rsid w:val="00464A73"/>
    <w:rsid w:val="00464A99"/>
    <w:rsid w:val="00464B19"/>
    <w:rsid w:val="00464B48"/>
    <w:rsid w:val="00464B87"/>
    <w:rsid w:val="00464B98"/>
    <w:rsid w:val="00464C8E"/>
    <w:rsid w:val="00464DDB"/>
    <w:rsid w:val="00464EC0"/>
    <w:rsid w:val="00464EDD"/>
    <w:rsid w:val="00464F29"/>
    <w:rsid w:val="00464FD2"/>
    <w:rsid w:val="00465035"/>
    <w:rsid w:val="00465064"/>
    <w:rsid w:val="00465088"/>
    <w:rsid w:val="004650E0"/>
    <w:rsid w:val="00465231"/>
    <w:rsid w:val="00465244"/>
    <w:rsid w:val="0046524D"/>
    <w:rsid w:val="0046527C"/>
    <w:rsid w:val="00465376"/>
    <w:rsid w:val="0046548B"/>
    <w:rsid w:val="004654CD"/>
    <w:rsid w:val="00465524"/>
    <w:rsid w:val="004655A8"/>
    <w:rsid w:val="00465622"/>
    <w:rsid w:val="00465692"/>
    <w:rsid w:val="00465699"/>
    <w:rsid w:val="00465871"/>
    <w:rsid w:val="004658AB"/>
    <w:rsid w:val="00465B0C"/>
    <w:rsid w:val="00465BBA"/>
    <w:rsid w:val="00465C3F"/>
    <w:rsid w:val="00465CC9"/>
    <w:rsid w:val="00465E75"/>
    <w:rsid w:val="00465E85"/>
    <w:rsid w:val="00465EB0"/>
    <w:rsid w:val="00465ECE"/>
    <w:rsid w:val="00465EF2"/>
    <w:rsid w:val="00465F46"/>
    <w:rsid w:val="00465F52"/>
    <w:rsid w:val="00465FAA"/>
    <w:rsid w:val="00465FAF"/>
    <w:rsid w:val="00465FC8"/>
    <w:rsid w:val="004660C2"/>
    <w:rsid w:val="004660D6"/>
    <w:rsid w:val="0046613D"/>
    <w:rsid w:val="0046615D"/>
    <w:rsid w:val="00466197"/>
    <w:rsid w:val="004661B1"/>
    <w:rsid w:val="004661F5"/>
    <w:rsid w:val="00466699"/>
    <w:rsid w:val="004666FD"/>
    <w:rsid w:val="0046672F"/>
    <w:rsid w:val="00466824"/>
    <w:rsid w:val="00466850"/>
    <w:rsid w:val="004669C3"/>
    <w:rsid w:val="00466A61"/>
    <w:rsid w:val="00466AD0"/>
    <w:rsid w:val="00466AF3"/>
    <w:rsid w:val="00466B31"/>
    <w:rsid w:val="00466B3E"/>
    <w:rsid w:val="00466B7B"/>
    <w:rsid w:val="00466BB3"/>
    <w:rsid w:val="00466BC1"/>
    <w:rsid w:val="00466E44"/>
    <w:rsid w:val="00466EC3"/>
    <w:rsid w:val="00466F92"/>
    <w:rsid w:val="00467098"/>
    <w:rsid w:val="004670E8"/>
    <w:rsid w:val="004671C4"/>
    <w:rsid w:val="004672CD"/>
    <w:rsid w:val="00467348"/>
    <w:rsid w:val="004673CC"/>
    <w:rsid w:val="00467489"/>
    <w:rsid w:val="0046754B"/>
    <w:rsid w:val="004675A4"/>
    <w:rsid w:val="004675DB"/>
    <w:rsid w:val="004675DD"/>
    <w:rsid w:val="0046769C"/>
    <w:rsid w:val="004676A7"/>
    <w:rsid w:val="004676F7"/>
    <w:rsid w:val="00467A88"/>
    <w:rsid w:val="00467ADB"/>
    <w:rsid w:val="00467B01"/>
    <w:rsid w:val="00467B16"/>
    <w:rsid w:val="00467C8D"/>
    <w:rsid w:val="00467D61"/>
    <w:rsid w:val="00467DB6"/>
    <w:rsid w:val="00470143"/>
    <w:rsid w:val="004701A1"/>
    <w:rsid w:val="004702C9"/>
    <w:rsid w:val="00470381"/>
    <w:rsid w:val="0047040D"/>
    <w:rsid w:val="004704D3"/>
    <w:rsid w:val="0047063C"/>
    <w:rsid w:val="0047063F"/>
    <w:rsid w:val="004706BC"/>
    <w:rsid w:val="00470727"/>
    <w:rsid w:val="00470754"/>
    <w:rsid w:val="00470801"/>
    <w:rsid w:val="00470949"/>
    <w:rsid w:val="00470A43"/>
    <w:rsid w:val="00470C10"/>
    <w:rsid w:val="00470C31"/>
    <w:rsid w:val="00470C9D"/>
    <w:rsid w:val="00470CE1"/>
    <w:rsid w:val="00470E2F"/>
    <w:rsid w:val="00470E73"/>
    <w:rsid w:val="00470EC9"/>
    <w:rsid w:val="00471077"/>
    <w:rsid w:val="004710B4"/>
    <w:rsid w:val="00471265"/>
    <w:rsid w:val="004712A3"/>
    <w:rsid w:val="004712B2"/>
    <w:rsid w:val="004712E7"/>
    <w:rsid w:val="004713C3"/>
    <w:rsid w:val="004713DD"/>
    <w:rsid w:val="0047140D"/>
    <w:rsid w:val="00471498"/>
    <w:rsid w:val="00471507"/>
    <w:rsid w:val="0047151D"/>
    <w:rsid w:val="0047153F"/>
    <w:rsid w:val="00471602"/>
    <w:rsid w:val="004716C1"/>
    <w:rsid w:val="004716DC"/>
    <w:rsid w:val="00471807"/>
    <w:rsid w:val="0047180C"/>
    <w:rsid w:val="004718B4"/>
    <w:rsid w:val="00471911"/>
    <w:rsid w:val="004719A6"/>
    <w:rsid w:val="00471ABF"/>
    <w:rsid w:val="00471B09"/>
    <w:rsid w:val="00471BBA"/>
    <w:rsid w:val="00471BCB"/>
    <w:rsid w:val="00471BDA"/>
    <w:rsid w:val="00471EC8"/>
    <w:rsid w:val="00471F4B"/>
    <w:rsid w:val="00471F66"/>
    <w:rsid w:val="0047205F"/>
    <w:rsid w:val="004721A4"/>
    <w:rsid w:val="004724C5"/>
    <w:rsid w:val="00472591"/>
    <w:rsid w:val="004725CC"/>
    <w:rsid w:val="0047263B"/>
    <w:rsid w:val="00472665"/>
    <w:rsid w:val="004726B9"/>
    <w:rsid w:val="00472709"/>
    <w:rsid w:val="004727C5"/>
    <w:rsid w:val="004727D3"/>
    <w:rsid w:val="004727EA"/>
    <w:rsid w:val="00472839"/>
    <w:rsid w:val="00472870"/>
    <w:rsid w:val="00472871"/>
    <w:rsid w:val="00472933"/>
    <w:rsid w:val="0047298A"/>
    <w:rsid w:val="004729ED"/>
    <w:rsid w:val="00472A90"/>
    <w:rsid w:val="00472AF4"/>
    <w:rsid w:val="00472C3E"/>
    <w:rsid w:val="00472CBF"/>
    <w:rsid w:val="00472E66"/>
    <w:rsid w:val="00472E8B"/>
    <w:rsid w:val="00472F8C"/>
    <w:rsid w:val="00472FB4"/>
    <w:rsid w:val="00473008"/>
    <w:rsid w:val="004732E5"/>
    <w:rsid w:val="00473309"/>
    <w:rsid w:val="00473430"/>
    <w:rsid w:val="00473441"/>
    <w:rsid w:val="004734AF"/>
    <w:rsid w:val="004734E3"/>
    <w:rsid w:val="004734F5"/>
    <w:rsid w:val="0047354E"/>
    <w:rsid w:val="004736EE"/>
    <w:rsid w:val="004737FF"/>
    <w:rsid w:val="00473837"/>
    <w:rsid w:val="004739CF"/>
    <w:rsid w:val="004739DB"/>
    <w:rsid w:val="00473B83"/>
    <w:rsid w:val="00473B94"/>
    <w:rsid w:val="00473BFE"/>
    <w:rsid w:val="00473E02"/>
    <w:rsid w:val="00473E0A"/>
    <w:rsid w:val="00473E1A"/>
    <w:rsid w:val="00473E2D"/>
    <w:rsid w:val="00473E36"/>
    <w:rsid w:val="00473F83"/>
    <w:rsid w:val="00473FB1"/>
    <w:rsid w:val="0047406F"/>
    <w:rsid w:val="00474078"/>
    <w:rsid w:val="0047408C"/>
    <w:rsid w:val="004740B6"/>
    <w:rsid w:val="0047412D"/>
    <w:rsid w:val="0047421F"/>
    <w:rsid w:val="004742AB"/>
    <w:rsid w:val="004742B8"/>
    <w:rsid w:val="00474361"/>
    <w:rsid w:val="0047436A"/>
    <w:rsid w:val="00474387"/>
    <w:rsid w:val="004743E4"/>
    <w:rsid w:val="004743FE"/>
    <w:rsid w:val="004744D8"/>
    <w:rsid w:val="004745DF"/>
    <w:rsid w:val="004745F4"/>
    <w:rsid w:val="004747AA"/>
    <w:rsid w:val="00474866"/>
    <w:rsid w:val="004748A4"/>
    <w:rsid w:val="004748A8"/>
    <w:rsid w:val="00474909"/>
    <w:rsid w:val="00474955"/>
    <w:rsid w:val="00474973"/>
    <w:rsid w:val="004749A6"/>
    <w:rsid w:val="00474A3D"/>
    <w:rsid w:val="00474A6E"/>
    <w:rsid w:val="00474B0E"/>
    <w:rsid w:val="00474B6C"/>
    <w:rsid w:val="00474B90"/>
    <w:rsid w:val="00474CB7"/>
    <w:rsid w:val="00474D3F"/>
    <w:rsid w:val="00474D43"/>
    <w:rsid w:val="00474DE3"/>
    <w:rsid w:val="00474E52"/>
    <w:rsid w:val="00474E64"/>
    <w:rsid w:val="00474ECA"/>
    <w:rsid w:val="0047502C"/>
    <w:rsid w:val="00475053"/>
    <w:rsid w:val="0047505A"/>
    <w:rsid w:val="00475106"/>
    <w:rsid w:val="0047517E"/>
    <w:rsid w:val="00475388"/>
    <w:rsid w:val="00475470"/>
    <w:rsid w:val="0047548B"/>
    <w:rsid w:val="0047548E"/>
    <w:rsid w:val="004754EC"/>
    <w:rsid w:val="004755ED"/>
    <w:rsid w:val="004756B2"/>
    <w:rsid w:val="0047571E"/>
    <w:rsid w:val="0047572F"/>
    <w:rsid w:val="00475797"/>
    <w:rsid w:val="00475798"/>
    <w:rsid w:val="00475800"/>
    <w:rsid w:val="0047597A"/>
    <w:rsid w:val="004759D1"/>
    <w:rsid w:val="004759F8"/>
    <w:rsid w:val="00475A0C"/>
    <w:rsid w:val="00475A24"/>
    <w:rsid w:val="00475A6B"/>
    <w:rsid w:val="00475A8A"/>
    <w:rsid w:val="00475B38"/>
    <w:rsid w:val="00475BD0"/>
    <w:rsid w:val="00475BFD"/>
    <w:rsid w:val="00475C1F"/>
    <w:rsid w:val="00475C21"/>
    <w:rsid w:val="00475D0A"/>
    <w:rsid w:val="00475E24"/>
    <w:rsid w:val="00475E7B"/>
    <w:rsid w:val="004760A1"/>
    <w:rsid w:val="004760A2"/>
    <w:rsid w:val="004760CF"/>
    <w:rsid w:val="004760EC"/>
    <w:rsid w:val="004761B1"/>
    <w:rsid w:val="004761F4"/>
    <w:rsid w:val="00476278"/>
    <w:rsid w:val="0047636E"/>
    <w:rsid w:val="00476377"/>
    <w:rsid w:val="004765F5"/>
    <w:rsid w:val="00476634"/>
    <w:rsid w:val="004766A8"/>
    <w:rsid w:val="0047682B"/>
    <w:rsid w:val="00476890"/>
    <w:rsid w:val="004768D3"/>
    <w:rsid w:val="00476932"/>
    <w:rsid w:val="0047695F"/>
    <w:rsid w:val="004769B7"/>
    <w:rsid w:val="00476CEA"/>
    <w:rsid w:val="00476D0C"/>
    <w:rsid w:val="00476D20"/>
    <w:rsid w:val="00476E0E"/>
    <w:rsid w:val="00476FC9"/>
    <w:rsid w:val="00477021"/>
    <w:rsid w:val="00477070"/>
    <w:rsid w:val="00477328"/>
    <w:rsid w:val="0047734F"/>
    <w:rsid w:val="004773E5"/>
    <w:rsid w:val="00477550"/>
    <w:rsid w:val="00477566"/>
    <w:rsid w:val="004775C6"/>
    <w:rsid w:val="00477614"/>
    <w:rsid w:val="00477698"/>
    <w:rsid w:val="004778B6"/>
    <w:rsid w:val="004779C9"/>
    <w:rsid w:val="00477AC6"/>
    <w:rsid w:val="00477AE4"/>
    <w:rsid w:val="00477AE7"/>
    <w:rsid w:val="00477C54"/>
    <w:rsid w:val="00477C7C"/>
    <w:rsid w:val="00477CB2"/>
    <w:rsid w:val="00477D4D"/>
    <w:rsid w:val="00477DCF"/>
    <w:rsid w:val="00477DD5"/>
    <w:rsid w:val="00477EB1"/>
    <w:rsid w:val="00477FA4"/>
    <w:rsid w:val="00477FB8"/>
    <w:rsid w:val="00477FD5"/>
    <w:rsid w:val="00480119"/>
    <w:rsid w:val="004801EF"/>
    <w:rsid w:val="00480375"/>
    <w:rsid w:val="004805DD"/>
    <w:rsid w:val="00480606"/>
    <w:rsid w:val="00480618"/>
    <w:rsid w:val="0048063F"/>
    <w:rsid w:val="00480705"/>
    <w:rsid w:val="00480849"/>
    <w:rsid w:val="0048084B"/>
    <w:rsid w:val="00480869"/>
    <w:rsid w:val="0048088B"/>
    <w:rsid w:val="004809EE"/>
    <w:rsid w:val="00480A00"/>
    <w:rsid w:val="00480A06"/>
    <w:rsid w:val="00480A9B"/>
    <w:rsid w:val="00480ACD"/>
    <w:rsid w:val="00480C1C"/>
    <w:rsid w:val="00480C77"/>
    <w:rsid w:val="00480C89"/>
    <w:rsid w:val="00480CFD"/>
    <w:rsid w:val="00480D02"/>
    <w:rsid w:val="00480E19"/>
    <w:rsid w:val="00480FC8"/>
    <w:rsid w:val="0048102C"/>
    <w:rsid w:val="004810D3"/>
    <w:rsid w:val="00481143"/>
    <w:rsid w:val="0048119A"/>
    <w:rsid w:val="00481230"/>
    <w:rsid w:val="0048130A"/>
    <w:rsid w:val="00481484"/>
    <w:rsid w:val="00481545"/>
    <w:rsid w:val="00481548"/>
    <w:rsid w:val="004815E3"/>
    <w:rsid w:val="004816B6"/>
    <w:rsid w:val="00481761"/>
    <w:rsid w:val="00481763"/>
    <w:rsid w:val="00481773"/>
    <w:rsid w:val="004817B7"/>
    <w:rsid w:val="0048198A"/>
    <w:rsid w:val="00481AEF"/>
    <w:rsid w:val="00481B3B"/>
    <w:rsid w:val="00481BBF"/>
    <w:rsid w:val="00481BE2"/>
    <w:rsid w:val="00481C0A"/>
    <w:rsid w:val="00481C2D"/>
    <w:rsid w:val="00481C77"/>
    <w:rsid w:val="00481CEB"/>
    <w:rsid w:val="00481D06"/>
    <w:rsid w:val="00481D2B"/>
    <w:rsid w:val="00481EDA"/>
    <w:rsid w:val="00481EF9"/>
    <w:rsid w:val="00481F1F"/>
    <w:rsid w:val="00481FC2"/>
    <w:rsid w:val="004820C5"/>
    <w:rsid w:val="004820CC"/>
    <w:rsid w:val="0048211F"/>
    <w:rsid w:val="00482176"/>
    <w:rsid w:val="0048219E"/>
    <w:rsid w:val="004821CC"/>
    <w:rsid w:val="0048223B"/>
    <w:rsid w:val="0048227F"/>
    <w:rsid w:val="004822CD"/>
    <w:rsid w:val="004823E5"/>
    <w:rsid w:val="00482442"/>
    <w:rsid w:val="004824A5"/>
    <w:rsid w:val="0048252E"/>
    <w:rsid w:val="0048255A"/>
    <w:rsid w:val="004825F9"/>
    <w:rsid w:val="00482605"/>
    <w:rsid w:val="00482659"/>
    <w:rsid w:val="0048268D"/>
    <w:rsid w:val="004826FC"/>
    <w:rsid w:val="0048273E"/>
    <w:rsid w:val="00482BFB"/>
    <w:rsid w:val="00482C4A"/>
    <w:rsid w:val="00482D21"/>
    <w:rsid w:val="00482D3D"/>
    <w:rsid w:val="00482DAC"/>
    <w:rsid w:val="00482DDA"/>
    <w:rsid w:val="00482DF5"/>
    <w:rsid w:val="00482E51"/>
    <w:rsid w:val="00482E55"/>
    <w:rsid w:val="00482E5C"/>
    <w:rsid w:val="00482E6A"/>
    <w:rsid w:val="00482ED7"/>
    <w:rsid w:val="0048301F"/>
    <w:rsid w:val="004830B3"/>
    <w:rsid w:val="004830D3"/>
    <w:rsid w:val="004830DE"/>
    <w:rsid w:val="00483160"/>
    <w:rsid w:val="00483162"/>
    <w:rsid w:val="0048327B"/>
    <w:rsid w:val="004832F7"/>
    <w:rsid w:val="004833AC"/>
    <w:rsid w:val="004833AE"/>
    <w:rsid w:val="004833F8"/>
    <w:rsid w:val="00483497"/>
    <w:rsid w:val="004835BD"/>
    <w:rsid w:val="004835D6"/>
    <w:rsid w:val="00483634"/>
    <w:rsid w:val="00483675"/>
    <w:rsid w:val="004837EC"/>
    <w:rsid w:val="00483C4F"/>
    <w:rsid w:val="00483D21"/>
    <w:rsid w:val="00483D6D"/>
    <w:rsid w:val="00483E0F"/>
    <w:rsid w:val="00483E7B"/>
    <w:rsid w:val="00483E99"/>
    <w:rsid w:val="00483F5C"/>
    <w:rsid w:val="00483FCB"/>
    <w:rsid w:val="004840C0"/>
    <w:rsid w:val="004840FD"/>
    <w:rsid w:val="0048410C"/>
    <w:rsid w:val="00484110"/>
    <w:rsid w:val="0048421A"/>
    <w:rsid w:val="004842A5"/>
    <w:rsid w:val="004842F7"/>
    <w:rsid w:val="004843BF"/>
    <w:rsid w:val="00484428"/>
    <w:rsid w:val="00484429"/>
    <w:rsid w:val="00484555"/>
    <w:rsid w:val="00484622"/>
    <w:rsid w:val="004847A2"/>
    <w:rsid w:val="004847A6"/>
    <w:rsid w:val="004847C9"/>
    <w:rsid w:val="00484849"/>
    <w:rsid w:val="004848AB"/>
    <w:rsid w:val="0048490A"/>
    <w:rsid w:val="00484932"/>
    <w:rsid w:val="0048499D"/>
    <w:rsid w:val="00484AE0"/>
    <w:rsid w:val="00484BAB"/>
    <w:rsid w:val="00484C68"/>
    <w:rsid w:val="00484CB0"/>
    <w:rsid w:val="00484D42"/>
    <w:rsid w:val="00484D69"/>
    <w:rsid w:val="00484E1C"/>
    <w:rsid w:val="00484ECF"/>
    <w:rsid w:val="00484EF3"/>
    <w:rsid w:val="00484EF9"/>
    <w:rsid w:val="004850B1"/>
    <w:rsid w:val="004850ED"/>
    <w:rsid w:val="0048517F"/>
    <w:rsid w:val="0048520C"/>
    <w:rsid w:val="00485304"/>
    <w:rsid w:val="00485371"/>
    <w:rsid w:val="0048539C"/>
    <w:rsid w:val="004853D7"/>
    <w:rsid w:val="0048547A"/>
    <w:rsid w:val="004854ED"/>
    <w:rsid w:val="00485559"/>
    <w:rsid w:val="00485586"/>
    <w:rsid w:val="0048572D"/>
    <w:rsid w:val="00485743"/>
    <w:rsid w:val="00485822"/>
    <w:rsid w:val="004858B3"/>
    <w:rsid w:val="004858C3"/>
    <w:rsid w:val="00485911"/>
    <w:rsid w:val="00485BB0"/>
    <w:rsid w:val="00485CE3"/>
    <w:rsid w:val="00485DC9"/>
    <w:rsid w:val="00485ED1"/>
    <w:rsid w:val="00485F85"/>
    <w:rsid w:val="00485FEC"/>
    <w:rsid w:val="004860DA"/>
    <w:rsid w:val="00486183"/>
    <w:rsid w:val="004861C6"/>
    <w:rsid w:val="00486259"/>
    <w:rsid w:val="00486302"/>
    <w:rsid w:val="0048633B"/>
    <w:rsid w:val="00486377"/>
    <w:rsid w:val="0048647E"/>
    <w:rsid w:val="004864A6"/>
    <w:rsid w:val="004864F3"/>
    <w:rsid w:val="00486551"/>
    <w:rsid w:val="0048656E"/>
    <w:rsid w:val="00486622"/>
    <w:rsid w:val="004867F0"/>
    <w:rsid w:val="00486867"/>
    <w:rsid w:val="004868D4"/>
    <w:rsid w:val="0048699B"/>
    <w:rsid w:val="0048699E"/>
    <w:rsid w:val="00486A1E"/>
    <w:rsid w:val="00486B2D"/>
    <w:rsid w:val="00486B52"/>
    <w:rsid w:val="00486BB8"/>
    <w:rsid w:val="00486BD1"/>
    <w:rsid w:val="00486C46"/>
    <w:rsid w:val="00486C5B"/>
    <w:rsid w:val="00486D27"/>
    <w:rsid w:val="00486E0A"/>
    <w:rsid w:val="00486EA4"/>
    <w:rsid w:val="00486F70"/>
    <w:rsid w:val="00486FCD"/>
    <w:rsid w:val="004870E6"/>
    <w:rsid w:val="004870FC"/>
    <w:rsid w:val="0048716F"/>
    <w:rsid w:val="004871A7"/>
    <w:rsid w:val="00487439"/>
    <w:rsid w:val="00487440"/>
    <w:rsid w:val="0048748D"/>
    <w:rsid w:val="00487493"/>
    <w:rsid w:val="0048763E"/>
    <w:rsid w:val="0048764A"/>
    <w:rsid w:val="004876A5"/>
    <w:rsid w:val="004876C3"/>
    <w:rsid w:val="004877BA"/>
    <w:rsid w:val="004877D0"/>
    <w:rsid w:val="0048788E"/>
    <w:rsid w:val="004878D3"/>
    <w:rsid w:val="0048795C"/>
    <w:rsid w:val="004879A4"/>
    <w:rsid w:val="00487A88"/>
    <w:rsid w:val="00487B55"/>
    <w:rsid w:val="00487C75"/>
    <w:rsid w:val="00487D85"/>
    <w:rsid w:val="00487F19"/>
    <w:rsid w:val="0049004F"/>
    <w:rsid w:val="0049007D"/>
    <w:rsid w:val="00490098"/>
    <w:rsid w:val="004900C9"/>
    <w:rsid w:val="00490137"/>
    <w:rsid w:val="0049013C"/>
    <w:rsid w:val="0049034A"/>
    <w:rsid w:val="00490495"/>
    <w:rsid w:val="0049058E"/>
    <w:rsid w:val="004905DD"/>
    <w:rsid w:val="004906A7"/>
    <w:rsid w:val="00490B1E"/>
    <w:rsid w:val="00490B4B"/>
    <w:rsid w:val="00490B6B"/>
    <w:rsid w:val="00490BE0"/>
    <w:rsid w:val="00490ECC"/>
    <w:rsid w:val="00490F1E"/>
    <w:rsid w:val="004910C0"/>
    <w:rsid w:val="00491116"/>
    <w:rsid w:val="00491173"/>
    <w:rsid w:val="004913BB"/>
    <w:rsid w:val="00491420"/>
    <w:rsid w:val="004915E2"/>
    <w:rsid w:val="00491661"/>
    <w:rsid w:val="00491665"/>
    <w:rsid w:val="004916C7"/>
    <w:rsid w:val="00491706"/>
    <w:rsid w:val="0049172A"/>
    <w:rsid w:val="0049178D"/>
    <w:rsid w:val="004917E4"/>
    <w:rsid w:val="004917ED"/>
    <w:rsid w:val="00491821"/>
    <w:rsid w:val="004918A2"/>
    <w:rsid w:val="00491B15"/>
    <w:rsid w:val="00491D98"/>
    <w:rsid w:val="00491DBD"/>
    <w:rsid w:val="00491EC2"/>
    <w:rsid w:val="00491F25"/>
    <w:rsid w:val="00491FE0"/>
    <w:rsid w:val="00491FF2"/>
    <w:rsid w:val="00492027"/>
    <w:rsid w:val="004920AB"/>
    <w:rsid w:val="004921D1"/>
    <w:rsid w:val="00492274"/>
    <w:rsid w:val="004922A4"/>
    <w:rsid w:val="00492539"/>
    <w:rsid w:val="0049258C"/>
    <w:rsid w:val="00492646"/>
    <w:rsid w:val="0049268C"/>
    <w:rsid w:val="0049271E"/>
    <w:rsid w:val="0049272B"/>
    <w:rsid w:val="0049279E"/>
    <w:rsid w:val="004927EF"/>
    <w:rsid w:val="0049281C"/>
    <w:rsid w:val="004928C3"/>
    <w:rsid w:val="00492B0E"/>
    <w:rsid w:val="00492B21"/>
    <w:rsid w:val="00492BCD"/>
    <w:rsid w:val="00492BD2"/>
    <w:rsid w:val="00492C2A"/>
    <w:rsid w:val="00492D01"/>
    <w:rsid w:val="00492D36"/>
    <w:rsid w:val="00492E45"/>
    <w:rsid w:val="00492ED4"/>
    <w:rsid w:val="00492FBB"/>
    <w:rsid w:val="00493061"/>
    <w:rsid w:val="00493085"/>
    <w:rsid w:val="00493111"/>
    <w:rsid w:val="00493142"/>
    <w:rsid w:val="0049316D"/>
    <w:rsid w:val="0049321C"/>
    <w:rsid w:val="004932AF"/>
    <w:rsid w:val="00493331"/>
    <w:rsid w:val="00493489"/>
    <w:rsid w:val="00493630"/>
    <w:rsid w:val="00493678"/>
    <w:rsid w:val="004936F8"/>
    <w:rsid w:val="0049372B"/>
    <w:rsid w:val="00493759"/>
    <w:rsid w:val="00493876"/>
    <w:rsid w:val="00493889"/>
    <w:rsid w:val="004939BC"/>
    <w:rsid w:val="004939F4"/>
    <w:rsid w:val="00493A32"/>
    <w:rsid w:val="00493AC9"/>
    <w:rsid w:val="00493B16"/>
    <w:rsid w:val="00493B2F"/>
    <w:rsid w:val="00493B48"/>
    <w:rsid w:val="00493B8E"/>
    <w:rsid w:val="00493BA3"/>
    <w:rsid w:val="00493D24"/>
    <w:rsid w:val="00493D2A"/>
    <w:rsid w:val="00493DB8"/>
    <w:rsid w:val="00493DBA"/>
    <w:rsid w:val="00493DF5"/>
    <w:rsid w:val="00493E1E"/>
    <w:rsid w:val="00493EB5"/>
    <w:rsid w:val="00493F54"/>
    <w:rsid w:val="004940BB"/>
    <w:rsid w:val="004941E8"/>
    <w:rsid w:val="0049424B"/>
    <w:rsid w:val="004942D1"/>
    <w:rsid w:val="004943A8"/>
    <w:rsid w:val="00494616"/>
    <w:rsid w:val="00494632"/>
    <w:rsid w:val="0049464D"/>
    <w:rsid w:val="00494739"/>
    <w:rsid w:val="004948DE"/>
    <w:rsid w:val="00494A54"/>
    <w:rsid w:val="00494AA1"/>
    <w:rsid w:val="00494AF4"/>
    <w:rsid w:val="00494BBD"/>
    <w:rsid w:val="00494C66"/>
    <w:rsid w:val="00494CDB"/>
    <w:rsid w:val="00494EB8"/>
    <w:rsid w:val="00494F5C"/>
    <w:rsid w:val="004951B6"/>
    <w:rsid w:val="00495205"/>
    <w:rsid w:val="0049527D"/>
    <w:rsid w:val="0049528A"/>
    <w:rsid w:val="00495353"/>
    <w:rsid w:val="004953D3"/>
    <w:rsid w:val="0049549E"/>
    <w:rsid w:val="0049550C"/>
    <w:rsid w:val="0049552A"/>
    <w:rsid w:val="0049560E"/>
    <w:rsid w:val="00495616"/>
    <w:rsid w:val="004956B9"/>
    <w:rsid w:val="004956C7"/>
    <w:rsid w:val="00495854"/>
    <w:rsid w:val="0049587F"/>
    <w:rsid w:val="0049591D"/>
    <w:rsid w:val="00495B15"/>
    <w:rsid w:val="00495B37"/>
    <w:rsid w:val="00495B4D"/>
    <w:rsid w:val="00495B8C"/>
    <w:rsid w:val="00495C2A"/>
    <w:rsid w:val="00495C39"/>
    <w:rsid w:val="00495CE3"/>
    <w:rsid w:val="00495D1D"/>
    <w:rsid w:val="00495DDA"/>
    <w:rsid w:val="00495E0A"/>
    <w:rsid w:val="00495E21"/>
    <w:rsid w:val="00495EA3"/>
    <w:rsid w:val="00495EC9"/>
    <w:rsid w:val="004960EF"/>
    <w:rsid w:val="00496102"/>
    <w:rsid w:val="004961A8"/>
    <w:rsid w:val="004961AB"/>
    <w:rsid w:val="00496264"/>
    <w:rsid w:val="004962EA"/>
    <w:rsid w:val="0049643F"/>
    <w:rsid w:val="004964C5"/>
    <w:rsid w:val="0049654F"/>
    <w:rsid w:val="004965B0"/>
    <w:rsid w:val="004965CF"/>
    <w:rsid w:val="00496635"/>
    <w:rsid w:val="00496739"/>
    <w:rsid w:val="004967B8"/>
    <w:rsid w:val="004967E7"/>
    <w:rsid w:val="00496822"/>
    <w:rsid w:val="004968DF"/>
    <w:rsid w:val="00496978"/>
    <w:rsid w:val="00496A7D"/>
    <w:rsid w:val="00496BB9"/>
    <w:rsid w:val="00496C48"/>
    <w:rsid w:val="00496E5E"/>
    <w:rsid w:val="00496E9F"/>
    <w:rsid w:val="00496F18"/>
    <w:rsid w:val="00497012"/>
    <w:rsid w:val="0049703C"/>
    <w:rsid w:val="00497040"/>
    <w:rsid w:val="0049704E"/>
    <w:rsid w:val="004970A0"/>
    <w:rsid w:val="004970A2"/>
    <w:rsid w:val="00497147"/>
    <w:rsid w:val="0049716C"/>
    <w:rsid w:val="004971FA"/>
    <w:rsid w:val="00497439"/>
    <w:rsid w:val="00497486"/>
    <w:rsid w:val="0049753C"/>
    <w:rsid w:val="004976A2"/>
    <w:rsid w:val="004976BD"/>
    <w:rsid w:val="004976DC"/>
    <w:rsid w:val="00497728"/>
    <w:rsid w:val="00497732"/>
    <w:rsid w:val="00497768"/>
    <w:rsid w:val="0049779D"/>
    <w:rsid w:val="004977F9"/>
    <w:rsid w:val="0049785E"/>
    <w:rsid w:val="004978EA"/>
    <w:rsid w:val="0049793C"/>
    <w:rsid w:val="0049794F"/>
    <w:rsid w:val="00497979"/>
    <w:rsid w:val="00497985"/>
    <w:rsid w:val="004979CA"/>
    <w:rsid w:val="00497A1F"/>
    <w:rsid w:val="00497A5E"/>
    <w:rsid w:val="00497AB7"/>
    <w:rsid w:val="00497B0D"/>
    <w:rsid w:val="00497B35"/>
    <w:rsid w:val="00497BED"/>
    <w:rsid w:val="00497C36"/>
    <w:rsid w:val="00497C4A"/>
    <w:rsid w:val="00497CA8"/>
    <w:rsid w:val="00497E20"/>
    <w:rsid w:val="00497ED1"/>
    <w:rsid w:val="00497F41"/>
    <w:rsid w:val="00497FF2"/>
    <w:rsid w:val="004A006A"/>
    <w:rsid w:val="004A0081"/>
    <w:rsid w:val="004A0155"/>
    <w:rsid w:val="004A0170"/>
    <w:rsid w:val="004A017C"/>
    <w:rsid w:val="004A02CA"/>
    <w:rsid w:val="004A02D7"/>
    <w:rsid w:val="004A037C"/>
    <w:rsid w:val="004A04CE"/>
    <w:rsid w:val="004A0530"/>
    <w:rsid w:val="004A059E"/>
    <w:rsid w:val="004A05A0"/>
    <w:rsid w:val="004A0696"/>
    <w:rsid w:val="004A06CE"/>
    <w:rsid w:val="004A07F2"/>
    <w:rsid w:val="004A0819"/>
    <w:rsid w:val="004A08B7"/>
    <w:rsid w:val="004A0BCD"/>
    <w:rsid w:val="004A0C0D"/>
    <w:rsid w:val="004A0C19"/>
    <w:rsid w:val="004A0C81"/>
    <w:rsid w:val="004A0CED"/>
    <w:rsid w:val="004A0D87"/>
    <w:rsid w:val="004A0DBF"/>
    <w:rsid w:val="004A0DC4"/>
    <w:rsid w:val="004A0E36"/>
    <w:rsid w:val="004A102C"/>
    <w:rsid w:val="004A1070"/>
    <w:rsid w:val="004A1079"/>
    <w:rsid w:val="004A10B9"/>
    <w:rsid w:val="004A117F"/>
    <w:rsid w:val="004A1323"/>
    <w:rsid w:val="004A1336"/>
    <w:rsid w:val="004A13CA"/>
    <w:rsid w:val="004A13F5"/>
    <w:rsid w:val="004A14E8"/>
    <w:rsid w:val="004A14F4"/>
    <w:rsid w:val="004A155A"/>
    <w:rsid w:val="004A1626"/>
    <w:rsid w:val="004A1690"/>
    <w:rsid w:val="004A1786"/>
    <w:rsid w:val="004A1915"/>
    <w:rsid w:val="004A19B0"/>
    <w:rsid w:val="004A1A32"/>
    <w:rsid w:val="004A1BAA"/>
    <w:rsid w:val="004A1BDF"/>
    <w:rsid w:val="004A1C13"/>
    <w:rsid w:val="004A1C82"/>
    <w:rsid w:val="004A1D2A"/>
    <w:rsid w:val="004A1D69"/>
    <w:rsid w:val="004A1D75"/>
    <w:rsid w:val="004A1E61"/>
    <w:rsid w:val="004A1EDB"/>
    <w:rsid w:val="004A1EFD"/>
    <w:rsid w:val="004A1FA2"/>
    <w:rsid w:val="004A1FDC"/>
    <w:rsid w:val="004A2335"/>
    <w:rsid w:val="004A2362"/>
    <w:rsid w:val="004A2372"/>
    <w:rsid w:val="004A24A0"/>
    <w:rsid w:val="004A253E"/>
    <w:rsid w:val="004A2571"/>
    <w:rsid w:val="004A26F8"/>
    <w:rsid w:val="004A2947"/>
    <w:rsid w:val="004A29F4"/>
    <w:rsid w:val="004A2BB4"/>
    <w:rsid w:val="004A2CD6"/>
    <w:rsid w:val="004A2D00"/>
    <w:rsid w:val="004A2E80"/>
    <w:rsid w:val="004A2F0A"/>
    <w:rsid w:val="004A3081"/>
    <w:rsid w:val="004A30EF"/>
    <w:rsid w:val="004A31A6"/>
    <w:rsid w:val="004A3223"/>
    <w:rsid w:val="004A325F"/>
    <w:rsid w:val="004A3307"/>
    <w:rsid w:val="004A3309"/>
    <w:rsid w:val="004A3316"/>
    <w:rsid w:val="004A33DF"/>
    <w:rsid w:val="004A3498"/>
    <w:rsid w:val="004A34C3"/>
    <w:rsid w:val="004A3536"/>
    <w:rsid w:val="004A35B2"/>
    <w:rsid w:val="004A3621"/>
    <w:rsid w:val="004A3626"/>
    <w:rsid w:val="004A36B3"/>
    <w:rsid w:val="004A36D8"/>
    <w:rsid w:val="004A374E"/>
    <w:rsid w:val="004A37F2"/>
    <w:rsid w:val="004A3897"/>
    <w:rsid w:val="004A38C1"/>
    <w:rsid w:val="004A39DB"/>
    <w:rsid w:val="004A3AC0"/>
    <w:rsid w:val="004A3B7F"/>
    <w:rsid w:val="004A3C45"/>
    <w:rsid w:val="004A3C94"/>
    <w:rsid w:val="004A3CAC"/>
    <w:rsid w:val="004A3CD4"/>
    <w:rsid w:val="004A3DE0"/>
    <w:rsid w:val="004A3F2E"/>
    <w:rsid w:val="004A3FDF"/>
    <w:rsid w:val="004A3FE4"/>
    <w:rsid w:val="004A41A1"/>
    <w:rsid w:val="004A42E3"/>
    <w:rsid w:val="004A4351"/>
    <w:rsid w:val="004A4421"/>
    <w:rsid w:val="004A4491"/>
    <w:rsid w:val="004A4559"/>
    <w:rsid w:val="004A4568"/>
    <w:rsid w:val="004A45BB"/>
    <w:rsid w:val="004A45E8"/>
    <w:rsid w:val="004A4649"/>
    <w:rsid w:val="004A467F"/>
    <w:rsid w:val="004A46A0"/>
    <w:rsid w:val="004A470C"/>
    <w:rsid w:val="004A4719"/>
    <w:rsid w:val="004A4724"/>
    <w:rsid w:val="004A4725"/>
    <w:rsid w:val="004A4790"/>
    <w:rsid w:val="004A4810"/>
    <w:rsid w:val="004A48BC"/>
    <w:rsid w:val="004A4903"/>
    <w:rsid w:val="004A4924"/>
    <w:rsid w:val="004A4995"/>
    <w:rsid w:val="004A49B9"/>
    <w:rsid w:val="004A4C28"/>
    <w:rsid w:val="004A4C70"/>
    <w:rsid w:val="004A4C93"/>
    <w:rsid w:val="004A4C9E"/>
    <w:rsid w:val="004A4CF4"/>
    <w:rsid w:val="004A4D28"/>
    <w:rsid w:val="004A4DB4"/>
    <w:rsid w:val="004A4DC8"/>
    <w:rsid w:val="004A4DF4"/>
    <w:rsid w:val="004A4E0E"/>
    <w:rsid w:val="004A4EA6"/>
    <w:rsid w:val="004A4F39"/>
    <w:rsid w:val="004A4F49"/>
    <w:rsid w:val="004A4F6D"/>
    <w:rsid w:val="004A50DE"/>
    <w:rsid w:val="004A5118"/>
    <w:rsid w:val="004A51C2"/>
    <w:rsid w:val="004A5200"/>
    <w:rsid w:val="004A5228"/>
    <w:rsid w:val="004A5232"/>
    <w:rsid w:val="004A523D"/>
    <w:rsid w:val="004A5374"/>
    <w:rsid w:val="004A53C4"/>
    <w:rsid w:val="004A5495"/>
    <w:rsid w:val="004A5782"/>
    <w:rsid w:val="004A5891"/>
    <w:rsid w:val="004A58A0"/>
    <w:rsid w:val="004A58CB"/>
    <w:rsid w:val="004A5923"/>
    <w:rsid w:val="004A598B"/>
    <w:rsid w:val="004A5A17"/>
    <w:rsid w:val="004A5B9D"/>
    <w:rsid w:val="004A5BD5"/>
    <w:rsid w:val="004A5C94"/>
    <w:rsid w:val="004A5CC9"/>
    <w:rsid w:val="004A5CD2"/>
    <w:rsid w:val="004A5E29"/>
    <w:rsid w:val="004A5E9F"/>
    <w:rsid w:val="004A609C"/>
    <w:rsid w:val="004A61B1"/>
    <w:rsid w:val="004A6344"/>
    <w:rsid w:val="004A6393"/>
    <w:rsid w:val="004A63B6"/>
    <w:rsid w:val="004A641C"/>
    <w:rsid w:val="004A645A"/>
    <w:rsid w:val="004A6510"/>
    <w:rsid w:val="004A6576"/>
    <w:rsid w:val="004A6704"/>
    <w:rsid w:val="004A6754"/>
    <w:rsid w:val="004A693D"/>
    <w:rsid w:val="004A69EE"/>
    <w:rsid w:val="004A6B2B"/>
    <w:rsid w:val="004A6CCB"/>
    <w:rsid w:val="004A6CF8"/>
    <w:rsid w:val="004A6D35"/>
    <w:rsid w:val="004A6EA3"/>
    <w:rsid w:val="004A6F6D"/>
    <w:rsid w:val="004A6F7B"/>
    <w:rsid w:val="004A6F83"/>
    <w:rsid w:val="004A7075"/>
    <w:rsid w:val="004A710E"/>
    <w:rsid w:val="004A7123"/>
    <w:rsid w:val="004A7161"/>
    <w:rsid w:val="004A71C3"/>
    <w:rsid w:val="004A71C5"/>
    <w:rsid w:val="004A71E3"/>
    <w:rsid w:val="004A7212"/>
    <w:rsid w:val="004A7268"/>
    <w:rsid w:val="004A7374"/>
    <w:rsid w:val="004A737E"/>
    <w:rsid w:val="004A73B2"/>
    <w:rsid w:val="004A7493"/>
    <w:rsid w:val="004A7566"/>
    <w:rsid w:val="004A75D5"/>
    <w:rsid w:val="004A7642"/>
    <w:rsid w:val="004A764D"/>
    <w:rsid w:val="004A7928"/>
    <w:rsid w:val="004A792B"/>
    <w:rsid w:val="004A79C2"/>
    <w:rsid w:val="004A7A1B"/>
    <w:rsid w:val="004A7A59"/>
    <w:rsid w:val="004A7AA5"/>
    <w:rsid w:val="004A7AF3"/>
    <w:rsid w:val="004A7BE6"/>
    <w:rsid w:val="004A7D2F"/>
    <w:rsid w:val="004A7D3B"/>
    <w:rsid w:val="004A7D88"/>
    <w:rsid w:val="004A7E89"/>
    <w:rsid w:val="004A7F09"/>
    <w:rsid w:val="004A7FCA"/>
    <w:rsid w:val="004B002A"/>
    <w:rsid w:val="004B0238"/>
    <w:rsid w:val="004B03E1"/>
    <w:rsid w:val="004B0477"/>
    <w:rsid w:val="004B05AF"/>
    <w:rsid w:val="004B05D9"/>
    <w:rsid w:val="004B0617"/>
    <w:rsid w:val="004B064A"/>
    <w:rsid w:val="004B08CF"/>
    <w:rsid w:val="004B08DD"/>
    <w:rsid w:val="004B091F"/>
    <w:rsid w:val="004B0948"/>
    <w:rsid w:val="004B09A8"/>
    <w:rsid w:val="004B0A1C"/>
    <w:rsid w:val="004B0A70"/>
    <w:rsid w:val="004B0A71"/>
    <w:rsid w:val="004B0B50"/>
    <w:rsid w:val="004B0BA8"/>
    <w:rsid w:val="004B0BE5"/>
    <w:rsid w:val="004B0CA2"/>
    <w:rsid w:val="004B0D1D"/>
    <w:rsid w:val="004B0E65"/>
    <w:rsid w:val="004B0E77"/>
    <w:rsid w:val="004B0E95"/>
    <w:rsid w:val="004B0EA6"/>
    <w:rsid w:val="004B0EE3"/>
    <w:rsid w:val="004B1029"/>
    <w:rsid w:val="004B1145"/>
    <w:rsid w:val="004B11DC"/>
    <w:rsid w:val="004B1233"/>
    <w:rsid w:val="004B1425"/>
    <w:rsid w:val="004B14EC"/>
    <w:rsid w:val="004B14F8"/>
    <w:rsid w:val="004B164F"/>
    <w:rsid w:val="004B1714"/>
    <w:rsid w:val="004B1783"/>
    <w:rsid w:val="004B17A7"/>
    <w:rsid w:val="004B1801"/>
    <w:rsid w:val="004B185B"/>
    <w:rsid w:val="004B18A5"/>
    <w:rsid w:val="004B18C3"/>
    <w:rsid w:val="004B18D1"/>
    <w:rsid w:val="004B191B"/>
    <w:rsid w:val="004B199F"/>
    <w:rsid w:val="004B19B6"/>
    <w:rsid w:val="004B19FB"/>
    <w:rsid w:val="004B1A75"/>
    <w:rsid w:val="004B1BB1"/>
    <w:rsid w:val="004B1BE8"/>
    <w:rsid w:val="004B1D46"/>
    <w:rsid w:val="004B1DEC"/>
    <w:rsid w:val="004B1E06"/>
    <w:rsid w:val="004B1E2A"/>
    <w:rsid w:val="004B1EC5"/>
    <w:rsid w:val="004B1F5E"/>
    <w:rsid w:val="004B1F7C"/>
    <w:rsid w:val="004B1FEA"/>
    <w:rsid w:val="004B2123"/>
    <w:rsid w:val="004B215A"/>
    <w:rsid w:val="004B2163"/>
    <w:rsid w:val="004B2360"/>
    <w:rsid w:val="004B248C"/>
    <w:rsid w:val="004B25B0"/>
    <w:rsid w:val="004B2689"/>
    <w:rsid w:val="004B275B"/>
    <w:rsid w:val="004B276A"/>
    <w:rsid w:val="004B27C3"/>
    <w:rsid w:val="004B2850"/>
    <w:rsid w:val="004B289B"/>
    <w:rsid w:val="004B28D3"/>
    <w:rsid w:val="004B28D8"/>
    <w:rsid w:val="004B28EA"/>
    <w:rsid w:val="004B299D"/>
    <w:rsid w:val="004B2A97"/>
    <w:rsid w:val="004B2B33"/>
    <w:rsid w:val="004B2C78"/>
    <w:rsid w:val="004B2D5B"/>
    <w:rsid w:val="004B2DC4"/>
    <w:rsid w:val="004B2DD8"/>
    <w:rsid w:val="004B2DE5"/>
    <w:rsid w:val="004B2E58"/>
    <w:rsid w:val="004B2ECD"/>
    <w:rsid w:val="004B2F56"/>
    <w:rsid w:val="004B3075"/>
    <w:rsid w:val="004B30DC"/>
    <w:rsid w:val="004B31F0"/>
    <w:rsid w:val="004B332F"/>
    <w:rsid w:val="004B3373"/>
    <w:rsid w:val="004B35B0"/>
    <w:rsid w:val="004B361A"/>
    <w:rsid w:val="004B375A"/>
    <w:rsid w:val="004B378A"/>
    <w:rsid w:val="004B37B6"/>
    <w:rsid w:val="004B37D0"/>
    <w:rsid w:val="004B387F"/>
    <w:rsid w:val="004B3B0A"/>
    <w:rsid w:val="004B3B5F"/>
    <w:rsid w:val="004B3BA6"/>
    <w:rsid w:val="004B3D04"/>
    <w:rsid w:val="004B3D46"/>
    <w:rsid w:val="004B3D5A"/>
    <w:rsid w:val="004B3D85"/>
    <w:rsid w:val="004B3DBE"/>
    <w:rsid w:val="004B3E24"/>
    <w:rsid w:val="004B402B"/>
    <w:rsid w:val="004B404F"/>
    <w:rsid w:val="004B4108"/>
    <w:rsid w:val="004B41B8"/>
    <w:rsid w:val="004B42A4"/>
    <w:rsid w:val="004B42BD"/>
    <w:rsid w:val="004B43B6"/>
    <w:rsid w:val="004B44FA"/>
    <w:rsid w:val="004B45C7"/>
    <w:rsid w:val="004B45CB"/>
    <w:rsid w:val="004B4657"/>
    <w:rsid w:val="004B4706"/>
    <w:rsid w:val="004B4800"/>
    <w:rsid w:val="004B490F"/>
    <w:rsid w:val="004B4A09"/>
    <w:rsid w:val="004B4A29"/>
    <w:rsid w:val="004B4AA2"/>
    <w:rsid w:val="004B4B03"/>
    <w:rsid w:val="004B4B24"/>
    <w:rsid w:val="004B4B58"/>
    <w:rsid w:val="004B4D4C"/>
    <w:rsid w:val="004B4DB4"/>
    <w:rsid w:val="004B4DF3"/>
    <w:rsid w:val="004B4E6D"/>
    <w:rsid w:val="004B4F25"/>
    <w:rsid w:val="004B5042"/>
    <w:rsid w:val="004B50C4"/>
    <w:rsid w:val="004B50EC"/>
    <w:rsid w:val="004B5179"/>
    <w:rsid w:val="004B520D"/>
    <w:rsid w:val="004B5288"/>
    <w:rsid w:val="004B52EF"/>
    <w:rsid w:val="004B530E"/>
    <w:rsid w:val="004B5353"/>
    <w:rsid w:val="004B5360"/>
    <w:rsid w:val="004B541C"/>
    <w:rsid w:val="004B5547"/>
    <w:rsid w:val="004B5635"/>
    <w:rsid w:val="004B5640"/>
    <w:rsid w:val="004B5669"/>
    <w:rsid w:val="004B571A"/>
    <w:rsid w:val="004B580C"/>
    <w:rsid w:val="004B5895"/>
    <w:rsid w:val="004B5928"/>
    <w:rsid w:val="004B5D00"/>
    <w:rsid w:val="004B5D4E"/>
    <w:rsid w:val="004B5DAB"/>
    <w:rsid w:val="004B5DCD"/>
    <w:rsid w:val="004B5DD3"/>
    <w:rsid w:val="004B5DD5"/>
    <w:rsid w:val="004B5E27"/>
    <w:rsid w:val="004B5E7E"/>
    <w:rsid w:val="004B5F2B"/>
    <w:rsid w:val="004B5F75"/>
    <w:rsid w:val="004B5FB8"/>
    <w:rsid w:val="004B60BA"/>
    <w:rsid w:val="004B6123"/>
    <w:rsid w:val="004B6229"/>
    <w:rsid w:val="004B6306"/>
    <w:rsid w:val="004B6372"/>
    <w:rsid w:val="004B657B"/>
    <w:rsid w:val="004B6752"/>
    <w:rsid w:val="004B67AD"/>
    <w:rsid w:val="004B6887"/>
    <w:rsid w:val="004B694D"/>
    <w:rsid w:val="004B6A3F"/>
    <w:rsid w:val="004B6A5A"/>
    <w:rsid w:val="004B6ABA"/>
    <w:rsid w:val="004B6ACB"/>
    <w:rsid w:val="004B6B15"/>
    <w:rsid w:val="004B6EF7"/>
    <w:rsid w:val="004B6F93"/>
    <w:rsid w:val="004B6FA2"/>
    <w:rsid w:val="004B6FFC"/>
    <w:rsid w:val="004B70A5"/>
    <w:rsid w:val="004B71F7"/>
    <w:rsid w:val="004B71FF"/>
    <w:rsid w:val="004B7369"/>
    <w:rsid w:val="004B750C"/>
    <w:rsid w:val="004B75A4"/>
    <w:rsid w:val="004B75A7"/>
    <w:rsid w:val="004B765A"/>
    <w:rsid w:val="004B7690"/>
    <w:rsid w:val="004B76CB"/>
    <w:rsid w:val="004B76CC"/>
    <w:rsid w:val="004B7861"/>
    <w:rsid w:val="004B7A08"/>
    <w:rsid w:val="004B7A1A"/>
    <w:rsid w:val="004B7A96"/>
    <w:rsid w:val="004B7AB7"/>
    <w:rsid w:val="004B7B55"/>
    <w:rsid w:val="004B7B6E"/>
    <w:rsid w:val="004B7BAF"/>
    <w:rsid w:val="004B7D12"/>
    <w:rsid w:val="004B7E2E"/>
    <w:rsid w:val="004B7E9D"/>
    <w:rsid w:val="004C0055"/>
    <w:rsid w:val="004C0061"/>
    <w:rsid w:val="004C00EC"/>
    <w:rsid w:val="004C0133"/>
    <w:rsid w:val="004C027E"/>
    <w:rsid w:val="004C0380"/>
    <w:rsid w:val="004C044D"/>
    <w:rsid w:val="004C04A9"/>
    <w:rsid w:val="004C0512"/>
    <w:rsid w:val="004C053B"/>
    <w:rsid w:val="004C0763"/>
    <w:rsid w:val="004C07C7"/>
    <w:rsid w:val="004C0989"/>
    <w:rsid w:val="004C09B0"/>
    <w:rsid w:val="004C0A68"/>
    <w:rsid w:val="004C0BA0"/>
    <w:rsid w:val="004C0BDC"/>
    <w:rsid w:val="004C0C98"/>
    <w:rsid w:val="004C0CF2"/>
    <w:rsid w:val="004C0D28"/>
    <w:rsid w:val="004C0D98"/>
    <w:rsid w:val="004C0E9D"/>
    <w:rsid w:val="004C0EB9"/>
    <w:rsid w:val="004C0F2A"/>
    <w:rsid w:val="004C0FF4"/>
    <w:rsid w:val="004C1005"/>
    <w:rsid w:val="004C1021"/>
    <w:rsid w:val="004C1031"/>
    <w:rsid w:val="004C1042"/>
    <w:rsid w:val="004C10F8"/>
    <w:rsid w:val="004C1147"/>
    <w:rsid w:val="004C1151"/>
    <w:rsid w:val="004C1164"/>
    <w:rsid w:val="004C11A4"/>
    <w:rsid w:val="004C11B0"/>
    <w:rsid w:val="004C124E"/>
    <w:rsid w:val="004C1300"/>
    <w:rsid w:val="004C1357"/>
    <w:rsid w:val="004C15E6"/>
    <w:rsid w:val="004C161A"/>
    <w:rsid w:val="004C172E"/>
    <w:rsid w:val="004C199C"/>
    <w:rsid w:val="004C1A2D"/>
    <w:rsid w:val="004C1A77"/>
    <w:rsid w:val="004C1B29"/>
    <w:rsid w:val="004C1C17"/>
    <w:rsid w:val="004C1C83"/>
    <w:rsid w:val="004C1CB1"/>
    <w:rsid w:val="004C1DF3"/>
    <w:rsid w:val="004C1E81"/>
    <w:rsid w:val="004C2089"/>
    <w:rsid w:val="004C20A1"/>
    <w:rsid w:val="004C2110"/>
    <w:rsid w:val="004C214F"/>
    <w:rsid w:val="004C2189"/>
    <w:rsid w:val="004C21B5"/>
    <w:rsid w:val="004C21DC"/>
    <w:rsid w:val="004C22AD"/>
    <w:rsid w:val="004C2301"/>
    <w:rsid w:val="004C23F6"/>
    <w:rsid w:val="004C2430"/>
    <w:rsid w:val="004C24B0"/>
    <w:rsid w:val="004C24DC"/>
    <w:rsid w:val="004C25F5"/>
    <w:rsid w:val="004C2644"/>
    <w:rsid w:val="004C26B8"/>
    <w:rsid w:val="004C2740"/>
    <w:rsid w:val="004C2790"/>
    <w:rsid w:val="004C285A"/>
    <w:rsid w:val="004C2891"/>
    <w:rsid w:val="004C289B"/>
    <w:rsid w:val="004C2A2F"/>
    <w:rsid w:val="004C2AF5"/>
    <w:rsid w:val="004C2C0B"/>
    <w:rsid w:val="004C2C83"/>
    <w:rsid w:val="004C2C8F"/>
    <w:rsid w:val="004C2EA5"/>
    <w:rsid w:val="004C3022"/>
    <w:rsid w:val="004C3069"/>
    <w:rsid w:val="004C3089"/>
    <w:rsid w:val="004C30A5"/>
    <w:rsid w:val="004C30CC"/>
    <w:rsid w:val="004C3104"/>
    <w:rsid w:val="004C3168"/>
    <w:rsid w:val="004C320F"/>
    <w:rsid w:val="004C322E"/>
    <w:rsid w:val="004C325A"/>
    <w:rsid w:val="004C340D"/>
    <w:rsid w:val="004C34D9"/>
    <w:rsid w:val="004C3539"/>
    <w:rsid w:val="004C3595"/>
    <w:rsid w:val="004C377D"/>
    <w:rsid w:val="004C379F"/>
    <w:rsid w:val="004C37A4"/>
    <w:rsid w:val="004C387B"/>
    <w:rsid w:val="004C392D"/>
    <w:rsid w:val="004C3942"/>
    <w:rsid w:val="004C3AF3"/>
    <w:rsid w:val="004C3B04"/>
    <w:rsid w:val="004C3B63"/>
    <w:rsid w:val="004C3BE8"/>
    <w:rsid w:val="004C3CA8"/>
    <w:rsid w:val="004C3CAF"/>
    <w:rsid w:val="004C3EE3"/>
    <w:rsid w:val="004C3FFA"/>
    <w:rsid w:val="004C42CF"/>
    <w:rsid w:val="004C445A"/>
    <w:rsid w:val="004C44C2"/>
    <w:rsid w:val="004C44CC"/>
    <w:rsid w:val="004C45B3"/>
    <w:rsid w:val="004C45F3"/>
    <w:rsid w:val="004C467C"/>
    <w:rsid w:val="004C47D7"/>
    <w:rsid w:val="004C4868"/>
    <w:rsid w:val="004C487E"/>
    <w:rsid w:val="004C48DC"/>
    <w:rsid w:val="004C49AB"/>
    <w:rsid w:val="004C49BD"/>
    <w:rsid w:val="004C4B03"/>
    <w:rsid w:val="004C4B66"/>
    <w:rsid w:val="004C4CBF"/>
    <w:rsid w:val="004C4D13"/>
    <w:rsid w:val="004C4D32"/>
    <w:rsid w:val="004C4DE7"/>
    <w:rsid w:val="004C4FED"/>
    <w:rsid w:val="004C5150"/>
    <w:rsid w:val="004C51EF"/>
    <w:rsid w:val="004C5280"/>
    <w:rsid w:val="004C531E"/>
    <w:rsid w:val="004C538C"/>
    <w:rsid w:val="004C538D"/>
    <w:rsid w:val="004C545D"/>
    <w:rsid w:val="004C54A2"/>
    <w:rsid w:val="004C54CC"/>
    <w:rsid w:val="004C56EC"/>
    <w:rsid w:val="004C57B2"/>
    <w:rsid w:val="004C58FD"/>
    <w:rsid w:val="004C5945"/>
    <w:rsid w:val="004C59F5"/>
    <w:rsid w:val="004C5A9E"/>
    <w:rsid w:val="004C5AA5"/>
    <w:rsid w:val="004C5D45"/>
    <w:rsid w:val="004C5DF5"/>
    <w:rsid w:val="004C5E28"/>
    <w:rsid w:val="004C5F08"/>
    <w:rsid w:val="004C5F19"/>
    <w:rsid w:val="004C5FC5"/>
    <w:rsid w:val="004C608C"/>
    <w:rsid w:val="004C60A8"/>
    <w:rsid w:val="004C6258"/>
    <w:rsid w:val="004C6316"/>
    <w:rsid w:val="004C63D7"/>
    <w:rsid w:val="004C6426"/>
    <w:rsid w:val="004C650E"/>
    <w:rsid w:val="004C6544"/>
    <w:rsid w:val="004C6686"/>
    <w:rsid w:val="004C6694"/>
    <w:rsid w:val="004C67A1"/>
    <w:rsid w:val="004C67E4"/>
    <w:rsid w:val="004C6873"/>
    <w:rsid w:val="004C68A4"/>
    <w:rsid w:val="004C6B3C"/>
    <w:rsid w:val="004C6C20"/>
    <w:rsid w:val="004C6CAB"/>
    <w:rsid w:val="004C6CC6"/>
    <w:rsid w:val="004C6CF6"/>
    <w:rsid w:val="004C6D30"/>
    <w:rsid w:val="004C6D70"/>
    <w:rsid w:val="004C6EE9"/>
    <w:rsid w:val="004C6FE8"/>
    <w:rsid w:val="004C7073"/>
    <w:rsid w:val="004C70CA"/>
    <w:rsid w:val="004C7110"/>
    <w:rsid w:val="004C7121"/>
    <w:rsid w:val="004C7182"/>
    <w:rsid w:val="004C7185"/>
    <w:rsid w:val="004C71FD"/>
    <w:rsid w:val="004C726E"/>
    <w:rsid w:val="004C73BF"/>
    <w:rsid w:val="004C73CE"/>
    <w:rsid w:val="004C7478"/>
    <w:rsid w:val="004C7511"/>
    <w:rsid w:val="004C76AF"/>
    <w:rsid w:val="004C76C5"/>
    <w:rsid w:val="004C7892"/>
    <w:rsid w:val="004C7BDE"/>
    <w:rsid w:val="004C7C2C"/>
    <w:rsid w:val="004C7DD9"/>
    <w:rsid w:val="004C7E03"/>
    <w:rsid w:val="004C7E36"/>
    <w:rsid w:val="004C7F59"/>
    <w:rsid w:val="004D0264"/>
    <w:rsid w:val="004D02F1"/>
    <w:rsid w:val="004D0324"/>
    <w:rsid w:val="004D0329"/>
    <w:rsid w:val="004D03D1"/>
    <w:rsid w:val="004D0443"/>
    <w:rsid w:val="004D0460"/>
    <w:rsid w:val="004D0640"/>
    <w:rsid w:val="004D06B1"/>
    <w:rsid w:val="004D07F1"/>
    <w:rsid w:val="004D0B07"/>
    <w:rsid w:val="004D0B56"/>
    <w:rsid w:val="004D0B9C"/>
    <w:rsid w:val="004D0BD7"/>
    <w:rsid w:val="004D0C39"/>
    <w:rsid w:val="004D0C83"/>
    <w:rsid w:val="004D0CA5"/>
    <w:rsid w:val="004D0D19"/>
    <w:rsid w:val="004D0E77"/>
    <w:rsid w:val="004D0E78"/>
    <w:rsid w:val="004D0EC8"/>
    <w:rsid w:val="004D0F01"/>
    <w:rsid w:val="004D108F"/>
    <w:rsid w:val="004D1141"/>
    <w:rsid w:val="004D1172"/>
    <w:rsid w:val="004D11BD"/>
    <w:rsid w:val="004D11F7"/>
    <w:rsid w:val="004D1220"/>
    <w:rsid w:val="004D12A0"/>
    <w:rsid w:val="004D12BF"/>
    <w:rsid w:val="004D12F1"/>
    <w:rsid w:val="004D146B"/>
    <w:rsid w:val="004D173F"/>
    <w:rsid w:val="004D17B8"/>
    <w:rsid w:val="004D1905"/>
    <w:rsid w:val="004D1917"/>
    <w:rsid w:val="004D19A7"/>
    <w:rsid w:val="004D1A18"/>
    <w:rsid w:val="004D1A80"/>
    <w:rsid w:val="004D1AE0"/>
    <w:rsid w:val="004D1C19"/>
    <w:rsid w:val="004D1D0C"/>
    <w:rsid w:val="004D1DFD"/>
    <w:rsid w:val="004D1E13"/>
    <w:rsid w:val="004D1E14"/>
    <w:rsid w:val="004D1E60"/>
    <w:rsid w:val="004D1FC0"/>
    <w:rsid w:val="004D1FCB"/>
    <w:rsid w:val="004D2020"/>
    <w:rsid w:val="004D2082"/>
    <w:rsid w:val="004D2157"/>
    <w:rsid w:val="004D221E"/>
    <w:rsid w:val="004D2257"/>
    <w:rsid w:val="004D22A0"/>
    <w:rsid w:val="004D22AE"/>
    <w:rsid w:val="004D22CE"/>
    <w:rsid w:val="004D25DD"/>
    <w:rsid w:val="004D2669"/>
    <w:rsid w:val="004D271C"/>
    <w:rsid w:val="004D2779"/>
    <w:rsid w:val="004D29A9"/>
    <w:rsid w:val="004D2A7C"/>
    <w:rsid w:val="004D2A8C"/>
    <w:rsid w:val="004D2B79"/>
    <w:rsid w:val="004D2B8F"/>
    <w:rsid w:val="004D2C24"/>
    <w:rsid w:val="004D2C50"/>
    <w:rsid w:val="004D2C53"/>
    <w:rsid w:val="004D2C82"/>
    <w:rsid w:val="004D2D0D"/>
    <w:rsid w:val="004D2D4E"/>
    <w:rsid w:val="004D2D70"/>
    <w:rsid w:val="004D2FE8"/>
    <w:rsid w:val="004D30B7"/>
    <w:rsid w:val="004D30D0"/>
    <w:rsid w:val="004D30DE"/>
    <w:rsid w:val="004D312F"/>
    <w:rsid w:val="004D320D"/>
    <w:rsid w:val="004D3247"/>
    <w:rsid w:val="004D32E4"/>
    <w:rsid w:val="004D32EB"/>
    <w:rsid w:val="004D346D"/>
    <w:rsid w:val="004D34A4"/>
    <w:rsid w:val="004D34C8"/>
    <w:rsid w:val="004D352E"/>
    <w:rsid w:val="004D363A"/>
    <w:rsid w:val="004D36A9"/>
    <w:rsid w:val="004D36D3"/>
    <w:rsid w:val="004D374E"/>
    <w:rsid w:val="004D38F1"/>
    <w:rsid w:val="004D390D"/>
    <w:rsid w:val="004D3937"/>
    <w:rsid w:val="004D3A96"/>
    <w:rsid w:val="004D3B2F"/>
    <w:rsid w:val="004D3C60"/>
    <w:rsid w:val="004D3C97"/>
    <w:rsid w:val="004D3CA8"/>
    <w:rsid w:val="004D3E4A"/>
    <w:rsid w:val="004D3E72"/>
    <w:rsid w:val="004D3FE1"/>
    <w:rsid w:val="004D3FE5"/>
    <w:rsid w:val="004D4042"/>
    <w:rsid w:val="004D4130"/>
    <w:rsid w:val="004D41B1"/>
    <w:rsid w:val="004D4210"/>
    <w:rsid w:val="004D436D"/>
    <w:rsid w:val="004D44F4"/>
    <w:rsid w:val="004D4506"/>
    <w:rsid w:val="004D46A1"/>
    <w:rsid w:val="004D4789"/>
    <w:rsid w:val="004D4942"/>
    <w:rsid w:val="004D499E"/>
    <w:rsid w:val="004D49A1"/>
    <w:rsid w:val="004D4A8E"/>
    <w:rsid w:val="004D4AF6"/>
    <w:rsid w:val="004D4B42"/>
    <w:rsid w:val="004D4BD4"/>
    <w:rsid w:val="004D4CA8"/>
    <w:rsid w:val="004D4D82"/>
    <w:rsid w:val="004D5009"/>
    <w:rsid w:val="004D5019"/>
    <w:rsid w:val="004D506D"/>
    <w:rsid w:val="004D507B"/>
    <w:rsid w:val="004D522C"/>
    <w:rsid w:val="004D5236"/>
    <w:rsid w:val="004D536E"/>
    <w:rsid w:val="004D539F"/>
    <w:rsid w:val="004D5461"/>
    <w:rsid w:val="004D5477"/>
    <w:rsid w:val="004D5512"/>
    <w:rsid w:val="004D554D"/>
    <w:rsid w:val="004D5555"/>
    <w:rsid w:val="004D555B"/>
    <w:rsid w:val="004D5564"/>
    <w:rsid w:val="004D55D6"/>
    <w:rsid w:val="004D5603"/>
    <w:rsid w:val="004D5798"/>
    <w:rsid w:val="004D590B"/>
    <w:rsid w:val="004D596A"/>
    <w:rsid w:val="004D5980"/>
    <w:rsid w:val="004D5999"/>
    <w:rsid w:val="004D5AFF"/>
    <w:rsid w:val="004D5B3C"/>
    <w:rsid w:val="004D5BD0"/>
    <w:rsid w:val="004D5F5F"/>
    <w:rsid w:val="004D5F89"/>
    <w:rsid w:val="004D6019"/>
    <w:rsid w:val="004D60EA"/>
    <w:rsid w:val="004D6123"/>
    <w:rsid w:val="004D6152"/>
    <w:rsid w:val="004D61AB"/>
    <w:rsid w:val="004D6233"/>
    <w:rsid w:val="004D6244"/>
    <w:rsid w:val="004D62CD"/>
    <w:rsid w:val="004D62F4"/>
    <w:rsid w:val="004D63D4"/>
    <w:rsid w:val="004D6450"/>
    <w:rsid w:val="004D659F"/>
    <w:rsid w:val="004D6615"/>
    <w:rsid w:val="004D6653"/>
    <w:rsid w:val="004D6760"/>
    <w:rsid w:val="004D6769"/>
    <w:rsid w:val="004D67D2"/>
    <w:rsid w:val="004D67E6"/>
    <w:rsid w:val="004D6875"/>
    <w:rsid w:val="004D69B3"/>
    <w:rsid w:val="004D6AF7"/>
    <w:rsid w:val="004D6CA5"/>
    <w:rsid w:val="004D6E3D"/>
    <w:rsid w:val="004D6E68"/>
    <w:rsid w:val="004D6EB6"/>
    <w:rsid w:val="004D6FC0"/>
    <w:rsid w:val="004D71E1"/>
    <w:rsid w:val="004D7206"/>
    <w:rsid w:val="004D726B"/>
    <w:rsid w:val="004D7281"/>
    <w:rsid w:val="004D72CE"/>
    <w:rsid w:val="004D733E"/>
    <w:rsid w:val="004D7418"/>
    <w:rsid w:val="004D746D"/>
    <w:rsid w:val="004D74FE"/>
    <w:rsid w:val="004D7562"/>
    <w:rsid w:val="004D75F5"/>
    <w:rsid w:val="004D7655"/>
    <w:rsid w:val="004D782A"/>
    <w:rsid w:val="004D79B5"/>
    <w:rsid w:val="004D79EC"/>
    <w:rsid w:val="004D7AC3"/>
    <w:rsid w:val="004D7B16"/>
    <w:rsid w:val="004D7B19"/>
    <w:rsid w:val="004D7B92"/>
    <w:rsid w:val="004D7C06"/>
    <w:rsid w:val="004D7C17"/>
    <w:rsid w:val="004D7C35"/>
    <w:rsid w:val="004D7C4A"/>
    <w:rsid w:val="004D7CF8"/>
    <w:rsid w:val="004D7D4B"/>
    <w:rsid w:val="004D7E53"/>
    <w:rsid w:val="004D7EBE"/>
    <w:rsid w:val="004D7EC5"/>
    <w:rsid w:val="004D7F36"/>
    <w:rsid w:val="004D7F47"/>
    <w:rsid w:val="004E002A"/>
    <w:rsid w:val="004E00A2"/>
    <w:rsid w:val="004E012C"/>
    <w:rsid w:val="004E01CB"/>
    <w:rsid w:val="004E0248"/>
    <w:rsid w:val="004E02A1"/>
    <w:rsid w:val="004E0461"/>
    <w:rsid w:val="004E049B"/>
    <w:rsid w:val="004E04BA"/>
    <w:rsid w:val="004E052F"/>
    <w:rsid w:val="004E054B"/>
    <w:rsid w:val="004E057E"/>
    <w:rsid w:val="004E05E0"/>
    <w:rsid w:val="004E0678"/>
    <w:rsid w:val="004E0682"/>
    <w:rsid w:val="004E06B1"/>
    <w:rsid w:val="004E06D5"/>
    <w:rsid w:val="004E0780"/>
    <w:rsid w:val="004E0787"/>
    <w:rsid w:val="004E07AC"/>
    <w:rsid w:val="004E07C0"/>
    <w:rsid w:val="004E086A"/>
    <w:rsid w:val="004E08E9"/>
    <w:rsid w:val="004E09FC"/>
    <w:rsid w:val="004E0A33"/>
    <w:rsid w:val="004E0AD9"/>
    <w:rsid w:val="004E0AE6"/>
    <w:rsid w:val="004E0D51"/>
    <w:rsid w:val="004E0DFE"/>
    <w:rsid w:val="004E0E43"/>
    <w:rsid w:val="004E0E78"/>
    <w:rsid w:val="004E0EBF"/>
    <w:rsid w:val="004E11DB"/>
    <w:rsid w:val="004E1268"/>
    <w:rsid w:val="004E1325"/>
    <w:rsid w:val="004E13AC"/>
    <w:rsid w:val="004E13E8"/>
    <w:rsid w:val="004E142F"/>
    <w:rsid w:val="004E14A0"/>
    <w:rsid w:val="004E1568"/>
    <w:rsid w:val="004E167B"/>
    <w:rsid w:val="004E16D0"/>
    <w:rsid w:val="004E1764"/>
    <w:rsid w:val="004E177E"/>
    <w:rsid w:val="004E1830"/>
    <w:rsid w:val="004E1892"/>
    <w:rsid w:val="004E18B2"/>
    <w:rsid w:val="004E1923"/>
    <w:rsid w:val="004E194D"/>
    <w:rsid w:val="004E195C"/>
    <w:rsid w:val="004E1970"/>
    <w:rsid w:val="004E1980"/>
    <w:rsid w:val="004E1A39"/>
    <w:rsid w:val="004E1AF9"/>
    <w:rsid w:val="004E1B35"/>
    <w:rsid w:val="004E1C12"/>
    <w:rsid w:val="004E1DA3"/>
    <w:rsid w:val="004E1EEF"/>
    <w:rsid w:val="004E1F20"/>
    <w:rsid w:val="004E1F78"/>
    <w:rsid w:val="004E20F6"/>
    <w:rsid w:val="004E212B"/>
    <w:rsid w:val="004E21ED"/>
    <w:rsid w:val="004E21FC"/>
    <w:rsid w:val="004E222E"/>
    <w:rsid w:val="004E2388"/>
    <w:rsid w:val="004E23B7"/>
    <w:rsid w:val="004E2413"/>
    <w:rsid w:val="004E249B"/>
    <w:rsid w:val="004E24CD"/>
    <w:rsid w:val="004E259C"/>
    <w:rsid w:val="004E259E"/>
    <w:rsid w:val="004E25C5"/>
    <w:rsid w:val="004E25CF"/>
    <w:rsid w:val="004E260C"/>
    <w:rsid w:val="004E26C0"/>
    <w:rsid w:val="004E27D1"/>
    <w:rsid w:val="004E27EE"/>
    <w:rsid w:val="004E287B"/>
    <w:rsid w:val="004E291E"/>
    <w:rsid w:val="004E29F5"/>
    <w:rsid w:val="004E29FA"/>
    <w:rsid w:val="004E2A7F"/>
    <w:rsid w:val="004E2AC2"/>
    <w:rsid w:val="004E2B33"/>
    <w:rsid w:val="004E2C13"/>
    <w:rsid w:val="004E2D53"/>
    <w:rsid w:val="004E2D8D"/>
    <w:rsid w:val="004E2E40"/>
    <w:rsid w:val="004E2E69"/>
    <w:rsid w:val="004E2E76"/>
    <w:rsid w:val="004E2EBA"/>
    <w:rsid w:val="004E2FD6"/>
    <w:rsid w:val="004E3049"/>
    <w:rsid w:val="004E3063"/>
    <w:rsid w:val="004E30B8"/>
    <w:rsid w:val="004E30F8"/>
    <w:rsid w:val="004E3178"/>
    <w:rsid w:val="004E31A7"/>
    <w:rsid w:val="004E31BA"/>
    <w:rsid w:val="004E3207"/>
    <w:rsid w:val="004E3269"/>
    <w:rsid w:val="004E3313"/>
    <w:rsid w:val="004E3380"/>
    <w:rsid w:val="004E34DB"/>
    <w:rsid w:val="004E3533"/>
    <w:rsid w:val="004E3572"/>
    <w:rsid w:val="004E35C7"/>
    <w:rsid w:val="004E35D2"/>
    <w:rsid w:val="004E3669"/>
    <w:rsid w:val="004E36B4"/>
    <w:rsid w:val="004E373D"/>
    <w:rsid w:val="004E37A6"/>
    <w:rsid w:val="004E3813"/>
    <w:rsid w:val="004E392F"/>
    <w:rsid w:val="004E39B5"/>
    <w:rsid w:val="004E3B4F"/>
    <w:rsid w:val="004E3B78"/>
    <w:rsid w:val="004E3C86"/>
    <w:rsid w:val="004E3C9B"/>
    <w:rsid w:val="004E3D07"/>
    <w:rsid w:val="004E3D52"/>
    <w:rsid w:val="004E3DBB"/>
    <w:rsid w:val="004E3DEF"/>
    <w:rsid w:val="004E3EE8"/>
    <w:rsid w:val="004E3F0E"/>
    <w:rsid w:val="004E3F23"/>
    <w:rsid w:val="004E3FC5"/>
    <w:rsid w:val="004E4049"/>
    <w:rsid w:val="004E415B"/>
    <w:rsid w:val="004E42E3"/>
    <w:rsid w:val="004E42E5"/>
    <w:rsid w:val="004E431C"/>
    <w:rsid w:val="004E43F8"/>
    <w:rsid w:val="004E4483"/>
    <w:rsid w:val="004E44C7"/>
    <w:rsid w:val="004E457D"/>
    <w:rsid w:val="004E45B8"/>
    <w:rsid w:val="004E47A8"/>
    <w:rsid w:val="004E4A1F"/>
    <w:rsid w:val="004E4A30"/>
    <w:rsid w:val="004E4A73"/>
    <w:rsid w:val="004E4B9E"/>
    <w:rsid w:val="004E4BF1"/>
    <w:rsid w:val="004E4C69"/>
    <w:rsid w:val="004E4EB1"/>
    <w:rsid w:val="004E4F73"/>
    <w:rsid w:val="004E4F81"/>
    <w:rsid w:val="004E50C7"/>
    <w:rsid w:val="004E512A"/>
    <w:rsid w:val="004E5190"/>
    <w:rsid w:val="004E524C"/>
    <w:rsid w:val="004E5317"/>
    <w:rsid w:val="004E544D"/>
    <w:rsid w:val="004E5485"/>
    <w:rsid w:val="004E54B6"/>
    <w:rsid w:val="004E5568"/>
    <w:rsid w:val="004E55B8"/>
    <w:rsid w:val="004E55CB"/>
    <w:rsid w:val="004E55CC"/>
    <w:rsid w:val="004E5650"/>
    <w:rsid w:val="004E56C9"/>
    <w:rsid w:val="004E59DB"/>
    <w:rsid w:val="004E59F4"/>
    <w:rsid w:val="004E5A2A"/>
    <w:rsid w:val="004E5A2E"/>
    <w:rsid w:val="004E5A6D"/>
    <w:rsid w:val="004E5A72"/>
    <w:rsid w:val="004E5A94"/>
    <w:rsid w:val="004E5A9B"/>
    <w:rsid w:val="004E5AD1"/>
    <w:rsid w:val="004E5AE4"/>
    <w:rsid w:val="004E5BD4"/>
    <w:rsid w:val="004E5C18"/>
    <w:rsid w:val="004E5D04"/>
    <w:rsid w:val="004E5D12"/>
    <w:rsid w:val="004E5EB5"/>
    <w:rsid w:val="004E5F3D"/>
    <w:rsid w:val="004E6051"/>
    <w:rsid w:val="004E6065"/>
    <w:rsid w:val="004E61CB"/>
    <w:rsid w:val="004E6263"/>
    <w:rsid w:val="004E627D"/>
    <w:rsid w:val="004E62C2"/>
    <w:rsid w:val="004E651E"/>
    <w:rsid w:val="004E65F1"/>
    <w:rsid w:val="004E65F6"/>
    <w:rsid w:val="004E666D"/>
    <w:rsid w:val="004E6719"/>
    <w:rsid w:val="004E68C1"/>
    <w:rsid w:val="004E6A03"/>
    <w:rsid w:val="004E6A43"/>
    <w:rsid w:val="004E6B2E"/>
    <w:rsid w:val="004E6B39"/>
    <w:rsid w:val="004E6B5A"/>
    <w:rsid w:val="004E6B82"/>
    <w:rsid w:val="004E6C2A"/>
    <w:rsid w:val="004E6D37"/>
    <w:rsid w:val="004E6EBE"/>
    <w:rsid w:val="004E6FF2"/>
    <w:rsid w:val="004E6FFE"/>
    <w:rsid w:val="004E7044"/>
    <w:rsid w:val="004E706C"/>
    <w:rsid w:val="004E70F0"/>
    <w:rsid w:val="004E717E"/>
    <w:rsid w:val="004E71A4"/>
    <w:rsid w:val="004E720B"/>
    <w:rsid w:val="004E72F5"/>
    <w:rsid w:val="004E72F9"/>
    <w:rsid w:val="004E73C9"/>
    <w:rsid w:val="004E7406"/>
    <w:rsid w:val="004E764B"/>
    <w:rsid w:val="004E7738"/>
    <w:rsid w:val="004E7792"/>
    <w:rsid w:val="004E7861"/>
    <w:rsid w:val="004E78D5"/>
    <w:rsid w:val="004E79AA"/>
    <w:rsid w:val="004E79FD"/>
    <w:rsid w:val="004E7B85"/>
    <w:rsid w:val="004E7B91"/>
    <w:rsid w:val="004E7C0C"/>
    <w:rsid w:val="004E7C75"/>
    <w:rsid w:val="004E7D5F"/>
    <w:rsid w:val="004E7D64"/>
    <w:rsid w:val="004E7DA1"/>
    <w:rsid w:val="004E7DC0"/>
    <w:rsid w:val="004E7DFD"/>
    <w:rsid w:val="004E7E02"/>
    <w:rsid w:val="004E7E20"/>
    <w:rsid w:val="004E7E57"/>
    <w:rsid w:val="004E7E92"/>
    <w:rsid w:val="004E7F59"/>
    <w:rsid w:val="004E7F71"/>
    <w:rsid w:val="004F0011"/>
    <w:rsid w:val="004F00E3"/>
    <w:rsid w:val="004F0112"/>
    <w:rsid w:val="004F0210"/>
    <w:rsid w:val="004F0229"/>
    <w:rsid w:val="004F0245"/>
    <w:rsid w:val="004F0301"/>
    <w:rsid w:val="004F038A"/>
    <w:rsid w:val="004F05C4"/>
    <w:rsid w:val="004F0726"/>
    <w:rsid w:val="004F080B"/>
    <w:rsid w:val="004F08F9"/>
    <w:rsid w:val="004F094E"/>
    <w:rsid w:val="004F0A62"/>
    <w:rsid w:val="004F0AAA"/>
    <w:rsid w:val="004F0ADD"/>
    <w:rsid w:val="004F0B48"/>
    <w:rsid w:val="004F0B7F"/>
    <w:rsid w:val="004F0B8C"/>
    <w:rsid w:val="004F0D2A"/>
    <w:rsid w:val="004F0D44"/>
    <w:rsid w:val="004F0D77"/>
    <w:rsid w:val="004F0D87"/>
    <w:rsid w:val="004F0D8C"/>
    <w:rsid w:val="004F0EA3"/>
    <w:rsid w:val="004F0F48"/>
    <w:rsid w:val="004F0F7E"/>
    <w:rsid w:val="004F10FC"/>
    <w:rsid w:val="004F1330"/>
    <w:rsid w:val="004F13C6"/>
    <w:rsid w:val="004F1461"/>
    <w:rsid w:val="004F14DA"/>
    <w:rsid w:val="004F15B1"/>
    <w:rsid w:val="004F15BD"/>
    <w:rsid w:val="004F160C"/>
    <w:rsid w:val="004F16A8"/>
    <w:rsid w:val="004F173C"/>
    <w:rsid w:val="004F186D"/>
    <w:rsid w:val="004F1976"/>
    <w:rsid w:val="004F1AED"/>
    <w:rsid w:val="004F1B10"/>
    <w:rsid w:val="004F1C40"/>
    <w:rsid w:val="004F1CE6"/>
    <w:rsid w:val="004F1D00"/>
    <w:rsid w:val="004F1DFF"/>
    <w:rsid w:val="004F1EC1"/>
    <w:rsid w:val="004F1EC9"/>
    <w:rsid w:val="004F1ECF"/>
    <w:rsid w:val="004F1F03"/>
    <w:rsid w:val="004F1F97"/>
    <w:rsid w:val="004F2263"/>
    <w:rsid w:val="004F22F8"/>
    <w:rsid w:val="004F232D"/>
    <w:rsid w:val="004F232E"/>
    <w:rsid w:val="004F2402"/>
    <w:rsid w:val="004F24D4"/>
    <w:rsid w:val="004F2659"/>
    <w:rsid w:val="004F26B4"/>
    <w:rsid w:val="004F26C9"/>
    <w:rsid w:val="004F26CC"/>
    <w:rsid w:val="004F26D5"/>
    <w:rsid w:val="004F27C3"/>
    <w:rsid w:val="004F28CF"/>
    <w:rsid w:val="004F28F6"/>
    <w:rsid w:val="004F2A68"/>
    <w:rsid w:val="004F2BA4"/>
    <w:rsid w:val="004F2C56"/>
    <w:rsid w:val="004F2CB2"/>
    <w:rsid w:val="004F2CE4"/>
    <w:rsid w:val="004F2EC6"/>
    <w:rsid w:val="004F2F52"/>
    <w:rsid w:val="004F2F57"/>
    <w:rsid w:val="004F2F8E"/>
    <w:rsid w:val="004F30B5"/>
    <w:rsid w:val="004F30BB"/>
    <w:rsid w:val="004F31D7"/>
    <w:rsid w:val="004F3391"/>
    <w:rsid w:val="004F347B"/>
    <w:rsid w:val="004F35AD"/>
    <w:rsid w:val="004F3659"/>
    <w:rsid w:val="004F3796"/>
    <w:rsid w:val="004F3874"/>
    <w:rsid w:val="004F38B6"/>
    <w:rsid w:val="004F3AD1"/>
    <w:rsid w:val="004F3B1B"/>
    <w:rsid w:val="004F3BCE"/>
    <w:rsid w:val="004F3CDC"/>
    <w:rsid w:val="004F3CEF"/>
    <w:rsid w:val="004F3CFD"/>
    <w:rsid w:val="004F3EED"/>
    <w:rsid w:val="004F3F3B"/>
    <w:rsid w:val="004F3FC8"/>
    <w:rsid w:val="004F4004"/>
    <w:rsid w:val="004F405D"/>
    <w:rsid w:val="004F4214"/>
    <w:rsid w:val="004F4263"/>
    <w:rsid w:val="004F4370"/>
    <w:rsid w:val="004F43B7"/>
    <w:rsid w:val="004F4463"/>
    <w:rsid w:val="004F454D"/>
    <w:rsid w:val="004F45F7"/>
    <w:rsid w:val="004F462A"/>
    <w:rsid w:val="004F46A4"/>
    <w:rsid w:val="004F47CF"/>
    <w:rsid w:val="004F47F1"/>
    <w:rsid w:val="004F4A3A"/>
    <w:rsid w:val="004F4A5B"/>
    <w:rsid w:val="004F4B1B"/>
    <w:rsid w:val="004F4BBE"/>
    <w:rsid w:val="004F4BC8"/>
    <w:rsid w:val="004F4BDD"/>
    <w:rsid w:val="004F4C55"/>
    <w:rsid w:val="004F4CA8"/>
    <w:rsid w:val="004F4CDB"/>
    <w:rsid w:val="004F4CE3"/>
    <w:rsid w:val="004F4DA3"/>
    <w:rsid w:val="004F4E1C"/>
    <w:rsid w:val="004F4E36"/>
    <w:rsid w:val="004F4ECC"/>
    <w:rsid w:val="004F5052"/>
    <w:rsid w:val="004F5249"/>
    <w:rsid w:val="004F5402"/>
    <w:rsid w:val="004F541C"/>
    <w:rsid w:val="004F5462"/>
    <w:rsid w:val="004F5517"/>
    <w:rsid w:val="004F55ED"/>
    <w:rsid w:val="004F5628"/>
    <w:rsid w:val="004F5676"/>
    <w:rsid w:val="004F5993"/>
    <w:rsid w:val="004F5A67"/>
    <w:rsid w:val="004F5B38"/>
    <w:rsid w:val="004F5BF1"/>
    <w:rsid w:val="004F5D04"/>
    <w:rsid w:val="004F5D66"/>
    <w:rsid w:val="004F5D77"/>
    <w:rsid w:val="004F5D8C"/>
    <w:rsid w:val="004F5FCD"/>
    <w:rsid w:val="004F6010"/>
    <w:rsid w:val="004F6014"/>
    <w:rsid w:val="004F6022"/>
    <w:rsid w:val="004F6065"/>
    <w:rsid w:val="004F6106"/>
    <w:rsid w:val="004F6361"/>
    <w:rsid w:val="004F639C"/>
    <w:rsid w:val="004F6474"/>
    <w:rsid w:val="004F64DE"/>
    <w:rsid w:val="004F64EC"/>
    <w:rsid w:val="004F653A"/>
    <w:rsid w:val="004F6637"/>
    <w:rsid w:val="004F68F2"/>
    <w:rsid w:val="004F693D"/>
    <w:rsid w:val="004F6966"/>
    <w:rsid w:val="004F69E4"/>
    <w:rsid w:val="004F6A92"/>
    <w:rsid w:val="004F6B35"/>
    <w:rsid w:val="004F6C4C"/>
    <w:rsid w:val="004F6DBB"/>
    <w:rsid w:val="004F6E03"/>
    <w:rsid w:val="004F6E1D"/>
    <w:rsid w:val="004F6E6B"/>
    <w:rsid w:val="004F7055"/>
    <w:rsid w:val="004F70F3"/>
    <w:rsid w:val="004F7185"/>
    <w:rsid w:val="004F723B"/>
    <w:rsid w:val="004F732A"/>
    <w:rsid w:val="004F7394"/>
    <w:rsid w:val="004F73B7"/>
    <w:rsid w:val="004F73D1"/>
    <w:rsid w:val="004F7502"/>
    <w:rsid w:val="004F765A"/>
    <w:rsid w:val="004F7697"/>
    <w:rsid w:val="004F7698"/>
    <w:rsid w:val="004F76B9"/>
    <w:rsid w:val="004F772F"/>
    <w:rsid w:val="004F7830"/>
    <w:rsid w:val="004F7969"/>
    <w:rsid w:val="004F7994"/>
    <w:rsid w:val="004F79F0"/>
    <w:rsid w:val="004F7ACD"/>
    <w:rsid w:val="004F7B82"/>
    <w:rsid w:val="004F7B9A"/>
    <w:rsid w:val="004F7C82"/>
    <w:rsid w:val="004F7EF1"/>
    <w:rsid w:val="004F7F6C"/>
    <w:rsid w:val="004F7FC2"/>
    <w:rsid w:val="004F7FC6"/>
    <w:rsid w:val="00500037"/>
    <w:rsid w:val="005000B8"/>
    <w:rsid w:val="00500118"/>
    <w:rsid w:val="0050022B"/>
    <w:rsid w:val="005002F1"/>
    <w:rsid w:val="00500353"/>
    <w:rsid w:val="00500358"/>
    <w:rsid w:val="005004D1"/>
    <w:rsid w:val="00500594"/>
    <w:rsid w:val="005005C1"/>
    <w:rsid w:val="005005DD"/>
    <w:rsid w:val="00500665"/>
    <w:rsid w:val="00500704"/>
    <w:rsid w:val="005007C4"/>
    <w:rsid w:val="005007DE"/>
    <w:rsid w:val="0050095E"/>
    <w:rsid w:val="00500B9B"/>
    <w:rsid w:val="00500C9B"/>
    <w:rsid w:val="00500CEA"/>
    <w:rsid w:val="00500D52"/>
    <w:rsid w:val="00500D85"/>
    <w:rsid w:val="00500E03"/>
    <w:rsid w:val="00500F98"/>
    <w:rsid w:val="0050113A"/>
    <w:rsid w:val="0050115E"/>
    <w:rsid w:val="005012A8"/>
    <w:rsid w:val="00501339"/>
    <w:rsid w:val="00501344"/>
    <w:rsid w:val="005013B3"/>
    <w:rsid w:val="0050143F"/>
    <w:rsid w:val="00501651"/>
    <w:rsid w:val="005018CA"/>
    <w:rsid w:val="00501BA3"/>
    <w:rsid w:val="00501DFD"/>
    <w:rsid w:val="00501E03"/>
    <w:rsid w:val="00501E6B"/>
    <w:rsid w:val="00501EC4"/>
    <w:rsid w:val="00501F6E"/>
    <w:rsid w:val="00501FFD"/>
    <w:rsid w:val="00502133"/>
    <w:rsid w:val="00502153"/>
    <w:rsid w:val="005021F2"/>
    <w:rsid w:val="00502252"/>
    <w:rsid w:val="005022DB"/>
    <w:rsid w:val="00502392"/>
    <w:rsid w:val="005024BA"/>
    <w:rsid w:val="0050261E"/>
    <w:rsid w:val="00502674"/>
    <w:rsid w:val="005026C2"/>
    <w:rsid w:val="00502742"/>
    <w:rsid w:val="00502762"/>
    <w:rsid w:val="00502763"/>
    <w:rsid w:val="00502AD1"/>
    <w:rsid w:val="00502AED"/>
    <w:rsid w:val="00502B9F"/>
    <w:rsid w:val="00502C86"/>
    <w:rsid w:val="00502E08"/>
    <w:rsid w:val="00502E2A"/>
    <w:rsid w:val="00502FBF"/>
    <w:rsid w:val="0050309B"/>
    <w:rsid w:val="005030ED"/>
    <w:rsid w:val="005031C1"/>
    <w:rsid w:val="00503431"/>
    <w:rsid w:val="005034DC"/>
    <w:rsid w:val="0050350A"/>
    <w:rsid w:val="00503661"/>
    <w:rsid w:val="005036D5"/>
    <w:rsid w:val="0050370E"/>
    <w:rsid w:val="0050384D"/>
    <w:rsid w:val="00503850"/>
    <w:rsid w:val="0050390D"/>
    <w:rsid w:val="00503A0B"/>
    <w:rsid w:val="00503A13"/>
    <w:rsid w:val="00503AFC"/>
    <w:rsid w:val="00503B15"/>
    <w:rsid w:val="00503D06"/>
    <w:rsid w:val="00503D1C"/>
    <w:rsid w:val="00503D45"/>
    <w:rsid w:val="00503D9F"/>
    <w:rsid w:val="00503DD5"/>
    <w:rsid w:val="00503E71"/>
    <w:rsid w:val="00503EB0"/>
    <w:rsid w:val="00503F05"/>
    <w:rsid w:val="00503F14"/>
    <w:rsid w:val="00503F53"/>
    <w:rsid w:val="00503FED"/>
    <w:rsid w:val="005041E4"/>
    <w:rsid w:val="00504209"/>
    <w:rsid w:val="00504237"/>
    <w:rsid w:val="00504337"/>
    <w:rsid w:val="005043DA"/>
    <w:rsid w:val="00504404"/>
    <w:rsid w:val="00504423"/>
    <w:rsid w:val="00504458"/>
    <w:rsid w:val="005044FB"/>
    <w:rsid w:val="0050452D"/>
    <w:rsid w:val="005046FF"/>
    <w:rsid w:val="0050473F"/>
    <w:rsid w:val="00504824"/>
    <w:rsid w:val="005048B7"/>
    <w:rsid w:val="005048E9"/>
    <w:rsid w:val="00504965"/>
    <w:rsid w:val="00504BF6"/>
    <w:rsid w:val="00504D31"/>
    <w:rsid w:val="00504D57"/>
    <w:rsid w:val="00504EB2"/>
    <w:rsid w:val="00504FCD"/>
    <w:rsid w:val="005050C1"/>
    <w:rsid w:val="0050511B"/>
    <w:rsid w:val="00505176"/>
    <w:rsid w:val="00505257"/>
    <w:rsid w:val="00505292"/>
    <w:rsid w:val="005052C0"/>
    <w:rsid w:val="005054BB"/>
    <w:rsid w:val="005054CD"/>
    <w:rsid w:val="005054FA"/>
    <w:rsid w:val="00505588"/>
    <w:rsid w:val="00505712"/>
    <w:rsid w:val="005057A3"/>
    <w:rsid w:val="005057DF"/>
    <w:rsid w:val="00505852"/>
    <w:rsid w:val="005058CC"/>
    <w:rsid w:val="005058CF"/>
    <w:rsid w:val="00505986"/>
    <w:rsid w:val="00505B5E"/>
    <w:rsid w:val="00505B88"/>
    <w:rsid w:val="00505CA4"/>
    <w:rsid w:val="00505CC3"/>
    <w:rsid w:val="00505D73"/>
    <w:rsid w:val="00505D7A"/>
    <w:rsid w:val="00505D7C"/>
    <w:rsid w:val="00505D8E"/>
    <w:rsid w:val="00505E2E"/>
    <w:rsid w:val="00505F14"/>
    <w:rsid w:val="00506008"/>
    <w:rsid w:val="005060DD"/>
    <w:rsid w:val="005061B6"/>
    <w:rsid w:val="00506362"/>
    <w:rsid w:val="00506394"/>
    <w:rsid w:val="00506471"/>
    <w:rsid w:val="005064C1"/>
    <w:rsid w:val="0050653B"/>
    <w:rsid w:val="005065BE"/>
    <w:rsid w:val="005065D3"/>
    <w:rsid w:val="00506741"/>
    <w:rsid w:val="005067C6"/>
    <w:rsid w:val="00506825"/>
    <w:rsid w:val="0050689A"/>
    <w:rsid w:val="00506C2E"/>
    <w:rsid w:val="00506C43"/>
    <w:rsid w:val="00506CDA"/>
    <w:rsid w:val="00506F75"/>
    <w:rsid w:val="00506FD9"/>
    <w:rsid w:val="00507269"/>
    <w:rsid w:val="005072A6"/>
    <w:rsid w:val="005072B5"/>
    <w:rsid w:val="00507332"/>
    <w:rsid w:val="00507379"/>
    <w:rsid w:val="0050747E"/>
    <w:rsid w:val="00507520"/>
    <w:rsid w:val="0050756F"/>
    <w:rsid w:val="0050758A"/>
    <w:rsid w:val="005076E3"/>
    <w:rsid w:val="005076E4"/>
    <w:rsid w:val="00507708"/>
    <w:rsid w:val="00507753"/>
    <w:rsid w:val="00507762"/>
    <w:rsid w:val="00507779"/>
    <w:rsid w:val="0050777D"/>
    <w:rsid w:val="005077E5"/>
    <w:rsid w:val="005078ED"/>
    <w:rsid w:val="00507A06"/>
    <w:rsid w:val="00507A0E"/>
    <w:rsid w:val="00507ABD"/>
    <w:rsid w:val="00507B30"/>
    <w:rsid w:val="00507B61"/>
    <w:rsid w:val="00507BB7"/>
    <w:rsid w:val="00507D4D"/>
    <w:rsid w:val="00507F1C"/>
    <w:rsid w:val="00507F3D"/>
    <w:rsid w:val="00507FE2"/>
    <w:rsid w:val="0051000F"/>
    <w:rsid w:val="00510125"/>
    <w:rsid w:val="005101A5"/>
    <w:rsid w:val="005102B9"/>
    <w:rsid w:val="005102CC"/>
    <w:rsid w:val="0051036B"/>
    <w:rsid w:val="0051038E"/>
    <w:rsid w:val="005103D3"/>
    <w:rsid w:val="005103E0"/>
    <w:rsid w:val="005104E6"/>
    <w:rsid w:val="005105C4"/>
    <w:rsid w:val="0051065D"/>
    <w:rsid w:val="005106E5"/>
    <w:rsid w:val="00510805"/>
    <w:rsid w:val="00510807"/>
    <w:rsid w:val="00510851"/>
    <w:rsid w:val="0051095B"/>
    <w:rsid w:val="005109BB"/>
    <w:rsid w:val="005109E1"/>
    <w:rsid w:val="00510A81"/>
    <w:rsid w:val="00510AD1"/>
    <w:rsid w:val="00510B0F"/>
    <w:rsid w:val="00510B5F"/>
    <w:rsid w:val="00510B91"/>
    <w:rsid w:val="00510BD4"/>
    <w:rsid w:val="00510BD9"/>
    <w:rsid w:val="00510C0E"/>
    <w:rsid w:val="00510C64"/>
    <w:rsid w:val="00510D16"/>
    <w:rsid w:val="00510DF2"/>
    <w:rsid w:val="00510F77"/>
    <w:rsid w:val="00510FA4"/>
    <w:rsid w:val="0051111C"/>
    <w:rsid w:val="00511194"/>
    <w:rsid w:val="005112AD"/>
    <w:rsid w:val="00511462"/>
    <w:rsid w:val="005115C0"/>
    <w:rsid w:val="005115C3"/>
    <w:rsid w:val="005116C4"/>
    <w:rsid w:val="0051170F"/>
    <w:rsid w:val="00511895"/>
    <w:rsid w:val="0051191A"/>
    <w:rsid w:val="00511961"/>
    <w:rsid w:val="00511968"/>
    <w:rsid w:val="005119B9"/>
    <w:rsid w:val="005119D9"/>
    <w:rsid w:val="00511A66"/>
    <w:rsid w:val="00511AC4"/>
    <w:rsid w:val="00511B62"/>
    <w:rsid w:val="00511B81"/>
    <w:rsid w:val="00511B8E"/>
    <w:rsid w:val="00511D52"/>
    <w:rsid w:val="00511E38"/>
    <w:rsid w:val="00511E49"/>
    <w:rsid w:val="00511E74"/>
    <w:rsid w:val="00511EC3"/>
    <w:rsid w:val="00511F9C"/>
    <w:rsid w:val="0051202B"/>
    <w:rsid w:val="00512069"/>
    <w:rsid w:val="005120CB"/>
    <w:rsid w:val="00512183"/>
    <w:rsid w:val="00512291"/>
    <w:rsid w:val="0051229C"/>
    <w:rsid w:val="005122C5"/>
    <w:rsid w:val="005122D1"/>
    <w:rsid w:val="00512305"/>
    <w:rsid w:val="0051243C"/>
    <w:rsid w:val="00512456"/>
    <w:rsid w:val="005125AA"/>
    <w:rsid w:val="005125B1"/>
    <w:rsid w:val="005125C5"/>
    <w:rsid w:val="00512780"/>
    <w:rsid w:val="005127DC"/>
    <w:rsid w:val="00512A69"/>
    <w:rsid w:val="00512B03"/>
    <w:rsid w:val="00512BB2"/>
    <w:rsid w:val="00512C3D"/>
    <w:rsid w:val="00512C56"/>
    <w:rsid w:val="00512CDD"/>
    <w:rsid w:val="00512DA1"/>
    <w:rsid w:val="00512DCD"/>
    <w:rsid w:val="00512E69"/>
    <w:rsid w:val="00512F4D"/>
    <w:rsid w:val="00512F99"/>
    <w:rsid w:val="00512FC2"/>
    <w:rsid w:val="00512FE7"/>
    <w:rsid w:val="0051315C"/>
    <w:rsid w:val="005131ED"/>
    <w:rsid w:val="00513211"/>
    <w:rsid w:val="005132DA"/>
    <w:rsid w:val="0051342D"/>
    <w:rsid w:val="005134E3"/>
    <w:rsid w:val="00513566"/>
    <w:rsid w:val="005135C9"/>
    <w:rsid w:val="005137FB"/>
    <w:rsid w:val="00513872"/>
    <w:rsid w:val="005138B5"/>
    <w:rsid w:val="00513955"/>
    <w:rsid w:val="005139C2"/>
    <w:rsid w:val="005139EE"/>
    <w:rsid w:val="00513A2D"/>
    <w:rsid w:val="00513AAD"/>
    <w:rsid w:val="00513AEB"/>
    <w:rsid w:val="00513B52"/>
    <w:rsid w:val="00513BB2"/>
    <w:rsid w:val="00513C06"/>
    <w:rsid w:val="00513C39"/>
    <w:rsid w:val="00513C7D"/>
    <w:rsid w:val="00513C8C"/>
    <w:rsid w:val="00513C90"/>
    <w:rsid w:val="00513CD9"/>
    <w:rsid w:val="00513D25"/>
    <w:rsid w:val="00513E56"/>
    <w:rsid w:val="00513EC2"/>
    <w:rsid w:val="00513F60"/>
    <w:rsid w:val="00513FC8"/>
    <w:rsid w:val="0051412F"/>
    <w:rsid w:val="0051418A"/>
    <w:rsid w:val="0051422E"/>
    <w:rsid w:val="0051423F"/>
    <w:rsid w:val="005142D1"/>
    <w:rsid w:val="005142D5"/>
    <w:rsid w:val="0051433E"/>
    <w:rsid w:val="005143DF"/>
    <w:rsid w:val="005143E9"/>
    <w:rsid w:val="005144C5"/>
    <w:rsid w:val="005144DE"/>
    <w:rsid w:val="005145A5"/>
    <w:rsid w:val="005146E1"/>
    <w:rsid w:val="005149E3"/>
    <w:rsid w:val="00514AFB"/>
    <w:rsid w:val="00514B74"/>
    <w:rsid w:val="00514BB5"/>
    <w:rsid w:val="00514BDF"/>
    <w:rsid w:val="00514C31"/>
    <w:rsid w:val="00514C54"/>
    <w:rsid w:val="00514D36"/>
    <w:rsid w:val="00514D99"/>
    <w:rsid w:val="00514DDC"/>
    <w:rsid w:val="00514E3E"/>
    <w:rsid w:val="00514E97"/>
    <w:rsid w:val="00514FEE"/>
    <w:rsid w:val="005150A7"/>
    <w:rsid w:val="00515116"/>
    <w:rsid w:val="005152EA"/>
    <w:rsid w:val="0051539D"/>
    <w:rsid w:val="0051539F"/>
    <w:rsid w:val="005153A8"/>
    <w:rsid w:val="005153EB"/>
    <w:rsid w:val="0051560B"/>
    <w:rsid w:val="0051568D"/>
    <w:rsid w:val="005156C3"/>
    <w:rsid w:val="005156C6"/>
    <w:rsid w:val="005156FB"/>
    <w:rsid w:val="00515767"/>
    <w:rsid w:val="00515834"/>
    <w:rsid w:val="005158A3"/>
    <w:rsid w:val="005158A7"/>
    <w:rsid w:val="0051592D"/>
    <w:rsid w:val="00515993"/>
    <w:rsid w:val="00515A0F"/>
    <w:rsid w:val="00515AA0"/>
    <w:rsid w:val="00515AEA"/>
    <w:rsid w:val="00515B2F"/>
    <w:rsid w:val="00515C80"/>
    <w:rsid w:val="00515CB7"/>
    <w:rsid w:val="00515DFE"/>
    <w:rsid w:val="00515E24"/>
    <w:rsid w:val="00515E7A"/>
    <w:rsid w:val="00515EA2"/>
    <w:rsid w:val="00515EDB"/>
    <w:rsid w:val="00515FC1"/>
    <w:rsid w:val="005160FF"/>
    <w:rsid w:val="00516133"/>
    <w:rsid w:val="0051625C"/>
    <w:rsid w:val="0051641C"/>
    <w:rsid w:val="00516568"/>
    <w:rsid w:val="00516628"/>
    <w:rsid w:val="005166F3"/>
    <w:rsid w:val="005168C1"/>
    <w:rsid w:val="005169EC"/>
    <w:rsid w:val="005169F7"/>
    <w:rsid w:val="00516B25"/>
    <w:rsid w:val="00516B66"/>
    <w:rsid w:val="00516BBD"/>
    <w:rsid w:val="00516C11"/>
    <w:rsid w:val="00516C1E"/>
    <w:rsid w:val="00516CC2"/>
    <w:rsid w:val="00516E0E"/>
    <w:rsid w:val="00516EB6"/>
    <w:rsid w:val="00516EEB"/>
    <w:rsid w:val="00516EF2"/>
    <w:rsid w:val="00516F43"/>
    <w:rsid w:val="00516FDC"/>
    <w:rsid w:val="0051708E"/>
    <w:rsid w:val="005170DF"/>
    <w:rsid w:val="0051715B"/>
    <w:rsid w:val="00517231"/>
    <w:rsid w:val="0051728B"/>
    <w:rsid w:val="005172D9"/>
    <w:rsid w:val="0051733C"/>
    <w:rsid w:val="005174A6"/>
    <w:rsid w:val="005174B7"/>
    <w:rsid w:val="005174D3"/>
    <w:rsid w:val="00517520"/>
    <w:rsid w:val="00517767"/>
    <w:rsid w:val="00517794"/>
    <w:rsid w:val="005179B7"/>
    <w:rsid w:val="00517A0E"/>
    <w:rsid w:val="00517AB2"/>
    <w:rsid w:val="00517C13"/>
    <w:rsid w:val="00517C30"/>
    <w:rsid w:val="00517CC7"/>
    <w:rsid w:val="00517D2D"/>
    <w:rsid w:val="00517D3B"/>
    <w:rsid w:val="00517F89"/>
    <w:rsid w:val="00517FDC"/>
    <w:rsid w:val="005200D5"/>
    <w:rsid w:val="0052014B"/>
    <w:rsid w:val="005201B3"/>
    <w:rsid w:val="00520240"/>
    <w:rsid w:val="005202AE"/>
    <w:rsid w:val="00520381"/>
    <w:rsid w:val="00520446"/>
    <w:rsid w:val="005204CC"/>
    <w:rsid w:val="005205AD"/>
    <w:rsid w:val="0052073F"/>
    <w:rsid w:val="0052076C"/>
    <w:rsid w:val="00520808"/>
    <w:rsid w:val="00520885"/>
    <w:rsid w:val="00520900"/>
    <w:rsid w:val="00520A4C"/>
    <w:rsid w:val="00520AD3"/>
    <w:rsid w:val="00520AD5"/>
    <w:rsid w:val="00520B2F"/>
    <w:rsid w:val="00520C1C"/>
    <w:rsid w:val="00520DAE"/>
    <w:rsid w:val="00520F26"/>
    <w:rsid w:val="00520F64"/>
    <w:rsid w:val="00520FF5"/>
    <w:rsid w:val="00521025"/>
    <w:rsid w:val="005210A1"/>
    <w:rsid w:val="005210C6"/>
    <w:rsid w:val="005211FB"/>
    <w:rsid w:val="0052130F"/>
    <w:rsid w:val="005213B4"/>
    <w:rsid w:val="005214F1"/>
    <w:rsid w:val="005216D8"/>
    <w:rsid w:val="005216F5"/>
    <w:rsid w:val="00521861"/>
    <w:rsid w:val="00521A43"/>
    <w:rsid w:val="00521BFD"/>
    <w:rsid w:val="00521C6C"/>
    <w:rsid w:val="00521D17"/>
    <w:rsid w:val="00521D73"/>
    <w:rsid w:val="00521E2B"/>
    <w:rsid w:val="00521E3F"/>
    <w:rsid w:val="005222E7"/>
    <w:rsid w:val="00522310"/>
    <w:rsid w:val="00522352"/>
    <w:rsid w:val="0052237F"/>
    <w:rsid w:val="00522390"/>
    <w:rsid w:val="005223D4"/>
    <w:rsid w:val="005224F8"/>
    <w:rsid w:val="00522534"/>
    <w:rsid w:val="005227F4"/>
    <w:rsid w:val="005228DD"/>
    <w:rsid w:val="0052292A"/>
    <w:rsid w:val="005229C9"/>
    <w:rsid w:val="00522A76"/>
    <w:rsid w:val="00522B8B"/>
    <w:rsid w:val="00522CCA"/>
    <w:rsid w:val="00522D15"/>
    <w:rsid w:val="00522D25"/>
    <w:rsid w:val="00522F10"/>
    <w:rsid w:val="00523029"/>
    <w:rsid w:val="005231BA"/>
    <w:rsid w:val="00523220"/>
    <w:rsid w:val="0052329F"/>
    <w:rsid w:val="00523347"/>
    <w:rsid w:val="00523458"/>
    <w:rsid w:val="0052346D"/>
    <w:rsid w:val="00523471"/>
    <w:rsid w:val="005234B9"/>
    <w:rsid w:val="005234F9"/>
    <w:rsid w:val="005235B4"/>
    <w:rsid w:val="00523608"/>
    <w:rsid w:val="005236A0"/>
    <w:rsid w:val="005237BD"/>
    <w:rsid w:val="005239AE"/>
    <w:rsid w:val="005239BE"/>
    <w:rsid w:val="005239FC"/>
    <w:rsid w:val="00523A3F"/>
    <w:rsid w:val="00523AA2"/>
    <w:rsid w:val="00523BCC"/>
    <w:rsid w:val="00523C0E"/>
    <w:rsid w:val="00523C40"/>
    <w:rsid w:val="00523CB5"/>
    <w:rsid w:val="00523DAE"/>
    <w:rsid w:val="00523E4E"/>
    <w:rsid w:val="00523F04"/>
    <w:rsid w:val="00523F05"/>
    <w:rsid w:val="00523F39"/>
    <w:rsid w:val="00523F4D"/>
    <w:rsid w:val="00523F99"/>
    <w:rsid w:val="00523FDB"/>
    <w:rsid w:val="005240D2"/>
    <w:rsid w:val="00524105"/>
    <w:rsid w:val="00524168"/>
    <w:rsid w:val="005241D6"/>
    <w:rsid w:val="005241ED"/>
    <w:rsid w:val="0052425B"/>
    <w:rsid w:val="005242A1"/>
    <w:rsid w:val="005242B6"/>
    <w:rsid w:val="005242E9"/>
    <w:rsid w:val="00524318"/>
    <w:rsid w:val="00524369"/>
    <w:rsid w:val="00524493"/>
    <w:rsid w:val="005244A2"/>
    <w:rsid w:val="005244B2"/>
    <w:rsid w:val="005244FA"/>
    <w:rsid w:val="0052455B"/>
    <w:rsid w:val="0052459D"/>
    <w:rsid w:val="00524626"/>
    <w:rsid w:val="0052465B"/>
    <w:rsid w:val="00524701"/>
    <w:rsid w:val="0052471B"/>
    <w:rsid w:val="00524918"/>
    <w:rsid w:val="00524978"/>
    <w:rsid w:val="00524980"/>
    <w:rsid w:val="00524A4E"/>
    <w:rsid w:val="00524AA2"/>
    <w:rsid w:val="00524BA1"/>
    <w:rsid w:val="00524CFB"/>
    <w:rsid w:val="00524D15"/>
    <w:rsid w:val="00524D19"/>
    <w:rsid w:val="00524F63"/>
    <w:rsid w:val="00524FC2"/>
    <w:rsid w:val="00525125"/>
    <w:rsid w:val="00525171"/>
    <w:rsid w:val="00525284"/>
    <w:rsid w:val="0052542C"/>
    <w:rsid w:val="00525430"/>
    <w:rsid w:val="00525437"/>
    <w:rsid w:val="0052549C"/>
    <w:rsid w:val="00525592"/>
    <w:rsid w:val="005255DB"/>
    <w:rsid w:val="005255F6"/>
    <w:rsid w:val="0052563A"/>
    <w:rsid w:val="005256D4"/>
    <w:rsid w:val="0052575E"/>
    <w:rsid w:val="0052578F"/>
    <w:rsid w:val="005257BE"/>
    <w:rsid w:val="005257DC"/>
    <w:rsid w:val="00525901"/>
    <w:rsid w:val="00525932"/>
    <w:rsid w:val="005259B9"/>
    <w:rsid w:val="00525A6B"/>
    <w:rsid w:val="00525ADD"/>
    <w:rsid w:val="00525AF9"/>
    <w:rsid w:val="00525B5E"/>
    <w:rsid w:val="00525B70"/>
    <w:rsid w:val="00525B73"/>
    <w:rsid w:val="00525BAD"/>
    <w:rsid w:val="00525C3B"/>
    <w:rsid w:val="00525DC8"/>
    <w:rsid w:val="00525E30"/>
    <w:rsid w:val="00525E42"/>
    <w:rsid w:val="00525E61"/>
    <w:rsid w:val="00525F12"/>
    <w:rsid w:val="00525FC6"/>
    <w:rsid w:val="00526046"/>
    <w:rsid w:val="0052608B"/>
    <w:rsid w:val="005260D6"/>
    <w:rsid w:val="00526119"/>
    <w:rsid w:val="00526153"/>
    <w:rsid w:val="00526174"/>
    <w:rsid w:val="00526199"/>
    <w:rsid w:val="00526237"/>
    <w:rsid w:val="0052629D"/>
    <w:rsid w:val="00526331"/>
    <w:rsid w:val="005263D1"/>
    <w:rsid w:val="0052649A"/>
    <w:rsid w:val="00526566"/>
    <w:rsid w:val="00526604"/>
    <w:rsid w:val="0052668A"/>
    <w:rsid w:val="00526834"/>
    <w:rsid w:val="0052688A"/>
    <w:rsid w:val="005268DC"/>
    <w:rsid w:val="005268DF"/>
    <w:rsid w:val="00526929"/>
    <w:rsid w:val="00526965"/>
    <w:rsid w:val="00526CAD"/>
    <w:rsid w:val="00526DE9"/>
    <w:rsid w:val="00526E16"/>
    <w:rsid w:val="00526E27"/>
    <w:rsid w:val="00526E6B"/>
    <w:rsid w:val="00526F08"/>
    <w:rsid w:val="00526F36"/>
    <w:rsid w:val="00526F79"/>
    <w:rsid w:val="005270C8"/>
    <w:rsid w:val="005270E2"/>
    <w:rsid w:val="00527255"/>
    <w:rsid w:val="00527363"/>
    <w:rsid w:val="00527367"/>
    <w:rsid w:val="005273A5"/>
    <w:rsid w:val="00527408"/>
    <w:rsid w:val="005274A1"/>
    <w:rsid w:val="00527500"/>
    <w:rsid w:val="00527703"/>
    <w:rsid w:val="0052786F"/>
    <w:rsid w:val="0052788C"/>
    <w:rsid w:val="0052790D"/>
    <w:rsid w:val="00527AB9"/>
    <w:rsid w:val="00527AE1"/>
    <w:rsid w:val="00527B01"/>
    <w:rsid w:val="00527B5C"/>
    <w:rsid w:val="00527B89"/>
    <w:rsid w:val="00527C17"/>
    <w:rsid w:val="00527D65"/>
    <w:rsid w:val="00527DED"/>
    <w:rsid w:val="00527E00"/>
    <w:rsid w:val="00527EA4"/>
    <w:rsid w:val="00527F38"/>
    <w:rsid w:val="00530010"/>
    <w:rsid w:val="00530014"/>
    <w:rsid w:val="00530290"/>
    <w:rsid w:val="005303D2"/>
    <w:rsid w:val="005303E1"/>
    <w:rsid w:val="00530447"/>
    <w:rsid w:val="0053046C"/>
    <w:rsid w:val="0053051B"/>
    <w:rsid w:val="0053058A"/>
    <w:rsid w:val="00530626"/>
    <w:rsid w:val="00530975"/>
    <w:rsid w:val="005309BF"/>
    <w:rsid w:val="00530ADF"/>
    <w:rsid w:val="00530B33"/>
    <w:rsid w:val="00530C87"/>
    <w:rsid w:val="00530D2D"/>
    <w:rsid w:val="00530D45"/>
    <w:rsid w:val="00530D67"/>
    <w:rsid w:val="00530D84"/>
    <w:rsid w:val="00530DCE"/>
    <w:rsid w:val="00530E29"/>
    <w:rsid w:val="00530ED9"/>
    <w:rsid w:val="00530EF5"/>
    <w:rsid w:val="00530F5C"/>
    <w:rsid w:val="00530F9D"/>
    <w:rsid w:val="005310CF"/>
    <w:rsid w:val="00531322"/>
    <w:rsid w:val="00531330"/>
    <w:rsid w:val="005313FF"/>
    <w:rsid w:val="005315AD"/>
    <w:rsid w:val="0053161F"/>
    <w:rsid w:val="00531627"/>
    <w:rsid w:val="00531635"/>
    <w:rsid w:val="005316E0"/>
    <w:rsid w:val="00531714"/>
    <w:rsid w:val="00531857"/>
    <w:rsid w:val="00531940"/>
    <w:rsid w:val="0053194D"/>
    <w:rsid w:val="00531A21"/>
    <w:rsid w:val="00531ACE"/>
    <w:rsid w:val="00531B2B"/>
    <w:rsid w:val="00531B34"/>
    <w:rsid w:val="00531D63"/>
    <w:rsid w:val="00531D76"/>
    <w:rsid w:val="00531DAF"/>
    <w:rsid w:val="00531DB1"/>
    <w:rsid w:val="00531FD0"/>
    <w:rsid w:val="00531FD3"/>
    <w:rsid w:val="005322B7"/>
    <w:rsid w:val="005322C3"/>
    <w:rsid w:val="00532330"/>
    <w:rsid w:val="0053236E"/>
    <w:rsid w:val="005323C5"/>
    <w:rsid w:val="00532487"/>
    <w:rsid w:val="005324BA"/>
    <w:rsid w:val="005325EE"/>
    <w:rsid w:val="00532686"/>
    <w:rsid w:val="005326D3"/>
    <w:rsid w:val="005327B1"/>
    <w:rsid w:val="005327F1"/>
    <w:rsid w:val="0053285E"/>
    <w:rsid w:val="00532883"/>
    <w:rsid w:val="005328C6"/>
    <w:rsid w:val="00532993"/>
    <w:rsid w:val="005329D0"/>
    <w:rsid w:val="00532A6E"/>
    <w:rsid w:val="00532AB1"/>
    <w:rsid w:val="00532AB6"/>
    <w:rsid w:val="00532CED"/>
    <w:rsid w:val="00532F62"/>
    <w:rsid w:val="00532F99"/>
    <w:rsid w:val="00533018"/>
    <w:rsid w:val="005330B3"/>
    <w:rsid w:val="0053319A"/>
    <w:rsid w:val="005332B3"/>
    <w:rsid w:val="0053349B"/>
    <w:rsid w:val="00533503"/>
    <w:rsid w:val="0053353A"/>
    <w:rsid w:val="00533541"/>
    <w:rsid w:val="00533551"/>
    <w:rsid w:val="00533662"/>
    <w:rsid w:val="00533769"/>
    <w:rsid w:val="0053383F"/>
    <w:rsid w:val="0053395B"/>
    <w:rsid w:val="005339FF"/>
    <w:rsid w:val="00533A1C"/>
    <w:rsid w:val="00533A39"/>
    <w:rsid w:val="00533AED"/>
    <w:rsid w:val="00533B1E"/>
    <w:rsid w:val="00533B57"/>
    <w:rsid w:val="00533C5B"/>
    <w:rsid w:val="00533D11"/>
    <w:rsid w:val="00533D2E"/>
    <w:rsid w:val="00533DBF"/>
    <w:rsid w:val="00533E99"/>
    <w:rsid w:val="00534146"/>
    <w:rsid w:val="005341AD"/>
    <w:rsid w:val="005341D0"/>
    <w:rsid w:val="00534398"/>
    <w:rsid w:val="005344A3"/>
    <w:rsid w:val="005344B4"/>
    <w:rsid w:val="005345F3"/>
    <w:rsid w:val="00534660"/>
    <w:rsid w:val="00534688"/>
    <w:rsid w:val="005346D6"/>
    <w:rsid w:val="005347B2"/>
    <w:rsid w:val="00534826"/>
    <w:rsid w:val="00534AE3"/>
    <w:rsid w:val="00534AF6"/>
    <w:rsid w:val="00534C12"/>
    <w:rsid w:val="00534D22"/>
    <w:rsid w:val="00534E0E"/>
    <w:rsid w:val="00534E4F"/>
    <w:rsid w:val="00534E69"/>
    <w:rsid w:val="00534EA8"/>
    <w:rsid w:val="00534EDF"/>
    <w:rsid w:val="00534EEF"/>
    <w:rsid w:val="00535085"/>
    <w:rsid w:val="005350D7"/>
    <w:rsid w:val="00535165"/>
    <w:rsid w:val="005353B2"/>
    <w:rsid w:val="00535734"/>
    <w:rsid w:val="00535742"/>
    <w:rsid w:val="0053574B"/>
    <w:rsid w:val="005357F2"/>
    <w:rsid w:val="00535869"/>
    <w:rsid w:val="0053594C"/>
    <w:rsid w:val="00535986"/>
    <w:rsid w:val="005359A6"/>
    <w:rsid w:val="00535A0E"/>
    <w:rsid w:val="00535AB4"/>
    <w:rsid w:val="00535B57"/>
    <w:rsid w:val="00535BE0"/>
    <w:rsid w:val="00535C36"/>
    <w:rsid w:val="00535D49"/>
    <w:rsid w:val="00535E63"/>
    <w:rsid w:val="00535EE6"/>
    <w:rsid w:val="0053612A"/>
    <w:rsid w:val="005361F5"/>
    <w:rsid w:val="00536303"/>
    <w:rsid w:val="0053638E"/>
    <w:rsid w:val="005363CD"/>
    <w:rsid w:val="0053643E"/>
    <w:rsid w:val="00536480"/>
    <w:rsid w:val="005364AF"/>
    <w:rsid w:val="0053665E"/>
    <w:rsid w:val="0053667E"/>
    <w:rsid w:val="0053681D"/>
    <w:rsid w:val="0053685A"/>
    <w:rsid w:val="00536A24"/>
    <w:rsid w:val="00536AAD"/>
    <w:rsid w:val="00536C46"/>
    <w:rsid w:val="00536CBB"/>
    <w:rsid w:val="00536D1F"/>
    <w:rsid w:val="00536DC0"/>
    <w:rsid w:val="00536E9C"/>
    <w:rsid w:val="00536EB5"/>
    <w:rsid w:val="00536F36"/>
    <w:rsid w:val="00536F3B"/>
    <w:rsid w:val="0053708A"/>
    <w:rsid w:val="00537177"/>
    <w:rsid w:val="005372B9"/>
    <w:rsid w:val="00537345"/>
    <w:rsid w:val="0053744D"/>
    <w:rsid w:val="0053757F"/>
    <w:rsid w:val="005376FC"/>
    <w:rsid w:val="0053772A"/>
    <w:rsid w:val="005377DE"/>
    <w:rsid w:val="005378BC"/>
    <w:rsid w:val="005378E4"/>
    <w:rsid w:val="005379AA"/>
    <w:rsid w:val="00537A20"/>
    <w:rsid w:val="00537A45"/>
    <w:rsid w:val="00537AC6"/>
    <w:rsid w:val="00537B20"/>
    <w:rsid w:val="00537BD8"/>
    <w:rsid w:val="00537CFF"/>
    <w:rsid w:val="00537E41"/>
    <w:rsid w:val="00537FA5"/>
    <w:rsid w:val="0054003E"/>
    <w:rsid w:val="00540179"/>
    <w:rsid w:val="00540206"/>
    <w:rsid w:val="0054022B"/>
    <w:rsid w:val="00540258"/>
    <w:rsid w:val="00540308"/>
    <w:rsid w:val="005403D9"/>
    <w:rsid w:val="00540520"/>
    <w:rsid w:val="00540554"/>
    <w:rsid w:val="005406FD"/>
    <w:rsid w:val="005407DD"/>
    <w:rsid w:val="00540839"/>
    <w:rsid w:val="005408F3"/>
    <w:rsid w:val="00540A6F"/>
    <w:rsid w:val="00540B52"/>
    <w:rsid w:val="00540B60"/>
    <w:rsid w:val="00540C24"/>
    <w:rsid w:val="00540CE9"/>
    <w:rsid w:val="00540D2C"/>
    <w:rsid w:val="00540E20"/>
    <w:rsid w:val="00540E80"/>
    <w:rsid w:val="00540EB9"/>
    <w:rsid w:val="00540FDF"/>
    <w:rsid w:val="00540FF6"/>
    <w:rsid w:val="0054103B"/>
    <w:rsid w:val="00541054"/>
    <w:rsid w:val="005410D5"/>
    <w:rsid w:val="005410F7"/>
    <w:rsid w:val="0054116B"/>
    <w:rsid w:val="0054121F"/>
    <w:rsid w:val="00541398"/>
    <w:rsid w:val="005413A1"/>
    <w:rsid w:val="0054167B"/>
    <w:rsid w:val="0054198D"/>
    <w:rsid w:val="0054199A"/>
    <w:rsid w:val="0054199B"/>
    <w:rsid w:val="00541A9D"/>
    <w:rsid w:val="00541B42"/>
    <w:rsid w:val="00541BF2"/>
    <w:rsid w:val="00541C2D"/>
    <w:rsid w:val="00541C4A"/>
    <w:rsid w:val="00541CE9"/>
    <w:rsid w:val="00541E3B"/>
    <w:rsid w:val="00541F63"/>
    <w:rsid w:val="00541FFB"/>
    <w:rsid w:val="0054205A"/>
    <w:rsid w:val="005420D1"/>
    <w:rsid w:val="00542183"/>
    <w:rsid w:val="005421A2"/>
    <w:rsid w:val="00542228"/>
    <w:rsid w:val="00542285"/>
    <w:rsid w:val="005422D5"/>
    <w:rsid w:val="00542322"/>
    <w:rsid w:val="0054248D"/>
    <w:rsid w:val="00542518"/>
    <w:rsid w:val="005425B1"/>
    <w:rsid w:val="00542608"/>
    <w:rsid w:val="00542630"/>
    <w:rsid w:val="00542728"/>
    <w:rsid w:val="00542872"/>
    <w:rsid w:val="0054290E"/>
    <w:rsid w:val="00542954"/>
    <w:rsid w:val="00542989"/>
    <w:rsid w:val="005429A8"/>
    <w:rsid w:val="005429E9"/>
    <w:rsid w:val="00542A11"/>
    <w:rsid w:val="00542A54"/>
    <w:rsid w:val="00542AF7"/>
    <w:rsid w:val="00542C09"/>
    <w:rsid w:val="00542D40"/>
    <w:rsid w:val="00542D94"/>
    <w:rsid w:val="00542DA6"/>
    <w:rsid w:val="00542DE2"/>
    <w:rsid w:val="00542E79"/>
    <w:rsid w:val="00542FDC"/>
    <w:rsid w:val="005430AB"/>
    <w:rsid w:val="00543114"/>
    <w:rsid w:val="00543143"/>
    <w:rsid w:val="0054317C"/>
    <w:rsid w:val="005432DB"/>
    <w:rsid w:val="0054334F"/>
    <w:rsid w:val="005433BB"/>
    <w:rsid w:val="00543435"/>
    <w:rsid w:val="00543486"/>
    <w:rsid w:val="005434F5"/>
    <w:rsid w:val="0054366B"/>
    <w:rsid w:val="005436A6"/>
    <w:rsid w:val="005436CB"/>
    <w:rsid w:val="005436FC"/>
    <w:rsid w:val="00543714"/>
    <w:rsid w:val="005438D8"/>
    <w:rsid w:val="00543A5E"/>
    <w:rsid w:val="00543ADE"/>
    <w:rsid w:val="00543AE6"/>
    <w:rsid w:val="00543B3B"/>
    <w:rsid w:val="00543B7C"/>
    <w:rsid w:val="00543BEC"/>
    <w:rsid w:val="00543C35"/>
    <w:rsid w:val="00543DB0"/>
    <w:rsid w:val="00543E8F"/>
    <w:rsid w:val="00543EDE"/>
    <w:rsid w:val="00543F6E"/>
    <w:rsid w:val="00543F9A"/>
    <w:rsid w:val="00543FEF"/>
    <w:rsid w:val="00544044"/>
    <w:rsid w:val="0054411E"/>
    <w:rsid w:val="00544159"/>
    <w:rsid w:val="0054415E"/>
    <w:rsid w:val="0054419B"/>
    <w:rsid w:val="00544388"/>
    <w:rsid w:val="00544405"/>
    <w:rsid w:val="0054449D"/>
    <w:rsid w:val="0054457A"/>
    <w:rsid w:val="00544685"/>
    <w:rsid w:val="00544686"/>
    <w:rsid w:val="005446A2"/>
    <w:rsid w:val="005446C0"/>
    <w:rsid w:val="005446F7"/>
    <w:rsid w:val="0054473C"/>
    <w:rsid w:val="0054475C"/>
    <w:rsid w:val="00544832"/>
    <w:rsid w:val="0054492C"/>
    <w:rsid w:val="00544984"/>
    <w:rsid w:val="005449D7"/>
    <w:rsid w:val="00544A1C"/>
    <w:rsid w:val="00544AAC"/>
    <w:rsid w:val="00544AC2"/>
    <w:rsid w:val="00544AED"/>
    <w:rsid w:val="00544B09"/>
    <w:rsid w:val="00544B0E"/>
    <w:rsid w:val="00544BE6"/>
    <w:rsid w:val="00544D18"/>
    <w:rsid w:val="00544D6E"/>
    <w:rsid w:val="00545021"/>
    <w:rsid w:val="00545062"/>
    <w:rsid w:val="00545082"/>
    <w:rsid w:val="00545137"/>
    <w:rsid w:val="0054532E"/>
    <w:rsid w:val="00545369"/>
    <w:rsid w:val="0054536A"/>
    <w:rsid w:val="0054539A"/>
    <w:rsid w:val="005453AC"/>
    <w:rsid w:val="00545403"/>
    <w:rsid w:val="005454FA"/>
    <w:rsid w:val="00545596"/>
    <w:rsid w:val="00545601"/>
    <w:rsid w:val="005456D7"/>
    <w:rsid w:val="00545747"/>
    <w:rsid w:val="00545752"/>
    <w:rsid w:val="00545837"/>
    <w:rsid w:val="00545A20"/>
    <w:rsid w:val="00545A94"/>
    <w:rsid w:val="00545AD4"/>
    <w:rsid w:val="00545B11"/>
    <w:rsid w:val="00545B3A"/>
    <w:rsid w:val="00545B4E"/>
    <w:rsid w:val="00545BAE"/>
    <w:rsid w:val="00545C53"/>
    <w:rsid w:val="00545C78"/>
    <w:rsid w:val="00545D0E"/>
    <w:rsid w:val="00545E16"/>
    <w:rsid w:val="00545F3C"/>
    <w:rsid w:val="00545FEF"/>
    <w:rsid w:val="00546177"/>
    <w:rsid w:val="005461C6"/>
    <w:rsid w:val="00546250"/>
    <w:rsid w:val="00546359"/>
    <w:rsid w:val="005463B3"/>
    <w:rsid w:val="00546476"/>
    <w:rsid w:val="0054651F"/>
    <w:rsid w:val="005465CC"/>
    <w:rsid w:val="005465EA"/>
    <w:rsid w:val="00546680"/>
    <w:rsid w:val="005466A2"/>
    <w:rsid w:val="005466C6"/>
    <w:rsid w:val="00546894"/>
    <w:rsid w:val="005468D5"/>
    <w:rsid w:val="00546921"/>
    <w:rsid w:val="00546997"/>
    <w:rsid w:val="005469C0"/>
    <w:rsid w:val="00546A47"/>
    <w:rsid w:val="00546B6D"/>
    <w:rsid w:val="00546B7F"/>
    <w:rsid w:val="00546D63"/>
    <w:rsid w:val="00546DB8"/>
    <w:rsid w:val="00546DFB"/>
    <w:rsid w:val="00546E56"/>
    <w:rsid w:val="00546E78"/>
    <w:rsid w:val="00546ED6"/>
    <w:rsid w:val="00546F6D"/>
    <w:rsid w:val="00546F94"/>
    <w:rsid w:val="0054712C"/>
    <w:rsid w:val="00547145"/>
    <w:rsid w:val="00547160"/>
    <w:rsid w:val="005471F1"/>
    <w:rsid w:val="005472ED"/>
    <w:rsid w:val="0054740D"/>
    <w:rsid w:val="00547427"/>
    <w:rsid w:val="0054746B"/>
    <w:rsid w:val="005475A1"/>
    <w:rsid w:val="00547633"/>
    <w:rsid w:val="00547790"/>
    <w:rsid w:val="0054783B"/>
    <w:rsid w:val="00547906"/>
    <w:rsid w:val="005479D4"/>
    <w:rsid w:val="00547ADA"/>
    <w:rsid w:val="00547C40"/>
    <w:rsid w:val="00547CB7"/>
    <w:rsid w:val="00547DD4"/>
    <w:rsid w:val="00547E09"/>
    <w:rsid w:val="00547EB2"/>
    <w:rsid w:val="00547F9B"/>
    <w:rsid w:val="0055000A"/>
    <w:rsid w:val="0055008F"/>
    <w:rsid w:val="005500A5"/>
    <w:rsid w:val="00550401"/>
    <w:rsid w:val="00550433"/>
    <w:rsid w:val="0055051C"/>
    <w:rsid w:val="005505CD"/>
    <w:rsid w:val="005505F4"/>
    <w:rsid w:val="0055060E"/>
    <w:rsid w:val="00550621"/>
    <w:rsid w:val="005506E3"/>
    <w:rsid w:val="00550725"/>
    <w:rsid w:val="00550734"/>
    <w:rsid w:val="00550846"/>
    <w:rsid w:val="005508D1"/>
    <w:rsid w:val="005509E8"/>
    <w:rsid w:val="00550ABA"/>
    <w:rsid w:val="00550B4B"/>
    <w:rsid w:val="00550B5E"/>
    <w:rsid w:val="00550DC9"/>
    <w:rsid w:val="00550E4E"/>
    <w:rsid w:val="00551090"/>
    <w:rsid w:val="0055120A"/>
    <w:rsid w:val="00551246"/>
    <w:rsid w:val="005512A6"/>
    <w:rsid w:val="005512AC"/>
    <w:rsid w:val="00551440"/>
    <w:rsid w:val="005514F4"/>
    <w:rsid w:val="005515AA"/>
    <w:rsid w:val="00551618"/>
    <w:rsid w:val="0055163D"/>
    <w:rsid w:val="0055173E"/>
    <w:rsid w:val="005517BB"/>
    <w:rsid w:val="00551864"/>
    <w:rsid w:val="0055189A"/>
    <w:rsid w:val="005518A1"/>
    <w:rsid w:val="00551A25"/>
    <w:rsid w:val="00551CAA"/>
    <w:rsid w:val="00551D4C"/>
    <w:rsid w:val="00551D8B"/>
    <w:rsid w:val="00551F74"/>
    <w:rsid w:val="00552036"/>
    <w:rsid w:val="005520AF"/>
    <w:rsid w:val="005520CF"/>
    <w:rsid w:val="00552248"/>
    <w:rsid w:val="005523D5"/>
    <w:rsid w:val="005524BC"/>
    <w:rsid w:val="0055269A"/>
    <w:rsid w:val="005526F2"/>
    <w:rsid w:val="00552709"/>
    <w:rsid w:val="005527F4"/>
    <w:rsid w:val="0055284C"/>
    <w:rsid w:val="00552867"/>
    <w:rsid w:val="005528FF"/>
    <w:rsid w:val="0055292A"/>
    <w:rsid w:val="00552939"/>
    <w:rsid w:val="00552998"/>
    <w:rsid w:val="00552A42"/>
    <w:rsid w:val="00552AAD"/>
    <w:rsid w:val="00552B21"/>
    <w:rsid w:val="00552BBF"/>
    <w:rsid w:val="00552C0A"/>
    <w:rsid w:val="00552CA8"/>
    <w:rsid w:val="00552D8E"/>
    <w:rsid w:val="00552DAB"/>
    <w:rsid w:val="00552DD2"/>
    <w:rsid w:val="00552E45"/>
    <w:rsid w:val="00552E48"/>
    <w:rsid w:val="00552ED6"/>
    <w:rsid w:val="00552FA4"/>
    <w:rsid w:val="00553001"/>
    <w:rsid w:val="0055301B"/>
    <w:rsid w:val="00553061"/>
    <w:rsid w:val="00553191"/>
    <w:rsid w:val="005531CE"/>
    <w:rsid w:val="005531E9"/>
    <w:rsid w:val="005533CF"/>
    <w:rsid w:val="005533DF"/>
    <w:rsid w:val="005534F3"/>
    <w:rsid w:val="005535D9"/>
    <w:rsid w:val="005536BE"/>
    <w:rsid w:val="005536BF"/>
    <w:rsid w:val="00553774"/>
    <w:rsid w:val="005537B8"/>
    <w:rsid w:val="00553826"/>
    <w:rsid w:val="00553870"/>
    <w:rsid w:val="005538B1"/>
    <w:rsid w:val="0055392B"/>
    <w:rsid w:val="00553A16"/>
    <w:rsid w:val="00553AA3"/>
    <w:rsid w:val="00553B3A"/>
    <w:rsid w:val="00553BBA"/>
    <w:rsid w:val="00553C56"/>
    <w:rsid w:val="00553D83"/>
    <w:rsid w:val="00553DE9"/>
    <w:rsid w:val="00553EA0"/>
    <w:rsid w:val="00553EDE"/>
    <w:rsid w:val="00553F3B"/>
    <w:rsid w:val="00553F50"/>
    <w:rsid w:val="00553FA1"/>
    <w:rsid w:val="00553FCD"/>
    <w:rsid w:val="00554080"/>
    <w:rsid w:val="005540CD"/>
    <w:rsid w:val="00554107"/>
    <w:rsid w:val="005541CC"/>
    <w:rsid w:val="0055420D"/>
    <w:rsid w:val="00554236"/>
    <w:rsid w:val="00554439"/>
    <w:rsid w:val="00554467"/>
    <w:rsid w:val="0055455C"/>
    <w:rsid w:val="005546B0"/>
    <w:rsid w:val="005546D8"/>
    <w:rsid w:val="005548DD"/>
    <w:rsid w:val="0055498F"/>
    <w:rsid w:val="005549FA"/>
    <w:rsid w:val="00554A0E"/>
    <w:rsid w:val="00554A5F"/>
    <w:rsid w:val="00554B44"/>
    <w:rsid w:val="00554BA4"/>
    <w:rsid w:val="00554C00"/>
    <w:rsid w:val="00554C22"/>
    <w:rsid w:val="00554D07"/>
    <w:rsid w:val="00554D2F"/>
    <w:rsid w:val="00554D3F"/>
    <w:rsid w:val="00554D93"/>
    <w:rsid w:val="00554E59"/>
    <w:rsid w:val="00554F2B"/>
    <w:rsid w:val="00554F2F"/>
    <w:rsid w:val="00554F3D"/>
    <w:rsid w:val="005550FE"/>
    <w:rsid w:val="0055516D"/>
    <w:rsid w:val="005553C5"/>
    <w:rsid w:val="00555475"/>
    <w:rsid w:val="005554B3"/>
    <w:rsid w:val="0055560D"/>
    <w:rsid w:val="00555658"/>
    <w:rsid w:val="00555663"/>
    <w:rsid w:val="0055572E"/>
    <w:rsid w:val="0055574B"/>
    <w:rsid w:val="00555770"/>
    <w:rsid w:val="005557BE"/>
    <w:rsid w:val="005557D9"/>
    <w:rsid w:val="00555AA6"/>
    <w:rsid w:val="00555B67"/>
    <w:rsid w:val="00555BA9"/>
    <w:rsid w:val="00555C0B"/>
    <w:rsid w:val="00555C63"/>
    <w:rsid w:val="00555CB8"/>
    <w:rsid w:val="00555CF5"/>
    <w:rsid w:val="00555D12"/>
    <w:rsid w:val="00555D67"/>
    <w:rsid w:val="00555D7B"/>
    <w:rsid w:val="00555E18"/>
    <w:rsid w:val="00555E1A"/>
    <w:rsid w:val="00555EFA"/>
    <w:rsid w:val="00555F65"/>
    <w:rsid w:val="00555FB5"/>
    <w:rsid w:val="00556173"/>
    <w:rsid w:val="005562CE"/>
    <w:rsid w:val="00556369"/>
    <w:rsid w:val="005567DE"/>
    <w:rsid w:val="0055687E"/>
    <w:rsid w:val="0055689A"/>
    <w:rsid w:val="005568C9"/>
    <w:rsid w:val="0055692B"/>
    <w:rsid w:val="00556991"/>
    <w:rsid w:val="00556994"/>
    <w:rsid w:val="005569CD"/>
    <w:rsid w:val="00556A47"/>
    <w:rsid w:val="00556B19"/>
    <w:rsid w:val="00556C49"/>
    <w:rsid w:val="00556D22"/>
    <w:rsid w:val="00556D34"/>
    <w:rsid w:val="00556E3D"/>
    <w:rsid w:val="00556FA4"/>
    <w:rsid w:val="00556FDD"/>
    <w:rsid w:val="005570C9"/>
    <w:rsid w:val="005570EC"/>
    <w:rsid w:val="005571CF"/>
    <w:rsid w:val="00557225"/>
    <w:rsid w:val="0055725D"/>
    <w:rsid w:val="005572DB"/>
    <w:rsid w:val="00557324"/>
    <w:rsid w:val="0055737D"/>
    <w:rsid w:val="005573C4"/>
    <w:rsid w:val="0055740A"/>
    <w:rsid w:val="005574A3"/>
    <w:rsid w:val="00557545"/>
    <w:rsid w:val="00557617"/>
    <w:rsid w:val="00557684"/>
    <w:rsid w:val="005576BE"/>
    <w:rsid w:val="00557749"/>
    <w:rsid w:val="005577BB"/>
    <w:rsid w:val="00557814"/>
    <w:rsid w:val="0055781C"/>
    <w:rsid w:val="00557824"/>
    <w:rsid w:val="0055789B"/>
    <w:rsid w:val="005578A1"/>
    <w:rsid w:val="00557986"/>
    <w:rsid w:val="005579F2"/>
    <w:rsid w:val="00557B2C"/>
    <w:rsid w:val="00557CEA"/>
    <w:rsid w:val="00557D8A"/>
    <w:rsid w:val="00557E72"/>
    <w:rsid w:val="00557E84"/>
    <w:rsid w:val="00557F2D"/>
    <w:rsid w:val="00557FCF"/>
    <w:rsid w:val="0056037E"/>
    <w:rsid w:val="00560507"/>
    <w:rsid w:val="00560562"/>
    <w:rsid w:val="005605B9"/>
    <w:rsid w:val="0056062C"/>
    <w:rsid w:val="00560800"/>
    <w:rsid w:val="00560824"/>
    <w:rsid w:val="0056085A"/>
    <w:rsid w:val="005608BE"/>
    <w:rsid w:val="00560914"/>
    <w:rsid w:val="00560A0C"/>
    <w:rsid w:val="00560A3B"/>
    <w:rsid w:val="00560AD5"/>
    <w:rsid w:val="00560D8D"/>
    <w:rsid w:val="00560E1E"/>
    <w:rsid w:val="00560E45"/>
    <w:rsid w:val="00560E7E"/>
    <w:rsid w:val="00560EE6"/>
    <w:rsid w:val="00560F58"/>
    <w:rsid w:val="00560FF2"/>
    <w:rsid w:val="005610A3"/>
    <w:rsid w:val="0056117D"/>
    <w:rsid w:val="005612CF"/>
    <w:rsid w:val="00561317"/>
    <w:rsid w:val="00561327"/>
    <w:rsid w:val="00561439"/>
    <w:rsid w:val="00561521"/>
    <w:rsid w:val="005615D1"/>
    <w:rsid w:val="0056162E"/>
    <w:rsid w:val="00561686"/>
    <w:rsid w:val="005616B8"/>
    <w:rsid w:val="005616D5"/>
    <w:rsid w:val="00561895"/>
    <w:rsid w:val="005618EC"/>
    <w:rsid w:val="0056190C"/>
    <w:rsid w:val="0056199F"/>
    <w:rsid w:val="005619E1"/>
    <w:rsid w:val="00561A05"/>
    <w:rsid w:val="00561A2D"/>
    <w:rsid w:val="00561B10"/>
    <w:rsid w:val="00561BA0"/>
    <w:rsid w:val="00561C06"/>
    <w:rsid w:val="00561C69"/>
    <w:rsid w:val="00561C72"/>
    <w:rsid w:val="00561DA1"/>
    <w:rsid w:val="00561E96"/>
    <w:rsid w:val="00561F2B"/>
    <w:rsid w:val="00562048"/>
    <w:rsid w:val="00562056"/>
    <w:rsid w:val="005620C1"/>
    <w:rsid w:val="005620ED"/>
    <w:rsid w:val="005621A0"/>
    <w:rsid w:val="005621B4"/>
    <w:rsid w:val="00562265"/>
    <w:rsid w:val="00562283"/>
    <w:rsid w:val="00562287"/>
    <w:rsid w:val="00562386"/>
    <w:rsid w:val="005624BB"/>
    <w:rsid w:val="005625B4"/>
    <w:rsid w:val="00562650"/>
    <w:rsid w:val="00562741"/>
    <w:rsid w:val="0056275D"/>
    <w:rsid w:val="0056280C"/>
    <w:rsid w:val="0056282C"/>
    <w:rsid w:val="00562851"/>
    <w:rsid w:val="00562873"/>
    <w:rsid w:val="00562900"/>
    <w:rsid w:val="00562946"/>
    <w:rsid w:val="005629E5"/>
    <w:rsid w:val="00562B65"/>
    <w:rsid w:val="00562BCD"/>
    <w:rsid w:val="00562BD0"/>
    <w:rsid w:val="00562BF1"/>
    <w:rsid w:val="00562CDF"/>
    <w:rsid w:val="0056306A"/>
    <w:rsid w:val="0056307E"/>
    <w:rsid w:val="00563088"/>
    <w:rsid w:val="0056308B"/>
    <w:rsid w:val="005631DB"/>
    <w:rsid w:val="0056325F"/>
    <w:rsid w:val="005632E4"/>
    <w:rsid w:val="0056333F"/>
    <w:rsid w:val="00563474"/>
    <w:rsid w:val="0056348E"/>
    <w:rsid w:val="00563495"/>
    <w:rsid w:val="0056349B"/>
    <w:rsid w:val="00563598"/>
    <w:rsid w:val="005635B7"/>
    <w:rsid w:val="0056360F"/>
    <w:rsid w:val="00563621"/>
    <w:rsid w:val="005636FF"/>
    <w:rsid w:val="0056370E"/>
    <w:rsid w:val="00563722"/>
    <w:rsid w:val="00563811"/>
    <w:rsid w:val="00563823"/>
    <w:rsid w:val="00563857"/>
    <w:rsid w:val="005639EA"/>
    <w:rsid w:val="00563AA8"/>
    <w:rsid w:val="00563AD5"/>
    <w:rsid w:val="00563B83"/>
    <w:rsid w:val="00563BB3"/>
    <w:rsid w:val="00563CB3"/>
    <w:rsid w:val="00563CBB"/>
    <w:rsid w:val="00563D11"/>
    <w:rsid w:val="00563D35"/>
    <w:rsid w:val="00563D99"/>
    <w:rsid w:val="00563DED"/>
    <w:rsid w:val="00563ECC"/>
    <w:rsid w:val="00563EF1"/>
    <w:rsid w:val="00563F18"/>
    <w:rsid w:val="0056403D"/>
    <w:rsid w:val="005640CE"/>
    <w:rsid w:val="005640FE"/>
    <w:rsid w:val="00564189"/>
    <w:rsid w:val="00564198"/>
    <w:rsid w:val="00564249"/>
    <w:rsid w:val="005642B8"/>
    <w:rsid w:val="005642CC"/>
    <w:rsid w:val="005642D9"/>
    <w:rsid w:val="00564325"/>
    <w:rsid w:val="005644BB"/>
    <w:rsid w:val="00564588"/>
    <w:rsid w:val="00564618"/>
    <w:rsid w:val="00564635"/>
    <w:rsid w:val="00564637"/>
    <w:rsid w:val="0056475B"/>
    <w:rsid w:val="005647C0"/>
    <w:rsid w:val="005647D0"/>
    <w:rsid w:val="005649A6"/>
    <w:rsid w:val="00564A27"/>
    <w:rsid w:val="00564A2A"/>
    <w:rsid w:val="00564AFA"/>
    <w:rsid w:val="00564AFD"/>
    <w:rsid w:val="00564B63"/>
    <w:rsid w:val="00564C2B"/>
    <w:rsid w:val="00564C40"/>
    <w:rsid w:val="00564E18"/>
    <w:rsid w:val="00564E1D"/>
    <w:rsid w:val="00564E5E"/>
    <w:rsid w:val="00564EB2"/>
    <w:rsid w:val="00564EFA"/>
    <w:rsid w:val="00564F9C"/>
    <w:rsid w:val="00564FA2"/>
    <w:rsid w:val="005650D9"/>
    <w:rsid w:val="00565130"/>
    <w:rsid w:val="00565197"/>
    <w:rsid w:val="005653FB"/>
    <w:rsid w:val="00565514"/>
    <w:rsid w:val="005655E8"/>
    <w:rsid w:val="005657B9"/>
    <w:rsid w:val="00565866"/>
    <w:rsid w:val="0056587C"/>
    <w:rsid w:val="005658AB"/>
    <w:rsid w:val="00565A62"/>
    <w:rsid w:val="00565B0A"/>
    <w:rsid w:val="00565B60"/>
    <w:rsid w:val="00565BC0"/>
    <w:rsid w:val="00565C68"/>
    <w:rsid w:val="00565CB3"/>
    <w:rsid w:val="00565D0F"/>
    <w:rsid w:val="00565D2C"/>
    <w:rsid w:val="00565D39"/>
    <w:rsid w:val="00565E1F"/>
    <w:rsid w:val="00565EB7"/>
    <w:rsid w:val="005660B5"/>
    <w:rsid w:val="005660EF"/>
    <w:rsid w:val="0056623C"/>
    <w:rsid w:val="005663FA"/>
    <w:rsid w:val="0056646A"/>
    <w:rsid w:val="005664B0"/>
    <w:rsid w:val="005664FA"/>
    <w:rsid w:val="0056656E"/>
    <w:rsid w:val="005666C5"/>
    <w:rsid w:val="00566854"/>
    <w:rsid w:val="005668F4"/>
    <w:rsid w:val="0056697C"/>
    <w:rsid w:val="005669A5"/>
    <w:rsid w:val="00566A23"/>
    <w:rsid w:val="00566A2F"/>
    <w:rsid w:val="00566AF3"/>
    <w:rsid w:val="00566B13"/>
    <w:rsid w:val="00566BF6"/>
    <w:rsid w:val="00566C11"/>
    <w:rsid w:val="00566E6D"/>
    <w:rsid w:val="00566F07"/>
    <w:rsid w:val="00566F67"/>
    <w:rsid w:val="0056701B"/>
    <w:rsid w:val="0056720B"/>
    <w:rsid w:val="00567363"/>
    <w:rsid w:val="0056746B"/>
    <w:rsid w:val="005674EB"/>
    <w:rsid w:val="005675B3"/>
    <w:rsid w:val="00567623"/>
    <w:rsid w:val="005676A2"/>
    <w:rsid w:val="005676A3"/>
    <w:rsid w:val="00567775"/>
    <w:rsid w:val="005677EE"/>
    <w:rsid w:val="005677F5"/>
    <w:rsid w:val="0056786A"/>
    <w:rsid w:val="00567A3F"/>
    <w:rsid w:val="00567B00"/>
    <w:rsid w:val="00567B2F"/>
    <w:rsid w:val="00567B5C"/>
    <w:rsid w:val="00567C8B"/>
    <w:rsid w:val="00567C97"/>
    <w:rsid w:val="00567CA5"/>
    <w:rsid w:val="00567CEA"/>
    <w:rsid w:val="00567D28"/>
    <w:rsid w:val="00567FD0"/>
    <w:rsid w:val="00570154"/>
    <w:rsid w:val="00570158"/>
    <w:rsid w:val="00570276"/>
    <w:rsid w:val="00570386"/>
    <w:rsid w:val="00570425"/>
    <w:rsid w:val="00570485"/>
    <w:rsid w:val="005704AB"/>
    <w:rsid w:val="005705FB"/>
    <w:rsid w:val="005706E0"/>
    <w:rsid w:val="00570727"/>
    <w:rsid w:val="0057090F"/>
    <w:rsid w:val="00570972"/>
    <w:rsid w:val="00570BAA"/>
    <w:rsid w:val="00570BCD"/>
    <w:rsid w:val="00570C9A"/>
    <w:rsid w:val="00570CB5"/>
    <w:rsid w:val="00570CC4"/>
    <w:rsid w:val="00570CD3"/>
    <w:rsid w:val="00570DA6"/>
    <w:rsid w:val="00570DB2"/>
    <w:rsid w:val="0057105D"/>
    <w:rsid w:val="00571068"/>
    <w:rsid w:val="005710B5"/>
    <w:rsid w:val="005710BD"/>
    <w:rsid w:val="005710E9"/>
    <w:rsid w:val="005711A7"/>
    <w:rsid w:val="0057125C"/>
    <w:rsid w:val="0057130F"/>
    <w:rsid w:val="00571406"/>
    <w:rsid w:val="00571414"/>
    <w:rsid w:val="005714CD"/>
    <w:rsid w:val="005717DD"/>
    <w:rsid w:val="005718BB"/>
    <w:rsid w:val="00571943"/>
    <w:rsid w:val="00571ABA"/>
    <w:rsid w:val="00571B6C"/>
    <w:rsid w:val="00571C4A"/>
    <w:rsid w:val="00571CBB"/>
    <w:rsid w:val="00571CEA"/>
    <w:rsid w:val="00571CF2"/>
    <w:rsid w:val="00571D68"/>
    <w:rsid w:val="00571E3C"/>
    <w:rsid w:val="00571EB6"/>
    <w:rsid w:val="00571F20"/>
    <w:rsid w:val="00571F4B"/>
    <w:rsid w:val="00571F6D"/>
    <w:rsid w:val="00571F75"/>
    <w:rsid w:val="005720D7"/>
    <w:rsid w:val="005721B0"/>
    <w:rsid w:val="0057221A"/>
    <w:rsid w:val="0057232A"/>
    <w:rsid w:val="005723A4"/>
    <w:rsid w:val="005724BA"/>
    <w:rsid w:val="0057262B"/>
    <w:rsid w:val="005726C1"/>
    <w:rsid w:val="005726FF"/>
    <w:rsid w:val="00572726"/>
    <w:rsid w:val="0057280A"/>
    <w:rsid w:val="0057284E"/>
    <w:rsid w:val="00572892"/>
    <w:rsid w:val="005728AC"/>
    <w:rsid w:val="005728DF"/>
    <w:rsid w:val="00572950"/>
    <w:rsid w:val="0057299C"/>
    <w:rsid w:val="005729DF"/>
    <w:rsid w:val="00572A1C"/>
    <w:rsid w:val="00572A86"/>
    <w:rsid w:val="00572BAC"/>
    <w:rsid w:val="00572C0F"/>
    <w:rsid w:val="00572D48"/>
    <w:rsid w:val="00572DCA"/>
    <w:rsid w:val="00572E84"/>
    <w:rsid w:val="0057302F"/>
    <w:rsid w:val="0057313B"/>
    <w:rsid w:val="0057323F"/>
    <w:rsid w:val="00573263"/>
    <w:rsid w:val="005732B2"/>
    <w:rsid w:val="005732D8"/>
    <w:rsid w:val="00573356"/>
    <w:rsid w:val="0057348F"/>
    <w:rsid w:val="005734DE"/>
    <w:rsid w:val="00573527"/>
    <w:rsid w:val="00573579"/>
    <w:rsid w:val="005735C8"/>
    <w:rsid w:val="005735D0"/>
    <w:rsid w:val="005736CA"/>
    <w:rsid w:val="00573763"/>
    <w:rsid w:val="00573787"/>
    <w:rsid w:val="00573909"/>
    <w:rsid w:val="00573A74"/>
    <w:rsid w:val="00573A7D"/>
    <w:rsid w:val="00573B16"/>
    <w:rsid w:val="00573B83"/>
    <w:rsid w:val="00573BC8"/>
    <w:rsid w:val="00573C03"/>
    <w:rsid w:val="00573C85"/>
    <w:rsid w:val="00573C8B"/>
    <w:rsid w:val="00573C97"/>
    <w:rsid w:val="00573CAD"/>
    <w:rsid w:val="00573D32"/>
    <w:rsid w:val="00573E11"/>
    <w:rsid w:val="00573E47"/>
    <w:rsid w:val="00573FAD"/>
    <w:rsid w:val="00574038"/>
    <w:rsid w:val="00574092"/>
    <w:rsid w:val="00574150"/>
    <w:rsid w:val="0057417C"/>
    <w:rsid w:val="005741C9"/>
    <w:rsid w:val="0057459A"/>
    <w:rsid w:val="005746F9"/>
    <w:rsid w:val="005748D1"/>
    <w:rsid w:val="00574907"/>
    <w:rsid w:val="00574AB5"/>
    <w:rsid w:val="00574AC2"/>
    <w:rsid w:val="00574ADE"/>
    <w:rsid w:val="00574B8A"/>
    <w:rsid w:val="00574C91"/>
    <w:rsid w:val="00574CCB"/>
    <w:rsid w:val="00574D35"/>
    <w:rsid w:val="00574E0F"/>
    <w:rsid w:val="00574E3B"/>
    <w:rsid w:val="00575038"/>
    <w:rsid w:val="0057504F"/>
    <w:rsid w:val="0057507C"/>
    <w:rsid w:val="00575232"/>
    <w:rsid w:val="0057529E"/>
    <w:rsid w:val="0057531E"/>
    <w:rsid w:val="00575359"/>
    <w:rsid w:val="00575392"/>
    <w:rsid w:val="00575403"/>
    <w:rsid w:val="00575621"/>
    <w:rsid w:val="00575742"/>
    <w:rsid w:val="00575778"/>
    <w:rsid w:val="0057582C"/>
    <w:rsid w:val="005759AD"/>
    <w:rsid w:val="005759E5"/>
    <w:rsid w:val="00575B27"/>
    <w:rsid w:val="00575B54"/>
    <w:rsid w:val="00575BB6"/>
    <w:rsid w:val="00575CC7"/>
    <w:rsid w:val="00576047"/>
    <w:rsid w:val="00576077"/>
    <w:rsid w:val="005760B7"/>
    <w:rsid w:val="005760CB"/>
    <w:rsid w:val="005761B7"/>
    <w:rsid w:val="0057624A"/>
    <w:rsid w:val="00576250"/>
    <w:rsid w:val="005763C2"/>
    <w:rsid w:val="005765AA"/>
    <w:rsid w:val="005766CE"/>
    <w:rsid w:val="00576A34"/>
    <w:rsid w:val="00576A55"/>
    <w:rsid w:val="00576B47"/>
    <w:rsid w:val="00576B7C"/>
    <w:rsid w:val="00576BA0"/>
    <w:rsid w:val="00576CA2"/>
    <w:rsid w:val="00576D27"/>
    <w:rsid w:val="00576D3F"/>
    <w:rsid w:val="00576D8D"/>
    <w:rsid w:val="00576DB9"/>
    <w:rsid w:val="00576E31"/>
    <w:rsid w:val="00576E7C"/>
    <w:rsid w:val="00576E91"/>
    <w:rsid w:val="00576ECB"/>
    <w:rsid w:val="00576F7E"/>
    <w:rsid w:val="005770A3"/>
    <w:rsid w:val="0057711C"/>
    <w:rsid w:val="0057719B"/>
    <w:rsid w:val="00577200"/>
    <w:rsid w:val="0057749D"/>
    <w:rsid w:val="00577549"/>
    <w:rsid w:val="0057767E"/>
    <w:rsid w:val="00577694"/>
    <w:rsid w:val="0057778F"/>
    <w:rsid w:val="005777AC"/>
    <w:rsid w:val="00577802"/>
    <w:rsid w:val="00577851"/>
    <w:rsid w:val="00577855"/>
    <w:rsid w:val="005778FB"/>
    <w:rsid w:val="00577942"/>
    <w:rsid w:val="0057796C"/>
    <w:rsid w:val="00577A80"/>
    <w:rsid w:val="00577B0B"/>
    <w:rsid w:val="00577C26"/>
    <w:rsid w:val="00577D73"/>
    <w:rsid w:val="00577E56"/>
    <w:rsid w:val="00577E80"/>
    <w:rsid w:val="00577EB9"/>
    <w:rsid w:val="00577F1C"/>
    <w:rsid w:val="00577FDE"/>
    <w:rsid w:val="00580098"/>
    <w:rsid w:val="00580099"/>
    <w:rsid w:val="0058048C"/>
    <w:rsid w:val="00580508"/>
    <w:rsid w:val="00580616"/>
    <w:rsid w:val="00580977"/>
    <w:rsid w:val="005809DA"/>
    <w:rsid w:val="00580A01"/>
    <w:rsid w:val="00580A33"/>
    <w:rsid w:val="00580A5F"/>
    <w:rsid w:val="00580ADE"/>
    <w:rsid w:val="00580B89"/>
    <w:rsid w:val="00580CD3"/>
    <w:rsid w:val="00580D59"/>
    <w:rsid w:val="00580F08"/>
    <w:rsid w:val="00580FC7"/>
    <w:rsid w:val="00581010"/>
    <w:rsid w:val="00581040"/>
    <w:rsid w:val="0058107A"/>
    <w:rsid w:val="00581138"/>
    <w:rsid w:val="00581142"/>
    <w:rsid w:val="00581226"/>
    <w:rsid w:val="005812F5"/>
    <w:rsid w:val="005813D8"/>
    <w:rsid w:val="00581421"/>
    <w:rsid w:val="0058143E"/>
    <w:rsid w:val="005814FD"/>
    <w:rsid w:val="0058155E"/>
    <w:rsid w:val="005815AF"/>
    <w:rsid w:val="0058179F"/>
    <w:rsid w:val="005817D6"/>
    <w:rsid w:val="005818B8"/>
    <w:rsid w:val="00581960"/>
    <w:rsid w:val="00581BA9"/>
    <w:rsid w:val="00581BC9"/>
    <w:rsid w:val="00581C0D"/>
    <w:rsid w:val="00581C7C"/>
    <w:rsid w:val="00581CFF"/>
    <w:rsid w:val="00581E26"/>
    <w:rsid w:val="00581F8E"/>
    <w:rsid w:val="00581FC9"/>
    <w:rsid w:val="00582034"/>
    <w:rsid w:val="005820EF"/>
    <w:rsid w:val="00582231"/>
    <w:rsid w:val="005822AB"/>
    <w:rsid w:val="005822B6"/>
    <w:rsid w:val="0058230E"/>
    <w:rsid w:val="00582313"/>
    <w:rsid w:val="00582479"/>
    <w:rsid w:val="0058254D"/>
    <w:rsid w:val="005825F8"/>
    <w:rsid w:val="005826A5"/>
    <w:rsid w:val="0058278C"/>
    <w:rsid w:val="005827E6"/>
    <w:rsid w:val="005828FC"/>
    <w:rsid w:val="00582960"/>
    <w:rsid w:val="00582AF2"/>
    <w:rsid w:val="00582B38"/>
    <w:rsid w:val="00582B85"/>
    <w:rsid w:val="00582B88"/>
    <w:rsid w:val="00582D33"/>
    <w:rsid w:val="00582ECA"/>
    <w:rsid w:val="0058306B"/>
    <w:rsid w:val="005830E5"/>
    <w:rsid w:val="005831BF"/>
    <w:rsid w:val="00583202"/>
    <w:rsid w:val="00583210"/>
    <w:rsid w:val="00583352"/>
    <w:rsid w:val="00583402"/>
    <w:rsid w:val="005834C0"/>
    <w:rsid w:val="005834CD"/>
    <w:rsid w:val="005834E8"/>
    <w:rsid w:val="005834F7"/>
    <w:rsid w:val="0058351B"/>
    <w:rsid w:val="00583680"/>
    <w:rsid w:val="005836A2"/>
    <w:rsid w:val="00583837"/>
    <w:rsid w:val="0058392C"/>
    <w:rsid w:val="005839C6"/>
    <w:rsid w:val="00583A11"/>
    <w:rsid w:val="00583AAE"/>
    <w:rsid w:val="00583AE1"/>
    <w:rsid w:val="00583B5F"/>
    <w:rsid w:val="00583C98"/>
    <w:rsid w:val="00583CA6"/>
    <w:rsid w:val="00583CF6"/>
    <w:rsid w:val="00583D02"/>
    <w:rsid w:val="00583D74"/>
    <w:rsid w:val="00583F6C"/>
    <w:rsid w:val="00583F9E"/>
    <w:rsid w:val="00583FB4"/>
    <w:rsid w:val="0058401C"/>
    <w:rsid w:val="0058406A"/>
    <w:rsid w:val="00584150"/>
    <w:rsid w:val="0058424D"/>
    <w:rsid w:val="00584274"/>
    <w:rsid w:val="00584397"/>
    <w:rsid w:val="005843AE"/>
    <w:rsid w:val="005843FF"/>
    <w:rsid w:val="005844CB"/>
    <w:rsid w:val="005844DA"/>
    <w:rsid w:val="005844FC"/>
    <w:rsid w:val="00584549"/>
    <w:rsid w:val="005845C0"/>
    <w:rsid w:val="0058472F"/>
    <w:rsid w:val="00584761"/>
    <w:rsid w:val="005847BB"/>
    <w:rsid w:val="00584835"/>
    <w:rsid w:val="0058490B"/>
    <w:rsid w:val="0058499A"/>
    <w:rsid w:val="005849D7"/>
    <w:rsid w:val="00584A2B"/>
    <w:rsid w:val="00584B24"/>
    <w:rsid w:val="00584BAA"/>
    <w:rsid w:val="00584C16"/>
    <w:rsid w:val="00584C20"/>
    <w:rsid w:val="00584E7F"/>
    <w:rsid w:val="00584E9E"/>
    <w:rsid w:val="00584EA8"/>
    <w:rsid w:val="00584FAA"/>
    <w:rsid w:val="00584FBF"/>
    <w:rsid w:val="005850B6"/>
    <w:rsid w:val="00585136"/>
    <w:rsid w:val="0058513E"/>
    <w:rsid w:val="00585266"/>
    <w:rsid w:val="005852FD"/>
    <w:rsid w:val="00585342"/>
    <w:rsid w:val="005853F1"/>
    <w:rsid w:val="00585458"/>
    <w:rsid w:val="005855E1"/>
    <w:rsid w:val="00585697"/>
    <w:rsid w:val="005857D7"/>
    <w:rsid w:val="00585841"/>
    <w:rsid w:val="00585894"/>
    <w:rsid w:val="005858A2"/>
    <w:rsid w:val="00585AEB"/>
    <w:rsid w:val="00585B2F"/>
    <w:rsid w:val="00585B3B"/>
    <w:rsid w:val="00585BB4"/>
    <w:rsid w:val="00585BC3"/>
    <w:rsid w:val="00585C19"/>
    <w:rsid w:val="00585D38"/>
    <w:rsid w:val="00585D45"/>
    <w:rsid w:val="00585DAA"/>
    <w:rsid w:val="00585DAE"/>
    <w:rsid w:val="00585E7F"/>
    <w:rsid w:val="00585E96"/>
    <w:rsid w:val="00585F2F"/>
    <w:rsid w:val="00586054"/>
    <w:rsid w:val="00586176"/>
    <w:rsid w:val="0058624B"/>
    <w:rsid w:val="005862A8"/>
    <w:rsid w:val="00586388"/>
    <w:rsid w:val="005863DD"/>
    <w:rsid w:val="00586409"/>
    <w:rsid w:val="00586457"/>
    <w:rsid w:val="005866A6"/>
    <w:rsid w:val="00586757"/>
    <w:rsid w:val="00586817"/>
    <w:rsid w:val="00586889"/>
    <w:rsid w:val="005868B9"/>
    <w:rsid w:val="00586995"/>
    <w:rsid w:val="00586A46"/>
    <w:rsid w:val="00586A9F"/>
    <w:rsid w:val="00586BF1"/>
    <w:rsid w:val="00586D41"/>
    <w:rsid w:val="00586DC1"/>
    <w:rsid w:val="00586E00"/>
    <w:rsid w:val="00586F9F"/>
    <w:rsid w:val="00586FD4"/>
    <w:rsid w:val="00586FE0"/>
    <w:rsid w:val="005870BE"/>
    <w:rsid w:val="005871B1"/>
    <w:rsid w:val="00587283"/>
    <w:rsid w:val="00587299"/>
    <w:rsid w:val="005872FF"/>
    <w:rsid w:val="005874C0"/>
    <w:rsid w:val="00587557"/>
    <w:rsid w:val="00587596"/>
    <w:rsid w:val="00587616"/>
    <w:rsid w:val="0058767F"/>
    <w:rsid w:val="00587850"/>
    <w:rsid w:val="00587856"/>
    <w:rsid w:val="005878E6"/>
    <w:rsid w:val="00587995"/>
    <w:rsid w:val="005879EF"/>
    <w:rsid w:val="00587A40"/>
    <w:rsid w:val="00587B4F"/>
    <w:rsid w:val="00587B5F"/>
    <w:rsid w:val="00587C6D"/>
    <w:rsid w:val="00587DDF"/>
    <w:rsid w:val="00587E82"/>
    <w:rsid w:val="00587F00"/>
    <w:rsid w:val="0059006A"/>
    <w:rsid w:val="005900B0"/>
    <w:rsid w:val="0059018A"/>
    <w:rsid w:val="005901FA"/>
    <w:rsid w:val="00590234"/>
    <w:rsid w:val="0059025A"/>
    <w:rsid w:val="00590284"/>
    <w:rsid w:val="00590313"/>
    <w:rsid w:val="0059037F"/>
    <w:rsid w:val="005904B7"/>
    <w:rsid w:val="005905F6"/>
    <w:rsid w:val="0059060E"/>
    <w:rsid w:val="0059065E"/>
    <w:rsid w:val="00590667"/>
    <w:rsid w:val="00590692"/>
    <w:rsid w:val="005906C2"/>
    <w:rsid w:val="0059093E"/>
    <w:rsid w:val="00590979"/>
    <w:rsid w:val="00590A75"/>
    <w:rsid w:val="00590BBF"/>
    <w:rsid w:val="00590CB2"/>
    <w:rsid w:val="00590CBF"/>
    <w:rsid w:val="00590D83"/>
    <w:rsid w:val="00590E25"/>
    <w:rsid w:val="00590E66"/>
    <w:rsid w:val="00590E80"/>
    <w:rsid w:val="00590EEC"/>
    <w:rsid w:val="00590F48"/>
    <w:rsid w:val="00590F6F"/>
    <w:rsid w:val="00590FBC"/>
    <w:rsid w:val="00590FBE"/>
    <w:rsid w:val="00590FEE"/>
    <w:rsid w:val="00591099"/>
    <w:rsid w:val="0059109A"/>
    <w:rsid w:val="0059121B"/>
    <w:rsid w:val="00591400"/>
    <w:rsid w:val="00591498"/>
    <w:rsid w:val="005914BE"/>
    <w:rsid w:val="0059169C"/>
    <w:rsid w:val="005916D5"/>
    <w:rsid w:val="0059175D"/>
    <w:rsid w:val="0059179F"/>
    <w:rsid w:val="0059180A"/>
    <w:rsid w:val="0059186A"/>
    <w:rsid w:val="0059189D"/>
    <w:rsid w:val="00591ADF"/>
    <w:rsid w:val="00591AF2"/>
    <w:rsid w:val="00591B3F"/>
    <w:rsid w:val="00591C1A"/>
    <w:rsid w:val="00591CE1"/>
    <w:rsid w:val="00591D86"/>
    <w:rsid w:val="00591D90"/>
    <w:rsid w:val="00591FD4"/>
    <w:rsid w:val="005921EE"/>
    <w:rsid w:val="0059224F"/>
    <w:rsid w:val="0059240F"/>
    <w:rsid w:val="00592570"/>
    <w:rsid w:val="0059267A"/>
    <w:rsid w:val="005926E8"/>
    <w:rsid w:val="005927C7"/>
    <w:rsid w:val="0059285C"/>
    <w:rsid w:val="0059287C"/>
    <w:rsid w:val="0059293A"/>
    <w:rsid w:val="00592960"/>
    <w:rsid w:val="00592A47"/>
    <w:rsid w:val="00592AB2"/>
    <w:rsid w:val="00592AEF"/>
    <w:rsid w:val="00592C9B"/>
    <w:rsid w:val="00592D45"/>
    <w:rsid w:val="00592E68"/>
    <w:rsid w:val="00592F07"/>
    <w:rsid w:val="00592F0F"/>
    <w:rsid w:val="00592F36"/>
    <w:rsid w:val="00592FAF"/>
    <w:rsid w:val="00592FE3"/>
    <w:rsid w:val="00593057"/>
    <w:rsid w:val="005930B3"/>
    <w:rsid w:val="005931B6"/>
    <w:rsid w:val="00593267"/>
    <w:rsid w:val="0059329D"/>
    <w:rsid w:val="005935DF"/>
    <w:rsid w:val="00593607"/>
    <w:rsid w:val="0059385B"/>
    <w:rsid w:val="00593B43"/>
    <w:rsid w:val="00593B88"/>
    <w:rsid w:val="00593E96"/>
    <w:rsid w:val="00593EBE"/>
    <w:rsid w:val="00594000"/>
    <w:rsid w:val="00594061"/>
    <w:rsid w:val="00594071"/>
    <w:rsid w:val="005940F6"/>
    <w:rsid w:val="0059415C"/>
    <w:rsid w:val="00594200"/>
    <w:rsid w:val="0059422A"/>
    <w:rsid w:val="00594266"/>
    <w:rsid w:val="00594383"/>
    <w:rsid w:val="0059457B"/>
    <w:rsid w:val="005945CC"/>
    <w:rsid w:val="005946F5"/>
    <w:rsid w:val="0059473B"/>
    <w:rsid w:val="0059482D"/>
    <w:rsid w:val="005948B4"/>
    <w:rsid w:val="00594AE2"/>
    <w:rsid w:val="00594B13"/>
    <w:rsid w:val="00594BD2"/>
    <w:rsid w:val="00594C41"/>
    <w:rsid w:val="00594DDD"/>
    <w:rsid w:val="00594E69"/>
    <w:rsid w:val="00594F4F"/>
    <w:rsid w:val="00594F89"/>
    <w:rsid w:val="00594FE7"/>
    <w:rsid w:val="0059505A"/>
    <w:rsid w:val="0059512A"/>
    <w:rsid w:val="00595211"/>
    <w:rsid w:val="005952C6"/>
    <w:rsid w:val="005952ED"/>
    <w:rsid w:val="00595404"/>
    <w:rsid w:val="00595476"/>
    <w:rsid w:val="0059557A"/>
    <w:rsid w:val="0059571B"/>
    <w:rsid w:val="0059571E"/>
    <w:rsid w:val="005957AC"/>
    <w:rsid w:val="005959B3"/>
    <w:rsid w:val="00595AC7"/>
    <w:rsid w:val="00595B1C"/>
    <w:rsid w:val="00595C60"/>
    <w:rsid w:val="00595DE1"/>
    <w:rsid w:val="00595F06"/>
    <w:rsid w:val="00595F71"/>
    <w:rsid w:val="00595F72"/>
    <w:rsid w:val="00596135"/>
    <w:rsid w:val="00596480"/>
    <w:rsid w:val="005964E6"/>
    <w:rsid w:val="005965B3"/>
    <w:rsid w:val="005965FE"/>
    <w:rsid w:val="005966B6"/>
    <w:rsid w:val="005966B7"/>
    <w:rsid w:val="00596710"/>
    <w:rsid w:val="005967F2"/>
    <w:rsid w:val="00596841"/>
    <w:rsid w:val="00596865"/>
    <w:rsid w:val="0059686B"/>
    <w:rsid w:val="00596914"/>
    <w:rsid w:val="00596924"/>
    <w:rsid w:val="005969C3"/>
    <w:rsid w:val="00596A5D"/>
    <w:rsid w:val="00596C1A"/>
    <w:rsid w:val="00596C81"/>
    <w:rsid w:val="00596D30"/>
    <w:rsid w:val="00596D3D"/>
    <w:rsid w:val="00596D6D"/>
    <w:rsid w:val="00596E56"/>
    <w:rsid w:val="00596E71"/>
    <w:rsid w:val="00596F8C"/>
    <w:rsid w:val="00596F9F"/>
    <w:rsid w:val="00596FA2"/>
    <w:rsid w:val="00596FA4"/>
    <w:rsid w:val="00596FD5"/>
    <w:rsid w:val="0059709D"/>
    <w:rsid w:val="005970D8"/>
    <w:rsid w:val="00597100"/>
    <w:rsid w:val="00597213"/>
    <w:rsid w:val="00597283"/>
    <w:rsid w:val="0059734F"/>
    <w:rsid w:val="00597366"/>
    <w:rsid w:val="00597489"/>
    <w:rsid w:val="005974BB"/>
    <w:rsid w:val="005974C8"/>
    <w:rsid w:val="005974CC"/>
    <w:rsid w:val="00597552"/>
    <w:rsid w:val="0059758D"/>
    <w:rsid w:val="005975C3"/>
    <w:rsid w:val="0059760A"/>
    <w:rsid w:val="00597644"/>
    <w:rsid w:val="00597678"/>
    <w:rsid w:val="005977DF"/>
    <w:rsid w:val="00597814"/>
    <w:rsid w:val="005978CB"/>
    <w:rsid w:val="00597975"/>
    <w:rsid w:val="005979F5"/>
    <w:rsid w:val="00597A3D"/>
    <w:rsid w:val="00597B50"/>
    <w:rsid w:val="00597B96"/>
    <w:rsid w:val="00597BAD"/>
    <w:rsid w:val="00597CA0"/>
    <w:rsid w:val="00597E74"/>
    <w:rsid w:val="005A0083"/>
    <w:rsid w:val="005A0086"/>
    <w:rsid w:val="005A00A2"/>
    <w:rsid w:val="005A01AB"/>
    <w:rsid w:val="005A0201"/>
    <w:rsid w:val="005A0225"/>
    <w:rsid w:val="005A024C"/>
    <w:rsid w:val="005A0298"/>
    <w:rsid w:val="005A02DF"/>
    <w:rsid w:val="005A0393"/>
    <w:rsid w:val="005A043A"/>
    <w:rsid w:val="005A047C"/>
    <w:rsid w:val="005A048E"/>
    <w:rsid w:val="005A04FA"/>
    <w:rsid w:val="005A04FF"/>
    <w:rsid w:val="005A057D"/>
    <w:rsid w:val="005A069F"/>
    <w:rsid w:val="005A08B6"/>
    <w:rsid w:val="005A0945"/>
    <w:rsid w:val="005A095D"/>
    <w:rsid w:val="005A09AA"/>
    <w:rsid w:val="005A09CD"/>
    <w:rsid w:val="005A09E3"/>
    <w:rsid w:val="005A0AA5"/>
    <w:rsid w:val="005A0B3E"/>
    <w:rsid w:val="005A0C0E"/>
    <w:rsid w:val="005A0DCF"/>
    <w:rsid w:val="005A0DE3"/>
    <w:rsid w:val="005A0F9B"/>
    <w:rsid w:val="005A1018"/>
    <w:rsid w:val="005A1031"/>
    <w:rsid w:val="005A10FA"/>
    <w:rsid w:val="005A110C"/>
    <w:rsid w:val="005A11BC"/>
    <w:rsid w:val="005A11EF"/>
    <w:rsid w:val="005A12BC"/>
    <w:rsid w:val="005A1353"/>
    <w:rsid w:val="005A144C"/>
    <w:rsid w:val="005A1533"/>
    <w:rsid w:val="005A1683"/>
    <w:rsid w:val="005A1758"/>
    <w:rsid w:val="005A1792"/>
    <w:rsid w:val="005A1825"/>
    <w:rsid w:val="005A182A"/>
    <w:rsid w:val="005A1841"/>
    <w:rsid w:val="005A1878"/>
    <w:rsid w:val="005A18C2"/>
    <w:rsid w:val="005A18C6"/>
    <w:rsid w:val="005A190A"/>
    <w:rsid w:val="005A190B"/>
    <w:rsid w:val="005A197B"/>
    <w:rsid w:val="005A19AC"/>
    <w:rsid w:val="005A19D4"/>
    <w:rsid w:val="005A19FE"/>
    <w:rsid w:val="005A1B5B"/>
    <w:rsid w:val="005A1C13"/>
    <w:rsid w:val="005A1D2A"/>
    <w:rsid w:val="005A1F99"/>
    <w:rsid w:val="005A1FB3"/>
    <w:rsid w:val="005A1FD4"/>
    <w:rsid w:val="005A1FDF"/>
    <w:rsid w:val="005A2095"/>
    <w:rsid w:val="005A21DB"/>
    <w:rsid w:val="005A21EA"/>
    <w:rsid w:val="005A2562"/>
    <w:rsid w:val="005A2636"/>
    <w:rsid w:val="005A2777"/>
    <w:rsid w:val="005A27B8"/>
    <w:rsid w:val="005A27C1"/>
    <w:rsid w:val="005A2846"/>
    <w:rsid w:val="005A2850"/>
    <w:rsid w:val="005A2860"/>
    <w:rsid w:val="005A2861"/>
    <w:rsid w:val="005A28FD"/>
    <w:rsid w:val="005A2986"/>
    <w:rsid w:val="005A29DE"/>
    <w:rsid w:val="005A2A13"/>
    <w:rsid w:val="005A2A22"/>
    <w:rsid w:val="005A2ABD"/>
    <w:rsid w:val="005A30BD"/>
    <w:rsid w:val="005A311B"/>
    <w:rsid w:val="005A3151"/>
    <w:rsid w:val="005A31D4"/>
    <w:rsid w:val="005A34DD"/>
    <w:rsid w:val="005A357F"/>
    <w:rsid w:val="005A3674"/>
    <w:rsid w:val="005A36C1"/>
    <w:rsid w:val="005A36CA"/>
    <w:rsid w:val="005A36DD"/>
    <w:rsid w:val="005A3785"/>
    <w:rsid w:val="005A37DB"/>
    <w:rsid w:val="005A38B7"/>
    <w:rsid w:val="005A39AD"/>
    <w:rsid w:val="005A3B4C"/>
    <w:rsid w:val="005A3B5F"/>
    <w:rsid w:val="005A3B73"/>
    <w:rsid w:val="005A3B78"/>
    <w:rsid w:val="005A3B7C"/>
    <w:rsid w:val="005A3BA5"/>
    <w:rsid w:val="005A3CA5"/>
    <w:rsid w:val="005A3E00"/>
    <w:rsid w:val="005A3E42"/>
    <w:rsid w:val="005A3E66"/>
    <w:rsid w:val="005A3F0E"/>
    <w:rsid w:val="005A3F46"/>
    <w:rsid w:val="005A3FAB"/>
    <w:rsid w:val="005A41F8"/>
    <w:rsid w:val="005A4214"/>
    <w:rsid w:val="005A421A"/>
    <w:rsid w:val="005A4285"/>
    <w:rsid w:val="005A4510"/>
    <w:rsid w:val="005A4557"/>
    <w:rsid w:val="005A45EA"/>
    <w:rsid w:val="005A4719"/>
    <w:rsid w:val="005A47DD"/>
    <w:rsid w:val="005A480F"/>
    <w:rsid w:val="005A4959"/>
    <w:rsid w:val="005A4AC4"/>
    <w:rsid w:val="005A4B5E"/>
    <w:rsid w:val="005A4BCA"/>
    <w:rsid w:val="005A4BF1"/>
    <w:rsid w:val="005A4C07"/>
    <w:rsid w:val="005A4CA6"/>
    <w:rsid w:val="005A4F28"/>
    <w:rsid w:val="005A5114"/>
    <w:rsid w:val="005A517F"/>
    <w:rsid w:val="005A518C"/>
    <w:rsid w:val="005A51B9"/>
    <w:rsid w:val="005A5274"/>
    <w:rsid w:val="005A5388"/>
    <w:rsid w:val="005A53B6"/>
    <w:rsid w:val="005A53DB"/>
    <w:rsid w:val="005A54D8"/>
    <w:rsid w:val="005A55C5"/>
    <w:rsid w:val="005A56A8"/>
    <w:rsid w:val="005A5817"/>
    <w:rsid w:val="005A5860"/>
    <w:rsid w:val="005A593C"/>
    <w:rsid w:val="005A5A33"/>
    <w:rsid w:val="005A5A94"/>
    <w:rsid w:val="005A5AE1"/>
    <w:rsid w:val="005A5BD9"/>
    <w:rsid w:val="005A5C77"/>
    <w:rsid w:val="005A5CF2"/>
    <w:rsid w:val="005A5D0F"/>
    <w:rsid w:val="005A5D1C"/>
    <w:rsid w:val="005A5DF5"/>
    <w:rsid w:val="005A5F60"/>
    <w:rsid w:val="005A607E"/>
    <w:rsid w:val="005A613F"/>
    <w:rsid w:val="005A6179"/>
    <w:rsid w:val="005A620A"/>
    <w:rsid w:val="005A62B7"/>
    <w:rsid w:val="005A62E0"/>
    <w:rsid w:val="005A62E1"/>
    <w:rsid w:val="005A6353"/>
    <w:rsid w:val="005A63D7"/>
    <w:rsid w:val="005A65B2"/>
    <w:rsid w:val="005A6669"/>
    <w:rsid w:val="005A670F"/>
    <w:rsid w:val="005A681A"/>
    <w:rsid w:val="005A6852"/>
    <w:rsid w:val="005A6890"/>
    <w:rsid w:val="005A6899"/>
    <w:rsid w:val="005A6912"/>
    <w:rsid w:val="005A6978"/>
    <w:rsid w:val="005A6A2E"/>
    <w:rsid w:val="005A6AD2"/>
    <w:rsid w:val="005A6B05"/>
    <w:rsid w:val="005A6B43"/>
    <w:rsid w:val="005A6CC5"/>
    <w:rsid w:val="005A6DB9"/>
    <w:rsid w:val="005A6DC8"/>
    <w:rsid w:val="005A6E05"/>
    <w:rsid w:val="005A6F7F"/>
    <w:rsid w:val="005A7277"/>
    <w:rsid w:val="005A72FE"/>
    <w:rsid w:val="005A7336"/>
    <w:rsid w:val="005A74A5"/>
    <w:rsid w:val="005A74B5"/>
    <w:rsid w:val="005A74EE"/>
    <w:rsid w:val="005A756B"/>
    <w:rsid w:val="005A75CF"/>
    <w:rsid w:val="005A75D1"/>
    <w:rsid w:val="005A7658"/>
    <w:rsid w:val="005A7666"/>
    <w:rsid w:val="005A76AF"/>
    <w:rsid w:val="005A776C"/>
    <w:rsid w:val="005A782A"/>
    <w:rsid w:val="005A7859"/>
    <w:rsid w:val="005A7A8F"/>
    <w:rsid w:val="005A7B64"/>
    <w:rsid w:val="005A7B6E"/>
    <w:rsid w:val="005A7BA4"/>
    <w:rsid w:val="005A7BDD"/>
    <w:rsid w:val="005A7C85"/>
    <w:rsid w:val="005A7D42"/>
    <w:rsid w:val="005A7E97"/>
    <w:rsid w:val="005A7FD2"/>
    <w:rsid w:val="005A7FF9"/>
    <w:rsid w:val="005B0001"/>
    <w:rsid w:val="005B0173"/>
    <w:rsid w:val="005B017F"/>
    <w:rsid w:val="005B021D"/>
    <w:rsid w:val="005B0228"/>
    <w:rsid w:val="005B02CE"/>
    <w:rsid w:val="005B06A8"/>
    <w:rsid w:val="005B0712"/>
    <w:rsid w:val="005B0751"/>
    <w:rsid w:val="005B0808"/>
    <w:rsid w:val="005B084B"/>
    <w:rsid w:val="005B0A9E"/>
    <w:rsid w:val="005B0B50"/>
    <w:rsid w:val="005B0C71"/>
    <w:rsid w:val="005B0E39"/>
    <w:rsid w:val="005B0EB8"/>
    <w:rsid w:val="005B0F90"/>
    <w:rsid w:val="005B0FEE"/>
    <w:rsid w:val="005B103E"/>
    <w:rsid w:val="005B1050"/>
    <w:rsid w:val="005B1113"/>
    <w:rsid w:val="005B113C"/>
    <w:rsid w:val="005B1152"/>
    <w:rsid w:val="005B116B"/>
    <w:rsid w:val="005B11BA"/>
    <w:rsid w:val="005B1243"/>
    <w:rsid w:val="005B12C2"/>
    <w:rsid w:val="005B133A"/>
    <w:rsid w:val="005B1374"/>
    <w:rsid w:val="005B13DC"/>
    <w:rsid w:val="005B14A5"/>
    <w:rsid w:val="005B14AB"/>
    <w:rsid w:val="005B14BE"/>
    <w:rsid w:val="005B150A"/>
    <w:rsid w:val="005B151B"/>
    <w:rsid w:val="005B16E1"/>
    <w:rsid w:val="005B176A"/>
    <w:rsid w:val="005B1888"/>
    <w:rsid w:val="005B1942"/>
    <w:rsid w:val="005B194B"/>
    <w:rsid w:val="005B1993"/>
    <w:rsid w:val="005B1B76"/>
    <w:rsid w:val="005B1BC4"/>
    <w:rsid w:val="005B1C6A"/>
    <w:rsid w:val="005B1CC4"/>
    <w:rsid w:val="005B1E0D"/>
    <w:rsid w:val="005B1FD8"/>
    <w:rsid w:val="005B2013"/>
    <w:rsid w:val="005B2075"/>
    <w:rsid w:val="005B2172"/>
    <w:rsid w:val="005B224D"/>
    <w:rsid w:val="005B22B5"/>
    <w:rsid w:val="005B23D6"/>
    <w:rsid w:val="005B247B"/>
    <w:rsid w:val="005B2579"/>
    <w:rsid w:val="005B2623"/>
    <w:rsid w:val="005B263D"/>
    <w:rsid w:val="005B2680"/>
    <w:rsid w:val="005B26B4"/>
    <w:rsid w:val="005B2713"/>
    <w:rsid w:val="005B2729"/>
    <w:rsid w:val="005B2856"/>
    <w:rsid w:val="005B28A2"/>
    <w:rsid w:val="005B28C6"/>
    <w:rsid w:val="005B28D0"/>
    <w:rsid w:val="005B28F5"/>
    <w:rsid w:val="005B2916"/>
    <w:rsid w:val="005B2937"/>
    <w:rsid w:val="005B29C3"/>
    <w:rsid w:val="005B2A19"/>
    <w:rsid w:val="005B2AFB"/>
    <w:rsid w:val="005B2B16"/>
    <w:rsid w:val="005B2B47"/>
    <w:rsid w:val="005B2B74"/>
    <w:rsid w:val="005B2B89"/>
    <w:rsid w:val="005B2C50"/>
    <w:rsid w:val="005B2C6B"/>
    <w:rsid w:val="005B2CE5"/>
    <w:rsid w:val="005B2D60"/>
    <w:rsid w:val="005B2D6B"/>
    <w:rsid w:val="005B2DD7"/>
    <w:rsid w:val="005B2E12"/>
    <w:rsid w:val="005B30DF"/>
    <w:rsid w:val="005B313B"/>
    <w:rsid w:val="005B3331"/>
    <w:rsid w:val="005B3380"/>
    <w:rsid w:val="005B3393"/>
    <w:rsid w:val="005B33F0"/>
    <w:rsid w:val="005B3427"/>
    <w:rsid w:val="005B3666"/>
    <w:rsid w:val="005B369F"/>
    <w:rsid w:val="005B36A1"/>
    <w:rsid w:val="005B3782"/>
    <w:rsid w:val="005B37CB"/>
    <w:rsid w:val="005B384E"/>
    <w:rsid w:val="005B38B5"/>
    <w:rsid w:val="005B38C5"/>
    <w:rsid w:val="005B3A33"/>
    <w:rsid w:val="005B3AAF"/>
    <w:rsid w:val="005B3C09"/>
    <w:rsid w:val="005B3CA0"/>
    <w:rsid w:val="005B3E98"/>
    <w:rsid w:val="005B3EAF"/>
    <w:rsid w:val="005B3EBA"/>
    <w:rsid w:val="005B3F74"/>
    <w:rsid w:val="005B3F85"/>
    <w:rsid w:val="005B3FD5"/>
    <w:rsid w:val="005B4007"/>
    <w:rsid w:val="005B4045"/>
    <w:rsid w:val="005B40BB"/>
    <w:rsid w:val="005B40FF"/>
    <w:rsid w:val="005B4102"/>
    <w:rsid w:val="005B4134"/>
    <w:rsid w:val="005B42D4"/>
    <w:rsid w:val="005B4302"/>
    <w:rsid w:val="005B4305"/>
    <w:rsid w:val="005B4418"/>
    <w:rsid w:val="005B46E7"/>
    <w:rsid w:val="005B48C5"/>
    <w:rsid w:val="005B490F"/>
    <w:rsid w:val="005B4960"/>
    <w:rsid w:val="005B4980"/>
    <w:rsid w:val="005B49B6"/>
    <w:rsid w:val="005B4AA9"/>
    <w:rsid w:val="005B4B55"/>
    <w:rsid w:val="005B4BF2"/>
    <w:rsid w:val="005B4C2A"/>
    <w:rsid w:val="005B4C32"/>
    <w:rsid w:val="005B4EE8"/>
    <w:rsid w:val="005B4FDC"/>
    <w:rsid w:val="005B50AC"/>
    <w:rsid w:val="005B50E3"/>
    <w:rsid w:val="005B5125"/>
    <w:rsid w:val="005B522A"/>
    <w:rsid w:val="005B53D9"/>
    <w:rsid w:val="005B542C"/>
    <w:rsid w:val="005B55EA"/>
    <w:rsid w:val="005B5621"/>
    <w:rsid w:val="005B5626"/>
    <w:rsid w:val="005B5686"/>
    <w:rsid w:val="005B56D0"/>
    <w:rsid w:val="005B5703"/>
    <w:rsid w:val="005B5731"/>
    <w:rsid w:val="005B57C0"/>
    <w:rsid w:val="005B5838"/>
    <w:rsid w:val="005B586C"/>
    <w:rsid w:val="005B591F"/>
    <w:rsid w:val="005B5A5B"/>
    <w:rsid w:val="005B5A96"/>
    <w:rsid w:val="005B5B9C"/>
    <w:rsid w:val="005B5BDE"/>
    <w:rsid w:val="005B5C01"/>
    <w:rsid w:val="005B5C5D"/>
    <w:rsid w:val="005B5C8D"/>
    <w:rsid w:val="005B5C93"/>
    <w:rsid w:val="005B5CB9"/>
    <w:rsid w:val="005B5CCC"/>
    <w:rsid w:val="005B5D99"/>
    <w:rsid w:val="005B5E0C"/>
    <w:rsid w:val="005B5E2C"/>
    <w:rsid w:val="005B5F8F"/>
    <w:rsid w:val="005B6013"/>
    <w:rsid w:val="005B6072"/>
    <w:rsid w:val="005B607E"/>
    <w:rsid w:val="005B6080"/>
    <w:rsid w:val="005B60B4"/>
    <w:rsid w:val="005B612A"/>
    <w:rsid w:val="005B616D"/>
    <w:rsid w:val="005B619E"/>
    <w:rsid w:val="005B625B"/>
    <w:rsid w:val="005B6342"/>
    <w:rsid w:val="005B640A"/>
    <w:rsid w:val="005B64E7"/>
    <w:rsid w:val="005B66D6"/>
    <w:rsid w:val="005B66E6"/>
    <w:rsid w:val="005B67C6"/>
    <w:rsid w:val="005B685F"/>
    <w:rsid w:val="005B6AB0"/>
    <w:rsid w:val="005B6BED"/>
    <w:rsid w:val="005B6C07"/>
    <w:rsid w:val="005B6D8B"/>
    <w:rsid w:val="005B6E83"/>
    <w:rsid w:val="005B7015"/>
    <w:rsid w:val="005B71AD"/>
    <w:rsid w:val="005B71CF"/>
    <w:rsid w:val="005B72C3"/>
    <w:rsid w:val="005B7368"/>
    <w:rsid w:val="005B73F3"/>
    <w:rsid w:val="005B7404"/>
    <w:rsid w:val="005B75B6"/>
    <w:rsid w:val="005B763B"/>
    <w:rsid w:val="005B76D8"/>
    <w:rsid w:val="005B77C3"/>
    <w:rsid w:val="005B7831"/>
    <w:rsid w:val="005B7844"/>
    <w:rsid w:val="005B78BD"/>
    <w:rsid w:val="005B793F"/>
    <w:rsid w:val="005B7A4B"/>
    <w:rsid w:val="005B7A51"/>
    <w:rsid w:val="005B7AC2"/>
    <w:rsid w:val="005B7E99"/>
    <w:rsid w:val="005B7ED4"/>
    <w:rsid w:val="005B7F53"/>
    <w:rsid w:val="005C0071"/>
    <w:rsid w:val="005C0096"/>
    <w:rsid w:val="005C020A"/>
    <w:rsid w:val="005C0231"/>
    <w:rsid w:val="005C0310"/>
    <w:rsid w:val="005C03F9"/>
    <w:rsid w:val="005C040E"/>
    <w:rsid w:val="005C05B9"/>
    <w:rsid w:val="005C0607"/>
    <w:rsid w:val="005C067E"/>
    <w:rsid w:val="005C06F6"/>
    <w:rsid w:val="005C0842"/>
    <w:rsid w:val="005C08FE"/>
    <w:rsid w:val="005C098A"/>
    <w:rsid w:val="005C09A2"/>
    <w:rsid w:val="005C0ADD"/>
    <w:rsid w:val="005C0B35"/>
    <w:rsid w:val="005C0B5F"/>
    <w:rsid w:val="005C0B80"/>
    <w:rsid w:val="005C0BCB"/>
    <w:rsid w:val="005C0C7E"/>
    <w:rsid w:val="005C0CDD"/>
    <w:rsid w:val="005C0CFA"/>
    <w:rsid w:val="005C0D83"/>
    <w:rsid w:val="005C0DFF"/>
    <w:rsid w:val="005C0E0A"/>
    <w:rsid w:val="005C1006"/>
    <w:rsid w:val="005C1020"/>
    <w:rsid w:val="005C1047"/>
    <w:rsid w:val="005C105C"/>
    <w:rsid w:val="005C1088"/>
    <w:rsid w:val="005C10DC"/>
    <w:rsid w:val="005C10E2"/>
    <w:rsid w:val="005C1114"/>
    <w:rsid w:val="005C114E"/>
    <w:rsid w:val="005C130A"/>
    <w:rsid w:val="005C15C3"/>
    <w:rsid w:val="005C15CE"/>
    <w:rsid w:val="005C1745"/>
    <w:rsid w:val="005C1793"/>
    <w:rsid w:val="005C193F"/>
    <w:rsid w:val="005C1A54"/>
    <w:rsid w:val="005C1A71"/>
    <w:rsid w:val="005C1AFA"/>
    <w:rsid w:val="005C1B2F"/>
    <w:rsid w:val="005C1B6D"/>
    <w:rsid w:val="005C1B85"/>
    <w:rsid w:val="005C1BFC"/>
    <w:rsid w:val="005C1CDE"/>
    <w:rsid w:val="005C1D4C"/>
    <w:rsid w:val="005C1D57"/>
    <w:rsid w:val="005C1D5D"/>
    <w:rsid w:val="005C1D62"/>
    <w:rsid w:val="005C1DDB"/>
    <w:rsid w:val="005C1E3B"/>
    <w:rsid w:val="005C1E5D"/>
    <w:rsid w:val="005C1F0E"/>
    <w:rsid w:val="005C1FA4"/>
    <w:rsid w:val="005C23CF"/>
    <w:rsid w:val="005C23F4"/>
    <w:rsid w:val="005C24AD"/>
    <w:rsid w:val="005C2583"/>
    <w:rsid w:val="005C2593"/>
    <w:rsid w:val="005C263E"/>
    <w:rsid w:val="005C2679"/>
    <w:rsid w:val="005C26A2"/>
    <w:rsid w:val="005C2762"/>
    <w:rsid w:val="005C27DA"/>
    <w:rsid w:val="005C2953"/>
    <w:rsid w:val="005C2954"/>
    <w:rsid w:val="005C2B26"/>
    <w:rsid w:val="005C2B59"/>
    <w:rsid w:val="005C2C22"/>
    <w:rsid w:val="005C2CC0"/>
    <w:rsid w:val="005C2D0B"/>
    <w:rsid w:val="005C2D32"/>
    <w:rsid w:val="005C2D9E"/>
    <w:rsid w:val="005C302C"/>
    <w:rsid w:val="005C304B"/>
    <w:rsid w:val="005C3062"/>
    <w:rsid w:val="005C30B7"/>
    <w:rsid w:val="005C3212"/>
    <w:rsid w:val="005C328D"/>
    <w:rsid w:val="005C32E1"/>
    <w:rsid w:val="005C3360"/>
    <w:rsid w:val="005C34D7"/>
    <w:rsid w:val="005C357F"/>
    <w:rsid w:val="005C35BB"/>
    <w:rsid w:val="005C3665"/>
    <w:rsid w:val="005C3709"/>
    <w:rsid w:val="005C382E"/>
    <w:rsid w:val="005C3ACC"/>
    <w:rsid w:val="005C3B80"/>
    <w:rsid w:val="005C3BC5"/>
    <w:rsid w:val="005C3D45"/>
    <w:rsid w:val="005C3EC0"/>
    <w:rsid w:val="005C3F9C"/>
    <w:rsid w:val="005C3FA5"/>
    <w:rsid w:val="005C3FAE"/>
    <w:rsid w:val="005C4032"/>
    <w:rsid w:val="005C409B"/>
    <w:rsid w:val="005C4162"/>
    <w:rsid w:val="005C41BD"/>
    <w:rsid w:val="005C43AE"/>
    <w:rsid w:val="005C43DE"/>
    <w:rsid w:val="005C4505"/>
    <w:rsid w:val="005C454B"/>
    <w:rsid w:val="005C4552"/>
    <w:rsid w:val="005C4638"/>
    <w:rsid w:val="005C46E0"/>
    <w:rsid w:val="005C4711"/>
    <w:rsid w:val="005C473A"/>
    <w:rsid w:val="005C4873"/>
    <w:rsid w:val="005C497A"/>
    <w:rsid w:val="005C49D2"/>
    <w:rsid w:val="005C4A34"/>
    <w:rsid w:val="005C4BFC"/>
    <w:rsid w:val="005C4CD1"/>
    <w:rsid w:val="005C4CDA"/>
    <w:rsid w:val="005C4D56"/>
    <w:rsid w:val="005C4DEC"/>
    <w:rsid w:val="005C4DFF"/>
    <w:rsid w:val="005C4E44"/>
    <w:rsid w:val="005C4E7A"/>
    <w:rsid w:val="005C4F7B"/>
    <w:rsid w:val="005C4FAF"/>
    <w:rsid w:val="005C4FB9"/>
    <w:rsid w:val="005C4FC4"/>
    <w:rsid w:val="005C5023"/>
    <w:rsid w:val="005C50E9"/>
    <w:rsid w:val="005C51B3"/>
    <w:rsid w:val="005C52E2"/>
    <w:rsid w:val="005C5302"/>
    <w:rsid w:val="005C5336"/>
    <w:rsid w:val="005C5343"/>
    <w:rsid w:val="005C5501"/>
    <w:rsid w:val="005C554F"/>
    <w:rsid w:val="005C55AE"/>
    <w:rsid w:val="005C563B"/>
    <w:rsid w:val="005C563F"/>
    <w:rsid w:val="005C56FF"/>
    <w:rsid w:val="005C5735"/>
    <w:rsid w:val="005C574B"/>
    <w:rsid w:val="005C58B3"/>
    <w:rsid w:val="005C594C"/>
    <w:rsid w:val="005C597A"/>
    <w:rsid w:val="005C5A0D"/>
    <w:rsid w:val="005C5AEE"/>
    <w:rsid w:val="005C5BB2"/>
    <w:rsid w:val="005C5BB3"/>
    <w:rsid w:val="005C5BFF"/>
    <w:rsid w:val="005C5C48"/>
    <w:rsid w:val="005C5D5F"/>
    <w:rsid w:val="005C5D66"/>
    <w:rsid w:val="005C5DA7"/>
    <w:rsid w:val="005C5DBC"/>
    <w:rsid w:val="005C5E3B"/>
    <w:rsid w:val="005C5E41"/>
    <w:rsid w:val="005C5FE8"/>
    <w:rsid w:val="005C6074"/>
    <w:rsid w:val="005C60AE"/>
    <w:rsid w:val="005C60CD"/>
    <w:rsid w:val="005C61A5"/>
    <w:rsid w:val="005C61BA"/>
    <w:rsid w:val="005C626D"/>
    <w:rsid w:val="005C626E"/>
    <w:rsid w:val="005C635F"/>
    <w:rsid w:val="005C6412"/>
    <w:rsid w:val="005C65B7"/>
    <w:rsid w:val="005C679A"/>
    <w:rsid w:val="005C687E"/>
    <w:rsid w:val="005C6895"/>
    <w:rsid w:val="005C693D"/>
    <w:rsid w:val="005C6961"/>
    <w:rsid w:val="005C696B"/>
    <w:rsid w:val="005C6989"/>
    <w:rsid w:val="005C6B44"/>
    <w:rsid w:val="005C6B6A"/>
    <w:rsid w:val="005C6BA8"/>
    <w:rsid w:val="005C6C71"/>
    <w:rsid w:val="005C6F11"/>
    <w:rsid w:val="005C6FF4"/>
    <w:rsid w:val="005C7037"/>
    <w:rsid w:val="005C7057"/>
    <w:rsid w:val="005C709B"/>
    <w:rsid w:val="005C70BD"/>
    <w:rsid w:val="005C7173"/>
    <w:rsid w:val="005C7187"/>
    <w:rsid w:val="005C71D8"/>
    <w:rsid w:val="005C71F6"/>
    <w:rsid w:val="005C7230"/>
    <w:rsid w:val="005C7233"/>
    <w:rsid w:val="005C7294"/>
    <w:rsid w:val="005C72B5"/>
    <w:rsid w:val="005C72DB"/>
    <w:rsid w:val="005C7356"/>
    <w:rsid w:val="005C745C"/>
    <w:rsid w:val="005C7727"/>
    <w:rsid w:val="005C7782"/>
    <w:rsid w:val="005C791A"/>
    <w:rsid w:val="005C7985"/>
    <w:rsid w:val="005C7A2D"/>
    <w:rsid w:val="005C7AB4"/>
    <w:rsid w:val="005C7B89"/>
    <w:rsid w:val="005C7BC2"/>
    <w:rsid w:val="005C7CA1"/>
    <w:rsid w:val="005C7CCA"/>
    <w:rsid w:val="005C7DBA"/>
    <w:rsid w:val="005C7DEE"/>
    <w:rsid w:val="005C7E19"/>
    <w:rsid w:val="005C7EF3"/>
    <w:rsid w:val="005C7F19"/>
    <w:rsid w:val="005C7FEB"/>
    <w:rsid w:val="005D0006"/>
    <w:rsid w:val="005D00F6"/>
    <w:rsid w:val="005D0135"/>
    <w:rsid w:val="005D01B5"/>
    <w:rsid w:val="005D0325"/>
    <w:rsid w:val="005D035E"/>
    <w:rsid w:val="005D0372"/>
    <w:rsid w:val="005D04F9"/>
    <w:rsid w:val="005D061D"/>
    <w:rsid w:val="005D0688"/>
    <w:rsid w:val="005D07BB"/>
    <w:rsid w:val="005D07F6"/>
    <w:rsid w:val="005D0859"/>
    <w:rsid w:val="005D09E7"/>
    <w:rsid w:val="005D0B2A"/>
    <w:rsid w:val="005D0C04"/>
    <w:rsid w:val="005D0D2E"/>
    <w:rsid w:val="005D0DDD"/>
    <w:rsid w:val="005D0F7D"/>
    <w:rsid w:val="005D0FEB"/>
    <w:rsid w:val="005D1195"/>
    <w:rsid w:val="005D11C9"/>
    <w:rsid w:val="005D1267"/>
    <w:rsid w:val="005D126E"/>
    <w:rsid w:val="005D132B"/>
    <w:rsid w:val="005D133F"/>
    <w:rsid w:val="005D1347"/>
    <w:rsid w:val="005D13B3"/>
    <w:rsid w:val="005D13C7"/>
    <w:rsid w:val="005D13F4"/>
    <w:rsid w:val="005D1442"/>
    <w:rsid w:val="005D14CB"/>
    <w:rsid w:val="005D14FA"/>
    <w:rsid w:val="005D156A"/>
    <w:rsid w:val="005D15C2"/>
    <w:rsid w:val="005D15E0"/>
    <w:rsid w:val="005D175B"/>
    <w:rsid w:val="005D18A7"/>
    <w:rsid w:val="005D19DE"/>
    <w:rsid w:val="005D1C62"/>
    <w:rsid w:val="005D1C8D"/>
    <w:rsid w:val="005D1CBD"/>
    <w:rsid w:val="005D1E98"/>
    <w:rsid w:val="005D1F10"/>
    <w:rsid w:val="005D1F54"/>
    <w:rsid w:val="005D2031"/>
    <w:rsid w:val="005D2060"/>
    <w:rsid w:val="005D21B1"/>
    <w:rsid w:val="005D224B"/>
    <w:rsid w:val="005D23B1"/>
    <w:rsid w:val="005D23D0"/>
    <w:rsid w:val="005D2526"/>
    <w:rsid w:val="005D26BE"/>
    <w:rsid w:val="005D2700"/>
    <w:rsid w:val="005D27CF"/>
    <w:rsid w:val="005D27E0"/>
    <w:rsid w:val="005D29D5"/>
    <w:rsid w:val="005D2A7B"/>
    <w:rsid w:val="005D2B19"/>
    <w:rsid w:val="005D2B5B"/>
    <w:rsid w:val="005D2BC3"/>
    <w:rsid w:val="005D2C16"/>
    <w:rsid w:val="005D2C62"/>
    <w:rsid w:val="005D2D8C"/>
    <w:rsid w:val="005D2E3D"/>
    <w:rsid w:val="005D2F0A"/>
    <w:rsid w:val="005D2F99"/>
    <w:rsid w:val="005D301B"/>
    <w:rsid w:val="005D30D6"/>
    <w:rsid w:val="005D30EE"/>
    <w:rsid w:val="005D3157"/>
    <w:rsid w:val="005D3317"/>
    <w:rsid w:val="005D33D1"/>
    <w:rsid w:val="005D34D9"/>
    <w:rsid w:val="005D368F"/>
    <w:rsid w:val="005D36E0"/>
    <w:rsid w:val="005D36ED"/>
    <w:rsid w:val="005D3789"/>
    <w:rsid w:val="005D3851"/>
    <w:rsid w:val="005D3898"/>
    <w:rsid w:val="005D39BB"/>
    <w:rsid w:val="005D3AAB"/>
    <w:rsid w:val="005D3BB5"/>
    <w:rsid w:val="005D3C6A"/>
    <w:rsid w:val="005D3C84"/>
    <w:rsid w:val="005D3CAD"/>
    <w:rsid w:val="005D3CC6"/>
    <w:rsid w:val="005D3D67"/>
    <w:rsid w:val="005D3DB8"/>
    <w:rsid w:val="005D3DDA"/>
    <w:rsid w:val="005D3E81"/>
    <w:rsid w:val="005D4080"/>
    <w:rsid w:val="005D40F7"/>
    <w:rsid w:val="005D4101"/>
    <w:rsid w:val="005D4133"/>
    <w:rsid w:val="005D4255"/>
    <w:rsid w:val="005D4291"/>
    <w:rsid w:val="005D42CC"/>
    <w:rsid w:val="005D4425"/>
    <w:rsid w:val="005D4473"/>
    <w:rsid w:val="005D44A6"/>
    <w:rsid w:val="005D464C"/>
    <w:rsid w:val="005D4654"/>
    <w:rsid w:val="005D46B3"/>
    <w:rsid w:val="005D46C4"/>
    <w:rsid w:val="005D46CD"/>
    <w:rsid w:val="005D490C"/>
    <w:rsid w:val="005D4928"/>
    <w:rsid w:val="005D4ABF"/>
    <w:rsid w:val="005D4BFE"/>
    <w:rsid w:val="005D4C6C"/>
    <w:rsid w:val="005D4C76"/>
    <w:rsid w:val="005D4CB5"/>
    <w:rsid w:val="005D4CE2"/>
    <w:rsid w:val="005D4D3E"/>
    <w:rsid w:val="005D4D9B"/>
    <w:rsid w:val="005D4EE2"/>
    <w:rsid w:val="005D4F0A"/>
    <w:rsid w:val="005D5301"/>
    <w:rsid w:val="005D53B3"/>
    <w:rsid w:val="005D5515"/>
    <w:rsid w:val="005D5661"/>
    <w:rsid w:val="005D5677"/>
    <w:rsid w:val="005D56C2"/>
    <w:rsid w:val="005D56C5"/>
    <w:rsid w:val="005D578C"/>
    <w:rsid w:val="005D5793"/>
    <w:rsid w:val="005D57B8"/>
    <w:rsid w:val="005D57C6"/>
    <w:rsid w:val="005D5A1F"/>
    <w:rsid w:val="005D5A7E"/>
    <w:rsid w:val="005D5B9F"/>
    <w:rsid w:val="005D5D22"/>
    <w:rsid w:val="005D5DBB"/>
    <w:rsid w:val="005D5E9A"/>
    <w:rsid w:val="005D5EF5"/>
    <w:rsid w:val="005D5F54"/>
    <w:rsid w:val="005D5F76"/>
    <w:rsid w:val="005D60AA"/>
    <w:rsid w:val="005D60AD"/>
    <w:rsid w:val="005D60D4"/>
    <w:rsid w:val="005D6117"/>
    <w:rsid w:val="005D618E"/>
    <w:rsid w:val="005D6369"/>
    <w:rsid w:val="005D640E"/>
    <w:rsid w:val="005D6580"/>
    <w:rsid w:val="005D659C"/>
    <w:rsid w:val="005D65BC"/>
    <w:rsid w:val="005D6793"/>
    <w:rsid w:val="005D6826"/>
    <w:rsid w:val="005D6928"/>
    <w:rsid w:val="005D69BE"/>
    <w:rsid w:val="005D69E9"/>
    <w:rsid w:val="005D6A6F"/>
    <w:rsid w:val="005D6B15"/>
    <w:rsid w:val="005D6BAD"/>
    <w:rsid w:val="005D6C22"/>
    <w:rsid w:val="005D6C96"/>
    <w:rsid w:val="005D6D14"/>
    <w:rsid w:val="005D6DD7"/>
    <w:rsid w:val="005D6FB7"/>
    <w:rsid w:val="005D7089"/>
    <w:rsid w:val="005D709E"/>
    <w:rsid w:val="005D71D4"/>
    <w:rsid w:val="005D71ED"/>
    <w:rsid w:val="005D730B"/>
    <w:rsid w:val="005D7408"/>
    <w:rsid w:val="005D750D"/>
    <w:rsid w:val="005D75FB"/>
    <w:rsid w:val="005D768E"/>
    <w:rsid w:val="005D7722"/>
    <w:rsid w:val="005D7747"/>
    <w:rsid w:val="005D77FA"/>
    <w:rsid w:val="005D789F"/>
    <w:rsid w:val="005D7989"/>
    <w:rsid w:val="005D7A0F"/>
    <w:rsid w:val="005D7AF5"/>
    <w:rsid w:val="005D7AFD"/>
    <w:rsid w:val="005D7C35"/>
    <w:rsid w:val="005D7C62"/>
    <w:rsid w:val="005D7D8F"/>
    <w:rsid w:val="005D7E58"/>
    <w:rsid w:val="005D7E81"/>
    <w:rsid w:val="005D7FC2"/>
    <w:rsid w:val="005D7FE0"/>
    <w:rsid w:val="005E0016"/>
    <w:rsid w:val="005E00ED"/>
    <w:rsid w:val="005E011C"/>
    <w:rsid w:val="005E01BD"/>
    <w:rsid w:val="005E01C4"/>
    <w:rsid w:val="005E01CE"/>
    <w:rsid w:val="005E01D5"/>
    <w:rsid w:val="005E0247"/>
    <w:rsid w:val="005E0254"/>
    <w:rsid w:val="005E04E1"/>
    <w:rsid w:val="005E0577"/>
    <w:rsid w:val="005E05D5"/>
    <w:rsid w:val="005E064B"/>
    <w:rsid w:val="005E06B7"/>
    <w:rsid w:val="005E073A"/>
    <w:rsid w:val="005E0788"/>
    <w:rsid w:val="005E0939"/>
    <w:rsid w:val="005E09A2"/>
    <w:rsid w:val="005E0A12"/>
    <w:rsid w:val="005E0A46"/>
    <w:rsid w:val="005E0B9E"/>
    <w:rsid w:val="005E0CA0"/>
    <w:rsid w:val="005E0E2A"/>
    <w:rsid w:val="005E0E46"/>
    <w:rsid w:val="005E0E56"/>
    <w:rsid w:val="005E0FE7"/>
    <w:rsid w:val="005E0FED"/>
    <w:rsid w:val="005E1011"/>
    <w:rsid w:val="005E104A"/>
    <w:rsid w:val="005E10AC"/>
    <w:rsid w:val="005E11F7"/>
    <w:rsid w:val="005E1231"/>
    <w:rsid w:val="005E135A"/>
    <w:rsid w:val="005E13E0"/>
    <w:rsid w:val="005E144D"/>
    <w:rsid w:val="005E1470"/>
    <w:rsid w:val="005E1479"/>
    <w:rsid w:val="005E1487"/>
    <w:rsid w:val="005E16A7"/>
    <w:rsid w:val="005E197F"/>
    <w:rsid w:val="005E19C9"/>
    <w:rsid w:val="005E1A00"/>
    <w:rsid w:val="005E1B83"/>
    <w:rsid w:val="005E1D55"/>
    <w:rsid w:val="005E1DCC"/>
    <w:rsid w:val="005E1DD2"/>
    <w:rsid w:val="005E20A3"/>
    <w:rsid w:val="005E21F6"/>
    <w:rsid w:val="005E223B"/>
    <w:rsid w:val="005E244B"/>
    <w:rsid w:val="005E24FD"/>
    <w:rsid w:val="005E2641"/>
    <w:rsid w:val="005E269F"/>
    <w:rsid w:val="005E2731"/>
    <w:rsid w:val="005E27DD"/>
    <w:rsid w:val="005E28C0"/>
    <w:rsid w:val="005E294F"/>
    <w:rsid w:val="005E2AE4"/>
    <w:rsid w:val="005E2B44"/>
    <w:rsid w:val="005E2BBF"/>
    <w:rsid w:val="005E2C58"/>
    <w:rsid w:val="005E2EC2"/>
    <w:rsid w:val="005E2F0C"/>
    <w:rsid w:val="005E2FCA"/>
    <w:rsid w:val="005E2FD7"/>
    <w:rsid w:val="005E2FF4"/>
    <w:rsid w:val="005E3018"/>
    <w:rsid w:val="005E3072"/>
    <w:rsid w:val="005E313B"/>
    <w:rsid w:val="005E32FA"/>
    <w:rsid w:val="005E33F6"/>
    <w:rsid w:val="005E348C"/>
    <w:rsid w:val="005E34AD"/>
    <w:rsid w:val="005E34FB"/>
    <w:rsid w:val="005E3570"/>
    <w:rsid w:val="005E35E6"/>
    <w:rsid w:val="005E3667"/>
    <w:rsid w:val="005E3682"/>
    <w:rsid w:val="005E3723"/>
    <w:rsid w:val="005E38B5"/>
    <w:rsid w:val="005E38D8"/>
    <w:rsid w:val="005E38ED"/>
    <w:rsid w:val="005E3954"/>
    <w:rsid w:val="005E39E0"/>
    <w:rsid w:val="005E39EF"/>
    <w:rsid w:val="005E3A37"/>
    <w:rsid w:val="005E3ABA"/>
    <w:rsid w:val="005E3BA1"/>
    <w:rsid w:val="005E3BA7"/>
    <w:rsid w:val="005E3C97"/>
    <w:rsid w:val="005E3CD4"/>
    <w:rsid w:val="005E3CD8"/>
    <w:rsid w:val="005E3E04"/>
    <w:rsid w:val="005E3E67"/>
    <w:rsid w:val="005E3E97"/>
    <w:rsid w:val="005E410F"/>
    <w:rsid w:val="005E412B"/>
    <w:rsid w:val="005E4154"/>
    <w:rsid w:val="005E419A"/>
    <w:rsid w:val="005E41B7"/>
    <w:rsid w:val="005E42F6"/>
    <w:rsid w:val="005E43A3"/>
    <w:rsid w:val="005E43AA"/>
    <w:rsid w:val="005E4449"/>
    <w:rsid w:val="005E4484"/>
    <w:rsid w:val="005E44AC"/>
    <w:rsid w:val="005E44C5"/>
    <w:rsid w:val="005E4563"/>
    <w:rsid w:val="005E4630"/>
    <w:rsid w:val="005E4678"/>
    <w:rsid w:val="005E46A0"/>
    <w:rsid w:val="005E4846"/>
    <w:rsid w:val="005E484E"/>
    <w:rsid w:val="005E4855"/>
    <w:rsid w:val="005E4884"/>
    <w:rsid w:val="005E48CC"/>
    <w:rsid w:val="005E4912"/>
    <w:rsid w:val="005E4A1E"/>
    <w:rsid w:val="005E4A7A"/>
    <w:rsid w:val="005E4C50"/>
    <w:rsid w:val="005E4D2F"/>
    <w:rsid w:val="005E4D6F"/>
    <w:rsid w:val="005E4E56"/>
    <w:rsid w:val="005E4EAD"/>
    <w:rsid w:val="005E4EBC"/>
    <w:rsid w:val="005E4FBA"/>
    <w:rsid w:val="005E51A7"/>
    <w:rsid w:val="005E51FF"/>
    <w:rsid w:val="005E535A"/>
    <w:rsid w:val="005E5381"/>
    <w:rsid w:val="005E53C4"/>
    <w:rsid w:val="005E53CC"/>
    <w:rsid w:val="005E5411"/>
    <w:rsid w:val="005E54FC"/>
    <w:rsid w:val="005E5522"/>
    <w:rsid w:val="005E552F"/>
    <w:rsid w:val="005E5585"/>
    <w:rsid w:val="005E55D5"/>
    <w:rsid w:val="005E571B"/>
    <w:rsid w:val="005E5749"/>
    <w:rsid w:val="005E57E3"/>
    <w:rsid w:val="005E5861"/>
    <w:rsid w:val="005E58C8"/>
    <w:rsid w:val="005E58D4"/>
    <w:rsid w:val="005E58E1"/>
    <w:rsid w:val="005E5906"/>
    <w:rsid w:val="005E593F"/>
    <w:rsid w:val="005E5A50"/>
    <w:rsid w:val="005E5AB6"/>
    <w:rsid w:val="005E5AC3"/>
    <w:rsid w:val="005E5C4D"/>
    <w:rsid w:val="005E5CE6"/>
    <w:rsid w:val="005E5CFC"/>
    <w:rsid w:val="005E5D48"/>
    <w:rsid w:val="005E5E27"/>
    <w:rsid w:val="005E5E4D"/>
    <w:rsid w:val="005E60BD"/>
    <w:rsid w:val="005E6136"/>
    <w:rsid w:val="005E6184"/>
    <w:rsid w:val="005E6262"/>
    <w:rsid w:val="005E6362"/>
    <w:rsid w:val="005E643F"/>
    <w:rsid w:val="005E648A"/>
    <w:rsid w:val="005E660B"/>
    <w:rsid w:val="005E6698"/>
    <w:rsid w:val="005E6811"/>
    <w:rsid w:val="005E6856"/>
    <w:rsid w:val="005E68FD"/>
    <w:rsid w:val="005E694A"/>
    <w:rsid w:val="005E694F"/>
    <w:rsid w:val="005E6953"/>
    <w:rsid w:val="005E6999"/>
    <w:rsid w:val="005E6B3B"/>
    <w:rsid w:val="005E6B5C"/>
    <w:rsid w:val="005E6BC8"/>
    <w:rsid w:val="005E6C27"/>
    <w:rsid w:val="005E6CA5"/>
    <w:rsid w:val="005E6CAC"/>
    <w:rsid w:val="005E6DAF"/>
    <w:rsid w:val="005E6DD8"/>
    <w:rsid w:val="005E6DDF"/>
    <w:rsid w:val="005E6E8F"/>
    <w:rsid w:val="005E6EB9"/>
    <w:rsid w:val="005E704F"/>
    <w:rsid w:val="005E7140"/>
    <w:rsid w:val="005E7148"/>
    <w:rsid w:val="005E72B3"/>
    <w:rsid w:val="005E73D7"/>
    <w:rsid w:val="005E73DB"/>
    <w:rsid w:val="005E742B"/>
    <w:rsid w:val="005E74C0"/>
    <w:rsid w:val="005E756B"/>
    <w:rsid w:val="005E7781"/>
    <w:rsid w:val="005E7842"/>
    <w:rsid w:val="005E7905"/>
    <w:rsid w:val="005E79D7"/>
    <w:rsid w:val="005E7A1A"/>
    <w:rsid w:val="005E7A49"/>
    <w:rsid w:val="005E7AC6"/>
    <w:rsid w:val="005E7AD6"/>
    <w:rsid w:val="005E7B25"/>
    <w:rsid w:val="005E7B78"/>
    <w:rsid w:val="005E7C33"/>
    <w:rsid w:val="005E7C82"/>
    <w:rsid w:val="005E7D47"/>
    <w:rsid w:val="005E7D99"/>
    <w:rsid w:val="005E7E8A"/>
    <w:rsid w:val="005E7E8E"/>
    <w:rsid w:val="005E7EB7"/>
    <w:rsid w:val="005E7EBD"/>
    <w:rsid w:val="005E7EBE"/>
    <w:rsid w:val="005E7F2D"/>
    <w:rsid w:val="005E7F47"/>
    <w:rsid w:val="005E7FEB"/>
    <w:rsid w:val="005F0024"/>
    <w:rsid w:val="005F0027"/>
    <w:rsid w:val="005F0039"/>
    <w:rsid w:val="005F0077"/>
    <w:rsid w:val="005F00A8"/>
    <w:rsid w:val="005F021D"/>
    <w:rsid w:val="005F03A7"/>
    <w:rsid w:val="005F03C2"/>
    <w:rsid w:val="005F03C3"/>
    <w:rsid w:val="005F0546"/>
    <w:rsid w:val="005F0631"/>
    <w:rsid w:val="005F089F"/>
    <w:rsid w:val="005F09CE"/>
    <w:rsid w:val="005F0A58"/>
    <w:rsid w:val="005F0A8B"/>
    <w:rsid w:val="005F0A93"/>
    <w:rsid w:val="005F0AA2"/>
    <w:rsid w:val="005F0C07"/>
    <w:rsid w:val="005F0C3C"/>
    <w:rsid w:val="005F0CE1"/>
    <w:rsid w:val="005F0CFA"/>
    <w:rsid w:val="005F0E2E"/>
    <w:rsid w:val="005F0E30"/>
    <w:rsid w:val="005F0E61"/>
    <w:rsid w:val="005F0EE4"/>
    <w:rsid w:val="005F0F56"/>
    <w:rsid w:val="005F0FE6"/>
    <w:rsid w:val="005F108A"/>
    <w:rsid w:val="005F10DB"/>
    <w:rsid w:val="005F10E2"/>
    <w:rsid w:val="005F116D"/>
    <w:rsid w:val="005F12DB"/>
    <w:rsid w:val="005F1363"/>
    <w:rsid w:val="005F1390"/>
    <w:rsid w:val="005F139D"/>
    <w:rsid w:val="005F1441"/>
    <w:rsid w:val="005F1534"/>
    <w:rsid w:val="005F1733"/>
    <w:rsid w:val="005F17AA"/>
    <w:rsid w:val="005F1822"/>
    <w:rsid w:val="005F1918"/>
    <w:rsid w:val="005F1A6B"/>
    <w:rsid w:val="005F1B82"/>
    <w:rsid w:val="005F1BD6"/>
    <w:rsid w:val="005F1C00"/>
    <w:rsid w:val="005F1C5F"/>
    <w:rsid w:val="005F1CC6"/>
    <w:rsid w:val="005F1CC9"/>
    <w:rsid w:val="005F1D7A"/>
    <w:rsid w:val="005F1DCE"/>
    <w:rsid w:val="005F1E03"/>
    <w:rsid w:val="005F1E71"/>
    <w:rsid w:val="005F1E85"/>
    <w:rsid w:val="005F1F3D"/>
    <w:rsid w:val="005F1FCD"/>
    <w:rsid w:val="005F1FE3"/>
    <w:rsid w:val="005F2080"/>
    <w:rsid w:val="005F2082"/>
    <w:rsid w:val="005F23D5"/>
    <w:rsid w:val="005F2467"/>
    <w:rsid w:val="005F24B6"/>
    <w:rsid w:val="005F271B"/>
    <w:rsid w:val="005F272C"/>
    <w:rsid w:val="005F2884"/>
    <w:rsid w:val="005F2902"/>
    <w:rsid w:val="005F29D6"/>
    <w:rsid w:val="005F29F7"/>
    <w:rsid w:val="005F2B93"/>
    <w:rsid w:val="005F2C5F"/>
    <w:rsid w:val="005F2C9E"/>
    <w:rsid w:val="005F2CFD"/>
    <w:rsid w:val="005F2D73"/>
    <w:rsid w:val="005F2F89"/>
    <w:rsid w:val="005F2F8C"/>
    <w:rsid w:val="005F30C6"/>
    <w:rsid w:val="005F3184"/>
    <w:rsid w:val="005F333A"/>
    <w:rsid w:val="005F33AF"/>
    <w:rsid w:val="005F3497"/>
    <w:rsid w:val="005F34F5"/>
    <w:rsid w:val="005F3584"/>
    <w:rsid w:val="005F35D1"/>
    <w:rsid w:val="005F3723"/>
    <w:rsid w:val="005F37D6"/>
    <w:rsid w:val="005F388A"/>
    <w:rsid w:val="005F3B4E"/>
    <w:rsid w:val="005F3CF1"/>
    <w:rsid w:val="005F3D47"/>
    <w:rsid w:val="005F3D85"/>
    <w:rsid w:val="005F3DF3"/>
    <w:rsid w:val="005F3E17"/>
    <w:rsid w:val="005F3E8A"/>
    <w:rsid w:val="005F3EDD"/>
    <w:rsid w:val="005F3F56"/>
    <w:rsid w:val="005F41D2"/>
    <w:rsid w:val="005F421F"/>
    <w:rsid w:val="005F426A"/>
    <w:rsid w:val="005F427B"/>
    <w:rsid w:val="005F429F"/>
    <w:rsid w:val="005F4347"/>
    <w:rsid w:val="005F4386"/>
    <w:rsid w:val="005F438C"/>
    <w:rsid w:val="005F43D4"/>
    <w:rsid w:val="005F445D"/>
    <w:rsid w:val="005F4486"/>
    <w:rsid w:val="005F4641"/>
    <w:rsid w:val="005F4663"/>
    <w:rsid w:val="005F476C"/>
    <w:rsid w:val="005F4776"/>
    <w:rsid w:val="005F47C6"/>
    <w:rsid w:val="005F47CB"/>
    <w:rsid w:val="005F481C"/>
    <w:rsid w:val="005F485F"/>
    <w:rsid w:val="005F48B3"/>
    <w:rsid w:val="005F4935"/>
    <w:rsid w:val="005F49A3"/>
    <w:rsid w:val="005F4A93"/>
    <w:rsid w:val="005F4B1C"/>
    <w:rsid w:val="005F4BF4"/>
    <w:rsid w:val="005F4C30"/>
    <w:rsid w:val="005F4C31"/>
    <w:rsid w:val="005F4C39"/>
    <w:rsid w:val="005F4C49"/>
    <w:rsid w:val="005F4C8D"/>
    <w:rsid w:val="005F4C91"/>
    <w:rsid w:val="005F4D9D"/>
    <w:rsid w:val="005F4E32"/>
    <w:rsid w:val="005F4EAD"/>
    <w:rsid w:val="005F4EC9"/>
    <w:rsid w:val="005F5088"/>
    <w:rsid w:val="005F50C1"/>
    <w:rsid w:val="005F5247"/>
    <w:rsid w:val="005F5467"/>
    <w:rsid w:val="005F54C0"/>
    <w:rsid w:val="005F5530"/>
    <w:rsid w:val="005F555B"/>
    <w:rsid w:val="005F56B3"/>
    <w:rsid w:val="005F56DD"/>
    <w:rsid w:val="005F5723"/>
    <w:rsid w:val="005F576F"/>
    <w:rsid w:val="005F5899"/>
    <w:rsid w:val="005F58F5"/>
    <w:rsid w:val="005F5981"/>
    <w:rsid w:val="005F5986"/>
    <w:rsid w:val="005F5A48"/>
    <w:rsid w:val="005F5AC7"/>
    <w:rsid w:val="005F5AFF"/>
    <w:rsid w:val="005F5B14"/>
    <w:rsid w:val="005F5BBA"/>
    <w:rsid w:val="005F5C06"/>
    <w:rsid w:val="005F5CD4"/>
    <w:rsid w:val="005F5D5D"/>
    <w:rsid w:val="005F5D5E"/>
    <w:rsid w:val="005F5DD4"/>
    <w:rsid w:val="005F5E50"/>
    <w:rsid w:val="005F5EF8"/>
    <w:rsid w:val="005F61C5"/>
    <w:rsid w:val="005F6220"/>
    <w:rsid w:val="005F626A"/>
    <w:rsid w:val="005F62D8"/>
    <w:rsid w:val="005F632B"/>
    <w:rsid w:val="005F6332"/>
    <w:rsid w:val="005F63B9"/>
    <w:rsid w:val="005F63E5"/>
    <w:rsid w:val="005F6462"/>
    <w:rsid w:val="005F647D"/>
    <w:rsid w:val="005F64E7"/>
    <w:rsid w:val="005F64F4"/>
    <w:rsid w:val="005F651D"/>
    <w:rsid w:val="005F65D7"/>
    <w:rsid w:val="005F65E3"/>
    <w:rsid w:val="005F663F"/>
    <w:rsid w:val="005F667D"/>
    <w:rsid w:val="005F6693"/>
    <w:rsid w:val="005F670C"/>
    <w:rsid w:val="005F6715"/>
    <w:rsid w:val="005F6746"/>
    <w:rsid w:val="005F6789"/>
    <w:rsid w:val="005F684A"/>
    <w:rsid w:val="005F6902"/>
    <w:rsid w:val="005F6A30"/>
    <w:rsid w:val="005F6AA2"/>
    <w:rsid w:val="005F6BC0"/>
    <w:rsid w:val="005F6C0C"/>
    <w:rsid w:val="005F6CF0"/>
    <w:rsid w:val="005F6D10"/>
    <w:rsid w:val="005F6EC1"/>
    <w:rsid w:val="005F6F0A"/>
    <w:rsid w:val="005F6FD7"/>
    <w:rsid w:val="005F701E"/>
    <w:rsid w:val="005F7134"/>
    <w:rsid w:val="005F71A7"/>
    <w:rsid w:val="005F71B4"/>
    <w:rsid w:val="005F721A"/>
    <w:rsid w:val="005F72AA"/>
    <w:rsid w:val="005F736B"/>
    <w:rsid w:val="005F73E8"/>
    <w:rsid w:val="005F74F4"/>
    <w:rsid w:val="005F7572"/>
    <w:rsid w:val="005F75EA"/>
    <w:rsid w:val="005F76A2"/>
    <w:rsid w:val="005F76E3"/>
    <w:rsid w:val="005F76F8"/>
    <w:rsid w:val="005F79AF"/>
    <w:rsid w:val="005F7A73"/>
    <w:rsid w:val="005F7A7A"/>
    <w:rsid w:val="005F7AF8"/>
    <w:rsid w:val="005F7B85"/>
    <w:rsid w:val="005F7B98"/>
    <w:rsid w:val="005F7BBA"/>
    <w:rsid w:val="005F7BCB"/>
    <w:rsid w:val="005F7C70"/>
    <w:rsid w:val="005F7C83"/>
    <w:rsid w:val="005F7D09"/>
    <w:rsid w:val="005F7DE9"/>
    <w:rsid w:val="00600202"/>
    <w:rsid w:val="00600290"/>
    <w:rsid w:val="00600291"/>
    <w:rsid w:val="0060030F"/>
    <w:rsid w:val="00600337"/>
    <w:rsid w:val="0060033D"/>
    <w:rsid w:val="00600398"/>
    <w:rsid w:val="0060039A"/>
    <w:rsid w:val="00600525"/>
    <w:rsid w:val="006005B7"/>
    <w:rsid w:val="0060062B"/>
    <w:rsid w:val="00600667"/>
    <w:rsid w:val="0060067A"/>
    <w:rsid w:val="006006E7"/>
    <w:rsid w:val="00600767"/>
    <w:rsid w:val="006007AE"/>
    <w:rsid w:val="00600898"/>
    <w:rsid w:val="006009AE"/>
    <w:rsid w:val="00600A7D"/>
    <w:rsid w:val="00600A92"/>
    <w:rsid w:val="00600AA5"/>
    <w:rsid w:val="00600B9C"/>
    <w:rsid w:val="00600C27"/>
    <w:rsid w:val="00600C63"/>
    <w:rsid w:val="00600DB7"/>
    <w:rsid w:val="00600E3E"/>
    <w:rsid w:val="00600E71"/>
    <w:rsid w:val="00600F31"/>
    <w:rsid w:val="00600FC8"/>
    <w:rsid w:val="006010A3"/>
    <w:rsid w:val="006010BE"/>
    <w:rsid w:val="0060115F"/>
    <w:rsid w:val="006011AF"/>
    <w:rsid w:val="006011C9"/>
    <w:rsid w:val="006011E9"/>
    <w:rsid w:val="006012A1"/>
    <w:rsid w:val="006012E9"/>
    <w:rsid w:val="00601318"/>
    <w:rsid w:val="006013C2"/>
    <w:rsid w:val="006013DF"/>
    <w:rsid w:val="0060144F"/>
    <w:rsid w:val="00601591"/>
    <w:rsid w:val="00601799"/>
    <w:rsid w:val="0060195D"/>
    <w:rsid w:val="006019EA"/>
    <w:rsid w:val="00601A45"/>
    <w:rsid w:val="00601B19"/>
    <w:rsid w:val="00601B34"/>
    <w:rsid w:val="00601B3E"/>
    <w:rsid w:val="00601BDD"/>
    <w:rsid w:val="00601C13"/>
    <w:rsid w:val="00601C1F"/>
    <w:rsid w:val="00601C34"/>
    <w:rsid w:val="00601D95"/>
    <w:rsid w:val="00601DAD"/>
    <w:rsid w:val="00601DCE"/>
    <w:rsid w:val="00601F34"/>
    <w:rsid w:val="00601FC9"/>
    <w:rsid w:val="00601FFC"/>
    <w:rsid w:val="00602051"/>
    <w:rsid w:val="00602175"/>
    <w:rsid w:val="006022E4"/>
    <w:rsid w:val="00602340"/>
    <w:rsid w:val="00602343"/>
    <w:rsid w:val="006023C8"/>
    <w:rsid w:val="006023EA"/>
    <w:rsid w:val="00602439"/>
    <w:rsid w:val="00602475"/>
    <w:rsid w:val="006024F8"/>
    <w:rsid w:val="006026B3"/>
    <w:rsid w:val="006026EA"/>
    <w:rsid w:val="00602771"/>
    <w:rsid w:val="006027D6"/>
    <w:rsid w:val="006027FA"/>
    <w:rsid w:val="00602963"/>
    <w:rsid w:val="00602A2D"/>
    <w:rsid w:val="00602A55"/>
    <w:rsid w:val="00602AC1"/>
    <w:rsid w:val="00602B46"/>
    <w:rsid w:val="00602B95"/>
    <w:rsid w:val="00602C04"/>
    <w:rsid w:val="00602DE3"/>
    <w:rsid w:val="0060304A"/>
    <w:rsid w:val="006030BA"/>
    <w:rsid w:val="00603316"/>
    <w:rsid w:val="006033C3"/>
    <w:rsid w:val="00603433"/>
    <w:rsid w:val="006034D5"/>
    <w:rsid w:val="006034ED"/>
    <w:rsid w:val="00603578"/>
    <w:rsid w:val="006035C7"/>
    <w:rsid w:val="006035D0"/>
    <w:rsid w:val="0060365C"/>
    <w:rsid w:val="00603670"/>
    <w:rsid w:val="006036A4"/>
    <w:rsid w:val="00603829"/>
    <w:rsid w:val="0060387B"/>
    <w:rsid w:val="006038C0"/>
    <w:rsid w:val="00603975"/>
    <w:rsid w:val="006039F9"/>
    <w:rsid w:val="00603A50"/>
    <w:rsid w:val="00603ABF"/>
    <w:rsid w:val="00603B4E"/>
    <w:rsid w:val="00603BDC"/>
    <w:rsid w:val="00603BED"/>
    <w:rsid w:val="00603CCE"/>
    <w:rsid w:val="00603DB6"/>
    <w:rsid w:val="00603F15"/>
    <w:rsid w:val="00603FA2"/>
    <w:rsid w:val="00604070"/>
    <w:rsid w:val="006041BC"/>
    <w:rsid w:val="0060420D"/>
    <w:rsid w:val="00604572"/>
    <w:rsid w:val="00604587"/>
    <w:rsid w:val="0060458F"/>
    <w:rsid w:val="006045EC"/>
    <w:rsid w:val="00604615"/>
    <w:rsid w:val="0060461D"/>
    <w:rsid w:val="006047CA"/>
    <w:rsid w:val="00604892"/>
    <w:rsid w:val="00604929"/>
    <w:rsid w:val="00604A1A"/>
    <w:rsid w:val="00604B1A"/>
    <w:rsid w:val="00604BD5"/>
    <w:rsid w:val="00604CA4"/>
    <w:rsid w:val="00604EDF"/>
    <w:rsid w:val="00604EFE"/>
    <w:rsid w:val="00604F04"/>
    <w:rsid w:val="0060500A"/>
    <w:rsid w:val="00605094"/>
    <w:rsid w:val="006050DB"/>
    <w:rsid w:val="0060513F"/>
    <w:rsid w:val="00605153"/>
    <w:rsid w:val="00605230"/>
    <w:rsid w:val="00605452"/>
    <w:rsid w:val="0060552F"/>
    <w:rsid w:val="00605727"/>
    <w:rsid w:val="00605839"/>
    <w:rsid w:val="00605887"/>
    <w:rsid w:val="006059C8"/>
    <w:rsid w:val="00605A09"/>
    <w:rsid w:val="00605A61"/>
    <w:rsid w:val="00605B34"/>
    <w:rsid w:val="00605B47"/>
    <w:rsid w:val="00605B65"/>
    <w:rsid w:val="00605C31"/>
    <w:rsid w:val="00605C5A"/>
    <w:rsid w:val="00605CDC"/>
    <w:rsid w:val="00605D31"/>
    <w:rsid w:val="00605DA9"/>
    <w:rsid w:val="00605E7E"/>
    <w:rsid w:val="00605EB2"/>
    <w:rsid w:val="00605F1E"/>
    <w:rsid w:val="0060610D"/>
    <w:rsid w:val="00606177"/>
    <w:rsid w:val="0060619A"/>
    <w:rsid w:val="00606627"/>
    <w:rsid w:val="0060667E"/>
    <w:rsid w:val="006067CD"/>
    <w:rsid w:val="00606964"/>
    <w:rsid w:val="00606A1F"/>
    <w:rsid w:val="00606A4B"/>
    <w:rsid w:val="00606B4B"/>
    <w:rsid w:val="00606C0A"/>
    <w:rsid w:val="00606CAF"/>
    <w:rsid w:val="00606E0F"/>
    <w:rsid w:val="00606E43"/>
    <w:rsid w:val="00606E84"/>
    <w:rsid w:val="0060701D"/>
    <w:rsid w:val="006070BF"/>
    <w:rsid w:val="006070D0"/>
    <w:rsid w:val="0060728D"/>
    <w:rsid w:val="00607325"/>
    <w:rsid w:val="0060736C"/>
    <w:rsid w:val="00607481"/>
    <w:rsid w:val="006075A8"/>
    <w:rsid w:val="00607722"/>
    <w:rsid w:val="006077EF"/>
    <w:rsid w:val="00607988"/>
    <w:rsid w:val="00607A0C"/>
    <w:rsid w:val="00607A70"/>
    <w:rsid w:val="00607AF5"/>
    <w:rsid w:val="00607B12"/>
    <w:rsid w:val="00607C69"/>
    <w:rsid w:val="00607C8F"/>
    <w:rsid w:val="00607D85"/>
    <w:rsid w:val="00607DC0"/>
    <w:rsid w:val="00607DD0"/>
    <w:rsid w:val="00607E80"/>
    <w:rsid w:val="00607F92"/>
    <w:rsid w:val="00610055"/>
    <w:rsid w:val="006100A4"/>
    <w:rsid w:val="006100D1"/>
    <w:rsid w:val="00610285"/>
    <w:rsid w:val="006102FC"/>
    <w:rsid w:val="00610311"/>
    <w:rsid w:val="00610329"/>
    <w:rsid w:val="006103BF"/>
    <w:rsid w:val="006103D2"/>
    <w:rsid w:val="0061044E"/>
    <w:rsid w:val="00610622"/>
    <w:rsid w:val="00610678"/>
    <w:rsid w:val="00610681"/>
    <w:rsid w:val="00610684"/>
    <w:rsid w:val="006106E1"/>
    <w:rsid w:val="00610887"/>
    <w:rsid w:val="006108B9"/>
    <w:rsid w:val="006109F0"/>
    <w:rsid w:val="00610B0D"/>
    <w:rsid w:val="00610B3A"/>
    <w:rsid w:val="00610C15"/>
    <w:rsid w:val="00610C81"/>
    <w:rsid w:val="00610CAF"/>
    <w:rsid w:val="00610EBF"/>
    <w:rsid w:val="00610EC4"/>
    <w:rsid w:val="00610FF1"/>
    <w:rsid w:val="0061100E"/>
    <w:rsid w:val="0061102C"/>
    <w:rsid w:val="00611131"/>
    <w:rsid w:val="00611134"/>
    <w:rsid w:val="006111CF"/>
    <w:rsid w:val="00611522"/>
    <w:rsid w:val="006115B4"/>
    <w:rsid w:val="00611621"/>
    <w:rsid w:val="00611623"/>
    <w:rsid w:val="00611671"/>
    <w:rsid w:val="00611685"/>
    <w:rsid w:val="0061169D"/>
    <w:rsid w:val="00611738"/>
    <w:rsid w:val="00611769"/>
    <w:rsid w:val="00611779"/>
    <w:rsid w:val="00611931"/>
    <w:rsid w:val="006119A4"/>
    <w:rsid w:val="00611A0C"/>
    <w:rsid w:val="00611A14"/>
    <w:rsid w:val="00611A1C"/>
    <w:rsid w:val="00611A63"/>
    <w:rsid w:val="00611B2F"/>
    <w:rsid w:val="00611C05"/>
    <w:rsid w:val="00611C93"/>
    <w:rsid w:val="00611CEF"/>
    <w:rsid w:val="00611DBB"/>
    <w:rsid w:val="00611E1F"/>
    <w:rsid w:val="00611E68"/>
    <w:rsid w:val="00611ED2"/>
    <w:rsid w:val="00611FF2"/>
    <w:rsid w:val="00612082"/>
    <w:rsid w:val="006120B6"/>
    <w:rsid w:val="006120BA"/>
    <w:rsid w:val="006121BD"/>
    <w:rsid w:val="006121F2"/>
    <w:rsid w:val="0061221D"/>
    <w:rsid w:val="0061229A"/>
    <w:rsid w:val="006122C6"/>
    <w:rsid w:val="00612300"/>
    <w:rsid w:val="00612428"/>
    <w:rsid w:val="006124A6"/>
    <w:rsid w:val="00612653"/>
    <w:rsid w:val="0061269D"/>
    <w:rsid w:val="0061270E"/>
    <w:rsid w:val="0061270F"/>
    <w:rsid w:val="00612721"/>
    <w:rsid w:val="0061279B"/>
    <w:rsid w:val="006127F1"/>
    <w:rsid w:val="00612868"/>
    <w:rsid w:val="00612882"/>
    <w:rsid w:val="0061291B"/>
    <w:rsid w:val="00612942"/>
    <w:rsid w:val="006129E0"/>
    <w:rsid w:val="00612B10"/>
    <w:rsid w:val="00612CB5"/>
    <w:rsid w:val="00612D4F"/>
    <w:rsid w:val="00612D82"/>
    <w:rsid w:val="00612E2E"/>
    <w:rsid w:val="00612E3A"/>
    <w:rsid w:val="00612E3F"/>
    <w:rsid w:val="00612E95"/>
    <w:rsid w:val="00612EBE"/>
    <w:rsid w:val="00612EE0"/>
    <w:rsid w:val="00612FBB"/>
    <w:rsid w:val="006130E4"/>
    <w:rsid w:val="0061311D"/>
    <w:rsid w:val="006132B5"/>
    <w:rsid w:val="006133DF"/>
    <w:rsid w:val="00613413"/>
    <w:rsid w:val="0061342F"/>
    <w:rsid w:val="0061347C"/>
    <w:rsid w:val="00613489"/>
    <w:rsid w:val="006134AA"/>
    <w:rsid w:val="00613616"/>
    <w:rsid w:val="00613647"/>
    <w:rsid w:val="0061381A"/>
    <w:rsid w:val="00613A0F"/>
    <w:rsid w:val="00613A46"/>
    <w:rsid w:val="00613A55"/>
    <w:rsid w:val="00613A5B"/>
    <w:rsid w:val="00613AAB"/>
    <w:rsid w:val="00613AB0"/>
    <w:rsid w:val="00613ADA"/>
    <w:rsid w:val="00613AF4"/>
    <w:rsid w:val="00613BCF"/>
    <w:rsid w:val="00613D0E"/>
    <w:rsid w:val="00613D18"/>
    <w:rsid w:val="00613D85"/>
    <w:rsid w:val="00613D8A"/>
    <w:rsid w:val="00613E48"/>
    <w:rsid w:val="00613EDE"/>
    <w:rsid w:val="00613F98"/>
    <w:rsid w:val="00613FBB"/>
    <w:rsid w:val="00614023"/>
    <w:rsid w:val="00614148"/>
    <w:rsid w:val="006141B6"/>
    <w:rsid w:val="00614267"/>
    <w:rsid w:val="006142B9"/>
    <w:rsid w:val="0061435D"/>
    <w:rsid w:val="00614364"/>
    <w:rsid w:val="00614368"/>
    <w:rsid w:val="006143E5"/>
    <w:rsid w:val="006144B9"/>
    <w:rsid w:val="00614531"/>
    <w:rsid w:val="0061454A"/>
    <w:rsid w:val="006145BF"/>
    <w:rsid w:val="006145F2"/>
    <w:rsid w:val="00614679"/>
    <w:rsid w:val="006146BD"/>
    <w:rsid w:val="0061471D"/>
    <w:rsid w:val="006147B0"/>
    <w:rsid w:val="006147DA"/>
    <w:rsid w:val="00614AFE"/>
    <w:rsid w:val="00614BC0"/>
    <w:rsid w:val="00614C58"/>
    <w:rsid w:val="00614D4B"/>
    <w:rsid w:val="00614DC3"/>
    <w:rsid w:val="00614E75"/>
    <w:rsid w:val="00614E9F"/>
    <w:rsid w:val="00614EAB"/>
    <w:rsid w:val="00614ECE"/>
    <w:rsid w:val="00614EDB"/>
    <w:rsid w:val="00614EF9"/>
    <w:rsid w:val="00614F39"/>
    <w:rsid w:val="00614F50"/>
    <w:rsid w:val="00614F63"/>
    <w:rsid w:val="00614FBE"/>
    <w:rsid w:val="00615038"/>
    <w:rsid w:val="0061505E"/>
    <w:rsid w:val="006150A1"/>
    <w:rsid w:val="006151AD"/>
    <w:rsid w:val="00615463"/>
    <w:rsid w:val="0061546A"/>
    <w:rsid w:val="006154F1"/>
    <w:rsid w:val="0061550E"/>
    <w:rsid w:val="0061565E"/>
    <w:rsid w:val="00615730"/>
    <w:rsid w:val="006159FB"/>
    <w:rsid w:val="00615A1B"/>
    <w:rsid w:val="00615BD9"/>
    <w:rsid w:val="00615CFE"/>
    <w:rsid w:val="00615E96"/>
    <w:rsid w:val="00615ED7"/>
    <w:rsid w:val="00615FC9"/>
    <w:rsid w:val="00615FCC"/>
    <w:rsid w:val="00615FF7"/>
    <w:rsid w:val="00616026"/>
    <w:rsid w:val="00616047"/>
    <w:rsid w:val="00616170"/>
    <w:rsid w:val="006161F3"/>
    <w:rsid w:val="006161FC"/>
    <w:rsid w:val="00616373"/>
    <w:rsid w:val="00616530"/>
    <w:rsid w:val="0061654B"/>
    <w:rsid w:val="0061655C"/>
    <w:rsid w:val="0061655F"/>
    <w:rsid w:val="006165C4"/>
    <w:rsid w:val="00616603"/>
    <w:rsid w:val="00616748"/>
    <w:rsid w:val="0061687E"/>
    <w:rsid w:val="006168BD"/>
    <w:rsid w:val="00616AF6"/>
    <w:rsid w:val="00616BCC"/>
    <w:rsid w:val="00616C66"/>
    <w:rsid w:val="00616C70"/>
    <w:rsid w:val="00616CFF"/>
    <w:rsid w:val="00616D63"/>
    <w:rsid w:val="00616D65"/>
    <w:rsid w:val="00616EC7"/>
    <w:rsid w:val="00616F7A"/>
    <w:rsid w:val="00616FE2"/>
    <w:rsid w:val="006170EA"/>
    <w:rsid w:val="006171D7"/>
    <w:rsid w:val="00617246"/>
    <w:rsid w:val="00617255"/>
    <w:rsid w:val="006172E5"/>
    <w:rsid w:val="00617331"/>
    <w:rsid w:val="0061742E"/>
    <w:rsid w:val="0061743C"/>
    <w:rsid w:val="006175E3"/>
    <w:rsid w:val="00617633"/>
    <w:rsid w:val="006177FA"/>
    <w:rsid w:val="00617915"/>
    <w:rsid w:val="00617B23"/>
    <w:rsid w:val="00617B29"/>
    <w:rsid w:val="00617B75"/>
    <w:rsid w:val="00617C3A"/>
    <w:rsid w:val="00617CB0"/>
    <w:rsid w:val="00617CF2"/>
    <w:rsid w:val="00617FE7"/>
    <w:rsid w:val="0062007F"/>
    <w:rsid w:val="00620155"/>
    <w:rsid w:val="0062024D"/>
    <w:rsid w:val="0062037E"/>
    <w:rsid w:val="00620524"/>
    <w:rsid w:val="00620535"/>
    <w:rsid w:val="0062058C"/>
    <w:rsid w:val="00620770"/>
    <w:rsid w:val="00620771"/>
    <w:rsid w:val="0062085F"/>
    <w:rsid w:val="0062094A"/>
    <w:rsid w:val="00620A2C"/>
    <w:rsid w:val="00620B31"/>
    <w:rsid w:val="00620CD5"/>
    <w:rsid w:val="00620E80"/>
    <w:rsid w:val="00620EBE"/>
    <w:rsid w:val="00620F86"/>
    <w:rsid w:val="0062102C"/>
    <w:rsid w:val="00621198"/>
    <w:rsid w:val="00621280"/>
    <w:rsid w:val="006213AD"/>
    <w:rsid w:val="006215B8"/>
    <w:rsid w:val="006215ED"/>
    <w:rsid w:val="0062162B"/>
    <w:rsid w:val="0062167E"/>
    <w:rsid w:val="0062180C"/>
    <w:rsid w:val="00621921"/>
    <w:rsid w:val="0062193F"/>
    <w:rsid w:val="00621AC7"/>
    <w:rsid w:val="00621AF5"/>
    <w:rsid w:val="00621D07"/>
    <w:rsid w:val="00621D78"/>
    <w:rsid w:val="00621DC0"/>
    <w:rsid w:val="00621E5E"/>
    <w:rsid w:val="00621E70"/>
    <w:rsid w:val="00621E91"/>
    <w:rsid w:val="00621EBC"/>
    <w:rsid w:val="00621EC5"/>
    <w:rsid w:val="00621FE3"/>
    <w:rsid w:val="00621FFC"/>
    <w:rsid w:val="00622090"/>
    <w:rsid w:val="0062210B"/>
    <w:rsid w:val="00622140"/>
    <w:rsid w:val="00622151"/>
    <w:rsid w:val="006221E5"/>
    <w:rsid w:val="006221FD"/>
    <w:rsid w:val="0062224D"/>
    <w:rsid w:val="006224C5"/>
    <w:rsid w:val="006224DC"/>
    <w:rsid w:val="00622509"/>
    <w:rsid w:val="00622522"/>
    <w:rsid w:val="0062258D"/>
    <w:rsid w:val="0062262C"/>
    <w:rsid w:val="0062262E"/>
    <w:rsid w:val="00622883"/>
    <w:rsid w:val="0062292F"/>
    <w:rsid w:val="006229D2"/>
    <w:rsid w:val="00622A23"/>
    <w:rsid w:val="00622C3E"/>
    <w:rsid w:val="00622C71"/>
    <w:rsid w:val="00622CB6"/>
    <w:rsid w:val="0062307E"/>
    <w:rsid w:val="006230D8"/>
    <w:rsid w:val="006230D9"/>
    <w:rsid w:val="0062317D"/>
    <w:rsid w:val="006232B5"/>
    <w:rsid w:val="00623587"/>
    <w:rsid w:val="006235CC"/>
    <w:rsid w:val="006235FA"/>
    <w:rsid w:val="0062366D"/>
    <w:rsid w:val="006236CF"/>
    <w:rsid w:val="006236F7"/>
    <w:rsid w:val="00623799"/>
    <w:rsid w:val="0062379C"/>
    <w:rsid w:val="006239CE"/>
    <w:rsid w:val="006239D1"/>
    <w:rsid w:val="006239D9"/>
    <w:rsid w:val="00623AA5"/>
    <w:rsid w:val="00623AFC"/>
    <w:rsid w:val="00623B10"/>
    <w:rsid w:val="00623B6C"/>
    <w:rsid w:val="00623BF5"/>
    <w:rsid w:val="00623CCA"/>
    <w:rsid w:val="00623D90"/>
    <w:rsid w:val="00623FF2"/>
    <w:rsid w:val="0062401F"/>
    <w:rsid w:val="006240CB"/>
    <w:rsid w:val="006240EB"/>
    <w:rsid w:val="00624140"/>
    <w:rsid w:val="0062419B"/>
    <w:rsid w:val="0062422C"/>
    <w:rsid w:val="0062426C"/>
    <w:rsid w:val="00624359"/>
    <w:rsid w:val="006243F1"/>
    <w:rsid w:val="006243FB"/>
    <w:rsid w:val="0062454E"/>
    <w:rsid w:val="006245DE"/>
    <w:rsid w:val="006245F7"/>
    <w:rsid w:val="0062465A"/>
    <w:rsid w:val="00624673"/>
    <w:rsid w:val="00624766"/>
    <w:rsid w:val="0062492C"/>
    <w:rsid w:val="006249E4"/>
    <w:rsid w:val="006249ED"/>
    <w:rsid w:val="00624A37"/>
    <w:rsid w:val="00624A44"/>
    <w:rsid w:val="00624B70"/>
    <w:rsid w:val="00624D2A"/>
    <w:rsid w:val="00624E74"/>
    <w:rsid w:val="00624E83"/>
    <w:rsid w:val="00624EA3"/>
    <w:rsid w:val="00624EB4"/>
    <w:rsid w:val="00624F1D"/>
    <w:rsid w:val="00625251"/>
    <w:rsid w:val="006252B7"/>
    <w:rsid w:val="00625393"/>
    <w:rsid w:val="00625436"/>
    <w:rsid w:val="00625438"/>
    <w:rsid w:val="0062554D"/>
    <w:rsid w:val="00625563"/>
    <w:rsid w:val="006255DE"/>
    <w:rsid w:val="00625639"/>
    <w:rsid w:val="00625779"/>
    <w:rsid w:val="006257A8"/>
    <w:rsid w:val="006257CB"/>
    <w:rsid w:val="006257D7"/>
    <w:rsid w:val="00625884"/>
    <w:rsid w:val="00625890"/>
    <w:rsid w:val="006258EF"/>
    <w:rsid w:val="0062594D"/>
    <w:rsid w:val="00625AEC"/>
    <w:rsid w:val="00625B66"/>
    <w:rsid w:val="00625B6C"/>
    <w:rsid w:val="00625C03"/>
    <w:rsid w:val="00625C0F"/>
    <w:rsid w:val="00625C2B"/>
    <w:rsid w:val="00625D1B"/>
    <w:rsid w:val="00625DD3"/>
    <w:rsid w:val="00625DED"/>
    <w:rsid w:val="00625E4F"/>
    <w:rsid w:val="00625E9C"/>
    <w:rsid w:val="0062600A"/>
    <w:rsid w:val="0062606F"/>
    <w:rsid w:val="006260CD"/>
    <w:rsid w:val="0062612A"/>
    <w:rsid w:val="006261BC"/>
    <w:rsid w:val="00626349"/>
    <w:rsid w:val="006263FE"/>
    <w:rsid w:val="00626593"/>
    <w:rsid w:val="0062665B"/>
    <w:rsid w:val="00626726"/>
    <w:rsid w:val="0062677D"/>
    <w:rsid w:val="006268EB"/>
    <w:rsid w:val="0062696F"/>
    <w:rsid w:val="006269BF"/>
    <w:rsid w:val="00626B87"/>
    <w:rsid w:val="00626D28"/>
    <w:rsid w:val="00626E50"/>
    <w:rsid w:val="00626EAD"/>
    <w:rsid w:val="00626EBE"/>
    <w:rsid w:val="00626F7B"/>
    <w:rsid w:val="00626F9F"/>
    <w:rsid w:val="00627355"/>
    <w:rsid w:val="00627388"/>
    <w:rsid w:val="00627401"/>
    <w:rsid w:val="00627443"/>
    <w:rsid w:val="00627544"/>
    <w:rsid w:val="006275AA"/>
    <w:rsid w:val="006276A1"/>
    <w:rsid w:val="00627786"/>
    <w:rsid w:val="00627A00"/>
    <w:rsid w:val="00627A2F"/>
    <w:rsid w:val="00627A5F"/>
    <w:rsid w:val="00627B40"/>
    <w:rsid w:val="00627B6A"/>
    <w:rsid w:val="00627BC6"/>
    <w:rsid w:val="00627C22"/>
    <w:rsid w:val="00627CD1"/>
    <w:rsid w:val="00627CF4"/>
    <w:rsid w:val="00627CF9"/>
    <w:rsid w:val="00627DD4"/>
    <w:rsid w:val="00627E3A"/>
    <w:rsid w:val="00627F5E"/>
    <w:rsid w:val="00627F94"/>
    <w:rsid w:val="00627FCC"/>
    <w:rsid w:val="00627FCD"/>
    <w:rsid w:val="00630046"/>
    <w:rsid w:val="00630047"/>
    <w:rsid w:val="00630067"/>
    <w:rsid w:val="00630175"/>
    <w:rsid w:val="00630187"/>
    <w:rsid w:val="0063019C"/>
    <w:rsid w:val="0063033A"/>
    <w:rsid w:val="00630352"/>
    <w:rsid w:val="0063037A"/>
    <w:rsid w:val="00630566"/>
    <w:rsid w:val="006305CB"/>
    <w:rsid w:val="00630603"/>
    <w:rsid w:val="0063061A"/>
    <w:rsid w:val="00630857"/>
    <w:rsid w:val="0063094D"/>
    <w:rsid w:val="006309B4"/>
    <w:rsid w:val="00630A16"/>
    <w:rsid w:val="00630B65"/>
    <w:rsid w:val="00630C0F"/>
    <w:rsid w:val="00630C7F"/>
    <w:rsid w:val="00630CC2"/>
    <w:rsid w:val="00630D18"/>
    <w:rsid w:val="00630EF9"/>
    <w:rsid w:val="0063106F"/>
    <w:rsid w:val="0063108D"/>
    <w:rsid w:val="0063114D"/>
    <w:rsid w:val="0063116E"/>
    <w:rsid w:val="006311B4"/>
    <w:rsid w:val="006311BC"/>
    <w:rsid w:val="006311C3"/>
    <w:rsid w:val="00631354"/>
    <w:rsid w:val="00631356"/>
    <w:rsid w:val="0063145B"/>
    <w:rsid w:val="006315D9"/>
    <w:rsid w:val="0063160F"/>
    <w:rsid w:val="006316CF"/>
    <w:rsid w:val="00631725"/>
    <w:rsid w:val="006318E3"/>
    <w:rsid w:val="00631920"/>
    <w:rsid w:val="00631951"/>
    <w:rsid w:val="00631A9C"/>
    <w:rsid w:val="00631B22"/>
    <w:rsid w:val="00631B30"/>
    <w:rsid w:val="00631B4C"/>
    <w:rsid w:val="00631BC0"/>
    <w:rsid w:val="00631BE4"/>
    <w:rsid w:val="00631C1E"/>
    <w:rsid w:val="00631CF1"/>
    <w:rsid w:val="00631DCF"/>
    <w:rsid w:val="00631FE5"/>
    <w:rsid w:val="00632226"/>
    <w:rsid w:val="0063225F"/>
    <w:rsid w:val="0063227B"/>
    <w:rsid w:val="006323A5"/>
    <w:rsid w:val="006323D0"/>
    <w:rsid w:val="006323EC"/>
    <w:rsid w:val="0063240E"/>
    <w:rsid w:val="0063244B"/>
    <w:rsid w:val="00632572"/>
    <w:rsid w:val="006325B7"/>
    <w:rsid w:val="006325BE"/>
    <w:rsid w:val="006326DB"/>
    <w:rsid w:val="006327AC"/>
    <w:rsid w:val="006327C2"/>
    <w:rsid w:val="00632BC4"/>
    <w:rsid w:val="00632D18"/>
    <w:rsid w:val="00632F5E"/>
    <w:rsid w:val="00632FC1"/>
    <w:rsid w:val="006330AD"/>
    <w:rsid w:val="006334AB"/>
    <w:rsid w:val="0063360A"/>
    <w:rsid w:val="006336F9"/>
    <w:rsid w:val="006337C4"/>
    <w:rsid w:val="006337F9"/>
    <w:rsid w:val="0063380B"/>
    <w:rsid w:val="006338C8"/>
    <w:rsid w:val="0063390C"/>
    <w:rsid w:val="0063397C"/>
    <w:rsid w:val="00633A47"/>
    <w:rsid w:val="00633AF3"/>
    <w:rsid w:val="00633BB0"/>
    <w:rsid w:val="00633DE4"/>
    <w:rsid w:val="00633F96"/>
    <w:rsid w:val="00634028"/>
    <w:rsid w:val="00634241"/>
    <w:rsid w:val="00634266"/>
    <w:rsid w:val="00634274"/>
    <w:rsid w:val="006343A2"/>
    <w:rsid w:val="0063444C"/>
    <w:rsid w:val="006344BA"/>
    <w:rsid w:val="00634555"/>
    <w:rsid w:val="006346BE"/>
    <w:rsid w:val="006346E9"/>
    <w:rsid w:val="0063477A"/>
    <w:rsid w:val="00634809"/>
    <w:rsid w:val="00634869"/>
    <w:rsid w:val="0063486E"/>
    <w:rsid w:val="00634885"/>
    <w:rsid w:val="006348DC"/>
    <w:rsid w:val="00634A1D"/>
    <w:rsid w:val="00634AC8"/>
    <w:rsid w:val="00634BCB"/>
    <w:rsid w:val="00634C4F"/>
    <w:rsid w:val="00634C79"/>
    <w:rsid w:val="00634CE5"/>
    <w:rsid w:val="00634D61"/>
    <w:rsid w:val="00634D70"/>
    <w:rsid w:val="00634E0A"/>
    <w:rsid w:val="00634E22"/>
    <w:rsid w:val="00634E36"/>
    <w:rsid w:val="00634FB3"/>
    <w:rsid w:val="006350B1"/>
    <w:rsid w:val="00635160"/>
    <w:rsid w:val="00635272"/>
    <w:rsid w:val="00635409"/>
    <w:rsid w:val="0063546A"/>
    <w:rsid w:val="0063566C"/>
    <w:rsid w:val="006356A0"/>
    <w:rsid w:val="00635740"/>
    <w:rsid w:val="006357F5"/>
    <w:rsid w:val="00635893"/>
    <w:rsid w:val="00635A22"/>
    <w:rsid w:val="00635BB8"/>
    <w:rsid w:val="00635BBA"/>
    <w:rsid w:val="00635C39"/>
    <w:rsid w:val="00635C7F"/>
    <w:rsid w:val="00635CB0"/>
    <w:rsid w:val="00635D08"/>
    <w:rsid w:val="00635D89"/>
    <w:rsid w:val="00635DFA"/>
    <w:rsid w:val="00635F43"/>
    <w:rsid w:val="00635F69"/>
    <w:rsid w:val="00636040"/>
    <w:rsid w:val="00636108"/>
    <w:rsid w:val="00636163"/>
    <w:rsid w:val="006362E6"/>
    <w:rsid w:val="006362EA"/>
    <w:rsid w:val="00636328"/>
    <w:rsid w:val="006363C0"/>
    <w:rsid w:val="00636481"/>
    <w:rsid w:val="006367A8"/>
    <w:rsid w:val="006368BB"/>
    <w:rsid w:val="00636ABA"/>
    <w:rsid w:val="00636B7E"/>
    <w:rsid w:val="00636B97"/>
    <w:rsid w:val="00636CF4"/>
    <w:rsid w:val="00636D08"/>
    <w:rsid w:val="00636DED"/>
    <w:rsid w:val="00636E31"/>
    <w:rsid w:val="00636F0D"/>
    <w:rsid w:val="00636F81"/>
    <w:rsid w:val="00637012"/>
    <w:rsid w:val="0063704F"/>
    <w:rsid w:val="006370B4"/>
    <w:rsid w:val="006370ED"/>
    <w:rsid w:val="00637450"/>
    <w:rsid w:val="00637466"/>
    <w:rsid w:val="0063747F"/>
    <w:rsid w:val="0063748A"/>
    <w:rsid w:val="00637522"/>
    <w:rsid w:val="00637598"/>
    <w:rsid w:val="0063761A"/>
    <w:rsid w:val="0063775C"/>
    <w:rsid w:val="006377D3"/>
    <w:rsid w:val="00637830"/>
    <w:rsid w:val="00637848"/>
    <w:rsid w:val="0063794E"/>
    <w:rsid w:val="00637B98"/>
    <w:rsid w:val="00637BB1"/>
    <w:rsid w:val="00637CF0"/>
    <w:rsid w:val="00637E3F"/>
    <w:rsid w:val="00637E4F"/>
    <w:rsid w:val="00637F2D"/>
    <w:rsid w:val="00637F8F"/>
    <w:rsid w:val="0064018D"/>
    <w:rsid w:val="0064030D"/>
    <w:rsid w:val="00640369"/>
    <w:rsid w:val="006403B4"/>
    <w:rsid w:val="006405E1"/>
    <w:rsid w:val="00640841"/>
    <w:rsid w:val="006408E7"/>
    <w:rsid w:val="00640976"/>
    <w:rsid w:val="006409CF"/>
    <w:rsid w:val="006409E4"/>
    <w:rsid w:val="00640A0D"/>
    <w:rsid w:val="00640A51"/>
    <w:rsid w:val="00640ABB"/>
    <w:rsid w:val="00640B47"/>
    <w:rsid w:val="00640C3D"/>
    <w:rsid w:val="00640C51"/>
    <w:rsid w:val="00640C5B"/>
    <w:rsid w:val="00640CD6"/>
    <w:rsid w:val="00640D2E"/>
    <w:rsid w:val="00640D77"/>
    <w:rsid w:val="00640DD1"/>
    <w:rsid w:val="00640E94"/>
    <w:rsid w:val="00640ED9"/>
    <w:rsid w:val="00640F96"/>
    <w:rsid w:val="0064132A"/>
    <w:rsid w:val="00641395"/>
    <w:rsid w:val="006413E3"/>
    <w:rsid w:val="006413E9"/>
    <w:rsid w:val="0064142F"/>
    <w:rsid w:val="0064148F"/>
    <w:rsid w:val="006414CF"/>
    <w:rsid w:val="00641627"/>
    <w:rsid w:val="0064164B"/>
    <w:rsid w:val="00641655"/>
    <w:rsid w:val="006416EA"/>
    <w:rsid w:val="00641738"/>
    <w:rsid w:val="00641790"/>
    <w:rsid w:val="006419D1"/>
    <w:rsid w:val="006419E0"/>
    <w:rsid w:val="00641A4E"/>
    <w:rsid w:val="00641B73"/>
    <w:rsid w:val="00641BBD"/>
    <w:rsid w:val="00641C91"/>
    <w:rsid w:val="00641FAF"/>
    <w:rsid w:val="006420B1"/>
    <w:rsid w:val="0064211D"/>
    <w:rsid w:val="0064225A"/>
    <w:rsid w:val="00642351"/>
    <w:rsid w:val="006424B7"/>
    <w:rsid w:val="00642529"/>
    <w:rsid w:val="00642535"/>
    <w:rsid w:val="00642737"/>
    <w:rsid w:val="006427BF"/>
    <w:rsid w:val="006428F9"/>
    <w:rsid w:val="00642991"/>
    <w:rsid w:val="006429A0"/>
    <w:rsid w:val="00642A89"/>
    <w:rsid w:val="00642AF8"/>
    <w:rsid w:val="00642B35"/>
    <w:rsid w:val="00642B50"/>
    <w:rsid w:val="00642CA0"/>
    <w:rsid w:val="00642D72"/>
    <w:rsid w:val="00642DBA"/>
    <w:rsid w:val="00642E51"/>
    <w:rsid w:val="00642EB4"/>
    <w:rsid w:val="00642EBD"/>
    <w:rsid w:val="00642F04"/>
    <w:rsid w:val="00642F46"/>
    <w:rsid w:val="00642FC7"/>
    <w:rsid w:val="00642FCC"/>
    <w:rsid w:val="00642FDD"/>
    <w:rsid w:val="00643065"/>
    <w:rsid w:val="00643215"/>
    <w:rsid w:val="0064323D"/>
    <w:rsid w:val="0064329C"/>
    <w:rsid w:val="006433CD"/>
    <w:rsid w:val="00643404"/>
    <w:rsid w:val="0064359A"/>
    <w:rsid w:val="006435C3"/>
    <w:rsid w:val="006435EC"/>
    <w:rsid w:val="00643620"/>
    <w:rsid w:val="00643665"/>
    <w:rsid w:val="00643695"/>
    <w:rsid w:val="00643751"/>
    <w:rsid w:val="0064394F"/>
    <w:rsid w:val="00643A8D"/>
    <w:rsid w:val="00643C37"/>
    <w:rsid w:val="00643C93"/>
    <w:rsid w:val="00643D6F"/>
    <w:rsid w:val="00643DD5"/>
    <w:rsid w:val="00643EF9"/>
    <w:rsid w:val="00643F24"/>
    <w:rsid w:val="00643FF3"/>
    <w:rsid w:val="00644056"/>
    <w:rsid w:val="0064414F"/>
    <w:rsid w:val="00644192"/>
    <w:rsid w:val="006441E0"/>
    <w:rsid w:val="00644226"/>
    <w:rsid w:val="00644380"/>
    <w:rsid w:val="006443B3"/>
    <w:rsid w:val="00644420"/>
    <w:rsid w:val="0064451F"/>
    <w:rsid w:val="006445B8"/>
    <w:rsid w:val="006445F6"/>
    <w:rsid w:val="006446E0"/>
    <w:rsid w:val="006446FA"/>
    <w:rsid w:val="0064476C"/>
    <w:rsid w:val="006447C4"/>
    <w:rsid w:val="006447C9"/>
    <w:rsid w:val="00644852"/>
    <w:rsid w:val="00644902"/>
    <w:rsid w:val="00644930"/>
    <w:rsid w:val="006449D8"/>
    <w:rsid w:val="00644A2F"/>
    <w:rsid w:val="00644B66"/>
    <w:rsid w:val="00644C48"/>
    <w:rsid w:val="00644C96"/>
    <w:rsid w:val="00644DAF"/>
    <w:rsid w:val="00644E4C"/>
    <w:rsid w:val="00644E55"/>
    <w:rsid w:val="00644F50"/>
    <w:rsid w:val="00644F9B"/>
    <w:rsid w:val="00645000"/>
    <w:rsid w:val="006450E5"/>
    <w:rsid w:val="0064517B"/>
    <w:rsid w:val="006451B2"/>
    <w:rsid w:val="0064524C"/>
    <w:rsid w:val="00645260"/>
    <w:rsid w:val="006452DB"/>
    <w:rsid w:val="0064530B"/>
    <w:rsid w:val="00645326"/>
    <w:rsid w:val="00645379"/>
    <w:rsid w:val="0064539D"/>
    <w:rsid w:val="00645413"/>
    <w:rsid w:val="00645449"/>
    <w:rsid w:val="006454B3"/>
    <w:rsid w:val="0064556F"/>
    <w:rsid w:val="006455A4"/>
    <w:rsid w:val="006456EA"/>
    <w:rsid w:val="00645741"/>
    <w:rsid w:val="006457A9"/>
    <w:rsid w:val="006457E3"/>
    <w:rsid w:val="006457E7"/>
    <w:rsid w:val="006458CC"/>
    <w:rsid w:val="00645A49"/>
    <w:rsid w:val="00645A7B"/>
    <w:rsid w:val="00645AD1"/>
    <w:rsid w:val="00645B48"/>
    <w:rsid w:val="00645C38"/>
    <w:rsid w:val="00645E18"/>
    <w:rsid w:val="00646013"/>
    <w:rsid w:val="00646128"/>
    <w:rsid w:val="00646183"/>
    <w:rsid w:val="006461A7"/>
    <w:rsid w:val="006461E4"/>
    <w:rsid w:val="00646281"/>
    <w:rsid w:val="006464E7"/>
    <w:rsid w:val="0064653A"/>
    <w:rsid w:val="00646677"/>
    <w:rsid w:val="00646719"/>
    <w:rsid w:val="0064677E"/>
    <w:rsid w:val="006467B3"/>
    <w:rsid w:val="0064689D"/>
    <w:rsid w:val="006468E1"/>
    <w:rsid w:val="00646957"/>
    <w:rsid w:val="00646A21"/>
    <w:rsid w:val="00646A33"/>
    <w:rsid w:val="00646A42"/>
    <w:rsid w:val="00646B56"/>
    <w:rsid w:val="00646BC6"/>
    <w:rsid w:val="00646C1A"/>
    <w:rsid w:val="00646C34"/>
    <w:rsid w:val="00646D87"/>
    <w:rsid w:val="006470B4"/>
    <w:rsid w:val="006470C4"/>
    <w:rsid w:val="006471F3"/>
    <w:rsid w:val="0064725C"/>
    <w:rsid w:val="00647277"/>
    <w:rsid w:val="006473E3"/>
    <w:rsid w:val="0064740D"/>
    <w:rsid w:val="00647467"/>
    <w:rsid w:val="006474A7"/>
    <w:rsid w:val="00647691"/>
    <w:rsid w:val="0064769C"/>
    <w:rsid w:val="00647703"/>
    <w:rsid w:val="00647722"/>
    <w:rsid w:val="00647823"/>
    <w:rsid w:val="00647B2F"/>
    <w:rsid w:val="00647B76"/>
    <w:rsid w:val="00647C17"/>
    <w:rsid w:val="00647C77"/>
    <w:rsid w:val="00647C8F"/>
    <w:rsid w:val="00647D31"/>
    <w:rsid w:val="00647DA7"/>
    <w:rsid w:val="00647DF1"/>
    <w:rsid w:val="00647F05"/>
    <w:rsid w:val="00647F06"/>
    <w:rsid w:val="00647F26"/>
    <w:rsid w:val="00650015"/>
    <w:rsid w:val="0065008E"/>
    <w:rsid w:val="006500B7"/>
    <w:rsid w:val="006500D4"/>
    <w:rsid w:val="00650103"/>
    <w:rsid w:val="00650298"/>
    <w:rsid w:val="006503B5"/>
    <w:rsid w:val="00650490"/>
    <w:rsid w:val="0065060D"/>
    <w:rsid w:val="00650688"/>
    <w:rsid w:val="00650742"/>
    <w:rsid w:val="00650789"/>
    <w:rsid w:val="006507A0"/>
    <w:rsid w:val="006507AB"/>
    <w:rsid w:val="00650836"/>
    <w:rsid w:val="0065086B"/>
    <w:rsid w:val="006508BB"/>
    <w:rsid w:val="0065091D"/>
    <w:rsid w:val="00650921"/>
    <w:rsid w:val="0065099F"/>
    <w:rsid w:val="006509FE"/>
    <w:rsid w:val="00650A1A"/>
    <w:rsid w:val="00650B10"/>
    <w:rsid w:val="00650E40"/>
    <w:rsid w:val="00650E42"/>
    <w:rsid w:val="00650F61"/>
    <w:rsid w:val="00650F64"/>
    <w:rsid w:val="00650FD7"/>
    <w:rsid w:val="00651015"/>
    <w:rsid w:val="006510F3"/>
    <w:rsid w:val="00651322"/>
    <w:rsid w:val="00651324"/>
    <w:rsid w:val="00651333"/>
    <w:rsid w:val="00651355"/>
    <w:rsid w:val="00651384"/>
    <w:rsid w:val="00651388"/>
    <w:rsid w:val="006513FA"/>
    <w:rsid w:val="006514C2"/>
    <w:rsid w:val="00651503"/>
    <w:rsid w:val="00651563"/>
    <w:rsid w:val="0065178E"/>
    <w:rsid w:val="0065181D"/>
    <w:rsid w:val="00651974"/>
    <w:rsid w:val="0065198B"/>
    <w:rsid w:val="006519B0"/>
    <w:rsid w:val="006519E5"/>
    <w:rsid w:val="00651B65"/>
    <w:rsid w:val="00651C5C"/>
    <w:rsid w:val="00651CF0"/>
    <w:rsid w:val="00651CF5"/>
    <w:rsid w:val="00651DB2"/>
    <w:rsid w:val="00651EAF"/>
    <w:rsid w:val="00651EEC"/>
    <w:rsid w:val="00652018"/>
    <w:rsid w:val="00652020"/>
    <w:rsid w:val="00652057"/>
    <w:rsid w:val="00652080"/>
    <w:rsid w:val="0065216A"/>
    <w:rsid w:val="006521DC"/>
    <w:rsid w:val="006521F5"/>
    <w:rsid w:val="00652211"/>
    <w:rsid w:val="0065223A"/>
    <w:rsid w:val="0065238D"/>
    <w:rsid w:val="00652465"/>
    <w:rsid w:val="00652579"/>
    <w:rsid w:val="006525E5"/>
    <w:rsid w:val="00652644"/>
    <w:rsid w:val="0065276E"/>
    <w:rsid w:val="00652854"/>
    <w:rsid w:val="0065285B"/>
    <w:rsid w:val="006528ED"/>
    <w:rsid w:val="00652941"/>
    <w:rsid w:val="00652A88"/>
    <w:rsid w:val="00652ADB"/>
    <w:rsid w:val="00652B80"/>
    <w:rsid w:val="00652C04"/>
    <w:rsid w:val="00652C0D"/>
    <w:rsid w:val="00652CC9"/>
    <w:rsid w:val="00652D8D"/>
    <w:rsid w:val="00652DE4"/>
    <w:rsid w:val="00652DF6"/>
    <w:rsid w:val="00652F0F"/>
    <w:rsid w:val="00653186"/>
    <w:rsid w:val="00653259"/>
    <w:rsid w:val="0065334E"/>
    <w:rsid w:val="00653587"/>
    <w:rsid w:val="006535A9"/>
    <w:rsid w:val="006536FC"/>
    <w:rsid w:val="00653867"/>
    <w:rsid w:val="006538E1"/>
    <w:rsid w:val="0065392E"/>
    <w:rsid w:val="00653AC9"/>
    <w:rsid w:val="00653B45"/>
    <w:rsid w:val="00653B9E"/>
    <w:rsid w:val="00653FA9"/>
    <w:rsid w:val="006541E6"/>
    <w:rsid w:val="00654218"/>
    <w:rsid w:val="0065422F"/>
    <w:rsid w:val="00654248"/>
    <w:rsid w:val="006542A7"/>
    <w:rsid w:val="006542AC"/>
    <w:rsid w:val="006542B2"/>
    <w:rsid w:val="006542B4"/>
    <w:rsid w:val="006544C3"/>
    <w:rsid w:val="00654663"/>
    <w:rsid w:val="006546B9"/>
    <w:rsid w:val="006546CD"/>
    <w:rsid w:val="00654845"/>
    <w:rsid w:val="00654A6A"/>
    <w:rsid w:val="00654B64"/>
    <w:rsid w:val="00654C04"/>
    <w:rsid w:val="00654C2A"/>
    <w:rsid w:val="00654DAC"/>
    <w:rsid w:val="00654DC8"/>
    <w:rsid w:val="00654E4B"/>
    <w:rsid w:val="00654EBD"/>
    <w:rsid w:val="006551AA"/>
    <w:rsid w:val="00655279"/>
    <w:rsid w:val="00655413"/>
    <w:rsid w:val="00655568"/>
    <w:rsid w:val="006555E8"/>
    <w:rsid w:val="00655858"/>
    <w:rsid w:val="00655875"/>
    <w:rsid w:val="0065591B"/>
    <w:rsid w:val="006559EB"/>
    <w:rsid w:val="00655A13"/>
    <w:rsid w:val="00655A20"/>
    <w:rsid w:val="00655A82"/>
    <w:rsid w:val="00655BAC"/>
    <w:rsid w:val="00655BD6"/>
    <w:rsid w:val="00655BE6"/>
    <w:rsid w:val="00655C77"/>
    <w:rsid w:val="00655D7B"/>
    <w:rsid w:val="00655D93"/>
    <w:rsid w:val="00655EC2"/>
    <w:rsid w:val="00655EFD"/>
    <w:rsid w:val="00655F21"/>
    <w:rsid w:val="006560EE"/>
    <w:rsid w:val="0065620A"/>
    <w:rsid w:val="0065621B"/>
    <w:rsid w:val="0065624D"/>
    <w:rsid w:val="00656265"/>
    <w:rsid w:val="00656320"/>
    <w:rsid w:val="00656388"/>
    <w:rsid w:val="006564FD"/>
    <w:rsid w:val="006565B6"/>
    <w:rsid w:val="00656654"/>
    <w:rsid w:val="006566F6"/>
    <w:rsid w:val="0065685C"/>
    <w:rsid w:val="0065686A"/>
    <w:rsid w:val="0065686D"/>
    <w:rsid w:val="006568D4"/>
    <w:rsid w:val="006569BC"/>
    <w:rsid w:val="00656A69"/>
    <w:rsid w:val="00656B92"/>
    <w:rsid w:val="00656CBD"/>
    <w:rsid w:val="00656CC3"/>
    <w:rsid w:val="00656CCC"/>
    <w:rsid w:val="00656CD0"/>
    <w:rsid w:val="00656D04"/>
    <w:rsid w:val="00656D4B"/>
    <w:rsid w:val="00656E45"/>
    <w:rsid w:val="00656EA9"/>
    <w:rsid w:val="00656EE4"/>
    <w:rsid w:val="00656F26"/>
    <w:rsid w:val="00657097"/>
    <w:rsid w:val="00657115"/>
    <w:rsid w:val="00657146"/>
    <w:rsid w:val="00657193"/>
    <w:rsid w:val="00657267"/>
    <w:rsid w:val="006572D9"/>
    <w:rsid w:val="00657385"/>
    <w:rsid w:val="0065738D"/>
    <w:rsid w:val="006574DA"/>
    <w:rsid w:val="006574E5"/>
    <w:rsid w:val="0065755B"/>
    <w:rsid w:val="006576CA"/>
    <w:rsid w:val="006576D1"/>
    <w:rsid w:val="006577E9"/>
    <w:rsid w:val="00657840"/>
    <w:rsid w:val="00657883"/>
    <w:rsid w:val="006579B2"/>
    <w:rsid w:val="006579E9"/>
    <w:rsid w:val="00657AF1"/>
    <w:rsid w:val="00657B75"/>
    <w:rsid w:val="00657B7F"/>
    <w:rsid w:val="00657BF2"/>
    <w:rsid w:val="00657DC0"/>
    <w:rsid w:val="00657ECF"/>
    <w:rsid w:val="00657F26"/>
    <w:rsid w:val="00657F56"/>
    <w:rsid w:val="00657F76"/>
    <w:rsid w:val="0066014F"/>
    <w:rsid w:val="00660178"/>
    <w:rsid w:val="006601C2"/>
    <w:rsid w:val="006601F7"/>
    <w:rsid w:val="00660201"/>
    <w:rsid w:val="00660257"/>
    <w:rsid w:val="0066031D"/>
    <w:rsid w:val="00660365"/>
    <w:rsid w:val="00660393"/>
    <w:rsid w:val="00660405"/>
    <w:rsid w:val="0066049C"/>
    <w:rsid w:val="00660538"/>
    <w:rsid w:val="0066057E"/>
    <w:rsid w:val="006605D5"/>
    <w:rsid w:val="0066068F"/>
    <w:rsid w:val="0066069F"/>
    <w:rsid w:val="006606A6"/>
    <w:rsid w:val="006606BD"/>
    <w:rsid w:val="0066071A"/>
    <w:rsid w:val="0066073F"/>
    <w:rsid w:val="006607E6"/>
    <w:rsid w:val="006608DF"/>
    <w:rsid w:val="0066090C"/>
    <w:rsid w:val="0066095A"/>
    <w:rsid w:val="006609B6"/>
    <w:rsid w:val="00660A53"/>
    <w:rsid w:val="00660B24"/>
    <w:rsid w:val="00660B59"/>
    <w:rsid w:val="00660BD2"/>
    <w:rsid w:val="00660C82"/>
    <w:rsid w:val="00660D39"/>
    <w:rsid w:val="00660DA2"/>
    <w:rsid w:val="00660E60"/>
    <w:rsid w:val="00660F1B"/>
    <w:rsid w:val="0066107F"/>
    <w:rsid w:val="006613ED"/>
    <w:rsid w:val="0066153A"/>
    <w:rsid w:val="006615B7"/>
    <w:rsid w:val="006615F8"/>
    <w:rsid w:val="00661610"/>
    <w:rsid w:val="00661673"/>
    <w:rsid w:val="006616AD"/>
    <w:rsid w:val="006616BE"/>
    <w:rsid w:val="00661850"/>
    <w:rsid w:val="00661864"/>
    <w:rsid w:val="006619A2"/>
    <w:rsid w:val="00661B0F"/>
    <w:rsid w:val="00661C06"/>
    <w:rsid w:val="00661E74"/>
    <w:rsid w:val="00661F9C"/>
    <w:rsid w:val="006620D7"/>
    <w:rsid w:val="0066224C"/>
    <w:rsid w:val="00662290"/>
    <w:rsid w:val="006623A0"/>
    <w:rsid w:val="006623C4"/>
    <w:rsid w:val="006623C5"/>
    <w:rsid w:val="006624C5"/>
    <w:rsid w:val="006625B4"/>
    <w:rsid w:val="006626C3"/>
    <w:rsid w:val="006626D3"/>
    <w:rsid w:val="0066281C"/>
    <w:rsid w:val="0066296A"/>
    <w:rsid w:val="00662A14"/>
    <w:rsid w:val="00662AF9"/>
    <w:rsid w:val="00662BBF"/>
    <w:rsid w:val="00662BCB"/>
    <w:rsid w:val="00662BF9"/>
    <w:rsid w:val="00662C0A"/>
    <w:rsid w:val="00662C63"/>
    <w:rsid w:val="00662D2E"/>
    <w:rsid w:val="00662E08"/>
    <w:rsid w:val="00662E5A"/>
    <w:rsid w:val="0066307B"/>
    <w:rsid w:val="006630C7"/>
    <w:rsid w:val="006630FD"/>
    <w:rsid w:val="00663203"/>
    <w:rsid w:val="006632B8"/>
    <w:rsid w:val="006632DA"/>
    <w:rsid w:val="0066332F"/>
    <w:rsid w:val="00663358"/>
    <w:rsid w:val="0066338B"/>
    <w:rsid w:val="00663470"/>
    <w:rsid w:val="006634C9"/>
    <w:rsid w:val="00663532"/>
    <w:rsid w:val="006635A9"/>
    <w:rsid w:val="00663633"/>
    <w:rsid w:val="0066372C"/>
    <w:rsid w:val="00663776"/>
    <w:rsid w:val="006637F0"/>
    <w:rsid w:val="00663854"/>
    <w:rsid w:val="00663899"/>
    <w:rsid w:val="006638BA"/>
    <w:rsid w:val="0066391F"/>
    <w:rsid w:val="00663946"/>
    <w:rsid w:val="00663B99"/>
    <w:rsid w:val="00663B9D"/>
    <w:rsid w:val="00663D02"/>
    <w:rsid w:val="006641E7"/>
    <w:rsid w:val="006641EC"/>
    <w:rsid w:val="00664221"/>
    <w:rsid w:val="00664263"/>
    <w:rsid w:val="00664276"/>
    <w:rsid w:val="00664421"/>
    <w:rsid w:val="00664467"/>
    <w:rsid w:val="00664492"/>
    <w:rsid w:val="006644ED"/>
    <w:rsid w:val="00664585"/>
    <w:rsid w:val="0066466D"/>
    <w:rsid w:val="0066468F"/>
    <w:rsid w:val="0066477E"/>
    <w:rsid w:val="006647BD"/>
    <w:rsid w:val="00664868"/>
    <w:rsid w:val="00664935"/>
    <w:rsid w:val="006649B6"/>
    <w:rsid w:val="00664A08"/>
    <w:rsid w:val="00664ADD"/>
    <w:rsid w:val="00664B1E"/>
    <w:rsid w:val="00664D3D"/>
    <w:rsid w:val="00664E25"/>
    <w:rsid w:val="00664EE9"/>
    <w:rsid w:val="00664EF3"/>
    <w:rsid w:val="00664F25"/>
    <w:rsid w:val="00664F87"/>
    <w:rsid w:val="00665011"/>
    <w:rsid w:val="00665169"/>
    <w:rsid w:val="00665190"/>
    <w:rsid w:val="006651F1"/>
    <w:rsid w:val="00665296"/>
    <w:rsid w:val="006652A7"/>
    <w:rsid w:val="006652E8"/>
    <w:rsid w:val="0066547F"/>
    <w:rsid w:val="00665639"/>
    <w:rsid w:val="0066571A"/>
    <w:rsid w:val="0066579D"/>
    <w:rsid w:val="006657CB"/>
    <w:rsid w:val="006657FB"/>
    <w:rsid w:val="00665923"/>
    <w:rsid w:val="00665942"/>
    <w:rsid w:val="0066599B"/>
    <w:rsid w:val="00665A88"/>
    <w:rsid w:val="00665AAA"/>
    <w:rsid w:val="00665B4C"/>
    <w:rsid w:val="00665BCE"/>
    <w:rsid w:val="00665C56"/>
    <w:rsid w:val="00665C9F"/>
    <w:rsid w:val="00665CD0"/>
    <w:rsid w:val="00665E11"/>
    <w:rsid w:val="00665E1D"/>
    <w:rsid w:val="00665E6F"/>
    <w:rsid w:val="00665ECE"/>
    <w:rsid w:val="00665ED0"/>
    <w:rsid w:val="00665FB0"/>
    <w:rsid w:val="00666152"/>
    <w:rsid w:val="0066617D"/>
    <w:rsid w:val="0066639A"/>
    <w:rsid w:val="006663A6"/>
    <w:rsid w:val="006664A2"/>
    <w:rsid w:val="0066650E"/>
    <w:rsid w:val="006666CC"/>
    <w:rsid w:val="0066672C"/>
    <w:rsid w:val="00666741"/>
    <w:rsid w:val="00666807"/>
    <w:rsid w:val="00666810"/>
    <w:rsid w:val="00666838"/>
    <w:rsid w:val="006668BE"/>
    <w:rsid w:val="006668CC"/>
    <w:rsid w:val="006669FE"/>
    <w:rsid w:val="00666B02"/>
    <w:rsid w:val="00666B47"/>
    <w:rsid w:val="00666B55"/>
    <w:rsid w:val="00666CF7"/>
    <w:rsid w:val="00666D59"/>
    <w:rsid w:val="00666DAD"/>
    <w:rsid w:val="00666ED8"/>
    <w:rsid w:val="00666EF6"/>
    <w:rsid w:val="00666F7B"/>
    <w:rsid w:val="0066702A"/>
    <w:rsid w:val="00667060"/>
    <w:rsid w:val="006670EA"/>
    <w:rsid w:val="00667131"/>
    <w:rsid w:val="0066719F"/>
    <w:rsid w:val="006671A4"/>
    <w:rsid w:val="00667262"/>
    <w:rsid w:val="0066727C"/>
    <w:rsid w:val="00667292"/>
    <w:rsid w:val="00667320"/>
    <w:rsid w:val="00667407"/>
    <w:rsid w:val="00667415"/>
    <w:rsid w:val="006674A8"/>
    <w:rsid w:val="00667577"/>
    <w:rsid w:val="00667582"/>
    <w:rsid w:val="00667601"/>
    <w:rsid w:val="006676B6"/>
    <w:rsid w:val="006676EB"/>
    <w:rsid w:val="00667786"/>
    <w:rsid w:val="00667A21"/>
    <w:rsid w:val="00667B1F"/>
    <w:rsid w:val="00667B77"/>
    <w:rsid w:val="00667C44"/>
    <w:rsid w:val="00667DA5"/>
    <w:rsid w:val="00667DE1"/>
    <w:rsid w:val="00667E3F"/>
    <w:rsid w:val="00667F41"/>
    <w:rsid w:val="00667F85"/>
    <w:rsid w:val="00670034"/>
    <w:rsid w:val="006700D2"/>
    <w:rsid w:val="0067025F"/>
    <w:rsid w:val="00670369"/>
    <w:rsid w:val="00670373"/>
    <w:rsid w:val="0067049A"/>
    <w:rsid w:val="006704BC"/>
    <w:rsid w:val="0067052A"/>
    <w:rsid w:val="00670597"/>
    <w:rsid w:val="006706B5"/>
    <w:rsid w:val="006706E2"/>
    <w:rsid w:val="0067070C"/>
    <w:rsid w:val="0067070E"/>
    <w:rsid w:val="00670989"/>
    <w:rsid w:val="00670993"/>
    <w:rsid w:val="00670B32"/>
    <w:rsid w:val="00670C0C"/>
    <w:rsid w:val="00670CA4"/>
    <w:rsid w:val="00670CAA"/>
    <w:rsid w:val="00670CEA"/>
    <w:rsid w:val="00670D97"/>
    <w:rsid w:val="00670E15"/>
    <w:rsid w:val="00670E8D"/>
    <w:rsid w:val="00670EA7"/>
    <w:rsid w:val="00670F28"/>
    <w:rsid w:val="006710EE"/>
    <w:rsid w:val="00671201"/>
    <w:rsid w:val="006712C2"/>
    <w:rsid w:val="0067138E"/>
    <w:rsid w:val="00671493"/>
    <w:rsid w:val="006715EB"/>
    <w:rsid w:val="0067160D"/>
    <w:rsid w:val="00671681"/>
    <w:rsid w:val="006716CB"/>
    <w:rsid w:val="00671895"/>
    <w:rsid w:val="0067190F"/>
    <w:rsid w:val="00671AC6"/>
    <w:rsid w:val="00671B7E"/>
    <w:rsid w:val="00671BB7"/>
    <w:rsid w:val="00671D13"/>
    <w:rsid w:val="00671D27"/>
    <w:rsid w:val="00671E53"/>
    <w:rsid w:val="006721D2"/>
    <w:rsid w:val="0067221D"/>
    <w:rsid w:val="0067231D"/>
    <w:rsid w:val="00672480"/>
    <w:rsid w:val="00672481"/>
    <w:rsid w:val="006724BD"/>
    <w:rsid w:val="006724F5"/>
    <w:rsid w:val="006724F6"/>
    <w:rsid w:val="0067256D"/>
    <w:rsid w:val="006725CA"/>
    <w:rsid w:val="00672710"/>
    <w:rsid w:val="00672845"/>
    <w:rsid w:val="006728A8"/>
    <w:rsid w:val="006728B4"/>
    <w:rsid w:val="006728C1"/>
    <w:rsid w:val="0067299A"/>
    <w:rsid w:val="00672AB7"/>
    <w:rsid w:val="00672B07"/>
    <w:rsid w:val="00672B3F"/>
    <w:rsid w:val="00672B61"/>
    <w:rsid w:val="00672B9D"/>
    <w:rsid w:val="00672BF3"/>
    <w:rsid w:val="00672C15"/>
    <w:rsid w:val="00672CB3"/>
    <w:rsid w:val="00672CBB"/>
    <w:rsid w:val="00672D68"/>
    <w:rsid w:val="00672F29"/>
    <w:rsid w:val="00672F6E"/>
    <w:rsid w:val="0067302C"/>
    <w:rsid w:val="006730B3"/>
    <w:rsid w:val="0067314B"/>
    <w:rsid w:val="00673179"/>
    <w:rsid w:val="006732A4"/>
    <w:rsid w:val="006732F5"/>
    <w:rsid w:val="0067330F"/>
    <w:rsid w:val="0067334E"/>
    <w:rsid w:val="00673433"/>
    <w:rsid w:val="006734A2"/>
    <w:rsid w:val="006734C3"/>
    <w:rsid w:val="006734E4"/>
    <w:rsid w:val="0067359C"/>
    <w:rsid w:val="006735BE"/>
    <w:rsid w:val="0067360A"/>
    <w:rsid w:val="00673708"/>
    <w:rsid w:val="0067370F"/>
    <w:rsid w:val="006737DE"/>
    <w:rsid w:val="0067380C"/>
    <w:rsid w:val="00673921"/>
    <w:rsid w:val="00673A75"/>
    <w:rsid w:val="00673AB5"/>
    <w:rsid w:val="00673B25"/>
    <w:rsid w:val="00673BD8"/>
    <w:rsid w:val="00673BFB"/>
    <w:rsid w:val="00673C4F"/>
    <w:rsid w:val="00673CFA"/>
    <w:rsid w:val="00673DF9"/>
    <w:rsid w:val="00673E2D"/>
    <w:rsid w:val="00673E7F"/>
    <w:rsid w:val="00673F0F"/>
    <w:rsid w:val="00673FE8"/>
    <w:rsid w:val="00674039"/>
    <w:rsid w:val="006740A4"/>
    <w:rsid w:val="006740A8"/>
    <w:rsid w:val="006741BC"/>
    <w:rsid w:val="006742AD"/>
    <w:rsid w:val="006744F7"/>
    <w:rsid w:val="00674663"/>
    <w:rsid w:val="0067470A"/>
    <w:rsid w:val="00674722"/>
    <w:rsid w:val="006747AF"/>
    <w:rsid w:val="006747CD"/>
    <w:rsid w:val="0067482E"/>
    <w:rsid w:val="0067484D"/>
    <w:rsid w:val="00674913"/>
    <w:rsid w:val="006749C9"/>
    <w:rsid w:val="00674AC5"/>
    <w:rsid w:val="00674CE9"/>
    <w:rsid w:val="00674D15"/>
    <w:rsid w:val="00674DA3"/>
    <w:rsid w:val="00674F86"/>
    <w:rsid w:val="00674FF3"/>
    <w:rsid w:val="0067504B"/>
    <w:rsid w:val="00675299"/>
    <w:rsid w:val="006752EF"/>
    <w:rsid w:val="006752F6"/>
    <w:rsid w:val="006753B6"/>
    <w:rsid w:val="006753D6"/>
    <w:rsid w:val="0067542B"/>
    <w:rsid w:val="006754CC"/>
    <w:rsid w:val="006754CF"/>
    <w:rsid w:val="00675593"/>
    <w:rsid w:val="006755B2"/>
    <w:rsid w:val="00675668"/>
    <w:rsid w:val="00675796"/>
    <w:rsid w:val="006759A3"/>
    <w:rsid w:val="006759BD"/>
    <w:rsid w:val="00675A01"/>
    <w:rsid w:val="00675B85"/>
    <w:rsid w:val="00675BAE"/>
    <w:rsid w:val="00675BB8"/>
    <w:rsid w:val="00675CE5"/>
    <w:rsid w:val="00675CF8"/>
    <w:rsid w:val="00675F38"/>
    <w:rsid w:val="00676048"/>
    <w:rsid w:val="006760F1"/>
    <w:rsid w:val="0067610B"/>
    <w:rsid w:val="006761DA"/>
    <w:rsid w:val="00676207"/>
    <w:rsid w:val="0067625F"/>
    <w:rsid w:val="0067627D"/>
    <w:rsid w:val="0067630D"/>
    <w:rsid w:val="00676382"/>
    <w:rsid w:val="006763D1"/>
    <w:rsid w:val="00676468"/>
    <w:rsid w:val="0067646D"/>
    <w:rsid w:val="0067647A"/>
    <w:rsid w:val="006764D8"/>
    <w:rsid w:val="006764EA"/>
    <w:rsid w:val="006765E7"/>
    <w:rsid w:val="00676649"/>
    <w:rsid w:val="006766E2"/>
    <w:rsid w:val="006767C4"/>
    <w:rsid w:val="0067687B"/>
    <w:rsid w:val="006768AF"/>
    <w:rsid w:val="00676A7E"/>
    <w:rsid w:val="00676B0D"/>
    <w:rsid w:val="00676D2A"/>
    <w:rsid w:val="00676DA8"/>
    <w:rsid w:val="00676E24"/>
    <w:rsid w:val="00676E3A"/>
    <w:rsid w:val="0067700A"/>
    <w:rsid w:val="00677016"/>
    <w:rsid w:val="00677046"/>
    <w:rsid w:val="0067722F"/>
    <w:rsid w:val="00677279"/>
    <w:rsid w:val="00677502"/>
    <w:rsid w:val="00677619"/>
    <w:rsid w:val="006777F3"/>
    <w:rsid w:val="0067789B"/>
    <w:rsid w:val="00677949"/>
    <w:rsid w:val="00677995"/>
    <w:rsid w:val="00677A5A"/>
    <w:rsid w:val="00677ACC"/>
    <w:rsid w:val="00677B01"/>
    <w:rsid w:val="00677B2C"/>
    <w:rsid w:val="00677B5C"/>
    <w:rsid w:val="00677B77"/>
    <w:rsid w:val="00677BB3"/>
    <w:rsid w:val="00677BF3"/>
    <w:rsid w:val="00677C36"/>
    <w:rsid w:val="00677C50"/>
    <w:rsid w:val="00677D03"/>
    <w:rsid w:val="00677E08"/>
    <w:rsid w:val="00677E8D"/>
    <w:rsid w:val="00677F83"/>
    <w:rsid w:val="00677FC2"/>
    <w:rsid w:val="00680047"/>
    <w:rsid w:val="006800C1"/>
    <w:rsid w:val="00680100"/>
    <w:rsid w:val="00680149"/>
    <w:rsid w:val="006801BB"/>
    <w:rsid w:val="0068020C"/>
    <w:rsid w:val="00680274"/>
    <w:rsid w:val="0068027A"/>
    <w:rsid w:val="0068027D"/>
    <w:rsid w:val="006802F1"/>
    <w:rsid w:val="006803A6"/>
    <w:rsid w:val="00680524"/>
    <w:rsid w:val="006805A2"/>
    <w:rsid w:val="006805B2"/>
    <w:rsid w:val="00680760"/>
    <w:rsid w:val="0068081B"/>
    <w:rsid w:val="006808DB"/>
    <w:rsid w:val="006809BF"/>
    <w:rsid w:val="00680AF7"/>
    <w:rsid w:val="00680C13"/>
    <w:rsid w:val="00680CCA"/>
    <w:rsid w:val="00680D52"/>
    <w:rsid w:val="00680DC3"/>
    <w:rsid w:val="0068103B"/>
    <w:rsid w:val="006811DC"/>
    <w:rsid w:val="00681206"/>
    <w:rsid w:val="0068121D"/>
    <w:rsid w:val="006812CA"/>
    <w:rsid w:val="006813AB"/>
    <w:rsid w:val="006813E2"/>
    <w:rsid w:val="006814CB"/>
    <w:rsid w:val="0068151B"/>
    <w:rsid w:val="0068165E"/>
    <w:rsid w:val="006816A6"/>
    <w:rsid w:val="006817FD"/>
    <w:rsid w:val="00681999"/>
    <w:rsid w:val="006819AA"/>
    <w:rsid w:val="00681A8B"/>
    <w:rsid w:val="00681C2C"/>
    <w:rsid w:val="00681C36"/>
    <w:rsid w:val="00681C9C"/>
    <w:rsid w:val="00681E41"/>
    <w:rsid w:val="00681FBD"/>
    <w:rsid w:val="00682230"/>
    <w:rsid w:val="00682302"/>
    <w:rsid w:val="0068230F"/>
    <w:rsid w:val="006823C4"/>
    <w:rsid w:val="00682414"/>
    <w:rsid w:val="00682464"/>
    <w:rsid w:val="00682503"/>
    <w:rsid w:val="006825D5"/>
    <w:rsid w:val="00682778"/>
    <w:rsid w:val="006827CC"/>
    <w:rsid w:val="00682997"/>
    <w:rsid w:val="006829D9"/>
    <w:rsid w:val="00682A1D"/>
    <w:rsid w:val="00682B01"/>
    <w:rsid w:val="00682B9F"/>
    <w:rsid w:val="00682E66"/>
    <w:rsid w:val="0068317F"/>
    <w:rsid w:val="006831A5"/>
    <w:rsid w:val="0068336D"/>
    <w:rsid w:val="006833E3"/>
    <w:rsid w:val="00683438"/>
    <w:rsid w:val="00683492"/>
    <w:rsid w:val="00683547"/>
    <w:rsid w:val="00683548"/>
    <w:rsid w:val="006835B0"/>
    <w:rsid w:val="006835E4"/>
    <w:rsid w:val="00683604"/>
    <w:rsid w:val="0068362B"/>
    <w:rsid w:val="00683645"/>
    <w:rsid w:val="006837C6"/>
    <w:rsid w:val="0068389D"/>
    <w:rsid w:val="006838F5"/>
    <w:rsid w:val="0068394C"/>
    <w:rsid w:val="00683A4E"/>
    <w:rsid w:val="00683ADE"/>
    <w:rsid w:val="00683B1B"/>
    <w:rsid w:val="00683BEE"/>
    <w:rsid w:val="00683C3C"/>
    <w:rsid w:val="00683CA1"/>
    <w:rsid w:val="00683CF7"/>
    <w:rsid w:val="006842E5"/>
    <w:rsid w:val="00684725"/>
    <w:rsid w:val="0068475D"/>
    <w:rsid w:val="00684766"/>
    <w:rsid w:val="0068479B"/>
    <w:rsid w:val="006847C6"/>
    <w:rsid w:val="00684803"/>
    <w:rsid w:val="00684968"/>
    <w:rsid w:val="00684998"/>
    <w:rsid w:val="00684A21"/>
    <w:rsid w:val="00684B19"/>
    <w:rsid w:val="00684B68"/>
    <w:rsid w:val="00684C9A"/>
    <w:rsid w:val="00684D70"/>
    <w:rsid w:val="00684D92"/>
    <w:rsid w:val="00684D99"/>
    <w:rsid w:val="00684E44"/>
    <w:rsid w:val="00684F62"/>
    <w:rsid w:val="00684FB9"/>
    <w:rsid w:val="00684FC9"/>
    <w:rsid w:val="006850CA"/>
    <w:rsid w:val="006850CD"/>
    <w:rsid w:val="006850D1"/>
    <w:rsid w:val="006850EB"/>
    <w:rsid w:val="00685373"/>
    <w:rsid w:val="00685415"/>
    <w:rsid w:val="00685445"/>
    <w:rsid w:val="00685515"/>
    <w:rsid w:val="00685560"/>
    <w:rsid w:val="006855E2"/>
    <w:rsid w:val="0068560B"/>
    <w:rsid w:val="0068569C"/>
    <w:rsid w:val="006856BF"/>
    <w:rsid w:val="00685823"/>
    <w:rsid w:val="00685881"/>
    <w:rsid w:val="00685883"/>
    <w:rsid w:val="00685907"/>
    <w:rsid w:val="00685B2A"/>
    <w:rsid w:val="00685B2B"/>
    <w:rsid w:val="00685B9F"/>
    <w:rsid w:val="00685BC7"/>
    <w:rsid w:val="00685C08"/>
    <w:rsid w:val="00685CAE"/>
    <w:rsid w:val="00685D0F"/>
    <w:rsid w:val="00685DB1"/>
    <w:rsid w:val="00685DC6"/>
    <w:rsid w:val="00685E1A"/>
    <w:rsid w:val="00685EAB"/>
    <w:rsid w:val="00685EC2"/>
    <w:rsid w:val="00685EE2"/>
    <w:rsid w:val="00686131"/>
    <w:rsid w:val="00686292"/>
    <w:rsid w:val="006862EC"/>
    <w:rsid w:val="006863C4"/>
    <w:rsid w:val="006863D6"/>
    <w:rsid w:val="006863D7"/>
    <w:rsid w:val="00686491"/>
    <w:rsid w:val="00686625"/>
    <w:rsid w:val="00686628"/>
    <w:rsid w:val="00686685"/>
    <w:rsid w:val="0068678A"/>
    <w:rsid w:val="00686798"/>
    <w:rsid w:val="0068683F"/>
    <w:rsid w:val="006868BB"/>
    <w:rsid w:val="0068698C"/>
    <w:rsid w:val="006869D3"/>
    <w:rsid w:val="00686A6C"/>
    <w:rsid w:val="00686AEC"/>
    <w:rsid w:val="00686B5B"/>
    <w:rsid w:val="00686B74"/>
    <w:rsid w:val="00686BDF"/>
    <w:rsid w:val="00686C4F"/>
    <w:rsid w:val="00686D01"/>
    <w:rsid w:val="00686DCD"/>
    <w:rsid w:val="00686E1A"/>
    <w:rsid w:val="00686E3E"/>
    <w:rsid w:val="00686EBB"/>
    <w:rsid w:val="00686F6B"/>
    <w:rsid w:val="00686F8D"/>
    <w:rsid w:val="00686FBA"/>
    <w:rsid w:val="00686FE1"/>
    <w:rsid w:val="00686FFB"/>
    <w:rsid w:val="00687087"/>
    <w:rsid w:val="0068708D"/>
    <w:rsid w:val="006870AB"/>
    <w:rsid w:val="00687133"/>
    <w:rsid w:val="006874C1"/>
    <w:rsid w:val="0068751B"/>
    <w:rsid w:val="0068754B"/>
    <w:rsid w:val="0068755F"/>
    <w:rsid w:val="00687608"/>
    <w:rsid w:val="00687668"/>
    <w:rsid w:val="0068769B"/>
    <w:rsid w:val="00687729"/>
    <w:rsid w:val="00687751"/>
    <w:rsid w:val="0068791E"/>
    <w:rsid w:val="00687A36"/>
    <w:rsid w:val="00687A57"/>
    <w:rsid w:val="00687A6C"/>
    <w:rsid w:val="00687BC9"/>
    <w:rsid w:val="00687CD2"/>
    <w:rsid w:val="00687DDA"/>
    <w:rsid w:val="00687DEB"/>
    <w:rsid w:val="00687E87"/>
    <w:rsid w:val="00687F6A"/>
    <w:rsid w:val="00687FF6"/>
    <w:rsid w:val="00690079"/>
    <w:rsid w:val="00690140"/>
    <w:rsid w:val="0069016A"/>
    <w:rsid w:val="006903A2"/>
    <w:rsid w:val="00690434"/>
    <w:rsid w:val="006904A4"/>
    <w:rsid w:val="0069057C"/>
    <w:rsid w:val="00690813"/>
    <w:rsid w:val="00690879"/>
    <w:rsid w:val="006909C8"/>
    <w:rsid w:val="006909D9"/>
    <w:rsid w:val="006909EB"/>
    <w:rsid w:val="00690B00"/>
    <w:rsid w:val="00690B26"/>
    <w:rsid w:val="00690B6C"/>
    <w:rsid w:val="00690C12"/>
    <w:rsid w:val="00690C63"/>
    <w:rsid w:val="00690C86"/>
    <w:rsid w:val="00690CFC"/>
    <w:rsid w:val="00690E3B"/>
    <w:rsid w:val="00690E5D"/>
    <w:rsid w:val="00690E73"/>
    <w:rsid w:val="00691017"/>
    <w:rsid w:val="0069103C"/>
    <w:rsid w:val="006910A8"/>
    <w:rsid w:val="0069116D"/>
    <w:rsid w:val="00691191"/>
    <w:rsid w:val="006911AD"/>
    <w:rsid w:val="006911EB"/>
    <w:rsid w:val="00691430"/>
    <w:rsid w:val="00691524"/>
    <w:rsid w:val="0069160A"/>
    <w:rsid w:val="006916BB"/>
    <w:rsid w:val="006916C3"/>
    <w:rsid w:val="006918E5"/>
    <w:rsid w:val="00691911"/>
    <w:rsid w:val="006919DF"/>
    <w:rsid w:val="00691A27"/>
    <w:rsid w:val="00691BA2"/>
    <w:rsid w:val="00691BD4"/>
    <w:rsid w:val="00691BDD"/>
    <w:rsid w:val="00691C1A"/>
    <w:rsid w:val="00691CE0"/>
    <w:rsid w:val="00691E8C"/>
    <w:rsid w:val="00691E95"/>
    <w:rsid w:val="00691F5D"/>
    <w:rsid w:val="00691F78"/>
    <w:rsid w:val="006920FB"/>
    <w:rsid w:val="006921DC"/>
    <w:rsid w:val="0069231B"/>
    <w:rsid w:val="0069231F"/>
    <w:rsid w:val="0069233B"/>
    <w:rsid w:val="006923E7"/>
    <w:rsid w:val="0069240B"/>
    <w:rsid w:val="006927F6"/>
    <w:rsid w:val="00692817"/>
    <w:rsid w:val="0069291C"/>
    <w:rsid w:val="00692922"/>
    <w:rsid w:val="0069294B"/>
    <w:rsid w:val="00692965"/>
    <w:rsid w:val="0069297A"/>
    <w:rsid w:val="00692A87"/>
    <w:rsid w:val="00692C02"/>
    <w:rsid w:val="00692CEC"/>
    <w:rsid w:val="00692DC6"/>
    <w:rsid w:val="00692E48"/>
    <w:rsid w:val="00692E92"/>
    <w:rsid w:val="00692F2B"/>
    <w:rsid w:val="0069321F"/>
    <w:rsid w:val="00693343"/>
    <w:rsid w:val="00693513"/>
    <w:rsid w:val="0069353D"/>
    <w:rsid w:val="006935C1"/>
    <w:rsid w:val="00693650"/>
    <w:rsid w:val="0069365A"/>
    <w:rsid w:val="00693660"/>
    <w:rsid w:val="0069382A"/>
    <w:rsid w:val="006939D7"/>
    <w:rsid w:val="00693A0C"/>
    <w:rsid w:val="00693A3B"/>
    <w:rsid w:val="00693C9B"/>
    <w:rsid w:val="00693E8B"/>
    <w:rsid w:val="00693EAA"/>
    <w:rsid w:val="00693F14"/>
    <w:rsid w:val="00693F21"/>
    <w:rsid w:val="00693F43"/>
    <w:rsid w:val="00693F6F"/>
    <w:rsid w:val="00693FF4"/>
    <w:rsid w:val="00694021"/>
    <w:rsid w:val="00694190"/>
    <w:rsid w:val="0069423A"/>
    <w:rsid w:val="006946DD"/>
    <w:rsid w:val="0069472D"/>
    <w:rsid w:val="00694740"/>
    <w:rsid w:val="00694780"/>
    <w:rsid w:val="0069482E"/>
    <w:rsid w:val="00694856"/>
    <w:rsid w:val="006948A3"/>
    <w:rsid w:val="006948A7"/>
    <w:rsid w:val="0069492C"/>
    <w:rsid w:val="006949AC"/>
    <w:rsid w:val="006949B5"/>
    <w:rsid w:val="00694A1F"/>
    <w:rsid w:val="00694A6D"/>
    <w:rsid w:val="00694B58"/>
    <w:rsid w:val="00694CF7"/>
    <w:rsid w:val="00694D4F"/>
    <w:rsid w:val="00694DF8"/>
    <w:rsid w:val="00694FBC"/>
    <w:rsid w:val="00694FBF"/>
    <w:rsid w:val="00695120"/>
    <w:rsid w:val="00695132"/>
    <w:rsid w:val="0069519C"/>
    <w:rsid w:val="00695232"/>
    <w:rsid w:val="006952BB"/>
    <w:rsid w:val="006952FB"/>
    <w:rsid w:val="006952FF"/>
    <w:rsid w:val="006953C1"/>
    <w:rsid w:val="006953CB"/>
    <w:rsid w:val="006955F5"/>
    <w:rsid w:val="0069565F"/>
    <w:rsid w:val="006956FE"/>
    <w:rsid w:val="0069570C"/>
    <w:rsid w:val="00695772"/>
    <w:rsid w:val="006959F6"/>
    <w:rsid w:val="00695A16"/>
    <w:rsid w:val="00695BDB"/>
    <w:rsid w:val="00695C1C"/>
    <w:rsid w:val="00695CDF"/>
    <w:rsid w:val="00695D4D"/>
    <w:rsid w:val="00695D7E"/>
    <w:rsid w:val="00696085"/>
    <w:rsid w:val="006960CA"/>
    <w:rsid w:val="006962B6"/>
    <w:rsid w:val="00696313"/>
    <w:rsid w:val="00696326"/>
    <w:rsid w:val="00696366"/>
    <w:rsid w:val="0069638E"/>
    <w:rsid w:val="006963AF"/>
    <w:rsid w:val="006964CB"/>
    <w:rsid w:val="00696632"/>
    <w:rsid w:val="006966E1"/>
    <w:rsid w:val="006968BB"/>
    <w:rsid w:val="006968CA"/>
    <w:rsid w:val="006969C2"/>
    <w:rsid w:val="00696A2C"/>
    <w:rsid w:val="00696A35"/>
    <w:rsid w:val="00696CF6"/>
    <w:rsid w:val="00696DDD"/>
    <w:rsid w:val="00696F08"/>
    <w:rsid w:val="00696FA5"/>
    <w:rsid w:val="00696FCB"/>
    <w:rsid w:val="00697109"/>
    <w:rsid w:val="00697111"/>
    <w:rsid w:val="00697277"/>
    <w:rsid w:val="00697311"/>
    <w:rsid w:val="0069734A"/>
    <w:rsid w:val="006973BE"/>
    <w:rsid w:val="006973F8"/>
    <w:rsid w:val="00697441"/>
    <w:rsid w:val="00697528"/>
    <w:rsid w:val="00697529"/>
    <w:rsid w:val="00697635"/>
    <w:rsid w:val="006976C5"/>
    <w:rsid w:val="00697704"/>
    <w:rsid w:val="0069777E"/>
    <w:rsid w:val="006977AF"/>
    <w:rsid w:val="0069784F"/>
    <w:rsid w:val="00697AB1"/>
    <w:rsid w:val="00697B11"/>
    <w:rsid w:val="00697B62"/>
    <w:rsid w:val="00697C02"/>
    <w:rsid w:val="00697C42"/>
    <w:rsid w:val="00697C89"/>
    <w:rsid w:val="00697E52"/>
    <w:rsid w:val="00697EA4"/>
    <w:rsid w:val="00697F7C"/>
    <w:rsid w:val="006A017C"/>
    <w:rsid w:val="006A0230"/>
    <w:rsid w:val="006A02ED"/>
    <w:rsid w:val="006A034A"/>
    <w:rsid w:val="006A038F"/>
    <w:rsid w:val="006A0445"/>
    <w:rsid w:val="006A0600"/>
    <w:rsid w:val="006A07CD"/>
    <w:rsid w:val="006A0834"/>
    <w:rsid w:val="006A0838"/>
    <w:rsid w:val="006A08BA"/>
    <w:rsid w:val="006A08BE"/>
    <w:rsid w:val="006A09F7"/>
    <w:rsid w:val="006A0B41"/>
    <w:rsid w:val="006A0B5E"/>
    <w:rsid w:val="006A0B8F"/>
    <w:rsid w:val="006A0C09"/>
    <w:rsid w:val="006A0D45"/>
    <w:rsid w:val="006A0D5D"/>
    <w:rsid w:val="006A0DF2"/>
    <w:rsid w:val="006A0E3C"/>
    <w:rsid w:val="006A0F3F"/>
    <w:rsid w:val="006A104C"/>
    <w:rsid w:val="006A1139"/>
    <w:rsid w:val="006A11EC"/>
    <w:rsid w:val="006A120D"/>
    <w:rsid w:val="006A12B8"/>
    <w:rsid w:val="006A12FB"/>
    <w:rsid w:val="006A1314"/>
    <w:rsid w:val="006A1357"/>
    <w:rsid w:val="006A1421"/>
    <w:rsid w:val="006A1471"/>
    <w:rsid w:val="006A1483"/>
    <w:rsid w:val="006A156F"/>
    <w:rsid w:val="006A15C5"/>
    <w:rsid w:val="006A164C"/>
    <w:rsid w:val="006A16A2"/>
    <w:rsid w:val="006A1733"/>
    <w:rsid w:val="006A177F"/>
    <w:rsid w:val="006A17ED"/>
    <w:rsid w:val="006A1867"/>
    <w:rsid w:val="006A18A0"/>
    <w:rsid w:val="006A18A1"/>
    <w:rsid w:val="006A18B5"/>
    <w:rsid w:val="006A19A1"/>
    <w:rsid w:val="006A19E7"/>
    <w:rsid w:val="006A1A4D"/>
    <w:rsid w:val="006A1A9D"/>
    <w:rsid w:val="006A1B47"/>
    <w:rsid w:val="006A1CB1"/>
    <w:rsid w:val="006A1CD5"/>
    <w:rsid w:val="006A1E58"/>
    <w:rsid w:val="006A1E6A"/>
    <w:rsid w:val="006A1EC8"/>
    <w:rsid w:val="006A1EF7"/>
    <w:rsid w:val="006A1FAB"/>
    <w:rsid w:val="006A1FE0"/>
    <w:rsid w:val="006A2084"/>
    <w:rsid w:val="006A217E"/>
    <w:rsid w:val="006A21F5"/>
    <w:rsid w:val="006A221B"/>
    <w:rsid w:val="006A2370"/>
    <w:rsid w:val="006A2536"/>
    <w:rsid w:val="006A255C"/>
    <w:rsid w:val="006A2593"/>
    <w:rsid w:val="006A28D5"/>
    <w:rsid w:val="006A2ABE"/>
    <w:rsid w:val="006A2BF1"/>
    <w:rsid w:val="006A2C35"/>
    <w:rsid w:val="006A2DF7"/>
    <w:rsid w:val="006A2E2C"/>
    <w:rsid w:val="006A2E5B"/>
    <w:rsid w:val="006A2E70"/>
    <w:rsid w:val="006A2EF9"/>
    <w:rsid w:val="006A3154"/>
    <w:rsid w:val="006A328B"/>
    <w:rsid w:val="006A32F4"/>
    <w:rsid w:val="006A339A"/>
    <w:rsid w:val="006A33C9"/>
    <w:rsid w:val="006A33F3"/>
    <w:rsid w:val="006A35AE"/>
    <w:rsid w:val="006A35E0"/>
    <w:rsid w:val="006A3653"/>
    <w:rsid w:val="006A365B"/>
    <w:rsid w:val="006A3740"/>
    <w:rsid w:val="006A3932"/>
    <w:rsid w:val="006A3ABF"/>
    <w:rsid w:val="006A3B8F"/>
    <w:rsid w:val="006A3C64"/>
    <w:rsid w:val="006A3CBE"/>
    <w:rsid w:val="006A3D96"/>
    <w:rsid w:val="006A3DE2"/>
    <w:rsid w:val="006A3E79"/>
    <w:rsid w:val="006A3E7E"/>
    <w:rsid w:val="006A3E84"/>
    <w:rsid w:val="006A3EF6"/>
    <w:rsid w:val="006A3F6D"/>
    <w:rsid w:val="006A3F70"/>
    <w:rsid w:val="006A40CB"/>
    <w:rsid w:val="006A4148"/>
    <w:rsid w:val="006A430B"/>
    <w:rsid w:val="006A4381"/>
    <w:rsid w:val="006A43A8"/>
    <w:rsid w:val="006A449E"/>
    <w:rsid w:val="006A461A"/>
    <w:rsid w:val="006A4722"/>
    <w:rsid w:val="006A47AA"/>
    <w:rsid w:val="006A47B0"/>
    <w:rsid w:val="006A47EC"/>
    <w:rsid w:val="006A4865"/>
    <w:rsid w:val="006A4921"/>
    <w:rsid w:val="006A492C"/>
    <w:rsid w:val="006A4990"/>
    <w:rsid w:val="006A4A3D"/>
    <w:rsid w:val="006A4AFB"/>
    <w:rsid w:val="006A4DBB"/>
    <w:rsid w:val="006A4E35"/>
    <w:rsid w:val="006A4E5E"/>
    <w:rsid w:val="006A4E72"/>
    <w:rsid w:val="006A4EDF"/>
    <w:rsid w:val="006A4F56"/>
    <w:rsid w:val="006A4F6F"/>
    <w:rsid w:val="006A510C"/>
    <w:rsid w:val="006A5117"/>
    <w:rsid w:val="006A5140"/>
    <w:rsid w:val="006A5197"/>
    <w:rsid w:val="006A5303"/>
    <w:rsid w:val="006A53FB"/>
    <w:rsid w:val="006A5423"/>
    <w:rsid w:val="006A54B7"/>
    <w:rsid w:val="006A54C1"/>
    <w:rsid w:val="006A571D"/>
    <w:rsid w:val="006A57AA"/>
    <w:rsid w:val="006A57E3"/>
    <w:rsid w:val="006A5804"/>
    <w:rsid w:val="006A5857"/>
    <w:rsid w:val="006A5A8D"/>
    <w:rsid w:val="006A5B2D"/>
    <w:rsid w:val="006A5B31"/>
    <w:rsid w:val="006A5DC4"/>
    <w:rsid w:val="006A5DF1"/>
    <w:rsid w:val="006A5E0F"/>
    <w:rsid w:val="006A5E6D"/>
    <w:rsid w:val="006A5EF4"/>
    <w:rsid w:val="006A5FEE"/>
    <w:rsid w:val="006A6096"/>
    <w:rsid w:val="006A60CC"/>
    <w:rsid w:val="006A6279"/>
    <w:rsid w:val="006A62F1"/>
    <w:rsid w:val="006A632C"/>
    <w:rsid w:val="006A6433"/>
    <w:rsid w:val="006A6435"/>
    <w:rsid w:val="006A6481"/>
    <w:rsid w:val="006A662C"/>
    <w:rsid w:val="006A66B6"/>
    <w:rsid w:val="006A689B"/>
    <w:rsid w:val="006A68D1"/>
    <w:rsid w:val="006A68F1"/>
    <w:rsid w:val="006A6AEF"/>
    <w:rsid w:val="006A6B33"/>
    <w:rsid w:val="006A6C1B"/>
    <w:rsid w:val="006A6C23"/>
    <w:rsid w:val="006A6D20"/>
    <w:rsid w:val="006A6DAC"/>
    <w:rsid w:val="006A6E0F"/>
    <w:rsid w:val="006A6E44"/>
    <w:rsid w:val="006A7041"/>
    <w:rsid w:val="006A7658"/>
    <w:rsid w:val="006A76A0"/>
    <w:rsid w:val="006A7A58"/>
    <w:rsid w:val="006A7A86"/>
    <w:rsid w:val="006A7B68"/>
    <w:rsid w:val="006A7BAE"/>
    <w:rsid w:val="006A7CDE"/>
    <w:rsid w:val="006A7D39"/>
    <w:rsid w:val="006A7DA4"/>
    <w:rsid w:val="006A7DAA"/>
    <w:rsid w:val="006A7E16"/>
    <w:rsid w:val="006A7FCA"/>
    <w:rsid w:val="006A7FF5"/>
    <w:rsid w:val="006B0002"/>
    <w:rsid w:val="006B001E"/>
    <w:rsid w:val="006B00C0"/>
    <w:rsid w:val="006B00CC"/>
    <w:rsid w:val="006B01A3"/>
    <w:rsid w:val="006B0239"/>
    <w:rsid w:val="006B032D"/>
    <w:rsid w:val="006B0399"/>
    <w:rsid w:val="006B03E6"/>
    <w:rsid w:val="006B0425"/>
    <w:rsid w:val="006B04E8"/>
    <w:rsid w:val="006B04EB"/>
    <w:rsid w:val="006B05E3"/>
    <w:rsid w:val="006B068C"/>
    <w:rsid w:val="006B0699"/>
    <w:rsid w:val="006B069F"/>
    <w:rsid w:val="006B08F3"/>
    <w:rsid w:val="006B0935"/>
    <w:rsid w:val="006B09E0"/>
    <w:rsid w:val="006B0A34"/>
    <w:rsid w:val="006B0B7A"/>
    <w:rsid w:val="006B0BF2"/>
    <w:rsid w:val="006B0D5C"/>
    <w:rsid w:val="006B0E2C"/>
    <w:rsid w:val="006B0EA5"/>
    <w:rsid w:val="006B0EDA"/>
    <w:rsid w:val="006B0FF8"/>
    <w:rsid w:val="006B104C"/>
    <w:rsid w:val="006B1084"/>
    <w:rsid w:val="006B10D0"/>
    <w:rsid w:val="006B1130"/>
    <w:rsid w:val="006B11F3"/>
    <w:rsid w:val="006B1245"/>
    <w:rsid w:val="006B12D8"/>
    <w:rsid w:val="006B12D9"/>
    <w:rsid w:val="006B134F"/>
    <w:rsid w:val="006B139D"/>
    <w:rsid w:val="006B13FB"/>
    <w:rsid w:val="006B14F0"/>
    <w:rsid w:val="006B15D1"/>
    <w:rsid w:val="006B1630"/>
    <w:rsid w:val="006B1647"/>
    <w:rsid w:val="006B173F"/>
    <w:rsid w:val="006B1843"/>
    <w:rsid w:val="006B1925"/>
    <w:rsid w:val="006B192A"/>
    <w:rsid w:val="006B1979"/>
    <w:rsid w:val="006B1A30"/>
    <w:rsid w:val="006B1A4F"/>
    <w:rsid w:val="006B1BA7"/>
    <w:rsid w:val="006B1BEA"/>
    <w:rsid w:val="006B1C81"/>
    <w:rsid w:val="006B1CD2"/>
    <w:rsid w:val="006B1D04"/>
    <w:rsid w:val="006B1D18"/>
    <w:rsid w:val="006B1DE8"/>
    <w:rsid w:val="006B1E04"/>
    <w:rsid w:val="006B1E77"/>
    <w:rsid w:val="006B20C4"/>
    <w:rsid w:val="006B2206"/>
    <w:rsid w:val="006B2380"/>
    <w:rsid w:val="006B23D1"/>
    <w:rsid w:val="006B2411"/>
    <w:rsid w:val="006B247F"/>
    <w:rsid w:val="006B24F1"/>
    <w:rsid w:val="006B26DF"/>
    <w:rsid w:val="006B2838"/>
    <w:rsid w:val="006B2861"/>
    <w:rsid w:val="006B289C"/>
    <w:rsid w:val="006B28A8"/>
    <w:rsid w:val="006B29A9"/>
    <w:rsid w:val="006B2B4C"/>
    <w:rsid w:val="006B2B7E"/>
    <w:rsid w:val="006B2CD6"/>
    <w:rsid w:val="006B2D40"/>
    <w:rsid w:val="006B2E39"/>
    <w:rsid w:val="006B2E8E"/>
    <w:rsid w:val="006B2EA5"/>
    <w:rsid w:val="006B2F25"/>
    <w:rsid w:val="006B2F46"/>
    <w:rsid w:val="006B2F47"/>
    <w:rsid w:val="006B2F85"/>
    <w:rsid w:val="006B2F88"/>
    <w:rsid w:val="006B2FCB"/>
    <w:rsid w:val="006B3051"/>
    <w:rsid w:val="006B3162"/>
    <w:rsid w:val="006B319E"/>
    <w:rsid w:val="006B31A8"/>
    <w:rsid w:val="006B31B5"/>
    <w:rsid w:val="006B31D0"/>
    <w:rsid w:val="006B31E1"/>
    <w:rsid w:val="006B324A"/>
    <w:rsid w:val="006B3274"/>
    <w:rsid w:val="006B32FD"/>
    <w:rsid w:val="006B3405"/>
    <w:rsid w:val="006B3462"/>
    <w:rsid w:val="006B34B3"/>
    <w:rsid w:val="006B3542"/>
    <w:rsid w:val="006B3694"/>
    <w:rsid w:val="006B36AE"/>
    <w:rsid w:val="006B36F2"/>
    <w:rsid w:val="006B3784"/>
    <w:rsid w:val="006B37FC"/>
    <w:rsid w:val="006B3995"/>
    <w:rsid w:val="006B39B5"/>
    <w:rsid w:val="006B3A5F"/>
    <w:rsid w:val="006B3ADC"/>
    <w:rsid w:val="006B3AF6"/>
    <w:rsid w:val="006B3B09"/>
    <w:rsid w:val="006B3C5D"/>
    <w:rsid w:val="006B3D38"/>
    <w:rsid w:val="006B3D8A"/>
    <w:rsid w:val="006B3EB0"/>
    <w:rsid w:val="006B3F46"/>
    <w:rsid w:val="006B40E3"/>
    <w:rsid w:val="006B42C9"/>
    <w:rsid w:val="006B4344"/>
    <w:rsid w:val="006B4481"/>
    <w:rsid w:val="006B4562"/>
    <w:rsid w:val="006B4568"/>
    <w:rsid w:val="006B459D"/>
    <w:rsid w:val="006B45F9"/>
    <w:rsid w:val="006B4666"/>
    <w:rsid w:val="006B46D4"/>
    <w:rsid w:val="006B46DA"/>
    <w:rsid w:val="006B46F7"/>
    <w:rsid w:val="006B478A"/>
    <w:rsid w:val="006B4900"/>
    <w:rsid w:val="006B4980"/>
    <w:rsid w:val="006B4A23"/>
    <w:rsid w:val="006B4B8B"/>
    <w:rsid w:val="006B4BEB"/>
    <w:rsid w:val="006B4C3E"/>
    <w:rsid w:val="006B4C88"/>
    <w:rsid w:val="006B4DFA"/>
    <w:rsid w:val="006B4E5C"/>
    <w:rsid w:val="006B4FBE"/>
    <w:rsid w:val="006B4FD6"/>
    <w:rsid w:val="006B4FE2"/>
    <w:rsid w:val="006B4FE6"/>
    <w:rsid w:val="006B51FB"/>
    <w:rsid w:val="006B543C"/>
    <w:rsid w:val="006B550E"/>
    <w:rsid w:val="006B5510"/>
    <w:rsid w:val="006B554B"/>
    <w:rsid w:val="006B554D"/>
    <w:rsid w:val="006B56B0"/>
    <w:rsid w:val="006B5817"/>
    <w:rsid w:val="006B5826"/>
    <w:rsid w:val="006B5912"/>
    <w:rsid w:val="006B5A2C"/>
    <w:rsid w:val="006B5C3B"/>
    <w:rsid w:val="006B5C61"/>
    <w:rsid w:val="006B5DD9"/>
    <w:rsid w:val="006B5E6D"/>
    <w:rsid w:val="006B5EC9"/>
    <w:rsid w:val="006B5F32"/>
    <w:rsid w:val="006B5FEE"/>
    <w:rsid w:val="006B6000"/>
    <w:rsid w:val="006B6292"/>
    <w:rsid w:val="006B62D0"/>
    <w:rsid w:val="006B6328"/>
    <w:rsid w:val="006B63B9"/>
    <w:rsid w:val="006B63C9"/>
    <w:rsid w:val="006B642B"/>
    <w:rsid w:val="006B645D"/>
    <w:rsid w:val="006B658D"/>
    <w:rsid w:val="006B66F7"/>
    <w:rsid w:val="006B682B"/>
    <w:rsid w:val="006B6847"/>
    <w:rsid w:val="006B6AEF"/>
    <w:rsid w:val="006B6B2A"/>
    <w:rsid w:val="006B6D06"/>
    <w:rsid w:val="006B6D33"/>
    <w:rsid w:val="006B6E18"/>
    <w:rsid w:val="006B6EB3"/>
    <w:rsid w:val="006B6F84"/>
    <w:rsid w:val="006B7022"/>
    <w:rsid w:val="006B70D2"/>
    <w:rsid w:val="006B723A"/>
    <w:rsid w:val="006B7361"/>
    <w:rsid w:val="006B73E5"/>
    <w:rsid w:val="006B7453"/>
    <w:rsid w:val="006B74BA"/>
    <w:rsid w:val="006B74D2"/>
    <w:rsid w:val="006B7511"/>
    <w:rsid w:val="006B765F"/>
    <w:rsid w:val="006B76C8"/>
    <w:rsid w:val="006B76DC"/>
    <w:rsid w:val="006B7727"/>
    <w:rsid w:val="006B77AE"/>
    <w:rsid w:val="006B77D4"/>
    <w:rsid w:val="006B794C"/>
    <w:rsid w:val="006B797A"/>
    <w:rsid w:val="006B79DF"/>
    <w:rsid w:val="006B79E5"/>
    <w:rsid w:val="006B7B74"/>
    <w:rsid w:val="006B7C0C"/>
    <w:rsid w:val="006B7C89"/>
    <w:rsid w:val="006B7D1C"/>
    <w:rsid w:val="006B7E11"/>
    <w:rsid w:val="006B7F3F"/>
    <w:rsid w:val="006C006E"/>
    <w:rsid w:val="006C0094"/>
    <w:rsid w:val="006C025A"/>
    <w:rsid w:val="006C025B"/>
    <w:rsid w:val="006C02B9"/>
    <w:rsid w:val="006C02FD"/>
    <w:rsid w:val="006C035A"/>
    <w:rsid w:val="006C04E4"/>
    <w:rsid w:val="006C0561"/>
    <w:rsid w:val="006C058C"/>
    <w:rsid w:val="006C06D3"/>
    <w:rsid w:val="006C080C"/>
    <w:rsid w:val="006C090E"/>
    <w:rsid w:val="006C0BF8"/>
    <w:rsid w:val="006C0C21"/>
    <w:rsid w:val="006C0E28"/>
    <w:rsid w:val="006C0E57"/>
    <w:rsid w:val="006C0E87"/>
    <w:rsid w:val="006C0EED"/>
    <w:rsid w:val="006C0F3B"/>
    <w:rsid w:val="006C0F9A"/>
    <w:rsid w:val="006C1001"/>
    <w:rsid w:val="006C1095"/>
    <w:rsid w:val="006C10FC"/>
    <w:rsid w:val="006C116F"/>
    <w:rsid w:val="006C12C1"/>
    <w:rsid w:val="006C12ED"/>
    <w:rsid w:val="006C1312"/>
    <w:rsid w:val="006C1331"/>
    <w:rsid w:val="006C1371"/>
    <w:rsid w:val="006C1481"/>
    <w:rsid w:val="006C14AC"/>
    <w:rsid w:val="006C165F"/>
    <w:rsid w:val="006C16A9"/>
    <w:rsid w:val="006C17D1"/>
    <w:rsid w:val="006C184E"/>
    <w:rsid w:val="006C1908"/>
    <w:rsid w:val="006C1AAF"/>
    <w:rsid w:val="006C1ADA"/>
    <w:rsid w:val="006C1BED"/>
    <w:rsid w:val="006C1C4E"/>
    <w:rsid w:val="006C1C68"/>
    <w:rsid w:val="006C1C89"/>
    <w:rsid w:val="006C1C9D"/>
    <w:rsid w:val="006C1D12"/>
    <w:rsid w:val="006C1D28"/>
    <w:rsid w:val="006C1DA2"/>
    <w:rsid w:val="006C1E05"/>
    <w:rsid w:val="006C20F1"/>
    <w:rsid w:val="006C2425"/>
    <w:rsid w:val="006C2445"/>
    <w:rsid w:val="006C2533"/>
    <w:rsid w:val="006C2569"/>
    <w:rsid w:val="006C2584"/>
    <w:rsid w:val="006C2734"/>
    <w:rsid w:val="006C275F"/>
    <w:rsid w:val="006C2823"/>
    <w:rsid w:val="006C290E"/>
    <w:rsid w:val="006C29A0"/>
    <w:rsid w:val="006C29E3"/>
    <w:rsid w:val="006C2C02"/>
    <w:rsid w:val="006C2C5A"/>
    <w:rsid w:val="006C2D50"/>
    <w:rsid w:val="006C2D88"/>
    <w:rsid w:val="006C2ED6"/>
    <w:rsid w:val="006C2F2E"/>
    <w:rsid w:val="006C2F4B"/>
    <w:rsid w:val="006C2FC9"/>
    <w:rsid w:val="006C2FE9"/>
    <w:rsid w:val="006C3051"/>
    <w:rsid w:val="006C30D7"/>
    <w:rsid w:val="006C311F"/>
    <w:rsid w:val="006C3184"/>
    <w:rsid w:val="006C31E8"/>
    <w:rsid w:val="006C3237"/>
    <w:rsid w:val="006C33EE"/>
    <w:rsid w:val="006C3424"/>
    <w:rsid w:val="006C3536"/>
    <w:rsid w:val="006C3570"/>
    <w:rsid w:val="006C35FF"/>
    <w:rsid w:val="006C3616"/>
    <w:rsid w:val="006C363C"/>
    <w:rsid w:val="006C37A2"/>
    <w:rsid w:val="006C37E7"/>
    <w:rsid w:val="006C38D2"/>
    <w:rsid w:val="006C39E2"/>
    <w:rsid w:val="006C3ABC"/>
    <w:rsid w:val="006C3ABD"/>
    <w:rsid w:val="006C3B0C"/>
    <w:rsid w:val="006C3D19"/>
    <w:rsid w:val="006C3D6D"/>
    <w:rsid w:val="006C3E82"/>
    <w:rsid w:val="006C3F48"/>
    <w:rsid w:val="006C4166"/>
    <w:rsid w:val="006C4259"/>
    <w:rsid w:val="006C4370"/>
    <w:rsid w:val="006C4432"/>
    <w:rsid w:val="006C447A"/>
    <w:rsid w:val="006C4484"/>
    <w:rsid w:val="006C4490"/>
    <w:rsid w:val="006C44F8"/>
    <w:rsid w:val="006C44FC"/>
    <w:rsid w:val="006C451A"/>
    <w:rsid w:val="006C4659"/>
    <w:rsid w:val="006C468B"/>
    <w:rsid w:val="006C480F"/>
    <w:rsid w:val="006C4868"/>
    <w:rsid w:val="006C4878"/>
    <w:rsid w:val="006C498F"/>
    <w:rsid w:val="006C49A0"/>
    <w:rsid w:val="006C4AC8"/>
    <w:rsid w:val="006C4B2B"/>
    <w:rsid w:val="006C4C25"/>
    <w:rsid w:val="006C4C31"/>
    <w:rsid w:val="006C4CB9"/>
    <w:rsid w:val="006C4D05"/>
    <w:rsid w:val="006C4D2B"/>
    <w:rsid w:val="006C4FE2"/>
    <w:rsid w:val="006C5003"/>
    <w:rsid w:val="006C525C"/>
    <w:rsid w:val="006C53C1"/>
    <w:rsid w:val="006C58C8"/>
    <w:rsid w:val="006C5A3F"/>
    <w:rsid w:val="006C5A4E"/>
    <w:rsid w:val="006C5A78"/>
    <w:rsid w:val="006C5AA8"/>
    <w:rsid w:val="006C5B58"/>
    <w:rsid w:val="006C5BAF"/>
    <w:rsid w:val="006C5BB8"/>
    <w:rsid w:val="006C5BD9"/>
    <w:rsid w:val="006C5BDC"/>
    <w:rsid w:val="006C5BEA"/>
    <w:rsid w:val="006C5C36"/>
    <w:rsid w:val="006C5CE6"/>
    <w:rsid w:val="006C5D60"/>
    <w:rsid w:val="006C5D9F"/>
    <w:rsid w:val="006C5E6A"/>
    <w:rsid w:val="006C5F0F"/>
    <w:rsid w:val="006C5F46"/>
    <w:rsid w:val="006C5F5E"/>
    <w:rsid w:val="006C5F61"/>
    <w:rsid w:val="006C5FC6"/>
    <w:rsid w:val="006C6052"/>
    <w:rsid w:val="006C6088"/>
    <w:rsid w:val="006C60A0"/>
    <w:rsid w:val="006C60D3"/>
    <w:rsid w:val="006C6120"/>
    <w:rsid w:val="006C6142"/>
    <w:rsid w:val="006C6294"/>
    <w:rsid w:val="006C6370"/>
    <w:rsid w:val="006C64A1"/>
    <w:rsid w:val="006C651C"/>
    <w:rsid w:val="006C65A9"/>
    <w:rsid w:val="006C6633"/>
    <w:rsid w:val="006C67C5"/>
    <w:rsid w:val="006C67FA"/>
    <w:rsid w:val="006C6814"/>
    <w:rsid w:val="006C6A14"/>
    <w:rsid w:val="006C6A7F"/>
    <w:rsid w:val="006C6B12"/>
    <w:rsid w:val="006C6BD4"/>
    <w:rsid w:val="006C6BDE"/>
    <w:rsid w:val="006C6C44"/>
    <w:rsid w:val="006C6CC3"/>
    <w:rsid w:val="006C6CFA"/>
    <w:rsid w:val="006C6ECB"/>
    <w:rsid w:val="006C6F26"/>
    <w:rsid w:val="006C6F27"/>
    <w:rsid w:val="006C6F40"/>
    <w:rsid w:val="006C6F54"/>
    <w:rsid w:val="006C7000"/>
    <w:rsid w:val="006C70D8"/>
    <w:rsid w:val="006C716C"/>
    <w:rsid w:val="006C71B9"/>
    <w:rsid w:val="006C71EB"/>
    <w:rsid w:val="006C724D"/>
    <w:rsid w:val="006C7259"/>
    <w:rsid w:val="006C727D"/>
    <w:rsid w:val="006C72B2"/>
    <w:rsid w:val="006C7373"/>
    <w:rsid w:val="006C7395"/>
    <w:rsid w:val="006C73D4"/>
    <w:rsid w:val="006C742E"/>
    <w:rsid w:val="006C753E"/>
    <w:rsid w:val="006C759E"/>
    <w:rsid w:val="006C75A5"/>
    <w:rsid w:val="006C75F2"/>
    <w:rsid w:val="006C76BF"/>
    <w:rsid w:val="006C7757"/>
    <w:rsid w:val="006C7797"/>
    <w:rsid w:val="006C7809"/>
    <w:rsid w:val="006C78FF"/>
    <w:rsid w:val="006C7913"/>
    <w:rsid w:val="006C796B"/>
    <w:rsid w:val="006C798A"/>
    <w:rsid w:val="006C79D3"/>
    <w:rsid w:val="006C7A49"/>
    <w:rsid w:val="006C7AE1"/>
    <w:rsid w:val="006C7BFC"/>
    <w:rsid w:val="006C7C19"/>
    <w:rsid w:val="006C7C1A"/>
    <w:rsid w:val="006C7C31"/>
    <w:rsid w:val="006C7CFC"/>
    <w:rsid w:val="006C7DA9"/>
    <w:rsid w:val="006C7DFD"/>
    <w:rsid w:val="006D0048"/>
    <w:rsid w:val="006D00A3"/>
    <w:rsid w:val="006D0152"/>
    <w:rsid w:val="006D03B7"/>
    <w:rsid w:val="006D03C7"/>
    <w:rsid w:val="006D048A"/>
    <w:rsid w:val="006D0629"/>
    <w:rsid w:val="006D069D"/>
    <w:rsid w:val="006D06CD"/>
    <w:rsid w:val="006D0711"/>
    <w:rsid w:val="006D08B6"/>
    <w:rsid w:val="006D0981"/>
    <w:rsid w:val="006D0AEA"/>
    <w:rsid w:val="006D0D62"/>
    <w:rsid w:val="006D0F1E"/>
    <w:rsid w:val="006D0F98"/>
    <w:rsid w:val="006D103B"/>
    <w:rsid w:val="006D1163"/>
    <w:rsid w:val="006D11D3"/>
    <w:rsid w:val="006D1233"/>
    <w:rsid w:val="006D1297"/>
    <w:rsid w:val="006D12C3"/>
    <w:rsid w:val="006D132A"/>
    <w:rsid w:val="006D1360"/>
    <w:rsid w:val="006D14D2"/>
    <w:rsid w:val="006D14E7"/>
    <w:rsid w:val="006D14E8"/>
    <w:rsid w:val="006D1578"/>
    <w:rsid w:val="006D1624"/>
    <w:rsid w:val="006D16E6"/>
    <w:rsid w:val="006D1779"/>
    <w:rsid w:val="006D17CB"/>
    <w:rsid w:val="006D17F2"/>
    <w:rsid w:val="006D1900"/>
    <w:rsid w:val="006D1A67"/>
    <w:rsid w:val="006D1AD4"/>
    <w:rsid w:val="006D1B1D"/>
    <w:rsid w:val="006D1B2E"/>
    <w:rsid w:val="006D1BD2"/>
    <w:rsid w:val="006D1C6B"/>
    <w:rsid w:val="006D1E13"/>
    <w:rsid w:val="006D1E1D"/>
    <w:rsid w:val="006D1E4F"/>
    <w:rsid w:val="006D1F65"/>
    <w:rsid w:val="006D2033"/>
    <w:rsid w:val="006D209C"/>
    <w:rsid w:val="006D2169"/>
    <w:rsid w:val="006D2177"/>
    <w:rsid w:val="006D221C"/>
    <w:rsid w:val="006D232C"/>
    <w:rsid w:val="006D239F"/>
    <w:rsid w:val="006D241C"/>
    <w:rsid w:val="006D254B"/>
    <w:rsid w:val="006D2607"/>
    <w:rsid w:val="006D26B2"/>
    <w:rsid w:val="006D27DD"/>
    <w:rsid w:val="006D2848"/>
    <w:rsid w:val="006D287E"/>
    <w:rsid w:val="006D2992"/>
    <w:rsid w:val="006D2A3C"/>
    <w:rsid w:val="006D2AD1"/>
    <w:rsid w:val="006D2B01"/>
    <w:rsid w:val="006D2B24"/>
    <w:rsid w:val="006D2B97"/>
    <w:rsid w:val="006D2C08"/>
    <w:rsid w:val="006D2C1B"/>
    <w:rsid w:val="006D2C4B"/>
    <w:rsid w:val="006D2C7D"/>
    <w:rsid w:val="006D2D68"/>
    <w:rsid w:val="006D2DE1"/>
    <w:rsid w:val="006D2E31"/>
    <w:rsid w:val="006D2E60"/>
    <w:rsid w:val="006D2E96"/>
    <w:rsid w:val="006D2F27"/>
    <w:rsid w:val="006D2F4B"/>
    <w:rsid w:val="006D2FD7"/>
    <w:rsid w:val="006D3069"/>
    <w:rsid w:val="006D317C"/>
    <w:rsid w:val="006D31EF"/>
    <w:rsid w:val="006D353C"/>
    <w:rsid w:val="006D35DE"/>
    <w:rsid w:val="006D36E7"/>
    <w:rsid w:val="006D3A3D"/>
    <w:rsid w:val="006D3AC0"/>
    <w:rsid w:val="006D3B03"/>
    <w:rsid w:val="006D3DB5"/>
    <w:rsid w:val="006D3F0F"/>
    <w:rsid w:val="006D3F3C"/>
    <w:rsid w:val="006D41B6"/>
    <w:rsid w:val="006D41E7"/>
    <w:rsid w:val="006D4293"/>
    <w:rsid w:val="006D42E0"/>
    <w:rsid w:val="006D4448"/>
    <w:rsid w:val="006D4478"/>
    <w:rsid w:val="006D44C7"/>
    <w:rsid w:val="006D44E1"/>
    <w:rsid w:val="006D45A5"/>
    <w:rsid w:val="006D45C3"/>
    <w:rsid w:val="006D466D"/>
    <w:rsid w:val="006D470F"/>
    <w:rsid w:val="006D4743"/>
    <w:rsid w:val="006D477C"/>
    <w:rsid w:val="006D48E0"/>
    <w:rsid w:val="006D49B9"/>
    <w:rsid w:val="006D49E0"/>
    <w:rsid w:val="006D49E5"/>
    <w:rsid w:val="006D49FB"/>
    <w:rsid w:val="006D4AB1"/>
    <w:rsid w:val="006D4AD7"/>
    <w:rsid w:val="006D4B13"/>
    <w:rsid w:val="006D4B4F"/>
    <w:rsid w:val="006D4E6E"/>
    <w:rsid w:val="006D4E7B"/>
    <w:rsid w:val="006D4EDE"/>
    <w:rsid w:val="006D4FA7"/>
    <w:rsid w:val="006D509E"/>
    <w:rsid w:val="006D5142"/>
    <w:rsid w:val="006D51C9"/>
    <w:rsid w:val="006D526E"/>
    <w:rsid w:val="006D5306"/>
    <w:rsid w:val="006D53F9"/>
    <w:rsid w:val="006D5504"/>
    <w:rsid w:val="006D5678"/>
    <w:rsid w:val="006D5704"/>
    <w:rsid w:val="006D581F"/>
    <w:rsid w:val="006D58D4"/>
    <w:rsid w:val="006D5950"/>
    <w:rsid w:val="006D5970"/>
    <w:rsid w:val="006D5A4F"/>
    <w:rsid w:val="006D5ADF"/>
    <w:rsid w:val="006D5C38"/>
    <w:rsid w:val="006D5C71"/>
    <w:rsid w:val="006D5E74"/>
    <w:rsid w:val="006D5EE8"/>
    <w:rsid w:val="006D60D0"/>
    <w:rsid w:val="006D6155"/>
    <w:rsid w:val="006D62BE"/>
    <w:rsid w:val="006D63BC"/>
    <w:rsid w:val="006D63F6"/>
    <w:rsid w:val="006D64D8"/>
    <w:rsid w:val="006D6588"/>
    <w:rsid w:val="006D65F1"/>
    <w:rsid w:val="006D664E"/>
    <w:rsid w:val="006D6685"/>
    <w:rsid w:val="006D66AC"/>
    <w:rsid w:val="006D66F7"/>
    <w:rsid w:val="006D68C9"/>
    <w:rsid w:val="006D6AFF"/>
    <w:rsid w:val="006D6B64"/>
    <w:rsid w:val="006D6C6B"/>
    <w:rsid w:val="006D6CDD"/>
    <w:rsid w:val="006D6CED"/>
    <w:rsid w:val="006D6DB8"/>
    <w:rsid w:val="006D6E39"/>
    <w:rsid w:val="006D6F7D"/>
    <w:rsid w:val="006D6F94"/>
    <w:rsid w:val="006D6FA5"/>
    <w:rsid w:val="006D6FD6"/>
    <w:rsid w:val="006D6FE7"/>
    <w:rsid w:val="006D701A"/>
    <w:rsid w:val="006D7064"/>
    <w:rsid w:val="006D706A"/>
    <w:rsid w:val="006D71BC"/>
    <w:rsid w:val="006D7298"/>
    <w:rsid w:val="006D7342"/>
    <w:rsid w:val="006D7402"/>
    <w:rsid w:val="006D745B"/>
    <w:rsid w:val="006D74C8"/>
    <w:rsid w:val="006D7610"/>
    <w:rsid w:val="006D7647"/>
    <w:rsid w:val="006D7992"/>
    <w:rsid w:val="006D7A76"/>
    <w:rsid w:val="006D7D2F"/>
    <w:rsid w:val="006D7DB0"/>
    <w:rsid w:val="006D7E3B"/>
    <w:rsid w:val="006D7F68"/>
    <w:rsid w:val="006E0009"/>
    <w:rsid w:val="006E0023"/>
    <w:rsid w:val="006E0171"/>
    <w:rsid w:val="006E01A2"/>
    <w:rsid w:val="006E0288"/>
    <w:rsid w:val="006E0337"/>
    <w:rsid w:val="006E0342"/>
    <w:rsid w:val="006E03B3"/>
    <w:rsid w:val="006E0561"/>
    <w:rsid w:val="006E08EF"/>
    <w:rsid w:val="006E0901"/>
    <w:rsid w:val="006E0974"/>
    <w:rsid w:val="006E0A06"/>
    <w:rsid w:val="006E0B46"/>
    <w:rsid w:val="006E0C89"/>
    <w:rsid w:val="006E0CF3"/>
    <w:rsid w:val="006E0CFD"/>
    <w:rsid w:val="006E0DF9"/>
    <w:rsid w:val="006E0FFF"/>
    <w:rsid w:val="006E1059"/>
    <w:rsid w:val="006E1096"/>
    <w:rsid w:val="006E10D9"/>
    <w:rsid w:val="006E113A"/>
    <w:rsid w:val="006E114F"/>
    <w:rsid w:val="006E1303"/>
    <w:rsid w:val="006E134A"/>
    <w:rsid w:val="006E1381"/>
    <w:rsid w:val="006E138A"/>
    <w:rsid w:val="006E1399"/>
    <w:rsid w:val="006E144A"/>
    <w:rsid w:val="006E14A2"/>
    <w:rsid w:val="006E14AB"/>
    <w:rsid w:val="006E1580"/>
    <w:rsid w:val="006E15C9"/>
    <w:rsid w:val="006E1881"/>
    <w:rsid w:val="006E1899"/>
    <w:rsid w:val="006E18D1"/>
    <w:rsid w:val="006E18DA"/>
    <w:rsid w:val="006E19B7"/>
    <w:rsid w:val="006E1AED"/>
    <w:rsid w:val="006E1B4E"/>
    <w:rsid w:val="006E1B7B"/>
    <w:rsid w:val="006E1BC8"/>
    <w:rsid w:val="006E1C8D"/>
    <w:rsid w:val="006E1FF4"/>
    <w:rsid w:val="006E21FA"/>
    <w:rsid w:val="006E22CB"/>
    <w:rsid w:val="006E235D"/>
    <w:rsid w:val="006E25A6"/>
    <w:rsid w:val="006E25B5"/>
    <w:rsid w:val="006E260D"/>
    <w:rsid w:val="006E2787"/>
    <w:rsid w:val="006E278D"/>
    <w:rsid w:val="006E27DA"/>
    <w:rsid w:val="006E28ED"/>
    <w:rsid w:val="006E28EF"/>
    <w:rsid w:val="006E2A5D"/>
    <w:rsid w:val="006E2B3F"/>
    <w:rsid w:val="006E2BF7"/>
    <w:rsid w:val="006E2C54"/>
    <w:rsid w:val="006E2C9C"/>
    <w:rsid w:val="006E2D24"/>
    <w:rsid w:val="006E2DF3"/>
    <w:rsid w:val="006E2E7D"/>
    <w:rsid w:val="006E2F1D"/>
    <w:rsid w:val="006E2F61"/>
    <w:rsid w:val="006E2FC2"/>
    <w:rsid w:val="006E2FFC"/>
    <w:rsid w:val="006E3017"/>
    <w:rsid w:val="006E318E"/>
    <w:rsid w:val="006E33C3"/>
    <w:rsid w:val="006E340F"/>
    <w:rsid w:val="006E3421"/>
    <w:rsid w:val="006E3671"/>
    <w:rsid w:val="006E367D"/>
    <w:rsid w:val="006E38B5"/>
    <w:rsid w:val="006E39BC"/>
    <w:rsid w:val="006E3A08"/>
    <w:rsid w:val="006E3C5C"/>
    <w:rsid w:val="006E3CC2"/>
    <w:rsid w:val="006E3E21"/>
    <w:rsid w:val="006E3E6D"/>
    <w:rsid w:val="006E3EB2"/>
    <w:rsid w:val="006E3F21"/>
    <w:rsid w:val="006E3FD3"/>
    <w:rsid w:val="006E402A"/>
    <w:rsid w:val="006E4119"/>
    <w:rsid w:val="006E4217"/>
    <w:rsid w:val="006E45E6"/>
    <w:rsid w:val="006E4783"/>
    <w:rsid w:val="006E4896"/>
    <w:rsid w:val="006E4975"/>
    <w:rsid w:val="006E4A47"/>
    <w:rsid w:val="006E4B6D"/>
    <w:rsid w:val="006E4BD4"/>
    <w:rsid w:val="006E4BDB"/>
    <w:rsid w:val="006E4C10"/>
    <w:rsid w:val="006E4C20"/>
    <w:rsid w:val="006E4C2F"/>
    <w:rsid w:val="006E4F39"/>
    <w:rsid w:val="006E50A0"/>
    <w:rsid w:val="006E5126"/>
    <w:rsid w:val="006E5281"/>
    <w:rsid w:val="006E5385"/>
    <w:rsid w:val="006E53EA"/>
    <w:rsid w:val="006E53F3"/>
    <w:rsid w:val="006E5410"/>
    <w:rsid w:val="006E5425"/>
    <w:rsid w:val="006E5430"/>
    <w:rsid w:val="006E54A1"/>
    <w:rsid w:val="006E55AD"/>
    <w:rsid w:val="006E5655"/>
    <w:rsid w:val="006E5657"/>
    <w:rsid w:val="006E57FA"/>
    <w:rsid w:val="006E5816"/>
    <w:rsid w:val="006E5848"/>
    <w:rsid w:val="006E5895"/>
    <w:rsid w:val="006E5A20"/>
    <w:rsid w:val="006E5A92"/>
    <w:rsid w:val="006E5BD5"/>
    <w:rsid w:val="006E5BDD"/>
    <w:rsid w:val="006E5C0D"/>
    <w:rsid w:val="006E5C51"/>
    <w:rsid w:val="006E5C7B"/>
    <w:rsid w:val="006E5D06"/>
    <w:rsid w:val="006E5E15"/>
    <w:rsid w:val="006E5E6D"/>
    <w:rsid w:val="006E5F97"/>
    <w:rsid w:val="006E5FD1"/>
    <w:rsid w:val="006E60C5"/>
    <w:rsid w:val="006E61B4"/>
    <w:rsid w:val="006E6273"/>
    <w:rsid w:val="006E62B4"/>
    <w:rsid w:val="006E6428"/>
    <w:rsid w:val="006E64B8"/>
    <w:rsid w:val="006E64F2"/>
    <w:rsid w:val="006E6508"/>
    <w:rsid w:val="006E652B"/>
    <w:rsid w:val="006E657C"/>
    <w:rsid w:val="006E6610"/>
    <w:rsid w:val="006E66E6"/>
    <w:rsid w:val="006E670F"/>
    <w:rsid w:val="006E67AB"/>
    <w:rsid w:val="006E68A6"/>
    <w:rsid w:val="006E6931"/>
    <w:rsid w:val="006E69CF"/>
    <w:rsid w:val="006E6AAE"/>
    <w:rsid w:val="006E6B8B"/>
    <w:rsid w:val="006E6B9D"/>
    <w:rsid w:val="006E6BAE"/>
    <w:rsid w:val="006E6D40"/>
    <w:rsid w:val="006E6DB9"/>
    <w:rsid w:val="006E6DBE"/>
    <w:rsid w:val="006E6E0B"/>
    <w:rsid w:val="006E6F2F"/>
    <w:rsid w:val="006E6F3B"/>
    <w:rsid w:val="006E6F8E"/>
    <w:rsid w:val="006E704D"/>
    <w:rsid w:val="006E70BE"/>
    <w:rsid w:val="006E7127"/>
    <w:rsid w:val="006E715F"/>
    <w:rsid w:val="006E71A2"/>
    <w:rsid w:val="006E72B1"/>
    <w:rsid w:val="006E734C"/>
    <w:rsid w:val="006E73BB"/>
    <w:rsid w:val="006E7421"/>
    <w:rsid w:val="006E7440"/>
    <w:rsid w:val="006E754B"/>
    <w:rsid w:val="006E75A9"/>
    <w:rsid w:val="006E7619"/>
    <w:rsid w:val="006E76B4"/>
    <w:rsid w:val="006E78FC"/>
    <w:rsid w:val="006E7A42"/>
    <w:rsid w:val="006E7AB3"/>
    <w:rsid w:val="006E7B0D"/>
    <w:rsid w:val="006E7B2F"/>
    <w:rsid w:val="006E7B48"/>
    <w:rsid w:val="006E7CA4"/>
    <w:rsid w:val="006E7CAD"/>
    <w:rsid w:val="006E7E40"/>
    <w:rsid w:val="006E7E47"/>
    <w:rsid w:val="006E7FFA"/>
    <w:rsid w:val="006F020D"/>
    <w:rsid w:val="006F022C"/>
    <w:rsid w:val="006F0382"/>
    <w:rsid w:val="006F039D"/>
    <w:rsid w:val="006F03BD"/>
    <w:rsid w:val="006F03BE"/>
    <w:rsid w:val="006F03DA"/>
    <w:rsid w:val="006F0487"/>
    <w:rsid w:val="006F04B6"/>
    <w:rsid w:val="006F04EC"/>
    <w:rsid w:val="006F0645"/>
    <w:rsid w:val="006F0671"/>
    <w:rsid w:val="006F0735"/>
    <w:rsid w:val="006F078D"/>
    <w:rsid w:val="006F07CC"/>
    <w:rsid w:val="006F0862"/>
    <w:rsid w:val="006F086B"/>
    <w:rsid w:val="006F087E"/>
    <w:rsid w:val="006F08B0"/>
    <w:rsid w:val="006F08BA"/>
    <w:rsid w:val="006F09D6"/>
    <w:rsid w:val="006F09DB"/>
    <w:rsid w:val="006F0AD7"/>
    <w:rsid w:val="006F0C7C"/>
    <w:rsid w:val="006F0CD4"/>
    <w:rsid w:val="006F0CD5"/>
    <w:rsid w:val="006F0D41"/>
    <w:rsid w:val="006F0D4D"/>
    <w:rsid w:val="006F0DE6"/>
    <w:rsid w:val="006F0E41"/>
    <w:rsid w:val="006F0E75"/>
    <w:rsid w:val="006F0EA1"/>
    <w:rsid w:val="006F0EA4"/>
    <w:rsid w:val="006F11D0"/>
    <w:rsid w:val="006F11D3"/>
    <w:rsid w:val="006F12BB"/>
    <w:rsid w:val="006F12C1"/>
    <w:rsid w:val="006F12E3"/>
    <w:rsid w:val="006F140E"/>
    <w:rsid w:val="006F147F"/>
    <w:rsid w:val="006F14F9"/>
    <w:rsid w:val="006F15AF"/>
    <w:rsid w:val="006F1693"/>
    <w:rsid w:val="006F17AA"/>
    <w:rsid w:val="006F1884"/>
    <w:rsid w:val="006F1920"/>
    <w:rsid w:val="006F1ACD"/>
    <w:rsid w:val="006F1BB3"/>
    <w:rsid w:val="006F1BC7"/>
    <w:rsid w:val="006F1C11"/>
    <w:rsid w:val="006F1CC6"/>
    <w:rsid w:val="006F1D14"/>
    <w:rsid w:val="006F1D58"/>
    <w:rsid w:val="006F1DB6"/>
    <w:rsid w:val="006F1E35"/>
    <w:rsid w:val="006F1F64"/>
    <w:rsid w:val="006F1F69"/>
    <w:rsid w:val="006F1F7D"/>
    <w:rsid w:val="006F2051"/>
    <w:rsid w:val="006F214D"/>
    <w:rsid w:val="006F2318"/>
    <w:rsid w:val="006F231E"/>
    <w:rsid w:val="006F23EB"/>
    <w:rsid w:val="006F2432"/>
    <w:rsid w:val="006F25B9"/>
    <w:rsid w:val="006F25CC"/>
    <w:rsid w:val="006F25DD"/>
    <w:rsid w:val="006F2648"/>
    <w:rsid w:val="006F2712"/>
    <w:rsid w:val="006F2808"/>
    <w:rsid w:val="006F2844"/>
    <w:rsid w:val="006F2920"/>
    <w:rsid w:val="006F2994"/>
    <w:rsid w:val="006F2A03"/>
    <w:rsid w:val="006F2AA9"/>
    <w:rsid w:val="006F2B81"/>
    <w:rsid w:val="006F2B89"/>
    <w:rsid w:val="006F2C01"/>
    <w:rsid w:val="006F2C0E"/>
    <w:rsid w:val="006F2C53"/>
    <w:rsid w:val="006F2CE8"/>
    <w:rsid w:val="006F2D32"/>
    <w:rsid w:val="006F2DEB"/>
    <w:rsid w:val="006F2E19"/>
    <w:rsid w:val="006F2E6C"/>
    <w:rsid w:val="006F2F0A"/>
    <w:rsid w:val="006F2F9F"/>
    <w:rsid w:val="006F3083"/>
    <w:rsid w:val="006F3097"/>
    <w:rsid w:val="006F30C6"/>
    <w:rsid w:val="006F31C8"/>
    <w:rsid w:val="006F31F3"/>
    <w:rsid w:val="006F320A"/>
    <w:rsid w:val="006F3299"/>
    <w:rsid w:val="006F32A7"/>
    <w:rsid w:val="006F33C9"/>
    <w:rsid w:val="006F355C"/>
    <w:rsid w:val="006F3578"/>
    <w:rsid w:val="006F368B"/>
    <w:rsid w:val="006F36AE"/>
    <w:rsid w:val="006F36F8"/>
    <w:rsid w:val="006F3718"/>
    <w:rsid w:val="006F3813"/>
    <w:rsid w:val="006F3878"/>
    <w:rsid w:val="006F38FC"/>
    <w:rsid w:val="006F39C1"/>
    <w:rsid w:val="006F3A3D"/>
    <w:rsid w:val="006F3B2C"/>
    <w:rsid w:val="006F3BBE"/>
    <w:rsid w:val="006F3E51"/>
    <w:rsid w:val="006F3E64"/>
    <w:rsid w:val="006F3E75"/>
    <w:rsid w:val="006F3F0E"/>
    <w:rsid w:val="006F3F79"/>
    <w:rsid w:val="006F409A"/>
    <w:rsid w:val="006F40FD"/>
    <w:rsid w:val="006F418A"/>
    <w:rsid w:val="006F41A6"/>
    <w:rsid w:val="006F429A"/>
    <w:rsid w:val="006F42E7"/>
    <w:rsid w:val="006F4362"/>
    <w:rsid w:val="006F4369"/>
    <w:rsid w:val="006F444A"/>
    <w:rsid w:val="006F447C"/>
    <w:rsid w:val="006F4753"/>
    <w:rsid w:val="006F4880"/>
    <w:rsid w:val="006F4A5C"/>
    <w:rsid w:val="006F4B5C"/>
    <w:rsid w:val="006F4DD4"/>
    <w:rsid w:val="006F4F42"/>
    <w:rsid w:val="006F4F56"/>
    <w:rsid w:val="006F4F8E"/>
    <w:rsid w:val="006F5199"/>
    <w:rsid w:val="006F528A"/>
    <w:rsid w:val="006F530C"/>
    <w:rsid w:val="006F53B1"/>
    <w:rsid w:val="006F53E3"/>
    <w:rsid w:val="006F545B"/>
    <w:rsid w:val="006F54A4"/>
    <w:rsid w:val="006F54C4"/>
    <w:rsid w:val="006F54CB"/>
    <w:rsid w:val="006F552A"/>
    <w:rsid w:val="006F553F"/>
    <w:rsid w:val="006F5555"/>
    <w:rsid w:val="006F5560"/>
    <w:rsid w:val="006F5682"/>
    <w:rsid w:val="006F56EE"/>
    <w:rsid w:val="006F57FE"/>
    <w:rsid w:val="006F5A61"/>
    <w:rsid w:val="006F5C4D"/>
    <w:rsid w:val="006F5CC9"/>
    <w:rsid w:val="006F5CD0"/>
    <w:rsid w:val="006F5DB5"/>
    <w:rsid w:val="006F5E38"/>
    <w:rsid w:val="006F5E67"/>
    <w:rsid w:val="006F5E91"/>
    <w:rsid w:val="006F5EDB"/>
    <w:rsid w:val="006F5EF7"/>
    <w:rsid w:val="006F60C2"/>
    <w:rsid w:val="006F626B"/>
    <w:rsid w:val="006F62E8"/>
    <w:rsid w:val="006F631F"/>
    <w:rsid w:val="006F6354"/>
    <w:rsid w:val="006F6360"/>
    <w:rsid w:val="006F640A"/>
    <w:rsid w:val="006F651A"/>
    <w:rsid w:val="006F664B"/>
    <w:rsid w:val="006F6651"/>
    <w:rsid w:val="006F670B"/>
    <w:rsid w:val="006F6767"/>
    <w:rsid w:val="006F6857"/>
    <w:rsid w:val="006F6917"/>
    <w:rsid w:val="006F696B"/>
    <w:rsid w:val="006F6A44"/>
    <w:rsid w:val="006F6B76"/>
    <w:rsid w:val="006F6B7D"/>
    <w:rsid w:val="006F6B82"/>
    <w:rsid w:val="006F6C76"/>
    <w:rsid w:val="006F6CC2"/>
    <w:rsid w:val="006F6CE5"/>
    <w:rsid w:val="006F6F41"/>
    <w:rsid w:val="006F6FCF"/>
    <w:rsid w:val="006F6FEF"/>
    <w:rsid w:val="006F7135"/>
    <w:rsid w:val="006F71A5"/>
    <w:rsid w:val="006F71C7"/>
    <w:rsid w:val="006F7244"/>
    <w:rsid w:val="006F7245"/>
    <w:rsid w:val="006F742E"/>
    <w:rsid w:val="006F748F"/>
    <w:rsid w:val="006F75D1"/>
    <w:rsid w:val="006F76D5"/>
    <w:rsid w:val="006F7769"/>
    <w:rsid w:val="006F776F"/>
    <w:rsid w:val="006F7783"/>
    <w:rsid w:val="006F7904"/>
    <w:rsid w:val="006F790D"/>
    <w:rsid w:val="006F7968"/>
    <w:rsid w:val="006F798A"/>
    <w:rsid w:val="006F7C3B"/>
    <w:rsid w:val="006F7CBD"/>
    <w:rsid w:val="006F7CC2"/>
    <w:rsid w:val="006F7CDC"/>
    <w:rsid w:val="006F7D9A"/>
    <w:rsid w:val="006F7F86"/>
    <w:rsid w:val="006F7F91"/>
    <w:rsid w:val="00700058"/>
    <w:rsid w:val="0070016A"/>
    <w:rsid w:val="007002AF"/>
    <w:rsid w:val="007002BB"/>
    <w:rsid w:val="007002C4"/>
    <w:rsid w:val="007002D9"/>
    <w:rsid w:val="00700311"/>
    <w:rsid w:val="007003EA"/>
    <w:rsid w:val="0070043C"/>
    <w:rsid w:val="0070054C"/>
    <w:rsid w:val="007005E1"/>
    <w:rsid w:val="00700797"/>
    <w:rsid w:val="007007F6"/>
    <w:rsid w:val="007008C0"/>
    <w:rsid w:val="0070099E"/>
    <w:rsid w:val="007009A2"/>
    <w:rsid w:val="007009BD"/>
    <w:rsid w:val="007009DC"/>
    <w:rsid w:val="00700A25"/>
    <w:rsid w:val="00700B3B"/>
    <w:rsid w:val="00700CA0"/>
    <w:rsid w:val="00700E92"/>
    <w:rsid w:val="00700EA3"/>
    <w:rsid w:val="00700ECB"/>
    <w:rsid w:val="00700EFB"/>
    <w:rsid w:val="00700FB9"/>
    <w:rsid w:val="00701097"/>
    <w:rsid w:val="007010EC"/>
    <w:rsid w:val="007011C4"/>
    <w:rsid w:val="00701304"/>
    <w:rsid w:val="0070134D"/>
    <w:rsid w:val="0070140D"/>
    <w:rsid w:val="007014A5"/>
    <w:rsid w:val="007014E5"/>
    <w:rsid w:val="0070158E"/>
    <w:rsid w:val="00701662"/>
    <w:rsid w:val="007016D0"/>
    <w:rsid w:val="007016D2"/>
    <w:rsid w:val="007016F4"/>
    <w:rsid w:val="007018AE"/>
    <w:rsid w:val="0070192E"/>
    <w:rsid w:val="007019F8"/>
    <w:rsid w:val="00701A28"/>
    <w:rsid w:val="00701A4E"/>
    <w:rsid w:val="00701B09"/>
    <w:rsid w:val="00701B28"/>
    <w:rsid w:val="00701BC1"/>
    <w:rsid w:val="00701C48"/>
    <w:rsid w:val="00701DF1"/>
    <w:rsid w:val="00701EF7"/>
    <w:rsid w:val="0070211A"/>
    <w:rsid w:val="00702234"/>
    <w:rsid w:val="00702368"/>
    <w:rsid w:val="007023A7"/>
    <w:rsid w:val="00702486"/>
    <w:rsid w:val="007025A8"/>
    <w:rsid w:val="007025CE"/>
    <w:rsid w:val="0070275F"/>
    <w:rsid w:val="00702760"/>
    <w:rsid w:val="00702787"/>
    <w:rsid w:val="00702826"/>
    <w:rsid w:val="0070285F"/>
    <w:rsid w:val="007028F0"/>
    <w:rsid w:val="007029B6"/>
    <w:rsid w:val="00702AC4"/>
    <w:rsid w:val="00702B0B"/>
    <w:rsid w:val="00702B65"/>
    <w:rsid w:val="00702B81"/>
    <w:rsid w:val="00702BB0"/>
    <w:rsid w:val="00702C66"/>
    <w:rsid w:val="00702CB3"/>
    <w:rsid w:val="00702CD0"/>
    <w:rsid w:val="00702D60"/>
    <w:rsid w:val="00702D95"/>
    <w:rsid w:val="00702EA4"/>
    <w:rsid w:val="00702EB8"/>
    <w:rsid w:val="00702F26"/>
    <w:rsid w:val="00702F51"/>
    <w:rsid w:val="00702F75"/>
    <w:rsid w:val="00702FE2"/>
    <w:rsid w:val="00703093"/>
    <w:rsid w:val="007030F3"/>
    <w:rsid w:val="00703365"/>
    <w:rsid w:val="00703431"/>
    <w:rsid w:val="007034A8"/>
    <w:rsid w:val="0070350F"/>
    <w:rsid w:val="00703521"/>
    <w:rsid w:val="0070357C"/>
    <w:rsid w:val="0070363F"/>
    <w:rsid w:val="007036D5"/>
    <w:rsid w:val="0070379A"/>
    <w:rsid w:val="007038A0"/>
    <w:rsid w:val="00703917"/>
    <w:rsid w:val="007039BD"/>
    <w:rsid w:val="00703CC4"/>
    <w:rsid w:val="00703D2F"/>
    <w:rsid w:val="00703DE8"/>
    <w:rsid w:val="00703E7E"/>
    <w:rsid w:val="00704081"/>
    <w:rsid w:val="007041AF"/>
    <w:rsid w:val="0070421A"/>
    <w:rsid w:val="00704227"/>
    <w:rsid w:val="0070423C"/>
    <w:rsid w:val="0070427E"/>
    <w:rsid w:val="007042BB"/>
    <w:rsid w:val="007042DB"/>
    <w:rsid w:val="007043AA"/>
    <w:rsid w:val="007044E8"/>
    <w:rsid w:val="0070456B"/>
    <w:rsid w:val="0070457E"/>
    <w:rsid w:val="0070459A"/>
    <w:rsid w:val="00704621"/>
    <w:rsid w:val="007046B2"/>
    <w:rsid w:val="007046DF"/>
    <w:rsid w:val="00704779"/>
    <w:rsid w:val="007047AE"/>
    <w:rsid w:val="007047C8"/>
    <w:rsid w:val="0070487A"/>
    <w:rsid w:val="007049CF"/>
    <w:rsid w:val="00704BA1"/>
    <w:rsid w:val="00704BB2"/>
    <w:rsid w:val="00704C00"/>
    <w:rsid w:val="00704CC0"/>
    <w:rsid w:val="00704D5F"/>
    <w:rsid w:val="00704E19"/>
    <w:rsid w:val="00704E2E"/>
    <w:rsid w:val="00705033"/>
    <w:rsid w:val="0070506D"/>
    <w:rsid w:val="00705075"/>
    <w:rsid w:val="007050C6"/>
    <w:rsid w:val="00705152"/>
    <w:rsid w:val="00705156"/>
    <w:rsid w:val="0070517B"/>
    <w:rsid w:val="007051BF"/>
    <w:rsid w:val="00705220"/>
    <w:rsid w:val="00705223"/>
    <w:rsid w:val="00705274"/>
    <w:rsid w:val="007052C2"/>
    <w:rsid w:val="00705341"/>
    <w:rsid w:val="007053B4"/>
    <w:rsid w:val="007053E4"/>
    <w:rsid w:val="00705485"/>
    <w:rsid w:val="007054C8"/>
    <w:rsid w:val="00705582"/>
    <w:rsid w:val="007056CB"/>
    <w:rsid w:val="00705735"/>
    <w:rsid w:val="00705752"/>
    <w:rsid w:val="007057E9"/>
    <w:rsid w:val="0070588D"/>
    <w:rsid w:val="007058A7"/>
    <w:rsid w:val="007058CA"/>
    <w:rsid w:val="00705916"/>
    <w:rsid w:val="007059DF"/>
    <w:rsid w:val="00705A9E"/>
    <w:rsid w:val="00705D0D"/>
    <w:rsid w:val="00705D7B"/>
    <w:rsid w:val="00705DAF"/>
    <w:rsid w:val="00705E1F"/>
    <w:rsid w:val="00705E2D"/>
    <w:rsid w:val="00705EE8"/>
    <w:rsid w:val="00705EF1"/>
    <w:rsid w:val="00705FDB"/>
    <w:rsid w:val="00706190"/>
    <w:rsid w:val="007062B5"/>
    <w:rsid w:val="00706329"/>
    <w:rsid w:val="0070637C"/>
    <w:rsid w:val="007063CC"/>
    <w:rsid w:val="00706463"/>
    <w:rsid w:val="007064FE"/>
    <w:rsid w:val="007065BC"/>
    <w:rsid w:val="0070663C"/>
    <w:rsid w:val="007066A5"/>
    <w:rsid w:val="007068B3"/>
    <w:rsid w:val="00706952"/>
    <w:rsid w:val="00706B04"/>
    <w:rsid w:val="00706B74"/>
    <w:rsid w:val="00706BA2"/>
    <w:rsid w:val="00706BA7"/>
    <w:rsid w:val="00706D18"/>
    <w:rsid w:val="00706FCF"/>
    <w:rsid w:val="00707049"/>
    <w:rsid w:val="007070A5"/>
    <w:rsid w:val="007070F7"/>
    <w:rsid w:val="0070713C"/>
    <w:rsid w:val="0070715A"/>
    <w:rsid w:val="007071F4"/>
    <w:rsid w:val="0070725C"/>
    <w:rsid w:val="007072DF"/>
    <w:rsid w:val="007072E0"/>
    <w:rsid w:val="0070735D"/>
    <w:rsid w:val="0070736C"/>
    <w:rsid w:val="007074E5"/>
    <w:rsid w:val="00707523"/>
    <w:rsid w:val="0070752D"/>
    <w:rsid w:val="007077F2"/>
    <w:rsid w:val="007077F8"/>
    <w:rsid w:val="00707839"/>
    <w:rsid w:val="00707914"/>
    <w:rsid w:val="007079DF"/>
    <w:rsid w:val="00707A1A"/>
    <w:rsid w:val="00707A53"/>
    <w:rsid w:val="00707B38"/>
    <w:rsid w:val="00707C03"/>
    <w:rsid w:val="00707C2D"/>
    <w:rsid w:val="00707C78"/>
    <w:rsid w:val="00707CDB"/>
    <w:rsid w:val="00707D2D"/>
    <w:rsid w:val="00707D73"/>
    <w:rsid w:val="00707DAC"/>
    <w:rsid w:val="00707E09"/>
    <w:rsid w:val="00707E2F"/>
    <w:rsid w:val="00707F2F"/>
    <w:rsid w:val="00707FA2"/>
    <w:rsid w:val="00707FCA"/>
    <w:rsid w:val="00707FF5"/>
    <w:rsid w:val="007100DB"/>
    <w:rsid w:val="00710378"/>
    <w:rsid w:val="007103F1"/>
    <w:rsid w:val="00710404"/>
    <w:rsid w:val="0071041A"/>
    <w:rsid w:val="007104FC"/>
    <w:rsid w:val="007105C9"/>
    <w:rsid w:val="0071069B"/>
    <w:rsid w:val="007106FB"/>
    <w:rsid w:val="0071070E"/>
    <w:rsid w:val="0071073C"/>
    <w:rsid w:val="0071093B"/>
    <w:rsid w:val="00710A09"/>
    <w:rsid w:val="00710A58"/>
    <w:rsid w:val="00710BBB"/>
    <w:rsid w:val="00710C08"/>
    <w:rsid w:val="00710C76"/>
    <w:rsid w:val="00710D2A"/>
    <w:rsid w:val="00710DA2"/>
    <w:rsid w:val="00710E57"/>
    <w:rsid w:val="00710F8F"/>
    <w:rsid w:val="00710FCF"/>
    <w:rsid w:val="00711059"/>
    <w:rsid w:val="00711218"/>
    <w:rsid w:val="00711266"/>
    <w:rsid w:val="007113C3"/>
    <w:rsid w:val="00711459"/>
    <w:rsid w:val="0071166E"/>
    <w:rsid w:val="00711686"/>
    <w:rsid w:val="00711705"/>
    <w:rsid w:val="0071177A"/>
    <w:rsid w:val="00711926"/>
    <w:rsid w:val="00711957"/>
    <w:rsid w:val="007119F5"/>
    <w:rsid w:val="00711A6E"/>
    <w:rsid w:val="00711ADB"/>
    <w:rsid w:val="00711AE9"/>
    <w:rsid w:val="00711B7C"/>
    <w:rsid w:val="00711B9A"/>
    <w:rsid w:val="00711BB6"/>
    <w:rsid w:val="00711BD5"/>
    <w:rsid w:val="00711C92"/>
    <w:rsid w:val="00711CF4"/>
    <w:rsid w:val="00711D82"/>
    <w:rsid w:val="00711DE2"/>
    <w:rsid w:val="00711E0F"/>
    <w:rsid w:val="00711E59"/>
    <w:rsid w:val="00711F01"/>
    <w:rsid w:val="00711F53"/>
    <w:rsid w:val="00712034"/>
    <w:rsid w:val="00712403"/>
    <w:rsid w:val="00712419"/>
    <w:rsid w:val="00712433"/>
    <w:rsid w:val="007124DB"/>
    <w:rsid w:val="0071256A"/>
    <w:rsid w:val="00712592"/>
    <w:rsid w:val="007125F6"/>
    <w:rsid w:val="00712612"/>
    <w:rsid w:val="00712744"/>
    <w:rsid w:val="00712747"/>
    <w:rsid w:val="0071290C"/>
    <w:rsid w:val="00712926"/>
    <w:rsid w:val="0071295D"/>
    <w:rsid w:val="00712972"/>
    <w:rsid w:val="00712B6A"/>
    <w:rsid w:val="00712C1C"/>
    <w:rsid w:val="00712C6A"/>
    <w:rsid w:val="00712CDF"/>
    <w:rsid w:val="00712DDF"/>
    <w:rsid w:val="00712EE8"/>
    <w:rsid w:val="00712F9C"/>
    <w:rsid w:val="00712FE7"/>
    <w:rsid w:val="00713135"/>
    <w:rsid w:val="00713189"/>
    <w:rsid w:val="00713195"/>
    <w:rsid w:val="007133E5"/>
    <w:rsid w:val="007133F9"/>
    <w:rsid w:val="007135DA"/>
    <w:rsid w:val="0071374D"/>
    <w:rsid w:val="007137A3"/>
    <w:rsid w:val="007137CC"/>
    <w:rsid w:val="00713811"/>
    <w:rsid w:val="007138C8"/>
    <w:rsid w:val="00713B73"/>
    <w:rsid w:val="00713BFB"/>
    <w:rsid w:val="00713CC1"/>
    <w:rsid w:val="00713DE0"/>
    <w:rsid w:val="00713E43"/>
    <w:rsid w:val="00713E71"/>
    <w:rsid w:val="00713E8E"/>
    <w:rsid w:val="00714098"/>
    <w:rsid w:val="007140A4"/>
    <w:rsid w:val="00714111"/>
    <w:rsid w:val="00714227"/>
    <w:rsid w:val="00714283"/>
    <w:rsid w:val="0071435D"/>
    <w:rsid w:val="00714420"/>
    <w:rsid w:val="007144B7"/>
    <w:rsid w:val="007144C2"/>
    <w:rsid w:val="0071472F"/>
    <w:rsid w:val="00714739"/>
    <w:rsid w:val="00714888"/>
    <w:rsid w:val="00714978"/>
    <w:rsid w:val="007149B5"/>
    <w:rsid w:val="00714A1E"/>
    <w:rsid w:val="00714B23"/>
    <w:rsid w:val="00714B2C"/>
    <w:rsid w:val="00714D45"/>
    <w:rsid w:val="00714F7F"/>
    <w:rsid w:val="00714F9E"/>
    <w:rsid w:val="00714FA5"/>
    <w:rsid w:val="0071506A"/>
    <w:rsid w:val="007150D5"/>
    <w:rsid w:val="007150DA"/>
    <w:rsid w:val="00715200"/>
    <w:rsid w:val="007152F9"/>
    <w:rsid w:val="007154F0"/>
    <w:rsid w:val="00715517"/>
    <w:rsid w:val="007155AB"/>
    <w:rsid w:val="0071563E"/>
    <w:rsid w:val="0071569C"/>
    <w:rsid w:val="007156E1"/>
    <w:rsid w:val="00715764"/>
    <w:rsid w:val="007157E4"/>
    <w:rsid w:val="0071583C"/>
    <w:rsid w:val="0071596F"/>
    <w:rsid w:val="00715C33"/>
    <w:rsid w:val="00715C39"/>
    <w:rsid w:val="00715D13"/>
    <w:rsid w:val="00715D2D"/>
    <w:rsid w:val="00715D6B"/>
    <w:rsid w:val="00715D73"/>
    <w:rsid w:val="00715DC9"/>
    <w:rsid w:val="00715DD4"/>
    <w:rsid w:val="00715E65"/>
    <w:rsid w:val="00715E74"/>
    <w:rsid w:val="00715E75"/>
    <w:rsid w:val="00715E84"/>
    <w:rsid w:val="00716004"/>
    <w:rsid w:val="00716085"/>
    <w:rsid w:val="007160C2"/>
    <w:rsid w:val="007160E0"/>
    <w:rsid w:val="00716159"/>
    <w:rsid w:val="0071624D"/>
    <w:rsid w:val="0071641D"/>
    <w:rsid w:val="00716598"/>
    <w:rsid w:val="00716625"/>
    <w:rsid w:val="0071663A"/>
    <w:rsid w:val="00716678"/>
    <w:rsid w:val="00716684"/>
    <w:rsid w:val="007166D8"/>
    <w:rsid w:val="00716778"/>
    <w:rsid w:val="0071692E"/>
    <w:rsid w:val="00716A34"/>
    <w:rsid w:val="00716AC3"/>
    <w:rsid w:val="00716AF3"/>
    <w:rsid w:val="00716B48"/>
    <w:rsid w:val="00716BB5"/>
    <w:rsid w:val="00716D31"/>
    <w:rsid w:val="00716D4D"/>
    <w:rsid w:val="00716D61"/>
    <w:rsid w:val="00716D97"/>
    <w:rsid w:val="00716E3C"/>
    <w:rsid w:val="00716EAE"/>
    <w:rsid w:val="00716EFD"/>
    <w:rsid w:val="00716FD0"/>
    <w:rsid w:val="00717056"/>
    <w:rsid w:val="007170B8"/>
    <w:rsid w:val="007170DE"/>
    <w:rsid w:val="007170F3"/>
    <w:rsid w:val="0071710C"/>
    <w:rsid w:val="0071717F"/>
    <w:rsid w:val="007171F3"/>
    <w:rsid w:val="00717263"/>
    <w:rsid w:val="0071728B"/>
    <w:rsid w:val="007172E4"/>
    <w:rsid w:val="00717394"/>
    <w:rsid w:val="007173C8"/>
    <w:rsid w:val="007174C0"/>
    <w:rsid w:val="00717562"/>
    <w:rsid w:val="00717661"/>
    <w:rsid w:val="0071766B"/>
    <w:rsid w:val="007177E5"/>
    <w:rsid w:val="00717807"/>
    <w:rsid w:val="00717829"/>
    <w:rsid w:val="007178B7"/>
    <w:rsid w:val="00717AD7"/>
    <w:rsid w:val="00717B32"/>
    <w:rsid w:val="00717B71"/>
    <w:rsid w:val="00717CD9"/>
    <w:rsid w:val="00717DAE"/>
    <w:rsid w:val="00717DEE"/>
    <w:rsid w:val="00720034"/>
    <w:rsid w:val="007202AC"/>
    <w:rsid w:val="0072036B"/>
    <w:rsid w:val="007203A5"/>
    <w:rsid w:val="007203DB"/>
    <w:rsid w:val="007203ED"/>
    <w:rsid w:val="007204F6"/>
    <w:rsid w:val="00720563"/>
    <w:rsid w:val="0072056D"/>
    <w:rsid w:val="00720691"/>
    <w:rsid w:val="007206B9"/>
    <w:rsid w:val="007206BE"/>
    <w:rsid w:val="007206FE"/>
    <w:rsid w:val="00720788"/>
    <w:rsid w:val="0072096D"/>
    <w:rsid w:val="007209B3"/>
    <w:rsid w:val="00720A1A"/>
    <w:rsid w:val="00720B13"/>
    <w:rsid w:val="00720B76"/>
    <w:rsid w:val="00720B84"/>
    <w:rsid w:val="00720BC2"/>
    <w:rsid w:val="00720C00"/>
    <w:rsid w:val="00720C03"/>
    <w:rsid w:val="00720C44"/>
    <w:rsid w:val="00720C8F"/>
    <w:rsid w:val="00720C97"/>
    <w:rsid w:val="00720E34"/>
    <w:rsid w:val="00720E3D"/>
    <w:rsid w:val="00720E91"/>
    <w:rsid w:val="00720EA3"/>
    <w:rsid w:val="00720EC5"/>
    <w:rsid w:val="00720F32"/>
    <w:rsid w:val="00720F9E"/>
    <w:rsid w:val="00720FB7"/>
    <w:rsid w:val="00721001"/>
    <w:rsid w:val="0072111E"/>
    <w:rsid w:val="00721206"/>
    <w:rsid w:val="00721308"/>
    <w:rsid w:val="00721321"/>
    <w:rsid w:val="00721466"/>
    <w:rsid w:val="00721528"/>
    <w:rsid w:val="00721537"/>
    <w:rsid w:val="00721628"/>
    <w:rsid w:val="0072162A"/>
    <w:rsid w:val="00721658"/>
    <w:rsid w:val="00721689"/>
    <w:rsid w:val="0072174F"/>
    <w:rsid w:val="00721886"/>
    <w:rsid w:val="007219CF"/>
    <w:rsid w:val="007219E7"/>
    <w:rsid w:val="00721A4B"/>
    <w:rsid w:val="00721A7E"/>
    <w:rsid w:val="00721AF2"/>
    <w:rsid w:val="00721B12"/>
    <w:rsid w:val="00721B30"/>
    <w:rsid w:val="00721B34"/>
    <w:rsid w:val="00721BD2"/>
    <w:rsid w:val="00721C7A"/>
    <w:rsid w:val="00721CB9"/>
    <w:rsid w:val="00721D42"/>
    <w:rsid w:val="00721EDB"/>
    <w:rsid w:val="0072200D"/>
    <w:rsid w:val="0072208F"/>
    <w:rsid w:val="007221A1"/>
    <w:rsid w:val="007222B6"/>
    <w:rsid w:val="0072230D"/>
    <w:rsid w:val="0072238F"/>
    <w:rsid w:val="007224D3"/>
    <w:rsid w:val="0072252D"/>
    <w:rsid w:val="0072257C"/>
    <w:rsid w:val="007225C6"/>
    <w:rsid w:val="007226AA"/>
    <w:rsid w:val="007226B9"/>
    <w:rsid w:val="00722827"/>
    <w:rsid w:val="0072283E"/>
    <w:rsid w:val="00722851"/>
    <w:rsid w:val="0072286A"/>
    <w:rsid w:val="00722911"/>
    <w:rsid w:val="00722919"/>
    <w:rsid w:val="00722AEF"/>
    <w:rsid w:val="00722BAF"/>
    <w:rsid w:val="00722C6E"/>
    <w:rsid w:val="00722DA2"/>
    <w:rsid w:val="00722DC5"/>
    <w:rsid w:val="00722DD0"/>
    <w:rsid w:val="00722F4B"/>
    <w:rsid w:val="00722FE0"/>
    <w:rsid w:val="007230D7"/>
    <w:rsid w:val="00723184"/>
    <w:rsid w:val="007231C3"/>
    <w:rsid w:val="00723259"/>
    <w:rsid w:val="0072328C"/>
    <w:rsid w:val="007233F1"/>
    <w:rsid w:val="0072347A"/>
    <w:rsid w:val="007234DB"/>
    <w:rsid w:val="007234DC"/>
    <w:rsid w:val="007235E2"/>
    <w:rsid w:val="00723622"/>
    <w:rsid w:val="007236BD"/>
    <w:rsid w:val="007236F0"/>
    <w:rsid w:val="0072374D"/>
    <w:rsid w:val="00723844"/>
    <w:rsid w:val="007239A0"/>
    <w:rsid w:val="007239D4"/>
    <w:rsid w:val="00723B19"/>
    <w:rsid w:val="00723B45"/>
    <w:rsid w:val="00723B47"/>
    <w:rsid w:val="00723B57"/>
    <w:rsid w:val="00723B97"/>
    <w:rsid w:val="00723BF2"/>
    <w:rsid w:val="00723C7B"/>
    <w:rsid w:val="00723D5A"/>
    <w:rsid w:val="00723DDB"/>
    <w:rsid w:val="00723E04"/>
    <w:rsid w:val="00723E86"/>
    <w:rsid w:val="00723ED9"/>
    <w:rsid w:val="0072401C"/>
    <w:rsid w:val="00724096"/>
    <w:rsid w:val="007240BC"/>
    <w:rsid w:val="00724193"/>
    <w:rsid w:val="00724240"/>
    <w:rsid w:val="00724243"/>
    <w:rsid w:val="007242CC"/>
    <w:rsid w:val="00724403"/>
    <w:rsid w:val="007244DA"/>
    <w:rsid w:val="007244FB"/>
    <w:rsid w:val="0072457F"/>
    <w:rsid w:val="00724595"/>
    <w:rsid w:val="00724619"/>
    <w:rsid w:val="00724796"/>
    <w:rsid w:val="007248E9"/>
    <w:rsid w:val="007248FC"/>
    <w:rsid w:val="00724A12"/>
    <w:rsid w:val="00724B4A"/>
    <w:rsid w:val="00724B5D"/>
    <w:rsid w:val="00724C30"/>
    <w:rsid w:val="00724C71"/>
    <w:rsid w:val="00724CA0"/>
    <w:rsid w:val="00724D68"/>
    <w:rsid w:val="00724DDC"/>
    <w:rsid w:val="00724EAC"/>
    <w:rsid w:val="00724EB5"/>
    <w:rsid w:val="00724ED2"/>
    <w:rsid w:val="00724EF3"/>
    <w:rsid w:val="00724FDC"/>
    <w:rsid w:val="00725116"/>
    <w:rsid w:val="0072520F"/>
    <w:rsid w:val="00725299"/>
    <w:rsid w:val="007252E7"/>
    <w:rsid w:val="00725309"/>
    <w:rsid w:val="007253B2"/>
    <w:rsid w:val="007253B7"/>
    <w:rsid w:val="0072555E"/>
    <w:rsid w:val="0072559B"/>
    <w:rsid w:val="007255D6"/>
    <w:rsid w:val="007256C4"/>
    <w:rsid w:val="007257F2"/>
    <w:rsid w:val="007257F4"/>
    <w:rsid w:val="00725810"/>
    <w:rsid w:val="00725847"/>
    <w:rsid w:val="0072596E"/>
    <w:rsid w:val="00725A11"/>
    <w:rsid w:val="00725A6C"/>
    <w:rsid w:val="00725B15"/>
    <w:rsid w:val="00725B8A"/>
    <w:rsid w:val="00725BDE"/>
    <w:rsid w:val="00725C1A"/>
    <w:rsid w:val="00725CAA"/>
    <w:rsid w:val="00725D65"/>
    <w:rsid w:val="00725D90"/>
    <w:rsid w:val="00725EBF"/>
    <w:rsid w:val="00725F3A"/>
    <w:rsid w:val="00725FAF"/>
    <w:rsid w:val="00726091"/>
    <w:rsid w:val="007260FE"/>
    <w:rsid w:val="007262D3"/>
    <w:rsid w:val="007263AA"/>
    <w:rsid w:val="007263DA"/>
    <w:rsid w:val="00726401"/>
    <w:rsid w:val="0072645C"/>
    <w:rsid w:val="007264D7"/>
    <w:rsid w:val="00726557"/>
    <w:rsid w:val="00726584"/>
    <w:rsid w:val="00726589"/>
    <w:rsid w:val="007265AA"/>
    <w:rsid w:val="00726701"/>
    <w:rsid w:val="00726787"/>
    <w:rsid w:val="007267DD"/>
    <w:rsid w:val="007268EB"/>
    <w:rsid w:val="007269C5"/>
    <w:rsid w:val="00726A33"/>
    <w:rsid w:val="00726A63"/>
    <w:rsid w:val="00726A6A"/>
    <w:rsid w:val="00726ABC"/>
    <w:rsid w:val="00726BAC"/>
    <w:rsid w:val="00726BBA"/>
    <w:rsid w:val="00726C18"/>
    <w:rsid w:val="00726CBE"/>
    <w:rsid w:val="00726CF6"/>
    <w:rsid w:val="00726E70"/>
    <w:rsid w:val="00726F97"/>
    <w:rsid w:val="00727095"/>
    <w:rsid w:val="0072709F"/>
    <w:rsid w:val="00727106"/>
    <w:rsid w:val="0072713F"/>
    <w:rsid w:val="00727197"/>
    <w:rsid w:val="0072719B"/>
    <w:rsid w:val="00727261"/>
    <w:rsid w:val="0072732E"/>
    <w:rsid w:val="007273BC"/>
    <w:rsid w:val="00727479"/>
    <w:rsid w:val="00727613"/>
    <w:rsid w:val="0072771C"/>
    <w:rsid w:val="007277F7"/>
    <w:rsid w:val="00727838"/>
    <w:rsid w:val="00727843"/>
    <w:rsid w:val="00727898"/>
    <w:rsid w:val="00727927"/>
    <w:rsid w:val="00727A0B"/>
    <w:rsid w:val="00727A95"/>
    <w:rsid w:val="00727AB3"/>
    <w:rsid w:val="00727B03"/>
    <w:rsid w:val="00727BDF"/>
    <w:rsid w:val="00727C99"/>
    <w:rsid w:val="00727E62"/>
    <w:rsid w:val="00727F5C"/>
    <w:rsid w:val="00727F87"/>
    <w:rsid w:val="00727FF8"/>
    <w:rsid w:val="00730236"/>
    <w:rsid w:val="007302AD"/>
    <w:rsid w:val="0073033E"/>
    <w:rsid w:val="0073047B"/>
    <w:rsid w:val="00730508"/>
    <w:rsid w:val="0073091F"/>
    <w:rsid w:val="00730927"/>
    <w:rsid w:val="00730966"/>
    <w:rsid w:val="007309AA"/>
    <w:rsid w:val="00730B01"/>
    <w:rsid w:val="00730B11"/>
    <w:rsid w:val="00730B65"/>
    <w:rsid w:val="00730CA8"/>
    <w:rsid w:val="00730D88"/>
    <w:rsid w:val="00730DC1"/>
    <w:rsid w:val="00730DF2"/>
    <w:rsid w:val="00730E90"/>
    <w:rsid w:val="00730E98"/>
    <w:rsid w:val="00730F6B"/>
    <w:rsid w:val="00730FAA"/>
    <w:rsid w:val="00730FD8"/>
    <w:rsid w:val="00731093"/>
    <w:rsid w:val="007310E1"/>
    <w:rsid w:val="007310E8"/>
    <w:rsid w:val="00731120"/>
    <w:rsid w:val="0073113E"/>
    <w:rsid w:val="0073114E"/>
    <w:rsid w:val="0073126E"/>
    <w:rsid w:val="00731288"/>
    <w:rsid w:val="0073129F"/>
    <w:rsid w:val="007312E5"/>
    <w:rsid w:val="007312F1"/>
    <w:rsid w:val="007313BC"/>
    <w:rsid w:val="00731610"/>
    <w:rsid w:val="007316C9"/>
    <w:rsid w:val="007316F3"/>
    <w:rsid w:val="0073178B"/>
    <w:rsid w:val="0073188E"/>
    <w:rsid w:val="00731928"/>
    <w:rsid w:val="00731C98"/>
    <w:rsid w:val="00731CB2"/>
    <w:rsid w:val="00731DF4"/>
    <w:rsid w:val="00731E39"/>
    <w:rsid w:val="00731EB2"/>
    <w:rsid w:val="00731ED8"/>
    <w:rsid w:val="00731ED9"/>
    <w:rsid w:val="00731F14"/>
    <w:rsid w:val="00731F6F"/>
    <w:rsid w:val="00732002"/>
    <w:rsid w:val="00732069"/>
    <w:rsid w:val="007320D8"/>
    <w:rsid w:val="007322C3"/>
    <w:rsid w:val="0073237E"/>
    <w:rsid w:val="00732386"/>
    <w:rsid w:val="007323E1"/>
    <w:rsid w:val="0073242E"/>
    <w:rsid w:val="007324C4"/>
    <w:rsid w:val="0073252F"/>
    <w:rsid w:val="00732543"/>
    <w:rsid w:val="00732554"/>
    <w:rsid w:val="007327CE"/>
    <w:rsid w:val="007328BB"/>
    <w:rsid w:val="00732AD4"/>
    <w:rsid w:val="00732B33"/>
    <w:rsid w:val="00732BDA"/>
    <w:rsid w:val="00732C72"/>
    <w:rsid w:val="00732CFD"/>
    <w:rsid w:val="00732D20"/>
    <w:rsid w:val="00732D6A"/>
    <w:rsid w:val="00732D95"/>
    <w:rsid w:val="00732E1D"/>
    <w:rsid w:val="00732ED3"/>
    <w:rsid w:val="00732F87"/>
    <w:rsid w:val="00732FCB"/>
    <w:rsid w:val="00732FD9"/>
    <w:rsid w:val="0073300B"/>
    <w:rsid w:val="00733031"/>
    <w:rsid w:val="00733032"/>
    <w:rsid w:val="00733179"/>
    <w:rsid w:val="00733231"/>
    <w:rsid w:val="00733235"/>
    <w:rsid w:val="0073330F"/>
    <w:rsid w:val="0073331F"/>
    <w:rsid w:val="00733352"/>
    <w:rsid w:val="007333F8"/>
    <w:rsid w:val="00733613"/>
    <w:rsid w:val="007336D0"/>
    <w:rsid w:val="00733763"/>
    <w:rsid w:val="0073377D"/>
    <w:rsid w:val="00733867"/>
    <w:rsid w:val="00733966"/>
    <w:rsid w:val="007339A2"/>
    <w:rsid w:val="00733A10"/>
    <w:rsid w:val="00733B9D"/>
    <w:rsid w:val="00733C2D"/>
    <w:rsid w:val="00733C75"/>
    <w:rsid w:val="00733CA9"/>
    <w:rsid w:val="00733CC7"/>
    <w:rsid w:val="00733D26"/>
    <w:rsid w:val="00733D7C"/>
    <w:rsid w:val="00733DD7"/>
    <w:rsid w:val="00733EBF"/>
    <w:rsid w:val="00733F1A"/>
    <w:rsid w:val="00733F61"/>
    <w:rsid w:val="0073405E"/>
    <w:rsid w:val="00734167"/>
    <w:rsid w:val="007342D5"/>
    <w:rsid w:val="007342D8"/>
    <w:rsid w:val="007343B7"/>
    <w:rsid w:val="007343CB"/>
    <w:rsid w:val="007344E5"/>
    <w:rsid w:val="00734646"/>
    <w:rsid w:val="007347C0"/>
    <w:rsid w:val="007347E4"/>
    <w:rsid w:val="00734960"/>
    <w:rsid w:val="00734A37"/>
    <w:rsid w:val="00734A7F"/>
    <w:rsid w:val="00734A95"/>
    <w:rsid w:val="00734CE0"/>
    <w:rsid w:val="00734E16"/>
    <w:rsid w:val="00734E75"/>
    <w:rsid w:val="00734ED2"/>
    <w:rsid w:val="00734FB5"/>
    <w:rsid w:val="00734FBB"/>
    <w:rsid w:val="00735037"/>
    <w:rsid w:val="00735196"/>
    <w:rsid w:val="007351CE"/>
    <w:rsid w:val="007352B9"/>
    <w:rsid w:val="007352E2"/>
    <w:rsid w:val="00735340"/>
    <w:rsid w:val="00735364"/>
    <w:rsid w:val="007353F7"/>
    <w:rsid w:val="007354F6"/>
    <w:rsid w:val="0073561A"/>
    <w:rsid w:val="00735649"/>
    <w:rsid w:val="0073564A"/>
    <w:rsid w:val="007357DD"/>
    <w:rsid w:val="0073590A"/>
    <w:rsid w:val="0073599E"/>
    <w:rsid w:val="00735A0A"/>
    <w:rsid w:val="00735A41"/>
    <w:rsid w:val="00735A91"/>
    <w:rsid w:val="00735AD9"/>
    <w:rsid w:val="00735AF6"/>
    <w:rsid w:val="00735B48"/>
    <w:rsid w:val="00735D0E"/>
    <w:rsid w:val="00735D49"/>
    <w:rsid w:val="00735DB6"/>
    <w:rsid w:val="00735F1A"/>
    <w:rsid w:val="00736024"/>
    <w:rsid w:val="0073610F"/>
    <w:rsid w:val="0073614E"/>
    <w:rsid w:val="00736209"/>
    <w:rsid w:val="0073629A"/>
    <w:rsid w:val="00736349"/>
    <w:rsid w:val="0073637C"/>
    <w:rsid w:val="00736566"/>
    <w:rsid w:val="00736630"/>
    <w:rsid w:val="00736676"/>
    <w:rsid w:val="007366C1"/>
    <w:rsid w:val="0073692F"/>
    <w:rsid w:val="00736948"/>
    <w:rsid w:val="00736976"/>
    <w:rsid w:val="007369A4"/>
    <w:rsid w:val="007369AA"/>
    <w:rsid w:val="00736A70"/>
    <w:rsid w:val="00736AA5"/>
    <w:rsid w:val="00736B3D"/>
    <w:rsid w:val="00736C13"/>
    <w:rsid w:val="00736C3A"/>
    <w:rsid w:val="00736C45"/>
    <w:rsid w:val="00736C7B"/>
    <w:rsid w:val="00736CBA"/>
    <w:rsid w:val="00736D07"/>
    <w:rsid w:val="00736D26"/>
    <w:rsid w:val="00736F01"/>
    <w:rsid w:val="007370B2"/>
    <w:rsid w:val="007371E9"/>
    <w:rsid w:val="0073728A"/>
    <w:rsid w:val="007372A6"/>
    <w:rsid w:val="007372A7"/>
    <w:rsid w:val="00737335"/>
    <w:rsid w:val="007373E8"/>
    <w:rsid w:val="0073743A"/>
    <w:rsid w:val="007374C5"/>
    <w:rsid w:val="0073750D"/>
    <w:rsid w:val="00737510"/>
    <w:rsid w:val="00737519"/>
    <w:rsid w:val="0073767F"/>
    <w:rsid w:val="0073770E"/>
    <w:rsid w:val="00737775"/>
    <w:rsid w:val="007377AC"/>
    <w:rsid w:val="00737863"/>
    <w:rsid w:val="007378D4"/>
    <w:rsid w:val="00737921"/>
    <w:rsid w:val="00737940"/>
    <w:rsid w:val="0073797F"/>
    <w:rsid w:val="007379D3"/>
    <w:rsid w:val="00737A81"/>
    <w:rsid w:val="00737B0D"/>
    <w:rsid w:val="00737B44"/>
    <w:rsid w:val="00737B5F"/>
    <w:rsid w:val="00737B7F"/>
    <w:rsid w:val="00737BB2"/>
    <w:rsid w:val="00737C71"/>
    <w:rsid w:val="00737CA4"/>
    <w:rsid w:val="00737CAF"/>
    <w:rsid w:val="00737DA7"/>
    <w:rsid w:val="00737E1F"/>
    <w:rsid w:val="00737E21"/>
    <w:rsid w:val="00737ED9"/>
    <w:rsid w:val="0074002C"/>
    <w:rsid w:val="0074015A"/>
    <w:rsid w:val="0074018A"/>
    <w:rsid w:val="007401F8"/>
    <w:rsid w:val="00740317"/>
    <w:rsid w:val="00740327"/>
    <w:rsid w:val="00740354"/>
    <w:rsid w:val="00740588"/>
    <w:rsid w:val="0074063C"/>
    <w:rsid w:val="0074072B"/>
    <w:rsid w:val="00740757"/>
    <w:rsid w:val="0074075E"/>
    <w:rsid w:val="00740782"/>
    <w:rsid w:val="00740798"/>
    <w:rsid w:val="00740833"/>
    <w:rsid w:val="007408B7"/>
    <w:rsid w:val="00740A1D"/>
    <w:rsid w:val="00740A56"/>
    <w:rsid w:val="00740B98"/>
    <w:rsid w:val="00740C37"/>
    <w:rsid w:val="00740C48"/>
    <w:rsid w:val="00740EB4"/>
    <w:rsid w:val="00740F8B"/>
    <w:rsid w:val="00741133"/>
    <w:rsid w:val="007411ED"/>
    <w:rsid w:val="00741239"/>
    <w:rsid w:val="007412F7"/>
    <w:rsid w:val="00741310"/>
    <w:rsid w:val="00741330"/>
    <w:rsid w:val="00741384"/>
    <w:rsid w:val="007413E5"/>
    <w:rsid w:val="00741431"/>
    <w:rsid w:val="0074144A"/>
    <w:rsid w:val="007414F5"/>
    <w:rsid w:val="00741523"/>
    <w:rsid w:val="0074155A"/>
    <w:rsid w:val="0074159C"/>
    <w:rsid w:val="007416C1"/>
    <w:rsid w:val="007416D9"/>
    <w:rsid w:val="0074184E"/>
    <w:rsid w:val="007418B4"/>
    <w:rsid w:val="007418FF"/>
    <w:rsid w:val="00741907"/>
    <w:rsid w:val="007419CD"/>
    <w:rsid w:val="007419D8"/>
    <w:rsid w:val="00741A28"/>
    <w:rsid w:val="00741A80"/>
    <w:rsid w:val="00741B22"/>
    <w:rsid w:val="00741C7A"/>
    <w:rsid w:val="00741CB8"/>
    <w:rsid w:val="00741CBE"/>
    <w:rsid w:val="00741D97"/>
    <w:rsid w:val="00742150"/>
    <w:rsid w:val="00742195"/>
    <w:rsid w:val="0074237B"/>
    <w:rsid w:val="007423FA"/>
    <w:rsid w:val="00742430"/>
    <w:rsid w:val="007425B5"/>
    <w:rsid w:val="00742694"/>
    <w:rsid w:val="0074269A"/>
    <w:rsid w:val="00742729"/>
    <w:rsid w:val="00742757"/>
    <w:rsid w:val="0074284C"/>
    <w:rsid w:val="007429AA"/>
    <w:rsid w:val="00742A9B"/>
    <w:rsid w:val="00742AE7"/>
    <w:rsid w:val="00742B0A"/>
    <w:rsid w:val="00742BBB"/>
    <w:rsid w:val="00742C8C"/>
    <w:rsid w:val="00742CAB"/>
    <w:rsid w:val="00742CB5"/>
    <w:rsid w:val="00742D38"/>
    <w:rsid w:val="00742D50"/>
    <w:rsid w:val="00742D86"/>
    <w:rsid w:val="00742DD1"/>
    <w:rsid w:val="00742E48"/>
    <w:rsid w:val="00742E49"/>
    <w:rsid w:val="00742E81"/>
    <w:rsid w:val="00742E99"/>
    <w:rsid w:val="00742EC8"/>
    <w:rsid w:val="00742F00"/>
    <w:rsid w:val="00742F6F"/>
    <w:rsid w:val="00742F76"/>
    <w:rsid w:val="00743008"/>
    <w:rsid w:val="007430C2"/>
    <w:rsid w:val="0074310A"/>
    <w:rsid w:val="00743128"/>
    <w:rsid w:val="007431FF"/>
    <w:rsid w:val="00743233"/>
    <w:rsid w:val="0074328D"/>
    <w:rsid w:val="00743392"/>
    <w:rsid w:val="007433E9"/>
    <w:rsid w:val="00743461"/>
    <w:rsid w:val="007434A0"/>
    <w:rsid w:val="00743528"/>
    <w:rsid w:val="00743547"/>
    <w:rsid w:val="00743756"/>
    <w:rsid w:val="007437BE"/>
    <w:rsid w:val="0074382B"/>
    <w:rsid w:val="00743853"/>
    <w:rsid w:val="00743891"/>
    <w:rsid w:val="007438B5"/>
    <w:rsid w:val="007439AA"/>
    <w:rsid w:val="00743B34"/>
    <w:rsid w:val="00743B75"/>
    <w:rsid w:val="00743BD9"/>
    <w:rsid w:val="00743DA8"/>
    <w:rsid w:val="00743E7D"/>
    <w:rsid w:val="00743EC4"/>
    <w:rsid w:val="00743F13"/>
    <w:rsid w:val="007440BF"/>
    <w:rsid w:val="007440D5"/>
    <w:rsid w:val="0074425C"/>
    <w:rsid w:val="00744275"/>
    <w:rsid w:val="007443C9"/>
    <w:rsid w:val="007443E2"/>
    <w:rsid w:val="007444AC"/>
    <w:rsid w:val="007444BE"/>
    <w:rsid w:val="007444C9"/>
    <w:rsid w:val="00744620"/>
    <w:rsid w:val="00744652"/>
    <w:rsid w:val="007446AD"/>
    <w:rsid w:val="0074473B"/>
    <w:rsid w:val="0074479B"/>
    <w:rsid w:val="007448D2"/>
    <w:rsid w:val="00744BEA"/>
    <w:rsid w:val="00744DDA"/>
    <w:rsid w:val="00744EC7"/>
    <w:rsid w:val="00745049"/>
    <w:rsid w:val="00745143"/>
    <w:rsid w:val="00745465"/>
    <w:rsid w:val="0074567F"/>
    <w:rsid w:val="007456CE"/>
    <w:rsid w:val="007457C2"/>
    <w:rsid w:val="0074588A"/>
    <w:rsid w:val="007458DE"/>
    <w:rsid w:val="007459B4"/>
    <w:rsid w:val="007459CD"/>
    <w:rsid w:val="00745A5B"/>
    <w:rsid w:val="00745BB2"/>
    <w:rsid w:val="00745BBC"/>
    <w:rsid w:val="00745BD1"/>
    <w:rsid w:val="00745C63"/>
    <w:rsid w:val="00745C84"/>
    <w:rsid w:val="00745D7E"/>
    <w:rsid w:val="00745EC7"/>
    <w:rsid w:val="00745F1D"/>
    <w:rsid w:val="00745F86"/>
    <w:rsid w:val="00745FBD"/>
    <w:rsid w:val="007460A3"/>
    <w:rsid w:val="007461B9"/>
    <w:rsid w:val="00746228"/>
    <w:rsid w:val="00746277"/>
    <w:rsid w:val="007462B1"/>
    <w:rsid w:val="007462B6"/>
    <w:rsid w:val="007463FA"/>
    <w:rsid w:val="00746597"/>
    <w:rsid w:val="007466A2"/>
    <w:rsid w:val="007466A4"/>
    <w:rsid w:val="007466C9"/>
    <w:rsid w:val="00746708"/>
    <w:rsid w:val="0074687F"/>
    <w:rsid w:val="007469F3"/>
    <w:rsid w:val="00746A62"/>
    <w:rsid w:val="00746A88"/>
    <w:rsid w:val="00746ABD"/>
    <w:rsid w:val="00746AD6"/>
    <w:rsid w:val="00746AE2"/>
    <w:rsid w:val="00746B3C"/>
    <w:rsid w:val="00746C66"/>
    <w:rsid w:val="00746D1A"/>
    <w:rsid w:val="00746D94"/>
    <w:rsid w:val="00746D98"/>
    <w:rsid w:val="00746F09"/>
    <w:rsid w:val="00746F6C"/>
    <w:rsid w:val="00746FC5"/>
    <w:rsid w:val="00746FF0"/>
    <w:rsid w:val="007470EB"/>
    <w:rsid w:val="007471BE"/>
    <w:rsid w:val="00747268"/>
    <w:rsid w:val="0074734F"/>
    <w:rsid w:val="007473CB"/>
    <w:rsid w:val="00747464"/>
    <w:rsid w:val="00747493"/>
    <w:rsid w:val="00747511"/>
    <w:rsid w:val="0074752A"/>
    <w:rsid w:val="007475B5"/>
    <w:rsid w:val="007475EE"/>
    <w:rsid w:val="00747621"/>
    <w:rsid w:val="0074766D"/>
    <w:rsid w:val="007478D4"/>
    <w:rsid w:val="007478DB"/>
    <w:rsid w:val="00747944"/>
    <w:rsid w:val="007479E3"/>
    <w:rsid w:val="00747A97"/>
    <w:rsid w:val="00747B3C"/>
    <w:rsid w:val="00747CFD"/>
    <w:rsid w:val="00747D07"/>
    <w:rsid w:val="00747D28"/>
    <w:rsid w:val="00747D38"/>
    <w:rsid w:val="00747D50"/>
    <w:rsid w:val="00747D87"/>
    <w:rsid w:val="00747E65"/>
    <w:rsid w:val="00747EBB"/>
    <w:rsid w:val="00747FA0"/>
    <w:rsid w:val="007500AD"/>
    <w:rsid w:val="007500D5"/>
    <w:rsid w:val="0075016E"/>
    <w:rsid w:val="007501D2"/>
    <w:rsid w:val="00750288"/>
    <w:rsid w:val="0075039E"/>
    <w:rsid w:val="00750442"/>
    <w:rsid w:val="007504AA"/>
    <w:rsid w:val="0075053D"/>
    <w:rsid w:val="00750540"/>
    <w:rsid w:val="007505B1"/>
    <w:rsid w:val="00750673"/>
    <w:rsid w:val="00750678"/>
    <w:rsid w:val="00750770"/>
    <w:rsid w:val="00750789"/>
    <w:rsid w:val="007507AD"/>
    <w:rsid w:val="007507DF"/>
    <w:rsid w:val="0075082C"/>
    <w:rsid w:val="0075082E"/>
    <w:rsid w:val="0075084A"/>
    <w:rsid w:val="00750AC6"/>
    <w:rsid w:val="00750AD0"/>
    <w:rsid w:val="00750AFF"/>
    <w:rsid w:val="00750B1B"/>
    <w:rsid w:val="00750BCC"/>
    <w:rsid w:val="00750C52"/>
    <w:rsid w:val="00750C81"/>
    <w:rsid w:val="00750C8D"/>
    <w:rsid w:val="00750D82"/>
    <w:rsid w:val="00750DFF"/>
    <w:rsid w:val="00750E29"/>
    <w:rsid w:val="00750E58"/>
    <w:rsid w:val="00750EBB"/>
    <w:rsid w:val="00750F44"/>
    <w:rsid w:val="00750F7F"/>
    <w:rsid w:val="00751030"/>
    <w:rsid w:val="007510F1"/>
    <w:rsid w:val="00751172"/>
    <w:rsid w:val="00751297"/>
    <w:rsid w:val="007512CC"/>
    <w:rsid w:val="007512F6"/>
    <w:rsid w:val="00751304"/>
    <w:rsid w:val="00751327"/>
    <w:rsid w:val="0075133C"/>
    <w:rsid w:val="0075134E"/>
    <w:rsid w:val="0075136D"/>
    <w:rsid w:val="0075138D"/>
    <w:rsid w:val="0075145E"/>
    <w:rsid w:val="007514B4"/>
    <w:rsid w:val="0075157C"/>
    <w:rsid w:val="00751597"/>
    <w:rsid w:val="00751697"/>
    <w:rsid w:val="007516A9"/>
    <w:rsid w:val="007516C2"/>
    <w:rsid w:val="007518CD"/>
    <w:rsid w:val="00751A4C"/>
    <w:rsid w:val="00751A52"/>
    <w:rsid w:val="00751A93"/>
    <w:rsid w:val="00751C98"/>
    <w:rsid w:val="00751D5E"/>
    <w:rsid w:val="00751DE7"/>
    <w:rsid w:val="00751EAB"/>
    <w:rsid w:val="00751F11"/>
    <w:rsid w:val="00751F21"/>
    <w:rsid w:val="007520BC"/>
    <w:rsid w:val="00752148"/>
    <w:rsid w:val="00752289"/>
    <w:rsid w:val="00752307"/>
    <w:rsid w:val="00752471"/>
    <w:rsid w:val="00752567"/>
    <w:rsid w:val="00752577"/>
    <w:rsid w:val="00752626"/>
    <w:rsid w:val="00752658"/>
    <w:rsid w:val="0075267A"/>
    <w:rsid w:val="00752802"/>
    <w:rsid w:val="00752838"/>
    <w:rsid w:val="0075283D"/>
    <w:rsid w:val="0075288E"/>
    <w:rsid w:val="00752A3B"/>
    <w:rsid w:val="00752ACD"/>
    <w:rsid w:val="00752B93"/>
    <w:rsid w:val="00752BAD"/>
    <w:rsid w:val="00752BC4"/>
    <w:rsid w:val="00752BD0"/>
    <w:rsid w:val="00752C49"/>
    <w:rsid w:val="00752CAD"/>
    <w:rsid w:val="00752CB4"/>
    <w:rsid w:val="00752DF1"/>
    <w:rsid w:val="00752F06"/>
    <w:rsid w:val="00753048"/>
    <w:rsid w:val="00753072"/>
    <w:rsid w:val="0075308F"/>
    <w:rsid w:val="007530BA"/>
    <w:rsid w:val="0075314B"/>
    <w:rsid w:val="007531F3"/>
    <w:rsid w:val="0075329D"/>
    <w:rsid w:val="00753396"/>
    <w:rsid w:val="007533B4"/>
    <w:rsid w:val="007535A1"/>
    <w:rsid w:val="007536EB"/>
    <w:rsid w:val="0075375C"/>
    <w:rsid w:val="0075378C"/>
    <w:rsid w:val="00753811"/>
    <w:rsid w:val="0075381D"/>
    <w:rsid w:val="00753838"/>
    <w:rsid w:val="00753884"/>
    <w:rsid w:val="007538DA"/>
    <w:rsid w:val="0075390E"/>
    <w:rsid w:val="0075398F"/>
    <w:rsid w:val="00753A8E"/>
    <w:rsid w:val="00753AAE"/>
    <w:rsid w:val="00753B04"/>
    <w:rsid w:val="00753B56"/>
    <w:rsid w:val="00753B9F"/>
    <w:rsid w:val="00753CA6"/>
    <w:rsid w:val="00753CA9"/>
    <w:rsid w:val="00753D0F"/>
    <w:rsid w:val="00753D63"/>
    <w:rsid w:val="00753D9B"/>
    <w:rsid w:val="00753E6B"/>
    <w:rsid w:val="00753E9E"/>
    <w:rsid w:val="007540E3"/>
    <w:rsid w:val="00754133"/>
    <w:rsid w:val="00754305"/>
    <w:rsid w:val="00754322"/>
    <w:rsid w:val="00754396"/>
    <w:rsid w:val="007543D1"/>
    <w:rsid w:val="00754573"/>
    <w:rsid w:val="0075474F"/>
    <w:rsid w:val="00754776"/>
    <w:rsid w:val="007547D1"/>
    <w:rsid w:val="007547F4"/>
    <w:rsid w:val="0075489C"/>
    <w:rsid w:val="007548FA"/>
    <w:rsid w:val="00754A25"/>
    <w:rsid w:val="00754C29"/>
    <w:rsid w:val="00754D38"/>
    <w:rsid w:val="00754D78"/>
    <w:rsid w:val="00754DB8"/>
    <w:rsid w:val="00754DC6"/>
    <w:rsid w:val="00754DE3"/>
    <w:rsid w:val="00754DEE"/>
    <w:rsid w:val="00754FDA"/>
    <w:rsid w:val="0075501A"/>
    <w:rsid w:val="0075505A"/>
    <w:rsid w:val="00755093"/>
    <w:rsid w:val="007550EB"/>
    <w:rsid w:val="0075510F"/>
    <w:rsid w:val="00755228"/>
    <w:rsid w:val="0075537C"/>
    <w:rsid w:val="00755407"/>
    <w:rsid w:val="0075544C"/>
    <w:rsid w:val="0075546D"/>
    <w:rsid w:val="007554DE"/>
    <w:rsid w:val="0075554C"/>
    <w:rsid w:val="0075558E"/>
    <w:rsid w:val="00755650"/>
    <w:rsid w:val="00755696"/>
    <w:rsid w:val="007557B8"/>
    <w:rsid w:val="007558B5"/>
    <w:rsid w:val="007558DF"/>
    <w:rsid w:val="007559A8"/>
    <w:rsid w:val="007559F2"/>
    <w:rsid w:val="00755AB6"/>
    <w:rsid w:val="00755B41"/>
    <w:rsid w:val="00755C87"/>
    <w:rsid w:val="00755DC1"/>
    <w:rsid w:val="00755F42"/>
    <w:rsid w:val="00755FA2"/>
    <w:rsid w:val="00756051"/>
    <w:rsid w:val="007560E8"/>
    <w:rsid w:val="00756191"/>
    <w:rsid w:val="00756275"/>
    <w:rsid w:val="007563DE"/>
    <w:rsid w:val="007564C6"/>
    <w:rsid w:val="0075663B"/>
    <w:rsid w:val="00756694"/>
    <w:rsid w:val="0075672F"/>
    <w:rsid w:val="007567E4"/>
    <w:rsid w:val="0075688C"/>
    <w:rsid w:val="00756955"/>
    <w:rsid w:val="0075696B"/>
    <w:rsid w:val="00756A05"/>
    <w:rsid w:val="00756A94"/>
    <w:rsid w:val="00756AA3"/>
    <w:rsid w:val="00756C59"/>
    <w:rsid w:val="00756D84"/>
    <w:rsid w:val="00756D85"/>
    <w:rsid w:val="00756DA3"/>
    <w:rsid w:val="00756E78"/>
    <w:rsid w:val="00756F5B"/>
    <w:rsid w:val="00757070"/>
    <w:rsid w:val="00757158"/>
    <w:rsid w:val="0075719F"/>
    <w:rsid w:val="007571AD"/>
    <w:rsid w:val="0075720F"/>
    <w:rsid w:val="007572F9"/>
    <w:rsid w:val="00757367"/>
    <w:rsid w:val="007573AE"/>
    <w:rsid w:val="00757503"/>
    <w:rsid w:val="00757650"/>
    <w:rsid w:val="007576BB"/>
    <w:rsid w:val="007576D0"/>
    <w:rsid w:val="007576E0"/>
    <w:rsid w:val="00757718"/>
    <w:rsid w:val="00757742"/>
    <w:rsid w:val="00757745"/>
    <w:rsid w:val="0075777E"/>
    <w:rsid w:val="007577A5"/>
    <w:rsid w:val="007577C8"/>
    <w:rsid w:val="00757971"/>
    <w:rsid w:val="007579CD"/>
    <w:rsid w:val="00757A6E"/>
    <w:rsid w:val="00757BC4"/>
    <w:rsid w:val="00757C7B"/>
    <w:rsid w:val="00757C99"/>
    <w:rsid w:val="00757CA6"/>
    <w:rsid w:val="00757CDB"/>
    <w:rsid w:val="00757DF5"/>
    <w:rsid w:val="00757F8F"/>
    <w:rsid w:val="0076003E"/>
    <w:rsid w:val="007600C7"/>
    <w:rsid w:val="0076012F"/>
    <w:rsid w:val="00760185"/>
    <w:rsid w:val="007601A9"/>
    <w:rsid w:val="007601AD"/>
    <w:rsid w:val="0076022C"/>
    <w:rsid w:val="0076027A"/>
    <w:rsid w:val="00760336"/>
    <w:rsid w:val="0076040B"/>
    <w:rsid w:val="00760466"/>
    <w:rsid w:val="007604C5"/>
    <w:rsid w:val="00760660"/>
    <w:rsid w:val="00760754"/>
    <w:rsid w:val="00760767"/>
    <w:rsid w:val="007607B8"/>
    <w:rsid w:val="007607EA"/>
    <w:rsid w:val="0076081F"/>
    <w:rsid w:val="007608B4"/>
    <w:rsid w:val="00760931"/>
    <w:rsid w:val="00760A41"/>
    <w:rsid w:val="00760B02"/>
    <w:rsid w:val="00760B1A"/>
    <w:rsid w:val="00760B75"/>
    <w:rsid w:val="00760C85"/>
    <w:rsid w:val="00760D97"/>
    <w:rsid w:val="00760EB3"/>
    <w:rsid w:val="00760F97"/>
    <w:rsid w:val="00761075"/>
    <w:rsid w:val="0076108B"/>
    <w:rsid w:val="007610DE"/>
    <w:rsid w:val="00761141"/>
    <w:rsid w:val="007611CD"/>
    <w:rsid w:val="0076125D"/>
    <w:rsid w:val="00761269"/>
    <w:rsid w:val="00761299"/>
    <w:rsid w:val="007612D5"/>
    <w:rsid w:val="007612DC"/>
    <w:rsid w:val="00761342"/>
    <w:rsid w:val="007613DB"/>
    <w:rsid w:val="00761446"/>
    <w:rsid w:val="00761455"/>
    <w:rsid w:val="0076146F"/>
    <w:rsid w:val="0076155B"/>
    <w:rsid w:val="007615A5"/>
    <w:rsid w:val="007616B0"/>
    <w:rsid w:val="0076175C"/>
    <w:rsid w:val="007617E6"/>
    <w:rsid w:val="0076182F"/>
    <w:rsid w:val="0076185B"/>
    <w:rsid w:val="0076188D"/>
    <w:rsid w:val="007618AE"/>
    <w:rsid w:val="00761914"/>
    <w:rsid w:val="0076194B"/>
    <w:rsid w:val="00761A08"/>
    <w:rsid w:val="00761CAE"/>
    <w:rsid w:val="00761D12"/>
    <w:rsid w:val="00761DBA"/>
    <w:rsid w:val="00761F1C"/>
    <w:rsid w:val="00761F73"/>
    <w:rsid w:val="00761F77"/>
    <w:rsid w:val="00761FC3"/>
    <w:rsid w:val="00761FF3"/>
    <w:rsid w:val="00762077"/>
    <w:rsid w:val="00762132"/>
    <w:rsid w:val="007621AB"/>
    <w:rsid w:val="00762350"/>
    <w:rsid w:val="00762467"/>
    <w:rsid w:val="00762492"/>
    <w:rsid w:val="007625FB"/>
    <w:rsid w:val="007626AC"/>
    <w:rsid w:val="0076275A"/>
    <w:rsid w:val="00762819"/>
    <w:rsid w:val="00762906"/>
    <w:rsid w:val="00762A49"/>
    <w:rsid w:val="00762A77"/>
    <w:rsid w:val="00762A93"/>
    <w:rsid w:val="00762AC9"/>
    <w:rsid w:val="00762BC9"/>
    <w:rsid w:val="00762BE2"/>
    <w:rsid w:val="00762D68"/>
    <w:rsid w:val="00762ECC"/>
    <w:rsid w:val="00762FAD"/>
    <w:rsid w:val="00762FCE"/>
    <w:rsid w:val="00762FDD"/>
    <w:rsid w:val="00763051"/>
    <w:rsid w:val="00763098"/>
    <w:rsid w:val="007631EA"/>
    <w:rsid w:val="007631F3"/>
    <w:rsid w:val="007632CE"/>
    <w:rsid w:val="0076336D"/>
    <w:rsid w:val="0076341E"/>
    <w:rsid w:val="00763589"/>
    <w:rsid w:val="007635CD"/>
    <w:rsid w:val="007636FC"/>
    <w:rsid w:val="0076371C"/>
    <w:rsid w:val="0076373E"/>
    <w:rsid w:val="00763810"/>
    <w:rsid w:val="00763870"/>
    <w:rsid w:val="007638AD"/>
    <w:rsid w:val="00763985"/>
    <w:rsid w:val="0076398F"/>
    <w:rsid w:val="007639B7"/>
    <w:rsid w:val="00763A0E"/>
    <w:rsid w:val="00763A89"/>
    <w:rsid w:val="00763B44"/>
    <w:rsid w:val="00763B63"/>
    <w:rsid w:val="00763BA9"/>
    <w:rsid w:val="00763BC6"/>
    <w:rsid w:val="00763C21"/>
    <w:rsid w:val="00763CF4"/>
    <w:rsid w:val="00763E5C"/>
    <w:rsid w:val="00763E81"/>
    <w:rsid w:val="007641AF"/>
    <w:rsid w:val="00764269"/>
    <w:rsid w:val="007643DA"/>
    <w:rsid w:val="0076440E"/>
    <w:rsid w:val="0076442A"/>
    <w:rsid w:val="007645B5"/>
    <w:rsid w:val="007645E9"/>
    <w:rsid w:val="007646A8"/>
    <w:rsid w:val="007646F7"/>
    <w:rsid w:val="007647CE"/>
    <w:rsid w:val="00764874"/>
    <w:rsid w:val="00764896"/>
    <w:rsid w:val="00764954"/>
    <w:rsid w:val="00764A58"/>
    <w:rsid w:val="00764CD6"/>
    <w:rsid w:val="00764CF2"/>
    <w:rsid w:val="00764E17"/>
    <w:rsid w:val="00764E1A"/>
    <w:rsid w:val="00764F5E"/>
    <w:rsid w:val="007650F3"/>
    <w:rsid w:val="007651AC"/>
    <w:rsid w:val="007651DF"/>
    <w:rsid w:val="0076521F"/>
    <w:rsid w:val="00765272"/>
    <w:rsid w:val="007652D8"/>
    <w:rsid w:val="0076538B"/>
    <w:rsid w:val="0076542F"/>
    <w:rsid w:val="007654A9"/>
    <w:rsid w:val="00765529"/>
    <w:rsid w:val="00765570"/>
    <w:rsid w:val="0076567E"/>
    <w:rsid w:val="007656C7"/>
    <w:rsid w:val="007657F0"/>
    <w:rsid w:val="007658F3"/>
    <w:rsid w:val="00765961"/>
    <w:rsid w:val="0076596A"/>
    <w:rsid w:val="0076599C"/>
    <w:rsid w:val="007659D3"/>
    <w:rsid w:val="00765A0C"/>
    <w:rsid w:val="00765A2E"/>
    <w:rsid w:val="00765ABD"/>
    <w:rsid w:val="00765B04"/>
    <w:rsid w:val="00765BF7"/>
    <w:rsid w:val="00765C50"/>
    <w:rsid w:val="00765DAA"/>
    <w:rsid w:val="00765E2B"/>
    <w:rsid w:val="00765E47"/>
    <w:rsid w:val="00765E65"/>
    <w:rsid w:val="00765F65"/>
    <w:rsid w:val="00765F90"/>
    <w:rsid w:val="00765FA4"/>
    <w:rsid w:val="00766161"/>
    <w:rsid w:val="007661F2"/>
    <w:rsid w:val="007662D3"/>
    <w:rsid w:val="00766321"/>
    <w:rsid w:val="0076644E"/>
    <w:rsid w:val="007664B0"/>
    <w:rsid w:val="00766568"/>
    <w:rsid w:val="007665A1"/>
    <w:rsid w:val="007665DD"/>
    <w:rsid w:val="00766617"/>
    <w:rsid w:val="00766653"/>
    <w:rsid w:val="00766668"/>
    <w:rsid w:val="00766695"/>
    <w:rsid w:val="007666F3"/>
    <w:rsid w:val="00766779"/>
    <w:rsid w:val="0076678D"/>
    <w:rsid w:val="007668B0"/>
    <w:rsid w:val="007668C9"/>
    <w:rsid w:val="007668F7"/>
    <w:rsid w:val="00766A1C"/>
    <w:rsid w:val="00766A78"/>
    <w:rsid w:val="00766AD6"/>
    <w:rsid w:val="00766B07"/>
    <w:rsid w:val="00766B60"/>
    <w:rsid w:val="00766BFD"/>
    <w:rsid w:val="00766CEC"/>
    <w:rsid w:val="00766D64"/>
    <w:rsid w:val="00766DA6"/>
    <w:rsid w:val="00766DEF"/>
    <w:rsid w:val="00766E9F"/>
    <w:rsid w:val="00766F74"/>
    <w:rsid w:val="00766FA8"/>
    <w:rsid w:val="00767024"/>
    <w:rsid w:val="0076706C"/>
    <w:rsid w:val="007670C7"/>
    <w:rsid w:val="007671F1"/>
    <w:rsid w:val="007672EA"/>
    <w:rsid w:val="00767394"/>
    <w:rsid w:val="007673F5"/>
    <w:rsid w:val="007675A9"/>
    <w:rsid w:val="00767696"/>
    <w:rsid w:val="007676B3"/>
    <w:rsid w:val="00767798"/>
    <w:rsid w:val="0076787A"/>
    <w:rsid w:val="007678D4"/>
    <w:rsid w:val="007678FD"/>
    <w:rsid w:val="00767988"/>
    <w:rsid w:val="007679F5"/>
    <w:rsid w:val="00767B4F"/>
    <w:rsid w:val="00767BB9"/>
    <w:rsid w:val="00767BD0"/>
    <w:rsid w:val="00767CDD"/>
    <w:rsid w:val="00767F6B"/>
    <w:rsid w:val="00767FCF"/>
    <w:rsid w:val="00767FE2"/>
    <w:rsid w:val="00767FE9"/>
    <w:rsid w:val="0077006E"/>
    <w:rsid w:val="0077008D"/>
    <w:rsid w:val="0077008E"/>
    <w:rsid w:val="0077011F"/>
    <w:rsid w:val="007701CD"/>
    <w:rsid w:val="0077023C"/>
    <w:rsid w:val="007702EC"/>
    <w:rsid w:val="0077041C"/>
    <w:rsid w:val="00770446"/>
    <w:rsid w:val="007704E8"/>
    <w:rsid w:val="00770548"/>
    <w:rsid w:val="007707C6"/>
    <w:rsid w:val="007707E2"/>
    <w:rsid w:val="00770820"/>
    <w:rsid w:val="00770828"/>
    <w:rsid w:val="007708E8"/>
    <w:rsid w:val="00770919"/>
    <w:rsid w:val="00770933"/>
    <w:rsid w:val="007709BA"/>
    <w:rsid w:val="007709D2"/>
    <w:rsid w:val="00770A85"/>
    <w:rsid w:val="00770AD2"/>
    <w:rsid w:val="00770B74"/>
    <w:rsid w:val="00770BA4"/>
    <w:rsid w:val="00770C02"/>
    <w:rsid w:val="00770CA7"/>
    <w:rsid w:val="00770CA8"/>
    <w:rsid w:val="00770D26"/>
    <w:rsid w:val="00770E35"/>
    <w:rsid w:val="00770E54"/>
    <w:rsid w:val="00770E9C"/>
    <w:rsid w:val="00770ED0"/>
    <w:rsid w:val="00770F12"/>
    <w:rsid w:val="00770F63"/>
    <w:rsid w:val="00770FC4"/>
    <w:rsid w:val="00770FEB"/>
    <w:rsid w:val="00771056"/>
    <w:rsid w:val="00771142"/>
    <w:rsid w:val="00771277"/>
    <w:rsid w:val="00771456"/>
    <w:rsid w:val="00771495"/>
    <w:rsid w:val="00771623"/>
    <w:rsid w:val="00771664"/>
    <w:rsid w:val="007716AA"/>
    <w:rsid w:val="007716F5"/>
    <w:rsid w:val="007716FA"/>
    <w:rsid w:val="00771776"/>
    <w:rsid w:val="007717CE"/>
    <w:rsid w:val="0077186B"/>
    <w:rsid w:val="007718D3"/>
    <w:rsid w:val="007719C9"/>
    <w:rsid w:val="00771B50"/>
    <w:rsid w:val="00771C4B"/>
    <w:rsid w:val="00771D22"/>
    <w:rsid w:val="00771E3F"/>
    <w:rsid w:val="00771F6B"/>
    <w:rsid w:val="00771FED"/>
    <w:rsid w:val="00772001"/>
    <w:rsid w:val="0077208A"/>
    <w:rsid w:val="00772108"/>
    <w:rsid w:val="0077212C"/>
    <w:rsid w:val="00772180"/>
    <w:rsid w:val="007721AA"/>
    <w:rsid w:val="0077220C"/>
    <w:rsid w:val="007723AD"/>
    <w:rsid w:val="00772451"/>
    <w:rsid w:val="007725CB"/>
    <w:rsid w:val="007725F5"/>
    <w:rsid w:val="00772617"/>
    <w:rsid w:val="0077268F"/>
    <w:rsid w:val="0077283E"/>
    <w:rsid w:val="007728D5"/>
    <w:rsid w:val="007728E4"/>
    <w:rsid w:val="007729DD"/>
    <w:rsid w:val="007729E6"/>
    <w:rsid w:val="00772A83"/>
    <w:rsid w:val="00772AA4"/>
    <w:rsid w:val="00772AB0"/>
    <w:rsid w:val="00772B14"/>
    <w:rsid w:val="00772BD1"/>
    <w:rsid w:val="00772BF1"/>
    <w:rsid w:val="00772D65"/>
    <w:rsid w:val="00772E7E"/>
    <w:rsid w:val="00772F50"/>
    <w:rsid w:val="00772F88"/>
    <w:rsid w:val="00772F9F"/>
    <w:rsid w:val="00772FAB"/>
    <w:rsid w:val="00772FC0"/>
    <w:rsid w:val="00773002"/>
    <w:rsid w:val="0077304B"/>
    <w:rsid w:val="0077310A"/>
    <w:rsid w:val="007732D5"/>
    <w:rsid w:val="007732D9"/>
    <w:rsid w:val="00773389"/>
    <w:rsid w:val="007733E5"/>
    <w:rsid w:val="00773561"/>
    <w:rsid w:val="007735CA"/>
    <w:rsid w:val="0077371C"/>
    <w:rsid w:val="0077372B"/>
    <w:rsid w:val="0077374B"/>
    <w:rsid w:val="0077378D"/>
    <w:rsid w:val="0077383C"/>
    <w:rsid w:val="007738A0"/>
    <w:rsid w:val="00773A43"/>
    <w:rsid w:val="00773A82"/>
    <w:rsid w:val="00773A86"/>
    <w:rsid w:val="00773ABB"/>
    <w:rsid w:val="00773AC0"/>
    <w:rsid w:val="00773AF3"/>
    <w:rsid w:val="00773B67"/>
    <w:rsid w:val="00773C65"/>
    <w:rsid w:val="00773DA1"/>
    <w:rsid w:val="00773E01"/>
    <w:rsid w:val="00773E2C"/>
    <w:rsid w:val="00773E75"/>
    <w:rsid w:val="0077401B"/>
    <w:rsid w:val="0077403E"/>
    <w:rsid w:val="007742AF"/>
    <w:rsid w:val="007742B4"/>
    <w:rsid w:val="007742EA"/>
    <w:rsid w:val="00774397"/>
    <w:rsid w:val="0077449B"/>
    <w:rsid w:val="007745EC"/>
    <w:rsid w:val="0077467D"/>
    <w:rsid w:val="00774718"/>
    <w:rsid w:val="007747BE"/>
    <w:rsid w:val="007748B8"/>
    <w:rsid w:val="007748F1"/>
    <w:rsid w:val="00774998"/>
    <w:rsid w:val="00774A10"/>
    <w:rsid w:val="00774A89"/>
    <w:rsid w:val="00774B8D"/>
    <w:rsid w:val="00774C84"/>
    <w:rsid w:val="00774DD6"/>
    <w:rsid w:val="00774EB9"/>
    <w:rsid w:val="00774FA7"/>
    <w:rsid w:val="00774FE7"/>
    <w:rsid w:val="00775068"/>
    <w:rsid w:val="007750CF"/>
    <w:rsid w:val="00775181"/>
    <w:rsid w:val="00775184"/>
    <w:rsid w:val="00775192"/>
    <w:rsid w:val="00775282"/>
    <w:rsid w:val="007752CB"/>
    <w:rsid w:val="007752F5"/>
    <w:rsid w:val="0077530E"/>
    <w:rsid w:val="00775402"/>
    <w:rsid w:val="0077541D"/>
    <w:rsid w:val="007754B7"/>
    <w:rsid w:val="007754D0"/>
    <w:rsid w:val="0077557F"/>
    <w:rsid w:val="007755B4"/>
    <w:rsid w:val="007755BC"/>
    <w:rsid w:val="007755C7"/>
    <w:rsid w:val="007755FF"/>
    <w:rsid w:val="00775654"/>
    <w:rsid w:val="007757AC"/>
    <w:rsid w:val="007757B1"/>
    <w:rsid w:val="007759B0"/>
    <w:rsid w:val="00775B5D"/>
    <w:rsid w:val="00775C4F"/>
    <w:rsid w:val="00775C75"/>
    <w:rsid w:val="00775D00"/>
    <w:rsid w:val="00775DC4"/>
    <w:rsid w:val="00775FC2"/>
    <w:rsid w:val="00775FF3"/>
    <w:rsid w:val="00776039"/>
    <w:rsid w:val="007760E9"/>
    <w:rsid w:val="00776112"/>
    <w:rsid w:val="007761BA"/>
    <w:rsid w:val="007762A8"/>
    <w:rsid w:val="007763A5"/>
    <w:rsid w:val="0077664E"/>
    <w:rsid w:val="00776699"/>
    <w:rsid w:val="007767CA"/>
    <w:rsid w:val="007767FE"/>
    <w:rsid w:val="00776874"/>
    <w:rsid w:val="00776A5E"/>
    <w:rsid w:val="00776AFE"/>
    <w:rsid w:val="00776C7D"/>
    <w:rsid w:val="00776CA3"/>
    <w:rsid w:val="00776CD2"/>
    <w:rsid w:val="00776D2E"/>
    <w:rsid w:val="00776DBB"/>
    <w:rsid w:val="00776DC5"/>
    <w:rsid w:val="00776DCF"/>
    <w:rsid w:val="00776DE4"/>
    <w:rsid w:val="00776E2B"/>
    <w:rsid w:val="00776EB4"/>
    <w:rsid w:val="00776EB6"/>
    <w:rsid w:val="00776EFC"/>
    <w:rsid w:val="0077700B"/>
    <w:rsid w:val="0077702D"/>
    <w:rsid w:val="0077734E"/>
    <w:rsid w:val="00777382"/>
    <w:rsid w:val="0077739A"/>
    <w:rsid w:val="00777549"/>
    <w:rsid w:val="0077757A"/>
    <w:rsid w:val="00777736"/>
    <w:rsid w:val="00777875"/>
    <w:rsid w:val="00777A99"/>
    <w:rsid w:val="00777A9E"/>
    <w:rsid w:val="00777D0F"/>
    <w:rsid w:val="00777D1C"/>
    <w:rsid w:val="00777D40"/>
    <w:rsid w:val="00777F0C"/>
    <w:rsid w:val="00777F53"/>
    <w:rsid w:val="00780017"/>
    <w:rsid w:val="00780051"/>
    <w:rsid w:val="00780361"/>
    <w:rsid w:val="007803F1"/>
    <w:rsid w:val="0078045E"/>
    <w:rsid w:val="007804A6"/>
    <w:rsid w:val="00780659"/>
    <w:rsid w:val="00780685"/>
    <w:rsid w:val="007806DF"/>
    <w:rsid w:val="007806F0"/>
    <w:rsid w:val="007807AB"/>
    <w:rsid w:val="0078081D"/>
    <w:rsid w:val="007808F6"/>
    <w:rsid w:val="0078090D"/>
    <w:rsid w:val="0078096D"/>
    <w:rsid w:val="00780AFD"/>
    <w:rsid w:val="00780BDF"/>
    <w:rsid w:val="00780C2A"/>
    <w:rsid w:val="00780D86"/>
    <w:rsid w:val="00780E44"/>
    <w:rsid w:val="00780E92"/>
    <w:rsid w:val="00780EB6"/>
    <w:rsid w:val="007810CA"/>
    <w:rsid w:val="007810E3"/>
    <w:rsid w:val="007811C2"/>
    <w:rsid w:val="007811F9"/>
    <w:rsid w:val="0078123D"/>
    <w:rsid w:val="0078124D"/>
    <w:rsid w:val="007813DC"/>
    <w:rsid w:val="007814B6"/>
    <w:rsid w:val="007814D1"/>
    <w:rsid w:val="00781536"/>
    <w:rsid w:val="00781583"/>
    <w:rsid w:val="007815A8"/>
    <w:rsid w:val="00781659"/>
    <w:rsid w:val="00781708"/>
    <w:rsid w:val="0078179F"/>
    <w:rsid w:val="00781846"/>
    <w:rsid w:val="0078186E"/>
    <w:rsid w:val="00781978"/>
    <w:rsid w:val="00781BA7"/>
    <w:rsid w:val="00781BAB"/>
    <w:rsid w:val="00781BFB"/>
    <w:rsid w:val="00781C5F"/>
    <w:rsid w:val="00781C66"/>
    <w:rsid w:val="00781C71"/>
    <w:rsid w:val="00781DF4"/>
    <w:rsid w:val="00781E1A"/>
    <w:rsid w:val="00781E23"/>
    <w:rsid w:val="00781EA7"/>
    <w:rsid w:val="00781EE7"/>
    <w:rsid w:val="00781F83"/>
    <w:rsid w:val="00781FAD"/>
    <w:rsid w:val="00781FF6"/>
    <w:rsid w:val="00782005"/>
    <w:rsid w:val="007821BE"/>
    <w:rsid w:val="0078231A"/>
    <w:rsid w:val="007823A1"/>
    <w:rsid w:val="007823DB"/>
    <w:rsid w:val="007824B0"/>
    <w:rsid w:val="007825CD"/>
    <w:rsid w:val="00782691"/>
    <w:rsid w:val="007826E9"/>
    <w:rsid w:val="0078279B"/>
    <w:rsid w:val="007827C4"/>
    <w:rsid w:val="0078283D"/>
    <w:rsid w:val="0078284D"/>
    <w:rsid w:val="00782861"/>
    <w:rsid w:val="007828E8"/>
    <w:rsid w:val="007828ED"/>
    <w:rsid w:val="0078291A"/>
    <w:rsid w:val="00782AB7"/>
    <w:rsid w:val="00782B1E"/>
    <w:rsid w:val="00782B66"/>
    <w:rsid w:val="00782BC5"/>
    <w:rsid w:val="00782C18"/>
    <w:rsid w:val="00782C8E"/>
    <w:rsid w:val="00782CCB"/>
    <w:rsid w:val="00782D71"/>
    <w:rsid w:val="00782D88"/>
    <w:rsid w:val="00782DC6"/>
    <w:rsid w:val="00782E85"/>
    <w:rsid w:val="00782ECF"/>
    <w:rsid w:val="0078303B"/>
    <w:rsid w:val="007830DE"/>
    <w:rsid w:val="00783172"/>
    <w:rsid w:val="007831D2"/>
    <w:rsid w:val="007831F0"/>
    <w:rsid w:val="00783234"/>
    <w:rsid w:val="007832AB"/>
    <w:rsid w:val="007832AE"/>
    <w:rsid w:val="0078334D"/>
    <w:rsid w:val="0078342C"/>
    <w:rsid w:val="007834BE"/>
    <w:rsid w:val="007834F6"/>
    <w:rsid w:val="00783509"/>
    <w:rsid w:val="00783549"/>
    <w:rsid w:val="007835B7"/>
    <w:rsid w:val="00783635"/>
    <w:rsid w:val="00783693"/>
    <w:rsid w:val="007836E1"/>
    <w:rsid w:val="00783716"/>
    <w:rsid w:val="0078371D"/>
    <w:rsid w:val="0078374C"/>
    <w:rsid w:val="00783803"/>
    <w:rsid w:val="0078387C"/>
    <w:rsid w:val="007839FF"/>
    <w:rsid w:val="00783ADF"/>
    <w:rsid w:val="00783AE0"/>
    <w:rsid w:val="00783B97"/>
    <w:rsid w:val="00783C21"/>
    <w:rsid w:val="00783C84"/>
    <w:rsid w:val="00783C9D"/>
    <w:rsid w:val="00783D48"/>
    <w:rsid w:val="00783E51"/>
    <w:rsid w:val="00783E7D"/>
    <w:rsid w:val="00783F2C"/>
    <w:rsid w:val="00783F4A"/>
    <w:rsid w:val="00783F94"/>
    <w:rsid w:val="00783FEE"/>
    <w:rsid w:val="00784113"/>
    <w:rsid w:val="007842AE"/>
    <w:rsid w:val="00784302"/>
    <w:rsid w:val="00784320"/>
    <w:rsid w:val="0078435F"/>
    <w:rsid w:val="00784410"/>
    <w:rsid w:val="0078441B"/>
    <w:rsid w:val="00784447"/>
    <w:rsid w:val="007846AF"/>
    <w:rsid w:val="007847B5"/>
    <w:rsid w:val="007847E9"/>
    <w:rsid w:val="00784996"/>
    <w:rsid w:val="007849A6"/>
    <w:rsid w:val="007849C4"/>
    <w:rsid w:val="00784B17"/>
    <w:rsid w:val="00784B3E"/>
    <w:rsid w:val="00784CD4"/>
    <w:rsid w:val="00784D1A"/>
    <w:rsid w:val="00784D2D"/>
    <w:rsid w:val="00784E77"/>
    <w:rsid w:val="00784FCD"/>
    <w:rsid w:val="00785173"/>
    <w:rsid w:val="007851DC"/>
    <w:rsid w:val="00785210"/>
    <w:rsid w:val="0078526F"/>
    <w:rsid w:val="00785299"/>
    <w:rsid w:val="0078549C"/>
    <w:rsid w:val="007855EB"/>
    <w:rsid w:val="0078563B"/>
    <w:rsid w:val="00785655"/>
    <w:rsid w:val="00785736"/>
    <w:rsid w:val="00785783"/>
    <w:rsid w:val="007857EE"/>
    <w:rsid w:val="0078580D"/>
    <w:rsid w:val="00785993"/>
    <w:rsid w:val="00785A1A"/>
    <w:rsid w:val="00785C6B"/>
    <w:rsid w:val="00785D15"/>
    <w:rsid w:val="00785D19"/>
    <w:rsid w:val="00785D65"/>
    <w:rsid w:val="00785D6B"/>
    <w:rsid w:val="00785E05"/>
    <w:rsid w:val="00785F07"/>
    <w:rsid w:val="00785F09"/>
    <w:rsid w:val="0078604B"/>
    <w:rsid w:val="00786111"/>
    <w:rsid w:val="0078616A"/>
    <w:rsid w:val="007861ED"/>
    <w:rsid w:val="007861FB"/>
    <w:rsid w:val="0078620B"/>
    <w:rsid w:val="00786223"/>
    <w:rsid w:val="00786245"/>
    <w:rsid w:val="007863D8"/>
    <w:rsid w:val="0078645D"/>
    <w:rsid w:val="007864F4"/>
    <w:rsid w:val="00786917"/>
    <w:rsid w:val="00786956"/>
    <w:rsid w:val="00786AA2"/>
    <w:rsid w:val="00786ACA"/>
    <w:rsid w:val="00786B7E"/>
    <w:rsid w:val="00786B95"/>
    <w:rsid w:val="00786BF8"/>
    <w:rsid w:val="00786E7D"/>
    <w:rsid w:val="00786EAD"/>
    <w:rsid w:val="00786EC9"/>
    <w:rsid w:val="00786F4F"/>
    <w:rsid w:val="00787010"/>
    <w:rsid w:val="00787135"/>
    <w:rsid w:val="007871BD"/>
    <w:rsid w:val="007871DC"/>
    <w:rsid w:val="007871F7"/>
    <w:rsid w:val="00787246"/>
    <w:rsid w:val="0078726C"/>
    <w:rsid w:val="00787274"/>
    <w:rsid w:val="007873D3"/>
    <w:rsid w:val="007873DB"/>
    <w:rsid w:val="007873EE"/>
    <w:rsid w:val="007874AE"/>
    <w:rsid w:val="00787542"/>
    <w:rsid w:val="00787609"/>
    <w:rsid w:val="007876E4"/>
    <w:rsid w:val="00787719"/>
    <w:rsid w:val="007878A7"/>
    <w:rsid w:val="00787A47"/>
    <w:rsid w:val="00787A8C"/>
    <w:rsid w:val="00787BB2"/>
    <w:rsid w:val="00787BD8"/>
    <w:rsid w:val="00787DCD"/>
    <w:rsid w:val="00787E0A"/>
    <w:rsid w:val="00787E4A"/>
    <w:rsid w:val="00787F0B"/>
    <w:rsid w:val="00787FF6"/>
    <w:rsid w:val="0079008B"/>
    <w:rsid w:val="00790137"/>
    <w:rsid w:val="00790142"/>
    <w:rsid w:val="00790146"/>
    <w:rsid w:val="007901B4"/>
    <w:rsid w:val="00790527"/>
    <w:rsid w:val="00790551"/>
    <w:rsid w:val="0079063B"/>
    <w:rsid w:val="007906F5"/>
    <w:rsid w:val="007907BD"/>
    <w:rsid w:val="007907FB"/>
    <w:rsid w:val="007908CF"/>
    <w:rsid w:val="0079091C"/>
    <w:rsid w:val="00790958"/>
    <w:rsid w:val="00790976"/>
    <w:rsid w:val="007909E9"/>
    <w:rsid w:val="00790A4C"/>
    <w:rsid w:val="00790AF2"/>
    <w:rsid w:val="00790B26"/>
    <w:rsid w:val="00790B6B"/>
    <w:rsid w:val="00790B8D"/>
    <w:rsid w:val="00790C7C"/>
    <w:rsid w:val="00790D1C"/>
    <w:rsid w:val="00790F66"/>
    <w:rsid w:val="007910E8"/>
    <w:rsid w:val="007911CA"/>
    <w:rsid w:val="0079129B"/>
    <w:rsid w:val="007912E4"/>
    <w:rsid w:val="00791396"/>
    <w:rsid w:val="007913BF"/>
    <w:rsid w:val="007913E7"/>
    <w:rsid w:val="00791669"/>
    <w:rsid w:val="007916D5"/>
    <w:rsid w:val="0079181F"/>
    <w:rsid w:val="007918D6"/>
    <w:rsid w:val="007919BA"/>
    <w:rsid w:val="007919CE"/>
    <w:rsid w:val="00791A49"/>
    <w:rsid w:val="00791A58"/>
    <w:rsid w:val="00791AB5"/>
    <w:rsid w:val="00791AD7"/>
    <w:rsid w:val="00791CE1"/>
    <w:rsid w:val="007920F0"/>
    <w:rsid w:val="00792227"/>
    <w:rsid w:val="00792382"/>
    <w:rsid w:val="007923D9"/>
    <w:rsid w:val="007923DF"/>
    <w:rsid w:val="00792477"/>
    <w:rsid w:val="0079249F"/>
    <w:rsid w:val="007924E0"/>
    <w:rsid w:val="007924F4"/>
    <w:rsid w:val="00792527"/>
    <w:rsid w:val="0079255C"/>
    <w:rsid w:val="0079269B"/>
    <w:rsid w:val="00792796"/>
    <w:rsid w:val="00792860"/>
    <w:rsid w:val="0079294D"/>
    <w:rsid w:val="0079296D"/>
    <w:rsid w:val="007929F6"/>
    <w:rsid w:val="00792A7D"/>
    <w:rsid w:val="00792BB5"/>
    <w:rsid w:val="00792C1D"/>
    <w:rsid w:val="00792C3D"/>
    <w:rsid w:val="00792E2B"/>
    <w:rsid w:val="00792F0D"/>
    <w:rsid w:val="00793041"/>
    <w:rsid w:val="00793045"/>
    <w:rsid w:val="0079308D"/>
    <w:rsid w:val="0079311F"/>
    <w:rsid w:val="00793252"/>
    <w:rsid w:val="007932B1"/>
    <w:rsid w:val="0079333E"/>
    <w:rsid w:val="0079333F"/>
    <w:rsid w:val="00793364"/>
    <w:rsid w:val="00793376"/>
    <w:rsid w:val="00793559"/>
    <w:rsid w:val="007935A8"/>
    <w:rsid w:val="007935D2"/>
    <w:rsid w:val="007936B1"/>
    <w:rsid w:val="007938F2"/>
    <w:rsid w:val="00793AC7"/>
    <w:rsid w:val="00793AE3"/>
    <w:rsid w:val="00793BD4"/>
    <w:rsid w:val="00793C46"/>
    <w:rsid w:val="00793D57"/>
    <w:rsid w:val="00793DB5"/>
    <w:rsid w:val="00793F76"/>
    <w:rsid w:val="00794154"/>
    <w:rsid w:val="00794186"/>
    <w:rsid w:val="007941FA"/>
    <w:rsid w:val="00794320"/>
    <w:rsid w:val="00794403"/>
    <w:rsid w:val="00794433"/>
    <w:rsid w:val="00794498"/>
    <w:rsid w:val="007944B7"/>
    <w:rsid w:val="007944D3"/>
    <w:rsid w:val="00794523"/>
    <w:rsid w:val="007945B9"/>
    <w:rsid w:val="00794642"/>
    <w:rsid w:val="0079472D"/>
    <w:rsid w:val="007948D8"/>
    <w:rsid w:val="007949FB"/>
    <w:rsid w:val="00794A04"/>
    <w:rsid w:val="00794ADA"/>
    <w:rsid w:val="00794B51"/>
    <w:rsid w:val="00794BEF"/>
    <w:rsid w:val="00794DE1"/>
    <w:rsid w:val="00794E65"/>
    <w:rsid w:val="00794EA3"/>
    <w:rsid w:val="00794ED7"/>
    <w:rsid w:val="0079501E"/>
    <w:rsid w:val="00795091"/>
    <w:rsid w:val="0079512C"/>
    <w:rsid w:val="007952BD"/>
    <w:rsid w:val="00795636"/>
    <w:rsid w:val="00795816"/>
    <w:rsid w:val="0079581F"/>
    <w:rsid w:val="00795850"/>
    <w:rsid w:val="007958E1"/>
    <w:rsid w:val="00795A62"/>
    <w:rsid w:val="00795B77"/>
    <w:rsid w:val="00795BCE"/>
    <w:rsid w:val="00795BDD"/>
    <w:rsid w:val="00795D2C"/>
    <w:rsid w:val="00795D5E"/>
    <w:rsid w:val="00795DB1"/>
    <w:rsid w:val="00795DE3"/>
    <w:rsid w:val="00795E99"/>
    <w:rsid w:val="00796097"/>
    <w:rsid w:val="007960C9"/>
    <w:rsid w:val="00796147"/>
    <w:rsid w:val="00796174"/>
    <w:rsid w:val="00796282"/>
    <w:rsid w:val="00796295"/>
    <w:rsid w:val="007962B6"/>
    <w:rsid w:val="00796375"/>
    <w:rsid w:val="007964D5"/>
    <w:rsid w:val="007964E5"/>
    <w:rsid w:val="007965F6"/>
    <w:rsid w:val="007966F9"/>
    <w:rsid w:val="0079673B"/>
    <w:rsid w:val="00796762"/>
    <w:rsid w:val="0079684A"/>
    <w:rsid w:val="00796852"/>
    <w:rsid w:val="0079687C"/>
    <w:rsid w:val="00796973"/>
    <w:rsid w:val="00796AE7"/>
    <w:rsid w:val="00796B38"/>
    <w:rsid w:val="00796C08"/>
    <w:rsid w:val="00796C58"/>
    <w:rsid w:val="00796CEC"/>
    <w:rsid w:val="00796D0B"/>
    <w:rsid w:val="00796E62"/>
    <w:rsid w:val="00796E69"/>
    <w:rsid w:val="00796ED5"/>
    <w:rsid w:val="00796EF6"/>
    <w:rsid w:val="00797086"/>
    <w:rsid w:val="007970F9"/>
    <w:rsid w:val="0079710E"/>
    <w:rsid w:val="00797157"/>
    <w:rsid w:val="0079716B"/>
    <w:rsid w:val="00797251"/>
    <w:rsid w:val="00797403"/>
    <w:rsid w:val="0079744D"/>
    <w:rsid w:val="0079755B"/>
    <w:rsid w:val="0079759A"/>
    <w:rsid w:val="007975CE"/>
    <w:rsid w:val="007975CF"/>
    <w:rsid w:val="007975DC"/>
    <w:rsid w:val="007977BB"/>
    <w:rsid w:val="00797820"/>
    <w:rsid w:val="007978DB"/>
    <w:rsid w:val="00797985"/>
    <w:rsid w:val="00797A6F"/>
    <w:rsid w:val="00797AB4"/>
    <w:rsid w:val="00797B3A"/>
    <w:rsid w:val="00797B5D"/>
    <w:rsid w:val="00797B80"/>
    <w:rsid w:val="00797C26"/>
    <w:rsid w:val="00797C4C"/>
    <w:rsid w:val="00797C8B"/>
    <w:rsid w:val="00797DC2"/>
    <w:rsid w:val="00797E41"/>
    <w:rsid w:val="00797E52"/>
    <w:rsid w:val="00797F24"/>
    <w:rsid w:val="00797F41"/>
    <w:rsid w:val="00797FC7"/>
    <w:rsid w:val="00797FEA"/>
    <w:rsid w:val="007A0023"/>
    <w:rsid w:val="007A0052"/>
    <w:rsid w:val="007A0189"/>
    <w:rsid w:val="007A022B"/>
    <w:rsid w:val="007A023B"/>
    <w:rsid w:val="007A039B"/>
    <w:rsid w:val="007A04F5"/>
    <w:rsid w:val="007A061E"/>
    <w:rsid w:val="007A0698"/>
    <w:rsid w:val="007A0776"/>
    <w:rsid w:val="007A07B9"/>
    <w:rsid w:val="007A0858"/>
    <w:rsid w:val="007A086C"/>
    <w:rsid w:val="007A099E"/>
    <w:rsid w:val="007A0AC4"/>
    <w:rsid w:val="007A0D46"/>
    <w:rsid w:val="007A101C"/>
    <w:rsid w:val="007A1057"/>
    <w:rsid w:val="007A110A"/>
    <w:rsid w:val="007A1195"/>
    <w:rsid w:val="007A11FE"/>
    <w:rsid w:val="007A1269"/>
    <w:rsid w:val="007A1356"/>
    <w:rsid w:val="007A145B"/>
    <w:rsid w:val="007A147F"/>
    <w:rsid w:val="007A14B7"/>
    <w:rsid w:val="007A1583"/>
    <w:rsid w:val="007A16DE"/>
    <w:rsid w:val="007A16E1"/>
    <w:rsid w:val="007A186D"/>
    <w:rsid w:val="007A19A6"/>
    <w:rsid w:val="007A1A06"/>
    <w:rsid w:val="007A1ACF"/>
    <w:rsid w:val="007A1B06"/>
    <w:rsid w:val="007A1B0D"/>
    <w:rsid w:val="007A1BB8"/>
    <w:rsid w:val="007A1BC9"/>
    <w:rsid w:val="007A1BE6"/>
    <w:rsid w:val="007A1C01"/>
    <w:rsid w:val="007A1DEB"/>
    <w:rsid w:val="007A209E"/>
    <w:rsid w:val="007A2162"/>
    <w:rsid w:val="007A21E9"/>
    <w:rsid w:val="007A22BC"/>
    <w:rsid w:val="007A22D7"/>
    <w:rsid w:val="007A233D"/>
    <w:rsid w:val="007A2391"/>
    <w:rsid w:val="007A25C9"/>
    <w:rsid w:val="007A25D0"/>
    <w:rsid w:val="007A25F3"/>
    <w:rsid w:val="007A2684"/>
    <w:rsid w:val="007A274B"/>
    <w:rsid w:val="007A27AB"/>
    <w:rsid w:val="007A27ED"/>
    <w:rsid w:val="007A288F"/>
    <w:rsid w:val="007A28D4"/>
    <w:rsid w:val="007A29CB"/>
    <w:rsid w:val="007A2A48"/>
    <w:rsid w:val="007A2AD1"/>
    <w:rsid w:val="007A2C35"/>
    <w:rsid w:val="007A2DA9"/>
    <w:rsid w:val="007A2E0E"/>
    <w:rsid w:val="007A30AD"/>
    <w:rsid w:val="007A30FA"/>
    <w:rsid w:val="007A3140"/>
    <w:rsid w:val="007A3263"/>
    <w:rsid w:val="007A32F6"/>
    <w:rsid w:val="007A3305"/>
    <w:rsid w:val="007A34A2"/>
    <w:rsid w:val="007A351A"/>
    <w:rsid w:val="007A3585"/>
    <w:rsid w:val="007A35BA"/>
    <w:rsid w:val="007A365A"/>
    <w:rsid w:val="007A3660"/>
    <w:rsid w:val="007A3671"/>
    <w:rsid w:val="007A3788"/>
    <w:rsid w:val="007A37C9"/>
    <w:rsid w:val="007A399E"/>
    <w:rsid w:val="007A3A27"/>
    <w:rsid w:val="007A3A29"/>
    <w:rsid w:val="007A3BDB"/>
    <w:rsid w:val="007A3C0C"/>
    <w:rsid w:val="007A3C34"/>
    <w:rsid w:val="007A3EC0"/>
    <w:rsid w:val="007A4030"/>
    <w:rsid w:val="007A4122"/>
    <w:rsid w:val="007A413A"/>
    <w:rsid w:val="007A4231"/>
    <w:rsid w:val="007A4241"/>
    <w:rsid w:val="007A427E"/>
    <w:rsid w:val="007A4353"/>
    <w:rsid w:val="007A437C"/>
    <w:rsid w:val="007A43A7"/>
    <w:rsid w:val="007A43CC"/>
    <w:rsid w:val="007A443C"/>
    <w:rsid w:val="007A445D"/>
    <w:rsid w:val="007A4544"/>
    <w:rsid w:val="007A455D"/>
    <w:rsid w:val="007A45C8"/>
    <w:rsid w:val="007A47B7"/>
    <w:rsid w:val="007A47E4"/>
    <w:rsid w:val="007A48DC"/>
    <w:rsid w:val="007A494F"/>
    <w:rsid w:val="007A4A74"/>
    <w:rsid w:val="007A4ADF"/>
    <w:rsid w:val="007A4B96"/>
    <w:rsid w:val="007A4BA2"/>
    <w:rsid w:val="007A4C5A"/>
    <w:rsid w:val="007A4CA8"/>
    <w:rsid w:val="007A4CFC"/>
    <w:rsid w:val="007A4D97"/>
    <w:rsid w:val="007A4E2E"/>
    <w:rsid w:val="007A4E8B"/>
    <w:rsid w:val="007A4F31"/>
    <w:rsid w:val="007A4F7D"/>
    <w:rsid w:val="007A513F"/>
    <w:rsid w:val="007A51A1"/>
    <w:rsid w:val="007A51F9"/>
    <w:rsid w:val="007A52B5"/>
    <w:rsid w:val="007A5378"/>
    <w:rsid w:val="007A53C3"/>
    <w:rsid w:val="007A548A"/>
    <w:rsid w:val="007A55F8"/>
    <w:rsid w:val="007A56B1"/>
    <w:rsid w:val="007A5777"/>
    <w:rsid w:val="007A5813"/>
    <w:rsid w:val="007A599D"/>
    <w:rsid w:val="007A59B8"/>
    <w:rsid w:val="007A59D7"/>
    <w:rsid w:val="007A5A9E"/>
    <w:rsid w:val="007A5ABF"/>
    <w:rsid w:val="007A5B4D"/>
    <w:rsid w:val="007A5B8F"/>
    <w:rsid w:val="007A5C9B"/>
    <w:rsid w:val="007A5CC1"/>
    <w:rsid w:val="007A5D0D"/>
    <w:rsid w:val="007A5DE0"/>
    <w:rsid w:val="007A5E07"/>
    <w:rsid w:val="007A5E42"/>
    <w:rsid w:val="007A6002"/>
    <w:rsid w:val="007A605B"/>
    <w:rsid w:val="007A60C3"/>
    <w:rsid w:val="007A60F0"/>
    <w:rsid w:val="007A61A4"/>
    <w:rsid w:val="007A62D4"/>
    <w:rsid w:val="007A6356"/>
    <w:rsid w:val="007A63CD"/>
    <w:rsid w:val="007A6513"/>
    <w:rsid w:val="007A6664"/>
    <w:rsid w:val="007A667C"/>
    <w:rsid w:val="007A66A9"/>
    <w:rsid w:val="007A66BB"/>
    <w:rsid w:val="007A6759"/>
    <w:rsid w:val="007A6775"/>
    <w:rsid w:val="007A67D9"/>
    <w:rsid w:val="007A6852"/>
    <w:rsid w:val="007A6AA6"/>
    <w:rsid w:val="007A6B37"/>
    <w:rsid w:val="007A6BD8"/>
    <w:rsid w:val="007A6E25"/>
    <w:rsid w:val="007A6F1E"/>
    <w:rsid w:val="007A7019"/>
    <w:rsid w:val="007A70FA"/>
    <w:rsid w:val="007A7291"/>
    <w:rsid w:val="007A7343"/>
    <w:rsid w:val="007A7354"/>
    <w:rsid w:val="007A74B4"/>
    <w:rsid w:val="007A7503"/>
    <w:rsid w:val="007A7512"/>
    <w:rsid w:val="007A753E"/>
    <w:rsid w:val="007A7554"/>
    <w:rsid w:val="007A75D1"/>
    <w:rsid w:val="007A7685"/>
    <w:rsid w:val="007A775B"/>
    <w:rsid w:val="007A77AD"/>
    <w:rsid w:val="007A78C2"/>
    <w:rsid w:val="007A7924"/>
    <w:rsid w:val="007A792F"/>
    <w:rsid w:val="007A797C"/>
    <w:rsid w:val="007A7A2D"/>
    <w:rsid w:val="007A7AF4"/>
    <w:rsid w:val="007A7B38"/>
    <w:rsid w:val="007A7B3E"/>
    <w:rsid w:val="007A7BDF"/>
    <w:rsid w:val="007A7CCE"/>
    <w:rsid w:val="007A7D0C"/>
    <w:rsid w:val="007A7E34"/>
    <w:rsid w:val="007A7ED5"/>
    <w:rsid w:val="007A7EDD"/>
    <w:rsid w:val="007B0057"/>
    <w:rsid w:val="007B00A3"/>
    <w:rsid w:val="007B01A5"/>
    <w:rsid w:val="007B0208"/>
    <w:rsid w:val="007B0259"/>
    <w:rsid w:val="007B029D"/>
    <w:rsid w:val="007B038C"/>
    <w:rsid w:val="007B03CB"/>
    <w:rsid w:val="007B043C"/>
    <w:rsid w:val="007B049E"/>
    <w:rsid w:val="007B0522"/>
    <w:rsid w:val="007B0642"/>
    <w:rsid w:val="007B06C8"/>
    <w:rsid w:val="007B09DA"/>
    <w:rsid w:val="007B09F8"/>
    <w:rsid w:val="007B0A02"/>
    <w:rsid w:val="007B0A15"/>
    <w:rsid w:val="007B0A6E"/>
    <w:rsid w:val="007B0B4E"/>
    <w:rsid w:val="007B0B67"/>
    <w:rsid w:val="007B0BDD"/>
    <w:rsid w:val="007B0C82"/>
    <w:rsid w:val="007B0CDC"/>
    <w:rsid w:val="007B0D4C"/>
    <w:rsid w:val="007B0E24"/>
    <w:rsid w:val="007B0EA9"/>
    <w:rsid w:val="007B0EB4"/>
    <w:rsid w:val="007B0F37"/>
    <w:rsid w:val="007B10B1"/>
    <w:rsid w:val="007B10DA"/>
    <w:rsid w:val="007B1106"/>
    <w:rsid w:val="007B1166"/>
    <w:rsid w:val="007B11EA"/>
    <w:rsid w:val="007B12B5"/>
    <w:rsid w:val="007B12D0"/>
    <w:rsid w:val="007B1326"/>
    <w:rsid w:val="007B134C"/>
    <w:rsid w:val="007B136E"/>
    <w:rsid w:val="007B13FA"/>
    <w:rsid w:val="007B14CC"/>
    <w:rsid w:val="007B150F"/>
    <w:rsid w:val="007B1577"/>
    <w:rsid w:val="007B15DE"/>
    <w:rsid w:val="007B174F"/>
    <w:rsid w:val="007B18C8"/>
    <w:rsid w:val="007B192D"/>
    <w:rsid w:val="007B197D"/>
    <w:rsid w:val="007B19F1"/>
    <w:rsid w:val="007B1A18"/>
    <w:rsid w:val="007B1A67"/>
    <w:rsid w:val="007B1AA1"/>
    <w:rsid w:val="007B1BDF"/>
    <w:rsid w:val="007B1D7E"/>
    <w:rsid w:val="007B1DF9"/>
    <w:rsid w:val="007B1E6E"/>
    <w:rsid w:val="007B1E8B"/>
    <w:rsid w:val="007B1EE7"/>
    <w:rsid w:val="007B1F1B"/>
    <w:rsid w:val="007B1FA2"/>
    <w:rsid w:val="007B215F"/>
    <w:rsid w:val="007B220A"/>
    <w:rsid w:val="007B22C6"/>
    <w:rsid w:val="007B2348"/>
    <w:rsid w:val="007B2391"/>
    <w:rsid w:val="007B2432"/>
    <w:rsid w:val="007B2434"/>
    <w:rsid w:val="007B2626"/>
    <w:rsid w:val="007B2699"/>
    <w:rsid w:val="007B26E5"/>
    <w:rsid w:val="007B2771"/>
    <w:rsid w:val="007B2786"/>
    <w:rsid w:val="007B27C0"/>
    <w:rsid w:val="007B288B"/>
    <w:rsid w:val="007B2981"/>
    <w:rsid w:val="007B2A3F"/>
    <w:rsid w:val="007B2B63"/>
    <w:rsid w:val="007B2BCE"/>
    <w:rsid w:val="007B2C17"/>
    <w:rsid w:val="007B2D9D"/>
    <w:rsid w:val="007B2DA3"/>
    <w:rsid w:val="007B2E62"/>
    <w:rsid w:val="007B2E72"/>
    <w:rsid w:val="007B2EE9"/>
    <w:rsid w:val="007B2F09"/>
    <w:rsid w:val="007B2F4D"/>
    <w:rsid w:val="007B3100"/>
    <w:rsid w:val="007B311A"/>
    <w:rsid w:val="007B3182"/>
    <w:rsid w:val="007B3235"/>
    <w:rsid w:val="007B32BA"/>
    <w:rsid w:val="007B3326"/>
    <w:rsid w:val="007B3352"/>
    <w:rsid w:val="007B34B3"/>
    <w:rsid w:val="007B3533"/>
    <w:rsid w:val="007B3537"/>
    <w:rsid w:val="007B35AD"/>
    <w:rsid w:val="007B35B6"/>
    <w:rsid w:val="007B3601"/>
    <w:rsid w:val="007B360B"/>
    <w:rsid w:val="007B3656"/>
    <w:rsid w:val="007B3769"/>
    <w:rsid w:val="007B39D1"/>
    <w:rsid w:val="007B39DB"/>
    <w:rsid w:val="007B3AFA"/>
    <w:rsid w:val="007B3B08"/>
    <w:rsid w:val="007B3B96"/>
    <w:rsid w:val="007B3D80"/>
    <w:rsid w:val="007B3DAC"/>
    <w:rsid w:val="007B3F84"/>
    <w:rsid w:val="007B40AD"/>
    <w:rsid w:val="007B40BB"/>
    <w:rsid w:val="007B40BF"/>
    <w:rsid w:val="007B4174"/>
    <w:rsid w:val="007B426D"/>
    <w:rsid w:val="007B42C0"/>
    <w:rsid w:val="007B4344"/>
    <w:rsid w:val="007B44F9"/>
    <w:rsid w:val="007B4515"/>
    <w:rsid w:val="007B456E"/>
    <w:rsid w:val="007B468E"/>
    <w:rsid w:val="007B469D"/>
    <w:rsid w:val="007B4773"/>
    <w:rsid w:val="007B4778"/>
    <w:rsid w:val="007B4814"/>
    <w:rsid w:val="007B487F"/>
    <w:rsid w:val="007B48D6"/>
    <w:rsid w:val="007B48D7"/>
    <w:rsid w:val="007B492D"/>
    <w:rsid w:val="007B498C"/>
    <w:rsid w:val="007B4B3F"/>
    <w:rsid w:val="007B4C79"/>
    <w:rsid w:val="007B4E36"/>
    <w:rsid w:val="007B4E5E"/>
    <w:rsid w:val="007B4EFB"/>
    <w:rsid w:val="007B4FC9"/>
    <w:rsid w:val="007B5084"/>
    <w:rsid w:val="007B5088"/>
    <w:rsid w:val="007B5092"/>
    <w:rsid w:val="007B5227"/>
    <w:rsid w:val="007B526C"/>
    <w:rsid w:val="007B5321"/>
    <w:rsid w:val="007B54E8"/>
    <w:rsid w:val="007B553A"/>
    <w:rsid w:val="007B5553"/>
    <w:rsid w:val="007B5565"/>
    <w:rsid w:val="007B55BA"/>
    <w:rsid w:val="007B5645"/>
    <w:rsid w:val="007B566F"/>
    <w:rsid w:val="007B5674"/>
    <w:rsid w:val="007B56C2"/>
    <w:rsid w:val="007B5725"/>
    <w:rsid w:val="007B57A3"/>
    <w:rsid w:val="007B59A3"/>
    <w:rsid w:val="007B5B99"/>
    <w:rsid w:val="007B5BF5"/>
    <w:rsid w:val="007B5C3D"/>
    <w:rsid w:val="007B5E26"/>
    <w:rsid w:val="007B5E97"/>
    <w:rsid w:val="007B6030"/>
    <w:rsid w:val="007B6077"/>
    <w:rsid w:val="007B60BB"/>
    <w:rsid w:val="007B60EF"/>
    <w:rsid w:val="007B6149"/>
    <w:rsid w:val="007B6176"/>
    <w:rsid w:val="007B6214"/>
    <w:rsid w:val="007B6228"/>
    <w:rsid w:val="007B6342"/>
    <w:rsid w:val="007B638F"/>
    <w:rsid w:val="007B63A8"/>
    <w:rsid w:val="007B6445"/>
    <w:rsid w:val="007B6671"/>
    <w:rsid w:val="007B6721"/>
    <w:rsid w:val="007B68B1"/>
    <w:rsid w:val="007B6ABC"/>
    <w:rsid w:val="007B6B02"/>
    <w:rsid w:val="007B6C96"/>
    <w:rsid w:val="007B6CA9"/>
    <w:rsid w:val="007B6D32"/>
    <w:rsid w:val="007B6D43"/>
    <w:rsid w:val="007B6DCF"/>
    <w:rsid w:val="007B6E5C"/>
    <w:rsid w:val="007B6E99"/>
    <w:rsid w:val="007B6ECD"/>
    <w:rsid w:val="007B6F57"/>
    <w:rsid w:val="007B6FAF"/>
    <w:rsid w:val="007B6FD5"/>
    <w:rsid w:val="007B6FE3"/>
    <w:rsid w:val="007B7007"/>
    <w:rsid w:val="007B706F"/>
    <w:rsid w:val="007B70E4"/>
    <w:rsid w:val="007B7175"/>
    <w:rsid w:val="007B730F"/>
    <w:rsid w:val="007B735B"/>
    <w:rsid w:val="007B739F"/>
    <w:rsid w:val="007B73A6"/>
    <w:rsid w:val="007B73B2"/>
    <w:rsid w:val="007B7473"/>
    <w:rsid w:val="007B7523"/>
    <w:rsid w:val="007B7676"/>
    <w:rsid w:val="007B769A"/>
    <w:rsid w:val="007B76BF"/>
    <w:rsid w:val="007B778A"/>
    <w:rsid w:val="007B7797"/>
    <w:rsid w:val="007B780E"/>
    <w:rsid w:val="007B7869"/>
    <w:rsid w:val="007B786B"/>
    <w:rsid w:val="007B787C"/>
    <w:rsid w:val="007B78D0"/>
    <w:rsid w:val="007B78E7"/>
    <w:rsid w:val="007B7974"/>
    <w:rsid w:val="007B79DE"/>
    <w:rsid w:val="007B7BE7"/>
    <w:rsid w:val="007B7C0E"/>
    <w:rsid w:val="007B7C84"/>
    <w:rsid w:val="007B7E36"/>
    <w:rsid w:val="007B7E95"/>
    <w:rsid w:val="007B7EDA"/>
    <w:rsid w:val="007B7FA8"/>
    <w:rsid w:val="007B7FDC"/>
    <w:rsid w:val="007C0065"/>
    <w:rsid w:val="007C0194"/>
    <w:rsid w:val="007C0261"/>
    <w:rsid w:val="007C0296"/>
    <w:rsid w:val="007C029B"/>
    <w:rsid w:val="007C03C0"/>
    <w:rsid w:val="007C03CD"/>
    <w:rsid w:val="007C0401"/>
    <w:rsid w:val="007C0436"/>
    <w:rsid w:val="007C050D"/>
    <w:rsid w:val="007C05F2"/>
    <w:rsid w:val="007C0657"/>
    <w:rsid w:val="007C06B8"/>
    <w:rsid w:val="007C06F5"/>
    <w:rsid w:val="007C0835"/>
    <w:rsid w:val="007C08F9"/>
    <w:rsid w:val="007C09A3"/>
    <w:rsid w:val="007C0A6C"/>
    <w:rsid w:val="007C0C50"/>
    <w:rsid w:val="007C0E5B"/>
    <w:rsid w:val="007C0EC4"/>
    <w:rsid w:val="007C104A"/>
    <w:rsid w:val="007C1100"/>
    <w:rsid w:val="007C11AF"/>
    <w:rsid w:val="007C123B"/>
    <w:rsid w:val="007C135A"/>
    <w:rsid w:val="007C136C"/>
    <w:rsid w:val="007C140A"/>
    <w:rsid w:val="007C1498"/>
    <w:rsid w:val="007C15A5"/>
    <w:rsid w:val="007C15AD"/>
    <w:rsid w:val="007C169C"/>
    <w:rsid w:val="007C188B"/>
    <w:rsid w:val="007C189A"/>
    <w:rsid w:val="007C19AD"/>
    <w:rsid w:val="007C1AB2"/>
    <w:rsid w:val="007C1BE9"/>
    <w:rsid w:val="007C1D68"/>
    <w:rsid w:val="007C1EA7"/>
    <w:rsid w:val="007C1F67"/>
    <w:rsid w:val="007C1F85"/>
    <w:rsid w:val="007C1FA7"/>
    <w:rsid w:val="007C20DC"/>
    <w:rsid w:val="007C20E3"/>
    <w:rsid w:val="007C21CE"/>
    <w:rsid w:val="007C21F2"/>
    <w:rsid w:val="007C2296"/>
    <w:rsid w:val="007C22E1"/>
    <w:rsid w:val="007C2323"/>
    <w:rsid w:val="007C23E9"/>
    <w:rsid w:val="007C2412"/>
    <w:rsid w:val="007C255F"/>
    <w:rsid w:val="007C25FF"/>
    <w:rsid w:val="007C2615"/>
    <w:rsid w:val="007C2661"/>
    <w:rsid w:val="007C2669"/>
    <w:rsid w:val="007C26DD"/>
    <w:rsid w:val="007C26E7"/>
    <w:rsid w:val="007C2748"/>
    <w:rsid w:val="007C2778"/>
    <w:rsid w:val="007C278C"/>
    <w:rsid w:val="007C27D8"/>
    <w:rsid w:val="007C27E4"/>
    <w:rsid w:val="007C2885"/>
    <w:rsid w:val="007C2927"/>
    <w:rsid w:val="007C299B"/>
    <w:rsid w:val="007C2A51"/>
    <w:rsid w:val="007C2A56"/>
    <w:rsid w:val="007C2A6D"/>
    <w:rsid w:val="007C2A94"/>
    <w:rsid w:val="007C2AF2"/>
    <w:rsid w:val="007C2B17"/>
    <w:rsid w:val="007C2BAB"/>
    <w:rsid w:val="007C2CA1"/>
    <w:rsid w:val="007C2D93"/>
    <w:rsid w:val="007C2DC4"/>
    <w:rsid w:val="007C2DE3"/>
    <w:rsid w:val="007C2E80"/>
    <w:rsid w:val="007C2F80"/>
    <w:rsid w:val="007C2F87"/>
    <w:rsid w:val="007C3036"/>
    <w:rsid w:val="007C31C3"/>
    <w:rsid w:val="007C31E2"/>
    <w:rsid w:val="007C3289"/>
    <w:rsid w:val="007C33A4"/>
    <w:rsid w:val="007C33A8"/>
    <w:rsid w:val="007C341C"/>
    <w:rsid w:val="007C3457"/>
    <w:rsid w:val="007C3466"/>
    <w:rsid w:val="007C3474"/>
    <w:rsid w:val="007C34AB"/>
    <w:rsid w:val="007C352B"/>
    <w:rsid w:val="007C3554"/>
    <w:rsid w:val="007C35AE"/>
    <w:rsid w:val="007C35F7"/>
    <w:rsid w:val="007C365A"/>
    <w:rsid w:val="007C36E4"/>
    <w:rsid w:val="007C38B4"/>
    <w:rsid w:val="007C397D"/>
    <w:rsid w:val="007C3A72"/>
    <w:rsid w:val="007C3A7E"/>
    <w:rsid w:val="007C3ADB"/>
    <w:rsid w:val="007C3C36"/>
    <w:rsid w:val="007C3C92"/>
    <w:rsid w:val="007C3DA2"/>
    <w:rsid w:val="007C3E62"/>
    <w:rsid w:val="007C3EA1"/>
    <w:rsid w:val="007C3EC6"/>
    <w:rsid w:val="007C3F24"/>
    <w:rsid w:val="007C3F2F"/>
    <w:rsid w:val="007C3F91"/>
    <w:rsid w:val="007C3F96"/>
    <w:rsid w:val="007C3FD6"/>
    <w:rsid w:val="007C4045"/>
    <w:rsid w:val="007C4047"/>
    <w:rsid w:val="007C40DB"/>
    <w:rsid w:val="007C4144"/>
    <w:rsid w:val="007C41DB"/>
    <w:rsid w:val="007C4204"/>
    <w:rsid w:val="007C42A6"/>
    <w:rsid w:val="007C430E"/>
    <w:rsid w:val="007C44A3"/>
    <w:rsid w:val="007C454B"/>
    <w:rsid w:val="007C4573"/>
    <w:rsid w:val="007C466E"/>
    <w:rsid w:val="007C471B"/>
    <w:rsid w:val="007C478A"/>
    <w:rsid w:val="007C478D"/>
    <w:rsid w:val="007C4861"/>
    <w:rsid w:val="007C492F"/>
    <w:rsid w:val="007C498C"/>
    <w:rsid w:val="007C4A77"/>
    <w:rsid w:val="007C4B46"/>
    <w:rsid w:val="007C4C23"/>
    <w:rsid w:val="007C4CB9"/>
    <w:rsid w:val="007C4D01"/>
    <w:rsid w:val="007C4EBF"/>
    <w:rsid w:val="007C5023"/>
    <w:rsid w:val="007C509D"/>
    <w:rsid w:val="007C50D8"/>
    <w:rsid w:val="007C517A"/>
    <w:rsid w:val="007C51D9"/>
    <w:rsid w:val="007C52F4"/>
    <w:rsid w:val="007C5333"/>
    <w:rsid w:val="007C53CD"/>
    <w:rsid w:val="007C542F"/>
    <w:rsid w:val="007C543E"/>
    <w:rsid w:val="007C54DB"/>
    <w:rsid w:val="007C553E"/>
    <w:rsid w:val="007C56B8"/>
    <w:rsid w:val="007C56F9"/>
    <w:rsid w:val="007C578B"/>
    <w:rsid w:val="007C58F3"/>
    <w:rsid w:val="007C5B53"/>
    <w:rsid w:val="007C5B65"/>
    <w:rsid w:val="007C5CAF"/>
    <w:rsid w:val="007C5CCF"/>
    <w:rsid w:val="007C5D78"/>
    <w:rsid w:val="007C5DEA"/>
    <w:rsid w:val="007C5E57"/>
    <w:rsid w:val="007C5F99"/>
    <w:rsid w:val="007C5FD6"/>
    <w:rsid w:val="007C6004"/>
    <w:rsid w:val="007C6078"/>
    <w:rsid w:val="007C61CD"/>
    <w:rsid w:val="007C62B2"/>
    <w:rsid w:val="007C6341"/>
    <w:rsid w:val="007C6603"/>
    <w:rsid w:val="007C66C9"/>
    <w:rsid w:val="007C6762"/>
    <w:rsid w:val="007C676E"/>
    <w:rsid w:val="007C67A1"/>
    <w:rsid w:val="007C67E2"/>
    <w:rsid w:val="007C6990"/>
    <w:rsid w:val="007C6AFD"/>
    <w:rsid w:val="007C6B90"/>
    <w:rsid w:val="007C6C6D"/>
    <w:rsid w:val="007C6CE9"/>
    <w:rsid w:val="007C6DF7"/>
    <w:rsid w:val="007C6E4A"/>
    <w:rsid w:val="007C6F2E"/>
    <w:rsid w:val="007C7037"/>
    <w:rsid w:val="007C7092"/>
    <w:rsid w:val="007C70AC"/>
    <w:rsid w:val="007C70F6"/>
    <w:rsid w:val="007C71C4"/>
    <w:rsid w:val="007C7231"/>
    <w:rsid w:val="007C7289"/>
    <w:rsid w:val="007C72F6"/>
    <w:rsid w:val="007C73CB"/>
    <w:rsid w:val="007C73EB"/>
    <w:rsid w:val="007C73F5"/>
    <w:rsid w:val="007C74B1"/>
    <w:rsid w:val="007C74E6"/>
    <w:rsid w:val="007C7537"/>
    <w:rsid w:val="007C7550"/>
    <w:rsid w:val="007C7652"/>
    <w:rsid w:val="007C76BB"/>
    <w:rsid w:val="007C76D0"/>
    <w:rsid w:val="007C7714"/>
    <w:rsid w:val="007C77FC"/>
    <w:rsid w:val="007C78D3"/>
    <w:rsid w:val="007C7909"/>
    <w:rsid w:val="007C7940"/>
    <w:rsid w:val="007C794B"/>
    <w:rsid w:val="007C7980"/>
    <w:rsid w:val="007C7990"/>
    <w:rsid w:val="007C7997"/>
    <w:rsid w:val="007C79F8"/>
    <w:rsid w:val="007C7A47"/>
    <w:rsid w:val="007C7AE7"/>
    <w:rsid w:val="007C7B59"/>
    <w:rsid w:val="007C7BAD"/>
    <w:rsid w:val="007C7E10"/>
    <w:rsid w:val="007C7E87"/>
    <w:rsid w:val="007C7EE0"/>
    <w:rsid w:val="007C7F13"/>
    <w:rsid w:val="007C7F57"/>
    <w:rsid w:val="007D0290"/>
    <w:rsid w:val="007D03C2"/>
    <w:rsid w:val="007D0432"/>
    <w:rsid w:val="007D0498"/>
    <w:rsid w:val="007D04AE"/>
    <w:rsid w:val="007D04C6"/>
    <w:rsid w:val="007D0634"/>
    <w:rsid w:val="007D0635"/>
    <w:rsid w:val="007D07B6"/>
    <w:rsid w:val="007D0960"/>
    <w:rsid w:val="007D097A"/>
    <w:rsid w:val="007D099B"/>
    <w:rsid w:val="007D09ED"/>
    <w:rsid w:val="007D0A3D"/>
    <w:rsid w:val="007D0AAF"/>
    <w:rsid w:val="007D0AD8"/>
    <w:rsid w:val="007D0BB2"/>
    <w:rsid w:val="007D0BCB"/>
    <w:rsid w:val="007D0C71"/>
    <w:rsid w:val="007D0DF7"/>
    <w:rsid w:val="007D0E63"/>
    <w:rsid w:val="007D0E77"/>
    <w:rsid w:val="007D0E93"/>
    <w:rsid w:val="007D0EA4"/>
    <w:rsid w:val="007D0F7E"/>
    <w:rsid w:val="007D0FFA"/>
    <w:rsid w:val="007D104A"/>
    <w:rsid w:val="007D10AF"/>
    <w:rsid w:val="007D11AF"/>
    <w:rsid w:val="007D12CB"/>
    <w:rsid w:val="007D1803"/>
    <w:rsid w:val="007D1907"/>
    <w:rsid w:val="007D19AD"/>
    <w:rsid w:val="007D1C2E"/>
    <w:rsid w:val="007D1C9E"/>
    <w:rsid w:val="007D1CD6"/>
    <w:rsid w:val="007D1D11"/>
    <w:rsid w:val="007D1D32"/>
    <w:rsid w:val="007D1DF9"/>
    <w:rsid w:val="007D1E41"/>
    <w:rsid w:val="007D1E7F"/>
    <w:rsid w:val="007D1ECE"/>
    <w:rsid w:val="007D1EDB"/>
    <w:rsid w:val="007D2091"/>
    <w:rsid w:val="007D20AE"/>
    <w:rsid w:val="007D215A"/>
    <w:rsid w:val="007D2171"/>
    <w:rsid w:val="007D2175"/>
    <w:rsid w:val="007D21B2"/>
    <w:rsid w:val="007D24D8"/>
    <w:rsid w:val="007D2567"/>
    <w:rsid w:val="007D25A6"/>
    <w:rsid w:val="007D2648"/>
    <w:rsid w:val="007D26BE"/>
    <w:rsid w:val="007D27BC"/>
    <w:rsid w:val="007D282C"/>
    <w:rsid w:val="007D2939"/>
    <w:rsid w:val="007D2A0E"/>
    <w:rsid w:val="007D2A2F"/>
    <w:rsid w:val="007D2A53"/>
    <w:rsid w:val="007D2A79"/>
    <w:rsid w:val="007D2A9D"/>
    <w:rsid w:val="007D2AE8"/>
    <w:rsid w:val="007D2B88"/>
    <w:rsid w:val="007D2C1E"/>
    <w:rsid w:val="007D2C8E"/>
    <w:rsid w:val="007D2D6D"/>
    <w:rsid w:val="007D2E61"/>
    <w:rsid w:val="007D2F0F"/>
    <w:rsid w:val="007D2FCE"/>
    <w:rsid w:val="007D3005"/>
    <w:rsid w:val="007D300B"/>
    <w:rsid w:val="007D30F8"/>
    <w:rsid w:val="007D3102"/>
    <w:rsid w:val="007D31BA"/>
    <w:rsid w:val="007D3278"/>
    <w:rsid w:val="007D3310"/>
    <w:rsid w:val="007D3369"/>
    <w:rsid w:val="007D338B"/>
    <w:rsid w:val="007D3412"/>
    <w:rsid w:val="007D34E1"/>
    <w:rsid w:val="007D3569"/>
    <w:rsid w:val="007D358F"/>
    <w:rsid w:val="007D3633"/>
    <w:rsid w:val="007D363F"/>
    <w:rsid w:val="007D37A4"/>
    <w:rsid w:val="007D37B0"/>
    <w:rsid w:val="007D381D"/>
    <w:rsid w:val="007D3857"/>
    <w:rsid w:val="007D3899"/>
    <w:rsid w:val="007D38EF"/>
    <w:rsid w:val="007D3BA0"/>
    <w:rsid w:val="007D3BFA"/>
    <w:rsid w:val="007D3C6B"/>
    <w:rsid w:val="007D3CA8"/>
    <w:rsid w:val="007D3CF1"/>
    <w:rsid w:val="007D3D37"/>
    <w:rsid w:val="007D3E94"/>
    <w:rsid w:val="007D3F2F"/>
    <w:rsid w:val="007D3F84"/>
    <w:rsid w:val="007D40D8"/>
    <w:rsid w:val="007D4194"/>
    <w:rsid w:val="007D425A"/>
    <w:rsid w:val="007D42F3"/>
    <w:rsid w:val="007D42FB"/>
    <w:rsid w:val="007D43AD"/>
    <w:rsid w:val="007D4446"/>
    <w:rsid w:val="007D44A0"/>
    <w:rsid w:val="007D44C1"/>
    <w:rsid w:val="007D44EC"/>
    <w:rsid w:val="007D456C"/>
    <w:rsid w:val="007D4604"/>
    <w:rsid w:val="007D46B5"/>
    <w:rsid w:val="007D46BA"/>
    <w:rsid w:val="007D47FA"/>
    <w:rsid w:val="007D480C"/>
    <w:rsid w:val="007D49BE"/>
    <w:rsid w:val="007D4A29"/>
    <w:rsid w:val="007D4B01"/>
    <w:rsid w:val="007D4BE3"/>
    <w:rsid w:val="007D4D93"/>
    <w:rsid w:val="007D4E4D"/>
    <w:rsid w:val="007D4FE6"/>
    <w:rsid w:val="007D511D"/>
    <w:rsid w:val="007D5218"/>
    <w:rsid w:val="007D5292"/>
    <w:rsid w:val="007D53DE"/>
    <w:rsid w:val="007D53DF"/>
    <w:rsid w:val="007D5445"/>
    <w:rsid w:val="007D554F"/>
    <w:rsid w:val="007D5568"/>
    <w:rsid w:val="007D55AD"/>
    <w:rsid w:val="007D561E"/>
    <w:rsid w:val="007D5641"/>
    <w:rsid w:val="007D5658"/>
    <w:rsid w:val="007D56A3"/>
    <w:rsid w:val="007D56E2"/>
    <w:rsid w:val="007D59FA"/>
    <w:rsid w:val="007D5A80"/>
    <w:rsid w:val="007D5A9A"/>
    <w:rsid w:val="007D5C4B"/>
    <w:rsid w:val="007D5C52"/>
    <w:rsid w:val="007D5CDE"/>
    <w:rsid w:val="007D5D6D"/>
    <w:rsid w:val="007D5E5C"/>
    <w:rsid w:val="007D60C2"/>
    <w:rsid w:val="007D6242"/>
    <w:rsid w:val="007D6262"/>
    <w:rsid w:val="007D62F5"/>
    <w:rsid w:val="007D6353"/>
    <w:rsid w:val="007D651B"/>
    <w:rsid w:val="007D67A4"/>
    <w:rsid w:val="007D68E1"/>
    <w:rsid w:val="007D692A"/>
    <w:rsid w:val="007D6937"/>
    <w:rsid w:val="007D69BC"/>
    <w:rsid w:val="007D6A0A"/>
    <w:rsid w:val="007D6B73"/>
    <w:rsid w:val="007D6B87"/>
    <w:rsid w:val="007D6CDD"/>
    <w:rsid w:val="007D6CEB"/>
    <w:rsid w:val="007D6D0D"/>
    <w:rsid w:val="007D6E08"/>
    <w:rsid w:val="007D6E43"/>
    <w:rsid w:val="007D6E45"/>
    <w:rsid w:val="007D6E87"/>
    <w:rsid w:val="007D6E89"/>
    <w:rsid w:val="007D6F19"/>
    <w:rsid w:val="007D715A"/>
    <w:rsid w:val="007D7193"/>
    <w:rsid w:val="007D71A6"/>
    <w:rsid w:val="007D7237"/>
    <w:rsid w:val="007D723E"/>
    <w:rsid w:val="007D73B0"/>
    <w:rsid w:val="007D73B4"/>
    <w:rsid w:val="007D73DE"/>
    <w:rsid w:val="007D7469"/>
    <w:rsid w:val="007D7483"/>
    <w:rsid w:val="007D74CC"/>
    <w:rsid w:val="007D75E9"/>
    <w:rsid w:val="007D7646"/>
    <w:rsid w:val="007D76B7"/>
    <w:rsid w:val="007D76C6"/>
    <w:rsid w:val="007D7706"/>
    <w:rsid w:val="007D77D7"/>
    <w:rsid w:val="007D7831"/>
    <w:rsid w:val="007D7939"/>
    <w:rsid w:val="007D7969"/>
    <w:rsid w:val="007D7979"/>
    <w:rsid w:val="007D7B73"/>
    <w:rsid w:val="007D7C43"/>
    <w:rsid w:val="007D7C75"/>
    <w:rsid w:val="007D7CCB"/>
    <w:rsid w:val="007D7DCE"/>
    <w:rsid w:val="007D7DD4"/>
    <w:rsid w:val="007D7E99"/>
    <w:rsid w:val="007D7EBC"/>
    <w:rsid w:val="007D7EFD"/>
    <w:rsid w:val="007D7F0E"/>
    <w:rsid w:val="007E0034"/>
    <w:rsid w:val="007E00A6"/>
    <w:rsid w:val="007E00AF"/>
    <w:rsid w:val="007E017B"/>
    <w:rsid w:val="007E01D4"/>
    <w:rsid w:val="007E01F1"/>
    <w:rsid w:val="007E023A"/>
    <w:rsid w:val="007E0246"/>
    <w:rsid w:val="007E02BA"/>
    <w:rsid w:val="007E03B3"/>
    <w:rsid w:val="007E03DF"/>
    <w:rsid w:val="007E03E3"/>
    <w:rsid w:val="007E0491"/>
    <w:rsid w:val="007E04CF"/>
    <w:rsid w:val="007E04E3"/>
    <w:rsid w:val="007E05DD"/>
    <w:rsid w:val="007E0627"/>
    <w:rsid w:val="007E065D"/>
    <w:rsid w:val="007E06C4"/>
    <w:rsid w:val="007E06E7"/>
    <w:rsid w:val="007E0828"/>
    <w:rsid w:val="007E082D"/>
    <w:rsid w:val="007E08F0"/>
    <w:rsid w:val="007E09AF"/>
    <w:rsid w:val="007E0A67"/>
    <w:rsid w:val="007E0A9D"/>
    <w:rsid w:val="007E0C2C"/>
    <w:rsid w:val="007E0DF7"/>
    <w:rsid w:val="007E0E19"/>
    <w:rsid w:val="007E0E58"/>
    <w:rsid w:val="007E0F38"/>
    <w:rsid w:val="007E0FE3"/>
    <w:rsid w:val="007E10F0"/>
    <w:rsid w:val="007E110A"/>
    <w:rsid w:val="007E1257"/>
    <w:rsid w:val="007E12CD"/>
    <w:rsid w:val="007E13FB"/>
    <w:rsid w:val="007E140B"/>
    <w:rsid w:val="007E142F"/>
    <w:rsid w:val="007E1494"/>
    <w:rsid w:val="007E1547"/>
    <w:rsid w:val="007E15F9"/>
    <w:rsid w:val="007E16E2"/>
    <w:rsid w:val="007E173C"/>
    <w:rsid w:val="007E1765"/>
    <w:rsid w:val="007E1849"/>
    <w:rsid w:val="007E18BD"/>
    <w:rsid w:val="007E18F2"/>
    <w:rsid w:val="007E19FD"/>
    <w:rsid w:val="007E1ADC"/>
    <w:rsid w:val="007E1BFA"/>
    <w:rsid w:val="007E1C02"/>
    <w:rsid w:val="007E1C9D"/>
    <w:rsid w:val="007E1DAD"/>
    <w:rsid w:val="007E1DE1"/>
    <w:rsid w:val="007E1E98"/>
    <w:rsid w:val="007E1EB3"/>
    <w:rsid w:val="007E1F1A"/>
    <w:rsid w:val="007E1FA7"/>
    <w:rsid w:val="007E1FBF"/>
    <w:rsid w:val="007E1FDF"/>
    <w:rsid w:val="007E20AD"/>
    <w:rsid w:val="007E232D"/>
    <w:rsid w:val="007E2332"/>
    <w:rsid w:val="007E239E"/>
    <w:rsid w:val="007E2417"/>
    <w:rsid w:val="007E248B"/>
    <w:rsid w:val="007E2493"/>
    <w:rsid w:val="007E24B0"/>
    <w:rsid w:val="007E25A0"/>
    <w:rsid w:val="007E25A7"/>
    <w:rsid w:val="007E25B7"/>
    <w:rsid w:val="007E25C2"/>
    <w:rsid w:val="007E25DE"/>
    <w:rsid w:val="007E264B"/>
    <w:rsid w:val="007E26F3"/>
    <w:rsid w:val="007E297B"/>
    <w:rsid w:val="007E2A15"/>
    <w:rsid w:val="007E2A93"/>
    <w:rsid w:val="007E2AE4"/>
    <w:rsid w:val="007E2D23"/>
    <w:rsid w:val="007E2D59"/>
    <w:rsid w:val="007E2E4F"/>
    <w:rsid w:val="007E2E92"/>
    <w:rsid w:val="007E2FE6"/>
    <w:rsid w:val="007E2FF5"/>
    <w:rsid w:val="007E300B"/>
    <w:rsid w:val="007E301B"/>
    <w:rsid w:val="007E3051"/>
    <w:rsid w:val="007E305D"/>
    <w:rsid w:val="007E3132"/>
    <w:rsid w:val="007E318C"/>
    <w:rsid w:val="007E318E"/>
    <w:rsid w:val="007E3279"/>
    <w:rsid w:val="007E32F0"/>
    <w:rsid w:val="007E341E"/>
    <w:rsid w:val="007E343B"/>
    <w:rsid w:val="007E3482"/>
    <w:rsid w:val="007E36B8"/>
    <w:rsid w:val="007E36C4"/>
    <w:rsid w:val="007E36EE"/>
    <w:rsid w:val="007E372A"/>
    <w:rsid w:val="007E3882"/>
    <w:rsid w:val="007E38E1"/>
    <w:rsid w:val="007E38FB"/>
    <w:rsid w:val="007E3902"/>
    <w:rsid w:val="007E3C73"/>
    <w:rsid w:val="007E4064"/>
    <w:rsid w:val="007E4203"/>
    <w:rsid w:val="007E42B6"/>
    <w:rsid w:val="007E42DF"/>
    <w:rsid w:val="007E4318"/>
    <w:rsid w:val="007E4353"/>
    <w:rsid w:val="007E440E"/>
    <w:rsid w:val="007E4480"/>
    <w:rsid w:val="007E45E1"/>
    <w:rsid w:val="007E461E"/>
    <w:rsid w:val="007E462D"/>
    <w:rsid w:val="007E4710"/>
    <w:rsid w:val="007E477F"/>
    <w:rsid w:val="007E4815"/>
    <w:rsid w:val="007E4842"/>
    <w:rsid w:val="007E4906"/>
    <w:rsid w:val="007E49CC"/>
    <w:rsid w:val="007E4A0B"/>
    <w:rsid w:val="007E4A88"/>
    <w:rsid w:val="007E4AB8"/>
    <w:rsid w:val="007E4AE2"/>
    <w:rsid w:val="007E4B26"/>
    <w:rsid w:val="007E4B39"/>
    <w:rsid w:val="007E4BD8"/>
    <w:rsid w:val="007E4C6D"/>
    <w:rsid w:val="007E4C93"/>
    <w:rsid w:val="007E4C9D"/>
    <w:rsid w:val="007E4DBE"/>
    <w:rsid w:val="007E4DD3"/>
    <w:rsid w:val="007E4E12"/>
    <w:rsid w:val="007E4E57"/>
    <w:rsid w:val="007E50A3"/>
    <w:rsid w:val="007E50C9"/>
    <w:rsid w:val="007E51E3"/>
    <w:rsid w:val="007E5208"/>
    <w:rsid w:val="007E5281"/>
    <w:rsid w:val="007E52CD"/>
    <w:rsid w:val="007E52D8"/>
    <w:rsid w:val="007E53EC"/>
    <w:rsid w:val="007E5408"/>
    <w:rsid w:val="007E558F"/>
    <w:rsid w:val="007E559D"/>
    <w:rsid w:val="007E55B4"/>
    <w:rsid w:val="007E5603"/>
    <w:rsid w:val="007E5677"/>
    <w:rsid w:val="007E56D4"/>
    <w:rsid w:val="007E56DE"/>
    <w:rsid w:val="007E56E2"/>
    <w:rsid w:val="007E5778"/>
    <w:rsid w:val="007E5788"/>
    <w:rsid w:val="007E5939"/>
    <w:rsid w:val="007E597E"/>
    <w:rsid w:val="007E59B7"/>
    <w:rsid w:val="007E59DA"/>
    <w:rsid w:val="007E5A86"/>
    <w:rsid w:val="007E5BC5"/>
    <w:rsid w:val="007E5C28"/>
    <w:rsid w:val="007E5C3C"/>
    <w:rsid w:val="007E5C56"/>
    <w:rsid w:val="007E5D38"/>
    <w:rsid w:val="007E5D3F"/>
    <w:rsid w:val="007E5DB7"/>
    <w:rsid w:val="007E61E5"/>
    <w:rsid w:val="007E628B"/>
    <w:rsid w:val="007E635C"/>
    <w:rsid w:val="007E636B"/>
    <w:rsid w:val="007E63DA"/>
    <w:rsid w:val="007E63EB"/>
    <w:rsid w:val="007E647D"/>
    <w:rsid w:val="007E6535"/>
    <w:rsid w:val="007E681E"/>
    <w:rsid w:val="007E686C"/>
    <w:rsid w:val="007E68AF"/>
    <w:rsid w:val="007E6913"/>
    <w:rsid w:val="007E6951"/>
    <w:rsid w:val="007E69B8"/>
    <w:rsid w:val="007E6B61"/>
    <w:rsid w:val="007E6BC6"/>
    <w:rsid w:val="007E6DAE"/>
    <w:rsid w:val="007E6DDE"/>
    <w:rsid w:val="007E6EEC"/>
    <w:rsid w:val="007E6EFC"/>
    <w:rsid w:val="007E6EFE"/>
    <w:rsid w:val="007E6F6D"/>
    <w:rsid w:val="007E6F93"/>
    <w:rsid w:val="007E7001"/>
    <w:rsid w:val="007E7023"/>
    <w:rsid w:val="007E70BA"/>
    <w:rsid w:val="007E7131"/>
    <w:rsid w:val="007E71CC"/>
    <w:rsid w:val="007E730B"/>
    <w:rsid w:val="007E739C"/>
    <w:rsid w:val="007E73FA"/>
    <w:rsid w:val="007E746E"/>
    <w:rsid w:val="007E74E9"/>
    <w:rsid w:val="007E756B"/>
    <w:rsid w:val="007E772E"/>
    <w:rsid w:val="007E780A"/>
    <w:rsid w:val="007E799C"/>
    <w:rsid w:val="007E79E9"/>
    <w:rsid w:val="007E7B47"/>
    <w:rsid w:val="007E7B58"/>
    <w:rsid w:val="007E7BC8"/>
    <w:rsid w:val="007E7BC9"/>
    <w:rsid w:val="007E7C06"/>
    <w:rsid w:val="007E7D75"/>
    <w:rsid w:val="007E7E42"/>
    <w:rsid w:val="007E7EB6"/>
    <w:rsid w:val="007E7ED8"/>
    <w:rsid w:val="007E7F1C"/>
    <w:rsid w:val="007E7F8F"/>
    <w:rsid w:val="007F0026"/>
    <w:rsid w:val="007F0075"/>
    <w:rsid w:val="007F00A2"/>
    <w:rsid w:val="007F00C0"/>
    <w:rsid w:val="007F0108"/>
    <w:rsid w:val="007F018B"/>
    <w:rsid w:val="007F029E"/>
    <w:rsid w:val="007F02F7"/>
    <w:rsid w:val="007F0303"/>
    <w:rsid w:val="007F0398"/>
    <w:rsid w:val="007F0407"/>
    <w:rsid w:val="007F0408"/>
    <w:rsid w:val="007F042E"/>
    <w:rsid w:val="007F0524"/>
    <w:rsid w:val="007F0565"/>
    <w:rsid w:val="007F0591"/>
    <w:rsid w:val="007F0655"/>
    <w:rsid w:val="007F0693"/>
    <w:rsid w:val="007F06FC"/>
    <w:rsid w:val="007F07DE"/>
    <w:rsid w:val="007F0817"/>
    <w:rsid w:val="007F0822"/>
    <w:rsid w:val="007F08AC"/>
    <w:rsid w:val="007F08CF"/>
    <w:rsid w:val="007F094B"/>
    <w:rsid w:val="007F0ADD"/>
    <w:rsid w:val="007F0B42"/>
    <w:rsid w:val="007F0C32"/>
    <w:rsid w:val="007F0CF7"/>
    <w:rsid w:val="007F0D44"/>
    <w:rsid w:val="007F0D4E"/>
    <w:rsid w:val="007F0DCC"/>
    <w:rsid w:val="007F0EB0"/>
    <w:rsid w:val="007F0F42"/>
    <w:rsid w:val="007F0FB1"/>
    <w:rsid w:val="007F1054"/>
    <w:rsid w:val="007F10D5"/>
    <w:rsid w:val="007F10F5"/>
    <w:rsid w:val="007F1195"/>
    <w:rsid w:val="007F120C"/>
    <w:rsid w:val="007F1273"/>
    <w:rsid w:val="007F1299"/>
    <w:rsid w:val="007F1315"/>
    <w:rsid w:val="007F14E3"/>
    <w:rsid w:val="007F15B4"/>
    <w:rsid w:val="007F16AD"/>
    <w:rsid w:val="007F1798"/>
    <w:rsid w:val="007F1843"/>
    <w:rsid w:val="007F184B"/>
    <w:rsid w:val="007F19D7"/>
    <w:rsid w:val="007F1AE6"/>
    <w:rsid w:val="007F1B0B"/>
    <w:rsid w:val="007F1B5A"/>
    <w:rsid w:val="007F1BB3"/>
    <w:rsid w:val="007F1CA7"/>
    <w:rsid w:val="007F1CEC"/>
    <w:rsid w:val="007F1D39"/>
    <w:rsid w:val="007F1D41"/>
    <w:rsid w:val="007F1DF1"/>
    <w:rsid w:val="007F1E4E"/>
    <w:rsid w:val="007F1E5E"/>
    <w:rsid w:val="007F1E7E"/>
    <w:rsid w:val="007F1E9F"/>
    <w:rsid w:val="007F1EAC"/>
    <w:rsid w:val="007F1F23"/>
    <w:rsid w:val="007F1F24"/>
    <w:rsid w:val="007F1F60"/>
    <w:rsid w:val="007F1F86"/>
    <w:rsid w:val="007F209E"/>
    <w:rsid w:val="007F21C3"/>
    <w:rsid w:val="007F2214"/>
    <w:rsid w:val="007F2288"/>
    <w:rsid w:val="007F2331"/>
    <w:rsid w:val="007F2396"/>
    <w:rsid w:val="007F24FA"/>
    <w:rsid w:val="007F250A"/>
    <w:rsid w:val="007F2706"/>
    <w:rsid w:val="007F280E"/>
    <w:rsid w:val="007F2893"/>
    <w:rsid w:val="007F2AD4"/>
    <w:rsid w:val="007F2B2F"/>
    <w:rsid w:val="007F2CBC"/>
    <w:rsid w:val="007F2DF4"/>
    <w:rsid w:val="007F2E71"/>
    <w:rsid w:val="007F2EDE"/>
    <w:rsid w:val="007F3023"/>
    <w:rsid w:val="007F3052"/>
    <w:rsid w:val="007F309D"/>
    <w:rsid w:val="007F30C8"/>
    <w:rsid w:val="007F31AE"/>
    <w:rsid w:val="007F3389"/>
    <w:rsid w:val="007F33C4"/>
    <w:rsid w:val="007F340D"/>
    <w:rsid w:val="007F344E"/>
    <w:rsid w:val="007F35D1"/>
    <w:rsid w:val="007F35E3"/>
    <w:rsid w:val="007F369A"/>
    <w:rsid w:val="007F3779"/>
    <w:rsid w:val="007F37BD"/>
    <w:rsid w:val="007F37D7"/>
    <w:rsid w:val="007F3897"/>
    <w:rsid w:val="007F38C3"/>
    <w:rsid w:val="007F38E9"/>
    <w:rsid w:val="007F3A41"/>
    <w:rsid w:val="007F3AED"/>
    <w:rsid w:val="007F3B51"/>
    <w:rsid w:val="007F3B74"/>
    <w:rsid w:val="007F3C3F"/>
    <w:rsid w:val="007F3CF2"/>
    <w:rsid w:val="007F3D9A"/>
    <w:rsid w:val="007F3E0D"/>
    <w:rsid w:val="007F3E67"/>
    <w:rsid w:val="007F3F10"/>
    <w:rsid w:val="007F3F1B"/>
    <w:rsid w:val="007F3F35"/>
    <w:rsid w:val="007F3FF6"/>
    <w:rsid w:val="007F40A4"/>
    <w:rsid w:val="007F40B9"/>
    <w:rsid w:val="007F40FB"/>
    <w:rsid w:val="007F41DC"/>
    <w:rsid w:val="007F420C"/>
    <w:rsid w:val="007F4289"/>
    <w:rsid w:val="007F42A2"/>
    <w:rsid w:val="007F43B3"/>
    <w:rsid w:val="007F4434"/>
    <w:rsid w:val="007F4550"/>
    <w:rsid w:val="007F4628"/>
    <w:rsid w:val="007F48C4"/>
    <w:rsid w:val="007F4982"/>
    <w:rsid w:val="007F4AE0"/>
    <w:rsid w:val="007F4B4E"/>
    <w:rsid w:val="007F4B4F"/>
    <w:rsid w:val="007F4DF5"/>
    <w:rsid w:val="007F4E83"/>
    <w:rsid w:val="007F4F45"/>
    <w:rsid w:val="007F4FB9"/>
    <w:rsid w:val="007F500B"/>
    <w:rsid w:val="007F5020"/>
    <w:rsid w:val="007F50A0"/>
    <w:rsid w:val="007F50DA"/>
    <w:rsid w:val="007F5163"/>
    <w:rsid w:val="007F5431"/>
    <w:rsid w:val="007F55D1"/>
    <w:rsid w:val="007F56EB"/>
    <w:rsid w:val="007F5795"/>
    <w:rsid w:val="007F5823"/>
    <w:rsid w:val="007F585B"/>
    <w:rsid w:val="007F5923"/>
    <w:rsid w:val="007F5996"/>
    <w:rsid w:val="007F5AEB"/>
    <w:rsid w:val="007F5B6D"/>
    <w:rsid w:val="007F5BC8"/>
    <w:rsid w:val="007F5C97"/>
    <w:rsid w:val="007F5CA6"/>
    <w:rsid w:val="007F5CB4"/>
    <w:rsid w:val="007F5CF0"/>
    <w:rsid w:val="007F5D6C"/>
    <w:rsid w:val="007F5E05"/>
    <w:rsid w:val="007F5E4F"/>
    <w:rsid w:val="007F60A9"/>
    <w:rsid w:val="007F61AD"/>
    <w:rsid w:val="007F62A5"/>
    <w:rsid w:val="007F640A"/>
    <w:rsid w:val="007F649A"/>
    <w:rsid w:val="007F64CC"/>
    <w:rsid w:val="007F6645"/>
    <w:rsid w:val="007F66D2"/>
    <w:rsid w:val="007F6786"/>
    <w:rsid w:val="007F6824"/>
    <w:rsid w:val="007F6913"/>
    <w:rsid w:val="007F693B"/>
    <w:rsid w:val="007F69DE"/>
    <w:rsid w:val="007F6AA0"/>
    <w:rsid w:val="007F6ABD"/>
    <w:rsid w:val="007F6B2A"/>
    <w:rsid w:val="007F6B48"/>
    <w:rsid w:val="007F6C68"/>
    <w:rsid w:val="007F6CEC"/>
    <w:rsid w:val="007F6D4B"/>
    <w:rsid w:val="007F6DC9"/>
    <w:rsid w:val="007F6DE2"/>
    <w:rsid w:val="007F6EA9"/>
    <w:rsid w:val="007F6F67"/>
    <w:rsid w:val="007F6FB3"/>
    <w:rsid w:val="007F709D"/>
    <w:rsid w:val="007F7147"/>
    <w:rsid w:val="007F7197"/>
    <w:rsid w:val="007F71B2"/>
    <w:rsid w:val="007F72C8"/>
    <w:rsid w:val="007F7348"/>
    <w:rsid w:val="007F7371"/>
    <w:rsid w:val="007F7390"/>
    <w:rsid w:val="007F7406"/>
    <w:rsid w:val="007F74A8"/>
    <w:rsid w:val="007F751A"/>
    <w:rsid w:val="007F7648"/>
    <w:rsid w:val="007F7680"/>
    <w:rsid w:val="007F769A"/>
    <w:rsid w:val="007F76FE"/>
    <w:rsid w:val="007F775A"/>
    <w:rsid w:val="007F77B4"/>
    <w:rsid w:val="007F784D"/>
    <w:rsid w:val="007F7881"/>
    <w:rsid w:val="007F7962"/>
    <w:rsid w:val="007F79DC"/>
    <w:rsid w:val="007F7A9E"/>
    <w:rsid w:val="007F7AE0"/>
    <w:rsid w:val="007F7B24"/>
    <w:rsid w:val="007F7B26"/>
    <w:rsid w:val="007F7B4C"/>
    <w:rsid w:val="007F7BE9"/>
    <w:rsid w:val="007F7D3A"/>
    <w:rsid w:val="008000BA"/>
    <w:rsid w:val="008000C4"/>
    <w:rsid w:val="008001FA"/>
    <w:rsid w:val="00800353"/>
    <w:rsid w:val="00800485"/>
    <w:rsid w:val="008004F5"/>
    <w:rsid w:val="0080052E"/>
    <w:rsid w:val="00800582"/>
    <w:rsid w:val="008006A3"/>
    <w:rsid w:val="008007AD"/>
    <w:rsid w:val="008007D2"/>
    <w:rsid w:val="0080080D"/>
    <w:rsid w:val="008009A5"/>
    <w:rsid w:val="00800B46"/>
    <w:rsid w:val="00800C2A"/>
    <w:rsid w:val="00800DD8"/>
    <w:rsid w:val="00800E26"/>
    <w:rsid w:val="00800E2B"/>
    <w:rsid w:val="00800F89"/>
    <w:rsid w:val="00801004"/>
    <w:rsid w:val="0080103E"/>
    <w:rsid w:val="0080108D"/>
    <w:rsid w:val="0080115D"/>
    <w:rsid w:val="008012E8"/>
    <w:rsid w:val="0080131F"/>
    <w:rsid w:val="008013F9"/>
    <w:rsid w:val="00801510"/>
    <w:rsid w:val="00801511"/>
    <w:rsid w:val="0080151B"/>
    <w:rsid w:val="008015AE"/>
    <w:rsid w:val="008017C2"/>
    <w:rsid w:val="00801884"/>
    <w:rsid w:val="008018DC"/>
    <w:rsid w:val="0080193C"/>
    <w:rsid w:val="008019C3"/>
    <w:rsid w:val="00801A44"/>
    <w:rsid w:val="00801B8D"/>
    <w:rsid w:val="00801C6A"/>
    <w:rsid w:val="00801DCF"/>
    <w:rsid w:val="00801DD5"/>
    <w:rsid w:val="00801ED9"/>
    <w:rsid w:val="0080207F"/>
    <w:rsid w:val="008020E8"/>
    <w:rsid w:val="008020F7"/>
    <w:rsid w:val="0080218A"/>
    <w:rsid w:val="00802211"/>
    <w:rsid w:val="008022C5"/>
    <w:rsid w:val="008023DB"/>
    <w:rsid w:val="00802464"/>
    <w:rsid w:val="008027FD"/>
    <w:rsid w:val="008028B6"/>
    <w:rsid w:val="008028D4"/>
    <w:rsid w:val="0080292B"/>
    <w:rsid w:val="008029E2"/>
    <w:rsid w:val="008029EA"/>
    <w:rsid w:val="00802A3E"/>
    <w:rsid w:val="00802ACA"/>
    <w:rsid w:val="00802B50"/>
    <w:rsid w:val="00802BE6"/>
    <w:rsid w:val="00802C7C"/>
    <w:rsid w:val="00802D4A"/>
    <w:rsid w:val="00802DAA"/>
    <w:rsid w:val="00802E16"/>
    <w:rsid w:val="00802E18"/>
    <w:rsid w:val="00802E92"/>
    <w:rsid w:val="00802EB4"/>
    <w:rsid w:val="00802F03"/>
    <w:rsid w:val="00802F44"/>
    <w:rsid w:val="00802FD4"/>
    <w:rsid w:val="0080323E"/>
    <w:rsid w:val="00803543"/>
    <w:rsid w:val="008035D3"/>
    <w:rsid w:val="008035DA"/>
    <w:rsid w:val="008035EF"/>
    <w:rsid w:val="0080366D"/>
    <w:rsid w:val="008036C1"/>
    <w:rsid w:val="008037B6"/>
    <w:rsid w:val="00803806"/>
    <w:rsid w:val="008038FA"/>
    <w:rsid w:val="00803946"/>
    <w:rsid w:val="00803980"/>
    <w:rsid w:val="008039FD"/>
    <w:rsid w:val="00803B79"/>
    <w:rsid w:val="00803B9B"/>
    <w:rsid w:val="00803BF2"/>
    <w:rsid w:val="00803CC0"/>
    <w:rsid w:val="00803CC4"/>
    <w:rsid w:val="00803DB6"/>
    <w:rsid w:val="00803E03"/>
    <w:rsid w:val="00803EF4"/>
    <w:rsid w:val="00803F49"/>
    <w:rsid w:val="00803F8B"/>
    <w:rsid w:val="00803FC6"/>
    <w:rsid w:val="00803FDC"/>
    <w:rsid w:val="0080402C"/>
    <w:rsid w:val="00804058"/>
    <w:rsid w:val="008040ED"/>
    <w:rsid w:val="008042E7"/>
    <w:rsid w:val="00804384"/>
    <w:rsid w:val="008044DC"/>
    <w:rsid w:val="0080452B"/>
    <w:rsid w:val="00804562"/>
    <w:rsid w:val="00804584"/>
    <w:rsid w:val="008045D0"/>
    <w:rsid w:val="0080461F"/>
    <w:rsid w:val="00804672"/>
    <w:rsid w:val="008046EB"/>
    <w:rsid w:val="008047F3"/>
    <w:rsid w:val="008048F7"/>
    <w:rsid w:val="00804934"/>
    <w:rsid w:val="00804938"/>
    <w:rsid w:val="008049DC"/>
    <w:rsid w:val="00804B03"/>
    <w:rsid w:val="00804B78"/>
    <w:rsid w:val="00804BA2"/>
    <w:rsid w:val="00804C1B"/>
    <w:rsid w:val="00804CC0"/>
    <w:rsid w:val="00804DC0"/>
    <w:rsid w:val="00804DD2"/>
    <w:rsid w:val="00804DE8"/>
    <w:rsid w:val="00804E34"/>
    <w:rsid w:val="00804EA8"/>
    <w:rsid w:val="00804EB9"/>
    <w:rsid w:val="00804EEE"/>
    <w:rsid w:val="008050F5"/>
    <w:rsid w:val="0080519A"/>
    <w:rsid w:val="008051B4"/>
    <w:rsid w:val="00805436"/>
    <w:rsid w:val="008054F2"/>
    <w:rsid w:val="00805781"/>
    <w:rsid w:val="008057CC"/>
    <w:rsid w:val="0080581C"/>
    <w:rsid w:val="00805877"/>
    <w:rsid w:val="0080593D"/>
    <w:rsid w:val="00805A80"/>
    <w:rsid w:val="00805B7D"/>
    <w:rsid w:val="00805BAE"/>
    <w:rsid w:val="00805C7C"/>
    <w:rsid w:val="00805DCC"/>
    <w:rsid w:val="00805E0A"/>
    <w:rsid w:val="00805E42"/>
    <w:rsid w:val="00805F5F"/>
    <w:rsid w:val="00806028"/>
    <w:rsid w:val="008060A9"/>
    <w:rsid w:val="00806154"/>
    <w:rsid w:val="008062AE"/>
    <w:rsid w:val="00806430"/>
    <w:rsid w:val="00806498"/>
    <w:rsid w:val="008064E3"/>
    <w:rsid w:val="00806511"/>
    <w:rsid w:val="008066B8"/>
    <w:rsid w:val="00806782"/>
    <w:rsid w:val="0080679B"/>
    <w:rsid w:val="008067D0"/>
    <w:rsid w:val="00806816"/>
    <w:rsid w:val="00806842"/>
    <w:rsid w:val="0080685E"/>
    <w:rsid w:val="00806AD3"/>
    <w:rsid w:val="00806B7B"/>
    <w:rsid w:val="00806BBA"/>
    <w:rsid w:val="00806D49"/>
    <w:rsid w:val="00806DA3"/>
    <w:rsid w:val="00807075"/>
    <w:rsid w:val="008070EE"/>
    <w:rsid w:val="0080729B"/>
    <w:rsid w:val="008073B8"/>
    <w:rsid w:val="00807486"/>
    <w:rsid w:val="008074C5"/>
    <w:rsid w:val="00807560"/>
    <w:rsid w:val="008075A2"/>
    <w:rsid w:val="008075D8"/>
    <w:rsid w:val="00807760"/>
    <w:rsid w:val="00807962"/>
    <w:rsid w:val="00807A2F"/>
    <w:rsid w:val="00807B45"/>
    <w:rsid w:val="00807C17"/>
    <w:rsid w:val="00807DDB"/>
    <w:rsid w:val="00807E86"/>
    <w:rsid w:val="00807E93"/>
    <w:rsid w:val="00807E9B"/>
    <w:rsid w:val="00807ED3"/>
    <w:rsid w:val="00807EEA"/>
    <w:rsid w:val="00807F22"/>
    <w:rsid w:val="00810053"/>
    <w:rsid w:val="0081012D"/>
    <w:rsid w:val="00810166"/>
    <w:rsid w:val="008101C8"/>
    <w:rsid w:val="00810227"/>
    <w:rsid w:val="008102A4"/>
    <w:rsid w:val="00810460"/>
    <w:rsid w:val="008104AB"/>
    <w:rsid w:val="00810524"/>
    <w:rsid w:val="00810587"/>
    <w:rsid w:val="008106C9"/>
    <w:rsid w:val="008107B8"/>
    <w:rsid w:val="00810816"/>
    <w:rsid w:val="00810A2B"/>
    <w:rsid w:val="00810A6C"/>
    <w:rsid w:val="00810BA3"/>
    <w:rsid w:val="00810C6E"/>
    <w:rsid w:val="00810C81"/>
    <w:rsid w:val="00810C92"/>
    <w:rsid w:val="00810D56"/>
    <w:rsid w:val="00810D60"/>
    <w:rsid w:val="00810DFC"/>
    <w:rsid w:val="00810E1B"/>
    <w:rsid w:val="00810EC0"/>
    <w:rsid w:val="00810EF6"/>
    <w:rsid w:val="00811002"/>
    <w:rsid w:val="0081101F"/>
    <w:rsid w:val="0081113C"/>
    <w:rsid w:val="00811282"/>
    <w:rsid w:val="00811288"/>
    <w:rsid w:val="008112C5"/>
    <w:rsid w:val="008113E3"/>
    <w:rsid w:val="008113EC"/>
    <w:rsid w:val="00811644"/>
    <w:rsid w:val="008116DA"/>
    <w:rsid w:val="00811730"/>
    <w:rsid w:val="00811768"/>
    <w:rsid w:val="00811786"/>
    <w:rsid w:val="008117B7"/>
    <w:rsid w:val="008117F0"/>
    <w:rsid w:val="00811930"/>
    <w:rsid w:val="00811A4D"/>
    <w:rsid w:val="00811B07"/>
    <w:rsid w:val="00811B3E"/>
    <w:rsid w:val="00811B66"/>
    <w:rsid w:val="00811C28"/>
    <w:rsid w:val="00811C82"/>
    <w:rsid w:val="00811C9A"/>
    <w:rsid w:val="00811CFD"/>
    <w:rsid w:val="00811E22"/>
    <w:rsid w:val="00811E64"/>
    <w:rsid w:val="00811E6F"/>
    <w:rsid w:val="00811E8C"/>
    <w:rsid w:val="00811F04"/>
    <w:rsid w:val="00811F17"/>
    <w:rsid w:val="00811F9F"/>
    <w:rsid w:val="00811FA9"/>
    <w:rsid w:val="008120B7"/>
    <w:rsid w:val="00812144"/>
    <w:rsid w:val="00812183"/>
    <w:rsid w:val="008121D5"/>
    <w:rsid w:val="00812222"/>
    <w:rsid w:val="00812277"/>
    <w:rsid w:val="00812377"/>
    <w:rsid w:val="00812464"/>
    <w:rsid w:val="008124BA"/>
    <w:rsid w:val="008124DB"/>
    <w:rsid w:val="00812515"/>
    <w:rsid w:val="0081265E"/>
    <w:rsid w:val="008126B0"/>
    <w:rsid w:val="008126D0"/>
    <w:rsid w:val="00812738"/>
    <w:rsid w:val="00812825"/>
    <w:rsid w:val="00812AFC"/>
    <w:rsid w:val="00812B05"/>
    <w:rsid w:val="00812C21"/>
    <w:rsid w:val="00812D03"/>
    <w:rsid w:val="00812D11"/>
    <w:rsid w:val="00812DE5"/>
    <w:rsid w:val="00812ED0"/>
    <w:rsid w:val="00812EE9"/>
    <w:rsid w:val="00812F37"/>
    <w:rsid w:val="00812F6F"/>
    <w:rsid w:val="0081303B"/>
    <w:rsid w:val="008131BC"/>
    <w:rsid w:val="008132C5"/>
    <w:rsid w:val="00813320"/>
    <w:rsid w:val="00813408"/>
    <w:rsid w:val="008134EF"/>
    <w:rsid w:val="00813646"/>
    <w:rsid w:val="008137E2"/>
    <w:rsid w:val="008138AC"/>
    <w:rsid w:val="008138FD"/>
    <w:rsid w:val="0081391B"/>
    <w:rsid w:val="00813A0E"/>
    <w:rsid w:val="00813A12"/>
    <w:rsid w:val="00813A1D"/>
    <w:rsid w:val="00813A20"/>
    <w:rsid w:val="00813A27"/>
    <w:rsid w:val="00813AC8"/>
    <w:rsid w:val="00813B3A"/>
    <w:rsid w:val="00813B7F"/>
    <w:rsid w:val="00813C30"/>
    <w:rsid w:val="00813C3A"/>
    <w:rsid w:val="00813CBA"/>
    <w:rsid w:val="00813E79"/>
    <w:rsid w:val="0081400D"/>
    <w:rsid w:val="0081402C"/>
    <w:rsid w:val="00814090"/>
    <w:rsid w:val="008141ED"/>
    <w:rsid w:val="00814220"/>
    <w:rsid w:val="008142EC"/>
    <w:rsid w:val="00814309"/>
    <w:rsid w:val="008145DD"/>
    <w:rsid w:val="00814632"/>
    <w:rsid w:val="0081477C"/>
    <w:rsid w:val="00814862"/>
    <w:rsid w:val="008148F4"/>
    <w:rsid w:val="00814940"/>
    <w:rsid w:val="0081494E"/>
    <w:rsid w:val="00814B78"/>
    <w:rsid w:val="00814CC1"/>
    <w:rsid w:val="00814DF6"/>
    <w:rsid w:val="00814E41"/>
    <w:rsid w:val="00814F18"/>
    <w:rsid w:val="00814FE6"/>
    <w:rsid w:val="008150EA"/>
    <w:rsid w:val="0081517B"/>
    <w:rsid w:val="0081529F"/>
    <w:rsid w:val="00815310"/>
    <w:rsid w:val="00815388"/>
    <w:rsid w:val="008155BC"/>
    <w:rsid w:val="008155C8"/>
    <w:rsid w:val="00815684"/>
    <w:rsid w:val="008156A6"/>
    <w:rsid w:val="00815702"/>
    <w:rsid w:val="00815770"/>
    <w:rsid w:val="0081581F"/>
    <w:rsid w:val="0081589F"/>
    <w:rsid w:val="0081599B"/>
    <w:rsid w:val="00815A8D"/>
    <w:rsid w:val="00815AA4"/>
    <w:rsid w:val="00815AD6"/>
    <w:rsid w:val="00815F99"/>
    <w:rsid w:val="00816040"/>
    <w:rsid w:val="00816152"/>
    <w:rsid w:val="008161B1"/>
    <w:rsid w:val="008161E1"/>
    <w:rsid w:val="0081628F"/>
    <w:rsid w:val="00816294"/>
    <w:rsid w:val="008163BC"/>
    <w:rsid w:val="008163FD"/>
    <w:rsid w:val="00816496"/>
    <w:rsid w:val="00816542"/>
    <w:rsid w:val="008165F6"/>
    <w:rsid w:val="0081664F"/>
    <w:rsid w:val="00816650"/>
    <w:rsid w:val="00816651"/>
    <w:rsid w:val="00816817"/>
    <w:rsid w:val="00816819"/>
    <w:rsid w:val="0081692E"/>
    <w:rsid w:val="00816A25"/>
    <w:rsid w:val="00816BC0"/>
    <w:rsid w:val="00816F4D"/>
    <w:rsid w:val="00816FDA"/>
    <w:rsid w:val="0081718B"/>
    <w:rsid w:val="00817215"/>
    <w:rsid w:val="00817516"/>
    <w:rsid w:val="008175F8"/>
    <w:rsid w:val="00817621"/>
    <w:rsid w:val="008176BF"/>
    <w:rsid w:val="0081771A"/>
    <w:rsid w:val="00817969"/>
    <w:rsid w:val="0081799B"/>
    <w:rsid w:val="00817A4E"/>
    <w:rsid w:val="00817D4F"/>
    <w:rsid w:val="00817D67"/>
    <w:rsid w:val="00817DC4"/>
    <w:rsid w:val="00817DD0"/>
    <w:rsid w:val="00817EA5"/>
    <w:rsid w:val="00817EF8"/>
    <w:rsid w:val="00817FAF"/>
    <w:rsid w:val="00820033"/>
    <w:rsid w:val="00820046"/>
    <w:rsid w:val="008201E0"/>
    <w:rsid w:val="0082035E"/>
    <w:rsid w:val="008203A6"/>
    <w:rsid w:val="008203FA"/>
    <w:rsid w:val="00820461"/>
    <w:rsid w:val="008204C6"/>
    <w:rsid w:val="008204E4"/>
    <w:rsid w:val="00820521"/>
    <w:rsid w:val="00820556"/>
    <w:rsid w:val="0082065B"/>
    <w:rsid w:val="00820762"/>
    <w:rsid w:val="00820828"/>
    <w:rsid w:val="00820858"/>
    <w:rsid w:val="00820860"/>
    <w:rsid w:val="0082089F"/>
    <w:rsid w:val="008208D8"/>
    <w:rsid w:val="008209F7"/>
    <w:rsid w:val="00820A07"/>
    <w:rsid w:val="00820A84"/>
    <w:rsid w:val="00820C0E"/>
    <w:rsid w:val="00820C36"/>
    <w:rsid w:val="00820CB2"/>
    <w:rsid w:val="00820DE5"/>
    <w:rsid w:val="00820E38"/>
    <w:rsid w:val="00820E3A"/>
    <w:rsid w:val="00820E4F"/>
    <w:rsid w:val="00820FB9"/>
    <w:rsid w:val="008211A6"/>
    <w:rsid w:val="008211B1"/>
    <w:rsid w:val="00821355"/>
    <w:rsid w:val="008214FC"/>
    <w:rsid w:val="0082155C"/>
    <w:rsid w:val="0082157D"/>
    <w:rsid w:val="0082172B"/>
    <w:rsid w:val="008218A2"/>
    <w:rsid w:val="008218F2"/>
    <w:rsid w:val="00821904"/>
    <w:rsid w:val="00821A2E"/>
    <w:rsid w:val="00821A60"/>
    <w:rsid w:val="00821AA1"/>
    <w:rsid w:val="00821D60"/>
    <w:rsid w:val="00821EAC"/>
    <w:rsid w:val="00821F14"/>
    <w:rsid w:val="008221D9"/>
    <w:rsid w:val="0082221F"/>
    <w:rsid w:val="0082230B"/>
    <w:rsid w:val="00822352"/>
    <w:rsid w:val="00822371"/>
    <w:rsid w:val="008223CE"/>
    <w:rsid w:val="008223FF"/>
    <w:rsid w:val="008224F0"/>
    <w:rsid w:val="0082263F"/>
    <w:rsid w:val="008227BF"/>
    <w:rsid w:val="00822822"/>
    <w:rsid w:val="008228BD"/>
    <w:rsid w:val="008228DD"/>
    <w:rsid w:val="00822A0F"/>
    <w:rsid w:val="00822A6F"/>
    <w:rsid w:val="00822CEF"/>
    <w:rsid w:val="00822EBD"/>
    <w:rsid w:val="008230B3"/>
    <w:rsid w:val="00823258"/>
    <w:rsid w:val="00823263"/>
    <w:rsid w:val="0082353F"/>
    <w:rsid w:val="00823679"/>
    <w:rsid w:val="0082375D"/>
    <w:rsid w:val="00823901"/>
    <w:rsid w:val="00823A2B"/>
    <w:rsid w:val="00823A37"/>
    <w:rsid w:val="00823A46"/>
    <w:rsid w:val="00823A86"/>
    <w:rsid w:val="00823A90"/>
    <w:rsid w:val="00823B43"/>
    <w:rsid w:val="00823C53"/>
    <w:rsid w:val="00823D64"/>
    <w:rsid w:val="00823DEC"/>
    <w:rsid w:val="00823EDA"/>
    <w:rsid w:val="00823F99"/>
    <w:rsid w:val="0082400A"/>
    <w:rsid w:val="00824153"/>
    <w:rsid w:val="008241D5"/>
    <w:rsid w:val="008241FA"/>
    <w:rsid w:val="00824273"/>
    <w:rsid w:val="0082428D"/>
    <w:rsid w:val="008242EC"/>
    <w:rsid w:val="0082433A"/>
    <w:rsid w:val="008244B0"/>
    <w:rsid w:val="008244D8"/>
    <w:rsid w:val="00824548"/>
    <w:rsid w:val="00824556"/>
    <w:rsid w:val="0082460B"/>
    <w:rsid w:val="0082469B"/>
    <w:rsid w:val="0082498D"/>
    <w:rsid w:val="00824A20"/>
    <w:rsid w:val="00824A38"/>
    <w:rsid w:val="00824BD1"/>
    <w:rsid w:val="00824C48"/>
    <w:rsid w:val="00824C77"/>
    <w:rsid w:val="00824CCA"/>
    <w:rsid w:val="00824DBB"/>
    <w:rsid w:val="00824EF4"/>
    <w:rsid w:val="00824F88"/>
    <w:rsid w:val="00824FB3"/>
    <w:rsid w:val="00825016"/>
    <w:rsid w:val="00825049"/>
    <w:rsid w:val="008250C3"/>
    <w:rsid w:val="0082512D"/>
    <w:rsid w:val="0082516A"/>
    <w:rsid w:val="00825217"/>
    <w:rsid w:val="00825270"/>
    <w:rsid w:val="008252F3"/>
    <w:rsid w:val="0082531B"/>
    <w:rsid w:val="00825352"/>
    <w:rsid w:val="00825355"/>
    <w:rsid w:val="00825414"/>
    <w:rsid w:val="00825415"/>
    <w:rsid w:val="00825445"/>
    <w:rsid w:val="00825450"/>
    <w:rsid w:val="008254B8"/>
    <w:rsid w:val="0082571F"/>
    <w:rsid w:val="0082574B"/>
    <w:rsid w:val="00825954"/>
    <w:rsid w:val="00825A54"/>
    <w:rsid w:val="00825C78"/>
    <w:rsid w:val="00825C9B"/>
    <w:rsid w:val="00825CF5"/>
    <w:rsid w:val="00825E12"/>
    <w:rsid w:val="00825E7D"/>
    <w:rsid w:val="00825EE6"/>
    <w:rsid w:val="00825FEF"/>
    <w:rsid w:val="00826103"/>
    <w:rsid w:val="008261A1"/>
    <w:rsid w:val="008261AB"/>
    <w:rsid w:val="00826245"/>
    <w:rsid w:val="0082627C"/>
    <w:rsid w:val="008263A9"/>
    <w:rsid w:val="008263C3"/>
    <w:rsid w:val="008263E0"/>
    <w:rsid w:val="00826407"/>
    <w:rsid w:val="0082640E"/>
    <w:rsid w:val="00826429"/>
    <w:rsid w:val="00826635"/>
    <w:rsid w:val="00826641"/>
    <w:rsid w:val="00826694"/>
    <w:rsid w:val="0082680F"/>
    <w:rsid w:val="0082686C"/>
    <w:rsid w:val="00826980"/>
    <w:rsid w:val="00826A12"/>
    <w:rsid w:val="00826AC9"/>
    <w:rsid w:val="00826B1B"/>
    <w:rsid w:val="00826B4A"/>
    <w:rsid w:val="00826BF7"/>
    <w:rsid w:val="00826BFB"/>
    <w:rsid w:val="00826BFD"/>
    <w:rsid w:val="00826C31"/>
    <w:rsid w:val="00826C37"/>
    <w:rsid w:val="00826CC0"/>
    <w:rsid w:val="00826E04"/>
    <w:rsid w:val="00826F84"/>
    <w:rsid w:val="0082701B"/>
    <w:rsid w:val="00827043"/>
    <w:rsid w:val="008270B0"/>
    <w:rsid w:val="008270B9"/>
    <w:rsid w:val="00827178"/>
    <w:rsid w:val="008272E5"/>
    <w:rsid w:val="00827363"/>
    <w:rsid w:val="008273DC"/>
    <w:rsid w:val="0082752C"/>
    <w:rsid w:val="00827799"/>
    <w:rsid w:val="008277DB"/>
    <w:rsid w:val="0082781C"/>
    <w:rsid w:val="00827850"/>
    <w:rsid w:val="008278A6"/>
    <w:rsid w:val="00827B8C"/>
    <w:rsid w:val="00827D1E"/>
    <w:rsid w:val="00827DB4"/>
    <w:rsid w:val="00827DE2"/>
    <w:rsid w:val="00827DEF"/>
    <w:rsid w:val="00827E5B"/>
    <w:rsid w:val="00827FCC"/>
    <w:rsid w:val="008300B0"/>
    <w:rsid w:val="008301B7"/>
    <w:rsid w:val="0083027F"/>
    <w:rsid w:val="008302B1"/>
    <w:rsid w:val="0083031D"/>
    <w:rsid w:val="0083050F"/>
    <w:rsid w:val="00830588"/>
    <w:rsid w:val="0083064B"/>
    <w:rsid w:val="008306ED"/>
    <w:rsid w:val="008306EF"/>
    <w:rsid w:val="00830823"/>
    <w:rsid w:val="00830882"/>
    <w:rsid w:val="008308A0"/>
    <w:rsid w:val="008309AF"/>
    <w:rsid w:val="008309C9"/>
    <w:rsid w:val="00830B59"/>
    <w:rsid w:val="00830B8E"/>
    <w:rsid w:val="00830BBD"/>
    <w:rsid w:val="00830C8D"/>
    <w:rsid w:val="00830F0A"/>
    <w:rsid w:val="00830F38"/>
    <w:rsid w:val="00830F3A"/>
    <w:rsid w:val="00830F8A"/>
    <w:rsid w:val="00830FCA"/>
    <w:rsid w:val="0083106C"/>
    <w:rsid w:val="008310B1"/>
    <w:rsid w:val="00831126"/>
    <w:rsid w:val="0083119E"/>
    <w:rsid w:val="008313EB"/>
    <w:rsid w:val="008314E7"/>
    <w:rsid w:val="00831511"/>
    <w:rsid w:val="00831834"/>
    <w:rsid w:val="00831884"/>
    <w:rsid w:val="008318CE"/>
    <w:rsid w:val="00831ADE"/>
    <w:rsid w:val="00831AFE"/>
    <w:rsid w:val="00831B96"/>
    <w:rsid w:val="00831E76"/>
    <w:rsid w:val="00831F68"/>
    <w:rsid w:val="00832116"/>
    <w:rsid w:val="008322E1"/>
    <w:rsid w:val="008323A5"/>
    <w:rsid w:val="008324AD"/>
    <w:rsid w:val="008324BF"/>
    <w:rsid w:val="00832571"/>
    <w:rsid w:val="0083262D"/>
    <w:rsid w:val="008326A2"/>
    <w:rsid w:val="00832707"/>
    <w:rsid w:val="0083287A"/>
    <w:rsid w:val="0083288C"/>
    <w:rsid w:val="008328A4"/>
    <w:rsid w:val="008328F2"/>
    <w:rsid w:val="00832B15"/>
    <w:rsid w:val="00832BA9"/>
    <w:rsid w:val="00832C80"/>
    <w:rsid w:val="00832C97"/>
    <w:rsid w:val="00832D7C"/>
    <w:rsid w:val="00832DF5"/>
    <w:rsid w:val="00832E59"/>
    <w:rsid w:val="00832ECD"/>
    <w:rsid w:val="00832FD6"/>
    <w:rsid w:val="00833023"/>
    <w:rsid w:val="00833040"/>
    <w:rsid w:val="00833173"/>
    <w:rsid w:val="0083318D"/>
    <w:rsid w:val="008331AC"/>
    <w:rsid w:val="008331FB"/>
    <w:rsid w:val="0083322C"/>
    <w:rsid w:val="00833261"/>
    <w:rsid w:val="00833291"/>
    <w:rsid w:val="0083336D"/>
    <w:rsid w:val="0083336F"/>
    <w:rsid w:val="0083341F"/>
    <w:rsid w:val="00833432"/>
    <w:rsid w:val="00833456"/>
    <w:rsid w:val="0083359C"/>
    <w:rsid w:val="008335EF"/>
    <w:rsid w:val="00833666"/>
    <w:rsid w:val="00833724"/>
    <w:rsid w:val="00833775"/>
    <w:rsid w:val="00833846"/>
    <w:rsid w:val="008339C6"/>
    <w:rsid w:val="00833A0D"/>
    <w:rsid w:val="00833A7C"/>
    <w:rsid w:val="00833A93"/>
    <w:rsid w:val="00833B5D"/>
    <w:rsid w:val="00833BD8"/>
    <w:rsid w:val="00833BDC"/>
    <w:rsid w:val="00833CC9"/>
    <w:rsid w:val="00833D13"/>
    <w:rsid w:val="00833D59"/>
    <w:rsid w:val="00833D7F"/>
    <w:rsid w:val="00833D88"/>
    <w:rsid w:val="00833E55"/>
    <w:rsid w:val="00833E62"/>
    <w:rsid w:val="00833EDD"/>
    <w:rsid w:val="00833FAA"/>
    <w:rsid w:val="00834085"/>
    <w:rsid w:val="008340C9"/>
    <w:rsid w:val="0083417D"/>
    <w:rsid w:val="00834231"/>
    <w:rsid w:val="0083439A"/>
    <w:rsid w:val="008343BB"/>
    <w:rsid w:val="008343CF"/>
    <w:rsid w:val="008343DF"/>
    <w:rsid w:val="008344B8"/>
    <w:rsid w:val="008344BE"/>
    <w:rsid w:val="00834584"/>
    <w:rsid w:val="008345CE"/>
    <w:rsid w:val="0083461B"/>
    <w:rsid w:val="00834673"/>
    <w:rsid w:val="00834841"/>
    <w:rsid w:val="00834964"/>
    <w:rsid w:val="008349CB"/>
    <w:rsid w:val="00834B25"/>
    <w:rsid w:val="00834C55"/>
    <w:rsid w:val="00834C62"/>
    <w:rsid w:val="00834CD9"/>
    <w:rsid w:val="00834D26"/>
    <w:rsid w:val="00834DAE"/>
    <w:rsid w:val="00834DF5"/>
    <w:rsid w:val="00834EED"/>
    <w:rsid w:val="00834F06"/>
    <w:rsid w:val="00834F74"/>
    <w:rsid w:val="00834FFF"/>
    <w:rsid w:val="0083510B"/>
    <w:rsid w:val="00835131"/>
    <w:rsid w:val="008351CA"/>
    <w:rsid w:val="008352F9"/>
    <w:rsid w:val="008353D3"/>
    <w:rsid w:val="00835405"/>
    <w:rsid w:val="008354F5"/>
    <w:rsid w:val="00835542"/>
    <w:rsid w:val="00835603"/>
    <w:rsid w:val="00835609"/>
    <w:rsid w:val="00835653"/>
    <w:rsid w:val="00835751"/>
    <w:rsid w:val="00835770"/>
    <w:rsid w:val="008357E1"/>
    <w:rsid w:val="008357F1"/>
    <w:rsid w:val="00835808"/>
    <w:rsid w:val="00835896"/>
    <w:rsid w:val="00835934"/>
    <w:rsid w:val="008359BB"/>
    <w:rsid w:val="00835A1B"/>
    <w:rsid w:val="00835A49"/>
    <w:rsid w:val="00835A4E"/>
    <w:rsid w:val="00835ACF"/>
    <w:rsid w:val="00835BD8"/>
    <w:rsid w:val="00835C0A"/>
    <w:rsid w:val="00835CBC"/>
    <w:rsid w:val="00835CFE"/>
    <w:rsid w:val="00835D18"/>
    <w:rsid w:val="00835D95"/>
    <w:rsid w:val="00835DA7"/>
    <w:rsid w:val="00835E89"/>
    <w:rsid w:val="00835F27"/>
    <w:rsid w:val="00835F2C"/>
    <w:rsid w:val="00835F35"/>
    <w:rsid w:val="00835F96"/>
    <w:rsid w:val="00836042"/>
    <w:rsid w:val="0083617A"/>
    <w:rsid w:val="00836232"/>
    <w:rsid w:val="00836320"/>
    <w:rsid w:val="00836542"/>
    <w:rsid w:val="0083661C"/>
    <w:rsid w:val="00836781"/>
    <w:rsid w:val="00836798"/>
    <w:rsid w:val="008367A9"/>
    <w:rsid w:val="0083680E"/>
    <w:rsid w:val="00836849"/>
    <w:rsid w:val="008368BA"/>
    <w:rsid w:val="00836926"/>
    <w:rsid w:val="008369F7"/>
    <w:rsid w:val="00836A1F"/>
    <w:rsid w:val="00836A45"/>
    <w:rsid w:val="00836A51"/>
    <w:rsid w:val="00836C9E"/>
    <w:rsid w:val="00836CBF"/>
    <w:rsid w:val="00836D5D"/>
    <w:rsid w:val="00836D93"/>
    <w:rsid w:val="00836E05"/>
    <w:rsid w:val="00836E24"/>
    <w:rsid w:val="00836E3B"/>
    <w:rsid w:val="00836EE0"/>
    <w:rsid w:val="00836F35"/>
    <w:rsid w:val="00836FCD"/>
    <w:rsid w:val="00837081"/>
    <w:rsid w:val="008370B7"/>
    <w:rsid w:val="0083718D"/>
    <w:rsid w:val="00837262"/>
    <w:rsid w:val="00837386"/>
    <w:rsid w:val="0083741F"/>
    <w:rsid w:val="008374DB"/>
    <w:rsid w:val="008375C5"/>
    <w:rsid w:val="00837704"/>
    <w:rsid w:val="00837830"/>
    <w:rsid w:val="008378C4"/>
    <w:rsid w:val="00837906"/>
    <w:rsid w:val="00837B74"/>
    <w:rsid w:val="00837BC4"/>
    <w:rsid w:val="00837C5F"/>
    <w:rsid w:val="00837CD5"/>
    <w:rsid w:val="00837DA7"/>
    <w:rsid w:val="0084004D"/>
    <w:rsid w:val="00840078"/>
    <w:rsid w:val="00840102"/>
    <w:rsid w:val="00840188"/>
    <w:rsid w:val="008404D7"/>
    <w:rsid w:val="00840565"/>
    <w:rsid w:val="00840594"/>
    <w:rsid w:val="008405C0"/>
    <w:rsid w:val="00840613"/>
    <w:rsid w:val="008406CD"/>
    <w:rsid w:val="00840724"/>
    <w:rsid w:val="00840753"/>
    <w:rsid w:val="00840791"/>
    <w:rsid w:val="008407DA"/>
    <w:rsid w:val="00840836"/>
    <w:rsid w:val="00840851"/>
    <w:rsid w:val="0084090C"/>
    <w:rsid w:val="0084095D"/>
    <w:rsid w:val="0084099B"/>
    <w:rsid w:val="00840AA4"/>
    <w:rsid w:val="00840B73"/>
    <w:rsid w:val="00840B81"/>
    <w:rsid w:val="00840C6B"/>
    <w:rsid w:val="00840CA1"/>
    <w:rsid w:val="00840CAA"/>
    <w:rsid w:val="00840D82"/>
    <w:rsid w:val="00840DD1"/>
    <w:rsid w:val="00840E0F"/>
    <w:rsid w:val="00840F72"/>
    <w:rsid w:val="00841067"/>
    <w:rsid w:val="008410F5"/>
    <w:rsid w:val="00841324"/>
    <w:rsid w:val="00841328"/>
    <w:rsid w:val="00841333"/>
    <w:rsid w:val="008413DA"/>
    <w:rsid w:val="00841412"/>
    <w:rsid w:val="008414D5"/>
    <w:rsid w:val="00841573"/>
    <w:rsid w:val="008415DC"/>
    <w:rsid w:val="008415FF"/>
    <w:rsid w:val="00841602"/>
    <w:rsid w:val="008416CA"/>
    <w:rsid w:val="0084170E"/>
    <w:rsid w:val="008417CF"/>
    <w:rsid w:val="00841806"/>
    <w:rsid w:val="00841830"/>
    <w:rsid w:val="00841960"/>
    <w:rsid w:val="00841A92"/>
    <w:rsid w:val="00841AE5"/>
    <w:rsid w:val="00841BAF"/>
    <w:rsid w:val="00841BBC"/>
    <w:rsid w:val="00841BC3"/>
    <w:rsid w:val="00841CA5"/>
    <w:rsid w:val="00841CC2"/>
    <w:rsid w:val="00841D64"/>
    <w:rsid w:val="00841F07"/>
    <w:rsid w:val="00841F94"/>
    <w:rsid w:val="00841FCE"/>
    <w:rsid w:val="00842030"/>
    <w:rsid w:val="00842098"/>
    <w:rsid w:val="008420C2"/>
    <w:rsid w:val="008423C4"/>
    <w:rsid w:val="008423E3"/>
    <w:rsid w:val="008423EF"/>
    <w:rsid w:val="00842404"/>
    <w:rsid w:val="008424D0"/>
    <w:rsid w:val="00842580"/>
    <w:rsid w:val="00842641"/>
    <w:rsid w:val="008427BB"/>
    <w:rsid w:val="00842861"/>
    <w:rsid w:val="0084292D"/>
    <w:rsid w:val="00842963"/>
    <w:rsid w:val="00842988"/>
    <w:rsid w:val="0084299B"/>
    <w:rsid w:val="00842B41"/>
    <w:rsid w:val="00842EFA"/>
    <w:rsid w:val="00842F3C"/>
    <w:rsid w:val="00843112"/>
    <w:rsid w:val="0084339C"/>
    <w:rsid w:val="0084357F"/>
    <w:rsid w:val="008436A0"/>
    <w:rsid w:val="008436D2"/>
    <w:rsid w:val="0084374D"/>
    <w:rsid w:val="00843988"/>
    <w:rsid w:val="00843AB9"/>
    <w:rsid w:val="00843DD4"/>
    <w:rsid w:val="00843DF9"/>
    <w:rsid w:val="00843FF0"/>
    <w:rsid w:val="0084400A"/>
    <w:rsid w:val="0084403C"/>
    <w:rsid w:val="0084427A"/>
    <w:rsid w:val="00844399"/>
    <w:rsid w:val="008443B9"/>
    <w:rsid w:val="008443BF"/>
    <w:rsid w:val="008445EE"/>
    <w:rsid w:val="0084461D"/>
    <w:rsid w:val="0084471E"/>
    <w:rsid w:val="00844745"/>
    <w:rsid w:val="0084477B"/>
    <w:rsid w:val="00844947"/>
    <w:rsid w:val="00844966"/>
    <w:rsid w:val="00844A02"/>
    <w:rsid w:val="00844A1F"/>
    <w:rsid w:val="00844A90"/>
    <w:rsid w:val="00844BB2"/>
    <w:rsid w:val="00844BD7"/>
    <w:rsid w:val="00844C5B"/>
    <w:rsid w:val="00844D08"/>
    <w:rsid w:val="00844EB5"/>
    <w:rsid w:val="00844F29"/>
    <w:rsid w:val="00844F63"/>
    <w:rsid w:val="00844F87"/>
    <w:rsid w:val="0084502E"/>
    <w:rsid w:val="008451B9"/>
    <w:rsid w:val="0084523B"/>
    <w:rsid w:val="00845377"/>
    <w:rsid w:val="00845478"/>
    <w:rsid w:val="0084548F"/>
    <w:rsid w:val="0084549B"/>
    <w:rsid w:val="00845509"/>
    <w:rsid w:val="008455AC"/>
    <w:rsid w:val="008456F9"/>
    <w:rsid w:val="00845A3F"/>
    <w:rsid w:val="00845AB6"/>
    <w:rsid w:val="00845ADF"/>
    <w:rsid w:val="00845B2B"/>
    <w:rsid w:val="00845BAF"/>
    <w:rsid w:val="00845BC0"/>
    <w:rsid w:val="00845C31"/>
    <w:rsid w:val="00845C90"/>
    <w:rsid w:val="00845CF0"/>
    <w:rsid w:val="00845DC3"/>
    <w:rsid w:val="00845DF1"/>
    <w:rsid w:val="00846019"/>
    <w:rsid w:val="0084601D"/>
    <w:rsid w:val="00846081"/>
    <w:rsid w:val="00846117"/>
    <w:rsid w:val="00846163"/>
    <w:rsid w:val="008461C7"/>
    <w:rsid w:val="008461F1"/>
    <w:rsid w:val="008462FE"/>
    <w:rsid w:val="00846417"/>
    <w:rsid w:val="00846442"/>
    <w:rsid w:val="0084647C"/>
    <w:rsid w:val="008465A4"/>
    <w:rsid w:val="0084661C"/>
    <w:rsid w:val="00846665"/>
    <w:rsid w:val="00846689"/>
    <w:rsid w:val="0084670B"/>
    <w:rsid w:val="00846711"/>
    <w:rsid w:val="00846735"/>
    <w:rsid w:val="00846799"/>
    <w:rsid w:val="008469BD"/>
    <w:rsid w:val="008469EB"/>
    <w:rsid w:val="00846A7E"/>
    <w:rsid w:val="00846A85"/>
    <w:rsid w:val="00846B84"/>
    <w:rsid w:val="00846BD2"/>
    <w:rsid w:val="00846C62"/>
    <w:rsid w:val="00846CD8"/>
    <w:rsid w:val="00846D9B"/>
    <w:rsid w:val="00846E56"/>
    <w:rsid w:val="00846EF2"/>
    <w:rsid w:val="00847033"/>
    <w:rsid w:val="00847068"/>
    <w:rsid w:val="008470A1"/>
    <w:rsid w:val="00847157"/>
    <w:rsid w:val="00847209"/>
    <w:rsid w:val="00847260"/>
    <w:rsid w:val="00847297"/>
    <w:rsid w:val="008472F9"/>
    <w:rsid w:val="00847344"/>
    <w:rsid w:val="00847393"/>
    <w:rsid w:val="008474D7"/>
    <w:rsid w:val="00847514"/>
    <w:rsid w:val="00847577"/>
    <w:rsid w:val="008476BE"/>
    <w:rsid w:val="00847724"/>
    <w:rsid w:val="00847750"/>
    <w:rsid w:val="00847935"/>
    <w:rsid w:val="00847B6C"/>
    <w:rsid w:val="00847DA3"/>
    <w:rsid w:val="00847DF8"/>
    <w:rsid w:val="00847F5F"/>
    <w:rsid w:val="00847F9A"/>
    <w:rsid w:val="00847FC2"/>
    <w:rsid w:val="008500CE"/>
    <w:rsid w:val="0085025B"/>
    <w:rsid w:val="008502D4"/>
    <w:rsid w:val="00850374"/>
    <w:rsid w:val="008503EE"/>
    <w:rsid w:val="0085060D"/>
    <w:rsid w:val="0085062D"/>
    <w:rsid w:val="00850703"/>
    <w:rsid w:val="00850762"/>
    <w:rsid w:val="00850781"/>
    <w:rsid w:val="00850856"/>
    <w:rsid w:val="008509FE"/>
    <w:rsid w:val="00850A8F"/>
    <w:rsid w:val="00850AC9"/>
    <w:rsid w:val="00850B17"/>
    <w:rsid w:val="00850B6F"/>
    <w:rsid w:val="00850BB5"/>
    <w:rsid w:val="00850C1D"/>
    <w:rsid w:val="00850CD3"/>
    <w:rsid w:val="00850D06"/>
    <w:rsid w:val="00850E39"/>
    <w:rsid w:val="00850E41"/>
    <w:rsid w:val="00850E90"/>
    <w:rsid w:val="00850F53"/>
    <w:rsid w:val="00850F64"/>
    <w:rsid w:val="008510B0"/>
    <w:rsid w:val="0085115B"/>
    <w:rsid w:val="008511CC"/>
    <w:rsid w:val="008511D5"/>
    <w:rsid w:val="00851207"/>
    <w:rsid w:val="00851217"/>
    <w:rsid w:val="008512A2"/>
    <w:rsid w:val="008512D7"/>
    <w:rsid w:val="0085131D"/>
    <w:rsid w:val="00851339"/>
    <w:rsid w:val="00851357"/>
    <w:rsid w:val="00851585"/>
    <w:rsid w:val="008515C4"/>
    <w:rsid w:val="008516D7"/>
    <w:rsid w:val="0085171C"/>
    <w:rsid w:val="00851756"/>
    <w:rsid w:val="0085188F"/>
    <w:rsid w:val="008518A5"/>
    <w:rsid w:val="0085191D"/>
    <w:rsid w:val="00851980"/>
    <w:rsid w:val="00851C52"/>
    <w:rsid w:val="00851DA7"/>
    <w:rsid w:val="00851DC6"/>
    <w:rsid w:val="00851EAA"/>
    <w:rsid w:val="00851F76"/>
    <w:rsid w:val="0085202F"/>
    <w:rsid w:val="00852045"/>
    <w:rsid w:val="008520CE"/>
    <w:rsid w:val="0085222A"/>
    <w:rsid w:val="00852279"/>
    <w:rsid w:val="008522BD"/>
    <w:rsid w:val="0085230A"/>
    <w:rsid w:val="0085232F"/>
    <w:rsid w:val="00852338"/>
    <w:rsid w:val="00852363"/>
    <w:rsid w:val="0085238E"/>
    <w:rsid w:val="008523AC"/>
    <w:rsid w:val="00852495"/>
    <w:rsid w:val="00852507"/>
    <w:rsid w:val="0085254B"/>
    <w:rsid w:val="008525D8"/>
    <w:rsid w:val="008526C2"/>
    <w:rsid w:val="00852832"/>
    <w:rsid w:val="008528ED"/>
    <w:rsid w:val="0085291C"/>
    <w:rsid w:val="0085292B"/>
    <w:rsid w:val="00852980"/>
    <w:rsid w:val="00852B0F"/>
    <w:rsid w:val="00852B25"/>
    <w:rsid w:val="00852B60"/>
    <w:rsid w:val="00852C22"/>
    <w:rsid w:val="00852CAD"/>
    <w:rsid w:val="00852D41"/>
    <w:rsid w:val="00852E27"/>
    <w:rsid w:val="00853044"/>
    <w:rsid w:val="00853235"/>
    <w:rsid w:val="008532E2"/>
    <w:rsid w:val="008532F5"/>
    <w:rsid w:val="008532F6"/>
    <w:rsid w:val="0085337A"/>
    <w:rsid w:val="008533F0"/>
    <w:rsid w:val="00853429"/>
    <w:rsid w:val="00853494"/>
    <w:rsid w:val="008534CC"/>
    <w:rsid w:val="0085358D"/>
    <w:rsid w:val="0085367F"/>
    <w:rsid w:val="008536CC"/>
    <w:rsid w:val="00853848"/>
    <w:rsid w:val="00853A71"/>
    <w:rsid w:val="00853B23"/>
    <w:rsid w:val="00853B28"/>
    <w:rsid w:val="00853B29"/>
    <w:rsid w:val="00853BB9"/>
    <w:rsid w:val="00853BF4"/>
    <w:rsid w:val="00853C24"/>
    <w:rsid w:val="00853C4E"/>
    <w:rsid w:val="00853CEA"/>
    <w:rsid w:val="00853D07"/>
    <w:rsid w:val="00853D83"/>
    <w:rsid w:val="00853EF8"/>
    <w:rsid w:val="00853F94"/>
    <w:rsid w:val="0085404A"/>
    <w:rsid w:val="008541E1"/>
    <w:rsid w:val="008542DC"/>
    <w:rsid w:val="008542E2"/>
    <w:rsid w:val="00854340"/>
    <w:rsid w:val="008543AC"/>
    <w:rsid w:val="008544A0"/>
    <w:rsid w:val="0085450E"/>
    <w:rsid w:val="008547BA"/>
    <w:rsid w:val="00854893"/>
    <w:rsid w:val="0085491B"/>
    <w:rsid w:val="00854946"/>
    <w:rsid w:val="008549C6"/>
    <w:rsid w:val="00854BF8"/>
    <w:rsid w:val="00854DF4"/>
    <w:rsid w:val="00854E86"/>
    <w:rsid w:val="00854F03"/>
    <w:rsid w:val="00855038"/>
    <w:rsid w:val="0085526F"/>
    <w:rsid w:val="008552DB"/>
    <w:rsid w:val="008552F7"/>
    <w:rsid w:val="008552FE"/>
    <w:rsid w:val="00855584"/>
    <w:rsid w:val="008555A1"/>
    <w:rsid w:val="008555A9"/>
    <w:rsid w:val="008555C4"/>
    <w:rsid w:val="00855662"/>
    <w:rsid w:val="008556BC"/>
    <w:rsid w:val="00855799"/>
    <w:rsid w:val="0085583E"/>
    <w:rsid w:val="0085584F"/>
    <w:rsid w:val="00855881"/>
    <w:rsid w:val="008558BE"/>
    <w:rsid w:val="0085596C"/>
    <w:rsid w:val="00855A3C"/>
    <w:rsid w:val="00855C72"/>
    <w:rsid w:val="00855CD2"/>
    <w:rsid w:val="00855CDA"/>
    <w:rsid w:val="00855D58"/>
    <w:rsid w:val="00855D6D"/>
    <w:rsid w:val="00855E1C"/>
    <w:rsid w:val="00855EE0"/>
    <w:rsid w:val="00855EFD"/>
    <w:rsid w:val="00855F09"/>
    <w:rsid w:val="00855FB7"/>
    <w:rsid w:val="00855FFB"/>
    <w:rsid w:val="00856006"/>
    <w:rsid w:val="0085605D"/>
    <w:rsid w:val="00856060"/>
    <w:rsid w:val="0085613B"/>
    <w:rsid w:val="00856147"/>
    <w:rsid w:val="008562BF"/>
    <w:rsid w:val="008562EF"/>
    <w:rsid w:val="008563C1"/>
    <w:rsid w:val="008563C8"/>
    <w:rsid w:val="00856403"/>
    <w:rsid w:val="00856618"/>
    <w:rsid w:val="00856956"/>
    <w:rsid w:val="00856A23"/>
    <w:rsid w:val="00856B43"/>
    <w:rsid w:val="00856B46"/>
    <w:rsid w:val="00856B54"/>
    <w:rsid w:val="00856B5A"/>
    <w:rsid w:val="00856C29"/>
    <w:rsid w:val="00856CC7"/>
    <w:rsid w:val="00856DFC"/>
    <w:rsid w:val="00856DFE"/>
    <w:rsid w:val="00856E27"/>
    <w:rsid w:val="00856E3E"/>
    <w:rsid w:val="00856ECC"/>
    <w:rsid w:val="00856F0A"/>
    <w:rsid w:val="00856F14"/>
    <w:rsid w:val="00856FA7"/>
    <w:rsid w:val="0085701B"/>
    <w:rsid w:val="0085706B"/>
    <w:rsid w:val="0085716D"/>
    <w:rsid w:val="0085720C"/>
    <w:rsid w:val="0085722D"/>
    <w:rsid w:val="00857305"/>
    <w:rsid w:val="00857379"/>
    <w:rsid w:val="00857422"/>
    <w:rsid w:val="00857463"/>
    <w:rsid w:val="008575CE"/>
    <w:rsid w:val="008575D0"/>
    <w:rsid w:val="008576E4"/>
    <w:rsid w:val="0085772C"/>
    <w:rsid w:val="00857858"/>
    <w:rsid w:val="008578CD"/>
    <w:rsid w:val="00857911"/>
    <w:rsid w:val="0085792A"/>
    <w:rsid w:val="0085796A"/>
    <w:rsid w:val="00857972"/>
    <w:rsid w:val="00857A08"/>
    <w:rsid w:val="00857ABF"/>
    <w:rsid w:val="00857AD3"/>
    <w:rsid w:val="00857AD6"/>
    <w:rsid w:val="00857B15"/>
    <w:rsid w:val="00857B3C"/>
    <w:rsid w:val="00857B6C"/>
    <w:rsid w:val="00857BAB"/>
    <w:rsid w:val="00857D02"/>
    <w:rsid w:val="00857D73"/>
    <w:rsid w:val="00857DB5"/>
    <w:rsid w:val="00857DFC"/>
    <w:rsid w:val="00857E2C"/>
    <w:rsid w:val="00857EA9"/>
    <w:rsid w:val="00857F66"/>
    <w:rsid w:val="008600EE"/>
    <w:rsid w:val="0086019F"/>
    <w:rsid w:val="008601FA"/>
    <w:rsid w:val="00860201"/>
    <w:rsid w:val="0086021C"/>
    <w:rsid w:val="008602D7"/>
    <w:rsid w:val="00860357"/>
    <w:rsid w:val="00860370"/>
    <w:rsid w:val="008603A7"/>
    <w:rsid w:val="008604F3"/>
    <w:rsid w:val="008605E5"/>
    <w:rsid w:val="0086066F"/>
    <w:rsid w:val="008606AB"/>
    <w:rsid w:val="00860734"/>
    <w:rsid w:val="00860746"/>
    <w:rsid w:val="00860896"/>
    <w:rsid w:val="00860A4F"/>
    <w:rsid w:val="00860A8C"/>
    <w:rsid w:val="00860BFF"/>
    <w:rsid w:val="00860E37"/>
    <w:rsid w:val="00860EAC"/>
    <w:rsid w:val="00860F12"/>
    <w:rsid w:val="00860F42"/>
    <w:rsid w:val="008611E4"/>
    <w:rsid w:val="008611F4"/>
    <w:rsid w:val="008612A4"/>
    <w:rsid w:val="00861355"/>
    <w:rsid w:val="008613E0"/>
    <w:rsid w:val="0086144D"/>
    <w:rsid w:val="008614AD"/>
    <w:rsid w:val="008614D1"/>
    <w:rsid w:val="00861622"/>
    <w:rsid w:val="0086172D"/>
    <w:rsid w:val="00861765"/>
    <w:rsid w:val="0086199C"/>
    <w:rsid w:val="008619A7"/>
    <w:rsid w:val="00861A08"/>
    <w:rsid w:val="00861AA2"/>
    <w:rsid w:val="00861B8A"/>
    <w:rsid w:val="00861D2D"/>
    <w:rsid w:val="00861EB2"/>
    <w:rsid w:val="00861F26"/>
    <w:rsid w:val="00861FE5"/>
    <w:rsid w:val="008620AD"/>
    <w:rsid w:val="008620E6"/>
    <w:rsid w:val="00862252"/>
    <w:rsid w:val="00862255"/>
    <w:rsid w:val="008622BB"/>
    <w:rsid w:val="008623B4"/>
    <w:rsid w:val="00862545"/>
    <w:rsid w:val="008625B5"/>
    <w:rsid w:val="008625E3"/>
    <w:rsid w:val="0086260F"/>
    <w:rsid w:val="00862719"/>
    <w:rsid w:val="00862849"/>
    <w:rsid w:val="00862876"/>
    <w:rsid w:val="0086289D"/>
    <w:rsid w:val="008628E4"/>
    <w:rsid w:val="00862A0B"/>
    <w:rsid w:val="00862A37"/>
    <w:rsid w:val="00862AB4"/>
    <w:rsid w:val="00862B67"/>
    <w:rsid w:val="00862C05"/>
    <w:rsid w:val="00862C1A"/>
    <w:rsid w:val="00862C2F"/>
    <w:rsid w:val="00862C55"/>
    <w:rsid w:val="00862DE1"/>
    <w:rsid w:val="00862E28"/>
    <w:rsid w:val="00862F14"/>
    <w:rsid w:val="00862F9D"/>
    <w:rsid w:val="008631A2"/>
    <w:rsid w:val="00863220"/>
    <w:rsid w:val="00863349"/>
    <w:rsid w:val="00863415"/>
    <w:rsid w:val="00863449"/>
    <w:rsid w:val="00863481"/>
    <w:rsid w:val="00863496"/>
    <w:rsid w:val="008634EB"/>
    <w:rsid w:val="0086352E"/>
    <w:rsid w:val="008635E6"/>
    <w:rsid w:val="00863636"/>
    <w:rsid w:val="0086365E"/>
    <w:rsid w:val="00863739"/>
    <w:rsid w:val="00863758"/>
    <w:rsid w:val="0086377A"/>
    <w:rsid w:val="008637A0"/>
    <w:rsid w:val="008637B8"/>
    <w:rsid w:val="00863814"/>
    <w:rsid w:val="0086394E"/>
    <w:rsid w:val="00863953"/>
    <w:rsid w:val="00863960"/>
    <w:rsid w:val="008639C6"/>
    <w:rsid w:val="008639F4"/>
    <w:rsid w:val="00863A0A"/>
    <w:rsid w:val="00863ADB"/>
    <w:rsid w:val="00863BC4"/>
    <w:rsid w:val="00863D0A"/>
    <w:rsid w:val="00863D13"/>
    <w:rsid w:val="00863D96"/>
    <w:rsid w:val="00863DC0"/>
    <w:rsid w:val="00863E0F"/>
    <w:rsid w:val="00863F74"/>
    <w:rsid w:val="00864020"/>
    <w:rsid w:val="00864034"/>
    <w:rsid w:val="0086405C"/>
    <w:rsid w:val="00864136"/>
    <w:rsid w:val="0086414B"/>
    <w:rsid w:val="00864207"/>
    <w:rsid w:val="00864679"/>
    <w:rsid w:val="00864745"/>
    <w:rsid w:val="0086478B"/>
    <w:rsid w:val="008647A7"/>
    <w:rsid w:val="0086489C"/>
    <w:rsid w:val="00864928"/>
    <w:rsid w:val="00864A3B"/>
    <w:rsid w:val="00864A72"/>
    <w:rsid w:val="00864AB7"/>
    <w:rsid w:val="00864B58"/>
    <w:rsid w:val="00864BB2"/>
    <w:rsid w:val="00864C97"/>
    <w:rsid w:val="00864D0F"/>
    <w:rsid w:val="00864D63"/>
    <w:rsid w:val="00864F80"/>
    <w:rsid w:val="00864F89"/>
    <w:rsid w:val="00865121"/>
    <w:rsid w:val="00865344"/>
    <w:rsid w:val="008654E0"/>
    <w:rsid w:val="008654F1"/>
    <w:rsid w:val="0086558F"/>
    <w:rsid w:val="008655C6"/>
    <w:rsid w:val="00865611"/>
    <w:rsid w:val="0086563C"/>
    <w:rsid w:val="008656BC"/>
    <w:rsid w:val="00865718"/>
    <w:rsid w:val="0086571C"/>
    <w:rsid w:val="00865745"/>
    <w:rsid w:val="00865773"/>
    <w:rsid w:val="008658E8"/>
    <w:rsid w:val="00865921"/>
    <w:rsid w:val="008659A6"/>
    <w:rsid w:val="00865A1B"/>
    <w:rsid w:val="00865A60"/>
    <w:rsid w:val="00865C57"/>
    <w:rsid w:val="00865D01"/>
    <w:rsid w:val="00865F37"/>
    <w:rsid w:val="00865F85"/>
    <w:rsid w:val="00865F8B"/>
    <w:rsid w:val="00865FD5"/>
    <w:rsid w:val="0086600A"/>
    <w:rsid w:val="008660B3"/>
    <w:rsid w:val="00866208"/>
    <w:rsid w:val="008662FF"/>
    <w:rsid w:val="008663F0"/>
    <w:rsid w:val="008664AC"/>
    <w:rsid w:val="00866559"/>
    <w:rsid w:val="008665A8"/>
    <w:rsid w:val="00866688"/>
    <w:rsid w:val="0086673B"/>
    <w:rsid w:val="00866747"/>
    <w:rsid w:val="00866854"/>
    <w:rsid w:val="008668A0"/>
    <w:rsid w:val="008668C3"/>
    <w:rsid w:val="0086691B"/>
    <w:rsid w:val="00866A71"/>
    <w:rsid w:val="00866B15"/>
    <w:rsid w:val="00866B2F"/>
    <w:rsid w:val="00866C41"/>
    <w:rsid w:val="00866C9E"/>
    <w:rsid w:val="00866DEB"/>
    <w:rsid w:val="00866DEF"/>
    <w:rsid w:val="00866F21"/>
    <w:rsid w:val="00866F30"/>
    <w:rsid w:val="00866F70"/>
    <w:rsid w:val="00866F77"/>
    <w:rsid w:val="00866F7D"/>
    <w:rsid w:val="00866FC9"/>
    <w:rsid w:val="00867010"/>
    <w:rsid w:val="008670FE"/>
    <w:rsid w:val="00867100"/>
    <w:rsid w:val="00867267"/>
    <w:rsid w:val="00867282"/>
    <w:rsid w:val="008672E0"/>
    <w:rsid w:val="00867365"/>
    <w:rsid w:val="0086739E"/>
    <w:rsid w:val="008673AA"/>
    <w:rsid w:val="00867441"/>
    <w:rsid w:val="0086744B"/>
    <w:rsid w:val="00867559"/>
    <w:rsid w:val="008675CA"/>
    <w:rsid w:val="008676DE"/>
    <w:rsid w:val="00867742"/>
    <w:rsid w:val="00867830"/>
    <w:rsid w:val="0086792D"/>
    <w:rsid w:val="0086796E"/>
    <w:rsid w:val="008679A4"/>
    <w:rsid w:val="008679D8"/>
    <w:rsid w:val="00867A11"/>
    <w:rsid w:val="00867A5F"/>
    <w:rsid w:val="00867AD3"/>
    <w:rsid w:val="00867C31"/>
    <w:rsid w:val="00867C73"/>
    <w:rsid w:val="00867CF8"/>
    <w:rsid w:val="00867D0C"/>
    <w:rsid w:val="00867D4A"/>
    <w:rsid w:val="00867DBA"/>
    <w:rsid w:val="00867EFF"/>
    <w:rsid w:val="00867F48"/>
    <w:rsid w:val="00867F80"/>
    <w:rsid w:val="00870005"/>
    <w:rsid w:val="008700EC"/>
    <w:rsid w:val="008701AF"/>
    <w:rsid w:val="0087023B"/>
    <w:rsid w:val="00870346"/>
    <w:rsid w:val="00870347"/>
    <w:rsid w:val="008703FD"/>
    <w:rsid w:val="00870422"/>
    <w:rsid w:val="00870449"/>
    <w:rsid w:val="0087048F"/>
    <w:rsid w:val="0087049C"/>
    <w:rsid w:val="00870501"/>
    <w:rsid w:val="00870516"/>
    <w:rsid w:val="008705D2"/>
    <w:rsid w:val="00870680"/>
    <w:rsid w:val="0087076F"/>
    <w:rsid w:val="00870869"/>
    <w:rsid w:val="008708E3"/>
    <w:rsid w:val="00870A41"/>
    <w:rsid w:val="00870B33"/>
    <w:rsid w:val="00870C1C"/>
    <w:rsid w:val="00870D59"/>
    <w:rsid w:val="00870D76"/>
    <w:rsid w:val="008711F8"/>
    <w:rsid w:val="008713FE"/>
    <w:rsid w:val="0087146A"/>
    <w:rsid w:val="00871529"/>
    <w:rsid w:val="0087154C"/>
    <w:rsid w:val="0087157D"/>
    <w:rsid w:val="00871615"/>
    <w:rsid w:val="00871649"/>
    <w:rsid w:val="00871855"/>
    <w:rsid w:val="008718A5"/>
    <w:rsid w:val="00871A2C"/>
    <w:rsid w:val="00871A39"/>
    <w:rsid w:val="00871A5B"/>
    <w:rsid w:val="00871AAD"/>
    <w:rsid w:val="00871AC6"/>
    <w:rsid w:val="00871C88"/>
    <w:rsid w:val="00871CA9"/>
    <w:rsid w:val="00871D66"/>
    <w:rsid w:val="00871D8C"/>
    <w:rsid w:val="00871DFE"/>
    <w:rsid w:val="00871EEA"/>
    <w:rsid w:val="00871FF3"/>
    <w:rsid w:val="0087205C"/>
    <w:rsid w:val="00872105"/>
    <w:rsid w:val="0087210C"/>
    <w:rsid w:val="008721AD"/>
    <w:rsid w:val="008721B2"/>
    <w:rsid w:val="008721CF"/>
    <w:rsid w:val="00872257"/>
    <w:rsid w:val="008722C5"/>
    <w:rsid w:val="008722D6"/>
    <w:rsid w:val="008722E3"/>
    <w:rsid w:val="0087256F"/>
    <w:rsid w:val="008725D1"/>
    <w:rsid w:val="008726B8"/>
    <w:rsid w:val="00872733"/>
    <w:rsid w:val="00872778"/>
    <w:rsid w:val="008729D9"/>
    <w:rsid w:val="00872D77"/>
    <w:rsid w:val="00872DF2"/>
    <w:rsid w:val="00873011"/>
    <w:rsid w:val="008730FD"/>
    <w:rsid w:val="0087317B"/>
    <w:rsid w:val="0087326C"/>
    <w:rsid w:val="008732FC"/>
    <w:rsid w:val="008733A0"/>
    <w:rsid w:val="008733A6"/>
    <w:rsid w:val="0087343D"/>
    <w:rsid w:val="0087353A"/>
    <w:rsid w:val="008737A6"/>
    <w:rsid w:val="00873802"/>
    <w:rsid w:val="0087381A"/>
    <w:rsid w:val="008738D2"/>
    <w:rsid w:val="008738E9"/>
    <w:rsid w:val="0087391D"/>
    <w:rsid w:val="0087395D"/>
    <w:rsid w:val="00873982"/>
    <w:rsid w:val="008739AA"/>
    <w:rsid w:val="008739FC"/>
    <w:rsid w:val="00873A26"/>
    <w:rsid w:val="00873A93"/>
    <w:rsid w:val="00873B46"/>
    <w:rsid w:val="00873B4D"/>
    <w:rsid w:val="00873B78"/>
    <w:rsid w:val="00873C13"/>
    <w:rsid w:val="00873C56"/>
    <w:rsid w:val="00873DEC"/>
    <w:rsid w:val="00873E85"/>
    <w:rsid w:val="00873EBF"/>
    <w:rsid w:val="00874036"/>
    <w:rsid w:val="00874086"/>
    <w:rsid w:val="008740B5"/>
    <w:rsid w:val="008740D6"/>
    <w:rsid w:val="008740F8"/>
    <w:rsid w:val="008743E8"/>
    <w:rsid w:val="0087444D"/>
    <w:rsid w:val="008744DF"/>
    <w:rsid w:val="00874532"/>
    <w:rsid w:val="00874566"/>
    <w:rsid w:val="0087465F"/>
    <w:rsid w:val="00874690"/>
    <w:rsid w:val="008746AF"/>
    <w:rsid w:val="008746EF"/>
    <w:rsid w:val="008748EC"/>
    <w:rsid w:val="00874955"/>
    <w:rsid w:val="008749C7"/>
    <w:rsid w:val="00874AF7"/>
    <w:rsid w:val="00874DA4"/>
    <w:rsid w:val="00874E75"/>
    <w:rsid w:val="00874F84"/>
    <w:rsid w:val="00874FBB"/>
    <w:rsid w:val="0087539A"/>
    <w:rsid w:val="00875430"/>
    <w:rsid w:val="00875438"/>
    <w:rsid w:val="00875451"/>
    <w:rsid w:val="008754A5"/>
    <w:rsid w:val="008754B3"/>
    <w:rsid w:val="00875538"/>
    <w:rsid w:val="00875580"/>
    <w:rsid w:val="0087567B"/>
    <w:rsid w:val="00875789"/>
    <w:rsid w:val="0087589D"/>
    <w:rsid w:val="00875913"/>
    <w:rsid w:val="00875974"/>
    <w:rsid w:val="008759AD"/>
    <w:rsid w:val="008759B3"/>
    <w:rsid w:val="00875A9E"/>
    <w:rsid w:val="00875BB5"/>
    <w:rsid w:val="00875C34"/>
    <w:rsid w:val="00875E2B"/>
    <w:rsid w:val="00875EB2"/>
    <w:rsid w:val="00876147"/>
    <w:rsid w:val="0087617D"/>
    <w:rsid w:val="0087622A"/>
    <w:rsid w:val="008762F5"/>
    <w:rsid w:val="008763CD"/>
    <w:rsid w:val="0087645E"/>
    <w:rsid w:val="008764A0"/>
    <w:rsid w:val="00876664"/>
    <w:rsid w:val="0087666F"/>
    <w:rsid w:val="008766B6"/>
    <w:rsid w:val="008766E5"/>
    <w:rsid w:val="008768A4"/>
    <w:rsid w:val="00876901"/>
    <w:rsid w:val="0087692E"/>
    <w:rsid w:val="00876960"/>
    <w:rsid w:val="0087698E"/>
    <w:rsid w:val="00876A5D"/>
    <w:rsid w:val="00876A74"/>
    <w:rsid w:val="00876D5C"/>
    <w:rsid w:val="00876E8E"/>
    <w:rsid w:val="00876EA2"/>
    <w:rsid w:val="00876FD5"/>
    <w:rsid w:val="008770CF"/>
    <w:rsid w:val="00877193"/>
    <w:rsid w:val="00877237"/>
    <w:rsid w:val="008772F2"/>
    <w:rsid w:val="00877388"/>
    <w:rsid w:val="0087746F"/>
    <w:rsid w:val="0087747A"/>
    <w:rsid w:val="008774EA"/>
    <w:rsid w:val="008774F7"/>
    <w:rsid w:val="00877520"/>
    <w:rsid w:val="00877577"/>
    <w:rsid w:val="008775AC"/>
    <w:rsid w:val="0087762B"/>
    <w:rsid w:val="00877678"/>
    <w:rsid w:val="00877679"/>
    <w:rsid w:val="008776DA"/>
    <w:rsid w:val="008777A2"/>
    <w:rsid w:val="008777AC"/>
    <w:rsid w:val="008777EC"/>
    <w:rsid w:val="008778E1"/>
    <w:rsid w:val="008778FB"/>
    <w:rsid w:val="00877A70"/>
    <w:rsid w:val="00877AEE"/>
    <w:rsid w:val="00877B1A"/>
    <w:rsid w:val="00877B6F"/>
    <w:rsid w:val="00877BA6"/>
    <w:rsid w:val="00877C0C"/>
    <w:rsid w:val="00877C0E"/>
    <w:rsid w:val="00877CAB"/>
    <w:rsid w:val="00877D4B"/>
    <w:rsid w:val="00877D93"/>
    <w:rsid w:val="00877DDF"/>
    <w:rsid w:val="00877E1C"/>
    <w:rsid w:val="00877E29"/>
    <w:rsid w:val="00877E5E"/>
    <w:rsid w:val="00877E81"/>
    <w:rsid w:val="00880239"/>
    <w:rsid w:val="008802C9"/>
    <w:rsid w:val="0088036F"/>
    <w:rsid w:val="00880420"/>
    <w:rsid w:val="00880513"/>
    <w:rsid w:val="00880563"/>
    <w:rsid w:val="0088057A"/>
    <w:rsid w:val="0088063A"/>
    <w:rsid w:val="008806C9"/>
    <w:rsid w:val="00880728"/>
    <w:rsid w:val="008808A0"/>
    <w:rsid w:val="0088091A"/>
    <w:rsid w:val="0088091C"/>
    <w:rsid w:val="008809A3"/>
    <w:rsid w:val="008809DB"/>
    <w:rsid w:val="00880A4B"/>
    <w:rsid w:val="00880AE6"/>
    <w:rsid w:val="00880B42"/>
    <w:rsid w:val="00880B47"/>
    <w:rsid w:val="00880B49"/>
    <w:rsid w:val="00880C43"/>
    <w:rsid w:val="00880C70"/>
    <w:rsid w:val="00880CE0"/>
    <w:rsid w:val="00880F07"/>
    <w:rsid w:val="00880F16"/>
    <w:rsid w:val="00880F57"/>
    <w:rsid w:val="00880F63"/>
    <w:rsid w:val="0088102C"/>
    <w:rsid w:val="00881069"/>
    <w:rsid w:val="0088117A"/>
    <w:rsid w:val="0088146E"/>
    <w:rsid w:val="00881524"/>
    <w:rsid w:val="0088159A"/>
    <w:rsid w:val="00881617"/>
    <w:rsid w:val="008816B0"/>
    <w:rsid w:val="0088179A"/>
    <w:rsid w:val="00881821"/>
    <w:rsid w:val="0088182D"/>
    <w:rsid w:val="0088196B"/>
    <w:rsid w:val="00881992"/>
    <w:rsid w:val="008819B4"/>
    <w:rsid w:val="008819C2"/>
    <w:rsid w:val="00881A04"/>
    <w:rsid w:val="00881B2E"/>
    <w:rsid w:val="00881DF8"/>
    <w:rsid w:val="00881E64"/>
    <w:rsid w:val="00881F02"/>
    <w:rsid w:val="00881F77"/>
    <w:rsid w:val="00881F90"/>
    <w:rsid w:val="00881FC8"/>
    <w:rsid w:val="0088201C"/>
    <w:rsid w:val="0088205D"/>
    <w:rsid w:val="0088212B"/>
    <w:rsid w:val="00882153"/>
    <w:rsid w:val="008821BA"/>
    <w:rsid w:val="0088233D"/>
    <w:rsid w:val="0088238C"/>
    <w:rsid w:val="008823CC"/>
    <w:rsid w:val="008823D2"/>
    <w:rsid w:val="0088245B"/>
    <w:rsid w:val="008825BA"/>
    <w:rsid w:val="00882601"/>
    <w:rsid w:val="0088264C"/>
    <w:rsid w:val="00882794"/>
    <w:rsid w:val="00882840"/>
    <w:rsid w:val="008828EA"/>
    <w:rsid w:val="0088297C"/>
    <w:rsid w:val="008829BB"/>
    <w:rsid w:val="00882A42"/>
    <w:rsid w:val="00882B68"/>
    <w:rsid w:val="00882BF3"/>
    <w:rsid w:val="00882CB1"/>
    <w:rsid w:val="00882CB6"/>
    <w:rsid w:val="00882D06"/>
    <w:rsid w:val="00882DC2"/>
    <w:rsid w:val="00882EF6"/>
    <w:rsid w:val="008830AA"/>
    <w:rsid w:val="00883186"/>
    <w:rsid w:val="008831A3"/>
    <w:rsid w:val="008831D5"/>
    <w:rsid w:val="0088328D"/>
    <w:rsid w:val="00883378"/>
    <w:rsid w:val="0088339C"/>
    <w:rsid w:val="00883476"/>
    <w:rsid w:val="00883622"/>
    <w:rsid w:val="0088363A"/>
    <w:rsid w:val="00883750"/>
    <w:rsid w:val="00883A6A"/>
    <w:rsid w:val="00883ABE"/>
    <w:rsid w:val="00883AC6"/>
    <w:rsid w:val="00883C19"/>
    <w:rsid w:val="00883CEA"/>
    <w:rsid w:val="00883D0A"/>
    <w:rsid w:val="00883D12"/>
    <w:rsid w:val="00883D7F"/>
    <w:rsid w:val="00883E53"/>
    <w:rsid w:val="00883EA0"/>
    <w:rsid w:val="00883EDE"/>
    <w:rsid w:val="00883F01"/>
    <w:rsid w:val="00883F55"/>
    <w:rsid w:val="00883F63"/>
    <w:rsid w:val="00884015"/>
    <w:rsid w:val="0088406F"/>
    <w:rsid w:val="00884083"/>
    <w:rsid w:val="0088415F"/>
    <w:rsid w:val="008841E9"/>
    <w:rsid w:val="00884313"/>
    <w:rsid w:val="00884363"/>
    <w:rsid w:val="0088452B"/>
    <w:rsid w:val="00884639"/>
    <w:rsid w:val="008846AD"/>
    <w:rsid w:val="00884766"/>
    <w:rsid w:val="008848A7"/>
    <w:rsid w:val="00884A70"/>
    <w:rsid w:val="00884BA5"/>
    <w:rsid w:val="00884BB1"/>
    <w:rsid w:val="00884BC1"/>
    <w:rsid w:val="00884C1E"/>
    <w:rsid w:val="00884C2D"/>
    <w:rsid w:val="00884C4B"/>
    <w:rsid w:val="00884D36"/>
    <w:rsid w:val="00884DFC"/>
    <w:rsid w:val="00884ECA"/>
    <w:rsid w:val="00884ED5"/>
    <w:rsid w:val="00884F64"/>
    <w:rsid w:val="00885034"/>
    <w:rsid w:val="008850C2"/>
    <w:rsid w:val="00885165"/>
    <w:rsid w:val="008851D5"/>
    <w:rsid w:val="00885252"/>
    <w:rsid w:val="00885285"/>
    <w:rsid w:val="00885299"/>
    <w:rsid w:val="008852FC"/>
    <w:rsid w:val="00885423"/>
    <w:rsid w:val="00885438"/>
    <w:rsid w:val="008854CF"/>
    <w:rsid w:val="00885500"/>
    <w:rsid w:val="0088565F"/>
    <w:rsid w:val="00885679"/>
    <w:rsid w:val="00885765"/>
    <w:rsid w:val="008857E0"/>
    <w:rsid w:val="008858D2"/>
    <w:rsid w:val="008858F6"/>
    <w:rsid w:val="00885920"/>
    <w:rsid w:val="0088597C"/>
    <w:rsid w:val="0088599E"/>
    <w:rsid w:val="008859AD"/>
    <w:rsid w:val="008859B3"/>
    <w:rsid w:val="008859C5"/>
    <w:rsid w:val="00885A23"/>
    <w:rsid w:val="00885A3F"/>
    <w:rsid w:val="00885A6F"/>
    <w:rsid w:val="00885A8A"/>
    <w:rsid w:val="00885AD2"/>
    <w:rsid w:val="00885B7C"/>
    <w:rsid w:val="00885CF8"/>
    <w:rsid w:val="00885DD7"/>
    <w:rsid w:val="00885E7E"/>
    <w:rsid w:val="00885F62"/>
    <w:rsid w:val="00885F8C"/>
    <w:rsid w:val="00886009"/>
    <w:rsid w:val="00886043"/>
    <w:rsid w:val="008860D5"/>
    <w:rsid w:val="008861AA"/>
    <w:rsid w:val="008861F9"/>
    <w:rsid w:val="0088629C"/>
    <w:rsid w:val="008862B5"/>
    <w:rsid w:val="0088636E"/>
    <w:rsid w:val="00886455"/>
    <w:rsid w:val="008864BA"/>
    <w:rsid w:val="008864D5"/>
    <w:rsid w:val="00886562"/>
    <w:rsid w:val="00886582"/>
    <w:rsid w:val="00886682"/>
    <w:rsid w:val="0088668F"/>
    <w:rsid w:val="00886718"/>
    <w:rsid w:val="0088694F"/>
    <w:rsid w:val="00886951"/>
    <w:rsid w:val="00886A67"/>
    <w:rsid w:val="00886AAB"/>
    <w:rsid w:val="00886AD6"/>
    <w:rsid w:val="00886AF2"/>
    <w:rsid w:val="00886B01"/>
    <w:rsid w:val="00886B22"/>
    <w:rsid w:val="00886B78"/>
    <w:rsid w:val="00886DB1"/>
    <w:rsid w:val="00886E50"/>
    <w:rsid w:val="00887044"/>
    <w:rsid w:val="0088710A"/>
    <w:rsid w:val="0088712C"/>
    <w:rsid w:val="00887221"/>
    <w:rsid w:val="008872F8"/>
    <w:rsid w:val="00887446"/>
    <w:rsid w:val="00887451"/>
    <w:rsid w:val="008874B0"/>
    <w:rsid w:val="008874F0"/>
    <w:rsid w:val="008875EB"/>
    <w:rsid w:val="008878CC"/>
    <w:rsid w:val="00887A1D"/>
    <w:rsid w:val="00887A48"/>
    <w:rsid w:val="00887A70"/>
    <w:rsid w:val="00887B75"/>
    <w:rsid w:val="00887B77"/>
    <w:rsid w:val="00887B89"/>
    <w:rsid w:val="00887BC6"/>
    <w:rsid w:val="00887BD7"/>
    <w:rsid w:val="00887D7D"/>
    <w:rsid w:val="00887D7E"/>
    <w:rsid w:val="00887E97"/>
    <w:rsid w:val="00887EE0"/>
    <w:rsid w:val="00887F19"/>
    <w:rsid w:val="00887F60"/>
    <w:rsid w:val="008900AF"/>
    <w:rsid w:val="008900E4"/>
    <w:rsid w:val="00890129"/>
    <w:rsid w:val="00890230"/>
    <w:rsid w:val="0089023C"/>
    <w:rsid w:val="00890248"/>
    <w:rsid w:val="008902B7"/>
    <w:rsid w:val="00890372"/>
    <w:rsid w:val="008903D5"/>
    <w:rsid w:val="008903EA"/>
    <w:rsid w:val="00890418"/>
    <w:rsid w:val="008904ED"/>
    <w:rsid w:val="008905E7"/>
    <w:rsid w:val="008905F8"/>
    <w:rsid w:val="00890628"/>
    <w:rsid w:val="00890749"/>
    <w:rsid w:val="008907DC"/>
    <w:rsid w:val="00890883"/>
    <w:rsid w:val="00890A77"/>
    <w:rsid w:val="00890B91"/>
    <w:rsid w:val="00890C75"/>
    <w:rsid w:val="00890FEA"/>
    <w:rsid w:val="00891097"/>
    <w:rsid w:val="0089117A"/>
    <w:rsid w:val="00891206"/>
    <w:rsid w:val="00891490"/>
    <w:rsid w:val="008914BA"/>
    <w:rsid w:val="008914CE"/>
    <w:rsid w:val="00891538"/>
    <w:rsid w:val="00891571"/>
    <w:rsid w:val="008915D2"/>
    <w:rsid w:val="008916B4"/>
    <w:rsid w:val="00891794"/>
    <w:rsid w:val="00891864"/>
    <w:rsid w:val="008918DD"/>
    <w:rsid w:val="00891954"/>
    <w:rsid w:val="008919C0"/>
    <w:rsid w:val="008919D4"/>
    <w:rsid w:val="00891A15"/>
    <w:rsid w:val="00891A45"/>
    <w:rsid w:val="00891A94"/>
    <w:rsid w:val="00891AF9"/>
    <w:rsid w:val="00891B04"/>
    <w:rsid w:val="00891B08"/>
    <w:rsid w:val="00891B25"/>
    <w:rsid w:val="00891B51"/>
    <w:rsid w:val="00891CFE"/>
    <w:rsid w:val="00891D1E"/>
    <w:rsid w:val="00891D80"/>
    <w:rsid w:val="00891D84"/>
    <w:rsid w:val="00891D8E"/>
    <w:rsid w:val="00891E0C"/>
    <w:rsid w:val="00891E7D"/>
    <w:rsid w:val="00891E9E"/>
    <w:rsid w:val="00891F32"/>
    <w:rsid w:val="00891F7E"/>
    <w:rsid w:val="00891FF2"/>
    <w:rsid w:val="008920BF"/>
    <w:rsid w:val="008922C8"/>
    <w:rsid w:val="00892418"/>
    <w:rsid w:val="0089242F"/>
    <w:rsid w:val="0089247C"/>
    <w:rsid w:val="008924D5"/>
    <w:rsid w:val="00892536"/>
    <w:rsid w:val="0089277D"/>
    <w:rsid w:val="0089280B"/>
    <w:rsid w:val="0089282B"/>
    <w:rsid w:val="00892A2A"/>
    <w:rsid w:val="00892B93"/>
    <w:rsid w:val="00892BA2"/>
    <w:rsid w:val="00892C11"/>
    <w:rsid w:val="00892DE6"/>
    <w:rsid w:val="00892E50"/>
    <w:rsid w:val="00892EBE"/>
    <w:rsid w:val="00892FE5"/>
    <w:rsid w:val="00893038"/>
    <w:rsid w:val="008930BC"/>
    <w:rsid w:val="008932BF"/>
    <w:rsid w:val="0089330D"/>
    <w:rsid w:val="00893336"/>
    <w:rsid w:val="00893359"/>
    <w:rsid w:val="00893546"/>
    <w:rsid w:val="00893653"/>
    <w:rsid w:val="008936BE"/>
    <w:rsid w:val="008936DD"/>
    <w:rsid w:val="00893739"/>
    <w:rsid w:val="0089379D"/>
    <w:rsid w:val="0089385B"/>
    <w:rsid w:val="00893886"/>
    <w:rsid w:val="00893893"/>
    <w:rsid w:val="008938AD"/>
    <w:rsid w:val="008938D8"/>
    <w:rsid w:val="008939EC"/>
    <w:rsid w:val="00893A8A"/>
    <w:rsid w:val="00893B9F"/>
    <w:rsid w:val="00893BC7"/>
    <w:rsid w:val="00893BD0"/>
    <w:rsid w:val="00893BF5"/>
    <w:rsid w:val="00893D3B"/>
    <w:rsid w:val="00893D74"/>
    <w:rsid w:val="00893E6A"/>
    <w:rsid w:val="00893E93"/>
    <w:rsid w:val="00893EEE"/>
    <w:rsid w:val="00893F14"/>
    <w:rsid w:val="00893FBD"/>
    <w:rsid w:val="00893FDE"/>
    <w:rsid w:val="008941F6"/>
    <w:rsid w:val="0089428D"/>
    <w:rsid w:val="008942AD"/>
    <w:rsid w:val="0089434E"/>
    <w:rsid w:val="008943BE"/>
    <w:rsid w:val="008944FC"/>
    <w:rsid w:val="008945EF"/>
    <w:rsid w:val="00894637"/>
    <w:rsid w:val="008946AB"/>
    <w:rsid w:val="0089479C"/>
    <w:rsid w:val="008947C6"/>
    <w:rsid w:val="008947D2"/>
    <w:rsid w:val="00894881"/>
    <w:rsid w:val="008948E3"/>
    <w:rsid w:val="00894908"/>
    <w:rsid w:val="0089499A"/>
    <w:rsid w:val="00894A51"/>
    <w:rsid w:val="00894A77"/>
    <w:rsid w:val="00894BF6"/>
    <w:rsid w:val="00894C37"/>
    <w:rsid w:val="00894C5B"/>
    <w:rsid w:val="00894C75"/>
    <w:rsid w:val="00894CB8"/>
    <w:rsid w:val="00894CE2"/>
    <w:rsid w:val="00894D8F"/>
    <w:rsid w:val="00894DD9"/>
    <w:rsid w:val="00894E69"/>
    <w:rsid w:val="00894FCC"/>
    <w:rsid w:val="0089502E"/>
    <w:rsid w:val="00895102"/>
    <w:rsid w:val="00895109"/>
    <w:rsid w:val="0089520B"/>
    <w:rsid w:val="00895236"/>
    <w:rsid w:val="008952AD"/>
    <w:rsid w:val="00895429"/>
    <w:rsid w:val="00895646"/>
    <w:rsid w:val="00895718"/>
    <w:rsid w:val="00895761"/>
    <w:rsid w:val="00895790"/>
    <w:rsid w:val="008957E5"/>
    <w:rsid w:val="00895819"/>
    <w:rsid w:val="008958D0"/>
    <w:rsid w:val="008959B7"/>
    <w:rsid w:val="008959F1"/>
    <w:rsid w:val="00895B97"/>
    <w:rsid w:val="00895BB3"/>
    <w:rsid w:val="00895C95"/>
    <w:rsid w:val="00895D40"/>
    <w:rsid w:val="00895D82"/>
    <w:rsid w:val="00895DA3"/>
    <w:rsid w:val="00895E56"/>
    <w:rsid w:val="00895E8C"/>
    <w:rsid w:val="00895FF4"/>
    <w:rsid w:val="0089603F"/>
    <w:rsid w:val="00896193"/>
    <w:rsid w:val="00896382"/>
    <w:rsid w:val="0089644F"/>
    <w:rsid w:val="00896463"/>
    <w:rsid w:val="0089653F"/>
    <w:rsid w:val="00896564"/>
    <w:rsid w:val="0089659C"/>
    <w:rsid w:val="00896642"/>
    <w:rsid w:val="00896650"/>
    <w:rsid w:val="00896719"/>
    <w:rsid w:val="00896723"/>
    <w:rsid w:val="008967B3"/>
    <w:rsid w:val="008967F0"/>
    <w:rsid w:val="0089684C"/>
    <w:rsid w:val="008968BD"/>
    <w:rsid w:val="008968F7"/>
    <w:rsid w:val="00896AEF"/>
    <w:rsid w:val="00896B36"/>
    <w:rsid w:val="00896C23"/>
    <w:rsid w:val="00896CA5"/>
    <w:rsid w:val="00896DE7"/>
    <w:rsid w:val="00896E46"/>
    <w:rsid w:val="00896F6D"/>
    <w:rsid w:val="008970AB"/>
    <w:rsid w:val="008970E1"/>
    <w:rsid w:val="008970FC"/>
    <w:rsid w:val="00897182"/>
    <w:rsid w:val="008971C8"/>
    <w:rsid w:val="008972D0"/>
    <w:rsid w:val="008972D3"/>
    <w:rsid w:val="00897447"/>
    <w:rsid w:val="008975BD"/>
    <w:rsid w:val="008975CA"/>
    <w:rsid w:val="008976F3"/>
    <w:rsid w:val="0089778A"/>
    <w:rsid w:val="00897796"/>
    <w:rsid w:val="008977C3"/>
    <w:rsid w:val="008977E9"/>
    <w:rsid w:val="008977F2"/>
    <w:rsid w:val="00897904"/>
    <w:rsid w:val="00897998"/>
    <w:rsid w:val="00897A1F"/>
    <w:rsid w:val="00897A85"/>
    <w:rsid w:val="00897AA7"/>
    <w:rsid w:val="00897AC9"/>
    <w:rsid w:val="00897AE6"/>
    <w:rsid w:val="00897B80"/>
    <w:rsid w:val="00897BA9"/>
    <w:rsid w:val="00897BB6"/>
    <w:rsid w:val="00897C32"/>
    <w:rsid w:val="00897C40"/>
    <w:rsid w:val="00897DC8"/>
    <w:rsid w:val="008A0053"/>
    <w:rsid w:val="008A0058"/>
    <w:rsid w:val="008A0061"/>
    <w:rsid w:val="008A00B3"/>
    <w:rsid w:val="008A00CA"/>
    <w:rsid w:val="008A015D"/>
    <w:rsid w:val="008A0182"/>
    <w:rsid w:val="008A01BA"/>
    <w:rsid w:val="008A01D9"/>
    <w:rsid w:val="008A01FB"/>
    <w:rsid w:val="008A024A"/>
    <w:rsid w:val="008A0271"/>
    <w:rsid w:val="008A0283"/>
    <w:rsid w:val="008A04C4"/>
    <w:rsid w:val="008A0514"/>
    <w:rsid w:val="008A052B"/>
    <w:rsid w:val="008A0559"/>
    <w:rsid w:val="008A06CC"/>
    <w:rsid w:val="008A073C"/>
    <w:rsid w:val="008A088D"/>
    <w:rsid w:val="008A091D"/>
    <w:rsid w:val="008A0988"/>
    <w:rsid w:val="008A0A25"/>
    <w:rsid w:val="008A0C4D"/>
    <w:rsid w:val="008A0D1D"/>
    <w:rsid w:val="008A0D3E"/>
    <w:rsid w:val="008A0E35"/>
    <w:rsid w:val="008A0E6C"/>
    <w:rsid w:val="008A0EA7"/>
    <w:rsid w:val="008A0EA8"/>
    <w:rsid w:val="008A0FC9"/>
    <w:rsid w:val="008A10E3"/>
    <w:rsid w:val="008A11CC"/>
    <w:rsid w:val="008A1207"/>
    <w:rsid w:val="008A133F"/>
    <w:rsid w:val="008A1357"/>
    <w:rsid w:val="008A14B2"/>
    <w:rsid w:val="008A1547"/>
    <w:rsid w:val="008A174C"/>
    <w:rsid w:val="008A1939"/>
    <w:rsid w:val="008A1B75"/>
    <w:rsid w:val="008A1B8B"/>
    <w:rsid w:val="008A1C1B"/>
    <w:rsid w:val="008A1CFA"/>
    <w:rsid w:val="008A1DCE"/>
    <w:rsid w:val="008A1E24"/>
    <w:rsid w:val="008A1E54"/>
    <w:rsid w:val="008A1F79"/>
    <w:rsid w:val="008A1FA0"/>
    <w:rsid w:val="008A21E6"/>
    <w:rsid w:val="008A2221"/>
    <w:rsid w:val="008A2258"/>
    <w:rsid w:val="008A228F"/>
    <w:rsid w:val="008A2295"/>
    <w:rsid w:val="008A2405"/>
    <w:rsid w:val="008A245F"/>
    <w:rsid w:val="008A249B"/>
    <w:rsid w:val="008A24AF"/>
    <w:rsid w:val="008A24E2"/>
    <w:rsid w:val="008A256C"/>
    <w:rsid w:val="008A2662"/>
    <w:rsid w:val="008A26A3"/>
    <w:rsid w:val="008A270B"/>
    <w:rsid w:val="008A2753"/>
    <w:rsid w:val="008A288C"/>
    <w:rsid w:val="008A291C"/>
    <w:rsid w:val="008A2AAF"/>
    <w:rsid w:val="008A2B2E"/>
    <w:rsid w:val="008A2C48"/>
    <w:rsid w:val="008A2D5C"/>
    <w:rsid w:val="008A2D5E"/>
    <w:rsid w:val="008A2DB0"/>
    <w:rsid w:val="008A2DB2"/>
    <w:rsid w:val="008A2E5B"/>
    <w:rsid w:val="008A2F06"/>
    <w:rsid w:val="008A2F24"/>
    <w:rsid w:val="008A30ED"/>
    <w:rsid w:val="008A3173"/>
    <w:rsid w:val="008A31EF"/>
    <w:rsid w:val="008A32B5"/>
    <w:rsid w:val="008A3350"/>
    <w:rsid w:val="008A33A0"/>
    <w:rsid w:val="008A3443"/>
    <w:rsid w:val="008A3471"/>
    <w:rsid w:val="008A347E"/>
    <w:rsid w:val="008A357C"/>
    <w:rsid w:val="008A358A"/>
    <w:rsid w:val="008A3597"/>
    <w:rsid w:val="008A3604"/>
    <w:rsid w:val="008A3626"/>
    <w:rsid w:val="008A3767"/>
    <w:rsid w:val="008A37BB"/>
    <w:rsid w:val="008A3838"/>
    <w:rsid w:val="008A3943"/>
    <w:rsid w:val="008A3962"/>
    <w:rsid w:val="008A3A17"/>
    <w:rsid w:val="008A3AD9"/>
    <w:rsid w:val="008A3C57"/>
    <w:rsid w:val="008A3CC0"/>
    <w:rsid w:val="008A3DF4"/>
    <w:rsid w:val="008A3DFA"/>
    <w:rsid w:val="008A3E3A"/>
    <w:rsid w:val="008A3E9B"/>
    <w:rsid w:val="008A3F1F"/>
    <w:rsid w:val="008A3F3E"/>
    <w:rsid w:val="008A4011"/>
    <w:rsid w:val="008A40DB"/>
    <w:rsid w:val="008A437D"/>
    <w:rsid w:val="008A448C"/>
    <w:rsid w:val="008A4620"/>
    <w:rsid w:val="008A47A1"/>
    <w:rsid w:val="008A47E0"/>
    <w:rsid w:val="008A48CE"/>
    <w:rsid w:val="008A49CC"/>
    <w:rsid w:val="008A4BA8"/>
    <w:rsid w:val="008A4BDF"/>
    <w:rsid w:val="008A4BFB"/>
    <w:rsid w:val="008A4DB9"/>
    <w:rsid w:val="008A4E29"/>
    <w:rsid w:val="008A4EB5"/>
    <w:rsid w:val="008A4FC9"/>
    <w:rsid w:val="008A510A"/>
    <w:rsid w:val="008A51AF"/>
    <w:rsid w:val="008A528F"/>
    <w:rsid w:val="008A52C2"/>
    <w:rsid w:val="008A5306"/>
    <w:rsid w:val="008A5413"/>
    <w:rsid w:val="008A5573"/>
    <w:rsid w:val="008A55B1"/>
    <w:rsid w:val="008A55B7"/>
    <w:rsid w:val="008A55FA"/>
    <w:rsid w:val="008A56D8"/>
    <w:rsid w:val="008A573B"/>
    <w:rsid w:val="008A57B1"/>
    <w:rsid w:val="008A57CF"/>
    <w:rsid w:val="008A57FA"/>
    <w:rsid w:val="008A581D"/>
    <w:rsid w:val="008A590D"/>
    <w:rsid w:val="008A5931"/>
    <w:rsid w:val="008A5C4B"/>
    <w:rsid w:val="008A5D21"/>
    <w:rsid w:val="008A5D8B"/>
    <w:rsid w:val="008A5DF4"/>
    <w:rsid w:val="008A5E0A"/>
    <w:rsid w:val="008A5E0E"/>
    <w:rsid w:val="008A5E9E"/>
    <w:rsid w:val="008A5F97"/>
    <w:rsid w:val="008A60D6"/>
    <w:rsid w:val="008A618D"/>
    <w:rsid w:val="008A61A3"/>
    <w:rsid w:val="008A61AC"/>
    <w:rsid w:val="008A61BD"/>
    <w:rsid w:val="008A6261"/>
    <w:rsid w:val="008A634B"/>
    <w:rsid w:val="008A63FA"/>
    <w:rsid w:val="008A640D"/>
    <w:rsid w:val="008A64EF"/>
    <w:rsid w:val="008A652F"/>
    <w:rsid w:val="008A6574"/>
    <w:rsid w:val="008A6597"/>
    <w:rsid w:val="008A66AB"/>
    <w:rsid w:val="008A6842"/>
    <w:rsid w:val="008A6896"/>
    <w:rsid w:val="008A689B"/>
    <w:rsid w:val="008A6918"/>
    <w:rsid w:val="008A694A"/>
    <w:rsid w:val="008A695D"/>
    <w:rsid w:val="008A69D9"/>
    <w:rsid w:val="008A6A77"/>
    <w:rsid w:val="008A6AB0"/>
    <w:rsid w:val="008A6B4B"/>
    <w:rsid w:val="008A6C74"/>
    <w:rsid w:val="008A6C99"/>
    <w:rsid w:val="008A6CD6"/>
    <w:rsid w:val="008A6E69"/>
    <w:rsid w:val="008A6E6D"/>
    <w:rsid w:val="008A6E88"/>
    <w:rsid w:val="008A6EAB"/>
    <w:rsid w:val="008A6EB2"/>
    <w:rsid w:val="008A6ECB"/>
    <w:rsid w:val="008A6F1F"/>
    <w:rsid w:val="008A6F31"/>
    <w:rsid w:val="008A6FBB"/>
    <w:rsid w:val="008A702F"/>
    <w:rsid w:val="008A708B"/>
    <w:rsid w:val="008A70FC"/>
    <w:rsid w:val="008A71A5"/>
    <w:rsid w:val="008A71F9"/>
    <w:rsid w:val="008A73CD"/>
    <w:rsid w:val="008A7484"/>
    <w:rsid w:val="008A74C6"/>
    <w:rsid w:val="008A7522"/>
    <w:rsid w:val="008A765D"/>
    <w:rsid w:val="008A76B9"/>
    <w:rsid w:val="008A7703"/>
    <w:rsid w:val="008A7717"/>
    <w:rsid w:val="008A77B6"/>
    <w:rsid w:val="008A77CA"/>
    <w:rsid w:val="008A77DD"/>
    <w:rsid w:val="008A77E6"/>
    <w:rsid w:val="008A793F"/>
    <w:rsid w:val="008A7AFD"/>
    <w:rsid w:val="008A7BA1"/>
    <w:rsid w:val="008A7C69"/>
    <w:rsid w:val="008A7D06"/>
    <w:rsid w:val="008A7D76"/>
    <w:rsid w:val="008A7E78"/>
    <w:rsid w:val="008A7F7B"/>
    <w:rsid w:val="008A7FC0"/>
    <w:rsid w:val="008A7FE1"/>
    <w:rsid w:val="008B0083"/>
    <w:rsid w:val="008B0207"/>
    <w:rsid w:val="008B022A"/>
    <w:rsid w:val="008B02D2"/>
    <w:rsid w:val="008B0399"/>
    <w:rsid w:val="008B03DD"/>
    <w:rsid w:val="008B0490"/>
    <w:rsid w:val="008B0611"/>
    <w:rsid w:val="008B068E"/>
    <w:rsid w:val="008B06EA"/>
    <w:rsid w:val="008B070B"/>
    <w:rsid w:val="008B073D"/>
    <w:rsid w:val="008B076C"/>
    <w:rsid w:val="008B0878"/>
    <w:rsid w:val="008B0949"/>
    <w:rsid w:val="008B09E8"/>
    <w:rsid w:val="008B0A9B"/>
    <w:rsid w:val="008B0AE0"/>
    <w:rsid w:val="008B0BC9"/>
    <w:rsid w:val="008B0C0B"/>
    <w:rsid w:val="008B0DC3"/>
    <w:rsid w:val="008B0E53"/>
    <w:rsid w:val="008B0E6F"/>
    <w:rsid w:val="008B0EA4"/>
    <w:rsid w:val="008B0ED4"/>
    <w:rsid w:val="008B0F28"/>
    <w:rsid w:val="008B1002"/>
    <w:rsid w:val="008B10E5"/>
    <w:rsid w:val="008B1179"/>
    <w:rsid w:val="008B11FC"/>
    <w:rsid w:val="008B12E4"/>
    <w:rsid w:val="008B1316"/>
    <w:rsid w:val="008B1327"/>
    <w:rsid w:val="008B1436"/>
    <w:rsid w:val="008B14DB"/>
    <w:rsid w:val="008B16FE"/>
    <w:rsid w:val="008B1764"/>
    <w:rsid w:val="008B1778"/>
    <w:rsid w:val="008B17C5"/>
    <w:rsid w:val="008B18D5"/>
    <w:rsid w:val="008B19DA"/>
    <w:rsid w:val="008B1B55"/>
    <w:rsid w:val="008B1B94"/>
    <w:rsid w:val="008B1C42"/>
    <w:rsid w:val="008B1CE5"/>
    <w:rsid w:val="008B1DDD"/>
    <w:rsid w:val="008B1E2B"/>
    <w:rsid w:val="008B1E44"/>
    <w:rsid w:val="008B1EA5"/>
    <w:rsid w:val="008B1EC7"/>
    <w:rsid w:val="008B1F75"/>
    <w:rsid w:val="008B2111"/>
    <w:rsid w:val="008B21BE"/>
    <w:rsid w:val="008B21EB"/>
    <w:rsid w:val="008B2357"/>
    <w:rsid w:val="008B2359"/>
    <w:rsid w:val="008B2387"/>
    <w:rsid w:val="008B24A5"/>
    <w:rsid w:val="008B2519"/>
    <w:rsid w:val="008B25F4"/>
    <w:rsid w:val="008B2613"/>
    <w:rsid w:val="008B2799"/>
    <w:rsid w:val="008B27BE"/>
    <w:rsid w:val="008B287B"/>
    <w:rsid w:val="008B291A"/>
    <w:rsid w:val="008B2943"/>
    <w:rsid w:val="008B29A5"/>
    <w:rsid w:val="008B29AC"/>
    <w:rsid w:val="008B29F2"/>
    <w:rsid w:val="008B2A66"/>
    <w:rsid w:val="008B2B44"/>
    <w:rsid w:val="008B2B60"/>
    <w:rsid w:val="008B2B9E"/>
    <w:rsid w:val="008B2BC9"/>
    <w:rsid w:val="008B2D3F"/>
    <w:rsid w:val="008B2D98"/>
    <w:rsid w:val="008B2DCB"/>
    <w:rsid w:val="008B2DD7"/>
    <w:rsid w:val="008B2E45"/>
    <w:rsid w:val="008B2E5E"/>
    <w:rsid w:val="008B2EA4"/>
    <w:rsid w:val="008B2F7C"/>
    <w:rsid w:val="008B2F8D"/>
    <w:rsid w:val="008B300F"/>
    <w:rsid w:val="008B315F"/>
    <w:rsid w:val="008B3160"/>
    <w:rsid w:val="008B3190"/>
    <w:rsid w:val="008B31F7"/>
    <w:rsid w:val="008B3209"/>
    <w:rsid w:val="008B3277"/>
    <w:rsid w:val="008B32AE"/>
    <w:rsid w:val="008B32FB"/>
    <w:rsid w:val="008B331D"/>
    <w:rsid w:val="008B3491"/>
    <w:rsid w:val="008B34AB"/>
    <w:rsid w:val="008B34B4"/>
    <w:rsid w:val="008B34CE"/>
    <w:rsid w:val="008B3500"/>
    <w:rsid w:val="008B3572"/>
    <w:rsid w:val="008B36C6"/>
    <w:rsid w:val="008B3753"/>
    <w:rsid w:val="008B375E"/>
    <w:rsid w:val="008B37BE"/>
    <w:rsid w:val="008B3980"/>
    <w:rsid w:val="008B39A2"/>
    <w:rsid w:val="008B3AD9"/>
    <w:rsid w:val="008B3AF9"/>
    <w:rsid w:val="008B3C87"/>
    <w:rsid w:val="008B3C98"/>
    <w:rsid w:val="008B3D0A"/>
    <w:rsid w:val="008B3D7D"/>
    <w:rsid w:val="008B3DA6"/>
    <w:rsid w:val="008B3F17"/>
    <w:rsid w:val="008B4014"/>
    <w:rsid w:val="008B404C"/>
    <w:rsid w:val="008B40C0"/>
    <w:rsid w:val="008B40FF"/>
    <w:rsid w:val="008B410B"/>
    <w:rsid w:val="008B41A6"/>
    <w:rsid w:val="008B41F3"/>
    <w:rsid w:val="008B4243"/>
    <w:rsid w:val="008B4382"/>
    <w:rsid w:val="008B4386"/>
    <w:rsid w:val="008B4427"/>
    <w:rsid w:val="008B4439"/>
    <w:rsid w:val="008B44AC"/>
    <w:rsid w:val="008B44F2"/>
    <w:rsid w:val="008B45B4"/>
    <w:rsid w:val="008B4611"/>
    <w:rsid w:val="008B4643"/>
    <w:rsid w:val="008B4665"/>
    <w:rsid w:val="008B466C"/>
    <w:rsid w:val="008B47F4"/>
    <w:rsid w:val="008B484A"/>
    <w:rsid w:val="008B49A8"/>
    <w:rsid w:val="008B49C6"/>
    <w:rsid w:val="008B4A04"/>
    <w:rsid w:val="008B4A69"/>
    <w:rsid w:val="008B4AEF"/>
    <w:rsid w:val="008B4AF1"/>
    <w:rsid w:val="008B4BA5"/>
    <w:rsid w:val="008B4BE0"/>
    <w:rsid w:val="008B4C33"/>
    <w:rsid w:val="008B4CC1"/>
    <w:rsid w:val="008B4F6B"/>
    <w:rsid w:val="008B4F8A"/>
    <w:rsid w:val="008B5019"/>
    <w:rsid w:val="008B502E"/>
    <w:rsid w:val="008B5038"/>
    <w:rsid w:val="008B5122"/>
    <w:rsid w:val="008B518B"/>
    <w:rsid w:val="008B528A"/>
    <w:rsid w:val="008B5339"/>
    <w:rsid w:val="008B5355"/>
    <w:rsid w:val="008B5412"/>
    <w:rsid w:val="008B56C7"/>
    <w:rsid w:val="008B574F"/>
    <w:rsid w:val="008B57D0"/>
    <w:rsid w:val="008B583A"/>
    <w:rsid w:val="008B585E"/>
    <w:rsid w:val="008B5916"/>
    <w:rsid w:val="008B59E9"/>
    <w:rsid w:val="008B59FA"/>
    <w:rsid w:val="008B5AB2"/>
    <w:rsid w:val="008B5B01"/>
    <w:rsid w:val="008B5B48"/>
    <w:rsid w:val="008B5B50"/>
    <w:rsid w:val="008B5B53"/>
    <w:rsid w:val="008B5B61"/>
    <w:rsid w:val="008B5B6E"/>
    <w:rsid w:val="008B5BC4"/>
    <w:rsid w:val="008B5CA3"/>
    <w:rsid w:val="008B5CDF"/>
    <w:rsid w:val="008B5E6A"/>
    <w:rsid w:val="008B5FDB"/>
    <w:rsid w:val="008B6112"/>
    <w:rsid w:val="008B6214"/>
    <w:rsid w:val="008B63FE"/>
    <w:rsid w:val="008B6507"/>
    <w:rsid w:val="008B67DA"/>
    <w:rsid w:val="008B6810"/>
    <w:rsid w:val="008B6850"/>
    <w:rsid w:val="008B6902"/>
    <w:rsid w:val="008B6A8D"/>
    <w:rsid w:val="008B6B06"/>
    <w:rsid w:val="008B6B2B"/>
    <w:rsid w:val="008B6BEB"/>
    <w:rsid w:val="008B6C8B"/>
    <w:rsid w:val="008B6DAC"/>
    <w:rsid w:val="008B6E68"/>
    <w:rsid w:val="008B6E78"/>
    <w:rsid w:val="008B6ECA"/>
    <w:rsid w:val="008B6ED9"/>
    <w:rsid w:val="008B6EE3"/>
    <w:rsid w:val="008B7003"/>
    <w:rsid w:val="008B70F6"/>
    <w:rsid w:val="008B712C"/>
    <w:rsid w:val="008B714D"/>
    <w:rsid w:val="008B731A"/>
    <w:rsid w:val="008B73B8"/>
    <w:rsid w:val="008B740F"/>
    <w:rsid w:val="008B75C2"/>
    <w:rsid w:val="008B771A"/>
    <w:rsid w:val="008B777D"/>
    <w:rsid w:val="008B787C"/>
    <w:rsid w:val="008B78DD"/>
    <w:rsid w:val="008B7994"/>
    <w:rsid w:val="008B7A79"/>
    <w:rsid w:val="008B7A9E"/>
    <w:rsid w:val="008B7AEE"/>
    <w:rsid w:val="008B7B17"/>
    <w:rsid w:val="008B7B41"/>
    <w:rsid w:val="008B7B64"/>
    <w:rsid w:val="008B7BA0"/>
    <w:rsid w:val="008B7BA1"/>
    <w:rsid w:val="008B7D29"/>
    <w:rsid w:val="008B7DE0"/>
    <w:rsid w:val="008B7DF4"/>
    <w:rsid w:val="008B7E0B"/>
    <w:rsid w:val="008B7E24"/>
    <w:rsid w:val="008B7F47"/>
    <w:rsid w:val="008B7F6A"/>
    <w:rsid w:val="008C0003"/>
    <w:rsid w:val="008C00C1"/>
    <w:rsid w:val="008C0116"/>
    <w:rsid w:val="008C017C"/>
    <w:rsid w:val="008C02B3"/>
    <w:rsid w:val="008C02EA"/>
    <w:rsid w:val="008C0614"/>
    <w:rsid w:val="008C061E"/>
    <w:rsid w:val="008C0882"/>
    <w:rsid w:val="008C096E"/>
    <w:rsid w:val="008C0989"/>
    <w:rsid w:val="008C0A18"/>
    <w:rsid w:val="008C0A77"/>
    <w:rsid w:val="008C0BA7"/>
    <w:rsid w:val="008C0CF6"/>
    <w:rsid w:val="008C0D6C"/>
    <w:rsid w:val="008C0E38"/>
    <w:rsid w:val="008C0EBA"/>
    <w:rsid w:val="008C0EF4"/>
    <w:rsid w:val="008C0F37"/>
    <w:rsid w:val="008C0FEE"/>
    <w:rsid w:val="008C0FF0"/>
    <w:rsid w:val="008C105B"/>
    <w:rsid w:val="008C108E"/>
    <w:rsid w:val="008C1103"/>
    <w:rsid w:val="008C12A5"/>
    <w:rsid w:val="008C12CC"/>
    <w:rsid w:val="008C134E"/>
    <w:rsid w:val="008C1370"/>
    <w:rsid w:val="008C14D1"/>
    <w:rsid w:val="008C154C"/>
    <w:rsid w:val="008C165A"/>
    <w:rsid w:val="008C17A8"/>
    <w:rsid w:val="008C195B"/>
    <w:rsid w:val="008C199D"/>
    <w:rsid w:val="008C1A64"/>
    <w:rsid w:val="008C1AA5"/>
    <w:rsid w:val="008C1B24"/>
    <w:rsid w:val="008C1C08"/>
    <w:rsid w:val="008C1C38"/>
    <w:rsid w:val="008C1D88"/>
    <w:rsid w:val="008C1D9A"/>
    <w:rsid w:val="008C1DBD"/>
    <w:rsid w:val="008C1DFF"/>
    <w:rsid w:val="008C1E12"/>
    <w:rsid w:val="008C1EC6"/>
    <w:rsid w:val="008C206B"/>
    <w:rsid w:val="008C20D3"/>
    <w:rsid w:val="008C2196"/>
    <w:rsid w:val="008C21AC"/>
    <w:rsid w:val="008C21B9"/>
    <w:rsid w:val="008C2226"/>
    <w:rsid w:val="008C22D1"/>
    <w:rsid w:val="008C2512"/>
    <w:rsid w:val="008C254E"/>
    <w:rsid w:val="008C25B4"/>
    <w:rsid w:val="008C26CC"/>
    <w:rsid w:val="008C270F"/>
    <w:rsid w:val="008C275C"/>
    <w:rsid w:val="008C28A0"/>
    <w:rsid w:val="008C29A9"/>
    <w:rsid w:val="008C29E0"/>
    <w:rsid w:val="008C29E2"/>
    <w:rsid w:val="008C2B9E"/>
    <w:rsid w:val="008C2DC5"/>
    <w:rsid w:val="008C2E59"/>
    <w:rsid w:val="008C2EAE"/>
    <w:rsid w:val="008C2F69"/>
    <w:rsid w:val="008C2F8A"/>
    <w:rsid w:val="008C3058"/>
    <w:rsid w:val="008C3180"/>
    <w:rsid w:val="008C3186"/>
    <w:rsid w:val="008C31DD"/>
    <w:rsid w:val="008C32B2"/>
    <w:rsid w:val="008C336F"/>
    <w:rsid w:val="008C3460"/>
    <w:rsid w:val="008C348D"/>
    <w:rsid w:val="008C3533"/>
    <w:rsid w:val="008C355E"/>
    <w:rsid w:val="008C3590"/>
    <w:rsid w:val="008C36D2"/>
    <w:rsid w:val="008C3722"/>
    <w:rsid w:val="008C37C5"/>
    <w:rsid w:val="008C38B3"/>
    <w:rsid w:val="008C38FC"/>
    <w:rsid w:val="008C395D"/>
    <w:rsid w:val="008C39CF"/>
    <w:rsid w:val="008C3A1E"/>
    <w:rsid w:val="008C3A2F"/>
    <w:rsid w:val="008C3A44"/>
    <w:rsid w:val="008C3B0E"/>
    <w:rsid w:val="008C3B98"/>
    <w:rsid w:val="008C3BB1"/>
    <w:rsid w:val="008C3BC3"/>
    <w:rsid w:val="008C3D86"/>
    <w:rsid w:val="008C3E42"/>
    <w:rsid w:val="008C3EAF"/>
    <w:rsid w:val="008C409C"/>
    <w:rsid w:val="008C4175"/>
    <w:rsid w:val="008C41C2"/>
    <w:rsid w:val="008C4276"/>
    <w:rsid w:val="008C42D5"/>
    <w:rsid w:val="008C4327"/>
    <w:rsid w:val="008C44E3"/>
    <w:rsid w:val="008C4621"/>
    <w:rsid w:val="008C4669"/>
    <w:rsid w:val="008C46AF"/>
    <w:rsid w:val="008C4712"/>
    <w:rsid w:val="008C47BE"/>
    <w:rsid w:val="008C4880"/>
    <w:rsid w:val="008C48DA"/>
    <w:rsid w:val="008C4907"/>
    <w:rsid w:val="008C4975"/>
    <w:rsid w:val="008C49B4"/>
    <w:rsid w:val="008C4A7F"/>
    <w:rsid w:val="008C4A89"/>
    <w:rsid w:val="008C4BFD"/>
    <w:rsid w:val="008C4D31"/>
    <w:rsid w:val="008C4D52"/>
    <w:rsid w:val="008C4E2E"/>
    <w:rsid w:val="008C4E6E"/>
    <w:rsid w:val="008C4EA9"/>
    <w:rsid w:val="008C506D"/>
    <w:rsid w:val="008C5177"/>
    <w:rsid w:val="008C5185"/>
    <w:rsid w:val="008C5352"/>
    <w:rsid w:val="008C5377"/>
    <w:rsid w:val="008C53BE"/>
    <w:rsid w:val="008C549A"/>
    <w:rsid w:val="008C5545"/>
    <w:rsid w:val="008C56F6"/>
    <w:rsid w:val="008C5776"/>
    <w:rsid w:val="008C57F1"/>
    <w:rsid w:val="008C5862"/>
    <w:rsid w:val="008C588B"/>
    <w:rsid w:val="008C5A12"/>
    <w:rsid w:val="008C5A31"/>
    <w:rsid w:val="008C5A67"/>
    <w:rsid w:val="008C5B78"/>
    <w:rsid w:val="008C5C9C"/>
    <w:rsid w:val="008C5C9E"/>
    <w:rsid w:val="008C5D22"/>
    <w:rsid w:val="008C5D2D"/>
    <w:rsid w:val="008C5D7F"/>
    <w:rsid w:val="008C5F9D"/>
    <w:rsid w:val="008C5FD5"/>
    <w:rsid w:val="008C5FF8"/>
    <w:rsid w:val="008C6009"/>
    <w:rsid w:val="008C6022"/>
    <w:rsid w:val="008C60C2"/>
    <w:rsid w:val="008C60D6"/>
    <w:rsid w:val="008C60DA"/>
    <w:rsid w:val="008C6146"/>
    <w:rsid w:val="008C6166"/>
    <w:rsid w:val="008C6273"/>
    <w:rsid w:val="008C6299"/>
    <w:rsid w:val="008C6371"/>
    <w:rsid w:val="008C6410"/>
    <w:rsid w:val="008C6454"/>
    <w:rsid w:val="008C66C3"/>
    <w:rsid w:val="008C672C"/>
    <w:rsid w:val="008C6805"/>
    <w:rsid w:val="008C6829"/>
    <w:rsid w:val="008C6850"/>
    <w:rsid w:val="008C6A30"/>
    <w:rsid w:val="008C6A78"/>
    <w:rsid w:val="008C6A90"/>
    <w:rsid w:val="008C6BB9"/>
    <w:rsid w:val="008C6CAD"/>
    <w:rsid w:val="008C6D27"/>
    <w:rsid w:val="008C6D49"/>
    <w:rsid w:val="008C6D73"/>
    <w:rsid w:val="008C6DE7"/>
    <w:rsid w:val="008C6DFB"/>
    <w:rsid w:val="008C6DFE"/>
    <w:rsid w:val="008C6E15"/>
    <w:rsid w:val="008C6F1A"/>
    <w:rsid w:val="008C706B"/>
    <w:rsid w:val="008C70D1"/>
    <w:rsid w:val="008C7139"/>
    <w:rsid w:val="008C72F8"/>
    <w:rsid w:val="008C730C"/>
    <w:rsid w:val="008C738E"/>
    <w:rsid w:val="008C7436"/>
    <w:rsid w:val="008C74AB"/>
    <w:rsid w:val="008C751E"/>
    <w:rsid w:val="008C757C"/>
    <w:rsid w:val="008C75BD"/>
    <w:rsid w:val="008C770A"/>
    <w:rsid w:val="008C7733"/>
    <w:rsid w:val="008C77A3"/>
    <w:rsid w:val="008C7810"/>
    <w:rsid w:val="008C783C"/>
    <w:rsid w:val="008C788A"/>
    <w:rsid w:val="008C78B1"/>
    <w:rsid w:val="008C795C"/>
    <w:rsid w:val="008C7977"/>
    <w:rsid w:val="008C79DE"/>
    <w:rsid w:val="008C7A85"/>
    <w:rsid w:val="008C7ACC"/>
    <w:rsid w:val="008C7AD0"/>
    <w:rsid w:val="008C7E3C"/>
    <w:rsid w:val="008C7FC3"/>
    <w:rsid w:val="008C7FDE"/>
    <w:rsid w:val="008D0117"/>
    <w:rsid w:val="008D01D7"/>
    <w:rsid w:val="008D02A8"/>
    <w:rsid w:val="008D0398"/>
    <w:rsid w:val="008D03F4"/>
    <w:rsid w:val="008D046E"/>
    <w:rsid w:val="008D04F0"/>
    <w:rsid w:val="008D0515"/>
    <w:rsid w:val="008D05E9"/>
    <w:rsid w:val="008D072F"/>
    <w:rsid w:val="008D086D"/>
    <w:rsid w:val="008D0876"/>
    <w:rsid w:val="008D08FE"/>
    <w:rsid w:val="008D09B1"/>
    <w:rsid w:val="008D0A2A"/>
    <w:rsid w:val="008D0B96"/>
    <w:rsid w:val="008D0B9C"/>
    <w:rsid w:val="008D0BFE"/>
    <w:rsid w:val="008D0CC2"/>
    <w:rsid w:val="008D0D39"/>
    <w:rsid w:val="008D0D40"/>
    <w:rsid w:val="008D0D7B"/>
    <w:rsid w:val="008D0EBB"/>
    <w:rsid w:val="008D0F9A"/>
    <w:rsid w:val="008D0FB2"/>
    <w:rsid w:val="008D1014"/>
    <w:rsid w:val="008D109C"/>
    <w:rsid w:val="008D11AF"/>
    <w:rsid w:val="008D127F"/>
    <w:rsid w:val="008D12BD"/>
    <w:rsid w:val="008D12E4"/>
    <w:rsid w:val="008D145E"/>
    <w:rsid w:val="008D1462"/>
    <w:rsid w:val="008D14DD"/>
    <w:rsid w:val="008D16A0"/>
    <w:rsid w:val="008D17A4"/>
    <w:rsid w:val="008D1A2A"/>
    <w:rsid w:val="008D1A2D"/>
    <w:rsid w:val="008D1A56"/>
    <w:rsid w:val="008D1A96"/>
    <w:rsid w:val="008D1D5C"/>
    <w:rsid w:val="008D1D96"/>
    <w:rsid w:val="008D1DFE"/>
    <w:rsid w:val="008D1E0A"/>
    <w:rsid w:val="008D204F"/>
    <w:rsid w:val="008D20D2"/>
    <w:rsid w:val="008D20D8"/>
    <w:rsid w:val="008D215B"/>
    <w:rsid w:val="008D219D"/>
    <w:rsid w:val="008D21B7"/>
    <w:rsid w:val="008D21BE"/>
    <w:rsid w:val="008D227E"/>
    <w:rsid w:val="008D23E9"/>
    <w:rsid w:val="008D243A"/>
    <w:rsid w:val="008D24A8"/>
    <w:rsid w:val="008D2536"/>
    <w:rsid w:val="008D254C"/>
    <w:rsid w:val="008D25EF"/>
    <w:rsid w:val="008D26D2"/>
    <w:rsid w:val="008D2783"/>
    <w:rsid w:val="008D286B"/>
    <w:rsid w:val="008D28ED"/>
    <w:rsid w:val="008D29BA"/>
    <w:rsid w:val="008D29D8"/>
    <w:rsid w:val="008D2A05"/>
    <w:rsid w:val="008D2B5D"/>
    <w:rsid w:val="008D2C60"/>
    <w:rsid w:val="008D2C81"/>
    <w:rsid w:val="008D2D71"/>
    <w:rsid w:val="008D2D8C"/>
    <w:rsid w:val="008D2F82"/>
    <w:rsid w:val="008D2FBE"/>
    <w:rsid w:val="008D3010"/>
    <w:rsid w:val="008D301C"/>
    <w:rsid w:val="008D30DE"/>
    <w:rsid w:val="008D337B"/>
    <w:rsid w:val="008D3431"/>
    <w:rsid w:val="008D3449"/>
    <w:rsid w:val="008D34CB"/>
    <w:rsid w:val="008D3548"/>
    <w:rsid w:val="008D35F1"/>
    <w:rsid w:val="008D35FE"/>
    <w:rsid w:val="008D36DA"/>
    <w:rsid w:val="008D3864"/>
    <w:rsid w:val="008D393F"/>
    <w:rsid w:val="008D39CB"/>
    <w:rsid w:val="008D3DAD"/>
    <w:rsid w:val="008D3F08"/>
    <w:rsid w:val="008D3F63"/>
    <w:rsid w:val="008D4160"/>
    <w:rsid w:val="008D419A"/>
    <w:rsid w:val="008D41B4"/>
    <w:rsid w:val="008D4219"/>
    <w:rsid w:val="008D4256"/>
    <w:rsid w:val="008D435F"/>
    <w:rsid w:val="008D436E"/>
    <w:rsid w:val="008D4409"/>
    <w:rsid w:val="008D4458"/>
    <w:rsid w:val="008D447F"/>
    <w:rsid w:val="008D45A3"/>
    <w:rsid w:val="008D460A"/>
    <w:rsid w:val="008D46BF"/>
    <w:rsid w:val="008D47B6"/>
    <w:rsid w:val="008D47E0"/>
    <w:rsid w:val="008D4867"/>
    <w:rsid w:val="008D4918"/>
    <w:rsid w:val="008D496C"/>
    <w:rsid w:val="008D49D1"/>
    <w:rsid w:val="008D4ADA"/>
    <w:rsid w:val="008D4B01"/>
    <w:rsid w:val="008D4BA7"/>
    <w:rsid w:val="008D4CD1"/>
    <w:rsid w:val="008D4D82"/>
    <w:rsid w:val="008D4E9C"/>
    <w:rsid w:val="008D500E"/>
    <w:rsid w:val="008D503E"/>
    <w:rsid w:val="008D5042"/>
    <w:rsid w:val="008D5157"/>
    <w:rsid w:val="008D5198"/>
    <w:rsid w:val="008D51A6"/>
    <w:rsid w:val="008D5284"/>
    <w:rsid w:val="008D53E1"/>
    <w:rsid w:val="008D5545"/>
    <w:rsid w:val="008D560D"/>
    <w:rsid w:val="008D5616"/>
    <w:rsid w:val="008D56D6"/>
    <w:rsid w:val="008D5730"/>
    <w:rsid w:val="008D57AD"/>
    <w:rsid w:val="008D57BD"/>
    <w:rsid w:val="008D57EA"/>
    <w:rsid w:val="008D580A"/>
    <w:rsid w:val="008D5826"/>
    <w:rsid w:val="008D595F"/>
    <w:rsid w:val="008D5BBC"/>
    <w:rsid w:val="008D5CAE"/>
    <w:rsid w:val="008D5DB7"/>
    <w:rsid w:val="008D5ED9"/>
    <w:rsid w:val="008D5EEA"/>
    <w:rsid w:val="008D606C"/>
    <w:rsid w:val="008D6074"/>
    <w:rsid w:val="008D60ED"/>
    <w:rsid w:val="008D616F"/>
    <w:rsid w:val="008D6173"/>
    <w:rsid w:val="008D62C5"/>
    <w:rsid w:val="008D6334"/>
    <w:rsid w:val="008D6343"/>
    <w:rsid w:val="008D6356"/>
    <w:rsid w:val="008D6370"/>
    <w:rsid w:val="008D64D7"/>
    <w:rsid w:val="008D6511"/>
    <w:rsid w:val="008D652E"/>
    <w:rsid w:val="008D665F"/>
    <w:rsid w:val="008D6755"/>
    <w:rsid w:val="008D6776"/>
    <w:rsid w:val="008D67BE"/>
    <w:rsid w:val="008D67E2"/>
    <w:rsid w:val="008D6810"/>
    <w:rsid w:val="008D6888"/>
    <w:rsid w:val="008D68E0"/>
    <w:rsid w:val="008D6919"/>
    <w:rsid w:val="008D69AD"/>
    <w:rsid w:val="008D69C5"/>
    <w:rsid w:val="008D6A60"/>
    <w:rsid w:val="008D6A8B"/>
    <w:rsid w:val="008D6ABE"/>
    <w:rsid w:val="008D6BD6"/>
    <w:rsid w:val="008D6D34"/>
    <w:rsid w:val="008D6DA8"/>
    <w:rsid w:val="008D6DB3"/>
    <w:rsid w:val="008D6DE9"/>
    <w:rsid w:val="008D6EA8"/>
    <w:rsid w:val="008D6EF4"/>
    <w:rsid w:val="008D6FBE"/>
    <w:rsid w:val="008D7119"/>
    <w:rsid w:val="008D7173"/>
    <w:rsid w:val="008D7197"/>
    <w:rsid w:val="008D719F"/>
    <w:rsid w:val="008D7287"/>
    <w:rsid w:val="008D7293"/>
    <w:rsid w:val="008D731D"/>
    <w:rsid w:val="008D74F2"/>
    <w:rsid w:val="008D76CA"/>
    <w:rsid w:val="008D76F1"/>
    <w:rsid w:val="008D7797"/>
    <w:rsid w:val="008D782C"/>
    <w:rsid w:val="008D7999"/>
    <w:rsid w:val="008D7A52"/>
    <w:rsid w:val="008D7AAA"/>
    <w:rsid w:val="008D7B76"/>
    <w:rsid w:val="008D7C9A"/>
    <w:rsid w:val="008D7EE6"/>
    <w:rsid w:val="008D7FC7"/>
    <w:rsid w:val="008E0030"/>
    <w:rsid w:val="008E009E"/>
    <w:rsid w:val="008E0113"/>
    <w:rsid w:val="008E01FF"/>
    <w:rsid w:val="008E02DC"/>
    <w:rsid w:val="008E02FA"/>
    <w:rsid w:val="008E038F"/>
    <w:rsid w:val="008E0459"/>
    <w:rsid w:val="008E04BB"/>
    <w:rsid w:val="008E04CF"/>
    <w:rsid w:val="008E05B1"/>
    <w:rsid w:val="008E060F"/>
    <w:rsid w:val="008E076D"/>
    <w:rsid w:val="008E0A41"/>
    <w:rsid w:val="008E0A6C"/>
    <w:rsid w:val="008E0A72"/>
    <w:rsid w:val="008E0A7C"/>
    <w:rsid w:val="008E0B83"/>
    <w:rsid w:val="008E0C35"/>
    <w:rsid w:val="008E0D88"/>
    <w:rsid w:val="008E0DED"/>
    <w:rsid w:val="008E0E29"/>
    <w:rsid w:val="008E0E73"/>
    <w:rsid w:val="008E0ECE"/>
    <w:rsid w:val="008E0EE0"/>
    <w:rsid w:val="008E0FD8"/>
    <w:rsid w:val="008E105E"/>
    <w:rsid w:val="008E10A6"/>
    <w:rsid w:val="008E10E4"/>
    <w:rsid w:val="008E1138"/>
    <w:rsid w:val="008E1149"/>
    <w:rsid w:val="008E133E"/>
    <w:rsid w:val="008E13F5"/>
    <w:rsid w:val="008E148D"/>
    <w:rsid w:val="008E14F7"/>
    <w:rsid w:val="008E15A3"/>
    <w:rsid w:val="008E1612"/>
    <w:rsid w:val="008E1624"/>
    <w:rsid w:val="008E163E"/>
    <w:rsid w:val="008E16CC"/>
    <w:rsid w:val="008E17B8"/>
    <w:rsid w:val="008E183B"/>
    <w:rsid w:val="008E189D"/>
    <w:rsid w:val="008E18BE"/>
    <w:rsid w:val="008E19B7"/>
    <w:rsid w:val="008E19F6"/>
    <w:rsid w:val="008E1B68"/>
    <w:rsid w:val="008E1BC3"/>
    <w:rsid w:val="008E1D1D"/>
    <w:rsid w:val="008E1DBE"/>
    <w:rsid w:val="008E1E0F"/>
    <w:rsid w:val="008E2241"/>
    <w:rsid w:val="008E224D"/>
    <w:rsid w:val="008E22C0"/>
    <w:rsid w:val="008E22FE"/>
    <w:rsid w:val="008E230F"/>
    <w:rsid w:val="008E2353"/>
    <w:rsid w:val="008E23C2"/>
    <w:rsid w:val="008E2595"/>
    <w:rsid w:val="008E25B4"/>
    <w:rsid w:val="008E263C"/>
    <w:rsid w:val="008E26B2"/>
    <w:rsid w:val="008E26F0"/>
    <w:rsid w:val="008E27D4"/>
    <w:rsid w:val="008E282B"/>
    <w:rsid w:val="008E2901"/>
    <w:rsid w:val="008E292B"/>
    <w:rsid w:val="008E2986"/>
    <w:rsid w:val="008E2A35"/>
    <w:rsid w:val="008E2AE7"/>
    <w:rsid w:val="008E2C7A"/>
    <w:rsid w:val="008E2C8C"/>
    <w:rsid w:val="008E2D06"/>
    <w:rsid w:val="008E2D0C"/>
    <w:rsid w:val="008E2E50"/>
    <w:rsid w:val="008E30DB"/>
    <w:rsid w:val="008E31AA"/>
    <w:rsid w:val="008E3216"/>
    <w:rsid w:val="008E32C4"/>
    <w:rsid w:val="008E335F"/>
    <w:rsid w:val="008E358C"/>
    <w:rsid w:val="008E3618"/>
    <w:rsid w:val="008E36A5"/>
    <w:rsid w:val="008E36D6"/>
    <w:rsid w:val="008E37C8"/>
    <w:rsid w:val="008E394B"/>
    <w:rsid w:val="008E395D"/>
    <w:rsid w:val="008E397B"/>
    <w:rsid w:val="008E39FF"/>
    <w:rsid w:val="008E3AEF"/>
    <w:rsid w:val="008E3B42"/>
    <w:rsid w:val="008E3BC8"/>
    <w:rsid w:val="008E3C6D"/>
    <w:rsid w:val="008E3CA7"/>
    <w:rsid w:val="008E3CF7"/>
    <w:rsid w:val="008E3DAE"/>
    <w:rsid w:val="008E3DD4"/>
    <w:rsid w:val="008E3DE7"/>
    <w:rsid w:val="008E4190"/>
    <w:rsid w:val="008E41A1"/>
    <w:rsid w:val="008E41A6"/>
    <w:rsid w:val="008E4241"/>
    <w:rsid w:val="008E42D8"/>
    <w:rsid w:val="008E43CE"/>
    <w:rsid w:val="008E4412"/>
    <w:rsid w:val="008E46D9"/>
    <w:rsid w:val="008E4733"/>
    <w:rsid w:val="008E4789"/>
    <w:rsid w:val="008E47C5"/>
    <w:rsid w:val="008E47CB"/>
    <w:rsid w:val="008E49DD"/>
    <w:rsid w:val="008E49F5"/>
    <w:rsid w:val="008E4B0C"/>
    <w:rsid w:val="008E4B4D"/>
    <w:rsid w:val="008E4C0A"/>
    <w:rsid w:val="008E4C3C"/>
    <w:rsid w:val="008E4C50"/>
    <w:rsid w:val="008E4C9C"/>
    <w:rsid w:val="008E4CA3"/>
    <w:rsid w:val="008E4D58"/>
    <w:rsid w:val="008E4D8A"/>
    <w:rsid w:val="008E4F55"/>
    <w:rsid w:val="008E4FCB"/>
    <w:rsid w:val="008E50D7"/>
    <w:rsid w:val="008E51E8"/>
    <w:rsid w:val="008E5236"/>
    <w:rsid w:val="008E529D"/>
    <w:rsid w:val="008E52DE"/>
    <w:rsid w:val="008E5381"/>
    <w:rsid w:val="008E53D5"/>
    <w:rsid w:val="008E5464"/>
    <w:rsid w:val="008E5468"/>
    <w:rsid w:val="008E549E"/>
    <w:rsid w:val="008E5567"/>
    <w:rsid w:val="008E55AC"/>
    <w:rsid w:val="008E579E"/>
    <w:rsid w:val="008E57F5"/>
    <w:rsid w:val="008E58BE"/>
    <w:rsid w:val="008E5920"/>
    <w:rsid w:val="008E598B"/>
    <w:rsid w:val="008E59A6"/>
    <w:rsid w:val="008E59C6"/>
    <w:rsid w:val="008E5A5D"/>
    <w:rsid w:val="008E5A97"/>
    <w:rsid w:val="008E5A9C"/>
    <w:rsid w:val="008E5B9E"/>
    <w:rsid w:val="008E5CD9"/>
    <w:rsid w:val="008E5CDF"/>
    <w:rsid w:val="008E5CE0"/>
    <w:rsid w:val="008E5D10"/>
    <w:rsid w:val="008E5D1B"/>
    <w:rsid w:val="008E5EE6"/>
    <w:rsid w:val="008E5F5C"/>
    <w:rsid w:val="008E5FA1"/>
    <w:rsid w:val="008E5FFC"/>
    <w:rsid w:val="008E60A1"/>
    <w:rsid w:val="008E610D"/>
    <w:rsid w:val="008E617D"/>
    <w:rsid w:val="008E620A"/>
    <w:rsid w:val="008E62A3"/>
    <w:rsid w:val="008E63E0"/>
    <w:rsid w:val="008E655E"/>
    <w:rsid w:val="008E6733"/>
    <w:rsid w:val="008E67F1"/>
    <w:rsid w:val="008E680C"/>
    <w:rsid w:val="008E6869"/>
    <w:rsid w:val="008E68D7"/>
    <w:rsid w:val="008E69CC"/>
    <w:rsid w:val="008E6A64"/>
    <w:rsid w:val="008E6B3F"/>
    <w:rsid w:val="008E6C69"/>
    <w:rsid w:val="008E6D3E"/>
    <w:rsid w:val="008E6D9B"/>
    <w:rsid w:val="008E6DB3"/>
    <w:rsid w:val="008E6DC7"/>
    <w:rsid w:val="008E6E9F"/>
    <w:rsid w:val="008E6FD4"/>
    <w:rsid w:val="008E70A1"/>
    <w:rsid w:val="008E70D2"/>
    <w:rsid w:val="008E7204"/>
    <w:rsid w:val="008E724B"/>
    <w:rsid w:val="008E72E5"/>
    <w:rsid w:val="008E7507"/>
    <w:rsid w:val="008E75E7"/>
    <w:rsid w:val="008E76C7"/>
    <w:rsid w:val="008E77B8"/>
    <w:rsid w:val="008E781E"/>
    <w:rsid w:val="008E7A97"/>
    <w:rsid w:val="008E7BD4"/>
    <w:rsid w:val="008E7C54"/>
    <w:rsid w:val="008E7CAA"/>
    <w:rsid w:val="008E7DD4"/>
    <w:rsid w:val="008E7EBA"/>
    <w:rsid w:val="008E7F51"/>
    <w:rsid w:val="008E7F96"/>
    <w:rsid w:val="008E7FFD"/>
    <w:rsid w:val="008F0146"/>
    <w:rsid w:val="008F01A2"/>
    <w:rsid w:val="008F01A7"/>
    <w:rsid w:val="008F01B3"/>
    <w:rsid w:val="008F0287"/>
    <w:rsid w:val="008F02D1"/>
    <w:rsid w:val="008F0308"/>
    <w:rsid w:val="008F0350"/>
    <w:rsid w:val="008F03D9"/>
    <w:rsid w:val="008F048D"/>
    <w:rsid w:val="008F04FD"/>
    <w:rsid w:val="008F0586"/>
    <w:rsid w:val="008F05D0"/>
    <w:rsid w:val="008F0692"/>
    <w:rsid w:val="008F06A7"/>
    <w:rsid w:val="008F070C"/>
    <w:rsid w:val="008F0743"/>
    <w:rsid w:val="008F07F8"/>
    <w:rsid w:val="008F096F"/>
    <w:rsid w:val="008F0995"/>
    <w:rsid w:val="008F0A09"/>
    <w:rsid w:val="008F0ABF"/>
    <w:rsid w:val="008F0BE0"/>
    <w:rsid w:val="008F0CAF"/>
    <w:rsid w:val="008F0CFF"/>
    <w:rsid w:val="008F0D49"/>
    <w:rsid w:val="008F0E37"/>
    <w:rsid w:val="008F0F39"/>
    <w:rsid w:val="008F0FB6"/>
    <w:rsid w:val="008F1034"/>
    <w:rsid w:val="008F106E"/>
    <w:rsid w:val="008F1125"/>
    <w:rsid w:val="008F1178"/>
    <w:rsid w:val="008F11D9"/>
    <w:rsid w:val="008F1223"/>
    <w:rsid w:val="008F127B"/>
    <w:rsid w:val="008F136C"/>
    <w:rsid w:val="008F14CC"/>
    <w:rsid w:val="008F1511"/>
    <w:rsid w:val="008F151F"/>
    <w:rsid w:val="008F1550"/>
    <w:rsid w:val="008F15B6"/>
    <w:rsid w:val="008F164F"/>
    <w:rsid w:val="008F184C"/>
    <w:rsid w:val="008F194B"/>
    <w:rsid w:val="008F198D"/>
    <w:rsid w:val="008F19B6"/>
    <w:rsid w:val="008F1A0C"/>
    <w:rsid w:val="008F1AD2"/>
    <w:rsid w:val="008F1C41"/>
    <w:rsid w:val="008F1C98"/>
    <w:rsid w:val="008F1CEB"/>
    <w:rsid w:val="008F1D3F"/>
    <w:rsid w:val="008F1DEA"/>
    <w:rsid w:val="008F1DEB"/>
    <w:rsid w:val="008F1DF1"/>
    <w:rsid w:val="008F1E15"/>
    <w:rsid w:val="008F1E51"/>
    <w:rsid w:val="008F1E97"/>
    <w:rsid w:val="008F1F2A"/>
    <w:rsid w:val="008F1F49"/>
    <w:rsid w:val="008F2123"/>
    <w:rsid w:val="008F214A"/>
    <w:rsid w:val="008F21D0"/>
    <w:rsid w:val="008F22AA"/>
    <w:rsid w:val="008F22DE"/>
    <w:rsid w:val="008F2450"/>
    <w:rsid w:val="008F24B8"/>
    <w:rsid w:val="008F251B"/>
    <w:rsid w:val="008F252F"/>
    <w:rsid w:val="008F2668"/>
    <w:rsid w:val="008F2690"/>
    <w:rsid w:val="008F279B"/>
    <w:rsid w:val="008F2915"/>
    <w:rsid w:val="008F29C7"/>
    <w:rsid w:val="008F2A5A"/>
    <w:rsid w:val="008F2B2E"/>
    <w:rsid w:val="008F2B98"/>
    <w:rsid w:val="008F2CD4"/>
    <w:rsid w:val="008F2CE0"/>
    <w:rsid w:val="008F2D22"/>
    <w:rsid w:val="008F2EBE"/>
    <w:rsid w:val="008F2F92"/>
    <w:rsid w:val="008F2FA9"/>
    <w:rsid w:val="008F2FC9"/>
    <w:rsid w:val="008F3071"/>
    <w:rsid w:val="008F3086"/>
    <w:rsid w:val="008F317F"/>
    <w:rsid w:val="008F3199"/>
    <w:rsid w:val="008F3261"/>
    <w:rsid w:val="008F32E9"/>
    <w:rsid w:val="008F34B4"/>
    <w:rsid w:val="008F3561"/>
    <w:rsid w:val="008F35B9"/>
    <w:rsid w:val="008F362B"/>
    <w:rsid w:val="008F3763"/>
    <w:rsid w:val="008F387A"/>
    <w:rsid w:val="008F38DC"/>
    <w:rsid w:val="008F39DC"/>
    <w:rsid w:val="008F39DD"/>
    <w:rsid w:val="008F3A02"/>
    <w:rsid w:val="008F3A76"/>
    <w:rsid w:val="008F3AEB"/>
    <w:rsid w:val="008F3B25"/>
    <w:rsid w:val="008F3B65"/>
    <w:rsid w:val="008F3BA7"/>
    <w:rsid w:val="008F3D34"/>
    <w:rsid w:val="008F3E0A"/>
    <w:rsid w:val="008F3E62"/>
    <w:rsid w:val="008F413B"/>
    <w:rsid w:val="008F418A"/>
    <w:rsid w:val="008F4269"/>
    <w:rsid w:val="008F42F4"/>
    <w:rsid w:val="008F4304"/>
    <w:rsid w:val="008F446E"/>
    <w:rsid w:val="008F447E"/>
    <w:rsid w:val="008F4482"/>
    <w:rsid w:val="008F465D"/>
    <w:rsid w:val="008F46B5"/>
    <w:rsid w:val="008F4733"/>
    <w:rsid w:val="008F4817"/>
    <w:rsid w:val="008F4833"/>
    <w:rsid w:val="008F483A"/>
    <w:rsid w:val="008F4903"/>
    <w:rsid w:val="008F49A5"/>
    <w:rsid w:val="008F4AA8"/>
    <w:rsid w:val="008F4CC3"/>
    <w:rsid w:val="008F4CFD"/>
    <w:rsid w:val="008F4D09"/>
    <w:rsid w:val="008F4D0E"/>
    <w:rsid w:val="008F4D36"/>
    <w:rsid w:val="008F4D79"/>
    <w:rsid w:val="008F4DD8"/>
    <w:rsid w:val="008F4E0E"/>
    <w:rsid w:val="008F4F2F"/>
    <w:rsid w:val="008F4F94"/>
    <w:rsid w:val="008F4FB2"/>
    <w:rsid w:val="008F500A"/>
    <w:rsid w:val="008F515B"/>
    <w:rsid w:val="008F522F"/>
    <w:rsid w:val="008F52C4"/>
    <w:rsid w:val="008F531D"/>
    <w:rsid w:val="008F5545"/>
    <w:rsid w:val="008F55B2"/>
    <w:rsid w:val="008F56A0"/>
    <w:rsid w:val="008F578C"/>
    <w:rsid w:val="008F5793"/>
    <w:rsid w:val="008F5897"/>
    <w:rsid w:val="008F58E4"/>
    <w:rsid w:val="008F5923"/>
    <w:rsid w:val="008F59CA"/>
    <w:rsid w:val="008F5A28"/>
    <w:rsid w:val="008F5AC3"/>
    <w:rsid w:val="008F5B1A"/>
    <w:rsid w:val="008F5B65"/>
    <w:rsid w:val="008F5C01"/>
    <w:rsid w:val="008F5C20"/>
    <w:rsid w:val="008F5D13"/>
    <w:rsid w:val="008F5D37"/>
    <w:rsid w:val="008F5E24"/>
    <w:rsid w:val="008F5E57"/>
    <w:rsid w:val="008F5F1C"/>
    <w:rsid w:val="008F5FED"/>
    <w:rsid w:val="008F6138"/>
    <w:rsid w:val="008F6170"/>
    <w:rsid w:val="008F61D9"/>
    <w:rsid w:val="008F62CB"/>
    <w:rsid w:val="008F63B7"/>
    <w:rsid w:val="008F63FA"/>
    <w:rsid w:val="008F645C"/>
    <w:rsid w:val="008F64A0"/>
    <w:rsid w:val="008F657A"/>
    <w:rsid w:val="008F672C"/>
    <w:rsid w:val="008F6764"/>
    <w:rsid w:val="008F69CE"/>
    <w:rsid w:val="008F6AFF"/>
    <w:rsid w:val="008F6B08"/>
    <w:rsid w:val="008F6B54"/>
    <w:rsid w:val="008F6BC6"/>
    <w:rsid w:val="008F6C32"/>
    <w:rsid w:val="008F6C62"/>
    <w:rsid w:val="008F6DB3"/>
    <w:rsid w:val="008F6ED6"/>
    <w:rsid w:val="008F70AC"/>
    <w:rsid w:val="008F70BE"/>
    <w:rsid w:val="008F70CC"/>
    <w:rsid w:val="008F712B"/>
    <w:rsid w:val="008F716D"/>
    <w:rsid w:val="008F717B"/>
    <w:rsid w:val="008F7267"/>
    <w:rsid w:val="008F7280"/>
    <w:rsid w:val="008F7332"/>
    <w:rsid w:val="008F73AA"/>
    <w:rsid w:val="008F73EC"/>
    <w:rsid w:val="008F740B"/>
    <w:rsid w:val="008F7420"/>
    <w:rsid w:val="008F7453"/>
    <w:rsid w:val="008F74FC"/>
    <w:rsid w:val="008F7563"/>
    <w:rsid w:val="008F7602"/>
    <w:rsid w:val="008F760F"/>
    <w:rsid w:val="008F77C7"/>
    <w:rsid w:val="008F77D0"/>
    <w:rsid w:val="008F77D3"/>
    <w:rsid w:val="008F7AF1"/>
    <w:rsid w:val="008F7B0E"/>
    <w:rsid w:val="008F7C05"/>
    <w:rsid w:val="008F7C10"/>
    <w:rsid w:val="008F7C8E"/>
    <w:rsid w:val="008F7CC6"/>
    <w:rsid w:val="008F7D0D"/>
    <w:rsid w:val="008F7D54"/>
    <w:rsid w:val="008F7D77"/>
    <w:rsid w:val="008F7E83"/>
    <w:rsid w:val="008F7E86"/>
    <w:rsid w:val="0090008A"/>
    <w:rsid w:val="00900123"/>
    <w:rsid w:val="0090014A"/>
    <w:rsid w:val="0090037B"/>
    <w:rsid w:val="00900477"/>
    <w:rsid w:val="00900497"/>
    <w:rsid w:val="009004BF"/>
    <w:rsid w:val="009005E5"/>
    <w:rsid w:val="0090064F"/>
    <w:rsid w:val="00900661"/>
    <w:rsid w:val="00900768"/>
    <w:rsid w:val="00900A40"/>
    <w:rsid w:val="00900A73"/>
    <w:rsid w:val="00900B74"/>
    <w:rsid w:val="00900CA5"/>
    <w:rsid w:val="00900D65"/>
    <w:rsid w:val="00900E00"/>
    <w:rsid w:val="00900EAC"/>
    <w:rsid w:val="0090101C"/>
    <w:rsid w:val="0090104F"/>
    <w:rsid w:val="0090107F"/>
    <w:rsid w:val="009010F4"/>
    <w:rsid w:val="0090110C"/>
    <w:rsid w:val="00901112"/>
    <w:rsid w:val="00901134"/>
    <w:rsid w:val="00901188"/>
    <w:rsid w:val="009011B3"/>
    <w:rsid w:val="009011BD"/>
    <w:rsid w:val="00901256"/>
    <w:rsid w:val="009012B9"/>
    <w:rsid w:val="0090130F"/>
    <w:rsid w:val="0090151C"/>
    <w:rsid w:val="00901531"/>
    <w:rsid w:val="009015E8"/>
    <w:rsid w:val="00901618"/>
    <w:rsid w:val="00901691"/>
    <w:rsid w:val="009016DC"/>
    <w:rsid w:val="009016DF"/>
    <w:rsid w:val="00901711"/>
    <w:rsid w:val="0090172C"/>
    <w:rsid w:val="009017D9"/>
    <w:rsid w:val="009018D6"/>
    <w:rsid w:val="0090199F"/>
    <w:rsid w:val="00901A4E"/>
    <w:rsid w:val="00901AF7"/>
    <w:rsid w:val="00901B0F"/>
    <w:rsid w:val="00901B37"/>
    <w:rsid w:val="00901B74"/>
    <w:rsid w:val="00901B98"/>
    <w:rsid w:val="00901BDC"/>
    <w:rsid w:val="00901CB4"/>
    <w:rsid w:val="00901D77"/>
    <w:rsid w:val="00901EF3"/>
    <w:rsid w:val="00901EF5"/>
    <w:rsid w:val="00901F5D"/>
    <w:rsid w:val="0090201A"/>
    <w:rsid w:val="00902038"/>
    <w:rsid w:val="009021EA"/>
    <w:rsid w:val="0090223A"/>
    <w:rsid w:val="009023DA"/>
    <w:rsid w:val="00902492"/>
    <w:rsid w:val="0090298D"/>
    <w:rsid w:val="00902992"/>
    <w:rsid w:val="00902A7B"/>
    <w:rsid w:val="00902AAA"/>
    <w:rsid w:val="00902AB2"/>
    <w:rsid w:val="00902AD7"/>
    <w:rsid w:val="00902B84"/>
    <w:rsid w:val="00902C12"/>
    <w:rsid w:val="00902D35"/>
    <w:rsid w:val="00902DAF"/>
    <w:rsid w:val="00902E19"/>
    <w:rsid w:val="00902E36"/>
    <w:rsid w:val="00902F45"/>
    <w:rsid w:val="00902FC4"/>
    <w:rsid w:val="00903044"/>
    <w:rsid w:val="009030BC"/>
    <w:rsid w:val="00903100"/>
    <w:rsid w:val="0090310E"/>
    <w:rsid w:val="00903197"/>
    <w:rsid w:val="00903347"/>
    <w:rsid w:val="00903378"/>
    <w:rsid w:val="009035F5"/>
    <w:rsid w:val="0090372E"/>
    <w:rsid w:val="00903862"/>
    <w:rsid w:val="00903988"/>
    <w:rsid w:val="00903A73"/>
    <w:rsid w:val="00903AEE"/>
    <w:rsid w:val="00903B5F"/>
    <w:rsid w:val="00903BCF"/>
    <w:rsid w:val="00903C73"/>
    <w:rsid w:val="00903CAD"/>
    <w:rsid w:val="00903DFA"/>
    <w:rsid w:val="00903E10"/>
    <w:rsid w:val="00903FDC"/>
    <w:rsid w:val="009041CE"/>
    <w:rsid w:val="009041E0"/>
    <w:rsid w:val="009041EB"/>
    <w:rsid w:val="009042B5"/>
    <w:rsid w:val="00904486"/>
    <w:rsid w:val="00904566"/>
    <w:rsid w:val="009046F7"/>
    <w:rsid w:val="0090474F"/>
    <w:rsid w:val="00904779"/>
    <w:rsid w:val="009047D6"/>
    <w:rsid w:val="00904811"/>
    <w:rsid w:val="0090481B"/>
    <w:rsid w:val="0090481C"/>
    <w:rsid w:val="00904992"/>
    <w:rsid w:val="00904A2A"/>
    <w:rsid w:val="00904A72"/>
    <w:rsid w:val="00904AD9"/>
    <w:rsid w:val="00904B3C"/>
    <w:rsid w:val="00904B7A"/>
    <w:rsid w:val="00904B9D"/>
    <w:rsid w:val="00904BA1"/>
    <w:rsid w:val="00904BAF"/>
    <w:rsid w:val="00904BCD"/>
    <w:rsid w:val="00904C02"/>
    <w:rsid w:val="00904C52"/>
    <w:rsid w:val="00904C9C"/>
    <w:rsid w:val="00904CCC"/>
    <w:rsid w:val="00904CFB"/>
    <w:rsid w:val="00904D73"/>
    <w:rsid w:val="00904D74"/>
    <w:rsid w:val="00904D81"/>
    <w:rsid w:val="00904E39"/>
    <w:rsid w:val="00904EE4"/>
    <w:rsid w:val="00904FCB"/>
    <w:rsid w:val="00905067"/>
    <w:rsid w:val="009050BB"/>
    <w:rsid w:val="009052FA"/>
    <w:rsid w:val="00905333"/>
    <w:rsid w:val="0090533D"/>
    <w:rsid w:val="00905361"/>
    <w:rsid w:val="009053CA"/>
    <w:rsid w:val="0090542A"/>
    <w:rsid w:val="0090546C"/>
    <w:rsid w:val="00905727"/>
    <w:rsid w:val="00905803"/>
    <w:rsid w:val="00905972"/>
    <w:rsid w:val="00905A3D"/>
    <w:rsid w:val="00905A4D"/>
    <w:rsid w:val="00905B68"/>
    <w:rsid w:val="00905BC7"/>
    <w:rsid w:val="00905BF6"/>
    <w:rsid w:val="00905D7E"/>
    <w:rsid w:val="00905D82"/>
    <w:rsid w:val="00905ED6"/>
    <w:rsid w:val="00905F1B"/>
    <w:rsid w:val="00906002"/>
    <w:rsid w:val="0090600B"/>
    <w:rsid w:val="0090608F"/>
    <w:rsid w:val="00906284"/>
    <w:rsid w:val="009062FA"/>
    <w:rsid w:val="009063B7"/>
    <w:rsid w:val="009063FC"/>
    <w:rsid w:val="00906463"/>
    <w:rsid w:val="0090650D"/>
    <w:rsid w:val="0090678D"/>
    <w:rsid w:val="009067CD"/>
    <w:rsid w:val="00906855"/>
    <w:rsid w:val="00906893"/>
    <w:rsid w:val="0090695E"/>
    <w:rsid w:val="00906976"/>
    <w:rsid w:val="009069AC"/>
    <w:rsid w:val="009069F4"/>
    <w:rsid w:val="00906A66"/>
    <w:rsid w:val="00906AB8"/>
    <w:rsid w:val="00906ADA"/>
    <w:rsid w:val="00906B53"/>
    <w:rsid w:val="00906BA6"/>
    <w:rsid w:val="00906BC1"/>
    <w:rsid w:val="00906BF6"/>
    <w:rsid w:val="00906ED9"/>
    <w:rsid w:val="00906EF5"/>
    <w:rsid w:val="00906F26"/>
    <w:rsid w:val="00907115"/>
    <w:rsid w:val="0090736F"/>
    <w:rsid w:val="009074B1"/>
    <w:rsid w:val="009074B2"/>
    <w:rsid w:val="00907548"/>
    <w:rsid w:val="009076E0"/>
    <w:rsid w:val="009076E9"/>
    <w:rsid w:val="00907853"/>
    <w:rsid w:val="009079DE"/>
    <w:rsid w:val="00907A7C"/>
    <w:rsid w:val="00907B0A"/>
    <w:rsid w:val="00907BC0"/>
    <w:rsid w:val="00907BF3"/>
    <w:rsid w:val="00907BFF"/>
    <w:rsid w:val="00907D9C"/>
    <w:rsid w:val="00907DD9"/>
    <w:rsid w:val="0091006C"/>
    <w:rsid w:val="009100A4"/>
    <w:rsid w:val="009100B7"/>
    <w:rsid w:val="0091011E"/>
    <w:rsid w:val="0091021C"/>
    <w:rsid w:val="009102A2"/>
    <w:rsid w:val="00910534"/>
    <w:rsid w:val="0091069C"/>
    <w:rsid w:val="0091096C"/>
    <w:rsid w:val="009109AD"/>
    <w:rsid w:val="009109D1"/>
    <w:rsid w:val="009109F6"/>
    <w:rsid w:val="00910AAC"/>
    <w:rsid w:val="00910B01"/>
    <w:rsid w:val="00910C52"/>
    <w:rsid w:val="00910F3A"/>
    <w:rsid w:val="00910F3F"/>
    <w:rsid w:val="00911004"/>
    <w:rsid w:val="00911036"/>
    <w:rsid w:val="009111B9"/>
    <w:rsid w:val="0091123A"/>
    <w:rsid w:val="00911242"/>
    <w:rsid w:val="0091133D"/>
    <w:rsid w:val="00911390"/>
    <w:rsid w:val="0091141F"/>
    <w:rsid w:val="00911521"/>
    <w:rsid w:val="0091156F"/>
    <w:rsid w:val="0091171F"/>
    <w:rsid w:val="0091178C"/>
    <w:rsid w:val="00911999"/>
    <w:rsid w:val="009119EF"/>
    <w:rsid w:val="00911ACB"/>
    <w:rsid w:val="00911B7E"/>
    <w:rsid w:val="00911BD6"/>
    <w:rsid w:val="00911BD9"/>
    <w:rsid w:val="00911C5A"/>
    <w:rsid w:val="00911C92"/>
    <w:rsid w:val="00911CBC"/>
    <w:rsid w:val="00911DB3"/>
    <w:rsid w:val="00911EC2"/>
    <w:rsid w:val="00912378"/>
    <w:rsid w:val="009123E9"/>
    <w:rsid w:val="0091241B"/>
    <w:rsid w:val="0091248F"/>
    <w:rsid w:val="009124B2"/>
    <w:rsid w:val="009124B4"/>
    <w:rsid w:val="00912534"/>
    <w:rsid w:val="00912576"/>
    <w:rsid w:val="009125C3"/>
    <w:rsid w:val="00912628"/>
    <w:rsid w:val="00912738"/>
    <w:rsid w:val="00912766"/>
    <w:rsid w:val="0091282F"/>
    <w:rsid w:val="0091286E"/>
    <w:rsid w:val="00912873"/>
    <w:rsid w:val="00912969"/>
    <w:rsid w:val="009129D4"/>
    <w:rsid w:val="00912A82"/>
    <w:rsid w:val="00912AB9"/>
    <w:rsid w:val="00912B5C"/>
    <w:rsid w:val="00912C68"/>
    <w:rsid w:val="00912CDE"/>
    <w:rsid w:val="00912D48"/>
    <w:rsid w:val="00912DBF"/>
    <w:rsid w:val="00912EF3"/>
    <w:rsid w:val="00912F13"/>
    <w:rsid w:val="00912F33"/>
    <w:rsid w:val="0091309D"/>
    <w:rsid w:val="009130A3"/>
    <w:rsid w:val="009130C7"/>
    <w:rsid w:val="009130F0"/>
    <w:rsid w:val="00913162"/>
    <w:rsid w:val="00913168"/>
    <w:rsid w:val="009131FA"/>
    <w:rsid w:val="00913268"/>
    <w:rsid w:val="0091338E"/>
    <w:rsid w:val="00913569"/>
    <w:rsid w:val="009135CE"/>
    <w:rsid w:val="00913678"/>
    <w:rsid w:val="009136CD"/>
    <w:rsid w:val="009136FF"/>
    <w:rsid w:val="009138E2"/>
    <w:rsid w:val="00913A72"/>
    <w:rsid w:val="00913B0F"/>
    <w:rsid w:val="00913B6F"/>
    <w:rsid w:val="00913BD1"/>
    <w:rsid w:val="00913CC1"/>
    <w:rsid w:val="00913E7C"/>
    <w:rsid w:val="00913E8A"/>
    <w:rsid w:val="00913FD2"/>
    <w:rsid w:val="00914166"/>
    <w:rsid w:val="00914196"/>
    <w:rsid w:val="0091424C"/>
    <w:rsid w:val="00914276"/>
    <w:rsid w:val="009144EC"/>
    <w:rsid w:val="00914514"/>
    <w:rsid w:val="00914672"/>
    <w:rsid w:val="00914711"/>
    <w:rsid w:val="0091475C"/>
    <w:rsid w:val="009148F8"/>
    <w:rsid w:val="00914924"/>
    <w:rsid w:val="00914991"/>
    <w:rsid w:val="009149F0"/>
    <w:rsid w:val="00914A1A"/>
    <w:rsid w:val="00914B29"/>
    <w:rsid w:val="00914C20"/>
    <w:rsid w:val="00914C51"/>
    <w:rsid w:val="00914E1E"/>
    <w:rsid w:val="00914E7F"/>
    <w:rsid w:val="00914EAC"/>
    <w:rsid w:val="00914EBE"/>
    <w:rsid w:val="00914F07"/>
    <w:rsid w:val="00915016"/>
    <w:rsid w:val="00915027"/>
    <w:rsid w:val="00915051"/>
    <w:rsid w:val="009150E7"/>
    <w:rsid w:val="0091520B"/>
    <w:rsid w:val="00915212"/>
    <w:rsid w:val="00915284"/>
    <w:rsid w:val="009153EF"/>
    <w:rsid w:val="009154EF"/>
    <w:rsid w:val="00915525"/>
    <w:rsid w:val="00915580"/>
    <w:rsid w:val="009156DE"/>
    <w:rsid w:val="00915733"/>
    <w:rsid w:val="009157D1"/>
    <w:rsid w:val="00915931"/>
    <w:rsid w:val="009159EB"/>
    <w:rsid w:val="00915BBA"/>
    <w:rsid w:val="00915BCA"/>
    <w:rsid w:val="00915D75"/>
    <w:rsid w:val="00915DC3"/>
    <w:rsid w:val="00915DFA"/>
    <w:rsid w:val="00915E22"/>
    <w:rsid w:val="00915E92"/>
    <w:rsid w:val="00915EDE"/>
    <w:rsid w:val="00915F01"/>
    <w:rsid w:val="00915F63"/>
    <w:rsid w:val="00915F83"/>
    <w:rsid w:val="00916054"/>
    <w:rsid w:val="009160B1"/>
    <w:rsid w:val="00916112"/>
    <w:rsid w:val="009161F5"/>
    <w:rsid w:val="0091629B"/>
    <w:rsid w:val="009162D8"/>
    <w:rsid w:val="009162F7"/>
    <w:rsid w:val="0091637F"/>
    <w:rsid w:val="0091643D"/>
    <w:rsid w:val="009164AF"/>
    <w:rsid w:val="0091662E"/>
    <w:rsid w:val="0091663F"/>
    <w:rsid w:val="009166D9"/>
    <w:rsid w:val="00916827"/>
    <w:rsid w:val="0091684E"/>
    <w:rsid w:val="0091690C"/>
    <w:rsid w:val="00916977"/>
    <w:rsid w:val="009169F4"/>
    <w:rsid w:val="00916AF0"/>
    <w:rsid w:val="00916B66"/>
    <w:rsid w:val="00916C55"/>
    <w:rsid w:val="00916CB4"/>
    <w:rsid w:val="00916ED3"/>
    <w:rsid w:val="00916FD7"/>
    <w:rsid w:val="00917052"/>
    <w:rsid w:val="0091705C"/>
    <w:rsid w:val="0091718C"/>
    <w:rsid w:val="0091718E"/>
    <w:rsid w:val="009171F0"/>
    <w:rsid w:val="009172A2"/>
    <w:rsid w:val="0091734E"/>
    <w:rsid w:val="009173BD"/>
    <w:rsid w:val="009173C4"/>
    <w:rsid w:val="009173CD"/>
    <w:rsid w:val="009173DB"/>
    <w:rsid w:val="00917417"/>
    <w:rsid w:val="009176A2"/>
    <w:rsid w:val="00917768"/>
    <w:rsid w:val="009177CA"/>
    <w:rsid w:val="0091786B"/>
    <w:rsid w:val="00917887"/>
    <w:rsid w:val="0091792E"/>
    <w:rsid w:val="00917976"/>
    <w:rsid w:val="00917A53"/>
    <w:rsid w:val="00917AC5"/>
    <w:rsid w:val="00917B26"/>
    <w:rsid w:val="00917B87"/>
    <w:rsid w:val="00917BFA"/>
    <w:rsid w:val="00917C07"/>
    <w:rsid w:val="00917C11"/>
    <w:rsid w:val="00917C1A"/>
    <w:rsid w:val="00917C4A"/>
    <w:rsid w:val="00917D6D"/>
    <w:rsid w:val="00917F57"/>
    <w:rsid w:val="00920089"/>
    <w:rsid w:val="00920124"/>
    <w:rsid w:val="00920128"/>
    <w:rsid w:val="00920189"/>
    <w:rsid w:val="009201B0"/>
    <w:rsid w:val="009201D8"/>
    <w:rsid w:val="00920209"/>
    <w:rsid w:val="00920219"/>
    <w:rsid w:val="00920281"/>
    <w:rsid w:val="00920319"/>
    <w:rsid w:val="00920347"/>
    <w:rsid w:val="0092038B"/>
    <w:rsid w:val="00920514"/>
    <w:rsid w:val="00920547"/>
    <w:rsid w:val="009207FA"/>
    <w:rsid w:val="00920C47"/>
    <w:rsid w:val="00920DF0"/>
    <w:rsid w:val="00920E27"/>
    <w:rsid w:val="009211AF"/>
    <w:rsid w:val="0092120E"/>
    <w:rsid w:val="00921244"/>
    <w:rsid w:val="00921255"/>
    <w:rsid w:val="0092126C"/>
    <w:rsid w:val="009212E6"/>
    <w:rsid w:val="00921352"/>
    <w:rsid w:val="0092138F"/>
    <w:rsid w:val="009213C6"/>
    <w:rsid w:val="0092160C"/>
    <w:rsid w:val="009216B3"/>
    <w:rsid w:val="00921731"/>
    <w:rsid w:val="0092177C"/>
    <w:rsid w:val="0092181A"/>
    <w:rsid w:val="0092184E"/>
    <w:rsid w:val="00921886"/>
    <w:rsid w:val="00921888"/>
    <w:rsid w:val="009219B4"/>
    <w:rsid w:val="00921A06"/>
    <w:rsid w:val="00921A71"/>
    <w:rsid w:val="00921AD1"/>
    <w:rsid w:val="00921C00"/>
    <w:rsid w:val="00921C38"/>
    <w:rsid w:val="00921D25"/>
    <w:rsid w:val="00921D55"/>
    <w:rsid w:val="00921FE3"/>
    <w:rsid w:val="00921FE8"/>
    <w:rsid w:val="0092203E"/>
    <w:rsid w:val="0092220D"/>
    <w:rsid w:val="00922260"/>
    <w:rsid w:val="00922302"/>
    <w:rsid w:val="00922340"/>
    <w:rsid w:val="00922349"/>
    <w:rsid w:val="0092247F"/>
    <w:rsid w:val="009226CD"/>
    <w:rsid w:val="00922762"/>
    <w:rsid w:val="009227AC"/>
    <w:rsid w:val="009227EF"/>
    <w:rsid w:val="00922866"/>
    <w:rsid w:val="00922953"/>
    <w:rsid w:val="00922A3A"/>
    <w:rsid w:val="00922C73"/>
    <w:rsid w:val="00922CD9"/>
    <w:rsid w:val="00922E74"/>
    <w:rsid w:val="00922EBD"/>
    <w:rsid w:val="00922ECB"/>
    <w:rsid w:val="00922F28"/>
    <w:rsid w:val="00922F39"/>
    <w:rsid w:val="0092301F"/>
    <w:rsid w:val="009230DE"/>
    <w:rsid w:val="00923115"/>
    <w:rsid w:val="00923292"/>
    <w:rsid w:val="00923397"/>
    <w:rsid w:val="009233A5"/>
    <w:rsid w:val="00923447"/>
    <w:rsid w:val="009234B6"/>
    <w:rsid w:val="009234DA"/>
    <w:rsid w:val="00923509"/>
    <w:rsid w:val="009235C9"/>
    <w:rsid w:val="00923649"/>
    <w:rsid w:val="00923840"/>
    <w:rsid w:val="009239E2"/>
    <w:rsid w:val="00923AB3"/>
    <w:rsid w:val="00923B16"/>
    <w:rsid w:val="00923DD5"/>
    <w:rsid w:val="00923E6A"/>
    <w:rsid w:val="00923F67"/>
    <w:rsid w:val="00924010"/>
    <w:rsid w:val="00924116"/>
    <w:rsid w:val="009241A6"/>
    <w:rsid w:val="009241C1"/>
    <w:rsid w:val="009241FC"/>
    <w:rsid w:val="009243B1"/>
    <w:rsid w:val="009243E8"/>
    <w:rsid w:val="0092441A"/>
    <w:rsid w:val="0092446F"/>
    <w:rsid w:val="009244A3"/>
    <w:rsid w:val="00924552"/>
    <w:rsid w:val="009247EC"/>
    <w:rsid w:val="0092480A"/>
    <w:rsid w:val="00924823"/>
    <w:rsid w:val="00924887"/>
    <w:rsid w:val="0092491C"/>
    <w:rsid w:val="00924A42"/>
    <w:rsid w:val="00924A69"/>
    <w:rsid w:val="00924B67"/>
    <w:rsid w:val="00924CCB"/>
    <w:rsid w:val="00924D45"/>
    <w:rsid w:val="00924DBA"/>
    <w:rsid w:val="00924DEF"/>
    <w:rsid w:val="00924E7A"/>
    <w:rsid w:val="00924F2F"/>
    <w:rsid w:val="00924F89"/>
    <w:rsid w:val="0092508C"/>
    <w:rsid w:val="00925103"/>
    <w:rsid w:val="00925162"/>
    <w:rsid w:val="0092521D"/>
    <w:rsid w:val="009254BD"/>
    <w:rsid w:val="00925590"/>
    <w:rsid w:val="009255A7"/>
    <w:rsid w:val="009255AE"/>
    <w:rsid w:val="009255E0"/>
    <w:rsid w:val="009256D9"/>
    <w:rsid w:val="00925708"/>
    <w:rsid w:val="00925769"/>
    <w:rsid w:val="009257BB"/>
    <w:rsid w:val="009258B6"/>
    <w:rsid w:val="009259B6"/>
    <w:rsid w:val="00925A95"/>
    <w:rsid w:val="00925AD5"/>
    <w:rsid w:val="00925ADF"/>
    <w:rsid w:val="00925B84"/>
    <w:rsid w:val="00925C60"/>
    <w:rsid w:val="00925CDD"/>
    <w:rsid w:val="00925CE0"/>
    <w:rsid w:val="00925D3A"/>
    <w:rsid w:val="00925E65"/>
    <w:rsid w:val="00925E84"/>
    <w:rsid w:val="00925F11"/>
    <w:rsid w:val="00926049"/>
    <w:rsid w:val="009260C0"/>
    <w:rsid w:val="009261A8"/>
    <w:rsid w:val="009262AA"/>
    <w:rsid w:val="009262FC"/>
    <w:rsid w:val="00926367"/>
    <w:rsid w:val="009263FE"/>
    <w:rsid w:val="00926412"/>
    <w:rsid w:val="009264E3"/>
    <w:rsid w:val="00926550"/>
    <w:rsid w:val="00926559"/>
    <w:rsid w:val="009265B9"/>
    <w:rsid w:val="00926611"/>
    <w:rsid w:val="00926619"/>
    <w:rsid w:val="00926629"/>
    <w:rsid w:val="009267B7"/>
    <w:rsid w:val="0092685C"/>
    <w:rsid w:val="0092693C"/>
    <w:rsid w:val="00926995"/>
    <w:rsid w:val="009269CB"/>
    <w:rsid w:val="00926A6C"/>
    <w:rsid w:val="00926A89"/>
    <w:rsid w:val="00926B23"/>
    <w:rsid w:val="00926BF7"/>
    <w:rsid w:val="00926D0B"/>
    <w:rsid w:val="00926D44"/>
    <w:rsid w:val="00926DD7"/>
    <w:rsid w:val="00926DDE"/>
    <w:rsid w:val="00926E76"/>
    <w:rsid w:val="00926F03"/>
    <w:rsid w:val="00927095"/>
    <w:rsid w:val="009270DD"/>
    <w:rsid w:val="0092711C"/>
    <w:rsid w:val="00927125"/>
    <w:rsid w:val="0092712D"/>
    <w:rsid w:val="0092727E"/>
    <w:rsid w:val="009273D9"/>
    <w:rsid w:val="0092740A"/>
    <w:rsid w:val="00927498"/>
    <w:rsid w:val="0092764B"/>
    <w:rsid w:val="009276D2"/>
    <w:rsid w:val="009276E5"/>
    <w:rsid w:val="009277C3"/>
    <w:rsid w:val="00927843"/>
    <w:rsid w:val="009278A1"/>
    <w:rsid w:val="009279E6"/>
    <w:rsid w:val="00927C1B"/>
    <w:rsid w:val="00927C1D"/>
    <w:rsid w:val="00927C52"/>
    <w:rsid w:val="00927D0F"/>
    <w:rsid w:val="00927E45"/>
    <w:rsid w:val="00927E8C"/>
    <w:rsid w:val="00927EEB"/>
    <w:rsid w:val="00927F65"/>
    <w:rsid w:val="00927FFE"/>
    <w:rsid w:val="0093003E"/>
    <w:rsid w:val="00930079"/>
    <w:rsid w:val="009300D7"/>
    <w:rsid w:val="00930102"/>
    <w:rsid w:val="0093013A"/>
    <w:rsid w:val="00930255"/>
    <w:rsid w:val="00930346"/>
    <w:rsid w:val="009305AD"/>
    <w:rsid w:val="009305D9"/>
    <w:rsid w:val="009305E0"/>
    <w:rsid w:val="009307FD"/>
    <w:rsid w:val="00930806"/>
    <w:rsid w:val="00930856"/>
    <w:rsid w:val="00930861"/>
    <w:rsid w:val="009308AB"/>
    <w:rsid w:val="009309F9"/>
    <w:rsid w:val="00930B36"/>
    <w:rsid w:val="00930BCC"/>
    <w:rsid w:val="00930C3C"/>
    <w:rsid w:val="00930CA1"/>
    <w:rsid w:val="00930E01"/>
    <w:rsid w:val="00930E6E"/>
    <w:rsid w:val="00930F55"/>
    <w:rsid w:val="00930FC3"/>
    <w:rsid w:val="00931065"/>
    <w:rsid w:val="009310BA"/>
    <w:rsid w:val="009310E5"/>
    <w:rsid w:val="009310E7"/>
    <w:rsid w:val="009310FA"/>
    <w:rsid w:val="0093111E"/>
    <w:rsid w:val="00931132"/>
    <w:rsid w:val="009311C9"/>
    <w:rsid w:val="00931290"/>
    <w:rsid w:val="009313A8"/>
    <w:rsid w:val="009313F5"/>
    <w:rsid w:val="00931648"/>
    <w:rsid w:val="00931679"/>
    <w:rsid w:val="00931697"/>
    <w:rsid w:val="009316AC"/>
    <w:rsid w:val="009316F7"/>
    <w:rsid w:val="0093173C"/>
    <w:rsid w:val="0093174E"/>
    <w:rsid w:val="00931805"/>
    <w:rsid w:val="00931815"/>
    <w:rsid w:val="009318D8"/>
    <w:rsid w:val="009318ED"/>
    <w:rsid w:val="00931912"/>
    <w:rsid w:val="00931936"/>
    <w:rsid w:val="0093197E"/>
    <w:rsid w:val="00931A28"/>
    <w:rsid w:val="00931A6A"/>
    <w:rsid w:val="00931A6B"/>
    <w:rsid w:val="00931B35"/>
    <w:rsid w:val="00931B74"/>
    <w:rsid w:val="00931CDC"/>
    <w:rsid w:val="00931D6F"/>
    <w:rsid w:val="00931D86"/>
    <w:rsid w:val="00931E04"/>
    <w:rsid w:val="00931E36"/>
    <w:rsid w:val="00931F5D"/>
    <w:rsid w:val="00931FA0"/>
    <w:rsid w:val="00931FDA"/>
    <w:rsid w:val="00931FFE"/>
    <w:rsid w:val="00932056"/>
    <w:rsid w:val="0093205D"/>
    <w:rsid w:val="009320FB"/>
    <w:rsid w:val="0093214A"/>
    <w:rsid w:val="009321EB"/>
    <w:rsid w:val="0093223E"/>
    <w:rsid w:val="0093259E"/>
    <w:rsid w:val="00932639"/>
    <w:rsid w:val="009327FD"/>
    <w:rsid w:val="009328D1"/>
    <w:rsid w:val="00932A96"/>
    <w:rsid w:val="00932B8C"/>
    <w:rsid w:val="00932E55"/>
    <w:rsid w:val="00932E5B"/>
    <w:rsid w:val="00932FDE"/>
    <w:rsid w:val="0093310F"/>
    <w:rsid w:val="00933152"/>
    <w:rsid w:val="009331E1"/>
    <w:rsid w:val="00933230"/>
    <w:rsid w:val="00933274"/>
    <w:rsid w:val="009332AA"/>
    <w:rsid w:val="009332CE"/>
    <w:rsid w:val="00933308"/>
    <w:rsid w:val="00933439"/>
    <w:rsid w:val="009334AD"/>
    <w:rsid w:val="00933738"/>
    <w:rsid w:val="00933830"/>
    <w:rsid w:val="00933850"/>
    <w:rsid w:val="0093388C"/>
    <w:rsid w:val="00933AF2"/>
    <w:rsid w:val="00933B4E"/>
    <w:rsid w:val="00933BA2"/>
    <w:rsid w:val="00933D3E"/>
    <w:rsid w:val="00933E26"/>
    <w:rsid w:val="00933F79"/>
    <w:rsid w:val="00933FA7"/>
    <w:rsid w:val="00934038"/>
    <w:rsid w:val="0093415C"/>
    <w:rsid w:val="0093419E"/>
    <w:rsid w:val="0093423A"/>
    <w:rsid w:val="009342A9"/>
    <w:rsid w:val="00934328"/>
    <w:rsid w:val="0093433E"/>
    <w:rsid w:val="0093436C"/>
    <w:rsid w:val="00934386"/>
    <w:rsid w:val="009343F3"/>
    <w:rsid w:val="009345DD"/>
    <w:rsid w:val="00934638"/>
    <w:rsid w:val="00934769"/>
    <w:rsid w:val="009347FF"/>
    <w:rsid w:val="0093487C"/>
    <w:rsid w:val="00934931"/>
    <w:rsid w:val="00934988"/>
    <w:rsid w:val="00934D34"/>
    <w:rsid w:val="00934D79"/>
    <w:rsid w:val="00934E8D"/>
    <w:rsid w:val="00934E90"/>
    <w:rsid w:val="00934ED3"/>
    <w:rsid w:val="00934EFF"/>
    <w:rsid w:val="00934F13"/>
    <w:rsid w:val="00935014"/>
    <w:rsid w:val="0093501F"/>
    <w:rsid w:val="00935076"/>
    <w:rsid w:val="00935143"/>
    <w:rsid w:val="00935174"/>
    <w:rsid w:val="00935391"/>
    <w:rsid w:val="0093544A"/>
    <w:rsid w:val="00935464"/>
    <w:rsid w:val="009354DB"/>
    <w:rsid w:val="00935550"/>
    <w:rsid w:val="009355C6"/>
    <w:rsid w:val="009356D6"/>
    <w:rsid w:val="00935716"/>
    <w:rsid w:val="0093579E"/>
    <w:rsid w:val="0093598C"/>
    <w:rsid w:val="00935A1C"/>
    <w:rsid w:val="00935AC9"/>
    <w:rsid w:val="00935B15"/>
    <w:rsid w:val="00935B3C"/>
    <w:rsid w:val="00935C14"/>
    <w:rsid w:val="00935CA2"/>
    <w:rsid w:val="00935CA7"/>
    <w:rsid w:val="00935D12"/>
    <w:rsid w:val="00935EBA"/>
    <w:rsid w:val="00935F6D"/>
    <w:rsid w:val="00935FE9"/>
    <w:rsid w:val="0093606D"/>
    <w:rsid w:val="00936117"/>
    <w:rsid w:val="0093611A"/>
    <w:rsid w:val="00936156"/>
    <w:rsid w:val="00936216"/>
    <w:rsid w:val="00936227"/>
    <w:rsid w:val="00936292"/>
    <w:rsid w:val="00936298"/>
    <w:rsid w:val="009362C0"/>
    <w:rsid w:val="009363DA"/>
    <w:rsid w:val="00936401"/>
    <w:rsid w:val="00936552"/>
    <w:rsid w:val="00936633"/>
    <w:rsid w:val="0093664F"/>
    <w:rsid w:val="009366EB"/>
    <w:rsid w:val="00936745"/>
    <w:rsid w:val="0093683F"/>
    <w:rsid w:val="00936883"/>
    <w:rsid w:val="00936B52"/>
    <w:rsid w:val="00936C5C"/>
    <w:rsid w:val="00936F1A"/>
    <w:rsid w:val="00936F22"/>
    <w:rsid w:val="00936F2B"/>
    <w:rsid w:val="00936F30"/>
    <w:rsid w:val="0093717D"/>
    <w:rsid w:val="0093717F"/>
    <w:rsid w:val="009372FF"/>
    <w:rsid w:val="0093736E"/>
    <w:rsid w:val="00937389"/>
    <w:rsid w:val="00937406"/>
    <w:rsid w:val="00937428"/>
    <w:rsid w:val="0093753E"/>
    <w:rsid w:val="00937540"/>
    <w:rsid w:val="0093759F"/>
    <w:rsid w:val="00937636"/>
    <w:rsid w:val="0093768A"/>
    <w:rsid w:val="00937709"/>
    <w:rsid w:val="009379CE"/>
    <w:rsid w:val="009379D3"/>
    <w:rsid w:val="00937A62"/>
    <w:rsid w:val="00937AB0"/>
    <w:rsid w:val="00937B0A"/>
    <w:rsid w:val="00937B20"/>
    <w:rsid w:val="00937B78"/>
    <w:rsid w:val="00937B90"/>
    <w:rsid w:val="00937CA4"/>
    <w:rsid w:val="00937D2A"/>
    <w:rsid w:val="00937D3F"/>
    <w:rsid w:val="00937D55"/>
    <w:rsid w:val="00937D74"/>
    <w:rsid w:val="00937D78"/>
    <w:rsid w:val="00937E5D"/>
    <w:rsid w:val="00937F41"/>
    <w:rsid w:val="00937FC9"/>
    <w:rsid w:val="00940001"/>
    <w:rsid w:val="009400F7"/>
    <w:rsid w:val="0094010B"/>
    <w:rsid w:val="00940123"/>
    <w:rsid w:val="00940161"/>
    <w:rsid w:val="00940189"/>
    <w:rsid w:val="009401B1"/>
    <w:rsid w:val="00940267"/>
    <w:rsid w:val="009402B7"/>
    <w:rsid w:val="00940322"/>
    <w:rsid w:val="00940341"/>
    <w:rsid w:val="00940358"/>
    <w:rsid w:val="00940369"/>
    <w:rsid w:val="009404E3"/>
    <w:rsid w:val="009404F5"/>
    <w:rsid w:val="0094063B"/>
    <w:rsid w:val="009406D4"/>
    <w:rsid w:val="00940710"/>
    <w:rsid w:val="00940798"/>
    <w:rsid w:val="009407C7"/>
    <w:rsid w:val="00940889"/>
    <w:rsid w:val="00940906"/>
    <w:rsid w:val="0094099C"/>
    <w:rsid w:val="009409F7"/>
    <w:rsid w:val="00940BA9"/>
    <w:rsid w:val="00940BE5"/>
    <w:rsid w:val="00940C95"/>
    <w:rsid w:val="00940DD8"/>
    <w:rsid w:val="00940E50"/>
    <w:rsid w:val="00940F10"/>
    <w:rsid w:val="00940FEC"/>
    <w:rsid w:val="0094106A"/>
    <w:rsid w:val="009412BE"/>
    <w:rsid w:val="0094136B"/>
    <w:rsid w:val="00941390"/>
    <w:rsid w:val="0094146D"/>
    <w:rsid w:val="0094152B"/>
    <w:rsid w:val="00941596"/>
    <w:rsid w:val="0094164C"/>
    <w:rsid w:val="0094166E"/>
    <w:rsid w:val="009416EA"/>
    <w:rsid w:val="0094185D"/>
    <w:rsid w:val="009418B8"/>
    <w:rsid w:val="009418E0"/>
    <w:rsid w:val="00941972"/>
    <w:rsid w:val="00941988"/>
    <w:rsid w:val="009419A6"/>
    <w:rsid w:val="009419C7"/>
    <w:rsid w:val="00941A61"/>
    <w:rsid w:val="00941CB3"/>
    <w:rsid w:val="00941CC9"/>
    <w:rsid w:val="00941D80"/>
    <w:rsid w:val="00941DDB"/>
    <w:rsid w:val="00941E21"/>
    <w:rsid w:val="00941EA6"/>
    <w:rsid w:val="00941F8B"/>
    <w:rsid w:val="00941FCF"/>
    <w:rsid w:val="0094202D"/>
    <w:rsid w:val="009420D3"/>
    <w:rsid w:val="00942136"/>
    <w:rsid w:val="0094222D"/>
    <w:rsid w:val="0094224E"/>
    <w:rsid w:val="00942308"/>
    <w:rsid w:val="0094243D"/>
    <w:rsid w:val="009425A4"/>
    <w:rsid w:val="009427BA"/>
    <w:rsid w:val="009427C2"/>
    <w:rsid w:val="00942820"/>
    <w:rsid w:val="0094282E"/>
    <w:rsid w:val="009428F3"/>
    <w:rsid w:val="00942935"/>
    <w:rsid w:val="00942984"/>
    <w:rsid w:val="009429A1"/>
    <w:rsid w:val="009429DB"/>
    <w:rsid w:val="00942A0B"/>
    <w:rsid w:val="00942A66"/>
    <w:rsid w:val="00942A78"/>
    <w:rsid w:val="00942A95"/>
    <w:rsid w:val="00942AEA"/>
    <w:rsid w:val="00942B48"/>
    <w:rsid w:val="00942B83"/>
    <w:rsid w:val="00942C5E"/>
    <w:rsid w:val="00942CBD"/>
    <w:rsid w:val="00942DE8"/>
    <w:rsid w:val="0094300C"/>
    <w:rsid w:val="00943058"/>
    <w:rsid w:val="00943186"/>
    <w:rsid w:val="009434E3"/>
    <w:rsid w:val="0094353B"/>
    <w:rsid w:val="009435C5"/>
    <w:rsid w:val="00943675"/>
    <w:rsid w:val="0094372D"/>
    <w:rsid w:val="009437F7"/>
    <w:rsid w:val="009438E2"/>
    <w:rsid w:val="009439E1"/>
    <w:rsid w:val="00943A07"/>
    <w:rsid w:val="00943B3E"/>
    <w:rsid w:val="00943C3F"/>
    <w:rsid w:val="00943C5E"/>
    <w:rsid w:val="00943C79"/>
    <w:rsid w:val="00943CCA"/>
    <w:rsid w:val="00943D21"/>
    <w:rsid w:val="00943E66"/>
    <w:rsid w:val="00943EB1"/>
    <w:rsid w:val="00943FEE"/>
    <w:rsid w:val="00944137"/>
    <w:rsid w:val="009441E9"/>
    <w:rsid w:val="009444E8"/>
    <w:rsid w:val="00944530"/>
    <w:rsid w:val="0094457C"/>
    <w:rsid w:val="00944594"/>
    <w:rsid w:val="00944638"/>
    <w:rsid w:val="009446C6"/>
    <w:rsid w:val="00944866"/>
    <w:rsid w:val="00944AAE"/>
    <w:rsid w:val="00944B6F"/>
    <w:rsid w:val="00944C4A"/>
    <w:rsid w:val="00944C77"/>
    <w:rsid w:val="00944C9B"/>
    <w:rsid w:val="00944DC4"/>
    <w:rsid w:val="00944EFD"/>
    <w:rsid w:val="00945148"/>
    <w:rsid w:val="0094514F"/>
    <w:rsid w:val="00945151"/>
    <w:rsid w:val="009451A7"/>
    <w:rsid w:val="00945222"/>
    <w:rsid w:val="009452D6"/>
    <w:rsid w:val="009453A8"/>
    <w:rsid w:val="009453FB"/>
    <w:rsid w:val="009454EE"/>
    <w:rsid w:val="00945541"/>
    <w:rsid w:val="009455AB"/>
    <w:rsid w:val="009455C8"/>
    <w:rsid w:val="009456EE"/>
    <w:rsid w:val="0094575F"/>
    <w:rsid w:val="009457D5"/>
    <w:rsid w:val="009459E9"/>
    <w:rsid w:val="00945A5E"/>
    <w:rsid w:val="00945AC0"/>
    <w:rsid w:val="00945AE8"/>
    <w:rsid w:val="00945B24"/>
    <w:rsid w:val="00945B66"/>
    <w:rsid w:val="00945B91"/>
    <w:rsid w:val="00945C5A"/>
    <w:rsid w:val="00945D92"/>
    <w:rsid w:val="00945DCB"/>
    <w:rsid w:val="00945EAB"/>
    <w:rsid w:val="00945F1B"/>
    <w:rsid w:val="00945FAC"/>
    <w:rsid w:val="009460BD"/>
    <w:rsid w:val="009463DB"/>
    <w:rsid w:val="00946421"/>
    <w:rsid w:val="00946451"/>
    <w:rsid w:val="009465EC"/>
    <w:rsid w:val="00946684"/>
    <w:rsid w:val="009466C1"/>
    <w:rsid w:val="00946716"/>
    <w:rsid w:val="00946815"/>
    <w:rsid w:val="009468CB"/>
    <w:rsid w:val="00946938"/>
    <w:rsid w:val="00946957"/>
    <w:rsid w:val="00946B3C"/>
    <w:rsid w:val="00946C25"/>
    <w:rsid w:val="00946CA8"/>
    <w:rsid w:val="00946D40"/>
    <w:rsid w:val="00946D8D"/>
    <w:rsid w:val="00946F91"/>
    <w:rsid w:val="00946FDC"/>
    <w:rsid w:val="00947140"/>
    <w:rsid w:val="00947155"/>
    <w:rsid w:val="009471F9"/>
    <w:rsid w:val="00947450"/>
    <w:rsid w:val="00947466"/>
    <w:rsid w:val="00947467"/>
    <w:rsid w:val="00947595"/>
    <w:rsid w:val="0094761A"/>
    <w:rsid w:val="0094778F"/>
    <w:rsid w:val="00947888"/>
    <w:rsid w:val="009478E6"/>
    <w:rsid w:val="0094790E"/>
    <w:rsid w:val="00947A21"/>
    <w:rsid w:val="00947B3A"/>
    <w:rsid w:val="00947B80"/>
    <w:rsid w:val="00947BDF"/>
    <w:rsid w:val="00947CAE"/>
    <w:rsid w:val="00947DC8"/>
    <w:rsid w:val="00947ED6"/>
    <w:rsid w:val="00947EF2"/>
    <w:rsid w:val="00947FBC"/>
    <w:rsid w:val="009500B2"/>
    <w:rsid w:val="00950153"/>
    <w:rsid w:val="00950161"/>
    <w:rsid w:val="00950203"/>
    <w:rsid w:val="00950217"/>
    <w:rsid w:val="00950278"/>
    <w:rsid w:val="009502C2"/>
    <w:rsid w:val="009502F1"/>
    <w:rsid w:val="00950410"/>
    <w:rsid w:val="0095048A"/>
    <w:rsid w:val="00950496"/>
    <w:rsid w:val="009505F7"/>
    <w:rsid w:val="0095061B"/>
    <w:rsid w:val="0095061C"/>
    <w:rsid w:val="009506E7"/>
    <w:rsid w:val="00950770"/>
    <w:rsid w:val="0095095A"/>
    <w:rsid w:val="009509DB"/>
    <w:rsid w:val="00950A4D"/>
    <w:rsid w:val="00950B7E"/>
    <w:rsid w:val="00950C01"/>
    <w:rsid w:val="00950DED"/>
    <w:rsid w:val="00950DFF"/>
    <w:rsid w:val="00950E7C"/>
    <w:rsid w:val="00951235"/>
    <w:rsid w:val="00951361"/>
    <w:rsid w:val="009513B4"/>
    <w:rsid w:val="009513ED"/>
    <w:rsid w:val="00951488"/>
    <w:rsid w:val="009514EF"/>
    <w:rsid w:val="009516E6"/>
    <w:rsid w:val="00951800"/>
    <w:rsid w:val="00951851"/>
    <w:rsid w:val="0095187E"/>
    <w:rsid w:val="00951BFA"/>
    <w:rsid w:val="00951D39"/>
    <w:rsid w:val="00951D6F"/>
    <w:rsid w:val="00951E49"/>
    <w:rsid w:val="00951E60"/>
    <w:rsid w:val="00951EC4"/>
    <w:rsid w:val="00951EEF"/>
    <w:rsid w:val="00951F57"/>
    <w:rsid w:val="00951F5A"/>
    <w:rsid w:val="00951F5D"/>
    <w:rsid w:val="00951FE5"/>
    <w:rsid w:val="0095214D"/>
    <w:rsid w:val="00952210"/>
    <w:rsid w:val="009522DD"/>
    <w:rsid w:val="00952348"/>
    <w:rsid w:val="00952357"/>
    <w:rsid w:val="00952371"/>
    <w:rsid w:val="009523C7"/>
    <w:rsid w:val="00952450"/>
    <w:rsid w:val="009524ED"/>
    <w:rsid w:val="00952504"/>
    <w:rsid w:val="00952630"/>
    <w:rsid w:val="00952639"/>
    <w:rsid w:val="0095263B"/>
    <w:rsid w:val="00952668"/>
    <w:rsid w:val="00952764"/>
    <w:rsid w:val="009529B4"/>
    <w:rsid w:val="00952A5A"/>
    <w:rsid w:val="00952A74"/>
    <w:rsid w:val="00952B98"/>
    <w:rsid w:val="00952BB3"/>
    <w:rsid w:val="00952BEF"/>
    <w:rsid w:val="00952C42"/>
    <w:rsid w:val="00952CFD"/>
    <w:rsid w:val="00952D26"/>
    <w:rsid w:val="00953057"/>
    <w:rsid w:val="00953064"/>
    <w:rsid w:val="0095308D"/>
    <w:rsid w:val="009530AC"/>
    <w:rsid w:val="0095329C"/>
    <w:rsid w:val="009532C4"/>
    <w:rsid w:val="009532E8"/>
    <w:rsid w:val="00953388"/>
    <w:rsid w:val="009533C3"/>
    <w:rsid w:val="009535CA"/>
    <w:rsid w:val="009535D7"/>
    <w:rsid w:val="00953629"/>
    <w:rsid w:val="00953634"/>
    <w:rsid w:val="009536D9"/>
    <w:rsid w:val="00953723"/>
    <w:rsid w:val="00953795"/>
    <w:rsid w:val="009537BA"/>
    <w:rsid w:val="009537F6"/>
    <w:rsid w:val="0095386A"/>
    <w:rsid w:val="009538AE"/>
    <w:rsid w:val="0095393D"/>
    <w:rsid w:val="00953B11"/>
    <w:rsid w:val="00953B83"/>
    <w:rsid w:val="00953BB3"/>
    <w:rsid w:val="00953C68"/>
    <w:rsid w:val="00953CBF"/>
    <w:rsid w:val="00953D3E"/>
    <w:rsid w:val="00953D5D"/>
    <w:rsid w:val="00953D9F"/>
    <w:rsid w:val="00953DA7"/>
    <w:rsid w:val="00953E0F"/>
    <w:rsid w:val="00953EE0"/>
    <w:rsid w:val="00953FF5"/>
    <w:rsid w:val="00954076"/>
    <w:rsid w:val="009540BA"/>
    <w:rsid w:val="009541E5"/>
    <w:rsid w:val="00954315"/>
    <w:rsid w:val="009543B0"/>
    <w:rsid w:val="0095442F"/>
    <w:rsid w:val="009544C5"/>
    <w:rsid w:val="0095468B"/>
    <w:rsid w:val="009546DB"/>
    <w:rsid w:val="00954730"/>
    <w:rsid w:val="00954748"/>
    <w:rsid w:val="0095475E"/>
    <w:rsid w:val="00954763"/>
    <w:rsid w:val="00954804"/>
    <w:rsid w:val="0095480A"/>
    <w:rsid w:val="00954874"/>
    <w:rsid w:val="00954A79"/>
    <w:rsid w:val="00954AA9"/>
    <w:rsid w:val="00954B8A"/>
    <w:rsid w:val="00954B8B"/>
    <w:rsid w:val="00954BA5"/>
    <w:rsid w:val="00954C13"/>
    <w:rsid w:val="00954C60"/>
    <w:rsid w:val="00954DDF"/>
    <w:rsid w:val="00955071"/>
    <w:rsid w:val="009550A2"/>
    <w:rsid w:val="0095522A"/>
    <w:rsid w:val="009554BB"/>
    <w:rsid w:val="009554F3"/>
    <w:rsid w:val="009555F1"/>
    <w:rsid w:val="0095569F"/>
    <w:rsid w:val="009556AC"/>
    <w:rsid w:val="0095572D"/>
    <w:rsid w:val="009557F0"/>
    <w:rsid w:val="0095580B"/>
    <w:rsid w:val="009558CB"/>
    <w:rsid w:val="00955916"/>
    <w:rsid w:val="00955A10"/>
    <w:rsid w:val="00955A46"/>
    <w:rsid w:val="00955B07"/>
    <w:rsid w:val="00955B32"/>
    <w:rsid w:val="00955BB6"/>
    <w:rsid w:val="00955CA6"/>
    <w:rsid w:val="00955D31"/>
    <w:rsid w:val="00955DB5"/>
    <w:rsid w:val="00955E09"/>
    <w:rsid w:val="00955F3D"/>
    <w:rsid w:val="00955F59"/>
    <w:rsid w:val="0095605E"/>
    <w:rsid w:val="0095614E"/>
    <w:rsid w:val="00956231"/>
    <w:rsid w:val="00956264"/>
    <w:rsid w:val="00956273"/>
    <w:rsid w:val="009562AE"/>
    <w:rsid w:val="009564C5"/>
    <w:rsid w:val="009564CC"/>
    <w:rsid w:val="0095657F"/>
    <w:rsid w:val="009565BB"/>
    <w:rsid w:val="009565ED"/>
    <w:rsid w:val="009566CF"/>
    <w:rsid w:val="00956802"/>
    <w:rsid w:val="00956871"/>
    <w:rsid w:val="009568AC"/>
    <w:rsid w:val="009568DD"/>
    <w:rsid w:val="009569FE"/>
    <w:rsid w:val="00956A20"/>
    <w:rsid w:val="00956A78"/>
    <w:rsid w:val="00956A90"/>
    <w:rsid w:val="00956B68"/>
    <w:rsid w:val="00956B7E"/>
    <w:rsid w:val="00956BD0"/>
    <w:rsid w:val="00956D55"/>
    <w:rsid w:val="00956E1F"/>
    <w:rsid w:val="00956E2A"/>
    <w:rsid w:val="00956E97"/>
    <w:rsid w:val="00956EC9"/>
    <w:rsid w:val="00956EDE"/>
    <w:rsid w:val="00956F92"/>
    <w:rsid w:val="00957015"/>
    <w:rsid w:val="0095702A"/>
    <w:rsid w:val="00957119"/>
    <w:rsid w:val="00957130"/>
    <w:rsid w:val="0095717F"/>
    <w:rsid w:val="009571A6"/>
    <w:rsid w:val="00957232"/>
    <w:rsid w:val="0095723A"/>
    <w:rsid w:val="009572DC"/>
    <w:rsid w:val="00957506"/>
    <w:rsid w:val="00957514"/>
    <w:rsid w:val="00957534"/>
    <w:rsid w:val="00957654"/>
    <w:rsid w:val="009576FA"/>
    <w:rsid w:val="009577A9"/>
    <w:rsid w:val="009577E8"/>
    <w:rsid w:val="009579EE"/>
    <w:rsid w:val="009579F9"/>
    <w:rsid w:val="009579FB"/>
    <w:rsid w:val="00957A3B"/>
    <w:rsid w:val="00957A48"/>
    <w:rsid w:val="00957A68"/>
    <w:rsid w:val="00957ABD"/>
    <w:rsid w:val="00957AD6"/>
    <w:rsid w:val="00957CAE"/>
    <w:rsid w:val="00957D4F"/>
    <w:rsid w:val="00957E9F"/>
    <w:rsid w:val="00957F11"/>
    <w:rsid w:val="00957FB4"/>
    <w:rsid w:val="00960078"/>
    <w:rsid w:val="0096009D"/>
    <w:rsid w:val="009600D0"/>
    <w:rsid w:val="0096010C"/>
    <w:rsid w:val="0096019F"/>
    <w:rsid w:val="009601BB"/>
    <w:rsid w:val="009601D4"/>
    <w:rsid w:val="009602C0"/>
    <w:rsid w:val="009603C2"/>
    <w:rsid w:val="0096055B"/>
    <w:rsid w:val="009605DB"/>
    <w:rsid w:val="00960604"/>
    <w:rsid w:val="0096076E"/>
    <w:rsid w:val="009607AF"/>
    <w:rsid w:val="00960908"/>
    <w:rsid w:val="009609CA"/>
    <w:rsid w:val="009609DE"/>
    <w:rsid w:val="00960A93"/>
    <w:rsid w:val="00960ABD"/>
    <w:rsid w:val="00960B59"/>
    <w:rsid w:val="00960C0E"/>
    <w:rsid w:val="00960C8D"/>
    <w:rsid w:val="00960CEA"/>
    <w:rsid w:val="00960EB0"/>
    <w:rsid w:val="00960EED"/>
    <w:rsid w:val="00960EF2"/>
    <w:rsid w:val="00960F0F"/>
    <w:rsid w:val="00960F55"/>
    <w:rsid w:val="00960F64"/>
    <w:rsid w:val="00960FE9"/>
    <w:rsid w:val="00961026"/>
    <w:rsid w:val="00961139"/>
    <w:rsid w:val="009611C0"/>
    <w:rsid w:val="009611EF"/>
    <w:rsid w:val="009613B2"/>
    <w:rsid w:val="0096142C"/>
    <w:rsid w:val="009614AA"/>
    <w:rsid w:val="009614C0"/>
    <w:rsid w:val="00961554"/>
    <w:rsid w:val="009615BD"/>
    <w:rsid w:val="009616E9"/>
    <w:rsid w:val="00961703"/>
    <w:rsid w:val="00961936"/>
    <w:rsid w:val="00961937"/>
    <w:rsid w:val="00961957"/>
    <w:rsid w:val="00961B18"/>
    <w:rsid w:val="00961B8D"/>
    <w:rsid w:val="00961C38"/>
    <w:rsid w:val="00961C7D"/>
    <w:rsid w:val="00961EC8"/>
    <w:rsid w:val="00961F06"/>
    <w:rsid w:val="00961F1E"/>
    <w:rsid w:val="009620DC"/>
    <w:rsid w:val="0096213B"/>
    <w:rsid w:val="0096216F"/>
    <w:rsid w:val="009621F2"/>
    <w:rsid w:val="0096226D"/>
    <w:rsid w:val="009622A1"/>
    <w:rsid w:val="00962308"/>
    <w:rsid w:val="00962417"/>
    <w:rsid w:val="00962421"/>
    <w:rsid w:val="00962464"/>
    <w:rsid w:val="00962488"/>
    <w:rsid w:val="009624BD"/>
    <w:rsid w:val="009624DA"/>
    <w:rsid w:val="00962542"/>
    <w:rsid w:val="0096289D"/>
    <w:rsid w:val="0096295D"/>
    <w:rsid w:val="0096297C"/>
    <w:rsid w:val="00962A6A"/>
    <w:rsid w:val="00962B24"/>
    <w:rsid w:val="00962B2D"/>
    <w:rsid w:val="00962B3C"/>
    <w:rsid w:val="00962BA4"/>
    <w:rsid w:val="00962BDC"/>
    <w:rsid w:val="00963008"/>
    <w:rsid w:val="00963026"/>
    <w:rsid w:val="0096315E"/>
    <w:rsid w:val="00963197"/>
    <w:rsid w:val="009633DE"/>
    <w:rsid w:val="00963497"/>
    <w:rsid w:val="009634D8"/>
    <w:rsid w:val="009634FE"/>
    <w:rsid w:val="009635D1"/>
    <w:rsid w:val="0096364D"/>
    <w:rsid w:val="0096365C"/>
    <w:rsid w:val="0096376F"/>
    <w:rsid w:val="00963773"/>
    <w:rsid w:val="00963837"/>
    <w:rsid w:val="0096385D"/>
    <w:rsid w:val="009638D5"/>
    <w:rsid w:val="00963902"/>
    <w:rsid w:val="009639D1"/>
    <w:rsid w:val="00963A32"/>
    <w:rsid w:val="00963A5E"/>
    <w:rsid w:val="00963B12"/>
    <w:rsid w:val="00963B48"/>
    <w:rsid w:val="00963D61"/>
    <w:rsid w:val="00963ED4"/>
    <w:rsid w:val="00963F0D"/>
    <w:rsid w:val="00963FE1"/>
    <w:rsid w:val="00964007"/>
    <w:rsid w:val="0096402B"/>
    <w:rsid w:val="00964095"/>
    <w:rsid w:val="009640CC"/>
    <w:rsid w:val="009640F4"/>
    <w:rsid w:val="00964220"/>
    <w:rsid w:val="00964278"/>
    <w:rsid w:val="009642B9"/>
    <w:rsid w:val="009643CC"/>
    <w:rsid w:val="00964429"/>
    <w:rsid w:val="00964437"/>
    <w:rsid w:val="0096443D"/>
    <w:rsid w:val="0096450D"/>
    <w:rsid w:val="0096452D"/>
    <w:rsid w:val="00964785"/>
    <w:rsid w:val="009647BB"/>
    <w:rsid w:val="009647C5"/>
    <w:rsid w:val="00964928"/>
    <w:rsid w:val="00964AD8"/>
    <w:rsid w:val="00964B44"/>
    <w:rsid w:val="00964B8A"/>
    <w:rsid w:val="00964B8F"/>
    <w:rsid w:val="00964BB5"/>
    <w:rsid w:val="00964BEC"/>
    <w:rsid w:val="00964D7D"/>
    <w:rsid w:val="00964DE5"/>
    <w:rsid w:val="00964E30"/>
    <w:rsid w:val="00965135"/>
    <w:rsid w:val="00965142"/>
    <w:rsid w:val="0096519B"/>
    <w:rsid w:val="009651A5"/>
    <w:rsid w:val="00965235"/>
    <w:rsid w:val="009653B2"/>
    <w:rsid w:val="009653F7"/>
    <w:rsid w:val="00965569"/>
    <w:rsid w:val="009655AE"/>
    <w:rsid w:val="0096573C"/>
    <w:rsid w:val="009657EB"/>
    <w:rsid w:val="0096586D"/>
    <w:rsid w:val="00965911"/>
    <w:rsid w:val="009659E5"/>
    <w:rsid w:val="00965A39"/>
    <w:rsid w:val="00965A51"/>
    <w:rsid w:val="00965AAD"/>
    <w:rsid w:val="00965AC5"/>
    <w:rsid w:val="00965B30"/>
    <w:rsid w:val="00965B9F"/>
    <w:rsid w:val="00965BDA"/>
    <w:rsid w:val="00965BF7"/>
    <w:rsid w:val="00965D2B"/>
    <w:rsid w:val="009660E9"/>
    <w:rsid w:val="009661BB"/>
    <w:rsid w:val="00966258"/>
    <w:rsid w:val="009663F8"/>
    <w:rsid w:val="00966425"/>
    <w:rsid w:val="00966520"/>
    <w:rsid w:val="00966562"/>
    <w:rsid w:val="00966587"/>
    <w:rsid w:val="009665C4"/>
    <w:rsid w:val="00966631"/>
    <w:rsid w:val="0096666E"/>
    <w:rsid w:val="00966673"/>
    <w:rsid w:val="00966731"/>
    <w:rsid w:val="00966776"/>
    <w:rsid w:val="00966813"/>
    <w:rsid w:val="009668DF"/>
    <w:rsid w:val="00966B89"/>
    <w:rsid w:val="00966BF4"/>
    <w:rsid w:val="00966C35"/>
    <w:rsid w:val="00966C46"/>
    <w:rsid w:val="00966C8C"/>
    <w:rsid w:val="00966CFF"/>
    <w:rsid w:val="00966D29"/>
    <w:rsid w:val="00966E2D"/>
    <w:rsid w:val="00966ED6"/>
    <w:rsid w:val="00966F4F"/>
    <w:rsid w:val="00967091"/>
    <w:rsid w:val="00967097"/>
    <w:rsid w:val="009670CA"/>
    <w:rsid w:val="0096726A"/>
    <w:rsid w:val="00967280"/>
    <w:rsid w:val="009672B9"/>
    <w:rsid w:val="009672F5"/>
    <w:rsid w:val="00967450"/>
    <w:rsid w:val="009674D3"/>
    <w:rsid w:val="00967572"/>
    <w:rsid w:val="0096757E"/>
    <w:rsid w:val="00967658"/>
    <w:rsid w:val="009676F2"/>
    <w:rsid w:val="009676FF"/>
    <w:rsid w:val="00967779"/>
    <w:rsid w:val="009677E0"/>
    <w:rsid w:val="009678C4"/>
    <w:rsid w:val="00967915"/>
    <w:rsid w:val="0096799F"/>
    <w:rsid w:val="00967A50"/>
    <w:rsid w:val="00967AE3"/>
    <w:rsid w:val="00967B78"/>
    <w:rsid w:val="00967C19"/>
    <w:rsid w:val="00967C48"/>
    <w:rsid w:val="00967D41"/>
    <w:rsid w:val="00967E96"/>
    <w:rsid w:val="00967FCF"/>
    <w:rsid w:val="0097005F"/>
    <w:rsid w:val="0097008C"/>
    <w:rsid w:val="009701A9"/>
    <w:rsid w:val="009701BD"/>
    <w:rsid w:val="0097029F"/>
    <w:rsid w:val="00970315"/>
    <w:rsid w:val="00970347"/>
    <w:rsid w:val="009703DF"/>
    <w:rsid w:val="0097045C"/>
    <w:rsid w:val="009704E8"/>
    <w:rsid w:val="009704EC"/>
    <w:rsid w:val="00970517"/>
    <w:rsid w:val="00970590"/>
    <w:rsid w:val="009705BE"/>
    <w:rsid w:val="0097064C"/>
    <w:rsid w:val="00970668"/>
    <w:rsid w:val="0097073A"/>
    <w:rsid w:val="0097073C"/>
    <w:rsid w:val="0097074B"/>
    <w:rsid w:val="0097083B"/>
    <w:rsid w:val="00970874"/>
    <w:rsid w:val="00970958"/>
    <w:rsid w:val="00970994"/>
    <w:rsid w:val="009709DC"/>
    <w:rsid w:val="00970A8A"/>
    <w:rsid w:val="00970BB7"/>
    <w:rsid w:val="00970BEC"/>
    <w:rsid w:val="00970BF7"/>
    <w:rsid w:val="00970E41"/>
    <w:rsid w:val="00970F01"/>
    <w:rsid w:val="0097107F"/>
    <w:rsid w:val="009710AF"/>
    <w:rsid w:val="009711B7"/>
    <w:rsid w:val="009712BD"/>
    <w:rsid w:val="0097145A"/>
    <w:rsid w:val="0097159D"/>
    <w:rsid w:val="009715BB"/>
    <w:rsid w:val="0097160A"/>
    <w:rsid w:val="009717BC"/>
    <w:rsid w:val="009717FF"/>
    <w:rsid w:val="0097186C"/>
    <w:rsid w:val="00971B89"/>
    <w:rsid w:val="00971BAD"/>
    <w:rsid w:val="00971BDD"/>
    <w:rsid w:val="00971C01"/>
    <w:rsid w:val="00971C63"/>
    <w:rsid w:val="00971D42"/>
    <w:rsid w:val="00971EB5"/>
    <w:rsid w:val="00971F8D"/>
    <w:rsid w:val="0097213B"/>
    <w:rsid w:val="009721E2"/>
    <w:rsid w:val="00972306"/>
    <w:rsid w:val="009723BB"/>
    <w:rsid w:val="009723C1"/>
    <w:rsid w:val="00972486"/>
    <w:rsid w:val="00972515"/>
    <w:rsid w:val="0097256A"/>
    <w:rsid w:val="00972623"/>
    <w:rsid w:val="0097268D"/>
    <w:rsid w:val="0097274C"/>
    <w:rsid w:val="00972884"/>
    <w:rsid w:val="009728CF"/>
    <w:rsid w:val="00972968"/>
    <w:rsid w:val="009729A0"/>
    <w:rsid w:val="009729F8"/>
    <w:rsid w:val="00972A44"/>
    <w:rsid w:val="00972ABC"/>
    <w:rsid w:val="00972AC9"/>
    <w:rsid w:val="00972AD4"/>
    <w:rsid w:val="00972BA3"/>
    <w:rsid w:val="00972CB6"/>
    <w:rsid w:val="00972DC0"/>
    <w:rsid w:val="00972DCE"/>
    <w:rsid w:val="00972E03"/>
    <w:rsid w:val="00972E2E"/>
    <w:rsid w:val="00972E6A"/>
    <w:rsid w:val="00972EB8"/>
    <w:rsid w:val="00972FD2"/>
    <w:rsid w:val="0097308B"/>
    <w:rsid w:val="00973252"/>
    <w:rsid w:val="00973264"/>
    <w:rsid w:val="009732ED"/>
    <w:rsid w:val="00973315"/>
    <w:rsid w:val="0097341F"/>
    <w:rsid w:val="00973638"/>
    <w:rsid w:val="0097373A"/>
    <w:rsid w:val="009737EA"/>
    <w:rsid w:val="00973879"/>
    <w:rsid w:val="009738BA"/>
    <w:rsid w:val="00973931"/>
    <w:rsid w:val="00973935"/>
    <w:rsid w:val="00973964"/>
    <w:rsid w:val="009739EC"/>
    <w:rsid w:val="00973A2E"/>
    <w:rsid w:val="00973B90"/>
    <w:rsid w:val="00973CDF"/>
    <w:rsid w:val="00973CE6"/>
    <w:rsid w:val="00973F51"/>
    <w:rsid w:val="00973F68"/>
    <w:rsid w:val="0097411B"/>
    <w:rsid w:val="00974232"/>
    <w:rsid w:val="0097424F"/>
    <w:rsid w:val="00974372"/>
    <w:rsid w:val="00974402"/>
    <w:rsid w:val="0097451F"/>
    <w:rsid w:val="00974590"/>
    <w:rsid w:val="009745D5"/>
    <w:rsid w:val="00974623"/>
    <w:rsid w:val="009747F7"/>
    <w:rsid w:val="0097489E"/>
    <w:rsid w:val="0097492A"/>
    <w:rsid w:val="00974963"/>
    <w:rsid w:val="00974B0E"/>
    <w:rsid w:val="00974B82"/>
    <w:rsid w:val="00974BBF"/>
    <w:rsid w:val="00974BD7"/>
    <w:rsid w:val="00974C10"/>
    <w:rsid w:val="00974D81"/>
    <w:rsid w:val="00974DF1"/>
    <w:rsid w:val="00974E06"/>
    <w:rsid w:val="00974E23"/>
    <w:rsid w:val="00974E6E"/>
    <w:rsid w:val="00974ED6"/>
    <w:rsid w:val="00974F62"/>
    <w:rsid w:val="00975116"/>
    <w:rsid w:val="0097516C"/>
    <w:rsid w:val="0097517F"/>
    <w:rsid w:val="0097531A"/>
    <w:rsid w:val="00975355"/>
    <w:rsid w:val="00975380"/>
    <w:rsid w:val="009753A9"/>
    <w:rsid w:val="00975423"/>
    <w:rsid w:val="00975448"/>
    <w:rsid w:val="0097550B"/>
    <w:rsid w:val="00975588"/>
    <w:rsid w:val="009755DB"/>
    <w:rsid w:val="0097570F"/>
    <w:rsid w:val="00975724"/>
    <w:rsid w:val="00975727"/>
    <w:rsid w:val="0097572C"/>
    <w:rsid w:val="009757C2"/>
    <w:rsid w:val="009757C3"/>
    <w:rsid w:val="00975800"/>
    <w:rsid w:val="00975864"/>
    <w:rsid w:val="0097586A"/>
    <w:rsid w:val="009758B5"/>
    <w:rsid w:val="00975939"/>
    <w:rsid w:val="00975A59"/>
    <w:rsid w:val="00975E51"/>
    <w:rsid w:val="00975F0E"/>
    <w:rsid w:val="00975F35"/>
    <w:rsid w:val="00975F9F"/>
    <w:rsid w:val="00975FBD"/>
    <w:rsid w:val="00975FC0"/>
    <w:rsid w:val="009761C1"/>
    <w:rsid w:val="00976276"/>
    <w:rsid w:val="00976346"/>
    <w:rsid w:val="00976378"/>
    <w:rsid w:val="009764A9"/>
    <w:rsid w:val="0097664C"/>
    <w:rsid w:val="00976746"/>
    <w:rsid w:val="009767AB"/>
    <w:rsid w:val="009767DA"/>
    <w:rsid w:val="00976818"/>
    <w:rsid w:val="0097695A"/>
    <w:rsid w:val="00976994"/>
    <w:rsid w:val="00976A4F"/>
    <w:rsid w:val="00976B62"/>
    <w:rsid w:val="00976B8A"/>
    <w:rsid w:val="00976C2D"/>
    <w:rsid w:val="00976C77"/>
    <w:rsid w:val="00976C9E"/>
    <w:rsid w:val="00976CA4"/>
    <w:rsid w:val="00976CC1"/>
    <w:rsid w:val="00976D73"/>
    <w:rsid w:val="00976DC1"/>
    <w:rsid w:val="00976E3C"/>
    <w:rsid w:val="00976E46"/>
    <w:rsid w:val="00976E6D"/>
    <w:rsid w:val="00976E92"/>
    <w:rsid w:val="00976F41"/>
    <w:rsid w:val="009770F6"/>
    <w:rsid w:val="00977180"/>
    <w:rsid w:val="009771A4"/>
    <w:rsid w:val="009771BC"/>
    <w:rsid w:val="00977237"/>
    <w:rsid w:val="00977254"/>
    <w:rsid w:val="00977274"/>
    <w:rsid w:val="0097728E"/>
    <w:rsid w:val="009772A8"/>
    <w:rsid w:val="009772E9"/>
    <w:rsid w:val="0097733F"/>
    <w:rsid w:val="009773DF"/>
    <w:rsid w:val="009774AE"/>
    <w:rsid w:val="009775BF"/>
    <w:rsid w:val="00977950"/>
    <w:rsid w:val="00977A17"/>
    <w:rsid w:val="00977A50"/>
    <w:rsid w:val="00977BD9"/>
    <w:rsid w:val="00977C42"/>
    <w:rsid w:val="00977C5B"/>
    <w:rsid w:val="00977D87"/>
    <w:rsid w:val="00977E4B"/>
    <w:rsid w:val="00977ECA"/>
    <w:rsid w:val="00977EFF"/>
    <w:rsid w:val="00980032"/>
    <w:rsid w:val="00980041"/>
    <w:rsid w:val="00980113"/>
    <w:rsid w:val="0098015B"/>
    <w:rsid w:val="00980164"/>
    <w:rsid w:val="009801AB"/>
    <w:rsid w:val="009802BE"/>
    <w:rsid w:val="00980334"/>
    <w:rsid w:val="0098033D"/>
    <w:rsid w:val="00980374"/>
    <w:rsid w:val="009803AF"/>
    <w:rsid w:val="00980447"/>
    <w:rsid w:val="009804E7"/>
    <w:rsid w:val="0098056C"/>
    <w:rsid w:val="00980573"/>
    <w:rsid w:val="00980599"/>
    <w:rsid w:val="009805A2"/>
    <w:rsid w:val="009805E9"/>
    <w:rsid w:val="009806C8"/>
    <w:rsid w:val="0098077E"/>
    <w:rsid w:val="00980784"/>
    <w:rsid w:val="0098088C"/>
    <w:rsid w:val="009808B9"/>
    <w:rsid w:val="009809A4"/>
    <w:rsid w:val="009809BC"/>
    <w:rsid w:val="00980AB7"/>
    <w:rsid w:val="00980AF7"/>
    <w:rsid w:val="00980BDD"/>
    <w:rsid w:val="00980C0D"/>
    <w:rsid w:val="00980C2F"/>
    <w:rsid w:val="00980C96"/>
    <w:rsid w:val="00980DE6"/>
    <w:rsid w:val="00980EB3"/>
    <w:rsid w:val="00981064"/>
    <w:rsid w:val="00981124"/>
    <w:rsid w:val="0098113A"/>
    <w:rsid w:val="0098125B"/>
    <w:rsid w:val="00981289"/>
    <w:rsid w:val="0098139F"/>
    <w:rsid w:val="009813C2"/>
    <w:rsid w:val="00981404"/>
    <w:rsid w:val="0098148E"/>
    <w:rsid w:val="009814BF"/>
    <w:rsid w:val="00981558"/>
    <w:rsid w:val="009815E4"/>
    <w:rsid w:val="009815EE"/>
    <w:rsid w:val="009816E0"/>
    <w:rsid w:val="00981734"/>
    <w:rsid w:val="0098174F"/>
    <w:rsid w:val="009817F9"/>
    <w:rsid w:val="00981800"/>
    <w:rsid w:val="0098193F"/>
    <w:rsid w:val="00981A0E"/>
    <w:rsid w:val="00981A44"/>
    <w:rsid w:val="00981B73"/>
    <w:rsid w:val="00981CEF"/>
    <w:rsid w:val="00981D37"/>
    <w:rsid w:val="00981DA4"/>
    <w:rsid w:val="00981E5A"/>
    <w:rsid w:val="00981EFA"/>
    <w:rsid w:val="00981F4C"/>
    <w:rsid w:val="009820C0"/>
    <w:rsid w:val="009821C9"/>
    <w:rsid w:val="0098226F"/>
    <w:rsid w:val="009824EF"/>
    <w:rsid w:val="009825BA"/>
    <w:rsid w:val="009825DE"/>
    <w:rsid w:val="009829E0"/>
    <w:rsid w:val="00982AC0"/>
    <w:rsid w:val="00982B59"/>
    <w:rsid w:val="00982DA3"/>
    <w:rsid w:val="0098301A"/>
    <w:rsid w:val="0098302F"/>
    <w:rsid w:val="00983095"/>
    <w:rsid w:val="00983124"/>
    <w:rsid w:val="00983158"/>
    <w:rsid w:val="0098320A"/>
    <w:rsid w:val="009832DD"/>
    <w:rsid w:val="009832FF"/>
    <w:rsid w:val="009833D6"/>
    <w:rsid w:val="00983487"/>
    <w:rsid w:val="009834A8"/>
    <w:rsid w:val="009834DE"/>
    <w:rsid w:val="009834E4"/>
    <w:rsid w:val="009834EE"/>
    <w:rsid w:val="00983616"/>
    <w:rsid w:val="00983742"/>
    <w:rsid w:val="009837C7"/>
    <w:rsid w:val="009839C0"/>
    <w:rsid w:val="00983A73"/>
    <w:rsid w:val="00983ADD"/>
    <w:rsid w:val="00983B10"/>
    <w:rsid w:val="00983B79"/>
    <w:rsid w:val="00983B9C"/>
    <w:rsid w:val="00983C49"/>
    <w:rsid w:val="00983C63"/>
    <w:rsid w:val="00983CED"/>
    <w:rsid w:val="00983D3C"/>
    <w:rsid w:val="00983EAF"/>
    <w:rsid w:val="00983ECE"/>
    <w:rsid w:val="00983F06"/>
    <w:rsid w:val="00983F70"/>
    <w:rsid w:val="00983FAB"/>
    <w:rsid w:val="00983FB0"/>
    <w:rsid w:val="00983FDA"/>
    <w:rsid w:val="0098410F"/>
    <w:rsid w:val="0098412D"/>
    <w:rsid w:val="0098416C"/>
    <w:rsid w:val="00984172"/>
    <w:rsid w:val="00984188"/>
    <w:rsid w:val="00984234"/>
    <w:rsid w:val="00984259"/>
    <w:rsid w:val="00984320"/>
    <w:rsid w:val="00984321"/>
    <w:rsid w:val="00984424"/>
    <w:rsid w:val="00984524"/>
    <w:rsid w:val="00984656"/>
    <w:rsid w:val="00984767"/>
    <w:rsid w:val="0098477A"/>
    <w:rsid w:val="0098478B"/>
    <w:rsid w:val="00984814"/>
    <w:rsid w:val="00984B5C"/>
    <w:rsid w:val="00984CAB"/>
    <w:rsid w:val="00984DB1"/>
    <w:rsid w:val="00984DF5"/>
    <w:rsid w:val="00984EA6"/>
    <w:rsid w:val="00984F99"/>
    <w:rsid w:val="00984FA8"/>
    <w:rsid w:val="009850C0"/>
    <w:rsid w:val="00985107"/>
    <w:rsid w:val="00985118"/>
    <w:rsid w:val="00985323"/>
    <w:rsid w:val="00985346"/>
    <w:rsid w:val="0098534B"/>
    <w:rsid w:val="0098543F"/>
    <w:rsid w:val="009854F5"/>
    <w:rsid w:val="0098560F"/>
    <w:rsid w:val="00985683"/>
    <w:rsid w:val="0098569A"/>
    <w:rsid w:val="0098577E"/>
    <w:rsid w:val="0098585D"/>
    <w:rsid w:val="0098588C"/>
    <w:rsid w:val="009858D9"/>
    <w:rsid w:val="00985A2C"/>
    <w:rsid w:val="00985A70"/>
    <w:rsid w:val="00985AB3"/>
    <w:rsid w:val="00985B0C"/>
    <w:rsid w:val="00985BDE"/>
    <w:rsid w:val="00985E62"/>
    <w:rsid w:val="00985F5E"/>
    <w:rsid w:val="00985F76"/>
    <w:rsid w:val="009860A0"/>
    <w:rsid w:val="009860C9"/>
    <w:rsid w:val="009861ED"/>
    <w:rsid w:val="009862D9"/>
    <w:rsid w:val="00986333"/>
    <w:rsid w:val="00986355"/>
    <w:rsid w:val="00986480"/>
    <w:rsid w:val="00986481"/>
    <w:rsid w:val="00986515"/>
    <w:rsid w:val="00986637"/>
    <w:rsid w:val="0098667E"/>
    <w:rsid w:val="009866CE"/>
    <w:rsid w:val="00986715"/>
    <w:rsid w:val="009867E5"/>
    <w:rsid w:val="00986972"/>
    <w:rsid w:val="009869B9"/>
    <w:rsid w:val="00986A0A"/>
    <w:rsid w:val="00986B05"/>
    <w:rsid w:val="00986B6E"/>
    <w:rsid w:val="00986CF1"/>
    <w:rsid w:val="00986EA5"/>
    <w:rsid w:val="00986EE6"/>
    <w:rsid w:val="00986F27"/>
    <w:rsid w:val="00986F52"/>
    <w:rsid w:val="00986F79"/>
    <w:rsid w:val="00986FF9"/>
    <w:rsid w:val="00986FFA"/>
    <w:rsid w:val="00986FFF"/>
    <w:rsid w:val="00987035"/>
    <w:rsid w:val="009870FA"/>
    <w:rsid w:val="00987104"/>
    <w:rsid w:val="009872E4"/>
    <w:rsid w:val="00987321"/>
    <w:rsid w:val="0098732C"/>
    <w:rsid w:val="00987426"/>
    <w:rsid w:val="0098753A"/>
    <w:rsid w:val="00987646"/>
    <w:rsid w:val="009876C9"/>
    <w:rsid w:val="0098775E"/>
    <w:rsid w:val="0098776F"/>
    <w:rsid w:val="009877D3"/>
    <w:rsid w:val="009877FE"/>
    <w:rsid w:val="00987850"/>
    <w:rsid w:val="00987986"/>
    <w:rsid w:val="009879C5"/>
    <w:rsid w:val="009879D9"/>
    <w:rsid w:val="00987A23"/>
    <w:rsid w:val="00987A74"/>
    <w:rsid w:val="00987AFD"/>
    <w:rsid w:val="00987B43"/>
    <w:rsid w:val="00987BB7"/>
    <w:rsid w:val="00987C08"/>
    <w:rsid w:val="00987C28"/>
    <w:rsid w:val="00987C69"/>
    <w:rsid w:val="00987CBD"/>
    <w:rsid w:val="00987D7F"/>
    <w:rsid w:val="00987DAF"/>
    <w:rsid w:val="00987E37"/>
    <w:rsid w:val="00987E44"/>
    <w:rsid w:val="00987EF7"/>
    <w:rsid w:val="0099004C"/>
    <w:rsid w:val="009900CE"/>
    <w:rsid w:val="009900E8"/>
    <w:rsid w:val="00990134"/>
    <w:rsid w:val="00990288"/>
    <w:rsid w:val="009902B5"/>
    <w:rsid w:val="00990365"/>
    <w:rsid w:val="0099037E"/>
    <w:rsid w:val="009903EC"/>
    <w:rsid w:val="0099044E"/>
    <w:rsid w:val="0099045D"/>
    <w:rsid w:val="00990501"/>
    <w:rsid w:val="0099052B"/>
    <w:rsid w:val="009905AE"/>
    <w:rsid w:val="009905BF"/>
    <w:rsid w:val="0099071C"/>
    <w:rsid w:val="00990785"/>
    <w:rsid w:val="00990977"/>
    <w:rsid w:val="009909BA"/>
    <w:rsid w:val="00990A30"/>
    <w:rsid w:val="00990C0F"/>
    <w:rsid w:val="00990E97"/>
    <w:rsid w:val="00990E99"/>
    <w:rsid w:val="00990F1C"/>
    <w:rsid w:val="00990F51"/>
    <w:rsid w:val="00990FA8"/>
    <w:rsid w:val="00990FD7"/>
    <w:rsid w:val="0099107F"/>
    <w:rsid w:val="00991127"/>
    <w:rsid w:val="009911A5"/>
    <w:rsid w:val="00991280"/>
    <w:rsid w:val="009912D0"/>
    <w:rsid w:val="009913C8"/>
    <w:rsid w:val="00991506"/>
    <w:rsid w:val="0099155F"/>
    <w:rsid w:val="00991718"/>
    <w:rsid w:val="009917C7"/>
    <w:rsid w:val="009917D9"/>
    <w:rsid w:val="00991826"/>
    <w:rsid w:val="0099186B"/>
    <w:rsid w:val="009919F4"/>
    <w:rsid w:val="00991A74"/>
    <w:rsid w:val="00991A81"/>
    <w:rsid w:val="00991B49"/>
    <w:rsid w:val="00991B71"/>
    <w:rsid w:val="00991C64"/>
    <w:rsid w:val="00991CCE"/>
    <w:rsid w:val="00991D17"/>
    <w:rsid w:val="00991DD9"/>
    <w:rsid w:val="00991E7E"/>
    <w:rsid w:val="00991E96"/>
    <w:rsid w:val="00991EBE"/>
    <w:rsid w:val="00991ED6"/>
    <w:rsid w:val="00991F66"/>
    <w:rsid w:val="00992185"/>
    <w:rsid w:val="0099218B"/>
    <w:rsid w:val="009921B2"/>
    <w:rsid w:val="00992266"/>
    <w:rsid w:val="009922F1"/>
    <w:rsid w:val="00992430"/>
    <w:rsid w:val="00992660"/>
    <w:rsid w:val="00992721"/>
    <w:rsid w:val="009927BB"/>
    <w:rsid w:val="009927CD"/>
    <w:rsid w:val="00992845"/>
    <w:rsid w:val="00992846"/>
    <w:rsid w:val="009928D2"/>
    <w:rsid w:val="00992922"/>
    <w:rsid w:val="00992AD2"/>
    <w:rsid w:val="00992B03"/>
    <w:rsid w:val="00992C1C"/>
    <w:rsid w:val="00992CA7"/>
    <w:rsid w:val="00992D8E"/>
    <w:rsid w:val="00992EB4"/>
    <w:rsid w:val="00992F32"/>
    <w:rsid w:val="00992FB2"/>
    <w:rsid w:val="00993195"/>
    <w:rsid w:val="009931E2"/>
    <w:rsid w:val="0099323A"/>
    <w:rsid w:val="0099333E"/>
    <w:rsid w:val="0099335D"/>
    <w:rsid w:val="009933A9"/>
    <w:rsid w:val="00993419"/>
    <w:rsid w:val="009934DB"/>
    <w:rsid w:val="00993533"/>
    <w:rsid w:val="0099365B"/>
    <w:rsid w:val="009936FA"/>
    <w:rsid w:val="0099381C"/>
    <w:rsid w:val="00993883"/>
    <w:rsid w:val="00993A15"/>
    <w:rsid w:val="00993A24"/>
    <w:rsid w:val="00993A73"/>
    <w:rsid w:val="00993B2D"/>
    <w:rsid w:val="00993B3D"/>
    <w:rsid w:val="00993BCE"/>
    <w:rsid w:val="00993CA6"/>
    <w:rsid w:val="00993E4F"/>
    <w:rsid w:val="00993E9B"/>
    <w:rsid w:val="00993F7E"/>
    <w:rsid w:val="0099403A"/>
    <w:rsid w:val="009940FA"/>
    <w:rsid w:val="0099415C"/>
    <w:rsid w:val="00994199"/>
    <w:rsid w:val="009941CC"/>
    <w:rsid w:val="00994207"/>
    <w:rsid w:val="0099420B"/>
    <w:rsid w:val="00994260"/>
    <w:rsid w:val="00994279"/>
    <w:rsid w:val="009943B8"/>
    <w:rsid w:val="009943C0"/>
    <w:rsid w:val="009943D6"/>
    <w:rsid w:val="009944AF"/>
    <w:rsid w:val="0099450E"/>
    <w:rsid w:val="00994683"/>
    <w:rsid w:val="00994699"/>
    <w:rsid w:val="0099474F"/>
    <w:rsid w:val="00994834"/>
    <w:rsid w:val="009948A6"/>
    <w:rsid w:val="009948BF"/>
    <w:rsid w:val="009948EC"/>
    <w:rsid w:val="00994933"/>
    <w:rsid w:val="009949E1"/>
    <w:rsid w:val="00994AD8"/>
    <w:rsid w:val="00994B08"/>
    <w:rsid w:val="00994B17"/>
    <w:rsid w:val="00994B87"/>
    <w:rsid w:val="00994DD3"/>
    <w:rsid w:val="00994E9F"/>
    <w:rsid w:val="00994F3B"/>
    <w:rsid w:val="00994F86"/>
    <w:rsid w:val="00994FE7"/>
    <w:rsid w:val="009950A9"/>
    <w:rsid w:val="009951DC"/>
    <w:rsid w:val="00995205"/>
    <w:rsid w:val="00995207"/>
    <w:rsid w:val="00995209"/>
    <w:rsid w:val="0099525A"/>
    <w:rsid w:val="009952B8"/>
    <w:rsid w:val="009954AD"/>
    <w:rsid w:val="0099563C"/>
    <w:rsid w:val="0099565B"/>
    <w:rsid w:val="00995676"/>
    <w:rsid w:val="0099571B"/>
    <w:rsid w:val="00995826"/>
    <w:rsid w:val="0099582D"/>
    <w:rsid w:val="00995912"/>
    <w:rsid w:val="00995950"/>
    <w:rsid w:val="00995975"/>
    <w:rsid w:val="00995A75"/>
    <w:rsid w:val="00995B36"/>
    <w:rsid w:val="00995BE1"/>
    <w:rsid w:val="00995C50"/>
    <w:rsid w:val="00995C67"/>
    <w:rsid w:val="00995DCD"/>
    <w:rsid w:val="00995DEC"/>
    <w:rsid w:val="00995E6A"/>
    <w:rsid w:val="00995E7F"/>
    <w:rsid w:val="00995EF5"/>
    <w:rsid w:val="00996094"/>
    <w:rsid w:val="009961A3"/>
    <w:rsid w:val="00996260"/>
    <w:rsid w:val="009962F0"/>
    <w:rsid w:val="009962F2"/>
    <w:rsid w:val="009962F6"/>
    <w:rsid w:val="00996372"/>
    <w:rsid w:val="009964DA"/>
    <w:rsid w:val="00996581"/>
    <w:rsid w:val="00996649"/>
    <w:rsid w:val="0099664A"/>
    <w:rsid w:val="0099668F"/>
    <w:rsid w:val="00996775"/>
    <w:rsid w:val="0099688B"/>
    <w:rsid w:val="009968BD"/>
    <w:rsid w:val="00996B25"/>
    <w:rsid w:val="00996B28"/>
    <w:rsid w:val="00996BD9"/>
    <w:rsid w:val="00996E07"/>
    <w:rsid w:val="00996F8A"/>
    <w:rsid w:val="00996FB2"/>
    <w:rsid w:val="00996FE0"/>
    <w:rsid w:val="00997054"/>
    <w:rsid w:val="00997062"/>
    <w:rsid w:val="00997154"/>
    <w:rsid w:val="0099726E"/>
    <w:rsid w:val="0099740E"/>
    <w:rsid w:val="009974ED"/>
    <w:rsid w:val="00997567"/>
    <w:rsid w:val="0099761D"/>
    <w:rsid w:val="00997647"/>
    <w:rsid w:val="009976F3"/>
    <w:rsid w:val="00997709"/>
    <w:rsid w:val="0099770A"/>
    <w:rsid w:val="0099788F"/>
    <w:rsid w:val="009978D9"/>
    <w:rsid w:val="009978F3"/>
    <w:rsid w:val="0099792F"/>
    <w:rsid w:val="00997952"/>
    <w:rsid w:val="00997977"/>
    <w:rsid w:val="00997A99"/>
    <w:rsid w:val="00997AF0"/>
    <w:rsid w:val="00997BF0"/>
    <w:rsid w:val="00997CC8"/>
    <w:rsid w:val="00997CE0"/>
    <w:rsid w:val="00997D5C"/>
    <w:rsid w:val="00997DC5"/>
    <w:rsid w:val="00997E23"/>
    <w:rsid w:val="00997FBA"/>
    <w:rsid w:val="00997FDC"/>
    <w:rsid w:val="009A0137"/>
    <w:rsid w:val="009A0268"/>
    <w:rsid w:val="009A0319"/>
    <w:rsid w:val="009A0391"/>
    <w:rsid w:val="009A04B3"/>
    <w:rsid w:val="009A04BF"/>
    <w:rsid w:val="009A051C"/>
    <w:rsid w:val="009A051F"/>
    <w:rsid w:val="009A053C"/>
    <w:rsid w:val="009A0578"/>
    <w:rsid w:val="009A0610"/>
    <w:rsid w:val="009A063F"/>
    <w:rsid w:val="009A0759"/>
    <w:rsid w:val="009A0868"/>
    <w:rsid w:val="009A09D6"/>
    <w:rsid w:val="009A0A04"/>
    <w:rsid w:val="009A0A2A"/>
    <w:rsid w:val="009A0C32"/>
    <w:rsid w:val="009A0CB9"/>
    <w:rsid w:val="009A0D70"/>
    <w:rsid w:val="009A0DF3"/>
    <w:rsid w:val="009A0E17"/>
    <w:rsid w:val="009A0E4A"/>
    <w:rsid w:val="009A0E57"/>
    <w:rsid w:val="009A0EDA"/>
    <w:rsid w:val="009A0FA3"/>
    <w:rsid w:val="009A1197"/>
    <w:rsid w:val="009A12FD"/>
    <w:rsid w:val="009A13B9"/>
    <w:rsid w:val="009A1417"/>
    <w:rsid w:val="009A14F3"/>
    <w:rsid w:val="009A155F"/>
    <w:rsid w:val="009A156D"/>
    <w:rsid w:val="009A160A"/>
    <w:rsid w:val="009A1648"/>
    <w:rsid w:val="009A165F"/>
    <w:rsid w:val="009A1728"/>
    <w:rsid w:val="009A175E"/>
    <w:rsid w:val="009A18AA"/>
    <w:rsid w:val="009A1914"/>
    <w:rsid w:val="009A194A"/>
    <w:rsid w:val="009A1C12"/>
    <w:rsid w:val="009A1C55"/>
    <w:rsid w:val="009A1E21"/>
    <w:rsid w:val="009A1F9F"/>
    <w:rsid w:val="009A1FA7"/>
    <w:rsid w:val="009A2027"/>
    <w:rsid w:val="009A2045"/>
    <w:rsid w:val="009A2357"/>
    <w:rsid w:val="009A23CC"/>
    <w:rsid w:val="009A2494"/>
    <w:rsid w:val="009A24C8"/>
    <w:rsid w:val="009A260D"/>
    <w:rsid w:val="009A2648"/>
    <w:rsid w:val="009A26A2"/>
    <w:rsid w:val="009A26E2"/>
    <w:rsid w:val="009A26EC"/>
    <w:rsid w:val="009A26F0"/>
    <w:rsid w:val="009A26FB"/>
    <w:rsid w:val="009A2785"/>
    <w:rsid w:val="009A28A6"/>
    <w:rsid w:val="009A28D3"/>
    <w:rsid w:val="009A2942"/>
    <w:rsid w:val="009A29FB"/>
    <w:rsid w:val="009A2B51"/>
    <w:rsid w:val="009A2B53"/>
    <w:rsid w:val="009A2BF3"/>
    <w:rsid w:val="009A2C6D"/>
    <w:rsid w:val="009A2CF9"/>
    <w:rsid w:val="009A2DB4"/>
    <w:rsid w:val="009A2DEF"/>
    <w:rsid w:val="009A2EAC"/>
    <w:rsid w:val="009A2F32"/>
    <w:rsid w:val="009A2F3C"/>
    <w:rsid w:val="009A2F75"/>
    <w:rsid w:val="009A2FAC"/>
    <w:rsid w:val="009A327D"/>
    <w:rsid w:val="009A32B4"/>
    <w:rsid w:val="009A32D7"/>
    <w:rsid w:val="009A3460"/>
    <w:rsid w:val="009A346C"/>
    <w:rsid w:val="009A3512"/>
    <w:rsid w:val="009A3576"/>
    <w:rsid w:val="009A35C2"/>
    <w:rsid w:val="009A36F5"/>
    <w:rsid w:val="009A3739"/>
    <w:rsid w:val="009A3766"/>
    <w:rsid w:val="009A3877"/>
    <w:rsid w:val="009A3A70"/>
    <w:rsid w:val="009A3AA6"/>
    <w:rsid w:val="009A3ADC"/>
    <w:rsid w:val="009A3AE5"/>
    <w:rsid w:val="009A3B0C"/>
    <w:rsid w:val="009A3D7F"/>
    <w:rsid w:val="009A3DD7"/>
    <w:rsid w:val="009A3E1E"/>
    <w:rsid w:val="009A3E50"/>
    <w:rsid w:val="009A3EEF"/>
    <w:rsid w:val="009A3EFD"/>
    <w:rsid w:val="009A3FC3"/>
    <w:rsid w:val="009A3FD7"/>
    <w:rsid w:val="009A4175"/>
    <w:rsid w:val="009A42FA"/>
    <w:rsid w:val="009A43DA"/>
    <w:rsid w:val="009A44D9"/>
    <w:rsid w:val="009A44DD"/>
    <w:rsid w:val="009A451A"/>
    <w:rsid w:val="009A4649"/>
    <w:rsid w:val="009A46AC"/>
    <w:rsid w:val="009A4765"/>
    <w:rsid w:val="009A47F3"/>
    <w:rsid w:val="009A4820"/>
    <w:rsid w:val="009A4842"/>
    <w:rsid w:val="009A4990"/>
    <w:rsid w:val="009A4996"/>
    <w:rsid w:val="009A4A70"/>
    <w:rsid w:val="009A4B31"/>
    <w:rsid w:val="009A4B67"/>
    <w:rsid w:val="009A4BC3"/>
    <w:rsid w:val="009A4C8D"/>
    <w:rsid w:val="009A4CE7"/>
    <w:rsid w:val="009A50F4"/>
    <w:rsid w:val="009A50F8"/>
    <w:rsid w:val="009A511F"/>
    <w:rsid w:val="009A52A8"/>
    <w:rsid w:val="009A5382"/>
    <w:rsid w:val="009A54BF"/>
    <w:rsid w:val="009A55B3"/>
    <w:rsid w:val="009A55DB"/>
    <w:rsid w:val="009A57E6"/>
    <w:rsid w:val="009A5967"/>
    <w:rsid w:val="009A596C"/>
    <w:rsid w:val="009A5989"/>
    <w:rsid w:val="009A598D"/>
    <w:rsid w:val="009A5AA4"/>
    <w:rsid w:val="009A5B36"/>
    <w:rsid w:val="009A5B60"/>
    <w:rsid w:val="009A5BDE"/>
    <w:rsid w:val="009A5C3A"/>
    <w:rsid w:val="009A5C9A"/>
    <w:rsid w:val="009A5CA3"/>
    <w:rsid w:val="009A5D8A"/>
    <w:rsid w:val="009A5E38"/>
    <w:rsid w:val="009A5F0D"/>
    <w:rsid w:val="009A5FCC"/>
    <w:rsid w:val="009A60AF"/>
    <w:rsid w:val="009A60DE"/>
    <w:rsid w:val="009A6162"/>
    <w:rsid w:val="009A618B"/>
    <w:rsid w:val="009A628B"/>
    <w:rsid w:val="009A62B2"/>
    <w:rsid w:val="009A62D0"/>
    <w:rsid w:val="009A6326"/>
    <w:rsid w:val="009A6393"/>
    <w:rsid w:val="009A63B8"/>
    <w:rsid w:val="009A643A"/>
    <w:rsid w:val="009A64AC"/>
    <w:rsid w:val="009A65CC"/>
    <w:rsid w:val="009A6614"/>
    <w:rsid w:val="009A6660"/>
    <w:rsid w:val="009A66E7"/>
    <w:rsid w:val="009A686E"/>
    <w:rsid w:val="009A688F"/>
    <w:rsid w:val="009A68E5"/>
    <w:rsid w:val="009A6B6A"/>
    <w:rsid w:val="009A6C08"/>
    <w:rsid w:val="009A6CA3"/>
    <w:rsid w:val="009A6CA4"/>
    <w:rsid w:val="009A6CF6"/>
    <w:rsid w:val="009A6EC9"/>
    <w:rsid w:val="009A6EE8"/>
    <w:rsid w:val="009A6F3A"/>
    <w:rsid w:val="009A6F9A"/>
    <w:rsid w:val="009A6FD2"/>
    <w:rsid w:val="009A704B"/>
    <w:rsid w:val="009A70B0"/>
    <w:rsid w:val="009A70CC"/>
    <w:rsid w:val="009A71C1"/>
    <w:rsid w:val="009A72DF"/>
    <w:rsid w:val="009A7393"/>
    <w:rsid w:val="009A74B0"/>
    <w:rsid w:val="009A7576"/>
    <w:rsid w:val="009A7661"/>
    <w:rsid w:val="009A7767"/>
    <w:rsid w:val="009A7798"/>
    <w:rsid w:val="009A78D0"/>
    <w:rsid w:val="009A79C1"/>
    <w:rsid w:val="009A7AC2"/>
    <w:rsid w:val="009A7ADB"/>
    <w:rsid w:val="009A7CB9"/>
    <w:rsid w:val="009A7D16"/>
    <w:rsid w:val="009A7D64"/>
    <w:rsid w:val="009A7D79"/>
    <w:rsid w:val="009A7F27"/>
    <w:rsid w:val="009B0009"/>
    <w:rsid w:val="009B013F"/>
    <w:rsid w:val="009B0251"/>
    <w:rsid w:val="009B02A7"/>
    <w:rsid w:val="009B034A"/>
    <w:rsid w:val="009B03D0"/>
    <w:rsid w:val="009B03E5"/>
    <w:rsid w:val="009B0597"/>
    <w:rsid w:val="009B05C7"/>
    <w:rsid w:val="009B05FC"/>
    <w:rsid w:val="009B06E1"/>
    <w:rsid w:val="009B0797"/>
    <w:rsid w:val="009B0869"/>
    <w:rsid w:val="009B08B3"/>
    <w:rsid w:val="009B098F"/>
    <w:rsid w:val="009B09DC"/>
    <w:rsid w:val="009B0A85"/>
    <w:rsid w:val="009B0AD2"/>
    <w:rsid w:val="009B0AD8"/>
    <w:rsid w:val="009B0B98"/>
    <w:rsid w:val="009B0BAD"/>
    <w:rsid w:val="009B0CEB"/>
    <w:rsid w:val="009B0DAB"/>
    <w:rsid w:val="009B0DC4"/>
    <w:rsid w:val="009B0E97"/>
    <w:rsid w:val="009B0F0A"/>
    <w:rsid w:val="009B0FF4"/>
    <w:rsid w:val="009B0FF8"/>
    <w:rsid w:val="009B1036"/>
    <w:rsid w:val="009B1046"/>
    <w:rsid w:val="009B1104"/>
    <w:rsid w:val="009B113A"/>
    <w:rsid w:val="009B11F2"/>
    <w:rsid w:val="009B1218"/>
    <w:rsid w:val="009B1240"/>
    <w:rsid w:val="009B12BF"/>
    <w:rsid w:val="009B132C"/>
    <w:rsid w:val="009B1422"/>
    <w:rsid w:val="009B142F"/>
    <w:rsid w:val="009B14E1"/>
    <w:rsid w:val="009B150A"/>
    <w:rsid w:val="009B1598"/>
    <w:rsid w:val="009B15B6"/>
    <w:rsid w:val="009B16B9"/>
    <w:rsid w:val="009B1721"/>
    <w:rsid w:val="009B17C4"/>
    <w:rsid w:val="009B1844"/>
    <w:rsid w:val="009B184C"/>
    <w:rsid w:val="009B1A04"/>
    <w:rsid w:val="009B1BE6"/>
    <w:rsid w:val="009B1CF2"/>
    <w:rsid w:val="009B1D9E"/>
    <w:rsid w:val="009B1E5F"/>
    <w:rsid w:val="009B1EF5"/>
    <w:rsid w:val="009B1F4E"/>
    <w:rsid w:val="009B1F6F"/>
    <w:rsid w:val="009B20AA"/>
    <w:rsid w:val="009B20B1"/>
    <w:rsid w:val="009B20D7"/>
    <w:rsid w:val="009B2218"/>
    <w:rsid w:val="009B23BC"/>
    <w:rsid w:val="009B23BF"/>
    <w:rsid w:val="009B24D8"/>
    <w:rsid w:val="009B266C"/>
    <w:rsid w:val="009B2841"/>
    <w:rsid w:val="009B288D"/>
    <w:rsid w:val="009B2A17"/>
    <w:rsid w:val="009B2A37"/>
    <w:rsid w:val="009B2C33"/>
    <w:rsid w:val="009B2C58"/>
    <w:rsid w:val="009B2D2A"/>
    <w:rsid w:val="009B2DC2"/>
    <w:rsid w:val="009B2E91"/>
    <w:rsid w:val="009B3013"/>
    <w:rsid w:val="009B3042"/>
    <w:rsid w:val="009B3147"/>
    <w:rsid w:val="009B31A4"/>
    <w:rsid w:val="009B31AD"/>
    <w:rsid w:val="009B3346"/>
    <w:rsid w:val="009B3365"/>
    <w:rsid w:val="009B3374"/>
    <w:rsid w:val="009B349E"/>
    <w:rsid w:val="009B3582"/>
    <w:rsid w:val="009B3639"/>
    <w:rsid w:val="009B3640"/>
    <w:rsid w:val="009B3783"/>
    <w:rsid w:val="009B38F4"/>
    <w:rsid w:val="009B397A"/>
    <w:rsid w:val="009B3A8B"/>
    <w:rsid w:val="009B3AC5"/>
    <w:rsid w:val="009B3B84"/>
    <w:rsid w:val="009B3BB6"/>
    <w:rsid w:val="009B3C20"/>
    <w:rsid w:val="009B3D52"/>
    <w:rsid w:val="009B3E1F"/>
    <w:rsid w:val="009B3EE0"/>
    <w:rsid w:val="009B3F4A"/>
    <w:rsid w:val="009B4039"/>
    <w:rsid w:val="009B4082"/>
    <w:rsid w:val="009B40AD"/>
    <w:rsid w:val="009B4138"/>
    <w:rsid w:val="009B4176"/>
    <w:rsid w:val="009B41DB"/>
    <w:rsid w:val="009B42FF"/>
    <w:rsid w:val="009B4445"/>
    <w:rsid w:val="009B453B"/>
    <w:rsid w:val="009B453F"/>
    <w:rsid w:val="009B4636"/>
    <w:rsid w:val="009B4664"/>
    <w:rsid w:val="009B4703"/>
    <w:rsid w:val="009B475C"/>
    <w:rsid w:val="009B47A3"/>
    <w:rsid w:val="009B47BC"/>
    <w:rsid w:val="009B4827"/>
    <w:rsid w:val="009B4861"/>
    <w:rsid w:val="009B493D"/>
    <w:rsid w:val="009B49A5"/>
    <w:rsid w:val="009B49D3"/>
    <w:rsid w:val="009B4A05"/>
    <w:rsid w:val="009B4A13"/>
    <w:rsid w:val="009B4A16"/>
    <w:rsid w:val="009B4DBD"/>
    <w:rsid w:val="009B4F8D"/>
    <w:rsid w:val="009B5025"/>
    <w:rsid w:val="009B50BC"/>
    <w:rsid w:val="009B50C6"/>
    <w:rsid w:val="009B50E4"/>
    <w:rsid w:val="009B5108"/>
    <w:rsid w:val="009B51D4"/>
    <w:rsid w:val="009B51E9"/>
    <w:rsid w:val="009B528A"/>
    <w:rsid w:val="009B52D9"/>
    <w:rsid w:val="009B52E2"/>
    <w:rsid w:val="009B53C6"/>
    <w:rsid w:val="009B54E9"/>
    <w:rsid w:val="009B55A3"/>
    <w:rsid w:val="009B5620"/>
    <w:rsid w:val="009B56E5"/>
    <w:rsid w:val="009B5740"/>
    <w:rsid w:val="009B5809"/>
    <w:rsid w:val="009B595D"/>
    <w:rsid w:val="009B5961"/>
    <w:rsid w:val="009B59A1"/>
    <w:rsid w:val="009B5A64"/>
    <w:rsid w:val="009B5ADA"/>
    <w:rsid w:val="009B5AFC"/>
    <w:rsid w:val="009B5B13"/>
    <w:rsid w:val="009B5B2D"/>
    <w:rsid w:val="009B5BED"/>
    <w:rsid w:val="009B5CC4"/>
    <w:rsid w:val="009B5E28"/>
    <w:rsid w:val="009B5F01"/>
    <w:rsid w:val="009B5F35"/>
    <w:rsid w:val="009B6034"/>
    <w:rsid w:val="009B610E"/>
    <w:rsid w:val="009B61D2"/>
    <w:rsid w:val="009B62E1"/>
    <w:rsid w:val="009B6345"/>
    <w:rsid w:val="009B6347"/>
    <w:rsid w:val="009B6430"/>
    <w:rsid w:val="009B6490"/>
    <w:rsid w:val="009B6696"/>
    <w:rsid w:val="009B67D8"/>
    <w:rsid w:val="009B68AA"/>
    <w:rsid w:val="009B68C6"/>
    <w:rsid w:val="009B6995"/>
    <w:rsid w:val="009B69A9"/>
    <w:rsid w:val="009B69E0"/>
    <w:rsid w:val="009B6A3C"/>
    <w:rsid w:val="009B6A86"/>
    <w:rsid w:val="009B6AEB"/>
    <w:rsid w:val="009B6C5B"/>
    <w:rsid w:val="009B6D24"/>
    <w:rsid w:val="009B6E5D"/>
    <w:rsid w:val="009B6EF2"/>
    <w:rsid w:val="009B6F44"/>
    <w:rsid w:val="009B6F9B"/>
    <w:rsid w:val="009B705C"/>
    <w:rsid w:val="009B7065"/>
    <w:rsid w:val="009B7099"/>
    <w:rsid w:val="009B70EA"/>
    <w:rsid w:val="009B710B"/>
    <w:rsid w:val="009B71F4"/>
    <w:rsid w:val="009B721F"/>
    <w:rsid w:val="009B7297"/>
    <w:rsid w:val="009B72E6"/>
    <w:rsid w:val="009B73C2"/>
    <w:rsid w:val="009B7430"/>
    <w:rsid w:val="009B7541"/>
    <w:rsid w:val="009B7549"/>
    <w:rsid w:val="009B768D"/>
    <w:rsid w:val="009B771E"/>
    <w:rsid w:val="009B7742"/>
    <w:rsid w:val="009B774F"/>
    <w:rsid w:val="009B776C"/>
    <w:rsid w:val="009B77AB"/>
    <w:rsid w:val="009B77C4"/>
    <w:rsid w:val="009B7818"/>
    <w:rsid w:val="009B787E"/>
    <w:rsid w:val="009B794D"/>
    <w:rsid w:val="009B794E"/>
    <w:rsid w:val="009B7976"/>
    <w:rsid w:val="009B79F1"/>
    <w:rsid w:val="009B7AF3"/>
    <w:rsid w:val="009B7C0A"/>
    <w:rsid w:val="009B7C25"/>
    <w:rsid w:val="009B7C44"/>
    <w:rsid w:val="009B7C9C"/>
    <w:rsid w:val="009B7D89"/>
    <w:rsid w:val="009B7DF6"/>
    <w:rsid w:val="009B7DF7"/>
    <w:rsid w:val="009B7FA7"/>
    <w:rsid w:val="009C001C"/>
    <w:rsid w:val="009C014D"/>
    <w:rsid w:val="009C02DB"/>
    <w:rsid w:val="009C0418"/>
    <w:rsid w:val="009C048F"/>
    <w:rsid w:val="009C04B7"/>
    <w:rsid w:val="009C04D3"/>
    <w:rsid w:val="009C0540"/>
    <w:rsid w:val="009C063D"/>
    <w:rsid w:val="009C0643"/>
    <w:rsid w:val="009C06C3"/>
    <w:rsid w:val="009C06C5"/>
    <w:rsid w:val="009C0729"/>
    <w:rsid w:val="009C085A"/>
    <w:rsid w:val="009C08F0"/>
    <w:rsid w:val="009C097B"/>
    <w:rsid w:val="009C0980"/>
    <w:rsid w:val="009C09A2"/>
    <w:rsid w:val="009C09C2"/>
    <w:rsid w:val="009C0A5B"/>
    <w:rsid w:val="009C0A67"/>
    <w:rsid w:val="009C0A83"/>
    <w:rsid w:val="009C0AA7"/>
    <w:rsid w:val="009C0B04"/>
    <w:rsid w:val="009C0B0D"/>
    <w:rsid w:val="009C0B16"/>
    <w:rsid w:val="009C0BF7"/>
    <w:rsid w:val="009C0CAF"/>
    <w:rsid w:val="009C0DAF"/>
    <w:rsid w:val="009C0E9A"/>
    <w:rsid w:val="009C0EC9"/>
    <w:rsid w:val="009C0F6D"/>
    <w:rsid w:val="009C0FA7"/>
    <w:rsid w:val="009C0FC3"/>
    <w:rsid w:val="009C1033"/>
    <w:rsid w:val="009C1077"/>
    <w:rsid w:val="009C111D"/>
    <w:rsid w:val="009C1174"/>
    <w:rsid w:val="009C11CC"/>
    <w:rsid w:val="009C1239"/>
    <w:rsid w:val="009C1347"/>
    <w:rsid w:val="009C15A5"/>
    <w:rsid w:val="009C15BE"/>
    <w:rsid w:val="009C15C4"/>
    <w:rsid w:val="009C184D"/>
    <w:rsid w:val="009C185A"/>
    <w:rsid w:val="009C185C"/>
    <w:rsid w:val="009C18A5"/>
    <w:rsid w:val="009C18BF"/>
    <w:rsid w:val="009C1A04"/>
    <w:rsid w:val="009C1A2A"/>
    <w:rsid w:val="009C1A67"/>
    <w:rsid w:val="009C1AD0"/>
    <w:rsid w:val="009C1AFF"/>
    <w:rsid w:val="009C1B3A"/>
    <w:rsid w:val="009C1BAB"/>
    <w:rsid w:val="009C1BB9"/>
    <w:rsid w:val="009C1CDD"/>
    <w:rsid w:val="009C1D71"/>
    <w:rsid w:val="009C1D7F"/>
    <w:rsid w:val="009C1DB1"/>
    <w:rsid w:val="009C1ED6"/>
    <w:rsid w:val="009C1EF6"/>
    <w:rsid w:val="009C2168"/>
    <w:rsid w:val="009C21DC"/>
    <w:rsid w:val="009C220F"/>
    <w:rsid w:val="009C2342"/>
    <w:rsid w:val="009C2355"/>
    <w:rsid w:val="009C24D0"/>
    <w:rsid w:val="009C24F1"/>
    <w:rsid w:val="009C2682"/>
    <w:rsid w:val="009C2759"/>
    <w:rsid w:val="009C27F9"/>
    <w:rsid w:val="009C2811"/>
    <w:rsid w:val="009C283B"/>
    <w:rsid w:val="009C283F"/>
    <w:rsid w:val="009C2845"/>
    <w:rsid w:val="009C2848"/>
    <w:rsid w:val="009C285F"/>
    <w:rsid w:val="009C291E"/>
    <w:rsid w:val="009C2933"/>
    <w:rsid w:val="009C2987"/>
    <w:rsid w:val="009C29D3"/>
    <w:rsid w:val="009C2A03"/>
    <w:rsid w:val="009C2AD0"/>
    <w:rsid w:val="009C2B0D"/>
    <w:rsid w:val="009C2CA6"/>
    <w:rsid w:val="009C2D2F"/>
    <w:rsid w:val="009C2EC9"/>
    <w:rsid w:val="009C2F09"/>
    <w:rsid w:val="009C2F60"/>
    <w:rsid w:val="009C3069"/>
    <w:rsid w:val="009C30DF"/>
    <w:rsid w:val="009C31C4"/>
    <w:rsid w:val="009C32E1"/>
    <w:rsid w:val="009C331B"/>
    <w:rsid w:val="009C33AA"/>
    <w:rsid w:val="009C33CC"/>
    <w:rsid w:val="009C3456"/>
    <w:rsid w:val="009C3642"/>
    <w:rsid w:val="009C3652"/>
    <w:rsid w:val="009C36C7"/>
    <w:rsid w:val="009C36FE"/>
    <w:rsid w:val="009C372C"/>
    <w:rsid w:val="009C3734"/>
    <w:rsid w:val="009C37BA"/>
    <w:rsid w:val="009C37CE"/>
    <w:rsid w:val="009C38BF"/>
    <w:rsid w:val="009C3959"/>
    <w:rsid w:val="009C399F"/>
    <w:rsid w:val="009C39F9"/>
    <w:rsid w:val="009C3AD4"/>
    <w:rsid w:val="009C3B05"/>
    <w:rsid w:val="009C3B40"/>
    <w:rsid w:val="009C3BA2"/>
    <w:rsid w:val="009C3CE6"/>
    <w:rsid w:val="009C3D75"/>
    <w:rsid w:val="009C3D9A"/>
    <w:rsid w:val="009C3DB3"/>
    <w:rsid w:val="009C3F48"/>
    <w:rsid w:val="009C3F98"/>
    <w:rsid w:val="009C3FA2"/>
    <w:rsid w:val="009C401A"/>
    <w:rsid w:val="009C4058"/>
    <w:rsid w:val="009C4165"/>
    <w:rsid w:val="009C42AE"/>
    <w:rsid w:val="009C4351"/>
    <w:rsid w:val="009C435F"/>
    <w:rsid w:val="009C4407"/>
    <w:rsid w:val="009C4408"/>
    <w:rsid w:val="009C441A"/>
    <w:rsid w:val="009C44AE"/>
    <w:rsid w:val="009C4570"/>
    <w:rsid w:val="009C4646"/>
    <w:rsid w:val="009C4955"/>
    <w:rsid w:val="009C4A01"/>
    <w:rsid w:val="009C4A31"/>
    <w:rsid w:val="009C4BA9"/>
    <w:rsid w:val="009C4C4B"/>
    <w:rsid w:val="009C4C52"/>
    <w:rsid w:val="009C4D59"/>
    <w:rsid w:val="009C4DDD"/>
    <w:rsid w:val="009C4E79"/>
    <w:rsid w:val="009C4EDD"/>
    <w:rsid w:val="009C4EE6"/>
    <w:rsid w:val="009C4F71"/>
    <w:rsid w:val="009C5068"/>
    <w:rsid w:val="009C5074"/>
    <w:rsid w:val="009C50ED"/>
    <w:rsid w:val="009C50EE"/>
    <w:rsid w:val="009C50F1"/>
    <w:rsid w:val="009C515C"/>
    <w:rsid w:val="009C51A2"/>
    <w:rsid w:val="009C5273"/>
    <w:rsid w:val="009C53EC"/>
    <w:rsid w:val="009C5472"/>
    <w:rsid w:val="009C551E"/>
    <w:rsid w:val="009C5573"/>
    <w:rsid w:val="009C55E6"/>
    <w:rsid w:val="009C5694"/>
    <w:rsid w:val="009C56A4"/>
    <w:rsid w:val="009C56D3"/>
    <w:rsid w:val="009C5782"/>
    <w:rsid w:val="009C579D"/>
    <w:rsid w:val="009C57DE"/>
    <w:rsid w:val="009C5916"/>
    <w:rsid w:val="009C5957"/>
    <w:rsid w:val="009C5965"/>
    <w:rsid w:val="009C599D"/>
    <w:rsid w:val="009C59B4"/>
    <w:rsid w:val="009C5B31"/>
    <w:rsid w:val="009C5B9E"/>
    <w:rsid w:val="009C5BE9"/>
    <w:rsid w:val="009C5C68"/>
    <w:rsid w:val="009C5D2B"/>
    <w:rsid w:val="009C5D2F"/>
    <w:rsid w:val="009C5D84"/>
    <w:rsid w:val="009C5E31"/>
    <w:rsid w:val="009C5EC6"/>
    <w:rsid w:val="009C5EEB"/>
    <w:rsid w:val="009C5F2D"/>
    <w:rsid w:val="009C5FD6"/>
    <w:rsid w:val="009C6072"/>
    <w:rsid w:val="009C6147"/>
    <w:rsid w:val="009C6238"/>
    <w:rsid w:val="009C6348"/>
    <w:rsid w:val="009C64F4"/>
    <w:rsid w:val="009C6517"/>
    <w:rsid w:val="009C6591"/>
    <w:rsid w:val="009C65C4"/>
    <w:rsid w:val="009C65CA"/>
    <w:rsid w:val="009C6610"/>
    <w:rsid w:val="009C665F"/>
    <w:rsid w:val="009C66F1"/>
    <w:rsid w:val="009C6728"/>
    <w:rsid w:val="009C6756"/>
    <w:rsid w:val="009C697E"/>
    <w:rsid w:val="009C6A20"/>
    <w:rsid w:val="009C6AF8"/>
    <w:rsid w:val="009C6C2C"/>
    <w:rsid w:val="009C6CB7"/>
    <w:rsid w:val="009C6CCB"/>
    <w:rsid w:val="009C6CF1"/>
    <w:rsid w:val="009C6DD9"/>
    <w:rsid w:val="009C6E32"/>
    <w:rsid w:val="009C6EB8"/>
    <w:rsid w:val="009C6EBF"/>
    <w:rsid w:val="009C6EDB"/>
    <w:rsid w:val="009C6F2E"/>
    <w:rsid w:val="009C6FAE"/>
    <w:rsid w:val="009C6FCE"/>
    <w:rsid w:val="009C6FE7"/>
    <w:rsid w:val="009C70DC"/>
    <w:rsid w:val="009C70F5"/>
    <w:rsid w:val="009C70FB"/>
    <w:rsid w:val="009C7184"/>
    <w:rsid w:val="009C7217"/>
    <w:rsid w:val="009C74BD"/>
    <w:rsid w:val="009C7549"/>
    <w:rsid w:val="009C75E3"/>
    <w:rsid w:val="009C76CC"/>
    <w:rsid w:val="009C76D8"/>
    <w:rsid w:val="009C7792"/>
    <w:rsid w:val="009C77C0"/>
    <w:rsid w:val="009C77C8"/>
    <w:rsid w:val="009C783D"/>
    <w:rsid w:val="009C78AE"/>
    <w:rsid w:val="009C78F4"/>
    <w:rsid w:val="009C7915"/>
    <w:rsid w:val="009C7917"/>
    <w:rsid w:val="009C79C3"/>
    <w:rsid w:val="009C7AFD"/>
    <w:rsid w:val="009C7B95"/>
    <w:rsid w:val="009C7EA1"/>
    <w:rsid w:val="009C7F9B"/>
    <w:rsid w:val="009D001E"/>
    <w:rsid w:val="009D009A"/>
    <w:rsid w:val="009D012B"/>
    <w:rsid w:val="009D018A"/>
    <w:rsid w:val="009D0195"/>
    <w:rsid w:val="009D01C2"/>
    <w:rsid w:val="009D024A"/>
    <w:rsid w:val="009D02DA"/>
    <w:rsid w:val="009D032F"/>
    <w:rsid w:val="009D0333"/>
    <w:rsid w:val="009D0377"/>
    <w:rsid w:val="009D03DD"/>
    <w:rsid w:val="009D048B"/>
    <w:rsid w:val="009D04BF"/>
    <w:rsid w:val="009D04E1"/>
    <w:rsid w:val="009D04EA"/>
    <w:rsid w:val="009D050D"/>
    <w:rsid w:val="009D0639"/>
    <w:rsid w:val="009D06BE"/>
    <w:rsid w:val="009D06EA"/>
    <w:rsid w:val="009D0738"/>
    <w:rsid w:val="009D076F"/>
    <w:rsid w:val="009D0781"/>
    <w:rsid w:val="009D078A"/>
    <w:rsid w:val="009D0919"/>
    <w:rsid w:val="009D0ABD"/>
    <w:rsid w:val="009D0B97"/>
    <w:rsid w:val="009D0D32"/>
    <w:rsid w:val="009D0E64"/>
    <w:rsid w:val="009D0EC8"/>
    <w:rsid w:val="009D0F08"/>
    <w:rsid w:val="009D101B"/>
    <w:rsid w:val="009D1140"/>
    <w:rsid w:val="009D115A"/>
    <w:rsid w:val="009D1177"/>
    <w:rsid w:val="009D11BE"/>
    <w:rsid w:val="009D11C9"/>
    <w:rsid w:val="009D1409"/>
    <w:rsid w:val="009D1420"/>
    <w:rsid w:val="009D1562"/>
    <w:rsid w:val="009D1575"/>
    <w:rsid w:val="009D1615"/>
    <w:rsid w:val="009D163B"/>
    <w:rsid w:val="009D1745"/>
    <w:rsid w:val="009D17CB"/>
    <w:rsid w:val="009D1836"/>
    <w:rsid w:val="009D18BF"/>
    <w:rsid w:val="009D1900"/>
    <w:rsid w:val="009D190B"/>
    <w:rsid w:val="009D1939"/>
    <w:rsid w:val="009D19C4"/>
    <w:rsid w:val="009D1A2A"/>
    <w:rsid w:val="009D1A64"/>
    <w:rsid w:val="009D1ABB"/>
    <w:rsid w:val="009D1ADE"/>
    <w:rsid w:val="009D1BCB"/>
    <w:rsid w:val="009D1BEF"/>
    <w:rsid w:val="009D1BF1"/>
    <w:rsid w:val="009D1C21"/>
    <w:rsid w:val="009D1CED"/>
    <w:rsid w:val="009D1D73"/>
    <w:rsid w:val="009D1DBA"/>
    <w:rsid w:val="009D1DFC"/>
    <w:rsid w:val="009D1E2E"/>
    <w:rsid w:val="009D1EF1"/>
    <w:rsid w:val="009D1F4D"/>
    <w:rsid w:val="009D1FA0"/>
    <w:rsid w:val="009D1FBC"/>
    <w:rsid w:val="009D1FEE"/>
    <w:rsid w:val="009D20E1"/>
    <w:rsid w:val="009D217E"/>
    <w:rsid w:val="009D219C"/>
    <w:rsid w:val="009D21F5"/>
    <w:rsid w:val="009D222F"/>
    <w:rsid w:val="009D2267"/>
    <w:rsid w:val="009D22F1"/>
    <w:rsid w:val="009D2358"/>
    <w:rsid w:val="009D2413"/>
    <w:rsid w:val="009D248F"/>
    <w:rsid w:val="009D251F"/>
    <w:rsid w:val="009D253B"/>
    <w:rsid w:val="009D255E"/>
    <w:rsid w:val="009D2591"/>
    <w:rsid w:val="009D2597"/>
    <w:rsid w:val="009D2609"/>
    <w:rsid w:val="009D26B8"/>
    <w:rsid w:val="009D26CB"/>
    <w:rsid w:val="009D2742"/>
    <w:rsid w:val="009D279C"/>
    <w:rsid w:val="009D28D6"/>
    <w:rsid w:val="009D296A"/>
    <w:rsid w:val="009D297C"/>
    <w:rsid w:val="009D297D"/>
    <w:rsid w:val="009D29C8"/>
    <w:rsid w:val="009D2AB3"/>
    <w:rsid w:val="009D2B27"/>
    <w:rsid w:val="009D2B91"/>
    <w:rsid w:val="009D2CCD"/>
    <w:rsid w:val="009D2E0A"/>
    <w:rsid w:val="009D2EBF"/>
    <w:rsid w:val="009D2ED8"/>
    <w:rsid w:val="009D2F67"/>
    <w:rsid w:val="009D30B4"/>
    <w:rsid w:val="009D30C6"/>
    <w:rsid w:val="009D31AB"/>
    <w:rsid w:val="009D3201"/>
    <w:rsid w:val="009D3318"/>
    <w:rsid w:val="009D3506"/>
    <w:rsid w:val="009D3507"/>
    <w:rsid w:val="009D35AA"/>
    <w:rsid w:val="009D3694"/>
    <w:rsid w:val="009D36D1"/>
    <w:rsid w:val="009D3778"/>
    <w:rsid w:val="009D37A0"/>
    <w:rsid w:val="009D37AC"/>
    <w:rsid w:val="009D38FD"/>
    <w:rsid w:val="009D396F"/>
    <w:rsid w:val="009D3978"/>
    <w:rsid w:val="009D39B2"/>
    <w:rsid w:val="009D3ADA"/>
    <w:rsid w:val="009D3BF0"/>
    <w:rsid w:val="009D3C24"/>
    <w:rsid w:val="009D3CAA"/>
    <w:rsid w:val="009D3CEC"/>
    <w:rsid w:val="009D3D3A"/>
    <w:rsid w:val="009D3D6F"/>
    <w:rsid w:val="009D3EEE"/>
    <w:rsid w:val="009D3F0B"/>
    <w:rsid w:val="009D3F30"/>
    <w:rsid w:val="009D4022"/>
    <w:rsid w:val="009D40E3"/>
    <w:rsid w:val="009D4124"/>
    <w:rsid w:val="009D4200"/>
    <w:rsid w:val="009D4206"/>
    <w:rsid w:val="009D422C"/>
    <w:rsid w:val="009D4236"/>
    <w:rsid w:val="009D433F"/>
    <w:rsid w:val="009D438D"/>
    <w:rsid w:val="009D444B"/>
    <w:rsid w:val="009D45E1"/>
    <w:rsid w:val="009D4609"/>
    <w:rsid w:val="009D46F8"/>
    <w:rsid w:val="009D48C0"/>
    <w:rsid w:val="009D48D7"/>
    <w:rsid w:val="009D48F4"/>
    <w:rsid w:val="009D49EB"/>
    <w:rsid w:val="009D4AC9"/>
    <w:rsid w:val="009D4B84"/>
    <w:rsid w:val="009D4F58"/>
    <w:rsid w:val="009D5075"/>
    <w:rsid w:val="009D507A"/>
    <w:rsid w:val="009D50B6"/>
    <w:rsid w:val="009D50E8"/>
    <w:rsid w:val="009D5107"/>
    <w:rsid w:val="009D5157"/>
    <w:rsid w:val="009D5253"/>
    <w:rsid w:val="009D5265"/>
    <w:rsid w:val="009D531F"/>
    <w:rsid w:val="009D537D"/>
    <w:rsid w:val="009D5443"/>
    <w:rsid w:val="009D5476"/>
    <w:rsid w:val="009D55AB"/>
    <w:rsid w:val="009D55C6"/>
    <w:rsid w:val="009D56A8"/>
    <w:rsid w:val="009D56DB"/>
    <w:rsid w:val="009D573D"/>
    <w:rsid w:val="009D5774"/>
    <w:rsid w:val="009D5909"/>
    <w:rsid w:val="009D5959"/>
    <w:rsid w:val="009D59B9"/>
    <w:rsid w:val="009D5A79"/>
    <w:rsid w:val="009D5AFA"/>
    <w:rsid w:val="009D5B39"/>
    <w:rsid w:val="009D5BC8"/>
    <w:rsid w:val="009D5C4D"/>
    <w:rsid w:val="009D5C64"/>
    <w:rsid w:val="009D5D4E"/>
    <w:rsid w:val="009D5D6E"/>
    <w:rsid w:val="009D5D8E"/>
    <w:rsid w:val="009D5DE5"/>
    <w:rsid w:val="009D5E02"/>
    <w:rsid w:val="009D5E44"/>
    <w:rsid w:val="009D5E56"/>
    <w:rsid w:val="009D5F4D"/>
    <w:rsid w:val="009D5FA8"/>
    <w:rsid w:val="009D604D"/>
    <w:rsid w:val="009D60F2"/>
    <w:rsid w:val="009D611E"/>
    <w:rsid w:val="009D616E"/>
    <w:rsid w:val="009D6490"/>
    <w:rsid w:val="009D6583"/>
    <w:rsid w:val="009D6630"/>
    <w:rsid w:val="009D6682"/>
    <w:rsid w:val="009D6714"/>
    <w:rsid w:val="009D6801"/>
    <w:rsid w:val="009D681E"/>
    <w:rsid w:val="009D684A"/>
    <w:rsid w:val="009D68CF"/>
    <w:rsid w:val="009D694D"/>
    <w:rsid w:val="009D698E"/>
    <w:rsid w:val="009D6A5F"/>
    <w:rsid w:val="009D6C03"/>
    <w:rsid w:val="009D6C48"/>
    <w:rsid w:val="009D6C9F"/>
    <w:rsid w:val="009D6CA6"/>
    <w:rsid w:val="009D6CFA"/>
    <w:rsid w:val="009D6D61"/>
    <w:rsid w:val="009D6DC3"/>
    <w:rsid w:val="009D6DF7"/>
    <w:rsid w:val="009D6E2E"/>
    <w:rsid w:val="009D6E83"/>
    <w:rsid w:val="009D6E8B"/>
    <w:rsid w:val="009D6EC3"/>
    <w:rsid w:val="009D6F34"/>
    <w:rsid w:val="009D6F86"/>
    <w:rsid w:val="009D6FBC"/>
    <w:rsid w:val="009D70A4"/>
    <w:rsid w:val="009D71BE"/>
    <w:rsid w:val="009D7327"/>
    <w:rsid w:val="009D7371"/>
    <w:rsid w:val="009D74AB"/>
    <w:rsid w:val="009D7566"/>
    <w:rsid w:val="009D7602"/>
    <w:rsid w:val="009D760A"/>
    <w:rsid w:val="009D762B"/>
    <w:rsid w:val="009D773B"/>
    <w:rsid w:val="009D7753"/>
    <w:rsid w:val="009D77F6"/>
    <w:rsid w:val="009D78DB"/>
    <w:rsid w:val="009D79A6"/>
    <w:rsid w:val="009D79B4"/>
    <w:rsid w:val="009D79BF"/>
    <w:rsid w:val="009D79CE"/>
    <w:rsid w:val="009D79DC"/>
    <w:rsid w:val="009D7B2C"/>
    <w:rsid w:val="009D7CA1"/>
    <w:rsid w:val="009D7CBD"/>
    <w:rsid w:val="009D7CC5"/>
    <w:rsid w:val="009D7D8F"/>
    <w:rsid w:val="009D7DF2"/>
    <w:rsid w:val="009D7F32"/>
    <w:rsid w:val="009D7F3C"/>
    <w:rsid w:val="009D7FAA"/>
    <w:rsid w:val="009D7FB8"/>
    <w:rsid w:val="009E007D"/>
    <w:rsid w:val="009E01A4"/>
    <w:rsid w:val="009E01BA"/>
    <w:rsid w:val="009E027D"/>
    <w:rsid w:val="009E0298"/>
    <w:rsid w:val="009E044D"/>
    <w:rsid w:val="009E047E"/>
    <w:rsid w:val="009E04FD"/>
    <w:rsid w:val="009E0529"/>
    <w:rsid w:val="009E057B"/>
    <w:rsid w:val="009E05F0"/>
    <w:rsid w:val="009E0606"/>
    <w:rsid w:val="009E0668"/>
    <w:rsid w:val="009E06BD"/>
    <w:rsid w:val="009E06C8"/>
    <w:rsid w:val="009E0713"/>
    <w:rsid w:val="009E0788"/>
    <w:rsid w:val="009E07C3"/>
    <w:rsid w:val="009E0902"/>
    <w:rsid w:val="009E0974"/>
    <w:rsid w:val="009E0ACA"/>
    <w:rsid w:val="009E0CD6"/>
    <w:rsid w:val="009E0D75"/>
    <w:rsid w:val="009E0FC1"/>
    <w:rsid w:val="009E0FFE"/>
    <w:rsid w:val="009E10AA"/>
    <w:rsid w:val="009E115C"/>
    <w:rsid w:val="009E1250"/>
    <w:rsid w:val="009E12F2"/>
    <w:rsid w:val="009E1381"/>
    <w:rsid w:val="009E138F"/>
    <w:rsid w:val="009E13F6"/>
    <w:rsid w:val="009E1551"/>
    <w:rsid w:val="009E1562"/>
    <w:rsid w:val="009E166B"/>
    <w:rsid w:val="009E1824"/>
    <w:rsid w:val="009E18CA"/>
    <w:rsid w:val="009E1AC5"/>
    <w:rsid w:val="009E1B0D"/>
    <w:rsid w:val="009E1BAD"/>
    <w:rsid w:val="009E1BC2"/>
    <w:rsid w:val="009E1C33"/>
    <w:rsid w:val="009E1DB3"/>
    <w:rsid w:val="009E1E98"/>
    <w:rsid w:val="009E1E9E"/>
    <w:rsid w:val="009E1ECF"/>
    <w:rsid w:val="009E1F3D"/>
    <w:rsid w:val="009E2009"/>
    <w:rsid w:val="009E2024"/>
    <w:rsid w:val="009E2062"/>
    <w:rsid w:val="009E20DF"/>
    <w:rsid w:val="009E21E1"/>
    <w:rsid w:val="009E223C"/>
    <w:rsid w:val="009E2243"/>
    <w:rsid w:val="009E2288"/>
    <w:rsid w:val="009E22F6"/>
    <w:rsid w:val="009E2340"/>
    <w:rsid w:val="009E2484"/>
    <w:rsid w:val="009E26B5"/>
    <w:rsid w:val="009E270D"/>
    <w:rsid w:val="009E274C"/>
    <w:rsid w:val="009E275E"/>
    <w:rsid w:val="009E27B6"/>
    <w:rsid w:val="009E2867"/>
    <w:rsid w:val="009E286C"/>
    <w:rsid w:val="009E2998"/>
    <w:rsid w:val="009E2AB8"/>
    <w:rsid w:val="009E2B1E"/>
    <w:rsid w:val="009E2B29"/>
    <w:rsid w:val="009E2BEC"/>
    <w:rsid w:val="009E2C01"/>
    <w:rsid w:val="009E2E0D"/>
    <w:rsid w:val="009E2E19"/>
    <w:rsid w:val="009E2F2D"/>
    <w:rsid w:val="009E2F88"/>
    <w:rsid w:val="009E31A3"/>
    <w:rsid w:val="009E323A"/>
    <w:rsid w:val="009E3262"/>
    <w:rsid w:val="009E330D"/>
    <w:rsid w:val="009E336C"/>
    <w:rsid w:val="009E33B3"/>
    <w:rsid w:val="009E34BA"/>
    <w:rsid w:val="009E34D5"/>
    <w:rsid w:val="009E34D9"/>
    <w:rsid w:val="009E3520"/>
    <w:rsid w:val="009E3554"/>
    <w:rsid w:val="009E35B1"/>
    <w:rsid w:val="009E35D0"/>
    <w:rsid w:val="009E3669"/>
    <w:rsid w:val="009E37C9"/>
    <w:rsid w:val="009E38FD"/>
    <w:rsid w:val="009E396E"/>
    <w:rsid w:val="009E3A0E"/>
    <w:rsid w:val="009E3A43"/>
    <w:rsid w:val="009E3AAD"/>
    <w:rsid w:val="009E3B83"/>
    <w:rsid w:val="009E3C28"/>
    <w:rsid w:val="009E3C40"/>
    <w:rsid w:val="009E3D36"/>
    <w:rsid w:val="009E3D48"/>
    <w:rsid w:val="009E3DFB"/>
    <w:rsid w:val="009E3E47"/>
    <w:rsid w:val="009E3E68"/>
    <w:rsid w:val="009E3EC6"/>
    <w:rsid w:val="009E3EF4"/>
    <w:rsid w:val="009E3F88"/>
    <w:rsid w:val="009E40A0"/>
    <w:rsid w:val="009E40FB"/>
    <w:rsid w:val="009E41F2"/>
    <w:rsid w:val="009E4252"/>
    <w:rsid w:val="009E4312"/>
    <w:rsid w:val="009E4334"/>
    <w:rsid w:val="009E4363"/>
    <w:rsid w:val="009E43D7"/>
    <w:rsid w:val="009E45FF"/>
    <w:rsid w:val="009E46A9"/>
    <w:rsid w:val="009E47D4"/>
    <w:rsid w:val="009E47D9"/>
    <w:rsid w:val="009E4802"/>
    <w:rsid w:val="009E484F"/>
    <w:rsid w:val="009E491F"/>
    <w:rsid w:val="009E49F6"/>
    <w:rsid w:val="009E4A07"/>
    <w:rsid w:val="009E4A13"/>
    <w:rsid w:val="009E4A76"/>
    <w:rsid w:val="009E4B6B"/>
    <w:rsid w:val="009E4BDC"/>
    <w:rsid w:val="009E4BF1"/>
    <w:rsid w:val="009E4BF7"/>
    <w:rsid w:val="009E4C2B"/>
    <w:rsid w:val="009E4C54"/>
    <w:rsid w:val="009E4CC6"/>
    <w:rsid w:val="009E4CE2"/>
    <w:rsid w:val="009E4D38"/>
    <w:rsid w:val="009E4D64"/>
    <w:rsid w:val="009E4D95"/>
    <w:rsid w:val="009E4DCA"/>
    <w:rsid w:val="009E4DE3"/>
    <w:rsid w:val="009E4F3E"/>
    <w:rsid w:val="009E50BB"/>
    <w:rsid w:val="009E50C7"/>
    <w:rsid w:val="009E51B5"/>
    <w:rsid w:val="009E5332"/>
    <w:rsid w:val="009E53C7"/>
    <w:rsid w:val="009E53DE"/>
    <w:rsid w:val="009E53F7"/>
    <w:rsid w:val="009E5475"/>
    <w:rsid w:val="009E559C"/>
    <w:rsid w:val="009E55C1"/>
    <w:rsid w:val="009E57EE"/>
    <w:rsid w:val="009E58EB"/>
    <w:rsid w:val="009E5921"/>
    <w:rsid w:val="009E5986"/>
    <w:rsid w:val="009E5988"/>
    <w:rsid w:val="009E59E7"/>
    <w:rsid w:val="009E5AC2"/>
    <w:rsid w:val="009E5B1A"/>
    <w:rsid w:val="009E5B67"/>
    <w:rsid w:val="009E5C76"/>
    <w:rsid w:val="009E5CAA"/>
    <w:rsid w:val="009E5D36"/>
    <w:rsid w:val="009E5DF1"/>
    <w:rsid w:val="009E5EFB"/>
    <w:rsid w:val="009E5F13"/>
    <w:rsid w:val="009E5F4F"/>
    <w:rsid w:val="009E5FCB"/>
    <w:rsid w:val="009E6019"/>
    <w:rsid w:val="009E602B"/>
    <w:rsid w:val="009E602F"/>
    <w:rsid w:val="009E60F6"/>
    <w:rsid w:val="009E613D"/>
    <w:rsid w:val="009E614C"/>
    <w:rsid w:val="009E61CF"/>
    <w:rsid w:val="009E6206"/>
    <w:rsid w:val="009E63C4"/>
    <w:rsid w:val="009E640E"/>
    <w:rsid w:val="009E647E"/>
    <w:rsid w:val="009E64A4"/>
    <w:rsid w:val="009E6502"/>
    <w:rsid w:val="009E6601"/>
    <w:rsid w:val="009E660B"/>
    <w:rsid w:val="009E6640"/>
    <w:rsid w:val="009E6650"/>
    <w:rsid w:val="009E669B"/>
    <w:rsid w:val="009E677A"/>
    <w:rsid w:val="009E679C"/>
    <w:rsid w:val="009E68B7"/>
    <w:rsid w:val="009E6914"/>
    <w:rsid w:val="009E6971"/>
    <w:rsid w:val="009E69A2"/>
    <w:rsid w:val="009E6AE0"/>
    <w:rsid w:val="009E6B3C"/>
    <w:rsid w:val="009E6BAB"/>
    <w:rsid w:val="009E6C8A"/>
    <w:rsid w:val="009E6D0A"/>
    <w:rsid w:val="009E6D63"/>
    <w:rsid w:val="009E6DC2"/>
    <w:rsid w:val="009E6E4F"/>
    <w:rsid w:val="009E6E6A"/>
    <w:rsid w:val="009E6F04"/>
    <w:rsid w:val="009E6F13"/>
    <w:rsid w:val="009E6F7A"/>
    <w:rsid w:val="009E7052"/>
    <w:rsid w:val="009E71DE"/>
    <w:rsid w:val="009E71E3"/>
    <w:rsid w:val="009E7217"/>
    <w:rsid w:val="009E72D3"/>
    <w:rsid w:val="009E7326"/>
    <w:rsid w:val="009E7374"/>
    <w:rsid w:val="009E74FA"/>
    <w:rsid w:val="009E7502"/>
    <w:rsid w:val="009E7548"/>
    <w:rsid w:val="009E75A0"/>
    <w:rsid w:val="009E76D0"/>
    <w:rsid w:val="009E76FE"/>
    <w:rsid w:val="009E78FE"/>
    <w:rsid w:val="009E7A0C"/>
    <w:rsid w:val="009E7A19"/>
    <w:rsid w:val="009E7A27"/>
    <w:rsid w:val="009E7AB5"/>
    <w:rsid w:val="009E7B35"/>
    <w:rsid w:val="009E7D16"/>
    <w:rsid w:val="009E7DAA"/>
    <w:rsid w:val="009E7E8B"/>
    <w:rsid w:val="009E7F81"/>
    <w:rsid w:val="009E7FC9"/>
    <w:rsid w:val="009E7FE4"/>
    <w:rsid w:val="009F000B"/>
    <w:rsid w:val="009F0061"/>
    <w:rsid w:val="009F00EB"/>
    <w:rsid w:val="009F0108"/>
    <w:rsid w:val="009F020A"/>
    <w:rsid w:val="009F022B"/>
    <w:rsid w:val="009F0276"/>
    <w:rsid w:val="009F02C9"/>
    <w:rsid w:val="009F0313"/>
    <w:rsid w:val="009F057B"/>
    <w:rsid w:val="009F057D"/>
    <w:rsid w:val="009F05AD"/>
    <w:rsid w:val="009F05BA"/>
    <w:rsid w:val="009F0648"/>
    <w:rsid w:val="009F06D2"/>
    <w:rsid w:val="009F07A9"/>
    <w:rsid w:val="009F09D5"/>
    <w:rsid w:val="009F0AE6"/>
    <w:rsid w:val="009F0B85"/>
    <w:rsid w:val="009F0C32"/>
    <w:rsid w:val="009F0CF9"/>
    <w:rsid w:val="009F0E88"/>
    <w:rsid w:val="009F0E9E"/>
    <w:rsid w:val="009F0EE6"/>
    <w:rsid w:val="009F0EE7"/>
    <w:rsid w:val="009F0F30"/>
    <w:rsid w:val="009F0F36"/>
    <w:rsid w:val="009F0F54"/>
    <w:rsid w:val="009F0FBF"/>
    <w:rsid w:val="009F0FEC"/>
    <w:rsid w:val="009F10F9"/>
    <w:rsid w:val="009F111A"/>
    <w:rsid w:val="009F116D"/>
    <w:rsid w:val="009F11AC"/>
    <w:rsid w:val="009F1241"/>
    <w:rsid w:val="009F127A"/>
    <w:rsid w:val="009F135B"/>
    <w:rsid w:val="009F13F0"/>
    <w:rsid w:val="009F14DB"/>
    <w:rsid w:val="009F1568"/>
    <w:rsid w:val="009F1847"/>
    <w:rsid w:val="009F18C9"/>
    <w:rsid w:val="009F1A25"/>
    <w:rsid w:val="009F1A4E"/>
    <w:rsid w:val="009F1B9D"/>
    <w:rsid w:val="009F1BDE"/>
    <w:rsid w:val="009F1C39"/>
    <w:rsid w:val="009F1CE7"/>
    <w:rsid w:val="009F1D24"/>
    <w:rsid w:val="009F1E63"/>
    <w:rsid w:val="009F1FD1"/>
    <w:rsid w:val="009F208C"/>
    <w:rsid w:val="009F2098"/>
    <w:rsid w:val="009F20C1"/>
    <w:rsid w:val="009F219C"/>
    <w:rsid w:val="009F2201"/>
    <w:rsid w:val="009F224E"/>
    <w:rsid w:val="009F22A4"/>
    <w:rsid w:val="009F234F"/>
    <w:rsid w:val="009F2426"/>
    <w:rsid w:val="009F2431"/>
    <w:rsid w:val="009F25D1"/>
    <w:rsid w:val="009F2741"/>
    <w:rsid w:val="009F28AB"/>
    <w:rsid w:val="009F28C2"/>
    <w:rsid w:val="009F299C"/>
    <w:rsid w:val="009F29A8"/>
    <w:rsid w:val="009F29DE"/>
    <w:rsid w:val="009F2A51"/>
    <w:rsid w:val="009F2CA3"/>
    <w:rsid w:val="009F2D5E"/>
    <w:rsid w:val="009F2E2C"/>
    <w:rsid w:val="009F2F16"/>
    <w:rsid w:val="009F2F8D"/>
    <w:rsid w:val="009F3049"/>
    <w:rsid w:val="009F3094"/>
    <w:rsid w:val="009F30C2"/>
    <w:rsid w:val="009F3103"/>
    <w:rsid w:val="009F3114"/>
    <w:rsid w:val="009F31CD"/>
    <w:rsid w:val="009F31CF"/>
    <w:rsid w:val="009F3364"/>
    <w:rsid w:val="009F33C6"/>
    <w:rsid w:val="009F3400"/>
    <w:rsid w:val="009F349F"/>
    <w:rsid w:val="009F3677"/>
    <w:rsid w:val="009F36D3"/>
    <w:rsid w:val="009F37F7"/>
    <w:rsid w:val="009F3989"/>
    <w:rsid w:val="009F39CD"/>
    <w:rsid w:val="009F3A41"/>
    <w:rsid w:val="009F3A65"/>
    <w:rsid w:val="009F3ADF"/>
    <w:rsid w:val="009F3B30"/>
    <w:rsid w:val="009F3BD6"/>
    <w:rsid w:val="009F3C0A"/>
    <w:rsid w:val="009F3C45"/>
    <w:rsid w:val="009F3C9B"/>
    <w:rsid w:val="009F3CBD"/>
    <w:rsid w:val="009F3CD5"/>
    <w:rsid w:val="009F3CE7"/>
    <w:rsid w:val="009F3D4F"/>
    <w:rsid w:val="009F3F2F"/>
    <w:rsid w:val="009F4003"/>
    <w:rsid w:val="009F405E"/>
    <w:rsid w:val="009F41EA"/>
    <w:rsid w:val="009F42D2"/>
    <w:rsid w:val="009F4304"/>
    <w:rsid w:val="009F4423"/>
    <w:rsid w:val="009F46EE"/>
    <w:rsid w:val="009F4700"/>
    <w:rsid w:val="009F4750"/>
    <w:rsid w:val="009F479E"/>
    <w:rsid w:val="009F47FE"/>
    <w:rsid w:val="009F4805"/>
    <w:rsid w:val="009F4952"/>
    <w:rsid w:val="009F495F"/>
    <w:rsid w:val="009F49E7"/>
    <w:rsid w:val="009F4A97"/>
    <w:rsid w:val="009F4AD8"/>
    <w:rsid w:val="009F4B96"/>
    <w:rsid w:val="009F4BC7"/>
    <w:rsid w:val="009F4C01"/>
    <w:rsid w:val="009F4CD8"/>
    <w:rsid w:val="009F4DE4"/>
    <w:rsid w:val="009F4E3E"/>
    <w:rsid w:val="009F4E77"/>
    <w:rsid w:val="009F4F01"/>
    <w:rsid w:val="009F4FB8"/>
    <w:rsid w:val="009F4FDC"/>
    <w:rsid w:val="009F5038"/>
    <w:rsid w:val="009F5081"/>
    <w:rsid w:val="009F5119"/>
    <w:rsid w:val="009F522D"/>
    <w:rsid w:val="009F525E"/>
    <w:rsid w:val="009F538A"/>
    <w:rsid w:val="009F5455"/>
    <w:rsid w:val="009F54F4"/>
    <w:rsid w:val="009F556C"/>
    <w:rsid w:val="009F5584"/>
    <w:rsid w:val="009F562E"/>
    <w:rsid w:val="009F581F"/>
    <w:rsid w:val="009F5828"/>
    <w:rsid w:val="009F588E"/>
    <w:rsid w:val="009F59B7"/>
    <w:rsid w:val="009F59B9"/>
    <w:rsid w:val="009F59FF"/>
    <w:rsid w:val="009F5A11"/>
    <w:rsid w:val="009F5AC2"/>
    <w:rsid w:val="009F5B1F"/>
    <w:rsid w:val="009F5C29"/>
    <w:rsid w:val="009F5C9F"/>
    <w:rsid w:val="009F5D2C"/>
    <w:rsid w:val="009F5F5F"/>
    <w:rsid w:val="009F5F85"/>
    <w:rsid w:val="009F5FC3"/>
    <w:rsid w:val="009F6224"/>
    <w:rsid w:val="009F6266"/>
    <w:rsid w:val="009F631D"/>
    <w:rsid w:val="009F63E4"/>
    <w:rsid w:val="009F64B4"/>
    <w:rsid w:val="009F64FD"/>
    <w:rsid w:val="009F6562"/>
    <w:rsid w:val="009F65E0"/>
    <w:rsid w:val="009F65EF"/>
    <w:rsid w:val="009F6650"/>
    <w:rsid w:val="009F6655"/>
    <w:rsid w:val="009F6737"/>
    <w:rsid w:val="009F6782"/>
    <w:rsid w:val="009F67A1"/>
    <w:rsid w:val="009F6940"/>
    <w:rsid w:val="009F6A6D"/>
    <w:rsid w:val="009F6AD1"/>
    <w:rsid w:val="009F6AED"/>
    <w:rsid w:val="009F6AF6"/>
    <w:rsid w:val="009F6BA5"/>
    <w:rsid w:val="009F6CBF"/>
    <w:rsid w:val="009F6CF0"/>
    <w:rsid w:val="009F6D14"/>
    <w:rsid w:val="009F6D8B"/>
    <w:rsid w:val="009F6E7D"/>
    <w:rsid w:val="009F70C5"/>
    <w:rsid w:val="009F70EE"/>
    <w:rsid w:val="009F7146"/>
    <w:rsid w:val="009F7176"/>
    <w:rsid w:val="009F718F"/>
    <w:rsid w:val="009F71C5"/>
    <w:rsid w:val="009F71F4"/>
    <w:rsid w:val="009F7220"/>
    <w:rsid w:val="009F74AE"/>
    <w:rsid w:val="009F74B1"/>
    <w:rsid w:val="009F74BE"/>
    <w:rsid w:val="009F7518"/>
    <w:rsid w:val="009F75B3"/>
    <w:rsid w:val="009F75E2"/>
    <w:rsid w:val="009F763C"/>
    <w:rsid w:val="009F7682"/>
    <w:rsid w:val="009F76C5"/>
    <w:rsid w:val="009F773E"/>
    <w:rsid w:val="009F774D"/>
    <w:rsid w:val="009F7751"/>
    <w:rsid w:val="009F7764"/>
    <w:rsid w:val="009F77CE"/>
    <w:rsid w:val="009F7815"/>
    <w:rsid w:val="009F78CB"/>
    <w:rsid w:val="009F7958"/>
    <w:rsid w:val="009F79DF"/>
    <w:rsid w:val="009F7B07"/>
    <w:rsid w:val="009F7B1D"/>
    <w:rsid w:val="009F7C31"/>
    <w:rsid w:val="009F7CEF"/>
    <w:rsid w:val="009F7E73"/>
    <w:rsid w:val="009F7F1B"/>
    <w:rsid w:val="009F7F3D"/>
    <w:rsid w:val="009F7F58"/>
    <w:rsid w:val="00A000A4"/>
    <w:rsid w:val="00A000AB"/>
    <w:rsid w:val="00A0011B"/>
    <w:rsid w:val="00A001D4"/>
    <w:rsid w:val="00A00280"/>
    <w:rsid w:val="00A00347"/>
    <w:rsid w:val="00A003F7"/>
    <w:rsid w:val="00A00536"/>
    <w:rsid w:val="00A00627"/>
    <w:rsid w:val="00A0077D"/>
    <w:rsid w:val="00A008E1"/>
    <w:rsid w:val="00A008EC"/>
    <w:rsid w:val="00A009C8"/>
    <w:rsid w:val="00A009D5"/>
    <w:rsid w:val="00A00A9B"/>
    <w:rsid w:val="00A00BB3"/>
    <w:rsid w:val="00A00C29"/>
    <w:rsid w:val="00A00D43"/>
    <w:rsid w:val="00A00D93"/>
    <w:rsid w:val="00A00DC5"/>
    <w:rsid w:val="00A00DF2"/>
    <w:rsid w:val="00A00E72"/>
    <w:rsid w:val="00A00E91"/>
    <w:rsid w:val="00A00F1A"/>
    <w:rsid w:val="00A00F2B"/>
    <w:rsid w:val="00A0108D"/>
    <w:rsid w:val="00A0115C"/>
    <w:rsid w:val="00A011E5"/>
    <w:rsid w:val="00A01373"/>
    <w:rsid w:val="00A01528"/>
    <w:rsid w:val="00A01564"/>
    <w:rsid w:val="00A01645"/>
    <w:rsid w:val="00A016B5"/>
    <w:rsid w:val="00A016CE"/>
    <w:rsid w:val="00A01758"/>
    <w:rsid w:val="00A017CD"/>
    <w:rsid w:val="00A0182E"/>
    <w:rsid w:val="00A018EF"/>
    <w:rsid w:val="00A018F9"/>
    <w:rsid w:val="00A01913"/>
    <w:rsid w:val="00A01927"/>
    <w:rsid w:val="00A01932"/>
    <w:rsid w:val="00A0195B"/>
    <w:rsid w:val="00A019EB"/>
    <w:rsid w:val="00A01A49"/>
    <w:rsid w:val="00A01CAB"/>
    <w:rsid w:val="00A01D06"/>
    <w:rsid w:val="00A01DDF"/>
    <w:rsid w:val="00A01DED"/>
    <w:rsid w:val="00A01DF7"/>
    <w:rsid w:val="00A01E1F"/>
    <w:rsid w:val="00A01E9F"/>
    <w:rsid w:val="00A01EE4"/>
    <w:rsid w:val="00A0201A"/>
    <w:rsid w:val="00A0202C"/>
    <w:rsid w:val="00A0214B"/>
    <w:rsid w:val="00A0215F"/>
    <w:rsid w:val="00A0229A"/>
    <w:rsid w:val="00A02400"/>
    <w:rsid w:val="00A024F9"/>
    <w:rsid w:val="00A02507"/>
    <w:rsid w:val="00A02586"/>
    <w:rsid w:val="00A026BF"/>
    <w:rsid w:val="00A0285E"/>
    <w:rsid w:val="00A0288B"/>
    <w:rsid w:val="00A028CF"/>
    <w:rsid w:val="00A029A7"/>
    <w:rsid w:val="00A02A7A"/>
    <w:rsid w:val="00A02ACF"/>
    <w:rsid w:val="00A02C71"/>
    <w:rsid w:val="00A02D14"/>
    <w:rsid w:val="00A02DC3"/>
    <w:rsid w:val="00A02DD6"/>
    <w:rsid w:val="00A02EA5"/>
    <w:rsid w:val="00A02EE0"/>
    <w:rsid w:val="00A02F81"/>
    <w:rsid w:val="00A02FA4"/>
    <w:rsid w:val="00A02FC4"/>
    <w:rsid w:val="00A032FE"/>
    <w:rsid w:val="00A0347E"/>
    <w:rsid w:val="00A034EB"/>
    <w:rsid w:val="00A0354B"/>
    <w:rsid w:val="00A03555"/>
    <w:rsid w:val="00A03569"/>
    <w:rsid w:val="00A03578"/>
    <w:rsid w:val="00A035A7"/>
    <w:rsid w:val="00A0362F"/>
    <w:rsid w:val="00A036BE"/>
    <w:rsid w:val="00A0373A"/>
    <w:rsid w:val="00A037E4"/>
    <w:rsid w:val="00A03857"/>
    <w:rsid w:val="00A038AA"/>
    <w:rsid w:val="00A038E6"/>
    <w:rsid w:val="00A03A0C"/>
    <w:rsid w:val="00A03AF6"/>
    <w:rsid w:val="00A03B00"/>
    <w:rsid w:val="00A03B68"/>
    <w:rsid w:val="00A03B8F"/>
    <w:rsid w:val="00A03BD7"/>
    <w:rsid w:val="00A03CC8"/>
    <w:rsid w:val="00A03EEE"/>
    <w:rsid w:val="00A03FAE"/>
    <w:rsid w:val="00A04077"/>
    <w:rsid w:val="00A0413D"/>
    <w:rsid w:val="00A04143"/>
    <w:rsid w:val="00A041E2"/>
    <w:rsid w:val="00A04205"/>
    <w:rsid w:val="00A0420B"/>
    <w:rsid w:val="00A0427D"/>
    <w:rsid w:val="00A04350"/>
    <w:rsid w:val="00A045B0"/>
    <w:rsid w:val="00A047F4"/>
    <w:rsid w:val="00A04867"/>
    <w:rsid w:val="00A04950"/>
    <w:rsid w:val="00A04A5B"/>
    <w:rsid w:val="00A04A9C"/>
    <w:rsid w:val="00A04B33"/>
    <w:rsid w:val="00A04C33"/>
    <w:rsid w:val="00A04C4E"/>
    <w:rsid w:val="00A04CCC"/>
    <w:rsid w:val="00A04CFC"/>
    <w:rsid w:val="00A04D70"/>
    <w:rsid w:val="00A04F58"/>
    <w:rsid w:val="00A0502E"/>
    <w:rsid w:val="00A0517F"/>
    <w:rsid w:val="00A051D2"/>
    <w:rsid w:val="00A05269"/>
    <w:rsid w:val="00A054FD"/>
    <w:rsid w:val="00A0552B"/>
    <w:rsid w:val="00A0556F"/>
    <w:rsid w:val="00A0564A"/>
    <w:rsid w:val="00A05695"/>
    <w:rsid w:val="00A056A0"/>
    <w:rsid w:val="00A057AD"/>
    <w:rsid w:val="00A057EC"/>
    <w:rsid w:val="00A05972"/>
    <w:rsid w:val="00A05A2D"/>
    <w:rsid w:val="00A05B8D"/>
    <w:rsid w:val="00A05B9F"/>
    <w:rsid w:val="00A05C0E"/>
    <w:rsid w:val="00A05D60"/>
    <w:rsid w:val="00A05D6C"/>
    <w:rsid w:val="00A05DA9"/>
    <w:rsid w:val="00A05DE0"/>
    <w:rsid w:val="00A05E0D"/>
    <w:rsid w:val="00A05E50"/>
    <w:rsid w:val="00A05E5D"/>
    <w:rsid w:val="00A05F62"/>
    <w:rsid w:val="00A05F66"/>
    <w:rsid w:val="00A05FA2"/>
    <w:rsid w:val="00A05FA5"/>
    <w:rsid w:val="00A05FBA"/>
    <w:rsid w:val="00A0633B"/>
    <w:rsid w:val="00A06401"/>
    <w:rsid w:val="00A06481"/>
    <w:rsid w:val="00A06506"/>
    <w:rsid w:val="00A06706"/>
    <w:rsid w:val="00A06708"/>
    <w:rsid w:val="00A06780"/>
    <w:rsid w:val="00A0692E"/>
    <w:rsid w:val="00A06A45"/>
    <w:rsid w:val="00A06AE0"/>
    <w:rsid w:val="00A06B11"/>
    <w:rsid w:val="00A06BAF"/>
    <w:rsid w:val="00A06CEE"/>
    <w:rsid w:val="00A06D51"/>
    <w:rsid w:val="00A06DD6"/>
    <w:rsid w:val="00A06E27"/>
    <w:rsid w:val="00A06E7A"/>
    <w:rsid w:val="00A0703F"/>
    <w:rsid w:val="00A0704B"/>
    <w:rsid w:val="00A0713C"/>
    <w:rsid w:val="00A07170"/>
    <w:rsid w:val="00A0723D"/>
    <w:rsid w:val="00A07500"/>
    <w:rsid w:val="00A075EB"/>
    <w:rsid w:val="00A078D0"/>
    <w:rsid w:val="00A078D2"/>
    <w:rsid w:val="00A07908"/>
    <w:rsid w:val="00A079B9"/>
    <w:rsid w:val="00A07A78"/>
    <w:rsid w:val="00A07AAB"/>
    <w:rsid w:val="00A07BAD"/>
    <w:rsid w:val="00A07C26"/>
    <w:rsid w:val="00A07C49"/>
    <w:rsid w:val="00A07CA6"/>
    <w:rsid w:val="00A07CFE"/>
    <w:rsid w:val="00A07D1E"/>
    <w:rsid w:val="00A07DA8"/>
    <w:rsid w:val="00A07F98"/>
    <w:rsid w:val="00A10084"/>
    <w:rsid w:val="00A1008C"/>
    <w:rsid w:val="00A100B5"/>
    <w:rsid w:val="00A101E6"/>
    <w:rsid w:val="00A10225"/>
    <w:rsid w:val="00A10276"/>
    <w:rsid w:val="00A10293"/>
    <w:rsid w:val="00A102DD"/>
    <w:rsid w:val="00A10373"/>
    <w:rsid w:val="00A10383"/>
    <w:rsid w:val="00A10536"/>
    <w:rsid w:val="00A105D6"/>
    <w:rsid w:val="00A1060E"/>
    <w:rsid w:val="00A106D6"/>
    <w:rsid w:val="00A1090A"/>
    <w:rsid w:val="00A10974"/>
    <w:rsid w:val="00A1099C"/>
    <w:rsid w:val="00A109D2"/>
    <w:rsid w:val="00A10A6E"/>
    <w:rsid w:val="00A10D20"/>
    <w:rsid w:val="00A10D32"/>
    <w:rsid w:val="00A10DCD"/>
    <w:rsid w:val="00A10DD3"/>
    <w:rsid w:val="00A10EAC"/>
    <w:rsid w:val="00A10EBC"/>
    <w:rsid w:val="00A10F27"/>
    <w:rsid w:val="00A10F2A"/>
    <w:rsid w:val="00A10F48"/>
    <w:rsid w:val="00A11051"/>
    <w:rsid w:val="00A11081"/>
    <w:rsid w:val="00A110A6"/>
    <w:rsid w:val="00A11502"/>
    <w:rsid w:val="00A11536"/>
    <w:rsid w:val="00A11570"/>
    <w:rsid w:val="00A1157B"/>
    <w:rsid w:val="00A115A7"/>
    <w:rsid w:val="00A1175B"/>
    <w:rsid w:val="00A1179B"/>
    <w:rsid w:val="00A117B2"/>
    <w:rsid w:val="00A11807"/>
    <w:rsid w:val="00A11885"/>
    <w:rsid w:val="00A11920"/>
    <w:rsid w:val="00A11992"/>
    <w:rsid w:val="00A11A8A"/>
    <w:rsid w:val="00A11AAC"/>
    <w:rsid w:val="00A11B54"/>
    <w:rsid w:val="00A11BC5"/>
    <w:rsid w:val="00A11BF9"/>
    <w:rsid w:val="00A11C2B"/>
    <w:rsid w:val="00A11CA0"/>
    <w:rsid w:val="00A11D4F"/>
    <w:rsid w:val="00A11DA3"/>
    <w:rsid w:val="00A11DBE"/>
    <w:rsid w:val="00A11DC9"/>
    <w:rsid w:val="00A11F6C"/>
    <w:rsid w:val="00A11FC2"/>
    <w:rsid w:val="00A12013"/>
    <w:rsid w:val="00A12059"/>
    <w:rsid w:val="00A12140"/>
    <w:rsid w:val="00A1214C"/>
    <w:rsid w:val="00A12152"/>
    <w:rsid w:val="00A12212"/>
    <w:rsid w:val="00A1223B"/>
    <w:rsid w:val="00A122F4"/>
    <w:rsid w:val="00A124AB"/>
    <w:rsid w:val="00A12514"/>
    <w:rsid w:val="00A1253E"/>
    <w:rsid w:val="00A12557"/>
    <w:rsid w:val="00A12585"/>
    <w:rsid w:val="00A125CF"/>
    <w:rsid w:val="00A12662"/>
    <w:rsid w:val="00A1270A"/>
    <w:rsid w:val="00A12780"/>
    <w:rsid w:val="00A127B0"/>
    <w:rsid w:val="00A127F8"/>
    <w:rsid w:val="00A1293D"/>
    <w:rsid w:val="00A12949"/>
    <w:rsid w:val="00A12951"/>
    <w:rsid w:val="00A12955"/>
    <w:rsid w:val="00A129C0"/>
    <w:rsid w:val="00A129F3"/>
    <w:rsid w:val="00A129FA"/>
    <w:rsid w:val="00A12AE6"/>
    <w:rsid w:val="00A12B2E"/>
    <w:rsid w:val="00A12B70"/>
    <w:rsid w:val="00A12C29"/>
    <w:rsid w:val="00A12C5A"/>
    <w:rsid w:val="00A12CCD"/>
    <w:rsid w:val="00A12D38"/>
    <w:rsid w:val="00A12DB2"/>
    <w:rsid w:val="00A12EFD"/>
    <w:rsid w:val="00A12F69"/>
    <w:rsid w:val="00A12F9E"/>
    <w:rsid w:val="00A13048"/>
    <w:rsid w:val="00A13112"/>
    <w:rsid w:val="00A131B9"/>
    <w:rsid w:val="00A1321F"/>
    <w:rsid w:val="00A1328E"/>
    <w:rsid w:val="00A132B0"/>
    <w:rsid w:val="00A13333"/>
    <w:rsid w:val="00A13427"/>
    <w:rsid w:val="00A1343F"/>
    <w:rsid w:val="00A1350A"/>
    <w:rsid w:val="00A1358B"/>
    <w:rsid w:val="00A135B5"/>
    <w:rsid w:val="00A1360F"/>
    <w:rsid w:val="00A13620"/>
    <w:rsid w:val="00A136D9"/>
    <w:rsid w:val="00A136EC"/>
    <w:rsid w:val="00A13786"/>
    <w:rsid w:val="00A137A9"/>
    <w:rsid w:val="00A1380E"/>
    <w:rsid w:val="00A1382B"/>
    <w:rsid w:val="00A1390C"/>
    <w:rsid w:val="00A13976"/>
    <w:rsid w:val="00A139EF"/>
    <w:rsid w:val="00A13A7A"/>
    <w:rsid w:val="00A13AA5"/>
    <w:rsid w:val="00A13AFB"/>
    <w:rsid w:val="00A13B63"/>
    <w:rsid w:val="00A13C07"/>
    <w:rsid w:val="00A13CAC"/>
    <w:rsid w:val="00A13D63"/>
    <w:rsid w:val="00A13D76"/>
    <w:rsid w:val="00A13DA1"/>
    <w:rsid w:val="00A13DCF"/>
    <w:rsid w:val="00A13DEE"/>
    <w:rsid w:val="00A13E87"/>
    <w:rsid w:val="00A13EC5"/>
    <w:rsid w:val="00A13FED"/>
    <w:rsid w:val="00A14005"/>
    <w:rsid w:val="00A1402D"/>
    <w:rsid w:val="00A140BA"/>
    <w:rsid w:val="00A14212"/>
    <w:rsid w:val="00A142B5"/>
    <w:rsid w:val="00A14394"/>
    <w:rsid w:val="00A143B7"/>
    <w:rsid w:val="00A143E3"/>
    <w:rsid w:val="00A14499"/>
    <w:rsid w:val="00A144E4"/>
    <w:rsid w:val="00A14564"/>
    <w:rsid w:val="00A1477F"/>
    <w:rsid w:val="00A147E6"/>
    <w:rsid w:val="00A14808"/>
    <w:rsid w:val="00A14912"/>
    <w:rsid w:val="00A14944"/>
    <w:rsid w:val="00A1495E"/>
    <w:rsid w:val="00A1498B"/>
    <w:rsid w:val="00A14A2E"/>
    <w:rsid w:val="00A14B20"/>
    <w:rsid w:val="00A14C31"/>
    <w:rsid w:val="00A14D14"/>
    <w:rsid w:val="00A14DE6"/>
    <w:rsid w:val="00A14E2B"/>
    <w:rsid w:val="00A14F7C"/>
    <w:rsid w:val="00A14F8D"/>
    <w:rsid w:val="00A1502D"/>
    <w:rsid w:val="00A15079"/>
    <w:rsid w:val="00A150A9"/>
    <w:rsid w:val="00A150B9"/>
    <w:rsid w:val="00A150C3"/>
    <w:rsid w:val="00A152B1"/>
    <w:rsid w:val="00A152D2"/>
    <w:rsid w:val="00A153AC"/>
    <w:rsid w:val="00A1540F"/>
    <w:rsid w:val="00A15410"/>
    <w:rsid w:val="00A154A8"/>
    <w:rsid w:val="00A154B6"/>
    <w:rsid w:val="00A154EC"/>
    <w:rsid w:val="00A154F4"/>
    <w:rsid w:val="00A1564B"/>
    <w:rsid w:val="00A1568F"/>
    <w:rsid w:val="00A156DD"/>
    <w:rsid w:val="00A15854"/>
    <w:rsid w:val="00A159F2"/>
    <w:rsid w:val="00A15A43"/>
    <w:rsid w:val="00A15AE3"/>
    <w:rsid w:val="00A15BE7"/>
    <w:rsid w:val="00A15C67"/>
    <w:rsid w:val="00A15C7A"/>
    <w:rsid w:val="00A15D34"/>
    <w:rsid w:val="00A15DA0"/>
    <w:rsid w:val="00A15DC6"/>
    <w:rsid w:val="00A15E43"/>
    <w:rsid w:val="00A15E4B"/>
    <w:rsid w:val="00A15ED7"/>
    <w:rsid w:val="00A15EDC"/>
    <w:rsid w:val="00A15F7B"/>
    <w:rsid w:val="00A15FC4"/>
    <w:rsid w:val="00A160A7"/>
    <w:rsid w:val="00A160B0"/>
    <w:rsid w:val="00A1615A"/>
    <w:rsid w:val="00A161C4"/>
    <w:rsid w:val="00A16252"/>
    <w:rsid w:val="00A16317"/>
    <w:rsid w:val="00A16359"/>
    <w:rsid w:val="00A1644F"/>
    <w:rsid w:val="00A164F5"/>
    <w:rsid w:val="00A16554"/>
    <w:rsid w:val="00A165E7"/>
    <w:rsid w:val="00A16630"/>
    <w:rsid w:val="00A16665"/>
    <w:rsid w:val="00A1671B"/>
    <w:rsid w:val="00A16779"/>
    <w:rsid w:val="00A1679D"/>
    <w:rsid w:val="00A167F9"/>
    <w:rsid w:val="00A168BD"/>
    <w:rsid w:val="00A1694C"/>
    <w:rsid w:val="00A1695B"/>
    <w:rsid w:val="00A1697D"/>
    <w:rsid w:val="00A16993"/>
    <w:rsid w:val="00A169FA"/>
    <w:rsid w:val="00A16A12"/>
    <w:rsid w:val="00A16B5B"/>
    <w:rsid w:val="00A16E38"/>
    <w:rsid w:val="00A16E42"/>
    <w:rsid w:val="00A16EBB"/>
    <w:rsid w:val="00A16F1E"/>
    <w:rsid w:val="00A17041"/>
    <w:rsid w:val="00A1706B"/>
    <w:rsid w:val="00A17071"/>
    <w:rsid w:val="00A1710D"/>
    <w:rsid w:val="00A172A2"/>
    <w:rsid w:val="00A1732A"/>
    <w:rsid w:val="00A17338"/>
    <w:rsid w:val="00A1733D"/>
    <w:rsid w:val="00A174A9"/>
    <w:rsid w:val="00A174DE"/>
    <w:rsid w:val="00A1758A"/>
    <w:rsid w:val="00A175B4"/>
    <w:rsid w:val="00A1769F"/>
    <w:rsid w:val="00A1771A"/>
    <w:rsid w:val="00A17853"/>
    <w:rsid w:val="00A1791D"/>
    <w:rsid w:val="00A17CBB"/>
    <w:rsid w:val="00A17CC4"/>
    <w:rsid w:val="00A17D0D"/>
    <w:rsid w:val="00A17E97"/>
    <w:rsid w:val="00A17F68"/>
    <w:rsid w:val="00A17F81"/>
    <w:rsid w:val="00A17F98"/>
    <w:rsid w:val="00A17FBA"/>
    <w:rsid w:val="00A17FFA"/>
    <w:rsid w:val="00A200E4"/>
    <w:rsid w:val="00A200E9"/>
    <w:rsid w:val="00A20135"/>
    <w:rsid w:val="00A2014D"/>
    <w:rsid w:val="00A20156"/>
    <w:rsid w:val="00A201E0"/>
    <w:rsid w:val="00A2022E"/>
    <w:rsid w:val="00A20233"/>
    <w:rsid w:val="00A20329"/>
    <w:rsid w:val="00A20385"/>
    <w:rsid w:val="00A2045E"/>
    <w:rsid w:val="00A20487"/>
    <w:rsid w:val="00A204FF"/>
    <w:rsid w:val="00A20549"/>
    <w:rsid w:val="00A20833"/>
    <w:rsid w:val="00A20908"/>
    <w:rsid w:val="00A20958"/>
    <w:rsid w:val="00A20A9D"/>
    <w:rsid w:val="00A20AD1"/>
    <w:rsid w:val="00A20B01"/>
    <w:rsid w:val="00A20B25"/>
    <w:rsid w:val="00A20CB4"/>
    <w:rsid w:val="00A20CEE"/>
    <w:rsid w:val="00A20D53"/>
    <w:rsid w:val="00A20D84"/>
    <w:rsid w:val="00A20DBB"/>
    <w:rsid w:val="00A20E56"/>
    <w:rsid w:val="00A20E98"/>
    <w:rsid w:val="00A20EA7"/>
    <w:rsid w:val="00A20ED1"/>
    <w:rsid w:val="00A20F87"/>
    <w:rsid w:val="00A20FD6"/>
    <w:rsid w:val="00A20FF5"/>
    <w:rsid w:val="00A2103C"/>
    <w:rsid w:val="00A21255"/>
    <w:rsid w:val="00A21380"/>
    <w:rsid w:val="00A213A0"/>
    <w:rsid w:val="00A21453"/>
    <w:rsid w:val="00A21564"/>
    <w:rsid w:val="00A217F2"/>
    <w:rsid w:val="00A21904"/>
    <w:rsid w:val="00A21922"/>
    <w:rsid w:val="00A219FB"/>
    <w:rsid w:val="00A21A79"/>
    <w:rsid w:val="00A21C67"/>
    <w:rsid w:val="00A21D5E"/>
    <w:rsid w:val="00A21D72"/>
    <w:rsid w:val="00A21DDA"/>
    <w:rsid w:val="00A21DE1"/>
    <w:rsid w:val="00A21F73"/>
    <w:rsid w:val="00A2212C"/>
    <w:rsid w:val="00A221B7"/>
    <w:rsid w:val="00A22258"/>
    <w:rsid w:val="00A22292"/>
    <w:rsid w:val="00A222A0"/>
    <w:rsid w:val="00A222FD"/>
    <w:rsid w:val="00A222FF"/>
    <w:rsid w:val="00A22396"/>
    <w:rsid w:val="00A2243C"/>
    <w:rsid w:val="00A2243E"/>
    <w:rsid w:val="00A22450"/>
    <w:rsid w:val="00A224DF"/>
    <w:rsid w:val="00A224FA"/>
    <w:rsid w:val="00A22525"/>
    <w:rsid w:val="00A22702"/>
    <w:rsid w:val="00A22735"/>
    <w:rsid w:val="00A2273D"/>
    <w:rsid w:val="00A227B0"/>
    <w:rsid w:val="00A22889"/>
    <w:rsid w:val="00A228BB"/>
    <w:rsid w:val="00A22945"/>
    <w:rsid w:val="00A2295E"/>
    <w:rsid w:val="00A22992"/>
    <w:rsid w:val="00A22A50"/>
    <w:rsid w:val="00A22B66"/>
    <w:rsid w:val="00A22C30"/>
    <w:rsid w:val="00A22C98"/>
    <w:rsid w:val="00A22CFD"/>
    <w:rsid w:val="00A22D53"/>
    <w:rsid w:val="00A22D85"/>
    <w:rsid w:val="00A22ECE"/>
    <w:rsid w:val="00A22FEA"/>
    <w:rsid w:val="00A23164"/>
    <w:rsid w:val="00A2322A"/>
    <w:rsid w:val="00A23377"/>
    <w:rsid w:val="00A23398"/>
    <w:rsid w:val="00A233C9"/>
    <w:rsid w:val="00A2361C"/>
    <w:rsid w:val="00A23626"/>
    <w:rsid w:val="00A23700"/>
    <w:rsid w:val="00A237B5"/>
    <w:rsid w:val="00A237BF"/>
    <w:rsid w:val="00A2382D"/>
    <w:rsid w:val="00A23894"/>
    <w:rsid w:val="00A238B1"/>
    <w:rsid w:val="00A239A3"/>
    <w:rsid w:val="00A23A6A"/>
    <w:rsid w:val="00A23B30"/>
    <w:rsid w:val="00A23B59"/>
    <w:rsid w:val="00A23B9F"/>
    <w:rsid w:val="00A23C4C"/>
    <w:rsid w:val="00A23C78"/>
    <w:rsid w:val="00A23C84"/>
    <w:rsid w:val="00A23CAF"/>
    <w:rsid w:val="00A23E2E"/>
    <w:rsid w:val="00A23E99"/>
    <w:rsid w:val="00A23EEB"/>
    <w:rsid w:val="00A23F45"/>
    <w:rsid w:val="00A24096"/>
    <w:rsid w:val="00A24200"/>
    <w:rsid w:val="00A24375"/>
    <w:rsid w:val="00A2437B"/>
    <w:rsid w:val="00A243D9"/>
    <w:rsid w:val="00A2445B"/>
    <w:rsid w:val="00A24542"/>
    <w:rsid w:val="00A245B3"/>
    <w:rsid w:val="00A246BE"/>
    <w:rsid w:val="00A24704"/>
    <w:rsid w:val="00A247A9"/>
    <w:rsid w:val="00A2486C"/>
    <w:rsid w:val="00A248EB"/>
    <w:rsid w:val="00A24A79"/>
    <w:rsid w:val="00A24AAB"/>
    <w:rsid w:val="00A24AAF"/>
    <w:rsid w:val="00A24BA5"/>
    <w:rsid w:val="00A24CBF"/>
    <w:rsid w:val="00A24CDD"/>
    <w:rsid w:val="00A24D60"/>
    <w:rsid w:val="00A24D93"/>
    <w:rsid w:val="00A24DAE"/>
    <w:rsid w:val="00A24E27"/>
    <w:rsid w:val="00A2509D"/>
    <w:rsid w:val="00A2511F"/>
    <w:rsid w:val="00A25120"/>
    <w:rsid w:val="00A25224"/>
    <w:rsid w:val="00A2522D"/>
    <w:rsid w:val="00A25582"/>
    <w:rsid w:val="00A2561B"/>
    <w:rsid w:val="00A25682"/>
    <w:rsid w:val="00A25701"/>
    <w:rsid w:val="00A25760"/>
    <w:rsid w:val="00A257F1"/>
    <w:rsid w:val="00A25908"/>
    <w:rsid w:val="00A25968"/>
    <w:rsid w:val="00A259F8"/>
    <w:rsid w:val="00A25C2F"/>
    <w:rsid w:val="00A25C66"/>
    <w:rsid w:val="00A25D30"/>
    <w:rsid w:val="00A25DC5"/>
    <w:rsid w:val="00A26036"/>
    <w:rsid w:val="00A261B5"/>
    <w:rsid w:val="00A261BA"/>
    <w:rsid w:val="00A2626D"/>
    <w:rsid w:val="00A264BD"/>
    <w:rsid w:val="00A2650E"/>
    <w:rsid w:val="00A26579"/>
    <w:rsid w:val="00A265B6"/>
    <w:rsid w:val="00A2677C"/>
    <w:rsid w:val="00A267D0"/>
    <w:rsid w:val="00A267D3"/>
    <w:rsid w:val="00A26860"/>
    <w:rsid w:val="00A2686A"/>
    <w:rsid w:val="00A269A6"/>
    <w:rsid w:val="00A26A11"/>
    <w:rsid w:val="00A26A8C"/>
    <w:rsid w:val="00A26B0E"/>
    <w:rsid w:val="00A26C2E"/>
    <w:rsid w:val="00A26C78"/>
    <w:rsid w:val="00A26F18"/>
    <w:rsid w:val="00A26F1E"/>
    <w:rsid w:val="00A26F85"/>
    <w:rsid w:val="00A26FFB"/>
    <w:rsid w:val="00A27104"/>
    <w:rsid w:val="00A27167"/>
    <w:rsid w:val="00A2716E"/>
    <w:rsid w:val="00A27173"/>
    <w:rsid w:val="00A271F9"/>
    <w:rsid w:val="00A27216"/>
    <w:rsid w:val="00A27298"/>
    <w:rsid w:val="00A27334"/>
    <w:rsid w:val="00A27411"/>
    <w:rsid w:val="00A27435"/>
    <w:rsid w:val="00A2754C"/>
    <w:rsid w:val="00A27750"/>
    <w:rsid w:val="00A2777E"/>
    <w:rsid w:val="00A2778C"/>
    <w:rsid w:val="00A277A8"/>
    <w:rsid w:val="00A278E4"/>
    <w:rsid w:val="00A27A9A"/>
    <w:rsid w:val="00A27B32"/>
    <w:rsid w:val="00A27C58"/>
    <w:rsid w:val="00A27C5A"/>
    <w:rsid w:val="00A27C9A"/>
    <w:rsid w:val="00A27E4D"/>
    <w:rsid w:val="00A27F78"/>
    <w:rsid w:val="00A27FDF"/>
    <w:rsid w:val="00A27FE3"/>
    <w:rsid w:val="00A3000D"/>
    <w:rsid w:val="00A3005A"/>
    <w:rsid w:val="00A300B4"/>
    <w:rsid w:val="00A3012C"/>
    <w:rsid w:val="00A301B0"/>
    <w:rsid w:val="00A30241"/>
    <w:rsid w:val="00A302B8"/>
    <w:rsid w:val="00A30324"/>
    <w:rsid w:val="00A30366"/>
    <w:rsid w:val="00A303E9"/>
    <w:rsid w:val="00A303EC"/>
    <w:rsid w:val="00A303FC"/>
    <w:rsid w:val="00A305A0"/>
    <w:rsid w:val="00A3060B"/>
    <w:rsid w:val="00A307EE"/>
    <w:rsid w:val="00A30874"/>
    <w:rsid w:val="00A30960"/>
    <w:rsid w:val="00A30B5C"/>
    <w:rsid w:val="00A30D35"/>
    <w:rsid w:val="00A30D94"/>
    <w:rsid w:val="00A30E63"/>
    <w:rsid w:val="00A31043"/>
    <w:rsid w:val="00A3107E"/>
    <w:rsid w:val="00A312E5"/>
    <w:rsid w:val="00A313C0"/>
    <w:rsid w:val="00A314AF"/>
    <w:rsid w:val="00A31721"/>
    <w:rsid w:val="00A31754"/>
    <w:rsid w:val="00A318C3"/>
    <w:rsid w:val="00A31974"/>
    <w:rsid w:val="00A31ACF"/>
    <w:rsid w:val="00A31B02"/>
    <w:rsid w:val="00A31B36"/>
    <w:rsid w:val="00A31B4F"/>
    <w:rsid w:val="00A31CC8"/>
    <w:rsid w:val="00A31CC9"/>
    <w:rsid w:val="00A31D1F"/>
    <w:rsid w:val="00A31EF7"/>
    <w:rsid w:val="00A31F06"/>
    <w:rsid w:val="00A31FBE"/>
    <w:rsid w:val="00A32048"/>
    <w:rsid w:val="00A32138"/>
    <w:rsid w:val="00A3214E"/>
    <w:rsid w:val="00A32161"/>
    <w:rsid w:val="00A321C4"/>
    <w:rsid w:val="00A32201"/>
    <w:rsid w:val="00A322BC"/>
    <w:rsid w:val="00A32303"/>
    <w:rsid w:val="00A32345"/>
    <w:rsid w:val="00A323A5"/>
    <w:rsid w:val="00A323B6"/>
    <w:rsid w:val="00A324F4"/>
    <w:rsid w:val="00A3250B"/>
    <w:rsid w:val="00A325A7"/>
    <w:rsid w:val="00A325EA"/>
    <w:rsid w:val="00A3266C"/>
    <w:rsid w:val="00A3267C"/>
    <w:rsid w:val="00A326DF"/>
    <w:rsid w:val="00A326F0"/>
    <w:rsid w:val="00A3290D"/>
    <w:rsid w:val="00A32A3D"/>
    <w:rsid w:val="00A32C0F"/>
    <w:rsid w:val="00A32C94"/>
    <w:rsid w:val="00A32CDA"/>
    <w:rsid w:val="00A32CE2"/>
    <w:rsid w:val="00A32E3C"/>
    <w:rsid w:val="00A32E49"/>
    <w:rsid w:val="00A32E79"/>
    <w:rsid w:val="00A32EA6"/>
    <w:rsid w:val="00A32EAA"/>
    <w:rsid w:val="00A32EBE"/>
    <w:rsid w:val="00A32ED8"/>
    <w:rsid w:val="00A3303B"/>
    <w:rsid w:val="00A3311D"/>
    <w:rsid w:val="00A33124"/>
    <w:rsid w:val="00A3327F"/>
    <w:rsid w:val="00A332AE"/>
    <w:rsid w:val="00A333CD"/>
    <w:rsid w:val="00A333E4"/>
    <w:rsid w:val="00A333EB"/>
    <w:rsid w:val="00A3340E"/>
    <w:rsid w:val="00A3343F"/>
    <w:rsid w:val="00A33482"/>
    <w:rsid w:val="00A33496"/>
    <w:rsid w:val="00A334ED"/>
    <w:rsid w:val="00A3354C"/>
    <w:rsid w:val="00A335D8"/>
    <w:rsid w:val="00A336B2"/>
    <w:rsid w:val="00A33741"/>
    <w:rsid w:val="00A337F9"/>
    <w:rsid w:val="00A337FA"/>
    <w:rsid w:val="00A338A3"/>
    <w:rsid w:val="00A33C91"/>
    <w:rsid w:val="00A33D88"/>
    <w:rsid w:val="00A33D9B"/>
    <w:rsid w:val="00A33FC4"/>
    <w:rsid w:val="00A33FDC"/>
    <w:rsid w:val="00A34127"/>
    <w:rsid w:val="00A3418F"/>
    <w:rsid w:val="00A341D3"/>
    <w:rsid w:val="00A34333"/>
    <w:rsid w:val="00A3433D"/>
    <w:rsid w:val="00A343CB"/>
    <w:rsid w:val="00A3443E"/>
    <w:rsid w:val="00A34455"/>
    <w:rsid w:val="00A344BA"/>
    <w:rsid w:val="00A344BF"/>
    <w:rsid w:val="00A3462D"/>
    <w:rsid w:val="00A3479A"/>
    <w:rsid w:val="00A3480A"/>
    <w:rsid w:val="00A34868"/>
    <w:rsid w:val="00A348C0"/>
    <w:rsid w:val="00A34AC6"/>
    <w:rsid w:val="00A34BCC"/>
    <w:rsid w:val="00A34BE3"/>
    <w:rsid w:val="00A34D4F"/>
    <w:rsid w:val="00A34E03"/>
    <w:rsid w:val="00A34E9E"/>
    <w:rsid w:val="00A34EA4"/>
    <w:rsid w:val="00A34EAD"/>
    <w:rsid w:val="00A35008"/>
    <w:rsid w:val="00A350BD"/>
    <w:rsid w:val="00A35167"/>
    <w:rsid w:val="00A3522C"/>
    <w:rsid w:val="00A35256"/>
    <w:rsid w:val="00A35319"/>
    <w:rsid w:val="00A3537E"/>
    <w:rsid w:val="00A35409"/>
    <w:rsid w:val="00A3541C"/>
    <w:rsid w:val="00A3542E"/>
    <w:rsid w:val="00A3550A"/>
    <w:rsid w:val="00A3550D"/>
    <w:rsid w:val="00A355E0"/>
    <w:rsid w:val="00A35800"/>
    <w:rsid w:val="00A35868"/>
    <w:rsid w:val="00A3588C"/>
    <w:rsid w:val="00A35930"/>
    <w:rsid w:val="00A35983"/>
    <w:rsid w:val="00A35ABA"/>
    <w:rsid w:val="00A35CB8"/>
    <w:rsid w:val="00A35E51"/>
    <w:rsid w:val="00A35EBD"/>
    <w:rsid w:val="00A35ED8"/>
    <w:rsid w:val="00A35F38"/>
    <w:rsid w:val="00A35F7B"/>
    <w:rsid w:val="00A35F90"/>
    <w:rsid w:val="00A35F91"/>
    <w:rsid w:val="00A360DE"/>
    <w:rsid w:val="00A360E7"/>
    <w:rsid w:val="00A36115"/>
    <w:rsid w:val="00A3611C"/>
    <w:rsid w:val="00A362BB"/>
    <w:rsid w:val="00A3637B"/>
    <w:rsid w:val="00A36475"/>
    <w:rsid w:val="00A364C9"/>
    <w:rsid w:val="00A36626"/>
    <w:rsid w:val="00A36708"/>
    <w:rsid w:val="00A36797"/>
    <w:rsid w:val="00A367F2"/>
    <w:rsid w:val="00A367F3"/>
    <w:rsid w:val="00A368C7"/>
    <w:rsid w:val="00A36906"/>
    <w:rsid w:val="00A36910"/>
    <w:rsid w:val="00A3695E"/>
    <w:rsid w:val="00A3697D"/>
    <w:rsid w:val="00A36A59"/>
    <w:rsid w:val="00A36AD3"/>
    <w:rsid w:val="00A36B3B"/>
    <w:rsid w:val="00A36BCD"/>
    <w:rsid w:val="00A36BED"/>
    <w:rsid w:val="00A36C0C"/>
    <w:rsid w:val="00A36CE5"/>
    <w:rsid w:val="00A36CF6"/>
    <w:rsid w:val="00A36D04"/>
    <w:rsid w:val="00A36D86"/>
    <w:rsid w:val="00A36E43"/>
    <w:rsid w:val="00A36E93"/>
    <w:rsid w:val="00A36F7A"/>
    <w:rsid w:val="00A37044"/>
    <w:rsid w:val="00A37125"/>
    <w:rsid w:val="00A37463"/>
    <w:rsid w:val="00A3756C"/>
    <w:rsid w:val="00A37579"/>
    <w:rsid w:val="00A37642"/>
    <w:rsid w:val="00A37772"/>
    <w:rsid w:val="00A377EF"/>
    <w:rsid w:val="00A377FE"/>
    <w:rsid w:val="00A37919"/>
    <w:rsid w:val="00A37A85"/>
    <w:rsid w:val="00A37BF5"/>
    <w:rsid w:val="00A37C3D"/>
    <w:rsid w:val="00A37CEC"/>
    <w:rsid w:val="00A37D15"/>
    <w:rsid w:val="00A37E67"/>
    <w:rsid w:val="00A400A8"/>
    <w:rsid w:val="00A400C7"/>
    <w:rsid w:val="00A401B4"/>
    <w:rsid w:val="00A401E6"/>
    <w:rsid w:val="00A4021E"/>
    <w:rsid w:val="00A40250"/>
    <w:rsid w:val="00A403A1"/>
    <w:rsid w:val="00A403B6"/>
    <w:rsid w:val="00A4047A"/>
    <w:rsid w:val="00A40486"/>
    <w:rsid w:val="00A4048B"/>
    <w:rsid w:val="00A404CE"/>
    <w:rsid w:val="00A4054A"/>
    <w:rsid w:val="00A4054D"/>
    <w:rsid w:val="00A407B2"/>
    <w:rsid w:val="00A4092C"/>
    <w:rsid w:val="00A4098A"/>
    <w:rsid w:val="00A40A2C"/>
    <w:rsid w:val="00A40ACD"/>
    <w:rsid w:val="00A40C09"/>
    <w:rsid w:val="00A40C39"/>
    <w:rsid w:val="00A40CCB"/>
    <w:rsid w:val="00A40DB9"/>
    <w:rsid w:val="00A40DF8"/>
    <w:rsid w:val="00A40E7A"/>
    <w:rsid w:val="00A40E7F"/>
    <w:rsid w:val="00A40EF0"/>
    <w:rsid w:val="00A40F7F"/>
    <w:rsid w:val="00A40FFB"/>
    <w:rsid w:val="00A41128"/>
    <w:rsid w:val="00A41136"/>
    <w:rsid w:val="00A4114E"/>
    <w:rsid w:val="00A411CE"/>
    <w:rsid w:val="00A41295"/>
    <w:rsid w:val="00A413A6"/>
    <w:rsid w:val="00A41529"/>
    <w:rsid w:val="00A4176D"/>
    <w:rsid w:val="00A41882"/>
    <w:rsid w:val="00A418B0"/>
    <w:rsid w:val="00A418CA"/>
    <w:rsid w:val="00A4192F"/>
    <w:rsid w:val="00A4196C"/>
    <w:rsid w:val="00A41971"/>
    <w:rsid w:val="00A4198C"/>
    <w:rsid w:val="00A419BC"/>
    <w:rsid w:val="00A41BAF"/>
    <w:rsid w:val="00A41C27"/>
    <w:rsid w:val="00A41C4E"/>
    <w:rsid w:val="00A41C62"/>
    <w:rsid w:val="00A41C82"/>
    <w:rsid w:val="00A41C96"/>
    <w:rsid w:val="00A41CD5"/>
    <w:rsid w:val="00A41D36"/>
    <w:rsid w:val="00A41D60"/>
    <w:rsid w:val="00A41DE8"/>
    <w:rsid w:val="00A41F02"/>
    <w:rsid w:val="00A41F80"/>
    <w:rsid w:val="00A41FD2"/>
    <w:rsid w:val="00A420D5"/>
    <w:rsid w:val="00A420D7"/>
    <w:rsid w:val="00A42175"/>
    <w:rsid w:val="00A421AE"/>
    <w:rsid w:val="00A421E1"/>
    <w:rsid w:val="00A42364"/>
    <w:rsid w:val="00A4242A"/>
    <w:rsid w:val="00A4246A"/>
    <w:rsid w:val="00A42480"/>
    <w:rsid w:val="00A424C0"/>
    <w:rsid w:val="00A425EB"/>
    <w:rsid w:val="00A4260C"/>
    <w:rsid w:val="00A426AC"/>
    <w:rsid w:val="00A42764"/>
    <w:rsid w:val="00A427B1"/>
    <w:rsid w:val="00A4286A"/>
    <w:rsid w:val="00A4294C"/>
    <w:rsid w:val="00A429DE"/>
    <w:rsid w:val="00A42A14"/>
    <w:rsid w:val="00A42A6A"/>
    <w:rsid w:val="00A42A80"/>
    <w:rsid w:val="00A42AA6"/>
    <w:rsid w:val="00A42AB1"/>
    <w:rsid w:val="00A42AB5"/>
    <w:rsid w:val="00A42B08"/>
    <w:rsid w:val="00A42B15"/>
    <w:rsid w:val="00A42B50"/>
    <w:rsid w:val="00A42B57"/>
    <w:rsid w:val="00A42B5B"/>
    <w:rsid w:val="00A42C93"/>
    <w:rsid w:val="00A42CB7"/>
    <w:rsid w:val="00A42D42"/>
    <w:rsid w:val="00A42D55"/>
    <w:rsid w:val="00A42F9E"/>
    <w:rsid w:val="00A43024"/>
    <w:rsid w:val="00A430B8"/>
    <w:rsid w:val="00A432D0"/>
    <w:rsid w:val="00A43457"/>
    <w:rsid w:val="00A434B0"/>
    <w:rsid w:val="00A436AC"/>
    <w:rsid w:val="00A438AA"/>
    <w:rsid w:val="00A438ED"/>
    <w:rsid w:val="00A43AFA"/>
    <w:rsid w:val="00A43C32"/>
    <w:rsid w:val="00A43CE9"/>
    <w:rsid w:val="00A43DAB"/>
    <w:rsid w:val="00A43DB4"/>
    <w:rsid w:val="00A43E4E"/>
    <w:rsid w:val="00A43EB8"/>
    <w:rsid w:val="00A43FDE"/>
    <w:rsid w:val="00A4410D"/>
    <w:rsid w:val="00A44166"/>
    <w:rsid w:val="00A4416D"/>
    <w:rsid w:val="00A44192"/>
    <w:rsid w:val="00A441F5"/>
    <w:rsid w:val="00A44245"/>
    <w:rsid w:val="00A44255"/>
    <w:rsid w:val="00A442C0"/>
    <w:rsid w:val="00A4431B"/>
    <w:rsid w:val="00A44435"/>
    <w:rsid w:val="00A4443E"/>
    <w:rsid w:val="00A4468C"/>
    <w:rsid w:val="00A44721"/>
    <w:rsid w:val="00A44765"/>
    <w:rsid w:val="00A447BD"/>
    <w:rsid w:val="00A447CC"/>
    <w:rsid w:val="00A44834"/>
    <w:rsid w:val="00A4493A"/>
    <w:rsid w:val="00A449BB"/>
    <w:rsid w:val="00A449E2"/>
    <w:rsid w:val="00A44BAB"/>
    <w:rsid w:val="00A44BAD"/>
    <w:rsid w:val="00A44C12"/>
    <w:rsid w:val="00A44C25"/>
    <w:rsid w:val="00A44C7A"/>
    <w:rsid w:val="00A44CFF"/>
    <w:rsid w:val="00A44DCB"/>
    <w:rsid w:val="00A44F4A"/>
    <w:rsid w:val="00A45094"/>
    <w:rsid w:val="00A45116"/>
    <w:rsid w:val="00A4514F"/>
    <w:rsid w:val="00A45161"/>
    <w:rsid w:val="00A4516D"/>
    <w:rsid w:val="00A451D0"/>
    <w:rsid w:val="00A45260"/>
    <w:rsid w:val="00A4527D"/>
    <w:rsid w:val="00A45339"/>
    <w:rsid w:val="00A453FA"/>
    <w:rsid w:val="00A45467"/>
    <w:rsid w:val="00A454DF"/>
    <w:rsid w:val="00A45555"/>
    <w:rsid w:val="00A45581"/>
    <w:rsid w:val="00A455BC"/>
    <w:rsid w:val="00A4563E"/>
    <w:rsid w:val="00A456E2"/>
    <w:rsid w:val="00A4573D"/>
    <w:rsid w:val="00A4581E"/>
    <w:rsid w:val="00A45968"/>
    <w:rsid w:val="00A459CF"/>
    <w:rsid w:val="00A459E1"/>
    <w:rsid w:val="00A459F5"/>
    <w:rsid w:val="00A45B70"/>
    <w:rsid w:val="00A45C51"/>
    <w:rsid w:val="00A45C7D"/>
    <w:rsid w:val="00A45D51"/>
    <w:rsid w:val="00A45D85"/>
    <w:rsid w:val="00A45DCF"/>
    <w:rsid w:val="00A45EC8"/>
    <w:rsid w:val="00A45EE8"/>
    <w:rsid w:val="00A45F5C"/>
    <w:rsid w:val="00A45F9A"/>
    <w:rsid w:val="00A45F9E"/>
    <w:rsid w:val="00A46054"/>
    <w:rsid w:val="00A4619C"/>
    <w:rsid w:val="00A461A2"/>
    <w:rsid w:val="00A4624F"/>
    <w:rsid w:val="00A4627B"/>
    <w:rsid w:val="00A462A1"/>
    <w:rsid w:val="00A462CB"/>
    <w:rsid w:val="00A46332"/>
    <w:rsid w:val="00A463E5"/>
    <w:rsid w:val="00A464AB"/>
    <w:rsid w:val="00A466B9"/>
    <w:rsid w:val="00A46726"/>
    <w:rsid w:val="00A4680B"/>
    <w:rsid w:val="00A468A9"/>
    <w:rsid w:val="00A468D5"/>
    <w:rsid w:val="00A468DF"/>
    <w:rsid w:val="00A46923"/>
    <w:rsid w:val="00A46A4C"/>
    <w:rsid w:val="00A46D09"/>
    <w:rsid w:val="00A46E3F"/>
    <w:rsid w:val="00A4704A"/>
    <w:rsid w:val="00A47084"/>
    <w:rsid w:val="00A470FC"/>
    <w:rsid w:val="00A47178"/>
    <w:rsid w:val="00A4733A"/>
    <w:rsid w:val="00A47376"/>
    <w:rsid w:val="00A47465"/>
    <w:rsid w:val="00A474B2"/>
    <w:rsid w:val="00A47500"/>
    <w:rsid w:val="00A4751C"/>
    <w:rsid w:val="00A47603"/>
    <w:rsid w:val="00A47637"/>
    <w:rsid w:val="00A476CD"/>
    <w:rsid w:val="00A4771E"/>
    <w:rsid w:val="00A47845"/>
    <w:rsid w:val="00A478A2"/>
    <w:rsid w:val="00A478BA"/>
    <w:rsid w:val="00A47922"/>
    <w:rsid w:val="00A47978"/>
    <w:rsid w:val="00A479E5"/>
    <w:rsid w:val="00A47A17"/>
    <w:rsid w:val="00A47A43"/>
    <w:rsid w:val="00A47A83"/>
    <w:rsid w:val="00A47AF2"/>
    <w:rsid w:val="00A47B0B"/>
    <w:rsid w:val="00A47B6C"/>
    <w:rsid w:val="00A47B6E"/>
    <w:rsid w:val="00A47B94"/>
    <w:rsid w:val="00A50027"/>
    <w:rsid w:val="00A5006E"/>
    <w:rsid w:val="00A500E7"/>
    <w:rsid w:val="00A50111"/>
    <w:rsid w:val="00A5011E"/>
    <w:rsid w:val="00A5023F"/>
    <w:rsid w:val="00A5031E"/>
    <w:rsid w:val="00A5032E"/>
    <w:rsid w:val="00A50392"/>
    <w:rsid w:val="00A50475"/>
    <w:rsid w:val="00A504DD"/>
    <w:rsid w:val="00A505B6"/>
    <w:rsid w:val="00A50640"/>
    <w:rsid w:val="00A507D3"/>
    <w:rsid w:val="00A50814"/>
    <w:rsid w:val="00A508BD"/>
    <w:rsid w:val="00A509A5"/>
    <w:rsid w:val="00A50A25"/>
    <w:rsid w:val="00A50A34"/>
    <w:rsid w:val="00A50B4C"/>
    <w:rsid w:val="00A50BCE"/>
    <w:rsid w:val="00A50C07"/>
    <w:rsid w:val="00A50E13"/>
    <w:rsid w:val="00A50E3E"/>
    <w:rsid w:val="00A5100F"/>
    <w:rsid w:val="00A510BB"/>
    <w:rsid w:val="00A5115F"/>
    <w:rsid w:val="00A511B6"/>
    <w:rsid w:val="00A511C0"/>
    <w:rsid w:val="00A5124A"/>
    <w:rsid w:val="00A512EE"/>
    <w:rsid w:val="00A51439"/>
    <w:rsid w:val="00A5144E"/>
    <w:rsid w:val="00A514BC"/>
    <w:rsid w:val="00A51598"/>
    <w:rsid w:val="00A515C3"/>
    <w:rsid w:val="00A515FB"/>
    <w:rsid w:val="00A51645"/>
    <w:rsid w:val="00A5170F"/>
    <w:rsid w:val="00A51724"/>
    <w:rsid w:val="00A51763"/>
    <w:rsid w:val="00A51797"/>
    <w:rsid w:val="00A51900"/>
    <w:rsid w:val="00A51985"/>
    <w:rsid w:val="00A51A0E"/>
    <w:rsid w:val="00A51A46"/>
    <w:rsid w:val="00A51AB2"/>
    <w:rsid w:val="00A51E2B"/>
    <w:rsid w:val="00A51E47"/>
    <w:rsid w:val="00A51FDD"/>
    <w:rsid w:val="00A52055"/>
    <w:rsid w:val="00A521CC"/>
    <w:rsid w:val="00A52201"/>
    <w:rsid w:val="00A52204"/>
    <w:rsid w:val="00A5220F"/>
    <w:rsid w:val="00A522AA"/>
    <w:rsid w:val="00A522C5"/>
    <w:rsid w:val="00A5236F"/>
    <w:rsid w:val="00A52370"/>
    <w:rsid w:val="00A5240C"/>
    <w:rsid w:val="00A5242C"/>
    <w:rsid w:val="00A524A4"/>
    <w:rsid w:val="00A524AB"/>
    <w:rsid w:val="00A525EB"/>
    <w:rsid w:val="00A52603"/>
    <w:rsid w:val="00A52606"/>
    <w:rsid w:val="00A526E8"/>
    <w:rsid w:val="00A5271A"/>
    <w:rsid w:val="00A5274A"/>
    <w:rsid w:val="00A527C8"/>
    <w:rsid w:val="00A528D3"/>
    <w:rsid w:val="00A5296B"/>
    <w:rsid w:val="00A52A48"/>
    <w:rsid w:val="00A52A49"/>
    <w:rsid w:val="00A52B20"/>
    <w:rsid w:val="00A52B35"/>
    <w:rsid w:val="00A52BFE"/>
    <w:rsid w:val="00A52C31"/>
    <w:rsid w:val="00A52CD4"/>
    <w:rsid w:val="00A52E28"/>
    <w:rsid w:val="00A52EC3"/>
    <w:rsid w:val="00A52F2E"/>
    <w:rsid w:val="00A52F91"/>
    <w:rsid w:val="00A52FD2"/>
    <w:rsid w:val="00A5304C"/>
    <w:rsid w:val="00A530A4"/>
    <w:rsid w:val="00A5311B"/>
    <w:rsid w:val="00A5319C"/>
    <w:rsid w:val="00A53305"/>
    <w:rsid w:val="00A53317"/>
    <w:rsid w:val="00A5335B"/>
    <w:rsid w:val="00A53420"/>
    <w:rsid w:val="00A53486"/>
    <w:rsid w:val="00A5365F"/>
    <w:rsid w:val="00A537AA"/>
    <w:rsid w:val="00A5388F"/>
    <w:rsid w:val="00A539EE"/>
    <w:rsid w:val="00A539F5"/>
    <w:rsid w:val="00A53B2B"/>
    <w:rsid w:val="00A53C0E"/>
    <w:rsid w:val="00A53CD8"/>
    <w:rsid w:val="00A53CDD"/>
    <w:rsid w:val="00A53D00"/>
    <w:rsid w:val="00A53D0E"/>
    <w:rsid w:val="00A53EB1"/>
    <w:rsid w:val="00A53EC0"/>
    <w:rsid w:val="00A53F47"/>
    <w:rsid w:val="00A5405C"/>
    <w:rsid w:val="00A541C8"/>
    <w:rsid w:val="00A541E0"/>
    <w:rsid w:val="00A54206"/>
    <w:rsid w:val="00A5427A"/>
    <w:rsid w:val="00A543F7"/>
    <w:rsid w:val="00A54525"/>
    <w:rsid w:val="00A54590"/>
    <w:rsid w:val="00A545B7"/>
    <w:rsid w:val="00A547E8"/>
    <w:rsid w:val="00A54873"/>
    <w:rsid w:val="00A5489B"/>
    <w:rsid w:val="00A5496E"/>
    <w:rsid w:val="00A54A2F"/>
    <w:rsid w:val="00A54B08"/>
    <w:rsid w:val="00A54B8C"/>
    <w:rsid w:val="00A54C2E"/>
    <w:rsid w:val="00A54C5B"/>
    <w:rsid w:val="00A54CB5"/>
    <w:rsid w:val="00A54D2E"/>
    <w:rsid w:val="00A54D51"/>
    <w:rsid w:val="00A54D54"/>
    <w:rsid w:val="00A54D9E"/>
    <w:rsid w:val="00A54E25"/>
    <w:rsid w:val="00A54E96"/>
    <w:rsid w:val="00A54EB3"/>
    <w:rsid w:val="00A55065"/>
    <w:rsid w:val="00A550D1"/>
    <w:rsid w:val="00A550E3"/>
    <w:rsid w:val="00A552E9"/>
    <w:rsid w:val="00A55367"/>
    <w:rsid w:val="00A553AC"/>
    <w:rsid w:val="00A55439"/>
    <w:rsid w:val="00A5549D"/>
    <w:rsid w:val="00A554B0"/>
    <w:rsid w:val="00A555B5"/>
    <w:rsid w:val="00A5573F"/>
    <w:rsid w:val="00A55780"/>
    <w:rsid w:val="00A55790"/>
    <w:rsid w:val="00A557B3"/>
    <w:rsid w:val="00A5582C"/>
    <w:rsid w:val="00A5583B"/>
    <w:rsid w:val="00A5589E"/>
    <w:rsid w:val="00A558A9"/>
    <w:rsid w:val="00A558D0"/>
    <w:rsid w:val="00A5590F"/>
    <w:rsid w:val="00A55950"/>
    <w:rsid w:val="00A559A6"/>
    <w:rsid w:val="00A559B3"/>
    <w:rsid w:val="00A55A49"/>
    <w:rsid w:val="00A55A53"/>
    <w:rsid w:val="00A55A7E"/>
    <w:rsid w:val="00A55CA7"/>
    <w:rsid w:val="00A55E03"/>
    <w:rsid w:val="00A55E23"/>
    <w:rsid w:val="00A55EB0"/>
    <w:rsid w:val="00A55ED3"/>
    <w:rsid w:val="00A55F1A"/>
    <w:rsid w:val="00A5609F"/>
    <w:rsid w:val="00A56165"/>
    <w:rsid w:val="00A561BF"/>
    <w:rsid w:val="00A5625C"/>
    <w:rsid w:val="00A5638F"/>
    <w:rsid w:val="00A56422"/>
    <w:rsid w:val="00A56444"/>
    <w:rsid w:val="00A565FC"/>
    <w:rsid w:val="00A5665B"/>
    <w:rsid w:val="00A56688"/>
    <w:rsid w:val="00A5670F"/>
    <w:rsid w:val="00A56775"/>
    <w:rsid w:val="00A567A1"/>
    <w:rsid w:val="00A56A74"/>
    <w:rsid w:val="00A56ADC"/>
    <w:rsid w:val="00A56AF2"/>
    <w:rsid w:val="00A56B45"/>
    <w:rsid w:val="00A56BC3"/>
    <w:rsid w:val="00A56C55"/>
    <w:rsid w:val="00A56CCA"/>
    <w:rsid w:val="00A56D2E"/>
    <w:rsid w:val="00A56D71"/>
    <w:rsid w:val="00A56DEC"/>
    <w:rsid w:val="00A56F35"/>
    <w:rsid w:val="00A57033"/>
    <w:rsid w:val="00A570C1"/>
    <w:rsid w:val="00A570C4"/>
    <w:rsid w:val="00A570EA"/>
    <w:rsid w:val="00A5714D"/>
    <w:rsid w:val="00A572F6"/>
    <w:rsid w:val="00A57344"/>
    <w:rsid w:val="00A573F8"/>
    <w:rsid w:val="00A574B5"/>
    <w:rsid w:val="00A574C4"/>
    <w:rsid w:val="00A5753A"/>
    <w:rsid w:val="00A57586"/>
    <w:rsid w:val="00A575D8"/>
    <w:rsid w:val="00A57717"/>
    <w:rsid w:val="00A57856"/>
    <w:rsid w:val="00A57947"/>
    <w:rsid w:val="00A57A72"/>
    <w:rsid w:val="00A57AF8"/>
    <w:rsid w:val="00A57C19"/>
    <w:rsid w:val="00A57C73"/>
    <w:rsid w:val="00A57D69"/>
    <w:rsid w:val="00A57E0F"/>
    <w:rsid w:val="00A57F47"/>
    <w:rsid w:val="00A57FC7"/>
    <w:rsid w:val="00A57FF7"/>
    <w:rsid w:val="00A60034"/>
    <w:rsid w:val="00A60073"/>
    <w:rsid w:val="00A60174"/>
    <w:rsid w:val="00A601A8"/>
    <w:rsid w:val="00A60268"/>
    <w:rsid w:val="00A602D4"/>
    <w:rsid w:val="00A60412"/>
    <w:rsid w:val="00A60463"/>
    <w:rsid w:val="00A60489"/>
    <w:rsid w:val="00A60581"/>
    <w:rsid w:val="00A60608"/>
    <w:rsid w:val="00A6068B"/>
    <w:rsid w:val="00A606C3"/>
    <w:rsid w:val="00A606C7"/>
    <w:rsid w:val="00A60739"/>
    <w:rsid w:val="00A60777"/>
    <w:rsid w:val="00A60810"/>
    <w:rsid w:val="00A6081C"/>
    <w:rsid w:val="00A60985"/>
    <w:rsid w:val="00A60A67"/>
    <w:rsid w:val="00A60A8E"/>
    <w:rsid w:val="00A60B07"/>
    <w:rsid w:val="00A60B2E"/>
    <w:rsid w:val="00A60B88"/>
    <w:rsid w:val="00A60B8A"/>
    <w:rsid w:val="00A60BE9"/>
    <w:rsid w:val="00A60C96"/>
    <w:rsid w:val="00A60D94"/>
    <w:rsid w:val="00A60D98"/>
    <w:rsid w:val="00A60DAA"/>
    <w:rsid w:val="00A60E22"/>
    <w:rsid w:val="00A60E83"/>
    <w:rsid w:val="00A60EDB"/>
    <w:rsid w:val="00A60F22"/>
    <w:rsid w:val="00A60F48"/>
    <w:rsid w:val="00A61153"/>
    <w:rsid w:val="00A61169"/>
    <w:rsid w:val="00A6126A"/>
    <w:rsid w:val="00A61315"/>
    <w:rsid w:val="00A61394"/>
    <w:rsid w:val="00A614CD"/>
    <w:rsid w:val="00A6156E"/>
    <w:rsid w:val="00A61625"/>
    <w:rsid w:val="00A61628"/>
    <w:rsid w:val="00A61633"/>
    <w:rsid w:val="00A61694"/>
    <w:rsid w:val="00A616CE"/>
    <w:rsid w:val="00A61788"/>
    <w:rsid w:val="00A61862"/>
    <w:rsid w:val="00A61A43"/>
    <w:rsid w:val="00A61A56"/>
    <w:rsid w:val="00A61A86"/>
    <w:rsid w:val="00A61C05"/>
    <w:rsid w:val="00A61C72"/>
    <w:rsid w:val="00A61CC8"/>
    <w:rsid w:val="00A61CFE"/>
    <w:rsid w:val="00A61D08"/>
    <w:rsid w:val="00A61E32"/>
    <w:rsid w:val="00A61E72"/>
    <w:rsid w:val="00A61E78"/>
    <w:rsid w:val="00A61F52"/>
    <w:rsid w:val="00A61FF1"/>
    <w:rsid w:val="00A620D2"/>
    <w:rsid w:val="00A621D5"/>
    <w:rsid w:val="00A621F5"/>
    <w:rsid w:val="00A62245"/>
    <w:rsid w:val="00A6241D"/>
    <w:rsid w:val="00A6255C"/>
    <w:rsid w:val="00A62602"/>
    <w:rsid w:val="00A62A25"/>
    <w:rsid w:val="00A62AB7"/>
    <w:rsid w:val="00A62ACD"/>
    <w:rsid w:val="00A62B4A"/>
    <w:rsid w:val="00A62BFB"/>
    <w:rsid w:val="00A62D0C"/>
    <w:rsid w:val="00A62D3C"/>
    <w:rsid w:val="00A62D5C"/>
    <w:rsid w:val="00A62D62"/>
    <w:rsid w:val="00A62D75"/>
    <w:rsid w:val="00A62EEE"/>
    <w:rsid w:val="00A62F03"/>
    <w:rsid w:val="00A62F39"/>
    <w:rsid w:val="00A630F3"/>
    <w:rsid w:val="00A63184"/>
    <w:rsid w:val="00A63343"/>
    <w:rsid w:val="00A63474"/>
    <w:rsid w:val="00A63490"/>
    <w:rsid w:val="00A634B0"/>
    <w:rsid w:val="00A634E5"/>
    <w:rsid w:val="00A63667"/>
    <w:rsid w:val="00A63687"/>
    <w:rsid w:val="00A636FC"/>
    <w:rsid w:val="00A63714"/>
    <w:rsid w:val="00A6374C"/>
    <w:rsid w:val="00A637C6"/>
    <w:rsid w:val="00A63868"/>
    <w:rsid w:val="00A63877"/>
    <w:rsid w:val="00A6394B"/>
    <w:rsid w:val="00A6398F"/>
    <w:rsid w:val="00A639FD"/>
    <w:rsid w:val="00A63ADF"/>
    <w:rsid w:val="00A63AF8"/>
    <w:rsid w:val="00A63BB9"/>
    <w:rsid w:val="00A63BD9"/>
    <w:rsid w:val="00A63BE4"/>
    <w:rsid w:val="00A63CDC"/>
    <w:rsid w:val="00A63EA1"/>
    <w:rsid w:val="00A63F6C"/>
    <w:rsid w:val="00A64054"/>
    <w:rsid w:val="00A640DF"/>
    <w:rsid w:val="00A640F9"/>
    <w:rsid w:val="00A64156"/>
    <w:rsid w:val="00A641D0"/>
    <w:rsid w:val="00A64297"/>
    <w:rsid w:val="00A64421"/>
    <w:rsid w:val="00A64583"/>
    <w:rsid w:val="00A64792"/>
    <w:rsid w:val="00A647D4"/>
    <w:rsid w:val="00A64904"/>
    <w:rsid w:val="00A64976"/>
    <w:rsid w:val="00A649C9"/>
    <w:rsid w:val="00A64EB5"/>
    <w:rsid w:val="00A64ED9"/>
    <w:rsid w:val="00A64F86"/>
    <w:rsid w:val="00A650A2"/>
    <w:rsid w:val="00A650A8"/>
    <w:rsid w:val="00A65120"/>
    <w:rsid w:val="00A65144"/>
    <w:rsid w:val="00A65214"/>
    <w:rsid w:val="00A6522A"/>
    <w:rsid w:val="00A6527E"/>
    <w:rsid w:val="00A65300"/>
    <w:rsid w:val="00A6547D"/>
    <w:rsid w:val="00A65482"/>
    <w:rsid w:val="00A655D2"/>
    <w:rsid w:val="00A65635"/>
    <w:rsid w:val="00A656A5"/>
    <w:rsid w:val="00A6571E"/>
    <w:rsid w:val="00A657BF"/>
    <w:rsid w:val="00A657D9"/>
    <w:rsid w:val="00A659C5"/>
    <w:rsid w:val="00A65A11"/>
    <w:rsid w:val="00A65AB1"/>
    <w:rsid w:val="00A65C44"/>
    <w:rsid w:val="00A65C46"/>
    <w:rsid w:val="00A65C4E"/>
    <w:rsid w:val="00A65D21"/>
    <w:rsid w:val="00A65D29"/>
    <w:rsid w:val="00A65D4A"/>
    <w:rsid w:val="00A66000"/>
    <w:rsid w:val="00A660EE"/>
    <w:rsid w:val="00A661A8"/>
    <w:rsid w:val="00A66315"/>
    <w:rsid w:val="00A66379"/>
    <w:rsid w:val="00A66400"/>
    <w:rsid w:val="00A6648D"/>
    <w:rsid w:val="00A664F2"/>
    <w:rsid w:val="00A664F7"/>
    <w:rsid w:val="00A6650D"/>
    <w:rsid w:val="00A6656C"/>
    <w:rsid w:val="00A665A3"/>
    <w:rsid w:val="00A665F3"/>
    <w:rsid w:val="00A66645"/>
    <w:rsid w:val="00A66655"/>
    <w:rsid w:val="00A667E1"/>
    <w:rsid w:val="00A6696C"/>
    <w:rsid w:val="00A66978"/>
    <w:rsid w:val="00A669D7"/>
    <w:rsid w:val="00A66A46"/>
    <w:rsid w:val="00A66A8A"/>
    <w:rsid w:val="00A66C33"/>
    <w:rsid w:val="00A66CEA"/>
    <w:rsid w:val="00A66D42"/>
    <w:rsid w:val="00A66D54"/>
    <w:rsid w:val="00A66D60"/>
    <w:rsid w:val="00A66E0E"/>
    <w:rsid w:val="00A66EF6"/>
    <w:rsid w:val="00A66F75"/>
    <w:rsid w:val="00A66F81"/>
    <w:rsid w:val="00A670A0"/>
    <w:rsid w:val="00A670BC"/>
    <w:rsid w:val="00A67104"/>
    <w:rsid w:val="00A67127"/>
    <w:rsid w:val="00A6714D"/>
    <w:rsid w:val="00A672F4"/>
    <w:rsid w:val="00A673E5"/>
    <w:rsid w:val="00A67599"/>
    <w:rsid w:val="00A675BA"/>
    <w:rsid w:val="00A6766E"/>
    <w:rsid w:val="00A67670"/>
    <w:rsid w:val="00A676B2"/>
    <w:rsid w:val="00A67737"/>
    <w:rsid w:val="00A6782C"/>
    <w:rsid w:val="00A6788B"/>
    <w:rsid w:val="00A678E9"/>
    <w:rsid w:val="00A67947"/>
    <w:rsid w:val="00A67A0A"/>
    <w:rsid w:val="00A67AFC"/>
    <w:rsid w:val="00A67D34"/>
    <w:rsid w:val="00A67D61"/>
    <w:rsid w:val="00A67D64"/>
    <w:rsid w:val="00A67EAE"/>
    <w:rsid w:val="00A67F37"/>
    <w:rsid w:val="00A67FCA"/>
    <w:rsid w:val="00A70115"/>
    <w:rsid w:val="00A70191"/>
    <w:rsid w:val="00A70200"/>
    <w:rsid w:val="00A7026E"/>
    <w:rsid w:val="00A702F8"/>
    <w:rsid w:val="00A703C8"/>
    <w:rsid w:val="00A70480"/>
    <w:rsid w:val="00A70529"/>
    <w:rsid w:val="00A70595"/>
    <w:rsid w:val="00A70597"/>
    <w:rsid w:val="00A70694"/>
    <w:rsid w:val="00A7075B"/>
    <w:rsid w:val="00A70769"/>
    <w:rsid w:val="00A70828"/>
    <w:rsid w:val="00A708D6"/>
    <w:rsid w:val="00A70924"/>
    <w:rsid w:val="00A709A4"/>
    <w:rsid w:val="00A70A8B"/>
    <w:rsid w:val="00A70B72"/>
    <w:rsid w:val="00A70C3C"/>
    <w:rsid w:val="00A70C3D"/>
    <w:rsid w:val="00A70C8B"/>
    <w:rsid w:val="00A70DE3"/>
    <w:rsid w:val="00A70DF4"/>
    <w:rsid w:val="00A70EB8"/>
    <w:rsid w:val="00A70ED9"/>
    <w:rsid w:val="00A711A1"/>
    <w:rsid w:val="00A7148B"/>
    <w:rsid w:val="00A715F1"/>
    <w:rsid w:val="00A7162B"/>
    <w:rsid w:val="00A716A3"/>
    <w:rsid w:val="00A71724"/>
    <w:rsid w:val="00A7173A"/>
    <w:rsid w:val="00A71757"/>
    <w:rsid w:val="00A71792"/>
    <w:rsid w:val="00A717CD"/>
    <w:rsid w:val="00A7180D"/>
    <w:rsid w:val="00A71868"/>
    <w:rsid w:val="00A718D3"/>
    <w:rsid w:val="00A7193A"/>
    <w:rsid w:val="00A7194B"/>
    <w:rsid w:val="00A7197C"/>
    <w:rsid w:val="00A71989"/>
    <w:rsid w:val="00A71AAD"/>
    <w:rsid w:val="00A71BE0"/>
    <w:rsid w:val="00A71D6E"/>
    <w:rsid w:val="00A71E0C"/>
    <w:rsid w:val="00A71E1D"/>
    <w:rsid w:val="00A71ECB"/>
    <w:rsid w:val="00A71FB0"/>
    <w:rsid w:val="00A71FBD"/>
    <w:rsid w:val="00A72075"/>
    <w:rsid w:val="00A72273"/>
    <w:rsid w:val="00A72312"/>
    <w:rsid w:val="00A7231D"/>
    <w:rsid w:val="00A72329"/>
    <w:rsid w:val="00A7256D"/>
    <w:rsid w:val="00A72778"/>
    <w:rsid w:val="00A7284B"/>
    <w:rsid w:val="00A72992"/>
    <w:rsid w:val="00A72C81"/>
    <w:rsid w:val="00A72F5E"/>
    <w:rsid w:val="00A72FBD"/>
    <w:rsid w:val="00A72FFB"/>
    <w:rsid w:val="00A7327A"/>
    <w:rsid w:val="00A732BB"/>
    <w:rsid w:val="00A73315"/>
    <w:rsid w:val="00A734CA"/>
    <w:rsid w:val="00A73519"/>
    <w:rsid w:val="00A7352C"/>
    <w:rsid w:val="00A735BA"/>
    <w:rsid w:val="00A735D1"/>
    <w:rsid w:val="00A73712"/>
    <w:rsid w:val="00A73752"/>
    <w:rsid w:val="00A737A2"/>
    <w:rsid w:val="00A73925"/>
    <w:rsid w:val="00A7393F"/>
    <w:rsid w:val="00A73973"/>
    <w:rsid w:val="00A73996"/>
    <w:rsid w:val="00A73A8C"/>
    <w:rsid w:val="00A73B14"/>
    <w:rsid w:val="00A73B4C"/>
    <w:rsid w:val="00A73CB3"/>
    <w:rsid w:val="00A73CD1"/>
    <w:rsid w:val="00A73D01"/>
    <w:rsid w:val="00A73D6B"/>
    <w:rsid w:val="00A73D96"/>
    <w:rsid w:val="00A73DDE"/>
    <w:rsid w:val="00A73DED"/>
    <w:rsid w:val="00A73E6D"/>
    <w:rsid w:val="00A73F2C"/>
    <w:rsid w:val="00A73FC2"/>
    <w:rsid w:val="00A74164"/>
    <w:rsid w:val="00A741C1"/>
    <w:rsid w:val="00A74249"/>
    <w:rsid w:val="00A7427F"/>
    <w:rsid w:val="00A7429D"/>
    <w:rsid w:val="00A74325"/>
    <w:rsid w:val="00A74366"/>
    <w:rsid w:val="00A743B1"/>
    <w:rsid w:val="00A74614"/>
    <w:rsid w:val="00A74805"/>
    <w:rsid w:val="00A74903"/>
    <w:rsid w:val="00A74985"/>
    <w:rsid w:val="00A74A12"/>
    <w:rsid w:val="00A74A28"/>
    <w:rsid w:val="00A74BAD"/>
    <w:rsid w:val="00A74BB0"/>
    <w:rsid w:val="00A74C2B"/>
    <w:rsid w:val="00A74C2E"/>
    <w:rsid w:val="00A74C77"/>
    <w:rsid w:val="00A74CBA"/>
    <w:rsid w:val="00A74D8E"/>
    <w:rsid w:val="00A74DBC"/>
    <w:rsid w:val="00A74DC3"/>
    <w:rsid w:val="00A74F19"/>
    <w:rsid w:val="00A74FA7"/>
    <w:rsid w:val="00A74FED"/>
    <w:rsid w:val="00A75007"/>
    <w:rsid w:val="00A750E7"/>
    <w:rsid w:val="00A750F5"/>
    <w:rsid w:val="00A75267"/>
    <w:rsid w:val="00A75297"/>
    <w:rsid w:val="00A752A1"/>
    <w:rsid w:val="00A7535B"/>
    <w:rsid w:val="00A753E5"/>
    <w:rsid w:val="00A7549F"/>
    <w:rsid w:val="00A75621"/>
    <w:rsid w:val="00A7565C"/>
    <w:rsid w:val="00A75724"/>
    <w:rsid w:val="00A75749"/>
    <w:rsid w:val="00A75A25"/>
    <w:rsid w:val="00A75B3C"/>
    <w:rsid w:val="00A75DA3"/>
    <w:rsid w:val="00A75DF8"/>
    <w:rsid w:val="00A75E0D"/>
    <w:rsid w:val="00A75F27"/>
    <w:rsid w:val="00A7601B"/>
    <w:rsid w:val="00A76060"/>
    <w:rsid w:val="00A760F7"/>
    <w:rsid w:val="00A76168"/>
    <w:rsid w:val="00A761E7"/>
    <w:rsid w:val="00A7628B"/>
    <w:rsid w:val="00A762A0"/>
    <w:rsid w:val="00A762D2"/>
    <w:rsid w:val="00A76337"/>
    <w:rsid w:val="00A7637E"/>
    <w:rsid w:val="00A763AB"/>
    <w:rsid w:val="00A7640B"/>
    <w:rsid w:val="00A76457"/>
    <w:rsid w:val="00A7655D"/>
    <w:rsid w:val="00A76839"/>
    <w:rsid w:val="00A76A45"/>
    <w:rsid w:val="00A76A48"/>
    <w:rsid w:val="00A76B28"/>
    <w:rsid w:val="00A76BC3"/>
    <w:rsid w:val="00A76BD5"/>
    <w:rsid w:val="00A76C21"/>
    <w:rsid w:val="00A76CBF"/>
    <w:rsid w:val="00A76D44"/>
    <w:rsid w:val="00A76E6D"/>
    <w:rsid w:val="00A76EE6"/>
    <w:rsid w:val="00A77073"/>
    <w:rsid w:val="00A772BB"/>
    <w:rsid w:val="00A7732F"/>
    <w:rsid w:val="00A77392"/>
    <w:rsid w:val="00A7745D"/>
    <w:rsid w:val="00A77508"/>
    <w:rsid w:val="00A77518"/>
    <w:rsid w:val="00A7767E"/>
    <w:rsid w:val="00A7770D"/>
    <w:rsid w:val="00A77734"/>
    <w:rsid w:val="00A77761"/>
    <w:rsid w:val="00A77795"/>
    <w:rsid w:val="00A777B2"/>
    <w:rsid w:val="00A777DE"/>
    <w:rsid w:val="00A77A68"/>
    <w:rsid w:val="00A77BAB"/>
    <w:rsid w:val="00A77BB9"/>
    <w:rsid w:val="00A77BCC"/>
    <w:rsid w:val="00A77CAE"/>
    <w:rsid w:val="00A77F2C"/>
    <w:rsid w:val="00A80217"/>
    <w:rsid w:val="00A80271"/>
    <w:rsid w:val="00A80476"/>
    <w:rsid w:val="00A80485"/>
    <w:rsid w:val="00A80600"/>
    <w:rsid w:val="00A80863"/>
    <w:rsid w:val="00A808BF"/>
    <w:rsid w:val="00A80AEF"/>
    <w:rsid w:val="00A80B50"/>
    <w:rsid w:val="00A80BB0"/>
    <w:rsid w:val="00A80D25"/>
    <w:rsid w:val="00A80D36"/>
    <w:rsid w:val="00A80D70"/>
    <w:rsid w:val="00A80E31"/>
    <w:rsid w:val="00A80F1D"/>
    <w:rsid w:val="00A80F2B"/>
    <w:rsid w:val="00A810EF"/>
    <w:rsid w:val="00A81109"/>
    <w:rsid w:val="00A811E0"/>
    <w:rsid w:val="00A81251"/>
    <w:rsid w:val="00A813AB"/>
    <w:rsid w:val="00A813EB"/>
    <w:rsid w:val="00A813F6"/>
    <w:rsid w:val="00A8152F"/>
    <w:rsid w:val="00A815E0"/>
    <w:rsid w:val="00A815E1"/>
    <w:rsid w:val="00A815FC"/>
    <w:rsid w:val="00A81695"/>
    <w:rsid w:val="00A817E8"/>
    <w:rsid w:val="00A8185D"/>
    <w:rsid w:val="00A818BD"/>
    <w:rsid w:val="00A819A3"/>
    <w:rsid w:val="00A81A05"/>
    <w:rsid w:val="00A81AD1"/>
    <w:rsid w:val="00A81B0B"/>
    <w:rsid w:val="00A81C98"/>
    <w:rsid w:val="00A81CD3"/>
    <w:rsid w:val="00A81D32"/>
    <w:rsid w:val="00A81D37"/>
    <w:rsid w:val="00A81E63"/>
    <w:rsid w:val="00A81E94"/>
    <w:rsid w:val="00A81F75"/>
    <w:rsid w:val="00A81FDB"/>
    <w:rsid w:val="00A82074"/>
    <w:rsid w:val="00A82077"/>
    <w:rsid w:val="00A820E5"/>
    <w:rsid w:val="00A82142"/>
    <w:rsid w:val="00A82213"/>
    <w:rsid w:val="00A8236C"/>
    <w:rsid w:val="00A823BA"/>
    <w:rsid w:val="00A82403"/>
    <w:rsid w:val="00A824ED"/>
    <w:rsid w:val="00A8258A"/>
    <w:rsid w:val="00A8259D"/>
    <w:rsid w:val="00A82730"/>
    <w:rsid w:val="00A82985"/>
    <w:rsid w:val="00A82A0B"/>
    <w:rsid w:val="00A82A4E"/>
    <w:rsid w:val="00A82ADF"/>
    <w:rsid w:val="00A82AFB"/>
    <w:rsid w:val="00A82B14"/>
    <w:rsid w:val="00A82B4B"/>
    <w:rsid w:val="00A82C6C"/>
    <w:rsid w:val="00A82C99"/>
    <w:rsid w:val="00A82C9E"/>
    <w:rsid w:val="00A82CA0"/>
    <w:rsid w:val="00A82E43"/>
    <w:rsid w:val="00A82E5B"/>
    <w:rsid w:val="00A82ED3"/>
    <w:rsid w:val="00A82FB4"/>
    <w:rsid w:val="00A83023"/>
    <w:rsid w:val="00A831FC"/>
    <w:rsid w:val="00A832A1"/>
    <w:rsid w:val="00A832B6"/>
    <w:rsid w:val="00A83312"/>
    <w:rsid w:val="00A833D9"/>
    <w:rsid w:val="00A834DF"/>
    <w:rsid w:val="00A83507"/>
    <w:rsid w:val="00A83597"/>
    <w:rsid w:val="00A83634"/>
    <w:rsid w:val="00A8364E"/>
    <w:rsid w:val="00A83681"/>
    <w:rsid w:val="00A83761"/>
    <w:rsid w:val="00A8387C"/>
    <w:rsid w:val="00A838BC"/>
    <w:rsid w:val="00A838D8"/>
    <w:rsid w:val="00A839AA"/>
    <w:rsid w:val="00A83A11"/>
    <w:rsid w:val="00A83A5D"/>
    <w:rsid w:val="00A83AF3"/>
    <w:rsid w:val="00A83B08"/>
    <w:rsid w:val="00A83C3B"/>
    <w:rsid w:val="00A83C99"/>
    <w:rsid w:val="00A83E2C"/>
    <w:rsid w:val="00A83E87"/>
    <w:rsid w:val="00A83F66"/>
    <w:rsid w:val="00A84010"/>
    <w:rsid w:val="00A84063"/>
    <w:rsid w:val="00A840E4"/>
    <w:rsid w:val="00A8424C"/>
    <w:rsid w:val="00A842B1"/>
    <w:rsid w:val="00A84311"/>
    <w:rsid w:val="00A843FE"/>
    <w:rsid w:val="00A8450F"/>
    <w:rsid w:val="00A84568"/>
    <w:rsid w:val="00A846BF"/>
    <w:rsid w:val="00A846DC"/>
    <w:rsid w:val="00A84731"/>
    <w:rsid w:val="00A8478F"/>
    <w:rsid w:val="00A847D5"/>
    <w:rsid w:val="00A848C7"/>
    <w:rsid w:val="00A848D1"/>
    <w:rsid w:val="00A848DC"/>
    <w:rsid w:val="00A84901"/>
    <w:rsid w:val="00A8490D"/>
    <w:rsid w:val="00A84913"/>
    <w:rsid w:val="00A849F8"/>
    <w:rsid w:val="00A84A1C"/>
    <w:rsid w:val="00A84A4E"/>
    <w:rsid w:val="00A84B85"/>
    <w:rsid w:val="00A84C86"/>
    <w:rsid w:val="00A84F0F"/>
    <w:rsid w:val="00A850C0"/>
    <w:rsid w:val="00A850F6"/>
    <w:rsid w:val="00A8517F"/>
    <w:rsid w:val="00A8519F"/>
    <w:rsid w:val="00A8525A"/>
    <w:rsid w:val="00A85275"/>
    <w:rsid w:val="00A8535C"/>
    <w:rsid w:val="00A8537E"/>
    <w:rsid w:val="00A85424"/>
    <w:rsid w:val="00A85487"/>
    <w:rsid w:val="00A8548F"/>
    <w:rsid w:val="00A856ED"/>
    <w:rsid w:val="00A8572D"/>
    <w:rsid w:val="00A85767"/>
    <w:rsid w:val="00A857F9"/>
    <w:rsid w:val="00A85979"/>
    <w:rsid w:val="00A85A8F"/>
    <w:rsid w:val="00A85B49"/>
    <w:rsid w:val="00A85CDC"/>
    <w:rsid w:val="00A85D42"/>
    <w:rsid w:val="00A85EAA"/>
    <w:rsid w:val="00A85EDD"/>
    <w:rsid w:val="00A85F7C"/>
    <w:rsid w:val="00A85F94"/>
    <w:rsid w:val="00A86037"/>
    <w:rsid w:val="00A860BE"/>
    <w:rsid w:val="00A86142"/>
    <w:rsid w:val="00A86192"/>
    <w:rsid w:val="00A861A1"/>
    <w:rsid w:val="00A86212"/>
    <w:rsid w:val="00A862E1"/>
    <w:rsid w:val="00A862F4"/>
    <w:rsid w:val="00A86352"/>
    <w:rsid w:val="00A86414"/>
    <w:rsid w:val="00A86425"/>
    <w:rsid w:val="00A86528"/>
    <w:rsid w:val="00A86552"/>
    <w:rsid w:val="00A86572"/>
    <w:rsid w:val="00A8684A"/>
    <w:rsid w:val="00A868CA"/>
    <w:rsid w:val="00A869F7"/>
    <w:rsid w:val="00A86A5E"/>
    <w:rsid w:val="00A86B30"/>
    <w:rsid w:val="00A86C6B"/>
    <w:rsid w:val="00A86CAD"/>
    <w:rsid w:val="00A86D40"/>
    <w:rsid w:val="00A86E0C"/>
    <w:rsid w:val="00A86EF6"/>
    <w:rsid w:val="00A870C5"/>
    <w:rsid w:val="00A871F8"/>
    <w:rsid w:val="00A872AD"/>
    <w:rsid w:val="00A87336"/>
    <w:rsid w:val="00A873D9"/>
    <w:rsid w:val="00A87522"/>
    <w:rsid w:val="00A875A2"/>
    <w:rsid w:val="00A875F7"/>
    <w:rsid w:val="00A87613"/>
    <w:rsid w:val="00A87757"/>
    <w:rsid w:val="00A87774"/>
    <w:rsid w:val="00A87A6B"/>
    <w:rsid w:val="00A87A80"/>
    <w:rsid w:val="00A87AF5"/>
    <w:rsid w:val="00A87B58"/>
    <w:rsid w:val="00A87BB6"/>
    <w:rsid w:val="00A87C15"/>
    <w:rsid w:val="00A87C2C"/>
    <w:rsid w:val="00A87C3C"/>
    <w:rsid w:val="00A87DFB"/>
    <w:rsid w:val="00A87E08"/>
    <w:rsid w:val="00A87E1E"/>
    <w:rsid w:val="00A87E99"/>
    <w:rsid w:val="00A87FEE"/>
    <w:rsid w:val="00A90062"/>
    <w:rsid w:val="00A901A8"/>
    <w:rsid w:val="00A901ED"/>
    <w:rsid w:val="00A9020E"/>
    <w:rsid w:val="00A90399"/>
    <w:rsid w:val="00A9053F"/>
    <w:rsid w:val="00A90565"/>
    <w:rsid w:val="00A90619"/>
    <w:rsid w:val="00A90668"/>
    <w:rsid w:val="00A90782"/>
    <w:rsid w:val="00A908C9"/>
    <w:rsid w:val="00A90950"/>
    <w:rsid w:val="00A909E6"/>
    <w:rsid w:val="00A90B6B"/>
    <w:rsid w:val="00A90C3D"/>
    <w:rsid w:val="00A90CE1"/>
    <w:rsid w:val="00A90D29"/>
    <w:rsid w:val="00A90DAD"/>
    <w:rsid w:val="00A90E25"/>
    <w:rsid w:val="00A90E54"/>
    <w:rsid w:val="00A90EC1"/>
    <w:rsid w:val="00A91044"/>
    <w:rsid w:val="00A910BA"/>
    <w:rsid w:val="00A91103"/>
    <w:rsid w:val="00A9113B"/>
    <w:rsid w:val="00A91151"/>
    <w:rsid w:val="00A91178"/>
    <w:rsid w:val="00A9124C"/>
    <w:rsid w:val="00A9125E"/>
    <w:rsid w:val="00A91272"/>
    <w:rsid w:val="00A913FF"/>
    <w:rsid w:val="00A9143F"/>
    <w:rsid w:val="00A91464"/>
    <w:rsid w:val="00A914DD"/>
    <w:rsid w:val="00A916DA"/>
    <w:rsid w:val="00A91733"/>
    <w:rsid w:val="00A91897"/>
    <w:rsid w:val="00A918CC"/>
    <w:rsid w:val="00A918CE"/>
    <w:rsid w:val="00A9194F"/>
    <w:rsid w:val="00A9199B"/>
    <w:rsid w:val="00A91A17"/>
    <w:rsid w:val="00A91A7D"/>
    <w:rsid w:val="00A91B1A"/>
    <w:rsid w:val="00A91C7E"/>
    <w:rsid w:val="00A91D3A"/>
    <w:rsid w:val="00A91D9C"/>
    <w:rsid w:val="00A91F4A"/>
    <w:rsid w:val="00A91FA1"/>
    <w:rsid w:val="00A91FD6"/>
    <w:rsid w:val="00A91FFD"/>
    <w:rsid w:val="00A92076"/>
    <w:rsid w:val="00A9218B"/>
    <w:rsid w:val="00A921C9"/>
    <w:rsid w:val="00A92302"/>
    <w:rsid w:val="00A92383"/>
    <w:rsid w:val="00A923D3"/>
    <w:rsid w:val="00A9248B"/>
    <w:rsid w:val="00A924FA"/>
    <w:rsid w:val="00A9255A"/>
    <w:rsid w:val="00A9263D"/>
    <w:rsid w:val="00A92667"/>
    <w:rsid w:val="00A926F7"/>
    <w:rsid w:val="00A92746"/>
    <w:rsid w:val="00A927E4"/>
    <w:rsid w:val="00A92942"/>
    <w:rsid w:val="00A92A0D"/>
    <w:rsid w:val="00A92AF0"/>
    <w:rsid w:val="00A92B12"/>
    <w:rsid w:val="00A92B56"/>
    <w:rsid w:val="00A92B59"/>
    <w:rsid w:val="00A92C23"/>
    <w:rsid w:val="00A92C27"/>
    <w:rsid w:val="00A92C8D"/>
    <w:rsid w:val="00A92CBF"/>
    <w:rsid w:val="00A92E42"/>
    <w:rsid w:val="00A92E4E"/>
    <w:rsid w:val="00A92F43"/>
    <w:rsid w:val="00A92F4E"/>
    <w:rsid w:val="00A92F54"/>
    <w:rsid w:val="00A92F9D"/>
    <w:rsid w:val="00A92FD2"/>
    <w:rsid w:val="00A92FDD"/>
    <w:rsid w:val="00A93078"/>
    <w:rsid w:val="00A9309D"/>
    <w:rsid w:val="00A93133"/>
    <w:rsid w:val="00A93151"/>
    <w:rsid w:val="00A9321B"/>
    <w:rsid w:val="00A932C2"/>
    <w:rsid w:val="00A933CF"/>
    <w:rsid w:val="00A933D8"/>
    <w:rsid w:val="00A93447"/>
    <w:rsid w:val="00A93485"/>
    <w:rsid w:val="00A934D2"/>
    <w:rsid w:val="00A934DD"/>
    <w:rsid w:val="00A93585"/>
    <w:rsid w:val="00A935E6"/>
    <w:rsid w:val="00A93618"/>
    <w:rsid w:val="00A9367C"/>
    <w:rsid w:val="00A936D9"/>
    <w:rsid w:val="00A937A4"/>
    <w:rsid w:val="00A939BF"/>
    <w:rsid w:val="00A93B50"/>
    <w:rsid w:val="00A93BF3"/>
    <w:rsid w:val="00A93CC8"/>
    <w:rsid w:val="00A93DC1"/>
    <w:rsid w:val="00A93E27"/>
    <w:rsid w:val="00A93F1E"/>
    <w:rsid w:val="00A93F84"/>
    <w:rsid w:val="00A940D0"/>
    <w:rsid w:val="00A940D2"/>
    <w:rsid w:val="00A94148"/>
    <w:rsid w:val="00A94170"/>
    <w:rsid w:val="00A942CF"/>
    <w:rsid w:val="00A9437D"/>
    <w:rsid w:val="00A94389"/>
    <w:rsid w:val="00A9441A"/>
    <w:rsid w:val="00A9445B"/>
    <w:rsid w:val="00A944AA"/>
    <w:rsid w:val="00A94552"/>
    <w:rsid w:val="00A94560"/>
    <w:rsid w:val="00A9463A"/>
    <w:rsid w:val="00A946FC"/>
    <w:rsid w:val="00A94721"/>
    <w:rsid w:val="00A947D7"/>
    <w:rsid w:val="00A948A2"/>
    <w:rsid w:val="00A94AF2"/>
    <w:rsid w:val="00A94B23"/>
    <w:rsid w:val="00A94B2D"/>
    <w:rsid w:val="00A94B35"/>
    <w:rsid w:val="00A94B78"/>
    <w:rsid w:val="00A94C1F"/>
    <w:rsid w:val="00A94C22"/>
    <w:rsid w:val="00A94C51"/>
    <w:rsid w:val="00A94CCE"/>
    <w:rsid w:val="00A94CD8"/>
    <w:rsid w:val="00A94D0F"/>
    <w:rsid w:val="00A94D63"/>
    <w:rsid w:val="00A94DD6"/>
    <w:rsid w:val="00A94E01"/>
    <w:rsid w:val="00A94F62"/>
    <w:rsid w:val="00A95021"/>
    <w:rsid w:val="00A950D9"/>
    <w:rsid w:val="00A9510B"/>
    <w:rsid w:val="00A95192"/>
    <w:rsid w:val="00A952DB"/>
    <w:rsid w:val="00A952E6"/>
    <w:rsid w:val="00A952EE"/>
    <w:rsid w:val="00A953C9"/>
    <w:rsid w:val="00A953CB"/>
    <w:rsid w:val="00A953E4"/>
    <w:rsid w:val="00A9546B"/>
    <w:rsid w:val="00A954CA"/>
    <w:rsid w:val="00A95682"/>
    <w:rsid w:val="00A9571F"/>
    <w:rsid w:val="00A95742"/>
    <w:rsid w:val="00A9585B"/>
    <w:rsid w:val="00A9590F"/>
    <w:rsid w:val="00A9594F"/>
    <w:rsid w:val="00A95A00"/>
    <w:rsid w:val="00A95A15"/>
    <w:rsid w:val="00A95A6D"/>
    <w:rsid w:val="00A95BAD"/>
    <w:rsid w:val="00A95BF0"/>
    <w:rsid w:val="00A95C65"/>
    <w:rsid w:val="00A95C9F"/>
    <w:rsid w:val="00A95F1B"/>
    <w:rsid w:val="00A95F96"/>
    <w:rsid w:val="00A96160"/>
    <w:rsid w:val="00A961D8"/>
    <w:rsid w:val="00A9622A"/>
    <w:rsid w:val="00A962E7"/>
    <w:rsid w:val="00A962EA"/>
    <w:rsid w:val="00A96378"/>
    <w:rsid w:val="00A96497"/>
    <w:rsid w:val="00A965C8"/>
    <w:rsid w:val="00A9677C"/>
    <w:rsid w:val="00A96926"/>
    <w:rsid w:val="00A96A82"/>
    <w:rsid w:val="00A96ADE"/>
    <w:rsid w:val="00A96AE9"/>
    <w:rsid w:val="00A96B30"/>
    <w:rsid w:val="00A96B97"/>
    <w:rsid w:val="00A96BED"/>
    <w:rsid w:val="00A96C58"/>
    <w:rsid w:val="00A96D16"/>
    <w:rsid w:val="00A96DB7"/>
    <w:rsid w:val="00A96E53"/>
    <w:rsid w:val="00A96ED6"/>
    <w:rsid w:val="00A96F67"/>
    <w:rsid w:val="00A96FE4"/>
    <w:rsid w:val="00A97243"/>
    <w:rsid w:val="00A972CE"/>
    <w:rsid w:val="00A973BD"/>
    <w:rsid w:val="00A973D5"/>
    <w:rsid w:val="00A973E9"/>
    <w:rsid w:val="00A9741B"/>
    <w:rsid w:val="00A97429"/>
    <w:rsid w:val="00A97452"/>
    <w:rsid w:val="00A97456"/>
    <w:rsid w:val="00A97478"/>
    <w:rsid w:val="00A9748D"/>
    <w:rsid w:val="00A974EB"/>
    <w:rsid w:val="00A9750E"/>
    <w:rsid w:val="00A97520"/>
    <w:rsid w:val="00A97583"/>
    <w:rsid w:val="00A975BD"/>
    <w:rsid w:val="00A97622"/>
    <w:rsid w:val="00A97625"/>
    <w:rsid w:val="00A97703"/>
    <w:rsid w:val="00A9781E"/>
    <w:rsid w:val="00A978FF"/>
    <w:rsid w:val="00A9797B"/>
    <w:rsid w:val="00A97B20"/>
    <w:rsid w:val="00A97C41"/>
    <w:rsid w:val="00A97CF7"/>
    <w:rsid w:val="00A97D1F"/>
    <w:rsid w:val="00A97F31"/>
    <w:rsid w:val="00A97F64"/>
    <w:rsid w:val="00A97FF5"/>
    <w:rsid w:val="00AA0105"/>
    <w:rsid w:val="00AA01FE"/>
    <w:rsid w:val="00AA0231"/>
    <w:rsid w:val="00AA02D1"/>
    <w:rsid w:val="00AA0340"/>
    <w:rsid w:val="00AA03EC"/>
    <w:rsid w:val="00AA03ED"/>
    <w:rsid w:val="00AA0434"/>
    <w:rsid w:val="00AA05D9"/>
    <w:rsid w:val="00AA07F2"/>
    <w:rsid w:val="00AA094C"/>
    <w:rsid w:val="00AA099D"/>
    <w:rsid w:val="00AA0A8E"/>
    <w:rsid w:val="00AA0B0B"/>
    <w:rsid w:val="00AA0B42"/>
    <w:rsid w:val="00AA0B51"/>
    <w:rsid w:val="00AA0E10"/>
    <w:rsid w:val="00AA0E1D"/>
    <w:rsid w:val="00AA0EC9"/>
    <w:rsid w:val="00AA0ED1"/>
    <w:rsid w:val="00AA0F57"/>
    <w:rsid w:val="00AA0FBE"/>
    <w:rsid w:val="00AA1054"/>
    <w:rsid w:val="00AA11AB"/>
    <w:rsid w:val="00AA11C4"/>
    <w:rsid w:val="00AA1407"/>
    <w:rsid w:val="00AA1440"/>
    <w:rsid w:val="00AA14D8"/>
    <w:rsid w:val="00AA158E"/>
    <w:rsid w:val="00AA15C1"/>
    <w:rsid w:val="00AA1609"/>
    <w:rsid w:val="00AA16F5"/>
    <w:rsid w:val="00AA1713"/>
    <w:rsid w:val="00AA174B"/>
    <w:rsid w:val="00AA1843"/>
    <w:rsid w:val="00AA19D2"/>
    <w:rsid w:val="00AA1B3A"/>
    <w:rsid w:val="00AA1B52"/>
    <w:rsid w:val="00AA1C64"/>
    <w:rsid w:val="00AA1D4F"/>
    <w:rsid w:val="00AA1DD7"/>
    <w:rsid w:val="00AA1DE0"/>
    <w:rsid w:val="00AA1E15"/>
    <w:rsid w:val="00AA1EDC"/>
    <w:rsid w:val="00AA1F22"/>
    <w:rsid w:val="00AA1F42"/>
    <w:rsid w:val="00AA1F4E"/>
    <w:rsid w:val="00AA1F57"/>
    <w:rsid w:val="00AA2002"/>
    <w:rsid w:val="00AA2065"/>
    <w:rsid w:val="00AA20AA"/>
    <w:rsid w:val="00AA213B"/>
    <w:rsid w:val="00AA2146"/>
    <w:rsid w:val="00AA2210"/>
    <w:rsid w:val="00AA2249"/>
    <w:rsid w:val="00AA2293"/>
    <w:rsid w:val="00AA23CC"/>
    <w:rsid w:val="00AA248E"/>
    <w:rsid w:val="00AA2537"/>
    <w:rsid w:val="00AA2544"/>
    <w:rsid w:val="00AA257C"/>
    <w:rsid w:val="00AA275C"/>
    <w:rsid w:val="00AA27A4"/>
    <w:rsid w:val="00AA2815"/>
    <w:rsid w:val="00AA28E2"/>
    <w:rsid w:val="00AA2A9E"/>
    <w:rsid w:val="00AA2BF3"/>
    <w:rsid w:val="00AA2D2C"/>
    <w:rsid w:val="00AA2F12"/>
    <w:rsid w:val="00AA2F65"/>
    <w:rsid w:val="00AA3356"/>
    <w:rsid w:val="00AA335A"/>
    <w:rsid w:val="00AA33F9"/>
    <w:rsid w:val="00AA353F"/>
    <w:rsid w:val="00AA360D"/>
    <w:rsid w:val="00AA3780"/>
    <w:rsid w:val="00AA3799"/>
    <w:rsid w:val="00AA379A"/>
    <w:rsid w:val="00AA3801"/>
    <w:rsid w:val="00AA3892"/>
    <w:rsid w:val="00AA38CB"/>
    <w:rsid w:val="00AA398A"/>
    <w:rsid w:val="00AA39F4"/>
    <w:rsid w:val="00AA3A5C"/>
    <w:rsid w:val="00AA3A5F"/>
    <w:rsid w:val="00AA3B09"/>
    <w:rsid w:val="00AA3B46"/>
    <w:rsid w:val="00AA3BC7"/>
    <w:rsid w:val="00AA3BCF"/>
    <w:rsid w:val="00AA3D35"/>
    <w:rsid w:val="00AA3ED8"/>
    <w:rsid w:val="00AA3EFB"/>
    <w:rsid w:val="00AA3FA4"/>
    <w:rsid w:val="00AA40BE"/>
    <w:rsid w:val="00AA4148"/>
    <w:rsid w:val="00AA4499"/>
    <w:rsid w:val="00AA449F"/>
    <w:rsid w:val="00AA451D"/>
    <w:rsid w:val="00AA452D"/>
    <w:rsid w:val="00AA4580"/>
    <w:rsid w:val="00AA46CC"/>
    <w:rsid w:val="00AA46DE"/>
    <w:rsid w:val="00AA4725"/>
    <w:rsid w:val="00AA47CD"/>
    <w:rsid w:val="00AA4837"/>
    <w:rsid w:val="00AA49DF"/>
    <w:rsid w:val="00AA4A0A"/>
    <w:rsid w:val="00AA4A77"/>
    <w:rsid w:val="00AA4AB4"/>
    <w:rsid w:val="00AA4B45"/>
    <w:rsid w:val="00AA4B52"/>
    <w:rsid w:val="00AA4B8F"/>
    <w:rsid w:val="00AA4CFE"/>
    <w:rsid w:val="00AA4D14"/>
    <w:rsid w:val="00AA5169"/>
    <w:rsid w:val="00AA5237"/>
    <w:rsid w:val="00AA526A"/>
    <w:rsid w:val="00AA537C"/>
    <w:rsid w:val="00AA53C9"/>
    <w:rsid w:val="00AA5432"/>
    <w:rsid w:val="00AA54B0"/>
    <w:rsid w:val="00AA54F5"/>
    <w:rsid w:val="00AA54FA"/>
    <w:rsid w:val="00AA5669"/>
    <w:rsid w:val="00AA5812"/>
    <w:rsid w:val="00AA584D"/>
    <w:rsid w:val="00AA592B"/>
    <w:rsid w:val="00AA59DE"/>
    <w:rsid w:val="00AA5AEE"/>
    <w:rsid w:val="00AA5B4E"/>
    <w:rsid w:val="00AA5BD0"/>
    <w:rsid w:val="00AA5C25"/>
    <w:rsid w:val="00AA5C2A"/>
    <w:rsid w:val="00AA5CEE"/>
    <w:rsid w:val="00AA5D28"/>
    <w:rsid w:val="00AA5FFF"/>
    <w:rsid w:val="00AA610B"/>
    <w:rsid w:val="00AA6340"/>
    <w:rsid w:val="00AA63FE"/>
    <w:rsid w:val="00AA64FE"/>
    <w:rsid w:val="00AA659F"/>
    <w:rsid w:val="00AA65D0"/>
    <w:rsid w:val="00AA6701"/>
    <w:rsid w:val="00AA67DF"/>
    <w:rsid w:val="00AA6987"/>
    <w:rsid w:val="00AA69C5"/>
    <w:rsid w:val="00AA69E1"/>
    <w:rsid w:val="00AA69E4"/>
    <w:rsid w:val="00AA6AA0"/>
    <w:rsid w:val="00AA6AB2"/>
    <w:rsid w:val="00AA6AB8"/>
    <w:rsid w:val="00AA6B9E"/>
    <w:rsid w:val="00AA6C30"/>
    <w:rsid w:val="00AA6C93"/>
    <w:rsid w:val="00AA6CA1"/>
    <w:rsid w:val="00AA6CA4"/>
    <w:rsid w:val="00AA6CD5"/>
    <w:rsid w:val="00AA6CEE"/>
    <w:rsid w:val="00AA6D1D"/>
    <w:rsid w:val="00AA6D60"/>
    <w:rsid w:val="00AA6D76"/>
    <w:rsid w:val="00AA6E49"/>
    <w:rsid w:val="00AA6E5B"/>
    <w:rsid w:val="00AA6EBE"/>
    <w:rsid w:val="00AA7081"/>
    <w:rsid w:val="00AA71BA"/>
    <w:rsid w:val="00AA71C0"/>
    <w:rsid w:val="00AA71D7"/>
    <w:rsid w:val="00AA71E0"/>
    <w:rsid w:val="00AA72F9"/>
    <w:rsid w:val="00AA73A6"/>
    <w:rsid w:val="00AA748D"/>
    <w:rsid w:val="00AA74E2"/>
    <w:rsid w:val="00AA752D"/>
    <w:rsid w:val="00AA75C0"/>
    <w:rsid w:val="00AA766A"/>
    <w:rsid w:val="00AA76B4"/>
    <w:rsid w:val="00AA79DD"/>
    <w:rsid w:val="00AA7A4B"/>
    <w:rsid w:val="00AA7BA0"/>
    <w:rsid w:val="00AA7BBB"/>
    <w:rsid w:val="00AA7BDF"/>
    <w:rsid w:val="00AA7E51"/>
    <w:rsid w:val="00AA7FFB"/>
    <w:rsid w:val="00AB0042"/>
    <w:rsid w:val="00AB00F6"/>
    <w:rsid w:val="00AB018C"/>
    <w:rsid w:val="00AB01DD"/>
    <w:rsid w:val="00AB01FD"/>
    <w:rsid w:val="00AB021E"/>
    <w:rsid w:val="00AB02CB"/>
    <w:rsid w:val="00AB0358"/>
    <w:rsid w:val="00AB0365"/>
    <w:rsid w:val="00AB03D6"/>
    <w:rsid w:val="00AB03EA"/>
    <w:rsid w:val="00AB0434"/>
    <w:rsid w:val="00AB04A2"/>
    <w:rsid w:val="00AB04C1"/>
    <w:rsid w:val="00AB0577"/>
    <w:rsid w:val="00AB05E2"/>
    <w:rsid w:val="00AB05E6"/>
    <w:rsid w:val="00AB05F5"/>
    <w:rsid w:val="00AB06FF"/>
    <w:rsid w:val="00AB08FC"/>
    <w:rsid w:val="00AB094E"/>
    <w:rsid w:val="00AB0981"/>
    <w:rsid w:val="00AB09D7"/>
    <w:rsid w:val="00AB0A18"/>
    <w:rsid w:val="00AB0A3B"/>
    <w:rsid w:val="00AB0A43"/>
    <w:rsid w:val="00AB0A92"/>
    <w:rsid w:val="00AB0C56"/>
    <w:rsid w:val="00AB0D99"/>
    <w:rsid w:val="00AB0F34"/>
    <w:rsid w:val="00AB0F9A"/>
    <w:rsid w:val="00AB0FD2"/>
    <w:rsid w:val="00AB1040"/>
    <w:rsid w:val="00AB10F4"/>
    <w:rsid w:val="00AB1202"/>
    <w:rsid w:val="00AB125C"/>
    <w:rsid w:val="00AB12D9"/>
    <w:rsid w:val="00AB1313"/>
    <w:rsid w:val="00AB136C"/>
    <w:rsid w:val="00AB14B1"/>
    <w:rsid w:val="00AB14C8"/>
    <w:rsid w:val="00AB14FF"/>
    <w:rsid w:val="00AB1588"/>
    <w:rsid w:val="00AB15FC"/>
    <w:rsid w:val="00AB1668"/>
    <w:rsid w:val="00AB1684"/>
    <w:rsid w:val="00AB1773"/>
    <w:rsid w:val="00AB17EB"/>
    <w:rsid w:val="00AB180A"/>
    <w:rsid w:val="00AB1910"/>
    <w:rsid w:val="00AB1A64"/>
    <w:rsid w:val="00AB1ACB"/>
    <w:rsid w:val="00AB1B63"/>
    <w:rsid w:val="00AB1BE7"/>
    <w:rsid w:val="00AB1C0B"/>
    <w:rsid w:val="00AB1C68"/>
    <w:rsid w:val="00AB1C7B"/>
    <w:rsid w:val="00AB1D1A"/>
    <w:rsid w:val="00AB1DAE"/>
    <w:rsid w:val="00AB1DEE"/>
    <w:rsid w:val="00AB1EF8"/>
    <w:rsid w:val="00AB1FBF"/>
    <w:rsid w:val="00AB206B"/>
    <w:rsid w:val="00AB2199"/>
    <w:rsid w:val="00AB21DF"/>
    <w:rsid w:val="00AB2239"/>
    <w:rsid w:val="00AB224F"/>
    <w:rsid w:val="00AB22C8"/>
    <w:rsid w:val="00AB2382"/>
    <w:rsid w:val="00AB246B"/>
    <w:rsid w:val="00AB256D"/>
    <w:rsid w:val="00AB2580"/>
    <w:rsid w:val="00AB25C5"/>
    <w:rsid w:val="00AB25D3"/>
    <w:rsid w:val="00AB2602"/>
    <w:rsid w:val="00AB27A9"/>
    <w:rsid w:val="00AB28D6"/>
    <w:rsid w:val="00AB296E"/>
    <w:rsid w:val="00AB2ABD"/>
    <w:rsid w:val="00AB2B54"/>
    <w:rsid w:val="00AB2BC8"/>
    <w:rsid w:val="00AB2BCC"/>
    <w:rsid w:val="00AB2C23"/>
    <w:rsid w:val="00AB2C97"/>
    <w:rsid w:val="00AB2EB6"/>
    <w:rsid w:val="00AB2F9E"/>
    <w:rsid w:val="00AB2FF9"/>
    <w:rsid w:val="00AB3059"/>
    <w:rsid w:val="00AB305F"/>
    <w:rsid w:val="00AB30AF"/>
    <w:rsid w:val="00AB30EF"/>
    <w:rsid w:val="00AB3171"/>
    <w:rsid w:val="00AB330C"/>
    <w:rsid w:val="00AB3366"/>
    <w:rsid w:val="00AB33B4"/>
    <w:rsid w:val="00AB346A"/>
    <w:rsid w:val="00AB3493"/>
    <w:rsid w:val="00AB34A8"/>
    <w:rsid w:val="00AB34D3"/>
    <w:rsid w:val="00AB34E0"/>
    <w:rsid w:val="00AB3506"/>
    <w:rsid w:val="00AB3709"/>
    <w:rsid w:val="00AB3764"/>
    <w:rsid w:val="00AB37A8"/>
    <w:rsid w:val="00AB37AF"/>
    <w:rsid w:val="00AB37BF"/>
    <w:rsid w:val="00AB37F0"/>
    <w:rsid w:val="00AB385D"/>
    <w:rsid w:val="00AB396F"/>
    <w:rsid w:val="00AB39C2"/>
    <w:rsid w:val="00AB3A30"/>
    <w:rsid w:val="00AB3AE5"/>
    <w:rsid w:val="00AB3BF5"/>
    <w:rsid w:val="00AB3C0B"/>
    <w:rsid w:val="00AB3D20"/>
    <w:rsid w:val="00AB3D3A"/>
    <w:rsid w:val="00AB3DB1"/>
    <w:rsid w:val="00AB3E8F"/>
    <w:rsid w:val="00AB3EC8"/>
    <w:rsid w:val="00AB3FAA"/>
    <w:rsid w:val="00AB3FE9"/>
    <w:rsid w:val="00AB4069"/>
    <w:rsid w:val="00AB4294"/>
    <w:rsid w:val="00AB429A"/>
    <w:rsid w:val="00AB4341"/>
    <w:rsid w:val="00AB4396"/>
    <w:rsid w:val="00AB43CA"/>
    <w:rsid w:val="00AB452B"/>
    <w:rsid w:val="00AB4590"/>
    <w:rsid w:val="00AB4698"/>
    <w:rsid w:val="00AB47DE"/>
    <w:rsid w:val="00AB480A"/>
    <w:rsid w:val="00AB480B"/>
    <w:rsid w:val="00AB4882"/>
    <w:rsid w:val="00AB4914"/>
    <w:rsid w:val="00AB4926"/>
    <w:rsid w:val="00AB4ABD"/>
    <w:rsid w:val="00AB4BC6"/>
    <w:rsid w:val="00AB4C0F"/>
    <w:rsid w:val="00AB4D12"/>
    <w:rsid w:val="00AB4F0B"/>
    <w:rsid w:val="00AB4F2F"/>
    <w:rsid w:val="00AB4FDB"/>
    <w:rsid w:val="00AB5007"/>
    <w:rsid w:val="00AB508C"/>
    <w:rsid w:val="00AB50CB"/>
    <w:rsid w:val="00AB51C7"/>
    <w:rsid w:val="00AB53FF"/>
    <w:rsid w:val="00AB5410"/>
    <w:rsid w:val="00AB5451"/>
    <w:rsid w:val="00AB563A"/>
    <w:rsid w:val="00AB5654"/>
    <w:rsid w:val="00AB5710"/>
    <w:rsid w:val="00AB572E"/>
    <w:rsid w:val="00AB57A2"/>
    <w:rsid w:val="00AB57B2"/>
    <w:rsid w:val="00AB584C"/>
    <w:rsid w:val="00AB588E"/>
    <w:rsid w:val="00AB591A"/>
    <w:rsid w:val="00AB59CB"/>
    <w:rsid w:val="00AB59F3"/>
    <w:rsid w:val="00AB5A63"/>
    <w:rsid w:val="00AB5ADF"/>
    <w:rsid w:val="00AB5AFE"/>
    <w:rsid w:val="00AB5B0D"/>
    <w:rsid w:val="00AB5B7E"/>
    <w:rsid w:val="00AB5BAB"/>
    <w:rsid w:val="00AB5BE7"/>
    <w:rsid w:val="00AB5BFE"/>
    <w:rsid w:val="00AB5D1E"/>
    <w:rsid w:val="00AB5D9E"/>
    <w:rsid w:val="00AB5E59"/>
    <w:rsid w:val="00AB5F22"/>
    <w:rsid w:val="00AB5FB1"/>
    <w:rsid w:val="00AB6090"/>
    <w:rsid w:val="00AB6186"/>
    <w:rsid w:val="00AB6221"/>
    <w:rsid w:val="00AB6389"/>
    <w:rsid w:val="00AB63CA"/>
    <w:rsid w:val="00AB63D2"/>
    <w:rsid w:val="00AB6608"/>
    <w:rsid w:val="00AB6790"/>
    <w:rsid w:val="00AB6810"/>
    <w:rsid w:val="00AB6811"/>
    <w:rsid w:val="00AB68D5"/>
    <w:rsid w:val="00AB6961"/>
    <w:rsid w:val="00AB69D7"/>
    <w:rsid w:val="00AB6A93"/>
    <w:rsid w:val="00AB6AD4"/>
    <w:rsid w:val="00AB6AF7"/>
    <w:rsid w:val="00AB6B44"/>
    <w:rsid w:val="00AB6D25"/>
    <w:rsid w:val="00AB6DB8"/>
    <w:rsid w:val="00AB6F35"/>
    <w:rsid w:val="00AB6FF4"/>
    <w:rsid w:val="00AB7037"/>
    <w:rsid w:val="00AB7103"/>
    <w:rsid w:val="00AB7339"/>
    <w:rsid w:val="00AB741B"/>
    <w:rsid w:val="00AB755D"/>
    <w:rsid w:val="00AB776B"/>
    <w:rsid w:val="00AB7889"/>
    <w:rsid w:val="00AB7A4A"/>
    <w:rsid w:val="00AB7ABF"/>
    <w:rsid w:val="00AB7BE2"/>
    <w:rsid w:val="00AB7C21"/>
    <w:rsid w:val="00AB7E30"/>
    <w:rsid w:val="00AB7EFC"/>
    <w:rsid w:val="00AB7F1E"/>
    <w:rsid w:val="00AB7FF5"/>
    <w:rsid w:val="00AC0030"/>
    <w:rsid w:val="00AC00B1"/>
    <w:rsid w:val="00AC0105"/>
    <w:rsid w:val="00AC0335"/>
    <w:rsid w:val="00AC0365"/>
    <w:rsid w:val="00AC0637"/>
    <w:rsid w:val="00AC064D"/>
    <w:rsid w:val="00AC06CD"/>
    <w:rsid w:val="00AC06D6"/>
    <w:rsid w:val="00AC0754"/>
    <w:rsid w:val="00AC09E6"/>
    <w:rsid w:val="00AC0CAD"/>
    <w:rsid w:val="00AC0CC7"/>
    <w:rsid w:val="00AC0DC9"/>
    <w:rsid w:val="00AC0DD2"/>
    <w:rsid w:val="00AC0E76"/>
    <w:rsid w:val="00AC0E94"/>
    <w:rsid w:val="00AC0F2F"/>
    <w:rsid w:val="00AC0F94"/>
    <w:rsid w:val="00AC0FBD"/>
    <w:rsid w:val="00AC1032"/>
    <w:rsid w:val="00AC1135"/>
    <w:rsid w:val="00AC121A"/>
    <w:rsid w:val="00AC1250"/>
    <w:rsid w:val="00AC13A2"/>
    <w:rsid w:val="00AC152A"/>
    <w:rsid w:val="00AC154D"/>
    <w:rsid w:val="00AC16A5"/>
    <w:rsid w:val="00AC16C0"/>
    <w:rsid w:val="00AC1793"/>
    <w:rsid w:val="00AC17E3"/>
    <w:rsid w:val="00AC1810"/>
    <w:rsid w:val="00AC182C"/>
    <w:rsid w:val="00AC18FD"/>
    <w:rsid w:val="00AC19FE"/>
    <w:rsid w:val="00AC1A60"/>
    <w:rsid w:val="00AC1ACD"/>
    <w:rsid w:val="00AC1AFE"/>
    <w:rsid w:val="00AC1B09"/>
    <w:rsid w:val="00AC1B42"/>
    <w:rsid w:val="00AC1B43"/>
    <w:rsid w:val="00AC1B50"/>
    <w:rsid w:val="00AC1B8D"/>
    <w:rsid w:val="00AC1C73"/>
    <w:rsid w:val="00AC1CFF"/>
    <w:rsid w:val="00AC1DE0"/>
    <w:rsid w:val="00AC1ED5"/>
    <w:rsid w:val="00AC2051"/>
    <w:rsid w:val="00AC20CE"/>
    <w:rsid w:val="00AC213F"/>
    <w:rsid w:val="00AC2211"/>
    <w:rsid w:val="00AC2216"/>
    <w:rsid w:val="00AC2350"/>
    <w:rsid w:val="00AC2373"/>
    <w:rsid w:val="00AC2512"/>
    <w:rsid w:val="00AC2658"/>
    <w:rsid w:val="00AC28AD"/>
    <w:rsid w:val="00AC292F"/>
    <w:rsid w:val="00AC2A3F"/>
    <w:rsid w:val="00AC2A43"/>
    <w:rsid w:val="00AC2B55"/>
    <w:rsid w:val="00AC2B84"/>
    <w:rsid w:val="00AC2C55"/>
    <w:rsid w:val="00AC2CEC"/>
    <w:rsid w:val="00AC2D15"/>
    <w:rsid w:val="00AC2D59"/>
    <w:rsid w:val="00AC2DDD"/>
    <w:rsid w:val="00AC2E06"/>
    <w:rsid w:val="00AC3003"/>
    <w:rsid w:val="00AC30AB"/>
    <w:rsid w:val="00AC30E1"/>
    <w:rsid w:val="00AC3187"/>
    <w:rsid w:val="00AC31B0"/>
    <w:rsid w:val="00AC3243"/>
    <w:rsid w:val="00AC3298"/>
    <w:rsid w:val="00AC3308"/>
    <w:rsid w:val="00AC3330"/>
    <w:rsid w:val="00AC337F"/>
    <w:rsid w:val="00AC33F7"/>
    <w:rsid w:val="00AC3424"/>
    <w:rsid w:val="00AC3716"/>
    <w:rsid w:val="00AC374F"/>
    <w:rsid w:val="00AC378A"/>
    <w:rsid w:val="00AC37BA"/>
    <w:rsid w:val="00AC3857"/>
    <w:rsid w:val="00AC38D6"/>
    <w:rsid w:val="00AC38FC"/>
    <w:rsid w:val="00AC3940"/>
    <w:rsid w:val="00AC399A"/>
    <w:rsid w:val="00AC39BD"/>
    <w:rsid w:val="00AC3A21"/>
    <w:rsid w:val="00AC3B00"/>
    <w:rsid w:val="00AC3B87"/>
    <w:rsid w:val="00AC3BB9"/>
    <w:rsid w:val="00AC3C6E"/>
    <w:rsid w:val="00AC3C92"/>
    <w:rsid w:val="00AC3ECA"/>
    <w:rsid w:val="00AC3F20"/>
    <w:rsid w:val="00AC3FD9"/>
    <w:rsid w:val="00AC4087"/>
    <w:rsid w:val="00AC40D0"/>
    <w:rsid w:val="00AC40FC"/>
    <w:rsid w:val="00AC411D"/>
    <w:rsid w:val="00AC419E"/>
    <w:rsid w:val="00AC41C2"/>
    <w:rsid w:val="00AC4206"/>
    <w:rsid w:val="00AC425E"/>
    <w:rsid w:val="00AC4315"/>
    <w:rsid w:val="00AC4331"/>
    <w:rsid w:val="00AC4373"/>
    <w:rsid w:val="00AC43E6"/>
    <w:rsid w:val="00AC443B"/>
    <w:rsid w:val="00AC44B5"/>
    <w:rsid w:val="00AC454E"/>
    <w:rsid w:val="00AC465C"/>
    <w:rsid w:val="00AC4690"/>
    <w:rsid w:val="00AC46CB"/>
    <w:rsid w:val="00AC4709"/>
    <w:rsid w:val="00AC4716"/>
    <w:rsid w:val="00AC47CC"/>
    <w:rsid w:val="00AC482A"/>
    <w:rsid w:val="00AC4886"/>
    <w:rsid w:val="00AC48CD"/>
    <w:rsid w:val="00AC496C"/>
    <w:rsid w:val="00AC4A7C"/>
    <w:rsid w:val="00AC4BB0"/>
    <w:rsid w:val="00AC4C5E"/>
    <w:rsid w:val="00AC4C78"/>
    <w:rsid w:val="00AC4E0B"/>
    <w:rsid w:val="00AC4F77"/>
    <w:rsid w:val="00AC4F83"/>
    <w:rsid w:val="00AC504E"/>
    <w:rsid w:val="00AC5220"/>
    <w:rsid w:val="00AC5223"/>
    <w:rsid w:val="00AC529C"/>
    <w:rsid w:val="00AC52D9"/>
    <w:rsid w:val="00AC5330"/>
    <w:rsid w:val="00AC53E0"/>
    <w:rsid w:val="00AC5408"/>
    <w:rsid w:val="00AC56C0"/>
    <w:rsid w:val="00AC56E7"/>
    <w:rsid w:val="00AC575A"/>
    <w:rsid w:val="00AC57C7"/>
    <w:rsid w:val="00AC580F"/>
    <w:rsid w:val="00AC58F2"/>
    <w:rsid w:val="00AC5BD1"/>
    <w:rsid w:val="00AC5C7F"/>
    <w:rsid w:val="00AC5CF7"/>
    <w:rsid w:val="00AC5D18"/>
    <w:rsid w:val="00AC5E0C"/>
    <w:rsid w:val="00AC5E49"/>
    <w:rsid w:val="00AC5F2B"/>
    <w:rsid w:val="00AC5FAA"/>
    <w:rsid w:val="00AC5FCA"/>
    <w:rsid w:val="00AC5FD4"/>
    <w:rsid w:val="00AC6007"/>
    <w:rsid w:val="00AC603E"/>
    <w:rsid w:val="00AC60BB"/>
    <w:rsid w:val="00AC612A"/>
    <w:rsid w:val="00AC619B"/>
    <w:rsid w:val="00AC61B0"/>
    <w:rsid w:val="00AC629B"/>
    <w:rsid w:val="00AC62AE"/>
    <w:rsid w:val="00AC62DD"/>
    <w:rsid w:val="00AC6362"/>
    <w:rsid w:val="00AC63A0"/>
    <w:rsid w:val="00AC63FC"/>
    <w:rsid w:val="00AC644F"/>
    <w:rsid w:val="00AC6511"/>
    <w:rsid w:val="00AC6558"/>
    <w:rsid w:val="00AC665D"/>
    <w:rsid w:val="00AC66B5"/>
    <w:rsid w:val="00AC66BE"/>
    <w:rsid w:val="00AC6726"/>
    <w:rsid w:val="00AC67FF"/>
    <w:rsid w:val="00AC6818"/>
    <w:rsid w:val="00AC6841"/>
    <w:rsid w:val="00AC68F8"/>
    <w:rsid w:val="00AC690F"/>
    <w:rsid w:val="00AC692D"/>
    <w:rsid w:val="00AC6B60"/>
    <w:rsid w:val="00AC6B97"/>
    <w:rsid w:val="00AC6C34"/>
    <w:rsid w:val="00AC6C3D"/>
    <w:rsid w:val="00AC6DE1"/>
    <w:rsid w:val="00AC6ECC"/>
    <w:rsid w:val="00AC6F64"/>
    <w:rsid w:val="00AC6F8B"/>
    <w:rsid w:val="00AC6FA5"/>
    <w:rsid w:val="00AC6FFF"/>
    <w:rsid w:val="00AC7052"/>
    <w:rsid w:val="00AC71E5"/>
    <w:rsid w:val="00AC7302"/>
    <w:rsid w:val="00AC730B"/>
    <w:rsid w:val="00AC743F"/>
    <w:rsid w:val="00AC7470"/>
    <w:rsid w:val="00AC7489"/>
    <w:rsid w:val="00AC75B8"/>
    <w:rsid w:val="00AC7612"/>
    <w:rsid w:val="00AC761C"/>
    <w:rsid w:val="00AC76A3"/>
    <w:rsid w:val="00AC76D9"/>
    <w:rsid w:val="00AC771C"/>
    <w:rsid w:val="00AC772B"/>
    <w:rsid w:val="00AC78BB"/>
    <w:rsid w:val="00AC79D9"/>
    <w:rsid w:val="00AC7A26"/>
    <w:rsid w:val="00AC7AA0"/>
    <w:rsid w:val="00AC7AA6"/>
    <w:rsid w:val="00AC7B85"/>
    <w:rsid w:val="00AC7CD3"/>
    <w:rsid w:val="00AC7D1B"/>
    <w:rsid w:val="00AC7D4C"/>
    <w:rsid w:val="00AC7E18"/>
    <w:rsid w:val="00AC7E5E"/>
    <w:rsid w:val="00AC7E7C"/>
    <w:rsid w:val="00AC7ED3"/>
    <w:rsid w:val="00AC7EDA"/>
    <w:rsid w:val="00AC7F08"/>
    <w:rsid w:val="00AC7F77"/>
    <w:rsid w:val="00AD00DE"/>
    <w:rsid w:val="00AD0107"/>
    <w:rsid w:val="00AD0284"/>
    <w:rsid w:val="00AD0506"/>
    <w:rsid w:val="00AD058C"/>
    <w:rsid w:val="00AD058E"/>
    <w:rsid w:val="00AD05BE"/>
    <w:rsid w:val="00AD0681"/>
    <w:rsid w:val="00AD06DD"/>
    <w:rsid w:val="00AD0757"/>
    <w:rsid w:val="00AD07E1"/>
    <w:rsid w:val="00AD08DE"/>
    <w:rsid w:val="00AD08F1"/>
    <w:rsid w:val="00AD0976"/>
    <w:rsid w:val="00AD0ABB"/>
    <w:rsid w:val="00AD0B6B"/>
    <w:rsid w:val="00AD0D41"/>
    <w:rsid w:val="00AD0DD1"/>
    <w:rsid w:val="00AD0E91"/>
    <w:rsid w:val="00AD0F8D"/>
    <w:rsid w:val="00AD1033"/>
    <w:rsid w:val="00AD1090"/>
    <w:rsid w:val="00AD1258"/>
    <w:rsid w:val="00AD12B2"/>
    <w:rsid w:val="00AD136F"/>
    <w:rsid w:val="00AD142F"/>
    <w:rsid w:val="00AD14D7"/>
    <w:rsid w:val="00AD14FE"/>
    <w:rsid w:val="00AD1612"/>
    <w:rsid w:val="00AD1836"/>
    <w:rsid w:val="00AD1852"/>
    <w:rsid w:val="00AD189E"/>
    <w:rsid w:val="00AD19DB"/>
    <w:rsid w:val="00AD19E9"/>
    <w:rsid w:val="00AD1AB7"/>
    <w:rsid w:val="00AD1B18"/>
    <w:rsid w:val="00AD1B49"/>
    <w:rsid w:val="00AD1B5E"/>
    <w:rsid w:val="00AD1D60"/>
    <w:rsid w:val="00AD1D9E"/>
    <w:rsid w:val="00AD1DDB"/>
    <w:rsid w:val="00AD1E25"/>
    <w:rsid w:val="00AD1E99"/>
    <w:rsid w:val="00AD1F90"/>
    <w:rsid w:val="00AD2124"/>
    <w:rsid w:val="00AD2136"/>
    <w:rsid w:val="00AD21F0"/>
    <w:rsid w:val="00AD225D"/>
    <w:rsid w:val="00AD227F"/>
    <w:rsid w:val="00AD2283"/>
    <w:rsid w:val="00AD22D2"/>
    <w:rsid w:val="00AD245A"/>
    <w:rsid w:val="00AD24DE"/>
    <w:rsid w:val="00AD264E"/>
    <w:rsid w:val="00AD2738"/>
    <w:rsid w:val="00AD2749"/>
    <w:rsid w:val="00AD275D"/>
    <w:rsid w:val="00AD278C"/>
    <w:rsid w:val="00AD27BC"/>
    <w:rsid w:val="00AD29C1"/>
    <w:rsid w:val="00AD2A12"/>
    <w:rsid w:val="00AD2E14"/>
    <w:rsid w:val="00AD2FF2"/>
    <w:rsid w:val="00AD30C9"/>
    <w:rsid w:val="00AD31D5"/>
    <w:rsid w:val="00AD33D8"/>
    <w:rsid w:val="00AD357E"/>
    <w:rsid w:val="00AD37F7"/>
    <w:rsid w:val="00AD39ED"/>
    <w:rsid w:val="00AD3BAB"/>
    <w:rsid w:val="00AD3BFA"/>
    <w:rsid w:val="00AD3C1C"/>
    <w:rsid w:val="00AD3D0C"/>
    <w:rsid w:val="00AD3E41"/>
    <w:rsid w:val="00AD3F28"/>
    <w:rsid w:val="00AD4043"/>
    <w:rsid w:val="00AD40BE"/>
    <w:rsid w:val="00AD4173"/>
    <w:rsid w:val="00AD419B"/>
    <w:rsid w:val="00AD41A3"/>
    <w:rsid w:val="00AD422A"/>
    <w:rsid w:val="00AD424B"/>
    <w:rsid w:val="00AD4293"/>
    <w:rsid w:val="00AD434E"/>
    <w:rsid w:val="00AD43D9"/>
    <w:rsid w:val="00AD4538"/>
    <w:rsid w:val="00AD458E"/>
    <w:rsid w:val="00AD46D0"/>
    <w:rsid w:val="00AD47AC"/>
    <w:rsid w:val="00AD47B4"/>
    <w:rsid w:val="00AD487E"/>
    <w:rsid w:val="00AD49F5"/>
    <w:rsid w:val="00AD4AE9"/>
    <w:rsid w:val="00AD4B3B"/>
    <w:rsid w:val="00AD4C1D"/>
    <w:rsid w:val="00AD4E76"/>
    <w:rsid w:val="00AD4F01"/>
    <w:rsid w:val="00AD4F63"/>
    <w:rsid w:val="00AD4F70"/>
    <w:rsid w:val="00AD4FB1"/>
    <w:rsid w:val="00AD5137"/>
    <w:rsid w:val="00AD5157"/>
    <w:rsid w:val="00AD5195"/>
    <w:rsid w:val="00AD51DE"/>
    <w:rsid w:val="00AD5249"/>
    <w:rsid w:val="00AD5407"/>
    <w:rsid w:val="00AD542E"/>
    <w:rsid w:val="00AD5475"/>
    <w:rsid w:val="00AD5485"/>
    <w:rsid w:val="00AD551A"/>
    <w:rsid w:val="00AD555C"/>
    <w:rsid w:val="00AD5580"/>
    <w:rsid w:val="00AD5593"/>
    <w:rsid w:val="00AD55FB"/>
    <w:rsid w:val="00AD5764"/>
    <w:rsid w:val="00AD57F6"/>
    <w:rsid w:val="00AD580C"/>
    <w:rsid w:val="00AD58AE"/>
    <w:rsid w:val="00AD58F0"/>
    <w:rsid w:val="00AD5924"/>
    <w:rsid w:val="00AD594F"/>
    <w:rsid w:val="00AD5A62"/>
    <w:rsid w:val="00AD5AB8"/>
    <w:rsid w:val="00AD5B58"/>
    <w:rsid w:val="00AD5C3E"/>
    <w:rsid w:val="00AD5D4A"/>
    <w:rsid w:val="00AD5E3B"/>
    <w:rsid w:val="00AD5E47"/>
    <w:rsid w:val="00AD5EE1"/>
    <w:rsid w:val="00AD5F0B"/>
    <w:rsid w:val="00AD5F30"/>
    <w:rsid w:val="00AD5F3E"/>
    <w:rsid w:val="00AD60C3"/>
    <w:rsid w:val="00AD60F1"/>
    <w:rsid w:val="00AD6101"/>
    <w:rsid w:val="00AD619F"/>
    <w:rsid w:val="00AD62E6"/>
    <w:rsid w:val="00AD62F0"/>
    <w:rsid w:val="00AD630C"/>
    <w:rsid w:val="00AD631C"/>
    <w:rsid w:val="00AD633C"/>
    <w:rsid w:val="00AD6351"/>
    <w:rsid w:val="00AD6590"/>
    <w:rsid w:val="00AD661B"/>
    <w:rsid w:val="00AD666A"/>
    <w:rsid w:val="00AD6702"/>
    <w:rsid w:val="00AD67E1"/>
    <w:rsid w:val="00AD68B4"/>
    <w:rsid w:val="00AD691E"/>
    <w:rsid w:val="00AD69DC"/>
    <w:rsid w:val="00AD6A3A"/>
    <w:rsid w:val="00AD6B4E"/>
    <w:rsid w:val="00AD6B57"/>
    <w:rsid w:val="00AD6C43"/>
    <w:rsid w:val="00AD6D1A"/>
    <w:rsid w:val="00AD6D57"/>
    <w:rsid w:val="00AD6DEE"/>
    <w:rsid w:val="00AD6E3A"/>
    <w:rsid w:val="00AD6E68"/>
    <w:rsid w:val="00AD6F9B"/>
    <w:rsid w:val="00AD7025"/>
    <w:rsid w:val="00AD7194"/>
    <w:rsid w:val="00AD71AA"/>
    <w:rsid w:val="00AD71FA"/>
    <w:rsid w:val="00AD726E"/>
    <w:rsid w:val="00AD72A1"/>
    <w:rsid w:val="00AD72B4"/>
    <w:rsid w:val="00AD7306"/>
    <w:rsid w:val="00AD7318"/>
    <w:rsid w:val="00AD7330"/>
    <w:rsid w:val="00AD7438"/>
    <w:rsid w:val="00AD7552"/>
    <w:rsid w:val="00AD756A"/>
    <w:rsid w:val="00AD75AB"/>
    <w:rsid w:val="00AD76D3"/>
    <w:rsid w:val="00AD77A9"/>
    <w:rsid w:val="00AD782B"/>
    <w:rsid w:val="00AD7835"/>
    <w:rsid w:val="00AD7A92"/>
    <w:rsid w:val="00AD7ADA"/>
    <w:rsid w:val="00AD7B03"/>
    <w:rsid w:val="00AD7B3C"/>
    <w:rsid w:val="00AD7B4C"/>
    <w:rsid w:val="00AD7BDE"/>
    <w:rsid w:val="00AD7D38"/>
    <w:rsid w:val="00AD7D46"/>
    <w:rsid w:val="00AD7DEC"/>
    <w:rsid w:val="00AD7E5D"/>
    <w:rsid w:val="00AD7F78"/>
    <w:rsid w:val="00AD7F96"/>
    <w:rsid w:val="00AE002D"/>
    <w:rsid w:val="00AE0064"/>
    <w:rsid w:val="00AE017A"/>
    <w:rsid w:val="00AE036B"/>
    <w:rsid w:val="00AE0397"/>
    <w:rsid w:val="00AE0486"/>
    <w:rsid w:val="00AE05F2"/>
    <w:rsid w:val="00AE0609"/>
    <w:rsid w:val="00AE065C"/>
    <w:rsid w:val="00AE06D1"/>
    <w:rsid w:val="00AE0792"/>
    <w:rsid w:val="00AE07A4"/>
    <w:rsid w:val="00AE07F9"/>
    <w:rsid w:val="00AE0823"/>
    <w:rsid w:val="00AE084E"/>
    <w:rsid w:val="00AE08C5"/>
    <w:rsid w:val="00AE0958"/>
    <w:rsid w:val="00AE0A98"/>
    <w:rsid w:val="00AE0C82"/>
    <w:rsid w:val="00AE0DDB"/>
    <w:rsid w:val="00AE0F26"/>
    <w:rsid w:val="00AE0F42"/>
    <w:rsid w:val="00AE0F6F"/>
    <w:rsid w:val="00AE1083"/>
    <w:rsid w:val="00AE10D6"/>
    <w:rsid w:val="00AE111E"/>
    <w:rsid w:val="00AE117E"/>
    <w:rsid w:val="00AE1310"/>
    <w:rsid w:val="00AE1345"/>
    <w:rsid w:val="00AE1352"/>
    <w:rsid w:val="00AE15A7"/>
    <w:rsid w:val="00AE16B3"/>
    <w:rsid w:val="00AE1908"/>
    <w:rsid w:val="00AE19CC"/>
    <w:rsid w:val="00AE19EC"/>
    <w:rsid w:val="00AE1A33"/>
    <w:rsid w:val="00AE1A5F"/>
    <w:rsid w:val="00AE1A92"/>
    <w:rsid w:val="00AE1B42"/>
    <w:rsid w:val="00AE1D9E"/>
    <w:rsid w:val="00AE1DC2"/>
    <w:rsid w:val="00AE1E3E"/>
    <w:rsid w:val="00AE1E8E"/>
    <w:rsid w:val="00AE1F31"/>
    <w:rsid w:val="00AE1FF3"/>
    <w:rsid w:val="00AE2068"/>
    <w:rsid w:val="00AE2229"/>
    <w:rsid w:val="00AE2369"/>
    <w:rsid w:val="00AE23D4"/>
    <w:rsid w:val="00AE2464"/>
    <w:rsid w:val="00AE2538"/>
    <w:rsid w:val="00AE253E"/>
    <w:rsid w:val="00AE25EB"/>
    <w:rsid w:val="00AE2721"/>
    <w:rsid w:val="00AE2743"/>
    <w:rsid w:val="00AE2795"/>
    <w:rsid w:val="00AE2862"/>
    <w:rsid w:val="00AE2878"/>
    <w:rsid w:val="00AE296C"/>
    <w:rsid w:val="00AE2994"/>
    <w:rsid w:val="00AE2A8A"/>
    <w:rsid w:val="00AE2AD6"/>
    <w:rsid w:val="00AE2AF4"/>
    <w:rsid w:val="00AE2BDA"/>
    <w:rsid w:val="00AE2EAF"/>
    <w:rsid w:val="00AE2EBC"/>
    <w:rsid w:val="00AE2F75"/>
    <w:rsid w:val="00AE3099"/>
    <w:rsid w:val="00AE30AC"/>
    <w:rsid w:val="00AE30C2"/>
    <w:rsid w:val="00AE30EA"/>
    <w:rsid w:val="00AE313B"/>
    <w:rsid w:val="00AE326D"/>
    <w:rsid w:val="00AE33AC"/>
    <w:rsid w:val="00AE33FE"/>
    <w:rsid w:val="00AE3410"/>
    <w:rsid w:val="00AE3465"/>
    <w:rsid w:val="00AE3654"/>
    <w:rsid w:val="00AE3696"/>
    <w:rsid w:val="00AE36AD"/>
    <w:rsid w:val="00AE36D3"/>
    <w:rsid w:val="00AE36EE"/>
    <w:rsid w:val="00AE376B"/>
    <w:rsid w:val="00AE3770"/>
    <w:rsid w:val="00AE37F0"/>
    <w:rsid w:val="00AE3875"/>
    <w:rsid w:val="00AE387C"/>
    <w:rsid w:val="00AE38BC"/>
    <w:rsid w:val="00AE38C8"/>
    <w:rsid w:val="00AE396C"/>
    <w:rsid w:val="00AE39D5"/>
    <w:rsid w:val="00AE3A8C"/>
    <w:rsid w:val="00AE3B5C"/>
    <w:rsid w:val="00AE3C57"/>
    <w:rsid w:val="00AE3D4D"/>
    <w:rsid w:val="00AE3E00"/>
    <w:rsid w:val="00AE3E20"/>
    <w:rsid w:val="00AE3E53"/>
    <w:rsid w:val="00AE3E7A"/>
    <w:rsid w:val="00AE3EED"/>
    <w:rsid w:val="00AE3FC1"/>
    <w:rsid w:val="00AE40A7"/>
    <w:rsid w:val="00AE40CF"/>
    <w:rsid w:val="00AE40D9"/>
    <w:rsid w:val="00AE414C"/>
    <w:rsid w:val="00AE42C6"/>
    <w:rsid w:val="00AE4333"/>
    <w:rsid w:val="00AE4548"/>
    <w:rsid w:val="00AE46AB"/>
    <w:rsid w:val="00AE46EC"/>
    <w:rsid w:val="00AE4755"/>
    <w:rsid w:val="00AE4778"/>
    <w:rsid w:val="00AE4789"/>
    <w:rsid w:val="00AE47F5"/>
    <w:rsid w:val="00AE488B"/>
    <w:rsid w:val="00AE488F"/>
    <w:rsid w:val="00AE48D6"/>
    <w:rsid w:val="00AE4907"/>
    <w:rsid w:val="00AE492C"/>
    <w:rsid w:val="00AE4945"/>
    <w:rsid w:val="00AE49F0"/>
    <w:rsid w:val="00AE4A2F"/>
    <w:rsid w:val="00AE4AAF"/>
    <w:rsid w:val="00AE4B1D"/>
    <w:rsid w:val="00AE4CE7"/>
    <w:rsid w:val="00AE4D36"/>
    <w:rsid w:val="00AE4D69"/>
    <w:rsid w:val="00AE4DA8"/>
    <w:rsid w:val="00AE4DAF"/>
    <w:rsid w:val="00AE4DF6"/>
    <w:rsid w:val="00AE4E10"/>
    <w:rsid w:val="00AE4ED2"/>
    <w:rsid w:val="00AE4F63"/>
    <w:rsid w:val="00AE4F95"/>
    <w:rsid w:val="00AE5078"/>
    <w:rsid w:val="00AE5079"/>
    <w:rsid w:val="00AE5080"/>
    <w:rsid w:val="00AE517F"/>
    <w:rsid w:val="00AE5184"/>
    <w:rsid w:val="00AE51C2"/>
    <w:rsid w:val="00AE520A"/>
    <w:rsid w:val="00AE52F6"/>
    <w:rsid w:val="00AE52F7"/>
    <w:rsid w:val="00AE53CB"/>
    <w:rsid w:val="00AE545C"/>
    <w:rsid w:val="00AE548A"/>
    <w:rsid w:val="00AE560A"/>
    <w:rsid w:val="00AE5614"/>
    <w:rsid w:val="00AE56BB"/>
    <w:rsid w:val="00AE572E"/>
    <w:rsid w:val="00AE57DC"/>
    <w:rsid w:val="00AE59AE"/>
    <w:rsid w:val="00AE59DF"/>
    <w:rsid w:val="00AE5A2B"/>
    <w:rsid w:val="00AE5A65"/>
    <w:rsid w:val="00AE5A81"/>
    <w:rsid w:val="00AE5AFB"/>
    <w:rsid w:val="00AE5BD0"/>
    <w:rsid w:val="00AE5C06"/>
    <w:rsid w:val="00AE5C78"/>
    <w:rsid w:val="00AE5CC3"/>
    <w:rsid w:val="00AE5D3F"/>
    <w:rsid w:val="00AE5D80"/>
    <w:rsid w:val="00AE5DD3"/>
    <w:rsid w:val="00AE5DDA"/>
    <w:rsid w:val="00AE5E46"/>
    <w:rsid w:val="00AE5F13"/>
    <w:rsid w:val="00AE5FA3"/>
    <w:rsid w:val="00AE6022"/>
    <w:rsid w:val="00AE6062"/>
    <w:rsid w:val="00AE6113"/>
    <w:rsid w:val="00AE61DE"/>
    <w:rsid w:val="00AE62A9"/>
    <w:rsid w:val="00AE6325"/>
    <w:rsid w:val="00AE6360"/>
    <w:rsid w:val="00AE6447"/>
    <w:rsid w:val="00AE644B"/>
    <w:rsid w:val="00AE6459"/>
    <w:rsid w:val="00AE649C"/>
    <w:rsid w:val="00AE64B3"/>
    <w:rsid w:val="00AE6566"/>
    <w:rsid w:val="00AE663C"/>
    <w:rsid w:val="00AE6658"/>
    <w:rsid w:val="00AE689F"/>
    <w:rsid w:val="00AE69C4"/>
    <w:rsid w:val="00AE69D9"/>
    <w:rsid w:val="00AE6BCA"/>
    <w:rsid w:val="00AE6C01"/>
    <w:rsid w:val="00AE6CE7"/>
    <w:rsid w:val="00AE6D85"/>
    <w:rsid w:val="00AE6DFA"/>
    <w:rsid w:val="00AE6E2E"/>
    <w:rsid w:val="00AE6EF3"/>
    <w:rsid w:val="00AE6F7D"/>
    <w:rsid w:val="00AE7196"/>
    <w:rsid w:val="00AE7290"/>
    <w:rsid w:val="00AE732D"/>
    <w:rsid w:val="00AE7377"/>
    <w:rsid w:val="00AE73BE"/>
    <w:rsid w:val="00AE74BB"/>
    <w:rsid w:val="00AE7538"/>
    <w:rsid w:val="00AE76CC"/>
    <w:rsid w:val="00AE76D8"/>
    <w:rsid w:val="00AE7703"/>
    <w:rsid w:val="00AE7740"/>
    <w:rsid w:val="00AE77B2"/>
    <w:rsid w:val="00AE77EA"/>
    <w:rsid w:val="00AE7824"/>
    <w:rsid w:val="00AE7853"/>
    <w:rsid w:val="00AE786B"/>
    <w:rsid w:val="00AE788D"/>
    <w:rsid w:val="00AE7974"/>
    <w:rsid w:val="00AE7A11"/>
    <w:rsid w:val="00AE7AE0"/>
    <w:rsid w:val="00AE7B3D"/>
    <w:rsid w:val="00AE7B9A"/>
    <w:rsid w:val="00AE7DF6"/>
    <w:rsid w:val="00AE7E80"/>
    <w:rsid w:val="00AE7F7F"/>
    <w:rsid w:val="00AF0022"/>
    <w:rsid w:val="00AF002F"/>
    <w:rsid w:val="00AF008A"/>
    <w:rsid w:val="00AF009A"/>
    <w:rsid w:val="00AF00B0"/>
    <w:rsid w:val="00AF01E4"/>
    <w:rsid w:val="00AF029D"/>
    <w:rsid w:val="00AF02C4"/>
    <w:rsid w:val="00AF0302"/>
    <w:rsid w:val="00AF031E"/>
    <w:rsid w:val="00AF03CB"/>
    <w:rsid w:val="00AF04A7"/>
    <w:rsid w:val="00AF0518"/>
    <w:rsid w:val="00AF064C"/>
    <w:rsid w:val="00AF0802"/>
    <w:rsid w:val="00AF0A3B"/>
    <w:rsid w:val="00AF0A49"/>
    <w:rsid w:val="00AF0A8B"/>
    <w:rsid w:val="00AF0B33"/>
    <w:rsid w:val="00AF0B3E"/>
    <w:rsid w:val="00AF0BCC"/>
    <w:rsid w:val="00AF0BF5"/>
    <w:rsid w:val="00AF0CA0"/>
    <w:rsid w:val="00AF0D15"/>
    <w:rsid w:val="00AF0D64"/>
    <w:rsid w:val="00AF0DC0"/>
    <w:rsid w:val="00AF0EC4"/>
    <w:rsid w:val="00AF0F84"/>
    <w:rsid w:val="00AF0F85"/>
    <w:rsid w:val="00AF1006"/>
    <w:rsid w:val="00AF109E"/>
    <w:rsid w:val="00AF10F7"/>
    <w:rsid w:val="00AF114F"/>
    <w:rsid w:val="00AF11FC"/>
    <w:rsid w:val="00AF1230"/>
    <w:rsid w:val="00AF1250"/>
    <w:rsid w:val="00AF1416"/>
    <w:rsid w:val="00AF142A"/>
    <w:rsid w:val="00AF144D"/>
    <w:rsid w:val="00AF150A"/>
    <w:rsid w:val="00AF1594"/>
    <w:rsid w:val="00AF17D7"/>
    <w:rsid w:val="00AF18D7"/>
    <w:rsid w:val="00AF1A74"/>
    <w:rsid w:val="00AF1AD2"/>
    <w:rsid w:val="00AF1B01"/>
    <w:rsid w:val="00AF1BB3"/>
    <w:rsid w:val="00AF1D0A"/>
    <w:rsid w:val="00AF1F30"/>
    <w:rsid w:val="00AF206C"/>
    <w:rsid w:val="00AF20F7"/>
    <w:rsid w:val="00AF21A9"/>
    <w:rsid w:val="00AF21B7"/>
    <w:rsid w:val="00AF21C0"/>
    <w:rsid w:val="00AF21F6"/>
    <w:rsid w:val="00AF221E"/>
    <w:rsid w:val="00AF24AA"/>
    <w:rsid w:val="00AF27BE"/>
    <w:rsid w:val="00AF2875"/>
    <w:rsid w:val="00AF2914"/>
    <w:rsid w:val="00AF29BB"/>
    <w:rsid w:val="00AF2A04"/>
    <w:rsid w:val="00AF2A4D"/>
    <w:rsid w:val="00AF2AB8"/>
    <w:rsid w:val="00AF2AED"/>
    <w:rsid w:val="00AF2B14"/>
    <w:rsid w:val="00AF2B46"/>
    <w:rsid w:val="00AF2C71"/>
    <w:rsid w:val="00AF2CF5"/>
    <w:rsid w:val="00AF2E78"/>
    <w:rsid w:val="00AF2E84"/>
    <w:rsid w:val="00AF2F36"/>
    <w:rsid w:val="00AF2F7A"/>
    <w:rsid w:val="00AF302C"/>
    <w:rsid w:val="00AF3030"/>
    <w:rsid w:val="00AF3057"/>
    <w:rsid w:val="00AF3072"/>
    <w:rsid w:val="00AF3088"/>
    <w:rsid w:val="00AF30F3"/>
    <w:rsid w:val="00AF30F9"/>
    <w:rsid w:val="00AF320A"/>
    <w:rsid w:val="00AF3246"/>
    <w:rsid w:val="00AF32F5"/>
    <w:rsid w:val="00AF3307"/>
    <w:rsid w:val="00AF33B6"/>
    <w:rsid w:val="00AF3424"/>
    <w:rsid w:val="00AF3432"/>
    <w:rsid w:val="00AF3485"/>
    <w:rsid w:val="00AF3498"/>
    <w:rsid w:val="00AF3636"/>
    <w:rsid w:val="00AF3669"/>
    <w:rsid w:val="00AF3820"/>
    <w:rsid w:val="00AF389B"/>
    <w:rsid w:val="00AF392D"/>
    <w:rsid w:val="00AF3935"/>
    <w:rsid w:val="00AF3943"/>
    <w:rsid w:val="00AF3A34"/>
    <w:rsid w:val="00AF3AE9"/>
    <w:rsid w:val="00AF3B63"/>
    <w:rsid w:val="00AF3C9D"/>
    <w:rsid w:val="00AF3D50"/>
    <w:rsid w:val="00AF3D9B"/>
    <w:rsid w:val="00AF3DE4"/>
    <w:rsid w:val="00AF3DFA"/>
    <w:rsid w:val="00AF3FDC"/>
    <w:rsid w:val="00AF4021"/>
    <w:rsid w:val="00AF4088"/>
    <w:rsid w:val="00AF40EF"/>
    <w:rsid w:val="00AF4102"/>
    <w:rsid w:val="00AF42E9"/>
    <w:rsid w:val="00AF4341"/>
    <w:rsid w:val="00AF43F6"/>
    <w:rsid w:val="00AF444C"/>
    <w:rsid w:val="00AF44C2"/>
    <w:rsid w:val="00AF45A0"/>
    <w:rsid w:val="00AF45B9"/>
    <w:rsid w:val="00AF46A3"/>
    <w:rsid w:val="00AF46EA"/>
    <w:rsid w:val="00AF4701"/>
    <w:rsid w:val="00AF4748"/>
    <w:rsid w:val="00AF4828"/>
    <w:rsid w:val="00AF4944"/>
    <w:rsid w:val="00AF4948"/>
    <w:rsid w:val="00AF4AFB"/>
    <w:rsid w:val="00AF4B25"/>
    <w:rsid w:val="00AF4C7A"/>
    <w:rsid w:val="00AF4D10"/>
    <w:rsid w:val="00AF4DE0"/>
    <w:rsid w:val="00AF4E83"/>
    <w:rsid w:val="00AF4ED7"/>
    <w:rsid w:val="00AF5034"/>
    <w:rsid w:val="00AF5141"/>
    <w:rsid w:val="00AF53D9"/>
    <w:rsid w:val="00AF5423"/>
    <w:rsid w:val="00AF543F"/>
    <w:rsid w:val="00AF5628"/>
    <w:rsid w:val="00AF5713"/>
    <w:rsid w:val="00AF57BB"/>
    <w:rsid w:val="00AF57C7"/>
    <w:rsid w:val="00AF57D3"/>
    <w:rsid w:val="00AF5815"/>
    <w:rsid w:val="00AF5834"/>
    <w:rsid w:val="00AF58C8"/>
    <w:rsid w:val="00AF58D2"/>
    <w:rsid w:val="00AF5A5B"/>
    <w:rsid w:val="00AF5B31"/>
    <w:rsid w:val="00AF5CB1"/>
    <w:rsid w:val="00AF5D7E"/>
    <w:rsid w:val="00AF5E1A"/>
    <w:rsid w:val="00AF5E76"/>
    <w:rsid w:val="00AF5EDD"/>
    <w:rsid w:val="00AF5FB3"/>
    <w:rsid w:val="00AF5FF5"/>
    <w:rsid w:val="00AF6128"/>
    <w:rsid w:val="00AF6333"/>
    <w:rsid w:val="00AF6428"/>
    <w:rsid w:val="00AF64BA"/>
    <w:rsid w:val="00AF6508"/>
    <w:rsid w:val="00AF65B3"/>
    <w:rsid w:val="00AF66F0"/>
    <w:rsid w:val="00AF6717"/>
    <w:rsid w:val="00AF696D"/>
    <w:rsid w:val="00AF6981"/>
    <w:rsid w:val="00AF6B01"/>
    <w:rsid w:val="00AF6B98"/>
    <w:rsid w:val="00AF6B9F"/>
    <w:rsid w:val="00AF6BA9"/>
    <w:rsid w:val="00AF6D65"/>
    <w:rsid w:val="00AF709D"/>
    <w:rsid w:val="00AF711A"/>
    <w:rsid w:val="00AF7386"/>
    <w:rsid w:val="00AF745F"/>
    <w:rsid w:val="00AF74A8"/>
    <w:rsid w:val="00AF7597"/>
    <w:rsid w:val="00AF75A6"/>
    <w:rsid w:val="00AF7609"/>
    <w:rsid w:val="00AF769D"/>
    <w:rsid w:val="00AF771D"/>
    <w:rsid w:val="00AF782B"/>
    <w:rsid w:val="00AF78B5"/>
    <w:rsid w:val="00AF78D0"/>
    <w:rsid w:val="00AF79AA"/>
    <w:rsid w:val="00AF79F5"/>
    <w:rsid w:val="00AF7A61"/>
    <w:rsid w:val="00AF7AFF"/>
    <w:rsid w:val="00AF7C3F"/>
    <w:rsid w:val="00AF7C80"/>
    <w:rsid w:val="00AF7D08"/>
    <w:rsid w:val="00AF7D41"/>
    <w:rsid w:val="00AF7EE7"/>
    <w:rsid w:val="00AF7FA7"/>
    <w:rsid w:val="00AF7FE9"/>
    <w:rsid w:val="00B0017A"/>
    <w:rsid w:val="00B0018F"/>
    <w:rsid w:val="00B002DC"/>
    <w:rsid w:val="00B003CC"/>
    <w:rsid w:val="00B00558"/>
    <w:rsid w:val="00B007DD"/>
    <w:rsid w:val="00B0091C"/>
    <w:rsid w:val="00B00930"/>
    <w:rsid w:val="00B009AB"/>
    <w:rsid w:val="00B009B0"/>
    <w:rsid w:val="00B00A5E"/>
    <w:rsid w:val="00B00A6F"/>
    <w:rsid w:val="00B00B00"/>
    <w:rsid w:val="00B00C43"/>
    <w:rsid w:val="00B00D21"/>
    <w:rsid w:val="00B00D6C"/>
    <w:rsid w:val="00B00F6C"/>
    <w:rsid w:val="00B01014"/>
    <w:rsid w:val="00B010FE"/>
    <w:rsid w:val="00B01203"/>
    <w:rsid w:val="00B01489"/>
    <w:rsid w:val="00B0151C"/>
    <w:rsid w:val="00B015A6"/>
    <w:rsid w:val="00B0169B"/>
    <w:rsid w:val="00B016B8"/>
    <w:rsid w:val="00B01718"/>
    <w:rsid w:val="00B01745"/>
    <w:rsid w:val="00B01766"/>
    <w:rsid w:val="00B017BC"/>
    <w:rsid w:val="00B017BF"/>
    <w:rsid w:val="00B01854"/>
    <w:rsid w:val="00B01905"/>
    <w:rsid w:val="00B0195B"/>
    <w:rsid w:val="00B01A47"/>
    <w:rsid w:val="00B01BA2"/>
    <w:rsid w:val="00B01C81"/>
    <w:rsid w:val="00B01CB6"/>
    <w:rsid w:val="00B01D40"/>
    <w:rsid w:val="00B01DEA"/>
    <w:rsid w:val="00B01E3A"/>
    <w:rsid w:val="00B01E9B"/>
    <w:rsid w:val="00B01ED0"/>
    <w:rsid w:val="00B01EE8"/>
    <w:rsid w:val="00B01EFE"/>
    <w:rsid w:val="00B01F0F"/>
    <w:rsid w:val="00B01F90"/>
    <w:rsid w:val="00B0217A"/>
    <w:rsid w:val="00B02183"/>
    <w:rsid w:val="00B02186"/>
    <w:rsid w:val="00B0218E"/>
    <w:rsid w:val="00B02544"/>
    <w:rsid w:val="00B0255C"/>
    <w:rsid w:val="00B026A0"/>
    <w:rsid w:val="00B026E1"/>
    <w:rsid w:val="00B026E2"/>
    <w:rsid w:val="00B02744"/>
    <w:rsid w:val="00B027DA"/>
    <w:rsid w:val="00B02902"/>
    <w:rsid w:val="00B029A6"/>
    <w:rsid w:val="00B02A54"/>
    <w:rsid w:val="00B02A67"/>
    <w:rsid w:val="00B02AC7"/>
    <w:rsid w:val="00B02AD7"/>
    <w:rsid w:val="00B02B03"/>
    <w:rsid w:val="00B02B63"/>
    <w:rsid w:val="00B02B77"/>
    <w:rsid w:val="00B02C20"/>
    <w:rsid w:val="00B02C41"/>
    <w:rsid w:val="00B02CF5"/>
    <w:rsid w:val="00B02DCC"/>
    <w:rsid w:val="00B02F57"/>
    <w:rsid w:val="00B0313F"/>
    <w:rsid w:val="00B03325"/>
    <w:rsid w:val="00B0332D"/>
    <w:rsid w:val="00B0339B"/>
    <w:rsid w:val="00B03419"/>
    <w:rsid w:val="00B03429"/>
    <w:rsid w:val="00B03434"/>
    <w:rsid w:val="00B03499"/>
    <w:rsid w:val="00B0349A"/>
    <w:rsid w:val="00B034B2"/>
    <w:rsid w:val="00B035C2"/>
    <w:rsid w:val="00B03657"/>
    <w:rsid w:val="00B0373D"/>
    <w:rsid w:val="00B03869"/>
    <w:rsid w:val="00B039E1"/>
    <w:rsid w:val="00B03A0C"/>
    <w:rsid w:val="00B03AE0"/>
    <w:rsid w:val="00B03BEF"/>
    <w:rsid w:val="00B03C61"/>
    <w:rsid w:val="00B03CAB"/>
    <w:rsid w:val="00B03F5B"/>
    <w:rsid w:val="00B04061"/>
    <w:rsid w:val="00B04099"/>
    <w:rsid w:val="00B04162"/>
    <w:rsid w:val="00B042C3"/>
    <w:rsid w:val="00B04449"/>
    <w:rsid w:val="00B044AC"/>
    <w:rsid w:val="00B04568"/>
    <w:rsid w:val="00B045DF"/>
    <w:rsid w:val="00B0462C"/>
    <w:rsid w:val="00B046B3"/>
    <w:rsid w:val="00B0474B"/>
    <w:rsid w:val="00B047C2"/>
    <w:rsid w:val="00B048ED"/>
    <w:rsid w:val="00B04B84"/>
    <w:rsid w:val="00B04CF7"/>
    <w:rsid w:val="00B04D71"/>
    <w:rsid w:val="00B04D77"/>
    <w:rsid w:val="00B04DFF"/>
    <w:rsid w:val="00B04E6A"/>
    <w:rsid w:val="00B04F1A"/>
    <w:rsid w:val="00B04F89"/>
    <w:rsid w:val="00B04FBA"/>
    <w:rsid w:val="00B05059"/>
    <w:rsid w:val="00B0506F"/>
    <w:rsid w:val="00B05131"/>
    <w:rsid w:val="00B05160"/>
    <w:rsid w:val="00B051A8"/>
    <w:rsid w:val="00B05231"/>
    <w:rsid w:val="00B0523C"/>
    <w:rsid w:val="00B05279"/>
    <w:rsid w:val="00B052F1"/>
    <w:rsid w:val="00B05393"/>
    <w:rsid w:val="00B053E8"/>
    <w:rsid w:val="00B054EA"/>
    <w:rsid w:val="00B0554A"/>
    <w:rsid w:val="00B056D5"/>
    <w:rsid w:val="00B0575C"/>
    <w:rsid w:val="00B05883"/>
    <w:rsid w:val="00B0589B"/>
    <w:rsid w:val="00B058AB"/>
    <w:rsid w:val="00B058BD"/>
    <w:rsid w:val="00B058EE"/>
    <w:rsid w:val="00B05954"/>
    <w:rsid w:val="00B05AA1"/>
    <w:rsid w:val="00B05BC2"/>
    <w:rsid w:val="00B05DC2"/>
    <w:rsid w:val="00B05EBA"/>
    <w:rsid w:val="00B05F30"/>
    <w:rsid w:val="00B05F38"/>
    <w:rsid w:val="00B05F51"/>
    <w:rsid w:val="00B060A0"/>
    <w:rsid w:val="00B061B8"/>
    <w:rsid w:val="00B06247"/>
    <w:rsid w:val="00B06249"/>
    <w:rsid w:val="00B062D0"/>
    <w:rsid w:val="00B064C3"/>
    <w:rsid w:val="00B064FF"/>
    <w:rsid w:val="00B0651F"/>
    <w:rsid w:val="00B06545"/>
    <w:rsid w:val="00B065CF"/>
    <w:rsid w:val="00B065F2"/>
    <w:rsid w:val="00B06659"/>
    <w:rsid w:val="00B06864"/>
    <w:rsid w:val="00B068C1"/>
    <w:rsid w:val="00B06946"/>
    <w:rsid w:val="00B06949"/>
    <w:rsid w:val="00B06999"/>
    <w:rsid w:val="00B06B52"/>
    <w:rsid w:val="00B06BED"/>
    <w:rsid w:val="00B06CD6"/>
    <w:rsid w:val="00B06D44"/>
    <w:rsid w:val="00B06EA9"/>
    <w:rsid w:val="00B0714B"/>
    <w:rsid w:val="00B071E6"/>
    <w:rsid w:val="00B072DB"/>
    <w:rsid w:val="00B07394"/>
    <w:rsid w:val="00B07481"/>
    <w:rsid w:val="00B075F3"/>
    <w:rsid w:val="00B07719"/>
    <w:rsid w:val="00B07876"/>
    <w:rsid w:val="00B07892"/>
    <w:rsid w:val="00B07BA8"/>
    <w:rsid w:val="00B07CB1"/>
    <w:rsid w:val="00B07E53"/>
    <w:rsid w:val="00B10039"/>
    <w:rsid w:val="00B101AD"/>
    <w:rsid w:val="00B1027F"/>
    <w:rsid w:val="00B1028A"/>
    <w:rsid w:val="00B1037A"/>
    <w:rsid w:val="00B1038E"/>
    <w:rsid w:val="00B103D2"/>
    <w:rsid w:val="00B10420"/>
    <w:rsid w:val="00B106C4"/>
    <w:rsid w:val="00B106D1"/>
    <w:rsid w:val="00B106E3"/>
    <w:rsid w:val="00B10997"/>
    <w:rsid w:val="00B109C2"/>
    <w:rsid w:val="00B109CE"/>
    <w:rsid w:val="00B10A1C"/>
    <w:rsid w:val="00B10A20"/>
    <w:rsid w:val="00B10B60"/>
    <w:rsid w:val="00B10C09"/>
    <w:rsid w:val="00B10C3C"/>
    <w:rsid w:val="00B10C66"/>
    <w:rsid w:val="00B10D2E"/>
    <w:rsid w:val="00B10D47"/>
    <w:rsid w:val="00B10EF3"/>
    <w:rsid w:val="00B10F24"/>
    <w:rsid w:val="00B11038"/>
    <w:rsid w:val="00B111DF"/>
    <w:rsid w:val="00B1123B"/>
    <w:rsid w:val="00B11335"/>
    <w:rsid w:val="00B11336"/>
    <w:rsid w:val="00B1135F"/>
    <w:rsid w:val="00B113BF"/>
    <w:rsid w:val="00B11540"/>
    <w:rsid w:val="00B11547"/>
    <w:rsid w:val="00B1157B"/>
    <w:rsid w:val="00B11593"/>
    <w:rsid w:val="00B11650"/>
    <w:rsid w:val="00B118AD"/>
    <w:rsid w:val="00B118C9"/>
    <w:rsid w:val="00B1190D"/>
    <w:rsid w:val="00B11926"/>
    <w:rsid w:val="00B1197D"/>
    <w:rsid w:val="00B119BD"/>
    <w:rsid w:val="00B119F8"/>
    <w:rsid w:val="00B11A52"/>
    <w:rsid w:val="00B11AD4"/>
    <w:rsid w:val="00B11AEE"/>
    <w:rsid w:val="00B11B57"/>
    <w:rsid w:val="00B11B76"/>
    <w:rsid w:val="00B11BFC"/>
    <w:rsid w:val="00B11BFD"/>
    <w:rsid w:val="00B11C8F"/>
    <w:rsid w:val="00B11D34"/>
    <w:rsid w:val="00B11DC3"/>
    <w:rsid w:val="00B11E12"/>
    <w:rsid w:val="00B11E63"/>
    <w:rsid w:val="00B11E65"/>
    <w:rsid w:val="00B11EC6"/>
    <w:rsid w:val="00B11ED2"/>
    <w:rsid w:val="00B11F1A"/>
    <w:rsid w:val="00B11F2D"/>
    <w:rsid w:val="00B1212C"/>
    <w:rsid w:val="00B1216D"/>
    <w:rsid w:val="00B1244A"/>
    <w:rsid w:val="00B125A4"/>
    <w:rsid w:val="00B1268C"/>
    <w:rsid w:val="00B1272B"/>
    <w:rsid w:val="00B12764"/>
    <w:rsid w:val="00B12787"/>
    <w:rsid w:val="00B127B9"/>
    <w:rsid w:val="00B128D1"/>
    <w:rsid w:val="00B129CD"/>
    <w:rsid w:val="00B12A92"/>
    <w:rsid w:val="00B12ABF"/>
    <w:rsid w:val="00B12B08"/>
    <w:rsid w:val="00B12BAF"/>
    <w:rsid w:val="00B12C06"/>
    <w:rsid w:val="00B12C76"/>
    <w:rsid w:val="00B12DDA"/>
    <w:rsid w:val="00B12E32"/>
    <w:rsid w:val="00B12F73"/>
    <w:rsid w:val="00B12FF4"/>
    <w:rsid w:val="00B13035"/>
    <w:rsid w:val="00B1321E"/>
    <w:rsid w:val="00B13277"/>
    <w:rsid w:val="00B132BA"/>
    <w:rsid w:val="00B13428"/>
    <w:rsid w:val="00B134AA"/>
    <w:rsid w:val="00B134B9"/>
    <w:rsid w:val="00B1363F"/>
    <w:rsid w:val="00B136AA"/>
    <w:rsid w:val="00B137FD"/>
    <w:rsid w:val="00B1381E"/>
    <w:rsid w:val="00B1391C"/>
    <w:rsid w:val="00B139AF"/>
    <w:rsid w:val="00B13A54"/>
    <w:rsid w:val="00B13B56"/>
    <w:rsid w:val="00B13C19"/>
    <w:rsid w:val="00B13C1F"/>
    <w:rsid w:val="00B13D30"/>
    <w:rsid w:val="00B13D32"/>
    <w:rsid w:val="00B13EB9"/>
    <w:rsid w:val="00B13EDA"/>
    <w:rsid w:val="00B13FD9"/>
    <w:rsid w:val="00B140F8"/>
    <w:rsid w:val="00B1412D"/>
    <w:rsid w:val="00B1425C"/>
    <w:rsid w:val="00B142FA"/>
    <w:rsid w:val="00B1435B"/>
    <w:rsid w:val="00B14464"/>
    <w:rsid w:val="00B14479"/>
    <w:rsid w:val="00B144D4"/>
    <w:rsid w:val="00B1453B"/>
    <w:rsid w:val="00B1457B"/>
    <w:rsid w:val="00B14589"/>
    <w:rsid w:val="00B145BA"/>
    <w:rsid w:val="00B145F3"/>
    <w:rsid w:val="00B1469E"/>
    <w:rsid w:val="00B14728"/>
    <w:rsid w:val="00B14751"/>
    <w:rsid w:val="00B147CA"/>
    <w:rsid w:val="00B1489B"/>
    <w:rsid w:val="00B148FA"/>
    <w:rsid w:val="00B1491F"/>
    <w:rsid w:val="00B149FC"/>
    <w:rsid w:val="00B14A0A"/>
    <w:rsid w:val="00B14BD1"/>
    <w:rsid w:val="00B14C52"/>
    <w:rsid w:val="00B14C5F"/>
    <w:rsid w:val="00B14CE6"/>
    <w:rsid w:val="00B14D72"/>
    <w:rsid w:val="00B14D89"/>
    <w:rsid w:val="00B14E14"/>
    <w:rsid w:val="00B14E9C"/>
    <w:rsid w:val="00B14EA9"/>
    <w:rsid w:val="00B14EEC"/>
    <w:rsid w:val="00B14F80"/>
    <w:rsid w:val="00B15014"/>
    <w:rsid w:val="00B15055"/>
    <w:rsid w:val="00B15065"/>
    <w:rsid w:val="00B1508C"/>
    <w:rsid w:val="00B15199"/>
    <w:rsid w:val="00B1522A"/>
    <w:rsid w:val="00B152C2"/>
    <w:rsid w:val="00B1547F"/>
    <w:rsid w:val="00B1549B"/>
    <w:rsid w:val="00B15506"/>
    <w:rsid w:val="00B1550C"/>
    <w:rsid w:val="00B1557C"/>
    <w:rsid w:val="00B15697"/>
    <w:rsid w:val="00B156BE"/>
    <w:rsid w:val="00B1582E"/>
    <w:rsid w:val="00B15845"/>
    <w:rsid w:val="00B15898"/>
    <w:rsid w:val="00B15933"/>
    <w:rsid w:val="00B159A7"/>
    <w:rsid w:val="00B159B8"/>
    <w:rsid w:val="00B159C5"/>
    <w:rsid w:val="00B15A1F"/>
    <w:rsid w:val="00B15CD5"/>
    <w:rsid w:val="00B15D0B"/>
    <w:rsid w:val="00B15D73"/>
    <w:rsid w:val="00B15D98"/>
    <w:rsid w:val="00B15F4F"/>
    <w:rsid w:val="00B15F7A"/>
    <w:rsid w:val="00B1624B"/>
    <w:rsid w:val="00B1625C"/>
    <w:rsid w:val="00B1625E"/>
    <w:rsid w:val="00B1629D"/>
    <w:rsid w:val="00B164D6"/>
    <w:rsid w:val="00B16524"/>
    <w:rsid w:val="00B1655E"/>
    <w:rsid w:val="00B165F5"/>
    <w:rsid w:val="00B1662A"/>
    <w:rsid w:val="00B16796"/>
    <w:rsid w:val="00B167EB"/>
    <w:rsid w:val="00B16902"/>
    <w:rsid w:val="00B16979"/>
    <w:rsid w:val="00B16987"/>
    <w:rsid w:val="00B16B06"/>
    <w:rsid w:val="00B16BD7"/>
    <w:rsid w:val="00B16C02"/>
    <w:rsid w:val="00B16D4E"/>
    <w:rsid w:val="00B16E81"/>
    <w:rsid w:val="00B16E91"/>
    <w:rsid w:val="00B17125"/>
    <w:rsid w:val="00B17199"/>
    <w:rsid w:val="00B17245"/>
    <w:rsid w:val="00B172BC"/>
    <w:rsid w:val="00B17324"/>
    <w:rsid w:val="00B17340"/>
    <w:rsid w:val="00B17375"/>
    <w:rsid w:val="00B17382"/>
    <w:rsid w:val="00B173C1"/>
    <w:rsid w:val="00B173E4"/>
    <w:rsid w:val="00B17509"/>
    <w:rsid w:val="00B1754B"/>
    <w:rsid w:val="00B1767F"/>
    <w:rsid w:val="00B17696"/>
    <w:rsid w:val="00B176D0"/>
    <w:rsid w:val="00B176D2"/>
    <w:rsid w:val="00B176FF"/>
    <w:rsid w:val="00B177F6"/>
    <w:rsid w:val="00B179A4"/>
    <w:rsid w:val="00B17A2A"/>
    <w:rsid w:val="00B17BA0"/>
    <w:rsid w:val="00B17C06"/>
    <w:rsid w:val="00B17C19"/>
    <w:rsid w:val="00B17D17"/>
    <w:rsid w:val="00B17D91"/>
    <w:rsid w:val="00B17E08"/>
    <w:rsid w:val="00B17F27"/>
    <w:rsid w:val="00B17F91"/>
    <w:rsid w:val="00B17FA5"/>
    <w:rsid w:val="00B17FF7"/>
    <w:rsid w:val="00B2005D"/>
    <w:rsid w:val="00B200AD"/>
    <w:rsid w:val="00B20180"/>
    <w:rsid w:val="00B2021E"/>
    <w:rsid w:val="00B2026E"/>
    <w:rsid w:val="00B20296"/>
    <w:rsid w:val="00B20298"/>
    <w:rsid w:val="00B20360"/>
    <w:rsid w:val="00B2048A"/>
    <w:rsid w:val="00B20542"/>
    <w:rsid w:val="00B20590"/>
    <w:rsid w:val="00B20603"/>
    <w:rsid w:val="00B20795"/>
    <w:rsid w:val="00B20864"/>
    <w:rsid w:val="00B20898"/>
    <w:rsid w:val="00B208CF"/>
    <w:rsid w:val="00B208D9"/>
    <w:rsid w:val="00B20A2C"/>
    <w:rsid w:val="00B20A47"/>
    <w:rsid w:val="00B20A68"/>
    <w:rsid w:val="00B20A6C"/>
    <w:rsid w:val="00B20AB8"/>
    <w:rsid w:val="00B20B46"/>
    <w:rsid w:val="00B20C44"/>
    <w:rsid w:val="00B20CFF"/>
    <w:rsid w:val="00B20D00"/>
    <w:rsid w:val="00B20ED6"/>
    <w:rsid w:val="00B20FB8"/>
    <w:rsid w:val="00B20FF7"/>
    <w:rsid w:val="00B210E7"/>
    <w:rsid w:val="00B211C2"/>
    <w:rsid w:val="00B212EF"/>
    <w:rsid w:val="00B21318"/>
    <w:rsid w:val="00B2133F"/>
    <w:rsid w:val="00B2134C"/>
    <w:rsid w:val="00B21357"/>
    <w:rsid w:val="00B2136D"/>
    <w:rsid w:val="00B213A7"/>
    <w:rsid w:val="00B213AF"/>
    <w:rsid w:val="00B213DB"/>
    <w:rsid w:val="00B213FF"/>
    <w:rsid w:val="00B21483"/>
    <w:rsid w:val="00B21751"/>
    <w:rsid w:val="00B21801"/>
    <w:rsid w:val="00B21818"/>
    <w:rsid w:val="00B21862"/>
    <w:rsid w:val="00B21868"/>
    <w:rsid w:val="00B218AD"/>
    <w:rsid w:val="00B21901"/>
    <w:rsid w:val="00B21968"/>
    <w:rsid w:val="00B21B7E"/>
    <w:rsid w:val="00B21BBA"/>
    <w:rsid w:val="00B21BED"/>
    <w:rsid w:val="00B21C3B"/>
    <w:rsid w:val="00B21E04"/>
    <w:rsid w:val="00B21ED0"/>
    <w:rsid w:val="00B21F32"/>
    <w:rsid w:val="00B22040"/>
    <w:rsid w:val="00B2206D"/>
    <w:rsid w:val="00B221EB"/>
    <w:rsid w:val="00B2222E"/>
    <w:rsid w:val="00B22311"/>
    <w:rsid w:val="00B22321"/>
    <w:rsid w:val="00B224F8"/>
    <w:rsid w:val="00B2250A"/>
    <w:rsid w:val="00B22534"/>
    <w:rsid w:val="00B22554"/>
    <w:rsid w:val="00B22693"/>
    <w:rsid w:val="00B22737"/>
    <w:rsid w:val="00B22760"/>
    <w:rsid w:val="00B22989"/>
    <w:rsid w:val="00B22A7A"/>
    <w:rsid w:val="00B22B7B"/>
    <w:rsid w:val="00B22C6D"/>
    <w:rsid w:val="00B22CF7"/>
    <w:rsid w:val="00B22D48"/>
    <w:rsid w:val="00B22DD7"/>
    <w:rsid w:val="00B22E0E"/>
    <w:rsid w:val="00B22E3A"/>
    <w:rsid w:val="00B22EFA"/>
    <w:rsid w:val="00B22F92"/>
    <w:rsid w:val="00B23068"/>
    <w:rsid w:val="00B2313B"/>
    <w:rsid w:val="00B231E0"/>
    <w:rsid w:val="00B23209"/>
    <w:rsid w:val="00B233CB"/>
    <w:rsid w:val="00B233E1"/>
    <w:rsid w:val="00B23406"/>
    <w:rsid w:val="00B2355A"/>
    <w:rsid w:val="00B23662"/>
    <w:rsid w:val="00B23872"/>
    <w:rsid w:val="00B238FA"/>
    <w:rsid w:val="00B2396D"/>
    <w:rsid w:val="00B23990"/>
    <w:rsid w:val="00B239ED"/>
    <w:rsid w:val="00B23A09"/>
    <w:rsid w:val="00B23A0F"/>
    <w:rsid w:val="00B23A94"/>
    <w:rsid w:val="00B23AF9"/>
    <w:rsid w:val="00B23D9A"/>
    <w:rsid w:val="00B23DE5"/>
    <w:rsid w:val="00B23E7B"/>
    <w:rsid w:val="00B23F6B"/>
    <w:rsid w:val="00B2405F"/>
    <w:rsid w:val="00B24186"/>
    <w:rsid w:val="00B24221"/>
    <w:rsid w:val="00B24248"/>
    <w:rsid w:val="00B242BA"/>
    <w:rsid w:val="00B242D8"/>
    <w:rsid w:val="00B2438F"/>
    <w:rsid w:val="00B244E8"/>
    <w:rsid w:val="00B24669"/>
    <w:rsid w:val="00B246AE"/>
    <w:rsid w:val="00B246D4"/>
    <w:rsid w:val="00B2478B"/>
    <w:rsid w:val="00B247CD"/>
    <w:rsid w:val="00B24843"/>
    <w:rsid w:val="00B24B98"/>
    <w:rsid w:val="00B24C4F"/>
    <w:rsid w:val="00B24C75"/>
    <w:rsid w:val="00B24D37"/>
    <w:rsid w:val="00B24D86"/>
    <w:rsid w:val="00B24E9A"/>
    <w:rsid w:val="00B24F93"/>
    <w:rsid w:val="00B250D2"/>
    <w:rsid w:val="00B250D4"/>
    <w:rsid w:val="00B250E8"/>
    <w:rsid w:val="00B25241"/>
    <w:rsid w:val="00B25395"/>
    <w:rsid w:val="00B253FB"/>
    <w:rsid w:val="00B25400"/>
    <w:rsid w:val="00B254DC"/>
    <w:rsid w:val="00B25519"/>
    <w:rsid w:val="00B25776"/>
    <w:rsid w:val="00B257E0"/>
    <w:rsid w:val="00B25868"/>
    <w:rsid w:val="00B2588B"/>
    <w:rsid w:val="00B258CA"/>
    <w:rsid w:val="00B258F2"/>
    <w:rsid w:val="00B25962"/>
    <w:rsid w:val="00B25979"/>
    <w:rsid w:val="00B25A95"/>
    <w:rsid w:val="00B25B5F"/>
    <w:rsid w:val="00B25D44"/>
    <w:rsid w:val="00B25E12"/>
    <w:rsid w:val="00B25F33"/>
    <w:rsid w:val="00B26014"/>
    <w:rsid w:val="00B26039"/>
    <w:rsid w:val="00B26098"/>
    <w:rsid w:val="00B26142"/>
    <w:rsid w:val="00B261C7"/>
    <w:rsid w:val="00B262C8"/>
    <w:rsid w:val="00B262F7"/>
    <w:rsid w:val="00B263AD"/>
    <w:rsid w:val="00B264C1"/>
    <w:rsid w:val="00B2653F"/>
    <w:rsid w:val="00B2660B"/>
    <w:rsid w:val="00B26619"/>
    <w:rsid w:val="00B26735"/>
    <w:rsid w:val="00B268D1"/>
    <w:rsid w:val="00B26A40"/>
    <w:rsid w:val="00B26B4F"/>
    <w:rsid w:val="00B26B8D"/>
    <w:rsid w:val="00B26C1F"/>
    <w:rsid w:val="00B26CDC"/>
    <w:rsid w:val="00B26CF5"/>
    <w:rsid w:val="00B26D2A"/>
    <w:rsid w:val="00B26D94"/>
    <w:rsid w:val="00B26DA7"/>
    <w:rsid w:val="00B26EBB"/>
    <w:rsid w:val="00B26EC9"/>
    <w:rsid w:val="00B26EDE"/>
    <w:rsid w:val="00B26F96"/>
    <w:rsid w:val="00B26FC4"/>
    <w:rsid w:val="00B27049"/>
    <w:rsid w:val="00B271C4"/>
    <w:rsid w:val="00B272A2"/>
    <w:rsid w:val="00B273D5"/>
    <w:rsid w:val="00B273FC"/>
    <w:rsid w:val="00B274A5"/>
    <w:rsid w:val="00B274C1"/>
    <w:rsid w:val="00B27559"/>
    <w:rsid w:val="00B27665"/>
    <w:rsid w:val="00B278AE"/>
    <w:rsid w:val="00B279EA"/>
    <w:rsid w:val="00B27B53"/>
    <w:rsid w:val="00B27C4D"/>
    <w:rsid w:val="00B27D28"/>
    <w:rsid w:val="00B27E5B"/>
    <w:rsid w:val="00B27EE8"/>
    <w:rsid w:val="00B27F53"/>
    <w:rsid w:val="00B30058"/>
    <w:rsid w:val="00B30080"/>
    <w:rsid w:val="00B300E6"/>
    <w:rsid w:val="00B300F0"/>
    <w:rsid w:val="00B3014C"/>
    <w:rsid w:val="00B3017A"/>
    <w:rsid w:val="00B30243"/>
    <w:rsid w:val="00B3027B"/>
    <w:rsid w:val="00B3035A"/>
    <w:rsid w:val="00B3046C"/>
    <w:rsid w:val="00B30558"/>
    <w:rsid w:val="00B30589"/>
    <w:rsid w:val="00B305EC"/>
    <w:rsid w:val="00B305ED"/>
    <w:rsid w:val="00B306AF"/>
    <w:rsid w:val="00B30786"/>
    <w:rsid w:val="00B307EC"/>
    <w:rsid w:val="00B30886"/>
    <w:rsid w:val="00B30955"/>
    <w:rsid w:val="00B30A1F"/>
    <w:rsid w:val="00B30A3A"/>
    <w:rsid w:val="00B30B0C"/>
    <w:rsid w:val="00B30B5B"/>
    <w:rsid w:val="00B30BDE"/>
    <w:rsid w:val="00B30CB9"/>
    <w:rsid w:val="00B30CC8"/>
    <w:rsid w:val="00B30D22"/>
    <w:rsid w:val="00B30DA5"/>
    <w:rsid w:val="00B30DDD"/>
    <w:rsid w:val="00B30EAF"/>
    <w:rsid w:val="00B30F57"/>
    <w:rsid w:val="00B3102C"/>
    <w:rsid w:val="00B3103F"/>
    <w:rsid w:val="00B310E7"/>
    <w:rsid w:val="00B31119"/>
    <w:rsid w:val="00B313E3"/>
    <w:rsid w:val="00B31618"/>
    <w:rsid w:val="00B31630"/>
    <w:rsid w:val="00B3173C"/>
    <w:rsid w:val="00B3175C"/>
    <w:rsid w:val="00B317F9"/>
    <w:rsid w:val="00B31839"/>
    <w:rsid w:val="00B318BD"/>
    <w:rsid w:val="00B318E7"/>
    <w:rsid w:val="00B319C9"/>
    <w:rsid w:val="00B31A19"/>
    <w:rsid w:val="00B31BC0"/>
    <w:rsid w:val="00B31BD2"/>
    <w:rsid w:val="00B31C8B"/>
    <w:rsid w:val="00B31CCD"/>
    <w:rsid w:val="00B31D3D"/>
    <w:rsid w:val="00B31E41"/>
    <w:rsid w:val="00B31ED7"/>
    <w:rsid w:val="00B31F99"/>
    <w:rsid w:val="00B320F5"/>
    <w:rsid w:val="00B321C3"/>
    <w:rsid w:val="00B321F8"/>
    <w:rsid w:val="00B32260"/>
    <w:rsid w:val="00B32316"/>
    <w:rsid w:val="00B324B1"/>
    <w:rsid w:val="00B32579"/>
    <w:rsid w:val="00B325D8"/>
    <w:rsid w:val="00B32618"/>
    <w:rsid w:val="00B32652"/>
    <w:rsid w:val="00B326EF"/>
    <w:rsid w:val="00B32771"/>
    <w:rsid w:val="00B327ED"/>
    <w:rsid w:val="00B328B4"/>
    <w:rsid w:val="00B32A0A"/>
    <w:rsid w:val="00B32A16"/>
    <w:rsid w:val="00B32C23"/>
    <w:rsid w:val="00B32C41"/>
    <w:rsid w:val="00B32C61"/>
    <w:rsid w:val="00B32C94"/>
    <w:rsid w:val="00B32CA8"/>
    <w:rsid w:val="00B32CE6"/>
    <w:rsid w:val="00B32D4B"/>
    <w:rsid w:val="00B32DFA"/>
    <w:rsid w:val="00B32F48"/>
    <w:rsid w:val="00B32FB9"/>
    <w:rsid w:val="00B33072"/>
    <w:rsid w:val="00B3312D"/>
    <w:rsid w:val="00B33169"/>
    <w:rsid w:val="00B3318B"/>
    <w:rsid w:val="00B33191"/>
    <w:rsid w:val="00B331AD"/>
    <w:rsid w:val="00B3320D"/>
    <w:rsid w:val="00B332DD"/>
    <w:rsid w:val="00B332F0"/>
    <w:rsid w:val="00B33362"/>
    <w:rsid w:val="00B333B1"/>
    <w:rsid w:val="00B333B9"/>
    <w:rsid w:val="00B3345E"/>
    <w:rsid w:val="00B334FC"/>
    <w:rsid w:val="00B335FD"/>
    <w:rsid w:val="00B336FF"/>
    <w:rsid w:val="00B33781"/>
    <w:rsid w:val="00B3388A"/>
    <w:rsid w:val="00B3394F"/>
    <w:rsid w:val="00B3395E"/>
    <w:rsid w:val="00B33A30"/>
    <w:rsid w:val="00B33A38"/>
    <w:rsid w:val="00B33A94"/>
    <w:rsid w:val="00B33B1D"/>
    <w:rsid w:val="00B33B5C"/>
    <w:rsid w:val="00B33B81"/>
    <w:rsid w:val="00B33CFA"/>
    <w:rsid w:val="00B33F19"/>
    <w:rsid w:val="00B33FB8"/>
    <w:rsid w:val="00B34018"/>
    <w:rsid w:val="00B34022"/>
    <w:rsid w:val="00B3406A"/>
    <w:rsid w:val="00B3436B"/>
    <w:rsid w:val="00B34498"/>
    <w:rsid w:val="00B3458E"/>
    <w:rsid w:val="00B34595"/>
    <w:rsid w:val="00B34841"/>
    <w:rsid w:val="00B349B8"/>
    <w:rsid w:val="00B34A22"/>
    <w:rsid w:val="00B34AB0"/>
    <w:rsid w:val="00B34B07"/>
    <w:rsid w:val="00B34BB0"/>
    <w:rsid w:val="00B34C38"/>
    <w:rsid w:val="00B34D88"/>
    <w:rsid w:val="00B34D90"/>
    <w:rsid w:val="00B34DDB"/>
    <w:rsid w:val="00B34E4F"/>
    <w:rsid w:val="00B34E79"/>
    <w:rsid w:val="00B34E84"/>
    <w:rsid w:val="00B34E8E"/>
    <w:rsid w:val="00B34F24"/>
    <w:rsid w:val="00B34F98"/>
    <w:rsid w:val="00B35043"/>
    <w:rsid w:val="00B350D4"/>
    <w:rsid w:val="00B3512D"/>
    <w:rsid w:val="00B35175"/>
    <w:rsid w:val="00B351CE"/>
    <w:rsid w:val="00B351F2"/>
    <w:rsid w:val="00B3524F"/>
    <w:rsid w:val="00B35334"/>
    <w:rsid w:val="00B3534F"/>
    <w:rsid w:val="00B3539C"/>
    <w:rsid w:val="00B3543A"/>
    <w:rsid w:val="00B354CE"/>
    <w:rsid w:val="00B354D1"/>
    <w:rsid w:val="00B35789"/>
    <w:rsid w:val="00B35861"/>
    <w:rsid w:val="00B35877"/>
    <w:rsid w:val="00B3589C"/>
    <w:rsid w:val="00B35918"/>
    <w:rsid w:val="00B35931"/>
    <w:rsid w:val="00B359BC"/>
    <w:rsid w:val="00B359D1"/>
    <w:rsid w:val="00B35B53"/>
    <w:rsid w:val="00B35C69"/>
    <w:rsid w:val="00B35C7E"/>
    <w:rsid w:val="00B35CBC"/>
    <w:rsid w:val="00B35D07"/>
    <w:rsid w:val="00B35D4D"/>
    <w:rsid w:val="00B35E34"/>
    <w:rsid w:val="00B3605B"/>
    <w:rsid w:val="00B36109"/>
    <w:rsid w:val="00B3617B"/>
    <w:rsid w:val="00B3618A"/>
    <w:rsid w:val="00B362D1"/>
    <w:rsid w:val="00B363E8"/>
    <w:rsid w:val="00B363FE"/>
    <w:rsid w:val="00B36437"/>
    <w:rsid w:val="00B36443"/>
    <w:rsid w:val="00B364B3"/>
    <w:rsid w:val="00B36517"/>
    <w:rsid w:val="00B365F6"/>
    <w:rsid w:val="00B3666F"/>
    <w:rsid w:val="00B366A0"/>
    <w:rsid w:val="00B366A3"/>
    <w:rsid w:val="00B36727"/>
    <w:rsid w:val="00B367EE"/>
    <w:rsid w:val="00B369BD"/>
    <w:rsid w:val="00B369DA"/>
    <w:rsid w:val="00B369EC"/>
    <w:rsid w:val="00B36A20"/>
    <w:rsid w:val="00B36BC5"/>
    <w:rsid w:val="00B36D90"/>
    <w:rsid w:val="00B36DB6"/>
    <w:rsid w:val="00B36F0B"/>
    <w:rsid w:val="00B36FA7"/>
    <w:rsid w:val="00B36FB4"/>
    <w:rsid w:val="00B370D0"/>
    <w:rsid w:val="00B371BB"/>
    <w:rsid w:val="00B37265"/>
    <w:rsid w:val="00B372C5"/>
    <w:rsid w:val="00B372E3"/>
    <w:rsid w:val="00B372ED"/>
    <w:rsid w:val="00B373DB"/>
    <w:rsid w:val="00B375EF"/>
    <w:rsid w:val="00B37621"/>
    <w:rsid w:val="00B37643"/>
    <w:rsid w:val="00B376BA"/>
    <w:rsid w:val="00B376D6"/>
    <w:rsid w:val="00B377E1"/>
    <w:rsid w:val="00B378A7"/>
    <w:rsid w:val="00B378B9"/>
    <w:rsid w:val="00B378C6"/>
    <w:rsid w:val="00B379EF"/>
    <w:rsid w:val="00B37AB6"/>
    <w:rsid w:val="00B37ABF"/>
    <w:rsid w:val="00B37B96"/>
    <w:rsid w:val="00B37BE8"/>
    <w:rsid w:val="00B37D67"/>
    <w:rsid w:val="00B37D78"/>
    <w:rsid w:val="00B37E2E"/>
    <w:rsid w:val="00B37EB0"/>
    <w:rsid w:val="00B37F93"/>
    <w:rsid w:val="00B37FB7"/>
    <w:rsid w:val="00B40001"/>
    <w:rsid w:val="00B4006C"/>
    <w:rsid w:val="00B4008D"/>
    <w:rsid w:val="00B40096"/>
    <w:rsid w:val="00B400EE"/>
    <w:rsid w:val="00B40201"/>
    <w:rsid w:val="00B40207"/>
    <w:rsid w:val="00B403FB"/>
    <w:rsid w:val="00B404F3"/>
    <w:rsid w:val="00B404FC"/>
    <w:rsid w:val="00B4053A"/>
    <w:rsid w:val="00B40807"/>
    <w:rsid w:val="00B40835"/>
    <w:rsid w:val="00B40982"/>
    <w:rsid w:val="00B40B31"/>
    <w:rsid w:val="00B40B63"/>
    <w:rsid w:val="00B40B6A"/>
    <w:rsid w:val="00B40BF1"/>
    <w:rsid w:val="00B40C41"/>
    <w:rsid w:val="00B40D48"/>
    <w:rsid w:val="00B40E11"/>
    <w:rsid w:val="00B40EB7"/>
    <w:rsid w:val="00B40FC3"/>
    <w:rsid w:val="00B41057"/>
    <w:rsid w:val="00B41064"/>
    <w:rsid w:val="00B41080"/>
    <w:rsid w:val="00B410D5"/>
    <w:rsid w:val="00B4140C"/>
    <w:rsid w:val="00B4146F"/>
    <w:rsid w:val="00B41524"/>
    <w:rsid w:val="00B4171C"/>
    <w:rsid w:val="00B41753"/>
    <w:rsid w:val="00B4180B"/>
    <w:rsid w:val="00B41853"/>
    <w:rsid w:val="00B41A3F"/>
    <w:rsid w:val="00B41AA0"/>
    <w:rsid w:val="00B41B63"/>
    <w:rsid w:val="00B41D9A"/>
    <w:rsid w:val="00B41DEF"/>
    <w:rsid w:val="00B41DF1"/>
    <w:rsid w:val="00B41E19"/>
    <w:rsid w:val="00B41E61"/>
    <w:rsid w:val="00B41E97"/>
    <w:rsid w:val="00B41EC8"/>
    <w:rsid w:val="00B41F9A"/>
    <w:rsid w:val="00B4201F"/>
    <w:rsid w:val="00B42081"/>
    <w:rsid w:val="00B42098"/>
    <w:rsid w:val="00B421F7"/>
    <w:rsid w:val="00B42231"/>
    <w:rsid w:val="00B423C1"/>
    <w:rsid w:val="00B42457"/>
    <w:rsid w:val="00B424AC"/>
    <w:rsid w:val="00B424EF"/>
    <w:rsid w:val="00B426F6"/>
    <w:rsid w:val="00B42715"/>
    <w:rsid w:val="00B42794"/>
    <w:rsid w:val="00B4279F"/>
    <w:rsid w:val="00B427F4"/>
    <w:rsid w:val="00B4298A"/>
    <w:rsid w:val="00B42A8F"/>
    <w:rsid w:val="00B42A9E"/>
    <w:rsid w:val="00B42AB0"/>
    <w:rsid w:val="00B42BB4"/>
    <w:rsid w:val="00B42BD1"/>
    <w:rsid w:val="00B42C82"/>
    <w:rsid w:val="00B42C97"/>
    <w:rsid w:val="00B42CAE"/>
    <w:rsid w:val="00B42DEC"/>
    <w:rsid w:val="00B42E24"/>
    <w:rsid w:val="00B42E94"/>
    <w:rsid w:val="00B42EA3"/>
    <w:rsid w:val="00B42EE9"/>
    <w:rsid w:val="00B42F22"/>
    <w:rsid w:val="00B42F71"/>
    <w:rsid w:val="00B42F83"/>
    <w:rsid w:val="00B430ED"/>
    <w:rsid w:val="00B4312D"/>
    <w:rsid w:val="00B43271"/>
    <w:rsid w:val="00B43322"/>
    <w:rsid w:val="00B43348"/>
    <w:rsid w:val="00B433A7"/>
    <w:rsid w:val="00B4349F"/>
    <w:rsid w:val="00B434D1"/>
    <w:rsid w:val="00B43653"/>
    <w:rsid w:val="00B437B3"/>
    <w:rsid w:val="00B43994"/>
    <w:rsid w:val="00B43997"/>
    <w:rsid w:val="00B439E8"/>
    <w:rsid w:val="00B43ABF"/>
    <w:rsid w:val="00B43B0B"/>
    <w:rsid w:val="00B43C2B"/>
    <w:rsid w:val="00B43CDB"/>
    <w:rsid w:val="00B43D31"/>
    <w:rsid w:val="00B43F97"/>
    <w:rsid w:val="00B4411C"/>
    <w:rsid w:val="00B441BB"/>
    <w:rsid w:val="00B44336"/>
    <w:rsid w:val="00B44419"/>
    <w:rsid w:val="00B44470"/>
    <w:rsid w:val="00B44529"/>
    <w:rsid w:val="00B445CB"/>
    <w:rsid w:val="00B4462D"/>
    <w:rsid w:val="00B44715"/>
    <w:rsid w:val="00B4480C"/>
    <w:rsid w:val="00B44887"/>
    <w:rsid w:val="00B44898"/>
    <w:rsid w:val="00B448CB"/>
    <w:rsid w:val="00B449D8"/>
    <w:rsid w:val="00B44A01"/>
    <w:rsid w:val="00B44AAC"/>
    <w:rsid w:val="00B44B40"/>
    <w:rsid w:val="00B44BC4"/>
    <w:rsid w:val="00B44C88"/>
    <w:rsid w:val="00B44DA3"/>
    <w:rsid w:val="00B45076"/>
    <w:rsid w:val="00B45083"/>
    <w:rsid w:val="00B4519D"/>
    <w:rsid w:val="00B4525A"/>
    <w:rsid w:val="00B452D7"/>
    <w:rsid w:val="00B45321"/>
    <w:rsid w:val="00B45354"/>
    <w:rsid w:val="00B454B0"/>
    <w:rsid w:val="00B45550"/>
    <w:rsid w:val="00B455AA"/>
    <w:rsid w:val="00B45627"/>
    <w:rsid w:val="00B456A1"/>
    <w:rsid w:val="00B456F9"/>
    <w:rsid w:val="00B45720"/>
    <w:rsid w:val="00B457C1"/>
    <w:rsid w:val="00B458FB"/>
    <w:rsid w:val="00B4591E"/>
    <w:rsid w:val="00B4596E"/>
    <w:rsid w:val="00B45A92"/>
    <w:rsid w:val="00B45B60"/>
    <w:rsid w:val="00B45CED"/>
    <w:rsid w:val="00B45D51"/>
    <w:rsid w:val="00B45D68"/>
    <w:rsid w:val="00B45D77"/>
    <w:rsid w:val="00B45E0C"/>
    <w:rsid w:val="00B45E8A"/>
    <w:rsid w:val="00B45F9E"/>
    <w:rsid w:val="00B46199"/>
    <w:rsid w:val="00B462A0"/>
    <w:rsid w:val="00B462CD"/>
    <w:rsid w:val="00B46376"/>
    <w:rsid w:val="00B46430"/>
    <w:rsid w:val="00B46740"/>
    <w:rsid w:val="00B46757"/>
    <w:rsid w:val="00B467A9"/>
    <w:rsid w:val="00B468D1"/>
    <w:rsid w:val="00B46981"/>
    <w:rsid w:val="00B469DF"/>
    <w:rsid w:val="00B469F9"/>
    <w:rsid w:val="00B46A43"/>
    <w:rsid w:val="00B46AA2"/>
    <w:rsid w:val="00B46C14"/>
    <w:rsid w:val="00B46C39"/>
    <w:rsid w:val="00B46C5A"/>
    <w:rsid w:val="00B46C5C"/>
    <w:rsid w:val="00B46DD7"/>
    <w:rsid w:val="00B46EFB"/>
    <w:rsid w:val="00B46F4C"/>
    <w:rsid w:val="00B46F58"/>
    <w:rsid w:val="00B46F6F"/>
    <w:rsid w:val="00B46FE7"/>
    <w:rsid w:val="00B4707F"/>
    <w:rsid w:val="00B470C7"/>
    <w:rsid w:val="00B47139"/>
    <w:rsid w:val="00B47188"/>
    <w:rsid w:val="00B471E9"/>
    <w:rsid w:val="00B47263"/>
    <w:rsid w:val="00B47315"/>
    <w:rsid w:val="00B473F5"/>
    <w:rsid w:val="00B47432"/>
    <w:rsid w:val="00B47465"/>
    <w:rsid w:val="00B4747A"/>
    <w:rsid w:val="00B47550"/>
    <w:rsid w:val="00B47665"/>
    <w:rsid w:val="00B4775E"/>
    <w:rsid w:val="00B4779D"/>
    <w:rsid w:val="00B47926"/>
    <w:rsid w:val="00B47AE2"/>
    <w:rsid w:val="00B47B55"/>
    <w:rsid w:val="00B47BD1"/>
    <w:rsid w:val="00B47DC7"/>
    <w:rsid w:val="00B47E3C"/>
    <w:rsid w:val="00B47E9A"/>
    <w:rsid w:val="00B50011"/>
    <w:rsid w:val="00B50047"/>
    <w:rsid w:val="00B500BB"/>
    <w:rsid w:val="00B501AB"/>
    <w:rsid w:val="00B50396"/>
    <w:rsid w:val="00B503D9"/>
    <w:rsid w:val="00B50400"/>
    <w:rsid w:val="00B50479"/>
    <w:rsid w:val="00B50522"/>
    <w:rsid w:val="00B50577"/>
    <w:rsid w:val="00B50619"/>
    <w:rsid w:val="00B506FC"/>
    <w:rsid w:val="00B507DF"/>
    <w:rsid w:val="00B50857"/>
    <w:rsid w:val="00B50A2E"/>
    <w:rsid w:val="00B50A7F"/>
    <w:rsid w:val="00B50A9D"/>
    <w:rsid w:val="00B50B0E"/>
    <w:rsid w:val="00B50B11"/>
    <w:rsid w:val="00B50B94"/>
    <w:rsid w:val="00B50BCF"/>
    <w:rsid w:val="00B50C96"/>
    <w:rsid w:val="00B50CB5"/>
    <w:rsid w:val="00B50CD2"/>
    <w:rsid w:val="00B50D5F"/>
    <w:rsid w:val="00B50DBA"/>
    <w:rsid w:val="00B50E1C"/>
    <w:rsid w:val="00B50EDA"/>
    <w:rsid w:val="00B50FB8"/>
    <w:rsid w:val="00B5105C"/>
    <w:rsid w:val="00B51227"/>
    <w:rsid w:val="00B512F9"/>
    <w:rsid w:val="00B51305"/>
    <w:rsid w:val="00B51316"/>
    <w:rsid w:val="00B513BC"/>
    <w:rsid w:val="00B5154B"/>
    <w:rsid w:val="00B516E4"/>
    <w:rsid w:val="00B5185E"/>
    <w:rsid w:val="00B51A0D"/>
    <w:rsid w:val="00B51A1C"/>
    <w:rsid w:val="00B51C3B"/>
    <w:rsid w:val="00B51C43"/>
    <w:rsid w:val="00B51DBC"/>
    <w:rsid w:val="00B51F47"/>
    <w:rsid w:val="00B51F68"/>
    <w:rsid w:val="00B521CA"/>
    <w:rsid w:val="00B521DE"/>
    <w:rsid w:val="00B521EC"/>
    <w:rsid w:val="00B5220F"/>
    <w:rsid w:val="00B52220"/>
    <w:rsid w:val="00B52231"/>
    <w:rsid w:val="00B52264"/>
    <w:rsid w:val="00B5229D"/>
    <w:rsid w:val="00B522A2"/>
    <w:rsid w:val="00B5243A"/>
    <w:rsid w:val="00B52450"/>
    <w:rsid w:val="00B52474"/>
    <w:rsid w:val="00B524C5"/>
    <w:rsid w:val="00B52536"/>
    <w:rsid w:val="00B52644"/>
    <w:rsid w:val="00B5273C"/>
    <w:rsid w:val="00B527BE"/>
    <w:rsid w:val="00B527C4"/>
    <w:rsid w:val="00B52830"/>
    <w:rsid w:val="00B528D0"/>
    <w:rsid w:val="00B529F5"/>
    <w:rsid w:val="00B52BE0"/>
    <w:rsid w:val="00B52DCF"/>
    <w:rsid w:val="00B52E06"/>
    <w:rsid w:val="00B52EB3"/>
    <w:rsid w:val="00B52F0A"/>
    <w:rsid w:val="00B52F2E"/>
    <w:rsid w:val="00B52FF1"/>
    <w:rsid w:val="00B53136"/>
    <w:rsid w:val="00B53151"/>
    <w:rsid w:val="00B53475"/>
    <w:rsid w:val="00B534EA"/>
    <w:rsid w:val="00B53562"/>
    <w:rsid w:val="00B53575"/>
    <w:rsid w:val="00B53589"/>
    <w:rsid w:val="00B535E9"/>
    <w:rsid w:val="00B53600"/>
    <w:rsid w:val="00B53602"/>
    <w:rsid w:val="00B53752"/>
    <w:rsid w:val="00B5382B"/>
    <w:rsid w:val="00B538E8"/>
    <w:rsid w:val="00B5391E"/>
    <w:rsid w:val="00B53971"/>
    <w:rsid w:val="00B53989"/>
    <w:rsid w:val="00B539AB"/>
    <w:rsid w:val="00B539E9"/>
    <w:rsid w:val="00B53B0B"/>
    <w:rsid w:val="00B53B25"/>
    <w:rsid w:val="00B53BBD"/>
    <w:rsid w:val="00B53CBE"/>
    <w:rsid w:val="00B53DAF"/>
    <w:rsid w:val="00B53E2B"/>
    <w:rsid w:val="00B53FDE"/>
    <w:rsid w:val="00B53FF5"/>
    <w:rsid w:val="00B540D0"/>
    <w:rsid w:val="00B540FA"/>
    <w:rsid w:val="00B54365"/>
    <w:rsid w:val="00B543BD"/>
    <w:rsid w:val="00B543E4"/>
    <w:rsid w:val="00B54517"/>
    <w:rsid w:val="00B54594"/>
    <w:rsid w:val="00B546D3"/>
    <w:rsid w:val="00B546EA"/>
    <w:rsid w:val="00B5476B"/>
    <w:rsid w:val="00B547AC"/>
    <w:rsid w:val="00B547E3"/>
    <w:rsid w:val="00B547F7"/>
    <w:rsid w:val="00B5487F"/>
    <w:rsid w:val="00B548C1"/>
    <w:rsid w:val="00B548C6"/>
    <w:rsid w:val="00B5492E"/>
    <w:rsid w:val="00B5495D"/>
    <w:rsid w:val="00B54BD8"/>
    <w:rsid w:val="00B54C03"/>
    <w:rsid w:val="00B54C9B"/>
    <w:rsid w:val="00B54CE3"/>
    <w:rsid w:val="00B54D51"/>
    <w:rsid w:val="00B54DB5"/>
    <w:rsid w:val="00B54DF0"/>
    <w:rsid w:val="00B54E05"/>
    <w:rsid w:val="00B54E55"/>
    <w:rsid w:val="00B54F01"/>
    <w:rsid w:val="00B5503B"/>
    <w:rsid w:val="00B55125"/>
    <w:rsid w:val="00B55137"/>
    <w:rsid w:val="00B551A7"/>
    <w:rsid w:val="00B55202"/>
    <w:rsid w:val="00B55227"/>
    <w:rsid w:val="00B5525F"/>
    <w:rsid w:val="00B5529B"/>
    <w:rsid w:val="00B55393"/>
    <w:rsid w:val="00B553B1"/>
    <w:rsid w:val="00B553CA"/>
    <w:rsid w:val="00B55403"/>
    <w:rsid w:val="00B55447"/>
    <w:rsid w:val="00B5544F"/>
    <w:rsid w:val="00B55619"/>
    <w:rsid w:val="00B556BD"/>
    <w:rsid w:val="00B55804"/>
    <w:rsid w:val="00B558E2"/>
    <w:rsid w:val="00B5594D"/>
    <w:rsid w:val="00B55A75"/>
    <w:rsid w:val="00B55ACC"/>
    <w:rsid w:val="00B55B52"/>
    <w:rsid w:val="00B55C5D"/>
    <w:rsid w:val="00B55C63"/>
    <w:rsid w:val="00B55C85"/>
    <w:rsid w:val="00B55CB1"/>
    <w:rsid w:val="00B55CD6"/>
    <w:rsid w:val="00B55F09"/>
    <w:rsid w:val="00B55FE7"/>
    <w:rsid w:val="00B56146"/>
    <w:rsid w:val="00B56202"/>
    <w:rsid w:val="00B5638A"/>
    <w:rsid w:val="00B56426"/>
    <w:rsid w:val="00B565E0"/>
    <w:rsid w:val="00B56632"/>
    <w:rsid w:val="00B566C7"/>
    <w:rsid w:val="00B5674C"/>
    <w:rsid w:val="00B56785"/>
    <w:rsid w:val="00B56871"/>
    <w:rsid w:val="00B568B0"/>
    <w:rsid w:val="00B569E7"/>
    <w:rsid w:val="00B56A6B"/>
    <w:rsid w:val="00B56A85"/>
    <w:rsid w:val="00B56A9F"/>
    <w:rsid w:val="00B56AAA"/>
    <w:rsid w:val="00B56BAC"/>
    <w:rsid w:val="00B56C37"/>
    <w:rsid w:val="00B56D36"/>
    <w:rsid w:val="00B56D63"/>
    <w:rsid w:val="00B570E5"/>
    <w:rsid w:val="00B572B4"/>
    <w:rsid w:val="00B57389"/>
    <w:rsid w:val="00B574D3"/>
    <w:rsid w:val="00B5755E"/>
    <w:rsid w:val="00B57581"/>
    <w:rsid w:val="00B575B3"/>
    <w:rsid w:val="00B57712"/>
    <w:rsid w:val="00B578C2"/>
    <w:rsid w:val="00B5794D"/>
    <w:rsid w:val="00B579A2"/>
    <w:rsid w:val="00B57AF1"/>
    <w:rsid w:val="00B57ECC"/>
    <w:rsid w:val="00B57EDB"/>
    <w:rsid w:val="00B60028"/>
    <w:rsid w:val="00B600F0"/>
    <w:rsid w:val="00B6014F"/>
    <w:rsid w:val="00B601EF"/>
    <w:rsid w:val="00B60207"/>
    <w:rsid w:val="00B602CC"/>
    <w:rsid w:val="00B602EA"/>
    <w:rsid w:val="00B6035D"/>
    <w:rsid w:val="00B6036B"/>
    <w:rsid w:val="00B604C8"/>
    <w:rsid w:val="00B604CD"/>
    <w:rsid w:val="00B6056C"/>
    <w:rsid w:val="00B60627"/>
    <w:rsid w:val="00B6074D"/>
    <w:rsid w:val="00B609D6"/>
    <w:rsid w:val="00B609E1"/>
    <w:rsid w:val="00B60A1D"/>
    <w:rsid w:val="00B60AB2"/>
    <w:rsid w:val="00B60B7F"/>
    <w:rsid w:val="00B60BDB"/>
    <w:rsid w:val="00B60C07"/>
    <w:rsid w:val="00B60CC1"/>
    <w:rsid w:val="00B60CDA"/>
    <w:rsid w:val="00B60DDA"/>
    <w:rsid w:val="00B60E1F"/>
    <w:rsid w:val="00B61105"/>
    <w:rsid w:val="00B61109"/>
    <w:rsid w:val="00B611A8"/>
    <w:rsid w:val="00B61258"/>
    <w:rsid w:val="00B61388"/>
    <w:rsid w:val="00B61395"/>
    <w:rsid w:val="00B613FD"/>
    <w:rsid w:val="00B615C6"/>
    <w:rsid w:val="00B615C9"/>
    <w:rsid w:val="00B616B4"/>
    <w:rsid w:val="00B616EC"/>
    <w:rsid w:val="00B61702"/>
    <w:rsid w:val="00B61767"/>
    <w:rsid w:val="00B617DF"/>
    <w:rsid w:val="00B619AF"/>
    <w:rsid w:val="00B619F9"/>
    <w:rsid w:val="00B619FD"/>
    <w:rsid w:val="00B61B10"/>
    <w:rsid w:val="00B61B35"/>
    <w:rsid w:val="00B61BEE"/>
    <w:rsid w:val="00B61C76"/>
    <w:rsid w:val="00B61D16"/>
    <w:rsid w:val="00B61D31"/>
    <w:rsid w:val="00B61F81"/>
    <w:rsid w:val="00B61F8C"/>
    <w:rsid w:val="00B61FAD"/>
    <w:rsid w:val="00B61FE9"/>
    <w:rsid w:val="00B61FFE"/>
    <w:rsid w:val="00B62160"/>
    <w:rsid w:val="00B622E5"/>
    <w:rsid w:val="00B62419"/>
    <w:rsid w:val="00B62484"/>
    <w:rsid w:val="00B6253D"/>
    <w:rsid w:val="00B62577"/>
    <w:rsid w:val="00B625E7"/>
    <w:rsid w:val="00B626D8"/>
    <w:rsid w:val="00B62808"/>
    <w:rsid w:val="00B6290D"/>
    <w:rsid w:val="00B6293B"/>
    <w:rsid w:val="00B629C9"/>
    <w:rsid w:val="00B62A12"/>
    <w:rsid w:val="00B62A81"/>
    <w:rsid w:val="00B62B36"/>
    <w:rsid w:val="00B62B46"/>
    <w:rsid w:val="00B62C8A"/>
    <w:rsid w:val="00B62C94"/>
    <w:rsid w:val="00B62CCE"/>
    <w:rsid w:val="00B62D65"/>
    <w:rsid w:val="00B62DC4"/>
    <w:rsid w:val="00B62EE0"/>
    <w:rsid w:val="00B62F7E"/>
    <w:rsid w:val="00B62F8C"/>
    <w:rsid w:val="00B63000"/>
    <w:rsid w:val="00B6300C"/>
    <w:rsid w:val="00B6301A"/>
    <w:rsid w:val="00B63088"/>
    <w:rsid w:val="00B630B1"/>
    <w:rsid w:val="00B631F4"/>
    <w:rsid w:val="00B63355"/>
    <w:rsid w:val="00B633CE"/>
    <w:rsid w:val="00B633DA"/>
    <w:rsid w:val="00B63413"/>
    <w:rsid w:val="00B63441"/>
    <w:rsid w:val="00B63484"/>
    <w:rsid w:val="00B63569"/>
    <w:rsid w:val="00B635BD"/>
    <w:rsid w:val="00B638DE"/>
    <w:rsid w:val="00B63A5D"/>
    <w:rsid w:val="00B63BC3"/>
    <w:rsid w:val="00B63D2F"/>
    <w:rsid w:val="00B63DD8"/>
    <w:rsid w:val="00B63F4D"/>
    <w:rsid w:val="00B63FC8"/>
    <w:rsid w:val="00B640D0"/>
    <w:rsid w:val="00B64303"/>
    <w:rsid w:val="00B6458F"/>
    <w:rsid w:val="00B647CF"/>
    <w:rsid w:val="00B6496E"/>
    <w:rsid w:val="00B649FF"/>
    <w:rsid w:val="00B64A3C"/>
    <w:rsid w:val="00B64A46"/>
    <w:rsid w:val="00B64A50"/>
    <w:rsid w:val="00B64BAC"/>
    <w:rsid w:val="00B64BFA"/>
    <w:rsid w:val="00B64C2B"/>
    <w:rsid w:val="00B64C3F"/>
    <w:rsid w:val="00B64CD5"/>
    <w:rsid w:val="00B64E58"/>
    <w:rsid w:val="00B64E84"/>
    <w:rsid w:val="00B64F0E"/>
    <w:rsid w:val="00B64F10"/>
    <w:rsid w:val="00B64FFD"/>
    <w:rsid w:val="00B650AE"/>
    <w:rsid w:val="00B650AF"/>
    <w:rsid w:val="00B650E3"/>
    <w:rsid w:val="00B65186"/>
    <w:rsid w:val="00B65222"/>
    <w:rsid w:val="00B65368"/>
    <w:rsid w:val="00B654B7"/>
    <w:rsid w:val="00B65566"/>
    <w:rsid w:val="00B65800"/>
    <w:rsid w:val="00B658B0"/>
    <w:rsid w:val="00B658C8"/>
    <w:rsid w:val="00B658EC"/>
    <w:rsid w:val="00B659AB"/>
    <w:rsid w:val="00B659DD"/>
    <w:rsid w:val="00B659DE"/>
    <w:rsid w:val="00B65B20"/>
    <w:rsid w:val="00B65C5E"/>
    <w:rsid w:val="00B65D25"/>
    <w:rsid w:val="00B65D8A"/>
    <w:rsid w:val="00B65DDC"/>
    <w:rsid w:val="00B65F2C"/>
    <w:rsid w:val="00B65F4E"/>
    <w:rsid w:val="00B65FAA"/>
    <w:rsid w:val="00B65FAB"/>
    <w:rsid w:val="00B65FF6"/>
    <w:rsid w:val="00B66061"/>
    <w:rsid w:val="00B66075"/>
    <w:rsid w:val="00B660A6"/>
    <w:rsid w:val="00B66200"/>
    <w:rsid w:val="00B66351"/>
    <w:rsid w:val="00B66488"/>
    <w:rsid w:val="00B66491"/>
    <w:rsid w:val="00B664DE"/>
    <w:rsid w:val="00B66685"/>
    <w:rsid w:val="00B666AB"/>
    <w:rsid w:val="00B666D1"/>
    <w:rsid w:val="00B666DA"/>
    <w:rsid w:val="00B667E5"/>
    <w:rsid w:val="00B66844"/>
    <w:rsid w:val="00B668A7"/>
    <w:rsid w:val="00B668B8"/>
    <w:rsid w:val="00B66A3D"/>
    <w:rsid w:val="00B66A53"/>
    <w:rsid w:val="00B66B87"/>
    <w:rsid w:val="00B66B8C"/>
    <w:rsid w:val="00B66BBD"/>
    <w:rsid w:val="00B66D84"/>
    <w:rsid w:val="00B67066"/>
    <w:rsid w:val="00B67174"/>
    <w:rsid w:val="00B671B3"/>
    <w:rsid w:val="00B671D7"/>
    <w:rsid w:val="00B672C6"/>
    <w:rsid w:val="00B67457"/>
    <w:rsid w:val="00B6749A"/>
    <w:rsid w:val="00B67686"/>
    <w:rsid w:val="00B676A2"/>
    <w:rsid w:val="00B67707"/>
    <w:rsid w:val="00B67788"/>
    <w:rsid w:val="00B6793C"/>
    <w:rsid w:val="00B67A40"/>
    <w:rsid w:val="00B67A47"/>
    <w:rsid w:val="00B67A72"/>
    <w:rsid w:val="00B67AB8"/>
    <w:rsid w:val="00B67B60"/>
    <w:rsid w:val="00B67C40"/>
    <w:rsid w:val="00B67CDD"/>
    <w:rsid w:val="00B67D1A"/>
    <w:rsid w:val="00B67D61"/>
    <w:rsid w:val="00B67E5B"/>
    <w:rsid w:val="00B67E78"/>
    <w:rsid w:val="00B67EA1"/>
    <w:rsid w:val="00B67FA1"/>
    <w:rsid w:val="00B67FF8"/>
    <w:rsid w:val="00B70090"/>
    <w:rsid w:val="00B700C8"/>
    <w:rsid w:val="00B70189"/>
    <w:rsid w:val="00B70416"/>
    <w:rsid w:val="00B7046F"/>
    <w:rsid w:val="00B704AC"/>
    <w:rsid w:val="00B70626"/>
    <w:rsid w:val="00B70669"/>
    <w:rsid w:val="00B706C5"/>
    <w:rsid w:val="00B70785"/>
    <w:rsid w:val="00B70824"/>
    <w:rsid w:val="00B70A31"/>
    <w:rsid w:val="00B70D01"/>
    <w:rsid w:val="00B70F34"/>
    <w:rsid w:val="00B70F8F"/>
    <w:rsid w:val="00B70F92"/>
    <w:rsid w:val="00B70FC2"/>
    <w:rsid w:val="00B71017"/>
    <w:rsid w:val="00B71473"/>
    <w:rsid w:val="00B714C9"/>
    <w:rsid w:val="00B71503"/>
    <w:rsid w:val="00B716E3"/>
    <w:rsid w:val="00B71868"/>
    <w:rsid w:val="00B7188A"/>
    <w:rsid w:val="00B718B5"/>
    <w:rsid w:val="00B7190F"/>
    <w:rsid w:val="00B71B44"/>
    <w:rsid w:val="00B71B62"/>
    <w:rsid w:val="00B71BF1"/>
    <w:rsid w:val="00B71BF4"/>
    <w:rsid w:val="00B71CCC"/>
    <w:rsid w:val="00B71CE1"/>
    <w:rsid w:val="00B71D12"/>
    <w:rsid w:val="00B71D59"/>
    <w:rsid w:val="00B71DB3"/>
    <w:rsid w:val="00B71E8D"/>
    <w:rsid w:val="00B71EDF"/>
    <w:rsid w:val="00B72039"/>
    <w:rsid w:val="00B720C9"/>
    <w:rsid w:val="00B721E7"/>
    <w:rsid w:val="00B7221A"/>
    <w:rsid w:val="00B722E5"/>
    <w:rsid w:val="00B723DC"/>
    <w:rsid w:val="00B724AB"/>
    <w:rsid w:val="00B724C8"/>
    <w:rsid w:val="00B724E2"/>
    <w:rsid w:val="00B7256E"/>
    <w:rsid w:val="00B726C8"/>
    <w:rsid w:val="00B726D0"/>
    <w:rsid w:val="00B726FE"/>
    <w:rsid w:val="00B72763"/>
    <w:rsid w:val="00B727B8"/>
    <w:rsid w:val="00B72878"/>
    <w:rsid w:val="00B72A18"/>
    <w:rsid w:val="00B72A3D"/>
    <w:rsid w:val="00B72A7E"/>
    <w:rsid w:val="00B72B03"/>
    <w:rsid w:val="00B72BB9"/>
    <w:rsid w:val="00B72BFB"/>
    <w:rsid w:val="00B72CE0"/>
    <w:rsid w:val="00B72D08"/>
    <w:rsid w:val="00B72DB7"/>
    <w:rsid w:val="00B72EF8"/>
    <w:rsid w:val="00B72F76"/>
    <w:rsid w:val="00B72FA0"/>
    <w:rsid w:val="00B730DB"/>
    <w:rsid w:val="00B73106"/>
    <w:rsid w:val="00B73130"/>
    <w:rsid w:val="00B733D2"/>
    <w:rsid w:val="00B733F6"/>
    <w:rsid w:val="00B7346D"/>
    <w:rsid w:val="00B73478"/>
    <w:rsid w:val="00B734F1"/>
    <w:rsid w:val="00B736EA"/>
    <w:rsid w:val="00B736F2"/>
    <w:rsid w:val="00B7370D"/>
    <w:rsid w:val="00B73734"/>
    <w:rsid w:val="00B7382C"/>
    <w:rsid w:val="00B73894"/>
    <w:rsid w:val="00B7394B"/>
    <w:rsid w:val="00B73E1B"/>
    <w:rsid w:val="00B73F67"/>
    <w:rsid w:val="00B73FCE"/>
    <w:rsid w:val="00B74076"/>
    <w:rsid w:val="00B74127"/>
    <w:rsid w:val="00B7415B"/>
    <w:rsid w:val="00B74307"/>
    <w:rsid w:val="00B74349"/>
    <w:rsid w:val="00B743C7"/>
    <w:rsid w:val="00B743CB"/>
    <w:rsid w:val="00B74407"/>
    <w:rsid w:val="00B74457"/>
    <w:rsid w:val="00B745E6"/>
    <w:rsid w:val="00B74646"/>
    <w:rsid w:val="00B74799"/>
    <w:rsid w:val="00B74911"/>
    <w:rsid w:val="00B74932"/>
    <w:rsid w:val="00B74A3F"/>
    <w:rsid w:val="00B74C94"/>
    <w:rsid w:val="00B74D71"/>
    <w:rsid w:val="00B74F22"/>
    <w:rsid w:val="00B74F4F"/>
    <w:rsid w:val="00B74FCB"/>
    <w:rsid w:val="00B74FE0"/>
    <w:rsid w:val="00B74FEE"/>
    <w:rsid w:val="00B75000"/>
    <w:rsid w:val="00B75002"/>
    <w:rsid w:val="00B7504E"/>
    <w:rsid w:val="00B751E2"/>
    <w:rsid w:val="00B751E4"/>
    <w:rsid w:val="00B752A1"/>
    <w:rsid w:val="00B7536C"/>
    <w:rsid w:val="00B754A2"/>
    <w:rsid w:val="00B75523"/>
    <w:rsid w:val="00B756D0"/>
    <w:rsid w:val="00B7578D"/>
    <w:rsid w:val="00B757AE"/>
    <w:rsid w:val="00B757E3"/>
    <w:rsid w:val="00B75820"/>
    <w:rsid w:val="00B75826"/>
    <w:rsid w:val="00B75875"/>
    <w:rsid w:val="00B759AC"/>
    <w:rsid w:val="00B75A1B"/>
    <w:rsid w:val="00B75B69"/>
    <w:rsid w:val="00B75C6D"/>
    <w:rsid w:val="00B75C9C"/>
    <w:rsid w:val="00B75CBC"/>
    <w:rsid w:val="00B75CD2"/>
    <w:rsid w:val="00B75D45"/>
    <w:rsid w:val="00B75D61"/>
    <w:rsid w:val="00B75DE2"/>
    <w:rsid w:val="00B75E92"/>
    <w:rsid w:val="00B75EA1"/>
    <w:rsid w:val="00B75EC4"/>
    <w:rsid w:val="00B75F18"/>
    <w:rsid w:val="00B75F77"/>
    <w:rsid w:val="00B7602C"/>
    <w:rsid w:val="00B7607F"/>
    <w:rsid w:val="00B7611F"/>
    <w:rsid w:val="00B76166"/>
    <w:rsid w:val="00B7619A"/>
    <w:rsid w:val="00B761C9"/>
    <w:rsid w:val="00B761FC"/>
    <w:rsid w:val="00B762AB"/>
    <w:rsid w:val="00B7637F"/>
    <w:rsid w:val="00B7638C"/>
    <w:rsid w:val="00B76406"/>
    <w:rsid w:val="00B7662A"/>
    <w:rsid w:val="00B76644"/>
    <w:rsid w:val="00B76677"/>
    <w:rsid w:val="00B766D5"/>
    <w:rsid w:val="00B76836"/>
    <w:rsid w:val="00B76998"/>
    <w:rsid w:val="00B76A37"/>
    <w:rsid w:val="00B76B79"/>
    <w:rsid w:val="00B76C49"/>
    <w:rsid w:val="00B76CC8"/>
    <w:rsid w:val="00B76D4E"/>
    <w:rsid w:val="00B76E08"/>
    <w:rsid w:val="00B76E14"/>
    <w:rsid w:val="00B76E51"/>
    <w:rsid w:val="00B76EB3"/>
    <w:rsid w:val="00B76EC3"/>
    <w:rsid w:val="00B76EE2"/>
    <w:rsid w:val="00B76EF4"/>
    <w:rsid w:val="00B76F90"/>
    <w:rsid w:val="00B76F94"/>
    <w:rsid w:val="00B76FB5"/>
    <w:rsid w:val="00B770F6"/>
    <w:rsid w:val="00B77155"/>
    <w:rsid w:val="00B7718F"/>
    <w:rsid w:val="00B77190"/>
    <w:rsid w:val="00B77208"/>
    <w:rsid w:val="00B773BF"/>
    <w:rsid w:val="00B774C9"/>
    <w:rsid w:val="00B774DB"/>
    <w:rsid w:val="00B77758"/>
    <w:rsid w:val="00B777E1"/>
    <w:rsid w:val="00B77843"/>
    <w:rsid w:val="00B77896"/>
    <w:rsid w:val="00B778A3"/>
    <w:rsid w:val="00B77B45"/>
    <w:rsid w:val="00B77BD9"/>
    <w:rsid w:val="00B77D90"/>
    <w:rsid w:val="00B77DE1"/>
    <w:rsid w:val="00B77E50"/>
    <w:rsid w:val="00B77E5A"/>
    <w:rsid w:val="00B77EB1"/>
    <w:rsid w:val="00B77EE4"/>
    <w:rsid w:val="00B77FBD"/>
    <w:rsid w:val="00B80091"/>
    <w:rsid w:val="00B80209"/>
    <w:rsid w:val="00B802F1"/>
    <w:rsid w:val="00B80311"/>
    <w:rsid w:val="00B803A9"/>
    <w:rsid w:val="00B80447"/>
    <w:rsid w:val="00B8048B"/>
    <w:rsid w:val="00B80492"/>
    <w:rsid w:val="00B805C1"/>
    <w:rsid w:val="00B80642"/>
    <w:rsid w:val="00B80645"/>
    <w:rsid w:val="00B80698"/>
    <w:rsid w:val="00B80764"/>
    <w:rsid w:val="00B807CD"/>
    <w:rsid w:val="00B8080B"/>
    <w:rsid w:val="00B8086E"/>
    <w:rsid w:val="00B80969"/>
    <w:rsid w:val="00B809D1"/>
    <w:rsid w:val="00B80A4A"/>
    <w:rsid w:val="00B80A66"/>
    <w:rsid w:val="00B80B05"/>
    <w:rsid w:val="00B80B79"/>
    <w:rsid w:val="00B80BBD"/>
    <w:rsid w:val="00B80CB7"/>
    <w:rsid w:val="00B80D05"/>
    <w:rsid w:val="00B80D9E"/>
    <w:rsid w:val="00B80DE7"/>
    <w:rsid w:val="00B80F16"/>
    <w:rsid w:val="00B80FD1"/>
    <w:rsid w:val="00B810B2"/>
    <w:rsid w:val="00B8122A"/>
    <w:rsid w:val="00B81268"/>
    <w:rsid w:val="00B81365"/>
    <w:rsid w:val="00B813D4"/>
    <w:rsid w:val="00B81460"/>
    <w:rsid w:val="00B8146C"/>
    <w:rsid w:val="00B814BC"/>
    <w:rsid w:val="00B8159C"/>
    <w:rsid w:val="00B816A5"/>
    <w:rsid w:val="00B8187E"/>
    <w:rsid w:val="00B818EC"/>
    <w:rsid w:val="00B81A62"/>
    <w:rsid w:val="00B81A9C"/>
    <w:rsid w:val="00B81B13"/>
    <w:rsid w:val="00B81C56"/>
    <w:rsid w:val="00B81C95"/>
    <w:rsid w:val="00B81DDE"/>
    <w:rsid w:val="00B81EAE"/>
    <w:rsid w:val="00B81EC9"/>
    <w:rsid w:val="00B81F09"/>
    <w:rsid w:val="00B81FD4"/>
    <w:rsid w:val="00B8212B"/>
    <w:rsid w:val="00B82175"/>
    <w:rsid w:val="00B8220C"/>
    <w:rsid w:val="00B8222A"/>
    <w:rsid w:val="00B82310"/>
    <w:rsid w:val="00B82330"/>
    <w:rsid w:val="00B8268B"/>
    <w:rsid w:val="00B8271C"/>
    <w:rsid w:val="00B8274C"/>
    <w:rsid w:val="00B82785"/>
    <w:rsid w:val="00B828C2"/>
    <w:rsid w:val="00B82B15"/>
    <w:rsid w:val="00B82BAF"/>
    <w:rsid w:val="00B82D08"/>
    <w:rsid w:val="00B82EF6"/>
    <w:rsid w:val="00B82F0B"/>
    <w:rsid w:val="00B82F8C"/>
    <w:rsid w:val="00B82FBC"/>
    <w:rsid w:val="00B83050"/>
    <w:rsid w:val="00B8309D"/>
    <w:rsid w:val="00B830A8"/>
    <w:rsid w:val="00B830F2"/>
    <w:rsid w:val="00B8310B"/>
    <w:rsid w:val="00B831E8"/>
    <w:rsid w:val="00B831EF"/>
    <w:rsid w:val="00B83228"/>
    <w:rsid w:val="00B8324B"/>
    <w:rsid w:val="00B834F9"/>
    <w:rsid w:val="00B83696"/>
    <w:rsid w:val="00B83744"/>
    <w:rsid w:val="00B8375A"/>
    <w:rsid w:val="00B837A8"/>
    <w:rsid w:val="00B83837"/>
    <w:rsid w:val="00B838E8"/>
    <w:rsid w:val="00B83932"/>
    <w:rsid w:val="00B83950"/>
    <w:rsid w:val="00B839C1"/>
    <w:rsid w:val="00B83A2A"/>
    <w:rsid w:val="00B83B8C"/>
    <w:rsid w:val="00B83BC0"/>
    <w:rsid w:val="00B83BFB"/>
    <w:rsid w:val="00B83C6A"/>
    <w:rsid w:val="00B83D70"/>
    <w:rsid w:val="00B83D8B"/>
    <w:rsid w:val="00B83DC7"/>
    <w:rsid w:val="00B83E1D"/>
    <w:rsid w:val="00B83F69"/>
    <w:rsid w:val="00B83F6F"/>
    <w:rsid w:val="00B83F8D"/>
    <w:rsid w:val="00B840EB"/>
    <w:rsid w:val="00B840ED"/>
    <w:rsid w:val="00B84129"/>
    <w:rsid w:val="00B841E7"/>
    <w:rsid w:val="00B84240"/>
    <w:rsid w:val="00B84372"/>
    <w:rsid w:val="00B84398"/>
    <w:rsid w:val="00B84462"/>
    <w:rsid w:val="00B84572"/>
    <w:rsid w:val="00B8465D"/>
    <w:rsid w:val="00B84661"/>
    <w:rsid w:val="00B84760"/>
    <w:rsid w:val="00B847DD"/>
    <w:rsid w:val="00B847F2"/>
    <w:rsid w:val="00B84BC6"/>
    <w:rsid w:val="00B84C3B"/>
    <w:rsid w:val="00B84CDD"/>
    <w:rsid w:val="00B84DD9"/>
    <w:rsid w:val="00B84E29"/>
    <w:rsid w:val="00B84EF0"/>
    <w:rsid w:val="00B84F73"/>
    <w:rsid w:val="00B85093"/>
    <w:rsid w:val="00B85095"/>
    <w:rsid w:val="00B85183"/>
    <w:rsid w:val="00B851A4"/>
    <w:rsid w:val="00B85200"/>
    <w:rsid w:val="00B85260"/>
    <w:rsid w:val="00B852F7"/>
    <w:rsid w:val="00B85402"/>
    <w:rsid w:val="00B8543F"/>
    <w:rsid w:val="00B854E0"/>
    <w:rsid w:val="00B855E8"/>
    <w:rsid w:val="00B85668"/>
    <w:rsid w:val="00B8590C"/>
    <w:rsid w:val="00B85958"/>
    <w:rsid w:val="00B8597F"/>
    <w:rsid w:val="00B85AC7"/>
    <w:rsid w:val="00B85C4B"/>
    <w:rsid w:val="00B85CBE"/>
    <w:rsid w:val="00B85D1F"/>
    <w:rsid w:val="00B85D72"/>
    <w:rsid w:val="00B85DD2"/>
    <w:rsid w:val="00B85E0E"/>
    <w:rsid w:val="00B85F8C"/>
    <w:rsid w:val="00B8605D"/>
    <w:rsid w:val="00B86068"/>
    <w:rsid w:val="00B861A7"/>
    <w:rsid w:val="00B86363"/>
    <w:rsid w:val="00B86425"/>
    <w:rsid w:val="00B865AA"/>
    <w:rsid w:val="00B8667F"/>
    <w:rsid w:val="00B866A9"/>
    <w:rsid w:val="00B8673C"/>
    <w:rsid w:val="00B8673F"/>
    <w:rsid w:val="00B869A2"/>
    <w:rsid w:val="00B869FE"/>
    <w:rsid w:val="00B86ACC"/>
    <w:rsid w:val="00B86BA9"/>
    <w:rsid w:val="00B86DCC"/>
    <w:rsid w:val="00B86DD5"/>
    <w:rsid w:val="00B86E6C"/>
    <w:rsid w:val="00B87195"/>
    <w:rsid w:val="00B871D8"/>
    <w:rsid w:val="00B87215"/>
    <w:rsid w:val="00B872B8"/>
    <w:rsid w:val="00B87611"/>
    <w:rsid w:val="00B8761E"/>
    <w:rsid w:val="00B877FA"/>
    <w:rsid w:val="00B87803"/>
    <w:rsid w:val="00B87805"/>
    <w:rsid w:val="00B87831"/>
    <w:rsid w:val="00B87877"/>
    <w:rsid w:val="00B878FD"/>
    <w:rsid w:val="00B8791B"/>
    <w:rsid w:val="00B87929"/>
    <w:rsid w:val="00B87988"/>
    <w:rsid w:val="00B87A4C"/>
    <w:rsid w:val="00B87BAB"/>
    <w:rsid w:val="00B87C28"/>
    <w:rsid w:val="00B87C9C"/>
    <w:rsid w:val="00B87DB3"/>
    <w:rsid w:val="00B87E16"/>
    <w:rsid w:val="00B87FA4"/>
    <w:rsid w:val="00B90025"/>
    <w:rsid w:val="00B900BE"/>
    <w:rsid w:val="00B900EB"/>
    <w:rsid w:val="00B9013B"/>
    <w:rsid w:val="00B90197"/>
    <w:rsid w:val="00B90259"/>
    <w:rsid w:val="00B90264"/>
    <w:rsid w:val="00B90304"/>
    <w:rsid w:val="00B9039C"/>
    <w:rsid w:val="00B90470"/>
    <w:rsid w:val="00B90471"/>
    <w:rsid w:val="00B90516"/>
    <w:rsid w:val="00B9054F"/>
    <w:rsid w:val="00B905E5"/>
    <w:rsid w:val="00B90613"/>
    <w:rsid w:val="00B90749"/>
    <w:rsid w:val="00B9086A"/>
    <w:rsid w:val="00B90919"/>
    <w:rsid w:val="00B909C3"/>
    <w:rsid w:val="00B909F5"/>
    <w:rsid w:val="00B90A42"/>
    <w:rsid w:val="00B90B39"/>
    <w:rsid w:val="00B90B91"/>
    <w:rsid w:val="00B90BB8"/>
    <w:rsid w:val="00B90E46"/>
    <w:rsid w:val="00B90E84"/>
    <w:rsid w:val="00B90FCA"/>
    <w:rsid w:val="00B91010"/>
    <w:rsid w:val="00B91182"/>
    <w:rsid w:val="00B911A6"/>
    <w:rsid w:val="00B91210"/>
    <w:rsid w:val="00B91211"/>
    <w:rsid w:val="00B91262"/>
    <w:rsid w:val="00B9134D"/>
    <w:rsid w:val="00B91459"/>
    <w:rsid w:val="00B914A6"/>
    <w:rsid w:val="00B91515"/>
    <w:rsid w:val="00B91595"/>
    <w:rsid w:val="00B916C3"/>
    <w:rsid w:val="00B916FA"/>
    <w:rsid w:val="00B91702"/>
    <w:rsid w:val="00B9172C"/>
    <w:rsid w:val="00B917B9"/>
    <w:rsid w:val="00B917D7"/>
    <w:rsid w:val="00B91814"/>
    <w:rsid w:val="00B9192D"/>
    <w:rsid w:val="00B919F4"/>
    <w:rsid w:val="00B91A24"/>
    <w:rsid w:val="00B91A71"/>
    <w:rsid w:val="00B91C2B"/>
    <w:rsid w:val="00B91C40"/>
    <w:rsid w:val="00B91C98"/>
    <w:rsid w:val="00B91E4C"/>
    <w:rsid w:val="00B91E5F"/>
    <w:rsid w:val="00B91E60"/>
    <w:rsid w:val="00B91FCB"/>
    <w:rsid w:val="00B92035"/>
    <w:rsid w:val="00B920BD"/>
    <w:rsid w:val="00B9213C"/>
    <w:rsid w:val="00B92253"/>
    <w:rsid w:val="00B922DE"/>
    <w:rsid w:val="00B92313"/>
    <w:rsid w:val="00B9239A"/>
    <w:rsid w:val="00B924A0"/>
    <w:rsid w:val="00B925A9"/>
    <w:rsid w:val="00B925B1"/>
    <w:rsid w:val="00B925CB"/>
    <w:rsid w:val="00B925CC"/>
    <w:rsid w:val="00B9270A"/>
    <w:rsid w:val="00B9275D"/>
    <w:rsid w:val="00B92765"/>
    <w:rsid w:val="00B928EE"/>
    <w:rsid w:val="00B928F0"/>
    <w:rsid w:val="00B92918"/>
    <w:rsid w:val="00B92B6D"/>
    <w:rsid w:val="00B92BDE"/>
    <w:rsid w:val="00B92BF3"/>
    <w:rsid w:val="00B92C6B"/>
    <w:rsid w:val="00B92D17"/>
    <w:rsid w:val="00B92D31"/>
    <w:rsid w:val="00B92E5B"/>
    <w:rsid w:val="00B92F48"/>
    <w:rsid w:val="00B92F5B"/>
    <w:rsid w:val="00B92F7B"/>
    <w:rsid w:val="00B92FC2"/>
    <w:rsid w:val="00B9303D"/>
    <w:rsid w:val="00B9310D"/>
    <w:rsid w:val="00B93135"/>
    <w:rsid w:val="00B9318A"/>
    <w:rsid w:val="00B9318B"/>
    <w:rsid w:val="00B931F2"/>
    <w:rsid w:val="00B932C0"/>
    <w:rsid w:val="00B932C7"/>
    <w:rsid w:val="00B93481"/>
    <w:rsid w:val="00B934F6"/>
    <w:rsid w:val="00B9361B"/>
    <w:rsid w:val="00B93748"/>
    <w:rsid w:val="00B9374E"/>
    <w:rsid w:val="00B93765"/>
    <w:rsid w:val="00B938A8"/>
    <w:rsid w:val="00B93924"/>
    <w:rsid w:val="00B93976"/>
    <w:rsid w:val="00B939AA"/>
    <w:rsid w:val="00B93A7A"/>
    <w:rsid w:val="00B93B31"/>
    <w:rsid w:val="00B93B5E"/>
    <w:rsid w:val="00B93C8A"/>
    <w:rsid w:val="00B93F55"/>
    <w:rsid w:val="00B93FDE"/>
    <w:rsid w:val="00B94021"/>
    <w:rsid w:val="00B940E3"/>
    <w:rsid w:val="00B94185"/>
    <w:rsid w:val="00B941C1"/>
    <w:rsid w:val="00B94212"/>
    <w:rsid w:val="00B9433F"/>
    <w:rsid w:val="00B9434D"/>
    <w:rsid w:val="00B94352"/>
    <w:rsid w:val="00B943A7"/>
    <w:rsid w:val="00B943D9"/>
    <w:rsid w:val="00B9457A"/>
    <w:rsid w:val="00B9458C"/>
    <w:rsid w:val="00B94603"/>
    <w:rsid w:val="00B94654"/>
    <w:rsid w:val="00B9466A"/>
    <w:rsid w:val="00B9467A"/>
    <w:rsid w:val="00B946AF"/>
    <w:rsid w:val="00B946E3"/>
    <w:rsid w:val="00B94755"/>
    <w:rsid w:val="00B9484F"/>
    <w:rsid w:val="00B94992"/>
    <w:rsid w:val="00B94A03"/>
    <w:rsid w:val="00B94ACD"/>
    <w:rsid w:val="00B94AEC"/>
    <w:rsid w:val="00B94B84"/>
    <w:rsid w:val="00B94BFA"/>
    <w:rsid w:val="00B94CA2"/>
    <w:rsid w:val="00B94D59"/>
    <w:rsid w:val="00B94D62"/>
    <w:rsid w:val="00B94E4B"/>
    <w:rsid w:val="00B94E95"/>
    <w:rsid w:val="00B94F66"/>
    <w:rsid w:val="00B94FD2"/>
    <w:rsid w:val="00B94FE6"/>
    <w:rsid w:val="00B94FEE"/>
    <w:rsid w:val="00B9500A"/>
    <w:rsid w:val="00B950D2"/>
    <w:rsid w:val="00B9510C"/>
    <w:rsid w:val="00B95234"/>
    <w:rsid w:val="00B95268"/>
    <w:rsid w:val="00B95276"/>
    <w:rsid w:val="00B95321"/>
    <w:rsid w:val="00B95403"/>
    <w:rsid w:val="00B9572C"/>
    <w:rsid w:val="00B958AD"/>
    <w:rsid w:val="00B958BD"/>
    <w:rsid w:val="00B958E4"/>
    <w:rsid w:val="00B95C14"/>
    <w:rsid w:val="00B95D0D"/>
    <w:rsid w:val="00B95E3F"/>
    <w:rsid w:val="00B95F29"/>
    <w:rsid w:val="00B95F50"/>
    <w:rsid w:val="00B95FD4"/>
    <w:rsid w:val="00B95FE3"/>
    <w:rsid w:val="00B96019"/>
    <w:rsid w:val="00B9606F"/>
    <w:rsid w:val="00B96101"/>
    <w:rsid w:val="00B961C2"/>
    <w:rsid w:val="00B961EC"/>
    <w:rsid w:val="00B96277"/>
    <w:rsid w:val="00B96356"/>
    <w:rsid w:val="00B965BC"/>
    <w:rsid w:val="00B965F1"/>
    <w:rsid w:val="00B9668F"/>
    <w:rsid w:val="00B96AB2"/>
    <w:rsid w:val="00B96B7F"/>
    <w:rsid w:val="00B96C72"/>
    <w:rsid w:val="00B96D3F"/>
    <w:rsid w:val="00B96E03"/>
    <w:rsid w:val="00B96E1F"/>
    <w:rsid w:val="00B96E40"/>
    <w:rsid w:val="00B96E9D"/>
    <w:rsid w:val="00B96EAB"/>
    <w:rsid w:val="00B96F9E"/>
    <w:rsid w:val="00B96FD9"/>
    <w:rsid w:val="00B96FDE"/>
    <w:rsid w:val="00B971C3"/>
    <w:rsid w:val="00B9725E"/>
    <w:rsid w:val="00B9727C"/>
    <w:rsid w:val="00B9730E"/>
    <w:rsid w:val="00B97378"/>
    <w:rsid w:val="00B973A6"/>
    <w:rsid w:val="00B974DA"/>
    <w:rsid w:val="00B97579"/>
    <w:rsid w:val="00B9757A"/>
    <w:rsid w:val="00B975DA"/>
    <w:rsid w:val="00B976ED"/>
    <w:rsid w:val="00B97811"/>
    <w:rsid w:val="00B978FB"/>
    <w:rsid w:val="00B97936"/>
    <w:rsid w:val="00B97B40"/>
    <w:rsid w:val="00B97B67"/>
    <w:rsid w:val="00B97D45"/>
    <w:rsid w:val="00B97EA0"/>
    <w:rsid w:val="00B97EDC"/>
    <w:rsid w:val="00BA0015"/>
    <w:rsid w:val="00BA0061"/>
    <w:rsid w:val="00BA008D"/>
    <w:rsid w:val="00BA01D4"/>
    <w:rsid w:val="00BA020F"/>
    <w:rsid w:val="00BA02BA"/>
    <w:rsid w:val="00BA02DE"/>
    <w:rsid w:val="00BA0336"/>
    <w:rsid w:val="00BA033E"/>
    <w:rsid w:val="00BA056E"/>
    <w:rsid w:val="00BA0676"/>
    <w:rsid w:val="00BA071C"/>
    <w:rsid w:val="00BA096F"/>
    <w:rsid w:val="00BA0992"/>
    <w:rsid w:val="00BA0B04"/>
    <w:rsid w:val="00BA0B87"/>
    <w:rsid w:val="00BA0C3B"/>
    <w:rsid w:val="00BA0E25"/>
    <w:rsid w:val="00BA0E30"/>
    <w:rsid w:val="00BA0E63"/>
    <w:rsid w:val="00BA0EC8"/>
    <w:rsid w:val="00BA0F99"/>
    <w:rsid w:val="00BA0FA2"/>
    <w:rsid w:val="00BA0FAA"/>
    <w:rsid w:val="00BA1030"/>
    <w:rsid w:val="00BA1035"/>
    <w:rsid w:val="00BA1038"/>
    <w:rsid w:val="00BA114C"/>
    <w:rsid w:val="00BA121D"/>
    <w:rsid w:val="00BA1273"/>
    <w:rsid w:val="00BA12D7"/>
    <w:rsid w:val="00BA144C"/>
    <w:rsid w:val="00BA1476"/>
    <w:rsid w:val="00BA1494"/>
    <w:rsid w:val="00BA14A6"/>
    <w:rsid w:val="00BA1527"/>
    <w:rsid w:val="00BA15F5"/>
    <w:rsid w:val="00BA1687"/>
    <w:rsid w:val="00BA16AA"/>
    <w:rsid w:val="00BA1761"/>
    <w:rsid w:val="00BA1769"/>
    <w:rsid w:val="00BA1783"/>
    <w:rsid w:val="00BA1864"/>
    <w:rsid w:val="00BA189C"/>
    <w:rsid w:val="00BA192F"/>
    <w:rsid w:val="00BA1A35"/>
    <w:rsid w:val="00BA1A3F"/>
    <w:rsid w:val="00BA1A46"/>
    <w:rsid w:val="00BA1AE5"/>
    <w:rsid w:val="00BA1B78"/>
    <w:rsid w:val="00BA1C2E"/>
    <w:rsid w:val="00BA1D22"/>
    <w:rsid w:val="00BA1D45"/>
    <w:rsid w:val="00BA1DCC"/>
    <w:rsid w:val="00BA1DE6"/>
    <w:rsid w:val="00BA1DED"/>
    <w:rsid w:val="00BA1E0A"/>
    <w:rsid w:val="00BA1F35"/>
    <w:rsid w:val="00BA1F45"/>
    <w:rsid w:val="00BA20B1"/>
    <w:rsid w:val="00BA21DC"/>
    <w:rsid w:val="00BA21FC"/>
    <w:rsid w:val="00BA2236"/>
    <w:rsid w:val="00BA22A8"/>
    <w:rsid w:val="00BA23A8"/>
    <w:rsid w:val="00BA2569"/>
    <w:rsid w:val="00BA27E6"/>
    <w:rsid w:val="00BA2862"/>
    <w:rsid w:val="00BA28EE"/>
    <w:rsid w:val="00BA29A2"/>
    <w:rsid w:val="00BA29D6"/>
    <w:rsid w:val="00BA2A1A"/>
    <w:rsid w:val="00BA2A6D"/>
    <w:rsid w:val="00BA2A88"/>
    <w:rsid w:val="00BA2B5D"/>
    <w:rsid w:val="00BA2C8A"/>
    <w:rsid w:val="00BA2EEB"/>
    <w:rsid w:val="00BA2F14"/>
    <w:rsid w:val="00BA2F73"/>
    <w:rsid w:val="00BA30F1"/>
    <w:rsid w:val="00BA30F4"/>
    <w:rsid w:val="00BA31EA"/>
    <w:rsid w:val="00BA3207"/>
    <w:rsid w:val="00BA3225"/>
    <w:rsid w:val="00BA3333"/>
    <w:rsid w:val="00BA3375"/>
    <w:rsid w:val="00BA33AD"/>
    <w:rsid w:val="00BA3415"/>
    <w:rsid w:val="00BA3709"/>
    <w:rsid w:val="00BA37BD"/>
    <w:rsid w:val="00BA38A4"/>
    <w:rsid w:val="00BA38A6"/>
    <w:rsid w:val="00BA3976"/>
    <w:rsid w:val="00BA3A0F"/>
    <w:rsid w:val="00BA3A5D"/>
    <w:rsid w:val="00BA3C1D"/>
    <w:rsid w:val="00BA3C78"/>
    <w:rsid w:val="00BA3CAC"/>
    <w:rsid w:val="00BA3DD8"/>
    <w:rsid w:val="00BA3FDD"/>
    <w:rsid w:val="00BA40E4"/>
    <w:rsid w:val="00BA4190"/>
    <w:rsid w:val="00BA41FC"/>
    <w:rsid w:val="00BA4375"/>
    <w:rsid w:val="00BA4392"/>
    <w:rsid w:val="00BA4495"/>
    <w:rsid w:val="00BA44E3"/>
    <w:rsid w:val="00BA4504"/>
    <w:rsid w:val="00BA466B"/>
    <w:rsid w:val="00BA477B"/>
    <w:rsid w:val="00BA47BD"/>
    <w:rsid w:val="00BA47ED"/>
    <w:rsid w:val="00BA484C"/>
    <w:rsid w:val="00BA492D"/>
    <w:rsid w:val="00BA496A"/>
    <w:rsid w:val="00BA496F"/>
    <w:rsid w:val="00BA49FF"/>
    <w:rsid w:val="00BA4AFD"/>
    <w:rsid w:val="00BA4B1E"/>
    <w:rsid w:val="00BA4CBF"/>
    <w:rsid w:val="00BA4DB2"/>
    <w:rsid w:val="00BA4DC7"/>
    <w:rsid w:val="00BA4E0D"/>
    <w:rsid w:val="00BA4EBD"/>
    <w:rsid w:val="00BA4F3F"/>
    <w:rsid w:val="00BA4F71"/>
    <w:rsid w:val="00BA4F74"/>
    <w:rsid w:val="00BA503D"/>
    <w:rsid w:val="00BA516E"/>
    <w:rsid w:val="00BA5245"/>
    <w:rsid w:val="00BA5290"/>
    <w:rsid w:val="00BA52AB"/>
    <w:rsid w:val="00BA52CF"/>
    <w:rsid w:val="00BA52D9"/>
    <w:rsid w:val="00BA537E"/>
    <w:rsid w:val="00BA54A9"/>
    <w:rsid w:val="00BA54B9"/>
    <w:rsid w:val="00BA55EB"/>
    <w:rsid w:val="00BA565B"/>
    <w:rsid w:val="00BA5664"/>
    <w:rsid w:val="00BA57CA"/>
    <w:rsid w:val="00BA58F1"/>
    <w:rsid w:val="00BA5AA5"/>
    <w:rsid w:val="00BA5AE0"/>
    <w:rsid w:val="00BA5B6F"/>
    <w:rsid w:val="00BA5C38"/>
    <w:rsid w:val="00BA5C5C"/>
    <w:rsid w:val="00BA5D2C"/>
    <w:rsid w:val="00BA5D2E"/>
    <w:rsid w:val="00BA5EAD"/>
    <w:rsid w:val="00BA5F9F"/>
    <w:rsid w:val="00BA605C"/>
    <w:rsid w:val="00BA60AA"/>
    <w:rsid w:val="00BA60E2"/>
    <w:rsid w:val="00BA615F"/>
    <w:rsid w:val="00BA61C8"/>
    <w:rsid w:val="00BA61DD"/>
    <w:rsid w:val="00BA62D0"/>
    <w:rsid w:val="00BA62DD"/>
    <w:rsid w:val="00BA63B4"/>
    <w:rsid w:val="00BA6626"/>
    <w:rsid w:val="00BA662B"/>
    <w:rsid w:val="00BA6634"/>
    <w:rsid w:val="00BA6702"/>
    <w:rsid w:val="00BA690D"/>
    <w:rsid w:val="00BA69A9"/>
    <w:rsid w:val="00BA6AFE"/>
    <w:rsid w:val="00BA6BB6"/>
    <w:rsid w:val="00BA6BE2"/>
    <w:rsid w:val="00BA6CD6"/>
    <w:rsid w:val="00BA6DD4"/>
    <w:rsid w:val="00BA6E52"/>
    <w:rsid w:val="00BA6F0B"/>
    <w:rsid w:val="00BA6F79"/>
    <w:rsid w:val="00BA708F"/>
    <w:rsid w:val="00BA70E8"/>
    <w:rsid w:val="00BA71AC"/>
    <w:rsid w:val="00BA73AB"/>
    <w:rsid w:val="00BA73FA"/>
    <w:rsid w:val="00BA74E7"/>
    <w:rsid w:val="00BA7587"/>
    <w:rsid w:val="00BA75EF"/>
    <w:rsid w:val="00BA7615"/>
    <w:rsid w:val="00BA762D"/>
    <w:rsid w:val="00BA7698"/>
    <w:rsid w:val="00BA7762"/>
    <w:rsid w:val="00BA77A6"/>
    <w:rsid w:val="00BA77AA"/>
    <w:rsid w:val="00BA7A40"/>
    <w:rsid w:val="00BA7C4C"/>
    <w:rsid w:val="00BA7D42"/>
    <w:rsid w:val="00BA7D73"/>
    <w:rsid w:val="00BA7D77"/>
    <w:rsid w:val="00BA7D80"/>
    <w:rsid w:val="00BA7DC3"/>
    <w:rsid w:val="00BA7DC6"/>
    <w:rsid w:val="00BA7EF8"/>
    <w:rsid w:val="00BA7F3C"/>
    <w:rsid w:val="00BB005C"/>
    <w:rsid w:val="00BB013E"/>
    <w:rsid w:val="00BB01FF"/>
    <w:rsid w:val="00BB0280"/>
    <w:rsid w:val="00BB0286"/>
    <w:rsid w:val="00BB02B8"/>
    <w:rsid w:val="00BB02DA"/>
    <w:rsid w:val="00BB032C"/>
    <w:rsid w:val="00BB03B4"/>
    <w:rsid w:val="00BB03B9"/>
    <w:rsid w:val="00BB03D0"/>
    <w:rsid w:val="00BB03E6"/>
    <w:rsid w:val="00BB03EF"/>
    <w:rsid w:val="00BB0415"/>
    <w:rsid w:val="00BB0422"/>
    <w:rsid w:val="00BB05B7"/>
    <w:rsid w:val="00BB0735"/>
    <w:rsid w:val="00BB07A2"/>
    <w:rsid w:val="00BB07B6"/>
    <w:rsid w:val="00BB0851"/>
    <w:rsid w:val="00BB0892"/>
    <w:rsid w:val="00BB0893"/>
    <w:rsid w:val="00BB08E4"/>
    <w:rsid w:val="00BB0AA0"/>
    <w:rsid w:val="00BB0AED"/>
    <w:rsid w:val="00BB0C4E"/>
    <w:rsid w:val="00BB0D1A"/>
    <w:rsid w:val="00BB0D92"/>
    <w:rsid w:val="00BB0F04"/>
    <w:rsid w:val="00BB0F1B"/>
    <w:rsid w:val="00BB0F36"/>
    <w:rsid w:val="00BB10C5"/>
    <w:rsid w:val="00BB11C5"/>
    <w:rsid w:val="00BB126A"/>
    <w:rsid w:val="00BB12A5"/>
    <w:rsid w:val="00BB130D"/>
    <w:rsid w:val="00BB1358"/>
    <w:rsid w:val="00BB14B7"/>
    <w:rsid w:val="00BB1706"/>
    <w:rsid w:val="00BB17E5"/>
    <w:rsid w:val="00BB1854"/>
    <w:rsid w:val="00BB18D7"/>
    <w:rsid w:val="00BB196B"/>
    <w:rsid w:val="00BB1A3D"/>
    <w:rsid w:val="00BB1AAC"/>
    <w:rsid w:val="00BB1B15"/>
    <w:rsid w:val="00BB1B9F"/>
    <w:rsid w:val="00BB1C1A"/>
    <w:rsid w:val="00BB1C6F"/>
    <w:rsid w:val="00BB1CB4"/>
    <w:rsid w:val="00BB1CEF"/>
    <w:rsid w:val="00BB1D60"/>
    <w:rsid w:val="00BB1F08"/>
    <w:rsid w:val="00BB1F74"/>
    <w:rsid w:val="00BB1F82"/>
    <w:rsid w:val="00BB2003"/>
    <w:rsid w:val="00BB2192"/>
    <w:rsid w:val="00BB22E6"/>
    <w:rsid w:val="00BB2302"/>
    <w:rsid w:val="00BB23AA"/>
    <w:rsid w:val="00BB23F0"/>
    <w:rsid w:val="00BB2533"/>
    <w:rsid w:val="00BB2665"/>
    <w:rsid w:val="00BB26CB"/>
    <w:rsid w:val="00BB26FD"/>
    <w:rsid w:val="00BB2728"/>
    <w:rsid w:val="00BB2780"/>
    <w:rsid w:val="00BB27C3"/>
    <w:rsid w:val="00BB27C7"/>
    <w:rsid w:val="00BB28E7"/>
    <w:rsid w:val="00BB2905"/>
    <w:rsid w:val="00BB2A3A"/>
    <w:rsid w:val="00BB2CA7"/>
    <w:rsid w:val="00BB2D9F"/>
    <w:rsid w:val="00BB2DC1"/>
    <w:rsid w:val="00BB2F99"/>
    <w:rsid w:val="00BB2F9D"/>
    <w:rsid w:val="00BB3017"/>
    <w:rsid w:val="00BB3025"/>
    <w:rsid w:val="00BB3034"/>
    <w:rsid w:val="00BB3049"/>
    <w:rsid w:val="00BB324A"/>
    <w:rsid w:val="00BB3460"/>
    <w:rsid w:val="00BB361C"/>
    <w:rsid w:val="00BB379B"/>
    <w:rsid w:val="00BB3904"/>
    <w:rsid w:val="00BB3944"/>
    <w:rsid w:val="00BB3ABC"/>
    <w:rsid w:val="00BB3AC5"/>
    <w:rsid w:val="00BB3B0C"/>
    <w:rsid w:val="00BB3B1A"/>
    <w:rsid w:val="00BB3B23"/>
    <w:rsid w:val="00BB3BB0"/>
    <w:rsid w:val="00BB3BBA"/>
    <w:rsid w:val="00BB3BFE"/>
    <w:rsid w:val="00BB3C05"/>
    <w:rsid w:val="00BB3C87"/>
    <w:rsid w:val="00BB3DA8"/>
    <w:rsid w:val="00BB3E2E"/>
    <w:rsid w:val="00BB3E71"/>
    <w:rsid w:val="00BB3EC3"/>
    <w:rsid w:val="00BB3FB8"/>
    <w:rsid w:val="00BB3FFD"/>
    <w:rsid w:val="00BB4012"/>
    <w:rsid w:val="00BB4037"/>
    <w:rsid w:val="00BB4095"/>
    <w:rsid w:val="00BB4156"/>
    <w:rsid w:val="00BB41AB"/>
    <w:rsid w:val="00BB41F9"/>
    <w:rsid w:val="00BB4218"/>
    <w:rsid w:val="00BB42C7"/>
    <w:rsid w:val="00BB439D"/>
    <w:rsid w:val="00BB43AC"/>
    <w:rsid w:val="00BB4428"/>
    <w:rsid w:val="00BB4443"/>
    <w:rsid w:val="00BB44D0"/>
    <w:rsid w:val="00BB45A5"/>
    <w:rsid w:val="00BB4635"/>
    <w:rsid w:val="00BB4644"/>
    <w:rsid w:val="00BB467B"/>
    <w:rsid w:val="00BB4850"/>
    <w:rsid w:val="00BB487E"/>
    <w:rsid w:val="00BB4923"/>
    <w:rsid w:val="00BB493F"/>
    <w:rsid w:val="00BB4970"/>
    <w:rsid w:val="00BB497F"/>
    <w:rsid w:val="00BB4BDC"/>
    <w:rsid w:val="00BB4C21"/>
    <w:rsid w:val="00BB4C3F"/>
    <w:rsid w:val="00BB4C84"/>
    <w:rsid w:val="00BB4DD7"/>
    <w:rsid w:val="00BB4DF8"/>
    <w:rsid w:val="00BB50A7"/>
    <w:rsid w:val="00BB50C3"/>
    <w:rsid w:val="00BB5147"/>
    <w:rsid w:val="00BB51CC"/>
    <w:rsid w:val="00BB52B5"/>
    <w:rsid w:val="00BB5352"/>
    <w:rsid w:val="00BB54BA"/>
    <w:rsid w:val="00BB552C"/>
    <w:rsid w:val="00BB556B"/>
    <w:rsid w:val="00BB55B2"/>
    <w:rsid w:val="00BB5666"/>
    <w:rsid w:val="00BB5945"/>
    <w:rsid w:val="00BB59E7"/>
    <w:rsid w:val="00BB5A92"/>
    <w:rsid w:val="00BB5B6D"/>
    <w:rsid w:val="00BB5C7E"/>
    <w:rsid w:val="00BB5D79"/>
    <w:rsid w:val="00BB5DDE"/>
    <w:rsid w:val="00BB5E22"/>
    <w:rsid w:val="00BB5FEE"/>
    <w:rsid w:val="00BB5FF6"/>
    <w:rsid w:val="00BB625E"/>
    <w:rsid w:val="00BB6310"/>
    <w:rsid w:val="00BB6329"/>
    <w:rsid w:val="00BB638E"/>
    <w:rsid w:val="00BB6434"/>
    <w:rsid w:val="00BB666A"/>
    <w:rsid w:val="00BB66A1"/>
    <w:rsid w:val="00BB67E3"/>
    <w:rsid w:val="00BB6816"/>
    <w:rsid w:val="00BB6A0C"/>
    <w:rsid w:val="00BB6A2A"/>
    <w:rsid w:val="00BB6B49"/>
    <w:rsid w:val="00BB6B98"/>
    <w:rsid w:val="00BB6C00"/>
    <w:rsid w:val="00BB6CBD"/>
    <w:rsid w:val="00BB6D32"/>
    <w:rsid w:val="00BB6F8C"/>
    <w:rsid w:val="00BB7097"/>
    <w:rsid w:val="00BB70FD"/>
    <w:rsid w:val="00BB7181"/>
    <w:rsid w:val="00BB719C"/>
    <w:rsid w:val="00BB72A3"/>
    <w:rsid w:val="00BB72E4"/>
    <w:rsid w:val="00BB7379"/>
    <w:rsid w:val="00BB7422"/>
    <w:rsid w:val="00BB7479"/>
    <w:rsid w:val="00BB75CE"/>
    <w:rsid w:val="00BB7688"/>
    <w:rsid w:val="00BB76CE"/>
    <w:rsid w:val="00BB776F"/>
    <w:rsid w:val="00BB77E0"/>
    <w:rsid w:val="00BB7868"/>
    <w:rsid w:val="00BB7A6D"/>
    <w:rsid w:val="00BB7C1E"/>
    <w:rsid w:val="00BB7C44"/>
    <w:rsid w:val="00BB7D1A"/>
    <w:rsid w:val="00BB7DF1"/>
    <w:rsid w:val="00BB7E90"/>
    <w:rsid w:val="00BB7F01"/>
    <w:rsid w:val="00BB7FB8"/>
    <w:rsid w:val="00BC017A"/>
    <w:rsid w:val="00BC0197"/>
    <w:rsid w:val="00BC0243"/>
    <w:rsid w:val="00BC02AE"/>
    <w:rsid w:val="00BC0331"/>
    <w:rsid w:val="00BC0417"/>
    <w:rsid w:val="00BC0452"/>
    <w:rsid w:val="00BC049F"/>
    <w:rsid w:val="00BC0552"/>
    <w:rsid w:val="00BC069B"/>
    <w:rsid w:val="00BC0733"/>
    <w:rsid w:val="00BC0901"/>
    <w:rsid w:val="00BC094C"/>
    <w:rsid w:val="00BC09E2"/>
    <w:rsid w:val="00BC0A1F"/>
    <w:rsid w:val="00BC0A23"/>
    <w:rsid w:val="00BC0A3B"/>
    <w:rsid w:val="00BC0A90"/>
    <w:rsid w:val="00BC0B36"/>
    <w:rsid w:val="00BC0C14"/>
    <w:rsid w:val="00BC0C23"/>
    <w:rsid w:val="00BC0C2B"/>
    <w:rsid w:val="00BC0C68"/>
    <w:rsid w:val="00BC0CD1"/>
    <w:rsid w:val="00BC0D30"/>
    <w:rsid w:val="00BC0DFD"/>
    <w:rsid w:val="00BC0EC1"/>
    <w:rsid w:val="00BC0F1B"/>
    <w:rsid w:val="00BC0F24"/>
    <w:rsid w:val="00BC107D"/>
    <w:rsid w:val="00BC10AA"/>
    <w:rsid w:val="00BC1149"/>
    <w:rsid w:val="00BC11B1"/>
    <w:rsid w:val="00BC11EE"/>
    <w:rsid w:val="00BC11EF"/>
    <w:rsid w:val="00BC127A"/>
    <w:rsid w:val="00BC1280"/>
    <w:rsid w:val="00BC135F"/>
    <w:rsid w:val="00BC13F9"/>
    <w:rsid w:val="00BC1411"/>
    <w:rsid w:val="00BC144E"/>
    <w:rsid w:val="00BC14AF"/>
    <w:rsid w:val="00BC152D"/>
    <w:rsid w:val="00BC15C0"/>
    <w:rsid w:val="00BC16F8"/>
    <w:rsid w:val="00BC17A1"/>
    <w:rsid w:val="00BC19C1"/>
    <w:rsid w:val="00BC1A17"/>
    <w:rsid w:val="00BC1A6B"/>
    <w:rsid w:val="00BC1AD8"/>
    <w:rsid w:val="00BC1B0D"/>
    <w:rsid w:val="00BC1B2B"/>
    <w:rsid w:val="00BC1B54"/>
    <w:rsid w:val="00BC1B9C"/>
    <w:rsid w:val="00BC1BC1"/>
    <w:rsid w:val="00BC1BE8"/>
    <w:rsid w:val="00BC1BFA"/>
    <w:rsid w:val="00BC1D08"/>
    <w:rsid w:val="00BC1DAD"/>
    <w:rsid w:val="00BC1F48"/>
    <w:rsid w:val="00BC1F6D"/>
    <w:rsid w:val="00BC204F"/>
    <w:rsid w:val="00BC212E"/>
    <w:rsid w:val="00BC223F"/>
    <w:rsid w:val="00BC227B"/>
    <w:rsid w:val="00BC2381"/>
    <w:rsid w:val="00BC23A7"/>
    <w:rsid w:val="00BC23C2"/>
    <w:rsid w:val="00BC23D5"/>
    <w:rsid w:val="00BC2515"/>
    <w:rsid w:val="00BC2527"/>
    <w:rsid w:val="00BC2580"/>
    <w:rsid w:val="00BC25D6"/>
    <w:rsid w:val="00BC2694"/>
    <w:rsid w:val="00BC269B"/>
    <w:rsid w:val="00BC26BF"/>
    <w:rsid w:val="00BC276E"/>
    <w:rsid w:val="00BC27C0"/>
    <w:rsid w:val="00BC28CD"/>
    <w:rsid w:val="00BC2939"/>
    <w:rsid w:val="00BC2973"/>
    <w:rsid w:val="00BC29B7"/>
    <w:rsid w:val="00BC29CF"/>
    <w:rsid w:val="00BC2A29"/>
    <w:rsid w:val="00BC2C7C"/>
    <w:rsid w:val="00BC2CAC"/>
    <w:rsid w:val="00BC2DBA"/>
    <w:rsid w:val="00BC2DD1"/>
    <w:rsid w:val="00BC2DD8"/>
    <w:rsid w:val="00BC2E39"/>
    <w:rsid w:val="00BC2E57"/>
    <w:rsid w:val="00BC2E86"/>
    <w:rsid w:val="00BC2FAE"/>
    <w:rsid w:val="00BC30F9"/>
    <w:rsid w:val="00BC316C"/>
    <w:rsid w:val="00BC3209"/>
    <w:rsid w:val="00BC33D4"/>
    <w:rsid w:val="00BC3512"/>
    <w:rsid w:val="00BC3558"/>
    <w:rsid w:val="00BC355C"/>
    <w:rsid w:val="00BC35D8"/>
    <w:rsid w:val="00BC3699"/>
    <w:rsid w:val="00BC37E4"/>
    <w:rsid w:val="00BC3813"/>
    <w:rsid w:val="00BC3882"/>
    <w:rsid w:val="00BC38E7"/>
    <w:rsid w:val="00BC38E9"/>
    <w:rsid w:val="00BC390D"/>
    <w:rsid w:val="00BC398A"/>
    <w:rsid w:val="00BC39BA"/>
    <w:rsid w:val="00BC3ACB"/>
    <w:rsid w:val="00BC3D0C"/>
    <w:rsid w:val="00BC3D6A"/>
    <w:rsid w:val="00BC3D75"/>
    <w:rsid w:val="00BC3E1B"/>
    <w:rsid w:val="00BC3EBD"/>
    <w:rsid w:val="00BC3F48"/>
    <w:rsid w:val="00BC4114"/>
    <w:rsid w:val="00BC41B4"/>
    <w:rsid w:val="00BC4204"/>
    <w:rsid w:val="00BC427A"/>
    <w:rsid w:val="00BC42C5"/>
    <w:rsid w:val="00BC43A9"/>
    <w:rsid w:val="00BC442E"/>
    <w:rsid w:val="00BC445E"/>
    <w:rsid w:val="00BC44D5"/>
    <w:rsid w:val="00BC4576"/>
    <w:rsid w:val="00BC45A8"/>
    <w:rsid w:val="00BC45D5"/>
    <w:rsid w:val="00BC465F"/>
    <w:rsid w:val="00BC4767"/>
    <w:rsid w:val="00BC47AC"/>
    <w:rsid w:val="00BC4813"/>
    <w:rsid w:val="00BC4818"/>
    <w:rsid w:val="00BC486B"/>
    <w:rsid w:val="00BC48AB"/>
    <w:rsid w:val="00BC49AC"/>
    <w:rsid w:val="00BC4A66"/>
    <w:rsid w:val="00BC4B3F"/>
    <w:rsid w:val="00BC4DE0"/>
    <w:rsid w:val="00BC4DED"/>
    <w:rsid w:val="00BC4E9B"/>
    <w:rsid w:val="00BC4F2B"/>
    <w:rsid w:val="00BC4FF1"/>
    <w:rsid w:val="00BC5018"/>
    <w:rsid w:val="00BC5048"/>
    <w:rsid w:val="00BC509A"/>
    <w:rsid w:val="00BC50A2"/>
    <w:rsid w:val="00BC50D7"/>
    <w:rsid w:val="00BC522F"/>
    <w:rsid w:val="00BC5277"/>
    <w:rsid w:val="00BC53B2"/>
    <w:rsid w:val="00BC5454"/>
    <w:rsid w:val="00BC554F"/>
    <w:rsid w:val="00BC560E"/>
    <w:rsid w:val="00BC561F"/>
    <w:rsid w:val="00BC5734"/>
    <w:rsid w:val="00BC5869"/>
    <w:rsid w:val="00BC5928"/>
    <w:rsid w:val="00BC59B3"/>
    <w:rsid w:val="00BC59F5"/>
    <w:rsid w:val="00BC5A77"/>
    <w:rsid w:val="00BC5AE7"/>
    <w:rsid w:val="00BC5BA4"/>
    <w:rsid w:val="00BC5C10"/>
    <w:rsid w:val="00BC5C33"/>
    <w:rsid w:val="00BC5CDD"/>
    <w:rsid w:val="00BC5D59"/>
    <w:rsid w:val="00BC5EDE"/>
    <w:rsid w:val="00BC5EF3"/>
    <w:rsid w:val="00BC5F16"/>
    <w:rsid w:val="00BC605C"/>
    <w:rsid w:val="00BC60CA"/>
    <w:rsid w:val="00BC6291"/>
    <w:rsid w:val="00BC63B1"/>
    <w:rsid w:val="00BC63F9"/>
    <w:rsid w:val="00BC642C"/>
    <w:rsid w:val="00BC64AF"/>
    <w:rsid w:val="00BC651A"/>
    <w:rsid w:val="00BC6520"/>
    <w:rsid w:val="00BC6587"/>
    <w:rsid w:val="00BC65F4"/>
    <w:rsid w:val="00BC6864"/>
    <w:rsid w:val="00BC696E"/>
    <w:rsid w:val="00BC6985"/>
    <w:rsid w:val="00BC69D6"/>
    <w:rsid w:val="00BC69F3"/>
    <w:rsid w:val="00BC6A20"/>
    <w:rsid w:val="00BC6ABE"/>
    <w:rsid w:val="00BC6B6F"/>
    <w:rsid w:val="00BC6CC2"/>
    <w:rsid w:val="00BC6D38"/>
    <w:rsid w:val="00BC6D57"/>
    <w:rsid w:val="00BC6D5A"/>
    <w:rsid w:val="00BC6DD4"/>
    <w:rsid w:val="00BC6E01"/>
    <w:rsid w:val="00BC6EB8"/>
    <w:rsid w:val="00BC6F72"/>
    <w:rsid w:val="00BC6F8D"/>
    <w:rsid w:val="00BC701B"/>
    <w:rsid w:val="00BC7054"/>
    <w:rsid w:val="00BC7091"/>
    <w:rsid w:val="00BC70EF"/>
    <w:rsid w:val="00BC71CB"/>
    <w:rsid w:val="00BC71E8"/>
    <w:rsid w:val="00BC72B9"/>
    <w:rsid w:val="00BC72C9"/>
    <w:rsid w:val="00BC731B"/>
    <w:rsid w:val="00BC73C4"/>
    <w:rsid w:val="00BC73F2"/>
    <w:rsid w:val="00BC7424"/>
    <w:rsid w:val="00BC748C"/>
    <w:rsid w:val="00BC75C3"/>
    <w:rsid w:val="00BC75CE"/>
    <w:rsid w:val="00BC75D3"/>
    <w:rsid w:val="00BC7636"/>
    <w:rsid w:val="00BC772A"/>
    <w:rsid w:val="00BC773E"/>
    <w:rsid w:val="00BC7768"/>
    <w:rsid w:val="00BC77BB"/>
    <w:rsid w:val="00BC77D2"/>
    <w:rsid w:val="00BC7817"/>
    <w:rsid w:val="00BC782C"/>
    <w:rsid w:val="00BC794A"/>
    <w:rsid w:val="00BC7982"/>
    <w:rsid w:val="00BC7ABA"/>
    <w:rsid w:val="00BC7B37"/>
    <w:rsid w:val="00BC7B98"/>
    <w:rsid w:val="00BC7BEB"/>
    <w:rsid w:val="00BC7D03"/>
    <w:rsid w:val="00BC7D2F"/>
    <w:rsid w:val="00BC7E3B"/>
    <w:rsid w:val="00BC7EBE"/>
    <w:rsid w:val="00BC7EE9"/>
    <w:rsid w:val="00BC7F42"/>
    <w:rsid w:val="00BC7F74"/>
    <w:rsid w:val="00BC7F7B"/>
    <w:rsid w:val="00BC7FC8"/>
    <w:rsid w:val="00BD003C"/>
    <w:rsid w:val="00BD0047"/>
    <w:rsid w:val="00BD00CB"/>
    <w:rsid w:val="00BD0137"/>
    <w:rsid w:val="00BD0216"/>
    <w:rsid w:val="00BD02A2"/>
    <w:rsid w:val="00BD04C3"/>
    <w:rsid w:val="00BD04E1"/>
    <w:rsid w:val="00BD06E5"/>
    <w:rsid w:val="00BD078E"/>
    <w:rsid w:val="00BD07D6"/>
    <w:rsid w:val="00BD08A0"/>
    <w:rsid w:val="00BD08FC"/>
    <w:rsid w:val="00BD0AF0"/>
    <w:rsid w:val="00BD0CC9"/>
    <w:rsid w:val="00BD0D2E"/>
    <w:rsid w:val="00BD0EE4"/>
    <w:rsid w:val="00BD0F6A"/>
    <w:rsid w:val="00BD0FBB"/>
    <w:rsid w:val="00BD0FE7"/>
    <w:rsid w:val="00BD1006"/>
    <w:rsid w:val="00BD1028"/>
    <w:rsid w:val="00BD1103"/>
    <w:rsid w:val="00BD11E5"/>
    <w:rsid w:val="00BD1255"/>
    <w:rsid w:val="00BD12D4"/>
    <w:rsid w:val="00BD13D3"/>
    <w:rsid w:val="00BD13FC"/>
    <w:rsid w:val="00BD1493"/>
    <w:rsid w:val="00BD14B7"/>
    <w:rsid w:val="00BD1586"/>
    <w:rsid w:val="00BD1780"/>
    <w:rsid w:val="00BD18C3"/>
    <w:rsid w:val="00BD1A32"/>
    <w:rsid w:val="00BD1A84"/>
    <w:rsid w:val="00BD1AA7"/>
    <w:rsid w:val="00BD1ABA"/>
    <w:rsid w:val="00BD1C01"/>
    <w:rsid w:val="00BD1C56"/>
    <w:rsid w:val="00BD1D0D"/>
    <w:rsid w:val="00BD1D22"/>
    <w:rsid w:val="00BD1D4C"/>
    <w:rsid w:val="00BD1D79"/>
    <w:rsid w:val="00BD1DB7"/>
    <w:rsid w:val="00BD1DF9"/>
    <w:rsid w:val="00BD1F6D"/>
    <w:rsid w:val="00BD2192"/>
    <w:rsid w:val="00BD21E2"/>
    <w:rsid w:val="00BD22CD"/>
    <w:rsid w:val="00BD23AE"/>
    <w:rsid w:val="00BD244A"/>
    <w:rsid w:val="00BD2576"/>
    <w:rsid w:val="00BD25A9"/>
    <w:rsid w:val="00BD25AA"/>
    <w:rsid w:val="00BD270A"/>
    <w:rsid w:val="00BD27D1"/>
    <w:rsid w:val="00BD27FC"/>
    <w:rsid w:val="00BD2B0C"/>
    <w:rsid w:val="00BD2B59"/>
    <w:rsid w:val="00BD2B5F"/>
    <w:rsid w:val="00BD2BA1"/>
    <w:rsid w:val="00BD2C7B"/>
    <w:rsid w:val="00BD2CAF"/>
    <w:rsid w:val="00BD2D50"/>
    <w:rsid w:val="00BD2D62"/>
    <w:rsid w:val="00BD2DE1"/>
    <w:rsid w:val="00BD2DF8"/>
    <w:rsid w:val="00BD3053"/>
    <w:rsid w:val="00BD3061"/>
    <w:rsid w:val="00BD3136"/>
    <w:rsid w:val="00BD318A"/>
    <w:rsid w:val="00BD3300"/>
    <w:rsid w:val="00BD333F"/>
    <w:rsid w:val="00BD3360"/>
    <w:rsid w:val="00BD34A3"/>
    <w:rsid w:val="00BD34F7"/>
    <w:rsid w:val="00BD3711"/>
    <w:rsid w:val="00BD374B"/>
    <w:rsid w:val="00BD37C5"/>
    <w:rsid w:val="00BD3865"/>
    <w:rsid w:val="00BD3870"/>
    <w:rsid w:val="00BD39EC"/>
    <w:rsid w:val="00BD3ACF"/>
    <w:rsid w:val="00BD3B8C"/>
    <w:rsid w:val="00BD3C22"/>
    <w:rsid w:val="00BD3C28"/>
    <w:rsid w:val="00BD3CE5"/>
    <w:rsid w:val="00BD3CF6"/>
    <w:rsid w:val="00BD3D3F"/>
    <w:rsid w:val="00BD3D53"/>
    <w:rsid w:val="00BD3D57"/>
    <w:rsid w:val="00BD3E6F"/>
    <w:rsid w:val="00BD4065"/>
    <w:rsid w:val="00BD4069"/>
    <w:rsid w:val="00BD40C7"/>
    <w:rsid w:val="00BD40DC"/>
    <w:rsid w:val="00BD4216"/>
    <w:rsid w:val="00BD4438"/>
    <w:rsid w:val="00BD464B"/>
    <w:rsid w:val="00BD46D7"/>
    <w:rsid w:val="00BD48CA"/>
    <w:rsid w:val="00BD4A97"/>
    <w:rsid w:val="00BD4BFC"/>
    <w:rsid w:val="00BD4D99"/>
    <w:rsid w:val="00BD4E76"/>
    <w:rsid w:val="00BD4E88"/>
    <w:rsid w:val="00BD4FC5"/>
    <w:rsid w:val="00BD5006"/>
    <w:rsid w:val="00BD5189"/>
    <w:rsid w:val="00BD51B4"/>
    <w:rsid w:val="00BD5321"/>
    <w:rsid w:val="00BD55B0"/>
    <w:rsid w:val="00BD5604"/>
    <w:rsid w:val="00BD5707"/>
    <w:rsid w:val="00BD57D7"/>
    <w:rsid w:val="00BD57F3"/>
    <w:rsid w:val="00BD583D"/>
    <w:rsid w:val="00BD59D2"/>
    <w:rsid w:val="00BD5A40"/>
    <w:rsid w:val="00BD5A75"/>
    <w:rsid w:val="00BD5AA8"/>
    <w:rsid w:val="00BD5C84"/>
    <w:rsid w:val="00BD5CE3"/>
    <w:rsid w:val="00BD5DC4"/>
    <w:rsid w:val="00BD6104"/>
    <w:rsid w:val="00BD61FC"/>
    <w:rsid w:val="00BD62D2"/>
    <w:rsid w:val="00BD63F0"/>
    <w:rsid w:val="00BD6466"/>
    <w:rsid w:val="00BD651D"/>
    <w:rsid w:val="00BD65F6"/>
    <w:rsid w:val="00BD6603"/>
    <w:rsid w:val="00BD672A"/>
    <w:rsid w:val="00BD6993"/>
    <w:rsid w:val="00BD69BD"/>
    <w:rsid w:val="00BD6AD2"/>
    <w:rsid w:val="00BD6B02"/>
    <w:rsid w:val="00BD6C85"/>
    <w:rsid w:val="00BD6CB6"/>
    <w:rsid w:val="00BD6CBF"/>
    <w:rsid w:val="00BD6CE8"/>
    <w:rsid w:val="00BD6E1D"/>
    <w:rsid w:val="00BD6E25"/>
    <w:rsid w:val="00BD6F06"/>
    <w:rsid w:val="00BD6F79"/>
    <w:rsid w:val="00BD7503"/>
    <w:rsid w:val="00BD751A"/>
    <w:rsid w:val="00BD7572"/>
    <w:rsid w:val="00BD76F7"/>
    <w:rsid w:val="00BD7706"/>
    <w:rsid w:val="00BD7768"/>
    <w:rsid w:val="00BD7869"/>
    <w:rsid w:val="00BD7870"/>
    <w:rsid w:val="00BD79AD"/>
    <w:rsid w:val="00BD7AB5"/>
    <w:rsid w:val="00BD7B1F"/>
    <w:rsid w:val="00BD7D4D"/>
    <w:rsid w:val="00BD7D7C"/>
    <w:rsid w:val="00BD7D8D"/>
    <w:rsid w:val="00BD7F0B"/>
    <w:rsid w:val="00BD7FE6"/>
    <w:rsid w:val="00BE009E"/>
    <w:rsid w:val="00BE00CF"/>
    <w:rsid w:val="00BE01A4"/>
    <w:rsid w:val="00BE01B5"/>
    <w:rsid w:val="00BE01DA"/>
    <w:rsid w:val="00BE026B"/>
    <w:rsid w:val="00BE0404"/>
    <w:rsid w:val="00BE048C"/>
    <w:rsid w:val="00BE04FC"/>
    <w:rsid w:val="00BE0535"/>
    <w:rsid w:val="00BE0556"/>
    <w:rsid w:val="00BE08BC"/>
    <w:rsid w:val="00BE08C4"/>
    <w:rsid w:val="00BE0909"/>
    <w:rsid w:val="00BE09B1"/>
    <w:rsid w:val="00BE0B7B"/>
    <w:rsid w:val="00BE0C31"/>
    <w:rsid w:val="00BE0C34"/>
    <w:rsid w:val="00BE0D4D"/>
    <w:rsid w:val="00BE0D66"/>
    <w:rsid w:val="00BE0E0B"/>
    <w:rsid w:val="00BE0E10"/>
    <w:rsid w:val="00BE0E66"/>
    <w:rsid w:val="00BE0F32"/>
    <w:rsid w:val="00BE104E"/>
    <w:rsid w:val="00BE1109"/>
    <w:rsid w:val="00BE11A9"/>
    <w:rsid w:val="00BE124A"/>
    <w:rsid w:val="00BE14C6"/>
    <w:rsid w:val="00BE1562"/>
    <w:rsid w:val="00BE15BF"/>
    <w:rsid w:val="00BE1659"/>
    <w:rsid w:val="00BE167B"/>
    <w:rsid w:val="00BE1680"/>
    <w:rsid w:val="00BE1698"/>
    <w:rsid w:val="00BE18A6"/>
    <w:rsid w:val="00BE1972"/>
    <w:rsid w:val="00BE1997"/>
    <w:rsid w:val="00BE19CA"/>
    <w:rsid w:val="00BE19D0"/>
    <w:rsid w:val="00BE1A9D"/>
    <w:rsid w:val="00BE1B99"/>
    <w:rsid w:val="00BE1C6C"/>
    <w:rsid w:val="00BE1C81"/>
    <w:rsid w:val="00BE1C8C"/>
    <w:rsid w:val="00BE1CD3"/>
    <w:rsid w:val="00BE1D67"/>
    <w:rsid w:val="00BE1E13"/>
    <w:rsid w:val="00BE1E6A"/>
    <w:rsid w:val="00BE1F7D"/>
    <w:rsid w:val="00BE204E"/>
    <w:rsid w:val="00BE2063"/>
    <w:rsid w:val="00BE208D"/>
    <w:rsid w:val="00BE2271"/>
    <w:rsid w:val="00BE2284"/>
    <w:rsid w:val="00BE22A1"/>
    <w:rsid w:val="00BE24CA"/>
    <w:rsid w:val="00BE258E"/>
    <w:rsid w:val="00BE25DB"/>
    <w:rsid w:val="00BE2606"/>
    <w:rsid w:val="00BE268B"/>
    <w:rsid w:val="00BE2877"/>
    <w:rsid w:val="00BE290A"/>
    <w:rsid w:val="00BE298A"/>
    <w:rsid w:val="00BE2A85"/>
    <w:rsid w:val="00BE2AA3"/>
    <w:rsid w:val="00BE2BEA"/>
    <w:rsid w:val="00BE2C54"/>
    <w:rsid w:val="00BE2CB5"/>
    <w:rsid w:val="00BE2CDD"/>
    <w:rsid w:val="00BE2D31"/>
    <w:rsid w:val="00BE2D39"/>
    <w:rsid w:val="00BE2E2C"/>
    <w:rsid w:val="00BE2F0D"/>
    <w:rsid w:val="00BE2FDF"/>
    <w:rsid w:val="00BE3046"/>
    <w:rsid w:val="00BE30D3"/>
    <w:rsid w:val="00BE31A5"/>
    <w:rsid w:val="00BE32BA"/>
    <w:rsid w:val="00BE32EB"/>
    <w:rsid w:val="00BE339E"/>
    <w:rsid w:val="00BE33C8"/>
    <w:rsid w:val="00BE33DC"/>
    <w:rsid w:val="00BE33EF"/>
    <w:rsid w:val="00BE34F6"/>
    <w:rsid w:val="00BE35DD"/>
    <w:rsid w:val="00BE3600"/>
    <w:rsid w:val="00BE3684"/>
    <w:rsid w:val="00BE372A"/>
    <w:rsid w:val="00BE37E2"/>
    <w:rsid w:val="00BE37F3"/>
    <w:rsid w:val="00BE3853"/>
    <w:rsid w:val="00BE3916"/>
    <w:rsid w:val="00BE3949"/>
    <w:rsid w:val="00BE3957"/>
    <w:rsid w:val="00BE3A13"/>
    <w:rsid w:val="00BE3A87"/>
    <w:rsid w:val="00BE3ABD"/>
    <w:rsid w:val="00BE3B07"/>
    <w:rsid w:val="00BE3B4C"/>
    <w:rsid w:val="00BE3C61"/>
    <w:rsid w:val="00BE3CEE"/>
    <w:rsid w:val="00BE3D51"/>
    <w:rsid w:val="00BE3D9E"/>
    <w:rsid w:val="00BE3ED8"/>
    <w:rsid w:val="00BE40CB"/>
    <w:rsid w:val="00BE40D0"/>
    <w:rsid w:val="00BE416D"/>
    <w:rsid w:val="00BE41B7"/>
    <w:rsid w:val="00BE4201"/>
    <w:rsid w:val="00BE4239"/>
    <w:rsid w:val="00BE4386"/>
    <w:rsid w:val="00BE440D"/>
    <w:rsid w:val="00BE485B"/>
    <w:rsid w:val="00BE4B98"/>
    <w:rsid w:val="00BE4B9D"/>
    <w:rsid w:val="00BE4BB7"/>
    <w:rsid w:val="00BE4CE4"/>
    <w:rsid w:val="00BE4DBD"/>
    <w:rsid w:val="00BE4E79"/>
    <w:rsid w:val="00BE4E8A"/>
    <w:rsid w:val="00BE4EEF"/>
    <w:rsid w:val="00BE4F6F"/>
    <w:rsid w:val="00BE4F87"/>
    <w:rsid w:val="00BE5146"/>
    <w:rsid w:val="00BE51E2"/>
    <w:rsid w:val="00BE531E"/>
    <w:rsid w:val="00BE5405"/>
    <w:rsid w:val="00BE5422"/>
    <w:rsid w:val="00BE5445"/>
    <w:rsid w:val="00BE5495"/>
    <w:rsid w:val="00BE5497"/>
    <w:rsid w:val="00BE562A"/>
    <w:rsid w:val="00BE570E"/>
    <w:rsid w:val="00BE57A9"/>
    <w:rsid w:val="00BE5913"/>
    <w:rsid w:val="00BE5935"/>
    <w:rsid w:val="00BE5977"/>
    <w:rsid w:val="00BE5C21"/>
    <w:rsid w:val="00BE5D67"/>
    <w:rsid w:val="00BE5DE5"/>
    <w:rsid w:val="00BE5E29"/>
    <w:rsid w:val="00BE5E32"/>
    <w:rsid w:val="00BE5E6B"/>
    <w:rsid w:val="00BE5EC2"/>
    <w:rsid w:val="00BE6013"/>
    <w:rsid w:val="00BE60AC"/>
    <w:rsid w:val="00BE6308"/>
    <w:rsid w:val="00BE6346"/>
    <w:rsid w:val="00BE6370"/>
    <w:rsid w:val="00BE63B0"/>
    <w:rsid w:val="00BE63EE"/>
    <w:rsid w:val="00BE6406"/>
    <w:rsid w:val="00BE640A"/>
    <w:rsid w:val="00BE6423"/>
    <w:rsid w:val="00BE6448"/>
    <w:rsid w:val="00BE6474"/>
    <w:rsid w:val="00BE65DD"/>
    <w:rsid w:val="00BE666E"/>
    <w:rsid w:val="00BE66EE"/>
    <w:rsid w:val="00BE6805"/>
    <w:rsid w:val="00BE6821"/>
    <w:rsid w:val="00BE6850"/>
    <w:rsid w:val="00BE6898"/>
    <w:rsid w:val="00BE6943"/>
    <w:rsid w:val="00BE6965"/>
    <w:rsid w:val="00BE69E1"/>
    <w:rsid w:val="00BE6ADD"/>
    <w:rsid w:val="00BE6BF4"/>
    <w:rsid w:val="00BE6CBA"/>
    <w:rsid w:val="00BE6CC6"/>
    <w:rsid w:val="00BE6E7F"/>
    <w:rsid w:val="00BE7044"/>
    <w:rsid w:val="00BE709B"/>
    <w:rsid w:val="00BE718D"/>
    <w:rsid w:val="00BE7290"/>
    <w:rsid w:val="00BE7335"/>
    <w:rsid w:val="00BE736F"/>
    <w:rsid w:val="00BE7377"/>
    <w:rsid w:val="00BE7422"/>
    <w:rsid w:val="00BE75A9"/>
    <w:rsid w:val="00BE7651"/>
    <w:rsid w:val="00BE76B5"/>
    <w:rsid w:val="00BE76CC"/>
    <w:rsid w:val="00BE79EA"/>
    <w:rsid w:val="00BE7B23"/>
    <w:rsid w:val="00BE7C13"/>
    <w:rsid w:val="00BE7CA6"/>
    <w:rsid w:val="00BE7DEE"/>
    <w:rsid w:val="00BE7E69"/>
    <w:rsid w:val="00BE7EA2"/>
    <w:rsid w:val="00BE7EC2"/>
    <w:rsid w:val="00BE7F2B"/>
    <w:rsid w:val="00BE7F43"/>
    <w:rsid w:val="00BE7F48"/>
    <w:rsid w:val="00BE7FC3"/>
    <w:rsid w:val="00BF004F"/>
    <w:rsid w:val="00BF00B5"/>
    <w:rsid w:val="00BF0133"/>
    <w:rsid w:val="00BF0184"/>
    <w:rsid w:val="00BF018C"/>
    <w:rsid w:val="00BF01C0"/>
    <w:rsid w:val="00BF020E"/>
    <w:rsid w:val="00BF0211"/>
    <w:rsid w:val="00BF02EE"/>
    <w:rsid w:val="00BF0350"/>
    <w:rsid w:val="00BF0498"/>
    <w:rsid w:val="00BF06BE"/>
    <w:rsid w:val="00BF0752"/>
    <w:rsid w:val="00BF07F1"/>
    <w:rsid w:val="00BF08D1"/>
    <w:rsid w:val="00BF090F"/>
    <w:rsid w:val="00BF0B0C"/>
    <w:rsid w:val="00BF0B5C"/>
    <w:rsid w:val="00BF0BA4"/>
    <w:rsid w:val="00BF0C64"/>
    <w:rsid w:val="00BF0CEE"/>
    <w:rsid w:val="00BF0CF9"/>
    <w:rsid w:val="00BF0D64"/>
    <w:rsid w:val="00BF0DB0"/>
    <w:rsid w:val="00BF1027"/>
    <w:rsid w:val="00BF1109"/>
    <w:rsid w:val="00BF111A"/>
    <w:rsid w:val="00BF12CE"/>
    <w:rsid w:val="00BF1370"/>
    <w:rsid w:val="00BF1438"/>
    <w:rsid w:val="00BF14C0"/>
    <w:rsid w:val="00BF1528"/>
    <w:rsid w:val="00BF155E"/>
    <w:rsid w:val="00BF156D"/>
    <w:rsid w:val="00BF1627"/>
    <w:rsid w:val="00BF166E"/>
    <w:rsid w:val="00BF172F"/>
    <w:rsid w:val="00BF18A2"/>
    <w:rsid w:val="00BF18C9"/>
    <w:rsid w:val="00BF191C"/>
    <w:rsid w:val="00BF19E2"/>
    <w:rsid w:val="00BF1A3E"/>
    <w:rsid w:val="00BF1A73"/>
    <w:rsid w:val="00BF1C3F"/>
    <w:rsid w:val="00BF1CE4"/>
    <w:rsid w:val="00BF1DD9"/>
    <w:rsid w:val="00BF1E5E"/>
    <w:rsid w:val="00BF1E6C"/>
    <w:rsid w:val="00BF1F35"/>
    <w:rsid w:val="00BF1F71"/>
    <w:rsid w:val="00BF2048"/>
    <w:rsid w:val="00BF2099"/>
    <w:rsid w:val="00BF20C7"/>
    <w:rsid w:val="00BF20D7"/>
    <w:rsid w:val="00BF20F3"/>
    <w:rsid w:val="00BF214B"/>
    <w:rsid w:val="00BF219A"/>
    <w:rsid w:val="00BF21AE"/>
    <w:rsid w:val="00BF21B4"/>
    <w:rsid w:val="00BF21C2"/>
    <w:rsid w:val="00BF2208"/>
    <w:rsid w:val="00BF2264"/>
    <w:rsid w:val="00BF22AA"/>
    <w:rsid w:val="00BF23E5"/>
    <w:rsid w:val="00BF2552"/>
    <w:rsid w:val="00BF26CC"/>
    <w:rsid w:val="00BF2719"/>
    <w:rsid w:val="00BF27E7"/>
    <w:rsid w:val="00BF288E"/>
    <w:rsid w:val="00BF28D5"/>
    <w:rsid w:val="00BF28E4"/>
    <w:rsid w:val="00BF294D"/>
    <w:rsid w:val="00BF299C"/>
    <w:rsid w:val="00BF29A5"/>
    <w:rsid w:val="00BF2A78"/>
    <w:rsid w:val="00BF2AA5"/>
    <w:rsid w:val="00BF2B7A"/>
    <w:rsid w:val="00BF2BC7"/>
    <w:rsid w:val="00BF2BE0"/>
    <w:rsid w:val="00BF2D77"/>
    <w:rsid w:val="00BF2DC4"/>
    <w:rsid w:val="00BF2E65"/>
    <w:rsid w:val="00BF2EBD"/>
    <w:rsid w:val="00BF2EC9"/>
    <w:rsid w:val="00BF2EDD"/>
    <w:rsid w:val="00BF2EFE"/>
    <w:rsid w:val="00BF3002"/>
    <w:rsid w:val="00BF307F"/>
    <w:rsid w:val="00BF3111"/>
    <w:rsid w:val="00BF3168"/>
    <w:rsid w:val="00BF327D"/>
    <w:rsid w:val="00BF328A"/>
    <w:rsid w:val="00BF3346"/>
    <w:rsid w:val="00BF33D1"/>
    <w:rsid w:val="00BF33FB"/>
    <w:rsid w:val="00BF369B"/>
    <w:rsid w:val="00BF36AF"/>
    <w:rsid w:val="00BF375A"/>
    <w:rsid w:val="00BF3851"/>
    <w:rsid w:val="00BF38B6"/>
    <w:rsid w:val="00BF3923"/>
    <w:rsid w:val="00BF395E"/>
    <w:rsid w:val="00BF39FE"/>
    <w:rsid w:val="00BF3A6E"/>
    <w:rsid w:val="00BF3BEE"/>
    <w:rsid w:val="00BF3D28"/>
    <w:rsid w:val="00BF3D42"/>
    <w:rsid w:val="00BF3E5E"/>
    <w:rsid w:val="00BF3EB8"/>
    <w:rsid w:val="00BF3F9A"/>
    <w:rsid w:val="00BF3FB3"/>
    <w:rsid w:val="00BF4102"/>
    <w:rsid w:val="00BF4147"/>
    <w:rsid w:val="00BF414B"/>
    <w:rsid w:val="00BF41A0"/>
    <w:rsid w:val="00BF41A6"/>
    <w:rsid w:val="00BF4227"/>
    <w:rsid w:val="00BF44DC"/>
    <w:rsid w:val="00BF4511"/>
    <w:rsid w:val="00BF4525"/>
    <w:rsid w:val="00BF45E1"/>
    <w:rsid w:val="00BF46A0"/>
    <w:rsid w:val="00BF46C9"/>
    <w:rsid w:val="00BF471C"/>
    <w:rsid w:val="00BF47D2"/>
    <w:rsid w:val="00BF4860"/>
    <w:rsid w:val="00BF488B"/>
    <w:rsid w:val="00BF49B0"/>
    <w:rsid w:val="00BF49EB"/>
    <w:rsid w:val="00BF49FA"/>
    <w:rsid w:val="00BF49FE"/>
    <w:rsid w:val="00BF4A2E"/>
    <w:rsid w:val="00BF4AFC"/>
    <w:rsid w:val="00BF4B16"/>
    <w:rsid w:val="00BF4D9F"/>
    <w:rsid w:val="00BF4E6D"/>
    <w:rsid w:val="00BF4EE3"/>
    <w:rsid w:val="00BF4F7D"/>
    <w:rsid w:val="00BF4FBD"/>
    <w:rsid w:val="00BF505E"/>
    <w:rsid w:val="00BF50A8"/>
    <w:rsid w:val="00BF51D6"/>
    <w:rsid w:val="00BF534F"/>
    <w:rsid w:val="00BF53B7"/>
    <w:rsid w:val="00BF53F1"/>
    <w:rsid w:val="00BF54C6"/>
    <w:rsid w:val="00BF56BC"/>
    <w:rsid w:val="00BF57E5"/>
    <w:rsid w:val="00BF584F"/>
    <w:rsid w:val="00BF5868"/>
    <w:rsid w:val="00BF5880"/>
    <w:rsid w:val="00BF58CC"/>
    <w:rsid w:val="00BF58EF"/>
    <w:rsid w:val="00BF5995"/>
    <w:rsid w:val="00BF5A16"/>
    <w:rsid w:val="00BF5ABB"/>
    <w:rsid w:val="00BF5D2E"/>
    <w:rsid w:val="00BF5E78"/>
    <w:rsid w:val="00BF5EDF"/>
    <w:rsid w:val="00BF5FFB"/>
    <w:rsid w:val="00BF609B"/>
    <w:rsid w:val="00BF610F"/>
    <w:rsid w:val="00BF6170"/>
    <w:rsid w:val="00BF61FD"/>
    <w:rsid w:val="00BF62B9"/>
    <w:rsid w:val="00BF6333"/>
    <w:rsid w:val="00BF6350"/>
    <w:rsid w:val="00BF636F"/>
    <w:rsid w:val="00BF6486"/>
    <w:rsid w:val="00BF65A5"/>
    <w:rsid w:val="00BF6725"/>
    <w:rsid w:val="00BF6773"/>
    <w:rsid w:val="00BF677C"/>
    <w:rsid w:val="00BF6795"/>
    <w:rsid w:val="00BF684E"/>
    <w:rsid w:val="00BF686E"/>
    <w:rsid w:val="00BF6922"/>
    <w:rsid w:val="00BF695F"/>
    <w:rsid w:val="00BF696E"/>
    <w:rsid w:val="00BF6A1C"/>
    <w:rsid w:val="00BF6AE9"/>
    <w:rsid w:val="00BF6BFB"/>
    <w:rsid w:val="00BF6D47"/>
    <w:rsid w:val="00BF6D4F"/>
    <w:rsid w:val="00BF6E73"/>
    <w:rsid w:val="00BF6E80"/>
    <w:rsid w:val="00BF6EEF"/>
    <w:rsid w:val="00BF6F08"/>
    <w:rsid w:val="00BF6F19"/>
    <w:rsid w:val="00BF7013"/>
    <w:rsid w:val="00BF703C"/>
    <w:rsid w:val="00BF7050"/>
    <w:rsid w:val="00BF72A5"/>
    <w:rsid w:val="00BF73A7"/>
    <w:rsid w:val="00BF73DE"/>
    <w:rsid w:val="00BF7485"/>
    <w:rsid w:val="00BF74B7"/>
    <w:rsid w:val="00BF753E"/>
    <w:rsid w:val="00BF75BA"/>
    <w:rsid w:val="00BF75EC"/>
    <w:rsid w:val="00BF76B0"/>
    <w:rsid w:val="00BF77C6"/>
    <w:rsid w:val="00BF77FD"/>
    <w:rsid w:val="00BF7875"/>
    <w:rsid w:val="00BF79A3"/>
    <w:rsid w:val="00BF79FA"/>
    <w:rsid w:val="00BF7AB7"/>
    <w:rsid w:val="00BF7C6A"/>
    <w:rsid w:val="00BF7CBB"/>
    <w:rsid w:val="00BF7DDA"/>
    <w:rsid w:val="00BF7DDB"/>
    <w:rsid w:val="00BF7E76"/>
    <w:rsid w:val="00BF7F4E"/>
    <w:rsid w:val="00BF7FB9"/>
    <w:rsid w:val="00BF7FF1"/>
    <w:rsid w:val="00C00105"/>
    <w:rsid w:val="00C00153"/>
    <w:rsid w:val="00C004AB"/>
    <w:rsid w:val="00C004E9"/>
    <w:rsid w:val="00C00512"/>
    <w:rsid w:val="00C0057F"/>
    <w:rsid w:val="00C00594"/>
    <w:rsid w:val="00C00665"/>
    <w:rsid w:val="00C00760"/>
    <w:rsid w:val="00C007C7"/>
    <w:rsid w:val="00C008D8"/>
    <w:rsid w:val="00C00961"/>
    <w:rsid w:val="00C00A74"/>
    <w:rsid w:val="00C00AB3"/>
    <w:rsid w:val="00C00C37"/>
    <w:rsid w:val="00C00C45"/>
    <w:rsid w:val="00C00CFD"/>
    <w:rsid w:val="00C00D1C"/>
    <w:rsid w:val="00C00D81"/>
    <w:rsid w:val="00C00E5A"/>
    <w:rsid w:val="00C00EFB"/>
    <w:rsid w:val="00C00F05"/>
    <w:rsid w:val="00C00F52"/>
    <w:rsid w:val="00C00F8C"/>
    <w:rsid w:val="00C011DA"/>
    <w:rsid w:val="00C012AB"/>
    <w:rsid w:val="00C01390"/>
    <w:rsid w:val="00C0139E"/>
    <w:rsid w:val="00C013E8"/>
    <w:rsid w:val="00C014EA"/>
    <w:rsid w:val="00C01561"/>
    <w:rsid w:val="00C01592"/>
    <w:rsid w:val="00C015EE"/>
    <w:rsid w:val="00C01691"/>
    <w:rsid w:val="00C0190E"/>
    <w:rsid w:val="00C019E3"/>
    <w:rsid w:val="00C01A97"/>
    <w:rsid w:val="00C01B09"/>
    <w:rsid w:val="00C01C1A"/>
    <w:rsid w:val="00C01DDB"/>
    <w:rsid w:val="00C01E78"/>
    <w:rsid w:val="00C01F46"/>
    <w:rsid w:val="00C01F4C"/>
    <w:rsid w:val="00C01F84"/>
    <w:rsid w:val="00C01FF0"/>
    <w:rsid w:val="00C02001"/>
    <w:rsid w:val="00C0213A"/>
    <w:rsid w:val="00C0239E"/>
    <w:rsid w:val="00C023A8"/>
    <w:rsid w:val="00C023F7"/>
    <w:rsid w:val="00C026A0"/>
    <w:rsid w:val="00C02781"/>
    <w:rsid w:val="00C0282C"/>
    <w:rsid w:val="00C02838"/>
    <w:rsid w:val="00C02964"/>
    <w:rsid w:val="00C029B1"/>
    <w:rsid w:val="00C02A88"/>
    <w:rsid w:val="00C02ADD"/>
    <w:rsid w:val="00C02C07"/>
    <w:rsid w:val="00C02C92"/>
    <w:rsid w:val="00C02C9E"/>
    <w:rsid w:val="00C02D08"/>
    <w:rsid w:val="00C02E10"/>
    <w:rsid w:val="00C02E19"/>
    <w:rsid w:val="00C02FDF"/>
    <w:rsid w:val="00C02FEB"/>
    <w:rsid w:val="00C03085"/>
    <w:rsid w:val="00C030DE"/>
    <w:rsid w:val="00C030E8"/>
    <w:rsid w:val="00C03171"/>
    <w:rsid w:val="00C032AC"/>
    <w:rsid w:val="00C032CC"/>
    <w:rsid w:val="00C032F0"/>
    <w:rsid w:val="00C03387"/>
    <w:rsid w:val="00C033C1"/>
    <w:rsid w:val="00C033C6"/>
    <w:rsid w:val="00C033CD"/>
    <w:rsid w:val="00C03579"/>
    <w:rsid w:val="00C035BF"/>
    <w:rsid w:val="00C03627"/>
    <w:rsid w:val="00C0368D"/>
    <w:rsid w:val="00C0370D"/>
    <w:rsid w:val="00C03754"/>
    <w:rsid w:val="00C03779"/>
    <w:rsid w:val="00C039AA"/>
    <w:rsid w:val="00C03AA6"/>
    <w:rsid w:val="00C03C37"/>
    <w:rsid w:val="00C03CAD"/>
    <w:rsid w:val="00C03D30"/>
    <w:rsid w:val="00C03D37"/>
    <w:rsid w:val="00C03D73"/>
    <w:rsid w:val="00C03E62"/>
    <w:rsid w:val="00C03FA1"/>
    <w:rsid w:val="00C03FE1"/>
    <w:rsid w:val="00C040F4"/>
    <w:rsid w:val="00C042FA"/>
    <w:rsid w:val="00C04327"/>
    <w:rsid w:val="00C04419"/>
    <w:rsid w:val="00C0469B"/>
    <w:rsid w:val="00C046D9"/>
    <w:rsid w:val="00C0487C"/>
    <w:rsid w:val="00C04964"/>
    <w:rsid w:val="00C04CBE"/>
    <w:rsid w:val="00C04E46"/>
    <w:rsid w:val="00C04EEB"/>
    <w:rsid w:val="00C04F49"/>
    <w:rsid w:val="00C04F9D"/>
    <w:rsid w:val="00C05060"/>
    <w:rsid w:val="00C0507B"/>
    <w:rsid w:val="00C0509A"/>
    <w:rsid w:val="00C050EF"/>
    <w:rsid w:val="00C0529B"/>
    <w:rsid w:val="00C05394"/>
    <w:rsid w:val="00C053FA"/>
    <w:rsid w:val="00C056A1"/>
    <w:rsid w:val="00C0576D"/>
    <w:rsid w:val="00C057EC"/>
    <w:rsid w:val="00C05822"/>
    <w:rsid w:val="00C058DE"/>
    <w:rsid w:val="00C05958"/>
    <w:rsid w:val="00C05993"/>
    <w:rsid w:val="00C059BF"/>
    <w:rsid w:val="00C059EF"/>
    <w:rsid w:val="00C05A54"/>
    <w:rsid w:val="00C05B1F"/>
    <w:rsid w:val="00C05B38"/>
    <w:rsid w:val="00C05B93"/>
    <w:rsid w:val="00C05C69"/>
    <w:rsid w:val="00C05CDD"/>
    <w:rsid w:val="00C05D03"/>
    <w:rsid w:val="00C05D9E"/>
    <w:rsid w:val="00C05DB8"/>
    <w:rsid w:val="00C05DF3"/>
    <w:rsid w:val="00C05E38"/>
    <w:rsid w:val="00C05E87"/>
    <w:rsid w:val="00C05EC8"/>
    <w:rsid w:val="00C05EEE"/>
    <w:rsid w:val="00C05F09"/>
    <w:rsid w:val="00C05F90"/>
    <w:rsid w:val="00C06182"/>
    <w:rsid w:val="00C061F2"/>
    <w:rsid w:val="00C0620A"/>
    <w:rsid w:val="00C062DC"/>
    <w:rsid w:val="00C0638C"/>
    <w:rsid w:val="00C06449"/>
    <w:rsid w:val="00C064B5"/>
    <w:rsid w:val="00C064FC"/>
    <w:rsid w:val="00C065DB"/>
    <w:rsid w:val="00C06627"/>
    <w:rsid w:val="00C066B3"/>
    <w:rsid w:val="00C066DC"/>
    <w:rsid w:val="00C0678E"/>
    <w:rsid w:val="00C067BE"/>
    <w:rsid w:val="00C0689C"/>
    <w:rsid w:val="00C068B8"/>
    <w:rsid w:val="00C0692F"/>
    <w:rsid w:val="00C069B0"/>
    <w:rsid w:val="00C069CD"/>
    <w:rsid w:val="00C06A5E"/>
    <w:rsid w:val="00C06AF8"/>
    <w:rsid w:val="00C06B16"/>
    <w:rsid w:val="00C06D58"/>
    <w:rsid w:val="00C06EC4"/>
    <w:rsid w:val="00C0703B"/>
    <w:rsid w:val="00C07056"/>
    <w:rsid w:val="00C070E2"/>
    <w:rsid w:val="00C071F7"/>
    <w:rsid w:val="00C0739D"/>
    <w:rsid w:val="00C07418"/>
    <w:rsid w:val="00C07436"/>
    <w:rsid w:val="00C0746A"/>
    <w:rsid w:val="00C07548"/>
    <w:rsid w:val="00C0760A"/>
    <w:rsid w:val="00C076A8"/>
    <w:rsid w:val="00C077CA"/>
    <w:rsid w:val="00C0780B"/>
    <w:rsid w:val="00C0788D"/>
    <w:rsid w:val="00C079BB"/>
    <w:rsid w:val="00C07A26"/>
    <w:rsid w:val="00C07B5E"/>
    <w:rsid w:val="00C07C2C"/>
    <w:rsid w:val="00C07C3A"/>
    <w:rsid w:val="00C07C42"/>
    <w:rsid w:val="00C07CAA"/>
    <w:rsid w:val="00C07E0F"/>
    <w:rsid w:val="00C07E14"/>
    <w:rsid w:val="00C07E67"/>
    <w:rsid w:val="00C07ECF"/>
    <w:rsid w:val="00C07F07"/>
    <w:rsid w:val="00C07F3D"/>
    <w:rsid w:val="00C10113"/>
    <w:rsid w:val="00C10193"/>
    <w:rsid w:val="00C101A8"/>
    <w:rsid w:val="00C10319"/>
    <w:rsid w:val="00C103F5"/>
    <w:rsid w:val="00C1041A"/>
    <w:rsid w:val="00C10445"/>
    <w:rsid w:val="00C1048A"/>
    <w:rsid w:val="00C10490"/>
    <w:rsid w:val="00C10702"/>
    <w:rsid w:val="00C10889"/>
    <w:rsid w:val="00C108D8"/>
    <w:rsid w:val="00C10914"/>
    <w:rsid w:val="00C109C4"/>
    <w:rsid w:val="00C109E4"/>
    <w:rsid w:val="00C10A7C"/>
    <w:rsid w:val="00C10AE2"/>
    <w:rsid w:val="00C10B28"/>
    <w:rsid w:val="00C10B9D"/>
    <w:rsid w:val="00C10CC4"/>
    <w:rsid w:val="00C10CD8"/>
    <w:rsid w:val="00C10D6E"/>
    <w:rsid w:val="00C10DCA"/>
    <w:rsid w:val="00C10DE3"/>
    <w:rsid w:val="00C10E44"/>
    <w:rsid w:val="00C10EF5"/>
    <w:rsid w:val="00C10F65"/>
    <w:rsid w:val="00C10FF7"/>
    <w:rsid w:val="00C11055"/>
    <w:rsid w:val="00C11066"/>
    <w:rsid w:val="00C110AD"/>
    <w:rsid w:val="00C1120E"/>
    <w:rsid w:val="00C11230"/>
    <w:rsid w:val="00C1125F"/>
    <w:rsid w:val="00C112C3"/>
    <w:rsid w:val="00C1133C"/>
    <w:rsid w:val="00C113A2"/>
    <w:rsid w:val="00C1147B"/>
    <w:rsid w:val="00C11538"/>
    <w:rsid w:val="00C11750"/>
    <w:rsid w:val="00C117D8"/>
    <w:rsid w:val="00C1180F"/>
    <w:rsid w:val="00C11865"/>
    <w:rsid w:val="00C1190A"/>
    <w:rsid w:val="00C1197E"/>
    <w:rsid w:val="00C11A23"/>
    <w:rsid w:val="00C11A34"/>
    <w:rsid w:val="00C11A4A"/>
    <w:rsid w:val="00C11C48"/>
    <w:rsid w:val="00C11C6A"/>
    <w:rsid w:val="00C11E0F"/>
    <w:rsid w:val="00C11E33"/>
    <w:rsid w:val="00C11E50"/>
    <w:rsid w:val="00C11F36"/>
    <w:rsid w:val="00C11F54"/>
    <w:rsid w:val="00C11FDE"/>
    <w:rsid w:val="00C12023"/>
    <w:rsid w:val="00C120E5"/>
    <w:rsid w:val="00C1210C"/>
    <w:rsid w:val="00C12141"/>
    <w:rsid w:val="00C12172"/>
    <w:rsid w:val="00C121BC"/>
    <w:rsid w:val="00C1228C"/>
    <w:rsid w:val="00C12316"/>
    <w:rsid w:val="00C1233C"/>
    <w:rsid w:val="00C1234A"/>
    <w:rsid w:val="00C123D4"/>
    <w:rsid w:val="00C1241A"/>
    <w:rsid w:val="00C12497"/>
    <w:rsid w:val="00C124A9"/>
    <w:rsid w:val="00C124B0"/>
    <w:rsid w:val="00C124DD"/>
    <w:rsid w:val="00C12657"/>
    <w:rsid w:val="00C1267F"/>
    <w:rsid w:val="00C12795"/>
    <w:rsid w:val="00C128D1"/>
    <w:rsid w:val="00C128DE"/>
    <w:rsid w:val="00C12ADE"/>
    <w:rsid w:val="00C12BE7"/>
    <w:rsid w:val="00C12D6C"/>
    <w:rsid w:val="00C12D75"/>
    <w:rsid w:val="00C12DC6"/>
    <w:rsid w:val="00C12E98"/>
    <w:rsid w:val="00C12EE0"/>
    <w:rsid w:val="00C12F0B"/>
    <w:rsid w:val="00C12F25"/>
    <w:rsid w:val="00C12F2B"/>
    <w:rsid w:val="00C13009"/>
    <w:rsid w:val="00C13131"/>
    <w:rsid w:val="00C13195"/>
    <w:rsid w:val="00C1327C"/>
    <w:rsid w:val="00C132D8"/>
    <w:rsid w:val="00C13324"/>
    <w:rsid w:val="00C13331"/>
    <w:rsid w:val="00C133DC"/>
    <w:rsid w:val="00C13461"/>
    <w:rsid w:val="00C135FF"/>
    <w:rsid w:val="00C13642"/>
    <w:rsid w:val="00C13681"/>
    <w:rsid w:val="00C136D7"/>
    <w:rsid w:val="00C1370D"/>
    <w:rsid w:val="00C13752"/>
    <w:rsid w:val="00C13761"/>
    <w:rsid w:val="00C1386F"/>
    <w:rsid w:val="00C139B0"/>
    <w:rsid w:val="00C139B4"/>
    <w:rsid w:val="00C13AFD"/>
    <w:rsid w:val="00C13B2E"/>
    <w:rsid w:val="00C13C8D"/>
    <w:rsid w:val="00C13DED"/>
    <w:rsid w:val="00C13E03"/>
    <w:rsid w:val="00C13E6C"/>
    <w:rsid w:val="00C13F3A"/>
    <w:rsid w:val="00C13FEC"/>
    <w:rsid w:val="00C14006"/>
    <w:rsid w:val="00C141A0"/>
    <w:rsid w:val="00C141B8"/>
    <w:rsid w:val="00C1427F"/>
    <w:rsid w:val="00C142EA"/>
    <w:rsid w:val="00C14411"/>
    <w:rsid w:val="00C144A7"/>
    <w:rsid w:val="00C14502"/>
    <w:rsid w:val="00C145BB"/>
    <w:rsid w:val="00C1462E"/>
    <w:rsid w:val="00C14696"/>
    <w:rsid w:val="00C146C9"/>
    <w:rsid w:val="00C14722"/>
    <w:rsid w:val="00C14780"/>
    <w:rsid w:val="00C14808"/>
    <w:rsid w:val="00C14951"/>
    <w:rsid w:val="00C1498B"/>
    <w:rsid w:val="00C149C0"/>
    <w:rsid w:val="00C14A18"/>
    <w:rsid w:val="00C14AF6"/>
    <w:rsid w:val="00C14B1B"/>
    <w:rsid w:val="00C14BC9"/>
    <w:rsid w:val="00C14C94"/>
    <w:rsid w:val="00C14D4C"/>
    <w:rsid w:val="00C14EBC"/>
    <w:rsid w:val="00C14F1C"/>
    <w:rsid w:val="00C151A0"/>
    <w:rsid w:val="00C1523E"/>
    <w:rsid w:val="00C1538A"/>
    <w:rsid w:val="00C15438"/>
    <w:rsid w:val="00C1544D"/>
    <w:rsid w:val="00C15471"/>
    <w:rsid w:val="00C1569E"/>
    <w:rsid w:val="00C156E4"/>
    <w:rsid w:val="00C15747"/>
    <w:rsid w:val="00C15771"/>
    <w:rsid w:val="00C15839"/>
    <w:rsid w:val="00C15869"/>
    <w:rsid w:val="00C15881"/>
    <w:rsid w:val="00C159A0"/>
    <w:rsid w:val="00C15AEC"/>
    <w:rsid w:val="00C15B39"/>
    <w:rsid w:val="00C15C97"/>
    <w:rsid w:val="00C15CF4"/>
    <w:rsid w:val="00C15DD3"/>
    <w:rsid w:val="00C15ECE"/>
    <w:rsid w:val="00C15F87"/>
    <w:rsid w:val="00C15FA6"/>
    <w:rsid w:val="00C15FBF"/>
    <w:rsid w:val="00C160DD"/>
    <w:rsid w:val="00C16159"/>
    <w:rsid w:val="00C1619E"/>
    <w:rsid w:val="00C163B2"/>
    <w:rsid w:val="00C16460"/>
    <w:rsid w:val="00C164FB"/>
    <w:rsid w:val="00C165DC"/>
    <w:rsid w:val="00C1664F"/>
    <w:rsid w:val="00C167A4"/>
    <w:rsid w:val="00C16862"/>
    <w:rsid w:val="00C168EA"/>
    <w:rsid w:val="00C16979"/>
    <w:rsid w:val="00C16C25"/>
    <w:rsid w:val="00C16CC5"/>
    <w:rsid w:val="00C16D6F"/>
    <w:rsid w:val="00C16DE2"/>
    <w:rsid w:val="00C16E9C"/>
    <w:rsid w:val="00C16EAB"/>
    <w:rsid w:val="00C16F3F"/>
    <w:rsid w:val="00C16F61"/>
    <w:rsid w:val="00C16F89"/>
    <w:rsid w:val="00C16FB0"/>
    <w:rsid w:val="00C17025"/>
    <w:rsid w:val="00C17080"/>
    <w:rsid w:val="00C170DE"/>
    <w:rsid w:val="00C17123"/>
    <w:rsid w:val="00C1713F"/>
    <w:rsid w:val="00C17194"/>
    <w:rsid w:val="00C1731B"/>
    <w:rsid w:val="00C17345"/>
    <w:rsid w:val="00C173AD"/>
    <w:rsid w:val="00C173B0"/>
    <w:rsid w:val="00C17445"/>
    <w:rsid w:val="00C175D6"/>
    <w:rsid w:val="00C1761D"/>
    <w:rsid w:val="00C1762E"/>
    <w:rsid w:val="00C1764D"/>
    <w:rsid w:val="00C1767A"/>
    <w:rsid w:val="00C17682"/>
    <w:rsid w:val="00C1769C"/>
    <w:rsid w:val="00C176D7"/>
    <w:rsid w:val="00C1772F"/>
    <w:rsid w:val="00C179E9"/>
    <w:rsid w:val="00C17A96"/>
    <w:rsid w:val="00C17BF6"/>
    <w:rsid w:val="00C17C27"/>
    <w:rsid w:val="00C17C57"/>
    <w:rsid w:val="00C17C5C"/>
    <w:rsid w:val="00C17C7C"/>
    <w:rsid w:val="00C17CE2"/>
    <w:rsid w:val="00C17D14"/>
    <w:rsid w:val="00C17D42"/>
    <w:rsid w:val="00C17DD0"/>
    <w:rsid w:val="00C17E56"/>
    <w:rsid w:val="00C17EA3"/>
    <w:rsid w:val="00C17EFE"/>
    <w:rsid w:val="00C17F37"/>
    <w:rsid w:val="00C17F92"/>
    <w:rsid w:val="00C20046"/>
    <w:rsid w:val="00C20075"/>
    <w:rsid w:val="00C20167"/>
    <w:rsid w:val="00C20181"/>
    <w:rsid w:val="00C201BF"/>
    <w:rsid w:val="00C201F2"/>
    <w:rsid w:val="00C20259"/>
    <w:rsid w:val="00C203FC"/>
    <w:rsid w:val="00C20582"/>
    <w:rsid w:val="00C205D0"/>
    <w:rsid w:val="00C20615"/>
    <w:rsid w:val="00C20734"/>
    <w:rsid w:val="00C20774"/>
    <w:rsid w:val="00C207FC"/>
    <w:rsid w:val="00C20812"/>
    <w:rsid w:val="00C2081A"/>
    <w:rsid w:val="00C208F4"/>
    <w:rsid w:val="00C20A2B"/>
    <w:rsid w:val="00C20AB1"/>
    <w:rsid w:val="00C20BE4"/>
    <w:rsid w:val="00C20C4C"/>
    <w:rsid w:val="00C20DCE"/>
    <w:rsid w:val="00C20E92"/>
    <w:rsid w:val="00C20F8D"/>
    <w:rsid w:val="00C21187"/>
    <w:rsid w:val="00C212B1"/>
    <w:rsid w:val="00C213F3"/>
    <w:rsid w:val="00C21475"/>
    <w:rsid w:val="00C214E3"/>
    <w:rsid w:val="00C214F0"/>
    <w:rsid w:val="00C21529"/>
    <w:rsid w:val="00C2157C"/>
    <w:rsid w:val="00C215A8"/>
    <w:rsid w:val="00C21616"/>
    <w:rsid w:val="00C216A6"/>
    <w:rsid w:val="00C21755"/>
    <w:rsid w:val="00C2180B"/>
    <w:rsid w:val="00C2180D"/>
    <w:rsid w:val="00C21848"/>
    <w:rsid w:val="00C2184E"/>
    <w:rsid w:val="00C218A5"/>
    <w:rsid w:val="00C219FB"/>
    <w:rsid w:val="00C21A69"/>
    <w:rsid w:val="00C21AA9"/>
    <w:rsid w:val="00C21AEF"/>
    <w:rsid w:val="00C21B24"/>
    <w:rsid w:val="00C21BF3"/>
    <w:rsid w:val="00C21BF8"/>
    <w:rsid w:val="00C21C31"/>
    <w:rsid w:val="00C21C55"/>
    <w:rsid w:val="00C21CA0"/>
    <w:rsid w:val="00C21E7F"/>
    <w:rsid w:val="00C21E8F"/>
    <w:rsid w:val="00C21F0E"/>
    <w:rsid w:val="00C21F15"/>
    <w:rsid w:val="00C21FFF"/>
    <w:rsid w:val="00C220EA"/>
    <w:rsid w:val="00C22195"/>
    <w:rsid w:val="00C221F8"/>
    <w:rsid w:val="00C223FC"/>
    <w:rsid w:val="00C2240F"/>
    <w:rsid w:val="00C224DC"/>
    <w:rsid w:val="00C2251A"/>
    <w:rsid w:val="00C22524"/>
    <w:rsid w:val="00C226A6"/>
    <w:rsid w:val="00C227D4"/>
    <w:rsid w:val="00C227D5"/>
    <w:rsid w:val="00C227EA"/>
    <w:rsid w:val="00C22A79"/>
    <w:rsid w:val="00C22A94"/>
    <w:rsid w:val="00C22B2E"/>
    <w:rsid w:val="00C22C99"/>
    <w:rsid w:val="00C22EF8"/>
    <w:rsid w:val="00C22F33"/>
    <w:rsid w:val="00C22F62"/>
    <w:rsid w:val="00C2309B"/>
    <w:rsid w:val="00C230FE"/>
    <w:rsid w:val="00C231C0"/>
    <w:rsid w:val="00C231E0"/>
    <w:rsid w:val="00C23268"/>
    <w:rsid w:val="00C23301"/>
    <w:rsid w:val="00C233FD"/>
    <w:rsid w:val="00C23552"/>
    <w:rsid w:val="00C23597"/>
    <w:rsid w:val="00C236CC"/>
    <w:rsid w:val="00C23788"/>
    <w:rsid w:val="00C2384F"/>
    <w:rsid w:val="00C2387C"/>
    <w:rsid w:val="00C2388D"/>
    <w:rsid w:val="00C238FA"/>
    <w:rsid w:val="00C2391D"/>
    <w:rsid w:val="00C23942"/>
    <w:rsid w:val="00C2399E"/>
    <w:rsid w:val="00C23A0B"/>
    <w:rsid w:val="00C23AD7"/>
    <w:rsid w:val="00C23B4E"/>
    <w:rsid w:val="00C23BDC"/>
    <w:rsid w:val="00C23C41"/>
    <w:rsid w:val="00C23C53"/>
    <w:rsid w:val="00C23CFB"/>
    <w:rsid w:val="00C23CFC"/>
    <w:rsid w:val="00C23D9F"/>
    <w:rsid w:val="00C23DE6"/>
    <w:rsid w:val="00C23E55"/>
    <w:rsid w:val="00C23E7E"/>
    <w:rsid w:val="00C23ED8"/>
    <w:rsid w:val="00C242A1"/>
    <w:rsid w:val="00C242CE"/>
    <w:rsid w:val="00C242FE"/>
    <w:rsid w:val="00C24310"/>
    <w:rsid w:val="00C24357"/>
    <w:rsid w:val="00C24369"/>
    <w:rsid w:val="00C243C0"/>
    <w:rsid w:val="00C2458A"/>
    <w:rsid w:val="00C246AB"/>
    <w:rsid w:val="00C246DD"/>
    <w:rsid w:val="00C24754"/>
    <w:rsid w:val="00C24789"/>
    <w:rsid w:val="00C24969"/>
    <w:rsid w:val="00C24A67"/>
    <w:rsid w:val="00C24A99"/>
    <w:rsid w:val="00C24BDE"/>
    <w:rsid w:val="00C24BFD"/>
    <w:rsid w:val="00C24C91"/>
    <w:rsid w:val="00C24CA4"/>
    <w:rsid w:val="00C24D93"/>
    <w:rsid w:val="00C24E03"/>
    <w:rsid w:val="00C24E5E"/>
    <w:rsid w:val="00C24E6D"/>
    <w:rsid w:val="00C24F76"/>
    <w:rsid w:val="00C24F93"/>
    <w:rsid w:val="00C2512B"/>
    <w:rsid w:val="00C252CB"/>
    <w:rsid w:val="00C25326"/>
    <w:rsid w:val="00C25330"/>
    <w:rsid w:val="00C254FC"/>
    <w:rsid w:val="00C25517"/>
    <w:rsid w:val="00C25568"/>
    <w:rsid w:val="00C255C1"/>
    <w:rsid w:val="00C255D1"/>
    <w:rsid w:val="00C255E7"/>
    <w:rsid w:val="00C2562F"/>
    <w:rsid w:val="00C2571A"/>
    <w:rsid w:val="00C25764"/>
    <w:rsid w:val="00C25848"/>
    <w:rsid w:val="00C2587F"/>
    <w:rsid w:val="00C25883"/>
    <w:rsid w:val="00C25A04"/>
    <w:rsid w:val="00C25A65"/>
    <w:rsid w:val="00C25BBE"/>
    <w:rsid w:val="00C25C9D"/>
    <w:rsid w:val="00C25CED"/>
    <w:rsid w:val="00C25D19"/>
    <w:rsid w:val="00C25DFA"/>
    <w:rsid w:val="00C25E2D"/>
    <w:rsid w:val="00C25E9B"/>
    <w:rsid w:val="00C25EC8"/>
    <w:rsid w:val="00C25FD7"/>
    <w:rsid w:val="00C2606F"/>
    <w:rsid w:val="00C26230"/>
    <w:rsid w:val="00C26250"/>
    <w:rsid w:val="00C26288"/>
    <w:rsid w:val="00C2628C"/>
    <w:rsid w:val="00C2629F"/>
    <w:rsid w:val="00C26400"/>
    <w:rsid w:val="00C26464"/>
    <w:rsid w:val="00C264D3"/>
    <w:rsid w:val="00C26522"/>
    <w:rsid w:val="00C265F7"/>
    <w:rsid w:val="00C26625"/>
    <w:rsid w:val="00C26687"/>
    <w:rsid w:val="00C2668D"/>
    <w:rsid w:val="00C26768"/>
    <w:rsid w:val="00C268F4"/>
    <w:rsid w:val="00C2696D"/>
    <w:rsid w:val="00C2696E"/>
    <w:rsid w:val="00C26988"/>
    <w:rsid w:val="00C26AF1"/>
    <w:rsid w:val="00C26C73"/>
    <w:rsid w:val="00C26C98"/>
    <w:rsid w:val="00C26CD3"/>
    <w:rsid w:val="00C26E0B"/>
    <w:rsid w:val="00C26E9B"/>
    <w:rsid w:val="00C27032"/>
    <w:rsid w:val="00C27038"/>
    <w:rsid w:val="00C270AA"/>
    <w:rsid w:val="00C2711F"/>
    <w:rsid w:val="00C27168"/>
    <w:rsid w:val="00C27260"/>
    <w:rsid w:val="00C272CF"/>
    <w:rsid w:val="00C2749C"/>
    <w:rsid w:val="00C274A8"/>
    <w:rsid w:val="00C274BB"/>
    <w:rsid w:val="00C27571"/>
    <w:rsid w:val="00C2759C"/>
    <w:rsid w:val="00C275A2"/>
    <w:rsid w:val="00C27673"/>
    <w:rsid w:val="00C2767B"/>
    <w:rsid w:val="00C2770C"/>
    <w:rsid w:val="00C2774B"/>
    <w:rsid w:val="00C27785"/>
    <w:rsid w:val="00C277FE"/>
    <w:rsid w:val="00C27842"/>
    <w:rsid w:val="00C278AA"/>
    <w:rsid w:val="00C278E9"/>
    <w:rsid w:val="00C279DC"/>
    <w:rsid w:val="00C279E1"/>
    <w:rsid w:val="00C279FD"/>
    <w:rsid w:val="00C27A1B"/>
    <w:rsid w:val="00C27A79"/>
    <w:rsid w:val="00C27A86"/>
    <w:rsid w:val="00C27AC6"/>
    <w:rsid w:val="00C27ACC"/>
    <w:rsid w:val="00C27CC2"/>
    <w:rsid w:val="00C27DF8"/>
    <w:rsid w:val="00C27E06"/>
    <w:rsid w:val="00C27EFA"/>
    <w:rsid w:val="00C27F03"/>
    <w:rsid w:val="00C27F5A"/>
    <w:rsid w:val="00C27FFD"/>
    <w:rsid w:val="00C30233"/>
    <w:rsid w:val="00C302E2"/>
    <w:rsid w:val="00C30328"/>
    <w:rsid w:val="00C3036E"/>
    <w:rsid w:val="00C30488"/>
    <w:rsid w:val="00C304AE"/>
    <w:rsid w:val="00C30528"/>
    <w:rsid w:val="00C307F9"/>
    <w:rsid w:val="00C3086B"/>
    <w:rsid w:val="00C308CB"/>
    <w:rsid w:val="00C3096A"/>
    <w:rsid w:val="00C30990"/>
    <w:rsid w:val="00C309CE"/>
    <w:rsid w:val="00C30A8E"/>
    <w:rsid w:val="00C30AFA"/>
    <w:rsid w:val="00C30AFD"/>
    <w:rsid w:val="00C30BF0"/>
    <w:rsid w:val="00C30F05"/>
    <w:rsid w:val="00C30F5D"/>
    <w:rsid w:val="00C31201"/>
    <w:rsid w:val="00C312F9"/>
    <w:rsid w:val="00C3131F"/>
    <w:rsid w:val="00C31437"/>
    <w:rsid w:val="00C31451"/>
    <w:rsid w:val="00C314BD"/>
    <w:rsid w:val="00C314DD"/>
    <w:rsid w:val="00C314F6"/>
    <w:rsid w:val="00C3153C"/>
    <w:rsid w:val="00C31663"/>
    <w:rsid w:val="00C3170A"/>
    <w:rsid w:val="00C31748"/>
    <w:rsid w:val="00C317B7"/>
    <w:rsid w:val="00C317B9"/>
    <w:rsid w:val="00C31805"/>
    <w:rsid w:val="00C318C7"/>
    <w:rsid w:val="00C31980"/>
    <w:rsid w:val="00C31A49"/>
    <w:rsid w:val="00C31A64"/>
    <w:rsid w:val="00C31C13"/>
    <w:rsid w:val="00C31C30"/>
    <w:rsid w:val="00C31CD1"/>
    <w:rsid w:val="00C31D63"/>
    <w:rsid w:val="00C31DDE"/>
    <w:rsid w:val="00C31E59"/>
    <w:rsid w:val="00C31E8A"/>
    <w:rsid w:val="00C3205F"/>
    <w:rsid w:val="00C320E5"/>
    <w:rsid w:val="00C3211A"/>
    <w:rsid w:val="00C321E1"/>
    <w:rsid w:val="00C3224C"/>
    <w:rsid w:val="00C3238F"/>
    <w:rsid w:val="00C32492"/>
    <w:rsid w:val="00C324A7"/>
    <w:rsid w:val="00C325FE"/>
    <w:rsid w:val="00C32643"/>
    <w:rsid w:val="00C326D9"/>
    <w:rsid w:val="00C32855"/>
    <w:rsid w:val="00C328AA"/>
    <w:rsid w:val="00C32949"/>
    <w:rsid w:val="00C32972"/>
    <w:rsid w:val="00C3298F"/>
    <w:rsid w:val="00C329F0"/>
    <w:rsid w:val="00C32B30"/>
    <w:rsid w:val="00C32C9A"/>
    <w:rsid w:val="00C32CC6"/>
    <w:rsid w:val="00C32CED"/>
    <w:rsid w:val="00C32E60"/>
    <w:rsid w:val="00C32E61"/>
    <w:rsid w:val="00C32F65"/>
    <w:rsid w:val="00C32FFB"/>
    <w:rsid w:val="00C331D1"/>
    <w:rsid w:val="00C332CB"/>
    <w:rsid w:val="00C33395"/>
    <w:rsid w:val="00C33586"/>
    <w:rsid w:val="00C335AA"/>
    <w:rsid w:val="00C336E5"/>
    <w:rsid w:val="00C33768"/>
    <w:rsid w:val="00C337E4"/>
    <w:rsid w:val="00C3389B"/>
    <w:rsid w:val="00C33912"/>
    <w:rsid w:val="00C339F3"/>
    <w:rsid w:val="00C33ACD"/>
    <w:rsid w:val="00C33ADF"/>
    <w:rsid w:val="00C33B07"/>
    <w:rsid w:val="00C33BC8"/>
    <w:rsid w:val="00C33C69"/>
    <w:rsid w:val="00C33C90"/>
    <w:rsid w:val="00C33CF4"/>
    <w:rsid w:val="00C33CF8"/>
    <w:rsid w:val="00C33D00"/>
    <w:rsid w:val="00C33D46"/>
    <w:rsid w:val="00C33D4A"/>
    <w:rsid w:val="00C33D4D"/>
    <w:rsid w:val="00C33D6B"/>
    <w:rsid w:val="00C33DE1"/>
    <w:rsid w:val="00C33DF5"/>
    <w:rsid w:val="00C33FA7"/>
    <w:rsid w:val="00C33FBC"/>
    <w:rsid w:val="00C33FE3"/>
    <w:rsid w:val="00C34197"/>
    <w:rsid w:val="00C342AC"/>
    <w:rsid w:val="00C3430F"/>
    <w:rsid w:val="00C3431D"/>
    <w:rsid w:val="00C3438E"/>
    <w:rsid w:val="00C343F3"/>
    <w:rsid w:val="00C34486"/>
    <w:rsid w:val="00C34596"/>
    <w:rsid w:val="00C345EE"/>
    <w:rsid w:val="00C346C7"/>
    <w:rsid w:val="00C346E0"/>
    <w:rsid w:val="00C34804"/>
    <w:rsid w:val="00C348C7"/>
    <w:rsid w:val="00C3492B"/>
    <w:rsid w:val="00C34BB1"/>
    <w:rsid w:val="00C34BC7"/>
    <w:rsid w:val="00C34C17"/>
    <w:rsid w:val="00C34CD9"/>
    <w:rsid w:val="00C34CF0"/>
    <w:rsid w:val="00C34D1D"/>
    <w:rsid w:val="00C34E1C"/>
    <w:rsid w:val="00C34EAA"/>
    <w:rsid w:val="00C35073"/>
    <w:rsid w:val="00C35079"/>
    <w:rsid w:val="00C350F0"/>
    <w:rsid w:val="00C353E2"/>
    <w:rsid w:val="00C35497"/>
    <w:rsid w:val="00C3555C"/>
    <w:rsid w:val="00C3556C"/>
    <w:rsid w:val="00C355DE"/>
    <w:rsid w:val="00C355EE"/>
    <w:rsid w:val="00C35689"/>
    <w:rsid w:val="00C3568B"/>
    <w:rsid w:val="00C3568E"/>
    <w:rsid w:val="00C35713"/>
    <w:rsid w:val="00C3585E"/>
    <w:rsid w:val="00C3587B"/>
    <w:rsid w:val="00C35969"/>
    <w:rsid w:val="00C35977"/>
    <w:rsid w:val="00C35BB3"/>
    <w:rsid w:val="00C35C57"/>
    <w:rsid w:val="00C35CB0"/>
    <w:rsid w:val="00C35D40"/>
    <w:rsid w:val="00C35DC4"/>
    <w:rsid w:val="00C35E4D"/>
    <w:rsid w:val="00C35E93"/>
    <w:rsid w:val="00C35EA2"/>
    <w:rsid w:val="00C36182"/>
    <w:rsid w:val="00C3630B"/>
    <w:rsid w:val="00C363EB"/>
    <w:rsid w:val="00C363EF"/>
    <w:rsid w:val="00C36447"/>
    <w:rsid w:val="00C36498"/>
    <w:rsid w:val="00C365A6"/>
    <w:rsid w:val="00C366DD"/>
    <w:rsid w:val="00C366EC"/>
    <w:rsid w:val="00C3671D"/>
    <w:rsid w:val="00C36736"/>
    <w:rsid w:val="00C3677D"/>
    <w:rsid w:val="00C368CB"/>
    <w:rsid w:val="00C368FD"/>
    <w:rsid w:val="00C36AA2"/>
    <w:rsid w:val="00C36B89"/>
    <w:rsid w:val="00C36C65"/>
    <w:rsid w:val="00C36D8C"/>
    <w:rsid w:val="00C36E0C"/>
    <w:rsid w:val="00C36FA8"/>
    <w:rsid w:val="00C36FD9"/>
    <w:rsid w:val="00C37054"/>
    <w:rsid w:val="00C37065"/>
    <w:rsid w:val="00C370DA"/>
    <w:rsid w:val="00C370E8"/>
    <w:rsid w:val="00C3710E"/>
    <w:rsid w:val="00C3716B"/>
    <w:rsid w:val="00C37176"/>
    <w:rsid w:val="00C3719D"/>
    <w:rsid w:val="00C371BC"/>
    <w:rsid w:val="00C371C0"/>
    <w:rsid w:val="00C37543"/>
    <w:rsid w:val="00C3760A"/>
    <w:rsid w:val="00C3769D"/>
    <w:rsid w:val="00C37771"/>
    <w:rsid w:val="00C378AC"/>
    <w:rsid w:val="00C378E6"/>
    <w:rsid w:val="00C3792F"/>
    <w:rsid w:val="00C37932"/>
    <w:rsid w:val="00C37960"/>
    <w:rsid w:val="00C3798F"/>
    <w:rsid w:val="00C37B6C"/>
    <w:rsid w:val="00C37B8B"/>
    <w:rsid w:val="00C37CA1"/>
    <w:rsid w:val="00C37CDB"/>
    <w:rsid w:val="00C37D60"/>
    <w:rsid w:val="00C37D71"/>
    <w:rsid w:val="00C37E53"/>
    <w:rsid w:val="00C37E6B"/>
    <w:rsid w:val="00C37F2D"/>
    <w:rsid w:val="00C37F99"/>
    <w:rsid w:val="00C4001C"/>
    <w:rsid w:val="00C400DD"/>
    <w:rsid w:val="00C400FF"/>
    <w:rsid w:val="00C401A6"/>
    <w:rsid w:val="00C401BC"/>
    <w:rsid w:val="00C401FC"/>
    <w:rsid w:val="00C4022A"/>
    <w:rsid w:val="00C402C3"/>
    <w:rsid w:val="00C40314"/>
    <w:rsid w:val="00C40494"/>
    <w:rsid w:val="00C404B2"/>
    <w:rsid w:val="00C4050C"/>
    <w:rsid w:val="00C405B1"/>
    <w:rsid w:val="00C4061C"/>
    <w:rsid w:val="00C40630"/>
    <w:rsid w:val="00C40654"/>
    <w:rsid w:val="00C40689"/>
    <w:rsid w:val="00C40717"/>
    <w:rsid w:val="00C4071A"/>
    <w:rsid w:val="00C4076E"/>
    <w:rsid w:val="00C4086A"/>
    <w:rsid w:val="00C40893"/>
    <w:rsid w:val="00C408A5"/>
    <w:rsid w:val="00C4091D"/>
    <w:rsid w:val="00C40920"/>
    <w:rsid w:val="00C40947"/>
    <w:rsid w:val="00C409AC"/>
    <w:rsid w:val="00C40A19"/>
    <w:rsid w:val="00C40A69"/>
    <w:rsid w:val="00C40C2B"/>
    <w:rsid w:val="00C40CFC"/>
    <w:rsid w:val="00C40D80"/>
    <w:rsid w:val="00C40E2F"/>
    <w:rsid w:val="00C40E7E"/>
    <w:rsid w:val="00C40F5F"/>
    <w:rsid w:val="00C40FFA"/>
    <w:rsid w:val="00C41013"/>
    <w:rsid w:val="00C410CC"/>
    <w:rsid w:val="00C411FF"/>
    <w:rsid w:val="00C41210"/>
    <w:rsid w:val="00C4121F"/>
    <w:rsid w:val="00C41225"/>
    <w:rsid w:val="00C41262"/>
    <w:rsid w:val="00C412C4"/>
    <w:rsid w:val="00C413F9"/>
    <w:rsid w:val="00C4150C"/>
    <w:rsid w:val="00C4151F"/>
    <w:rsid w:val="00C415B9"/>
    <w:rsid w:val="00C415BF"/>
    <w:rsid w:val="00C41654"/>
    <w:rsid w:val="00C41657"/>
    <w:rsid w:val="00C41749"/>
    <w:rsid w:val="00C4178D"/>
    <w:rsid w:val="00C417F9"/>
    <w:rsid w:val="00C41829"/>
    <w:rsid w:val="00C41A4B"/>
    <w:rsid w:val="00C41AA3"/>
    <w:rsid w:val="00C41B07"/>
    <w:rsid w:val="00C41C8D"/>
    <w:rsid w:val="00C41CE9"/>
    <w:rsid w:val="00C41D6D"/>
    <w:rsid w:val="00C41D98"/>
    <w:rsid w:val="00C41DFC"/>
    <w:rsid w:val="00C41E56"/>
    <w:rsid w:val="00C41ECA"/>
    <w:rsid w:val="00C41EFC"/>
    <w:rsid w:val="00C41F7F"/>
    <w:rsid w:val="00C41FF1"/>
    <w:rsid w:val="00C42036"/>
    <w:rsid w:val="00C42056"/>
    <w:rsid w:val="00C42090"/>
    <w:rsid w:val="00C42144"/>
    <w:rsid w:val="00C421E6"/>
    <w:rsid w:val="00C4220F"/>
    <w:rsid w:val="00C4236B"/>
    <w:rsid w:val="00C42401"/>
    <w:rsid w:val="00C425A5"/>
    <w:rsid w:val="00C42612"/>
    <w:rsid w:val="00C4279C"/>
    <w:rsid w:val="00C4287F"/>
    <w:rsid w:val="00C428BD"/>
    <w:rsid w:val="00C42B0E"/>
    <w:rsid w:val="00C42BC2"/>
    <w:rsid w:val="00C42D1C"/>
    <w:rsid w:val="00C42E46"/>
    <w:rsid w:val="00C42E5B"/>
    <w:rsid w:val="00C42EFD"/>
    <w:rsid w:val="00C42F2C"/>
    <w:rsid w:val="00C4300E"/>
    <w:rsid w:val="00C4304D"/>
    <w:rsid w:val="00C43283"/>
    <w:rsid w:val="00C43303"/>
    <w:rsid w:val="00C433D3"/>
    <w:rsid w:val="00C43407"/>
    <w:rsid w:val="00C43505"/>
    <w:rsid w:val="00C435B2"/>
    <w:rsid w:val="00C436BE"/>
    <w:rsid w:val="00C436C5"/>
    <w:rsid w:val="00C436C8"/>
    <w:rsid w:val="00C43772"/>
    <w:rsid w:val="00C43822"/>
    <w:rsid w:val="00C4384D"/>
    <w:rsid w:val="00C43852"/>
    <w:rsid w:val="00C4392A"/>
    <w:rsid w:val="00C43A7B"/>
    <w:rsid w:val="00C43B5D"/>
    <w:rsid w:val="00C43C1E"/>
    <w:rsid w:val="00C43CBB"/>
    <w:rsid w:val="00C43D21"/>
    <w:rsid w:val="00C43DC9"/>
    <w:rsid w:val="00C43DCD"/>
    <w:rsid w:val="00C43DF3"/>
    <w:rsid w:val="00C43DF8"/>
    <w:rsid w:val="00C43EF1"/>
    <w:rsid w:val="00C43F45"/>
    <w:rsid w:val="00C43FE7"/>
    <w:rsid w:val="00C43FEB"/>
    <w:rsid w:val="00C4400E"/>
    <w:rsid w:val="00C44039"/>
    <w:rsid w:val="00C4412C"/>
    <w:rsid w:val="00C4416C"/>
    <w:rsid w:val="00C441F2"/>
    <w:rsid w:val="00C44394"/>
    <w:rsid w:val="00C443A4"/>
    <w:rsid w:val="00C443F6"/>
    <w:rsid w:val="00C443FC"/>
    <w:rsid w:val="00C44406"/>
    <w:rsid w:val="00C44407"/>
    <w:rsid w:val="00C44451"/>
    <w:rsid w:val="00C44474"/>
    <w:rsid w:val="00C444A7"/>
    <w:rsid w:val="00C4469E"/>
    <w:rsid w:val="00C446C0"/>
    <w:rsid w:val="00C44761"/>
    <w:rsid w:val="00C4478C"/>
    <w:rsid w:val="00C447B7"/>
    <w:rsid w:val="00C44847"/>
    <w:rsid w:val="00C44906"/>
    <w:rsid w:val="00C44949"/>
    <w:rsid w:val="00C44B51"/>
    <w:rsid w:val="00C44C4E"/>
    <w:rsid w:val="00C44CE3"/>
    <w:rsid w:val="00C44D12"/>
    <w:rsid w:val="00C44D63"/>
    <w:rsid w:val="00C44E1A"/>
    <w:rsid w:val="00C4508C"/>
    <w:rsid w:val="00C45191"/>
    <w:rsid w:val="00C451F2"/>
    <w:rsid w:val="00C451F6"/>
    <w:rsid w:val="00C452BE"/>
    <w:rsid w:val="00C45373"/>
    <w:rsid w:val="00C4539B"/>
    <w:rsid w:val="00C4545F"/>
    <w:rsid w:val="00C4551F"/>
    <w:rsid w:val="00C45576"/>
    <w:rsid w:val="00C455C8"/>
    <w:rsid w:val="00C45613"/>
    <w:rsid w:val="00C4566A"/>
    <w:rsid w:val="00C45676"/>
    <w:rsid w:val="00C45768"/>
    <w:rsid w:val="00C457C9"/>
    <w:rsid w:val="00C45818"/>
    <w:rsid w:val="00C458AB"/>
    <w:rsid w:val="00C459A5"/>
    <w:rsid w:val="00C45A46"/>
    <w:rsid w:val="00C45AB9"/>
    <w:rsid w:val="00C45ACF"/>
    <w:rsid w:val="00C45AD2"/>
    <w:rsid w:val="00C45B46"/>
    <w:rsid w:val="00C45C4C"/>
    <w:rsid w:val="00C45E64"/>
    <w:rsid w:val="00C4603A"/>
    <w:rsid w:val="00C46114"/>
    <w:rsid w:val="00C461E9"/>
    <w:rsid w:val="00C46327"/>
    <w:rsid w:val="00C46392"/>
    <w:rsid w:val="00C463E0"/>
    <w:rsid w:val="00C46415"/>
    <w:rsid w:val="00C46443"/>
    <w:rsid w:val="00C464CE"/>
    <w:rsid w:val="00C464D1"/>
    <w:rsid w:val="00C46549"/>
    <w:rsid w:val="00C46662"/>
    <w:rsid w:val="00C467BD"/>
    <w:rsid w:val="00C467CF"/>
    <w:rsid w:val="00C4680A"/>
    <w:rsid w:val="00C46840"/>
    <w:rsid w:val="00C468A2"/>
    <w:rsid w:val="00C468A9"/>
    <w:rsid w:val="00C46940"/>
    <w:rsid w:val="00C46A20"/>
    <w:rsid w:val="00C46B34"/>
    <w:rsid w:val="00C46B54"/>
    <w:rsid w:val="00C46C62"/>
    <w:rsid w:val="00C46CE2"/>
    <w:rsid w:val="00C46D36"/>
    <w:rsid w:val="00C46E78"/>
    <w:rsid w:val="00C47010"/>
    <w:rsid w:val="00C4708A"/>
    <w:rsid w:val="00C4708B"/>
    <w:rsid w:val="00C4709E"/>
    <w:rsid w:val="00C471B5"/>
    <w:rsid w:val="00C471D3"/>
    <w:rsid w:val="00C4732B"/>
    <w:rsid w:val="00C47484"/>
    <w:rsid w:val="00C474B6"/>
    <w:rsid w:val="00C474EE"/>
    <w:rsid w:val="00C4755B"/>
    <w:rsid w:val="00C4764D"/>
    <w:rsid w:val="00C477E2"/>
    <w:rsid w:val="00C47872"/>
    <w:rsid w:val="00C47A74"/>
    <w:rsid w:val="00C47A86"/>
    <w:rsid w:val="00C47BD2"/>
    <w:rsid w:val="00C47C06"/>
    <w:rsid w:val="00C47C38"/>
    <w:rsid w:val="00C47C82"/>
    <w:rsid w:val="00C47D0E"/>
    <w:rsid w:val="00C47D74"/>
    <w:rsid w:val="00C47D7B"/>
    <w:rsid w:val="00C47D96"/>
    <w:rsid w:val="00C47DB6"/>
    <w:rsid w:val="00C47E10"/>
    <w:rsid w:val="00C47E27"/>
    <w:rsid w:val="00C47EA7"/>
    <w:rsid w:val="00C47EB8"/>
    <w:rsid w:val="00C47EE3"/>
    <w:rsid w:val="00C47F1E"/>
    <w:rsid w:val="00C47F73"/>
    <w:rsid w:val="00C47FEE"/>
    <w:rsid w:val="00C50102"/>
    <w:rsid w:val="00C5010F"/>
    <w:rsid w:val="00C50141"/>
    <w:rsid w:val="00C5014B"/>
    <w:rsid w:val="00C50194"/>
    <w:rsid w:val="00C5019D"/>
    <w:rsid w:val="00C50228"/>
    <w:rsid w:val="00C502C7"/>
    <w:rsid w:val="00C50330"/>
    <w:rsid w:val="00C50358"/>
    <w:rsid w:val="00C50359"/>
    <w:rsid w:val="00C50446"/>
    <w:rsid w:val="00C5069C"/>
    <w:rsid w:val="00C5069E"/>
    <w:rsid w:val="00C5090A"/>
    <w:rsid w:val="00C50B05"/>
    <w:rsid w:val="00C50C79"/>
    <w:rsid w:val="00C50CCA"/>
    <w:rsid w:val="00C50CD5"/>
    <w:rsid w:val="00C50D55"/>
    <w:rsid w:val="00C50F79"/>
    <w:rsid w:val="00C50F94"/>
    <w:rsid w:val="00C510A5"/>
    <w:rsid w:val="00C51186"/>
    <w:rsid w:val="00C5120C"/>
    <w:rsid w:val="00C5124C"/>
    <w:rsid w:val="00C51311"/>
    <w:rsid w:val="00C513A3"/>
    <w:rsid w:val="00C513BA"/>
    <w:rsid w:val="00C5144A"/>
    <w:rsid w:val="00C5145A"/>
    <w:rsid w:val="00C51531"/>
    <w:rsid w:val="00C5157B"/>
    <w:rsid w:val="00C5158B"/>
    <w:rsid w:val="00C51710"/>
    <w:rsid w:val="00C5183B"/>
    <w:rsid w:val="00C5188D"/>
    <w:rsid w:val="00C51979"/>
    <w:rsid w:val="00C5198C"/>
    <w:rsid w:val="00C51A34"/>
    <w:rsid w:val="00C51AA1"/>
    <w:rsid w:val="00C51B65"/>
    <w:rsid w:val="00C51BE5"/>
    <w:rsid w:val="00C51BE7"/>
    <w:rsid w:val="00C51C92"/>
    <w:rsid w:val="00C51D2C"/>
    <w:rsid w:val="00C51F35"/>
    <w:rsid w:val="00C52121"/>
    <w:rsid w:val="00C52207"/>
    <w:rsid w:val="00C52231"/>
    <w:rsid w:val="00C52250"/>
    <w:rsid w:val="00C52269"/>
    <w:rsid w:val="00C52325"/>
    <w:rsid w:val="00C5233C"/>
    <w:rsid w:val="00C523A1"/>
    <w:rsid w:val="00C523AA"/>
    <w:rsid w:val="00C523AE"/>
    <w:rsid w:val="00C5246B"/>
    <w:rsid w:val="00C524FA"/>
    <w:rsid w:val="00C525A3"/>
    <w:rsid w:val="00C52600"/>
    <w:rsid w:val="00C5260D"/>
    <w:rsid w:val="00C52688"/>
    <w:rsid w:val="00C526DC"/>
    <w:rsid w:val="00C526ED"/>
    <w:rsid w:val="00C527B3"/>
    <w:rsid w:val="00C52908"/>
    <w:rsid w:val="00C52982"/>
    <w:rsid w:val="00C52996"/>
    <w:rsid w:val="00C529AC"/>
    <w:rsid w:val="00C52A8C"/>
    <w:rsid w:val="00C52B95"/>
    <w:rsid w:val="00C52C64"/>
    <w:rsid w:val="00C52D16"/>
    <w:rsid w:val="00C52D80"/>
    <w:rsid w:val="00C52E93"/>
    <w:rsid w:val="00C52EBA"/>
    <w:rsid w:val="00C52F05"/>
    <w:rsid w:val="00C52F07"/>
    <w:rsid w:val="00C52F79"/>
    <w:rsid w:val="00C5309C"/>
    <w:rsid w:val="00C530BF"/>
    <w:rsid w:val="00C530F5"/>
    <w:rsid w:val="00C5312A"/>
    <w:rsid w:val="00C5319B"/>
    <w:rsid w:val="00C531E2"/>
    <w:rsid w:val="00C53301"/>
    <w:rsid w:val="00C53316"/>
    <w:rsid w:val="00C5337F"/>
    <w:rsid w:val="00C533CB"/>
    <w:rsid w:val="00C53400"/>
    <w:rsid w:val="00C53402"/>
    <w:rsid w:val="00C53586"/>
    <w:rsid w:val="00C5361A"/>
    <w:rsid w:val="00C53675"/>
    <w:rsid w:val="00C53676"/>
    <w:rsid w:val="00C536B5"/>
    <w:rsid w:val="00C53734"/>
    <w:rsid w:val="00C53827"/>
    <w:rsid w:val="00C539C5"/>
    <w:rsid w:val="00C53AB1"/>
    <w:rsid w:val="00C53B99"/>
    <w:rsid w:val="00C53BB1"/>
    <w:rsid w:val="00C53BF3"/>
    <w:rsid w:val="00C53C3E"/>
    <w:rsid w:val="00C53C62"/>
    <w:rsid w:val="00C53D6B"/>
    <w:rsid w:val="00C53D8C"/>
    <w:rsid w:val="00C53E38"/>
    <w:rsid w:val="00C53EA6"/>
    <w:rsid w:val="00C54131"/>
    <w:rsid w:val="00C5414A"/>
    <w:rsid w:val="00C54349"/>
    <w:rsid w:val="00C544A9"/>
    <w:rsid w:val="00C544FC"/>
    <w:rsid w:val="00C5469A"/>
    <w:rsid w:val="00C547A8"/>
    <w:rsid w:val="00C54892"/>
    <w:rsid w:val="00C549E9"/>
    <w:rsid w:val="00C54A2F"/>
    <w:rsid w:val="00C54B77"/>
    <w:rsid w:val="00C54BD5"/>
    <w:rsid w:val="00C54C55"/>
    <w:rsid w:val="00C54C72"/>
    <w:rsid w:val="00C54CF6"/>
    <w:rsid w:val="00C54DB9"/>
    <w:rsid w:val="00C54DE8"/>
    <w:rsid w:val="00C54F4E"/>
    <w:rsid w:val="00C54F92"/>
    <w:rsid w:val="00C55034"/>
    <w:rsid w:val="00C55049"/>
    <w:rsid w:val="00C5520E"/>
    <w:rsid w:val="00C552C6"/>
    <w:rsid w:val="00C55434"/>
    <w:rsid w:val="00C5543B"/>
    <w:rsid w:val="00C55440"/>
    <w:rsid w:val="00C55554"/>
    <w:rsid w:val="00C55586"/>
    <w:rsid w:val="00C55633"/>
    <w:rsid w:val="00C5573C"/>
    <w:rsid w:val="00C557FD"/>
    <w:rsid w:val="00C55801"/>
    <w:rsid w:val="00C5583B"/>
    <w:rsid w:val="00C55856"/>
    <w:rsid w:val="00C558BF"/>
    <w:rsid w:val="00C55904"/>
    <w:rsid w:val="00C55958"/>
    <w:rsid w:val="00C559AC"/>
    <w:rsid w:val="00C55B36"/>
    <w:rsid w:val="00C55C99"/>
    <w:rsid w:val="00C55D08"/>
    <w:rsid w:val="00C55D09"/>
    <w:rsid w:val="00C55DBE"/>
    <w:rsid w:val="00C55E25"/>
    <w:rsid w:val="00C55E44"/>
    <w:rsid w:val="00C55EB4"/>
    <w:rsid w:val="00C55EE8"/>
    <w:rsid w:val="00C55FF4"/>
    <w:rsid w:val="00C5603B"/>
    <w:rsid w:val="00C561FA"/>
    <w:rsid w:val="00C5621B"/>
    <w:rsid w:val="00C56246"/>
    <w:rsid w:val="00C56365"/>
    <w:rsid w:val="00C564FE"/>
    <w:rsid w:val="00C56501"/>
    <w:rsid w:val="00C5657F"/>
    <w:rsid w:val="00C565EF"/>
    <w:rsid w:val="00C5660B"/>
    <w:rsid w:val="00C566F8"/>
    <w:rsid w:val="00C5670F"/>
    <w:rsid w:val="00C56725"/>
    <w:rsid w:val="00C5674C"/>
    <w:rsid w:val="00C5678D"/>
    <w:rsid w:val="00C569CB"/>
    <w:rsid w:val="00C56A0B"/>
    <w:rsid w:val="00C56A7C"/>
    <w:rsid w:val="00C56B43"/>
    <w:rsid w:val="00C56B5A"/>
    <w:rsid w:val="00C56B7E"/>
    <w:rsid w:val="00C56C1C"/>
    <w:rsid w:val="00C56D47"/>
    <w:rsid w:val="00C56D7F"/>
    <w:rsid w:val="00C56EB0"/>
    <w:rsid w:val="00C56F7D"/>
    <w:rsid w:val="00C56FBA"/>
    <w:rsid w:val="00C56FCD"/>
    <w:rsid w:val="00C56FD1"/>
    <w:rsid w:val="00C57218"/>
    <w:rsid w:val="00C57242"/>
    <w:rsid w:val="00C572F1"/>
    <w:rsid w:val="00C572FF"/>
    <w:rsid w:val="00C5735E"/>
    <w:rsid w:val="00C5736D"/>
    <w:rsid w:val="00C57385"/>
    <w:rsid w:val="00C57521"/>
    <w:rsid w:val="00C57526"/>
    <w:rsid w:val="00C57584"/>
    <w:rsid w:val="00C57704"/>
    <w:rsid w:val="00C57721"/>
    <w:rsid w:val="00C5776B"/>
    <w:rsid w:val="00C577E7"/>
    <w:rsid w:val="00C578BC"/>
    <w:rsid w:val="00C57930"/>
    <w:rsid w:val="00C57A1F"/>
    <w:rsid w:val="00C57A7C"/>
    <w:rsid w:val="00C57A83"/>
    <w:rsid w:val="00C57AFD"/>
    <w:rsid w:val="00C57C04"/>
    <w:rsid w:val="00C57DA8"/>
    <w:rsid w:val="00C57DF1"/>
    <w:rsid w:val="00C57E0A"/>
    <w:rsid w:val="00C57E4F"/>
    <w:rsid w:val="00C57F53"/>
    <w:rsid w:val="00C57FF0"/>
    <w:rsid w:val="00C600DA"/>
    <w:rsid w:val="00C6022B"/>
    <w:rsid w:val="00C6026C"/>
    <w:rsid w:val="00C602D0"/>
    <w:rsid w:val="00C60427"/>
    <w:rsid w:val="00C6076F"/>
    <w:rsid w:val="00C6079E"/>
    <w:rsid w:val="00C607AF"/>
    <w:rsid w:val="00C60848"/>
    <w:rsid w:val="00C60849"/>
    <w:rsid w:val="00C60A41"/>
    <w:rsid w:val="00C60B2D"/>
    <w:rsid w:val="00C60B74"/>
    <w:rsid w:val="00C60B78"/>
    <w:rsid w:val="00C60BD6"/>
    <w:rsid w:val="00C60BE0"/>
    <w:rsid w:val="00C60D26"/>
    <w:rsid w:val="00C60DC1"/>
    <w:rsid w:val="00C60E4B"/>
    <w:rsid w:val="00C60E51"/>
    <w:rsid w:val="00C60E7B"/>
    <w:rsid w:val="00C60E81"/>
    <w:rsid w:val="00C60F19"/>
    <w:rsid w:val="00C60F96"/>
    <w:rsid w:val="00C60FDB"/>
    <w:rsid w:val="00C61031"/>
    <w:rsid w:val="00C61080"/>
    <w:rsid w:val="00C61097"/>
    <w:rsid w:val="00C610AD"/>
    <w:rsid w:val="00C61212"/>
    <w:rsid w:val="00C61255"/>
    <w:rsid w:val="00C612C3"/>
    <w:rsid w:val="00C61492"/>
    <w:rsid w:val="00C61561"/>
    <w:rsid w:val="00C6162A"/>
    <w:rsid w:val="00C61636"/>
    <w:rsid w:val="00C616B8"/>
    <w:rsid w:val="00C616E4"/>
    <w:rsid w:val="00C6170C"/>
    <w:rsid w:val="00C617F9"/>
    <w:rsid w:val="00C6185B"/>
    <w:rsid w:val="00C6194C"/>
    <w:rsid w:val="00C61B3B"/>
    <w:rsid w:val="00C61B55"/>
    <w:rsid w:val="00C61B9F"/>
    <w:rsid w:val="00C61CAE"/>
    <w:rsid w:val="00C61CE5"/>
    <w:rsid w:val="00C61D04"/>
    <w:rsid w:val="00C61D0C"/>
    <w:rsid w:val="00C61D15"/>
    <w:rsid w:val="00C61D20"/>
    <w:rsid w:val="00C61F40"/>
    <w:rsid w:val="00C620C9"/>
    <w:rsid w:val="00C62144"/>
    <w:rsid w:val="00C621B9"/>
    <w:rsid w:val="00C622D7"/>
    <w:rsid w:val="00C6233E"/>
    <w:rsid w:val="00C624E3"/>
    <w:rsid w:val="00C625CC"/>
    <w:rsid w:val="00C62767"/>
    <w:rsid w:val="00C629C9"/>
    <w:rsid w:val="00C62A18"/>
    <w:rsid w:val="00C62AAB"/>
    <w:rsid w:val="00C62B30"/>
    <w:rsid w:val="00C62BAC"/>
    <w:rsid w:val="00C62C2B"/>
    <w:rsid w:val="00C62C7E"/>
    <w:rsid w:val="00C62CE5"/>
    <w:rsid w:val="00C62D61"/>
    <w:rsid w:val="00C62DFC"/>
    <w:rsid w:val="00C62E07"/>
    <w:rsid w:val="00C62E43"/>
    <w:rsid w:val="00C62E8A"/>
    <w:rsid w:val="00C62FF3"/>
    <w:rsid w:val="00C6303B"/>
    <w:rsid w:val="00C63061"/>
    <w:rsid w:val="00C630BA"/>
    <w:rsid w:val="00C630FC"/>
    <w:rsid w:val="00C630FE"/>
    <w:rsid w:val="00C63375"/>
    <w:rsid w:val="00C6340E"/>
    <w:rsid w:val="00C63443"/>
    <w:rsid w:val="00C63461"/>
    <w:rsid w:val="00C6351C"/>
    <w:rsid w:val="00C6355D"/>
    <w:rsid w:val="00C63565"/>
    <w:rsid w:val="00C63570"/>
    <w:rsid w:val="00C635CE"/>
    <w:rsid w:val="00C6377F"/>
    <w:rsid w:val="00C63886"/>
    <w:rsid w:val="00C63939"/>
    <w:rsid w:val="00C63A2E"/>
    <w:rsid w:val="00C63A82"/>
    <w:rsid w:val="00C63B2A"/>
    <w:rsid w:val="00C63BA1"/>
    <w:rsid w:val="00C63C76"/>
    <w:rsid w:val="00C63C8A"/>
    <w:rsid w:val="00C63C8F"/>
    <w:rsid w:val="00C63D03"/>
    <w:rsid w:val="00C63D64"/>
    <w:rsid w:val="00C63DC6"/>
    <w:rsid w:val="00C63E80"/>
    <w:rsid w:val="00C63F55"/>
    <w:rsid w:val="00C640D2"/>
    <w:rsid w:val="00C640EA"/>
    <w:rsid w:val="00C64128"/>
    <w:rsid w:val="00C64197"/>
    <w:rsid w:val="00C64308"/>
    <w:rsid w:val="00C64461"/>
    <w:rsid w:val="00C6449A"/>
    <w:rsid w:val="00C644C0"/>
    <w:rsid w:val="00C644EB"/>
    <w:rsid w:val="00C64749"/>
    <w:rsid w:val="00C647FA"/>
    <w:rsid w:val="00C64867"/>
    <w:rsid w:val="00C64942"/>
    <w:rsid w:val="00C649FE"/>
    <w:rsid w:val="00C64A3A"/>
    <w:rsid w:val="00C64A3C"/>
    <w:rsid w:val="00C64A68"/>
    <w:rsid w:val="00C64BA0"/>
    <w:rsid w:val="00C64C57"/>
    <w:rsid w:val="00C64CAE"/>
    <w:rsid w:val="00C64D06"/>
    <w:rsid w:val="00C64FDB"/>
    <w:rsid w:val="00C6512A"/>
    <w:rsid w:val="00C651B7"/>
    <w:rsid w:val="00C651E1"/>
    <w:rsid w:val="00C65257"/>
    <w:rsid w:val="00C653D7"/>
    <w:rsid w:val="00C65415"/>
    <w:rsid w:val="00C65569"/>
    <w:rsid w:val="00C655B1"/>
    <w:rsid w:val="00C655FF"/>
    <w:rsid w:val="00C656C2"/>
    <w:rsid w:val="00C65702"/>
    <w:rsid w:val="00C65789"/>
    <w:rsid w:val="00C657B4"/>
    <w:rsid w:val="00C658CA"/>
    <w:rsid w:val="00C658EF"/>
    <w:rsid w:val="00C65973"/>
    <w:rsid w:val="00C659CA"/>
    <w:rsid w:val="00C65A9B"/>
    <w:rsid w:val="00C65B15"/>
    <w:rsid w:val="00C65D17"/>
    <w:rsid w:val="00C65D32"/>
    <w:rsid w:val="00C65D8E"/>
    <w:rsid w:val="00C65E25"/>
    <w:rsid w:val="00C66054"/>
    <w:rsid w:val="00C66082"/>
    <w:rsid w:val="00C66099"/>
    <w:rsid w:val="00C660AE"/>
    <w:rsid w:val="00C660F5"/>
    <w:rsid w:val="00C661FB"/>
    <w:rsid w:val="00C6628B"/>
    <w:rsid w:val="00C66404"/>
    <w:rsid w:val="00C6640B"/>
    <w:rsid w:val="00C66426"/>
    <w:rsid w:val="00C66553"/>
    <w:rsid w:val="00C66570"/>
    <w:rsid w:val="00C66626"/>
    <w:rsid w:val="00C666E8"/>
    <w:rsid w:val="00C66738"/>
    <w:rsid w:val="00C66782"/>
    <w:rsid w:val="00C66788"/>
    <w:rsid w:val="00C6679C"/>
    <w:rsid w:val="00C66900"/>
    <w:rsid w:val="00C66919"/>
    <w:rsid w:val="00C66975"/>
    <w:rsid w:val="00C6699D"/>
    <w:rsid w:val="00C669B7"/>
    <w:rsid w:val="00C669BD"/>
    <w:rsid w:val="00C66A7E"/>
    <w:rsid w:val="00C66AAC"/>
    <w:rsid w:val="00C66B11"/>
    <w:rsid w:val="00C66E16"/>
    <w:rsid w:val="00C66F9B"/>
    <w:rsid w:val="00C67155"/>
    <w:rsid w:val="00C671DA"/>
    <w:rsid w:val="00C6720B"/>
    <w:rsid w:val="00C67246"/>
    <w:rsid w:val="00C67334"/>
    <w:rsid w:val="00C6738D"/>
    <w:rsid w:val="00C673EF"/>
    <w:rsid w:val="00C67456"/>
    <w:rsid w:val="00C674C9"/>
    <w:rsid w:val="00C67550"/>
    <w:rsid w:val="00C6762C"/>
    <w:rsid w:val="00C67639"/>
    <w:rsid w:val="00C6766B"/>
    <w:rsid w:val="00C676DA"/>
    <w:rsid w:val="00C677A8"/>
    <w:rsid w:val="00C67916"/>
    <w:rsid w:val="00C6796F"/>
    <w:rsid w:val="00C679F5"/>
    <w:rsid w:val="00C67A51"/>
    <w:rsid w:val="00C67A6F"/>
    <w:rsid w:val="00C67ABB"/>
    <w:rsid w:val="00C67C7E"/>
    <w:rsid w:val="00C67D24"/>
    <w:rsid w:val="00C67D78"/>
    <w:rsid w:val="00C67DBE"/>
    <w:rsid w:val="00C67DF9"/>
    <w:rsid w:val="00C67F04"/>
    <w:rsid w:val="00C67F8B"/>
    <w:rsid w:val="00C67F9D"/>
    <w:rsid w:val="00C700D0"/>
    <w:rsid w:val="00C701D5"/>
    <w:rsid w:val="00C702D4"/>
    <w:rsid w:val="00C70345"/>
    <w:rsid w:val="00C70493"/>
    <w:rsid w:val="00C704CE"/>
    <w:rsid w:val="00C7057A"/>
    <w:rsid w:val="00C70683"/>
    <w:rsid w:val="00C70699"/>
    <w:rsid w:val="00C70891"/>
    <w:rsid w:val="00C7097E"/>
    <w:rsid w:val="00C70992"/>
    <w:rsid w:val="00C70999"/>
    <w:rsid w:val="00C70A7A"/>
    <w:rsid w:val="00C70A8B"/>
    <w:rsid w:val="00C70D0B"/>
    <w:rsid w:val="00C70D25"/>
    <w:rsid w:val="00C70D43"/>
    <w:rsid w:val="00C70E62"/>
    <w:rsid w:val="00C70F9A"/>
    <w:rsid w:val="00C70FFB"/>
    <w:rsid w:val="00C711D4"/>
    <w:rsid w:val="00C71270"/>
    <w:rsid w:val="00C71328"/>
    <w:rsid w:val="00C71502"/>
    <w:rsid w:val="00C71525"/>
    <w:rsid w:val="00C717BE"/>
    <w:rsid w:val="00C71802"/>
    <w:rsid w:val="00C71895"/>
    <w:rsid w:val="00C719A9"/>
    <w:rsid w:val="00C71A29"/>
    <w:rsid w:val="00C71B05"/>
    <w:rsid w:val="00C71B3C"/>
    <w:rsid w:val="00C71C3F"/>
    <w:rsid w:val="00C71C48"/>
    <w:rsid w:val="00C71C54"/>
    <w:rsid w:val="00C71E20"/>
    <w:rsid w:val="00C71E5B"/>
    <w:rsid w:val="00C71F5A"/>
    <w:rsid w:val="00C71FAA"/>
    <w:rsid w:val="00C71FF4"/>
    <w:rsid w:val="00C72059"/>
    <w:rsid w:val="00C72065"/>
    <w:rsid w:val="00C720C5"/>
    <w:rsid w:val="00C721B9"/>
    <w:rsid w:val="00C721BD"/>
    <w:rsid w:val="00C721C2"/>
    <w:rsid w:val="00C721F8"/>
    <w:rsid w:val="00C722E2"/>
    <w:rsid w:val="00C722FC"/>
    <w:rsid w:val="00C7231E"/>
    <w:rsid w:val="00C72332"/>
    <w:rsid w:val="00C723B7"/>
    <w:rsid w:val="00C72490"/>
    <w:rsid w:val="00C724C3"/>
    <w:rsid w:val="00C72537"/>
    <w:rsid w:val="00C72608"/>
    <w:rsid w:val="00C72624"/>
    <w:rsid w:val="00C7275E"/>
    <w:rsid w:val="00C728AE"/>
    <w:rsid w:val="00C72933"/>
    <w:rsid w:val="00C729DC"/>
    <w:rsid w:val="00C72BE0"/>
    <w:rsid w:val="00C72D98"/>
    <w:rsid w:val="00C73026"/>
    <w:rsid w:val="00C7303C"/>
    <w:rsid w:val="00C73059"/>
    <w:rsid w:val="00C730F9"/>
    <w:rsid w:val="00C73182"/>
    <w:rsid w:val="00C73200"/>
    <w:rsid w:val="00C7322B"/>
    <w:rsid w:val="00C732AE"/>
    <w:rsid w:val="00C733AC"/>
    <w:rsid w:val="00C73609"/>
    <w:rsid w:val="00C73660"/>
    <w:rsid w:val="00C736EE"/>
    <w:rsid w:val="00C73802"/>
    <w:rsid w:val="00C7394C"/>
    <w:rsid w:val="00C73950"/>
    <w:rsid w:val="00C73975"/>
    <w:rsid w:val="00C73A5B"/>
    <w:rsid w:val="00C73C4E"/>
    <w:rsid w:val="00C73C66"/>
    <w:rsid w:val="00C73D25"/>
    <w:rsid w:val="00C73D30"/>
    <w:rsid w:val="00C73D8C"/>
    <w:rsid w:val="00C74037"/>
    <w:rsid w:val="00C741FB"/>
    <w:rsid w:val="00C741FE"/>
    <w:rsid w:val="00C7423B"/>
    <w:rsid w:val="00C74242"/>
    <w:rsid w:val="00C74343"/>
    <w:rsid w:val="00C7439A"/>
    <w:rsid w:val="00C74428"/>
    <w:rsid w:val="00C7446F"/>
    <w:rsid w:val="00C7447E"/>
    <w:rsid w:val="00C744F5"/>
    <w:rsid w:val="00C74576"/>
    <w:rsid w:val="00C745FE"/>
    <w:rsid w:val="00C7470F"/>
    <w:rsid w:val="00C74819"/>
    <w:rsid w:val="00C7490A"/>
    <w:rsid w:val="00C7492D"/>
    <w:rsid w:val="00C74AB0"/>
    <w:rsid w:val="00C74AF4"/>
    <w:rsid w:val="00C74B9A"/>
    <w:rsid w:val="00C74C43"/>
    <w:rsid w:val="00C74C84"/>
    <w:rsid w:val="00C74CAC"/>
    <w:rsid w:val="00C74CDD"/>
    <w:rsid w:val="00C74D29"/>
    <w:rsid w:val="00C74E1E"/>
    <w:rsid w:val="00C74F5C"/>
    <w:rsid w:val="00C74F71"/>
    <w:rsid w:val="00C74FDB"/>
    <w:rsid w:val="00C7508B"/>
    <w:rsid w:val="00C751D7"/>
    <w:rsid w:val="00C75210"/>
    <w:rsid w:val="00C75281"/>
    <w:rsid w:val="00C752BC"/>
    <w:rsid w:val="00C752D4"/>
    <w:rsid w:val="00C7530C"/>
    <w:rsid w:val="00C7532D"/>
    <w:rsid w:val="00C753D3"/>
    <w:rsid w:val="00C75473"/>
    <w:rsid w:val="00C7548D"/>
    <w:rsid w:val="00C754B2"/>
    <w:rsid w:val="00C755E4"/>
    <w:rsid w:val="00C75710"/>
    <w:rsid w:val="00C75766"/>
    <w:rsid w:val="00C7579F"/>
    <w:rsid w:val="00C7588F"/>
    <w:rsid w:val="00C7593C"/>
    <w:rsid w:val="00C75B31"/>
    <w:rsid w:val="00C75B5B"/>
    <w:rsid w:val="00C75CEF"/>
    <w:rsid w:val="00C75D35"/>
    <w:rsid w:val="00C75E6E"/>
    <w:rsid w:val="00C75E9E"/>
    <w:rsid w:val="00C75EAA"/>
    <w:rsid w:val="00C76033"/>
    <w:rsid w:val="00C7603E"/>
    <w:rsid w:val="00C76087"/>
    <w:rsid w:val="00C760A0"/>
    <w:rsid w:val="00C760DF"/>
    <w:rsid w:val="00C7610F"/>
    <w:rsid w:val="00C7627D"/>
    <w:rsid w:val="00C762DB"/>
    <w:rsid w:val="00C7631B"/>
    <w:rsid w:val="00C76389"/>
    <w:rsid w:val="00C764E7"/>
    <w:rsid w:val="00C7654B"/>
    <w:rsid w:val="00C7655F"/>
    <w:rsid w:val="00C76560"/>
    <w:rsid w:val="00C76570"/>
    <w:rsid w:val="00C7659F"/>
    <w:rsid w:val="00C765E8"/>
    <w:rsid w:val="00C7660F"/>
    <w:rsid w:val="00C76728"/>
    <w:rsid w:val="00C7674A"/>
    <w:rsid w:val="00C76789"/>
    <w:rsid w:val="00C7678F"/>
    <w:rsid w:val="00C76790"/>
    <w:rsid w:val="00C767C4"/>
    <w:rsid w:val="00C7690C"/>
    <w:rsid w:val="00C769A0"/>
    <w:rsid w:val="00C76BD7"/>
    <w:rsid w:val="00C76BE9"/>
    <w:rsid w:val="00C76C16"/>
    <w:rsid w:val="00C76C73"/>
    <w:rsid w:val="00C76C75"/>
    <w:rsid w:val="00C76E0F"/>
    <w:rsid w:val="00C76EBD"/>
    <w:rsid w:val="00C76ED7"/>
    <w:rsid w:val="00C76FB5"/>
    <w:rsid w:val="00C76FC4"/>
    <w:rsid w:val="00C76FF1"/>
    <w:rsid w:val="00C7701C"/>
    <w:rsid w:val="00C77024"/>
    <w:rsid w:val="00C770C5"/>
    <w:rsid w:val="00C771B3"/>
    <w:rsid w:val="00C7722C"/>
    <w:rsid w:val="00C77409"/>
    <w:rsid w:val="00C77532"/>
    <w:rsid w:val="00C77541"/>
    <w:rsid w:val="00C7788B"/>
    <w:rsid w:val="00C77A3B"/>
    <w:rsid w:val="00C77A43"/>
    <w:rsid w:val="00C77A4B"/>
    <w:rsid w:val="00C77AF3"/>
    <w:rsid w:val="00C77B18"/>
    <w:rsid w:val="00C77B20"/>
    <w:rsid w:val="00C77BF5"/>
    <w:rsid w:val="00C77CF9"/>
    <w:rsid w:val="00C77D52"/>
    <w:rsid w:val="00C77E1E"/>
    <w:rsid w:val="00C77EEC"/>
    <w:rsid w:val="00C77FA1"/>
    <w:rsid w:val="00C800DF"/>
    <w:rsid w:val="00C80171"/>
    <w:rsid w:val="00C80206"/>
    <w:rsid w:val="00C80277"/>
    <w:rsid w:val="00C80288"/>
    <w:rsid w:val="00C8030A"/>
    <w:rsid w:val="00C80377"/>
    <w:rsid w:val="00C80508"/>
    <w:rsid w:val="00C80523"/>
    <w:rsid w:val="00C80596"/>
    <w:rsid w:val="00C80682"/>
    <w:rsid w:val="00C80734"/>
    <w:rsid w:val="00C8093C"/>
    <w:rsid w:val="00C80980"/>
    <w:rsid w:val="00C80A65"/>
    <w:rsid w:val="00C80AA6"/>
    <w:rsid w:val="00C80B13"/>
    <w:rsid w:val="00C80B7F"/>
    <w:rsid w:val="00C80CC4"/>
    <w:rsid w:val="00C80DAF"/>
    <w:rsid w:val="00C80F03"/>
    <w:rsid w:val="00C8102A"/>
    <w:rsid w:val="00C810E6"/>
    <w:rsid w:val="00C812A4"/>
    <w:rsid w:val="00C81682"/>
    <w:rsid w:val="00C816BF"/>
    <w:rsid w:val="00C8171E"/>
    <w:rsid w:val="00C8177D"/>
    <w:rsid w:val="00C817C3"/>
    <w:rsid w:val="00C8198E"/>
    <w:rsid w:val="00C81AB5"/>
    <w:rsid w:val="00C81AC8"/>
    <w:rsid w:val="00C81B4D"/>
    <w:rsid w:val="00C81B5B"/>
    <w:rsid w:val="00C81BB3"/>
    <w:rsid w:val="00C81D29"/>
    <w:rsid w:val="00C81E3C"/>
    <w:rsid w:val="00C81F97"/>
    <w:rsid w:val="00C81FA9"/>
    <w:rsid w:val="00C8204C"/>
    <w:rsid w:val="00C82117"/>
    <w:rsid w:val="00C82169"/>
    <w:rsid w:val="00C822D8"/>
    <w:rsid w:val="00C823F7"/>
    <w:rsid w:val="00C8241F"/>
    <w:rsid w:val="00C824DF"/>
    <w:rsid w:val="00C824F1"/>
    <w:rsid w:val="00C82510"/>
    <w:rsid w:val="00C827AA"/>
    <w:rsid w:val="00C827B9"/>
    <w:rsid w:val="00C827E7"/>
    <w:rsid w:val="00C828D4"/>
    <w:rsid w:val="00C8295C"/>
    <w:rsid w:val="00C82960"/>
    <w:rsid w:val="00C829BA"/>
    <w:rsid w:val="00C82A81"/>
    <w:rsid w:val="00C82C30"/>
    <w:rsid w:val="00C82D57"/>
    <w:rsid w:val="00C82DAD"/>
    <w:rsid w:val="00C82E01"/>
    <w:rsid w:val="00C82E60"/>
    <w:rsid w:val="00C82ED7"/>
    <w:rsid w:val="00C82F13"/>
    <w:rsid w:val="00C82F86"/>
    <w:rsid w:val="00C831E5"/>
    <w:rsid w:val="00C832B3"/>
    <w:rsid w:val="00C83318"/>
    <w:rsid w:val="00C833D8"/>
    <w:rsid w:val="00C83422"/>
    <w:rsid w:val="00C834C0"/>
    <w:rsid w:val="00C834C2"/>
    <w:rsid w:val="00C834D4"/>
    <w:rsid w:val="00C83544"/>
    <w:rsid w:val="00C835F9"/>
    <w:rsid w:val="00C83671"/>
    <w:rsid w:val="00C836A0"/>
    <w:rsid w:val="00C83831"/>
    <w:rsid w:val="00C8386E"/>
    <w:rsid w:val="00C838DB"/>
    <w:rsid w:val="00C839A5"/>
    <w:rsid w:val="00C839C8"/>
    <w:rsid w:val="00C839F3"/>
    <w:rsid w:val="00C83A69"/>
    <w:rsid w:val="00C83B96"/>
    <w:rsid w:val="00C83BD4"/>
    <w:rsid w:val="00C83C80"/>
    <w:rsid w:val="00C83E78"/>
    <w:rsid w:val="00C83EEC"/>
    <w:rsid w:val="00C83FB6"/>
    <w:rsid w:val="00C8408E"/>
    <w:rsid w:val="00C840C1"/>
    <w:rsid w:val="00C840D9"/>
    <w:rsid w:val="00C8414C"/>
    <w:rsid w:val="00C84284"/>
    <w:rsid w:val="00C8438E"/>
    <w:rsid w:val="00C843FA"/>
    <w:rsid w:val="00C844B2"/>
    <w:rsid w:val="00C846C2"/>
    <w:rsid w:val="00C846D3"/>
    <w:rsid w:val="00C848B6"/>
    <w:rsid w:val="00C848DB"/>
    <w:rsid w:val="00C849E7"/>
    <w:rsid w:val="00C84B26"/>
    <w:rsid w:val="00C84BEA"/>
    <w:rsid w:val="00C84C7B"/>
    <w:rsid w:val="00C84D0C"/>
    <w:rsid w:val="00C84FF5"/>
    <w:rsid w:val="00C85019"/>
    <w:rsid w:val="00C85055"/>
    <w:rsid w:val="00C85127"/>
    <w:rsid w:val="00C851CB"/>
    <w:rsid w:val="00C85211"/>
    <w:rsid w:val="00C85221"/>
    <w:rsid w:val="00C85245"/>
    <w:rsid w:val="00C852CD"/>
    <w:rsid w:val="00C852EB"/>
    <w:rsid w:val="00C853B9"/>
    <w:rsid w:val="00C853FD"/>
    <w:rsid w:val="00C85417"/>
    <w:rsid w:val="00C8541E"/>
    <w:rsid w:val="00C854AD"/>
    <w:rsid w:val="00C854FE"/>
    <w:rsid w:val="00C856FC"/>
    <w:rsid w:val="00C85744"/>
    <w:rsid w:val="00C8577B"/>
    <w:rsid w:val="00C8586B"/>
    <w:rsid w:val="00C85881"/>
    <w:rsid w:val="00C85888"/>
    <w:rsid w:val="00C858C8"/>
    <w:rsid w:val="00C859FD"/>
    <w:rsid w:val="00C85B21"/>
    <w:rsid w:val="00C85BAC"/>
    <w:rsid w:val="00C85C4F"/>
    <w:rsid w:val="00C85CA2"/>
    <w:rsid w:val="00C85CD7"/>
    <w:rsid w:val="00C85F61"/>
    <w:rsid w:val="00C85F74"/>
    <w:rsid w:val="00C860C4"/>
    <w:rsid w:val="00C860E5"/>
    <w:rsid w:val="00C861B5"/>
    <w:rsid w:val="00C86265"/>
    <w:rsid w:val="00C8632B"/>
    <w:rsid w:val="00C86342"/>
    <w:rsid w:val="00C8637A"/>
    <w:rsid w:val="00C8656E"/>
    <w:rsid w:val="00C8658E"/>
    <w:rsid w:val="00C865C3"/>
    <w:rsid w:val="00C86654"/>
    <w:rsid w:val="00C86662"/>
    <w:rsid w:val="00C8666D"/>
    <w:rsid w:val="00C86675"/>
    <w:rsid w:val="00C866A5"/>
    <w:rsid w:val="00C8671C"/>
    <w:rsid w:val="00C8672B"/>
    <w:rsid w:val="00C8674D"/>
    <w:rsid w:val="00C86781"/>
    <w:rsid w:val="00C867F4"/>
    <w:rsid w:val="00C868A7"/>
    <w:rsid w:val="00C8693F"/>
    <w:rsid w:val="00C86A43"/>
    <w:rsid w:val="00C86A64"/>
    <w:rsid w:val="00C86BD9"/>
    <w:rsid w:val="00C86C4A"/>
    <w:rsid w:val="00C86C53"/>
    <w:rsid w:val="00C86CF8"/>
    <w:rsid w:val="00C86D53"/>
    <w:rsid w:val="00C86D76"/>
    <w:rsid w:val="00C86DB4"/>
    <w:rsid w:val="00C86DF9"/>
    <w:rsid w:val="00C86E14"/>
    <w:rsid w:val="00C86EB7"/>
    <w:rsid w:val="00C86EC7"/>
    <w:rsid w:val="00C86FCF"/>
    <w:rsid w:val="00C8708A"/>
    <w:rsid w:val="00C87169"/>
    <w:rsid w:val="00C871A3"/>
    <w:rsid w:val="00C871C7"/>
    <w:rsid w:val="00C872A0"/>
    <w:rsid w:val="00C87337"/>
    <w:rsid w:val="00C875AA"/>
    <w:rsid w:val="00C875C3"/>
    <w:rsid w:val="00C87705"/>
    <w:rsid w:val="00C87768"/>
    <w:rsid w:val="00C878CE"/>
    <w:rsid w:val="00C87924"/>
    <w:rsid w:val="00C879B7"/>
    <w:rsid w:val="00C87AA3"/>
    <w:rsid w:val="00C87B47"/>
    <w:rsid w:val="00C87C7A"/>
    <w:rsid w:val="00C87D1B"/>
    <w:rsid w:val="00C87E5F"/>
    <w:rsid w:val="00C87F53"/>
    <w:rsid w:val="00C90111"/>
    <w:rsid w:val="00C9011F"/>
    <w:rsid w:val="00C901DF"/>
    <w:rsid w:val="00C90278"/>
    <w:rsid w:val="00C90339"/>
    <w:rsid w:val="00C903CF"/>
    <w:rsid w:val="00C9050E"/>
    <w:rsid w:val="00C9051E"/>
    <w:rsid w:val="00C9068E"/>
    <w:rsid w:val="00C906C6"/>
    <w:rsid w:val="00C9083C"/>
    <w:rsid w:val="00C90846"/>
    <w:rsid w:val="00C90872"/>
    <w:rsid w:val="00C908BB"/>
    <w:rsid w:val="00C908C9"/>
    <w:rsid w:val="00C908CB"/>
    <w:rsid w:val="00C90A35"/>
    <w:rsid w:val="00C90BC0"/>
    <w:rsid w:val="00C90BDA"/>
    <w:rsid w:val="00C90C7B"/>
    <w:rsid w:val="00C90CD6"/>
    <w:rsid w:val="00C90D01"/>
    <w:rsid w:val="00C90DED"/>
    <w:rsid w:val="00C90E3A"/>
    <w:rsid w:val="00C90ECB"/>
    <w:rsid w:val="00C90F79"/>
    <w:rsid w:val="00C90FD6"/>
    <w:rsid w:val="00C90FD8"/>
    <w:rsid w:val="00C91007"/>
    <w:rsid w:val="00C91103"/>
    <w:rsid w:val="00C91122"/>
    <w:rsid w:val="00C91147"/>
    <w:rsid w:val="00C91186"/>
    <w:rsid w:val="00C911CF"/>
    <w:rsid w:val="00C9122F"/>
    <w:rsid w:val="00C9123E"/>
    <w:rsid w:val="00C91464"/>
    <w:rsid w:val="00C914B6"/>
    <w:rsid w:val="00C914C8"/>
    <w:rsid w:val="00C91619"/>
    <w:rsid w:val="00C91651"/>
    <w:rsid w:val="00C9165D"/>
    <w:rsid w:val="00C91726"/>
    <w:rsid w:val="00C9178B"/>
    <w:rsid w:val="00C917B0"/>
    <w:rsid w:val="00C91830"/>
    <w:rsid w:val="00C918DA"/>
    <w:rsid w:val="00C918F7"/>
    <w:rsid w:val="00C91926"/>
    <w:rsid w:val="00C919CC"/>
    <w:rsid w:val="00C919D0"/>
    <w:rsid w:val="00C91B34"/>
    <w:rsid w:val="00C91B65"/>
    <w:rsid w:val="00C91CB9"/>
    <w:rsid w:val="00C91E3C"/>
    <w:rsid w:val="00C92093"/>
    <w:rsid w:val="00C92174"/>
    <w:rsid w:val="00C921B9"/>
    <w:rsid w:val="00C9233E"/>
    <w:rsid w:val="00C92386"/>
    <w:rsid w:val="00C923BF"/>
    <w:rsid w:val="00C924DD"/>
    <w:rsid w:val="00C92686"/>
    <w:rsid w:val="00C92698"/>
    <w:rsid w:val="00C9269F"/>
    <w:rsid w:val="00C928C9"/>
    <w:rsid w:val="00C928EF"/>
    <w:rsid w:val="00C92AEA"/>
    <w:rsid w:val="00C92B4D"/>
    <w:rsid w:val="00C92B6F"/>
    <w:rsid w:val="00C92B9E"/>
    <w:rsid w:val="00C92DA4"/>
    <w:rsid w:val="00C92E31"/>
    <w:rsid w:val="00C92E6C"/>
    <w:rsid w:val="00C93133"/>
    <w:rsid w:val="00C931E7"/>
    <w:rsid w:val="00C9321F"/>
    <w:rsid w:val="00C93303"/>
    <w:rsid w:val="00C93413"/>
    <w:rsid w:val="00C93444"/>
    <w:rsid w:val="00C93449"/>
    <w:rsid w:val="00C9352E"/>
    <w:rsid w:val="00C93678"/>
    <w:rsid w:val="00C93688"/>
    <w:rsid w:val="00C936DB"/>
    <w:rsid w:val="00C936E9"/>
    <w:rsid w:val="00C9371F"/>
    <w:rsid w:val="00C93726"/>
    <w:rsid w:val="00C93737"/>
    <w:rsid w:val="00C93765"/>
    <w:rsid w:val="00C937C0"/>
    <w:rsid w:val="00C937F2"/>
    <w:rsid w:val="00C937FF"/>
    <w:rsid w:val="00C938A6"/>
    <w:rsid w:val="00C939B3"/>
    <w:rsid w:val="00C93A07"/>
    <w:rsid w:val="00C93BFD"/>
    <w:rsid w:val="00C93CE3"/>
    <w:rsid w:val="00C93D1A"/>
    <w:rsid w:val="00C93D1D"/>
    <w:rsid w:val="00C93D22"/>
    <w:rsid w:val="00C93D2B"/>
    <w:rsid w:val="00C93D72"/>
    <w:rsid w:val="00C93E58"/>
    <w:rsid w:val="00C940D6"/>
    <w:rsid w:val="00C94101"/>
    <w:rsid w:val="00C9411E"/>
    <w:rsid w:val="00C941C8"/>
    <w:rsid w:val="00C942BB"/>
    <w:rsid w:val="00C94342"/>
    <w:rsid w:val="00C94347"/>
    <w:rsid w:val="00C943CF"/>
    <w:rsid w:val="00C945F0"/>
    <w:rsid w:val="00C94671"/>
    <w:rsid w:val="00C94784"/>
    <w:rsid w:val="00C9483C"/>
    <w:rsid w:val="00C9485A"/>
    <w:rsid w:val="00C94988"/>
    <w:rsid w:val="00C949AC"/>
    <w:rsid w:val="00C94A9F"/>
    <w:rsid w:val="00C94B0E"/>
    <w:rsid w:val="00C94B9B"/>
    <w:rsid w:val="00C94CA4"/>
    <w:rsid w:val="00C94CBF"/>
    <w:rsid w:val="00C94F0A"/>
    <w:rsid w:val="00C94FF0"/>
    <w:rsid w:val="00C9527C"/>
    <w:rsid w:val="00C952D2"/>
    <w:rsid w:val="00C953DB"/>
    <w:rsid w:val="00C95442"/>
    <w:rsid w:val="00C9545C"/>
    <w:rsid w:val="00C955B9"/>
    <w:rsid w:val="00C955BB"/>
    <w:rsid w:val="00C9570F"/>
    <w:rsid w:val="00C9596B"/>
    <w:rsid w:val="00C959D5"/>
    <w:rsid w:val="00C95A26"/>
    <w:rsid w:val="00C95A63"/>
    <w:rsid w:val="00C95BDF"/>
    <w:rsid w:val="00C95C0E"/>
    <w:rsid w:val="00C95C51"/>
    <w:rsid w:val="00C95CB2"/>
    <w:rsid w:val="00C95D55"/>
    <w:rsid w:val="00C960D4"/>
    <w:rsid w:val="00C96157"/>
    <w:rsid w:val="00C9616D"/>
    <w:rsid w:val="00C962F8"/>
    <w:rsid w:val="00C96304"/>
    <w:rsid w:val="00C96386"/>
    <w:rsid w:val="00C9638F"/>
    <w:rsid w:val="00C963FA"/>
    <w:rsid w:val="00C9641C"/>
    <w:rsid w:val="00C96565"/>
    <w:rsid w:val="00C96604"/>
    <w:rsid w:val="00C966B5"/>
    <w:rsid w:val="00C96728"/>
    <w:rsid w:val="00C9677F"/>
    <w:rsid w:val="00C967CE"/>
    <w:rsid w:val="00C9693C"/>
    <w:rsid w:val="00C96966"/>
    <w:rsid w:val="00C96997"/>
    <w:rsid w:val="00C96A03"/>
    <w:rsid w:val="00C96A49"/>
    <w:rsid w:val="00C96AB2"/>
    <w:rsid w:val="00C96CE7"/>
    <w:rsid w:val="00C96E9D"/>
    <w:rsid w:val="00C96ECD"/>
    <w:rsid w:val="00C97083"/>
    <w:rsid w:val="00C970B2"/>
    <w:rsid w:val="00C970BE"/>
    <w:rsid w:val="00C97335"/>
    <w:rsid w:val="00C97389"/>
    <w:rsid w:val="00C973C1"/>
    <w:rsid w:val="00C973C9"/>
    <w:rsid w:val="00C9742F"/>
    <w:rsid w:val="00C974BB"/>
    <w:rsid w:val="00C974D5"/>
    <w:rsid w:val="00C9751C"/>
    <w:rsid w:val="00C9764A"/>
    <w:rsid w:val="00C97749"/>
    <w:rsid w:val="00C9785E"/>
    <w:rsid w:val="00C978C0"/>
    <w:rsid w:val="00C979B1"/>
    <w:rsid w:val="00C97A2F"/>
    <w:rsid w:val="00C97A62"/>
    <w:rsid w:val="00C97B67"/>
    <w:rsid w:val="00C97C70"/>
    <w:rsid w:val="00C97D55"/>
    <w:rsid w:val="00C97E4C"/>
    <w:rsid w:val="00C97E5C"/>
    <w:rsid w:val="00CA0018"/>
    <w:rsid w:val="00CA0050"/>
    <w:rsid w:val="00CA014F"/>
    <w:rsid w:val="00CA0179"/>
    <w:rsid w:val="00CA01AE"/>
    <w:rsid w:val="00CA0268"/>
    <w:rsid w:val="00CA02B9"/>
    <w:rsid w:val="00CA0404"/>
    <w:rsid w:val="00CA04C3"/>
    <w:rsid w:val="00CA0527"/>
    <w:rsid w:val="00CA05EA"/>
    <w:rsid w:val="00CA06E8"/>
    <w:rsid w:val="00CA0734"/>
    <w:rsid w:val="00CA0759"/>
    <w:rsid w:val="00CA0798"/>
    <w:rsid w:val="00CA07AF"/>
    <w:rsid w:val="00CA07C8"/>
    <w:rsid w:val="00CA07D5"/>
    <w:rsid w:val="00CA07EB"/>
    <w:rsid w:val="00CA0885"/>
    <w:rsid w:val="00CA08B5"/>
    <w:rsid w:val="00CA096C"/>
    <w:rsid w:val="00CA0A21"/>
    <w:rsid w:val="00CA0A87"/>
    <w:rsid w:val="00CA0A9C"/>
    <w:rsid w:val="00CA0CF3"/>
    <w:rsid w:val="00CA0D7A"/>
    <w:rsid w:val="00CA0EE9"/>
    <w:rsid w:val="00CA0F13"/>
    <w:rsid w:val="00CA0FF4"/>
    <w:rsid w:val="00CA1032"/>
    <w:rsid w:val="00CA1079"/>
    <w:rsid w:val="00CA10D6"/>
    <w:rsid w:val="00CA1145"/>
    <w:rsid w:val="00CA1225"/>
    <w:rsid w:val="00CA1252"/>
    <w:rsid w:val="00CA1319"/>
    <w:rsid w:val="00CA1475"/>
    <w:rsid w:val="00CA1556"/>
    <w:rsid w:val="00CA15BB"/>
    <w:rsid w:val="00CA15F3"/>
    <w:rsid w:val="00CA1630"/>
    <w:rsid w:val="00CA16DE"/>
    <w:rsid w:val="00CA184F"/>
    <w:rsid w:val="00CA1957"/>
    <w:rsid w:val="00CA1AD7"/>
    <w:rsid w:val="00CA1B26"/>
    <w:rsid w:val="00CA1B27"/>
    <w:rsid w:val="00CA1BCA"/>
    <w:rsid w:val="00CA1BFA"/>
    <w:rsid w:val="00CA1C6A"/>
    <w:rsid w:val="00CA1CCE"/>
    <w:rsid w:val="00CA1D2A"/>
    <w:rsid w:val="00CA1E2D"/>
    <w:rsid w:val="00CA1ED8"/>
    <w:rsid w:val="00CA1FAE"/>
    <w:rsid w:val="00CA1FF6"/>
    <w:rsid w:val="00CA2396"/>
    <w:rsid w:val="00CA25C0"/>
    <w:rsid w:val="00CA2610"/>
    <w:rsid w:val="00CA268B"/>
    <w:rsid w:val="00CA281E"/>
    <w:rsid w:val="00CA28C4"/>
    <w:rsid w:val="00CA2A4B"/>
    <w:rsid w:val="00CA2A81"/>
    <w:rsid w:val="00CA2BA4"/>
    <w:rsid w:val="00CA2BC3"/>
    <w:rsid w:val="00CA2CA3"/>
    <w:rsid w:val="00CA2DC6"/>
    <w:rsid w:val="00CA2DC7"/>
    <w:rsid w:val="00CA2EC8"/>
    <w:rsid w:val="00CA2F93"/>
    <w:rsid w:val="00CA3036"/>
    <w:rsid w:val="00CA30FE"/>
    <w:rsid w:val="00CA31E1"/>
    <w:rsid w:val="00CA325C"/>
    <w:rsid w:val="00CA32D7"/>
    <w:rsid w:val="00CA3304"/>
    <w:rsid w:val="00CA33ED"/>
    <w:rsid w:val="00CA3479"/>
    <w:rsid w:val="00CA3566"/>
    <w:rsid w:val="00CA35C1"/>
    <w:rsid w:val="00CA3753"/>
    <w:rsid w:val="00CA3894"/>
    <w:rsid w:val="00CA395A"/>
    <w:rsid w:val="00CA3973"/>
    <w:rsid w:val="00CA39C4"/>
    <w:rsid w:val="00CA3A0A"/>
    <w:rsid w:val="00CA3A7A"/>
    <w:rsid w:val="00CA3AEF"/>
    <w:rsid w:val="00CA3AF7"/>
    <w:rsid w:val="00CA3AFA"/>
    <w:rsid w:val="00CA3B97"/>
    <w:rsid w:val="00CA3BE4"/>
    <w:rsid w:val="00CA3C26"/>
    <w:rsid w:val="00CA3C62"/>
    <w:rsid w:val="00CA3D80"/>
    <w:rsid w:val="00CA3DB5"/>
    <w:rsid w:val="00CA3DCE"/>
    <w:rsid w:val="00CA3E14"/>
    <w:rsid w:val="00CA3E5D"/>
    <w:rsid w:val="00CA3F7C"/>
    <w:rsid w:val="00CA4016"/>
    <w:rsid w:val="00CA4056"/>
    <w:rsid w:val="00CA406C"/>
    <w:rsid w:val="00CA419A"/>
    <w:rsid w:val="00CA41D8"/>
    <w:rsid w:val="00CA4276"/>
    <w:rsid w:val="00CA42CA"/>
    <w:rsid w:val="00CA42ED"/>
    <w:rsid w:val="00CA43F8"/>
    <w:rsid w:val="00CA4545"/>
    <w:rsid w:val="00CA480C"/>
    <w:rsid w:val="00CA48F5"/>
    <w:rsid w:val="00CA496B"/>
    <w:rsid w:val="00CA4BD0"/>
    <w:rsid w:val="00CA4DB5"/>
    <w:rsid w:val="00CA4E06"/>
    <w:rsid w:val="00CA4ECA"/>
    <w:rsid w:val="00CA4F15"/>
    <w:rsid w:val="00CA5034"/>
    <w:rsid w:val="00CA5148"/>
    <w:rsid w:val="00CA52E4"/>
    <w:rsid w:val="00CA5307"/>
    <w:rsid w:val="00CA53CE"/>
    <w:rsid w:val="00CA53F4"/>
    <w:rsid w:val="00CA5446"/>
    <w:rsid w:val="00CA5513"/>
    <w:rsid w:val="00CA5533"/>
    <w:rsid w:val="00CA5562"/>
    <w:rsid w:val="00CA562C"/>
    <w:rsid w:val="00CA5670"/>
    <w:rsid w:val="00CA56AB"/>
    <w:rsid w:val="00CA56F0"/>
    <w:rsid w:val="00CA5762"/>
    <w:rsid w:val="00CA57C1"/>
    <w:rsid w:val="00CA57CB"/>
    <w:rsid w:val="00CA57D6"/>
    <w:rsid w:val="00CA57EA"/>
    <w:rsid w:val="00CA5908"/>
    <w:rsid w:val="00CA5A64"/>
    <w:rsid w:val="00CA5AE7"/>
    <w:rsid w:val="00CA5B44"/>
    <w:rsid w:val="00CA5B68"/>
    <w:rsid w:val="00CA5C9E"/>
    <w:rsid w:val="00CA5D81"/>
    <w:rsid w:val="00CA5EE2"/>
    <w:rsid w:val="00CA5F7A"/>
    <w:rsid w:val="00CA5FDD"/>
    <w:rsid w:val="00CA6048"/>
    <w:rsid w:val="00CA6049"/>
    <w:rsid w:val="00CA60C8"/>
    <w:rsid w:val="00CA6165"/>
    <w:rsid w:val="00CA6208"/>
    <w:rsid w:val="00CA625F"/>
    <w:rsid w:val="00CA62B4"/>
    <w:rsid w:val="00CA62F9"/>
    <w:rsid w:val="00CA6321"/>
    <w:rsid w:val="00CA6399"/>
    <w:rsid w:val="00CA65D5"/>
    <w:rsid w:val="00CA65EC"/>
    <w:rsid w:val="00CA66B8"/>
    <w:rsid w:val="00CA66E1"/>
    <w:rsid w:val="00CA6723"/>
    <w:rsid w:val="00CA685F"/>
    <w:rsid w:val="00CA6877"/>
    <w:rsid w:val="00CA6933"/>
    <w:rsid w:val="00CA695B"/>
    <w:rsid w:val="00CA6988"/>
    <w:rsid w:val="00CA69CF"/>
    <w:rsid w:val="00CA69DF"/>
    <w:rsid w:val="00CA6A65"/>
    <w:rsid w:val="00CA6A8C"/>
    <w:rsid w:val="00CA6AAD"/>
    <w:rsid w:val="00CA6BB9"/>
    <w:rsid w:val="00CA6BC7"/>
    <w:rsid w:val="00CA6BF5"/>
    <w:rsid w:val="00CA6C15"/>
    <w:rsid w:val="00CA6C24"/>
    <w:rsid w:val="00CA6D3C"/>
    <w:rsid w:val="00CA6D60"/>
    <w:rsid w:val="00CA6E75"/>
    <w:rsid w:val="00CA6EF7"/>
    <w:rsid w:val="00CA6F33"/>
    <w:rsid w:val="00CA6F63"/>
    <w:rsid w:val="00CA6FA0"/>
    <w:rsid w:val="00CA70AF"/>
    <w:rsid w:val="00CA718B"/>
    <w:rsid w:val="00CA7282"/>
    <w:rsid w:val="00CA72F9"/>
    <w:rsid w:val="00CA7334"/>
    <w:rsid w:val="00CA7437"/>
    <w:rsid w:val="00CA747E"/>
    <w:rsid w:val="00CA74AB"/>
    <w:rsid w:val="00CA74C4"/>
    <w:rsid w:val="00CA74ED"/>
    <w:rsid w:val="00CA751F"/>
    <w:rsid w:val="00CA7532"/>
    <w:rsid w:val="00CA75C8"/>
    <w:rsid w:val="00CA763E"/>
    <w:rsid w:val="00CA768E"/>
    <w:rsid w:val="00CA76AF"/>
    <w:rsid w:val="00CA7718"/>
    <w:rsid w:val="00CA7754"/>
    <w:rsid w:val="00CA781C"/>
    <w:rsid w:val="00CA78C9"/>
    <w:rsid w:val="00CA79AB"/>
    <w:rsid w:val="00CA7A52"/>
    <w:rsid w:val="00CA7B75"/>
    <w:rsid w:val="00CA7C3D"/>
    <w:rsid w:val="00CA7C6B"/>
    <w:rsid w:val="00CA7D6C"/>
    <w:rsid w:val="00CA7D76"/>
    <w:rsid w:val="00CA7EB9"/>
    <w:rsid w:val="00CA7F78"/>
    <w:rsid w:val="00CA7F90"/>
    <w:rsid w:val="00CA7FAA"/>
    <w:rsid w:val="00CB0096"/>
    <w:rsid w:val="00CB00ED"/>
    <w:rsid w:val="00CB0145"/>
    <w:rsid w:val="00CB019D"/>
    <w:rsid w:val="00CB0499"/>
    <w:rsid w:val="00CB04FF"/>
    <w:rsid w:val="00CB050A"/>
    <w:rsid w:val="00CB0599"/>
    <w:rsid w:val="00CB05F5"/>
    <w:rsid w:val="00CB06E1"/>
    <w:rsid w:val="00CB0721"/>
    <w:rsid w:val="00CB0796"/>
    <w:rsid w:val="00CB07DE"/>
    <w:rsid w:val="00CB098B"/>
    <w:rsid w:val="00CB09FA"/>
    <w:rsid w:val="00CB0A81"/>
    <w:rsid w:val="00CB0B31"/>
    <w:rsid w:val="00CB0B49"/>
    <w:rsid w:val="00CB0C69"/>
    <w:rsid w:val="00CB0CA3"/>
    <w:rsid w:val="00CB0D14"/>
    <w:rsid w:val="00CB0D6F"/>
    <w:rsid w:val="00CB0DEE"/>
    <w:rsid w:val="00CB0FAB"/>
    <w:rsid w:val="00CB104F"/>
    <w:rsid w:val="00CB109A"/>
    <w:rsid w:val="00CB10CB"/>
    <w:rsid w:val="00CB124A"/>
    <w:rsid w:val="00CB12AA"/>
    <w:rsid w:val="00CB12D1"/>
    <w:rsid w:val="00CB1315"/>
    <w:rsid w:val="00CB1491"/>
    <w:rsid w:val="00CB14E1"/>
    <w:rsid w:val="00CB156F"/>
    <w:rsid w:val="00CB16BB"/>
    <w:rsid w:val="00CB1722"/>
    <w:rsid w:val="00CB1794"/>
    <w:rsid w:val="00CB1803"/>
    <w:rsid w:val="00CB1834"/>
    <w:rsid w:val="00CB1853"/>
    <w:rsid w:val="00CB189D"/>
    <w:rsid w:val="00CB18F5"/>
    <w:rsid w:val="00CB1979"/>
    <w:rsid w:val="00CB1A1A"/>
    <w:rsid w:val="00CB1AB2"/>
    <w:rsid w:val="00CB1B16"/>
    <w:rsid w:val="00CB1B1D"/>
    <w:rsid w:val="00CB1BB3"/>
    <w:rsid w:val="00CB1BF2"/>
    <w:rsid w:val="00CB1E90"/>
    <w:rsid w:val="00CB1ECF"/>
    <w:rsid w:val="00CB1EE0"/>
    <w:rsid w:val="00CB20E4"/>
    <w:rsid w:val="00CB213F"/>
    <w:rsid w:val="00CB2161"/>
    <w:rsid w:val="00CB224E"/>
    <w:rsid w:val="00CB24A5"/>
    <w:rsid w:val="00CB2720"/>
    <w:rsid w:val="00CB2728"/>
    <w:rsid w:val="00CB2730"/>
    <w:rsid w:val="00CB273A"/>
    <w:rsid w:val="00CB2753"/>
    <w:rsid w:val="00CB2757"/>
    <w:rsid w:val="00CB276B"/>
    <w:rsid w:val="00CB284B"/>
    <w:rsid w:val="00CB285B"/>
    <w:rsid w:val="00CB295A"/>
    <w:rsid w:val="00CB298E"/>
    <w:rsid w:val="00CB2A59"/>
    <w:rsid w:val="00CB2A9A"/>
    <w:rsid w:val="00CB2B14"/>
    <w:rsid w:val="00CB2C18"/>
    <w:rsid w:val="00CB2C6F"/>
    <w:rsid w:val="00CB2DC7"/>
    <w:rsid w:val="00CB2DD9"/>
    <w:rsid w:val="00CB2DED"/>
    <w:rsid w:val="00CB2E04"/>
    <w:rsid w:val="00CB2EF4"/>
    <w:rsid w:val="00CB2F7B"/>
    <w:rsid w:val="00CB3033"/>
    <w:rsid w:val="00CB313F"/>
    <w:rsid w:val="00CB3153"/>
    <w:rsid w:val="00CB31B8"/>
    <w:rsid w:val="00CB321B"/>
    <w:rsid w:val="00CB326E"/>
    <w:rsid w:val="00CB32AD"/>
    <w:rsid w:val="00CB347A"/>
    <w:rsid w:val="00CB3495"/>
    <w:rsid w:val="00CB36C0"/>
    <w:rsid w:val="00CB36E5"/>
    <w:rsid w:val="00CB3728"/>
    <w:rsid w:val="00CB37F3"/>
    <w:rsid w:val="00CB38F7"/>
    <w:rsid w:val="00CB38FD"/>
    <w:rsid w:val="00CB3994"/>
    <w:rsid w:val="00CB39C9"/>
    <w:rsid w:val="00CB3A3F"/>
    <w:rsid w:val="00CB3A90"/>
    <w:rsid w:val="00CB3AF9"/>
    <w:rsid w:val="00CB3BD7"/>
    <w:rsid w:val="00CB3C09"/>
    <w:rsid w:val="00CB3C27"/>
    <w:rsid w:val="00CB3C5F"/>
    <w:rsid w:val="00CB3C7A"/>
    <w:rsid w:val="00CB3C9C"/>
    <w:rsid w:val="00CB3CC1"/>
    <w:rsid w:val="00CB3CCD"/>
    <w:rsid w:val="00CB3D67"/>
    <w:rsid w:val="00CB3D77"/>
    <w:rsid w:val="00CB3E2C"/>
    <w:rsid w:val="00CB3EA9"/>
    <w:rsid w:val="00CB3F15"/>
    <w:rsid w:val="00CB3F51"/>
    <w:rsid w:val="00CB3FBB"/>
    <w:rsid w:val="00CB40F6"/>
    <w:rsid w:val="00CB4275"/>
    <w:rsid w:val="00CB427A"/>
    <w:rsid w:val="00CB42CC"/>
    <w:rsid w:val="00CB4327"/>
    <w:rsid w:val="00CB4381"/>
    <w:rsid w:val="00CB43CB"/>
    <w:rsid w:val="00CB442D"/>
    <w:rsid w:val="00CB4484"/>
    <w:rsid w:val="00CB44E3"/>
    <w:rsid w:val="00CB44FC"/>
    <w:rsid w:val="00CB4514"/>
    <w:rsid w:val="00CB4543"/>
    <w:rsid w:val="00CB45C1"/>
    <w:rsid w:val="00CB4668"/>
    <w:rsid w:val="00CB46A3"/>
    <w:rsid w:val="00CB4894"/>
    <w:rsid w:val="00CB4957"/>
    <w:rsid w:val="00CB4B12"/>
    <w:rsid w:val="00CB4C23"/>
    <w:rsid w:val="00CB4D1B"/>
    <w:rsid w:val="00CB4E60"/>
    <w:rsid w:val="00CB4F90"/>
    <w:rsid w:val="00CB5091"/>
    <w:rsid w:val="00CB512A"/>
    <w:rsid w:val="00CB5183"/>
    <w:rsid w:val="00CB5203"/>
    <w:rsid w:val="00CB5383"/>
    <w:rsid w:val="00CB5440"/>
    <w:rsid w:val="00CB5456"/>
    <w:rsid w:val="00CB5458"/>
    <w:rsid w:val="00CB5574"/>
    <w:rsid w:val="00CB57B1"/>
    <w:rsid w:val="00CB584D"/>
    <w:rsid w:val="00CB5900"/>
    <w:rsid w:val="00CB5956"/>
    <w:rsid w:val="00CB5A20"/>
    <w:rsid w:val="00CB5A59"/>
    <w:rsid w:val="00CB5AA9"/>
    <w:rsid w:val="00CB5CE9"/>
    <w:rsid w:val="00CB5D69"/>
    <w:rsid w:val="00CB5DA0"/>
    <w:rsid w:val="00CB5F51"/>
    <w:rsid w:val="00CB5F5D"/>
    <w:rsid w:val="00CB5F69"/>
    <w:rsid w:val="00CB5FD4"/>
    <w:rsid w:val="00CB6114"/>
    <w:rsid w:val="00CB616B"/>
    <w:rsid w:val="00CB61EB"/>
    <w:rsid w:val="00CB61EC"/>
    <w:rsid w:val="00CB6413"/>
    <w:rsid w:val="00CB64BC"/>
    <w:rsid w:val="00CB659B"/>
    <w:rsid w:val="00CB66B6"/>
    <w:rsid w:val="00CB67E7"/>
    <w:rsid w:val="00CB67FA"/>
    <w:rsid w:val="00CB6873"/>
    <w:rsid w:val="00CB68C3"/>
    <w:rsid w:val="00CB69C2"/>
    <w:rsid w:val="00CB69D5"/>
    <w:rsid w:val="00CB6A1E"/>
    <w:rsid w:val="00CB6A88"/>
    <w:rsid w:val="00CB6DEF"/>
    <w:rsid w:val="00CB6E09"/>
    <w:rsid w:val="00CB6E1B"/>
    <w:rsid w:val="00CB6E9F"/>
    <w:rsid w:val="00CB6F2F"/>
    <w:rsid w:val="00CB6F55"/>
    <w:rsid w:val="00CB700D"/>
    <w:rsid w:val="00CB7022"/>
    <w:rsid w:val="00CB7043"/>
    <w:rsid w:val="00CB70E2"/>
    <w:rsid w:val="00CB7126"/>
    <w:rsid w:val="00CB7136"/>
    <w:rsid w:val="00CB71A5"/>
    <w:rsid w:val="00CB72CD"/>
    <w:rsid w:val="00CB743D"/>
    <w:rsid w:val="00CB7466"/>
    <w:rsid w:val="00CB7610"/>
    <w:rsid w:val="00CB762D"/>
    <w:rsid w:val="00CB763A"/>
    <w:rsid w:val="00CB7669"/>
    <w:rsid w:val="00CB772A"/>
    <w:rsid w:val="00CB77AB"/>
    <w:rsid w:val="00CB7822"/>
    <w:rsid w:val="00CB78D1"/>
    <w:rsid w:val="00CB7904"/>
    <w:rsid w:val="00CB7922"/>
    <w:rsid w:val="00CB79F1"/>
    <w:rsid w:val="00CB7A29"/>
    <w:rsid w:val="00CB7A9D"/>
    <w:rsid w:val="00CB7ABE"/>
    <w:rsid w:val="00CB7B3D"/>
    <w:rsid w:val="00CB7BA3"/>
    <w:rsid w:val="00CB7BE4"/>
    <w:rsid w:val="00CB7CAC"/>
    <w:rsid w:val="00CC0014"/>
    <w:rsid w:val="00CC0083"/>
    <w:rsid w:val="00CC018A"/>
    <w:rsid w:val="00CC021C"/>
    <w:rsid w:val="00CC0239"/>
    <w:rsid w:val="00CC02E4"/>
    <w:rsid w:val="00CC034C"/>
    <w:rsid w:val="00CC03CE"/>
    <w:rsid w:val="00CC040E"/>
    <w:rsid w:val="00CC050C"/>
    <w:rsid w:val="00CC0608"/>
    <w:rsid w:val="00CC06C6"/>
    <w:rsid w:val="00CC0711"/>
    <w:rsid w:val="00CC078C"/>
    <w:rsid w:val="00CC07CB"/>
    <w:rsid w:val="00CC07E2"/>
    <w:rsid w:val="00CC07FB"/>
    <w:rsid w:val="00CC08A6"/>
    <w:rsid w:val="00CC08BC"/>
    <w:rsid w:val="00CC08F0"/>
    <w:rsid w:val="00CC0908"/>
    <w:rsid w:val="00CC0A30"/>
    <w:rsid w:val="00CC0A36"/>
    <w:rsid w:val="00CC0B6A"/>
    <w:rsid w:val="00CC0B7C"/>
    <w:rsid w:val="00CC0B9B"/>
    <w:rsid w:val="00CC0BB6"/>
    <w:rsid w:val="00CC0C3C"/>
    <w:rsid w:val="00CC0C4A"/>
    <w:rsid w:val="00CC0D8D"/>
    <w:rsid w:val="00CC0E5C"/>
    <w:rsid w:val="00CC0E83"/>
    <w:rsid w:val="00CC0F9B"/>
    <w:rsid w:val="00CC108B"/>
    <w:rsid w:val="00CC10AF"/>
    <w:rsid w:val="00CC114C"/>
    <w:rsid w:val="00CC1207"/>
    <w:rsid w:val="00CC130E"/>
    <w:rsid w:val="00CC1348"/>
    <w:rsid w:val="00CC13A1"/>
    <w:rsid w:val="00CC14EF"/>
    <w:rsid w:val="00CC1552"/>
    <w:rsid w:val="00CC1657"/>
    <w:rsid w:val="00CC1750"/>
    <w:rsid w:val="00CC1AAA"/>
    <w:rsid w:val="00CC1B00"/>
    <w:rsid w:val="00CC1B2B"/>
    <w:rsid w:val="00CC1B2F"/>
    <w:rsid w:val="00CC1BED"/>
    <w:rsid w:val="00CC1D9D"/>
    <w:rsid w:val="00CC1DA2"/>
    <w:rsid w:val="00CC1E36"/>
    <w:rsid w:val="00CC1FDC"/>
    <w:rsid w:val="00CC2073"/>
    <w:rsid w:val="00CC2244"/>
    <w:rsid w:val="00CC2277"/>
    <w:rsid w:val="00CC2396"/>
    <w:rsid w:val="00CC249B"/>
    <w:rsid w:val="00CC2607"/>
    <w:rsid w:val="00CC263C"/>
    <w:rsid w:val="00CC266C"/>
    <w:rsid w:val="00CC26A1"/>
    <w:rsid w:val="00CC271A"/>
    <w:rsid w:val="00CC28BD"/>
    <w:rsid w:val="00CC290A"/>
    <w:rsid w:val="00CC29C5"/>
    <w:rsid w:val="00CC2A70"/>
    <w:rsid w:val="00CC2ABD"/>
    <w:rsid w:val="00CC2B4F"/>
    <w:rsid w:val="00CC2B81"/>
    <w:rsid w:val="00CC2CAC"/>
    <w:rsid w:val="00CC2CD3"/>
    <w:rsid w:val="00CC3068"/>
    <w:rsid w:val="00CC315F"/>
    <w:rsid w:val="00CC317D"/>
    <w:rsid w:val="00CC32CC"/>
    <w:rsid w:val="00CC32DF"/>
    <w:rsid w:val="00CC3363"/>
    <w:rsid w:val="00CC33D1"/>
    <w:rsid w:val="00CC3477"/>
    <w:rsid w:val="00CC348D"/>
    <w:rsid w:val="00CC34CC"/>
    <w:rsid w:val="00CC3537"/>
    <w:rsid w:val="00CC364E"/>
    <w:rsid w:val="00CC3656"/>
    <w:rsid w:val="00CC37DD"/>
    <w:rsid w:val="00CC3814"/>
    <w:rsid w:val="00CC3922"/>
    <w:rsid w:val="00CC39FE"/>
    <w:rsid w:val="00CC3A4C"/>
    <w:rsid w:val="00CC3AB2"/>
    <w:rsid w:val="00CC3B63"/>
    <w:rsid w:val="00CC3D5B"/>
    <w:rsid w:val="00CC3DE7"/>
    <w:rsid w:val="00CC3E1A"/>
    <w:rsid w:val="00CC3E34"/>
    <w:rsid w:val="00CC3E50"/>
    <w:rsid w:val="00CC3F94"/>
    <w:rsid w:val="00CC3FB7"/>
    <w:rsid w:val="00CC401B"/>
    <w:rsid w:val="00CC4030"/>
    <w:rsid w:val="00CC41E8"/>
    <w:rsid w:val="00CC426B"/>
    <w:rsid w:val="00CC4374"/>
    <w:rsid w:val="00CC43B3"/>
    <w:rsid w:val="00CC4413"/>
    <w:rsid w:val="00CC443D"/>
    <w:rsid w:val="00CC44A7"/>
    <w:rsid w:val="00CC44CC"/>
    <w:rsid w:val="00CC4508"/>
    <w:rsid w:val="00CC4515"/>
    <w:rsid w:val="00CC4534"/>
    <w:rsid w:val="00CC465A"/>
    <w:rsid w:val="00CC4821"/>
    <w:rsid w:val="00CC482C"/>
    <w:rsid w:val="00CC487D"/>
    <w:rsid w:val="00CC48A4"/>
    <w:rsid w:val="00CC4947"/>
    <w:rsid w:val="00CC4AAA"/>
    <w:rsid w:val="00CC4AED"/>
    <w:rsid w:val="00CC4B15"/>
    <w:rsid w:val="00CC4B92"/>
    <w:rsid w:val="00CC4C41"/>
    <w:rsid w:val="00CC4D53"/>
    <w:rsid w:val="00CC4E63"/>
    <w:rsid w:val="00CC4EDF"/>
    <w:rsid w:val="00CC4FF8"/>
    <w:rsid w:val="00CC4FFC"/>
    <w:rsid w:val="00CC500F"/>
    <w:rsid w:val="00CC5133"/>
    <w:rsid w:val="00CC5164"/>
    <w:rsid w:val="00CC51A9"/>
    <w:rsid w:val="00CC51B3"/>
    <w:rsid w:val="00CC51F9"/>
    <w:rsid w:val="00CC5221"/>
    <w:rsid w:val="00CC522C"/>
    <w:rsid w:val="00CC5385"/>
    <w:rsid w:val="00CC538A"/>
    <w:rsid w:val="00CC5439"/>
    <w:rsid w:val="00CC5486"/>
    <w:rsid w:val="00CC54F3"/>
    <w:rsid w:val="00CC569D"/>
    <w:rsid w:val="00CC56E3"/>
    <w:rsid w:val="00CC5810"/>
    <w:rsid w:val="00CC5834"/>
    <w:rsid w:val="00CC58A8"/>
    <w:rsid w:val="00CC58F8"/>
    <w:rsid w:val="00CC597C"/>
    <w:rsid w:val="00CC59E4"/>
    <w:rsid w:val="00CC5A06"/>
    <w:rsid w:val="00CC5A5C"/>
    <w:rsid w:val="00CC5A85"/>
    <w:rsid w:val="00CC5AFA"/>
    <w:rsid w:val="00CC5B45"/>
    <w:rsid w:val="00CC5B67"/>
    <w:rsid w:val="00CC5BCB"/>
    <w:rsid w:val="00CC5CB2"/>
    <w:rsid w:val="00CC5D2B"/>
    <w:rsid w:val="00CC5D4A"/>
    <w:rsid w:val="00CC5DA4"/>
    <w:rsid w:val="00CC5DB2"/>
    <w:rsid w:val="00CC5DF8"/>
    <w:rsid w:val="00CC5E36"/>
    <w:rsid w:val="00CC5EB4"/>
    <w:rsid w:val="00CC5F06"/>
    <w:rsid w:val="00CC5F34"/>
    <w:rsid w:val="00CC5FFA"/>
    <w:rsid w:val="00CC6149"/>
    <w:rsid w:val="00CC6278"/>
    <w:rsid w:val="00CC6335"/>
    <w:rsid w:val="00CC634A"/>
    <w:rsid w:val="00CC6420"/>
    <w:rsid w:val="00CC6421"/>
    <w:rsid w:val="00CC648A"/>
    <w:rsid w:val="00CC64C7"/>
    <w:rsid w:val="00CC64E9"/>
    <w:rsid w:val="00CC64FD"/>
    <w:rsid w:val="00CC6782"/>
    <w:rsid w:val="00CC6821"/>
    <w:rsid w:val="00CC68FE"/>
    <w:rsid w:val="00CC69AB"/>
    <w:rsid w:val="00CC69C6"/>
    <w:rsid w:val="00CC6A8E"/>
    <w:rsid w:val="00CC6AC0"/>
    <w:rsid w:val="00CC6BB6"/>
    <w:rsid w:val="00CC6E85"/>
    <w:rsid w:val="00CC6EA0"/>
    <w:rsid w:val="00CC6F13"/>
    <w:rsid w:val="00CC6FE8"/>
    <w:rsid w:val="00CC702D"/>
    <w:rsid w:val="00CC7096"/>
    <w:rsid w:val="00CC70FF"/>
    <w:rsid w:val="00CC7136"/>
    <w:rsid w:val="00CC7139"/>
    <w:rsid w:val="00CC713D"/>
    <w:rsid w:val="00CC7241"/>
    <w:rsid w:val="00CC7271"/>
    <w:rsid w:val="00CC733C"/>
    <w:rsid w:val="00CC7422"/>
    <w:rsid w:val="00CC7455"/>
    <w:rsid w:val="00CC745E"/>
    <w:rsid w:val="00CC74C3"/>
    <w:rsid w:val="00CC76AD"/>
    <w:rsid w:val="00CC7786"/>
    <w:rsid w:val="00CC7878"/>
    <w:rsid w:val="00CC789B"/>
    <w:rsid w:val="00CC790B"/>
    <w:rsid w:val="00CC791F"/>
    <w:rsid w:val="00CC7A5A"/>
    <w:rsid w:val="00CC7A87"/>
    <w:rsid w:val="00CC7ABE"/>
    <w:rsid w:val="00CC7B63"/>
    <w:rsid w:val="00CC7D20"/>
    <w:rsid w:val="00CC7E1C"/>
    <w:rsid w:val="00CC7F81"/>
    <w:rsid w:val="00CD006B"/>
    <w:rsid w:val="00CD0317"/>
    <w:rsid w:val="00CD031F"/>
    <w:rsid w:val="00CD036E"/>
    <w:rsid w:val="00CD0377"/>
    <w:rsid w:val="00CD03E0"/>
    <w:rsid w:val="00CD0455"/>
    <w:rsid w:val="00CD04B8"/>
    <w:rsid w:val="00CD0574"/>
    <w:rsid w:val="00CD0736"/>
    <w:rsid w:val="00CD073E"/>
    <w:rsid w:val="00CD0747"/>
    <w:rsid w:val="00CD0896"/>
    <w:rsid w:val="00CD08AF"/>
    <w:rsid w:val="00CD08BD"/>
    <w:rsid w:val="00CD092C"/>
    <w:rsid w:val="00CD0949"/>
    <w:rsid w:val="00CD09FB"/>
    <w:rsid w:val="00CD0BC1"/>
    <w:rsid w:val="00CD0C43"/>
    <w:rsid w:val="00CD0CDA"/>
    <w:rsid w:val="00CD1094"/>
    <w:rsid w:val="00CD10EB"/>
    <w:rsid w:val="00CD10F6"/>
    <w:rsid w:val="00CD1107"/>
    <w:rsid w:val="00CD1184"/>
    <w:rsid w:val="00CD1198"/>
    <w:rsid w:val="00CD11B3"/>
    <w:rsid w:val="00CD122A"/>
    <w:rsid w:val="00CD1285"/>
    <w:rsid w:val="00CD1503"/>
    <w:rsid w:val="00CD1562"/>
    <w:rsid w:val="00CD1602"/>
    <w:rsid w:val="00CD16B0"/>
    <w:rsid w:val="00CD170D"/>
    <w:rsid w:val="00CD175D"/>
    <w:rsid w:val="00CD187A"/>
    <w:rsid w:val="00CD1A2B"/>
    <w:rsid w:val="00CD1AFF"/>
    <w:rsid w:val="00CD1B0B"/>
    <w:rsid w:val="00CD1B9B"/>
    <w:rsid w:val="00CD1C55"/>
    <w:rsid w:val="00CD1D09"/>
    <w:rsid w:val="00CD1D7F"/>
    <w:rsid w:val="00CD1F23"/>
    <w:rsid w:val="00CD1F60"/>
    <w:rsid w:val="00CD1FC2"/>
    <w:rsid w:val="00CD2184"/>
    <w:rsid w:val="00CD21D0"/>
    <w:rsid w:val="00CD2201"/>
    <w:rsid w:val="00CD2223"/>
    <w:rsid w:val="00CD222E"/>
    <w:rsid w:val="00CD23EE"/>
    <w:rsid w:val="00CD240A"/>
    <w:rsid w:val="00CD2572"/>
    <w:rsid w:val="00CD2583"/>
    <w:rsid w:val="00CD25C4"/>
    <w:rsid w:val="00CD25FD"/>
    <w:rsid w:val="00CD27BF"/>
    <w:rsid w:val="00CD27C3"/>
    <w:rsid w:val="00CD2882"/>
    <w:rsid w:val="00CD29C0"/>
    <w:rsid w:val="00CD2A59"/>
    <w:rsid w:val="00CD2A61"/>
    <w:rsid w:val="00CD2A69"/>
    <w:rsid w:val="00CD2A77"/>
    <w:rsid w:val="00CD2A96"/>
    <w:rsid w:val="00CD2B97"/>
    <w:rsid w:val="00CD2BE2"/>
    <w:rsid w:val="00CD2C22"/>
    <w:rsid w:val="00CD2C52"/>
    <w:rsid w:val="00CD2CB6"/>
    <w:rsid w:val="00CD2D33"/>
    <w:rsid w:val="00CD2D4A"/>
    <w:rsid w:val="00CD2D70"/>
    <w:rsid w:val="00CD2DAB"/>
    <w:rsid w:val="00CD2E2F"/>
    <w:rsid w:val="00CD2E85"/>
    <w:rsid w:val="00CD3005"/>
    <w:rsid w:val="00CD30E0"/>
    <w:rsid w:val="00CD30E8"/>
    <w:rsid w:val="00CD332A"/>
    <w:rsid w:val="00CD3417"/>
    <w:rsid w:val="00CD34EB"/>
    <w:rsid w:val="00CD36E0"/>
    <w:rsid w:val="00CD371A"/>
    <w:rsid w:val="00CD3750"/>
    <w:rsid w:val="00CD3873"/>
    <w:rsid w:val="00CD38AB"/>
    <w:rsid w:val="00CD3915"/>
    <w:rsid w:val="00CD394F"/>
    <w:rsid w:val="00CD3A73"/>
    <w:rsid w:val="00CD3A82"/>
    <w:rsid w:val="00CD3A95"/>
    <w:rsid w:val="00CD3AA4"/>
    <w:rsid w:val="00CD3AF5"/>
    <w:rsid w:val="00CD3B22"/>
    <w:rsid w:val="00CD3BD0"/>
    <w:rsid w:val="00CD3BF4"/>
    <w:rsid w:val="00CD3CFC"/>
    <w:rsid w:val="00CD4027"/>
    <w:rsid w:val="00CD4039"/>
    <w:rsid w:val="00CD40CE"/>
    <w:rsid w:val="00CD40DA"/>
    <w:rsid w:val="00CD4118"/>
    <w:rsid w:val="00CD4188"/>
    <w:rsid w:val="00CD429A"/>
    <w:rsid w:val="00CD42D5"/>
    <w:rsid w:val="00CD4328"/>
    <w:rsid w:val="00CD4422"/>
    <w:rsid w:val="00CD4475"/>
    <w:rsid w:val="00CD44D6"/>
    <w:rsid w:val="00CD44F3"/>
    <w:rsid w:val="00CD459E"/>
    <w:rsid w:val="00CD45FA"/>
    <w:rsid w:val="00CD4649"/>
    <w:rsid w:val="00CD4655"/>
    <w:rsid w:val="00CD4673"/>
    <w:rsid w:val="00CD46FA"/>
    <w:rsid w:val="00CD4723"/>
    <w:rsid w:val="00CD4725"/>
    <w:rsid w:val="00CD478A"/>
    <w:rsid w:val="00CD479A"/>
    <w:rsid w:val="00CD4842"/>
    <w:rsid w:val="00CD48BE"/>
    <w:rsid w:val="00CD48DD"/>
    <w:rsid w:val="00CD4948"/>
    <w:rsid w:val="00CD4A18"/>
    <w:rsid w:val="00CD4A47"/>
    <w:rsid w:val="00CD4B72"/>
    <w:rsid w:val="00CD4B9D"/>
    <w:rsid w:val="00CD4C41"/>
    <w:rsid w:val="00CD4E28"/>
    <w:rsid w:val="00CD4E8D"/>
    <w:rsid w:val="00CD4F00"/>
    <w:rsid w:val="00CD4FCE"/>
    <w:rsid w:val="00CD4FDD"/>
    <w:rsid w:val="00CD5097"/>
    <w:rsid w:val="00CD51CF"/>
    <w:rsid w:val="00CD5238"/>
    <w:rsid w:val="00CD528D"/>
    <w:rsid w:val="00CD52BD"/>
    <w:rsid w:val="00CD52D1"/>
    <w:rsid w:val="00CD52D8"/>
    <w:rsid w:val="00CD5312"/>
    <w:rsid w:val="00CD543E"/>
    <w:rsid w:val="00CD54B4"/>
    <w:rsid w:val="00CD552E"/>
    <w:rsid w:val="00CD55A7"/>
    <w:rsid w:val="00CD571A"/>
    <w:rsid w:val="00CD57EE"/>
    <w:rsid w:val="00CD586E"/>
    <w:rsid w:val="00CD5910"/>
    <w:rsid w:val="00CD5997"/>
    <w:rsid w:val="00CD59D3"/>
    <w:rsid w:val="00CD5A01"/>
    <w:rsid w:val="00CD5A65"/>
    <w:rsid w:val="00CD5A9B"/>
    <w:rsid w:val="00CD5AE1"/>
    <w:rsid w:val="00CD5B0F"/>
    <w:rsid w:val="00CD5B17"/>
    <w:rsid w:val="00CD5CB5"/>
    <w:rsid w:val="00CD5DF9"/>
    <w:rsid w:val="00CD5F12"/>
    <w:rsid w:val="00CD5F2D"/>
    <w:rsid w:val="00CD5F65"/>
    <w:rsid w:val="00CD61B4"/>
    <w:rsid w:val="00CD621C"/>
    <w:rsid w:val="00CD6253"/>
    <w:rsid w:val="00CD627C"/>
    <w:rsid w:val="00CD62BF"/>
    <w:rsid w:val="00CD62E3"/>
    <w:rsid w:val="00CD62E4"/>
    <w:rsid w:val="00CD6399"/>
    <w:rsid w:val="00CD63C7"/>
    <w:rsid w:val="00CD651A"/>
    <w:rsid w:val="00CD65FE"/>
    <w:rsid w:val="00CD6682"/>
    <w:rsid w:val="00CD6806"/>
    <w:rsid w:val="00CD6826"/>
    <w:rsid w:val="00CD6832"/>
    <w:rsid w:val="00CD68F0"/>
    <w:rsid w:val="00CD6918"/>
    <w:rsid w:val="00CD693B"/>
    <w:rsid w:val="00CD69E5"/>
    <w:rsid w:val="00CD6BC2"/>
    <w:rsid w:val="00CD6BC9"/>
    <w:rsid w:val="00CD6CB1"/>
    <w:rsid w:val="00CD6CE2"/>
    <w:rsid w:val="00CD6D50"/>
    <w:rsid w:val="00CD6E15"/>
    <w:rsid w:val="00CD6E43"/>
    <w:rsid w:val="00CD6E73"/>
    <w:rsid w:val="00CD6ECB"/>
    <w:rsid w:val="00CD6F5D"/>
    <w:rsid w:val="00CD6F7F"/>
    <w:rsid w:val="00CD6FAE"/>
    <w:rsid w:val="00CD6FDE"/>
    <w:rsid w:val="00CD70D9"/>
    <w:rsid w:val="00CD7168"/>
    <w:rsid w:val="00CD72DD"/>
    <w:rsid w:val="00CD734C"/>
    <w:rsid w:val="00CD7374"/>
    <w:rsid w:val="00CD7493"/>
    <w:rsid w:val="00CD759C"/>
    <w:rsid w:val="00CD75BA"/>
    <w:rsid w:val="00CD767D"/>
    <w:rsid w:val="00CD76A6"/>
    <w:rsid w:val="00CD76A7"/>
    <w:rsid w:val="00CD76C2"/>
    <w:rsid w:val="00CD7701"/>
    <w:rsid w:val="00CD7725"/>
    <w:rsid w:val="00CD7753"/>
    <w:rsid w:val="00CD789D"/>
    <w:rsid w:val="00CD78B6"/>
    <w:rsid w:val="00CD793A"/>
    <w:rsid w:val="00CD7A4C"/>
    <w:rsid w:val="00CD7AC2"/>
    <w:rsid w:val="00CD7D20"/>
    <w:rsid w:val="00CD7D52"/>
    <w:rsid w:val="00CD7D89"/>
    <w:rsid w:val="00CD7DBB"/>
    <w:rsid w:val="00CD7F2C"/>
    <w:rsid w:val="00CD7F7F"/>
    <w:rsid w:val="00CD7FD0"/>
    <w:rsid w:val="00CE006C"/>
    <w:rsid w:val="00CE0246"/>
    <w:rsid w:val="00CE0383"/>
    <w:rsid w:val="00CE0426"/>
    <w:rsid w:val="00CE0505"/>
    <w:rsid w:val="00CE06AF"/>
    <w:rsid w:val="00CE0715"/>
    <w:rsid w:val="00CE077E"/>
    <w:rsid w:val="00CE07CA"/>
    <w:rsid w:val="00CE0803"/>
    <w:rsid w:val="00CE0A0E"/>
    <w:rsid w:val="00CE0AF0"/>
    <w:rsid w:val="00CE0BF6"/>
    <w:rsid w:val="00CE0C20"/>
    <w:rsid w:val="00CE0CDD"/>
    <w:rsid w:val="00CE0CFE"/>
    <w:rsid w:val="00CE0DAF"/>
    <w:rsid w:val="00CE0DFE"/>
    <w:rsid w:val="00CE1048"/>
    <w:rsid w:val="00CE1094"/>
    <w:rsid w:val="00CE1257"/>
    <w:rsid w:val="00CE1283"/>
    <w:rsid w:val="00CE138D"/>
    <w:rsid w:val="00CE1392"/>
    <w:rsid w:val="00CE13C7"/>
    <w:rsid w:val="00CE1427"/>
    <w:rsid w:val="00CE1493"/>
    <w:rsid w:val="00CE14F4"/>
    <w:rsid w:val="00CE1565"/>
    <w:rsid w:val="00CE1584"/>
    <w:rsid w:val="00CE15F1"/>
    <w:rsid w:val="00CE1681"/>
    <w:rsid w:val="00CE16D0"/>
    <w:rsid w:val="00CE16F5"/>
    <w:rsid w:val="00CE1727"/>
    <w:rsid w:val="00CE1756"/>
    <w:rsid w:val="00CE185A"/>
    <w:rsid w:val="00CE18C7"/>
    <w:rsid w:val="00CE1A32"/>
    <w:rsid w:val="00CE1BB4"/>
    <w:rsid w:val="00CE1C68"/>
    <w:rsid w:val="00CE1CB7"/>
    <w:rsid w:val="00CE1DF7"/>
    <w:rsid w:val="00CE1E52"/>
    <w:rsid w:val="00CE20BA"/>
    <w:rsid w:val="00CE21A0"/>
    <w:rsid w:val="00CE22C5"/>
    <w:rsid w:val="00CE239A"/>
    <w:rsid w:val="00CE24D2"/>
    <w:rsid w:val="00CE2544"/>
    <w:rsid w:val="00CE25D6"/>
    <w:rsid w:val="00CE2697"/>
    <w:rsid w:val="00CE2AD7"/>
    <w:rsid w:val="00CE2B4F"/>
    <w:rsid w:val="00CE2B58"/>
    <w:rsid w:val="00CE2BB5"/>
    <w:rsid w:val="00CE2C34"/>
    <w:rsid w:val="00CE2D50"/>
    <w:rsid w:val="00CE2DBB"/>
    <w:rsid w:val="00CE2E37"/>
    <w:rsid w:val="00CE2F63"/>
    <w:rsid w:val="00CE300C"/>
    <w:rsid w:val="00CE303E"/>
    <w:rsid w:val="00CE31D1"/>
    <w:rsid w:val="00CE3265"/>
    <w:rsid w:val="00CE3274"/>
    <w:rsid w:val="00CE32F2"/>
    <w:rsid w:val="00CE33CA"/>
    <w:rsid w:val="00CE340F"/>
    <w:rsid w:val="00CE34E6"/>
    <w:rsid w:val="00CE352C"/>
    <w:rsid w:val="00CE3538"/>
    <w:rsid w:val="00CE3611"/>
    <w:rsid w:val="00CE3670"/>
    <w:rsid w:val="00CE372A"/>
    <w:rsid w:val="00CE37D4"/>
    <w:rsid w:val="00CE37D6"/>
    <w:rsid w:val="00CE380C"/>
    <w:rsid w:val="00CE3916"/>
    <w:rsid w:val="00CE3B2C"/>
    <w:rsid w:val="00CE3C45"/>
    <w:rsid w:val="00CE3CE4"/>
    <w:rsid w:val="00CE3D37"/>
    <w:rsid w:val="00CE3D4C"/>
    <w:rsid w:val="00CE3DF3"/>
    <w:rsid w:val="00CE3E4F"/>
    <w:rsid w:val="00CE3F2C"/>
    <w:rsid w:val="00CE3FD6"/>
    <w:rsid w:val="00CE4097"/>
    <w:rsid w:val="00CE4142"/>
    <w:rsid w:val="00CE419C"/>
    <w:rsid w:val="00CE427B"/>
    <w:rsid w:val="00CE4290"/>
    <w:rsid w:val="00CE42B8"/>
    <w:rsid w:val="00CE444F"/>
    <w:rsid w:val="00CE4504"/>
    <w:rsid w:val="00CE458E"/>
    <w:rsid w:val="00CE45AC"/>
    <w:rsid w:val="00CE46A4"/>
    <w:rsid w:val="00CE4719"/>
    <w:rsid w:val="00CE4725"/>
    <w:rsid w:val="00CE4807"/>
    <w:rsid w:val="00CE481A"/>
    <w:rsid w:val="00CE494B"/>
    <w:rsid w:val="00CE4A41"/>
    <w:rsid w:val="00CE4B40"/>
    <w:rsid w:val="00CE4B77"/>
    <w:rsid w:val="00CE4C7D"/>
    <w:rsid w:val="00CE4D08"/>
    <w:rsid w:val="00CE4D39"/>
    <w:rsid w:val="00CE4D54"/>
    <w:rsid w:val="00CE4E45"/>
    <w:rsid w:val="00CE4E68"/>
    <w:rsid w:val="00CE4E73"/>
    <w:rsid w:val="00CE4F6A"/>
    <w:rsid w:val="00CE4FA6"/>
    <w:rsid w:val="00CE4FAB"/>
    <w:rsid w:val="00CE4FB3"/>
    <w:rsid w:val="00CE4FF5"/>
    <w:rsid w:val="00CE5297"/>
    <w:rsid w:val="00CE52B8"/>
    <w:rsid w:val="00CE52EF"/>
    <w:rsid w:val="00CE5360"/>
    <w:rsid w:val="00CE54B9"/>
    <w:rsid w:val="00CE553A"/>
    <w:rsid w:val="00CE5540"/>
    <w:rsid w:val="00CE5566"/>
    <w:rsid w:val="00CE55B8"/>
    <w:rsid w:val="00CE55C6"/>
    <w:rsid w:val="00CE5608"/>
    <w:rsid w:val="00CE5619"/>
    <w:rsid w:val="00CE5651"/>
    <w:rsid w:val="00CE5896"/>
    <w:rsid w:val="00CE58E9"/>
    <w:rsid w:val="00CE5965"/>
    <w:rsid w:val="00CE5A0D"/>
    <w:rsid w:val="00CE5A32"/>
    <w:rsid w:val="00CE5B43"/>
    <w:rsid w:val="00CE5B80"/>
    <w:rsid w:val="00CE5CF3"/>
    <w:rsid w:val="00CE5D63"/>
    <w:rsid w:val="00CE5D7C"/>
    <w:rsid w:val="00CE5D96"/>
    <w:rsid w:val="00CE5DC0"/>
    <w:rsid w:val="00CE5DF2"/>
    <w:rsid w:val="00CE5E35"/>
    <w:rsid w:val="00CE5EE5"/>
    <w:rsid w:val="00CE6185"/>
    <w:rsid w:val="00CE61FC"/>
    <w:rsid w:val="00CE63EA"/>
    <w:rsid w:val="00CE6401"/>
    <w:rsid w:val="00CE6459"/>
    <w:rsid w:val="00CE64AD"/>
    <w:rsid w:val="00CE64BD"/>
    <w:rsid w:val="00CE6582"/>
    <w:rsid w:val="00CE660D"/>
    <w:rsid w:val="00CE6720"/>
    <w:rsid w:val="00CE6794"/>
    <w:rsid w:val="00CE67EE"/>
    <w:rsid w:val="00CE681C"/>
    <w:rsid w:val="00CE696B"/>
    <w:rsid w:val="00CE697E"/>
    <w:rsid w:val="00CE69FA"/>
    <w:rsid w:val="00CE6AB6"/>
    <w:rsid w:val="00CE6B78"/>
    <w:rsid w:val="00CE6B7E"/>
    <w:rsid w:val="00CE6C0E"/>
    <w:rsid w:val="00CE6EC0"/>
    <w:rsid w:val="00CE6F17"/>
    <w:rsid w:val="00CE71F1"/>
    <w:rsid w:val="00CE726E"/>
    <w:rsid w:val="00CE7335"/>
    <w:rsid w:val="00CE736C"/>
    <w:rsid w:val="00CE7418"/>
    <w:rsid w:val="00CE741A"/>
    <w:rsid w:val="00CE743C"/>
    <w:rsid w:val="00CE7453"/>
    <w:rsid w:val="00CE7584"/>
    <w:rsid w:val="00CE758D"/>
    <w:rsid w:val="00CE7603"/>
    <w:rsid w:val="00CE766A"/>
    <w:rsid w:val="00CE76FE"/>
    <w:rsid w:val="00CE7711"/>
    <w:rsid w:val="00CE7777"/>
    <w:rsid w:val="00CE77FD"/>
    <w:rsid w:val="00CE7944"/>
    <w:rsid w:val="00CE7ABD"/>
    <w:rsid w:val="00CE7B00"/>
    <w:rsid w:val="00CE7C28"/>
    <w:rsid w:val="00CE7C82"/>
    <w:rsid w:val="00CE7CB2"/>
    <w:rsid w:val="00CE7CE1"/>
    <w:rsid w:val="00CE7D73"/>
    <w:rsid w:val="00CF00EF"/>
    <w:rsid w:val="00CF02AF"/>
    <w:rsid w:val="00CF04A6"/>
    <w:rsid w:val="00CF04AA"/>
    <w:rsid w:val="00CF05F8"/>
    <w:rsid w:val="00CF064F"/>
    <w:rsid w:val="00CF07A2"/>
    <w:rsid w:val="00CF07A6"/>
    <w:rsid w:val="00CF081D"/>
    <w:rsid w:val="00CF08A9"/>
    <w:rsid w:val="00CF0951"/>
    <w:rsid w:val="00CF09E0"/>
    <w:rsid w:val="00CF0A08"/>
    <w:rsid w:val="00CF0AD1"/>
    <w:rsid w:val="00CF0AF5"/>
    <w:rsid w:val="00CF0BC1"/>
    <w:rsid w:val="00CF0C97"/>
    <w:rsid w:val="00CF0E62"/>
    <w:rsid w:val="00CF0E8E"/>
    <w:rsid w:val="00CF1047"/>
    <w:rsid w:val="00CF10AA"/>
    <w:rsid w:val="00CF10C3"/>
    <w:rsid w:val="00CF10CB"/>
    <w:rsid w:val="00CF117E"/>
    <w:rsid w:val="00CF12B4"/>
    <w:rsid w:val="00CF1362"/>
    <w:rsid w:val="00CF1409"/>
    <w:rsid w:val="00CF1508"/>
    <w:rsid w:val="00CF154E"/>
    <w:rsid w:val="00CF155B"/>
    <w:rsid w:val="00CF1586"/>
    <w:rsid w:val="00CF15A6"/>
    <w:rsid w:val="00CF15DB"/>
    <w:rsid w:val="00CF15ED"/>
    <w:rsid w:val="00CF16C8"/>
    <w:rsid w:val="00CF174C"/>
    <w:rsid w:val="00CF17DB"/>
    <w:rsid w:val="00CF1889"/>
    <w:rsid w:val="00CF18E3"/>
    <w:rsid w:val="00CF18F1"/>
    <w:rsid w:val="00CF1A0B"/>
    <w:rsid w:val="00CF1A6A"/>
    <w:rsid w:val="00CF1A86"/>
    <w:rsid w:val="00CF1B36"/>
    <w:rsid w:val="00CF1C9B"/>
    <w:rsid w:val="00CF1D02"/>
    <w:rsid w:val="00CF1D31"/>
    <w:rsid w:val="00CF1D44"/>
    <w:rsid w:val="00CF1DC7"/>
    <w:rsid w:val="00CF1DF5"/>
    <w:rsid w:val="00CF1E36"/>
    <w:rsid w:val="00CF1E53"/>
    <w:rsid w:val="00CF1E76"/>
    <w:rsid w:val="00CF1EA6"/>
    <w:rsid w:val="00CF1F3C"/>
    <w:rsid w:val="00CF1F4B"/>
    <w:rsid w:val="00CF1FD7"/>
    <w:rsid w:val="00CF202B"/>
    <w:rsid w:val="00CF21F3"/>
    <w:rsid w:val="00CF2268"/>
    <w:rsid w:val="00CF2445"/>
    <w:rsid w:val="00CF25E0"/>
    <w:rsid w:val="00CF25FA"/>
    <w:rsid w:val="00CF26EC"/>
    <w:rsid w:val="00CF270D"/>
    <w:rsid w:val="00CF272A"/>
    <w:rsid w:val="00CF282E"/>
    <w:rsid w:val="00CF2AF9"/>
    <w:rsid w:val="00CF2C42"/>
    <w:rsid w:val="00CF2C79"/>
    <w:rsid w:val="00CF2E88"/>
    <w:rsid w:val="00CF2E9C"/>
    <w:rsid w:val="00CF2E9E"/>
    <w:rsid w:val="00CF30B4"/>
    <w:rsid w:val="00CF30F2"/>
    <w:rsid w:val="00CF318C"/>
    <w:rsid w:val="00CF318E"/>
    <w:rsid w:val="00CF31B5"/>
    <w:rsid w:val="00CF3364"/>
    <w:rsid w:val="00CF3498"/>
    <w:rsid w:val="00CF3556"/>
    <w:rsid w:val="00CF3565"/>
    <w:rsid w:val="00CF37B6"/>
    <w:rsid w:val="00CF37F0"/>
    <w:rsid w:val="00CF380F"/>
    <w:rsid w:val="00CF3941"/>
    <w:rsid w:val="00CF3A38"/>
    <w:rsid w:val="00CF3A46"/>
    <w:rsid w:val="00CF3A72"/>
    <w:rsid w:val="00CF3B7C"/>
    <w:rsid w:val="00CF3B80"/>
    <w:rsid w:val="00CF3C54"/>
    <w:rsid w:val="00CF3E01"/>
    <w:rsid w:val="00CF3E21"/>
    <w:rsid w:val="00CF3E9A"/>
    <w:rsid w:val="00CF3F25"/>
    <w:rsid w:val="00CF3F54"/>
    <w:rsid w:val="00CF3F57"/>
    <w:rsid w:val="00CF424D"/>
    <w:rsid w:val="00CF43E2"/>
    <w:rsid w:val="00CF44E0"/>
    <w:rsid w:val="00CF4516"/>
    <w:rsid w:val="00CF4534"/>
    <w:rsid w:val="00CF4604"/>
    <w:rsid w:val="00CF46C4"/>
    <w:rsid w:val="00CF4766"/>
    <w:rsid w:val="00CF47A2"/>
    <w:rsid w:val="00CF497E"/>
    <w:rsid w:val="00CF49B5"/>
    <w:rsid w:val="00CF49D4"/>
    <w:rsid w:val="00CF4A6F"/>
    <w:rsid w:val="00CF4B4A"/>
    <w:rsid w:val="00CF4CFC"/>
    <w:rsid w:val="00CF4D03"/>
    <w:rsid w:val="00CF5076"/>
    <w:rsid w:val="00CF5133"/>
    <w:rsid w:val="00CF51E9"/>
    <w:rsid w:val="00CF5217"/>
    <w:rsid w:val="00CF5322"/>
    <w:rsid w:val="00CF533B"/>
    <w:rsid w:val="00CF53D9"/>
    <w:rsid w:val="00CF5462"/>
    <w:rsid w:val="00CF546A"/>
    <w:rsid w:val="00CF5491"/>
    <w:rsid w:val="00CF561C"/>
    <w:rsid w:val="00CF561F"/>
    <w:rsid w:val="00CF5634"/>
    <w:rsid w:val="00CF5677"/>
    <w:rsid w:val="00CF56AC"/>
    <w:rsid w:val="00CF5715"/>
    <w:rsid w:val="00CF593E"/>
    <w:rsid w:val="00CF59B4"/>
    <w:rsid w:val="00CF5A65"/>
    <w:rsid w:val="00CF5A91"/>
    <w:rsid w:val="00CF5B7B"/>
    <w:rsid w:val="00CF5BA8"/>
    <w:rsid w:val="00CF5CAB"/>
    <w:rsid w:val="00CF5DA6"/>
    <w:rsid w:val="00CF5E0F"/>
    <w:rsid w:val="00CF5F7D"/>
    <w:rsid w:val="00CF5FE5"/>
    <w:rsid w:val="00CF60E0"/>
    <w:rsid w:val="00CF610A"/>
    <w:rsid w:val="00CF6179"/>
    <w:rsid w:val="00CF625A"/>
    <w:rsid w:val="00CF631F"/>
    <w:rsid w:val="00CF6381"/>
    <w:rsid w:val="00CF640A"/>
    <w:rsid w:val="00CF6429"/>
    <w:rsid w:val="00CF6526"/>
    <w:rsid w:val="00CF6531"/>
    <w:rsid w:val="00CF65E3"/>
    <w:rsid w:val="00CF65ED"/>
    <w:rsid w:val="00CF6628"/>
    <w:rsid w:val="00CF6653"/>
    <w:rsid w:val="00CF6832"/>
    <w:rsid w:val="00CF68A3"/>
    <w:rsid w:val="00CF6A3B"/>
    <w:rsid w:val="00CF6B2A"/>
    <w:rsid w:val="00CF6B56"/>
    <w:rsid w:val="00CF6BA1"/>
    <w:rsid w:val="00CF6D1E"/>
    <w:rsid w:val="00CF6D2E"/>
    <w:rsid w:val="00CF6EA2"/>
    <w:rsid w:val="00CF6F32"/>
    <w:rsid w:val="00CF704C"/>
    <w:rsid w:val="00CF7079"/>
    <w:rsid w:val="00CF7165"/>
    <w:rsid w:val="00CF72BB"/>
    <w:rsid w:val="00CF72DA"/>
    <w:rsid w:val="00CF73F3"/>
    <w:rsid w:val="00CF7459"/>
    <w:rsid w:val="00CF7460"/>
    <w:rsid w:val="00CF7599"/>
    <w:rsid w:val="00CF75E6"/>
    <w:rsid w:val="00CF761B"/>
    <w:rsid w:val="00CF7665"/>
    <w:rsid w:val="00CF7714"/>
    <w:rsid w:val="00CF77AC"/>
    <w:rsid w:val="00CF78F8"/>
    <w:rsid w:val="00CF790F"/>
    <w:rsid w:val="00CF7972"/>
    <w:rsid w:val="00CF7A19"/>
    <w:rsid w:val="00CF7A7D"/>
    <w:rsid w:val="00CF7AA6"/>
    <w:rsid w:val="00CF7C12"/>
    <w:rsid w:val="00CF7C3F"/>
    <w:rsid w:val="00CF7CF6"/>
    <w:rsid w:val="00CF7D87"/>
    <w:rsid w:val="00CF7DF6"/>
    <w:rsid w:val="00CF7F3F"/>
    <w:rsid w:val="00CF7FB5"/>
    <w:rsid w:val="00D0004A"/>
    <w:rsid w:val="00D00091"/>
    <w:rsid w:val="00D00203"/>
    <w:rsid w:val="00D00226"/>
    <w:rsid w:val="00D00272"/>
    <w:rsid w:val="00D00292"/>
    <w:rsid w:val="00D00293"/>
    <w:rsid w:val="00D002BD"/>
    <w:rsid w:val="00D002CD"/>
    <w:rsid w:val="00D00306"/>
    <w:rsid w:val="00D0037E"/>
    <w:rsid w:val="00D003A7"/>
    <w:rsid w:val="00D003BE"/>
    <w:rsid w:val="00D00439"/>
    <w:rsid w:val="00D00441"/>
    <w:rsid w:val="00D0044C"/>
    <w:rsid w:val="00D00515"/>
    <w:rsid w:val="00D005A6"/>
    <w:rsid w:val="00D0079B"/>
    <w:rsid w:val="00D0087B"/>
    <w:rsid w:val="00D00A3A"/>
    <w:rsid w:val="00D00A8E"/>
    <w:rsid w:val="00D00B6C"/>
    <w:rsid w:val="00D00C8B"/>
    <w:rsid w:val="00D00CAE"/>
    <w:rsid w:val="00D00DEB"/>
    <w:rsid w:val="00D00E68"/>
    <w:rsid w:val="00D00ECA"/>
    <w:rsid w:val="00D00EF5"/>
    <w:rsid w:val="00D00F46"/>
    <w:rsid w:val="00D00F5C"/>
    <w:rsid w:val="00D0102F"/>
    <w:rsid w:val="00D0129D"/>
    <w:rsid w:val="00D013C6"/>
    <w:rsid w:val="00D01453"/>
    <w:rsid w:val="00D01529"/>
    <w:rsid w:val="00D0179D"/>
    <w:rsid w:val="00D01875"/>
    <w:rsid w:val="00D018AC"/>
    <w:rsid w:val="00D018B2"/>
    <w:rsid w:val="00D018B5"/>
    <w:rsid w:val="00D01959"/>
    <w:rsid w:val="00D019BF"/>
    <w:rsid w:val="00D01A68"/>
    <w:rsid w:val="00D01C0C"/>
    <w:rsid w:val="00D01C57"/>
    <w:rsid w:val="00D01CF5"/>
    <w:rsid w:val="00D01DC7"/>
    <w:rsid w:val="00D01E50"/>
    <w:rsid w:val="00D01E78"/>
    <w:rsid w:val="00D01EB2"/>
    <w:rsid w:val="00D01F03"/>
    <w:rsid w:val="00D01F10"/>
    <w:rsid w:val="00D01F59"/>
    <w:rsid w:val="00D01FD5"/>
    <w:rsid w:val="00D0204B"/>
    <w:rsid w:val="00D0211C"/>
    <w:rsid w:val="00D02182"/>
    <w:rsid w:val="00D0238D"/>
    <w:rsid w:val="00D02479"/>
    <w:rsid w:val="00D02528"/>
    <w:rsid w:val="00D02547"/>
    <w:rsid w:val="00D02593"/>
    <w:rsid w:val="00D02601"/>
    <w:rsid w:val="00D02631"/>
    <w:rsid w:val="00D02686"/>
    <w:rsid w:val="00D0281F"/>
    <w:rsid w:val="00D0282A"/>
    <w:rsid w:val="00D02867"/>
    <w:rsid w:val="00D0293B"/>
    <w:rsid w:val="00D02971"/>
    <w:rsid w:val="00D02A5D"/>
    <w:rsid w:val="00D02BF1"/>
    <w:rsid w:val="00D02CB2"/>
    <w:rsid w:val="00D02D3D"/>
    <w:rsid w:val="00D02D8E"/>
    <w:rsid w:val="00D02DD7"/>
    <w:rsid w:val="00D02DEE"/>
    <w:rsid w:val="00D02E6C"/>
    <w:rsid w:val="00D02E9F"/>
    <w:rsid w:val="00D02EEB"/>
    <w:rsid w:val="00D02EFE"/>
    <w:rsid w:val="00D03036"/>
    <w:rsid w:val="00D03064"/>
    <w:rsid w:val="00D03298"/>
    <w:rsid w:val="00D032A7"/>
    <w:rsid w:val="00D03470"/>
    <w:rsid w:val="00D0353A"/>
    <w:rsid w:val="00D035D8"/>
    <w:rsid w:val="00D035E6"/>
    <w:rsid w:val="00D037FA"/>
    <w:rsid w:val="00D0395F"/>
    <w:rsid w:val="00D03A23"/>
    <w:rsid w:val="00D03B0F"/>
    <w:rsid w:val="00D03BD5"/>
    <w:rsid w:val="00D03DFA"/>
    <w:rsid w:val="00D03ED8"/>
    <w:rsid w:val="00D03EDE"/>
    <w:rsid w:val="00D03EF5"/>
    <w:rsid w:val="00D03F00"/>
    <w:rsid w:val="00D03FA2"/>
    <w:rsid w:val="00D03FC5"/>
    <w:rsid w:val="00D04029"/>
    <w:rsid w:val="00D04084"/>
    <w:rsid w:val="00D04135"/>
    <w:rsid w:val="00D0423B"/>
    <w:rsid w:val="00D04292"/>
    <w:rsid w:val="00D043FE"/>
    <w:rsid w:val="00D044F5"/>
    <w:rsid w:val="00D0451E"/>
    <w:rsid w:val="00D04528"/>
    <w:rsid w:val="00D04586"/>
    <w:rsid w:val="00D0459C"/>
    <w:rsid w:val="00D0460C"/>
    <w:rsid w:val="00D04629"/>
    <w:rsid w:val="00D0462A"/>
    <w:rsid w:val="00D046A6"/>
    <w:rsid w:val="00D0477A"/>
    <w:rsid w:val="00D047EF"/>
    <w:rsid w:val="00D04851"/>
    <w:rsid w:val="00D04950"/>
    <w:rsid w:val="00D0498E"/>
    <w:rsid w:val="00D049D1"/>
    <w:rsid w:val="00D04A25"/>
    <w:rsid w:val="00D04AD4"/>
    <w:rsid w:val="00D04B33"/>
    <w:rsid w:val="00D04C8F"/>
    <w:rsid w:val="00D04D65"/>
    <w:rsid w:val="00D04DA0"/>
    <w:rsid w:val="00D04DB7"/>
    <w:rsid w:val="00D04DB9"/>
    <w:rsid w:val="00D04F0E"/>
    <w:rsid w:val="00D04FDE"/>
    <w:rsid w:val="00D04FED"/>
    <w:rsid w:val="00D05002"/>
    <w:rsid w:val="00D05270"/>
    <w:rsid w:val="00D053B0"/>
    <w:rsid w:val="00D0541D"/>
    <w:rsid w:val="00D054B1"/>
    <w:rsid w:val="00D0559E"/>
    <w:rsid w:val="00D055C5"/>
    <w:rsid w:val="00D05614"/>
    <w:rsid w:val="00D05685"/>
    <w:rsid w:val="00D05738"/>
    <w:rsid w:val="00D05861"/>
    <w:rsid w:val="00D0588D"/>
    <w:rsid w:val="00D0593C"/>
    <w:rsid w:val="00D05983"/>
    <w:rsid w:val="00D05A27"/>
    <w:rsid w:val="00D05A2B"/>
    <w:rsid w:val="00D05AEA"/>
    <w:rsid w:val="00D05B20"/>
    <w:rsid w:val="00D05DEF"/>
    <w:rsid w:val="00D06056"/>
    <w:rsid w:val="00D061F8"/>
    <w:rsid w:val="00D062F5"/>
    <w:rsid w:val="00D0637A"/>
    <w:rsid w:val="00D06419"/>
    <w:rsid w:val="00D0642E"/>
    <w:rsid w:val="00D06492"/>
    <w:rsid w:val="00D065A9"/>
    <w:rsid w:val="00D066A2"/>
    <w:rsid w:val="00D06788"/>
    <w:rsid w:val="00D0679A"/>
    <w:rsid w:val="00D067C7"/>
    <w:rsid w:val="00D067FC"/>
    <w:rsid w:val="00D06A56"/>
    <w:rsid w:val="00D06C10"/>
    <w:rsid w:val="00D06C77"/>
    <w:rsid w:val="00D06C9A"/>
    <w:rsid w:val="00D06CC8"/>
    <w:rsid w:val="00D06D01"/>
    <w:rsid w:val="00D06D8E"/>
    <w:rsid w:val="00D06DF7"/>
    <w:rsid w:val="00D06E0B"/>
    <w:rsid w:val="00D06F13"/>
    <w:rsid w:val="00D06F36"/>
    <w:rsid w:val="00D06F8E"/>
    <w:rsid w:val="00D06FB5"/>
    <w:rsid w:val="00D07036"/>
    <w:rsid w:val="00D0705F"/>
    <w:rsid w:val="00D070EB"/>
    <w:rsid w:val="00D07162"/>
    <w:rsid w:val="00D0716E"/>
    <w:rsid w:val="00D071C5"/>
    <w:rsid w:val="00D07227"/>
    <w:rsid w:val="00D07293"/>
    <w:rsid w:val="00D072F8"/>
    <w:rsid w:val="00D07320"/>
    <w:rsid w:val="00D07386"/>
    <w:rsid w:val="00D073FD"/>
    <w:rsid w:val="00D074B4"/>
    <w:rsid w:val="00D074C2"/>
    <w:rsid w:val="00D074D1"/>
    <w:rsid w:val="00D0754E"/>
    <w:rsid w:val="00D07550"/>
    <w:rsid w:val="00D07555"/>
    <w:rsid w:val="00D0758D"/>
    <w:rsid w:val="00D07647"/>
    <w:rsid w:val="00D07805"/>
    <w:rsid w:val="00D07856"/>
    <w:rsid w:val="00D07893"/>
    <w:rsid w:val="00D0789E"/>
    <w:rsid w:val="00D07900"/>
    <w:rsid w:val="00D07AF6"/>
    <w:rsid w:val="00D07BC4"/>
    <w:rsid w:val="00D07BE7"/>
    <w:rsid w:val="00D07CDE"/>
    <w:rsid w:val="00D07EB0"/>
    <w:rsid w:val="00D07F1C"/>
    <w:rsid w:val="00D07FD6"/>
    <w:rsid w:val="00D100AA"/>
    <w:rsid w:val="00D10103"/>
    <w:rsid w:val="00D102B1"/>
    <w:rsid w:val="00D102DA"/>
    <w:rsid w:val="00D102FC"/>
    <w:rsid w:val="00D1031B"/>
    <w:rsid w:val="00D103A8"/>
    <w:rsid w:val="00D103C0"/>
    <w:rsid w:val="00D104E6"/>
    <w:rsid w:val="00D106A1"/>
    <w:rsid w:val="00D106AF"/>
    <w:rsid w:val="00D10721"/>
    <w:rsid w:val="00D10723"/>
    <w:rsid w:val="00D10758"/>
    <w:rsid w:val="00D107AC"/>
    <w:rsid w:val="00D10893"/>
    <w:rsid w:val="00D108CA"/>
    <w:rsid w:val="00D10917"/>
    <w:rsid w:val="00D10A6C"/>
    <w:rsid w:val="00D10B19"/>
    <w:rsid w:val="00D10B7F"/>
    <w:rsid w:val="00D10CF9"/>
    <w:rsid w:val="00D10D8D"/>
    <w:rsid w:val="00D10DE4"/>
    <w:rsid w:val="00D10F23"/>
    <w:rsid w:val="00D10FC0"/>
    <w:rsid w:val="00D110E7"/>
    <w:rsid w:val="00D11268"/>
    <w:rsid w:val="00D1134D"/>
    <w:rsid w:val="00D115A1"/>
    <w:rsid w:val="00D115B1"/>
    <w:rsid w:val="00D1161D"/>
    <w:rsid w:val="00D11788"/>
    <w:rsid w:val="00D11794"/>
    <w:rsid w:val="00D117DF"/>
    <w:rsid w:val="00D11804"/>
    <w:rsid w:val="00D118B9"/>
    <w:rsid w:val="00D118F3"/>
    <w:rsid w:val="00D11953"/>
    <w:rsid w:val="00D119CD"/>
    <w:rsid w:val="00D11A0D"/>
    <w:rsid w:val="00D11A1B"/>
    <w:rsid w:val="00D11A43"/>
    <w:rsid w:val="00D11A9E"/>
    <w:rsid w:val="00D11AE7"/>
    <w:rsid w:val="00D11B1A"/>
    <w:rsid w:val="00D11B25"/>
    <w:rsid w:val="00D11C5C"/>
    <w:rsid w:val="00D11C79"/>
    <w:rsid w:val="00D11D5D"/>
    <w:rsid w:val="00D11E30"/>
    <w:rsid w:val="00D11E5F"/>
    <w:rsid w:val="00D11EB0"/>
    <w:rsid w:val="00D11F8F"/>
    <w:rsid w:val="00D1209F"/>
    <w:rsid w:val="00D120AD"/>
    <w:rsid w:val="00D120C0"/>
    <w:rsid w:val="00D1221A"/>
    <w:rsid w:val="00D122F2"/>
    <w:rsid w:val="00D1237F"/>
    <w:rsid w:val="00D12413"/>
    <w:rsid w:val="00D12530"/>
    <w:rsid w:val="00D12557"/>
    <w:rsid w:val="00D125A8"/>
    <w:rsid w:val="00D127DC"/>
    <w:rsid w:val="00D12A68"/>
    <w:rsid w:val="00D12BA8"/>
    <w:rsid w:val="00D12C3C"/>
    <w:rsid w:val="00D12C41"/>
    <w:rsid w:val="00D12C73"/>
    <w:rsid w:val="00D12D13"/>
    <w:rsid w:val="00D12D87"/>
    <w:rsid w:val="00D12E64"/>
    <w:rsid w:val="00D131D6"/>
    <w:rsid w:val="00D131F3"/>
    <w:rsid w:val="00D13203"/>
    <w:rsid w:val="00D1338C"/>
    <w:rsid w:val="00D13414"/>
    <w:rsid w:val="00D13467"/>
    <w:rsid w:val="00D13575"/>
    <w:rsid w:val="00D135E7"/>
    <w:rsid w:val="00D136AA"/>
    <w:rsid w:val="00D137C7"/>
    <w:rsid w:val="00D137DC"/>
    <w:rsid w:val="00D13AFA"/>
    <w:rsid w:val="00D13B23"/>
    <w:rsid w:val="00D13D61"/>
    <w:rsid w:val="00D13D63"/>
    <w:rsid w:val="00D13DCB"/>
    <w:rsid w:val="00D13E54"/>
    <w:rsid w:val="00D13E75"/>
    <w:rsid w:val="00D13EC9"/>
    <w:rsid w:val="00D13F3A"/>
    <w:rsid w:val="00D14031"/>
    <w:rsid w:val="00D14074"/>
    <w:rsid w:val="00D1407C"/>
    <w:rsid w:val="00D14092"/>
    <w:rsid w:val="00D140F0"/>
    <w:rsid w:val="00D141BC"/>
    <w:rsid w:val="00D142ED"/>
    <w:rsid w:val="00D14305"/>
    <w:rsid w:val="00D14344"/>
    <w:rsid w:val="00D1439D"/>
    <w:rsid w:val="00D143FD"/>
    <w:rsid w:val="00D1446D"/>
    <w:rsid w:val="00D14678"/>
    <w:rsid w:val="00D146F6"/>
    <w:rsid w:val="00D147A2"/>
    <w:rsid w:val="00D1484F"/>
    <w:rsid w:val="00D1486E"/>
    <w:rsid w:val="00D14875"/>
    <w:rsid w:val="00D14A81"/>
    <w:rsid w:val="00D14B41"/>
    <w:rsid w:val="00D14BB0"/>
    <w:rsid w:val="00D14C0A"/>
    <w:rsid w:val="00D14C24"/>
    <w:rsid w:val="00D14C3E"/>
    <w:rsid w:val="00D14E1D"/>
    <w:rsid w:val="00D14E2E"/>
    <w:rsid w:val="00D14F2C"/>
    <w:rsid w:val="00D14F41"/>
    <w:rsid w:val="00D14FC9"/>
    <w:rsid w:val="00D15006"/>
    <w:rsid w:val="00D1506B"/>
    <w:rsid w:val="00D1511E"/>
    <w:rsid w:val="00D15133"/>
    <w:rsid w:val="00D1520B"/>
    <w:rsid w:val="00D153D4"/>
    <w:rsid w:val="00D15450"/>
    <w:rsid w:val="00D1548B"/>
    <w:rsid w:val="00D1555E"/>
    <w:rsid w:val="00D1556C"/>
    <w:rsid w:val="00D1573C"/>
    <w:rsid w:val="00D15749"/>
    <w:rsid w:val="00D1575C"/>
    <w:rsid w:val="00D15779"/>
    <w:rsid w:val="00D157A6"/>
    <w:rsid w:val="00D15889"/>
    <w:rsid w:val="00D15900"/>
    <w:rsid w:val="00D15982"/>
    <w:rsid w:val="00D15B75"/>
    <w:rsid w:val="00D15B9B"/>
    <w:rsid w:val="00D15BE7"/>
    <w:rsid w:val="00D15BE9"/>
    <w:rsid w:val="00D15D3A"/>
    <w:rsid w:val="00D15EB6"/>
    <w:rsid w:val="00D15FF7"/>
    <w:rsid w:val="00D1607E"/>
    <w:rsid w:val="00D1615D"/>
    <w:rsid w:val="00D1637A"/>
    <w:rsid w:val="00D164BB"/>
    <w:rsid w:val="00D165E4"/>
    <w:rsid w:val="00D16626"/>
    <w:rsid w:val="00D16769"/>
    <w:rsid w:val="00D1683D"/>
    <w:rsid w:val="00D16853"/>
    <w:rsid w:val="00D1688D"/>
    <w:rsid w:val="00D16A02"/>
    <w:rsid w:val="00D16A77"/>
    <w:rsid w:val="00D16B62"/>
    <w:rsid w:val="00D16BCA"/>
    <w:rsid w:val="00D16EB3"/>
    <w:rsid w:val="00D16EC6"/>
    <w:rsid w:val="00D16F3C"/>
    <w:rsid w:val="00D16FA3"/>
    <w:rsid w:val="00D16FDD"/>
    <w:rsid w:val="00D17075"/>
    <w:rsid w:val="00D17178"/>
    <w:rsid w:val="00D17197"/>
    <w:rsid w:val="00D171C2"/>
    <w:rsid w:val="00D171F9"/>
    <w:rsid w:val="00D17251"/>
    <w:rsid w:val="00D172AC"/>
    <w:rsid w:val="00D17335"/>
    <w:rsid w:val="00D1733D"/>
    <w:rsid w:val="00D17362"/>
    <w:rsid w:val="00D1760B"/>
    <w:rsid w:val="00D17817"/>
    <w:rsid w:val="00D17839"/>
    <w:rsid w:val="00D17A25"/>
    <w:rsid w:val="00D17A7C"/>
    <w:rsid w:val="00D17AFD"/>
    <w:rsid w:val="00D17BF9"/>
    <w:rsid w:val="00D17C3E"/>
    <w:rsid w:val="00D17C70"/>
    <w:rsid w:val="00D17C73"/>
    <w:rsid w:val="00D17D1A"/>
    <w:rsid w:val="00D17D5A"/>
    <w:rsid w:val="00D17D85"/>
    <w:rsid w:val="00D17E30"/>
    <w:rsid w:val="00D17E49"/>
    <w:rsid w:val="00D17EBA"/>
    <w:rsid w:val="00D17EFF"/>
    <w:rsid w:val="00D17FB0"/>
    <w:rsid w:val="00D2005F"/>
    <w:rsid w:val="00D200A1"/>
    <w:rsid w:val="00D2013B"/>
    <w:rsid w:val="00D20185"/>
    <w:rsid w:val="00D20305"/>
    <w:rsid w:val="00D20335"/>
    <w:rsid w:val="00D20358"/>
    <w:rsid w:val="00D2039A"/>
    <w:rsid w:val="00D2048F"/>
    <w:rsid w:val="00D204B6"/>
    <w:rsid w:val="00D20583"/>
    <w:rsid w:val="00D205D2"/>
    <w:rsid w:val="00D20623"/>
    <w:rsid w:val="00D207A1"/>
    <w:rsid w:val="00D208A3"/>
    <w:rsid w:val="00D209C0"/>
    <w:rsid w:val="00D20AE5"/>
    <w:rsid w:val="00D20B64"/>
    <w:rsid w:val="00D20BD9"/>
    <w:rsid w:val="00D20BE3"/>
    <w:rsid w:val="00D20C06"/>
    <w:rsid w:val="00D20C26"/>
    <w:rsid w:val="00D20D18"/>
    <w:rsid w:val="00D20DCA"/>
    <w:rsid w:val="00D20DCE"/>
    <w:rsid w:val="00D20DE9"/>
    <w:rsid w:val="00D20E21"/>
    <w:rsid w:val="00D20EB6"/>
    <w:rsid w:val="00D20ECE"/>
    <w:rsid w:val="00D20F81"/>
    <w:rsid w:val="00D20FC9"/>
    <w:rsid w:val="00D2103B"/>
    <w:rsid w:val="00D21085"/>
    <w:rsid w:val="00D2114B"/>
    <w:rsid w:val="00D211A6"/>
    <w:rsid w:val="00D21260"/>
    <w:rsid w:val="00D212C5"/>
    <w:rsid w:val="00D2135D"/>
    <w:rsid w:val="00D213CF"/>
    <w:rsid w:val="00D213F1"/>
    <w:rsid w:val="00D21413"/>
    <w:rsid w:val="00D215E7"/>
    <w:rsid w:val="00D21642"/>
    <w:rsid w:val="00D217A5"/>
    <w:rsid w:val="00D217D9"/>
    <w:rsid w:val="00D218F2"/>
    <w:rsid w:val="00D21A0D"/>
    <w:rsid w:val="00D21AFE"/>
    <w:rsid w:val="00D21B6C"/>
    <w:rsid w:val="00D21BA0"/>
    <w:rsid w:val="00D21DDB"/>
    <w:rsid w:val="00D21EFC"/>
    <w:rsid w:val="00D21F27"/>
    <w:rsid w:val="00D21F66"/>
    <w:rsid w:val="00D22023"/>
    <w:rsid w:val="00D22030"/>
    <w:rsid w:val="00D222FA"/>
    <w:rsid w:val="00D2237F"/>
    <w:rsid w:val="00D22600"/>
    <w:rsid w:val="00D226EA"/>
    <w:rsid w:val="00D22760"/>
    <w:rsid w:val="00D22882"/>
    <w:rsid w:val="00D22892"/>
    <w:rsid w:val="00D2295F"/>
    <w:rsid w:val="00D229D9"/>
    <w:rsid w:val="00D22B87"/>
    <w:rsid w:val="00D22BE6"/>
    <w:rsid w:val="00D22CE0"/>
    <w:rsid w:val="00D22D84"/>
    <w:rsid w:val="00D22D9B"/>
    <w:rsid w:val="00D22DC6"/>
    <w:rsid w:val="00D22DF3"/>
    <w:rsid w:val="00D22E14"/>
    <w:rsid w:val="00D22E28"/>
    <w:rsid w:val="00D22E2C"/>
    <w:rsid w:val="00D22E9A"/>
    <w:rsid w:val="00D22F7A"/>
    <w:rsid w:val="00D2302E"/>
    <w:rsid w:val="00D23092"/>
    <w:rsid w:val="00D230B3"/>
    <w:rsid w:val="00D230EC"/>
    <w:rsid w:val="00D230F5"/>
    <w:rsid w:val="00D23264"/>
    <w:rsid w:val="00D232F0"/>
    <w:rsid w:val="00D232F4"/>
    <w:rsid w:val="00D2333E"/>
    <w:rsid w:val="00D233B9"/>
    <w:rsid w:val="00D233DC"/>
    <w:rsid w:val="00D23425"/>
    <w:rsid w:val="00D2345D"/>
    <w:rsid w:val="00D234C4"/>
    <w:rsid w:val="00D23552"/>
    <w:rsid w:val="00D23565"/>
    <w:rsid w:val="00D235B8"/>
    <w:rsid w:val="00D23713"/>
    <w:rsid w:val="00D23741"/>
    <w:rsid w:val="00D237B1"/>
    <w:rsid w:val="00D238AA"/>
    <w:rsid w:val="00D238C0"/>
    <w:rsid w:val="00D238F1"/>
    <w:rsid w:val="00D23A86"/>
    <w:rsid w:val="00D23CDD"/>
    <w:rsid w:val="00D23D1F"/>
    <w:rsid w:val="00D23D7E"/>
    <w:rsid w:val="00D23DF9"/>
    <w:rsid w:val="00D23F5C"/>
    <w:rsid w:val="00D23F72"/>
    <w:rsid w:val="00D240B6"/>
    <w:rsid w:val="00D24170"/>
    <w:rsid w:val="00D2417C"/>
    <w:rsid w:val="00D241E1"/>
    <w:rsid w:val="00D242C7"/>
    <w:rsid w:val="00D242CB"/>
    <w:rsid w:val="00D24313"/>
    <w:rsid w:val="00D243B4"/>
    <w:rsid w:val="00D243DB"/>
    <w:rsid w:val="00D243F7"/>
    <w:rsid w:val="00D24423"/>
    <w:rsid w:val="00D244CF"/>
    <w:rsid w:val="00D2459C"/>
    <w:rsid w:val="00D245B7"/>
    <w:rsid w:val="00D245DA"/>
    <w:rsid w:val="00D2466E"/>
    <w:rsid w:val="00D24689"/>
    <w:rsid w:val="00D246B0"/>
    <w:rsid w:val="00D246F5"/>
    <w:rsid w:val="00D247CA"/>
    <w:rsid w:val="00D249D0"/>
    <w:rsid w:val="00D24A1A"/>
    <w:rsid w:val="00D24C3F"/>
    <w:rsid w:val="00D24CA4"/>
    <w:rsid w:val="00D24E55"/>
    <w:rsid w:val="00D24F28"/>
    <w:rsid w:val="00D24FA7"/>
    <w:rsid w:val="00D2507B"/>
    <w:rsid w:val="00D2508C"/>
    <w:rsid w:val="00D25162"/>
    <w:rsid w:val="00D251B5"/>
    <w:rsid w:val="00D25271"/>
    <w:rsid w:val="00D252FD"/>
    <w:rsid w:val="00D25309"/>
    <w:rsid w:val="00D2530E"/>
    <w:rsid w:val="00D25387"/>
    <w:rsid w:val="00D253D3"/>
    <w:rsid w:val="00D25427"/>
    <w:rsid w:val="00D25477"/>
    <w:rsid w:val="00D254D2"/>
    <w:rsid w:val="00D2565C"/>
    <w:rsid w:val="00D256B2"/>
    <w:rsid w:val="00D256FC"/>
    <w:rsid w:val="00D25784"/>
    <w:rsid w:val="00D25832"/>
    <w:rsid w:val="00D258BE"/>
    <w:rsid w:val="00D258D3"/>
    <w:rsid w:val="00D258E3"/>
    <w:rsid w:val="00D25971"/>
    <w:rsid w:val="00D2598A"/>
    <w:rsid w:val="00D25C02"/>
    <w:rsid w:val="00D25C31"/>
    <w:rsid w:val="00D25CF9"/>
    <w:rsid w:val="00D25E41"/>
    <w:rsid w:val="00D25E67"/>
    <w:rsid w:val="00D261C4"/>
    <w:rsid w:val="00D261DC"/>
    <w:rsid w:val="00D26330"/>
    <w:rsid w:val="00D2634D"/>
    <w:rsid w:val="00D2635E"/>
    <w:rsid w:val="00D26388"/>
    <w:rsid w:val="00D263FF"/>
    <w:rsid w:val="00D26538"/>
    <w:rsid w:val="00D26595"/>
    <w:rsid w:val="00D26604"/>
    <w:rsid w:val="00D26745"/>
    <w:rsid w:val="00D2678F"/>
    <w:rsid w:val="00D267EF"/>
    <w:rsid w:val="00D268EA"/>
    <w:rsid w:val="00D26940"/>
    <w:rsid w:val="00D26A0F"/>
    <w:rsid w:val="00D26C2C"/>
    <w:rsid w:val="00D26C7C"/>
    <w:rsid w:val="00D26CD4"/>
    <w:rsid w:val="00D26D75"/>
    <w:rsid w:val="00D26E33"/>
    <w:rsid w:val="00D26E8F"/>
    <w:rsid w:val="00D26FFB"/>
    <w:rsid w:val="00D27039"/>
    <w:rsid w:val="00D2704D"/>
    <w:rsid w:val="00D27054"/>
    <w:rsid w:val="00D27057"/>
    <w:rsid w:val="00D27157"/>
    <w:rsid w:val="00D27256"/>
    <w:rsid w:val="00D2727B"/>
    <w:rsid w:val="00D272D0"/>
    <w:rsid w:val="00D272E2"/>
    <w:rsid w:val="00D2730D"/>
    <w:rsid w:val="00D273C0"/>
    <w:rsid w:val="00D2740C"/>
    <w:rsid w:val="00D27483"/>
    <w:rsid w:val="00D274A6"/>
    <w:rsid w:val="00D274C6"/>
    <w:rsid w:val="00D2762E"/>
    <w:rsid w:val="00D276A8"/>
    <w:rsid w:val="00D27750"/>
    <w:rsid w:val="00D2775B"/>
    <w:rsid w:val="00D27931"/>
    <w:rsid w:val="00D27972"/>
    <w:rsid w:val="00D27A21"/>
    <w:rsid w:val="00D27AE8"/>
    <w:rsid w:val="00D27BAB"/>
    <w:rsid w:val="00D27C0E"/>
    <w:rsid w:val="00D27C30"/>
    <w:rsid w:val="00D27C76"/>
    <w:rsid w:val="00D27C97"/>
    <w:rsid w:val="00D27D4E"/>
    <w:rsid w:val="00D27DFC"/>
    <w:rsid w:val="00D27E11"/>
    <w:rsid w:val="00D27F3C"/>
    <w:rsid w:val="00D30015"/>
    <w:rsid w:val="00D30069"/>
    <w:rsid w:val="00D30081"/>
    <w:rsid w:val="00D30235"/>
    <w:rsid w:val="00D303A2"/>
    <w:rsid w:val="00D303B8"/>
    <w:rsid w:val="00D304DB"/>
    <w:rsid w:val="00D30546"/>
    <w:rsid w:val="00D30616"/>
    <w:rsid w:val="00D307BC"/>
    <w:rsid w:val="00D307FA"/>
    <w:rsid w:val="00D3080F"/>
    <w:rsid w:val="00D30815"/>
    <w:rsid w:val="00D3083A"/>
    <w:rsid w:val="00D30879"/>
    <w:rsid w:val="00D308DF"/>
    <w:rsid w:val="00D3096D"/>
    <w:rsid w:val="00D30A08"/>
    <w:rsid w:val="00D30B5E"/>
    <w:rsid w:val="00D30C72"/>
    <w:rsid w:val="00D30C9C"/>
    <w:rsid w:val="00D30D8F"/>
    <w:rsid w:val="00D30DCF"/>
    <w:rsid w:val="00D30E28"/>
    <w:rsid w:val="00D30EBB"/>
    <w:rsid w:val="00D310D6"/>
    <w:rsid w:val="00D3115A"/>
    <w:rsid w:val="00D312B7"/>
    <w:rsid w:val="00D31338"/>
    <w:rsid w:val="00D313F3"/>
    <w:rsid w:val="00D314E2"/>
    <w:rsid w:val="00D3157A"/>
    <w:rsid w:val="00D3159F"/>
    <w:rsid w:val="00D31610"/>
    <w:rsid w:val="00D31627"/>
    <w:rsid w:val="00D31662"/>
    <w:rsid w:val="00D316A4"/>
    <w:rsid w:val="00D316A8"/>
    <w:rsid w:val="00D316F5"/>
    <w:rsid w:val="00D31904"/>
    <w:rsid w:val="00D31970"/>
    <w:rsid w:val="00D3199A"/>
    <w:rsid w:val="00D31AD3"/>
    <w:rsid w:val="00D31B0F"/>
    <w:rsid w:val="00D31B4E"/>
    <w:rsid w:val="00D31B7C"/>
    <w:rsid w:val="00D31C8C"/>
    <w:rsid w:val="00D31D72"/>
    <w:rsid w:val="00D31E62"/>
    <w:rsid w:val="00D31EFA"/>
    <w:rsid w:val="00D31FBB"/>
    <w:rsid w:val="00D32106"/>
    <w:rsid w:val="00D322B3"/>
    <w:rsid w:val="00D32342"/>
    <w:rsid w:val="00D32481"/>
    <w:rsid w:val="00D324BC"/>
    <w:rsid w:val="00D32563"/>
    <w:rsid w:val="00D325C1"/>
    <w:rsid w:val="00D32733"/>
    <w:rsid w:val="00D327AF"/>
    <w:rsid w:val="00D327B9"/>
    <w:rsid w:val="00D327D5"/>
    <w:rsid w:val="00D328CB"/>
    <w:rsid w:val="00D32957"/>
    <w:rsid w:val="00D32B48"/>
    <w:rsid w:val="00D32BBA"/>
    <w:rsid w:val="00D32CA9"/>
    <w:rsid w:val="00D32D2C"/>
    <w:rsid w:val="00D32D43"/>
    <w:rsid w:val="00D32D4D"/>
    <w:rsid w:val="00D32D85"/>
    <w:rsid w:val="00D32DE0"/>
    <w:rsid w:val="00D32FB5"/>
    <w:rsid w:val="00D32FDB"/>
    <w:rsid w:val="00D33030"/>
    <w:rsid w:val="00D3305C"/>
    <w:rsid w:val="00D33097"/>
    <w:rsid w:val="00D33104"/>
    <w:rsid w:val="00D3313B"/>
    <w:rsid w:val="00D331F6"/>
    <w:rsid w:val="00D33212"/>
    <w:rsid w:val="00D3323E"/>
    <w:rsid w:val="00D3342B"/>
    <w:rsid w:val="00D33465"/>
    <w:rsid w:val="00D334E0"/>
    <w:rsid w:val="00D33559"/>
    <w:rsid w:val="00D3369C"/>
    <w:rsid w:val="00D336AE"/>
    <w:rsid w:val="00D33755"/>
    <w:rsid w:val="00D337F3"/>
    <w:rsid w:val="00D33833"/>
    <w:rsid w:val="00D33918"/>
    <w:rsid w:val="00D33A6B"/>
    <w:rsid w:val="00D33ACD"/>
    <w:rsid w:val="00D33B83"/>
    <w:rsid w:val="00D33C76"/>
    <w:rsid w:val="00D33C7B"/>
    <w:rsid w:val="00D33CE3"/>
    <w:rsid w:val="00D33D30"/>
    <w:rsid w:val="00D33DA7"/>
    <w:rsid w:val="00D33DB3"/>
    <w:rsid w:val="00D33E39"/>
    <w:rsid w:val="00D33E3C"/>
    <w:rsid w:val="00D33EAD"/>
    <w:rsid w:val="00D33F53"/>
    <w:rsid w:val="00D33FA2"/>
    <w:rsid w:val="00D3406D"/>
    <w:rsid w:val="00D34081"/>
    <w:rsid w:val="00D340A7"/>
    <w:rsid w:val="00D340BB"/>
    <w:rsid w:val="00D34170"/>
    <w:rsid w:val="00D341FB"/>
    <w:rsid w:val="00D3423D"/>
    <w:rsid w:val="00D3431E"/>
    <w:rsid w:val="00D3436F"/>
    <w:rsid w:val="00D343AC"/>
    <w:rsid w:val="00D343ED"/>
    <w:rsid w:val="00D3457C"/>
    <w:rsid w:val="00D34857"/>
    <w:rsid w:val="00D348C0"/>
    <w:rsid w:val="00D348C2"/>
    <w:rsid w:val="00D3494A"/>
    <w:rsid w:val="00D349C1"/>
    <w:rsid w:val="00D34A2C"/>
    <w:rsid w:val="00D34BC9"/>
    <w:rsid w:val="00D34C2A"/>
    <w:rsid w:val="00D34CAE"/>
    <w:rsid w:val="00D34DDA"/>
    <w:rsid w:val="00D34DE6"/>
    <w:rsid w:val="00D34E85"/>
    <w:rsid w:val="00D34EAF"/>
    <w:rsid w:val="00D34EE5"/>
    <w:rsid w:val="00D34EEF"/>
    <w:rsid w:val="00D34F70"/>
    <w:rsid w:val="00D34FB9"/>
    <w:rsid w:val="00D3514D"/>
    <w:rsid w:val="00D3537C"/>
    <w:rsid w:val="00D35435"/>
    <w:rsid w:val="00D35458"/>
    <w:rsid w:val="00D35485"/>
    <w:rsid w:val="00D35493"/>
    <w:rsid w:val="00D354D0"/>
    <w:rsid w:val="00D3557A"/>
    <w:rsid w:val="00D3561D"/>
    <w:rsid w:val="00D3570E"/>
    <w:rsid w:val="00D35737"/>
    <w:rsid w:val="00D35768"/>
    <w:rsid w:val="00D3578F"/>
    <w:rsid w:val="00D35837"/>
    <w:rsid w:val="00D35852"/>
    <w:rsid w:val="00D358CB"/>
    <w:rsid w:val="00D358D5"/>
    <w:rsid w:val="00D358E8"/>
    <w:rsid w:val="00D359DE"/>
    <w:rsid w:val="00D35A32"/>
    <w:rsid w:val="00D35A38"/>
    <w:rsid w:val="00D35AEF"/>
    <w:rsid w:val="00D35DAA"/>
    <w:rsid w:val="00D35E4F"/>
    <w:rsid w:val="00D35EB8"/>
    <w:rsid w:val="00D3607B"/>
    <w:rsid w:val="00D360EA"/>
    <w:rsid w:val="00D36391"/>
    <w:rsid w:val="00D3646F"/>
    <w:rsid w:val="00D364D7"/>
    <w:rsid w:val="00D36527"/>
    <w:rsid w:val="00D36562"/>
    <w:rsid w:val="00D367F2"/>
    <w:rsid w:val="00D36837"/>
    <w:rsid w:val="00D368DD"/>
    <w:rsid w:val="00D36A1B"/>
    <w:rsid w:val="00D36AD2"/>
    <w:rsid w:val="00D36C27"/>
    <w:rsid w:val="00D36D02"/>
    <w:rsid w:val="00D36F0B"/>
    <w:rsid w:val="00D36FE0"/>
    <w:rsid w:val="00D370DB"/>
    <w:rsid w:val="00D370FD"/>
    <w:rsid w:val="00D37191"/>
    <w:rsid w:val="00D371BD"/>
    <w:rsid w:val="00D37247"/>
    <w:rsid w:val="00D373AE"/>
    <w:rsid w:val="00D3740D"/>
    <w:rsid w:val="00D3746B"/>
    <w:rsid w:val="00D374AA"/>
    <w:rsid w:val="00D374FA"/>
    <w:rsid w:val="00D3758A"/>
    <w:rsid w:val="00D375B0"/>
    <w:rsid w:val="00D375C1"/>
    <w:rsid w:val="00D37601"/>
    <w:rsid w:val="00D37651"/>
    <w:rsid w:val="00D376A0"/>
    <w:rsid w:val="00D376A8"/>
    <w:rsid w:val="00D3773D"/>
    <w:rsid w:val="00D3778F"/>
    <w:rsid w:val="00D377A0"/>
    <w:rsid w:val="00D37814"/>
    <w:rsid w:val="00D3783E"/>
    <w:rsid w:val="00D3796E"/>
    <w:rsid w:val="00D3798F"/>
    <w:rsid w:val="00D37B88"/>
    <w:rsid w:val="00D37BAE"/>
    <w:rsid w:val="00D37BDE"/>
    <w:rsid w:val="00D37CE9"/>
    <w:rsid w:val="00D37E3E"/>
    <w:rsid w:val="00D37E45"/>
    <w:rsid w:val="00D37EA0"/>
    <w:rsid w:val="00D37F30"/>
    <w:rsid w:val="00D37F85"/>
    <w:rsid w:val="00D40063"/>
    <w:rsid w:val="00D400E0"/>
    <w:rsid w:val="00D401CE"/>
    <w:rsid w:val="00D401EC"/>
    <w:rsid w:val="00D403C8"/>
    <w:rsid w:val="00D403E8"/>
    <w:rsid w:val="00D40444"/>
    <w:rsid w:val="00D404E0"/>
    <w:rsid w:val="00D40714"/>
    <w:rsid w:val="00D407B2"/>
    <w:rsid w:val="00D40917"/>
    <w:rsid w:val="00D40972"/>
    <w:rsid w:val="00D4097D"/>
    <w:rsid w:val="00D409D8"/>
    <w:rsid w:val="00D40B13"/>
    <w:rsid w:val="00D40BFD"/>
    <w:rsid w:val="00D40C29"/>
    <w:rsid w:val="00D40D0B"/>
    <w:rsid w:val="00D40D83"/>
    <w:rsid w:val="00D41022"/>
    <w:rsid w:val="00D41206"/>
    <w:rsid w:val="00D4133D"/>
    <w:rsid w:val="00D413B3"/>
    <w:rsid w:val="00D413BF"/>
    <w:rsid w:val="00D413FF"/>
    <w:rsid w:val="00D41478"/>
    <w:rsid w:val="00D4148E"/>
    <w:rsid w:val="00D41551"/>
    <w:rsid w:val="00D415A7"/>
    <w:rsid w:val="00D41816"/>
    <w:rsid w:val="00D41825"/>
    <w:rsid w:val="00D41868"/>
    <w:rsid w:val="00D41869"/>
    <w:rsid w:val="00D418EB"/>
    <w:rsid w:val="00D419BB"/>
    <w:rsid w:val="00D41A8A"/>
    <w:rsid w:val="00D41AB1"/>
    <w:rsid w:val="00D41AD4"/>
    <w:rsid w:val="00D41B78"/>
    <w:rsid w:val="00D41BE6"/>
    <w:rsid w:val="00D41CC7"/>
    <w:rsid w:val="00D41D06"/>
    <w:rsid w:val="00D41D5D"/>
    <w:rsid w:val="00D41DA6"/>
    <w:rsid w:val="00D41E84"/>
    <w:rsid w:val="00D41F06"/>
    <w:rsid w:val="00D42013"/>
    <w:rsid w:val="00D4214B"/>
    <w:rsid w:val="00D421CF"/>
    <w:rsid w:val="00D42222"/>
    <w:rsid w:val="00D42270"/>
    <w:rsid w:val="00D422D0"/>
    <w:rsid w:val="00D4236F"/>
    <w:rsid w:val="00D423A5"/>
    <w:rsid w:val="00D423AB"/>
    <w:rsid w:val="00D423D8"/>
    <w:rsid w:val="00D4240B"/>
    <w:rsid w:val="00D42427"/>
    <w:rsid w:val="00D42656"/>
    <w:rsid w:val="00D42705"/>
    <w:rsid w:val="00D4270A"/>
    <w:rsid w:val="00D42729"/>
    <w:rsid w:val="00D42737"/>
    <w:rsid w:val="00D4276D"/>
    <w:rsid w:val="00D427FF"/>
    <w:rsid w:val="00D429F0"/>
    <w:rsid w:val="00D42A63"/>
    <w:rsid w:val="00D42AF0"/>
    <w:rsid w:val="00D42B6B"/>
    <w:rsid w:val="00D42B89"/>
    <w:rsid w:val="00D42C63"/>
    <w:rsid w:val="00D42CF0"/>
    <w:rsid w:val="00D42D35"/>
    <w:rsid w:val="00D42D55"/>
    <w:rsid w:val="00D42E64"/>
    <w:rsid w:val="00D430C3"/>
    <w:rsid w:val="00D430F5"/>
    <w:rsid w:val="00D43195"/>
    <w:rsid w:val="00D43208"/>
    <w:rsid w:val="00D43235"/>
    <w:rsid w:val="00D43407"/>
    <w:rsid w:val="00D4342C"/>
    <w:rsid w:val="00D4349E"/>
    <w:rsid w:val="00D4356C"/>
    <w:rsid w:val="00D43677"/>
    <w:rsid w:val="00D436D7"/>
    <w:rsid w:val="00D436D8"/>
    <w:rsid w:val="00D4379C"/>
    <w:rsid w:val="00D437FF"/>
    <w:rsid w:val="00D43A47"/>
    <w:rsid w:val="00D43A4A"/>
    <w:rsid w:val="00D43AB8"/>
    <w:rsid w:val="00D43B56"/>
    <w:rsid w:val="00D43B9E"/>
    <w:rsid w:val="00D43BD0"/>
    <w:rsid w:val="00D43C87"/>
    <w:rsid w:val="00D43D5D"/>
    <w:rsid w:val="00D43D67"/>
    <w:rsid w:val="00D43DE8"/>
    <w:rsid w:val="00D43E35"/>
    <w:rsid w:val="00D43E77"/>
    <w:rsid w:val="00D43EDC"/>
    <w:rsid w:val="00D43EFE"/>
    <w:rsid w:val="00D43F6B"/>
    <w:rsid w:val="00D43F8A"/>
    <w:rsid w:val="00D43FC8"/>
    <w:rsid w:val="00D43FCF"/>
    <w:rsid w:val="00D4407C"/>
    <w:rsid w:val="00D44274"/>
    <w:rsid w:val="00D443D1"/>
    <w:rsid w:val="00D444D6"/>
    <w:rsid w:val="00D445C9"/>
    <w:rsid w:val="00D4461E"/>
    <w:rsid w:val="00D4463B"/>
    <w:rsid w:val="00D4465D"/>
    <w:rsid w:val="00D446D2"/>
    <w:rsid w:val="00D44713"/>
    <w:rsid w:val="00D4487D"/>
    <w:rsid w:val="00D448FD"/>
    <w:rsid w:val="00D44BE7"/>
    <w:rsid w:val="00D44CB0"/>
    <w:rsid w:val="00D44CC8"/>
    <w:rsid w:val="00D44E55"/>
    <w:rsid w:val="00D44F66"/>
    <w:rsid w:val="00D45189"/>
    <w:rsid w:val="00D452A3"/>
    <w:rsid w:val="00D45596"/>
    <w:rsid w:val="00D45620"/>
    <w:rsid w:val="00D45642"/>
    <w:rsid w:val="00D45667"/>
    <w:rsid w:val="00D456F9"/>
    <w:rsid w:val="00D45713"/>
    <w:rsid w:val="00D45721"/>
    <w:rsid w:val="00D45741"/>
    <w:rsid w:val="00D4581F"/>
    <w:rsid w:val="00D4583C"/>
    <w:rsid w:val="00D4584A"/>
    <w:rsid w:val="00D4589B"/>
    <w:rsid w:val="00D459B7"/>
    <w:rsid w:val="00D45A8D"/>
    <w:rsid w:val="00D45B4C"/>
    <w:rsid w:val="00D45B74"/>
    <w:rsid w:val="00D45B7A"/>
    <w:rsid w:val="00D45BBC"/>
    <w:rsid w:val="00D45BC5"/>
    <w:rsid w:val="00D45D7D"/>
    <w:rsid w:val="00D45DC8"/>
    <w:rsid w:val="00D45EA3"/>
    <w:rsid w:val="00D45EC5"/>
    <w:rsid w:val="00D45F07"/>
    <w:rsid w:val="00D45FD5"/>
    <w:rsid w:val="00D460ED"/>
    <w:rsid w:val="00D4611E"/>
    <w:rsid w:val="00D46236"/>
    <w:rsid w:val="00D464D0"/>
    <w:rsid w:val="00D46518"/>
    <w:rsid w:val="00D4657F"/>
    <w:rsid w:val="00D4659E"/>
    <w:rsid w:val="00D4674F"/>
    <w:rsid w:val="00D46762"/>
    <w:rsid w:val="00D4677E"/>
    <w:rsid w:val="00D467FB"/>
    <w:rsid w:val="00D46824"/>
    <w:rsid w:val="00D468BB"/>
    <w:rsid w:val="00D46902"/>
    <w:rsid w:val="00D46A23"/>
    <w:rsid w:val="00D46A94"/>
    <w:rsid w:val="00D46B17"/>
    <w:rsid w:val="00D46D81"/>
    <w:rsid w:val="00D46E57"/>
    <w:rsid w:val="00D46EA9"/>
    <w:rsid w:val="00D46ED8"/>
    <w:rsid w:val="00D46EE9"/>
    <w:rsid w:val="00D46FA9"/>
    <w:rsid w:val="00D46FB8"/>
    <w:rsid w:val="00D4703F"/>
    <w:rsid w:val="00D4717F"/>
    <w:rsid w:val="00D47182"/>
    <w:rsid w:val="00D471DB"/>
    <w:rsid w:val="00D47354"/>
    <w:rsid w:val="00D4735F"/>
    <w:rsid w:val="00D47379"/>
    <w:rsid w:val="00D473B0"/>
    <w:rsid w:val="00D473B8"/>
    <w:rsid w:val="00D47471"/>
    <w:rsid w:val="00D47516"/>
    <w:rsid w:val="00D4760F"/>
    <w:rsid w:val="00D47616"/>
    <w:rsid w:val="00D47636"/>
    <w:rsid w:val="00D476F3"/>
    <w:rsid w:val="00D4770E"/>
    <w:rsid w:val="00D4787D"/>
    <w:rsid w:val="00D478B0"/>
    <w:rsid w:val="00D478F7"/>
    <w:rsid w:val="00D47A75"/>
    <w:rsid w:val="00D47B01"/>
    <w:rsid w:val="00D47B15"/>
    <w:rsid w:val="00D47B99"/>
    <w:rsid w:val="00D47B9B"/>
    <w:rsid w:val="00D47BF8"/>
    <w:rsid w:val="00D47C04"/>
    <w:rsid w:val="00D47C29"/>
    <w:rsid w:val="00D47C83"/>
    <w:rsid w:val="00D47CDD"/>
    <w:rsid w:val="00D47D83"/>
    <w:rsid w:val="00D47DD8"/>
    <w:rsid w:val="00D47DE2"/>
    <w:rsid w:val="00D47DE7"/>
    <w:rsid w:val="00D47E65"/>
    <w:rsid w:val="00D47E72"/>
    <w:rsid w:val="00D47EF2"/>
    <w:rsid w:val="00D47F04"/>
    <w:rsid w:val="00D50051"/>
    <w:rsid w:val="00D500CE"/>
    <w:rsid w:val="00D501D7"/>
    <w:rsid w:val="00D501F6"/>
    <w:rsid w:val="00D5026F"/>
    <w:rsid w:val="00D502D7"/>
    <w:rsid w:val="00D5047B"/>
    <w:rsid w:val="00D504FE"/>
    <w:rsid w:val="00D505A3"/>
    <w:rsid w:val="00D5060B"/>
    <w:rsid w:val="00D506EB"/>
    <w:rsid w:val="00D507FB"/>
    <w:rsid w:val="00D5097E"/>
    <w:rsid w:val="00D5099D"/>
    <w:rsid w:val="00D50AE2"/>
    <w:rsid w:val="00D50B48"/>
    <w:rsid w:val="00D50BA2"/>
    <w:rsid w:val="00D50BD2"/>
    <w:rsid w:val="00D50C48"/>
    <w:rsid w:val="00D50D26"/>
    <w:rsid w:val="00D50EE3"/>
    <w:rsid w:val="00D50EFA"/>
    <w:rsid w:val="00D50F08"/>
    <w:rsid w:val="00D50F6E"/>
    <w:rsid w:val="00D50F93"/>
    <w:rsid w:val="00D510BB"/>
    <w:rsid w:val="00D510ED"/>
    <w:rsid w:val="00D51156"/>
    <w:rsid w:val="00D51191"/>
    <w:rsid w:val="00D51249"/>
    <w:rsid w:val="00D51289"/>
    <w:rsid w:val="00D512C0"/>
    <w:rsid w:val="00D512D5"/>
    <w:rsid w:val="00D5134D"/>
    <w:rsid w:val="00D5143C"/>
    <w:rsid w:val="00D514C9"/>
    <w:rsid w:val="00D515DD"/>
    <w:rsid w:val="00D51683"/>
    <w:rsid w:val="00D5168D"/>
    <w:rsid w:val="00D5169E"/>
    <w:rsid w:val="00D51748"/>
    <w:rsid w:val="00D51768"/>
    <w:rsid w:val="00D517B9"/>
    <w:rsid w:val="00D519A6"/>
    <w:rsid w:val="00D51AE1"/>
    <w:rsid w:val="00D51AE6"/>
    <w:rsid w:val="00D51E31"/>
    <w:rsid w:val="00D51EAB"/>
    <w:rsid w:val="00D51F16"/>
    <w:rsid w:val="00D51FE8"/>
    <w:rsid w:val="00D52004"/>
    <w:rsid w:val="00D52005"/>
    <w:rsid w:val="00D5202E"/>
    <w:rsid w:val="00D520E7"/>
    <w:rsid w:val="00D52161"/>
    <w:rsid w:val="00D5225D"/>
    <w:rsid w:val="00D522FB"/>
    <w:rsid w:val="00D522FE"/>
    <w:rsid w:val="00D52339"/>
    <w:rsid w:val="00D52371"/>
    <w:rsid w:val="00D523ED"/>
    <w:rsid w:val="00D52481"/>
    <w:rsid w:val="00D52496"/>
    <w:rsid w:val="00D524C2"/>
    <w:rsid w:val="00D5250C"/>
    <w:rsid w:val="00D52587"/>
    <w:rsid w:val="00D52606"/>
    <w:rsid w:val="00D52828"/>
    <w:rsid w:val="00D52867"/>
    <w:rsid w:val="00D528B0"/>
    <w:rsid w:val="00D52A13"/>
    <w:rsid w:val="00D52A77"/>
    <w:rsid w:val="00D52B19"/>
    <w:rsid w:val="00D52BD2"/>
    <w:rsid w:val="00D52D0E"/>
    <w:rsid w:val="00D52D12"/>
    <w:rsid w:val="00D52DA6"/>
    <w:rsid w:val="00D52E4A"/>
    <w:rsid w:val="00D52E75"/>
    <w:rsid w:val="00D5305B"/>
    <w:rsid w:val="00D5312E"/>
    <w:rsid w:val="00D5314E"/>
    <w:rsid w:val="00D53157"/>
    <w:rsid w:val="00D531F7"/>
    <w:rsid w:val="00D53206"/>
    <w:rsid w:val="00D5325B"/>
    <w:rsid w:val="00D53293"/>
    <w:rsid w:val="00D53376"/>
    <w:rsid w:val="00D533BE"/>
    <w:rsid w:val="00D5346D"/>
    <w:rsid w:val="00D5357C"/>
    <w:rsid w:val="00D535F0"/>
    <w:rsid w:val="00D53623"/>
    <w:rsid w:val="00D53656"/>
    <w:rsid w:val="00D536E5"/>
    <w:rsid w:val="00D537BE"/>
    <w:rsid w:val="00D53888"/>
    <w:rsid w:val="00D53998"/>
    <w:rsid w:val="00D53ADB"/>
    <w:rsid w:val="00D53B4E"/>
    <w:rsid w:val="00D53B9C"/>
    <w:rsid w:val="00D53CAD"/>
    <w:rsid w:val="00D53CC9"/>
    <w:rsid w:val="00D53D0F"/>
    <w:rsid w:val="00D53D2D"/>
    <w:rsid w:val="00D53D62"/>
    <w:rsid w:val="00D53D8C"/>
    <w:rsid w:val="00D53F2D"/>
    <w:rsid w:val="00D53F66"/>
    <w:rsid w:val="00D53F95"/>
    <w:rsid w:val="00D540B3"/>
    <w:rsid w:val="00D5427F"/>
    <w:rsid w:val="00D5429E"/>
    <w:rsid w:val="00D54366"/>
    <w:rsid w:val="00D5438F"/>
    <w:rsid w:val="00D54481"/>
    <w:rsid w:val="00D544DA"/>
    <w:rsid w:val="00D54587"/>
    <w:rsid w:val="00D54651"/>
    <w:rsid w:val="00D54666"/>
    <w:rsid w:val="00D5468B"/>
    <w:rsid w:val="00D546E6"/>
    <w:rsid w:val="00D547F7"/>
    <w:rsid w:val="00D548E4"/>
    <w:rsid w:val="00D5496F"/>
    <w:rsid w:val="00D54A97"/>
    <w:rsid w:val="00D54AD9"/>
    <w:rsid w:val="00D54B78"/>
    <w:rsid w:val="00D54D77"/>
    <w:rsid w:val="00D54DED"/>
    <w:rsid w:val="00D54F3A"/>
    <w:rsid w:val="00D5503C"/>
    <w:rsid w:val="00D5504E"/>
    <w:rsid w:val="00D550AD"/>
    <w:rsid w:val="00D5516A"/>
    <w:rsid w:val="00D551F8"/>
    <w:rsid w:val="00D55261"/>
    <w:rsid w:val="00D552FF"/>
    <w:rsid w:val="00D5530B"/>
    <w:rsid w:val="00D553DF"/>
    <w:rsid w:val="00D5542E"/>
    <w:rsid w:val="00D554D4"/>
    <w:rsid w:val="00D555BE"/>
    <w:rsid w:val="00D55726"/>
    <w:rsid w:val="00D55960"/>
    <w:rsid w:val="00D55A1E"/>
    <w:rsid w:val="00D55AC9"/>
    <w:rsid w:val="00D55B76"/>
    <w:rsid w:val="00D55BBD"/>
    <w:rsid w:val="00D55BC3"/>
    <w:rsid w:val="00D55BC8"/>
    <w:rsid w:val="00D55BCD"/>
    <w:rsid w:val="00D55C15"/>
    <w:rsid w:val="00D55CC9"/>
    <w:rsid w:val="00D55DE3"/>
    <w:rsid w:val="00D55E02"/>
    <w:rsid w:val="00D55F6B"/>
    <w:rsid w:val="00D55FAC"/>
    <w:rsid w:val="00D55FEA"/>
    <w:rsid w:val="00D56051"/>
    <w:rsid w:val="00D56108"/>
    <w:rsid w:val="00D56197"/>
    <w:rsid w:val="00D561B1"/>
    <w:rsid w:val="00D56204"/>
    <w:rsid w:val="00D5623D"/>
    <w:rsid w:val="00D56361"/>
    <w:rsid w:val="00D56391"/>
    <w:rsid w:val="00D563A2"/>
    <w:rsid w:val="00D5678D"/>
    <w:rsid w:val="00D5679D"/>
    <w:rsid w:val="00D567C5"/>
    <w:rsid w:val="00D567D5"/>
    <w:rsid w:val="00D5682D"/>
    <w:rsid w:val="00D56978"/>
    <w:rsid w:val="00D56BDF"/>
    <w:rsid w:val="00D56D09"/>
    <w:rsid w:val="00D56E09"/>
    <w:rsid w:val="00D56EAC"/>
    <w:rsid w:val="00D56F4E"/>
    <w:rsid w:val="00D56FC3"/>
    <w:rsid w:val="00D570EA"/>
    <w:rsid w:val="00D5717A"/>
    <w:rsid w:val="00D5718C"/>
    <w:rsid w:val="00D5718F"/>
    <w:rsid w:val="00D571AB"/>
    <w:rsid w:val="00D57246"/>
    <w:rsid w:val="00D5747D"/>
    <w:rsid w:val="00D5751C"/>
    <w:rsid w:val="00D5759F"/>
    <w:rsid w:val="00D575EF"/>
    <w:rsid w:val="00D5773F"/>
    <w:rsid w:val="00D5783A"/>
    <w:rsid w:val="00D578B2"/>
    <w:rsid w:val="00D578EC"/>
    <w:rsid w:val="00D579F5"/>
    <w:rsid w:val="00D57A76"/>
    <w:rsid w:val="00D57AD2"/>
    <w:rsid w:val="00D57B35"/>
    <w:rsid w:val="00D57B89"/>
    <w:rsid w:val="00D57BA1"/>
    <w:rsid w:val="00D57D61"/>
    <w:rsid w:val="00D57E38"/>
    <w:rsid w:val="00D60133"/>
    <w:rsid w:val="00D60219"/>
    <w:rsid w:val="00D6023F"/>
    <w:rsid w:val="00D6024C"/>
    <w:rsid w:val="00D6029D"/>
    <w:rsid w:val="00D603FA"/>
    <w:rsid w:val="00D60403"/>
    <w:rsid w:val="00D6048B"/>
    <w:rsid w:val="00D604F7"/>
    <w:rsid w:val="00D6050B"/>
    <w:rsid w:val="00D60581"/>
    <w:rsid w:val="00D605A5"/>
    <w:rsid w:val="00D605CC"/>
    <w:rsid w:val="00D6069D"/>
    <w:rsid w:val="00D6079C"/>
    <w:rsid w:val="00D60882"/>
    <w:rsid w:val="00D608D8"/>
    <w:rsid w:val="00D608E6"/>
    <w:rsid w:val="00D608E9"/>
    <w:rsid w:val="00D60A07"/>
    <w:rsid w:val="00D60A4B"/>
    <w:rsid w:val="00D60A76"/>
    <w:rsid w:val="00D60BCC"/>
    <w:rsid w:val="00D60D7D"/>
    <w:rsid w:val="00D61088"/>
    <w:rsid w:val="00D610AC"/>
    <w:rsid w:val="00D610F6"/>
    <w:rsid w:val="00D6117C"/>
    <w:rsid w:val="00D611C7"/>
    <w:rsid w:val="00D611EB"/>
    <w:rsid w:val="00D61204"/>
    <w:rsid w:val="00D61225"/>
    <w:rsid w:val="00D61242"/>
    <w:rsid w:val="00D61327"/>
    <w:rsid w:val="00D61399"/>
    <w:rsid w:val="00D614C4"/>
    <w:rsid w:val="00D615C1"/>
    <w:rsid w:val="00D617AA"/>
    <w:rsid w:val="00D617D2"/>
    <w:rsid w:val="00D61832"/>
    <w:rsid w:val="00D618B0"/>
    <w:rsid w:val="00D6190C"/>
    <w:rsid w:val="00D61A5D"/>
    <w:rsid w:val="00D61ABA"/>
    <w:rsid w:val="00D61C70"/>
    <w:rsid w:val="00D61D3D"/>
    <w:rsid w:val="00D61D61"/>
    <w:rsid w:val="00D61D75"/>
    <w:rsid w:val="00D61E68"/>
    <w:rsid w:val="00D61ED9"/>
    <w:rsid w:val="00D61F91"/>
    <w:rsid w:val="00D61FC7"/>
    <w:rsid w:val="00D61FE7"/>
    <w:rsid w:val="00D6206E"/>
    <w:rsid w:val="00D6227D"/>
    <w:rsid w:val="00D6235D"/>
    <w:rsid w:val="00D62390"/>
    <w:rsid w:val="00D623E1"/>
    <w:rsid w:val="00D623F4"/>
    <w:rsid w:val="00D6240A"/>
    <w:rsid w:val="00D62482"/>
    <w:rsid w:val="00D62651"/>
    <w:rsid w:val="00D6265D"/>
    <w:rsid w:val="00D626AD"/>
    <w:rsid w:val="00D626BB"/>
    <w:rsid w:val="00D626E3"/>
    <w:rsid w:val="00D6273B"/>
    <w:rsid w:val="00D627C2"/>
    <w:rsid w:val="00D627E0"/>
    <w:rsid w:val="00D62885"/>
    <w:rsid w:val="00D628C3"/>
    <w:rsid w:val="00D6290D"/>
    <w:rsid w:val="00D629AF"/>
    <w:rsid w:val="00D62C02"/>
    <w:rsid w:val="00D62C0C"/>
    <w:rsid w:val="00D62C69"/>
    <w:rsid w:val="00D630B6"/>
    <w:rsid w:val="00D630EB"/>
    <w:rsid w:val="00D63138"/>
    <w:rsid w:val="00D631B0"/>
    <w:rsid w:val="00D631F7"/>
    <w:rsid w:val="00D632FD"/>
    <w:rsid w:val="00D63360"/>
    <w:rsid w:val="00D63364"/>
    <w:rsid w:val="00D63429"/>
    <w:rsid w:val="00D63567"/>
    <w:rsid w:val="00D6366A"/>
    <w:rsid w:val="00D636B7"/>
    <w:rsid w:val="00D63711"/>
    <w:rsid w:val="00D637A7"/>
    <w:rsid w:val="00D637EF"/>
    <w:rsid w:val="00D63888"/>
    <w:rsid w:val="00D6388B"/>
    <w:rsid w:val="00D63928"/>
    <w:rsid w:val="00D63A92"/>
    <w:rsid w:val="00D63A95"/>
    <w:rsid w:val="00D63BCB"/>
    <w:rsid w:val="00D63D4C"/>
    <w:rsid w:val="00D63DCB"/>
    <w:rsid w:val="00D63EB9"/>
    <w:rsid w:val="00D63FA8"/>
    <w:rsid w:val="00D6405A"/>
    <w:rsid w:val="00D6405D"/>
    <w:rsid w:val="00D64098"/>
    <w:rsid w:val="00D640FD"/>
    <w:rsid w:val="00D64145"/>
    <w:rsid w:val="00D64263"/>
    <w:rsid w:val="00D642A4"/>
    <w:rsid w:val="00D642D0"/>
    <w:rsid w:val="00D64568"/>
    <w:rsid w:val="00D645D2"/>
    <w:rsid w:val="00D646D8"/>
    <w:rsid w:val="00D646FF"/>
    <w:rsid w:val="00D64787"/>
    <w:rsid w:val="00D648A0"/>
    <w:rsid w:val="00D648FC"/>
    <w:rsid w:val="00D649A8"/>
    <w:rsid w:val="00D64B36"/>
    <w:rsid w:val="00D64B59"/>
    <w:rsid w:val="00D64B6A"/>
    <w:rsid w:val="00D64BDF"/>
    <w:rsid w:val="00D64BF3"/>
    <w:rsid w:val="00D64C0E"/>
    <w:rsid w:val="00D64C1F"/>
    <w:rsid w:val="00D64D40"/>
    <w:rsid w:val="00D64DE0"/>
    <w:rsid w:val="00D64E5C"/>
    <w:rsid w:val="00D64F1A"/>
    <w:rsid w:val="00D64F73"/>
    <w:rsid w:val="00D6514A"/>
    <w:rsid w:val="00D651C2"/>
    <w:rsid w:val="00D651EF"/>
    <w:rsid w:val="00D651F9"/>
    <w:rsid w:val="00D65478"/>
    <w:rsid w:val="00D654F9"/>
    <w:rsid w:val="00D65542"/>
    <w:rsid w:val="00D65592"/>
    <w:rsid w:val="00D65621"/>
    <w:rsid w:val="00D6562E"/>
    <w:rsid w:val="00D65634"/>
    <w:rsid w:val="00D6568A"/>
    <w:rsid w:val="00D6569E"/>
    <w:rsid w:val="00D65762"/>
    <w:rsid w:val="00D6580A"/>
    <w:rsid w:val="00D6598C"/>
    <w:rsid w:val="00D659E6"/>
    <w:rsid w:val="00D65A8C"/>
    <w:rsid w:val="00D65ADE"/>
    <w:rsid w:val="00D65B05"/>
    <w:rsid w:val="00D65BD7"/>
    <w:rsid w:val="00D65D20"/>
    <w:rsid w:val="00D65D67"/>
    <w:rsid w:val="00D65D99"/>
    <w:rsid w:val="00D65F0E"/>
    <w:rsid w:val="00D6608A"/>
    <w:rsid w:val="00D660BC"/>
    <w:rsid w:val="00D660CB"/>
    <w:rsid w:val="00D660D8"/>
    <w:rsid w:val="00D661D6"/>
    <w:rsid w:val="00D662A9"/>
    <w:rsid w:val="00D6633A"/>
    <w:rsid w:val="00D663C7"/>
    <w:rsid w:val="00D66495"/>
    <w:rsid w:val="00D66500"/>
    <w:rsid w:val="00D66596"/>
    <w:rsid w:val="00D665A2"/>
    <w:rsid w:val="00D666F0"/>
    <w:rsid w:val="00D66712"/>
    <w:rsid w:val="00D66733"/>
    <w:rsid w:val="00D66860"/>
    <w:rsid w:val="00D669E3"/>
    <w:rsid w:val="00D66B13"/>
    <w:rsid w:val="00D66B1A"/>
    <w:rsid w:val="00D66B8C"/>
    <w:rsid w:val="00D66BEC"/>
    <w:rsid w:val="00D66C41"/>
    <w:rsid w:val="00D66D07"/>
    <w:rsid w:val="00D66D76"/>
    <w:rsid w:val="00D66E58"/>
    <w:rsid w:val="00D66FB2"/>
    <w:rsid w:val="00D67023"/>
    <w:rsid w:val="00D67085"/>
    <w:rsid w:val="00D670FB"/>
    <w:rsid w:val="00D67220"/>
    <w:rsid w:val="00D67293"/>
    <w:rsid w:val="00D674D4"/>
    <w:rsid w:val="00D67609"/>
    <w:rsid w:val="00D67723"/>
    <w:rsid w:val="00D678AB"/>
    <w:rsid w:val="00D67907"/>
    <w:rsid w:val="00D67994"/>
    <w:rsid w:val="00D679B7"/>
    <w:rsid w:val="00D679D6"/>
    <w:rsid w:val="00D67A16"/>
    <w:rsid w:val="00D67A9F"/>
    <w:rsid w:val="00D67B9B"/>
    <w:rsid w:val="00D67CC8"/>
    <w:rsid w:val="00D67D6C"/>
    <w:rsid w:val="00D67E69"/>
    <w:rsid w:val="00D67F00"/>
    <w:rsid w:val="00D67F31"/>
    <w:rsid w:val="00D7002F"/>
    <w:rsid w:val="00D701E9"/>
    <w:rsid w:val="00D70268"/>
    <w:rsid w:val="00D702C3"/>
    <w:rsid w:val="00D702C9"/>
    <w:rsid w:val="00D70300"/>
    <w:rsid w:val="00D7043D"/>
    <w:rsid w:val="00D70445"/>
    <w:rsid w:val="00D70463"/>
    <w:rsid w:val="00D7073D"/>
    <w:rsid w:val="00D70764"/>
    <w:rsid w:val="00D707CB"/>
    <w:rsid w:val="00D70801"/>
    <w:rsid w:val="00D708B2"/>
    <w:rsid w:val="00D708F3"/>
    <w:rsid w:val="00D7095B"/>
    <w:rsid w:val="00D7097F"/>
    <w:rsid w:val="00D709B6"/>
    <w:rsid w:val="00D709C2"/>
    <w:rsid w:val="00D70A6C"/>
    <w:rsid w:val="00D70A9F"/>
    <w:rsid w:val="00D70B61"/>
    <w:rsid w:val="00D70C98"/>
    <w:rsid w:val="00D70CB1"/>
    <w:rsid w:val="00D70CDD"/>
    <w:rsid w:val="00D70D57"/>
    <w:rsid w:val="00D70D8A"/>
    <w:rsid w:val="00D70E26"/>
    <w:rsid w:val="00D70E37"/>
    <w:rsid w:val="00D70EC3"/>
    <w:rsid w:val="00D70ECA"/>
    <w:rsid w:val="00D70FD0"/>
    <w:rsid w:val="00D71028"/>
    <w:rsid w:val="00D710FA"/>
    <w:rsid w:val="00D7114C"/>
    <w:rsid w:val="00D71201"/>
    <w:rsid w:val="00D7125C"/>
    <w:rsid w:val="00D7129E"/>
    <w:rsid w:val="00D712DE"/>
    <w:rsid w:val="00D71355"/>
    <w:rsid w:val="00D7143E"/>
    <w:rsid w:val="00D714B1"/>
    <w:rsid w:val="00D71528"/>
    <w:rsid w:val="00D71545"/>
    <w:rsid w:val="00D7154D"/>
    <w:rsid w:val="00D716A9"/>
    <w:rsid w:val="00D716AB"/>
    <w:rsid w:val="00D71702"/>
    <w:rsid w:val="00D71753"/>
    <w:rsid w:val="00D71803"/>
    <w:rsid w:val="00D71821"/>
    <w:rsid w:val="00D718F6"/>
    <w:rsid w:val="00D718FE"/>
    <w:rsid w:val="00D71A28"/>
    <w:rsid w:val="00D71A59"/>
    <w:rsid w:val="00D71A66"/>
    <w:rsid w:val="00D71B35"/>
    <w:rsid w:val="00D71C49"/>
    <w:rsid w:val="00D71CC1"/>
    <w:rsid w:val="00D71CFF"/>
    <w:rsid w:val="00D71DF3"/>
    <w:rsid w:val="00D71E7B"/>
    <w:rsid w:val="00D71F1F"/>
    <w:rsid w:val="00D71F4D"/>
    <w:rsid w:val="00D71F6C"/>
    <w:rsid w:val="00D71F9C"/>
    <w:rsid w:val="00D71FFA"/>
    <w:rsid w:val="00D72027"/>
    <w:rsid w:val="00D7207F"/>
    <w:rsid w:val="00D721A3"/>
    <w:rsid w:val="00D72250"/>
    <w:rsid w:val="00D72333"/>
    <w:rsid w:val="00D72392"/>
    <w:rsid w:val="00D723A1"/>
    <w:rsid w:val="00D723E6"/>
    <w:rsid w:val="00D7245D"/>
    <w:rsid w:val="00D7248F"/>
    <w:rsid w:val="00D72515"/>
    <w:rsid w:val="00D72519"/>
    <w:rsid w:val="00D726EB"/>
    <w:rsid w:val="00D72728"/>
    <w:rsid w:val="00D72737"/>
    <w:rsid w:val="00D7290F"/>
    <w:rsid w:val="00D72A4C"/>
    <w:rsid w:val="00D72AE7"/>
    <w:rsid w:val="00D72B1B"/>
    <w:rsid w:val="00D72B1F"/>
    <w:rsid w:val="00D72B66"/>
    <w:rsid w:val="00D72D73"/>
    <w:rsid w:val="00D72DC5"/>
    <w:rsid w:val="00D7303A"/>
    <w:rsid w:val="00D73084"/>
    <w:rsid w:val="00D73090"/>
    <w:rsid w:val="00D730AB"/>
    <w:rsid w:val="00D730DF"/>
    <w:rsid w:val="00D73138"/>
    <w:rsid w:val="00D731AA"/>
    <w:rsid w:val="00D731D7"/>
    <w:rsid w:val="00D7336C"/>
    <w:rsid w:val="00D733BC"/>
    <w:rsid w:val="00D733F8"/>
    <w:rsid w:val="00D73494"/>
    <w:rsid w:val="00D734BB"/>
    <w:rsid w:val="00D735CA"/>
    <w:rsid w:val="00D7362B"/>
    <w:rsid w:val="00D73659"/>
    <w:rsid w:val="00D73695"/>
    <w:rsid w:val="00D736D9"/>
    <w:rsid w:val="00D736DA"/>
    <w:rsid w:val="00D73710"/>
    <w:rsid w:val="00D7371B"/>
    <w:rsid w:val="00D73771"/>
    <w:rsid w:val="00D737E7"/>
    <w:rsid w:val="00D73820"/>
    <w:rsid w:val="00D7396D"/>
    <w:rsid w:val="00D73AC3"/>
    <w:rsid w:val="00D73ADF"/>
    <w:rsid w:val="00D73AF3"/>
    <w:rsid w:val="00D73BCF"/>
    <w:rsid w:val="00D73C09"/>
    <w:rsid w:val="00D73C88"/>
    <w:rsid w:val="00D73DB0"/>
    <w:rsid w:val="00D73DC4"/>
    <w:rsid w:val="00D73E23"/>
    <w:rsid w:val="00D73F1B"/>
    <w:rsid w:val="00D740C2"/>
    <w:rsid w:val="00D7419A"/>
    <w:rsid w:val="00D7419E"/>
    <w:rsid w:val="00D7427A"/>
    <w:rsid w:val="00D74330"/>
    <w:rsid w:val="00D74387"/>
    <w:rsid w:val="00D7442A"/>
    <w:rsid w:val="00D74652"/>
    <w:rsid w:val="00D747DD"/>
    <w:rsid w:val="00D7480B"/>
    <w:rsid w:val="00D7489A"/>
    <w:rsid w:val="00D748D3"/>
    <w:rsid w:val="00D74909"/>
    <w:rsid w:val="00D74A4B"/>
    <w:rsid w:val="00D74ACB"/>
    <w:rsid w:val="00D74AD4"/>
    <w:rsid w:val="00D74B22"/>
    <w:rsid w:val="00D74B81"/>
    <w:rsid w:val="00D74BD7"/>
    <w:rsid w:val="00D74C9C"/>
    <w:rsid w:val="00D74D47"/>
    <w:rsid w:val="00D74D68"/>
    <w:rsid w:val="00D74DE2"/>
    <w:rsid w:val="00D74EA9"/>
    <w:rsid w:val="00D74F36"/>
    <w:rsid w:val="00D75075"/>
    <w:rsid w:val="00D75099"/>
    <w:rsid w:val="00D75137"/>
    <w:rsid w:val="00D752B3"/>
    <w:rsid w:val="00D752F9"/>
    <w:rsid w:val="00D75438"/>
    <w:rsid w:val="00D754D1"/>
    <w:rsid w:val="00D75547"/>
    <w:rsid w:val="00D756ED"/>
    <w:rsid w:val="00D757DE"/>
    <w:rsid w:val="00D757FC"/>
    <w:rsid w:val="00D758D1"/>
    <w:rsid w:val="00D758DB"/>
    <w:rsid w:val="00D759D5"/>
    <w:rsid w:val="00D75A23"/>
    <w:rsid w:val="00D75B59"/>
    <w:rsid w:val="00D75B68"/>
    <w:rsid w:val="00D75B73"/>
    <w:rsid w:val="00D75BA4"/>
    <w:rsid w:val="00D75D06"/>
    <w:rsid w:val="00D75D4E"/>
    <w:rsid w:val="00D75D6B"/>
    <w:rsid w:val="00D75DFF"/>
    <w:rsid w:val="00D75F16"/>
    <w:rsid w:val="00D75F26"/>
    <w:rsid w:val="00D75F75"/>
    <w:rsid w:val="00D75F9A"/>
    <w:rsid w:val="00D75FA4"/>
    <w:rsid w:val="00D75FEC"/>
    <w:rsid w:val="00D760B2"/>
    <w:rsid w:val="00D761B9"/>
    <w:rsid w:val="00D7624F"/>
    <w:rsid w:val="00D76267"/>
    <w:rsid w:val="00D762AC"/>
    <w:rsid w:val="00D762B2"/>
    <w:rsid w:val="00D76344"/>
    <w:rsid w:val="00D76371"/>
    <w:rsid w:val="00D76396"/>
    <w:rsid w:val="00D76446"/>
    <w:rsid w:val="00D7648E"/>
    <w:rsid w:val="00D764DC"/>
    <w:rsid w:val="00D7658C"/>
    <w:rsid w:val="00D7660B"/>
    <w:rsid w:val="00D7669F"/>
    <w:rsid w:val="00D7677A"/>
    <w:rsid w:val="00D768F7"/>
    <w:rsid w:val="00D76AA4"/>
    <w:rsid w:val="00D76B12"/>
    <w:rsid w:val="00D76BEE"/>
    <w:rsid w:val="00D76BF3"/>
    <w:rsid w:val="00D76D47"/>
    <w:rsid w:val="00D76D75"/>
    <w:rsid w:val="00D76D80"/>
    <w:rsid w:val="00D76EE8"/>
    <w:rsid w:val="00D770E5"/>
    <w:rsid w:val="00D770F1"/>
    <w:rsid w:val="00D7718F"/>
    <w:rsid w:val="00D7721F"/>
    <w:rsid w:val="00D7729D"/>
    <w:rsid w:val="00D7745F"/>
    <w:rsid w:val="00D774AB"/>
    <w:rsid w:val="00D7762B"/>
    <w:rsid w:val="00D776E7"/>
    <w:rsid w:val="00D777DE"/>
    <w:rsid w:val="00D7780F"/>
    <w:rsid w:val="00D778F3"/>
    <w:rsid w:val="00D7795F"/>
    <w:rsid w:val="00D779A8"/>
    <w:rsid w:val="00D779D5"/>
    <w:rsid w:val="00D77B5C"/>
    <w:rsid w:val="00D77D59"/>
    <w:rsid w:val="00D77D96"/>
    <w:rsid w:val="00D77ED9"/>
    <w:rsid w:val="00D77F5F"/>
    <w:rsid w:val="00D77F72"/>
    <w:rsid w:val="00D80064"/>
    <w:rsid w:val="00D80146"/>
    <w:rsid w:val="00D80162"/>
    <w:rsid w:val="00D801C1"/>
    <w:rsid w:val="00D8022D"/>
    <w:rsid w:val="00D80246"/>
    <w:rsid w:val="00D80449"/>
    <w:rsid w:val="00D80470"/>
    <w:rsid w:val="00D804A8"/>
    <w:rsid w:val="00D804EB"/>
    <w:rsid w:val="00D80635"/>
    <w:rsid w:val="00D80770"/>
    <w:rsid w:val="00D80803"/>
    <w:rsid w:val="00D80806"/>
    <w:rsid w:val="00D808B1"/>
    <w:rsid w:val="00D80941"/>
    <w:rsid w:val="00D80B17"/>
    <w:rsid w:val="00D80B61"/>
    <w:rsid w:val="00D80BC5"/>
    <w:rsid w:val="00D80C86"/>
    <w:rsid w:val="00D80D27"/>
    <w:rsid w:val="00D80DCE"/>
    <w:rsid w:val="00D80E6D"/>
    <w:rsid w:val="00D80F01"/>
    <w:rsid w:val="00D80F47"/>
    <w:rsid w:val="00D80F6F"/>
    <w:rsid w:val="00D8108D"/>
    <w:rsid w:val="00D81293"/>
    <w:rsid w:val="00D813E2"/>
    <w:rsid w:val="00D814F4"/>
    <w:rsid w:val="00D8153D"/>
    <w:rsid w:val="00D815A8"/>
    <w:rsid w:val="00D815CC"/>
    <w:rsid w:val="00D81622"/>
    <w:rsid w:val="00D8162E"/>
    <w:rsid w:val="00D81649"/>
    <w:rsid w:val="00D81664"/>
    <w:rsid w:val="00D81685"/>
    <w:rsid w:val="00D816CF"/>
    <w:rsid w:val="00D816F6"/>
    <w:rsid w:val="00D8176C"/>
    <w:rsid w:val="00D8180C"/>
    <w:rsid w:val="00D8181E"/>
    <w:rsid w:val="00D81A96"/>
    <w:rsid w:val="00D81A9D"/>
    <w:rsid w:val="00D81B1D"/>
    <w:rsid w:val="00D81C06"/>
    <w:rsid w:val="00D81C5C"/>
    <w:rsid w:val="00D81D87"/>
    <w:rsid w:val="00D81E7E"/>
    <w:rsid w:val="00D81F57"/>
    <w:rsid w:val="00D8203D"/>
    <w:rsid w:val="00D820C1"/>
    <w:rsid w:val="00D82179"/>
    <w:rsid w:val="00D821C4"/>
    <w:rsid w:val="00D821F6"/>
    <w:rsid w:val="00D82211"/>
    <w:rsid w:val="00D8228D"/>
    <w:rsid w:val="00D822EE"/>
    <w:rsid w:val="00D823DD"/>
    <w:rsid w:val="00D8247E"/>
    <w:rsid w:val="00D82554"/>
    <w:rsid w:val="00D82693"/>
    <w:rsid w:val="00D82731"/>
    <w:rsid w:val="00D8277B"/>
    <w:rsid w:val="00D827BD"/>
    <w:rsid w:val="00D82913"/>
    <w:rsid w:val="00D829CC"/>
    <w:rsid w:val="00D829EE"/>
    <w:rsid w:val="00D82A0E"/>
    <w:rsid w:val="00D82A31"/>
    <w:rsid w:val="00D82ACE"/>
    <w:rsid w:val="00D82B2E"/>
    <w:rsid w:val="00D82E13"/>
    <w:rsid w:val="00D82EDF"/>
    <w:rsid w:val="00D82F00"/>
    <w:rsid w:val="00D831FC"/>
    <w:rsid w:val="00D8335F"/>
    <w:rsid w:val="00D83388"/>
    <w:rsid w:val="00D8340E"/>
    <w:rsid w:val="00D83445"/>
    <w:rsid w:val="00D834B5"/>
    <w:rsid w:val="00D83556"/>
    <w:rsid w:val="00D835BC"/>
    <w:rsid w:val="00D83697"/>
    <w:rsid w:val="00D83704"/>
    <w:rsid w:val="00D8388D"/>
    <w:rsid w:val="00D8393F"/>
    <w:rsid w:val="00D8394C"/>
    <w:rsid w:val="00D8394F"/>
    <w:rsid w:val="00D839CE"/>
    <w:rsid w:val="00D839D2"/>
    <w:rsid w:val="00D83A5B"/>
    <w:rsid w:val="00D83A9C"/>
    <w:rsid w:val="00D83BAF"/>
    <w:rsid w:val="00D83BBD"/>
    <w:rsid w:val="00D83BCD"/>
    <w:rsid w:val="00D83C0F"/>
    <w:rsid w:val="00D83D41"/>
    <w:rsid w:val="00D83E61"/>
    <w:rsid w:val="00D83F2E"/>
    <w:rsid w:val="00D8401E"/>
    <w:rsid w:val="00D84049"/>
    <w:rsid w:val="00D8404A"/>
    <w:rsid w:val="00D84072"/>
    <w:rsid w:val="00D840B9"/>
    <w:rsid w:val="00D84325"/>
    <w:rsid w:val="00D8433A"/>
    <w:rsid w:val="00D843D2"/>
    <w:rsid w:val="00D843E1"/>
    <w:rsid w:val="00D844C3"/>
    <w:rsid w:val="00D845A8"/>
    <w:rsid w:val="00D8469C"/>
    <w:rsid w:val="00D846BB"/>
    <w:rsid w:val="00D84742"/>
    <w:rsid w:val="00D84794"/>
    <w:rsid w:val="00D8488B"/>
    <w:rsid w:val="00D84932"/>
    <w:rsid w:val="00D84A3E"/>
    <w:rsid w:val="00D84AAB"/>
    <w:rsid w:val="00D84B2D"/>
    <w:rsid w:val="00D84B92"/>
    <w:rsid w:val="00D84BB7"/>
    <w:rsid w:val="00D84D19"/>
    <w:rsid w:val="00D84DED"/>
    <w:rsid w:val="00D84E2E"/>
    <w:rsid w:val="00D84E42"/>
    <w:rsid w:val="00D84EC0"/>
    <w:rsid w:val="00D84EF6"/>
    <w:rsid w:val="00D84F19"/>
    <w:rsid w:val="00D84F90"/>
    <w:rsid w:val="00D84FAF"/>
    <w:rsid w:val="00D84FF8"/>
    <w:rsid w:val="00D850C8"/>
    <w:rsid w:val="00D8510E"/>
    <w:rsid w:val="00D85171"/>
    <w:rsid w:val="00D85204"/>
    <w:rsid w:val="00D85312"/>
    <w:rsid w:val="00D85352"/>
    <w:rsid w:val="00D8548D"/>
    <w:rsid w:val="00D856FA"/>
    <w:rsid w:val="00D85721"/>
    <w:rsid w:val="00D85728"/>
    <w:rsid w:val="00D85746"/>
    <w:rsid w:val="00D8587E"/>
    <w:rsid w:val="00D85897"/>
    <w:rsid w:val="00D85B6C"/>
    <w:rsid w:val="00D85C9C"/>
    <w:rsid w:val="00D85D50"/>
    <w:rsid w:val="00D85DD7"/>
    <w:rsid w:val="00D85DFC"/>
    <w:rsid w:val="00D85E5A"/>
    <w:rsid w:val="00D85EC0"/>
    <w:rsid w:val="00D85EEE"/>
    <w:rsid w:val="00D85FB2"/>
    <w:rsid w:val="00D86030"/>
    <w:rsid w:val="00D8604E"/>
    <w:rsid w:val="00D86052"/>
    <w:rsid w:val="00D86084"/>
    <w:rsid w:val="00D8614E"/>
    <w:rsid w:val="00D8621A"/>
    <w:rsid w:val="00D8627B"/>
    <w:rsid w:val="00D8627F"/>
    <w:rsid w:val="00D86298"/>
    <w:rsid w:val="00D862A3"/>
    <w:rsid w:val="00D862B7"/>
    <w:rsid w:val="00D862D2"/>
    <w:rsid w:val="00D8630E"/>
    <w:rsid w:val="00D8634E"/>
    <w:rsid w:val="00D86423"/>
    <w:rsid w:val="00D86689"/>
    <w:rsid w:val="00D86702"/>
    <w:rsid w:val="00D86883"/>
    <w:rsid w:val="00D8698B"/>
    <w:rsid w:val="00D86A1A"/>
    <w:rsid w:val="00D86A21"/>
    <w:rsid w:val="00D86AC2"/>
    <w:rsid w:val="00D86B68"/>
    <w:rsid w:val="00D86B92"/>
    <w:rsid w:val="00D86D58"/>
    <w:rsid w:val="00D86FEA"/>
    <w:rsid w:val="00D8700B"/>
    <w:rsid w:val="00D8704C"/>
    <w:rsid w:val="00D870F8"/>
    <w:rsid w:val="00D87173"/>
    <w:rsid w:val="00D87261"/>
    <w:rsid w:val="00D873D4"/>
    <w:rsid w:val="00D873FC"/>
    <w:rsid w:val="00D87419"/>
    <w:rsid w:val="00D87651"/>
    <w:rsid w:val="00D8777B"/>
    <w:rsid w:val="00D87904"/>
    <w:rsid w:val="00D879BD"/>
    <w:rsid w:val="00D87CC0"/>
    <w:rsid w:val="00D87D1B"/>
    <w:rsid w:val="00D87D33"/>
    <w:rsid w:val="00D87D65"/>
    <w:rsid w:val="00D87EF8"/>
    <w:rsid w:val="00D90174"/>
    <w:rsid w:val="00D901B4"/>
    <w:rsid w:val="00D9031D"/>
    <w:rsid w:val="00D90351"/>
    <w:rsid w:val="00D90375"/>
    <w:rsid w:val="00D90503"/>
    <w:rsid w:val="00D90519"/>
    <w:rsid w:val="00D9055C"/>
    <w:rsid w:val="00D90567"/>
    <w:rsid w:val="00D905B1"/>
    <w:rsid w:val="00D905B2"/>
    <w:rsid w:val="00D90626"/>
    <w:rsid w:val="00D906A6"/>
    <w:rsid w:val="00D9070F"/>
    <w:rsid w:val="00D90722"/>
    <w:rsid w:val="00D90763"/>
    <w:rsid w:val="00D90B2D"/>
    <w:rsid w:val="00D90C1D"/>
    <w:rsid w:val="00D90C3B"/>
    <w:rsid w:val="00D90DB7"/>
    <w:rsid w:val="00D90E6B"/>
    <w:rsid w:val="00D90EE9"/>
    <w:rsid w:val="00D90F26"/>
    <w:rsid w:val="00D91205"/>
    <w:rsid w:val="00D91264"/>
    <w:rsid w:val="00D912CD"/>
    <w:rsid w:val="00D9139E"/>
    <w:rsid w:val="00D91411"/>
    <w:rsid w:val="00D91573"/>
    <w:rsid w:val="00D91705"/>
    <w:rsid w:val="00D9177C"/>
    <w:rsid w:val="00D917AD"/>
    <w:rsid w:val="00D917DF"/>
    <w:rsid w:val="00D917F9"/>
    <w:rsid w:val="00D91831"/>
    <w:rsid w:val="00D91868"/>
    <w:rsid w:val="00D91874"/>
    <w:rsid w:val="00D918AC"/>
    <w:rsid w:val="00D918F6"/>
    <w:rsid w:val="00D91959"/>
    <w:rsid w:val="00D919B4"/>
    <w:rsid w:val="00D919FC"/>
    <w:rsid w:val="00D919FF"/>
    <w:rsid w:val="00D91A69"/>
    <w:rsid w:val="00D91B68"/>
    <w:rsid w:val="00D91BD3"/>
    <w:rsid w:val="00D91E48"/>
    <w:rsid w:val="00D91EE9"/>
    <w:rsid w:val="00D91F39"/>
    <w:rsid w:val="00D91F6B"/>
    <w:rsid w:val="00D91FE9"/>
    <w:rsid w:val="00D9202F"/>
    <w:rsid w:val="00D920A3"/>
    <w:rsid w:val="00D92114"/>
    <w:rsid w:val="00D921DF"/>
    <w:rsid w:val="00D92253"/>
    <w:rsid w:val="00D922D8"/>
    <w:rsid w:val="00D92406"/>
    <w:rsid w:val="00D9242E"/>
    <w:rsid w:val="00D92491"/>
    <w:rsid w:val="00D9259C"/>
    <w:rsid w:val="00D925DB"/>
    <w:rsid w:val="00D9261A"/>
    <w:rsid w:val="00D9269A"/>
    <w:rsid w:val="00D926B0"/>
    <w:rsid w:val="00D92726"/>
    <w:rsid w:val="00D927D8"/>
    <w:rsid w:val="00D927D9"/>
    <w:rsid w:val="00D928DF"/>
    <w:rsid w:val="00D92930"/>
    <w:rsid w:val="00D9295E"/>
    <w:rsid w:val="00D929EE"/>
    <w:rsid w:val="00D929F6"/>
    <w:rsid w:val="00D92AAF"/>
    <w:rsid w:val="00D92D3A"/>
    <w:rsid w:val="00D92DA2"/>
    <w:rsid w:val="00D92E5E"/>
    <w:rsid w:val="00D92F23"/>
    <w:rsid w:val="00D93058"/>
    <w:rsid w:val="00D93062"/>
    <w:rsid w:val="00D93093"/>
    <w:rsid w:val="00D930E7"/>
    <w:rsid w:val="00D93170"/>
    <w:rsid w:val="00D93263"/>
    <w:rsid w:val="00D932CA"/>
    <w:rsid w:val="00D9340C"/>
    <w:rsid w:val="00D93560"/>
    <w:rsid w:val="00D9359E"/>
    <w:rsid w:val="00D936CC"/>
    <w:rsid w:val="00D936E6"/>
    <w:rsid w:val="00D93788"/>
    <w:rsid w:val="00D938CA"/>
    <w:rsid w:val="00D93A0C"/>
    <w:rsid w:val="00D93AEF"/>
    <w:rsid w:val="00D93B42"/>
    <w:rsid w:val="00D93BF0"/>
    <w:rsid w:val="00D93BFE"/>
    <w:rsid w:val="00D93C21"/>
    <w:rsid w:val="00D93C75"/>
    <w:rsid w:val="00D93D8F"/>
    <w:rsid w:val="00D93DC6"/>
    <w:rsid w:val="00D93E21"/>
    <w:rsid w:val="00D93EF1"/>
    <w:rsid w:val="00D93F38"/>
    <w:rsid w:val="00D93F8F"/>
    <w:rsid w:val="00D93FB3"/>
    <w:rsid w:val="00D940AE"/>
    <w:rsid w:val="00D9412E"/>
    <w:rsid w:val="00D94165"/>
    <w:rsid w:val="00D9421F"/>
    <w:rsid w:val="00D9427A"/>
    <w:rsid w:val="00D942A9"/>
    <w:rsid w:val="00D94301"/>
    <w:rsid w:val="00D94319"/>
    <w:rsid w:val="00D943B1"/>
    <w:rsid w:val="00D94400"/>
    <w:rsid w:val="00D94429"/>
    <w:rsid w:val="00D9458D"/>
    <w:rsid w:val="00D945BF"/>
    <w:rsid w:val="00D947F5"/>
    <w:rsid w:val="00D948C6"/>
    <w:rsid w:val="00D948D4"/>
    <w:rsid w:val="00D94A91"/>
    <w:rsid w:val="00D94B20"/>
    <w:rsid w:val="00D94B5B"/>
    <w:rsid w:val="00D94C73"/>
    <w:rsid w:val="00D94D65"/>
    <w:rsid w:val="00D94E93"/>
    <w:rsid w:val="00D951B8"/>
    <w:rsid w:val="00D95283"/>
    <w:rsid w:val="00D95336"/>
    <w:rsid w:val="00D95389"/>
    <w:rsid w:val="00D953C7"/>
    <w:rsid w:val="00D95453"/>
    <w:rsid w:val="00D9545B"/>
    <w:rsid w:val="00D95512"/>
    <w:rsid w:val="00D9552C"/>
    <w:rsid w:val="00D9557B"/>
    <w:rsid w:val="00D95660"/>
    <w:rsid w:val="00D9575E"/>
    <w:rsid w:val="00D958BF"/>
    <w:rsid w:val="00D958F5"/>
    <w:rsid w:val="00D9594A"/>
    <w:rsid w:val="00D959BF"/>
    <w:rsid w:val="00D95AA2"/>
    <w:rsid w:val="00D95AEE"/>
    <w:rsid w:val="00D95C7F"/>
    <w:rsid w:val="00D95D6B"/>
    <w:rsid w:val="00D95E6F"/>
    <w:rsid w:val="00D95E83"/>
    <w:rsid w:val="00D96182"/>
    <w:rsid w:val="00D9618A"/>
    <w:rsid w:val="00D963D1"/>
    <w:rsid w:val="00D963EC"/>
    <w:rsid w:val="00D96453"/>
    <w:rsid w:val="00D96587"/>
    <w:rsid w:val="00D965F4"/>
    <w:rsid w:val="00D96653"/>
    <w:rsid w:val="00D96752"/>
    <w:rsid w:val="00D9680E"/>
    <w:rsid w:val="00D9688B"/>
    <w:rsid w:val="00D968DB"/>
    <w:rsid w:val="00D96967"/>
    <w:rsid w:val="00D96992"/>
    <w:rsid w:val="00D96B1C"/>
    <w:rsid w:val="00D96B5A"/>
    <w:rsid w:val="00D96C2C"/>
    <w:rsid w:val="00D96C30"/>
    <w:rsid w:val="00D96D17"/>
    <w:rsid w:val="00D96D2D"/>
    <w:rsid w:val="00D96E2C"/>
    <w:rsid w:val="00D96E43"/>
    <w:rsid w:val="00D97037"/>
    <w:rsid w:val="00D97100"/>
    <w:rsid w:val="00D971F8"/>
    <w:rsid w:val="00D97221"/>
    <w:rsid w:val="00D97227"/>
    <w:rsid w:val="00D97233"/>
    <w:rsid w:val="00D97267"/>
    <w:rsid w:val="00D972A8"/>
    <w:rsid w:val="00D9738C"/>
    <w:rsid w:val="00D97451"/>
    <w:rsid w:val="00D97452"/>
    <w:rsid w:val="00D974CB"/>
    <w:rsid w:val="00D97539"/>
    <w:rsid w:val="00D97604"/>
    <w:rsid w:val="00D976E7"/>
    <w:rsid w:val="00D9776E"/>
    <w:rsid w:val="00D978BD"/>
    <w:rsid w:val="00D978BE"/>
    <w:rsid w:val="00D97A34"/>
    <w:rsid w:val="00D97A74"/>
    <w:rsid w:val="00D97B9F"/>
    <w:rsid w:val="00D97BD8"/>
    <w:rsid w:val="00D97C19"/>
    <w:rsid w:val="00D97CAA"/>
    <w:rsid w:val="00D97E5F"/>
    <w:rsid w:val="00D97E73"/>
    <w:rsid w:val="00D97E86"/>
    <w:rsid w:val="00DA005A"/>
    <w:rsid w:val="00DA00EA"/>
    <w:rsid w:val="00DA035E"/>
    <w:rsid w:val="00DA0412"/>
    <w:rsid w:val="00DA06A2"/>
    <w:rsid w:val="00DA06D1"/>
    <w:rsid w:val="00DA07DC"/>
    <w:rsid w:val="00DA08C8"/>
    <w:rsid w:val="00DA0928"/>
    <w:rsid w:val="00DA092B"/>
    <w:rsid w:val="00DA0AA2"/>
    <w:rsid w:val="00DA0AF2"/>
    <w:rsid w:val="00DA0B04"/>
    <w:rsid w:val="00DA0B12"/>
    <w:rsid w:val="00DA0B77"/>
    <w:rsid w:val="00DA0C06"/>
    <w:rsid w:val="00DA0C71"/>
    <w:rsid w:val="00DA0D03"/>
    <w:rsid w:val="00DA0DB9"/>
    <w:rsid w:val="00DA0EC3"/>
    <w:rsid w:val="00DA0F83"/>
    <w:rsid w:val="00DA1016"/>
    <w:rsid w:val="00DA110C"/>
    <w:rsid w:val="00DA11C4"/>
    <w:rsid w:val="00DA12E7"/>
    <w:rsid w:val="00DA131A"/>
    <w:rsid w:val="00DA1365"/>
    <w:rsid w:val="00DA1492"/>
    <w:rsid w:val="00DA1495"/>
    <w:rsid w:val="00DA1504"/>
    <w:rsid w:val="00DA152B"/>
    <w:rsid w:val="00DA172D"/>
    <w:rsid w:val="00DA1945"/>
    <w:rsid w:val="00DA198E"/>
    <w:rsid w:val="00DA1BAE"/>
    <w:rsid w:val="00DA1BD5"/>
    <w:rsid w:val="00DA1BD8"/>
    <w:rsid w:val="00DA1BE5"/>
    <w:rsid w:val="00DA1C91"/>
    <w:rsid w:val="00DA1CF1"/>
    <w:rsid w:val="00DA1E2B"/>
    <w:rsid w:val="00DA1F68"/>
    <w:rsid w:val="00DA1F74"/>
    <w:rsid w:val="00DA1FE5"/>
    <w:rsid w:val="00DA20A4"/>
    <w:rsid w:val="00DA2189"/>
    <w:rsid w:val="00DA218A"/>
    <w:rsid w:val="00DA2219"/>
    <w:rsid w:val="00DA222D"/>
    <w:rsid w:val="00DA226D"/>
    <w:rsid w:val="00DA2272"/>
    <w:rsid w:val="00DA22A1"/>
    <w:rsid w:val="00DA22F3"/>
    <w:rsid w:val="00DA23FA"/>
    <w:rsid w:val="00DA2435"/>
    <w:rsid w:val="00DA25A1"/>
    <w:rsid w:val="00DA26B4"/>
    <w:rsid w:val="00DA26D2"/>
    <w:rsid w:val="00DA277F"/>
    <w:rsid w:val="00DA28BA"/>
    <w:rsid w:val="00DA28F6"/>
    <w:rsid w:val="00DA2933"/>
    <w:rsid w:val="00DA29D7"/>
    <w:rsid w:val="00DA2A48"/>
    <w:rsid w:val="00DA2BB7"/>
    <w:rsid w:val="00DA2CF6"/>
    <w:rsid w:val="00DA2D36"/>
    <w:rsid w:val="00DA2DD8"/>
    <w:rsid w:val="00DA2DFB"/>
    <w:rsid w:val="00DA2F71"/>
    <w:rsid w:val="00DA3053"/>
    <w:rsid w:val="00DA3246"/>
    <w:rsid w:val="00DA32B6"/>
    <w:rsid w:val="00DA3398"/>
    <w:rsid w:val="00DA339A"/>
    <w:rsid w:val="00DA3436"/>
    <w:rsid w:val="00DA3449"/>
    <w:rsid w:val="00DA346F"/>
    <w:rsid w:val="00DA355C"/>
    <w:rsid w:val="00DA361F"/>
    <w:rsid w:val="00DA36AC"/>
    <w:rsid w:val="00DA36E3"/>
    <w:rsid w:val="00DA37DA"/>
    <w:rsid w:val="00DA37DB"/>
    <w:rsid w:val="00DA37DD"/>
    <w:rsid w:val="00DA37E9"/>
    <w:rsid w:val="00DA38D5"/>
    <w:rsid w:val="00DA38DE"/>
    <w:rsid w:val="00DA3A26"/>
    <w:rsid w:val="00DA3A4D"/>
    <w:rsid w:val="00DA3AD5"/>
    <w:rsid w:val="00DA3B4A"/>
    <w:rsid w:val="00DA3C8E"/>
    <w:rsid w:val="00DA3CAE"/>
    <w:rsid w:val="00DA3CCF"/>
    <w:rsid w:val="00DA3D49"/>
    <w:rsid w:val="00DA3D5A"/>
    <w:rsid w:val="00DA3DAC"/>
    <w:rsid w:val="00DA3DB3"/>
    <w:rsid w:val="00DA3DF2"/>
    <w:rsid w:val="00DA3E83"/>
    <w:rsid w:val="00DA3E85"/>
    <w:rsid w:val="00DA3E86"/>
    <w:rsid w:val="00DA3EE5"/>
    <w:rsid w:val="00DA3F06"/>
    <w:rsid w:val="00DA3F44"/>
    <w:rsid w:val="00DA3F4D"/>
    <w:rsid w:val="00DA3F4F"/>
    <w:rsid w:val="00DA3FE7"/>
    <w:rsid w:val="00DA403A"/>
    <w:rsid w:val="00DA40BE"/>
    <w:rsid w:val="00DA4184"/>
    <w:rsid w:val="00DA41A4"/>
    <w:rsid w:val="00DA4363"/>
    <w:rsid w:val="00DA4377"/>
    <w:rsid w:val="00DA4428"/>
    <w:rsid w:val="00DA4510"/>
    <w:rsid w:val="00DA4592"/>
    <w:rsid w:val="00DA4918"/>
    <w:rsid w:val="00DA49A2"/>
    <w:rsid w:val="00DA49D2"/>
    <w:rsid w:val="00DA4AEE"/>
    <w:rsid w:val="00DA4BB2"/>
    <w:rsid w:val="00DA4C03"/>
    <w:rsid w:val="00DA4C2F"/>
    <w:rsid w:val="00DA4CD5"/>
    <w:rsid w:val="00DA4DF8"/>
    <w:rsid w:val="00DA4EB8"/>
    <w:rsid w:val="00DA4F99"/>
    <w:rsid w:val="00DA505F"/>
    <w:rsid w:val="00DA51BB"/>
    <w:rsid w:val="00DA5228"/>
    <w:rsid w:val="00DA52C3"/>
    <w:rsid w:val="00DA532F"/>
    <w:rsid w:val="00DA53F5"/>
    <w:rsid w:val="00DA5502"/>
    <w:rsid w:val="00DA5539"/>
    <w:rsid w:val="00DA5560"/>
    <w:rsid w:val="00DA5609"/>
    <w:rsid w:val="00DA561E"/>
    <w:rsid w:val="00DA5655"/>
    <w:rsid w:val="00DA5948"/>
    <w:rsid w:val="00DA5975"/>
    <w:rsid w:val="00DA5C49"/>
    <w:rsid w:val="00DA5DE0"/>
    <w:rsid w:val="00DA5E9E"/>
    <w:rsid w:val="00DA5EE4"/>
    <w:rsid w:val="00DA5FD8"/>
    <w:rsid w:val="00DA6020"/>
    <w:rsid w:val="00DA6083"/>
    <w:rsid w:val="00DA60A9"/>
    <w:rsid w:val="00DA6267"/>
    <w:rsid w:val="00DA6292"/>
    <w:rsid w:val="00DA62EF"/>
    <w:rsid w:val="00DA6340"/>
    <w:rsid w:val="00DA63A2"/>
    <w:rsid w:val="00DA63AF"/>
    <w:rsid w:val="00DA659A"/>
    <w:rsid w:val="00DA65D8"/>
    <w:rsid w:val="00DA65E8"/>
    <w:rsid w:val="00DA6633"/>
    <w:rsid w:val="00DA66CD"/>
    <w:rsid w:val="00DA67FE"/>
    <w:rsid w:val="00DA6908"/>
    <w:rsid w:val="00DA6998"/>
    <w:rsid w:val="00DA6A1D"/>
    <w:rsid w:val="00DA6A88"/>
    <w:rsid w:val="00DA6A8C"/>
    <w:rsid w:val="00DA6BB3"/>
    <w:rsid w:val="00DA6BE0"/>
    <w:rsid w:val="00DA6C87"/>
    <w:rsid w:val="00DA6EF1"/>
    <w:rsid w:val="00DA6F07"/>
    <w:rsid w:val="00DA6F8A"/>
    <w:rsid w:val="00DA70FA"/>
    <w:rsid w:val="00DA7133"/>
    <w:rsid w:val="00DA71E3"/>
    <w:rsid w:val="00DA7200"/>
    <w:rsid w:val="00DA726F"/>
    <w:rsid w:val="00DA7364"/>
    <w:rsid w:val="00DA74BF"/>
    <w:rsid w:val="00DA7579"/>
    <w:rsid w:val="00DA75B6"/>
    <w:rsid w:val="00DA75EF"/>
    <w:rsid w:val="00DA7621"/>
    <w:rsid w:val="00DA7712"/>
    <w:rsid w:val="00DA772E"/>
    <w:rsid w:val="00DA7740"/>
    <w:rsid w:val="00DA77D4"/>
    <w:rsid w:val="00DA7875"/>
    <w:rsid w:val="00DA78B2"/>
    <w:rsid w:val="00DA7A0B"/>
    <w:rsid w:val="00DA7A42"/>
    <w:rsid w:val="00DA7A76"/>
    <w:rsid w:val="00DA7A8E"/>
    <w:rsid w:val="00DA7AA0"/>
    <w:rsid w:val="00DA7B7F"/>
    <w:rsid w:val="00DA7C08"/>
    <w:rsid w:val="00DA7C15"/>
    <w:rsid w:val="00DA7DB2"/>
    <w:rsid w:val="00DA7F4A"/>
    <w:rsid w:val="00DA7FF3"/>
    <w:rsid w:val="00DB0068"/>
    <w:rsid w:val="00DB0087"/>
    <w:rsid w:val="00DB00FF"/>
    <w:rsid w:val="00DB0108"/>
    <w:rsid w:val="00DB038A"/>
    <w:rsid w:val="00DB03DA"/>
    <w:rsid w:val="00DB0426"/>
    <w:rsid w:val="00DB0430"/>
    <w:rsid w:val="00DB05A3"/>
    <w:rsid w:val="00DB0666"/>
    <w:rsid w:val="00DB07D8"/>
    <w:rsid w:val="00DB07E6"/>
    <w:rsid w:val="00DB0869"/>
    <w:rsid w:val="00DB091A"/>
    <w:rsid w:val="00DB0954"/>
    <w:rsid w:val="00DB0A71"/>
    <w:rsid w:val="00DB0B97"/>
    <w:rsid w:val="00DB0BC2"/>
    <w:rsid w:val="00DB0C04"/>
    <w:rsid w:val="00DB0C0A"/>
    <w:rsid w:val="00DB0D9A"/>
    <w:rsid w:val="00DB0E40"/>
    <w:rsid w:val="00DB0EC3"/>
    <w:rsid w:val="00DB0ECF"/>
    <w:rsid w:val="00DB0ED2"/>
    <w:rsid w:val="00DB0EFA"/>
    <w:rsid w:val="00DB0F0F"/>
    <w:rsid w:val="00DB11B1"/>
    <w:rsid w:val="00DB11BC"/>
    <w:rsid w:val="00DB1244"/>
    <w:rsid w:val="00DB1245"/>
    <w:rsid w:val="00DB12C7"/>
    <w:rsid w:val="00DB1343"/>
    <w:rsid w:val="00DB13A6"/>
    <w:rsid w:val="00DB13B9"/>
    <w:rsid w:val="00DB1447"/>
    <w:rsid w:val="00DB1498"/>
    <w:rsid w:val="00DB1558"/>
    <w:rsid w:val="00DB15AC"/>
    <w:rsid w:val="00DB15DE"/>
    <w:rsid w:val="00DB15E9"/>
    <w:rsid w:val="00DB15FD"/>
    <w:rsid w:val="00DB1639"/>
    <w:rsid w:val="00DB181D"/>
    <w:rsid w:val="00DB1894"/>
    <w:rsid w:val="00DB18ED"/>
    <w:rsid w:val="00DB19D5"/>
    <w:rsid w:val="00DB1C85"/>
    <w:rsid w:val="00DB1D3B"/>
    <w:rsid w:val="00DB1EB9"/>
    <w:rsid w:val="00DB1FE3"/>
    <w:rsid w:val="00DB20CD"/>
    <w:rsid w:val="00DB215C"/>
    <w:rsid w:val="00DB217D"/>
    <w:rsid w:val="00DB2201"/>
    <w:rsid w:val="00DB2280"/>
    <w:rsid w:val="00DB2405"/>
    <w:rsid w:val="00DB2442"/>
    <w:rsid w:val="00DB2468"/>
    <w:rsid w:val="00DB2574"/>
    <w:rsid w:val="00DB25A1"/>
    <w:rsid w:val="00DB25B1"/>
    <w:rsid w:val="00DB264C"/>
    <w:rsid w:val="00DB2652"/>
    <w:rsid w:val="00DB2678"/>
    <w:rsid w:val="00DB2769"/>
    <w:rsid w:val="00DB282D"/>
    <w:rsid w:val="00DB2831"/>
    <w:rsid w:val="00DB285C"/>
    <w:rsid w:val="00DB28CD"/>
    <w:rsid w:val="00DB293C"/>
    <w:rsid w:val="00DB296F"/>
    <w:rsid w:val="00DB2A13"/>
    <w:rsid w:val="00DB2A17"/>
    <w:rsid w:val="00DB2A63"/>
    <w:rsid w:val="00DB2AA3"/>
    <w:rsid w:val="00DB2B40"/>
    <w:rsid w:val="00DB2BA4"/>
    <w:rsid w:val="00DB2BA8"/>
    <w:rsid w:val="00DB2BFD"/>
    <w:rsid w:val="00DB2C33"/>
    <w:rsid w:val="00DB2C4F"/>
    <w:rsid w:val="00DB2DC0"/>
    <w:rsid w:val="00DB2E00"/>
    <w:rsid w:val="00DB2F80"/>
    <w:rsid w:val="00DB2F96"/>
    <w:rsid w:val="00DB2FAD"/>
    <w:rsid w:val="00DB2FC1"/>
    <w:rsid w:val="00DB3039"/>
    <w:rsid w:val="00DB30CA"/>
    <w:rsid w:val="00DB3151"/>
    <w:rsid w:val="00DB317E"/>
    <w:rsid w:val="00DB3241"/>
    <w:rsid w:val="00DB3266"/>
    <w:rsid w:val="00DB32BF"/>
    <w:rsid w:val="00DB3342"/>
    <w:rsid w:val="00DB335D"/>
    <w:rsid w:val="00DB3437"/>
    <w:rsid w:val="00DB3498"/>
    <w:rsid w:val="00DB375A"/>
    <w:rsid w:val="00DB3771"/>
    <w:rsid w:val="00DB37A2"/>
    <w:rsid w:val="00DB37D4"/>
    <w:rsid w:val="00DB3822"/>
    <w:rsid w:val="00DB3989"/>
    <w:rsid w:val="00DB3AD7"/>
    <w:rsid w:val="00DB3AFF"/>
    <w:rsid w:val="00DB3B54"/>
    <w:rsid w:val="00DB3D19"/>
    <w:rsid w:val="00DB3D47"/>
    <w:rsid w:val="00DB3F3D"/>
    <w:rsid w:val="00DB3FA0"/>
    <w:rsid w:val="00DB402D"/>
    <w:rsid w:val="00DB404C"/>
    <w:rsid w:val="00DB40FD"/>
    <w:rsid w:val="00DB4242"/>
    <w:rsid w:val="00DB424C"/>
    <w:rsid w:val="00DB4426"/>
    <w:rsid w:val="00DB44F8"/>
    <w:rsid w:val="00DB45D1"/>
    <w:rsid w:val="00DB45D2"/>
    <w:rsid w:val="00DB4796"/>
    <w:rsid w:val="00DB479D"/>
    <w:rsid w:val="00DB47EB"/>
    <w:rsid w:val="00DB4832"/>
    <w:rsid w:val="00DB4944"/>
    <w:rsid w:val="00DB4A4D"/>
    <w:rsid w:val="00DB4BB0"/>
    <w:rsid w:val="00DB4C02"/>
    <w:rsid w:val="00DB4DA4"/>
    <w:rsid w:val="00DB4DD5"/>
    <w:rsid w:val="00DB5011"/>
    <w:rsid w:val="00DB5063"/>
    <w:rsid w:val="00DB5324"/>
    <w:rsid w:val="00DB5413"/>
    <w:rsid w:val="00DB5464"/>
    <w:rsid w:val="00DB5474"/>
    <w:rsid w:val="00DB54B2"/>
    <w:rsid w:val="00DB5556"/>
    <w:rsid w:val="00DB56C6"/>
    <w:rsid w:val="00DB571C"/>
    <w:rsid w:val="00DB589C"/>
    <w:rsid w:val="00DB58CB"/>
    <w:rsid w:val="00DB592C"/>
    <w:rsid w:val="00DB5A0C"/>
    <w:rsid w:val="00DB5A6B"/>
    <w:rsid w:val="00DB5A9F"/>
    <w:rsid w:val="00DB5B79"/>
    <w:rsid w:val="00DB5B96"/>
    <w:rsid w:val="00DB5BD2"/>
    <w:rsid w:val="00DB5D6B"/>
    <w:rsid w:val="00DB5DAA"/>
    <w:rsid w:val="00DB5E6F"/>
    <w:rsid w:val="00DB5EF3"/>
    <w:rsid w:val="00DB5F53"/>
    <w:rsid w:val="00DB623F"/>
    <w:rsid w:val="00DB639D"/>
    <w:rsid w:val="00DB6409"/>
    <w:rsid w:val="00DB64B0"/>
    <w:rsid w:val="00DB6584"/>
    <w:rsid w:val="00DB65EB"/>
    <w:rsid w:val="00DB66A9"/>
    <w:rsid w:val="00DB671D"/>
    <w:rsid w:val="00DB678E"/>
    <w:rsid w:val="00DB6848"/>
    <w:rsid w:val="00DB6873"/>
    <w:rsid w:val="00DB690D"/>
    <w:rsid w:val="00DB691B"/>
    <w:rsid w:val="00DB6948"/>
    <w:rsid w:val="00DB6952"/>
    <w:rsid w:val="00DB699E"/>
    <w:rsid w:val="00DB6A53"/>
    <w:rsid w:val="00DB6ABE"/>
    <w:rsid w:val="00DB6B28"/>
    <w:rsid w:val="00DB6B44"/>
    <w:rsid w:val="00DB6B7D"/>
    <w:rsid w:val="00DB6E0F"/>
    <w:rsid w:val="00DB6EDF"/>
    <w:rsid w:val="00DB700C"/>
    <w:rsid w:val="00DB712F"/>
    <w:rsid w:val="00DB7425"/>
    <w:rsid w:val="00DB7486"/>
    <w:rsid w:val="00DB74EE"/>
    <w:rsid w:val="00DB7526"/>
    <w:rsid w:val="00DB7587"/>
    <w:rsid w:val="00DB7601"/>
    <w:rsid w:val="00DB764A"/>
    <w:rsid w:val="00DB765E"/>
    <w:rsid w:val="00DB77D2"/>
    <w:rsid w:val="00DB7836"/>
    <w:rsid w:val="00DB7903"/>
    <w:rsid w:val="00DB7947"/>
    <w:rsid w:val="00DB7A0C"/>
    <w:rsid w:val="00DB7A5A"/>
    <w:rsid w:val="00DB7A81"/>
    <w:rsid w:val="00DB7D5A"/>
    <w:rsid w:val="00DB7E0D"/>
    <w:rsid w:val="00DB7E43"/>
    <w:rsid w:val="00DB7ED6"/>
    <w:rsid w:val="00DB7FAC"/>
    <w:rsid w:val="00DC003F"/>
    <w:rsid w:val="00DC00DB"/>
    <w:rsid w:val="00DC0123"/>
    <w:rsid w:val="00DC01D8"/>
    <w:rsid w:val="00DC02A4"/>
    <w:rsid w:val="00DC0390"/>
    <w:rsid w:val="00DC03CA"/>
    <w:rsid w:val="00DC03CD"/>
    <w:rsid w:val="00DC0428"/>
    <w:rsid w:val="00DC042F"/>
    <w:rsid w:val="00DC045F"/>
    <w:rsid w:val="00DC0535"/>
    <w:rsid w:val="00DC0551"/>
    <w:rsid w:val="00DC0577"/>
    <w:rsid w:val="00DC0579"/>
    <w:rsid w:val="00DC0582"/>
    <w:rsid w:val="00DC05C4"/>
    <w:rsid w:val="00DC061D"/>
    <w:rsid w:val="00DC07C2"/>
    <w:rsid w:val="00DC0843"/>
    <w:rsid w:val="00DC08C7"/>
    <w:rsid w:val="00DC09A4"/>
    <w:rsid w:val="00DC0A98"/>
    <w:rsid w:val="00DC0B1A"/>
    <w:rsid w:val="00DC0B57"/>
    <w:rsid w:val="00DC0B8B"/>
    <w:rsid w:val="00DC0B9B"/>
    <w:rsid w:val="00DC0B9C"/>
    <w:rsid w:val="00DC0BA2"/>
    <w:rsid w:val="00DC0C3B"/>
    <w:rsid w:val="00DC0CEB"/>
    <w:rsid w:val="00DC0DB5"/>
    <w:rsid w:val="00DC0DF9"/>
    <w:rsid w:val="00DC0E84"/>
    <w:rsid w:val="00DC0F09"/>
    <w:rsid w:val="00DC0F9C"/>
    <w:rsid w:val="00DC0FCA"/>
    <w:rsid w:val="00DC0FE5"/>
    <w:rsid w:val="00DC10A0"/>
    <w:rsid w:val="00DC1123"/>
    <w:rsid w:val="00DC11F1"/>
    <w:rsid w:val="00DC1358"/>
    <w:rsid w:val="00DC144C"/>
    <w:rsid w:val="00DC1502"/>
    <w:rsid w:val="00DC1614"/>
    <w:rsid w:val="00DC1631"/>
    <w:rsid w:val="00DC1671"/>
    <w:rsid w:val="00DC1801"/>
    <w:rsid w:val="00DC190C"/>
    <w:rsid w:val="00DC1A0A"/>
    <w:rsid w:val="00DC1AE6"/>
    <w:rsid w:val="00DC1B70"/>
    <w:rsid w:val="00DC1C16"/>
    <w:rsid w:val="00DC1C9D"/>
    <w:rsid w:val="00DC1D0A"/>
    <w:rsid w:val="00DC1D53"/>
    <w:rsid w:val="00DC1D55"/>
    <w:rsid w:val="00DC1D73"/>
    <w:rsid w:val="00DC1DEC"/>
    <w:rsid w:val="00DC1E5E"/>
    <w:rsid w:val="00DC1F3F"/>
    <w:rsid w:val="00DC1F44"/>
    <w:rsid w:val="00DC202F"/>
    <w:rsid w:val="00DC2061"/>
    <w:rsid w:val="00DC20EB"/>
    <w:rsid w:val="00DC210A"/>
    <w:rsid w:val="00DC2131"/>
    <w:rsid w:val="00DC2289"/>
    <w:rsid w:val="00DC232F"/>
    <w:rsid w:val="00DC24A1"/>
    <w:rsid w:val="00DC2551"/>
    <w:rsid w:val="00DC25C9"/>
    <w:rsid w:val="00DC26C9"/>
    <w:rsid w:val="00DC2720"/>
    <w:rsid w:val="00DC2866"/>
    <w:rsid w:val="00DC28DF"/>
    <w:rsid w:val="00DC28FF"/>
    <w:rsid w:val="00DC2B0F"/>
    <w:rsid w:val="00DC2C66"/>
    <w:rsid w:val="00DC2D44"/>
    <w:rsid w:val="00DC2E38"/>
    <w:rsid w:val="00DC2E4E"/>
    <w:rsid w:val="00DC2F3D"/>
    <w:rsid w:val="00DC2F88"/>
    <w:rsid w:val="00DC301F"/>
    <w:rsid w:val="00DC30EA"/>
    <w:rsid w:val="00DC3108"/>
    <w:rsid w:val="00DC3150"/>
    <w:rsid w:val="00DC319E"/>
    <w:rsid w:val="00DC3262"/>
    <w:rsid w:val="00DC327E"/>
    <w:rsid w:val="00DC3371"/>
    <w:rsid w:val="00DC346D"/>
    <w:rsid w:val="00DC3474"/>
    <w:rsid w:val="00DC3550"/>
    <w:rsid w:val="00DC3580"/>
    <w:rsid w:val="00DC3665"/>
    <w:rsid w:val="00DC378F"/>
    <w:rsid w:val="00DC3833"/>
    <w:rsid w:val="00DC3854"/>
    <w:rsid w:val="00DC392D"/>
    <w:rsid w:val="00DC3A28"/>
    <w:rsid w:val="00DC3A9B"/>
    <w:rsid w:val="00DC3B69"/>
    <w:rsid w:val="00DC3BAA"/>
    <w:rsid w:val="00DC3C06"/>
    <w:rsid w:val="00DC3C16"/>
    <w:rsid w:val="00DC3E31"/>
    <w:rsid w:val="00DC3E9E"/>
    <w:rsid w:val="00DC3EF6"/>
    <w:rsid w:val="00DC3FBD"/>
    <w:rsid w:val="00DC3FC3"/>
    <w:rsid w:val="00DC400B"/>
    <w:rsid w:val="00DC40AE"/>
    <w:rsid w:val="00DC4155"/>
    <w:rsid w:val="00DC4201"/>
    <w:rsid w:val="00DC420A"/>
    <w:rsid w:val="00DC421D"/>
    <w:rsid w:val="00DC4227"/>
    <w:rsid w:val="00DC4271"/>
    <w:rsid w:val="00DC4374"/>
    <w:rsid w:val="00DC445E"/>
    <w:rsid w:val="00DC45B3"/>
    <w:rsid w:val="00DC4803"/>
    <w:rsid w:val="00DC484D"/>
    <w:rsid w:val="00DC4A6A"/>
    <w:rsid w:val="00DC4AA6"/>
    <w:rsid w:val="00DC4AD5"/>
    <w:rsid w:val="00DC4AE4"/>
    <w:rsid w:val="00DC4B41"/>
    <w:rsid w:val="00DC4BCF"/>
    <w:rsid w:val="00DC4CA5"/>
    <w:rsid w:val="00DC4D7E"/>
    <w:rsid w:val="00DC4EDA"/>
    <w:rsid w:val="00DC4F7C"/>
    <w:rsid w:val="00DC504A"/>
    <w:rsid w:val="00DC506C"/>
    <w:rsid w:val="00DC5076"/>
    <w:rsid w:val="00DC50E3"/>
    <w:rsid w:val="00DC512F"/>
    <w:rsid w:val="00DC515C"/>
    <w:rsid w:val="00DC515F"/>
    <w:rsid w:val="00DC5165"/>
    <w:rsid w:val="00DC523A"/>
    <w:rsid w:val="00DC53B1"/>
    <w:rsid w:val="00DC542E"/>
    <w:rsid w:val="00DC5559"/>
    <w:rsid w:val="00DC5606"/>
    <w:rsid w:val="00DC5610"/>
    <w:rsid w:val="00DC56DB"/>
    <w:rsid w:val="00DC5868"/>
    <w:rsid w:val="00DC589C"/>
    <w:rsid w:val="00DC597A"/>
    <w:rsid w:val="00DC59B0"/>
    <w:rsid w:val="00DC5B99"/>
    <w:rsid w:val="00DC5BE8"/>
    <w:rsid w:val="00DC5CB4"/>
    <w:rsid w:val="00DC5CF5"/>
    <w:rsid w:val="00DC5D38"/>
    <w:rsid w:val="00DC5DD0"/>
    <w:rsid w:val="00DC5EBD"/>
    <w:rsid w:val="00DC5FE1"/>
    <w:rsid w:val="00DC5FE7"/>
    <w:rsid w:val="00DC613C"/>
    <w:rsid w:val="00DC6444"/>
    <w:rsid w:val="00DC646D"/>
    <w:rsid w:val="00DC64A3"/>
    <w:rsid w:val="00DC64A5"/>
    <w:rsid w:val="00DC64E6"/>
    <w:rsid w:val="00DC6701"/>
    <w:rsid w:val="00DC6730"/>
    <w:rsid w:val="00DC676D"/>
    <w:rsid w:val="00DC6852"/>
    <w:rsid w:val="00DC6893"/>
    <w:rsid w:val="00DC68AA"/>
    <w:rsid w:val="00DC68D7"/>
    <w:rsid w:val="00DC68DD"/>
    <w:rsid w:val="00DC6970"/>
    <w:rsid w:val="00DC69F8"/>
    <w:rsid w:val="00DC6A18"/>
    <w:rsid w:val="00DC6A77"/>
    <w:rsid w:val="00DC6C3B"/>
    <w:rsid w:val="00DC6CB0"/>
    <w:rsid w:val="00DC6DC7"/>
    <w:rsid w:val="00DC6E9A"/>
    <w:rsid w:val="00DC7054"/>
    <w:rsid w:val="00DC70D6"/>
    <w:rsid w:val="00DC716F"/>
    <w:rsid w:val="00DC7199"/>
    <w:rsid w:val="00DC7244"/>
    <w:rsid w:val="00DC72F3"/>
    <w:rsid w:val="00DC7327"/>
    <w:rsid w:val="00DC73E1"/>
    <w:rsid w:val="00DC7406"/>
    <w:rsid w:val="00DC759C"/>
    <w:rsid w:val="00DC75E1"/>
    <w:rsid w:val="00DC765F"/>
    <w:rsid w:val="00DC7716"/>
    <w:rsid w:val="00DC77A3"/>
    <w:rsid w:val="00DC7854"/>
    <w:rsid w:val="00DC78DE"/>
    <w:rsid w:val="00DC792B"/>
    <w:rsid w:val="00DC7966"/>
    <w:rsid w:val="00DC79FF"/>
    <w:rsid w:val="00DC7B4A"/>
    <w:rsid w:val="00DC7B95"/>
    <w:rsid w:val="00DC7BDF"/>
    <w:rsid w:val="00DC7C29"/>
    <w:rsid w:val="00DC7DBB"/>
    <w:rsid w:val="00DC7DC4"/>
    <w:rsid w:val="00DC7DFB"/>
    <w:rsid w:val="00DC7ED3"/>
    <w:rsid w:val="00DC7FCE"/>
    <w:rsid w:val="00DD0049"/>
    <w:rsid w:val="00DD005D"/>
    <w:rsid w:val="00DD00EA"/>
    <w:rsid w:val="00DD011C"/>
    <w:rsid w:val="00DD0133"/>
    <w:rsid w:val="00DD0192"/>
    <w:rsid w:val="00DD01C4"/>
    <w:rsid w:val="00DD01F6"/>
    <w:rsid w:val="00DD02CF"/>
    <w:rsid w:val="00DD047D"/>
    <w:rsid w:val="00DD051A"/>
    <w:rsid w:val="00DD057A"/>
    <w:rsid w:val="00DD067B"/>
    <w:rsid w:val="00DD0759"/>
    <w:rsid w:val="00DD07E6"/>
    <w:rsid w:val="00DD086C"/>
    <w:rsid w:val="00DD0884"/>
    <w:rsid w:val="00DD0A26"/>
    <w:rsid w:val="00DD0A61"/>
    <w:rsid w:val="00DD0AD6"/>
    <w:rsid w:val="00DD0B52"/>
    <w:rsid w:val="00DD0BF9"/>
    <w:rsid w:val="00DD0C87"/>
    <w:rsid w:val="00DD0D1B"/>
    <w:rsid w:val="00DD0D2D"/>
    <w:rsid w:val="00DD0D47"/>
    <w:rsid w:val="00DD0D78"/>
    <w:rsid w:val="00DD0E13"/>
    <w:rsid w:val="00DD0E93"/>
    <w:rsid w:val="00DD0F89"/>
    <w:rsid w:val="00DD1007"/>
    <w:rsid w:val="00DD109B"/>
    <w:rsid w:val="00DD11AC"/>
    <w:rsid w:val="00DD128E"/>
    <w:rsid w:val="00DD12AE"/>
    <w:rsid w:val="00DD1381"/>
    <w:rsid w:val="00DD13DD"/>
    <w:rsid w:val="00DD140A"/>
    <w:rsid w:val="00DD142A"/>
    <w:rsid w:val="00DD14E6"/>
    <w:rsid w:val="00DD1743"/>
    <w:rsid w:val="00DD18C2"/>
    <w:rsid w:val="00DD18C7"/>
    <w:rsid w:val="00DD18CC"/>
    <w:rsid w:val="00DD1936"/>
    <w:rsid w:val="00DD19A1"/>
    <w:rsid w:val="00DD1A07"/>
    <w:rsid w:val="00DD1B15"/>
    <w:rsid w:val="00DD1B59"/>
    <w:rsid w:val="00DD1B89"/>
    <w:rsid w:val="00DD1BBA"/>
    <w:rsid w:val="00DD1C8A"/>
    <w:rsid w:val="00DD1CF5"/>
    <w:rsid w:val="00DD1D11"/>
    <w:rsid w:val="00DD1F2B"/>
    <w:rsid w:val="00DD1FA4"/>
    <w:rsid w:val="00DD1FAB"/>
    <w:rsid w:val="00DD221A"/>
    <w:rsid w:val="00DD223D"/>
    <w:rsid w:val="00DD226E"/>
    <w:rsid w:val="00DD229F"/>
    <w:rsid w:val="00DD2360"/>
    <w:rsid w:val="00DD23E2"/>
    <w:rsid w:val="00DD2402"/>
    <w:rsid w:val="00DD247F"/>
    <w:rsid w:val="00DD2715"/>
    <w:rsid w:val="00DD2741"/>
    <w:rsid w:val="00DD2748"/>
    <w:rsid w:val="00DD2755"/>
    <w:rsid w:val="00DD27BC"/>
    <w:rsid w:val="00DD28F4"/>
    <w:rsid w:val="00DD2989"/>
    <w:rsid w:val="00DD2A14"/>
    <w:rsid w:val="00DD2A4B"/>
    <w:rsid w:val="00DD2A5F"/>
    <w:rsid w:val="00DD2A7A"/>
    <w:rsid w:val="00DD2ABF"/>
    <w:rsid w:val="00DD2B20"/>
    <w:rsid w:val="00DD2B75"/>
    <w:rsid w:val="00DD2BF7"/>
    <w:rsid w:val="00DD2C83"/>
    <w:rsid w:val="00DD2CD0"/>
    <w:rsid w:val="00DD2DAB"/>
    <w:rsid w:val="00DD2E23"/>
    <w:rsid w:val="00DD2F58"/>
    <w:rsid w:val="00DD306F"/>
    <w:rsid w:val="00DD3076"/>
    <w:rsid w:val="00DD314C"/>
    <w:rsid w:val="00DD3152"/>
    <w:rsid w:val="00DD3200"/>
    <w:rsid w:val="00DD3231"/>
    <w:rsid w:val="00DD3238"/>
    <w:rsid w:val="00DD3275"/>
    <w:rsid w:val="00DD32CD"/>
    <w:rsid w:val="00DD33C3"/>
    <w:rsid w:val="00DD3428"/>
    <w:rsid w:val="00DD3451"/>
    <w:rsid w:val="00DD3481"/>
    <w:rsid w:val="00DD35AF"/>
    <w:rsid w:val="00DD36D2"/>
    <w:rsid w:val="00DD37A4"/>
    <w:rsid w:val="00DD3844"/>
    <w:rsid w:val="00DD38CE"/>
    <w:rsid w:val="00DD3901"/>
    <w:rsid w:val="00DD3945"/>
    <w:rsid w:val="00DD39EB"/>
    <w:rsid w:val="00DD3B9A"/>
    <w:rsid w:val="00DD3C70"/>
    <w:rsid w:val="00DD3D35"/>
    <w:rsid w:val="00DD3F0B"/>
    <w:rsid w:val="00DD3F4A"/>
    <w:rsid w:val="00DD4002"/>
    <w:rsid w:val="00DD41FC"/>
    <w:rsid w:val="00DD4384"/>
    <w:rsid w:val="00DD4412"/>
    <w:rsid w:val="00DD44B1"/>
    <w:rsid w:val="00DD4613"/>
    <w:rsid w:val="00DD4647"/>
    <w:rsid w:val="00DD46DD"/>
    <w:rsid w:val="00DD470F"/>
    <w:rsid w:val="00DD4760"/>
    <w:rsid w:val="00DD47B5"/>
    <w:rsid w:val="00DD4815"/>
    <w:rsid w:val="00DD485C"/>
    <w:rsid w:val="00DD48D7"/>
    <w:rsid w:val="00DD48FB"/>
    <w:rsid w:val="00DD4AB4"/>
    <w:rsid w:val="00DD4AC2"/>
    <w:rsid w:val="00DD4B41"/>
    <w:rsid w:val="00DD4CC5"/>
    <w:rsid w:val="00DD4D72"/>
    <w:rsid w:val="00DD4DBB"/>
    <w:rsid w:val="00DD4F1A"/>
    <w:rsid w:val="00DD4FDD"/>
    <w:rsid w:val="00DD506C"/>
    <w:rsid w:val="00DD50B8"/>
    <w:rsid w:val="00DD5152"/>
    <w:rsid w:val="00DD518B"/>
    <w:rsid w:val="00DD51DC"/>
    <w:rsid w:val="00DD524E"/>
    <w:rsid w:val="00DD52A4"/>
    <w:rsid w:val="00DD530B"/>
    <w:rsid w:val="00DD5396"/>
    <w:rsid w:val="00DD53FC"/>
    <w:rsid w:val="00DD5480"/>
    <w:rsid w:val="00DD54D2"/>
    <w:rsid w:val="00DD5500"/>
    <w:rsid w:val="00DD5583"/>
    <w:rsid w:val="00DD574F"/>
    <w:rsid w:val="00DD5752"/>
    <w:rsid w:val="00DD5832"/>
    <w:rsid w:val="00DD5882"/>
    <w:rsid w:val="00DD589A"/>
    <w:rsid w:val="00DD58F1"/>
    <w:rsid w:val="00DD59F4"/>
    <w:rsid w:val="00DD5B07"/>
    <w:rsid w:val="00DD5B97"/>
    <w:rsid w:val="00DD5C69"/>
    <w:rsid w:val="00DD5CA5"/>
    <w:rsid w:val="00DD5D06"/>
    <w:rsid w:val="00DD5D46"/>
    <w:rsid w:val="00DD5E9A"/>
    <w:rsid w:val="00DD5F68"/>
    <w:rsid w:val="00DD6069"/>
    <w:rsid w:val="00DD60F9"/>
    <w:rsid w:val="00DD616E"/>
    <w:rsid w:val="00DD624D"/>
    <w:rsid w:val="00DD6302"/>
    <w:rsid w:val="00DD6314"/>
    <w:rsid w:val="00DD6432"/>
    <w:rsid w:val="00DD64F9"/>
    <w:rsid w:val="00DD65ED"/>
    <w:rsid w:val="00DD6614"/>
    <w:rsid w:val="00DD6704"/>
    <w:rsid w:val="00DD681F"/>
    <w:rsid w:val="00DD6918"/>
    <w:rsid w:val="00DD6A66"/>
    <w:rsid w:val="00DD6AD6"/>
    <w:rsid w:val="00DD6B43"/>
    <w:rsid w:val="00DD6B72"/>
    <w:rsid w:val="00DD6B82"/>
    <w:rsid w:val="00DD6BAF"/>
    <w:rsid w:val="00DD6C3C"/>
    <w:rsid w:val="00DD6C49"/>
    <w:rsid w:val="00DD6C69"/>
    <w:rsid w:val="00DD6D8E"/>
    <w:rsid w:val="00DD6E2B"/>
    <w:rsid w:val="00DD6E47"/>
    <w:rsid w:val="00DD6E4E"/>
    <w:rsid w:val="00DD6E62"/>
    <w:rsid w:val="00DD6E9F"/>
    <w:rsid w:val="00DD6ED7"/>
    <w:rsid w:val="00DD6F25"/>
    <w:rsid w:val="00DD6FCE"/>
    <w:rsid w:val="00DD7033"/>
    <w:rsid w:val="00DD713B"/>
    <w:rsid w:val="00DD7144"/>
    <w:rsid w:val="00DD72BB"/>
    <w:rsid w:val="00DD7333"/>
    <w:rsid w:val="00DD7391"/>
    <w:rsid w:val="00DD73B3"/>
    <w:rsid w:val="00DD750E"/>
    <w:rsid w:val="00DD7529"/>
    <w:rsid w:val="00DD752B"/>
    <w:rsid w:val="00DD7610"/>
    <w:rsid w:val="00DD7674"/>
    <w:rsid w:val="00DD7717"/>
    <w:rsid w:val="00DD77E4"/>
    <w:rsid w:val="00DD78E2"/>
    <w:rsid w:val="00DD7A09"/>
    <w:rsid w:val="00DD7A5C"/>
    <w:rsid w:val="00DD7BEA"/>
    <w:rsid w:val="00DD7CCD"/>
    <w:rsid w:val="00DD7D30"/>
    <w:rsid w:val="00DD7D3B"/>
    <w:rsid w:val="00DD7D97"/>
    <w:rsid w:val="00DD7DDB"/>
    <w:rsid w:val="00DD7E51"/>
    <w:rsid w:val="00DD7E74"/>
    <w:rsid w:val="00DE0252"/>
    <w:rsid w:val="00DE0262"/>
    <w:rsid w:val="00DE056B"/>
    <w:rsid w:val="00DE0577"/>
    <w:rsid w:val="00DE0593"/>
    <w:rsid w:val="00DE069C"/>
    <w:rsid w:val="00DE0744"/>
    <w:rsid w:val="00DE0812"/>
    <w:rsid w:val="00DE0887"/>
    <w:rsid w:val="00DE0969"/>
    <w:rsid w:val="00DE0AA1"/>
    <w:rsid w:val="00DE0BC6"/>
    <w:rsid w:val="00DE0C74"/>
    <w:rsid w:val="00DE0C9E"/>
    <w:rsid w:val="00DE0CF5"/>
    <w:rsid w:val="00DE0D3A"/>
    <w:rsid w:val="00DE0D3E"/>
    <w:rsid w:val="00DE0DAB"/>
    <w:rsid w:val="00DE0DEB"/>
    <w:rsid w:val="00DE0DF6"/>
    <w:rsid w:val="00DE0E18"/>
    <w:rsid w:val="00DE0E3A"/>
    <w:rsid w:val="00DE0E70"/>
    <w:rsid w:val="00DE0F38"/>
    <w:rsid w:val="00DE0F50"/>
    <w:rsid w:val="00DE0FD2"/>
    <w:rsid w:val="00DE0FF2"/>
    <w:rsid w:val="00DE1006"/>
    <w:rsid w:val="00DE1017"/>
    <w:rsid w:val="00DE118C"/>
    <w:rsid w:val="00DE1192"/>
    <w:rsid w:val="00DE12AE"/>
    <w:rsid w:val="00DE1303"/>
    <w:rsid w:val="00DE137D"/>
    <w:rsid w:val="00DE1430"/>
    <w:rsid w:val="00DE1454"/>
    <w:rsid w:val="00DE16B0"/>
    <w:rsid w:val="00DE16FB"/>
    <w:rsid w:val="00DE171B"/>
    <w:rsid w:val="00DE1736"/>
    <w:rsid w:val="00DE17C4"/>
    <w:rsid w:val="00DE17CE"/>
    <w:rsid w:val="00DE17E7"/>
    <w:rsid w:val="00DE187F"/>
    <w:rsid w:val="00DE18EA"/>
    <w:rsid w:val="00DE1940"/>
    <w:rsid w:val="00DE1985"/>
    <w:rsid w:val="00DE1AAF"/>
    <w:rsid w:val="00DE1B41"/>
    <w:rsid w:val="00DE1BEF"/>
    <w:rsid w:val="00DE1CF6"/>
    <w:rsid w:val="00DE1D3F"/>
    <w:rsid w:val="00DE1D51"/>
    <w:rsid w:val="00DE1D84"/>
    <w:rsid w:val="00DE1E29"/>
    <w:rsid w:val="00DE1EAA"/>
    <w:rsid w:val="00DE1ED1"/>
    <w:rsid w:val="00DE1FAC"/>
    <w:rsid w:val="00DE20CB"/>
    <w:rsid w:val="00DE21AC"/>
    <w:rsid w:val="00DE21EB"/>
    <w:rsid w:val="00DE223A"/>
    <w:rsid w:val="00DE2368"/>
    <w:rsid w:val="00DE2382"/>
    <w:rsid w:val="00DE249A"/>
    <w:rsid w:val="00DE25B6"/>
    <w:rsid w:val="00DE26B2"/>
    <w:rsid w:val="00DE26E6"/>
    <w:rsid w:val="00DE27A5"/>
    <w:rsid w:val="00DE283A"/>
    <w:rsid w:val="00DE28EE"/>
    <w:rsid w:val="00DE28F7"/>
    <w:rsid w:val="00DE29D1"/>
    <w:rsid w:val="00DE2AFA"/>
    <w:rsid w:val="00DE2B59"/>
    <w:rsid w:val="00DE2BE7"/>
    <w:rsid w:val="00DE2CF0"/>
    <w:rsid w:val="00DE2DD0"/>
    <w:rsid w:val="00DE2DF9"/>
    <w:rsid w:val="00DE2EA3"/>
    <w:rsid w:val="00DE2ED6"/>
    <w:rsid w:val="00DE2F2A"/>
    <w:rsid w:val="00DE2F53"/>
    <w:rsid w:val="00DE3081"/>
    <w:rsid w:val="00DE30DF"/>
    <w:rsid w:val="00DE3104"/>
    <w:rsid w:val="00DE3220"/>
    <w:rsid w:val="00DE327B"/>
    <w:rsid w:val="00DE32BD"/>
    <w:rsid w:val="00DE32BE"/>
    <w:rsid w:val="00DE3382"/>
    <w:rsid w:val="00DE33B8"/>
    <w:rsid w:val="00DE33D5"/>
    <w:rsid w:val="00DE3429"/>
    <w:rsid w:val="00DE35D2"/>
    <w:rsid w:val="00DE364C"/>
    <w:rsid w:val="00DE367B"/>
    <w:rsid w:val="00DE36BB"/>
    <w:rsid w:val="00DE379C"/>
    <w:rsid w:val="00DE3826"/>
    <w:rsid w:val="00DE3909"/>
    <w:rsid w:val="00DE3920"/>
    <w:rsid w:val="00DE39BA"/>
    <w:rsid w:val="00DE3A68"/>
    <w:rsid w:val="00DE3B25"/>
    <w:rsid w:val="00DE3BE0"/>
    <w:rsid w:val="00DE3BE1"/>
    <w:rsid w:val="00DE3C60"/>
    <w:rsid w:val="00DE3C8D"/>
    <w:rsid w:val="00DE3D06"/>
    <w:rsid w:val="00DE3D2C"/>
    <w:rsid w:val="00DE3D51"/>
    <w:rsid w:val="00DE3D61"/>
    <w:rsid w:val="00DE3F0F"/>
    <w:rsid w:val="00DE3FF3"/>
    <w:rsid w:val="00DE4080"/>
    <w:rsid w:val="00DE4086"/>
    <w:rsid w:val="00DE41E9"/>
    <w:rsid w:val="00DE42EC"/>
    <w:rsid w:val="00DE4327"/>
    <w:rsid w:val="00DE435A"/>
    <w:rsid w:val="00DE4591"/>
    <w:rsid w:val="00DE45B8"/>
    <w:rsid w:val="00DE45CC"/>
    <w:rsid w:val="00DE45F7"/>
    <w:rsid w:val="00DE4656"/>
    <w:rsid w:val="00DE483E"/>
    <w:rsid w:val="00DE48AA"/>
    <w:rsid w:val="00DE492C"/>
    <w:rsid w:val="00DE4948"/>
    <w:rsid w:val="00DE4997"/>
    <w:rsid w:val="00DE4A3D"/>
    <w:rsid w:val="00DE4ACA"/>
    <w:rsid w:val="00DE4AFB"/>
    <w:rsid w:val="00DE4B54"/>
    <w:rsid w:val="00DE4B96"/>
    <w:rsid w:val="00DE4C20"/>
    <w:rsid w:val="00DE4C23"/>
    <w:rsid w:val="00DE4C40"/>
    <w:rsid w:val="00DE4CC5"/>
    <w:rsid w:val="00DE4D47"/>
    <w:rsid w:val="00DE4DE2"/>
    <w:rsid w:val="00DE4E0B"/>
    <w:rsid w:val="00DE4F13"/>
    <w:rsid w:val="00DE4F66"/>
    <w:rsid w:val="00DE4F81"/>
    <w:rsid w:val="00DE4F9E"/>
    <w:rsid w:val="00DE4FFE"/>
    <w:rsid w:val="00DE50B3"/>
    <w:rsid w:val="00DE50E7"/>
    <w:rsid w:val="00DE5133"/>
    <w:rsid w:val="00DE51E9"/>
    <w:rsid w:val="00DE53E6"/>
    <w:rsid w:val="00DE54B4"/>
    <w:rsid w:val="00DE5642"/>
    <w:rsid w:val="00DE5735"/>
    <w:rsid w:val="00DE57AB"/>
    <w:rsid w:val="00DE57C1"/>
    <w:rsid w:val="00DE57CB"/>
    <w:rsid w:val="00DE5872"/>
    <w:rsid w:val="00DE59F0"/>
    <w:rsid w:val="00DE5AE5"/>
    <w:rsid w:val="00DE5B29"/>
    <w:rsid w:val="00DE5D65"/>
    <w:rsid w:val="00DE5E99"/>
    <w:rsid w:val="00DE6034"/>
    <w:rsid w:val="00DE6228"/>
    <w:rsid w:val="00DE64EB"/>
    <w:rsid w:val="00DE662F"/>
    <w:rsid w:val="00DE6630"/>
    <w:rsid w:val="00DE666F"/>
    <w:rsid w:val="00DE669F"/>
    <w:rsid w:val="00DE672A"/>
    <w:rsid w:val="00DE6865"/>
    <w:rsid w:val="00DE686E"/>
    <w:rsid w:val="00DE68D9"/>
    <w:rsid w:val="00DE6905"/>
    <w:rsid w:val="00DE6A47"/>
    <w:rsid w:val="00DE6AE6"/>
    <w:rsid w:val="00DE6C9C"/>
    <w:rsid w:val="00DE6CE3"/>
    <w:rsid w:val="00DE6F55"/>
    <w:rsid w:val="00DE6FB5"/>
    <w:rsid w:val="00DE70EC"/>
    <w:rsid w:val="00DE720F"/>
    <w:rsid w:val="00DE7250"/>
    <w:rsid w:val="00DE72F7"/>
    <w:rsid w:val="00DE731D"/>
    <w:rsid w:val="00DE733D"/>
    <w:rsid w:val="00DE73FD"/>
    <w:rsid w:val="00DE7492"/>
    <w:rsid w:val="00DE74B8"/>
    <w:rsid w:val="00DE751A"/>
    <w:rsid w:val="00DE7555"/>
    <w:rsid w:val="00DE7678"/>
    <w:rsid w:val="00DE768B"/>
    <w:rsid w:val="00DE777E"/>
    <w:rsid w:val="00DE778E"/>
    <w:rsid w:val="00DE77D4"/>
    <w:rsid w:val="00DE789F"/>
    <w:rsid w:val="00DE7A91"/>
    <w:rsid w:val="00DE7AA3"/>
    <w:rsid w:val="00DE7B19"/>
    <w:rsid w:val="00DE7D7C"/>
    <w:rsid w:val="00DE7D91"/>
    <w:rsid w:val="00DE7E25"/>
    <w:rsid w:val="00DE7E86"/>
    <w:rsid w:val="00DE7EDB"/>
    <w:rsid w:val="00DE7F1B"/>
    <w:rsid w:val="00DE7F82"/>
    <w:rsid w:val="00DF0099"/>
    <w:rsid w:val="00DF00A3"/>
    <w:rsid w:val="00DF00BA"/>
    <w:rsid w:val="00DF012D"/>
    <w:rsid w:val="00DF018B"/>
    <w:rsid w:val="00DF0244"/>
    <w:rsid w:val="00DF03C8"/>
    <w:rsid w:val="00DF049D"/>
    <w:rsid w:val="00DF052F"/>
    <w:rsid w:val="00DF06A9"/>
    <w:rsid w:val="00DF0756"/>
    <w:rsid w:val="00DF0849"/>
    <w:rsid w:val="00DF08A2"/>
    <w:rsid w:val="00DF0940"/>
    <w:rsid w:val="00DF0AB5"/>
    <w:rsid w:val="00DF0ACA"/>
    <w:rsid w:val="00DF0B24"/>
    <w:rsid w:val="00DF0C19"/>
    <w:rsid w:val="00DF0C2A"/>
    <w:rsid w:val="00DF0CCA"/>
    <w:rsid w:val="00DF0FF4"/>
    <w:rsid w:val="00DF10B9"/>
    <w:rsid w:val="00DF10F6"/>
    <w:rsid w:val="00DF111F"/>
    <w:rsid w:val="00DF1392"/>
    <w:rsid w:val="00DF13D7"/>
    <w:rsid w:val="00DF1443"/>
    <w:rsid w:val="00DF144D"/>
    <w:rsid w:val="00DF15DA"/>
    <w:rsid w:val="00DF1663"/>
    <w:rsid w:val="00DF1667"/>
    <w:rsid w:val="00DF169D"/>
    <w:rsid w:val="00DF16B9"/>
    <w:rsid w:val="00DF17DC"/>
    <w:rsid w:val="00DF1831"/>
    <w:rsid w:val="00DF184E"/>
    <w:rsid w:val="00DF189D"/>
    <w:rsid w:val="00DF18EE"/>
    <w:rsid w:val="00DF1A71"/>
    <w:rsid w:val="00DF1A91"/>
    <w:rsid w:val="00DF1A93"/>
    <w:rsid w:val="00DF1AC3"/>
    <w:rsid w:val="00DF1B5F"/>
    <w:rsid w:val="00DF1B9C"/>
    <w:rsid w:val="00DF1BB6"/>
    <w:rsid w:val="00DF1CAC"/>
    <w:rsid w:val="00DF1CB7"/>
    <w:rsid w:val="00DF1D0D"/>
    <w:rsid w:val="00DF1D3C"/>
    <w:rsid w:val="00DF1DAA"/>
    <w:rsid w:val="00DF1E04"/>
    <w:rsid w:val="00DF1E18"/>
    <w:rsid w:val="00DF1E59"/>
    <w:rsid w:val="00DF1E94"/>
    <w:rsid w:val="00DF1EF2"/>
    <w:rsid w:val="00DF2035"/>
    <w:rsid w:val="00DF21E9"/>
    <w:rsid w:val="00DF2203"/>
    <w:rsid w:val="00DF23E0"/>
    <w:rsid w:val="00DF2439"/>
    <w:rsid w:val="00DF2472"/>
    <w:rsid w:val="00DF24ED"/>
    <w:rsid w:val="00DF2512"/>
    <w:rsid w:val="00DF263A"/>
    <w:rsid w:val="00DF26E3"/>
    <w:rsid w:val="00DF277A"/>
    <w:rsid w:val="00DF2880"/>
    <w:rsid w:val="00DF28A9"/>
    <w:rsid w:val="00DF28C8"/>
    <w:rsid w:val="00DF29E7"/>
    <w:rsid w:val="00DF2AFE"/>
    <w:rsid w:val="00DF2B26"/>
    <w:rsid w:val="00DF2B43"/>
    <w:rsid w:val="00DF2B5F"/>
    <w:rsid w:val="00DF2BC4"/>
    <w:rsid w:val="00DF2CB5"/>
    <w:rsid w:val="00DF2E67"/>
    <w:rsid w:val="00DF2EB4"/>
    <w:rsid w:val="00DF3102"/>
    <w:rsid w:val="00DF32B9"/>
    <w:rsid w:val="00DF3333"/>
    <w:rsid w:val="00DF33AC"/>
    <w:rsid w:val="00DF3403"/>
    <w:rsid w:val="00DF349B"/>
    <w:rsid w:val="00DF34C7"/>
    <w:rsid w:val="00DF3533"/>
    <w:rsid w:val="00DF3538"/>
    <w:rsid w:val="00DF363F"/>
    <w:rsid w:val="00DF375C"/>
    <w:rsid w:val="00DF37A6"/>
    <w:rsid w:val="00DF37BB"/>
    <w:rsid w:val="00DF37EA"/>
    <w:rsid w:val="00DF37F2"/>
    <w:rsid w:val="00DF38F2"/>
    <w:rsid w:val="00DF394F"/>
    <w:rsid w:val="00DF3967"/>
    <w:rsid w:val="00DF39E0"/>
    <w:rsid w:val="00DF39E8"/>
    <w:rsid w:val="00DF3AAE"/>
    <w:rsid w:val="00DF3AFF"/>
    <w:rsid w:val="00DF3B2C"/>
    <w:rsid w:val="00DF3B9A"/>
    <w:rsid w:val="00DF3C13"/>
    <w:rsid w:val="00DF3C47"/>
    <w:rsid w:val="00DF3C6F"/>
    <w:rsid w:val="00DF3DDB"/>
    <w:rsid w:val="00DF3DE7"/>
    <w:rsid w:val="00DF3E3E"/>
    <w:rsid w:val="00DF3F15"/>
    <w:rsid w:val="00DF401F"/>
    <w:rsid w:val="00DF4029"/>
    <w:rsid w:val="00DF41D1"/>
    <w:rsid w:val="00DF433D"/>
    <w:rsid w:val="00DF4411"/>
    <w:rsid w:val="00DF446B"/>
    <w:rsid w:val="00DF4495"/>
    <w:rsid w:val="00DF468F"/>
    <w:rsid w:val="00DF469B"/>
    <w:rsid w:val="00DF476F"/>
    <w:rsid w:val="00DF479B"/>
    <w:rsid w:val="00DF4916"/>
    <w:rsid w:val="00DF49C0"/>
    <w:rsid w:val="00DF4A09"/>
    <w:rsid w:val="00DF4A69"/>
    <w:rsid w:val="00DF4ABE"/>
    <w:rsid w:val="00DF4CE9"/>
    <w:rsid w:val="00DF4DA6"/>
    <w:rsid w:val="00DF4F53"/>
    <w:rsid w:val="00DF4FDD"/>
    <w:rsid w:val="00DF4FF1"/>
    <w:rsid w:val="00DF5167"/>
    <w:rsid w:val="00DF5177"/>
    <w:rsid w:val="00DF51E6"/>
    <w:rsid w:val="00DF52B4"/>
    <w:rsid w:val="00DF52B8"/>
    <w:rsid w:val="00DF5315"/>
    <w:rsid w:val="00DF5388"/>
    <w:rsid w:val="00DF53EC"/>
    <w:rsid w:val="00DF5515"/>
    <w:rsid w:val="00DF5538"/>
    <w:rsid w:val="00DF553B"/>
    <w:rsid w:val="00DF553E"/>
    <w:rsid w:val="00DF55F8"/>
    <w:rsid w:val="00DF564E"/>
    <w:rsid w:val="00DF5675"/>
    <w:rsid w:val="00DF573C"/>
    <w:rsid w:val="00DF577D"/>
    <w:rsid w:val="00DF57E3"/>
    <w:rsid w:val="00DF592B"/>
    <w:rsid w:val="00DF5975"/>
    <w:rsid w:val="00DF5A0D"/>
    <w:rsid w:val="00DF5A2F"/>
    <w:rsid w:val="00DF5C8E"/>
    <w:rsid w:val="00DF5CFA"/>
    <w:rsid w:val="00DF5D2D"/>
    <w:rsid w:val="00DF5D3B"/>
    <w:rsid w:val="00DF5D7E"/>
    <w:rsid w:val="00DF5D83"/>
    <w:rsid w:val="00DF5E01"/>
    <w:rsid w:val="00DF5E94"/>
    <w:rsid w:val="00DF5EDA"/>
    <w:rsid w:val="00DF5F80"/>
    <w:rsid w:val="00DF5FAE"/>
    <w:rsid w:val="00DF60DD"/>
    <w:rsid w:val="00DF6286"/>
    <w:rsid w:val="00DF648D"/>
    <w:rsid w:val="00DF65E2"/>
    <w:rsid w:val="00DF6600"/>
    <w:rsid w:val="00DF660C"/>
    <w:rsid w:val="00DF67AD"/>
    <w:rsid w:val="00DF6861"/>
    <w:rsid w:val="00DF6899"/>
    <w:rsid w:val="00DF693D"/>
    <w:rsid w:val="00DF69A1"/>
    <w:rsid w:val="00DF6A17"/>
    <w:rsid w:val="00DF6B03"/>
    <w:rsid w:val="00DF6B92"/>
    <w:rsid w:val="00DF6C54"/>
    <w:rsid w:val="00DF6D16"/>
    <w:rsid w:val="00DF6E43"/>
    <w:rsid w:val="00DF6EC2"/>
    <w:rsid w:val="00DF6ECB"/>
    <w:rsid w:val="00DF6FBB"/>
    <w:rsid w:val="00DF7025"/>
    <w:rsid w:val="00DF70C5"/>
    <w:rsid w:val="00DF710D"/>
    <w:rsid w:val="00DF71BD"/>
    <w:rsid w:val="00DF729B"/>
    <w:rsid w:val="00DF738A"/>
    <w:rsid w:val="00DF739A"/>
    <w:rsid w:val="00DF73EC"/>
    <w:rsid w:val="00DF7460"/>
    <w:rsid w:val="00DF7489"/>
    <w:rsid w:val="00DF7577"/>
    <w:rsid w:val="00DF7656"/>
    <w:rsid w:val="00DF7787"/>
    <w:rsid w:val="00DF77D0"/>
    <w:rsid w:val="00DF77F9"/>
    <w:rsid w:val="00DF78FD"/>
    <w:rsid w:val="00DF7A69"/>
    <w:rsid w:val="00DF7C1C"/>
    <w:rsid w:val="00DF7C41"/>
    <w:rsid w:val="00DF7C5E"/>
    <w:rsid w:val="00DF7C69"/>
    <w:rsid w:val="00DF7C6E"/>
    <w:rsid w:val="00DF7CBA"/>
    <w:rsid w:val="00DF7E01"/>
    <w:rsid w:val="00DF7E5F"/>
    <w:rsid w:val="00DF7F93"/>
    <w:rsid w:val="00DF7FA5"/>
    <w:rsid w:val="00E0000C"/>
    <w:rsid w:val="00E0005A"/>
    <w:rsid w:val="00E000DC"/>
    <w:rsid w:val="00E002B2"/>
    <w:rsid w:val="00E002D8"/>
    <w:rsid w:val="00E002EB"/>
    <w:rsid w:val="00E0038D"/>
    <w:rsid w:val="00E0048D"/>
    <w:rsid w:val="00E007BE"/>
    <w:rsid w:val="00E007CD"/>
    <w:rsid w:val="00E008F0"/>
    <w:rsid w:val="00E0092B"/>
    <w:rsid w:val="00E00948"/>
    <w:rsid w:val="00E00978"/>
    <w:rsid w:val="00E00A4F"/>
    <w:rsid w:val="00E00A86"/>
    <w:rsid w:val="00E00A9C"/>
    <w:rsid w:val="00E00AC9"/>
    <w:rsid w:val="00E00AE9"/>
    <w:rsid w:val="00E00B05"/>
    <w:rsid w:val="00E00B1B"/>
    <w:rsid w:val="00E00C40"/>
    <w:rsid w:val="00E00C56"/>
    <w:rsid w:val="00E00CC2"/>
    <w:rsid w:val="00E00D61"/>
    <w:rsid w:val="00E00E10"/>
    <w:rsid w:val="00E00F7F"/>
    <w:rsid w:val="00E00FA4"/>
    <w:rsid w:val="00E010FC"/>
    <w:rsid w:val="00E01117"/>
    <w:rsid w:val="00E014E7"/>
    <w:rsid w:val="00E015EA"/>
    <w:rsid w:val="00E01619"/>
    <w:rsid w:val="00E0167D"/>
    <w:rsid w:val="00E016F6"/>
    <w:rsid w:val="00E017B3"/>
    <w:rsid w:val="00E017B6"/>
    <w:rsid w:val="00E01899"/>
    <w:rsid w:val="00E018B5"/>
    <w:rsid w:val="00E01916"/>
    <w:rsid w:val="00E0199A"/>
    <w:rsid w:val="00E01AB8"/>
    <w:rsid w:val="00E01AEB"/>
    <w:rsid w:val="00E01AFC"/>
    <w:rsid w:val="00E01C5B"/>
    <w:rsid w:val="00E01CBB"/>
    <w:rsid w:val="00E01D5B"/>
    <w:rsid w:val="00E01EF7"/>
    <w:rsid w:val="00E01F26"/>
    <w:rsid w:val="00E0202B"/>
    <w:rsid w:val="00E02066"/>
    <w:rsid w:val="00E0206E"/>
    <w:rsid w:val="00E02086"/>
    <w:rsid w:val="00E020B6"/>
    <w:rsid w:val="00E02117"/>
    <w:rsid w:val="00E02141"/>
    <w:rsid w:val="00E02170"/>
    <w:rsid w:val="00E0221F"/>
    <w:rsid w:val="00E022FB"/>
    <w:rsid w:val="00E0236D"/>
    <w:rsid w:val="00E023DF"/>
    <w:rsid w:val="00E024AD"/>
    <w:rsid w:val="00E0252F"/>
    <w:rsid w:val="00E025A5"/>
    <w:rsid w:val="00E0265D"/>
    <w:rsid w:val="00E02672"/>
    <w:rsid w:val="00E026B8"/>
    <w:rsid w:val="00E0280D"/>
    <w:rsid w:val="00E0287B"/>
    <w:rsid w:val="00E02902"/>
    <w:rsid w:val="00E029B8"/>
    <w:rsid w:val="00E029C6"/>
    <w:rsid w:val="00E029C9"/>
    <w:rsid w:val="00E02A7F"/>
    <w:rsid w:val="00E02A80"/>
    <w:rsid w:val="00E02A85"/>
    <w:rsid w:val="00E02B98"/>
    <w:rsid w:val="00E02C2C"/>
    <w:rsid w:val="00E02D80"/>
    <w:rsid w:val="00E02F2B"/>
    <w:rsid w:val="00E02F38"/>
    <w:rsid w:val="00E02FB8"/>
    <w:rsid w:val="00E030C2"/>
    <w:rsid w:val="00E0319B"/>
    <w:rsid w:val="00E03215"/>
    <w:rsid w:val="00E0335D"/>
    <w:rsid w:val="00E03368"/>
    <w:rsid w:val="00E033F4"/>
    <w:rsid w:val="00E0342A"/>
    <w:rsid w:val="00E034CB"/>
    <w:rsid w:val="00E03516"/>
    <w:rsid w:val="00E0362B"/>
    <w:rsid w:val="00E0362F"/>
    <w:rsid w:val="00E036A2"/>
    <w:rsid w:val="00E036CB"/>
    <w:rsid w:val="00E03710"/>
    <w:rsid w:val="00E03763"/>
    <w:rsid w:val="00E0384A"/>
    <w:rsid w:val="00E03A65"/>
    <w:rsid w:val="00E03AA6"/>
    <w:rsid w:val="00E03CDC"/>
    <w:rsid w:val="00E03D13"/>
    <w:rsid w:val="00E03D1C"/>
    <w:rsid w:val="00E03D90"/>
    <w:rsid w:val="00E03E3D"/>
    <w:rsid w:val="00E03EE0"/>
    <w:rsid w:val="00E0409A"/>
    <w:rsid w:val="00E0429A"/>
    <w:rsid w:val="00E04408"/>
    <w:rsid w:val="00E0444E"/>
    <w:rsid w:val="00E0445C"/>
    <w:rsid w:val="00E044A8"/>
    <w:rsid w:val="00E04623"/>
    <w:rsid w:val="00E04630"/>
    <w:rsid w:val="00E04664"/>
    <w:rsid w:val="00E04738"/>
    <w:rsid w:val="00E04785"/>
    <w:rsid w:val="00E047BB"/>
    <w:rsid w:val="00E04873"/>
    <w:rsid w:val="00E048C5"/>
    <w:rsid w:val="00E0498F"/>
    <w:rsid w:val="00E04A70"/>
    <w:rsid w:val="00E04BBE"/>
    <w:rsid w:val="00E04C39"/>
    <w:rsid w:val="00E04C71"/>
    <w:rsid w:val="00E04C9E"/>
    <w:rsid w:val="00E04CE6"/>
    <w:rsid w:val="00E04D73"/>
    <w:rsid w:val="00E04E26"/>
    <w:rsid w:val="00E04F0E"/>
    <w:rsid w:val="00E0513C"/>
    <w:rsid w:val="00E051DF"/>
    <w:rsid w:val="00E051FA"/>
    <w:rsid w:val="00E051FE"/>
    <w:rsid w:val="00E0521D"/>
    <w:rsid w:val="00E052DC"/>
    <w:rsid w:val="00E05395"/>
    <w:rsid w:val="00E05469"/>
    <w:rsid w:val="00E054A4"/>
    <w:rsid w:val="00E05574"/>
    <w:rsid w:val="00E055D6"/>
    <w:rsid w:val="00E05645"/>
    <w:rsid w:val="00E0567C"/>
    <w:rsid w:val="00E056F1"/>
    <w:rsid w:val="00E05721"/>
    <w:rsid w:val="00E05735"/>
    <w:rsid w:val="00E05864"/>
    <w:rsid w:val="00E05A38"/>
    <w:rsid w:val="00E05A94"/>
    <w:rsid w:val="00E05B04"/>
    <w:rsid w:val="00E05D72"/>
    <w:rsid w:val="00E05DE6"/>
    <w:rsid w:val="00E05DF5"/>
    <w:rsid w:val="00E05F26"/>
    <w:rsid w:val="00E05FBA"/>
    <w:rsid w:val="00E06043"/>
    <w:rsid w:val="00E060EE"/>
    <w:rsid w:val="00E06103"/>
    <w:rsid w:val="00E06178"/>
    <w:rsid w:val="00E061CB"/>
    <w:rsid w:val="00E062AC"/>
    <w:rsid w:val="00E062C1"/>
    <w:rsid w:val="00E06311"/>
    <w:rsid w:val="00E06388"/>
    <w:rsid w:val="00E064A7"/>
    <w:rsid w:val="00E06559"/>
    <w:rsid w:val="00E06596"/>
    <w:rsid w:val="00E0661C"/>
    <w:rsid w:val="00E066C9"/>
    <w:rsid w:val="00E06868"/>
    <w:rsid w:val="00E0693C"/>
    <w:rsid w:val="00E069AC"/>
    <w:rsid w:val="00E06A57"/>
    <w:rsid w:val="00E06A91"/>
    <w:rsid w:val="00E06AE7"/>
    <w:rsid w:val="00E06AF9"/>
    <w:rsid w:val="00E06DA8"/>
    <w:rsid w:val="00E06DF0"/>
    <w:rsid w:val="00E06E20"/>
    <w:rsid w:val="00E06E39"/>
    <w:rsid w:val="00E06E75"/>
    <w:rsid w:val="00E06EAA"/>
    <w:rsid w:val="00E06EF3"/>
    <w:rsid w:val="00E07041"/>
    <w:rsid w:val="00E07070"/>
    <w:rsid w:val="00E07079"/>
    <w:rsid w:val="00E070EA"/>
    <w:rsid w:val="00E07177"/>
    <w:rsid w:val="00E07388"/>
    <w:rsid w:val="00E07464"/>
    <w:rsid w:val="00E07466"/>
    <w:rsid w:val="00E0749C"/>
    <w:rsid w:val="00E074C7"/>
    <w:rsid w:val="00E0753D"/>
    <w:rsid w:val="00E0756A"/>
    <w:rsid w:val="00E075E4"/>
    <w:rsid w:val="00E0764D"/>
    <w:rsid w:val="00E07927"/>
    <w:rsid w:val="00E07C06"/>
    <w:rsid w:val="00E07C3E"/>
    <w:rsid w:val="00E07CC3"/>
    <w:rsid w:val="00E07CF2"/>
    <w:rsid w:val="00E07D41"/>
    <w:rsid w:val="00E07E09"/>
    <w:rsid w:val="00E07EBF"/>
    <w:rsid w:val="00E07FEA"/>
    <w:rsid w:val="00E1010C"/>
    <w:rsid w:val="00E101A9"/>
    <w:rsid w:val="00E10303"/>
    <w:rsid w:val="00E10445"/>
    <w:rsid w:val="00E1054B"/>
    <w:rsid w:val="00E105EE"/>
    <w:rsid w:val="00E1075F"/>
    <w:rsid w:val="00E1078C"/>
    <w:rsid w:val="00E107AB"/>
    <w:rsid w:val="00E108AF"/>
    <w:rsid w:val="00E10907"/>
    <w:rsid w:val="00E10941"/>
    <w:rsid w:val="00E10B04"/>
    <w:rsid w:val="00E10B82"/>
    <w:rsid w:val="00E10C04"/>
    <w:rsid w:val="00E10C0E"/>
    <w:rsid w:val="00E10C4E"/>
    <w:rsid w:val="00E10D99"/>
    <w:rsid w:val="00E10E03"/>
    <w:rsid w:val="00E10E05"/>
    <w:rsid w:val="00E10F70"/>
    <w:rsid w:val="00E10F71"/>
    <w:rsid w:val="00E10FCA"/>
    <w:rsid w:val="00E11028"/>
    <w:rsid w:val="00E11056"/>
    <w:rsid w:val="00E1105D"/>
    <w:rsid w:val="00E110AB"/>
    <w:rsid w:val="00E110E2"/>
    <w:rsid w:val="00E111B8"/>
    <w:rsid w:val="00E112DD"/>
    <w:rsid w:val="00E1131D"/>
    <w:rsid w:val="00E11445"/>
    <w:rsid w:val="00E11449"/>
    <w:rsid w:val="00E11484"/>
    <w:rsid w:val="00E11491"/>
    <w:rsid w:val="00E114C8"/>
    <w:rsid w:val="00E115C6"/>
    <w:rsid w:val="00E115D4"/>
    <w:rsid w:val="00E11604"/>
    <w:rsid w:val="00E11621"/>
    <w:rsid w:val="00E11750"/>
    <w:rsid w:val="00E117BD"/>
    <w:rsid w:val="00E1181D"/>
    <w:rsid w:val="00E11875"/>
    <w:rsid w:val="00E1191D"/>
    <w:rsid w:val="00E11B29"/>
    <w:rsid w:val="00E11BE3"/>
    <w:rsid w:val="00E11C23"/>
    <w:rsid w:val="00E11CBE"/>
    <w:rsid w:val="00E11CD0"/>
    <w:rsid w:val="00E11CD9"/>
    <w:rsid w:val="00E11DA2"/>
    <w:rsid w:val="00E11FE7"/>
    <w:rsid w:val="00E12113"/>
    <w:rsid w:val="00E121BB"/>
    <w:rsid w:val="00E12220"/>
    <w:rsid w:val="00E12339"/>
    <w:rsid w:val="00E12382"/>
    <w:rsid w:val="00E12408"/>
    <w:rsid w:val="00E124DD"/>
    <w:rsid w:val="00E12530"/>
    <w:rsid w:val="00E1255F"/>
    <w:rsid w:val="00E125EA"/>
    <w:rsid w:val="00E1266F"/>
    <w:rsid w:val="00E127F6"/>
    <w:rsid w:val="00E12864"/>
    <w:rsid w:val="00E12894"/>
    <w:rsid w:val="00E1295D"/>
    <w:rsid w:val="00E1298C"/>
    <w:rsid w:val="00E129BE"/>
    <w:rsid w:val="00E12B3B"/>
    <w:rsid w:val="00E12B52"/>
    <w:rsid w:val="00E12DBF"/>
    <w:rsid w:val="00E12E21"/>
    <w:rsid w:val="00E12F00"/>
    <w:rsid w:val="00E12FC6"/>
    <w:rsid w:val="00E130BB"/>
    <w:rsid w:val="00E131C0"/>
    <w:rsid w:val="00E133D9"/>
    <w:rsid w:val="00E1351C"/>
    <w:rsid w:val="00E135D8"/>
    <w:rsid w:val="00E135ED"/>
    <w:rsid w:val="00E1360B"/>
    <w:rsid w:val="00E13651"/>
    <w:rsid w:val="00E13686"/>
    <w:rsid w:val="00E136C3"/>
    <w:rsid w:val="00E13814"/>
    <w:rsid w:val="00E13842"/>
    <w:rsid w:val="00E13865"/>
    <w:rsid w:val="00E138B4"/>
    <w:rsid w:val="00E13922"/>
    <w:rsid w:val="00E1393D"/>
    <w:rsid w:val="00E13ACE"/>
    <w:rsid w:val="00E13B48"/>
    <w:rsid w:val="00E13E2F"/>
    <w:rsid w:val="00E13E87"/>
    <w:rsid w:val="00E13EDB"/>
    <w:rsid w:val="00E13EF8"/>
    <w:rsid w:val="00E13F69"/>
    <w:rsid w:val="00E14078"/>
    <w:rsid w:val="00E14181"/>
    <w:rsid w:val="00E141B2"/>
    <w:rsid w:val="00E142A3"/>
    <w:rsid w:val="00E142E6"/>
    <w:rsid w:val="00E14358"/>
    <w:rsid w:val="00E1439B"/>
    <w:rsid w:val="00E143E7"/>
    <w:rsid w:val="00E1448B"/>
    <w:rsid w:val="00E14520"/>
    <w:rsid w:val="00E1455E"/>
    <w:rsid w:val="00E14577"/>
    <w:rsid w:val="00E1462D"/>
    <w:rsid w:val="00E146BE"/>
    <w:rsid w:val="00E146C7"/>
    <w:rsid w:val="00E14723"/>
    <w:rsid w:val="00E147FD"/>
    <w:rsid w:val="00E14900"/>
    <w:rsid w:val="00E14905"/>
    <w:rsid w:val="00E14A9F"/>
    <w:rsid w:val="00E14B07"/>
    <w:rsid w:val="00E14C0A"/>
    <w:rsid w:val="00E14CE3"/>
    <w:rsid w:val="00E14CEA"/>
    <w:rsid w:val="00E14D8E"/>
    <w:rsid w:val="00E14E98"/>
    <w:rsid w:val="00E14EC0"/>
    <w:rsid w:val="00E14EE5"/>
    <w:rsid w:val="00E14F26"/>
    <w:rsid w:val="00E1503C"/>
    <w:rsid w:val="00E1505D"/>
    <w:rsid w:val="00E15142"/>
    <w:rsid w:val="00E152B5"/>
    <w:rsid w:val="00E1534D"/>
    <w:rsid w:val="00E1536F"/>
    <w:rsid w:val="00E153C3"/>
    <w:rsid w:val="00E153E3"/>
    <w:rsid w:val="00E156E0"/>
    <w:rsid w:val="00E156F9"/>
    <w:rsid w:val="00E156FE"/>
    <w:rsid w:val="00E15851"/>
    <w:rsid w:val="00E1589B"/>
    <w:rsid w:val="00E158E7"/>
    <w:rsid w:val="00E15965"/>
    <w:rsid w:val="00E15985"/>
    <w:rsid w:val="00E15A20"/>
    <w:rsid w:val="00E15A50"/>
    <w:rsid w:val="00E15AB5"/>
    <w:rsid w:val="00E15AC2"/>
    <w:rsid w:val="00E15B47"/>
    <w:rsid w:val="00E15B4F"/>
    <w:rsid w:val="00E15B6C"/>
    <w:rsid w:val="00E15C02"/>
    <w:rsid w:val="00E15D05"/>
    <w:rsid w:val="00E15D85"/>
    <w:rsid w:val="00E15DE6"/>
    <w:rsid w:val="00E160D7"/>
    <w:rsid w:val="00E1612D"/>
    <w:rsid w:val="00E1616D"/>
    <w:rsid w:val="00E16174"/>
    <w:rsid w:val="00E1619B"/>
    <w:rsid w:val="00E161C4"/>
    <w:rsid w:val="00E16234"/>
    <w:rsid w:val="00E162CA"/>
    <w:rsid w:val="00E16355"/>
    <w:rsid w:val="00E16492"/>
    <w:rsid w:val="00E16674"/>
    <w:rsid w:val="00E166C8"/>
    <w:rsid w:val="00E16728"/>
    <w:rsid w:val="00E16745"/>
    <w:rsid w:val="00E167F7"/>
    <w:rsid w:val="00E1680C"/>
    <w:rsid w:val="00E16849"/>
    <w:rsid w:val="00E168A3"/>
    <w:rsid w:val="00E1694F"/>
    <w:rsid w:val="00E169A9"/>
    <w:rsid w:val="00E169DC"/>
    <w:rsid w:val="00E16B7E"/>
    <w:rsid w:val="00E16D6A"/>
    <w:rsid w:val="00E16DC9"/>
    <w:rsid w:val="00E16E62"/>
    <w:rsid w:val="00E16E66"/>
    <w:rsid w:val="00E16EDE"/>
    <w:rsid w:val="00E1705B"/>
    <w:rsid w:val="00E1707F"/>
    <w:rsid w:val="00E170B9"/>
    <w:rsid w:val="00E17198"/>
    <w:rsid w:val="00E17287"/>
    <w:rsid w:val="00E17295"/>
    <w:rsid w:val="00E172E5"/>
    <w:rsid w:val="00E1732A"/>
    <w:rsid w:val="00E173A0"/>
    <w:rsid w:val="00E17444"/>
    <w:rsid w:val="00E17461"/>
    <w:rsid w:val="00E175DC"/>
    <w:rsid w:val="00E1768A"/>
    <w:rsid w:val="00E176D6"/>
    <w:rsid w:val="00E1773B"/>
    <w:rsid w:val="00E17788"/>
    <w:rsid w:val="00E177F6"/>
    <w:rsid w:val="00E178FE"/>
    <w:rsid w:val="00E17992"/>
    <w:rsid w:val="00E179CB"/>
    <w:rsid w:val="00E17A30"/>
    <w:rsid w:val="00E17A92"/>
    <w:rsid w:val="00E17AD0"/>
    <w:rsid w:val="00E17BDD"/>
    <w:rsid w:val="00E17C26"/>
    <w:rsid w:val="00E17D66"/>
    <w:rsid w:val="00E17D84"/>
    <w:rsid w:val="00E17E1A"/>
    <w:rsid w:val="00E17E6E"/>
    <w:rsid w:val="00E20103"/>
    <w:rsid w:val="00E201BF"/>
    <w:rsid w:val="00E201CA"/>
    <w:rsid w:val="00E2039B"/>
    <w:rsid w:val="00E203C0"/>
    <w:rsid w:val="00E20445"/>
    <w:rsid w:val="00E20467"/>
    <w:rsid w:val="00E20473"/>
    <w:rsid w:val="00E204B4"/>
    <w:rsid w:val="00E204E2"/>
    <w:rsid w:val="00E2050D"/>
    <w:rsid w:val="00E2057A"/>
    <w:rsid w:val="00E206A0"/>
    <w:rsid w:val="00E20710"/>
    <w:rsid w:val="00E20725"/>
    <w:rsid w:val="00E207A2"/>
    <w:rsid w:val="00E207B5"/>
    <w:rsid w:val="00E207F6"/>
    <w:rsid w:val="00E2091F"/>
    <w:rsid w:val="00E2097A"/>
    <w:rsid w:val="00E209BD"/>
    <w:rsid w:val="00E20A15"/>
    <w:rsid w:val="00E20A38"/>
    <w:rsid w:val="00E20A51"/>
    <w:rsid w:val="00E20ABB"/>
    <w:rsid w:val="00E20B46"/>
    <w:rsid w:val="00E20B4F"/>
    <w:rsid w:val="00E20B9D"/>
    <w:rsid w:val="00E20BB1"/>
    <w:rsid w:val="00E20BCB"/>
    <w:rsid w:val="00E20BD6"/>
    <w:rsid w:val="00E20C08"/>
    <w:rsid w:val="00E20C35"/>
    <w:rsid w:val="00E20E5E"/>
    <w:rsid w:val="00E20E85"/>
    <w:rsid w:val="00E20EB4"/>
    <w:rsid w:val="00E20F07"/>
    <w:rsid w:val="00E20F3E"/>
    <w:rsid w:val="00E20F60"/>
    <w:rsid w:val="00E2116C"/>
    <w:rsid w:val="00E2132D"/>
    <w:rsid w:val="00E2144C"/>
    <w:rsid w:val="00E214DF"/>
    <w:rsid w:val="00E2152A"/>
    <w:rsid w:val="00E2153F"/>
    <w:rsid w:val="00E2154E"/>
    <w:rsid w:val="00E2156E"/>
    <w:rsid w:val="00E21584"/>
    <w:rsid w:val="00E215C1"/>
    <w:rsid w:val="00E215DC"/>
    <w:rsid w:val="00E2179C"/>
    <w:rsid w:val="00E2184A"/>
    <w:rsid w:val="00E218AA"/>
    <w:rsid w:val="00E21A0C"/>
    <w:rsid w:val="00E21A82"/>
    <w:rsid w:val="00E21BC7"/>
    <w:rsid w:val="00E21BDE"/>
    <w:rsid w:val="00E21BE0"/>
    <w:rsid w:val="00E21C1D"/>
    <w:rsid w:val="00E21C30"/>
    <w:rsid w:val="00E21EA8"/>
    <w:rsid w:val="00E21EB7"/>
    <w:rsid w:val="00E21F00"/>
    <w:rsid w:val="00E22008"/>
    <w:rsid w:val="00E2203D"/>
    <w:rsid w:val="00E2205A"/>
    <w:rsid w:val="00E221AE"/>
    <w:rsid w:val="00E22201"/>
    <w:rsid w:val="00E223CD"/>
    <w:rsid w:val="00E22492"/>
    <w:rsid w:val="00E224AD"/>
    <w:rsid w:val="00E2253F"/>
    <w:rsid w:val="00E22606"/>
    <w:rsid w:val="00E2273D"/>
    <w:rsid w:val="00E22773"/>
    <w:rsid w:val="00E227D5"/>
    <w:rsid w:val="00E2293D"/>
    <w:rsid w:val="00E22AEB"/>
    <w:rsid w:val="00E22C74"/>
    <w:rsid w:val="00E22CBC"/>
    <w:rsid w:val="00E22CF8"/>
    <w:rsid w:val="00E22D71"/>
    <w:rsid w:val="00E22D81"/>
    <w:rsid w:val="00E22DD4"/>
    <w:rsid w:val="00E22E23"/>
    <w:rsid w:val="00E22F1E"/>
    <w:rsid w:val="00E23184"/>
    <w:rsid w:val="00E231A6"/>
    <w:rsid w:val="00E23222"/>
    <w:rsid w:val="00E2326D"/>
    <w:rsid w:val="00E2331E"/>
    <w:rsid w:val="00E2338F"/>
    <w:rsid w:val="00E233CC"/>
    <w:rsid w:val="00E233FC"/>
    <w:rsid w:val="00E234CA"/>
    <w:rsid w:val="00E234D5"/>
    <w:rsid w:val="00E234DB"/>
    <w:rsid w:val="00E234DF"/>
    <w:rsid w:val="00E2357C"/>
    <w:rsid w:val="00E235DA"/>
    <w:rsid w:val="00E2372F"/>
    <w:rsid w:val="00E2378A"/>
    <w:rsid w:val="00E23827"/>
    <w:rsid w:val="00E23841"/>
    <w:rsid w:val="00E2384A"/>
    <w:rsid w:val="00E238B1"/>
    <w:rsid w:val="00E238CC"/>
    <w:rsid w:val="00E23A99"/>
    <w:rsid w:val="00E23BB8"/>
    <w:rsid w:val="00E23BC9"/>
    <w:rsid w:val="00E23C01"/>
    <w:rsid w:val="00E23C4E"/>
    <w:rsid w:val="00E23D18"/>
    <w:rsid w:val="00E23D6C"/>
    <w:rsid w:val="00E23EC1"/>
    <w:rsid w:val="00E23EED"/>
    <w:rsid w:val="00E23F0E"/>
    <w:rsid w:val="00E23F9B"/>
    <w:rsid w:val="00E23FF5"/>
    <w:rsid w:val="00E240BF"/>
    <w:rsid w:val="00E24250"/>
    <w:rsid w:val="00E24274"/>
    <w:rsid w:val="00E242A5"/>
    <w:rsid w:val="00E242C5"/>
    <w:rsid w:val="00E24386"/>
    <w:rsid w:val="00E243A6"/>
    <w:rsid w:val="00E244D5"/>
    <w:rsid w:val="00E2450E"/>
    <w:rsid w:val="00E24575"/>
    <w:rsid w:val="00E245FF"/>
    <w:rsid w:val="00E24713"/>
    <w:rsid w:val="00E2480E"/>
    <w:rsid w:val="00E2489B"/>
    <w:rsid w:val="00E24936"/>
    <w:rsid w:val="00E249B5"/>
    <w:rsid w:val="00E24A94"/>
    <w:rsid w:val="00E24B4A"/>
    <w:rsid w:val="00E24BA6"/>
    <w:rsid w:val="00E24C31"/>
    <w:rsid w:val="00E24C9D"/>
    <w:rsid w:val="00E24CE1"/>
    <w:rsid w:val="00E24D42"/>
    <w:rsid w:val="00E24E60"/>
    <w:rsid w:val="00E24EA3"/>
    <w:rsid w:val="00E24EBD"/>
    <w:rsid w:val="00E250B4"/>
    <w:rsid w:val="00E250F6"/>
    <w:rsid w:val="00E25202"/>
    <w:rsid w:val="00E25251"/>
    <w:rsid w:val="00E252C0"/>
    <w:rsid w:val="00E25331"/>
    <w:rsid w:val="00E255FD"/>
    <w:rsid w:val="00E25621"/>
    <w:rsid w:val="00E25668"/>
    <w:rsid w:val="00E25678"/>
    <w:rsid w:val="00E2567B"/>
    <w:rsid w:val="00E25758"/>
    <w:rsid w:val="00E257DE"/>
    <w:rsid w:val="00E25868"/>
    <w:rsid w:val="00E25898"/>
    <w:rsid w:val="00E2591D"/>
    <w:rsid w:val="00E2596C"/>
    <w:rsid w:val="00E259F0"/>
    <w:rsid w:val="00E25A26"/>
    <w:rsid w:val="00E25B33"/>
    <w:rsid w:val="00E25B44"/>
    <w:rsid w:val="00E25C01"/>
    <w:rsid w:val="00E25C2D"/>
    <w:rsid w:val="00E25C3F"/>
    <w:rsid w:val="00E25C90"/>
    <w:rsid w:val="00E25CA8"/>
    <w:rsid w:val="00E25D93"/>
    <w:rsid w:val="00E25D94"/>
    <w:rsid w:val="00E25DBA"/>
    <w:rsid w:val="00E25E55"/>
    <w:rsid w:val="00E26053"/>
    <w:rsid w:val="00E260A1"/>
    <w:rsid w:val="00E26117"/>
    <w:rsid w:val="00E26136"/>
    <w:rsid w:val="00E26159"/>
    <w:rsid w:val="00E261A2"/>
    <w:rsid w:val="00E261EA"/>
    <w:rsid w:val="00E2650D"/>
    <w:rsid w:val="00E26576"/>
    <w:rsid w:val="00E265F0"/>
    <w:rsid w:val="00E267F3"/>
    <w:rsid w:val="00E26831"/>
    <w:rsid w:val="00E268A3"/>
    <w:rsid w:val="00E268A7"/>
    <w:rsid w:val="00E269DC"/>
    <w:rsid w:val="00E26A5A"/>
    <w:rsid w:val="00E26A5F"/>
    <w:rsid w:val="00E26AA8"/>
    <w:rsid w:val="00E26ABB"/>
    <w:rsid w:val="00E26BAE"/>
    <w:rsid w:val="00E26BCF"/>
    <w:rsid w:val="00E26BEE"/>
    <w:rsid w:val="00E26BFD"/>
    <w:rsid w:val="00E26C76"/>
    <w:rsid w:val="00E26D0C"/>
    <w:rsid w:val="00E26DC1"/>
    <w:rsid w:val="00E26E4C"/>
    <w:rsid w:val="00E26F36"/>
    <w:rsid w:val="00E27213"/>
    <w:rsid w:val="00E2725F"/>
    <w:rsid w:val="00E27323"/>
    <w:rsid w:val="00E2739A"/>
    <w:rsid w:val="00E273E6"/>
    <w:rsid w:val="00E2745A"/>
    <w:rsid w:val="00E2745D"/>
    <w:rsid w:val="00E27503"/>
    <w:rsid w:val="00E2766D"/>
    <w:rsid w:val="00E27771"/>
    <w:rsid w:val="00E27798"/>
    <w:rsid w:val="00E27811"/>
    <w:rsid w:val="00E27862"/>
    <w:rsid w:val="00E278A4"/>
    <w:rsid w:val="00E278C4"/>
    <w:rsid w:val="00E27908"/>
    <w:rsid w:val="00E27958"/>
    <w:rsid w:val="00E27A2C"/>
    <w:rsid w:val="00E27B2E"/>
    <w:rsid w:val="00E27CC1"/>
    <w:rsid w:val="00E27D60"/>
    <w:rsid w:val="00E27D69"/>
    <w:rsid w:val="00E27D78"/>
    <w:rsid w:val="00E27DEA"/>
    <w:rsid w:val="00E27E03"/>
    <w:rsid w:val="00E27EC3"/>
    <w:rsid w:val="00E27F39"/>
    <w:rsid w:val="00E27F75"/>
    <w:rsid w:val="00E27FF3"/>
    <w:rsid w:val="00E27FF4"/>
    <w:rsid w:val="00E30028"/>
    <w:rsid w:val="00E302CD"/>
    <w:rsid w:val="00E3035C"/>
    <w:rsid w:val="00E30406"/>
    <w:rsid w:val="00E30419"/>
    <w:rsid w:val="00E304B2"/>
    <w:rsid w:val="00E304DD"/>
    <w:rsid w:val="00E306A3"/>
    <w:rsid w:val="00E3083F"/>
    <w:rsid w:val="00E308BD"/>
    <w:rsid w:val="00E308E1"/>
    <w:rsid w:val="00E308F2"/>
    <w:rsid w:val="00E30928"/>
    <w:rsid w:val="00E3094F"/>
    <w:rsid w:val="00E309B6"/>
    <w:rsid w:val="00E309D1"/>
    <w:rsid w:val="00E309DB"/>
    <w:rsid w:val="00E30B54"/>
    <w:rsid w:val="00E30B7E"/>
    <w:rsid w:val="00E30BD0"/>
    <w:rsid w:val="00E30C3F"/>
    <w:rsid w:val="00E30DB8"/>
    <w:rsid w:val="00E30ECD"/>
    <w:rsid w:val="00E30FB3"/>
    <w:rsid w:val="00E30FD5"/>
    <w:rsid w:val="00E30FE4"/>
    <w:rsid w:val="00E3111F"/>
    <w:rsid w:val="00E3122C"/>
    <w:rsid w:val="00E31255"/>
    <w:rsid w:val="00E3128D"/>
    <w:rsid w:val="00E312DA"/>
    <w:rsid w:val="00E3132E"/>
    <w:rsid w:val="00E3147E"/>
    <w:rsid w:val="00E31494"/>
    <w:rsid w:val="00E314BB"/>
    <w:rsid w:val="00E314E4"/>
    <w:rsid w:val="00E31589"/>
    <w:rsid w:val="00E3173E"/>
    <w:rsid w:val="00E31766"/>
    <w:rsid w:val="00E31777"/>
    <w:rsid w:val="00E3180E"/>
    <w:rsid w:val="00E31896"/>
    <w:rsid w:val="00E31936"/>
    <w:rsid w:val="00E3199F"/>
    <w:rsid w:val="00E319A7"/>
    <w:rsid w:val="00E319AB"/>
    <w:rsid w:val="00E31A40"/>
    <w:rsid w:val="00E31AD3"/>
    <w:rsid w:val="00E31B0F"/>
    <w:rsid w:val="00E31B40"/>
    <w:rsid w:val="00E31C48"/>
    <w:rsid w:val="00E31D20"/>
    <w:rsid w:val="00E31D2B"/>
    <w:rsid w:val="00E31D6F"/>
    <w:rsid w:val="00E31DB4"/>
    <w:rsid w:val="00E31DF5"/>
    <w:rsid w:val="00E31EC6"/>
    <w:rsid w:val="00E31ECB"/>
    <w:rsid w:val="00E31F75"/>
    <w:rsid w:val="00E31FAE"/>
    <w:rsid w:val="00E31FC0"/>
    <w:rsid w:val="00E31FC6"/>
    <w:rsid w:val="00E3208E"/>
    <w:rsid w:val="00E3215E"/>
    <w:rsid w:val="00E3219A"/>
    <w:rsid w:val="00E32220"/>
    <w:rsid w:val="00E3232F"/>
    <w:rsid w:val="00E32392"/>
    <w:rsid w:val="00E32396"/>
    <w:rsid w:val="00E323EB"/>
    <w:rsid w:val="00E32477"/>
    <w:rsid w:val="00E32527"/>
    <w:rsid w:val="00E325B8"/>
    <w:rsid w:val="00E325CC"/>
    <w:rsid w:val="00E325D1"/>
    <w:rsid w:val="00E326BC"/>
    <w:rsid w:val="00E326DE"/>
    <w:rsid w:val="00E327DB"/>
    <w:rsid w:val="00E328A1"/>
    <w:rsid w:val="00E32989"/>
    <w:rsid w:val="00E329D8"/>
    <w:rsid w:val="00E32A30"/>
    <w:rsid w:val="00E32A7C"/>
    <w:rsid w:val="00E32AF4"/>
    <w:rsid w:val="00E32AFD"/>
    <w:rsid w:val="00E32CB1"/>
    <w:rsid w:val="00E32CB7"/>
    <w:rsid w:val="00E32E1D"/>
    <w:rsid w:val="00E32E83"/>
    <w:rsid w:val="00E32F6B"/>
    <w:rsid w:val="00E32F6C"/>
    <w:rsid w:val="00E33061"/>
    <w:rsid w:val="00E33079"/>
    <w:rsid w:val="00E33082"/>
    <w:rsid w:val="00E330AC"/>
    <w:rsid w:val="00E33164"/>
    <w:rsid w:val="00E331A0"/>
    <w:rsid w:val="00E331A6"/>
    <w:rsid w:val="00E331D2"/>
    <w:rsid w:val="00E33463"/>
    <w:rsid w:val="00E3349F"/>
    <w:rsid w:val="00E3356B"/>
    <w:rsid w:val="00E3361D"/>
    <w:rsid w:val="00E336E8"/>
    <w:rsid w:val="00E336F8"/>
    <w:rsid w:val="00E337C8"/>
    <w:rsid w:val="00E337ED"/>
    <w:rsid w:val="00E3392D"/>
    <w:rsid w:val="00E339E3"/>
    <w:rsid w:val="00E339F8"/>
    <w:rsid w:val="00E33AC3"/>
    <w:rsid w:val="00E33AEB"/>
    <w:rsid w:val="00E33BD7"/>
    <w:rsid w:val="00E33C8A"/>
    <w:rsid w:val="00E33CA8"/>
    <w:rsid w:val="00E33CD8"/>
    <w:rsid w:val="00E33D0B"/>
    <w:rsid w:val="00E33D1D"/>
    <w:rsid w:val="00E33DAC"/>
    <w:rsid w:val="00E33DCB"/>
    <w:rsid w:val="00E33E80"/>
    <w:rsid w:val="00E33E88"/>
    <w:rsid w:val="00E33E93"/>
    <w:rsid w:val="00E33F0C"/>
    <w:rsid w:val="00E33F62"/>
    <w:rsid w:val="00E34012"/>
    <w:rsid w:val="00E3404B"/>
    <w:rsid w:val="00E340B3"/>
    <w:rsid w:val="00E3417B"/>
    <w:rsid w:val="00E34486"/>
    <w:rsid w:val="00E344A7"/>
    <w:rsid w:val="00E34512"/>
    <w:rsid w:val="00E34555"/>
    <w:rsid w:val="00E345DF"/>
    <w:rsid w:val="00E34623"/>
    <w:rsid w:val="00E347E8"/>
    <w:rsid w:val="00E3480C"/>
    <w:rsid w:val="00E34997"/>
    <w:rsid w:val="00E34A92"/>
    <w:rsid w:val="00E34A9B"/>
    <w:rsid w:val="00E34AC3"/>
    <w:rsid w:val="00E34B9F"/>
    <w:rsid w:val="00E34C0B"/>
    <w:rsid w:val="00E34C62"/>
    <w:rsid w:val="00E34E3E"/>
    <w:rsid w:val="00E34E73"/>
    <w:rsid w:val="00E34EF8"/>
    <w:rsid w:val="00E34F92"/>
    <w:rsid w:val="00E35419"/>
    <w:rsid w:val="00E35582"/>
    <w:rsid w:val="00E355D8"/>
    <w:rsid w:val="00E356C9"/>
    <w:rsid w:val="00E356E7"/>
    <w:rsid w:val="00E3573A"/>
    <w:rsid w:val="00E3577D"/>
    <w:rsid w:val="00E357B3"/>
    <w:rsid w:val="00E357E7"/>
    <w:rsid w:val="00E3585C"/>
    <w:rsid w:val="00E358D1"/>
    <w:rsid w:val="00E35984"/>
    <w:rsid w:val="00E35997"/>
    <w:rsid w:val="00E35A4B"/>
    <w:rsid w:val="00E35AA1"/>
    <w:rsid w:val="00E35C06"/>
    <w:rsid w:val="00E35DF7"/>
    <w:rsid w:val="00E35EA7"/>
    <w:rsid w:val="00E35F1D"/>
    <w:rsid w:val="00E35F57"/>
    <w:rsid w:val="00E35FF5"/>
    <w:rsid w:val="00E36015"/>
    <w:rsid w:val="00E3610F"/>
    <w:rsid w:val="00E3613E"/>
    <w:rsid w:val="00E3616F"/>
    <w:rsid w:val="00E36179"/>
    <w:rsid w:val="00E3620C"/>
    <w:rsid w:val="00E3624D"/>
    <w:rsid w:val="00E36255"/>
    <w:rsid w:val="00E3625C"/>
    <w:rsid w:val="00E362DC"/>
    <w:rsid w:val="00E3631B"/>
    <w:rsid w:val="00E36410"/>
    <w:rsid w:val="00E36525"/>
    <w:rsid w:val="00E365AF"/>
    <w:rsid w:val="00E3663C"/>
    <w:rsid w:val="00E3677D"/>
    <w:rsid w:val="00E367D1"/>
    <w:rsid w:val="00E367F1"/>
    <w:rsid w:val="00E36830"/>
    <w:rsid w:val="00E36847"/>
    <w:rsid w:val="00E3684C"/>
    <w:rsid w:val="00E368BF"/>
    <w:rsid w:val="00E368C2"/>
    <w:rsid w:val="00E36955"/>
    <w:rsid w:val="00E369E1"/>
    <w:rsid w:val="00E36ABB"/>
    <w:rsid w:val="00E36E9D"/>
    <w:rsid w:val="00E36FD8"/>
    <w:rsid w:val="00E37064"/>
    <w:rsid w:val="00E37213"/>
    <w:rsid w:val="00E372B3"/>
    <w:rsid w:val="00E37307"/>
    <w:rsid w:val="00E373BD"/>
    <w:rsid w:val="00E374F9"/>
    <w:rsid w:val="00E37588"/>
    <w:rsid w:val="00E37641"/>
    <w:rsid w:val="00E3764F"/>
    <w:rsid w:val="00E37654"/>
    <w:rsid w:val="00E376E0"/>
    <w:rsid w:val="00E376F3"/>
    <w:rsid w:val="00E37740"/>
    <w:rsid w:val="00E37741"/>
    <w:rsid w:val="00E377B5"/>
    <w:rsid w:val="00E377C2"/>
    <w:rsid w:val="00E37B3E"/>
    <w:rsid w:val="00E37BCB"/>
    <w:rsid w:val="00E37BF8"/>
    <w:rsid w:val="00E37CA5"/>
    <w:rsid w:val="00E37CE7"/>
    <w:rsid w:val="00E37DBF"/>
    <w:rsid w:val="00E37DC0"/>
    <w:rsid w:val="00E37FFE"/>
    <w:rsid w:val="00E40028"/>
    <w:rsid w:val="00E4003A"/>
    <w:rsid w:val="00E40184"/>
    <w:rsid w:val="00E40296"/>
    <w:rsid w:val="00E402F0"/>
    <w:rsid w:val="00E40316"/>
    <w:rsid w:val="00E40382"/>
    <w:rsid w:val="00E403FA"/>
    <w:rsid w:val="00E4042E"/>
    <w:rsid w:val="00E40477"/>
    <w:rsid w:val="00E4055A"/>
    <w:rsid w:val="00E40673"/>
    <w:rsid w:val="00E40866"/>
    <w:rsid w:val="00E40930"/>
    <w:rsid w:val="00E40B31"/>
    <w:rsid w:val="00E40D09"/>
    <w:rsid w:val="00E40DB3"/>
    <w:rsid w:val="00E40DFD"/>
    <w:rsid w:val="00E40E6D"/>
    <w:rsid w:val="00E40FAB"/>
    <w:rsid w:val="00E41019"/>
    <w:rsid w:val="00E41145"/>
    <w:rsid w:val="00E41179"/>
    <w:rsid w:val="00E411DA"/>
    <w:rsid w:val="00E41203"/>
    <w:rsid w:val="00E41208"/>
    <w:rsid w:val="00E41272"/>
    <w:rsid w:val="00E4128E"/>
    <w:rsid w:val="00E41343"/>
    <w:rsid w:val="00E413EB"/>
    <w:rsid w:val="00E4142B"/>
    <w:rsid w:val="00E414F8"/>
    <w:rsid w:val="00E4179A"/>
    <w:rsid w:val="00E417F9"/>
    <w:rsid w:val="00E41816"/>
    <w:rsid w:val="00E41884"/>
    <w:rsid w:val="00E418E1"/>
    <w:rsid w:val="00E41ADA"/>
    <w:rsid w:val="00E41BB7"/>
    <w:rsid w:val="00E41BD3"/>
    <w:rsid w:val="00E41D99"/>
    <w:rsid w:val="00E41DD4"/>
    <w:rsid w:val="00E41E10"/>
    <w:rsid w:val="00E41E3F"/>
    <w:rsid w:val="00E41E5F"/>
    <w:rsid w:val="00E41EA2"/>
    <w:rsid w:val="00E41FDF"/>
    <w:rsid w:val="00E420B2"/>
    <w:rsid w:val="00E42148"/>
    <w:rsid w:val="00E421B2"/>
    <w:rsid w:val="00E4229A"/>
    <w:rsid w:val="00E42385"/>
    <w:rsid w:val="00E4242D"/>
    <w:rsid w:val="00E4252E"/>
    <w:rsid w:val="00E42572"/>
    <w:rsid w:val="00E42758"/>
    <w:rsid w:val="00E42811"/>
    <w:rsid w:val="00E42862"/>
    <w:rsid w:val="00E428F1"/>
    <w:rsid w:val="00E4291E"/>
    <w:rsid w:val="00E4295F"/>
    <w:rsid w:val="00E42985"/>
    <w:rsid w:val="00E42AA2"/>
    <w:rsid w:val="00E42B2B"/>
    <w:rsid w:val="00E42C40"/>
    <w:rsid w:val="00E42CA1"/>
    <w:rsid w:val="00E42E0C"/>
    <w:rsid w:val="00E42F29"/>
    <w:rsid w:val="00E4300B"/>
    <w:rsid w:val="00E431BA"/>
    <w:rsid w:val="00E431D0"/>
    <w:rsid w:val="00E43247"/>
    <w:rsid w:val="00E432CC"/>
    <w:rsid w:val="00E432E8"/>
    <w:rsid w:val="00E43368"/>
    <w:rsid w:val="00E433DE"/>
    <w:rsid w:val="00E433ED"/>
    <w:rsid w:val="00E43405"/>
    <w:rsid w:val="00E434A3"/>
    <w:rsid w:val="00E434B4"/>
    <w:rsid w:val="00E43532"/>
    <w:rsid w:val="00E43549"/>
    <w:rsid w:val="00E435AE"/>
    <w:rsid w:val="00E435BB"/>
    <w:rsid w:val="00E435E3"/>
    <w:rsid w:val="00E435E7"/>
    <w:rsid w:val="00E4364A"/>
    <w:rsid w:val="00E43654"/>
    <w:rsid w:val="00E436C2"/>
    <w:rsid w:val="00E436D5"/>
    <w:rsid w:val="00E437B8"/>
    <w:rsid w:val="00E43807"/>
    <w:rsid w:val="00E43984"/>
    <w:rsid w:val="00E43A57"/>
    <w:rsid w:val="00E43AC9"/>
    <w:rsid w:val="00E43AD9"/>
    <w:rsid w:val="00E43BE6"/>
    <w:rsid w:val="00E43C41"/>
    <w:rsid w:val="00E43C70"/>
    <w:rsid w:val="00E43CA8"/>
    <w:rsid w:val="00E43CDC"/>
    <w:rsid w:val="00E4414E"/>
    <w:rsid w:val="00E442DA"/>
    <w:rsid w:val="00E44394"/>
    <w:rsid w:val="00E44498"/>
    <w:rsid w:val="00E445FC"/>
    <w:rsid w:val="00E446E5"/>
    <w:rsid w:val="00E446EB"/>
    <w:rsid w:val="00E447CB"/>
    <w:rsid w:val="00E4484F"/>
    <w:rsid w:val="00E4487E"/>
    <w:rsid w:val="00E448A0"/>
    <w:rsid w:val="00E44930"/>
    <w:rsid w:val="00E4494B"/>
    <w:rsid w:val="00E44A5A"/>
    <w:rsid w:val="00E44B40"/>
    <w:rsid w:val="00E44C1C"/>
    <w:rsid w:val="00E44C4F"/>
    <w:rsid w:val="00E44C63"/>
    <w:rsid w:val="00E44CC0"/>
    <w:rsid w:val="00E44CD0"/>
    <w:rsid w:val="00E44D9B"/>
    <w:rsid w:val="00E44E60"/>
    <w:rsid w:val="00E44E93"/>
    <w:rsid w:val="00E44ECA"/>
    <w:rsid w:val="00E44F97"/>
    <w:rsid w:val="00E451FF"/>
    <w:rsid w:val="00E45242"/>
    <w:rsid w:val="00E45298"/>
    <w:rsid w:val="00E4535B"/>
    <w:rsid w:val="00E4543C"/>
    <w:rsid w:val="00E45480"/>
    <w:rsid w:val="00E455BD"/>
    <w:rsid w:val="00E45847"/>
    <w:rsid w:val="00E458F5"/>
    <w:rsid w:val="00E4594E"/>
    <w:rsid w:val="00E45957"/>
    <w:rsid w:val="00E459B1"/>
    <w:rsid w:val="00E459D4"/>
    <w:rsid w:val="00E45A4B"/>
    <w:rsid w:val="00E45AE2"/>
    <w:rsid w:val="00E45AF5"/>
    <w:rsid w:val="00E45B4F"/>
    <w:rsid w:val="00E45B6D"/>
    <w:rsid w:val="00E45BED"/>
    <w:rsid w:val="00E45C08"/>
    <w:rsid w:val="00E45C21"/>
    <w:rsid w:val="00E45C30"/>
    <w:rsid w:val="00E45C8A"/>
    <w:rsid w:val="00E45CC9"/>
    <w:rsid w:val="00E45D6D"/>
    <w:rsid w:val="00E45DD6"/>
    <w:rsid w:val="00E45FC5"/>
    <w:rsid w:val="00E46080"/>
    <w:rsid w:val="00E4611B"/>
    <w:rsid w:val="00E461FB"/>
    <w:rsid w:val="00E46211"/>
    <w:rsid w:val="00E462A2"/>
    <w:rsid w:val="00E462C7"/>
    <w:rsid w:val="00E463A8"/>
    <w:rsid w:val="00E46523"/>
    <w:rsid w:val="00E468D3"/>
    <w:rsid w:val="00E468E1"/>
    <w:rsid w:val="00E4690C"/>
    <w:rsid w:val="00E46928"/>
    <w:rsid w:val="00E46930"/>
    <w:rsid w:val="00E469CC"/>
    <w:rsid w:val="00E469E1"/>
    <w:rsid w:val="00E46ABC"/>
    <w:rsid w:val="00E46C0A"/>
    <w:rsid w:val="00E46C69"/>
    <w:rsid w:val="00E46CE5"/>
    <w:rsid w:val="00E46D95"/>
    <w:rsid w:val="00E46D9B"/>
    <w:rsid w:val="00E46F28"/>
    <w:rsid w:val="00E46F39"/>
    <w:rsid w:val="00E46F49"/>
    <w:rsid w:val="00E47073"/>
    <w:rsid w:val="00E47162"/>
    <w:rsid w:val="00E47204"/>
    <w:rsid w:val="00E472DB"/>
    <w:rsid w:val="00E473CD"/>
    <w:rsid w:val="00E47449"/>
    <w:rsid w:val="00E474A6"/>
    <w:rsid w:val="00E475E8"/>
    <w:rsid w:val="00E476AC"/>
    <w:rsid w:val="00E4775F"/>
    <w:rsid w:val="00E477A8"/>
    <w:rsid w:val="00E47808"/>
    <w:rsid w:val="00E4788D"/>
    <w:rsid w:val="00E478A7"/>
    <w:rsid w:val="00E478C5"/>
    <w:rsid w:val="00E478F6"/>
    <w:rsid w:val="00E47D4C"/>
    <w:rsid w:val="00E47D90"/>
    <w:rsid w:val="00E47DA5"/>
    <w:rsid w:val="00E47F33"/>
    <w:rsid w:val="00E47FE6"/>
    <w:rsid w:val="00E5012B"/>
    <w:rsid w:val="00E502B8"/>
    <w:rsid w:val="00E502F8"/>
    <w:rsid w:val="00E5046A"/>
    <w:rsid w:val="00E50521"/>
    <w:rsid w:val="00E50589"/>
    <w:rsid w:val="00E5078F"/>
    <w:rsid w:val="00E508B6"/>
    <w:rsid w:val="00E508BE"/>
    <w:rsid w:val="00E50903"/>
    <w:rsid w:val="00E50ABF"/>
    <w:rsid w:val="00E50B3F"/>
    <w:rsid w:val="00E50B8E"/>
    <w:rsid w:val="00E50D4E"/>
    <w:rsid w:val="00E50E83"/>
    <w:rsid w:val="00E50EEB"/>
    <w:rsid w:val="00E50F31"/>
    <w:rsid w:val="00E50F45"/>
    <w:rsid w:val="00E50F97"/>
    <w:rsid w:val="00E50F9A"/>
    <w:rsid w:val="00E51034"/>
    <w:rsid w:val="00E511BA"/>
    <w:rsid w:val="00E512BD"/>
    <w:rsid w:val="00E5130E"/>
    <w:rsid w:val="00E51511"/>
    <w:rsid w:val="00E515AC"/>
    <w:rsid w:val="00E515C3"/>
    <w:rsid w:val="00E515DF"/>
    <w:rsid w:val="00E51644"/>
    <w:rsid w:val="00E5166B"/>
    <w:rsid w:val="00E516AB"/>
    <w:rsid w:val="00E51716"/>
    <w:rsid w:val="00E51779"/>
    <w:rsid w:val="00E51B2D"/>
    <w:rsid w:val="00E51B89"/>
    <w:rsid w:val="00E51C97"/>
    <w:rsid w:val="00E51D63"/>
    <w:rsid w:val="00E51D72"/>
    <w:rsid w:val="00E51DCD"/>
    <w:rsid w:val="00E51E33"/>
    <w:rsid w:val="00E51E54"/>
    <w:rsid w:val="00E51E57"/>
    <w:rsid w:val="00E51EF0"/>
    <w:rsid w:val="00E51F3B"/>
    <w:rsid w:val="00E5200A"/>
    <w:rsid w:val="00E52138"/>
    <w:rsid w:val="00E5214D"/>
    <w:rsid w:val="00E5218B"/>
    <w:rsid w:val="00E5222D"/>
    <w:rsid w:val="00E52293"/>
    <w:rsid w:val="00E52351"/>
    <w:rsid w:val="00E5240D"/>
    <w:rsid w:val="00E52491"/>
    <w:rsid w:val="00E52502"/>
    <w:rsid w:val="00E52529"/>
    <w:rsid w:val="00E52560"/>
    <w:rsid w:val="00E525B7"/>
    <w:rsid w:val="00E52683"/>
    <w:rsid w:val="00E52746"/>
    <w:rsid w:val="00E528B2"/>
    <w:rsid w:val="00E5296C"/>
    <w:rsid w:val="00E52A82"/>
    <w:rsid w:val="00E52AB2"/>
    <w:rsid w:val="00E52B8E"/>
    <w:rsid w:val="00E52C14"/>
    <w:rsid w:val="00E52CAF"/>
    <w:rsid w:val="00E52D25"/>
    <w:rsid w:val="00E52E32"/>
    <w:rsid w:val="00E52E8A"/>
    <w:rsid w:val="00E52EB1"/>
    <w:rsid w:val="00E52EC1"/>
    <w:rsid w:val="00E52EC2"/>
    <w:rsid w:val="00E52FD8"/>
    <w:rsid w:val="00E5324D"/>
    <w:rsid w:val="00E53314"/>
    <w:rsid w:val="00E533D6"/>
    <w:rsid w:val="00E533ED"/>
    <w:rsid w:val="00E53423"/>
    <w:rsid w:val="00E5344F"/>
    <w:rsid w:val="00E5346E"/>
    <w:rsid w:val="00E534ED"/>
    <w:rsid w:val="00E5359F"/>
    <w:rsid w:val="00E535CB"/>
    <w:rsid w:val="00E535EB"/>
    <w:rsid w:val="00E536E8"/>
    <w:rsid w:val="00E53737"/>
    <w:rsid w:val="00E537CB"/>
    <w:rsid w:val="00E53853"/>
    <w:rsid w:val="00E53877"/>
    <w:rsid w:val="00E538A5"/>
    <w:rsid w:val="00E538B6"/>
    <w:rsid w:val="00E5393D"/>
    <w:rsid w:val="00E53941"/>
    <w:rsid w:val="00E53A11"/>
    <w:rsid w:val="00E53B9B"/>
    <w:rsid w:val="00E53BB3"/>
    <w:rsid w:val="00E53C74"/>
    <w:rsid w:val="00E53D8D"/>
    <w:rsid w:val="00E53DB0"/>
    <w:rsid w:val="00E53E23"/>
    <w:rsid w:val="00E53E95"/>
    <w:rsid w:val="00E53ED9"/>
    <w:rsid w:val="00E53F39"/>
    <w:rsid w:val="00E53FCB"/>
    <w:rsid w:val="00E53FE5"/>
    <w:rsid w:val="00E54330"/>
    <w:rsid w:val="00E5450E"/>
    <w:rsid w:val="00E54544"/>
    <w:rsid w:val="00E54554"/>
    <w:rsid w:val="00E545A0"/>
    <w:rsid w:val="00E5460C"/>
    <w:rsid w:val="00E54652"/>
    <w:rsid w:val="00E54669"/>
    <w:rsid w:val="00E546A6"/>
    <w:rsid w:val="00E5477F"/>
    <w:rsid w:val="00E547C3"/>
    <w:rsid w:val="00E54817"/>
    <w:rsid w:val="00E54871"/>
    <w:rsid w:val="00E549D5"/>
    <w:rsid w:val="00E549E6"/>
    <w:rsid w:val="00E54ABC"/>
    <w:rsid w:val="00E54B3C"/>
    <w:rsid w:val="00E54BF5"/>
    <w:rsid w:val="00E54BF8"/>
    <w:rsid w:val="00E54D95"/>
    <w:rsid w:val="00E54DEB"/>
    <w:rsid w:val="00E54F99"/>
    <w:rsid w:val="00E54FFC"/>
    <w:rsid w:val="00E55090"/>
    <w:rsid w:val="00E5510D"/>
    <w:rsid w:val="00E55420"/>
    <w:rsid w:val="00E55438"/>
    <w:rsid w:val="00E55478"/>
    <w:rsid w:val="00E55608"/>
    <w:rsid w:val="00E5560D"/>
    <w:rsid w:val="00E55627"/>
    <w:rsid w:val="00E5569B"/>
    <w:rsid w:val="00E556D9"/>
    <w:rsid w:val="00E55752"/>
    <w:rsid w:val="00E55778"/>
    <w:rsid w:val="00E55825"/>
    <w:rsid w:val="00E55845"/>
    <w:rsid w:val="00E55863"/>
    <w:rsid w:val="00E559DE"/>
    <w:rsid w:val="00E55A1F"/>
    <w:rsid w:val="00E55AA8"/>
    <w:rsid w:val="00E55C65"/>
    <w:rsid w:val="00E55D57"/>
    <w:rsid w:val="00E55D5A"/>
    <w:rsid w:val="00E55EA5"/>
    <w:rsid w:val="00E55F0F"/>
    <w:rsid w:val="00E55F7E"/>
    <w:rsid w:val="00E55F91"/>
    <w:rsid w:val="00E5604B"/>
    <w:rsid w:val="00E56172"/>
    <w:rsid w:val="00E5617D"/>
    <w:rsid w:val="00E56200"/>
    <w:rsid w:val="00E56223"/>
    <w:rsid w:val="00E56229"/>
    <w:rsid w:val="00E56233"/>
    <w:rsid w:val="00E562FE"/>
    <w:rsid w:val="00E563F6"/>
    <w:rsid w:val="00E56632"/>
    <w:rsid w:val="00E5663D"/>
    <w:rsid w:val="00E5665D"/>
    <w:rsid w:val="00E566A6"/>
    <w:rsid w:val="00E5676E"/>
    <w:rsid w:val="00E56838"/>
    <w:rsid w:val="00E5686F"/>
    <w:rsid w:val="00E568C6"/>
    <w:rsid w:val="00E56913"/>
    <w:rsid w:val="00E569D1"/>
    <w:rsid w:val="00E569E1"/>
    <w:rsid w:val="00E56ABC"/>
    <w:rsid w:val="00E56AF3"/>
    <w:rsid w:val="00E56B6E"/>
    <w:rsid w:val="00E56C2E"/>
    <w:rsid w:val="00E56C31"/>
    <w:rsid w:val="00E56C4C"/>
    <w:rsid w:val="00E56C5B"/>
    <w:rsid w:val="00E56CEA"/>
    <w:rsid w:val="00E56D19"/>
    <w:rsid w:val="00E56DEA"/>
    <w:rsid w:val="00E56E86"/>
    <w:rsid w:val="00E56EEF"/>
    <w:rsid w:val="00E56F1C"/>
    <w:rsid w:val="00E56F55"/>
    <w:rsid w:val="00E56F66"/>
    <w:rsid w:val="00E56F6C"/>
    <w:rsid w:val="00E56F87"/>
    <w:rsid w:val="00E56FAE"/>
    <w:rsid w:val="00E56FB6"/>
    <w:rsid w:val="00E570CF"/>
    <w:rsid w:val="00E5712D"/>
    <w:rsid w:val="00E57130"/>
    <w:rsid w:val="00E57178"/>
    <w:rsid w:val="00E57236"/>
    <w:rsid w:val="00E5723A"/>
    <w:rsid w:val="00E572AD"/>
    <w:rsid w:val="00E572B3"/>
    <w:rsid w:val="00E572C8"/>
    <w:rsid w:val="00E57398"/>
    <w:rsid w:val="00E5754E"/>
    <w:rsid w:val="00E575AD"/>
    <w:rsid w:val="00E576C1"/>
    <w:rsid w:val="00E57717"/>
    <w:rsid w:val="00E57778"/>
    <w:rsid w:val="00E577F2"/>
    <w:rsid w:val="00E5785E"/>
    <w:rsid w:val="00E57A88"/>
    <w:rsid w:val="00E57AF4"/>
    <w:rsid w:val="00E57B7E"/>
    <w:rsid w:val="00E57C1E"/>
    <w:rsid w:val="00E57DB5"/>
    <w:rsid w:val="00E57F1D"/>
    <w:rsid w:val="00E57F2F"/>
    <w:rsid w:val="00E57F86"/>
    <w:rsid w:val="00E6005A"/>
    <w:rsid w:val="00E600DF"/>
    <w:rsid w:val="00E60202"/>
    <w:rsid w:val="00E6020E"/>
    <w:rsid w:val="00E6031C"/>
    <w:rsid w:val="00E60345"/>
    <w:rsid w:val="00E6043D"/>
    <w:rsid w:val="00E60482"/>
    <w:rsid w:val="00E604D6"/>
    <w:rsid w:val="00E6053A"/>
    <w:rsid w:val="00E605D3"/>
    <w:rsid w:val="00E60632"/>
    <w:rsid w:val="00E60688"/>
    <w:rsid w:val="00E606B4"/>
    <w:rsid w:val="00E606C8"/>
    <w:rsid w:val="00E6072A"/>
    <w:rsid w:val="00E6080A"/>
    <w:rsid w:val="00E608AA"/>
    <w:rsid w:val="00E60949"/>
    <w:rsid w:val="00E609FD"/>
    <w:rsid w:val="00E60B2F"/>
    <w:rsid w:val="00E60B36"/>
    <w:rsid w:val="00E60BDB"/>
    <w:rsid w:val="00E60BE6"/>
    <w:rsid w:val="00E60D80"/>
    <w:rsid w:val="00E60DCC"/>
    <w:rsid w:val="00E60E00"/>
    <w:rsid w:val="00E60E03"/>
    <w:rsid w:val="00E60E9E"/>
    <w:rsid w:val="00E60EC1"/>
    <w:rsid w:val="00E60EEC"/>
    <w:rsid w:val="00E60FF1"/>
    <w:rsid w:val="00E6112D"/>
    <w:rsid w:val="00E6114C"/>
    <w:rsid w:val="00E611AA"/>
    <w:rsid w:val="00E61391"/>
    <w:rsid w:val="00E614C3"/>
    <w:rsid w:val="00E61517"/>
    <w:rsid w:val="00E61539"/>
    <w:rsid w:val="00E6171E"/>
    <w:rsid w:val="00E61820"/>
    <w:rsid w:val="00E618B4"/>
    <w:rsid w:val="00E61970"/>
    <w:rsid w:val="00E61A28"/>
    <w:rsid w:val="00E61A4F"/>
    <w:rsid w:val="00E61AC7"/>
    <w:rsid w:val="00E61B01"/>
    <w:rsid w:val="00E61B04"/>
    <w:rsid w:val="00E61BCB"/>
    <w:rsid w:val="00E61BFC"/>
    <w:rsid w:val="00E61C50"/>
    <w:rsid w:val="00E61C6E"/>
    <w:rsid w:val="00E61DB2"/>
    <w:rsid w:val="00E61E2E"/>
    <w:rsid w:val="00E61EAB"/>
    <w:rsid w:val="00E62087"/>
    <w:rsid w:val="00E6209C"/>
    <w:rsid w:val="00E620FE"/>
    <w:rsid w:val="00E621B2"/>
    <w:rsid w:val="00E62227"/>
    <w:rsid w:val="00E62288"/>
    <w:rsid w:val="00E62314"/>
    <w:rsid w:val="00E623F4"/>
    <w:rsid w:val="00E62449"/>
    <w:rsid w:val="00E6248A"/>
    <w:rsid w:val="00E62617"/>
    <w:rsid w:val="00E6269D"/>
    <w:rsid w:val="00E62800"/>
    <w:rsid w:val="00E628DB"/>
    <w:rsid w:val="00E629B3"/>
    <w:rsid w:val="00E62A99"/>
    <w:rsid w:val="00E62AD7"/>
    <w:rsid w:val="00E62B97"/>
    <w:rsid w:val="00E62B9E"/>
    <w:rsid w:val="00E62BCA"/>
    <w:rsid w:val="00E62C07"/>
    <w:rsid w:val="00E62C95"/>
    <w:rsid w:val="00E62D0D"/>
    <w:rsid w:val="00E62D28"/>
    <w:rsid w:val="00E62F1B"/>
    <w:rsid w:val="00E62F2F"/>
    <w:rsid w:val="00E62F78"/>
    <w:rsid w:val="00E62FA7"/>
    <w:rsid w:val="00E62FAE"/>
    <w:rsid w:val="00E63020"/>
    <w:rsid w:val="00E6303C"/>
    <w:rsid w:val="00E6305D"/>
    <w:rsid w:val="00E630EC"/>
    <w:rsid w:val="00E631A1"/>
    <w:rsid w:val="00E6327C"/>
    <w:rsid w:val="00E63302"/>
    <w:rsid w:val="00E633FD"/>
    <w:rsid w:val="00E63469"/>
    <w:rsid w:val="00E634EA"/>
    <w:rsid w:val="00E634FF"/>
    <w:rsid w:val="00E63545"/>
    <w:rsid w:val="00E6358B"/>
    <w:rsid w:val="00E63648"/>
    <w:rsid w:val="00E6367C"/>
    <w:rsid w:val="00E6370A"/>
    <w:rsid w:val="00E637A1"/>
    <w:rsid w:val="00E637A3"/>
    <w:rsid w:val="00E637B2"/>
    <w:rsid w:val="00E637B7"/>
    <w:rsid w:val="00E637C4"/>
    <w:rsid w:val="00E63827"/>
    <w:rsid w:val="00E638B3"/>
    <w:rsid w:val="00E639E7"/>
    <w:rsid w:val="00E63A41"/>
    <w:rsid w:val="00E63A60"/>
    <w:rsid w:val="00E63A9D"/>
    <w:rsid w:val="00E63BAA"/>
    <w:rsid w:val="00E63BC6"/>
    <w:rsid w:val="00E63CE6"/>
    <w:rsid w:val="00E63D5B"/>
    <w:rsid w:val="00E63D69"/>
    <w:rsid w:val="00E63E30"/>
    <w:rsid w:val="00E63EAC"/>
    <w:rsid w:val="00E63ED8"/>
    <w:rsid w:val="00E63FA1"/>
    <w:rsid w:val="00E63FC4"/>
    <w:rsid w:val="00E63FEC"/>
    <w:rsid w:val="00E63FFB"/>
    <w:rsid w:val="00E64059"/>
    <w:rsid w:val="00E641B4"/>
    <w:rsid w:val="00E6425C"/>
    <w:rsid w:val="00E642DC"/>
    <w:rsid w:val="00E64323"/>
    <w:rsid w:val="00E643BC"/>
    <w:rsid w:val="00E644AB"/>
    <w:rsid w:val="00E6451D"/>
    <w:rsid w:val="00E6453D"/>
    <w:rsid w:val="00E6455F"/>
    <w:rsid w:val="00E6469C"/>
    <w:rsid w:val="00E64703"/>
    <w:rsid w:val="00E6476C"/>
    <w:rsid w:val="00E647D1"/>
    <w:rsid w:val="00E647E2"/>
    <w:rsid w:val="00E6487A"/>
    <w:rsid w:val="00E64936"/>
    <w:rsid w:val="00E64937"/>
    <w:rsid w:val="00E64A13"/>
    <w:rsid w:val="00E64B89"/>
    <w:rsid w:val="00E64BA2"/>
    <w:rsid w:val="00E64BC2"/>
    <w:rsid w:val="00E64D7A"/>
    <w:rsid w:val="00E64D84"/>
    <w:rsid w:val="00E64DF8"/>
    <w:rsid w:val="00E64E4A"/>
    <w:rsid w:val="00E64E72"/>
    <w:rsid w:val="00E64F70"/>
    <w:rsid w:val="00E65039"/>
    <w:rsid w:val="00E6509C"/>
    <w:rsid w:val="00E65222"/>
    <w:rsid w:val="00E652A8"/>
    <w:rsid w:val="00E652C2"/>
    <w:rsid w:val="00E652D1"/>
    <w:rsid w:val="00E65463"/>
    <w:rsid w:val="00E655D4"/>
    <w:rsid w:val="00E655D9"/>
    <w:rsid w:val="00E65660"/>
    <w:rsid w:val="00E65753"/>
    <w:rsid w:val="00E6580B"/>
    <w:rsid w:val="00E6580E"/>
    <w:rsid w:val="00E6597B"/>
    <w:rsid w:val="00E65AC8"/>
    <w:rsid w:val="00E65B0F"/>
    <w:rsid w:val="00E65B5B"/>
    <w:rsid w:val="00E65C00"/>
    <w:rsid w:val="00E65C60"/>
    <w:rsid w:val="00E65C69"/>
    <w:rsid w:val="00E65C6B"/>
    <w:rsid w:val="00E65CEF"/>
    <w:rsid w:val="00E65D32"/>
    <w:rsid w:val="00E65DE6"/>
    <w:rsid w:val="00E65E32"/>
    <w:rsid w:val="00E65E4B"/>
    <w:rsid w:val="00E65E57"/>
    <w:rsid w:val="00E65E6A"/>
    <w:rsid w:val="00E65EF9"/>
    <w:rsid w:val="00E65F2D"/>
    <w:rsid w:val="00E6617C"/>
    <w:rsid w:val="00E6625A"/>
    <w:rsid w:val="00E663AF"/>
    <w:rsid w:val="00E663B3"/>
    <w:rsid w:val="00E663F1"/>
    <w:rsid w:val="00E664A7"/>
    <w:rsid w:val="00E66516"/>
    <w:rsid w:val="00E6665C"/>
    <w:rsid w:val="00E66695"/>
    <w:rsid w:val="00E66816"/>
    <w:rsid w:val="00E6684E"/>
    <w:rsid w:val="00E6688B"/>
    <w:rsid w:val="00E668D8"/>
    <w:rsid w:val="00E66A08"/>
    <w:rsid w:val="00E66AC7"/>
    <w:rsid w:val="00E66AE2"/>
    <w:rsid w:val="00E66B2B"/>
    <w:rsid w:val="00E66C4B"/>
    <w:rsid w:val="00E66C66"/>
    <w:rsid w:val="00E66CFE"/>
    <w:rsid w:val="00E66E73"/>
    <w:rsid w:val="00E66F60"/>
    <w:rsid w:val="00E67073"/>
    <w:rsid w:val="00E67074"/>
    <w:rsid w:val="00E67085"/>
    <w:rsid w:val="00E670D8"/>
    <w:rsid w:val="00E671A9"/>
    <w:rsid w:val="00E671C7"/>
    <w:rsid w:val="00E671F9"/>
    <w:rsid w:val="00E67260"/>
    <w:rsid w:val="00E673D6"/>
    <w:rsid w:val="00E673F2"/>
    <w:rsid w:val="00E67411"/>
    <w:rsid w:val="00E675E7"/>
    <w:rsid w:val="00E6766E"/>
    <w:rsid w:val="00E676A6"/>
    <w:rsid w:val="00E677C7"/>
    <w:rsid w:val="00E6783B"/>
    <w:rsid w:val="00E67866"/>
    <w:rsid w:val="00E67869"/>
    <w:rsid w:val="00E6787B"/>
    <w:rsid w:val="00E67952"/>
    <w:rsid w:val="00E679D2"/>
    <w:rsid w:val="00E67A58"/>
    <w:rsid w:val="00E67AAD"/>
    <w:rsid w:val="00E67ADF"/>
    <w:rsid w:val="00E67B2A"/>
    <w:rsid w:val="00E67BCC"/>
    <w:rsid w:val="00E67C6E"/>
    <w:rsid w:val="00E67CE3"/>
    <w:rsid w:val="00E67DA3"/>
    <w:rsid w:val="00E67E76"/>
    <w:rsid w:val="00E67F42"/>
    <w:rsid w:val="00E67F5F"/>
    <w:rsid w:val="00E67F8C"/>
    <w:rsid w:val="00E67FCC"/>
    <w:rsid w:val="00E67FFB"/>
    <w:rsid w:val="00E70227"/>
    <w:rsid w:val="00E70229"/>
    <w:rsid w:val="00E70294"/>
    <w:rsid w:val="00E702A5"/>
    <w:rsid w:val="00E703AD"/>
    <w:rsid w:val="00E703EB"/>
    <w:rsid w:val="00E70623"/>
    <w:rsid w:val="00E70653"/>
    <w:rsid w:val="00E7066B"/>
    <w:rsid w:val="00E706C3"/>
    <w:rsid w:val="00E706D1"/>
    <w:rsid w:val="00E706EC"/>
    <w:rsid w:val="00E70772"/>
    <w:rsid w:val="00E709A4"/>
    <w:rsid w:val="00E70AFA"/>
    <w:rsid w:val="00E70BAA"/>
    <w:rsid w:val="00E70BF3"/>
    <w:rsid w:val="00E70C0A"/>
    <w:rsid w:val="00E70D18"/>
    <w:rsid w:val="00E70D35"/>
    <w:rsid w:val="00E70EBA"/>
    <w:rsid w:val="00E70F71"/>
    <w:rsid w:val="00E70FCE"/>
    <w:rsid w:val="00E71136"/>
    <w:rsid w:val="00E711B1"/>
    <w:rsid w:val="00E711FB"/>
    <w:rsid w:val="00E712CA"/>
    <w:rsid w:val="00E71307"/>
    <w:rsid w:val="00E71630"/>
    <w:rsid w:val="00E717A4"/>
    <w:rsid w:val="00E71968"/>
    <w:rsid w:val="00E71978"/>
    <w:rsid w:val="00E71A80"/>
    <w:rsid w:val="00E71A87"/>
    <w:rsid w:val="00E71ABE"/>
    <w:rsid w:val="00E71AE5"/>
    <w:rsid w:val="00E71B4B"/>
    <w:rsid w:val="00E71D2B"/>
    <w:rsid w:val="00E71D9B"/>
    <w:rsid w:val="00E71DAF"/>
    <w:rsid w:val="00E71E52"/>
    <w:rsid w:val="00E71E72"/>
    <w:rsid w:val="00E71F14"/>
    <w:rsid w:val="00E71F88"/>
    <w:rsid w:val="00E71F93"/>
    <w:rsid w:val="00E71FA6"/>
    <w:rsid w:val="00E72074"/>
    <w:rsid w:val="00E720C2"/>
    <w:rsid w:val="00E720E2"/>
    <w:rsid w:val="00E72138"/>
    <w:rsid w:val="00E72235"/>
    <w:rsid w:val="00E722F8"/>
    <w:rsid w:val="00E72395"/>
    <w:rsid w:val="00E72560"/>
    <w:rsid w:val="00E7259C"/>
    <w:rsid w:val="00E7267D"/>
    <w:rsid w:val="00E726A7"/>
    <w:rsid w:val="00E72758"/>
    <w:rsid w:val="00E7275A"/>
    <w:rsid w:val="00E72781"/>
    <w:rsid w:val="00E72989"/>
    <w:rsid w:val="00E729EB"/>
    <w:rsid w:val="00E72A6D"/>
    <w:rsid w:val="00E72AD4"/>
    <w:rsid w:val="00E72B44"/>
    <w:rsid w:val="00E72B4C"/>
    <w:rsid w:val="00E72C08"/>
    <w:rsid w:val="00E72C15"/>
    <w:rsid w:val="00E73049"/>
    <w:rsid w:val="00E7305D"/>
    <w:rsid w:val="00E730ED"/>
    <w:rsid w:val="00E730F8"/>
    <w:rsid w:val="00E73160"/>
    <w:rsid w:val="00E73230"/>
    <w:rsid w:val="00E732EA"/>
    <w:rsid w:val="00E73338"/>
    <w:rsid w:val="00E7333E"/>
    <w:rsid w:val="00E733B9"/>
    <w:rsid w:val="00E73498"/>
    <w:rsid w:val="00E73501"/>
    <w:rsid w:val="00E73594"/>
    <w:rsid w:val="00E73602"/>
    <w:rsid w:val="00E73789"/>
    <w:rsid w:val="00E737E6"/>
    <w:rsid w:val="00E73896"/>
    <w:rsid w:val="00E738DC"/>
    <w:rsid w:val="00E7391A"/>
    <w:rsid w:val="00E739FC"/>
    <w:rsid w:val="00E73A4E"/>
    <w:rsid w:val="00E73AD5"/>
    <w:rsid w:val="00E73AE0"/>
    <w:rsid w:val="00E73B5E"/>
    <w:rsid w:val="00E73B81"/>
    <w:rsid w:val="00E73C09"/>
    <w:rsid w:val="00E73CDC"/>
    <w:rsid w:val="00E73D23"/>
    <w:rsid w:val="00E73DCB"/>
    <w:rsid w:val="00E73EA6"/>
    <w:rsid w:val="00E73EC8"/>
    <w:rsid w:val="00E74050"/>
    <w:rsid w:val="00E74069"/>
    <w:rsid w:val="00E740C9"/>
    <w:rsid w:val="00E740E7"/>
    <w:rsid w:val="00E74115"/>
    <w:rsid w:val="00E74117"/>
    <w:rsid w:val="00E7411D"/>
    <w:rsid w:val="00E741A3"/>
    <w:rsid w:val="00E7425A"/>
    <w:rsid w:val="00E743AB"/>
    <w:rsid w:val="00E743D1"/>
    <w:rsid w:val="00E744F8"/>
    <w:rsid w:val="00E74501"/>
    <w:rsid w:val="00E74516"/>
    <w:rsid w:val="00E7457F"/>
    <w:rsid w:val="00E7490C"/>
    <w:rsid w:val="00E74975"/>
    <w:rsid w:val="00E74A93"/>
    <w:rsid w:val="00E74C52"/>
    <w:rsid w:val="00E74D41"/>
    <w:rsid w:val="00E74D69"/>
    <w:rsid w:val="00E74DA9"/>
    <w:rsid w:val="00E74E77"/>
    <w:rsid w:val="00E74EAE"/>
    <w:rsid w:val="00E74EB3"/>
    <w:rsid w:val="00E74EE2"/>
    <w:rsid w:val="00E74F1A"/>
    <w:rsid w:val="00E74FFA"/>
    <w:rsid w:val="00E75244"/>
    <w:rsid w:val="00E75265"/>
    <w:rsid w:val="00E75295"/>
    <w:rsid w:val="00E7532C"/>
    <w:rsid w:val="00E7547B"/>
    <w:rsid w:val="00E75585"/>
    <w:rsid w:val="00E755D3"/>
    <w:rsid w:val="00E755F1"/>
    <w:rsid w:val="00E756B2"/>
    <w:rsid w:val="00E75709"/>
    <w:rsid w:val="00E75737"/>
    <w:rsid w:val="00E757B5"/>
    <w:rsid w:val="00E758F7"/>
    <w:rsid w:val="00E75903"/>
    <w:rsid w:val="00E7590F"/>
    <w:rsid w:val="00E7595A"/>
    <w:rsid w:val="00E7596F"/>
    <w:rsid w:val="00E75997"/>
    <w:rsid w:val="00E759EE"/>
    <w:rsid w:val="00E75A0A"/>
    <w:rsid w:val="00E75A5E"/>
    <w:rsid w:val="00E75A80"/>
    <w:rsid w:val="00E75BE8"/>
    <w:rsid w:val="00E75C19"/>
    <w:rsid w:val="00E75C4C"/>
    <w:rsid w:val="00E75CAF"/>
    <w:rsid w:val="00E75D00"/>
    <w:rsid w:val="00E75D73"/>
    <w:rsid w:val="00E75D86"/>
    <w:rsid w:val="00E75DAF"/>
    <w:rsid w:val="00E75E2C"/>
    <w:rsid w:val="00E75E4F"/>
    <w:rsid w:val="00E75E6E"/>
    <w:rsid w:val="00E75EAF"/>
    <w:rsid w:val="00E75F5C"/>
    <w:rsid w:val="00E75F78"/>
    <w:rsid w:val="00E75FDA"/>
    <w:rsid w:val="00E76014"/>
    <w:rsid w:val="00E760F3"/>
    <w:rsid w:val="00E76181"/>
    <w:rsid w:val="00E761FA"/>
    <w:rsid w:val="00E7620A"/>
    <w:rsid w:val="00E764E5"/>
    <w:rsid w:val="00E76586"/>
    <w:rsid w:val="00E765A8"/>
    <w:rsid w:val="00E765B8"/>
    <w:rsid w:val="00E765D1"/>
    <w:rsid w:val="00E76600"/>
    <w:rsid w:val="00E76667"/>
    <w:rsid w:val="00E767A4"/>
    <w:rsid w:val="00E76816"/>
    <w:rsid w:val="00E76971"/>
    <w:rsid w:val="00E76AB4"/>
    <w:rsid w:val="00E76B2B"/>
    <w:rsid w:val="00E76C53"/>
    <w:rsid w:val="00E76C80"/>
    <w:rsid w:val="00E76C96"/>
    <w:rsid w:val="00E76CFD"/>
    <w:rsid w:val="00E76DA8"/>
    <w:rsid w:val="00E76DCE"/>
    <w:rsid w:val="00E76DEB"/>
    <w:rsid w:val="00E76EA9"/>
    <w:rsid w:val="00E76FBF"/>
    <w:rsid w:val="00E77011"/>
    <w:rsid w:val="00E77016"/>
    <w:rsid w:val="00E77044"/>
    <w:rsid w:val="00E770B0"/>
    <w:rsid w:val="00E770E8"/>
    <w:rsid w:val="00E77131"/>
    <w:rsid w:val="00E77140"/>
    <w:rsid w:val="00E771D4"/>
    <w:rsid w:val="00E77211"/>
    <w:rsid w:val="00E77281"/>
    <w:rsid w:val="00E77408"/>
    <w:rsid w:val="00E7741E"/>
    <w:rsid w:val="00E776A4"/>
    <w:rsid w:val="00E776C5"/>
    <w:rsid w:val="00E776DB"/>
    <w:rsid w:val="00E77771"/>
    <w:rsid w:val="00E778B2"/>
    <w:rsid w:val="00E7793D"/>
    <w:rsid w:val="00E77999"/>
    <w:rsid w:val="00E779CC"/>
    <w:rsid w:val="00E77A69"/>
    <w:rsid w:val="00E77A80"/>
    <w:rsid w:val="00E77AE9"/>
    <w:rsid w:val="00E77B06"/>
    <w:rsid w:val="00E77B0B"/>
    <w:rsid w:val="00E77C03"/>
    <w:rsid w:val="00E77C7F"/>
    <w:rsid w:val="00E77C9F"/>
    <w:rsid w:val="00E77CDA"/>
    <w:rsid w:val="00E77D5A"/>
    <w:rsid w:val="00E77DD0"/>
    <w:rsid w:val="00E77DFC"/>
    <w:rsid w:val="00E77E94"/>
    <w:rsid w:val="00E77FB9"/>
    <w:rsid w:val="00E77FD5"/>
    <w:rsid w:val="00E80046"/>
    <w:rsid w:val="00E800A2"/>
    <w:rsid w:val="00E800E6"/>
    <w:rsid w:val="00E802DE"/>
    <w:rsid w:val="00E8033A"/>
    <w:rsid w:val="00E8034F"/>
    <w:rsid w:val="00E803C9"/>
    <w:rsid w:val="00E80415"/>
    <w:rsid w:val="00E80424"/>
    <w:rsid w:val="00E80498"/>
    <w:rsid w:val="00E804C6"/>
    <w:rsid w:val="00E80546"/>
    <w:rsid w:val="00E80555"/>
    <w:rsid w:val="00E8055B"/>
    <w:rsid w:val="00E80579"/>
    <w:rsid w:val="00E805E8"/>
    <w:rsid w:val="00E805FE"/>
    <w:rsid w:val="00E80795"/>
    <w:rsid w:val="00E80942"/>
    <w:rsid w:val="00E80961"/>
    <w:rsid w:val="00E80AA2"/>
    <w:rsid w:val="00E80AEE"/>
    <w:rsid w:val="00E80CBD"/>
    <w:rsid w:val="00E80D73"/>
    <w:rsid w:val="00E80E31"/>
    <w:rsid w:val="00E80E5F"/>
    <w:rsid w:val="00E80EDD"/>
    <w:rsid w:val="00E80F09"/>
    <w:rsid w:val="00E80FDC"/>
    <w:rsid w:val="00E810EC"/>
    <w:rsid w:val="00E811A6"/>
    <w:rsid w:val="00E811C2"/>
    <w:rsid w:val="00E81260"/>
    <w:rsid w:val="00E8131E"/>
    <w:rsid w:val="00E813E2"/>
    <w:rsid w:val="00E81452"/>
    <w:rsid w:val="00E81477"/>
    <w:rsid w:val="00E814EC"/>
    <w:rsid w:val="00E81536"/>
    <w:rsid w:val="00E81581"/>
    <w:rsid w:val="00E8158D"/>
    <w:rsid w:val="00E815CB"/>
    <w:rsid w:val="00E81621"/>
    <w:rsid w:val="00E81646"/>
    <w:rsid w:val="00E8164E"/>
    <w:rsid w:val="00E81761"/>
    <w:rsid w:val="00E819D8"/>
    <w:rsid w:val="00E819E3"/>
    <w:rsid w:val="00E81AC4"/>
    <w:rsid w:val="00E81B26"/>
    <w:rsid w:val="00E81BA7"/>
    <w:rsid w:val="00E81C62"/>
    <w:rsid w:val="00E81D31"/>
    <w:rsid w:val="00E81D5A"/>
    <w:rsid w:val="00E81D6E"/>
    <w:rsid w:val="00E81D86"/>
    <w:rsid w:val="00E81D8E"/>
    <w:rsid w:val="00E81E79"/>
    <w:rsid w:val="00E81ECC"/>
    <w:rsid w:val="00E81F38"/>
    <w:rsid w:val="00E81FA1"/>
    <w:rsid w:val="00E82073"/>
    <w:rsid w:val="00E820CA"/>
    <w:rsid w:val="00E82114"/>
    <w:rsid w:val="00E8221C"/>
    <w:rsid w:val="00E822A5"/>
    <w:rsid w:val="00E822B1"/>
    <w:rsid w:val="00E82336"/>
    <w:rsid w:val="00E823BC"/>
    <w:rsid w:val="00E824F5"/>
    <w:rsid w:val="00E8251E"/>
    <w:rsid w:val="00E827C9"/>
    <w:rsid w:val="00E828F8"/>
    <w:rsid w:val="00E82932"/>
    <w:rsid w:val="00E829B6"/>
    <w:rsid w:val="00E82A5F"/>
    <w:rsid w:val="00E82B0A"/>
    <w:rsid w:val="00E82B3C"/>
    <w:rsid w:val="00E82BC9"/>
    <w:rsid w:val="00E82D44"/>
    <w:rsid w:val="00E82DE3"/>
    <w:rsid w:val="00E82DE8"/>
    <w:rsid w:val="00E82DF9"/>
    <w:rsid w:val="00E82E39"/>
    <w:rsid w:val="00E82E43"/>
    <w:rsid w:val="00E82EE3"/>
    <w:rsid w:val="00E82F11"/>
    <w:rsid w:val="00E82FB6"/>
    <w:rsid w:val="00E831A1"/>
    <w:rsid w:val="00E8321B"/>
    <w:rsid w:val="00E83229"/>
    <w:rsid w:val="00E83283"/>
    <w:rsid w:val="00E832CC"/>
    <w:rsid w:val="00E83326"/>
    <w:rsid w:val="00E8337D"/>
    <w:rsid w:val="00E833B0"/>
    <w:rsid w:val="00E833D2"/>
    <w:rsid w:val="00E833FE"/>
    <w:rsid w:val="00E8346A"/>
    <w:rsid w:val="00E83479"/>
    <w:rsid w:val="00E834C5"/>
    <w:rsid w:val="00E83578"/>
    <w:rsid w:val="00E83678"/>
    <w:rsid w:val="00E836C6"/>
    <w:rsid w:val="00E836C8"/>
    <w:rsid w:val="00E83727"/>
    <w:rsid w:val="00E837CA"/>
    <w:rsid w:val="00E8390A"/>
    <w:rsid w:val="00E839BD"/>
    <w:rsid w:val="00E83A21"/>
    <w:rsid w:val="00E83A2D"/>
    <w:rsid w:val="00E83AF5"/>
    <w:rsid w:val="00E83B4A"/>
    <w:rsid w:val="00E83CD9"/>
    <w:rsid w:val="00E83CDA"/>
    <w:rsid w:val="00E83CEF"/>
    <w:rsid w:val="00E83D23"/>
    <w:rsid w:val="00E83E5A"/>
    <w:rsid w:val="00E83FA1"/>
    <w:rsid w:val="00E841DA"/>
    <w:rsid w:val="00E84323"/>
    <w:rsid w:val="00E8453F"/>
    <w:rsid w:val="00E845FB"/>
    <w:rsid w:val="00E8469F"/>
    <w:rsid w:val="00E846BF"/>
    <w:rsid w:val="00E8478F"/>
    <w:rsid w:val="00E84955"/>
    <w:rsid w:val="00E849BE"/>
    <w:rsid w:val="00E84ACE"/>
    <w:rsid w:val="00E84B15"/>
    <w:rsid w:val="00E84B4E"/>
    <w:rsid w:val="00E84B4F"/>
    <w:rsid w:val="00E84BE3"/>
    <w:rsid w:val="00E84D07"/>
    <w:rsid w:val="00E84E70"/>
    <w:rsid w:val="00E84F09"/>
    <w:rsid w:val="00E84F40"/>
    <w:rsid w:val="00E850BB"/>
    <w:rsid w:val="00E85150"/>
    <w:rsid w:val="00E852BA"/>
    <w:rsid w:val="00E852C5"/>
    <w:rsid w:val="00E852D1"/>
    <w:rsid w:val="00E853CE"/>
    <w:rsid w:val="00E85406"/>
    <w:rsid w:val="00E85448"/>
    <w:rsid w:val="00E85466"/>
    <w:rsid w:val="00E85589"/>
    <w:rsid w:val="00E856C9"/>
    <w:rsid w:val="00E856E2"/>
    <w:rsid w:val="00E85748"/>
    <w:rsid w:val="00E85852"/>
    <w:rsid w:val="00E85907"/>
    <w:rsid w:val="00E8597A"/>
    <w:rsid w:val="00E85A4F"/>
    <w:rsid w:val="00E85C0D"/>
    <w:rsid w:val="00E85C28"/>
    <w:rsid w:val="00E85C68"/>
    <w:rsid w:val="00E85CF3"/>
    <w:rsid w:val="00E85D34"/>
    <w:rsid w:val="00E85EF8"/>
    <w:rsid w:val="00E85F52"/>
    <w:rsid w:val="00E85F6E"/>
    <w:rsid w:val="00E86000"/>
    <w:rsid w:val="00E86158"/>
    <w:rsid w:val="00E861A3"/>
    <w:rsid w:val="00E861C1"/>
    <w:rsid w:val="00E861E5"/>
    <w:rsid w:val="00E86245"/>
    <w:rsid w:val="00E86335"/>
    <w:rsid w:val="00E86339"/>
    <w:rsid w:val="00E86352"/>
    <w:rsid w:val="00E86357"/>
    <w:rsid w:val="00E863A3"/>
    <w:rsid w:val="00E86515"/>
    <w:rsid w:val="00E865C2"/>
    <w:rsid w:val="00E86783"/>
    <w:rsid w:val="00E86941"/>
    <w:rsid w:val="00E86B20"/>
    <w:rsid w:val="00E86C5D"/>
    <w:rsid w:val="00E86D24"/>
    <w:rsid w:val="00E86D88"/>
    <w:rsid w:val="00E86E3C"/>
    <w:rsid w:val="00E86E8D"/>
    <w:rsid w:val="00E86F46"/>
    <w:rsid w:val="00E86F7C"/>
    <w:rsid w:val="00E86F93"/>
    <w:rsid w:val="00E87050"/>
    <w:rsid w:val="00E87076"/>
    <w:rsid w:val="00E87097"/>
    <w:rsid w:val="00E8709A"/>
    <w:rsid w:val="00E870B3"/>
    <w:rsid w:val="00E870F6"/>
    <w:rsid w:val="00E8710D"/>
    <w:rsid w:val="00E8712A"/>
    <w:rsid w:val="00E871FF"/>
    <w:rsid w:val="00E87208"/>
    <w:rsid w:val="00E87226"/>
    <w:rsid w:val="00E87285"/>
    <w:rsid w:val="00E872A3"/>
    <w:rsid w:val="00E8734B"/>
    <w:rsid w:val="00E873BF"/>
    <w:rsid w:val="00E873CC"/>
    <w:rsid w:val="00E87488"/>
    <w:rsid w:val="00E87617"/>
    <w:rsid w:val="00E87658"/>
    <w:rsid w:val="00E876B1"/>
    <w:rsid w:val="00E87743"/>
    <w:rsid w:val="00E87777"/>
    <w:rsid w:val="00E877E8"/>
    <w:rsid w:val="00E87889"/>
    <w:rsid w:val="00E878FA"/>
    <w:rsid w:val="00E879E4"/>
    <w:rsid w:val="00E87B73"/>
    <w:rsid w:val="00E87B95"/>
    <w:rsid w:val="00E87BBF"/>
    <w:rsid w:val="00E87BC2"/>
    <w:rsid w:val="00E87C11"/>
    <w:rsid w:val="00E87D78"/>
    <w:rsid w:val="00E87D7D"/>
    <w:rsid w:val="00E87E0C"/>
    <w:rsid w:val="00E87F1B"/>
    <w:rsid w:val="00E90070"/>
    <w:rsid w:val="00E900CD"/>
    <w:rsid w:val="00E90161"/>
    <w:rsid w:val="00E9017C"/>
    <w:rsid w:val="00E902B7"/>
    <w:rsid w:val="00E9030D"/>
    <w:rsid w:val="00E903B7"/>
    <w:rsid w:val="00E9053D"/>
    <w:rsid w:val="00E90601"/>
    <w:rsid w:val="00E906A3"/>
    <w:rsid w:val="00E90721"/>
    <w:rsid w:val="00E90914"/>
    <w:rsid w:val="00E90A02"/>
    <w:rsid w:val="00E90A60"/>
    <w:rsid w:val="00E90B99"/>
    <w:rsid w:val="00E90BFD"/>
    <w:rsid w:val="00E90D0F"/>
    <w:rsid w:val="00E90D4A"/>
    <w:rsid w:val="00E90F5F"/>
    <w:rsid w:val="00E9109F"/>
    <w:rsid w:val="00E9127A"/>
    <w:rsid w:val="00E91292"/>
    <w:rsid w:val="00E9136D"/>
    <w:rsid w:val="00E9146B"/>
    <w:rsid w:val="00E914B9"/>
    <w:rsid w:val="00E914E8"/>
    <w:rsid w:val="00E9155A"/>
    <w:rsid w:val="00E91593"/>
    <w:rsid w:val="00E9162D"/>
    <w:rsid w:val="00E918FE"/>
    <w:rsid w:val="00E9193C"/>
    <w:rsid w:val="00E91965"/>
    <w:rsid w:val="00E91A1A"/>
    <w:rsid w:val="00E91C19"/>
    <w:rsid w:val="00E91C58"/>
    <w:rsid w:val="00E91CC6"/>
    <w:rsid w:val="00E91CFA"/>
    <w:rsid w:val="00E91D19"/>
    <w:rsid w:val="00E91F45"/>
    <w:rsid w:val="00E91FD6"/>
    <w:rsid w:val="00E91FF5"/>
    <w:rsid w:val="00E92024"/>
    <w:rsid w:val="00E92093"/>
    <w:rsid w:val="00E920FB"/>
    <w:rsid w:val="00E9212D"/>
    <w:rsid w:val="00E92137"/>
    <w:rsid w:val="00E92185"/>
    <w:rsid w:val="00E92252"/>
    <w:rsid w:val="00E92339"/>
    <w:rsid w:val="00E92350"/>
    <w:rsid w:val="00E92425"/>
    <w:rsid w:val="00E924DD"/>
    <w:rsid w:val="00E92594"/>
    <w:rsid w:val="00E926EA"/>
    <w:rsid w:val="00E9270C"/>
    <w:rsid w:val="00E929BE"/>
    <w:rsid w:val="00E929C0"/>
    <w:rsid w:val="00E92A85"/>
    <w:rsid w:val="00E92B73"/>
    <w:rsid w:val="00E92B99"/>
    <w:rsid w:val="00E92BD3"/>
    <w:rsid w:val="00E92D9D"/>
    <w:rsid w:val="00E92EDC"/>
    <w:rsid w:val="00E92F2F"/>
    <w:rsid w:val="00E92F5B"/>
    <w:rsid w:val="00E93054"/>
    <w:rsid w:val="00E9305B"/>
    <w:rsid w:val="00E93063"/>
    <w:rsid w:val="00E9307F"/>
    <w:rsid w:val="00E93080"/>
    <w:rsid w:val="00E930A5"/>
    <w:rsid w:val="00E93236"/>
    <w:rsid w:val="00E932F9"/>
    <w:rsid w:val="00E93311"/>
    <w:rsid w:val="00E934A8"/>
    <w:rsid w:val="00E9358F"/>
    <w:rsid w:val="00E935C6"/>
    <w:rsid w:val="00E93608"/>
    <w:rsid w:val="00E93699"/>
    <w:rsid w:val="00E936AA"/>
    <w:rsid w:val="00E93AA0"/>
    <w:rsid w:val="00E93AE2"/>
    <w:rsid w:val="00E93B33"/>
    <w:rsid w:val="00E93CB1"/>
    <w:rsid w:val="00E93D4A"/>
    <w:rsid w:val="00E93F3E"/>
    <w:rsid w:val="00E941AC"/>
    <w:rsid w:val="00E941C8"/>
    <w:rsid w:val="00E9426E"/>
    <w:rsid w:val="00E94288"/>
    <w:rsid w:val="00E942B8"/>
    <w:rsid w:val="00E9433F"/>
    <w:rsid w:val="00E943C2"/>
    <w:rsid w:val="00E943DF"/>
    <w:rsid w:val="00E9450A"/>
    <w:rsid w:val="00E945D8"/>
    <w:rsid w:val="00E9460E"/>
    <w:rsid w:val="00E9468C"/>
    <w:rsid w:val="00E946D2"/>
    <w:rsid w:val="00E946E9"/>
    <w:rsid w:val="00E946FB"/>
    <w:rsid w:val="00E94705"/>
    <w:rsid w:val="00E9479A"/>
    <w:rsid w:val="00E94812"/>
    <w:rsid w:val="00E949B5"/>
    <w:rsid w:val="00E94A9A"/>
    <w:rsid w:val="00E94E3F"/>
    <w:rsid w:val="00E94EA7"/>
    <w:rsid w:val="00E950AC"/>
    <w:rsid w:val="00E95166"/>
    <w:rsid w:val="00E951D5"/>
    <w:rsid w:val="00E9529A"/>
    <w:rsid w:val="00E952BE"/>
    <w:rsid w:val="00E952F6"/>
    <w:rsid w:val="00E952F7"/>
    <w:rsid w:val="00E95380"/>
    <w:rsid w:val="00E953E4"/>
    <w:rsid w:val="00E953FD"/>
    <w:rsid w:val="00E95431"/>
    <w:rsid w:val="00E95476"/>
    <w:rsid w:val="00E95489"/>
    <w:rsid w:val="00E95509"/>
    <w:rsid w:val="00E955CD"/>
    <w:rsid w:val="00E95637"/>
    <w:rsid w:val="00E9569D"/>
    <w:rsid w:val="00E957DE"/>
    <w:rsid w:val="00E958BB"/>
    <w:rsid w:val="00E9596F"/>
    <w:rsid w:val="00E95A04"/>
    <w:rsid w:val="00E95A3B"/>
    <w:rsid w:val="00E95A50"/>
    <w:rsid w:val="00E95C08"/>
    <w:rsid w:val="00E95CB4"/>
    <w:rsid w:val="00E95D5F"/>
    <w:rsid w:val="00E95DC8"/>
    <w:rsid w:val="00E95E32"/>
    <w:rsid w:val="00E95E56"/>
    <w:rsid w:val="00E95F99"/>
    <w:rsid w:val="00E95FB1"/>
    <w:rsid w:val="00E95FBE"/>
    <w:rsid w:val="00E9606D"/>
    <w:rsid w:val="00E960A6"/>
    <w:rsid w:val="00E960BA"/>
    <w:rsid w:val="00E9619C"/>
    <w:rsid w:val="00E961EA"/>
    <w:rsid w:val="00E9621C"/>
    <w:rsid w:val="00E9621F"/>
    <w:rsid w:val="00E96361"/>
    <w:rsid w:val="00E9637E"/>
    <w:rsid w:val="00E963B5"/>
    <w:rsid w:val="00E96493"/>
    <w:rsid w:val="00E9659A"/>
    <w:rsid w:val="00E965B5"/>
    <w:rsid w:val="00E9660C"/>
    <w:rsid w:val="00E966FA"/>
    <w:rsid w:val="00E96723"/>
    <w:rsid w:val="00E96725"/>
    <w:rsid w:val="00E96753"/>
    <w:rsid w:val="00E96760"/>
    <w:rsid w:val="00E9693B"/>
    <w:rsid w:val="00E969DA"/>
    <w:rsid w:val="00E96A36"/>
    <w:rsid w:val="00E96B14"/>
    <w:rsid w:val="00E96B36"/>
    <w:rsid w:val="00E96B9F"/>
    <w:rsid w:val="00E96BCC"/>
    <w:rsid w:val="00E96CA3"/>
    <w:rsid w:val="00E96CB7"/>
    <w:rsid w:val="00E96CEC"/>
    <w:rsid w:val="00E96D20"/>
    <w:rsid w:val="00E96DCA"/>
    <w:rsid w:val="00E96EBF"/>
    <w:rsid w:val="00E96EF5"/>
    <w:rsid w:val="00E96FCF"/>
    <w:rsid w:val="00E9701D"/>
    <w:rsid w:val="00E9704E"/>
    <w:rsid w:val="00E970B3"/>
    <w:rsid w:val="00E970DA"/>
    <w:rsid w:val="00E97143"/>
    <w:rsid w:val="00E9716E"/>
    <w:rsid w:val="00E97224"/>
    <w:rsid w:val="00E97252"/>
    <w:rsid w:val="00E972A0"/>
    <w:rsid w:val="00E972A1"/>
    <w:rsid w:val="00E973C2"/>
    <w:rsid w:val="00E974A0"/>
    <w:rsid w:val="00E97595"/>
    <w:rsid w:val="00E97777"/>
    <w:rsid w:val="00E9782E"/>
    <w:rsid w:val="00E978AA"/>
    <w:rsid w:val="00E97909"/>
    <w:rsid w:val="00E97970"/>
    <w:rsid w:val="00E9797E"/>
    <w:rsid w:val="00E9798A"/>
    <w:rsid w:val="00E979B3"/>
    <w:rsid w:val="00E97A58"/>
    <w:rsid w:val="00E97C5D"/>
    <w:rsid w:val="00E97CD5"/>
    <w:rsid w:val="00E97CDE"/>
    <w:rsid w:val="00E97D6D"/>
    <w:rsid w:val="00E97EA4"/>
    <w:rsid w:val="00E97F54"/>
    <w:rsid w:val="00E97FAE"/>
    <w:rsid w:val="00EA002D"/>
    <w:rsid w:val="00EA003F"/>
    <w:rsid w:val="00EA017A"/>
    <w:rsid w:val="00EA021D"/>
    <w:rsid w:val="00EA0249"/>
    <w:rsid w:val="00EA03AD"/>
    <w:rsid w:val="00EA0410"/>
    <w:rsid w:val="00EA0421"/>
    <w:rsid w:val="00EA0485"/>
    <w:rsid w:val="00EA0593"/>
    <w:rsid w:val="00EA05E3"/>
    <w:rsid w:val="00EA0678"/>
    <w:rsid w:val="00EA06DC"/>
    <w:rsid w:val="00EA0767"/>
    <w:rsid w:val="00EA07A6"/>
    <w:rsid w:val="00EA07D2"/>
    <w:rsid w:val="00EA0854"/>
    <w:rsid w:val="00EA08FA"/>
    <w:rsid w:val="00EA08FE"/>
    <w:rsid w:val="00EA09A1"/>
    <w:rsid w:val="00EA0A01"/>
    <w:rsid w:val="00EA0A79"/>
    <w:rsid w:val="00EA0ACA"/>
    <w:rsid w:val="00EA0AFB"/>
    <w:rsid w:val="00EA0CD5"/>
    <w:rsid w:val="00EA0D6E"/>
    <w:rsid w:val="00EA0D85"/>
    <w:rsid w:val="00EA0EF8"/>
    <w:rsid w:val="00EA0F14"/>
    <w:rsid w:val="00EA0F22"/>
    <w:rsid w:val="00EA105E"/>
    <w:rsid w:val="00EA1089"/>
    <w:rsid w:val="00EA121B"/>
    <w:rsid w:val="00EA124F"/>
    <w:rsid w:val="00EA12EF"/>
    <w:rsid w:val="00EA1322"/>
    <w:rsid w:val="00EA1358"/>
    <w:rsid w:val="00EA1442"/>
    <w:rsid w:val="00EA1529"/>
    <w:rsid w:val="00EA1535"/>
    <w:rsid w:val="00EA160C"/>
    <w:rsid w:val="00EA1624"/>
    <w:rsid w:val="00EA169B"/>
    <w:rsid w:val="00EA1735"/>
    <w:rsid w:val="00EA1790"/>
    <w:rsid w:val="00EA17F3"/>
    <w:rsid w:val="00EA1838"/>
    <w:rsid w:val="00EA1874"/>
    <w:rsid w:val="00EA18FD"/>
    <w:rsid w:val="00EA19C2"/>
    <w:rsid w:val="00EA1A29"/>
    <w:rsid w:val="00EA1A5F"/>
    <w:rsid w:val="00EA1B3D"/>
    <w:rsid w:val="00EA1B5C"/>
    <w:rsid w:val="00EA1C38"/>
    <w:rsid w:val="00EA1E97"/>
    <w:rsid w:val="00EA1F74"/>
    <w:rsid w:val="00EA1F97"/>
    <w:rsid w:val="00EA1FB8"/>
    <w:rsid w:val="00EA2007"/>
    <w:rsid w:val="00EA2047"/>
    <w:rsid w:val="00EA20DE"/>
    <w:rsid w:val="00EA20F5"/>
    <w:rsid w:val="00EA2117"/>
    <w:rsid w:val="00EA2212"/>
    <w:rsid w:val="00EA2219"/>
    <w:rsid w:val="00EA23CE"/>
    <w:rsid w:val="00EA2410"/>
    <w:rsid w:val="00EA2481"/>
    <w:rsid w:val="00EA252B"/>
    <w:rsid w:val="00EA25B9"/>
    <w:rsid w:val="00EA25D6"/>
    <w:rsid w:val="00EA25EA"/>
    <w:rsid w:val="00EA2644"/>
    <w:rsid w:val="00EA2829"/>
    <w:rsid w:val="00EA2869"/>
    <w:rsid w:val="00EA2873"/>
    <w:rsid w:val="00EA28BE"/>
    <w:rsid w:val="00EA29C6"/>
    <w:rsid w:val="00EA2A5F"/>
    <w:rsid w:val="00EA2AEA"/>
    <w:rsid w:val="00EA2B29"/>
    <w:rsid w:val="00EA2BD1"/>
    <w:rsid w:val="00EA2D10"/>
    <w:rsid w:val="00EA2E02"/>
    <w:rsid w:val="00EA2E11"/>
    <w:rsid w:val="00EA2E73"/>
    <w:rsid w:val="00EA2F7D"/>
    <w:rsid w:val="00EA3105"/>
    <w:rsid w:val="00EA3282"/>
    <w:rsid w:val="00EA3316"/>
    <w:rsid w:val="00EA333F"/>
    <w:rsid w:val="00EA3466"/>
    <w:rsid w:val="00EA350C"/>
    <w:rsid w:val="00EA35E3"/>
    <w:rsid w:val="00EA3750"/>
    <w:rsid w:val="00EA3804"/>
    <w:rsid w:val="00EA3839"/>
    <w:rsid w:val="00EA396D"/>
    <w:rsid w:val="00EA3974"/>
    <w:rsid w:val="00EA39EB"/>
    <w:rsid w:val="00EA3A11"/>
    <w:rsid w:val="00EA3A22"/>
    <w:rsid w:val="00EA3A29"/>
    <w:rsid w:val="00EA3A59"/>
    <w:rsid w:val="00EA3A6B"/>
    <w:rsid w:val="00EA3B00"/>
    <w:rsid w:val="00EA3B12"/>
    <w:rsid w:val="00EA3B75"/>
    <w:rsid w:val="00EA3BFF"/>
    <w:rsid w:val="00EA3C1D"/>
    <w:rsid w:val="00EA3C33"/>
    <w:rsid w:val="00EA3CDB"/>
    <w:rsid w:val="00EA3CE3"/>
    <w:rsid w:val="00EA3DC7"/>
    <w:rsid w:val="00EA3E57"/>
    <w:rsid w:val="00EA402D"/>
    <w:rsid w:val="00EA40B5"/>
    <w:rsid w:val="00EA4499"/>
    <w:rsid w:val="00EA4689"/>
    <w:rsid w:val="00EA4715"/>
    <w:rsid w:val="00EA47AD"/>
    <w:rsid w:val="00EA48E2"/>
    <w:rsid w:val="00EA490F"/>
    <w:rsid w:val="00EA4934"/>
    <w:rsid w:val="00EA4958"/>
    <w:rsid w:val="00EA4972"/>
    <w:rsid w:val="00EA49A6"/>
    <w:rsid w:val="00EA49FD"/>
    <w:rsid w:val="00EA4A50"/>
    <w:rsid w:val="00EA4A99"/>
    <w:rsid w:val="00EA4B05"/>
    <w:rsid w:val="00EA4B1B"/>
    <w:rsid w:val="00EA4C1B"/>
    <w:rsid w:val="00EA4DE7"/>
    <w:rsid w:val="00EA4E47"/>
    <w:rsid w:val="00EA4EB9"/>
    <w:rsid w:val="00EA4EF9"/>
    <w:rsid w:val="00EA4EFA"/>
    <w:rsid w:val="00EA4F06"/>
    <w:rsid w:val="00EA4F72"/>
    <w:rsid w:val="00EA4FC6"/>
    <w:rsid w:val="00EA5019"/>
    <w:rsid w:val="00EA502C"/>
    <w:rsid w:val="00EA5117"/>
    <w:rsid w:val="00EA521A"/>
    <w:rsid w:val="00EA528E"/>
    <w:rsid w:val="00EA52BE"/>
    <w:rsid w:val="00EA5334"/>
    <w:rsid w:val="00EA534B"/>
    <w:rsid w:val="00EA54CA"/>
    <w:rsid w:val="00EA5651"/>
    <w:rsid w:val="00EA56B8"/>
    <w:rsid w:val="00EA58BD"/>
    <w:rsid w:val="00EA590F"/>
    <w:rsid w:val="00EA5981"/>
    <w:rsid w:val="00EA5A7C"/>
    <w:rsid w:val="00EA5AC4"/>
    <w:rsid w:val="00EA5B66"/>
    <w:rsid w:val="00EA5BD3"/>
    <w:rsid w:val="00EA5BDB"/>
    <w:rsid w:val="00EA5C9E"/>
    <w:rsid w:val="00EA5CEE"/>
    <w:rsid w:val="00EA5E07"/>
    <w:rsid w:val="00EA5E6D"/>
    <w:rsid w:val="00EA5EC9"/>
    <w:rsid w:val="00EA5F06"/>
    <w:rsid w:val="00EA5F09"/>
    <w:rsid w:val="00EA6016"/>
    <w:rsid w:val="00EA602E"/>
    <w:rsid w:val="00EA608D"/>
    <w:rsid w:val="00EA6143"/>
    <w:rsid w:val="00EA6210"/>
    <w:rsid w:val="00EA6253"/>
    <w:rsid w:val="00EA6264"/>
    <w:rsid w:val="00EA6280"/>
    <w:rsid w:val="00EA629C"/>
    <w:rsid w:val="00EA6382"/>
    <w:rsid w:val="00EA6476"/>
    <w:rsid w:val="00EA64C6"/>
    <w:rsid w:val="00EA651C"/>
    <w:rsid w:val="00EA6520"/>
    <w:rsid w:val="00EA6632"/>
    <w:rsid w:val="00EA6765"/>
    <w:rsid w:val="00EA67CC"/>
    <w:rsid w:val="00EA683C"/>
    <w:rsid w:val="00EA6881"/>
    <w:rsid w:val="00EA6903"/>
    <w:rsid w:val="00EA699D"/>
    <w:rsid w:val="00EA6A4E"/>
    <w:rsid w:val="00EA6A7F"/>
    <w:rsid w:val="00EA6A97"/>
    <w:rsid w:val="00EA6AE2"/>
    <w:rsid w:val="00EA6B3D"/>
    <w:rsid w:val="00EA6C36"/>
    <w:rsid w:val="00EA6CB4"/>
    <w:rsid w:val="00EA6CCB"/>
    <w:rsid w:val="00EA6EBC"/>
    <w:rsid w:val="00EA6F0C"/>
    <w:rsid w:val="00EA6F58"/>
    <w:rsid w:val="00EA6F9F"/>
    <w:rsid w:val="00EA7063"/>
    <w:rsid w:val="00EA727B"/>
    <w:rsid w:val="00EA7325"/>
    <w:rsid w:val="00EA737C"/>
    <w:rsid w:val="00EA747E"/>
    <w:rsid w:val="00EA74E6"/>
    <w:rsid w:val="00EA74EB"/>
    <w:rsid w:val="00EA7560"/>
    <w:rsid w:val="00EA75CD"/>
    <w:rsid w:val="00EA75DC"/>
    <w:rsid w:val="00EA77FF"/>
    <w:rsid w:val="00EA7830"/>
    <w:rsid w:val="00EA793F"/>
    <w:rsid w:val="00EA7988"/>
    <w:rsid w:val="00EA79E1"/>
    <w:rsid w:val="00EA7A7E"/>
    <w:rsid w:val="00EA7B1F"/>
    <w:rsid w:val="00EA7B5B"/>
    <w:rsid w:val="00EA7BF0"/>
    <w:rsid w:val="00EA7CB3"/>
    <w:rsid w:val="00EA7CC3"/>
    <w:rsid w:val="00EA7D3E"/>
    <w:rsid w:val="00EA7E02"/>
    <w:rsid w:val="00EA7E3A"/>
    <w:rsid w:val="00EA7E93"/>
    <w:rsid w:val="00EA7F10"/>
    <w:rsid w:val="00EA7FDB"/>
    <w:rsid w:val="00EB0001"/>
    <w:rsid w:val="00EB029B"/>
    <w:rsid w:val="00EB0419"/>
    <w:rsid w:val="00EB0468"/>
    <w:rsid w:val="00EB047E"/>
    <w:rsid w:val="00EB048E"/>
    <w:rsid w:val="00EB0496"/>
    <w:rsid w:val="00EB049E"/>
    <w:rsid w:val="00EB053D"/>
    <w:rsid w:val="00EB05AA"/>
    <w:rsid w:val="00EB062A"/>
    <w:rsid w:val="00EB0672"/>
    <w:rsid w:val="00EB06BA"/>
    <w:rsid w:val="00EB070F"/>
    <w:rsid w:val="00EB072B"/>
    <w:rsid w:val="00EB0753"/>
    <w:rsid w:val="00EB0778"/>
    <w:rsid w:val="00EB07D4"/>
    <w:rsid w:val="00EB090F"/>
    <w:rsid w:val="00EB097D"/>
    <w:rsid w:val="00EB0AB5"/>
    <w:rsid w:val="00EB0ABF"/>
    <w:rsid w:val="00EB0AFA"/>
    <w:rsid w:val="00EB0B47"/>
    <w:rsid w:val="00EB0B86"/>
    <w:rsid w:val="00EB0B9F"/>
    <w:rsid w:val="00EB0BA7"/>
    <w:rsid w:val="00EB0CA3"/>
    <w:rsid w:val="00EB0D2C"/>
    <w:rsid w:val="00EB0EDB"/>
    <w:rsid w:val="00EB0F55"/>
    <w:rsid w:val="00EB0F76"/>
    <w:rsid w:val="00EB0FB0"/>
    <w:rsid w:val="00EB10B9"/>
    <w:rsid w:val="00EB10BD"/>
    <w:rsid w:val="00EB112B"/>
    <w:rsid w:val="00EB1147"/>
    <w:rsid w:val="00EB11D3"/>
    <w:rsid w:val="00EB121E"/>
    <w:rsid w:val="00EB12D0"/>
    <w:rsid w:val="00EB1434"/>
    <w:rsid w:val="00EB1480"/>
    <w:rsid w:val="00EB15B4"/>
    <w:rsid w:val="00EB169C"/>
    <w:rsid w:val="00EB17B8"/>
    <w:rsid w:val="00EB18B4"/>
    <w:rsid w:val="00EB1975"/>
    <w:rsid w:val="00EB19AC"/>
    <w:rsid w:val="00EB19C5"/>
    <w:rsid w:val="00EB1AD6"/>
    <w:rsid w:val="00EB1D05"/>
    <w:rsid w:val="00EB1D68"/>
    <w:rsid w:val="00EB1DCE"/>
    <w:rsid w:val="00EB1E57"/>
    <w:rsid w:val="00EB2043"/>
    <w:rsid w:val="00EB2061"/>
    <w:rsid w:val="00EB212E"/>
    <w:rsid w:val="00EB2167"/>
    <w:rsid w:val="00EB21D9"/>
    <w:rsid w:val="00EB2216"/>
    <w:rsid w:val="00EB227C"/>
    <w:rsid w:val="00EB2330"/>
    <w:rsid w:val="00EB242E"/>
    <w:rsid w:val="00EB2462"/>
    <w:rsid w:val="00EB2648"/>
    <w:rsid w:val="00EB2649"/>
    <w:rsid w:val="00EB26F2"/>
    <w:rsid w:val="00EB27C1"/>
    <w:rsid w:val="00EB28A6"/>
    <w:rsid w:val="00EB2907"/>
    <w:rsid w:val="00EB2908"/>
    <w:rsid w:val="00EB2949"/>
    <w:rsid w:val="00EB2A7F"/>
    <w:rsid w:val="00EB2AD7"/>
    <w:rsid w:val="00EB2B1C"/>
    <w:rsid w:val="00EB2B45"/>
    <w:rsid w:val="00EB2B9C"/>
    <w:rsid w:val="00EB2BA1"/>
    <w:rsid w:val="00EB2C4D"/>
    <w:rsid w:val="00EB2D1C"/>
    <w:rsid w:val="00EB2DD8"/>
    <w:rsid w:val="00EB2E03"/>
    <w:rsid w:val="00EB2E38"/>
    <w:rsid w:val="00EB300F"/>
    <w:rsid w:val="00EB30DA"/>
    <w:rsid w:val="00EB315B"/>
    <w:rsid w:val="00EB3407"/>
    <w:rsid w:val="00EB342D"/>
    <w:rsid w:val="00EB34C0"/>
    <w:rsid w:val="00EB3547"/>
    <w:rsid w:val="00EB3569"/>
    <w:rsid w:val="00EB35B1"/>
    <w:rsid w:val="00EB360A"/>
    <w:rsid w:val="00EB36B7"/>
    <w:rsid w:val="00EB36F7"/>
    <w:rsid w:val="00EB3707"/>
    <w:rsid w:val="00EB3784"/>
    <w:rsid w:val="00EB37A2"/>
    <w:rsid w:val="00EB37B7"/>
    <w:rsid w:val="00EB3847"/>
    <w:rsid w:val="00EB3988"/>
    <w:rsid w:val="00EB3B85"/>
    <w:rsid w:val="00EB3BB3"/>
    <w:rsid w:val="00EB3C15"/>
    <w:rsid w:val="00EB3CD2"/>
    <w:rsid w:val="00EB3CE4"/>
    <w:rsid w:val="00EB3DFA"/>
    <w:rsid w:val="00EB3E31"/>
    <w:rsid w:val="00EB3E41"/>
    <w:rsid w:val="00EB3EDD"/>
    <w:rsid w:val="00EB3EE6"/>
    <w:rsid w:val="00EB3F3A"/>
    <w:rsid w:val="00EB3F9A"/>
    <w:rsid w:val="00EB3FC4"/>
    <w:rsid w:val="00EB4092"/>
    <w:rsid w:val="00EB40BA"/>
    <w:rsid w:val="00EB4175"/>
    <w:rsid w:val="00EB419D"/>
    <w:rsid w:val="00EB41B5"/>
    <w:rsid w:val="00EB41DB"/>
    <w:rsid w:val="00EB4232"/>
    <w:rsid w:val="00EB42BA"/>
    <w:rsid w:val="00EB43B1"/>
    <w:rsid w:val="00EB4520"/>
    <w:rsid w:val="00EB4636"/>
    <w:rsid w:val="00EB4639"/>
    <w:rsid w:val="00EB4643"/>
    <w:rsid w:val="00EB46E8"/>
    <w:rsid w:val="00EB472A"/>
    <w:rsid w:val="00EB47A7"/>
    <w:rsid w:val="00EB4895"/>
    <w:rsid w:val="00EB4897"/>
    <w:rsid w:val="00EB49B0"/>
    <w:rsid w:val="00EB49CD"/>
    <w:rsid w:val="00EB4A84"/>
    <w:rsid w:val="00EB4A9B"/>
    <w:rsid w:val="00EB4BE2"/>
    <w:rsid w:val="00EB4BF1"/>
    <w:rsid w:val="00EB4C4B"/>
    <w:rsid w:val="00EB4C83"/>
    <w:rsid w:val="00EB4D14"/>
    <w:rsid w:val="00EB4DBC"/>
    <w:rsid w:val="00EB4DF0"/>
    <w:rsid w:val="00EB4E21"/>
    <w:rsid w:val="00EB4F55"/>
    <w:rsid w:val="00EB4F56"/>
    <w:rsid w:val="00EB4F72"/>
    <w:rsid w:val="00EB4FF3"/>
    <w:rsid w:val="00EB500A"/>
    <w:rsid w:val="00EB5102"/>
    <w:rsid w:val="00EB51A8"/>
    <w:rsid w:val="00EB51D1"/>
    <w:rsid w:val="00EB51E3"/>
    <w:rsid w:val="00EB51F1"/>
    <w:rsid w:val="00EB51F4"/>
    <w:rsid w:val="00EB524F"/>
    <w:rsid w:val="00EB5310"/>
    <w:rsid w:val="00EB5485"/>
    <w:rsid w:val="00EB54D8"/>
    <w:rsid w:val="00EB550D"/>
    <w:rsid w:val="00EB561F"/>
    <w:rsid w:val="00EB56D1"/>
    <w:rsid w:val="00EB5939"/>
    <w:rsid w:val="00EB5A32"/>
    <w:rsid w:val="00EB5A62"/>
    <w:rsid w:val="00EB5A77"/>
    <w:rsid w:val="00EB5B2E"/>
    <w:rsid w:val="00EB5B33"/>
    <w:rsid w:val="00EB5BC5"/>
    <w:rsid w:val="00EB5C21"/>
    <w:rsid w:val="00EB5C2E"/>
    <w:rsid w:val="00EB5C6E"/>
    <w:rsid w:val="00EB5D05"/>
    <w:rsid w:val="00EB5DD7"/>
    <w:rsid w:val="00EB5E08"/>
    <w:rsid w:val="00EB5F04"/>
    <w:rsid w:val="00EB5F2D"/>
    <w:rsid w:val="00EB5F80"/>
    <w:rsid w:val="00EB608D"/>
    <w:rsid w:val="00EB6124"/>
    <w:rsid w:val="00EB6167"/>
    <w:rsid w:val="00EB62F2"/>
    <w:rsid w:val="00EB6379"/>
    <w:rsid w:val="00EB63C0"/>
    <w:rsid w:val="00EB6534"/>
    <w:rsid w:val="00EB65A2"/>
    <w:rsid w:val="00EB665E"/>
    <w:rsid w:val="00EB66A0"/>
    <w:rsid w:val="00EB66A3"/>
    <w:rsid w:val="00EB670C"/>
    <w:rsid w:val="00EB672C"/>
    <w:rsid w:val="00EB6796"/>
    <w:rsid w:val="00EB67B6"/>
    <w:rsid w:val="00EB6821"/>
    <w:rsid w:val="00EB6851"/>
    <w:rsid w:val="00EB6947"/>
    <w:rsid w:val="00EB69E0"/>
    <w:rsid w:val="00EB6AF3"/>
    <w:rsid w:val="00EB6B6D"/>
    <w:rsid w:val="00EB6B8B"/>
    <w:rsid w:val="00EB6BA2"/>
    <w:rsid w:val="00EB6CB5"/>
    <w:rsid w:val="00EB6CD0"/>
    <w:rsid w:val="00EB6ECC"/>
    <w:rsid w:val="00EB6EDF"/>
    <w:rsid w:val="00EB70C0"/>
    <w:rsid w:val="00EB70DB"/>
    <w:rsid w:val="00EB7174"/>
    <w:rsid w:val="00EB71D9"/>
    <w:rsid w:val="00EB72DB"/>
    <w:rsid w:val="00EB73CA"/>
    <w:rsid w:val="00EB73EC"/>
    <w:rsid w:val="00EB7566"/>
    <w:rsid w:val="00EB75ED"/>
    <w:rsid w:val="00EB7619"/>
    <w:rsid w:val="00EB768B"/>
    <w:rsid w:val="00EB7709"/>
    <w:rsid w:val="00EB782C"/>
    <w:rsid w:val="00EB78C9"/>
    <w:rsid w:val="00EB78E0"/>
    <w:rsid w:val="00EB7908"/>
    <w:rsid w:val="00EB79B2"/>
    <w:rsid w:val="00EB7A26"/>
    <w:rsid w:val="00EB7A28"/>
    <w:rsid w:val="00EB7B10"/>
    <w:rsid w:val="00EB7B52"/>
    <w:rsid w:val="00EB7B6A"/>
    <w:rsid w:val="00EB7C49"/>
    <w:rsid w:val="00EB7C62"/>
    <w:rsid w:val="00EB7C99"/>
    <w:rsid w:val="00EB7CB1"/>
    <w:rsid w:val="00EB7DA4"/>
    <w:rsid w:val="00EB7E54"/>
    <w:rsid w:val="00EB7EC2"/>
    <w:rsid w:val="00EB7EE3"/>
    <w:rsid w:val="00EB7FF0"/>
    <w:rsid w:val="00EC0006"/>
    <w:rsid w:val="00EC0015"/>
    <w:rsid w:val="00EC006F"/>
    <w:rsid w:val="00EC007E"/>
    <w:rsid w:val="00EC0263"/>
    <w:rsid w:val="00EC03E5"/>
    <w:rsid w:val="00EC0465"/>
    <w:rsid w:val="00EC062A"/>
    <w:rsid w:val="00EC076C"/>
    <w:rsid w:val="00EC07E3"/>
    <w:rsid w:val="00EC09A8"/>
    <w:rsid w:val="00EC0A8D"/>
    <w:rsid w:val="00EC0AA2"/>
    <w:rsid w:val="00EC0B92"/>
    <w:rsid w:val="00EC0BB6"/>
    <w:rsid w:val="00EC0BB7"/>
    <w:rsid w:val="00EC0C31"/>
    <w:rsid w:val="00EC0C3E"/>
    <w:rsid w:val="00EC0CBE"/>
    <w:rsid w:val="00EC0CD6"/>
    <w:rsid w:val="00EC0CDC"/>
    <w:rsid w:val="00EC0D3C"/>
    <w:rsid w:val="00EC0D67"/>
    <w:rsid w:val="00EC0E16"/>
    <w:rsid w:val="00EC0E42"/>
    <w:rsid w:val="00EC0E92"/>
    <w:rsid w:val="00EC1074"/>
    <w:rsid w:val="00EC10B6"/>
    <w:rsid w:val="00EC10CC"/>
    <w:rsid w:val="00EC12A5"/>
    <w:rsid w:val="00EC1312"/>
    <w:rsid w:val="00EC1340"/>
    <w:rsid w:val="00EC1447"/>
    <w:rsid w:val="00EC1452"/>
    <w:rsid w:val="00EC148F"/>
    <w:rsid w:val="00EC1760"/>
    <w:rsid w:val="00EC187E"/>
    <w:rsid w:val="00EC191B"/>
    <w:rsid w:val="00EC195B"/>
    <w:rsid w:val="00EC196E"/>
    <w:rsid w:val="00EC1BF5"/>
    <w:rsid w:val="00EC1C6E"/>
    <w:rsid w:val="00EC1D5B"/>
    <w:rsid w:val="00EC1EAE"/>
    <w:rsid w:val="00EC208D"/>
    <w:rsid w:val="00EC20D1"/>
    <w:rsid w:val="00EC217F"/>
    <w:rsid w:val="00EC2250"/>
    <w:rsid w:val="00EC225B"/>
    <w:rsid w:val="00EC24A4"/>
    <w:rsid w:val="00EC268B"/>
    <w:rsid w:val="00EC27AF"/>
    <w:rsid w:val="00EC286D"/>
    <w:rsid w:val="00EC289B"/>
    <w:rsid w:val="00EC29AA"/>
    <w:rsid w:val="00EC2A24"/>
    <w:rsid w:val="00EC2C6E"/>
    <w:rsid w:val="00EC2D14"/>
    <w:rsid w:val="00EC2DCD"/>
    <w:rsid w:val="00EC2E65"/>
    <w:rsid w:val="00EC2E6D"/>
    <w:rsid w:val="00EC2EAF"/>
    <w:rsid w:val="00EC2F34"/>
    <w:rsid w:val="00EC2FCC"/>
    <w:rsid w:val="00EC3108"/>
    <w:rsid w:val="00EC32EE"/>
    <w:rsid w:val="00EC3399"/>
    <w:rsid w:val="00EC3450"/>
    <w:rsid w:val="00EC3586"/>
    <w:rsid w:val="00EC35E5"/>
    <w:rsid w:val="00EC369C"/>
    <w:rsid w:val="00EC36A9"/>
    <w:rsid w:val="00EC3980"/>
    <w:rsid w:val="00EC3B53"/>
    <w:rsid w:val="00EC3B68"/>
    <w:rsid w:val="00EC3BAC"/>
    <w:rsid w:val="00EC3CC4"/>
    <w:rsid w:val="00EC3D9E"/>
    <w:rsid w:val="00EC3DA1"/>
    <w:rsid w:val="00EC3DCD"/>
    <w:rsid w:val="00EC3EA5"/>
    <w:rsid w:val="00EC3EA6"/>
    <w:rsid w:val="00EC3F6C"/>
    <w:rsid w:val="00EC3FBF"/>
    <w:rsid w:val="00EC4053"/>
    <w:rsid w:val="00EC40B9"/>
    <w:rsid w:val="00EC40D3"/>
    <w:rsid w:val="00EC412F"/>
    <w:rsid w:val="00EC416A"/>
    <w:rsid w:val="00EC422B"/>
    <w:rsid w:val="00EC424F"/>
    <w:rsid w:val="00EC42B7"/>
    <w:rsid w:val="00EC436A"/>
    <w:rsid w:val="00EC4431"/>
    <w:rsid w:val="00EC4447"/>
    <w:rsid w:val="00EC4471"/>
    <w:rsid w:val="00EC44D5"/>
    <w:rsid w:val="00EC451E"/>
    <w:rsid w:val="00EC454B"/>
    <w:rsid w:val="00EC457C"/>
    <w:rsid w:val="00EC460E"/>
    <w:rsid w:val="00EC460F"/>
    <w:rsid w:val="00EC4652"/>
    <w:rsid w:val="00EC472E"/>
    <w:rsid w:val="00EC4773"/>
    <w:rsid w:val="00EC47D3"/>
    <w:rsid w:val="00EC484B"/>
    <w:rsid w:val="00EC4852"/>
    <w:rsid w:val="00EC492C"/>
    <w:rsid w:val="00EC4978"/>
    <w:rsid w:val="00EC49DE"/>
    <w:rsid w:val="00EC4A20"/>
    <w:rsid w:val="00EC4A45"/>
    <w:rsid w:val="00EC4B19"/>
    <w:rsid w:val="00EC4BAE"/>
    <w:rsid w:val="00EC4CB2"/>
    <w:rsid w:val="00EC4E30"/>
    <w:rsid w:val="00EC4F05"/>
    <w:rsid w:val="00EC4F20"/>
    <w:rsid w:val="00EC4F42"/>
    <w:rsid w:val="00EC51C4"/>
    <w:rsid w:val="00EC5227"/>
    <w:rsid w:val="00EC5263"/>
    <w:rsid w:val="00EC527B"/>
    <w:rsid w:val="00EC52A5"/>
    <w:rsid w:val="00EC5354"/>
    <w:rsid w:val="00EC5397"/>
    <w:rsid w:val="00EC54CC"/>
    <w:rsid w:val="00EC5524"/>
    <w:rsid w:val="00EC552F"/>
    <w:rsid w:val="00EC559F"/>
    <w:rsid w:val="00EC56D4"/>
    <w:rsid w:val="00EC5744"/>
    <w:rsid w:val="00EC579F"/>
    <w:rsid w:val="00EC5910"/>
    <w:rsid w:val="00EC592F"/>
    <w:rsid w:val="00EC595D"/>
    <w:rsid w:val="00EC597E"/>
    <w:rsid w:val="00EC59C9"/>
    <w:rsid w:val="00EC5AD5"/>
    <w:rsid w:val="00EC5B12"/>
    <w:rsid w:val="00EC5B65"/>
    <w:rsid w:val="00EC5BD5"/>
    <w:rsid w:val="00EC5BE5"/>
    <w:rsid w:val="00EC5C3C"/>
    <w:rsid w:val="00EC5CB9"/>
    <w:rsid w:val="00EC5DAF"/>
    <w:rsid w:val="00EC5E60"/>
    <w:rsid w:val="00EC5E8C"/>
    <w:rsid w:val="00EC5F93"/>
    <w:rsid w:val="00EC6015"/>
    <w:rsid w:val="00EC6081"/>
    <w:rsid w:val="00EC611E"/>
    <w:rsid w:val="00EC6147"/>
    <w:rsid w:val="00EC625B"/>
    <w:rsid w:val="00EC6300"/>
    <w:rsid w:val="00EC63B8"/>
    <w:rsid w:val="00EC63C9"/>
    <w:rsid w:val="00EC63D4"/>
    <w:rsid w:val="00EC6466"/>
    <w:rsid w:val="00EC647E"/>
    <w:rsid w:val="00EC654A"/>
    <w:rsid w:val="00EC65A5"/>
    <w:rsid w:val="00EC65D5"/>
    <w:rsid w:val="00EC65EC"/>
    <w:rsid w:val="00EC66D3"/>
    <w:rsid w:val="00EC6723"/>
    <w:rsid w:val="00EC67DD"/>
    <w:rsid w:val="00EC67E0"/>
    <w:rsid w:val="00EC6866"/>
    <w:rsid w:val="00EC6953"/>
    <w:rsid w:val="00EC69A2"/>
    <w:rsid w:val="00EC69EF"/>
    <w:rsid w:val="00EC6A10"/>
    <w:rsid w:val="00EC6A8A"/>
    <w:rsid w:val="00EC6B61"/>
    <w:rsid w:val="00EC6D70"/>
    <w:rsid w:val="00EC6E10"/>
    <w:rsid w:val="00EC6EDC"/>
    <w:rsid w:val="00EC7146"/>
    <w:rsid w:val="00EC71F3"/>
    <w:rsid w:val="00EC721D"/>
    <w:rsid w:val="00EC74C2"/>
    <w:rsid w:val="00EC74F5"/>
    <w:rsid w:val="00EC7660"/>
    <w:rsid w:val="00EC7695"/>
    <w:rsid w:val="00EC76F9"/>
    <w:rsid w:val="00EC780E"/>
    <w:rsid w:val="00EC78CA"/>
    <w:rsid w:val="00EC79F5"/>
    <w:rsid w:val="00EC7A02"/>
    <w:rsid w:val="00EC7A5B"/>
    <w:rsid w:val="00EC7E91"/>
    <w:rsid w:val="00EC7F52"/>
    <w:rsid w:val="00EC7F6C"/>
    <w:rsid w:val="00EC7FA1"/>
    <w:rsid w:val="00EC7FF9"/>
    <w:rsid w:val="00ED008C"/>
    <w:rsid w:val="00ED015A"/>
    <w:rsid w:val="00ED0218"/>
    <w:rsid w:val="00ED0222"/>
    <w:rsid w:val="00ED0291"/>
    <w:rsid w:val="00ED02B1"/>
    <w:rsid w:val="00ED037D"/>
    <w:rsid w:val="00ED05D1"/>
    <w:rsid w:val="00ED05F7"/>
    <w:rsid w:val="00ED0636"/>
    <w:rsid w:val="00ED063D"/>
    <w:rsid w:val="00ED0782"/>
    <w:rsid w:val="00ED081B"/>
    <w:rsid w:val="00ED0878"/>
    <w:rsid w:val="00ED0A28"/>
    <w:rsid w:val="00ED0B4B"/>
    <w:rsid w:val="00ED0B7C"/>
    <w:rsid w:val="00ED0BC2"/>
    <w:rsid w:val="00ED0CD8"/>
    <w:rsid w:val="00ED0F11"/>
    <w:rsid w:val="00ED0F99"/>
    <w:rsid w:val="00ED0FC2"/>
    <w:rsid w:val="00ED1033"/>
    <w:rsid w:val="00ED1067"/>
    <w:rsid w:val="00ED1080"/>
    <w:rsid w:val="00ED10B4"/>
    <w:rsid w:val="00ED10FC"/>
    <w:rsid w:val="00ED11C9"/>
    <w:rsid w:val="00ED127B"/>
    <w:rsid w:val="00ED130E"/>
    <w:rsid w:val="00ED134E"/>
    <w:rsid w:val="00ED1475"/>
    <w:rsid w:val="00ED1489"/>
    <w:rsid w:val="00ED1504"/>
    <w:rsid w:val="00ED155B"/>
    <w:rsid w:val="00ED1746"/>
    <w:rsid w:val="00ED17E0"/>
    <w:rsid w:val="00ED17F8"/>
    <w:rsid w:val="00ED185F"/>
    <w:rsid w:val="00ED18D4"/>
    <w:rsid w:val="00ED18EA"/>
    <w:rsid w:val="00ED1A65"/>
    <w:rsid w:val="00ED1C70"/>
    <w:rsid w:val="00ED1C7A"/>
    <w:rsid w:val="00ED1D5E"/>
    <w:rsid w:val="00ED1E39"/>
    <w:rsid w:val="00ED1F52"/>
    <w:rsid w:val="00ED1F94"/>
    <w:rsid w:val="00ED1FAC"/>
    <w:rsid w:val="00ED201D"/>
    <w:rsid w:val="00ED2061"/>
    <w:rsid w:val="00ED20FF"/>
    <w:rsid w:val="00ED215A"/>
    <w:rsid w:val="00ED2177"/>
    <w:rsid w:val="00ED21A0"/>
    <w:rsid w:val="00ED21B1"/>
    <w:rsid w:val="00ED2446"/>
    <w:rsid w:val="00ED252A"/>
    <w:rsid w:val="00ED2539"/>
    <w:rsid w:val="00ED2662"/>
    <w:rsid w:val="00ED278F"/>
    <w:rsid w:val="00ED27D3"/>
    <w:rsid w:val="00ED280A"/>
    <w:rsid w:val="00ED2813"/>
    <w:rsid w:val="00ED2834"/>
    <w:rsid w:val="00ED2863"/>
    <w:rsid w:val="00ED2874"/>
    <w:rsid w:val="00ED28D8"/>
    <w:rsid w:val="00ED2906"/>
    <w:rsid w:val="00ED2956"/>
    <w:rsid w:val="00ED2A32"/>
    <w:rsid w:val="00ED2A75"/>
    <w:rsid w:val="00ED2B23"/>
    <w:rsid w:val="00ED2B80"/>
    <w:rsid w:val="00ED2CC1"/>
    <w:rsid w:val="00ED2CDA"/>
    <w:rsid w:val="00ED2D89"/>
    <w:rsid w:val="00ED2DB4"/>
    <w:rsid w:val="00ED2EA1"/>
    <w:rsid w:val="00ED2ECB"/>
    <w:rsid w:val="00ED2F8A"/>
    <w:rsid w:val="00ED2FE5"/>
    <w:rsid w:val="00ED30F5"/>
    <w:rsid w:val="00ED3117"/>
    <w:rsid w:val="00ED316C"/>
    <w:rsid w:val="00ED31F3"/>
    <w:rsid w:val="00ED32A5"/>
    <w:rsid w:val="00ED3414"/>
    <w:rsid w:val="00ED35F8"/>
    <w:rsid w:val="00ED36FD"/>
    <w:rsid w:val="00ED370B"/>
    <w:rsid w:val="00ED371C"/>
    <w:rsid w:val="00ED37C3"/>
    <w:rsid w:val="00ED380E"/>
    <w:rsid w:val="00ED38DC"/>
    <w:rsid w:val="00ED392A"/>
    <w:rsid w:val="00ED39CD"/>
    <w:rsid w:val="00ED3A38"/>
    <w:rsid w:val="00ED3B76"/>
    <w:rsid w:val="00ED3BCB"/>
    <w:rsid w:val="00ED3C15"/>
    <w:rsid w:val="00ED3C97"/>
    <w:rsid w:val="00ED3D8E"/>
    <w:rsid w:val="00ED3D8F"/>
    <w:rsid w:val="00ED3DAD"/>
    <w:rsid w:val="00ED3E97"/>
    <w:rsid w:val="00ED3F4A"/>
    <w:rsid w:val="00ED3F75"/>
    <w:rsid w:val="00ED3FE1"/>
    <w:rsid w:val="00ED40A8"/>
    <w:rsid w:val="00ED4174"/>
    <w:rsid w:val="00ED41B2"/>
    <w:rsid w:val="00ED4235"/>
    <w:rsid w:val="00ED43AE"/>
    <w:rsid w:val="00ED45AD"/>
    <w:rsid w:val="00ED463D"/>
    <w:rsid w:val="00ED4711"/>
    <w:rsid w:val="00ED48C9"/>
    <w:rsid w:val="00ED494F"/>
    <w:rsid w:val="00ED4962"/>
    <w:rsid w:val="00ED496A"/>
    <w:rsid w:val="00ED49EB"/>
    <w:rsid w:val="00ED49F9"/>
    <w:rsid w:val="00ED4A49"/>
    <w:rsid w:val="00ED4B1D"/>
    <w:rsid w:val="00ED4CF8"/>
    <w:rsid w:val="00ED4DE0"/>
    <w:rsid w:val="00ED4E57"/>
    <w:rsid w:val="00ED4F91"/>
    <w:rsid w:val="00ED5012"/>
    <w:rsid w:val="00ED5118"/>
    <w:rsid w:val="00ED5125"/>
    <w:rsid w:val="00ED519F"/>
    <w:rsid w:val="00ED5296"/>
    <w:rsid w:val="00ED52EA"/>
    <w:rsid w:val="00ED541D"/>
    <w:rsid w:val="00ED5536"/>
    <w:rsid w:val="00ED553C"/>
    <w:rsid w:val="00ED562E"/>
    <w:rsid w:val="00ED56A3"/>
    <w:rsid w:val="00ED579B"/>
    <w:rsid w:val="00ED5848"/>
    <w:rsid w:val="00ED58FC"/>
    <w:rsid w:val="00ED595F"/>
    <w:rsid w:val="00ED596B"/>
    <w:rsid w:val="00ED59ED"/>
    <w:rsid w:val="00ED5A05"/>
    <w:rsid w:val="00ED5A33"/>
    <w:rsid w:val="00ED5AA6"/>
    <w:rsid w:val="00ED5B4F"/>
    <w:rsid w:val="00ED5C03"/>
    <w:rsid w:val="00ED5C73"/>
    <w:rsid w:val="00ED5C83"/>
    <w:rsid w:val="00ED5CD1"/>
    <w:rsid w:val="00ED5DD3"/>
    <w:rsid w:val="00ED5EF1"/>
    <w:rsid w:val="00ED5F02"/>
    <w:rsid w:val="00ED5F4B"/>
    <w:rsid w:val="00ED6076"/>
    <w:rsid w:val="00ED60DC"/>
    <w:rsid w:val="00ED6161"/>
    <w:rsid w:val="00ED6184"/>
    <w:rsid w:val="00ED6225"/>
    <w:rsid w:val="00ED6232"/>
    <w:rsid w:val="00ED6253"/>
    <w:rsid w:val="00ED6294"/>
    <w:rsid w:val="00ED62D7"/>
    <w:rsid w:val="00ED62DF"/>
    <w:rsid w:val="00ED6416"/>
    <w:rsid w:val="00ED6554"/>
    <w:rsid w:val="00ED655F"/>
    <w:rsid w:val="00ED66B6"/>
    <w:rsid w:val="00ED66EE"/>
    <w:rsid w:val="00ED67B8"/>
    <w:rsid w:val="00ED67D7"/>
    <w:rsid w:val="00ED6A0E"/>
    <w:rsid w:val="00ED6AA6"/>
    <w:rsid w:val="00ED6AB7"/>
    <w:rsid w:val="00ED6C29"/>
    <w:rsid w:val="00ED6D0A"/>
    <w:rsid w:val="00ED6F65"/>
    <w:rsid w:val="00ED6FCC"/>
    <w:rsid w:val="00ED7054"/>
    <w:rsid w:val="00ED706A"/>
    <w:rsid w:val="00ED707D"/>
    <w:rsid w:val="00ED7122"/>
    <w:rsid w:val="00ED727F"/>
    <w:rsid w:val="00ED7297"/>
    <w:rsid w:val="00ED72AB"/>
    <w:rsid w:val="00ED73A3"/>
    <w:rsid w:val="00ED7403"/>
    <w:rsid w:val="00ED745A"/>
    <w:rsid w:val="00ED7502"/>
    <w:rsid w:val="00ED75B0"/>
    <w:rsid w:val="00ED75E1"/>
    <w:rsid w:val="00ED766F"/>
    <w:rsid w:val="00ED7673"/>
    <w:rsid w:val="00ED76FA"/>
    <w:rsid w:val="00ED779F"/>
    <w:rsid w:val="00ED77AB"/>
    <w:rsid w:val="00ED77DC"/>
    <w:rsid w:val="00ED7823"/>
    <w:rsid w:val="00ED785F"/>
    <w:rsid w:val="00ED7880"/>
    <w:rsid w:val="00ED79C7"/>
    <w:rsid w:val="00ED7ABC"/>
    <w:rsid w:val="00ED7B33"/>
    <w:rsid w:val="00ED7BC3"/>
    <w:rsid w:val="00ED7BF8"/>
    <w:rsid w:val="00ED7CE8"/>
    <w:rsid w:val="00ED7D72"/>
    <w:rsid w:val="00ED7DDD"/>
    <w:rsid w:val="00ED7E0B"/>
    <w:rsid w:val="00ED7E35"/>
    <w:rsid w:val="00ED7EFD"/>
    <w:rsid w:val="00ED7F1E"/>
    <w:rsid w:val="00ED7F78"/>
    <w:rsid w:val="00ED7FCB"/>
    <w:rsid w:val="00EE018D"/>
    <w:rsid w:val="00EE019C"/>
    <w:rsid w:val="00EE01CF"/>
    <w:rsid w:val="00EE030B"/>
    <w:rsid w:val="00EE05C3"/>
    <w:rsid w:val="00EE067D"/>
    <w:rsid w:val="00EE06E7"/>
    <w:rsid w:val="00EE0782"/>
    <w:rsid w:val="00EE07C7"/>
    <w:rsid w:val="00EE0883"/>
    <w:rsid w:val="00EE0896"/>
    <w:rsid w:val="00EE08DF"/>
    <w:rsid w:val="00EE0A36"/>
    <w:rsid w:val="00EE0A77"/>
    <w:rsid w:val="00EE0B60"/>
    <w:rsid w:val="00EE0B73"/>
    <w:rsid w:val="00EE0C48"/>
    <w:rsid w:val="00EE0D3C"/>
    <w:rsid w:val="00EE0E4F"/>
    <w:rsid w:val="00EE0E8D"/>
    <w:rsid w:val="00EE0F68"/>
    <w:rsid w:val="00EE102F"/>
    <w:rsid w:val="00EE111C"/>
    <w:rsid w:val="00EE11EF"/>
    <w:rsid w:val="00EE1208"/>
    <w:rsid w:val="00EE125B"/>
    <w:rsid w:val="00EE1316"/>
    <w:rsid w:val="00EE1331"/>
    <w:rsid w:val="00EE135F"/>
    <w:rsid w:val="00EE1426"/>
    <w:rsid w:val="00EE14FF"/>
    <w:rsid w:val="00EE1581"/>
    <w:rsid w:val="00EE1628"/>
    <w:rsid w:val="00EE16B0"/>
    <w:rsid w:val="00EE175B"/>
    <w:rsid w:val="00EE179E"/>
    <w:rsid w:val="00EE17E0"/>
    <w:rsid w:val="00EE180E"/>
    <w:rsid w:val="00EE18AE"/>
    <w:rsid w:val="00EE1900"/>
    <w:rsid w:val="00EE1974"/>
    <w:rsid w:val="00EE199E"/>
    <w:rsid w:val="00EE19D3"/>
    <w:rsid w:val="00EE1B48"/>
    <w:rsid w:val="00EE1BCE"/>
    <w:rsid w:val="00EE1C8A"/>
    <w:rsid w:val="00EE1CE1"/>
    <w:rsid w:val="00EE1E56"/>
    <w:rsid w:val="00EE1EED"/>
    <w:rsid w:val="00EE1FBB"/>
    <w:rsid w:val="00EE1FF3"/>
    <w:rsid w:val="00EE2081"/>
    <w:rsid w:val="00EE213B"/>
    <w:rsid w:val="00EE217F"/>
    <w:rsid w:val="00EE2185"/>
    <w:rsid w:val="00EE2263"/>
    <w:rsid w:val="00EE22C1"/>
    <w:rsid w:val="00EE233A"/>
    <w:rsid w:val="00EE2402"/>
    <w:rsid w:val="00EE241D"/>
    <w:rsid w:val="00EE2447"/>
    <w:rsid w:val="00EE24B0"/>
    <w:rsid w:val="00EE24DB"/>
    <w:rsid w:val="00EE2573"/>
    <w:rsid w:val="00EE2614"/>
    <w:rsid w:val="00EE2623"/>
    <w:rsid w:val="00EE26FA"/>
    <w:rsid w:val="00EE2743"/>
    <w:rsid w:val="00EE2777"/>
    <w:rsid w:val="00EE28AA"/>
    <w:rsid w:val="00EE28AB"/>
    <w:rsid w:val="00EE28DC"/>
    <w:rsid w:val="00EE2DAF"/>
    <w:rsid w:val="00EE2E75"/>
    <w:rsid w:val="00EE2ECC"/>
    <w:rsid w:val="00EE2F1E"/>
    <w:rsid w:val="00EE2F2E"/>
    <w:rsid w:val="00EE2FE5"/>
    <w:rsid w:val="00EE3048"/>
    <w:rsid w:val="00EE30AF"/>
    <w:rsid w:val="00EE32C7"/>
    <w:rsid w:val="00EE32DE"/>
    <w:rsid w:val="00EE336B"/>
    <w:rsid w:val="00EE337E"/>
    <w:rsid w:val="00EE3395"/>
    <w:rsid w:val="00EE343A"/>
    <w:rsid w:val="00EE348A"/>
    <w:rsid w:val="00EE3668"/>
    <w:rsid w:val="00EE368B"/>
    <w:rsid w:val="00EE369D"/>
    <w:rsid w:val="00EE36A4"/>
    <w:rsid w:val="00EE38EF"/>
    <w:rsid w:val="00EE392A"/>
    <w:rsid w:val="00EE39D9"/>
    <w:rsid w:val="00EE39EB"/>
    <w:rsid w:val="00EE3AAE"/>
    <w:rsid w:val="00EE3B2B"/>
    <w:rsid w:val="00EE3B2E"/>
    <w:rsid w:val="00EE3B3A"/>
    <w:rsid w:val="00EE3B6D"/>
    <w:rsid w:val="00EE3B8E"/>
    <w:rsid w:val="00EE3C35"/>
    <w:rsid w:val="00EE3CA6"/>
    <w:rsid w:val="00EE3CC4"/>
    <w:rsid w:val="00EE3E7E"/>
    <w:rsid w:val="00EE3EF4"/>
    <w:rsid w:val="00EE3F5E"/>
    <w:rsid w:val="00EE402C"/>
    <w:rsid w:val="00EE4445"/>
    <w:rsid w:val="00EE4494"/>
    <w:rsid w:val="00EE472B"/>
    <w:rsid w:val="00EE47FB"/>
    <w:rsid w:val="00EE481B"/>
    <w:rsid w:val="00EE4846"/>
    <w:rsid w:val="00EE4893"/>
    <w:rsid w:val="00EE48B6"/>
    <w:rsid w:val="00EE48DE"/>
    <w:rsid w:val="00EE499B"/>
    <w:rsid w:val="00EE4AEA"/>
    <w:rsid w:val="00EE4B0A"/>
    <w:rsid w:val="00EE4C13"/>
    <w:rsid w:val="00EE4CC3"/>
    <w:rsid w:val="00EE4DAC"/>
    <w:rsid w:val="00EE4DF0"/>
    <w:rsid w:val="00EE4EAE"/>
    <w:rsid w:val="00EE4F44"/>
    <w:rsid w:val="00EE4F78"/>
    <w:rsid w:val="00EE4FB4"/>
    <w:rsid w:val="00EE5080"/>
    <w:rsid w:val="00EE50B8"/>
    <w:rsid w:val="00EE523C"/>
    <w:rsid w:val="00EE52D9"/>
    <w:rsid w:val="00EE52FC"/>
    <w:rsid w:val="00EE532E"/>
    <w:rsid w:val="00EE543C"/>
    <w:rsid w:val="00EE5498"/>
    <w:rsid w:val="00EE5620"/>
    <w:rsid w:val="00EE56F3"/>
    <w:rsid w:val="00EE5709"/>
    <w:rsid w:val="00EE5920"/>
    <w:rsid w:val="00EE599B"/>
    <w:rsid w:val="00EE59C3"/>
    <w:rsid w:val="00EE5AED"/>
    <w:rsid w:val="00EE5BA3"/>
    <w:rsid w:val="00EE5C42"/>
    <w:rsid w:val="00EE5E81"/>
    <w:rsid w:val="00EE5EE8"/>
    <w:rsid w:val="00EE5F20"/>
    <w:rsid w:val="00EE5F99"/>
    <w:rsid w:val="00EE605C"/>
    <w:rsid w:val="00EE6060"/>
    <w:rsid w:val="00EE60DF"/>
    <w:rsid w:val="00EE6310"/>
    <w:rsid w:val="00EE6469"/>
    <w:rsid w:val="00EE660B"/>
    <w:rsid w:val="00EE669B"/>
    <w:rsid w:val="00EE66D3"/>
    <w:rsid w:val="00EE673F"/>
    <w:rsid w:val="00EE67BE"/>
    <w:rsid w:val="00EE6823"/>
    <w:rsid w:val="00EE6903"/>
    <w:rsid w:val="00EE6905"/>
    <w:rsid w:val="00EE6977"/>
    <w:rsid w:val="00EE69A0"/>
    <w:rsid w:val="00EE6A71"/>
    <w:rsid w:val="00EE6A79"/>
    <w:rsid w:val="00EE6AD5"/>
    <w:rsid w:val="00EE6B7E"/>
    <w:rsid w:val="00EE6C24"/>
    <w:rsid w:val="00EE6D7B"/>
    <w:rsid w:val="00EE6EBD"/>
    <w:rsid w:val="00EE7024"/>
    <w:rsid w:val="00EE7082"/>
    <w:rsid w:val="00EE70D3"/>
    <w:rsid w:val="00EE712A"/>
    <w:rsid w:val="00EE71DE"/>
    <w:rsid w:val="00EE7236"/>
    <w:rsid w:val="00EE7359"/>
    <w:rsid w:val="00EE752B"/>
    <w:rsid w:val="00EE75C2"/>
    <w:rsid w:val="00EE75C3"/>
    <w:rsid w:val="00EE7632"/>
    <w:rsid w:val="00EE768F"/>
    <w:rsid w:val="00EE7762"/>
    <w:rsid w:val="00EE7778"/>
    <w:rsid w:val="00EE777A"/>
    <w:rsid w:val="00EE77F4"/>
    <w:rsid w:val="00EE78CB"/>
    <w:rsid w:val="00EE793B"/>
    <w:rsid w:val="00EE7A02"/>
    <w:rsid w:val="00EE7B8F"/>
    <w:rsid w:val="00EE7BF4"/>
    <w:rsid w:val="00EE7BF5"/>
    <w:rsid w:val="00EE7C0A"/>
    <w:rsid w:val="00EE7C74"/>
    <w:rsid w:val="00EE7CA1"/>
    <w:rsid w:val="00EE7D10"/>
    <w:rsid w:val="00EE7E86"/>
    <w:rsid w:val="00EE7EFC"/>
    <w:rsid w:val="00EE7F62"/>
    <w:rsid w:val="00EF007D"/>
    <w:rsid w:val="00EF017C"/>
    <w:rsid w:val="00EF018C"/>
    <w:rsid w:val="00EF0209"/>
    <w:rsid w:val="00EF02F5"/>
    <w:rsid w:val="00EF03B0"/>
    <w:rsid w:val="00EF048A"/>
    <w:rsid w:val="00EF04C8"/>
    <w:rsid w:val="00EF050A"/>
    <w:rsid w:val="00EF0666"/>
    <w:rsid w:val="00EF0759"/>
    <w:rsid w:val="00EF079D"/>
    <w:rsid w:val="00EF08E5"/>
    <w:rsid w:val="00EF09D6"/>
    <w:rsid w:val="00EF0A4E"/>
    <w:rsid w:val="00EF0A64"/>
    <w:rsid w:val="00EF0A90"/>
    <w:rsid w:val="00EF0B2F"/>
    <w:rsid w:val="00EF0B72"/>
    <w:rsid w:val="00EF0C01"/>
    <w:rsid w:val="00EF0C62"/>
    <w:rsid w:val="00EF0D55"/>
    <w:rsid w:val="00EF0DFA"/>
    <w:rsid w:val="00EF0ED4"/>
    <w:rsid w:val="00EF0ED9"/>
    <w:rsid w:val="00EF102C"/>
    <w:rsid w:val="00EF1096"/>
    <w:rsid w:val="00EF1164"/>
    <w:rsid w:val="00EF1183"/>
    <w:rsid w:val="00EF1219"/>
    <w:rsid w:val="00EF1424"/>
    <w:rsid w:val="00EF1458"/>
    <w:rsid w:val="00EF146C"/>
    <w:rsid w:val="00EF1476"/>
    <w:rsid w:val="00EF1524"/>
    <w:rsid w:val="00EF152A"/>
    <w:rsid w:val="00EF15A3"/>
    <w:rsid w:val="00EF15CA"/>
    <w:rsid w:val="00EF16D1"/>
    <w:rsid w:val="00EF1717"/>
    <w:rsid w:val="00EF171F"/>
    <w:rsid w:val="00EF184E"/>
    <w:rsid w:val="00EF18B1"/>
    <w:rsid w:val="00EF1928"/>
    <w:rsid w:val="00EF1D73"/>
    <w:rsid w:val="00EF1F84"/>
    <w:rsid w:val="00EF1FD9"/>
    <w:rsid w:val="00EF1FFB"/>
    <w:rsid w:val="00EF203F"/>
    <w:rsid w:val="00EF217A"/>
    <w:rsid w:val="00EF21EC"/>
    <w:rsid w:val="00EF22FC"/>
    <w:rsid w:val="00EF2304"/>
    <w:rsid w:val="00EF23D8"/>
    <w:rsid w:val="00EF2447"/>
    <w:rsid w:val="00EF252E"/>
    <w:rsid w:val="00EF25A0"/>
    <w:rsid w:val="00EF2748"/>
    <w:rsid w:val="00EF27F0"/>
    <w:rsid w:val="00EF298D"/>
    <w:rsid w:val="00EF29A8"/>
    <w:rsid w:val="00EF29B5"/>
    <w:rsid w:val="00EF2AB8"/>
    <w:rsid w:val="00EF2C28"/>
    <w:rsid w:val="00EF2C40"/>
    <w:rsid w:val="00EF2C44"/>
    <w:rsid w:val="00EF2F51"/>
    <w:rsid w:val="00EF30B1"/>
    <w:rsid w:val="00EF31AA"/>
    <w:rsid w:val="00EF328E"/>
    <w:rsid w:val="00EF348F"/>
    <w:rsid w:val="00EF34A8"/>
    <w:rsid w:val="00EF35D1"/>
    <w:rsid w:val="00EF3691"/>
    <w:rsid w:val="00EF378A"/>
    <w:rsid w:val="00EF37CF"/>
    <w:rsid w:val="00EF387F"/>
    <w:rsid w:val="00EF3968"/>
    <w:rsid w:val="00EF39C3"/>
    <w:rsid w:val="00EF3AA1"/>
    <w:rsid w:val="00EF3AC8"/>
    <w:rsid w:val="00EF3AF6"/>
    <w:rsid w:val="00EF3C97"/>
    <w:rsid w:val="00EF3EE9"/>
    <w:rsid w:val="00EF3EFC"/>
    <w:rsid w:val="00EF3F17"/>
    <w:rsid w:val="00EF3F28"/>
    <w:rsid w:val="00EF4067"/>
    <w:rsid w:val="00EF406E"/>
    <w:rsid w:val="00EF413A"/>
    <w:rsid w:val="00EF42D3"/>
    <w:rsid w:val="00EF4373"/>
    <w:rsid w:val="00EF43ED"/>
    <w:rsid w:val="00EF45C3"/>
    <w:rsid w:val="00EF45DE"/>
    <w:rsid w:val="00EF45FA"/>
    <w:rsid w:val="00EF461C"/>
    <w:rsid w:val="00EF4791"/>
    <w:rsid w:val="00EF47B7"/>
    <w:rsid w:val="00EF49F0"/>
    <w:rsid w:val="00EF4A2D"/>
    <w:rsid w:val="00EF4AC8"/>
    <w:rsid w:val="00EF4B63"/>
    <w:rsid w:val="00EF4C81"/>
    <w:rsid w:val="00EF4C99"/>
    <w:rsid w:val="00EF4D13"/>
    <w:rsid w:val="00EF4DAD"/>
    <w:rsid w:val="00EF4E84"/>
    <w:rsid w:val="00EF4EAD"/>
    <w:rsid w:val="00EF4FE9"/>
    <w:rsid w:val="00EF50E8"/>
    <w:rsid w:val="00EF5122"/>
    <w:rsid w:val="00EF5571"/>
    <w:rsid w:val="00EF55BD"/>
    <w:rsid w:val="00EF56CB"/>
    <w:rsid w:val="00EF5704"/>
    <w:rsid w:val="00EF57B3"/>
    <w:rsid w:val="00EF5809"/>
    <w:rsid w:val="00EF58BD"/>
    <w:rsid w:val="00EF5987"/>
    <w:rsid w:val="00EF59BD"/>
    <w:rsid w:val="00EF59E9"/>
    <w:rsid w:val="00EF5A4C"/>
    <w:rsid w:val="00EF5C27"/>
    <w:rsid w:val="00EF5D3B"/>
    <w:rsid w:val="00EF5D94"/>
    <w:rsid w:val="00EF5DA3"/>
    <w:rsid w:val="00EF5E70"/>
    <w:rsid w:val="00EF5EBB"/>
    <w:rsid w:val="00EF5F13"/>
    <w:rsid w:val="00EF5F26"/>
    <w:rsid w:val="00EF5FF6"/>
    <w:rsid w:val="00EF6056"/>
    <w:rsid w:val="00EF60FD"/>
    <w:rsid w:val="00EF6173"/>
    <w:rsid w:val="00EF6192"/>
    <w:rsid w:val="00EF61C4"/>
    <w:rsid w:val="00EF62E1"/>
    <w:rsid w:val="00EF63B7"/>
    <w:rsid w:val="00EF6404"/>
    <w:rsid w:val="00EF6501"/>
    <w:rsid w:val="00EF6528"/>
    <w:rsid w:val="00EF65C6"/>
    <w:rsid w:val="00EF6618"/>
    <w:rsid w:val="00EF6659"/>
    <w:rsid w:val="00EF67A7"/>
    <w:rsid w:val="00EF67CD"/>
    <w:rsid w:val="00EF6801"/>
    <w:rsid w:val="00EF68A6"/>
    <w:rsid w:val="00EF68D4"/>
    <w:rsid w:val="00EF68DF"/>
    <w:rsid w:val="00EF6A8F"/>
    <w:rsid w:val="00EF6A90"/>
    <w:rsid w:val="00EF6B4C"/>
    <w:rsid w:val="00EF6CE3"/>
    <w:rsid w:val="00EF6D22"/>
    <w:rsid w:val="00EF6DAB"/>
    <w:rsid w:val="00EF6DC1"/>
    <w:rsid w:val="00EF6F5C"/>
    <w:rsid w:val="00EF6F77"/>
    <w:rsid w:val="00EF6F7C"/>
    <w:rsid w:val="00EF700B"/>
    <w:rsid w:val="00EF701C"/>
    <w:rsid w:val="00EF70E0"/>
    <w:rsid w:val="00EF71A7"/>
    <w:rsid w:val="00EF72B6"/>
    <w:rsid w:val="00EF7380"/>
    <w:rsid w:val="00EF73CD"/>
    <w:rsid w:val="00EF7594"/>
    <w:rsid w:val="00EF759E"/>
    <w:rsid w:val="00EF7698"/>
    <w:rsid w:val="00EF78B1"/>
    <w:rsid w:val="00EF791B"/>
    <w:rsid w:val="00EF7943"/>
    <w:rsid w:val="00EF797E"/>
    <w:rsid w:val="00EF79A9"/>
    <w:rsid w:val="00EF7A4F"/>
    <w:rsid w:val="00EF7A8C"/>
    <w:rsid w:val="00EF7A98"/>
    <w:rsid w:val="00EF7C88"/>
    <w:rsid w:val="00EF7C8D"/>
    <w:rsid w:val="00EF7DE8"/>
    <w:rsid w:val="00F00107"/>
    <w:rsid w:val="00F00127"/>
    <w:rsid w:val="00F0016A"/>
    <w:rsid w:val="00F001C8"/>
    <w:rsid w:val="00F001F9"/>
    <w:rsid w:val="00F00278"/>
    <w:rsid w:val="00F003F2"/>
    <w:rsid w:val="00F0048A"/>
    <w:rsid w:val="00F004FF"/>
    <w:rsid w:val="00F00575"/>
    <w:rsid w:val="00F005AA"/>
    <w:rsid w:val="00F00699"/>
    <w:rsid w:val="00F006CC"/>
    <w:rsid w:val="00F007BC"/>
    <w:rsid w:val="00F007FD"/>
    <w:rsid w:val="00F00882"/>
    <w:rsid w:val="00F008D1"/>
    <w:rsid w:val="00F0097B"/>
    <w:rsid w:val="00F00A94"/>
    <w:rsid w:val="00F00B20"/>
    <w:rsid w:val="00F00BF9"/>
    <w:rsid w:val="00F00CB9"/>
    <w:rsid w:val="00F00DE0"/>
    <w:rsid w:val="00F00F3B"/>
    <w:rsid w:val="00F01039"/>
    <w:rsid w:val="00F0104E"/>
    <w:rsid w:val="00F010FF"/>
    <w:rsid w:val="00F0126A"/>
    <w:rsid w:val="00F013E1"/>
    <w:rsid w:val="00F013FD"/>
    <w:rsid w:val="00F014D2"/>
    <w:rsid w:val="00F01502"/>
    <w:rsid w:val="00F015A6"/>
    <w:rsid w:val="00F01605"/>
    <w:rsid w:val="00F01632"/>
    <w:rsid w:val="00F017D4"/>
    <w:rsid w:val="00F01985"/>
    <w:rsid w:val="00F0198E"/>
    <w:rsid w:val="00F01A58"/>
    <w:rsid w:val="00F01B06"/>
    <w:rsid w:val="00F01B77"/>
    <w:rsid w:val="00F01E70"/>
    <w:rsid w:val="00F01F5B"/>
    <w:rsid w:val="00F01F85"/>
    <w:rsid w:val="00F02063"/>
    <w:rsid w:val="00F021AD"/>
    <w:rsid w:val="00F021C4"/>
    <w:rsid w:val="00F0226A"/>
    <w:rsid w:val="00F022BE"/>
    <w:rsid w:val="00F022D8"/>
    <w:rsid w:val="00F022DA"/>
    <w:rsid w:val="00F022E4"/>
    <w:rsid w:val="00F0231C"/>
    <w:rsid w:val="00F0232A"/>
    <w:rsid w:val="00F024A5"/>
    <w:rsid w:val="00F02554"/>
    <w:rsid w:val="00F025C9"/>
    <w:rsid w:val="00F02662"/>
    <w:rsid w:val="00F02671"/>
    <w:rsid w:val="00F026C6"/>
    <w:rsid w:val="00F0285F"/>
    <w:rsid w:val="00F028E7"/>
    <w:rsid w:val="00F0298D"/>
    <w:rsid w:val="00F029F3"/>
    <w:rsid w:val="00F02B54"/>
    <w:rsid w:val="00F02B63"/>
    <w:rsid w:val="00F02D33"/>
    <w:rsid w:val="00F02E5A"/>
    <w:rsid w:val="00F02F27"/>
    <w:rsid w:val="00F02F32"/>
    <w:rsid w:val="00F02F8A"/>
    <w:rsid w:val="00F0302D"/>
    <w:rsid w:val="00F030A9"/>
    <w:rsid w:val="00F031B9"/>
    <w:rsid w:val="00F03499"/>
    <w:rsid w:val="00F035F2"/>
    <w:rsid w:val="00F03637"/>
    <w:rsid w:val="00F0372A"/>
    <w:rsid w:val="00F0379D"/>
    <w:rsid w:val="00F037C2"/>
    <w:rsid w:val="00F03835"/>
    <w:rsid w:val="00F03841"/>
    <w:rsid w:val="00F03886"/>
    <w:rsid w:val="00F038DB"/>
    <w:rsid w:val="00F03AF1"/>
    <w:rsid w:val="00F03B1D"/>
    <w:rsid w:val="00F03B33"/>
    <w:rsid w:val="00F03B76"/>
    <w:rsid w:val="00F03B7D"/>
    <w:rsid w:val="00F03BC3"/>
    <w:rsid w:val="00F03C87"/>
    <w:rsid w:val="00F03D7D"/>
    <w:rsid w:val="00F03DE9"/>
    <w:rsid w:val="00F03DF5"/>
    <w:rsid w:val="00F03DF6"/>
    <w:rsid w:val="00F03E12"/>
    <w:rsid w:val="00F040F6"/>
    <w:rsid w:val="00F04107"/>
    <w:rsid w:val="00F041C0"/>
    <w:rsid w:val="00F041D1"/>
    <w:rsid w:val="00F042CA"/>
    <w:rsid w:val="00F042F8"/>
    <w:rsid w:val="00F043C1"/>
    <w:rsid w:val="00F0445D"/>
    <w:rsid w:val="00F04460"/>
    <w:rsid w:val="00F04505"/>
    <w:rsid w:val="00F04530"/>
    <w:rsid w:val="00F04532"/>
    <w:rsid w:val="00F04545"/>
    <w:rsid w:val="00F04646"/>
    <w:rsid w:val="00F04651"/>
    <w:rsid w:val="00F046A8"/>
    <w:rsid w:val="00F046AD"/>
    <w:rsid w:val="00F046C0"/>
    <w:rsid w:val="00F04780"/>
    <w:rsid w:val="00F04788"/>
    <w:rsid w:val="00F04806"/>
    <w:rsid w:val="00F048BA"/>
    <w:rsid w:val="00F0497C"/>
    <w:rsid w:val="00F04998"/>
    <w:rsid w:val="00F049E2"/>
    <w:rsid w:val="00F04A4B"/>
    <w:rsid w:val="00F04AB6"/>
    <w:rsid w:val="00F04AD9"/>
    <w:rsid w:val="00F04C75"/>
    <w:rsid w:val="00F04CC8"/>
    <w:rsid w:val="00F04E0A"/>
    <w:rsid w:val="00F05020"/>
    <w:rsid w:val="00F050BE"/>
    <w:rsid w:val="00F05140"/>
    <w:rsid w:val="00F05252"/>
    <w:rsid w:val="00F0526C"/>
    <w:rsid w:val="00F052BC"/>
    <w:rsid w:val="00F052D8"/>
    <w:rsid w:val="00F0531D"/>
    <w:rsid w:val="00F05467"/>
    <w:rsid w:val="00F054DF"/>
    <w:rsid w:val="00F05557"/>
    <w:rsid w:val="00F055EA"/>
    <w:rsid w:val="00F05962"/>
    <w:rsid w:val="00F05A37"/>
    <w:rsid w:val="00F05AB9"/>
    <w:rsid w:val="00F05B60"/>
    <w:rsid w:val="00F05BB9"/>
    <w:rsid w:val="00F05CCB"/>
    <w:rsid w:val="00F05D21"/>
    <w:rsid w:val="00F05DBA"/>
    <w:rsid w:val="00F05DE5"/>
    <w:rsid w:val="00F05E4E"/>
    <w:rsid w:val="00F05EF2"/>
    <w:rsid w:val="00F06067"/>
    <w:rsid w:val="00F061E6"/>
    <w:rsid w:val="00F0622C"/>
    <w:rsid w:val="00F06285"/>
    <w:rsid w:val="00F06394"/>
    <w:rsid w:val="00F063F1"/>
    <w:rsid w:val="00F0656C"/>
    <w:rsid w:val="00F065CC"/>
    <w:rsid w:val="00F06614"/>
    <w:rsid w:val="00F06631"/>
    <w:rsid w:val="00F06669"/>
    <w:rsid w:val="00F06670"/>
    <w:rsid w:val="00F0667A"/>
    <w:rsid w:val="00F066A8"/>
    <w:rsid w:val="00F066AB"/>
    <w:rsid w:val="00F06753"/>
    <w:rsid w:val="00F06786"/>
    <w:rsid w:val="00F06788"/>
    <w:rsid w:val="00F06797"/>
    <w:rsid w:val="00F0687C"/>
    <w:rsid w:val="00F068AF"/>
    <w:rsid w:val="00F068BD"/>
    <w:rsid w:val="00F06966"/>
    <w:rsid w:val="00F06B1C"/>
    <w:rsid w:val="00F06B4F"/>
    <w:rsid w:val="00F06C08"/>
    <w:rsid w:val="00F06C4C"/>
    <w:rsid w:val="00F06CA0"/>
    <w:rsid w:val="00F06D40"/>
    <w:rsid w:val="00F06E4F"/>
    <w:rsid w:val="00F07064"/>
    <w:rsid w:val="00F070BD"/>
    <w:rsid w:val="00F071A1"/>
    <w:rsid w:val="00F0732F"/>
    <w:rsid w:val="00F0752B"/>
    <w:rsid w:val="00F075AA"/>
    <w:rsid w:val="00F0765C"/>
    <w:rsid w:val="00F07677"/>
    <w:rsid w:val="00F0767B"/>
    <w:rsid w:val="00F076BC"/>
    <w:rsid w:val="00F0774A"/>
    <w:rsid w:val="00F07775"/>
    <w:rsid w:val="00F0779F"/>
    <w:rsid w:val="00F077A9"/>
    <w:rsid w:val="00F07812"/>
    <w:rsid w:val="00F07888"/>
    <w:rsid w:val="00F078BA"/>
    <w:rsid w:val="00F0792D"/>
    <w:rsid w:val="00F07996"/>
    <w:rsid w:val="00F07999"/>
    <w:rsid w:val="00F07A56"/>
    <w:rsid w:val="00F07ACD"/>
    <w:rsid w:val="00F07B2D"/>
    <w:rsid w:val="00F07BFE"/>
    <w:rsid w:val="00F07C7E"/>
    <w:rsid w:val="00F07E92"/>
    <w:rsid w:val="00F07EC9"/>
    <w:rsid w:val="00F07F47"/>
    <w:rsid w:val="00F10036"/>
    <w:rsid w:val="00F1007D"/>
    <w:rsid w:val="00F1020D"/>
    <w:rsid w:val="00F10230"/>
    <w:rsid w:val="00F10266"/>
    <w:rsid w:val="00F102A3"/>
    <w:rsid w:val="00F102B9"/>
    <w:rsid w:val="00F10311"/>
    <w:rsid w:val="00F103B4"/>
    <w:rsid w:val="00F10484"/>
    <w:rsid w:val="00F104BB"/>
    <w:rsid w:val="00F1051E"/>
    <w:rsid w:val="00F10556"/>
    <w:rsid w:val="00F10667"/>
    <w:rsid w:val="00F1077B"/>
    <w:rsid w:val="00F1083D"/>
    <w:rsid w:val="00F10A09"/>
    <w:rsid w:val="00F10A7F"/>
    <w:rsid w:val="00F10AB0"/>
    <w:rsid w:val="00F10ADA"/>
    <w:rsid w:val="00F10B45"/>
    <w:rsid w:val="00F10B7A"/>
    <w:rsid w:val="00F10B7B"/>
    <w:rsid w:val="00F10B9E"/>
    <w:rsid w:val="00F10C67"/>
    <w:rsid w:val="00F10CBF"/>
    <w:rsid w:val="00F10CF7"/>
    <w:rsid w:val="00F10DC6"/>
    <w:rsid w:val="00F10FE9"/>
    <w:rsid w:val="00F10FF4"/>
    <w:rsid w:val="00F110CE"/>
    <w:rsid w:val="00F111B2"/>
    <w:rsid w:val="00F1120B"/>
    <w:rsid w:val="00F11271"/>
    <w:rsid w:val="00F112BC"/>
    <w:rsid w:val="00F11327"/>
    <w:rsid w:val="00F11351"/>
    <w:rsid w:val="00F1137E"/>
    <w:rsid w:val="00F11384"/>
    <w:rsid w:val="00F114FA"/>
    <w:rsid w:val="00F1151F"/>
    <w:rsid w:val="00F11597"/>
    <w:rsid w:val="00F115BF"/>
    <w:rsid w:val="00F115C9"/>
    <w:rsid w:val="00F115FA"/>
    <w:rsid w:val="00F11641"/>
    <w:rsid w:val="00F1172C"/>
    <w:rsid w:val="00F11843"/>
    <w:rsid w:val="00F119D5"/>
    <w:rsid w:val="00F11ABE"/>
    <w:rsid w:val="00F11B8A"/>
    <w:rsid w:val="00F11C3F"/>
    <w:rsid w:val="00F11C5F"/>
    <w:rsid w:val="00F11C86"/>
    <w:rsid w:val="00F11C99"/>
    <w:rsid w:val="00F11CFE"/>
    <w:rsid w:val="00F11D3E"/>
    <w:rsid w:val="00F11DDC"/>
    <w:rsid w:val="00F11DDE"/>
    <w:rsid w:val="00F11E76"/>
    <w:rsid w:val="00F11E7D"/>
    <w:rsid w:val="00F1205E"/>
    <w:rsid w:val="00F12173"/>
    <w:rsid w:val="00F122DE"/>
    <w:rsid w:val="00F122F9"/>
    <w:rsid w:val="00F12336"/>
    <w:rsid w:val="00F1254F"/>
    <w:rsid w:val="00F12603"/>
    <w:rsid w:val="00F12630"/>
    <w:rsid w:val="00F12642"/>
    <w:rsid w:val="00F1266C"/>
    <w:rsid w:val="00F126DF"/>
    <w:rsid w:val="00F12774"/>
    <w:rsid w:val="00F127E3"/>
    <w:rsid w:val="00F128A5"/>
    <w:rsid w:val="00F128DC"/>
    <w:rsid w:val="00F12A5E"/>
    <w:rsid w:val="00F12B2C"/>
    <w:rsid w:val="00F12B3C"/>
    <w:rsid w:val="00F12DCB"/>
    <w:rsid w:val="00F12DF8"/>
    <w:rsid w:val="00F12E83"/>
    <w:rsid w:val="00F12ED5"/>
    <w:rsid w:val="00F12EFE"/>
    <w:rsid w:val="00F12F2C"/>
    <w:rsid w:val="00F12FB0"/>
    <w:rsid w:val="00F13067"/>
    <w:rsid w:val="00F13114"/>
    <w:rsid w:val="00F131F6"/>
    <w:rsid w:val="00F13218"/>
    <w:rsid w:val="00F132F1"/>
    <w:rsid w:val="00F13330"/>
    <w:rsid w:val="00F1335E"/>
    <w:rsid w:val="00F1345C"/>
    <w:rsid w:val="00F13598"/>
    <w:rsid w:val="00F135A7"/>
    <w:rsid w:val="00F1371F"/>
    <w:rsid w:val="00F137DB"/>
    <w:rsid w:val="00F138F1"/>
    <w:rsid w:val="00F139F5"/>
    <w:rsid w:val="00F13AC3"/>
    <w:rsid w:val="00F13B47"/>
    <w:rsid w:val="00F13B86"/>
    <w:rsid w:val="00F13B88"/>
    <w:rsid w:val="00F13B93"/>
    <w:rsid w:val="00F13B96"/>
    <w:rsid w:val="00F13C81"/>
    <w:rsid w:val="00F13D69"/>
    <w:rsid w:val="00F13D6F"/>
    <w:rsid w:val="00F13F91"/>
    <w:rsid w:val="00F140FF"/>
    <w:rsid w:val="00F14175"/>
    <w:rsid w:val="00F141C8"/>
    <w:rsid w:val="00F1424C"/>
    <w:rsid w:val="00F1425C"/>
    <w:rsid w:val="00F1426A"/>
    <w:rsid w:val="00F14322"/>
    <w:rsid w:val="00F143E6"/>
    <w:rsid w:val="00F14477"/>
    <w:rsid w:val="00F144AD"/>
    <w:rsid w:val="00F145B3"/>
    <w:rsid w:val="00F14636"/>
    <w:rsid w:val="00F1463E"/>
    <w:rsid w:val="00F14651"/>
    <w:rsid w:val="00F146A8"/>
    <w:rsid w:val="00F146C0"/>
    <w:rsid w:val="00F1490C"/>
    <w:rsid w:val="00F14AFF"/>
    <w:rsid w:val="00F14B27"/>
    <w:rsid w:val="00F14B5D"/>
    <w:rsid w:val="00F14BA1"/>
    <w:rsid w:val="00F14BA3"/>
    <w:rsid w:val="00F14D6F"/>
    <w:rsid w:val="00F14DC8"/>
    <w:rsid w:val="00F14F9F"/>
    <w:rsid w:val="00F15064"/>
    <w:rsid w:val="00F1506F"/>
    <w:rsid w:val="00F150C4"/>
    <w:rsid w:val="00F15297"/>
    <w:rsid w:val="00F152D6"/>
    <w:rsid w:val="00F154E1"/>
    <w:rsid w:val="00F1554B"/>
    <w:rsid w:val="00F155DF"/>
    <w:rsid w:val="00F156D2"/>
    <w:rsid w:val="00F15807"/>
    <w:rsid w:val="00F158DB"/>
    <w:rsid w:val="00F1593B"/>
    <w:rsid w:val="00F15A06"/>
    <w:rsid w:val="00F15A26"/>
    <w:rsid w:val="00F15D31"/>
    <w:rsid w:val="00F15F89"/>
    <w:rsid w:val="00F16153"/>
    <w:rsid w:val="00F16232"/>
    <w:rsid w:val="00F16297"/>
    <w:rsid w:val="00F162A4"/>
    <w:rsid w:val="00F16378"/>
    <w:rsid w:val="00F1648D"/>
    <w:rsid w:val="00F164FB"/>
    <w:rsid w:val="00F1650F"/>
    <w:rsid w:val="00F16544"/>
    <w:rsid w:val="00F1661A"/>
    <w:rsid w:val="00F1668A"/>
    <w:rsid w:val="00F16811"/>
    <w:rsid w:val="00F1691A"/>
    <w:rsid w:val="00F169F1"/>
    <w:rsid w:val="00F16A0F"/>
    <w:rsid w:val="00F16A4C"/>
    <w:rsid w:val="00F16A6C"/>
    <w:rsid w:val="00F16ADB"/>
    <w:rsid w:val="00F16B75"/>
    <w:rsid w:val="00F16CE7"/>
    <w:rsid w:val="00F16CE8"/>
    <w:rsid w:val="00F16DB7"/>
    <w:rsid w:val="00F16E8B"/>
    <w:rsid w:val="00F16E9F"/>
    <w:rsid w:val="00F16ED6"/>
    <w:rsid w:val="00F16F8F"/>
    <w:rsid w:val="00F16FAC"/>
    <w:rsid w:val="00F16FCD"/>
    <w:rsid w:val="00F170AF"/>
    <w:rsid w:val="00F1714C"/>
    <w:rsid w:val="00F17150"/>
    <w:rsid w:val="00F17184"/>
    <w:rsid w:val="00F171B2"/>
    <w:rsid w:val="00F173A1"/>
    <w:rsid w:val="00F174A6"/>
    <w:rsid w:val="00F1750E"/>
    <w:rsid w:val="00F1750F"/>
    <w:rsid w:val="00F17604"/>
    <w:rsid w:val="00F1765F"/>
    <w:rsid w:val="00F1767D"/>
    <w:rsid w:val="00F176B3"/>
    <w:rsid w:val="00F17766"/>
    <w:rsid w:val="00F17799"/>
    <w:rsid w:val="00F1780F"/>
    <w:rsid w:val="00F178CB"/>
    <w:rsid w:val="00F179B1"/>
    <w:rsid w:val="00F17AA0"/>
    <w:rsid w:val="00F17BFD"/>
    <w:rsid w:val="00F17E8B"/>
    <w:rsid w:val="00F17EA4"/>
    <w:rsid w:val="00F17EB7"/>
    <w:rsid w:val="00F17FAD"/>
    <w:rsid w:val="00F20067"/>
    <w:rsid w:val="00F2019A"/>
    <w:rsid w:val="00F2019B"/>
    <w:rsid w:val="00F201D8"/>
    <w:rsid w:val="00F20254"/>
    <w:rsid w:val="00F202AF"/>
    <w:rsid w:val="00F20339"/>
    <w:rsid w:val="00F20380"/>
    <w:rsid w:val="00F203F1"/>
    <w:rsid w:val="00F20465"/>
    <w:rsid w:val="00F20552"/>
    <w:rsid w:val="00F205E2"/>
    <w:rsid w:val="00F20614"/>
    <w:rsid w:val="00F20778"/>
    <w:rsid w:val="00F207C4"/>
    <w:rsid w:val="00F2088E"/>
    <w:rsid w:val="00F208DB"/>
    <w:rsid w:val="00F20A69"/>
    <w:rsid w:val="00F20A6F"/>
    <w:rsid w:val="00F20B60"/>
    <w:rsid w:val="00F20C10"/>
    <w:rsid w:val="00F20C2B"/>
    <w:rsid w:val="00F20C5B"/>
    <w:rsid w:val="00F20E00"/>
    <w:rsid w:val="00F20F9D"/>
    <w:rsid w:val="00F210CA"/>
    <w:rsid w:val="00F21192"/>
    <w:rsid w:val="00F211EE"/>
    <w:rsid w:val="00F21237"/>
    <w:rsid w:val="00F212A1"/>
    <w:rsid w:val="00F212FD"/>
    <w:rsid w:val="00F2131F"/>
    <w:rsid w:val="00F2139F"/>
    <w:rsid w:val="00F213E4"/>
    <w:rsid w:val="00F214A6"/>
    <w:rsid w:val="00F214C9"/>
    <w:rsid w:val="00F21591"/>
    <w:rsid w:val="00F2163D"/>
    <w:rsid w:val="00F2163F"/>
    <w:rsid w:val="00F21651"/>
    <w:rsid w:val="00F21729"/>
    <w:rsid w:val="00F2179C"/>
    <w:rsid w:val="00F2179E"/>
    <w:rsid w:val="00F217A3"/>
    <w:rsid w:val="00F218D1"/>
    <w:rsid w:val="00F21B0B"/>
    <w:rsid w:val="00F21B27"/>
    <w:rsid w:val="00F21BCB"/>
    <w:rsid w:val="00F21BED"/>
    <w:rsid w:val="00F21CB7"/>
    <w:rsid w:val="00F21D9F"/>
    <w:rsid w:val="00F21E13"/>
    <w:rsid w:val="00F21E5C"/>
    <w:rsid w:val="00F21FCE"/>
    <w:rsid w:val="00F22055"/>
    <w:rsid w:val="00F22186"/>
    <w:rsid w:val="00F2225D"/>
    <w:rsid w:val="00F22268"/>
    <w:rsid w:val="00F2231C"/>
    <w:rsid w:val="00F22481"/>
    <w:rsid w:val="00F224AF"/>
    <w:rsid w:val="00F2256F"/>
    <w:rsid w:val="00F22619"/>
    <w:rsid w:val="00F2263C"/>
    <w:rsid w:val="00F2265D"/>
    <w:rsid w:val="00F22776"/>
    <w:rsid w:val="00F22820"/>
    <w:rsid w:val="00F2287C"/>
    <w:rsid w:val="00F22944"/>
    <w:rsid w:val="00F22A5E"/>
    <w:rsid w:val="00F22A6D"/>
    <w:rsid w:val="00F22AD5"/>
    <w:rsid w:val="00F22B77"/>
    <w:rsid w:val="00F22C6F"/>
    <w:rsid w:val="00F22CE0"/>
    <w:rsid w:val="00F22E47"/>
    <w:rsid w:val="00F22E64"/>
    <w:rsid w:val="00F22EA0"/>
    <w:rsid w:val="00F22F08"/>
    <w:rsid w:val="00F22FE7"/>
    <w:rsid w:val="00F23082"/>
    <w:rsid w:val="00F23090"/>
    <w:rsid w:val="00F23115"/>
    <w:rsid w:val="00F23261"/>
    <w:rsid w:val="00F23284"/>
    <w:rsid w:val="00F232AB"/>
    <w:rsid w:val="00F232CF"/>
    <w:rsid w:val="00F2332B"/>
    <w:rsid w:val="00F2348C"/>
    <w:rsid w:val="00F23494"/>
    <w:rsid w:val="00F234D7"/>
    <w:rsid w:val="00F234D8"/>
    <w:rsid w:val="00F23527"/>
    <w:rsid w:val="00F235E2"/>
    <w:rsid w:val="00F23619"/>
    <w:rsid w:val="00F236A9"/>
    <w:rsid w:val="00F2373F"/>
    <w:rsid w:val="00F237A7"/>
    <w:rsid w:val="00F238CF"/>
    <w:rsid w:val="00F2393B"/>
    <w:rsid w:val="00F239CB"/>
    <w:rsid w:val="00F23A6F"/>
    <w:rsid w:val="00F23B4C"/>
    <w:rsid w:val="00F23B9D"/>
    <w:rsid w:val="00F23C15"/>
    <w:rsid w:val="00F23C3D"/>
    <w:rsid w:val="00F23CC4"/>
    <w:rsid w:val="00F23D55"/>
    <w:rsid w:val="00F23DDD"/>
    <w:rsid w:val="00F23F99"/>
    <w:rsid w:val="00F24009"/>
    <w:rsid w:val="00F240D4"/>
    <w:rsid w:val="00F24115"/>
    <w:rsid w:val="00F24264"/>
    <w:rsid w:val="00F24307"/>
    <w:rsid w:val="00F2435D"/>
    <w:rsid w:val="00F24506"/>
    <w:rsid w:val="00F2458A"/>
    <w:rsid w:val="00F2461D"/>
    <w:rsid w:val="00F246DC"/>
    <w:rsid w:val="00F247CC"/>
    <w:rsid w:val="00F24829"/>
    <w:rsid w:val="00F24853"/>
    <w:rsid w:val="00F24858"/>
    <w:rsid w:val="00F249D2"/>
    <w:rsid w:val="00F24A70"/>
    <w:rsid w:val="00F24AD1"/>
    <w:rsid w:val="00F24C42"/>
    <w:rsid w:val="00F24D59"/>
    <w:rsid w:val="00F24D9A"/>
    <w:rsid w:val="00F24DA9"/>
    <w:rsid w:val="00F24E7F"/>
    <w:rsid w:val="00F24F7D"/>
    <w:rsid w:val="00F24F93"/>
    <w:rsid w:val="00F24FE0"/>
    <w:rsid w:val="00F25126"/>
    <w:rsid w:val="00F2514D"/>
    <w:rsid w:val="00F25156"/>
    <w:rsid w:val="00F2515A"/>
    <w:rsid w:val="00F25163"/>
    <w:rsid w:val="00F25180"/>
    <w:rsid w:val="00F251C1"/>
    <w:rsid w:val="00F251E6"/>
    <w:rsid w:val="00F25201"/>
    <w:rsid w:val="00F25411"/>
    <w:rsid w:val="00F254B3"/>
    <w:rsid w:val="00F255F8"/>
    <w:rsid w:val="00F2579A"/>
    <w:rsid w:val="00F25B39"/>
    <w:rsid w:val="00F25B96"/>
    <w:rsid w:val="00F25BB9"/>
    <w:rsid w:val="00F25C91"/>
    <w:rsid w:val="00F25E4A"/>
    <w:rsid w:val="00F25EDE"/>
    <w:rsid w:val="00F25F1D"/>
    <w:rsid w:val="00F25FB1"/>
    <w:rsid w:val="00F2602C"/>
    <w:rsid w:val="00F260B4"/>
    <w:rsid w:val="00F260DC"/>
    <w:rsid w:val="00F26176"/>
    <w:rsid w:val="00F261CD"/>
    <w:rsid w:val="00F261F8"/>
    <w:rsid w:val="00F26215"/>
    <w:rsid w:val="00F26253"/>
    <w:rsid w:val="00F26483"/>
    <w:rsid w:val="00F26607"/>
    <w:rsid w:val="00F2664A"/>
    <w:rsid w:val="00F26689"/>
    <w:rsid w:val="00F26715"/>
    <w:rsid w:val="00F26924"/>
    <w:rsid w:val="00F2696F"/>
    <w:rsid w:val="00F26A2A"/>
    <w:rsid w:val="00F26A37"/>
    <w:rsid w:val="00F26AD4"/>
    <w:rsid w:val="00F26BC3"/>
    <w:rsid w:val="00F26BFF"/>
    <w:rsid w:val="00F26C03"/>
    <w:rsid w:val="00F26CBE"/>
    <w:rsid w:val="00F26CC4"/>
    <w:rsid w:val="00F26D1F"/>
    <w:rsid w:val="00F26D42"/>
    <w:rsid w:val="00F26D64"/>
    <w:rsid w:val="00F26EB1"/>
    <w:rsid w:val="00F26F01"/>
    <w:rsid w:val="00F27183"/>
    <w:rsid w:val="00F27193"/>
    <w:rsid w:val="00F2745C"/>
    <w:rsid w:val="00F27527"/>
    <w:rsid w:val="00F2757E"/>
    <w:rsid w:val="00F2759F"/>
    <w:rsid w:val="00F27838"/>
    <w:rsid w:val="00F2788B"/>
    <w:rsid w:val="00F278C0"/>
    <w:rsid w:val="00F27930"/>
    <w:rsid w:val="00F279BD"/>
    <w:rsid w:val="00F27A10"/>
    <w:rsid w:val="00F27ADE"/>
    <w:rsid w:val="00F27C25"/>
    <w:rsid w:val="00F27C59"/>
    <w:rsid w:val="00F27C99"/>
    <w:rsid w:val="00F27CBF"/>
    <w:rsid w:val="00F27CD2"/>
    <w:rsid w:val="00F27D24"/>
    <w:rsid w:val="00F27D98"/>
    <w:rsid w:val="00F27E6F"/>
    <w:rsid w:val="00F27FED"/>
    <w:rsid w:val="00F3007C"/>
    <w:rsid w:val="00F301F5"/>
    <w:rsid w:val="00F3037C"/>
    <w:rsid w:val="00F3042A"/>
    <w:rsid w:val="00F306F4"/>
    <w:rsid w:val="00F308BB"/>
    <w:rsid w:val="00F308F8"/>
    <w:rsid w:val="00F3096A"/>
    <w:rsid w:val="00F30A0E"/>
    <w:rsid w:val="00F30ADB"/>
    <w:rsid w:val="00F30B39"/>
    <w:rsid w:val="00F30BF9"/>
    <w:rsid w:val="00F30C02"/>
    <w:rsid w:val="00F30C1B"/>
    <w:rsid w:val="00F30CAE"/>
    <w:rsid w:val="00F30DBD"/>
    <w:rsid w:val="00F30E18"/>
    <w:rsid w:val="00F30EE5"/>
    <w:rsid w:val="00F30EE7"/>
    <w:rsid w:val="00F30FA6"/>
    <w:rsid w:val="00F30FDA"/>
    <w:rsid w:val="00F31016"/>
    <w:rsid w:val="00F31025"/>
    <w:rsid w:val="00F3103D"/>
    <w:rsid w:val="00F310F2"/>
    <w:rsid w:val="00F31276"/>
    <w:rsid w:val="00F31384"/>
    <w:rsid w:val="00F314AE"/>
    <w:rsid w:val="00F315A8"/>
    <w:rsid w:val="00F31617"/>
    <w:rsid w:val="00F31633"/>
    <w:rsid w:val="00F31672"/>
    <w:rsid w:val="00F316B9"/>
    <w:rsid w:val="00F31717"/>
    <w:rsid w:val="00F3173C"/>
    <w:rsid w:val="00F3176B"/>
    <w:rsid w:val="00F3179D"/>
    <w:rsid w:val="00F317F9"/>
    <w:rsid w:val="00F31931"/>
    <w:rsid w:val="00F319DE"/>
    <w:rsid w:val="00F31A15"/>
    <w:rsid w:val="00F31A36"/>
    <w:rsid w:val="00F31A65"/>
    <w:rsid w:val="00F31B18"/>
    <w:rsid w:val="00F31B1E"/>
    <w:rsid w:val="00F31C66"/>
    <w:rsid w:val="00F31E4C"/>
    <w:rsid w:val="00F31E7B"/>
    <w:rsid w:val="00F31FE0"/>
    <w:rsid w:val="00F32027"/>
    <w:rsid w:val="00F3208C"/>
    <w:rsid w:val="00F320B9"/>
    <w:rsid w:val="00F320F7"/>
    <w:rsid w:val="00F3210F"/>
    <w:rsid w:val="00F32131"/>
    <w:rsid w:val="00F32161"/>
    <w:rsid w:val="00F321BA"/>
    <w:rsid w:val="00F321F9"/>
    <w:rsid w:val="00F32258"/>
    <w:rsid w:val="00F3230B"/>
    <w:rsid w:val="00F32315"/>
    <w:rsid w:val="00F32320"/>
    <w:rsid w:val="00F3234A"/>
    <w:rsid w:val="00F3241F"/>
    <w:rsid w:val="00F32431"/>
    <w:rsid w:val="00F32490"/>
    <w:rsid w:val="00F3262F"/>
    <w:rsid w:val="00F32771"/>
    <w:rsid w:val="00F327A5"/>
    <w:rsid w:val="00F327AC"/>
    <w:rsid w:val="00F32952"/>
    <w:rsid w:val="00F329D4"/>
    <w:rsid w:val="00F32A65"/>
    <w:rsid w:val="00F32A7B"/>
    <w:rsid w:val="00F32B4E"/>
    <w:rsid w:val="00F32C9E"/>
    <w:rsid w:val="00F32CD6"/>
    <w:rsid w:val="00F32F68"/>
    <w:rsid w:val="00F32FD9"/>
    <w:rsid w:val="00F32FF4"/>
    <w:rsid w:val="00F331D3"/>
    <w:rsid w:val="00F3322E"/>
    <w:rsid w:val="00F3325B"/>
    <w:rsid w:val="00F33297"/>
    <w:rsid w:val="00F332E4"/>
    <w:rsid w:val="00F3340E"/>
    <w:rsid w:val="00F33419"/>
    <w:rsid w:val="00F335A5"/>
    <w:rsid w:val="00F33889"/>
    <w:rsid w:val="00F338F9"/>
    <w:rsid w:val="00F33916"/>
    <w:rsid w:val="00F3393E"/>
    <w:rsid w:val="00F33BDF"/>
    <w:rsid w:val="00F33C1D"/>
    <w:rsid w:val="00F33C9E"/>
    <w:rsid w:val="00F33D13"/>
    <w:rsid w:val="00F33DC8"/>
    <w:rsid w:val="00F33E75"/>
    <w:rsid w:val="00F33F2F"/>
    <w:rsid w:val="00F34069"/>
    <w:rsid w:val="00F34106"/>
    <w:rsid w:val="00F34110"/>
    <w:rsid w:val="00F341C1"/>
    <w:rsid w:val="00F341DE"/>
    <w:rsid w:val="00F343F8"/>
    <w:rsid w:val="00F34622"/>
    <w:rsid w:val="00F34630"/>
    <w:rsid w:val="00F34667"/>
    <w:rsid w:val="00F34686"/>
    <w:rsid w:val="00F347DA"/>
    <w:rsid w:val="00F3488B"/>
    <w:rsid w:val="00F34B99"/>
    <w:rsid w:val="00F34BD9"/>
    <w:rsid w:val="00F34BE8"/>
    <w:rsid w:val="00F34D5E"/>
    <w:rsid w:val="00F34ED6"/>
    <w:rsid w:val="00F35128"/>
    <w:rsid w:val="00F351A7"/>
    <w:rsid w:val="00F35224"/>
    <w:rsid w:val="00F3532F"/>
    <w:rsid w:val="00F35421"/>
    <w:rsid w:val="00F3544C"/>
    <w:rsid w:val="00F35490"/>
    <w:rsid w:val="00F354AB"/>
    <w:rsid w:val="00F354ED"/>
    <w:rsid w:val="00F35545"/>
    <w:rsid w:val="00F355AE"/>
    <w:rsid w:val="00F355D0"/>
    <w:rsid w:val="00F358DE"/>
    <w:rsid w:val="00F35ADE"/>
    <w:rsid w:val="00F35B5F"/>
    <w:rsid w:val="00F35CE9"/>
    <w:rsid w:val="00F35D0A"/>
    <w:rsid w:val="00F35FA6"/>
    <w:rsid w:val="00F35FD2"/>
    <w:rsid w:val="00F36037"/>
    <w:rsid w:val="00F36067"/>
    <w:rsid w:val="00F36097"/>
    <w:rsid w:val="00F3615A"/>
    <w:rsid w:val="00F36208"/>
    <w:rsid w:val="00F36246"/>
    <w:rsid w:val="00F36282"/>
    <w:rsid w:val="00F3628F"/>
    <w:rsid w:val="00F362D1"/>
    <w:rsid w:val="00F36358"/>
    <w:rsid w:val="00F3637D"/>
    <w:rsid w:val="00F363F0"/>
    <w:rsid w:val="00F36477"/>
    <w:rsid w:val="00F3647D"/>
    <w:rsid w:val="00F36515"/>
    <w:rsid w:val="00F3668D"/>
    <w:rsid w:val="00F368C9"/>
    <w:rsid w:val="00F36919"/>
    <w:rsid w:val="00F36A7E"/>
    <w:rsid w:val="00F36AFE"/>
    <w:rsid w:val="00F36BEC"/>
    <w:rsid w:val="00F36CC6"/>
    <w:rsid w:val="00F36CF7"/>
    <w:rsid w:val="00F36E28"/>
    <w:rsid w:val="00F36E4B"/>
    <w:rsid w:val="00F36EF3"/>
    <w:rsid w:val="00F36F26"/>
    <w:rsid w:val="00F36F71"/>
    <w:rsid w:val="00F36FB9"/>
    <w:rsid w:val="00F370A0"/>
    <w:rsid w:val="00F370E8"/>
    <w:rsid w:val="00F370EE"/>
    <w:rsid w:val="00F3721A"/>
    <w:rsid w:val="00F37260"/>
    <w:rsid w:val="00F37342"/>
    <w:rsid w:val="00F3734C"/>
    <w:rsid w:val="00F37369"/>
    <w:rsid w:val="00F37396"/>
    <w:rsid w:val="00F3744C"/>
    <w:rsid w:val="00F374B7"/>
    <w:rsid w:val="00F374DA"/>
    <w:rsid w:val="00F3753A"/>
    <w:rsid w:val="00F375AC"/>
    <w:rsid w:val="00F375E0"/>
    <w:rsid w:val="00F375F7"/>
    <w:rsid w:val="00F37621"/>
    <w:rsid w:val="00F376A4"/>
    <w:rsid w:val="00F376BC"/>
    <w:rsid w:val="00F37741"/>
    <w:rsid w:val="00F377E1"/>
    <w:rsid w:val="00F37854"/>
    <w:rsid w:val="00F378A9"/>
    <w:rsid w:val="00F378FE"/>
    <w:rsid w:val="00F379E1"/>
    <w:rsid w:val="00F37BE8"/>
    <w:rsid w:val="00F37BFB"/>
    <w:rsid w:val="00F37C5E"/>
    <w:rsid w:val="00F37D83"/>
    <w:rsid w:val="00F37D86"/>
    <w:rsid w:val="00F37D95"/>
    <w:rsid w:val="00F37DD3"/>
    <w:rsid w:val="00F37DFB"/>
    <w:rsid w:val="00F37EAD"/>
    <w:rsid w:val="00F37F94"/>
    <w:rsid w:val="00F37FBA"/>
    <w:rsid w:val="00F40146"/>
    <w:rsid w:val="00F40186"/>
    <w:rsid w:val="00F40226"/>
    <w:rsid w:val="00F4030A"/>
    <w:rsid w:val="00F403F4"/>
    <w:rsid w:val="00F40479"/>
    <w:rsid w:val="00F404DB"/>
    <w:rsid w:val="00F40595"/>
    <w:rsid w:val="00F4061B"/>
    <w:rsid w:val="00F4065B"/>
    <w:rsid w:val="00F406CE"/>
    <w:rsid w:val="00F4071F"/>
    <w:rsid w:val="00F40741"/>
    <w:rsid w:val="00F407BA"/>
    <w:rsid w:val="00F407E9"/>
    <w:rsid w:val="00F408FF"/>
    <w:rsid w:val="00F40989"/>
    <w:rsid w:val="00F409B5"/>
    <w:rsid w:val="00F40C25"/>
    <w:rsid w:val="00F40C8D"/>
    <w:rsid w:val="00F40CCC"/>
    <w:rsid w:val="00F40CED"/>
    <w:rsid w:val="00F40E7E"/>
    <w:rsid w:val="00F40F29"/>
    <w:rsid w:val="00F40FB1"/>
    <w:rsid w:val="00F40FB8"/>
    <w:rsid w:val="00F40FF8"/>
    <w:rsid w:val="00F41016"/>
    <w:rsid w:val="00F411D7"/>
    <w:rsid w:val="00F41370"/>
    <w:rsid w:val="00F41385"/>
    <w:rsid w:val="00F414A6"/>
    <w:rsid w:val="00F41527"/>
    <w:rsid w:val="00F415F7"/>
    <w:rsid w:val="00F415FF"/>
    <w:rsid w:val="00F4165A"/>
    <w:rsid w:val="00F41670"/>
    <w:rsid w:val="00F4170D"/>
    <w:rsid w:val="00F41934"/>
    <w:rsid w:val="00F41AB1"/>
    <w:rsid w:val="00F41BEB"/>
    <w:rsid w:val="00F41C05"/>
    <w:rsid w:val="00F41CA9"/>
    <w:rsid w:val="00F41D9B"/>
    <w:rsid w:val="00F41E34"/>
    <w:rsid w:val="00F41EA1"/>
    <w:rsid w:val="00F41EBE"/>
    <w:rsid w:val="00F41F16"/>
    <w:rsid w:val="00F41F42"/>
    <w:rsid w:val="00F41FFF"/>
    <w:rsid w:val="00F42195"/>
    <w:rsid w:val="00F4227A"/>
    <w:rsid w:val="00F422A7"/>
    <w:rsid w:val="00F422D9"/>
    <w:rsid w:val="00F422E7"/>
    <w:rsid w:val="00F42353"/>
    <w:rsid w:val="00F423B8"/>
    <w:rsid w:val="00F42425"/>
    <w:rsid w:val="00F42448"/>
    <w:rsid w:val="00F424C9"/>
    <w:rsid w:val="00F42663"/>
    <w:rsid w:val="00F426AD"/>
    <w:rsid w:val="00F42738"/>
    <w:rsid w:val="00F427C5"/>
    <w:rsid w:val="00F42824"/>
    <w:rsid w:val="00F42872"/>
    <w:rsid w:val="00F428B7"/>
    <w:rsid w:val="00F428FB"/>
    <w:rsid w:val="00F42A3A"/>
    <w:rsid w:val="00F42B0B"/>
    <w:rsid w:val="00F42B0F"/>
    <w:rsid w:val="00F42B1D"/>
    <w:rsid w:val="00F42CA6"/>
    <w:rsid w:val="00F42CAE"/>
    <w:rsid w:val="00F42D70"/>
    <w:rsid w:val="00F42D76"/>
    <w:rsid w:val="00F42DF2"/>
    <w:rsid w:val="00F42E0C"/>
    <w:rsid w:val="00F42EE1"/>
    <w:rsid w:val="00F42F28"/>
    <w:rsid w:val="00F42FDE"/>
    <w:rsid w:val="00F43100"/>
    <w:rsid w:val="00F43179"/>
    <w:rsid w:val="00F43212"/>
    <w:rsid w:val="00F433B1"/>
    <w:rsid w:val="00F433F4"/>
    <w:rsid w:val="00F433FE"/>
    <w:rsid w:val="00F43401"/>
    <w:rsid w:val="00F4340A"/>
    <w:rsid w:val="00F4345C"/>
    <w:rsid w:val="00F43533"/>
    <w:rsid w:val="00F43580"/>
    <w:rsid w:val="00F435AF"/>
    <w:rsid w:val="00F43706"/>
    <w:rsid w:val="00F43834"/>
    <w:rsid w:val="00F438C1"/>
    <w:rsid w:val="00F43940"/>
    <w:rsid w:val="00F439B4"/>
    <w:rsid w:val="00F43ACD"/>
    <w:rsid w:val="00F43B84"/>
    <w:rsid w:val="00F43C75"/>
    <w:rsid w:val="00F43D3A"/>
    <w:rsid w:val="00F43E7B"/>
    <w:rsid w:val="00F43F20"/>
    <w:rsid w:val="00F43F2D"/>
    <w:rsid w:val="00F4403A"/>
    <w:rsid w:val="00F44293"/>
    <w:rsid w:val="00F442B8"/>
    <w:rsid w:val="00F44338"/>
    <w:rsid w:val="00F443F5"/>
    <w:rsid w:val="00F443FB"/>
    <w:rsid w:val="00F446B0"/>
    <w:rsid w:val="00F446E1"/>
    <w:rsid w:val="00F4477A"/>
    <w:rsid w:val="00F44783"/>
    <w:rsid w:val="00F44802"/>
    <w:rsid w:val="00F448EE"/>
    <w:rsid w:val="00F4490B"/>
    <w:rsid w:val="00F44977"/>
    <w:rsid w:val="00F449CE"/>
    <w:rsid w:val="00F44A3E"/>
    <w:rsid w:val="00F44A76"/>
    <w:rsid w:val="00F44B54"/>
    <w:rsid w:val="00F44C94"/>
    <w:rsid w:val="00F44E06"/>
    <w:rsid w:val="00F44EB9"/>
    <w:rsid w:val="00F44FDA"/>
    <w:rsid w:val="00F45034"/>
    <w:rsid w:val="00F45061"/>
    <w:rsid w:val="00F4506F"/>
    <w:rsid w:val="00F450C8"/>
    <w:rsid w:val="00F450CA"/>
    <w:rsid w:val="00F45136"/>
    <w:rsid w:val="00F4518C"/>
    <w:rsid w:val="00F451B3"/>
    <w:rsid w:val="00F4531B"/>
    <w:rsid w:val="00F45415"/>
    <w:rsid w:val="00F454C5"/>
    <w:rsid w:val="00F455D0"/>
    <w:rsid w:val="00F455F6"/>
    <w:rsid w:val="00F45619"/>
    <w:rsid w:val="00F456FA"/>
    <w:rsid w:val="00F4579E"/>
    <w:rsid w:val="00F4581D"/>
    <w:rsid w:val="00F45846"/>
    <w:rsid w:val="00F458E4"/>
    <w:rsid w:val="00F45944"/>
    <w:rsid w:val="00F45A47"/>
    <w:rsid w:val="00F45A72"/>
    <w:rsid w:val="00F45A88"/>
    <w:rsid w:val="00F45B0A"/>
    <w:rsid w:val="00F45C3D"/>
    <w:rsid w:val="00F45CFD"/>
    <w:rsid w:val="00F45D04"/>
    <w:rsid w:val="00F45E1B"/>
    <w:rsid w:val="00F45E6C"/>
    <w:rsid w:val="00F45E90"/>
    <w:rsid w:val="00F45EF5"/>
    <w:rsid w:val="00F45F14"/>
    <w:rsid w:val="00F45F1E"/>
    <w:rsid w:val="00F45FE8"/>
    <w:rsid w:val="00F46056"/>
    <w:rsid w:val="00F46225"/>
    <w:rsid w:val="00F46249"/>
    <w:rsid w:val="00F462BD"/>
    <w:rsid w:val="00F462DE"/>
    <w:rsid w:val="00F46361"/>
    <w:rsid w:val="00F46386"/>
    <w:rsid w:val="00F463EE"/>
    <w:rsid w:val="00F463EF"/>
    <w:rsid w:val="00F4649A"/>
    <w:rsid w:val="00F46546"/>
    <w:rsid w:val="00F46612"/>
    <w:rsid w:val="00F46756"/>
    <w:rsid w:val="00F467C8"/>
    <w:rsid w:val="00F4686A"/>
    <w:rsid w:val="00F469E2"/>
    <w:rsid w:val="00F46B5F"/>
    <w:rsid w:val="00F46B72"/>
    <w:rsid w:val="00F46BC8"/>
    <w:rsid w:val="00F46D14"/>
    <w:rsid w:val="00F46D1B"/>
    <w:rsid w:val="00F46E57"/>
    <w:rsid w:val="00F46F50"/>
    <w:rsid w:val="00F46F8C"/>
    <w:rsid w:val="00F46FC9"/>
    <w:rsid w:val="00F46FDA"/>
    <w:rsid w:val="00F47031"/>
    <w:rsid w:val="00F4706E"/>
    <w:rsid w:val="00F470C8"/>
    <w:rsid w:val="00F471A2"/>
    <w:rsid w:val="00F471D2"/>
    <w:rsid w:val="00F471D6"/>
    <w:rsid w:val="00F471EE"/>
    <w:rsid w:val="00F47202"/>
    <w:rsid w:val="00F47247"/>
    <w:rsid w:val="00F472AD"/>
    <w:rsid w:val="00F4733E"/>
    <w:rsid w:val="00F473CA"/>
    <w:rsid w:val="00F47455"/>
    <w:rsid w:val="00F474CE"/>
    <w:rsid w:val="00F47515"/>
    <w:rsid w:val="00F4751B"/>
    <w:rsid w:val="00F47551"/>
    <w:rsid w:val="00F47622"/>
    <w:rsid w:val="00F4765E"/>
    <w:rsid w:val="00F476B8"/>
    <w:rsid w:val="00F476FE"/>
    <w:rsid w:val="00F47707"/>
    <w:rsid w:val="00F477F8"/>
    <w:rsid w:val="00F4785B"/>
    <w:rsid w:val="00F47885"/>
    <w:rsid w:val="00F478B8"/>
    <w:rsid w:val="00F4793C"/>
    <w:rsid w:val="00F47942"/>
    <w:rsid w:val="00F47955"/>
    <w:rsid w:val="00F479C3"/>
    <w:rsid w:val="00F47A4E"/>
    <w:rsid w:val="00F47AA8"/>
    <w:rsid w:val="00F47ABE"/>
    <w:rsid w:val="00F47B20"/>
    <w:rsid w:val="00F47B62"/>
    <w:rsid w:val="00F47C06"/>
    <w:rsid w:val="00F47C14"/>
    <w:rsid w:val="00F47C45"/>
    <w:rsid w:val="00F47C5E"/>
    <w:rsid w:val="00F47D23"/>
    <w:rsid w:val="00F47E31"/>
    <w:rsid w:val="00F47EE2"/>
    <w:rsid w:val="00F47F5D"/>
    <w:rsid w:val="00F50286"/>
    <w:rsid w:val="00F50289"/>
    <w:rsid w:val="00F505D8"/>
    <w:rsid w:val="00F505E2"/>
    <w:rsid w:val="00F5065C"/>
    <w:rsid w:val="00F5072A"/>
    <w:rsid w:val="00F507DE"/>
    <w:rsid w:val="00F508D2"/>
    <w:rsid w:val="00F50A10"/>
    <w:rsid w:val="00F50A36"/>
    <w:rsid w:val="00F50BEC"/>
    <w:rsid w:val="00F50C4A"/>
    <w:rsid w:val="00F50C9D"/>
    <w:rsid w:val="00F50D92"/>
    <w:rsid w:val="00F50EE3"/>
    <w:rsid w:val="00F50FDA"/>
    <w:rsid w:val="00F5101E"/>
    <w:rsid w:val="00F51142"/>
    <w:rsid w:val="00F511DF"/>
    <w:rsid w:val="00F5120F"/>
    <w:rsid w:val="00F513E2"/>
    <w:rsid w:val="00F514D0"/>
    <w:rsid w:val="00F51657"/>
    <w:rsid w:val="00F516B7"/>
    <w:rsid w:val="00F516D6"/>
    <w:rsid w:val="00F51717"/>
    <w:rsid w:val="00F51747"/>
    <w:rsid w:val="00F51862"/>
    <w:rsid w:val="00F518B1"/>
    <w:rsid w:val="00F51AC8"/>
    <w:rsid w:val="00F51AE9"/>
    <w:rsid w:val="00F51B84"/>
    <w:rsid w:val="00F51D18"/>
    <w:rsid w:val="00F51D7A"/>
    <w:rsid w:val="00F51D87"/>
    <w:rsid w:val="00F51E06"/>
    <w:rsid w:val="00F51EF5"/>
    <w:rsid w:val="00F52084"/>
    <w:rsid w:val="00F52091"/>
    <w:rsid w:val="00F520DE"/>
    <w:rsid w:val="00F52109"/>
    <w:rsid w:val="00F5210E"/>
    <w:rsid w:val="00F52227"/>
    <w:rsid w:val="00F52262"/>
    <w:rsid w:val="00F52484"/>
    <w:rsid w:val="00F524CA"/>
    <w:rsid w:val="00F524CC"/>
    <w:rsid w:val="00F524DC"/>
    <w:rsid w:val="00F524FF"/>
    <w:rsid w:val="00F525B0"/>
    <w:rsid w:val="00F52682"/>
    <w:rsid w:val="00F5269F"/>
    <w:rsid w:val="00F526D6"/>
    <w:rsid w:val="00F52732"/>
    <w:rsid w:val="00F528CF"/>
    <w:rsid w:val="00F528D4"/>
    <w:rsid w:val="00F52954"/>
    <w:rsid w:val="00F52A94"/>
    <w:rsid w:val="00F52B84"/>
    <w:rsid w:val="00F52D15"/>
    <w:rsid w:val="00F52D51"/>
    <w:rsid w:val="00F52D9E"/>
    <w:rsid w:val="00F52E5C"/>
    <w:rsid w:val="00F52E5E"/>
    <w:rsid w:val="00F52EC3"/>
    <w:rsid w:val="00F52EFA"/>
    <w:rsid w:val="00F52F28"/>
    <w:rsid w:val="00F52F74"/>
    <w:rsid w:val="00F53062"/>
    <w:rsid w:val="00F5313C"/>
    <w:rsid w:val="00F5322A"/>
    <w:rsid w:val="00F532C1"/>
    <w:rsid w:val="00F532E9"/>
    <w:rsid w:val="00F5331F"/>
    <w:rsid w:val="00F533AB"/>
    <w:rsid w:val="00F5343B"/>
    <w:rsid w:val="00F53461"/>
    <w:rsid w:val="00F53520"/>
    <w:rsid w:val="00F53570"/>
    <w:rsid w:val="00F53612"/>
    <w:rsid w:val="00F53683"/>
    <w:rsid w:val="00F5369A"/>
    <w:rsid w:val="00F53715"/>
    <w:rsid w:val="00F537AF"/>
    <w:rsid w:val="00F538B6"/>
    <w:rsid w:val="00F5392C"/>
    <w:rsid w:val="00F53B4A"/>
    <w:rsid w:val="00F53CCA"/>
    <w:rsid w:val="00F53D5B"/>
    <w:rsid w:val="00F53E7F"/>
    <w:rsid w:val="00F53F45"/>
    <w:rsid w:val="00F5401F"/>
    <w:rsid w:val="00F5403E"/>
    <w:rsid w:val="00F54054"/>
    <w:rsid w:val="00F5414B"/>
    <w:rsid w:val="00F5416E"/>
    <w:rsid w:val="00F54206"/>
    <w:rsid w:val="00F5429D"/>
    <w:rsid w:val="00F542BF"/>
    <w:rsid w:val="00F542FC"/>
    <w:rsid w:val="00F54395"/>
    <w:rsid w:val="00F5439E"/>
    <w:rsid w:val="00F544D4"/>
    <w:rsid w:val="00F54565"/>
    <w:rsid w:val="00F54597"/>
    <w:rsid w:val="00F545CD"/>
    <w:rsid w:val="00F5469B"/>
    <w:rsid w:val="00F546F5"/>
    <w:rsid w:val="00F54740"/>
    <w:rsid w:val="00F54759"/>
    <w:rsid w:val="00F547D9"/>
    <w:rsid w:val="00F54831"/>
    <w:rsid w:val="00F5484D"/>
    <w:rsid w:val="00F548B8"/>
    <w:rsid w:val="00F548C7"/>
    <w:rsid w:val="00F548CB"/>
    <w:rsid w:val="00F54948"/>
    <w:rsid w:val="00F54960"/>
    <w:rsid w:val="00F549AA"/>
    <w:rsid w:val="00F54A17"/>
    <w:rsid w:val="00F54C26"/>
    <w:rsid w:val="00F54D4A"/>
    <w:rsid w:val="00F54DD6"/>
    <w:rsid w:val="00F54EEB"/>
    <w:rsid w:val="00F54FA2"/>
    <w:rsid w:val="00F5518A"/>
    <w:rsid w:val="00F552C4"/>
    <w:rsid w:val="00F55345"/>
    <w:rsid w:val="00F55384"/>
    <w:rsid w:val="00F5551B"/>
    <w:rsid w:val="00F556BB"/>
    <w:rsid w:val="00F5575D"/>
    <w:rsid w:val="00F557B5"/>
    <w:rsid w:val="00F557E8"/>
    <w:rsid w:val="00F55852"/>
    <w:rsid w:val="00F558EC"/>
    <w:rsid w:val="00F559D9"/>
    <w:rsid w:val="00F55ABC"/>
    <w:rsid w:val="00F55B64"/>
    <w:rsid w:val="00F55BF6"/>
    <w:rsid w:val="00F55D11"/>
    <w:rsid w:val="00F55E2C"/>
    <w:rsid w:val="00F55EB8"/>
    <w:rsid w:val="00F55F31"/>
    <w:rsid w:val="00F56011"/>
    <w:rsid w:val="00F56054"/>
    <w:rsid w:val="00F5608C"/>
    <w:rsid w:val="00F560DB"/>
    <w:rsid w:val="00F5617F"/>
    <w:rsid w:val="00F561F0"/>
    <w:rsid w:val="00F56300"/>
    <w:rsid w:val="00F5636E"/>
    <w:rsid w:val="00F56392"/>
    <w:rsid w:val="00F5644F"/>
    <w:rsid w:val="00F5655B"/>
    <w:rsid w:val="00F56595"/>
    <w:rsid w:val="00F56619"/>
    <w:rsid w:val="00F56632"/>
    <w:rsid w:val="00F567A3"/>
    <w:rsid w:val="00F5683A"/>
    <w:rsid w:val="00F56AC7"/>
    <w:rsid w:val="00F56BF6"/>
    <w:rsid w:val="00F56BFE"/>
    <w:rsid w:val="00F56C50"/>
    <w:rsid w:val="00F56C7C"/>
    <w:rsid w:val="00F56CA3"/>
    <w:rsid w:val="00F56D0D"/>
    <w:rsid w:val="00F56D93"/>
    <w:rsid w:val="00F56DEA"/>
    <w:rsid w:val="00F56E3C"/>
    <w:rsid w:val="00F56E41"/>
    <w:rsid w:val="00F56EB8"/>
    <w:rsid w:val="00F56ED7"/>
    <w:rsid w:val="00F57006"/>
    <w:rsid w:val="00F571F5"/>
    <w:rsid w:val="00F572CC"/>
    <w:rsid w:val="00F5730C"/>
    <w:rsid w:val="00F57454"/>
    <w:rsid w:val="00F5757E"/>
    <w:rsid w:val="00F5758A"/>
    <w:rsid w:val="00F5766F"/>
    <w:rsid w:val="00F576D0"/>
    <w:rsid w:val="00F577B7"/>
    <w:rsid w:val="00F5780B"/>
    <w:rsid w:val="00F57906"/>
    <w:rsid w:val="00F57930"/>
    <w:rsid w:val="00F57A25"/>
    <w:rsid w:val="00F57A3D"/>
    <w:rsid w:val="00F57A56"/>
    <w:rsid w:val="00F57C3F"/>
    <w:rsid w:val="00F57C66"/>
    <w:rsid w:val="00F57DC1"/>
    <w:rsid w:val="00F57DEF"/>
    <w:rsid w:val="00F57EFF"/>
    <w:rsid w:val="00F57F37"/>
    <w:rsid w:val="00F57F7B"/>
    <w:rsid w:val="00F57FE5"/>
    <w:rsid w:val="00F57FF0"/>
    <w:rsid w:val="00F600E9"/>
    <w:rsid w:val="00F601EE"/>
    <w:rsid w:val="00F60316"/>
    <w:rsid w:val="00F603D9"/>
    <w:rsid w:val="00F604CA"/>
    <w:rsid w:val="00F605D9"/>
    <w:rsid w:val="00F60683"/>
    <w:rsid w:val="00F6086F"/>
    <w:rsid w:val="00F60A2C"/>
    <w:rsid w:val="00F60A92"/>
    <w:rsid w:val="00F60B8F"/>
    <w:rsid w:val="00F60C2F"/>
    <w:rsid w:val="00F60D37"/>
    <w:rsid w:val="00F60F27"/>
    <w:rsid w:val="00F60F29"/>
    <w:rsid w:val="00F6115D"/>
    <w:rsid w:val="00F611B1"/>
    <w:rsid w:val="00F61290"/>
    <w:rsid w:val="00F612F8"/>
    <w:rsid w:val="00F61349"/>
    <w:rsid w:val="00F6136A"/>
    <w:rsid w:val="00F61544"/>
    <w:rsid w:val="00F61593"/>
    <w:rsid w:val="00F616AD"/>
    <w:rsid w:val="00F61731"/>
    <w:rsid w:val="00F6179F"/>
    <w:rsid w:val="00F617CC"/>
    <w:rsid w:val="00F6187C"/>
    <w:rsid w:val="00F618A0"/>
    <w:rsid w:val="00F618C7"/>
    <w:rsid w:val="00F618E3"/>
    <w:rsid w:val="00F61949"/>
    <w:rsid w:val="00F61ACE"/>
    <w:rsid w:val="00F61C67"/>
    <w:rsid w:val="00F61D3E"/>
    <w:rsid w:val="00F61F04"/>
    <w:rsid w:val="00F61F1F"/>
    <w:rsid w:val="00F61F39"/>
    <w:rsid w:val="00F61F89"/>
    <w:rsid w:val="00F62144"/>
    <w:rsid w:val="00F621ED"/>
    <w:rsid w:val="00F62347"/>
    <w:rsid w:val="00F623AD"/>
    <w:rsid w:val="00F623C5"/>
    <w:rsid w:val="00F6240D"/>
    <w:rsid w:val="00F62584"/>
    <w:rsid w:val="00F62623"/>
    <w:rsid w:val="00F62716"/>
    <w:rsid w:val="00F627FC"/>
    <w:rsid w:val="00F6280F"/>
    <w:rsid w:val="00F62933"/>
    <w:rsid w:val="00F629C9"/>
    <w:rsid w:val="00F62A2A"/>
    <w:rsid w:val="00F62A7C"/>
    <w:rsid w:val="00F62E12"/>
    <w:rsid w:val="00F62EFD"/>
    <w:rsid w:val="00F62F91"/>
    <w:rsid w:val="00F62FE0"/>
    <w:rsid w:val="00F63095"/>
    <w:rsid w:val="00F630FA"/>
    <w:rsid w:val="00F631C5"/>
    <w:rsid w:val="00F63271"/>
    <w:rsid w:val="00F632CA"/>
    <w:rsid w:val="00F632F3"/>
    <w:rsid w:val="00F63307"/>
    <w:rsid w:val="00F63367"/>
    <w:rsid w:val="00F63403"/>
    <w:rsid w:val="00F634CF"/>
    <w:rsid w:val="00F63510"/>
    <w:rsid w:val="00F635AA"/>
    <w:rsid w:val="00F635E4"/>
    <w:rsid w:val="00F63631"/>
    <w:rsid w:val="00F63918"/>
    <w:rsid w:val="00F6392F"/>
    <w:rsid w:val="00F639DB"/>
    <w:rsid w:val="00F639DC"/>
    <w:rsid w:val="00F639E1"/>
    <w:rsid w:val="00F63B6B"/>
    <w:rsid w:val="00F63C29"/>
    <w:rsid w:val="00F63C78"/>
    <w:rsid w:val="00F63CBF"/>
    <w:rsid w:val="00F63ECD"/>
    <w:rsid w:val="00F63F02"/>
    <w:rsid w:val="00F63F35"/>
    <w:rsid w:val="00F64034"/>
    <w:rsid w:val="00F64053"/>
    <w:rsid w:val="00F64132"/>
    <w:rsid w:val="00F6419C"/>
    <w:rsid w:val="00F64269"/>
    <w:rsid w:val="00F643D2"/>
    <w:rsid w:val="00F643D9"/>
    <w:rsid w:val="00F643F2"/>
    <w:rsid w:val="00F644CC"/>
    <w:rsid w:val="00F6453F"/>
    <w:rsid w:val="00F64542"/>
    <w:rsid w:val="00F6463A"/>
    <w:rsid w:val="00F646CA"/>
    <w:rsid w:val="00F64730"/>
    <w:rsid w:val="00F64741"/>
    <w:rsid w:val="00F6477D"/>
    <w:rsid w:val="00F649AA"/>
    <w:rsid w:val="00F649C4"/>
    <w:rsid w:val="00F64A0F"/>
    <w:rsid w:val="00F64B30"/>
    <w:rsid w:val="00F64CD5"/>
    <w:rsid w:val="00F64CF1"/>
    <w:rsid w:val="00F64D6A"/>
    <w:rsid w:val="00F64DBD"/>
    <w:rsid w:val="00F64EF6"/>
    <w:rsid w:val="00F64F0A"/>
    <w:rsid w:val="00F64F3E"/>
    <w:rsid w:val="00F64FC7"/>
    <w:rsid w:val="00F65002"/>
    <w:rsid w:val="00F650CB"/>
    <w:rsid w:val="00F65147"/>
    <w:rsid w:val="00F65250"/>
    <w:rsid w:val="00F652C8"/>
    <w:rsid w:val="00F652F3"/>
    <w:rsid w:val="00F65308"/>
    <w:rsid w:val="00F65433"/>
    <w:rsid w:val="00F654BB"/>
    <w:rsid w:val="00F65716"/>
    <w:rsid w:val="00F65759"/>
    <w:rsid w:val="00F6590A"/>
    <w:rsid w:val="00F6594E"/>
    <w:rsid w:val="00F65AA0"/>
    <w:rsid w:val="00F65AB2"/>
    <w:rsid w:val="00F65AD3"/>
    <w:rsid w:val="00F65C0A"/>
    <w:rsid w:val="00F65C90"/>
    <w:rsid w:val="00F65C99"/>
    <w:rsid w:val="00F65D29"/>
    <w:rsid w:val="00F65DD3"/>
    <w:rsid w:val="00F65DDF"/>
    <w:rsid w:val="00F65E16"/>
    <w:rsid w:val="00F65E3E"/>
    <w:rsid w:val="00F65FE0"/>
    <w:rsid w:val="00F6603C"/>
    <w:rsid w:val="00F6604E"/>
    <w:rsid w:val="00F662C9"/>
    <w:rsid w:val="00F662D2"/>
    <w:rsid w:val="00F662E8"/>
    <w:rsid w:val="00F6639E"/>
    <w:rsid w:val="00F663B0"/>
    <w:rsid w:val="00F663DA"/>
    <w:rsid w:val="00F664D3"/>
    <w:rsid w:val="00F66553"/>
    <w:rsid w:val="00F66732"/>
    <w:rsid w:val="00F667D1"/>
    <w:rsid w:val="00F66883"/>
    <w:rsid w:val="00F668B5"/>
    <w:rsid w:val="00F66919"/>
    <w:rsid w:val="00F6691C"/>
    <w:rsid w:val="00F669B2"/>
    <w:rsid w:val="00F66B10"/>
    <w:rsid w:val="00F66B1E"/>
    <w:rsid w:val="00F66BBF"/>
    <w:rsid w:val="00F66D4D"/>
    <w:rsid w:val="00F66DE4"/>
    <w:rsid w:val="00F66F9D"/>
    <w:rsid w:val="00F671D2"/>
    <w:rsid w:val="00F671D5"/>
    <w:rsid w:val="00F6720E"/>
    <w:rsid w:val="00F672C1"/>
    <w:rsid w:val="00F673BE"/>
    <w:rsid w:val="00F67460"/>
    <w:rsid w:val="00F675AA"/>
    <w:rsid w:val="00F675EF"/>
    <w:rsid w:val="00F67603"/>
    <w:rsid w:val="00F67668"/>
    <w:rsid w:val="00F679B6"/>
    <w:rsid w:val="00F67ACD"/>
    <w:rsid w:val="00F67AD7"/>
    <w:rsid w:val="00F67B6C"/>
    <w:rsid w:val="00F67BA6"/>
    <w:rsid w:val="00F67D62"/>
    <w:rsid w:val="00F67E67"/>
    <w:rsid w:val="00F67E6F"/>
    <w:rsid w:val="00F67E76"/>
    <w:rsid w:val="00F67EED"/>
    <w:rsid w:val="00F67FB3"/>
    <w:rsid w:val="00F67FB6"/>
    <w:rsid w:val="00F7006C"/>
    <w:rsid w:val="00F70124"/>
    <w:rsid w:val="00F7015C"/>
    <w:rsid w:val="00F70198"/>
    <w:rsid w:val="00F70218"/>
    <w:rsid w:val="00F7022C"/>
    <w:rsid w:val="00F7029C"/>
    <w:rsid w:val="00F7034A"/>
    <w:rsid w:val="00F703B0"/>
    <w:rsid w:val="00F703EA"/>
    <w:rsid w:val="00F704C2"/>
    <w:rsid w:val="00F7050B"/>
    <w:rsid w:val="00F70543"/>
    <w:rsid w:val="00F706DB"/>
    <w:rsid w:val="00F706DF"/>
    <w:rsid w:val="00F70743"/>
    <w:rsid w:val="00F707CC"/>
    <w:rsid w:val="00F7082A"/>
    <w:rsid w:val="00F70854"/>
    <w:rsid w:val="00F70978"/>
    <w:rsid w:val="00F70A17"/>
    <w:rsid w:val="00F70A2D"/>
    <w:rsid w:val="00F70B35"/>
    <w:rsid w:val="00F70B39"/>
    <w:rsid w:val="00F70B80"/>
    <w:rsid w:val="00F70D07"/>
    <w:rsid w:val="00F70D90"/>
    <w:rsid w:val="00F70DD8"/>
    <w:rsid w:val="00F70EA6"/>
    <w:rsid w:val="00F70F6F"/>
    <w:rsid w:val="00F70F88"/>
    <w:rsid w:val="00F70FDB"/>
    <w:rsid w:val="00F71021"/>
    <w:rsid w:val="00F71074"/>
    <w:rsid w:val="00F7110D"/>
    <w:rsid w:val="00F71126"/>
    <w:rsid w:val="00F7114F"/>
    <w:rsid w:val="00F711C6"/>
    <w:rsid w:val="00F71210"/>
    <w:rsid w:val="00F7139A"/>
    <w:rsid w:val="00F713EA"/>
    <w:rsid w:val="00F7144A"/>
    <w:rsid w:val="00F714A7"/>
    <w:rsid w:val="00F71559"/>
    <w:rsid w:val="00F716EF"/>
    <w:rsid w:val="00F7183B"/>
    <w:rsid w:val="00F71896"/>
    <w:rsid w:val="00F71993"/>
    <w:rsid w:val="00F7199C"/>
    <w:rsid w:val="00F71A66"/>
    <w:rsid w:val="00F71ACD"/>
    <w:rsid w:val="00F71BD4"/>
    <w:rsid w:val="00F71C47"/>
    <w:rsid w:val="00F71C60"/>
    <w:rsid w:val="00F71D61"/>
    <w:rsid w:val="00F71D7E"/>
    <w:rsid w:val="00F71E15"/>
    <w:rsid w:val="00F71E8A"/>
    <w:rsid w:val="00F72176"/>
    <w:rsid w:val="00F7217E"/>
    <w:rsid w:val="00F721B7"/>
    <w:rsid w:val="00F7220A"/>
    <w:rsid w:val="00F7222C"/>
    <w:rsid w:val="00F722E6"/>
    <w:rsid w:val="00F722EB"/>
    <w:rsid w:val="00F723CA"/>
    <w:rsid w:val="00F72428"/>
    <w:rsid w:val="00F7244F"/>
    <w:rsid w:val="00F72488"/>
    <w:rsid w:val="00F72549"/>
    <w:rsid w:val="00F72611"/>
    <w:rsid w:val="00F72612"/>
    <w:rsid w:val="00F7275F"/>
    <w:rsid w:val="00F72783"/>
    <w:rsid w:val="00F727BE"/>
    <w:rsid w:val="00F72820"/>
    <w:rsid w:val="00F7290C"/>
    <w:rsid w:val="00F72948"/>
    <w:rsid w:val="00F729E5"/>
    <w:rsid w:val="00F72A31"/>
    <w:rsid w:val="00F72ADF"/>
    <w:rsid w:val="00F72B7B"/>
    <w:rsid w:val="00F72D61"/>
    <w:rsid w:val="00F72DA4"/>
    <w:rsid w:val="00F72EAD"/>
    <w:rsid w:val="00F72F18"/>
    <w:rsid w:val="00F72F48"/>
    <w:rsid w:val="00F73030"/>
    <w:rsid w:val="00F7311E"/>
    <w:rsid w:val="00F73194"/>
    <w:rsid w:val="00F731E6"/>
    <w:rsid w:val="00F7321F"/>
    <w:rsid w:val="00F73247"/>
    <w:rsid w:val="00F73272"/>
    <w:rsid w:val="00F73341"/>
    <w:rsid w:val="00F73366"/>
    <w:rsid w:val="00F7337C"/>
    <w:rsid w:val="00F733FA"/>
    <w:rsid w:val="00F73457"/>
    <w:rsid w:val="00F73479"/>
    <w:rsid w:val="00F73489"/>
    <w:rsid w:val="00F734C1"/>
    <w:rsid w:val="00F7353B"/>
    <w:rsid w:val="00F735BF"/>
    <w:rsid w:val="00F736AA"/>
    <w:rsid w:val="00F737AD"/>
    <w:rsid w:val="00F73883"/>
    <w:rsid w:val="00F73A6F"/>
    <w:rsid w:val="00F73B11"/>
    <w:rsid w:val="00F73B6B"/>
    <w:rsid w:val="00F73C45"/>
    <w:rsid w:val="00F73CB5"/>
    <w:rsid w:val="00F73CE3"/>
    <w:rsid w:val="00F73E73"/>
    <w:rsid w:val="00F73E89"/>
    <w:rsid w:val="00F74023"/>
    <w:rsid w:val="00F74281"/>
    <w:rsid w:val="00F74292"/>
    <w:rsid w:val="00F74353"/>
    <w:rsid w:val="00F743BF"/>
    <w:rsid w:val="00F744F1"/>
    <w:rsid w:val="00F74569"/>
    <w:rsid w:val="00F746CD"/>
    <w:rsid w:val="00F746F2"/>
    <w:rsid w:val="00F74777"/>
    <w:rsid w:val="00F74791"/>
    <w:rsid w:val="00F74853"/>
    <w:rsid w:val="00F74924"/>
    <w:rsid w:val="00F74A7D"/>
    <w:rsid w:val="00F74B08"/>
    <w:rsid w:val="00F74BDA"/>
    <w:rsid w:val="00F74CDC"/>
    <w:rsid w:val="00F74DF8"/>
    <w:rsid w:val="00F74E83"/>
    <w:rsid w:val="00F74EC8"/>
    <w:rsid w:val="00F752DC"/>
    <w:rsid w:val="00F752F5"/>
    <w:rsid w:val="00F75325"/>
    <w:rsid w:val="00F7544C"/>
    <w:rsid w:val="00F75492"/>
    <w:rsid w:val="00F7551F"/>
    <w:rsid w:val="00F75637"/>
    <w:rsid w:val="00F756C9"/>
    <w:rsid w:val="00F757D4"/>
    <w:rsid w:val="00F758D2"/>
    <w:rsid w:val="00F75C5D"/>
    <w:rsid w:val="00F75C82"/>
    <w:rsid w:val="00F75D54"/>
    <w:rsid w:val="00F75EA3"/>
    <w:rsid w:val="00F75F76"/>
    <w:rsid w:val="00F75FDF"/>
    <w:rsid w:val="00F76148"/>
    <w:rsid w:val="00F761D8"/>
    <w:rsid w:val="00F761E1"/>
    <w:rsid w:val="00F76205"/>
    <w:rsid w:val="00F7631E"/>
    <w:rsid w:val="00F7632D"/>
    <w:rsid w:val="00F76352"/>
    <w:rsid w:val="00F7640C"/>
    <w:rsid w:val="00F76576"/>
    <w:rsid w:val="00F7664D"/>
    <w:rsid w:val="00F7672E"/>
    <w:rsid w:val="00F76745"/>
    <w:rsid w:val="00F76864"/>
    <w:rsid w:val="00F7689C"/>
    <w:rsid w:val="00F768E1"/>
    <w:rsid w:val="00F768F3"/>
    <w:rsid w:val="00F768FA"/>
    <w:rsid w:val="00F769C5"/>
    <w:rsid w:val="00F76A78"/>
    <w:rsid w:val="00F76BA1"/>
    <w:rsid w:val="00F76BE4"/>
    <w:rsid w:val="00F76C1F"/>
    <w:rsid w:val="00F76C7E"/>
    <w:rsid w:val="00F76D3E"/>
    <w:rsid w:val="00F76D4E"/>
    <w:rsid w:val="00F76DB9"/>
    <w:rsid w:val="00F76ED3"/>
    <w:rsid w:val="00F76FD8"/>
    <w:rsid w:val="00F7704C"/>
    <w:rsid w:val="00F77089"/>
    <w:rsid w:val="00F77253"/>
    <w:rsid w:val="00F77265"/>
    <w:rsid w:val="00F77286"/>
    <w:rsid w:val="00F77366"/>
    <w:rsid w:val="00F773F2"/>
    <w:rsid w:val="00F7747E"/>
    <w:rsid w:val="00F774FD"/>
    <w:rsid w:val="00F77554"/>
    <w:rsid w:val="00F77664"/>
    <w:rsid w:val="00F7772F"/>
    <w:rsid w:val="00F7781A"/>
    <w:rsid w:val="00F7787E"/>
    <w:rsid w:val="00F778F8"/>
    <w:rsid w:val="00F77AB5"/>
    <w:rsid w:val="00F77BB5"/>
    <w:rsid w:val="00F77C91"/>
    <w:rsid w:val="00F77ED7"/>
    <w:rsid w:val="00F77F49"/>
    <w:rsid w:val="00F77F5E"/>
    <w:rsid w:val="00F80052"/>
    <w:rsid w:val="00F800C2"/>
    <w:rsid w:val="00F80114"/>
    <w:rsid w:val="00F8038B"/>
    <w:rsid w:val="00F803DD"/>
    <w:rsid w:val="00F80483"/>
    <w:rsid w:val="00F80524"/>
    <w:rsid w:val="00F80533"/>
    <w:rsid w:val="00F80640"/>
    <w:rsid w:val="00F80736"/>
    <w:rsid w:val="00F80794"/>
    <w:rsid w:val="00F80810"/>
    <w:rsid w:val="00F809BD"/>
    <w:rsid w:val="00F80A79"/>
    <w:rsid w:val="00F80B16"/>
    <w:rsid w:val="00F80CAC"/>
    <w:rsid w:val="00F80CC7"/>
    <w:rsid w:val="00F80D29"/>
    <w:rsid w:val="00F80FE5"/>
    <w:rsid w:val="00F81094"/>
    <w:rsid w:val="00F8113F"/>
    <w:rsid w:val="00F811FD"/>
    <w:rsid w:val="00F81292"/>
    <w:rsid w:val="00F812AA"/>
    <w:rsid w:val="00F812C7"/>
    <w:rsid w:val="00F814EE"/>
    <w:rsid w:val="00F81620"/>
    <w:rsid w:val="00F81695"/>
    <w:rsid w:val="00F8193F"/>
    <w:rsid w:val="00F819B7"/>
    <w:rsid w:val="00F819D6"/>
    <w:rsid w:val="00F819DE"/>
    <w:rsid w:val="00F81A25"/>
    <w:rsid w:val="00F81AD9"/>
    <w:rsid w:val="00F81AE9"/>
    <w:rsid w:val="00F81BA1"/>
    <w:rsid w:val="00F81C70"/>
    <w:rsid w:val="00F81CC7"/>
    <w:rsid w:val="00F81D30"/>
    <w:rsid w:val="00F81D3A"/>
    <w:rsid w:val="00F81D4D"/>
    <w:rsid w:val="00F81E94"/>
    <w:rsid w:val="00F81EBC"/>
    <w:rsid w:val="00F81ECA"/>
    <w:rsid w:val="00F81F14"/>
    <w:rsid w:val="00F81F30"/>
    <w:rsid w:val="00F81F37"/>
    <w:rsid w:val="00F81FBA"/>
    <w:rsid w:val="00F81FBF"/>
    <w:rsid w:val="00F82181"/>
    <w:rsid w:val="00F82236"/>
    <w:rsid w:val="00F82313"/>
    <w:rsid w:val="00F823EA"/>
    <w:rsid w:val="00F823F1"/>
    <w:rsid w:val="00F824C2"/>
    <w:rsid w:val="00F824D3"/>
    <w:rsid w:val="00F824F8"/>
    <w:rsid w:val="00F82620"/>
    <w:rsid w:val="00F8265D"/>
    <w:rsid w:val="00F826B1"/>
    <w:rsid w:val="00F82764"/>
    <w:rsid w:val="00F8295B"/>
    <w:rsid w:val="00F82A37"/>
    <w:rsid w:val="00F82AFF"/>
    <w:rsid w:val="00F82B1A"/>
    <w:rsid w:val="00F82CBA"/>
    <w:rsid w:val="00F82CD1"/>
    <w:rsid w:val="00F82D7D"/>
    <w:rsid w:val="00F82DB4"/>
    <w:rsid w:val="00F82E13"/>
    <w:rsid w:val="00F82F35"/>
    <w:rsid w:val="00F82F4B"/>
    <w:rsid w:val="00F830E2"/>
    <w:rsid w:val="00F831C4"/>
    <w:rsid w:val="00F831F8"/>
    <w:rsid w:val="00F8324C"/>
    <w:rsid w:val="00F83305"/>
    <w:rsid w:val="00F8337F"/>
    <w:rsid w:val="00F83444"/>
    <w:rsid w:val="00F835A2"/>
    <w:rsid w:val="00F83622"/>
    <w:rsid w:val="00F83626"/>
    <w:rsid w:val="00F83632"/>
    <w:rsid w:val="00F83754"/>
    <w:rsid w:val="00F8378E"/>
    <w:rsid w:val="00F83790"/>
    <w:rsid w:val="00F8389B"/>
    <w:rsid w:val="00F838AA"/>
    <w:rsid w:val="00F8392A"/>
    <w:rsid w:val="00F839B9"/>
    <w:rsid w:val="00F83A06"/>
    <w:rsid w:val="00F83AE8"/>
    <w:rsid w:val="00F83B40"/>
    <w:rsid w:val="00F83BA3"/>
    <w:rsid w:val="00F83BCD"/>
    <w:rsid w:val="00F83C55"/>
    <w:rsid w:val="00F83CE7"/>
    <w:rsid w:val="00F83DD9"/>
    <w:rsid w:val="00F83EB1"/>
    <w:rsid w:val="00F83EBE"/>
    <w:rsid w:val="00F83ECA"/>
    <w:rsid w:val="00F83FC5"/>
    <w:rsid w:val="00F8401E"/>
    <w:rsid w:val="00F84045"/>
    <w:rsid w:val="00F840F1"/>
    <w:rsid w:val="00F841D3"/>
    <w:rsid w:val="00F84470"/>
    <w:rsid w:val="00F84584"/>
    <w:rsid w:val="00F8459D"/>
    <w:rsid w:val="00F84609"/>
    <w:rsid w:val="00F84626"/>
    <w:rsid w:val="00F8472D"/>
    <w:rsid w:val="00F84809"/>
    <w:rsid w:val="00F8481B"/>
    <w:rsid w:val="00F84840"/>
    <w:rsid w:val="00F84859"/>
    <w:rsid w:val="00F8488F"/>
    <w:rsid w:val="00F84910"/>
    <w:rsid w:val="00F8494F"/>
    <w:rsid w:val="00F849BD"/>
    <w:rsid w:val="00F84B3F"/>
    <w:rsid w:val="00F84B66"/>
    <w:rsid w:val="00F84B7E"/>
    <w:rsid w:val="00F84C9D"/>
    <w:rsid w:val="00F84CB1"/>
    <w:rsid w:val="00F84CFB"/>
    <w:rsid w:val="00F84D0A"/>
    <w:rsid w:val="00F84D78"/>
    <w:rsid w:val="00F8504C"/>
    <w:rsid w:val="00F850A1"/>
    <w:rsid w:val="00F85191"/>
    <w:rsid w:val="00F85215"/>
    <w:rsid w:val="00F853B1"/>
    <w:rsid w:val="00F8544E"/>
    <w:rsid w:val="00F85458"/>
    <w:rsid w:val="00F8552D"/>
    <w:rsid w:val="00F85558"/>
    <w:rsid w:val="00F8559C"/>
    <w:rsid w:val="00F855CD"/>
    <w:rsid w:val="00F8564A"/>
    <w:rsid w:val="00F8564D"/>
    <w:rsid w:val="00F856A4"/>
    <w:rsid w:val="00F856FB"/>
    <w:rsid w:val="00F85738"/>
    <w:rsid w:val="00F857AB"/>
    <w:rsid w:val="00F8593B"/>
    <w:rsid w:val="00F8595F"/>
    <w:rsid w:val="00F85983"/>
    <w:rsid w:val="00F85A10"/>
    <w:rsid w:val="00F85AAD"/>
    <w:rsid w:val="00F85B2B"/>
    <w:rsid w:val="00F85C50"/>
    <w:rsid w:val="00F85C7D"/>
    <w:rsid w:val="00F85CC8"/>
    <w:rsid w:val="00F85DCE"/>
    <w:rsid w:val="00F85DDA"/>
    <w:rsid w:val="00F85DEC"/>
    <w:rsid w:val="00F85EA0"/>
    <w:rsid w:val="00F85EC6"/>
    <w:rsid w:val="00F85F00"/>
    <w:rsid w:val="00F8600D"/>
    <w:rsid w:val="00F8606F"/>
    <w:rsid w:val="00F860BD"/>
    <w:rsid w:val="00F860F0"/>
    <w:rsid w:val="00F86193"/>
    <w:rsid w:val="00F861C8"/>
    <w:rsid w:val="00F86225"/>
    <w:rsid w:val="00F8622B"/>
    <w:rsid w:val="00F862B6"/>
    <w:rsid w:val="00F86328"/>
    <w:rsid w:val="00F863F6"/>
    <w:rsid w:val="00F8642B"/>
    <w:rsid w:val="00F86574"/>
    <w:rsid w:val="00F86597"/>
    <w:rsid w:val="00F8659A"/>
    <w:rsid w:val="00F865EC"/>
    <w:rsid w:val="00F86646"/>
    <w:rsid w:val="00F867A0"/>
    <w:rsid w:val="00F867AE"/>
    <w:rsid w:val="00F86BD6"/>
    <w:rsid w:val="00F86CCC"/>
    <w:rsid w:val="00F86CEE"/>
    <w:rsid w:val="00F86CF6"/>
    <w:rsid w:val="00F86D39"/>
    <w:rsid w:val="00F86D3F"/>
    <w:rsid w:val="00F86D7C"/>
    <w:rsid w:val="00F86DF2"/>
    <w:rsid w:val="00F86E2B"/>
    <w:rsid w:val="00F86F15"/>
    <w:rsid w:val="00F87140"/>
    <w:rsid w:val="00F8716B"/>
    <w:rsid w:val="00F87232"/>
    <w:rsid w:val="00F87288"/>
    <w:rsid w:val="00F872B9"/>
    <w:rsid w:val="00F87328"/>
    <w:rsid w:val="00F873D2"/>
    <w:rsid w:val="00F874AC"/>
    <w:rsid w:val="00F874B2"/>
    <w:rsid w:val="00F874CC"/>
    <w:rsid w:val="00F875FF"/>
    <w:rsid w:val="00F876F5"/>
    <w:rsid w:val="00F87747"/>
    <w:rsid w:val="00F877EB"/>
    <w:rsid w:val="00F8788A"/>
    <w:rsid w:val="00F87902"/>
    <w:rsid w:val="00F8792E"/>
    <w:rsid w:val="00F87AA3"/>
    <w:rsid w:val="00F87ABC"/>
    <w:rsid w:val="00F87C6A"/>
    <w:rsid w:val="00F87D2E"/>
    <w:rsid w:val="00F87DBF"/>
    <w:rsid w:val="00F87E3B"/>
    <w:rsid w:val="00F87E71"/>
    <w:rsid w:val="00F87F04"/>
    <w:rsid w:val="00F87F12"/>
    <w:rsid w:val="00F90264"/>
    <w:rsid w:val="00F90295"/>
    <w:rsid w:val="00F902BC"/>
    <w:rsid w:val="00F902FB"/>
    <w:rsid w:val="00F903CA"/>
    <w:rsid w:val="00F90578"/>
    <w:rsid w:val="00F90644"/>
    <w:rsid w:val="00F9068C"/>
    <w:rsid w:val="00F9071F"/>
    <w:rsid w:val="00F907F0"/>
    <w:rsid w:val="00F90801"/>
    <w:rsid w:val="00F90819"/>
    <w:rsid w:val="00F909B5"/>
    <w:rsid w:val="00F90AC0"/>
    <w:rsid w:val="00F90ADB"/>
    <w:rsid w:val="00F90CD9"/>
    <w:rsid w:val="00F90D84"/>
    <w:rsid w:val="00F90DF0"/>
    <w:rsid w:val="00F90E69"/>
    <w:rsid w:val="00F90F72"/>
    <w:rsid w:val="00F90F83"/>
    <w:rsid w:val="00F90F8E"/>
    <w:rsid w:val="00F90FA1"/>
    <w:rsid w:val="00F90FED"/>
    <w:rsid w:val="00F9102B"/>
    <w:rsid w:val="00F9103E"/>
    <w:rsid w:val="00F91055"/>
    <w:rsid w:val="00F9113B"/>
    <w:rsid w:val="00F91249"/>
    <w:rsid w:val="00F912B5"/>
    <w:rsid w:val="00F9146F"/>
    <w:rsid w:val="00F914F0"/>
    <w:rsid w:val="00F91540"/>
    <w:rsid w:val="00F91553"/>
    <w:rsid w:val="00F915CA"/>
    <w:rsid w:val="00F9172D"/>
    <w:rsid w:val="00F91764"/>
    <w:rsid w:val="00F91788"/>
    <w:rsid w:val="00F91852"/>
    <w:rsid w:val="00F9191F"/>
    <w:rsid w:val="00F9198E"/>
    <w:rsid w:val="00F9198F"/>
    <w:rsid w:val="00F91A74"/>
    <w:rsid w:val="00F91A83"/>
    <w:rsid w:val="00F91AD4"/>
    <w:rsid w:val="00F91C6E"/>
    <w:rsid w:val="00F91CE2"/>
    <w:rsid w:val="00F91E12"/>
    <w:rsid w:val="00F91EF7"/>
    <w:rsid w:val="00F91F06"/>
    <w:rsid w:val="00F91F78"/>
    <w:rsid w:val="00F91F89"/>
    <w:rsid w:val="00F9210D"/>
    <w:rsid w:val="00F921AD"/>
    <w:rsid w:val="00F9221B"/>
    <w:rsid w:val="00F9229E"/>
    <w:rsid w:val="00F92304"/>
    <w:rsid w:val="00F923C0"/>
    <w:rsid w:val="00F923EC"/>
    <w:rsid w:val="00F924AE"/>
    <w:rsid w:val="00F924CD"/>
    <w:rsid w:val="00F924E3"/>
    <w:rsid w:val="00F92566"/>
    <w:rsid w:val="00F92711"/>
    <w:rsid w:val="00F928A2"/>
    <w:rsid w:val="00F928D5"/>
    <w:rsid w:val="00F92AC8"/>
    <w:rsid w:val="00F92C7B"/>
    <w:rsid w:val="00F92C86"/>
    <w:rsid w:val="00F92DA2"/>
    <w:rsid w:val="00F92DA6"/>
    <w:rsid w:val="00F92F3A"/>
    <w:rsid w:val="00F92F72"/>
    <w:rsid w:val="00F93020"/>
    <w:rsid w:val="00F93100"/>
    <w:rsid w:val="00F93141"/>
    <w:rsid w:val="00F9319B"/>
    <w:rsid w:val="00F931C6"/>
    <w:rsid w:val="00F931DD"/>
    <w:rsid w:val="00F93229"/>
    <w:rsid w:val="00F93553"/>
    <w:rsid w:val="00F93574"/>
    <w:rsid w:val="00F935D9"/>
    <w:rsid w:val="00F93616"/>
    <w:rsid w:val="00F93665"/>
    <w:rsid w:val="00F9367E"/>
    <w:rsid w:val="00F93861"/>
    <w:rsid w:val="00F938B4"/>
    <w:rsid w:val="00F938BD"/>
    <w:rsid w:val="00F93911"/>
    <w:rsid w:val="00F93947"/>
    <w:rsid w:val="00F93949"/>
    <w:rsid w:val="00F93995"/>
    <w:rsid w:val="00F939DD"/>
    <w:rsid w:val="00F93B06"/>
    <w:rsid w:val="00F93B24"/>
    <w:rsid w:val="00F93BC3"/>
    <w:rsid w:val="00F93CDD"/>
    <w:rsid w:val="00F93DAD"/>
    <w:rsid w:val="00F93FB8"/>
    <w:rsid w:val="00F94361"/>
    <w:rsid w:val="00F94364"/>
    <w:rsid w:val="00F9437A"/>
    <w:rsid w:val="00F94447"/>
    <w:rsid w:val="00F94500"/>
    <w:rsid w:val="00F94534"/>
    <w:rsid w:val="00F9459E"/>
    <w:rsid w:val="00F945F9"/>
    <w:rsid w:val="00F9470F"/>
    <w:rsid w:val="00F94722"/>
    <w:rsid w:val="00F94942"/>
    <w:rsid w:val="00F94A6C"/>
    <w:rsid w:val="00F94AF0"/>
    <w:rsid w:val="00F94B6D"/>
    <w:rsid w:val="00F94B8E"/>
    <w:rsid w:val="00F94BB1"/>
    <w:rsid w:val="00F94BEE"/>
    <w:rsid w:val="00F94C20"/>
    <w:rsid w:val="00F94C24"/>
    <w:rsid w:val="00F94C5A"/>
    <w:rsid w:val="00F94C70"/>
    <w:rsid w:val="00F94D57"/>
    <w:rsid w:val="00F94DD6"/>
    <w:rsid w:val="00F94E61"/>
    <w:rsid w:val="00F94ECB"/>
    <w:rsid w:val="00F94F09"/>
    <w:rsid w:val="00F94F1C"/>
    <w:rsid w:val="00F94F38"/>
    <w:rsid w:val="00F95065"/>
    <w:rsid w:val="00F95086"/>
    <w:rsid w:val="00F95157"/>
    <w:rsid w:val="00F95241"/>
    <w:rsid w:val="00F952D4"/>
    <w:rsid w:val="00F95348"/>
    <w:rsid w:val="00F953BB"/>
    <w:rsid w:val="00F9541E"/>
    <w:rsid w:val="00F9551C"/>
    <w:rsid w:val="00F9559E"/>
    <w:rsid w:val="00F95728"/>
    <w:rsid w:val="00F95866"/>
    <w:rsid w:val="00F958A0"/>
    <w:rsid w:val="00F958A4"/>
    <w:rsid w:val="00F95A4D"/>
    <w:rsid w:val="00F95A50"/>
    <w:rsid w:val="00F95B78"/>
    <w:rsid w:val="00F95CEC"/>
    <w:rsid w:val="00F95CF7"/>
    <w:rsid w:val="00F95D05"/>
    <w:rsid w:val="00F95D26"/>
    <w:rsid w:val="00F95D44"/>
    <w:rsid w:val="00F95D6D"/>
    <w:rsid w:val="00F95E77"/>
    <w:rsid w:val="00F95ED1"/>
    <w:rsid w:val="00F95F01"/>
    <w:rsid w:val="00F960B3"/>
    <w:rsid w:val="00F9625E"/>
    <w:rsid w:val="00F9628C"/>
    <w:rsid w:val="00F962D6"/>
    <w:rsid w:val="00F96393"/>
    <w:rsid w:val="00F963C0"/>
    <w:rsid w:val="00F96431"/>
    <w:rsid w:val="00F964F9"/>
    <w:rsid w:val="00F965CD"/>
    <w:rsid w:val="00F96715"/>
    <w:rsid w:val="00F967A3"/>
    <w:rsid w:val="00F967CC"/>
    <w:rsid w:val="00F96A2A"/>
    <w:rsid w:val="00F96AA7"/>
    <w:rsid w:val="00F96B91"/>
    <w:rsid w:val="00F96C11"/>
    <w:rsid w:val="00F96C14"/>
    <w:rsid w:val="00F96C66"/>
    <w:rsid w:val="00F96ECC"/>
    <w:rsid w:val="00F96F53"/>
    <w:rsid w:val="00F96FDF"/>
    <w:rsid w:val="00F9700A"/>
    <w:rsid w:val="00F9706B"/>
    <w:rsid w:val="00F97130"/>
    <w:rsid w:val="00F97196"/>
    <w:rsid w:val="00F971AE"/>
    <w:rsid w:val="00F97255"/>
    <w:rsid w:val="00F972A6"/>
    <w:rsid w:val="00F972F0"/>
    <w:rsid w:val="00F97341"/>
    <w:rsid w:val="00F973CF"/>
    <w:rsid w:val="00F975BA"/>
    <w:rsid w:val="00F975F8"/>
    <w:rsid w:val="00F9764F"/>
    <w:rsid w:val="00F97693"/>
    <w:rsid w:val="00F9772A"/>
    <w:rsid w:val="00F977C4"/>
    <w:rsid w:val="00F979B5"/>
    <w:rsid w:val="00F979E8"/>
    <w:rsid w:val="00F97AFD"/>
    <w:rsid w:val="00F97B35"/>
    <w:rsid w:val="00F97B58"/>
    <w:rsid w:val="00F97B6A"/>
    <w:rsid w:val="00F97B7F"/>
    <w:rsid w:val="00F97B94"/>
    <w:rsid w:val="00F97C6E"/>
    <w:rsid w:val="00F97C99"/>
    <w:rsid w:val="00F97D45"/>
    <w:rsid w:val="00F97D57"/>
    <w:rsid w:val="00F97E23"/>
    <w:rsid w:val="00F97F15"/>
    <w:rsid w:val="00FA0056"/>
    <w:rsid w:val="00FA00E7"/>
    <w:rsid w:val="00FA0260"/>
    <w:rsid w:val="00FA0274"/>
    <w:rsid w:val="00FA02AF"/>
    <w:rsid w:val="00FA02E2"/>
    <w:rsid w:val="00FA032A"/>
    <w:rsid w:val="00FA0693"/>
    <w:rsid w:val="00FA06CA"/>
    <w:rsid w:val="00FA074A"/>
    <w:rsid w:val="00FA07D7"/>
    <w:rsid w:val="00FA0870"/>
    <w:rsid w:val="00FA0B28"/>
    <w:rsid w:val="00FA0BA5"/>
    <w:rsid w:val="00FA0C33"/>
    <w:rsid w:val="00FA0CA9"/>
    <w:rsid w:val="00FA0D41"/>
    <w:rsid w:val="00FA0D60"/>
    <w:rsid w:val="00FA0DAC"/>
    <w:rsid w:val="00FA0DAF"/>
    <w:rsid w:val="00FA0E99"/>
    <w:rsid w:val="00FA1118"/>
    <w:rsid w:val="00FA1119"/>
    <w:rsid w:val="00FA1127"/>
    <w:rsid w:val="00FA12BF"/>
    <w:rsid w:val="00FA12D3"/>
    <w:rsid w:val="00FA13C1"/>
    <w:rsid w:val="00FA143D"/>
    <w:rsid w:val="00FA152B"/>
    <w:rsid w:val="00FA16E0"/>
    <w:rsid w:val="00FA181B"/>
    <w:rsid w:val="00FA1881"/>
    <w:rsid w:val="00FA188D"/>
    <w:rsid w:val="00FA1A3A"/>
    <w:rsid w:val="00FA1D28"/>
    <w:rsid w:val="00FA1D54"/>
    <w:rsid w:val="00FA1D6D"/>
    <w:rsid w:val="00FA1D9A"/>
    <w:rsid w:val="00FA1D9F"/>
    <w:rsid w:val="00FA1DDF"/>
    <w:rsid w:val="00FA1E19"/>
    <w:rsid w:val="00FA1F66"/>
    <w:rsid w:val="00FA2135"/>
    <w:rsid w:val="00FA2183"/>
    <w:rsid w:val="00FA237A"/>
    <w:rsid w:val="00FA23AE"/>
    <w:rsid w:val="00FA24C3"/>
    <w:rsid w:val="00FA2505"/>
    <w:rsid w:val="00FA25A6"/>
    <w:rsid w:val="00FA25D7"/>
    <w:rsid w:val="00FA2692"/>
    <w:rsid w:val="00FA2761"/>
    <w:rsid w:val="00FA27DE"/>
    <w:rsid w:val="00FA28EA"/>
    <w:rsid w:val="00FA2906"/>
    <w:rsid w:val="00FA292F"/>
    <w:rsid w:val="00FA295E"/>
    <w:rsid w:val="00FA29B0"/>
    <w:rsid w:val="00FA2B56"/>
    <w:rsid w:val="00FA2B71"/>
    <w:rsid w:val="00FA2C29"/>
    <w:rsid w:val="00FA2C86"/>
    <w:rsid w:val="00FA2D35"/>
    <w:rsid w:val="00FA2D5D"/>
    <w:rsid w:val="00FA2E0F"/>
    <w:rsid w:val="00FA3039"/>
    <w:rsid w:val="00FA31C5"/>
    <w:rsid w:val="00FA31CC"/>
    <w:rsid w:val="00FA31CF"/>
    <w:rsid w:val="00FA31E8"/>
    <w:rsid w:val="00FA32C3"/>
    <w:rsid w:val="00FA3380"/>
    <w:rsid w:val="00FA350E"/>
    <w:rsid w:val="00FA36BB"/>
    <w:rsid w:val="00FA36F3"/>
    <w:rsid w:val="00FA3758"/>
    <w:rsid w:val="00FA37B4"/>
    <w:rsid w:val="00FA37EF"/>
    <w:rsid w:val="00FA38C2"/>
    <w:rsid w:val="00FA399C"/>
    <w:rsid w:val="00FA39F5"/>
    <w:rsid w:val="00FA3C7E"/>
    <w:rsid w:val="00FA3D6E"/>
    <w:rsid w:val="00FA3DC0"/>
    <w:rsid w:val="00FA3EC0"/>
    <w:rsid w:val="00FA40E3"/>
    <w:rsid w:val="00FA447F"/>
    <w:rsid w:val="00FA44B7"/>
    <w:rsid w:val="00FA4549"/>
    <w:rsid w:val="00FA45E2"/>
    <w:rsid w:val="00FA474B"/>
    <w:rsid w:val="00FA4758"/>
    <w:rsid w:val="00FA486E"/>
    <w:rsid w:val="00FA4987"/>
    <w:rsid w:val="00FA4998"/>
    <w:rsid w:val="00FA4B07"/>
    <w:rsid w:val="00FA4BF8"/>
    <w:rsid w:val="00FA4C48"/>
    <w:rsid w:val="00FA4D20"/>
    <w:rsid w:val="00FA4D67"/>
    <w:rsid w:val="00FA4DA1"/>
    <w:rsid w:val="00FA4F39"/>
    <w:rsid w:val="00FA4F86"/>
    <w:rsid w:val="00FA505C"/>
    <w:rsid w:val="00FA505E"/>
    <w:rsid w:val="00FA50E2"/>
    <w:rsid w:val="00FA518D"/>
    <w:rsid w:val="00FA5277"/>
    <w:rsid w:val="00FA531C"/>
    <w:rsid w:val="00FA539E"/>
    <w:rsid w:val="00FA5402"/>
    <w:rsid w:val="00FA5549"/>
    <w:rsid w:val="00FA554B"/>
    <w:rsid w:val="00FA5567"/>
    <w:rsid w:val="00FA55C0"/>
    <w:rsid w:val="00FA5601"/>
    <w:rsid w:val="00FA5671"/>
    <w:rsid w:val="00FA568C"/>
    <w:rsid w:val="00FA56B5"/>
    <w:rsid w:val="00FA570E"/>
    <w:rsid w:val="00FA5847"/>
    <w:rsid w:val="00FA587B"/>
    <w:rsid w:val="00FA596D"/>
    <w:rsid w:val="00FA598B"/>
    <w:rsid w:val="00FA5A92"/>
    <w:rsid w:val="00FA5B31"/>
    <w:rsid w:val="00FA5C29"/>
    <w:rsid w:val="00FA5CD7"/>
    <w:rsid w:val="00FA5D7A"/>
    <w:rsid w:val="00FA5E6F"/>
    <w:rsid w:val="00FA5ED2"/>
    <w:rsid w:val="00FA5F11"/>
    <w:rsid w:val="00FA5FBD"/>
    <w:rsid w:val="00FA60AB"/>
    <w:rsid w:val="00FA6133"/>
    <w:rsid w:val="00FA620A"/>
    <w:rsid w:val="00FA6290"/>
    <w:rsid w:val="00FA642B"/>
    <w:rsid w:val="00FA643B"/>
    <w:rsid w:val="00FA64A6"/>
    <w:rsid w:val="00FA64AD"/>
    <w:rsid w:val="00FA660A"/>
    <w:rsid w:val="00FA6804"/>
    <w:rsid w:val="00FA68B8"/>
    <w:rsid w:val="00FA6A31"/>
    <w:rsid w:val="00FA6C75"/>
    <w:rsid w:val="00FA6CEE"/>
    <w:rsid w:val="00FA6DDC"/>
    <w:rsid w:val="00FA6E35"/>
    <w:rsid w:val="00FA6EC9"/>
    <w:rsid w:val="00FA6F33"/>
    <w:rsid w:val="00FA6F79"/>
    <w:rsid w:val="00FA6FA1"/>
    <w:rsid w:val="00FA704F"/>
    <w:rsid w:val="00FA70FD"/>
    <w:rsid w:val="00FA718C"/>
    <w:rsid w:val="00FA71D8"/>
    <w:rsid w:val="00FA720D"/>
    <w:rsid w:val="00FA731E"/>
    <w:rsid w:val="00FA73DF"/>
    <w:rsid w:val="00FA74C4"/>
    <w:rsid w:val="00FA74DF"/>
    <w:rsid w:val="00FA7538"/>
    <w:rsid w:val="00FA75DE"/>
    <w:rsid w:val="00FA7604"/>
    <w:rsid w:val="00FA7619"/>
    <w:rsid w:val="00FA76A8"/>
    <w:rsid w:val="00FA7850"/>
    <w:rsid w:val="00FA7906"/>
    <w:rsid w:val="00FA7964"/>
    <w:rsid w:val="00FA7A3A"/>
    <w:rsid w:val="00FA7AAC"/>
    <w:rsid w:val="00FA7AC2"/>
    <w:rsid w:val="00FA7ACA"/>
    <w:rsid w:val="00FA7C22"/>
    <w:rsid w:val="00FA7C65"/>
    <w:rsid w:val="00FA7F5A"/>
    <w:rsid w:val="00FB00AB"/>
    <w:rsid w:val="00FB0251"/>
    <w:rsid w:val="00FB02A4"/>
    <w:rsid w:val="00FB02D1"/>
    <w:rsid w:val="00FB0354"/>
    <w:rsid w:val="00FB0369"/>
    <w:rsid w:val="00FB0374"/>
    <w:rsid w:val="00FB03C5"/>
    <w:rsid w:val="00FB03F3"/>
    <w:rsid w:val="00FB04C9"/>
    <w:rsid w:val="00FB055D"/>
    <w:rsid w:val="00FB0564"/>
    <w:rsid w:val="00FB056F"/>
    <w:rsid w:val="00FB0570"/>
    <w:rsid w:val="00FB05C4"/>
    <w:rsid w:val="00FB0767"/>
    <w:rsid w:val="00FB079D"/>
    <w:rsid w:val="00FB07CD"/>
    <w:rsid w:val="00FB07DB"/>
    <w:rsid w:val="00FB0820"/>
    <w:rsid w:val="00FB082B"/>
    <w:rsid w:val="00FB0959"/>
    <w:rsid w:val="00FB0964"/>
    <w:rsid w:val="00FB0A55"/>
    <w:rsid w:val="00FB0AA3"/>
    <w:rsid w:val="00FB0C55"/>
    <w:rsid w:val="00FB0C65"/>
    <w:rsid w:val="00FB0D69"/>
    <w:rsid w:val="00FB0DFC"/>
    <w:rsid w:val="00FB0F6F"/>
    <w:rsid w:val="00FB0F98"/>
    <w:rsid w:val="00FB0F9D"/>
    <w:rsid w:val="00FB108A"/>
    <w:rsid w:val="00FB10A3"/>
    <w:rsid w:val="00FB11D5"/>
    <w:rsid w:val="00FB11E3"/>
    <w:rsid w:val="00FB1222"/>
    <w:rsid w:val="00FB122F"/>
    <w:rsid w:val="00FB127B"/>
    <w:rsid w:val="00FB12F6"/>
    <w:rsid w:val="00FB1343"/>
    <w:rsid w:val="00FB143C"/>
    <w:rsid w:val="00FB1449"/>
    <w:rsid w:val="00FB173E"/>
    <w:rsid w:val="00FB17F5"/>
    <w:rsid w:val="00FB189B"/>
    <w:rsid w:val="00FB1945"/>
    <w:rsid w:val="00FB19AB"/>
    <w:rsid w:val="00FB1A7C"/>
    <w:rsid w:val="00FB1B1D"/>
    <w:rsid w:val="00FB1B91"/>
    <w:rsid w:val="00FB1D28"/>
    <w:rsid w:val="00FB1D42"/>
    <w:rsid w:val="00FB1D81"/>
    <w:rsid w:val="00FB1D8A"/>
    <w:rsid w:val="00FB1DEA"/>
    <w:rsid w:val="00FB1E66"/>
    <w:rsid w:val="00FB1E6F"/>
    <w:rsid w:val="00FB1F66"/>
    <w:rsid w:val="00FB1FAE"/>
    <w:rsid w:val="00FB1FB2"/>
    <w:rsid w:val="00FB20C6"/>
    <w:rsid w:val="00FB21C9"/>
    <w:rsid w:val="00FB2239"/>
    <w:rsid w:val="00FB2251"/>
    <w:rsid w:val="00FB2259"/>
    <w:rsid w:val="00FB23AB"/>
    <w:rsid w:val="00FB23AD"/>
    <w:rsid w:val="00FB23CF"/>
    <w:rsid w:val="00FB248C"/>
    <w:rsid w:val="00FB24E1"/>
    <w:rsid w:val="00FB25C5"/>
    <w:rsid w:val="00FB271E"/>
    <w:rsid w:val="00FB27F6"/>
    <w:rsid w:val="00FB2824"/>
    <w:rsid w:val="00FB2A11"/>
    <w:rsid w:val="00FB2A8C"/>
    <w:rsid w:val="00FB2B74"/>
    <w:rsid w:val="00FB2C97"/>
    <w:rsid w:val="00FB2E22"/>
    <w:rsid w:val="00FB2F13"/>
    <w:rsid w:val="00FB2F2F"/>
    <w:rsid w:val="00FB2F5B"/>
    <w:rsid w:val="00FB2FAA"/>
    <w:rsid w:val="00FB2FC1"/>
    <w:rsid w:val="00FB313C"/>
    <w:rsid w:val="00FB322F"/>
    <w:rsid w:val="00FB3248"/>
    <w:rsid w:val="00FB3282"/>
    <w:rsid w:val="00FB33D1"/>
    <w:rsid w:val="00FB34B7"/>
    <w:rsid w:val="00FB3703"/>
    <w:rsid w:val="00FB389B"/>
    <w:rsid w:val="00FB3B21"/>
    <w:rsid w:val="00FB3BE0"/>
    <w:rsid w:val="00FB3C31"/>
    <w:rsid w:val="00FB3C8A"/>
    <w:rsid w:val="00FB3CCA"/>
    <w:rsid w:val="00FB3D38"/>
    <w:rsid w:val="00FB3E5B"/>
    <w:rsid w:val="00FB3F34"/>
    <w:rsid w:val="00FB3FEB"/>
    <w:rsid w:val="00FB402B"/>
    <w:rsid w:val="00FB40FE"/>
    <w:rsid w:val="00FB4173"/>
    <w:rsid w:val="00FB417B"/>
    <w:rsid w:val="00FB4188"/>
    <w:rsid w:val="00FB419E"/>
    <w:rsid w:val="00FB4261"/>
    <w:rsid w:val="00FB42CE"/>
    <w:rsid w:val="00FB4307"/>
    <w:rsid w:val="00FB4312"/>
    <w:rsid w:val="00FB4327"/>
    <w:rsid w:val="00FB435C"/>
    <w:rsid w:val="00FB43CB"/>
    <w:rsid w:val="00FB43DC"/>
    <w:rsid w:val="00FB43EF"/>
    <w:rsid w:val="00FB44B3"/>
    <w:rsid w:val="00FB4570"/>
    <w:rsid w:val="00FB45CF"/>
    <w:rsid w:val="00FB45D7"/>
    <w:rsid w:val="00FB46BB"/>
    <w:rsid w:val="00FB46BC"/>
    <w:rsid w:val="00FB49C2"/>
    <w:rsid w:val="00FB4AB2"/>
    <w:rsid w:val="00FB4B63"/>
    <w:rsid w:val="00FB4BAD"/>
    <w:rsid w:val="00FB4BC4"/>
    <w:rsid w:val="00FB4BE0"/>
    <w:rsid w:val="00FB4C7A"/>
    <w:rsid w:val="00FB4CA9"/>
    <w:rsid w:val="00FB4D0F"/>
    <w:rsid w:val="00FB4D55"/>
    <w:rsid w:val="00FB4DA0"/>
    <w:rsid w:val="00FB4E76"/>
    <w:rsid w:val="00FB4ED9"/>
    <w:rsid w:val="00FB500B"/>
    <w:rsid w:val="00FB5025"/>
    <w:rsid w:val="00FB505B"/>
    <w:rsid w:val="00FB50CF"/>
    <w:rsid w:val="00FB5139"/>
    <w:rsid w:val="00FB5175"/>
    <w:rsid w:val="00FB51D3"/>
    <w:rsid w:val="00FB5208"/>
    <w:rsid w:val="00FB520A"/>
    <w:rsid w:val="00FB5227"/>
    <w:rsid w:val="00FB538B"/>
    <w:rsid w:val="00FB541A"/>
    <w:rsid w:val="00FB547F"/>
    <w:rsid w:val="00FB54E2"/>
    <w:rsid w:val="00FB55AB"/>
    <w:rsid w:val="00FB55B6"/>
    <w:rsid w:val="00FB55C4"/>
    <w:rsid w:val="00FB5611"/>
    <w:rsid w:val="00FB5629"/>
    <w:rsid w:val="00FB564B"/>
    <w:rsid w:val="00FB56F5"/>
    <w:rsid w:val="00FB5751"/>
    <w:rsid w:val="00FB57A8"/>
    <w:rsid w:val="00FB57AD"/>
    <w:rsid w:val="00FB5988"/>
    <w:rsid w:val="00FB5BB7"/>
    <w:rsid w:val="00FB5BBE"/>
    <w:rsid w:val="00FB5C76"/>
    <w:rsid w:val="00FB5D33"/>
    <w:rsid w:val="00FB5E03"/>
    <w:rsid w:val="00FB5E5F"/>
    <w:rsid w:val="00FB5ECE"/>
    <w:rsid w:val="00FB5EDF"/>
    <w:rsid w:val="00FB5EE5"/>
    <w:rsid w:val="00FB5F1E"/>
    <w:rsid w:val="00FB6088"/>
    <w:rsid w:val="00FB6205"/>
    <w:rsid w:val="00FB638D"/>
    <w:rsid w:val="00FB6390"/>
    <w:rsid w:val="00FB662F"/>
    <w:rsid w:val="00FB6676"/>
    <w:rsid w:val="00FB66B9"/>
    <w:rsid w:val="00FB66E0"/>
    <w:rsid w:val="00FB677C"/>
    <w:rsid w:val="00FB68A4"/>
    <w:rsid w:val="00FB696A"/>
    <w:rsid w:val="00FB6A9D"/>
    <w:rsid w:val="00FB6B63"/>
    <w:rsid w:val="00FB6C01"/>
    <w:rsid w:val="00FB6CBF"/>
    <w:rsid w:val="00FB6D44"/>
    <w:rsid w:val="00FB6D4D"/>
    <w:rsid w:val="00FB6D89"/>
    <w:rsid w:val="00FB6DB5"/>
    <w:rsid w:val="00FB6E07"/>
    <w:rsid w:val="00FB6F31"/>
    <w:rsid w:val="00FB7023"/>
    <w:rsid w:val="00FB7199"/>
    <w:rsid w:val="00FB71EC"/>
    <w:rsid w:val="00FB723D"/>
    <w:rsid w:val="00FB730D"/>
    <w:rsid w:val="00FB734B"/>
    <w:rsid w:val="00FB7445"/>
    <w:rsid w:val="00FB7449"/>
    <w:rsid w:val="00FB754C"/>
    <w:rsid w:val="00FB758E"/>
    <w:rsid w:val="00FB77A3"/>
    <w:rsid w:val="00FB77C7"/>
    <w:rsid w:val="00FB77DE"/>
    <w:rsid w:val="00FB78B1"/>
    <w:rsid w:val="00FB7912"/>
    <w:rsid w:val="00FB796E"/>
    <w:rsid w:val="00FB7977"/>
    <w:rsid w:val="00FB797B"/>
    <w:rsid w:val="00FB798D"/>
    <w:rsid w:val="00FB7B17"/>
    <w:rsid w:val="00FB7BAF"/>
    <w:rsid w:val="00FB7BE2"/>
    <w:rsid w:val="00FB7C4F"/>
    <w:rsid w:val="00FB7D2B"/>
    <w:rsid w:val="00FB7D8D"/>
    <w:rsid w:val="00FB7DD7"/>
    <w:rsid w:val="00FB7E38"/>
    <w:rsid w:val="00FB7F2C"/>
    <w:rsid w:val="00FB7F94"/>
    <w:rsid w:val="00FB7FAD"/>
    <w:rsid w:val="00FC0043"/>
    <w:rsid w:val="00FC00C5"/>
    <w:rsid w:val="00FC00D4"/>
    <w:rsid w:val="00FC018A"/>
    <w:rsid w:val="00FC032A"/>
    <w:rsid w:val="00FC0390"/>
    <w:rsid w:val="00FC03AD"/>
    <w:rsid w:val="00FC03B0"/>
    <w:rsid w:val="00FC03E5"/>
    <w:rsid w:val="00FC03FF"/>
    <w:rsid w:val="00FC0482"/>
    <w:rsid w:val="00FC0559"/>
    <w:rsid w:val="00FC057E"/>
    <w:rsid w:val="00FC0610"/>
    <w:rsid w:val="00FC0646"/>
    <w:rsid w:val="00FC0736"/>
    <w:rsid w:val="00FC0794"/>
    <w:rsid w:val="00FC0799"/>
    <w:rsid w:val="00FC08A6"/>
    <w:rsid w:val="00FC0945"/>
    <w:rsid w:val="00FC0964"/>
    <w:rsid w:val="00FC09E0"/>
    <w:rsid w:val="00FC0A4A"/>
    <w:rsid w:val="00FC0A4C"/>
    <w:rsid w:val="00FC0AAC"/>
    <w:rsid w:val="00FC0B1D"/>
    <w:rsid w:val="00FC0B9D"/>
    <w:rsid w:val="00FC0B9E"/>
    <w:rsid w:val="00FC0BBA"/>
    <w:rsid w:val="00FC0C32"/>
    <w:rsid w:val="00FC0CE7"/>
    <w:rsid w:val="00FC0D1A"/>
    <w:rsid w:val="00FC0E87"/>
    <w:rsid w:val="00FC0EB7"/>
    <w:rsid w:val="00FC0F58"/>
    <w:rsid w:val="00FC0FE9"/>
    <w:rsid w:val="00FC115D"/>
    <w:rsid w:val="00FC1342"/>
    <w:rsid w:val="00FC1447"/>
    <w:rsid w:val="00FC14C8"/>
    <w:rsid w:val="00FC1514"/>
    <w:rsid w:val="00FC15F1"/>
    <w:rsid w:val="00FC1622"/>
    <w:rsid w:val="00FC1898"/>
    <w:rsid w:val="00FC190F"/>
    <w:rsid w:val="00FC191B"/>
    <w:rsid w:val="00FC19C4"/>
    <w:rsid w:val="00FC1A25"/>
    <w:rsid w:val="00FC1A44"/>
    <w:rsid w:val="00FC1A51"/>
    <w:rsid w:val="00FC1A60"/>
    <w:rsid w:val="00FC1B98"/>
    <w:rsid w:val="00FC1BF1"/>
    <w:rsid w:val="00FC1C61"/>
    <w:rsid w:val="00FC1D45"/>
    <w:rsid w:val="00FC1E29"/>
    <w:rsid w:val="00FC1E6C"/>
    <w:rsid w:val="00FC2183"/>
    <w:rsid w:val="00FC2263"/>
    <w:rsid w:val="00FC22DB"/>
    <w:rsid w:val="00FC22EB"/>
    <w:rsid w:val="00FC2383"/>
    <w:rsid w:val="00FC23B5"/>
    <w:rsid w:val="00FC25B2"/>
    <w:rsid w:val="00FC26C1"/>
    <w:rsid w:val="00FC2759"/>
    <w:rsid w:val="00FC278C"/>
    <w:rsid w:val="00FC2818"/>
    <w:rsid w:val="00FC292E"/>
    <w:rsid w:val="00FC299A"/>
    <w:rsid w:val="00FC29F4"/>
    <w:rsid w:val="00FC2BCA"/>
    <w:rsid w:val="00FC2CCD"/>
    <w:rsid w:val="00FC2D33"/>
    <w:rsid w:val="00FC2D4B"/>
    <w:rsid w:val="00FC2D83"/>
    <w:rsid w:val="00FC2E14"/>
    <w:rsid w:val="00FC2F64"/>
    <w:rsid w:val="00FC306B"/>
    <w:rsid w:val="00FC3094"/>
    <w:rsid w:val="00FC3168"/>
    <w:rsid w:val="00FC316B"/>
    <w:rsid w:val="00FC31FD"/>
    <w:rsid w:val="00FC326C"/>
    <w:rsid w:val="00FC33AB"/>
    <w:rsid w:val="00FC3404"/>
    <w:rsid w:val="00FC3502"/>
    <w:rsid w:val="00FC3552"/>
    <w:rsid w:val="00FC362E"/>
    <w:rsid w:val="00FC385E"/>
    <w:rsid w:val="00FC386F"/>
    <w:rsid w:val="00FC3890"/>
    <w:rsid w:val="00FC38CC"/>
    <w:rsid w:val="00FC3980"/>
    <w:rsid w:val="00FC39A1"/>
    <w:rsid w:val="00FC3A68"/>
    <w:rsid w:val="00FC3AC3"/>
    <w:rsid w:val="00FC3B12"/>
    <w:rsid w:val="00FC3B55"/>
    <w:rsid w:val="00FC3BA4"/>
    <w:rsid w:val="00FC3D6A"/>
    <w:rsid w:val="00FC40C2"/>
    <w:rsid w:val="00FC41B8"/>
    <w:rsid w:val="00FC4299"/>
    <w:rsid w:val="00FC4341"/>
    <w:rsid w:val="00FC44BB"/>
    <w:rsid w:val="00FC451C"/>
    <w:rsid w:val="00FC453E"/>
    <w:rsid w:val="00FC45DF"/>
    <w:rsid w:val="00FC4683"/>
    <w:rsid w:val="00FC469B"/>
    <w:rsid w:val="00FC46F7"/>
    <w:rsid w:val="00FC47ED"/>
    <w:rsid w:val="00FC48E5"/>
    <w:rsid w:val="00FC492F"/>
    <w:rsid w:val="00FC49D0"/>
    <w:rsid w:val="00FC49FF"/>
    <w:rsid w:val="00FC4A4E"/>
    <w:rsid w:val="00FC4AB3"/>
    <w:rsid w:val="00FC4B55"/>
    <w:rsid w:val="00FC4C90"/>
    <w:rsid w:val="00FC4D17"/>
    <w:rsid w:val="00FC4D40"/>
    <w:rsid w:val="00FC4EDD"/>
    <w:rsid w:val="00FC505E"/>
    <w:rsid w:val="00FC50BB"/>
    <w:rsid w:val="00FC5210"/>
    <w:rsid w:val="00FC5256"/>
    <w:rsid w:val="00FC52F4"/>
    <w:rsid w:val="00FC5335"/>
    <w:rsid w:val="00FC5436"/>
    <w:rsid w:val="00FC5512"/>
    <w:rsid w:val="00FC5558"/>
    <w:rsid w:val="00FC555F"/>
    <w:rsid w:val="00FC557D"/>
    <w:rsid w:val="00FC56CF"/>
    <w:rsid w:val="00FC56D6"/>
    <w:rsid w:val="00FC5700"/>
    <w:rsid w:val="00FC5713"/>
    <w:rsid w:val="00FC573A"/>
    <w:rsid w:val="00FC575A"/>
    <w:rsid w:val="00FC5791"/>
    <w:rsid w:val="00FC57A4"/>
    <w:rsid w:val="00FC58A0"/>
    <w:rsid w:val="00FC5962"/>
    <w:rsid w:val="00FC5A15"/>
    <w:rsid w:val="00FC5AB2"/>
    <w:rsid w:val="00FC5BE3"/>
    <w:rsid w:val="00FC5C60"/>
    <w:rsid w:val="00FC5CEA"/>
    <w:rsid w:val="00FC5DBD"/>
    <w:rsid w:val="00FC5DCC"/>
    <w:rsid w:val="00FC5DEF"/>
    <w:rsid w:val="00FC5E4F"/>
    <w:rsid w:val="00FC5F22"/>
    <w:rsid w:val="00FC5FC8"/>
    <w:rsid w:val="00FC6024"/>
    <w:rsid w:val="00FC6056"/>
    <w:rsid w:val="00FC6099"/>
    <w:rsid w:val="00FC619F"/>
    <w:rsid w:val="00FC61A2"/>
    <w:rsid w:val="00FC61AA"/>
    <w:rsid w:val="00FC61B8"/>
    <w:rsid w:val="00FC61E2"/>
    <w:rsid w:val="00FC6202"/>
    <w:rsid w:val="00FC62C6"/>
    <w:rsid w:val="00FC6328"/>
    <w:rsid w:val="00FC649C"/>
    <w:rsid w:val="00FC64DB"/>
    <w:rsid w:val="00FC6573"/>
    <w:rsid w:val="00FC66FB"/>
    <w:rsid w:val="00FC6815"/>
    <w:rsid w:val="00FC6829"/>
    <w:rsid w:val="00FC688F"/>
    <w:rsid w:val="00FC68FC"/>
    <w:rsid w:val="00FC68FE"/>
    <w:rsid w:val="00FC6919"/>
    <w:rsid w:val="00FC69A5"/>
    <w:rsid w:val="00FC6A24"/>
    <w:rsid w:val="00FC6A53"/>
    <w:rsid w:val="00FC6B95"/>
    <w:rsid w:val="00FC6CD0"/>
    <w:rsid w:val="00FC6CE0"/>
    <w:rsid w:val="00FC6F52"/>
    <w:rsid w:val="00FC704E"/>
    <w:rsid w:val="00FC7083"/>
    <w:rsid w:val="00FC716F"/>
    <w:rsid w:val="00FC71A4"/>
    <w:rsid w:val="00FC71BD"/>
    <w:rsid w:val="00FC720A"/>
    <w:rsid w:val="00FC73A5"/>
    <w:rsid w:val="00FC7408"/>
    <w:rsid w:val="00FC747F"/>
    <w:rsid w:val="00FC76C0"/>
    <w:rsid w:val="00FC7805"/>
    <w:rsid w:val="00FC78CA"/>
    <w:rsid w:val="00FC7969"/>
    <w:rsid w:val="00FC7A76"/>
    <w:rsid w:val="00FC7ACC"/>
    <w:rsid w:val="00FC7B90"/>
    <w:rsid w:val="00FC7BAF"/>
    <w:rsid w:val="00FC7C46"/>
    <w:rsid w:val="00FC7CA0"/>
    <w:rsid w:val="00FC7FAE"/>
    <w:rsid w:val="00FC7FC7"/>
    <w:rsid w:val="00FD0005"/>
    <w:rsid w:val="00FD0093"/>
    <w:rsid w:val="00FD038F"/>
    <w:rsid w:val="00FD03F3"/>
    <w:rsid w:val="00FD06DE"/>
    <w:rsid w:val="00FD07ED"/>
    <w:rsid w:val="00FD08E9"/>
    <w:rsid w:val="00FD0A75"/>
    <w:rsid w:val="00FD0AE9"/>
    <w:rsid w:val="00FD0BF8"/>
    <w:rsid w:val="00FD0E19"/>
    <w:rsid w:val="00FD0EF7"/>
    <w:rsid w:val="00FD0F74"/>
    <w:rsid w:val="00FD1095"/>
    <w:rsid w:val="00FD115A"/>
    <w:rsid w:val="00FD11EE"/>
    <w:rsid w:val="00FD1247"/>
    <w:rsid w:val="00FD1270"/>
    <w:rsid w:val="00FD1296"/>
    <w:rsid w:val="00FD1350"/>
    <w:rsid w:val="00FD140F"/>
    <w:rsid w:val="00FD14B0"/>
    <w:rsid w:val="00FD14FF"/>
    <w:rsid w:val="00FD150B"/>
    <w:rsid w:val="00FD157B"/>
    <w:rsid w:val="00FD1602"/>
    <w:rsid w:val="00FD1668"/>
    <w:rsid w:val="00FD172F"/>
    <w:rsid w:val="00FD1761"/>
    <w:rsid w:val="00FD18CD"/>
    <w:rsid w:val="00FD1A3D"/>
    <w:rsid w:val="00FD1B55"/>
    <w:rsid w:val="00FD1B7D"/>
    <w:rsid w:val="00FD1BB4"/>
    <w:rsid w:val="00FD1BDC"/>
    <w:rsid w:val="00FD1D71"/>
    <w:rsid w:val="00FD1F5F"/>
    <w:rsid w:val="00FD1F60"/>
    <w:rsid w:val="00FD2030"/>
    <w:rsid w:val="00FD2055"/>
    <w:rsid w:val="00FD2189"/>
    <w:rsid w:val="00FD22A3"/>
    <w:rsid w:val="00FD2325"/>
    <w:rsid w:val="00FD24BA"/>
    <w:rsid w:val="00FD26AC"/>
    <w:rsid w:val="00FD283E"/>
    <w:rsid w:val="00FD284B"/>
    <w:rsid w:val="00FD28A0"/>
    <w:rsid w:val="00FD28BA"/>
    <w:rsid w:val="00FD28FD"/>
    <w:rsid w:val="00FD2A53"/>
    <w:rsid w:val="00FD2B11"/>
    <w:rsid w:val="00FD2B48"/>
    <w:rsid w:val="00FD2BDF"/>
    <w:rsid w:val="00FD2BED"/>
    <w:rsid w:val="00FD2BF5"/>
    <w:rsid w:val="00FD2C6C"/>
    <w:rsid w:val="00FD2CA7"/>
    <w:rsid w:val="00FD2CE6"/>
    <w:rsid w:val="00FD2D02"/>
    <w:rsid w:val="00FD2DCC"/>
    <w:rsid w:val="00FD2DD8"/>
    <w:rsid w:val="00FD2E12"/>
    <w:rsid w:val="00FD2E42"/>
    <w:rsid w:val="00FD2EAA"/>
    <w:rsid w:val="00FD2F84"/>
    <w:rsid w:val="00FD302F"/>
    <w:rsid w:val="00FD3192"/>
    <w:rsid w:val="00FD31ED"/>
    <w:rsid w:val="00FD31FD"/>
    <w:rsid w:val="00FD3244"/>
    <w:rsid w:val="00FD325C"/>
    <w:rsid w:val="00FD327F"/>
    <w:rsid w:val="00FD332B"/>
    <w:rsid w:val="00FD33AF"/>
    <w:rsid w:val="00FD3440"/>
    <w:rsid w:val="00FD3477"/>
    <w:rsid w:val="00FD349A"/>
    <w:rsid w:val="00FD35E0"/>
    <w:rsid w:val="00FD3638"/>
    <w:rsid w:val="00FD3650"/>
    <w:rsid w:val="00FD375E"/>
    <w:rsid w:val="00FD38A6"/>
    <w:rsid w:val="00FD3935"/>
    <w:rsid w:val="00FD39F1"/>
    <w:rsid w:val="00FD3B6D"/>
    <w:rsid w:val="00FD3C34"/>
    <w:rsid w:val="00FD3CEC"/>
    <w:rsid w:val="00FD3D21"/>
    <w:rsid w:val="00FD3D2C"/>
    <w:rsid w:val="00FD3E77"/>
    <w:rsid w:val="00FD3EBE"/>
    <w:rsid w:val="00FD3ECE"/>
    <w:rsid w:val="00FD3F01"/>
    <w:rsid w:val="00FD3FC3"/>
    <w:rsid w:val="00FD4040"/>
    <w:rsid w:val="00FD420C"/>
    <w:rsid w:val="00FD4256"/>
    <w:rsid w:val="00FD42D9"/>
    <w:rsid w:val="00FD4364"/>
    <w:rsid w:val="00FD4487"/>
    <w:rsid w:val="00FD44F7"/>
    <w:rsid w:val="00FD4546"/>
    <w:rsid w:val="00FD462D"/>
    <w:rsid w:val="00FD4771"/>
    <w:rsid w:val="00FD4A11"/>
    <w:rsid w:val="00FD4A21"/>
    <w:rsid w:val="00FD4A77"/>
    <w:rsid w:val="00FD4AF3"/>
    <w:rsid w:val="00FD4BE1"/>
    <w:rsid w:val="00FD4CCE"/>
    <w:rsid w:val="00FD4D7C"/>
    <w:rsid w:val="00FD4DB2"/>
    <w:rsid w:val="00FD4EEA"/>
    <w:rsid w:val="00FD4F64"/>
    <w:rsid w:val="00FD4FB8"/>
    <w:rsid w:val="00FD4FD4"/>
    <w:rsid w:val="00FD5012"/>
    <w:rsid w:val="00FD5071"/>
    <w:rsid w:val="00FD5176"/>
    <w:rsid w:val="00FD517F"/>
    <w:rsid w:val="00FD5196"/>
    <w:rsid w:val="00FD532F"/>
    <w:rsid w:val="00FD5363"/>
    <w:rsid w:val="00FD5494"/>
    <w:rsid w:val="00FD54EF"/>
    <w:rsid w:val="00FD5689"/>
    <w:rsid w:val="00FD5700"/>
    <w:rsid w:val="00FD574A"/>
    <w:rsid w:val="00FD5828"/>
    <w:rsid w:val="00FD5882"/>
    <w:rsid w:val="00FD592F"/>
    <w:rsid w:val="00FD5953"/>
    <w:rsid w:val="00FD5979"/>
    <w:rsid w:val="00FD5994"/>
    <w:rsid w:val="00FD59C2"/>
    <w:rsid w:val="00FD5B57"/>
    <w:rsid w:val="00FD5B74"/>
    <w:rsid w:val="00FD5D65"/>
    <w:rsid w:val="00FD5D6E"/>
    <w:rsid w:val="00FD5E06"/>
    <w:rsid w:val="00FD5E4B"/>
    <w:rsid w:val="00FD601A"/>
    <w:rsid w:val="00FD6059"/>
    <w:rsid w:val="00FD607E"/>
    <w:rsid w:val="00FD609A"/>
    <w:rsid w:val="00FD60A3"/>
    <w:rsid w:val="00FD6197"/>
    <w:rsid w:val="00FD623D"/>
    <w:rsid w:val="00FD62CC"/>
    <w:rsid w:val="00FD6496"/>
    <w:rsid w:val="00FD651B"/>
    <w:rsid w:val="00FD6526"/>
    <w:rsid w:val="00FD659A"/>
    <w:rsid w:val="00FD65C0"/>
    <w:rsid w:val="00FD6641"/>
    <w:rsid w:val="00FD6652"/>
    <w:rsid w:val="00FD66C1"/>
    <w:rsid w:val="00FD6790"/>
    <w:rsid w:val="00FD67FE"/>
    <w:rsid w:val="00FD6886"/>
    <w:rsid w:val="00FD6B26"/>
    <w:rsid w:val="00FD6B43"/>
    <w:rsid w:val="00FD6BA0"/>
    <w:rsid w:val="00FD6BF7"/>
    <w:rsid w:val="00FD6C56"/>
    <w:rsid w:val="00FD6C7B"/>
    <w:rsid w:val="00FD6CBB"/>
    <w:rsid w:val="00FD6D7B"/>
    <w:rsid w:val="00FD6D8B"/>
    <w:rsid w:val="00FD6D98"/>
    <w:rsid w:val="00FD6EA3"/>
    <w:rsid w:val="00FD6EB6"/>
    <w:rsid w:val="00FD6EBB"/>
    <w:rsid w:val="00FD6F46"/>
    <w:rsid w:val="00FD6FF5"/>
    <w:rsid w:val="00FD7028"/>
    <w:rsid w:val="00FD716D"/>
    <w:rsid w:val="00FD718B"/>
    <w:rsid w:val="00FD729F"/>
    <w:rsid w:val="00FD73CC"/>
    <w:rsid w:val="00FD74A4"/>
    <w:rsid w:val="00FD74CF"/>
    <w:rsid w:val="00FD7644"/>
    <w:rsid w:val="00FD76C5"/>
    <w:rsid w:val="00FD789C"/>
    <w:rsid w:val="00FD7986"/>
    <w:rsid w:val="00FD79E8"/>
    <w:rsid w:val="00FD7A22"/>
    <w:rsid w:val="00FD7B41"/>
    <w:rsid w:val="00FD7BD2"/>
    <w:rsid w:val="00FE0005"/>
    <w:rsid w:val="00FE002F"/>
    <w:rsid w:val="00FE00D6"/>
    <w:rsid w:val="00FE0147"/>
    <w:rsid w:val="00FE036A"/>
    <w:rsid w:val="00FE03A6"/>
    <w:rsid w:val="00FE03FA"/>
    <w:rsid w:val="00FE042F"/>
    <w:rsid w:val="00FE0475"/>
    <w:rsid w:val="00FE04FC"/>
    <w:rsid w:val="00FE054E"/>
    <w:rsid w:val="00FE063E"/>
    <w:rsid w:val="00FE0643"/>
    <w:rsid w:val="00FE0707"/>
    <w:rsid w:val="00FE070F"/>
    <w:rsid w:val="00FE0786"/>
    <w:rsid w:val="00FE0795"/>
    <w:rsid w:val="00FE08E6"/>
    <w:rsid w:val="00FE0993"/>
    <w:rsid w:val="00FE09B5"/>
    <w:rsid w:val="00FE0B08"/>
    <w:rsid w:val="00FE0C70"/>
    <w:rsid w:val="00FE0CDB"/>
    <w:rsid w:val="00FE0EF9"/>
    <w:rsid w:val="00FE0F42"/>
    <w:rsid w:val="00FE0FFA"/>
    <w:rsid w:val="00FE1003"/>
    <w:rsid w:val="00FE10AB"/>
    <w:rsid w:val="00FE10FD"/>
    <w:rsid w:val="00FE1120"/>
    <w:rsid w:val="00FE11E0"/>
    <w:rsid w:val="00FE11E9"/>
    <w:rsid w:val="00FE123C"/>
    <w:rsid w:val="00FE12AD"/>
    <w:rsid w:val="00FE1356"/>
    <w:rsid w:val="00FE1665"/>
    <w:rsid w:val="00FE16E5"/>
    <w:rsid w:val="00FE17AE"/>
    <w:rsid w:val="00FE1896"/>
    <w:rsid w:val="00FE1B1E"/>
    <w:rsid w:val="00FE1BF9"/>
    <w:rsid w:val="00FE1CE1"/>
    <w:rsid w:val="00FE1D93"/>
    <w:rsid w:val="00FE1EEC"/>
    <w:rsid w:val="00FE1F9A"/>
    <w:rsid w:val="00FE20C6"/>
    <w:rsid w:val="00FE21D8"/>
    <w:rsid w:val="00FE2251"/>
    <w:rsid w:val="00FE22D1"/>
    <w:rsid w:val="00FE2386"/>
    <w:rsid w:val="00FE24AE"/>
    <w:rsid w:val="00FE2522"/>
    <w:rsid w:val="00FE253F"/>
    <w:rsid w:val="00FE2569"/>
    <w:rsid w:val="00FE25E3"/>
    <w:rsid w:val="00FE25F3"/>
    <w:rsid w:val="00FE266F"/>
    <w:rsid w:val="00FE26F3"/>
    <w:rsid w:val="00FE272E"/>
    <w:rsid w:val="00FE27DB"/>
    <w:rsid w:val="00FE2817"/>
    <w:rsid w:val="00FE2956"/>
    <w:rsid w:val="00FE297C"/>
    <w:rsid w:val="00FE29CB"/>
    <w:rsid w:val="00FE2A12"/>
    <w:rsid w:val="00FE2F2C"/>
    <w:rsid w:val="00FE2F69"/>
    <w:rsid w:val="00FE3076"/>
    <w:rsid w:val="00FE30B0"/>
    <w:rsid w:val="00FE3110"/>
    <w:rsid w:val="00FE3313"/>
    <w:rsid w:val="00FE3325"/>
    <w:rsid w:val="00FE3348"/>
    <w:rsid w:val="00FE347C"/>
    <w:rsid w:val="00FE3492"/>
    <w:rsid w:val="00FE35DA"/>
    <w:rsid w:val="00FE3607"/>
    <w:rsid w:val="00FE368E"/>
    <w:rsid w:val="00FE369E"/>
    <w:rsid w:val="00FE3702"/>
    <w:rsid w:val="00FE37A0"/>
    <w:rsid w:val="00FE37AC"/>
    <w:rsid w:val="00FE37B3"/>
    <w:rsid w:val="00FE37F8"/>
    <w:rsid w:val="00FE3813"/>
    <w:rsid w:val="00FE3830"/>
    <w:rsid w:val="00FE3887"/>
    <w:rsid w:val="00FE39A6"/>
    <w:rsid w:val="00FE39E1"/>
    <w:rsid w:val="00FE3A69"/>
    <w:rsid w:val="00FE3AA2"/>
    <w:rsid w:val="00FE3B07"/>
    <w:rsid w:val="00FE3B91"/>
    <w:rsid w:val="00FE3B97"/>
    <w:rsid w:val="00FE3C35"/>
    <w:rsid w:val="00FE3D08"/>
    <w:rsid w:val="00FE3DD4"/>
    <w:rsid w:val="00FE3DDF"/>
    <w:rsid w:val="00FE3F70"/>
    <w:rsid w:val="00FE40C9"/>
    <w:rsid w:val="00FE4134"/>
    <w:rsid w:val="00FE4331"/>
    <w:rsid w:val="00FE43A7"/>
    <w:rsid w:val="00FE44BA"/>
    <w:rsid w:val="00FE4576"/>
    <w:rsid w:val="00FE4645"/>
    <w:rsid w:val="00FE4736"/>
    <w:rsid w:val="00FE477C"/>
    <w:rsid w:val="00FE4786"/>
    <w:rsid w:val="00FE47BA"/>
    <w:rsid w:val="00FE47D5"/>
    <w:rsid w:val="00FE4853"/>
    <w:rsid w:val="00FE4880"/>
    <w:rsid w:val="00FE494D"/>
    <w:rsid w:val="00FE496F"/>
    <w:rsid w:val="00FE49B9"/>
    <w:rsid w:val="00FE49DC"/>
    <w:rsid w:val="00FE4AC8"/>
    <w:rsid w:val="00FE4AF4"/>
    <w:rsid w:val="00FE4AFD"/>
    <w:rsid w:val="00FE4B85"/>
    <w:rsid w:val="00FE4DA7"/>
    <w:rsid w:val="00FE4E4A"/>
    <w:rsid w:val="00FE4E9F"/>
    <w:rsid w:val="00FE4ECC"/>
    <w:rsid w:val="00FE4EFA"/>
    <w:rsid w:val="00FE4F9C"/>
    <w:rsid w:val="00FE501E"/>
    <w:rsid w:val="00FE5023"/>
    <w:rsid w:val="00FE5115"/>
    <w:rsid w:val="00FE518B"/>
    <w:rsid w:val="00FE5285"/>
    <w:rsid w:val="00FE52A2"/>
    <w:rsid w:val="00FE52D7"/>
    <w:rsid w:val="00FE53DC"/>
    <w:rsid w:val="00FE550B"/>
    <w:rsid w:val="00FE55CF"/>
    <w:rsid w:val="00FE5687"/>
    <w:rsid w:val="00FE56C7"/>
    <w:rsid w:val="00FE5727"/>
    <w:rsid w:val="00FE5866"/>
    <w:rsid w:val="00FE5889"/>
    <w:rsid w:val="00FE5960"/>
    <w:rsid w:val="00FE59AF"/>
    <w:rsid w:val="00FE5A46"/>
    <w:rsid w:val="00FE5A4C"/>
    <w:rsid w:val="00FE5B33"/>
    <w:rsid w:val="00FE5B8B"/>
    <w:rsid w:val="00FE5BCC"/>
    <w:rsid w:val="00FE5C74"/>
    <w:rsid w:val="00FE5D6F"/>
    <w:rsid w:val="00FE5EDC"/>
    <w:rsid w:val="00FE5F22"/>
    <w:rsid w:val="00FE5F24"/>
    <w:rsid w:val="00FE5F2A"/>
    <w:rsid w:val="00FE5F7F"/>
    <w:rsid w:val="00FE605F"/>
    <w:rsid w:val="00FE609E"/>
    <w:rsid w:val="00FE6142"/>
    <w:rsid w:val="00FE61D3"/>
    <w:rsid w:val="00FE6250"/>
    <w:rsid w:val="00FE62B8"/>
    <w:rsid w:val="00FE6308"/>
    <w:rsid w:val="00FE640C"/>
    <w:rsid w:val="00FE6484"/>
    <w:rsid w:val="00FE6542"/>
    <w:rsid w:val="00FE6597"/>
    <w:rsid w:val="00FE6610"/>
    <w:rsid w:val="00FE677E"/>
    <w:rsid w:val="00FE6858"/>
    <w:rsid w:val="00FE68D7"/>
    <w:rsid w:val="00FE6B0F"/>
    <w:rsid w:val="00FE6B55"/>
    <w:rsid w:val="00FE6B89"/>
    <w:rsid w:val="00FE6BAC"/>
    <w:rsid w:val="00FE6BB0"/>
    <w:rsid w:val="00FE6C21"/>
    <w:rsid w:val="00FE6C84"/>
    <w:rsid w:val="00FE6CAE"/>
    <w:rsid w:val="00FE6D72"/>
    <w:rsid w:val="00FE6E4B"/>
    <w:rsid w:val="00FE6E6E"/>
    <w:rsid w:val="00FE6F4C"/>
    <w:rsid w:val="00FE70AA"/>
    <w:rsid w:val="00FE7145"/>
    <w:rsid w:val="00FE719E"/>
    <w:rsid w:val="00FE73C6"/>
    <w:rsid w:val="00FE73EA"/>
    <w:rsid w:val="00FE7425"/>
    <w:rsid w:val="00FE747A"/>
    <w:rsid w:val="00FE75EA"/>
    <w:rsid w:val="00FE7674"/>
    <w:rsid w:val="00FE7729"/>
    <w:rsid w:val="00FE7874"/>
    <w:rsid w:val="00FE78A5"/>
    <w:rsid w:val="00FE795A"/>
    <w:rsid w:val="00FE7BE0"/>
    <w:rsid w:val="00FE7BE7"/>
    <w:rsid w:val="00FE7C0F"/>
    <w:rsid w:val="00FE7C5C"/>
    <w:rsid w:val="00FE7CCF"/>
    <w:rsid w:val="00FE7DA2"/>
    <w:rsid w:val="00FE7DE3"/>
    <w:rsid w:val="00FE7E49"/>
    <w:rsid w:val="00FF0011"/>
    <w:rsid w:val="00FF0113"/>
    <w:rsid w:val="00FF014C"/>
    <w:rsid w:val="00FF0186"/>
    <w:rsid w:val="00FF0381"/>
    <w:rsid w:val="00FF0383"/>
    <w:rsid w:val="00FF05BA"/>
    <w:rsid w:val="00FF0604"/>
    <w:rsid w:val="00FF0642"/>
    <w:rsid w:val="00FF065F"/>
    <w:rsid w:val="00FF06E9"/>
    <w:rsid w:val="00FF082E"/>
    <w:rsid w:val="00FF09A1"/>
    <w:rsid w:val="00FF09E0"/>
    <w:rsid w:val="00FF0AD4"/>
    <w:rsid w:val="00FF0B2F"/>
    <w:rsid w:val="00FF0B60"/>
    <w:rsid w:val="00FF0C8E"/>
    <w:rsid w:val="00FF0CA8"/>
    <w:rsid w:val="00FF0CAA"/>
    <w:rsid w:val="00FF0D0C"/>
    <w:rsid w:val="00FF0DB5"/>
    <w:rsid w:val="00FF0E17"/>
    <w:rsid w:val="00FF0F8A"/>
    <w:rsid w:val="00FF0FD5"/>
    <w:rsid w:val="00FF107A"/>
    <w:rsid w:val="00FF1082"/>
    <w:rsid w:val="00FF10F1"/>
    <w:rsid w:val="00FF117D"/>
    <w:rsid w:val="00FF1192"/>
    <w:rsid w:val="00FF1224"/>
    <w:rsid w:val="00FF1296"/>
    <w:rsid w:val="00FF1301"/>
    <w:rsid w:val="00FF1391"/>
    <w:rsid w:val="00FF13E5"/>
    <w:rsid w:val="00FF13F1"/>
    <w:rsid w:val="00FF1449"/>
    <w:rsid w:val="00FF1522"/>
    <w:rsid w:val="00FF168E"/>
    <w:rsid w:val="00FF1810"/>
    <w:rsid w:val="00FF1943"/>
    <w:rsid w:val="00FF1A44"/>
    <w:rsid w:val="00FF1A4E"/>
    <w:rsid w:val="00FF1A6F"/>
    <w:rsid w:val="00FF1B27"/>
    <w:rsid w:val="00FF1C54"/>
    <w:rsid w:val="00FF1CA9"/>
    <w:rsid w:val="00FF1DB3"/>
    <w:rsid w:val="00FF1E40"/>
    <w:rsid w:val="00FF1F1C"/>
    <w:rsid w:val="00FF1F32"/>
    <w:rsid w:val="00FF200C"/>
    <w:rsid w:val="00FF2029"/>
    <w:rsid w:val="00FF204A"/>
    <w:rsid w:val="00FF205B"/>
    <w:rsid w:val="00FF2098"/>
    <w:rsid w:val="00FF210E"/>
    <w:rsid w:val="00FF212B"/>
    <w:rsid w:val="00FF21E7"/>
    <w:rsid w:val="00FF22B1"/>
    <w:rsid w:val="00FF23B0"/>
    <w:rsid w:val="00FF23C6"/>
    <w:rsid w:val="00FF2400"/>
    <w:rsid w:val="00FF2415"/>
    <w:rsid w:val="00FF2448"/>
    <w:rsid w:val="00FF26A7"/>
    <w:rsid w:val="00FF26D1"/>
    <w:rsid w:val="00FF26F6"/>
    <w:rsid w:val="00FF2738"/>
    <w:rsid w:val="00FF2745"/>
    <w:rsid w:val="00FF277F"/>
    <w:rsid w:val="00FF280E"/>
    <w:rsid w:val="00FF2889"/>
    <w:rsid w:val="00FF2962"/>
    <w:rsid w:val="00FF2975"/>
    <w:rsid w:val="00FF2A49"/>
    <w:rsid w:val="00FF2BF3"/>
    <w:rsid w:val="00FF2D45"/>
    <w:rsid w:val="00FF2D51"/>
    <w:rsid w:val="00FF2E76"/>
    <w:rsid w:val="00FF2EE3"/>
    <w:rsid w:val="00FF3000"/>
    <w:rsid w:val="00FF3091"/>
    <w:rsid w:val="00FF30AF"/>
    <w:rsid w:val="00FF30BA"/>
    <w:rsid w:val="00FF30DE"/>
    <w:rsid w:val="00FF315E"/>
    <w:rsid w:val="00FF316C"/>
    <w:rsid w:val="00FF324D"/>
    <w:rsid w:val="00FF3378"/>
    <w:rsid w:val="00FF33D4"/>
    <w:rsid w:val="00FF3404"/>
    <w:rsid w:val="00FF3432"/>
    <w:rsid w:val="00FF34B7"/>
    <w:rsid w:val="00FF354E"/>
    <w:rsid w:val="00FF3623"/>
    <w:rsid w:val="00FF371A"/>
    <w:rsid w:val="00FF373D"/>
    <w:rsid w:val="00FF3747"/>
    <w:rsid w:val="00FF37C7"/>
    <w:rsid w:val="00FF37C8"/>
    <w:rsid w:val="00FF38DF"/>
    <w:rsid w:val="00FF3918"/>
    <w:rsid w:val="00FF393A"/>
    <w:rsid w:val="00FF3A1B"/>
    <w:rsid w:val="00FF3B6F"/>
    <w:rsid w:val="00FF3B9A"/>
    <w:rsid w:val="00FF3B9C"/>
    <w:rsid w:val="00FF3D97"/>
    <w:rsid w:val="00FF3E9E"/>
    <w:rsid w:val="00FF3F1A"/>
    <w:rsid w:val="00FF414A"/>
    <w:rsid w:val="00FF4279"/>
    <w:rsid w:val="00FF4306"/>
    <w:rsid w:val="00FF4331"/>
    <w:rsid w:val="00FF43A7"/>
    <w:rsid w:val="00FF43FB"/>
    <w:rsid w:val="00FF45D9"/>
    <w:rsid w:val="00FF46AE"/>
    <w:rsid w:val="00FF4759"/>
    <w:rsid w:val="00FF47C2"/>
    <w:rsid w:val="00FF47CE"/>
    <w:rsid w:val="00FF481A"/>
    <w:rsid w:val="00FF4965"/>
    <w:rsid w:val="00FF4975"/>
    <w:rsid w:val="00FF49FB"/>
    <w:rsid w:val="00FF4B0D"/>
    <w:rsid w:val="00FF4BB2"/>
    <w:rsid w:val="00FF4C19"/>
    <w:rsid w:val="00FF4C24"/>
    <w:rsid w:val="00FF4C94"/>
    <w:rsid w:val="00FF504C"/>
    <w:rsid w:val="00FF5192"/>
    <w:rsid w:val="00FF5278"/>
    <w:rsid w:val="00FF5280"/>
    <w:rsid w:val="00FF5358"/>
    <w:rsid w:val="00FF5441"/>
    <w:rsid w:val="00FF5623"/>
    <w:rsid w:val="00FF5648"/>
    <w:rsid w:val="00FF5660"/>
    <w:rsid w:val="00FF5691"/>
    <w:rsid w:val="00FF56FA"/>
    <w:rsid w:val="00FF56FD"/>
    <w:rsid w:val="00FF5785"/>
    <w:rsid w:val="00FF580A"/>
    <w:rsid w:val="00FF580B"/>
    <w:rsid w:val="00FF590C"/>
    <w:rsid w:val="00FF59DA"/>
    <w:rsid w:val="00FF5C39"/>
    <w:rsid w:val="00FF5D60"/>
    <w:rsid w:val="00FF5D77"/>
    <w:rsid w:val="00FF5E0B"/>
    <w:rsid w:val="00FF5EC3"/>
    <w:rsid w:val="00FF5F51"/>
    <w:rsid w:val="00FF600E"/>
    <w:rsid w:val="00FF608B"/>
    <w:rsid w:val="00FF60A6"/>
    <w:rsid w:val="00FF610E"/>
    <w:rsid w:val="00FF6254"/>
    <w:rsid w:val="00FF6279"/>
    <w:rsid w:val="00FF633B"/>
    <w:rsid w:val="00FF635D"/>
    <w:rsid w:val="00FF6426"/>
    <w:rsid w:val="00FF6631"/>
    <w:rsid w:val="00FF665C"/>
    <w:rsid w:val="00FF667D"/>
    <w:rsid w:val="00FF677C"/>
    <w:rsid w:val="00FF683E"/>
    <w:rsid w:val="00FF68A9"/>
    <w:rsid w:val="00FF68FA"/>
    <w:rsid w:val="00FF69A4"/>
    <w:rsid w:val="00FF6A07"/>
    <w:rsid w:val="00FF6A3E"/>
    <w:rsid w:val="00FF6A59"/>
    <w:rsid w:val="00FF6CDD"/>
    <w:rsid w:val="00FF6DAC"/>
    <w:rsid w:val="00FF6F91"/>
    <w:rsid w:val="00FF704F"/>
    <w:rsid w:val="00FF7162"/>
    <w:rsid w:val="00FF7169"/>
    <w:rsid w:val="00FF717A"/>
    <w:rsid w:val="00FF7281"/>
    <w:rsid w:val="00FF72AE"/>
    <w:rsid w:val="00FF7392"/>
    <w:rsid w:val="00FF73AF"/>
    <w:rsid w:val="00FF741E"/>
    <w:rsid w:val="00FF754F"/>
    <w:rsid w:val="00FF7551"/>
    <w:rsid w:val="00FF757B"/>
    <w:rsid w:val="00FF7634"/>
    <w:rsid w:val="00FF77A2"/>
    <w:rsid w:val="00FF77E1"/>
    <w:rsid w:val="00FF7871"/>
    <w:rsid w:val="00FF7903"/>
    <w:rsid w:val="00FF79BA"/>
    <w:rsid w:val="00FF7A4A"/>
    <w:rsid w:val="00FF7AA4"/>
    <w:rsid w:val="00FF7B52"/>
    <w:rsid w:val="00FF7B6E"/>
    <w:rsid w:val="00FF7B82"/>
    <w:rsid w:val="00FF7C44"/>
    <w:rsid w:val="00FF7CB6"/>
    <w:rsid w:val="00FF7D02"/>
    <w:rsid w:val="00FF7D69"/>
    <w:rsid w:val="00FF7D91"/>
    <w:rsid w:val="00FF7D96"/>
    <w:rsid w:val="00FF7DED"/>
    <w:rsid w:val="00FF7E23"/>
    <w:rsid w:val="00FF7E82"/>
    <w:rsid w:val="00FF7EA6"/>
    <w:rsid w:val="00FF7EBF"/>
    <w:rsid w:val="00FF7F3E"/>
    <w:rsid w:val="00FF7F69"/>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33c,#33f,#006,#00c"/>
    </o:shapedefaults>
    <o:shapelayout v:ext="edit">
      <o:idmap v:ext="edit" data="1"/>
    </o:shapelayout>
  </w:shapeDefaults>
  <w:decimalSymbol w:val="."/>
  <w:listSeparator w:val=","/>
  <w14:docId w14:val="0F42C22B"/>
  <w15:docId w15:val="{0BFA3DCF-5A7B-4B36-87B5-4E9E0907F6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s-MX" w:eastAsia="es-MX"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lsdException w:name="toc 2" w:semiHidden="1" w:uiPriority="99" w:unhideWhenUsed="1"/>
    <w:lsdException w:name="toc 3" w:semiHidden="1" w:uiPriority="9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iPriority="99" w:unhideWhenUsed="1"/>
    <w:lsdException w:name="footnote text" w:semiHidden="1" w:uiPriority="99"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iPriority="99" w:unhideWhenUsed="1"/>
    <w:lsdException w:name="List 2" w:semiHidden="1" w:uiPriority="99" w:unhideWhenUsed="1"/>
    <w:lsdException w:name="List 3" w:semiHidden="1" w:uiPriority="99"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nhideWhenUsed="1"/>
    <w:lsdException w:name="List Number 2" w:semiHidden="1" w:uiPriority="99"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nhideWhenUsed="1"/>
    <w:lsdException w:name="Message Header" w:semiHidden="1" w:uiPriority="99" w:unhideWhenUsed="1"/>
    <w:lsdException w:name="Subtitle" w:uiPriority="99" w:qFormat="1"/>
    <w:lsdException w:name="Salutation" w:uiPriority="99"/>
    <w:lsdException w:name="Date" w:uiPriority="99"/>
    <w:lsdException w:name="Body Text First Indent" w:uiPriority="99"/>
    <w:lsdException w:name="Body Text First Indent 2" w:semiHidden="1" w:uiPriority="99"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iPriority="99" w:unhideWhenUsed="1"/>
    <w:lsdException w:name="Hyperlink" w:semiHidden="1" w:uiPriority="99" w:unhideWhenUsed="1"/>
    <w:lsdException w:name="FollowedHyperlink" w:semiHidden="1" w:uiPriority="99" w:unhideWhenUsed="1"/>
    <w:lsdException w:name="Strong" w:qFormat="1"/>
    <w:lsdException w:name="Emphasis" w:uiPriority="20" w:qFormat="1"/>
    <w:lsdException w:name="Document Map" w:semiHidden="1" w:uiPriority="99"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1157B"/>
    <w:rPr>
      <w:sz w:val="24"/>
      <w:szCs w:val="24"/>
      <w:lang w:eastAsia="es-ES"/>
    </w:rPr>
  </w:style>
  <w:style w:type="paragraph" w:styleId="Ttulo1">
    <w:name w:val="heading 1"/>
    <w:aliases w:val="num.                          1"/>
    <w:basedOn w:val="Normal"/>
    <w:link w:val="Ttulo1Car"/>
    <w:uiPriority w:val="9"/>
    <w:qFormat/>
    <w:rsid w:val="00412ED0"/>
    <w:pPr>
      <w:spacing w:before="100" w:beforeAutospacing="1" w:after="100" w:afterAutospacing="1"/>
      <w:outlineLvl w:val="0"/>
    </w:pPr>
    <w:rPr>
      <w:rFonts w:ascii="Arial" w:hAnsi="Arial" w:cs="Arial"/>
      <w:b/>
      <w:bCs/>
      <w:kern w:val="36"/>
      <w:sz w:val="48"/>
      <w:szCs w:val="48"/>
      <w:lang w:eastAsia="es-MX"/>
    </w:rPr>
  </w:style>
  <w:style w:type="paragraph" w:styleId="Ttulo2">
    <w:name w:val="heading 2"/>
    <w:basedOn w:val="Normal"/>
    <w:next w:val="Normal"/>
    <w:link w:val="Ttulo2Car"/>
    <w:uiPriority w:val="9"/>
    <w:qFormat/>
    <w:rsid w:val="002B0452"/>
    <w:pPr>
      <w:keepNext/>
      <w:spacing w:before="60" w:after="60"/>
      <w:jc w:val="center"/>
      <w:outlineLvl w:val="1"/>
    </w:pPr>
    <w:rPr>
      <w:b/>
      <w:bCs/>
      <w:sz w:val="16"/>
      <w:szCs w:val="26"/>
      <w:lang w:val="es-ES"/>
    </w:rPr>
  </w:style>
  <w:style w:type="paragraph" w:styleId="Ttulo3">
    <w:name w:val="heading 3"/>
    <w:aliases w:val="num.                                              3"/>
    <w:basedOn w:val="Normal"/>
    <w:next w:val="Normal"/>
    <w:link w:val="Ttulo3Car"/>
    <w:uiPriority w:val="9"/>
    <w:qFormat/>
    <w:rsid w:val="002B0452"/>
    <w:pPr>
      <w:keepNext/>
      <w:spacing w:after="120"/>
      <w:jc w:val="center"/>
      <w:outlineLvl w:val="2"/>
    </w:pPr>
    <w:rPr>
      <w:b/>
      <w:bCs/>
      <w:sz w:val="22"/>
      <w:szCs w:val="22"/>
      <w:lang w:val="es-ES"/>
    </w:rPr>
  </w:style>
  <w:style w:type="paragraph" w:styleId="Ttulo4">
    <w:name w:val="heading 4"/>
    <w:aliases w:val="num.                                               4"/>
    <w:basedOn w:val="Normal"/>
    <w:next w:val="Normal"/>
    <w:link w:val="Ttulo4Car"/>
    <w:uiPriority w:val="9"/>
    <w:qFormat/>
    <w:rsid w:val="002B0452"/>
    <w:pPr>
      <w:keepNext/>
      <w:jc w:val="center"/>
      <w:outlineLvl w:val="3"/>
    </w:pPr>
    <w:rPr>
      <w:b/>
      <w:bCs/>
      <w:caps/>
      <w:sz w:val="18"/>
      <w:szCs w:val="26"/>
      <w:lang w:val="es-ES"/>
    </w:rPr>
  </w:style>
  <w:style w:type="paragraph" w:styleId="Ttulo5">
    <w:name w:val="heading 5"/>
    <w:aliases w:val="num.                                       5"/>
    <w:basedOn w:val="Normal"/>
    <w:next w:val="Normal"/>
    <w:link w:val="Ttulo5Car"/>
    <w:uiPriority w:val="9"/>
    <w:qFormat/>
    <w:rsid w:val="002B0452"/>
    <w:pPr>
      <w:keepNext/>
      <w:jc w:val="center"/>
      <w:outlineLvl w:val="4"/>
    </w:pPr>
    <w:rPr>
      <w:b/>
      <w:bCs/>
      <w:sz w:val="20"/>
      <w:szCs w:val="22"/>
      <w:lang w:val="es-ES"/>
    </w:rPr>
  </w:style>
  <w:style w:type="paragraph" w:styleId="Ttulo6">
    <w:name w:val="heading 6"/>
    <w:basedOn w:val="Normal"/>
    <w:next w:val="Normal"/>
    <w:link w:val="Ttulo6Car"/>
    <w:uiPriority w:val="9"/>
    <w:qFormat/>
    <w:rsid w:val="002B0452"/>
    <w:pPr>
      <w:keepNext/>
      <w:spacing w:after="120"/>
      <w:jc w:val="center"/>
      <w:outlineLvl w:val="5"/>
    </w:pPr>
    <w:rPr>
      <w:b/>
      <w:sz w:val="26"/>
      <w:szCs w:val="26"/>
      <w:lang w:val="es-ES"/>
    </w:rPr>
  </w:style>
  <w:style w:type="paragraph" w:styleId="Ttulo7">
    <w:name w:val="heading 7"/>
    <w:basedOn w:val="Normal"/>
    <w:next w:val="Normal"/>
    <w:link w:val="Ttulo7Car"/>
    <w:uiPriority w:val="99"/>
    <w:qFormat/>
    <w:rsid w:val="002B0452"/>
    <w:pPr>
      <w:keepNext/>
      <w:spacing w:before="60"/>
      <w:jc w:val="center"/>
      <w:outlineLvl w:val="6"/>
    </w:pPr>
    <w:rPr>
      <w:b/>
      <w:bCs/>
      <w:sz w:val="14"/>
      <w:szCs w:val="26"/>
      <w:lang w:val="es-ES"/>
    </w:rPr>
  </w:style>
  <w:style w:type="paragraph" w:styleId="Ttulo8">
    <w:name w:val="heading 8"/>
    <w:basedOn w:val="Normal"/>
    <w:next w:val="Normal"/>
    <w:link w:val="Ttulo8Car"/>
    <w:uiPriority w:val="99"/>
    <w:qFormat/>
    <w:rsid w:val="00E74EAE"/>
    <w:pPr>
      <w:tabs>
        <w:tab w:val="num" w:pos="1440"/>
      </w:tabs>
      <w:spacing w:before="240" w:after="60"/>
      <w:ind w:left="1440" w:hanging="1440"/>
      <w:outlineLvl w:val="7"/>
    </w:pPr>
    <w:rPr>
      <w:i/>
      <w:iCs/>
    </w:rPr>
  </w:style>
  <w:style w:type="paragraph" w:styleId="Ttulo9">
    <w:name w:val="heading 9"/>
    <w:basedOn w:val="Normal"/>
    <w:next w:val="Normal"/>
    <w:link w:val="Ttulo9Car"/>
    <w:uiPriority w:val="99"/>
    <w:qFormat/>
    <w:rsid w:val="00E74EAE"/>
    <w:pPr>
      <w:tabs>
        <w:tab w:val="num" w:pos="1584"/>
      </w:tabs>
      <w:spacing w:before="240" w:after="60"/>
      <w:ind w:left="1584" w:hanging="1584"/>
      <w:outlineLvl w:val="8"/>
    </w:pPr>
    <w:rPr>
      <w:rFonts w:ascii="Arial" w:hAnsi="Arial"/>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styleId="Tablaconcuadrcula">
    <w:name w:val="Table Grid"/>
    <w:basedOn w:val="Tablanormal"/>
    <w:uiPriority w:val="59"/>
    <w:rsid w:val="00F103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rsid w:val="00F6477D"/>
    <w:pPr>
      <w:tabs>
        <w:tab w:val="center" w:pos="4252"/>
        <w:tab w:val="right" w:pos="8504"/>
      </w:tabs>
    </w:pPr>
  </w:style>
  <w:style w:type="paragraph" w:styleId="Piedepgina">
    <w:name w:val="footer"/>
    <w:basedOn w:val="Normal"/>
    <w:link w:val="PiedepginaCar"/>
    <w:rsid w:val="00F6477D"/>
    <w:pPr>
      <w:tabs>
        <w:tab w:val="center" w:pos="4252"/>
        <w:tab w:val="right" w:pos="8504"/>
      </w:tabs>
    </w:pPr>
  </w:style>
  <w:style w:type="character" w:styleId="Nmerodepgina">
    <w:name w:val="page number"/>
    <w:basedOn w:val="Fuentedeprrafopredeter"/>
    <w:rsid w:val="00F6477D"/>
  </w:style>
  <w:style w:type="paragraph" w:styleId="Textonotapie">
    <w:name w:val="footnote text"/>
    <w:aliases w:val="Footnote Text Char1,Footnote Text Char1 Char,Footnote Text Char Char Char"/>
    <w:basedOn w:val="Normal"/>
    <w:link w:val="TextonotapieCar"/>
    <w:uiPriority w:val="99"/>
    <w:rsid w:val="00242B75"/>
    <w:rPr>
      <w:sz w:val="20"/>
      <w:szCs w:val="20"/>
      <w:lang w:val="es-ES"/>
    </w:rPr>
  </w:style>
  <w:style w:type="character" w:customStyle="1" w:styleId="TextonotapieCar">
    <w:name w:val="Texto nota pie Car"/>
    <w:aliases w:val="Footnote Text Char1 Car1,Footnote Text Char1 Char Car1,Footnote Text Char Char Char Car"/>
    <w:basedOn w:val="Fuentedeprrafopredeter"/>
    <w:link w:val="Textonotapie"/>
    <w:uiPriority w:val="99"/>
    <w:rsid w:val="00242B75"/>
    <w:rPr>
      <w:lang w:val="es-ES" w:eastAsia="es-ES" w:bidi="ar-SA"/>
    </w:rPr>
  </w:style>
  <w:style w:type="character" w:styleId="Refdenotaalpie">
    <w:name w:val="footnote reference"/>
    <w:aliases w:val="Ref,de nota al pie,註腳內容,de nota al pie + (Asian) MS Mincho,11 pt"/>
    <w:basedOn w:val="Fuentedeprrafopredeter"/>
    <w:uiPriority w:val="99"/>
    <w:rsid w:val="00242B75"/>
    <w:rPr>
      <w:vertAlign w:val="superscript"/>
    </w:rPr>
  </w:style>
  <w:style w:type="character" w:styleId="Hipervnculo">
    <w:name w:val="Hyperlink"/>
    <w:basedOn w:val="Fuentedeprrafopredeter"/>
    <w:uiPriority w:val="99"/>
    <w:rsid w:val="00242B75"/>
    <w:rPr>
      <w:color w:val="0000FF"/>
      <w:u w:val="single"/>
    </w:rPr>
  </w:style>
  <w:style w:type="table" w:customStyle="1" w:styleId="Tablaconcuadrcula160">
    <w:name w:val="Tabla con cuadrícula160"/>
    <w:basedOn w:val="Tablanormal"/>
    <w:next w:val="Tablaconcuadrcula"/>
    <w:rsid w:val="0011623A"/>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
    <w:name w:val="Tabla con cuadrícula1"/>
    <w:basedOn w:val="Tablanormal"/>
    <w:next w:val="Tablaconcuadrcula"/>
    <w:uiPriority w:val="59"/>
    <w:rsid w:val="008B2BC9"/>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visitado">
    <w:name w:val="FollowedHyperlink"/>
    <w:basedOn w:val="Fuentedeprrafopredeter"/>
    <w:uiPriority w:val="99"/>
    <w:rsid w:val="00A426AC"/>
    <w:rPr>
      <w:color w:val="800080"/>
      <w:u w:val="single"/>
    </w:rPr>
  </w:style>
  <w:style w:type="table" w:customStyle="1" w:styleId="Tablaconcuadrcula2">
    <w:name w:val="Tabla con cuadrícula2"/>
    <w:basedOn w:val="Tablanormal"/>
    <w:next w:val="Tablaconcuadrcula"/>
    <w:rsid w:val="004D2A7C"/>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independiente">
    <w:name w:val="Body Text"/>
    <w:aliases w:val=" Car Car Car Car Car Car,Car Car Car Car Car Car"/>
    <w:basedOn w:val="Normal"/>
    <w:link w:val="TextoindependienteCar"/>
    <w:rsid w:val="00A63EA1"/>
    <w:pPr>
      <w:jc w:val="center"/>
    </w:pPr>
    <w:rPr>
      <w:sz w:val="20"/>
    </w:rPr>
  </w:style>
  <w:style w:type="paragraph" w:styleId="Textoindependiente2">
    <w:name w:val="Body Text 2"/>
    <w:basedOn w:val="Normal"/>
    <w:link w:val="Textoindependiente2Car"/>
    <w:uiPriority w:val="99"/>
    <w:rsid w:val="00A63EA1"/>
    <w:pPr>
      <w:spacing w:after="360" w:line="360" w:lineRule="auto"/>
      <w:ind w:right="-159"/>
      <w:jc w:val="both"/>
    </w:pPr>
    <w:rPr>
      <w:sz w:val="26"/>
    </w:rPr>
  </w:style>
  <w:style w:type="table" w:customStyle="1" w:styleId="Tablaconcuadrcula21">
    <w:name w:val="Tabla con cuadrícula21"/>
    <w:basedOn w:val="Tablanormal"/>
    <w:next w:val="Tablaconcuadrcula"/>
    <w:rsid w:val="00A432D0"/>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
    <w:name w:val="Tabla con cuadrícula22"/>
    <w:basedOn w:val="Tablanormal"/>
    <w:next w:val="Tablaconcuadrcula"/>
    <w:rsid w:val="00A432D0"/>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
    <w:name w:val="Tabla con cuadrícula23"/>
    <w:basedOn w:val="Tablanormal"/>
    <w:next w:val="Tablaconcuadrcula"/>
    <w:rsid w:val="00874955"/>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
    <w:name w:val="Sin lista1"/>
    <w:next w:val="Sinlista"/>
    <w:semiHidden/>
    <w:unhideWhenUsed/>
    <w:rsid w:val="00412ED0"/>
  </w:style>
  <w:style w:type="character" w:customStyle="1" w:styleId="Ttulo1Car">
    <w:name w:val="Título 1 Car"/>
    <w:aliases w:val="num.                          1 Car"/>
    <w:basedOn w:val="Fuentedeprrafopredeter"/>
    <w:link w:val="Ttulo1"/>
    <w:uiPriority w:val="9"/>
    <w:rsid w:val="00412ED0"/>
    <w:rPr>
      <w:rFonts w:ascii="Arial" w:hAnsi="Arial" w:cs="Arial"/>
      <w:b/>
      <w:bCs/>
      <w:kern w:val="36"/>
      <w:sz w:val="48"/>
      <w:szCs w:val="48"/>
      <w:lang w:val="es-MX" w:eastAsia="es-MX" w:bidi="ar-SA"/>
    </w:rPr>
  </w:style>
  <w:style w:type="table" w:customStyle="1" w:styleId="Tablaconcuadrcula3">
    <w:name w:val="Tabla con cuadrícula3"/>
    <w:basedOn w:val="Tablanormal"/>
    <w:next w:val="Tablaconcuadrcula"/>
    <w:rsid w:val="00412ED0"/>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2">
    <w:name w:val="Sin lista2"/>
    <w:next w:val="Sinlista"/>
    <w:semiHidden/>
    <w:unhideWhenUsed/>
    <w:rsid w:val="00A81FDB"/>
  </w:style>
  <w:style w:type="table" w:customStyle="1" w:styleId="Tablaconcuadrcula4">
    <w:name w:val="Tabla con cuadrícula4"/>
    <w:basedOn w:val="Tablanormal"/>
    <w:next w:val="Tablaconcuadrcula"/>
    <w:rsid w:val="00A81FDB"/>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labsica1">
    <w:name w:val="Table Simple 1"/>
    <w:basedOn w:val="Tablanormal"/>
    <w:rsid w:val="00A81FDB"/>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
    <w:name w:val="Sin lista11"/>
    <w:next w:val="Sinlista"/>
    <w:semiHidden/>
    <w:rsid w:val="00A81FDB"/>
  </w:style>
  <w:style w:type="table" w:customStyle="1" w:styleId="Tablaconcuadrcula11">
    <w:name w:val="Tabla con cuadrícula11"/>
    <w:basedOn w:val="Tablanormal"/>
    <w:next w:val="Tablaconcuadrcula"/>
    <w:rsid w:val="00A81FD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uiPriority w:val="99"/>
    <w:rsid w:val="008B7994"/>
    <w:rPr>
      <w:rFonts w:ascii="Tahoma" w:hAnsi="Tahoma" w:cs="Tahoma"/>
      <w:sz w:val="16"/>
      <w:szCs w:val="16"/>
    </w:rPr>
  </w:style>
  <w:style w:type="paragraph" w:styleId="NormalWeb">
    <w:name w:val="Normal (Web)"/>
    <w:basedOn w:val="Normal"/>
    <w:rsid w:val="00C219FB"/>
    <w:pPr>
      <w:spacing w:before="100" w:beforeAutospacing="1" w:after="100" w:afterAutospacing="1"/>
    </w:pPr>
    <w:rPr>
      <w:color w:val="000000"/>
      <w:lang w:val="es-ES"/>
    </w:rPr>
  </w:style>
  <w:style w:type="table" w:styleId="Tablaconcuadrcula10">
    <w:name w:val="Table Grid 1"/>
    <w:basedOn w:val="Tablanormal"/>
    <w:rsid w:val="00C219FB"/>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Mapadeldocumento">
    <w:name w:val="Document Map"/>
    <w:basedOn w:val="Normal"/>
    <w:link w:val="MapadeldocumentoCar"/>
    <w:uiPriority w:val="99"/>
    <w:semiHidden/>
    <w:rsid w:val="00F10036"/>
    <w:pPr>
      <w:shd w:val="clear" w:color="auto" w:fill="000080"/>
    </w:pPr>
    <w:rPr>
      <w:rFonts w:ascii="Tahoma" w:hAnsi="Tahoma" w:cs="Tahoma"/>
      <w:sz w:val="20"/>
      <w:szCs w:val="20"/>
    </w:rPr>
  </w:style>
  <w:style w:type="paragraph" w:styleId="Textoindependiente3">
    <w:name w:val="Body Text 3"/>
    <w:basedOn w:val="Normal"/>
    <w:link w:val="Textoindependiente3Car"/>
    <w:uiPriority w:val="99"/>
    <w:rsid w:val="002B0452"/>
    <w:pPr>
      <w:spacing w:after="120"/>
      <w:jc w:val="both"/>
    </w:pPr>
    <w:rPr>
      <w:sz w:val="16"/>
      <w:szCs w:val="26"/>
      <w:lang w:val="es-ES"/>
    </w:rPr>
  </w:style>
  <w:style w:type="table" w:customStyle="1" w:styleId="Tablaconcuadrcula190">
    <w:name w:val="Tabla con cuadrícula190"/>
    <w:basedOn w:val="Tablanormal"/>
    <w:next w:val="Tablaconcuadrcula"/>
    <w:rsid w:val="005A74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ncabezadoCar">
    <w:name w:val="Encabezado Car"/>
    <w:basedOn w:val="Fuentedeprrafopredeter"/>
    <w:link w:val="Encabezado"/>
    <w:rsid w:val="0018776F"/>
    <w:rPr>
      <w:sz w:val="24"/>
      <w:szCs w:val="24"/>
      <w:lang w:val="es-MX" w:eastAsia="es-ES" w:bidi="ar-SA"/>
    </w:rPr>
  </w:style>
  <w:style w:type="table" w:customStyle="1" w:styleId="Tablaconcuadrcula293">
    <w:name w:val="Tabla con cuadrícula293"/>
    <w:basedOn w:val="Tablanormal"/>
    <w:next w:val="Tablaconcuadrcula"/>
    <w:rsid w:val="000C683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esidenciasubseccion">
    <w:name w:val="presidencia_subseccion"/>
    <w:basedOn w:val="Normal"/>
    <w:uiPriority w:val="99"/>
    <w:rsid w:val="00CA76AF"/>
    <w:rPr>
      <w:rFonts w:ascii="Verdana" w:hAnsi="Verdana"/>
      <w:b/>
      <w:bCs/>
      <w:color w:val="909179"/>
      <w:sz w:val="19"/>
      <w:szCs w:val="19"/>
      <w:lang w:val="es-ES"/>
    </w:rPr>
  </w:style>
  <w:style w:type="character" w:styleId="Textoennegrita">
    <w:name w:val="Strong"/>
    <w:basedOn w:val="Fuentedeprrafopredeter"/>
    <w:qFormat/>
    <w:rsid w:val="00CE3D4C"/>
    <w:rPr>
      <w:b/>
      <w:bCs/>
    </w:rPr>
  </w:style>
  <w:style w:type="table" w:customStyle="1" w:styleId="Tablaconcuadrcula5">
    <w:name w:val="Tabla con cuadrícula5"/>
    <w:basedOn w:val="Tablanormal"/>
    <w:next w:val="Tablaconcuadrcula"/>
    <w:rsid w:val="0076787A"/>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imes">
    <w:name w:val="times"/>
    <w:basedOn w:val="Normal"/>
    <w:uiPriority w:val="99"/>
    <w:rsid w:val="00AB3DB1"/>
    <w:pPr>
      <w:spacing w:before="100" w:beforeAutospacing="1" w:after="100" w:afterAutospacing="1"/>
    </w:pPr>
    <w:rPr>
      <w:lang w:val="es-ES"/>
    </w:rPr>
  </w:style>
  <w:style w:type="paragraph" w:customStyle="1" w:styleId="Texto">
    <w:name w:val="Texto"/>
    <w:basedOn w:val="Normal"/>
    <w:link w:val="TextoCar"/>
    <w:rsid w:val="002B2D6F"/>
    <w:pPr>
      <w:spacing w:after="101" w:line="216" w:lineRule="exact"/>
      <w:ind w:firstLine="288"/>
      <w:jc w:val="both"/>
    </w:pPr>
    <w:rPr>
      <w:rFonts w:ascii="Arial" w:hAnsi="Arial" w:cs="Arial"/>
      <w:sz w:val="18"/>
      <w:szCs w:val="18"/>
      <w:lang w:eastAsia="es-MX"/>
    </w:rPr>
  </w:style>
  <w:style w:type="character" w:customStyle="1" w:styleId="CarCar3">
    <w:name w:val="Car Car3"/>
    <w:basedOn w:val="Fuentedeprrafopredeter"/>
    <w:rsid w:val="003C0183"/>
    <w:rPr>
      <w:b/>
      <w:bCs/>
      <w:sz w:val="16"/>
      <w:szCs w:val="24"/>
      <w:lang w:eastAsia="es-ES"/>
    </w:rPr>
  </w:style>
  <w:style w:type="table" w:customStyle="1" w:styleId="Tablaconcuadrcula6">
    <w:name w:val="Tabla con cuadrícula6"/>
    <w:basedOn w:val="Tablanormal"/>
    <w:next w:val="Tablaconcuadrcula"/>
    <w:rsid w:val="003C0183"/>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nfasis">
    <w:name w:val="Emphasis"/>
    <w:basedOn w:val="Fuentedeprrafopredeter"/>
    <w:uiPriority w:val="20"/>
    <w:qFormat/>
    <w:rsid w:val="003C0183"/>
    <w:rPr>
      <w:i/>
      <w:iCs/>
    </w:rPr>
  </w:style>
  <w:style w:type="paragraph" w:customStyle="1" w:styleId="Default">
    <w:name w:val="Default"/>
    <w:rsid w:val="00715D2D"/>
    <w:pPr>
      <w:autoSpaceDE w:val="0"/>
      <w:autoSpaceDN w:val="0"/>
      <w:adjustRightInd w:val="0"/>
    </w:pPr>
    <w:rPr>
      <w:color w:val="000000"/>
      <w:sz w:val="24"/>
      <w:szCs w:val="24"/>
      <w:lang w:val="es-ES" w:eastAsia="es-ES"/>
    </w:rPr>
  </w:style>
  <w:style w:type="numbering" w:customStyle="1" w:styleId="Sinlista3">
    <w:name w:val="Sin lista3"/>
    <w:next w:val="Sinlista"/>
    <w:semiHidden/>
    <w:unhideWhenUsed/>
    <w:rsid w:val="00020328"/>
  </w:style>
  <w:style w:type="table" w:customStyle="1" w:styleId="Tablaconcuadrcula7">
    <w:name w:val="Tabla con cuadrícula7"/>
    <w:basedOn w:val="Tablanormal"/>
    <w:next w:val="Tablaconcuadrcula"/>
    <w:rsid w:val="00020328"/>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ilite">
    <w:name w:val="hilite"/>
    <w:basedOn w:val="Fuentedeprrafopredeter"/>
    <w:rsid w:val="00F75492"/>
  </w:style>
  <w:style w:type="character" w:customStyle="1" w:styleId="TextoCar">
    <w:name w:val="Texto Car"/>
    <w:basedOn w:val="Fuentedeprrafopredeter"/>
    <w:link w:val="Texto"/>
    <w:rsid w:val="00983C63"/>
    <w:rPr>
      <w:rFonts w:ascii="Arial" w:hAnsi="Arial" w:cs="Arial"/>
      <w:sz w:val="18"/>
      <w:szCs w:val="18"/>
      <w:lang w:val="es-MX" w:eastAsia="es-MX" w:bidi="ar-SA"/>
    </w:rPr>
  </w:style>
  <w:style w:type="table" w:customStyle="1" w:styleId="Tablaconcuadrcula182">
    <w:name w:val="Tabla con cuadrícula182"/>
    <w:basedOn w:val="Tablanormal"/>
    <w:next w:val="Tablaconcuadrcula"/>
    <w:rsid w:val="00E74EA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bloque">
    <w:name w:val="Block Text"/>
    <w:basedOn w:val="Normal"/>
    <w:uiPriority w:val="99"/>
    <w:rsid w:val="00E74EAE"/>
    <w:pPr>
      <w:spacing w:after="360" w:line="360" w:lineRule="auto"/>
      <w:ind w:left="397" w:right="-159" w:hanging="397"/>
      <w:jc w:val="both"/>
    </w:pPr>
    <w:rPr>
      <w:sz w:val="26"/>
      <w:szCs w:val="26"/>
    </w:rPr>
  </w:style>
  <w:style w:type="table" w:customStyle="1" w:styleId="Tablaconcuadrcula51">
    <w:name w:val="Tabla con cuadrícula51"/>
    <w:basedOn w:val="Tablanormal"/>
    <w:next w:val="Tablaconcuadrcula"/>
    <w:rsid w:val="00C677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
    <w:name w:val="Sin lista4"/>
    <w:next w:val="Sinlista"/>
    <w:semiHidden/>
    <w:rsid w:val="000E1F88"/>
  </w:style>
  <w:style w:type="table" w:customStyle="1" w:styleId="Tablaconcuadrcula1901">
    <w:name w:val="Tabla con cuadrícula1901"/>
    <w:basedOn w:val="Tablanormal"/>
    <w:next w:val="Tablaconcuadrcula"/>
    <w:rsid w:val="000E1F88"/>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
    <w:name w:val="Tabla con cuadrícula8"/>
    <w:basedOn w:val="Tablanormal"/>
    <w:next w:val="Tablaconcuadrcula"/>
    <w:rsid w:val="000E1F88"/>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31">
    <w:name w:val="f31"/>
    <w:basedOn w:val="Fuentedeprrafopredeter"/>
    <w:rsid w:val="00675BAE"/>
    <w:rPr>
      <w:rFonts w:ascii="Verdana" w:hAnsi="Verdana" w:hint="default"/>
      <w:sz w:val="18"/>
      <w:szCs w:val="18"/>
    </w:rPr>
  </w:style>
  <w:style w:type="paragraph" w:styleId="Puesto">
    <w:name w:val="Title"/>
    <w:aliases w:val="maripaz"/>
    <w:basedOn w:val="Normal"/>
    <w:link w:val="PuestoCar"/>
    <w:qFormat/>
    <w:rsid w:val="00AF6B01"/>
    <w:pPr>
      <w:spacing w:before="240" w:after="60"/>
      <w:jc w:val="center"/>
      <w:outlineLvl w:val="0"/>
    </w:pPr>
    <w:rPr>
      <w:rFonts w:ascii="Arial" w:hAnsi="Arial" w:cs="Arial"/>
      <w:b/>
      <w:bCs/>
      <w:kern w:val="28"/>
      <w:sz w:val="32"/>
      <w:szCs w:val="32"/>
    </w:rPr>
  </w:style>
  <w:style w:type="paragraph" w:customStyle="1" w:styleId="texto0">
    <w:name w:val="texto"/>
    <w:basedOn w:val="Normal"/>
    <w:link w:val="textoCar0"/>
    <w:rsid w:val="00375242"/>
    <w:pPr>
      <w:autoSpaceDE w:val="0"/>
      <w:autoSpaceDN w:val="0"/>
      <w:spacing w:line="360" w:lineRule="auto"/>
      <w:ind w:right="-232"/>
      <w:jc w:val="both"/>
    </w:pPr>
    <w:rPr>
      <w:sz w:val="26"/>
      <w:szCs w:val="26"/>
      <w:lang w:val="es-ES_tradnl"/>
    </w:rPr>
  </w:style>
  <w:style w:type="paragraph" w:styleId="Listaconvietas2">
    <w:name w:val="List Bullet 2"/>
    <w:basedOn w:val="Normal"/>
    <w:autoRedefine/>
    <w:uiPriority w:val="99"/>
    <w:rsid w:val="00375242"/>
    <w:pPr>
      <w:numPr>
        <w:numId w:val="2"/>
      </w:numPr>
    </w:pPr>
    <w:rPr>
      <w:lang w:val="es-ES"/>
    </w:rPr>
  </w:style>
  <w:style w:type="paragraph" w:styleId="Sangradetextonormal">
    <w:name w:val="Body Text Indent"/>
    <w:basedOn w:val="Normal"/>
    <w:link w:val="SangradetextonormalCar"/>
    <w:uiPriority w:val="99"/>
    <w:rsid w:val="00375242"/>
    <w:pPr>
      <w:spacing w:after="120"/>
      <w:ind w:left="360"/>
    </w:pPr>
    <w:rPr>
      <w:lang w:val="es-ES"/>
    </w:rPr>
  </w:style>
  <w:style w:type="paragraph" w:styleId="Sangranormal">
    <w:name w:val="Normal Indent"/>
    <w:basedOn w:val="Normal"/>
    <w:uiPriority w:val="99"/>
    <w:rsid w:val="00375242"/>
    <w:pPr>
      <w:ind w:left="708"/>
    </w:pPr>
    <w:rPr>
      <w:lang w:val="es-ES"/>
    </w:rPr>
  </w:style>
  <w:style w:type="paragraph" w:styleId="Sangra2detindependiente">
    <w:name w:val="Body Text Indent 2"/>
    <w:basedOn w:val="Normal"/>
    <w:link w:val="Sangra2detindependienteCar"/>
    <w:uiPriority w:val="99"/>
    <w:rsid w:val="00375242"/>
    <w:pPr>
      <w:spacing w:after="120" w:line="480" w:lineRule="auto"/>
      <w:ind w:left="360"/>
    </w:pPr>
    <w:rPr>
      <w:lang w:val="es-ES"/>
    </w:rPr>
  </w:style>
  <w:style w:type="paragraph" w:customStyle="1" w:styleId="ROMANOS">
    <w:name w:val="ROMANOS"/>
    <w:basedOn w:val="Normal"/>
    <w:link w:val="ROMANOSCar"/>
    <w:rsid w:val="006D745B"/>
    <w:pPr>
      <w:tabs>
        <w:tab w:val="left" w:pos="720"/>
      </w:tabs>
      <w:spacing w:after="101" w:line="216" w:lineRule="exact"/>
      <w:ind w:left="720" w:hanging="432"/>
      <w:jc w:val="both"/>
    </w:pPr>
    <w:rPr>
      <w:rFonts w:ascii="Arial" w:hAnsi="Arial" w:cs="Arial"/>
      <w:sz w:val="18"/>
      <w:szCs w:val="18"/>
      <w:lang w:eastAsia="es-MX"/>
    </w:rPr>
  </w:style>
  <w:style w:type="paragraph" w:customStyle="1" w:styleId="INCISO">
    <w:name w:val="INCISO"/>
    <w:basedOn w:val="Normal"/>
    <w:uiPriority w:val="99"/>
    <w:rsid w:val="006D745B"/>
    <w:pPr>
      <w:tabs>
        <w:tab w:val="left" w:pos="1080"/>
      </w:tabs>
      <w:spacing w:after="101" w:line="216" w:lineRule="exact"/>
      <w:ind w:left="1080" w:hanging="360"/>
      <w:jc w:val="both"/>
    </w:pPr>
    <w:rPr>
      <w:rFonts w:ascii="Arial" w:hAnsi="Arial" w:cs="Arial"/>
      <w:sz w:val="18"/>
      <w:szCs w:val="18"/>
      <w:lang w:eastAsia="es-MX"/>
    </w:rPr>
  </w:style>
  <w:style w:type="paragraph" w:customStyle="1" w:styleId="Titulo1">
    <w:name w:val="Titulo 1"/>
    <w:basedOn w:val="Normal"/>
    <w:uiPriority w:val="99"/>
    <w:rsid w:val="006D745B"/>
    <w:pPr>
      <w:pBdr>
        <w:bottom w:val="single" w:sz="12" w:space="1" w:color="auto"/>
      </w:pBdr>
      <w:spacing w:before="120"/>
      <w:jc w:val="both"/>
      <w:outlineLvl w:val="0"/>
    </w:pPr>
    <w:rPr>
      <w:b/>
      <w:sz w:val="18"/>
      <w:szCs w:val="18"/>
      <w:lang w:eastAsia="es-MX"/>
    </w:rPr>
  </w:style>
  <w:style w:type="paragraph" w:customStyle="1" w:styleId="Titulo2">
    <w:name w:val="Titulo 2"/>
    <w:basedOn w:val="Normal"/>
    <w:uiPriority w:val="99"/>
    <w:rsid w:val="006D745B"/>
    <w:pPr>
      <w:pBdr>
        <w:top w:val="double" w:sz="6" w:space="1" w:color="auto"/>
      </w:pBdr>
      <w:spacing w:after="101"/>
      <w:jc w:val="both"/>
      <w:outlineLvl w:val="1"/>
    </w:pPr>
    <w:rPr>
      <w:rFonts w:ascii="Arial" w:hAnsi="Arial" w:cs="Arial"/>
      <w:sz w:val="18"/>
      <w:szCs w:val="18"/>
      <w:lang w:eastAsia="es-MX"/>
    </w:rPr>
  </w:style>
  <w:style w:type="paragraph" w:customStyle="1" w:styleId="ANOTACION">
    <w:name w:val="ANOTACION"/>
    <w:basedOn w:val="Normal"/>
    <w:link w:val="ANOTACIONCar"/>
    <w:rsid w:val="006D745B"/>
    <w:pPr>
      <w:spacing w:before="101" w:after="101"/>
      <w:jc w:val="center"/>
    </w:pPr>
    <w:rPr>
      <w:b/>
      <w:sz w:val="18"/>
      <w:szCs w:val="18"/>
      <w:lang w:eastAsia="es-MX"/>
    </w:rPr>
  </w:style>
  <w:style w:type="paragraph" w:customStyle="1" w:styleId="Fechas">
    <w:name w:val="Fechas"/>
    <w:basedOn w:val="Normal"/>
    <w:uiPriority w:val="99"/>
    <w:rsid w:val="006D745B"/>
    <w:pPr>
      <w:pBdr>
        <w:bottom w:val="double" w:sz="6" w:space="1" w:color="auto"/>
      </w:pBdr>
      <w:tabs>
        <w:tab w:val="center" w:pos="4464"/>
        <w:tab w:val="right" w:pos="8582"/>
      </w:tabs>
      <w:ind w:left="288" w:right="288"/>
      <w:jc w:val="both"/>
    </w:pPr>
    <w:rPr>
      <w:sz w:val="18"/>
      <w:szCs w:val="18"/>
      <w:lang w:eastAsia="es-MX"/>
    </w:rPr>
  </w:style>
  <w:style w:type="paragraph" w:customStyle="1" w:styleId="CABEZA">
    <w:name w:val="CABEZA"/>
    <w:basedOn w:val="Normal"/>
    <w:uiPriority w:val="99"/>
    <w:rsid w:val="006D745B"/>
    <w:pPr>
      <w:jc w:val="center"/>
    </w:pPr>
    <w:rPr>
      <w:b/>
      <w:sz w:val="28"/>
      <w:szCs w:val="28"/>
      <w:lang w:eastAsia="es-MX"/>
    </w:rPr>
  </w:style>
  <w:style w:type="paragraph" w:customStyle="1" w:styleId="Textonormal">
    <w:name w:val="Texto normal"/>
    <w:basedOn w:val="Normal"/>
    <w:uiPriority w:val="99"/>
    <w:rsid w:val="006D745B"/>
    <w:pPr>
      <w:jc w:val="both"/>
    </w:pPr>
    <w:rPr>
      <w:rFonts w:ascii="Arial" w:hAnsi="Arial" w:cs="Arial"/>
      <w:sz w:val="22"/>
      <w:szCs w:val="20"/>
      <w:lang w:val="es-ES_tradnl"/>
    </w:rPr>
  </w:style>
  <w:style w:type="paragraph" w:customStyle="1" w:styleId="Textoindependiente31">
    <w:name w:val="Texto independiente 31"/>
    <w:basedOn w:val="Normal"/>
    <w:uiPriority w:val="99"/>
    <w:rsid w:val="006D745B"/>
    <w:pPr>
      <w:spacing w:after="480"/>
      <w:jc w:val="both"/>
    </w:pPr>
    <w:rPr>
      <w:rFonts w:ascii="Arial" w:hAnsi="Arial" w:cs="Arial"/>
      <w:color w:val="000000"/>
      <w:sz w:val="22"/>
      <w:szCs w:val="20"/>
      <w:lang w:val="es-ES_tradnl"/>
    </w:rPr>
  </w:style>
  <w:style w:type="paragraph" w:styleId="Prrafodelista">
    <w:name w:val="List Paragraph"/>
    <w:basedOn w:val="Normal"/>
    <w:uiPriority w:val="34"/>
    <w:qFormat/>
    <w:rsid w:val="006D745B"/>
    <w:pPr>
      <w:ind w:left="708"/>
    </w:pPr>
    <w:rPr>
      <w:rFonts w:ascii="Century Gothic" w:hAnsi="Century Gothic" w:cs="Century Gothic"/>
      <w:szCs w:val="20"/>
      <w:lang w:val="es-ES_tradnl"/>
    </w:rPr>
  </w:style>
  <w:style w:type="paragraph" w:customStyle="1" w:styleId="SUBIN">
    <w:name w:val="SUBIN"/>
    <w:basedOn w:val="Texto"/>
    <w:uiPriority w:val="99"/>
    <w:rsid w:val="006D745B"/>
    <w:pPr>
      <w:ind w:left="1987" w:hanging="720"/>
    </w:pPr>
    <w:rPr>
      <w:szCs w:val="20"/>
      <w:lang w:eastAsia="es-ES"/>
    </w:rPr>
  </w:style>
  <w:style w:type="paragraph" w:customStyle="1" w:styleId="tt">
    <w:name w:val="tt"/>
    <w:basedOn w:val="Texto"/>
    <w:uiPriority w:val="99"/>
    <w:rsid w:val="006D745B"/>
    <w:pPr>
      <w:tabs>
        <w:tab w:val="left" w:pos="1320"/>
        <w:tab w:val="left" w:pos="1629"/>
      </w:tabs>
      <w:ind w:left="1647" w:hanging="1440"/>
    </w:pPr>
    <w:rPr>
      <w:szCs w:val="20"/>
      <w:lang w:val="es-ES_tradnl" w:eastAsia="es-ES"/>
    </w:rPr>
  </w:style>
  <w:style w:type="paragraph" w:customStyle="1" w:styleId="sum">
    <w:name w:val="sum"/>
    <w:basedOn w:val="Texto"/>
    <w:uiPriority w:val="99"/>
    <w:rsid w:val="006D745B"/>
    <w:pPr>
      <w:tabs>
        <w:tab w:val="right" w:leader="dot" w:pos="8100"/>
        <w:tab w:val="right" w:pos="8640"/>
      </w:tabs>
      <w:spacing w:after="0" w:line="266" w:lineRule="exact"/>
      <w:ind w:left="274" w:right="749" w:firstLine="0"/>
    </w:pPr>
    <w:rPr>
      <w:rFonts w:ascii="Times New Roman" w:hAnsi="Times New Roman"/>
      <w:b/>
      <w:sz w:val="20"/>
      <w:szCs w:val="20"/>
      <w:u w:val="single"/>
      <w:lang w:val="es-ES_tradnl" w:eastAsia="es-ES"/>
    </w:rPr>
  </w:style>
  <w:style w:type="paragraph" w:customStyle="1" w:styleId="EstilotextoPrimeralnea0">
    <w:name w:val="Estilo texto + Primera línea:  0&quot;"/>
    <w:basedOn w:val="Normal"/>
    <w:uiPriority w:val="99"/>
    <w:rsid w:val="006D745B"/>
    <w:pPr>
      <w:spacing w:after="101" w:line="216" w:lineRule="exact"/>
      <w:jc w:val="both"/>
    </w:pPr>
    <w:rPr>
      <w:rFonts w:ascii="Arial" w:hAnsi="Arial"/>
      <w:sz w:val="18"/>
      <w:szCs w:val="20"/>
      <w:lang w:eastAsia="es-MX"/>
    </w:rPr>
  </w:style>
  <w:style w:type="paragraph" w:customStyle="1" w:styleId="xl28">
    <w:name w:val="xl28"/>
    <w:basedOn w:val="Normal"/>
    <w:uiPriority w:val="99"/>
    <w:rsid w:val="006D745B"/>
    <w:pPr>
      <w:shd w:val="clear" w:color="auto" w:fill="FFFFFF"/>
      <w:spacing w:before="100" w:beforeAutospacing="1" w:after="100" w:afterAutospacing="1"/>
      <w:jc w:val="right"/>
    </w:pPr>
    <w:rPr>
      <w:rFonts w:ascii="Arial" w:eastAsia="Arial Unicode MS" w:hAnsi="Arial" w:cs="Arial"/>
      <w:lang w:val="es-ES"/>
    </w:rPr>
  </w:style>
  <w:style w:type="paragraph" w:customStyle="1" w:styleId="Sumario">
    <w:name w:val="Sumario"/>
    <w:basedOn w:val="Normal"/>
    <w:uiPriority w:val="99"/>
    <w:rsid w:val="006D745B"/>
    <w:pPr>
      <w:tabs>
        <w:tab w:val="right" w:leader="dot" w:pos="8107"/>
        <w:tab w:val="right" w:pos="8640"/>
      </w:tabs>
      <w:spacing w:line="260" w:lineRule="exact"/>
      <w:ind w:left="274" w:right="749"/>
      <w:jc w:val="both"/>
    </w:pPr>
    <w:rPr>
      <w:rFonts w:ascii="Arial" w:hAnsi="Arial"/>
      <w:sz w:val="18"/>
      <w:szCs w:val="18"/>
      <w:lang w:val="es-ES"/>
    </w:rPr>
  </w:style>
  <w:style w:type="numbering" w:customStyle="1" w:styleId="Sinlista5">
    <w:name w:val="Sin lista5"/>
    <w:next w:val="Sinlista"/>
    <w:semiHidden/>
    <w:unhideWhenUsed/>
    <w:rsid w:val="004A06CE"/>
  </w:style>
  <w:style w:type="numbering" w:customStyle="1" w:styleId="Sinlista12">
    <w:name w:val="Sin lista12"/>
    <w:next w:val="Sinlista"/>
    <w:semiHidden/>
    <w:rsid w:val="004A06CE"/>
  </w:style>
  <w:style w:type="character" w:customStyle="1" w:styleId="titulonoticia1">
    <w:name w:val="titulonoticia1"/>
    <w:basedOn w:val="Fuentedeprrafopredeter"/>
    <w:rsid w:val="00B558E2"/>
    <w:rPr>
      <w:b/>
      <w:bCs/>
      <w:color w:val="000000"/>
      <w:sz w:val="27"/>
      <w:szCs w:val="27"/>
    </w:rPr>
  </w:style>
  <w:style w:type="character" w:customStyle="1" w:styleId="fechaylugar1">
    <w:name w:val="fechaylugar1"/>
    <w:basedOn w:val="Fuentedeprrafopredeter"/>
    <w:rsid w:val="00B558E2"/>
    <w:rPr>
      <w:b w:val="0"/>
      <w:bCs w:val="0"/>
      <w:color w:val="666666"/>
      <w:sz w:val="17"/>
      <w:szCs w:val="17"/>
    </w:rPr>
  </w:style>
  <w:style w:type="paragraph" w:customStyle="1" w:styleId="Subtit">
    <w:name w:val="Subtit"/>
    <w:basedOn w:val="Normal"/>
    <w:uiPriority w:val="99"/>
    <w:rsid w:val="003020DA"/>
    <w:pPr>
      <w:spacing w:line="320" w:lineRule="exact"/>
      <w:ind w:right="-232"/>
      <w:jc w:val="both"/>
    </w:pPr>
    <w:rPr>
      <w:rFonts w:ascii="Arial" w:hAnsi="Arial" w:cs="Arial"/>
      <w:b/>
      <w:bCs/>
      <w:lang w:val="es-ES"/>
    </w:rPr>
  </w:style>
  <w:style w:type="paragraph" w:customStyle="1" w:styleId="Sangradetextonormal1">
    <w:name w:val="Sangría de texto normal1"/>
    <w:basedOn w:val="Normal"/>
    <w:uiPriority w:val="99"/>
    <w:rsid w:val="003020DA"/>
    <w:pPr>
      <w:spacing w:after="120" w:line="480" w:lineRule="auto"/>
    </w:pPr>
    <w:rPr>
      <w:sz w:val="20"/>
      <w:szCs w:val="20"/>
    </w:rPr>
  </w:style>
  <w:style w:type="character" w:customStyle="1" w:styleId="titu1">
    <w:name w:val="titu1"/>
    <w:basedOn w:val="Fuentedeprrafopredeter"/>
    <w:rsid w:val="003020DA"/>
    <w:rPr>
      <w:rFonts w:ascii="Verdana" w:hAnsi="Verdana" w:hint="default"/>
      <w:color w:val="000000"/>
      <w:sz w:val="18"/>
      <w:szCs w:val="18"/>
    </w:rPr>
  </w:style>
  <w:style w:type="character" w:customStyle="1" w:styleId="tit1">
    <w:name w:val="tit1"/>
    <w:basedOn w:val="Fuentedeprrafopredeter"/>
    <w:rsid w:val="003020DA"/>
    <w:rPr>
      <w:rFonts w:ascii="Verdana" w:hAnsi="Verdana" w:hint="default"/>
      <w:strike w:val="0"/>
      <w:dstrike w:val="0"/>
      <w:color w:val="000000"/>
      <w:sz w:val="16"/>
      <w:szCs w:val="16"/>
      <w:u w:val="none"/>
      <w:effect w:val="none"/>
    </w:rPr>
  </w:style>
  <w:style w:type="paragraph" w:styleId="Sangra3detindependiente">
    <w:name w:val="Body Text Indent 3"/>
    <w:basedOn w:val="Normal"/>
    <w:link w:val="Sangra3detindependienteCar"/>
    <w:uiPriority w:val="99"/>
    <w:rsid w:val="003020DA"/>
    <w:pPr>
      <w:widowControl w:val="0"/>
      <w:adjustRightInd w:val="0"/>
      <w:spacing w:after="120" w:line="360" w:lineRule="atLeast"/>
      <w:ind w:left="283"/>
      <w:jc w:val="both"/>
      <w:textAlignment w:val="baseline"/>
    </w:pPr>
    <w:rPr>
      <w:sz w:val="16"/>
      <w:szCs w:val="16"/>
      <w:lang w:val="en-GB" w:eastAsia="en-US"/>
    </w:rPr>
  </w:style>
  <w:style w:type="paragraph" w:customStyle="1" w:styleId="Fuente">
    <w:name w:val="Fuente"/>
    <w:basedOn w:val="Normal"/>
    <w:uiPriority w:val="99"/>
    <w:rsid w:val="003020DA"/>
    <w:pPr>
      <w:widowControl w:val="0"/>
      <w:adjustRightInd w:val="0"/>
      <w:spacing w:line="360" w:lineRule="auto"/>
      <w:jc w:val="both"/>
      <w:textAlignment w:val="baseline"/>
    </w:pPr>
    <w:rPr>
      <w:rFonts w:ascii="Garamond" w:hAnsi="Garamond"/>
      <w:sz w:val="22"/>
      <w:szCs w:val="20"/>
      <w:lang w:val="es-ES"/>
    </w:rPr>
  </w:style>
  <w:style w:type="paragraph" w:customStyle="1" w:styleId="2">
    <w:name w:val="2"/>
    <w:basedOn w:val="Normal"/>
    <w:next w:val="Sangradetextonormal"/>
    <w:uiPriority w:val="99"/>
    <w:rsid w:val="003020DA"/>
    <w:pPr>
      <w:widowControl w:val="0"/>
      <w:adjustRightInd w:val="0"/>
      <w:spacing w:line="360" w:lineRule="auto"/>
      <w:ind w:left="420"/>
      <w:jc w:val="both"/>
      <w:textAlignment w:val="baseline"/>
    </w:pPr>
    <w:rPr>
      <w:rFonts w:ascii="Garamond" w:hAnsi="Garamond"/>
      <w:szCs w:val="20"/>
      <w:lang w:val="es-ES"/>
    </w:rPr>
  </w:style>
  <w:style w:type="paragraph" w:customStyle="1" w:styleId="Textoindependiente21">
    <w:name w:val="Texto independiente 21"/>
    <w:basedOn w:val="Normal"/>
    <w:uiPriority w:val="99"/>
    <w:rsid w:val="003020DA"/>
    <w:pPr>
      <w:widowControl w:val="0"/>
      <w:adjustRightInd w:val="0"/>
      <w:spacing w:after="360" w:line="300" w:lineRule="exact"/>
      <w:ind w:firstLine="709"/>
      <w:jc w:val="both"/>
      <w:textAlignment w:val="baseline"/>
    </w:pPr>
    <w:rPr>
      <w:rFonts w:ascii="Arial" w:hAnsi="Arial"/>
      <w:sz w:val="22"/>
      <w:szCs w:val="20"/>
      <w:lang w:val="es-ES_tradnl"/>
    </w:rPr>
  </w:style>
  <w:style w:type="paragraph" w:customStyle="1" w:styleId="1">
    <w:name w:val="1"/>
    <w:basedOn w:val="Normal"/>
    <w:next w:val="Sangradetextonormal"/>
    <w:uiPriority w:val="99"/>
    <w:rsid w:val="003020DA"/>
    <w:pPr>
      <w:widowControl w:val="0"/>
      <w:autoSpaceDE w:val="0"/>
      <w:autoSpaceDN w:val="0"/>
      <w:adjustRightInd w:val="0"/>
      <w:spacing w:after="360" w:line="360" w:lineRule="atLeast"/>
      <w:ind w:left="454"/>
      <w:jc w:val="both"/>
      <w:textAlignment w:val="baseline"/>
    </w:pPr>
    <w:rPr>
      <w:sz w:val="26"/>
      <w:szCs w:val="26"/>
      <w:lang w:val="es-ES" w:eastAsia="en-US"/>
    </w:rPr>
  </w:style>
  <w:style w:type="paragraph" w:customStyle="1" w:styleId="dinamicostxtchico">
    <w:name w:val="dinamicos_txtchico"/>
    <w:basedOn w:val="Normal"/>
    <w:uiPriority w:val="99"/>
    <w:rsid w:val="003020DA"/>
    <w:pPr>
      <w:widowControl w:val="0"/>
      <w:adjustRightInd w:val="0"/>
      <w:spacing w:before="100" w:beforeAutospacing="1" w:after="100" w:afterAutospacing="1" w:line="360" w:lineRule="atLeast"/>
      <w:jc w:val="both"/>
      <w:textAlignment w:val="baseline"/>
    </w:pPr>
    <w:rPr>
      <w:rFonts w:ascii="Arial" w:eastAsia="Arial Unicode MS" w:hAnsi="Arial" w:cs="Arial"/>
      <w:color w:val="000000"/>
      <w:sz w:val="18"/>
      <w:szCs w:val="18"/>
      <w:lang w:val="es-ES"/>
    </w:rPr>
  </w:style>
  <w:style w:type="paragraph" w:customStyle="1" w:styleId="titulografica">
    <w:name w:val="titulo grafica"/>
    <w:basedOn w:val="Normal"/>
    <w:uiPriority w:val="99"/>
    <w:rsid w:val="003020DA"/>
    <w:pPr>
      <w:keepNext/>
      <w:widowControl w:val="0"/>
      <w:adjustRightInd w:val="0"/>
      <w:spacing w:line="360" w:lineRule="atLeast"/>
      <w:jc w:val="both"/>
      <w:textAlignment w:val="baseline"/>
    </w:pPr>
    <w:rPr>
      <w:rFonts w:ascii="Arial" w:hAnsi="Arial"/>
      <w:b/>
      <w:sz w:val="18"/>
      <w:szCs w:val="20"/>
      <w:lang w:val="es-ES"/>
    </w:rPr>
  </w:style>
  <w:style w:type="paragraph" w:customStyle="1" w:styleId="subtitulografica">
    <w:name w:val="subtitulo grafica"/>
    <w:basedOn w:val="Normal"/>
    <w:uiPriority w:val="99"/>
    <w:rsid w:val="003020DA"/>
    <w:pPr>
      <w:keepNext/>
      <w:widowControl w:val="0"/>
      <w:adjustRightInd w:val="0"/>
      <w:spacing w:line="360" w:lineRule="atLeast"/>
      <w:jc w:val="both"/>
      <w:textAlignment w:val="baseline"/>
    </w:pPr>
    <w:rPr>
      <w:rFonts w:ascii="Arial" w:hAnsi="Arial"/>
      <w:b/>
      <w:color w:val="0000FF"/>
      <w:sz w:val="16"/>
      <w:szCs w:val="20"/>
      <w:lang w:val="es-ES"/>
    </w:rPr>
  </w:style>
  <w:style w:type="paragraph" w:customStyle="1" w:styleId="sangra3detindependiente0">
    <w:name w:val="sangra3detindependiente"/>
    <w:basedOn w:val="Normal"/>
    <w:uiPriority w:val="99"/>
    <w:rsid w:val="003020DA"/>
    <w:pPr>
      <w:widowControl w:val="0"/>
      <w:adjustRightInd w:val="0"/>
      <w:spacing w:before="100" w:beforeAutospacing="1" w:after="100" w:afterAutospacing="1" w:line="360" w:lineRule="atLeast"/>
      <w:jc w:val="both"/>
      <w:textAlignment w:val="baseline"/>
    </w:pPr>
    <w:rPr>
      <w:rFonts w:ascii="Arial Unicode MS" w:eastAsia="Arial Unicode MS" w:hAnsi="Arial Unicode MS" w:cs="Arial Unicode MS"/>
      <w:color w:val="000000"/>
      <w:lang w:val="es-ES"/>
    </w:rPr>
  </w:style>
  <w:style w:type="paragraph" w:styleId="Descripcin">
    <w:name w:val="caption"/>
    <w:basedOn w:val="Normal"/>
    <w:next w:val="Normal"/>
    <w:uiPriority w:val="99"/>
    <w:qFormat/>
    <w:rsid w:val="003020DA"/>
    <w:pPr>
      <w:widowControl w:val="0"/>
      <w:autoSpaceDE w:val="0"/>
      <w:autoSpaceDN w:val="0"/>
      <w:adjustRightInd w:val="0"/>
      <w:spacing w:after="240" w:line="360" w:lineRule="auto"/>
      <w:jc w:val="both"/>
      <w:textAlignment w:val="baseline"/>
    </w:pPr>
    <w:rPr>
      <w:b/>
      <w:bCs/>
      <w:sz w:val="26"/>
      <w:szCs w:val="41"/>
      <w:lang w:val="es-ES"/>
    </w:rPr>
  </w:style>
  <w:style w:type="paragraph" w:customStyle="1" w:styleId="BodyText21">
    <w:name w:val="Body Text 21"/>
    <w:basedOn w:val="Normal"/>
    <w:uiPriority w:val="99"/>
    <w:rsid w:val="003020DA"/>
    <w:pPr>
      <w:widowControl w:val="0"/>
      <w:adjustRightInd w:val="0"/>
      <w:spacing w:line="360" w:lineRule="atLeast"/>
      <w:jc w:val="both"/>
      <w:textAlignment w:val="baseline"/>
    </w:pPr>
    <w:rPr>
      <w:rFonts w:ascii="Arial" w:hAnsi="Arial"/>
      <w:szCs w:val="20"/>
      <w:lang w:val="es-ES"/>
    </w:rPr>
  </w:style>
  <w:style w:type="paragraph" w:styleId="Lista">
    <w:name w:val="List"/>
    <w:basedOn w:val="Normal"/>
    <w:uiPriority w:val="99"/>
    <w:rsid w:val="003020DA"/>
    <w:pPr>
      <w:widowControl w:val="0"/>
      <w:adjustRightInd w:val="0"/>
      <w:spacing w:line="360" w:lineRule="atLeast"/>
      <w:ind w:left="283" w:hanging="283"/>
      <w:jc w:val="both"/>
      <w:textAlignment w:val="baseline"/>
    </w:pPr>
    <w:rPr>
      <w:lang w:val="en-GB" w:eastAsia="en-US"/>
    </w:rPr>
  </w:style>
  <w:style w:type="paragraph" w:styleId="Lista2">
    <w:name w:val="List 2"/>
    <w:basedOn w:val="Normal"/>
    <w:uiPriority w:val="99"/>
    <w:rsid w:val="003020DA"/>
    <w:pPr>
      <w:widowControl w:val="0"/>
      <w:adjustRightInd w:val="0"/>
      <w:spacing w:line="360" w:lineRule="atLeast"/>
      <w:ind w:left="566" w:hanging="283"/>
      <w:jc w:val="both"/>
      <w:textAlignment w:val="baseline"/>
    </w:pPr>
    <w:rPr>
      <w:lang w:val="en-GB" w:eastAsia="en-US"/>
    </w:rPr>
  </w:style>
  <w:style w:type="paragraph" w:styleId="Lista3">
    <w:name w:val="List 3"/>
    <w:basedOn w:val="Normal"/>
    <w:uiPriority w:val="99"/>
    <w:rsid w:val="003020DA"/>
    <w:pPr>
      <w:widowControl w:val="0"/>
      <w:adjustRightInd w:val="0"/>
      <w:spacing w:line="360" w:lineRule="atLeast"/>
      <w:ind w:left="849" w:hanging="283"/>
      <w:jc w:val="both"/>
      <w:textAlignment w:val="baseline"/>
    </w:pPr>
    <w:rPr>
      <w:lang w:val="en-GB" w:eastAsia="en-US"/>
    </w:rPr>
  </w:style>
  <w:style w:type="paragraph" w:styleId="Saludo">
    <w:name w:val="Salutation"/>
    <w:basedOn w:val="Normal"/>
    <w:next w:val="Normal"/>
    <w:link w:val="SaludoCar"/>
    <w:uiPriority w:val="99"/>
    <w:rsid w:val="003020DA"/>
    <w:pPr>
      <w:widowControl w:val="0"/>
      <w:adjustRightInd w:val="0"/>
      <w:spacing w:line="360" w:lineRule="atLeast"/>
      <w:jc w:val="both"/>
      <w:textAlignment w:val="baseline"/>
    </w:pPr>
    <w:rPr>
      <w:lang w:val="en-GB" w:eastAsia="en-US"/>
    </w:rPr>
  </w:style>
  <w:style w:type="paragraph" w:styleId="Fecha">
    <w:name w:val="Date"/>
    <w:basedOn w:val="Normal"/>
    <w:next w:val="Normal"/>
    <w:link w:val="FechaCar"/>
    <w:uiPriority w:val="99"/>
    <w:rsid w:val="003020DA"/>
    <w:pPr>
      <w:widowControl w:val="0"/>
      <w:adjustRightInd w:val="0"/>
      <w:spacing w:line="360" w:lineRule="atLeast"/>
      <w:jc w:val="both"/>
      <w:textAlignment w:val="baseline"/>
    </w:pPr>
    <w:rPr>
      <w:lang w:val="en-GB" w:eastAsia="en-US"/>
    </w:rPr>
  </w:style>
  <w:style w:type="paragraph" w:styleId="Listaconvietas">
    <w:name w:val="List Bullet"/>
    <w:basedOn w:val="Normal"/>
    <w:autoRedefine/>
    <w:uiPriority w:val="99"/>
    <w:rsid w:val="003020DA"/>
    <w:pPr>
      <w:widowControl w:val="0"/>
      <w:numPr>
        <w:numId w:val="3"/>
      </w:numPr>
      <w:adjustRightInd w:val="0"/>
      <w:spacing w:line="360" w:lineRule="atLeast"/>
      <w:jc w:val="both"/>
      <w:textAlignment w:val="baseline"/>
    </w:pPr>
    <w:rPr>
      <w:lang w:val="en-GB" w:eastAsia="en-US"/>
    </w:rPr>
  </w:style>
  <w:style w:type="paragraph" w:styleId="Continuarlista2">
    <w:name w:val="List Continue 2"/>
    <w:basedOn w:val="Normal"/>
    <w:uiPriority w:val="99"/>
    <w:rsid w:val="003020DA"/>
    <w:pPr>
      <w:widowControl w:val="0"/>
      <w:adjustRightInd w:val="0"/>
      <w:spacing w:after="120" w:line="360" w:lineRule="atLeast"/>
      <w:ind w:left="566"/>
      <w:jc w:val="both"/>
      <w:textAlignment w:val="baseline"/>
    </w:pPr>
    <w:rPr>
      <w:lang w:val="en-GB" w:eastAsia="en-US"/>
    </w:rPr>
  </w:style>
  <w:style w:type="paragraph" w:customStyle="1" w:styleId="Remiteabreviado">
    <w:name w:val="Remite abreviado"/>
    <w:basedOn w:val="Normal"/>
    <w:uiPriority w:val="99"/>
    <w:rsid w:val="003020DA"/>
    <w:pPr>
      <w:widowControl w:val="0"/>
      <w:adjustRightInd w:val="0"/>
      <w:spacing w:line="360" w:lineRule="atLeast"/>
      <w:jc w:val="both"/>
      <w:textAlignment w:val="baseline"/>
    </w:pPr>
    <w:rPr>
      <w:lang w:val="en-GB" w:eastAsia="en-US"/>
    </w:rPr>
  </w:style>
  <w:style w:type="paragraph" w:customStyle="1" w:styleId="Anotacion0">
    <w:name w:val="Anotacion"/>
    <w:basedOn w:val="Normal"/>
    <w:uiPriority w:val="99"/>
    <w:rsid w:val="003020DA"/>
    <w:pPr>
      <w:widowControl w:val="0"/>
      <w:adjustRightInd w:val="0"/>
      <w:spacing w:before="101" w:after="101" w:line="360" w:lineRule="atLeast"/>
      <w:jc w:val="center"/>
      <w:textAlignment w:val="baseline"/>
    </w:pPr>
    <w:rPr>
      <w:rFonts w:cs="Arial"/>
      <w:b/>
      <w:sz w:val="18"/>
      <w:szCs w:val="18"/>
      <w:lang w:val="es-ES"/>
    </w:rPr>
  </w:style>
  <w:style w:type="character" w:customStyle="1" w:styleId="INCISOCar">
    <w:name w:val="INCISO Car"/>
    <w:basedOn w:val="Fuentedeprrafopredeter"/>
    <w:rsid w:val="003020DA"/>
    <w:rPr>
      <w:rFonts w:ascii="Arial" w:hAnsi="Arial" w:cs="Arial"/>
      <w:sz w:val="18"/>
      <w:szCs w:val="18"/>
      <w:lang w:val="es-ES" w:eastAsia="es-ES" w:bidi="ar-SA"/>
    </w:rPr>
  </w:style>
  <w:style w:type="paragraph" w:customStyle="1" w:styleId="Cuadros">
    <w:name w:val="Cuadros"/>
    <w:basedOn w:val="texto0"/>
    <w:uiPriority w:val="99"/>
    <w:rsid w:val="003020DA"/>
    <w:pPr>
      <w:widowControl w:val="0"/>
      <w:autoSpaceDE/>
      <w:autoSpaceDN/>
      <w:adjustRightInd w:val="0"/>
      <w:spacing w:line="240" w:lineRule="auto"/>
      <w:ind w:right="-374"/>
      <w:jc w:val="left"/>
      <w:textAlignment w:val="baseline"/>
    </w:pPr>
    <w:rPr>
      <w:sz w:val="20"/>
      <w:szCs w:val="20"/>
    </w:rPr>
  </w:style>
  <w:style w:type="paragraph" w:customStyle="1" w:styleId="cuadro">
    <w:name w:val="cuadro"/>
    <w:basedOn w:val="texto0"/>
    <w:uiPriority w:val="99"/>
    <w:rsid w:val="003020DA"/>
    <w:pPr>
      <w:widowControl w:val="0"/>
      <w:autoSpaceDE/>
      <w:autoSpaceDN/>
      <w:adjustRightInd w:val="0"/>
      <w:spacing w:line="240" w:lineRule="auto"/>
      <w:textAlignment w:val="baseline"/>
    </w:pPr>
    <w:rPr>
      <w:sz w:val="18"/>
      <w:szCs w:val="20"/>
    </w:rPr>
  </w:style>
  <w:style w:type="paragraph" w:customStyle="1" w:styleId="xl24">
    <w:name w:val="xl24"/>
    <w:basedOn w:val="Normal"/>
    <w:uiPriority w:val="99"/>
    <w:rsid w:val="003020DA"/>
    <w:pPr>
      <w:widowControl w:val="0"/>
      <w:adjustRightInd w:val="0"/>
      <w:spacing w:before="100" w:beforeAutospacing="1" w:after="100" w:afterAutospacing="1" w:line="360" w:lineRule="atLeast"/>
      <w:jc w:val="both"/>
      <w:textAlignment w:val="baseline"/>
    </w:pPr>
    <w:rPr>
      <w:sz w:val="18"/>
      <w:szCs w:val="18"/>
      <w:lang w:val="es-ES"/>
    </w:rPr>
  </w:style>
  <w:style w:type="paragraph" w:customStyle="1" w:styleId="NotaGrfico">
    <w:name w:val="Nota Gráfico"/>
    <w:uiPriority w:val="99"/>
    <w:rsid w:val="003020DA"/>
    <w:pPr>
      <w:widowControl w:val="0"/>
      <w:adjustRightInd w:val="0"/>
      <w:spacing w:line="360" w:lineRule="atLeast"/>
      <w:jc w:val="both"/>
      <w:textAlignment w:val="baseline"/>
    </w:pPr>
    <w:rPr>
      <w:rFonts w:ascii="Arial" w:hAnsi="Arial"/>
      <w:sz w:val="14"/>
      <w:lang w:eastAsia="es-ES"/>
    </w:rPr>
  </w:style>
  <w:style w:type="paragraph" w:customStyle="1" w:styleId="Grfico">
    <w:name w:val="Gráfico"/>
    <w:basedOn w:val="Normal"/>
    <w:next w:val="Normal"/>
    <w:uiPriority w:val="99"/>
    <w:rsid w:val="003020DA"/>
    <w:pPr>
      <w:widowControl w:val="0"/>
      <w:adjustRightInd w:val="0"/>
      <w:spacing w:line="360" w:lineRule="auto"/>
      <w:jc w:val="both"/>
      <w:textAlignment w:val="baseline"/>
    </w:pPr>
    <w:rPr>
      <w:noProof/>
      <w:szCs w:val="20"/>
      <w:lang w:val="es-ES"/>
    </w:rPr>
  </w:style>
  <w:style w:type="paragraph" w:customStyle="1" w:styleId="paralargetext">
    <w:name w:val="paralarge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lang w:val="es-ES"/>
    </w:rPr>
  </w:style>
  <w:style w:type="paragraph" w:customStyle="1" w:styleId="paranormaltext">
    <w:name w:val="paranormal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sz w:val="20"/>
      <w:szCs w:val="20"/>
      <w:lang w:val="es-ES"/>
    </w:rPr>
  </w:style>
  <w:style w:type="paragraph" w:customStyle="1" w:styleId="paraboldtext">
    <w:name w:val="parabold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b/>
      <w:bCs/>
      <w:sz w:val="20"/>
      <w:szCs w:val="20"/>
      <w:lang w:val="es-ES"/>
    </w:rPr>
  </w:style>
  <w:style w:type="character" w:customStyle="1" w:styleId="parasmallcolourtext1">
    <w:name w:val="parasmallcolourtext1"/>
    <w:basedOn w:val="Fuentedeprrafopredeter"/>
    <w:rsid w:val="003020DA"/>
    <w:rPr>
      <w:rFonts w:ascii="Trebuchet MS" w:hAnsi="Trebuchet MS" w:hint="default"/>
      <w:b w:val="0"/>
      <w:bCs w:val="0"/>
      <w:i w:val="0"/>
      <w:iCs w:val="0"/>
      <w:color w:val="0080FF"/>
      <w:sz w:val="16"/>
      <w:szCs w:val="16"/>
    </w:rPr>
  </w:style>
  <w:style w:type="paragraph" w:styleId="Textonotaalfinal">
    <w:name w:val="endnote text"/>
    <w:basedOn w:val="Normal"/>
    <w:link w:val="TextonotaalfinalCar"/>
    <w:uiPriority w:val="99"/>
    <w:semiHidden/>
    <w:rsid w:val="003020DA"/>
    <w:pPr>
      <w:widowControl w:val="0"/>
      <w:adjustRightInd w:val="0"/>
      <w:spacing w:line="360" w:lineRule="atLeast"/>
      <w:jc w:val="both"/>
      <w:textAlignment w:val="baseline"/>
    </w:pPr>
    <w:rPr>
      <w:sz w:val="20"/>
      <w:szCs w:val="20"/>
      <w:lang w:val="es-ES"/>
    </w:rPr>
  </w:style>
  <w:style w:type="paragraph" w:customStyle="1" w:styleId="p0">
    <w:name w:val="p0"/>
    <w:basedOn w:val="Normal"/>
    <w:uiPriority w:val="99"/>
    <w:rsid w:val="003020DA"/>
    <w:pPr>
      <w:widowControl w:val="0"/>
      <w:adjustRightInd w:val="0"/>
      <w:spacing w:before="240" w:line="360" w:lineRule="atLeast"/>
      <w:ind w:left="1417" w:right="23" w:hanging="709"/>
      <w:jc w:val="both"/>
      <w:textAlignment w:val="baseline"/>
    </w:pPr>
    <w:rPr>
      <w:rFonts w:ascii="Arial" w:hAnsi="Arial"/>
      <w:color w:val="0000FF"/>
      <w:szCs w:val="20"/>
    </w:rPr>
  </w:style>
  <w:style w:type="paragraph" w:customStyle="1" w:styleId="subtit-1">
    <w:name w:val="subtit-1"/>
    <w:basedOn w:val="Normal"/>
    <w:uiPriority w:val="99"/>
    <w:rsid w:val="003020DA"/>
    <w:pPr>
      <w:widowControl w:val="0"/>
      <w:autoSpaceDE w:val="0"/>
      <w:autoSpaceDN w:val="0"/>
      <w:adjustRightInd w:val="0"/>
      <w:spacing w:line="360" w:lineRule="atLeast"/>
      <w:jc w:val="both"/>
      <w:textAlignment w:val="baseline"/>
    </w:pPr>
    <w:rPr>
      <w:bCs/>
      <w:spacing w:val="-4"/>
      <w:sz w:val="26"/>
      <w:szCs w:val="26"/>
      <w:lang w:val="es-ES_tradnl"/>
    </w:rPr>
  </w:style>
  <w:style w:type="paragraph" w:styleId="Subttulo">
    <w:name w:val="Subtitle"/>
    <w:basedOn w:val="Normal"/>
    <w:link w:val="SubttuloCar"/>
    <w:uiPriority w:val="99"/>
    <w:qFormat/>
    <w:rsid w:val="003020DA"/>
    <w:pPr>
      <w:widowControl w:val="0"/>
      <w:adjustRightInd w:val="0"/>
      <w:spacing w:before="60" w:after="60" w:line="360" w:lineRule="atLeast"/>
      <w:jc w:val="center"/>
      <w:textAlignment w:val="baseline"/>
    </w:pPr>
    <w:rPr>
      <w:b/>
      <w:bCs/>
      <w:sz w:val="20"/>
      <w:lang w:val="es-ES"/>
    </w:rPr>
  </w:style>
  <w:style w:type="paragraph" w:customStyle="1" w:styleId="kickertext">
    <w:name w:val="kickertext"/>
    <w:basedOn w:val="Normal"/>
    <w:uiPriority w:val="99"/>
    <w:rsid w:val="003020DA"/>
    <w:pPr>
      <w:widowControl w:val="0"/>
      <w:adjustRightInd w:val="0"/>
      <w:spacing w:before="100" w:beforeAutospacing="1" w:line="360" w:lineRule="atLeast"/>
      <w:jc w:val="both"/>
      <w:textAlignment w:val="baseline"/>
    </w:pPr>
    <w:rPr>
      <w:rFonts w:ascii="Trebuchet MS" w:hAnsi="Trebuchet MS"/>
      <w:sz w:val="20"/>
      <w:szCs w:val="20"/>
      <w:lang w:val="es-ES"/>
    </w:rPr>
  </w:style>
  <w:style w:type="paragraph" w:customStyle="1" w:styleId="pagetitletext">
    <w:name w:val="pagetitletext"/>
    <w:basedOn w:val="Normal"/>
    <w:uiPriority w:val="99"/>
    <w:rsid w:val="003020DA"/>
    <w:pPr>
      <w:widowControl w:val="0"/>
      <w:adjustRightInd w:val="0"/>
      <w:spacing w:after="100" w:afterAutospacing="1" w:line="360" w:lineRule="atLeast"/>
      <w:jc w:val="both"/>
      <w:textAlignment w:val="baseline"/>
    </w:pPr>
    <w:rPr>
      <w:rFonts w:ascii="Trebuchet MS" w:hAnsi="Trebuchet MS"/>
      <w:b/>
      <w:bCs/>
      <w:color w:val="0080FF"/>
      <w:sz w:val="36"/>
      <w:szCs w:val="36"/>
      <w:lang w:val="es-ES"/>
    </w:rPr>
  </w:style>
  <w:style w:type="paragraph" w:customStyle="1" w:styleId="paraboldcolourtext">
    <w:name w:val="paraboldcolour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b/>
      <w:bCs/>
      <w:color w:val="0080FF"/>
      <w:sz w:val="20"/>
      <w:szCs w:val="20"/>
      <w:lang w:val="es-ES"/>
    </w:rPr>
  </w:style>
  <w:style w:type="paragraph" w:customStyle="1" w:styleId="paracolourtext">
    <w:name w:val="paracolour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color w:val="0080FF"/>
      <w:sz w:val="20"/>
      <w:szCs w:val="20"/>
      <w:lang w:val="es-ES"/>
    </w:rPr>
  </w:style>
  <w:style w:type="paragraph" w:customStyle="1" w:styleId="parasmallcolourtext">
    <w:name w:val="parasmallcolour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color w:val="0080FF"/>
      <w:sz w:val="16"/>
      <w:szCs w:val="16"/>
      <w:lang w:val="es-ES"/>
    </w:rPr>
  </w:style>
  <w:style w:type="character" w:customStyle="1" w:styleId="paraboldcolourtext1">
    <w:name w:val="paraboldcolourtext1"/>
    <w:basedOn w:val="Fuentedeprrafopredeter"/>
    <w:rsid w:val="003020DA"/>
    <w:rPr>
      <w:rFonts w:ascii="Trebuchet MS" w:hAnsi="Trebuchet MS" w:hint="default"/>
      <w:b/>
      <w:bCs/>
      <w:i w:val="0"/>
      <w:iCs w:val="0"/>
      <w:color w:val="0080FF"/>
      <w:sz w:val="20"/>
      <w:szCs w:val="20"/>
    </w:rPr>
  </w:style>
  <w:style w:type="paragraph" w:customStyle="1" w:styleId="parasmalltext">
    <w:name w:val="parasmall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sz w:val="16"/>
      <w:szCs w:val="16"/>
      <w:lang w:val="es-ES"/>
    </w:rPr>
  </w:style>
  <w:style w:type="character" w:customStyle="1" w:styleId="parasmalltext1">
    <w:name w:val="parasmalltext1"/>
    <w:basedOn w:val="Fuentedeprrafopredeter"/>
    <w:rsid w:val="003020DA"/>
    <w:rPr>
      <w:rFonts w:ascii="Trebuchet MS" w:hAnsi="Trebuchet MS" w:hint="default"/>
      <w:b w:val="0"/>
      <w:bCs w:val="0"/>
      <w:i w:val="0"/>
      <w:iCs w:val="0"/>
      <w:sz w:val="16"/>
      <w:szCs w:val="16"/>
    </w:rPr>
  </w:style>
  <w:style w:type="paragraph" w:styleId="z-Principiodelformulario">
    <w:name w:val="HTML Top of Form"/>
    <w:basedOn w:val="Normal"/>
    <w:next w:val="Normal"/>
    <w:link w:val="z-PrincipiodelformularioCar"/>
    <w:hidden/>
    <w:uiPriority w:val="99"/>
    <w:rsid w:val="003020DA"/>
    <w:pPr>
      <w:widowControl w:val="0"/>
      <w:pBdr>
        <w:bottom w:val="single" w:sz="6" w:space="1" w:color="auto"/>
      </w:pBdr>
      <w:adjustRightInd w:val="0"/>
      <w:spacing w:line="360" w:lineRule="atLeast"/>
      <w:jc w:val="center"/>
      <w:textAlignment w:val="baseline"/>
    </w:pPr>
    <w:rPr>
      <w:rFonts w:ascii="Arial" w:hAnsi="Arial" w:cs="Arial"/>
      <w:vanish/>
      <w:sz w:val="16"/>
      <w:szCs w:val="16"/>
      <w:lang w:val="es-ES"/>
    </w:rPr>
  </w:style>
  <w:style w:type="paragraph" w:styleId="z-Finaldelformulario">
    <w:name w:val="HTML Bottom of Form"/>
    <w:basedOn w:val="Normal"/>
    <w:next w:val="Normal"/>
    <w:link w:val="z-FinaldelformularioCar"/>
    <w:hidden/>
    <w:uiPriority w:val="99"/>
    <w:rsid w:val="003020DA"/>
    <w:pPr>
      <w:widowControl w:val="0"/>
      <w:pBdr>
        <w:top w:val="single" w:sz="6" w:space="1" w:color="auto"/>
      </w:pBdr>
      <w:adjustRightInd w:val="0"/>
      <w:spacing w:line="360" w:lineRule="atLeast"/>
      <w:jc w:val="center"/>
      <w:textAlignment w:val="baseline"/>
    </w:pPr>
    <w:rPr>
      <w:rFonts w:ascii="Arial" w:hAnsi="Arial" w:cs="Arial"/>
      <w:vanish/>
      <w:sz w:val="16"/>
      <w:szCs w:val="16"/>
      <w:lang w:val="es-ES"/>
    </w:rPr>
  </w:style>
  <w:style w:type="character" w:customStyle="1" w:styleId="parasmallgreytext1">
    <w:name w:val="parasmallgreytext1"/>
    <w:basedOn w:val="Fuentedeprrafopredeter"/>
    <w:rsid w:val="003020DA"/>
    <w:rPr>
      <w:rFonts w:ascii="Trebuchet MS" w:hAnsi="Trebuchet MS" w:hint="default"/>
      <w:b w:val="0"/>
      <w:bCs w:val="0"/>
      <w:i w:val="0"/>
      <w:iCs w:val="0"/>
      <w:color w:val="808080"/>
      <w:sz w:val="16"/>
      <w:szCs w:val="16"/>
    </w:rPr>
  </w:style>
  <w:style w:type="paragraph" w:styleId="HTMLconformatoprevio">
    <w:name w:val="HTML Preformatted"/>
    <w:basedOn w:val="Normal"/>
    <w:link w:val="HTMLconformatoprevioCar"/>
    <w:uiPriority w:val="99"/>
    <w:rsid w:val="003020D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pacing w:line="360" w:lineRule="atLeast"/>
      <w:jc w:val="both"/>
      <w:textAlignment w:val="baseline"/>
    </w:pPr>
    <w:rPr>
      <w:rFonts w:ascii="Courier New" w:hAnsi="Courier New" w:cs="Courier New"/>
      <w:sz w:val="20"/>
      <w:szCs w:val="20"/>
      <w:lang w:val="es-ES"/>
    </w:rPr>
  </w:style>
  <w:style w:type="paragraph" w:customStyle="1" w:styleId="news1bodytext">
    <w:name w:val="news1bodytext"/>
    <w:basedOn w:val="Normal"/>
    <w:uiPriority w:val="99"/>
    <w:rsid w:val="003020DA"/>
    <w:pPr>
      <w:widowControl w:val="0"/>
      <w:adjustRightInd w:val="0"/>
      <w:spacing w:after="100" w:afterAutospacing="1" w:line="360" w:lineRule="atLeast"/>
      <w:jc w:val="both"/>
      <w:textAlignment w:val="baseline"/>
    </w:pPr>
    <w:rPr>
      <w:rFonts w:ascii="Trebuchet MS" w:hAnsi="Trebuchet MS"/>
      <w:lang w:val="es-ES"/>
    </w:rPr>
  </w:style>
  <w:style w:type="paragraph" w:customStyle="1" w:styleId="news1headlinetext">
    <w:name w:val="news1headlinetext"/>
    <w:basedOn w:val="Normal"/>
    <w:uiPriority w:val="99"/>
    <w:rsid w:val="003020DA"/>
    <w:pPr>
      <w:widowControl w:val="0"/>
      <w:adjustRightInd w:val="0"/>
      <w:spacing w:before="100" w:beforeAutospacing="1" w:line="360" w:lineRule="atLeast"/>
      <w:jc w:val="both"/>
      <w:textAlignment w:val="baseline"/>
    </w:pPr>
    <w:rPr>
      <w:rFonts w:ascii="Trebuchet MS" w:hAnsi="Trebuchet MS"/>
      <w:b/>
      <w:bCs/>
      <w:color w:val="0080FF"/>
      <w:sz w:val="36"/>
      <w:szCs w:val="36"/>
      <w:lang w:val="es-ES"/>
    </w:rPr>
  </w:style>
  <w:style w:type="paragraph" w:customStyle="1" w:styleId="Estilo3">
    <w:name w:val="Estilo3"/>
    <w:basedOn w:val="Ttulo1"/>
    <w:uiPriority w:val="99"/>
    <w:rsid w:val="003020DA"/>
    <w:pPr>
      <w:keepNext/>
      <w:widowControl w:val="0"/>
      <w:tabs>
        <w:tab w:val="num" w:pos="360"/>
      </w:tabs>
      <w:adjustRightInd w:val="0"/>
      <w:spacing w:before="240" w:beforeAutospacing="0" w:after="60" w:afterAutospacing="0" w:line="360" w:lineRule="atLeast"/>
      <w:jc w:val="both"/>
      <w:textAlignment w:val="baseline"/>
    </w:pPr>
    <w:rPr>
      <w:rFonts w:ascii="Lucida Sans Unicode" w:hAnsi="Lucida Sans Unicode"/>
      <w:color w:val="FF6600"/>
      <w:kern w:val="32"/>
      <w:sz w:val="28"/>
      <w:szCs w:val="28"/>
      <w:lang w:val="es-ES" w:eastAsia="es-ES"/>
    </w:rPr>
  </w:style>
  <w:style w:type="paragraph" w:customStyle="1" w:styleId="Estilo4">
    <w:name w:val="Estilo4"/>
    <w:basedOn w:val="Ttulo1"/>
    <w:uiPriority w:val="99"/>
    <w:rsid w:val="003020DA"/>
    <w:pPr>
      <w:keepNext/>
      <w:widowControl w:val="0"/>
      <w:tabs>
        <w:tab w:val="num" w:pos="360"/>
      </w:tabs>
      <w:adjustRightInd w:val="0"/>
      <w:spacing w:before="240" w:beforeAutospacing="0" w:after="60" w:afterAutospacing="0" w:line="360" w:lineRule="atLeast"/>
      <w:textAlignment w:val="baseline"/>
    </w:pPr>
    <w:rPr>
      <w:rFonts w:ascii="Lucida Sans Unicode" w:hAnsi="Lucida Sans Unicode"/>
      <w:kern w:val="32"/>
      <w:sz w:val="32"/>
      <w:szCs w:val="28"/>
      <w:lang w:val="es-ES" w:eastAsia="es-ES"/>
    </w:rPr>
  </w:style>
  <w:style w:type="paragraph" w:customStyle="1" w:styleId="Ttulo10">
    <w:name w:val="Tìtulo 1"/>
    <w:basedOn w:val="Normal"/>
    <w:uiPriority w:val="99"/>
    <w:rsid w:val="003020DA"/>
    <w:pPr>
      <w:keepNext/>
      <w:widowControl w:val="0"/>
      <w:adjustRightInd w:val="0"/>
      <w:spacing w:before="240" w:after="60" w:line="360" w:lineRule="atLeast"/>
      <w:jc w:val="both"/>
      <w:textAlignment w:val="baseline"/>
      <w:outlineLvl w:val="0"/>
    </w:pPr>
    <w:rPr>
      <w:rFonts w:ascii="Lucida Sans Unicode" w:hAnsi="Lucida Sans Unicode" w:cs="Arial"/>
      <w:bCs/>
      <w:color w:val="00FFFF"/>
      <w:kern w:val="32"/>
      <w:sz w:val="28"/>
      <w:szCs w:val="28"/>
      <w:lang w:val="es-ES"/>
    </w:rPr>
  </w:style>
  <w:style w:type="character" w:customStyle="1" w:styleId="copy1">
    <w:name w:val="copy1"/>
    <w:rsid w:val="003020DA"/>
    <w:rPr>
      <w:i/>
      <w:iCs/>
      <w:color w:val="000000"/>
      <w:sz w:val="22"/>
      <w:szCs w:val="22"/>
    </w:rPr>
  </w:style>
  <w:style w:type="paragraph" w:customStyle="1" w:styleId="cabeza0">
    <w:name w:val="cabeza"/>
    <w:basedOn w:val="Normal"/>
    <w:uiPriority w:val="99"/>
    <w:rsid w:val="003020DA"/>
    <w:pPr>
      <w:widowControl w:val="0"/>
      <w:adjustRightInd w:val="0"/>
      <w:spacing w:before="100" w:beforeAutospacing="1" w:after="100" w:afterAutospacing="1" w:line="360" w:lineRule="atLeast"/>
      <w:jc w:val="both"/>
      <w:textAlignment w:val="baseline"/>
    </w:pPr>
    <w:rPr>
      <w:rFonts w:ascii="Verdana" w:hAnsi="Verdana"/>
      <w:b/>
      <w:bCs/>
      <w:spacing w:val="-10"/>
      <w:sz w:val="31"/>
      <w:szCs w:val="31"/>
      <w:lang w:val="es-ES"/>
    </w:rPr>
  </w:style>
  <w:style w:type="character" w:customStyle="1" w:styleId="texto1">
    <w:name w:val="texto1"/>
    <w:basedOn w:val="Fuentedeprrafopredeter"/>
    <w:rsid w:val="003020DA"/>
    <w:rPr>
      <w:rFonts w:ascii="Arial" w:hAnsi="Arial" w:cs="Arial" w:hint="default"/>
      <w:color w:val="000000"/>
      <w:sz w:val="20"/>
      <w:szCs w:val="20"/>
    </w:rPr>
  </w:style>
  <w:style w:type="paragraph" w:customStyle="1" w:styleId="SubttuloGrfico">
    <w:name w:val="Subtítulo Gráfico"/>
    <w:basedOn w:val="Normal"/>
    <w:next w:val="Normal"/>
    <w:uiPriority w:val="99"/>
    <w:rsid w:val="003020DA"/>
    <w:pPr>
      <w:keepNext/>
      <w:widowControl w:val="0"/>
      <w:adjustRightInd w:val="0"/>
      <w:spacing w:line="360" w:lineRule="atLeast"/>
      <w:ind w:firstLine="1560"/>
      <w:jc w:val="both"/>
      <w:textAlignment w:val="baseline"/>
    </w:pPr>
    <w:rPr>
      <w:rFonts w:ascii="Arial" w:hAnsi="Arial"/>
      <w:color w:val="000080"/>
      <w:sz w:val="20"/>
      <w:szCs w:val="20"/>
    </w:rPr>
  </w:style>
  <w:style w:type="character" w:customStyle="1" w:styleId="paraboldgreytext1">
    <w:name w:val="paraboldgreytext1"/>
    <w:basedOn w:val="Fuentedeprrafopredeter"/>
    <w:rsid w:val="003020DA"/>
    <w:rPr>
      <w:rFonts w:ascii="Trebuchet MS" w:hAnsi="Trebuchet MS" w:hint="default"/>
      <w:b/>
      <w:bCs/>
      <w:i w:val="0"/>
      <w:iCs w:val="0"/>
      <w:color w:val="808080"/>
      <w:sz w:val="20"/>
      <w:szCs w:val="20"/>
    </w:rPr>
  </w:style>
  <w:style w:type="character" w:customStyle="1" w:styleId="CarCarCarCarCarCarCarCar">
    <w:name w:val="Car Car Car Car Car Car Car Car"/>
    <w:basedOn w:val="Fuentedeprrafopredeter"/>
    <w:rsid w:val="003020DA"/>
    <w:rPr>
      <w:rFonts w:ascii="Arial" w:hAnsi="Arial" w:cs="Arial"/>
      <w:sz w:val="26"/>
      <w:szCs w:val="26"/>
      <w:lang w:val="es-ES" w:eastAsia="es-ES" w:bidi="ar-SA"/>
    </w:rPr>
  </w:style>
  <w:style w:type="paragraph" w:styleId="Listaconvietas3">
    <w:name w:val="List Bullet 3"/>
    <w:basedOn w:val="Normal"/>
    <w:autoRedefine/>
    <w:uiPriority w:val="99"/>
    <w:rsid w:val="003020DA"/>
    <w:pPr>
      <w:widowControl w:val="0"/>
      <w:numPr>
        <w:numId w:val="4"/>
      </w:numPr>
      <w:adjustRightInd w:val="0"/>
      <w:spacing w:line="360" w:lineRule="atLeast"/>
      <w:jc w:val="both"/>
      <w:textAlignment w:val="baseline"/>
    </w:pPr>
    <w:rPr>
      <w:lang w:val="es-ES"/>
    </w:rPr>
  </w:style>
  <w:style w:type="paragraph" w:customStyle="1" w:styleId="Imagen">
    <w:name w:val="Imagen"/>
    <w:basedOn w:val="Normal"/>
    <w:uiPriority w:val="99"/>
    <w:rsid w:val="003020DA"/>
    <w:pPr>
      <w:widowControl w:val="0"/>
      <w:adjustRightInd w:val="0"/>
      <w:spacing w:line="360" w:lineRule="atLeast"/>
      <w:jc w:val="both"/>
      <w:textAlignment w:val="baseline"/>
    </w:pPr>
    <w:rPr>
      <w:lang w:val="es-ES"/>
    </w:rPr>
  </w:style>
  <w:style w:type="paragraph" w:customStyle="1" w:styleId="3">
    <w:name w:val="3"/>
    <w:basedOn w:val="Normal"/>
    <w:next w:val="Sangradetextonormal"/>
    <w:uiPriority w:val="99"/>
    <w:rsid w:val="003020DA"/>
    <w:pPr>
      <w:widowControl w:val="0"/>
      <w:adjustRightInd w:val="0"/>
      <w:spacing w:after="120" w:line="360" w:lineRule="atLeast"/>
      <w:ind w:left="283"/>
      <w:jc w:val="both"/>
      <w:textAlignment w:val="baseline"/>
    </w:pPr>
    <w:rPr>
      <w:rFonts w:ascii="Arial" w:hAnsi="Arial"/>
      <w:lang w:val="es-ES"/>
    </w:rPr>
  </w:style>
  <w:style w:type="character" w:customStyle="1" w:styleId="style5">
    <w:name w:val="style5"/>
    <w:basedOn w:val="Fuentedeprrafopredeter"/>
    <w:rsid w:val="003020DA"/>
  </w:style>
  <w:style w:type="paragraph" w:styleId="Continuarlista">
    <w:name w:val="List Continue"/>
    <w:basedOn w:val="Normal"/>
    <w:uiPriority w:val="99"/>
    <w:rsid w:val="003020DA"/>
    <w:pPr>
      <w:widowControl w:val="0"/>
      <w:adjustRightInd w:val="0"/>
      <w:spacing w:after="120" w:line="360" w:lineRule="atLeast"/>
      <w:ind w:left="283"/>
      <w:jc w:val="both"/>
      <w:textAlignment w:val="baseline"/>
    </w:pPr>
    <w:rPr>
      <w:lang w:val="es-ES"/>
    </w:rPr>
  </w:style>
  <w:style w:type="paragraph" w:customStyle="1" w:styleId="Direccininterior">
    <w:name w:val="Dirección interior"/>
    <w:basedOn w:val="Normal"/>
    <w:uiPriority w:val="99"/>
    <w:rsid w:val="003020DA"/>
    <w:pPr>
      <w:widowControl w:val="0"/>
      <w:adjustRightInd w:val="0"/>
      <w:spacing w:line="360" w:lineRule="atLeast"/>
      <w:jc w:val="both"/>
      <w:textAlignment w:val="baseline"/>
    </w:pPr>
    <w:rPr>
      <w:lang w:val="es-ES"/>
    </w:rPr>
  </w:style>
  <w:style w:type="paragraph" w:customStyle="1" w:styleId="Lneadeasunto">
    <w:name w:val="Línea de asunto"/>
    <w:basedOn w:val="Normal"/>
    <w:uiPriority w:val="99"/>
    <w:rsid w:val="003020DA"/>
    <w:pPr>
      <w:widowControl w:val="0"/>
      <w:adjustRightInd w:val="0"/>
      <w:spacing w:line="360" w:lineRule="atLeast"/>
      <w:jc w:val="both"/>
      <w:textAlignment w:val="baseline"/>
    </w:pPr>
    <w:rPr>
      <w:lang w:val="es-ES"/>
    </w:rPr>
  </w:style>
  <w:style w:type="paragraph" w:styleId="Textoindependienteprimerasangra2">
    <w:name w:val="Body Text First Indent 2"/>
    <w:basedOn w:val="Sangradetextonormal"/>
    <w:link w:val="Textoindependienteprimerasangra2Car"/>
    <w:uiPriority w:val="99"/>
    <w:rsid w:val="003020DA"/>
    <w:pPr>
      <w:widowControl w:val="0"/>
      <w:adjustRightInd w:val="0"/>
      <w:spacing w:line="360" w:lineRule="atLeast"/>
      <w:ind w:left="283" w:firstLine="210"/>
      <w:jc w:val="both"/>
      <w:textAlignment w:val="baseline"/>
    </w:pPr>
  </w:style>
  <w:style w:type="paragraph" w:customStyle="1" w:styleId="paralargecolourtext">
    <w:name w:val="paralargecolour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color w:val="0080FF"/>
      <w:lang w:val="es-ES"/>
    </w:rPr>
  </w:style>
  <w:style w:type="paragraph" w:customStyle="1" w:styleId="subtitlecolourtext">
    <w:name w:val="subtitlecolour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b/>
      <w:bCs/>
      <w:color w:val="008080"/>
      <w:lang w:val="es-ES"/>
    </w:rPr>
  </w:style>
  <w:style w:type="character" w:customStyle="1" w:styleId="TextoCar1">
    <w:name w:val="Texto Car1"/>
    <w:basedOn w:val="Fuentedeprrafopredeter"/>
    <w:rsid w:val="003020DA"/>
    <w:rPr>
      <w:rFonts w:ascii="Arial" w:hAnsi="Arial" w:cs="Arial"/>
      <w:sz w:val="18"/>
      <w:szCs w:val="18"/>
      <w:lang w:val="es-ES" w:eastAsia="es-ES" w:bidi="ar-SA"/>
    </w:rPr>
  </w:style>
  <w:style w:type="paragraph" w:customStyle="1" w:styleId="menudefaulttext">
    <w:name w:val="menudefaulttext"/>
    <w:basedOn w:val="Normal"/>
    <w:uiPriority w:val="99"/>
    <w:rsid w:val="003020DA"/>
    <w:pPr>
      <w:spacing w:before="100" w:beforeAutospacing="1" w:after="100" w:afterAutospacing="1"/>
    </w:pPr>
    <w:rPr>
      <w:b/>
      <w:bCs/>
      <w:color w:val="808080"/>
      <w:sz w:val="16"/>
      <w:szCs w:val="16"/>
      <w:lang w:val="es-ES"/>
    </w:rPr>
  </w:style>
  <w:style w:type="paragraph" w:customStyle="1" w:styleId="menubelongstext">
    <w:name w:val="menubelongstext"/>
    <w:basedOn w:val="Normal"/>
    <w:uiPriority w:val="99"/>
    <w:rsid w:val="003020DA"/>
    <w:pPr>
      <w:spacing w:before="100" w:beforeAutospacing="1" w:after="100" w:afterAutospacing="1"/>
    </w:pPr>
    <w:rPr>
      <w:b/>
      <w:bCs/>
      <w:color w:val="0080FF"/>
      <w:sz w:val="16"/>
      <w:szCs w:val="16"/>
      <w:lang w:val="es-ES"/>
    </w:rPr>
  </w:style>
  <w:style w:type="paragraph" w:customStyle="1" w:styleId="menulanguagetext">
    <w:name w:val="menulanguagetext"/>
    <w:basedOn w:val="Normal"/>
    <w:uiPriority w:val="99"/>
    <w:rsid w:val="003020DA"/>
    <w:pPr>
      <w:spacing w:before="100" w:beforeAutospacing="1" w:after="100" w:afterAutospacing="1"/>
    </w:pPr>
    <w:rPr>
      <w:color w:val="000080"/>
      <w:sz w:val="18"/>
      <w:szCs w:val="18"/>
      <w:lang w:val="es-ES"/>
    </w:rPr>
  </w:style>
  <w:style w:type="paragraph" w:customStyle="1" w:styleId="menuredtext">
    <w:name w:val="menuredtext"/>
    <w:basedOn w:val="Normal"/>
    <w:uiPriority w:val="99"/>
    <w:rsid w:val="003020DA"/>
    <w:pPr>
      <w:spacing w:before="100" w:beforeAutospacing="1" w:after="100" w:afterAutospacing="1"/>
    </w:pPr>
    <w:rPr>
      <w:b/>
      <w:bCs/>
      <w:color w:val="FF8040"/>
      <w:sz w:val="18"/>
      <w:szCs w:val="18"/>
      <w:lang w:val="es-ES"/>
    </w:rPr>
  </w:style>
  <w:style w:type="paragraph" w:customStyle="1" w:styleId="menubluetext">
    <w:name w:val="menubluetext"/>
    <w:basedOn w:val="Normal"/>
    <w:uiPriority w:val="99"/>
    <w:rsid w:val="003020DA"/>
    <w:pPr>
      <w:spacing w:before="100" w:beforeAutospacing="1" w:after="100" w:afterAutospacing="1"/>
    </w:pPr>
    <w:rPr>
      <w:b/>
      <w:bCs/>
      <w:color w:val="0080C0"/>
      <w:sz w:val="18"/>
      <w:szCs w:val="18"/>
      <w:lang w:val="es-ES"/>
    </w:rPr>
  </w:style>
  <w:style w:type="paragraph" w:customStyle="1" w:styleId="maintitletext">
    <w:name w:val="maintitletext"/>
    <w:basedOn w:val="Normal"/>
    <w:uiPriority w:val="99"/>
    <w:rsid w:val="003020DA"/>
    <w:pPr>
      <w:spacing w:before="100" w:beforeAutospacing="1" w:after="100" w:afterAutospacing="1"/>
    </w:pPr>
    <w:rPr>
      <w:b/>
      <w:bCs/>
      <w:color w:val="0080FF"/>
      <w:sz w:val="36"/>
      <w:szCs w:val="36"/>
      <w:lang w:val="es-ES"/>
    </w:rPr>
  </w:style>
  <w:style w:type="paragraph" w:customStyle="1" w:styleId="dropdownboxtext">
    <w:name w:val="dropdownboxtext"/>
    <w:basedOn w:val="Normal"/>
    <w:uiPriority w:val="99"/>
    <w:rsid w:val="003020DA"/>
    <w:pPr>
      <w:spacing w:before="100" w:beforeAutospacing="1" w:after="100" w:afterAutospacing="1"/>
    </w:pPr>
    <w:rPr>
      <w:color w:val="000000"/>
      <w:sz w:val="18"/>
      <w:szCs w:val="18"/>
      <w:lang w:val="es-ES"/>
    </w:rPr>
  </w:style>
  <w:style w:type="paragraph" w:customStyle="1" w:styleId="paragreytext">
    <w:name w:val="paragreytext"/>
    <w:basedOn w:val="Normal"/>
    <w:uiPriority w:val="99"/>
    <w:rsid w:val="003020DA"/>
    <w:pPr>
      <w:spacing w:before="100" w:beforeAutospacing="1" w:after="100" w:afterAutospacing="1"/>
    </w:pPr>
    <w:rPr>
      <w:color w:val="808080"/>
      <w:sz w:val="20"/>
      <w:szCs w:val="20"/>
      <w:lang w:val="es-ES"/>
    </w:rPr>
  </w:style>
  <w:style w:type="paragraph" w:customStyle="1" w:styleId="boldwhitetext">
    <w:name w:val="boldwhitetext"/>
    <w:basedOn w:val="Normal"/>
    <w:uiPriority w:val="99"/>
    <w:rsid w:val="003020DA"/>
    <w:pPr>
      <w:spacing w:before="100" w:beforeAutospacing="1" w:after="100" w:afterAutospacing="1"/>
    </w:pPr>
    <w:rPr>
      <w:b/>
      <w:bCs/>
      <w:color w:val="FFFFFF"/>
      <w:sz w:val="20"/>
      <w:szCs w:val="20"/>
      <w:lang w:val="es-ES"/>
    </w:rPr>
  </w:style>
  <w:style w:type="paragraph" w:customStyle="1" w:styleId="paraorangetext">
    <w:name w:val="paraorangetext"/>
    <w:basedOn w:val="Normal"/>
    <w:uiPriority w:val="99"/>
    <w:rsid w:val="003020DA"/>
    <w:pPr>
      <w:spacing w:before="100" w:beforeAutospacing="1" w:after="100" w:afterAutospacing="1"/>
    </w:pPr>
    <w:rPr>
      <w:color w:val="FF8040"/>
      <w:sz w:val="20"/>
      <w:szCs w:val="20"/>
      <w:lang w:val="es-ES"/>
    </w:rPr>
  </w:style>
  <w:style w:type="paragraph" w:customStyle="1" w:styleId="parasmallgreytext">
    <w:name w:val="parasmallgreytext"/>
    <w:basedOn w:val="Normal"/>
    <w:uiPriority w:val="99"/>
    <w:rsid w:val="003020DA"/>
    <w:pPr>
      <w:spacing w:before="100" w:beforeAutospacing="1" w:after="100" w:afterAutospacing="1"/>
    </w:pPr>
    <w:rPr>
      <w:color w:val="808080"/>
      <w:sz w:val="16"/>
      <w:szCs w:val="16"/>
      <w:lang w:val="es-ES"/>
    </w:rPr>
  </w:style>
  <w:style w:type="paragraph" w:customStyle="1" w:styleId="highlighttext">
    <w:name w:val="highlighttext"/>
    <w:basedOn w:val="Normal"/>
    <w:uiPriority w:val="99"/>
    <w:rsid w:val="003020DA"/>
    <w:pPr>
      <w:shd w:val="clear" w:color="auto" w:fill="FFFFFF"/>
      <w:spacing w:before="100" w:beforeAutospacing="1" w:after="100" w:afterAutospacing="1"/>
    </w:pPr>
    <w:rPr>
      <w:color w:val="000000"/>
      <w:sz w:val="20"/>
      <w:szCs w:val="20"/>
      <w:lang w:val="es-ES"/>
    </w:rPr>
  </w:style>
  <w:style w:type="paragraph" w:customStyle="1" w:styleId="parasmallredtext">
    <w:name w:val="parasmallredtext"/>
    <w:basedOn w:val="Normal"/>
    <w:uiPriority w:val="99"/>
    <w:rsid w:val="003020DA"/>
    <w:pPr>
      <w:spacing w:before="100" w:beforeAutospacing="1" w:after="100" w:afterAutospacing="1"/>
    </w:pPr>
    <w:rPr>
      <w:color w:val="FF0000"/>
      <w:sz w:val="16"/>
      <w:szCs w:val="16"/>
      <w:lang w:val="es-ES"/>
    </w:rPr>
  </w:style>
  <w:style w:type="paragraph" w:customStyle="1" w:styleId="parawhitetext">
    <w:name w:val="parawhitetext"/>
    <w:basedOn w:val="Normal"/>
    <w:uiPriority w:val="99"/>
    <w:rsid w:val="003020DA"/>
    <w:pPr>
      <w:spacing w:before="100" w:beforeAutospacing="1" w:after="100" w:afterAutospacing="1"/>
    </w:pPr>
    <w:rPr>
      <w:color w:val="FFFFFF"/>
      <w:sz w:val="20"/>
      <w:szCs w:val="20"/>
      <w:lang w:val="es-ES"/>
    </w:rPr>
  </w:style>
  <w:style w:type="paragraph" w:customStyle="1" w:styleId="paralargeboldtext">
    <w:name w:val="paralargeboldtext"/>
    <w:basedOn w:val="Normal"/>
    <w:uiPriority w:val="99"/>
    <w:rsid w:val="003020DA"/>
    <w:pPr>
      <w:spacing w:before="100" w:beforeAutospacing="1" w:after="100" w:afterAutospacing="1"/>
    </w:pPr>
    <w:rPr>
      <w:b/>
      <w:bCs/>
      <w:color w:val="000000"/>
      <w:lang w:val="es-ES"/>
    </w:rPr>
  </w:style>
  <w:style w:type="paragraph" w:customStyle="1" w:styleId="parasmallboldcolourtext">
    <w:name w:val="parasmallboldcolourtext"/>
    <w:basedOn w:val="Normal"/>
    <w:uiPriority w:val="99"/>
    <w:rsid w:val="003020DA"/>
    <w:pPr>
      <w:spacing w:before="100" w:beforeAutospacing="1" w:after="100" w:afterAutospacing="1"/>
    </w:pPr>
    <w:rPr>
      <w:b/>
      <w:bCs/>
      <w:color w:val="0080FF"/>
      <w:sz w:val="16"/>
      <w:szCs w:val="16"/>
      <w:lang w:val="es-ES"/>
    </w:rPr>
  </w:style>
  <w:style w:type="paragraph" w:customStyle="1" w:styleId="paraboldgreytext">
    <w:name w:val="paraboldgreytext"/>
    <w:basedOn w:val="Normal"/>
    <w:uiPriority w:val="99"/>
    <w:rsid w:val="003020DA"/>
    <w:pPr>
      <w:spacing w:before="100" w:beforeAutospacing="1" w:after="100" w:afterAutospacing="1"/>
    </w:pPr>
    <w:rPr>
      <w:b/>
      <w:bCs/>
      <w:color w:val="808080"/>
      <w:sz w:val="20"/>
      <w:szCs w:val="20"/>
      <w:lang w:val="es-ES"/>
    </w:rPr>
  </w:style>
  <w:style w:type="paragraph" w:customStyle="1" w:styleId="parasmalldarkredtext">
    <w:name w:val="parasmalldarkredtext"/>
    <w:basedOn w:val="Normal"/>
    <w:uiPriority w:val="99"/>
    <w:rsid w:val="003020DA"/>
    <w:pPr>
      <w:spacing w:before="100" w:beforeAutospacing="1" w:after="100" w:afterAutospacing="1"/>
    </w:pPr>
    <w:rPr>
      <w:color w:val="800000"/>
      <w:sz w:val="16"/>
      <w:szCs w:val="16"/>
      <w:lang w:val="es-ES"/>
    </w:rPr>
  </w:style>
  <w:style w:type="paragraph" w:customStyle="1" w:styleId="pararedtext">
    <w:name w:val="pararedtext"/>
    <w:basedOn w:val="Normal"/>
    <w:uiPriority w:val="99"/>
    <w:rsid w:val="003020DA"/>
    <w:pPr>
      <w:spacing w:before="100" w:beforeAutospacing="1" w:after="100" w:afterAutospacing="1"/>
    </w:pPr>
    <w:rPr>
      <w:color w:val="FF0000"/>
      <w:sz w:val="20"/>
      <w:szCs w:val="20"/>
      <w:lang w:val="es-ES"/>
    </w:rPr>
  </w:style>
  <w:style w:type="paragraph" w:customStyle="1" w:styleId="paradarkredtext">
    <w:name w:val="paradarkredtext"/>
    <w:basedOn w:val="Normal"/>
    <w:uiPriority w:val="99"/>
    <w:rsid w:val="003020DA"/>
    <w:pPr>
      <w:spacing w:before="100" w:beforeAutospacing="1" w:after="100" w:afterAutospacing="1"/>
    </w:pPr>
    <w:rPr>
      <w:color w:val="800000"/>
      <w:sz w:val="20"/>
      <w:szCs w:val="20"/>
      <w:lang w:val="es-ES"/>
    </w:rPr>
  </w:style>
  <w:style w:type="paragraph" w:customStyle="1" w:styleId="newsbodytext">
    <w:name w:val="newsbodytext"/>
    <w:basedOn w:val="Normal"/>
    <w:uiPriority w:val="99"/>
    <w:rsid w:val="003020DA"/>
    <w:pPr>
      <w:spacing w:after="100" w:afterAutospacing="1"/>
    </w:pPr>
    <w:rPr>
      <w:color w:val="000000"/>
      <w:sz w:val="20"/>
      <w:szCs w:val="20"/>
      <w:lang w:val="es-ES"/>
    </w:rPr>
  </w:style>
  <w:style w:type="paragraph" w:customStyle="1" w:styleId="newsheadlinetext">
    <w:name w:val="newsheadlinetext"/>
    <w:basedOn w:val="Normal"/>
    <w:uiPriority w:val="99"/>
    <w:rsid w:val="003020DA"/>
    <w:pPr>
      <w:spacing w:before="100" w:beforeAutospacing="1"/>
    </w:pPr>
    <w:rPr>
      <w:b/>
      <w:bCs/>
      <w:color w:val="0080FF"/>
      <w:sz w:val="20"/>
      <w:szCs w:val="20"/>
      <w:lang w:val="es-ES"/>
    </w:rPr>
  </w:style>
  <w:style w:type="paragraph" w:customStyle="1" w:styleId="docsonline">
    <w:name w:val="docsonline"/>
    <w:basedOn w:val="Normal"/>
    <w:uiPriority w:val="99"/>
    <w:rsid w:val="003020DA"/>
    <w:pPr>
      <w:shd w:val="clear" w:color="auto" w:fill="FDF7E3"/>
      <w:spacing w:before="100" w:beforeAutospacing="1" w:after="100" w:afterAutospacing="1"/>
    </w:pPr>
    <w:rPr>
      <w:b/>
      <w:bCs/>
      <w:color w:val="800000"/>
      <w:sz w:val="20"/>
      <w:szCs w:val="20"/>
      <w:lang w:val="es-ES"/>
    </w:rPr>
  </w:style>
  <w:style w:type="paragraph" w:customStyle="1" w:styleId="paradarkbluetext">
    <w:name w:val="paradarkbluetext"/>
    <w:basedOn w:val="Normal"/>
    <w:uiPriority w:val="99"/>
    <w:rsid w:val="003020DA"/>
    <w:pPr>
      <w:spacing w:before="100" w:beforeAutospacing="1" w:after="100" w:afterAutospacing="1"/>
    </w:pPr>
    <w:rPr>
      <w:color w:val="000080"/>
      <w:sz w:val="20"/>
      <w:szCs w:val="20"/>
      <w:lang w:val="es-ES"/>
    </w:rPr>
  </w:style>
  <w:style w:type="paragraph" w:customStyle="1" w:styleId="parasmalldarkbluetext">
    <w:name w:val="parasmalldarkbluetext"/>
    <w:basedOn w:val="Normal"/>
    <w:uiPriority w:val="99"/>
    <w:rsid w:val="003020DA"/>
    <w:pPr>
      <w:spacing w:before="100" w:beforeAutospacing="1" w:after="100" w:afterAutospacing="1"/>
    </w:pPr>
    <w:rPr>
      <w:color w:val="000080"/>
      <w:sz w:val="16"/>
      <w:szCs w:val="16"/>
      <w:lang w:val="es-ES"/>
    </w:rPr>
  </w:style>
  <w:style w:type="paragraph" w:customStyle="1" w:styleId="strippednormaltext">
    <w:name w:val="strippednormaltext"/>
    <w:basedOn w:val="Normal"/>
    <w:uiPriority w:val="99"/>
    <w:rsid w:val="003020DA"/>
    <w:rPr>
      <w:color w:val="000000"/>
      <w:sz w:val="20"/>
      <w:szCs w:val="20"/>
      <w:lang w:val="es-ES"/>
    </w:rPr>
  </w:style>
  <w:style w:type="paragraph" w:customStyle="1" w:styleId="strippedindent1text">
    <w:name w:val="strippedindent1text"/>
    <w:basedOn w:val="Normal"/>
    <w:uiPriority w:val="99"/>
    <w:rsid w:val="003020DA"/>
    <w:pPr>
      <w:ind w:left="198"/>
    </w:pPr>
    <w:rPr>
      <w:color w:val="000000"/>
      <w:sz w:val="20"/>
      <w:szCs w:val="20"/>
      <w:lang w:val="es-ES"/>
    </w:rPr>
  </w:style>
  <w:style w:type="paragraph" w:customStyle="1" w:styleId="paralargedarkredtext">
    <w:name w:val="paralargedarkredtext"/>
    <w:basedOn w:val="Normal"/>
    <w:uiPriority w:val="99"/>
    <w:rsid w:val="003020DA"/>
    <w:pPr>
      <w:spacing w:before="100" w:beforeAutospacing="1" w:after="100" w:afterAutospacing="1"/>
    </w:pPr>
    <w:rPr>
      <w:color w:val="800000"/>
      <w:lang w:val="es-ES"/>
    </w:rPr>
  </w:style>
  <w:style w:type="paragraph" w:customStyle="1" w:styleId="greaterlistitem">
    <w:name w:val="greaterlistitem"/>
    <w:basedOn w:val="Normal"/>
    <w:uiPriority w:val="99"/>
    <w:rsid w:val="003020DA"/>
    <w:pPr>
      <w:ind w:left="79" w:hanging="79"/>
    </w:pPr>
    <w:rPr>
      <w:color w:val="000000"/>
      <w:sz w:val="20"/>
      <w:szCs w:val="20"/>
      <w:lang w:val="es-ES"/>
    </w:rPr>
  </w:style>
  <w:style w:type="paragraph" w:customStyle="1" w:styleId="strippedgreytext">
    <w:name w:val="strippedgreytext"/>
    <w:basedOn w:val="Normal"/>
    <w:uiPriority w:val="99"/>
    <w:rsid w:val="003020DA"/>
    <w:rPr>
      <w:color w:val="808080"/>
      <w:sz w:val="20"/>
      <w:szCs w:val="20"/>
      <w:lang w:val="es-ES"/>
    </w:rPr>
  </w:style>
  <w:style w:type="paragraph" w:customStyle="1" w:styleId="paralargeorangetext">
    <w:name w:val="paralargeorangetext"/>
    <w:basedOn w:val="Normal"/>
    <w:uiPriority w:val="99"/>
    <w:rsid w:val="003020DA"/>
    <w:pPr>
      <w:spacing w:before="100" w:beforeAutospacing="1" w:after="100" w:afterAutospacing="1"/>
    </w:pPr>
    <w:rPr>
      <w:color w:val="FF8040"/>
      <w:lang w:val="es-ES"/>
    </w:rPr>
  </w:style>
  <w:style w:type="paragraph" w:customStyle="1" w:styleId="parasmallthewtobluetext">
    <w:name w:val="parasmallthewtobluetext"/>
    <w:basedOn w:val="Normal"/>
    <w:uiPriority w:val="99"/>
    <w:rsid w:val="003020DA"/>
    <w:pPr>
      <w:spacing w:before="100" w:beforeAutospacing="1" w:after="100" w:afterAutospacing="1"/>
    </w:pPr>
    <w:rPr>
      <w:color w:val="0080C0"/>
      <w:sz w:val="16"/>
      <w:szCs w:val="16"/>
      <w:lang w:val="es-ES"/>
    </w:rPr>
  </w:style>
  <w:style w:type="paragraph" w:customStyle="1" w:styleId="graytd">
    <w:name w:val="graytd"/>
    <w:basedOn w:val="Normal"/>
    <w:uiPriority w:val="99"/>
    <w:rsid w:val="003020DA"/>
    <w:pPr>
      <w:shd w:val="clear" w:color="auto" w:fill="E5E5E5"/>
      <w:spacing w:before="100" w:beforeAutospacing="1" w:after="100" w:afterAutospacing="1"/>
    </w:pPr>
    <w:rPr>
      <w:sz w:val="20"/>
      <w:szCs w:val="20"/>
      <w:lang w:val="es-ES"/>
    </w:rPr>
  </w:style>
  <w:style w:type="paragraph" w:customStyle="1" w:styleId="tocindent1">
    <w:name w:val="tocindent1"/>
    <w:basedOn w:val="Normal"/>
    <w:uiPriority w:val="99"/>
    <w:rsid w:val="003020DA"/>
    <w:pPr>
      <w:ind w:left="79"/>
    </w:pPr>
    <w:rPr>
      <w:sz w:val="20"/>
      <w:szCs w:val="20"/>
      <w:lang w:val="es-ES"/>
    </w:rPr>
  </w:style>
  <w:style w:type="paragraph" w:customStyle="1" w:styleId="tocindent2">
    <w:name w:val="tocindent2"/>
    <w:basedOn w:val="Normal"/>
    <w:uiPriority w:val="99"/>
    <w:rsid w:val="003020DA"/>
    <w:pPr>
      <w:ind w:left="158"/>
    </w:pPr>
    <w:rPr>
      <w:sz w:val="20"/>
      <w:szCs w:val="20"/>
      <w:lang w:val="es-ES"/>
    </w:rPr>
  </w:style>
  <w:style w:type="paragraph" w:customStyle="1" w:styleId="tocindent3">
    <w:name w:val="tocindent3"/>
    <w:basedOn w:val="Normal"/>
    <w:uiPriority w:val="99"/>
    <w:rsid w:val="003020DA"/>
    <w:pPr>
      <w:ind w:left="237"/>
    </w:pPr>
    <w:rPr>
      <w:sz w:val="20"/>
      <w:szCs w:val="20"/>
      <w:lang w:val="es-ES"/>
    </w:rPr>
  </w:style>
  <w:style w:type="paragraph" w:customStyle="1" w:styleId="tocindent4">
    <w:name w:val="tocindent4"/>
    <w:basedOn w:val="Normal"/>
    <w:uiPriority w:val="99"/>
    <w:rsid w:val="003020DA"/>
    <w:pPr>
      <w:ind w:left="316"/>
    </w:pPr>
    <w:rPr>
      <w:sz w:val="20"/>
      <w:szCs w:val="20"/>
      <w:lang w:val="es-ES"/>
    </w:rPr>
  </w:style>
  <w:style w:type="paragraph" w:customStyle="1" w:styleId="tocindent5">
    <w:name w:val="tocindent5"/>
    <w:basedOn w:val="Normal"/>
    <w:uiPriority w:val="99"/>
    <w:rsid w:val="003020DA"/>
    <w:pPr>
      <w:ind w:left="396"/>
    </w:pPr>
    <w:rPr>
      <w:sz w:val="20"/>
      <w:szCs w:val="20"/>
      <w:lang w:val="es-ES"/>
    </w:rPr>
  </w:style>
  <w:style w:type="paragraph" w:customStyle="1" w:styleId="tocindent6">
    <w:name w:val="tocindent6"/>
    <w:basedOn w:val="Normal"/>
    <w:uiPriority w:val="99"/>
    <w:rsid w:val="003020DA"/>
    <w:pPr>
      <w:ind w:left="475"/>
    </w:pPr>
    <w:rPr>
      <w:sz w:val="20"/>
      <w:szCs w:val="20"/>
      <w:lang w:val="es-ES"/>
    </w:rPr>
  </w:style>
  <w:style w:type="paragraph" w:customStyle="1" w:styleId="tocindent7">
    <w:name w:val="tocindent7"/>
    <w:basedOn w:val="Normal"/>
    <w:uiPriority w:val="99"/>
    <w:rsid w:val="003020DA"/>
    <w:pPr>
      <w:ind w:left="554"/>
    </w:pPr>
    <w:rPr>
      <w:sz w:val="20"/>
      <w:szCs w:val="20"/>
      <w:lang w:val="es-ES"/>
    </w:rPr>
  </w:style>
  <w:style w:type="paragraph" w:customStyle="1" w:styleId="tocindent8">
    <w:name w:val="tocindent8"/>
    <w:basedOn w:val="Normal"/>
    <w:uiPriority w:val="99"/>
    <w:rsid w:val="003020DA"/>
    <w:pPr>
      <w:ind w:left="633"/>
    </w:pPr>
    <w:rPr>
      <w:sz w:val="20"/>
      <w:szCs w:val="20"/>
      <w:lang w:val="es-ES"/>
    </w:rPr>
  </w:style>
  <w:style w:type="paragraph" w:customStyle="1" w:styleId="tocindent9">
    <w:name w:val="tocindent9"/>
    <w:basedOn w:val="Normal"/>
    <w:uiPriority w:val="99"/>
    <w:rsid w:val="003020DA"/>
    <w:pPr>
      <w:ind w:left="712"/>
    </w:pPr>
    <w:rPr>
      <w:sz w:val="20"/>
      <w:szCs w:val="20"/>
      <w:lang w:val="es-ES"/>
    </w:rPr>
  </w:style>
  <w:style w:type="paragraph" w:customStyle="1" w:styleId="tocindent10">
    <w:name w:val="tocindent10"/>
    <w:basedOn w:val="Normal"/>
    <w:uiPriority w:val="99"/>
    <w:rsid w:val="003020DA"/>
    <w:pPr>
      <w:ind w:left="791"/>
    </w:pPr>
    <w:rPr>
      <w:sz w:val="20"/>
      <w:szCs w:val="20"/>
      <w:lang w:val="es-ES"/>
    </w:rPr>
  </w:style>
  <w:style w:type="paragraph" w:customStyle="1" w:styleId="greaterlistitemindent1">
    <w:name w:val="greaterlistitemindent1"/>
    <w:basedOn w:val="Normal"/>
    <w:uiPriority w:val="99"/>
    <w:rsid w:val="003020DA"/>
    <w:pPr>
      <w:ind w:left="158" w:hanging="79"/>
    </w:pPr>
    <w:rPr>
      <w:sz w:val="20"/>
      <w:szCs w:val="20"/>
      <w:lang w:val="es-ES"/>
    </w:rPr>
  </w:style>
  <w:style w:type="paragraph" w:customStyle="1" w:styleId="scheduleweek">
    <w:name w:val="scheduleweek"/>
    <w:basedOn w:val="Normal"/>
    <w:uiPriority w:val="99"/>
    <w:rsid w:val="003020DA"/>
    <w:pPr>
      <w:spacing w:before="100" w:beforeAutospacing="1" w:after="100" w:afterAutospacing="1"/>
    </w:pPr>
    <w:rPr>
      <w:b/>
      <w:bCs/>
      <w:color w:val="0080FF"/>
      <w:sz w:val="16"/>
      <w:szCs w:val="16"/>
      <w:lang w:val="es-ES"/>
    </w:rPr>
  </w:style>
  <w:style w:type="paragraph" w:customStyle="1" w:styleId="schedulenote">
    <w:name w:val="schedulenote"/>
    <w:basedOn w:val="Normal"/>
    <w:uiPriority w:val="99"/>
    <w:rsid w:val="003020DA"/>
    <w:pPr>
      <w:spacing w:after="100" w:afterAutospacing="1"/>
    </w:pPr>
    <w:rPr>
      <w:color w:val="000000"/>
      <w:sz w:val="16"/>
      <w:szCs w:val="16"/>
      <w:lang w:val="es-ES"/>
    </w:rPr>
  </w:style>
  <w:style w:type="paragraph" w:customStyle="1" w:styleId="scheduleday">
    <w:name w:val="scheduleday"/>
    <w:basedOn w:val="Normal"/>
    <w:uiPriority w:val="99"/>
    <w:rsid w:val="003020DA"/>
    <w:pPr>
      <w:spacing w:before="100" w:beforeAutospacing="1"/>
    </w:pPr>
    <w:rPr>
      <w:color w:val="0080FF"/>
      <w:sz w:val="16"/>
      <w:szCs w:val="16"/>
      <w:lang w:val="es-ES"/>
    </w:rPr>
  </w:style>
  <w:style w:type="paragraph" w:customStyle="1" w:styleId="scheduletime">
    <w:name w:val="scheduletime"/>
    <w:basedOn w:val="Normal"/>
    <w:uiPriority w:val="99"/>
    <w:rsid w:val="003020DA"/>
    <w:rPr>
      <w:b/>
      <w:bCs/>
      <w:color w:val="000000"/>
      <w:sz w:val="16"/>
      <w:szCs w:val="16"/>
      <w:lang w:val="es-ES"/>
    </w:rPr>
  </w:style>
  <w:style w:type="paragraph" w:customStyle="1" w:styleId="schedulemeeting">
    <w:name w:val="schedulemeeting"/>
    <w:basedOn w:val="Normal"/>
    <w:uiPriority w:val="99"/>
    <w:rsid w:val="003020DA"/>
    <w:rPr>
      <w:color w:val="000000"/>
      <w:sz w:val="16"/>
      <w:szCs w:val="16"/>
      <w:lang w:val="es-ES"/>
    </w:rPr>
  </w:style>
  <w:style w:type="paragraph" w:customStyle="1" w:styleId="tooltiptext">
    <w:name w:val="tooltiptext"/>
    <w:basedOn w:val="Normal"/>
    <w:uiPriority w:val="99"/>
    <w:rsid w:val="003020DA"/>
    <w:pPr>
      <w:pBdr>
        <w:top w:val="single" w:sz="2" w:space="0" w:color="808080"/>
        <w:left w:val="single" w:sz="2" w:space="0" w:color="808080"/>
        <w:bottom w:val="single" w:sz="2" w:space="0" w:color="808080"/>
        <w:right w:val="single" w:sz="2" w:space="0" w:color="808080"/>
      </w:pBdr>
      <w:shd w:val="clear" w:color="auto" w:fill="FFFFE8"/>
      <w:spacing w:before="100" w:beforeAutospacing="1" w:after="100" w:afterAutospacing="1"/>
    </w:pPr>
    <w:rPr>
      <w:color w:val="808080"/>
      <w:sz w:val="16"/>
      <w:szCs w:val="16"/>
      <w:lang w:val="es-ES"/>
    </w:rPr>
  </w:style>
  <w:style w:type="paragraph" w:customStyle="1" w:styleId="colourtable">
    <w:name w:val="colourtable"/>
    <w:basedOn w:val="Normal"/>
    <w:uiPriority w:val="99"/>
    <w:rsid w:val="003020DA"/>
    <w:pPr>
      <w:shd w:val="clear" w:color="auto" w:fill="E5E5E5"/>
      <w:spacing w:before="100" w:beforeAutospacing="1" w:after="100" w:afterAutospacing="1"/>
    </w:pPr>
    <w:rPr>
      <w:rFonts w:ascii="Trebuchet MS" w:hAnsi="Trebuchet MS"/>
      <w:sz w:val="20"/>
      <w:szCs w:val="20"/>
      <w:lang w:val="es-ES"/>
    </w:rPr>
  </w:style>
  <w:style w:type="paragraph" w:customStyle="1" w:styleId="smallgreaterlistitem">
    <w:name w:val="smallgreaterlistitem"/>
    <w:basedOn w:val="Normal"/>
    <w:uiPriority w:val="99"/>
    <w:rsid w:val="003020DA"/>
    <w:pPr>
      <w:ind w:left="79" w:hanging="79"/>
    </w:pPr>
    <w:rPr>
      <w:rFonts w:ascii="Trebuchet MS" w:hAnsi="Trebuchet MS"/>
      <w:sz w:val="16"/>
      <w:szCs w:val="16"/>
      <w:lang w:val="es-ES"/>
    </w:rPr>
  </w:style>
  <w:style w:type="paragraph" w:customStyle="1" w:styleId="cellheadingblacktext">
    <w:name w:val="cellheadingblacktext"/>
    <w:basedOn w:val="Normal"/>
    <w:uiPriority w:val="99"/>
    <w:rsid w:val="003020DA"/>
    <w:pPr>
      <w:spacing w:line="180" w:lineRule="atLeast"/>
    </w:pPr>
    <w:rPr>
      <w:b/>
      <w:bCs/>
      <w:color w:val="000000"/>
      <w:sz w:val="18"/>
      <w:szCs w:val="18"/>
      <w:lang w:val="es-ES"/>
    </w:rPr>
  </w:style>
  <w:style w:type="paragraph" w:customStyle="1" w:styleId="cellheadingwhitetext">
    <w:name w:val="cellheadingwhitetext"/>
    <w:basedOn w:val="Normal"/>
    <w:uiPriority w:val="99"/>
    <w:rsid w:val="003020DA"/>
    <w:pPr>
      <w:shd w:val="clear" w:color="auto" w:fill="0080FF"/>
      <w:spacing w:line="180" w:lineRule="atLeast"/>
    </w:pPr>
    <w:rPr>
      <w:b/>
      <w:bCs/>
      <w:color w:val="FFFFFF"/>
      <w:sz w:val="18"/>
      <w:szCs w:val="18"/>
      <w:lang w:val="es-ES"/>
    </w:rPr>
  </w:style>
  <w:style w:type="paragraph" w:customStyle="1" w:styleId="subnormalboldcolourtext">
    <w:name w:val="subnormalboldcolourtext"/>
    <w:basedOn w:val="Normal"/>
    <w:uiPriority w:val="99"/>
    <w:rsid w:val="003020DA"/>
    <w:pPr>
      <w:spacing w:before="100" w:beforeAutospacing="1"/>
    </w:pPr>
    <w:rPr>
      <w:b/>
      <w:bCs/>
      <w:color w:val="0080FF"/>
      <w:sz w:val="18"/>
      <w:szCs w:val="18"/>
      <w:lang w:val="es-ES"/>
    </w:rPr>
  </w:style>
  <w:style w:type="paragraph" w:customStyle="1" w:styleId="4">
    <w:name w:val="4"/>
    <w:basedOn w:val="Normal"/>
    <w:next w:val="Sangradetextonormal"/>
    <w:uiPriority w:val="99"/>
    <w:rsid w:val="003020DA"/>
    <w:pPr>
      <w:spacing w:after="120"/>
      <w:ind w:left="283"/>
    </w:pPr>
    <w:rPr>
      <w:rFonts w:ascii="Arial" w:hAnsi="Arial"/>
      <w:lang w:val="es-ES"/>
    </w:rPr>
  </w:style>
  <w:style w:type="paragraph" w:styleId="Revisin">
    <w:name w:val="Revision"/>
    <w:hidden/>
    <w:uiPriority w:val="99"/>
    <w:semiHidden/>
    <w:rsid w:val="003020DA"/>
    <w:rPr>
      <w:sz w:val="24"/>
      <w:szCs w:val="24"/>
      <w:lang w:val="es-ES" w:eastAsia="es-ES"/>
    </w:rPr>
  </w:style>
  <w:style w:type="character" w:customStyle="1" w:styleId="FootnoteCharacters">
    <w:name w:val="Footnote Characters"/>
    <w:rsid w:val="003020DA"/>
    <w:rPr>
      <w:vertAlign w:val="superscript"/>
    </w:rPr>
  </w:style>
  <w:style w:type="character" w:customStyle="1" w:styleId="NumberingSymbols">
    <w:name w:val="Numbering Symbols"/>
    <w:rsid w:val="003020DA"/>
  </w:style>
  <w:style w:type="character" w:customStyle="1" w:styleId="Bullets">
    <w:name w:val="Bullets"/>
    <w:rsid w:val="003020DA"/>
    <w:rPr>
      <w:rFonts w:ascii="StarSymbol" w:eastAsia="StarSymbol" w:hAnsi="StarSymbol" w:cs="Helvetica"/>
      <w:sz w:val="18"/>
      <w:szCs w:val="18"/>
    </w:rPr>
  </w:style>
  <w:style w:type="character" w:customStyle="1" w:styleId="EndnoteCharacters">
    <w:name w:val="Endnote Characters"/>
    <w:rsid w:val="003020DA"/>
    <w:rPr>
      <w:vertAlign w:val="superscript"/>
    </w:rPr>
  </w:style>
  <w:style w:type="character" w:customStyle="1" w:styleId="WW8Num2z0">
    <w:name w:val="WW8Num2z0"/>
    <w:rsid w:val="003020DA"/>
    <w:rPr>
      <w:rFonts w:ascii="Symbol" w:hAnsi="Symbol"/>
    </w:rPr>
  </w:style>
  <w:style w:type="character" w:customStyle="1" w:styleId="WW8Num2z1">
    <w:name w:val="WW8Num2z1"/>
    <w:rsid w:val="003020DA"/>
    <w:rPr>
      <w:rFonts w:ascii="Courier New" w:hAnsi="Courier New"/>
    </w:rPr>
  </w:style>
  <w:style w:type="character" w:customStyle="1" w:styleId="WW8Num2z2">
    <w:name w:val="WW8Num2z2"/>
    <w:rsid w:val="003020DA"/>
    <w:rPr>
      <w:rFonts w:ascii="Wingdings" w:hAnsi="Wingdings"/>
    </w:rPr>
  </w:style>
  <w:style w:type="character" w:customStyle="1" w:styleId="WW8Num2z3">
    <w:name w:val="WW8Num2z3"/>
    <w:rsid w:val="003020DA"/>
    <w:rPr>
      <w:rFonts w:ascii="Wingdings" w:hAnsi="Wingdings" w:cs="Helvetica"/>
      <w:sz w:val="18"/>
      <w:szCs w:val="18"/>
    </w:rPr>
  </w:style>
  <w:style w:type="character" w:customStyle="1" w:styleId="DefaultParagraphFont1">
    <w:name w:val="Default Paragraph Font1"/>
    <w:rsid w:val="003020DA"/>
  </w:style>
  <w:style w:type="character" w:customStyle="1" w:styleId="WW-DefaultParagraphFont">
    <w:name w:val="WW-Default Paragraph Font"/>
    <w:rsid w:val="003020DA"/>
  </w:style>
  <w:style w:type="character" w:customStyle="1" w:styleId="WW-DefaultParagraphFont1">
    <w:name w:val="WW-Default Paragraph Font1"/>
    <w:rsid w:val="003020DA"/>
  </w:style>
  <w:style w:type="character" w:customStyle="1" w:styleId="WW-FootnoteReference">
    <w:name w:val="WW-Footnote Reference"/>
    <w:rsid w:val="003020DA"/>
    <w:rPr>
      <w:vertAlign w:val="superscript"/>
    </w:rPr>
  </w:style>
  <w:style w:type="character" w:styleId="Refdenotaalfinal">
    <w:name w:val="endnote reference"/>
    <w:uiPriority w:val="99"/>
    <w:semiHidden/>
    <w:rsid w:val="003020DA"/>
    <w:rPr>
      <w:vertAlign w:val="superscript"/>
    </w:rPr>
  </w:style>
  <w:style w:type="character" w:customStyle="1" w:styleId="Absatz-Standardschriftart">
    <w:name w:val="Absatz-Standardschriftart"/>
    <w:rsid w:val="003020DA"/>
  </w:style>
  <w:style w:type="character" w:customStyle="1" w:styleId="WW-Absatz-Standardschriftart">
    <w:name w:val="WW-Absatz-Standardschriftart"/>
    <w:rsid w:val="003020DA"/>
  </w:style>
  <w:style w:type="character" w:customStyle="1" w:styleId="WW-Absatz-Standardschriftart1">
    <w:name w:val="WW-Absatz-Standardschriftart1"/>
    <w:rsid w:val="003020DA"/>
  </w:style>
  <w:style w:type="character" w:customStyle="1" w:styleId="WW-Absatz-Standardschriftart11">
    <w:name w:val="WW-Absatz-Standardschriftart11"/>
    <w:rsid w:val="003020DA"/>
  </w:style>
  <w:style w:type="character" w:customStyle="1" w:styleId="WW-DefaultParagraphFont11">
    <w:name w:val="WW-Default Paragraph Font11"/>
    <w:rsid w:val="003020DA"/>
  </w:style>
  <w:style w:type="character" w:customStyle="1" w:styleId="WW-FootnoteReference1">
    <w:name w:val="WW-Footnote Reference1"/>
    <w:rsid w:val="003020DA"/>
    <w:rPr>
      <w:vertAlign w:val="superscript"/>
    </w:rPr>
  </w:style>
  <w:style w:type="character" w:customStyle="1" w:styleId="WW8Num2z4">
    <w:name w:val="WW8Num2z4"/>
    <w:rsid w:val="003020DA"/>
    <w:rPr>
      <w:rFonts w:ascii="Courier New" w:hAnsi="Courier New" w:cs="Courier New"/>
    </w:rPr>
  </w:style>
  <w:style w:type="character" w:customStyle="1" w:styleId="WW8Num3z0">
    <w:name w:val="WW8Num3z0"/>
    <w:rsid w:val="003020DA"/>
    <w:rPr>
      <w:rFonts w:ascii="Courier New" w:hAnsi="Courier New"/>
    </w:rPr>
  </w:style>
  <w:style w:type="character" w:customStyle="1" w:styleId="WW8Num3z1">
    <w:name w:val="WW8Num3z1"/>
    <w:rsid w:val="003020DA"/>
    <w:rPr>
      <w:rFonts w:ascii="Courier New" w:hAnsi="Courier New" w:cs="Helvetica"/>
    </w:rPr>
  </w:style>
  <w:style w:type="character" w:customStyle="1" w:styleId="WW8Num3z2">
    <w:name w:val="WW8Num3z2"/>
    <w:rsid w:val="003020DA"/>
    <w:rPr>
      <w:rFonts w:ascii="Wingdings" w:hAnsi="Wingdings"/>
    </w:rPr>
  </w:style>
  <w:style w:type="character" w:customStyle="1" w:styleId="WW8Num4z0">
    <w:name w:val="WW8Num4z0"/>
    <w:rsid w:val="003020DA"/>
    <w:rPr>
      <w:rFonts w:ascii="Symbol" w:hAnsi="Symbol"/>
      <w:color w:val="000000"/>
    </w:rPr>
  </w:style>
  <w:style w:type="character" w:customStyle="1" w:styleId="WW8Num4z1">
    <w:name w:val="WW8Num4z1"/>
    <w:rsid w:val="003020DA"/>
    <w:rPr>
      <w:rFonts w:ascii="Courier New" w:hAnsi="Courier New" w:cs="Courier New"/>
    </w:rPr>
  </w:style>
  <w:style w:type="character" w:customStyle="1" w:styleId="WW8Num4z2">
    <w:name w:val="WW8Num4z2"/>
    <w:rsid w:val="003020DA"/>
    <w:rPr>
      <w:rFonts w:ascii="Wingdings" w:hAnsi="Wingdings"/>
    </w:rPr>
  </w:style>
  <w:style w:type="character" w:customStyle="1" w:styleId="WW8Num4z3">
    <w:name w:val="WW8Num4z3"/>
    <w:rsid w:val="003020DA"/>
    <w:rPr>
      <w:rFonts w:ascii="Symbol" w:hAnsi="Symbol"/>
    </w:rPr>
  </w:style>
  <w:style w:type="character" w:customStyle="1" w:styleId="WW8Num5z0">
    <w:name w:val="WW8Num5z0"/>
    <w:rsid w:val="003020DA"/>
    <w:rPr>
      <w:rFonts w:ascii="Wingdings" w:hAnsi="Wingdings"/>
      <w:color w:val="000000"/>
    </w:rPr>
  </w:style>
  <w:style w:type="character" w:customStyle="1" w:styleId="WW8Num5z1">
    <w:name w:val="WW8Num5z1"/>
    <w:rsid w:val="003020DA"/>
    <w:rPr>
      <w:rFonts w:ascii="Courier New" w:hAnsi="Courier New" w:cs="Courier New"/>
    </w:rPr>
  </w:style>
  <w:style w:type="character" w:customStyle="1" w:styleId="WW8Num5z2">
    <w:name w:val="WW8Num5z2"/>
    <w:rsid w:val="003020DA"/>
    <w:rPr>
      <w:rFonts w:ascii="Wingdings" w:hAnsi="Wingdings"/>
    </w:rPr>
  </w:style>
  <w:style w:type="character" w:customStyle="1" w:styleId="WW8Num5z3">
    <w:name w:val="WW8Num5z3"/>
    <w:rsid w:val="003020DA"/>
    <w:rPr>
      <w:rFonts w:ascii="Symbol" w:hAnsi="Symbol"/>
    </w:rPr>
  </w:style>
  <w:style w:type="character" w:customStyle="1" w:styleId="WW8Num6z0">
    <w:name w:val="WW8Num6z0"/>
    <w:rsid w:val="003020DA"/>
    <w:rPr>
      <w:rFonts w:ascii="Symbol" w:hAnsi="Symbol"/>
      <w:color w:val="000000"/>
    </w:rPr>
  </w:style>
  <w:style w:type="character" w:customStyle="1" w:styleId="WW8Num6z1">
    <w:name w:val="WW8Num6z1"/>
    <w:rsid w:val="003020DA"/>
    <w:rPr>
      <w:rFonts w:ascii="Courier New" w:hAnsi="Courier New" w:cs="Courier New"/>
    </w:rPr>
  </w:style>
  <w:style w:type="character" w:customStyle="1" w:styleId="WW8Num6z2">
    <w:name w:val="WW8Num6z2"/>
    <w:rsid w:val="003020DA"/>
    <w:rPr>
      <w:rFonts w:ascii="Wingdings" w:hAnsi="Wingdings"/>
    </w:rPr>
  </w:style>
  <w:style w:type="character" w:customStyle="1" w:styleId="WW8Num6z3">
    <w:name w:val="WW8Num6z3"/>
    <w:rsid w:val="003020DA"/>
    <w:rPr>
      <w:rFonts w:ascii="Symbol" w:hAnsi="Symbol"/>
    </w:rPr>
  </w:style>
  <w:style w:type="character" w:customStyle="1" w:styleId="WW8Num7z0">
    <w:name w:val="WW8Num7z0"/>
    <w:rsid w:val="003020DA"/>
    <w:rPr>
      <w:sz w:val="14"/>
    </w:rPr>
  </w:style>
  <w:style w:type="character" w:customStyle="1" w:styleId="WW8Num8z0">
    <w:name w:val="WW8Num8z0"/>
    <w:rsid w:val="003020DA"/>
    <w:rPr>
      <w:rFonts w:ascii="Symbol" w:hAnsi="Symbol"/>
    </w:rPr>
  </w:style>
  <w:style w:type="character" w:customStyle="1" w:styleId="WW8Num11z0">
    <w:name w:val="WW8Num11z0"/>
    <w:rsid w:val="003020DA"/>
    <w:rPr>
      <w:rFonts w:ascii="Wingdings" w:hAnsi="Wingdings"/>
      <w:color w:val="000000"/>
    </w:rPr>
  </w:style>
  <w:style w:type="character" w:customStyle="1" w:styleId="WW8Num11z1">
    <w:name w:val="WW8Num11z1"/>
    <w:rsid w:val="003020DA"/>
    <w:rPr>
      <w:rFonts w:ascii="Courier New" w:hAnsi="Courier New" w:cs="Courier New"/>
    </w:rPr>
  </w:style>
  <w:style w:type="character" w:customStyle="1" w:styleId="WW8Num11z2">
    <w:name w:val="WW8Num11z2"/>
    <w:rsid w:val="003020DA"/>
    <w:rPr>
      <w:rFonts w:ascii="Wingdings" w:hAnsi="Wingdings"/>
    </w:rPr>
  </w:style>
  <w:style w:type="character" w:customStyle="1" w:styleId="WW8Num11z3">
    <w:name w:val="WW8Num11z3"/>
    <w:rsid w:val="003020DA"/>
    <w:rPr>
      <w:rFonts w:ascii="Symbol" w:hAnsi="Symbol"/>
    </w:rPr>
  </w:style>
  <w:style w:type="character" w:customStyle="1" w:styleId="WW8Num12z0">
    <w:name w:val="WW8Num12z0"/>
    <w:rsid w:val="003020DA"/>
    <w:rPr>
      <w:rFonts w:ascii="Symbol" w:hAnsi="Symbol"/>
    </w:rPr>
  </w:style>
  <w:style w:type="character" w:customStyle="1" w:styleId="WW8Num12z1">
    <w:name w:val="WW8Num12z1"/>
    <w:rsid w:val="003020DA"/>
    <w:rPr>
      <w:rFonts w:ascii="Courier New" w:hAnsi="Courier New" w:cs="Courier New"/>
    </w:rPr>
  </w:style>
  <w:style w:type="character" w:customStyle="1" w:styleId="WW8Num12z2">
    <w:name w:val="WW8Num12z2"/>
    <w:rsid w:val="003020DA"/>
    <w:rPr>
      <w:rFonts w:ascii="Wingdings" w:hAnsi="Wingdings"/>
    </w:rPr>
  </w:style>
  <w:style w:type="character" w:customStyle="1" w:styleId="WW8Num14z0">
    <w:name w:val="WW8Num14z0"/>
    <w:rsid w:val="003020DA"/>
    <w:rPr>
      <w:rFonts w:ascii="Symbol" w:hAnsi="Symbol"/>
      <w:color w:val="000000"/>
    </w:rPr>
  </w:style>
  <w:style w:type="character" w:customStyle="1" w:styleId="WW8Num14z1">
    <w:name w:val="WW8Num14z1"/>
    <w:rsid w:val="003020DA"/>
    <w:rPr>
      <w:rFonts w:ascii="Courier New" w:hAnsi="Courier New" w:cs="Courier New"/>
    </w:rPr>
  </w:style>
  <w:style w:type="character" w:customStyle="1" w:styleId="WW8Num14z2">
    <w:name w:val="WW8Num14z2"/>
    <w:rsid w:val="003020DA"/>
    <w:rPr>
      <w:rFonts w:ascii="Wingdings" w:hAnsi="Wingdings"/>
    </w:rPr>
  </w:style>
  <w:style w:type="character" w:customStyle="1" w:styleId="WW8Num14z3">
    <w:name w:val="WW8Num14z3"/>
    <w:rsid w:val="003020DA"/>
    <w:rPr>
      <w:rFonts w:ascii="Symbol" w:hAnsi="Symbol"/>
    </w:rPr>
  </w:style>
  <w:style w:type="character" w:customStyle="1" w:styleId="WW8Num17z0">
    <w:name w:val="WW8Num17z0"/>
    <w:rsid w:val="003020DA"/>
    <w:rPr>
      <w:sz w:val="14"/>
    </w:rPr>
  </w:style>
  <w:style w:type="character" w:customStyle="1" w:styleId="WW8Num20z0">
    <w:name w:val="WW8Num20z0"/>
    <w:rsid w:val="003020DA"/>
    <w:rPr>
      <w:rFonts w:ascii="Symbol" w:hAnsi="Symbol"/>
    </w:rPr>
  </w:style>
  <w:style w:type="character" w:customStyle="1" w:styleId="WW8Num20z1">
    <w:name w:val="WW8Num20z1"/>
    <w:rsid w:val="003020DA"/>
    <w:rPr>
      <w:rFonts w:ascii="Courier New" w:hAnsi="Courier New" w:cs="Tahoma"/>
    </w:rPr>
  </w:style>
  <w:style w:type="character" w:customStyle="1" w:styleId="WW8Num20z2">
    <w:name w:val="WW8Num20z2"/>
    <w:rsid w:val="003020DA"/>
    <w:rPr>
      <w:rFonts w:ascii="Wingdings" w:hAnsi="Wingdings"/>
    </w:rPr>
  </w:style>
  <w:style w:type="character" w:customStyle="1" w:styleId="WW8Num21z0">
    <w:name w:val="WW8Num21z0"/>
    <w:rsid w:val="003020DA"/>
    <w:rPr>
      <w:rFonts w:ascii="Symbol" w:hAnsi="Symbol"/>
    </w:rPr>
  </w:style>
  <w:style w:type="character" w:customStyle="1" w:styleId="WW8Num21z2">
    <w:name w:val="WW8Num21z2"/>
    <w:rsid w:val="003020DA"/>
    <w:rPr>
      <w:rFonts w:ascii="Wingdings" w:hAnsi="Wingdings"/>
    </w:rPr>
  </w:style>
  <w:style w:type="character" w:customStyle="1" w:styleId="WW8Num21z4">
    <w:name w:val="WW8Num21z4"/>
    <w:rsid w:val="003020DA"/>
    <w:rPr>
      <w:rFonts w:ascii="Courier New" w:hAnsi="Courier New" w:cs="Courier New"/>
    </w:rPr>
  </w:style>
  <w:style w:type="character" w:customStyle="1" w:styleId="WW8Num22z0">
    <w:name w:val="WW8Num22z0"/>
    <w:rsid w:val="003020DA"/>
    <w:rPr>
      <w:rFonts w:ascii="Symbol" w:hAnsi="Symbol"/>
    </w:rPr>
  </w:style>
  <w:style w:type="character" w:customStyle="1" w:styleId="WW8Num22z2">
    <w:name w:val="WW8Num22z2"/>
    <w:rsid w:val="003020DA"/>
    <w:rPr>
      <w:rFonts w:ascii="Wingdings" w:hAnsi="Wingdings"/>
    </w:rPr>
  </w:style>
  <w:style w:type="character" w:customStyle="1" w:styleId="WW8Num22z4">
    <w:name w:val="WW8Num22z4"/>
    <w:rsid w:val="003020DA"/>
    <w:rPr>
      <w:rFonts w:ascii="Courier New" w:hAnsi="Courier New" w:cs="Courier New"/>
    </w:rPr>
  </w:style>
  <w:style w:type="character" w:customStyle="1" w:styleId="WW8Num23z0">
    <w:name w:val="WW8Num23z0"/>
    <w:rsid w:val="003020DA"/>
    <w:rPr>
      <w:rFonts w:ascii="Symbol" w:hAnsi="Symbol"/>
      <w:color w:val="000000"/>
    </w:rPr>
  </w:style>
  <w:style w:type="character" w:customStyle="1" w:styleId="WW8Num23z1">
    <w:name w:val="WW8Num23z1"/>
    <w:rsid w:val="003020DA"/>
    <w:rPr>
      <w:rFonts w:ascii="Courier New" w:hAnsi="Courier New" w:cs="Courier New"/>
    </w:rPr>
  </w:style>
  <w:style w:type="character" w:customStyle="1" w:styleId="WW8Num23z2">
    <w:name w:val="WW8Num23z2"/>
    <w:rsid w:val="003020DA"/>
    <w:rPr>
      <w:rFonts w:ascii="Wingdings" w:hAnsi="Wingdings"/>
    </w:rPr>
  </w:style>
  <w:style w:type="character" w:customStyle="1" w:styleId="WW8Num23z3">
    <w:name w:val="WW8Num23z3"/>
    <w:rsid w:val="003020DA"/>
    <w:rPr>
      <w:rFonts w:ascii="Symbol" w:hAnsi="Symbol"/>
    </w:rPr>
  </w:style>
  <w:style w:type="character" w:customStyle="1" w:styleId="WW8Num24z0">
    <w:name w:val="WW8Num24z0"/>
    <w:rsid w:val="003020DA"/>
    <w:rPr>
      <w:rFonts w:ascii="Symbol" w:hAnsi="Symbol"/>
      <w:color w:val="000000"/>
    </w:rPr>
  </w:style>
  <w:style w:type="character" w:customStyle="1" w:styleId="WW8Num24z1">
    <w:name w:val="WW8Num24z1"/>
    <w:rsid w:val="003020DA"/>
    <w:rPr>
      <w:rFonts w:ascii="Courier New" w:hAnsi="Courier New" w:cs="Courier New"/>
    </w:rPr>
  </w:style>
  <w:style w:type="character" w:customStyle="1" w:styleId="WW8Num24z2">
    <w:name w:val="WW8Num24z2"/>
    <w:rsid w:val="003020DA"/>
    <w:rPr>
      <w:rFonts w:ascii="Wingdings" w:hAnsi="Wingdings"/>
    </w:rPr>
  </w:style>
  <w:style w:type="character" w:customStyle="1" w:styleId="WW8Num24z3">
    <w:name w:val="WW8Num24z3"/>
    <w:rsid w:val="003020DA"/>
    <w:rPr>
      <w:rFonts w:ascii="Symbol" w:hAnsi="Symbol"/>
    </w:rPr>
  </w:style>
  <w:style w:type="character" w:customStyle="1" w:styleId="WW-FootnoteReference11">
    <w:name w:val="WW-Footnote Reference11"/>
    <w:rsid w:val="003020DA"/>
    <w:rPr>
      <w:vertAlign w:val="superscript"/>
    </w:rPr>
  </w:style>
  <w:style w:type="character" w:customStyle="1" w:styleId="WW8Num3z3">
    <w:name w:val="WW8Num3z3"/>
    <w:rsid w:val="003020DA"/>
    <w:rPr>
      <w:rFonts w:ascii="Symbol" w:hAnsi="Symbol"/>
    </w:rPr>
  </w:style>
  <w:style w:type="character" w:customStyle="1" w:styleId="WW-DefaultParagraphFont111">
    <w:name w:val="WW-Default Paragraph Font111"/>
    <w:rsid w:val="003020DA"/>
  </w:style>
  <w:style w:type="character" w:customStyle="1" w:styleId="FootnoteReference1">
    <w:name w:val="Footnote Reference1"/>
    <w:rsid w:val="003020DA"/>
    <w:rPr>
      <w:vertAlign w:val="superscript"/>
    </w:rPr>
  </w:style>
  <w:style w:type="character" w:customStyle="1" w:styleId="WW-FootnoteReference111">
    <w:name w:val="WW-Footnote Reference111"/>
    <w:rsid w:val="003020DA"/>
    <w:rPr>
      <w:vertAlign w:val="superscript"/>
    </w:rPr>
  </w:style>
  <w:style w:type="character" w:customStyle="1" w:styleId="WW8Dropcap0">
    <w:name w:val="WW8Dropcap0"/>
    <w:rsid w:val="003020DA"/>
    <w:rPr>
      <w:color w:val="CC9900"/>
      <w:sz w:val="123"/>
    </w:rPr>
  </w:style>
  <w:style w:type="character" w:customStyle="1" w:styleId="WW-EndnoteCharacters">
    <w:name w:val="WW-Endnote Characters"/>
    <w:rsid w:val="003020DA"/>
  </w:style>
  <w:style w:type="character" w:customStyle="1" w:styleId="WW-EndnoteReference">
    <w:name w:val="WW-Endnote Reference"/>
    <w:rsid w:val="003020DA"/>
    <w:rPr>
      <w:vertAlign w:val="superscript"/>
    </w:rPr>
  </w:style>
  <w:style w:type="character" w:customStyle="1" w:styleId="BulletlistshortChar">
    <w:name w:val="Bullet list (short) Char"/>
    <w:basedOn w:val="WW-DefaultParagraphFont"/>
    <w:rsid w:val="003020DA"/>
    <w:rPr>
      <w:sz w:val="22"/>
      <w:szCs w:val="24"/>
      <w:lang w:val="en-US" w:eastAsia="ar-SA" w:bidi="ar-SA"/>
    </w:rPr>
  </w:style>
  <w:style w:type="character" w:customStyle="1" w:styleId="ReferencesChar">
    <w:name w:val="References Char"/>
    <w:basedOn w:val="WW-DefaultParagraphFont"/>
    <w:rsid w:val="003020DA"/>
    <w:rPr>
      <w:sz w:val="22"/>
      <w:szCs w:val="24"/>
      <w:lang w:val="en-US" w:eastAsia="ar-SA" w:bidi="ar-SA"/>
    </w:rPr>
  </w:style>
  <w:style w:type="character" w:customStyle="1" w:styleId="BodycopyChar">
    <w:name w:val="Body copy Char"/>
    <w:basedOn w:val="WW-DefaultParagraphFont"/>
    <w:rsid w:val="003020DA"/>
    <w:rPr>
      <w:sz w:val="22"/>
      <w:lang w:val="en-US" w:eastAsia="ar-SA" w:bidi="ar-SA"/>
    </w:rPr>
  </w:style>
  <w:style w:type="character" w:customStyle="1" w:styleId="BodycopyChar1">
    <w:name w:val="Body copy Char1"/>
    <w:basedOn w:val="WW-DefaultParagraphFont"/>
    <w:rsid w:val="003020DA"/>
    <w:rPr>
      <w:sz w:val="22"/>
      <w:lang w:val="en-US" w:eastAsia="ar-SA" w:bidi="ar-SA"/>
    </w:rPr>
  </w:style>
  <w:style w:type="character" w:customStyle="1" w:styleId="FootnotetextChar">
    <w:name w:val="Footnote text Char"/>
    <w:basedOn w:val="WW-DefaultParagraphFont"/>
    <w:rsid w:val="003020DA"/>
    <w:rPr>
      <w:sz w:val="22"/>
      <w:lang w:val="en-US" w:eastAsia="ar-SA" w:bidi="ar-SA"/>
    </w:rPr>
  </w:style>
  <w:style w:type="character" w:customStyle="1" w:styleId="medium-bold">
    <w:name w:val="medium-bold"/>
    <w:basedOn w:val="WW-DefaultParagraphFont"/>
    <w:rsid w:val="003020DA"/>
  </w:style>
  <w:style w:type="character" w:customStyle="1" w:styleId="medium-normal">
    <w:name w:val="medium-normal"/>
    <w:basedOn w:val="WW-DefaultParagraphFont"/>
    <w:rsid w:val="003020DA"/>
  </w:style>
  <w:style w:type="character" w:customStyle="1" w:styleId="CaptionChar">
    <w:name w:val="Caption Char"/>
    <w:basedOn w:val="WW-DefaultParagraphFont"/>
    <w:rsid w:val="003020DA"/>
    <w:rPr>
      <w:rFonts w:ascii="Arial Black" w:hAnsi="Arial Black"/>
      <w:sz w:val="18"/>
      <w:lang w:val="en-US" w:eastAsia="ar-SA" w:bidi="ar-SA"/>
    </w:rPr>
  </w:style>
  <w:style w:type="character" w:customStyle="1" w:styleId="CaptionChar1">
    <w:name w:val="Caption Char1"/>
    <w:basedOn w:val="WW-DefaultParagraphFont"/>
    <w:rsid w:val="003020DA"/>
    <w:rPr>
      <w:rFonts w:ascii="Arial Black" w:hAnsi="Arial Black"/>
      <w:sz w:val="18"/>
      <w:lang w:val="en-US" w:eastAsia="ar-SA" w:bidi="ar-SA"/>
    </w:rPr>
  </w:style>
  <w:style w:type="character" w:customStyle="1" w:styleId="WW8Dropcap1">
    <w:name w:val="WW8Dropcap1"/>
    <w:rsid w:val="003020DA"/>
    <w:rPr>
      <w:color w:val="CC9900"/>
      <w:sz w:val="118"/>
    </w:rPr>
  </w:style>
  <w:style w:type="character" w:customStyle="1" w:styleId="WW8Dropcap2">
    <w:name w:val="WW8Dropcap2"/>
    <w:rsid w:val="003020DA"/>
    <w:rPr>
      <w:color w:val="CC9900"/>
      <w:sz w:val="112"/>
    </w:rPr>
  </w:style>
  <w:style w:type="character" w:customStyle="1" w:styleId="WW8Dropcap3">
    <w:name w:val="WW8Dropcap3"/>
    <w:rsid w:val="003020DA"/>
    <w:rPr>
      <w:color w:val="CC9900"/>
      <w:sz w:val="118"/>
    </w:rPr>
  </w:style>
  <w:style w:type="character" w:customStyle="1" w:styleId="WW8Dropcap4">
    <w:name w:val="WW8Dropcap4"/>
    <w:rsid w:val="003020DA"/>
    <w:rPr>
      <w:color w:val="CC9900"/>
      <w:sz w:val="118"/>
    </w:rPr>
  </w:style>
  <w:style w:type="character" w:customStyle="1" w:styleId="WW-EndnoteReference1">
    <w:name w:val="WW-Endnote Reference1"/>
    <w:rsid w:val="003020DA"/>
    <w:rPr>
      <w:vertAlign w:val="superscript"/>
    </w:rPr>
  </w:style>
  <w:style w:type="character" w:customStyle="1" w:styleId="INS">
    <w:name w:val="INS"/>
    <w:rsid w:val="003020DA"/>
  </w:style>
  <w:style w:type="character" w:customStyle="1" w:styleId="RTFNum21">
    <w:name w:val="RTF_Num 2 1"/>
    <w:rsid w:val="003020DA"/>
    <w:rPr>
      <w:rFonts w:cs="Times New Roman"/>
      <w:b w:val="0"/>
      <w:bCs w:val="0"/>
      <w:i w:val="0"/>
      <w:iCs w:val="0"/>
      <w:sz w:val="16"/>
      <w:szCs w:val="16"/>
    </w:rPr>
  </w:style>
  <w:style w:type="character" w:customStyle="1" w:styleId="RTFNum22">
    <w:name w:val="RTF_Num 2 2"/>
    <w:rsid w:val="003020DA"/>
    <w:rPr>
      <w:rFonts w:ascii="Symbol" w:eastAsia="Symbol" w:hAnsi="Symbol" w:cs="Symbol"/>
      <w:sz w:val="16"/>
      <w:szCs w:val="16"/>
    </w:rPr>
  </w:style>
  <w:style w:type="character" w:customStyle="1" w:styleId="RTFNum23">
    <w:name w:val="RTF_Num 2 3"/>
    <w:rsid w:val="003020DA"/>
    <w:rPr>
      <w:rFonts w:cs="Times New Roman"/>
      <w:b w:val="0"/>
      <w:bCs w:val="0"/>
      <w:i w:val="0"/>
      <w:iCs w:val="0"/>
      <w:sz w:val="16"/>
      <w:szCs w:val="16"/>
    </w:rPr>
  </w:style>
  <w:style w:type="character" w:customStyle="1" w:styleId="RTFNum24">
    <w:name w:val="RTF_Num 2 4"/>
    <w:rsid w:val="003020DA"/>
    <w:rPr>
      <w:rFonts w:cs="Times New Roman"/>
    </w:rPr>
  </w:style>
  <w:style w:type="character" w:customStyle="1" w:styleId="RTFNum25">
    <w:name w:val="RTF_Num 2 5"/>
    <w:rsid w:val="003020DA"/>
    <w:rPr>
      <w:rFonts w:cs="Times New Roman"/>
    </w:rPr>
  </w:style>
  <w:style w:type="character" w:customStyle="1" w:styleId="RTFNum26">
    <w:name w:val="RTF_Num 2 6"/>
    <w:rsid w:val="003020DA"/>
    <w:rPr>
      <w:rFonts w:cs="Times New Roman"/>
    </w:rPr>
  </w:style>
  <w:style w:type="character" w:customStyle="1" w:styleId="RTFNum27">
    <w:name w:val="RTF_Num 2 7"/>
    <w:rsid w:val="003020DA"/>
    <w:rPr>
      <w:rFonts w:cs="Times New Roman"/>
    </w:rPr>
  </w:style>
  <w:style w:type="character" w:customStyle="1" w:styleId="RTFNum28">
    <w:name w:val="RTF_Num 2 8"/>
    <w:rsid w:val="003020DA"/>
    <w:rPr>
      <w:rFonts w:cs="Times New Roman"/>
    </w:rPr>
  </w:style>
  <w:style w:type="character" w:customStyle="1" w:styleId="RTFNum29">
    <w:name w:val="RTF_Num 2 9"/>
    <w:rsid w:val="003020DA"/>
    <w:rPr>
      <w:rFonts w:cs="Times New Roman"/>
    </w:rPr>
  </w:style>
  <w:style w:type="character" w:customStyle="1" w:styleId="Refdenotaalfinal1">
    <w:name w:val="Ref. de nota al final1"/>
    <w:rsid w:val="003020DA"/>
    <w:rPr>
      <w:position w:val="1"/>
      <w:sz w:val="14"/>
    </w:rPr>
  </w:style>
  <w:style w:type="character" w:customStyle="1" w:styleId="Heading2Char">
    <w:name w:val="Heading 2 Char"/>
    <w:basedOn w:val="WW-DefaultParagraphFont1"/>
    <w:rsid w:val="003020DA"/>
    <w:rPr>
      <w:rFonts w:ascii="Arial Black" w:hAnsi="Arial Black"/>
      <w:sz w:val="22"/>
      <w:szCs w:val="24"/>
      <w:lang w:val="en-US" w:eastAsia="ar-SA" w:bidi="ar-SA"/>
    </w:rPr>
  </w:style>
  <w:style w:type="character" w:customStyle="1" w:styleId="WW8Dropcap5">
    <w:name w:val="WW8Dropcap5"/>
    <w:rsid w:val="003020DA"/>
    <w:rPr>
      <w:color w:val="0066CC"/>
      <w:sz w:val="74"/>
    </w:rPr>
  </w:style>
  <w:style w:type="character" w:customStyle="1" w:styleId="WW-EndnoteReference12">
    <w:name w:val="WW-Endnote Reference12"/>
    <w:rsid w:val="003020DA"/>
    <w:rPr>
      <w:vertAlign w:val="superscript"/>
    </w:rPr>
  </w:style>
  <w:style w:type="paragraph" w:customStyle="1" w:styleId="Heading">
    <w:name w:val="Heading"/>
    <w:basedOn w:val="Normal"/>
    <w:next w:val="Textoindependiente"/>
    <w:uiPriority w:val="99"/>
    <w:rsid w:val="003020DA"/>
    <w:pPr>
      <w:keepNext/>
      <w:widowControl w:val="0"/>
      <w:suppressAutoHyphens/>
      <w:spacing w:before="240" w:after="120"/>
    </w:pPr>
    <w:rPr>
      <w:rFonts w:ascii="Arial" w:eastAsia="MS Mincho" w:hAnsi="Arial" w:cs="Arial Unicode MS"/>
      <w:sz w:val="28"/>
      <w:szCs w:val="28"/>
      <w:lang w:val="es-ES_tradnl" w:eastAsia="ar-SA"/>
    </w:rPr>
  </w:style>
  <w:style w:type="paragraph" w:customStyle="1" w:styleId="TableContents">
    <w:name w:val="Table Contents"/>
    <w:basedOn w:val="Normal"/>
    <w:uiPriority w:val="99"/>
    <w:rsid w:val="003020DA"/>
    <w:pPr>
      <w:widowControl w:val="0"/>
      <w:suppressLineNumbers/>
      <w:suppressAutoHyphens/>
    </w:pPr>
    <w:rPr>
      <w:rFonts w:eastAsia="Arial Unicode MS"/>
      <w:lang w:val="es-ES_tradnl" w:eastAsia="ar-SA"/>
    </w:rPr>
  </w:style>
  <w:style w:type="paragraph" w:customStyle="1" w:styleId="TableHeading">
    <w:name w:val="Table Heading"/>
    <w:basedOn w:val="TableContents"/>
    <w:uiPriority w:val="99"/>
    <w:rsid w:val="003020DA"/>
    <w:pPr>
      <w:jc w:val="center"/>
    </w:pPr>
    <w:rPr>
      <w:b/>
      <w:bCs/>
      <w:i/>
      <w:iCs/>
    </w:rPr>
  </w:style>
  <w:style w:type="paragraph" w:customStyle="1" w:styleId="Framecontents">
    <w:name w:val="Frame contents"/>
    <w:basedOn w:val="Textoindependiente"/>
    <w:uiPriority w:val="99"/>
    <w:rsid w:val="003020DA"/>
    <w:pPr>
      <w:widowControl w:val="0"/>
      <w:suppressAutoHyphens/>
      <w:spacing w:after="120" w:line="288" w:lineRule="auto"/>
      <w:ind w:firstLine="720"/>
      <w:jc w:val="both"/>
    </w:pPr>
    <w:rPr>
      <w:rFonts w:eastAsia="Arial Unicode MS"/>
      <w:sz w:val="24"/>
      <w:lang w:val="es-ES_tradnl" w:eastAsia="ar-SA"/>
    </w:rPr>
  </w:style>
  <w:style w:type="paragraph" w:customStyle="1" w:styleId="Index">
    <w:name w:val="Index"/>
    <w:basedOn w:val="Normal"/>
    <w:uiPriority w:val="99"/>
    <w:rsid w:val="003020DA"/>
    <w:pPr>
      <w:widowControl w:val="0"/>
      <w:suppressLineNumbers/>
      <w:suppressAutoHyphens/>
    </w:pPr>
    <w:rPr>
      <w:rFonts w:eastAsia="Arial Unicode MS" w:cs="Arial Unicode MS"/>
      <w:lang w:val="es-ES_tradnl" w:eastAsia="ar-SA"/>
    </w:rPr>
  </w:style>
  <w:style w:type="paragraph" w:customStyle="1" w:styleId="Bibliography1">
    <w:name w:val="Bibliography 1"/>
    <w:basedOn w:val="Normal"/>
    <w:uiPriority w:val="99"/>
    <w:rsid w:val="003020DA"/>
    <w:pPr>
      <w:widowControl w:val="0"/>
      <w:suppressLineNumbers/>
      <w:tabs>
        <w:tab w:val="right" w:leader="dot" w:pos="10404"/>
      </w:tabs>
      <w:suppressAutoHyphens/>
      <w:spacing w:before="173"/>
      <w:ind w:left="432" w:hanging="432"/>
    </w:pPr>
    <w:rPr>
      <w:rFonts w:eastAsia="Arial Unicode MS" w:cs="Arial Unicode MS"/>
      <w:lang w:val="es-ES_tradnl" w:eastAsia="ar-SA"/>
    </w:rPr>
  </w:style>
  <w:style w:type="paragraph" w:customStyle="1" w:styleId="-subsectionheader">
    <w:name w:val="- subsection header"/>
    <w:basedOn w:val="Normal"/>
    <w:uiPriority w:val="99"/>
    <w:rsid w:val="003020DA"/>
    <w:pPr>
      <w:widowControl w:val="0"/>
      <w:suppressAutoHyphens/>
      <w:spacing w:before="86" w:after="43"/>
    </w:pPr>
    <w:rPr>
      <w:rFonts w:eastAsia="Arial Unicode MS"/>
      <w:b/>
      <w:bCs/>
      <w:i/>
      <w:sz w:val="22"/>
      <w:szCs w:val="22"/>
      <w:lang w:val="es-ES_tradnl" w:eastAsia="ar-SA"/>
    </w:rPr>
  </w:style>
  <w:style w:type="paragraph" w:customStyle="1" w:styleId="-subsectionheaderII">
    <w:name w:val="- subsection header II"/>
    <w:basedOn w:val="-subsectionheader"/>
    <w:uiPriority w:val="99"/>
    <w:rsid w:val="003020DA"/>
    <w:rPr>
      <w:b w:val="0"/>
      <w:bCs w:val="0"/>
    </w:rPr>
  </w:style>
  <w:style w:type="paragraph" w:customStyle="1" w:styleId="-subheading">
    <w:name w:val="- subheading"/>
    <w:basedOn w:val="Textoindependiente"/>
    <w:uiPriority w:val="99"/>
    <w:rsid w:val="003020DA"/>
    <w:pPr>
      <w:widowControl w:val="0"/>
      <w:suppressAutoHyphens/>
      <w:spacing w:after="29" w:line="288" w:lineRule="auto"/>
      <w:ind w:firstLine="720"/>
      <w:jc w:val="both"/>
    </w:pPr>
    <w:rPr>
      <w:rFonts w:ascii="Arial Black" w:eastAsia="Arial Unicode MS" w:hAnsi="Arial Black"/>
      <w:bCs/>
      <w:i/>
      <w:iCs/>
      <w:sz w:val="22"/>
      <w:szCs w:val="22"/>
      <w:lang w:val="es-ES_tradnl" w:eastAsia="ar-SA"/>
    </w:rPr>
  </w:style>
  <w:style w:type="paragraph" w:customStyle="1" w:styleId="Bodycopy">
    <w:name w:val="Body copy"/>
    <w:basedOn w:val="Normal"/>
    <w:uiPriority w:val="99"/>
    <w:rsid w:val="003020DA"/>
    <w:pPr>
      <w:spacing w:before="120" w:after="120" w:line="100" w:lineRule="atLeast"/>
      <w:ind w:firstLine="360"/>
      <w:jc w:val="both"/>
    </w:pPr>
    <w:rPr>
      <w:sz w:val="22"/>
      <w:lang w:val="es-ES_tradnl" w:eastAsia="ar-SA"/>
    </w:rPr>
  </w:style>
  <w:style w:type="paragraph" w:customStyle="1" w:styleId="Bulletlistshort">
    <w:name w:val="Bullet list (short)"/>
    <w:basedOn w:val="Bodycopy"/>
    <w:next w:val="Bodycopy"/>
    <w:uiPriority w:val="99"/>
    <w:rsid w:val="003020DA"/>
    <w:pPr>
      <w:ind w:firstLine="0"/>
    </w:pPr>
  </w:style>
  <w:style w:type="paragraph" w:customStyle="1" w:styleId="Bulletsublist">
    <w:name w:val="Bullet sublist"/>
    <w:basedOn w:val="Bulletlistshort"/>
    <w:uiPriority w:val="99"/>
    <w:rsid w:val="003020DA"/>
  </w:style>
  <w:style w:type="paragraph" w:customStyle="1" w:styleId="Firstparagraph">
    <w:name w:val="First paragraph"/>
    <w:basedOn w:val="Bodycopy"/>
    <w:next w:val="Bodycopy"/>
    <w:uiPriority w:val="99"/>
    <w:rsid w:val="003020DA"/>
    <w:pPr>
      <w:ind w:firstLine="0"/>
    </w:pPr>
  </w:style>
  <w:style w:type="paragraph" w:customStyle="1" w:styleId="Textonotapie1">
    <w:name w:val="Texto nota pie1"/>
    <w:basedOn w:val="Firstparagraph"/>
    <w:uiPriority w:val="99"/>
    <w:rsid w:val="003020DA"/>
    <w:pPr>
      <w:spacing w:before="0" w:after="60"/>
    </w:pPr>
    <w:rPr>
      <w:sz w:val="20"/>
    </w:rPr>
  </w:style>
  <w:style w:type="paragraph" w:customStyle="1" w:styleId="Tabletext">
    <w:name w:val="Table text"/>
    <w:basedOn w:val="Bodycopy"/>
    <w:uiPriority w:val="99"/>
    <w:rsid w:val="003020DA"/>
    <w:pPr>
      <w:tabs>
        <w:tab w:val="left" w:pos="360"/>
        <w:tab w:val="left" w:pos="720"/>
      </w:tabs>
      <w:spacing w:before="40" w:after="40"/>
      <w:ind w:firstLine="0"/>
    </w:pPr>
    <w:rPr>
      <w:sz w:val="20"/>
    </w:rPr>
  </w:style>
  <w:style w:type="paragraph" w:customStyle="1" w:styleId="Sourcenotes">
    <w:name w:val="Source/notes"/>
    <w:basedOn w:val="Tabletext"/>
    <w:next w:val="Normal"/>
    <w:uiPriority w:val="99"/>
    <w:rsid w:val="003020DA"/>
    <w:pPr>
      <w:spacing w:before="80" w:after="0"/>
    </w:pPr>
  </w:style>
  <w:style w:type="paragraph" w:customStyle="1" w:styleId="Tablecellcaption">
    <w:name w:val="Table cell caption"/>
    <w:basedOn w:val="Tabletext"/>
    <w:uiPriority w:val="99"/>
    <w:rsid w:val="003020DA"/>
    <w:rPr>
      <w:rFonts w:ascii="Arial Black" w:hAnsi="Arial Black"/>
      <w:sz w:val="18"/>
      <w:lang w:val="en-GB"/>
    </w:rPr>
  </w:style>
  <w:style w:type="paragraph" w:customStyle="1" w:styleId="Tabletextindent">
    <w:name w:val="Table text indent"/>
    <w:basedOn w:val="Tabletext"/>
    <w:uiPriority w:val="99"/>
    <w:rsid w:val="003020DA"/>
    <w:pPr>
      <w:ind w:firstLine="360"/>
    </w:pPr>
  </w:style>
  <w:style w:type="paragraph" w:customStyle="1" w:styleId="References">
    <w:name w:val="References"/>
    <w:basedOn w:val="Firstparagraph"/>
    <w:uiPriority w:val="99"/>
    <w:rsid w:val="003020DA"/>
    <w:pPr>
      <w:ind w:left="720" w:hanging="720"/>
      <w:jc w:val="left"/>
    </w:pPr>
  </w:style>
  <w:style w:type="paragraph" w:customStyle="1" w:styleId="Boxtext">
    <w:name w:val="Box text"/>
    <w:basedOn w:val="Normal"/>
    <w:uiPriority w:val="99"/>
    <w:rsid w:val="003020DA"/>
    <w:pPr>
      <w:keepLines/>
      <w:spacing w:after="120"/>
    </w:pPr>
    <w:rPr>
      <w:sz w:val="20"/>
      <w:szCs w:val="20"/>
      <w:lang w:val="es-ES_tradnl" w:eastAsia="ar-SA"/>
    </w:rPr>
  </w:style>
  <w:style w:type="paragraph" w:customStyle="1" w:styleId="Chapterhead">
    <w:name w:val="Chapter head"/>
    <w:basedOn w:val="Normal"/>
    <w:uiPriority w:val="99"/>
    <w:rsid w:val="003020DA"/>
    <w:pPr>
      <w:spacing w:before="480" w:after="240"/>
      <w:jc w:val="center"/>
    </w:pPr>
    <w:rPr>
      <w:rFonts w:ascii="Arial Black" w:hAnsi="Arial Black"/>
      <w:sz w:val="44"/>
      <w:szCs w:val="20"/>
      <w:lang w:val="es-ES_tradnl" w:eastAsia="ar-SA"/>
    </w:rPr>
  </w:style>
  <w:style w:type="paragraph" w:customStyle="1" w:styleId="ChapterTitle">
    <w:name w:val="Chapter Title"/>
    <w:basedOn w:val="Normal"/>
    <w:uiPriority w:val="99"/>
    <w:rsid w:val="003020DA"/>
    <w:pPr>
      <w:spacing w:before="240" w:after="60"/>
      <w:jc w:val="center"/>
    </w:pPr>
    <w:rPr>
      <w:rFonts w:ascii="Arial" w:hAnsi="Arial" w:cs="Arial"/>
      <w:color w:val="CC9900"/>
      <w:kern w:val="1"/>
      <w:sz w:val="44"/>
      <w:szCs w:val="32"/>
      <w:lang w:val="es-ES_tradnl" w:eastAsia="ar-SA"/>
    </w:rPr>
  </w:style>
  <w:style w:type="paragraph" w:customStyle="1" w:styleId="Textonotaalfinal1">
    <w:name w:val="Texto nota al final1"/>
    <w:basedOn w:val="Normal"/>
    <w:uiPriority w:val="99"/>
    <w:rsid w:val="003020DA"/>
    <w:pPr>
      <w:widowControl w:val="0"/>
      <w:suppressAutoHyphens/>
    </w:pPr>
    <w:rPr>
      <w:rFonts w:eastAsia="Arial Unicode MS"/>
      <w:sz w:val="20"/>
      <w:szCs w:val="20"/>
      <w:lang w:val="es-ES_tradnl" w:eastAsia="ar-SA"/>
    </w:rPr>
  </w:style>
  <w:style w:type="paragraph" w:customStyle="1" w:styleId="Comment">
    <w:name w:val="Comment"/>
    <w:basedOn w:val="Ttulo2"/>
    <w:uiPriority w:val="99"/>
    <w:rsid w:val="003020DA"/>
    <w:pPr>
      <w:tabs>
        <w:tab w:val="left" w:pos="0"/>
      </w:tabs>
      <w:spacing w:before="0" w:after="187"/>
      <w:jc w:val="left"/>
    </w:pPr>
    <w:rPr>
      <w:rFonts w:ascii="Arial Narrow" w:hAnsi="Arial Narrow"/>
      <w:b w:val="0"/>
      <w:bCs w:val="0"/>
      <w:i/>
      <w:iCs/>
      <w:sz w:val="22"/>
      <w:szCs w:val="24"/>
      <w:lang w:val="en-US" w:eastAsia="ar-SA"/>
    </w:rPr>
  </w:style>
  <w:style w:type="paragraph" w:customStyle="1" w:styleId="Heading2wComment">
    <w:name w:val="Heading 2 w Comment"/>
    <w:basedOn w:val="Ttulo2"/>
    <w:uiPriority w:val="99"/>
    <w:rsid w:val="003020DA"/>
    <w:pPr>
      <w:tabs>
        <w:tab w:val="left" w:pos="0"/>
      </w:tabs>
      <w:spacing w:before="245" w:after="0"/>
      <w:jc w:val="left"/>
    </w:pPr>
    <w:rPr>
      <w:rFonts w:ascii="Arial Black" w:hAnsi="Arial Black"/>
      <w:b w:val="0"/>
      <w:bCs w:val="0"/>
      <w:sz w:val="22"/>
      <w:szCs w:val="24"/>
      <w:lang w:val="en-US" w:eastAsia="ar-SA"/>
    </w:rPr>
  </w:style>
  <w:style w:type="paragraph" w:customStyle="1" w:styleId="Bigletterpara">
    <w:name w:val="Big letter para"/>
    <w:basedOn w:val="Firstparagraph"/>
    <w:uiPriority w:val="99"/>
    <w:rsid w:val="003020DA"/>
    <w:pPr>
      <w:spacing w:before="240"/>
    </w:pPr>
  </w:style>
  <w:style w:type="character" w:styleId="Refdecomentario">
    <w:name w:val="annotation reference"/>
    <w:basedOn w:val="Fuentedeprrafopredeter"/>
    <w:uiPriority w:val="99"/>
    <w:semiHidden/>
    <w:rsid w:val="003020DA"/>
    <w:rPr>
      <w:sz w:val="16"/>
      <w:szCs w:val="16"/>
    </w:rPr>
  </w:style>
  <w:style w:type="paragraph" w:styleId="Textocomentario">
    <w:name w:val="annotation text"/>
    <w:basedOn w:val="Normal"/>
    <w:link w:val="TextocomentarioCar"/>
    <w:uiPriority w:val="99"/>
    <w:rsid w:val="003020DA"/>
    <w:pPr>
      <w:widowControl w:val="0"/>
      <w:suppressAutoHyphens/>
    </w:pPr>
    <w:rPr>
      <w:rFonts w:eastAsia="Arial Unicode MS"/>
      <w:sz w:val="20"/>
      <w:szCs w:val="20"/>
      <w:lang w:val="es-ES_tradnl" w:eastAsia="ar-SA"/>
    </w:rPr>
  </w:style>
  <w:style w:type="paragraph" w:styleId="Asuntodelcomentario">
    <w:name w:val="annotation subject"/>
    <w:basedOn w:val="Textocomentario"/>
    <w:next w:val="Textocomentario"/>
    <w:link w:val="AsuntodelcomentarioCar"/>
    <w:uiPriority w:val="99"/>
    <w:semiHidden/>
    <w:rsid w:val="003020DA"/>
    <w:rPr>
      <w:b/>
      <w:bCs/>
    </w:rPr>
  </w:style>
  <w:style w:type="character" w:customStyle="1" w:styleId="contenido1">
    <w:name w:val="contenido1"/>
    <w:basedOn w:val="Fuentedeprrafopredeter"/>
    <w:rsid w:val="003020DA"/>
    <w:rPr>
      <w:rFonts w:ascii="Verdana" w:hAnsi="Verdana" w:hint="default"/>
      <w:color w:val="333333"/>
      <w:sz w:val="9"/>
      <w:szCs w:val="9"/>
    </w:rPr>
  </w:style>
  <w:style w:type="paragraph" w:customStyle="1" w:styleId="contenido">
    <w:name w:val="contenido"/>
    <w:basedOn w:val="Normal"/>
    <w:uiPriority w:val="99"/>
    <w:rsid w:val="003020DA"/>
    <w:pPr>
      <w:spacing w:before="100" w:beforeAutospacing="1" w:after="100" w:afterAutospacing="1"/>
    </w:pPr>
    <w:rPr>
      <w:rFonts w:ascii="Verdana" w:hAnsi="Verdana"/>
      <w:color w:val="333333"/>
      <w:sz w:val="9"/>
      <w:szCs w:val="9"/>
      <w:lang w:val="es-ES"/>
    </w:rPr>
  </w:style>
  <w:style w:type="numbering" w:customStyle="1" w:styleId="Sinlista6">
    <w:name w:val="Sin lista6"/>
    <w:next w:val="Sinlista"/>
    <w:semiHidden/>
    <w:unhideWhenUsed/>
    <w:rsid w:val="00B83D8B"/>
  </w:style>
  <w:style w:type="paragraph" w:customStyle="1" w:styleId="CarCarCarCarCarCarCar">
    <w:name w:val="Car Car Car Car Car Car Car"/>
    <w:basedOn w:val="Normal"/>
    <w:rsid w:val="00B83D8B"/>
    <w:pPr>
      <w:spacing w:after="160" w:line="240" w:lineRule="exact"/>
    </w:pPr>
    <w:rPr>
      <w:rFonts w:ascii="Tahoma" w:hAnsi="Tahoma"/>
      <w:sz w:val="20"/>
      <w:szCs w:val="20"/>
      <w:lang w:val="en-US" w:eastAsia="en-US"/>
    </w:rPr>
  </w:style>
  <w:style w:type="table" w:customStyle="1" w:styleId="Tablaconcuadrcula9">
    <w:name w:val="Tabla con cuadrícula9"/>
    <w:basedOn w:val="Tablanormal"/>
    <w:next w:val="Tablaconcuadrcula"/>
    <w:rsid w:val="00B83D8B"/>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7">
    <w:name w:val="Sin lista7"/>
    <w:next w:val="Sinlista"/>
    <w:semiHidden/>
    <w:unhideWhenUsed/>
    <w:rsid w:val="000D4BB7"/>
  </w:style>
  <w:style w:type="table" w:customStyle="1" w:styleId="Tablaconcuadrcula100">
    <w:name w:val="Tabla con cuadrícula10"/>
    <w:basedOn w:val="Tablanormal"/>
    <w:next w:val="Tablaconcuadrcula"/>
    <w:rsid w:val="000D4BB7"/>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2">
    <w:name w:val="Tabla con cuadrícula12"/>
    <w:basedOn w:val="Tablanormal"/>
    <w:next w:val="Tablaconcuadrcula"/>
    <w:rsid w:val="000D4B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
    <w:name w:val="Tabla con cuadrícula13"/>
    <w:basedOn w:val="Tablanormal"/>
    <w:next w:val="Tablaconcuadrcula"/>
    <w:rsid w:val="00D87419"/>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
    <w:name w:val="Sin lista8"/>
    <w:next w:val="Sinlista"/>
    <w:semiHidden/>
    <w:unhideWhenUsed/>
    <w:rsid w:val="00A51645"/>
  </w:style>
  <w:style w:type="table" w:customStyle="1" w:styleId="Tablaconcuadrcula14">
    <w:name w:val="Tabla con cuadrícula14"/>
    <w:basedOn w:val="Tablanormal"/>
    <w:next w:val="Tablaconcuadrcula"/>
    <w:rsid w:val="00A51645"/>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9">
    <w:name w:val="Sin lista9"/>
    <w:next w:val="Sinlista"/>
    <w:semiHidden/>
    <w:rsid w:val="00EF6A8F"/>
  </w:style>
  <w:style w:type="paragraph" w:customStyle="1" w:styleId="WebHeadline">
    <w:name w:val="_WebHeadline"/>
    <w:basedOn w:val="Normal"/>
    <w:next w:val="Normal"/>
    <w:uiPriority w:val="99"/>
    <w:rsid w:val="00336F7F"/>
    <w:pPr>
      <w:autoSpaceDE w:val="0"/>
      <w:autoSpaceDN w:val="0"/>
      <w:adjustRightInd w:val="0"/>
      <w:spacing w:after="240"/>
    </w:pPr>
    <w:rPr>
      <w:rFonts w:ascii="Arial" w:hAnsi="Arial"/>
      <w:lang w:val="es-ES"/>
    </w:rPr>
  </w:style>
  <w:style w:type="character" w:customStyle="1" w:styleId="A1">
    <w:name w:val="A1"/>
    <w:rsid w:val="0085605D"/>
    <w:rPr>
      <w:rFonts w:cs="Frutiger LT Std 45 Light"/>
      <w:b/>
      <w:bCs/>
      <w:color w:val="000000"/>
      <w:sz w:val="20"/>
      <w:szCs w:val="20"/>
    </w:rPr>
  </w:style>
  <w:style w:type="character" w:customStyle="1" w:styleId="A18">
    <w:name w:val="A18"/>
    <w:rsid w:val="0085605D"/>
    <w:rPr>
      <w:rFonts w:cs="Frutiger LT Std 45 Light"/>
      <w:color w:val="000000"/>
    </w:rPr>
  </w:style>
  <w:style w:type="numbering" w:customStyle="1" w:styleId="Sinlista10">
    <w:name w:val="Sin lista10"/>
    <w:next w:val="Sinlista"/>
    <w:semiHidden/>
    <w:unhideWhenUsed/>
    <w:rsid w:val="00447456"/>
  </w:style>
  <w:style w:type="numbering" w:customStyle="1" w:styleId="Sinlista13">
    <w:name w:val="Sin lista13"/>
    <w:next w:val="Sinlista"/>
    <w:semiHidden/>
    <w:rsid w:val="00447456"/>
  </w:style>
  <w:style w:type="table" w:customStyle="1" w:styleId="Tablaconcuadrcula52">
    <w:name w:val="Tabla con cuadrícula52"/>
    <w:basedOn w:val="Tablanormal"/>
    <w:next w:val="Tablaconcuadrcula"/>
    <w:rsid w:val="005158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
    <w:name w:val="Tabla con cuadrícula15"/>
    <w:basedOn w:val="Tablanormal"/>
    <w:next w:val="Tablaconcuadrcula"/>
    <w:rsid w:val="0048699B"/>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
    <w:name w:val="Sin lista14"/>
    <w:next w:val="Sinlista"/>
    <w:semiHidden/>
    <w:rsid w:val="00D117DF"/>
  </w:style>
  <w:style w:type="table" w:customStyle="1" w:styleId="Tablaconcuadrcula16">
    <w:name w:val="Tabla con cuadrícula16"/>
    <w:basedOn w:val="Tablanormal"/>
    <w:next w:val="Tablaconcuadrcula"/>
    <w:rsid w:val="00D117D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
    <w:name w:val="Sin lista15"/>
    <w:next w:val="Sinlista"/>
    <w:semiHidden/>
    <w:rsid w:val="00F571F5"/>
  </w:style>
  <w:style w:type="table" w:customStyle="1" w:styleId="Tablaconcuadrcula17">
    <w:name w:val="Tabla con cuadrícula17"/>
    <w:basedOn w:val="Tablanormal"/>
    <w:next w:val="Tablaconcuadrcula"/>
    <w:rsid w:val="00F571F5"/>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6">
    <w:name w:val="Sin lista16"/>
    <w:next w:val="Sinlista"/>
    <w:semiHidden/>
    <w:rsid w:val="00236012"/>
  </w:style>
  <w:style w:type="table" w:customStyle="1" w:styleId="Tablaconcuadrcula18">
    <w:name w:val="Tabla con cuadrícula18"/>
    <w:basedOn w:val="Tablanormal"/>
    <w:next w:val="Tablaconcuadrcula"/>
    <w:rsid w:val="00236012"/>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
    <w:name w:val="Tabla con cuadrícula19"/>
    <w:basedOn w:val="Tablanormal"/>
    <w:next w:val="Tablaconcuadrcula"/>
    <w:rsid w:val="00B2466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a07">
    <w:name w:val="Pa0+7"/>
    <w:basedOn w:val="Normal"/>
    <w:next w:val="Normal"/>
    <w:uiPriority w:val="99"/>
    <w:rsid w:val="006B6EB3"/>
    <w:pPr>
      <w:autoSpaceDE w:val="0"/>
      <w:autoSpaceDN w:val="0"/>
      <w:adjustRightInd w:val="0"/>
      <w:spacing w:line="241" w:lineRule="atLeast"/>
    </w:pPr>
    <w:rPr>
      <w:rFonts w:ascii="Lucida Sans" w:hAnsi="Lucida Sans"/>
      <w:lang w:val="es-ES"/>
    </w:rPr>
  </w:style>
  <w:style w:type="character" w:customStyle="1" w:styleId="A07">
    <w:name w:val="A0+7"/>
    <w:rsid w:val="006B6EB3"/>
    <w:rPr>
      <w:rFonts w:cs="Lucida Sans"/>
      <w:b/>
      <w:bCs/>
      <w:color w:val="000000"/>
      <w:sz w:val="32"/>
      <w:szCs w:val="32"/>
    </w:rPr>
  </w:style>
  <w:style w:type="character" w:customStyle="1" w:styleId="A17">
    <w:name w:val="A1+7"/>
    <w:rsid w:val="006B6EB3"/>
    <w:rPr>
      <w:rFonts w:cs="Lucida Sans"/>
      <w:color w:val="000000"/>
      <w:sz w:val="28"/>
      <w:szCs w:val="28"/>
    </w:rPr>
  </w:style>
  <w:style w:type="paragraph" w:customStyle="1" w:styleId="Pa91">
    <w:name w:val="Pa9+1"/>
    <w:basedOn w:val="Normal"/>
    <w:next w:val="Normal"/>
    <w:uiPriority w:val="99"/>
    <w:rsid w:val="006B6EB3"/>
    <w:pPr>
      <w:autoSpaceDE w:val="0"/>
      <w:autoSpaceDN w:val="0"/>
      <w:adjustRightInd w:val="0"/>
      <w:spacing w:line="241" w:lineRule="atLeast"/>
    </w:pPr>
    <w:rPr>
      <w:rFonts w:ascii="Lucida Sans" w:hAnsi="Lucida Sans"/>
      <w:lang w:val="es-ES"/>
    </w:rPr>
  </w:style>
  <w:style w:type="character" w:customStyle="1" w:styleId="A01">
    <w:name w:val="A0+1"/>
    <w:rsid w:val="006B6EB3"/>
    <w:rPr>
      <w:rFonts w:cs="Lucida Sans"/>
      <w:b/>
      <w:bCs/>
      <w:color w:val="000000"/>
      <w:sz w:val="32"/>
      <w:szCs w:val="32"/>
    </w:rPr>
  </w:style>
  <w:style w:type="paragraph" w:customStyle="1" w:styleId="waiarticlechapeau1">
    <w:name w:val="wai_article_chapeau1"/>
    <w:basedOn w:val="Normal"/>
    <w:uiPriority w:val="99"/>
    <w:rsid w:val="00F75F76"/>
    <w:pPr>
      <w:spacing w:before="100" w:beforeAutospacing="1" w:after="100" w:afterAutospacing="1"/>
    </w:pPr>
    <w:rPr>
      <w:b/>
      <w:bCs/>
      <w:lang w:val="es-ES"/>
    </w:rPr>
  </w:style>
  <w:style w:type="paragraph" w:customStyle="1" w:styleId="Ttulo11">
    <w:name w:val="Título1"/>
    <w:basedOn w:val="Normal"/>
    <w:uiPriority w:val="99"/>
    <w:rsid w:val="00896463"/>
    <w:pPr>
      <w:spacing w:before="100" w:beforeAutospacing="1" w:after="100" w:afterAutospacing="1"/>
    </w:pPr>
    <w:rPr>
      <w:color w:val="000000"/>
      <w:lang w:val="es-ES"/>
    </w:rPr>
  </w:style>
  <w:style w:type="paragraph" w:customStyle="1" w:styleId="separadorherramientas">
    <w:name w:val="separador_herramientas"/>
    <w:basedOn w:val="Normal"/>
    <w:uiPriority w:val="99"/>
    <w:rsid w:val="00C60E4B"/>
    <w:pPr>
      <w:spacing w:before="100" w:beforeAutospacing="1" w:after="100" w:afterAutospacing="1"/>
    </w:pPr>
    <w:rPr>
      <w:rFonts w:ascii="Verdana" w:hAnsi="Verdana"/>
      <w:b/>
      <w:bCs/>
      <w:color w:val="00B5CC"/>
      <w:sz w:val="9"/>
      <w:szCs w:val="9"/>
      <w:lang w:val="es-ES"/>
    </w:rPr>
  </w:style>
  <w:style w:type="paragraph" w:customStyle="1" w:styleId="formobservaciones">
    <w:name w:val="form_observaciones"/>
    <w:basedOn w:val="Normal"/>
    <w:uiPriority w:val="99"/>
    <w:rsid w:val="00C60E4B"/>
    <w:pPr>
      <w:spacing w:before="100" w:beforeAutospacing="1" w:after="100" w:afterAutospacing="1"/>
    </w:pPr>
    <w:rPr>
      <w:lang w:val="es-ES"/>
    </w:rPr>
  </w:style>
  <w:style w:type="paragraph" w:customStyle="1" w:styleId="menuprincipal">
    <w:name w:val="menu_principal"/>
    <w:basedOn w:val="Normal"/>
    <w:uiPriority w:val="99"/>
    <w:rsid w:val="00C60E4B"/>
    <w:pPr>
      <w:shd w:val="clear" w:color="auto" w:fill="C7DBF3"/>
    </w:pPr>
    <w:rPr>
      <w:lang w:val="es-ES"/>
    </w:rPr>
  </w:style>
  <w:style w:type="paragraph" w:customStyle="1" w:styleId="titulonotasecundaria1">
    <w:name w:val="titulo_notasecundaria1"/>
    <w:basedOn w:val="Normal"/>
    <w:uiPriority w:val="99"/>
    <w:rsid w:val="00C60E4B"/>
    <w:pPr>
      <w:spacing w:before="100" w:beforeAutospacing="1" w:after="100" w:afterAutospacing="1"/>
    </w:pPr>
    <w:rPr>
      <w:rFonts w:ascii="Verdana" w:hAnsi="Verdana"/>
      <w:b/>
      <w:bCs/>
      <w:color w:val="5D98D3"/>
      <w:sz w:val="12"/>
      <w:szCs w:val="12"/>
      <w:lang w:val="es-ES"/>
    </w:rPr>
  </w:style>
  <w:style w:type="paragraph" w:customStyle="1" w:styleId="tituloseccioninterior">
    <w:name w:val="titulo_seccioninterior"/>
    <w:basedOn w:val="Normal"/>
    <w:uiPriority w:val="99"/>
    <w:rsid w:val="00C60E4B"/>
    <w:pPr>
      <w:spacing w:before="100" w:beforeAutospacing="1" w:after="100" w:afterAutospacing="1"/>
    </w:pPr>
    <w:rPr>
      <w:rFonts w:ascii="Verdana" w:hAnsi="Verdana"/>
      <w:b/>
      <w:bCs/>
      <w:color w:val="00B5CC"/>
      <w:sz w:val="14"/>
      <w:szCs w:val="14"/>
      <w:lang w:val="es-ES"/>
    </w:rPr>
  </w:style>
  <w:style w:type="paragraph" w:customStyle="1" w:styleId="subtituloseccioninterior">
    <w:name w:val="subtitulo_seccioninterior"/>
    <w:basedOn w:val="Normal"/>
    <w:uiPriority w:val="99"/>
    <w:rsid w:val="00C60E4B"/>
    <w:pPr>
      <w:spacing w:before="100" w:beforeAutospacing="1" w:after="100" w:afterAutospacing="1"/>
    </w:pPr>
    <w:rPr>
      <w:rFonts w:ascii="Verdana" w:hAnsi="Verdana"/>
      <w:b/>
      <w:bCs/>
      <w:color w:val="0768A9"/>
      <w:sz w:val="12"/>
      <w:szCs w:val="12"/>
      <w:lang w:val="es-ES"/>
    </w:rPr>
  </w:style>
  <w:style w:type="paragraph" w:customStyle="1" w:styleId="enlaceslabel">
    <w:name w:val="enlaceslabel"/>
    <w:basedOn w:val="Normal"/>
    <w:uiPriority w:val="99"/>
    <w:rsid w:val="00C60E4B"/>
    <w:pPr>
      <w:spacing w:before="100" w:beforeAutospacing="1" w:after="100" w:afterAutospacing="1"/>
    </w:pPr>
    <w:rPr>
      <w:rFonts w:ascii="Verdana" w:hAnsi="Verdana"/>
      <w:color w:val="595959"/>
      <w:sz w:val="10"/>
      <w:szCs w:val="10"/>
      <w:lang w:val="es-ES"/>
    </w:rPr>
  </w:style>
  <w:style w:type="paragraph" w:customStyle="1" w:styleId="fechaportal">
    <w:name w:val="fecha_portal"/>
    <w:basedOn w:val="Normal"/>
    <w:uiPriority w:val="99"/>
    <w:rsid w:val="00C60E4B"/>
    <w:pPr>
      <w:spacing w:before="100" w:beforeAutospacing="1" w:after="100" w:afterAutospacing="1"/>
    </w:pPr>
    <w:rPr>
      <w:rFonts w:ascii="Verdana" w:hAnsi="Verdana"/>
      <w:color w:val="FFFFFF"/>
      <w:sz w:val="10"/>
      <w:szCs w:val="10"/>
      <w:lang w:val="es-ES"/>
    </w:rPr>
  </w:style>
  <w:style w:type="paragraph" w:customStyle="1" w:styleId="fechanoticias">
    <w:name w:val="fecha_noticias"/>
    <w:basedOn w:val="Normal"/>
    <w:uiPriority w:val="99"/>
    <w:rsid w:val="00C60E4B"/>
    <w:pPr>
      <w:spacing w:before="100" w:beforeAutospacing="1" w:after="100" w:afterAutospacing="1"/>
    </w:pPr>
    <w:rPr>
      <w:rFonts w:ascii="Verdana" w:hAnsi="Verdana"/>
      <w:b/>
      <w:bCs/>
      <w:color w:val="595959"/>
      <w:sz w:val="11"/>
      <w:szCs w:val="11"/>
      <w:lang w:val="es-ES"/>
    </w:rPr>
  </w:style>
  <w:style w:type="paragraph" w:customStyle="1" w:styleId="imprimirenviar">
    <w:name w:val="imprimir_enviar"/>
    <w:basedOn w:val="Normal"/>
    <w:uiPriority w:val="99"/>
    <w:rsid w:val="00C60E4B"/>
    <w:pPr>
      <w:spacing w:before="100" w:beforeAutospacing="1" w:after="100" w:afterAutospacing="1"/>
    </w:pPr>
    <w:rPr>
      <w:rFonts w:ascii="Verdana" w:hAnsi="Verdana"/>
      <w:b/>
      <w:bCs/>
      <w:color w:val="595959"/>
      <w:sz w:val="11"/>
      <w:szCs w:val="11"/>
      <w:lang w:val="es-ES"/>
    </w:rPr>
  </w:style>
  <w:style w:type="paragraph" w:customStyle="1" w:styleId="separador">
    <w:name w:val="separador"/>
    <w:basedOn w:val="Normal"/>
    <w:uiPriority w:val="99"/>
    <w:rsid w:val="00C60E4B"/>
    <w:pPr>
      <w:spacing w:before="100" w:beforeAutospacing="1" w:after="100" w:afterAutospacing="1"/>
    </w:pPr>
    <w:rPr>
      <w:rFonts w:ascii="Verdana" w:hAnsi="Verdana"/>
      <w:b/>
      <w:bCs/>
      <w:color w:val="00B5CC"/>
      <w:sz w:val="11"/>
      <w:szCs w:val="11"/>
      <w:lang w:val="es-ES"/>
    </w:rPr>
  </w:style>
  <w:style w:type="paragraph" w:customStyle="1" w:styleId="breadcrumb">
    <w:name w:val="breadcrumb"/>
    <w:basedOn w:val="Normal"/>
    <w:uiPriority w:val="99"/>
    <w:rsid w:val="00C60E4B"/>
    <w:pPr>
      <w:spacing w:before="100" w:beforeAutospacing="1" w:after="100" w:afterAutospacing="1"/>
    </w:pPr>
    <w:rPr>
      <w:rFonts w:ascii="Verdana" w:hAnsi="Verdana"/>
      <w:b/>
      <w:bCs/>
      <w:color w:val="00B5CC"/>
      <w:sz w:val="11"/>
      <w:szCs w:val="11"/>
      <w:lang w:val="es-ES"/>
    </w:rPr>
  </w:style>
  <w:style w:type="paragraph" w:customStyle="1" w:styleId="txt">
    <w:name w:val="txt"/>
    <w:basedOn w:val="Normal"/>
    <w:uiPriority w:val="99"/>
    <w:rsid w:val="00C60E4B"/>
    <w:pPr>
      <w:spacing w:before="100" w:beforeAutospacing="1" w:after="100" w:afterAutospacing="1"/>
    </w:pPr>
    <w:rPr>
      <w:rFonts w:ascii="Verdana" w:hAnsi="Verdana"/>
      <w:color w:val="595959"/>
      <w:sz w:val="10"/>
      <w:szCs w:val="10"/>
      <w:lang w:val="es-ES"/>
    </w:rPr>
  </w:style>
  <w:style w:type="paragraph" w:customStyle="1" w:styleId="txtgab">
    <w:name w:val="txtgab"/>
    <w:basedOn w:val="Normal"/>
    <w:uiPriority w:val="99"/>
    <w:rsid w:val="00C60E4B"/>
    <w:pPr>
      <w:spacing w:before="100" w:beforeAutospacing="1" w:after="100" w:afterAutospacing="1"/>
      <w:ind w:firstLine="100"/>
    </w:pPr>
    <w:rPr>
      <w:rFonts w:ascii="Verdana" w:hAnsi="Verdana"/>
      <w:color w:val="595959"/>
      <w:sz w:val="10"/>
      <w:szCs w:val="10"/>
      <w:lang w:val="es-ES"/>
    </w:rPr>
  </w:style>
  <w:style w:type="paragraph" w:customStyle="1" w:styleId="txtblanco">
    <w:name w:val="txt_blanco"/>
    <w:basedOn w:val="Normal"/>
    <w:uiPriority w:val="99"/>
    <w:rsid w:val="00C60E4B"/>
    <w:pPr>
      <w:spacing w:before="100" w:beforeAutospacing="1" w:after="100" w:afterAutospacing="1"/>
    </w:pPr>
    <w:rPr>
      <w:rFonts w:ascii="Verdana" w:hAnsi="Verdana"/>
      <w:b/>
      <w:bCs/>
      <w:color w:val="FFFFFF"/>
      <w:sz w:val="12"/>
      <w:szCs w:val="12"/>
      <w:lang w:val="es-ES"/>
    </w:rPr>
  </w:style>
  <w:style w:type="paragraph" w:customStyle="1" w:styleId="txtblanco2">
    <w:name w:val="txt_blanco2"/>
    <w:basedOn w:val="Normal"/>
    <w:uiPriority w:val="99"/>
    <w:rsid w:val="00C60E4B"/>
    <w:pPr>
      <w:spacing w:before="100" w:beforeAutospacing="1" w:after="100" w:afterAutospacing="1"/>
    </w:pPr>
    <w:rPr>
      <w:rFonts w:ascii="Verdana" w:hAnsi="Verdana"/>
      <w:b/>
      <w:bCs/>
      <w:color w:val="FFFFFF"/>
      <w:sz w:val="10"/>
      <w:szCs w:val="10"/>
      <w:lang w:val="es-ES"/>
    </w:rPr>
  </w:style>
  <w:style w:type="paragraph" w:customStyle="1" w:styleId="txtazul">
    <w:name w:val="txt_azul"/>
    <w:basedOn w:val="Normal"/>
    <w:uiPriority w:val="99"/>
    <w:rsid w:val="00C60E4B"/>
    <w:pPr>
      <w:spacing w:before="100" w:beforeAutospacing="1" w:after="100" w:afterAutospacing="1"/>
    </w:pPr>
    <w:rPr>
      <w:rFonts w:ascii="Verdana" w:hAnsi="Verdana"/>
      <w:color w:val="1E6AC2"/>
      <w:sz w:val="10"/>
      <w:szCs w:val="10"/>
      <w:lang w:val="es-ES"/>
    </w:rPr>
  </w:style>
  <w:style w:type="paragraph" w:customStyle="1" w:styleId="titleazul">
    <w:name w:val="title_azul"/>
    <w:basedOn w:val="Normal"/>
    <w:uiPriority w:val="99"/>
    <w:rsid w:val="00C60E4B"/>
    <w:pPr>
      <w:spacing w:before="100" w:beforeAutospacing="1" w:after="100" w:afterAutospacing="1"/>
    </w:pPr>
    <w:rPr>
      <w:rFonts w:ascii="Verdana" w:hAnsi="Verdana"/>
      <w:b/>
      <w:bCs/>
      <w:color w:val="1E6AC2"/>
      <w:sz w:val="12"/>
      <w:szCs w:val="12"/>
      <w:lang w:val="es-ES"/>
    </w:rPr>
  </w:style>
  <w:style w:type="paragraph" w:customStyle="1" w:styleId="subtitleazul">
    <w:name w:val="subtitle_azul"/>
    <w:basedOn w:val="Normal"/>
    <w:uiPriority w:val="99"/>
    <w:rsid w:val="00C60E4B"/>
    <w:pPr>
      <w:spacing w:before="100" w:beforeAutospacing="1" w:after="100" w:afterAutospacing="1"/>
    </w:pPr>
    <w:rPr>
      <w:rFonts w:ascii="Verdana" w:hAnsi="Verdana"/>
      <w:b/>
      <w:bCs/>
      <w:color w:val="1E6AC2"/>
      <w:sz w:val="10"/>
      <w:szCs w:val="10"/>
      <w:lang w:val="es-ES"/>
    </w:rPr>
  </w:style>
  <w:style w:type="paragraph" w:customStyle="1" w:styleId="txtgral">
    <w:name w:val="txt_gral"/>
    <w:basedOn w:val="Normal"/>
    <w:uiPriority w:val="99"/>
    <w:rsid w:val="00C60E4B"/>
    <w:pPr>
      <w:spacing w:before="100" w:beforeAutospacing="1" w:after="100" w:afterAutospacing="1"/>
    </w:pPr>
    <w:rPr>
      <w:rFonts w:ascii="Verdana" w:hAnsi="Verdana"/>
      <w:color w:val="595959"/>
      <w:sz w:val="11"/>
      <w:szCs w:val="11"/>
      <w:lang w:val="es-ES"/>
    </w:rPr>
  </w:style>
  <w:style w:type="paragraph" w:customStyle="1" w:styleId="actualizacion">
    <w:name w:val="actualizacion"/>
    <w:basedOn w:val="Normal"/>
    <w:uiPriority w:val="99"/>
    <w:rsid w:val="00C60E4B"/>
    <w:pPr>
      <w:spacing w:before="100" w:beforeAutospacing="1" w:after="100" w:afterAutospacing="1"/>
    </w:pPr>
    <w:rPr>
      <w:rFonts w:ascii="Verdana" w:hAnsi="Verdana"/>
      <w:color w:val="808080"/>
      <w:sz w:val="9"/>
      <w:szCs w:val="9"/>
      <w:lang w:val="es-ES"/>
    </w:rPr>
  </w:style>
  <w:style w:type="paragraph" w:customStyle="1" w:styleId="Piedepgina1">
    <w:name w:val="Pie de página1"/>
    <w:basedOn w:val="Normal"/>
    <w:rsid w:val="00C60E4B"/>
    <w:pPr>
      <w:spacing w:before="100" w:beforeAutospacing="1" w:after="100" w:afterAutospacing="1"/>
    </w:pPr>
    <w:rPr>
      <w:rFonts w:ascii="Verdana" w:hAnsi="Verdana"/>
      <w:color w:val="FFFFFF"/>
      <w:sz w:val="9"/>
      <w:szCs w:val="9"/>
      <w:lang w:val="es-ES"/>
    </w:rPr>
  </w:style>
  <w:style w:type="paragraph" w:customStyle="1" w:styleId="footer2">
    <w:name w:val="footer2"/>
    <w:basedOn w:val="Normal"/>
    <w:rsid w:val="00C60E4B"/>
    <w:pPr>
      <w:spacing w:before="100" w:beforeAutospacing="1" w:after="100" w:afterAutospacing="1"/>
    </w:pPr>
    <w:rPr>
      <w:rFonts w:ascii="Verdana" w:hAnsi="Verdana"/>
      <w:color w:val="BABABA"/>
      <w:sz w:val="9"/>
      <w:szCs w:val="9"/>
      <w:lang w:val="es-ES"/>
    </w:rPr>
  </w:style>
  <w:style w:type="paragraph" w:customStyle="1" w:styleId="menusuperiorinicio">
    <w:name w:val="menu_superior_inicio"/>
    <w:basedOn w:val="Normal"/>
    <w:uiPriority w:val="99"/>
    <w:rsid w:val="00C60E4B"/>
    <w:pPr>
      <w:spacing w:before="100" w:beforeAutospacing="1" w:after="100" w:afterAutospacing="1"/>
    </w:pPr>
    <w:rPr>
      <w:lang w:val="es-ES"/>
    </w:rPr>
  </w:style>
  <w:style w:type="paragraph" w:customStyle="1" w:styleId="menusuperiormapadelsitio">
    <w:name w:val="menu_superior_mapadelsitio"/>
    <w:basedOn w:val="Normal"/>
    <w:uiPriority w:val="99"/>
    <w:rsid w:val="00C60E4B"/>
    <w:pPr>
      <w:spacing w:before="100" w:beforeAutospacing="1" w:after="100" w:afterAutospacing="1"/>
    </w:pPr>
    <w:rPr>
      <w:lang w:val="es-ES"/>
    </w:rPr>
  </w:style>
  <w:style w:type="paragraph" w:customStyle="1" w:styleId="menusuperiorcontacto">
    <w:name w:val="menu_superior_contacto"/>
    <w:basedOn w:val="Normal"/>
    <w:uiPriority w:val="99"/>
    <w:rsid w:val="00C60E4B"/>
    <w:pPr>
      <w:spacing w:before="100" w:beforeAutospacing="1" w:after="100" w:afterAutospacing="1"/>
    </w:pPr>
    <w:rPr>
      <w:lang w:val="es-ES"/>
    </w:rPr>
  </w:style>
  <w:style w:type="paragraph" w:customStyle="1" w:styleId="menusuperiorespaniol">
    <w:name w:val="menu_superior_espaniol"/>
    <w:basedOn w:val="Normal"/>
    <w:uiPriority w:val="99"/>
    <w:rsid w:val="00C60E4B"/>
    <w:pPr>
      <w:spacing w:before="100" w:beforeAutospacing="1" w:after="100" w:afterAutospacing="1"/>
    </w:pPr>
    <w:rPr>
      <w:lang w:val="es-ES"/>
    </w:rPr>
  </w:style>
  <w:style w:type="paragraph" w:customStyle="1" w:styleId="menusuperioringles">
    <w:name w:val="menu_superior_ingles"/>
    <w:basedOn w:val="Normal"/>
    <w:uiPriority w:val="99"/>
    <w:rsid w:val="00C60E4B"/>
    <w:pPr>
      <w:spacing w:before="100" w:beforeAutospacing="1" w:after="100" w:afterAutospacing="1"/>
    </w:pPr>
    <w:rPr>
      <w:lang w:val="es-ES"/>
    </w:rPr>
  </w:style>
  <w:style w:type="paragraph" w:customStyle="1" w:styleId="form">
    <w:name w:val="form"/>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form2">
    <w:name w:val="form2"/>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form3">
    <w:name w:val="form3"/>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form4">
    <w:name w:val="form4"/>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form5">
    <w:name w:val="form5"/>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form6">
    <w:name w:val="form6"/>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form7">
    <w:name w:val="form7"/>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form8">
    <w:name w:val="form8"/>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combo">
    <w:name w:val="combo"/>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breadcrum">
    <w:name w:val="breadcrum"/>
    <w:basedOn w:val="Normal"/>
    <w:uiPriority w:val="99"/>
    <w:rsid w:val="00C60E4B"/>
    <w:pPr>
      <w:spacing w:before="100" w:beforeAutospacing="1" w:after="100" w:afterAutospacing="1"/>
    </w:pPr>
    <w:rPr>
      <w:rFonts w:ascii="Verdana" w:hAnsi="Verdana"/>
      <w:color w:val="67A7D7"/>
      <w:sz w:val="10"/>
      <w:szCs w:val="10"/>
      <w:lang w:val="es-ES"/>
    </w:rPr>
  </w:style>
  <w:style w:type="paragraph" w:customStyle="1" w:styleId="titulo20">
    <w:name w:val="titulo_2"/>
    <w:basedOn w:val="Normal"/>
    <w:uiPriority w:val="99"/>
    <w:rsid w:val="00C60E4B"/>
    <w:pPr>
      <w:pBdr>
        <w:top w:val="single" w:sz="6" w:space="0" w:color="000000"/>
      </w:pBdr>
      <w:spacing w:before="100" w:beforeAutospacing="1" w:after="101"/>
      <w:jc w:val="both"/>
    </w:pPr>
    <w:rPr>
      <w:rFonts w:ascii="Arial" w:hAnsi="Arial" w:cs="Arial"/>
      <w:sz w:val="18"/>
      <w:szCs w:val="18"/>
      <w:lang w:val="es-ES"/>
    </w:rPr>
  </w:style>
  <w:style w:type="paragraph" w:customStyle="1" w:styleId="romanos0">
    <w:name w:val="romanos"/>
    <w:basedOn w:val="Normal"/>
    <w:uiPriority w:val="99"/>
    <w:rsid w:val="00C60E4B"/>
    <w:pPr>
      <w:spacing w:before="100" w:beforeAutospacing="1" w:after="101"/>
      <w:ind w:left="720" w:hanging="432"/>
      <w:jc w:val="both"/>
    </w:pPr>
    <w:rPr>
      <w:rFonts w:ascii="Arial" w:hAnsi="Arial" w:cs="Arial"/>
      <w:sz w:val="18"/>
      <w:szCs w:val="18"/>
      <w:lang w:val="es-ES"/>
    </w:rPr>
  </w:style>
  <w:style w:type="paragraph" w:customStyle="1" w:styleId="fechas0">
    <w:name w:val="fechas"/>
    <w:basedOn w:val="Normal"/>
    <w:uiPriority w:val="99"/>
    <w:rsid w:val="00C60E4B"/>
    <w:pPr>
      <w:pBdr>
        <w:bottom w:val="single" w:sz="6" w:space="0" w:color="000000"/>
      </w:pBdr>
      <w:spacing w:before="100" w:beforeAutospacing="1" w:after="101"/>
      <w:ind w:left="288" w:right="288"/>
      <w:jc w:val="both"/>
    </w:pPr>
    <w:rPr>
      <w:rFonts w:ascii="Arial" w:hAnsi="Arial" w:cs="Arial"/>
      <w:sz w:val="18"/>
      <w:szCs w:val="18"/>
      <w:lang w:val="es-ES"/>
    </w:rPr>
  </w:style>
  <w:style w:type="paragraph" w:customStyle="1" w:styleId="inciso0">
    <w:name w:val="inciso"/>
    <w:basedOn w:val="Normal"/>
    <w:uiPriority w:val="99"/>
    <w:rsid w:val="00C60E4B"/>
    <w:pPr>
      <w:spacing w:before="100" w:beforeAutospacing="1" w:after="101"/>
      <w:ind w:left="1080" w:hanging="360"/>
      <w:jc w:val="both"/>
    </w:pPr>
    <w:rPr>
      <w:rFonts w:ascii="Arial" w:hAnsi="Arial" w:cs="Arial"/>
      <w:sz w:val="18"/>
      <w:szCs w:val="18"/>
      <w:lang w:val="es-ES"/>
    </w:rPr>
  </w:style>
  <w:style w:type="paragraph" w:customStyle="1" w:styleId="titulo10">
    <w:name w:val="titulo_1"/>
    <w:basedOn w:val="Normal"/>
    <w:uiPriority w:val="99"/>
    <w:rsid w:val="00C60E4B"/>
    <w:pPr>
      <w:pBdr>
        <w:bottom w:val="single" w:sz="12" w:space="0" w:color="000000"/>
      </w:pBdr>
      <w:spacing w:before="120"/>
      <w:jc w:val="both"/>
    </w:pPr>
    <w:rPr>
      <w:b/>
      <w:bCs/>
      <w:sz w:val="18"/>
      <w:szCs w:val="18"/>
      <w:lang w:val="es-ES"/>
    </w:rPr>
  </w:style>
  <w:style w:type="paragraph" w:customStyle="1" w:styleId="anotacion1">
    <w:name w:val="anotacion"/>
    <w:basedOn w:val="Normal"/>
    <w:uiPriority w:val="99"/>
    <w:rsid w:val="00C60E4B"/>
    <w:pPr>
      <w:spacing w:before="101" w:after="101"/>
      <w:jc w:val="center"/>
    </w:pPr>
    <w:rPr>
      <w:b/>
      <w:bCs/>
      <w:sz w:val="18"/>
      <w:szCs w:val="18"/>
      <w:lang w:val="es-ES"/>
    </w:rPr>
  </w:style>
  <w:style w:type="paragraph" w:customStyle="1" w:styleId="Normal1">
    <w:name w:val="Normal1"/>
    <w:basedOn w:val="Normal"/>
    <w:uiPriority w:val="99"/>
    <w:rsid w:val="00C60E4B"/>
    <w:pPr>
      <w:spacing w:before="100" w:beforeAutospacing="1" w:after="100" w:afterAutospacing="1"/>
    </w:pPr>
    <w:rPr>
      <w:lang w:val="es-ES"/>
    </w:rPr>
  </w:style>
  <w:style w:type="paragraph" w:customStyle="1" w:styleId="Encabezado1">
    <w:name w:val="Encabezado1"/>
    <w:basedOn w:val="Normal"/>
    <w:rsid w:val="00C60E4B"/>
    <w:pPr>
      <w:spacing w:before="100" w:beforeAutospacing="1" w:after="100" w:afterAutospacing="1"/>
    </w:pPr>
    <w:rPr>
      <w:lang w:val="es-ES"/>
    </w:rPr>
  </w:style>
  <w:style w:type="paragraph" w:customStyle="1" w:styleId="combos">
    <w:name w:val="combos"/>
    <w:basedOn w:val="Normal"/>
    <w:uiPriority w:val="99"/>
    <w:rsid w:val="00C60E4B"/>
    <w:pPr>
      <w:spacing w:before="100" w:beforeAutospacing="1" w:after="100" w:afterAutospacing="1"/>
    </w:pPr>
    <w:rPr>
      <w:lang w:val="es-ES"/>
    </w:rPr>
  </w:style>
  <w:style w:type="paragraph" w:customStyle="1" w:styleId="previousdays">
    <w:name w:val="previousdays"/>
    <w:basedOn w:val="Normal"/>
    <w:uiPriority w:val="99"/>
    <w:rsid w:val="00C60E4B"/>
    <w:pPr>
      <w:spacing w:before="100" w:beforeAutospacing="1" w:after="100" w:afterAutospacing="1"/>
    </w:pPr>
    <w:rPr>
      <w:lang w:val="es-ES"/>
    </w:rPr>
  </w:style>
  <w:style w:type="paragraph" w:customStyle="1" w:styleId="actualdays">
    <w:name w:val="actualdays"/>
    <w:basedOn w:val="Normal"/>
    <w:uiPriority w:val="99"/>
    <w:rsid w:val="00C60E4B"/>
    <w:pPr>
      <w:spacing w:before="100" w:beforeAutospacing="1" w:after="100" w:afterAutospacing="1"/>
    </w:pPr>
    <w:rPr>
      <w:lang w:val="es-ES"/>
    </w:rPr>
  </w:style>
  <w:style w:type="paragraph" w:customStyle="1" w:styleId="actualdayslink">
    <w:name w:val="actualdayslink"/>
    <w:basedOn w:val="Normal"/>
    <w:uiPriority w:val="99"/>
    <w:rsid w:val="00C60E4B"/>
    <w:pPr>
      <w:spacing w:before="100" w:beforeAutospacing="1" w:after="100" w:afterAutospacing="1"/>
    </w:pPr>
    <w:rPr>
      <w:lang w:val="es-ES"/>
    </w:rPr>
  </w:style>
  <w:style w:type="paragraph" w:customStyle="1" w:styleId="today">
    <w:name w:val="today"/>
    <w:basedOn w:val="Normal"/>
    <w:uiPriority w:val="99"/>
    <w:rsid w:val="00C60E4B"/>
    <w:pPr>
      <w:spacing w:before="100" w:beforeAutospacing="1" w:after="100" w:afterAutospacing="1"/>
    </w:pPr>
    <w:rPr>
      <w:lang w:val="es-ES"/>
    </w:rPr>
  </w:style>
  <w:style w:type="paragraph" w:customStyle="1" w:styleId="nextdays">
    <w:name w:val="nextdays"/>
    <w:basedOn w:val="Normal"/>
    <w:uiPriority w:val="99"/>
    <w:rsid w:val="00C60E4B"/>
    <w:pPr>
      <w:spacing w:before="100" w:beforeAutospacing="1" w:after="100" w:afterAutospacing="1"/>
    </w:pPr>
    <w:rPr>
      <w:lang w:val="es-ES"/>
    </w:rPr>
  </w:style>
  <w:style w:type="paragraph" w:customStyle="1" w:styleId="header1">
    <w:name w:val="header1"/>
    <w:basedOn w:val="Normal"/>
    <w:rsid w:val="00C60E4B"/>
    <w:pPr>
      <w:shd w:val="clear" w:color="auto" w:fill="7D8184"/>
      <w:spacing w:before="100" w:beforeAutospacing="1" w:after="100" w:afterAutospacing="1"/>
      <w:jc w:val="center"/>
    </w:pPr>
    <w:rPr>
      <w:rFonts w:ascii="Verdana" w:hAnsi="Verdana"/>
      <w:b/>
      <w:bCs/>
      <w:color w:val="FFFFFF"/>
      <w:sz w:val="10"/>
      <w:szCs w:val="10"/>
      <w:lang w:val="es-ES"/>
    </w:rPr>
  </w:style>
  <w:style w:type="paragraph" w:customStyle="1" w:styleId="combos1">
    <w:name w:val="combos1"/>
    <w:basedOn w:val="Normal"/>
    <w:uiPriority w:val="99"/>
    <w:rsid w:val="00C60E4B"/>
    <w:pPr>
      <w:shd w:val="clear" w:color="auto" w:fill="7D8184"/>
      <w:spacing w:before="100" w:beforeAutospacing="1" w:after="100" w:afterAutospacing="1"/>
      <w:jc w:val="center"/>
    </w:pPr>
    <w:rPr>
      <w:rFonts w:ascii="Verdana" w:hAnsi="Verdana"/>
      <w:b/>
      <w:bCs/>
      <w:color w:val="FFFFFF"/>
      <w:sz w:val="10"/>
      <w:szCs w:val="10"/>
      <w:lang w:val="es-ES"/>
    </w:rPr>
  </w:style>
  <w:style w:type="paragraph" w:customStyle="1" w:styleId="previousdays1">
    <w:name w:val="previousdays1"/>
    <w:basedOn w:val="Normal"/>
    <w:uiPriority w:val="99"/>
    <w:rsid w:val="00C60E4B"/>
    <w:pPr>
      <w:spacing w:before="100" w:beforeAutospacing="1" w:after="100" w:afterAutospacing="1"/>
      <w:jc w:val="center"/>
    </w:pPr>
    <w:rPr>
      <w:rFonts w:ascii="Verdana" w:hAnsi="Verdana"/>
      <w:color w:val="A3A3A3"/>
      <w:sz w:val="10"/>
      <w:szCs w:val="10"/>
      <w:lang w:val="es-ES"/>
    </w:rPr>
  </w:style>
  <w:style w:type="paragraph" w:customStyle="1" w:styleId="actualdays1">
    <w:name w:val="actualdays1"/>
    <w:basedOn w:val="Normal"/>
    <w:uiPriority w:val="99"/>
    <w:rsid w:val="00C60E4B"/>
    <w:pPr>
      <w:spacing w:before="100" w:beforeAutospacing="1" w:after="100" w:afterAutospacing="1"/>
      <w:jc w:val="center"/>
    </w:pPr>
    <w:rPr>
      <w:rFonts w:ascii="Verdana" w:hAnsi="Verdana"/>
      <w:color w:val="58595A"/>
      <w:sz w:val="10"/>
      <w:szCs w:val="10"/>
      <w:lang w:val="es-ES"/>
    </w:rPr>
  </w:style>
  <w:style w:type="paragraph" w:customStyle="1" w:styleId="actualdayslink1">
    <w:name w:val="actualdayslink1"/>
    <w:basedOn w:val="Normal"/>
    <w:uiPriority w:val="99"/>
    <w:rsid w:val="00C60E4B"/>
    <w:pPr>
      <w:spacing w:before="100" w:beforeAutospacing="1" w:after="100" w:afterAutospacing="1"/>
      <w:jc w:val="center"/>
    </w:pPr>
    <w:rPr>
      <w:rFonts w:ascii="Verdana" w:hAnsi="Verdana"/>
      <w:sz w:val="10"/>
      <w:szCs w:val="10"/>
      <w:lang w:val="es-ES"/>
    </w:rPr>
  </w:style>
  <w:style w:type="paragraph" w:customStyle="1" w:styleId="today1">
    <w:name w:val="today1"/>
    <w:basedOn w:val="Normal"/>
    <w:uiPriority w:val="99"/>
    <w:rsid w:val="00C60E4B"/>
    <w:pPr>
      <w:shd w:val="clear" w:color="auto" w:fill="E9E9E9"/>
      <w:spacing w:before="100" w:beforeAutospacing="1" w:after="100" w:afterAutospacing="1"/>
      <w:jc w:val="center"/>
    </w:pPr>
    <w:rPr>
      <w:rFonts w:ascii="Verdana" w:hAnsi="Verdana"/>
      <w:b/>
      <w:bCs/>
      <w:color w:val="FF0000"/>
      <w:sz w:val="10"/>
      <w:szCs w:val="10"/>
      <w:lang w:val="es-ES"/>
    </w:rPr>
  </w:style>
  <w:style w:type="paragraph" w:customStyle="1" w:styleId="nextdays1">
    <w:name w:val="nextdays1"/>
    <w:basedOn w:val="Normal"/>
    <w:uiPriority w:val="99"/>
    <w:rsid w:val="00C60E4B"/>
    <w:pPr>
      <w:spacing w:before="100" w:beforeAutospacing="1" w:after="100" w:afterAutospacing="1"/>
      <w:jc w:val="center"/>
    </w:pPr>
    <w:rPr>
      <w:rFonts w:ascii="Verdana" w:hAnsi="Verdana"/>
      <w:color w:val="A3A3A3"/>
      <w:sz w:val="10"/>
      <w:szCs w:val="10"/>
      <w:lang w:val="es-ES"/>
    </w:rPr>
  </w:style>
  <w:style w:type="numbering" w:customStyle="1" w:styleId="Sinlista17">
    <w:name w:val="Sin lista17"/>
    <w:next w:val="Sinlista"/>
    <w:semiHidden/>
    <w:rsid w:val="002A4BE1"/>
  </w:style>
  <w:style w:type="table" w:customStyle="1" w:styleId="Tablaconcuadrcula20">
    <w:name w:val="Tabla con cuadrícula20"/>
    <w:basedOn w:val="Tablanormal"/>
    <w:next w:val="Tablaconcuadrcula"/>
    <w:rsid w:val="002A4BE1"/>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8">
    <w:name w:val="Sin lista18"/>
    <w:next w:val="Sinlista"/>
    <w:semiHidden/>
    <w:rsid w:val="002A4BE1"/>
  </w:style>
  <w:style w:type="table" w:customStyle="1" w:styleId="Tablaconcuadrcula110">
    <w:name w:val="Tabla con cuadrícula110"/>
    <w:basedOn w:val="Tablanormal"/>
    <w:next w:val="Tablaconcuadrcula"/>
    <w:rsid w:val="002A4BE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styleId="111111">
    <w:name w:val="Outline List 2"/>
    <w:basedOn w:val="Sinlista"/>
    <w:rsid w:val="002A4BE1"/>
  </w:style>
  <w:style w:type="numbering" w:customStyle="1" w:styleId="Sinlista19">
    <w:name w:val="Sin lista19"/>
    <w:next w:val="Sinlista"/>
    <w:semiHidden/>
    <w:unhideWhenUsed/>
    <w:rsid w:val="008E5F5C"/>
  </w:style>
  <w:style w:type="table" w:customStyle="1" w:styleId="Tablaconcuadrcula207">
    <w:name w:val="Tabla con cuadrícula207"/>
    <w:basedOn w:val="Tablanormal"/>
    <w:next w:val="Tablaconcuadrcula"/>
    <w:rsid w:val="008E5F5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
    <w:name w:val="Tabla con cuadrícula24"/>
    <w:basedOn w:val="Tablanormal"/>
    <w:next w:val="Tablaconcuadrcula"/>
    <w:rsid w:val="008E5F5C"/>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pskipnav">
    <w:name w:val="ep_skipnav"/>
    <w:basedOn w:val="Normal"/>
    <w:uiPriority w:val="99"/>
    <w:rsid w:val="005900B0"/>
    <w:pPr>
      <w:spacing w:before="100" w:beforeAutospacing="1" w:after="100" w:afterAutospacing="1"/>
    </w:pPr>
    <w:rPr>
      <w:vanish/>
      <w:sz w:val="31"/>
      <w:szCs w:val="31"/>
      <w:lang w:val="es-ES"/>
    </w:rPr>
  </w:style>
  <w:style w:type="character" w:customStyle="1" w:styleId="Ttulo2Car">
    <w:name w:val="Título 2 Car"/>
    <w:basedOn w:val="Fuentedeprrafopredeter"/>
    <w:link w:val="Ttulo2"/>
    <w:uiPriority w:val="9"/>
    <w:rsid w:val="00413240"/>
    <w:rPr>
      <w:b/>
      <w:bCs/>
      <w:sz w:val="16"/>
      <w:szCs w:val="26"/>
      <w:lang w:val="es-ES" w:eastAsia="es-ES" w:bidi="ar-SA"/>
    </w:rPr>
  </w:style>
  <w:style w:type="table" w:customStyle="1" w:styleId="Tablaconcuadrcula25">
    <w:name w:val="Tabla con cuadrícula25"/>
    <w:basedOn w:val="Tablanormal"/>
    <w:next w:val="Tablaconcuadrcula"/>
    <w:rsid w:val="00430853"/>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
    <w:name w:val="Tabla con cuadrícula26"/>
    <w:basedOn w:val="Tablanormal"/>
    <w:next w:val="Tablaconcuadrcula"/>
    <w:rsid w:val="006C4C3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PR1stpagetitle">
    <w:name w:val="TPR1st page title"/>
    <w:basedOn w:val="Normal"/>
    <w:uiPriority w:val="99"/>
    <w:rsid w:val="002418CB"/>
    <w:pPr>
      <w:tabs>
        <w:tab w:val="left" w:pos="720"/>
      </w:tabs>
      <w:jc w:val="center"/>
    </w:pPr>
    <w:rPr>
      <w:b/>
      <w:kern w:val="36"/>
      <w:sz w:val="36"/>
      <w:szCs w:val="20"/>
      <w:lang w:val="es-ES" w:eastAsia="en-US"/>
    </w:rPr>
  </w:style>
  <w:style w:type="paragraph" w:customStyle="1" w:styleId="bodytext">
    <w:name w:val="bodytext"/>
    <w:basedOn w:val="Normal"/>
    <w:uiPriority w:val="99"/>
    <w:rsid w:val="004E651E"/>
    <w:pPr>
      <w:spacing w:before="100" w:beforeAutospacing="1" w:after="100" w:afterAutospacing="1"/>
    </w:pPr>
    <w:rPr>
      <w:lang w:val="es-ES"/>
    </w:rPr>
  </w:style>
  <w:style w:type="table" w:customStyle="1" w:styleId="Tablaconcuadrcula27">
    <w:name w:val="Tabla con cuadrícula27"/>
    <w:basedOn w:val="Tablanormal"/>
    <w:next w:val="Tablaconcuadrcula"/>
    <w:rsid w:val="00734960"/>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
    <w:name w:val="Tabla con cuadrícula28"/>
    <w:basedOn w:val="Tablanormal"/>
    <w:next w:val="Tablaconcuadrcula"/>
    <w:rsid w:val="008B10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
    <w:name w:val="Sin lista20"/>
    <w:next w:val="Sinlista"/>
    <w:semiHidden/>
    <w:rsid w:val="004900C9"/>
  </w:style>
  <w:style w:type="character" w:customStyle="1" w:styleId="red1">
    <w:name w:val="red1"/>
    <w:basedOn w:val="Fuentedeprrafopredeter"/>
    <w:rsid w:val="004900C9"/>
    <w:rPr>
      <w:color w:val="993300"/>
    </w:rPr>
  </w:style>
  <w:style w:type="table" w:customStyle="1" w:styleId="Tablaconcuadrcula29">
    <w:name w:val="Tabla con cuadrícula29"/>
    <w:basedOn w:val="Tablanormal"/>
    <w:next w:val="Tablaconcuadrcula"/>
    <w:rsid w:val="004900C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0">
    <w:name w:val="Tabla con cuadrícula30"/>
    <w:basedOn w:val="Tablanormal"/>
    <w:next w:val="Tablaconcuadrcula"/>
    <w:rsid w:val="00E07FE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
    <w:name w:val="Tabla con cuadrícula 11"/>
    <w:basedOn w:val="Tablanormal"/>
    <w:next w:val="Tablaconcuadrcula10"/>
    <w:rsid w:val="00025A34"/>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21">
    <w:name w:val="Sin lista21"/>
    <w:next w:val="Sinlista"/>
    <w:semiHidden/>
    <w:rsid w:val="00EA6632"/>
  </w:style>
  <w:style w:type="table" w:customStyle="1" w:styleId="Tablaconcuadrcula120">
    <w:name w:val="Tabla con cuadrícula 12"/>
    <w:basedOn w:val="Tablanormal"/>
    <w:next w:val="Tablaconcuadrcula10"/>
    <w:rsid w:val="00EA6632"/>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30">
    <w:name w:val="Tabla con cuadrícula 13"/>
    <w:basedOn w:val="Tablanormal"/>
    <w:next w:val="Tablaconcuadrcula10"/>
    <w:rsid w:val="00E27798"/>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1">
    <w:name w:val="Tabla con cuadrícula31"/>
    <w:basedOn w:val="Tablanormal"/>
    <w:next w:val="Tablaconcuadrcula"/>
    <w:rsid w:val="0049673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
    <w:name w:val="Tabla con cuadrícula32"/>
    <w:basedOn w:val="Tablanormal"/>
    <w:next w:val="Tablaconcuadrcula"/>
    <w:rsid w:val="00B67B6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
    <w:name w:val="Tabla con cuadrícula33"/>
    <w:basedOn w:val="Tablanormal"/>
    <w:next w:val="Tablaconcuadrcula"/>
    <w:rsid w:val="002B6DE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0">
    <w:name w:val="Tabla con cuadrícula 14"/>
    <w:basedOn w:val="Tablanormal"/>
    <w:next w:val="Tablaconcuadrcula10"/>
    <w:rsid w:val="002B6DED"/>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4">
    <w:name w:val="Tabla con cuadrícula34"/>
    <w:basedOn w:val="Tablanormal"/>
    <w:next w:val="Tablaconcuadrcula"/>
    <w:rsid w:val="009D681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0">
    <w:name w:val="Tabla con cuadrícula 15"/>
    <w:basedOn w:val="Tablanormal"/>
    <w:next w:val="Tablaconcuadrcula10"/>
    <w:rsid w:val="005E0A46"/>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5">
    <w:name w:val="Tabla con cuadrícula35"/>
    <w:basedOn w:val="Tablanormal"/>
    <w:next w:val="Tablaconcuadrcula"/>
    <w:rsid w:val="002E77D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6">
    <w:name w:val="Tabla con cuadrícula36"/>
    <w:basedOn w:val="Tablanormal"/>
    <w:next w:val="Tablaconcuadrcula"/>
    <w:rsid w:val="00A53CD8"/>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7">
    <w:name w:val="Tabla con cuadrícula37"/>
    <w:basedOn w:val="Tablanormal"/>
    <w:next w:val="Tablaconcuadrcula"/>
    <w:rsid w:val="005F670C"/>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
    <w:name w:val="Sin lista22"/>
    <w:next w:val="Sinlista"/>
    <w:semiHidden/>
    <w:rsid w:val="00FA0260"/>
  </w:style>
  <w:style w:type="numbering" w:customStyle="1" w:styleId="Sinlista23">
    <w:name w:val="Sin lista23"/>
    <w:next w:val="Sinlista"/>
    <w:semiHidden/>
    <w:rsid w:val="001972BE"/>
  </w:style>
  <w:style w:type="table" w:customStyle="1" w:styleId="Tablaconcuadrcula38">
    <w:name w:val="Tabla con cuadrícula38"/>
    <w:basedOn w:val="Tablanormal"/>
    <w:next w:val="Tablaconcuadrcula"/>
    <w:rsid w:val="001972B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
    <w:name w:val="Tabla con cuadrícula39"/>
    <w:basedOn w:val="Tablanormal"/>
    <w:next w:val="Tablaconcuadrcula"/>
    <w:rsid w:val="00D437F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
    <w:name w:val="Sin lista24"/>
    <w:next w:val="Sinlista"/>
    <w:semiHidden/>
    <w:rsid w:val="004A5C94"/>
  </w:style>
  <w:style w:type="numbering" w:customStyle="1" w:styleId="Sinlista25">
    <w:name w:val="Sin lista25"/>
    <w:next w:val="Sinlista"/>
    <w:semiHidden/>
    <w:rsid w:val="0022559F"/>
  </w:style>
  <w:style w:type="numbering" w:customStyle="1" w:styleId="Sinlista26">
    <w:name w:val="Sin lista26"/>
    <w:next w:val="Sinlista"/>
    <w:semiHidden/>
    <w:rsid w:val="00A601A8"/>
  </w:style>
  <w:style w:type="table" w:customStyle="1" w:styleId="Tablaconcuadrcula40">
    <w:name w:val="Tabla con cuadrícula40"/>
    <w:basedOn w:val="Tablanormal"/>
    <w:next w:val="Tablaconcuadrcula"/>
    <w:rsid w:val="00A601A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7">
    <w:name w:val="Sin lista27"/>
    <w:next w:val="Sinlista"/>
    <w:semiHidden/>
    <w:rsid w:val="004F6E1D"/>
  </w:style>
  <w:style w:type="table" w:customStyle="1" w:styleId="Tablaconcuadrcula41">
    <w:name w:val="Tabla con cuadrícula41"/>
    <w:basedOn w:val="Tablanormal"/>
    <w:next w:val="Tablaconcuadrcula"/>
    <w:rsid w:val="004F6E1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
    <w:name w:val="Tabla con cuadrícula42"/>
    <w:basedOn w:val="Tablanormal"/>
    <w:next w:val="Tablaconcuadrcula"/>
    <w:rsid w:val="000778C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
    <w:name w:val="Tabla con cuadrícula43"/>
    <w:basedOn w:val="Tablanormal"/>
    <w:next w:val="Tablaconcuadrcula"/>
    <w:rsid w:val="009D048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
    <w:name w:val="Tabla con cuadrícula44"/>
    <w:basedOn w:val="Tablanormal"/>
    <w:next w:val="Tablaconcuadrcula"/>
    <w:rsid w:val="002F0FE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1">
    <w:name w:val="Tabla con cuadrícula 16"/>
    <w:basedOn w:val="Tablanormal"/>
    <w:next w:val="Tablaconcuadrcula10"/>
    <w:rsid w:val="0071070E"/>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5">
    <w:name w:val="Tabla con cuadrícula45"/>
    <w:basedOn w:val="Tablanormal"/>
    <w:next w:val="Tablaconcuadrcula"/>
    <w:rsid w:val="00087A49"/>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
    <w:name w:val="Tabla con cuadrícula46"/>
    <w:basedOn w:val="Tablanormal"/>
    <w:next w:val="Tablaconcuadrcula"/>
    <w:rsid w:val="00EC2DC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
    <w:name w:val="Tabla con cuadrícula47"/>
    <w:basedOn w:val="Tablanormal"/>
    <w:next w:val="Tablaconcuadrcula"/>
    <w:rsid w:val="00F13B4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
    <w:name w:val="Tabla con cuadrícula48"/>
    <w:basedOn w:val="Tablanormal"/>
    <w:next w:val="Tablaconcuadrcula"/>
    <w:rsid w:val="004A737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9">
    <w:name w:val="Tabla con cuadrícula49"/>
    <w:basedOn w:val="Tablanormal"/>
    <w:next w:val="Tablaconcuadrcula"/>
    <w:rsid w:val="003B3D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8">
    <w:name w:val="Sin lista28"/>
    <w:next w:val="Sinlista"/>
    <w:semiHidden/>
    <w:rsid w:val="003924DE"/>
  </w:style>
  <w:style w:type="paragraph" w:customStyle="1" w:styleId="Textoindependiente4">
    <w:name w:val="Texto independiente 4"/>
    <w:basedOn w:val="Normal"/>
    <w:uiPriority w:val="99"/>
    <w:rsid w:val="003924DE"/>
    <w:pPr>
      <w:tabs>
        <w:tab w:val="num" w:pos="2160"/>
      </w:tabs>
      <w:spacing w:after="240"/>
      <w:ind w:left="2160" w:hanging="720"/>
      <w:jc w:val="both"/>
    </w:pPr>
    <w:rPr>
      <w:rFonts w:eastAsia="Times New Roman"/>
      <w:sz w:val="22"/>
      <w:szCs w:val="22"/>
      <w:lang w:val="es-ES"/>
    </w:rPr>
  </w:style>
  <w:style w:type="table" w:customStyle="1" w:styleId="Tablaconcuadrcula50">
    <w:name w:val="Tabla con cuadrícula50"/>
    <w:basedOn w:val="Tablanormal"/>
    <w:next w:val="Tablaconcuadrcula"/>
    <w:rsid w:val="003924DE"/>
    <w:pPr>
      <w:tabs>
        <w:tab w:val="left" w:pos="720"/>
      </w:tabs>
      <w:jc w:val="both"/>
    </w:pPr>
    <w:rPr>
      <w:rFonts w:eastAsia="Times New Roman"/>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1">
    <w:name w:val="Tabla con cuadrícula501"/>
    <w:basedOn w:val="Tablanormal"/>
    <w:next w:val="Tablaconcuadrcula"/>
    <w:rsid w:val="00C80B1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0">
    <w:name w:val="Tabla con cuadrícula 17"/>
    <w:basedOn w:val="Tablanormal"/>
    <w:next w:val="Tablaconcuadrcula10"/>
    <w:rsid w:val="00C80B13"/>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80">
    <w:name w:val="Tabla con cuadrícula 18"/>
    <w:basedOn w:val="Tablanormal"/>
    <w:next w:val="Tablaconcuadrcula10"/>
    <w:rsid w:val="00C80B13"/>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3">
    <w:name w:val="Tabla con cuadrícula53"/>
    <w:basedOn w:val="Tablanormal"/>
    <w:next w:val="Tablaconcuadrcula"/>
    <w:rsid w:val="00C80B1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2">
    <w:name w:val="Tabla con cuadrícula502"/>
    <w:basedOn w:val="Tablanormal"/>
    <w:next w:val="Tablaconcuadrcula"/>
    <w:rsid w:val="00C80B1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9">
    <w:name w:val="Sin lista29"/>
    <w:next w:val="Sinlista"/>
    <w:semiHidden/>
    <w:rsid w:val="000A5FF6"/>
  </w:style>
  <w:style w:type="table" w:customStyle="1" w:styleId="Tablaconcuadrcula54">
    <w:name w:val="Tabla con cuadrícula54"/>
    <w:basedOn w:val="Tablanormal"/>
    <w:next w:val="Tablaconcuadrcula"/>
    <w:rsid w:val="00BB59E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uiestudiosfecha">
    <w:name w:val="data ui_estudios_fecha"/>
    <w:basedOn w:val="Normal"/>
    <w:uiPriority w:val="99"/>
    <w:rsid w:val="003B6C44"/>
    <w:pPr>
      <w:spacing w:before="100" w:beforeAutospacing="1" w:after="100" w:afterAutospacing="1"/>
    </w:pPr>
    <w:rPr>
      <w:rFonts w:eastAsia="Times New Roman"/>
      <w:lang w:val="es-ES"/>
    </w:rPr>
  </w:style>
  <w:style w:type="table" w:customStyle="1" w:styleId="Tablaconcuadrcula55">
    <w:name w:val="Tabla con cuadrícula55"/>
    <w:basedOn w:val="Tablanormal"/>
    <w:next w:val="Tablaconcuadrcula"/>
    <w:rsid w:val="003B6C4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1">
    <w:name w:val="Tabla con cuadrícula 19"/>
    <w:basedOn w:val="Tablanormal"/>
    <w:next w:val="Tablaconcuadrcula10"/>
    <w:rsid w:val="00842580"/>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6">
    <w:name w:val="Tabla con cuadrícula56"/>
    <w:basedOn w:val="Tablanormal"/>
    <w:next w:val="Tablaconcuadrcula"/>
    <w:rsid w:val="00C44761"/>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0">
    <w:name w:val="Sin lista30"/>
    <w:next w:val="Sinlista"/>
    <w:semiHidden/>
    <w:rsid w:val="00E945D8"/>
  </w:style>
  <w:style w:type="table" w:customStyle="1" w:styleId="Tablaconcuadrcula1100">
    <w:name w:val="Tabla con cuadrícula 110"/>
    <w:basedOn w:val="Tablanormal"/>
    <w:next w:val="Tablaconcuadrcula10"/>
    <w:rsid w:val="00F0097B"/>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31">
    <w:name w:val="Sin lista31"/>
    <w:next w:val="Sinlista"/>
    <w:semiHidden/>
    <w:rsid w:val="00CA7C6B"/>
  </w:style>
  <w:style w:type="table" w:customStyle="1" w:styleId="Tablaconcuadrcula57">
    <w:name w:val="Tabla con cuadrícula57"/>
    <w:basedOn w:val="Tablanormal"/>
    <w:next w:val="Tablaconcuadrcula"/>
    <w:rsid w:val="00CA7C6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
    <w:name w:val="Tabla con cuadrícula58"/>
    <w:basedOn w:val="Tablanormal"/>
    <w:next w:val="Tablaconcuadrcula"/>
    <w:rsid w:val="008C4E6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
    <w:name w:val="Tabla con cuadrícula59"/>
    <w:basedOn w:val="Tablanormal"/>
    <w:next w:val="Tablaconcuadrcula"/>
    <w:rsid w:val="009C234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
    <w:name w:val="Tabla con cuadrícula60"/>
    <w:basedOn w:val="Tablanormal"/>
    <w:next w:val="Tablaconcuadrcula"/>
    <w:rsid w:val="00E3677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
    <w:name w:val="Tabla con cuadrícula61"/>
    <w:basedOn w:val="Tablanormal"/>
    <w:next w:val="Tablaconcuadrcula"/>
    <w:rsid w:val="00A83AF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
    <w:name w:val="Tabla con cuadrícula62"/>
    <w:basedOn w:val="Tablanormal"/>
    <w:next w:val="Tablaconcuadrcula"/>
    <w:rsid w:val="002F1B7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
    <w:name w:val="Sin lista32"/>
    <w:next w:val="Sinlista"/>
    <w:semiHidden/>
    <w:rsid w:val="001B51E5"/>
  </w:style>
  <w:style w:type="table" w:customStyle="1" w:styleId="Tablaconcuadrcula63">
    <w:name w:val="Tabla con cuadrícula63"/>
    <w:basedOn w:val="Tablanormal"/>
    <w:next w:val="Tablaconcuadrcula"/>
    <w:rsid w:val="001B51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
    <w:name w:val="Tabla con cuadrícula64"/>
    <w:basedOn w:val="Tablanormal"/>
    <w:next w:val="Tablaconcuadrcula"/>
    <w:rsid w:val="00100D4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3">
    <w:name w:val="Sin lista33"/>
    <w:next w:val="Sinlista"/>
    <w:semiHidden/>
    <w:unhideWhenUsed/>
    <w:rsid w:val="00E878FA"/>
  </w:style>
  <w:style w:type="table" w:customStyle="1" w:styleId="Tablaconcuadrcula65">
    <w:name w:val="Tabla con cuadrícula65"/>
    <w:basedOn w:val="Tablanormal"/>
    <w:next w:val="Tablaconcuadrcula"/>
    <w:rsid w:val="00E878FA"/>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4">
    <w:name w:val="Sin lista34"/>
    <w:next w:val="Sinlista"/>
    <w:semiHidden/>
    <w:rsid w:val="00D84E42"/>
  </w:style>
  <w:style w:type="numbering" w:customStyle="1" w:styleId="Sinlista35">
    <w:name w:val="Sin lista35"/>
    <w:next w:val="Sinlista"/>
    <w:semiHidden/>
    <w:rsid w:val="004475AF"/>
  </w:style>
  <w:style w:type="table" w:customStyle="1" w:styleId="Tablaconcuadrcula66">
    <w:name w:val="Tabla con cuadrícula66"/>
    <w:basedOn w:val="Tablanormal"/>
    <w:next w:val="Tablaconcuadrcula"/>
    <w:rsid w:val="004475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6">
    <w:name w:val="Sin lista36"/>
    <w:next w:val="Sinlista"/>
    <w:semiHidden/>
    <w:rsid w:val="00731ED8"/>
  </w:style>
  <w:style w:type="table" w:customStyle="1" w:styleId="Tablaconcuadrcula67">
    <w:name w:val="Tabla con cuadrícula67"/>
    <w:basedOn w:val="Tablanormal"/>
    <w:next w:val="Tablaconcuadrcula"/>
    <w:rsid w:val="00731ED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7">
    <w:name w:val="Sin lista37"/>
    <w:next w:val="Sinlista"/>
    <w:semiHidden/>
    <w:rsid w:val="00CB70E2"/>
  </w:style>
  <w:style w:type="table" w:customStyle="1" w:styleId="Tablaconcuadrcula68">
    <w:name w:val="Tabla con cuadrícula68"/>
    <w:basedOn w:val="Tablanormal"/>
    <w:next w:val="Tablaconcuadrcula"/>
    <w:rsid w:val="00CB70E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8">
    <w:name w:val="Sin lista38"/>
    <w:next w:val="Sinlista"/>
    <w:semiHidden/>
    <w:rsid w:val="00DD7E51"/>
  </w:style>
  <w:style w:type="table" w:customStyle="1" w:styleId="Tablaconcuadrcula69">
    <w:name w:val="Tabla con cuadrícula69"/>
    <w:basedOn w:val="Tablanormal"/>
    <w:next w:val="Tablaconcuadrcula"/>
    <w:rsid w:val="00DD7E5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9">
    <w:name w:val="Sin lista39"/>
    <w:next w:val="Sinlista"/>
    <w:semiHidden/>
    <w:rsid w:val="001A050E"/>
  </w:style>
  <w:style w:type="table" w:customStyle="1" w:styleId="Tablaconcuadrcula70">
    <w:name w:val="Tabla con cuadrícula70"/>
    <w:basedOn w:val="Tablanormal"/>
    <w:next w:val="Tablaconcuadrcula"/>
    <w:rsid w:val="001A050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
    <w:name w:val="Tabla con cuadrícula71"/>
    <w:basedOn w:val="Tablanormal"/>
    <w:next w:val="Tablaconcuadrcula"/>
    <w:rsid w:val="007725F5"/>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0">
    <w:name w:val="Sin lista40"/>
    <w:next w:val="Sinlista"/>
    <w:semiHidden/>
    <w:rsid w:val="0045343E"/>
  </w:style>
  <w:style w:type="table" w:customStyle="1" w:styleId="Tablaconcuadrcula72">
    <w:name w:val="Tabla con cuadrícula72"/>
    <w:basedOn w:val="Tablanormal"/>
    <w:next w:val="Tablaconcuadrcula"/>
    <w:rsid w:val="0045343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
    <w:name w:val="Sin lista41"/>
    <w:next w:val="Sinlista"/>
    <w:semiHidden/>
    <w:rsid w:val="00186AC2"/>
  </w:style>
  <w:style w:type="table" w:customStyle="1" w:styleId="Tablaconcuadrcula73">
    <w:name w:val="Tabla con cuadrícula73"/>
    <w:basedOn w:val="Tablanormal"/>
    <w:next w:val="Tablaconcuadrcula"/>
    <w:rsid w:val="00186AC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4">
    <w:name w:val="Tabla con cuadrícula74"/>
    <w:basedOn w:val="Tablanormal"/>
    <w:next w:val="Tablaconcuadrcula"/>
    <w:rsid w:val="0053717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
    <w:name w:val="Tabla con cuadrícula75"/>
    <w:basedOn w:val="Tablanormal"/>
    <w:next w:val="Tablaconcuadrcula"/>
    <w:rsid w:val="003C171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
    <w:name w:val="Sin lista42"/>
    <w:next w:val="Sinlista"/>
    <w:semiHidden/>
    <w:rsid w:val="008D09B1"/>
  </w:style>
  <w:style w:type="table" w:customStyle="1" w:styleId="Tablaconcuadrcula76">
    <w:name w:val="Tabla con cuadrícula76"/>
    <w:basedOn w:val="Tablanormal"/>
    <w:next w:val="Tablaconcuadrcula"/>
    <w:rsid w:val="002A7B9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7">
    <w:name w:val="Tabla con cuadrícula77"/>
    <w:basedOn w:val="Tablanormal"/>
    <w:next w:val="Tablaconcuadrcula"/>
    <w:rsid w:val="00862C1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
    <w:name w:val="Sin lista43"/>
    <w:next w:val="Sinlista"/>
    <w:semiHidden/>
    <w:rsid w:val="009672B9"/>
  </w:style>
  <w:style w:type="table" w:customStyle="1" w:styleId="Tablaconcuadrcula78">
    <w:name w:val="Tabla con cuadrícula78"/>
    <w:basedOn w:val="Tablanormal"/>
    <w:next w:val="Tablaconcuadrcula"/>
    <w:rsid w:val="009672B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9">
    <w:name w:val="Tabla con cuadrícula79"/>
    <w:basedOn w:val="Tablanormal"/>
    <w:next w:val="Tablaconcuadrcula"/>
    <w:rsid w:val="00451B4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
    <w:name w:val="Tabla con cuadrícula80"/>
    <w:basedOn w:val="Tablanormal"/>
    <w:next w:val="Tablaconcuadrcula"/>
    <w:rsid w:val="00FB1D8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4">
    <w:name w:val="Sin lista44"/>
    <w:next w:val="Sinlista"/>
    <w:semiHidden/>
    <w:rsid w:val="00E52E8A"/>
  </w:style>
  <w:style w:type="table" w:customStyle="1" w:styleId="Tablaconcuadrcula81">
    <w:name w:val="Tabla con cuadrícula81"/>
    <w:basedOn w:val="Tablanormal"/>
    <w:next w:val="Tablaconcuadrcula"/>
    <w:rsid w:val="00E52E8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
    <w:name w:val="Tabla con cuadrícula82"/>
    <w:basedOn w:val="Tablanormal"/>
    <w:next w:val="Tablaconcuadrcula"/>
    <w:rsid w:val="00AE5A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5">
    <w:name w:val="Sin lista45"/>
    <w:next w:val="Sinlista"/>
    <w:semiHidden/>
    <w:rsid w:val="00AB2382"/>
  </w:style>
  <w:style w:type="table" w:customStyle="1" w:styleId="Tablaconcuadrcula83">
    <w:name w:val="Tabla con cuadrícula83"/>
    <w:basedOn w:val="Tablanormal"/>
    <w:next w:val="Tablaconcuadrcula"/>
    <w:rsid w:val="00AB238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6">
    <w:name w:val="Sin lista46"/>
    <w:next w:val="Sinlista"/>
    <w:semiHidden/>
    <w:rsid w:val="00CF064F"/>
  </w:style>
  <w:style w:type="table" w:customStyle="1" w:styleId="Tablaconcuadrcula84">
    <w:name w:val="Tabla con cuadrícula84"/>
    <w:basedOn w:val="Tablanormal"/>
    <w:next w:val="Tablaconcuadrcula"/>
    <w:rsid w:val="00CF064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
    <w:name w:val="Tabla con cuadrícula85"/>
    <w:basedOn w:val="Tablanormal"/>
    <w:next w:val="Tablaconcuadrcula"/>
    <w:rsid w:val="0076669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
    <w:name w:val="Tabla con cuadrícula86"/>
    <w:basedOn w:val="Tablanormal"/>
    <w:next w:val="Tablaconcuadrcula"/>
    <w:rsid w:val="006D299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7">
    <w:name w:val="Sin lista47"/>
    <w:next w:val="Sinlista"/>
    <w:semiHidden/>
    <w:rsid w:val="008C25B4"/>
  </w:style>
  <w:style w:type="table" w:customStyle="1" w:styleId="Tablaconcuadrcula87">
    <w:name w:val="Tabla con cuadrícula87"/>
    <w:basedOn w:val="Tablanormal"/>
    <w:next w:val="Tablaconcuadrcula"/>
    <w:rsid w:val="00E34AC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8">
    <w:name w:val="Tabla con cuadrícula88"/>
    <w:basedOn w:val="Tablanormal"/>
    <w:next w:val="Tablaconcuadrcula"/>
    <w:rsid w:val="003F23C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
    <w:name w:val="Sin lista48"/>
    <w:next w:val="Sinlista"/>
    <w:semiHidden/>
    <w:rsid w:val="00420F12"/>
  </w:style>
  <w:style w:type="table" w:customStyle="1" w:styleId="Tablaconcuadrcula89">
    <w:name w:val="Tabla con cuadrícula89"/>
    <w:basedOn w:val="Tablanormal"/>
    <w:next w:val="Tablaconcuadrcula"/>
    <w:rsid w:val="00420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
    <w:name w:val="Tabla con cuadrícula90"/>
    <w:basedOn w:val="Tablanormal"/>
    <w:next w:val="Tablaconcuadrcula"/>
    <w:rsid w:val="00CD716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
    <w:name w:val="Tabla con cuadrícula91"/>
    <w:basedOn w:val="Tablanormal"/>
    <w:next w:val="Tablaconcuadrcula"/>
    <w:rsid w:val="006850C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9">
    <w:name w:val="Sin lista49"/>
    <w:next w:val="Sinlista"/>
    <w:semiHidden/>
    <w:rsid w:val="00A50640"/>
  </w:style>
  <w:style w:type="table" w:customStyle="1" w:styleId="Tablaconcuadrcula92">
    <w:name w:val="Tabla con cuadrícula92"/>
    <w:basedOn w:val="Tablanormal"/>
    <w:next w:val="Tablaconcuadrcula"/>
    <w:rsid w:val="007323E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gress1">
    <w:name w:val="ingress1"/>
    <w:basedOn w:val="Normal"/>
    <w:uiPriority w:val="99"/>
    <w:rsid w:val="009D78DB"/>
    <w:pPr>
      <w:spacing w:before="100" w:beforeAutospacing="1" w:after="180"/>
    </w:pPr>
    <w:rPr>
      <w:rFonts w:eastAsia="Times New Roman"/>
      <w:b/>
      <w:bCs/>
      <w:color w:val="333333"/>
      <w:lang w:val="es-ES"/>
    </w:rPr>
  </w:style>
  <w:style w:type="numbering" w:customStyle="1" w:styleId="Sinlista50">
    <w:name w:val="Sin lista50"/>
    <w:next w:val="Sinlista"/>
    <w:semiHidden/>
    <w:rsid w:val="00B8080B"/>
  </w:style>
  <w:style w:type="table" w:customStyle="1" w:styleId="Tablaconcuadrcula93">
    <w:name w:val="Tabla con cuadrícula93"/>
    <w:basedOn w:val="Tablanormal"/>
    <w:next w:val="Tablaconcuadrcula"/>
    <w:rsid w:val="00B8080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4">
    <w:name w:val="Tabla con cuadrícula94"/>
    <w:basedOn w:val="Tablanormal"/>
    <w:next w:val="Tablaconcuadrcula"/>
    <w:rsid w:val="005E4C5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1">
    <w:name w:val="Sin lista51"/>
    <w:next w:val="Sinlista"/>
    <w:semiHidden/>
    <w:rsid w:val="00202DB4"/>
  </w:style>
  <w:style w:type="table" w:customStyle="1" w:styleId="Tablaconcuadrcula95">
    <w:name w:val="Tabla con cuadrícula95"/>
    <w:basedOn w:val="Tablanormal"/>
    <w:next w:val="Tablaconcuadrcula"/>
    <w:rsid w:val="00202DB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
    <w:name w:val="Tabla con cuadrícula96"/>
    <w:basedOn w:val="Tablanormal"/>
    <w:next w:val="Tablaconcuadrcula"/>
    <w:rsid w:val="008542E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2">
    <w:name w:val="Sin lista52"/>
    <w:next w:val="Sinlista"/>
    <w:semiHidden/>
    <w:rsid w:val="00AD691E"/>
  </w:style>
  <w:style w:type="numbering" w:customStyle="1" w:styleId="Sinlista53">
    <w:name w:val="Sin lista53"/>
    <w:next w:val="Sinlista"/>
    <w:semiHidden/>
    <w:rsid w:val="00F9628C"/>
  </w:style>
  <w:style w:type="table" w:customStyle="1" w:styleId="Tablaconcuadrcula97">
    <w:name w:val="Tabla con cuadrícula97"/>
    <w:basedOn w:val="Tablanormal"/>
    <w:next w:val="Tablaconcuadrcula"/>
    <w:rsid w:val="00732FD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
    <w:name w:val="Sin lista54"/>
    <w:next w:val="Sinlista"/>
    <w:semiHidden/>
    <w:rsid w:val="00B96C72"/>
  </w:style>
  <w:style w:type="table" w:customStyle="1" w:styleId="Tablaconcuadrcula98">
    <w:name w:val="Tabla con cuadrícula98"/>
    <w:basedOn w:val="Tablanormal"/>
    <w:next w:val="Tablaconcuadrcula"/>
    <w:rsid w:val="006106E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
    <w:name w:val="Tabla con cuadrícula99"/>
    <w:basedOn w:val="Tablanormal"/>
    <w:next w:val="Tablaconcuadrcula"/>
    <w:rsid w:val="009A3A7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5">
    <w:name w:val="Sin lista55"/>
    <w:next w:val="Sinlista"/>
    <w:semiHidden/>
    <w:rsid w:val="005C23F4"/>
  </w:style>
  <w:style w:type="table" w:customStyle="1" w:styleId="Tablaconcuadrcula1000">
    <w:name w:val="Tabla con cuadrícula100"/>
    <w:basedOn w:val="Tablanormal"/>
    <w:next w:val="Tablaconcuadrcula"/>
    <w:rsid w:val="00E33DC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0">
    <w:name w:val="Tabla con cuadrícula 111"/>
    <w:basedOn w:val="Tablanormal"/>
    <w:next w:val="Tablaconcuadrcula10"/>
    <w:rsid w:val="000E7754"/>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56">
    <w:name w:val="Sin lista56"/>
    <w:next w:val="Sinlista"/>
    <w:semiHidden/>
    <w:rsid w:val="00392B76"/>
  </w:style>
  <w:style w:type="table" w:customStyle="1" w:styleId="Tablaconcuadrcula101">
    <w:name w:val="Tabla con cuadrícula101"/>
    <w:basedOn w:val="Tablanormal"/>
    <w:next w:val="Tablaconcuadrcula"/>
    <w:rsid w:val="00392B7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oogle-src-text1">
    <w:name w:val="google-src-text1"/>
    <w:basedOn w:val="Fuentedeprrafopredeter"/>
    <w:rsid w:val="00392B76"/>
    <w:rPr>
      <w:vanish/>
      <w:webHidden w:val="0"/>
      <w:specVanish w:val="0"/>
    </w:rPr>
  </w:style>
  <w:style w:type="table" w:customStyle="1" w:styleId="Tablaconcuadrcula102">
    <w:name w:val="Tabla con cuadrícula102"/>
    <w:basedOn w:val="Tablanormal"/>
    <w:next w:val="Tablaconcuadrcula"/>
    <w:rsid w:val="00392B7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
    <w:name w:val="Tabla con cuadrícula103"/>
    <w:basedOn w:val="Tablanormal"/>
    <w:next w:val="Tablaconcuadrcula"/>
    <w:rsid w:val="0060458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7">
    <w:name w:val="Sin lista57"/>
    <w:next w:val="Sinlista"/>
    <w:semiHidden/>
    <w:rsid w:val="002E0702"/>
  </w:style>
  <w:style w:type="table" w:customStyle="1" w:styleId="Tablaconcuadrcula112">
    <w:name w:val="Tabla con cuadrícula 112"/>
    <w:basedOn w:val="Tablanormal"/>
    <w:next w:val="Tablaconcuadrcula10"/>
    <w:rsid w:val="006827CC"/>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04">
    <w:name w:val="Tabla con cuadrícula104"/>
    <w:basedOn w:val="Tablanormal"/>
    <w:next w:val="Tablaconcuadrcula"/>
    <w:rsid w:val="007E327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8">
    <w:name w:val="Sin lista58"/>
    <w:next w:val="Sinlista"/>
    <w:semiHidden/>
    <w:rsid w:val="00DA3F44"/>
  </w:style>
  <w:style w:type="table" w:customStyle="1" w:styleId="Tablaconcuadrcula105">
    <w:name w:val="Tabla con cuadrícula105"/>
    <w:basedOn w:val="Tablanormal"/>
    <w:next w:val="Tablaconcuadrcula"/>
    <w:rsid w:val="00DA3F4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9">
    <w:name w:val="Sin lista59"/>
    <w:next w:val="Sinlista"/>
    <w:semiHidden/>
    <w:rsid w:val="000255E0"/>
  </w:style>
  <w:style w:type="table" w:customStyle="1" w:styleId="Tablaconcuadrcula106">
    <w:name w:val="Tabla con cuadrícula106"/>
    <w:basedOn w:val="Tablanormal"/>
    <w:next w:val="Tablaconcuadrcula"/>
    <w:rsid w:val="0055173E"/>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
    <w:name w:val="Tabla con cuadrícula107"/>
    <w:basedOn w:val="Tablanormal"/>
    <w:next w:val="Tablaconcuadrcula"/>
    <w:rsid w:val="007E1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
    <w:name w:val="Tabla con cuadrícula108"/>
    <w:basedOn w:val="Tablanormal"/>
    <w:next w:val="Tablaconcuadrcula"/>
    <w:rsid w:val="0093436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
    <w:name w:val="Tabla con cuadrícula109"/>
    <w:basedOn w:val="Tablanormal"/>
    <w:next w:val="Tablaconcuadrcula"/>
    <w:rsid w:val="0093436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1">
    <w:name w:val="Tabla con cuadrícula111"/>
    <w:basedOn w:val="Tablanormal"/>
    <w:next w:val="Tablaconcuadrcula"/>
    <w:rsid w:val="00104A4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0">
    <w:name w:val="Tabla con cuadrícula112"/>
    <w:basedOn w:val="Tablanormal"/>
    <w:next w:val="Tablaconcuadrcula"/>
    <w:rsid w:val="00104A4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
    <w:name w:val="Sin lista60"/>
    <w:next w:val="Sinlista"/>
    <w:semiHidden/>
    <w:rsid w:val="00475800"/>
  </w:style>
  <w:style w:type="table" w:customStyle="1" w:styleId="Tablaconcuadrcula113">
    <w:name w:val="Tabla con cuadrícula113"/>
    <w:basedOn w:val="Tablanormal"/>
    <w:next w:val="Tablaconcuadrcula"/>
    <w:rsid w:val="0047580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1">
    <w:name w:val="Sin lista61"/>
    <w:next w:val="Sinlista"/>
    <w:semiHidden/>
    <w:rsid w:val="00232E03"/>
  </w:style>
  <w:style w:type="table" w:customStyle="1" w:styleId="Tablaconcuadrcula114">
    <w:name w:val="Tabla con cuadrícula114"/>
    <w:basedOn w:val="Tablanormal"/>
    <w:next w:val="Tablaconcuadrcula"/>
    <w:rsid w:val="00232E0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5">
    <w:name w:val="Tabla con cuadrícula115"/>
    <w:basedOn w:val="Tablanormal"/>
    <w:next w:val="Tablaconcuadrcula"/>
    <w:rsid w:val="009E3C28"/>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62">
    <w:name w:val="Sin lista62"/>
    <w:next w:val="Sinlista"/>
    <w:semiHidden/>
    <w:rsid w:val="006D6FD6"/>
  </w:style>
  <w:style w:type="table" w:customStyle="1" w:styleId="Tablaconcuadrcula116">
    <w:name w:val="Tabla con cuadrícula116"/>
    <w:basedOn w:val="Tablanormal"/>
    <w:next w:val="Tablaconcuadrcula"/>
    <w:rsid w:val="006D6FD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30">
    <w:name w:val="Tabla con cuadrícula 113"/>
    <w:basedOn w:val="Tablanormal"/>
    <w:next w:val="Tablaconcuadrcula10"/>
    <w:rsid w:val="00611621"/>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63">
    <w:name w:val="Sin lista63"/>
    <w:next w:val="Sinlista"/>
    <w:semiHidden/>
    <w:rsid w:val="00544AC2"/>
  </w:style>
  <w:style w:type="paragraph" w:customStyle="1" w:styleId="xl66">
    <w:name w:val="xl66"/>
    <w:basedOn w:val="Normal"/>
    <w:uiPriority w:val="99"/>
    <w:rsid w:val="001A41F9"/>
    <w:pPr>
      <w:spacing w:before="100" w:beforeAutospacing="1" w:after="100" w:afterAutospacing="1"/>
      <w:jc w:val="center"/>
    </w:pPr>
    <w:rPr>
      <w:rFonts w:ascii="Arial" w:eastAsia="Times New Roman" w:hAnsi="Arial" w:cs="Arial"/>
      <w:sz w:val="16"/>
      <w:szCs w:val="16"/>
      <w:lang w:val="es-ES"/>
    </w:rPr>
  </w:style>
  <w:style w:type="paragraph" w:customStyle="1" w:styleId="xl67">
    <w:name w:val="xl67"/>
    <w:basedOn w:val="Normal"/>
    <w:uiPriority w:val="99"/>
    <w:rsid w:val="001A41F9"/>
    <w:pPr>
      <w:spacing w:before="100" w:beforeAutospacing="1" w:after="100" w:afterAutospacing="1"/>
    </w:pPr>
    <w:rPr>
      <w:rFonts w:ascii="Arial" w:eastAsia="Times New Roman" w:hAnsi="Arial" w:cs="Arial"/>
      <w:sz w:val="16"/>
      <w:szCs w:val="16"/>
      <w:lang w:val="es-ES"/>
    </w:rPr>
  </w:style>
  <w:style w:type="paragraph" w:customStyle="1" w:styleId="xl68">
    <w:name w:val="xl68"/>
    <w:basedOn w:val="Normal"/>
    <w:uiPriority w:val="99"/>
    <w:rsid w:val="001A41F9"/>
    <w:pPr>
      <w:spacing w:before="100" w:beforeAutospacing="1" w:after="100" w:afterAutospacing="1"/>
      <w:jc w:val="center"/>
    </w:pPr>
    <w:rPr>
      <w:rFonts w:ascii="Arial" w:eastAsia="Times New Roman" w:hAnsi="Arial" w:cs="Arial"/>
      <w:b/>
      <w:bCs/>
      <w:sz w:val="16"/>
      <w:szCs w:val="16"/>
      <w:lang w:val="es-ES"/>
    </w:rPr>
  </w:style>
  <w:style w:type="paragraph" w:customStyle="1" w:styleId="xl69">
    <w:name w:val="xl69"/>
    <w:basedOn w:val="Normal"/>
    <w:uiPriority w:val="99"/>
    <w:rsid w:val="001A41F9"/>
    <w:pPr>
      <w:spacing w:before="100" w:beforeAutospacing="1" w:after="100" w:afterAutospacing="1"/>
    </w:pPr>
    <w:rPr>
      <w:rFonts w:ascii="Arial" w:eastAsia="Times New Roman" w:hAnsi="Arial" w:cs="Arial"/>
      <w:b/>
      <w:bCs/>
      <w:sz w:val="16"/>
      <w:szCs w:val="16"/>
      <w:lang w:val="es-ES"/>
    </w:rPr>
  </w:style>
  <w:style w:type="paragraph" w:customStyle="1" w:styleId="xl70">
    <w:name w:val="xl70"/>
    <w:basedOn w:val="Normal"/>
    <w:uiPriority w:val="99"/>
    <w:rsid w:val="001A41F9"/>
    <w:pPr>
      <w:spacing w:before="100" w:beforeAutospacing="1" w:after="100" w:afterAutospacing="1"/>
    </w:pPr>
    <w:rPr>
      <w:rFonts w:ascii="Arial" w:eastAsia="Times New Roman" w:hAnsi="Arial" w:cs="Arial"/>
      <w:lang w:val="es-ES"/>
    </w:rPr>
  </w:style>
  <w:style w:type="paragraph" w:customStyle="1" w:styleId="xl71">
    <w:name w:val="xl71"/>
    <w:basedOn w:val="Normal"/>
    <w:uiPriority w:val="99"/>
    <w:rsid w:val="001A41F9"/>
    <w:pPr>
      <w:spacing w:before="100" w:beforeAutospacing="1" w:after="100" w:afterAutospacing="1"/>
    </w:pPr>
    <w:rPr>
      <w:rFonts w:ascii="Arial" w:eastAsia="Times New Roman" w:hAnsi="Arial" w:cs="Arial"/>
      <w:sz w:val="16"/>
      <w:szCs w:val="16"/>
      <w:lang w:val="es-ES"/>
    </w:rPr>
  </w:style>
  <w:style w:type="paragraph" w:customStyle="1" w:styleId="xl72">
    <w:name w:val="xl72"/>
    <w:basedOn w:val="Normal"/>
    <w:uiPriority w:val="99"/>
    <w:rsid w:val="001A41F9"/>
    <w:pPr>
      <w:spacing w:before="100" w:beforeAutospacing="1" w:after="100" w:afterAutospacing="1"/>
      <w:jc w:val="center"/>
    </w:pPr>
    <w:rPr>
      <w:rFonts w:ascii="Arial" w:eastAsia="Times New Roman" w:hAnsi="Arial" w:cs="Arial"/>
      <w:b/>
      <w:bCs/>
      <w:sz w:val="14"/>
      <w:szCs w:val="14"/>
      <w:lang w:val="es-ES"/>
    </w:rPr>
  </w:style>
  <w:style w:type="paragraph" w:customStyle="1" w:styleId="xl73">
    <w:name w:val="xl73"/>
    <w:basedOn w:val="Normal"/>
    <w:uiPriority w:val="99"/>
    <w:rsid w:val="001A41F9"/>
    <w:pPr>
      <w:spacing w:before="100" w:beforeAutospacing="1" w:after="100" w:afterAutospacing="1"/>
      <w:jc w:val="center"/>
    </w:pPr>
    <w:rPr>
      <w:rFonts w:ascii="Arial" w:eastAsia="Times New Roman" w:hAnsi="Arial" w:cs="Arial"/>
      <w:sz w:val="16"/>
      <w:szCs w:val="16"/>
      <w:lang w:val="es-ES"/>
    </w:rPr>
  </w:style>
  <w:style w:type="paragraph" w:customStyle="1" w:styleId="xl74">
    <w:name w:val="xl74"/>
    <w:basedOn w:val="Normal"/>
    <w:uiPriority w:val="99"/>
    <w:rsid w:val="001A41F9"/>
    <w:pPr>
      <w:pBdr>
        <w:top w:val="single" w:sz="8" w:space="0" w:color="auto"/>
        <w:left w:val="single" w:sz="8" w:space="0" w:color="auto"/>
        <w:bottom w:val="single" w:sz="8" w:space="0" w:color="auto"/>
      </w:pBdr>
      <w:spacing w:before="100" w:beforeAutospacing="1" w:after="100" w:afterAutospacing="1"/>
      <w:jc w:val="center"/>
    </w:pPr>
    <w:rPr>
      <w:rFonts w:ascii="Arial" w:eastAsia="Times New Roman" w:hAnsi="Arial" w:cs="Arial"/>
      <w:b/>
      <w:bCs/>
      <w:lang w:val="es-ES"/>
    </w:rPr>
  </w:style>
  <w:style w:type="paragraph" w:customStyle="1" w:styleId="xl75">
    <w:name w:val="xl75"/>
    <w:basedOn w:val="Normal"/>
    <w:uiPriority w:val="99"/>
    <w:rsid w:val="001A41F9"/>
    <w:pPr>
      <w:pBdr>
        <w:top w:val="single" w:sz="8" w:space="0" w:color="auto"/>
        <w:bottom w:val="single" w:sz="8" w:space="0" w:color="auto"/>
      </w:pBdr>
      <w:spacing w:before="100" w:beforeAutospacing="1" w:after="100" w:afterAutospacing="1"/>
      <w:jc w:val="center"/>
    </w:pPr>
    <w:rPr>
      <w:rFonts w:eastAsia="Times New Roman"/>
      <w:lang w:val="es-ES"/>
    </w:rPr>
  </w:style>
  <w:style w:type="paragraph" w:customStyle="1" w:styleId="xl76">
    <w:name w:val="xl76"/>
    <w:basedOn w:val="Normal"/>
    <w:uiPriority w:val="99"/>
    <w:rsid w:val="001A41F9"/>
    <w:pPr>
      <w:pBdr>
        <w:top w:val="single" w:sz="8" w:space="0" w:color="auto"/>
        <w:bottom w:val="single" w:sz="8" w:space="0" w:color="auto"/>
        <w:right w:val="single" w:sz="8" w:space="0" w:color="auto"/>
      </w:pBdr>
      <w:spacing w:before="100" w:beforeAutospacing="1" w:after="100" w:afterAutospacing="1"/>
      <w:jc w:val="center"/>
    </w:pPr>
    <w:rPr>
      <w:rFonts w:eastAsia="Times New Roman"/>
      <w:lang w:val="es-ES"/>
    </w:rPr>
  </w:style>
  <w:style w:type="table" w:customStyle="1" w:styleId="Tablaconcuadrcula117">
    <w:name w:val="Tabla con cuadrícula117"/>
    <w:basedOn w:val="Tablanormal"/>
    <w:next w:val="Tablaconcuadrcula"/>
    <w:rsid w:val="006E68A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4">
    <w:name w:val="Sin lista64"/>
    <w:next w:val="Sinlista"/>
    <w:semiHidden/>
    <w:rsid w:val="00021617"/>
  </w:style>
  <w:style w:type="table" w:customStyle="1" w:styleId="Tablaconcuadrcula118">
    <w:name w:val="Tabla con cuadrícula118"/>
    <w:basedOn w:val="Tablanormal"/>
    <w:next w:val="Tablaconcuadrcula"/>
    <w:rsid w:val="0002161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5">
    <w:name w:val="Sin lista65"/>
    <w:next w:val="Sinlista"/>
    <w:semiHidden/>
    <w:rsid w:val="000718D5"/>
  </w:style>
  <w:style w:type="table" w:customStyle="1" w:styleId="Tablaconcuadrcula119">
    <w:name w:val="Tabla con cuadrícula119"/>
    <w:basedOn w:val="Tablanormal"/>
    <w:next w:val="Tablaconcuadrcula"/>
    <w:rsid w:val="0011312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6">
    <w:name w:val="Sin lista66"/>
    <w:next w:val="Sinlista"/>
    <w:semiHidden/>
    <w:rsid w:val="002008A7"/>
  </w:style>
  <w:style w:type="table" w:customStyle="1" w:styleId="Tablaconcuadrcula1200">
    <w:name w:val="Tabla con cuadrícula120"/>
    <w:basedOn w:val="Tablanormal"/>
    <w:next w:val="Tablaconcuadrcula"/>
    <w:rsid w:val="002008A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7">
    <w:name w:val="Sin lista67"/>
    <w:next w:val="Sinlista"/>
    <w:semiHidden/>
    <w:rsid w:val="00353D07"/>
  </w:style>
  <w:style w:type="numbering" w:customStyle="1" w:styleId="Sinlista68">
    <w:name w:val="Sin lista68"/>
    <w:next w:val="Sinlista"/>
    <w:semiHidden/>
    <w:rsid w:val="000A0412"/>
  </w:style>
  <w:style w:type="table" w:customStyle="1" w:styleId="Tablaconcuadrcula121">
    <w:name w:val="Tabla con cuadrícula121"/>
    <w:basedOn w:val="Tablanormal"/>
    <w:next w:val="Tablaconcuadrcula"/>
    <w:rsid w:val="000A04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2">
    <w:name w:val="Tabla con cuadrícula122"/>
    <w:basedOn w:val="Tablanormal"/>
    <w:next w:val="Tablaconcuadrcula"/>
    <w:rsid w:val="008D688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3">
    <w:name w:val="Tabla con cuadrícula123"/>
    <w:basedOn w:val="Tablanormal"/>
    <w:next w:val="Tablaconcuadrcula"/>
    <w:rsid w:val="00CC06C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
    <w:name w:val="Sin lista69"/>
    <w:next w:val="Sinlista"/>
    <w:semiHidden/>
    <w:rsid w:val="009F0276"/>
  </w:style>
  <w:style w:type="table" w:customStyle="1" w:styleId="Tablaconcuadrcula124">
    <w:name w:val="Tabla con cuadrícula124"/>
    <w:basedOn w:val="Tablanormal"/>
    <w:next w:val="Tablaconcuadrcula"/>
    <w:rsid w:val="0021783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5">
    <w:name w:val="Tabla con cuadrícula125"/>
    <w:basedOn w:val="Tablanormal"/>
    <w:next w:val="Tablaconcuadrcula"/>
    <w:rsid w:val="00A9568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6">
    <w:name w:val="Tabla con cuadrícula126"/>
    <w:basedOn w:val="Tablanormal"/>
    <w:next w:val="Tablaconcuadrcula"/>
    <w:rsid w:val="00DA7DB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7">
    <w:name w:val="Tabla con cuadrícula127"/>
    <w:basedOn w:val="Tablanormal"/>
    <w:next w:val="Tablaconcuadrcula"/>
    <w:rsid w:val="002D59F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8">
    <w:name w:val="Tabla con cuadrícula128"/>
    <w:basedOn w:val="Tablanormal"/>
    <w:next w:val="Tablaconcuadrcula"/>
    <w:rsid w:val="00C124B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0">
    <w:name w:val="Sin lista70"/>
    <w:next w:val="Sinlista"/>
    <w:semiHidden/>
    <w:rsid w:val="00C124B0"/>
  </w:style>
  <w:style w:type="numbering" w:customStyle="1" w:styleId="Sinlista71">
    <w:name w:val="Sin lista71"/>
    <w:next w:val="Sinlista"/>
    <w:semiHidden/>
    <w:rsid w:val="002C60C0"/>
  </w:style>
  <w:style w:type="table" w:customStyle="1" w:styleId="Tablaconcuadrcula129">
    <w:name w:val="Tabla con cuadrícula129"/>
    <w:basedOn w:val="Tablanormal"/>
    <w:next w:val="Tablaconcuadrcula"/>
    <w:rsid w:val="002C60C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2">
    <w:name w:val="Sin lista72"/>
    <w:next w:val="Sinlista"/>
    <w:semiHidden/>
    <w:rsid w:val="00CB4B12"/>
  </w:style>
  <w:style w:type="table" w:customStyle="1" w:styleId="Tablaconcuadrcula1300">
    <w:name w:val="Tabla con cuadrícula130"/>
    <w:basedOn w:val="Tablanormal"/>
    <w:next w:val="Tablaconcuadrcula"/>
    <w:rsid w:val="00CB4B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1">
    <w:name w:val="Tabla con cuadrícula131"/>
    <w:basedOn w:val="Tablanormal"/>
    <w:next w:val="Tablaconcuadrcula"/>
    <w:rsid w:val="00A40F7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2">
    <w:name w:val="Tabla con cuadrícula132"/>
    <w:basedOn w:val="Tablanormal"/>
    <w:next w:val="Tablaconcuadrcula"/>
    <w:rsid w:val="00D160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
    <w:name w:val="Sin lista73"/>
    <w:next w:val="Sinlista"/>
    <w:semiHidden/>
    <w:rsid w:val="00D1607E"/>
  </w:style>
  <w:style w:type="table" w:customStyle="1" w:styleId="Tablaconcuadrcula133">
    <w:name w:val="Tabla con cuadrícula133"/>
    <w:basedOn w:val="Tablanormal"/>
    <w:next w:val="Tablaconcuadrcula"/>
    <w:rsid w:val="00D160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4">
    <w:name w:val="Tabla con cuadrícula134"/>
    <w:basedOn w:val="Tablanormal"/>
    <w:next w:val="Tablaconcuadrcula"/>
    <w:rsid w:val="00FA598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5">
    <w:name w:val="Tabla con cuadrícula135"/>
    <w:basedOn w:val="Tablanormal"/>
    <w:next w:val="Tablaconcuadrcula"/>
    <w:rsid w:val="00A25D30"/>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
    <w:name w:val="Sin lista74"/>
    <w:next w:val="Sinlista"/>
    <w:semiHidden/>
    <w:rsid w:val="00D85EC0"/>
  </w:style>
  <w:style w:type="table" w:customStyle="1" w:styleId="Tablaconcuadrcula136">
    <w:name w:val="Tabla con cuadrícula136"/>
    <w:basedOn w:val="Tablanormal"/>
    <w:next w:val="Tablaconcuadrcula"/>
    <w:rsid w:val="00D85EC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7">
    <w:name w:val="Tabla con cuadrícula137"/>
    <w:basedOn w:val="Tablanormal"/>
    <w:next w:val="Tablaconcuadrcula"/>
    <w:rsid w:val="00D85EC0"/>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8">
    <w:name w:val="Tabla con cuadrícula138"/>
    <w:basedOn w:val="Tablanormal"/>
    <w:next w:val="Tablaconcuadrcula"/>
    <w:rsid w:val="00D85EC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9">
    <w:name w:val="Tabla con cuadrícula139"/>
    <w:basedOn w:val="Tablanormal"/>
    <w:next w:val="Tablaconcuadrcula"/>
    <w:rsid w:val="00D85EC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00">
    <w:name w:val="Tabla con cuadrícula140"/>
    <w:basedOn w:val="Tablanormal"/>
    <w:next w:val="Tablaconcuadrcula"/>
    <w:rsid w:val="007D0A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1">
    <w:name w:val="Tabla con cuadrícula141"/>
    <w:basedOn w:val="Tablanormal"/>
    <w:next w:val="Tablaconcuadrcula"/>
    <w:rsid w:val="00FB734B"/>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2">
    <w:name w:val="Tabla con cuadrícula142"/>
    <w:basedOn w:val="Tablanormal"/>
    <w:next w:val="Tablaconcuadrcula"/>
    <w:rsid w:val="002749F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3">
    <w:name w:val="Tabla con cuadrícula143"/>
    <w:basedOn w:val="Tablanormal"/>
    <w:next w:val="Tablaconcuadrcula"/>
    <w:rsid w:val="006A5FE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4">
    <w:name w:val="Tabla con cuadrícula144"/>
    <w:basedOn w:val="Tablanormal"/>
    <w:next w:val="Tablaconcuadrcula"/>
    <w:rsid w:val="006A5FEE"/>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5">
    <w:name w:val="Sin lista75"/>
    <w:next w:val="Sinlista"/>
    <w:semiHidden/>
    <w:rsid w:val="006616BE"/>
  </w:style>
  <w:style w:type="table" w:customStyle="1" w:styleId="Tablaconcuadrcula145">
    <w:name w:val="Tabla con cuadrícula145"/>
    <w:basedOn w:val="Tablanormal"/>
    <w:next w:val="Tablaconcuadrcula"/>
    <w:rsid w:val="006616B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6">
    <w:name w:val="Sin lista76"/>
    <w:next w:val="Sinlista"/>
    <w:semiHidden/>
    <w:rsid w:val="00A16993"/>
  </w:style>
  <w:style w:type="table" w:customStyle="1" w:styleId="Tablaconcuadrcula146">
    <w:name w:val="Tabla con cuadrícula146"/>
    <w:basedOn w:val="Tablanormal"/>
    <w:next w:val="Tablaconcuadrcula"/>
    <w:rsid w:val="00A1699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
    <w:name w:val="Tabla con cuadrícula511"/>
    <w:basedOn w:val="Tablanormal"/>
    <w:next w:val="Tablaconcuadrcula"/>
    <w:rsid w:val="00A1699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40">
    <w:name w:val="Tabla con cuadrícula 114"/>
    <w:basedOn w:val="Tablanormal"/>
    <w:next w:val="Tablaconcuadrcula10"/>
    <w:rsid w:val="006A4381"/>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47">
    <w:name w:val="Tabla con cuadrícula147"/>
    <w:basedOn w:val="Tablanormal"/>
    <w:next w:val="Tablaconcuadrcula"/>
    <w:rsid w:val="002833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50">
    <w:name w:val="Tabla con cuadrícula 115"/>
    <w:basedOn w:val="Tablanormal"/>
    <w:next w:val="Tablaconcuadrcula10"/>
    <w:rsid w:val="007F120C"/>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48">
    <w:name w:val="Tabla con cuadrícula148"/>
    <w:basedOn w:val="Tablanormal"/>
    <w:next w:val="Tablaconcuadrcula"/>
    <w:rsid w:val="000816F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9">
    <w:name w:val="Tabla con cuadrícula149"/>
    <w:basedOn w:val="Tablanormal"/>
    <w:next w:val="Tablaconcuadrcula"/>
    <w:rsid w:val="0068613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00">
    <w:name w:val="Tabla con cuadrícula150"/>
    <w:basedOn w:val="Tablanormal"/>
    <w:next w:val="Tablaconcuadrcula"/>
    <w:rsid w:val="004A325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7">
    <w:name w:val="Sin lista77"/>
    <w:next w:val="Sinlista"/>
    <w:semiHidden/>
    <w:rsid w:val="00AF04A7"/>
  </w:style>
  <w:style w:type="table" w:customStyle="1" w:styleId="Tablaconcuadrcula151">
    <w:name w:val="Tabla con cuadrícula151"/>
    <w:basedOn w:val="Tablanormal"/>
    <w:next w:val="Tablaconcuadrcula"/>
    <w:rsid w:val="00AF04A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2">
    <w:name w:val="Tabla con cuadrícula152"/>
    <w:basedOn w:val="Tablanormal"/>
    <w:next w:val="Tablaconcuadrcula"/>
    <w:rsid w:val="00C52D16"/>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3">
    <w:name w:val="Tabla con cuadrícula153"/>
    <w:basedOn w:val="Tablanormal"/>
    <w:next w:val="Tablaconcuadrcula"/>
    <w:rsid w:val="00DE130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4">
    <w:name w:val="Tabla con cuadrícula154"/>
    <w:basedOn w:val="Tablanormal"/>
    <w:next w:val="Tablaconcuadrcula"/>
    <w:rsid w:val="0037790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tulonoticia">
    <w:name w:val="titulonoticia"/>
    <w:basedOn w:val="Normal"/>
    <w:uiPriority w:val="99"/>
    <w:rsid w:val="000D35D2"/>
    <w:pPr>
      <w:spacing w:before="100" w:beforeAutospacing="1" w:after="100" w:afterAutospacing="1"/>
      <w:jc w:val="both"/>
    </w:pPr>
    <w:rPr>
      <w:rFonts w:ascii="Arial" w:eastAsia="Times New Roman" w:hAnsi="Arial" w:cs="Arial"/>
      <w:b/>
      <w:bCs/>
      <w:color w:val="285480"/>
      <w:sz w:val="27"/>
      <w:szCs w:val="27"/>
      <w:lang w:val="es-ES"/>
    </w:rPr>
  </w:style>
  <w:style w:type="numbering" w:customStyle="1" w:styleId="Sinlista78">
    <w:name w:val="Sin lista78"/>
    <w:next w:val="Sinlista"/>
    <w:semiHidden/>
    <w:rsid w:val="00C02A88"/>
  </w:style>
  <w:style w:type="table" w:customStyle="1" w:styleId="Tablaconcuadrcula1160">
    <w:name w:val="Tabla con cuadrícula 116"/>
    <w:basedOn w:val="Tablanormal"/>
    <w:next w:val="Tablaconcuadrcula10"/>
    <w:rsid w:val="004A1FA2"/>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170">
    <w:name w:val="Tabla con cuadrícula 117"/>
    <w:basedOn w:val="Tablanormal"/>
    <w:next w:val="Tablaconcuadrcula10"/>
    <w:rsid w:val="00E74115"/>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180">
    <w:name w:val="Tabla con cuadrícula 118"/>
    <w:basedOn w:val="Tablanormal"/>
    <w:next w:val="Tablaconcuadrcula10"/>
    <w:rsid w:val="00376C5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79">
    <w:name w:val="Sin lista79"/>
    <w:next w:val="Sinlista"/>
    <w:semiHidden/>
    <w:rsid w:val="005D5F76"/>
  </w:style>
  <w:style w:type="table" w:customStyle="1" w:styleId="Tablaconcuadrcula155">
    <w:name w:val="Tabla con cuadrícula155"/>
    <w:basedOn w:val="Tablanormal"/>
    <w:next w:val="Tablaconcuadrcula"/>
    <w:rsid w:val="005D5F7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0">
    <w:name w:val="Sin lista80"/>
    <w:next w:val="Sinlista"/>
    <w:semiHidden/>
    <w:rsid w:val="001F1386"/>
  </w:style>
  <w:style w:type="table" w:customStyle="1" w:styleId="Tablaconcuadrcula156">
    <w:name w:val="Tabla con cuadrícula156"/>
    <w:basedOn w:val="Tablanormal"/>
    <w:next w:val="Tablaconcuadrcula"/>
    <w:rsid w:val="001F138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7">
    <w:name w:val="Tabla con cuadrícula157"/>
    <w:basedOn w:val="Tablanormal"/>
    <w:next w:val="Tablaconcuadrcula"/>
    <w:rsid w:val="00E7701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
    <w:name w:val="Sin lista81"/>
    <w:next w:val="Sinlista"/>
    <w:semiHidden/>
    <w:rsid w:val="006427BF"/>
  </w:style>
  <w:style w:type="table" w:customStyle="1" w:styleId="Tablaconcuadrcula158">
    <w:name w:val="Tabla con cuadrícula158"/>
    <w:basedOn w:val="Tablanormal"/>
    <w:next w:val="Tablaconcuadrcula"/>
    <w:rsid w:val="006427B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2">
    <w:name w:val="Sin lista82"/>
    <w:next w:val="Sinlista"/>
    <w:semiHidden/>
    <w:rsid w:val="00510851"/>
  </w:style>
  <w:style w:type="table" w:customStyle="1" w:styleId="Tablaconcuadrcula159">
    <w:name w:val="Tabla con cuadrícula159"/>
    <w:basedOn w:val="Tablanormal"/>
    <w:next w:val="Tablaconcuadrcula"/>
    <w:rsid w:val="0051085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3">
    <w:name w:val="Sin lista83"/>
    <w:next w:val="Sinlista"/>
    <w:semiHidden/>
    <w:rsid w:val="00267A81"/>
  </w:style>
  <w:style w:type="table" w:customStyle="1" w:styleId="Tablaconcuadrcula1610">
    <w:name w:val="Tabla con cuadrícula161"/>
    <w:basedOn w:val="Tablanormal"/>
    <w:next w:val="Tablaconcuadrcula"/>
    <w:rsid w:val="00267A8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2">
    <w:name w:val="Tabla con cuadrícula162"/>
    <w:basedOn w:val="Tablanormal"/>
    <w:next w:val="Tablaconcuadrcula"/>
    <w:rsid w:val="00652C0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3">
    <w:name w:val="Tabla con cuadrícula163"/>
    <w:basedOn w:val="Tablanormal"/>
    <w:next w:val="Tablaconcuadrcula"/>
    <w:rsid w:val="00A7082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4">
    <w:name w:val="Tabla con cuadrícula164"/>
    <w:basedOn w:val="Tablanormal"/>
    <w:next w:val="Tablaconcuadrcula"/>
    <w:rsid w:val="004466A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a4">
    <w:name w:val="List 4"/>
    <w:basedOn w:val="Normal"/>
    <w:uiPriority w:val="99"/>
    <w:rsid w:val="00F92304"/>
    <w:pPr>
      <w:ind w:left="1132" w:hanging="283"/>
    </w:pPr>
  </w:style>
  <w:style w:type="paragraph" w:styleId="Lista5">
    <w:name w:val="List 5"/>
    <w:basedOn w:val="Normal"/>
    <w:uiPriority w:val="99"/>
    <w:rsid w:val="00F92304"/>
    <w:pPr>
      <w:ind w:left="1415" w:hanging="283"/>
    </w:pPr>
  </w:style>
  <w:style w:type="paragraph" w:styleId="Listaconvietas4">
    <w:name w:val="List Bullet 4"/>
    <w:basedOn w:val="Normal"/>
    <w:uiPriority w:val="99"/>
    <w:rsid w:val="00F92304"/>
    <w:pPr>
      <w:numPr>
        <w:numId w:val="8"/>
      </w:numPr>
    </w:pPr>
  </w:style>
  <w:style w:type="paragraph" w:styleId="Continuarlista3">
    <w:name w:val="List Continue 3"/>
    <w:basedOn w:val="Normal"/>
    <w:uiPriority w:val="99"/>
    <w:rsid w:val="00F92304"/>
    <w:pPr>
      <w:spacing w:after="120"/>
      <w:ind w:left="849"/>
    </w:pPr>
  </w:style>
  <w:style w:type="paragraph" w:styleId="Continuarlista4">
    <w:name w:val="List Continue 4"/>
    <w:basedOn w:val="Normal"/>
    <w:uiPriority w:val="99"/>
    <w:rsid w:val="00F92304"/>
    <w:pPr>
      <w:spacing w:after="120"/>
      <w:ind w:left="1132"/>
    </w:pPr>
  </w:style>
  <w:style w:type="paragraph" w:styleId="Textoindependienteprimerasangra">
    <w:name w:val="Body Text First Indent"/>
    <w:basedOn w:val="Textoindependiente"/>
    <w:link w:val="TextoindependienteprimerasangraCar"/>
    <w:uiPriority w:val="99"/>
    <w:rsid w:val="00F92304"/>
    <w:pPr>
      <w:spacing w:after="120"/>
      <w:ind w:firstLine="210"/>
      <w:jc w:val="left"/>
    </w:pPr>
    <w:rPr>
      <w:sz w:val="24"/>
    </w:rPr>
  </w:style>
  <w:style w:type="numbering" w:customStyle="1" w:styleId="Sinlista84">
    <w:name w:val="Sin lista84"/>
    <w:next w:val="Sinlista"/>
    <w:semiHidden/>
    <w:rsid w:val="00F92304"/>
  </w:style>
  <w:style w:type="table" w:customStyle="1" w:styleId="Tablaconcuadrcula165">
    <w:name w:val="Tabla con cuadrícula165"/>
    <w:basedOn w:val="Tablanormal"/>
    <w:next w:val="Tablaconcuadrcula"/>
    <w:rsid w:val="00F9230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6">
    <w:name w:val="Tabla con cuadrícula166"/>
    <w:basedOn w:val="Tablanormal"/>
    <w:next w:val="Tablaconcuadrcula"/>
    <w:rsid w:val="00F9230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5">
    <w:name w:val="Sin lista85"/>
    <w:next w:val="Sinlista"/>
    <w:semiHidden/>
    <w:rsid w:val="003133EA"/>
  </w:style>
  <w:style w:type="table" w:customStyle="1" w:styleId="Tablaconcuadrcula167">
    <w:name w:val="Tabla con cuadrícula167"/>
    <w:basedOn w:val="Tablanormal"/>
    <w:next w:val="Tablaconcuadrcula"/>
    <w:rsid w:val="007978DB"/>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6">
    <w:name w:val="Sin lista86"/>
    <w:next w:val="Sinlista"/>
    <w:semiHidden/>
    <w:rsid w:val="00F03DE9"/>
  </w:style>
  <w:style w:type="table" w:customStyle="1" w:styleId="Tablaconcuadrcula168">
    <w:name w:val="Tabla con cuadrícula168"/>
    <w:basedOn w:val="Tablanormal"/>
    <w:next w:val="Tablaconcuadrcula"/>
    <w:rsid w:val="00F03DE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9">
    <w:name w:val="Tabla con cuadrícula169"/>
    <w:basedOn w:val="Tablanormal"/>
    <w:next w:val="Tablaconcuadrcula"/>
    <w:rsid w:val="00A539F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00">
    <w:name w:val="Tabla con cuadrícula170"/>
    <w:basedOn w:val="Tablanormal"/>
    <w:next w:val="Tablaconcuadrcula"/>
    <w:rsid w:val="002D66E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1">
    <w:name w:val="Tabla con cuadrícula171"/>
    <w:basedOn w:val="Tablanormal"/>
    <w:next w:val="Tablaconcuadrcula"/>
    <w:rsid w:val="00B10B6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7">
    <w:name w:val="Sin lista87"/>
    <w:next w:val="Sinlista"/>
    <w:semiHidden/>
    <w:rsid w:val="00CF6179"/>
  </w:style>
  <w:style w:type="table" w:customStyle="1" w:styleId="Tablaconcuadrcula172">
    <w:name w:val="Tabla con cuadrícula172"/>
    <w:basedOn w:val="Tablanormal"/>
    <w:next w:val="Tablaconcuadrcula"/>
    <w:rsid w:val="00CF6179"/>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8">
    <w:name w:val="Sin lista88"/>
    <w:next w:val="Sinlista"/>
    <w:semiHidden/>
    <w:rsid w:val="00D17197"/>
  </w:style>
  <w:style w:type="table" w:customStyle="1" w:styleId="Tablaconcuadrcula173">
    <w:name w:val="Tabla con cuadrícula173"/>
    <w:basedOn w:val="Tablanormal"/>
    <w:next w:val="Tablaconcuadrcula"/>
    <w:rsid w:val="00D1719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4">
    <w:name w:val="Tabla con cuadrícula174"/>
    <w:basedOn w:val="Tablanormal"/>
    <w:next w:val="Tablaconcuadrcula"/>
    <w:rsid w:val="009607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9">
    <w:name w:val="Sin lista89"/>
    <w:next w:val="Sinlista"/>
    <w:semiHidden/>
    <w:rsid w:val="00337B64"/>
  </w:style>
  <w:style w:type="table" w:customStyle="1" w:styleId="Tablaconcuadrcula175">
    <w:name w:val="Tabla con cuadrícula175"/>
    <w:basedOn w:val="Tablanormal"/>
    <w:next w:val="Tablaconcuadrcula"/>
    <w:rsid w:val="000D218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6">
    <w:name w:val="Tabla con cuadrícula176"/>
    <w:basedOn w:val="Tablanormal"/>
    <w:next w:val="Tablaconcuadrcula"/>
    <w:rsid w:val="00DC337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0">
    <w:name w:val="Sin lista90"/>
    <w:next w:val="Sinlista"/>
    <w:semiHidden/>
    <w:rsid w:val="00B17245"/>
  </w:style>
  <w:style w:type="character" w:customStyle="1" w:styleId="publicationtitle1">
    <w:name w:val="publication_title1"/>
    <w:basedOn w:val="Fuentedeprrafopredeter"/>
    <w:rsid w:val="00B17245"/>
    <w:rPr>
      <w:b/>
      <w:bCs/>
      <w:i w:val="0"/>
      <w:iCs w:val="0"/>
      <w:color w:val="990000"/>
      <w:sz w:val="21"/>
      <w:szCs w:val="21"/>
    </w:rPr>
  </w:style>
  <w:style w:type="table" w:customStyle="1" w:styleId="Tablaconcuadrcula177">
    <w:name w:val="Tabla con cuadrícula177"/>
    <w:basedOn w:val="Tablanormal"/>
    <w:next w:val="Tablaconcuadrcula"/>
    <w:rsid w:val="00EB561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8">
    <w:name w:val="Tabla con cuadrícula178"/>
    <w:basedOn w:val="Tablanormal"/>
    <w:next w:val="Tablaconcuadrcula"/>
    <w:rsid w:val="00D16A7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9">
    <w:name w:val="Tabla con cuadrícula179"/>
    <w:basedOn w:val="Tablanormal"/>
    <w:next w:val="Tablaconcuadrcula"/>
    <w:rsid w:val="00D16A7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800">
    <w:name w:val="Tabla con cuadrícula180"/>
    <w:basedOn w:val="Tablanormal"/>
    <w:next w:val="Tablaconcuadrcula"/>
    <w:rsid w:val="000326B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1">
    <w:name w:val="Sin lista91"/>
    <w:next w:val="Sinlista"/>
    <w:semiHidden/>
    <w:rsid w:val="00771FED"/>
  </w:style>
  <w:style w:type="table" w:customStyle="1" w:styleId="Tablaconcuadrcula181">
    <w:name w:val="Tabla con cuadrícula181"/>
    <w:basedOn w:val="Tablanormal"/>
    <w:next w:val="Tablaconcuadrcula"/>
    <w:rsid w:val="00771FE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2">
    <w:name w:val="Sin lista92"/>
    <w:next w:val="Sinlista"/>
    <w:semiHidden/>
    <w:rsid w:val="00DE41E9"/>
  </w:style>
  <w:style w:type="numbering" w:customStyle="1" w:styleId="Sinlista93">
    <w:name w:val="Sin lista93"/>
    <w:next w:val="Sinlista"/>
    <w:semiHidden/>
    <w:rsid w:val="00620CD5"/>
  </w:style>
  <w:style w:type="table" w:customStyle="1" w:styleId="Tablaconcuadrcula183">
    <w:name w:val="Tabla con cuadrícula183"/>
    <w:basedOn w:val="Tablanormal"/>
    <w:next w:val="Tablaconcuadrcula"/>
    <w:rsid w:val="00F07A5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4">
    <w:name w:val="Sin lista94"/>
    <w:next w:val="Sinlista"/>
    <w:semiHidden/>
    <w:rsid w:val="009F4003"/>
  </w:style>
  <w:style w:type="numbering" w:customStyle="1" w:styleId="Sinlista95">
    <w:name w:val="Sin lista95"/>
    <w:next w:val="Sinlista"/>
    <w:semiHidden/>
    <w:rsid w:val="008B40C0"/>
  </w:style>
  <w:style w:type="table" w:customStyle="1" w:styleId="Tablaconcuadrcula184">
    <w:name w:val="Tabla con cuadrícula184"/>
    <w:basedOn w:val="Tablanormal"/>
    <w:next w:val="Tablaconcuadrcula"/>
    <w:rsid w:val="008B40C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90">
    <w:name w:val="Tabla con cuadrícula 119"/>
    <w:basedOn w:val="Tablanormal"/>
    <w:next w:val="Tablaconcuadrcula10"/>
    <w:rsid w:val="008B40C0"/>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85">
    <w:name w:val="Tabla con cuadrícula185"/>
    <w:basedOn w:val="Tablanormal"/>
    <w:next w:val="Tablaconcuadrcula"/>
    <w:rsid w:val="00C805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6">
    <w:name w:val="Sin lista96"/>
    <w:next w:val="Sinlista"/>
    <w:semiHidden/>
    <w:rsid w:val="00F140FF"/>
  </w:style>
  <w:style w:type="table" w:customStyle="1" w:styleId="Tablaconcuadrcula186">
    <w:name w:val="Tabla con cuadrícula186"/>
    <w:basedOn w:val="Tablanormal"/>
    <w:next w:val="Tablaconcuadrcula"/>
    <w:rsid w:val="00F140F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01">
    <w:name w:val="Tabla con cuadrícula 120"/>
    <w:basedOn w:val="Tablanormal"/>
    <w:next w:val="Tablaconcuadrcula10"/>
    <w:rsid w:val="00ED2662"/>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210">
    <w:name w:val="Tabla con cuadrícula 121"/>
    <w:basedOn w:val="Tablanormal"/>
    <w:next w:val="Tablaconcuadrcula10"/>
    <w:rsid w:val="00DE0D3E"/>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97">
    <w:name w:val="Sin lista97"/>
    <w:next w:val="Sinlista"/>
    <w:semiHidden/>
    <w:rsid w:val="00B10C66"/>
  </w:style>
  <w:style w:type="table" w:customStyle="1" w:styleId="Tablaconcuadrcula187">
    <w:name w:val="Tabla con cuadrícula187"/>
    <w:basedOn w:val="Tablanormal"/>
    <w:next w:val="Tablaconcuadrcula"/>
    <w:rsid w:val="00B10C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8">
    <w:name w:val="Sin lista98"/>
    <w:next w:val="Sinlista"/>
    <w:semiHidden/>
    <w:rsid w:val="004E177E"/>
  </w:style>
  <w:style w:type="table" w:customStyle="1" w:styleId="Tablaconcuadrcula188">
    <w:name w:val="Tabla con cuadrícula188"/>
    <w:basedOn w:val="Tablanormal"/>
    <w:next w:val="Tablaconcuadrcula"/>
    <w:rsid w:val="004E17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9">
    <w:name w:val="Sin lista99"/>
    <w:next w:val="Sinlista"/>
    <w:semiHidden/>
    <w:rsid w:val="00750BCC"/>
  </w:style>
  <w:style w:type="table" w:customStyle="1" w:styleId="Tablaconcuadrcula189">
    <w:name w:val="Tabla con cuadrícula189"/>
    <w:basedOn w:val="Tablanormal"/>
    <w:next w:val="Tablaconcuadrcula"/>
    <w:rsid w:val="00750BC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0">
    <w:name w:val="Sin lista100"/>
    <w:next w:val="Sinlista"/>
    <w:semiHidden/>
    <w:rsid w:val="00C15F87"/>
  </w:style>
  <w:style w:type="numbering" w:customStyle="1" w:styleId="Sinlista101">
    <w:name w:val="Sin lista101"/>
    <w:next w:val="Sinlista"/>
    <w:semiHidden/>
    <w:rsid w:val="00AF002F"/>
  </w:style>
  <w:style w:type="table" w:customStyle="1" w:styleId="Tablaconcuadrcula1910">
    <w:name w:val="Tabla con cuadrícula191"/>
    <w:basedOn w:val="Tablanormal"/>
    <w:next w:val="Tablaconcuadrcula"/>
    <w:rsid w:val="00AF002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2">
    <w:name w:val="Sin lista102"/>
    <w:next w:val="Sinlista"/>
    <w:semiHidden/>
    <w:rsid w:val="00B145F3"/>
  </w:style>
  <w:style w:type="table" w:customStyle="1" w:styleId="Tablaconcuadrcula192">
    <w:name w:val="Tabla con cuadrícula192"/>
    <w:basedOn w:val="Tablanormal"/>
    <w:next w:val="Tablaconcuadrcula"/>
    <w:rsid w:val="00B145F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3">
    <w:name w:val="Sin lista103"/>
    <w:next w:val="Sinlista"/>
    <w:semiHidden/>
    <w:rsid w:val="00E8734B"/>
  </w:style>
  <w:style w:type="table" w:customStyle="1" w:styleId="Tablaconcuadrcula193">
    <w:name w:val="Tabla con cuadrícula193"/>
    <w:basedOn w:val="Tablanormal"/>
    <w:next w:val="Tablaconcuadrcula"/>
    <w:rsid w:val="00E8734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4">
    <w:name w:val="Tabla con cuadrícula194"/>
    <w:basedOn w:val="Tablanormal"/>
    <w:next w:val="Tablaconcuadrcula"/>
    <w:rsid w:val="00EE213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5">
    <w:name w:val="Tabla con cuadrícula195"/>
    <w:basedOn w:val="Tablanormal"/>
    <w:next w:val="Tablaconcuadrcula"/>
    <w:rsid w:val="00D7272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4">
    <w:name w:val="Sin lista104"/>
    <w:next w:val="Sinlista"/>
    <w:semiHidden/>
    <w:rsid w:val="00B8310B"/>
  </w:style>
  <w:style w:type="table" w:customStyle="1" w:styleId="Tablaconcuadrcula196">
    <w:name w:val="Tabla con cuadrícula196"/>
    <w:basedOn w:val="Tablanormal"/>
    <w:next w:val="Tablaconcuadrcula"/>
    <w:rsid w:val="00B8310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7">
    <w:name w:val="Tabla con cuadrícula197"/>
    <w:basedOn w:val="Tablanormal"/>
    <w:next w:val="Tablaconcuadrcula"/>
    <w:rsid w:val="00F4733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5">
    <w:name w:val="Sin lista105"/>
    <w:next w:val="Sinlista"/>
    <w:semiHidden/>
    <w:rsid w:val="00C54DB9"/>
  </w:style>
  <w:style w:type="table" w:customStyle="1" w:styleId="Tablaconcuadrcula198">
    <w:name w:val="Tabla con cuadrícula198"/>
    <w:basedOn w:val="Tablanormal"/>
    <w:next w:val="Tablaconcuadrcula"/>
    <w:rsid w:val="00C54DB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6">
    <w:name w:val="Sin lista106"/>
    <w:next w:val="Sinlista"/>
    <w:semiHidden/>
    <w:rsid w:val="00362B64"/>
  </w:style>
  <w:style w:type="table" w:customStyle="1" w:styleId="Tablaconcuadrcula199">
    <w:name w:val="Tabla con cuadrícula199"/>
    <w:basedOn w:val="Tablanormal"/>
    <w:next w:val="Tablaconcuadrcula"/>
    <w:rsid w:val="00362B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7">
    <w:name w:val="Sin lista107"/>
    <w:next w:val="Sinlista"/>
    <w:semiHidden/>
    <w:rsid w:val="0082460B"/>
  </w:style>
  <w:style w:type="paragraph" w:styleId="Encabezadodemensaje">
    <w:name w:val="Message Header"/>
    <w:basedOn w:val="Normal"/>
    <w:link w:val="EncabezadodemensajeCar"/>
    <w:uiPriority w:val="99"/>
    <w:rsid w:val="00987C69"/>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rPr>
  </w:style>
  <w:style w:type="table" w:customStyle="1" w:styleId="Tablaconcuadrcula200">
    <w:name w:val="Tabla con cuadrícula200"/>
    <w:basedOn w:val="Tablanormal"/>
    <w:next w:val="Tablaconcuadrcula"/>
    <w:rsid w:val="006B658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1">
    <w:name w:val="Tabla con cuadrícula201"/>
    <w:basedOn w:val="Tablanormal"/>
    <w:next w:val="Tablaconcuadrcula"/>
    <w:rsid w:val="00DA602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2">
    <w:name w:val="Tabla con cuadrícula202"/>
    <w:basedOn w:val="Tablanormal"/>
    <w:next w:val="Tablaconcuadrcula"/>
    <w:rsid w:val="00BA6DD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3">
    <w:name w:val="Tabla con cuadrícula203"/>
    <w:basedOn w:val="Tablanormal"/>
    <w:next w:val="Tablaconcuadrcula"/>
    <w:rsid w:val="00AC1B5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8">
    <w:name w:val="Sin lista108"/>
    <w:next w:val="Sinlista"/>
    <w:semiHidden/>
    <w:rsid w:val="00324F0F"/>
  </w:style>
  <w:style w:type="table" w:customStyle="1" w:styleId="Tablaconcuadrcula204">
    <w:name w:val="Tabla con cuadrícula204"/>
    <w:basedOn w:val="Tablanormal"/>
    <w:next w:val="Tablaconcuadrcula"/>
    <w:rsid w:val="00324F0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9">
    <w:name w:val="Sin lista109"/>
    <w:next w:val="Sinlista"/>
    <w:semiHidden/>
    <w:rsid w:val="00B02B63"/>
  </w:style>
  <w:style w:type="table" w:customStyle="1" w:styleId="Tablaconcuadrcula205">
    <w:name w:val="Tabla con cuadrícula205"/>
    <w:basedOn w:val="Tablanormal"/>
    <w:next w:val="Tablaconcuadrcula"/>
    <w:rsid w:val="00B02B6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
    <w:name w:val="Sin lista110"/>
    <w:next w:val="Sinlista"/>
    <w:semiHidden/>
    <w:rsid w:val="00370036"/>
  </w:style>
  <w:style w:type="table" w:customStyle="1" w:styleId="Tablaconcuadrcula206">
    <w:name w:val="Tabla con cuadrícula206"/>
    <w:basedOn w:val="Tablanormal"/>
    <w:next w:val="Tablaconcuadrcula"/>
    <w:rsid w:val="0037003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8">
    <w:name w:val="Tabla con cuadrícula208"/>
    <w:basedOn w:val="Tablanormal"/>
    <w:next w:val="Tablaconcuadrcula"/>
    <w:rsid w:val="00555B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9">
    <w:name w:val="Tabla con cuadrícula209"/>
    <w:basedOn w:val="Tablanormal"/>
    <w:next w:val="Tablaconcuadrcula"/>
    <w:rsid w:val="00555B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20">
    <w:name w:val="Tabla con cuadrícula 122"/>
    <w:basedOn w:val="Tablanormal"/>
    <w:next w:val="Tablaconcuadrcula10"/>
    <w:rsid w:val="00317915"/>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11">
    <w:name w:val="Sin lista111"/>
    <w:next w:val="Sinlista"/>
    <w:semiHidden/>
    <w:rsid w:val="00F7217E"/>
  </w:style>
  <w:style w:type="table" w:customStyle="1" w:styleId="Tablaconcuadrcula210">
    <w:name w:val="Tabla con cuadrícula210"/>
    <w:basedOn w:val="Tablanormal"/>
    <w:next w:val="Tablaconcuadrcula"/>
    <w:rsid w:val="00F721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2">
    <w:name w:val="Sin lista112"/>
    <w:next w:val="Sinlista"/>
    <w:semiHidden/>
    <w:rsid w:val="00F85738"/>
  </w:style>
  <w:style w:type="table" w:customStyle="1" w:styleId="Tablaconcuadrcula211">
    <w:name w:val="Tabla con cuadrícula211"/>
    <w:basedOn w:val="Tablanormal"/>
    <w:next w:val="Tablaconcuadrcula"/>
    <w:rsid w:val="00F8573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2">
    <w:name w:val="Tabla con cuadrícula212"/>
    <w:basedOn w:val="Tablanormal"/>
    <w:next w:val="Tablaconcuadrcula"/>
    <w:rsid w:val="00486B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3">
    <w:name w:val="Tabla con cuadrícula213"/>
    <w:basedOn w:val="Tablanormal"/>
    <w:next w:val="Tablaconcuadrcula"/>
    <w:rsid w:val="003C508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3">
    <w:name w:val="Sin lista113"/>
    <w:next w:val="Sinlista"/>
    <w:semiHidden/>
    <w:rsid w:val="00164211"/>
  </w:style>
  <w:style w:type="table" w:customStyle="1" w:styleId="Tablaconcuadrcula214">
    <w:name w:val="Tabla con cuadrícula214"/>
    <w:basedOn w:val="Tablanormal"/>
    <w:next w:val="Tablaconcuadrcula"/>
    <w:rsid w:val="0016421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5">
    <w:name w:val="Style 15"/>
    <w:basedOn w:val="Normal"/>
    <w:uiPriority w:val="99"/>
    <w:rsid w:val="00164211"/>
    <w:pPr>
      <w:widowControl w:val="0"/>
      <w:autoSpaceDE w:val="0"/>
      <w:autoSpaceDN w:val="0"/>
      <w:spacing w:before="72"/>
    </w:pPr>
    <w:rPr>
      <w:rFonts w:eastAsia="Times New Roman"/>
      <w:lang w:val="en-US"/>
    </w:rPr>
  </w:style>
  <w:style w:type="table" w:customStyle="1" w:styleId="Tablaconcuadrcula1230">
    <w:name w:val="Tabla con cuadrícula 123"/>
    <w:basedOn w:val="Tablanormal"/>
    <w:next w:val="Tablaconcuadrcula10"/>
    <w:rsid w:val="00164211"/>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Style20">
    <w:name w:val="Style 20"/>
    <w:basedOn w:val="Normal"/>
    <w:uiPriority w:val="99"/>
    <w:rsid w:val="00164211"/>
    <w:pPr>
      <w:widowControl w:val="0"/>
      <w:autoSpaceDE w:val="0"/>
      <w:autoSpaceDN w:val="0"/>
      <w:spacing w:before="72"/>
      <w:ind w:right="792"/>
      <w:jc w:val="right"/>
    </w:pPr>
    <w:rPr>
      <w:rFonts w:eastAsia="Times New Roman"/>
      <w:lang w:val="en-US"/>
    </w:rPr>
  </w:style>
  <w:style w:type="paragraph" w:customStyle="1" w:styleId="Style39">
    <w:name w:val="Style 39"/>
    <w:basedOn w:val="Normal"/>
    <w:uiPriority w:val="99"/>
    <w:rsid w:val="00164211"/>
    <w:pPr>
      <w:widowControl w:val="0"/>
      <w:autoSpaceDE w:val="0"/>
      <w:autoSpaceDN w:val="0"/>
      <w:spacing w:before="252"/>
      <w:ind w:left="1512" w:hanging="432"/>
      <w:jc w:val="both"/>
    </w:pPr>
    <w:rPr>
      <w:rFonts w:eastAsia="Times New Roman"/>
      <w:lang w:val="en-US"/>
    </w:rPr>
  </w:style>
  <w:style w:type="paragraph" w:customStyle="1" w:styleId="Style48">
    <w:name w:val="Style 48"/>
    <w:basedOn w:val="Normal"/>
    <w:uiPriority w:val="99"/>
    <w:rsid w:val="00164211"/>
    <w:pPr>
      <w:widowControl w:val="0"/>
      <w:autoSpaceDE w:val="0"/>
      <w:autoSpaceDN w:val="0"/>
      <w:spacing w:before="108"/>
      <w:ind w:left="1584" w:hanging="504"/>
      <w:jc w:val="both"/>
    </w:pPr>
    <w:rPr>
      <w:rFonts w:eastAsia="Times New Roman"/>
      <w:lang w:val="en-US"/>
    </w:rPr>
  </w:style>
  <w:style w:type="paragraph" w:customStyle="1" w:styleId="Style26">
    <w:name w:val="Style 26"/>
    <w:basedOn w:val="Normal"/>
    <w:uiPriority w:val="99"/>
    <w:rsid w:val="00164211"/>
    <w:pPr>
      <w:widowControl w:val="0"/>
      <w:tabs>
        <w:tab w:val="decimal" w:pos="792"/>
      </w:tabs>
      <w:autoSpaceDE w:val="0"/>
      <w:autoSpaceDN w:val="0"/>
      <w:spacing w:before="72"/>
    </w:pPr>
    <w:rPr>
      <w:rFonts w:eastAsia="Times New Roman"/>
      <w:lang w:val="en-US"/>
    </w:rPr>
  </w:style>
  <w:style w:type="paragraph" w:customStyle="1" w:styleId="Style27">
    <w:name w:val="Style 27"/>
    <w:basedOn w:val="Normal"/>
    <w:uiPriority w:val="99"/>
    <w:rsid w:val="00164211"/>
    <w:pPr>
      <w:widowControl w:val="0"/>
      <w:tabs>
        <w:tab w:val="decimal" w:pos="684"/>
      </w:tabs>
      <w:autoSpaceDE w:val="0"/>
      <w:autoSpaceDN w:val="0"/>
      <w:spacing w:before="108" w:after="72"/>
    </w:pPr>
    <w:rPr>
      <w:rFonts w:eastAsia="Times New Roman"/>
      <w:lang w:val="en-US"/>
    </w:rPr>
  </w:style>
  <w:style w:type="paragraph" w:customStyle="1" w:styleId="Style28">
    <w:name w:val="Style 28"/>
    <w:basedOn w:val="Normal"/>
    <w:uiPriority w:val="99"/>
    <w:rsid w:val="00164211"/>
    <w:pPr>
      <w:widowControl w:val="0"/>
      <w:tabs>
        <w:tab w:val="decimal" w:pos="684"/>
      </w:tabs>
      <w:autoSpaceDE w:val="0"/>
      <w:autoSpaceDN w:val="0"/>
      <w:spacing w:before="72" w:after="72"/>
    </w:pPr>
    <w:rPr>
      <w:rFonts w:eastAsia="Times New Roman"/>
      <w:lang w:val="en-US"/>
    </w:rPr>
  </w:style>
  <w:style w:type="paragraph" w:customStyle="1" w:styleId="Style30">
    <w:name w:val="Style 30"/>
    <w:basedOn w:val="Normal"/>
    <w:uiPriority w:val="99"/>
    <w:rsid w:val="00164211"/>
    <w:pPr>
      <w:widowControl w:val="0"/>
      <w:tabs>
        <w:tab w:val="decimal" w:pos="252"/>
      </w:tabs>
      <w:autoSpaceDE w:val="0"/>
      <w:autoSpaceDN w:val="0"/>
      <w:spacing w:before="72" w:after="72"/>
    </w:pPr>
    <w:rPr>
      <w:rFonts w:eastAsia="Times New Roman"/>
      <w:lang w:val="en-US"/>
    </w:rPr>
  </w:style>
  <w:style w:type="paragraph" w:customStyle="1" w:styleId="Style29">
    <w:name w:val="Style 29"/>
    <w:basedOn w:val="Normal"/>
    <w:uiPriority w:val="99"/>
    <w:rsid w:val="00164211"/>
    <w:pPr>
      <w:widowControl w:val="0"/>
      <w:autoSpaceDE w:val="0"/>
      <w:autoSpaceDN w:val="0"/>
      <w:spacing w:before="72" w:after="72"/>
      <w:ind w:right="216"/>
      <w:jc w:val="right"/>
    </w:pPr>
    <w:rPr>
      <w:rFonts w:eastAsia="Times New Roman"/>
      <w:lang w:val="en-US"/>
    </w:rPr>
  </w:style>
  <w:style w:type="paragraph" w:customStyle="1" w:styleId="Style32">
    <w:name w:val="Style 32"/>
    <w:basedOn w:val="Normal"/>
    <w:uiPriority w:val="99"/>
    <w:rsid w:val="00164211"/>
    <w:pPr>
      <w:widowControl w:val="0"/>
      <w:autoSpaceDE w:val="0"/>
      <w:autoSpaceDN w:val="0"/>
      <w:adjustRightInd w:val="0"/>
    </w:pPr>
    <w:rPr>
      <w:rFonts w:eastAsia="Times New Roman"/>
      <w:lang w:val="en-US"/>
    </w:rPr>
  </w:style>
  <w:style w:type="paragraph" w:customStyle="1" w:styleId="Style33">
    <w:name w:val="Style 33"/>
    <w:basedOn w:val="Normal"/>
    <w:uiPriority w:val="99"/>
    <w:rsid w:val="00164211"/>
    <w:pPr>
      <w:widowControl w:val="0"/>
      <w:tabs>
        <w:tab w:val="left" w:pos="720"/>
      </w:tabs>
      <w:autoSpaceDE w:val="0"/>
      <w:autoSpaceDN w:val="0"/>
      <w:spacing w:line="360" w:lineRule="auto"/>
    </w:pPr>
    <w:rPr>
      <w:rFonts w:eastAsia="Times New Roman"/>
      <w:lang w:val="en-US"/>
    </w:rPr>
  </w:style>
  <w:style w:type="character" w:customStyle="1" w:styleId="titularesestilo5">
    <w:name w:val="titulares estilo5"/>
    <w:basedOn w:val="Fuentedeprrafopredeter"/>
    <w:rsid w:val="0070456B"/>
  </w:style>
  <w:style w:type="numbering" w:customStyle="1" w:styleId="Sinlista114">
    <w:name w:val="Sin lista114"/>
    <w:next w:val="Sinlista"/>
    <w:semiHidden/>
    <w:rsid w:val="0070752D"/>
  </w:style>
  <w:style w:type="paragraph" w:customStyle="1" w:styleId="Estilo1">
    <w:name w:val="Estilo1"/>
    <w:basedOn w:val="Textonotapie"/>
    <w:uiPriority w:val="99"/>
    <w:rsid w:val="0070752D"/>
    <w:pPr>
      <w:autoSpaceDE w:val="0"/>
      <w:autoSpaceDN w:val="0"/>
      <w:adjustRightInd w:val="0"/>
      <w:jc w:val="both"/>
    </w:pPr>
    <w:rPr>
      <w:rFonts w:eastAsia="Times New Roman"/>
    </w:rPr>
  </w:style>
  <w:style w:type="table" w:customStyle="1" w:styleId="Tablaconcuadrcula215">
    <w:name w:val="Tabla con cuadrícula215"/>
    <w:basedOn w:val="Tablanormal"/>
    <w:next w:val="Tablaconcuadrcula"/>
    <w:rsid w:val="007075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5">
    <w:name w:val="Sin lista115"/>
    <w:next w:val="Sinlista"/>
    <w:semiHidden/>
    <w:rsid w:val="00AD142F"/>
  </w:style>
  <w:style w:type="numbering" w:customStyle="1" w:styleId="Sinlista116">
    <w:name w:val="Sin lista116"/>
    <w:next w:val="Sinlista"/>
    <w:semiHidden/>
    <w:rsid w:val="00E23BB8"/>
  </w:style>
  <w:style w:type="table" w:customStyle="1" w:styleId="Tablaconcuadrcula216">
    <w:name w:val="Tabla con cuadrícula216"/>
    <w:basedOn w:val="Tablanormal"/>
    <w:next w:val="Tablaconcuadrcula"/>
    <w:rsid w:val="00E23BB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7">
    <w:name w:val="Tabla con cuadrícula217"/>
    <w:basedOn w:val="Tablanormal"/>
    <w:next w:val="Tablaconcuadrcula"/>
    <w:rsid w:val="003A135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7">
    <w:name w:val="Sin lista117"/>
    <w:next w:val="Sinlista"/>
    <w:semiHidden/>
    <w:rsid w:val="00B9303D"/>
  </w:style>
  <w:style w:type="table" w:customStyle="1" w:styleId="Tablaconcuadrcula218">
    <w:name w:val="Tabla con cuadrícula218"/>
    <w:basedOn w:val="Tablanormal"/>
    <w:next w:val="Tablaconcuadrcula"/>
    <w:rsid w:val="00B9303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8">
    <w:name w:val="Sin lista118"/>
    <w:next w:val="Sinlista"/>
    <w:semiHidden/>
    <w:rsid w:val="00377A24"/>
  </w:style>
  <w:style w:type="table" w:customStyle="1" w:styleId="Tablaconcuadrcula219">
    <w:name w:val="Tabla con cuadrícula219"/>
    <w:basedOn w:val="Tablanormal"/>
    <w:next w:val="Tablaconcuadrcula"/>
    <w:rsid w:val="00377A2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0">
    <w:name w:val="Tabla con cuadrícula220"/>
    <w:basedOn w:val="Tablanormal"/>
    <w:next w:val="Tablaconcuadrcula"/>
    <w:rsid w:val="00167E5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9">
    <w:name w:val="Sin lista119"/>
    <w:next w:val="Sinlista"/>
    <w:semiHidden/>
    <w:rsid w:val="009635D1"/>
  </w:style>
  <w:style w:type="table" w:customStyle="1" w:styleId="Tablaconcuadrcula221">
    <w:name w:val="Tabla con cuadrícula221"/>
    <w:basedOn w:val="Tablanormal"/>
    <w:next w:val="Tablaconcuadrcula"/>
    <w:rsid w:val="009635D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40">
    <w:name w:val="Style 40"/>
    <w:basedOn w:val="Normal"/>
    <w:uiPriority w:val="99"/>
    <w:rsid w:val="009635D1"/>
    <w:pPr>
      <w:widowControl w:val="0"/>
      <w:autoSpaceDE w:val="0"/>
      <w:autoSpaceDN w:val="0"/>
      <w:jc w:val="right"/>
    </w:pPr>
    <w:rPr>
      <w:rFonts w:eastAsia="Times New Roman"/>
      <w:lang w:val="en-US"/>
    </w:rPr>
  </w:style>
  <w:style w:type="table" w:customStyle="1" w:styleId="Tablaconcuadrcula222">
    <w:name w:val="Tabla con cuadrícula222"/>
    <w:basedOn w:val="Tablanormal"/>
    <w:next w:val="Tablaconcuadrcula"/>
    <w:rsid w:val="008A006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0">
    <w:name w:val="Sin lista120"/>
    <w:next w:val="Sinlista"/>
    <w:semiHidden/>
    <w:rsid w:val="003336F0"/>
  </w:style>
  <w:style w:type="numbering" w:customStyle="1" w:styleId="Sinlista121">
    <w:name w:val="Sin lista121"/>
    <w:next w:val="Sinlista"/>
    <w:semiHidden/>
    <w:rsid w:val="00E312DA"/>
  </w:style>
  <w:style w:type="table" w:customStyle="1" w:styleId="Tablaconcuadrcula223">
    <w:name w:val="Tabla con cuadrícula223"/>
    <w:basedOn w:val="Tablanormal"/>
    <w:next w:val="Tablaconcuadrcula"/>
    <w:rsid w:val="00E312D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2">
    <w:name w:val="Sin lista122"/>
    <w:next w:val="Sinlista"/>
    <w:semiHidden/>
    <w:rsid w:val="00E10B82"/>
  </w:style>
  <w:style w:type="table" w:customStyle="1" w:styleId="Tablaconcuadrcula224">
    <w:name w:val="Tabla con cuadrícula224"/>
    <w:basedOn w:val="Tablanormal"/>
    <w:next w:val="Tablaconcuadrcula"/>
    <w:rsid w:val="00E10B8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3">
    <w:name w:val="Sin lista123"/>
    <w:next w:val="Sinlista"/>
    <w:semiHidden/>
    <w:rsid w:val="00CD2583"/>
  </w:style>
  <w:style w:type="paragraph" w:customStyle="1" w:styleId="xl32">
    <w:name w:val="xl32"/>
    <w:basedOn w:val="Normal"/>
    <w:uiPriority w:val="99"/>
    <w:rsid w:val="00CD2583"/>
    <w:pPr>
      <w:pBdr>
        <w:bottom w:val="single" w:sz="8" w:space="0" w:color="auto"/>
      </w:pBdr>
      <w:spacing w:before="100" w:beforeAutospacing="1" w:after="100" w:afterAutospacing="1"/>
    </w:pPr>
    <w:rPr>
      <w:rFonts w:ascii="Arial" w:eastAsia="Times New Roman" w:hAnsi="Arial" w:cs="Arial"/>
      <w:b/>
      <w:bCs/>
      <w:color w:val="000080"/>
      <w:sz w:val="16"/>
      <w:szCs w:val="16"/>
      <w:lang w:val="es-ES"/>
    </w:rPr>
  </w:style>
  <w:style w:type="paragraph" w:customStyle="1" w:styleId="xl33">
    <w:name w:val="xl33"/>
    <w:basedOn w:val="Normal"/>
    <w:uiPriority w:val="99"/>
    <w:rsid w:val="00CD2583"/>
    <w:pPr>
      <w:pBdr>
        <w:bottom w:val="single" w:sz="8" w:space="0" w:color="auto"/>
      </w:pBdr>
      <w:spacing w:before="100" w:beforeAutospacing="1" w:after="100" w:afterAutospacing="1"/>
      <w:jc w:val="center"/>
    </w:pPr>
    <w:rPr>
      <w:rFonts w:ascii="Arial" w:eastAsia="Times New Roman" w:hAnsi="Arial" w:cs="Arial"/>
      <w:b/>
      <w:bCs/>
      <w:color w:val="000080"/>
      <w:sz w:val="16"/>
      <w:szCs w:val="16"/>
      <w:lang w:val="es-ES"/>
    </w:rPr>
  </w:style>
  <w:style w:type="paragraph" w:customStyle="1" w:styleId="xl34">
    <w:name w:val="xl34"/>
    <w:basedOn w:val="Normal"/>
    <w:uiPriority w:val="99"/>
    <w:rsid w:val="00CD2583"/>
    <w:pPr>
      <w:pBdr>
        <w:bottom w:val="single" w:sz="8" w:space="0" w:color="auto"/>
      </w:pBdr>
      <w:spacing w:before="100" w:beforeAutospacing="1" w:after="100" w:afterAutospacing="1"/>
      <w:jc w:val="center"/>
    </w:pPr>
    <w:rPr>
      <w:rFonts w:ascii="Arial" w:eastAsia="Times New Roman" w:hAnsi="Arial" w:cs="Arial"/>
      <w:b/>
      <w:bCs/>
      <w:color w:val="000080"/>
      <w:sz w:val="16"/>
      <w:szCs w:val="16"/>
      <w:lang w:val="es-ES"/>
    </w:rPr>
  </w:style>
  <w:style w:type="paragraph" w:customStyle="1" w:styleId="xl35">
    <w:name w:val="xl35"/>
    <w:basedOn w:val="Normal"/>
    <w:uiPriority w:val="99"/>
    <w:rsid w:val="00CD2583"/>
    <w:pPr>
      <w:pBdr>
        <w:bottom w:val="single" w:sz="8" w:space="0" w:color="auto"/>
      </w:pBdr>
      <w:spacing w:before="100" w:beforeAutospacing="1" w:after="100" w:afterAutospacing="1"/>
      <w:jc w:val="center"/>
    </w:pPr>
    <w:rPr>
      <w:rFonts w:eastAsia="Times New Roman"/>
      <w:b/>
      <w:bCs/>
      <w:color w:val="000080"/>
      <w:sz w:val="16"/>
      <w:szCs w:val="16"/>
      <w:lang w:val="es-ES"/>
    </w:rPr>
  </w:style>
  <w:style w:type="paragraph" w:customStyle="1" w:styleId="xl36">
    <w:name w:val="xl36"/>
    <w:basedOn w:val="Normal"/>
    <w:uiPriority w:val="99"/>
    <w:rsid w:val="00CD2583"/>
    <w:pPr>
      <w:spacing w:before="100" w:beforeAutospacing="1" w:after="100" w:afterAutospacing="1"/>
    </w:pPr>
    <w:rPr>
      <w:rFonts w:eastAsia="Times New Roman"/>
      <w:sz w:val="16"/>
      <w:szCs w:val="16"/>
      <w:lang w:val="es-ES"/>
    </w:rPr>
  </w:style>
  <w:style w:type="paragraph" w:customStyle="1" w:styleId="xl37">
    <w:name w:val="xl37"/>
    <w:basedOn w:val="Normal"/>
    <w:uiPriority w:val="99"/>
    <w:rsid w:val="00CD2583"/>
    <w:pPr>
      <w:spacing w:before="100" w:beforeAutospacing="1" w:after="100" w:afterAutospacing="1"/>
      <w:jc w:val="center"/>
    </w:pPr>
    <w:rPr>
      <w:rFonts w:eastAsia="Times New Roman"/>
      <w:sz w:val="16"/>
      <w:szCs w:val="16"/>
      <w:lang w:val="es-ES"/>
    </w:rPr>
  </w:style>
  <w:style w:type="paragraph" w:customStyle="1" w:styleId="xl38">
    <w:name w:val="xl38"/>
    <w:basedOn w:val="Normal"/>
    <w:uiPriority w:val="99"/>
    <w:rsid w:val="00CD2583"/>
    <w:pPr>
      <w:spacing w:before="100" w:beforeAutospacing="1" w:after="100" w:afterAutospacing="1"/>
    </w:pPr>
    <w:rPr>
      <w:rFonts w:eastAsia="Times New Roman"/>
      <w:sz w:val="16"/>
      <w:szCs w:val="16"/>
      <w:lang w:val="es-ES"/>
    </w:rPr>
  </w:style>
  <w:style w:type="paragraph" w:customStyle="1" w:styleId="xl39">
    <w:name w:val="xl39"/>
    <w:basedOn w:val="Normal"/>
    <w:uiPriority w:val="99"/>
    <w:rsid w:val="00CD2583"/>
    <w:pPr>
      <w:spacing w:before="100" w:beforeAutospacing="1" w:after="100" w:afterAutospacing="1"/>
      <w:jc w:val="center"/>
      <w:textAlignment w:val="top"/>
    </w:pPr>
    <w:rPr>
      <w:rFonts w:eastAsia="Times New Roman"/>
      <w:sz w:val="16"/>
      <w:szCs w:val="16"/>
      <w:lang w:val="es-ES"/>
    </w:rPr>
  </w:style>
  <w:style w:type="paragraph" w:customStyle="1" w:styleId="xl40">
    <w:name w:val="xl40"/>
    <w:basedOn w:val="Normal"/>
    <w:uiPriority w:val="99"/>
    <w:rsid w:val="00CD2583"/>
    <w:pPr>
      <w:spacing w:before="100" w:beforeAutospacing="1" w:after="100" w:afterAutospacing="1"/>
      <w:jc w:val="center"/>
      <w:textAlignment w:val="top"/>
    </w:pPr>
    <w:rPr>
      <w:rFonts w:eastAsia="Times New Roman"/>
      <w:sz w:val="16"/>
      <w:szCs w:val="16"/>
      <w:lang w:val="es-ES"/>
    </w:rPr>
  </w:style>
  <w:style w:type="paragraph" w:customStyle="1" w:styleId="xl41">
    <w:name w:val="xl41"/>
    <w:basedOn w:val="Normal"/>
    <w:uiPriority w:val="99"/>
    <w:rsid w:val="00CD2583"/>
    <w:pPr>
      <w:spacing w:before="100" w:beforeAutospacing="1" w:after="100" w:afterAutospacing="1"/>
      <w:jc w:val="center"/>
    </w:pPr>
    <w:rPr>
      <w:rFonts w:eastAsia="Times New Roman"/>
      <w:sz w:val="16"/>
      <w:szCs w:val="16"/>
      <w:lang w:val="es-ES"/>
    </w:rPr>
  </w:style>
  <w:style w:type="paragraph" w:customStyle="1" w:styleId="xl42">
    <w:name w:val="xl42"/>
    <w:basedOn w:val="Normal"/>
    <w:uiPriority w:val="99"/>
    <w:rsid w:val="00CD2583"/>
    <w:pPr>
      <w:spacing w:before="100" w:beforeAutospacing="1" w:after="100" w:afterAutospacing="1"/>
      <w:jc w:val="center"/>
      <w:textAlignment w:val="top"/>
    </w:pPr>
    <w:rPr>
      <w:rFonts w:eastAsia="Times New Roman"/>
      <w:sz w:val="16"/>
      <w:szCs w:val="16"/>
      <w:lang w:val="es-ES"/>
    </w:rPr>
  </w:style>
  <w:style w:type="paragraph" w:customStyle="1" w:styleId="xl43">
    <w:name w:val="xl43"/>
    <w:basedOn w:val="Normal"/>
    <w:uiPriority w:val="99"/>
    <w:rsid w:val="00CD2583"/>
    <w:pPr>
      <w:spacing w:before="100" w:beforeAutospacing="1" w:after="100" w:afterAutospacing="1"/>
      <w:jc w:val="center"/>
    </w:pPr>
    <w:rPr>
      <w:rFonts w:eastAsia="Times New Roman"/>
      <w:sz w:val="16"/>
      <w:szCs w:val="16"/>
      <w:lang w:val="es-ES"/>
    </w:rPr>
  </w:style>
  <w:style w:type="paragraph" w:customStyle="1" w:styleId="xl44">
    <w:name w:val="xl44"/>
    <w:basedOn w:val="Normal"/>
    <w:uiPriority w:val="99"/>
    <w:rsid w:val="00CD2583"/>
    <w:pPr>
      <w:shd w:val="clear" w:color="auto" w:fill="C0C0C0"/>
      <w:spacing w:before="100" w:beforeAutospacing="1" w:after="100" w:afterAutospacing="1"/>
    </w:pPr>
    <w:rPr>
      <w:rFonts w:eastAsia="Times New Roman"/>
      <w:sz w:val="16"/>
      <w:szCs w:val="16"/>
      <w:lang w:val="es-ES"/>
    </w:rPr>
  </w:style>
  <w:style w:type="paragraph" w:customStyle="1" w:styleId="xl45">
    <w:name w:val="xl45"/>
    <w:basedOn w:val="Normal"/>
    <w:uiPriority w:val="99"/>
    <w:rsid w:val="00CD2583"/>
    <w:pPr>
      <w:shd w:val="clear" w:color="auto" w:fill="C0C0C0"/>
      <w:spacing w:before="100" w:beforeAutospacing="1" w:after="100" w:afterAutospacing="1"/>
      <w:jc w:val="center"/>
    </w:pPr>
    <w:rPr>
      <w:rFonts w:eastAsia="Times New Roman"/>
      <w:sz w:val="16"/>
      <w:szCs w:val="16"/>
      <w:lang w:val="es-ES"/>
    </w:rPr>
  </w:style>
  <w:style w:type="paragraph" w:customStyle="1" w:styleId="xl46">
    <w:name w:val="xl46"/>
    <w:basedOn w:val="Normal"/>
    <w:uiPriority w:val="99"/>
    <w:rsid w:val="00CD2583"/>
    <w:pPr>
      <w:shd w:val="clear" w:color="auto" w:fill="C0C0C0"/>
      <w:spacing w:before="100" w:beforeAutospacing="1" w:after="100" w:afterAutospacing="1"/>
    </w:pPr>
    <w:rPr>
      <w:rFonts w:eastAsia="Times New Roman"/>
      <w:sz w:val="16"/>
      <w:szCs w:val="16"/>
      <w:lang w:val="es-ES"/>
    </w:rPr>
  </w:style>
  <w:style w:type="paragraph" w:customStyle="1" w:styleId="xl47">
    <w:name w:val="xl47"/>
    <w:basedOn w:val="Normal"/>
    <w:uiPriority w:val="99"/>
    <w:rsid w:val="00CD2583"/>
    <w:pPr>
      <w:shd w:val="clear" w:color="auto" w:fill="C0C0C0"/>
      <w:spacing w:before="100" w:beforeAutospacing="1" w:after="100" w:afterAutospacing="1"/>
      <w:jc w:val="center"/>
      <w:textAlignment w:val="top"/>
    </w:pPr>
    <w:rPr>
      <w:rFonts w:eastAsia="Times New Roman"/>
      <w:sz w:val="16"/>
      <w:szCs w:val="16"/>
      <w:lang w:val="es-ES"/>
    </w:rPr>
  </w:style>
  <w:style w:type="paragraph" w:customStyle="1" w:styleId="xl48">
    <w:name w:val="xl48"/>
    <w:basedOn w:val="Normal"/>
    <w:uiPriority w:val="99"/>
    <w:rsid w:val="00CD2583"/>
    <w:pPr>
      <w:shd w:val="clear" w:color="auto" w:fill="C0C0C0"/>
      <w:spacing w:before="100" w:beforeAutospacing="1" w:after="100" w:afterAutospacing="1"/>
      <w:jc w:val="center"/>
      <w:textAlignment w:val="top"/>
    </w:pPr>
    <w:rPr>
      <w:rFonts w:eastAsia="Times New Roman"/>
      <w:sz w:val="16"/>
      <w:szCs w:val="16"/>
      <w:lang w:val="es-ES"/>
    </w:rPr>
  </w:style>
  <w:style w:type="paragraph" w:customStyle="1" w:styleId="xl49">
    <w:name w:val="xl49"/>
    <w:basedOn w:val="Normal"/>
    <w:uiPriority w:val="99"/>
    <w:rsid w:val="00CD2583"/>
    <w:pPr>
      <w:shd w:val="clear" w:color="auto" w:fill="C0C0C0"/>
      <w:spacing w:before="100" w:beforeAutospacing="1" w:after="100" w:afterAutospacing="1"/>
      <w:jc w:val="center"/>
    </w:pPr>
    <w:rPr>
      <w:rFonts w:eastAsia="Times New Roman"/>
      <w:sz w:val="16"/>
      <w:szCs w:val="16"/>
      <w:lang w:val="es-ES"/>
    </w:rPr>
  </w:style>
  <w:style w:type="paragraph" w:customStyle="1" w:styleId="xl50">
    <w:name w:val="xl50"/>
    <w:basedOn w:val="Normal"/>
    <w:uiPriority w:val="99"/>
    <w:rsid w:val="00CD2583"/>
    <w:pPr>
      <w:shd w:val="clear" w:color="auto" w:fill="C0C0C0"/>
      <w:spacing w:before="100" w:beforeAutospacing="1" w:after="100" w:afterAutospacing="1"/>
      <w:jc w:val="center"/>
      <w:textAlignment w:val="top"/>
    </w:pPr>
    <w:rPr>
      <w:rFonts w:eastAsia="Times New Roman"/>
      <w:sz w:val="16"/>
      <w:szCs w:val="16"/>
      <w:lang w:val="es-ES"/>
    </w:rPr>
  </w:style>
  <w:style w:type="paragraph" w:customStyle="1" w:styleId="xl51">
    <w:name w:val="xl51"/>
    <w:basedOn w:val="Normal"/>
    <w:uiPriority w:val="99"/>
    <w:rsid w:val="00CD2583"/>
    <w:pPr>
      <w:shd w:val="clear" w:color="auto" w:fill="C0C0C0"/>
      <w:spacing w:before="100" w:beforeAutospacing="1" w:after="100" w:afterAutospacing="1"/>
      <w:jc w:val="center"/>
    </w:pPr>
    <w:rPr>
      <w:rFonts w:eastAsia="Times New Roman"/>
      <w:sz w:val="16"/>
      <w:szCs w:val="16"/>
      <w:lang w:val="es-ES"/>
    </w:rPr>
  </w:style>
  <w:style w:type="paragraph" w:customStyle="1" w:styleId="xl52">
    <w:name w:val="xl52"/>
    <w:basedOn w:val="Normal"/>
    <w:uiPriority w:val="99"/>
    <w:rsid w:val="00CD2583"/>
    <w:pPr>
      <w:shd w:val="clear" w:color="auto" w:fill="C0C0C0"/>
      <w:spacing w:before="100" w:beforeAutospacing="1" w:after="100" w:afterAutospacing="1"/>
      <w:jc w:val="center"/>
    </w:pPr>
    <w:rPr>
      <w:rFonts w:eastAsia="Times New Roman"/>
      <w:sz w:val="16"/>
      <w:szCs w:val="16"/>
      <w:lang w:val="es-ES"/>
    </w:rPr>
  </w:style>
  <w:style w:type="paragraph" w:customStyle="1" w:styleId="xl53">
    <w:name w:val="xl53"/>
    <w:basedOn w:val="Normal"/>
    <w:uiPriority w:val="99"/>
    <w:rsid w:val="00CD2583"/>
    <w:pPr>
      <w:spacing w:before="100" w:beforeAutospacing="1" w:after="100" w:afterAutospacing="1"/>
      <w:jc w:val="center"/>
    </w:pPr>
    <w:rPr>
      <w:rFonts w:eastAsia="Times New Roman"/>
      <w:sz w:val="16"/>
      <w:szCs w:val="16"/>
      <w:lang w:val="es-ES"/>
    </w:rPr>
  </w:style>
  <w:style w:type="paragraph" w:customStyle="1" w:styleId="xl54">
    <w:name w:val="xl54"/>
    <w:basedOn w:val="Normal"/>
    <w:uiPriority w:val="99"/>
    <w:rsid w:val="00CD2583"/>
    <w:pPr>
      <w:pBdr>
        <w:top w:val="single" w:sz="8" w:space="0" w:color="auto"/>
        <w:bottom w:val="single" w:sz="8" w:space="0" w:color="auto"/>
      </w:pBdr>
      <w:spacing w:before="100" w:beforeAutospacing="1" w:after="100" w:afterAutospacing="1"/>
    </w:pPr>
    <w:rPr>
      <w:rFonts w:ascii="Arial" w:eastAsia="Times New Roman" w:hAnsi="Arial" w:cs="Arial"/>
      <w:b/>
      <w:bCs/>
      <w:color w:val="000080"/>
      <w:sz w:val="16"/>
      <w:szCs w:val="16"/>
      <w:lang w:val="es-ES"/>
    </w:rPr>
  </w:style>
  <w:style w:type="paragraph" w:customStyle="1" w:styleId="xl55">
    <w:name w:val="xl55"/>
    <w:basedOn w:val="Normal"/>
    <w:uiPriority w:val="99"/>
    <w:rsid w:val="00CD2583"/>
    <w:pPr>
      <w:pBdr>
        <w:top w:val="single" w:sz="8" w:space="0" w:color="auto"/>
        <w:bottom w:val="single" w:sz="8" w:space="0" w:color="auto"/>
      </w:pBdr>
      <w:spacing w:before="100" w:beforeAutospacing="1" w:after="100" w:afterAutospacing="1"/>
      <w:jc w:val="center"/>
    </w:pPr>
    <w:rPr>
      <w:rFonts w:ascii="Arial" w:eastAsia="Times New Roman" w:hAnsi="Arial" w:cs="Arial"/>
      <w:b/>
      <w:bCs/>
      <w:color w:val="000080"/>
      <w:sz w:val="16"/>
      <w:szCs w:val="16"/>
      <w:lang w:val="es-ES"/>
    </w:rPr>
  </w:style>
  <w:style w:type="paragraph" w:customStyle="1" w:styleId="xl56">
    <w:name w:val="xl56"/>
    <w:basedOn w:val="Normal"/>
    <w:uiPriority w:val="99"/>
    <w:rsid w:val="00CD2583"/>
    <w:pPr>
      <w:pBdr>
        <w:top w:val="single" w:sz="8" w:space="0" w:color="auto"/>
        <w:bottom w:val="single" w:sz="8" w:space="0" w:color="auto"/>
      </w:pBdr>
      <w:spacing w:before="100" w:beforeAutospacing="1" w:after="100" w:afterAutospacing="1"/>
      <w:jc w:val="center"/>
    </w:pPr>
    <w:rPr>
      <w:rFonts w:ascii="Arial" w:eastAsia="Times New Roman" w:hAnsi="Arial" w:cs="Arial"/>
      <w:b/>
      <w:bCs/>
      <w:color w:val="000080"/>
      <w:sz w:val="16"/>
      <w:szCs w:val="16"/>
      <w:lang w:val="es-ES"/>
    </w:rPr>
  </w:style>
  <w:style w:type="paragraph" w:customStyle="1" w:styleId="xl57">
    <w:name w:val="xl57"/>
    <w:basedOn w:val="Normal"/>
    <w:uiPriority w:val="99"/>
    <w:rsid w:val="00CD2583"/>
    <w:pPr>
      <w:pBdr>
        <w:top w:val="single" w:sz="8" w:space="0" w:color="auto"/>
        <w:bottom w:val="single" w:sz="8" w:space="0" w:color="auto"/>
      </w:pBdr>
      <w:spacing w:before="100" w:beforeAutospacing="1" w:after="100" w:afterAutospacing="1"/>
      <w:jc w:val="center"/>
    </w:pPr>
    <w:rPr>
      <w:rFonts w:eastAsia="Times New Roman"/>
      <w:b/>
      <w:bCs/>
      <w:color w:val="000080"/>
      <w:sz w:val="16"/>
      <w:szCs w:val="16"/>
      <w:lang w:val="es-ES"/>
    </w:rPr>
  </w:style>
  <w:style w:type="table" w:customStyle="1" w:styleId="Tablaconcuadrcula1240">
    <w:name w:val="Tabla con cuadrícula 124"/>
    <w:basedOn w:val="Tablanormal"/>
    <w:next w:val="Tablaconcuadrcula10"/>
    <w:rsid w:val="00CD2583"/>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25">
    <w:name w:val="Tabla con cuadrícula225"/>
    <w:basedOn w:val="Tablanormal"/>
    <w:next w:val="Tablaconcuadrcula"/>
    <w:rsid w:val="00CD258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6">
    <w:name w:val="Tabla con cuadrícula226"/>
    <w:basedOn w:val="Tablanormal"/>
    <w:next w:val="Tablaconcuadrcula"/>
    <w:rsid w:val="00AA6C9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7">
    <w:name w:val="Tabla con cuadrícula227"/>
    <w:basedOn w:val="Tablanormal"/>
    <w:next w:val="Tablaconcuadrcula"/>
    <w:rsid w:val="00AA6C9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8">
    <w:name w:val="Tabla con cuadrícula228"/>
    <w:basedOn w:val="Tablanormal"/>
    <w:next w:val="Tablaconcuadrcula"/>
    <w:rsid w:val="00032AB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9">
    <w:name w:val="Tabla con cuadrícula229"/>
    <w:basedOn w:val="Tablanormal"/>
    <w:next w:val="Tablaconcuadrcula"/>
    <w:rsid w:val="00032AB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0">
    <w:name w:val="Tabla con cuadrícula230"/>
    <w:basedOn w:val="Tablanormal"/>
    <w:next w:val="Tablaconcuadrcula"/>
    <w:rsid w:val="00032AB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4">
    <w:name w:val="Sin lista124"/>
    <w:next w:val="Sinlista"/>
    <w:semiHidden/>
    <w:rsid w:val="00D30EBB"/>
  </w:style>
  <w:style w:type="table" w:customStyle="1" w:styleId="Tablaconcuadrcula231">
    <w:name w:val="Tabla con cuadrícula231"/>
    <w:basedOn w:val="Tablanormal"/>
    <w:next w:val="Tablaconcuadrcula"/>
    <w:rsid w:val="00D30EB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50">
    <w:name w:val="Tabla con cuadrícula 125"/>
    <w:basedOn w:val="Tablanormal"/>
    <w:next w:val="Tablaconcuadrcula10"/>
    <w:rsid w:val="00A449BB"/>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25">
    <w:name w:val="Sin lista125"/>
    <w:next w:val="Sinlista"/>
    <w:semiHidden/>
    <w:rsid w:val="00976D73"/>
  </w:style>
  <w:style w:type="table" w:customStyle="1" w:styleId="Tablaconcuadrcula232">
    <w:name w:val="Tabla con cuadrícula232"/>
    <w:basedOn w:val="Tablanormal"/>
    <w:next w:val="Tablaconcuadrcula"/>
    <w:rsid w:val="00976D7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3">
    <w:name w:val="Tabla con cuadrícula233"/>
    <w:basedOn w:val="Tablanormal"/>
    <w:next w:val="Tablaconcuadrcula"/>
    <w:rsid w:val="0092276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60">
    <w:name w:val="Tabla con cuadrícula 126"/>
    <w:basedOn w:val="Tablanormal"/>
    <w:next w:val="Tablaconcuadrcula10"/>
    <w:rsid w:val="00EC29AA"/>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34">
    <w:name w:val="Tabla con cuadrícula234"/>
    <w:basedOn w:val="Tablanormal"/>
    <w:next w:val="Tablaconcuadrcula"/>
    <w:rsid w:val="00B45E0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2">
    <w:name w:val="Tabla con cuadrícula512"/>
    <w:basedOn w:val="Tablanormal"/>
    <w:next w:val="Tablaconcuadrcula"/>
    <w:rsid w:val="00B45E0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5">
    <w:name w:val="Tabla con cuadrícula235"/>
    <w:basedOn w:val="Tablanormal"/>
    <w:next w:val="Tablaconcuadrcula"/>
    <w:rsid w:val="0022203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onoticias">
    <w:name w:val="textonoticias"/>
    <w:basedOn w:val="Normal"/>
    <w:uiPriority w:val="99"/>
    <w:rsid w:val="00226AE9"/>
    <w:pPr>
      <w:spacing w:before="100" w:beforeAutospacing="1" w:after="100" w:afterAutospacing="1"/>
    </w:pPr>
    <w:rPr>
      <w:rFonts w:ascii="Verdana" w:eastAsia="Times New Roman" w:hAnsi="Verdana"/>
      <w:color w:val="000000"/>
      <w:sz w:val="21"/>
      <w:szCs w:val="21"/>
      <w:lang w:val="es-ES"/>
    </w:rPr>
  </w:style>
  <w:style w:type="table" w:customStyle="1" w:styleId="Tablaconcuadrcula236">
    <w:name w:val="Tabla con cuadrícula236"/>
    <w:basedOn w:val="Tablanormal"/>
    <w:next w:val="Tablaconcuadrcula"/>
    <w:rsid w:val="000508D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6">
    <w:name w:val="Sin lista126"/>
    <w:next w:val="Sinlista"/>
    <w:semiHidden/>
    <w:rsid w:val="00643F24"/>
  </w:style>
  <w:style w:type="table" w:customStyle="1" w:styleId="Tablaconcuadrcula237">
    <w:name w:val="Tabla con cuadrícula237"/>
    <w:basedOn w:val="Tablanormal"/>
    <w:next w:val="Tablaconcuadrcula"/>
    <w:rsid w:val="00643F2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70">
    <w:name w:val="Tabla con cuadrícula 127"/>
    <w:basedOn w:val="Tablanormal"/>
    <w:next w:val="Tablaconcuadrcula10"/>
    <w:rsid w:val="00643F24"/>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Style8">
    <w:name w:val="Style 8"/>
    <w:basedOn w:val="Normal"/>
    <w:uiPriority w:val="99"/>
    <w:rsid w:val="00643F24"/>
    <w:pPr>
      <w:widowControl w:val="0"/>
      <w:autoSpaceDE w:val="0"/>
      <w:autoSpaceDN w:val="0"/>
      <w:spacing w:before="288"/>
      <w:ind w:right="396"/>
      <w:jc w:val="right"/>
    </w:pPr>
    <w:rPr>
      <w:rFonts w:eastAsia="Times New Roman"/>
      <w:lang w:val="en-US"/>
    </w:rPr>
  </w:style>
  <w:style w:type="table" w:customStyle="1" w:styleId="Tablaconcuadrcula238">
    <w:name w:val="Tabla con cuadrícula238"/>
    <w:basedOn w:val="Tablanormal"/>
    <w:next w:val="Tablaconcuadrcula"/>
    <w:rsid w:val="00CD4C4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9">
    <w:name w:val="Tabla con cuadrícula239"/>
    <w:basedOn w:val="Tablanormal"/>
    <w:next w:val="Tablaconcuadrcula"/>
    <w:rsid w:val="00C05E8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0">
    <w:name w:val="Tabla con cuadrícula240"/>
    <w:basedOn w:val="Tablanormal"/>
    <w:next w:val="Tablaconcuadrcula"/>
    <w:rsid w:val="004761F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7">
    <w:name w:val="Sin lista127"/>
    <w:next w:val="Sinlista"/>
    <w:semiHidden/>
    <w:rsid w:val="00A25582"/>
  </w:style>
  <w:style w:type="table" w:customStyle="1" w:styleId="Tablaconcuadrcula241">
    <w:name w:val="Tabla con cuadrícula241"/>
    <w:basedOn w:val="Tablanormal"/>
    <w:next w:val="Tablaconcuadrcula"/>
    <w:rsid w:val="00A2558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8">
    <w:name w:val="Sin lista128"/>
    <w:next w:val="Sinlista"/>
    <w:semiHidden/>
    <w:rsid w:val="00DD485C"/>
  </w:style>
  <w:style w:type="paragraph" w:customStyle="1" w:styleId="feedbackbox">
    <w:name w:val="feedbackbox"/>
    <w:basedOn w:val="Normal"/>
    <w:uiPriority w:val="99"/>
    <w:rsid w:val="00DD485C"/>
    <w:pPr>
      <w:spacing w:before="100" w:beforeAutospacing="1" w:after="100" w:afterAutospacing="1"/>
    </w:pPr>
    <w:rPr>
      <w:rFonts w:eastAsia="Times New Roman"/>
      <w:color w:val="FFFFFF"/>
      <w:lang w:val="es-ES"/>
    </w:rPr>
  </w:style>
  <w:style w:type="paragraph" w:customStyle="1" w:styleId="feedbackinputline">
    <w:name w:val="feedbackinputline"/>
    <w:basedOn w:val="Normal"/>
    <w:uiPriority w:val="99"/>
    <w:rsid w:val="00DD485C"/>
    <w:pPr>
      <w:shd w:val="clear" w:color="auto" w:fill="FFFFFF"/>
      <w:spacing w:before="100" w:beforeAutospacing="1" w:after="100" w:afterAutospacing="1" w:line="210" w:lineRule="atLeast"/>
      <w:textAlignment w:val="center"/>
    </w:pPr>
    <w:rPr>
      <w:rFonts w:eastAsia="Times New Roman"/>
      <w:color w:val="333333"/>
      <w:lang w:val="es-ES"/>
    </w:rPr>
  </w:style>
  <w:style w:type="paragraph" w:customStyle="1" w:styleId="feedbackinputbox">
    <w:name w:val="feedbackinputbox"/>
    <w:basedOn w:val="Normal"/>
    <w:uiPriority w:val="99"/>
    <w:rsid w:val="00DD485C"/>
    <w:pPr>
      <w:shd w:val="clear" w:color="auto" w:fill="FFFFFF"/>
      <w:spacing w:before="100" w:beforeAutospacing="1" w:after="100" w:afterAutospacing="1"/>
    </w:pPr>
    <w:rPr>
      <w:rFonts w:eastAsia="Times New Roman"/>
      <w:color w:val="333333"/>
      <w:sz w:val="29"/>
      <w:szCs w:val="29"/>
      <w:lang w:val="es-ES"/>
    </w:rPr>
  </w:style>
  <w:style w:type="paragraph" w:customStyle="1" w:styleId="sendform">
    <w:name w:val="sendform"/>
    <w:basedOn w:val="Normal"/>
    <w:uiPriority w:val="99"/>
    <w:rsid w:val="00DD485C"/>
    <w:pPr>
      <w:pBdr>
        <w:top w:val="single" w:sz="6" w:space="0" w:color="666666"/>
        <w:left w:val="single" w:sz="6" w:space="0" w:color="666666"/>
        <w:bottom w:val="single" w:sz="6" w:space="0" w:color="666666"/>
        <w:right w:val="single" w:sz="6" w:space="0" w:color="666666"/>
      </w:pBdr>
      <w:spacing w:before="100" w:beforeAutospacing="1" w:after="100" w:afterAutospacing="1"/>
    </w:pPr>
    <w:rPr>
      <w:rFonts w:eastAsia="Times New Roman"/>
      <w:sz w:val="17"/>
      <w:szCs w:val="17"/>
      <w:lang w:val="es-ES"/>
    </w:rPr>
  </w:style>
  <w:style w:type="paragraph" w:customStyle="1" w:styleId="orgname">
    <w:name w:val="orgname"/>
    <w:basedOn w:val="Normal"/>
    <w:uiPriority w:val="99"/>
    <w:rsid w:val="00DD485C"/>
    <w:pPr>
      <w:spacing w:before="100" w:beforeAutospacing="1" w:after="100" w:afterAutospacing="1"/>
    </w:pPr>
    <w:rPr>
      <w:rFonts w:ascii="Arial" w:eastAsia="Times New Roman" w:hAnsi="Arial" w:cs="Arial"/>
      <w:b/>
      <w:bCs/>
      <w:color w:val="000000"/>
      <w:sz w:val="17"/>
      <w:szCs w:val="17"/>
      <w:lang w:val="es-ES"/>
    </w:rPr>
  </w:style>
  <w:style w:type="paragraph" w:customStyle="1" w:styleId="contact">
    <w:name w:val="contact"/>
    <w:basedOn w:val="Normal"/>
    <w:uiPriority w:val="99"/>
    <w:rsid w:val="00DD485C"/>
    <w:pPr>
      <w:spacing w:before="100" w:beforeAutospacing="1" w:after="100" w:afterAutospacing="1"/>
    </w:pPr>
    <w:rPr>
      <w:rFonts w:ascii="Arial" w:eastAsia="Times New Roman" w:hAnsi="Arial" w:cs="Arial"/>
      <w:b/>
      <w:bCs/>
      <w:color w:val="000000"/>
      <w:sz w:val="17"/>
      <w:szCs w:val="17"/>
      <w:u w:val="single"/>
      <w:lang w:val="es-ES"/>
    </w:rPr>
  </w:style>
  <w:style w:type="paragraph" w:customStyle="1" w:styleId="contactname">
    <w:name w:val="contactname"/>
    <w:basedOn w:val="Normal"/>
    <w:uiPriority w:val="99"/>
    <w:rsid w:val="00DD485C"/>
    <w:pPr>
      <w:spacing w:before="100" w:beforeAutospacing="1" w:after="100" w:afterAutospacing="1"/>
    </w:pPr>
    <w:rPr>
      <w:rFonts w:ascii="Arial" w:eastAsia="Times New Roman" w:hAnsi="Arial" w:cs="Arial"/>
      <w:color w:val="000000"/>
      <w:sz w:val="17"/>
      <w:szCs w:val="17"/>
      <w:lang w:val="es-ES"/>
    </w:rPr>
  </w:style>
  <w:style w:type="paragraph" w:customStyle="1" w:styleId="country">
    <w:name w:val="country"/>
    <w:basedOn w:val="Normal"/>
    <w:uiPriority w:val="99"/>
    <w:rsid w:val="00DD485C"/>
    <w:pPr>
      <w:spacing w:before="100" w:beforeAutospacing="1" w:after="100" w:afterAutospacing="1"/>
    </w:pPr>
    <w:rPr>
      <w:rFonts w:ascii="Arial" w:eastAsia="Times New Roman" w:hAnsi="Arial" w:cs="Arial"/>
      <w:b/>
      <w:bCs/>
      <w:color w:val="000000"/>
      <w:sz w:val="17"/>
      <w:szCs w:val="17"/>
      <w:u w:val="single"/>
      <w:lang w:val="es-ES"/>
    </w:rPr>
  </w:style>
  <w:style w:type="paragraph" w:customStyle="1" w:styleId="typo">
    <w:name w:val="typo"/>
    <w:basedOn w:val="Normal"/>
    <w:uiPriority w:val="99"/>
    <w:rsid w:val="00DD485C"/>
    <w:pPr>
      <w:spacing w:before="100" w:beforeAutospacing="1" w:after="100" w:afterAutospacing="1"/>
    </w:pPr>
    <w:rPr>
      <w:rFonts w:ascii="Arial" w:eastAsia="Times New Roman" w:hAnsi="Arial" w:cs="Arial"/>
      <w:b/>
      <w:bCs/>
      <w:color w:val="000000"/>
      <w:sz w:val="17"/>
      <w:szCs w:val="17"/>
      <w:lang w:val="es-ES"/>
    </w:rPr>
  </w:style>
  <w:style w:type="paragraph" w:customStyle="1" w:styleId="address">
    <w:name w:val="address"/>
    <w:basedOn w:val="Normal"/>
    <w:rsid w:val="00DD485C"/>
    <w:pPr>
      <w:spacing w:before="100" w:beforeAutospacing="1" w:after="100" w:afterAutospacing="1"/>
    </w:pPr>
    <w:rPr>
      <w:rFonts w:ascii="Arial" w:eastAsia="Times New Roman" w:hAnsi="Arial" w:cs="Arial"/>
      <w:b/>
      <w:bCs/>
      <w:color w:val="000000"/>
      <w:sz w:val="17"/>
      <w:szCs w:val="17"/>
      <w:u w:val="single"/>
      <w:lang w:val="es-ES"/>
    </w:rPr>
  </w:style>
  <w:style w:type="paragraph" w:customStyle="1" w:styleId="addressname">
    <w:name w:val="addressname"/>
    <w:basedOn w:val="Normal"/>
    <w:uiPriority w:val="99"/>
    <w:rsid w:val="00DD485C"/>
    <w:pPr>
      <w:spacing w:before="100" w:beforeAutospacing="1" w:after="100" w:afterAutospacing="1"/>
    </w:pPr>
    <w:rPr>
      <w:rFonts w:ascii="Arial" w:eastAsia="Times New Roman" w:hAnsi="Arial" w:cs="Arial"/>
      <w:color w:val="000000"/>
      <w:sz w:val="17"/>
      <w:szCs w:val="17"/>
      <w:lang w:val="es-ES"/>
    </w:rPr>
  </w:style>
  <w:style w:type="paragraph" w:customStyle="1" w:styleId="website">
    <w:name w:val="website"/>
    <w:basedOn w:val="Normal"/>
    <w:uiPriority w:val="99"/>
    <w:rsid w:val="00DD485C"/>
    <w:pPr>
      <w:spacing w:before="100" w:beforeAutospacing="1" w:after="100" w:afterAutospacing="1"/>
    </w:pPr>
    <w:rPr>
      <w:rFonts w:ascii="Arial" w:eastAsia="Times New Roman" w:hAnsi="Arial" w:cs="Arial"/>
      <w:b/>
      <w:bCs/>
      <w:color w:val="000000"/>
      <w:sz w:val="17"/>
      <w:szCs w:val="17"/>
      <w:u w:val="single"/>
      <w:lang w:val="es-ES"/>
    </w:rPr>
  </w:style>
  <w:style w:type="paragraph" w:customStyle="1" w:styleId="websitename">
    <w:name w:val="websitename"/>
    <w:basedOn w:val="Normal"/>
    <w:uiPriority w:val="99"/>
    <w:rsid w:val="00DD485C"/>
    <w:pPr>
      <w:spacing w:before="100" w:beforeAutospacing="1" w:after="100" w:afterAutospacing="1"/>
    </w:pPr>
    <w:rPr>
      <w:rFonts w:ascii="Arial" w:eastAsia="Times New Roman" w:hAnsi="Arial" w:cs="Arial"/>
      <w:color w:val="000000"/>
      <w:sz w:val="17"/>
      <w:szCs w:val="17"/>
      <w:lang w:val="es-ES"/>
    </w:rPr>
  </w:style>
  <w:style w:type="paragraph" w:customStyle="1" w:styleId="email">
    <w:name w:val="email"/>
    <w:basedOn w:val="Normal"/>
    <w:uiPriority w:val="99"/>
    <w:rsid w:val="00DD485C"/>
    <w:pPr>
      <w:spacing w:before="100" w:beforeAutospacing="1" w:after="100" w:afterAutospacing="1"/>
    </w:pPr>
    <w:rPr>
      <w:rFonts w:ascii="Arial" w:eastAsia="Times New Roman" w:hAnsi="Arial" w:cs="Arial"/>
      <w:b/>
      <w:bCs/>
      <w:color w:val="000000"/>
      <w:sz w:val="17"/>
      <w:szCs w:val="17"/>
      <w:lang w:val="es-ES"/>
    </w:rPr>
  </w:style>
  <w:style w:type="paragraph" w:customStyle="1" w:styleId="countryname">
    <w:name w:val="countryname"/>
    <w:basedOn w:val="Normal"/>
    <w:uiPriority w:val="99"/>
    <w:rsid w:val="00DD485C"/>
    <w:pPr>
      <w:spacing w:before="100" w:beforeAutospacing="1" w:after="100" w:afterAutospacing="1"/>
    </w:pPr>
    <w:rPr>
      <w:rFonts w:ascii="Arial" w:eastAsia="Times New Roman" w:hAnsi="Arial" w:cs="Arial"/>
      <w:b/>
      <w:bCs/>
      <w:color w:val="000000"/>
      <w:sz w:val="20"/>
      <w:szCs w:val="20"/>
      <w:lang w:val="es-ES"/>
    </w:rPr>
  </w:style>
  <w:style w:type="paragraph" w:customStyle="1" w:styleId="selectedtop">
    <w:name w:val="selected_top"/>
    <w:basedOn w:val="Normal"/>
    <w:uiPriority w:val="99"/>
    <w:rsid w:val="00DD485C"/>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selectednr">
    <w:name w:val="selected_nr"/>
    <w:basedOn w:val="Normal"/>
    <w:uiPriority w:val="99"/>
    <w:rsid w:val="00DD485C"/>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selectedgp">
    <w:name w:val="selected_gp"/>
    <w:basedOn w:val="Normal"/>
    <w:uiPriority w:val="99"/>
    <w:rsid w:val="00DD485C"/>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selectedrp">
    <w:name w:val="selected_rp"/>
    <w:basedOn w:val="Normal"/>
    <w:uiPriority w:val="99"/>
    <w:rsid w:val="00DD485C"/>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selectedpr">
    <w:name w:val="selected_pr"/>
    <w:basedOn w:val="Normal"/>
    <w:uiPriority w:val="99"/>
    <w:rsid w:val="00DD485C"/>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selectedtools">
    <w:name w:val="selected_tools"/>
    <w:basedOn w:val="Normal"/>
    <w:uiPriority w:val="99"/>
    <w:rsid w:val="00DD485C"/>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selectedpubs">
    <w:name w:val="selected_pubs"/>
    <w:basedOn w:val="Normal"/>
    <w:uiPriority w:val="99"/>
    <w:rsid w:val="00DD485C"/>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selectedsu">
    <w:name w:val="selected_su"/>
    <w:basedOn w:val="Normal"/>
    <w:uiPriority w:val="99"/>
    <w:rsid w:val="00DD485C"/>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firstlevelbuttonsright">
    <w:name w:val="firstlevelbuttonsright"/>
    <w:basedOn w:val="Normal"/>
    <w:uiPriority w:val="99"/>
    <w:rsid w:val="00DD485C"/>
    <w:pPr>
      <w:shd w:val="clear" w:color="auto" w:fill="336699"/>
      <w:spacing w:before="100" w:beforeAutospacing="1" w:after="100" w:afterAutospacing="1" w:line="240" w:lineRule="atLeast"/>
    </w:pPr>
    <w:rPr>
      <w:rFonts w:eastAsia="Times New Roman"/>
      <w:b/>
      <w:bCs/>
      <w:color w:val="FFFFFF"/>
      <w:lang w:val="es-ES"/>
    </w:rPr>
  </w:style>
  <w:style w:type="paragraph" w:customStyle="1" w:styleId="topmenuinputbox">
    <w:name w:val="topmenuinputbox"/>
    <w:basedOn w:val="Normal"/>
    <w:uiPriority w:val="99"/>
    <w:rsid w:val="00DD485C"/>
    <w:pPr>
      <w:pBdr>
        <w:top w:val="single" w:sz="6" w:space="0" w:color="000000"/>
        <w:left w:val="single" w:sz="6" w:space="0" w:color="000000"/>
        <w:bottom w:val="single" w:sz="6" w:space="0" w:color="000000"/>
        <w:right w:val="single" w:sz="6" w:space="0" w:color="000000"/>
      </w:pBdr>
      <w:shd w:val="clear" w:color="auto" w:fill="FFFFFF"/>
      <w:ind w:left="150" w:right="75"/>
      <w:textAlignment w:val="top"/>
    </w:pPr>
    <w:rPr>
      <w:rFonts w:eastAsia="Times New Roman"/>
      <w:color w:val="336699"/>
      <w:sz w:val="15"/>
      <w:szCs w:val="15"/>
      <w:lang w:val="es-ES"/>
    </w:rPr>
  </w:style>
  <w:style w:type="paragraph" w:customStyle="1" w:styleId="logobanner">
    <w:name w:val="logobanner"/>
    <w:basedOn w:val="Normal"/>
    <w:uiPriority w:val="99"/>
    <w:rsid w:val="00DD485C"/>
    <w:pPr>
      <w:pBdr>
        <w:top w:val="single" w:sz="6" w:space="0" w:color="FFFFFF"/>
        <w:bottom w:val="single" w:sz="6" w:space="0" w:color="FFFFFF"/>
        <w:right w:val="single" w:sz="6" w:space="0" w:color="FFFFFF"/>
      </w:pBdr>
      <w:shd w:val="clear" w:color="auto" w:fill="D9EBF9"/>
      <w:spacing w:before="100" w:beforeAutospacing="1" w:after="100" w:afterAutospacing="1"/>
    </w:pPr>
    <w:rPr>
      <w:rFonts w:eastAsia="Times New Roman"/>
      <w:lang w:val="es-ES"/>
    </w:rPr>
  </w:style>
  <w:style w:type="paragraph" w:customStyle="1" w:styleId="secondlevel">
    <w:name w:val="secondlevel"/>
    <w:basedOn w:val="Normal"/>
    <w:uiPriority w:val="99"/>
    <w:rsid w:val="00DD485C"/>
    <w:pPr>
      <w:pBdr>
        <w:top w:val="single" w:sz="6" w:space="0" w:color="FFFFFF"/>
      </w:pBdr>
      <w:shd w:val="clear" w:color="auto" w:fill="336699"/>
      <w:spacing w:before="100" w:beforeAutospacing="1" w:after="100" w:afterAutospacing="1"/>
    </w:pPr>
    <w:rPr>
      <w:rFonts w:eastAsia="Times New Roman"/>
      <w:color w:val="FFFFFF"/>
      <w:lang w:val="es-ES"/>
    </w:rPr>
  </w:style>
  <w:style w:type="paragraph" w:customStyle="1" w:styleId="crumbtrailnr">
    <w:name w:val="crumbtrail_nr"/>
    <w:basedOn w:val="Normal"/>
    <w:uiPriority w:val="99"/>
    <w:rsid w:val="00DD485C"/>
    <w:pPr>
      <w:spacing w:before="100" w:beforeAutospacing="1" w:after="100" w:afterAutospacing="1"/>
    </w:pPr>
    <w:rPr>
      <w:rFonts w:eastAsia="Times New Roman"/>
      <w:lang w:val="es-ES"/>
    </w:rPr>
  </w:style>
  <w:style w:type="paragraph" w:customStyle="1" w:styleId="crumbtrailgp">
    <w:name w:val="crumbtrail_gp"/>
    <w:basedOn w:val="Normal"/>
    <w:uiPriority w:val="99"/>
    <w:rsid w:val="00DD485C"/>
    <w:pPr>
      <w:spacing w:before="100" w:beforeAutospacing="1" w:after="100" w:afterAutospacing="1"/>
    </w:pPr>
    <w:rPr>
      <w:rFonts w:eastAsia="Times New Roman"/>
      <w:lang w:val="es-ES"/>
    </w:rPr>
  </w:style>
  <w:style w:type="paragraph" w:customStyle="1" w:styleId="crumbtrailrp">
    <w:name w:val="crumbtrail_rp"/>
    <w:basedOn w:val="Normal"/>
    <w:uiPriority w:val="99"/>
    <w:rsid w:val="00DD485C"/>
    <w:pPr>
      <w:spacing w:before="100" w:beforeAutospacing="1" w:after="100" w:afterAutospacing="1"/>
    </w:pPr>
    <w:rPr>
      <w:rFonts w:eastAsia="Times New Roman"/>
      <w:lang w:val="es-ES"/>
    </w:rPr>
  </w:style>
  <w:style w:type="paragraph" w:customStyle="1" w:styleId="crumbtrailpr">
    <w:name w:val="crumbtrail_pr"/>
    <w:basedOn w:val="Normal"/>
    <w:uiPriority w:val="99"/>
    <w:rsid w:val="00DD485C"/>
    <w:pPr>
      <w:spacing w:before="100" w:beforeAutospacing="1" w:after="100" w:afterAutospacing="1"/>
    </w:pPr>
    <w:rPr>
      <w:rFonts w:eastAsia="Times New Roman"/>
      <w:lang w:val="es-ES"/>
    </w:rPr>
  </w:style>
  <w:style w:type="paragraph" w:customStyle="1" w:styleId="crumbtrailtools">
    <w:name w:val="crumbtrail_tools"/>
    <w:basedOn w:val="Normal"/>
    <w:uiPriority w:val="99"/>
    <w:rsid w:val="00DD485C"/>
    <w:pPr>
      <w:spacing w:before="100" w:beforeAutospacing="1" w:after="100" w:afterAutospacing="1"/>
    </w:pPr>
    <w:rPr>
      <w:rFonts w:eastAsia="Times New Roman"/>
      <w:lang w:val="es-ES"/>
    </w:rPr>
  </w:style>
  <w:style w:type="paragraph" w:customStyle="1" w:styleId="crumbtrailpubs">
    <w:name w:val="crumbtrail_pubs"/>
    <w:basedOn w:val="Normal"/>
    <w:uiPriority w:val="99"/>
    <w:rsid w:val="00DD485C"/>
    <w:pPr>
      <w:spacing w:before="100" w:beforeAutospacing="1" w:after="100" w:afterAutospacing="1"/>
    </w:pPr>
    <w:rPr>
      <w:rFonts w:eastAsia="Times New Roman"/>
      <w:lang w:val="es-ES"/>
    </w:rPr>
  </w:style>
  <w:style w:type="paragraph" w:customStyle="1" w:styleId="crumbtrailau">
    <w:name w:val="crumbtrail_au"/>
    <w:basedOn w:val="Normal"/>
    <w:uiPriority w:val="99"/>
    <w:rsid w:val="00DD485C"/>
    <w:pPr>
      <w:spacing w:before="100" w:beforeAutospacing="1" w:after="100" w:afterAutospacing="1"/>
    </w:pPr>
    <w:rPr>
      <w:rFonts w:eastAsia="Times New Roman"/>
      <w:lang w:val="es-ES"/>
    </w:rPr>
  </w:style>
  <w:style w:type="paragraph" w:customStyle="1" w:styleId="crumbtrailcu">
    <w:name w:val="crumbtrail_cu"/>
    <w:basedOn w:val="Normal"/>
    <w:uiPriority w:val="99"/>
    <w:rsid w:val="00DD485C"/>
    <w:pPr>
      <w:spacing w:before="100" w:beforeAutospacing="1" w:after="100" w:afterAutospacing="1"/>
    </w:pPr>
    <w:rPr>
      <w:rFonts w:eastAsia="Times New Roman"/>
      <w:lang w:val="es-ES"/>
    </w:rPr>
  </w:style>
  <w:style w:type="paragraph" w:customStyle="1" w:styleId="crumbtrailsu">
    <w:name w:val="crumbtrail_su"/>
    <w:basedOn w:val="Normal"/>
    <w:uiPriority w:val="99"/>
    <w:rsid w:val="00DD485C"/>
    <w:pPr>
      <w:spacing w:before="100" w:beforeAutospacing="1" w:after="100" w:afterAutospacing="1"/>
    </w:pPr>
    <w:rPr>
      <w:rFonts w:eastAsia="Times New Roman"/>
      <w:lang w:val="es-ES"/>
    </w:rPr>
  </w:style>
  <w:style w:type="paragraph" w:customStyle="1" w:styleId="contenttitle">
    <w:name w:val="content_title"/>
    <w:basedOn w:val="Normal"/>
    <w:uiPriority w:val="99"/>
    <w:rsid w:val="00DD485C"/>
    <w:pPr>
      <w:spacing w:before="100" w:beforeAutospacing="1" w:after="100" w:afterAutospacing="1" w:line="255" w:lineRule="atLeast"/>
    </w:pPr>
    <w:rPr>
      <w:rFonts w:eastAsia="Times New Roman"/>
      <w:b/>
      <w:bCs/>
      <w:color w:val="333333"/>
      <w:lang w:val="es-ES"/>
    </w:rPr>
  </w:style>
  <w:style w:type="paragraph" w:customStyle="1" w:styleId="contentprintme">
    <w:name w:val="content_printme"/>
    <w:basedOn w:val="Normal"/>
    <w:uiPriority w:val="99"/>
    <w:rsid w:val="00DD485C"/>
    <w:pPr>
      <w:spacing w:before="100" w:beforeAutospacing="1" w:after="100" w:afterAutospacing="1" w:line="225" w:lineRule="atLeast"/>
    </w:pPr>
    <w:rPr>
      <w:rFonts w:eastAsia="Times New Roman"/>
      <w:color w:val="333333"/>
      <w:lang w:val="es-ES"/>
    </w:rPr>
  </w:style>
  <w:style w:type="paragraph" w:customStyle="1" w:styleId="headlinetxtnr">
    <w:name w:val="headline_txt_nr"/>
    <w:basedOn w:val="Normal"/>
    <w:uiPriority w:val="99"/>
    <w:rsid w:val="00DD485C"/>
    <w:pPr>
      <w:shd w:val="clear" w:color="auto" w:fill="CC0000"/>
      <w:spacing w:before="100" w:beforeAutospacing="1" w:after="100" w:afterAutospacing="1" w:line="255" w:lineRule="atLeast"/>
      <w:jc w:val="center"/>
    </w:pPr>
    <w:rPr>
      <w:rFonts w:eastAsia="Times New Roman"/>
      <w:b/>
      <w:bCs/>
      <w:color w:val="FFFFFF"/>
      <w:lang w:val="es-ES"/>
    </w:rPr>
  </w:style>
  <w:style w:type="paragraph" w:customStyle="1" w:styleId="headlinetxtgp">
    <w:name w:val="headline_txt_gp"/>
    <w:basedOn w:val="Normal"/>
    <w:uiPriority w:val="99"/>
    <w:rsid w:val="00DD485C"/>
    <w:pPr>
      <w:shd w:val="clear" w:color="auto" w:fill="FF9933"/>
      <w:spacing w:before="100" w:beforeAutospacing="1" w:after="100" w:afterAutospacing="1" w:line="255" w:lineRule="atLeast"/>
      <w:jc w:val="center"/>
    </w:pPr>
    <w:rPr>
      <w:rFonts w:eastAsia="Times New Roman"/>
      <w:b/>
      <w:bCs/>
      <w:color w:val="FFFFFF"/>
      <w:lang w:val="es-ES"/>
    </w:rPr>
  </w:style>
  <w:style w:type="paragraph" w:customStyle="1" w:styleId="headlinetxtrp">
    <w:name w:val="headline_txt_rp"/>
    <w:basedOn w:val="Normal"/>
    <w:uiPriority w:val="99"/>
    <w:rsid w:val="00DD485C"/>
    <w:pPr>
      <w:shd w:val="clear" w:color="auto" w:fill="66CC66"/>
      <w:spacing w:before="100" w:beforeAutospacing="1" w:after="100" w:afterAutospacing="1" w:line="255" w:lineRule="atLeast"/>
      <w:jc w:val="center"/>
    </w:pPr>
    <w:rPr>
      <w:rFonts w:eastAsia="Times New Roman"/>
      <w:b/>
      <w:bCs/>
      <w:color w:val="FFFFFF"/>
      <w:lang w:val="es-ES"/>
    </w:rPr>
  </w:style>
  <w:style w:type="paragraph" w:customStyle="1" w:styleId="headlinetxtpr">
    <w:name w:val="headline_txt_pr"/>
    <w:basedOn w:val="Normal"/>
    <w:uiPriority w:val="99"/>
    <w:rsid w:val="00DD485C"/>
    <w:pPr>
      <w:shd w:val="clear" w:color="auto" w:fill="339999"/>
      <w:spacing w:before="100" w:beforeAutospacing="1" w:after="100" w:afterAutospacing="1" w:line="255" w:lineRule="atLeast"/>
      <w:jc w:val="center"/>
    </w:pPr>
    <w:rPr>
      <w:rFonts w:eastAsia="Times New Roman"/>
      <w:b/>
      <w:bCs/>
      <w:color w:val="FFFFFF"/>
      <w:lang w:val="es-ES"/>
    </w:rPr>
  </w:style>
  <w:style w:type="paragraph" w:customStyle="1" w:styleId="headlinetxttools">
    <w:name w:val="headline_txt_tools"/>
    <w:basedOn w:val="Normal"/>
    <w:uiPriority w:val="99"/>
    <w:rsid w:val="00DD485C"/>
    <w:pPr>
      <w:shd w:val="clear" w:color="auto" w:fill="CCCC99"/>
      <w:spacing w:before="100" w:beforeAutospacing="1" w:after="100" w:afterAutospacing="1" w:line="255" w:lineRule="atLeast"/>
      <w:jc w:val="center"/>
    </w:pPr>
    <w:rPr>
      <w:rFonts w:eastAsia="Times New Roman"/>
      <w:b/>
      <w:bCs/>
      <w:color w:val="FFFFFF"/>
      <w:lang w:val="es-ES"/>
    </w:rPr>
  </w:style>
  <w:style w:type="paragraph" w:customStyle="1" w:styleId="headlinetxtpubs">
    <w:name w:val="headline_txt_pubs"/>
    <w:basedOn w:val="Normal"/>
    <w:uiPriority w:val="99"/>
    <w:rsid w:val="00DD485C"/>
    <w:pPr>
      <w:shd w:val="clear" w:color="auto" w:fill="996699"/>
      <w:spacing w:before="100" w:beforeAutospacing="1" w:after="100" w:afterAutospacing="1" w:line="255" w:lineRule="atLeast"/>
      <w:jc w:val="center"/>
    </w:pPr>
    <w:rPr>
      <w:rFonts w:eastAsia="Times New Roman"/>
      <w:b/>
      <w:bCs/>
      <w:color w:val="FFFFFF"/>
      <w:lang w:val="es-ES"/>
    </w:rPr>
  </w:style>
  <w:style w:type="paragraph" w:customStyle="1" w:styleId="headlinetxtsu">
    <w:name w:val="headline_txt_su"/>
    <w:basedOn w:val="Normal"/>
    <w:uiPriority w:val="99"/>
    <w:rsid w:val="00DD485C"/>
    <w:pPr>
      <w:shd w:val="clear" w:color="auto" w:fill="6699CC"/>
      <w:spacing w:before="100" w:beforeAutospacing="1" w:after="100" w:afterAutospacing="1" w:line="255" w:lineRule="atLeast"/>
      <w:jc w:val="center"/>
    </w:pPr>
    <w:rPr>
      <w:rFonts w:eastAsia="Times New Roman"/>
      <w:b/>
      <w:bCs/>
      <w:color w:val="FFFFFF"/>
      <w:lang w:val="es-ES"/>
    </w:rPr>
  </w:style>
  <w:style w:type="paragraph" w:customStyle="1" w:styleId="headline">
    <w:name w:val="headline"/>
    <w:basedOn w:val="Normal"/>
    <w:uiPriority w:val="99"/>
    <w:rsid w:val="00DD485C"/>
    <w:pPr>
      <w:spacing w:before="100" w:beforeAutospacing="1" w:after="100" w:afterAutospacing="1"/>
    </w:pPr>
    <w:rPr>
      <w:rFonts w:eastAsia="Times New Roman"/>
      <w:lang w:val="es-ES"/>
    </w:rPr>
  </w:style>
  <w:style w:type="paragraph" w:customStyle="1" w:styleId="infoboxblue">
    <w:name w:val="infobox_blue"/>
    <w:basedOn w:val="Normal"/>
    <w:uiPriority w:val="99"/>
    <w:rsid w:val="00DD485C"/>
    <w:pPr>
      <w:pBdr>
        <w:bottom w:val="single" w:sz="6" w:space="0" w:color="003366"/>
      </w:pBdr>
      <w:shd w:val="clear" w:color="auto" w:fill="D9EBF9"/>
      <w:spacing w:before="100" w:beforeAutospacing="1" w:after="100" w:afterAutospacing="1"/>
    </w:pPr>
    <w:rPr>
      <w:rFonts w:eastAsia="Times New Roman"/>
      <w:color w:val="003366"/>
      <w:lang w:val="es-ES"/>
    </w:rPr>
  </w:style>
  <w:style w:type="paragraph" w:customStyle="1" w:styleId="infoboxgrey">
    <w:name w:val="infobox_grey"/>
    <w:basedOn w:val="Normal"/>
    <w:uiPriority w:val="99"/>
    <w:rsid w:val="00DD485C"/>
    <w:pPr>
      <w:shd w:val="clear" w:color="auto" w:fill="D9EBF9"/>
      <w:spacing w:before="100" w:beforeAutospacing="1" w:after="100" w:afterAutospacing="1"/>
    </w:pPr>
    <w:rPr>
      <w:rFonts w:eastAsia="Times New Roman"/>
      <w:color w:val="003366"/>
      <w:lang w:val="es-ES"/>
    </w:rPr>
  </w:style>
  <w:style w:type="paragraph" w:customStyle="1" w:styleId="infoboxred">
    <w:name w:val="infobox_red"/>
    <w:basedOn w:val="Normal"/>
    <w:uiPriority w:val="99"/>
    <w:rsid w:val="00DD485C"/>
    <w:pPr>
      <w:shd w:val="clear" w:color="auto" w:fill="D9EBF9"/>
      <w:spacing w:before="100" w:beforeAutospacing="1" w:after="100" w:afterAutospacing="1"/>
    </w:pPr>
    <w:rPr>
      <w:rFonts w:eastAsia="Times New Roman"/>
      <w:color w:val="003366"/>
      <w:lang w:val="es-ES"/>
    </w:rPr>
  </w:style>
  <w:style w:type="paragraph" w:customStyle="1" w:styleId="infoboxsi">
    <w:name w:val="infobox_si"/>
    <w:basedOn w:val="Normal"/>
    <w:uiPriority w:val="99"/>
    <w:rsid w:val="00DD485C"/>
    <w:pPr>
      <w:spacing w:before="100" w:beforeAutospacing="1" w:after="100" w:afterAutospacing="1"/>
    </w:pPr>
    <w:rPr>
      <w:rFonts w:eastAsia="Times New Roman"/>
      <w:color w:val="003366"/>
      <w:lang w:val="es-ES"/>
    </w:rPr>
  </w:style>
  <w:style w:type="paragraph" w:customStyle="1" w:styleId="infoboxsitop">
    <w:name w:val="infobox_si_top"/>
    <w:basedOn w:val="Normal"/>
    <w:uiPriority w:val="99"/>
    <w:rsid w:val="00DD485C"/>
    <w:pPr>
      <w:shd w:val="clear" w:color="auto" w:fill="D9EBF9"/>
      <w:spacing w:before="100" w:beforeAutospacing="1" w:after="100" w:afterAutospacing="1"/>
    </w:pPr>
    <w:rPr>
      <w:rFonts w:eastAsia="Times New Roman"/>
      <w:lang w:val="es-ES"/>
    </w:rPr>
  </w:style>
  <w:style w:type="paragraph" w:customStyle="1" w:styleId="infoboxsibottom">
    <w:name w:val="infobox_si_bottom"/>
    <w:basedOn w:val="Normal"/>
    <w:uiPriority w:val="99"/>
    <w:rsid w:val="00DD485C"/>
    <w:pPr>
      <w:shd w:val="clear" w:color="auto" w:fill="D9EBF9"/>
      <w:spacing w:before="100" w:beforeAutospacing="1" w:after="100" w:afterAutospacing="1"/>
    </w:pPr>
    <w:rPr>
      <w:rFonts w:eastAsia="Times New Roman"/>
      <w:lang w:val="es-ES"/>
    </w:rPr>
  </w:style>
  <w:style w:type="paragraph" w:customStyle="1" w:styleId="infoboxcatwtop">
    <w:name w:val="infobox_catw_top"/>
    <w:basedOn w:val="Normal"/>
    <w:uiPriority w:val="99"/>
    <w:rsid w:val="00DD485C"/>
    <w:pPr>
      <w:shd w:val="clear" w:color="auto" w:fill="336699"/>
      <w:spacing w:before="100" w:beforeAutospacing="1" w:after="100" w:afterAutospacing="1"/>
    </w:pPr>
    <w:rPr>
      <w:rFonts w:eastAsia="Times New Roman"/>
      <w:lang w:val="es-ES"/>
    </w:rPr>
  </w:style>
  <w:style w:type="paragraph" w:customStyle="1" w:styleId="infoboxcatwbottom">
    <w:name w:val="infobox_catw_bottom"/>
    <w:basedOn w:val="Normal"/>
    <w:uiPriority w:val="99"/>
    <w:rsid w:val="00DD485C"/>
    <w:pPr>
      <w:shd w:val="clear" w:color="auto" w:fill="336699"/>
      <w:spacing w:before="100" w:beforeAutospacing="1" w:after="100" w:afterAutospacing="1"/>
    </w:pPr>
    <w:rPr>
      <w:rFonts w:eastAsia="Times New Roman"/>
      <w:lang w:val="es-ES"/>
    </w:rPr>
  </w:style>
  <w:style w:type="paragraph" w:customStyle="1" w:styleId="naviboxnewsletter">
    <w:name w:val="navibox_newsletter"/>
    <w:basedOn w:val="Normal"/>
    <w:uiPriority w:val="99"/>
    <w:rsid w:val="00DD485C"/>
    <w:pPr>
      <w:pBdr>
        <w:top w:val="single" w:sz="6" w:space="0" w:color="666666"/>
        <w:left w:val="single" w:sz="6" w:space="0" w:color="666666"/>
        <w:bottom w:val="single" w:sz="6" w:space="0" w:color="666666"/>
        <w:right w:val="single" w:sz="6" w:space="0" w:color="666666"/>
      </w:pBdr>
      <w:spacing w:line="288" w:lineRule="atLeast"/>
    </w:pPr>
    <w:rPr>
      <w:rFonts w:eastAsia="Times New Roman"/>
      <w:color w:val="333333"/>
      <w:lang w:val="es-ES"/>
    </w:rPr>
  </w:style>
  <w:style w:type="paragraph" w:customStyle="1" w:styleId="navibox">
    <w:name w:val="navibox"/>
    <w:basedOn w:val="Normal"/>
    <w:uiPriority w:val="99"/>
    <w:rsid w:val="00DD485C"/>
    <w:pPr>
      <w:pBdr>
        <w:top w:val="single" w:sz="6" w:space="4" w:color="666666"/>
        <w:left w:val="single" w:sz="6" w:space="4" w:color="666666"/>
        <w:bottom w:val="single" w:sz="6" w:space="4" w:color="666666"/>
        <w:right w:val="single" w:sz="6" w:space="4" w:color="666666"/>
      </w:pBdr>
      <w:spacing w:before="100" w:beforeAutospacing="1" w:after="100" w:afterAutospacing="1" w:line="288" w:lineRule="atLeast"/>
    </w:pPr>
    <w:rPr>
      <w:rFonts w:eastAsia="Times New Roman"/>
      <w:color w:val="333333"/>
      <w:lang w:val="es-ES"/>
    </w:rPr>
  </w:style>
  <w:style w:type="paragraph" w:customStyle="1" w:styleId="thirdlevelulnr">
    <w:name w:val="thirdlevel_ul_nr"/>
    <w:basedOn w:val="Normal"/>
    <w:uiPriority w:val="99"/>
    <w:rsid w:val="00DD485C"/>
    <w:rPr>
      <w:rFonts w:eastAsia="Times New Roman"/>
      <w:lang w:val="es-ES"/>
    </w:rPr>
  </w:style>
  <w:style w:type="paragraph" w:customStyle="1" w:styleId="thirdlevelulgp">
    <w:name w:val="thirdlevel_ul_gp"/>
    <w:basedOn w:val="Normal"/>
    <w:uiPriority w:val="99"/>
    <w:rsid w:val="00DD485C"/>
    <w:rPr>
      <w:rFonts w:eastAsia="Times New Roman"/>
      <w:lang w:val="es-ES"/>
    </w:rPr>
  </w:style>
  <w:style w:type="paragraph" w:customStyle="1" w:styleId="thirdlevelulrp">
    <w:name w:val="thirdlevel_ul_rp"/>
    <w:basedOn w:val="Normal"/>
    <w:uiPriority w:val="99"/>
    <w:rsid w:val="00DD485C"/>
    <w:rPr>
      <w:rFonts w:eastAsia="Times New Roman"/>
      <w:lang w:val="es-ES"/>
    </w:rPr>
  </w:style>
  <w:style w:type="paragraph" w:customStyle="1" w:styleId="thirdlevelulpr">
    <w:name w:val="thirdlevel_ul_pr"/>
    <w:basedOn w:val="Normal"/>
    <w:uiPriority w:val="99"/>
    <w:rsid w:val="00DD485C"/>
    <w:rPr>
      <w:rFonts w:eastAsia="Times New Roman"/>
      <w:lang w:val="es-ES"/>
    </w:rPr>
  </w:style>
  <w:style w:type="paragraph" w:customStyle="1" w:styleId="thirdlevelultools">
    <w:name w:val="thirdlevel_ul_tools"/>
    <w:basedOn w:val="Normal"/>
    <w:uiPriority w:val="99"/>
    <w:rsid w:val="00DD485C"/>
    <w:rPr>
      <w:rFonts w:eastAsia="Times New Roman"/>
      <w:lang w:val="es-ES"/>
    </w:rPr>
  </w:style>
  <w:style w:type="paragraph" w:customStyle="1" w:styleId="thirdlevelulpubs">
    <w:name w:val="thirdlevel_ul_pubs"/>
    <w:basedOn w:val="Normal"/>
    <w:uiPriority w:val="99"/>
    <w:rsid w:val="00DD485C"/>
    <w:rPr>
      <w:rFonts w:eastAsia="Times New Roman"/>
      <w:lang w:val="es-ES"/>
    </w:rPr>
  </w:style>
  <w:style w:type="paragraph" w:customStyle="1" w:styleId="thirdlevelulsu">
    <w:name w:val="thirdlevel_ul_su"/>
    <w:basedOn w:val="Normal"/>
    <w:uiPriority w:val="99"/>
    <w:rsid w:val="00DD485C"/>
    <w:rPr>
      <w:rFonts w:eastAsia="Times New Roman"/>
      <w:lang w:val="es-ES"/>
    </w:rPr>
  </w:style>
  <w:style w:type="paragraph" w:customStyle="1" w:styleId="fourthlevelulnr">
    <w:name w:val="fourthlevel_ul_nr"/>
    <w:basedOn w:val="Normal"/>
    <w:uiPriority w:val="99"/>
    <w:rsid w:val="00DD485C"/>
    <w:rPr>
      <w:rFonts w:eastAsia="Times New Roman"/>
      <w:lang w:val="es-ES"/>
    </w:rPr>
  </w:style>
  <w:style w:type="paragraph" w:customStyle="1" w:styleId="fourthlevelulgp">
    <w:name w:val="fourthlevel_ul_gp"/>
    <w:basedOn w:val="Normal"/>
    <w:uiPriority w:val="99"/>
    <w:rsid w:val="00DD485C"/>
    <w:rPr>
      <w:rFonts w:eastAsia="Times New Roman"/>
      <w:lang w:val="es-ES"/>
    </w:rPr>
  </w:style>
  <w:style w:type="paragraph" w:customStyle="1" w:styleId="fourthlevelulrp">
    <w:name w:val="fourthlevel_ul_rp"/>
    <w:basedOn w:val="Normal"/>
    <w:uiPriority w:val="99"/>
    <w:rsid w:val="00DD485C"/>
    <w:rPr>
      <w:rFonts w:eastAsia="Times New Roman"/>
      <w:lang w:val="es-ES"/>
    </w:rPr>
  </w:style>
  <w:style w:type="paragraph" w:customStyle="1" w:styleId="fourthlevelulpr">
    <w:name w:val="fourthlevel_ul_pr"/>
    <w:basedOn w:val="Normal"/>
    <w:uiPriority w:val="99"/>
    <w:rsid w:val="00DD485C"/>
    <w:rPr>
      <w:rFonts w:eastAsia="Times New Roman"/>
      <w:lang w:val="es-ES"/>
    </w:rPr>
  </w:style>
  <w:style w:type="paragraph" w:customStyle="1" w:styleId="fourthlevelultools">
    <w:name w:val="fourthlevel_ul_tools"/>
    <w:basedOn w:val="Normal"/>
    <w:uiPriority w:val="99"/>
    <w:rsid w:val="00DD485C"/>
    <w:rPr>
      <w:rFonts w:eastAsia="Times New Roman"/>
      <w:lang w:val="es-ES"/>
    </w:rPr>
  </w:style>
  <w:style w:type="paragraph" w:customStyle="1" w:styleId="fourthlevelulpubs">
    <w:name w:val="fourthlevel_ul_pubs"/>
    <w:basedOn w:val="Normal"/>
    <w:uiPriority w:val="99"/>
    <w:rsid w:val="00DD485C"/>
    <w:rPr>
      <w:rFonts w:eastAsia="Times New Roman"/>
      <w:lang w:val="es-ES"/>
    </w:rPr>
  </w:style>
  <w:style w:type="paragraph" w:customStyle="1" w:styleId="fourthlevelulsu">
    <w:name w:val="fourthlevel_ul_su"/>
    <w:basedOn w:val="Normal"/>
    <w:uiPriority w:val="99"/>
    <w:rsid w:val="00DD485C"/>
    <w:rPr>
      <w:rFonts w:eastAsia="Times New Roman"/>
      <w:lang w:val="es-ES"/>
    </w:rPr>
  </w:style>
  <w:style w:type="paragraph" w:customStyle="1" w:styleId="fifthlevelulnr">
    <w:name w:val="fifthlevel_ul_nr"/>
    <w:basedOn w:val="Normal"/>
    <w:uiPriority w:val="99"/>
    <w:rsid w:val="00DD485C"/>
    <w:rPr>
      <w:rFonts w:eastAsia="Times New Roman"/>
      <w:lang w:val="es-ES"/>
    </w:rPr>
  </w:style>
  <w:style w:type="paragraph" w:customStyle="1" w:styleId="fifthlevelulgp">
    <w:name w:val="fifthlevel_ul_gp"/>
    <w:basedOn w:val="Normal"/>
    <w:uiPriority w:val="99"/>
    <w:rsid w:val="00DD485C"/>
    <w:rPr>
      <w:rFonts w:eastAsia="Times New Roman"/>
      <w:lang w:val="es-ES"/>
    </w:rPr>
  </w:style>
  <w:style w:type="paragraph" w:customStyle="1" w:styleId="fifthlevelulrp">
    <w:name w:val="fifthlevel_ul_rp"/>
    <w:basedOn w:val="Normal"/>
    <w:uiPriority w:val="99"/>
    <w:rsid w:val="00DD485C"/>
    <w:rPr>
      <w:rFonts w:eastAsia="Times New Roman"/>
      <w:lang w:val="es-ES"/>
    </w:rPr>
  </w:style>
  <w:style w:type="paragraph" w:customStyle="1" w:styleId="fifthlevelulpr">
    <w:name w:val="fifthlevel_ul_pr"/>
    <w:basedOn w:val="Normal"/>
    <w:uiPriority w:val="99"/>
    <w:rsid w:val="00DD485C"/>
    <w:rPr>
      <w:rFonts w:eastAsia="Times New Roman"/>
      <w:lang w:val="es-ES"/>
    </w:rPr>
  </w:style>
  <w:style w:type="paragraph" w:customStyle="1" w:styleId="fifthlevelultools">
    <w:name w:val="fifthlevel_ul_tools"/>
    <w:basedOn w:val="Normal"/>
    <w:uiPriority w:val="99"/>
    <w:rsid w:val="00DD485C"/>
    <w:rPr>
      <w:rFonts w:eastAsia="Times New Roman"/>
      <w:lang w:val="es-ES"/>
    </w:rPr>
  </w:style>
  <w:style w:type="paragraph" w:customStyle="1" w:styleId="fifthlevelulpubs">
    <w:name w:val="fifthlevel_ul_pubs"/>
    <w:basedOn w:val="Normal"/>
    <w:uiPriority w:val="99"/>
    <w:rsid w:val="00DD485C"/>
    <w:rPr>
      <w:rFonts w:eastAsia="Times New Roman"/>
      <w:lang w:val="es-ES"/>
    </w:rPr>
  </w:style>
  <w:style w:type="paragraph" w:customStyle="1" w:styleId="fifthlevelulsu">
    <w:name w:val="fifthlevel_ul_su"/>
    <w:basedOn w:val="Normal"/>
    <w:uiPriority w:val="99"/>
    <w:rsid w:val="00DD485C"/>
    <w:rPr>
      <w:rFonts w:eastAsia="Times New Roman"/>
      <w:lang w:val="es-ES"/>
    </w:rPr>
  </w:style>
  <w:style w:type="paragraph" w:customStyle="1" w:styleId="thirdlevellistnr">
    <w:name w:val="thirdlevel_list_nr"/>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nr">
    <w:name w:val="fourthlevel_list_nr"/>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nsnr">
    <w:name w:val="thirdlevel_list_active_ns_nr"/>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nsnr">
    <w:name w:val="fourthlevel_list_active_ns_nr"/>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wsnr">
    <w:name w:val="thirdlevel_list_active_ws_nr"/>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wsnr">
    <w:name w:val="fourthlevel_list_active_ws_nr"/>
    <w:basedOn w:val="Normal"/>
    <w:uiPriority w:val="99"/>
    <w:rsid w:val="00DD485C"/>
    <w:pPr>
      <w:spacing w:before="100" w:beforeAutospacing="1" w:after="100" w:afterAutospacing="1"/>
    </w:pPr>
    <w:rPr>
      <w:rFonts w:eastAsia="Times New Roman"/>
      <w:color w:val="333333"/>
      <w:lang w:val="es-ES"/>
    </w:rPr>
  </w:style>
  <w:style w:type="paragraph" w:customStyle="1" w:styleId="thirdlevellistgp">
    <w:name w:val="thirdlevel_list_gp"/>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gp">
    <w:name w:val="fourthlevel_list_gp"/>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nsgp">
    <w:name w:val="thirdlevel_list_active_ns_gp"/>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nsgp">
    <w:name w:val="fourthlevel_list_active_ns_gp"/>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wsgp">
    <w:name w:val="thirdlevel_list_active_ws_gp"/>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wsgp">
    <w:name w:val="fourthlevel_list_active_ws_gp"/>
    <w:basedOn w:val="Normal"/>
    <w:uiPriority w:val="99"/>
    <w:rsid w:val="00DD485C"/>
    <w:pPr>
      <w:spacing w:before="100" w:beforeAutospacing="1" w:after="100" w:afterAutospacing="1"/>
    </w:pPr>
    <w:rPr>
      <w:rFonts w:eastAsia="Times New Roman"/>
      <w:color w:val="333333"/>
      <w:lang w:val="es-ES"/>
    </w:rPr>
  </w:style>
  <w:style w:type="paragraph" w:customStyle="1" w:styleId="thirdlevellistrp">
    <w:name w:val="thirdlevel_list_rp"/>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rp">
    <w:name w:val="fourthlevel_list_rp"/>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nsrp">
    <w:name w:val="thirdlevel_list_active_ns_rp"/>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nsrp">
    <w:name w:val="fourthlevel_list_active_ns_rp"/>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wsrp">
    <w:name w:val="thirdlevel_list_active_ws_rp"/>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wsrp">
    <w:name w:val="fourthlevel_list_active_ws_rp"/>
    <w:basedOn w:val="Normal"/>
    <w:uiPriority w:val="99"/>
    <w:rsid w:val="00DD485C"/>
    <w:pPr>
      <w:spacing w:before="100" w:beforeAutospacing="1" w:after="100" w:afterAutospacing="1"/>
    </w:pPr>
    <w:rPr>
      <w:rFonts w:eastAsia="Times New Roman"/>
      <w:color w:val="333333"/>
      <w:lang w:val="es-ES"/>
    </w:rPr>
  </w:style>
  <w:style w:type="paragraph" w:customStyle="1" w:styleId="thirdlevellistpr">
    <w:name w:val="thirdlevel_list_pr"/>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pr">
    <w:name w:val="fourthlevel_list_pr"/>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nspr">
    <w:name w:val="thirdlevel_list_active_ns_pr"/>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nspr">
    <w:name w:val="fourthlevel_list_active_ns_pr"/>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wspr">
    <w:name w:val="thirdlevel_list_active_ws_pr"/>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wspr">
    <w:name w:val="fourthlevel_list_active_ws_pr"/>
    <w:basedOn w:val="Normal"/>
    <w:uiPriority w:val="99"/>
    <w:rsid w:val="00DD485C"/>
    <w:pPr>
      <w:spacing w:before="100" w:beforeAutospacing="1" w:after="100" w:afterAutospacing="1"/>
    </w:pPr>
    <w:rPr>
      <w:rFonts w:eastAsia="Times New Roman"/>
      <w:color w:val="333333"/>
      <w:lang w:val="es-ES"/>
    </w:rPr>
  </w:style>
  <w:style w:type="paragraph" w:customStyle="1" w:styleId="thirdlevellisttools">
    <w:name w:val="thirdlevel_list_tools"/>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tools">
    <w:name w:val="fourthlevel_list_tools"/>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nstools">
    <w:name w:val="thirdlevel_list_active_ns_tools"/>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nstools">
    <w:name w:val="fourthlevel_list_active_ns_tools"/>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wstools">
    <w:name w:val="thirdlevel_list_active_ws_tools"/>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wstools">
    <w:name w:val="fourthlevel_list_active_ws_tools"/>
    <w:basedOn w:val="Normal"/>
    <w:uiPriority w:val="99"/>
    <w:rsid w:val="00DD485C"/>
    <w:pPr>
      <w:spacing w:before="100" w:beforeAutospacing="1" w:after="100" w:afterAutospacing="1"/>
    </w:pPr>
    <w:rPr>
      <w:rFonts w:eastAsia="Times New Roman"/>
      <w:color w:val="333333"/>
      <w:lang w:val="es-ES"/>
    </w:rPr>
  </w:style>
  <w:style w:type="paragraph" w:customStyle="1" w:styleId="thirdlevellistpubs">
    <w:name w:val="thirdlevel_list_pubs"/>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pubs">
    <w:name w:val="fourthlevel_list_pubs"/>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nspubs">
    <w:name w:val="thirdlevel_list_active_ns_pubs"/>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nspubs">
    <w:name w:val="fourthlevel_list_active_ns_pubs"/>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wspubs">
    <w:name w:val="thirdlevel_list_active_ws_pubs"/>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wspubs">
    <w:name w:val="fourthlevel_list_active_ws_pubs"/>
    <w:basedOn w:val="Normal"/>
    <w:uiPriority w:val="99"/>
    <w:rsid w:val="00DD485C"/>
    <w:pPr>
      <w:spacing w:before="100" w:beforeAutospacing="1" w:after="100" w:afterAutospacing="1"/>
    </w:pPr>
    <w:rPr>
      <w:rFonts w:eastAsia="Times New Roman"/>
      <w:color w:val="333333"/>
      <w:lang w:val="es-ES"/>
    </w:rPr>
  </w:style>
  <w:style w:type="paragraph" w:customStyle="1" w:styleId="thirdlevellistsu">
    <w:name w:val="thirdlevel_list_su"/>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su">
    <w:name w:val="fourthlevel_list_su"/>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nssu">
    <w:name w:val="thirdlevel_list_active_ns_su"/>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nssu">
    <w:name w:val="fourthlevel_list_active_ns_su"/>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wssu">
    <w:name w:val="thirdlevel_list_active_ws_su"/>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wssu">
    <w:name w:val="fourthlevel_list_active_ws_su"/>
    <w:basedOn w:val="Normal"/>
    <w:uiPriority w:val="99"/>
    <w:rsid w:val="00DD485C"/>
    <w:pPr>
      <w:spacing w:before="100" w:beforeAutospacing="1" w:after="100" w:afterAutospacing="1"/>
    </w:pPr>
    <w:rPr>
      <w:rFonts w:eastAsia="Times New Roman"/>
      <w:color w:val="333333"/>
      <w:lang w:val="es-ES"/>
    </w:rPr>
  </w:style>
  <w:style w:type="paragraph" w:customStyle="1" w:styleId="fifthlevellistnr">
    <w:name w:val="fifthlevel_list_nr"/>
    <w:basedOn w:val="Normal"/>
    <w:uiPriority w:val="99"/>
    <w:rsid w:val="00DD485C"/>
    <w:pPr>
      <w:spacing w:before="100" w:beforeAutospacing="1" w:after="100" w:afterAutospacing="1"/>
    </w:pPr>
    <w:rPr>
      <w:rFonts w:eastAsia="Times New Roman"/>
      <w:color w:val="333333"/>
      <w:lang w:val="es-ES"/>
    </w:rPr>
  </w:style>
  <w:style w:type="paragraph" w:customStyle="1" w:styleId="fifthlevellistgp">
    <w:name w:val="fifthlevel_list_gp"/>
    <w:basedOn w:val="Normal"/>
    <w:uiPriority w:val="99"/>
    <w:rsid w:val="00DD485C"/>
    <w:pPr>
      <w:spacing w:before="100" w:beforeAutospacing="1" w:after="100" w:afterAutospacing="1"/>
    </w:pPr>
    <w:rPr>
      <w:rFonts w:eastAsia="Times New Roman"/>
      <w:color w:val="333333"/>
      <w:lang w:val="es-ES"/>
    </w:rPr>
  </w:style>
  <w:style w:type="paragraph" w:customStyle="1" w:styleId="fifthlevellistrp">
    <w:name w:val="fifthlevel_list_rp"/>
    <w:basedOn w:val="Normal"/>
    <w:uiPriority w:val="99"/>
    <w:rsid w:val="00DD485C"/>
    <w:pPr>
      <w:spacing w:before="100" w:beforeAutospacing="1" w:after="100" w:afterAutospacing="1"/>
    </w:pPr>
    <w:rPr>
      <w:rFonts w:eastAsia="Times New Roman"/>
      <w:color w:val="333333"/>
      <w:lang w:val="es-ES"/>
    </w:rPr>
  </w:style>
  <w:style w:type="paragraph" w:customStyle="1" w:styleId="fifthlevellistpr">
    <w:name w:val="fifthlevel_list_pr"/>
    <w:basedOn w:val="Normal"/>
    <w:uiPriority w:val="99"/>
    <w:rsid w:val="00DD485C"/>
    <w:pPr>
      <w:spacing w:before="100" w:beforeAutospacing="1" w:after="100" w:afterAutospacing="1"/>
    </w:pPr>
    <w:rPr>
      <w:rFonts w:eastAsia="Times New Roman"/>
      <w:color w:val="333333"/>
      <w:lang w:val="es-ES"/>
    </w:rPr>
  </w:style>
  <w:style w:type="paragraph" w:customStyle="1" w:styleId="fifthlevellisttools">
    <w:name w:val="fifthlevel_list_tools"/>
    <w:basedOn w:val="Normal"/>
    <w:uiPriority w:val="99"/>
    <w:rsid w:val="00DD485C"/>
    <w:pPr>
      <w:spacing w:before="100" w:beforeAutospacing="1" w:after="100" w:afterAutospacing="1"/>
    </w:pPr>
    <w:rPr>
      <w:rFonts w:eastAsia="Times New Roman"/>
      <w:color w:val="333333"/>
      <w:lang w:val="es-ES"/>
    </w:rPr>
  </w:style>
  <w:style w:type="paragraph" w:customStyle="1" w:styleId="fifthlevellistpubs">
    <w:name w:val="fifthlevel_list_pubs"/>
    <w:basedOn w:val="Normal"/>
    <w:uiPriority w:val="99"/>
    <w:rsid w:val="00DD485C"/>
    <w:pPr>
      <w:spacing w:before="100" w:beforeAutospacing="1" w:after="100" w:afterAutospacing="1"/>
    </w:pPr>
    <w:rPr>
      <w:rFonts w:eastAsia="Times New Roman"/>
      <w:color w:val="333333"/>
      <w:lang w:val="es-ES"/>
    </w:rPr>
  </w:style>
  <w:style w:type="paragraph" w:customStyle="1" w:styleId="fifthlevellistsu">
    <w:name w:val="fifthlevel_list_su"/>
    <w:basedOn w:val="Normal"/>
    <w:uiPriority w:val="99"/>
    <w:rsid w:val="00DD485C"/>
    <w:pPr>
      <w:spacing w:before="100" w:beforeAutospacing="1" w:after="100" w:afterAutospacing="1"/>
    </w:pPr>
    <w:rPr>
      <w:rFonts w:eastAsia="Times New Roman"/>
      <w:color w:val="333333"/>
      <w:lang w:val="es-ES"/>
    </w:rPr>
  </w:style>
  <w:style w:type="paragraph" w:customStyle="1" w:styleId="fifthlevellistactivenr">
    <w:name w:val="fifthlevel_list_active_nr"/>
    <w:basedOn w:val="Normal"/>
    <w:uiPriority w:val="99"/>
    <w:rsid w:val="00DD485C"/>
    <w:pPr>
      <w:shd w:val="clear" w:color="auto" w:fill="FACBCF"/>
      <w:spacing w:before="100" w:beforeAutospacing="1" w:after="100" w:afterAutospacing="1"/>
    </w:pPr>
    <w:rPr>
      <w:rFonts w:eastAsia="Times New Roman"/>
      <w:color w:val="333333"/>
      <w:lang w:val="es-ES"/>
    </w:rPr>
  </w:style>
  <w:style w:type="paragraph" w:customStyle="1" w:styleId="fifthlevellistactivegp">
    <w:name w:val="fifthlevel_list_active_gp"/>
    <w:basedOn w:val="Normal"/>
    <w:uiPriority w:val="99"/>
    <w:rsid w:val="00DD485C"/>
    <w:pPr>
      <w:shd w:val="clear" w:color="auto" w:fill="F5EAC8"/>
      <w:spacing w:before="100" w:beforeAutospacing="1" w:after="100" w:afterAutospacing="1"/>
    </w:pPr>
    <w:rPr>
      <w:rFonts w:eastAsia="Times New Roman"/>
      <w:color w:val="333333"/>
      <w:lang w:val="es-ES"/>
    </w:rPr>
  </w:style>
  <w:style w:type="paragraph" w:customStyle="1" w:styleId="fifthlevellistactiverp">
    <w:name w:val="fifthlevel_list_active_rp"/>
    <w:basedOn w:val="Normal"/>
    <w:uiPriority w:val="99"/>
    <w:rsid w:val="00DD485C"/>
    <w:pPr>
      <w:shd w:val="clear" w:color="auto" w:fill="CCE4CB"/>
      <w:spacing w:before="100" w:beforeAutospacing="1" w:after="100" w:afterAutospacing="1"/>
    </w:pPr>
    <w:rPr>
      <w:rFonts w:eastAsia="Times New Roman"/>
      <w:color w:val="333333"/>
      <w:lang w:val="es-ES"/>
    </w:rPr>
  </w:style>
  <w:style w:type="paragraph" w:customStyle="1" w:styleId="fifthlevellistactivepr">
    <w:name w:val="fifthlevel_list_active_pr"/>
    <w:basedOn w:val="Normal"/>
    <w:uiPriority w:val="99"/>
    <w:rsid w:val="00DD485C"/>
    <w:pPr>
      <w:shd w:val="clear" w:color="auto" w:fill="C7D9D8"/>
      <w:spacing w:before="100" w:beforeAutospacing="1" w:after="100" w:afterAutospacing="1"/>
    </w:pPr>
    <w:rPr>
      <w:rFonts w:eastAsia="Times New Roman"/>
      <w:color w:val="333333"/>
      <w:lang w:val="es-ES"/>
    </w:rPr>
  </w:style>
  <w:style w:type="paragraph" w:customStyle="1" w:styleId="fifthlevellistactivetools">
    <w:name w:val="fifthlevel_list_active_tools"/>
    <w:basedOn w:val="Normal"/>
    <w:uiPriority w:val="99"/>
    <w:rsid w:val="00DD485C"/>
    <w:pPr>
      <w:shd w:val="clear" w:color="auto" w:fill="E2E2CB"/>
      <w:spacing w:before="100" w:beforeAutospacing="1" w:after="100" w:afterAutospacing="1"/>
    </w:pPr>
    <w:rPr>
      <w:rFonts w:eastAsia="Times New Roman"/>
      <w:color w:val="333333"/>
      <w:lang w:val="es-ES"/>
    </w:rPr>
  </w:style>
  <w:style w:type="paragraph" w:customStyle="1" w:styleId="fifthlevellistactivepubs">
    <w:name w:val="fifthlevel_list_active_pubs"/>
    <w:basedOn w:val="Normal"/>
    <w:uiPriority w:val="99"/>
    <w:rsid w:val="00DD485C"/>
    <w:pPr>
      <w:shd w:val="clear" w:color="auto" w:fill="DDCFDC"/>
      <w:spacing w:before="100" w:beforeAutospacing="1" w:after="100" w:afterAutospacing="1"/>
    </w:pPr>
    <w:rPr>
      <w:rFonts w:eastAsia="Times New Roman"/>
      <w:color w:val="333333"/>
      <w:lang w:val="es-ES"/>
    </w:rPr>
  </w:style>
  <w:style w:type="paragraph" w:customStyle="1" w:styleId="fifthlevellistactivesu">
    <w:name w:val="fifthlevel_list_active_su"/>
    <w:basedOn w:val="Normal"/>
    <w:uiPriority w:val="99"/>
    <w:rsid w:val="00DD485C"/>
    <w:pPr>
      <w:shd w:val="clear" w:color="auto" w:fill="E1ECF3"/>
      <w:spacing w:before="100" w:beforeAutospacing="1" w:after="100" w:afterAutospacing="1"/>
    </w:pPr>
    <w:rPr>
      <w:rFonts w:eastAsia="Times New Roman"/>
      <w:color w:val="333333"/>
      <w:lang w:val="es-ES"/>
    </w:rPr>
  </w:style>
  <w:style w:type="paragraph" w:customStyle="1" w:styleId="titledividelevel3nr">
    <w:name w:val="titledivide_level3_nr"/>
    <w:basedOn w:val="Normal"/>
    <w:uiPriority w:val="99"/>
    <w:rsid w:val="00DD485C"/>
    <w:pPr>
      <w:shd w:val="clear" w:color="auto" w:fill="CC0000"/>
      <w:spacing w:before="45" w:after="45"/>
    </w:pPr>
    <w:rPr>
      <w:rFonts w:eastAsia="Times New Roman"/>
      <w:b/>
      <w:bCs/>
      <w:color w:val="FFFFFF"/>
      <w:lang w:val="es-ES"/>
    </w:rPr>
  </w:style>
  <w:style w:type="paragraph" w:customStyle="1" w:styleId="titledividelevel4nr">
    <w:name w:val="titledivide_level4_nr"/>
    <w:basedOn w:val="Normal"/>
    <w:uiPriority w:val="99"/>
    <w:rsid w:val="00DD485C"/>
    <w:pPr>
      <w:shd w:val="clear" w:color="auto" w:fill="CC0000"/>
      <w:spacing w:before="45" w:after="45"/>
    </w:pPr>
    <w:rPr>
      <w:rFonts w:eastAsia="Times New Roman"/>
      <w:b/>
      <w:bCs/>
      <w:color w:val="FFFFFF"/>
      <w:lang w:val="es-ES"/>
    </w:rPr>
  </w:style>
  <w:style w:type="paragraph" w:customStyle="1" w:styleId="titledividelevel5nr">
    <w:name w:val="titledivide_level5_nr"/>
    <w:basedOn w:val="Normal"/>
    <w:uiPriority w:val="99"/>
    <w:rsid w:val="00DD485C"/>
    <w:pPr>
      <w:shd w:val="clear" w:color="auto" w:fill="CC0000"/>
      <w:spacing w:before="45" w:after="45"/>
    </w:pPr>
    <w:rPr>
      <w:rFonts w:eastAsia="Times New Roman"/>
      <w:b/>
      <w:bCs/>
      <w:color w:val="FFFFFF"/>
      <w:lang w:val="es-ES"/>
    </w:rPr>
  </w:style>
  <w:style w:type="paragraph" w:customStyle="1" w:styleId="titledividelevel3gp">
    <w:name w:val="titledivide_level3_gp"/>
    <w:basedOn w:val="Normal"/>
    <w:uiPriority w:val="99"/>
    <w:rsid w:val="00DD485C"/>
    <w:pPr>
      <w:shd w:val="clear" w:color="auto" w:fill="FF9933"/>
      <w:spacing w:before="45" w:after="45"/>
    </w:pPr>
    <w:rPr>
      <w:rFonts w:eastAsia="Times New Roman"/>
      <w:b/>
      <w:bCs/>
      <w:color w:val="FFFFFF"/>
      <w:lang w:val="es-ES"/>
    </w:rPr>
  </w:style>
  <w:style w:type="paragraph" w:customStyle="1" w:styleId="titledividelevel4gp">
    <w:name w:val="titledivide_level4_gp"/>
    <w:basedOn w:val="Normal"/>
    <w:uiPriority w:val="99"/>
    <w:rsid w:val="00DD485C"/>
    <w:pPr>
      <w:shd w:val="clear" w:color="auto" w:fill="FF9933"/>
      <w:spacing w:before="45" w:after="45"/>
    </w:pPr>
    <w:rPr>
      <w:rFonts w:eastAsia="Times New Roman"/>
      <w:b/>
      <w:bCs/>
      <w:color w:val="FFFFFF"/>
      <w:lang w:val="es-ES"/>
    </w:rPr>
  </w:style>
  <w:style w:type="paragraph" w:customStyle="1" w:styleId="titledividelevel5gp">
    <w:name w:val="titledivide_level5_gp"/>
    <w:basedOn w:val="Normal"/>
    <w:uiPriority w:val="99"/>
    <w:rsid w:val="00DD485C"/>
    <w:pPr>
      <w:shd w:val="clear" w:color="auto" w:fill="FF9933"/>
      <w:spacing w:before="45" w:after="45"/>
    </w:pPr>
    <w:rPr>
      <w:rFonts w:eastAsia="Times New Roman"/>
      <w:b/>
      <w:bCs/>
      <w:color w:val="FFFFFF"/>
      <w:lang w:val="es-ES"/>
    </w:rPr>
  </w:style>
  <w:style w:type="paragraph" w:customStyle="1" w:styleId="titledividelevel3rp">
    <w:name w:val="titledivide_level3_rp"/>
    <w:basedOn w:val="Normal"/>
    <w:uiPriority w:val="99"/>
    <w:rsid w:val="00DD485C"/>
    <w:pPr>
      <w:shd w:val="clear" w:color="auto" w:fill="66CC66"/>
      <w:spacing w:before="45" w:after="45"/>
    </w:pPr>
    <w:rPr>
      <w:rFonts w:eastAsia="Times New Roman"/>
      <w:b/>
      <w:bCs/>
      <w:color w:val="FFFFFF"/>
      <w:lang w:val="es-ES"/>
    </w:rPr>
  </w:style>
  <w:style w:type="paragraph" w:customStyle="1" w:styleId="titledividelevel4rp">
    <w:name w:val="titledivide_level4_rp"/>
    <w:basedOn w:val="Normal"/>
    <w:uiPriority w:val="99"/>
    <w:rsid w:val="00DD485C"/>
    <w:pPr>
      <w:shd w:val="clear" w:color="auto" w:fill="66CC66"/>
      <w:spacing w:before="45" w:after="45"/>
    </w:pPr>
    <w:rPr>
      <w:rFonts w:eastAsia="Times New Roman"/>
      <w:b/>
      <w:bCs/>
      <w:color w:val="FFFFFF"/>
      <w:lang w:val="es-ES"/>
    </w:rPr>
  </w:style>
  <w:style w:type="paragraph" w:customStyle="1" w:styleId="titledividelevel5rp">
    <w:name w:val="titledivide_level5_rp"/>
    <w:basedOn w:val="Normal"/>
    <w:uiPriority w:val="99"/>
    <w:rsid w:val="00DD485C"/>
    <w:pPr>
      <w:shd w:val="clear" w:color="auto" w:fill="66CC66"/>
      <w:spacing w:before="45" w:after="45"/>
    </w:pPr>
    <w:rPr>
      <w:rFonts w:eastAsia="Times New Roman"/>
      <w:b/>
      <w:bCs/>
      <w:color w:val="FFFFFF"/>
      <w:lang w:val="es-ES"/>
    </w:rPr>
  </w:style>
  <w:style w:type="paragraph" w:customStyle="1" w:styleId="titledividelevel3pr">
    <w:name w:val="titledivide_level3_pr"/>
    <w:basedOn w:val="Normal"/>
    <w:uiPriority w:val="99"/>
    <w:rsid w:val="00DD485C"/>
    <w:pPr>
      <w:shd w:val="clear" w:color="auto" w:fill="339999"/>
      <w:spacing w:before="45" w:after="45"/>
    </w:pPr>
    <w:rPr>
      <w:rFonts w:eastAsia="Times New Roman"/>
      <w:b/>
      <w:bCs/>
      <w:color w:val="FFFFFF"/>
      <w:lang w:val="es-ES"/>
    </w:rPr>
  </w:style>
  <w:style w:type="paragraph" w:customStyle="1" w:styleId="titledividelevel4pr">
    <w:name w:val="titledivide_level4_pr"/>
    <w:basedOn w:val="Normal"/>
    <w:uiPriority w:val="99"/>
    <w:rsid w:val="00DD485C"/>
    <w:pPr>
      <w:shd w:val="clear" w:color="auto" w:fill="339999"/>
      <w:spacing w:before="45" w:after="45"/>
    </w:pPr>
    <w:rPr>
      <w:rFonts w:eastAsia="Times New Roman"/>
      <w:b/>
      <w:bCs/>
      <w:color w:val="FFFFFF"/>
      <w:lang w:val="es-ES"/>
    </w:rPr>
  </w:style>
  <w:style w:type="paragraph" w:customStyle="1" w:styleId="titledividelevel5pr">
    <w:name w:val="titledivide_level5_pr"/>
    <w:basedOn w:val="Normal"/>
    <w:uiPriority w:val="99"/>
    <w:rsid w:val="00DD485C"/>
    <w:pPr>
      <w:shd w:val="clear" w:color="auto" w:fill="339999"/>
      <w:spacing w:before="45" w:after="45"/>
    </w:pPr>
    <w:rPr>
      <w:rFonts w:eastAsia="Times New Roman"/>
      <w:b/>
      <w:bCs/>
      <w:color w:val="FFFFFF"/>
      <w:lang w:val="es-ES"/>
    </w:rPr>
  </w:style>
  <w:style w:type="paragraph" w:customStyle="1" w:styleId="titledividelevel3tools">
    <w:name w:val="titledivide_level3_tools"/>
    <w:basedOn w:val="Normal"/>
    <w:uiPriority w:val="99"/>
    <w:rsid w:val="00DD485C"/>
    <w:pPr>
      <w:shd w:val="clear" w:color="auto" w:fill="CCCC99"/>
      <w:spacing w:before="45" w:after="45"/>
    </w:pPr>
    <w:rPr>
      <w:rFonts w:eastAsia="Times New Roman"/>
      <w:b/>
      <w:bCs/>
      <w:color w:val="FFFFFF"/>
      <w:lang w:val="es-ES"/>
    </w:rPr>
  </w:style>
  <w:style w:type="paragraph" w:customStyle="1" w:styleId="titledividelevel4tools">
    <w:name w:val="titledivide_level4_tools"/>
    <w:basedOn w:val="Normal"/>
    <w:uiPriority w:val="99"/>
    <w:rsid w:val="00DD485C"/>
    <w:pPr>
      <w:shd w:val="clear" w:color="auto" w:fill="CCCC99"/>
      <w:spacing w:before="45" w:after="45"/>
    </w:pPr>
    <w:rPr>
      <w:rFonts w:eastAsia="Times New Roman"/>
      <w:b/>
      <w:bCs/>
      <w:color w:val="FFFFFF"/>
      <w:lang w:val="es-ES"/>
    </w:rPr>
  </w:style>
  <w:style w:type="paragraph" w:customStyle="1" w:styleId="titledividelevel5tools">
    <w:name w:val="titledivide_level5_tools"/>
    <w:basedOn w:val="Normal"/>
    <w:uiPriority w:val="99"/>
    <w:rsid w:val="00DD485C"/>
    <w:pPr>
      <w:shd w:val="clear" w:color="auto" w:fill="CCCC99"/>
      <w:spacing w:before="45" w:after="45"/>
    </w:pPr>
    <w:rPr>
      <w:rFonts w:eastAsia="Times New Roman"/>
      <w:b/>
      <w:bCs/>
      <w:color w:val="FFFFFF"/>
      <w:lang w:val="es-ES"/>
    </w:rPr>
  </w:style>
  <w:style w:type="paragraph" w:customStyle="1" w:styleId="titledividelevel3pubs">
    <w:name w:val="titledivide_level3_pubs"/>
    <w:basedOn w:val="Normal"/>
    <w:uiPriority w:val="99"/>
    <w:rsid w:val="00DD485C"/>
    <w:pPr>
      <w:shd w:val="clear" w:color="auto" w:fill="996699"/>
      <w:spacing w:before="45" w:after="45"/>
    </w:pPr>
    <w:rPr>
      <w:rFonts w:eastAsia="Times New Roman"/>
      <w:b/>
      <w:bCs/>
      <w:color w:val="FFFFFF"/>
      <w:lang w:val="es-ES"/>
    </w:rPr>
  </w:style>
  <w:style w:type="paragraph" w:customStyle="1" w:styleId="titledividelevel4pubs">
    <w:name w:val="titledivide_level4_pubs"/>
    <w:basedOn w:val="Normal"/>
    <w:uiPriority w:val="99"/>
    <w:rsid w:val="00DD485C"/>
    <w:pPr>
      <w:shd w:val="clear" w:color="auto" w:fill="996699"/>
      <w:spacing w:before="45" w:after="45"/>
    </w:pPr>
    <w:rPr>
      <w:rFonts w:eastAsia="Times New Roman"/>
      <w:b/>
      <w:bCs/>
      <w:color w:val="FFFFFF"/>
      <w:lang w:val="es-ES"/>
    </w:rPr>
  </w:style>
  <w:style w:type="paragraph" w:customStyle="1" w:styleId="titledividelevel5pubs">
    <w:name w:val="titledivide_level5_pubs"/>
    <w:basedOn w:val="Normal"/>
    <w:uiPriority w:val="99"/>
    <w:rsid w:val="00DD485C"/>
    <w:pPr>
      <w:shd w:val="clear" w:color="auto" w:fill="996699"/>
      <w:spacing w:before="45" w:after="45"/>
    </w:pPr>
    <w:rPr>
      <w:rFonts w:eastAsia="Times New Roman"/>
      <w:b/>
      <w:bCs/>
      <w:color w:val="FFFFFF"/>
      <w:lang w:val="es-ES"/>
    </w:rPr>
  </w:style>
  <w:style w:type="paragraph" w:customStyle="1" w:styleId="titledividelevel3su">
    <w:name w:val="titledivide_level3_su"/>
    <w:basedOn w:val="Normal"/>
    <w:uiPriority w:val="99"/>
    <w:rsid w:val="00DD485C"/>
    <w:pPr>
      <w:shd w:val="clear" w:color="auto" w:fill="6699CC"/>
      <w:spacing w:before="45" w:after="45"/>
    </w:pPr>
    <w:rPr>
      <w:rFonts w:eastAsia="Times New Roman"/>
      <w:b/>
      <w:bCs/>
      <w:color w:val="FFFFFF"/>
      <w:lang w:val="es-ES"/>
    </w:rPr>
  </w:style>
  <w:style w:type="paragraph" w:customStyle="1" w:styleId="titledividelevel4su">
    <w:name w:val="titledivide_level4_su"/>
    <w:basedOn w:val="Normal"/>
    <w:uiPriority w:val="99"/>
    <w:rsid w:val="00DD485C"/>
    <w:pPr>
      <w:shd w:val="clear" w:color="auto" w:fill="6699CC"/>
      <w:spacing w:before="45" w:after="45"/>
    </w:pPr>
    <w:rPr>
      <w:rFonts w:eastAsia="Times New Roman"/>
      <w:b/>
      <w:bCs/>
      <w:color w:val="FFFFFF"/>
      <w:lang w:val="es-ES"/>
    </w:rPr>
  </w:style>
  <w:style w:type="paragraph" w:customStyle="1" w:styleId="titledividelevel5su">
    <w:name w:val="titledivide_level5_su"/>
    <w:basedOn w:val="Normal"/>
    <w:uiPriority w:val="99"/>
    <w:rsid w:val="00DD485C"/>
    <w:pPr>
      <w:shd w:val="clear" w:color="auto" w:fill="6699CC"/>
      <w:spacing w:before="45" w:after="45"/>
    </w:pPr>
    <w:rPr>
      <w:rFonts w:eastAsia="Times New Roman"/>
      <w:b/>
      <w:bCs/>
      <w:color w:val="FFFFFF"/>
      <w:lang w:val="es-ES"/>
    </w:rPr>
  </w:style>
  <w:style w:type="paragraph" w:customStyle="1" w:styleId="searchinputbox">
    <w:name w:val="searchinputbox"/>
    <w:basedOn w:val="Normal"/>
    <w:uiPriority w:val="99"/>
    <w:rsid w:val="00DD485C"/>
    <w:pPr>
      <w:pBdr>
        <w:top w:val="single" w:sz="6" w:space="0" w:color="666666"/>
        <w:left w:val="single" w:sz="6" w:space="2" w:color="666666"/>
        <w:bottom w:val="single" w:sz="6" w:space="0" w:color="666666"/>
        <w:right w:val="single" w:sz="6" w:space="0" w:color="666666"/>
      </w:pBdr>
      <w:shd w:val="clear" w:color="auto" w:fill="E7E7E7"/>
      <w:spacing w:before="100" w:beforeAutospacing="1" w:after="100" w:afterAutospacing="1"/>
      <w:textAlignment w:val="center"/>
    </w:pPr>
    <w:rPr>
      <w:rFonts w:eastAsia="Times New Roman"/>
      <w:color w:val="333333"/>
      <w:lang w:val="es-ES"/>
    </w:rPr>
  </w:style>
  <w:style w:type="paragraph" w:customStyle="1" w:styleId="leftnavboxnr">
    <w:name w:val="leftnavbox_nr"/>
    <w:basedOn w:val="Normal"/>
    <w:uiPriority w:val="99"/>
    <w:rsid w:val="00DD485C"/>
    <w:pPr>
      <w:shd w:val="clear" w:color="auto" w:fill="CC0000"/>
      <w:spacing w:before="100" w:beforeAutospacing="1" w:after="100" w:afterAutospacing="1"/>
    </w:pPr>
    <w:rPr>
      <w:rFonts w:eastAsia="Times New Roman"/>
      <w:lang w:val="es-ES"/>
    </w:rPr>
  </w:style>
  <w:style w:type="paragraph" w:customStyle="1" w:styleId="leftnavboxgp">
    <w:name w:val="leftnavbox_gp"/>
    <w:basedOn w:val="Normal"/>
    <w:uiPriority w:val="99"/>
    <w:rsid w:val="00DD485C"/>
    <w:pPr>
      <w:shd w:val="clear" w:color="auto" w:fill="FF9933"/>
      <w:spacing w:before="100" w:beforeAutospacing="1" w:after="100" w:afterAutospacing="1"/>
    </w:pPr>
    <w:rPr>
      <w:rFonts w:eastAsia="Times New Roman"/>
      <w:lang w:val="es-ES"/>
    </w:rPr>
  </w:style>
  <w:style w:type="paragraph" w:customStyle="1" w:styleId="leftnavboxrp">
    <w:name w:val="leftnavbox_rp"/>
    <w:basedOn w:val="Normal"/>
    <w:uiPriority w:val="99"/>
    <w:rsid w:val="00DD485C"/>
    <w:pPr>
      <w:shd w:val="clear" w:color="auto" w:fill="66CC66"/>
      <w:spacing w:before="100" w:beforeAutospacing="1" w:after="100" w:afterAutospacing="1"/>
    </w:pPr>
    <w:rPr>
      <w:rFonts w:eastAsia="Times New Roman"/>
      <w:lang w:val="es-ES"/>
    </w:rPr>
  </w:style>
  <w:style w:type="paragraph" w:customStyle="1" w:styleId="leftnavboxpr">
    <w:name w:val="leftnavbox_pr"/>
    <w:basedOn w:val="Normal"/>
    <w:uiPriority w:val="99"/>
    <w:rsid w:val="00DD485C"/>
    <w:pPr>
      <w:shd w:val="clear" w:color="auto" w:fill="669999"/>
      <w:spacing w:before="100" w:beforeAutospacing="1" w:after="100" w:afterAutospacing="1"/>
    </w:pPr>
    <w:rPr>
      <w:rFonts w:eastAsia="Times New Roman"/>
      <w:lang w:val="es-ES"/>
    </w:rPr>
  </w:style>
  <w:style w:type="paragraph" w:customStyle="1" w:styleId="leftnavboxtools">
    <w:name w:val="leftnavbox_tools"/>
    <w:basedOn w:val="Normal"/>
    <w:uiPriority w:val="99"/>
    <w:rsid w:val="00DD485C"/>
    <w:pPr>
      <w:shd w:val="clear" w:color="auto" w:fill="CCCC99"/>
      <w:spacing w:before="100" w:beforeAutospacing="1" w:after="100" w:afterAutospacing="1"/>
    </w:pPr>
    <w:rPr>
      <w:rFonts w:eastAsia="Times New Roman"/>
      <w:lang w:val="es-ES"/>
    </w:rPr>
  </w:style>
  <w:style w:type="paragraph" w:customStyle="1" w:styleId="leftnavboxpubs">
    <w:name w:val="leftnavbox_pubs"/>
    <w:basedOn w:val="Normal"/>
    <w:uiPriority w:val="99"/>
    <w:rsid w:val="00DD485C"/>
    <w:pPr>
      <w:shd w:val="clear" w:color="auto" w:fill="996699"/>
      <w:spacing w:before="100" w:beforeAutospacing="1" w:after="100" w:afterAutospacing="1"/>
    </w:pPr>
    <w:rPr>
      <w:rFonts w:eastAsia="Times New Roman"/>
      <w:lang w:val="es-ES"/>
    </w:rPr>
  </w:style>
  <w:style w:type="paragraph" w:customStyle="1" w:styleId="leftnavboxsu">
    <w:name w:val="leftnavbox_su"/>
    <w:basedOn w:val="Normal"/>
    <w:uiPriority w:val="99"/>
    <w:rsid w:val="00DD485C"/>
    <w:pPr>
      <w:shd w:val="clear" w:color="auto" w:fill="6699CC"/>
      <w:spacing w:before="100" w:beforeAutospacing="1" w:after="100" w:afterAutospacing="1"/>
    </w:pPr>
    <w:rPr>
      <w:rFonts w:eastAsia="Times New Roman"/>
      <w:lang w:val="es-ES"/>
    </w:rPr>
  </w:style>
  <w:style w:type="paragraph" w:customStyle="1" w:styleId="intropicboxnr">
    <w:name w:val="intropicbox_nr"/>
    <w:basedOn w:val="Normal"/>
    <w:uiPriority w:val="99"/>
    <w:rsid w:val="00DD485C"/>
    <w:pPr>
      <w:pBdr>
        <w:left w:val="single" w:sz="6" w:space="0" w:color="CC0000"/>
        <w:bottom w:val="single" w:sz="6" w:space="0" w:color="CC0000"/>
      </w:pBdr>
      <w:spacing w:before="100" w:beforeAutospacing="1" w:after="100" w:afterAutospacing="1"/>
    </w:pPr>
    <w:rPr>
      <w:rFonts w:eastAsia="Times New Roman"/>
      <w:lang w:val="es-ES"/>
    </w:rPr>
  </w:style>
  <w:style w:type="paragraph" w:customStyle="1" w:styleId="intropicboxgp">
    <w:name w:val="intropicbox_gp"/>
    <w:basedOn w:val="Normal"/>
    <w:uiPriority w:val="99"/>
    <w:rsid w:val="00DD485C"/>
    <w:pPr>
      <w:pBdr>
        <w:left w:val="single" w:sz="6" w:space="0" w:color="FF9933"/>
        <w:bottom w:val="single" w:sz="6" w:space="0" w:color="FF9933"/>
      </w:pBdr>
      <w:spacing w:before="100" w:beforeAutospacing="1" w:after="100" w:afterAutospacing="1"/>
    </w:pPr>
    <w:rPr>
      <w:rFonts w:eastAsia="Times New Roman"/>
      <w:lang w:val="es-ES"/>
    </w:rPr>
  </w:style>
  <w:style w:type="paragraph" w:customStyle="1" w:styleId="intropicboxrp">
    <w:name w:val="intropicbox_rp"/>
    <w:basedOn w:val="Normal"/>
    <w:uiPriority w:val="99"/>
    <w:rsid w:val="00DD485C"/>
    <w:pPr>
      <w:pBdr>
        <w:left w:val="single" w:sz="6" w:space="0" w:color="66CC66"/>
        <w:bottom w:val="single" w:sz="6" w:space="0" w:color="66CC66"/>
      </w:pBdr>
      <w:spacing w:before="100" w:beforeAutospacing="1" w:after="100" w:afterAutospacing="1"/>
    </w:pPr>
    <w:rPr>
      <w:rFonts w:eastAsia="Times New Roman"/>
      <w:lang w:val="es-ES"/>
    </w:rPr>
  </w:style>
  <w:style w:type="paragraph" w:customStyle="1" w:styleId="intropicboxpr">
    <w:name w:val="intropicbox_pr"/>
    <w:basedOn w:val="Normal"/>
    <w:uiPriority w:val="99"/>
    <w:rsid w:val="00DD485C"/>
    <w:pPr>
      <w:pBdr>
        <w:left w:val="single" w:sz="6" w:space="0" w:color="339999"/>
        <w:bottom w:val="single" w:sz="6" w:space="0" w:color="339999"/>
      </w:pBdr>
      <w:spacing w:before="100" w:beforeAutospacing="1" w:after="100" w:afterAutospacing="1"/>
    </w:pPr>
    <w:rPr>
      <w:rFonts w:eastAsia="Times New Roman"/>
      <w:lang w:val="es-ES"/>
    </w:rPr>
  </w:style>
  <w:style w:type="paragraph" w:customStyle="1" w:styleId="intropicboxtools">
    <w:name w:val="intropicbox_tools"/>
    <w:basedOn w:val="Normal"/>
    <w:uiPriority w:val="99"/>
    <w:rsid w:val="00DD485C"/>
    <w:pPr>
      <w:pBdr>
        <w:left w:val="single" w:sz="6" w:space="0" w:color="CCCC99"/>
        <w:bottom w:val="single" w:sz="6" w:space="0" w:color="CCCC99"/>
      </w:pBdr>
      <w:spacing w:before="100" w:beforeAutospacing="1" w:after="100" w:afterAutospacing="1"/>
    </w:pPr>
    <w:rPr>
      <w:rFonts w:eastAsia="Times New Roman"/>
      <w:lang w:val="es-ES"/>
    </w:rPr>
  </w:style>
  <w:style w:type="paragraph" w:customStyle="1" w:styleId="intropicboxpubs">
    <w:name w:val="intropicbox_pubs"/>
    <w:basedOn w:val="Normal"/>
    <w:uiPriority w:val="99"/>
    <w:rsid w:val="00DD485C"/>
    <w:pPr>
      <w:pBdr>
        <w:left w:val="single" w:sz="6" w:space="0" w:color="996699"/>
        <w:bottom w:val="single" w:sz="6" w:space="0" w:color="996699"/>
      </w:pBdr>
      <w:spacing w:before="100" w:beforeAutospacing="1" w:after="100" w:afterAutospacing="1"/>
    </w:pPr>
    <w:rPr>
      <w:rFonts w:eastAsia="Times New Roman"/>
      <w:lang w:val="es-ES"/>
    </w:rPr>
  </w:style>
  <w:style w:type="paragraph" w:customStyle="1" w:styleId="intropicboxsu">
    <w:name w:val="intropicbox_su"/>
    <w:basedOn w:val="Normal"/>
    <w:uiPriority w:val="99"/>
    <w:rsid w:val="00DD485C"/>
    <w:pPr>
      <w:pBdr>
        <w:left w:val="single" w:sz="6" w:space="0" w:color="6699CC"/>
        <w:bottom w:val="single" w:sz="6" w:space="0" w:color="6699CC"/>
      </w:pBdr>
      <w:spacing w:before="100" w:beforeAutospacing="1" w:after="100" w:afterAutospacing="1"/>
    </w:pPr>
    <w:rPr>
      <w:rFonts w:eastAsia="Times New Roman"/>
      <w:lang w:val="es-ES"/>
    </w:rPr>
  </w:style>
  <w:style w:type="paragraph" w:customStyle="1" w:styleId="nlintrotext">
    <w:name w:val="nl_introtext"/>
    <w:basedOn w:val="Normal"/>
    <w:uiPriority w:val="99"/>
    <w:rsid w:val="00DD485C"/>
    <w:pPr>
      <w:spacing w:before="100" w:beforeAutospacing="1" w:after="100" w:afterAutospacing="1"/>
    </w:pPr>
    <w:rPr>
      <w:rFonts w:eastAsia="Times New Roman"/>
      <w:i/>
      <w:iCs/>
      <w:color w:val="333333"/>
      <w:lang w:val="es-ES"/>
    </w:rPr>
  </w:style>
  <w:style w:type="paragraph" w:customStyle="1" w:styleId="introtext">
    <w:name w:val="introtext"/>
    <w:basedOn w:val="Normal"/>
    <w:uiPriority w:val="99"/>
    <w:rsid w:val="00DD485C"/>
    <w:pPr>
      <w:spacing w:before="100" w:beforeAutospacing="1" w:after="100" w:afterAutospacing="1"/>
    </w:pPr>
    <w:rPr>
      <w:rFonts w:eastAsia="Times New Roman"/>
      <w:i/>
      <w:iCs/>
      <w:color w:val="333333"/>
      <w:lang w:val="es-ES"/>
    </w:rPr>
  </w:style>
  <w:style w:type="paragraph" w:customStyle="1" w:styleId="contenttxt">
    <w:name w:val="content_txt"/>
    <w:basedOn w:val="Normal"/>
    <w:uiPriority w:val="99"/>
    <w:rsid w:val="00DD485C"/>
    <w:pPr>
      <w:spacing w:before="100" w:beforeAutospacing="1" w:after="100" w:afterAutospacing="1"/>
    </w:pPr>
    <w:rPr>
      <w:rFonts w:eastAsia="Times New Roman"/>
      <w:lang w:val="es-ES"/>
    </w:rPr>
  </w:style>
  <w:style w:type="paragraph" w:customStyle="1" w:styleId="nlcontenttxt">
    <w:name w:val="nl_content_txt"/>
    <w:basedOn w:val="Normal"/>
    <w:uiPriority w:val="99"/>
    <w:rsid w:val="00DD485C"/>
    <w:pPr>
      <w:spacing w:before="100" w:beforeAutospacing="1" w:after="100" w:afterAutospacing="1" w:line="288" w:lineRule="atLeast"/>
    </w:pPr>
    <w:rPr>
      <w:rFonts w:eastAsia="Times New Roman"/>
      <w:lang w:val="es-ES"/>
    </w:rPr>
  </w:style>
  <w:style w:type="paragraph" w:customStyle="1" w:styleId="contentheadernr">
    <w:name w:val="contentheader_nr"/>
    <w:basedOn w:val="Normal"/>
    <w:uiPriority w:val="99"/>
    <w:rsid w:val="00DD485C"/>
    <w:pPr>
      <w:shd w:val="clear" w:color="auto" w:fill="CC0000"/>
      <w:spacing w:before="100" w:beforeAutospacing="1" w:after="105"/>
    </w:pPr>
    <w:rPr>
      <w:rFonts w:eastAsia="Times New Roman"/>
      <w:b/>
      <w:bCs/>
      <w:color w:val="FFFFFF"/>
      <w:lang w:val="es-ES"/>
    </w:rPr>
  </w:style>
  <w:style w:type="paragraph" w:customStyle="1" w:styleId="contentheadernr2">
    <w:name w:val="contentheader_nr2"/>
    <w:basedOn w:val="Normal"/>
    <w:uiPriority w:val="99"/>
    <w:rsid w:val="00DD485C"/>
    <w:pPr>
      <w:shd w:val="clear" w:color="auto" w:fill="CC4A4C"/>
      <w:spacing w:before="100" w:beforeAutospacing="1" w:after="105"/>
    </w:pPr>
    <w:rPr>
      <w:rFonts w:eastAsia="Times New Roman"/>
      <w:b/>
      <w:bCs/>
      <w:color w:val="FFFFFF"/>
      <w:lang w:val="es-ES"/>
    </w:rPr>
  </w:style>
  <w:style w:type="paragraph" w:customStyle="1" w:styleId="contentheadergp">
    <w:name w:val="contentheader_gp"/>
    <w:basedOn w:val="Normal"/>
    <w:uiPriority w:val="99"/>
    <w:rsid w:val="00DD485C"/>
    <w:pPr>
      <w:shd w:val="clear" w:color="auto" w:fill="FF9933"/>
      <w:spacing w:before="100" w:beforeAutospacing="1" w:after="105"/>
    </w:pPr>
    <w:rPr>
      <w:rFonts w:eastAsia="Times New Roman"/>
      <w:b/>
      <w:bCs/>
      <w:color w:val="FFFFFF"/>
      <w:lang w:val="es-ES"/>
    </w:rPr>
  </w:style>
  <w:style w:type="paragraph" w:customStyle="1" w:styleId="contentheadergp2">
    <w:name w:val="contentheader_gp2"/>
    <w:basedOn w:val="Normal"/>
    <w:uiPriority w:val="99"/>
    <w:rsid w:val="00DD485C"/>
    <w:pPr>
      <w:shd w:val="clear" w:color="auto" w:fill="FFCC99"/>
      <w:spacing w:before="100" w:beforeAutospacing="1" w:after="105"/>
    </w:pPr>
    <w:rPr>
      <w:rFonts w:eastAsia="Times New Roman"/>
      <w:b/>
      <w:bCs/>
      <w:color w:val="FFFFFF"/>
      <w:lang w:val="es-ES"/>
    </w:rPr>
  </w:style>
  <w:style w:type="paragraph" w:customStyle="1" w:styleId="contentheaderrp">
    <w:name w:val="contentheader_rp"/>
    <w:basedOn w:val="Normal"/>
    <w:uiPriority w:val="99"/>
    <w:rsid w:val="00DD485C"/>
    <w:pPr>
      <w:shd w:val="clear" w:color="auto" w:fill="66CC66"/>
      <w:spacing w:before="100" w:beforeAutospacing="1" w:after="105"/>
    </w:pPr>
    <w:rPr>
      <w:rFonts w:eastAsia="Times New Roman"/>
      <w:b/>
      <w:bCs/>
      <w:color w:val="FFFFFF"/>
      <w:lang w:val="es-ES"/>
    </w:rPr>
  </w:style>
  <w:style w:type="paragraph" w:customStyle="1" w:styleId="contentheaderrp2">
    <w:name w:val="contentheader_rp2"/>
    <w:basedOn w:val="Normal"/>
    <w:uiPriority w:val="99"/>
    <w:rsid w:val="00DD485C"/>
    <w:pPr>
      <w:shd w:val="clear" w:color="auto" w:fill="99CC99"/>
      <w:spacing w:before="100" w:beforeAutospacing="1" w:after="105"/>
    </w:pPr>
    <w:rPr>
      <w:rFonts w:eastAsia="Times New Roman"/>
      <w:b/>
      <w:bCs/>
      <w:color w:val="FFFFFF"/>
      <w:lang w:val="es-ES"/>
    </w:rPr>
  </w:style>
  <w:style w:type="paragraph" w:customStyle="1" w:styleId="contentheaderpr">
    <w:name w:val="contentheader_pr"/>
    <w:basedOn w:val="Normal"/>
    <w:uiPriority w:val="99"/>
    <w:rsid w:val="00DD485C"/>
    <w:pPr>
      <w:shd w:val="clear" w:color="auto" w:fill="339999"/>
      <w:spacing w:before="100" w:beforeAutospacing="1" w:after="105"/>
    </w:pPr>
    <w:rPr>
      <w:rFonts w:eastAsia="Times New Roman"/>
      <w:b/>
      <w:bCs/>
      <w:color w:val="FFFFFF"/>
      <w:lang w:val="es-ES"/>
    </w:rPr>
  </w:style>
  <w:style w:type="paragraph" w:customStyle="1" w:styleId="contentheaderpr2">
    <w:name w:val="contentheader_pr2"/>
    <w:basedOn w:val="Normal"/>
    <w:uiPriority w:val="99"/>
    <w:rsid w:val="00DD485C"/>
    <w:pPr>
      <w:shd w:val="clear" w:color="auto" w:fill="99CCCC"/>
      <w:spacing w:before="100" w:beforeAutospacing="1" w:after="105"/>
    </w:pPr>
    <w:rPr>
      <w:rFonts w:eastAsia="Times New Roman"/>
      <w:b/>
      <w:bCs/>
      <w:color w:val="FFFFFF"/>
      <w:lang w:val="es-ES"/>
    </w:rPr>
  </w:style>
  <w:style w:type="paragraph" w:customStyle="1" w:styleId="contentheadertools">
    <w:name w:val="contentheader_tools"/>
    <w:basedOn w:val="Normal"/>
    <w:uiPriority w:val="99"/>
    <w:rsid w:val="00DD485C"/>
    <w:pPr>
      <w:shd w:val="clear" w:color="auto" w:fill="CCCC99"/>
      <w:spacing w:before="100" w:beforeAutospacing="1" w:after="105"/>
    </w:pPr>
    <w:rPr>
      <w:rFonts w:eastAsia="Times New Roman"/>
      <w:b/>
      <w:bCs/>
      <w:color w:val="FFFFFF"/>
      <w:lang w:val="es-ES"/>
    </w:rPr>
  </w:style>
  <w:style w:type="paragraph" w:customStyle="1" w:styleId="contentheadertools2">
    <w:name w:val="contentheader_tools2"/>
    <w:basedOn w:val="Normal"/>
    <w:uiPriority w:val="99"/>
    <w:rsid w:val="00DD485C"/>
    <w:pPr>
      <w:shd w:val="clear" w:color="auto" w:fill="EFEECF"/>
      <w:spacing w:before="100" w:beforeAutospacing="1" w:after="105"/>
    </w:pPr>
    <w:rPr>
      <w:rFonts w:eastAsia="Times New Roman"/>
      <w:b/>
      <w:bCs/>
      <w:color w:val="FFFFFF"/>
      <w:lang w:val="es-ES"/>
    </w:rPr>
  </w:style>
  <w:style w:type="paragraph" w:customStyle="1" w:styleId="contentheaderpubs">
    <w:name w:val="contentheader_pubs"/>
    <w:basedOn w:val="Normal"/>
    <w:uiPriority w:val="99"/>
    <w:rsid w:val="00DD485C"/>
    <w:pPr>
      <w:shd w:val="clear" w:color="auto" w:fill="996699"/>
      <w:spacing w:before="100" w:beforeAutospacing="1" w:after="105"/>
    </w:pPr>
    <w:rPr>
      <w:rFonts w:eastAsia="Times New Roman"/>
      <w:b/>
      <w:bCs/>
      <w:color w:val="FFFFFF"/>
      <w:lang w:val="es-ES"/>
    </w:rPr>
  </w:style>
  <w:style w:type="paragraph" w:customStyle="1" w:styleId="contentheaderpubs2">
    <w:name w:val="contentheader_pubs2"/>
    <w:basedOn w:val="Normal"/>
    <w:uiPriority w:val="99"/>
    <w:rsid w:val="00DD485C"/>
    <w:pPr>
      <w:shd w:val="clear" w:color="auto" w:fill="CC99CC"/>
      <w:spacing w:before="100" w:beforeAutospacing="1" w:after="105"/>
    </w:pPr>
    <w:rPr>
      <w:rFonts w:eastAsia="Times New Roman"/>
      <w:b/>
      <w:bCs/>
      <w:color w:val="FFFFFF"/>
      <w:lang w:val="es-ES"/>
    </w:rPr>
  </w:style>
  <w:style w:type="paragraph" w:customStyle="1" w:styleId="contentheadersu">
    <w:name w:val="contentheader_su"/>
    <w:basedOn w:val="Normal"/>
    <w:uiPriority w:val="99"/>
    <w:rsid w:val="00DD485C"/>
    <w:pPr>
      <w:shd w:val="clear" w:color="auto" w:fill="336699"/>
      <w:spacing w:before="100" w:beforeAutospacing="1" w:after="105"/>
    </w:pPr>
    <w:rPr>
      <w:rFonts w:eastAsia="Times New Roman"/>
      <w:b/>
      <w:bCs/>
      <w:color w:val="FFFFFF"/>
      <w:lang w:val="es-ES"/>
    </w:rPr>
  </w:style>
  <w:style w:type="paragraph" w:customStyle="1" w:styleId="contentheadersu2">
    <w:name w:val="contentheader_su2"/>
    <w:basedOn w:val="Normal"/>
    <w:uiPriority w:val="99"/>
    <w:rsid w:val="00DD485C"/>
    <w:pPr>
      <w:shd w:val="clear" w:color="auto" w:fill="6699CC"/>
      <w:spacing w:before="100" w:beforeAutospacing="1" w:after="105"/>
    </w:pPr>
    <w:rPr>
      <w:rFonts w:eastAsia="Times New Roman"/>
      <w:b/>
      <w:bCs/>
      <w:color w:val="FFFFFF"/>
      <w:lang w:val="es-ES"/>
    </w:rPr>
  </w:style>
  <w:style w:type="paragraph" w:customStyle="1" w:styleId="contentheaderus">
    <w:name w:val="contentheader_us"/>
    <w:basedOn w:val="Normal"/>
    <w:uiPriority w:val="99"/>
    <w:rsid w:val="00DD485C"/>
    <w:pPr>
      <w:shd w:val="clear" w:color="auto" w:fill="336699"/>
      <w:spacing w:before="100" w:beforeAutospacing="1" w:after="105"/>
    </w:pPr>
    <w:rPr>
      <w:rFonts w:eastAsia="Times New Roman"/>
      <w:b/>
      <w:bCs/>
      <w:color w:val="FFFFFF"/>
      <w:lang w:val="es-ES"/>
    </w:rPr>
  </w:style>
  <w:style w:type="paragraph" w:customStyle="1" w:styleId="contentheaderus2">
    <w:name w:val="contentheader_us2"/>
    <w:basedOn w:val="Normal"/>
    <w:uiPriority w:val="99"/>
    <w:rsid w:val="00DD485C"/>
    <w:pPr>
      <w:shd w:val="clear" w:color="auto" w:fill="6699CC"/>
      <w:spacing w:before="100" w:beforeAutospacing="1" w:after="105"/>
    </w:pPr>
    <w:rPr>
      <w:rFonts w:eastAsia="Times New Roman"/>
      <w:b/>
      <w:bCs/>
      <w:color w:val="FFFFFF"/>
      <w:lang w:val="es-ES"/>
    </w:rPr>
  </w:style>
  <w:style w:type="paragraph" w:customStyle="1" w:styleId="infocusiaheader">
    <w:name w:val="infocus_ia_header"/>
    <w:basedOn w:val="Normal"/>
    <w:uiPriority w:val="99"/>
    <w:rsid w:val="00DD485C"/>
    <w:pPr>
      <w:shd w:val="clear" w:color="auto" w:fill="852714"/>
      <w:spacing w:before="100" w:beforeAutospacing="1" w:after="105"/>
    </w:pPr>
    <w:rPr>
      <w:rFonts w:eastAsia="Times New Roman"/>
      <w:b/>
      <w:bCs/>
      <w:color w:val="FFFFFF"/>
      <w:lang w:val="es-ES"/>
    </w:rPr>
  </w:style>
  <w:style w:type="paragraph" w:customStyle="1" w:styleId="contentheaderblue">
    <w:name w:val="contentheader_blue"/>
    <w:basedOn w:val="Normal"/>
    <w:uiPriority w:val="99"/>
    <w:rsid w:val="00DD485C"/>
    <w:pPr>
      <w:shd w:val="clear" w:color="auto" w:fill="6699CC"/>
      <w:spacing w:before="100" w:beforeAutospacing="1" w:after="105"/>
    </w:pPr>
    <w:rPr>
      <w:rFonts w:eastAsia="Times New Roman"/>
      <w:b/>
      <w:bCs/>
      <w:color w:val="FFFFFF"/>
      <w:lang w:val="es-ES"/>
    </w:rPr>
  </w:style>
  <w:style w:type="paragraph" w:customStyle="1" w:styleId="contenttextboxcream">
    <w:name w:val="contenttextbox_cream"/>
    <w:basedOn w:val="Normal"/>
    <w:uiPriority w:val="99"/>
    <w:rsid w:val="00DD485C"/>
    <w:pPr>
      <w:pBdr>
        <w:top w:val="single" w:sz="6" w:space="0" w:color="666666"/>
        <w:left w:val="single" w:sz="6" w:space="4" w:color="666666"/>
        <w:bottom w:val="single" w:sz="6" w:space="0" w:color="666666"/>
        <w:right w:val="single" w:sz="6" w:space="0" w:color="666666"/>
      </w:pBdr>
      <w:shd w:val="clear" w:color="auto" w:fill="F6F7E7"/>
      <w:spacing w:before="100" w:beforeAutospacing="1" w:after="105"/>
    </w:pPr>
    <w:rPr>
      <w:rFonts w:eastAsia="Times New Roman"/>
      <w:color w:val="003366"/>
      <w:lang w:val="es-ES"/>
    </w:rPr>
  </w:style>
  <w:style w:type="paragraph" w:customStyle="1" w:styleId="contenttextboxgrey">
    <w:name w:val="contenttextbox_grey"/>
    <w:basedOn w:val="Normal"/>
    <w:uiPriority w:val="99"/>
    <w:rsid w:val="00DD485C"/>
    <w:pPr>
      <w:pBdr>
        <w:top w:val="single" w:sz="6" w:space="0" w:color="666666"/>
        <w:left w:val="single" w:sz="6" w:space="4" w:color="666666"/>
        <w:bottom w:val="single" w:sz="6" w:space="0" w:color="666666"/>
        <w:right w:val="single" w:sz="6" w:space="0" w:color="666666"/>
      </w:pBdr>
      <w:shd w:val="clear" w:color="auto" w:fill="E7E7E7"/>
      <w:spacing w:before="100" w:beforeAutospacing="1" w:after="105"/>
    </w:pPr>
    <w:rPr>
      <w:rFonts w:eastAsia="Times New Roman"/>
      <w:color w:val="003366"/>
      <w:lang w:val="es-ES"/>
    </w:rPr>
  </w:style>
  <w:style w:type="paragraph" w:customStyle="1" w:styleId="contenttextboxblue">
    <w:name w:val="contenttextbox_blue"/>
    <w:basedOn w:val="Normal"/>
    <w:uiPriority w:val="99"/>
    <w:rsid w:val="00DD485C"/>
    <w:pPr>
      <w:pBdr>
        <w:top w:val="single" w:sz="6" w:space="0" w:color="666666"/>
        <w:left w:val="single" w:sz="6" w:space="4" w:color="666666"/>
        <w:bottom w:val="single" w:sz="6" w:space="0" w:color="666666"/>
        <w:right w:val="single" w:sz="6" w:space="0" w:color="666666"/>
      </w:pBdr>
      <w:shd w:val="clear" w:color="auto" w:fill="D9EBF9"/>
      <w:spacing w:before="100" w:beforeAutospacing="1" w:after="105"/>
    </w:pPr>
    <w:rPr>
      <w:rFonts w:eastAsia="Times New Roman"/>
      <w:color w:val="003366"/>
      <w:lang w:val="es-ES"/>
    </w:rPr>
  </w:style>
  <w:style w:type="paragraph" w:customStyle="1" w:styleId="contenttextboxnr">
    <w:name w:val="contenttextbox_nr"/>
    <w:basedOn w:val="Normal"/>
    <w:uiPriority w:val="99"/>
    <w:rsid w:val="00DD485C"/>
    <w:pPr>
      <w:pBdr>
        <w:top w:val="single" w:sz="6" w:space="0" w:color="CC0000"/>
        <w:left w:val="single" w:sz="6" w:space="4" w:color="CC0000"/>
        <w:bottom w:val="single" w:sz="6" w:space="0" w:color="CC0000"/>
        <w:right w:val="single" w:sz="6" w:space="0" w:color="CC0000"/>
      </w:pBdr>
      <w:shd w:val="clear" w:color="auto" w:fill="CC4A4C"/>
      <w:spacing w:before="100" w:beforeAutospacing="1" w:after="105"/>
    </w:pPr>
    <w:rPr>
      <w:rFonts w:eastAsia="Times New Roman"/>
      <w:color w:val="FFFFFF"/>
      <w:lang w:val="es-ES"/>
    </w:rPr>
  </w:style>
  <w:style w:type="paragraph" w:customStyle="1" w:styleId="contenttextboxgp">
    <w:name w:val="contenttextbox_gp"/>
    <w:basedOn w:val="Normal"/>
    <w:uiPriority w:val="99"/>
    <w:rsid w:val="00DD485C"/>
    <w:pPr>
      <w:pBdr>
        <w:top w:val="single" w:sz="6" w:space="0" w:color="FF6600"/>
        <w:left w:val="single" w:sz="6" w:space="4" w:color="FF6600"/>
        <w:bottom w:val="single" w:sz="6" w:space="0" w:color="FF6600"/>
        <w:right w:val="single" w:sz="6" w:space="0" w:color="FF6600"/>
      </w:pBdr>
      <w:shd w:val="clear" w:color="auto" w:fill="FF9933"/>
      <w:spacing w:before="100" w:beforeAutospacing="1" w:after="105"/>
    </w:pPr>
    <w:rPr>
      <w:rFonts w:eastAsia="Times New Roman"/>
      <w:color w:val="FF6600"/>
      <w:lang w:val="es-ES"/>
    </w:rPr>
  </w:style>
  <w:style w:type="paragraph" w:customStyle="1" w:styleId="contenttextboxrp">
    <w:name w:val="contenttextbox_rp"/>
    <w:basedOn w:val="Normal"/>
    <w:uiPriority w:val="99"/>
    <w:rsid w:val="00DD485C"/>
    <w:pPr>
      <w:pBdr>
        <w:top w:val="single" w:sz="6" w:space="0" w:color="009966"/>
        <w:left w:val="single" w:sz="6" w:space="4" w:color="009966"/>
        <w:bottom w:val="single" w:sz="6" w:space="0" w:color="009966"/>
        <w:right w:val="single" w:sz="6" w:space="0" w:color="009966"/>
      </w:pBdr>
      <w:shd w:val="clear" w:color="auto" w:fill="CCFFCC"/>
      <w:spacing w:before="100" w:beforeAutospacing="1" w:after="105"/>
    </w:pPr>
    <w:rPr>
      <w:rFonts w:eastAsia="Times New Roman"/>
      <w:color w:val="009966"/>
      <w:lang w:val="es-ES"/>
    </w:rPr>
  </w:style>
  <w:style w:type="paragraph" w:customStyle="1" w:styleId="contenttextboxpr">
    <w:name w:val="contenttextbox_pr"/>
    <w:basedOn w:val="Normal"/>
    <w:uiPriority w:val="99"/>
    <w:rsid w:val="00DD485C"/>
    <w:pPr>
      <w:pBdr>
        <w:top w:val="single" w:sz="6" w:space="0" w:color="006666"/>
        <w:left w:val="single" w:sz="6" w:space="4" w:color="006666"/>
        <w:bottom w:val="single" w:sz="6" w:space="0" w:color="006666"/>
        <w:right w:val="single" w:sz="6" w:space="0" w:color="006666"/>
      </w:pBdr>
      <w:shd w:val="clear" w:color="auto" w:fill="CCFFFF"/>
      <w:spacing w:before="100" w:beforeAutospacing="1" w:after="105"/>
    </w:pPr>
    <w:rPr>
      <w:rFonts w:eastAsia="Times New Roman"/>
      <w:color w:val="006666"/>
      <w:lang w:val="es-ES"/>
    </w:rPr>
  </w:style>
  <w:style w:type="paragraph" w:customStyle="1" w:styleId="contenttextboxtools">
    <w:name w:val="contenttextbox_tools"/>
    <w:basedOn w:val="Normal"/>
    <w:uiPriority w:val="99"/>
    <w:rsid w:val="00DD485C"/>
    <w:pPr>
      <w:pBdr>
        <w:top w:val="single" w:sz="6" w:space="0" w:color="999966"/>
        <w:left w:val="single" w:sz="6" w:space="4" w:color="999966"/>
        <w:bottom w:val="single" w:sz="6" w:space="0" w:color="999966"/>
        <w:right w:val="single" w:sz="6" w:space="0" w:color="999966"/>
      </w:pBdr>
      <w:shd w:val="clear" w:color="auto" w:fill="EFEECF"/>
      <w:spacing w:before="100" w:beforeAutospacing="1" w:after="105"/>
    </w:pPr>
    <w:rPr>
      <w:rFonts w:eastAsia="Times New Roman"/>
      <w:color w:val="999966"/>
      <w:lang w:val="es-ES"/>
    </w:rPr>
  </w:style>
  <w:style w:type="paragraph" w:customStyle="1" w:styleId="contenttextboxpubs">
    <w:name w:val="contenttextbox_pubs"/>
    <w:basedOn w:val="Normal"/>
    <w:uiPriority w:val="99"/>
    <w:rsid w:val="00DD485C"/>
    <w:pPr>
      <w:pBdr>
        <w:top w:val="single" w:sz="6" w:space="0" w:color="660000"/>
        <w:left w:val="single" w:sz="6" w:space="4" w:color="660000"/>
        <w:bottom w:val="single" w:sz="6" w:space="0" w:color="660000"/>
        <w:right w:val="single" w:sz="6" w:space="0" w:color="660000"/>
      </w:pBdr>
      <w:shd w:val="clear" w:color="auto" w:fill="F7E7F7"/>
      <w:spacing w:before="100" w:beforeAutospacing="1" w:after="105"/>
    </w:pPr>
    <w:rPr>
      <w:rFonts w:eastAsia="Times New Roman"/>
      <w:color w:val="660000"/>
      <w:lang w:val="es-ES"/>
    </w:rPr>
  </w:style>
  <w:style w:type="paragraph" w:customStyle="1" w:styleId="contenttextboxsu">
    <w:name w:val="contenttextbox_su"/>
    <w:basedOn w:val="Normal"/>
    <w:uiPriority w:val="99"/>
    <w:rsid w:val="00DD485C"/>
    <w:pPr>
      <w:pBdr>
        <w:top w:val="single" w:sz="6" w:space="0" w:color="333366"/>
        <w:left w:val="single" w:sz="6" w:space="4" w:color="333366"/>
        <w:bottom w:val="single" w:sz="6" w:space="0" w:color="333366"/>
        <w:right w:val="single" w:sz="6" w:space="0" w:color="333366"/>
      </w:pBdr>
      <w:shd w:val="clear" w:color="auto" w:fill="99CCFF"/>
      <w:spacing w:before="100" w:beforeAutospacing="1" w:after="105"/>
    </w:pPr>
    <w:rPr>
      <w:rFonts w:eastAsia="Times New Roman"/>
      <w:color w:val="333366"/>
      <w:lang w:val="es-ES"/>
    </w:rPr>
  </w:style>
  <w:style w:type="paragraph" w:customStyle="1" w:styleId="clr">
    <w:name w:val="clr"/>
    <w:basedOn w:val="Normal"/>
    <w:uiPriority w:val="99"/>
    <w:rsid w:val="00DD485C"/>
    <w:pPr>
      <w:spacing w:before="100" w:beforeAutospacing="1" w:after="100" w:afterAutospacing="1"/>
    </w:pPr>
    <w:rPr>
      <w:rFonts w:eastAsia="Times New Roman"/>
      <w:lang w:val="es-ES"/>
    </w:rPr>
  </w:style>
  <w:style w:type="paragraph" w:customStyle="1" w:styleId="clr-left">
    <w:name w:val="clr-left"/>
    <w:basedOn w:val="Normal"/>
    <w:uiPriority w:val="99"/>
    <w:rsid w:val="00DD485C"/>
    <w:pPr>
      <w:spacing w:before="100" w:beforeAutospacing="1" w:after="100" w:afterAutospacing="1"/>
    </w:pPr>
    <w:rPr>
      <w:rFonts w:eastAsia="Times New Roman"/>
      <w:lang w:val="es-ES"/>
    </w:rPr>
  </w:style>
  <w:style w:type="paragraph" w:customStyle="1" w:styleId="topnewsbox">
    <w:name w:val="topnews_box"/>
    <w:basedOn w:val="Normal"/>
    <w:uiPriority w:val="99"/>
    <w:rsid w:val="00DD485C"/>
    <w:pPr>
      <w:spacing w:before="100" w:beforeAutospacing="1" w:after="100" w:afterAutospacing="1"/>
    </w:pPr>
    <w:rPr>
      <w:rFonts w:eastAsia="Times New Roman"/>
      <w:lang w:val="es-ES"/>
    </w:rPr>
  </w:style>
  <w:style w:type="paragraph" w:customStyle="1" w:styleId="topnewsline">
    <w:name w:val="topnews_line"/>
    <w:basedOn w:val="Normal"/>
    <w:uiPriority w:val="99"/>
    <w:rsid w:val="00DD485C"/>
    <w:pPr>
      <w:spacing w:before="48" w:after="48"/>
      <w:jc w:val="center"/>
    </w:pPr>
    <w:rPr>
      <w:rFonts w:eastAsia="Times New Roman"/>
      <w:lang w:val="es-ES"/>
    </w:rPr>
  </w:style>
  <w:style w:type="paragraph" w:customStyle="1" w:styleId="faveventsline">
    <w:name w:val="favevents_line"/>
    <w:basedOn w:val="Normal"/>
    <w:uiPriority w:val="99"/>
    <w:rsid w:val="00DD485C"/>
    <w:pPr>
      <w:spacing w:before="48" w:after="48"/>
      <w:jc w:val="center"/>
    </w:pPr>
    <w:rPr>
      <w:rFonts w:eastAsia="Times New Roman"/>
      <w:lang w:val="es-ES"/>
    </w:rPr>
  </w:style>
  <w:style w:type="paragraph" w:customStyle="1" w:styleId="faveventsbox">
    <w:name w:val="favevents_box"/>
    <w:basedOn w:val="Normal"/>
    <w:uiPriority w:val="99"/>
    <w:rsid w:val="00DD485C"/>
    <w:pPr>
      <w:spacing w:before="100" w:beforeAutospacing="1" w:after="100" w:afterAutospacing="1"/>
    </w:pPr>
    <w:rPr>
      <w:rFonts w:eastAsia="Times New Roman"/>
      <w:lang w:val="es-ES"/>
    </w:rPr>
  </w:style>
  <w:style w:type="paragraph" w:customStyle="1" w:styleId="hrindex">
    <w:name w:val="hr_index"/>
    <w:basedOn w:val="Normal"/>
    <w:uiPriority w:val="99"/>
    <w:rsid w:val="00DD485C"/>
    <w:pPr>
      <w:shd w:val="clear" w:color="auto" w:fill="336699"/>
      <w:spacing w:before="100" w:beforeAutospacing="1" w:after="100" w:afterAutospacing="1"/>
    </w:pPr>
    <w:rPr>
      <w:rFonts w:eastAsia="Times New Roman"/>
      <w:lang w:val="es-ES"/>
    </w:rPr>
  </w:style>
  <w:style w:type="paragraph" w:customStyle="1" w:styleId="indexinfoboxradiobox">
    <w:name w:val="indexinfo_box_radiobox"/>
    <w:basedOn w:val="Normal"/>
    <w:uiPriority w:val="99"/>
    <w:rsid w:val="00DD485C"/>
    <w:pPr>
      <w:spacing w:before="100" w:beforeAutospacing="1" w:after="100" w:afterAutospacing="1"/>
    </w:pPr>
    <w:rPr>
      <w:rFonts w:eastAsia="Times New Roman"/>
      <w:lang w:val="es-ES"/>
    </w:rPr>
  </w:style>
  <w:style w:type="paragraph" w:customStyle="1" w:styleId="indexinfopolltitle">
    <w:name w:val="indexinfo_poll_title"/>
    <w:basedOn w:val="Normal"/>
    <w:uiPriority w:val="99"/>
    <w:rsid w:val="00DD485C"/>
    <w:pPr>
      <w:spacing w:before="100" w:beforeAutospacing="1" w:after="100" w:afterAutospacing="1"/>
    </w:pPr>
    <w:rPr>
      <w:rFonts w:eastAsia="Times New Roman"/>
      <w:b/>
      <w:bCs/>
      <w:lang w:val="es-ES"/>
    </w:rPr>
  </w:style>
  <w:style w:type="paragraph" w:customStyle="1" w:styleId="indexinfoboxvote">
    <w:name w:val="indexinfo_box_vote"/>
    <w:basedOn w:val="Normal"/>
    <w:uiPriority w:val="99"/>
    <w:rsid w:val="00DD485C"/>
    <w:pPr>
      <w:shd w:val="clear" w:color="auto" w:fill="336699"/>
      <w:spacing w:before="100" w:beforeAutospacing="1" w:after="100" w:afterAutospacing="1"/>
      <w:jc w:val="center"/>
    </w:pPr>
    <w:rPr>
      <w:rFonts w:eastAsia="Times New Roman"/>
      <w:b/>
      <w:bCs/>
      <w:color w:val="FFFFFF"/>
      <w:lang w:val="es-ES"/>
    </w:rPr>
  </w:style>
  <w:style w:type="paragraph" w:customStyle="1" w:styleId="newsletterpdfdownload">
    <w:name w:val="newsletter_pdf_download"/>
    <w:basedOn w:val="Normal"/>
    <w:uiPriority w:val="99"/>
    <w:rsid w:val="00DD485C"/>
    <w:pPr>
      <w:spacing w:before="100" w:beforeAutospacing="1" w:after="100" w:afterAutospacing="1"/>
      <w:jc w:val="right"/>
    </w:pPr>
    <w:rPr>
      <w:rFonts w:eastAsia="Times New Roman"/>
      <w:lang w:val="es-ES"/>
    </w:rPr>
  </w:style>
  <w:style w:type="paragraph" w:customStyle="1" w:styleId="newsletterdatebox">
    <w:name w:val="newsletter_datebox"/>
    <w:basedOn w:val="Normal"/>
    <w:uiPriority w:val="99"/>
    <w:rsid w:val="00DD485C"/>
    <w:pPr>
      <w:spacing w:before="100" w:beforeAutospacing="1" w:after="100" w:afterAutospacing="1"/>
      <w:jc w:val="right"/>
    </w:pPr>
    <w:rPr>
      <w:rFonts w:eastAsia="Times New Roman"/>
      <w:caps/>
      <w:lang w:val="es-ES"/>
    </w:rPr>
  </w:style>
  <w:style w:type="paragraph" w:customStyle="1" w:styleId="newsletterheadline">
    <w:name w:val="newsletter_headline"/>
    <w:basedOn w:val="Normal"/>
    <w:uiPriority w:val="99"/>
    <w:rsid w:val="00DD485C"/>
    <w:pPr>
      <w:spacing w:before="100" w:beforeAutospacing="1" w:after="100" w:afterAutospacing="1"/>
    </w:pPr>
    <w:rPr>
      <w:rFonts w:eastAsia="Times New Roman"/>
      <w:b/>
      <w:bCs/>
      <w:caps/>
      <w:lang w:val="es-ES"/>
    </w:rPr>
  </w:style>
  <w:style w:type="paragraph" w:customStyle="1" w:styleId="newsletterheadlineqa">
    <w:name w:val="newsletter_headline_qa"/>
    <w:basedOn w:val="Normal"/>
    <w:uiPriority w:val="99"/>
    <w:rsid w:val="00DD485C"/>
    <w:pPr>
      <w:pBdr>
        <w:left w:val="single" w:sz="48" w:space="0" w:color="FFFFFF"/>
      </w:pBdr>
      <w:shd w:val="clear" w:color="auto" w:fill="0179B6"/>
      <w:spacing w:before="100" w:beforeAutospacing="1" w:after="100" w:afterAutospacing="1"/>
      <w:jc w:val="right"/>
    </w:pPr>
    <w:rPr>
      <w:rFonts w:eastAsia="Times New Roman"/>
      <w:b/>
      <w:bCs/>
      <w:caps/>
      <w:color w:val="FFFFFF"/>
      <w:lang w:val="es-ES"/>
    </w:rPr>
  </w:style>
  <w:style w:type="paragraph" w:customStyle="1" w:styleId="newsletterheadlinetiand">
    <w:name w:val="newsletter_headline_ti_and"/>
    <w:basedOn w:val="Normal"/>
    <w:uiPriority w:val="99"/>
    <w:rsid w:val="00DD485C"/>
    <w:pPr>
      <w:spacing w:before="100" w:beforeAutospacing="1" w:after="100" w:afterAutospacing="1"/>
    </w:pPr>
    <w:rPr>
      <w:rFonts w:eastAsia="Times New Roman"/>
      <w:caps/>
      <w:color w:val="996699"/>
      <w:lang w:val="es-ES"/>
    </w:rPr>
  </w:style>
  <w:style w:type="paragraph" w:customStyle="1" w:styleId="newslettertitlebox">
    <w:name w:val="newsletter_titlebox"/>
    <w:basedOn w:val="Normal"/>
    <w:uiPriority w:val="99"/>
    <w:rsid w:val="00DD485C"/>
    <w:pPr>
      <w:shd w:val="clear" w:color="auto" w:fill="E4F1FA"/>
      <w:spacing w:before="100" w:beforeAutospacing="1" w:after="100" w:afterAutospacing="1"/>
    </w:pPr>
    <w:rPr>
      <w:rFonts w:eastAsia="Times New Roman"/>
      <w:lang w:val="es-ES"/>
    </w:rPr>
  </w:style>
  <w:style w:type="paragraph" w:customStyle="1" w:styleId="newsletterteaser01">
    <w:name w:val="newsletter_teaser_01"/>
    <w:basedOn w:val="Normal"/>
    <w:uiPriority w:val="99"/>
    <w:rsid w:val="00DD485C"/>
    <w:pPr>
      <w:spacing w:before="100" w:beforeAutospacing="1" w:after="100" w:afterAutospacing="1"/>
    </w:pPr>
    <w:rPr>
      <w:rFonts w:eastAsia="Times New Roman"/>
      <w:lang w:val="es-ES"/>
    </w:rPr>
  </w:style>
  <w:style w:type="paragraph" w:customStyle="1" w:styleId="newsletterttxtbox01">
    <w:name w:val="newsletter_ttxtbox_01"/>
    <w:basedOn w:val="Normal"/>
    <w:uiPriority w:val="99"/>
    <w:rsid w:val="00DD485C"/>
    <w:pPr>
      <w:spacing w:before="100" w:beforeAutospacing="1" w:after="100" w:afterAutospacing="1"/>
    </w:pPr>
    <w:rPr>
      <w:rFonts w:eastAsia="Times New Roman"/>
      <w:lang w:val="es-ES"/>
    </w:rPr>
  </w:style>
  <w:style w:type="paragraph" w:customStyle="1" w:styleId="newsletterttxt01">
    <w:name w:val="newsletter_ttxt_01"/>
    <w:basedOn w:val="Normal"/>
    <w:uiPriority w:val="99"/>
    <w:rsid w:val="00DD485C"/>
    <w:pPr>
      <w:pBdr>
        <w:left w:val="single" w:sz="6" w:space="8" w:color="CCCCCC"/>
      </w:pBdr>
      <w:spacing w:before="100" w:beforeAutospacing="1" w:after="100" w:afterAutospacing="1"/>
    </w:pPr>
    <w:rPr>
      <w:rFonts w:eastAsia="Times New Roman"/>
      <w:lang w:val="es-ES"/>
    </w:rPr>
  </w:style>
  <w:style w:type="paragraph" w:customStyle="1" w:styleId="newsletterttxttiand">
    <w:name w:val="newsletter_ttxt_ti_and"/>
    <w:basedOn w:val="Normal"/>
    <w:uiPriority w:val="99"/>
    <w:rsid w:val="00DD485C"/>
    <w:pPr>
      <w:shd w:val="clear" w:color="auto" w:fill="98788D"/>
      <w:spacing w:before="100" w:beforeAutospacing="1" w:after="100" w:afterAutospacing="1" w:line="288" w:lineRule="atLeast"/>
    </w:pPr>
    <w:rPr>
      <w:rFonts w:eastAsia="Times New Roman"/>
      <w:color w:val="FFFFFF"/>
      <w:lang w:val="es-ES"/>
    </w:rPr>
  </w:style>
  <w:style w:type="paragraph" w:customStyle="1" w:styleId="newsletterttxtqa">
    <w:name w:val="newsletter_ttxt_qa"/>
    <w:basedOn w:val="Normal"/>
    <w:uiPriority w:val="99"/>
    <w:rsid w:val="00DD485C"/>
    <w:pPr>
      <w:pBdr>
        <w:left w:val="single" w:sz="48" w:space="4" w:color="FFFFFF"/>
      </w:pBdr>
      <w:shd w:val="clear" w:color="auto" w:fill="98788D"/>
      <w:spacing w:before="100" w:beforeAutospacing="1" w:after="100" w:afterAutospacing="1" w:line="288" w:lineRule="atLeast"/>
    </w:pPr>
    <w:rPr>
      <w:rFonts w:eastAsia="Times New Roman"/>
      <w:color w:val="FFFFFF"/>
      <w:lang w:val="es-ES"/>
    </w:rPr>
  </w:style>
  <w:style w:type="paragraph" w:customStyle="1" w:styleId="newsletterteasertiand">
    <w:name w:val="newsletter_teaser_ti_and"/>
    <w:basedOn w:val="Normal"/>
    <w:uiPriority w:val="99"/>
    <w:rsid w:val="00DD485C"/>
    <w:pPr>
      <w:spacing w:before="100" w:beforeAutospacing="1" w:after="100" w:afterAutospacing="1"/>
    </w:pPr>
    <w:rPr>
      <w:rFonts w:eastAsia="Times New Roman"/>
      <w:lang w:val="es-ES"/>
    </w:rPr>
  </w:style>
  <w:style w:type="paragraph" w:customStyle="1" w:styleId="newsletteracw">
    <w:name w:val="newsletter_acw"/>
    <w:basedOn w:val="Normal"/>
    <w:uiPriority w:val="99"/>
    <w:rsid w:val="00DD485C"/>
    <w:pPr>
      <w:pBdr>
        <w:right w:val="single" w:sz="6" w:space="0" w:color="CCCCCC"/>
      </w:pBdr>
      <w:spacing w:before="100" w:beforeAutospacing="1" w:after="100" w:afterAutospacing="1"/>
    </w:pPr>
    <w:rPr>
      <w:rFonts w:eastAsia="Times New Roman"/>
      <w:lang w:val="es-ES"/>
    </w:rPr>
  </w:style>
  <w:style w:type="paragraph" w:customStyle="1" w:styleId="newslettercnews">
    <w:name w:val="newsletter_cnews"/>
    <w:basedOn w:val="Normal"/>
    <w:uiPriority w:val="99"/>
    <w:rsid w:val="00DD485C"/>
    <w:pPr>
      <w:spacing w:before="100" w:beforeAutospacing="1" w:after="100" w:afterAutospacing="1"/>
    </w:pPr>
    <w:rPr>
      <w:rFonts w:eastAsia="Times New Roman"/>
      <w:lang w:val="es-ES"/>
    </w:rPr>
  </w:style>
  <w:style w:type="paragraph" w:customStyle="1" w:styleId="newsletteracwimg">
    <w:name w:val="newsletter_acw_img"/>
    <w:basedOn w:val="Normal"/>
    <w:uiPriority w:val="99"/>
    <w:rsid w:val="00DD485C"/>
    <w:pPr>
      <w:pBdr>
        <w:top w:val="single" w:sz="6" w:space="0" w:color="000000"/>
        <w:left w:val="single" w:sz="6" w:space="0" w:color="000000"/>
        <w:bottom w:val="single" w:sz="6" w:space="0" w:color="000000"/>
        <w:right w:val="single" w:sz="6" w:space="0" w:color="000000"/>
      </w:pBdr>
      <w:spacing w:after="75"/>
      <w:ind w:right="75"/>
    </w:pPr>
    <w:rPr>
      <w:rFonts w:eastAsia="Times New Roman"/>
      <w:lang w:val="es-ES"/>
    </w:rPr>
  </w:style>
  <w:style w:type="paragraph" w:customStyle="1" w:styleId="newslettercnewsimg">
    <w:name w:val="newsletter_cnews_img"/>
    <w:basedOn w:val="Normal"/>
    <w:uiPriority w:val="99"/>
    <w:rsid w:val="00DD485C"/>
    <w:pPr>
      <w:pBdr>
        <w:top w:val="single" w:sz="6" w:space="0" w:color="000000"/>
        <w:left w:val="single" w:sz="6" w:space="0" w:color="000000"/>
        <w:bottom w:val="single" w:sz="6" w:space="0" w:color="000000"/>
        <w:right w:val="single" w:sz="6" w:space="0" w:color="000000"/>
      </w:pBdr>
      <w:spacing w:after="75"/>
      <w:ind w:right="75"/>
    </w:pPr>
    <w:rPr>
      <w:rFonts w:eastAsia="Times New Roman"/>
      <w:lang w:val="es-ES"/>
    </w:rPr>
  </w:style>
  <w:style w:type="paragraph" w:customStyle="1" w:styleId="newsletterbottomteaser">
    <w:name w:val="newsletter_bottom_teaser"/>
    <w:basedOn w:val="Normal"/>
    <w:uiPriority w:val="99"/>
    <w:rsid w:val="00DD485C"/>
    <w:pPr>
      <w:pBdr>
        <w:left w:val="single" w:sz="6" w:space="19" w:color="CCCCCC"/>
      </w:pBdr>
      <w:spacing w:before="100" w:beforeAutospacing="1" w:after="100" w:afterAutospacing="1"/>
    </w:pPr>
    <w:rPr>
      <w:rFonts w:eastAsia="Times New Roman"/>
      <w:lang w:val="es-ES"/>
    </w:rPr>
  </w:style>
  <w:style w:type="paragraph" w:customStyle="1" w:styleId="newsletterheadlinebottomteaser">
    <w:name w:val="newsletter_headline_bottom_teaser"/>
    <w:basedOn w:val="Normal"/>
    <w:uiPriority w:val="99"/>
    <w:rsid w:val="00DD485C"/>
    <w:pPr>
      <w:spacing w:before="100" w:beforeAutospacing="1" w:after="100" w:afterAutospacing="1"/>
    </w:pPr>
    <w:rPr>
      <w:rFonts w:eastAsia="Times New Roman"/>
      <w:b/>
      <w:bCs/>
      <w:caps/>
      <w:color w:val="996699"/>
      <w:lang w:val="es-ES"/>
    </w:rPr>
  </w:style>
  <w:style w:type="paragraph" w:customStyle="1" w:styleId="headlinenewsletter">
    <w:name w:val="headline_newsletter"/>
    <w:basedOn w:val="Normal"/>
    <w:uiPriority w:val="99"/>
    <w:rsid w:val="00DD485C"/>
    <w:pPr>
      <w:shd w:val="clear" w:color="auto" w:fill="996699"/>
      <w:spacing w:line="225" w:lineRule="atLeast"/>
      <w:jc w:val="center"/>
    </w:pPr>
    <w:rPr>
      <w:rFonts w:eastAsia="Times New Roman"/>
      <w:b/>
      <w:bCs/>
      <w:color w:val="FFFFFF"/>
      <w:lang w:val="es-ES"/>
    </w:rPr>
  </w:style>
  <w:style w:type="paragraph" w:customStyle="1" w:styleId="newsletterimgph">
    <w:name w:val="newsletter_img_ph"/>
    <w:basedOn w:val="Normal"/>
    <w:uiPriority w:val="99"/>
    <w:rsid w:val="00DD485C"/>
    <w:pPr>
      <w:spacing w:before="100" w:beforeAutospacing="1" w:after="100" w:afterAutospacing="1"/>
    </w:pPr>
    <w:rPr>
      <w:rFonts w:eastAsia="Times New Roman"/>
      <w:lang w:val="es-ES"/>
    </w:rPr>
  </w:style>
  <w:style w:type="paragraph" w:customStyle="1" w:styleId="newsletterlogobanner">
    <w:name w:val="newsletter_logobanner"/>
    <w:basedOn w:val="Normal"/>
    <w:uiPriority w:val="99"/>
    <w:rsid w:val="00DD485C"/>
    <w:pPr>
      <w:spacing w:before="100" w:beforeAutospacing="1" w:after="100" w:afterAutospacing="1"/>
    </w:pPr>
    <w:rPr>
      <w:rFonts w:eastAsia="Times New Roman"/>
      <w:lang w:val="es-ES"/>
    </w:rPr>
  </w:style>
  <w:style w:type="paragraph" w:customStyle="1" w:styleId="newslettercontent">
    <w:name w:val="newsletter_content"/>
    <w:basedOn w:val="Normal"/>
    <w:uiPriority w:val="99"/>
    <w:rsid w:val="00DD485C"/>
    <w:pPr>
      <w:spacing w:before="100" w:beforeAutospacing="1" w:after="100" w:afterAutospacing="1"/>
    </w:pPr>
    <w:rPr>
      <w:rFonts w:eastAsia="Times New Roman"/>
      <w:lang w:val="es-ES"/>
    </w:rPr>
  </w:style>
  <w:style w:type="paragraph" w:customStyle="1" w:styleId="donatebox">
    <w:name w:val="donatebox"/>
    <w:basedOn w:val="Normal"/>
    <w:uiPriority w:val="99"/>
    <w:rsid w:val="00DD485C"/>
    <w:pPr>
      <w:shd w:val="clear" w:color="auto" w:fill="D9EBF9"/>
      <w:spacing w:before="100" w:beforeAutospacing="1" w:after="100" w:afterAutospacing="1"/>
    </w:pPr>
    <w:rPr>
      <w:rFonts w:eastAsia="Times New Roman"/>
      <w:color w:val="000000"/>
      <w:lang w:val="es-ES"/>
    </w:rPr>
  </w:style>
  <w:style w:type="paragraph" w:customStyle="1" w:styleId="donateinputbox">
    <w:name w:val="donateinputbox"/>
    <w:basedOn w:val="Normal"/>
    <w:uiPriority w:val="99"/>
    <w:rsid w:val="00DD485C"/>
    <w:pPr>
      <w:shd w:val="clear" w:color="auto" w:fill="FFFFFF"/>
      <w:spacing w:before="100" w:beforeAutospacing="1" w:after="100" w:afterAutospacing="1"/>
      <w:textAlignment w:val="center"/>
    </w:pPr>
    <w:rPr>
      <w:rFonts w:eastAsia="Times New Roman"/>
      <w:color w:val="333333"/>
      <w:lang w:val="es-ES"/>
    </w:rPr>
  </w:style>
  <w:style w:type="paragraph" w:customStyle="1" w:styleId="donateinputline">
    <w:name w:val="donateinputline"/>
    <w:basedOn w:val="Normal"/>
    <w:uiPriority w:val="99"/>
    <w:rsid w:val="00DD485C"/>
    <w:pPr>
      <w:shd w:val="clear" w:color="auto" w:fill="FFFFFF"/>
      <w:spacing w:before="100" w:beforeAutospacing="1" w:after="100" w:afterAutospacing="1" w:line="180" w:lineRule="atLeast"/>
      <w:textAlignment w:val="center"/>
    </w:pPr>
    <w:rPr>
      <w:rFonts w:eastAsia="Times New Roman"/>
      <w:color w:val="333333"/>
      <w:lang w:val="es-ES"/>
    </w:rPr>
  </w:style>
  <w:style w:type="paragraph" w:customStyle="1" w:styleId="next">
    <w:name w:val="next"/>
    <w:basedOn w:val="Normal"/>
    <w:uiPriority w:val="99"/>
    <w:rsid w:val="00DD485C"/>
    <w:pPr>
      <w:pBdr>
        <w:top w:val="single" w:sz="6" w:space="0" w:color="666666"/>
        <w:left w:val="single" w:sz="6" w:space="0" w:color="666666"/>
        <w:bottom w:val="single" w:sz="6" w:space="0" w:color="666666"/>
        <w:right w:val="single" w:sz="6" w:space="0" w:color="666666"/>
      </w:pBdr>
      <w:shd w:val="clear" w:color="auto" w:fill="D9EBF9"/>
      <w:spacing w:before="100" w:beforeAutospacing="1" w:after="100" w:afterAutospacing="1"/>
    </w:pPr>
    <w:rPr>
      <w:rFonts w:eastAsia="Times New Roman"/>
      <w:lang w:val="es-ES"/>
    </w:rPr>
  </w:style>
  <w:style w:type="paragraph" w:customStyle="1" w:styleId="useinfocusspace">
    <w:name w:val="use_infocus_space"/>
    <w:basedOn w:val="Normal"/>
    <w:uiPriority w:val="99"/>
    <w:rsid w:val="00DD485C"/>
    <w:pPr>
      <w:shd w:val="clear" w:color="auto" w:fill="D9EBF8"/>
      <w:spacing w:before="100" w:beforeAutospacing="1" w:after="100" w:afterAutospacing="1"/>
    </w:pPr>
    <w:rPr>
      <w:rFonts w:eastAsia="Times New Roman"/>
      <w:lang w:val="es-ES"/>
    </w:rPr>
  </w:style>
  <w:style w:type="paragraph" w:customStyle="1" w:styleId="infocusbox">
    <w:name w:val="infocus_box"/>
    <w:basedOn w:val="Normal"/>
    <w:uiPriority w:val="99"/>
    <w:rsid w:val="00DD485C"/>
    <w:pPr>
      <w:spacing w:before="100" w:beforeAutospacing="1" w:after="100" w:afterAutospacing="1"/>
    </w:pPr>
    <w:rPr>
      <w:rFonts w:eastAsia="Times New Roman"/>
      <w:b/>
      <w:bCs/>
      <w:color w:val="FFFFFF"/>
      <w:sz w:val="18"/>
      <w:szCs w:val="18"/>
      <w:lang w:val="es-ES"/>
    </w:rPr>
  </w:style>
  <w:style w:type="paragraph" w:customStyle="1" w:styleId="infocus2box">
    <w:name w:val="infocus2_box"/>
    <w:basedOn w:val="Normal"/>
    <w:uiPriority w:val="99"/>
    <w:rsid w:val="00DD485C"/>
    <w:pPr>
      <w:shd w:val="clear" w:color="auto" w:fill="FFFFFF"/>
      <w:spacing w:before="100" w:beforeAutospacing="1" w:after="100" w:afterAutospacing="1"/>
    </w:pPr>
    <w:rPr>
      <w:rFonts w:eastAsia="Times New Roman"/>
      <w:color w:val="FFFFFF"/>
      <w:lang w:val="es-ES"/>
    </w:rPr>
  </w:style>
  <w:style w:type="paragraph" w:customStyle="1" w:styleId="infocusboxtxt">
    <w:name w:val="infocus_box_txt"/>
    <w:basedOn w:val="Normal"/>
    <w:uiPriority w:val="99"/>
    <w:rsid w:val="00DD485C"/>
    <w:pPr>
      <w:spacing w:before="100" w:beforeAutospacing="1" w:after="100" w:afterAutospacing="1" w:line="288" w:lineRule="atLeast"/>
    </w:pPr>
    <w:rPr>
      <w:rFonts w:eastAsia="Times New Roman"/>
      <w:lang w:val="es-ES"/>
    </w:rPr>
  </w:style>
  <w:style w:type="paragraph" w:customStyle="1" w:styleId="infocus2txt">
    <w:name w:val="infocus2_txt"/>
    <w:basedOn w:val="Normal"/>
    <w:uiPriority w:val="99"/>
    <w:rsid w:val="00DD485C"/>
    <w:pPr>
      <w:spacing w:before="100" w:beforeAutospacing="1" w:after="100" w:afterAutospacing="1"/>
    </w:pPr>
    <w:rPr>
      <w:rFonts w:eastAsia="Times New Roman"/>
      <w:lang w:val="es-ES"/>
    </w:rPr>
  </w:style>
  <w:style w:type="paragraph" w:customStyle="1" w:styleId="infocus2boxtxt">
    <w:name w:val="infocus2_box_txt"/>
    <w:basedOn w:val="Normal"/>
    <w:uiPriority w:val="99"/>
    <w:rsid w:val="00DD485C"/>
    <w:pPr>
      <w:shd w:val="clear" w:color="auto" w:fill="000000"/>
      <w:spacing w:before="100" w:beforeAutospacing="1" w:after="100" w:afterAutospacing="1" w:line="288" w:lineRule="atLeast"/>
    </w:pPr>
    <w:rPr>
      <w:rFonts w:eastAsia="Times New Roman"/>
      <w:color w:val="FFFFFF"/>
      <w:lang w:val="es-ES"/>
    </w:rPr>
  </w:style>
  <w:style w:type="paragraph" w:customStyle="1" w:styleId="newsteaser">
    <w:name w:val="news_teaser"/>
    <w:basedOn w:val="Normal"/>
    <w:uiPriority w:val="99"/>
    <w:rsid w:val="00DD485C"/>
    <w:pPr>
      <w:pBdr>
        <w:top w:val="single" w:sz="12" w:space="0" w:color="CC0000"/>
        <w:left w:val="single" w:sz="12" w:space="0" w:color="CC0000"/>
        <w:bottom w:val="single" w:sz="12" w:space="0" w:color="CC0000"/>
        <w:right w:val="single" w:sz="12" w:space="0" w:color="CC0000"/>
      </w:pBdr>
      <w:shd w:val="clear" w:color="auto" w:fill="CC4A4C"/>
      <w:spacing w:before="100" w:beforeAutospacing="1" w:after="240" w:line="264" w:lineRule="atLeast"/>
    </w:pPr>
    <w:rPr>
      <w:rFonts w:eastAsia="Times New Roman"/>
      <w:color w:val="FFFFFF"/>
      <w:sz w:val="15"/>
      <w:szCs w:val="15"/>
      <w:lang w:val="es-ES"/>
    </w:rPr>
  </w:style>
  <w:style w:type="paragraph" w:customStyle="1" w:styleId="linkbox">
    <w:name w:val="link_box"/>
    <w:basedOn w:val="Normal"/>
    <w:uiPriority w:val="99"/>
    <w:rsid w:val="00DD485C"/>
    <w:pPr>
      <w:pBdr>
        <w:top w:val="single" w:sz="6" w:space="11" w:color="auto"/>
        <w:left w:val="single" w:sz="6" w:space="4" w:color="auto"/>
        <w:bottom w:val="single" w:sz="6" w:space="4" w:color="auto"/>
        <w:right w:val="single" w:sz="6" w:space="4" w:color="auto"/>
      </w:pBdr>
      <w:spacing w:before="100" w:beforeAutospacing="1" w:after="100" w:afterAutospacing="1"/>
    </w:pPr>
    <w:rPr>
      <w:rFonts w:eastAsia="Times New Roman"/>
      <w:lang w:val="es-ES"/>
    </w:rPr>
  </w:style>
  <w:style w:type="paragraph" w:customStyle="1" w:styleId="linkboxtitle">
    <w:name w:val="link_box_title"/>
    <w:basedOn w:val="Normal"/>
    <w:uiPriority w:val="99"/>
    <w:rsid w:val="00DD485C"/>
    <w:pPr>
      <w:spacing w:before="100" w:beforeAutospacing="1" w:after="100" w:afterAutospacing="1"/>
    </w:pPr>
    <w:rPr>
      <w:rFonts w:eastAsia="Times New Roman"/>
      <w:b/>
      <w:bCs/>
      <w:color w:val="FFFFFF"/>
      <w:lang w:val="es-ES"/>
    </w:rPr>
  </w:style>
  <w:style w:type="paragraph" w:customStyle="1" w:styleId="indexinfobox">
    <w:name w:val="indexinfo_box"/>
    <w:basedOn w:val="Normal"/>
    <w:uiPriority w:val="99"/>
    <w:rsid w:val="00DD485C"/>
    <w:pPr>
      <w:spacing w:before="100" w:beforeAutospacing="1" w:after="100" w:afterAutospacing="1"/>
      <w:ind w:right="300"/>
    </w:pPr>
    <w:rPr>
      <w:rFonts w:eastAsia="Times New Roman"/>
      <w:lang w:val="es-ES"/>
    </w:rPr>
  </w:style>
  <w:style w:type="paragraph" w:customStyle="1" w:styleId="indexinfoboxtitle">
    <w:name w:val="indexinfo_box_title"/>
    <w:basedOn w:val="Normal"/>
    <w:uiPriority w:val="99"/>
    <w:rsid w:val="00DD485C"/>
    <w:pPr>
      <w:shd w:val="clear" w:color="auto" w:fill="336699"/>
      <w:spacing w:before="100" w:beforeAutospacing="1" w:after="100" w:afterAutospacing="1" w:line="264" w:lineRule="atLeast"/>
    </w:pPr>
    <w:rPr>
      <w:rFonts w:eastAsia="Times New Roman"/>
      <w:color w:val="FFFFFF"/>
      <w:lang w:val="es-ES"/>
    </w:rPr>
  </w:style>
  <w:style w:type="paragraph" w:customStyle="1" w:styleId="indexinfoboxtxtclr">
    <w:name w:val="indexinfo_box_txtclr"/>
    <w:basedOn w:val="Normal"/>
    <w:uiPriority w:val="99"/>
    <w:rsid w:val="00DD485C"/>
    <w:pPr>
      <w:spacing w:before="100" w:beforeAutospacing="1" w:after="100" w:afterAutospacing="1"/>
    </w:pPr>
    <w:rPr>
      <w:rFonts w:eastAsia="Times New Roman"/>
      <w:color w:val="6699CC"/>
      <w:lang w:val="es-ES"/>
    </w:rPr>
  </w:style>
  <w:style w:type="paragraph" w:customStyle="1" w:styleId="votebutton">
    <w:name w:val="votebutton"/>
    <w:basedOn w:val="Normal"/>
    <w:uiPriority w:val="99"/>
    <w:rsid w:val="00DD485C"/>
    <w:pPr>
      <w:pBdr>
        <w:top w:val="single" w:sz="6" w:space="2" w:color="FFFFFF"/>
        <w:left w:val="single" w:sz="6" w:space="0" w:color="FFFFFF"/>
        <w:bottom w:val="single" w:sz="6" w:space="0" w:color="FFFFFF"/>
        <w:right w:val="single" w:sz="6" w:space="0" w:color="FFFFFF"/>
      </w:pBdr>
      <w:shd w:val="clear" w:color="auto" w:fill="336699"/>
      <w:spacing w:before="45" w:after="45"/>
    </w:pPr>
    <w:rPr>
      <w:rFonts w:ascii="Arial" w:eastAsia="Times New Roman" w:hAnsi="Arial" w:cs="Arial"/>
      <w:b/>
      <w:bCs/>
      <w:color w:val="FFFFFF"/>
      <w:sz w:val="17"/>
      <w:szCs w:val="17"/>
      <w:lang w:val="es-ES"/>
    </w:rPr>
  </w:style>
  <w:style w:type="paragraph" w:customStyle="1" w:styleId="actionbox">
    <w:name w:val="actionbox"/>
    <w:basedOn w:val="Normal"/>
    <w:uiPriority w:val="99"/>
    <w:rsid w:val="00DD485C"/>
    <w:pPr>
      <w:spacing w:before="100" w:beforeAutospacing="1" w:after="100" w:afterAutospacing="1" w:line="264" w:lineRule="atLeast"/>
    </w:pPr>
    <w:rPr>
      <w:rFonts w:eastAsia="Times New Roman"/>
      <w:color w:val="FFFFFF"/>
      <w:sz w:val="23"/>
      <w:szCs w:val="23"/>
      <w:lang w:val="es-ES"/>
    </w:rPr>
  </w:style>
  <w:style w:type="paragraph" w:customStyle="1" w:styleId="infocusdate">
    <w:name w:val="infocus_date"/>
    <w:basedOn w:val="Normal"/>
    <w:uiPriority w:val="99"/>
    <w:rsid w:val="00DD485C"/>
    <w:pPr>
      <w:spacing w:before="100" w:beforeAutospacing="1" w:after="100" w:afterAutospacing="1"/>
    </w:pPr>
    <w:rPr>
      <w:rFonts w:eastAsia="Times New Roman"/>
      <w:lang w:val="es-ES"/>
    </w:rPr>
  </w:style>
  <w:style w:type="paragraph" w:customStyle="1" w:styleId="subscribeheadline">
    <w:name w:val="subscribe_headline"/>
    <w:basedOn w:val="Normal"/>
    <w:uiPriority w:val="99"/>
    <w:rsid w:val="00DD485C"/>
    <w:pPr>
      <w:spacing w:before="100" w:beforeAutospacing="1" w:after="100" w:afterAutospacing="1"/>
    </w:pPr>
    <w:rPr>
      <w:rFonts w:eastAsia="Times New Roman"/>
      <w:lang w:val="es-ES"/>
    </w:rPr>
  </w:style>
  <w:style w:type="paragraph" w:customStyle="1" w:styleId="infocusdate1">
    <w:name w:val="infocus_date1"/>
    <w:basedOn w:val="Normal"/>
    <w:uiPriority w:val="99"/>
    <w:rsid w:val="00DD485C"/>
    <w:pPr>
      <w:jc w:val="right"/>
    </w:pPr>
    <w:rPr>
      <w:rFonts w:eastAsia="Times New Roman"/>
      <w:i/>
      <w:iCs/>
      <w:sz w:val="15"/>
      <w:szCs w:val="15"/>
      <w:lang w:val="es-ES"/>
    </w:rPr>
  </w:style>
  <w:style w:type="paragraph" w:customStyle="1" w:styleId="subscribeheadline1">
    <w:name w:val="subscribe_headline1"/>
    <w:basedOn w:val="Normal"/>
    <w:uiPriority w:val="99"/>
    <w:rsid w:val="00DD485C"/>
    <w:rPr>
      <w:rFonts w:eastAsia="Times New Roman"/>
      <w:b/>
      <w:bCs/>
      <w:color w:val="6699CC"/>
      <w:lang w:val="es-ES"/>
    </w:rPr>
  </w:style>
  <w:style w:type="paragraph" w:customStyle="1" w:styleId="infocusdate2">
    <w:name w:val="infocus_date2"/>
    <w:basedOn w:val="Normal"/>
    <w:uiPriority w:val="99"/>
    <w:rsid w:val="00DD485C"/>
    <w:pPr>
      <w:jc w:val="right"/>
    </w:pPr>
    <w:rPr>
      <w:rFonts w:eastAsia="Times New Roman"/>
      <w:i/>
      <w:iCs/>
      <w:sz w:val="15"/>
      <w:szCs w:val="15"/>
      <w:lang w:val="es-ES"/>
    </w:rPr>
  </w:style>
  <w:style w:type="paragraph" w:customStyle="1" w:styleId="subscribeheadline2">
    <w:name w:val="subscribe_headline2"/>
    <w:basedOn w:val="Normal"/>
    <w:uiPriority w:val="99"/>
    <w:rsid w:val="00DD485C"/>
    <w:rPr>
      <w:rFonts w:eastAsia="Times New Roman"/>
      <w:b/>
      <w:bCs/>
      <w:color w:val="6699CC"/>
      <w:lang w:val="es-ES"/>
    </w:rPr>
  </w:style>
  <w:style w:type="table" w:customStyle="1" w:styleId="Tablaconcuadrcula1280">
    <w:name w:val="Tabla con cuadrícula 128"/>
    <w:basedOn w:val="Tablanormal"/>
    <w:next w:val="Tablaconcuadrcula10"/>
    <w:rsid w:val="00DD485C"/>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42">
    <w:name w:val="Tabla con cuadrícula242"/>
    <w:basedOn w:val="Tablanormal"/>
    <w:next w:val="Tablaconcuadrcula"/>
    <w:rsid w:val="00DD485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9">
    <w:name w:val="Sin lista129"/>
    <w:next w:val="Sinlista"/>
    <w:semiHidden/>
    <w:rsid w:val="006B23D1"/>
  </w:style>
  <w:style w:type="table" w:customStyle="1" w:styleId="Tablaconcuadrcula243">
    <w:name w:val="Tabla con cuadrícula243"/>
    <w:basedOn w:val="Tablanormal"/>
    <w:next w:val="Tablaconcuadrcula"/>
    <w:rsid w:val="006B23D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0">
    <w:name w:val="Sin lista130"/>
    <w:next w:val="Sinlista"/>
    <w:semiHidden/>
    <w:rsid w:val="004E4F81"/>
  </w:style>
  <w:style w:type="table" w:customStyle="1" w:styleId="Tablaconcuadrcula244">
    <w:name w:val="Tabla con cuadrícula244"/>
    <w:basedOn w:val="Tablanormal"/>
    <w:next w:val="Tablaconcuadrcula"/>
    <w:rsid w:val="008B591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1">
    <w:name w:val="Sin lista131"/>
    <w:next w:val="Sinlista"/>
    <w:semiHidden/>
    <w:rsid w:val="00525E61"/>
  </w:style>
  <w:style w:type="table" w:customStyle="1" w:styleId="Tablaconcuadrcula245">
    <w:name w:val="Tabla con cuadrícula245"/>
    <w:basedOn w:val="Tablanormal"/>
    <w:next w:val="Tablaconcuadrcula"/>
    <w:rsid w:val="00525E61"/>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32">
    <w:name w:val="Sin lista132"/>
    <w:next w:val="Sinlista"/>
    <w:semiHidden/>
    <w:rsid w:val="00F96B91"/>
  </w:style>
  <w:style w:type="numbering" w:customStyle="1" w:styleId="Sinlista133">
    <w:name w:val="Sin lista133"/>
    <w:next w:val="Sinlista"/>
    <w:semiHidden/>
    <w:rsid w:val="000E2ED1"/>
  </w:style>
  <w:style w:type="table" w:customStyle="1" w:styleId="Tablaconcuadrcula246">
    <w:name w:val="Tabla con cuadrícula246"/>
    <w:basedOn w:val="Tablanormal"/>
    <w:next w:val="Tablaconcuadrcula"/>
    <w:rsid w:val="000E2ED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4">
    <w:name w:val="Sin lista134"/>
    <w:next w:val="Sinlista"/>
    <w:semiHidden/>
    <w:rsid w:val="008E55AC"/>
  </w:style>
  <w:style w:type="table" w:customStyle="1" w:styleId="Tablaconcuadrcula247">
    <w:name w:val="Tabla con cuadrícula247"/>
    <w:basedOn w:val="Tablanormal"/>
    <w:next w:val="Tablaconcuadrcula"/>
    <w:rsid w:val="008E55A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5">
    <w:name w:val="Sin lista135"/>
    <w:next w:val="Sinlista"/>
    <w:semiHidden/>
    <w:rsid w:val="00750288"/>
  </w:style>
  <w:style w:type="table" w:customStyle="1" w:styleId="Tablaconcuadrcula248">
    <w:name w:val="Tabla con cuadrícula248"/>
    <w:basedOn w:val="Tablanormal"/>
    <w:next w:val="Tablaconcuadrcula"/>
    <w:rsid w:val="0075028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6">
    <w:name w:val="Sin lista136"/>
    <w:next w:val="Sinlista"/>
    <w:semiHidden/>
    <w:rsid w:val="00356302"/>
  </w:style>
  <w:style w:type="table" w:customStyle="1" w:styleId="Tablaconcuadrcula249">
    <w:name w:val="Tabla con cuadrícula249"/>
    <w:basedOn w:val="Tablanormal"/>
    <w:next w:val="Tablaconcuadrcula"/>
    <w:rsid w:val="0035630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0">
    <w:name w:val="Tabla con cuadrícula250"/>
    <w:basedOn w:val="Tablanormal"/>
    <w:next w:val="Tablaconcuadrcula"/>
    <w:rsid w:val="0033628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7">
    <w:name w:val="Sin lista137"/>
    <w:next w:val="Sinlista"/>
    <w:semiHidden/>
    <w:rsid w:val="00B85DD2"/>
  </w:style>
  <w:style w:type="table" w:customStyle="1" w:styleId="Tablaconcuadrcula251">
    <w:name w:val="Tabla con cuadrícula251"/>
    <w:basedOn w:val="Tablanormal"/>
    <w:next w:val="Tablaconcuadrcula"/>
    <w:rsid w:val="00B85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8">
    <w:name w:val="Sin lista138"/>
    <w:next w:val="Sinlista"/>
    <w:semiHidden/>
    <w:rsid w:val="00B85DD2"/>
  </w:style>
  <w:style w:type="table" w:customStyle="1" w:styleId="Tablaconcuadrcula11000">
    <w:name w:val="Tabla con cuadrícula1100"/>
    <w:basedOn w:val="Tablanormal"/>
    <w:next w:val="Tablaconcuadrcula"/>
    <w:rsid w:val="00B85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oCar0">
    <w:name w:val="texto Car"/>
    <w:basedOn w:val="Fuentedeprrafopredeter"/>
    <w:link w:val="texto0"/>
    <w:rsid w:val="00B85DD2"/>
    <w:rPr>
      <w:rFonts w:eastAsia="SimSun"/>
      <w:sz w:val="26"/>
      <w:szCs w:val="26"/>
      <w:lang w:val="es-ES_tradnl" w:eastAsia="es-ES" w:bidi="ar-SA"/>
    </w:rPr>
  </w:style>
  <w:style w:type="table" w:customStyle="1" w:styleId="Tablaconcuadrcula252">
    <w:name w:val="Tabla con cuadrícula252"/>
    <w:basedOn w:val="Tablanormal"/>
    <w:next w:val="Tablaconcuadrcula"/>
    <w:rsid w:val="006544C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3">
    <w:name w:val="Tabla con cuadrícula253"/>
    <w:basedOn w:val="Tablanormal"/>
    <w:next w:val="Tablaconcuadrcula"/>
    <w:rsid w:val="006544C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4">
    <w:name w:val="Tabla con cuadrícula254"/>
    <w:basedOn w:val="Tablanormal"/>
    <w:next w:val="Tablaconcuadrcula"/>
    <w:rsid w:val="00AD6C4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5">
    <w:name w:val="Tabla con cuadrícula255"/>
    <w:basedOn w:val="Tablanormal"/>
    <w:next w:val="Tablaconcuadrcula"/>
    <w:rsid w:val="00E5130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9">
    <w:name w:val="Sin lista139"/>
    <w:next w:val="Sinlista"/>
    <w:semiHidden/>
    <w:rsid w:val="009603C2"/>
  </w:style>
  <w:style w:type="table" w:customStyle="1" w:styleId="Tablaconcuadrcula256">
    <w:name w:val="Tabla con cuadrícula256"/>
    <w:basedOn w:val="Tablanormal"/>
    <w:next w:val="Tablaconcuadrcula"/>
    <w:rsid w:val="009603C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0">
    <w:name w:val="Sin lista140"/>
    <w:next w:val="Sinlista"/>
    <w:semiHidden/>
    <w:rsid w:val="008E0113"/>
  </w:style>
  <w:style w:type="table" w:customStyle="1" w:styleId="Tablaconcuadrcula257">
    <w:name w:val="Tabla con cuadrícula257"/>
    <w:basedOn w:val="Tablanormal"/>
    <w:next w:val="Tablaconcuadrcula"/>
    <w:rsid w:val="009E69A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8">
    <w:name w:val="Tabla con cuadrícula258"/>
    <w:basedOn w:val="Tablanormal"/>
    <w:next w:val="Tablaconcuadrcula"/>
    <w:rsid w:val="003E7B0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1">
    <w:name w:val="Sin lista141"/>
    <w:next w:val="Sinlista"/>
    <w:semiHidden/>
    <w:rsid w:val="00DD1A07"/>
  </w:style>
  <w:style w:type="table" w:customStyle="1" w:styleId="Tablaconcuadrcula259">
    <w:name w:val="Tabla con cuadrícula259"/>
    <w:basedOn w:val="Tablanormal"/>
    <w:next w:val="Tablaconcuadrcula"/>
    <w:rsid w:val="00DD1A0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2">
    <w:name w:val="Sin lista142"/>
    <w:next w:val="Sinlista"/>
    <w:semiHidden/>
    <w:rsid w:val="00387BD2"/>
  </w:style>
  <w:style w:type="numbering" w:customStyle="1" w:styleId="Sinlista143">
    <w:name w:val="Sin lista143"/>
    <w:next w:val="Sinlista"/>
    <w:semiHidden/>
    <w:rsid w:val="003476CC"/>
  </w:style>
  <w:style w:type="table" w:customStyle="1" w:styleId="Tablaconcuadrcula260">
    <w:name w:val="Tabla con cuadrícula260"/>
    <w:basedOn w:val="Tablanormal"/>
    <w:next w:val="Tablaconcuadrcula"/>
    <w:rsid w:val="003476C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1">
    <w:name w:val="Tabla con cuadrícula261"/>
    <w:basedOn w:val="Tablanormal"/>
    <w:next w:val="Tablaconcuadrcula"/>
    <w:rsid w:val="00102CA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2">
    <w:name w:val="Tabla con cuadrícula262"/>
    <w:basedOn w:val="Tablanormal"/>
    <w:next w:val="Tablaconcuadrcula"/>
    <w:rsid w:val="00B47E9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3">
    <w:name w:val="Tabla con cuadrícula263"/>
    <w:basedOn w:val="Tablanormal"/>
    <w:next w:val="Tablaconcuadrcula"/>
    <w:rsid w:val="00DC112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4">
    <w:name w:val="Tabla con cuadrícula264"/>
    <w:basedOn w:val="Tablanormal"/>
    <w:next w:val="Tablaconcuadrcula"/>
    <w:rsid w:val="009B6F4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5">
    <w:name w:val="Tabla con cuadrícula265"/>
    <w:basedOn w:val="Tablanormal"/>
    <w:next w:val="Tablaconcuadrcula"/>
    <w:rsid w:val="00724E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4">
    <w:name w:val="Sin lista144"/>
    <w:next w:val="Sinlista"/>
    <w:semiHidden/>
    <w:rsid w:val="00A81D32"/>
  </w:style>
  <w:style w:type="table" w:customStyle="1" w:styleId="Tablaconcuadrcula266">
    <w:name w:val="Tabla con cuadrícula266"/>
    <w:basedOn w:val="Tablanormal"/>
    <w:next w:val="Tablaconcuadrcula"/>
    <w:rsid w:val="00C50F7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5">
    <w:name w:val="Sin lista145"/>
    <w:next w:val="Sinlista"/>
    <w:semiHidden/>
    <w:rsid w:val="00954A79"/>
  </w:style>
  <w:style w:type="paragraph" w:customStyle="1" w:styleId="font5">
    <w:name w:val="font5"/>
    <w:basedOn w:val="Normal"/>
    <w:uiPriority w:val="99"/>
    <w:rsid w:val="00954A79"/>
    <w:pPr>
      <w:spacing w:before="100" w:beforeAutospacing="1" w:after="100" w:afterAutospacing="1"/>
    </w:pPr>
    <w:rPr>
      <w:rFonts w:eastAsia="Times New Roman"/>
      <w:sz w:val="20"/>
      <w:szCs w:val="20"/>
      <w:lang w:val="es-ES"/>
    </w:rPr>
  </w:style>
  <w:style w:type="paragraph" w:customStyle="1" w:styleId="font6">
    <w:name w:val="font6"/>
    <w:basedOn w:val="Normal"/>
    <w:uiPriority w:val="99"/>
    <w:rsid w:val="00954A79"/>
    <w:pPr>
      <w:spacing w:before="100" w:beforeAutospacing="1" w:after="100" w:afterAutospacing="1"/>
    </w:pPr>
    <w:rPr>
      <w:rFonts w:eastAsia="Times New Roman"/>
      <w:i/>
      <w:iCs/>
      <w:sz w:val="20"/>
      <w:szCs w:val="20"/>
      <w:lang w:val="es-ES"/>
    </w:rPr>
  </w:style>
  <w:style w:type="paragraph" w:customStyle="1" w:styleId="font7">
    <w:name w:val="font7"/>
    <w:basedOn w:val="Normal"/>
    <w:uiPriority w:val="99"/>
    <w:rsid w:val="00954A79"/>
    <w:pPr>
      <w:spacing w:before="100" w:beforeAutospacing="1" w:after="100" w:afterAutospacing="1"/>
    </w:pPr>
    <w:rPr>
      <w:rFonts w:eastAsia="Times New Roman"/>
      <w:i/>
      <w:iCs/>
      <w:color w:val="000000"/>
      <w:sz w:val="20"/>
      <w:szCs w:val="20"/>
      <w:lang w:val="es-ES"/>
    </w:rPr>
  </w:style>
  <w:style w:type="paragraph" w:customStyle="1" w:styleId="xl25">
    <w:name w:val="xl25"/>
    <w:basedOn w:val="Normal"/>
    <w:uiPriority w:val="99"/>
    <w:rsid w:val="00954A79"/>
    <w:pPr>
      <w:spacing w:before="100" w:beforeAutospacing="1" w:after="100" w:afterAutospacing="1"/>
    </w:pPr>
    <w:rPr>
      <w:rFonts w:eastAsia="Times New Roman"/>
      <w:b/>
      <w:bCs/>
      <w:color w:val="000000"/>
      <w:lang w:val="es-ES"/>
    </w:rPr>
  </w:style>
  <w:style w:type="paragraph" w:customStyle="1" w:styleId="xl26">
    <w:name w:val="xl26"/>
    <w:basedOn w:val="Normal"/>
    <w:uiPriority w:val="99"/>
    <w:rsid w:val="00954A79"/>
    <w:pPr>
      <w:spacing w:before="100" w:beforeAutospacing="1" w:after="100" w:afterAutospacing="1"/>
    </w:pPr>
    <w:rPr>
      <w:rFonts w:eastAsia="Times New Roman"/>
      <w:color w:val="000000"/>
      <w:lang w:val="es-ES"/>
    </w:rPr>
  </w:style>
  <w:style w:type="paragraph" w:customStyle="1" w:styleId="xl27">
    <w:name w:val="xl27"/>
    <w:basedOn w:val="Normal"/>
    <w:uiPriority w:val="99"/>
    <w:rsid w:val="00954A79"/>
    <w:pPr>
      <w:spacing w:before="100" w:beforeAutospacing="1" w:after="100" w:afterAutospacing="1"/>
    </w:pPr>
    <w:rPr>
      <w:rFonts w:eastAsia="Times New Roman"/>
      <w:color w:val="000000"/>
      <w:lang w:val="es-ES"/>
    </w:rPr>
  </w:style>
  <w:style w:type="paragraph" w:customStyle="1" w:styleId="xl29">
    <w:name w:val="xl29"/>
    <w:basedOn w:val="Normal"/>
    <w:uiPriority w:val="99"/>
    <w:rsid w:val="00954A79"/>
    <w:pPr>
      <w:pBdr>
        <w:bottom w:val="single" w:sz="4" w:space="0" w:color="auto"/>
      </w:pBdr>
      <w:spacing w:before="100" w:beforeAutospacing="1" w:after="100" w:afterAutospacing="1"/>
    </w:pPr>
    <w:rPr>
      <w:rFonts w:eastAsia="Times New Roman"/>
      <w:color w:val="000000"/>
      <w:lang w:val="es-ES"/>
    </w:rPr>
  </w:style>
  <w:style w:type="paragraph" w:customStyle="1" w:styleId="xl30">
    <w:name w:val="xl30"/>
    <w:basedOn w:val="Normal"/>
    <w:uiPriority w:val="99"/>
    <w:rsid w:val="00954A79"/>
    <w:pPr>
      <w:pBdr>
        <w:bottom w:val="single" w:sz="4" w:space="0" w:color="auto"/>
      </w:pBdr>
      <w:spacing w:before="100" w:beforeAutospacing="1" w:after="100" w:afterAutospacing="1"/>
    </w:pPr>
    <w:rPr>
      <w:rFonts w:eastAsia="Times New Roman"/>
      <w:lang w:val="es-ES"/>
    </w:rPr>
  </w:style>
  <w:style w:type="paragraph" w:customStyle="1" w:styleId="xl31">
    <w:name w:val="xl31"/>
    <w:basedOn w:val="Normal"/>
    <w:uiPriority w:val="99"/>
    <w:rsid w:val="00954A79"/>
    <w:pPr>
      <w:pBdr>
        <w:bottom w:val="single" w:sz="4" w:space="0" w:color="auto"/>
      </w:pBdr>
      <w:spacing w:before="100" w:beforeAutospacing="1" w:after="100" w:afterAutospacing="1"/>
      <w:jc w:val="right"/>
    </w:pPr>
    <w:rPr>
      <w:rFonts w:eastAsia="Times New Roman"/>
      <w:lang w:val="es-ES"/>
    </w:rPr>
  </w:style>
  <w:style w:type="paragraph" w:customStyle="1" w:styleId="xl22">
    <w:name w:val="xl22"/>
    <w:basedOn w:val="Normal"/>
    <w:uiPriority w:val="99"/>
    <w:rsid w:val="00954A79"/>
    <w:pPr>
      <w:spacing w:before="100" w:beforeAutospacing="1" w:after="100" w:afterAutospacing="1"/>
    </w:pPr>
    <w:rPr>
      <w:rFonts w:eastAsia="Times New Roman"/>
      <w:lang w:val="es-ES"/>
    </w:rPr>
  </w:style>
  <w:style w:type="paragraph" w:customStyle="1" w:styleId="xl23">
    <w:name w:val="xl23"/>
    <w:basedOn w:val="Normal"/>
    <w:uiPriority w:val="99"/>
    <w:rsid w:val="00954A79"/>
    <w:pPr>
      <w:spacing w:before="100" w:beforeAutospacing="1" w:after="100" w:afterAutospacing="1"/>
    </w:pPr>
    <w:rPr>
      <w:rFonts w:eastAsia="Times New Roman"/>
      <w:lang w:val="es-ES"/>
    </w:rPr>
  </w:style>
  <w:style w:type="numbering" w:customStyle="1" w:styleId="Sinlista146">
    <w:name w:val="Sin lista146"/>
    <w:next w:val="Sinlista"/>
    <w:semiHidden/>
    <w:rsid w:val="00954A79"/>
  </w:style>
  <w:style w:type="table" w:customStyle="1" w:styleId="Tablaconcuadrcula267">
    <w:name w:val="Tabla con cuadrícula267"/>
    <w:basedOn w:val="Tablanormal"/>
    <w:next w:val="Tablaconcuadrcula"/>
    <w:rsid w:val="00954A7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horttext1">
    <w:name w:val="short_text1"/>
    <w:basedOn w:val="Fuentedeprrafopredeter"/>
    <w:rsid w:val="00954A79"/>
    <w:rPr>
      <w:sz w:val="19"/>
      <w:szCs w:val="19"/>
    </w:rPr>
  </w:style>
  <w:style w:type="table" w:customStyle="1" w:styleId="Tablaconcuadrcula1290">
    <w:name w:val="Tabla con cuadrícula 129"/>
    <w:basedOn w:val="Tablanormal"/>
    <w:next w:val="Tablaconcuadrcula10"/>
    <w:rsid w:val="00B34F24"/>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47">
    <w:name w:val="Sin lista147"/>
    <w:next w:val="Sinlista"/>
    <w:semiHidden/>
    <w:rsid w:val="00DA172D"/>
  </w:style>
  <w:style w:type="table" w:customStyle="1" w:styleId="Tablaconcuadrcula268">
    <w:name w:val="Tabla con cuadrícula268"/>
    <w:basedOn w:val="Tablanormal"/>
    <w:next w:val="Tablaconcuadrcula"/>
    <w:rsid w:val="00DA17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9">
    <w:name w:val="Style 9"/>
    <w:basedOn w:val="Normal"/>
    <w:uiPriority w:val="99"/>
    <w:rsid w:val="00DA172D"/>
    <w:pPr>
      <w:widowControl w:val="0"/>
      <w:autoSpaceDE w:val="0"/>
      <w:autoSpaceDN w:val="0"/>
      <w:spacing w:before="108"/>
      <w:ind w:right="144"/>
      <w:jc w:val="both"/>
    </w:pPr>
    <w:rPr>
      <w:rFonts w:eastAsia="Times New Roman"/>
      <w:lang w:val="en-US"/>
    </w:rPr>
  </w:style>
  <w:style w:type="paragraph" w:customStyle="1" w:styleId="Style13">
    <w:name w:val="Style 13"/>
    <w:basedOn w:val="Normal"/>
    <w:uiPriority w:val="99"/>
    <w:rsid w:val="00DA172D"/>
    <w:pPr>
      <w:widowControl w:val="0"/>
      <w:autoSpaceDE w:val="0"/>
      <w:autoSpaceDN w:val="0"/>
      <w:spacing w:before="252" w:after="216"/>
    </w:pPr>
    <w:rPr>
      <w:rFonts w:eastAsia="Times New Roman"/>
      <w:lang w:val="en-US"/>
    </w:rPr>
  </w:style>
  <w:style w:type="paragraph" w:customStyle="1" w:styleId="Style14">
    <w:name w:val="Style 14"/>
    <w:basedOn w:val="Normal"/>
    <w:uiPriority w:val="99"/>
    <w:rsid w:val="00DA172D"/>
    <w:pPr>
      <w:widowControl w:val="0"/>
      <w:autoSpaceDE w:val="0"/>
      <w:autoSpaceDN w:val="0"/>
      <w:adjustRightInd w:val="0"/>
    </w:pPr>
    <w:rPr>
      <w:rFonts w:eastAsia="Times New Roman"/>
      <w:lang w:val="en-US"/>
    </w:rPr>
  </w:style>
  <w:style w:type="paragraph" w:customStyle="1" w:styleId="Style1">
    <w:name w:val="Style 1"/>
    <w:basedOn w:val="Normal"/>
    <w:uiPriority w:val="99"/>
    <w:rsid w:val="00DA172D"/>
    <w:pPr>
      <w:widowControl w:val="0"/>
      <w:tabs>
        <w:tab w:val="decimal" w:pos="360"/>
      </w:tabs>
      <w:autoSpaceDE w:val="0"/>
      <w:autoSpaceDN w:val="0"/>
      <w:spacing w:before="36"/>
    </w:pPr>
    <w:rPr>
      <w:rFonts w:eastAsia="Times New Roman"/>
      <w:lang w:val="en-US"/>
    </w:rPr>
  </w:style>
  <w:style w:type="paragraph" w:customStyle="1" w:styleId="Style11">
    <w:name w:val="Style 11"/>
    <w:basedOn w:val="Normal"/>
    <w:uiPriority w:val="99"/>
    <w:rsid w:val="00DA172D"/>
    <w:pPr>
      <w:widowControl w:val="0"/>
      <w:autoSpaceDE w:val="0"/>
      <w:autoSpaceDN w:val="0"/>
      <w:spacing w:before="360"/>
      <w:jc w:val="both"/>
    </w:pPr>
    <w:rPr>
      <w:rFonts w:eastAsia="Times New Roman"/>
      <w:lang w:val="en-US"/>
    </w:rPr>
  </w:style>
  <w:style w:type="paragraph" w:customStyle="1" w:styleId="Style16">
    <w:name w:val="Style 16"/>
    <w:basedOn w:val="Normal"/>
    <w:uiPriority w:val="99"/>
    <w:rsid w:val="00DA172D"/>
    <w:pPr>
      <w:widowControl w:val="0"/>
      <w:autoSpaceDE w:val="0"/>
      <w:autoSpaceDN w:val="0"/>
      <w:spacing w:before="108"/>
      <w:jc w:val="both"/>
    </w:pPr>
    <w:rPr>
      <w:rFonts w:eastAsia="Times New Roman"/>
      <w:lang w:val="en-US"/>
    </w:rPr>
  </w:style>
  <w:style w:type="paragraph" w:customStyle="1" w:styleId="Style17">
    <w:name w:val="Style 17"/>
    <w:basedOn w:val="Normal"/>
    <w:uiPriority w:val="99"/>
    <w:rsid w:val="00DA172D"/>
    <w:pPr>
      <w:widowControl w:val="0"/>
      <w:autoSpaceDE w:val="0"/>
      <w:autoSpaceDN w:val="0"/>
      <w:adjustRightInd w:val="0"/>
    </w:pPr>
    <w:rPr>
      <w:rFonts w:eastAsia="Times New Roman"/>
      <w:lang w:val="en-US"/>
    </w:rPr>
  </w:style>
  <w:style w:type="paragraph" w:customStyle="1" w:styleId="Style18">
    <w:name w:val="Style 18"/>
    <w:basedOn w:val="Normal"/>
    <w:uiPriority w:val="99"/>
    <w:rsid w:val="00DA172D"/>
    <w:pPr>
      <w:widowControl w:val="0"/>
      <w:tabs>
        <w:tab w:val="decimal" w:pos="3888"/>
        <w:tab w:val="decimal" w:pos="4896"/>
        <w:tab w:val="left" w:pos="5652"/>
        <w:tab w:val="right" w:pos="6804"/>
        <w:tab w:val="decimal" w:pos="7920"/>
      </w:tabs>
      <w:autoSpaceDE w:val="0"/>
      <w:autoSpaceDN w:val="0"/>
      <w:spacing w:line="360" w:lineRule="auto"/>
      <w:ind w:left="288"/>
    </w:pPr>
    <w:rPr>
      <w:rFonts w:eastAsia="Times New Roman"/>
      <w:lang w:val="en-US"/>
    </w:rPr>
  </w:style>
  <w:style w:type="paragraph" w:customStyle="1" w:styleId="Style19">
    <w:name w:val="Style 19"/>
    <w:basedOn w:val="Normal"/>
    <w:uiPriority w:val="99"/>
    <w:rsid w:val="00DA172D"/>
    <w:pPr>
      <w:widowControl w:val="0"/>
      <w:autoSpaceDE w:val="0"/>
      <w:autoSpaceDN w:val="0"/>
      <w:ind w:left="324"/>
    </w:pPr>
    <w:rPr>
      <w:rFonts w:eastAsia="Times New Roman"/>
      <w:lang w:val="en-US"/>
    </w:rPr>
  </w:style>
  <w:style w:type="paragraph" w:customStyle="1" w:styleId="Style12">
    <w:name w:val="Style 12"/>
    <w:basedOn w:val="Normal"/>
    <w:uiPriority w:val="99"/>
    <w:rsid w:val="00DA172D"/>
    <w:pPr>
      <w:widowControl w:val="0"/>
      <w:autoSpaceDE w:val="0"/>
      <w:autoSpaceDN w:val="0"/>
      <w:spacing w:before="108" w:after="10224"/>
      <w:jc w:val="both"/>
    </w:pPr>
    <w:rPr>
      <w:rFonts w:eastAsia="Times New Roman"/>
      <w:lang w:val="en-US"/>
    </w:rPr>
  </w:style>
  <w:style w:type="paragraph" w:customStyle="1" w:styleId="Style10">
    <w:name w:val="Style 10"/>
    <w:basedOn w:val="Normal"/>
    <w:uiPriority w:val="99"/>
    <w:rsid w:val="00DA172D"/>
    <w:pPr>
      <w:widowControl w:val="0"/>
      <w:autoSpaceDE w:val="0"/>
      <w:autoSpaceDN w:val="0"/>
      <w:jc w:val="both"/>
    </w:pPr>
    <w:rPr>
      <w:rFonts w:eastAsia="Times New Roman"/>
      <w:lang w:val="en-US"/>
    </w:rPr>
  </w:style>
  <w:style w:type="table" w:styleId="Tablaconcuadrcula2a">
    <w:name w:val="Table Grid 2"/>
    <w:basedOn w:val="Tablanormal"/>
    <w:rsid w:val="00DA172D"/>
    <w:pPr>
      <w:widowControl w:val="0"/>
      <w:autoSpaceDE w:val="0"/>
      <w:autoSpaceDN w:val="0"/>
    </w:pPr>
    <w:rPr>
      <w:rFonts w:eastAsia="Times New Roman"/>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Tablaconcuadrcula269">
    <w:name w:val="Tabla con cuadrícula269"/>
    <w:basedOn w:val="Tablanormal"/>
    <w:next w:val="Tablaconcuadrcula"/>
    <w:rsid w:val="00A6429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0">
    <w:name w:val="Tabla con cuadrícula270"/>
    <w:basedOn w:val="Tablanormal"/>
    <w:next w:val="Tablaconcuadrcula"/>
    <w:rsid w:val="00A6429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1">
    <w:name w:val="Tabla con cuadrícula271"/>
    <w:basedOn w:val="Tablanormal"/>
    <w:next w:val="Tablaconcuadrcula"/>
    <w:rsid w:val="00A6429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8">
    <w:name w:val="Sin lista148"/>
    <w:next w:val="Sinlista"/>
    <w:semiHidden/>
    <w:rsid w:val="00CA6BF5"/>
  </w:style>
  <w:style w:type="table" w:customStyle="1" w:styleId="Tablaconcuadrcula1301">
    <w:name w:val="Tabla con cuadrícula 130"/>
    <w:basedOn w:val="Tablanormal"/>
    <w:next w:val="Tablaconcuadrcula10"/>
    <w:rsid w:val="00CA6BF5"/>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49">
    <w:name w:val="Sin lista149"/>
    <w:next w:val="Sinlista"/>
    <w:semiHidden/>
    <w:rsid w:val="00DE74B8"/>
  </w:style>
  <w:style w:type="table" w:customStyle="1" w:styleId="Tablaconcuadrcula272">
    <w:name w:val="Tabla con cuadrícula272"/>
    <w:basedOn w:val="Tablanormal"/>
    <w:next w:val="Tablaconcuadrcula"/>
    <w:rsid w:val="00DE74B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0">
    <w:name w:val="Sin lista150"/>
    <w:next w:val="Sinlista"/>
    <w:semiHidden/>
    <w:rsid w:val="008B7A9E"/>
  </w:style>
  <w:style w:type="table" w:customStyle="1" w:styleId="Tablaconcuadrcula273">
    <w:name w:val="Tabla con cuadrícula273"/>
    <w:basedOn w:val="Tablanormal"/>
    <w:next w:val="Tablaconcuadrcula"/>
    <w:rsid w:val="008B7A9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4">
    <w:name w:val="Tabla con cuadrícula274"/>
    <w:basedOn w:val="Tablanormal"/>
    <w:next w:val="Tablaconcuadrcula"/>
    <w:rsid w:val="00CA0CF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5">
    <w:name w:val="Tabla con cuadrícula275"/>
    <w:basedOn w:val="Tablanormal"/>
    <w:next w:val="Tablaconcuadrcula"/>
    <w:rsid w:val="00CA0CF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1">
    <w:name w:val="Sin lista151"/>
    <w:next w:val="Sinlista"/>
    <w:semiHidden/>
    <w:rsid w:val="00B23A94"/>
  </w:style>
  <w:style w:type="numbering" w:customStyle="1" w:styleId="Sinlista152">
    <w:name w:val="Sin lista152"/>
    <w:next w:val="Sinlista"/>
    <w:semiHidden/>
    <w:rsid w:val="00511A66"/>
  </w:style>
  <w:style w:type="table" w:customStyle="1" w:styleId="Tablaconcuadrcula276">
    <w:name w:val="Tabla con cuadrícula276"/>
    <w:basedOn w:val="Tablanormal"/>
    <w:next w:val="Tablaconcuadrcula"/>
    <w:rsid w:val="00511A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3">
    <w:name w:val="Sin lista153"/>
    <w:next w:val="Sinlista"/>
    <w:semiHidden/>
    <w:rsid w:val="004272E4"/>
  </w:style>
  <w:style w:type="character" w:customStyle="1" w:styleId="longtext1">
    <w:name w:val="long_text1"/>
    <w:basedOn w:val="Fuentedeprrafopredeter"/>
    <w:rsid w:val="004272E4"/>
    <w:rPr>
      <w:sz w:val="20"/>
      <w:szCs w:val="20"/>
    </w:rPr>
  </w:style>
  <w:style w:type="character" w:customStyle="1" w:styleId="normaltext1">
    <w:name w:val="normaltext1"/>
    <w:basedOn w:val="Fuentedeprrafopredeter"/>
    <w:rsid w:val="004272E4"/>
    <w:rPr>
      <w:b/>
      <w:bCs/>
    </w:rPr>
  </w:style>
  <w:style w:type="character" w:customStyle="1" w:styleId="goog-zippy-collapsed">
    <w:name w:val="goog-zippy-collapsed"/>
    <w:basedOn w:val="Fuentedeprrafopredeter"/>
    <w:rsid w:val="004272E4"/>
  </w:style>
  <w:style w:type="table" w:customStyle="1" w:styleId="Tablaconcuadrcula1310">
    <w:name w:val="Tabla con cuadrícula 131"/>
    <w:basedOn w:val="Tablanormal"/>
    <w:next w:val="Tablaconcuadrcula10"/>
    <w:rsid w:val="005E7D47"/>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77">
    <w:name w:val="Tabla con cuadrícula277"/>
    <w:basedOn w:val="Tablanormal"/>
    <w:next w:val="Tablaconcuadrcula"/>
    <w:rsid w:val="003B4F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4">
    <w:name w:val="Sin lista154"/>
    <w:next w:val="Sinlista"/>
    <w:semiHidden/>
    <w:rsid w:val="00AA1609"/>
  </w:style>
  <w:style w:type="table" w:customStyle="1" w:styleId="Tablaconcuadrcula278">
    <w:name w:val="Tabla con cuadrícula278"/>
    <w:basedOn w:val="Tablanormal"/>
    <w:next w:val="Tablaconcuadrcula"/>
    <w:rsid w:val="00AA160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9">
    <w:name w:val="Tabla con cuadrícula279"/>
    <w:basedOn w:val="Tablanormal"/>
    <w:next w:val="Tablaconcuadrcula"/>
    <w:rsid w:val="00AB5BE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5">
    <w:name w:val="Sin lista155"/>
    <w:next w:val="Sinlista"/>
    <w:semiHidden/>
    <w:rsid w:val="007D6E87"/>
  </w:style>
  <w:style w:type="table" w:customStyle="1" w:styleId="Tablaconcuadrcula280">
    <w:name w:val="Tabla con cuadrícula280"/>
    <w:basedOn w:val="Tablanormal"/>
    <w:next w:val="Tablaconcuadrcula"/>
    <w:rsid w:val="007D6E8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1">
    <w:name w:val="Tabla con cuadrícula281"/>
    <w:basedOn w:val="Tablanormal"/>
    <w:next w:val="Tablaconcuadrcula"/>
    <w:rsid w:val="000D431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20">
    <w:name w:val="Tabla con cuadrícula 132"/>
    <w:basedOn w:val="Tablanormal"/>
    <w:next w:val="Tablaconcuadrcula10"/>
    <w:rsid w:val="00AC38D6"/>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82">
    <w:name w:val="Tabla con cuadrícula282"/>
    <w:basedOn w:val="Tablanormal"/>
    <w:next w:val="Tablaconcuadrcula"/>
    <w:rsid w:val="0057624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3">
    <w:name w:val="Tabla con cuadrícula283"/>
    <w:basedOn w:val="Tablanormal"/>
    <w:next w:val="Tablaconcuadrcula"/>
    <w:rsid w:val="006C5A7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01">
    <w:name w:val="Tabla con cuadrícula1101"/>
    <w:basedOn w:val="Tablanormal"/>
    <w:next w:val="Tablaconcuadrcula"/>
    <w:rsid w:val="006C5A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6">
    <w:name w:val="Sin lista156"/>
    <w:next w:val="Sinlista"/>
    <w:semiHidden/>
    <w:rsid w:val="00C17A96"/>
  </w:style>
  <w:style w:type="table" w:customStyle="1" w:styleId="Tablaconcuadrcula284">
    <w:name w:val="Tabla con cuadrícula284"/>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noteTextChar1Car">
    <w:name w:val="Footnote Text Char1 Car"/>
    <w:aliases w:val="Footnote Text Char1 Char Car,Footnote Text Char Char Char Car Car,Texto nota pie Car1,Footnote Text Char Char Char Car1"/>
    <w:basedOn w:val="Fuentedeprrafopredeter"/>
    <w:uiPriority w:val="99"/>
    <w:rsid w:val="00C17A96"/>
    <w:rPr>
      <w:lang w:val="es-ES" w:eastAsia="es-ES" w:bidi="ar-SA"/>
    </w:rPr>
  </w:style>
  <w:style w:type="table" w:customStyle="1" w:styleId="Tablaconcuadrcula1601">
    <w:name w:val="Tabla con cuadrícula1601"/>
    <w:basedOn w:val="Tablanormal"/>
    <w:next w:val="Tablaconcuadrcula"/>
    <w:rsid w:val="00C17A96"/>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0">
    <w:name w:val="Tabla con cuadrícula2110"/>
    <w:basedOn w:val="Tablanormal"/>
    <w:next w:val="Tablaconcuadrcula"/>
    <w:rsid w:val="00C17A96"/>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0">
    <w:name w:val="Tabla con cuadrícula2210"/>
    <w:basedOn w:val="Tablanormal"/>
    <w:next w:val="Tablaconcuadrcula"/>
    <w:rsid w:val="00C17A96"/>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0">
    <w:name w:val="Tabla con cuadrícula2310"/>
    <w:basedOn w:val="Tablanormal"/>
    <w:next w:val="Tablaconcuadrcula"/>
    <w:rsid w:val="00C17A96"/>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7">
    <w:name w:val="Sin lista157"/>
    <w:next w:val="Sinlista"/>
    <w:semiHidden/>
    <w:unhideWhenUsed/>
    <w:rsid w:val="00C17A96"/>
  </w:style>
  <w:style w:type="character" w:customStyle="1" w:styleId="num1CarCar">
    <w:name w:val="num.                          1 Car Car"/>
    <w:basedOn w:val="Fuentedeprrafopredeter"/>
    <w:rsid w:val="00C17A96"/>
    <w:rPr>
      <w:rFonts w:ascii="Arial" w:hAnsi="Arial" w:cs="Arial"/>
      <w:b/>
      <w:bCs/>
      <w:kern w:val="36"/>
      <w:sz w:val="48"/>
      <w:szCs w:val="48"/>
      <w:lang w:val="es-MX" w:eastAsia="es-MX" w:bidi="ar-SA"/>
    </w:rPr>
  </w:style>
  <w:style w:type="numbering" w:customStyle="1" w:styleId="Sinlista210">
    <w:name w:val="Sin lista210"/>
    <w:next w:val="Sinlista"/>
    <w:semiHidden/>
    <w:unhideWhenUsed/>
    <w:rsid w:val="00C17A96"/>
  </w:style>
  <w:style w:type="table" w:customStyle="1" w:styleId="Tablabsica11">
    <w:name w:val="Tabla básica 11"/>
    <w:basedOn w:val="Tablanormal"/>
    <w:next w:val="Tablabsica1"/>
    <w:rsid w:val="00C17A96"/>
    <w:rPr>
      <w:rFonts w:eastAsia="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0">
    <w:name w:val="Sin lista1110"/>
    <w:next w:val="Sinlista"/>
    <w:semiHidden/>
    <w:rsid w:val="00C17A96"/>
  </w:style>
  <w:style w:type="table" w:customStyle="1" w:styleId="Tablaconcuadrcula11100">
    <w:name w:val="Tabla con cuadrícula1110"/>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30">
    <w:name w:val="Tabla con cuadrícula 133"/>
    <w:basedOn w:val="Tablanormal"/>
    <w:next w:val="Tablaconcuadrcula10"/>
    <w:rsid w:val="00C17A96"/>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2">
    <w:name w:val="Tabla con cuadrícula1902"/>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1">
    <w:name w:val="Tabla con cuadrícula293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0">
    <w:name w:val="Tabla con cuadrícula610"/>
    <w:basedOn w:val="Tablanormal"/>
    <w:next w:val="Tablaconcuadrcula"/>
    <w:rsid w:val="00C17A96"/>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0">
    <w:name w:val="Sin lista310"/>
    <w:next w:val="Sinlista"/>
    <w:semiHidden/>
    <w:unhideWhenUsed/>
    <w:rsid w:val="00C17A96"/>
  </w:style>
  <w:style w:type="table" w:customStyle="1" w:styleId="Tablaconcuadrcula1821">
    <w:name w:val="Tabla con cuadrícula182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3">
    <w:name w:val="Tabla con cuadrícula513"/>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0">
    <w:name w:val="Sin lista410"/>
    <w:next w:val="Sinlista"/>
    <w:semiHidden/>
    <w:rsid w:val="00C17A96"/>
  </w:style>
  <w:style w:type="numbering" w:customStyle="1" w:styleId="Sinlista510">
    <w:name w:val="Sin lista510"/>
    <w:next w:val="Sinlista"/>
    <w:semiHidden/>
    <w:unhideWhenUsed/>
    <w:rsid w:val="00C17A96"/>
  </w:style>
  <w:style w:type="numbering" w:customStyle="1" w:styleId="Sinlista1210">
    <w:name w:val="Sin lista1210"/>
    <w:next w:val="Sinlista"/>
    <w:semiHidden/>
    <w:rsid w:val="00C17A96"/>
  </w:style>
  <w:style w:type="numbering" w:customStyle="1" w:styleId="Sinlista610">
    <w:name w:val="Sin lista610"/>
    <w:next w:val="Sinlista"/>
    <w:semiHidden/>
    <w:unhideWhenUsed/>
    <w:rsid w:val="00C17A96"/>
  </w:style>
  <w:style w:type="numbering" w:customStyle="1" w:styleId="Sinlista710">
    <w:name w:val="Sin lista710"/>
    <w:next w:val="Sinlista"/>
    <w:semiHidden/>
    <w:unhideWhenUsed/>
    <w:rsid w:val="00C17A96"/>
  </w:style>
  <w:style w:type="table" w:customStyle="1" w:styleId="Tablaconcuadrcula12100">
    <w:name w:val="Tabla con cuadrícula1210"/>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0">
    <w:name w:val="Sin lista810"/>
    <w:next w:val="Sinlista"/>
    <w:semiHidden/>
    <w:unhideWhenUsed/>
    <w:rsid w:val="00C17A96"/>
  </w:style>
  <w:style w:type="numbering" w:customStyle="1" w:styleId="Sinlista910">
    <w:name w:val="Sin lista910"/>
    <w:next w:val="Sinlista"/>
    <w:semiHidden/>
    <w:rsid w:val="00C17A96"/>
  </w:style>
  <w:style w:type="numbering" w:customStyle="1" w:styleId="Sinlista1010">
    <w:name w:val="Sin lista1010"/>
    <w:next w:val="Sinlista"/>
    <w:semiHidden/>
    <w:unhideWhenUsed/>
    <w:rsid w:val="00C17A96"/>
  </w:style>
  <w:style w:type="numbering" w:customStyle="1" w:styleId="Sinlista1310">
    <w:name w:val="Sin lista1310"/>
    <w:next w:val="Sinlista"/>
    <w:semiHidden/>
    <w:rsid w:val="00C17A96"/>
  </w:style>
  <w:style w:type="table" w:customStyle="1" w:styleId="Tablaconcuadrcula521">
    <w:name w:val="Tabla con cuadrícula52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0">
    <w:name w:val="Tabla con cuadrícula1510"/>
    <w:basedOn w:val="Tablanormal"/>
    <w:next w:val="Tablaconcuadrcula"/>
    <w:rsid w:val="00C17A96"/>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0">
    <w:name w:val="Sin lista1410"/>
    <w:next w:val="Sinlista"/>
    <w:semiHidden/>
    <w:rsid w:val="00C17A96"/>
  </w:style>
  <w:style w:type="numbering" w:customStyle="1" w:styleId="Sinlista158">
    <w:name w:val="Sin lista158"/>
    <w:next w:val="Sinlista"/>
    <w:semiHidden/>
    <w:rsid w:val="00C17A96"/>
  </w:style>
  <w:style w:type="numbering" w:customStyle="1" w:styleId="Sinlista161">
    <w:name w:val="Sin lista161"/>
    <w:next w:val="Sinlista"/>
    <w:semiHidden/>
    <w:rsid w:val="00C17A96"/>
  </w:style>
  <w:style w:type="table" w:customStyle="1" w:styleId="Tablaconcuadrcula19100">
    <w:name w:val="Tabla con cuadrícula1910"/>
    <w:basedOn w:val="Tablanormal"/>
    <w:next w:val="Tablaconcuadrcula"/>
    <w:rsid w:val="00C17A96"/>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1">
    <w:name w:val="Sin lista171"/>
    <w:next w:val="Sinlista"/>
    <w:semiHidden/>
    <w:rsid w:val="00C17A96"/>
  </w:style>
  <w:style w:type="numbering" w:customStyle="1" w:styleId="Sinlista181">
    <w:name w:val="Sin lista181"/>
    <w:next w:val="Sinlista"/>
    <w:semiHidden/>
    <w:rsid w:val="00C17A96"/>
  </w:style>
  <w:style w:type="table" w:customStyle="1" w:styleId="Tablaconcuadrcula1102">
    <w:name w:val="Tabla con cuadrícula1102"/>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
    <w:name w:val="1 / 1.1 / 1.1.11"/>
    <w:basedOn w:val="Sinlista"/>
    <w:next w:val="111111"/>
    <w:rsid w:val="00C17A96"/>
  </w:style>
  <w:style w:type="numbering" w:customStyle="1" w:styleId="Sinlista191">
    <w:name w:val="Sin lista191"/>
    <w:next w:val="Sinlista"/>
    <w:semiHidden/>
    <w:unhideWhenUsed/>
    <w:rsid w:val="00C17A96"/>
  </w:style>
  <w:style w:type="table" w:customStyle="1" w:styleId="Tablaconcuadrcula2071">
    <w:name w:val="Tabla con cuadrícula207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1">
    <w:name w:val="1 / 1.1 / 1.1.111"/>
    <w:basedOn w:val="Sinlista"/>
    <w:next w:val="111111"/>
    <w:rsid w:val="00C17A96"/>
  </w:style>
  <w:style w:type="table" w:customStyle="1" w:styleId="Tablaconcuadrcula2510">
    <w:name w:val="Tabla con cuadrícula2510"/>
    <w:basedOn w:val="Tablanormal"/>
    <w:next w:val="Tablaconcuadrcula"/>
    <w:rsid w:val="00C17A96"/>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0">
    <w:name w:val="Tabla con cuadrícula2610"/>
    <w:basedOn w:val="Tablanormal"/>
    <w:next w:val="Tablaconcuadrcula"/>
    <w:rsid w:val="00C17A96"/>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201">
    <w:name w:val="Sin lista201"/>
    <w:next w:val="Sinlista"/>
    <w:semiHidden/>
    <w:rsid w:val="00C17A96"/>
  </w:style>
  <w:style w:type="table" w:customStyle="1" w:styleId="Tablaconcuadrcula2710">
    <w:name w:val="Tabla con cuadrícula2710"/>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11">
    <w:name w:val="Tabla con cuadrícula16011"/>
    <w:basedOn w:val="Tablanormal"/>
    <w:next w:val="Tablaconcuadrcula"/>
    <w:rsid w:val="00C17A96"/>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1">
    <w:name w:val="Tabla con cuadrícula2111"/>
    <w:basedOn w:val="Tablanormal"/>
    <w:next w:val="Tablaconcuadrcula"/>
    <w:rsid w:val="00C17A96"/>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1">
    <w:name w:val="Tabla con cuadrícula2211"/>
    <w:basedOn w:val="Tablanormal"/>
    <w:next w:val="Tablaconcuadrcula"/>
    <w:rsid w:val="00C17A96"/>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1">
    <w:name w:val="Tabla con cuadrícula2311"/>
    <w:basedOn w:val="Tablanormal"/>
    <w:next w:val="Tablaconcuadrcula"/>
    <w:rsid w:val="00C17A96"/>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1">
    <w:name w:val="Sin lista1101"/>
    <w:next w:val="Sinlista"/>
    <w:semiHidden/>
    <w:unhideWhenUsed/>
    <w:rsid w:val="00C17A96"/>
  </w:style>
  <w:style w:type="numbering" w:customStyle="1" w:styleId="Sinlista211">
    <w:name w:val="Sin lista211"/>
    <w:next w:val="Sinlista"/>
    <w:semiHidden/>
    <w:unhideWhenUsed/>
    <w:rsid w:val="00C17A96"/>
  </w:style>
  <w:style w:type="table" w:customStyle="1" w:styleId="Tablabsica111">
    <w:name w:val="Tabla básica 111"/>
    <w:basedOn w:val="Tablanormal"/>
    <w:next w:val="Tablabsica1"/>
    <w:rsid w:val="00C17A96"/>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1">
    <w:name w:val="Sin lista1111"/>
    <w:next w:val="Sinlista"/>
    <w:semiHidden/>
    <w:rsid w:val="00C17A96"/>
  </w:style>
  <w:style w:type="table" w:customStyle="1" w:styleId="Tablaconcuadrcula11110">
    <w:name w:val="Tabla con cuadrícula1111"/>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01">
    <w:name w:val="Tabla con cuadrícula 1110"/>
    <w:basedOn w:val="Tablanormal"/>
    <w:next w:val="Tablaconcuadrcula10"/>
    <w:rsid w:val="00C17A96"/>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21">
    <w:name w:val="Tabla con cuadrícula19021"/>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11">
    <w:name w:val="Tabla con cuadrícula29311"/>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1">
    <w:name w:val="Tabla con cuadrícula611"/>
    <w:basedOn w:val="Tablanormal"/>
    <w:next w:val="Tablaconcuadrcula"/>
    <w:rsid w:val="00C17A9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1">
    <w:name w:val="Sin lista311"/>
    <w:next w:val="Sinlista"/>
    <w:semiHidden/>
    <w:unhideWhenUsed/>
    <w:rsid w:val="00C17A96"/>
  </w:style>
  <w:style w:type="table" w:customStyle="1" w:styleId="Tablaconcuadrcula18211">
    <w:name w:val="Tabla con cuadrícula18211"/>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1">
    <w:name w:val="Tabla con cuadrícula5111"/>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1">
    <w:name w:val="Sin lista411"/>
    <w:next w:val="Sinlista"/>
    <w:semiHidden/>
    <w:rsid w:val="00C17A96"/>
  </w:style>
  <w:style w:type="numbering" w:customStyle="1" w:styleId="Sinlista511">
    <w:name w:val="Sin lista511"/>
    <w:next w:val="Sinlista"/>
    <w:semiHidden/>
    <w:unhideWhenUsed/>
    <w:rsid w:val="00C17A96"/>
  </w:style>
  <w:style w:type="numbering" w:customStyle="1" w:styleId="Sinlista1211">
    <w:name w:val="Sin lista1211"/>
    <w:next w:val="Sinlista"/>
    <w:semiHidden/>
    <w:rsid w:val="00C17A96"/>
  </w:style>
  <w:style w:type="numbering" w:customStyle="1" w:styleId="Sinlista611">
    <w:name w:val="Sin lista611"/>
    <w:next w:val="Sinlista"/>
    <w:semiHidden/>
    <w:unhideWhenUsed/>
    <w:rsid w:val="00C17A96"/>
  </w:style>
  <w:style w:type="numbering" w:customStyle="1" w:styleId="Sinlista711">
    <w:name w:val="Sin lista711"/>
    <w:next w:val="Sinlista"/>
    <w:semiHidden/>
    <w:unhideWhenUsed/>
    <w:rsid w:val="00C17A96"/>
  </w:style>
  <w:style w:type="table" w:customStyle="1" w:styleId="Tablaconcuadrcula1211">
    <w:name w:val="Tabla con cuadrícula1211"/>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1">
    <w:name w:val="Sin lista811"/>
    <w:next w:val="Sinlista"/>
    <w:semiHidden/>
    <w:unhideWhenUsed/>
    <w:rsid w:val="00C17A96"/>
  </w:style>
  <w:style w:type="numbering" w:customStyle="1" w:styleId="Sinlista911">
    <w:name w:val="Sin lista911"/>
    <w:next w:val="Sinlista"/>
    <w:semiHidden/>
    <w:rsid w:val="00C17A96"/>
  </w:style>
  <w:style w:type="numbering" w:customStyle="1" w:styleId="Sinlista1011">
    <w:name w:val="Sin lista1011"/>
    <w:next w:val="Sinlista"/>
    <w:semiHidden/>
    <w:unhideWhenUsed/>
    <w:rsid w:val="00C17A96"/>
  </w:style>
  <w:style w:type="numbering" w:customStyle="1" w:styleId="Sinlista1311">
    <w:name w:val="Sin lista1311"/>
    <w:next w:val="Sinlista"/>
    <w:semiHidden/>
    <w:rsid w:val="00C17A96"/>
  </w:style>
  <w:style w:type="table" w:customStyle="1" w:styleId="Tablaconcuadrcula5211">
    <w:name w:val="Tabla con cuadrícula5211"/>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1">
    <w:name w:val="Tabla con cuadrícula1511"/>
    <w:basedOn w:val="Tablanormal"/>
    <w:next w:val="Tablaconcuadrcula"/>
    <w:rsid w:val="00C17A9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1">
    <w:name w:val="Sin lista1411"/>
    <w:next w:val="Sinlista"/>
    <w:semiHidden/>
    <w:rsid w:val="00C17A96"/>
  </w:style>
  <w:style w:type="numbering" w:customStyle="1" w:styleId="Sinlista1511">
    <w:name w:val="Sin lista1511"/>
    <w:next w:val="Sinlista"/>
    <w:semiHidden/>
    <w:rsid w:val="00C17A96"/>
  </w:style>
  <w:style w:type="numbering" w:customStyle="1" w:styleId="Sinlista1611">
    <w:name w:val="Sin lista1611"/>
    <w:next w:val="Sinlista"/>
    <w:semiHidden/>
    <w:rsid w:val="00C17A96"/>
  </w:style>
  <w:style w:type="table" w:customStyle="1" w:styleId="Tablaconcuadrcula1911">
    <w:name w:val="Tabla con cuadrícula1911"/>
    <w:basedOn w:val="Tablanormal"/>
    <w:next w:val="Tablaconcuadrcula"/>
    <w:rsid w:val="00C17A9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11">
    <w:name w:val="Sin lista1711"/>
    <w:next w:val="Sinlista"/>
    <w:semiHidden/>
    <w:rsid w:val="00C17A96"/>
  </w:style>
  <w:style w:type="numbering" w:customStyle="1" w:styleId="Sinlista1811">
    <w:name w:val="Sin lista1811"/>
    <w:next w:val="Sinlista"/>
    <w:semiHidden/>
    <w:rsid w:val="00C17A96"/>
  </w:style>
  <w:style w:type="numbering" w:customStyle="1" w:styleId="1111112">
    <w:name w:val="1 / 1.1 / 1.1.12"/>
    <w:basedOn w:val="Sinlista"/>
    <w:next w:val="111111"/>
    <w:rsid w:val="00C17A96"/>
    <w:pPr>
      <w:numPr>
        <w:numId w:val="9"/>
      </w:numPr>
    </w:pPr>
  </w:style>
  <w:style w:type="numbering" w:customStyle="1" w:styleId="Sinlista1911">
    <w:name w:val="Sin lista1911"/>
    <w:next w:val="Sinlista"/>
    <w:semiHidden/>
    <w:unhideWhenUsed/>
    <w:rsid w:val="00C17A96"/>
  </w:style>
  <w:style w:type="table" w:customStyle="1" w:styleId="Tablaconcuadrcula20711">
    <w:name w:val="Tabla con cuadrícula20711"/>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11">
    <w:name w:val="Tabla con cuadrícula2511"/>
    <w:basedOn w:val="Tablanormal"/>
    <w:next w:val="Tablaconcuadrcula"/>
    <w:rsid w:val="00C17A9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1">
    <w:name w:val="Tabla con cuadrícula2611"/>
    <w:basedOn w:val="Tablanormal"/>
    <w:next w:val="Tablaconcuadrcula"/>
    <w:rsid w:val="00C17A9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711">
    <w:name w:val="Tabla con cuadrícula2711"/>
    <w:basedOn w:val="Tablanormal"/>
    <w:next w:val="Tablaconcuadrcula"/>
    <w:rsid w:val="00C17A96"/>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11">
    <w:name w:val="Sin lista2011"/>
    <w:next w:val="Sinlista"/>
    <w:semiHidden/>
    <w:rsid w:val="00C17A96"/>
  </w:style>
  <w:style w:type="numbering" w:customStyle="1" w:styleId="Sinlista2111">
    <w:name w:val="Sin lista2111"/>
    <w:next w:val="Sinlista"/>
    <w:semiHidden/>
    <w:rsid w:val="00C17A96"/>
  </w:style>
  <w:style w:type="numbering" w:customStyle="1" w:styleId="Sinlista221">
    <w:name w:val="Sin lista221"/>
    <w:next w:val="Sinlista"/>
    <w:semiHidden/>
    <w:rsid w:val="00C17A96"/>
  </w:style>
  <w:style w:type="numbering" w:customStyle="1" w:styleId="Sinlista231">
    <w:name w:val="Sin lista231"/>
    <w:next w:val="Sinlista"/>
    <w:semiHidden/>
    <w:rsid w:val="00C17A96"/>
  </w:style>
  <w:style w:type="numbering" w:customStyle="1" w:styleId="Sinlista241">
    <w:name w:val="Sin lista241"/>
    <w:next w:val="Sinlista"/>
    <w:semiHidden/>
    <w:rsid w:val="00C17A96"/>
  </w:style>
  <w:style w:type="numbering" w:customStyle="1" w:styleId="Sinlista251">
    <w:name w:val="Sin lista251"/>
    <w:next w:val="Sinlista"/>
    <w:semiHidden/>
    <w:rsid w:val="00C17A96"/>
  </w:style>
  <w:style w:type="numbering" w:customStyle="1" w:styleId="Sinlista261">
    <w:name w:val="Sin lista261"/>
    <w:next w:val="Sinlista"/>
    <w:semiHidden/>
    <w:rsid w:val="00C17A96"/>
  </w:style>
  <w:style w:type="numbering" w:customStyle="1" w:styleId="Sinlista271">
    <w:name w:val="Sin lista271"/>
    <w:next w:val="Sinlista"/>
    <w:semiHidden/>
    <w:rsid w:val="00C17A96"/>
  </w:style>
  <w:style w:type="numbering" w:customStyle="1" w:styleId="Sinlista281">
    <w:name w:val="Sin lista281"/>
    <w:next w:val="Sinlista"/>
    <w:semiHidden/>
    <w:rsid w:val="00C17A96"/>
  </w:style>
  <w:style w:type="numbering" w:customStyle="1" w:styleId="Sinlista291">
    <w:name w:val="Sin lista291"/>
    <w:next w:val="Sinlista"/>
    <w:semiHidden/>
    <w:rsid w:val="00C17A96"/>
  </w:style>
  <w:style w:type="numbering" w:customStyle="1" w:styleId="Sinlista301">
    <w:name w:val="Sin lista301"/>
    <w:next w:val="Sinlista"/>
    <w:semiHidden/>
    <w:rsid w:val="00C17A96"/>
  </w:style>
  <w:style w:type="numbering" w:customStyle="1" w:styleId="Sinlista3111">
    <w:name w:val="Sin lista3111"/>
    <w:next w:val="Sinlista"/>
    <w:semiHidden/>
    <w:rsid w:val="00C17A96"/>
  </w:style>
  <w:style w:type="table" w:customStyle="1" w:styleId="Tablaconcuadrcula6111">
    <w:name w:val="Tabla con cuadrícula6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1">
    <w:name w:val="Sin lista321"/>
    <w:next w:val="Sinlista"/>
    <w:semiHidden/>
    <w:rsid w:val="00C17A96"/>
  </w:style>
  <w:style w:type="numbering" w:customStyle="1" w:styleId="Sinlista331">
    <w:name w:val="Sin lista331"/>
    <w:next w:val="Sinlista"/>
    <w:semiHidden/>
    <w:unhideWhenUsed/>
    <w:rsid w:val="00C17A96"/>
  </w:style>
  <w:style w:type="numbering" w:customStyle="1" w:styleId="Sinlista341">
    <w:name w:val="Sin lista341"/>
    <w:next w:val="Sinlista"/>
    <w:semiHidden/>
    <w:rsid w:val="00C17A96"/>
  </w:style>
  <w:style w:type="numbering" w:customStyle="1" w:styleId="Sinlista351">
    <w:name w:val="Sin lista351"/>
    <w:next w:val="Sinlista"/>
    <w:semiHidden/>
    <w:rsid w:val="00C17A96"/>
  </w:style>
  <w:style w:type="numbering" w:customStyle="1" w:styleId="Sinlista361">
    <w:name w:val="Sin lista361"/>
    <w:next w:val="Sinlista"/>
    <w:semiHidden/>
    <w:rsid w:val="00C17A96"/>
  </w:style>
  <w:style w:type="numbering" w:customStyle="1" w:styleId="Sinlista371">
    <w:name w:val="Sin lista371"/>
    <w:next w:val="Sinlista"/>
    <w:semiHidden/>
    <w:rsid w:val="00C17A96"/>
  </w:style>
  <w:style w:type="numbering" w:customStyle="1" w:styleId="Sinlista381">
    <w:name w:val="Sin lista381"/>
    <w:next w:val="Sinlista"/>
    <w:semiHidden/>
    <w:rsid w:val="00C17A96"/>
  </w:style>
  <w:style w:type="numbering" w:customStyle="1" w:styleId="Sinlista391">
    <w:name w:val="Sin lista391"/>
    <w:next w:val="Sinlista"/>
    <w:semiHidden/>
    <w:rsid w:val="00C17A96"/>
  </w:style>
  <w:style w:type="numbering" w:customStyle="1" w:styleId="Sinlista401">
    <w:name w:val="Sin lista401"/>
    <w:next w:val="Sinlista"/>
    <w:semiHidden/>
    <w:rsid w:val="00C17A96"/>
  </w:style>
  <w:style w:type="numbering" w:customStyle="1" w:styleId="Sinlista4111">
    <w:name w:val="Sin lista4111"/>
    <w:next w:val="Sinlista"/>
    <w:semiHidden/>
    <w:rsid w:val="00C17A96"/>
  </w:style>
  <w:style w:type="numbering" w:customStyle="1" w:styleId="Sinlista421">
    <w:name w:val="Sin lista421"/>
    <w:next w:val="Sinlista"/>
    <w:semiHidden/>
    <w:rsid w:val="00C17A96"/>
  </w:style>
  <w:style w:type="numbering" w:customStyle="1" w:styleId="Sinlista431">
    <w:name w:val="Sin lista431"/>
    <w:next w:val="Sinlista"/>
    <w:semiHidden/>
    <w:rsid w:val="00C17A96"/>
  </w:style>
  <w:style w:type="numbering" w:customStyle="1" w:styleId="Sinlista441">
    <w:name w:val="Sin lista441"/>
    <w:next w:val="Sinlista"/>
    <w:semiHidden/>
    <w:rsid w:val="00C17A96"/>
  </w:style>
  <w:style w:type="numbering" w:customStyle="1" w:styleId="Sinlista451">
    <w:name w:val="Sin lista451"/>
    <w:next w:val="Sinlista"/>
    <w:semiHidden/>
    <w:rsid w:val="00C17A96"/>
  </w:style>
  <w:style w:type="numbering" w:customStyle="1" w:styleId="Sinlista461">
    <w:name w:val="Sin lista461"/>
    <w:next w:val="Sinlista"/>
    <w:semiHidden/>
    <w:rsid w:val="00C17A96"/>
  </w:style>
  <w:style w:type="numbering" w:customStyle="1" w:styleId="Sinlista471">
    <w:name w:val="Sin lista471"/>
    <w:next w:val="Sinlista"/>
    <w:semiHidden/>
    <w:rsid w:val="00C17A96"/>
  </w:style>
  <w:style w:type="numbering" w:customStyle="1" w:styleId="Sinlista481">
    <w:name w:val="Sin lista481"/>
    <w:next w:val="Sinlista"/>
    <w:semiHidden/>
    <w:rsid w:val="00C17A96"/>
  </w:style>
  <w:style w:type="numbering" w:customStyle="1" w:styleId="Sinlista491">
    <w:name w:val="Sin lista491"/>
    <w:next w:val="Sinlista"/>
    <w:semiHidden/>
    <w:rsid w:val="00C17A96"/>
  </w:style>
  <w:style w:type="numbering" w:customStyle="1" w:styleId="Sinlista501">
    <w:name w:val="Sin lista501"/>
    <w:next w:val="Sinlista"/>
    <w:semiHidden/>
    <w:rsid w:val="00C17A96"/>
  </w:style>
  <w:style w:type="numbering" w:customStyle="1" w:styleId="Sinlista5111">
    <w:name w:val="Sin lista5111"/>
    <w:next w:val="Sinlista"/>
    <w:semiHidden/>
    <w:rsid w:val="00C17A96"/>
  </w:style>
  <w:style w:type="numbering" w:customStyle="1" w:styleId="Sinlista521">
    <w:name w:val="Sin lista521"/>
    <w:next w:val="Sinlista"/>
    <w:semiHidden/>
    <w:rsid w:val="00C17A96"/>
  </w:style>
  <w:style w:type="numbering" w:customStyle="1" w:styleId="Sinlista531">
    <w:name w:val="Sin lista531"/>
    <w:next w:val="Sinlista"/>
    <w:semiHidden/>
    <w:rsid w:val="00C17A96"/>
  </w:style>
  <w:style w:type="numbering" w:customStyle="1" w:styleId="Sinlista541">
    <w:name w:val="Sin lista541"/>
    <w:next w:val="Sinlista"/>
    <w:semiHidden/>
    <w:rsid w:val="00C17A96"/>
  </w:style>
  <w:style w:type="numbering" w:customStyle="1" w:styleId="Sinlista551">
    <w:name w:val="Sin lista551"/>
    <w:next w:val="Sinlista"/>
    <w:semiHidden/>
    <w:rsid w:val="00C17A96"/>
  </w:style>
  <w:style w:type="numbering" w:customStyle="1" w:styleId="Sinlista561">
    <w:name w:val="Sin lista561"/>
    <w:next w:val="Sinlista"/>
    <w:semiHidden/>
    <w:rsid w:val="00C17A96"/>
  </w:style>
  <w:style w:type="numbering" w:customStyle="1" w:styleId="Sinlista571">
    <w:name w:val="Sin lista571"/>
    <w:next w:val="Sinlista"/>
    <w:semiHidden/>
    <w:rsid w:val="00C17A96"/>
  </w:style>
  <w:style w:type="numbering" w:customStyle="1" w:styleId="Sinlista581">
    <w:name w:val="Sin lista581"/>
    <w:next w:val="Sinlista"/>
    <w:semiHidden/>
    <w:rsid w:val="00C17A96"/>
  </w:style>
  <w:style w:type="numbering" w:customStyle="1" w:styleId="Sinlista591">
    <w:name w:val="Sin lista591"/>
    <w:next w:val="Sinlista"/>
    <w:semiHidden/>
    <w:rsid w:val="00C17A96"/>
  </w:style>
  <w:style w:type="table" w:customStyle="1" w:styleId="Tablaconcuadrcula11111">
    <w:name w:val="Tabla con cuadrícula11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1">
    <w:name w:val="Sin lista601"/>
    <w:next w:val="Sinlista"/>
    <w:semiHidden/>
    <w:rsid w:val="00C17A96"/>
  </w:style>
  <w:style w:type="numbering" w:customStyle="1" w:styleId="Sinlista6111">
    <w:name w:val="Sin lista6111"/>
    <w:next w:val="Sinlista"/>
    <w:semiHidden/>
    <w:rsid w:val="00C17A96"/>
  </w:style>
  <w:style w:type="numbering" w:customStyle="1" w:styleId="Sinlista621">
    <w:name w:val="Sin lista621"/>
    <w:next w:val="Sinlista"/>
    <w:semiHidden/>
    <w:rsid w:val="00C17A96"/>
  </w:style>
  <w:style w:type="numbering" w:customStyle="1" w:styleId="Sinlista631">
    <w:name w:val="Sin lista631"/>
    <w:next w:val="Sinlista"/>
    <w:semiHidden/>
    <w:rsid w:val="00C17A96"/>
  </w:style>
  <w:style w:type="numbering" w:customStyle="1" w:styleId="Sinlista641">
    <w:name w:val="Sin lista641"/>
    <w:next w:val="Sinlista"/>
    <w:semiHidden/>
    <w:rsid w:val="00C17A96"/>
  </w:style>
  <w:style w:type="numbering" w:customStyle="1" w:styleId="Sinlista651">
    <w:name w:val="Sin lista651"/>
    <w:next w:val="Sinlista"/>
    <w:semiHidden/>
    <w:rsid w:val="00C17A96"/>
  </w:style>
  <w:style w:type="numbering" w:customStyle="1" w:styleId="Sinlista661">
    <w:name w:val="Sin lista661"/>
    <w:next w:val="Sinlista"/>
    <w:semiHidden/>
    <w:rsid w:val="00C17A96"/>
  </w:style>
  <w:style w:type="numbering" w:customStyle="1" w:styleId="Sinlista671">
    <w:name w:val="Sin lista671"/>
    <w:next w:val="Sinlista"/>
    <w:semiHidden/>
    <w:rsid w:val="00C17A96"/>
  </w:style>
  <w:style w:type="numbering" w:customStyle="1" w:styleId="Sinlista681">
    <w:name w:val="Sin lista681"/>
    <w:next w:val="Sinlista"/>
    <w:semiHidden/>
    <w:rsid w:val="00C17A96"/>
  </w:style>
  <w:style w:type="table" w:customStyle="1" w:styleId="Tablaconcuadrcula12111">
    <w:name w:val="Tabla con cuadrícula12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1">
    <w:name w:val="Sin lista691"/>
    <w:next w:val="Sinlista"/>
    <w:semiHidden/>
    <w:rsid w:val="00C17A96"/>
  </w:style>
  <w:style w:type="numbering" w:customStyle="1" w:styleId="Sinlista701">
    <w:name w:val="Sin lista701"/>
    <w:next w:val="Sinlista"/>
    <w:semiHidden/>
    <w:rsid w:val="00C17A96"/>
  </w:style>
  <w:style w:type="numbering" w:customStyle="1" w:styleId="Sinlista7111">
    <w:name w:val="Sin lista7111"/>
    <w:next w:val="Sinlista"/>
    <w:semiHidden/>
    <w:rsid w:val="00C17A96"/>
  </w:style>
  <w:style w:type="numbering" w:customStyle="1" w:styleId="Sinlista721">
    <w:name w:val="Sin lista721"/>
    <w:next w:val="Sinlista"/>
    <w:semiHidden/>
    <w:rsid w:val="00C17A96"/>
  </w:style>
  <w:style w:type="numbering" w:customStyle="1" w:styleId="Sinlista731">
    <w:name w:val="Sin lista731"/>
    <w:next w:val="Sinlista"/>
    <w:semiHidden/>
    <w:rsid w:val="00C17A96"/>
  </w:style>
  <w:style w:type="numbering" w:customStyle="1" w:styleId="Sinlista741">
    <w:name w:val="Sin lista741"/>
    <w:next w:val="Sinlista"/>
    <w:semiHidden/>
    <w:rsid w:val="00C17A96"/>
  </w:style>
  <w:style w:type="numbering" w:customStyle="1" w:styleId="Sinlista751">
    <w:name w:val="Sin lista751"/>
    <w:next w:val="Sinlista"/>
    <w:semiHidden/>
    <w:rsid w:val="00C17A96"/>
  </w:style>
  <w:style w:type="numbering" w:customStyle="1" w:styleId="Sinlista761">
    <w:name w:val="Sin lista761"/>
    <w:next w:val="Sinlista"/>
    <w:semiHidden/>
    <w:rsid w:val="00C17A96"/>
  </w:style>
  <w:style w:type="table" w:customStyle="1" w:styleId="Tablaconcuadrcula51111">
    <w:name w:val="Tabla con cuadrícula51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71">
    <w:name w:val="Sin lista771"/>
    <w:next w:val="Sinlista"/>
    <w:semiHidden/>
    <w:rsid w:val="00C17A96"/>
  </w:style>
  <w:style w:type="table" w:customStyle="1" w:styleId="Tablaconcuadrcula15111">
    <w:name w:val="Tabla con cuadrícula15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81">
    <w:name w:val="Sin lista781"/>
    <w:next w:val="Sinlista"/>
    <w:semiHidden/>
    <w:rsid w:val="00C17A96"/>
  </w:style>
  <w:style w:type="numbering" w:customStyle="1" w:styleId="Sinlista791">
    <w:name w:val="Sin lista791"/>
    <w:next w:val="Sinlista"/>
    <w:semiHidden/>
    <w:rsid w:val="00C17A96"/>
  </w:style>
  <w:style w:type="numbering" w:customStyle="1" w:styleId="Sinlista801">
    <w:name w:val="Sin lista801"/>
    <w:next w:val="Sinlista"/>
    <w:semiHidden/>
    <w:rsid w:val="00C17A96"/>
  </w:style>
  <w:style w:type="numbering" w:customStyle="1" w:styleId="Sinlista8111">
    <w:name w:val="Sin lista8111"/>
    <w:next w:val="Sinlista"/>
    <w:semiHidden/>
    <w:rsid w:val="00C17A96"/>
  </w:style>
  <w:style w:type="numbering" w:customStyle="1" w:styleId="Sinlista821">
    <w:name w:val="Sin lista821"/>
    <w:next w:val="Sinlista"/>
    <w:semiHidden/>
    <w:rsid w:val="00C17A96"/>
  </w:style>
  <w:style w:type="numbering" w:customStyle="1" w:styleId="Sinlista831">
    <w:name w:val="Sin lista831"/>
    <w:next w:val="Sinlista"/>
    <w:semiHidden/>
    <w:rsid w:val="00C17A96"/>
  </w:style>
  <w:style w:type="numbering" w:customStyle="1" w:styleId="Sinlista841">
    <w:name w:val="Sin lista841"/>
    <w:next w:val="Sinlista"/>
    <w:semiHidden/>
    <w:rsid w:val="00C17A96"/>
  </w:style>
  <w:style w:type="numbering" w:customStyle="1" w:styleId="Sinlista851">
    <w:name w:val="Sin lista851"/>
    <w:next w:val="Sinlista"/>
    <w:semiHidden/>
    <w:rsid w:val="00C17A96"/>
  </w:style>
  <w:style w:type="numbering" w:customStyle="1" w:styleId="Sinlista861">
    <w:name w:val="Sin lista861"/>
    <w:next w:val="Sinlista"/>
    <w:semiHidden/>
    <w:rsid w:val="00C17A96"/>
  </w:style>
  <w:style w:type="numbering" w:customStyle="1" w:styleId="Sinlista871">
    <w:name w:val="Sin lista871"/>
    <w:next w:val="Sinlista"/>
    <w:semiHidden/>
    <w:rsid w:val="00C17A96"/>
  </w:style>
  <w:style w:type="numbering" w:customStyle="1" w:styleId="Sinlista881">
    <w:name w:val="Sin lista881"/>
    <w:next w:val="Sinlista"/>
    <w:semiHidden/>
    <w:rsid w:val="00C17A96"/>
  </w:style>
  <w:style w:type="numbering" w:customStyle="1" w:styleId="Sinlista891">
    <w:name w:val="Sin lista891"/>
    <w:next w:val="Sinlista"/>
    <w:semiHidden/>
    <w:rsid w:val="00C17A96"/>
  </w:style>
  <w:style w:type="numbering" w:customStyle="1" w:styleId="Sinlista901">
    <w:name w:val="Sin lista901"/>
    <w:next w:val="Sinlista"/>
    <w:semiHidden/>
    <w:rsid w:val="00C17A96"/>
  </w:style>
  <w:style w:type="numbering" w:customStyle="1" w:styleId="Sinlista9111">
    <w:name w:val="Sin lista9111"/>
    <w:next w:val="Sinlista"/>
    <w:semiHidden/>
    <w:rsid w:val="00C17A96"/>
  </w:style>
  <w:style w:type="numbering" w:customStyle="1" w:styleId="Sinlista921">
    <w:name w:val="Sin lista921"/>
    <w:next w:val="Sinlista"/>
    <w:semiHidden/>
    <w:rsid w:val="00C17A96"/>
  </w:style>
  <w:style w:type="numbering" w:customStyle="1" w:styleId="Sinlista931">
    <w:name w:val="Sin lista931"/>
    <w:next w:val="Sinlista"/>
    <w:semiHidden/>
    <w:rsid w:val="00C17A96"/>
  </w:style>
  <w:style w:type="numbering" w:customStyle="1" w:styleId="Sinlista941">
    <w:name w:val="Sin lista941"/>
    <w:next w:val="Sinlista"/>
    <w:semiHidden/>
    <w:rsid w:val="00C17A96"/>
  </w:style>
  <w:style w:type="numbering" w:customStyle="1" w:styleId="Sinlista951">
    <w:name w:val="Sin lista951"/>
    <w:next w:val="Sinlista"/>
    <w:semiHidden/>
    <w:rsid w:val="00C17A96"/>
  </w:style>
  <w:style w:type="numbering" w:customStyle="1" w:styleId="Sinlista961">
    <w:name w:val="Sin lista961"/>
    <w:next w:val="Sinlista"/>
    <w:semiHidden/>
    <w:rsid w:val="00C17A96"/>
  </w:style>
  <w:style w:type="numbering" w:customStyle="1" w:styleId="Sinlista971">
    <w:name w:val="Sin lista971"/>
    <w:next w:val="Sinlista"/>
    <w:semiHidden/>
    <w:rsid w:val="00C17A96"/>
  </w:style>
  <w:style w:type="numbering" w:customStyle="1" w:styleId="Sinlista981">
    <w:name w:val="Sin lista981"/>
    <w:next w:val="Sinlista"/>
    <w:semiHidden/>
    <w:rsid w:val="00C17A96"/>
  </w:style>
  <w:style w:type="numbering" w:customStyle="1" w:styleId="Sinlista991">
    <w:name w:val="Sin lista991"/>
    <w:next w:val="Sinlista"/>
    <w:semiHidden/>
    <w:rsid w:val="00C17A96"/>
  </w:style>
  <w:style w:type="numbering" w:customStyle="1" w:styleId="Sinlista1001">
    <w:name w:val="Sin lista1001"/>
    <w:next w:val="Sinlista"/>
    <w:semiHidden/>
    <w:rsid w:val="00C17A96"/>
  </w:style>
  <w:style w:type="numbering" w:customStyle="1" w:styleId="Sinlista10111">
    <w:name w:val="Sin lista10111"/>
    <w:next w:val="Sinlista"/>
    <w:semiHidden/>
    <w:rsid w:val="00C17A96"/>
  </w:style>
  <w:style w:type="table" w:customStyle="1" w:styleId="Tablaconcuadrcula19111">
    <w:name w:val="Tabla con cuadrícula19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21">
    <w:name w:val="Sin lista1021"/>
    <w:next w:val="Sinlista"/>
    <w:semiHidden/>
    <w:rsid w:val="00C17A96"/>
  </w:style>
  <w:style w:type="numbering" w:customStyle="1" w:styleId="Sinlista1031">
    <w:name w:val="Sin lista1031"/>
    <w:next w:val="Sinlista"/>
    <w:semiHidden/>
    <w:rsid w:val="00C17A96"/>
  </w:style>
  <w:style w:type="numbering" w:customStyle="1" w:styleId="Sinlista1041">
    <w:name w:val="Sin lista1041"/>
    <w:next w:val="Sinlista"/>
    <w:semiHidden/>
    <w:rsid w:val="00C17A96"/>
  </w:style>
  <w:style w:type="numbering" w:customStyle="1" w:styleId="Sinlista1051">
    <w:name w:val="Sin lista1051"/>
    <w:next w:val="Sinlista"/>
    <w:semiHidden/>
    <w:rsid w:val="00C17A96"/>
  </w:style>
  <w:style w:type="numbering" w:customStyle="1" w:styleId="Sinlista1061">
    <w:name w:val="Sin lista1061"/>
    <w:next w:val="Sinlista"/>
    <w:semiHidden/>
    <w:rsid w:val="00C17A96"/>
  </w:style>
  <w:style w:type="numbering" w:customStyle="1" w:styleId="Sinlista1071">
    <w:name w:val="Sin lista1071"/>
    <w:next w:val="Sinlista"/>
    <w:semiHidden/>
    <w:rsid w:val="00C17A96"/>
  </w:style>
  <w:style w:type="numbering" w:customStyle="1" w:styleId="Sinlista1081">
    <w:name w:val="Sin lista1081"/>
    <w:next w:val="Sinlista"/>
    <w:semiHidden/>
    <w:rsid w:val="00C17A96"/>
  </w:style>
  <w:style w:type="numbering" w:customStyle="1" w:styleId="Sinlista1091">
    <w:name w:val="Sin lista1091"/>
    <w:next w:val="Sinlista"/>
    <w:semiHidden/>
    <w:rsid w:val="00C17A96"/>
  </w:style>
  <w:style w:type="numbering" w:customStyle="1" w:styleId="Sinlista11011">
    <w:name w:val="Sin lista11011"/>
    <w:next w:val="Sinlista"/>
    <w:semiHidden/>
    <w:rsid w:val="00C17A96"/>
  </w:style>
  <w:style w:type="numbering" w:customStyle="1" w:styleId="Sinlista11111">
    <w:name w:val="Sin lista11111"/>
    <w:next w:val="Sinlista"/>
    <w:semiHidden/>
    <w:rsid w:val="00C17A96"/>
  </w:style>
  <w:style w:type="numbering" w:customStyle="1" w:styleId="Sinlista1121">
    <w:name w:val="Sin lista1121"/>
    <w:next w:val="Sinlista"/>
    <w:semiHidden/>
    <w:rsid w:val="00C17A96"/>
  </w:style>
  <w:style w:type="table" w:customStyle="1" w:styleId="Tablaconcuadrcula21111">
    <w:name w:val="Tabla con cuadrícula21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31">
    <w:name w:val="Sin lista1131"/>
    <w:next w:val="Sinlista"/>
    <w:semiHidden/>
    <w:rsid w:val="00C17A96"/>
  </w:style>
  <w:style w:type="numbering" w:customStyle="1" w:styleId="Sinlista1141">
    <w:name w:val="Sin lista1141"/>
    <w:next w:val="Sinlista"/>
    <w:semiHidden/>
    <w:rsid w:val="00C17A96"/>
  </w:style>
  <w:style w:type="numbering" w:customStyle="1" w:styleId="Sinlista1151">
    <w:name w:val="Sin lista1151"/>
    <w:next w:val="Sinlista"/>
    <w:semiHidden/>
    <w:rsid w:val="00C17A96"/>
  </w:style>
  <w:style w:type="numbering" w:customStyle="1" w:styleId="Sinlista1161">
    <w:name w:val="Sin lista1161"/>
    <w:next w:val="Sinlista"/>
    <w:semiHidden/>
    <w:rsid w:val="00C17A96"/>
  </w:style>
  <w:style w:type="numbering" w:customStyle="1" w:styleId="Sinlista1171">
    <w:name w:val="Sin lista1171"/>
    <w:next w:val="Sinlista"/>
    <w:semiHidden/>
    <w:rsid w:val="00C17A96"/>
  </w:style>
  <w:style w:type="numbering" w:customStyle="1" w:styleId="Sinlista1181">
    <w:name w:val="Sin lista1181"/>
    <w:next w:val="Sinlista"/>
    <w:semiHidden/>
    <w:rsid w:val="00C17A96"/>
  </w:style>
  <w:style w:type="numbering" w:customStyle="1" w:styleId="Sinlista1191">
    <w:name w:val="Sin lista1191"/>
    <w:next w:val="Sinlista"/>
    <w:semiHidden/>
    <w:rsid w:val="00C17A96"/>
  </w:style>
  <w:style w:type="table" w:customStyle="1" w:styleId="Tablaconcuadrcula22111">
    <w:name w:val="Tabla con cuadrícula22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01">
    <w:name w:val="Sin lista1201"/>
    <w:next w:val="Sinlista"/>
    <w:semiHidden/>
    <w:rsid w:val="00C17A96"/>
  </w:style>
  <w:style w:type="numbering" w:customStyle="1" w:styleId="Sinlista12111">
    <w:name w:val="Sin lista12111"/>
    <w:next w:val="Sinlista"/>
    <w:semiHidden/>
    <w:rsid w:val="00C17A96"/>
  </w:style>
  <w:style w:type="numbering" w:customStyle="1" w:styleId="Sinlista1221">
    <w:name w:val="Sin lista1221"/>
    <w:next w:val="Sinlista"/>
    <w:semiHidden/>
    <w:rsid w:val="00C17A96"/>
  </w:style>
  <w:style w:type="numbering" w:customStyle="1" w:styleId="Sinlista1231">
    <w:name w:val="Sin lista1231"/>
    <w:next w:val="Sinlista"/>
    <w:semiHidden/>
    <w:rsid w:val="00C17A96"/>
  </w:style>
  <w:style w:type="numbering" w:customStyle="1" w:styleId="Sinlista1241">
    <w:name w:val="Sin lista1241"/>
    <w:next w:val="Sinlista"/>
    <w:semiHidden/>
    <w:rsid w:val="00C17A96"/>
  </w:style>
  <w:style w:type="table" w:customStyle="1" w:styleId="Tablaconcuadrcula23111">
    <w:name w:val="Tabla con cuadrícula23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51">
    <w:name w:val="Sin lista1251"/>
    <w:next w:val="Sinlista"/>
    <w:semiHidden/>
    <w:rsid w:val="00C17A96"/>
  </w:style>
  <w:style w:type="numbering" w:customStyle="1" w:styleId="Sinlista1261">
    <w:name w:val="Sin lista1261"/>
    <w:next w:val="Sinlista"/>
    <w:semiHidden/>
    <w:rsid w:val="00C17A96"/>
  </w:style>
  <w:style w:type="numbering" w:customStyle="1" w:styleId="Sinlista1271">
    <w:name w:val="Sin lista1271"/>
    <w:next w:val="Sinlista"/>
    <w:semiHidden/>
    <w:rsid w:val="00C17A96"/>
  </w:style>
  <w:style w:type="numbering" w:customStyle="1" w:styleId="Sinlista1281">
    <w:name w:val="Sin lista1281"/>
    <w:next w:val="Sinlista"/>
    <w:semiHidden/>
    <w:rsid w:val="00C17A96"/>
  </w:style>
  <w:style w:type="numbering" w:customStyle="1" w:styleId="Sinlista1291">
    <w:name w:val="Sin lista1291"/>
    <w:next w:val="Sinlista"/>
    <w:semiHidden/>
    <w:rsid w:val="00C17A96"/>
  </w:style>
  <w:style w:type="numbering" w:customStyle="1" w:styleId="Sinlista1301">
    <w:name w:val="Sin lista1301"/>
    <w:next w:val="Sinlista"/>
    <w:semiHidden/>
    <w:rsid w:val="00C17A96"/>
  </w:style>
  <w:style w:type="numbering" w:customStyle="1" w:styleId="Sinlista13111">
    <w:name w:val="Sin lista13111"/>
    <w:next w:val="Sinlista"/>
    <w:semiHidden/>
    <w:rsid w:val="00C17A96"/>
  </w:style>
  <w:style w:type="numbering" w:customStyle="1" w:styleId="Sinlista1321">
    <w:name w:val="Sin lista1321"/>
    <w:next w:val="Sinlista"/>
    <w:semiHidden/>
    <w:rsid w:val="00C17A96"/>
  </w:style>
  <w:style w:type="numbering" w:customStyle="1" w:styleId="Sinlista1331">
    <w:name w:val="Sin lista1331"/>
    <w:next w:val="Sinlista"/>
    <w:semiHidden/>
    <w:rsid w:val="00C17A96"/>
  </w:style>
  <w:style w:type="numbering" w:customStyle="1" w:styleId="Sinlista1341">
    <w:name w:val="Sin lista1341"/>
    <w:next w:val="Sinlista"/>
    <w:semiHidden/>
    <w:rsid w:val="00C17A96"/>
  </w:style>
  <w:style w:type="numbering" w:customStyle="1" w:styleId="Sinlista1351">
    <w:name w:val="Sin lista1351"/>
    <w:next w:val="Sinlista"/>
    <w:semiHidden/>
    <w:rsid w:val="00C17A96"/>
  </w:style>
  <w:style w:type="numbering" w:customStyle="1" w:styleId="Sinlista1361">
    <w:name w:val="Sin lista1361"/>
    <w:next w:val="Sinlista"/>
    <w:semiHidden/>
    <w:rsid w:val="00C17A96"/>
  </w:style>
  <w:style w:type="numbering" w:customStyle="1" w:styleId="Sinlista1371">
    <w:name w:val="Sin lista1371"/>
    <w:next w:val="Sinlista"/>
    <w:semiHidden/>
    <w:rsid w:val="00C17A96"/>
  </w:style>
  <w:style w:type="table" w:customStyle="1" w:styleId="Tablaconcuadrcula25111">
    <w:name w:val="Tabla con cuadrícula25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81">
    <w:name w:val="Sin lista1381"/>
    <w:next w:val="Sinlista"/>
    <w:semiHidden/>
    <w:rsid w:val="00C17A96"/>
  </w:style>
  <w:style w:type="numbering" w:customStyle="1" w:styleId="Sinlista1391">
    <w:name w:val="Sin lista1391"/>
    <w:next w:val="Sinlista"/>
    <w:semiHidden/>
    <w:rsid w:val="00C17A96"/>
  </w:style>
  <w:style w:type="numbering" w:customStyle="1" w:styleId="Sinlista1401">
    <w:name w:val="Sin lista1401"/>
    <w:next w:val="Sinlista"/>
    <w:semiHidden/>
    <w:rsid w:val="00C17A96"/>
  </w:style>
  <w:style w:type="numbering" w:customStyle="1" w:styleId="Sinlista14111">
    <w:name w:val="Sin lista14111"/>
    <w:next w:val="Sinlista"/>
    <w:semiHidden/>
    <w:rsid w:val="00C17A96"/>
  </w:style>
  <w:style w:type="numbering" w:customStyle="1" w:styleId="Sinlista1421">
    <w:name w:val="Sin lista1421"/>
    <w:next w:val="Sinlista"/>
    <w:semiHidden/>
    <w:rsid w:val="00C17A96"/>
  </w:style>
  <w:style w:type="numbering" w:customStyle="1" w:styleId="Sinlista1431">
    <w:name w:val="Sin lista1431"/>
    <w:next w:val="Sinlista"/>
    <w:semiHidden/>
    <w:rsid w:val="00C17A96"/>
  </w:style>
  <w:style w:type="table" w:customStyle="1" w:styleId="Tablaconcuadrcula26111">
    <w:name w:val="Tabla con cuadrícula26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41">
    <w:name w:val="Sin lista1441"/>
    <w:next w:val="Sinlista"/>
    <w:semiHidden/>
    <w:rsid w:val="00C17A96"/>
  </w:style>
  <w:style w:type="numbering" w:customStyle="1" w:styleId="Sinlista1451">
    <w:name w:val="Sin lista1451"/>
    <w:next w:val="Sinlista"/>
    <w:semiHidden/>
    <w:rsid w:val="00C17A96"/>
  </w:style>
  <w:style w:type="numbering" w:customStyle="1" w:styleId="Sinlista1461">
    <w:name w:val="Sin lista1461"/>
    <w:next w:val="Sinlista"/>
    <w:semiHidden/>
    <w:rsid w:val="00C17A96"/>
  </w:style>
  <w:style w:type="numbering" w:customStyle="1" w:styleId="Sinlista1471">
    <w:name w:val="Sin lista1471"/>
    <w:next w:val="Sinlista"/>
    <w:semiHidden/>
    <w:rsid w:val="00C17A96"/>
  </w:style>
  <w:style w:type="table" w:customStyle="1" w:styleId="Tablaconcuadrcula27111">
    <w:name w:val="Tabla con cuadrícula27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81">
    <w:name w:val="Sin lista1481"/>
    <w:next w:val="Sinlista"/>
    <w:semiHidden/>
    <w:rsid w:val="00C17A96"/>
  </w:style>
  <w:style w:type="numbering" w:customStyle="1" w:styleId="Sinlista1491">
    <w:name w:val="Sin lista1491"/>
    <w:next w:val="Sinlista"/>
    <w:semiHidden/>
    <w:rsid w:val="00C17A96"/>
  </w:style>
  <w:style w:type="numbering" w:customStyle="1" w:styleId="Sinlista1501">
    <w:name w:val="Sin lista1501"/>
    <w:next w:val="Sinlista"/>
    <w:semiHidden/>
    <w:rsid w:val="00C17A96"/>
  </w:style>
  <w:style w:type="numbering" w:customStyle="1" w:styleId="Sinlista15111">
    <w:name w:val="Sin lista15111"/>
    <w:next w:val="Sinlista"/>
    <w:semiHidden/>
    <w:rsid w:val="00C17A96"/>
  </w:style>
  <w:style w:type="numbering" w:customStyle="1" w:styleId="Sinlista1521">
    <w:name w:val="Sin lista1521"/>
    <w:next w:val="Sinlista"/>
    <w:semiHidden/>
    <w:rsid w:val="00C17A96"/>
  </w:style>
  <w:style w:type="numbering" w:customStyle="1" w:styleId="Sinlista1531">
    <w:name w:val="Sin lista1531"/>
    <w:next w:val="Sinlista"/>
    <w:semiHidden/>
    <w:rsid w:val="00C17A96"/>
  </w:style>
  <w:style w:type="numbering" w:customStyle="1" w:styleId="Sinlista1541">
    <w:name w:val="Sin lista1541"/>
    <w:next w:val="Sinlista"/>
    <w:semiHidden/>
    <w:rsid w:val="00C17A96"/>
  </w:style>
  <w:style w:type="numbering" w:customStyle="1" w:styleId="Sinlista1551">
    <w:name w:val="Sin lista1551"/>
    <w:next w:val="Sinlista"/>
    <w:semiHidden/>
    <w:rsid w:val="00C17A96"/>
  </w:style>
  <w:style w:type="numbering" w:customStyle="1" w:styleId="Sinlista159">
    <w:name w:val="Sin lista159"/>
    <w:next w:val="Sinlista"/>
    <w:semiHidden/>
    <w:rsid w:val="00804DD2"/>
  </w:style>
  <w:style w:type="table" w:customStyle="1" w:styleId="Tablaconcuadrcula285">
    <w:name w:val="Tabla con cuadrícula285"/>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2">
    <w:name w:val="Tabla con cuadrícula1602"/>
    <w:basedOn w:val="Tablanormal"/>
    <w:next w:val="Tablaconcuadrcula"/>
    <w:rsid w:val="00804DD2"/>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2">
    <w:name w:val="Tabla con cuadrícula2112"/>
    <w:basedOn w:val="Tablanormal"/>
    <w:next w:val="Tablaconcuadrcula"/>
    <w:rsid w:val="00804DD2"/>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2">
    <w:name w:val="Tabla con cuadrícula2212"/>
    <w:basedOn w:val="Tablanormal"/>
    <w:next w:val="Tablaconcuadrcula"/>
    <w:rsid w:val="00804DD2"/>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2">
    <w:name w:val="Tabla con cuadrícula2312"/>
    <w:basedOn w:val="Tablanormal"/>
    <w:next w:val="Tablaconcuadrcula"/>
    <w:rsid w:val="00804DD2"/>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60">
    <w:name w:val="Sin lista160"/>
    <w:next w:val="Sinlista"/>
    <w:semiHidden/>
    <w:unhideWhenUsed/>
    <w:rsid w:val="00804DD2"/>
  </w:style>
  <w:style w:type="numbering" w:customStyle="1" w:styleId="Sinlista212">
    <w:name w:val="Sin lista212"/>
    <w:next w:val="Sinlista"/>
    <w:semiHidden/>
    <w:unhideWhenUsed/>
    <w:rsid w:val="00804DD2"/>
  </w:style>
  <w:style w:type="table" w:customStyle="1" w:styleId="Tablabsica12">
    <w:name w:val="Tabla básica 12"/>
    <w:basedOn w:val="Tablanormal"/>
    <w:next w:val="Tablabsica1"/>
    <w:rsid w:val="00804DD2"/>
    <w:rPr>
      <w:rFonts w:eastAsia="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2">
    <w:name w:val="Sin lista1112"/>
    <w:next w:val="Sinlista"/>
    <w:semiHidden/>
    <w:rsid w:val="00804DD2"/>
  </w:style>
  <w:style w:type="table" w:customStyle="1" w:styleId="Tablaconcuadrcula1112">
    <w:name w:val="Tabla con cuadrícula1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40">
    <w:name w:val="Tabla con cuadrícula 134"/>
    <w:basedOn w:val="Tablanormal"/>
    <w:next w:val="Tablaconcuadrcula10"/>
    <w:rsid w:val="00804DD2"/>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3">
    <w:name w:val="Tabla con cuadrícula1903"/>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2">
    <w:name w:val="Tabla con cuadrícula293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2">
    <w:name w:val="Tabla con cuadrícula612"/>
    <w:basedOn w:val="Tablanormal"/>
    <w:next w:val="Tablaconcuadrcula"/>
    <w:rsid w:val="00804DD2"/>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2">
    <w:name w:val="Sin lista312"/>
    <w:next w:val="Sinlista"/>
    <w:semiHidden/>
    <w:unhideWhenUsed/>
    <w:rsid w:val="00804DD2"/>
  </w:style>
  <w:style w:type="table" w:customStyle="1" w:styleId="Tablaconcuadrcula1822">
    <w:name w:val="Tabla con cuadrícula182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4">
    <w:name w:val="Tabla con cuadrícula514"/>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2">
    <w:name w:val="Sin lista412"/>
    <w:next w:val="Sinlista"/>
    <w:semiHidden/>
    <w:rsid w:val="00804DD2"/>
  </w:style>
  <w:style w:type="numbering" w:customStyle="1" w:styleId="Sinlista512">
    <w:name w:val="Sin lista512"/>
    <w:next w:val="Sinlista"/>
    <w:semiHidden/>
    <w:unhideWhenUsed/>
    <w:rsid w:val="00804DD2"/>
  </w:style>
  <w:style w:type="numbering" w:customStyle="1" w:styleId="Sinlista1212">
    <w:name w:val="Sin lista1212"/>
    <w:next w:val="Sinlista"/>
    <w:semiHidden/>
    <w:rsid w:val="00804DD2"/>
  </w:style>
  <w:style w:type="numbering" w:customStyle="1" w:styleId="Sinlista612">
    <w:name w:val="Sin lista612"/>
    <w:next w:val="Sinlista"/>
    <w:semiHidden/>
    <w:unhideWhenUsed/>
    <w:rsid w:val="00804DD2"/>
  </w:style>
  <w:style w:type="numbering" w:customStyle="1" w:styleId="Sinlista712">
    <w:name w:val="Sin lista712"/>
    <w:next w:val="Sinlista"/>
    <w:semiHidden/>
    <w:unhideWhenUsed/>
    <w:rsid w:val="00804DD2"/>
  </w:style>
  <w:style w:type="table" w:customStyle="1" w:styleId="Tablaconcuadrcula1212">
    <w:name w:val="Tabla con cuadrícula12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2">
    <w:name w:val="Sin lista812"/>
    <w:next w:val="Sinlista"/>
    <w:semiHidden/>
    <w:unhideWhenUsed/>
    <w:rsid w:val="00804DD2"/>
  </w:style>
  <w:style w:type="numbering" w:customStyle="1" w:styleId="Sinlista912">
    <w:name w:val="Sin lista912"/>
    <w:next w:val="Sinlista"/>
    <w:semiHidden/>
    <w:rsid w:val="00804DD2"/>
  </w:style>
  <w:style w:type="numbering" w:customStyle="1" w:styleId="Sinlista1012">
    <w:name w:val="Sin lista1012"/>
    <w:next w:val="Sinlista"/>
    <w:semiHidden/>
    <w:unhideWhenUsed/>
    <w:rsid w:val="00804DD2"/>
  </w:style>
  <w:style w:type="numbering" w:customStyle="1" w:styleId="Sinlista1312">
    <w:name w:val="Sin lista1312"/>
    <w:next w:val="Sinlista"/>
    <w:semiHidden/>
    <w:rsid w:val="00804DD2"/>
  </w:style>
  <w:style w:type="table" w:customStyle="1" w:styleId="Tablaconcuadrcula522">
    <w:name w:val="Tabla con cuadrícula52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2">
    <w:name w:val="Tabla con cuadrícula1512"/>
    <w:basedOn w:val="Tablanormal"/>
    <w:next w:val="Tablaconcuadrcula"/>
    <w:rsid w:val="00804DD2"/>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2">
    <w:name w:val="Sin lista1412"/>
    <w:next w:val="Sinlista"/>
    <w:semiHidden/>
    <w:rsid w:val="00804DD2"/>
  </w:style>
  <w:style w:type="numbering" w:customStyle="1" w:styleId="Sinlista1510">
    <w:name w:val="Sin lista1510"/>
    <w:next w:val="Sinlista"/>
    <w:semiHidden/>
    <w:rsid w:val="00804DD2"/>
  </w:style>
  <w:style w:type="numbering" w:customStyle="1" w:styleId="Sinlista162">
    <w:name w:val="Sin lista162"/>
    <w:next w:val="Sinlista"/>
    <w:semiHidden/>
    <w:rsid w:val="00804DD2"/>
  </w:style>
  <w:style w:type="table" w:customStyle="1" w:styleId="Tablaconcuadrcula1912">
    <w:name w:val="Tabla con cuadrícula1912"/>
    <w:basedOn w:val="Tablanormal"/>
    <w:next w:val="Tablaconcuadrcula"/>
    <w:rsid w:val="00804DD2"/>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2">
    <w:name w:val="Sin lista172"/>
    <w:next w:val="Sinlista"/>
    <w:semiHidden/>
    <w:rsid w:val="00804DD2"/>
  </w:style>
  <w:style w:type="numbering" w:customStyle="1" w:styleId="Sinlista182">
    <w:name w:val="Sin lista182"/>
    <w:next w:val="Sinlista"/>
    <w:semiHidden/>
    <w:rsid w:val="00804DD2"/>
  </w:style>
  <w:style w:type="table" w:customStyle="1" w:styleId="Tablaconcuadrcula1103">
    <w:name w:val="Tabla con cuadrícula1103"/>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3">
    <w:name w:val="1 / 1.1 / 1.1.13"/>
    <w:basedOn w:val="Sinlista"/>
    <w:next w:val="111111"/>
    <w:rsid w:val="00804DD2"/>
  </w:style>
  <w:style w:type="numbering" w:customStyle="1" w:styleId="Sinlista192">
    <w:name w:val="Sin lista192"/>
    <w:next w:val="Sinlista"/>
    <w:semiHidden/>
    <w:unhideWhenUsed/>
    <w:rsid w:val="00804DD2"/>
  </w:style>
  <w:style w:type="table" w:customStyle="1" w:styleId="Tablaconcuadrcula2072">
    <w:name w:val="Tabla con cuadrícula207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2">
    <w:name w:val="1 / 1.1 / 1.1.112"/>
    <w:basedOn w:val="Sinlista"/>
    <w:next w:val="111111"/>
    <w:rsid w:val="00804DD2"/>
  </w:style>
  <w:style w:type="table" w:customStyle="1" w:styleId="Tablaconcuadrcula2512">
    <w:name w:val="Tabla con cuadrícula2512"/>
    <w:basedOn w:val="Tablanormal"/>
    <w:next w:val="Tablaconcuadrcula"/>
    <w:rsid w:val="00804DD2"/>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2">
    <w:name w:val="Tabla con cuadrícula2612"/>
    <w:basedOn w:val="Tablanormal"/>
    <w:next w:val="Tablaconcuadrcula"/>
    <w:rsid w:val="00804DD2"/>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202">
    <w:name w:val="Sin lista202"/>
    <w:next w:val="Sinlista"/>
    <w:semiHidden/>
    <w:rsid w:val="00804DD2"/>
  </w:style>
  <w:style w:type="table" w:customStyle="1" w:styleId="Tablaconcuadrcula2712">
    <w:name w:val="Tabla con cuadrícula2712"/>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12">
    <w:name w:val="Tabla con cuadrícula16012"/>
    <w:basedOn w:val="Tablanormal"/>
    <w:next w:val="Tablaconcuadrcula"/>
    <w:rsid w:val="00804DD2"/>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3">
    <w:name w:val="Tabla con cuadrícula2113"/>
    <w:basedOn w:val="Tablanormal"/>
    <w:next w:val="Tablaconcuadrcula"/>
    <w:rsid w:val="00804DD2"/>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3">
    <w:name w:val="Tabla con cuadrícula2213"/>
    <w:basedOn w:val="Tablanormal"/>
    <w:next w:val="Tablaconcuadrcula"/>
    <w:rsid w:val="00804DD2"/>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3">
    <w:name w:val="Tabla con cuadrícula2313"/>
    <w:basedOn w:val="Tablanormal"/>
    <w:next w:val="Tablaconcuadrcula"/>
    <w:rsid w:val="00804DD2"/>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2">
    <w:name w:val="Sin lista1102"/>
    <w:next w:val="Sinlista"/>
    <w:semiHidden/>
    <w:unhideWhenUsed/>
    <w:rsid w:val="00804DD2"/>
  </w:style>
  <w:style w:type="numbering" w:customStyle="1" w:styleId="Sinlista213">
    <w:name w:val="Sin lista213"/>
    <w:next w:val="Sinlista"/>
    <w:semiHidden/>
    <w:unhideWhenUsed/>
    <w:rsid w:val="00804DD2"/>
  </w:style>
  <w:style w:type="table" w:customStyle="1" w:styleId="Tablabsica112">
    <w:name w:val="Tabla básica 112"/>
    <w:basedOn w:val="Tablanormal"/>
    <w:next w:val="Tablabsica1"/>
    <w:rsid w:val="00804DD2"/>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3">
    <w:name w:val="Sin lista1113"/>
    <w:next w:val="Sinlista"/>
    <w:semiHidden/>
    <w:rsid w:val="00804DD2"/>
  </w:style>
  <w:style w:type="table" w:customStyle="1" w:styleId="Tablaconcuadrcula1113">
    <w:name w:val="Tabla con cuadrícula1113"/>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12">
    <w:name w:val="Tabla con cuadrícula 1111"/>
    <w:basedOn w:val="Tablanormal"/>
    <w:next w:val="Tablaconcuadrcula10"/>
    <w:rsid w:val="00804DD2"/>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22">
    <w:name w:val="Tabla con cuadrícula19022"/>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12">
    <w:name w:val="Tabla con cuadrícula29312"/>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3">
    <w:name w:val="Tabla con cuadrícula613"/>
    <w:basedOn w:val="Tablanormal"/>
    <w:next w:val="Tablaconcuadrcula"/>
    <w:rsid w:val="00804DD2"/>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3">
    <w:name w:val="Sin lista313"/>
    <w:next w:val="Sinlista"/>
    <w:semiHidden/>
    <w:unhideWhenUsed/>
    <w:rsid w:val="00804DD2"/>
  </w:style>
  <w:style w:type="table" w:customStyle="1" w:styleId="Tablaconcuadrcula18212">
    <w:name w:val="Tabla con cuadrícula18212"/>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2">
    <w:name w:val="Tabla con cuadrícula5112"/>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3">
    <w:name w:val="Sin lista413"/>
    <w:next w:val="Sinlista"/>
    <w:semiHidden/>
    <w:rsid w:val="00804DD2"/>
  </w:style>
  <w:style w:type="numbering" w:customStyle="1" w:styleId="Sinlista513">
    <w:name w:val="Sin lista513"/>
    <w:next w:val="Sinlista"/>
    <w:semiHidden/>
    <w:unhideWhenUsed/>
    <w:rsid w:val="00804DD2"/>
  </w:style>
  <w:style w:type="numbering" w:customStyle="1" w:styleId="Sinlista1213">
    <w:name w:val="Sin lista1213"/>
    <w:next w:val="Sinlista"/>
    <w:semiHidden/>
    <w:rsid w:val="00804DD2"/>
  </w:style>
  <w:style w:type="numbering" w:customStyle="1" w:styleId="Sinlista613">
    <w:name w:val="Sin lista613"/>
    <w:next w:val="Sinlista"/>
    <w:semiHidden/>
    <w:unhideWhenUsed/>
    <w:rsid w:val="00804DD2"/>
  </w:style>
  <w:style w:type="numbering" w:customStyle="1" w:styleId="Sinlista713">
    <w:name w:val="Sin lista713"/>
    <w:next w:val="Sinlista"/>
    <w:semiHidden/>
    <w:unhideWhenUsed/>
    <w:rsid w:val="00804DD2"/>
  </w:style>
  <w:style w:type="table" w:customStyle="1" w:styleId="Tablaconcuadrcula1213">
    <w:name w:val="Tabla con cuadrícula1213"/>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3">
    <w:name w:val="Sin lista813"/>
    <w:next w:val="Sinlista"/>
    <w:semiHidden/>
    <w:unhideWhenUsed/>
    <w:rsid w:val="00804DD2"/>
  </w:style>
  <w:style w:type="numbering" w:customStyle="1" w:styleId="Sinlista913">
    <w:name w:val="Sin lista913"/>
    <w:next w:val="Sinlista"/>
    <w:semiHidden/>
    <w:rsid w:val="00804DD2"/>
  </w:style>
  <w:style w:type="numbering" w:customStyle="1" w:styleId="Sinlista1013">
    <w:name w:val="Sin lista1013"/>
    <w:next w:val="Sinlista"/>
    <w:semiHidden/>
    <w:unhideWhenUsed/>
    <w:rsid w:val="00804DD2"/>
  </w:style>
  <w:style w:type="numbering" w:customStyle="1" w:styleId="Sinlista1313">
    <w:name w:val="Sin lista1313"/>
    <w:next w:val="Sinlista"/>
    <w:semiHidden/>
    <w:rsid w:val="00804DD2"/>
  </w:style>
  <w:style w:type="table" w:customStyle="1" w:styleId="Tablaconcuadrcula5212">
    <w:name w:val="Tabla con cuadrícula5212"/>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3">
    <w:name w:val="Tabla con cuadrícula1513"/>
    <w:basedOn w:val="Tablanormal"/>
    <w:next w:val="Tablaconcuadrcula"/>
    <w:rsid w:val="00804DD2"/>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3">
    <w:name w:val="Sin lista1413"/>
    <w:next w:val="Sinlista"/>
    <w:semiHidden/>
    <w:rsid w:val="00804DD2"/>
  </w:style>
  <w:style w:type="numbering" w:customStyle="1" w:styleId="Sinlista1512">
    <w:name w:val="Sin lista1512"/>
    <w:next w:val="Sinlista"/>
    <w:semiHidden/>
    <w:rsid w:val="00804DD2"/>
  </w:style>
  <w:style w:type="numbering" w:customStyle="1" w:styleId="Sinlista1612">
    <w:name w:val="Sin lista1612"/>
    <w:next w:val="Sinlista"/>
    <w:semiHidden/>
    <w:rsid w:val="00804DD2"/>
  </w:style>
  <w:style w:type="table" w:customStyle="1" w:styleId="Tablaconcuadrcula1913">
    <w:name w:val="Tabla con cuadrícula1913"/>
    <w:basedOn w:val="Tablanormal"/>
    <w:next w:val="Tablaconcuadrcula"/>
    <w:rsid w:val="00804DD2"/>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12">
    <w:name w:val="Sin lista1712"/>
    <w:next w:val="Sinlista"/>
    <w:semiHidden/>
    <w:rsid w:val="00804DD2"/>
  </w:style>
  <w:style w:type="numbering" w:customStyle="1" w:styleId="Sinlista1812">
    <w:name w:val="Sin lista1812"/>
    <w:next w:val="Sinlista"/>
    <w:semiHidden/>
    <w:rsid w:val="00804DD2"/>
  </w:style>
  <w:style w:type="numbering" w:customStyle="1" w:styleId="11111121">
    <w:name w:val="1 / 1.1 / 1.1.121"/>
    <w:basedOn w:val="Sinlista"/>
    <w:next w:val="111111"/>
    <w:rsid w:val="00804DD2"/>
  </w:style>
  <w:style w:type="numbering" w:customStyle="1" w:styleId="Sinlista1912">
    <w:name w:val="Sin lista1912"/>
    <w:next w:val="Sinlista"/>
    <w:semiHidden/>
    <w:unhideWhenUsed/>
    <w:rsid w:val="00804DD2"/>
  </w:style>
  <w:style w:type="table" w:customStyle="1" w:styleId="Tablaconcuadrcula20712">
    <w:name w:val="Tabla con cuadrícula20712"/>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13">
    <w:name w:val="Tabla con cuadrícula2513"/>
    <w:basedOn w:val="Tablanormal"/>
    <w:next w:val="Tablaconcuadrcula"/>
    <w:rsid w:val="00804DD2"/>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3">
    <w:name w:val="Tabla con cuadrícula2613"/>
    <w:basedOn w:val="Tablanormal"/>
    <w:next w:val="Tablaconcuadrcula"/>
    <w:rsid w:val="00804DD2"/>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713">
    <w:name w:val="Tabla con cuadrícula2713"/>
    <w:basedOn w:val="Tablanormal"/>
    <w:next w:val="Tablaconcuadrcula"/>
    <w:rsid w:val="00804DD2"/>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12">
    <w:name w:val="Sin lista2012"/>
    <w:next w:val="Sinlista"/>
    <w:semiHidden/>
    <w:rsid w:val="00804DD2"/>
  </w:style>
  <w:style w:type="numbering" w:customStyle="1" w:styleId="Sinlista2112">
    <w:name w:val="Sin lista2112"/>
    <w:next w:val="Sinlista"/>
    <w:semiHidden/>
    <w:rsid w:val="00804DD2"/>
  </w:style>
  <w:style w:type="numbering" w:customStyle="1" w:styleId="Sinlista222">
    <w:name w:val="Sin lista222"/>
    <w:next w:val="Sinlista"/>
    <w:semiHidden/>
    <w:rsid w:val="00804DD2"/>
  </w:style>
  <w:style w:type="numbering" w:customStyle="1" w:styleId="Sinlista232">
    <w:name w:val="Sin lista232"/>
    <w:next w:val="Sinlista"/>
    <w:semiHidden/>
    <w:rsid w:val="00804DD2"/>
  </w:style>
  <w:style w:type="numbering" w:customStyle="1" w:styleId="Sinlista242">
    <w:name w:val="Sin lista242"/>
    <w:next w:val="Sinlista"/>
    <w:semiHidden/>
    <w:rsid w:val="00804DD2"/>
  </w:style>
  <w:style w:type="numbering" w:customStyle="1" w:styleId="Sinlista252">
    <w:name w:val="Sin lista252"/>
    <w:next w:val="Sinlista"/>
    <w:semiHidden/>
    <w:rsid w:val="00804DD2"/>
  </w:style>
  <w:style w:type="numbering" w:customStyle="1" w:styleId="Sinlista262">
    <w:name w:val="Sin lista262"/>
    <w:next w:val="Sinlista"/>
    <w:semiHidden/>
    <w:rsid w:val="00804DD2"/>
  </w:style>
  <w:style w:type="numbering" w:customStyle="1" w:styleId="Sinlista272">
    <w:name w:val="Sin lista272"/>
    <w:next w:val="Sinlista"/>
    <w:semiHidden/>
    <w:rsid w:val="00804DD2"/>
  </w:style>
  <w:style w:type="numbering" w:customStyle="1" w:styleId="Sinlista282">
    <w:name w:val="Sin lista282"/>
    <w:next w:val="Sinlista"/>
    <w:semiHidden/>
    <w:rsid w:val="00804DD2"/>
  </w:style>
  <w:style w:type="numbering" w:customStyle="1" w:styleId="Sinlista292">
    <w:name w:val="Sin lista292"/>
    <w:next w:val="Sinlista"/>
    <w:semiHidden/>
    <w:rsid w:val="00804DD2"/>
  </w:style>
  <w:style w:type="numbering" w:customStyle="1" w:styleId="Sinlista302">
    <w:name w:val="Sin lista302"/>
    <w:next w:val="Sinlista"/>
    <w:semiHidden/>
    <w:rsid w:val="00804DD2"/>
  </w:style>
  <w:style w:type="numbering" w:customStyle="1" w:styleId="Sinlista3112">
    <w:name w:val="Sin lista3112"/>
    <w:next w:val="Sinlista"/>
    <w:semiHidden/>
    <w:rsid w:val="00804DD2"/>
  </w:style>
  <w:style w:type="table" w:customStyle="1" w:styleId="Tablaconcuadrcula6112">
    <w:name w:val="Tabla con cuadrícula6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2">
    <w:name w:val="Sin lista322"/>
    <w:next w:val="Sinlista"/>
    <w:semiHidden/>
    <w:rsid w:val="00804DD2"/>
  </w:style>
  <w:style w:type="numbering" w:customStyle="1" w:styleId="Sinlista332">
    <w:name w:val="Sin lista332"/>
    <w:next w:val="Sinlista"/>
    <w:semiHidden/>
    <w:unhideWhenUsed/>
    <w:rsid w:val="00804DD2"/>
  </w:style>
  <w:style w:type="numbering" w:customStyle="1" w:styleId="Sinlista342">
    <w:name w:val="Sin lista342"/>
    <w:next w:val="Sinlista"/>
    <w:semiHidden/>
    <w:rsid w:val="00804DD2"/>
  </w:style>
  <w:style w:type="numbering" w:customStyle="1" w:styleId="Sinlista352">
    <w:name w:val="Sin lista352"/>
    <w:next w:val="Sinlista"/>
    <w:semiHidden/>
    <w:rsid w:val="00804DD2"/>
  </w:style>
  <w:style w:type="numbering" w:customStyle="1" w:styleId="Sinlista362">
    <w:name w:val="Sin lista362"/>
    <w:next w:val="Sinlista"/>
    <w:semiHidden/>
    <w:rsid w:val="00804DD2"/>
  </w:style>
  <w:style w:type="numbering" w:customStyle="1" w:styleId="Sinlista372">
    <w:name w:val="Sin lista372"/>
    <w:next w:val="Sinlista"/>
    <w:semiHidden/>
    <w:rsid w:val="00804DD2"/>
  </w:style>
  <w:style w:type="numbering" w:customStyle="1" w:styleId="Sinlista382">
    <w:name w:val="Sin lista382"/>
    <w:next w:val="Sinlista"/>
    <w:semiHidden/>
    <w:rsid w:val="00804DD2"/>
  </w:style>
  <w:style w:type="numbering" w:customStyle="1" w:styleId="Sinlista392">
    <w:name w:val="Sin lista392"/>
    <w:next w:val="Sinlista"/>
    <w:semiHidden/>
    <w:rsid w:val="00804DD2"/>
  </w:style>
  <w:style w:type="numbering" w:customStyle="1" w:styleId="Sinlista402">
    <w:name w:val="Sin lista402"/>
    <w:next w:val="Sinlista"/>
    <w:semiHidden/>
    <w:rsid w:val="00804DD2"/>
  </w:style>
  <w:style w:type="numbering" w:customStyle="1" w:styleId="Sinlista4112">
    <w:name w:val="Sin lista4112"/>
    <w:next w:val="Sinlista"/>
    <w:semiHidden/>
    <w:rsid w:val="00804DD2"/>
  </w:style>
  <w:style w:type="numbering" w:customStyle="1" w:styleId="Sinlista422">
    <w:name w:val="Sin lista422"/>
    <w:next w:val="Sinlista"/>
    <w:semiHidden/>
    <w:rsid w:val="00804DD2"/>
  </w:style>
  <w:style w:type="numbering" w:customStyle="1" w:styleId="Sinlista432">
    <w:name w:val="Sin lista432"/>
    <w:next w:val="Sinlista"/>
    <w:semiHidden/>
    <w:rsid w:val="00804DD2"/>
  </w:style>
  <w:style w:type="numbering" w:customStyle="1" w:styleId="Sinlista442">
    <w:name w:val="Sin lista442"/>
    <w:next w:val="Sinlista"/>
    <w:semiHidden/>
    <w:rsid w:val="00804DD2"/>
  </w:style>
  <w:style w:type="numbering" w:customStyle="1" w:styleId="Sinlista452">
    <w:name w:val="Sin lista452"/>
    <w:next w:val="Sinlista"/>
    <w:semiHidden/>
    <w:rsid w:val="00804DD2"/>
  </w:style>
  <w:style w:type="numbering" w:customStyle="1" w:styleId="Sinlista462">
    <w:name w:val="Sin lista462"/>
    <w:next w:val="Sinlista"/>
    <w:semiHidden/>
    <w:rsid w:val="00804DD2"/>
  </w:style>
  <w:style w:type="numbering" w:customStyle="1" w:styleId="Sinlista472">
    <w:name w:val="Sin lista472"/>
    <w:next w:val="Sinlista"/>
    <w:semiHidden/>
    <w:rsid w:val="00804DD2"/>
  </w:style>
  <w:style w:type="numbering" w:customStyle="1" w:styleId="Sinlista482">
    <w:name w:val="Sin lista482"/>
    <w:next w:val="Sinlista"/>
    <w:semiHidden/>
    <w:rsid w:val="00804DD2"/>
  </w:style>
  <w:style w:type="numbering" w:customStyle="1" w:styleId="Sinlista492">
    <w:name w:val="Sin lista492"/>
    <w:next w:val="Sinlista"/>
    <w:semiHidden/>
    <w:rsid w:val="00804DD2"/>
  </w:style>
  <w:style w:type="numbering" w:customStyle="1" w:styleId="Sinlista502">
    <w:name w:val="Sin lista502"/>
    <w:next w:val="Sinlista"/>
    <w:semiHidden/>
    <w:rsid w:val="00804DD2"/>
  </w:style>
  <w:style w:type="numbering" w:customStyle="1" w:styleId="Sinlista5112">
    <w:name w:val="Sin lista5112"/>
    <w:next w:val="Sinlista"/>
    <w:semiHidden/>
    <w:rsid w:val="00804DD2"/>
  </w:style>
  <w:style w:type="numbering" w:customStyle="1" w:styleId="Sinlista522">
    <w:name w:val="Sin lista522"/>
    <w:next w:val="Sinlista"/>
    <w:semiHidden/>
    <w:rsid w:val="00804DD2"/>
  </w:style>
  <w:style w:type="numbering" w:customStyle="1" w:styleId="Sinlista532">
    <w:name w:val="Sin lista532"/>
    <w:next w:val="Sinlista"/>
    <w:semiHidden/>
    <w:rsid w:val="00804DD2"/>
  </w:style>
  <w:style w:type="numbering" w:customStyle="1" w:styleId="Sinlista542">
    <w:name w:val="Sin lista542"/>
    <w:next w:val="Sinlista"/>
    <w:semiHidden/>
    <w:rsid w:val="00804DD2"/>
  </w:style>
  <w:style w:type="numbering" w:customStyle="1" w:styleId="Sinlista552">
    <w:name w:val="Sin lista552"/>
    <w:next w:val="Sinlista"/>
    <w:semiHidden/>
    <w:rsid w:val="00804DD2"/>
  </w:style>
  <w:style w:type="numbering" w:customStyle="1" w:styleId="Sinlista562">
    <w:name w:val="Sin lista562"/>
    <w:next w:val="Sinlista"/>
    <w:semiHidden/>
    <w:rsid w:val="00804DD2"/>
  </w:style>
  <w:style w:type="numbering" w:customStyle="1" w:styleId="Sinlista572">
    <w:name w:val="Sin lista572"/>
    <w:next w:val="Sinlista"/>
    <w:semiHidden/>
    <w:rsid w:val="00804DD2"/>
  </w:style>
  <w:style w:type="numbering" w:customStyle="1" w:styleId="Sinlista582">
    <w:name w:val="Sin lista582"/>
    <w:next w:val="Sinlista"/>
    <w:semiHidden/>
    <w:rsid w:val="00804DD2"/>
  </w:style>
  <w:style w:type="numbering" w:customStyle="1" w:styleId="Sinlista592">
    <w:name w:val="Sin lista592"/>
    <w:next w:val="Sinlista"/>
    <w:semiHidden/>
    <w:rsid w:val="00804DD2"/>
  </w:style>
  <w:style w:type="table" w:customStyle="1" w:styleId="Tablaconcuadrcula111120">
    <w:name w:val="Tabla con cuadrícula11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2">
    <w:name w:val="Sin lista602"/>
    <w:next w:val="Sinlista"/>
    <w:semiHidden/>
    <w:rsid w:val="00804DD2"/>
  </w:style>
  <w:style w:type="numbering" w:customStyle="1" w:styleId="Sinlista6112">
    <w:name w:val="Sin lista6112"/>
    <w:next w:val="Sinlista"/>
    <w:semiHidden/>
    <w:rsid w:val="00804DD2"/>
  </w:style>
  <w:style w:type="numbering" w:customStyle="1" w:styleId="Sinlista622">
    <w:name w:val="Sin lista622"/>
    <w:next w:val="Sinlista"/>
    <w:semiHidden/>
    <w:rsid w:val="00804DD2"/>
  </w:style>
  <w:style w:type="numbering" w:customStyle="1" w:styleId="Sinlista632">
    <w:name w:val="Sin lista632"/>
    <w:next w:val="Sinlista"/>
    <w:semiHidden/>
    <w:rsid w:val="00804DD2"/>
  </w:style>
  <w:style w:type="numbering" w:customStyle="1" w:styleId="Sinlista642">
    <w:name w:val="Sin lista642"/>
    <w:next w:val="Sinlista"/>
    <w:semiHidden/>
    <w:rsid w:val="00804DD2"/>
  </w:style>
  <w:style w:type="numbering" w:customStyle="1" w:styleId="Sinlista652">
    <w:name w:val="Sin lista652"/>
    <w:next w:val="Sinlista"/>
    <w:semiHidden/>
    <w:rsid w:val="00804DD2"/>
  </w:style>
  <w:style w:type="numbering" w:customStyle="1" w:styleId="Sinlista662">
    <w:name w:val="Sin lista662"/>
    <w:next w:val="Sinlista"/>
    <w:semiHidden/>
    <w:rsid w:val="00804DD2"/>
  </w:style>
  <w:style w:type="numbering" w:customStyle="1" w:styleId="Sinlista672">
    <w:name w:val="Sin lista672"/>
    <w:next w:val="Sinlista"/>
    <w:semiHidden/>
    <w:rsid w:val="00804DD2"/>
  </w:style>
  <w:style w:type="numbering" w:customStyle="1" w:styleId="Sinlista682">
    <w:name w:val="Sin lista682"/>
    <w:next w:val="Sinlista"/>
    <w:semiHidden/>
    <w:rsid w:val="00804DD2"/>
  </w:style>
  <w:style w:type="table" w:customStyle="1" w:styleId="Tablaconcuadrcula12112">
    <w:name w:val="Tabla con cuadrícula12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2">
    <w:name w:val="Sin lista692"/>
    <w:next w:val="Sinlista"/>
    <w:semiHidden/>
    <w:rsid w:val="00804DD2"/>
  </w:style>
  <w:style w:type="numbering" w:customStyle="1" w:styleId="Sinlista702">
    <w:name w:val="Sin lista702"/>
    <w:next w:val="Sinlista"/>
    <w:semiHidden/>
    <w:rsid w:val="00804DD2"/>
  </w:style>
  <w:style w:type="numbering" w:customStyle="1" w:styleId="Sinlista7112">
    <w:name w:val="Sin lista7112"/>
    <w:next w:val="Sinlista"/>
    <w:semiHidden/>
    <w:rsid w:val="00804DD2"/>
  </w:style>
  <w:style w:type="numbering" w:customStyle="1" w:styleId="Sinlista722">
    <w:name w:val="Sin lista722"/>
    <w:next w:val="Sinlista"/>
    <w:semiHidden/>
    <w:rsid w:val="00804DD2"/>
  </w:style>
  <w:style w:type="numbering" w:customStyle="1" w:styleId="Sinlista732">
    <w:name w:val="Sin lista732"/>
    <w:next w:val="Sinlista"/>
    <w:semiHidden/>
    <w:rsid w:val="00804DD2"/>
  </w:style>
  <w:style w:type="numbering" w:customStyle="1" w:styleId="Sinlista742">
    <w:name w:val="Sin lista742"/>
    <w:next w:val="Sinlista"/>
    <w:semiHidden/>
    <w:rsid w:val="00804DD2"/>
  </w:style>
  <w:style w:type="numbering" w:customStyle="1" w:styleId="Sinlista752">
    <w:name w:val="Sin lista752"/>
    <w:next w:val="Sinlista"/>
    <w:semiHidden/>
    <w:rsid w:val="00804DD2"/>
  </w:style>
  <w:style w:type="numbering" w:customStyle="1" w:styleId="Sinlista762">
    <w:name w:val="Sin lista762"/>
    <w:next w:val="Sinlista"/>
    <w:semiHidden/>
    <w:rsid w:val="00804DD2"/>
  </w:style>
  <w:style w:type="table" w:customStyle="1" w:styleId="Tablaconcuadrcula51112">
    <w:name w:val="Tabla con cuadrícula51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72">
    <w:name w:val="Sin lista772"/>
    <w:next w:val="Sinlista"/>
    <w:semiHidden/>
    <w:rsid w:val="00804DD2"/>
  </w:style>
  <w:style w:type="table" w:customStyle="1" w:styleId="Tablaconcuadrcula15112">
    <w:name w:val="Tabla con cuadrícula15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82">
    <w:name w:val="Sin lista782"/>
    <w:next w:val="Sinlista"/>
    <w:semiHidden/>
    <w:rsid w:val="00804DD2"/>
  </w:style>
  <w:style w:type="numbering" w:customStyle="1" w:styleId="Sinlista792">
    <w:name w:val="Sin lista792"/>
    <w:next w:val="Sinlista"/>
    <w:semiHidden/>
    <w:rsid w:val="00804DD2"/>
  </w:style>
  <w:style w:type="numbering" w:customStyle="1" w:styleId="Sinlista802">
    <w:name w:val="Sin lista802"/>
    <w:next w:val="Sinlista"/>
    <w:semiHidden/>
    <w:rsid w:val="00804DD2"/>
  </w:style>
  <w:style w:type="numbering" w:customStyle="1" w:styleId="Sinlista8112">
    <w:name w:val="Sin lista8112"/>
    <w:next w:val="Sinlista"/>
    <w:semiHidden/>
    <w:rsid w:val="00804DD2"/>
  </w:style>
  <w:style w:type="numbering" w:customStyle="1" w:styleId="Sinlista822">
    <w:name w:val="Sin lista822"/>
    <w:next w:val="Sinlista"/>
    <w:semiHidden/>
    <w:rsid w:val="00804DD2"/>
  </w:style>
  <w:style w:type="numbering" w:customStyle="1" w:styleId="Sinlista832">
    <w:name w:val="Sin lista832"/>
    <w:next w:val="Sinlista"/>
    <w:semiHidden/>
    <w:rsid w:val="00804DD2"/>
  </w:style>
  <w:style w:type="numbering" w:customStyle="1" w:styleId="Sinlista842">
    <w:name w:val="Sin lista842"/>
    <w:next w:val="Sinlista"/>
    <w:semiHidden/>
    <w:rsid w:val="00804DD2"/>
  </w:style>
  <w:style w:type="numbering" w:customStyle="1" w:styleId="Sinlista852">
    <w:name w:val="Sin lista852"/>
    <w:next w:val="Sinlista"/>
    <w:semiHidden/>
    <w:rsid w:val="00804DD2"/>
  </w:style>
  <w:style w:type="numbering" w:customStyle="1" w:styleId="Sinlista862">
    <w:name w:val="Sin lista862"/>
    <w:next w:val="Sinlista"/>
    <w:semiHidden/>
    <w:rsid w:val="00804DD2"/>
  </w:style>
  <w:style w:type="numbering" w:customStyle="1" w:styleId="Sinlista872">
    <w:name w:val="Sin lista872"/>
    <w:next w:val="Sinlista"/>
    <w:semiHidden/>
    <w:rsid w:val="00804DD2"/>
  </w:style>
  <w:style w:type="numbering" w:customStyle="1" w:styleId="Sinlista882">
    <w:name w:val="Sin lista882"/>
    <w:next w:val="Sinlista"/>
    <w:semiHidden/>
    <w:rsid w:val="00804DD2"/>
  </w:style>
  <w:style w:type="numbering" w:customStyle="1" w:styleId="Sinlista892">
    <w:name w:val="Sin lista892"/>
    <w:next w:val="Sinlista"/>
    <w:semiHidden/>
    <w:rsid w:val="00804DD2"/>
  </w:style>
  <w:style w:type="numbering" w:customStyle="1" w:styleId="Sinlista902">
    <w:name w:val="Sin lista902"/>
    <w:next w:val="Sinlista"/>
    <w:semiHidden/>
    <w:rsid w:val="00804DD2"/>
  </w:style>
  <w:style w:type="numbering" w:customStyle="1" w:styleId="Sinlista9112">
    <w:name w:val="Sin lista9112"/>
    <w:next w:val="Sinlista"/>
    <w:semiHidden/>
    <w:rsid w:val="00804DD2"/>
  </w:style>
  <w:style w:type="numbering" w:customStyle="1" w:styleId="Sinlista922">
    <w:name w:val="Sin lista922"/>
    <w:next w:val="Sinlista"/>
    <w:semiHidden/>
    <w:rsid w:val="00804DD2"/>
  </w:style>
  <w:style w:type="numbering" w:customStyle="1" w:styleId="Sinlista932">
    <w:name w:val="Sin lista932"/>
    <w:next w:val="Sinlista"/>
    <w:semiHidden/>
    <w:rsid w:val="00804DD2"/>
  </w:style>
  <w:style w:type="numbering" w:customStyle="1" w:styleId="Sinlista942">
    <w:name w:val="Sin lista942"/>
    <w:next w:val="Sinlista"/>
    <w:semiHidden/>
    <w:rsid w:val="00804DD2"/>
  </w:style>
  <w:style w:type="numbering" w:customStyle="1" w:styleId="Sinlista952">
    <w:name w:val="Sin lista952"/>
    <w:next w:val="Sinlista"/>
    <w:semiHidden/>
    <w:rsid w:val="00804DD2"/>
  </w:style>
  <w:style w:type="numbering" w:customStyle="1" w:styleId="Sinlista962">
    <w:name w:val="Sin lista962"/>
    <w:next w:val="Sinlista"/>
    <w:semiHidden/>
    <w:rsid w:val="00804DD2"/>
  </w:style>
  <w:style w:type="numbering" w:customStyle="1" w:styleId="Sinlista972">
    <w:name w:val="Sin lista972"/>
    <w:next w:val="Sinlista"/>
    <w:semiHidden/>
    <w:rsid w:val="00804DD2"/>
  </w:style>
  <w:style w:type="numbering" w:customStyle="1" w:styleId="Sinlista982">
    <w:name w:val="Sin lista982"/>
    <w:next w:val="Sinlista"/>
    <w:semiHidden/>
    <w:rsid w:val="00804DD2"/>
  </w:style>
  <w:style w:type="numbering" w:customStyle="1" w:styleId="Sinlista992">
    <w:name w:val="Sin lista992"/>
    <w:next w:val="Sinlista"/>
    <w:semiHidden/>
    <w:rsid w:val="00804DD2"/>
  </w:style>
  <w:style w:type="numbering" w:customStyle="1" w:styleId="Sinlista1002">
    <w:name w:val="Sin lista1002"/>
    <w:next w:val="Sinlista"/>
    <w:semiHidden/>
    <w:rsid w:val="00804DD2"/>
  </w:style>
  <w:style w:type="numbering" w:customStyle="1" w:styleId="Sinlista10112">
    <w:name w:val="Sin lista10112"/>
    <w:next w:val="Sinlista"/>
    <w:semiHidden/>
    <w:rsid w:val="00804DD2"/>
  </w:style>
  <w:style w:type="table" w:customStyle="1" w:styleId="Tablaconcuadrcula19112">
    <w:name w:val="Tabla con cuadrícula19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22">
    <w:name w:val="Sin lista1022"/>
    <w:next w:val="Sinlista"/>
    <w:semiHidden/>
    <w:rsid w:val="00804DD2"/>
  </w:style>
  <w:style w:type="numbering" w:customStyle="1" w:styleId="Sinlista1032">
    <w:name w:val="Sin lista1032"/>
    <w:next w:val="Sinlista"/>
    <w:semiHidden/>
    <w:rsid w:val="00804DD2"/>
  </w:style>
  <w:style w:type="numbering" w:customStyle="1" w:styleId="Sinlista1042">
    <w:name w:val="Sin lista1042"/>
    <w:next w:val="Sinlista"/>
    <w:semiHidden/>
    <w:rsid w:val="00804DD2"/>
  </w:style>
  <w:style w:type="numbering" w:customStyle="1" w:styleId="Sinlista1052">
    <w:name w:val="Sin lista1052"/>
    <w:next w:val="Sinlista"/>
    <w:semiHidden/>
    <w:rsid w:val="00804DD2"/>
  </w:style>
  <w:style w:type="numbering" w:customStyle="1" w:styleId="Sinlista1062">
    <w:name w:val="Sin lista1062"/>
    <w:next w:val="Sinlista"/>
    <w:semiHidden/>
    <w:rsid w:val="00804DD2"/>
  </w:style>
  <w:style w:type="numbering" w:customStyle="1" w:styleId="Sinlista1072">
    <w:name w:val="Sin lista1072"/>
    <w:next w:val="Sinlista"/>
    <w:semiHidden/>
    <w:rsid w:val="00804DD2"/>
  </w:style>
  <w:style w:type="numbering" w:customStyle="1" w:styleId="Sinlista1082">
    <w:name w:val="Sin lista1082"/>
    <w:next w:val="Sinlista"/>
    <w:semiHidden/>
    <w:rsid w:val="00804DD2"/>
  </w:style>
  <w:style w:type="numbering" w:customStyle="1" w:styleId="Sinlista1092">
    <w:name w:val="Sin lista1092"/>
    <w:next w:val="Sinlista"/>
    <w:semiHidden/>
    <w:rsid w:val="00804DD2"/>
  </w:style>
  <w:style w:type="numbering" w:customStyle="1" w:styleId="Sinlista11012">
    <w:name w:val="Sin lista11012"/>
    <w:next w:val="Sinlista"/>
    <w:semiHidden/>
    <w:rsid w:val="00804DD2"/>
  </w:style>
  <w:style w:type="numbering" w:customStyle="1" w:styleId="Sinlista11112">
    <w:name w:val="Sin lista11112"/>
    <w:next w:val="Sinlista"/>
    <w:semiHidden/>
    <w:rsid w:val="00804DD2"/>
  </w:style>
  <w:style w:type="numbering" w:customStyle="1" w:styleId="Sinlista1122">
    <w:name w:val="Sin lista1122"/>
    <w:next w:val="Sinlista"/>
    <w:semiHidden/>
    <w:rsid w:val="00804DD2"/>
  </w:style>
  <w:style w:type="table" w:customStyle="1" w:styleId="Tablaconcuadrcula21112">
    <w:name w:val="Tabla con cuadrícula21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32">
    <w:name w:val="Sin lista1132"/>
    <w:next w:val="Sinlista"/>
    <w:semiHidden/>
    <w:rsid w:val="00804DD2"/>
  </w:style>
  <w:style w:type="numbering" w:customStyle="1" w:styleId="Sinlista1142">
    <w:name w:val="Sin lista1142"/>
    <w:next w:val="Sinlista"/>
    <w:semiHidden/>
    <w:rsid w:val="00804DD2"/>
  </w:style>
  <w:style w:type="numbering" w:customStyle="1" w:styleId="Sinlista1152">
    <w:name w:val="Sin lista1152"/>
    <w:next w:val="Sinlista"/>
    <w:semiHidden/>
    <w:rsid w:val="00804DD2"/>
  </w:style>
  <w:style w:type="numbering" w:customStyle="1" w:styleId="Sinlista1162">
    <w:name w:val="Sin lista1162"/>
    <w:next w:val="Sinlista"/>
    <w:semiHidden/>
    <w:rsid w:val="00804DD2"/>
  </w:style>
  <w:style w:type="numbering" w:customStyle="1" w:styleId="Sinlista1172">
    <w:name w:val="Sin lista1172"/>
    <w:next w:val="Sinlista"/>
    <w:semiHidden/>
    <w:rsid w:val="00804DD2"/>
  </w:style>
  <w:style w:type="numbering" w:customStyle="1" w:styleId="Sinlista1182">
    <w:name w:val="Sin lista1182"/>
    <w:next w:val="Sinlista"/>
    <w:semiHidden/>
    <w:rsid w:val="00804DD2"/>
  </w:style>
  <w:style w:type="numbering" w:customStyle="1" w:styleId="Sinlista1192">
    <w:name w:val="Sin lista1192"/>
    <w:next w:val="Sinlista"/>
    <w:semiHidden/>
    <w:rsid w:val="00804DD2"/>
  </w:style>
  <w:style w:type="table" w:customStyle="1" w:styleId="Tablaconcuadrcula22112">
    <w:name w:val="Tabla con cuadrícula22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02">
    <w:name w:val="Sin lista1202"/>
    <w:next w:val="Sinlista"/>
    <w:semiHidden/>
    <w:rsid w:val="00804DD2"/>
  </w:style>
  <w:style w:type="numbering" w:customStyle="1" w:styleId="Sinlista12112">
    <w:name w:val="Sin lista12112"/>
    <w:next w:val="Sinlista"/>
    <w:semiHidden/>
    <w:rsid w:val="00804DD2"/>
  </w:style>
  <w:style w:type="numbering" w:customStyle="1" w:styleId="Sinlista1222">
    <w:name w:val="Sin lista1222"/>
    <w:next w:val="Sinlista"/>
    <w:semiHidden/>
    <w:rsid w:val="00804DD2"/>
  </w:style>
  <w:style w:type="numbering" w:customStyle="1" w:styleId="Sinlista1232">
    <w:name w:val="Sin lista1232"/>
    <w:next w:val="Sinlista"/>
    <w:semiHidden/>
    <w:rsid w:val="00804DD2"/>
  </w:style>
  <w:style w:type="numbering" w:customStyle="1" w:styleId="Sinlista1242">
    <w:name w:val="Sin lista1242"/>
    <w:next w:val="Sinlista"/>
    <w:semiHidden/>
    <w:rsid w:val="00804DD2"/>
  </w:style>
  <w:style w:type="table" w:customStyle="1" w:styleId="Tablaconcuadrcula23112">
    <w:name w:val="Tabla con cuadrícula23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52">
    <w:name w:val="Sin lista1252"/>
    <w:next w:val="Sinlista"/>
    <w:semiHidden/>
    <w:rsid w:val="00804DD2"/>
  </w:style>
  <w:style w:type="numbering" w:customStyle="1" w:styleId="Sinlista1262">
    <w:name w:val="Sin lista1262"/>
    <w:next w:val="Sinlista"/>
    <w:semiHidden/>
    <w:rsid w:val="00804DD2"/>
  </w:style>
  <w:style w:type="numbering" w:customStyle="1" w:styleId="Sinlista1272">
    <w:name w:val="Sin lista1272"/>
    <w:next w:val="Sinlista"/>
    <w:semiHidden/>
    <w:rsid w:val="00804DD2"/>
  </w:style>
  <w:style w:type="numbering" w:customStyle="1" w:styleId="Sinlista1282">
    <w:name w:val="Sin lista1282"/>
    <w:next w:val="Sinlista"/>
    <w:semiHidden/>
    <w:rsid w:val="00804DD2"/>
  </w:style>
  <w:style w:type="numbering" w:customStyle="1" w:styleId="Sinlista1292">
    <w:name w:val="Sin lista1292"/>
    <w:next w:val="Sinlista"/>
    <w:semiHidden/>
    <w:rsid w:val="00804DD2"/>
  </w:style>
  <w:style w:type="numbering" w:customStyle="1" w:styleId="Sinlista1302">
    <w:name w:val="Sin lista1302"/>
    <w:next w:val="Sinlista"/>
    <w:semiHidden/>
    <w:rsid w:val="00804DD2"/>
  </w:style>
  <w:style w:type="numbering" w:customStyle="1" w:styleId="Sinlista13112">
    <w:name w:val="Sin lista13112"/>
    <w:next w:val="Sinlista"/>
    <w:semiHidden/>
    <w:rsid w:val="00804DD2"/>
  </w:style>
  <w:style w:type="numbering" w:customStyle="1" w:styleId="Sinlista1322">
    <w:name w:val="Sin lista1322"/>
    <w:next w:val="Sinlista"/>
    <w:semiHidden/>
    <w:rsid w:val="00804DD2"/>
  </w:style>
  <w:style w:type="numbering" w:customStyle="1" w:styleId="Sinlista1332">
    <w:name w:val="Sin lista1332"/>
    <w:next w:val="Sinlista"/>
    <w:semiHidden/>
    <w:rsid w:val="00804DD2"/>
  </w:style>
  <w:style w:type="numbering" w:customStyle="1" w:styleId="Sinlista1342">
    <w:name w:val="Sin lista1342"/>
    <w:next w:val="Sinlista"/>
    <w:semiHidden/>
    <w:rsid w:val="00804DD2"/>
  </w:style>
  <w:style w:type="numbering" w:customStyle="1" w:styleId="Sinlista1352">
    <w:name w:val="Sin lista1352"/>
    <w:next w:val="Sinlista"/>
    <w:semiHidden/>
    <w:rsid w:val="00804DD2"/>
  </w:style>
  <w:style w:type="numbering" w:customStyle="1" w:styleId="Sinlista1362">
    <w:name w:val="Sin lista1362"/>
    <w:next w:val="Sinlista"/>
    <w:semiHidden/>
    <w:rsid w:val="00804DD2"/>
  </w:style>
  <w:style w:type="numbering" w:customStyle="1" w:styleId="Sinlista1372">
    <w:name w:val="Sin lista1372"/>
    <w:next w:val="Sinlista"/>
    <w:semiHidden/>
    <w:rsid w:val="00804DD2"/>
  </w:style>
  <w:style w:type="table" w:customStyle="1" w:styleId="Tablaconcuadrcula25112">
    <w:name w:val="Tabla con cuadrícula25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82">
    <w:name w:val="Sin lista1382"/>
    <w:next w:val="Sinlista"/>
    <w:semiHidden/>
    <w:rsid w:val="00804DD2"/>
  </w:style>
  <w:style w:type="numbering" w:customStyle="1" w:styleId="Sinlista1392">
    <w:name w:val="Sin lista1392"/>
    <w:next w:val="Sinlista"/>
    <w:semiHidden/>
    <w:rsid w:val="00804DD2"/>
  </w:style>
  <w:style w:type="numbering" w:customStyle="1" w:styleId="Sinlista1402">
    <w:name w:val="Sin lista1402"/>
    <w:next w:val="Sinlista"/>
    <w:semiHidden/>
    <w:rsid w:val="00804DD2"/>
  </w:style>
  <w:style w:type="numbering" w:customStyle="1" w:styleId="Sinlista14112">
    <w:name w:val="Sin lista14112"/>
    <w:next w:val="Sinlista"/>
    <w:semiHidden/>
    <w:rsid w:val="00804DD2"/>
  </w:style>
  <w:style w:type="numbering" w:customStyle="1" w:styleId="Sinlista1422">
    <w:name w:val="Sin lista1422"/>
    <w:next w:val="Sinlista"/>
    <w:semiHidden/>
    <w:rsid w:val="00804DD2"/>
  </w:style>
  <w:style w:type="numbering" w:customStyle="1" w:styleId="Sinlista1432">
    <w:name w:val="Sin lista1432"/>
    <w:next w:val="Sinlista"/>
    <w:semiHidden/>
    <w:rsid w:val="00804DD2"/>
  </w:style>
  <w:style w:type="table" w:customStyle="1" w:styleId="Tablaconcuadrcula26112">
    <w:name w:val="Tabla con cuadrícula26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42">
    <w:name w:val="Sin lista1442"/>
    <w:next w:val="Sinlista"/>
    <w:semiHidden/>
    <w:rsid w:val="00804DD2"/>
  </w:style>
  <w:style w:type="numbering" w:customStyle="1" w:styleId="Sinlista1452">
    <w:name w:val="Sin lista1452"/>
    <w:next w:val="Sinlista"/>
    <w:semiHidden/>
    <w:rsid w:val="00804DD2"/>
  </w:style>
  <w:style w:type="numbering" w:customStyle="1" w:styleId="Sinlista1462">
    <w:name w:val="Sin lista1462"/>
    <w:next w:val="Sinlista"/>
    <w:semiHidden/>
    <w:rsid w:val="00804DD2"/>
  </w:style>
  <w:style w:type="numbering" w:customStyle="1" w:styleId="Sinlista1472">
    <w:name w:val="Sin lista1472"/>
    <w:next w:val="Sinlista"/>
    <w:semiHidden/>
    <w:rsid w:val="00804DD2"/>
  </w:style>
  <w:style w:type="table" w:customStyle="1" w:styleId="Tablaconcuadrcula27112">
    <w:name w:val="Tabla con cuadrícula27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82">
    <w:name w:val="Sin lista1482"/>
    <w:next w:val="Sinlista"/>
    <w:semiHidden/>
    <w:rsid w:val="00804DD2"/>
  </w:style>
  <w:style w:type="numbering" w:customStyle="1" w:styleId="Sinlista1492">
    <w:name w:val="Sin lista1492"/>
    <w:next w:val="Sinlista"/>
    <w:semiHidden/>
    <w:rsid w:val="00804DD2"/>
  </w:style>
  <w:style w:type="numbering" w:customStyle="1" w:styleId="Sinlista1502">
    <w:name w:val="Sin lista1502"/>
    <w:next w:val="Sinlista"/>
    <w:semiHidden/>
    <w:rsid w:val="00804DD2"/>
  </w:style>
  <w:style w:type="numbering" w:customStyle="1" w:styleId="Sinlista15112">
    <w:name w:val="Sin lista15112"/>
    <w:next w:val="Sinlista"/>
    <w:semiHidden/>
    <w:rsid w:val="00804DD2"/>
  </w:style>
  <w:style w:type="numbering" w:customStyle="1" w:styleId="Sinlista1522">
    <w:name w:val="Sin lista1522"/>
    <w:next w:val="Sinlista"/>
    <w:semiHidden/>
    <w:rsid w:val="00804DD2"/>
  </w:style>
  <w:style w:type="numbering" w:customStyle="1" w:styleId="Sinlista1532">
    <w:name w:val="Sin lista1532"/>
    <w:next w:val="Sinlista"/>
    <w:semiHidden/>
    <w:rsid w:val="00804DD2"/>
  </w:style>
  <w:style w:type="numbering" w:customStyle="1" w:styleId="Sinlista1542">
    <w:name w:val="Sin lista1542"/>
    <w:next w:val="Sinlista"/>
    <w:semiHidden/>
    <w:rsid w:val="00804DD2"/>
  </w:style>
  <w:style w:type="numbering" w:customStyle="1" w:styleId="Sinlista1552">
    <w:name w:val="Sin lista1552"/>
    <w:next w:val="Sinlista"/>
    <w:semiHidden/>
    <w:rsid w:val="00804DD2"/>
  </w:style>
  <w:style w:type="numbering" w:customStyle="1" w:styleId="Sinlista163">
    <w:name w:val="Sin lista163"/>
    <w:next w:val="Sinlista"/>
    <w:semiHidden/>
    <w:rsid w:val="00904BA1"/>
  </w:style>
  <w:style w:type="table" w:customStyle="1" w:styleId="Tablaconcuadrcula286">
    <w:name w:val="Tabla con cuadrícula286"/>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3">
    <w:name w:val="Tabla con cuadrícula1603"/>
    <w:basedOn w:val="Tablanormal"/>
    <w:next w:val="Tablaconcuadrcula"/>
    <w:rsid w:val="00904BA1"/>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4">
    <w:name w:val="Tabla con cuadrícula2114"/>
    <w:basedOn w:val="Tablanormal"/>
    <w:next w:val="Tablaconcuadrcula"/>
    <w:rsid w:val="00904BA1"/>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4">
    <w:name w:val="Tabla con cuadrícula2214"/>
    <w:basedOn w:val="Tablanormal"/>
    <w:next w:val="Tablaconcuadrcula"/>
    <w:rsid w:val="00904BA1"/>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4">
    <w:name w:val="Tabla con cuadrícula2314"/>
    <w:basedOn w:val="Tablanormal"/>
    <w:next w:val="Tablaconcuadrcula"/>
    <w:rsid w:val="00904BA1"/>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64">
    <w:name w:val="Sin lista164"/>
    <w:next w:val="Sinlista"/>
    <w:semiHidden/>
    <w:unhideWhenUsed/>
    <w:rsid w:val="00904BA1"/>
  </w:style>
  <w:style w:type="numbering" w:customStyle="1" w:styleId="Sinlista214">
    <w:name w:val="Sin lista214"/>
    <w:next w:val="Sinlista"/>
    <w:semiHidden/>
    <w:unhideWhenUsed/>
    <w:rsid w:val="00904BA1"/>
  </w:style>
  <w:style w:type="table" w:customStyle="1" w:styleId="Tablabsica13">
    <w:name w:val="Tabla básica 13"/>
    <w:basedOn w:val="Tablanormal"/>
    <w:next w:val="Tablabsica1"/>
    <w:rsid w:val="00904BA1"/>
    <w:rPr>
      <w:rFonts w:eastAsia="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4">
    <w:name w:val="Sin lista1114"/>
    <w:next w:val="Sinlista"/>
    <w:semiHidden/>
    <w:rsid w:val="00904BA1"/>
  </w:style>
  <w:style w:type="table" w:customStyle="1" w:styleId="Tablaconcuadrcula1114">
    <w:name w:val="Tabla con cuadrícula1114"/>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50">
    <w:name w:val="Tabla con cuadrícula 135"/>
    <w:basedOn w:val="Tablanormal"/>
    <w:next w:val="Tablaconcuadrcula10"/>
    <w:rsid w:val="00904BA1"/>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4">
    <w:name w:val="Tabla con cuadrícula1904"/>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3">
    <w:name w:val="Tabla con cuadrícula293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4">
    <w:name w:val="Tabla con cuadrícula614"/>
    <w:basedOn w:val="Tablanormal"/>
    <w:next w:val="Tablaconcuadrcula"/>
    <w:rsid w:val="00904BA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4">
    <w:name w:val="Sin lista314"/>
    <w:next w:val="Sinlista"/>
    <w:semiHidden/>
    <w:unhideWhenUsed/>
    <w:rsid w:val="00904BA1"/>
  </w:style>
  <w:style w:type="table" w:customStyle="1" w:styleId="Tablaconcuadrcula1823">
    <w:name w:val="Tabla con cuadrícula182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5">
    <w:name w:val="Tabla con cuadrícula515"/>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4">
    <w:name w:val="Sin lista414"/>
    <w:next w:val="Sinlista"/>
    <w:semiHidden/>
    <w:rsid w:val="00904BA1"/>
  </w:style>
  <w:style w:type="numbering" w:customStyle="1" w:styleId="Sinlista514">
    <w:name w:val="Sin lista514"/>
    <w:next w:val="Sinlista"/>
    <w:semiHidden/>
    <w:unhideWhenUsed/>
    <w:rsid w:val="00904BA1"/>
  </w:style>
  <w:style w:type="numbering" w:customStyle="1" w:styleId="Sinlista1214">
    <w:name w:val="Sin lista1214"/>
    <w:next w:val="Sinlista"/>
    <w:semiHidden/>
    <w:rsid w:val="00904BA1"/>
  </w:style>
  <w:style w:type="numbering" w:customStyle="1" w:styleId="Sinlista614">
    <w:name w:val="Sin lista614"/>
    <w:next w:val="Sinlista"/>
    <w:semiHidden/>
    <w:unhideWhenUsed/>
    <w:rsid w:val="00904BA1"/>
  </w:style>
  <w:style w:type="numbering" w:customStyle="1" w:styleId="Sinlista714">
    <w:name w:val="Sin lista714"/>
    <w:next w:val="Sinlista"/>
    <w:semiHidden/>
    <w:unhideWhenUsed/>
    <w:rsid w:val="00904BA1"/>
  </w:style>
  <w:style w:type="table" w:customStyle="1" w:styleId="Tablaconcuadrcula1214">
    <w:name w:val="Tabla con cuadrícula1214"/>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4">
    <w:name w:val="Sin lista814"/>
    <w:next w:val="Sinlista"/>
    <w:semiHidden/>
    <w:unhideWhenUsed/>
    <w:rsid w:val="00904BA1"/>
  </w:style>
  <w:style w:type="numbering" w:customStyle="1" w:styleId="Sinlista914">
    <w:name w:val="Sin lista914"/>
    <w:next w:val="Sinlista"/>
    <w:semiHidden/>
    <w:rsid w:val="00904BA1"/>
  </w:style>
  <w:style w:type="numbering" w:customStyle="1" w:styleId="Sinlista1014">
    <w:name w:val="Sin lista1014"/>
    <w:next w:val="Sinlista"/>
    <w:semiHidden/>
    <w:unhideWhenUsed/>
    <w:rsid w:val="00904BA1"/>
  </w:style>
  <w:style w:type="numbering" w:customStyle="1" w:styleId="Sinlista1314">
    <w:name w:val="Sin lista1314"/>
    <w:next w:val="Sinlista"/>
    <w:semiHidden/>
    <w:rsid w:val="00904BA1"/>
  </w:style>
  <w:style w:type="table" w:customStyle="1" w:styleId="Tablaconcuadrcula523">
    <w:name w:val="Tabla con cuadrícula52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4">
    <w:name w:val="Tabla con cuadrícula1514"/>
    <w:basedOn w:val="Tablanormal"/>
    <w:next w:val="Tablaconcuadrcula"/>
    <w:rsid w:val="00904BA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4">
    <w:name w:val="Sin lista1414"/>
    <w:next w:val="Sinlista"/>
    <w:semiHidden/>
    <w:rsid w:val="00904BA1"/>
  </w:style>
  <w:style w:type="numbering" w:customStyle="1" w:styleId="Sinlista1513">
    <w:name w:val="Sin lista1513"/>
    <w:next w:val="Sinlista"/>
    <w:semiHidden/>
    <w:rsid w:val="00904BA1"/>
  </w:style>
  <w:style w:type="numbering" w:customStyle="1" w:styleId="Sinlista165">
    <w:name w:val="Sin lista165"/>
    <w:next w:val="Sinlista"/>
    <w:semiHidden/>
    <w:rsid w:val="00904BA1"/>
  </w:style>
  <w:style w:type="table" w:customStyle="1" w:styleId="Tablaconcuadrcula1914">
    <w:name w:val="Tabla con cuadrícula1914"/>
    <w:basedOn w:val="Tablanormal"/>
    <w:next w:val="Tablaconcuadrcula"/>
    <w:rsid w:val="00904BA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3">
    <w:name w:val="Sin lista173"/>
    <w:next w:val="Sinlista"/>
    <w:semiHidden/>
    <w:rsid w:val="00904BA1"/>
  </w:style>
  <w:style w:type="numbering" w:customStyle="1" w:styleId="Sinlista183">
    <w:name w:val="Sin lista183"/>
    <w:next w:val="Sinlista"/>
    <w:semiHidden/>
    <w:rsid w:val="00904BA1"/>
  </w:style>
  <w:style w:type="table" w:customStyle="1" w:styleId="Tablaconcuadrcula1104">
    <w:name w:val="Tabla con cuadrícula1104"/>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4">
    <w:name w:val="1 / 1.1 / 1.1.14"/>
    <w:basedOn w:val="Sinlista"/>
    <w:next w:val="111111"/>
    <w:rsid w:val="00904BA1"/>
  </w:style>
  <w:style w:type="numbering" w:customStyle="1" w:styleId="Sinlista193">
    <w:name w:val="Sin lista193"/>
    <w:next w:val="Sinlista"/>
    <w:semiHidden/>
    <w:unhideWhenUsed/>
    <w:rsid w:val="00904BA1"/>
  </w:style>
  <w:style w:type="table" w:customStyle="1" w:styleId="Tablaconcuadrcula2073">
    <w:name w:val="Tabla con cuadrícula207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3">
    <w:name w:val="1 / 1.1 / 1.1.113"/>
    <w:basedOn w:val="Sinlista"/>
    <w:next w:val="111111"/>
    <w:rsid w:val="00904BA1"/>
  </w:style>
  <w:style w:type="table" w:customStyle="1" w:styleId="Tablaconcuadrcula2514">
    <w:name w:val="Tabla con cuadrícula2514"/>
    <w:basedOn w:val="Tablanormal"/>
    <w:next w:val="Tablaconcuadrcula"/>
    <w:rsid w:val="00904BA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4">
    <w:name w:val="Tabla con cuadrícula2614"/>
    <w:basedOn w:val="Tablanormal"/>
    <w:next w:val="Tablaconcuadrcula"/>
    <w:rsid w:val="00904BA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11">
    <w:name w:val="1 / 1.1 / 1.1.1111"/>
    <w:basedOn w:val="Sinlista"/>
    <w:next w:val="111111"/>
    <w:rsid w:val="00904BA1"/>
  </w:style>
  <w:style w:type="numbering" w:customStyle="1" w:styleId="Sinlista203">
    <w:name w:val="Sin lista203"/>
    <w:next w:val="Sinlista"/>
    <w:semiHidden/>
    <w:rsid w:val="00904BA1"/>
  </w:style>
  <w:style w:type="table" w:customStyle="1" w:styleId="Tablaconcuadrcula2714">
    <w:name w:val="Tabla con cuadrícula2714"/>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13">
    <w:name w:val="Tabla con cuadrícula16013"/>
    <w:basedOn w:val="Tablanormal"/>
    <w:next w:val="Tablaconcuadrcula"/>
    <w:rsid w:val="00904BA1"/>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5">
    <w:name w:val="Tabla con cuadrícula2115"/>
    <w:basedOn w:val="Tablanormal"/>
    <w:next w:val="Tablaconcuadrcula"/>
    <w:rsid w:val="00904BA1"/>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5">
    <w:name w:val="Tabla con cuadrícula2215"/>
    <w:basedOn w:val="Tablanormal"/>
    <w:next w:val="Tablaconcuadrcula"/>
    <w:rsid w:val="00904BA1"/>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5">
    <w:name w:val="Tabla con cuadrícula2315"/>
    <w:basedOn w:val="Tablanormal"/>
    <w:next w:val="Tablaconcuadrcula"/>
    <w:rsid w:val="00904BA1"/>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3">
    <w:name w:val="Sin lista1103"/>
    <w:next w:val="Sinlista"/>
    <w:semiHidden/>
    <w:unhideWhenUsed/>
    <w:rsid w:val="00904BA1"/>
  </w:style>
  <w:style w:type="numbering" w:customStyle="1" w:styleId="Sinlista215">
    <w:name w:val="Sin lista215"/>
    <w:next w:val="Sinlista"/>
    <w:semiHidden/>
    <w:unhideWhenUsed/>
    <w:rsid w:val="00904BA1"/>
  </w:style>
  <w:style w:type="table" w:customStyle="1" w:styleId="Tablabsica113">
    <w:name w:val="Tabla básica 113"/>
    <w:basedOn w:val="Tablanormal"/>
    <w:next w:val="Tablabsica1"/>
    <w:rsid w:val="00904BA1"/>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5">
    <w:name w:val="Sin lista1115"/>
    <w:next w:val="Sinlista"/>
    <w:semiHidden/>
    <w:rsid w:val="00904BA1"/>
  </w:style>
  <w:style w:type="table" w:customStyle="1" w:styleId="Tablaconcuadrcula1115">
    <w:name w:val="Tabla con cuadrícula1115"/>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20">
    <w:name w:val="Tabla con cuadrícula 1112"/>
    <w:basedOn w:val="Tablanormal"/>
    <w:next w:val="Tablaconcuadrcula10"/>
    <w:rsid w:val="00904BA1"/>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23">
    <w:name w:val="Tabla con cuadrícula19023"/>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13">
    <w:name w:val="Tabla con cuadrícula29313"/>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5">
    <w:name w:val="Tabla con cuadrícula615"/>
    <w:basedOn w:val="Tablanormal"/>
    <w:next w:val="Tablaconcuadrcula"/>
    <w:rsid w:val="00904BA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5">
    <w:name w:val="Sin lista315"/>
    <w:next w:val="Sinlista"/>
    <w:semiHidden/>
    <w:unhideWhenUsed/>
    <w:rsid w:val="00904BA1"/>
  </w:style>
  <w:style w:type="table" w:customStyle="1" w:styleId="Tablaconcuadrcula18213">
    <w:name w:val="Tabla con cuadrícula18213"/>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3">
    <w:name w:val="Tabla con cuadrícula5113"/>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5">
    <w:name w:val="Sin lista415"/>
    <w:next w:val="Sinlista"/>
    <w:semiHidden/>
    <w:rsid w:val="00904BA1"/>
  </w:style>
  <w:style w:type="numbering" w:customStyle="1" w:styleId="Sinlista515">
    <w:name w:val="Sin lista515"/>
    <w:next w:val="Sinlista"/>
    <w:semiHidden/>
    <w:unhideWhenUsed/>
    <w:rsid w:val="00904BA1"/>
  </w:style>
  <w:style w:type="numbering" w:customStyle="1" w:styleId="Sinlista1215">
    <w:name w:val="Sin lista1215"/>
    <w:next w:val="Sinlista"/>
    <w:semiHidden/>
    <w:rsid w:val="00904BA1"/>
  </w:style>
  <w:style w:type="numbering" w:customStyle="1" w:styleId="Sinlista615">
    <w:name w:val="Sin lista615"/>
    <w:next w:val="Sinlista"/>
    <w:semiHidden/>
    <w:unhideWhenUsed/>
    <w:rsid w:val="00904BA1"/>
  </w:style>
  <w:style w:type="numbering" w:customStyle="1" w:styleId="Sinlista715">
    <w:name w:val="Sin lista715"/>
    <w:next w:val="Sinlista"/>
    <w:semiHidden/>
    <w:unhideWhenUsed/>
    <w:rsid w:val="00904BA1"/>
  </w:style>
  <w:style w:type="table" w:customStyle="1" w:styleId="Tablaconcuadrcula1215">
    <w:name w:val="Tabla con cuadrícula1215"/>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5">
    <w:name w:val="Sin lista815"/>
    <w:next w:val="Sinlista"/>
    <w:semiHidden/>
    <w:unhideWhenUsed/>
    <w:rsid w:val="00904BA1"/>
  </w:style>
  <w:style w:type="numbering" w:customStyle="1" w:styleId="Sinlista915">
    <w:name w:val="Sin lista915"/>
    <w:next w:val="Sinlista"/>
    <w:semiHidden/>
    <w:rsid w:val="00904BA1"/>
  </w:style>
  <w:style w:type="numbering" w:customStyle="1" w:styleId="Sinlista1015">
    <w:name w:val="Sin lista1015"/>
    <w:next w:val="Sinlista"/>
    <w:semiHidden/>
    <w:unhideWhenUsed/>
    <w:rsid w:val="00904BA1"/>
  </w:style>
  <w:style w:type="numbering" w:customStyle="1" w:styleId="Sinlista1315">
    <w:name w:val="Sin lista1315"/>
    <w:next w:val="Sinlista"/>
    <w:semiHidden/>
    <w:rsid w:val="00904BA1"/>
  </w:style>
  <w:style w:type="table" w:customStyle="1" w:styleId="Tablaconcuadrcula5213">
    <w:name w:val="Tabla con cuadrícula5213"/>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5">
    <w:name w:val="Tabla con cuadrícula1515"/>
    <w:basedOn w:val="Tablanormal"/>
    <w:next w:val="Tablaconcuadrcula"/>
    <w:rsid w:val="00904BA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5">
    <w:name w:val="Sin lista1415"/>
    <w:next w:val="Sinlista"/>
    <w:semiHidden/>
    <w:rsid w:val="00904BA1"/>
  </w:style>
  <w:style w:type="numbering" w:customStyle="1" w:styleId="Sinlista1514">
    <w:name w:val="Sin lista1514"/>
    <w:next w:val="Sinlista"/>
    <w:semiHidden/>
    <w:rsid w:val="00904BA1"/>
  </w:style>
  <w:style w:type="numbering" w:customStyle="1" w:styleId="Sinlista1613">
    <w:name w:val="Sin lista1613"/>
    <w:next w:val="Sinlista"/>
    <w:semiHidden/>
    <w:rsid w:val="00904BA1"/>
  </w:style>
  <w:style w:type="table" w:customStyle="1" w:styleId="Tablaconcuadrcula1915">
    <w:name w:val="Tabla con cuadrícula1915"/>
    <w:basedOn w:val="Tablanormal"/>
    <w:next w:val="Tablaconcuadrcula"/>
    <w:rsid w:val="00904BA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13">
    <w:name w:val="Sin lista1713"/>
    <w:next w:val="Sinlista"/>
    <w:semiHidden/>
    <w:rsid w:val="00904BA1"/>
  </w:style>
  <w:style w:type="numbering" w:customStyle="1" w:styleId="Sinlista1813">
    <w:name w:val="Sin lista1813"/>
    <w:next w:val="Sinlista"/>
    <w:semiHidden/>
    <w:rsid w:val="00904BA1"/>
  </w:style>
  <w:style w:type="numbering" w:customStyle="1" w:styleId="11111122">
    <w:name w:val="1 / 1.1 / 1.1.122"/>
    <w:basedOn w:val="Sinlista"/>
    <w:next w:val="111111"/>
    <w:rsid w:val="00904BA1"/>
  </w:style>
  <w:style w:type="numbering" w:customStyle="1" w:styleId="Sinlista1913">
    <w:name w:val="Sin lista1913"/>
    <w:next w:val="Sinlista"/>
    <w:semiHidden/>
    <w:unhideWhenUsed/>
    <w:rsid w:val="00904BA1"/>
  </w:style>
  <w:style w:type="table" w:customStyle="1" w:styleId="Tablaconcuadrcula20713">
    <w:name w:val="Tabla con cuadrícula20713"/>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15">
    <w:name w:val="Tabla con cuadrícula2515"/>
    <w:basedOn w:val="Tablanormal"/>
    <w:next w:val="Tablaconcuadrcula"/>
    <w:rsid w:val="00904BA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5">
    <w:name w:val="Tabla con cuadrícula2615"/>
    <w:basedOn w:val="Tablanormal"/>
    <w:next w:val="Tablaconcuadrcula"/>
    <w:rsid w:val="00904BA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715">
    <w:name w:val="Tabla con cuadrícula2715"/>
    <w:basedOn w:val="Tablanormal"/>
    <w:next w:val="Tablaconcuadrcula"/>
    <w:rsid w:val="00904BA1"/>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13">
    <w:name w:val="Sin lista2013"/>
    <w:next w:val="Sinlista"/>
    <w:semiHidden/>
    <w:rsid w:val="00904BA1"/>
  </w:style>
  <w:style w:type="numbering" w:customStyle="1" w:styleId="Sinlista2113">
    <w:name w:val="Sin lista2113"/>
    <w:next w:val="Sinlista"/>
    <w:semiHidden/>
    <w:rsid w:val="00904BA1"/>
  </w:style>
  <w:style w:type="numbering" w:customStyle="1" w:styleId="Sinlista223">
    <w:name w:val="Sin lista223"/>
    <w:next w:val="Sinlista"/>
    <w:semiHidden/>
    <w:rsid w:val="00904BA1"/>
  </w:style>
  <w:style w:type="numbering" w:customStyle="1" w:styleId="Sinlista233">
    <w:name w:val="Sin lista233"/>
    <w:next w:val="Sinlista"/>
    <w:semiHidden/>
    <w:rsid w:val="00904BA1"/>
  </w:style>
  <w:style w:type="numbering" w:customStyle="1" w:styleId="Sinlista243">
    <w:name w:val="Sin lista243"/>
    <w:next w:val="Sinlista"/>
    <w:semiHidden/>
    <w:rsid w:val="00904BA1"/>
  </w:style>
  <w:style w:type="numbering" w:customStyle="1" w:styleId="Sinlista253">
    <w:name w:val="Sin lista253"/>
    <w:next w:val="Sinlista"/>
    <w:semiHidden/>
    <w:rsid w:val="00904BA1"/>
  </w:style>
  <w:style w:type="numbering" w:customStyle="1" w:styleId="Sinlista263">
    <w:name w:val="Sin lista263"/>
    <w:next w:val="Sinlista"/>
    <w:semiHidden/>
    <w:rsid w:val="00904BA1"/>
  </w:style>
  <w:style w:type="numbering" w:customStyle="1" w:styleId="Sinlista273">
    <w:name w:val="Sin lista273"/>
    <w:next w:val="Sinlista"/>
    <w:semiHidden/>
    <w:rsid w:val="00904BA1"/>
  </w:style>
  <w:style w:type="numbering" w:customStyle="1" w:styleId="Sinlista283">
    <w:name w:val="Sin lista283"/>
    <w:next w:val="Sinlista"/>
    <w:semiHidden/>
    <w:rsid w:val="00904BA1"/>
  </w:style>
  <w:style w:type="numbering" w:customStyle="1" w:styleId="Sinlista293">
    <w:name w:val="Sin lista293"/>
    <w:next w:val="Sinlista"/>
    <w:semiHidden/>
    <w:rsid w:val="00904BA1"/>
  </w:style>
  <w:style w:type="numbering" w:customStyle="1" w:styleId="Sinlista303">
    <w:name w:val="Sin lista303"/>
    <w:next w:val="Sinlista"/>
    <w:semiHidden/>
    <w:rsid w:val="00904BA1"/>
  </w:style>
  <w:style w:type="numbering" w:customStyle="1" w:styleId="Sinlista3113">
    <w:name w:val="Sin lista3113"/>
    <w:next w:val="Sinlista"/>
    <w:semiHidden/>
    <w:rsid w:val="00904BA1"/>
  </w:style>
  <w:style w:type="table" w:customStyle="1" w:styleId="Tablaconcuadrcula6113">
    <w:name w:val="Tabla con cuadrícula6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3">
    <w:name w:val="Sin lista323"/>
    <w:next w:val="Sinlista"/>
    <w:semiHidden/>
    <w:rsid w:val="00904BA1"/>
  </w:style>
  <w:style w:type="numbering" w:customStyle="1" w:styleId="Sinlista333">
    <w:name w:val="Sin lista333"/>
    <w:next w:val="Sinlista"/>
    <w:semiHidden/>
    <w:unhideWhenUsed/>
    <w:rsid w:val="00904BA1"/>
  </w:style>
  <w:style w:type="numbering" w:customStyle="1" w:styleId="Sinlista343">
    <w:name w:val="Sin lista343"/>
    <w:next w:val="Sinlista"/>
    <w:semiHidden/>
    <w:rsid w:val="00904BA1"/>
  </w:style>
  <w:style w:type="numbering" w:customStyle="1" w:styleId="Sinlista353">
    <w:name w:val="Sin lista353"/>
    <w:next w:val="Sinlista"/>
    <w:semiHidden/>
    <w:rsid w:val="00904BA1"/>
  </w:style>
  <w:style w:type="numbering" w:customStyle="1" w:styleId="Sinlista363">
    <w:name w:val="Sin lista363"/>
    <w:next w:val="Sinlista"/>
    <w:semiHidden/>
    <w:rsid w:val="00904BA1"/>
  </w:style>
  <w:style w:type="numbering" w:customStyle="1" w:styleId="Sinlista373">
    <w:name w:val="Sin lista373"/>
    <w:next w:val="Sinlista"/>
    <w:semiHidden/>
    <w:rsid w:val="00904BA1"/>
  </w:style>
  <w:style w:type="numbering" w:customStyle="1" w:styleId="Sinlista383">
    <w:name w:val="Sin lista383"/>
    <w:next w:val="Sinlista"/>
    <w:semiHidden/>
    <w:rsid w:val="00904BA1"/>
  </w:style>
  <w:style w:type="numbering" w:customStyle="1" w:styleId="Sinlista393">
    <w:name w:val="Sin lista393"/>
    <w:next w:val="Sinlista"/>
    <w:semiHidden/>
    <w:rsid w:val="00904BA1"/>
  </w:style>
  <w:style w:type="numbering" w:customStyle="1" w:styleId="Sinlista403">
    <w:name w:val="Sin lista403"/>
    <w:next w:val="Sinlista"/>
    <w:semiHidden/>
    <w:rsid w:val="00904BA1"/>
  </w:style>
  <w:style w:type="numbering" w:customStyle="1" w:styleId="Sinlista4113">
    <w:name w:val="Sin lista4113"/>
    <w:next w:val="Sinlista"/>
    <w:semiHidden/>
    <w:rsid w:val="00904BA1"/>
  </w:style>
  <w:style w:type="numbering" w:customStyle="1" w:styleId="Sinlista423">
    <w:name w:val="Sin lista423"/>
    <w:next w:val="Sinlista"/>
    <w:semiHidden/>
    <w:rsid w:val="00904BA1"/>
  </w:style>
  <w:style w:type="numbering" w:customStyle="1" w:styleId="Sinlista433">
    <w:name w:val="Sin lista433"/>
    <w:next w:val="Sinlista"/>
    <w:semiHidden/>
    <w:rsid w:val="00904BA1"/>
  </w:style>
  <w:style w:type="numbering" w:customStyle="1" w:styleId="Sinlista443">
    <w:name w:val="Sin lista443"/>
    <w:next w:val="Sinlista"/>
    <w:semiHidden/>
    <w:rsid w:val="00904BA1"/>
  </w:style>
  <w:style w:type="numbering" w:customStyle="1" w:styleId="Sinlista453">
    <w:name w:val="Sin lista453"/>
    <w:next w:val="Sinlista"/>
    <w:semiHidden/>
    <w:rsid w:val="00904BA1"/>
  </w:style>
  <w:style w:type="numbering" w:customStyle="1" w:styleId="Sinlista463">
    <w:name w:val="Sin lista463"/>
    <w:next w:val="Sinlista"/>
    <w:semiHidden/>
    <w:rsid w:val="00904BA1"/>
  </w:style>
  <w:style w:type="numbering" w:customStyle="1" w:styleId="Sinlista473">
    <w:name w:val="Sin lista473"/>
    <w:next w:val="Sinlista"/>
    <w:semiHidden/>
    <w:rsid w:val="00904BA1"/>
  </w:style>
  <w:style w:type="numbering" w:customStyle="1" w:styleId="Sinlista483">
    <w:name w:val="Sin lista483"/>
    <w:next w:val="Sinlista"/>
    <w:semiHidden/>
    <w:rsid w:val="00904BA1"/>
  </w:style>
  <w:style w:type="numbering" w:customStyle="1" w:styleId="Sinlista493">
    <w:name w:val="Sin lista493"/>
    <w:next w:val="Sinlista"/>
    <w:semiHidden/>
    <w:rsid w:val="00904BA1"/>
  </w:style>
  <w:style w:type="numbering" w:customStyle="1" w:styleId="Sinlista503">
    <w:name w:val="Sin lista503"/>
    <w:next w:val="Sinlista"/>
    <w:semiHidden/>
    <w:rsid w:val="00904BA1"/>
  </w:style>
  <w:style w:type="numbering" w:customStyle="1" w:styleId="Sinlista5113">
    <w:name w:val="Sin lista5113"/>
    <w:next w:val="Sinlista"/>
    <w:semiHidden/>
    <w:rsid w:val="00904BA1"/>
  </w:style>
  <w:style w:type="numbering" w:customStyle="1" w:styleId="Sinlista523">
    <w:name w:val="Sin lista523"/>
    <w:next w:val="Sinlista"/>
    <w:semiHidden/>
    <w:rsid w:val="00904BA1"/>
  </w:style>
  <w:style w:type="numbering" w:customStyle="1" w:styleId="Sinlista533">
    <w:name w:val="Sin lista533"/>
    <w:next w:val="Sinlista"/>
    <w:semiHidden/>
    <w:rsid w:val="00904BA1"/>
  </w:style>
  <w:style w:type="numbering" w:customStyle="1" w:styleId="Sinlista543">
    <w:name w:val="Sin lista543"/>
    <w:next w:val="Sinlista"/>
    <w:semiHidden/>
    <w:rsid w:val="00904BA1"/>
  </w:style>
  <w:style w:type="numbering" w:customStyle="1" w:styleId="Sinlista553">
    <w:name w:val="Sin lista553"/>
    <w:next w:val="Sinlista"/>
    <w:semiHidden/>
    <w:rsid w:val="00904BA1"/>
  </w:style>
  <w:style w:type="numbering" w:customStyle="1" w:styleId="Sinlista563">
    <w:name w:val="Sin lista563"/>
    <w:next w:val="Sinlista"/>
    <w:semiHidden/>
    <w:rsid w:val="00904BA1"/>
  </w:style>
  <w:style w:type="numbering" w:customStyle="1" w:styleId="Sinlista573">
    <w:name w:val="Sin lista573"/>
    <w:next w:val="Sinlista"/>
    <w:semiHidden/>
    <w:rsid w:val="00904BA1"/>
  </w:style>
  <w:style w:type="numbering" w:customStyle="1" w:styleId="Sinlista583">
    <w:name w:val="Sin lista583"/>
    <w:next w:val="Sinlista"/>
    <w:semiHidden/>
    <w:rsid w:val="00904BA1"/>
  </w:style>
  <w:style w:type="numbering" w:customStyle="1" w:styleId="Sinlista593">
    <w:name w:val="Sin lista593"/>
    <w:next w:val="Sinlista"/>
    <w:semiHidden/>
    <w:rsid w:val="00904BA1"/>
  </w:style>
  <w:style w:type="table" w:customStyle="1" w:styleId="Tablaconcuadrcula11113">
    <w:name w:val="Tabla con cuadrícula11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3">
    <w:name w:val="Sin lista603"/>
    <w:next w:val="Sinlista"/>
    <w:semiHidden/>
    <w:rsid w:val="00904BA1"/>
  </w:style>
  <w:style w:type="numbering" w:customStyle="1" w:styleId="Sinlista6113">
    <w:name w:val="Sin lista6113"/>
    <w:next w:val="Sinlista"/>
    <w:semiHidden/>
    <w:rsid w:val="00904BA1"/>
  </w:style>
  <w:style w:type="numbering" w:customStyle="1" w:styleId="Sinlista623">
    <w:name w:val="Sin lista623"/>
    <w:next w:val="Sinlista"/>
    <w:semiHidden/>
    <w:rsid w:val="00904BA1"/>
  </w:style>
  <w:style w:type="numbering" w:customStyle="1" w:styleId="Sinlista633">
    <w:name w:val="Sin lista633"/>
    <w:next w:val="Sinlista"/>
    <w:semiHidden/>
    <w:rsid w:val="00904BA1"/>
  </w:style>
  <w:style w:type="numbering" w:customStyle="1" w:styleId="Sinlista643">
    <w:name w:val="Sin lista643"/>
    <w:next w:val="Sinlista"/>
    <w:semiHidden/>
    <w:rsid w:val="00904BA1"/>
  </w:style>
  <w:style w:type="numbering" w:customStyle="1" w:styleId="Sinlista653">
    <w:name w:val="Sin lista653"/>
    <w:next w:val="Sinlista"/>
    <w:semiHidden/>
    <w:rsid w:val="00904BA1"/>
  </w:style>
  <w:style w:type="numbering" w:customStyle="1" w:styleId="Sinlista663">
    <w:name w:val="Sin lista663"/>
    <w:next w:val="Sinlista"/>
    <w:semiHidden/>
    <w:rsid w:val="00904BA1"/>
  </w:style>
  <w:style w:type="numbering" w:customStyle="1" w:styleId="Sinlista673">
    <w:name w:val="Sin lista673"/>
    <w:next w:val="Sinlista"/>
    <w:semiHidden/>
    <w:rsid w:val="00904BA1"/>
  </w:style>
  <w:style w:type="numbering" w:customStyle="1" w:styleId="Sinlista683">
    <w:name w:val="Sin lista683"/>
    <w:next w:val="Sinlista"/>
    <w:semiHidden/>
    <w:rsid w:val="00904BA1"/>
  </w:style>
  <w:style w:type="table" w:customStyle="1" w:styleId="Tablaconcuadrcula12113">
    <w:name w:val="Tabla con cuadrícula12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3">
    <w:name w:val="Sin lista693"/>
    <w:next w:val="Sinlista"/>
    <w:semiHidden/>
    <w:rsid w:val="00904BA1"/>
  </w:style>
  <w:style w:type="numbering" w:customStyle="1" w:styleId="Sinlista703">
    <w:name w:val="Sin lista703"/>
    <w:next w:val="Sinlista"/>
    <w:semiHidden/>
    <w:rsid w:val="00904BA1"/>
  </w:style>
  <w:style w:type="numbering" w:customStyle="1" w:styleId="Sinlista7113">
    <w:name w:val="Sin lista7113"/>
    <w:next w:val="Sinlista"/>
    <w:semiHidden/>
    <w:rsid w:val="00904BA1"/>
  </w:style>
  <w:style w:type="numbering" w:customStyle="1" w:styleId="Sinlista723">
    <w:name w:val="Sin lista723"/>
    <w:next w:val="Sinlista"/>
    <w:semiHidden/>
    <w:rsid w:val="00904BA1"/>
  </w:style>
  <w:style w:type="numbering" w:customStyle="1" w:styleId="Sinlista733">
    <w:name w:val="Sin lista733"/>
    <w:next w:val="Sinlista"/>
    <w:semiHidden/>
    <w:rsid w:val="00904BA1"/>
  </w:style>
  <w:style w:type="numbering" w:customStyle="1" w:styleId="Sinlista743">
    <w:name w:val="Sin lista743"/>
    <w:next w:val="Sinlista"/>
    <w:semiHidden/>
    <w:rsid w:val="00904BA1"/>
  </w:style>
  <w:style w:type="numbering" w:customStyle="1" w:styleId="Sinlista753">
    <w:name w:val="Sin lista753"/>
    <w:next w:val="Sinlista"/>
    <w:semiHidden/>
    <w:rsid w:val="00904BA1"/>
  </w:style>
  <w:style w:type="numbering" w:customStyle="1" w:styleId="Sinlista763">
    <w:name w:val="Sin lista763"/>
    <w:next w:val="Sinlista"/>
    <w:semiHidden/>
    <w:rsid w:val="00904BA1"/>
  </w:style>
  <w:style w:type="table" w:customStyle="1" w:styleId="Tablaconcuadrcula51113">
    <w:name w:val="Tabla con cuadrícula51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73">
    <w:name w:val="Sin lista773"/>
    <w:next w:val="Sinlista"/>
    <w:semiHidden/>
    <w:rsid w:val="00904BA1"/>
  </w:style>
  <w:style w:type="table" w:customStyle="1" w:styleId="Tablaconcuadrcula15113">
    <w:name w:val="Tabla con cuadrícula15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83">
    <w:name w:val="Sin lista783"/>
    <w:next w:val="Sinlista"/>
    <w:semiHidden/>
    <w:rsid w:val="00904BA1"/>
  </w:style>
  <w:style w:type="numbering" w:customStyle="1" w:styleId="Sinlista793">
    <w:name w:val="Sin lista793"/>
    <w:next w:val="Sinlista"/>
    <w:semiHidden/>
    <w:rsid w:val="00904BA1"/>
  </w:style>
  <w:style w:type="numbering" w:customStyle="1" w:styleId="Sinlista803">
    <w:name w:val="Sin lista803"/>
    <w:next w:val="Sinlista"/>
    <w:semiHidden/>
    <w:rsid w:val="00904BA1"/>
  </w:style>
  <w:style w:type="numbering" w:customStyle="1" w:styleId="Sinlista8113">
    <w:name w:val="Sin lista8113"/>
    <w:next w:val="Sinlista"/>
    <w:semiHidden/>
    <w:rsid w:val="00904BA1"/>
  </w:style>
  <w:style w:type="numbering" w:customStyle="1" w:styleId="Sinlista823">
    <w:name w:val="Sin lista823"/>
    <w:next w:val="Sinlista"/>
    <w:semiHidden/>
    <w:rsid w:val="00904BA1"/>
  </w:style>
  <w:style w:type="numbering" w:customStyle="1" w:styleId="Sinlista833">
    <w:name w:val="Sin lista833"/>
    <w:next w:val="Sinlista"/>
    <w:semiHidden/>
    <w:rsid w:val="00904BA1"/>
  </w:style>
  <w:style w:type="numbering" w:customStyle="1" w:styleId="Sinlista843">
    <w:name w:val="Sin lista843"/>
    <w:next w:val="Sinlista"/>
    <w:semiHidden/>
    <w:rsid w:val="00904BA1"/>
  </w:style>
  <w:style w:type="numbering" w:customStyle="1" w:styleId="Sinlista853">
    <w:name w:val="Sin lista853"/>
    <w:next w:val="Sinlista"/>
    <w:semiHidden/>
    <w:rsid w:val="00904BA1"/>
  </w:style>
  <w:style w:type="numbering" w:customStyle="1" w:styleId="Sinlista863">
    <w:name w:val="Sin lista863"/>
    <w:next w:val="Sinlista"/>
    <w:semiHidden/>
    <w:rsid w:val="00904BA1"/>
  </w:style>
  <w:style w:type="numbering" w:customStyle="1" w:styleId="Sinlista873">
    <w:name w:val="Sin lista873"/>
    <w:next w:val="Sinlista"/>
    <w:semiHidden/>
    <w:rsid w:val="00904BA1"/>
  </w:style>
  <w:style w:type="numbering" w:customStyle="1" w:styleId="Sinlista883">
    <w:name w:val="Sin lista883"/>
    <w:next w:val="Sinlista"/>
    <w:semiHidden/>
    <w:rsid w:val="00904BA1"/>
  </w:style>
  <w:style w:type="numbering" w:customStyle="1" w:styleId="Sinlista893">
    <w:name w:val="Sin lista893"/>
    <w:next w:val="Sinlista"/>
    <w:semiHidden/>
    <w:rsid w:val="00904BA1"/>
  </w:style>
  <w:style w:type="numbering" w:customStyle="1" w:styleId="Sinlista903">
    <w:name w:val="Sin lista903"/>
    <w:next w:val="Sinlista"/>
    <w:semiHidden/>
    <w:rsid w:val="00904BA1"/>
  </w:style>
  <w:style w:type="numbering" w:customStyle="1" w:styleId="Sinlista9113">
    <w:name w:val="Sin lista9113"/>
    <w:next w:val="Sinlista"/>
    <w:semiHidden/>
    <w:rsid w:val="00904BA1"/>
  </w:style>
  <w:style w:type="numbering" w:customStyle="1" w:styleId="Sinlista923">
    <w:name w:val="Sin lista923"/>
    <w:next w:val="Sinlista"/>
    <w:semiHidden/>
    <w:rsid w:val="00904BA1"/>
  </w:style>
  <w:style w:type="numbering" w:customStyle="1" w:styleId="Sinlista933">
    <w:name w:val="Sin lista933"/>
    <w:next w:val="Sinlista"/>
    <w:semiHidden/>
    <w:rsid w:val="00904BA1"/>
  </w:style>
  <w:style w:type="numbering" w:customStyle="1" w:styleId="Sinlista943">
    <w:name w:val="Sin lista943"/>
    <w:next w:val="Sinlista"/>
    <w:semiHidden/>
    <w:rsid w:val="00904BA1"/>
  </w:style>
  <w:style w:type="numbering" w:customStyle="1" w:styleId="Sinlista953">
    <w:name w:val="Sin lista953"/>
    <w:next w:val="Sinlista"/>
    <w:semiHidden/>
    <w:rsid w:val="00904BA1"/>
  </w:style>
  <w:style w:type="numbering" w:customStyle="1" w:styleId="Sinlista963">
    <w:name w:val="Sin lista963"/>
    <w:next w:val="Sinlista"/>
    <w:semiHidden/>
    <w:rsid w:val="00904BA1"/>
  </w:style>
  <w:style w:type="numbering" w:customStyle="1" w:styleId="Sinlista973">
    <w:name w:val="Sin lista973"/>
    <w:next w:val="Sinlista"/>
    <w:semiHidden/>
    <w:rsid w:val="00904BA1"/>
  </w:style>
  <w:style w:type="numbering" w:customStyle="1" w:styleId="Sinlista983">
    <w:name w:val="Sin lista983"/>
    <w:next w:val="Sinlista"/>
    <w:semiHidden/>
    <w:rsid w:val="00904BA1"/>
  </w:style>
  <w:style w:type="numbering" w:customStyle="1" w:styleId="Sinlista993">
    <w:name w:val="Sin lista993"/>
    <w:next w:val="Sinlista"/>
    <w:semiHidden/>
    <w:rsid w:val="00904BA1"/>
  </w:style>
  <w:style w:type="numbering" w:customStyle="1" w:styleId="Sinlista1003">
    <w:name w:val="Sin lista1003"/>
    <w:next w:val="Sinlista"/>
    <w:semiHidden/>
    <w:rsid w:val="00904BA1"/>
  </w:style>
  <w:style w:type="numbering" w:customStyle="1" w:styleId="Sinlista10113">
    <w:name w:val="Sin lista10113"/>
    <w:next w:val="Sinlista"/>
    <w:semiHidden/>
    <w:rsid w:val="00904BA1"/>
  </w:style>
  <w:style w:type="table" w:customStyle="1" w:styleId="Tablaconcuadrcula19113">
    <w:name w:val="Tabla con cuadrícula19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23">
    <w:name w:val="Sin lista1023"/>
    <w:next w:val="Sinlista"/>
    <w:semiHidden/>
    <w:rsid w:val="00904BA1"/>
  </w:style>
  <w:style w:type="numbering" w:customStyle="1" w:styleId="Sinlista1033">
    <w:name w:val="Sin lista1033"/>
    <w:next w:val="Sinlista"/>
    <w:semiHidden/>
    <w:rsid w:val="00904BA1"/>
  </w:style>
  <w:style w:type="numbering" w:customStyle="1" w:styleId="Sinlista1043">
    <w:name w:val="Sin lista1043"/>
    <w:next w:val="Sinlista"/>
    <w:semiHidden/>
    <w:rsid w:val="00904BA1"/>
  </w:style>
  <w:style w:type="numbering" w:customStyle="1" w:styleId="Sinlista1053">
    <w:name w:val="Sin lista1053"/>
    <w:next w:val="Sinlista"/>
    <w:semiHidden/>
    <w:rsid w:val="00904BA1"/>
  </w:style>
  <w:style w:type="numbering" w:customStyle="1" w:styleId="Sinlista1063">
    <w:name w:val="Sin lista1063"/>
    <w:next w:val="Sinlista"/>
    <w:semiHidden/>
    <w:rsid w:val="00904BA1"/>
  </w:style>
  <w:style w:type="numbering" w:customStyle="1" w:styleId="Sinlista1073">
    <w:name w:val="Sin lista1073"/>
    <w:next w:val="Sinlista"/>
    <w:semiHidden/>
    <w:rsid w:val="00904BA1"/>
  </w:style>
  <w:style w:type="numbering" w:customStyle="1" w:styleId="Sinlista1083">
    <w:name w:val="Sin lista1083"/>
    <w:next w:val="Sinlista"/>
    <w:semiHidden/>
    <w:rsid w:val="00904BA1"/>
  </w:style>
  <w:style w:type="numbering" w:customStyle="1" w:styleId="Sinlista1093">
    <w:name w:val="Sin lista1093"/>
    <w:next w:val="Sinlista"/>
    <w:semiHidden/>
    <w:rsid w:val="00904BA1"/>
  </w:style>
  <w:style w:type="numbering" w:customStyle="1" w:styleId="Sinlista11013">
    <w:name w:val="Sin lista11013"/>
    <w:next w:val="Sinlista"/>
    <w:semiHidden/>
    <w:rsid w:val="00904BA1"/>
  </w:style>
  <w:style w:type="numbering" w:customStyle="1" w:styleId="Sinlista11113">
    <w:name w:val="Sin lista11113"/>
    <w:next w:val="Sinlista"/>
    <w:semiHidden/>
    <w:rsid w:val="00904BA1"/>
  </w:style>
  <w:style w:type="numbering" w:customStyle="1" w:styleId="Sinlista1123">
    <w:name w:val="Sin lista1123"/>
    <w:next w:val="Sinlista"/>
    <w:semiHidden/>
    <w:rsid w:val="00904BA1"/>
  </w:style>
  <w:style w:type="table" w:customStyle="1" w:styleId="Tablaconcuadrcula21113">
    <w:name w:val="Tabla con cuadrícula21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33">
    <w:name w:val="Sin lista1133"/>
    <w:next w:val="Sinlista"/>
    <w:semiHidden/>
    <w:rsid w:val="00904BA1"/>
  </w:style>
  <w:style w:type="numbering" w:customStyle="1" w:styleId="Sinlista1143">
    <w:name w:val="Sin lista1143"/>
    <w:next w:val="Sinlista"/>
    <w:semiHidden/>
    <w:rsid w:val="00904BA1"/>
  </w:style>
  <w:style w:type="numbering" w:customStyle="1" w:styleId="Sinlista1153">
    <w:name w:val="Sin lista1153"/>
    <w:next w:val="Sinlista"/>
    <w:semiHidden/>
    <w:rsid w:val="00904BA1"/>
  </w:style>
  <w:style w:type="numbering" w:customStyle="1" w:styleId="Sinlista1163">
    <w:name w:val="Sin lista1163"/>
    <w:next w:val="Sinlista"/>
    <w:semiHidden/>
    <w:rsid w:val="00904BA1"/>
  </w:style>
  <w:style w:type="numbering" w:customStyle="1" w:styleId="Sinlista1173">
    <w:name w:val="Sin lista1173"/>
    <w:next w:val="Sinlista"/>
    <w:semiHidden/>
    <w:rsid w:val="00904BA1"/>
  </w:style>
  <w:style w:type="numbering" w:customStyle="1" w:styleId="Sinlista1183">
    <w:name w:val="Sin lista1183"/>
    <w:next w:val="Sinlista"/>
    <w:semiHidden/>
    <w:rsid w:val="00904BA1"/>
  </w:style>
  <w:style w:type="numbering" w:customStyle="1" w:styleId="Sinlista1193">
    <w:name w:val="Sin lista1193"/>
    <w:next w:val="Sinlista"/>
    <w:semiHidden/>
    <w:rsid w:val="00904BA1"/>
  </w:style>
  <w:style w:type="table" w:customStyle="1" w:styleId="Tablaconcuadrcula22113">
    <w:name w:val="Tabla con cuadrícula22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03">
    <w:name w:val="Sin lista1203"/>
    <w:next w:val="Sinlista"/>
    <w:semiHidden/>
    <w:rsid w:val="00904BA1"/>
  </w:style>
  <w:style w:type="numbering" w:customStyle="1" w:styleId="Sinlista12113">
    <w:name w:val="Sin lista12113"/>
    <w:next w:val="Sinlista"/>
    <w:semiHidden/>
    <w:rsid w:val="00904BA1"/>
  </w:style>
  <w:style w:type="numbering" w:customStyle="1" w:styleId="Sinlista1223">
    <w:name w:val="Sin lista1223"/>
    <w:next w:val="Sinlista"/>
    <w:semiHidden/>
    <w:rsid w:val="00904BA1"/>
  </w:style>
  <w:style w:type="numbering" w:customStyle="1" w:styleId="Sinlista1233">
    <w:name w:val="Sin lista1233"/>
    <w:next w:val="Sinlista"/>
    <w:semiHidden/>
    <w:rsid w:val="00904BA1"/>
  </w:style>
  <w:style w:type="numbering" w:customStyle="1" w:styleId="Sinlista1243">
    <w:name w:val="Sin lista1243"/>
    <w:next w:val="Sinlista"/>
    <w:semiHidden/>
    <w:rsid w:val="00904BA1"/>
  </w:style>
  <w:style w:type="table" w:customStyle="1" w:styleId="Tablaconcuadrcula23113">
    <w:name w:val="Tabla con cuadrícula23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53">
    <w:name w:val="Sin lista1253"/>
    <w:next w:val="Sinlista"/>
    <w:semiHidden/>
    <w:rsid w:val="00904BA1"/>
  </w:style>
  <w:style w:type="numbering" w:customStyle="1" w:styleId="Sinlista1263">
    <w:name w:val="Sin lista1263"/>
    <w:next w:val="Sinlista"/>
    <w:semiHidden/>
    <w:rsid w:val="00904BA1"/>
  </w:style>
  <w:style w:type="numbering" w:customStyle="1" w:styleId="Sinlista1273">
    <w:name w:val="Sin lista1273"/>
    <w:next w:val="Sinlista"/>
    <w:semiHidden/>
    <w:rsid w:val="00904BA1"/>
  </w:style>
  <w:style w:type="numbering" w:customStyle="1" w:styleId="Sinlista1283">
    <w:name w:val="Sin lista1283"/>
    <w:next w:val="Sinlista"/>
    <w:semiHidden/>
    <w:rsid w:val="00904BA1"/>
  </w:style>
  <w:style w:type="numbering" w:customStyle="1" w:styleId="Sinlista1293">
    <w:name w:val="Sin lista1293"/>
    <w:next w:val="Sinlista"/>
    <w:semiHidden/>
    <w:rsid w:val="00904BA1"/>
  </w:style>
  <w:style w:type="numbering" w:customStyle="1" w:styleId="Sinlista1303">
    <w:name w:val="Sin lista1303"/>
    <w:next w:val="Sinlista"/>
    <w:semiHidden/>
    <w:rsid w:val="00904BA1"/>
  </w:style>
  <w:style w:type="numbering" w:customStyle="1" w:styleId="Sinlista13113">
    <w:name w:val="Sin lista13113"/>
    <w:next w:val="Sinlista"/>
    <w:semiHidden/>
    <w:rsid w:val="00904BA1"/>
  </w:style>
  <w:style w:type="numbering" w:customStyle="1" w:styleId="Sinlista1323">
    <w:name w:val="Sin lista1323"/>
    <w:next w:val="Sinlista"/>
    <w:semiHidden/>
    <w:rsid w:val="00904BA1"/>
  </w:style>
  <w:style w:type="numbering" w:customStyle="1" w:styleId="Sinlista1333">
    <w:name w:val="Sin lista1333"/>
    <w:next w:val="Sinlista"/>
    <w:semiHidden/>
    <w:rsid w:val="00904BA1"/>
  </w:style>
  <w:style w:type="numbering" w:customStyle="1" w:styleId="Sinlista1343">
    <w:name w:val="Sin lista1343"/>
    <w:next w:val="Sinlista"/>
    <w:semiHidden/>
    <w:rsid w:val="00904BA1"/>
  </w:style>
  <w:style w:type="numbering" w:customStyle="1" w:styleId="Sinlista1353">
    <w:name w:val="Sin lista1353"/>
    <w:next w:val="Sinlista"/>
    <w:semiHidden/>
    <w:rsid w:val="00904BA1"/>
  </w:style>
  <w:style w:type="numbering" w:customStyle="1" w:styleId="Sinlista1363">
    <w:name w:val="Sin lista1363"/>
    <w:next w:val="Sinlista"/>
    <w:semiHidden/>
    <w:rsid w:val="00904BA1"/>
  </w:style>
  <w:style w:type="numbering" w:customStyle="1" w:styleId="Sinlista1373">
    <w:name w:val="Sin lista1373"/>
    <w:next w:val="Sinlista"/>
    <w:semiHidden/>
    <w:rsid w:val="00904BA1"/>
  </w:style>
  <w:style w:type="table" w:customStyle="1" w:styleId="Tablaconcuadrcula25113">
    <w:name w:val="Tabla con cuadrícula25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83">
    <w:name w:val="Sin lista1383"/>
    <w:next w:val="Sinlista"/>
    <w:semiHidden/>
    <w:rsid w:val="00904BA1"/>
  </w:style>
  <w:style w:type="numbering" w:customStyle="1" w:styleId="Sinlista1393">
    <w:name w:val="Sin lista1393"/>
    <w:next w:val="Sinlista"/>
    <w:semiHidden/>
    <w:rsid w:val="00904BA1"/>
  </w:style>
  <w:style w:type="numbering" w:customStyle="1" w:styleId="Sinlista1403">
    <w:name w:val="Sin lista1403"/>
    <w:next w:val="Sinlista"/>
    <w:semiHidden/>
    <w:rsid w:val="00904BA1"/>
  </w:style>
  <w:style w:type="numbering" w:customStyle="1" w:styleId="Sinlista14113">
    <w:name w:val="Sin lista14113"/>
    <w:next w:val="Sinlista"/>
    <w:semiHidden/>
    <w:rsid w:val="00904BA1"/>
  </w:style>
  <w:style w:type="numbering" w:customStyle="1" w:styleId="Sinlista1423">
    <w:name w:val="Sin lista1423"/>
    <w:next w:val="Sinlista"/>
    <w:semiHidden/>
    <w:rsid w:val="00904BA1"/>
  </w:style>
  <w:style w:type="numbering" w:customStyle="1" w:styleId="Sinlista1433">
    <w:name w:val="Sin lista1433"/>
    <w:next w:val="Sinlista"/>
    <w:semiHidden/>
    <w:rsid w:val="00904BA1"/>
  </w:style>
  <w:style w:type="table" w:customStyle="1" w:styleId="Tablaconcuadrcula26113">
    <w:name w:val="Tabla con cuadrícula26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43">
    <w:name w:val="Sin lista1443"/>
    <w:next w:val="Sinlista"/>
    <w:semiHidden/>
    <w:rsid w:val="00904BA1"/>
  </w:style>
  <w:style w:type="numbering" w:customStyle="1" w:styleId="Sinlista1453">
    <w:name w:val="Sin lista1453"/>
    <w:next w:val="Sinlista"/>
    <w:semiHidden/>
    <w:rsid w:val="00904BA1"/>
  </w:style>
  <w:style w:type="numbering" w:customStyle="1" w:styleId="Sinlista1463">
    <w:name w:val="Sin lista1463"/>
    <w:next w:val="Sinlista"/>
    <w:semiHidden/>
    <w:rsid w:val="00904BA1"/>
  </w:style>
  <w:style w:type="numbering" w:customStyle="1" w:styleId="Sinlista1473">
    <w:name w:val="Sin lista1473"/>
    <w:next w:val="Sinlista"/>
    <w:semiHidden/>
    <w:rsid w:val="00904BA1"/>
  </w:style>
  <w:style w:type="table" w:customStyle="1" w:styleId="Tablaconcuadrcula27113">
    <w:name w:val="Tabla con cuadrícula27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83">
    <w:name w:val="Sin lista1483"/>
    <w:next w:val="Sinlista"/>
    <w:semiHidden/>
    <w:rsid w:val="00904BA1"/>
  </w:style>
  <w:style w:type="numbering" w:customStyle="1" w:styleId="Sinlista1493">
    <w:name w:val="Sin lista1493"/>
    <w:next w:val="Sinlista"/>
    <w:semiHidden/>
    <w:rsid w:val="00904BA1"/>
  </w:style>
  <w:style w:type="numbering" w:customStyle="1" w:styleId="Sinlista1503">
    <w:name w:val="Sin lista1503"/>
    <w:next w:val="Sinlista"/>
    <w:semiHidden/>
    <w:rsid w:val="00904BA1"/>
  </w:style>
  <w:style w:type="numbering" w:customStyle="1" w:styleId="Sinlista15113">
    <w:name w:val="Sin lista15113"/>
    <w:next w:val="Sinlista"/>
    <w:semiHidden/>
    <w:rsid w:val="00904BA1"/>
  </w:style>
  <w:style w:type="numbering" w:customStyle="1" w:styleId="Sinlista1523">
    <w:name w:val="Sin lista1523"/>
    <w:next w:val="Sinlista"/>
    <w:semiHidden/>
    <w:rsid w:val="00904BA1"/>
  </w:style>
  <w:style w:type="numbering" w:customStyle="1" w:styleId="Sinlista1533">
    <w:name w:val="Sin lista1533"/>
    <w:next w:val="Sinlista"/>
    <w:semiHidden/>
    <w:rsid w:val="00904BA1"/>
  </w:style>
  <w:style w:type="numbering" w:customStyle="1" w:styleId="Sinlista1543">
    <w:name w:val="Sin lista1543"/>
    <w:next w:val="Sinlista"/>
    <w:semiHidden/>
    <w:rsid w:val="00904BA1"/>
  </w:style>
  <w:style w:type="numbering" w:customStyle="1" w:styleId="Sinlista1553">
    <w:name w:val="Sin lista1553"/>
    <w:next w:val="Sinlista"/>
    <w:semiHidden/>
    <w:rsid w:val="00904BA1"/>
  </w:style>
  <w:style w:type="numbering" w:customStyle="1" w:styleId="111111121">
    <w:name w:val="1 / 1.1 / 1.1.1121"/>
    <w:basedOn w:val="Sinlista"/>
    <w:next w:val="111111"/>
    <w:rsid w:val="00904BA1"/>
  </w:style>
  <w:style w:type="numbering" w:customStyle="1" w:styleId="111111211">
    <w:name w:val="1 / 1.1 / 1.1.1211"/>
    <w:basedOn w:val="Sinlista"/>
    <w:next w:val="111111"/>
    <w:rsid w:val="00904BA1"/>
    <w:pPr>
      <w:numPr>
        <w:numId w:val="10"/>
      </w:numPr>
    </w:pPr>
  </w:style>
  <w:style w:type="table" w:customStyle="1" w:styleId="Tablaconcuadrcula11011">
    <w:name w:val="Tabla con cuadrícula11011"/>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
    <w:name w:val="1 / 1.1 / 1.1.114"/>
    <w:basedOn w:val="Sinlista"/>
    <w:next w:val="111111"/>
    <w:rsid w:val="00904BA1"/>
    <w:pPr>
      <w:numPr>
        <w:numId w:val="5"/>
      </w:numPr>
    </w:pPr>
  </w:style>
  <w:style w:type="numbering" w:customStyle="1" w:styleId="111111112">
    <w:name w:val="1 / 1.1 / 1.1.1112"/>
    <w:basedOn w:val="Sinlista"/>
    <w:next w:val="111111"/>
    <w:rsid w:val="00904BA1"/>
  </w:style>
  <w:style w:type="table" w:customStyle="1" w:styleId="Tablaconcuadrcula2541">
    <w:name w:val="Tabla con cuadrícula2541"/>
    <w:basedOn w:val="Tablanormal"/>
    <w:next w:val="Tablaconcuadrcula"/>
    <w:rsid w:val="00904BA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6">
    <w:name w:val="Tabla con cuadrícula2616"/>
    <w:basedOn w:val="Tablanormal"/>
    <w:next w:val="Tablaconcuadrcula"/>
    <w:rsid w:val="00904BA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111">
    <w:name w:val="1 / 1.1 / 1.1.11111"/>
    <w:basedOn w:val="Sinlista"/>
    <w:next w:val="111111"/>
    <w:rsid w:val="00904BA1"/>
    <w:pPr>
      <w:numPr>
        <w:numId w:val="7"/>
      </w:numPr>
    </w:pPr>
  </w:style>
  <w:style w:type="table" w:customStyle="1" w:styleId="Tablaconcuadrcula2716">
    <w:name w:val="Tabla con cuadrícula2716"/>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0111">
    <w:name w:val="Tabla con cuadrícula110111"/>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23">
    <w:name w:val="1 / 1.1 / 1.1.123"/>
    <w:basedOn w:val="Sinlista"/>
    <w:next w:val="111111"/>
    <w:rsid w:val="00904BA1"/>
  </w:style>
  <w:style w:type="table" w:customStyle="1" w:styleId="Tablaconcuadrcula25411">
    <w:name w:val="Tabla con cuadrícula25411"/>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22">
    <w:name w:val="1 / 1.1 / 1.1.1122"/>
    <w:basedOn w:val="Sinlista"/>
    <w:next w:val="111111"/>
    <w:rsid w:val="00904BA1"/>
    <w:pPr>
      <w:numPr>
        <w:numId w:val="4"/>
      </w:numPr>
    </w:pPr>
  </w:style>
  <w:style w:type="numbering" w:customStyle="1" w:styleId="111111212">
    <w:name w:val="1 / 1.1 / 1.1.1212"/>
    <w:basedOn w:val="Sinlista"/>
    <w:next w:val="111111"/>
    <w:rsid w:val="00904BA1"/>
    <w:pPr>
      <w:numPr>
        <w:numId w:val="6"/>
      </w:numPr>
    </w:pPr>
  </w:style>
  <w:style w:type="numbering" w:customStyle="1" w:styleId="Sinlista166">
    <w:name w:val="Sin lista166"/>
    <w:next w:val="Sinlista"/>
    <w:semiHidden/>
    <w:rsid w:val="0018011E"/>
  </w:style>
  <w:style w:type="table" w:customStyle="1" w:styleId="Tablaconcuadrcula287">
    <w:name w:val="Tabla con cuadrícula287"/>
    <w:basedOn w:val="Tablanormal"/>
    <w:next w:val="Tablaconcuadrcula"/>
    <w:rsid w:val="00AE34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8">
    <w:name w:val="Tabla con cuadrícula288"/>
    <w:basedOn w:val="Tablanormal"/>
    <w:next w:val="Tablaconcuadrcula"/>
    <w:rsid w:val="00B213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67">
    <w:name w:val="Sin lista167"/>
    <w:next w:val="Sinlista"/>
    <w:semiHidden/>
    <w:rsid w:val="0018317D"/>
  </w:style>
  <w:style w:type="table" w:customStyle="1" w:styleId="Tablaconcuadrcula289">
    <w:name w:val="Tabla con cuadrícula289"/>
    <w:basedOn w:val="Tablanormal"/>
    <w:next w:val="Tablaconcuadrcula"/>
    <w:rsid w:val="0018317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0">
    <w:name w:val="Tabla con cuadrícula290"/>
    <w:basedOn w:val="Tablanormal"/>
    <w:next w:val="Tablaconcuadrcula"/>
    <w:rsid w:val="003B135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1">
    <w:name w:val="Tabla con cuadrícula291"/>
    <w:basedOn w:val="Tablanormal"/>
    <w:next w:val="Tablaconcuadrcula"/>
    <w:rsid w:val="003B135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2">
    <w:name w:val="Tabla con cuadrícula292"/>
    <w:basedOn w:val="Tablanormal"/>
    <w:next w:val="Tablaconcuadrcula"/>
    <w:rsid w:val="00E5256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4">
    <w:name w:val="Tabla con cuadrícula294"/>
    <w:basedOn w:val="Tablanormal"/>
    <w:next w:val="Tablaconcuadrcula"/>
    <w:rsid w:val="005106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68">
    <w:name w:val="Sin lista168"/>
    <w:next w:val="Sinlista"/>
    <w:semiHidden/>
    <w:rsid w:val="00BA1038"/>
  </w:style>
  <w:style w:type="table" w:customStyle="1" w:styleId="Tablaconcuadrcula295">
    <w:name w:val="Tabla con cuadrícula295"/>
    <w:basedOn w:val="Tablanormal"/>
    <w:next w:val="Tablaconcuadrcula"/>
    <w:rsid w:val="00BA103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69">
    <w:name w:val="Sin lista169"/>
    <w:next w:val="Sinlista"/>
    <w:semiHidden/>
    <w:rsid w:val="00242136"/>
  </w:style>
  <w:style w:type="table" w:customStyle="1" w:styleId="Tablaconcuadrcula296">
    <w:name w:val="Tabla con cuadrícula296"/>
    <w:basedOn w:val="Tablanormal"/>
    <w:next w:val="Tablaconcuadrcula"/>
    <w:rsid w:val="0024213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60">
    <w:name w:val="Tabla con cuadrícula 136"/>
    <w:basedOn w:val="Tablanormal"/>
    <w:next w:val="Tablaconcuadrcula10"/>
    <w:rsid w:val="00C661FB"/>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97">
    <w:name w:val="Tabla con cuadrícula297"/>
    <w:basedOn w:val="Tablanormal"/>
    <w:next w:val="Tablaconcuadrcula"/>
    <w:rsid w:val="0017706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8">
    <w:name w:val="Tabla con cuadrícula298"/>
    <w:basedOn w:val="Tablanormal"/>
    <w:next w:val="Tablaconcuadrcula"/>
    <w:rsid w:val="000220B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70">
    <w:name w:val="Sin lista170"/>
    <w:next w:val="Sinlista"/>
    <w:semiHidden/>
    <w:rsid w:val="009A0A04"/>
  </w:style>
  <w:style w:type="numbering" w:customStyle="1" w:styleId="Sinlista174">
    <w:name w:val="Sin lista174"/>
    <w:next w:val="Sinlista"/>
    <w:semiHidden/>
    <w:rsid w:val="00FB3E5B"/>
  </w:style>
  <w:style w:type="table" w:customStyle="1" w:styleId="Tablaconcuadrcula299">
    <w:name w:val="Tabla con cuadrícula299"/>
    <w:basedOn w:val="Tablanormal"/>
    <w:next w:val="Tablaconcuadrcula"/>
    <w:rsid w:val="00FB3E5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75">
    <w:name w:val="Sin lista175"/>
    <w:next w:val="Sinlista"/>
    <w:semiHidden/>
    <w:rsid w:val="00653B9E"/>
  </w:style>
  <w:style w:type="paragraph" w:customStyle="1" w:styleId="titpuntos">
    <w:name w:val="tit_puntos"/>
    <w:basedOn w:val="Normal"/>
    <w:uiPriority w:val="99"/>
    <w:rsid w:val="00653B9E"/>
    <w:pPr>
      <w:spacing w:before="100" w:beforeAutospacing="1" w:after="100" w:afterAutospacing="1"/>
    </w:pPr>
    <w:rPr>
      <w:rFonts w:eastAsia="Times New Roman"/>
      <w:lang w:val="es-ES"/>
    </w:rPr>
  </w:style>
  <w:style w:type="table" w:customStyle="1" w:styleId="Tablaconcuadrcula300">
    <w:name w:val="Tabla con cuadrícula300"/>
    <w:basedOn w:val="Tablanormal"/>
    <w:next w:val="Tablaconcuadrcula"/>
    <w:rsid w:val="00420A1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70">
    <w:name w:val="Tabla con cuadrícula 137"/>
    <w:basedOn w:val="Tablanormal"/>
    <w:next w:val="Tablaconcuadrcula10"/>
    <w:rsid w:val="00C47FEE"/>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01">
    <w:name w:val="Tabla con cuadrícula301"/>
    <w:basedOn w:val="Tablanormal"/>
    <w:next w:val="Tablaconcuadrcula"/>
    <w:rsid w:val="0011108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76">
    <w:name w:val="Sin lista176"/>
    <w:next w:val="Sinlista"/>
    <w:semiHidden/>
    <w:rsid w:val="00C05CDD"/>
  </w:style>
  <w:style w:type="numbering" w:customStyle="1" w:styleId="Sinlista177">
    <w:name w:val="Sin lista177"/>
    <w:next w:val="Sinlista"/>
    <w:semiHidden/>
    <w:rsid w:val="00961703"/>
  </w:style>
  <w:style w:type="paragraph" w:styleId="TDC2">
    <w:name w:val="toc 2"/>
    <w:basedOn w:val="Normal"/>
    <w:next w:val="Normal"/>
    <w:autoRedefine/>
    <w:uiPriority w:val="99"/>
    <w:rsid w:val="006626D3"/>
    <w:pPr>
      <w:tabs>
        <w:tab w:val="left" w:pos="660"/>
        <w:tab w:val="right" w:leader="dot" w:pos="8494"/>
      </w:tabs>
      <w:spacing w:before="60"/>
      <w:ind w:left="709" w:hanging="709"/>
      <w:jc w:val="both"/>
    </w:pPr>
    <w:rPr>
      <w:rFonts w:ascii="Arial" w:eastAsia="Times New Roman" w:hAnsi="Arial"/>
      <w:sz w:val="22"/>
      <w:lang w:val="es-ES"/>
    </w:rPr>
  </w:style>
  <w:style w:type="paragraph" w:styleId="TDC1">
    <w:name w:val="toc 1"/>
    <w:basedOn w:val="Normal"/>
    <w:next w:val="Normal"/>
    <w:autoRedefine/>
    <w:uiPriority w:val="99"/>
    <w:rsid w:val="006626D3"/>
    <w:pPr>
      <w:spacing w:before="240"/>
      <w:jc w:val="both"/>
    </w:pPr>
    <w:rPr>
      <w:rFonts w:ascii="Arial" w:eastAsia="Times New Roman" w:hAnsi="Arial"/>
      <w:b/>
      <w:sz w:val="22"/>
      <w:lang w:val="es-ES"/>
    </w:rPr>
  </w:style>
  <w:style w:type="paragraph" w:styleId="TDC3">
    <w:name w:val="toc 3"/>
    <w:basedOn w:val="Normal"/>
    <w:next w:val="Normal"/>
    <w:autoRedefine/>
    <w:uiPriority w:val="99"/>
    <w:rsid w:val="006626D3"/>
    <w:pPr>
      <w:jc w:val="both"/>
    </w:pPr>
    <w:rPr>
      <w:rFonts w:ascii="Arial" w:eastAsia="Times New Roman" w:hAnsi="Arial"/>
      <w:sz w:val="22"/>
      <w:lang w:val="es-ES"/>
    </w:rPr>
  </w:style>
  <w:style w:type="paragraph" w:customStyle="1" w:styleId="EstiloTtulo214pt">
    <w:name w:val="Estilo Título 2 + 14 pt"/>
    <w:basedOn w:val="Ttulo2"/>
    <w:uiPriority w:val="99"/>
    <w:rsid w:val="006626D3"/>
    <w:pPr>
      <w:tabs>
        <w:tab w:val="num" w:pos="709"/>
      </w:tabs>
      <w:spacing w:after="240"/>
      <w:ind w:left="709" w:hanging="709"/>
      <w:jc w:val="both"/>
    </w:pPr>
    <w:rPr>
      <w:rFonts w:ascii="Arial" w:eastAsia="Times New Roman" w:hAnsi="Arial" w:cs="Arial"/>
      <w:sz w:val="28"/>
      <w:szCs w:val="22"/>
    </w:rPr>
  </w:style>
  <w:style w:type="numbering" w:customStyle="1" w:styleId="Sinlista178">
    <w:name w:val="Sin lista178"/>
    <w:next w:val="Sinlista"/>
    <w:semiHidden/>
    <w:rsid w:val="00D92F23"/>
  </w:style>
  <w:style w:type="table" w:customStyle="1" w:styleId="Tablaconcuadrcula302">
    <w:name w:val="Tabla con cuadrícula302"/>
    <w:basedOn w:val="Tablanormal"/>
    <w:next w:val="Tablaconcuadrcula"/>
    <w:rsid w:val="00D92F2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79">
    <w:name w:val="Sin lista179"/>
    <w:next w:val="Sinlista"/>
    <w:semiHidden/>
    <w:rsid w:val="006A7FF5"/>
  </w:style>
  <w:style w:type="numbering" w:customStyle="1" w:styleId="Sinlista180">
    <w:name w:val="Sin lista180"/>
    <w:next w:val="Sinlista"/>
    <w:semiHidden/>
    <w:rsid w:val="00F03841"/>
  </w:style>
  <w:style w:type="paragraph" w:customStyle="1" w:styleId="Style50">
    <w:name w:val="Style 5"/>
    <w:basedOn w:val="Normal"/>
    <w:uiPriority w:val="99"/>
    <w:rsid w:val="00F03841"/>
    <w:pPr>
      <w:widowControl w:val="0"/>
      <w:spacing w:before="252"/>
      <w:jc w:val="both"/>
    </w:pPr>
    <w:rPr>
      <w:rFonts w:eastAsia="Times New Roman"/>
      <w:sz w:val="22"/>
      <w:szCs w:val="22"/>
      <w:lang w:val="en-US"/>
    </w:rPr>
  </w:style>
  <w:style w:type="paragraph" w:customStyle="1" w:styleId="Style6">
    <w:name w:val="Style 6"/>
    <w:basedOn w:val="Normal"/>
    <w:uiPriority w:val="99"/>
    <w:rsid w:val="00F03841"/>
    <w:pPr>
      <w:widowControl w:val="0"/>
    </w:pPr>
    <w:rPr>
      <w:rFonts w:eastAsia="Times New Roman"/>
      <w:sz w:val="6"/>
      <w:szCs w:val="6"/>
      <w:lang w:val="en-US"/>
    </w:rPr>
  </w:style>
  <w:style w:type="paragraph" w:customStyle="1" w:styleId="Style4">
    <w:name w:val="Style 4"/>
    <w:basedOn w:val="Normal"/>
    <w:uiPriority w:val="99"/>
    <w:rsid w:val="00F03841"/>
    <w:pPr>
      <w:widowControl w:val="0"/>
    </w:pPr>
    <w:rPr>
      <w:rFonts w:eastAsia="Times New Roman"/>
      <w:sz w:val="20"/>
      <w:szCs w:val="20"/>
      <w:lang w:val="en-US"/>
    </w:rPr>
  </w:style>
  <w:style w:type="paragraph" w:customStyle="1" w:styleId="Style3">
    <w:name w:val="Style 3"/>
    <w:basedOn w:val="Normal"/>
    <w:uiPriority w:val="99"/>
    <w:rsid w:val="00F03841"/>
    <w:pPr>
      <w:widowControl w:val="0"/>
      <w:ind w:left="72"/>
      <w:jc w:val="both"/>
    </w:pPr>
    <w:rPr>
      <w:rFonts w:eastAsia="Times New Roman"/>
      <w:lang w:val="en-US"/>
    </w:rPr>
  </w:style>
  <w:style w:type="paragraph" w:customStyle="1" w:styleId="Style2">
    <w:name w:val="Style 2"/>
    <w:basedOn w:val="Normal"/>
    <w:uiPriority w:val="99"/>
    <w:rsid w:val="00F03841"/>
    <w:pPr>
      <w:widowControl w:val="0"/>
    </w:pPr>
    <w:rPr>
      <w:rFonts w:eastAsia="Times New Roman"/>
      <w:lang w:val="en-US"/>
    </w:rPr>
  </w:style>
  <w:style w:type="paragraph" w:customStyle="1" w:styleId="Style21">
    <w:name w:val="Style 21"/>
    <w:basedOn w:val="Normal"/>
    <w:uiPriority w:val="99"/>
    <w:rsid w:val="00F03841"/>
    <w:pPr>
      <w:widowControl w:val="0"/>
      <w:spacing w:line="96" w:lineRule="exact"/>
    </w:pPr>
    <w:rPr>
      <w:rFonts w:eastAsia="Times New Roman"/>
      <w:lang w:val="en-US"/>
    </w:rPr>
  </w:style>
  <w:style w:type="character" w:customStyle="1" w:styleId="CharacterStyle1">
    <w:name w:val="Character Style 1"/>
    <w:uiPriority w:val="99"/>
    <w:rsid w:val="00F03841"/>
    <w:rPr>
      <w:rFonts w:ascii="Times New Roman" w:hAnsi="Times New Roman" w:cs="Times New Roman"/>
      <w:sz w:val="22"/>
      <w:szCs w:val="22"/>
    </w:rPr>
  </w:style>
  <w:style w:type="character" w:customStyle="1" w:styleId="CharacterStyle17">
    <w:name w:val="Character Style 17"/>
    <w:uiPriority w:val="99"/>
    <w:rsid w:val="00F03841"/>
    <w:rPr>
      <w:rFonts w:ascii="Times New Roman" w:hAnsi="Times New Roman" w:cs="Times New Roman"/>
      <w:sz w:val="6"/>
      <w:szCs w:val="6"/>
    </w:rPr>
  </w:style>
  <w:style w:type="character" w:customStyle="1" w:styleId="CharacterStyle19">
    <w:name w:val="Character Style 19"/>
    <w:rsid w:val="00F03841"/>
    <w:rPr>
      <w:rFonts w:ascii="Times New Roman" w:hAnsi="Times New Roman" w:cs="Times New Roman"/>
      <w:sz w:val="20"/>
      <w:szCs w:val="20"/>
    </w:rPr>
  </w:style>
  <w:style w:type="character" w:customStyle="1" w:styleId="CharacterStyle3">
    <w:name w:val="Character Style 3"/>
    <w:uiPriority w:val="99"/>
    <w:rsid w:val="00F03841"/>
    <w:rPr>
      <w:rFonts w:ascii="Times New Roman" w:hAnsi="Times New Roman" w:cs="Times New Roman"/>
      <w:sz w:val="20"/>
      <w:szCs w:val="20"/>
    </w:rPr>
  </w:style>
  <w:style w:type="character" w:customStyle="1" w:styleId="CharacterStyle10">
    <w:name w:val="Character Style 10"/>
    <w:uiPriority w:val="99"/>
    <w:rsid w:val="00F03841"/>
    <w:rPr>
      <w:rFonts w:ascii="Times New Roman" w:hAnsi="Times New Roman" w:cs="Times New Roman"/>
      <w:b/>
      <w:sz w:val="20"/>
      <w:szCs w:val="20"/>
    </w:rPr>
  </w:style>
  <w:style w:type="character" w:customStyle="1" w:styleId="CharacterStyle23">
    <w:name w:val="Character Style 23"/>
    <w:uiPriority w:val="99"/>
    <w:rsid w:val="00F03841"/>
    <w:rPr>
      <w:rFonts w:ascii="Times New Roman" w:hAnsi="Times New Roman" w:cs="Times New Roman"/>
      <w:sz w:val="18"/>
      <w:szCs w:val="18"/>
    </w:rPr>
  </w:style>
  <w:style w:type="table" w:customStyle="1" w:styleId="Tablaconcuadrcula303">
    <w:name w:val="Tabla con cuadrícula303"/>
    <w:basedOn w:val="Tablanormal"/>
    <w:next w:val="Tablaconcuadrcula"/>
    <w:rsid w:val="00F03841"/>
    <w:pPr>
      <w:widowControl w:val="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84">
    <w:name w:val="Sin lista184"/>
    <w:next w:val="Sinlista"/>
    <w:semiHidden/>
    <w:rsid w:val="003F78D9"/>
  </w:style>
  <w:style w:type="table" w:customStyle="1" w:styleId="Tablaconcuadrcula304">
    <w:name w:val="Tabla con cuadrícula304"/>
    <w:basedOn w:val="Tablanormal"/>
    <w:next w:val="Tablaconcuadrcula"/>
    <w:rsid w:val="00E0199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05">
    <w:name w:val="Tabla con cuadrícula305"/>
    <w:basedOn w:val="Tablanormal"/>
    <w:next w:val="Tablaconcuadrcula"/>
    <w:rsid w:val="00B30E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06">
    <w:name w:val="Tabla con cuadrícula306"/>
    <w:basedOn w:val="Tablanormal"/>
    <w:next w:val="Tablaconcuadrcula"/>
    <w:rsid w:val="007222B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85">
    <w:name w:val="Sin lista185"/>
    <w:next w:val="Sinlista"/>
    <w:semiHidden/>
    <w:rsid w:val="009C3B05"/>
  </w:style>
  <w:style w:type="numbering" w:customStyle="1" w:styleId="Sinlista186">
    <w:name w:val="Sin lista186"/>
    <w:next w:val="Sinlista"/>
    <w:semiHidden/>
    <w:rsid w:val="000A562F"/>
  </w:style>
  <w:style w:type="character" w:customStyle="1" w:styleId="Ttulo4Car">
    <w:name w:val="Título 4 Car"/>
    <w:aliases w:val="num.                                               4 Car"/>
    <w:basedOn w:val="Fuentedeprrafopredeter"/>
    <w:link w:val="Ttulo4"/>
    <w:uiPriority w:val="9"/>
    <w:locked/>
    <w:rsid w:val="000A562F"/>
    <w:rPr>
      <w:rFonts w:eastAsia="SimSun"/>
      <w:b/>
      <w:bCs/>
      <w:caps/>
      <w:sz w:val="18"/>
      <w:szCs w:val="26"/>
      <w:lang w:val="es-ES" w:eastAsia="es-ES" w:bidi="ar-SA"/>
    </w:rPr>
  </w:style>
  <w:style w:type="character" w:customStyle="1" w:styleId="Ttulo5Car">
    <w:name w:val="Título 5 Car"/>
    <w:aliases w:val="num.                                       5 Car"/>
    <w:basedOn w:val="Fuentedeprrafopredeter"/>
    <w:link w:val="Ttulo5"/>
    <w:uiPriority w:val="9"/>
    <w:locked/>
    <w:rsid w:val="000A562F"/>
    <w:rPr>
      <w:rFonts w:eastAsia="SimSun"/>
      <w:b/>
      <w:bCs/>
      <w:szCs w:val="22"/>
      <w:lang w:val="es-ES" w:eastAsia="es-ES" w:bidi="ar-SA"/>
    </w:rPr>
  </w:style>
  <w:style w:type="character" w:customStyle="1" w:styleId="CarCar">
    <w:name w:val="Car Car"/>
    <w:basedOn w:val="Fuentedeprrafopredeter"/>
    <w:locked/>
    <w:rsid w:val="000A562F"/>
    <w:rPr>
      <w:lang w:val="es-ES" w:eastAsia="es-ES" w:bidi="ar-SA"/>
    </w:rPr>
  </w:style>
  <w:style w:type="character" w:customStyle="1" w:styleId="parasmallboldcolourtext1">
    <w:name w:val="parasmallboldcolourtext1"/>
    <w:basedOn w:val="Fuentedeprrafopredeter"/>
    <w:rsid w:val="000A562F"/>
    <w:rPr>
      <w:b/>
      <w:bCs/>
      <w:color w:val="0080FF"/>
      <w:sz w:val="16"/>
      <w:szCs w:val="16"/>
    </w:rPr>
  </w:style>
  <w:style w:type="character" w:customStyle="1" w:styleId="paranormaltext1">
    <w:name w:val="paranormaltext1"/>
    <w:basedOn w:val="Fuentedeprrafopredeter"/>
    <w:rsid w:val="000A562F"/>
    <w:rPr>
      <w:b w:val="0"/>
      <w:bCs w:val="0"/>
      <w:color w:val="000000"/>
      <w:sz w:val="20"/>
      <w:szCs w:val="20"/>
    </w:rPr>
  </w:style>
  <w:style w:type="table" w:customStyle="1" w:styleId="Tablaconcuadrcula307">
    <w:name w:val="Tabla con cuadrícula307"/>
    <w:basedOn w:val="Tablanormal"/>
    <w:next w:val="Tablaconcuadrcula"/>
    <w:rsid w:val="000A562F"/>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08">
    <w:name w:val="Tabla con cuadrícula308"/>
    <w:basedOn w:val="Tablanormal"/>
    <w:next w:val="Tablaconcuadrcula"/>
    <w:rsid w:val="00B97D4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09">
    <w:name w:val="Tabla con cuadrícula309"/>
    <w:basedOn w:val="Tablanormal"/>
    <w:next w:val="Tablaconcuadrcula"/>
    <w:rsid w:val="0065132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0">
    <w:name w:val="Tabla con cuadrícula310"/>
    <w:basedOn w:val="Tablanormal"/>
    <w:next w:val="Tablaconcuadrcula"/>
    <w:rsid w:val="002E547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1">
    <w:name w:val="Tabla con cuadrícula311"/>
    <w:basedOn w:val="Tablanormal"/>
    <w:next w:val="Tablaconcuadrcula"/>
    <w:rsid w:val="00DA52C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87">
    <w:name w:val="Sin lista187"/>
    <w:next w:val="Sinlista"/>
    <w:semiHidden/>
    <w:rsid w:val="00210D3D"/>
  </w:style>
  <w:style w:type="table" w:customStyle="1" w:styleId="Tablaconcuadrcula312">
    <w:name w:val="Tabla con cuadrícula312"/>
    <w:basedOn w:val="Tablanormal"/>
    <w:next w:val="Tablaconcuadrcula"/>
    <w:rsid w:val="00210D3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3">
    <w:name w:val="Tabla con cuadrícula313"/>
    <w:basedOn w:val="Tablanormal"/>
    <w:next w:val="Tablaconcuadrcula"/>
    <w:rsid w:val="006734C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88">
    <w:name w:val="Sin lista188"/>
    <w:next w:val="Sinlista"/>
    <w:semiHidden/>
    <w:rsid w:val="00155473"/>
  </w:style>
  <w:style w:type="table" w:customStyle="1" w:styleId="Tablaconcuadrcula314">
    <w:name w:val="Tabla con cuadrícula314"/>
    <w:basedOn w:val="Tablanormal"/>
    <w:next w:val="Tablaconcuadrcula"/>
    <w:rsid w:val="0015547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5">
    <w:name w:val="Tabla con cuadrícula315"/>
    <w:basedOn w:val="Tablanormal"/>
    <w:next w:val="Tablaconcuadrcula"/>
    <w:rsid w:val="0059613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89">
    <w:name w:val="Sin lista189"/>
    <w:next w:val="Sinlista"/>
    <w:semiHidden/>
    <w:rsid w:val="00751597"/>
  </w:style>
  <w:style w:type="table" w:customStyle="1" w:styleId="Tablaconcuadrcula316">
    <w:name w:val="Tabla con cuadrícula316"/>
    <w:basedOn w:val="Tablanormal"/>
    <w:next w:val="Tablaconcuadrcula"/>
    <w:rsid w:val="0075159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7">
    <w:name w:val="Tabla con cuadrícula317"/>
    <w:basedOn w:val="Tablanormal"/>
    <w:next w:val="Tablaconcuadrcula"/>
    <w:rsid w:val="006024F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8">
    <w:name w:val="Tabla con cuadrícula318"/>
    <w:basedOn w:val="Tablanormal"/>
    <w:next w:val="Tablaconcuadrcula"/>
    <w:rsid w:val="000A691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90">
    <w:name w:val="Sin lista190"/>
    <w:next w:val="Sinlista"/>
    <w:semiHidden/>
    <w:rsid w:val="000A691E"/>
  </w:style>
  <w:style w:type="table" w:customStyle="1" w:styleId="Tablaconcuadrcula1380">
    <w:name w:val="Tabla con cuadrícula 138"/>
    <w:basedOn w:val="Tablanormal"/>
    <w:next w:val="Tablaconcuadrcula10"/>
    <w:rsid w:val="000A691E"/>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19">
    <w:name w:val="Tabla con cuadrícula319"/>
    <w:basedOn w:val="Tablanormal"/>
    <w:next w:val="Tablaconcuadrcula"/>
    <w:rsid w:val="001F7C3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94">
    <w:name w:val="Sin lista194"/>
    <w:next w:val="Sinlista"/>
    <w:semiHidden/>
    <w:rsid w:val="0056162E"/>
  </w:style>
  <w:style w:type="numbering" w:customStyle="1" w:styleId="Sinlista195">
    <w:name w:val="Sin lista195"/>
    <w:next w:val="Sinlista"/>
    <w:semiHidden/>
    <w:rsid w:val="00C71328"/>
  </w:style>
  <w:style w:type="table" w:customStyle="1" w:styleId="Tablaconcuadrcula320">
    <w:name w:val="Tabla con cuadrícula320"/>
    <w:basedOn w:val="Tablanormal"/>
    <w:next w:val="Tablaconcuadrcula"/>
    <w:rsid w:val="00EA5CE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90">
    <w:name w:val="Tabla con cuadrícula 139"/>
    <w:basedOn w:val="Tablanormal"/>
    <w:next w:val="Tablaconcuadrcula10"/>
    <w:rsid w:val="00FC1E6C"/>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21">
    <w:name w:val="Tabla con cuadrícula321"/>
    <w:basedOn w:val="Tablanormal"/>
    <w:next w:val="Tablaconcuadrcula"/>
    <w:rsid w:val="00A1358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2">
    <w:name w:val="Tabla con cuadrícula322"/>
    <w:basedOn w:val="Tablanormal"/>
    <w:next w:val="Tablaconcuadrcula"/>
    <w:rsid w:val="00DD630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96">
    <w:name w:val="Sin lista196"/>
    <w:next w:val="Sinlista"/>
    <w:semiHidden/>
    <w:rsid w:val="001E1CAA"/>
  </w:style>
  <w:style w:type="table" w:customStyle="1" w:styleId="Tablaconcuadrcula323">
    <w:name w:val="Tabla con cuadrícula323"/>
    <w:basedOn w:val="Tablanormal"/>
    <w:next w:val="Tablaconcuadrcula"/>
    <w:rsid w:val="008D254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4">
    <w:name w:val="Tabla con cuadrícula324"/>
    <w:basedOn w:val="Tablanormal"/>
    <w:next w:val="Tablaconcuadrcula"/>
    <w:rsid w:val="00414F8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5">
    <w:name w:val="Tabla con cuadrícula325"/>
    <w:basedOn w:val="Tablanormal"/>
    <w:next w:val="Tablaconcuadrcula"/>
    <w:rsid w:val="005341A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97">
    <w:name w:val="Sin lista197"/>
    <w:next w:val="Sinlista"/>
    <w:semiHidden/>
    <w:rsid w:val="00155B7C"/>
  </w:style>
  <w:style w:type="table" w:customStyle="1" w:styleId="Tablaconcuadrcula326">
    <w:name w:val="Tabla con cuadrícula326"/>
    <w:basedOn w:val="Tablanormal"/>
    <w:next w:val="Tablaconcuadrcula"/>
    <w:rsid w:val="00155B7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7">
    <w:name w:val="Tabla con cuadrícula327"/>
    <w:basedOn w:val="Tablanormal"/>
    <w:next w:val="Tablaconcuadrcula"/>
    <w:rsid w:val="00A008E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98">
    <w:name w:val="Sin lista198"/>
    <w:next w:val="Sinlista"/>
    <w:semiHidden/>
    <w:rsid w:val="001952E4"/>
  </w:style>
  <w:style w:type="table" w:customStyle="1" w:styleId="Tablaconcuadrcula328">
    <w:name w:val="Tabla con cuadrícula328"/>
    <w:basedOn w:val="Tablanormal"/>
    <w:next w:val="Tablaconcuadrcula"/>
    <w:rsid w:val="001952E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9">
    <w:name w:val="Tabla con cuadrícula329"/>
    <w:basedOn w:val="Tablanormal"/>
    <w:next w:val="Tablaconcuadrcula"/>
    <w:rsid w:val="00327A3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99">
    <w:name w:val="Sin lista199"/>
    <w:next w:val="Sinlista"/>
    <w:semiHidden/>
    <w:rsid w:val="00CC266C"/>
  </w:style>
  <w:style w:type="table" w:customStyle="1" w:styleId="Tablaconcuadrcula330">
    <w:name w:val="Tabla con cuadrícula330"/>
    <w:basedOn w:val="Tablanormal"/>
    <w:next w:val="Tablaconcuadrcula"/>
    <w:rsid w:val="00CC266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1">
    <w:name w:val="Tabla con cuadrícula331"/>
    <w:basedOn w:val="Tablanormal"/>
    <w:next w:val="Tablaconcuadrcula"/>
    <w:rsid w:val="000D47D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0">
    <w:name w:val="Sin lista200"/>
    <w:next w:val="Sinlista"/>
    <w:semiHidden/>
    <w:rsid w:val="0011468D"/>
  </w:style>
  <w:style w:type="table" w:customStyle="1" w:styleId="Tablaconcuadrcula332">
    <w:name w:val="Tabla con cuadrícula332"/>
    <w:basedOn w:val="Tablanormal"/>
    <w:next w:val="Tablaconcuadrcula"/>
    <w:rsid w:val="00B96E4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4">
    <w:name w:val="Sin lista204"/>
    <w:next w:val="Sinlista"/>
    <w:semiHidden/>
    <w:rsid w:val="00C20181"/>
  </w:style>
  <w:style w:type="numbering" w:customStyle="1" w:styleId="Sinlista205">
    <w:name w:val="Sin lista205"/>
    <w:next w:val="Sinlista"/>
    <w:semiHidden/>
    <w:rsid w:val="002B64A8"/>
  </w:style>
  <w:style w:type="numbering" w:customStyle="1" w:styleId="Sinlista206">
    <w:name w:val="Sin lista206"/>
    <w:next w:val="Sinlista"/>
    <w:semiHidden/>
    <w:rsid w:val="0028710F"/>
  </w:style>
  <w:style w:type="table" w:customStyle="1" w:styleId="Tablaconcuadrcula333">
    <w:name w:val="Tabla con cuadrícula333"/>
    <w:basedOn w:val="Tablanormal"/>
    <w:next w:val="Tablaconcuadrcula"/>
    <w:rsid w:val="0028710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4">
    <w:name w:val="Tabla con cuadrícula334"/>
    <w:basedOn w:val="Tablanormal"/>
    <w:next w:val="Tablaconcuadrcula"/>
    <w:rsid w:val="006674A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5">
    <w:name w:val="Tabla con cuadrícula335"/>
    <w:basedOn w:val="Tablanormal"/>
    <w:next w:val="Tablaconcuadrcula"/>
    <w:rsid w:val="009D460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7">
    <w:name w:val="Sin lista207"/>
    <w:next w:val="Sinlista"/>
    <w:semiHidden/>
    <w:rsid w:val="00F40FB1"/>
  </w:style>
  <w:style w:type="table" w:customStyle="1" w:styleId="Tablaconcuadrcula336">
    <w:name w:val="Tabla con cuadrícula336"/>
    <w:basedOn w:val="Tablanormal"/>
    <w:next w:val="Tablaconcuadrcula"/>
    <w:rsid w:val="003B2DF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8">
    <w:name w:val="Sin lista208"/>
    <w:next w:val="Sinlista"/>
    <w:semiHidden/>
    <w:rsid w:val="00186DF1"/>
  </w:style>
  <w:style w:type="table" w:customStyle="1" w:styleId="Tablaconcuadrcula337">
    <w:name w:val="Tabla con cuadrícula337"/>
    <w:basedOn w:val="Tablanormal"/>
    <w:next w:val="Tablaconcuadrcula"/>
    <w:rsid w:val="00186DF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8">
    <w:name w:val="Tabla con cuadrícula338"/>
    <w:basedOn w:val="Tablanormal"/>
    <w:next w:val="Tablaconcuadrcula"/>
    <w:rsid w:val="00D127D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9">
    <w:name w:val="Sin lista209"/>
    <w:next w:val="Sinlista"/>
    <w:semiHidden/>
    <w:rsid w:val="00E41272"/>
  </w:style>
  <w:style w:type="table" w:customStyle="1" w:styleId="Tablaconcuadrcula339">
    <w:name w:val="Tabla con cuadrícula339"/>
    <w:basedOn w:val="Tablanormal"/>
    <w:next w:val="Tablaconcuadrcula"/>
    <w:rsid w:val="008443B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40">
    <w:name w:val="Tabla con cuadrícula340"/>
    <w:basedOn w:val="Tablanormal"/>
    <w:next w:val="Tablaconcuadrcula"/>
    <w:rsid w:val="008443B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16">
    <w:name w:val="Sin lista216"/>
    <w:next w:val="Sinlista"/>
    <w:semiHidden/>
    <w:rsid w:val="00953D5D"/>
  </w:style>
  <w:style w:type="table" w:customStyle="1" w:styleId="Tablaconcuadrcula341">
    <w:name w:val="Tabla con cuadrícula341"/>
    <w:basedOn w:val="Tablanormal"/>
    <w:next w:val="Tablaconcuadrcula"/>
    <w:rsid w:val="00953D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42">
    <w:name w:val="Tabla con cuadrícula342"/>
    <w:basedOn w:val="Tablanormal"/>
    <w:next w:val="Tablaconcuadrcula"/>
    <w:rsid w:val="001372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43">
    <w:name w:val="Tabla con cuadrícula343"/>
    <w:basedOn w:val="Tablanormal"/>
    <w:next w:val="Tablaconcuadrcula"/>
    <w:rsid w:val="0002180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2121">
    <w:name w:val="1 / 1.1 / 1.1.12121"/>
    <w:basedOn w:val="Sinlista"/>
    <w:next w:val="111111"/>
    <w:rsid w:val="00EE7D10"/>
    <w:pPr>
      <w:numPr>
        <w:numId w:val="2"/>
      </w:numPr>
    </w:pPr>
  </w:style>
  <w:style w:type="table" w:customStyle="1" w:styleId="Tablaconcuadrcula344">
    <w:name w:val="Tabla con cuadrícula344"/>
    <w:basedOn w:val="Tablanormal"/>
    <w:next w:val="Tablaconcuadrcula"/>
    <w:rsid w:val="0003547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17">
    <w:name w:val="Sin lista217"/>
    <w:next w:val="Sinlista"/>
    <w:semiHidden/>
    <w:rsid w:val="00ED7D72"/>
  </w:style>
  <w:style w:type="table" w:customStyle="1" w:styleId="Tablaconcuadrcula345">
    <w:name w:val="Tabla con cuadrícula345"/>
    <w:basedOn w:val="Tablanormal"/>
    <w:next w:val="Tablaconcuadrcula"/>
    <w:rsid w:val="00ED7D7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18">
    <w:name w:val="Sin lista218"/>
    <w:next w:val="Sinlista"/>
    <w:semiHidden/>
    <w:rsid w:val="00D76BEE"/>
  </w:style>
  <w:style w:type="table" w:customStyle="1" w:styleId="Tablaconcuadrcula346">
    <w:name w:val="Tabla con cuadrícula346"/>
    <w:basedOn w:val="Tablanormal"/>
    <w:next w:val="Tablaconcuadrcula"/>
    <w:rsid w:val="00D76BE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6">
    <w:name w:val="Tabla con cuadrícula516"/>
    <w:basedOn w:val="Tablanormal"/>
    <w:next w:val="Tablaconcuadrcula"/>
    <w:rsid w:val="00D76BE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19">
    <w:name w:val="Sin lista219"/>
    <w:next w:val="Sinlista"/>
    <w:semiHidden/>
    <w:rsid w:val="00B83050"/>
  </w:style>
  <w:style w:type="table" w:customStyle="1" w:styleId="Tablaconcuadrcula347">
    <w:name w:val="Tabla con cuadrícula347"/>
    <w:basedOn w:val="Tablanormal"/>
    <w:next w:val="Tablaconcuadrcula"/>
    <w:rsid w:val="00B8305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48">
    <w:name w:val="Tabla con cuadrícula348"/>
    <w:basedOn w:val="Tablanormal"/>
    <w:next w:val="Tablaconcuadrcula"/>
    <w:rsid w:val="001505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0">
    <w:name w:val="Sin lista220"/>
    <w:next w:val="Sinlista"/>
    <w:semiHidden/>
    <w:rsid w:val="000A368B"/>
  </w:style>
  <w:style w:type="table" w:customStyle="1" w:styleId="Tablaconcuadrcula1401">
    <w:name w:val="Tabla con cuadrícula 140"/>
    <w:basedOn w:val="Tablanormal"/>
    <w:next w:val="Tablaconcuadrcula10"/>
    <w:rsid w:val="000A368B"/>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49">
    <w:name w:val="Tabla con cuadrícula349"/>
    <w:basedOn w:val="Tablanormal"/>
    <w:next w:val="Tablaconcuadrcula"/>
    <w:rsid w:val="000A368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10">
    <w:name w:val="Tabla con cuadrícula 141"/>
    <w:basedOn w:val="Tablanormal"/>
    <w:next w:val="Tablaconcuadrcula10"/>
    <w:rsid w:val="00B82330"/>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50">
    <w:name w:val="Tabla con cuadrícula350"/>
    <w:basedOn w:val="Tablanormal"/>
    <w:next w:val="Tablaconcuadrcula"/>
    <w:rsid w:val="002E79D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4">
    <w:name w:val="Sin lista224"/>
    <w:next w:val="Sinlista"/>
    <w:semiHidden/>
    <w:rsid w:val="008D2536"/>
  </w:style>
  <w:style w:type="table" w:customStyle="1" w:styleId="Tablaconcuadrcula351">
    <w:name w:val="Tabla con cuadrícula351"/>
    <w:basedOn w:val="Tablanormal"/>
    <w:next w:val="Tablaconcuadrcula"/>
    <w:rsid w:val="008D253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5">
    <w:name w:val="Sin lista225"/>
    <w:next w:val="Sinlista"/>
    <w:semiHidden/>
    <w:rsid w:val="0015067C"/>
  </w:style>
  <w:style w:type="table" w:customStyle="1" w:styleId="Tablaconcuadrcula352">
    <w:name w:val="Tabla con cuadrícula352"/>
    <w:basedOn w:val="Tablanormal"/>
    <w:next w:val="Tablaconcuadrcula"/>
    <w:rsid w:val="0015067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6">
    <w:name w:val="Sin lista226"/>
    <w:next w:val="Sinlista"/>
    <w:semiHidden/>
    <w:rsid w:val="00FD6C56"/>
  </w:style>
  <w:style w:type="table" w:customStyle="1" w:styleId="Tablaconcuadrcula353">
    <w:name w:val="Tabla con cuadrícula353"/>
    <w:basedOn w:val="Tablanormal"/>
    <w:next w:val="Tablaconcuadrcula"/>
    <w:rsid w:val="00FD6C5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7">
    <w:name w:val="Sin lista227"/>
    <w:next w:val="Sinlista"/>
    <w:semiHidden/>
    <w:rsid w:val="00BB2905"/>
  </w:style>
  <w:style w:type="table" w:customStyle="1" w:styleId="Tablaconcuadrcula354">
    <w:name w:val="Tabla con cuadrícula354"/>
    <w:basedOn w:val="Tablanormal"/>
    <w:next w:val="Tablaconcuadrcula"/>
    <w:rsid w:val="00AE1A5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55">
    <w:name w:val="Tabla con cuadrícula355"/>
    <w:basedOn w:val="Tablanormal"/>
    <w:next w:val="Tablaconcuadrcula"/>
    <w:rsid w:val="00AD6A3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56">
    <w:name w:val="Tabla con cuadrícula356"/>
    <w:basedOn w:val="Tablanormal"/>
    <w:next w:val="Tablaconcuadrcula"/>
    <w:rsid w:val="0053299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57">
    <w:name w:val="Tabla con cuadrícula357"/>
    <w:basedOn w:val="Tablanormal"/>
    <w:next w:val="Tablaconcuadrcula"/>
    <w:rsid w:val="007F5E4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58">
    <w:name w:val="Tabla con cuadrícula358"/>
    <w:basedOn w:val="Tablanormal"/>
    <w:next w:val="Tablaconcuadrcula"/>
    <w:rsid w:val="00DB690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59">
    <w:name w:val="Tabla con cuadrícula359"/>
    <w:basedOn w:val="Tablanormal"/>
    <w:next w:val="Tablaconcuadrcula"/>
    <w:rsid w:val="001E549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8">
    <w:name w:val="Sin lista228"/>
    <w:next w:val="Sinlista"/>
    <w:semiHidden/>
    <w:rsid w:val="00390FB0"/>
  </w:style>
  <w:style w:type="numbering" w:customStyle="1" w:styleId="Sinlista229">
    <w:name w:val="Sin lista229"/>
    <w:next w:val="Sinlista"/>
    <w:semiHidden/>
    <w:rsid w:val="00ED2177"/>
  </w:style>
  <w:style w:type="table" w:customStyle="1" w:styleId="Tablaconcuadrcula360">
    <w:name w:val="Tabla con cuadrícula360"/>
    <w:basedOn w:val="Tablanormal"/>
    <w:next w:val="Tablaconcuadrcula"/>
    <w:rsid w:val="00ED217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30">
    <w:name w:val="Sin lista230"/>
    <w:next w:val="Sinlista"/>
    <w:semiHidden/>
    <w:rsid w:val="00054668"/>
  </w:style>
  <w:style w:type="table" w:customStyle="1" w:styleId="Tablaconcuadrcula361">
    <w:name w:val="Tabla con cuadrícula361"/>
    <w:basedOn w:val="Tablanormal"/>
    <w:next w:val="Tablaconcuadrcula"/>
    <w:rsid w:val="0005466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34">
    <w:name w:val="Sin lista234"/>
    <w:next w:val="Sinlista"/>
    <w:semiHidden/>
    <w:rsid w:val="00A61315"/>
  </w:style>
  <w:style w:type="numbering" w:customStyle="1" w:styleId="Sinlista235">
    <w:name w:val="Sin lista235"/>
    <w:next w:val="Sinlista"/>
    <w:semiHidden/>
    <w:rsid w:val="00C3798F"/>
  </w:style>
  <w:style w:type="table" w:customStyle="1" w:styleId="Tablaconcuadrcula362">
    <w:name w:val="Tabla con cuadrícula362"/>
    <w:basedOn w:val="Tablanormal"/>
    <w:next w:val="Tablaconcuadrcula"/>
    <w:rsid w:val="00C3798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63">
    <w:name w:val="Tabla con cuadrícula363"/>
    <w:basedOn w:val="Tablanormal"/>
    <w:next w:val="Tablaconcuadrcula"/>
    <w:rsid w:val="00C3798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36">
    <w:name w:val="Sin lista236"/>
    <w:next w:val="Sinlista"/>
    <w:semiHidden/>
    <w:rsid w:val="00DF710D"/>
  </w:style>
  <w:style w:type="paragraph" w:customStyle="1" w:styleId="bajadas">
    <w:name w:val="bajadas"/>
    <w:basedOn w:val="Normal"/>
    <w:uiPriority w:val="99"/>
    <w:rsid w:val="00DF710D"/>
    <w:rPr>
      <w:rFonts w:ascii="Georgia, Times" w:eastAsia="Times New Roman" w:hAnsi="Georgia, Times"/>
      <w:color w:val="3B4646"/>
      <w:sz w:val="21"/>
      <w:szCs w:val="21"/>
      <w:lang w:val="es-ES"/>
    </w:rPr>
  </w:style>
  <w:style w:type="paragraph" w:customStyle="1" w:styleId="fotorankinghome">
    <w:name w:val="foto_ranking_home"/>
    <w:basedOn w:val="Normal"/>
    <w:uiPriority w:val="99"/>
    <w:rsid w:val="00DF710D"/>
    <w:pPr>
      <w:spacing w:before="150"/>
    </w:pPr>
    <w:rPr>
      <w:rFonts w:ascii="Georgia, Times" w:eastAsia="Times New Roman" w:hAnsi="Georgia, Times"/>
      <w:color w:val="3A4646"/>
      <w:sz w:val="21"/>
      <w:szCs w:val="21"/>
      <w:lang w:val="es-ES"/>
    </w:rPr>
  </w:style>
  <w:style w:type="paragraph" w:customStyle="1" w:styleId="fotoizquierda">
    <w:name w:val="foto_izquierda"/>
    <w:basedOn w:val="Normal"/>
    <w:uiPriority w:val="99"/>
    <w:rsid w:val="00DF710D"/>
    <w:rPr>
      <w:rFonts w:ascii="Georgia, Times" w:eastAsia="Times New Roman" w:hAnsi="Georgia, Times"/>
      <w:color w:val="3A4646"/>
      <w:sz w:val="21"/>
      <w:szCs w:val="21"/>
      <w:lang w:val="es-ES"/>
    </w:rPr>
  </w:style>
  <w:style w:type="paragraph" w:customStyle="1" w:styleId="fotoizquierda2">
    <w:name w:val="foto_izquierda2"/>
    <w:basedOn w:val="Normal"/>
    <w:uiPriority w:val="99"/>
    <w:rsid w:val="00DF710D"/>
    <w:rPr>
      <w:rFonts w:ascii="Georgia, Times" w:eastAsia="Times New Roman" w:hAnsi="Georgia, Times"/>
      <w:color w:val="3A4646"/>
      <w:sz w:val="21"/>
      <w:szCs w:val="21"/>
      <w:lang w:val="es-ES"/>
    </w:rPr>
  </w:style>
  <w:style w:type="paragraph" w:customStyle="1" w:styleId="fotocentro">
    <w:name w:val="foto_centro"/>
    <w:basedOn w:val="Normal"/>
    <w:uiPriority w:val="99"/>
    <w:rsid w:val="00DF710D"/>
    <w:pPr>
      <w:spacing w:before="100" w:beforeAutospacing="1" w:after="100" w:afterAutospacing="1"/>
      <w:jc w:val="center"/>
    </w:pPr>
    <w:rPr>
      <w:rFonts w:ascii="Georgia, Times" w:eastAsia="Times New Roman" w:hAnsi="Georgia, Times"/>
      <w:color w:val="3A4646"/>
      <w:sz w:val="21"/>
      <w:szCs w:val="21"/>
      <w:lang w:val="es-ES"/>
    </w:rPr>
  </w:style>
  <w:style w:type="paragraph" w:customStyle="1" w:styleId="separacionart">
    <w:name w:val="separacion_art"/>
    <w:basedOn w:val="Normal"/>
    <w:uiPriority w:val="99"/>
    <w:rsid w:val="00DF710D"/>
    <w:pPr>
      <w:spacing w:before="150" w:after="150"/>
    </w:pPr>
    <w:rPr>
      <w:rFonts w:ascii="Georgia, Times" w:eastAsia="Times New Roman" w:hAnsi="Georgia, Times"/>
      <w:color w:val="3A4646"/>
      <w:sz w:val="21"/>
      <w:szCs w:val="21"/>
      <w:lang w:val="es-ES"/>
    </w:rPr>
  </w:style>
  <w:style w:type="paragraph" w:customStyle="1" w:styleId="separacionlinkfooter">
    <w:name w:val="separacion_link_footer"/>
    <w:basedOn w:val="Normal"/>
    <w:uiPriority w:val="99"/>
    <w:rsid w:val="00DF710D"/>
    <w:pPr>
      <w:ind w:left="750" w:right="750"/>
    </w:pPr>
    <w:rPr>
      <w:rFonts w:ascii="Georgia, Times" w:eastAsia="Times New Roman" w:hAnsi="Georgia, Times"/>
      <w:color w:val="3A4646"/>
      <w:sz w:val="21"/>
      <w:szCs w:val="21"/>
      <w:lang w:val="es-ES"/>
    </w:rPr>
  </w:style>
  <w:style w:type="paragraph" w:customStyle="1" w:styleId="texto25blanco">
    <w:name w:val="texto_25_blanco"/>
    <w:basedOn w:val="Normal"/>
    <w:uiPriority w:val="99"/>
    <w:rsid w:val="00DF710D"/>
    <w:rPr>
      <w:rFonts w:ascii="Georgia, Times, serif" w:eastAsia="Times New Roman" w:hAnsi="Georgia, Times, serif"/>
      <w:color w:val="FFFFFF"/>
      <w:sz w:val="38"/>
      <w:szCs w:val="38"/>
      <w:lang w:val="es-ES"/>
    </w:rPr>
  </w:style>
  <w:style w:type="paragraph" w:customStyle="1" w:styleId="texto18blanco">
    <w:name w:val="texto_18_blanco"/>
    <w:basedOn w:val="Normal"/>
    <w:uiPriority w:val="99"/>
    <w:rsid w:val="00DF710D"/>
    <w:pPr>
      <w:spacing w:before="150" w:after="150"/>
      <w:ind w:left="150" w:right="150"/>
    </w:pPr>
    <w:rPr>
      <w:rFonts w:ascii="Georgia, Times" w:eastAsia="Times New Roman" w:hAnsi="Georgia, Times"/>
      <w:color w:val="FFFFFF"/>
      <w:sz w:val="27"/>
      <w:szCs w:val="27"/>
      <w:lang w:val="es-ES"/>
    </w:rPr>
  </w:style>
  <w:style w:type="paragraph" w:customStyle="1" w:styleId="texto14blanco">
    <w:name w:val="texto_14_blanco"/>
    <w:basedOn w:val="Normal"/>
    <w:uiPriority w:val="99"/>
    <w:rsid w:val="00DF710D"/>
    <w:rPr>
      <w:rFonts w:ascii="Georgia, Times" w:eastAsia="Times New Roman" w:hAnsi="Georgia, Times"/>
      <w:color w:val="FFFFFF"/>
      <w:sz w:val="21"/>
      <w:szCs w:val="21"/>
      <w:lang w:val="es-ES"/>
    </w:rPr>
  </w:style>
  <w:style w:type="paragraph" w:customStyle="1" w:styleId="texto14azul">
    <w:name w:val="texto_14_azul"/>
    <w:basedOn w:val="Normal"/>
    <w:uiPriority w:val="99"/>
    <w:rsid w:val="00DF710D"/>
    <w:rPr>
      <w:rFonts w:ascii="Georgia, Times" w:eastAsia="Times New Roman" w:hAnsi="Georgia, Times"/>
      <w:color w:val="105586"/>
      <w:sz w:val="21"/>
      <w:szCs w:val="21"/>
      <w:lang w:val="es-ES"/>
    </w:rPr>
  </w:style>
  <w:style w:type="paragraph" w:customStyle="1" w:styleId="texto14blancoizq">
    <w:name w:val="texto_14_blanco_izq"/>
    <w:basedOn w:val="Normal"/>
    <w:uiPriority w:val="99"/>
    <w:rsid w:val="00DF710D"/>
    <w:rPr>
      <w:rFonts w:ascii="Georgia, Times" w:eastAsia="Times New Roman" w:hAnsi="Georgia, Times"/>
      <w:color w:val="FFFFFF"/>
      <w:sz w:val="21"/>
      <w:szCs w:val="21"/>
      <w:lang w:val="es-ES"/>
    </w:rPr>
  </w:style>
  <w:style w:type="paragraph" w:customStyle="1" w:styleId="titprinhome">
    <w:name w:val="tit_prin_home"/>
    <w:basedOn w:val="Normal"/>
    <w:uiPriority w:val="99"/>
    <w:rsid w:val="00DF710D"/>
    <w:rPr>
      <w:rFonts w:ascii="Georgia, Times" w:eastAsia="Times New Roman" w:hAnsi="Georgia, Times"/>
      <w:color w:val="3A4646"/>
      <w:sz w:val="21"/>
      <w:szCs w:val="21"/>
      <w:lang w:val="es-ES"/>
    </w:rPr>
  </w:style>
  <w:style w:type="paragraph" w:customStyle="1" w:styleId="tit18blanco">
    <w:name w:val="tit_18_blanco"/>
    <w:basedOn w:val="Normal"/>
    <w:uiPriority w:val="99"/>
    <w:rsid w:val="00DF710D"/>
    <w:pPr>
      <w:jc w:val="center"/>
    </w:pPr>
    <w:rPr>
      <w:rFonts w:ascii="Georgia, Times" w:eastAsia="Times New Roman" w:hAnsi="Georgia, Times"/>
      <w:color w:val="FFFFFF"/>
      <w:sz w:val="27"/>
      <w:szCs w:val="27"/>
      <w:lang w:val="es-ES"/>
    </w:rPr>
  </w:style>
  <w:style w:type="paragraph" w:customStyle="1" w:styleId="logotipo">
    <w:name w:val="logotipo"/>
    <w:basedOn w:val="Normal"/>
    <w:uiPriority w:val="99"/>
    <w:rsid w:val="00DF710D"/>
    <w:pPr>
      <w:spacing w:before="100" w:beforeAutospacing="1" w:after="100" w:afterAutospacing="1"/>
    </w:pPr>
    <w:rPr>
      <w:rFonts w:ascii="Georgia, Times" w:eastAsia="Times New Roman" w:hAnsi="Georgia, Times"/>
      <w:color w:val="3A4646"/>
      <w:sz w:val="21"/>
      <w:szCs w:val="21"/>
      <w:lang w:val="es-ES"/>
    </w:rPr>
  </w:style>
  <w:style w:type="paragraph" w:customStyle="1" w:styleId="botonera">
    <w:name w:val="botonera"/>
    <w:basedOn w:val="Normal"/>
    <w:uiPriority w:val="99"/>
    <w:rsid w:val="00DF710D"/>
    <w:pPr>
      <w:spacing w:before="100" w:beforeAutospacing="1" w:after="100" w:afterAutospacing="1"/>
    </w:pPr>
    <w:rPr>
      <w:rFonts w:ascii="Georgia, Times" w:eastAsia="Times New Roman" w:hAnsi="Georgia, Times"/>
      <w:color w:val="3A4646"/>
      <w:sz w:val="21"/>
      <w:szCs w:val="21"/>
      <w:lang w:val="es-ES"/>
    </w:rPr>
  </w:style>
  <w:style w:type="paragraph" w:customStyle="1" w:styleId="contenedorhome">
    <w:name w:val="contenedor_home"/>
    <w:basedOn w:val="Normal"/>
    <w:uiPriority w:val="99"/>
    <w:rsid w:val="00DF710D"/>
    <w:pPr>
      <w:spacing w:before="100" w:beforeAutospacing="1" w:after="100" w:afterAutospacing="1"/>
    </w:pPr>
    <w:rPr>
      <w:rFonts w:ascii="Georgia, Times" w:eastAsia="Times New Roman" w:hAnsi="Georgia, Times"/>
      <w:color w:val="3A4646"/>
      <w:sz w:val="21"/>
      <w:szCs w:val="21"/>
      <w:lang w:val="es-ES"/>
    </w:rPr>
  </w:style>
  <w:style w:type="paragraph" w:customStyle="1" w:styleId="menuderecho">
    <w:name w:val="menu_derecho"/>
    <w:basedOn w:val="Normal"/>
    <w:uiPriority w:val="99"/>
    <w:rsid w:val="00DF710D"/>
    <w:pPr>
      <w:spacing w:before="150"/>
    </w:pPr>
    <w:rPr>
      <w:rFonts w:ascii="Georgia, Times" w:eastAsia="Times New Roman" w:hAnsi="Georgia, Times"/>
      <w:color w:val="3A4646"/>
      <w:sz w:val="21"/>
      <w:szCs w:val="21"/>
      <w:lang w:val="es-ES"/>
    </w:rPr>
  </w:style>
  <w:style w:type="paragraph" w:customStyle="1" w:styleId="menuizquierdo">
    <w:name w:val="menu_izquierdo"/>
    <w:basedOn w:val="Normal"/>
    <w:uiPriority w:val="99"/>
    <w:rsid w:val="00DF710D"/>
    <w:pPr>
      <w:spacing w:before="150"/>
    </w:pPr>
    <w:rPr>
      <w:rFonts w:ascii="Georgia, Times" w:eastAsia="Times New Roman" w:hAnsi="Georgia, Times"/>
      <w:color w:val="3A4646"/>
      <w:sz w:val="21"/>
      <w:szCs w:val="21"/>
      <w:lang w:val="es-ES"/>
    </w:rPr>
  </w:style>
  <w:style w:type="paragraph" w:customStyle="1" w:styleId="despliegues">
    <w:name w:val="despliegues"/>
    <w:basedOn w:val="Normal"/>
    <w:uiPriority w:val="99"/>
    <w:rsid w:val="00DF710D"/>
    <w:pPr>
      <w:spacing w:before="150"/>
    </w:pPr>
    <w:rPr>
      <w:rFonts w:ascii="Georgia, Times" w:eastAsia="Times New Roman" w:hAnsi="Georgia, Times"/>
      <w:color w:val="3A4646"/>
      <w:sz w:val="21"/>
      <w:szCs w:val="21"/>
      <w:lang w:val="es-ES"/>
    </w:rPr>
  </w:style>
  <w:style w:type="paragraph" w:customStyle="1" w:styleId="desplieguesinternos">
    <w:name w:val="despliegues_internos"/>
    <w:basedOn w:val="Normal"/>
    <w:uiPriority w:val="99"/>
    <w:rsid w:val="00DF710D"/>
    <w:rPr>
      <w:rFonts w:ascii="Georgia, Times" w:eastAsia="Times New Roman" w:hAnsi="Georgia, Times"/>
      <w:color w:val="3A4646"/>
      <w:sz w:val="21"/>
      <w:szCs w:val="21"/>
      <w:lang w:val="es-ES"/>
    </w:rPr>
  </w:style>
  <w:style w:type="paragraph" w:customStyle="1" w:styleId="tablaranking">
    <w:name w:val="tabla_ranking"/>
    <w:basedOn w:val="Normal"/>
    <w:uiPriority w:val="99"/>
    <w:rsid w:val="00DF710D"/>
    <w:rPr>
      <w:rFonts w:ascii="Georgia, Times" w:eastAsia="Times New Roman" w:hAnsi="Georgia, Times"/>
      <w:color w:val="3A4646"/>
      <w:sz w:val="21"/>
      <w:szCs w:val="21"/>
      <w:lang w:val="es-ES"/>
    </w:rPr>
  </w:style>
  <w:style w:type="paragraph" w:customStyle="1" w:styleId="tablatits">
    <w:name w:val="tabla_tits"/>
    <w:basedOn w:val="Normal"/>
    <w:uiPriority w:val="99"/>
    <w:rsid w:val="00DF710D"/>
    <w:pPr>
      <w:shd w:val="clear" w:color="auto" w:fill="ABCBDA"/>
      <w:jc w:val="center"/>
    </w:pPr>
    <w:rPr>
      <w:rFonts w:ascii="Arial" w:eastAsia="Times New Roman" w:hAnsi="Arial" w:cs="Arial"/>
      <w:b/>
      <w:bCs/>
      <w:color w:val="3A4646"/>
      <w:sz w:val="17"/>
      <w:szCs w:val="17"/>
      <w:lang w:val="es-ES"/>
    </w:rPr>
  </w:style>
  <w:style w:type="paragraph" w:customStyle="1" w:styleId="lineaclara">
    <w:name w:val="linea_clara"/>
    <w:basedOn w:val="Normal"/>
    <w:uiPriority w:val="99"/>
    <w:rsid w:val="00DF710D"/>
    <w:pPr>
      <w:shd w:val="clear" w:color="auto" w:fill="E5EEF3"/>
    </w:pPr>
    <w:rPr>
      <w:rFonts w:ascii="Georgia, Times" w:eastAsia="Times New Roman" w:hAnsi="Georgia, Times"/>
      <w:color w:val="3A4646"/>
      <w:sz w:val="21"/>
      <w:szCs w:val="21"/>
      <w:lang w:val="es-ES"/>
    </w:rPr>
  </w:style>
  <w:style w:type="paragraph" w:customStyle="1" w:styleId="lineaclararight">
    <w:name w:val="linea_clara_right"/>
    <w:basedOn w:val="Normal"/>
    <w:uiPriority w:val="99"/>
    <w:rsid w:val="00DF710D"/>
    <w:pPr>
      <w:shd w:val="clear" w:color="auto" w:fill="E5EEF3"/>
      <w:jc w:val="right"/>
    </w:pPr>
    <w:rPr>
      <w:rFonts w:ascii="Georgia, Times" w:eastAsia="Times New Roman" w:hAnsi="Georgia, Times"/>
      <w:color w:val="3A4646"/>
      <w:sz w:val="21"/>
      <w:szCs w:val="21"/>
      <w:lang w:val="es-ES"/>
    </w:rPr>
  </w:style>
  <w:style w:type="paragraph" w:customStyle="1" w:styleId="submenurankings">
    <w:name w:val="submenu_rankings"/>
    <w:basedOn w:val="Normal"/>
    <w:uiPriority w:val="99"/>
    <w:rsid w:val="00DF710D"/>
    <w:pPr>
      <w:spacing w:after="300"/>
    </w:pPr>
    <w:rPr>
      <w:rFonts w:ascii="Georgia, Times" w:eastAsia="Times New Roman" w:hAnsi="Georgia, Times"/>
      <w:color w:val="3A4646"/>
      <w:sz w:val="21"/>
      <w:szCs w:val="21"/>
      <w:lang w:val="es-ES"/>
    </w:rPr>
  </w:style>
  <w:style w:type="paragraph" w:customStyle="1" w:styleId="imagenprincipal">
    <w:name w:val="imagen_principal"/>
    <w:basedOn w:val="Normal"/>
    <w:uiPriority w:val="99"/>
    <w:rsid w:val="00DF710D"/>
    <w:rPr>
      <w:rFonts w:ascii="Georgia, Times" w:eastAsia="Times New Roman" w:hAnsi="Georgia, Times"/>
      <w:color w:val="3A4646"/>
      <w:sz w:val="21"/>
      <w:szCs w:val="21"/>
      <w:lang w:val="es-ES"/>
    </w:rPr>
  </w:style>
  <w:style w:type="paragraph" w:customStyle="1" w:styleId="artprincipal">
    <w:name w:val="art_principal"/>
    <w:basedOn w:val="Normal"/>
    <w:uiPriority w:val="99"/>
    <w:rsid w:val="00DF710D"/>
    <w:pPr>
      <w:spacing w:before="450"/>
    </w:pPr>
    <w:rPr>
      <w:rFonts w:ascii="Georgia, Times" w:eastAsia="Times New Roman" w:hAnsi="Georgia, Times"/>
      <w:color w:val="3A4646"/>
      <w:sz w:val="21"/>
      <w:szCs w:val="21"/>
      <w:lang w:val="es-ES"/>
    </w:rPr>
  </w:style>
  <w:style w:type="paragraph" w:customStyle="1" w:styleId="artsecundario">
    <w:name w:val="art_secundario"/>
    <w:basedOn w:val="Normal"/>
    <w:uiPriority w:val="99"/>
    <w:rsid w:val="00DF710D"/>
    <w:pPr>
      <w:spacing w:before="450"/>
      <w:ind w:left="300"/>
    </w:pPr>
    <w:rPr>
      <w:rFonts w:ascii="Georgia, Times" w:eastAsia="Times New Roman" w:hAnsi="Georgia, Times"/>
      <w:color w:val="3A4646"/>
      <w:sz w:val="21"/>
      <w:szCs w:val="21"/>
      <w:lang w:val="es-ES"/>
    </w:rPr>
  </w:style>
  <w:style w:type="paragraph" w:customStyle="1" w:styleId="cajaranking">
    <w:name w:val="caja_ranking"/>
    <w:basedOn w:val="Normal"/>
    <w:uiPriority w:val="99"/>
    <w:rsid w:val="00DF710D"/>
    <w:pPr>
      <w:shd w:val="clear" w:color="auto" w:fill="FFFFFF"/>
      <w:spacing w:after="150"/>
    </w:pPr>
    <w:rPr>
      <w:rFonts w:ascii="Georgia, Times" w:eastAsia="Times New Roman" w:hAnsi="Georgia, Times"/>
      <w:color w:val="3A4646"/>
      <w:sz w:val="21"/>
      <w:szCs w:val="21"/>
      <w:lang w:val="es-ES"/>
    </w:rPr>
  </w:style>
  <w:style w:type="paragraph" w:customStyle="1" w:styleId="titrankinghome">
    <w:name w:val="tit_ranking_home"/>
    <w:basedOn w:val="Normal"/>
    <w:uiPriority w:val="99"/>
    <w:rsid w:val="00DF710D"/>
    <w:pPr>
      <w:pBdr>
        <w:bottom w:val="dotted" w:sz="6" w:space="0" w:color="105586"/>
      </w:pBdr>
    </w:pPr>
    <w:rPr>
      <w:rFonts w:ascii="Georgia, Times" w:eastAsia="Times New Roman" w:hAnsi="Georgia, Times"/>
      <w:color w:val="105586"/>
      <w:sz w:val="27"/>
      <w:szCs w:val="27"/>
      <w:lang w:val="es-ES"/>
    </w:rPr>
  </w:style>
  <w:style w:type="paragraph" w:customStyle="1" w:styleId="titotrosrankings">
    <w:name w:val="tit_otros_rankings"/>
    <w:basedOn w:val="Normal"/>
    <w:uiPriority w:val="99"/>
    <w:rsid w:val="00DF710D"/>
    <w:pPr>
      <w:pBdr>
        <w:bottom w:val="dotted" w:sz="6" w:space="0" w:color="105586"/>
      </w:pBdr>
      <w:spacing w:after="75"/>
    </w:pPr>
    <w:rPr>
      <w:rFonts w:ascii="Georgia, Times" w:eastAsia="Times New Roman" w:hAnsi="Georgia, Times"/>
      <w:color w:val="105586"/>
      <w:lang w:val="es-ES"/>
    </w:rPr>
  </w:style>
  <w:style w:type="paragraph" w:customStyle="1" w:styleId="titgraficoshome">
    <w:name w:val="tit_graficos_home"/>
    <w:basedOn w:val="Normal"/>
    <w:uiPriority w:val="99"/>
    <w:rsid w:val="00DF710D"/>
    <w:pPr>
      <w:pBdr>
        <w:bottom w:val="dotted" w:sz="6" w:space="0" w:color="FFFFFF"/>
      </w:pBdr>
      <w:spacing w:after="150"/>
    </w:pPr>
    <w:rPr>
      <w:rFonts w:ascii="Georgia, Times" w:eastAsia="Times New Roman" w:hAnsi="Georgia, Times"/>
      <w:color w:val="FFFFFF"/>
      <w:sz w:val="33"/>
      <w:szCs w:val="33"/>
      <w:lang w:val="es-ES"/>
    </w:rPr>
  </w:style>
  <w:style w:type="paragraph" w:customStyle="1" w:styleId="cajaarticulos">
    <w:name w:val="caja_articulos"/>
    <w:basedOn w:val="Normal"/>
    <w:uiPriority w:val="99"/>
    <w:rsid w:val="00DF710D"/>
    <w:rPr>
      <w:rFonts w:ascii="Georgia, Times" w:eastAsia="Times New Roman" w:hAnsi="Georgia, Times"/>
      <w:color w:val="3A4646"/>
      <w:sz w:val="21"/>
      <w:szCs w:val="21"/>
      <w:lang w:val="es-ES"/>
    </w:rPr>
  </w:style>
  <w:style w:type="paragraph" w:customStyle="1" w:styleId="footercent">
    <w:name w:val="footer_cent"/>
    <w:basedOn w:val="Normal"/>
    <w:uiPriority w:val="99"/>
    <w:rsid w:val="00DF710D"/>
    <w:pPr>
      <w:spacing w:before="100" w:beforeAutospacing="1" w:after="100" w:afterAutospacing="1"/>
    </w:pPr>
    <w:rPr>
      <w:rFonts w:ascii="Georgia, Times" w:eastAsia="Times New Roman" w:hAnsi="Georgia, Times"/>
      <w:color w:val="3A4646"/>
      <w:sz w:val="21"/>
      <w:szCs w:val="21"/>
      <w:lang w:val="es-ES"/>
    </w:rPr>
  </w:style>
  <w:style w:type="paragraph" w:customStyle="1" w:styleId="top">
    <w:name w:val="top"/>
    <w:basedOn w:val="Normal"/>
    <w:uiPriority w:val="99"/>
    <w:rsid w:val="00DF710D"/>
    <w:rPr>
      <w:rFonts w:ascii="Georgia, Times" w:eastAsia="Times New Roman" w:hAnsi="Georgia, Times"/>
      <w:color w:val="3A4646"/>
      <w:sz w:val="21"/>
      <w:szCs w:val="21"/>
      <w:lang w:val="es-ES"/>
    </w:rPr>
  </w:style>
  <w:style w:type="paragraph" w:customStyle="1" w:styleId="cent">
    <w:name w:val="cent"/>
    <w:basedOn w:val="Normal"/>
    <w:uiPriority w:val="99"/>
    <w:rsid w:val="00DF710D"/>
    <w:rPr>
      <w:rFonts w:ascii="Georgia, Times" w:eastAsia="Times New Roman" w:hAnsi="Georgia, Times"/>
      <w:color w:val="3A4646"/>
      <w:sz w:val="21"/>
      <w:szCs w:val="21"/>
      <w:lang w:val="es-ES"/>
    </w:rPr>
  </w:style>
  <w:style w:type="paragraph" w:customStyle="1" w:styleId="bot">
    <w:name w:val="bot"/>
    <w:basedOn w:val="Normal"/>
    <w:uiPriority w:val="99"/>
    <w:rsid w:val="00DF710D"/>
    <w:rPr>
      <w:rFonts w:ascii="Georgia, Times" w:eastAsia="Times New Roman" w:hAnsi="Georgia, Times"/>
      <w:color w:val="3A4646"/>
      <w:sz w:val="21"/>
      <w:szCs w:val="21"/>
      <w:lang w:val="es-ES"/>
    </w:rPr>
  </w:style>
  <w:style w:type="paragraph" w:customStyle="1" w:styleId="footeraccdirectos">
    <w:name w:val="footer_acc_directos"/>
    <w:basedOn w:val="Normal"/>
    <w:uiPriority w:val="99"/>
    <w:rsid w:val="00DF710D"/>
    <w:rPr>
      <w:rFonts w:ascii="Georgia, Times" w:eastAsia="Times New Roman" w:hAnsi="Georgia, Times"/>
      <w:color w:val="3A4646"/>
      <w:sz w:val="21"/>
      <w:szCs w:val="21"/>
      <w:lang w:val="es-ES"/>
    </w:rPr>
  </w:style>
  <w:style w:type="paragraph" w:customStyle="1" w:styleId="logoaefooter">
    <w:name w:val="logo_ae_footer"/>
    <w:basedOn w:val="Normal"/>
    <w:uiPriority w:val="99"/>
    <w:rsid w:val="00DF710D"/>
    <w:rPr>
      <w:rFonts w:ascii="Georgia, Times" w:eastAsia="Times New Roman" w:hAnsi="Georgia, Times"/>
      <w:color w:val="3A4646"/>
      <w:sz w:val="21"/>
      <w:szCs w:val="21"/>
      <w:lang w:val="es-ES"/>
    </w:rPr>
  </w:style>
  <w:style w:type="paragraph" w:customStyle="1" w:styleId="top1">
    <w:name w:val="top1"/>
    <w:basedOn w:val="Normal"/>
    <w:uiPriority w:val="99"/>
    <w:rsid w:val="00DF710D"/>
    <w:rPr>
      <w:rFonts w:ascii="Georgia, Times" w:eastAsia="Times New Roman" w:hAnsi="Georgia, Times"/>
      <w:color w:val="3A4646"/>
      <w:sz w:val="21"/>
      <w:szCs w:val="21"/>
      <w:lang w:val="es-ES"/>
    </w:rPr>
  </w:style>
  <w:style w:type="paragraph" w:customStyle="1" w:styleId="cent1">
    <w:name w:val="cent1"/>
    <w:basedOn w:val="Normal"/>
    <w:uiPriority w:val="99"/>
    <w:rsid w:val="00DF710D"/>
    <w:rPr>
      <w:rFonts w:ascii="Georgia, Times" w:eastAsia="Times New Roman" w:hAnsi="Georgia, Times"/>
      <w:color w:val="3A4646"/>
      <w:sz w:val="21"/>
      <w:szCs w:val="21"/>
      <w:lang w:val="es-ES"/>
    </w:rPr>
  </w:style>
  <w:style w:type="paragraph" w:customStyle="1" w:styleId="bot1">
    <w:name w:val="bot1"/>
    <w:basedOn w:val="Normal"/>
    <w:uiPriority w:val="99"/>
    <w:rsid w:val="00DF710D"/>
    <w:rPr>
      <w:rFonts w:ascii="Georgia, Times" w:eastAsia="Times New Roman" w:hAnsi="Georgia, Times"/>
      <w:color w:val="3A4646"/>
      <w:sz w:val="21"/>
      <w:szCs w:val="21"/>
      <w:lang w:val="es-ES"/>
    </w:rPr>
  </w:style>
  <w:style w:type="paragraph" w:customStyle="1" w:styleId="footeraccdirectos1">
    <w:name w:val="footer_acc_directos1"/>
    <w:basedOn w:val="Normal"/>
    <w:uiPriority w:val="99"/>
    <w:rsid w:val="00DF710D"/>
    <w:pPr>
      <w:pBdr>
        <w:top w:val="dotted" w:sz="6" w:space="4" w:color="FFFFFF"/>
        <w:bottom w:val="dotted" w:sz="6" w:space="4" w:color="FFFFFF"/>
      </w:pBdr>
    </w:pPr>
    <w:rPr>
      <w:rFonts w:ascii="Georgia, Times" w:eastAsia="Times New Roman" w:hAnsi="Georgia, Times"/>
      <w:color w:val="3A4646"/>
      <w:sz w:val="21"/>
      <w:szCs w:val="21"/>
      <w:lang w:val="es-ES"/>
    </w:rPr>
  </w:style>
  <w:style w:type="paragraph" w:customStyle="1" w:styleId="logoaefooter1">
    <w:name w:val="logo_ae_footer1"/>
    <w:basedOn w:val="Normal"/>
    <w:uiPriority w:val="99"/>
    <w:rsid w:val="00DF710D"/>
    <w:pPr>
      <w:jc w:val="right"/>
    </w:pPr>
    <w:rPr>
      <w:rFonts w:ascii="Georgia, Times" w:eastAsia="Times New Roman" w:hAnsi="Georgia, Times"/>
      <w:color w:val="3A4646"/>
      <w:sz w:val="21"/>
      <w:szCs w:val="21"/>
      <w:lang w:val="es-ES"/>
    </w:rPr>
  </w:style>
  <w:style w:type="table" w:customStyle="1" w:styleId="Tablaconcuadrcula1420">
    <w:name w:val="Tabla con cuadrícula 142"/>
    <w:basedOn w:val="Tablanormal"/>
    <w:next w:val="Tablaconcuadrcula10"/>
    <w:rsid w:val="00DF710D"/>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64">
    <w:name w:val="Tabla con cuadrícula364"/>
    <w:basedOn w:val="Tablanormal"/>
    <w:next w:val="Tablaconcuadrcula"/>
    <w:rsid w:val="00E7411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37">
    <w:name w:val="Sin lista237"/>
    <w:next w:val="Sinlista"/>
    <w:semiHidden/>
    <w:rsid w:val="000811A3"/>
  </w:style>
  <w:style w:type="table" w:customStyle="1" w:styleId="Tablaconcuadrcula365">
    <w:name w:val="Tabla con cuadrícula365"/>
    <w:basedOn w:val="Tablanormal"/>
    <w:next w:val="Tablaconcuadrcula"/>
    <w:rsid w:val="000811A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66">
    <w:name w:val="Tabla con cuadrícula366"/>
    <w:basedOn w:val="Tablanormal"/>
    <w:next w:val="Tablaconcuadrcula"/>
    <w:rsid w:val="006C7C1A"/>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238">
    <w:name w:val="Sin lista238"/>
    <w:next w:val="Sinlista"/>
    <w:semiHidden/>
    <w:rsid w:val="00917A53"/>
  </w:style>
  <w:style w:type="table" w:customStyle="1" w:styleId="Tablaconcuadrcula367">
    <w:name w:val="Tabla con cuadrícula367"/>
    <w:basedOn w:val="Tablanormal"/>
    <w:next w:val="Tablaconcuadrcula"/>
    <w:rsid w:val="001B526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68">
    <w:name w:val="Tabla con cuadrícula368"/>
    <w:basedOn w:val="Tablanormal"/>
    <w:next w:val="Tablaconcuadrcula"/>
    <w:rsid w:val="000A009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69">
    <w:name w:val="Tabla con cuadrícula369"/>
    <w:basedOn w:val="Tablanormal"/>
    <w:next w:val="Tablaconcuadrcula"/>
    <w:rsid w:val="009704E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39">
    <w:name w:val="Sin lista239"/>
    <w:next w:val="Sinlista"/>
    <w:semiHidden/>
    <w:rsid w:val="003A1963"/>
  </w:style>
  <w:style w:type="table" w:customStyle="1" w:styleId="Tablaconcuadrcula370">
    <w:name w:val="Tabla con cuadrícula370"/>
    <w:basedOn w:val="Tablanormal"/>
    <w:next w:val="Tablaconcuadrcula"/>
    <w:rsid w:val="00B94D6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71">
    <w:name w:val="Tabla con cuadrícula371"/>
    <w:basedOn w:val="Tablanormal"/>
    <w:next w:val="Tablaconcuadrcula"/>
    <w:rsid w:val="00A44BA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0">
    <w:name w:val="Sin lista240"/>
    <w:next w:val="Sinlista"/>
    <w:semiHidden/>
    <w:rsid w:val="006F0382"/>
  </w:style>
  <w:style w:type="character" w:customStyle="1" w:styleId="mediumtext1">
    <w:name w:val="medium_text1"/>
    <w:basedOn w:val="Fuentedeprrafopredeter"/>
    <w:rsid w:val="006F0382"/>
    <w:rPr>
      <w:sz w:val="16"/>
      <w:szCs w:val="16"/>
    </w:rPr>
  </w:style>
  <w:style w:type="table" w:customStyle="1" w:styleId="Tablaconcuadrcula372">
    <w:name w:val="Tabla con cuadrícula372"/>
    <w:basedOn w:val="Tablanormal"/>
    <w:next w:val="Tablaconcuadrcula"/>
    <w:rsid w:val="006F038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73">
    <w:name w:val="Tabla con cuadrícula373"/>
    <w:basedOn w:val="Tablanormal"/>
    <w:next w:val="Tablaconcuadrcula"/>
    <w:rsid w:val="00C20AB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74">
    <w:name w:val="Tabla con cuadrícula374"/>
    <w:basedOn w:val="Tablanormal"/>
    <w:next w:val="Tablaconcuadrcula"/>
    <w:rsid w:val="001A126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75">
    <w:name w:val="Tabla con cuadrícula375"/>
    <w:basedOn w:val="Tablanormal"/>
    <w:next w:val="Tablaconcuadrcula"/>
    <w:rsid w:val="0013418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30">
    <w:name w:val="Tabla con cuadrícula 143"/>
    <w:basedOn w:val="Tablanormal"/>
    <w:next w:val="Tablaconcuadrcula10"/>
    <w:rsid w:val="0013418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440">
    <w:name w:val="Tabla con cuadrícula 144"/>
    <w:basedOn w:val="Tablanormal"/>
    <w:next w:val="Tablaconcuadrcula10"/>
    <w:rsid w:val="00B67686"/>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76">
    <w:name w:val="Tabla con cuadrícula376"/>
    <w:basedOn w:val="Tablanormal"/>
    <w:next w:val="Tablaconcuadrcula"/>
    <w:rsid w:val="008A5E0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4">
    <w:name w:val="Sin lista244"/>
    <w:next w:val="Sinlista"/>
    <w:semiHidden/>
    <w:rsid w:val="002B023C"/>
  </w:style>
  <w:style w:type="paragraph" w:customStyle="1" w:styleId="bajada">
    <w:name w:val="bajada"/>
    <w:basedOn w:val="Normal"/>
    <w:uiPriority w:val="99"/>
    <w:rsid w:val="002B023C"/>
    <w:pPr>
      <w:spacing w:after="150" w:line="288" w:lineRule="auto"/>
    </w:pPr>
    <w:rPr>
      <w:rFonts w:eastAsia="Times New Roman"/>
      <w:b/>
      <w:bCs/>
      <w:sz w:val="23"/>
      <w:szCs w:val="23"/>
      <w:lang w:val="es-ES"/>
    </w:rPr>
  </w:style>
  <w:style w:type="table" w:customStyle="1" w:styleId="Tablaconcuadrcula1450">
    <w:name w:val="Tabla con cuadrícula 145"/>
    <w:basedOn w:val="Tablanormal"/>
    <w:next w:val="Tablaconcuadrcula10"/>
    <w:rsid w:val="002B023C"/>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77">
    <w:name w:val="Tabla con cuadrícula377"/>
    <w:basedOn w:val="Tablanormal"/>
    <w:next w:val="Tablaconcuadrcula"/>
    <w:rsid w:val="002B023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ro">
    <w:name w:val="intro"/>
    <w:basedOn w:val="Normal"/>
    <w:rsid w:val="002B023C"/>
    <w:pPr>
      <w:spacing w:after="150" w:line="288" w:lineRule="auto"/>
    </w:pPr>
    <w:rPr>
      <w:rFonts w:eastAsia="Times New Roman"/>
      <w:sz w:val="23"/>
      <w:szCs w:val="23"/>
      <w:lang w:val="es-ES"/>
    </w:rPr>
  </w:style>
  <w:style w:type="paragraph" w:customStyle="1" w:styleId="futbol">
    <w:name w:val="futbol"/>
    <w:basedOn w:val="Normal"/>
    <w:uiPriority w:val="99"/>
    <w:rsid w:val="002B023C"/>
    <w:pPr>
      <w:pBdr>
        <w:top w:val="single" w:sz="6" w:space="4" w:color="C2C1A5"/>
        <w:left w:val="single" w:sz="6" w:space="4" w:color="C2C1A5"/>
        <w:bottom w:val="single" w:sz="6" w:space="4" w:color="C2C1A5"/>
        <w:right w:val="single" w:sz="6" w:space="4" w:color="C2C1A5"/>
      </w:pBdr>
      <w:shd w:val="clear" w:color="auto" w:fill="F4EBD2"/>
      <w:spacing w:before="300" w:line="288" w:lineRule="auto"/>
      <w:ind w:left="300"/>
    </w:pPr>
    <w:rPr>
      <w:rFonts w:eastAsia="Times New Roman"/>
      <w:sz w:val="23"/>
      <w:szCs w:val="23"/>
      <w:lang w:val="es-ES"/>
    </w:rPr>
  </w:style>
  <w:style w:type="paragraph" w:customStyle="1" w:styleId="referencias">
    <w:name w:val="referencias"/>
    <w:basedOn w:val="Normal"/>
    <w:uiPriority w:val="99"/>
    <w:rsid w:val="002B023C"/>
    <w:pPr>
      <w:pBdr>
        <w:top w:val="single" w:sz="6" w:space="2" w:color="CCCCCC"/>
        <w:left w:val="single" w:sz="6" w:space="2" w:color="CCCCCC"/>
        <w:bottom w:val="single" w:sz="6" w:space="2" w:color="CCCCCC"/>
        <w:right w:val="single" w:sz="6" w:space="2" w:color="CCCCCC"/>
      </w:pBdr>
      <w:shd w:val="clear" w:color="auto" w:fill="EFEFEF"/>
      <w:spacing w:before="150" w:after="150" w:line="288" w:lineRule="auto"/>
      <w:ind w:left="300" w:right="300"/>
    </w:pPr>
    <w:rPr>
      <w:rFonts w:eastAsia="Times New Roman"/>
      <w:sz w:val="20"/>
      <w:szCs w:val="20"/>
      <w:lang w:val="es-ES"/>
    </w:rPr>
  </w:style>
  <w:style w:type="paragraph" w:customStyle="1" w:styleId="destacado">
    <w:name w:val="destacado"/>
    <w:basedOn w:val="Normal"/>
    <w:uiPriority w:val="99"/>
    <w:rsid w:val="002B023C"/>
    <w:pPr>
      <w:pBdr>
        <w:top w:val="single" w:sz="18" w:space="4" w:color="999999"/>
        <w:bottom w:val="single" w:sz="18" w:space="4" w:color="999999"/>
      </w:pBdr>
      <w:spacing w:after="150" w:line="288" w:lineRule="auto"/>
    </w:pPr>
    <w:rPr>
      <w:rFonts w:eastAsia="Times New Roman"/>
      <w:sz w:val="23"/>
      <w:szCs w:val="23"/>
      <w:lang w:val="es-ES"/>
    </w:rPr>
  </w:style>
  <w:style w:type="paragraph" w:customStyle="1" w:styleId="align-iz">
    <w:name w:val="align-iz"/>
    <w:basedOn w:val="Normal"/>
    <w:uiPriority w:val="99"/>
    <w:rsid w:val="002B023C"/>
    <w:pPr>
      <w:spacing w:before="75" w:after="75" w:line="288" w:lineRule="auto"/>
      <w:ind w:right="150"/>
    </w:pPr>
    <w:rPr>
      <w:rFonts w:eastAsia="Times New Roman"/>
      <w:sz w:val="23"/>
      <w:szCs w:val="23"/>
      <w:lang w:val="es-ES"/>
    </w:rPr>
  </w:style>
  <w:style w:type="paragraph" w:customStyle="1" w:styleId="align-de">
    <w:name w:val="align-de"/>
    <w:basedOn w:val="Normal"/>
    <w:uiPriority w:val="99"/>
    <w:rsid w:val="002B023C"/>
    <w:pPr>
      <w:spacing w:before="75" w:after="75" w:line="288" w:lineRule="auto"/>
      <w:ind w:left="150"/>
    </w:pPr>
    <w:rPr>
      <w:rFonts w:eastAsia="Times New Roman"/>
      <w:sz w:val="23"/>
      <w:szCs w:val="23"/>
      <w:lang w:val="es-ES"/>
    </w:rPr>
  </w:style>
  <w:style w:type="paragraph" w:customStyle="1" w:styleId="actualice">
    <w:name w:val="actualice"/>
    <w:basedOn w:val="Normal"/>
    <w:uiPriority w:val="99"/>
    <w:rsid w:val="002B023C"/>
    <w:pPr>
      <w:pBdr>
        <w:top w:val="single" w:sz="6" w:space="4" w:color="999999"/>
        <w:left w:val="single" w:sz="6" w:space="4" w:color="999999"/>
        <w:bottom w:val="single" w:sz="6" w:space="4" w:color="999999"/>
        <w:right w:val="single" w:sz="6" w:space="4" w:color="999999"/>
      </w:pBdr>
      <w:shd w:val="clear" w:color="auto" w:fill="CCCCCC"/>
      <w:spacing w:before="150" w:after="150" w:line="288" w:lineRule="auto"/>
      <w:jc w:val="center"/>
    </w:pPr>
    <w:rPr>
      <w:rFonts w:eastAsia="Times New Roman"/>
      <w:sz w:val="23"/>
      <w:szCs w:val="23"/>
      <w:lang w:val="es-ES"/>
    </w:rPr>
  </w:style>
  <w:style w:type="paragraph" w:customStyle="1" w:styleId="tablaicur">
    <w:name w:val="tabla_icur"/>
    <w:basedOn w:val="Normal"/>
    <w:uiPriority w:val="99"/>
    <w:rsid w:val="002B023C"/>
    <w:pPr>
      <w:pBdr>
        <w:top w:val="single" w:sz="6" w:space="0" w:color="C2C1A5"/>
        <w:left w:val="single" w:sz="6" w:space="0" w:color="C2C1A5"/>
        <w:bottom w:val="single" w:sz="6" w:space="0" w:color="C2C1A5"/>
        <w:right w:val="single" w:sz="6" w:space="0" w:color="C2C1A5"/>
      </w:pBdr>
      <w:spacing w:before="225" w:after="225" w:line="288" w:lineRule="auto"/>
    </w:pPr>
    <w:rPr>
      <w:rFonts w:eastAsia="Times New Roman"/>
      <w:sz w:val="23"/>
      <w:szCs w:val="23"/>
      <w:lang w:val="es-ES"/>
    </w:rPr>
  </w:style>
  <w:style w:type="paragraph" w:customStyle="1" w:styleId="titdatosrelevantes">
    <w:name w:val="tit_datos_relevantes"/>
    <w:basedOn w:val="Normal"/>
    <w:uiPriority w:val="99"/>
    <w:rsid w:val="002B023C"/>
    <w:pPr>
      <w:spacing w:before="225" w:after="225" w:line="288" w:lineRule="auto"/>
      <w:ind w:left="225" w:right="225"/>
    </w:pPr>
    <w:rPr>
      <w:rFonts w:eastAsia="Times New Roman"/>
      <w:color w:val="999999"/>
      <w:sz w:val="30"/>
      <w:szCs w:val="30"/>
      <w:lang w:val="es-ES"/>
    </w:rPr>
  </w:style>
  <w:style w:type="paragraph" w:customStyle="1" w:styleId="datosrelevantes">
    <w:name w:val="datos_relevantes"/>
    <w:basedOn w:val="Normal"/>
    <w:uiPriority w:val="99"/>
    <w:rsid w:val="002B023C"/>
    <w:pPr>
      <w:spacing w:line="288" w:lineRule="auto"/>
    </w:pPr>
    <w:rPr>
      <w:rFonts w:eastAsia="Times New Roman"/>
      <w:sz w:val="23"/>
      <w:szCs w:val="23"/>
      <w:lang w:val="es-ES"/>
    </w:rPr>
  </w:style>
  <w:style w:type="paragraph" w:customStyle="1" w:styleId="separadordatos">
    <w:name w:val="separador_datos"/>
    <w:basedOn w:val="Normal"/>
    <w:uiPriority w:val="99"/>
    <w:rsid w:val="002B023C"/>
    <w:pPr>
      <w:spacing w:after="150" w:line="288" w:lineRule="auto"/>
    </w:pPr>
    <w:rPr>
      <w:rFonts w:eastAsia="Times New Roman"/>
      <w:sz w:val="23"/>
      <w:szCs w:val="23"/>
      <w:lang w:val="es-ES"/>
    </w:rPr>
  </w:style>
  <w:style w:type="paragraph" w:customStyle="1" w:styleId="ranking">
    <w:name w:val="ranking"/>
    <w:basedOn w:val="Normal"/>
    <w:uiPriority w:val="99"/>
    <w:rsid w:val="002B023C"/>
    <w:pPr>
      <w:pBdr>
        <w:top w:val="single" w:sz="6" w:space="0" w:color="C2C1A5"/>
        <w:left w:val="single" w:sz="6" w:space="0" w:color="C2C1A5"/>
        <w:bottom w:val="single" w:sz="6" w:space="0" w:color="C2C1A5"/>
        <w:right w:val="single" w:sz="6" w:space="0" w:color="C2C1A5"/>
      </w:pBdr>
      <w:spacing w:after="150" w:line="288" w:lineRule="auto"/>
    </w:pPr>
    <w:rPr>
      <w:rFonts w:eastAsia="Times New Roman"/>
      <w:sz w:val="20"/>
      <w:szCs w:val="20"/>
      <w:lang w:val="es-ES"/>
    </w:rPr>
  </w:style>
  <w:style w:type="paragraph" w:customStyle="1" w:styleId="caja">
    <w:name w:val="caja"/>
    <w:basedOn w:val="Normal"/>
    <w:uiPriority w:val="99"/>
    <w:rsid w:val="002B023C"/>
    <w:pPr>
      <w:pBdr>
        <w:top w:val="single" w:sz="6" w:space="4" w:color="C2C1A5"/>
        <w:left w:val="single" w:sz="6" w:space="8" w:color="C2C1A5"/>
        <w:bottom w:val="single" w:sz="6" w:space="8" w:color="C2C1A5"/>
        <w:right w:val="single" w:sz="6" w:space="8" w:color="C2C1A5"/>
      </w:pBdr>
      <w:shd w:val="clear" w:color="auto" w:fill="FFFFFF"/>
      <w:spacing w:after="375" w:line="288" w:lineRule="auto"/>
    </w:pPr>
    <w:rPr>
      <w:rFonts w:eastAsia="Times New Roman"/>
      <w:sz w:val="23"/>
      <w:szCs w:val="23"/>
      <w:lang w:val="es-ES"/>
    </w:rPr>
  </w:style>
  <w:style w:type="paragraph" w:customStyle="1" w:styleId="metodologia">
    <w:name w:val="metodologia"/>
    <w:basedOn w:val="Normal"/>
    <w:uiPriority w:val="99"/>
    <w:rsid w:val="002B023C"/>
    <w:pPr>
      <w:spacing w:before="300" w:after="300" w:line="288" w:lineRule="auto"/>
      <w:ind w:left="150"/>
    </w:pPr>
    <w:rPr>
      <w:rFonts w:eastAsia="Times New Roman"/>
      <w:sz w:val="23"/>
      <w:szCs w:val="23"/>
      <w:lang w:val="es-ES"/>
    </w:rPr>
  </w:style>
  <w:style w:type="paragraph" w:customStyle="1" w:styleId="graficos">
    <w:name w:val="graficos"/>
    <w:basedOn w:val="Normal"/>
    <w:uiPriority w:val="99"/>
    <w:rsid w:val="002B023C"/>
    <w:pPr>
      <w:spacing w:after="150" w:line="288" w:lineRule="auto"/>
    </w:pPr>
    <w:rPr>
      <w:rFonts w:eastAsia="Times New Roman"/>
      <w:sz w:val="23"/>
      <w:szCs w:val="23"/>
      <w:lang w:val="es-ES"/>
    </w:rPr>
  </w:style>
  <w:style w:type="paragraph" w:customStyle="1" w:styleId="fin">
    <w:name w:val="fin"/>
    <w:basedOn w:val="Normal"/>
    <w:uiPriority w:val="99"/>
    <w:rsid w:val="002B023C"/>
    <w:pPr>
      <w:spacing w:after="150" w:line="288" w:lineRule="auto"/>
    </w:pPr>
    <w:rPr>
      <w:rFonts w:eastAsia="Times New Roman"/>
      <w:sz w:val="23"/>
      <w:szCs w:val="23"/>
      <w:lang w:val="es-ES"/>
    </w:rPr>
  </w:style>
  <w:style w:type="paragraph" w:customStyle="1" w:styleId="footerbotdirectos">
    <w:name w:val="footer_bot_directos"/>
    <w:basedOn w:val="Normal"/>
    <w:uiPriority w:val="99"/>
    <w:rsid w:val="002B023C"/>
    <w:pPr>
      <w:spacing w:after="150" w:line="288" w:lineRule="auto"/>
    </w:pPr>
    <w:rPr>
      <w:rFonts w:eastAsia="Times New Roman"/>
      <w:sz w:val="23"/>
      <w:szCs w:val="23"/>
      <w:lang w:val="es-ES"/>
    </w:rPr>
  </w:style>
  <w:style w:type="paragraph" w:customStyle="1" w:styleId="ui-slider-handle">
    <w:name w:val="ui-slider-handle"/>
    <w:basedOn w:val="Normal"/>
    <w:uiPriority w:val="99"/>
    <w:rsid w:val="002B023C"/>
    <w:pPr>
      <w:pBdr>
        <w:top w:val="single" w:sz="6" w:space="0" w:color="CCCCCC"/>
        <w:left w:val="single" w:sz="6" w:space="0" w:color="CCCCCC"/>
        <w:bottom w:val="single" w:sz="6" w:space="0" w:color="CCCCCC"/>
        <w:right w:val="single" w:sz="6" w:space="0" w:color="CCCCCC"/>
      </w:pBdr>
      <w:shd w:val="clear" w:color="auto" w:fill="FF6600"/>
      <w:spacing w:after="150" w:line="288" w:lineRule="auto"/>
    </w:pPr>
    <w:rPr>
      <w:rFonts w:eastAsia="Times New Roman"/>
      <w:sz w:val="23"/>
      <w:szCs w:val="23"/>
      <w:lang w:val="es-ES"/>
    </w:rPr>
  </w:style>
  <w:style w:type="paragraph" w:customStyle="1" w:styleId="paginador">
    <w:name w:val="paginador"/>
    <w:basedOn w:val="Normal"/>
    <w:uiPriority w:val="99"/>
    <w:rsid w:val="002B023C"/>
    <w:pPr>
      <w:spacing w:after="150" w:line="288" w:lineRule="auto"/>
    </w:pPr>
    <w:rPr>
      <w:rFonts w:eastAsia="Times New Roman"/>
      <w:sz w:val="23"/>
      <w:szCs w:val="23"/>
      <w:lang w:val="es-ES"/>
    </w:rPr>
  </w:style>
  <w:style w:type="paragraph" w:customStyle="1" w:styleId="sub">
    <w:name w:val="sub"/>
    <w:basedOn w:val="Normal"/>
    <w:uiPriority w:val="99"/>
    <w:rsid w:val="002B023C"/>
    <w:pPr>
      <w:spacing w:after="150" w:line="288" w:lineRule="auto"/>
    </w:pPr>
    <w:rPr>
      <w:rFonts w:eastAsia="Times New Roman"/>
      <w:sz w:val="23"/>
      <w:szCs w:val="23"/>
      <w:lang w:val="es-ES"/>
    </w:rPr>
  </w:style>
  <w:style w:type="paragraph" w:customStyle="1" w:styleId="rank">
    <w:name w:val="rank"/>
    <w:basedOn w:val="Normal"/>
    <w:uiPriority w:val="99"/>
    <w:rsid w:val="002B023C"/>
    <w:pPr>
      <w:spacing w:after="150" w:line="288" w:lineRule="auto"/>
    </w:pPr>
    <w:rPr>
      <w:rFonts w:eastAsia="Times New Roman"/>
      <w:sz w:val="23"/>
      <w:szCs w:val="23"/>
      <w:lang w:val="es-ES"/>
    </w:rPr>
  </w:style>
  <w:style w:type="paragraph" w:customStyle="1" w:styleId="columna">
    <w:name w:val="columna"/>
    <w:basedOn w:val="Normal"/>
    <w:uiPriority w:val="99"/>
    <w:rsid w:val="002B023C"/>
    <w:pPr>
      <w:spacing w:after="150" w:line="288" w:lineRule="auto"/>
    </w:pPr>
    <w:rPr>
      <w:rFonts w:eastAsia="Times New Roman"/>
      <w:sz w:val="23"/>
      <w:szCs w:val="23"/>
      <w:lang w:val="es-ES"/>
    </w:rPr>
  </w:style>
  <w:style w:type="paragraph" w:customStyle="1" w:styleId="col">
    <w:name w:val="col"/>
    <w:basedOn w:val="Normal"/>
    <w:uiPriority w:val="99"/>
    <w:rsid w:val="002B023C"/>
    <w:pPr>
      <w:spacing w:after="150" w:line="288" w:lineRule="auto"/>
    </w:pPr>
    <w:rPr>
      <w:rFonts w:eastAsia="Times New Roman"/>
      <w:sz w:val="23"/>
      <w:szCs w:val="23"/>
      <w:lang w:val="es-ES"/>
    </w:rPr>
  </w:style>
  <w:style w:type="paragraph" w:customStyle="1" w:styleId="espaciado">
    <w:name w:val="espaciado"/>
    <w:basedOn w:val="Normal"/>
    <w:uiPriority w:val="99"/>
    <w:rsid w:val="002B023C"/>
    <w:pPr>
      <w:spacing w:after="150" w:line="288" w:lineRule="auto"/>
    </w:pPr>
    <w:rPr>
      <w:rFonts w:eastAsia="Times New Roman"/>
      <w:sz w:val="23"/>
      <w:szCs w:val="23"/>
      <w:lang w:val="es-ES"/>
    </w:rPr>
  </w:style>
  <w:style w:type="paragraph" w:customStyle="1" w:styleId="icur">
    <w:name w:val="icur"/>
    <w:basedOn w:val="Normal"/>
    <w:uiPriority w:val="99"/>
    <w:rsid w:val="002B023C"/>
    <w:pPr>
      <w:spacing w:after="150" w:line="288" w:lineRule="auto"/>
    </w:pPr>
    <w:rPr>
      <w:rFonts w:eastAsia="Times New Roman"/>
      <w:sz w:val="23"/>
      <w:szCs w:val="23"/>
      <w:lang w:val="es-ES"/>
    </w:rPr>
  </w:style>
  <w:style w:type="paragraph" w:customStyle="1" w:styleId="colfinal">
    <w:name w:val="col_final"/>
    <w:basedOn w:val="Normal"/>
    <w:uiPriority w:val="99"/>
    <w:rsid w:val="002B023C"/>
    <w:pPr>
      <w:spacing w:after="150" w:line="288" w:lineRule="auto"/>
    </w:pPr>
    <w:rPr>
      <w:rFonts w:eastAsia="Times New Roman"/>
      <w:sz w:val="23"/>
      <w:szCs w:val="23"/>
      <w:lang w:val="es-ES"/>
    </w:rPr>
  </w:style>
  <w:style w:type="paragraph" w:customStyle="1" w:styleId="sub1">
    <w:name w:val="sub1"/>
    <w:basedOn w:val="Normal"/>
    <w:uiPriority w:val="99"/>
    <w:rsid w:val="002B023C"/>
    <w:pPr>
      <w:spacing w:after="375" w:line="288" w:lineRule="auto"/>
      <w:ind w:left="150"/>
    </w:pPr>
    <w:rPr>
      <w:rFonts w:eastAsia="Times New Roman"/>
      <w:sz w:val="20"/>
      <w:szCs w:val="20"/>
      <w:lang w:val="es-ES"/>
    </w:rPr>
  </w:style>
  <w:style w:type="paragraph" w:customStyle="1" w:styleId="rank1">
    <w:name w:val="rank1"/>
    <w:basedOn w:val="Normal"/>
    <w:uiPriority w:val="99"/>
    <w:rsid w:val="002B023C"/>
    <w:pPr>
      <w:spacing w:before="150" w:line="288" w:lineRule="auto"/>
      <w:ind w:left="225" w:right="225"/>
    </w:pPr>
    <w:rPr>
      <w:rFonts w:eastAsia="Times New Roman"/>
      <w:sz w:val="23"/>
      <w:szCs w:val="23"/>
      <w:lang w:val="es-ES"/>
    </w:rPr>
  </w:style>
  <w:style w:type="paragraph" w:customStyle="1" w:styleId="intro1">
    <w:name w:val="intro1"/>
    <w:basedOn w:val="Normal"/>
    <w:rsid w:val="002B023C"/>
    <w:pPr>
      <w:spacing w:after="150" w:line="288" w:lineRule="auto"/>
    </w:pPr>
    <w:rPr>
      <w:rFonts w:eastAsia="Times New Roman"/>
      <w:sz w:val="23"/>
      <w:szCs w:val="23"/>
      <w:lang w:val="es-ES"/>
    </w:rPr>
  </w:style>
  <w:style w:type="paragraph" w:customStyle="1" w:styleId="col1">
    <w:name w:val="col1"/>
    <w:basedOn w:val="Normal"/>
    <w:uiPriority w:val="99"/>
    <w:rsid w:val="002B023C"/>
    <w:pPr>
      <w:spacing w:after="150" w:line="288" w:lineRule="auto"/>
    </w:pPr>
    <w:rPr>
      <w:rFonts w:eastAsia="Times New Roman"/>
      <w:sz w:val="23"/>
      <w:szCs w:val="23"/>
      <w:lang w:val="es-ES"/>
    </w:rPr>
  </w:style>
  <w:style w:type="paragraph" w:customStyle="1" w:styleId="espaciado1">
    <w:name w:val="espaciado1"/>
    <w:basedOn w:val="Normal"/>
    <w:uiPriority w:val="99"/>
    <w:rsid w:val="002B023C"/>
    <w:pPr>
      <w:pBdr>
        <w:left w:val="single" w:sz="6" w:space="15" w:color="C2C1A5"/>
      </w:pBdr>
      <w:spacing w:after="150" w:line="288" w:lineRule="auto"/>
    </w:pPr>
    <w:rPr>
      <w:rFonts w:eastAsia="Times New Roman"/>
      <w:sz w:val="23"/>
      <w:szCs w:val="23"/>
      <w:lang w:val="es-ES"/>
    </w:rPr>
  </w:style>
  <w:style w:type="paragraph" w:customStyle="1" w:styleId="icur1">
    <w:name w:val="icur1"/>
    <w:basedOn w:val="Normal"/>
    <w:uiPriority w:val="99"/>
    <w:rsid w:val="002B023C"/>
    <w:pPr>
      <w:spacing w:after="150" w:line="288" w:lineRule="auto"/>
      <w:ind w:left="450"/>
    </w:pPr>
    <w:rPr>
      <w:rFonts w:eastAsia="Times New Roman"/>
      <w:sz w:val="23"/>
      <w:szCs w:val="23"/>
      <w:lang w:val="es-ES"/>
    </w:rPr>
  </w:style>
  <w:style w:type="paragraph" w:customStyle="1" w:styleId="colfinal1">
    <w:name w:val="col_final1"/>
    <w:basedOn w:val="Normal"/>
    <w:uiPriority w:val="99"/>
    <w:rsid w:val="002B023C"/>
    <w:pPr>
      <w:pBdr>
        <w:top w:val="single" w:sz="6" w:space="15" w:color="C2C1A5"/>
      </w:pBdr>
      <w:spacing w:after="150" w:line="288" w:lineRule="auto"/>
    </w:pPr>
    <w:rPr>
      <w:rFonts w:eastAsia="Times New Roman"/>
      <w:sz w:val="23"/>
      <w:szCs w:val="23"/>
      <w:lang w:val="es-ES"/>
    </w:rPr>
  </w:style>
  <w:style w:type="paragraph" w:customStyle="1" w:styleId="paginador1">
    <w:name w:val="paginador1"/>
    <w:basedOn w:val="Normal"/>
    <w:uiPriority w:val="99"/>
    <w:rsid w:val="002B023C"/>
    <w:pPr>
      <w:spacing w:before="450" w:after="450" w:line="288" w:lineRule="auto"/>
      <w:jc w:val="center"/>
    </w:pPr>
    <w:rPr>
      <w:rFonts w:eastAsia="Times New Roman"/>
      <w:b/>
      <w:bCs/>
      <w:sz w:val="23"/>
      <w:szCs w:val="23"/>
      <w:lang w:val="es-ES"/>
    </w:rPr>
  </w:style>
  <w:style w:type="paragraph" w:customStyle="1" w:styleId="separadordatos1">
    <w:name w:val="separador_datos1"/>
    <w:basedOn w:val="Normal"/>
    <w:uiPriority w:val="99"/>
    <w:rsid w:val="002B023C"/>
    <w:pPr>
      <w:shd w:val="clear" w:color="auto" w:fill="FFFFFF"/>
      <w:spacing w:after="150" w:line="288" w:lineRule="auto"/>
    </w:pPr>
    <w:rPr>
      <w:rFonts w:eastAsia="Times New Roman"/>
      <w:sz w:val="23"/>
      <w:szCs w:val="23"/>
      <w:lang w:val="es-ES"/>
    </w:rPr>
  </w:style>
  <w:style w:type="paragraph" w:customStyle="1" w:styleId="separador1">
    <w:name w:val="separador1"/>
    <w:basedOn w:val="Normal"/>
    <w:uiPriority w:val="99"/>
    <w:rsid w:val="002B023C"/>
    <w:pPr>
      <w:shd w:val="clear" w:color="auto" w:fill="FFF4DC"/>
      <w:spacing w:after="150" w:line="288" w:lineRule="auto"/>
    </w:pPr>
    <w:rPr>
      <w:rFonts w:eastAsia="Times New Roman"/>
      <w:sz w:val="23"/>
      <w:szCs w:val="23"/>
      <w:lang w:val="es-ES"/>
    </w:rPr>
  </w:style>
  <w:style w:type="paragraph" w:customStyle="1" w:styleId="columna1">
    <w:name w:val="columna1"/>
    <w:basedOn w:val="Normal"/>
    <w:uiPriority w:val="99"/>
    <w:rsid w:val="002B023C"/>
    <w:pPr>
      <w:spacing w:before="150" w:line="288" w:lineRule="auto"/>
      <w:ind w:left="225"/>
    </w:pPr>
    <w:rPr>
      <w:rFonts w:eastAsia="Times New Roman"/>
      <w:sz w:val="23"/>
      <w:szCs w:val="23"/>
      <w:lang w:val="es-ES"/>
    </w:rPr>
  </w:style>
  <w:style w:type="table" w:customStyle="1" w:styleId="Tablaconcuadrcula378">
    <w:name w:val="Tabla con cuadrícula378"/>
    <w:basedOn w:val="Tablanormal"/>
    <w:next w:val="Tablaconcuadrcula"/>
    <w:rsid w:val="0042237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5">
    <w:name w:val="Sin lista245"/>
    <w:next w:val="Sinlista"/>
    <w:semiHidden/>
    <w:rsid w:val="00110D1F"/>
  </w:style>
  <w:style w:type="table" w:customStyle="1" w:styleId="Tablaconcuadrcula379">
    <w:name w:val="Tabla con cuadrícula379"/>
    <w:basedOn w:val="Tablanormal"/>
    <w:next w:val="Tablaconcuadrcula"/>
    <w:rsid w:val="00110D1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6">
    <w:name w:val="Sin lista246"/>
    <w:next w:val="Sinlista"/>
    <w:semiHidden/>
    <w:rsid w:val="00767BB9"/>
  </w:style>
  <w:style w:type="table" w:customStyle="1" w:styleId="Tablaconcuadrcula380">
    <w:name w:val="Tabla con cuadrícula380"/>
    <w:basedOn w:val="Tablanormal"/>
    <w:next w:val="Tablaconcuadrcula"/>
    <w:rsid w:val="00767BB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7">
    <w:name w:val="Sin lista247"/>
    <w:next w:val="Sinlista"/>
    <w:semiHidden/>
    <w:rsid w:val="00590D83"/>
  </w:style>
  <w:style w:type="table" w:customStyle="1" w:styleId="Tablaconcuadrcula1460">
    <w:name w:val="Tabla con cuadrícula 146"/>
    <w:basedOn w:val="Tablanormal"/>
    <w:next w:val="Tablaconcuadrcula10"/>
    <w:rsid w:val="00590D83"/>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Listaconnmeros2">
    <w:name w:val="List Number 2"/>
    <w:basedOn w:val="Normal"/>
    <w:uiPriority w:val="99"/>
    <w:rsid w:val="00590D83"/>
    <w:pPr>
      <w:numPr>
        <w:numId w:val="11"/>
      </w:numPr>
      <w:tabs>
        <w:tab w:val="clear" w:pos="643"/>
        <w:tab w:val="left" w:pos="720"/>
      </w:tabs>
      <w:ind w:left="1440" w:hanging="720"/>
      <w:jc w:val="both"/>
    </w:pPr>
    <w:rPr>
      <w:rFonts w:eastAsia="Times New Roman"/>
      <w:sz w:val="22"/>
      <w:szCs w:val="20"/>
      <w:lang w:val="es-ES" w:eastAsia="en-GB"/>
    </w:rPr>
  </w:style>
  <w:style w:type="table" w:customStyle="1" w:styleId="Tablaconcuadrcula381">
    <w:name w:val="Tabla con cuadrícula381"/>
    <w:basedOn w:val="Tablanormal"/>
    <w:next w:val="Tablaconcuadrcula"/>
    <w:rsid w:val="00D7490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8">
    <w:name w:val="Sin lista248"/>
    <w:next w:val="Sinlista"/>
    <w:semiHidden/>
    <w:rsid w:val="00980C2F"/>
  </w:style>
  <w:style w:type="table" w:customStyle="1" w:styleId="Tablaconcuadrcula1470">
    <w:name w:val="Tabla con cuadrícula 147"/>
    <w:basedOn w:val="Tablanormal"/>
    <w:next w:val="Tablaconcuadrcula10"/>
    <w:rsid w:val="00980C2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footnote3">
    <w:name w:val="footnote3"/>
    <w:basedOn w:val="Normal"/>
    <w:uiPriority w:val="99"/>
    <w:rsid w:val="00A53EC0"/>
    <w:pPr>
      <w:spacing w:after="312" w:line="312" w:lineRule="atLeast"/>
    </w:pPr>
    <w:rPr>
      <w:rFonts w:ascii="Verdana" w:eastAsia="Times New Roman" w:hAnsi="Verdana"/>
      <w:sz w:val="22"/>
      <w:szCs w:val="22"/>
      <w:lang w:val="es-ES"/>
    </w:rPr>
  </w:style>
  <w:style w:type="numbering" w:customStyle="1" w:styleId="Sinlista249">
    <w:name w:val="Sin lista249"/>
    <w:next w:val="Sinlista"/>
    <w:semiHidden/>
    <w:rsid w:val="00957534"/>
  </w:style>
  <w:style w:type="table" w:customStyle="1" w:styleId="Tablaconcuadrcula382">
    <w:name w:val="Tabla con cuadrícula382"/>
    <w:basedOn w:val="Tablanormal"/>
    <w:next w:val="Tablaconcuadrcula"/>
    <w:rsid w:val="0095753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83">
    <w:name w:val="Tabla con cuadrícula383"/>
    <w:basedOn w:val="Tablanormal"/>
    <w:next w:val="Tablaconcuadrcula"/>
    <w:rsid w:val="00642FC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84">
    <w:name w:val="Tabla con cuadrícula384"/>
    <w:basedOn w:val="Tablanormal"/>
    <w:next w:val="Tablaconcuadrcula"/>
    <w:rsid w:val="0059329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0">
    <w:name w:val="Sin lista250"/>
    <w:next w:val="Sinlista"/>
    <w:semiHidden/>
    <w:rsid w:val="00FB055D"/>
  </w:style>
  <w:style w:type="table" w:customStyle="1" w:styleId="Tablaconcuadrcula385">
    <w:name w:val="Tabla con cuadrícula385"/>
    <w:basedOn w:val="Tablanormal"/>
    <w:next w:val="Tablaconcuadrcula"/>
    <w:rsid w:val="00FB05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86">
    <w:name w:val="Tabla con cuadrícula386"/>
    <w:basedOn w:val="Tablanormal"/>
    <w:next w:val="Tablaconcuadrcula"/>
    <w:rsid w:val="001C253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4">
    <w:name w:val="Sin lista254"/>
    <w:next w:val="Sinlista"/>
    <w:semiHidden/>
    <w:rsid w:val="00A5100F"/>
  </w:style>
  <w:style w:type="table" w:customStyle="1" w:styleId="Tablaconcuadrcula387">
    <w:name w:val="Tabla con cuadrícula387"/>
    <w:basedOn w:val="Tablanormal"/>
    <w:next w:val="Tablaconcuadrcula"/>
    <w:rsid w:val="00C5772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80">
    <w:name w:val="Tabla con cuadrícula 148"/>
    <w:basedOn w:val="Tablanormal"/>
    <w:next w:val="Tablaconcuadrcula10"/>
    <w:rsid w:val="003947DA"/>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88">
    <w:name w:val="Tabla con cuadrícula388"/>
    <w:basedOn w:val="Tablanormal"/>
    <w:next w:val="Tablaconcuadrcula"/>
    <w:rsid w:val="002D316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5">
    <w:name w:val="Sin lista255"/>
    <w:next w:val="Sinlista"/>
    <w:semiHidden/>
    <w:rsid w:val="00D1615D"/>
  </w:style>
  <w:style w:type="paragraph" w:customStyle="1" w:styleId="msonospacing0">
    <w:name w:val="msonospacing"/>
    <w:basedOn w:val="Normal"/>
    <w:rsid w:val="00D1615D"/>
    <w:pPr>
      <w:spacing w:before="100" w:beforeAutospacing="1" w:after="100" w:afterAutospacing="1"/>
    </w:pPr>
    <w:rPr>
      <w:rFonts w:eastAsia="Times New Roman"/>
      <w:lang w:val="es-ES"/>
    </w:rPr>
  </w:style>
  <w:style w:type="table" w:customStyle="1" w:styleId="Tablaconcuadrcula389">
    <w:name w:val="Tabla con cuadrícula389"/>
    <w:basedOn w:val="Tablanormal"/>
    <w:next w:val="Tablaconcuadrcula"/>
    <w:rsid w:val="00D161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0">
    <w:name w:val="Tabla con cuadrícula390"/>
    <w:basedOn w:val="Tablanormal"/>
    <w:next w:val="Tablaconcuadrcula"/>
    <w:rsid w:val="0064414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6">
    <w:name w:val="Sin lista256"/>
    <w:next w:val="Sinlista"/>
    <w:semiHidden/>
    <w:rsid w:val="003563C3"/>
  </w:style>
  <w:style w:type="numbering" w:customStyle="1" w:styleId="Sinlista257">
    <w:name w:val="Sin lista257"/>
    <w:next w:val="Sinlista"/>
    <w:semiHidden/>
    <w:rsid w:val="003237A0"/>
  </w:style>
  <w:style w:type="table" w:customStyle="1" w:styleId="Tablaconcuadrcula391">
    <w:name w:val="Tabla con cuadrícula391"/>
    <w:basedOn w:val="Tablanormal"/>
    <w:next w:val="Tablaconcuadrcula"/>
    <w:rsid w:val="006F214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2">
    <w:name w:val="Tabla con cuadrícula392"/>
    <w:basedOn w:val="Tablanormal"/>
    <w:next w:val="Tablaconcuadrcula"/>
    <w:rsid w:val="008B7F4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3">
    <w:name w:val="Tabla con cuadrícula393"/>
    <w:basedOn w:val="Tablanormal"/>
    <w:next w:val="Tablaconcuadrcula"/>
    <w:rsid w:val="007B621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4">
    <w:name w:val="Tabla con cuadrícula394"/>
    <w:basedOn w:val="Tablanormal"/>
    <w:next w:val="Tablaconcuadrcula"/>
    <w:rsid w:val="000B5FF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8">
    <w:name w:val="Sin lista258"/>
    <w:next w:val="Sinlista"/>
    <w:semiHidden/>
    <w:rsid w:val="001862AE"/>
  </w:style>
  <w:style w:type="table" w:customStyle="1" w:styleId="Tablaconcuadrcula395">
    <w:name w:val="Tabla con cuadrícula395"/>
    <w:basedOn w:val="Tablanormal"/>
    <w:next w:val="Tablaconcuadrcula"/>
    <w:rsid w:val="002C174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9">
    <w:name w:val="Sin lista259"/>
    <w:next w:val="Sinlista"/>
    <w:semiHidden/>
    <w:rsid w:val="00C60BD6"/>
  </w:style>
  <w:style w:type="table" w:customStyle="1" w:styleId="Tablaconcuadrcula396">
    <w:name w:val="Tabla con cuadrícula396"/>
    <w:basedOn w:val="Tablanormal"/>
    <w:next w:val="Tablaconcuadrcula"/>
    <w:rsid w:val="00C60BD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60">
    <w:name w:val="Sin lista260"/>
    <w:next w:val="Sinlista"/>
    <w:semiHidden/>
    <w:rsid w:val="00384FDC"/>
  </w:style>
  <w:style w:type="character" w:customStyle="1" w:styleId="noteinfo1">
    <w:name w:val="noteinfo1"/>
    <w:basedOn w:val="Fuentedeprrafopredeter"/>
    <w:rsid w:val="00384FDC"/>
    <w:rPr>
      <w:vanish w:val="0"/>
      <w:webHidden w:val="0"/>
      <w:color w:val="969696"/>
      <w:specVanish w:val="0"/>
    </w:rPr>
  </w:style>
  <w:style w:type="character" w:customStyle="1" w:styleId="noteintro1">
    <w:name w:val="noteintro1"/>
    <w:basedOn w:val="Fuentedeprrafopredeter"/>
    <w:rsid w:val="00384FDC"/>
    <w:rPr>
      <w:color w:val="000000"/>
      <w:sz w:val="23"/>
      <w:szCs w:val="23"/>
    </w:rPr>
  </w:style>
  <w:style w:type="table" w:customStyle="1" w:styleId="Tablaconcuadrcula397">
    <w:name w:val="Tabla con cuadrícula397"/>
    <w:basedOn w:val="Tablanormal"/>
    <w:next w:val="Tablaconcuadrcula"/>
    <w:rsid w:val="00384FD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64">
    <w:name w:val="Sin lista264"/>
    <w:next w:val="Sinlista"/>
    <w:semiHidden/>
    <w:rsid w:val="005E1DD2"/>
  </w:style>
  <w:style w:type="numbering" w:customStyle="1" w:styleId="Sinlista265">
    <w:name w:val="Sin lista265"/>
    <w:next w:val="Sinlista"/>
    <w:semiHidden/>
    <w:rsid w:val="00EC76F9"/>
  </w:style>
  <w:style w:type="numbering" w:customStyle="1" w:styleId="Sinlista266">
    <w:name w:val="Sin lista266"/>
    <w:next w:val="Sinlista"/>
    <w:semiHidden/>
    <w:rsid w:val="00EC76F9"/>
  </w:style>
  <w:style w:type="table" w:customStyle="1" w:styleId="Tablaconcuadrcula398">
    <w:name w:val="Tabla con cuadrícula398"/>
    <w:basedOn w:val="Tablanormal"/>
    <w:next w:val="Tablaconcuadrcula"/>
    <w:rsid w:val="00EC76F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9">
    <w:name w:val="Tabla con cuadrícula399"/>
    <w:basedOn w:val="Tablanormal"/>
    <w:next w:val="Tablaconcuadrcula"/>
    <w:rsid w:val="00BA41F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00">
    <w:name w:val="Tabla con cuadrícula400"/>
    <w:basedOn w:val="Tablanormal"/>
    <w:next w:val="Tablaconcuadrcula"/>
    <w:rsid w:val="00E5346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67">
    <w:name w:val="Sin lista267"/>
    <w:next w:val="Sinlista"/>
    <w:semiHidden/>
    <w:rsid w:val="00BF2EBD"/>
  </w:style>
  <w:style w:type="numbering" w:customStyle="1" w:styleId="Sinlista268">
    <w:name w:val="Sin lista268"/>
    <w:next w:val="Sinlista"/>
    <w:semiHidden/>
    <w:rsid w:val="00883CEA"/>
  </w:style>
  <w:style w:type="paragraph" w:customStyle="1" w:styleId="Style22">
    <w:name w:val="Style 22"/>
    <w:basedOn w:val="Normal"/>
    <w:uiPriority w:val="99"/>
    <w:rsid w:val="00883CEA"/>
    <w:pPr>
      <w:widowControl w:val="0"/>
      <w:autoSpaceDE w:val="0"/>
      <w:autoSpaceDN w:val="0"/>
      <w:ind w:left="108"/>
    </w:pPr>
    <w:rPr>
      <w:rFonts w:eastAsia="Times New Roman"/>
      <w:lang w:val="en-US"/>
    </w:rPr>
  </w:style>
  <w:style w:type="table" w:customStyle="1" w:styleId="Tablaconcuadrcula401">
    <w:name w:val="Tabla con cuadrícula401"/>
    <w:basedOn w:val="Tablanormal"/>
    <w:next w:val="Tablaconcuadrcula"/>
    <w:rsid w:val="00883CE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02">
    <w:name w:val="Tabla con cuadrícula402"/>
    <w:basedOn w:val="Tablanormal"/>
    <w:next w:val="Tablaconcuadrcula"/>
    <w:rsid w:val="00F601E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69">
    <w:name w:val="Sin lista269"/>
    <w:next w:val="Sinlista"/>
    <w:semiHidden/>
    <w:rsid w:val="00010413"/>
  </w:style>
  <w:style w:type="table" w:customStyle="1" w:styleId="Tablaconcuadrcula403">
    <w:name w:val="Tabla con cuadrícula403"/>
    <w:basedOn w:val="Tablanormal"/>
    <w:next w:val="Tablaconcuadrcula"/>
    <w:rsid w:val="005174D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04">
    <w:name w:val="Tabla con cuadrícula404"/>
    <w:basedOn w:val="Tablanormal"/>
    <w:next w:val="Tablaconcuadrcula"/>
    <w:rsid w:val="001D0892"/>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490">
    <w:name w:val="Tabla con cuadrícula 149"/>
    <w:basedOn w:val="Tablanormal"/>
    <w:next w:val="Tablaconcuadrcula10"/>
    <w:rsid w:val="00A17041"/>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270">
    <w:name w:val="Sin lista270"/>
    <w:next w:val="Sinlista"/>
    <w:semiHidden/>
    <w:rsid w:val="00892EBE"/>
  </w:style>
  <w:style w:type="table" w:customStyle="1" w:styleId="Tablaconcuadrcula1501">
    <w:name w:val="Tabla con cuadrícula 150"/>
    <w:basedOn w:val="Tablanormal"/>
    <w:next w:val="Tablaconcuadrcula10"/>
    <w:rsid w:val="00BB3DA8"/>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05">
    <w:name w:val="Tabla con cuadrícula405"/>
    <w:basedOn w:val="Tablanormal"/>
    <w:next w:val="Tablaconcuadrcula"/>
    <w:rsid w:val="00FD597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74">
    <w:name w:val="Sin lista274"/>
    <w:next w:val="Sinlista"/>
    <w:semiHidden/>
    <w:rsid w:val="001C6D47"/>
  </w:style>
  <w:style w:type="table" w:customStyle="1" w:styleId="Tablaconcuadrcula406">
    <w:name w:val="Tabla con cuadrícula406"/>
    <w:basedOn w:val="Tablanormal"/>
    <w:next w:val="Tablaconcuadrcula"/>
    <w:rsid w:val="001C6D4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75">
    <w:name w:val="Sin lista275"/>
    <w:next w:val="Sinlista"/>
    <w:semiHidden/>
    <w:rsid w:val="00AC612A"/>
  </w:style>
  <w:style w:type="table" w:customStyle="1" w:styleId="Tablaconcuadrcula407">
    <w:name w:val="Tabla con cuadrícula407"/>
    <w:basedOn w:val="Tablanormal"/>
    <w:next w:val="Tablaconcuadrcula"/>
    <w:rsid w:val="00AC612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08">
    <w:name w:val="Tabla con cuadrícula408"/>
    <w:basedOn w:val="Tablanormal"/>
    <w:next w:val="Tablaconcuadrcula"/>
    <w:rsid w:val="00B757E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09">
    <w:name w:val="Tabla con cuadrícula409"/>
    <w:basedOn w:val="Tablanormal"/>
    <w:next w:val="Tablaconcuadrcula"/>
    <w:rsid w:val="00035D4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76">
    <w:name w:val="Sin lista276"/>
    <w:next w:val="Sinlista"/>
    <w:semiHidden/>
    <w:rsid w:val="00121CB4"/>
  </w:style>
  <w:style w:type="table" w:customStyle="1" w:styleId="Tablaconcuadrcula410">
    <w:name w:val="Tabla con cuadrícula410"/>
    <w:basedOn w:val="Tablanormal"/>
    <w:next w:val="Tablaconcuadrcula"/>
    <w:rsid w:val="00121CB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1">
    <w:name w:val="Tabla con cuadrícula411"/>
    <w:basedOn w:val="Tablanormal"/>
    <w:next w:val="Tablaconcuadrcula"/>
    <w:rsid w:val="0056205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2">
    <w:name w:val="Tabla con cuadrícula412"/>
    <w:basedOn w:val="Tablanormal"/>
    <w:next w:val="Tablaconcuadrcula"/>
    <w:rsid w:val="0072100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77">
    <w:name w:val="Sin lista277"/>
    <w:next w:val="Sinlista"/>
    <w:semiHidden/>
    <w:rsid w:val="00A94C1F"/>
  </w:style>
  <w:style w:type="table" w:customStyle="1" w:styleId="Tablaconcuadrcula413">
    <w:name w:val="Tabla con cuadrícula413"/>
    <w:basedOn w:val="Tablanormal"/>
    <w:next w:val="Tablaconcuadrcula"/>
    <w:rsid w:val="00A94C1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78">
    <w:name w:val="Sin lista278"/>
    <w:next w:val="Sinlista"/>
    <w:semiHidden/>
    <w:rsid w:val="006E3CC2"/>
  </w:style>
  <w:style w:type="table" w:customStyle="1" w:styleId="Tablaconcuadrcula414">
    <w:name w:val="Tabla con cuadrícula414"/>
    <w:basedOn w:val="Tablanormal"/>
    <w:next w:val="Tablaconcuadrcula"/>
    <w:rsid w:val="006E3CC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79">
    <w:name w:val="Sin lista279"/>
    <w:next w:val="Sinlista"/>
    <w:semiHidden/>
    <w:rsid w:val="006E1899"/>
  </w:style>
  <w:style w:type="table" w:customStyle="1" w:styleId="Tablaconcuadrcula415">
    <w:name w:val="Tabla con cuadrícula415"/>
    <w:basedOn w:val="Tablanormal"/>
    <w:next w:val="Tablaconcuadrcula"/>
    <w:rsid w:val="006E189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80">
    <w:name w:val="Sin lista280"/>
    <w:next w:val="Sinlista"/>
    <w:semiHidden/>
    <w:rsid w:val="00D215E7"/>
  </w:style>
  <w:style w:type="table" w:customStyle="1" w:styleId="Tablaconcuadrcula416">
    <w:name w:val="Tabla con cuadrícula416"/>
    <w:basedOn w:val="Tablanormal"/>
    <w:next w:val="Tablaconcuadrcula"/>
    <w:rsid w:val="00D215E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84">
    <w:name w:val="Sin lista284"/>
    <w:next w:val="Sinlista"/>
    <w:semiHidden/>
    <w:rsid w:val="00FA295E"/>
  </w:style>
  <w:style w:type="table" w:customStyle="1" w:styleId="Tablaconcuadrcula417">
    <w:name w:val="Tabla con cuadrícula417"/>
    <w:basedOn w:val="Tablanormal"/>
    <w:next w:val="Tablaconcuadrcula"/>
    <w:rsid w:val="00FA295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6">
    <w:name w:val="Tabla con cuadrícula 151"/>
    <w:basedOn w:val="Tablanormal"/>
    <w:next w:val="Tablaconcuadrcula10"/>
    <w:rsid w:val="00057ED2"/>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285">
    <w:name w:val="Sin lista285"/>
    <w:next w:val="Sinlista"/>
    <w:semiHidden/>
    <w:rsid w:val="002B5A3B"/>
  </w:style>
  <w:style w:type="table" w:customStyle="1" w:styleId="Tablaconcuadrcula418">
    <w:name w:val="Tabla con cuadrícula418"/>
    <w:basedOn w:val="Tablanormal"/>
    <w:next w:val="Tablaconcuadrcula"/>
    <w:rsid w:val="002B5A3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86">
    <w:name w:val="Sin lista286"/>
    <w:next w:val="Sinlista"/>
    <w:semiHidden/>
    <w:rsid w:val="00A377EF"/>
  </w:style>
  <w:style w:type="table" w:customStyle="1" w:styleId="Tablaconcuadrcula419">
    <w:name w:val="Tabla con cuadrícula419"/>
    <w:basedOn w:val="Tablanormal"/>
    <w:next w:val="Tablaconcuadrcula"/>
    <w:rsid w:val="00A377E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87">
    <w:name w:val="Sin lista287"/>
    <w:next w:val="Sinlista"/>
    <w:semiHidden/>
    <w:rsid w:val="008676DE"/>
  </w:style>
  <w:style w:type="table" w:customStyle="1" w:styleId="Tablaconcuadrcula420">
    <w:name w:val="Tabla con cuadrícula420"/>
    <w:basedOn w:val="Tablanormal"/>
    <w:next w:val="Tablaconcuadrcula"/>
    <w:rsid w:val="008676D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88">
    <w:name w:val="Sin lista288"/>
    <w:next w:val="Sinlista"/>
    <w:semiHidden/>
    <w:rsid w:val="009173C4"/>
  </w:style>
  <w:style w:type="table" w:customStyle="1" w:styleId="Tablaconcuadrcula421">
    <w:name w:val="Tabla con cuadrícula421"/>
    <w:basedOn w:val="Tablanormal"/>
    <w:next w:val="Tablaconcuadrcula"/>
    <w:rsid w:val="009173C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89">
    <w:name w:val="Sin lista289"/>
    <w:next w:val="Sinlista"/>
    <w:semiHidden/>
    <w:rsid w:val="00127795"/>
  </w:style>
  <w:style w:type="table" w:customStyle="1" w:styleId="Tablaconcuadrcula422">
    <w:name w:val="Tabla con cuadrícula422"/>
    <w:basedOn w:val="Tablanormal"/>
    <w:next w:val="Tablaconcuadrcula"/>
    <w:rsid w:val="0012779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3">
    <w:name w:val="Tabla con cuadrícula423"/>
    <w:basedOn w:val="Tablanormal"/>
    <w:next w:val="Tablaconcuadrcula"/>
    <w:rsid w:val="00243BC3"/>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290">
    <w:name w:val="Sin lista290"/>
    <w:next w:val="Sinlista"/>
    <w:semiHidden/>
    <w:rsid w:val="008B0611"/>
  </w:style>
  <w:style w:type="table" w:customStyle="1" w:styleId="Tablaconcuadrcula424">
    <w:name w:val="Tabla con cuadrícula424"/>
    <w:basedOn w:val="Tablanormal"/>
    <w:next w:val="Tablaconcuadrcula"/>
    <w:rsid w:val="008B061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5">
    <w:name w:val="Tabla con cuadrícula425"/>
    <w:basedOn w:val="Tablanormal"/>
    <w:next w:val="Tablaconcuadrcula"/>
    <w:rsid w:val="00FE11E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20">
    <w:name w:val="Tabla con cuadrícula 152"/>
    <w:basedOn w:val="Tablanormal"/>
    <w:next w:val="Tablaconcuadrcula10"/>
    <w:rsid w:val="009E76FE"/>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26">
    <w:name w:val="Tabla con cuadrícula426"/>
    <w:basedOn w:val="Tablanormal"/>
    <w:next w:val="Tablaconcuadrcula"/>
    <w:rsid w:val="00B7101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94">
    <w:name w:val="Sin lista294"/>
    <w:next w:val="Sinlista"/>
    <w:semiHidden/>
    <w:rsid w:val="00576B47"/>
  </w:style>
  <w:style w:type="table" w:customStyle="1" w:styleId="Tablaconcuadrcula427">
    <w:name w:val="Tabla con cuadrícula427"/>
    <w:basedOn w:val="Tablanormal"/>
    <w:next w:val="Tablaconcuadrcula"/>
    <w:rsid w:val="00576B4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95">
    <w:name w:val="Sin lista295"/>
    <w:next w:val="Sinlista"/>
    <w:semiHidden/>
    <w:rsid w:val="00956EDE"/>
  </w:style>
  <w:style w:type="table" w:customStyle="1" w:styleId="Tablaconcuadrcula428">
    <w:name w:val="Tabla con cuadrícula428"/>
    <w:basedOn w:val="Tablanormal"/>
    <w:next w:val="Tablaconcuadrcula"/>
    <w:rsid w:val="00956ED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96">
    <w:name w:val="Sin lista296"/>
    <w:next w:val="Sinlista"/>
    <w:semiHidden/>
    <w:rsid w:val="0048716F"/>
  </w:style>
  <w:style w:type="table" w:customStyle="1" w:styleId="Tablaconcuadrcula429">
    <w:name w:val="Tabla con cuadrícula429"/>
    <w:basedOn w:val="Tablanormal"/>
    <w:next w:val="Tablaconcuadrcula"/>
    <w:rsid w:val="004871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0">
    <w:name w:val="Tabla con cuadrícula430"/>
    <w:basedOn w:val="Tablanormal"/>
    <w:next w:val="Tablaconcuadrcula"/>
    <w:rsid w:val="006E48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97">
    <w:name w:val="Sin lista297"/>
    <w:next w:val="Sinlista"/>
    <w:semiHidden/>
    <w:rsid w:val="005A5817"/>
  </w:style>
  <w:style w:type="table" w:customStyle="1" w:styleId="Tablaconcuadrcula431">
    <w:name w:val="Tabla con cuadrícula431"/>
    <w:basedOn w:val="Tablanormal"/>
    <w:next w:val="Tablaconcuadrcula"/>
    <w:rsid w:val="00D3087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2">
    <w:name w:val="Tabla con cuadrícula432"/>
    <w:basedOn w:val="Tablanormal"/>
    <w:next w:val="Tablaconcuadrcula"/>
    <w:rsid w:val="002E72E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3">
    <w:name w:val="Tabla con cuadrícula433"/>
    <w:basedOn w:val="Tablanormal"/>
    <w:next w:val="Tablaconcuadrcula"/>
    <w:rsid w:val="0002386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98">
    <w:name w:val="Sin lista298"/>
    <w:next w:val="Sinlista"/>
    <w:semiHidden/>
    <w:rsid w:val="00B527C4"/>
  </w:style>
  <w:style w:type="table" w:customStyle="1" w:styleId="Tablaconcuadrcula434">
    <w:name w:val="Tabla con cuadrícula434"/>
    <w:basedOn w:val="Tablanormal"/>
    <w:next w:val="Tablaconcuadrcula"/>
    <w:rsid w:val="00B527C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5">
    <w:name w:val="Tabla con cuadrícula435"/>
    <w:basedOn w:val="Tablanormal"/>
    <w:next w:val="Tablaconcuadrcula"/>
    <w:rsid w:val="00B90E4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99">
    <w:name w:val="Sin lista299"/>
    <w:next w:val="Sinlista"/>
    <w:semiHidden/>
    <w:rsid w:val="002F5D4A"/>
  </w:style>
  <w:style w:type="table" w:customStyle="1" w:styleId="Tablaconcuadrcula436">
    <w:name w:val="Tabla con cuadrícula436"/>
    <w:basedOn w:val="Tablanormal"/>
    <w:next w:val="Tablaconcuadrcula"/>
    <w:rsid w:val="002F5D4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7">
    <w:name w:val="Tabla con cuadrícula437"/>
    <w:basedOn w:val="Tablanormal"/>
    <w:next w:val="Tablaconcuadrcula"/>
    <w:rsid w:val="00E96B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8">
    <w:name w:val="Tabla con cuadrícula438"/>
    <w:basedOn w:val="Tablanormal"/>
    <w:next w:val="Tablaconcuadrcula"/>
    <w:rsid w:val="003614B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00">
    <w:name w:val="Sin lista300"/>
    <w:next w:val="Sinlista"/>
    <w:semiHidden/>
    <w:rsid w:val="00C655B1"/>
  </w:style>
  <w:style w:type="table" w:customStyle="1" w:styleId="Tablaconcuadrcula439">
    <w:name w:val="Tabla con cuadrícula439"/>
    <w:basedOn w:val="Tablanormal"/>
    <w:next w:val="Tablaconcuadrcula"/>
    <w:rsid w:val="00D0218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04">
    <w:name w:val="Sin lista304"/>
    <w:next w:val="Sinlista"/>
    <w:semiHidden/>
    <w:rsid w:val="00D02182"/>
  </w:style>
  <w:style w:type="table" w:customStyle="1" w:styleId="Tablaconcuadrcula440">
    <w:name w:val="Tabla con cuadrícula440"/>
    <w:basedOn w:val="Tablanormal"/>
    <w:next w:val="Tablaconcuadrcula"/>
    <w:rsid w:val="00D0218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1">
    <w:name w:val="Tabla con cuadrícula441"/>
    <w:basedOn w:val="Tablanormal"/>
    <w:next w:val="Tablaconcuadrcula"/>
    <w:rsid w:val="00BA47B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05">
    <w:name w:val="Sin lista305"/>
    <w:next w:val="Sinlista"/>
    <w:semiHidden/>
    <w:rsid w:val="005818B8"/>
  </w:style>
  <w:style w:type="table" w:customStyle="1" w:styleId="Tablaconcuadrcula442">
    <w:name w:val="Tabla con cuadrícula442"/>
    <w:basedOn w:val="Tablanormal"/>
    <w:next w:val="Tablaconcuadrcula"/>
    <w:rsid w:val="005818B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06">
    <w:name w:val="Sin lista306"/>
    <w:next w:val="Sinlista"/>
    <w:semiHidden/>
    <w:rsid w:val="007600C7"/>
  </w:style>
  <w:style w:type="table" w:customStyle="1" w:styleId="Tablaconcuadrcula443">
    <w:name w:val="Tabla con cuadrícula443"/>
    <w:basedOn w:val="Tablanormal"/>
    <w:next w:val="Tablaconcuadrcula"/>
    <w:rsid w:val="007600C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4">
    <w:name w:val="Tabla con cuadrícula444"/>
    <w:basedOn w:val="Tablanormal"/>
    <w:next w:val="Tablaconcuadrcula"/>
    <w:rsid w:val="007D60C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07">
    <w:name w:val="Sin lista307"/>
    <w:next w:val="Sinlista"/>
    <w:semiHidden/>
    <w:rsid w:val="00E86245"/>
  </w:style>
  <w:style w:type="table" w:customStyle="1" w:styleId="Tablaconcuadrcula445">
    <w:name w:val="Tabla con cuadrícula445"/>
    <w:basedOn w:val="Tablanormal"/>
    <w:next w:val="Tablaconcuadrcula"/>
    <w:rsid w:val="00E8624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6">
    <w:name w:val="Tabla con cuadrícula446"/>
    <w:basedOn w:val="Tablanormal"/>
    <w:next w:val="Tablaconcuadrcula"/>
    <w:rsid w:val="00B134B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7">
    <w:name w:val="Tabla con cuadrícula447"/>
    <w:basedOn w:val="Tablanormal"/>
    <w:next w:val="Tablaconcuadrcula"/>
    <w:rsid w:val="0061602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8">
    <w:name w:val="Tabla con cuadrícula448"/>
    <w:basedOn w:val="Tablanormal"/>
    <w:next w:val="Tablaconcuadrcula"/>
    <w:rsid w:val="00FB11E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30">
    <w:name w:val="Tabla con cuadrícula 153"/>
    <w:basedOn w:val="Tablanormal"/>
    <w:next w:val="Tablaconcuadrcula10"/>
    <w:rsid w:val="0099037E"/>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308">
    <w:name w:val="Sin lista308"/>
    <w:next w:val="Sinlista"/>
    <w:semiHidden/>
    <w:rsid w:val="0076440E"/>
  </w:style>
  <w:style w:type="table" w:customStyle="1" w:styleId="Tablaconcuadrcula449">
    <w:name w:val="Tabla con cuadrícula449"/>
    <w:basedOn w:val="Tablanormal"/>
    <w:next w:val="Tablaconcuadrcula"/>
    <w:rsid w:val="0076440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09">
    <w:name w:val="Sin lista309"/>
    <w:next w:val="Sinlista"/>
    <w:semiHidden/>
    <w:rsid w:val="006B3542"/>
  </w:style>
  <w:style w:type="numbering" w:customStyle="1" w:styleId="Sinlista316">
    <w:name w:val="Sin lista316"/>
    <w:next w:val="Sinlista"/>
    <w:semiHidden/>
    <w:rsid w:val="00643404"/>
  </w:style>
  <w:style w:type="table" w:customStyle="1" w:styleId="Tablaconcuadrcula450">
    <w:name w:val="Tabla con cuadrícula450"/>
    <w:basedOn w:val="Tablanormal"/>
    <w:next w:val="Tablaconcuadrcula"/>
    <w:rsid w:val="0064340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17">
    <w:name w:val="Sin lista317"/>
    <w:next w:val="Sinlista"/>
    <w:semiHidden/>
    <w:rsid w:val="00DA6F07"/>
  </w:style>
  <w:style w:type="table" w:customStyle="1" w:styleId="Tablaconcuadrcula451">
    <w:name w:val="Tabla con cuadrícula451"/>
    <w:basedOn w:val="Tablanormal"/>
    <w:next w:val="Tablaconcuadrcula"/>
    <w:rsid w:val="00DA6F0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acterStyle60">
    <w:name w:val="Character Style 60"/>
    <w:rsid w:val="00DA6F07"/>
    <w:rPr>
      <w:color w:val="000000"/>
      <w:sz w:val="6"/>
      <w:szCs w:val="6"/>
      <w:shd w:val="clear" w:color="auto" w:fill="DFDFDF"/>
    </w:rPr>
  </w:style>
  <w:style w:type="table" w:customStyle="1" w:styleId="Tablaconcuadrcula1540">
    <w:name w:val="Tabla con cuadrícula 154"/>
    <w:basedOn w:val="Tablanormal"/>
    <w:next w:val="Tablaconcuadrcula10"/>
    <w:rsid w:val="00DA6F07"/>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Style7">
    <w:name w:val="Style 7"/>
    <w:basedOn w:val="Normal"/>
    <w:uiPriority w:val="99"/>
    <w:rsid w:val="00DA6F07"/>
    <w:pPr>
      <w:widowControl w:val="0"/>
      <w:autoSpaceDE w:val="0"/>
      <w:autoSpaceDN w:val="0"/>
      <w:ind w:firstLine="288"/>
      <w:jc w:val="both"/>
    </w:pPr>
    <w:rPr>
      <w:rFonts w:eastAsia="Times New Roman"/>
      <w:sz w:val="21"/>
      <w:szCs w:val="21"/>
      <w:lang w:val="en-US"/>
    </w:rPr>
  </w:style>
  <w:style w:type="numbering" w:customStyle="1" w:styleId="Sinlista318">
    <w:name w:val="Sin lista318"/>
    <w:next w:val="Sinlista"/>
    <w:semiHidden/>
    <w:rsid w:val="009B69A9"/>
  </w:style>
  <w:style w:type="table" w:customStyle="1" w:styleId="Tablaconcuadrcula452">
    <w:name w:val="Tabla con cuadrícula452"/>
    <w:basedOn w:val="Tablanormal"/>
    <w:next w:val="Tablaconcuadrcula"/>
    <w:rsid w:val="009B69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1">
    <w:name w:val="1 / 1.1 / 1.1.1141"/>
    <w:basedOn w:val="Sinlista"/>
    <w:next w:val="111111"/>
    <w:rsid w:val="00101047"/>
  </w:style>
  <w:style w:type="table" w:customStyle="1" w:styleId="Tablaconcuadrcula453">
    <w:name w:val="Tabla con cuadrícula453"/>
    <w:basedOn w:val="Tablanormal"/>
    <w:next w:val="Tablaconcuadrcula"/>
    <w:rsid w:val="0010104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5">
    <w:name w:val="1 / 1.1 / 1.1.15"/>
    <w:basedOn w:val="Sinlista"/>
    <w:next w:val="111111"/>
    <w:rsid w:val="00101047"/>
  </w:style>
  <w:style w:type="numbering" w:customStyle="1" w:styleId="Sinlista319">
    <w:name w:val="Sin lista319"/>
    <w:next w:val="Sinlista"/>
    <w:semiHidden/>
    <w:rsid w:val="004B43B6"/>
  </w:style>
  <w:style w:type="table" w:customStyle="1" w:styleId="Tablaconcuadrcula454">
    <w:name w:val="Tabla con cuadrícula454"/>
    <w:basedOn w:val="Tablanormal"/>
    <w:next w:val="Tablaconcuadrcula"/>
    <w:rsid w:val="00A61C7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0">
    <w:name w:val="Sin lista320"/>
    <w:next w:val="Sinlista"/>
    <w:semiHidden/>
    <w:rsid w:val="0019748F"/>
  </w:style>
  <w:style w:type="character" w:customStyle="1" w:styleId="CarCar18">
    <w:name w:val="Car Car18"/>
    <w:rsid w:val="0019748F"/>
    <w:rPr>
      <w:rFonts w:cs="CG Palacio (WN)"/>
      <w:b/>
      <w:sz w:val="18"/>
      <w:szCs w:val="24"/>
      <w:lang w:val="es-ES" w:eastAsia="es-ES" w:bidi="ar-SA"/>
    </w:rPr>
  </w:style>
  <w:style w:type="character" w:customStyle="1" w:styleId="CarCar17">
    <w:name w:val="Car Car17"/>
    <w:rsid w:val="0019748F"/>
    <w:rPr>
      <w:rFonts w:ascii="Arial" w:hAnsi="Arial" w:cs="Helv"/>
      <w:sz w:val="18"/>
      <w:lang w:val="es-ES_tradnl" w:eastAsia="es-MX" w:bidi="ar-SA"/>
    </w:rPr>
  </w:style>
  <w:style w:type="character" w:customStyle="1" w:styleId="Ttulo3Car">
    <w:name w:val="Título 3 Car"/>
    <w:aliases w:val="num.                                              3 Car"/>
    <w:link w:val="Ttulo3"/>
    <w:uiPriority w:val="9"/>
    <w:rsid w:val="0019748F"/>
    <w:rPr>
      <w:rFonts w:eastAsia="SimSun"/>
      <w:b/>
      <w:bCs/>
      <w:sz w:val="22"/>
      <w:szCs w:val="22"/>
      <w:lang w:val="es-ES" w:eastAsia="es-ES" w:bidi="ar-SA"/>
    </w:rPr>
  </w:style>
  <w:style w:type="character" w:customStyle="1" w:styleId="CarCar15">
    <w:name w:val="Car Car15"/>
    <w:rsid w:val="0019748F"/>
    <w:rPr>
      <w:sz w:val="24"/>
      <w:lang w:val="es-ES" w:eastAsia="es-ES" w:bidi="ar-SA"/>
    </w:rPr>
  </w:style>
  <w:style w:type="character" w:customStyle="1" w:styleId="CarCar14">
    <w:name w:val="Car Car14"/>
    <w:rsid w:val="0019748F"/>
    <w:rPr>
      <w:rFonts w:ascii="Arial" w:hAnsi="Arial"/>
      <w:b/>
      <w:sz w:val="24"/>
      <w:lang w:val="es-ES" w:eastAsia="es-ES" w:bidi="ar-SA"/>
    </w:rPr>
  </w:style>
  <w:style w:type="character" w:customStyle="1" w:styleId="Ttulo6Car">
    <w:name w:val="Título 6 Car"/>
    <w:link w:val="Ttulo6"/>
    <w:uiPriority w:val="9"/>
    <w:rsid w:val="0019748F"/>
    <w:rPr>
      <w:rFonts w:eastAsia="SimSun"/>
      <w:b/>
      <w:sz w:val="26"/>
      <w:szCs w:val="26"/>
      <w:lang w:val="es-ES" w:eastAsia="es-ES" w:bidi="ar-SA"/>
    </w:rPr>
  </w:style>
  <w:style w:type="character" w:customStyle="1" w:styleId="Ttulo7Car">
    <w:name w:val="Título 7 Car"/>
    <w:link w:val="Ttulo7"/>
    <w:uiPriority w:val="99"/>
    <w:rsid w:val="0019748F"/>
    <w:rPr>
      <w:rFonts w:eastAsia="SimSun"/>
      <w:b/>
      <w:bCs/>
      <w:sz w:val="14"/>
      <w:szCs w:val="26"/>
      <w:lang w:val="es-ES" w:eastAsia="es-ES" w:bidi="ar-SA"/>
    </w:rPr>
  </w:style>
  <w:style w:type="character" w:customStyle="1" w:styleId="Ttulo8Car">
    <w:name w:val="Título 8 Car"/>
    <w:link w:val="Ttulo8"/>
    <w:uiPriority w:val="99"/>
    <w:rsid w:val="0019748F"/>
    <w:rPr>
      <w:rFonts w:eastAsia="SimSun"/>
      <w:i/>
      <w:iCs/>
      <w:sz w:val="24"/>
      <w:szCs w:val="24"/>
      <w:lang w:val="es-MX" w:eastAsia="es-ES" w:bidi="ar-SA"/>
    </w:rPr>
  </w:style>
  <w:style w:type="character" w:customStyle="1" w:styleId="Ttulo9Car">
    <w:name w:val="Título 9 Car"/>
    <w:link w:val="Ttulo9"/>
    <w:uiPriority w:val="99"/>
    <w:rsid w:val="0019748F"/>
    <w:rPr>
      <w:rFonts w:ascii="Arial" w:eastAsia="SimSun" w:hAnsi="Arial"/>
      <w:sz w:val="22"/>
      <w:szCs w:val="22"/>
      <w:lang w:val="es-MX" w:eastAsia="es-ES" w:bidi="ar-SA"/>
    </w:rPr>
  </w:style>
  <w:style w:type="character" w:customStyle="1" w:styleId="SangradetextonormalCar">
    <w:name w:val="Sangría de texto normal Car"/>
    <w:link w:val="Sangradetextonormal"/>
    <w:uiPriority w:val="99"/>
    <w:rsid w:val="0019748F"/>
    <w:rPr>
      <w:rFonts w:eastAsia="SimSun"/>
      <w:sz w:val="24"/>
      <w:szCs w:val="24"/>
      <w:lang w:val="es-ES" w:eastAsia="es-ES" w:bidi="ar-SA"/>
    </w:rPr>
  </w:style>
  <w:style w:type="character" w:customStyle="1" w:styleId="Sangra2detindependienteCar">
    <w:name w:val="Sangría 2 de t. independiente Car"/>
    <w:link w:val="Sangra2detindependiente"/>
    <w:uiPriority w:val="99"/>
    <w:rsid w:val="0019748F"/>
    <w:rPr>
      <w:rFonts w:eastAsia="SimSun"/>
      <w:sz w:val="24"/>
      <w:szCs w:val="24"/>
      <w:lang w:val="es-ES" w:eastAsia="es-ES" w:bidi="ar-SA"/>
    </w:rPr>
  </w:style>
  <w:style w:type="character" w:customStyle="1" w:styleId="CarCar7">
    <w:name w:val="Car Car7"/>
    <w:rsid w:val="0019748F"/>
    <w:rPr>
      <w:lang w:val="es-ES" w:eastAsia="es-ES" w:bidi="ar-SA"/>
    </w:rPr>
  </w:style>
  <w:style w:type="character" w:customStyle="1" w:styleId="PiedepginaCar">
    <w:name w:val="Pie de página Car"/>
    <w:link w:val="Piedepgina"/>
    <w:rsid w:val="0019748F"/>
    <w:rPr>
      <w:rFonts w:eastAsia="SimSun"/>
      <w:sz w:val="24"/>
      <w:szCs w:val="24"/>
      <w:lang w:val="es-MX" w:eastAsia="es-ES" w:bidi="ar-SA"/>
    </w:rPr>
  </w:style>
  <w:style w:type="character" w:customStyle="1" w:styleId="TextoindependienteCar">
    <w:name w:val="Texto independiente Car"/>
    <w:aliases w:val=" Car Car Car Car Car Car Car,Car Car Car Car Car Car Car1"/>
    <w:link w:val="Textoindependiente"/>
    <w:rsid w:val="0019748F"/>
    <w:rPr>
      <w:rFonts w:eastAsia="SimSun"/>
      <w:szCs w:val="24"/>
      <w:lang w:val="es-MX" w:eastAsia="es-ES" w:bidi="ar-SA"/>
    </w:rPr>
  </w:style>
  <w:style w:type="character" w:customStyle="1" w:styleId="Textoindependiente2Car">
    <w:name w:val="Texto independiente 2 Car"/>
    <w:link w:val="Textoindependiente2"/>
    <w:uiPriority w:val="99"/>
    <w:rsid w:val="0019748F"/>
    <w:rPr>
      <w:rFonts w:eastAsia="SimSun"/>
      <w:sz w:val="26"/>
      <w:szCs w:val="24"/>
      <w:lang w:val="es-MX" w:eastAsia="es-ES" w:bidi="ar-SA"/>
    </w:rPr>
  </w:style>
  <w:style w:type="paragraph" w:customStyle="1" w:styleId="xl114">
    <w:name w:val="xl114"/>
    <w:basedOn w:val="Normal"/>
    <w:uiPriority w:val="99"/>
    <w:rsid w:val="0019748F"/>
    <w:pPr>
      <w:shd w:val="clear" w:color="000000" w:fill="FFFFFF"/>
      <w:spacing w:before="100" w:beforeAutospacing="1" w:after="100" w:afterAutospacing="1"/>
      <w:jc w:val="center"/>
    </w:pPr>
    <w:rPr>
      <w:rFonts w:eastAsia="Times New Roman"/>
      <w:lang w:eastAsia="es-MX"/>
    </w:rPr>
  </w:style>
  <w:style w:type="paragraph" w:customStyle="1" w:styleId="xl128">
    <w:name w:val="xl128"/>
    <w:basedOn w:val="Normal"/>
    <w:uiPriority w:val="99"/>
    <w:rsid w:val="0019748F"/>
    <w:pPr>
      <w:shd w:val="clear" w:color="000000" w:fill="FFFFFF"/>
      <w:spacing w:before="100" w:beforeAutospacing="1" w:after="100" w:afterAutospacing="1"/>
      <w:jc w:val="center"/>
    </w:pPr>
    <w:rPr>
      <w:rFonts w:ascii="Arial" w:eastAsia="Times New Roman" w:hAnsi="Arial" w:cs="Arial"/>
      <w:sz w:val="22"/>
      <w:szCs w:val="22"/>
      <w:lang w:eastAsia="es-MX"/>
    </w:rPr>
  </w:style>
  <w:style w:type="paragraph" w:customStyle="1" w:styleId="Secreta">
    <w:name w:val="Secreta"/>
    <w:basedOn w:val="Normal"/>
    <w:autoRedefine/>
    <w:uiPriority w:val="99"/>
    <w:rsid w:val="0019748F"/>
    <w:pPr>
      <w:tabs>
        <w:tab w:val="right" w:leader="dot" w:pos="8100"/>
        <w:tab w:val="right" w:pos="8640"/>
      </w:tabs>
      <w:spacing w:line="334" w:lineRule="exact"/>
      <w:ind w:left="274" w:right="749"/>
      <w:jc w:val="both"/>
    </w:pPr>
    <w:rPr>
      <w:rFonts w:eastAsia="Times New Roman"/>
      <w:b/>
      <w:sz w:val="20"/>
      <w:szCs w:val="20"/>
      <w:u w:val="single"/>
      <w:lang w:val="es-ES_tradnl"/>
    </w:rPr>
  </w:style>
  <w:style w:type="table" w:customStyle="1" w:styleId="Tablaconcuadrcula455">
    <w:name w:val="Tabla con cuadrícula455"/>
    <w:basedOn w:val="Tablanormal"/>
    <w:next w:val="Tablaconcuadrcula"/>
    <w:rsid w:val="000C1D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56">
    <w:name w:val="Tabla con cuadrícula456"/>
    <w:basedOn w:val="Tablanormal"/>
    <w:next w:val="Tablaconcuadrcula"/>
    <w:rsid w:val="003F0E4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57">
    <w:name w:val="Tabla con cuadrícula457"/>
    <w:basedOn w:val="Tablanormal"/>
    <w:next w:val="Tablaconcuadrcula"/>
    <w:rsid w:val="000F334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4">
    <w:name w:val="Sin lista324"/>
    <w:next w:val="Sinlista"/>
    <w:semiHidden/>
    <w:rsid w:val="0073114E"/>
  </w:style>
  <w:style w:type="table" w:customStyle="1" w:styleId="Tablaconcuadrcula458">
    <w:name w:val="Tabla con cuadrícula458"/>
    <w:basedOn w:val="Tablanormal"/>
    <w:next w:val="Tablaconcuadrcula"/>
    <w:rsid w:val="00AD77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59">
    <w:name w:val="Tabla con cuadrícula459"/>
    <w:basedOn w:val="Tablanormal"/>
    <w:next w:val="Tablaconcuadrcula"/>
    <w:rsid w:val="005D682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0">
    <w:name w:val="Tabla con cuadrícula460"/>
    <w:basedOn w:val="Tablanormal"/>
    <w:next w:val="Tablaconcuadrcula"/>
    <w:rsid w:val="003107B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5">
    <w:name w:val="Sin lista325"/>
    <w:next w:val="Sinlista"/>
    <w:semiHidden/>
    <w:rsid w:val="004E20F6"/>
  </w:style>
  <w:style w:type="table" w:customStyle="1" w:styleId="Tablaconcuadrcula461">
    <w:name w:val="Tabla con cuadrícula461"/>
    <w:basedOn w:val="Tablanormal"/>
    <w:next w:val="Tablaconcuadrcula"/>
    <w:rsid w:val="004E20F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2">
    <w:name w:val="Tabla con cuadrícula462"/>
    <w:basedOn w:val="Tablanormal"/>
    <w:next w:val="Tablaconcuadrcula"/>
    <w:rsid w:val="005D11C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3">
    <w:name w:val="Tabla con cuadrícula463"/>
    <w:basedOn w:val="Tablanormal"/>
    <w:next w:val="Tablaconcuadrcula"/>
    <w:rsid w:val="00473E0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6">
    <w:name w:val="Sin lista326"/>
    <w:next w:val="Sinlista"/>
    <w:semiHidden/>
    <w:rsid w:val="007D6242"/>
  </w:style>
  <w:style w:type="table" w:customStyle="1" w:styleId="Tablaconcuadrcula464">
    <w:name w:val="Tabla con cuadrícula464"/>
    <w:basedOn w:val="Tablanormal"/>
    <w:next w:val="Tablaconcuadrcula"/>
    <w:rsid w:val="007D624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50">
    <w:name w:val="Tabla con cuadrícula 155"/>
    <w:basedOn w:val="Tablanormal"/>
    <w:next w:val="Tablaconcuadrcula10"/>
    <w:rsid w:val="00ED7BC3"/>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327">
    <w:name w:val="Sin lista327"/>
    <w:next w:val="Sinlista"/>
    <w:semiHidden/>
    <w:rsid w:val="00C66900"/>
  </w:style>
  <w:style w:type="table" w:customStyle="1" w:styleId="Tablaconcuadrcula465">
    <w:name w:val="Tabla con cuadrícula465"/>
    <w:basedOn w:val="Tablanormal"/>
    <w:next w:val="Tablaconcuadrcula"/>
    <w:rsid w:val="00C6690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8">
    <w:name w:val="Sin lista328"/>
    <w:next w:val="Sinlista"/>
    <w:semiHidden/>
    <w:rsid w:val="00322D90"/>
  </w:style>
  <w:style w:type="table" w:customStyle="1" w:styleId="Tablaconcuadrcula466">
    <w:name w:val="Tabla con cuadrícula466"/>
    <w:basedOn w:val="Tablanormal"/>
    <w:next w:val="Tablaconcuadrcula"/>
    <w:rsid w:val="00322D9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9">
    <w:name w:val="Sin lista329"/>
    <w:next w:val="Sinlista"/>
    <w:semiHidden/>
    <w:rsid w:val="00E832CC"/>
  </w:style>
  <w:style w:type="table" w:customStyle="1" w:styleId="Tablaconcuadrcula467">
    <w:name w:val="Tabla con cuadrícula467"/>
    <w:basedOn w:val="Tablanormal"/>
    <w:next w:val="Tablaconcuadrcula"/>
    <w:rsid w:val="00E832C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8">
    <w:name w:val="Tabla con cuadrícula468"/>
    <w:basedOn w:val="Tablanormal"/>
    <w:next w:val="Tablaconcuadrcula"/>
    <w:rsid w:val="000B2E7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30">
    <w:name w:val="Sin lista330"/>
    <w:next w:val="Sinlista"/>
    <w:semiHidden/>
    <w:rsid w:val="00933439"/>
  </w:style>
  <w:style w:type="table" w:customStyle="1" w:styleId="Tablaconcuadrcula469">
    <w:name w:val="Tabla con cuadrícula469"/>
    <w:basedOn w:val="Tablanormal"/>
    <w:next w:val="Tablaconcuadrcula"/>
    <w:rsid w:val="00C6156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34">
    <w:name w:val="Sin lista334"/>
    <w:next w:val="Sinlista"/>
    <w:semiHidden/>
    <w:rsid w:val="0091338E"/>
  </w:style>
  <w:style w:type="table" w:customStyle="1" w:styleId="Tablaconcuadrcula1560">
    <w:name w:val="Tabla con cuadrícula 156"/>
    <w:basedOn w:val="Tablanormal"/>
    <w:next w:val="Tablaconcuadrcula10"/>
    <w:rsid w:val="0091338E"/>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335">
    <w:name w:val="Sin lista335"/>
    <w:next w:val="Sinlista"/>
    <w:semiHidden/>
    <w:rsid w:val="000860BC"/>
  </w:style>
  <w:style w:type="table" w:customStyle="1" w:styleId="Tablaconcuadrcula470">
    <w:name w:val="Tabla con cuadrícula470"/>
    <w:basedOn w:val="Tablanormal"/>
    <w:next w:val="Tablaconcuadrcula"/>
    <w:rsid w:val="000860B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1">
    <w:name w:val="Tabla con cuadrícula471"/>
    <w:basedOn w:val="Tablanormal"/>
    <w:next w:val="Tablaconcuadrcula"/>
    <w:rsid w:val="00EA652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2">
    <w:name w:val="Tabla con cuadrícula472"/>
    <w:basedOn w:val="Tablanormal"/>
    <w:next w:val="Tablaconcuadrcula"/>
    <w:rsid w:val="00FA505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3">
    <w:name w:val="Tabla con cuadrícula473"/>
    <w:basedOn w:val="Tablanormal"/>
    <w:next w:val="Tablaconcuadrcula"/>
    <w:rsid w:val="00C8658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4">
    <w:name w:val="Tabla con cuadrícula474"/>
    <w:basedOn w:val="Tablanormal"/>
    <w:next w:val="Tablaconcuadrcula"/>
    <w:rsid w:val="00395B6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36">
    <w:name w:val="Sin lista336"/>
    <w:next w:val="Sinlista"/>
    <w:semiHidden/>
    <w:rsid w:val="006C7C31"/>
  </w:style>
  <w:style w:type="table" w:customStyle="1" w:styleId="Tablaconcuadrcula475">
    <w:name w:val="Tabla con cuadrícula475"/>
    <w:basedOn w:val="Tablanormal"/>
    <w:next w:val="Tablaconcuadrcula"/>
    <w:rsid w:val="006C7C3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37">
    <w:name w:val="Sin lista337"/>
    <w:next w:val="Sinlista"/>
    <w:semiHidden/>
    <w:rsid w:val="004745F4"/>
  </w:style>
  <w:style w:type="numbering" w:customStyle="1" w:styleId="Sinlista338">
    <w:name w:val="Sin lista338"/>
    <w:next w:val="Sinlista"/>
    <w:semiHidden/>
    <w:rsid w:val="00727106"/>
  </w:style>
  <w:style w:type="table" w:customStyle="1" w:styleId="Tablaconcuadrcula476">
    <w:name w:val="Tabla con cuadrícula476"/>
    <w:basedOn w:val="Tablanormal"/>
    <w:next w:val="Tablaconcuadrcula"/>
    <w:rsid w:val="0072710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2">
    <w:name w:val="1 / 1.1 / 1.1.1142"/>
    <w:basedOn w:val="Sinlista"/>
    <w:next w:val="111111"/>
    <w:rsid w:val="00776874"/>
    <w:pPr>
      <w:numPr>
        <w:numId w:val="1"/>
      </w:numPr>
    </w:pPr>
  </w:style>
  <w:style w:type="table" w:customStyle="1" w:styleId="Tablaconcuadrcula477">
    <w:name w:val="Tabla con cuadrícula477"/>
    <w:basedOn w:val="Tablanormal"/>
    <w:next w:val="Tablaconcuadrcula"/>
    <w:rsid w:val="0053734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8">
    <w:name w:val="Tabla con cuadrícula478"/>
    <w:basedOn w:val="Tablanormal"/>
    <w:next w:val="Tablaconcuadrcula"/>
    <w:rsid w:val="00E549E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9">
    <w:name w:val="Tabla con cuadrícula479"/>
    <w:basedOn w:val="Tablanormal"/>
    <w:next w:val="Tablaconcuadrcula"/>
    <w:rsid w:val="007129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39">
    <w:name w:val="Sin lista339"/>
    <w:next w:val="Sinlista"/>
    <w:semiHidden/>
    <w:rsid w:val="0080080D"/>
  </w:style>
  <w:style w:type="numbering" w:customStyle="1" w:styleId="Sinlista340">
    <w:name w:val="Sin lista340"/>
    <w:next w:val="Sinlista"/>
    <w:semiHidden/>
    <w:rsid w:val="003B17A9"/>
  </w:style>
  <w:style w:type="table" w:customStyle="1" w:styleId="Tablaconcuadrcula480">
    <w:name w:val="Tabla con cuadrícula480"/>
    <w:basedOn w:val="Tablanormal"/>
    <w:next w:val="Tablaconcuadrcula"/>
    <w:rsid w:val="003B17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1">
    <w:name w:val="Tabla con cuadrícula481"/>
    <w:basedOn w:val="Tablanormal"/>
    <w:next w:val="Tablaconcuadrcula"/>
    <w:rsid w:val="004D741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2">
    <w:name w:val="Tabla con cuadrícula482"/>
    <w:basedOn w:val="Tablanormal"/>
    <w:next w:val="Tablaconcuadrcula"/>
    <w:rsid w:val="00965A5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44">
    <w:name w:val="Sin lista344"/>
    <w:next w:val="Sinlista"/>
    <w:semiHidden/>
    <w:rsid w:val="006577E9"/>
  </w:style>
  <w:style w:type="table" w:customStyle="1" w:styleId="Tablaconcuadrcula1570">
    <w:name w:val="Tabla con cuadrícula 157"/>
    <w:basedOn w:val="Tablanormal"/>
    <w:next w:val="Tablaconcuadrcula10"/>
    <w:rsid w:val="006577E9"/>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83">
    <w:name w:val="Tabla con cuadrícula483"/>
    <w:basedOn w:val="Tablanormal"/>
    <w:next w:val="Tablaconcuadrcula"/>
    <w:rsid w:val="006577E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45">
    <w:name w:val="Sin lista345"/>
    <w:next w:val="Sinlista"/>
    <w:semiHidden/>
    <w:rsid w:val="00F86BD6"/>
  </w:style>
  <w:style w:type="table" w:customStyle="1" w:styleId="Tablaconcuadrcula1105">
    <w:name w:val="Tabla con cuadrícula1105"/>
    <w:basedOn w:val="Tablanormal"/>
    <w:next w:val="Tablaconcuadrcula"/>
    <w:rsid w:val="00F86BD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4">
    <w:name w:val="Tabla con cuadrícula484"/>
    <w:basedOn w:val="Tablanormal"/>
    <w:next w:val="Tablaconcuadrcula"/>
    <w:rsid w:val="00415DA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5">
    <w:name w:val="Tabla con cuadrícula485"/>
    <w:basedOn w:val="Tablanormal"/>
    <w:next w:val="Tablaconcuadrcula"/>
    <w:rsid w:val="00415DA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6">
    <w:name w:val="Tabla con cuadrícula486"/>
    <w:basedOn w:val="Tablanormal"/>
    <w:next w:val="Tablaconcuadrcula"/>
    <w:rsid w:val="00415DA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7">
    <w:name w:val="Tabla con cuadrícula487"/>
    <w:basedOn w:val="Tablanormal"/>
    <w:next w:val="Tablaconcuadrcula"/>
    <w:rsid w:val="0038485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46">
    <w:name w:val="Sin lista346"/>
    <w:next w:val="Sinlista"/>
    <w:semiHidden/>
    <w:rsid w:val="006B7453"/>
  </w:style>
  <w:style w:type="table" w:customStyle="1" w:styleId="Tablaconcuadrcula488">
    <w:name w:val="Tabla con cuadrícula488"/>
    <w:basedOn w:val="Tablanormal"/>
    <w:next w:val="Tablaconcuadrcula"/>
    <w:rsid w:val="006B745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9">
    <w:name w:val="Tabla con cuadrícula489"/>
    <w:basedOn w:val="Tablanormal"/>
    <w:next w:val="Tablaconcuadrcula"/>
    <w:rsid w:val="00D80F4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80">
    <w:name w:val="Tabla con cuadrícula 158"/>
    <w:basedOn w:val="Tablanormal"/>
    <w:next w:val="Tablaconcuadrcula10"/>
    <w:rsid w:val="00D33833"/>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90">
    <w:name w:val="Tabla con cuadrícula490"/>
    <w:basedOn w:val="Tablanormal"/>
    <w:next w:val="Tablaconcuadrcula"/>
    <w:rsid w:val="00687DD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90">
    <w:name w:val="Tabla con cuadrícula 159"/>
    <w:basedOn w:val="Tablanormal"/>
    <w:next w:val="Tablaconcuadrcula10"/>
    <w:rsid w:val="00BC6985"/>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347">
    <w:name w:val="Sin lista347"/>
    <w:next w:val="Sinlista"/>
    <w:semiHidden/>
    <w:rsid w:val="003F5F23"/>
  </w:style>
  <w:style w:type="table" w:customStyle="1" w:styleId="Tablaconcuadrcula491">
    <w:name w:val="Tabla con cuadrícula491"/>
    <w:basedOn w:val="Tablanormal"/>
    <w:next w:val="Tablaconcuadrcula"/>
    <w:rsid w:val="003F5F2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48">
    <w:name w:val="Sin lista348"/>
    <w:next w:val="Sinlista"/>
    <w:semiHidden/>
    <w:rsid w:val="002D25D0"/>
  </w:style>
  <w:style w:type="numbering" w:customStyle="1" w:styleId="Sinlista349">
    <w:name w:val="Sin lista349"/>
    <w:next w:val="Sinlista"/>
    <w:semiHidden/>
    <w:rsid w:val="00853D07"/>
  </w:style>
  <w:style w:type="table" w:customStyle="1" w:styleId="Tablaconcuadrcula492">
    <w:name w:val="Tabla con cuadrícula492"/>
    <w:basedOn w:val="Tablanormal"/>
    <w:next w:val="Tablaconcuadrcula"/>
    <w:rsid w:val="00853D0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50">
    <w:name w:val="Sin lista350"/>
    <w:next w:val="Sinlista"/>
    <w:semiHidden/>
    <w:rsid w:val="00180B2F"/>
  </w:style>
  <w:style w:type="table" w:customStyle="1" w:styleId="Tablaconcuadrcula1600">
    <w:name w:val="Tabla con cuadrícula 160"/>
    <w:basedOn w:val="Tablanormal"/>
    <w:next w:val="Tablaconcuadrcula10"/>
    <w:rsid w:val="00180B2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93">
    <w:name w:val="Tabla con cuadrícula493"/>
    <w:basedOn w:val="Tablanormal"/>
    <w:next w:val="Tablaconcuadrcula"/>
    <w:rsid w:val="00DA556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54">
    <w:name w:val="Sin lista354"/>
    <w:next w:val="Sinlista"/>
    <w:semiHidden/>
    <w:rsid w:val="00B61BEE"/>
  </w:style>
  <w:style w:type="numbering" w:customStyle="1" w:styleId="Sinlista355">
    <w:name w:val="Sin lista355"/>
    <w:next w:val="Sinlista"/>
    <w:semiHidden/>
    <w:rsid w:val="000F5B37"/>
  </w:style>
  <w:style w:type="table" w:customStyle="1" w:styleId="Tablaconcuadrcula494">
    <w:name w:val="Tabla con cuadrícula494"/>
    <w:basedOn w:val="Tablanormal"/>
    <w:next w:val="Tablaconcuadrcula"/>
    <w:rsid w:val="000F5B3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56">
    <w:name w:val="Sin lista356"/>
    <w:next w:val="Sinlista"/>
    <w:semiHidden/>
    <w:rsid w:val="0014404F"/>
  </w:style>
  <w:style w:type="character" w:customStyle="1" w:styleId="EstiloCorreo24501">
    <w:name w:val="EstiloCorreo24501"/>
    <w:basedOn w:val="Fuentedeprrafopredeter"/>
    <w:semiHidden/>
    <w:rsid w:val="0014404F"/>
    <w:rPr>
      <w:rFonts w:ascii="Arial" w:hAnsi="Arial" w:cs="Arial"/>
      <w:color w:val="auto"/>
      <w:sz w:val="20"/>
      <w:szCs w:val="20"/>
    </w:rPr>
  </w:style>
  <w:style w:type="table" w:customStyle="1" w:styleId="Tablaconcuadrcula495">
    <w:name w:val="Tabla con cuadrícula495"/>
    <w:basedOn w:val="Tablanormal"/>
    <w:next w:val="Tablaconcuadrcula"/>
    <w:rsid w:val="00E478C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57">
    <w:name w:val="Sin lista357"/>
    <w:next w:val="Sinlista"/>
    <w:semiHidden/>
    <w:rsid w:val="00E26576"/>
  </w:style>
  <w:style w:type="table" w:customStyle="1" w:styleId="Tablaconcuadrcula496">
    <w:name w:val="Tabla con cuadrícula496"/>
    <w:basedOn w:val="Tablanormal"/>
    <w:next w:val="Tablaconcuadrcula"/>
    <w:rsid w:val="00E2657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97">
    <w:name w:val="Tabla con cuadrícula497"/>
    <w:basedOn w:val="Tablanormal"/>
    <w:next w:val="Tablaconcuadrcula"/>
    <w:rsid w:val="001D720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98">
    <w:name w:val="Tabla con cuadrícula498"/>
    <w:basedOn w:val="Tablanormal"/>
    <w:next w:val="Tablaconcuadrcula"/>
    <w:rsid w:val="00A85F9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58">
    <w:name w:val="Sin lista358"/>
    <w:next w:val="Sinlista"/>
    <w:semiHidden/>
    <w:rsid w:val="00794ADA"/>
  </w:style>
  <w:style w:type="table" w:customStyle="1" w:styleId="Tablaconcuadrcula499">
    <w:name w:val="Tabla con cuadrícula499"/>
    <w:basedOn w:val="Tablanormal"/>
    <w:next w:val="Tablaconcuadrcula"/>
    <w:rsid w:val="00794AD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59">
    <w:name w:val="Sin lista359"/>
    <w:next w:val="Sinlista"/>
    <w:semiHidden/>
    <w:rsid w:val="008D1A96"/>
  </w:style>
  <w:style w:type="table" w:customStyle="1" w:styleId="Tablaconcuadrcula500">
    <w:name w:val="Tabla con cuadrícula500"/>
    <w:basedOn w:val="Tablanormal"/>
    <w:next w:val="Tablaconcuadrcula"/>
    <w:rsid w:val="008D1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a">
    <w:name w:val="Tabla con cuadrícula 21"/>
    <w:basedOn w:val="Tablanormal"/>
    <w:next w:val="Tablaconcuadrcula2a"/>
    <w:rsid w:val="008D1A96"/>
    <w:rPr>
      <w:rFonts w:eastAsia="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aconcuadrcula1611">
    <w:name w:val="Tabla con cuadrícula 161"/>
    <w:basedOn w:val="Tablanormal"/>
    <w:next w:val="Tablaconcuadrcula10"/>
    <w:rsid w:val="008D1A96"/>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03">
    <w:name w:val="Tabla con cuadrícula503"/>
    <w:basedOn w:val="Tablanormal"/>
    <w:next w:val="Tablaconcuadrcula"/>
    <w:rsid w:val="00A0182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4">
    <w:name w:val="Tabla con cuadrícula504"/>
    <w:basedOn w:val="Tablanormal"/>
    <w:next w:val="Tablaconcuadrcula"/>
    <w:rsid w:val="00361B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5">
    <w:name w:val="Tabla con cuadrícula505"/>
    <w:basedOn w:val="Tablanormal"/>
    <w:next w:val="Tablaconcuadrcula"/>
    <w:rsid w:val="0072168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60">
    <w:name w:val="Sin lista360"/>
    <w:next w:val="Sinlista"/>
    <w:semiHidden/>
    <w:rsid w:val="00ED4174"/>
  </w:style>
  <w:style w:type="table" w:customStyle="1" w:styleId="Tablaconcuadrcula506">
    <w:name w:val="Tabla con cuadrícula506"/>
    <w:basedOn w:val="Tablanormal"/>
    <w:next w:val="Tablaconcuadrcula"/>
    <w:rsid w:val="00ED417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20">
    <w:name w:val="Tabla con cuadrícula 162"/>
    <w:basedOn w:val="Tablanormal"/>
    <w:next w:val="Tablaconcuadrcula10"/>
    <w:rsid w:val="00ED4174"/>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07">
    <w:name w:val="Tabla con cuadrícula507"/>
    <w:basedOn w:val="Tablanormal"/>
    <w:next w:val="Tablaconcuadrcula"/>
    <w:rsid w:val="00C87C7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8">
    <w:name w:val="Tabla con cuadrícula508"/>
    <w:basedOn w:val="Tablanormal"/>
    <w:next w:val="Tablaconcuadrcula"/>
    <w:rsid w:val="006255D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9">
    <w:name w:val="Tabla con cuadrícula509"/>
    <w:basedOn w:val="Tablanormal"/>
    <w:next w:val="Tablaconcuadrcula"/>
    <w:rsid w:val="009834E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0">
    <w:name w:val="Tabla con cuadrícula510"/>
    <w:basedOn w:val="Tablanormal"/>
    <w:next w:val="Tablaconcuadrcula"/>
    <w:rsid w:val="0032758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7">
    <w:name w:val="Tabla con cuadrícula517"/>
    <w:basedOn w:val="Tablanormal"/>
    <w:next w:val="Tablaconcuadrcula"/>
    <w:rsid w:val="0059760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8">
    <w:name w:val="Tabla con cuadrícula518"/>
    <w:basedOn w:val="Tablanormal"/>
    <w:next w:val="Tablaconcuadrcula"/>
    <w:rsid w:val="00DC697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64">
    <w:name w:val="Sin lista364"/>
    <w:next w:val="Sinlista"/>
    <w:semiHidden/>
    <w:rsid w:val="0034733D"/>
  </w:style>
  <w:style w:type="table" w:customStyle="1" w:styleId="Tablaconcuadrcula519">
    <w:name w:val="Tabla con cuadrícula519"/>
    <w:basedOn w:val="Tablanormal"/>
    <w:next w:val="Tablaconcuadrcula"/>
    <w:rsid w:val="0034733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65">
    <w:name w:val="Sin lista365"/>
    <w:next w:val="Sinlista"/>
    <w:semiHidden/>
    <w:rsid w:val="00777382"/>
  </w:style>
  <w:style w:type="table" w:customStyle="1" w:styleId="Tablaconcuadrcula520">
    <w:name w:val="Tabla con cuadrícula520"/>
    <w:basedOn w:val="Tablanormal"/>
    <w:next w:val="Tablaconcuadrcula"/>
    <w:rsid w:val="001D170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66">
    <w:name w:val="Sin lista366"/>
    <w:next w:val="Sinlista"/>
    <w:semiHidden/>
    <w:rsid w:val="00BB0286"/>
  </w:style>
  <w:style w:type="table" w:customStyle="1" w:styleId="Tablaconcuadrcula524">
    <w:name w:val="Tabla con cuadrícula524"/>
    <w:basedOn w:val="Tablanormal"/>
    <w:next w:val="Tablaconcuadrcula"/>
    <w:rsid w:val="00BB028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5">
    <w:name w:val="Tabla con cuadrícula525"/>
    <w:basedOn w:val="Tablanormal"/>
    <w:next w:val="Tablaconcuadrcula"/>
    <w:rsid w:val="00C82E6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6">
    <w:name w:val="Tabla con cuadrícula526"/>
    <w:basedOn w:val="Tablanormal"/>
    <w:next w:val="Tablaconcuadrcula"/>
    <w:rsid w:val="00E4067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7">
    <w:name w:val="Tabla con cuadrícula527"/>
    <w:basedOn w:val="Tablanormal"/>
    <w:next w:val="Tablaconcuadrcula"/>
    <w:rsid w:val="00DB684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8">
    <w:name w:val="Tabla con cuadrícula528"/>
    <w:basedOn w:val="Tablanormal"/>
    <w:next w:val="Tablaconcuadrcula"/>
    <w:rsid w:val="00860BF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9">
    <w:name w:val="Tabla con cuadrícula529"/>
    <w:basedOn w:val="Tablanormal"/>
    <w:next w:val="Tablaconcuadrcula"/>
    <w:rsid w:val="00C75D3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30">
    <w:name w:val="Tabla con cuadrícula530"/>
    <w:basedOn w:val="Tablanormal"/>
    <w:next w:val="Tablaconcuadrcula"/>
    <w:rsid w:val="00084A9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67">
    <w:name w:val="Sin lista367"/>
    <w:next w:val="Sinlista"/>
    <w:semiHidden/>
    <w:rsid w:val="005327B1"/>
  </w:style>
  <w:style w:type="numbering" w:customStyle="1" w:styleId="Sinlista368">
    <w:name w:val="Sin lista368"/>
    <w:next w:val="Sinlista"/>
    <w:semiHidden/>
    <w:rsid w:val="007935A8"/>
  </w:style>
  <w:style w:type="numbering" w:customStyle="1" w:styleId="Sinlista369">
    <w:name w:val="Sin lista369"/>
    <w:next w:val="Sinlista"/>
    <w:semiHidden/>
    <w:rsid w:val="00AF0F84"/>
  </w:style>
  <w:style w:type="table" w:customStyle="1" w:styleId="Tablaconcuadrcula531">
    <w:name w:val="Tabla con cuadrícula531"/>
    <w:basedOn w:val="Tablanormal"/>
    <w:next w:val="Tablaconcuadrcula"/>
    <w:rsid w:val="00AF0F8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70">
    <w:name w:val="Sin lista370"/>
    <w:next w:val="Sinlista"/>
    <w:semiHidden/>
    <w:rsid w:val="003B575D"/>
  </w:style>
  <w:style w:type="table" w:customStyle="1" w:styleId="Tablaconcuadrcula532">
    <w:name w:val="Tabla con cuadrícula532"/>
    <w:basedOn w:val="Tablanormal"/>
    <w:next w:val="Tablaconcuadrcula"/>
    <w:rsid w:val="003B57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74">
    <w:name w:val="Sin lista374"/>
    <w:next w:val="Sinlista"/>
    <w:semiHidden/>
    <w:rsid w:val="00D637A7"/>
  </w:style>
  <w:style w:type="table" w:customStyle="1" w:styleId="Tablaconcuadrcula533">
    <w:name w:val="Tabla con cuadrícula533"/>
    <w:basedOn w:val="Tablanormal"/>
    <w:next w:val="Tablaconcuadrcula"/>
    <w:rsid w:val="00D637A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75">
    <w:name w:val="Sin lista375"/>
    <w:next w:val="Sinlista"/>
    <w:semiHidden/>
    <w:rsid w:val="007924E0"/>
  </w:style>
  <w:style w:type="table" w:customStyle="1" w:styleId="Tablaconcuadrcula534">
    <w:name w:val="Tabla con cuadrícula534"/>
    <w:basedOn w:val="Tablanormal"/>
    <w:next w:val="Tablaconcuadrcula"/>
    <w:rsid w:val="007924E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76">
    <w:name w:val="Sin lista376"/>
    <w:next w:val="Sinlista"/>
    <w:semiHidden/>
    <w:rsid w:val="00A034EB"/>
  </w:style>
  <w:style w:type="table" w:customStyle="1" w:styleId="Tablaconcuadrcula535">
    <w:name w:val="Tabla con cuadrícula535"/>
    <w:basedOn w:val="Tablanormal"/>
    <w:next w:val="Tablaconcuadrcula"/>
    <w:rsid w:val="00A034E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77">
    <w:name w:val="Sin lista377"/>
    <w:next w:val="Sinlista"/>
    <w:semiHidden/>
    <w:rsid w:val="0026239B"/>
  </w:style>
  <w:style w:type="table" w:customStyle="1" w:styleId="Tablaconcuadrcula536">
    <w:name w:val="Tabla con cuadrícula536"/>
    <w:basedOn w:val="Tablanormal"/>
    <w:next w:val="Tablaconcuadrcula"/>
    <w:rsid w:val="0026239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30">
    <w:name w:val="Tabla con cuadrícula 163"/>
    <w:basedOn w:val="Tablanormal"/>
    <w:next w:val="Tablaconcuadrcula10"/>
    <w:rsid w:val="001E29B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37">
    <w:name w:val="Tabla con cuadrícula537"/>
    <w:basedOn w:val="Tablanormal"/>
    <w:next w:val="Tablaconcuadrcula"/>
    <w:rsid w:val="00B1549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38">
    <w:name w:val="Tabla con cuadrícula538"/>
    <w:basedOn w:val="Tablanormal"/>
    <w:next w:val="Tablaconcuadrcula"/>
    <w:rsid w:val="006A237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39">
    <w:name w:val="Tabla con cuadrícula539"/>
    <w:basedOn w:val="Tablanormal"/>
    <w:next w:val="Tablaconcuadrcula"/>
    <w:rsid w:val="00F2393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78">
    <w:name w:val="Sin lista378"/>
    <w:next w:val="Sinlista"/>
    <w:semiHidden/>
    <w:rsid w:val="00C163B2"/>
  </w:style>
  <w:style w:type="table" w:customStyle="1" w:styleId="Tablaconcuadrcula1640">
    <w:name w:val="Tabla con cuadrícula 164"/>
    <w:basedOn w:val="Tablanormal"/>
    <w:next w:val="Tablaconcuadrcula10"/>
    <w:rsid w:val="00C163B2"/>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40">
    <w:name w:val="Tabla con cuadrícula540"/>
    <w:basedOn w:val="Tablanormal"/>
    <w:next w:val="Tablaconcuadrcula"/>
    <w:rsid w:val="00FE4AF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41">
    <w:name w:val="Tabla con cuadrícula541"/>
    <w:basedOn w:val="Tablanormal"/>
    <w:next w:val="Tablaconcuadrcula"/>
    <w:rsid w:val="00811E8C"/>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79">
    <w:name w:val="Sin lista379"/>
    <w:next w:val="Sinlista"/>
    <w:semiHidden/>
    <w:rsid w:val="00EB3E41"/>
  </w:style>
  <w:style w:type="table" w:customStyle="1" w:styleId="Tablaconcuadrcula542">
    <w:name w:val="Tabla con cuadrícula542"/>
    <w:basedOn w:val="Tablanormal"/>
    <w:next w:val="Tablaconcuadrcula"/>
    <w:rsid w:val="00EB3E4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43">
    <w:name w:val="Tabla con cuadrícula543"/>
    <w:basedOn w:val="Tablanormal"/>
    <w:next w:val="Tablaconcuadrcula"/>
    <w:rsid w:val="00C468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44">
    <w:name w:val="Tabla con cuadrícula544"/>
    <w:basedOn w:val="Tablanormal"/>
    <w:next w:val="Tablaconcuadrcula"/>
    <w:rsid w:val="006F11D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45">
    <w:name w:val="Tabla con cuadrícula545"/>
    <w:basedOn w:val="Tablanormal"/>
    <w:next w:val="Tablaconcuadrcula"/>
    <w:rsid w:val="00CA014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46">
    <w:name w:val="Tabla con cuadrícula546"/>
    <w:basedOn w:val="Tablanormal"/>
    <w:next w:val="Tablaconcuadrcula"/>
    <w:rsid w:val="00C1441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80">
    <w:name w:val="Sin lista380"/>
    <w:next w:val="Sinlista"/>
    <w:semiHidden/>
    <w:rsid w:val="00710A09"/>
  </w:style>
  <w:style w:type="numbering" w:customStyle="1" w:styleId="Sinlista384">
    <w:name w:val="Sin lista384"/>
    <w:next w:val="Sinlista"/>
    <w:semiHidden/>
    <w:rsid w:val="00FC6B95"/>
  </w:style>
  <w:style w:type="table" w:customStyle="1" w:styleId="Tablaconcuadrcula547">
    <w:name w:val="Tabla con cuadrícula547"/>
    <w:basedOn w:val="Tablanormal"/>
    <w:next w:val="Tablaconcuadrcula"/>
    <w:rsid w:val="00FC6B9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48">
    <w:name w:val="Tabla con cuadrícula548"/>
    <w:basedOn w:val="Tablanormal"/>
    <w:next w:val="Tablaconcuadrcula"/>
    <w:rsid w:val="0081081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85">
    <w:name w:val="Sin lista385"/>
    <w:next w:val="Sinlista"/>
    <w:semiHidden/>
    <w:rsid w:val="007C140A"/>
  </w:style>
  <w:style w:type="table" w:customStyle="1" w:styleId="Tablaconcuadrcula549">
    <w:name w:val="Tabla con cuadrícula549"/>
    <w:basedOn w:val="Tablanormal"/>
    <w:next w:val="Tablaconcuadrcula"/>
    <w:rsid w:val="007970F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0">
    <w:name w:val="Tabla con cuadrícula550"/>
    <w:basedOn w:val="Tablanormal"/>
    <w:next w:val="Tablaconcuadrcula"/>
    <w:rsid w:val="00797B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86">
    <w:name w:val="Sin lista386"/>
    <w:next w:val="Sinlista"/>
    <w:semiHidden/>
    <w:rsid w:val="001661DA"/>
  </w:style>
  <w:style w:type="table" w:customStyle="1" w:styleId="Tablaconcuadrcula551">
    <w:name w:val="Tabla con cuadrícula551"/>
    <w:basedOn w:val="Tablanormal"/>
    <w:next w:val="Tablaconcuadrcula"/>
    <w:rsid w:val="001661D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87">
    <w:name w:val="Sin lista387"/>
    <w:next w:val="Sinlista"/>
    <w:semiHidden/>
    <w:rsid w:val="00002FEA"/>
  </w:style>
  <w:style w:type="table" w:customStyle="1" w:styleId="Tablaconcuadrcula552">
    <w:name w:val="Tabla con cuadrícula552"/>
    <w:basedOn w:val="Tablanormal"/>
    <w:next w:val="Tablaconcuadrcula"/>
    <w:rsid w:val="00002FE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88">
    <w:name w:val="Sin lista388"/>
    <w:next w:val="Sinlista"/>
    <w:semiHidden/>
    <w:rsid w:val="00DB3342"/>
  </w:style>
  <w:style w:type="table" w:customStyle="1" w:styleId="Tablaconcuadrcula553">
    <w:name w:val="Tabla con cuadrícula553"/>
    <w:basedOn w:val="Tablanormal"/>
    <w:next w:val="Tablaconcuadrcula"/>
    <w:rsid w:val="00DB334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4">
    <w:name w:val="Tabla con cuadrícula554"/>
    <w:basedOn w:val="Tablanormal"/>
    <w:next w:val="Tablaconcuadrcula"/>
    <w:rsid w:val="00AF32F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89">
    <w:name w:val="Sin lista389"/>
    <w:next w:val="Sinlista"/>
    <w:semiHidden/>
    <w:rsid w:val="0053744D"/>
  </w:style>
  <w:style w:type="table" w:customStyle="1" w:styleId="Tablaconcuadrcula555">
    <w:name w:val="Tabla con cuadrícula555"/>
    <w:basedOn w:val="Tablanormal"/>
    <w:next w:val="Tablaconcuadrcula"/>
    <w:rsid w:val="0053744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6">
    <w:name w:val="Tabla con cuadrícula556"/>
    <w:basedOn w:val="Tablanormal"/>
    <w:next w:val="Tablaconcuadrcula"/>
    <w:rsid w:val="00F0388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7">
    <w:name w:val="Tabla con cuadrícula557"/>
    <w:basedOn w:val="Tablanormal"/>
    <w:next w:val="Tablaconcuadrcula"/>
    <w:rsid w:val="00C4076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8">
    <w:name w:val="Tabla con cuadrícula558"/>
    <w:basedOn w:val="Tablanormal"/>
    <w:next w:val="Tablaconcuadrcula"/>
    <w:rsid w:val="006E10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9">
    <w:name w:val="Tabla con cuadrícula559"/>
    <w:basedOn w:val="Tablanormal"/>
    <w:next w:val="Tablaconcuadrcula"/>
    <w:rsid w:val="00C73C4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60">
    <w:name w:val="Tabla con cuadrícula560"/>
    <w:basedOn w:val="Tablanormal"/>
    <w:next w:val="Tablaconcuadrcula"/>
    <w:rsid w:val="008F1A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61">
    <w:name w:val="Tabla con cuadrícula561"/>
    <w:basedOn w:val="Tablanormal"/>
    <w:next w:val="Tablaconcuadrcula"/>
    <w:rsid w:val="005F288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90">
    <w:name w:val="Sin lista390"/>
    <w:next w:val="Sinlista"/>
    <w:semiHidden/>
    <w:rsid w:val="0057105D"/>
  </w:style>
  <w:style w:type="table" w:customStyle="1" w:styleId="Tablaconcuadrcula562">
    <w:name w:val="Tabla con cuadrícula562"/>
    <w:basedOn w:val="Tablanormal"/>
    <w:next w:val="Tablaconcuadrcula"/>
    <w:rsid w:val="005710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63">
    <w:name w:val="Tabla con cuadrícula563"/>
    <w:basedOn w:val="Tablanormal"/>
    <w:next w:val="Tablaconcuadrcula"/>
    <w:rsid w:val="0022637C"/>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94">
    <w:name w:val="Sin lista394"/>
    <w:next w:val="Sinlista"/>
    <w:semiHidden/>
    <w:rsid w:val="009A1C55"/>
  </w:style>
  <w:style w:type="table" w:customStyle="1" w:styleId="Tablaconcuadrcula564">
    <w:name w:val="Tabla con cuadrícula564"/>
    <w:basedOn w:val="Tablanormal"/>
    <w:next w:val="Tablaconcuadrcula"/>
    <w:rsid w:val="009A1C5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65">
    <w:name w:val="Tabla con cuadrícula565"/>
    <w:basedOn w:val="Tablanormal"/>
    <w:next w:val="Tablaconcuadrcula"/>
    <w:rsid w:val="0037280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95">
    <w:name w:val="Sin lista395"/>
    <w:next w:val="Sinlista"/>
    <w:semiHidden/>
    <w:rsid w:val="00F520DE"/>
  </w:style>
  <w:style w:type="table" w:customStyle="1" w:styleId="Tablaconcuadrcula566">
    <w:name w:val="Tabla con cuadrícula566"/>
    <w:basedOn w:val="Tablanormal"/>
    <w:next w:val="Tablaconcuadrcula"/>
    <w:rsid w:val="00F520D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67">
    <w:name w:val="Tabla con cuadrícula567"/>
    <w:basedOn w:val="Tablanormal"/>
    <w:next w:val="Tablaconcuadrcula"/>
    <w:rsid w:val="00C3358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68">
    <w:name w:val="Tabla con cuadrícula568"/>
    <w:basedOn w:val="Tablanormal"/>
    <w:next w:val="Tablaconcuadrcula"/>
    <w:rsid w:val="00135E1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96">
    <w:name w:val="Sin lista396"/>
    <w:next w:val="Sinlista"/>
    <w:semiHidden/>
    <w:rsid w:val="00B61388"/>
  </w:style>
  <w:style w:type="table" w:customStyle="1" w:styleId="Tablaconcuadrcula569">
    <w:name w:val="Tabla con cuadrícula569"/>
    <w:basedOn w:val="Tablanormal"/>
    <w:next w:val="Tablaconcuadrcula"/>
    <w:rsid w:val="00B6138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0">
    <w:name w:val="Tabla con cuadrícula570"/>
    <w:basedOn w:val="Tablanormal"/>
    <w:next w:val="Tablaconcuadrcula"/>
    <w:rsid w:val="00F774F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1">
    <w:name w:val="Tabla con cuadrícula571"/>
    <w:basedOn w:val="Tablanormal"/>
    <w:next w:val="Tablaconcuadrcula"/>
    <w:rsid w:val="001D445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2">
    <w:name w:val="Tabla con cuadrícula572"/>
    <w:basedOn w:val="Tablanormal"/>
    <w:next w:val="Tablaconcuadrcula"/>
    <w:rsid w:val="00B80BB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3">
    <w:name w:val="Tabla con cuadrícula573"/>
    <w:basedOn w:val="Tablanormal"/>
    <w:next w:val="Tablaconcuadrcula"/>
    <w:rsid w:val="00054A4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4">
    <w:name w:val="Tabla con cuadrícula574"/>
    <w:basedOn w:val="Tablanormal"/>
    <w:next w:val="Tablaconcuadrcula"/>
    <w:rsid w:val="00AD719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5">
    <w:name w:val="Tabla con cuadrícula575"/>
    <w:basedOn w:val="Tablanormal"/>
    <w:next w:val="Tablaconcuadrcula"/>
    <w:rsid w:val="00871C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6">
    <w:name w:val="Tabla con cuadrícula576"/>
    <w:basedOn w:val="Tablanormal"/>
    <w:next w:val="Tablaconcuadrcula"/>
    <w:rsid w:val="00871C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97">
    <w:name w:val="Sin lista397"/>
    <w:next w:val="Sinlista"/>
    <w:semiHidden/>
    <w:rsid w:val="008E3AEF"/>
  </w:style>
  <w:style w:type="table" w:customStyle="1" w:styleId="Tablaconcuadrcula577">
    <w:name w:val="Tabla con cuadrícula577"/>
    <w:basedOn w:val="Tablanormal"/>
    <w:next w:val="Tablaconcuadrcula"/>
    <w:rsid w:val="00BC6E0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98">
    <w:name w:val="Sin lista398"/>
    <w:next w:val="Sinlista"/>
    <w:semiHidden/>
    <w:rsid w:val="00857EA9"/>
  </w:style>
  <w:style w:type="table" w:customStyle="1" w:styleId="Tablaconcuadrcula578">
    <w:name w:val="Tabla con cuadrícula578"/>
    <w:basedOn w:val="Tablanormal"/>
    <w:next w:val="Tablaconcuadrcula"/>
    <w:rsid w:val="00857E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9">
    <w:name w:val="Tabla con cuadrícula579"/>
    <w:basedOn w:val="Tablanormal"/>
    <w:next w:val="Tablaconcuadrcula"/>
    <w:rsid w:val="002C154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0">
    <w:name w:val="Tabla con cuadrícula580"/>
    <w:basedOn w:val="Tablanormal"/>
    <w:next w:val="Tablaconcuadrcula"/>
    <w:rsid w:val="005E20A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99">
    <w:name w:val="Sin lista399"/>
    <w:next w:val="Sinlista"/>
    <w:semiHidden/>
    <w:rsid w:val="00DA75B6"/>
  </w:style>
  <w:style w:type="table" w:customStyle="1" w:styleId="Tablaconcuadrcula581">
    <w:name w:val="Tabla con cuadrícula581"/>
    <w:basedOn w:val="Tablanormal"/>
    <w:next w:val="Tablaconcuadrcula"/>
    <w:rsid w:val="00DA75B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2">
    <w:name w:val="Tabla con cuadrícula582"/>
    <w:basedOn w:val="Tablanormal"/>
    <w:next w:val="Tablaconcuadrcula"/>
    <w:rsid w:val="00F4047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3">
    <w:name w:val="Tabla con cuadrícula583"/>
    <w:basedOn w:val="Tablanormal"/>
    <w:next w:val="Tablaconcuadrcula"/>
    <w:rsid w:val="008B0AE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4">
    <w:name w:val="Tabla con cuadrícula584"/>
    <w:basedOn w:val="Tablanormal"/>
    <w:next w:val="Tablaconcuadrcula"/>
    <w:rsid w:val="00FC7A7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5">
    <w:name w:val="Tabla con cuadrícula585"/>
    <w:basedOn w:val="Tablanormal"/>
    <w:next w:val="Tablaconcuadrcula"/>
    <w:rsid w:val="00C2058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6">
    <w:name w:val="Tabla con cuadrícula586"/>
    <w:basedOn w:val="Tablanormal"/>
    <w:next w:val="Tablaconcuadrcula"/>
    <w:rsid w:val="00EC289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7">
    <w:name w:val="Tabla con cuadrícula587"/>
    <w:basedOn w:val="Tablanormal"/>
    <w:next w:val="Tablaconcuadrcula"/>
    <w:rsid w:val="002F4B2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8">
    <w:name w:val="Tabla con cuadrícula588"/>
    <w:basedOn w:val="Tablanormal"/>
    <w:next w:val="Tablaconcuadrcula"/>
    <w:rsid w:val="005F3B4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00">
    <w:name w:val="Sin lista400"/>
    <w:next w:val="Sinlista"/>
    <w:semiHidden/>
    <w:rsid w:val="00AD555C"/>
  </w:style>
  <w:style w:type="numbering" w:customStyle="1" w:styleId="Sinlista404">
    <w:name w:val="Sin lista404"/>
    <w:next w:val="Sinlista"/>
    <w:semiHidden/>
    <w:rsid w:val="00223825"/>
  </w:style>
  <w:style w:type="table" w:customStyle="1" w:styleId="Tablaconcuadrcula589">
    <w:name w:val="Tabla con cuadrícula589"/>
    <w:basedOn w:val="Tablanormal"/>
    <w:next w:val="Tablaconcuadrcula"/>
    <w:rsid w:val="0022382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05">
    <w:name w:val="Sin lista405"/>
    <w:next w:val="Sinlista"/>
    <w:semiHidden/>
    <w:rsid w:val="00FE2A12"/>
  </w:style>
  <w:style w:type="table" w:customStyle="1" w:styleId="Tablaconcuadrcula590">
    <w:name w:val="Tabla con cuadrícula590"/>
    <w:basedOn w:val="Tablanormal"/>
    <w:next w:val="Tablaconcuadrcula"/>
    <w:rsid w:val="001202C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1">
    <w:name w:val="Tabla con cuadrícula591"/>
    <w:basedOn w:val="Tablanormal"/>
    <w:next w:val="Tablaconcuadrcula"/>
    <w:rsid w:val="00147E9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2">
    <w:name w:val="Tabla con cuadrícula592"/>
    <w:basedOn w:val="Tablanormal"/>
    <w:next w:val="Tablaconcuadrcula"/>
    <w:rsid w:val="00F2400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06">
    <w:name w:val="Sin lista406"/>
    <w:next w:val="Sinlista"/>
    <w:semiHidden/>
    <w:rsid w:val="005E2FF4"/>
  </w:style>
  <w:style w:type="table" w:customStyle="1" w:styleId="Tablaconcuadrcula593">
    <w:name w:val="Tabla con cuadrícula593"/>
    <w:basedOn w:val="Tablanormal"/>
    <w:next w:val="Tablaconcuadrcula"/>
    <w:rsid w:val="005E2FF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4">
    <w:name w:val="Tabla con cuadrícula594"/>
    <w:basedOn w:val="Tablanormal"/>
    <w:next w:val="Tablaconcuadrcula"/>
    <w:rsid w:val="001D63E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07">
    <w:name w:val="Sin lista407"/>
    <w:next w:val="Sinlista"/>
    <w:semiHidden/>
    <w:rsid w:val="00CD62E3"/>
  </w:style>
  <w:style w:type="table" w:customStyle="1" w:styleId="Tablaconcuadrcula595">
    <w:name w:val="Tabla con cuadrícula595"/>
    <w:basedOn w:val="Tablanormal"/>
    <w:next w:val="Tablaconcuadrcula"/>
    <w:rsid w:val="00CD62E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08">
    <w:name w:val="Sin lista408"/>
    <w:next w:val="Sinlista"/>
    <w:semiHidden/>
    <w:rsid w:val="00987EF7"/>
  </w:style>
  <w:style w:type="table" w:customStyle="1" w:styleId="Tablaconcuadrcula596">
    <w:name w:val="Tabla con cuadrícula596"/>
    <w:basedOn w:val="Tablanormal"/>
    <w:next w:val="Tablaconcuadrcula"/>
    <w:rsid w:val="00987EF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pip">
    <w:name w:val="spip"/>
    <w:basedOn w:val="Normal"/>
    <w:uiPriority w:val="99"/>
    <w:rsid w:val="00DF052F"/>
    <w:pPr>
      <w:spacing w:before="100" w:beforeAutospacing="1" w:after="100" w:afterAutospacing="1"/>
    </w:pPr>
    <w:rPr>
      <w:rFonts w:eastAsia="Times New Roman"/>
      <w:lang w:val="es-ES"/>
    </w:rPr>
  </w:style>
  <w:style w:type="table" w:customStyle="1" w:styleId="Tablaconcuadrcula597">
    <w:name w:val="Tabla con cuadrícula597"/>
    <w:basedOn w:val="Tablanormal"/>
    <w:next w:val="Tablaconcuadrcula"/>
    <w:rsid w:val="00EE06E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8">
    <w:name w:val="Tabla con cuadrícula598"/>
    <w:basedOn w:val="Tablanormal"/>
    <w:next w:val="Tablaconcuadrcula"/>
    <w:rsid w:val="00592F3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9">
    <w:name w:val="Tabla con cuadrícula599"/>
    <w:basedOn w:val="Tablanormal"/>
    <w:next w:val="Tablaconcuadrcula"/>
    <w:rsid w:val="004734F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0">
    <w:name w:val="Tabla con cuadrícula600"/>
    <w:basedOn w:val="Tablanormal"/>
    <w:next w:val="Tablaconcuadrcula"/>
    <w:rsid w:val="004C24D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1">
    <w:name w:val="Tabla con cuadrícula601"/>
    <w:basedOn w:val="Tablanormal"/>
    <w:next w:val="Tablaconcuadrcula"/>
    <w:rsid w:val="004C24D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09">
    <w:name w:val="Sin lista409"/>
    <w:next w:val="Sinlista"/>
    <w:semiHidden/>
    <w:rsid w:val="003B529A"/>
  </w:style>
  <w:style w:type="table" w:customStyle="1" w:styleId="Tablaconcuadrcula602">
    <w:name w:val="Tabla con cuadrícula602"/>
    <w:basedOn w:val="Tablanormal"/>
    <w:next w:val="Tablaconcuadrcula"/>
    <w:rsid w:val="003B529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3">
    <w:name w:val="Tabla con cuadrícula603"/>
    <w:basedOn w:val="Tablanormal"/>
    <w:next w:val="Tablaconcuadrcula"/>
    <w:rsid w:val="0031754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4">
    <w:name w:val="Tabla con cuadrícula604"/>
    <w:basedOn w:val="Tablanormal"/>
    <w:next w:val="Tablaconcuadrcula"/>
    <w:rsid w:val="00D3724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5">
    <w:name w:val="Tabla con cuadrícula605"/>
    <w:basedOn w:val="Tablanormal"/>
    <w:next w:val="Tablaconcuadrcula"/>
    <w:rsid w:val="00EF4E8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6">
    <w:name w:val="Sin lista416"/>
    <w:next w:val="Sinlista"/>
    <w:semiHidden/>
    <w:rsid w:val="00E01CBB"/>
  </w:style>
  <w:style w:type="table" w:customStyle="1" w:styleId="Tablaconcuadrcula606">
    <w:name w:val="Tabla con cuadrícula606"/>
    <w:basedOn w:val="Tablanormal"/>
    <w:next w:val="Tablaconcuadrcula"/>
    <w:rsid w:val="00E01CB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7">
    <w:name w:val="Sin lista417"/>
    <w:next w:val="Sinlista"/>
    <w:semiHidden/>
    <w:rsid w:val="00960F64"/>
  </w:style>
  <w:style w:type="table" w:customStyle="1" w:styleId="Tablaconcuadrcula607">
    <w:name w:val="Tabla con cuadrícula607"/>
    <w:basedOn w:val="Tablanormal"/>
    <w:next w:val="Tablaconcuadrcula"/>
    <w:rsid w:val="00960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8">
    <w:name w:val="Sin lista418"/>
    <w:next w:val="Sinlista"/>
    <w:semiHidden/>
    <w:rsid w:val="005B2D60"/>
  </w:style>
  <w:style w:type="table" w:customStyle="1" w:styleId="Tablaconcuadrcula608">
    <w:name w:val="Tabla con cuadrícula608"/>
    <w:basedOn w:val="Tablanormal"/>
    <w:next w:val="Tablaconcuadrcula"/>
    <w:rsid w:val="005B2D6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9">
    <w:name w:val="Tabla con cuadrícula609"/>
    <w:basedOn w:val="Tablanormal"/>
    <w:next w:val="Tablaconcuadrcula"/>
    <w:rsid w:val="00D26E8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6">
    <w:name w:val="Tabla con cuadrícula616"/>
    <w:basedOn w:val="Tablanormal"/>
    <w:next w:val="Tablaconcuadrcula"/>
    <w:rsid w:val="00026EA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9">
    <w:name w:val="Sin lista419"/>
    <w:next w:val="Sinlista"/>
    <w:semiHidden/>
    <w:rsid w:val="00490B4B"/>
  </w:style>
  <w:style w:type="table" w:customStyle="1" w:styleId="Tablaconcuadrcula617">
    <w:name w:val="Tabla con cuadrícula617"/>
    <w:basedOn w:val="Tablanormal"/>
    <w:next w:val="Tablaconcuadrcula"/>
    <w:rsid w:val="00490B4B"/>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106">
    <w:name w:val="Tabla con cuadrícula1106"/>
    <w:basedOn w:val="Tablanormal"/>
    <w:next w:val="Tablaconcuadrcula"/>
    <w:rsid w:val="00490B4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00">
    <w:name w:val="Tabla con cuadrícula2100"/>
    <w:basedOn w:val="Tablanormal"/>
    <w:next w:val="Tablaconcuadrcula"/>
    <w:rsid w:val="00490B4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0">
    <w:name w:val="Sin lista420"/>
    <w:next w:val="Sinlista"/>
    <w:semiHidden/>
    <w:rsid w:val="00136901"/>
  </w:style>
  <w:style w:type="table" w:customStyle="1" w:styleId="Tablaconcuadrcula618">
    <w:name w:val="Tabla con cuadrícula618"/>
    <w:basedOn w:val="Tablanormal"/>
    <w:next w:val="Tablaconcuadrcula"/>
    <w:rsid w:val="006B31D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9">
    <w:name w:val="Tabla con cuadrícula619"/>
    <w:basedOn w:val="Tablanormal"/>
    <w:next w:val="Tablaconcuadrcula"/>
    <w:rsid w:val="00C23E5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0">
    <w:name w:val="Tabla con cuadrícula620"/>
    <w:basedOn w:val="Tablanormal"/>
    <w:next w:val="Tablaconcuadrcula"/>
    <w:rsid w:val="0051583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4">
    <w:name w:val="Sin lista424"/>
    <w:next w:val="Sinlista"/>
    <w:semiHidden/>
    <w:rsid w:val="00B15CD5"/>
  </w:style>
  <w:style w:type="table" w:customStyle="1" w:styleId="Tablaconcuadrcula621">
    <w:name w:val="Tabla con cuadrícula621"/>
    <w:basedOn w:val="Tablanormal"/>
    <w:next w:val="Tablaconcuadrcula"/>
    <w:rsid w:val="00B15CD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5">
    <w:name w:val="Sin lista425"/>
    <w:next w:val="Sinlista"/>
    <w:semiHidden/>
    <w:rsid w:val="006B6E18"/>
  </w:style>
  <w:style w:type="table" w:customStyle="1" w:styleId="Tablaconcuadrcula622">
    <w:name w:val="Tabla con cuadrícula622"/>
    <w:basedOn w:val="Tablanormal"/>
    <w:next w:val="Tablaconcuadrcula"/>
    <w:rsid w:val="006B6E1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3">
    <w:name w:val="Tabla con cuadrícula623"/>
    <w:basedOn w:val="Tablanormal"/>
    <w:next w:val="Tablaconcuadrcula"/>
    <w:rsid w:val="00950B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4">
    <w:name w:val="Tabla con cuadrícula624"/>
    <w:basedOn w:val="Tablanormal"/>
    <w:next w:val="Tablaconcuadrcula"/>
    <w:rsid w:val="00164EC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5">
    <w:name w:val="Tabla con cuadrícula625"/>
    <w:basedOn w:val="Tablanormal"/>
    <w:next w:val="Tablaconcuadrcula"/>
    <w:rsid w:val="003972E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6">
    <w:name w:val="Sin lista426"/>
    <w:next w:val="Sinlista"/>
    <w:semiHidden/>
    <w:rsid w:val="00FE5889"/>
  </w:style>
  <w:style w:type="table" w:customStyle="1" w:styleId="Tablaconcuadrcula626">
    <w:name w:val="Tabla con cuadrícula626"/>
    <w:basedOn w:val="Tablanormal"/>
    <w:next w:val="Tablaconcuadrcula"/>
    <w:rsid w:val="00FE588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noteTextChar0">
    <w:name w:val="Footnote Text Char"/>
    <w:aliases w:val="Footnote Text Char1 Char1,Footnote Text Char1 Char Char,Footnote Text Char Char Char Char"/>
    <w:basedOn w:val="Fuentedeprrafopredeter"/>
    <w:semiHidden/>
    <w:locked/>
    <w:rsid w:val="0091248F"/>
    <w:rPr>
      <w:rFonts w:eastAsia="SimSun"/>
      <w:lang w:val="es-MX" w:eastAsia="es-ES" w:bidi="ar-SA"/>
    </w:rPr>
  </w:style>
  <w:style w:type="numbering" w:customStyle="1" w:styleId="Sinlista427">
    <w:name w:val="Sin lista427"/>
    <w:next w:val="Sinlista"/>
    <w:semiHidden/>
    <w:rsid w:val="000B5902"/>
  </w:style>
  <w:style w:type="table" w:customStyle="1" w:styleId="Tablaconcuadrcula627">
    <w:name w:val="Tabla con cuadrícula627"/>
    <w:basedOn w:val="Tablanormal"/>
    <w:next w:val="Tablaconcuadrcula"/>
    <w:rsid w:val="000B590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8">
    <w:name w:val="Sin lista428"/>
    <w:next w:val="Sinlista"/>
    <w:semiHidden/>
    <w:rsid w:val="007014A5"/>
  </w:style>
  <w:style w:type="table" w:customStyle="1" w:styleId="Tablaconcuadrcula628">
    <w:name w:val="Tabla con cuadrícula628"/>
    <w:basedOn w:val="Tablanormal"/>
    <w:next w:val="Tablaconcuadrcula"/>
    <w:rsid w:val="007014A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9">
    <w:name w:val="Sin lista429"/>
    <w:next w:val="Sinlista"/>
    <w:semiHidden/>
    <w:rsid w:val="001473D2"/>
  </w:style>
  <w:style w:type="table" w:customStyle="1" w:styleId="Tablaconcuadrcula629">
    <w:name w:val="Tabla con cuadrícula629"/>
    <w:basedOn w:val="Tablanormal"/>
    <w:next w:val="Tablaconcuadrcula"/>
    <w:rsid w:val="001473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0">
    <w:name w:val="Sin lista430"/>
    <w:next w:val="Sinlista"/>
    <w:semiHidden/>
    <w:rsid w:val="00BE2D39"/>
  </w:style>
  <w:style w:type="table" w:customStyle="1" w:styleId="Tablaconcuadrcula630">
    <w:name w:val="Tabla con cuadrícula630"/>
    <w:basedOn w:val="Tablanormal"/>
    <w:next w:val="Tablaconcuadrcula"/>
    <w:rsid w:val="00BE2D3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31">
    <w:name w:val="Tabla con cuadrícula631"/>
    <w:basedOn w:val="Tablanormal"/>
    <w:next w:val="Tablaconcuadrcula"/>
    <w:rsid w:val="00DF648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4">
    <w:name w:val="Sin lista434"/>
    <w:next w:val="Sinlista"/>
    <w:semiHidden/>
    <w:rsid w:val="000C0064"/>
  </w:style>
  <w:style w:type="table" w:customStyle="1" w:styleId="Tablaconcuadrcula632">
    <w:name w:val="Tabla con cuadrícula632"/>
    <w:basedOn w:val="Tablanormal"/>
    <w:next w:val="Tablaconcuadrcula"/>
    <w:rsid w:val="000C00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5">
    <w:name w:val="Sin lista435"/>
    <w:next w:val="Sinlista"/>
    <w:semiHidden/>
    <w:rsid w:val="00EC4773"/>
  </w:style>
  <w:style w:type="table" w:customStyle="1" w:styleId="Tablaconcuadrcula633">
    <w:name w:val="Tabla con cuadrícula633"/>
    <w:basedOn w:val="Tablanormal"/>
    <w:next w:val="Tablaconcuadrcula"/>
    <w:rsid w:val="00EC477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6">
    <w:name w:val="Sin lista436"/>
    <w:next w:val="Sinlista"/>
    <w:semiHidden/>
    <w:rsid w:val="006F1F64"/>
  </w:style>
  <w:style w:type="table" w:customStyle="1" w:styleId="Tablaconcuadrcula634">
    <w:name w:val="Tabla con cuadrícula634"/>
    <w:basedOn w:val="Tablanormal"/>
    <w:next w:val="Tablaconcuadrcula"/>
    <w:rsid w:val="006F1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7">
    <w:name w:val="Sin lista437"/>
    <w:next w:val="Sinlista"/>
    <w:semiHidden/>
    <w:rsid w:val="00DB3241"/>
  </w:style>
  <w:style w:type="table" w:customStyle="1" w:styleId="Tablaconcuadrcula635">
    <w:name w:val="Tabla con cuadrícula635"/>
    <w:basedOn w:val="Tablanormal"/>
    <w:next w:val="Tablaconcuadrcula"/>
    <w:rsid w:val="00DB324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8">
    <w:name w:val="Sin lista438"/>
    <w:next w:val="Sinlista"/>
    <w:semiHidden/>
    <w:rsid w:val="00CF16C8"/>
  </w:style>
  <w:style w:type="table" w:customStyle="1" w:styleId="Tablaconcuadrcula636">
    <w:name w:val="Tabla con cuadrícula636"/>
    <w:basedOn w:val="Tablanormal"/>
    <w:next w:val="Tablaconcuadrcula"/>
    <w:rsid w:val="00CF16C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9">
    <w:name w:val="Sin lista439"/>
    <w:next w:val="Sinlista"/>
    <w:semiHidden/>
    <w:rsid w:val="00FD6D7B"/>
  </w:style>
  <w:style w:type="table" w:customStyle="1" w:styleId="Tablaconcuadrcula637">
    <w:name w:val="Tabla con cuadrícula637"/>
    <w:basedOn w:val="Tablanormal"/>
    <w:next w:val="Tablaconcuadrcula"/>
    <w:rsid w:val="00FD6D7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40">
    <w:name w:val="Sin lista440"/>
    <w:next w:val="Sinlista"/>
    <w:semiHidden/>
    <w:rsid w:val="00D971F8"/>
  </w:style>
  <w:style w:type="table" w:customStyle="1" w:styleId="Tablaconcuadrcula638">
    <w:name w:val="Tabla con cuadrícula638"/>
    <w:basedOn w:val="Tablanormal"/>
    <w:next w:val="Tablaconcuadrcula"/>
    <w:rsid w:val="00D971F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39">
    <w:name w:val="Tabla con cuadrícula639"/>
    <w:basedOn w:val="Tablanormal"/>
    <w:next w:val="Tablaconcuadrcula"/>
    <w:rsid w:val="00A45EE8"/>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640">
    <w:name w:val="Tabla con cuadrícula640"/>
    <w:basedOn w:val="Tablanormal"/>
    <w:next w:val="Tablaconcuadrcula"/>
    <w:rsid w:val="00F247C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1">
    <w:name w:val="Tabla con cuadrícula641"/>
    <w:basedOn w:val="Tablanormal"/>
    <w:next w:val="Tablaconcuadrcula"/>
    <w:rsid w:val="009D219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44">
    <w:name w:val="Sin lista444"/>
    <w:next w:val="Sinlista"/>
    <w:semiHidden/>
    <w:rsid w:val="00033B15"/>
  </w:style>
  <w:style w:type="table" w:customStyle="1" w:styleId="Tablaconcuadrcula642">
    <w:name w:val="Tabla con cuadrícula642"/>
    <w:basedOn w:val="Tablanormal"/>
    <w:next w:val="Tablaconcuadrcula"/>
    <w:rsid w:val="00033B1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45">
    <w:name w:val="Sin lista445"/>
    <w:next w:val="Sinlista"/>
    <w:semiHidden/>
    <w:rsid w:val="000E5B81"/>
  </w:style>
  <w:style w:type="table" w:customStyle="1" w:styleId="Tablaconcuadrcula643">
    <w:name w:val="Tabla con cuadrícula643"/>
    <w:basedOn w:val="Tablanormal"/>
    <w:next w:val="Tablaconcuadrcula"/>
    <w:rsid w:val="000E5B8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4">
    <w:name w:val="Tabla con cuadrícula644"/>
    <w:basedOn w:val="Tablanormal"/>
    <w:next w:val="Tablaconcuadrcula"/>
    <w:rsid w:val="0062554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5">
    <w:name w:val="Tabla con cuadrícula645"/>
    <w:basedOn w:val="Tablanormal"/>
    <w:next w:val="Tablaconcuadrcula"/>
    <w:rsid w:val="00EB169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46">
    <w:name w:val="Sin lista446"/>
    <w:next w:val="Sinlista"/>
    <w:semiHidden/>
    <w:rsid w:val="00A161C4"/>
  </w:style>
  <w:style w:type="table" w:customStyle="1" w:styleId="Tablaconcuadrcula646">
    <w:name w:val="Tabla con cuadrícula646"/>
    <w:basedOn w:val="Tablanormal"/>
    <w:next w:val="Tablaconcuadrcula"/>
    <w:rsid w:val="00A161C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47">
    <w:name w:val="Sin lista447"/>
    <w:next w:val="Sinlista"/>
    <w:semiHidden/>
    <w:rsid w:val="008B1DDD"/>
  </w:style>
  <w:style w:type="numbering" w:customStyle="1" w:styleId="Sinlista448">
    <w:name w:val="Sin lista448"/>
    <w:next w:val="Sinlista"/>
    <w:semiHidden/>
    <w:rsid w:val="00877C0E"/>
  </w:style>
  <w:style w:type="table" w:customStyle="1" w:styleId="Tablaconcuadrcula647">
    <w:name w:val="Tabla con cuadrícula647"/>
    <w:basedOn w:val="Tablanormal"/>
    <w:next w:val="Tablaconcuadrcula"/>
    <w:rsid w:val="003D7C6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8">
    <w:name w:val="Tabla con cuadrícula648"/>
    <w:basedOn w:val="Tablanormal"/>
    <w:next w:val="Tablaconcuadrcula"/>
    <w:rsid w:val="00D11D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9">
    <w:name w:val="Tabla con cuadrícula649"/>
    <w:basedOn w:val="Tablanormal"/>
    <w:next w:val="Tablaconcuadrcula"/>
    <w:rsid w:val="006576C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49">
    <w:name w:val="Sin lista449"/>
    <w:next w:val="Sinlista"/>
    <w:semiHidden/>
    <w:rsid w:val="001738F6"/>
  </w:style>
  <w:style w:type="table" w:customStyle="1" w:styleId="Tablaconcuadrcula650">
    <w:name w:val="Tabla con cuadrícula650"/>
    <w:basedOn w:val="Tablanormal"/>
    <w:next w:val="Tablaconcuadrcula"/>
    <w:rsid w:val="001738F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50">
    <w:name w:val="Sin lista450"/>
    <w:next w:val="Sinlista"/>
    <w:semiHidden/>
    <w:rsid w:val="00227EDD"/>
  </w:style>
  <w:style w:type="table" w:customStyle="1" w:styleId="Tablaconcuadrcula651">
    <w:name w:val="Tabla con cuadrícula651"/>
    <w:basedOn w:val="Tablanormal"/>
    <w:next w:val="Tablaconcuadrcula"/>
    <w:rsid w:val="00227ED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52">
    <w:name w:val="Tabla con cuadrícula652"/>
    <w:basedOn w:val="Tablanormal"/>
    <w:next w:val="Tablaconcuadrcula"/>
    <w:rsid w:val="00B1489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stiloCorreo26651">
    <w:name w:val="EstiloCorreo26651"/>
    <w:basedOn w:val="Fuentedeprrafopredeter"/>
    <w:semiHidden/>
    <w:rsid w:val="003B2825"/>
    <w:rPr>
      <w:rFonts w:ascii="Arial" w:hAnsi="Arial" w:cs="Arial"/>
      <w:color w:val="auto"/>
      <w:sz w:val="20"/>
      <w:szCs w:val="20"/>
    </w:rPr>
  </w:style>
  <w:style w:type="table" w:customStyle="1" w:styleId="Tablaconcuadrcula653">
    <w:name w:val="Tabla con cuadrícula653"/>
    <w:basedOn w:val="Tablanormal"/>
    <w:next w:val="Tablaconcuadrcula"/>
    <w:rsid w:val="00BC696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54">
    <w:name w:val="Tabla con cuadrícula654"/>
    <w:basedOn w:val="Tablanormal"/>
    <w:next w:val="Tablaconcuadrcula"/>
    <w:rsid w:val="00EB419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55">
    <w:name w:val="Tabla con cuadrícula655"/>
    <w:basedOn w:val="Tablanormal"/>
    <w:next w:val="Tablaconcuadrcula"/>
    <w:rsid w:val="00D536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56">
    <w:name w:val="Tabla con cuadrícula656"/>
    <w:basedOn w:val="Tablanormal"/>
    <w:next w:val="Tablaconcuadrcula"/>
    <w:rsid w:val="0019227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54">
    <w:name w:val="Sin lista454"/>
    <w:next w:val="Sinlista"/>
    <w:semiHidden/>
    <w:rsid w:val="00A73A8C"/>
  </w:style>
  <w:style w:type="table" w:customStyle="1" w:styleId="Tablaconcuadrcula657">
    <w:name w:val="Tabla con cuadrícula657"/>
    <w:basedOn w:val="Tablanormal"/>
    <w:next w:val="Tablaconcuadrcula"/>
    <w:rsid w:val="00A73A8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55">
    <w:name w:val="Sin lista455"/>
    <w:next w:val="Sinlista"/>
    <w:semiHidden/>
    <w:rsid w:val="00DB7A0C"/>
  </w:style>
  <w:style w:type="numbering" w:customStyle="1" w:styleId="Sinlista456">
    <w:name w:val="Sin lista456"/>
    <w:next w:val="Sinlista"/>
    <w:semiHidden/>
    <w:rsid w:val="009D297D"/>
  </w:style>
  <w:style w:type="table" w:customStyle="1" w:styleId="Tablaconcuadrcula658">
    <w:name w:val="Tabla con cuadrícula658"/>
    <w:basedOn w:val="Tablanormal"/>
    <w:next w:val="Tablaconcuadrcula"/>
    <w:rsid w:val="009D297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59">
    <w:name w:val="Tabla con cuadrícula659"/>
    <w:basedOn w:val="Tablanormal"/>
    <w:next w:val="Tablaconcuadrcula"/>
    <w:rsid w:val="009D297D"/>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457">
    <w:name w:val="Sin lista457"/>
    <w:next w:val="Sinlista"/>
    <w:semiHidden/>
    <w:rsid w:val="001A68F3"/>
  </w:style>
  <w:style w:type="table" w:customStyle="1" w:styleId="Tablaconcuadrcula660">
    <w:name w:val="Tabla con cuadrícula660"/>
    <w:basedOn w:val="Tablanormal"/>
    <w:next w:val="Tablaconcuadrcula"/>
    <w:rsid w:val="001A68F3"/>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458">
    <w:name w:val="Sin lista458"/>
    <w:next w:val="Sinlista"/>
    <w:semiHidden/>
    <w:rsid w:val="003A37B7"/>
  </w:style>
  <w:style w:type="table" w:customStyle="1" w:styleId="Tablaconcuadrcula661">
    <w:name w:val="Tabla con cuadrícula661"/>
    <w:basedOn w:val="Tablanormal"/>
    <w:next w:val="Tablaconcuadrcula"/>
    <w:rsid w:val="003A37B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59">
    <w:name w:val="Sin lista459"/>
    <w:next w:val="Sinlista"/>
    <w:semiHidden/>
    <w:rsid w:val="00F17AA0"/>
  </w:style>
  <w:style w:type="numbering" w:customStyle="1" w:styleId="Sinlista460">
    <w:name w:val="Sin lista460"/>
    <w:next w:val="Sinlista"/>
    <w:semiHidden/>
    <w:rsid w:val="00E03516"/>
  </w:style>
  <w:style w:type="paragraph" w:customStyle="1" w:styleId="txtnegro">
    <w:name w:val="txt_negro"/>
    <w:basedOn w:val="Normal"/>
    <w:uiPriority w:val="99"/>
    <w:rsid w:val="00E03516"/>
    <w:pPr>
      <w:spacing w:before="100" w:beforeAutospacing="1" w:after="100" w:afterAutospacing="1"/>
    </w:pPr>
    <w:rPr>
      <w:rFonts w:ascii="Verdana" w:eastAsia="Times New Roman" w:hAnsi="Verdana"/>
      <w:color w:val="595959"/>
      <w:sz w:val="15"/>
      <w:szCs w:val="15"/>
      <w:lang w:val="es-ES"/>
    </w:rPr>
  </w:style>
  <w:style w:type="table" w:customStyle="1" w:styleId="Tablaconcuadrcula662">
    <w:name w:val="Tabla con cuadrícula662"/>
    <w:basedOn w:val="Tablanormal"/>
    <w:next w:val="Tablaconcuadrcula"/>
    <w:rsid w:val="00A174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63">
    <w:name w:val="Tabla con cuadrícula663"/>
    <w:basedOn w:val="Tablanormal"/>
    <w:next w:val="Tablaconcuadrcula"/>
    <w:rsid w:val="000F663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64">
    <w:name w:val="Tabla con cuadrícula664"/>
    <w:basedOn w:val="Tablanormal"/>
    <w:next w:val="Tablaconcuadrcula"/>
    <w:rsid w:val="000F663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65">
    <w:name w:val="Tabla con cuadrícula665"/>
    <w:basedOn w:val="Tablanormal"/>
    <w:next w:val="Tablaconcuadrcula"/>
    <w:rsid w:val="0074627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64">
    <w:name w:val="Sin lista464"/>
    <w:next w:val="Sinlista"/>
    <w:semiHidden/>
    <w:rsid w:val="00F31B18"/>
  </w:style>
  <w:style w:type="table" w:customStyle="1" w:styleId="Tablaconcuadrcula666">
    <w:name w:val="Tabla con cuadrícula666"/>
    <w:basedOn w:val="Tablanormal"/>
    <w:next w:val="Tablaconcuadrcula"/>
    <w:rsid w:val="00F31B1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65">
    <w:name w:val="Sin lista465"/>
    <w:next w:val="Sinlista"/>
    <w:semiHidden/>
    <w:rsid w:val="00823263"/>
  </w:style>
  <w:style w:type="table" w:customStyle="1" w:styleId="Tablaconcuadrcula667">
    <w:name w:val="Tabla con cuadrícula667"/>
    <w:basedOn w:val="Tablanormal"/>
    <w:next w:val="Tablaconcuadrcula"/>
    <w:rsid w:val="0082326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66">
    <w:name w:val="Sin lista466"/>
    <w:next w:val="Sinlista"/>
    <w:semiHidden/>
    <w:rsid w:val="00743EC4"/>
  </w:style>
  <w:style w:type="table" w:customStyle="1" w:styleId="Tablaconcuadrcula668">
    <w:name w:val="Tabla con cuadrícula668"/>
    <w:basedOn w:val="Tablanormal"/>
    <w:next w:val="Tablaconcuadrcula"/>
    <w:rsid w:val="00743EC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67">
    <w:name w:val="Sin lista467"/>
    <w:next w:val="Sinlista"/>
    <w:semiHidden/>
    <w:rsid w:val="002E16DD"/>
  </w:style>
  <w:style w:type="table" w:customStyle="1" w:styleId="Tablaconcuadrcula669">
    <w:name w:val="Tabla con cuadrícula669"/>
    <w:basedOn w:val="Tablanormal"/>
    <w:next w:val="Tablaconcuadrcula"/>
    <w:rsid w:val="002E16D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70">
    <w:name w:val="Tabla con cuadrícula670"/>
    <w:basedOn w:val="Tablanormal"/>
    <w:next w:val="Tablaconcuadrcula"/>
    <w:rsid w:val="00E162C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71">
    <w:name w:val="Tabla con cuadrícula671"/>
    <w:basedOn w:val="Tablanormal"/>
    <w:next w:val="Tablaconcuadrcula"/>
    <w:rsid w:val="005A5D0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68">
    <w:name w:val="Sin lista468"/>
    <w:next w:val="Sinlista"/>
    <w:semiHidden/>
    <w:rsid w:val="00F47C45"/>
  </w:style>
  <w:style w:type="table" w:customStyle="1" w:styleId="Tablaconcuadrcula672">
    <w:name w:val="Tabla con cuadrícula672"/>
    <w:basedOn w:val="Tablanormal"/>
    <w:next w:val="Tablaconcuadrcula"/>
    <w:rsid w:val="00F47C4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69">
    <w:name w:val="Sin lista469"/>
    <w:next w:val="Sinlista"/>
    <w:semiHidden/>
    <w:rsid w:val="000E0FF1"/>
  </w:style>
  <w:style w:type="table" w:customStyle="1" w:styleId="Tablaconcuadrcula673">
    <w:name w:val="Tabla con cuadrícula673"/>
    <w:basedOn w:val="Tablanormal"/>
    <w:next w:val="Tablaconcuadrcula"/>
    <w:rsid w:val="000E0FF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70">
    <w:name w:val="Sin lista470"/>
    <w:next w:val="Sinlista"/>
    <w:semiHidden/>
    <w:rsid w:val="00B04CF7"/>
  </w:style>
  <w:style w:type="table" w:customStyle="1" w:styleId="Tablaconcuadrcula674">
    <w:name w:val="Tabla con cuadrícula674"/>
    <w:basedOn w:val="Tablanormal"/>
    <w:next w:val="Tablaconcuadrcula"/>
    <w:rsid w:val="00B04CF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75">
    <w:name w:val="Tabla con cuadrícula675"/>
    <w:basedOn w:val="Tablanormal"/>
    <w:next w:val="Tablaconcuadrcula"/>
    <w:rsid w:val="00A9750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74">
    <w:name w:val="Sin lista474"/>
    <w:next w:val="Sinlista"/>
    <w:semiHidden/>
    <w:rsid w:val="00707839"/>
  </w:style>
  <w:style w:type="table" w:customStyle="1" w:styleId="Tablaconcuadrcula676">
    <w:name w:val="Tabla con cuadrícula676"/>
    <w:basedOn w:val="Tablanormal"/>
    <w:next w:val="Tablaconcuadrcula"/>
    <w:rsid w:val="0070783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9">
    <w:name w:val="A9"/>
    <w:uiPriority w:val="99"/>
    <w:rsid w:val="00707839"/>
    <w:rPr>
      <w:rFonts w:cs="Frutiger LT Std 55 Roman"/>
      <w:color w:val="000000"/>
      <w:sz w:val="12"/>
      <w:szCs w:val="12"/>
    </w:rPr>
  </w:style>
  <w:style w:type="paragraph" w:customStyle="1" w:styleId="Pa92">
    <w:name w:val="Pa9+2"/>
    <w:basedOn w:val="Normal"/>
    <w:next w:val="Normal"/>
    <w:uiPriority w:val="99"/>
    <w:rsid w:val="00707839"/>
    <w:pPr>
      <w:autoSpaceDE w:val="0"/>
      <w:autoSpaceDN w:val="0"/>
      <w:adjustRightInd w:val="0"/>
      <w:spacing w:line="241" w:lineRule="atLeast"/>
    </w:pPr>
    <w:rPr>
      <w:rFonts w:ascii="Frutiger LT Std 47 Light Cn" w:eastAsia="Times New Roman" w:hAnsi="Frutiger LT Std 47 Light Cn"/>
      <w:lang w:eastAsia="es-MX"/>
    </w:rPr>
  </w:style>
  <w:style w:type="character" w:customStyle="1" w:styleId="A72">
    <w:name w:val="A7+2"/>
    <w:rsid w:val="00707839"/>
    <w:rPr>
      <w:rFonts w:cs="Frutiger LT Std 47 Light Cn"/>
      <w:b/>
      <w:bCs/>
      <w:color w:val="000000"/>
      <w:sz w:val="16"/>
      <w:szCs w:val="16"/>
    </w:rPr>
  </w:style>
  <w:style w:type="paragraph" w:customStyle="1" w:styleId="Pa02">
    <w:name w:val="Pa0+2"/>
    <w:basedOn w:val="Normal"/>
    <w:next w:val="Normal"/>
    <w:uiPriority w:val="99"/>
    <w:rsid w:val="00707839"/>
    <w:pPr>
      <w:autoSpaceDE w:val="0"/>
      <w:autoSpaceDN w:val="0"/>
      <w:adjustRightInd w:val="0"/>
      <w:spacing w:line="241" w:lineRule="atLeast"/>
    </w:pPr>
    <w:rPr>
      <w:rFonts w:ascii="Frutiger LT Std 57 Cn" w:eastAsia="Times New Roman" w:hAnsi="Frutiger LT Std 57 Cn"/>
      <w:lang w:eastAsia="es-MX"/>
    </w:rPr>
  </w:style>
  <w:style w:type="character" w:customStyle="1" w:styleId="A81">
    <w:name w:val="A8+1"/>
    <w:rsid w:val="00707839"/>
    <w:rPr>
      <w:rFonts w:cs="Frutiger LT Std 57 Cn"/>
      <w:color w:val="000000"/>
      <w:sz w:val="12"/>
      <w:szCs w:val="12"/>
    </w:rPr>
  </w:style>
  <w:style w:type="character" w:customStyle="1" w:styleId="A131">
    <w:name w:val="A13+1"/>
    <w:rsid w:val="00707839"/>
    <w:rPr>
      <w:rFonts w:cs="Frutiger LT Std 47 Light Cn"/>
      <w:b/>
      <w:bCs/>
      <w:color w:val="000000"/>
      <w:sz w:val="18"/>
      <w:szCs w:val="18"/>
    </w:rPr>
  </w:style>
  <w:style w:type="numbering" w:customStyle="1" w:styleId="Sinlista475">
    <w:name w:val="Sin lista475"/>
    <w:next w:val="Sinlista"/>
    <w:semiHidden/>
    <w:rsid w:val="00523BCC"/>
  </w:style>
  <w:style w:type="numbering" w:customStyle="1" w:styleId="Sinlista476">
    <w:name w:val="Sin lista476"/>
    <w:next w:val="Sinlista"/>
    <w:semiHidden/>
    <w:rsid w:val="004248D1"/>
  </w:style>
  <w:style w:type="table" w:customStyle="1" w:styleId="Tablaconcuadrcula677">
    <w:name w:val="Tabla con cuadrícula677"/>
    <w:basedOn w:val="Tablanormal"/>
    <w:next w:val="Tablaconcuadrcula"/>
    <w:rsid w:val="004248D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78">
    <w:name w:val="Tabla con cuadrícula678"/>
    <w:basedOn w:val="Tablanormal"/>
    <w:next w:val="Tablaconcuadrcula"/>
    <w:rsid w:val="007F72C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79">
    <w:name w:val="Tabla con cuadrícula679"/>
    <w:basedOn w:val="Tablanormal"/>
    <w:next w:val="Tablaconcuadrcula"/>
    <w:rsid w:val="003E3EB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80">
    <w:name w:val="Tabla con cuadrícula680"/>
    <w:basedOn w:val="Tablanormal"/>
    <w:next w:val="Tablaconcuadrcula"/>
    <w:rsid w:val="0000105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81">
    <w:name w:val="Tabla con cuadrícula681"/>
    <w:basedOn w:val="Tablanormal"/>
    <w:next w:val="Tablaconcuadrcula"/>
    <w:rsid w:val="006F36A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77">
    <w:name w:val="Sin lista477"/>
    <w:next w:val="Sinlista"/>
    <w:semiHidden/>
    <w:rsid w:val="001324FF"/>
  </w:style>
  <w:style w:type="table" w:customStyle="1" w:styleId="Tablaconcuadrcula682">
    <w:name w:val="Tabla con cuadrícula682"/>
    <w:basedOn w:val="Tablanormal"/>
    <w:next w:val="Tablaconcuadrcula"/>
    <w:rsid w:val="001324F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83">
    <w:name w:val="Tabla con cuadrícula683"/>
    <w:basedOn w:val="Tablanormal"/>
    <w:next w:val="Tablaconcuadrcula"/>
    <w:rsid w:val="00CD523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84">
    <w:name w:val="Tabla con cuadrícula684"/>
    <w:basedOn w:val="Tablanormal"/>
    <w:next w:val="Tablaconcuadrcula"/>
    <w:rsid w:val="00046F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78">
    <w:name w:val="Sin lista478"/>
    <w:next w:val="Sinlista"/>
    <w:semiHidden/>
    <w:rsid w:val="004A1626"/>
  </w:style>
  <w:style w:type="numbering" w:customStyle="1" w:styleId="Sinlista479">
    <w:name w:val="Sin lista479"/>
    <w:next w:val="Sinlista"/>
    <w:semiHidden/>
    <w:rsid w:val="00BF4147"/>
  </w:style>
  <w:style w:type="table" w:customStyle="1" w:styleId="Tablaconcuadrcula685">
    <w:name w:val="Tabla con cuadrícula685"/>
    <w:basedOn w:val="Tablanormal"/>
    <w:next w:val="Tablaconcuadrcula"/>
    <w:rsid w:val="00E75E6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86">
    <w:name w:val="Tabla con cuadrícula686"/>
    <w:basedOn w:val="Tablanormal"/>
    <w:next w:val="Tablaconcuadrcula"/>
    <w:rsid w:val="00F049E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0">
    <w:name w:val="Sin lista480"/>
    <w:next w:val="Sinlista"/>
    <w:semiHidden/>
    <w:rsid w:val="00A24D93"/>
  </w:style>
  <w:style w:type="table" w:customStyle="1" w:styleId="Tablaconcuadrcula687">
    <w:name w:val="Tabla con cuadrícula687"/>
    <w:basedOn w:val="Tablanormal"/>
    <w:next w:val="Tablaconcuadrcula"/>
    <w:rsid w:val="00A24D9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4">
    <w:name w:val="Sin lista484"/>
    <w:next w:val="Sinlista"/>
    <w:semiHidden/>
    <w:rsid w:val="00E82932"/>
  </w:style>
  <w:style w:type="table" w:customStyle="1" w:styleId="Tablaconcuadrcula688">
    <w:name w:val="Tabla con cuadrícula688"/>
    <w:basedOn w:val="Tablanormal"/>
    <w:next w:val="Tablaconcuadrcula"/>
    <w:rsid w:val="00E8293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89">
    <w:name w:val="Tabla con cuadrícula689"/>
    <w:basedOn w:val="Tablanormal"/>
    <w:next w:val="Tablaconcuadrcula"/>
    <w:rsid w:val="001F61D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5">
    <w:name w:val="Sin lista485"/>
    <w:next w:val="Sinlista"/>
    <w:semiHidden/>
    <w:rsid w:val="00D240B6"/>
  </w:style>
  <w:style w:type="table" w:customStyle="1" w:styleId="Tablaconcuadrcula690">
    <w:name w:val="Tabla con cuadrícula690"/>
    <w:basedOn w:val="Tablanormal"/>
    <w:next w:val="Tablaconcuadrcula"/>
    <w:rsid w:val="0009035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91">
    <w:name w:val="Tabla con cuadrícula691"/>
    <w:basedOn w:val="Tablanormal"/>
    <w:next w:val="Tablaconcuadrcula"/>
    <w:rsid w:val="00DD14E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6">
    <w:name w:val="Sin lista486"/>
    <w:next w:val="Sinlista"/>
    <w:semiHidden/>
    <w:rsid w:val="00893BF5"/>
  </w:style>
  <w:style w:type="table" w:customStyle="1" w:styleId="Tablaconcuadrcula692">
    <w:name w:val="Tabla con cuadrícula692"/>
    <w:basedOn w:val="Tablanormal"/>
    <w:next w:val="Tablaconcuadrcula"/>
    <w:rsid w:val="00893BF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rticletext">
    <w:name w:val="articletext"/>
    <w:basedOn w:val="Normal"/>
    <w:uiPriority w:val="99"/>
    <w:rsid w:val="00893BF5"/>
    <w:pPr>
      <w:spacing w:before="100" w:beforeAutospacing="1" w:after="100" w:afterAutospacing="1"/>
    </w:pPr>
    <w:rPr>
      <w:rFonts w:eastAsia="Times New Roman"/>
      <w:lang w:val="es-ES"/>
    </w:rPr>
  </w:style>
  <w:style w:type="table" w:customStyle="1" w:styleId="Tablaconcuadrcula693">
    <w:name w:val="Tabla con cuadrícula693"/>
    <w:basedOn w:val="Tablanormal"/>
    <w:next w:val="Tablaconcuadrcula"/>
    <w:rsid w:val="00807B4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7">
    <w:name w:val="Sin lista487"/>
    <w:next w:val="Sinlista"/>
    <w:semiHidden/>
    <w:rsid w:val="00002AE6"/>
  </w:style>
  <w:style w:type="table" w:customStyle="1" w:styleId="Tablaconcuadrcula694">
    <w:name w:val="Tabla con cuadrícula694"/>
    <w:basedOn w:val="Tablanormal"/>
    <w:next w:val="Tablaconcuadrcula"/>
    <w:rsid w:val="00002AE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95">
    <w:name w:val="Tabla con cuadrícula695"/>
    <w:basedOn w:val="Tablanormal"/>
    <w:next w:val="Tablaconcuadrcula"/>
    <w:rsid w:val="009F495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8">
    <w:name w:val="Sin lista488"/>
    <w:next w:val="Sinlista"/>
    <w:semiHidden/>
    <w:rsid w:val="00370232"/>
  </w:style>
  <w:style w:type="table" w:customStyle="1" w:styleId="Tablaconcuadrcula696">
    <w:name w:val="Tabla con cuadrícula696"/>
    <w:basedOn w:val="Tablanormal"/>
    <w:next w:val="Tablaconcuadrcula"/>
    <w:rsid w:val="0037023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0">
    <w:name w:val="Sin lista1100"/>
    <w:next w:val="Sinlista"/>
    <w:semiHidden/>
    <w:rsid w:val="00370232"/>
  </w:style>
  <w:style w:type="table" w:customStyle="1" w:styleId="Tablaconcuadrcula1107">
    <w:name w:val="Tabla con cuadrícula1107"/>
    <w:basedOn w:val="Tablanormal"/>
    <w:next w:val="Tablaconcuadrcula"/>
    <w:rsid w:val="00370232"/>
    <w:pPr>
      <w:widowControl w:val="0"/>
      <w:autoSpaceDE w:val="0"/>
      <w:autoSpaceDN w:val="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9">
    <w:name w:val="Sin lista489"/>
    <w:next w:val="Sinlista"/>
    <w:semiHidden/>
    <w:rsid w:val="002C0288"/>
  </w:style>
  <w:style w:type="numbering" w:customStyle="1" w:styleId="Sinlista490">
    <w:name w:val="Sin lista490"/>
    <w:next w:val="Sinlista"/>
    <w:semiHidden/>
    <w:rsid w:val="00E80795"/>
  </w:style>
  <w:style w:type="table" w:customStyle="1" w:styleId="Tablaconcuadrcula697">
    <w:name w:val="Tabla con cuadrícula697"/>
    <w:basedOn w:val="Tablanormal"/>
    <w:next w:val="Tablaconcuadrcula"/>
    <w:rsid w:val="00E8079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98">
    <w:name w:val="Tabla con cuadrícula698"/>
    <w:basedOn w:val="Tablanormal"/>
    <w:next w:val="Tablaconcuadrcula"/>
    <w:rsid w:val="004864F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99">
    <w:name w:val="Tabla con cuadrícula699"/>
    <w:basedOn w:val="Tablanormal"/>
    <w:next w:val="Tablaconcuadrcula"/>
    <w:rsid w:val="004A081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94">
    <w:name w:val="Sin lista494"/>
    <w:next w:val="Sinlista"/>
    <w:semiHidden/>
    <w:rsid w:val="00662C0A"/>
  </w:style>
  <w:style w:type="table" w:customStyle="1" w:styleId="Tablaconcuadrcula700">
    <w:name w:val="Tabla con cuadrícula700"/>
    <w:basedOn w:val="Tablanormal"/>
    <w:next w:val="Tablaconcuadrcula"/>
    <w:rsid w:val="00662C0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95">
    <w:name w:val="Sin lista495"/>
    <w:next w:val="Sinlista"/>
    <w:semiHidden/>
    <w:rsid w:val="009A5989"/>
  </w:style>
  <w:style w:type="table" w:customStyle="1" w:styleId="Tablaconcuadrcula701">
    <w:name w:val="Tabla con cuadrícula701"/>
    <w:basedOn w:val="Tablanormal"/>
    <w:next w:val="Tablaconcuadrcula"/>
    <w:rsid w:val="009A598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02">
    <w:name w:val="Tabla con cuadrícula702"/>
    <w:basedOn w:val="Tablanormal"/>
    <w:next w:val="Tablaconcuadrcula"/>
    <w:rsid w:val="000579B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03">
    <w:name w:val="Tabla con cuadrícula703"/>
    <w:basedOn w:val="Tablanormal"/>
    <w:next w:val="Tablaconcuadrcula"/>
    <w:rsid w:val="00D6559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96">
    <w:name w:val="Sin lista496"/>
    <w:next w:val="Sinlista"/>
    <w:semiHidden/>
    <w:rsid w:val="00005DC2"/>
  </w:style>
  <w:style w:type="numbering" w:customStyle="1" w:styleId="Sinlista497">
    <w:name w:val="Sin lista497"/>
    <w:next w:val="Sinlista"/>
    <w:semiHidden/>
    <w:rsid w:val="0007687F"/>
  </w:style>
  <w:style w:type="table" w:customStyle="1" w:styleId="Tablaconcuadrcula704">
    <w:name w:val="Tabla con cuadrícula704"/>
    <w:basedOn w:val="Tablanormal"/>
    <w:next w:val="Tablaconcuadrcula"/>
    <w:rsid w:val="0007687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05">
    <w:name w:val="Tabla con cuadrícula705"/>
    <w:basedOn w:val="Tablanormal"/>
    <w:next w:val="Tablaconcuadrcula"/>
    <w:rsid w:val="003C76B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06">
    <w:name w:val="Tabla con cuadrícula706"/>
    <w:basedOn w:val="Tablanormal"/>
    <w:next w:val="Tablaconcuadrcula"/>
    <w:rsid w:val="002C73D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98">
    <w:name w:val="Sin lista498"/>
    <w:next w:val="Sinlista"/>
    <w:semiHidden/>
    <w:rsid w:val="00D96587"/>
  </w:style>
  <w:style w:type="character" w:customStyle="1" w:styleId="apple-style-spanfirst-childlast-child">
    <w:name w:val="apple-style-span first-child last-child"/>
    <w:basedOn w:val="Fuentedeprrafopredeter"/>
    <w:rsid w:val="00D96587"/>
  </w:style>
  <w:style w:type="table" w:customStyle="1" w:styleId="Tablaconcuadrcula707">
    <w:name w:val="Tabla con cuadrícula707"/>
    <w:basedOn w:val="Tablanormal"/>
    <w:next w:val="Tablaconcuadrcula"/>
    <w:rsid w:val="00D9658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08">
    <w:name w:val="Tabla con cuadrícula708"/>
    <w:basedOn w:val="Tablanormal"/>
    <w:next w:val="Tablaconcuadrcula"/>
    <w:rsid w:val="006E7AB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09">
    <w:name w:val="Tabla con cuadrícula709"/>
    <w:basedOn w:val="Tablanormal"/>
    <w:next w:val="Tablaconcuadrcula"/>
    <w:rsid w:val="00ED5C7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0">
    <w:name w:val="Tabla con cuadrícula710"/>
    <w:basedOn w:val="Tablanormal"/>
    <w:next w:val="Tablaconcuadrcula"/>
    <w:rsid w:val="0042674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1">
    <w:name w:val="Tabla con cuadrícula711"/>
    <w:basedOn w:val="Tablanormal"/>
    <w:next w:val="Tablaconcuadrcula"/>
    <w:rsid w:val="0068020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99">
    <w:name w:val="Sin lista499"/>
    <w:next w:val="Sinlista"/>
    <w:semiHidden/>
    <w:rsid w:val="0028454B"/>
  </w:style>
  <w:style w:type="table" w:customStyle="1" w:styleId="Tablaconcuadrcula712">
    <w:name w:val="Tabla con cuadrícula712"/>
    <w:basedOn w:val="Tablanormal"/>
    <w:next w:val="Tablaconcuadrcula"/>
    <w:rsid w:val="0028454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3">
    <w:name w:val="Tabla con cuadrícula713"/>
    <w:basedOn w:val="Tablanormal"/>
    <w:next w:val="Tablaconcuadrcula"/>
    <w:rsid w:val="00BE01B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00">
    <w:name w:val="Sin lista500"/>
    <w:next w:val="Sinlista"/>
    <w:semiHidden/>
    <w:rsid w:val="006C75F2"/>
  </w:style>
  <w:style w:type="table" w:customStyle="1" w:styleId="Tablaconcuadrcula714">
    <w:name w:val="Tabla con cuadrícula714"/>
    <w:basedOn w:val="Tablanormal"/>
    <w:next w:val="Tablaconcuadrcula"/>
    <w:rsid w:val="006C75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5">
    <w:name w:val="Tabla con cuadrícula715"/>
    <w:basedOn w:val="Tablanormal"/>
    <w:next w:val="Tablaconcuadrcula"/>
    <w:rsid w:val="00077BA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6">
    <w:name w:val="Tabla con cuadrícula716"/>
    <w:basedOn w:val="Tablanormal"/>
    <w:next w:val="Tablaconcuadrcula"/>
    <w:rsid w:val="008B442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7">
    <w:name w:val="Tabla con cuadrícula717"/>
    <w:basedOn w:val="Tablanormal"/>
    <w:next w:val="Tablaconcuadrcula"/>
    <w:rsid w:val="00BB0D9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8">
    <w:name w:val="Tabla con cuadrícula718"/>
    <w:basedOn w:val="Tablanormal"/>
    <w:next w:val="Tablaconcuadrcula"/>
    <w:rsid w:val="002E603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04">
    <w:name w:val="Sin lista504"/>
    <w:next w:val="Sinlista"/>
    <w:semiHidden/>
    <w:rsid w:val="000D0E0A"/>
  </w:style>
  <w:style w:type="table" w:customStyle="1" w:styleId="Tablaconcuadrcula719">
    <w:name w:val="Tabla con cuadrícula719"/>
    <w:basedOn w:val="Tablanormal"/>
    <w:next w:val="Tablaconcuadrcula"/>
    <w:rsid w:val="000D0E0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0">
    <w:name w:val="Tabla con cuadrícula720"/>
    <w:basedOn w:val="Tablanormal"/>
    <w:next w:val="Tablaconcuadrcula"/>
    <w:rsid w:val="0072719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1">
    <w:name w:val="Tabla con cuadrícula721"/>
    <w:basedOn w:val="Tablanormal"/>
    <w:next w:val="Tablaconcuadrcula"/>
    <w:rsid w:val="00283B2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2">
    <w:name w:val="Tabla con cuadrícula722"/>
    <w:basedOn w:val="Tablanormal"/>
    <w:next w:val="Tablaconcuadrcula"/>
    <w:rsid w:val="00F5369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3">
    <w:name w:val="Tabla con cuadrícula723"/>
    <w:basedOn w:val="Tablanormal"/>
    <w:next w:val="Tablaconcuadrcula"/>
    <w:rsid w:val="00FF497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4">
    <w:name w:val="Tabla con cuadrícula724"/>
    <w:basedOn w:val="Tablanormal"/>
    <w:next w:val="Tablaconcuadrcula"/>
    <w:rsid w:val="006B45F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5">
    <w:name w:val="Tabla con cuadrícula725"/>
    <w:basedOn w:val="Tablanormal"/>
    <w:next w:val="Tablaconcuadrcula"/>
    <w:rsid w:val="005479D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6">
    <w:name w:val="Tabla con cuadrícula726"/>
    <w:basedOn w:val="Tablanormal"/>
    <w:next w:val="Tablaconcuadrcula"/>
    <w:rsid w:val="00E8651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05">
    <w:name w:val="Sin lista505"/>
    <w:next w:val="Sinlista"/>
    <w:semiHidden/>
    <w:rsid w:val="002A2A2C"/>
  </w:style>
  <w:style w:type="table" w:customStyle="1" w:styleId="Tablaconcuadrcula727">
    <w:name w:val="Tabla con cuadrícula727"/>
    <w:basedOn w:val="Tablanormal"/>
    <w:next w:val="Tablaconcuadrcula"/>
    <w:rsid w:val="002A2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8">
    <w:name w:val="Tabla con cuadrícula728"/>
    <w:basedOn w:val="Tablanormal"/>
    <w:next w:val="Tablaconcuadrcula"/>
    <w:rsid w:val="00371FE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06">
    <w:name w:val="Sin lista506"/>
    <w:next w:val="Sinlista"/>
    <w:semiHidden/>
    <w:rsid w:val="00F9221B"/>
  </w:style>
  <w:style w:type="table" w:customStyle="1" w:styleId="Tablaconcuadrcula729">
    <w:name w:val="Tabla con cuadrícula729"/>
    <w:basedOn w:val="Tablanormal"/>
    <w:next w:val="Tablaconcuadrcula"/>
    <w:rsid w:val="00F9221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30">
    <w:name w:val="Tabla con cuadrícula730"/>
    <w:basedOn w:val="Tablanormal"/>
    <w:next w:val="Tablaconcuadrcula"/>
    <w:rsid w:val="00C536B5"/>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731">
    <w:name w:val="Tabla con cuadrícula731"/>
    <w:basedOn w:val="Tablanormal"/>
    <w:next w:val="Tablaconcuadrcula"/>
    <w:rsid w:val="004C09B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32">
    <w:name w:val="Tabla con cuadrícula732"/>
    <w:basedOn w:val="Tablanormal"/>
    <w:next w:val="Tablaconcuadrcula"/>
    <w:rsid w:val="001E133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07">
    <w:name w:val="Sin lista507"/>
    <w:next w:val="Sinlista"/>
    <w:semiHidden/>
    <w:rsid w:val="006B1843"/>
  </w:style>
  <w:style w:type="table" w:customStyle="1" w:styleId="Tablaconcuadrcula733">
    <w:name w:val="Tabla con cuadrícula733"/>
    <w:basedOn w:val="Tablanormal"/>
    <w:next w:val="Tablaconcuadrcula"/>
    <w:rsid w:val="006B184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34">
    <w:name w:val="Tabla con cuadrícula734"/>
    <w:basedOn w:val="Tablanormal"/>
    <w:next w:val="Tablaconcuadrcula"/>
    <w:rsid w:val="0099266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35">
    <w:name w:val="Tabla con cuadrícula735"/>
    <w:basedOn w:val="Tablanormal"/>
    <w:next w:val="Tablaconcuadrcula"/>
    <w:rsid w:val="008E2D0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08">
    <w:name w:val="Sin lista508"/>
    <w:next w:val="Sinlista"/>
    <w:semiHidden/>
    <w:rsid w:val="00C00E5A"/>
  </w:style>
  <w:style w:type="table" w:customStyle="1" w:styleId="Tablaconcuadrcula736">
    <w:name w:val="Tabla con cuadrícula736"/>
    <w:basedOn w:val="Tablanormal"/>
    <w:next w:val="Tablaconcuadrcula"/>
    <w:rsid w:val="00C00E5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37">
    <w:name w:val="Tabla con cuadrícula737"/>
    <w:basedOn w:val="Tablanormal"/>
    <w:next w:val="Tablaconcuadrcula"/>
    <w:rsid w:val="00AF159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09">
    <w:name w:val="Sin lista509"/>
    <w:next w:val="Sinlista"/>
    <w:semiHidden/>
    <w:rsid w:val="00E278C4"/>
  </w:style>
  <w:style w:type="character" w:customStyle="1" w:styleId="ROMANOSCar">
    <w:name w:val="ROMANOS Car"/>
    <w:link w:val="ROMANOS"/>
    <w:locked/>
    <w:rsid w:val="00E278C4"/>
    <w:rPr>
      <w:rFonts w:ascii="Arial" w:eastAsia="SimSun" w:hAnsi="Arial" w:cs="Arial"/>
      <w:sz w:val="18"/>
      <w:szCs w:val="18"/>
      <w:lang w:val="es-MX" w:eastAsia="es-MX" w:bidi="ar-SA"/>
    </w:rPr>
  </w:style>
  <w:style w:type="character" w:customStyle="1" w:styleId="ANOTACIONCar">
    <w:name w:val="ANOTACION Car"/>
    <w:link w:val="ANOTACION"/>
    <w:locked/>
    <w:rsid w:val="00E278C4"/>
    <w:rPr>
      <w:rFonts w:eastAsia="SimSun"/>
      <w:b/>
      <w:sz w:val="18"/>
      <w:szCs w:val="18"/>
      <w:lang w:val="es-MX" w:eastAsia="es-MX" w:bidi="ar-SA"/>
    </w:rPr>
  </w:style>
  <w:style w:type="paragraph" w:customStyle="1" w:styleId="Sangra2detindependiente1">
    <w:name w:val="Sangría 2 de t. independiente1"/>
    <w:basedOn w:val="Normal"/>
    <w:uiPriority w:val="99"/>
    <w:rsid w:val="00E278C4"/>
    <w:pPr>
      <w:ind w:left="3969"/>
      <w:jc w:val="both"/>
    </w:pPr>
    <w:rPr>
      <w:rFonts w:ascii="Arial" w:eastAsia="Times New Roman" w:hAnsi="Arial" w:cs="Arial"/>
      <w:sz w:val="20"/>
      <w:szCs w:val="20"/>
      <w:lang w:val="es-ES" w:eastAsia="es-MX"/>
    </w:rPr>
  </w:style>
  <w:style w:type="paragraph" w:customStyle="1" w:styleId="Textodeglobo1">
    <w:name w:val="Texto de globo1"/>
    <w:basedOn w:val="Normal"/>
    <w:uiPriority w:val="99"/>
    <w:rsid w:val="00E278C4"/>
    <w:rPr>
      <w:rFonts w:ascii="Tahoma" w:eastAsia="Times New Roman" w:hAnsi="Tahoma" w:cs="Tahoma"/>
      <w:sz w:val="16"/>
      <w:szCs w:val="20"/>
      <w:lang w:val="es-ES" w:eastAsia="es-MX"/>
    </w:rPr>
  </w:style>
  <w:style w:type="paragraph" w:customStyle="1" w:styleId="ColorfulShadingAccent">
    <w:name w:val="Colorful Shading Accent"/>
    <w:uiPriority w:val="99"/>
    <w:rsid w:val="00E278C4"/>
    <w:rPr>
      <w:rFonts w:eastAsia="Times New Roman"/>
      <w:lang w:val="es-ES"/>
    </w:rPr>
  </w:style>
  <w:style w:type="paragraph" w:customStyle="1" w:styleId="xl110">
    <w:name w:val="xl110"/>
    <w:basedOn w:val="Normal"/>
    <w:uiPriority w:val="99"/>
    <w:rsid w:val="00E278C4"/>
    <w:pPr>
      <w:shd w:val="clear" w:color="000000" w:fill="FFFFFF"/>
      <w:spacing w:before="100" w:after="100"/>
      <w:jc w:val="right"/>
    </w:pPr>
    <w:rPr>
      <w:rFonts w:eastAsia="Times New Roman"/>
      <w:szCs w:val="20"/>
      <w:lang w:eastAsia="es-MX"/>
    </w:rPr>
  </w:style>
  <w:style w:type="paragraph" w:customStyle="1" w:styleId="xl111">
    <w:name w:val="xl111"/>
    <w:basedOn w:val="Normal"/>
    <w:uiPriority w:val="99"/>
    <w:rsid w:val="00E278C4"/>
    <w:pPr>
      <w:shd w:val="clear" w:color="000000" w:fill="FFFFFF"/>
      <w:spacing w:before="100" w:after="100"/>
    </w:pPr>
    <w:rPr>
      <w:rFonts w:eastAsia="Times New Roman"/>
      <w:szCs w:val="20"/>
      <w:lang w:eastAsia="es-MX"/>
    </w:rPr>
  </w:style>
  <w:style w:type="paragraph" w:customStyle="1" w:styleId="xl112">
    <w:name w:val="xl112"/>
    <w:basedOn w:val="Normal"/>
    <w:uiPriority w:val="99"/>
    <w:rsid w:val="00E278C4"/>
    <w:pPr>
      <w:shd w:val="clear" w:color="000000" w:fill="FFFFFF"/>
      <w:spacing w:before="100" w:after="100"/>
      <w:jc w:val="center"/>
    </w:pPr>
    <w:rPr>
      <w:rFonts w:eastAsia="Times New Roman"/>
      <w:szCs w:val="20"/>
      <w:lang w:eastAsia="es-MX"/>
    </w:rPr>
  </w:style>
  <w:style w:type="paragraph" w:customStyle="1" w:styleId="xl113">
    <w:name w:val="xl113"/>
    <w:basedOn w:val="Normal"/>
    <w:uiPriority w:val="99"/>
    <w:rsid w:val="00E278C4"/>
    <w:pPr>
      <w:shd w:val="clear" w:color="000000" w:fill="FFFFFF"/>
      <w:spacing w:before="100" w:after="100"/>
    </w:pPr>
    <w:rPr>
      <w:rFonts w:eastAsia="Times New Roman"/>
      <w:szCs w:val="20"/>
      <w:lang w:eastAsia="es-MX"/>
    </w:rPr>
  </w:style>
  <w:style w:type="paragraph" w:customStyle="1" w:styleId="xl115">
    <w:name w:val="xl115"/>
    <w:basedOn w:val="Normal"/>
    <w:uiPriority w:val="99"/>
    <w:rsid w:val="00E278C4"/>
    <w:pPr>
      <w:shd w:val="clear" w:color="000000" w:fill="FFFFFF"/>
      <w:spacing w:before="100" w:after="100"/>
    </w:pPr>
    <w:rPr>
      <w:rFonts w:ascii="Arial" w:eastAsia="Times New Roman" w:hAnsi="Arial" w:cs="Arial"/>
      <w:color w:val="FFFFFF"/>
      <w:szCs w:val="20"/>
      <w:lang w:eastAsia="es-MX"/>
    </w:rPr>
  </w:style>
  <w:style w:type="paragraph" w:customStyle="1" w:styleId="xl116">
    <w:name w:val="xl116"/>
    <w:basedOn w:val="Normal"/>
    <w:uiPriority w:val="99"/>
    <w:rsid w:val="00E278C4"/>
    <w:pPr>
      <w:shd w:val="clear" w:color="000000" w:fill="FFFFFF"/>
      <w:spacing w:before="100" w:after="100"/>
      <w:jc w:val="right"/>
    </w:pPr>
    <w:rPr>
      <w:rFonts w:ascii="Arial" w:eastAsia="Times New Roman" w:hAnsi="Arial" w:cs="Arial"/>
      <w:color w:val="0000FF"/>
      <w:szCs w:val="20"/>
      <w:lang w:eastAsia="es-MX"/>
    </w:rPr>
  </w:style>
  <w:style w:type="paragraph" w:customStyle="1" w:styleId="xl117">
    <w:name w:val="xl117"/>
    <w:basedOn w:val="Normal"/>
    <w:uiPriority w:val="99"/>
    <w:rsid w:val="00E278C4"/>
    <w:pPr>
      <w:shd w:val="clear" w:color="000000" w:fill="FFFFFF"/>
      <w:spacing w:before="100" w:after="100"/>
    </w:pPr>
    <w:rPr>
      <w:rFonts w:ascii="Arial" w:eastAsia="Times New Roman" w:hAnsi="Arial" w:cs="Arial"/>
      <w:color w:val="0000FF"/>
      <w:szCs w:val="20"/>
      <w:lang w:eastAsia="es-MX"/>
    </w:rPr>
  </w:style>
  <w:style w:type="paragraph" w:customStyle="1" w:styleId="xl118">
    <w:name w:val="xl118"/>
    <w:basedOn w:val="Normal"/>
    <w:uiPriority w:val="99"/>
    <w:rsid w:val="00E278C4"/>
    <w:pPr>
      <w:shd w:val="clear" w:color="000000" w:fill="FFFFFF"/>
      <w:spacing w:before="100" w:after="100"/>
      <w:jc w:val="center"/>
    </w:pPr>
    <w:rPr>
      <w:rFonts w:ascii="Arial" w:eastAsia="Times New Roman" w:hAnsi="Arial" w:cs="Arial"/>
      <w:color w:val="0000FF"/>
      <w:szCs w:val="20"/>
      <w:lang w:eastAsia="es-MX"/>
    </w:rPr>
  </w:style>
  <w:style w:type="paragraph" w:customStyle="1" w:styleId="xl119">
    <w:name w:val="xl119"/>
    <w:basedOn w:val="Normal"/>
    <w:uiPriority w:val="99"/>
    <w:rsid w:val="00E278C4"/>
    <w:pPr>
      <w:shd w:val="clear" w:color="000000" w:fill="FFFFFF"/>
      <w:spacing w:before="100" w:after="100"/>
      <w:jc w:val="center"/>
    </w:pPr>
    <w:rPr>
      <w:rFonts w:ascii="Arial" w:eastAsia="Times New Roman" w:hAnsi="Arial" w:cs="Arial"/>
      <w:b/>
      <w:sz w:val="22"/>
      <w:szCs w:val="20"/>
      <w:lang w:eastAsia="es-MX"/>
    </w:rPr>
  </w:style>
  <w:style w:type="paragraph" w:customStyle="1" w:styleId="xl120">
    <w:name w:val="xl120"/>
    <w:basedOn w:val="Normal"/>
    <w:uiPriority w:val="99"/>
    <w:rsid w:val="00E278C4"/>
    <w:pPr>
      <w:shd w:val="clear" w:color="000000" w:fill="FFFFFF"/>
      <w:spacing w:before="100" w:after="100"/>
    </w:pPr>
    <w:rPr>
      <w:rFonts w:ascii="Arial MT" w:eastAsia="Times New Roman" w:hAnsi="Arial MT" w:cs="Arial MT"/>
      <w:b/>
      <w:szCs w:val="20"/>
      <w:lang w:eastAsia="es-MX"/>
    </w:rPr>
  </w:style>
  <w:style w:type="paragraph" w:customStyle="1" w:styleId="xl121">
    <w:name w:val="xl121"/>
    <w:basedOn w:val="Normal"/>
    <w:uiPriority w:val="99"/>
    <w:rsid w:val="00E278C4"/>
    <w:pPr>
      <w:pBdr>
        <w:bottom w:val="single" w:sz="6" w:space="0" w:color="auto"/>
      </w:pBdr>
      <w:shd w:val="clear" w:color="000000" w:fill="FFFFFF"/>
      <w:spacing w:before="100" w:after="100"/>
    </w:pPr>
    <w:rPr>
      <w:rFonts w:ascii="Arial" w:eastAsia="Times New Roman" w:hAnsi="Arial" w:cs="Arial"/>
      <w:b/>
      <w:szCs w:val="20"/>
      <w:lang w:eastAsia="es-MX"/>
    </w:rPr>
  </w:style>
  <w:style w:type="paragraph" w:customStyle="1" w:styleId="xl122">
    <w:name w:val="xl122"/>
    <w:basedOn w:val="Normal"/>
    <w:uiPriority w:val="99"/>
    <w:rsid w:val="00E278C4"/>
    <w:pPr>
      <w:pBdr>
        <w:bottom w:val="single" w:sz="6" w:space="0" w:color="auto"/>
      </w:pBdr>
      <w:shd w:val="clear" w:color="000000" w:fill="FFFFFF"/>
      <w:spacing w:before="100" w:after="100"/>
      <w:jc w:val="center"/>
    </w:pPr>
    <w:rPr>
      <w:rFonts w:ascii="Arial" w:eastAsia="Times New Roman" w:hAnsi="Arial" w:cs="Arial"/>
      <w:b/>
      <w:szCs w:val="20"/>
      <w:lang w:eastAsia="es-MX"/>
    </w:rPr>
  </w:style>
  <w:style w:type="paragraph" w:customStyle="1" w:styleId="xl123">
    <w:name w:val="xl123"/>
    <w:basedOn w:val="Normal"/>
    <w:uiPriority w:val="99"/>
    <w:rsid w:val="00E278C4"/>
    <w:pPr>
      <w:pBdr>
        <w:bottom w:val="single" w:sz="6" w:space="0" w:color="auto"/>
      </w:pBdr>
      <w:shd w:val="clear" w:color="000000" w:fill="FFFFFF"/>
      <w:spacing w:before="100" w:after="100"/>
      <w:jc w:val="center"/>
    </w:pPr>
    <w:rPr>
      <w:rFonts w:ascii="Arial" w:eastAsia="Times New Roman" w:hAnsi="Arial" w:cs="Arial"/>
      <w:b/>
      <w:sz w:val="18"/>
      <w:szCs w:val="20"/>
      <w:lang w:eastAsia="es-MX"/>
    </w:rPr>
  </w:style>
  <w:style w:type="paragraph" w:customStyle="1" w:styleId="xl124">
    <w:name w:val="xl124"/>
    <w:basedOn w:val="Normal"/>
    <w:uiPriority w:val="99"/>
    <w:rsid w:val="00E278C4"/>
    <w:pPr>
      <w:pBdr>
        <w:bottom w:val="single" w:sz="6" w:space="0" w:color="auto"/>
      </w:pBdr>
      <w:shd w:val="clear" w:color="000000" w:fill="FFFFFF"/>
      <w:spacing w:before="100" w:after="100"/>
      <w:jc w:val="center"/>
    </w:pPr>
    <w:rPr>
      <w:rFonts w:ascii="Arial" w:eastAsia="Times New Roman" w:hAnsi="Arial" w:cs="Arial"/>
      <w:b/>
      <w:szCs w:val="20"/>
      <w:lang w:eastAsia="es-MX"/>
    </w:rPr>
  </w:style>
  <w:style w:type="paragraph" w:customStyle="1" w:styleId="xl125">
    <w:name w:val="xl125"/>
    <w:basedOn w:val="Normal"/>
    <w:uiPriority w:val="99"/>
    <w:rsid w:val="00E278C4"/>
    <w:pPr>
      <w:shd w:val="clear" w:color="000000" w:fill="FFFFFF"/>
      <w:spacing w:before="100" w:after="100"/>
      <w:jc w:val="right"/>
    </w:pPr>
    <w:rPr>
      <w:rFonts w:ascii="Arial" w:eastAsia="Times New Roman" w:hAnsi="Arial" w:cs="Arial"/>
      <w:szCs w:val="20"/>
      <w:lang w:eastAsia="es-MX"/>
    </w:rPr>
  </w:style>
  <w:style w:type="paragraph" w:customStyle="1" w:styleId="xl126">
    <w:name w:val="xl126"/>
    <w:basedOn w:val="Normal"/>
    <w:uiPriority w:val="99"/>
    <w:rsid w:val="00E278C4"/>
    <w:pPr>
      <w:shd w:val="clear" w:color="000000" w:fill="FFFFFF"/>
      <w:spacing w:before="100" w:after="100"/>
      <w:jc w:val="right"/>
    </w:pPr>
    <w:rPr>
      <w:rFonts w:ascii="Arial" w:eastAsia="Times New Roman" w:hAnsi="Arial" w:cs="Arial"/>
      <w:szCs w:val="20"/>
      <w:lang w:eastAsia="es-MX"/>
    </w:rPr>
  </w:style>
  <w:style w:type="paragraph" w:customStyle="1" w:styleId="xl127">
    <w:name w:val="xl127"/>
    <w:basedOn w:val="Normal"/>
    <w:uiPriority w:val="99"/>
    <w:rsid w:val="00E278C4"/>
    <w:pPr>
      <w:shd w:val="clear" w:color="000000" w:fill="FFFFFF"/>
      <w:spacing w:before="100" w:after="100"/>
    </w:pPr>
    <w:rPr>
      <w:rFonts w:eastAsia="Times New Roman"/>
      <w:szCs w:val="20"/>
      <w:lang w:eastAsia="es-MX"/>
    </w:rPr>
  </w:style>
  <w:style w:type="paragraph" w:customStyle="1" w:styleId="xl129">
    <w:name w:val="xl129"/>
    <w:basedOn w:val="Normal"/>
    <w:uiPriority w:val="99"/>
    <w:rsid w:val="00E278C4"/>
    <w:pPr>
      <w:shd w:val="clear" w:color="000000" w:fill="FFFFFF"/>
      <w:spacing w:before="100" w:after="100"/>
      <w:jc w:val="center"/>
    </w:pPr>
    <w:rPr>
      <w:rFonts w:ascii="Arial" w:eastAsia="Times New Roman" w:hAnsi="Arial" w:cs="Arial"/>
      <w:szCs w:val="20"/>
      <w:lang w:eastAsia="es-MX"/>
    </w:rPr>
  </w:style>
  <w:style w:type="paragraph" w:customStyle="1" w:styleId="xl130">
    <w:name w:val="xl130"/>
    <w:basedOn w:val="Normal"/>
    <w:uiPriority w:val="99"/>
    <w:rsid w:val="00E278C4"/>
    <w:pPr>
      <w:shd w:val="clear" w:color="000000" w:fill="FFFFFF"/>
      <w:spacing w:before="100" w:after="100"/>
    </w:pPr>
    <w:rPr>
      <w:rFonts w:ascii="Arial" w:eastAsia="Times New Roman" w:hAnsi="Arial" w:cs="Arial"/>
      <w:szCs w:val="20"/>
      <w:lang w:eastAsia="es-MX"/>
    </w:rPr>
  </w:style>
  <w:style w:type="paragraph" w:customStyle="1" w:styleId="xl131">
    <w:name w:val="xl131"/>
    <w:basedOn w:val="Normal"/>
    <w:uiPriority w:val="99"/>
    <w:rsid w:val="00E278C4"/>
    <w:pPr>
      <w:shd w:val="clear" w:color="000000" w:fill="FFFFFF"/>
      <w:spacing w:before="100" w:after="100"/>
      <w:jc w:val="center"/>
    </w:pPr>
    <w:rPr>
      <w:rFonts w:ascii="Arial" w:eastAsia="Times New Roman" w:hAnsi="Arial" w:cs="Arial"/>
      <w:color w:val="FFFFFF"/>
      <w:szCs w:val="20"/>
      <w:lang w:eastAsia="es-MX"/>
    </w:rPr>
  </w:style>
  <w:style w:type="paragraph" w:customStyle="1" w:styleId="xl132">
    <w:name w:val="xl132"/>
    <w:basedOn w:val="Normal"/>
    <w:uiPriority w:val="99"/>
    <w:rsid w:val="00E278C4"/>
    <w:pPr>
      <w:shd w:val="clear" w:color="000000" w:fill="FFFFFF"/>
      <w:spacing w:before="100" w:after="100"/>
      <w:jc w:val="right"/>
    </w:pPr>
    <w:rPr>
      <w:rFonts w:eastAsia="Times New Roman"/>
      <w:szCs w:val="20"/>
      <w:lang w:eastAsia="es-MX"/>
    </w:rPr>
  </w:style>
  <w:style w:type="paragraph" w:customStyle="1" w:styleId="xl133">
    <w:name w:val="xl133"/>
    <w:basedOn w:val="Normal"/>
    <w:uiPriority w:val="99"/>
    <w:rsid w:val="00E278C4"/>
    <w:pPr>
      <w:shd w:val="clear" w:color="000000" w:fill="FFFFFF"/>
      <w:spacing w:before="100" w:after="100"/>
    </w:pPr>
    <w:rPr>
      <w:rFonts w:eastAsia="Times New Roman"/>
      <w:szCs w:val="20"/>
      <w:lang w:eastAsia="es-MX"/>
    </w:rPr>
  </w:style>
  <w:style w:type="paragraph" w:customStyle="1" w:styleId="xl134">
    <w:name w:val="xl134"/>
    <w:basedOn w:val="Normal"/>
    <w:uiPriority w:val="99"/>
    <w:rsid w:val="00E278C4"/>
    <w:pPr>
      <w:shd w:val="clear" w:color="000000" w:fill="FFFFFF"/>
      <w:spacing w:before="100" w:after="100"/>
      <w:jc w:val="center"/>
    </w:pPr>
    <w:rPr>
      <w:rFonts w:ascii="Arial" w:eastAsia="Times New Roman" w:hAnsi="Arial" w:cs="Arial"/>
      <w:szCs w:val="20"/>
      <w:lang w:eastAsia="es-MX"/>
    </w:rPr>
  </w:style>
  <w:style w:type="paragraph" w:customStyle="1" w:styleId="xl135">
    <w:name w:val="xl135"/>
    <w:basedOn w:val="Normal"/>
    <w:uiPriority w:val="99"/>
    <w:rsid w:val="00E278C4"/>
    <w:pPr>
      <w:pBdr>
        <w:bottom w:val="single" w:sz="6" w:space="0" w:color="auto"/>
      </w:pBdr>
      <w:shd w:val="clear" w:color="000000" w:fill="FFFFFF"/>
      <w:spacing w:before="100" w:after="100"/>
      <w:jc w:val="right"/>
    </w:pPr>
    <w:rPr>
      <w:rFonts w:ascii="Arial" w:eastAsia="Times New Roman" w:hAnsi="Arial" w:cs="Arial"/>
      <w:b/>
      <w:szCs w:val="20"/>
      <w:lang w:eastAsia="es-MX"/>
    </w:rPr>
  </w:style>
  <w:style w:type="paragraph" w:customStyle="1" w:styleId="xl136">
    <w:name w:val="xl136"/>
    <w:basedOn w:val="Normal"/>
    <w:uiPriority w:val="99"/>
    <w:rsid w:val="00E278C4"/>
    <w:pPr>
      <w:shd w:val="clear" w:color="000000" w:fill="FFFFFF"/>
      <w:spacing w:before="100" w:after="100"/>
      <w:jc w:val="center"/>
    </w:pPr>
    <w:rPr>
      <w:rFonts w:ascii="Arial" w:eastAsia="Times New Roman" w:hAnsi="Arial" w:cs="Arial"/>
      <w:b/>
      <w:color w:val="0000FF"/>
      <w:szCs w:val="20"/>
      <w:lang w:eastAsia="es-MX"/>
    </w:rPr>
  </w:style>
  <w:style w:type="paragraph" w:customStyle="1" w:styleId="xl137">
    <w:name w:val="xl137"/>
    <w:basedOn w:val="Normal"/>
    <w:uiPriority w:val="99"/>
    <w:rsid w:val="00E278C4"/>
    <w:pPr>
      <w:shd w:val="clear" w:color="000000" w:fill="FFFFFF"/>
      <w:spacing w:before="100" w:after="100"/>
      <w:jc w:val="center"/>
    </w:pPr>
    <w:rPr>
      <w:rFonts w:ascii="Arial" w:eastAsia="Times New Roman" w:hAnsi="Arial" w:cs="Arial"/>
      <w:b/>
      <w:szCs w:val="20"/>
      <w:lang w:eastAsia="es-MX"/>
    </w:rPr>
  </w:style>
  <w:style w:type="paragraph" w:customStyle="1" w:styleId="xl138">
    <w:name w:val="xl138"/>
    <w:basedOn w:val="Normal"/>
    <w:uiPriority w:val="99"/>
    <w:rsid w:val="00E278C4"/>
    <w:pPr>
      <w:shd w:val="clear" w:color="000000" w:fill="FFFFFF"/>
      <w:spacing w:before="100" w:after="100"/>
      <w:jc w:val="center"/>
    </w:pPr>
    <w:rPr>
      <w:rFonts w:ascii="Arial" w:eastAsia="Times New Roman" w:hAnsi="Arial" w:cs="Arial"/>
      <w:b/>
      <w:szCs w:val="20"/>
      <w:lang w:eastAsia="es-MX"/>
    </w:rPr>
  </w:style>
  <w:style w:type="paragraph" w:customStyle="1" w:styleId="xl139">
    <w:name w:val="xl139"/>
    <w:basedOn w:val="Normal"/>
    <w:uiPriority w:val="99"/>
    <w:rsid w:val="00E278C4"/>
    <w:pPr>
      <w:shd w:val="clear" w:color="000000" w:fill="FFFFFF"/>
      <w:spacing w:before="100" w:after="100"/>
      <w:jc w:val="center"/>
    </w:pPr>
    <w:rPr>
      <w:rFonts w:ascii="Arial" w:eastAsia="Times New Roman" w:hAnsi="Arial" w:cs="Arial"/>
      <w:b/>
      <w:szCs w:val="20"/>
      <w:lang w:eastAsia="es-MX"/>
    </w:rPr>
  </w:style>
  <w:style w:type="paragraph" w:customStyle="1" w:styleId="Mapadeldocumento1">
    <w:name w:val="Mapa del documento1"/>
    <w:basedOn w:val="Normal"/>
    <w:uiPriority w:val="99"/>
    <w:rsid w:val="00E278C4"/>
    <w:pPr>
      <w:shd w:val="clear" w:color="auto" w:fill="000080"/>
    </w:pPr>
    <w:rPr>
      <w:rFonts w:ascii="Tahoma" w:eastAsia="Times New Roman" w:hAnsi="Tahoma" w:cs="Tahoma"/>
      <w:sz w:val="20"/>
      <w:szCs w:val="20"/>
      <w:lang w:eastAsia="es-MX"/>
    </w:rPr>
  </w:style>
  <w:style w:type="paragraph" w:customStyle="1" w:styleId="EstilotextoPrimeral">
    <w:name w:val="Estilo texto + Primera l"/>
    <w:basedOn w:val="texto0"/>
    <w:uiPriority w:val="99"/>
    <w:rsid w:val="00E278C4"/>
    <w:pPr>
      <w:autoSpaceDE/>
      <w:autoSpaceDN/>
      <w:spacing w:after="101" w:line="216" w:lineRule="exact"/>
      <w:ind w:right="0"/>
    </w:pPr>
    <w:rPr>
      <w:rFonts w:ascii="Arial" w:eastAsia="Times New Roman" w:hAnsi="Arial" w:cs="Arial"/>
      <w:sz w:val="18"/>
      <w:szCs w:val="20"/>
      <w:lang w:val="es-MX" w:eastAsia="es-MX"/>
    </w:rPr>
  </w:style>
  <w:style w:type="paragraph" w:customStyle="1" w:styleId="Listavistosa-nfasis11">
    <w:name w:val="Lista vistosa - Énfasis 11"/>
    <w:basedOn w:val="Normal"/>
    <w:uiPriority w:val="99"/>
    <w:rsid w:val="00E278C4"/>
    <w:pPr>
      <w:spacing w:after="200" w:line="276" w:lineRule="atLeast"/>
      <w:ind w:left="720"/>
    </w:pPr>
    <w:rPr>
      <w:rFonts w:ascii="Calibri" w:eastAsia="Times New Roman" w:hAnsi="Calibri" w:cs="Calibri"/>
      <w:sz w:val="22"/>
      <w:szCs w:val="20"/>
      <w:lang w:val="es-ES" w:eastAsia="es-MX"/>
    </w:rPr>
  </w:style>
  <w:style w:type="numbering" w:customStyle="1" w:styleId="Sinlista516">
    <w:name w:val="Sin lista516"/>
    <w:next w:val="Sinlista"/>
    <w:semiHidden/>
    <w:rsid w:val="0099726E"/>
  </w:style>
  <w:style w:type="table" w:customStyle="1" w:styleId="Tablaconcuadrcula738">
    <w:name w:val="Tabla con cuadrícula738"/>
    <w:basedOn w:val="Tablanormal"/>
    <w:next w:val="Tablaconcuadrcula"/>
    <w:rsid w:val="0099726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39">
    <w:name w:val="Tabla con cuadrícula739"/>
    <w:basedOn w:val="Tablanormal"/>
    <w:next w:val="Tablaconcuadrcula"/>
    <w:rsid w:val="00C13FE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17">
    <w:name w:val="Sin lista517"/>
    <w:next w:val="Sinlista"/>
    <w:semiHidden/>
    <w:rsid w:val="00841BAF"/>
  </w:style>
  <w:style w:type="table" w:customStyle="1" w:styleId="Tablaconcuadrcula740">
    <w:name w:val="Tabla con cuadrícula740"/>
    <w:basedOn w:val="Tablanormal"/>
    <w:next w:val="Tablaconcuadrcula"/>
    <w:rsid w:val="00841B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47">
    <w:name w:val="Tabla con cuadrícula747"/>
    <w:basedOn w:val="Tablanormal"/>
    <w:next w:val="Tablaconcuadrcula"/>
    <w:rsid w:val="002A6C3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41">
    <w:name w:val="Tabla con cuadrícula741"/>
    <w:basedOn w:val="Tablanormal"/>
    <w:next w:val="Tablaconcuadrcula"/>
    <w:rsid w:val="00D04F0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42">
    <w:name w:val="Tabla con cuadrícula742"/>
    <w:basedOn w:val="Tablanormal"/>
    <w:next w:val="Tablaconcuadrcula"/>
    <w:rsid w:val="00D04F0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18">
    <w:name w:val="Sin lista518"/>
    <w:next w:val="Sinlista"/>
    <w:semiHidden/>
    <w:rsid w:val="006C5CE6"/>
  </w:style>
  <w:style w:type="numbering" w:customStyle="1" w:styleId="Sinlista519">
    <w:name w:val="Sin lista519"/>
    <w:next w:val="Sinlista"/>
    <w:semiHidden/>
    <w:rsid w:val="006C5CE6"/>
  </w:style>
  <w:style w:type="table" w:customStyle="1" w:styleId="Tablaconcuadrcula743">
    <w:name w:val="Tabla con cuadrícula743"/>
    <w:basedOn w:val="Tablanormal"/>
    <w:next w:val="Tablaconcuadrcula"/>
    <w:rsid w:val="006C5CE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20">
    <w:name w:val="Sin lista520"/>
    <w:next w:val="Sinlista"/>
    <w:semiHidden/>
    <w:rsid w:val="006C5CE6"/>
  </w:style>
  <w:style w:type="table" w:customStyle="1" w:styleId="Tablaconcuadrcula744">
    <w:name w:val="Tabla con cuadrícula744"/>
    <w:basedOn w:val="Tablanormal"/>
    <w:next w:val="Tablaconcuadrcula"/>
    <w:rsid w:val="006C5CE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24">
    <w:name w:val="Sin lista524"/>
    <w:next w:val="Sinlista"/>
    <w:semiHidden/>
    <w:rsid w:val="006C5CE6"/>
  </w:style>
  <w:style w:type="table" w:customStyle="1" w:styleId="Tablaconcuadrcula745">
    <w:name w:val="Tabla con cuadrícula745"/>
    <w:basedOn w:val="Tablanormal"/>
    <w:next w:val="Tablaconcuadrcula"/>
    <w:rsid w:val="006C5CE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25">
    <w:name w:val="Sin lista525"/>
    <w:next w:val="Sinlista"/>
    <w:semiHidden/>
    <w:rsid w:val="006C5CE6"/>
  </w:style>
  <w:style w:type="table" w:customStyle="1" w:styleId="Tablaconcuadrcula746">
    <w:name w:val="Tabla con cuadrícula746"/>
    <w:basedOn w:val="Tablanormal"/>
    <w:next w:val="Tablaconcuadrcula"/>
    <w:rsid w:val="006C5CE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26">
    <w:name w:val="Sin lista526"/>
    <w:next w:val="Sinlista"/>
    <w:semiHidden/>
    <w:rsid w:val="006C5CE6"/>
  </w:style>
  <w:style w:type="numbering" w:customStyle="1" w:styleId="Sinlista527">
    <w:name w:val="Sin lista527"/>
    <w:next w:val="Sinlista"/>
    <w:semiHidden/>
    <w:rsid w:val="009E4D95"/>
  </w:style>
  <w:style w:type="table" w:customStyle="1" w:styleId="Tablaconcuadrcula748">
    <w:name w:val="Tabla con cuadrícula748"/>
    <w:basedOn w:val="Tablanormal"/>
    <w:next w:val="Tablaconcuadrcula"/>
    <w:rsid w:val="004A2D0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49">
    <w:name w:val="Tabla con cuadrícula749"/>
    <w:basedOn w:val="Tablanormal"/>
    <w:next w:val="Tablaconcuadrcula"/>
    <w:rsid w:val="00716BB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0">
    <w:name w:val="Tabla con cuadrícula750"/>
    <w:basedOn w:val="Tablanormal"/>
    <w:next w:val="Tablaconcuadrcula"/>
    <w:rsid w:val="004D393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1">
    <w:name w:val="Tabla con cuadrícula751"/>
    <w:basedOn w:val="Tablanormal"/>
    <w:next w:val="Tablaconcuadrcula"/>
    <w:rsid w:val="008662F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2">
    <w:name w:val="Tabla con cuadrícula752"/>
    <w:basedOn w:val="Tablanormal"/>
    <w:next w:val="Tablaconcuadrcula"/>
    <w:rsid w:val="00AA73A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3">
    <w:name w:val="Tabla con cuadrícula753"/>
    <w:basedOn w:val="Tablanormal"/>
    <w:next w:val="Tablaconcuadrcula"/>
    <w:rsid w:val="00430EB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4">
    <w:name w:val="Tabla con cuadrícula754"/>
    <w:basedOn w:val="Tablanormal"/>
    <w:next w:val="Tablaconcuadrcula"/>
    <w:rsid w:val="007F64C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5">
    <w:name w:val="Tabla con cuadrícula755"/>
    <w:basedOn w:val="Tablanormal"/>
    <w:next w:val="Tablaconcuadrcula"/>
    <w:rsid w:val="003460F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28">
    <w:name w:val="Sin lista528"/>
    <w:next w:val="Sinlista"/>
    <w:semiHidden/>
    <w:rsid w:val="00FA45E2"/>
  </w:style>
  <w:style w:type="table" w:customStyle="1" w:styleId="Tablaconcuadrcula756">
    <w:name w:val="Tabla con cuadrícula756"/>
    <w:basedOn w:val="Tablanormal"/>
    <w:next w:val="Tablaconcuadrcula"/>
    <w:rsid w:val="00FA45E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29">
    <w:name w:val="Sin lista529"/>
    <w:next w:val="Sinlista"/>
    <w:semiHidden/>
    <w:rsid w:val="00E515DF"/>
  </w:style>
  <w:style w:type="character" w:customStyle="1" w:styleId="hps">
    <w:name w:val="hps"/>
    <w:basedOn w:val="Fuentedeprrafopredeter"/>
    <w:rsid w:val="00E515DF"/>
  </w:style>
  <w:style w:type="character" w:customStyle="1" w:styleId="hpsatn">
    <w:name w:val="hps atn"/>
    <w:basedOn w:val="Fuentedeprrafopredeter"/>
    <w:rsid w:val="00E515DF"/>
  </w:style>
  <w:style w:type="numbering" w:customStyle="1" w:styleId="Sinlista530">
    <w:name w:val="Sin lista530"/>
    <w:next w:val="Sinlista"/>
    <w:semiHidden/>
    <w:rsid w:val="00F1490C"/>
  </w:style>
  <w:style w:type="table" w:customStyle="1" w:styleId="Tablaconcuadrcula757">
    <w:name w:val="Tabla con cuadrícula757"/>
    <w:basedOn w:val="Tablanormal"/>
    <w:next w:val="Tablaconcuadrcula"/>
    <w:rsid w:val="00F1490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34">
    <w:name w:val="Sin lista534"/>
    <w:next w:val="Sinlista"/>
    <w:semiHidden/>
    <w:rsid w:val="00532686"/>
  </w:style>
  <w:style w:type="table" w:customStyle="1" w:styleId="Tablaconcuadrcula758">
    <w:name w:val="Tabla con cuadrícula758"/>
    <w:basedOn w:val="Tablanormal"/>
    <w:next w:val="Tablaconcuadrcula"/>
    <w:rsid w:val="0053268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9">
    <w:name w:val="Tabla con cuadrícula759"/>
    <w:basedOn w:val="Tablanormal"/>
    <w:next w:val="Tablaconcuadrcula"/>
    <w:rsid w:val="007D723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60">
    <w:name w:val="Tabla con cuadrícula760"/>
    <w:basedOn w:val="Tablanormal"/>
    <w:next w:val="Tablaconcuadrcula"/>
    <w:rsid w:val="000E505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61">
    <w:name w:val="Tabla con cuadrícula761"/>
    <w:basedOn w:val="Tablanormal"/>
    <w:next w:val="Tablaconcuadrcula"/>
    <w:rsid w:val="00B770F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62">
    <w:name w:val="Tabla con cuadrícula762"/>
    <w:basedOn w:val="Tablanormal"/>
    <w:next w:val="Tablaconcuadrcula"/>
    <w:rsid w:val="00B770F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35">
    <w:name w:val="Sin lista535"/>
    <w:next w:val="Sinlista"/>
    <w:semiHidden/>
    <w:rsid w:val="00A57FF7"/>
  </w:style>
  <w:style w:type="numbering" w:customStyle="1" w:styleId="Sinlista536">
    <w:name w:val="Sin lista536"/>
    <w:next w:val="Sinlista"/>
    <w:semiHidden/>
    <w:rsid w:val="00C67639"/>
  </w:style>
  <w:style w:type="table" w:customStyle="1" w:styleId="Tablaconcuadrcula763">
    <w:name w:val="Tabla con cuadrícula763"/>
    <w:basedOn w:val="Tablanormal"/>
    <w:next w:val="Tablaconcuadrcula"/>
    <w:rsid w:val="00C6763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37">
    <w:name w:val="Sin lista537"/>
    <w:next w:val="Sinlista"/>
    <w:semiHidden/>
    <w:rsid w:val="002B6117"/>
  </w:style>
  <w:style w:type="table" w:customStyle="1" w:styleId="Tablaconcuadrcula764">
    <w:name w:val="Tabla con cuadrícula764"/>
    <w:basedOn w:val="Tablanormal"/>
    <w:next w:val="Tablaconcuadrcula"/>
    <w:rsid w:val="00BF7C6A"/>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538">
    <w:name w:val="Sin lista538"/>
    <w:next w:val="Sinlista"/>
    <w:semiHidden/>
    <w:rsid w:val="00211834"/>
  </w:style>
  <w:style w:type="table" w:customStyle="1" w:styleId="Tablaconcuadrcula765">
    <w:name w:val="Tabla con cuadrícula765"/>
    <w:basedOn w:val="Tablanormal"/>
    <w:next w:val="Tablaconcuadrcula"/>
    <w:rsid w:val="0021183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39">
    <w:name w:val="Sin lista539"/>
    <w:next w:val="Sinlista"/>
    <w:semiHidden/>
    <w:rsid w:val="000F3AE2"/>
  </w:style>
  <w:style w:type="table" w:customStyle="1" w:styleId="Tablaconcuadrcula766">
    <w:name w:val="Tabla con cuadrícula766"/>
    <w:basedOn w:val="Tablanormal"/>
    <w:next w:val="Tablaconcuadrcula"/>
    <w:rsid w:val="000F3AE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0">
    <w:name w:val="Sin lista540"/>
    <w:next w:val="Sinlista"/>
    <w:semiHidden/>
    <w:rsid w:val="000F5384"/>
  </w:style>
  <w:style w:type="table" w:customStyle="1" w:styleId="Tablaconcuadrcula767">
    <w:name w:val="Tabla con cuadrícula767"/>
    <w:basedOn w:val="Tablanormal"/>
    <w:next w:val="Tablaconcuadrcula"/>
    <w:rsid w:val="000F538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4">
    <w:name w:val="Sin lista544"/>
    <w:next w:val="Sinlista"/>
    <w:semiHidden/>
    <w:rsid w:val="00886718"/>
  </w:style>
  <w:style w:type="table" w:customStyle="1" w:styleId="Tablaconcuadrcula768">
    <w:name w:val="Tabla con cuadrícula768"/>
    <w:basedOn w:val="Tablanormal"/>
    <w:next w:val="Tablaconcuadrcula"/>
    <w:rsid w:val="0088671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69">
    <w:name w:val="Tabla con cuadrícula769"/>
    <w:basedOn w:val="Tablanormal"/>
    <w:next w:val="Tablaconcuadrcula"/>
    <w:rsid w:val="00005B3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70">
    <w:name w:val="Tabla con cuadrícula770"/>
    <w:basedOn w:val="Tablanormal"/>
    <w:next w:val="Tablaconcuadrcula"/>
    <w:rsid w:val="009227A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5">
    <w:name w:val="Sin lista545"/>
    <w:next w:val="Sinlista"/>
    <w:semiHidden/>
    <w:rsid w:val="005C0CFA"/>
  </w:style>
  <w:style w:type="table" w:customStyle="1" w:styleId="Tablaconcuadrcula771">
    <w:name w:val="Tabla con cuadrícula771"/>
    <w:basedOn w:val="Tablanormal"/>
    <w:next w:val="Tablaconcuadrcula"/>
    <w:rsid w:val="005C0CF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6">
    <w:name w:val="Sin lista546"/>
    <w:next w:val="Sinlista"/>
    <w:semiHidden/>
    <w:rsid w:val="00023E48"/>
  </w:style>
  <w:style w:type="table" w:customStyle="1" w:styleId="Tablaconcuadrcula772">
    <w:name w:val="Tabla con cuadrícula772"/>
    <w:basedOn w:val="Tablanormal"/>
    <w:next w:val="Tablaconcuadrcula"/>
    <w:rsid w:val="00023E4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7">
    <w:name w:val="Sin lista547"/>
    <w:next w:val="Sinlista"/>
    <w:semiHidden/>
    <w:rsid w:val="00DF5E01"/>
  </w:style>
  <w:style w:type="table" w:customStyle="1" w:styleId="Tablaconcuadrcula773">
    <w:name w:val="Tabla con cuadrícula773"/>
    <w:basedOn w:val="Tablanormal"/>
    <w:next w:val="Tablaconcuadrcula"/>
    <w:rsid w:val="00DF5E0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8">
    <w:name w:val="Sin lista548"/>
    <w:next w:val="Sinlista"/>
    <w:semiHidden/>
    <w:rsid w:val="00EF45DE"/>
  </w:style>
  <w:style w:type="table" w:customStyle="1" w:styleId="Tablaconcuadrcula774">
    <w:name w:val="Tabla con cuadrícula774"/>
    <w:basedOn w:val="Tablanormal"/>
    <w:next w:val="Tablaconcuadrcula"/>
    <w:rsid w:val="00EF3C9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75">
    <w:name w:val="Tabla con cuadrícula775"/>
    <w:basedOn w:val="Tablanormal"/>
    <w:next w:val="Tablaconcuadrcula"/>
    <w:rsid w:val="00767FC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9">
    <w:name w:val="Sin lista549"/>
    <w:next w:val="Sinlista"/>
    <w:semiHidden/>
    <w:rsid w:val="009A1F9F"/>
  </w:style>
  <w:style w:type="table" w:customStyle="1" w:styleId="Tablaconcuadrcula776">
    <w:name w:val="Tabla con cuadrícula776"/>
    <w:basedOn w:val="Tablanormal"/>
    <w:next w:val="Tablaconcuadrcula"/>
    <w:rsid w:val="009A1F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77">
    <w:name w:val="Tabla con cuadrícula777"/>
    <w:basedOn w:val="Tablanormal"/>
    <w:next w:val="Tablaconcuadrcula"/>
    <w:rsid w:val="007E42D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50">
    <w:name w:val="Sin lista550"/>
    <w:next w:val="Sinlista"/>
    <w:semiHidden/>
    <w:rsid w:val="00D978BD"/>
  </w:style>
  <w:style w:type="table" w:customStyle="1" w:styleId="Tablaconcuadrcula778">
    <w:name w:val="Tabla con cuadrícula778"/>
    <w:basedOn w:val="Tablanormal"/>
    <w:next w:val="Tablaconcuadrcula"/>
    <w:rsid w:val="00D978B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79">
    <w:name w:val="Tabla con cuadrícula779"/>
    <w:basedOn w:val="Tablanormal"/>
    <w:next w:val="Tablaconcuadrcula"/>
    <w:uiPriority w:val="59"/>
    <w:rsid w:val="00D9680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80">
    <w:name w:val="Tabla con cuadrícula780"/>
    <w:basedOn w:val="Tablanormal"/>
    <w:next w:val="Tablaconcuadrcula"/>
    <w:rsid w:val="00785C6B"/>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781">
    <w:name w:val="Tabla con cuadrícula781"/>
    <w:basedOn w:val="Tablanormal"/>
    <w:next w:val="Tablaconcuadrcula"/>
    <w:rsid w:val="00EE14FF"/>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554">
    <w:name w:val="Sin lista554"/>
    <w:next w:val="Sinlista"/>
    <w:semiHidden/>
    <w:unhideWhenUsed/>
    <w:rsid w:val="006E7E47"/>
  </w:style>
  <w:style w:type="table" w:customStyle="1" w:styleId="Tablaconcuadrcula782">
    <w:name w:val="Tabla con cuadrícula782"/>
    <w:basedOn w:val="Tablanormal"/>
    <w:next w:val="Tablaconcuadrcula"/>
    <w:rsid w:val="006E7E4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55">
    <w:name w:val="Sin lista555"/>
    <w:next w:val="Sinlista"/>
    <w:semiHidden/>
    <w:unhideWhenUsed/>
    <w:rsid w:val="00930E01"/>
  </w:style>
  <w:style w:type="character" w:customStyle="1" w:styleId="TextodegloboCar">
    <w:name w:val="Texto de globo Car"/>
    <w:basedOn w:val="Fuentedeprrafopredeter"/>
    <w:link w:val="Textodeglobo"/>
    <w:uiPriority w:val="99"/>
    <w:rsid w:val="00930E01"/>
    <w:rPr>
      <w:rFonts w:ascii="Tahoma" w:hAnsi="Tahoma" w:cs="Tahoma"/>
      <w:sz w:val="16"/>
      <w:szCs w:val="16"/>
      <w:lang w:eastAsia="es-ES"/>
    </w:rPr>
  </w:style>
  <w:style w:type="table" w:customStyle="1" w:styleId="Tablaconcuadrcula783">
    <w:name w:val="Tabla con cuadrícula783"/>
    <w:basedOn w:val="Tablanormal"/>
    <w:next w:val="Tablaconcuadrcula"/>
    <w:rsid w:val="00930E0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784">
    <w:name w:val="Tabla con cuadrícula784"/>
    <w:basedOn w:val="Tablanormal"/>
    <w:next w:val="Tablaconcuadrcula"/>
    <w:rsid w:val="00904B7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85">
    <w:name w:val="Tabla con cuadrícula785"/>
    <w:basedOn w:val="Tablanormal"/>
    <w:next w:val="Tablaconcuadrcula"/>
    <w:rsid w:val="00385B5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86">
    <w:name w:val="Tabla con cuadrícula786"/>
    <w:basedOn w:val="Tablanormal"/>
    <w:next w:val="Tablaconcuadrcula"/>
    <w:uiPriority w:val="59"/>
    <w:rsid w:val="00AF5B3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56">
    <w:name w:val="Sin lista556"/>
    <w:next w:val="Sinlista"/>
    <w:uiPriority w:val="99"/>
    <w:semiHidden/>
    <w:unhideWhenUsed/>
    <w:rsid w:val="003E3852"/>
  </w:style>
  <w:style w:type="table" w:customStyle="1" w:styleId="Tablaconcuadrcula787">
    <w:name w:val="Tabla con cuadrícula787"/>
    <w:basedOn w:val="Tablanormal"/>
    <w:next w:val="Tablaconcuadrcula"/>
    <w:rsid w:val="003E3852"/>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557">
    <w:name w:val="Sin lista557"/>
    <w:next w:val="Sinlista"/>
    <w:semiHidden/>
    <w:unhideWhenUsed/>
    <w:rsid w:val="00612D4F"/>
  </w:style>
  <w:style w:type="table" w:customStyle="1" w:styleId="Tablaconcuadrcula788">
    <w:name w:val="Tabla con cuadrícula788"/>
    <w:basedOn w:val="Tablanormal"/>
    <w:next w:val="Tablaconcuadrcula"/>
    <w:rsid w:val="00612D4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89">
    <w:name w:val="Tabla con cuadrícula789"/>
    <w:basedOn w:val="Tablanormal"/>
    <w:next w:val="Tablaconcuadrcula"/>
    <w:rsid w:val="00E46F2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58">
    <w:name w:val="Sin lista558"/>
    <w:next w:val="Sinlista"/>
    <w:semiHidden/>
    <w:unhideWhenUsed/>
    <w:rsid w:val="003F3357"/>
  </w:style>
  <w:style w:type="table" w:customStyle="1" w:styleId="Tablaconcuadrcula790">
    <w:name w:val="Tabla con cuadrícula790"/>
    <w:basedOn w:val="Tablanormal"/>
    <w:next w:val="Tablaconcuadrcula"/>
    <w:rsid w:val="003F335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fodocumentosadjuntos">
    <w:name w:val="Info documentos adjuntos"/>
    <w:basedOn w:val="Normal"/>
    <w:uiPriority w:val="99"/>
    <w:rsid w:val="00465231"/>
  </w:style>
  <w:style w:type="numbering" w:customStyle="1" w:styleId="Sinlista559">
    <w:name w:val="Sin lista559"/>
    <w:next w:val="Sinlista"/>
    <w:uiPriority w:val="99"/>
    <w:semiHidden/>
    <w:unhideWhenUsed/>
    <w:rsid w:val="00C12F25"/>
  </w:style>
  <w:style w:type="table" w:customStyle="1" w:styleId="Tablaconcuadrcula791">
    <w:name w:val="Tabla con cuadrícula791"/>
    <w:basedOn w:val="Tablanormal"/>
    <w:next w:val="Tablaconcuadrcula"/>
    <w:rsid w:val="00C12F25"/>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loat-left">
    <w:name w:val="float-left"/>
    <w:basedOn w:val="Normal"/>
    <w:uiPriority w:val="99"/>
    <w:rsid w:val="00C12F25"/>
    <w:pPr>
      <w:spacing w:before="100" w:beforeAutospacing="1" w:after="100" w:afterAutospacing="1" w:line="300" w:lineRule="atLeast"/>
      <w:ind w:left="709" w:hanging="709"/>
      <w:jc w:val="both"/>
    </w:pPr>
    <w:rPr>
      <w:rFonts w:eastAsia="Times New Roman"/>
      <w:sz w:val="26"/>
      <w:lang w:val="es-ES"/>
    </w:rPr>
  </w:style>
  <w:style w:type="character" w:customStyle="1" w:styleId="orden">
    <w:name w:val="orden"/>
    <w:basedOn w:val="Fuentedeprrafopredeter"/>
    <w:rsid w:val="00C12F25"/>
  </w:style>
  <w:style w:type="character" w:customStyle="1" w:styleId="seleccionado1">
    <w:name w:val="seleccionado1"/>
    <w:basedOn w:val="Fuentedeprrafopredeter"/>
    <w:rsid w:val="00C12F25"/>
    <w:rPr>
      <w:vanish w:val="0"/>
      <w:webHidden w:val="0"/>
      <w:bdr w:val="single" w:sz="4" w:space="1" w:color="C1C7C7" w:frame="1"/>
      <w:shd w:val="clear" w:color="auto" w:fill="F0F1F3"/>
      <w:specVanish w:val="0"/>
    </w:rPr>
  </w:style>
  <w:style w:type="character" w:customStyle="1" w:styleId="date5">
    <w:name w:val="date5"/>
    <w:basedOn w:val="Fuentedeprrafopredeter"/>
    <w:rsid w:val="00C12F25"/>
  </w:style>
  <w:style w:type="paragraph" w:customStyle="1" w:styleId="float-right4">
    <w:name w:val="float-right4"/>
    <w:basedOn w:val="Normal"/>
    <w:uiPriority w:val="99"/>
    <w:rsid w:val="00C12F25"/>
    <w:pPr>
      <w:spacing w:before="100" w:beforeAutospacing="1" w:after="100" w:afterAutospacing="1" w:line="300" w:lineRule="atLeast"/>
      <w:ind w:left="709" w:hanging="709"/>
      <w:jc w:val="both"/>
    </w:pPr>
    <w:rPr>
      <w:rFonts w:eastAsia="Times New Roman"/>
      <w:sz w:val="26"/>
      <w:lang w:val="es-ES"/>
    </w:rPr>
  </w:style>
  <w:style w:type="paragraph" w:customStyle="1" w:styleId="bottomfoot2">
    <w:name w:val="bottom_foot2"/>
    <w:basedOn w:val="Normal"/>
    <w:uiPriority w:val="99"/>
    <w:rsid w:val="00C12F25"/>
    <w:pPr>
      <w:spacing w:before="100" w:beforeAutospacing="1" w:after="100" w:afterAutospacing="1" w:line="300" w:lineRule="atLeast"/>
      <w:ind w:left="709" w:hanging="709"/>
      <w:jc w:val="both"/>
    </w:pPr>
    <w:rPr>
      <w:rFonts w:eastAsia="Times New Roman"/>
      <w:color w:val="666666"/>
      <w:sz w:val="26"/>
      <w:lang w:val="es-ES"/>
    </w:rPr>
  </w:style>
  <w:style w:type="paragraph" w:styleId="Sinespaciado">
    <w:name w:val="No Spacing"/>
    <w:aliases w:val="Fuente de cuadros y gráficas,Sin espaciado1"/>
    <w:uiPriority w:val="1"/>
    <w:qFormat/>
    <w:rsid w:val="00C12F25"/>
    <w:pPr>
      <w:ind w:left="709" w:hanging="709"/>
    </w:pPr>
    <w:rPr>
      <w:rFonts w:eastAsia="Times New Roman"/>
      <w:szCs w:val="24"/>
      <w:lang w:val="es-ES" w:eastAsia="es-ES"/>
    </w:rPr>
  </w:style>
  <w:style w:type="table" w:customStyle="1" w:styleId="Tablaconcuadrcula792">
    <w:name w:val="Tabla con cuadrícula792"/>
    <w:basedOn w:val="Tablanormal"/>
    <w:next w:val="Tablaconcuadrcula"/>
    <w:rsid w:val="001C58A6"/>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93">
    <w:name w:val="Tabla con cuadrícula793"/>
    <w:basedOn w:val="Tablanormal"/>
    <w:next w:val="Tablaconcuadrcula"/>
    <w:rsid w:val="00D324B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94">
    <w:name w:val="Tabla con cuadrícula794"/>
    <w:basedOn w:val="Tablanormal"/>
    <w:next w:val="Tablaconcuadrcula"/>
    <w:rsid w:val="00FA0C3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60">
    <w:name w:val="Sin lista560"/>
    <w:next w:val="Sinlista"/>
    <w:uiPriority w:val="99"/>
    <w:semiHidden/>
    <w:unhideWhenUsed/>
    <w:rsid w:val="00AC0030"/>
  </w:style>
  <w:style w:type="table" w:customStyle="1" w:styleId="Tablaconcuadrcula795">
    <w:name w:val="Tabla con cuadrícula795"/>
    <w:basedOn w:val="Tablanormal"/>
    <w:next w:val="Tablaconcuadrcula"/>
    <w:rsid w:val="00AC0030"/>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4">
    <w:name w:val="Sin lista1104"/>
    <w:next w:val="Sinlista"/>
    <w:semiHidden/>
    <w:rsid w:val="00AC0030"/>
  </w:style>
  <w:style w:type="table" w:customStyle="1" w:styleId="Tablaconcuadrcula1108">
    <w:name w:val="Tabla con cuadrícula1108"/>
    <w:basedOn w:val="Tablanormal"/>
    <w:next w:val="Tablaconcuadrcula"/>
    <w:rsid w:val="00AC0030"/>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01">
    <w:name w:val="Tabla con cuadrícula2101"/>
    <w:basedOn w:val="Tablanormal"/>
    <w:next w:val="Tablaconcuadrcula"/>
    <w:rsid w:val="00AC0030"/>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00">
    <w:name w:val="Tabla con cuadrícula3100"/>
    <w:basedOn w:val="Tablanormal"/>
    <w:next w:val="Tablaconcuadrcula"/>
    <w:rsid w:val="00AC0030"/>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00">
    <w:name w:val="Tabla con cuadrícula4100"/>
    <w:basedOn w:val="Tablanormal"/>
    <w:next w:val="Tablaconcuadrcula"/>
    <w:rsid w:val="00AC0030"/>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00">
    <w:name w:val="Tabla con cuadrícula5100"/>
    <w:basedOn w:val="Tablanormal"/>
    <w:next w:val="Tablaconcuadrcula"/>
    <w:rsid w:val="00AC0030"/>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96">
    <w:name w:val="Tabla con cuadrícula796"/>
    <w:basedOn w:val="Tablanormal"/>
    <w:next w:val="Tablaconcuadrcula"/>
    <w:rsid w:val="009E6F04"/>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64">
    <w:name w:val="Sin lista564"/>
    <w:next w:val="Sinlista"/>
    <w:semiHidden/>
    <w:unhideWhenUsed/>
    <w:rsid w:val="00DD5D06"/>
  </w:style>
  <w:style w:type="table" w:customStyle="1" w:styleId="Tablaconcuadrcula797">
    <w:name w:val="Tabla con cuadrícula797"/>
    <w:basedOn w:val="Tablanormal"/>
    <w:next w:val="Tablaconcuadrcula"/>
    <w:rsid w:val="00DD5D0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65">
    <w:name w:val="Sin lista565"/>
    <w:next w:val="Sinlista"/>
    <w:uiPriority w:val="99"/>
    <w:semiHidden/>
    <w:unhideWhenUsed/>
    <w:rsid w:val="00496822"/>
  </w:style>
  <w:style w:type="table" w:customStyle="1" w:styleId="Tablaconcuadrcula798">
    <w:name w:val="Tabla con cuadrícula798"/>
    <w:basedOn w:val="Tablanormal"/>
    <w:next w:val="Tablaconcuadrcula"/>
    <w:rsid w:val="00496822"/>
    <w:pPr>
      <w:ind w:left="709" w:hanging="709"/>
      <w:jc w:val="both"/>
    </w:pPr>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tuloCar">
    <w:name w:val="Subtítulo Car"/>
    <w:basedOn w:val="Fuentedeprrafopredeter"/>
    <w:link w:val="Subttulo"/>
    <w:uiPriority w:val="99"/>
    <w:rsid w:val="00496822"/>
    <w:rPr>
      <w:b/>
      <w:bCs/>
      <w:szCs w:val="24"/>
      <w:lang w:val="es-ES" w:eastAsia="es-ES"/>
    </w:rPr>
  </w:style>
  <w:style w:type="character" w:customStyle="1" w:styleId="PuestoCar">
    <w:name w:val="Puesto Car"/>
    <w:aliases w:val="maripaz Car"/>
    <w:basedOn w:val="Fuentedeprrafopredeter"/>
    <w:link w:val="Puesto"/>
    <w:rsid w:val="00496822"/>
    <w:rPr>
      <w:rFonts w:ascii="Arial" w:hAnsi="Arial" w:cs="Arial"/>
      <w:b/>
      <w:bCs/>
      <w:kern w:val="28"/>
      <w:sz w:val="32"/>
      <w:szCs w:val="32"/>
      <w:lang w:eastAsia="es-ES"/>
    </w:rPr>
  </w:style>
  <w:style w:type="numbering" w:customStyle="1" w:styleId="Sinlista566">
    <w:name w:val="Sin lista566"/>
    <w:next w:val="Sinlista"/>
    <w:uiPriority w:val="99"/>
    <w:semiHidden/>
    <w:unhideWhenUsed/>
    <w:rsid w:val="00C54349"/>
  </w:style>
  <w:style w:type="table" w:customStyle="1" w:styleId="Tablaconcuadrcula799">
    <w:name w:val="Tabla con cuadrícula799"/>
    <w:basedOn w:val="Tablanormal"/>
    <w:next w:val="Tablaconcuadrcula"/>
    <w:uiPriority w:val="59"/>
    <w:rsid w:val="00C54349"/>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67">
    <w:name w:val="Sin lista567"/>
    <w:next w:val="Sinlista"/>
    <w:semiHidden/>
    <w:rsid w:val="008B2EA4"/>
  </w:style>
  <w:style w:type="table" w:customStyle="1" w:styleId="Tablaconcuadrcula800">
    <w:name w:val="Tabla con cuadrícula800"/>
    <w:basedOn w:val="Tablanormal"/>
    <w:next w:val="Tablaconcuadrcula"/>
    <w:rsid w:val="008B2EA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1">
    <w:name w:val="Tabla con cuadrícula801"/>
    <w:basedOn w:val="Tablanormal"/>
    <w:next w:val="Tablaconcuadrcula"/>
    <w:rsid w:val="006D2DE1"/>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2">
    <w:name w:val="Tabla con cuadrícula802"/>
    <w:basedOn w:val="Tablanormal"/>
    <w:next w:val="Tablaconcuadrcula"/>
    <w:uiPriority w:val="59"/>
    <w:rsid w:val="00C33BC8"/>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3">
    <w:name w:val="Tabla con cuadrícula803"/>
    <w:basedOn w:val="Tablanormal"/>
    <w:next w:val="Tablaconcuadrcula"/>
    <w:rsid w:val="001463D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68">
    <w:name w:val="Sin lista568"/>
    <w:next w:val="Sinlista"/>
    <w:uiPriority w:val="99"/>
    <w:semiHidden/>
    <w:unhideWhenUsed/>
    <w:rsid w:val="00856B5A"/>
  </w:style>
  <w:style w:type="table" w:customStyle="1" w:styleId="Tablaconcuadrcula804">
    <w:name w:val="Tabla con cuadrícula804"/>
    <w:basedOn w:val="Tablanormal"/>
    <w:next w:val="Tablaconcuadrcula"/>
    <w:uiPriority w:val="59"/>
    <w:rsid w:val="00856B5A"/>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5">
    <w:name w:val="Tabla con cuadrícula805"/>
    <w:basedOn w:val="Tablanormal"/>
    <w:next w:val="Tablaconcuadrcula"/>
    <w:rsid w:val="00CA1E2D"/>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6">
    <w:name w:val="Tabla con cuadrícula806"/>
    <w:basedOn w:val="Tablanormal"/>
    <w:next w:val="Tablaconcuadrcula"/>
    <w:rsid w:val="00DC045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7">
    <w:name w:val="Tabla con cuadrícula807"/>
    <w:basedOn w:val="Tablanormal"/>
    <w:next w:val="Tablaconcuadrcula"/>
    <w:rsid w:val="004E7D5F"/>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8">
    <w:name w:val="Tabla con cuadrícula808"/>
    <w:basedOn w:val="Tablanormal"/>
    <w:next w:val="Tablaconcuadrcula"/>
    <w:uiPriority w:val="59"/>
    <w:rsid w:val="0049202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69">
    <w:name w:val="Sin lista569"/>
    <w:next w:val="Sinlista"/>
    <w:uiPriority w:val="99"/>
    <w:semiHidden/>
    <w:unhideWhenUsed/>
    <w:rsid w:val="00D102FC"/>
  </w:style>
  <w:style w:type="numbering" w:customStyle="1" w:styleId="Sinlista570">
    <w:name w:val="Sin lista570"/>
    <w:next w:val="Sinlista"/>
    <w:uiPriority w:val="99"/>
    <w:semiHidden/>
    <w:unhideWhenUsed/>
    <w:rsid w:val="00657385"/>
  </w:style>
  <w:style w:type="table" w:customStyle="1" w:styleId="Tablaconcuadrcula809">
    <w:name w:val="Tabla con cuadrícula809"/>
    <w:basedOn w:val="Tablanormal"/>
    <w:next w:val="Tablaconcuadrcula"/>
    <w:rsid w:val="00657385"/>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74">
    <w:name w:val="Sin lista574"/>
    <w:next w:val="Sinlista"/>
    <w:uiPriority w:val="99"/>
    <w:semiHidden/>
    <w:unhideWhenUsed/>
    <w:rsid w:val="00F422D9"/>
  </w:style>
  <w:style w:type="table" w:customStyle="1" w:styleId="Tablaconcuadrcula810">
    <w:name w:val="Tabla con cuadrícula810"/>
    <w:basedOn w:val="Tablanormal"/>
    <w:next w:val="Tablaconcuadrcula"/>
    <w:uiPriority w:val="59"/>
    <w:rsid w:val="00F422D9"/>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75">
    <w:name w:val="Sin lista575"/>
    <w:next w:val="Sinlista"/>
    <w:uiPriority w:val="99"/>
    <w:semiHidden/>
    <w:unhideWhenUsed/>
    <w:rsid w:val="004F31D7"/>
  </w:style>
  <w:style w:type="table" w:customStyle="1" w:styleId="Tablaconcuadrcula811">
    <w:name w:val="Tabla con cuadrícula811"/>
    <w:basedOn w:val="Tablanormal"/>
    <w:next w:val="Tablaconcuadrcula"/>
    <w:rsid w:val="004F31D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12">
    <w:name w:val="Tabla con cuadrícula812"/>
    <w:basedOn w:val="Tablanormal"/>
    <w:next w:val="Tablaconcuadrcula"/>
    <w:rsid w:val="00664E2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76">
    <w:name w:val="Sin lista576"/>
    <w:next w:val="Sinlista"/>
    <w:uiPriority w:val="99"/>
    <w:semiHidden/>
    <w:unhideWhenUsed/>
    <w:rsid w:val="00492BCD"/>
  </w:style>
  <w:style w:type="table" w:customStyle="1" w:styleId="Tablaconcuadrcula813">
    <w:name w:val="Tabla con cuadrícula813"/>
    <w:basedOn w:val="Tablanormal"/>
    <w:next w:val="Tablaconcuadrcula"/>
    <w:rsid w:val="00492BC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77">
    <w:name w:val="Sin lista577"/>
    <w:next w:val="Sinlista"/>
    <w:uiPriority w:val="99"/>
    <w:semiHidden/>
    <w:unhideWhenUsed/>
    <w:rsid w:val="003D29D6"/>
  </w:style>
  <w:style w:type="table" w:customStyle="1" w:styleId="Tablaconcuadrcula814">
    <w:name w:val="Tabla con cuadrícula814"/>
    <w:basedOn w:val="Tablanormal"/>
    <w:next w:val="Tablaconcuadrcula"/>
    <w:uiPriority w:val="59"/>
    <w:rsid w:val="003D29D6"/>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onotaalfinalCar">
    <w:name w:val="Texto nota al final Car"/>
    <w:basedOn w:val="Fuentedeprrafopredeter"/>
    <w:link w:val="Textonotaalfinal"/>
    <w:uiPriority w:val="99"/>
    <w:semiHidden/>
    <w:rsid w:val="003D29D6"/>
    <w:rPr>
      <w:lang w:val="es-ES" w:eastAsia="es-ES"/>
    </w:rPr>
  </w:style>
  <w:style w:type="numbering" w:customStyle="1" w:styleId="Sinlista578">
    <w:name w:val="Sin lista578"/>
    <w:next w:val="Sinlista"/>
    <w:uiPriority w:val="99"/>
    <w:semiHidden/>
    <w:unhideWhenUsed/>
    <w:rsid w:val="002654E2"/>
  </w:style>
  <w:style w:type="table" w:customStyle="1" w:styleId="Tablaconcuadrcula815">
    <w:name w:val="Tabla con cuadrícula815"/>
    <w:basedOn w:val="Tablanormal"/>
    <w:next w:val="Tablaconcuadrcula"/>
    <w:rsid w:val="002654E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79">
    <w:name w:val="Sin lista579"/>
    <w:next w:val="Sinlista"/>
    <w:semiHidden/>
    <w:rsid w:val="005930B3"/>
  </w:style>
  <w:style w:type="table" w:customStyle="1" w:styleId="Tablaconcuadrcula816">
    <w:name w:val="Tabla con cuadrícula816"/>
    <w:basedOn w:val="Tablanormal"/>
    <w:next w:val="Tablaconcuadrcula"/>
    <w:rsid w:val="005930B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80">
    <w:name w:val="Sin lista580"/>
    <w:next w:val="Sinlista"/>
    <w:uiPriority w:val="99"/>
    <w:semiHidden/>
    <w:unhideWhenUsed/>
    <w:rsid w:val="00BC5018"/>
  </w:style>
  <w:style w:type="numbering" w:customStyle="1" w:styleId="Sinlista584">
    <w:name w:val="Sin lista584"/>
    <w:next w:val="Sinlista"/>
    <w:uiPriority w:val="99"/>
    <w:semiHidden/>
    <w:unhideWhenUsed/>
    <w:rsid w:val="00DE2ED6"/>
  </w:style>
  <w:style w:type="table" w:customStyle="1" w:styleId="Tablaconcuadrcula817">
    <w:name w:val="Tabla con cuadrícula817"/>
    <w:basedOn w:val="Tablanormal"/>
    <w:next w:val="Tablaconcuadrcula"/>
    <w:rsid w:val="00DE2ED6"/>
    <w:pPr>
      <w:ind w:left="709" w:hanging="709"/>
      <w:jc w:val="both"/>
    </w:pPr>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18">
    <w:name w:val="Tabla con cuadrícula818"/>
    <w:basedOn w:val="Tablanormal"/>
    <w:next w:val="Tablaconcuadrcula"/>
    <w:rsid w:val="0052416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85">
    <w:name w:val="Sin lista585"/>
    <w:next w:val="Sinlista"/>
    <w:uiPriority w:val="99"/>
    <w:semiHidden/>
    <w:unhideWhenUsed/>
    <w:rsid w:val="002159CD"/>
  </w:style>
  <w:style w:type="table" w:customStyle="1" w:styleId="Tablaconcuadrcula819">
    <w:name w:val="Tabla con cuadrícula819"/>
    <w:basedOn w:val="Tablanormal"/>
    <w:next w:val="Tablaconcuadrcula"/>
    <w:rsid w:val="002159CD"/>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86">
    <w:name w:val="Sin lista586"/>
    <w:next w:val="Sinlista"/>
    <w:uiPriority w:val="99"/>
    <w:semiHidden/>
    <w:unhideWhenUsed/>
    <w:rsid w:val="00580977"/>
  </w:style>
  <w:style w:type="table" w:customStyle="1" w:styleId="Tablaconcuadrcula820">
    <w:name w:val="Tabla con cuadrícula820"/>
    <w:basedOn w:val="Tablanormal"/>
    <w:next w:val="Tablaconcuadrcula"/>
    <w:rsid w:val="00D25E67"/>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87">
    <w:name w:val="Sin lista587"/>
    <w:next w:val="Sinlista"/>
    <w:uiPriority w:val="99"/>
    <w:semiHidden/>
    <w:unhideWhenUsed/>
    <w:rsid w:val="0027639C"/>
  </w:style>
  <w:style w:type="numbering" w:customStyle="1" w:styleId="Sinlista588">
    <w:name w:val="Sin lista588"/>
    <w:next w:val="Sinlista"/>
    <w:uiPriority w:val="99"/>
    <w:semiHidden/>
    <w:unhideWhenUsed/>
    <w:rsid w:val="00656CBD"/>
  </w:style>
  <w:style w:type="table" w:customStyle="1" w:styleId="Tablaconcuadrcula821">
    <w:name w:val="Tabla con cuadrícula821"/>
    <w:basedOn w:val="Tablanormal"/>
    <w:next w:val="Tablaconcuadrcula"/>
    <w:rsid w:val="00656CB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2">
    <w:name w:val="Tabla con cuadrícula822"/>
    <w:basedOn w:val="Tablanormal"/>
    <w:next w:val="Tablaconcuadrcula"/>
    <w:uiPriority w:val="59"/>
    <w:rsid w:val="00C058DE"/>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3">
    <w:name w:val="Tabla con cuadrícula823"/>
    <w:basedOn w:val="Tablanormal"/>
    <w:next w:val="Tablaconcuadrcula"/>
    <w:rsid w:val="009A60D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4">
    <w:name w:val="Tabla con cuadrícula824"/>
    <w:basedOn w:val="Tablanormal"/>
    <w:next w:val="Tablaconcuadrcula"/>
    <w:rsid w:val="001E42B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5">
    <w:name w:val="Tabla con cuadrícula825"/>
    <w:basedOn w:val="Tablanormal"/>
    <w:next w:val="Tablaconcuadrcula"/>
    <w:rsid w:val="00E1075F"/>
    <w:pPr>
      <w:ind w:left="709" w:hanging="709"/>
      <w:jc w:val="both"/>
    </w:pPr>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6">
    <w:name w:val="Tabla con cuadrícula826"/>
    <w:basedOn w:val="Tablanormal"/>
    <w:next w:val="Tablaconcuadrcula"/>
    <w:rsid w:val="0039434A"/>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7">
    <w:name w:val="Tabla con cuadrícula827"/>
    <w:basedOn w:val="Tablanormal"/>
    <w:next w:val="Tablaconcuadrcula"/>
    <w:rsid w:val="0039434A"/>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8">
    <w:name w:val="Tabla con cuadrícula828"/>
    <w:basedOn w:val="Tablanormal"/>
    <w:next w:val="Tablaconcuadrcula"/>
    <w:rsid w:val="0039434A"/>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9">
    <w:name w:val="Tabla con cuadrícula829"/>
    <w:basedOn w:val="Tablanormal"/>
    <w:next w:val="Tablaconcuadrcula"/>
    <w:rsid w:val="00F1425C"/>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0">
    <w:name w:val="Tabla con cuadrícula830"/>
    <w:basedOn w:val="Tablanormal"/>
    <w:next w:val="Tablaconcuadrcula"/>
    <w:rsid w:val="00F1425C"/>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1">
    <w:name w:val="Tabla con cuadrícula831"/>
    <w:basedOn w:val="Tablanormal"/>
    <w:next w:val="Tablaconcuadrcula"/>
    <w:rsid w:val="00F1425C"/>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2">
    <w:name w:val="Tabla con cuadrícula832"/>
    <w:basedOn w:val="Tablanormal"/>
    <w:next w:val="Tablaconcuadrcula"/>
    <w:rsid w:val="00F1425C"/>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3">
    <w:name w:val="Tabla con cuadrícula833"/>
    <w:basedOn w:val="Tablanormal"/>
    <w:next w:val="Tablaconcuadrcula"/>
    <w:rsid w:val="00F1425C"/>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4">
    <w:name w:val="Tabla con cuadrícula834"/>
    <w:basedOn w:val="Tablanormal"/>
    <w:next w:val="Tablaconcuadrcula"/>
    <w:rsid w:val="00145AD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5">
    <w:name w:val="Tabla con cuadrícula835"/>
    <w:basedOn w:val="Tablanormal"/>
    <w:next w:val="Tablaconcuadrcula"/>
    <w:rsid w:val="00145AD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6">
    <w:name w:val="Tabla con cuadrícula836"/>
    <w:basedOn w:val="Tablanormal"/>
    <w:next w:val="Tablaconcuadrcula"/>
    <w:rsid w:val="0097341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7">
    <w:name w:val="Tabla con cuadrícula837"/>
    <w:basedOn w:val="Tablanormal"/>
    <w:next w:val="Tablaconcuadrcula"/>
    <w:rsid w:val="009C33C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8">
    <w:name w:val="Tabla con cuadrícula838"/>
    <w:basedOn w:val="Tablanormal"/>
    <w:next w:val="Tablaconcuadrcula"/>
    <w:uiPriority w:val="59"/>
    <w:rsid w:val="008A5C4B"/>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89">
    <w:name w:val="Sin lista589"/>
    <w:next w:val="Sinlista"/>
    <w:uiPriority w:val="99"/>
    <w:semiHidden/>
    <w:unhideWhenUsed/>
    <w:rsid w:val="008E6D9B"/>
  </w:style>
  <w:style w:type="table" w:customStyle="1" w:styleId="Tablaconcuadrcula839">
    <w:name w:val="Tabla con cuadrícula839"/>
    <w:basedOn w:val="Tablanormal"/>
    <w:next w:val="Tablaconcuadrcula"/>
    <w:rsid w:val="008E6D9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40">
    <w:name w:val="Tabla con cuadrícula840"/>
    <w:basedOn w:val="Tablanormal"/>
    <w:next w:val="Tablaconcuadrcula"/>
    <w:uiPriority w:val="59"/>
    <w:rsid w:val="00BA189C"/>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90">
    <w:name w:val="Sin lista590"/>
    <w:next w:val="Sinlista"/>
    <w:semiHidden/>
    <w:unhideWhenUsed/>
    <w:rsid w:val="00402C96"/>
  </w:style>
  <w:style w:type="table" w:customStyle="1" w:styleId="Tablaconcuadrcula841">
    <w:name w:val="Tabla con cuadrícula841"/>
    <w:basedOn w:val="Tablanormal"/>
    <w:next w:val="Tablaconcuadrcula"/>
    <w:uiPriority w:val="59"/>
    <w:rsid w:val="003A411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94">
    <w:name w:val="Sin lista594"/>
    <w:next w:val="Sinlista"/>
    <w:uiPriority w:val="99"/>
    <w:semiHidden/>
    <w:unhideWhenUsed/>
    <w:rsid w:val="00285896"/>
  </w:style>
  <w:style w:type="table" w:customStyle="1" w:styleId="Tablaconcuadrcula842">
    <w:name w:val="Tabla con cuadrícula842"/>
    <w:basedOn w:val="Tablanormal"/>
    <w:next w:val="Tablaconcuadrcula"/>
    <w:rsid w:val="00285896"/>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95">
    <w:name w:val="Sin lista595"/>
    <w:next w:val="Sinlista"/>
    <w:uiPriority w:val="99"/>
    <w:semiHidden/>
    <w:unhideWhenUsed/>
    <w:rsid w:val="007654A9"/>
  </w:style>
  <w:style w:type="table" w:customStyle="1" w:styleId="Tablaconcuadrcula843">
    <w:name w:val="Tabla con cuadrícula843"/>
    <w:basedOn w:val="Tablanormal"/>
    <w:next w:val="Tablaconcuadrcula"/>
    <w:rsid w:val="007654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96">
    <w:name w:val="Sin lista596"/>
    <w:next w:val="Sinlista"/>
    <w:uiPriority w:val="99"/>
    <w:semiHidden/>
    <w:unhideWhenUsed/>
    <w:rsid w:val="00AC62DD"/>
  </w:style>
  <w:style w:type="numbering" w:customStyle="1" w:styleId="Sinlista597">
    <w:name w:val="Sin lista597"/>
    <w:next w:val="Sinlista"/>
    <w:semiHidden/>
    <w:rsid w:val="006E754B"/>
  </w:style>
  <w:style w:type="table" w:customStyle="1" w:styleId="Tablaconcuadrcula844">
    <w:name w:val="Tabla con cuadrícula844"/>
    <w:basedOn w:val="Tablanormal"/>
    <w:next w:val="Tablaconcuadrcula"/>
    <w:rsid w:val="006E754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ojustificado">
    <w:name w:val="textojustificado"/>
    <w:basedOn w:val="Normal"/>
    <w:uiPriority w:val="99"/>
    <w:rsid w:val="00EA4FC6"/>
    <w:pPr>
      <w:spacing w:before="100" w:beforeAutospacing="1" w:after="100" w:afterAutospacing="1"/>
    </w:pPr>
    <w:rPr>
      <w:rFonts w:eastAsia="Times New Roman"/>
      <w:lang w:eastAsia="es-MX"/>
    </w:rPr>
  </w:style>
  <w:style w:type="table" w:customStyle="1" w:styleId="Tablaconcuadrcula845">
    <w:name w:val="Tabla con cuadrícula845"/>
    <w:basedOn w:val="Tablanormal"/>
    <w:next w:val="Tablaconcuadrcula"/>
    <w:uiPriority w:val="59"/>
    <w:rsid w:val="00DE4997"/>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46">
    <w:name w:val="Tabla con cuadrícula846"/>
    <w:basedOn w:val="Tablanormal"/>
    <w:next w:val="Tablaconcuadrcula"/>
    <w:rsid w:val="00FF316C"/>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98">
    <w:name w:val="Sin lista598"/>
    <w:next w:val="Sinlista"/>
    <w:uiPriority w:val="99"/>
    <w:semiHidden/>
    <w:unhideWhenUsed/>
    <w:rsid w:val="004E5C18"/>
  </w:style>
  <w:style w:type="table" w:customStyle="1" w:styleId="Tablaconcuadrcula847">
    <w:name w:val="Tabla con cuadrícula847"/>
    <w:basedOn w:val="Tablanormal"/>
    <w:next w:val="Tablaconcuadrcula"/>
    <w:rsid w:val="004E5C1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99">
    <w:name w:val="Sin lista599"/>
    <w:next w:val="Sinlista"/>
    <w:uiPriority w:val="99"/>
    <w:semiHidden/>
    <w:unhideWhenUsed/>
    <w:rsid w:val="00EE7A02"/>
  </w:style>
  <w:style w:type="table" w:customStyle="1" w:styleId="Tablaconcuadrcula848">
    <w:name w:val="Tabla con cuadrícula848"/>
    <w:basedOn w:val="Tablanormal"/>
    <w:next w:val="Tablaconcuadrcula"/>
    <w:uiPriority w:val="59"/>
    <w:rsid w:val="00EE7A02"/>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0">
    <w:name w:val="Sin lista600"/>
    <w:next w:val="Sinlista"/>
    <w:uiPriority w:val="99"/>
    <w:semiHidden/>
    <w:unhideWhenUsed/>
    <w:rsid w:val="00B37EB0"/>
  </w:style>
  <w:style w:type="table" w:customStyle="1" w:styleId="Tablaconcuadrcula849">
    <w:name w:val="Tabla con cuadrícula849"/>
    <w:basedOn w:val="Tablanormal"/>
    <w:next w:val="Tablaconcuadrcula"/>
    <w:uiPriority w:val="59"/>
    <w:rsid w:val="00B37EB0"/>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4">
    <w:name w:val="Sin lista604"/>
    <w:next w:val="Sinlista"/>
    <w:semiHidden/>
    <w:rsid w:val="004A7F09"/>
  </w:style>
  <w:style w:type="table" w:customStyle="1" w:styleId="Tablaconcuadrcula850">
    <w:name w:val="Tabla con cuadrícula850"/>
    <w:basedOn w:val="Tablanormal"/>
    <w:next w:val="Tablaconcuadrcula"/>
    <w:uiPriority w:val="59"/>
    <w:rsid w:val="006F6360"/>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1">
    <w:name w:val="Tabla con cuadrícula851"/>
    <w:basedOn w:val="Tablanormal"/>
    <w:next w:val="Tablaconcuadrcula"/>
    <w:uiPriority w:val="59"/>
    <w:rsid w:val="006B46D4"/>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2">
    <w:name w:val="Tabla con cuadrícula852"/>
    <w:basedOn w:val="Tablanormal"/>
    <w:next w:val="Tablaconcuadrcula"/>
    <w:rsid w:val="001024F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3">
    <w:name w:val="Tabla con cuadrícula853"/>
    <w:basedOn w:val="Tablanormal"/>
    <w:next w:val="Tablaconcuadrcula"/>
    <w:uiPriority w:val="59"/>
    <w:rsid w:val="00676B0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4">
    <w:name w:val="Tabla con cuadrícula854"/>
    <w:basedOn w:val="Tablanormal"/>
    <w:next w:val="Tablaconcuadrcula"/>
    <w:uiPriority w:val="59"/>
    <w:rsid w:val="007A105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5">
    <w:name w:val="Tabla con cuadrícula855"/>
    <w:basedOn w:val="Tablanormal"/>
    <w:next w:val="Tablaconcuadrcula"/>
    <w:uiPriority w:val="59"/>
    <w:rsid w:val="009745D5"/>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6">
    <w:name w:val="Tabla con cuadrícula856"/>
    <w:basedOn w:val="Tablanormal"/>
    <w:next w:val="Tablaconcuadrcula"/>
    <w:uiPriority w:val="59"/>
    <w:rsid w:val="00B41DE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7">
    <w:name w:val="Tabla con cuadrícula857"/>
    <w:basedOn w:val="Tablanormal"/>
    <w:next w:val="Tablaconcuadrcula"/>
    <w:uiPriority w:val="59"/>
    <w:rsid w:val="00707A5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5">
    <w:name w:val="Sin lista605"/>
    <w:next w:val="Sinlista"/>
    <w:uiPriority w:val="99"/>
    <w:semiHidden/>
    <w:unhideWhenUsed/>
    <w:rsid w:val="00407520"/>
  </w:style>
  <w:style w:type="numbering" w:customStyle="1" w:styleId="Sinlista606">
    <w:name w:val="Sin lista606"/>
    <w:next w:val="Sinlista"/>
    <w:semiHidden/>
    <w:unhideWhenUsed/>
    <w:rsid w:val="004A3CAC"/>
  </w:style>
  <w:style w:type="table" w:customStyle="1" w:styleId="Tablaconcuadrcula858">
    <w:name w:val="Tabla con cuadrícula858"/>
    <w:basedOn w:val="Tablanormal"/>
    <w:next w:val="Tablaconcuadrcula"/>
    <w:rsid w:val="004A3CA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9">
    <w:name w:val="Tabla con cuadrícula859"/>
    <w:basedOn w:val="Tablanormal"/>
    <w:next w:val="Tablaconcuadrcula"/>
    <w:uiPriority w:val="59"/>
    <w:rsid w:val="00F44783"/>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7">
    <w:name w:val="Sin lista607"/>
    <w:next w:val="Sinlista"/>
    <w:uiPriority w:val="99"/>
    <w:semiHidden/>
    <w:unhideWhenUsed/>
    <w:rsid w:val="00C033C1"/>
  </w:style>
  <w:style w:type="table" w:customStyle="1" w:styleId="Tablaconcuadrcula860">
    <w:name w:val="Tabla con cuadrícula860"/>
    <w:basedOn w:val="Tablanormal"/>
    <w:next w:val="Tablaconcuadrcula"/>
    <w:uiPriority w:val="59"/>
    <w:rsid w:val="00C033C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1">
    <w:name w:val="Tabla con cuadrícula861"/>
    <w:basedOn w:val="Tablanormal"/>
    <w:next w:val="Tablaconcuadrcula"/>
    <w:uiPriority w:val="59"/>
    <w:rsid w:val="007D2A9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2">
    <w:name w:val="Tabla con cuadrícula862"/>
    <w:basedOn w:val="Tablanormal"/>
    <w:next w:val="Tablaconcuadrcula"/>
    <w:uiPriority w:val="59"/>
    <w:rsid w:val="001906D5"/>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3">
    <w:name w:val="Tabla con cuadrícula863"/>
    <w:basedOn w:val="Tablanormal"/>
    <w:next w:val="Tablaconcuadrcula"/>
    <w:rsid w:val="00F713EA"/>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864">
    <w:name w:val="Tabla con cuadrícula864"/>
    <w:basedOn w:val="Tablanormal"/>
    <w:next w:val="Tablaconcuadrcula"/>
    <w:uiPriority w:val="59"/>
    <w:rsid w:val="00E819D8"/>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8">
    <w:name w:val="Sin lista608"/>
    <w:next w:val="Sinlista"/>
    <w:uiPriority w:val="99"/>
    <w:semiHidden/>
    <w:unhideWhenUsed/>
    <w:rsid w:val="00C63D03"/>
  </w:style>
  <w:style w:type="table" w:customStyle="1" w:styleId="Tablaconcuadrcula865">
    <w:name w:val="Tabla con cuadrícula865"/>
    <w:basedOn w:val="Tablanormal"/>
    <w:next w:val="Tablaconcuadrcula"/>
    <w:rsid w:val="00C63D03"/>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9">
    <w:name w:val="Sin lista609"/>
    <w:next w:val="Sinlista"/>
    <w:uiPriority w:val="99"/>
    <w:semiHidden/>
    <w:unhideWhenUsed/>
    <w:rsid w:val="004F7698"/>
  </w:style>
  <w:style w:type="table" w:customStyle="1" w:styleId="Tablaconcuadrcula866">
    <w:name w:val="Tabla con cuadrícula866"/>
    <w:basedOn w:val="Tablanormal"/>
    <w:next w:val="Tablaconcuadrcula"/>
    <w:rsid w:val="004F769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16">
    <w:name w:val="Sin lista616"/>
    <w:next w:val="Sinlista"/>
    <w:uiPriority w:val="99"/>
    <w:semiHidden/>
    <w:unhideWhenUsed/>
    <w:rsid w:val="002742B3"/>
  </w:style>
  <w:style w:type="table" w:customStyle="1" w:styleId="Tablaconcuadrcula867">
    <w:name w:val="Tabla con cuadrícula867"/>
    <w:basedOn w:val="Tablanormal"/>
    <w:next w:val="Tablaconcuadrcula"/>
    <w:rsid w:val="002742B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8">
    <w:name w:val="Tabla con cuadrícula868"/>
    <w:basedOn w:val="Tablanormal"/>
    <w:next w:val="Tablaconcuadrcula"/>
    <w:uiPriority w:val="59"/>
    <w:rsid w:val="002D0E00"/>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9">
    <w:name w:val="Tabla con cuadrícula869"/>
    <w:basedOn w:val="Tablanormal"/>
    <w:next w:val="Tablaconcuadrcula"/>
    <w:rsid w:val="0002577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70">
    <w:name w:val="Tabla con cuadrícula870"/>
    <w:basedOn w:val="Tablanormal"/>
    <w:next w:val="Tablaconcuadrcula"/>
    <w:uiPriority w:val="59"/>
    <w:rsid w:val="00EA2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71">
    <w:name w:val="Tabla con cuadrícula871"/>
    <w:basedOn w:val="Tablanormal"/>
    <w:next w:val="Tablaconcuadrcula"/>
    <w:uiPriority w:val="59"/>
    <w:rsid w:val="007F052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17">
    <w:name w:val="Sin lista617"/>
    <w:next w:val="Sinlista"/>
    <w:uiPriority w:val="99"/>
    <w:semiHidden/>
    <w:unhideWhenUsed/>
    <w:rsid w:val="00DF2CB5"/>
  </w:style>
  <w:style w:type="table" w:customStyle="1" w:styleId="Tablaconcuadrcula872">
    <w:name w:val="Tabla con cuadrícula872"/>
    <w:basedOn w:val="Tablanormal"/>
    <w:next w:val="Tablaconcuadrcula"/>
    <w:rsid w:val="00DF2CB5"/>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horttext">
    <w:name w:val="short_text"/>
    <w:basedOn w:val="Fuentedeprrafopredeter"/>
    <w:rsid w:val="00DF2CB5"/>
  </w:style>
  <w:style w:type="table" w:customStyle="1" w:styleId="Tablaconcuadrcula873">
    <w:name w:val="Tabla con cuadrícula873"/>
    <w:basedOn w:val="Tablanormal"/>
    <w:next w:val="Tablaconcuadrcula"/>
    <w:rsid w:val="00672B0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74">
    <w:name w:val="Tabla con cuadrícula874"/>
    <w:basedOn w:val="Tablanormal"/>
    <w:next w:val="Tablaconcuadrcula"/>
    <w:rsid w:val="00AE611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18">
    <w:name w:val="Sin lista618"/>
    <w:next w:val="Sinlista"/>
    <w:semiHidden/>
    <w:unhideWhenUsed/>
    <w:rsid w:val="007938F2"/>
  </w:style>
  <w:style w:type="table" w:customStyle="1" w:styleId="Tablaconcuadrcula875">
    <w:name w:val="Tabla con cuadrícula875"/>
    <w:basedOn w:val="Tablanormal"/>
    <w:next w:val="Tablaconcuadrcula"/>
    <w:rsid w:val="00B41E9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19">
    <w:name w:val="Sin lista619"/>
    <w:next w:val="Sinlista"/>
    <w:semiHidden/>
    <w:rsid w:val="00A438ED"/>
  </w:style>
  <w:style w:type="table" w:customStyle="1" w:styleId="Tablaconcuadrcula876">
    <w:name w:val="Tabla con cuadrícula876"/>
    <w:basedOn w:val="Tablanormal"/>
    <w:next w:val="Tablaconcuadrcula"/>
    <w:rsid w:val="00A438E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20">
    <w:name w:val="Sin lista620"/>
    <w:next w:val="Sinlista"/>
    <w:uiPriority w:val="99"/>
    <w:semiHidden/>
    <w:unhideWhenUsed/>
    <w:rsid w:val="00734CE0"/>
  </w:style>
  <w:style w:type="table" w:customStyle="1" w:styleId="Tablaconcuadrcula877">
    <w:name w:val="Tabla con cuadrícula877"/>
    <w:basedOn w:val="Tablanormal"/>
    <w:next w:val="Tablaconcuadrcula"/>
    <w:uiPriority w:val="59"/>
    <w:rsid w:val="00734CE0"/>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5">
    <w:name w:val="Sin lista1105"/>
    <w:next w:val="Sinlista"/>
    <w:uiPriority w:val="99"/>
    <w:semiHidden/>
    <w:unhideWhenUsed/>
    <w:rsid w:val="00734CE0"/>
  </w:style>
  <w:style w:type="table" w:customStyle="1" w:styleId="Tablaconcuadrcula1109">
    <w:name w:val="Tabla con cuadrícula1109"/>
    <w:basedOn w:val="Tablanormal"/>
    <w:next w:val="Tablaconcuadrcula"/>
    <w:rsid w:val="00734CE0"/>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6">
    <w:name w:val="Tabla con cuadrícula1116"/>
    <w:basedOn w:val="Tablanormal"/>
    <w:next w:val="Tablaconcuadrcula"/>
    <w:rsid w:val="00734CE0"/>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78">
    <w:name w:val="Tabla con cuadrícula878"/>
    <w:basedOn w:val="Tablanormal"/>
    <w:next w:val="Tablaconcuadrcula"/>
    <w:rsid w:val="00295AE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24">
    <w:name w:val="Sin lista624"/>
    <w:next w:val="Sinlista"/>
    <w:uiPriority w:val="99"/>
    <w:semiHidden/>
    <w:unhideWhenUsed/>
    <w:rsid w:val="00BD3ACF"/>
  </w:style>
  <w:style w:type="table" w:customStyle="1" w:styleId="Tablaconcuadrcula879">
    <w:name w:val="Tabla con cuadrícula879"/>
    <w:basedOn w:val="Tablanormal"/>
    <w:next w:val="Tablaconcuadrcula"/>
    <w:rsid w:val="00BD3AC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25">
    <w:name w:val="Sin lista625"/>
    <w:next w:val="Sinlista"/>
    <w:uiPriority w:val="99"/>
    <w:semiHidden/>
    <w:unhideWhenUsed/>
    <w:rsid w:val="00E2725F"/>
  </w:style>
  <w:style w:type="table" w:customStyle="1" w:styleId="Tablaconcuadrcula880">
    <w:name w:val="Tabla con cuadrícula880"/>
    <w:basedOn w:val="Tablanormal"/>
    <w:next w:val="Tablaconcuadrcula"/>
    <w:uiPriority w:val="59"/>
    <w:rsid w:val="00E2725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81">
    <w:name w:val="Tabla con cuadrícula881"/>
    <w:basedOn w:val="Tablanormal"/>
    <w:next w:val="Tablaconcuadrcula"/>
    <w:rsid w:val="001322F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26">
    <w:name w:val="Sin lista626"/>
    <w:next w:val="Sinlista"/>
    <w:uiPriority w:val="99"/>
    <w:semiHidden/>
    <w:unhideWhenUsed/>
    <w:rsid w:val="00B21357"/>
  </w:style>
  <w:style w:type="table" w:customStyle="1" w:styleId="Tablaconcuadrcula882">
    <w:name w:val="Tabla con cuadrícula882"/>
    <w:basedOn w:val="Tablanormal"/>
    <w:next w:val="Tablaconcuadrcula"/>
    <w:rsid w:val="00B2135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83">
    <w:name w:val="Tabla con cuadrícula883"/>
    <w:basedOn w:val="Tablanormal"/>
    <w:next w:val="Tablaconcuadrcula"/>
    <w:uiPriority w:val="59"/>
    <w:rsid w:val="0024532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84">
    <w:name w:val="Tabla con cuadrícula884"/>
    <w:basedOn w:val="Tablanormal"/>
    <w:next w:val="Tablaconcuadrcula"/>
    <w:uiPriority w:val="59"/>
    <w:rsid w:val="00B92F5B"/>
    <w:pPr>
      <w:ind w:right="-159"/>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27">
    <w:name w:val="Sin lista627"/>
    <w:next w:val="Sinlista"/>
    <w:uiPriority w:val="99"/>
    <w:semiHidden/>
    <w:unhideWhenUsed/>
    <w:rsid w:val="00A70595"/>
  </w:style>
  <w:style w:type="table" w:customStyle="1" w:styleId="Tablaconcuadrcula885">
    <w:name w:val="Tabla con cuadrícula885"/>
    <w:basedOn w:val="Tablanormal"/>
    <w:next w:val="Tablaconcuadrcula"/>
    <w:uiPriority w:val="59"/>
    <w:rsid w:val="00A70595"/>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28">
    <w:name w:val="Sin lista628"/>
    <w:next w:val="Sinlista"/>
    <w:semiHidden/>
    <w:unhideWhenUsed/>
    <w:rsid w:val="00543FEF"/>
  </w:style>
  <w:style w:type="table" w:customStyle="1" w:styleId="Tablaconcuadrcula886">
    <w:name w:val="Tabla con cuadrícula886"/>
    <w:basedOn w:val="Tablanormal"/>
    <w:next w:val="Tablaconcuadrcula"/>
    <w:rsid w:val="00543FE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87">
    <w:name w:val="Tabla con cuadrícula887"/>
    <w:basedOn w:val="Tablanormal"/>
    <w:next w:val="Tablaconcuadrcula"/>
    <w:rsid w:val="000C146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29">
    <w:name w:val="Sin lista629"/>
    <w:next w:val="Sinlista"/>
    <w:uiPriority w:val="99"/>
    <w:semiHidden/>
    <w:unhideWhenUsed/>
    <w:rsid w:val="005B5C8D"/>
  </w:style>
  <w:style w:type="table" w:customStyle="1" w:styleId="Tablaconcuadrcula888">
    <w:name w:val="Tabla con cuadrícula888"/>
    <w:basedOn w:val="Tablanormal"/>
    <w:next w:val="Tablaconcuadrcula"/>
    <w:rsid w:val="005B5C8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7">
    <w:name w:val="Tabla con cuadrícula1117"/>
    <w:basedOn w:val="Tablanormal"/>
    <w:next w:val="Tablaconcuadrcula"/>
    <w:rsid w:val="005B5C8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30">
    <w:name w:val="Sin lista630"/>
    <w:next w:val="Sinlista"/>
    <w:semiHidden/>
    <w:unhideWhenUsed/>
    <w:rsid w:val="00490B6B"/>
  </w:style>
  <w:style w:type="table" w:customStyle="1" w:styleId="Tablaconcuadrcula889">
    <w:name w:val="Tabla con cuadrícula889"/>
    <w:basedOn w:val="Tablanormal"/>
    <w:next w:val="Tablaconcuadrcula"/>
    <w:rsid w:val="00490B6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0">
    <w:name w:val="Tabla con cuadrícula890"/>
    <w:basedOn w:val="Tablanormal"/>
    <w:next w:val="Tablaconcuadrcula"/>
    <w:uiPriority w:val="59"/>
    <w:rsid w:val="00902E19"/>
    <w:pPr>
      <w:ind w:right="-159"/>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1">
    <w:name w:val="Tabla con cuadrícula891"/>
    <w:basedOn w:val="Tablanormal"/>
    <w:next w:val="Tablaconcuadrcula"/>
    <w:rsid w:val="00C7293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2">
    <w:name w:val="Tabla con cuadrícula892"/>
    <w:basedOn w:val="Tablanormal"/>
    <w:next w:val="Tablaconcuadrcula"/>
    <w:rsid w:val="008F070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34">
    <w:name w:val="Sin lista634"/>
    <w:next w:val="Sinlista"/>
    <w:uiPriority w:val="99"/>
    <w:semiHidden/>
    <w:unhideWhenUsed/>
    <w:rsid w:val="00AB09D7"/>
  </w:style>
  <w:style w:type="table" w:customStyle="1" w:styleId="Tablaconcuadrcula893">
    <w:name w:val="Tabla con cuadrícula893"/>
    <w:basedOn w:val="Tablanormal"/>
    <w:next w:val="Tablaconcuadrcula"/>
    <w:uiPriority w:val="59"/>
    <w:rsid w:val="00AB09D7"/>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13">
    <w:name w:val="Pa13"/>
    <w:basedOn w:val="Normal"/>
    <w:next w:val="Normal"/>
    <w:uiPriority w:val="99"/>
    <w:rsid w:val="00AB09D7"/>
    <w:pPr>
      <w:autoSpaceDE w:val="0"/>
      <w:autoSpaceDN w:val="0"/>
      <w:adjustRightInd w:val="0"/>
      <w:spacing w:line="201" w:lineRule="atLeast"/>
    </w:pPr>
    <w:rPr>
      <w:rFonts w:ascii="Stag Sans Light" w:eastAsiaTheme="minorHAnsi" w:hAnsi="Stag Sans Light" w:cstheme="minorBidi"/>
      <w:lang w:eastAsia="en-US"/>
    </w:rPr>
  </w:style>
  <w:style w:type="paragraph" w:customStyle="1" w:styleId="Pa16">
    <w:name w:val="Pa16"/>
    <w:basedOn w:val="Normal"/>
    <w:next w:val="Normal"/>
    <w:uiPriority w:val="99"/>
    <w:rsid w:val="00AB09D7"/>
    <w:pPr>
      <w:autoSpaceDE w:val="0"/>
      <w:autoSpaceDN w:val="0"/>
      <w:adjustRightInd w:val="0"/>
      <w:spacing w:line="141" w:lineRule="atLeast"/>
    </w:pPr>
    <w:rPr>
      <w:rFonts w:ascii="Stag Sans Light" w:eastAsiaTheme="minorHAnsi" w:hAnsi="Stag Sans Light" w:cstheme="minorBidi"/>
      <w:lang w:eastAsia="en-US"/>
    </w:rPr>
  </w:style>
  <w:style w:type="table" w:customStyle="1" w:styleId="Tablaconcuadrcula894">
    <w:name w:val="Tabla con cuadrícula894"/>
    <w:basedOn w:val="Tablanormal"/>
    <w:next w:val="Tablaconcuadrcula"/>
    <w:rsid w:val="00956273"/>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635">
    <w:name w:val="Sin lista635"/>
    <w:next w:val="Sinlista"/>
    <w:uiPriority w:val="99"/>
    <w:semiHidden/>
    <w:unhideWhenUsed/>
    <w:rsid w:val="00275042"/>
  </w:style>
  <w:style w:type="table" w:customStyle="1" w:styleId="Tablaconcuadrcula895">
    <w:name w:val="Tabla con cuadrícula895"/>
    <w:basedOn w:val="Tablanormal"/>
    <w:next w:val="Tablaconcuadrcula"/>
    <w:rsid w:val="0027504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6">
    <w:name w:val="Tabla con cuadrícula896"/>
    <w:basedOn w:val="Tablanormal"/>
    <w:next w:val="Tablaconcuadrcula"/>
    <w:rsid w:val="00802E1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7">
    <w:name w:val="Tabla con cuadrícula897"/>
    <w:basedOn w:val="Tablanormal"/>
    <w:next w:val="Tablaconcuadrcula"/>
    <w:rsid w:val="0004191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8">
    <w:name w:val="Tabla con cuadrícula898"/>
    <w:basedOn w:val="Tablanormal"/>
    <w:next w:val="Tablaconcuadrcula"/>
    <w:rsid w:val="002C1E87"/>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9">
    <w:name w:val="Tabla con cuadrícula899"/>
    <w:basedOn w:val="Tablanormal"/>
    <w:next w:val="Tablaconcuadrcula"/>
    <w:rsid w:val="009A346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0">
    <w:name w:val="Tabla con cuadrícula900"/>
    <w:basedOn w:val="Tablanormal"/>
    <w:next w:val="Tablaconcuadrcula"/>
    <w:uiPriority w:val="59"/>
    <w:rsid w:val="00553BBA"/>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1">
    <w:name w:val="Tabla con cuadrícula901"/>
    <w:basedOn w:val="Tablanormal"/>
    <w:next w:val="Tablaconcuadrcula"/>
    <w:rsid w:val="00964BB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2">
    <w:name w:val="Tabla con cuadrícula902"/>
    <w:basedOn w:val="Tablanormal"/>
    <w:next w:val="Tablaconcuadrcula"/>
    <w:uiPriority w:val="59"/>
    <w:rsid w:val="006C058C"/>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36">
    <w:name w:val="Sin lista636"/>
    <w:next w:val="Sinlista"/>
    <w:uiPriority w:val="99"/>
    <w:semiHidden/>
    <w:unhideWhenUsed/>
    <w:rsid w:val="00967AE3"/>
  </w:style>
  <w:style w:type="paragraph" w:customStyle="1" w:styleId="Sangradetextonormal2">
    <w:name w:val="Sangría de texto normal2"/>
    <w:basedOn w:val="Normal"/>
    <w:uiPriority w:val="99"/>
    <w:rsid w:val="00FC7B90"/>
    <w:pPr>
      <w:spacing w:after="120" w:line="480" w:lineRule="auto"/>
    </w:pPr>
    <w:rPr>
      <w:rFonts w:eastAsia="Times New Roman"/>
      <w:sz w:val="20"/>
      <w:szCs w:val="20"/>
    </w:rPr>
  </w:style>
  <w:style w:type="table" w:customStyle="1" w:styleId="Tablaconcuadrcula903">
    <w:name w:val="Tabla con cuadrícula903"/>
    <w:basedOn w:val="Tablanormal"/>
    <w:next w:val="Tablaconcuadrcula"/>
    <w:rsid w:val="00D9722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37">
    <w:name w:val="Sin lista637"/>
    <w:next w:val="Sinlista"/>
    <w:uiPriority w:val="99"/>
    <w:semiHidden/>
    <w:unhideWhenUsed/>
    <w:rsid w:val="003F4C3C"/>
  </w:style>
  <w:style w:type="table" w:customStyle="1" w:styleId="Tablaconcuadrcula904">
    <w:name w:val="Tabla con cuadrícula904"/>
    <w:basedOn w:val="Tablanormal"/>
    <w:next w:val="Tablaconcuadrcula"/>
    <w:uiPriority w:val="59"/>
    <w:rsid w:val="003F4C3C"/>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5">
    <w:name w:val="Tabla con cuadrícula905"/>
    <w:basedOn w:val="Tablanormal"/>
    <w:next w:val="Tablaconcuadrcula"/>
    <w:rsid w:val="00CF3E2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6">
    <w:name w:val="Tabla con cuadrícula906"/>
    <w:basedOn w:val="Tablanormal"/>
    <w:next w:val="Tablaconcuadrcula"/>
    <w:uiPriority w:val="59"/>
    <w:rsid w:val="00B56202"/>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38">
    <w:name w:val="Sin lista638"/>
    <w:next w:val="Sinlista"/>
    <w:uiPriority w:val="99"/>
    <w:semiHidden/>
    <w:unhideWhenUsed/>
    <w:rsid w:val="00650E40"/>
  </w:style>
  <w:style w:type="table" w:customStyle="1" w:styleId="Tablaconcuadrcula907">
    <w:name w:val="Tabla con cuadrícula907"/>
    <w:basedOn w:val="Tablanormal"/>
    <w:next w:val="Tablaconcuadrcula"/>
    <w:rsid w:val="00650E4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8">
    <w:name w:val="Tabla con cuadrícula908"/>
    <w:basedOn w:val="Tablanormal"/>
    <w:next w:val="Tablaconcuadrcula"/>
    <w:uiPriority w:val="59"/>
    <w:rsid w:val="00D415A7"/>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39">
    <w:name w:val="Sin lista639"/>
    <w:next w:val="Sinlista"/>
    <w:semiHidden/>
    <w:unhideWhenUsed/>
    <w:rsid w:val="00523E4E"/>
  </w:style>
  <w:style w:type="numbering" w:customStyle="1" w:styleId="Sinlista640">
    <w:name w:val="Sin lista640"/>
    <w:next w:val="Sinlista"/>
    <w:uiPriority w:val="99"/>
    <w:semiHidden/>
    <w:unhideWhenUsed/>
    <w:rsid w:val="00361647"/>
  </w:style>
  <w:style w:type="table" w:customStyle="1" w:styleId="Tablaconcuadrcula909">
    <w:name w:val="Tabla con cuadrícula909"/>
    <w:basedOn w:val="Tablanormal"/>
    <w:next w:val="Tablaconcuadrcula"/>
    <w:uiPriority w:val="59"/>
    <w:rsid w:val="0036164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0">
    <w:name w:val="Tabla con cuadrícula910"/>
    <w:basedOn w:val="Tablanormal"/>
    <w:next w:val="Tablaconcuadrcula"/>
    <w:rsid w:val="003B480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44">
    <w:name w:val="Sin lista644"/>
    <w:next w:val="Sinlista"/>
    <w:uiPriority w:val="99"/>
    <w:semiHidden/>
    <w:unhideWhenUsed/>
    <w:rsid w:val="008C3D86"/>
  </w:style>
  <w:style w:type="table" w:customStyle="1" w:styleId="Tablaconcuadrcula911">
    <w:name w:val="Tabla con cuadrícula911"/>
    <w:basedOn w:val="Tablanormal"/>
    <w:next w:val="Tablaconcuadrcula"/>
    <w:uiPriority w:val="59"/>
    <w:rsid w:val="00A12DB2"/>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2">
    <w:name w:val="Tabla con cuadrícula912"/>
    <w:basedOn w:val="Tablanormal"/>
    <w:next w:val="Tablaconcuadrcula"/>
    <w:uiPriority w:val="59"/>
    <w:rsid w:val="008A6ECB"/>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3">
    <w:name w:val="Tabla con cuadrícula913"/>
    <w:basedOn w:val="Tablanormal"/>
    <w:next w:val="Tablaconcuadrcula"/>
    <w:rsid w:val="00742757"/>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45">
    <w:name w:val="Sin lista645"/>
    <w:next w:val="Sinlista"/>
    <w:uiPriority w:val="99"/>
    <w:semiHidden/>
    <w:unhideWhenUsed/>
    <w:rsid w:val="00A105D6"/>
  </w:style>
  <w:style w:type="table" w:customStyle="1" w:styleId="Tablaconcuadrcula914">
    <w:name w:val="Tabla con cuadrícula914"/>
    <w:basedOn w:val="Tablanormal"/>
    <w:next w:val="Tablaconcuadrcula"/>
    <w:rsid w:val="00A105D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46">
    <w:name w:val="Sin lista646"/>
    <w:next w:val="Sinlista"/>
    <w:uiPriority w:val="99"/>
    <w:semiHidden/>
    <w:unhideWhenUsed/>
    <w:rsid w:val="008302B1"/>
  </w:style>
  <w:style w:type="table" w:customStyle="1" w:styleId="Tablaconcuadrcula915">
    <w:name w:val="Tabla con cuadrícula915"/>
    <w:basedOn w:val="Tablanormal"/>
    <w:next w:val="Tablaconcuadrcula"/>
    <w:rsid w:val="008302B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6">
    <w:name w:val="Tabla con cuadrícula916"/>
    <w:basedOn w:val="Tablanormal"/>
    <w:next w:val="Tablaconcuadrcula"/>
    <w:rsid w:val="0033520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47">
    <w:name w:val="Sin lista647"/>
    <w:next w:val="Sinlista"/>
    <w:uiPriority w:val="99"/>
    <w:semiHidden/>
    <w:unhideWhenUsed/>
    <w:rsid w:val="00740F8B"/>
  </w:style>
  <w:style w:type="numbering" w:customStyle="1" w:styleId="Sinlista648">
    <w:name w:val="Sin lista648"/>
    <w:next w:val="Sinlista"/>
    <w:uiPriority w:val="99"/>
    <w:semiHidden/>
    <w:unhideWhenUsed/>
    <w:rsid w:val="00FF2EE3"/>
  </w:style>
  <w:style w:type="numbering" w:customStyle="1" w:styleId="Sinlista649">
    <w:name w:val="Sin lista649"/>
    <w:next w:val="Sinlista"/>
    <w:uiPriority w:val="99"/>
    <w:semiHidden/>
    <w:unhideWhenUsed/>
    <w:rsid w:val="00315E3B"/>
  </w:style>
  <w:style w:type="numbering" w:customStyle="1" w:styleId="Sinlista1106">
    <w:name w:val="Sin lista1106"/>
    <w:next w:val="Sinlista"/>
    <w:semiHidden/>
    <w:rsid w:val="00315E3B"/>
  </w:style>
  <w:style w:type="table" w:customStyle="1" w:styleId="Tablaconcuadrcula917">
    <w:name w:val="Tabla con cuadrícula917"/>
    <w:basedOn w:val="Tablanormal"/>
    <w:next w:val="Tablaconcuadrcula"/>
    <w:uiPriority w:val="59"/>
    <w:rsid w:val="00315E3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8">
    <w:name w:val="Tabla con cuadrícula918"/>
    <w:basedOn w:val="Tablanormal"/>
    <w:next w:val="Tablaconcuadrcula"/>
    <w:uiPriority w:val="59"/>
    <w:rsid w:val="00331BD7"/>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9">
    <w:name w:val="Tabla con cuadrícula919"/>
    <w:basedOn w:val="Tablanormal"/>
    <w:next w:val="Tablaconcuadrcula"/>
    <w:rsid w:val="0098418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50">
    <w:name w:val="Sin lista650"/>
    <w:next w:val="Sinlista"/>
    <w:uiPriority w:val="99"/>
    <w:semiHidden/>
    <w:unhideWhenUsed/>
    <w:rsid w:val="00272B7B"/>
  </w:style>
  <w:style w:type="table" w:customStyle="1" w:styleId="Tablaconcuadrcula920">
    <w:name w:val="Tabla con cuadrícula920"/>
    <w:basedOn w:val="Tablanormal"/>
    <w:next w:val="Tablaconcuadrcula"/>
    <w:uiPriority w:val="59"/>
    <w:rsid w:val="00272B7B"/>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apple-converted-space">
    <w:name w:val="apple-converted-space"/>
    <w:basedOn w:val="Fuentedeprrafopredeter"/>
    <w:rsid w:val="00272B7B"/>
  </w:style>
  <w:style w:type="table" w:customStyle="1" w:styleId="Tablaconcuadrcula921">
    <w:name w:val="Tabla con cuadrícula921"/>
    <w:basedOn w:val="Tablanormal"/>
    <w:next w:val="Tablaconcuadrcula"/>
    <w:rsid w:val="00EC69E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22">
    <w:name w:val="Tabla con cuadrícula922"/>
    <w:basedOn w:val="Tablanormal"/>
    <w:next w:val="Tablaconcuadrcula"/>
    <w:uiPriority w:val="59"/>
    <w:rsid w:val="00110B6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54">
    <w:name w:val="Sin lista654"/>
    <w:next w:val="Sinlista"/>
    <w:uiPriority w:val="99"/>
    <w:semiHidden/>
    <w:unhideWhenUsed/>
    <w:rsid w:val="00111E5F"/>
  </w:style>
  <w:style w:type="table" w:customStyle="1" w:styleId="Tablaconcuadrcula923">
    <w:name w:val="Tabla con cuadrícula923"/>
    <w:basedOn w:val="Tablanormal"/>
    <w:next w:val="Tablaconcuadrcula"/>
    <w:uiPriority w:val="59"/>
    <w:rsid w:val="00111E5F"/>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8">
    <w:name w:val="Tabla con cuadrícula1118"/>
    <w:basedOn w:val="Tablanormal"/>
    <w:next w:val="Tablaconcuadrcula"/>
    <w:rsid w:val="00111E5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02">
    <w:name w:val="Tabla con cuadrícula2102"/>
    <w:basedOn w:val="Tablanormal"/>
    <w:next w:val="Tablaconcuadrcula"/>
    <w:rsid w:val="00111E5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01">
    <w:name w:val="Tabla con cuadrícula3101"/>
    <w:basedOn w:val="Tablanormal"/>
    <w:next w:val="Tablaconcuadrcula"/>
    <w:rsid w:val="00111E5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01">
    <w:name w:val="Tabla con cuadrícula4101"/>
    <w:basedOn w:val="Tablanormal"/>
    <w:next w:val="Tablaconcuadrcula"/>
    <w:rsid w:val="00111E5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01">
    <w:name w:val="Tabla con cuadrícula5101"/>
    <w:basedOn w:val="Tablanormal"/>
    <w:next w:val="Tablaconcuadrcula"/>
    <w:rsid w:val="00111E5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00">
    <w:name w:val="Tabla con cuadrícula6100"/>
    <w:basedOn w:val="Tablanormal"/>
    <w:next w:val="Tablaconcuadrcula"/>
    <w:rsid w:val="00111E5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24">
    <w:name w:val="Tabla con cuadrícula924"/>
    <w:basedOn w:val="Tablanormal"/>
    <w:next w:val="Tablaconcuadrcula"/>
    <w:rsid w:val="00A80F2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55">
    <w:name w:val="Sin lista655"/>
    <w:next w:val="Sinlista"/>
    <w:uiPriority w:val="99"/>
    <w:semiHidden/>
    <w:unhideWhenUsed/>
    <w:rsid w:val="001D5D04"/>
  </w:style>
  <w:style w:type="numbering" w:customStyle="1" w:styleId="Sinlista656">
    <w:name w:val="Sin lista656"/>
    <w:next w:val="Sinlista"/>
    <w:uiPriority w:val="99"/>
    <w:semiHidden/>
    <w:unhideWhenUsed/>
    <w:rsid w:val="009C1BAB"/>
  </w:style>
  <w:style w:type="table" w:customStyle="1" w:styleId="Tablaconcuadrcula925">
    <w:name w:val="Tabla con cuadrícula925"/>
    <w:basedOn w:val="Tablanormal"/>
    <w:next w:val="Tablaconcuadrcula"/>
    <w:rsid w:val="009C1BA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26">
    <w:name w:val="Tabla con cuadrícula926"/>
    <w:basedOn w:val="Tablanormal"/>
    <w:next w:val="Tablaconcuadrcula"/>
    <w:uiPriority w:val="59"/>
    <w:rsid w:val="00F00278"/>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57">
    <w:name w:val="Sin lista657"/>
    <w:next w:val="Sinlista"/>
    <w:uiPriority w:val="99"/>
    <w:semiHidden/>
    <w:unhideWhenUsed/>
    <w:rsid w:val="00617915"/>
  </w:style>
  <w:style w:type="table" w:customStyle="1" w:styleId="Tablaconcuadrcula927">
    <w:name w:val="Tabla con cuadrícula927"/>
    <w:basedOn w:val="Tablanormal"/>
    <w:next w:val="Tablaconcuadrcula"/>
    <w:uiPriority w:val="59"/>
    <w:rsid w:val="00617915"/>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aconcuadrcula928">
    <w:name w:val="Tabla con cuadrícula928"/>
    <w:basedOn w:val="Tablanormal"/>
    <w:next w:val="Tablaconcuadrcula"/>
    <w:rsid w:val="00085883"/>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658">
    <w:name w:val="Sin lista658"/>
    <w:next w:val="Sinlista"/>
    <w:uiPriority w:val="99"/>
    <w:semiHidden/>
    <w:unhideWhenUsed/>
    <w:rsid w:val="00DA6633"/>
  </w:style>
  <w:style w:type="table" w:customStyle="1" w:styleId="Tablaconcuadrcula929">
    <w:name w:val="Tabla con cuadrícula929"/>
    <w:basedOn w:val="Tablanormal"/>
    <w:next w:val="Tablaconcuadrcula"/>
    <w:uiPriority w:val="59"/>
    <w:rsid w:val="00DA6633"/>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0">
    <w:name w:val="Tabla con cuadrícula930"/>
    <w:basedOn w:val="Tablanormal"/>
    <w:next w:val="Tablaconcuadrcula"/>
    <w:rsid w:val="000E377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59">
    <w:name w:val="Sin lista659"/>
    <w:next w:val="Sinlista"/>
    <w:uiPriority w:val="99"/>
    <w:semiHidden/>
    <w:unhideWhenUsed/>
    <w:rsid w:val="001A5B51"/>
  </w:style>
  <w:style w:type="table" w:customStyle="1" w:styleId="Tablaconcuadrcula931">
    <w:name w:val="Tabla con cuadrícula931"/>
    <w:basedOn w:val="Tablanormal"/>
    <w:next w:val="Tablaconcuadrcula"/>
    <w:rsid w:val="001A5B5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2">
    <w:name w:val="Tabla con cuadrícula932"/>
    <w:basedOn w:val="Tablanormal"/>
    <w:next w:val="Tablaconcuadrcula"/>
    <w:uiPriority w:val="59"/>
    <w:rsid w:val="00361E46"/>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aconcuadrcula933">
    <w:name w:val="Tabla con cuadrícula933"/>
    <w:basedOn w:val="Tablanormal"/>
    <w:next w:val="Tablaconcuadrcula"/>
    <w:uiPriority w:val="59"/>
    <w:rsid w:val="00102EC6"/>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4">
    <w:name w:val="Tabla con cuadrícula934"/>
    <w:basedOn w:val="Tablanormal"/>
    <w:next w:val="Tablaconcuadrcula"/>
    <w:rsid w:val="0032703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5">
    <w:name w:val="Tabla con cuadrícula935"/>
    <w:basedOn w:val="Tablanormal"/>
    <w:next w:val="Tablaconcuadrcula"/>
    <w:uiPriority w:val="59"/>
    <w:rsid w:val="00111BE6"/>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6">
    <w:name w:val="Tabla con cuadrícula936"/>
    <w:basedOn w:val="Tablanormal"/>
    <w:next w:val="Tablaconcuadrcula"/>
    <w:rsid w:val="0023476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7">
    <w:name w:val="Tabla con cuadrícula937"/>
    <w:basedOn w:val="Tablanormal"/>
    <w:next w:val="Tablaconcuadrcula"/>
    <w:rsid w:val="005C267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8">
    <w:name w:val="Tabla con cuadrícula938"/>
    <w:basedOn w:val="Tablanormal"/>
    <w:next w:val="Tablaconcuadrcula"/>
    <w:rsid w:val="0096364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60">
    <w:name w:val="Sin lista660"/>
    <w:next w:val="Sinlista"/>
    <w:uiPriority w:val="99"/>
    <w:semiHidden/>
    <w:unhideWhenUsed/>
    <w:rsid w:val="00803CC4"/>
  </w:style>
  <w:style w:type="numbering" w:customStyle="1" w:styleId="Sinlista1107">
    <w:name w:val="Sin lista1107"/>
    <w:next w:val="Sinlista"/>
    <w:semiHidden/>
    <w:rsid w:val="00803CC4"/>
  </w:style>
  <w:style w:type="table" w:customStyle="1" w:styleId="Tablaconcuadrcula939">
    <w:name w:val="Tabla con cuadrícula939"/>
    <w:basedOn w:val="Tablanormal"/>
    <w:next w:val="Tablaconcuadrcula"/>
    <w:uiPriority w:val="59"/>
    <w:rsid w:val="00803CC4"/>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64">
    <w:name w:val="Sin lista664"/>
    <w:next w:val="Sinlista"/>
    <w:uiPriority w:val="99"/>
    <w:semiHidden/>
    <w:unhideWhenUsed/>
    <w:rsid w:val="006F1D14"/>
  </w:style>
  <w:style w:type="table" w:customStyle="1" w:styleId="Tablaconcuadrcula940">
    <w:name w:val="Tabla con cuadrícula940"/>
    <w:basedOn w:val="Tablanormal"/>
    <w:next w:val="Tablaconcuadrcula"/>
    <w:rsid w:val="006F1D1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18">
    <w:name w:val="Pa18"/>
    <w:basedOn w:val="Normal"/>
    <w:next w:val="Normal"/>
    <w:uiPriority w:val="99"/>
    <w:rsid w:val="006F1D14"/>
    <w:pPr>
      <w:autoSpaceDE w:val="0"/>
      <w:autoSpaceDN w:val="0"/>
      <w:adjustRightInd w:val="0"/>
      <w:spacing w:line="221" w:lineRule="atLeast"/>
    </w:pPr>
    <w:rPr>
      <w:rFonts w:ascii="MetroflexUniBold" w:eastAsia="Times New Roman" w:hAnsi="MetroflexUniBold"/>
      <w:lang w:eastAsia="es-MX"/>
    </w:rPr>
  </w:style>
  <w:style w:type="paragraph" w:customStyle="1" w:styleId="Pa22">
    <w:name w:val="Pa22"/>
    <w:basedOn w:val="Normal"/>
    <w:next w:val="Normal"/>
    <w:uiPriority w:val="99"/>
    <w:rsid w:val="006F1D14"/>
    <w:pPr>
      <w:autoSpaceDE w:val="0"/>
      <w:autoSpaceDN w:val="0"/>
      <w:adjustRightInd w:val="0"/>
      <w:spacing w:line="221" w:lineRule="atLeast"/>
    </w:pPr>
    <w:rPr>
      <w:rFonts w:ascii="MetroflexUniBold" w:eastAsia="Times New Roman" w:hAnsi="MetroflexUniBold"/>
      <w:lang w:eastAsia="es-MX"/>
    </w:rPr>
  </w:style>
  <w:style w:type="character" w:customStyle="1" w:styleId="A10">
    <w:name w:val="A10"/>
    <w:uiPriority w:val="99"/>
    <w:rsid w:val="006F1D14"/>
    <w:rPr>
      <w:rFonts w:cs="MetroflexUniBold"/>
      <w:color w:val="000000"/>
      <w:sz w:val="18"/>
      <w:szCs w:val="18"/>
    </w:rPr>
  </w:style>
  <w:style w:type="table" w:customStyle="1" w:styleId="Tablaconcuadrcula941">
    <w:name w:val="Tabla con cuadrícula941"/>
    <w:basedOn w:val="Tablanormal"/>
    <w:next w:val="Tablaconcuadrcula"/>
    <w:uiPriority w:val="59"/>
    <w:rsid w:val="00C43FEB"/>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65">
    <w:name w:val="Sin lista665"/>
    <w:next w:val="Sinlista"/>
    <w:uiPriority w:val="99"/>
    <w:semiHidden/>
    <w:unhideWhenUsed/>
    <w:rsid w:val="00EA23CE"/>
  </w:style>
  <w:style w:type="table" w:customStyle="1" w:styleId="Tablaconcuadrcula942">
    <w:name w:val="Tabla con cuadrícula942"/>
    <w:basedOn w:val="Tablanormal"/>
    <w:next w:val="Tablaconcuadrcula"/>
    <w:rsid w:val="00EA23C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43">
    <w:name w:val="Tabla con cuadrícula943"/>
    <w:basedOn w:val="Tablanormal"/>
    <w:next w:val="Tablaconcuadrcula"/>
    <w:uiPriority w:val="59"/>
    <w:rsid w:val="00342F6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44">
    <w:name w:val="Tabla con cuadrícula944"/>
    <w:basedOn w:val="Tablanormal"/>
    <w:next w:val="Tablaconcuadrcula"/>
    <w:uiPriority w:val="59"/>
    <w:rsid w:val="002045B1"/>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66">
    <w:name w:val="Sin lista666"/>
    <w:next w:val="Sinlista"/>
    <w:uiPriority w:val="99"/>
    <w:semiHidden/>
    <w:unhideWhenUsed/>
    <w:rsid w:val="00FE795A"/>
  </w:style>
  <w:style w:type="table" w:customStyle="1" w:styleId="Tablaconcuadrcula945">
    <w:name w:val="Tabla con cuadrícula945"/>
    <w:basedOn w:val="Tablanormal"/>
    <w:next w:val="Tablaconcuadrcula"/>
    <w:uiPriority w:val="59"/>
    <w:rsid w:val="00FE795A"/>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67">
    <w:name w:val="Sin lista667"/>
    <w:next w:val="Sinlista"/>
    <w:uiPriority w:val="99"/>
    <w:semiHidden/>
    <w:unhideWhenUsed/>
    <w:rsid w:val="003F3CBB"/>
  </w:style>
  <w:style w:type="table" w:customStyle="1" w:styleId="Tablaconcuadrcula946">
    <w:name w:val="Tabla con cuadrícula946"/>
    <w:basedOn w:val="Tablanormal"/>
    <w:next w:val="Tablaconcuadrcula"/>
    <w:uiPriority w:val="59"/>
    <w:rsid w:val="003F3CB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68">
    <w:name w:val="Sin lista668"/>
    <w:next w:val="Sinlista"/>
    <w:uiPriority w:val="99"/>
    <w:semiHidden/>
    <w:unhideWhenUsed/>
    <w:rsid w:val="008B5355"/>
  </w:style>
  <w:style w:type="numbering" w:customStyle="1" w:styleId="Sinlista669">
    <w:name w:val="Sin lista669"/>
    <w:next w:val="Sinlista"/>
    <w:uiPriority w:val="99"/>
    <w:semiHidden/>
    <w:unhideWhenUsed/>
    <w:rsid w:val="00B305EC"/>
  </w:style>
  <w:style w:type="table" w:customStyle="1" w:styleId="Tablaconcuadrcula947">
    <w:name w:val="Tabla con cuadrícula947"/>
    <w:basedOn w:val="Tablanormal"/>
    <w:next w:val="Tablaconcuadrcula"/>
    <w:rsid w:val="00B305E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odelmarcadordeposicin">
    <w:name w:val="Placeholder Text"/>
    <w:basedOn w:val="Fuentedeprrafopredeter"/>
    <w:uiPriority w:val="99"/>
    <w:semiHidden/>
    <w:rsid w:val="00B305EC"/>
    <w:rPr>
      <w:color w:val="808080"/>
    </w:rPr>
  </w:style>
  <w:style w:type="numbering" w:customStyle="1" w:styleId="Sinlista670">
    <w:name w:val="Sin lista670"/>
    <w:next w:val="Sinlista"/>
    <w:uiPriority w:val="99"/>
    <w:semiHidden/>
    <w:unhideWhenUsed/>
    <w:rsid w:val="004775C6"/>
  </w:style>
  <w:style w:type="table" w:customStyle="1" w:styleId="Tablaconcuadrcula948">
    <w:name w:val="Tabla con cuadrícula948"/>
    <w:basedOn w:val="Tablanormal"/>
    <w:next w:val="Tablaconcuadrcula"/>
    <w:rsid w:val="004775C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49">
    <w:name w:val="Tabla con cuadrícula949"/>
    <w:basedOn w:val="Tablanormal"/>
    <w:next w:val="Tablaconcuadrcula"/>
    <w:rsid w:val="00B730DB"/>
    <w:rPr>
      <w:rFonts w:asciiTheme="minorHAnsi" w:eastAsia="Times New Roma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50">
    <w:name w:val="Tabla con cuadrícula950"/>
    <w:basedOn w:val="Tablanormal"/>
    <w:next w:val="Tablaconcuadrcula"/>
    <w:rsid w:val="009161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74">
    <w:name w:val="Sin lista674"/>
    <w:next w:val="Sinlista"/>
    <w:uiPriority w:val="99"/>
    <w:semiHidden/>
    <w:unhideWhenUsed/>
    <w:rsid w:val="004112FD"/>
  </w:style>
  <w:style w:type="table" w:customStyle="1" w:styleId="Tablaconcuadrcula951">
    <w:name w:val="Tabla con cuadrícula951"/>
    <w:basedOn w:val="Tablanormal"/>
    <w:next w:val="Tablaconcuadrcula"/>
    <w:uiPriority w:val="59"/>
    <w:rsid w:val="004112FD"/>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aconcuadrcula952">
    <w:name w:val="Tabla con cuadrícula952"/>
    <w:basedOn w:val="Tablanormal"/>
    <w:next w:val="Tablaconcuadrcula"/>
    <w:uiPriority w:val="59"/>
    <w:rsid w:val="005044F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75">
    <w:name w:val="Sin lista675"/>
    <w:next w:val="Sinlista"/>
    <w:semiHidden/>
    <w:rsid w:val="00973A2E"/>
  </w:style>
  <w:style w:type="table" w:customStyle="1" w:styleId="Tablaconcuadrcula953">
    <w:name w:val="Tabla con cuadrícula953"/>
    <w:basedOn w:val="Tablanormal"/>
    <w:next w:val="Tablaconcuadrcula"/>
    <w:rsid w:val="00973A2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76">
    <w:name w:val="Sin lista676"/>
    <w:next w:val="Sinlista"/>
    <w:uiPriority w:val="99"/>
    <w:semiHidden/>
    <w:unhideWhenUsed/>
    <w:rsid w:val="00042EF9"/>
  </w:style>
  <w:style w:type="table" w:customStyle="1" w:styleId="Tablaconcuadrcula954">
    <w:name w:val="Tabla con cuadrícula954"/>
    <w:basedOn w:val="Tablanormal"/>
    <w:next w:val="Tablaconcuadrcula"/>
    <w:uiPriority w:val="59"/>
    <w:rsid w:val="00042EF9"/>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77">
    <w:name w:val="Sin lista677"/>
    <w:next w:val="Sinlista"/>
    <w:uiPriority w:val="99"/>
    <w:semiHidden/>
    <w:unhideWhenUsed/>
    <w:rsid w:val="00BA0336"/>
  </w:style>
  <w:style w:type="numbering" w:customStyle="1" w:styleId="Sinlista1108">
    <w:name w:val="Sin lista1108"/>
    <w:next w:val="Sinlista"/>
    <w:semiHidden/>
    <w:rsid w:val="00BA0336"/>
  </w:style>
  <w:style w:type="numbering" w:customStyle="1" w:styleId="Sinlista678">
    <w:name w:val="Sin lista678"/>
    <w:next w:val="Sinlista"/>
    <w:uiPriority w:val="99"/>
    <w:semiHidden/>
    <w:unhideWhenUsed/>
    <w:rsid w:val="00121ED4"/>
  </w:style>
  <w:style w:type="table" w:customStyle="1" w:styleId="Tablaconcuadrcula955">
    <w:name w:val="Tabla con cuadrícula955"/>
    <w:basedOn w:val="Tablanormal"/>
    <w:next w:val="Tablaconcuadrcula"/>
    <w:rsid w:val="00121ED4"/>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56">
    <w:name w:val="Tabla con cuadrícula956"/>
    <w:basedOn w:val="Tablanormal"/>
    <w:next w:val="Tablaconcuadrcula"/>
    <w:uiPriority w:val="59"/>
    <w:rsid w:val="001D05CC"/>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57">
    <w:name w:val="Tabla con cuadrícula957"/>
    <w:basedOn w:val="Tablanormal"/>
    <w:next w:val="Tablaconcuadrcula"/>
    <w:rsid w:val="00564E1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79">
    <w:name w:val="Sin lista679"/>
    <w:next w:val="Sinlista"/>
    <w:uiPriority w:val="99"/>
    <w:semiHidden/>
    <w:unhideWhenUsed/>
    <w:rsid w:val="006B11F3"/>
  </w:style>
  <w:style w:type="table" w:customStyle="1" w:styleId="Tablaconcuadrcula958">
    <w:name w:val="Tabla con cuadrícula958"/>
    <w:basedOn w:val="Tablanormal"/>
    <w:next w:val="Tablaconcuadrcula"/>
    <w:uiPriority w:val="59"/>
    <w:rsid w:val="006B11F3"/>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80">
    <w:name w:val="Sin lista680"/>
    <w:next w:val="Sinlista"/>
    <w:semiHidden/>
    <w:unhideWhenUsed/>
    <w:rsid w:val="009869B9"/>
  </w:style>
  <w:style w:type="table" w:customStyle="1" w:styleId="Tablaconcuadrcula959">
    <w:name w:val="Tabla con cuadrícula959"/>
    <w:basedOn w:val="Tablanormal"/>
    <w:next w:val="Tablaconcuadrcula"/>
    <w:rsid w:val="009869B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0">
    <w:name w:val="Tabla con cuadrícula960"/>
    <w:basedOn w:val="Tablanormal"/>
    <w:next w:val="Tablaconcuadrcula"/>
    <w:uiPriority w:val="59"/>
    <w:rsid w:val="00BD23A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1">
    <w:name w:val="Tabla con cuadrícula961"/>
    <w:basedOn w:val="Tablanormal"/>
    <w:next w:val="Tablaconcuadrcula"/>
    <w:uiPriority w:val="59"/>
    <w:rsid w:val="00BD23A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2">
    <w:name w:val="Tabla con cuadrícula962"/>
    <w:basedOn w:val="Tablanormal"/>
    <w:next w:val="Tablaconcuadrcula"/>
    <w:uiPriority w:val="59"/>
    <w:rsid w:val="00BD23A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3">
    <w:name w:val="Tabla con cuadrícula963"/>
    <w:basedOn w:val="Tablanormal"/>
    <w:next w:val="Tablaconcuadrcula"/>
    <w:uiPriority w:val="59"/>
    <w:rsid w:val="00BD23A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84">
    <w:name w:val="Sin lista684"/>
    <w:next w:val="Sinlista"/>
    <w:uiPriority w:val="99"/>
    <w:semiHidden/>
    <w:unhideWhenUsed/>
    <w:rsid w:val="006D2E96"/>
  </w:style>
  <w:style w:type="table" w:customStyle="1" w:styleId="Tablaconcuadrcula964">
    <w:name w:val="Tabla con cuadrícula964"/>
    <w:basedOn w:val="Tablanormal"/>
    <w:next w:val="Tablaconcuadrcula"/>
    <w:uiPriority w:val="59"/>
    <w:rsid w:val="006D2E96"/>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85">
    <w:name w:val="Sin lista685"/>
    <w:next w:val="Sinlista"/>
    <w:uiPriority w:val="99"/>
    <w:semiHidden/>
    <w:unhideWhenUsed/>
    <w:rsid w:val="00425036"/>
  </w:style>
  <w:style w:type="paragraph" w:customStyle="1" w:styleId="Prrafodelista1">
    <w:name w:val="Párrafo de lista1"/>
    <w:basedOn w:val="Normal"/>
    <w:uiPriority w:val="99"/>
    <w:rsid w:val="00425036"/>
    <w:pPr>
      <w:spacing w:after="200" w:line="276" w:lineRule="auto"/>
      <w:ind w:left="720"/>
      <w:contextualSpacing/>
    </w:pPr>
    <w:rPr>
      <w:rFonts w:ascii="Calibri" w:eastAsia="Times New Roman" w:hAnsi="Calibri"/>
      <w:sz w:val="22"/>
      <w:szCs w:val="22"/>
      <w:lang w:eastAsia="en-US"/>
    </w:rPr>
  </w:style>
  <w:style w:type="table" w:customStyle="1" w:styleId="Tablaconcuadrcula965">
    <w:name w:val="Tabla con cuadrícula965"/>
    <w:basedOn w:val="Tablanormal"/>
    <w:next w:val="Tablaconcuadrcula"/>
    <w:rsid w:val="00425036"/>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650">
    <w:name w:val="Tabla con cuadrícula 165"/>
    <w:basedOn w:val="Tablanormal"/>
    <w:next w:val="Tablaconcuadrcula10"/>
    <w:rsid w:val="00425036"/>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CarCar4">
    <w:name w:val="Car Car4"/>
    <w:basedOn w:val="Fuentedeprrafopredeter"/>
    <w:locked/>
    <w:rsid w:val="00425036"/>
    <w:rPr>
      <w:rFonts w:cs="Times New Roman"/>
      <w:sz w:val="24"/>
      <w:szCs w:val="24"/>
    </w:rPr>
  </w:style>
  <w:style w:type="numbering" w:customStyle="1" w:styleId="Sinlista686">
    <w:name w:val="Sin lista686"/>
    <w:next w:val="Sinlista"/>
    <w:uiPriority w:val="99"/>
    <w:semiHidden/>
    <w:unhideWhenUsed/>
    <w:rsid w:val="001E339D"/>
  </w:style>
  <w:style w:type="table" w:customStyle="1" w:styleId="Tablaconcuadrcula966">
    <w:name w:val="Tabla con cuadrícula966"/>
    <w:basedOn w:val="Tablanormal"/>
    <w:next w:val="Tablaconcuadrcula"/>
    <w:rsid w:val="001E339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87">
    <w:name w:val="Sin lista687"/>
    <w:next w:val="Sinlista"/>
    <w:semiHidden/>
    <w:unhideWhenUsed/>
    <w:rsid w:val="0045712C"/>
  </w:style>
  <w:style w:type="table" w:customStyle="1" w:styleId="Tablaconcuadrcula967">
    <w:name w:val="Tabla con cuadrícula967"/>
    <w:basedOn w:val="Tablanormal"/>
    <w:next w:val="Tablaconcuadrcula"/>
    <w:rsid w:val="004571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8">
    <w:name w:val="Tabla con cuadrícula968"/>
    <w:basedOn w:val="Tablanormal"/>
    <w:next w:val="Tablaconcuadrcula"/>
    <w:uiPriority w:val="59"/>
    <w:rsid w:val="00A3107E"/>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88">
    <w:name w:val="Sin lista688"/>
    <w:next w:val="Sinlista"/>
    <w:uiPriority w:val="99"/>
    <w:semiHidden/>
    <w:unhideWhenUsed/>
    <w:rsid w:val="00F54597"/>
  </w:style>
  <w:style w:type="table" w:customStyle="1" w:styleId="Tablaconcuadrcula969">
    <w:name w:val="Tabla con cuadrícula969"/>
    <w:basedOn w:val="Tablanormal"/>
    <w:next w:val="Tablaconcuadrcula"/>
    <w:rsid w:val="00F54597"/>
    <w:rPr>
      <w:rFonts w:asciiTheme="minorHAnsi" w:eastAsia="Times New Roma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0">
    <w:name w:val="Tabla con cuadrícula970"/>
    <w:basedOn w:val="Tablanormal"/>
    <w:next w:val="Tablaconcuadrcula"/>
    <w:uiPriority w:val="59"/>
    <w:rsid w:val="00C1462E"/>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1">
    <w:name w:val="Tabla con cuadrícula971"/>
    <w:basedOn w:val="Tablanormal"/>
    <w:next w:val="Tablaconcuadrcula"/>
    <w:rsid w:val="00FF73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89">
    <w:name w:val="Sin lista689"/>
    <w:next w:val="Sinlista"/>
    <w:semiHidden/>
    <w:unhideWhenUsed/>
    <w:rsid w:val="003226AD"/>
  </w:style>
  <w:style w:type="table" w:customStyle="1" w:styleId="Tablaconcuadrcula972">
    <w:name w:val="Tabla con cuadrícula972"/>
    <w:basedOn w:val="Tablanormal"/>
    <w:next w:val="Tablaconcuadrcula"/>
    <w:rsid w:val="003226A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152">
    <w:name w:val="Pa15+2"/>
    <w:basedOn w:val="Default"/>
    <w:next w:val="Default"/>
    <w:uiPriority w:val="99"/>
    <w:rsid w:val="003226AD"/>
    <w:pPr>
      <w:spacing w:line="161" w:lineRule="atLeast"/>
    </w:pPr>
    <w:rPr>
      <w:rFonts w:ascii="HelveticaNeue Condensed" w:eastAsia="Times New Roman" w:hAnsi="HelveticaNeue Condensed"/>
      <w:color w:val="auto"/>
    </w:rPr>
  </w:style>
  <w:style w:type="paragraph" w:customStyle="1" w:styleId="Pa332">
    <w:name w:val="Pa33+2"/>
    <w:basedOn w:val="Default"/>
    <w:next w:val="Default"/>
    <w:uiPriority w:val="99"/>
    <w:rsid w:val="003226AD"/>
    <w:pPr>
      <w:spacing w:line="161" w:lineRule="atLeast"/>
    </w:pPr>
    <w:rPr>
      <w:rFonts w:ascii="HelveticaNeue Condensed" w:eastAsia="Times New Roman" w:hAnsi="HelveticaNeue Condensed"/>
      <w:color w:val="auto"/>
    </w:rPr>
  </w:style>
  <w:style w:type="character" w:customStyle="1" w:styleId="A102">
    <w:name w:val="A10+2"/>
    <w:rsid w:val="003226AD"/>
    <w:rPr>
      <w:rFonts w:cs="HelveticaNeue Condensed"/>
      <w:color w:val="000000"/>
      <w:sz w:val="11"/>
      <w:szCs w:val="11"/>
    </w:rPr>
  </w:style>
  <w:style w:type="paragraph" w:customStyle="1" w:styleId="Pa162">
    <w:name w:val="Pa16+2"/>
    <w:basedOn w:val="Default"/>
    <w:next w:val="Default"/>
    <w:uiPriority w:val="99"/>
    <w:rsid w:val="003226AD"/>
    <w:pPr>
      <w:spacing w:line="161" w:lineRule="atLeast"/>
    </w:pPr>
    <w:rPr>
      <w:rFonts w:ascii="HelveticaNeue Condensed" w:eastAsia="Times New Roman" w:hAnsi="HelveticaNeue Condensed"/>
      <w:color w:val="auto"/>
    </w:rPr>
  </w:style>
  <w:style w:type="table" w:customStyle="1" w:styleId="Tablaconcuadrcula973">
    <w:name w:val="Tabla con cuadrícula973"/>
    <w:basedOn w:val="Tablanormal"/>
    <w:next w:val="Tablaconcuadrcula"/>
    <w:uiPriority w:val="59"/>
    <w:rsid w:val="006D6CDD"/>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4">
    <w:name w:val="Tabla con cuadrícula974"/>
    <w:basedOn w:val="Tablanormal"/>
    <w:next w:val="Tablaconcuadrcula"/>
    <w:uiPriority w:val="59"/>
    <w:rsid w:val="00CE3916"/>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5">
    <w:name w:val="Tabla con cuadrícula975"/>
    <w:basedOn w:val="Tablanormal"/>
    <w:next w:val="Tablaconcuadrcula"/>
    <w:uiPriority w:val="59"/>
    <w:rsid w:val="00ED2B80"/>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6">
    <w:name w:val="Tabla con cuadrícula976"/>
    <w:basedOn w:val="Tablanormal"/>
    <w:next w:val="Tablaconcuadrcula"/>
    <w:rsid w:val="00EB029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7">
    <w:name w:val="Tabla con cuadrícula977"/>
    <w:basedOn w:val="Tablanormal"/>
    <w:next w:val="Tablaconcuadrcula"/>
    <w:uiPriority w:val="59"/>
    <w:rsid w:val="001A60D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0">
    <w:name w:val="Sin lista690"/>
    <w:next w:val="Sinlista"/>
    <w:uiPriority w:val="99"/>
    <w:semiHidden/>
    <w:unhideWhenUsed/>
    <w:rsid w:val="001C3BF9"/>
  </w:style>
  <w:style w:type="table" w:customStyle="1" w:styleId="Tablaconcuadrcula978">
    <w:name w:val="Tabla con cuadrícula978"/>
    <w:basedOn w:val="Tablanormal"/>
    <w:next w:val="Tablaconcuadrcula"/>
    <w:uiPriority w:val="59"/>
    <w:rsid w:val="001C3BF9"/>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9">
    <w:name w:val="Tabla con cuadrícula979"/>
    <w:basedOn w:val="Tablanormal"/>
    <w:next w:val="Tablaconcuadrcula"/>
    <w:uiPriority w:val="59"/>
    <w:rsid w:val="006C2584"/>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Sinlista694">
    <w:name w:val="Sin lista694"/>
    <w:next w:val="Sinlista"/>
    <w:uiPriority w:val="99"/>
    <w:semiHidden/>
    <w:unhideWhenUsed/>
    <w:rsid w:val="00500E03"/>
  </w:style>
  <w:style w:type="table" w:customStyle="1" w:styleId="Tablaconcuadrcula980">
    <w:name w:val="Tabla con cuadrícula980"/>
    <w:basedOn w:val="Tablanormal"/>
    <w:next w:val="Tablaconcuadrcula"/>
    <w:uiPriority w:val="59"/>
    <w:rsid w:val="00500E03"/>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5">
    <w:name w:val="Sin lista695"/>
    <w:next w:val="Sinlista"/>
    <w:uiPriority w:val="99"/>
    <w:semiHidden/>
    <w:unhideWhenUsed/>
    <w:rsid w:val="00A52B35"/>
  </w:style>
  <w:style w:type="table" w:customStyle="1" w:styleId="Tablaconcuadrcula981">
    <w:name w:val="Tabla con cuadrícula981"/>
    <w:basedOn w:val="Tablanormal"/>
    <w:next w:val="Tablaconcuadrcula"/>
    <w:uiPriority w:val="59"/>
    <w:rsid w:val="00A52B35"/>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ongtext">
    <w:name w:val="long_text"/>
    <w:basedOn w:val="Fuentedeprrafopredeter"/>
    <w:rsid w:val="00A52B35"/>
  </w:style>
  <w:style w:type="numbering" w:customStyle="1" w:styleId="Sinlista696">
    <w:name w:val="Sin lista696"/>
    <w:next w:val="Sinlista"/>
    <w:uiPriority w:val="99"/>
    <w:semiHidden/>
    <w:unhideWhenUsed/>
    <w:rsid w:val="00B52536"/>
  </w:style>
  <w:style w:type="table" w:customStyle="1" w:styleId="Tablaconcuadrcula982">
    <w:name w:val="Tabla con cuadrícula982"/>
    <w:basedOn w:val="Tablanormal"/>
    <w:next w:val="Tablaconcuadrcula"/>
    <w:uiPriority w:val="59"/>
    <w:rsid w:val="00B5253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7">
    <w:name w:val="Sin lista697"/>
    <w:next w:val="Sinlista"/>
    <w:uiPriority w:val="99"/>
    <w:semiHidden/>
    <w:unhideWhenUsed/>
    <w:rsid w:val="00CA1225"/>
  </w:style>
  <w:style w:type="table" w:customStyle="1" w:styleId="Tablaconcuadrcula983">
    <w:name w:val="Tabla con cuadrícula983"/>
    <w:basedOn w:val="Tablanormal"/>
    <w:next w:val="Tablaconcuadrcula"/>
    <w:uiPriority w:val="59"/>
    <w:rsid w:val="00CA1225"/>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8">
    <w:name w:val="Sin lista698"/>
    <w:next w:val="Sinlista"/>
    <w:uiPriority w:val="99"/>
    <w:semiHidden/>
    <w:unhideWhenUsed/>
    <w:rsid w:val="00477DCF"/>
  </w:style>
  <w:style w:type="table" w:customStyle="1" w:styleId="Tablaconcuadrcula984">
    <w:name w:val="Tabla con cuadrícula984"/>
    <w:basedOn w:val="Tablanormal"/>
    <w:next w:val="Tablaconcuadrcula"/>
    <w:rsid w:val="00477DCF"/>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85">
    <w:name w:val="Tabla con cuadrícula985"/>
    <w:basedOn w:val="Tablanormal"/>
    <w:next w:val="Tablaconcuadrcula"/>
    <w:rsid w:val="00DC3A28"/>
    <w:rPr>
      <w:rFonts w:asciiTheme="minorHAnsi" w:eastAsia="Times New Roman"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86">
    <w:name w:val="Tabla con cuadrícula986"/>
    <w:basedOn w:val="Tablanormal"/>
    <w:next w:val="Tablaconcuadrcula"/>
    <w:rsid w:val="00CC26A1"/>
    <w:rPr>
      <w:rFonts w:asciiTheme="minorHAnsi" w:eastAsia="Times New Roma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87">
    <w:name w:val="Tabla con cuadrícula987"/>
    <w:basedOn w:val="Tablanormal"/>
    <w:next w:val="Tablaconcuadrcula"/>
    <w:uiPriority w:val="59"/>
    <w:rsid w:val="0078342C"/>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88">
    <w:name w:val="Tabla con cuadrícula988"/>
    <w:basedOn w:val="Tablanormal"/>
    <w:next w:val="Tablaconcuadrcula"/>
    <w:uiPriority w:val="59"/>
    <w:rsid w:val="00667F8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9">
    <w:name w:val="Sin lista699"/>
    <w:next w:val="Sinlista"/>
    <w:uiPriority w:val="99"/>
    <w:semiHidden/>
    <w:unhideWhenUsed/>
    <w:rsid w:val="00E06EAA"/>
  </w:style>
  <w:style w:type="table" w:customStyle="1" w:styleId="Tablaconcuadrcula989">
    <w:name w:val="Tabla con cuadrícula989"/>
    <w:basedOn w:val="Tablanormal"/>
    <w:next w:val="Tablaconcuadrcula"/>
    <w:uiPriority w:val="59"/>
    <w:rsid w:val="00E06EAA"/>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0">
    <w:name w:val="Tabla con cuadrícula990"/>
    <w:basedOn w:val="Tablanormal"/>
    <w:next w:val="Tablaconcuadrcula"/>
    <w:uiPriority w:val="59"/>
    <w:rsid w:val="001A4F7A"/>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1">
    <w:name w:val="Tabla con cuadrícula991"/>
    <w:basedOn w:val="Tablanormal"/>
    <w:next w:val="Tablaconcuadrcula"/>
    <w:uiPriority w:val="59"/>
    <w:rsid w:val="00172F6F"/>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2">
    <w:name w:val="Tabla con cuadrícula992"/>
    <w:basedOn w:val="Tablanormal"/>
    <w:next w:val="Tablaconcuadrcula"/>
    <w:uiPriority w:val="59"/>
    <w:rsid w:val="009C6CCB"/>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3">
    <w:name w:val="Tabla con cuadrícula993"/>
    <w:basedOn w:val="Tablanormal"/>
    <w:next w:val="Tablaconcuadrcula"/>
    <w:uiPriority w:val="59"/>
    <w:rsid w:val="00965235"/>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4">
    <w:name w:val="Tabla con cuadrícula994"/>
    <w:basedOn w:val="Tablanormal"/>
    <w:next w:val="Tablaconcuadrcula"/>
    <w:uiPriority w:val="59"/>
    <w:rsid w:val="002A483C"/>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5">
    <w:name w:val="Tabla con cuadrícula995"/>
    <w:basedOn w:val="Tablanormal"/>
    <w:next w:val="Tablaconcuadrcula"/>
    <w:uiPriority w:val="59"/>
    <w:rsid w:val="00E56233"/>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6">
    <w:name w:val="Tabla con cuadrícula996"/>
    <w:basedOn w:val="Tablanormal"/>
    <w:next w:val="Tablaconcuadrcula"/>
    <w:rsid w:val="00CC5FF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00">
    <w:name w:val="Sin lista700"/>
    <w:next w:val="Sinlista"/>
    <w:uiPriority w:val="99"/>
    <w:semiHidden/>
    <w:unhideWhenUsed/>
    <w:rsid w:val="00D47F04"/>
  </w:style>
  <w:style w:type="table" w:customStyle="1" w:styleId="Tablaconcuadrcula997">
    <w:name w:val="Tabla con cuadrícula997"/>
    <w:basedOn w:val="Tablanormal"/>
    <w:next w:val="Tablaconcuadrcula"/>
    <w:rsid w:val="00D47F0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04">
    <w:name w:val="Sin lista704"/>
    <w:next w:val="Sinlista"/>
    <w:uiPriority w:val="99"/>
    <w:semiHidden/>
    <w:unhideWhenUsed/>
    <w:rsid w:val="00D6023F"/>
  </w:style>
  <w:style w:type="table" w:customStyle="1" w:styleId="Tablaconcuadrcula998">
    <w:name w:val="Tabla con cuadrícula998"/>
    <w:basedOn w:val="Tablanormal"/>
    <w:next w:val="Tablaconcuadrcula"/>
    <w:rsid w:val="00D6023F"/>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9">
    <w:name w:val="Tabla con cuadrícula1119"/>
    <w:basedOn w:val="Tablanormal"/>
    <w:next w:val="Tablaconcuadrcula"/>
    <w:rsid w:val="00D6023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05">
    <w:name w:val="Sin lista705"/>
    <w:next w:val="Sinlista"/>
    <w:uiPriority w:val="99"/>
    <w:semiHidden/>
    <w:unhideWhenUsed/>
    <w:rsid w:val="00B666DA"/>
  </w:style>
  <w:style w:type="table" w:customStyle="1" w:styleId="Tablaconcuadrcula999">
    <w:name w:val="Tabla con cuadrícula999"/>
    <w:basedOn w:val="Tablanormal"/>
    <w:next w:val="Tablaconcuadrcula"/>
    <w:uiPriority w:val="59"/>
    <w:rsid w:val="00B666DA"/>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000">
    <w:name w:val="Tabla con cuadrícula1000"/>
    <w:basedOn w:val="Tablanormal"/>
    <w:next w:val="Tablaconcuadrcula"/>
    <w:uiPriority w:val="59"/>
    <w:rsid w:val="00486C5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01">
    <w:name w:val="Tabla con cuadrícula1001"/>
    <w:basedOn w:val="Tablanormal"/>
    <w:next w:val="Tablaconcuadrcula"/>
    <w:rsid w:val="00E34F92"/>
    <w:rPr>
      <w:rFonts w:asciiTheme="minorHAnsi" w:eastAsia="Times New Roma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02">
    <w:name w:val="Tabla con cuadrícula1002"/>
    <w:basedOn w:val="Tablanormal"/>
    <w:next w:val="Tablaconcuadrcula"/>
    <w:rsid w:val="00227DB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06">
    <w:name w:val="Sin lista706"/>
    <w:next w:val="Sinlista"/>
    <w:uiPriority w:val="99"/>
    <w:semiHidden/>
    <w:unhideWhenUsed/>
    <w:rsid w:val="00FB5E5F"/>
  </w:style>
  <w:style w:type="table" w:customStyle="1" w:styleId="Tablaconcuadrcula1003">
    <w:name w:val="Tabla con cuadrícula1003"/>
    <w:basedOn w:val="Tablanormal"/>
    <w:next w:val="Tablaconcuadrcula"/>
    <w:uiPriority w:val="59"/>
    <w:rsid w:val="00183CCD"/>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07">
    <w:name w:val="Sin lista707"/>
    <w:next w:val="Sinlista"/>
    <w:uiPriority w:val="99"/>
    <w:semiHidden/>
    <w:unhideWhenUsed/>
    <w:rsid w:val="00136C91"/>
  </w:style>
  <w:style w:type="table" w:customStyle="1" w:styleId="Tablaconcuadrcula1004">
    <w:name w:val="Tabla con cuadrícula1004"/>
    <w:basedOn w:val="Tablanormal"/>
    <w:next w:val="Tablaconcuadrcula"/>
    <w:uiPriority w:val="59"/>
    <w:rsid w:val="00F30EE7"/>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05">
    <w:name w:val="Tabla con cuadrícula1005"/>
    <w:basedOn w:val="Tablanormal"/>
    <w:next w:val="Tablaconcuadrcula"/>
    <w:uiPriority w:val="59"/>
    <w:rsid w:val="00EB71D9"/>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08">
    <w:name w:val="Sin lista708"/>
    <w:next w:val="Sinlista"/>
    <w:uiPriority w:val="99"/>
    <w:semiHidden/>
    <w:unhideWhenUsed/>
    <w:rsid w:val="00D626E3"/>
  </w:style>
  <w:style w:type="table" w:customStyle="1" w:styleId="Tablaconcuadrcula1006">
    <w:name w:val="Tabla con cuadrícula1006"/>
    <w:basedOn w:val="Tablanormal"/>
    <w:next w:val="Tablaconcuadrcula"/>
    <w:uiPriority w:val="59"/>
    <w:rsid w:val="00D626E3"/>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Sinlista709">
    <w:name w:val="Sin lista709"/>
    <w:next w:val="Sinlista"/>
    <w:uiPriority w:val="99"/>
    <w:semiHidden/>
    <w:unhideWhenUsed/>
    <w:rsid w:val="00F61D3E"/>
  </w:style>
  <w:style w:type="table" w:customStyle="1" w:styleId="Tablaconcuadrcula1007">
    <w:name w:val="Tabla con cuadrícula1007"/>
    <w:basedOn w:val="Tablanormal"/>
    <w:next w:val="Tablaconcuadrcula"/>
    <w:rsid w:val="00F61D3E"/>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660">
    <w:name w:val="Tabla con cuadrícula 166"/>
    <w:basedOn w:val="Tablanormal"/>
    <w:next w:val="Tablaconcuadrcula10"/>
    <w:rsid w:val="00F61D3E"/>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716">
    <w:name w:val="Sin lista716"/>
    <w:next w:val="Sinlista"/>
    <w:uiPriority w:val="99"/>
    <w:semiHidden/>
    <w:unhideWhenUsed/>
    <w:rsid w:val="00CA74ED"/>
  </w:style>
  <w:style w:type="table" w:customStyle="1" w:styleId="Tablaconcuadrcula1008">
    <w:name w:val="Tabla con cuadrícula1008"/>
    <w:basedOn w:val="Tablanormal"/>
    <w:next w:val="Tablaconcuadrcula"/>
    <w:rsid w:val="00CA74E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01">
    <w:name w:val="p01"/>
    <w:basedOn w:val="Normal"/>
    <w:next w:val="p0"/>
    <w:uiPriority w:val="99"/>
    <w:rsid w:val="00182BC6"/>
    <w:pPr>
      <w:keepLines/>
      <w:spacing w:before="240"/>
      <w:jc w:val="both"/>
    </w:pPr>
    <w:rPr>
      <w:rFonts w:ascii="Univers" w:eastAsia="Times New Roman" w:hAnsi="Univers"/>
      <w:color w:val="0000FF"/>
      <w:szCs w:val="20"/>
      <w:lang w:val="es-ES_tradnl"/>
    </w:rPr>
  </w:style>
  <w:style w:type="numbering" w:customStyle="1" w:styleId="Sinlista717">
    <w:name w:val="Sin lista717"/>
    <w:next w:val="Sinlista"/>
    <w:uiPriority w:val="99"/>
    <w:semiHidden/>
    <w:unhideWhenUsed/>
    <w:rsid w:val="00A7180D"/>
  </w:style>
  <w:style w:type="table" w:customStyle="1" w:styleId="Tablaconcuadrcula1009">
    <w:name w:val="Tabla con cuadrícula1009"/>
    <w:basedOn w:val="Tablanormal"/>
    <w:next w:val="Tablaconcuadrcula"/>
    <w:rsid w:val="00A7180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18">
    <w:name w:val="Sin lista718"/>
    <w:next w:val="Sinlista"/>
    <w:uiPriority w:val="99"/>
    <w:semiHidden/>
    <w:unhideWhenUsed/>
    <w:rsid w:val="007A5777"/>
  </w:style>
  <w:style w:type="table" w:customStyle="1" w:styleId="Tablaconcuadrcula1010">
    <w:name w:val="Tabla con cuadrícula1010"/>
    <w:basedOn w:val="Tablanormal"/>
    <w:next w:val="Tablaconcuadrcula"/>
    <w:uiPriority w:val="59"/>
    <w:rsid w:val="007A5777"/>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11">
    <w:name w:val="Tabla con cuadrícula1011"/>
    <w:basedOn w:val="Tablanormal"/>
    <w:next w:val="Tablaconcuadrcula"/>
    <w:rsid w:val="00AF6128"/>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12">
    <w:name w:val="Tabla con cuadrícula1012"/>
    <w:basedOn w:val="Tablanormal"/>
    <w:next w:val="Tablaconcuadrcula"/>
    <w:rsid w:val="00AF612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13">
    <w:name w:val="Tabla con cuadrícula1013"/>
    <w:basedOn w:val="Tablanormal"/>
    <w:next w:val="Tablaconcuadrcula"/>
    <w:uiPriority w:val="59"/>
    <w:rsid w:val="001D03EC"/>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19">
    <w:name w:val="Sin lista719"/>
    <w:next w:val="Sinlista"/>
    <w:uiPriority w:val="99"/>
    <w:semiHidden/>
    <w:unhideWhenUsed/>
    <w:rsid w:val="00BB50C3"/>
  </w:style>
  <w:style w:type="numbering" w:customStyle="1" w:styleId="Sinlista720">
    <w:name w:val="Sin lista720"/>
    <w:next w:val="Sinlista"/>
    <w:uiPriority w:val="99"/>
    <w:semiHidden/>
    <w:unhideWhenUsed/>
    <w:rsid w:val="0067630D"/>
  </w:style>
  <w:style w:type="table" w:customStyle="1" w:styleId="Tablaconcuadrcula1014">
    <w:name w:val="Tabla con cuadrícula1014"/>
    <w:basedOn w:val="Tablanormal"/>
    <w:next w:val="Tablaconcuadrcula"/>
    <w:uiPriority w:val="59"/>
    <w:rsid w:val="0067630D"/>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24">
    <w:name w:val="Sin lista724"/>
    <w:next w:val="Sinlista"/>
    <w:uiPriority w:val="99"/>
    <w:semiHidden/>
    <w:unhideWhenUsed/>
    <w:rsid w:val="00C7439A"/>
  </w:style>
  <w:style w:type="table" w:customStyle="1" w:styleId="Tablaconcuadrcula1015">
    <w:name w:val="Tabla con cuadrícula1015"/>
    <w:basedOn w:val="Tablanormal"/>
    <w:next w:val="Tablaconcuadrcula"/>
    <w:uiPriority w:val="59"/>
    <w:rsid w:val="00C7439A"/>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16">
    <w:name w:val="Tabla con cuadrícula1016"/>
    <w:basedOn w:val="Tablanormal"/>
    <w:next w:val="Tablaconcuadrcula"/>
    <w:rsid w:val="001867A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25">
    <w:name w:val="Sin lista725"/>
    <w:next w:val="Sinlista"/>
    <w:uiPriority w:val="99"/>
    <w:semiHidden/>
    <w:unhideWhenUsed/>
    <w:rsid w:val="00223A5B"/>
  </w:style>
  <w:style w:type="table" w:customStyle="1" w:styleId="Tablaconcuadrcula1017">
    <w:name w:val="Tabla con cuadrícula1017"/>
    <w:basedOn w:val="Tablanormal"/>
    <w:next w:val="Tablaconcuadrcula"/>
    <w:rsid w:val="00223A5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26">
    <w:name w:val="Sin lista726"/>
    <w:next w:val="Sinlista"/>
    <w:uiPriority w:val="99"/>
    <w:semiHidden/>
    <w:unhideWhenUsed/>
    <w:rsid w:val="0025326F"/>
  </w:style>
  <w:style w:type="table" w:customStyle="1" w:styleId="Tablaconcuadrcula1018">
    <w:name w:val="Tabla con cuadrícula1018"/>
    <w:basedOn w:val="Tablanormal"/>
    <w:next w:val="Tablaconcuadrcula"/>
    <w:uiPriority w:val="59"/>
    <w:rsid w:val="0025326F"/>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27">
    <w:name w:val="Sin lista727"/>
    <w:next w:val="Sinlista"/>
    <w:uiPriority w:val="99"/>
    <w:semiHidden/>
    <w:unhideWhenUsed/>
    <w:rsid w:val="001F1917"/>
  </w:style>
  <w:style w:type="table" w:customStyle="1" w:styleId="Tablaconcuadrcula1019">
    <w:name w:val="Tabla con cuadrícula1019"/>
    <w:basedOn w:val="Tablanormal"/>
    <w:next w:val="Tablaconcuadrcula"/>
    <w:uiPriority w:val="59"/>
    <w:rsid w:val="001F191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28">
    <w:name w:val="Sin lista728"/>
    <w:next w:val="Sinlista"/>
    <w:uiPriority w:val="99"/>
    <w:semiHidden/>
    <w:unhideWhenUsed/>
    <w:rsid w:val="006952FF"/>
  </w:style>
  <w:style w:type="table" w:customStyle="1" w:styleId="Tablaconcuadrcula1020">
    <w:name w:val="Tabla con cuadrícula1020"/>
    <w:basedOn w:val="Tablanormal"/>
    <w:next w:val="Tablaconcuadrcula"/>
    <w:uiPriority w:val="59"/>
    <w:rsid w:val="006952FF"/>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1">
    <w:name w:val="Tabla con cuadrícula1021"/>
    <w:basedOn w:val="Tablanormal"/>
    <w:next w:val="Tablaconcuadrcula"/>
    <w:uiPriority w:val="59"/>
    <w:rsid w:val="001B723D"/>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29">
    <w:name w:val="Sin lista729"/>
    <w:next w:val="Sinlista"/>
    <w:uiPriority w:val="99"/>
    <w:semiHidden/>
    <w:unhideWhenUsed/>
    <w:rsid w:val="004D60EA"/>
  </w:style>
  <w:style w:type="table" w:customStyle="1" w:styleId="Tablaconcuadrcula1022">
    <w:name w:val="Tabla con cuadrícula1022"/>
    <w:basedOn w:val="Tablanormal"/>
    <w:next w:val="Tablaconcuadrcula"/>
    <w:rsid w:val="004D60E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3">
    <w:name w:val="Tabla con cuadrícula1023"/>
    <w:basedOn w:val="Tablanormal"/>
    <w:next w:val="Tablaconcuadrcula"/>
    <w:uiPriority w:val="59"/>
    <w:rsid w:val="00267F7E"/>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4">
    <w:name w:val="Tabla con cuadrícula1024"/>
    <w:basedOn w:val="Tablanormal"/>
    <w:next w:val="Tablaconcuadrcula"/>
    <w:uiPriority w:val="59"/>
    <w:rsid w:val="00D478F7"/>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5">
    <w:name w:val="Tabla con cuadrícula1025"/>
    <w:basedOn w:val="Tablanormal"/>
    <w:next w:val="Tablaconcuadrcula"/>
    <w:rsid w:val="0019681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6">
    <w:name w:val="Tabla con cuadrícula1026"/>
    <w:basedOn w:val="Tablanormal"/>
    <w:next w:val="Tablaconcuadrcula"/>
    <w:rsid w:val="006F08B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0">
    <w:name w:val="Sin lista730"/>
    <w:next w:val="Sinlista"/>
    <w:semiHidden/>
    <w:unhideWhenUsed/>
    <w:rsid w:val="00D46ED8"/>
  </w:style>
  <w:style w:type="paragraph" w:customStyle="1" w:styleId="date1">
    <w:name w:val="date1"/>
    <w:basedOn w:val="Normal"/>
    <w:rsid w:val="00D46ED8"/>
    <w:rPr>
      <w:rFonts w:eastAsia="Times New Roman"/>
      <w:color w:val="E27626"/>
      <w:sz w:val="9"/>
      <w:szCs w:val="9"/>
      <w:lang w:eastAsia="es-MX"/>
    </w:rPr>
  </w:style>
  <w:style w:type="table" w:customStyle="1" w:styleId="Tablaconcuadrcula1027">
    <w:name w:val="Tabla con cuadrícula1027"/>
    <w:basedOn w:val="Tablanormal"/>
    <w:next w:val="Tablaconcuadrcula"/>
    <w:rsid w:val="00D46ED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8">
    <w:name w:val="Tabla con cuadrícula1028"/>
    <w:basedOn w:val="Tablanormal"/>
    <w:next w:val="Tablaconcuadrcula"/>
    <w:uiPriority w:val="59"/>
    <w:rsid w:val="00C5124C"/>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4">
    <w:name w:val="Sin lista734"/>
    <w:next w:val="Sinlista"/>
    <w:uiPriority w:val="99"/>
    <w:semiHidden/>
    <w:unhideWhenUsed/>
    <w:rsid w:val="004B1BE8"/>
  </w:style>
  <w:style w:type="table" w:customStyle="1" w:styleId="Tablaconcuadrcula1029">
    <w:name w:val="Tabla con cuadrícula1029"/>
    <w:basedOn w:val="Tablanormal"/>
    <w:next w:val="Tablaconcuadrcula"/>
    <w:uiPriority w:val="59"/>
    <w:rsid w:val="004B1BE8"/>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0">
    <w:name w:val="Tabla con cuadrícula1030"/>
    <w:basedOn w:val="Tablanormal"/>
    <w:next w:val="Tablaconcuadrcula"/>
    <w:uiPriority w:val="59"/>
    <w:rsid w:val="00740798"/>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1">
    <w:name w:val="Tabla con cuadrícula1031"/>
    <w:basedOn w:val="Tablanormal"/>
    <w:next w:val="Tablaconcuadrcula"/>
    <w:uiPriority w:val="59"/>
    <w:rsid w:val="0024757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5">
    <w:name w:val="Sin lista735"/>
    <w:next w:val="Sinlista"/>
    <w:uiPriority w:val="99"/>
    <w:semiHidden/>
    <w:unhideWhenUsed/>
    <w:rsid w:val="002B7839"/>
  </w:style>
  <w:style w:type="table" w:customStyle="1" w:styleId="Tablaconcuadrcula1032">
    <w:name w:val="Tabla con cuadrícula1032"/>
    <w:basedOn w:val="Tablanormal"/>
    <w:next w:val="Tablaconcuadrcula"/>
    <w:uiPriority w:val="59"/>
    <w:rsid w:val="002B7839"/>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3">
    <w:name w:val="Tabla con cuadrícula1033"/>
    <w:basedOn w:val="Tablanormal"/>
    <w:next w:val="Tablaconcuadrcula"/>
    <w:uiPriority w:val="59"/>
    <w:rsid w:val="0034064D"/>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6">
    <w:name w:val="Sin lista736"/>
    <w:next w:val="Sinlista"/>
    <w:uiPriority w:val="99"/>
    <w:semiHidden/>
    <w:unhideWhenUsed/>
    <w:rsid w:val="00660393"/>
  </w:style>
  <w:style w:type="table" w:customStyle="1" w:styleId="Tablaconcuadrcula1034">
    <w:name w:val="Tabla con cuadrícula1034"/>
    <w:basedOn w:val="Tablanormal"/>
    <w:next w:val="Tablaconcuadrcula"/>
    <w:uiPriority w:val="59"/>
    <w:rsid w:val="00660393"/>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5">
    <w:name w:val="Tabla con cuadrícula1035"/>
    <w:basedOn w:val="Tablanormal"/>
    <w:next w:val="Tablaconcuadrcula"/>
    <w:rsid w:val="00E75C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6">
    <w:name w:val="Tabla con cuadrícula1036"/>
    <w:basedOn w:val="Tablanormal"/>
    <w:next w:val="Tablaconcuadrcula"/>
    <w:uiPriority w:val="59"/>
    <w:rsid w:val="00F33C9E"/>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7">
    <w:name w:val="Tabla con cuadrícula1037"/>
    <w:basedOn w:val="Tablanormal"/>
    <w:next w:val="Tablaconcuadrcula"/>
    <w:rsid w:val="008A7484"/>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038">
    <w:name w:val="Tabla con cuadrícula1038"/>
    <w:basedOn w:val="Tablanormal"/>
    <w:next w:val="Tablaconcuadrcula"/>
    <w:uiPriority w:val="59"/>
    <w:rsid w:val="006F04B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7">
    <w:name w:val="Sin lista737"/>
    <w:next w:val="Sinlista"/>
    <w:uiPriority w:val="99"/>
    <w:semiHidden/>
    <w:unhideWhenUsed/>
    <w:rsid w:val="00D066A2"/>
  </w:style>
  <w:style w:type="table" w:customStyle="1" w:styleId="Tablaconcuadrcula1039">
    <w:name w:val="Tabla con cuadrícula1039"/>
    <w:basedOn w:val="Tablanormal"/>
    <w:next w:val="Tablaconcuadrcula"/>
    <w:rsid w:val="00D066A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8">
    <w:name w:val="Sin lista738"/>
    <w:next w:val="Sinlista"/>
    <w:uiPriority w:val="99"/>
    <w:semiHidden/>
    <w:unhideWhenUsed/>
    <w:rsid w:val="00240109"/>
  </w:style>
  <w:style w:type="table" w:customStyle="1" w:styleId="Tablaconcuadrcula1040">
    <w:name w:val="Tabla con cuadrícula1040"/>
    <w:basedOn w:val="Tablanormal"/>
    <w:next w:val="Tablaconcuadrcula"/>
    <w:uiPriority w:val="59"/>
    <w:rsid w:val="00240109"/>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1">
    <w:name w:val="Tabla con cuadrícula1041"/>
    <w:basedOn w:val="Tablanormal"/>
    <w:next w:val="Tablaconcuadrcula"/>
    <w:uiPriority w:val="59"/>
    <w:rsid w:val="00D512D5"/>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9">
    <w:name w:val="Sin lista739"/>
    <w:next w:val="Sinlista"/>
    <w:uiPriority w:val="99"/>
    <w:semiHidden/>
    <w:unhideWhenUsed/>
    <w:rsid w:val="002D374F"/>
  </w:style>
  <w:style w:type="table" w:customStyle="1" w:styleId="Tablaconcuadrcula1042">
    <w:name w:val="Tabla con cuadrícula1042"/>
    <w:basedOn w:val="Tablanormal"/>
    <w:next w:val="Tablaconcuadrcula"/>
    <w:uiPriority w:val="59"/>
    <w:rsid w:val="002D374F"/>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3">
    <w:name w:val="Tabla con cuadrícula1043"/>
    <w:basedOn w:val="Tablanormal"/>
    <w:next w:val="Tablaconcuadrcula"/>
    <w:uiPriority w:val="59"/>
    <w:rsid w:val="00851756"/>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4">
    <w:name w:val="Tabla con cuadrícula1044"/>
    <w:basedOn w:val="Tablanormal"/>
    <w:next w:val="Tablaconcuadrcula"/>
    <w:rsid w:val="00356A1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5">
    <w:name w:val="Tabla con cuadrícula1045"/>
    <w:basedOn w:val="Tablanormal"/>
    <w:next w:val="Tablaconcuadrcula"/>
    <w:uiPriority w:val="59"/>
    <w:rsid w:val="00AD225D"/>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6">
    <w:name w:val="Tabla con cuadrícula1046"/>
    <w:basedOn w:val="Tablanormal"/>
    <w:next w:val="Tablaconcuadrcula"/>
    <w:uiPriority w:val="59"/>
    <w:rsid w:val="00AD225D"/>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7">
    <w:name w:val="Tabla con cuadrícula1047"/>
    <w:basedOn w:val="Tablanormal"/>
    <w:next w:val="Tablaconcuadrcula"/>
    <w:uiPriority w:val="59"/>
    <w:rsid w:val="009B3F4A"/>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3">
    <w:name w:val="1 / 1.1 / 1.1.1143"/>
    <w:basedOn w:val="Sinlista"/>
    <w:next w:val="111111"/>
    <w:rsid w:val="00A77BB9"/>
  </w:style>
  <w:style w:type="table" w:customStyle="1" w:styleId="Tablaconcuadrcula10331">
    <w:name w:val="Tabla con cuadrícula10331"/>
    <w:basedOn w:val="Tablanormal"/>
    <w:next w:val="Tablaconcuadrcula3"/>
    <w:uiPriority w:val="59"/>
    <w:rsid w:val="00A77BB9"/>
    <w:pPr>
      <w:ind w:right="170"/>
      <w:jc w:val="right"/>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11">
    <w:name w:val="Tabla con cuadrícula10411"/>
    <w:basedOn w:val="Tablanormal"/>
    <w:uiPriority w:val="59"/>
    <w:rsid w:val="00A77BB9"/>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0">
    <w:name w:val="Sin lista740"/>
    <w:next w:val="Sinlista"/>
    <w:uiPriority w:val="99"/>
    <w:semiHidden/>
    <w:unhideWhenUsed/>
    <w:rsid w:val="00B208D9"/>
  </w:style>
  <w:style w:type="table" w:customStyle="1" w:styleId="Tablaconcuadrcula1048">
    <w:name w:val="Tabla con cuadrícula1048"/>
    <w:basedOn w:val="Tablanormal"/>
    <w:next w:val="Tablaconcuadrcula"/>
    <w:uiPriority w:val="59"/>
    <w:rsid w:val="00B208D9"/>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4">
    <w:name w:val="Sin lista744"/>
    <w:next w:val="Sinlista"/>
    <w:uiPriority w:val="99"/>
    <w:semiHidden/>
    <w:unhideWhenUsed/>
    <w:rsid w:val="00336652"/>
  </w:style>
  <w:style w:type="table" w:customStyle="1" w:styleId="Tablaconcuadrcula1049">
    <w:name w:val="Tabla con cuadrícula1049"/>
    <w:basedOn w:val="Tablanormal"/>
    <w:next w:val="Tablaconcuadrcula"/>
    <w:uiPriority w:val="59"/>
    <w:rsid w:val="00336652"/>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5">
    <w:name w:val="Sin lista745"/>
    <w:next w:val="Sinlista"/>
    <w:uiPriority w:val="99"/>
    <w:semiHidden/>
    <w:unhideWhenUsed/>
    <w:rsid w:val="00BE3853"/>
  </w:style>
  <w:style w:type="table" w:customStyle="1" w:styleId="Tablaconcuadrcula1050">
    <w:name w:val="Tabla con cuadrícula1050"/>
    <w:basedOn w:val="Tablanormal"/>
    <w:next w:val="Tablaconcuadrcula"/>
    <w:uiPriority w:val="59"/>
    <w:rsid w:val="00BE3853"/>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1">
    <w:name w:val="Tabla con cuadrícula1051"/>
    <w:basedOn w:val="Tablanormal"/>
    <w:next w:val="Tablaconcuadrcula"/>
    <w:uiPriority w:val="59"/>
    <w:rsid w:val="0096519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2">
    <w:name w:val="Tabla con cuadrícula1052"/>
    <w:basedOn w:val="Tablanormal"/>
    <w:next w:val="Tablaconcuadrcula"/>
    <w:uiPriority w:val="59"/>
    <w:rsid w:val="004A362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71">
    <w:name w:val="Tabla con cuadrícula9371"/>
    <w:basedOn w:val="Tablanormal"/>
    <w:next w:val="Tablaconcuadrcula"/>
    <w:rsid w:val="004A362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81">
    <w:name w:val="Tabla con cuadrícula9381"/>
    <w:basedOn w:val="Tablanormal"/>
    <w:next w:val="Tablaconcuadrcula"/>
    <w:rsid w:val="004A362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3">
    <w:name w:val="Tabla con cuadrícula1053"/>
    <w:basedOn w:val="Tablanormal"/>
    <w:next w:val="Tablaconcuadrcula"/>
    <w:uiPriority w:val="59"/>
    <w:rsid w:val="00E96725"/>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4">
    <w:name w:val="Tabla con cuadrícula1054"/>
    <w:basedOn w:val="Tablanormal"/>
    <w:next w:val="Tablaconcuadrcula"/>
    <w:uiPriority w:val="59"/>
    <w:rsid w:val="00E96725"/>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5">
    <w:name w:val="Tabla con cuadrícula1055"/>
    <w:basedOn w:val="Tablanormal"/>
    <w:next w:val="Tablaconcuadrcula"/>
    <w:uiPriority w:val="59"/>
    <w:rsid w:val="0061426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6">
    <w:name w:val="Tabla con cuadrícula1056"/>
    <w:basedOn w:val="Tablanormal"/>
    <w:next w:val="Tablaconcuadrcula"/>
    <w:uiPriority w:val="59"/>
    <w:rsid w:val="00C919D0"/>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7">
    <w:name w:val="Tabla con cuadrícula1057"/>
    <w:basedOn w:val="Tablanormal"/>
    <w:next w:val="Tablaconcuadrcula"/>
    <w:uiPriority w:val="59"/>
    <w:rsid w:val="004B70A5"/>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8">
    <w:name w:val="Tabla con cuadrícula1058"/>
    <w:basedOn w:val="Tablanormal"/>
    <w:next w:val="Tablaconcuadrcula"/>
    <w:rsid w:val="00EF118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9">
    <w:name w:val="Tabla con cuadrícula1059"/>
    <w:basedOn w:val="Tablanormal"/>
    <w:next w:val="Tablaconcuadrcula"/>
    <w:uiPriority w:val="59"/>
    <w:rsid w:val="001C4D2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60">
    <w:name w:val="Tabla con cuadrícula1060"/>
    <w:basedOn w:val="Tablanormal"/>
    <w:next w:val="Tablaconcuadrcula"/>
    <w:rsid w:val="00C4178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6">
    <w:name w:val="Sin lista746"/>
    <w:next w:val="Sinlista"/>
    <w:uiPriority w:val="99"/>
    <w:semiHidden/>
    <w:unhideWhenUsed/>
    <w:rsid w:val="005F5DD4"/>
  </w:style>
  <w:style w:type="table" w:customStyle="1" w:styleId="Tablaconcuadrcula1061">
    <w:name w:val="Tabla con cuadrícula1061"/>
    <w:basedOn w:val="Tablanormal"/>
    <w:next w:val="Tablaconcuadrcula"/>
    <w:uiPriority w:val="59"/>
    <w:rsid w:val="00BA147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62">
    <w:name w:val="Tabla con cuadrícula1062"/>
    <w:basedOn w:val="Tablanormal"/>
    <w:next w:val="Tablaconcuadrcula"/>
    <w:uiPriority w:val="59"/>
    <w:rsid w:val="009D2E0A"/>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aconcuadrcula1063">
    <w:name w:val="Tabla con cuadrícula1063"/>
    <w:basedOn w:val="Tablanormal"/>
    <w:next w:val="Tablaconcuadrcula"/>
    <w:uiPriority w:val="59"/>
    <w:rsid w:val="009D2E0A"/>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aconcuadrcula1064">
    <w:name w:val="Tabla con cuadrícula1064"/>
    <w:basedOn w:val="Tablanormal"/>
    <w:next w:val="Tablaconcuadrcula"/>
    <w:uiPriority w:val="59"/>
    <w:rsid w:val="0000391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65">
    <w:name w:val="Tabla con cuadrícula1065"/>
    <w:basedOn w:val="Tablanormal"/>
    <w:next w:val="Tablaconcuadrcula"/>
    <w:uiPriority w:val="59"/>
    <w:rsid w:val="008B6B0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66">
    <w:name w:val="Tabla con cuadrícula1066"/>
    <w:basedOn w:val="Tablanormal"/>
    <w:next w:val="Tablaconcuadrcula"/>
    <w:uiPriority w:val="59"/>
    <w:rsid w:val="006508B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67">
    <w:name w:val="Tabla con cuadrícula1067"/>
    <w:basedOn w:val="Tablanormal"/>
    <w:next w:val="Tablaconcuadrcula"/>
    <w:uiPriority w:val="59"/>
    <w:rsid w:val="00BD583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7">
    <w:name w:val="Sin lista747"/>
    <w:next w:val="Sinlista"/>
    <w:uiPriority w:val="99"/>
    <w:semiHidden/>
    <w:unhideWhenUsed/>
    <w:rsid w:val="00797820"/>
  </w:style>
  <w:style w:type="table" w:customStyle="1" w:styleId="Tablaconcuadrcula1068">
    <w:name w:val="Tabla con cuadrícula1068"/>
    <w:basedOn w:val="Tablanormal"/>
    <w:next w:val="Tablaconcuadrcula"/>
    <w:uiPriority w:val="59"/>
    <w:rsid w:val="00797820"/>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69">
    <w:name w:val="Tabla con cuadrícula1069"/>
    <w:basedOn w:val="Tablanormal"/>
    <w:next w:val="Tablaconcuadrcula"/>
    <w:uiPriority w:val="59"/>
    <w:rsid w:val="005F2080"/>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8">
    <w:name w:val="Sin lista748"/>
    <w:next w:val="Sinlista"/>
    <w:uiPriority w:val="99"/>
    <w:semiHidden/>
    <w:unhideWhenUsed/>
    <w:rsid w:val="006B3051"/>
  </w:style>
  <w:style w:type="table" w:customStyle="1" w:styleId="Tablaconcuadrcula1070">
    <w:name w:val="Tabla con cuadrícula1070"/>
    <w:basedOn w:val="Tablanormal"/>
    <w:next w:val="Tablaconcuadrcula"/>
    <w:rsid w:val="006B305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670">
    <w:name w:val="Tabla con cuadrícula 167"/>
    <w:basedOn w:val="Tablanormal"/>
    <w:next w:val="Tablaconcuadrcula10"/>
    <w:rsid w:val="006B3051"/>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071">
    <w:name w:val="Tabla con cuadrícula1071"/>
    <w:basedOn w:val="Tablanormal"/>
    <w:next w:val="Tablaconcuadrcula"/>
    <w:uiPriority w:val="59"/>
    <w:rsid w:val="00F3624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2">
    <w:name w:val="Tabla con cuadrícula1072"/>
    <w:basedOn w:val="Tablanormal"/>
    <w:next w:val="Tablaconcuadrcula"/>
    <w:uiPriority w:val="59"/>
    <w:rsid w:val="00EC225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9">
    <w:name w:val="Sin lista749"/>
    <w:next w:val="Sinlista"/>
    <w:uiPriority w:val="99"/>
    <w:semiHidden/>
    <w:unhideWhenUsed/>
    <w:rsid w:val="007B0BDD"/>
  </w:style>
  <w:style w:type="table" w:customStyle="1" w:styleId="Tablaconcuadrcula1073">
    <w:name w:val="Tabla con cuadrícula1073"/>
    <w:basedOn w:val="Tablanormal"/>
    <w:next w:val="Tablaconcuadrcula"/>
    <w:rsid w:val="007B0BD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4">
    <w:name w:val="Tabla con cuadrícula1074"/>
    <w:basedOn w:val="Tablanormal"/>
    <w:next w:val="Tablaconcuadrcula"/>
    <w:uiPriority w:val="59"/>
    <w:rsid w:val="001D45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00">
    <w:name w:val="Tabla con cuadrícula1120"/>
    <w:basedOn w:val="Tablanormal"/>
    <w:next w:val="Tablaconcuadrcula"/>
    <w:uiPriority w:val="59"/>
    <w:rsid w:val="001D459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50">
    <w:name w:val="Sin lista750"/>
    <w:next w:val="Sinlista"/>
    <w:uiPriority w:val="99"/>
    <w:semiHidden/>
    <w:unhideWhenUsed/>
    <w:rsid w:val="008A2D5E"/>
  </w:style>
  <w:style w:type="table" w:customStyle="1" w:styleId="Tablaconcuadrcula1075">
    <w:name w:val="Tabla con cuadrícula1075"/>
    <w:basedOn w:val="Tablanormal"/>
    <w:next w:val="Tablaconcuadrcula"/>
    <w:rsid w:val="008A2D5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acterStyle2">
    <w:name w:val="Character Style 2"/>
    <w:uiPriority w:val="99"/>
    <w:rsid w:val="008A2D5E"/>
    <w:rPr>
      <w:sz w:val="20"/>
      <w:szCs w:val="20"/>
    </w:rPr>
  </w:style>
  <w:style w:type="numbering" w:customStyle="1" w:styleId="Sinlista1109">
    <w:name w:val="Sin lista1109"/>
    <w:next w:val="Sinlista"/>
    <w:semiHidden/>
    <w:rsid w:val="008A2D5E"/>
  </w:style>
  <w:style w:type="table" w:customStyle="1" w:styleId="Tablaconcuadrcula1076">
    <w:name w:val="Tabla con cuadrícula1076"/>
    <w:basedOn w:val="Tablanormal"/>
    <w:next w:val="Tablaconcuadrcula"/>
    <w:rsid w:val="0070352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7">
    <w:name w:val="Tabla con cuadrícula1077"/>
    <w:basedOn w:val="Tablanormal"/>
    <w:next w:val="Tablaconcuadrcula"/>
    <w:uiPriority w:val="59"/>
    <w:rsid w:val="007810C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8">
    <w:name w:val="Tabla con cuadrícula1078"/>
    <w:basedOn w:val="Tablanormal"/>
    <w:next w:val="Tablaconcuadrcula"/>
    <w:rsid w:val="000E531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9">
    <w:name w:val="Tabla con cuadrícula1079"/>
    <w:basedOn w:val="Tablanormal"/>
    <w:next w:val="Tablaconcuadrcula"/>
    <w:rsid w:val="001800E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0">
    <w:name w:val="Tabla con cuadrícula1080"/>
    <w:basedOn w:val="Tablanormal"/>
    <w:next w:val="Tablaconcuadrcula"/>
    <w:rsid w:val="00A8657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1">
    <w:name w:val="Tabla con cuadrícula1081"/>
    <w:basedOn w:val="Tablanormal"/>
    <w:next w:val="Tablaconcuadrcula"/>
    <w:uiPriority w:val="59"/>
    <w:rsid w:val="00394060"/>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54">
    <w:name w:val="Sin lista754"/>
    <w:next w:val="Sinlista"/>
    <w:uiPriority w:val="99"/>
    <w:semiHidden/>
    <w:unhideWhenUsed/>
    <w:rsid w:val="00275B34"/>
  </w:style>
  <w:style w:type="table" w:customStyle="1" w:styleId="Tablaconcuadrcula1082">
    <w:name w:val="Tabla con cuadrícula1082"/>
    <w:basedOn w:val="Tablanormal"/>
    <w:next w:val="Tablaconcuadrcula"/>
    <w:uiPriority w:val="59"/>
    <w:rsid w:val="00275B3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55">
    <w:name w:val="Sin lista755"/>
    <w:next w:val="Sinlista"/>
    <w:uiPriority w:val="99"/>
    <w:semiHidden/>
    <w:unhideWhenUsed/>
    <w:rsid w:val="00193BBE"/>
  </w:style>
  <w:style w:type="table" w:customStyle="1" w:styleId="Tablaconcuadrcula1083">
    <w:name w:val="Tabla con cuadrícula1083"/>
    <w:basedOn w:val="Tablanormal"/>
    <w:next w:val="Tablaconcuadrcula"/>
    <w:uiPriority w:val="59"/>
    <w:rsid w:val="00193BB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1">
    <w:name w:val="Tabla con cuadrícula1121"/>
    <w:basedOn w:val="Tablanormal"/>
    <w:rsid w:val="00193BBE"/>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4">
    <w:name w:val="Tabla con cuadrícula1084"/>
    <w:basedOn w:val="Tablanormal"/>
    <w:next w:val="Tablaconcuadrcula"/>
    <w:rsid w:val="00A4410D"/>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2">
    <w:name w:val="Tabla con cuadrícula1122"/>
    <w:basedOn w:val="Tablanormal"/>
    <w:uiPriority w:val="59"/>
    <w:rsid w:val="00A4410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5">
    <w:name w:val="Tabla con cuadrícula1085"/>
    <w:basedOn w:val="Tablanormal"/>
    <w:next w:val="Tablaconcuadrcula"/>
    <w:uiPriority w:val="59"/>
    <w:rsid w:val="00F76C7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56">
    <w:name w:val="Sin lista756"/>
    <w:next w:val="Sinlista"/>
    <w:uiPriority w:val="99"/>
    <w:semiHidden/>
    <w:unhideWhenUsed/>
    <w:rsid w:val="00F54759"/>
  </w:style>
  <w:style w:type="table" w:customStyle="1" w:styleId="Tablaconcuadrcula1086">
    <w:name w:val="Tabla con cuadrícula1086"/>
    <w:basedOn w:val="Tablanormal"/>
    <w:next w:val="Tablaconcuadrcula"/>
    <w:uiPriority w:val="59"/>
    <w:rsid w:val="00F5475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57">
    <w:name w:val="Sin lista757"/>
    <w:next w:val="Sinlista"/>
    <w:uiPriority w:val="99"/>
    <w:semiHidden/>
    <w:unhideWhenUsed/>
    <w:rsid w:val="00195739"/>
  </w:style>
  <w:style w:type="table" w:customStyle="1" w:styleId="Tablaconcuadrcula1087">
    <w:name w:val="Tabla con cuadrícula1087"/>
    <w:basedOn w:val="Tablanormal"/>
    <w:next w:val="Tablaconcuadrcula"/>
    <w:uiPriority w:val="59"/>
    <w:rsid w:val="0019573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8">
    <w:name w:val="Tabla con cuadrícula1088"/>
    <w:basedOn w:val="Tablanormal"/>
    <w:next w:val="Tablaconcuadrcula"/>
    <w:uiPriority w:val="59"/>
    <w:rsid w:val="0010166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9">
    <w:name w:val="Tabla con cuadrícula1089"/>
    <w:basedOn w:val="Tablanormal"/>
    <w:next w:val="Tablaconcuadrcula"/>
    <w:uiPriority w:val="59"/>
    <w:rsid w:val="00C93D2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0">
    <w:name w:val="Tabla con cuadrícula1090"/>
    <w:basedOn w:val="Tablanormal"/>
    <w:next w:val="Tablaconcuadrcula"/>
    <w:uiPriority w:val="59"/>
    <w:rsid w:val="00E525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1">
    <w:name w:val="Tabla con cuadrícula1091"/>
    <w:basedOn w:val="Tablanormal"/>
    <w:next w:val="Tablaconcuadrcula"/>
    <w:uiPriority w:val="59"/>
    <w:rsid w:val="00E525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2">
    <w:name w:val="Tabla con cuadrícula1092"/>
    <w:basedOn w:val="Tablanormal"/>
    <w:next w:val="Tablaconcuadrcula"/>
    <w:uiPriority w:val="59"/>
    <w:rsid w:val="00E525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3">
    <w:name w:val="Tabla con cuadrícula1093"/>
    <w:basedOn w:val="Tablanormal"/>
    <w:next w:val="Tablaconcuadrcula"/>
    <w:uiPriority w:val="59"/>
    <w:rsid w:val="00A57C73"/>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4">
    <w:name w:val="Tabla con cuadrícula1094"/>
    <w:basedOn w:val="Tablanormal"/>
    <w:next w:val="Tablaconcuadrcula"/>
    <w:uiPriority w:val="59"/>
    <w:rsid w:val="00B01DE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72">
    <w:name w:val="Tabla con cuadrícula9372"/>
    <w:basedOn w:val="Tablanormal"/>
    <w:next w:val="Tablaconcuadrcula"/>
    <w:rsid w:val="00B01DE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82">
    <w:name w:val="Tabla con cuadrícula9382"/>
    <w:basedOn w:val="Tablanormal"/>
    <w:next w:val="Tablaconcuadrcula"/>
    <w:rsid w:val="00B01DE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5">
    <w:name w:val="Tabla con cuadrícula1095"/>
    <w:basedOn w:val="Tablanormal"/>
    <w:next w:val="Tablaconcuadrcula"/>
    <w:uiPriority w:val="59"/>
    <w:rsid w:val="00527AE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58">
    <w:name w:val="Sin lista758"/>
    <w:next w:val="Sinlista"/>
    <w:uiPriority w:val="99"/>
    <w:semiHidden/>
    <w:unhideWhenUsed/>
    <w:rsid w:val="006D239F"/>
  </w:style>
  <w:style w:type="numbering" w:customStyle="1" w:styleId="Sinlista1116">
    <w:name w:val="Sin lista1116"/>
    <w:next w:val="Sinlista"/>
    <w:uiPriority w:val="99"/>
    <w:semiHidden/>
    <w:unhideWhenUsed/>
    <w:rsid w:val="006D239F"/>
  </w:style>
  <w:style w:type="table" w:customStyle="1" w:styleId="Tablaconcuadrcula1096">
    <w:name w:val="Tabla con cuadrícula1096"/>
    <w:basedOn w:val="Tablanormal"/>
    <w:next w:val="Tablaconcuadrcula"/>
    <w:uiPriority w:val="59"/>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4">
    <w:name w:val="Tabla con cuadrícula1604"/>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3">
    <w:name w:val="Tabla con cuadrícula1123"/>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03">
    <w:name w:val="Tabla con cuadrícula2103"/>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6">
    <w:name w:val="Tabla con cuadrícula2116"/>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6">
    <w:name w:val="Tabla con cuadrícula2216"/>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6">
    <w:name w:val="Tabla con cuadrícula2316"/>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17">
    <w:name w:val="Sin lista1117"/>
    <w:next w:val="Sinlista"/>
    <w:semiHidden/>
    <w:unhideWhenUsed/>
    <w:rsid w:val="006D239F"/>
  </w:style>
  <w:style w:type="table" w:customStyle="1" w:styleId="Tablaconcuadrcula3102">
    <w:name w:val="Tabla con cuadrícula3102"/>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2100">
    <w:name w:val="Sin lista2100"/>
    <w:next w:val="Sinlista"/>
    <w:semiHidden/>
    <w:unhideWhenUsed/>
    <w:rsid w:val="006D239F"/>
  </w:style>
  <w:style w:type="table" w:customStyle="1" w:styleId="Tablaconcuadrcula4102">
    <w:name w:val="Tabla con cuadrícula4102"/>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bsica14">
    <w:name w:val="Tabla básica 14"/>
    <w:basedOn w:val="Tablanormal"/>
    <w:next w:val="Tablabsica1"/>
    <w:rsid w:val="006D239F"/>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8">
    <w:name w:val="Sin lista1118"/>
    <w:next w:val="Sinlista"/>
    <w:semiHidden/>
    <w:rsid w:val="006D239F"/>
  </w:style>
  <w:style w:type="table" w:customStyle="1" w:styleId="Tablaconcuadrcula1124">
    <w:name w:val="Tabla con cuadrícula1124"/>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80">
    <w:name w:val="Tabla con cuadrícula 168"/>
    <w:basedOn w:val="Tablanormal"/>
    <w:next w:val="Tablaconcuadrcula10"/>
    <w:rsid w:val="006D239F"/>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MapadeldocumentoCar">
    <w:name w:val="Mapa del documento Car"/>
    <w:basedOn w:val="Fuentedeprrafopredeter"/>
    <w:link w:val="Mapadeldocumento"/>
    <w:uiPriority w:val="99"/>
    <w:semiHidden/>
    <w:rsid w:val="006D239F"/>
    <w:rPr>
      <w:rFonts w:ascii="Tahoma" w:hAnsi="Tahoma" w:cs="Tahoma"/>
      <w:shd w:val="clear" w:color="auto" w:fill="000080"/>
      <w:lang w:eastAsia="es-ES"/>
    </w:rPr>
  </w:style>
  <w:style w:type="character" w:customStyle="1" w:styleId="Textoindependiente3Car">
    <w:name w:val="Texto independiente 3 Car"/>
    <w:basedOn w:val="Fuentedeprrafopredeter"/>
    <w:link w:val="Textoindependiente3"/>
    <w:uiPriority w:val="99"/>
    <w:rsid w:val="006D239F"/>
    <w:rPr>
      <w:sz w:val="16"/>
      <w:szCs w:val="26"/>
      <w:lang w:val="es-ES" w:eastAsia="es-ES"/>
    </w:rPr>
  </w:style>
  <w:style w:type="table" w:customStyle="1" w:styleId="Tablaconcuadrcula1905">
    <w:name w:val="Tabla con cuadrícula1905"/>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4">
    <w:name w:val="Tabla con cuadrícula2934"/>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02">
    <w:name w:val="Tabla con cuadrícula5102"/>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6101">
    <w:name w:val="Tabla con cuadrícula6101"/>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00">
    <w:name w:val="Sin lista3100"/>
    <w:next w:val="Sinlista"/>
    <w:semiHidden/>
    <w:unhideWhenUsed/>
    <w:rsid w:val="006D239F"/>
  </w:style>
  <w:style w:type="table" w:customStyle="1" w:styleId="Tablaconcuadrcula7100">
    <w:name w:val="Tabla con cuadrícula7100"/>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824">
    <w:name w:val="Tabla con cuadrícula1824"/>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0">
    <w:name w:val="Tabla con cuadrícula5110"/>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00">
    <w:name w:val="Sin lista4100"/>
    <w:next w:val="Sinlista"/>
    <w:semiHidden/>
    <w:rsid w:val="006D239F"/>
  </w:style>
  <w:style w:type="table" w:customStyle="1" w:styleId="Tablaconcuadrcula19011">
    <w:name w:val="Tabla con cuadrícula19011"/>
    <w:basedOn w:val="Tablanormal"/>
    <w:next w:val="Tablaconcuadrcula"/>
    <w:rsid w:val="006D239F"/>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100">
    <w:name w:val="Tabla con cuadrícula8100"/>
    <w:basedOn w:val="Tablanormal"/>
    <w:next w:val="Tablaconcuadrcula"/>
    <w:rsid w:val="006D239F"/>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100">
    <w:name w:val="Sin lista5100"/>
    <w:next w:val="Sinlista"/>
    <w:semiHidden/>
    <w:unhideWhenUsed/>
    <w:rsid w:val="006D239F"/>
  </w:style>
  <w:style w:type="numbering" w:customStyle="1" w:styleId="Sinlista1216">
    <w:name w:val="Sin lista1216"/>
    <w:next w:val="Sinlista"/>
    <w:semiHidden/>
    <w:rsid w:val="006D239F"/>
  </w:style>
  <w:style w:type="character" w:customStyle="1" w:styleId="Sangra3detindependienteCar">
    <w:name w:val="Sangría 3 de t. independiente Car"/>
    <w:basedOn w:val="Fuentedeprrafopredeter"/>
    <w:link w:val="Sangra3detindependiente"/>
    <w:uiPriority w:val="99"/>
    <w:rsid w:val="006D239F"/>
    <w:rPr>
      <w:sz w:val="16"/>
      <w:szCs w:val="16"/>
      <w:lang w:val="en-GB" w:eastAsia="en-US"/>
    </w:rPr>
  </w:style>
  <w:style w:type="character" w:customStyle="1" w:styleId="SaludoCar">
    <w:name w:val="Saludo Car"/>
    <w:basedOn w:val="Fuentedeprrafopredeter"/>
    <w:link w:val="Saludo"/>
    <w:uiPriority w:val="99"/>
    <w:rsid w:val="006D239F"/>
    <w:rPr>
      <w:sz w:val="24"/>
      <w:szCs w:val="24"/>
      <w:lang w:val="en-GB" w:eastAsia="en-US"/>
    </w:rPr>
  </w:style>
  <w:style w:type="character" w:customStyle="1" w:styleId="FechaCar">
    <w:name w:val="Fecha Car"/>
    <w:basedOn w:val="Fuentedeprrafopredeter"/>
    <w:link w:val="Fecha"/>
    <w:uiPriority w:val="99"/>
    <w:rsid w:val="006D239F"/>
    <w:rPr>
      <w:sz w:val="24"/>
      <w:szCs w:val="24"/>
      <w:lang w:val="en-GB" w:eastAsia="en-US"/>
    </w:rPr>
  </w:style>
  <w:style w:type="character" w:customStyle="1" w:styleId="z-PrincipiodelformularioCar">
    <w:name w:val="z-Principio del formulario Car"/>
    <w:basedOn w:val="Fuentedeprrafopredeter"/>
    <w:link w:val="z-Principiodelformulario"/>
    <w:uiPriority w:val="99"/>
    <w:rsid w:val="006D239F"/>
    <w:rPr>
      <w:rFonts w:ascii="Arial" w:hAnsi="Arial" w:cs="Arial"/>
      <w:vanish/>
      <w:sz w:val="16"/>
      <w:szCs w:val="16"/>
      <w:lang w:val="es-ES" w:eastAsia="es-ES"/>
    </w:rPr>
  </w:style>
  <w:style w:type="character" w:customStyle="1" w:styleId="z-FinaldelformularioCar">
    <w:name w:val="z-Final del formulario Car"/>
    <w:basedOn w:val="Fuentedeprrafopredeter"/>
    <w:link w:val="z-Finaldelformulario"/>
    <w:uiPriority w:val="99"/>
    <w:rsid w:val="006D239F"/>
    <w:rPr>
      <w:rFonts w:ascii="Arial" w:hAnsi="Arial" w:cs="Arial"/>
      <w:vanish/>
      <w:sz w:val="16"/>
      <w:szCs w:val="16"/>
      <w:lang w:val="es-ES" w:eastAsia="es-ES"/>
    </w:rPr>
  </w:style>
  <w:style w:type="character" w:customStyle="1" w:styleId="HTMLconformatoprevioCar">
    <w:name w:val="HTML con formato previo Car"/>
    <w:basedOn w:val="Fuentedeprrafopredeter"/>
    <w:link w:val="HTMLconformatoprevio"/>
    <w:uiPriority w:val="99"/>
    <w:rsid w:val="006D239F"/>
    <w:rPr>
      <w:rFonts w:ascii="Courier New" w:hAnsi="Courier New" w:cs="Courier New"/>
      <w:lang w:val="es-ES" w:eastAsia="es-ES"/>
    </w:rPr>
  </w:style>
  <w:style w:type="character" w:customStyle="1" w:styleId="Textoindependienteprimerasangra2Car">
    <w:name w:val="Texto independiente primera sangría 2 Car"/>
    <w:basedOn w:val="SangradetextonormalCar"/>
    <w:link w:val="Textoindependienteprimerasangra2"/>
    <w:uiPriority w:val="99"/>
    <w:rsid w:val="006D239F"/>
    <w:rPr>
      <w:rFonts w:eastAsia="SimSun"/>
      <w:sz w:val="24"/>
      <w:szCs w:val="24"/>
      <w:lang w:val="es-ES" w:eastAsia="es-ES" w:bidi="ar-SA"/>
    </w:rPr>
  </w:style>
  <w:style w:type="character" w:customStyle="1" w:styleId="TextocomentarioCar">
    <w:name w:val="Texto comentario Car"/>
    <w:basedOn w:val="Fuentedeprrafopredeter"/>
    <w:link w:val="Textocomentario"/>
    <w:uiPriority w:val="99"/>
    <w:rsid w:val="006D239F"/>
    <w:rPr>
      <w:rFonts w:eastAsia="Arial Unicode MS"/>
      <w:lang w:val="es-ES_tradnl" w:eastAsia="ar-SA"/>
    </w:rPr>
  </w:style>
  <w:style w:type="character" w:customStyle="1" w:styleId="AsuntodelcomentarioCar">
    <w:name w:val="Asunto del comentario Car"/>
    <w:basedOn w:val="TextocomentarioCar"/>
    <w:link w:val="Asuntodelcomentario"/>
    <w:uiPriority w:val="99"/>
    <w:semiHidden/>
    <w:rsid w:val="006D239F"/>
    <w:rPr>
      <w:rFonts w:eastAsia="Arial Unicode MS"/>
      <w:b/>
      <w:bCs/>
      <w:lang w:val="es-ES_tradnl" w:eastAsia="ar-SA"/>
    </w:rPr>
  </w:style>
  <w:style w:type="numbering" w:customStyle="1" w:styleId="Sinlista6100">
    <w:name w:val="Sin lista6100"/>
    <w:next w:val="Sinlista"/>
    <w:semiHidden/>
    <w:unhideWhenUsed/>
    <w:rsid w:val="006D239F"/>
  </w:style>
  <w:style w:type="table" w:customStyle="1" w:styleId="Tablaconcuadrcula9100">
    <w:name w:val="Tabla con cuadrícula9100"/>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759">
    <w:name w:val="Sin lista759"/>
    <w:next w:val="Sinlista"/>
    <w:semiHidden/>
    <w:unhideWhenUsed/>
    <w:rsid w:val="006D239F"/>
  </w:style>
  <w:style w:type="table" w:customStyle="1" w:styleId="Tablaconcuadrcula1097">
    <w:name w:val="Tabla con cuadrícula1097"/>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216">
    <w:name w:val="Tabla con cuadrícula1216"/>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100">
    <w:name w:val="Tabla con cuadrícula13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6">
    <w:name w:val="Sin lista816"/>
    <w:next w:val="Sinlista"/>
    <w:semiHidden/>
    <w:unhideWhenUsed/>
    <w:rsid w:val="006D239F"/>
  </w:style>
  <w:style w:type="table" w:customStyle="1" w:styleId="Tablaconcuadrcula14100">
    <w:name w:val="Tabla con cuadrícula1410"/>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916">
    <w:name w:val="Sin lista916"/>
    <w:next w:val="Sinlista"/>
    <w:semiHidden/>
    <w:rsid w:val="006D239F"/>
  </w:style>
  <w:style w:type="numbering" w:customStyle="1" w:styleId="Sinlista1016">
    <w:name w:val="Sin lista1016"/>
    <w:next w:val="Sinlista"/>
    <w:semiHidden/>
    <w:unhideWhenUsed/>
    <w:rsid w:val="006D239F"/>
  </w:style>
  <w:style w:type="numbering" w:customStyle="1" w:styleId="Sinlista1316">
    <w:name w:val="Sin lista1316"/>
    <w:next w:val="Sinlista"/>
    <w:semiHidden/>
    <w:rsid w:val="006D239F"/>
  </w:style>
  <w:style w:type="table" w:customStyle="1" w:styleId="Tablaconcuadrcula5210">
    <w:name w:val="Tabla con cuadrícula5210"/>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60">
    <w:name w:val="Tabla con cuadrícula1516"/>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6">
    <w:name w:val="Sin lista1416"/>
    <w:next w:val="Sinlista"/>
    <w:semiHidden/>
    <w:rsid w:val="006D239F"/>
  </w:style>
  <w:style w:type="table" w:customStyle="1" w:styleId="Tablaconcuadrcula16100">
    <w:name w:val="Tabla con cuadrícula16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15">
    <w:name w:val="Sin lista1515"/>
    <w:next w:val="Sinlista"/>
    <w:semiHidden/>
    <w:rsid w:val="006D239F"/>
  </w:style>
  <w:style w:type="table" w:customStyle="1" w:styleId="Tablaconcuadrcula1710">
    <w:name w:val="Tabla con cuadrícula1710"/>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610">
    <w:name w:val="Sin lista1610"/>
    <w:next w:val="Sinlista"/>
    <w:semiHidden/>
    <w:rsid w:val="006D239F"/>
  </w:style>
  <w:style w:type="table" w:customStyle="1" w:styleId="Tablaconcuadrcula1810">
    <w:name w:val="Tabla con cuadrícula18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16">
    <w:name w:val="Tabla con cuadrícula1916"/>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10">
    <w:name w:val="Sin lista1710"/>
    <w:next w:val="Sinlista"/>
    <w:semiHidden/>
    <w:rsid w:val="006D239F"/>
  </w:style>
  <w:style w:type="table" w:customStyle="1" w:styleId="Tablaconcuadrcula2010">
    <w:name w:val="Tabla con cuadrícula20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810">
    <w:name w:val="Sin lista1810"/>
    <w:next w:val="Sinlista"/>
    <w:semiHidden/>
    <w:rsid w:val="006D239F"/>
  </w:style>
  <w:style w:type="table" w:customStyle="1" w:styleId="Tablaconcuadrcula11010">
    <w:name w:val="Tabla con cuadrícula11010"/>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6">
    <w:name w:val="1 / 1.1 / 1.1.16"/>
    <w:basedOn w:val="Sinlista"/>
    <w:next w:val="111111"/>
    <w:rsid w:val="006D239F"/>
  </w:style>
  <w:style w:type="numbering" w:customStyle="1" w:styleId="Sinlista1910">
    <w:name w:val="Sin lista1910"/>
    <w:next w:val="Sinlista"/>
    <w:semiHidden/>
    <w:unhideWhenUsed/>
    <w:rsid w:val="006D239F"/>
  </w:style>
  <w:style w:type="table" w:customStyle="1" w:styleId="Tablaconcuadrcula2074">
    <w:name w:val="Tabla con cuadrícula2074"/>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10">
    <w:name w:val="Tabla con cuadrícula24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16">
    <w:name w:val="Tabla con cuadrícula2516"/>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7">
    <w:name w:val="Tabla con cuadrícula2617"/>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717">
    <w:name w:val="Tabla con cuadrícula2717"/>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10">
    <w:name w:val="Tabla con cuadrícula2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10">
    <w:name w:val="Sin lista2010"/>
    <w:next w:val="Sinlista"/>
    <w:semiHidden/>
    <w:rsid w:val="006D239F"/>
  </w:style>
  <w:style w:type="table" w:customStyle="1" w:styleId="Tablaconcuadrcula2910">
    <w:name w:val="Tabla con cuadrícula29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010">
    <w:name w:val="Tabla con cuadrícula30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30">
    <w:name w:val="Tabla con cuadrícula 1113"/>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2110">
    <w:name w:val="Sin lista2110"/>
    <w:next w:val="Sinlista"/>
    <w:semiHidden/>
    <w:rsid w:val="006D239F"/>
  </w:style>
  <w:style w:type="table" w:customStyle="1" w:styleId="Tablaconcuadrcula12101">
    <w:name w:val="Tabla con cuadrícula 1210"/>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3101">
    <w:name w:val="Tabla con cuadrícula 1310"/>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110">
    <w:name w:val="Tabla con cuadrícula31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10">
    <w:name w:val="Tabla con cuadrícula32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10">
    <w:name w:val="Tabla con cuadrícula33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101">
    <w:name w:val="Tabla con cuadrícula 1410"/>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410">
    <w:name w:val="Tabla con cuadrícula34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00">
    <w:name w:val="Tabla con cuadrícula 1510"/>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510">
    <w:name w:val="Tabla con cuadrícula35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610">
    <w:name w:val="Tabla con cuadrícula36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710">
    <w:name w:val="Tabla con cuadrícula37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10">
    <w:name w:val="Sin lista2210"/>
    <w:next w:val="Sinlista"/>
    <w:semiHidden/>
    <w:rsid w:val="006D239F"/>
  </w:style>
  <w:style w:type="numbering" w:customStyle="1" w:styleId="Sinlista2310">
    <w:name w:val="Sin lista2310"/>
    <w:next w:val="Sinlista"/>
    <w:semiHidden/>
    <w:rsid w:val="006D239F"/>
  </w:style>
  <w:style w:type="table" w:customStyle="1" w:styleId="Tablaconcuadrcula3810">
    <w:name w:val="Tabla con cuadrícula3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10">
    <w:name w:val="Tabla con cuadrícula39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10">
    <w:name w:val="Sin lista2410"/>
    <w:next w:val="Sinlista"/>
    <w:semiHidden/>
    <w:rsid w:val="006D239F"/>
  </w:style>
  <w:style w:type="numbering" w:customStyle="1" w:styleId="Sinlista2510">
    <w:name w:val="Sin lista2510"/>
    <w:next w:val="Sinlista"/>
    <w:semiHidden/>
    <w:rsid w:val="006D239F"/>
  </w:style>
  <w:style w:type="numbering" w:customStyle="1" w:styleId="Sinlista2610">
    <w:name w:val="Sin lista2610"/>
    <w:next w:val="Sinlista"/>
    <w:semiHidden/>
    <w:rsid w:val="006D239F"/>
  </w:style>
  <w:style w:type="table" w:customStyle="1" w:styleId="Tablaconcuadrcula4010">
    <w:name w:val="Tabla con cuadrícula40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710">
    <w:name w:val="Sin lista2710"/>
    <w:next w:val="Sinlista"/>
    <w:semiHidden/>
    <w:rsid w:val="006D239F"/>
  </w:style>
  <w:style w:type="table" w:customStyle="1" w:styleId="Tablaconcuadrcula4110">
    <w:name w:val="Tabla con cuadrícula41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10">
    <w:name w:val="Tabla con cuadrícula42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10">
    <w:name w:val="Tabla con cuadrícula43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10">
    <w:name w:val="Tabla con cuadrícula44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90">
    <w:name w:val="Tabla con cuadrícula 169"/>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510">
    <w:name w:val="Tabla con cuadrícula45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10">
    <w:name w:val="Tabla con cuadrícula46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10">
    <w:name w:val="Tabla con cuadrícula47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10">
    <w:name w:val="Tabla con cuadrícula4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910">
    <w:name w:val="Tabla con cuadrícula49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810">
    <w:name w:val="Sin lista2810"/>
    <w:next w:val="Sinlista"/>
    <w:semiHidden/>
    <w:rsid w:val="006D239F"/>
  </w:style>
  <w:style w:type="table" w:customStyle="1" w:styleId="Tablaconcuadrcula5010">
    <w:name w:val="Tabla con cuadrícula5010"/>
    <w:basedOn w:val="Tablanormal"/>
    <w:next w:val="Tablaconcuadrcula"/>
    <w:rsid w:val="006D239F"/>
    <w:pPr>
      <w:tabs>
        <w:tab w:val="left" w:pos="720"/>
      </w:tabs>
      <w:jc w:val="both"/>
    </w:pPr>
    <w:rPr>
      <w:rFonts w:eastAsia="Times New Roman"/>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11">
    <w:name w:val="Tabla con cuadrícula50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11">
    <w:name w:val="Tabla con cuadrícula 17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811">
    <w:name w:val="Tabla con cuadrícula 18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310">
    <w:name w:val="Tabla con cuadrícula53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21">
    <w:name w:val="Tabla con cuadrícula50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910">
    <w:name w:val="Sin lista2910"/>
    <w:next w:val="Sinlista"/>
    <w:semiHidden/>
    <w:rsid w:val="006D239F"/>
  </w:style>
  <w:style w:type="table" w:customStyle="1" w:styleId="Tablaconcuadrcula5410">
    <w:name w:val="Tabla con cuadrícula54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10">
    <w:name w:val="Tabla con cuadrícula55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17">
    <w:name w:val="Tabla con cuadrícula 19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610">
    <w:name w:val="Tabla con cuadrícula56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010">
    <w:name w:val="Sin lista3010"/>
    <w:next w:val="Sinlista"/>
    <w:semiHidden/>
    <w:rsid w:val="006D239F"/>
  </w:style>
  <w:style w:type="table" w:customStyle="1" w:styleId="Tablaconcuadrcula11012">
    <w:name w:val="Tabla con cuadrícula 110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3110">
    <w:name w:val="Sin lista3110"/>
    <w:next w:val="Sinlista"/>
    <w:semiHidden/>
    <w:rsid w:val="006D239F"/>
  </w:style>
  <w:style w:type="table" w:customStyle="1" w:styleId="Tablaconcuadrcula5710">
    <w:name w:val="Tabla con cuadrícula57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10">
    <w:name w:val="Tabla con cuadrícula5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10">
    <w:name w:val="Tabla con cuadrícula59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10">
    <w:name w:val="Tabla con cuadrícula60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10">
    <w:name w:val="Tabla con cuadrícula61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10">
    <w:name w:val="Tabla con cuadrícula62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10">
    <w:name w:val="Sin lista3210"/>
    <w:next w:val="Sinlista"/>
    <w:semiHidden/>
    <w:rsid w:val="006D239F"/>
  </w:style>
  <w:style w:type="table" w:customStyle="1" w:styleId="Tablaconcuadrcula6310">
    <w:name w:val="Tabla con cuadrícula63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10">
    <w:name w:val="Tabla con cuadrícula64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310">
    <w:name w:val="Sin lista3310"/>
    <w:next w:val="Sinlista"/>
    <w:semiHidden/>
    <w:unhideWhenUsed/>
    <w:rsid w:val="006D239F"/>
  </w:style>
  <w:style w:type="table" w:customStyle="1" w:styleId="Tablaconcuadrcula6510">
    <w:name w:val="Tabla con cuadrícula6510"/>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410">
    <w:name w:val="Sin lista3410"/>
    <w:next w:val="Sinlista"/>
    <w:semiHidden/>
    <w:rsid w:val="006D239F"/>
  </w:style>
  <w:style w:type="numbering" w:customStyle="1" w:styleId="Sinlista3510">
    <w:name w:val="Sin lista3510"/>
    <w:next w:val="Sinlista"/>
    <w:semiHidden/>
    <w:rsid w:val="006D239F"/>
  </w:style>
  <w:style w:type="table" w:customStyle="1" w:styleId="Tablaconcuadrcula6610">
    <w:name w:val="Tabla con cuadrícula66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610">
    <w:name w:val="Sin lista3610"/>
    <w:next w:val="Sinlista"/>
    <w:semiHidden/>
    <w:rsid w:val="006D239F"/>
  </w:style>
  <w:style w:type="table" w:customStyle="1" w:styleId="Tablaconcuadrcula6710">
    <w:name w:val="Tabla con cuadrícula67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710">
    <w:name w:val="Sin lista3710"/>
    <w:next w:val="Sinlista"/>
    <w:semiHidden/>
    <w:rsid w:val="006D239F"/>
  </w:style>
  <w:style w:type="table" w:customStyle="1" w:styleId="Tablaconcuadrcula6810">
    <w:name w:val="Tabla con cuadrícula6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810">
    <w:name w:val="Sin lista3810"/>
    <w:next w:val="Sinlista"/>
    <w:semiHidden/>
    <w:rsid w:val="006D239F"/>
  </w:style>
  <w:style w:type="table" w:customStyle="1" w:styleId="Tablaconcuadrcula6910">
    <w:name w:val="Tabla con cuadrícula69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910">
    <w:name w:val="Sin lista3910"/>
    <w:next w:val="Sinlista"/>
    <w:semiHidden/>
    <w:rsid w:val="006D239F"/>
  </w:style>
  <w:style w:type="table" w:customStyle="1" w:styleId="Tablaconcuadrcula7010">
    <w:name w:val="Tabla con cuadrícula70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10">
    <w:name w:val="Tabla con cuadrícula71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010">
    <w:name w:val="Sin lista4010"/>
    <w:next w:val="Sinlista"/>
    <w:semiHidden/>
    <w:rsid w:val="006D239F"/>
  </w:style>
  <w:style w:type="table" w:customStyle="1" w:styleId="Tablaconcuadrcula7210">
    <w:name w:val="Tabla con cuadrícula72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10">
    <w:name w:val="Sin lista4110"/>
    <w:next w:val="Sinlista"/>
    <w:semiHidden/>
    <w:rsid w:val="006D239F"/>
  </w:style>
  <w:style w:type="table" w:customStyle="1" w:styleId="Tablaconcuadrcula7310">
    <w:name w:val="Tabla con cuadrícula73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410">
    <w:name w:val="Tabla con cuadrícula74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10">
    <w:name w:val="Tabla con cuadrícula75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10">
    <w:name w:val="Sin lista4210"/>
    <w:next w:val="Sinlista"/>
    <w:semiHidden/>
    <w:rsid w:val="006D239F"/>
  </w:style>
  <w:style w:type="table" w:customStyle="1" w:styleId="Tablaconcuadrcula7610">
    <w:name w:val="Tabla con cuadrícula76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710">
    <w:name w:val="Tabla con cuadrícula77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10">
    <w:name w:val="Sin lista4310"/>
    <w:next w:val="Sinlista"/>
    <w:semiHidden/>
    <w:rsid w:val="006D239F"/>
  </w:style>
  <w:style w:type="table" w:customStyle="1" w:styleId="Tablaconcuadrcula7810">
    <w:name w:val="Tabla con cuadrícula7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910">
    <w:name w:val="Tabla con cuadrícula79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10">
    <w:name w:val="Tabla con cuadrícula80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410">
    <w:name w:val="Sin lista4410"/>
    <w:next w:val="Sinlista"/>
    <w:semiHidden/>
    <w:rsid w:val="006D239F"/>
  </w:style>
  <w:style w:type="table" w:customStyle="1" w:styleId="Tablaconcuadrcula8110">
    <w:name w:val="Tabla con cuadrícula81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10">
    <w:name w:val="Tabla con cuadrícula82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510">
    <w:name w:val="Sin lista4510"/>
    <w:next w:val="Sinlista"/>
    <w:semiHidden/>
    <w:rsid w:val="006D239F"/>
  </w:style>
  <w:style w:type="table" w:customStyle="1" w:styleId="Tablaconcuadrcula8310">
    <w:name w:val="Tabla con cuadrícula83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610">
    <w:name w:val="Sin lista4610"/>
    <w:next w:val="Sinlista"/>
    <w:semiHidden/>
    <w:rsid w:val="006D239F"/>
  </w:style>
  <w:style w:type="table" w:customStyle="1" w:styleId="Tablaconcuadrcula8410">
    <w:name w:val="Tabla con cuadrícula84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10">
    <w:name w:val="Tabla con cuadrícula85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10">
    <w:name w:val="Tabla con cuadrícula86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710">
    <w:name w:val="Sin lista4710"/>
    <w:next w:val="Sinlista"/>
    <w:semiHidden/>
    <w:rsid w:val="006D239F"/>
  </w:style>
  <w:style w:type="table" w:customStyle="1" w:styleId="Tablaconcuadrcula8710">
    <w:name w:val="Tabla con cuadrícula87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810">
    <w:name w:val="Tabla con cuadrícula8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10">
    <w:name w:val="Sin lista4810"/>
    <w:next w:val="Sinlista"/>
    <w:semiHidden/>
    <w:rsid w:val="006D239F"/>
  </w:style>
  <w:style w:type="table" w:customStyle="1" w:styleId="Tablaconcuadrcula8910">
    <w:name w:val="Tabla con cuadrícula89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10">
    <w:name w:val="Tabla con cuadrícula90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10">
    <w:name w:val="Tabla con cuadrícula91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910">
    <w:name w:val="Sin lista4910"/>
    <w:next w:val="Sinlista"/>
    <w:semiHidden/>
    <w:rsid w:val="006D239F"/>
  </w:style>
  <w:style w:type="table" w:customStyle="1" w:styleId="Tablaconcuadrcula9210">
    <w:name w:val="Tabla con cuadrícula92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010">
    <w:name w:val="Sin lista5010"/>
    <w:next w:val="Sinlista"/>
    <w:semiHidden/>
    <w:rsid w:val="006D239F"/>
  </w:style>
  <w:style w:type="table" w:customStyle="1" w:styleId="Tablaconcuadrcula9310">
    <w:name w:val="Tabla con cuadrícula93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410">
    <w:name w:val="Tabla con cuadrícula94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110">
    <w:name w:val="Sin lista5110"/>
    <w:next w:val="Sinlista"/>
    <w:semiHidden/>
    <w:rsid w:val="006D239F"/>
  </w:style>
  <w:style w:type="table" w:customStyle="1" w:styleId="Tablaconcuadrcula9510">
    <w:name w:val="Tabla con cuadrícula95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10">
    <w:name w:val="Tabla con cuadrícula96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210">
    <w:name w:val="Sin lista5210"/>
    <w:next w:val="Sinlista"/>
    <w:semiHidden/>
    <w:rsid w:val="006D239F"/>
  </w:style>
  <w:style w:type="numbering" w:customStyle="1" w:styleId="Sinlista5310">
    <w:name w:val="Sin lista5310"/>
    <w:next w:val="Sinlista"/>
    <w:semiHidden/>
    <w:rsid w:val="006D239F"/>
  </w:style>
  <w:style w:type="table" w:customStyle="1" w:styleId="Tablaconcuadrcula9710">
    <w:name w:val="Tabla con cuadrícula97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10">
    <w:name w:val="Sin lista5410"/>
    <w:next w:val="Sinlista"/>
    <w:semiHidden/>
    <w:rsid w:val="006D239F"/>
  </w:style>
  <w:style w:type="table" w:customStyle="1" w:styleId="Tablaconcuadrcula9810">
    <w:name w:val="Tabla con cuadrícula9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10">
    <w:name w:val="Tabla con cuadrícula99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510">
    <w:name w:val="Sin lista5510"/>
    <w:next w:val="Sinlista"/>
    <w:semiHidden/>
    <w:rsid w:val="006D239F"/>
  </w:style>
  <w:style w:type="table" w:customStyle="1" w:styleId="Tablaconcuadrcula10010">
    <w:name w:val="Tabla con cuadrícula100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40">
    <w:name w:val="Tabla con cuadrícula 1114"/>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5610">
    <w:name w:val="Sin lista5610"/>
    <w:next w:val="Sinlista"/>
    <w:semiHidden/>
    <w:rsid w:val="006D239F"/>
  </w:style>
  <w:style w:type="table" w:customStyle="1" w:styleId="Tablaconcuadrcula10110">
    <w:name w:val="Tabla con cuadrícula101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10">
    <w:name w:val="Tabla con cuadrícula102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10">
    <w:name w:val="Tabla con cuadrícula103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710">
    <w:name w:val="Sin lista5710"/>
    <w:next w:val="Sinlista"/>
    <w:semiHidden/>
    <w:rsid w:val="006D239F"/>
  </w:style>
  <w:style w:type="table" w:customStyle="1" w:styleId="Tablaconcuadrcula11210">
    <w:name w:val="Tabla con cuadrícula 112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0410">
    <w:name w:val="Tabla con cuadrícula104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810">
    <w:name w:val="Sin lista5810"/>
    <w:next w:val="Sinlista"/>
    <w:semiHidden/>
    <w:rsid w:val="006D239F"/>
  </w:style>
  <w:style w:type="table" w:customStyle="1" w:styleId="Tablaconcuadrcula10510">
    <w:name w:val="Tabla con cuadrícula105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910">
    <w:name w:val="Sin lista5910"/>
    <w:next w:val="Sinlista"/>
    <w:semiHidden/>
    <w:rsid w:val="006D239F"/>
  </w:style>
  <w:style w:type="table" w:customStyle="1" w:styleId="Tablaconcuadrcula10610">
    <w:name w:val="Tabla con cuadrícula106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10">
    <w:name w:val="Tabla con cuadrícula107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10">
    <w:name w:val="Tabla con cuadrícula10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8">
    <w:name w:val="Tabla con cuadrícula1098"/>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100">
    <w:name w:val="Tabla con cuadrícula111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5">
    <w:name w:val="Tabla con cuadrícula1125"/>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10">
    <w:name w:val="Sin lista6010"/>
    <w:next w:val="Sinlista"/>
    <w:semiHidden/>
    <w:rsid w:val="006D239F"/>
  </w:style>
  <w:style w:type="table" w:customStyle="1" w:styleId="Tablaconcuadrcula1131">
    <w:name w:val="Tabla con cuadrícula11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110">
    <w:name w:val="Sin lista6110"/>
    <w:next w:val="Sinlista"/>
    <w:semiHidden/>
    <w:rsid w:val="006D239F"/>
  </w:style>
  <w:style w:type="table" w:customStyle="1" w:styleId="Tablaconcuadrcula1141">
    <w:name w:val="Tabla con cuadrícula11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51">
    <w:name w:val="Tabla con cuadrícula1151"/>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6210">
    <w:name w:val="Sin lista6210"/>
    <w:next w:val="Sinlista"/>
    <w:semiHidden/>
    <w:rsid w:val="006D239F"/>
  </w:style>
  <w:style w:type="table" w:customStyle="1" w:styleId="Tablaconcuadrcula1161">
    <w:name w:val="Tabla con cuadrícula11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310">
    <w:name w:val="Tabla con cuadrícula 113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6310">
    <w:name w:val="Sin lista6310"/>
    <w:next w:val="Sinlista"/>
    <w:semiHidden/>
    <w:rsid w:val="006D239F"/>
  </w:style>
  <w:style w:type="table" w:customStyle="1" w:styleId="Tablaconcuadrcula1171">
    <w:name w:val="Tabla con cuadrícula11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410">
    <w:name w:val="Sin lista6410"/>
    <w:next w:val="Sinlista"/>
    <w:semiHidden/>
    <w:rsid w:val="006D239F"/>
  </w:style>
  <w:style w:type="table" w:customStyle="1" w:styleId="Tablaconcuadrcula1181">
    <w:name w:val="Tabla con cuadrícula11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510">
    <w:name w:val="Sin lista6510"/>
    <w:next w:val="Sinlista"/>
    <w:semiHidden/>
    <w:rsid w:val="006D239F"/>
  </w:style>
  <w:style w:type="table" w:customStyle="1" w:styleId="Tablaconcuadrcula1191">
    <w:name w:val="Tabla con cuadrícula11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610">
    <w:name w:val="Sin lista6610"/>
    <w:next w:val="Sinlista"/>
    <w:semiHidden/>
    <w:rsid w:val="006D239F"/>
  </w:style>
  <w:style w:type="table" w:customStyle="1" w:styleId="Tablaconcuadrcula12010">
    <w:name w:val="Tabla con cuadrícula12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710">
    <w:name w:val="Sin lista6710"/>
    <w:next w:val="Sinlista"/>
    <w:semiHidden/>
    <w:rsid w:val="006D239F"/>
  </w:style>
  <w:style w:type="numbering" w:customStyle="1" w:styleId="Sinlista6810">
    <w:name w:val="Sin lista6810"/>
    <w:next w:val="Sinlista"/>
    <w:semiHidden/>
    <w:rsid w:val="006D239F"/>
  </w:style>
  <w:style w:type="table" w:customStyle="1" w:styleId="Tablaconcuadrcula1217">
    <w:name w:val="Tabla con cuadrícula1217"/>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21">
    <w:name w:val="Tabla con cuadrícula12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31">
    <w:name w:val="Tabla con cuadrícula12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10">
    <w:name w:val="Sin lista6910"/>
    <w:next w:val="Sinlista"/>
    <w:semiHidden/>
    <w:rsid w:val="006D239F"/>
  </w:style>
  <w:style w:type="table" w:customStyle="1" w:styleId="Tablaconcuadrcula1241">
    <w:name w:val="Tabla con cuadrícula12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51">
    <w:name w:val="Tabla con cuadrícula12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61">
    <w:name w:val="Tabla con cuadrícula12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71">
    <w:name w:val="Tabla con cuadrícula12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81">
    <w:name w:val="Tabla con cuadrícula12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010">
    <w:name w:val="Sin lista7010"/>
    <w:next w:val="Sinlista"/>
    <w:semiHidden/>
    <w:rsid w:val="006D239F"/>
  </w:style>
  <w:style w:type="numbering" w:customStyle="1" w:styleId="Sinlista7110">
    <w:name w:val="Sin lista7110"/>
    <w:next w:val="Sinlista"/>
    <w:semiHidden/>
    <w:rsid w:val="006D239F"/>
  </w:style>
  <w:style w:type="table" w:customStyle="1" w:styleId="Tablaconcuadrcula1291">
    <w:name w:val="Tabla con cuadrícula12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210">
    <w:name w:val="Sin lista7210"/>
    <w:next w:val="Sinlista"/>
    <w:semiHidden/>
    <w:rsid w:val="006D239F"/>
  </w:style>
  <w:style w:type="table" w:customStyle="1" w:styleId="Tablaconcuadrcula13010">
    <w:name w:val="Tabla con cuadrícula13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11">
    <w:name w:val="Tabla con cuadrícula13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21">
    <w:name w:val="Tabla con cuadrícula13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10">
    <w:name w:val="Sin lista7310"/>
    <w:next w:val="Sinlista"/>
    <w:semiHidden/>
    <w:rsid w:val="006D239F"/>
  </w:style>
  <w:style w:type="table" w:customStyle="1" w:styleId="Tablaconcuadrcula1331">
    <w:name w:val="Tabla con cuadrícula13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41">
    <w:name w:val="Tabla con cuadrícula13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51">
    <w:name w:val="Tabla con cuadrícula135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10">
    <w:name w:val="Sin lista7410"/>
    <w:next w:val="Sinlista"/>
    <w:semiHidden/>
    <w:rsid w:val="006D239F"/>
  </w:style>
  <w:style w:type="table" w:customStyle="1" w:styleId="Tablaconcuadrcula1361">
    <w:name w:val="Tabla con cuadrícula13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71">
    <w:name w:val="Tabla con cuadrícula137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81">
    <w:name w:val="Tabla con cuadrícula13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91">
    <w:name w:val="Tabla con cuadrícula13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010">
    <w:name w:val="Tabla con cuadrícula14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11">
    <w:name w:val="Tabla con cuadrícula141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21">
    <w:name w:val="Tabla con cuadrícula142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31">
    <w:name w:val="Tabla con cuadrícula14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41">
    <w:name w:val="Tabla con cuadrícula144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510">
    <w:name w:val="Sin lista7510"/>
    <w:next w:val="Sinlista"/>
    <w:semiHidden/>
    <w:rsid w:val="006D239F"/>
  </w:style>
  <w:style w:type="table" w:customStyle="1" w:styleId="Tablaconcuadrcula1451">
    <w:name w:val="Tabla con cuadrícula14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64">
    <w:name w:val="Sin lista764"/>
    <w:next w:val="Sinlista"/>
    <w:semiHidden/>
    <w:rsid w:val="006D239F"/>
  </w:style>
  <w:style w:type="table" w:customStyle="1" w:styleId="Tablaconcuadrcula1461">
    <w:name w:val="Tabla con cuadrícula14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4">
    <w:name w:val="Tabla con cuadrícula5114"/>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410">
    <w:name w:val="Tabla con cuadrícula 114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471">
    <w:name w:val="Tabla con cuadrícula14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510">
    <w:name w:val="Tabla con cuadrícula 115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481">
    <w:name w:val="Tabla con cuadrícula14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91">
    <w:name w:val="Tabla con cuadrícula14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010">
    <w:name w:val="Tabla con cuadrícula150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74">
    <w:name w:val="Sin lista774"/>
    <w:next w:val="Sinlista"/>
    <w:semiHidden/>
    <w:rsid w:val="006D239F"/>
  </w:style>
  <w:style w:type="table" w:customStyle="1" w:styleId="Tablaconcuadrcula1517">
    <w:name w:val="Tabla con cuadrícula1517"/>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21">
    <w:name w:val="Tabla con cuadrícula152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31">
    <w:name w:val="Tabla con cuadrícula15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41">
    <w:name w:val="Tabla con cuadrícula15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84">
    <w:name w:val="Sin lista784"/>
    <w:next w:val="Sinlista"/>
    <w:semiHidden/>
    <w:rsid w:val="006D239F"/>
  </w:style>
  <w:style w:type="table" w:customStyle="1" w:styleId="Tablaconcuadrcula11610">
    <w:name w:val="Tabla con cuadrícula 116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1710">
    <w:name w:val="Tabla con cuadrícula 117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1810">
    <w:name w:val="Tabla con cuadrícula 118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794">
    <w:name w:val="Sin lista794"/>
    <w:next w:val="Sinlista"/>
    <w:semiHidden/>
    <w:rsid w:val="006D239F"/>
  </w:style>
  <w:style w:type="table" w:customStyle="1" w:styleId="Tablaconcuadrcula1551">
    <w:name w:val="Tabla con cuadrícula15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04">
    <w:name w:val="Sin lista804"/>
    <w:next w:val="Sinlista"/>
    <w:semiHidden/>
    <w:rsid w:val="006D239F"/>
  </w:style>
  <w:style w:type="table" w:customStyle="1" w:styleId="Tablaconcuadrcula1561">
    <w:name w:val="Tabla con cuadrícula15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71">
    <w:name w:val="Tabla con cuadrícula15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7">
    <w:name w:val="Sin lista817"/>
    <w:next w:val="Sinlista"/>
    <w:semiHidden/>
    <w:rsid w:val="006D239F"/>
  </w:style>
  <w:style w:type="table" w:customStyle="1" w:styleId="Tablaconcuadrcula1581">
    <w:name w:val="Tabla con cuadrícula15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24">
    <w:name w:val="Sin lista824"/>
    <w:next w:val="Sinlista"/>
    <w:semiHidden/>
    <w:rsid w:val="006D239F"/>
  </w:style>
  <w:style w:type="table" w:customStyle="1" w:styleId="Tablaconcuadrcula1591">
    <w:name w:val="Tabla con cuadrícula15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34">
    <w:name w:val="Sin lista834"/>
    <w:next w:val="Sinlista"/>
    <w:semiHidden/>
    <w:rsid w:val="006D239F"/>
  </w:style>
  <w:style w:type="table" w:customStyle="1" w:styleId="Tablaconcuadrcula16110">
    <w:name w:val="Tabla con cuadrícula16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21">
    <w:name w:val="Tabla con cuadrícula16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31">
    <w:name w:val="Tabla con cuadrícula16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41">
    <w:name w:val="Tabla con cuadrícula16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oindependienteprimerasangraCar">
    <w:name w:val="Texto independiente primera sangría Car"/>
    <w:basedOn w:val="TextoindependienteCar"/>
    <w:link w:val="Textoindependienteprimerasangra"/>
    <w:uiPriority w:val="99"/>
    <w:rsid w:val="006D239F"/>
    <w:rPr>
      <w:rFonts w:eastAsia="SimSun"/>
      <w:sz w:val="24"/>
      <w:szCs w:val="24"/>
      <w:lang w:val="es-MX" w:eastAsia="es-ES" w:bidi="ar-SA"/>
    </w:rPr>
  </w:style>
  <w:style w:type="numbering" w:customStyle="1" w:styleId="Sinlista844">
    <w:name w:val="Sin lista844"/>
    <w:next w:val="Sinlista"/>
    <w:semiHidden/>
    <w:rsid w:val="006D239F"/>
  </w:style>
  <w:style w:type="table" w:customStyle="1" w:styleId="Tablaconcuadrcula1651">
    <w:name w:val="Tabla con cuadrícula16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61">
    <w:name w:val="Tabla con cuadrícula16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54">
    <w:name w:val="Sin lista854"/>
    <w:next w:val="Sinlista"/>
    <w:semiHidden/>
    <w:rsid w:val="006D239F"/>
  </w:style>
  <w:style w:type="table" w:customStyle="1" w:styleId="Tablaconcuadrcula1671">
    <w:name w:val="Tabla con cuadrícula167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64">
    <w:name w:val="Sin lista864"/>
    <w:next w:val="Sinlista"/>
    <w:semiHidden/>
    <w:rsid w:val="006D239F"/>
  </w:style>
  <w:style w:type="table" w:customStyle="1" w:styleId="Tablaconcuadrcula1681">
    <w:name w:val="Tabla con cuadrícula16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91">
    <w:name w:val="Tabla con cuadrícula16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01">
    <w:name w:val="Tabla con cuadrícula17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110">
    <w:name w:val="Tabla con cuadrícula17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74">
    <w:name w:val="Sin lista874"/>
    <w:next w:val="Sinlista"/>
    <w:semiHidden/>
    <w:rsid w:val="006D239F"/>
  </w:style>
  <w:style w:type="table" w:customStyle="1" w:styleId="Tablaconcuadrcula1721">
    <w:name w:val="Tabla con cuadrícula172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84">
    <w:name w:val="Sin lista884"/>
    <w:next w:val="Sinlista"/>
    <w:semiHidden/>
    <w:rsid w:val="006D239F"/>
  </w:style>
  <w:style w:type="table" w:customStyle="1" w:styleId="Tablaconcuadrcula1731">
    <w:name w:val="Tabla con cuadrícula17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41">
    <w:name w:val="Tabla con cuadrícula17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94">
    <w:name w:val="Sin lista894"/>
    <w:next w:val="Sinlista"/>
    <w:semiHidden/>
    <w:rsid w:val="006D239F"/>
  </w:style>
  <w:style w:type="table" w:customStyle="1" w:styleId="Tablaconcuadrcula1751">
    <w:name w:val="Tabla con cuadrícula17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61">
    <w:name w:val="Tabla con cuadrícula17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04">
    <w:name w:val="Sin lista904"/>
    <w:next w:val="Sinlista"/>
    <w:semiHidden/>
    <w:rsid w:val="006D239F"/>
  </w:style>
  <w:style w:type="table" w:customStyle="1" w:styleId="Tablaconcuadrcula1771">
    <w:name w:val="Tabla con cuadrícula17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81">
    <w:name w:val="Tabla con cuadrícula17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91">
    <w:name w:val="Tabla con cuadrícula17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801">
    <w:name w:val="Tabla con cuadrícula18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17">
    <w:name w:val="Sin lista917"/>
    <w:next w:val="Sinlista"/>
    <w:semiHidden/>
    <w:rsid w:val="006D239F"/>
  </w:style>
  <w:style w:type="table" w:customStyle="1" w:styleId="Tablaconcuadrcula18110">
    <w:name w:val="Tabla con cuadrícula18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24">
    <w:name w:val="Sin lista924"/>
    <w:next w:val="Sinlista"/>
    <w:semiHidden/>
    <w:rsid w:val="006D239F"/>
  </w:style>
  <w:style w:type="numbering" w:customStyle="1" w:styleId="Sinlista934">
    <w:name w:val="Sin lista934"/>
    <w:next w:val="Sinlista"/>
    <w:semiHidden/>
    <w:rsid w:val="006D239F"/>
  </w:style>
  <w:style w:type="table" w:customStyle="1" w:styleId="Tablaconcuadrcula1831">
    <w:name w:val="Tabla con cuadrícula18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44">
    <w:name w:val="Sin lista944"/>
    <w:next w:val="Sinlista"/>
    <w:semiHidden/>
    <w:rsid w:val="006D239F"/>
  </w:style>
  <w:style w:type="numbering" w:customStyle="1" w:styleId="Sinlista954">
    <w:name w:val="Sin lista954"/>
    <w:next w:val="Sinlista"/>
    <w:semiHidden/>
    <w:rsid w:val="006D239F"/>
  </w:style>
  <w:style w:type="table" w:customStyle="1" w:styleId="Tablaconcuadrcula1841">
    <w:name w:val="Tabla con cuadrícula18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910">
    <w:name w:val="Tabla con cuadrícula 119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851">
    <w:name w:val="Tabla con cuadrícula18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64">
    <w:name w:val="Sin lista964"/>
    <w:next w:val="Sinlista"/>
    <w:semiHidden/>
    <w:rsid w:val="006D239F"/>
  </w:style>
  <w:style w:type="table" w:customStyle="1" w:styleId="Tablaconcuadrcula1861">
    <w:name w:val="Tabla con cuadrícula18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011">
    <w:name w:val="Tabla con cuadrícula 120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2110">
    <w:name w:val="Tabla con cuadrícula 121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974">
    <w:name w:val="Sin lista974"/>
    <w:next w:val="Sinlista"/>
    <w:semiHidden/>
    <w:rsid w:val="006D239F"/>
  </w:style>
  <w:style w:type="table" w:customStyle="1" w:styleId="Tablaconcuadrcula1871">
    <w:name w:val="Tabla con cuadrícula18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84">
    <w:name w:val="Sin lista984"/>
    <w:next w:val="Sinlista"/>
    <w:semiHidden/>
    <w:rsid w:val="006D239F"/>
  </w:style>
  <w:style w:type="table" w:customStyle="1" w:styleId="Tablaconcuadrcula1881">
    <w:name w:val="Tabla con cuadrícula18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94">
    <w:name w:val="Sin lista994"/>
    <w:next w:val="Sinlista"/>
    <w:semiHidden/>
    <w:rsid w:val="006D239F"/>
  </w:style>
  <w:style w:type="table" w:customStyle="1" w:styleId="Tablaconcuadrcula1891">
    <w:name w:val="Tabla con cuadrícula18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04">
    <w:name w:val="Sin lista1004"/>
    <w:next w:val="Sinlista"/>
    <w:semiHidden/>
    <w:rsid w:val="006D239F"/>
  </w:style>
  <w:style w:type="numbering" w:customStyle="1" w:styleId="Sinlista1017">
    <w:name w:val="Sin lista1017"/>
    <w:next w:val="Sinlista"/>
    <w:semiHidden/>
    <w:rsid w:val="006D239F"/>
  </w:style>
  <w:style w:type="table" w:customStyle="1" w:styleId="Tablaconcuadrcula19170">
    <w:name w:val="Tabla con cuadrícula1917"/>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24">
    <w:name w:val="Sin lista1024"/>
    <w:next w:val="Sinlista"/>
    <w:semiHidden/>
    <w:rsid w:val="006D239F"/>
  </w:style>
  <w:style w:type="table" w:customStyle="1" w:styleId="Tablaconcuadrcula1921">
    <w:name w:val="Tabla con cuadrícula19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34">
    <w:name w:val="Sin lista1034"/>
    <w:next w:val="Sinlista"/>
    <w:semiHidden/>
    <w:rsid w:val="006D239F"/>
  </w:style>
  <w:style w:type="table" w:customStyle="1" w:styleId="Tablaconcuadrcula1931">
    <w:name w:val="Tabla con cuadrícula19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41">
    <w:name w:val="Tabla con cuadrícula19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51">
    <w:name w:val="Tabla con cuadrícula19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44">
    <w:name w:val="Sin lista1044"/>
    <w:next w:val="Sinlista"/>
    <w:semiHidden/>
    <w:rsid w:val="006D239F"/>
  </w:style>
  <w:style w:type="table" w:customStyle="1" w:styleId="Tablaconcuadrcula1961">
    <w:name w:val="Tabla con cuadrícula19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71">
    <w:name w:val="Tabla con cuadrícula19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54">
    <w:name w:val="Sin lista1054"/>
    <w:next w:val="Sinlista"/>
    <w:semiHidden/>
    <w:rsid w:val="006D239F"/>
  </w:style>
  <w:style w:type="table" w:customStyle="1" w:styleId="Tablaconcuadrcula1981">
    <w:name w:val="Tabla con cuadrícula19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64">
    <w:name w:val="Sin lista1064"/>
    <w:next w:val="Sinlista"/>
    <w:semiHidden/>
    <w:rsid w:val="006D239F"/>
  </w:style>
  <w:style w:type="table" w:customStyle="1" w:styleId="Tablaconcuadrcula1991">
    <w:name w:val="Tabla con cuadrícula19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74">
    <w:name w:val="Sin lista1074"/>
    <w:next w:val="Sinlista"/>
    <w:semiHidden/>
    <w:rsid w:val="006D239F"/>
  </w:style>
  <w:style w:type="character" w:customStyle="1" w:styleId="EncabezadodemensajeCar">
    <w:name w:val="Encabezado de mensaje Car"/>
    <w:basedOn w:val="Fuentedeprrafopredeter"/>
    <w:link w:val="Encabezadodemensaje"/>
    <w:uiPriority w:val="99"/>
    <w:rsid w:val="006D239F"/>
    <w:rPr>
      <w:rFonts w:ascii="Arial" w:hAnsi="Arial" w:cs="Arial"/>
      <w:sz w:val="24"/>
      <w:szCs w:val="24"/>
      <w:shd w:val="pct20" w:color="auto" w:fill="auto"/>
      <w:lang w:eastAsia="es-ES"/>
    </w:rPr>
  </w:style>
  <w:style w:type="table" w:customStyle="1" w:styleId="Tablaconcuadrcula2001">
    <w:name w:val="Tabla con cuadrícula20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11">
    <w:name w:val="Tabla con cuadrícula20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21">
    <w:name w:val="Tabla con cuadrícula20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31">
    <w:name w:val="Tabla con cuadrícula20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84">
    <w:name w:val="Sin lista1084"/>
    <w:next w:val="Sinlista"/>
    <w:semiHidden/>
    <w:rsid w:val="006D239F"/>
  </w:style>
  <w:style w:type="table" w:customStyle="1" w:styleId="Tablaconcuadrcula2041">
    <w:name w:val="Tabla con cuadrícula20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94">
    <w:name w:val="Sin lista1094"/>
    <w:next w:val="Sinlista"/>
    <w:semiHidden/>
    <w:rsid w:val="006D239F"/>
  </w:style>
  <w:style w:type="table" w:customStyle="1" w:styleId="Tablaconcuadrcula2051">
    <w:name w:val="Tabla con cuadrícula20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10">
    <w:name w:val="Sin lista11010"/>
    <w:next w:val="Sinlista"/>
    <w:semiHidden/>
    <w:rsid w:val="006D239F"/>
  </w:style>
  <w:style w:type="table" w:customStyle="1" w:styleId="Tablaconcuadrcula2061">
    <w:name w:val="Tabla con cuadrícula20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81">
    <w:name w:val="Tabla con cuadrícula20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91">
    <w:name w:val="Tabla con cuadrícula20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210">
    <w:name w:val="Tabla con cuadrícula 122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1114">
    <w:name w:val="Sin lista11114"/>
    <w:next w:val="Sinlista"/>
    <w:semiHidden/>
    <w:rsid w:val="006D239F"/>
  </w:style>
  <w:style w:type="table" w:customStyle="1" w:styleId="Tablaconcuadrcula2104">
    <w:name w:val="Tabla con cuadrícula2104"/>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24">
    <w:name w:val="Sin lista1124"/>
    <w:next w:val="Sinlista"/>
    <w:semiHidden/>
    <w:rsid w:val="006D239F"/>
  </w:style>
  <w:style w:type="table" w:customStyle="1" w:styleId="Tablaconcuadrcula2117">
    <w:name w:val="Tabla con cuadrícula2117"/>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21">
    <w:name w:val="Tabla con cuadrícula21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31">
    <w:name w:val="Tabla con cuadrícula21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34">
    <w:name w:val="Sin lista1134"/>
    <w:next w:val="Sinlista"/>
    <w:semiHidden/>
    <w:rsid w:val="006D239F"/>
  </w:style>
  <w:style w:type="table" w:customStyle="1" w:styleId="Tablaconcuadrcula2141">
    <w:name w:val="Tabla con cuadrícula21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310">
    <w:name w:val="Tabla con cuadrícula 123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144">
    <w:name w:val="Sin lista1144"/>
    <w:next w:val="Sinlista"/>
    <w:semiHidden/>
    <w:rsid w:val="006D239F"/>
  </w:style>
  <w:style w:type="table" w:customStyle="1" w:styleId="Tablaconcuadrcula2151">
    <w:name w:val="Tabla con cuadrícula21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54">
    <w:name w:val="Sin lista1154"/>
    <w:next w:val="Sinlista"/>
    <w:semiHidden/>
    <w:rsid w:val="006D239F"/>
  </w:style>
  <w:style w:type="numbering" w:customStyle="1" w:styleId="Sinlista1164">
    <w:name w:val="Sin lista1164"/>
    <w:next w:val="Sinlista"/>
    <w:semiHidden/>
    <w:rsid w:val="006D239F"/>
  </w:style>
  <w:style w:type="table" w:customStyle="1" w:styleId="Tablaconcuadrcula2161">
    <w:name w:val="Tabla con cuadrícula21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71">
    <w:name w:val="Tabla con cuadrícula21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74">
    <w:name w:val="Sin lista1174"/>
    <w:next w:val="Sinlista"/>
    <w:semiHidden/>
    <w:rsid w:val="006D239F"/>
  </w:style>
  <w:style w:type="table" w:customStyle="1" w:styleId="Tablaconcuadrcula2181">
    <w:name w:val="Tabla con cuadrícula21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84">
    <w:name w:val="Sin lista1184"/>
    <w:next w:val="Sinlista"/>
    <w:semiHidden/>
    <w:rsid w:val="006D239F"/>
  </w:style>
  <w:style w:type="table" w:customStyle="1" w:styleId="Tablaconcuadrcula2191">
    <w:name w:val="Tabla con cuadrícula21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01">
    <w:name w:val="Tabla con cuadrícula22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94">
    <w:name w:val="Sin lista1194"/>
    <w:next w:val="Sinlista"/>
    <w:semiHidden/>
    <w:rsid w:val="006D239F"/>
  </w:style>
  <w:style w:type="table" w:customStyle="1" w:styleId="Tablaconcuadrcula2217">
    <w:name w:val="Tabla con cuadrícula2217"/>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21">
    <w:name w:val="Tabla con cuadrícula22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04">
    <w:name w:val="Sin lista1204"/>
    <w:next w:val="Sinlista"/>
    <w:semiHidden/>
    <w:rsid w:val="006D239F"/>
  </w:style>
  <w:style w:type="numbering" w:customStyle="1" w:styleId="Sinlista1217">
    <w:name w:val="Sin lista1217"/>
    <w:next w:val="Sinlista"/>
    <w:semiHidden/>
    <w:rsid w:val="006D239F"/>
  </w:style>
  <w:style w:type="table" w:customStyle="1" w:styleId="Tablaconcuadrcula2231">
    <w:name w:val="Tabla con cuadrícula22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24">
    <w:name w:val="Sin lista1224"/>
    <w:next w:val="Sinlista"/>
    <w:semiHidden/>
    <w:rsid w:val="006D239F"/>
  </w:style>
  <w:style w:type="table" w:customStyle="1" w:styleId="Tablaconcuadrcula2241">
    <w:name w:val="Tabla con cuadrícula22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34">
    <w:name w:val="Sin lista1234"/>
    <w:next w:val="Sinlista"/>
    <w:semiHidden/>
    <w:rsid w:val="006D239F"/>
  </w:style>
  <w:style w:type="table" w:customStyle="1" w:styleId="Tablaconcuadrcula12410">
    <w:name w:val="Tabla con cuadrícula 124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251">
    <w:name w:val="Tabla con cuadrícula22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61">
    <w:name w:val="Tabla con cuadrícula22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71">
    <w:name w:val="Tabla con cuadrícula22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81">
    <w:name w:val="Tabla con cuadrícula22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91">
    <w:name w:val="Tabla con cuadrícula22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01">
    <w:name w:val="Tabla con cuadrícula23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44">
    <w:name w:val="Sin lista1244"/>
    <w:next w:val="Sinlista"/>
    <w:semiHidden/>
    <w:rsid w:val="006D239F"/>
  </w:style>
  <w:style w:type="table" w:customStyle="1" w:styleId="Tablaconcuadrcula2317">
    <w:name w:val="Tabla con cuadrícula2317"/>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510">
    <w:name w:val="Tabla con cuadrícula 125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254">
    <w:name w:val="Sin lista1254"/>
    <w:next w:val="Sinlista"/>
    <w:semiHidden/>
    <w:rsid w:val="006D239F"/>
  </w:style>
  <w:style w:type="table" w:customStyle="1" w:styleId="Tablaconcuadrcula2321">
    <w:name w:val="Tabla con cuadrícula23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31">
    <w:name w:val="Tabla con cuadrícula23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610">
    <w:name w:val="Tabla con cuadrícula 126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341">
    <w:name w:val="Tabla con cuadrícula23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21">
    <w:name w:val="Tabla con cuadrícula51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51">
    <w:name w:val="Tabla con cuadrícula23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61">
    <w:name w:val="Tabla con cuadrícula23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64">
    <w:name w:val="Sin lista1264"/>
    <w:next w:val="Sinlista"/>
    <w:semiHidden/>
    <w:rsid w:val="006D239F"/>
  </w:style>
  <w:style w:type="table" w:customStyle="1" w:styleId="Tablaconcuadrcula2371">
    <w:name w:val="Tabla con cuadrícula23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710">
    <w:name w:val="Tabla con cuadrícula 127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381">
    <w:name w:val="Tabla con cuadrícula23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91">
    <w:name w:val="Tabla con cuadrícula23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01">
    <w:name w:val="Tabla con cuadrícula24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74">
    <w:name w:val="Sin lista1274"/>
    <w:next w:val="Sinlista"/>
    <w:semiHidden/>
    <w:rsid w:val="006D239F"/>
  </w:style>
  <w:style w:type="table" w:customStyle="1" w:styleId="Tablaconcuadrcula2411">
    <w:name w:val="Tabla con cuadrícula24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84">
    <w:name w:val="Sin lista1284"/>
    <w:next w:val="Sinlista"/>
    <w:semiHidden/>
    <w:rsid w:val="006D239F"/>
  </w:style>
  <w:style w:type="table" w:customStyle="1" w:styleId="Tablaconcuadrcula12810">
    <w:name w:val="Tabla con cuadrícula 128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421">
    <w:name w:val="Tabla con cuadrícula24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94">
    <w:name w:val="Sin lista1294"/>
    <w:next w:val="Sinlista"/>
    <w:semiHidden/>
    <w:rsid w:val="006D239F"/>
  </w:style>
  <w:style w:type="table" w:customStyle="1" w:styleId="Tablaconcuadrcula2431">
    <w:name w:val="Tabla con cuadrícula24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04">
    <w:name w:val="Sin lista1304"/>
    <w:next w:val="Sinlista"/>
    <w:semiHidden/>
    <w:rsid w:val="006D239F"/>
  </w:style>
  <w:style w:type="table" w:customStyle="1" w:styleId="Tablaconcuadrcula2441">
    <w:name w:val="Tabla con cuadrícula24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17">
    <w:name w:val="Sin lista1317"/>
    <w:next w:val="Sinlista"/>
    <w:semiHidden/>
    <w:rsid w:val="006D239F"/>
  </w:style>
  <w:style w:type="table" w:customStyle="1" w:styleId="Tablaconcuadrcula2451">
    <w:name w:val="Tabla con cuadrícula2451"/>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324">
    <w:name w:val="Sin lista1324"/>
    <w:next w:val="Sinlista"/>
    <w:semiHidden/>
    <w:rsid w:val="006D239F"/>
  </w:style>
  <w:style w:type="numbering" w:customStyle="1" w:styleId="Sinlista1334">
    <w:name w:val="Sin lista1334"/>
    <w:next w:val="Sinlista"/>
    <w:semiHidden/>
    <w:rsid w:val="006D239F"/>
  </w:style>
  <w:style w:type="table" w:customStyle="1" w:styleId="Tablaconcuadrcula2461">
    <w:name w:val="Tabla con cuadrícula24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44">
    <w:name w:val="Sin lista1344"/>
    <w:next w:val="Sinlista"/>
    <w:semiHidden/>
    <w:rsid w:val="006D239F"/>
  </w:style>
  <w:style w:type="table" w:customStyle="1" w:styleId="Tablaconcuadrcula2471">
    <w:name w:val="Tabla con cuadrícula24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54">
    <w:name w:val="Sin lista1354"/>
    <w:next w:val="Sinlista"/>
    <w:semiHidden/>
    <w:rsid w:val="006D239F"/>
  </w:style>
  <w:style w:type="table" w:customStyle="1" w:styleId="Tablaconcuadrcula2481">
    <w:name w:val="Tabla con cuadrícula24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64">
    <w:name w:val="Sin lista1364"/>
    <w:next w:val="Sinlista"/>
    <w:semiHidden/>
    <w:rsid w:val="006D239F"/>
  </w:style>
  <w:style w:type="table" w:customStyle="1" w:styleId="Tablaconcuadrcula2491">
    <w:name w:val="Tabla con cuadrícula24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01">
    <w:name w:val="Tabla con cuadrícula25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74">
    <w:name w:val="Sin lista1374"/>
    <w:next w:val="Sinlista"/>
    <w:semiHidden/>
    <w:rsid w:val="006D239F"/>
  </w:style>
  <w:style w:type="table" w:customStyle="1" w:styleId="Tablaconcuadrcula2517">
    <w:name w:val="Tabla con cuadrícula2517"/>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84">
    <w:name w:val="Sin lista1384"/>
    <w:next w:val="Sinlista"/>
    <w:semiHidden/>
    <w:rsid w:val="006D239F"/>
  </w:style>
  <w:style w:type="table" w:customStyle="1" w:styleId="Tablaconcuadrcula11001">
    <w:name w:val="Tabla con cuadrícula11001"/>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21">
    <w:name w:val="Tabla con cuadrícula25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31">
    <w:name w:val="Tabla con cuadrícula25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42">
    <w:name w:val="Tabla con cuadrícula2542"/>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51">
    <w:name w:val="Tabla con cuadrícula25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94">
    <w:name w:val="Sin lista1394"/>
    <w:next w:val="Sinlista"/>
    <w:semiHidden/>
    <w:rsid w:val="006D239F"/>
  </w:style>
  <w:style w:type="table" w:customStyle="1" w:styleId="Tablaconcuadrcula2561">
    <w:name w:val="Tabla con cuadrícula25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04">
    <w:name w:val="Sin lista1404"/>
    <w:next w:val="Sinlista"/>
    <w:semiHidden/>
    <w:rsid w:val="006D239F"/>
  </w:style>
  <w:style w:type="table" w:customStyle="1" w:styleId="Tablaconcuadrcula2571">
    <w:name w:val="Tabla con cuadrícula25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81">
    <w:name w:val="Tabla con cuadrícula25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17">
    <w:name w:val="Sin lista1417"/>
    <w:next w:val="Sinlista"/>
    <w:semiHidden/>
    <w:rsid w:val="006D239F"/>
  </w:style>
  <w:style w:type="table" w:customStyle="1" w:styleId="Tablaconcuadrcula2591">
    <w:name w:val="Tabla con cuadrícula25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24">
    <w:name w:val="Sin lista1424"/>
    <w:next w:val="Sinlista"/>
    <w:semiHidden/>
    <w:rsid w:val="006D239F"/>
  </w:style>
  <w:style w:type="numbering" w:customStyle="1" w:styleId="Sinlista1434">
    <w:name w:val="Sin lista1434"/>
    <w:next w:val="Sinlista"/>
    <w:semiHidden/>
    <w:rsid w:val="006D239F"/>
  </w:style>
  <w:style w:type="table" w:customStyle="1" w:styleId="Tablaconcuadrcula2601">
    <w:name w:val="Tabla con cuadrícula26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18">
    <w:name w:val="Tabla con cuadrícula2618"/>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21">
    <w:name w:val="Tabla con cuadrícula26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31">
    <w:name w:val="Tabla con cuadrícula26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41">
    <w:name w:val="Tabla con cuadrícula26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51">
    <w:name w:val="Tabla con cuadrícula26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44">
    <w:name w:val="Sin lista1444"/>
    <w:next w:val="Sinlista"/>
    <w:semiHidden/>
    <w:rsid w:val="006D239F"/>
  </w:style>
  <w:style w:type="table" w:customStyle="1" w:styleId="Tablaconcuadrcula2661">
    <w:name w:val="Tabla con cuadrícula26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54">
    <w:name w:val="Sin lista1454"/>
    <w:next w:val="Sinlista"/>
    <w:semiHidden/>
    <w:rsid w:val="006D239F"/>
  </w:style>
  <w:style w:type="numbering" w:customStyle="1" w:styleId="Sinlista1464">
    <w:name w:val="Sin lista1464"/>
    <w:next w:val="Sinlista"/>
    <w:semiHidden/>
    <w:rsid w:val="006D239F"/>
  </w:style>
  <w:style w:type="table" w:customStyle="1" w:styleId="Tablaconcuadrcula2671">
    <w:name w:val="Tabla con cuadrícula26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910">
    <w:name w:val="Tabla con cuadrícula 129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474">
    <w:name w:val="Sin lista1474"/>
    <w:next w:val="Sinlista"/>
    <w:semiHidden/>
    <w:rsid w:val="006D239F"/>
  </w:style>
  <w:style w:type="table" w:customStyle="1" w:styleId="Tablaconcuadrcula2681">
    <w:name w:val="Tabla con cuadrícula26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a">
    <w:name w:val="Tabla con cuadrícula 22"/>
    <w:basedOn w:val="Tablanormal"/>
    <w:next w:val="Tablaconcuadrcula2a"/>
    <w:rsid w:val="006D239F"/>
    <w:pPr>
      <w:widowControl w:val="0"/>
      <w:autoSpaceDE w:val="0"/>
      <w:autoSpaceDN w:val="0"/>
    </w:pPr>
    <w:rPr>
      <w:rFonts w:eastAsia="Times New Roman"/>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Tablaconcuadrcula2691">
    <w:name w:val="Tabla con cuadrícula26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01">
    <w:name w:val="Tabla con cuadrícula27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18">
    <w:name w:val="Tabla con cuadrícula2718"/>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84">
    <w:name w:val="Sin lista1484"/>
    <w:next w:val="Sinlista"/>
    <w:semiHidden/>
    <w:rsid w:val="006D239F"/>
  </w:style>
  <w:style w:type="table" w:customStyle="1" w:styleId="Tablaconcuadrcula13011">
    <w:name w:val="Tabla con cuadrícula 130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494">
    <w:name w:val="Sin lista1494"/>
    <w:next w:val="Sinlista"/>
    <w:semiHidden/>
    <w:rsid w:val="006D239F"/>
  </w:style>
  <w:style w:type="table" w:customStyle="1" w:styleId="Tablaconcuadrcula2721">
    <w:name w:val="Tabla con cuadrícula27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04">
    <w:name w:val="Sin lista1504"/>
    <w:next w:val="Sinlista"/>
    <w:semiHidden/>
    <w:rsid w:val="006D239F"/>
  </w:style>
  <w:style w:type="table" w:customStyle="1" w:styleId="Tablaconcuadrcula2731">
    <w:name w:val="Tabla con cuadrícula27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41">
    <w:name w:val="Tabla con cuadrícula27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51">
    <w:name w:val="Tabla con cuadrícula27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16">
    <w:name w:val="Sin lista1516"/>
    <w:next w:val="Sinlista"/>
    <w:semiHidden/>
    <w:rsid w:val="006D239F"/>
  </w:style>
  <w:style w:type="numbering" w:customStyle="1" w:styleId="Sinlista1524">
    <w:name w:val="Sin lista1524"/>
    <w:next w:val="Sinlista"/>
    <w:semiHidden/>
    <w:rsid w:val="006D239F"/>
  </w:style>
  <w:style w:type="table" w:customStyle="1" w:styleId="Tablaconcuadrcula2761">
    <w:name w:val="Tabla con cuadrícula27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34">
    <w:name w:val="Sin lista1534"/>
    <w:next w:val="Sinlista"/>
    <w:semiHidden/>
    <w:rsid w:val="006D239F"/>
  </w:style>
  <w:style w:type="table" w:customStyle="1" w:styleId="Tablaconcuadrcula13110">
    <w:name w:val="Tabla con cuadrícula 131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771">
    <w:name w:val="Tabla con cuadrícula27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44">
    <w:name w:val="Sin lista1544"/>
    <w:next w:val="Sinlista"/>
    <w:semiHidden/>
    <w:rsid w:val="006D239F"/>
  </w:style>
  <w:style w:type="table" w:customStyle="1" w:styleId="Tablaconcuadrcula2781">
    <w:name w:val="Tabla con cuadrícula27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91">
    <w:name w:val="Tabla con cuadrícula27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54">
    <w:name w:val="Sin lista1554"/>
    <w:next w:val="Sinlista"/>
    <w:semiHidden/>
    <w:rsid w:val="006D239F"/>
  </w:style>
  <w:style w:type="table" w:customStyle="1" w:styleId="Tablaconcuadrcula2801">
    <w:name w:val="Tabla con cuadrícula28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11">
    <w:name w:val="Tabla con cuadrícula28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210">
    <w:name w:val="Tabla con cuadrícula 132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821">
    <w:name w:val="Tabla con cuadrícula28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31">
    <w:name w:val="Tabla con cuadrícula28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0120">
    <w:name w:val="Tabla con cuadrícula11012"/>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61">
    <w:name w:val="Sin lista1561"/>
    <w:next w:val="Sinlista"/>
    <w:semiHidden/>
    <w:rsid w:val="006D239F"/>
  </w:style>
  <w:style w:type="table" w:customStyle="1" w:styleId="Tablaconcuadrcula2841">
    <w:name w:val="Tabla con cuadrícula28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14">
    <w:name w:val="Tabla con cuadrícula16014"/>
    <w:basedOn w:val="Tablanormal"/>
    <w:next w:val="Tablaconcuadrcula"/>
    <w:rsid w:val="006D239F"/>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01">
    <w:name w:val="Tabla con cuadrícula21101"/>
    <w:basedOn w:val="Tablanormal"/>
    <w:next w:val="Tablaconcuadrcula"/>
    <w:rsid w:val="006D239F"/>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01">
    <w:name w:val="Tabla con cuadrícula22101"/>
    <w:basedOn w:val="Tablanormal"/>
    <w:next w:val="Tablaconcuadrcula"/>
    <w:rsid w:val="006D239F"/>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01">
    <w:name w:val="Tabla con cuadrícula23101"/>
    <w:basedOn w:val="Tablanormal"/>
    <w:next w:val="Tablaconcuadrcula"/>
    <w:rsid w:val="006D239F"/>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71">
    <w:name w:val="Sin lista1571"/>
    <w:next w:val="Sinlista"/>
    <w:semiHidden/>
    <w:unhideWhenUsed/>
    <w:rsid w:val="006D239F"/>
  </w:style>
  <w:style w:type="numbering" w:customStyle="1" w:styleId="Sinlista2101">
    <w:name w:val="Sin lista2101"/>
    <w:next w:val="Sinlista"/>
    <w:semiHidden/>
    <w:unhideWhenUsed/>
    <w:rsid w:val="006D239F"/>
  </w:style>
  <w:style w:type="table" w:customStyle="1" w:styleId="Tablabsica114">
    <w:name w:val="Tabla básica 114"/>
    <w:basedOn w:val="Tablanormal"/>
    <w:next w:val="Tablabsica1"/>
    <w:rsid w:val="006D239F"/>
    <w:rPr>
      <w:rFonts w:eastAsia="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01">
    <w:name w:val="Sin lista11101"/>
    <w:next w:val="Sinlista"/>
    <w:semiHidden/>
    <w:rsid w:val="006D239F"/>
  </w:style>
  <w:style w:type="table" w:customStyle="1" w:styleId="Tablaconcuadrcula111010">
    <w:name w:val="Tabla con cuadrícula111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310">
    <w:name w:val="Tabla con cuadrícula 133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24">
    <w:name w:val="Tabla con cuadrícula19024"/>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14">
    <w:name w:val="Tabla con cuadrícula29314"/>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02">
    <w:name w:val="Tabla con cuadrícula6102"/>
    <w:basedOn w:val="Tablanormal"/>
    <w:next w:val="Tablaconcuadrcula"/>
    <w:rsid w:val="006D239F"/>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01">
    <w:name w:val="Sin lista3101"/>
    <w:next w:val="Sinlista"/>
    <w:semiHidden/>
    <w:unhideWhenUsed/>
    <w:rsid w:val="006D239F"/>
  </w:style>
  <w:style w:type="table" w:customStyle="1" w:styleId="Tablaconcuadrcula18214">
    <w:name w:val="Tabla con cuadrícula18214"/>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31">
    <w:name w:val="Tabla con cuadrícula51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01">
    <w:name w:val="Sin lista4101"/>
    <w:next w:val="Sinlista"/>
    <w:semiHidden/>
    <w:rsid w:val="006D239F"/>
  </w:style>
  <w:style w:type="numbering" w:customStyle="1" w:styleId="Sinlista5101">
    <w:name w:val="Sin lista5101"/>
    <w:next w:val="Sinlista"/>
    <w:semiHidden/>
    <w:unhideWhenUsed/>
    <w:rsid w:val="006D239F"/>
  </w:style>
  <w:style w:type="numbering" w:customStyle="1" w:styleId="Sinlista12101">
    <w:name w:val="Sin lista12101"/>
    <w:next w:val="Sinlista"/>
    <w:semiHidden/>
    <w:rsid w:val="006D239F"/>
  </w:style>
  <w:style w:type="numbering" w:customStyle="1" w:styleId="Sinlista6101">
    <w:name w:val="Sin lista6101"/>
    <w:next w:val="Sinlista"/>
    <w:semiHidden/>
    <w:unhideWhenUsed/>
    <w:rsid w:val="006D239F"/>
  </w:style>
  <w:style w:type="numbering" w:customStyle="1" w:styleId="Sinlista7101">
    <w:name w:val="Sin lista7101"/>
    <w:next w:val="Sinlista"/>
    <w:semiHidden/>
    <w:unhideWhenUsed/>
    <w:rsid w:val="006D239F"/>
  </w:style>
  <w:style w:type="table" w:customStyle="1" w:styleId="Tablaconcuadrcula121010">
    <w:name w:val="Tabla con cuadrícula121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01">
    <w:name w:val="Sin lista8101"/>
    <w:next w:val="Sinlista"/>
    <w:semiHidden/>
    <w:unhideWhenUsed/>
    <w:rsid w:val="006D239F"/>
  </w:style>
  <w:style w:type="numbering" w:customStyle="1" w:styleId="Sinlista9101">
    <w:name w:val="Sin lista9101"/>
    <w:next w:val="Sinlista"/>
    <w:semiHidden/>
    <w:rsid w:val="006D239F"/>
  </w:style>
  <w:style w:type="numbering" w:customStyle="1" w:styleId="Sinlista10101">
    <w:name w:val="Sin lista10101"/>
    <w:next w:val="Sinlista"/>
    <w:semiHidden/>
    <w:unhideWhenUsed/>
    <w:rsid w:val="006D239F"/>
  </w:style>
  <w:style w:type="numbering" w:customStyle="1" w:styleId="Sinlista13101">
    <w:name w:val="Sin lista13101"/>
    <w:next w:val="Sinlista"/>
    <w:semiHidden/>
    <w:rsid w:val="006D239F"/>
  </w:style>
  <w:style w:type="table" w:customStyle="1" w:styleId="Tablaconcuadrcula5214">
    <w:name w:val="Tabla con cuadrícula5214"/>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01">
    <w:name w:val="Tabla con cuadrícula15101"/>
    <w:basedOn w:val="Tablanormal"/>
    <w:next w:val="Tablaconcuadrcula"/>
    <w:rsid w:val="006D239F"/>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01">
    <w:name w:val="Sin lista14101"/>
    <w:next w:val="Sinlista"/>
    <w:semiHidden/>
    <w:rsid w:val="006D239F"/>
  </w:style>
  <w:style w:type="numbering" w:customStyle="1" w:styleId="Sinlista1581">
    <w:name w:val="Sin lista1581"/>
    <w:next w:val="Sinlista"/>
    <w:semiHidden/>
    <w:rsid w:val="006D239F"/>
  </w:style>
  <w:style w:type="numbering" w:customStyle="1" w:styleId="Sinlista1614">
    <w:name w:val="Sin lista1614"/>
    <w:next w:val="Sinlista"/>
    <w:semiHidden/>
    <w:rsid w:val="006D239F"/>
  </w:style>
  <w:style w:type="table" w:customStyle="1" w:styleId="Tablaconcuadrcula19101">
    <w:name w:val="Tabla con cuadrícula19101"/>
    <w:basedOn w:val="Tablanormal"/>
    <w:next w:val="Tablaconcuadrcula"/>
    <w:rsid w:val="006D239F"/>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14">
    <w:name w:val="Sin lista1714"/>
    <w:next w:val="Sinlista"/>
    <w:semiHidden/>
    <w:rsid w:val="006D239F"/>
  </w:style>
  <w:style w:type="numbering" w:customStyle="1" w:styleId="Sinlista1814">
    <w:name w:val="Sin lista1814"/>
    <w:next w:val="Sinlista"/>
    <w:semiHidden/>
    <w:rsid w:val="006D239F"/>
  </w:style>
  <w:style w:type="table" w:customStyle="1" w:styleId="Tablaconcuadrcula11021">
    <w:name w:val="Tabla con cuadrícula110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5">
    <w:name w:val="1 / 1.1 / 1.1.115"/>
    <w:basedOn w:val="Sinlista"/>
    <w:next w:val="111111"/>
    <w:rsid w:val="006D239F"/>
  </w:style>
  <w:style w:type="numbering" w:customStyle="1" w:styleId="Sinlista1914">
    <w:name w:val="Sin lista1914"/>
    <w:next w:val="Sinlista"/>
    <w:semiHidden/>
    <w:unhideWhenUsed/>
    <w:rsid w:val="006D239F"/>
  </w:style>
  <w:style w:type="table" w:customStyle="1" w:styleId="Tablaconcuadrcula20714">
    <w:name w:val="Tabla con cuadrícula20714"/>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13">
    <w:name w:val="1 / 1.1 / 1.1.1113"/>
    <w:basedOn w:val="Sinlista"/>
    <w:next w:val="111111"/>
    <w:rsid w:val="006D239F"/>
  </w:style>
  <w:style w:type="table" w:customStyle="1" w:styleId="Tablaconcuadrcula25101">
    <w:name w:val="Tabla con cuadrícula25101"/>
    <w:basedOn w:val="Tablanormal"/>
    <w:next w:val="Tablaconcuadrcula"/>
    <w:rsid w:val="006D239F"/>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01">
    <w:name w:val="Tabla con cuadrícula26101"/>
    <w:basedOn w:val="Tablanormal"/>
    <w:next w:val="Tablaconcuadrcula"/>
    <w:rsid w:val="006D239F"/>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2014">
    <w:name w:val="Sin lista2014"/>
    <w:next w:val="Sinlista"/>
    <w:semiHidden/>
    <w:rsid w:val="006D239F"/>
  </w:style>
  <w:style w:type="table" w:customStyle="1" w:styleId="Tablaconcuadrcula27101">
    <w:name w:val="Tabla con cuadrícula27101"/>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111">
    <w:name w:val="Tabla con cuadrícula160111"/>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14">
    <w:name w:val="Tabla con cuadrícula21114"/>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14">
    <w:name w:val="Tabla con cuadrícula22114"/>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14">
    <w:name w:val="Tabla con cuadrícula23114"/>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14">
    <w:name w:val="Sin lista11014"/>
    <w:next w:val="Sinlista"/>
    <w:semiHidden/>
    <w:unhideWhenUsed/>
    <w:rsid w:val="006D239F"/>
  </w:style>
  <w:style w:type="numbering" w:customStyle="1" w:styleId="Sinlista2114">
    <w:name w:val="Sin lista2114"/>
    <w:next w:val="Sinlista"/>
    <w:semiHidden/>
    <w:unhideWhenUsed/>
    <w:rsid w:val="006D239F"/>
  </w:style>
  <w:style w:type="table" w:customStyle="1" w:styleId="Tablabsica1111">
    <w:name w:val="Tabla básica 1111"/>
    <w:basedOn w:val="Tablanormal"/>
    <w:next w:val="Tablabsica1"/>
    <w:rsid w:val="006D239F"/>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111">
    <w:name w:val="Sin lista111111"/>
    <w:next w:val="Sinlista"/>
    <w:semiHidden/>
    <w:rsid w:val="006D239F"/>
  </w:style>
  <w:style w:type="table" w:customStyle="1" w:styleId="Tablaconcuadrcula11114">
    <w:name w:val="Tabla con cuadrícula11114"/>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011">
    <w:name w:val="Tabla con cuadrícula 11101"/>
    <w:basedOn w:val="Tablanormal"/>
    <w:next w:val="Tablaconcuadrcula10"/>
    <w:rsid w:val="006D239F"/>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211">
    <w:name w:val="Tabla con cuadrícula190211"/>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111">
    <w:name w:val="Tabla con cuadrícula293111"/>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14">
    <w:name w:val="Tabla con cuadrícula6114"/>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14">
    <w:name w:val="Sin lista3114"/>
    <w:next w:val="Sinlista"/>
    <w:semiHidden/>
    <w:unhideWhenUsed/>
    <w:rsid w:val="006D239F"/>
  </w:style>
  <w:style w:type="table" w:customStyle="1" w:styleId="Tablaconcuadrcula182111">
    <w:name w:val="Tabla con cuadrícula182111"/>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14">
    <w:name w:val="Tabla con cuadrícula51114"/>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14">
    <w:name w:val="Sin lista4114"/>
    <w:next w:val="Sinlista"/>
    <w:semiHidden/>
    <w:rsid w:val="006D239F"/>
  </w:style>
  <w:style w:type="numbering" w:customStyle="1" w:styleId="Sinlista5114">
    <w:name w:val="Sin lista5114"/>
    <w:next w:val="Sinlista"/>
    <w:semiHidden/>
    <w:unhideWhenUsed/>
    <w:rsid w:val="006D239F"/>
  </w:style>
  <w:style w:type="numbering" w:customStyle="1" w:styleId="Sinlista12114">
    <w:name w:val="Sin lista12114"/>
    <w:next w:val="Sinlista"/>
    <w:semiHidden/>
    <w:rsid w:val="006D239F"/>
  </w:style>
  <w:style w:type="numbering" w:customStyle="1" w:styleId="Sinlista6114">
    <w:name w:val="Sin lista6114"/>
    <w:next w:val="Sinlista"/>
    <w:semiHidden/>
    <w:unhideWhenUsed/>
    <w:rsid w:val="006D239F"/>
  </w:style>
  <w:style w:type="numbering" w:customStyle="1" w:styleId="Sinlista7114">
    <w:name w:val="Sin lista7114"/>
    <w:next w:val="Sinlista"/>
    <w:semiHidden/>
    <w:unhideWhenUsed/>
    <w:rsid w:val="006D239F"/>
  </w:style>
  <w:style w:type="table" w:customStyle="1" w:styleId="Tablaconcuadrcula12114">
    <w:name w:val="Tabla con cuadrícula12114"/>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14">
    <w:name w:val="Sin lista8114"/>
    <w:next w:val="Sinlista"/>
    <w:semiHidden/>
    <w:unhideWhenUsed/>
    <w:rsid w:val="006D239F"/>
  </w:style>
  <w:style w:type="numbering" w:customStyle="1" w:styleId="Sinlista9114">
    <w:name w:val="Sin lista9114"/>
    <w:next w:val="Sinlista"/>
    <w:semiHidden/>
    <w:rsid w:val="006D239F"/>
  </w:style>
  <w:style w:type="numbering" w:customStyle="1" w:styleId="Sinlista10114">
    <w:name w:val="Sin lista10114"/>
    <w:next w:val="Sinlista"/>
    <w:semiHidden/>
    <w:unhideWhenUsed/>
    <w:rsid w:val="006D239F"/>
  </w:style>
  <w:style w:type="numbering" w:customStyle="1" w:styleId="Sinlista13114">
    <w:name w:val="Sin lista13114"/>
    <w:next w:val="Sinlista"/>
    <w:semiHidden/>
    <w:rsid w:val="006D239F"/>
  </w:style>
  <w:style w:type="table" w:customStyle="1" w:styleId="Tablaconcuadrcula52111">
    <w:name w:val="Tabla con cuadrícula52111"/>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14">
    <w:name w:val="Tabla con cuadrícula15114"/>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14">
    <w:name w:val="Sin lista14114"/>
    <w:next w:val="Sinlista"/>
    <w:semiHidden/>
    <w:rsid w:val="006D239F"/>
  </w:style>
  <w:style w:type="numbering" w:customStyle="1" w:styleId="Sinlista15114">
    <w:name w:val="Sin lista15114"/>
    <w:next w:val="Sinlista"/>
    <w:semiHidden/>
    <w:rsid w:val="006D239F"/>
  </w:style>
  <w:style w:type="numbering" w:customStyle="1" w:styleId="Sinlista16111">
    <w:name w:val="Sin lista16111"/>
    <w:next w:val="Sinlista"/>
    <w:semiHidden/>
    <w:rsid w:val="006D239F"/>
  </w:style>
  <w:style w:type="table" w:customStyle="1" w:styleId="Tablaconcuadrcula19114">
    <w:name w:val="Tabla con cuadrícula19114"/>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111">
    <w:name w:val="Sin lista17111"/>
    <w:next w:val="Sinlista"/>
    <w:semiHidden/>
    <w:rsid w:val="006D239F"/>
  </w:style>
  <w:style w:type="numbering" w:customStyle="1" w:styleId="Sinlista18111">
    <w:name w:val="Sin lista18111"/>
    <w:next w:val="Sinlista"/>
    <w:semiHidden/>
    <w:rsid w:val="006D239F"/>
  </w:style>
  <w:style w:type="numbering" w:customStyle="1" w:styleId="11111124">
    <w:name w:val="1 / 1.1 / 1.1.124"/>
    <w:basedOn w:val="Sinlista"/>
    <w:next w:val="111111"/>
    <w:rsid w:val="006D239F"/>
    <w:pPr>
      <w:numPr>
        <w:numId w:val="13"/>
      </w:numPr>
    </w:pPr>
  </w:style>
  <w:style w:type="numbering" w:customStyle="1" w:styleId="Sinlista19111">
    <w:name w:val="Sin lista19111"/>
    <w:next w:val="Sinlista"/>
    <w:semiHidden/>
    <w:unhideWhenUsed/>
    <w:rsid w:val="006D239F"/>
  </w:style>
  <w:style w:type="table" w:customStyle="1" w:styleId="Tablaconcuadrcula207111">
    <w:name w:val="Tabla con cuadrícula207111"/>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114">
    <w:name w:val="Tabla con cuadrícula25114"/>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14">
    <w:name w:val="Tabla con cuadrícula26114"/>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7114">
    <w:name w:val="Tabla con cuadrícula27114"/>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111">
    <w:name w:val="Sin lista20111"/>
    <w:next w:val="Sinlista"/>
    <w:semiHidden/>
    <w:rsid w:val="006D239F"/>
  </w:style>
  <w:style w:type="numbering" w:customStyle="1" w:styleId="Sinlista21111">
    <w:name w:val="Sin lista21111"/>
    <w:next w:val="Sinlista"/>
    <w:semiHidden/>
    <w:rsid w:val="006D239F"/>
  </w:style>
  <w:style w:type="numbering" w:customStyle="1" w:styleId="Sinlista2211">
    <w:name w:val="Sin lista2211"/>
    <w:next w:val="Sinlista"/>
    <w:semiHidden/>
    <w:rsid w:val="006D239F"/>
  </w:style>
  <w:style w:type="numbering" w:customStyle="1" w:styleId="Sinlista2311">
    <w:name w:val="Sin lista2311"/>
    <w:next w:val="Sinlista"/>
    <w:semiHidden/>
    <w:rsid w:val="006D239F"/>
  </w:style>
  <w:style w:type="numbering" w:customStyle="1" w:styleId="Sinlista2411">
    <w:name w:val="Sin lista2411"/>
    <w:next w:val="Sinlista"/>
    <w:semiHidden/>
    <w:rsid w:val="006D239F"/>
  </w:style>
  <w:style w:type="numbering" w:customStyle="1" w:styleId="Sinlista2511">
    <w:name w:val="Sin lista2511"/>
    <w:next w:val="Sinlista"/>
    <w:semiHidden/>
    <w:rsid w:val="006D239F"/>
  </w:style>
  <w:style w:type="numbering" w:customStyle="1" w:styleId="Sinlista2611">
    <w:name w:val="Sin lista2611"/>
    <w:next w:val="Sinlista"/>
    <w:semiHidden/>
    <w:rsid w:val="006D239F"/>
  </w:style>
  <w:style w:type="numbering" w:customStyle="1" w:styleId="Sinlista2711">
    <w:name w:val="Sin lista2711"/>
    <w:next w:val="Sinlista"/>
    <w:semiHidden/>
    <w:rsid w:val="006D239F"/>
  </w:style>
  <w:style w:type="numbering" w:customStyle="1" w:styleId="Sinlista2811">
    <w:name w:val="Sin lista2811"/>
    <w:next w:val="Sinlista"/>
    <w:semiHidden/>
    <w:rsid w:val="006D239F"/>
  </w:style>
  <w:style w:type="numbering" w:customStyle="1" w:styleId="Sinlista2911">
    <w:name w:val="Sin lista2911"/>
    <w:next w:val="Sinlista"/>
    <w:semiHidden/>
    <w:rsid w:val="006D239F"/>
  </w:style>
  <w:style w:type="numbering" w:customStyle="1" w:styleId="Sinlista3011">
    <w:name w:val="Sin lista3011"/>
    <w:next w:val="Sinlista"/>
    <w:semiHidden/>
    <w:rsid w:val="006D239F"/>
  </w:style>
  <w:style w:type="numbering" w:customStyle="1" w:styleId="Sinlista31111">
    <w:name w:val="Sin lista31111"/>
    <w:next w:val="Sinlista"/>
    <w:semiHidden/>
    <w:rsid w:val="006D239F"/>
  </w:style>
  <w:style w:type="table" w:customStyle="1" w:styleId="Tablaconcuadrcula61111">
    <w:name w:val="Tabla con cuadrícula611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11">
    <w:name w:val="Sin lista3211"/>
    <w:next w:val="Sinlista"/>
    <w:semiHidden/>
    <w:rsid w:val="006D239F"/>
  </w:style>
  <w:style w:type="numbering" w:customStyle="1" w:styleId="Sinlista3311">
    <w:name w:val="Sin lista3311"/>
    <w:next w:val="Sinlista"/>
    <w:semiHidden/>
    <w:unhideWhenUsed/>
    <w:rsid w:val="006D239F"/>
  </w:style>
  <w:style w:type="numbering" w:customStyle="1" w:styleId="Sinlista3411">
    <w:name w:val="Sin lista3411"/>
    <w:next w:val="Sinlista"/>
    <w:semiHidden/>
    <w:rsid w:val="006D239F"/>
  </w:style>
  <w:style w:type="numbering" w:customStyle="1" w:styleId="Sinlista3511">
    <w:name w:val="Sin lista3511"/>
    <w:next w:val="Sinlista"/>
    <w:semiHidden/>
    <w:rsid w:val="006D239F"/>
  </w:style>
  <w:style w:type="numbering" w:customStyle="1" w:styleId="Sinlista3611">
    <w:name w:val="Sin lista3611"/>
    <w:next w:val="Sinlista"/>
    <w:semiHidden/>
    <w:rsid w:val="006D239F"/>
  </w:style>
  <w:style w:type="numbering" w:customStyle="1" w:styleId="Sinlista3711">
    <w:name w:val="Sin lista3711"/>
    <w:next w:val="Sinlista"/>
    <w:semiHidden/>
    <w:rsid w:val="006D239F"/>
  </w:style>
  <w:style w:type="numbering" w:customStyle="1" w:styleId="Sinlista3811">
    <w:name w:val="Sin lista3811"/>
    <w:next w:val="Sinlista"/>
    <w:semiHidden/>
    <w:rsid w:val="006D239F"/>
  </w:style>
  <w:style w:type="numbering" w:customStyle="1" w:styleId="Sinlista3911">
    <w:name w:val="Sin lista3911"/>
    <w:next w:val="Sinlista"/>
    <w:semiHidden/>
    <w:rsid w:val="006D239F"/>
  </w:style>
  <w:style w:type="numbering" w:customStyle="1" w:styleId="Sinlista4011">
    <w:name w:val="Sin lista4011"/>
    <w:next w:val="Sinlista"/>
    <w:semiHidden/>
    <w:rsid w:val="006D239F"/>
  </w:style>
  <w:style w:type="numbering" w:customStyle="1" w:styleId="Sinlista41111">
    <w:name w:val="Sin lista41111"/>
    <w:next w:val="Sinlista"/>
    <w:semiHidden/>
    <w:rsid w:val="006D239F"/>
  </w:style>
  <w:style w:type="numbering" w:customStyle="1" w:styleId="Sinlista4211">
    <w:name w:val="Sin lista4211"/>
    <w:next w:val="Sinlista"/>
    <w:semiHidden/>
    <w:rsid w:val="006D239F"/>
  </w:style>
  <w:style w:type="numbering" w:customStyle="1" w:styleId="Sinlista4311">
    <w:name w:val="Sin lista4311"/>
    <w:next w:val="Sinlista"/>
    <w:semiHidden/>
    <w:rsid w:val="006D239F"/>
  </w:style>
  <w:style w:type="numbering" w:customStyle="1" w:styleId="Sinlista4411">
    <w:name w:val="Sin lista4411"/>
    <w:next w:val="Sinlista"/>
    <w:semiHidden/>
    <w:rsid w:val="006D239F"/>
  </w:style>
  <w:style w:type="numbering" w:customStyle="1" w:styleId="Sinlista4511">
    <w:name w:val="Sin lista4511"/>
    <w:next w:val="Sinlista"/>
    <w:semiHidden/>
    <w:rsid w:val="006D239F"/>
  </w:style>
  <w:style w:type="numbering" w:customStyle="1" w:styleId="Sinlista4611">
    <w:name w:val="Sin lista4611"/>
    <w:next w:val="Sinlista"/>
    <w:semiHidden/>
    <w:rsid w:val="006D239F"/>
  </w:style>
  <w:style w:type="numbering" w:customStyle="1" w:styleId="Sinlista4711">
    <w:name w:val="Sin lista4711"/>
    <w:next w:val="Sinlista"/>
    <w:semiHidden/>
    <w:rsid w:val="006D239F"/>
  </w:style>
  <w:style w:type="numbering" w:customStyle="1" w:styleId="Sinlista4811">
    <w:name w:val="Sin lista4811"/>
    <w:next w:val="Sinlista"/>
    <w:semiHidden/>
    <w:rsid w:val="006D239F"/>
  </w:style>
  <w:style w:type="numbering" w:customStyle="1" w:styleId="Sinlista4911">
    <w:name w:val="Sin lista4911"/>
    <w:next w:val="Sinlista"/>
    <w:semiHidden/>
    <w:rsid w:val="006D239F"/>
  </w:style>
  <w:style w:type="numbering" w:customStyle="1" w:styleId="Sinlista5011">
    <w:name w:val="Sin lista5011"/>
    <w:next w:val="Sinlista"/>
    <w:semiHidden/>
    <w:rsid w:val="006D239F"/>
  </w:style>
  <w:style w:type="numbering" w:customStyle="1" w:styleId="Sinlista51111">
    <w:name w:val="Sin lista51111"/>
    <w:next w:val="Sinlista"/>
    <w:semiHidden/>
    <w:rsid w:val="006D239F"/>
  </w:style>
  <w:style w:type="numbering" w:customStyle="1" w:styleId="Sinlista5211">
    <w:name w:val="Sin lista5211"/>
    <w:next w:val="Sinlista"/>
    <w:semiHidden/>
    <w:rsid w:val="006D239F"/>
  </w:style>
  <w:style w:type="numbering" w:customStyle="1" w:styleId="Sinlista5311">
    <w:name w:val="Sin lista5311"/>
    <w:next w:val="Sinlista"/>
    <w:semiHidden/>
    <w:rsid w:val="006D239F"/>
  </w:style>
  <w:style w:type="numbering" w:customStyle="1" w:styleId="Sinlista5411">
    <w:name w:val="Sin lista5411"/>
    <w:next w:val="Sinlista"/>
    <w:semiHidden/>
    <w:rsid w:val="006D239F"/>
  </w:style>
  <w:style w:type="numbering" w:customStyle="1" w:styleId="Sinlista5511">
    <w:name w:val="Sin lista5511"/>
    <w:next w:val="Sinlista"/>
    <w:semiHidden/>
    <w:rsid w:val="006D239F"/>
  </w:style>
  <w:style w:type="numbering" w:customStyle="1" w:styleId="Sinlista5611">
    <w:name w:val="Sin lista5611"/>
    <w:next w:val="Sinlista"/>
    <w:semiHidden/>
    <w:rsid w:val="006D239F"/>
  </w:style>
  <w:style w:type="numbering" w:customStyle="1" w:styleId="Sinlista5711">
    <w:name w:val="Sin lista5711"/>
    <w:next w:val="Sinlista"/>
    <w:semiHidden/>
    <w:rsid w:val="006D239F"/>
  </w:style>
  <w:style w:type="numbering" w:customStyle="1" w:styleId="Sinlista5811">
    <w:name w:val="Sin lista5811"/>
    <w:next w:val="Sinlista"/>
    <w:semiHidden/>
    <w:rsid w:val="006D239F"/>
  </w:style>
  <w:style w:type="numbering" w:customStyle="1" w:styleId="Sinlista5911">
    <w:name w:val="Sin lista5911"/>
    <w:next w:val="Sinlista"/>
    <w:semiHidden/>
    <w:rsid w:val="006D239F"/>
  </w:style>
  <w:style w:type="table" w:customStyle="1" w:styleId="Tablaconcuadrcula111111">
    <w:name w:val="Tabla con cuadrícula1111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11">
    <w:name w:val="Sin lista6011"/>
    <w:next w:val="Sinlista"/>
    <w:semiHidden/>
    <w:rsid w:val="006D239F"/>
  </w:style>
  <w:style w:type="numbering" w:customStyle="1" w:styleId="Sinlista61111">
    <w:name w:val="Sin lista61111"/>
    <w:next w:val="Sinlista"/>
    <w:semiHidden/>
    <w:rsid w:val="006D239F"/>
  </w:style>
  <w:style w:type="numbering" w:customStyle="1" w:styleId="Sinlista6211">
    <w:name w:val="Sin lista6211"/>
    <w:next w:val="Sinlista"/>
    <w:semiHidden/>
    <w:rsid w:val="006D239F"/>
  </w:style>
  <w:style w:type="numbering" w:customStyle="1" w:styleId="Sinlista6311">
    <w:name w:val="Sin lista6311"/>
    <w:next w:val="Sinlista"/>
    <w:semiHidden/>
    <w:rsid w:val="006D239F"/>
  </w:style>
  <w:style w:type="numbering" w:customStyle="1" w:styleId="Sinlista6411">
    <w:name w:val="Sin lista6411"/>
    <w:next w:val="Sinlista"/>
    <w:semiHidden/>
    <w:rsid w:val="006D239F"/>
  </w:style>
  <w:style w:type="numbering" w:customStyle="1" w:styleId="Sinlista6511">
    <w:name w:val="Sin lista6511"/>
    <w:next w:val="Sinlista"/>
    <w:semiHidden/>
    <w:rsid w:val="006D239F"/>
  </w:style>
  <w:style w:type="numbering" w:customStyle="1" w:styleId="Sinlista6611">
    <w:name w:val="Sin lista6611"/>
    <w:next w:val="Sinlista"/>
    <w:semiHidden/>
    <w:rsid w:val="006D239F"/>
  </w:style>
  <w:style w:type="numbering" w:customStyle="1" w:styleId="Sinlista6711">
    <w:name w:val="Sin lista6711"/>
    <w:next w:val="Sinlista"/>
    <w:semiHidden/>
    <w:rsid w:val="006D239F"/>
  </w:style>
  <w:style w:type="numbering" w:customStyle="1" w:styleId="Sinlista6811">
    <w:name w:val="Sin lista6811"/>
    <w:next w:val="Sinlista"/>
    <w:semiHidden/>
    <w:rsid w:val="006D239F"/>
  </w:style>
  <w:style w:type="table" w:customStyle="1" w:styleId="Tablaconcuadrcula121111">
    <w:name w:val="Tabla con cuadrícula1211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11">
    <w:name w:val="Sin lista6911"/>
    <w:next w:val="Sinlista"/>
    <w:semiHidden/>
    <w:rsid w:val="006D239F"/>
  </w:style>
  <w:style w:type="numbering" w:customStyle="1" w:styleId="Sinlista7011">
    <w:name w:val="Sin lista7011"/>
    <w:next w:val="Sinlista"/>
    <w:semiHidden/>
    <w:rsid w:val="006D239F"/>
  </w:style>
  <w:style w:type="numbering" w:customStyle="1" w:styleId="Sinlista71111">
    <w:name w:val="Sin lista71111"/>
    <w:next w:val="Sinlista"/>
    <w:semiHidden/>
    <w:rsid w:val="006D239F"/>
  </w:style>
  <w:style w:type="numbering" w:customStyle="1" w:styleId="Sinlista7211">
    <w:name w:val="Sin lista7211"/>
    <w:next w:val="Sinlista"/>
    <w:semiHidden/>
    <w:rsid w:val="006D239F"/>
  </w:style>
  <w:style w:type="numbering" w:customStyle="1" w:styleId="Sinlista7311">
    <w:name w:val="Sin lista7311"/>
    <w:next w:val="Sinlista"/>
    <w:semiHidden/>
    <w:rsid w:val="006D239F"/>
  </w:style>
  <w:style w:type="numbering" w:customStyle="1" w:styleId="Sinlista7411">
    <w:name w:val="Sin lista7411"/>
    <w:next w:val="Sinlista"/>
    <w:semiHidden/>
    <w:rsid w:val="006D239F"/>
  </w:style>
  <w:style w:type="numbering" w:customStyle="1" w:styleId="Sinlista7511">
    <w:name w:val="Sin lista7511"/>
    <w:next w:val="Sinlista"/>
    <w:semiHidden/>
    <w:rsid w:val="006D239F"/>
  </w:style>
  <w:style w:type="numbering" w:customStyle="1" w:styleId="Sinlista7611">
    <w:name w:val="Sin lista7611"/>
    <w:next w:val="Sinlista"/>
    <w:semiHidden/>
    <w:rsid w:val="006D239F"/>
  </w:style>
  <w:style w:type="table" w:customStyle="1" w:styleId="Tablaconcuadrcula511111">
    <w:name w:val="Tabla con cuadrícula5111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711">
    <w:name w:val="Sin lista7711"/>
    <w:next w:val="Sinlista"/>
    <w:semiHidden/>
    <w:rsid w:val="006D239F"/>
  </w:style>
  <w:style w:type="table" w:customStyle="1" w:styleId="Tablaconcuadrcula151111">
    <w:name w:val="Tabla con cuadrícula1511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811">
    <w:name w:val="Sin lista7811"/>
    <w:next w:val="Sinlista"/>
    <w:semiHidden/>
    <w:rsid w:val="006D239F"/>
  </w:style>
  <w:style w:type="numbering" w:customStyle="1" w:styleId="Sinlista7911">
    <w:name w:val="Sin lista7911"/>
    <w:next w:val="Sinlista"/>
    <w:semiHidden/>
    <w:rsid w:val="006D239F"/>
  </w:style>
  <w:style w:type="numbering" w:customStyle="1" w:styleId="Sinlista8011">
    <w:name w:val="Sin lista8011"/>
    <w:next w:val="Sinlista"/>
    <w:semiHidden/>
    <w:rsid w:val="006D239F"/>
  </w:style>
  <w:style w:type="numbering" w:customStyle="1" w:styleId="Sinlista81111">
    <w:name w:val="Sin lista81111"/>
    <w:next w:val="Sinlista"/>
    <w:semiHidden/>
    <w:rsid w:val="006D239F"/>
  </w:style>
  <w:style w:type="numbering" w:customStyle="1" w:styleId="Sinlista8211">
    <w:name w:val="Sin lista8211"/>
    <w:next w:val="Sinlista"/>
    <w:semiHidden/>
    <w:rsid w:val="006D239F"/>
  </w:style>
  <w:style w:type="numbering" w:customStyle="1" w:styleId="Sinlista8311">
    <w:name w:val="Sin lista8311"/>
    <w:next w:val="Sinlista"/>
    <w:semiHidden/>
    <w:rsid w:val="006D239F"/>
  </w:style>
  <w:style w:type="numbering" w:customStyle="1" w:styleId="Sinlista8411">
    <w:name w:val="Sin lista8411"/>
    <w:next w:val="Sinlista"/>
    <w:semiHidden/>
    <w:rsid w:val="006D239F"/>
  </w:style>
  <w:style w:type="numbering" w:customStyle="1" w:styleId="Sinlista8511">
    <w:name w:val="Sin lista8511"/>
    <w:next w:val="Sinlista"/>
    <w:semiHidden/>
    <w:rsid w:val="006D239F"/>
  </w:style>
  <w:style w:type="numbering" w:customStyle="1" w:styleId="Sinlista8611">
    <w:name w:val="Sin lista8611"/>
    <w:next w:val="Sinlista"/>
    <w:semiHidden/>
    <w:rsid w:val="006D239F"/>
  </w:style>
  <w:style w:type="numbering" w:customStyle="1" w:styleId="Sinlista8711">
    <w:name w:val="Sin lista8711"/>
    <w:next w:val="Sinlista"/>
    <w:semiHidden/>
    <w:rsid w:val="006D239F"/>
  </w:style>
  <w:style w:type="numbering" w:customStyle="1" w:styleId="Sinlista8811">
    <w:name w:val="Sin lista8811"/>
    <w:next w:val="Sinlista"/>
    <w:semiHidden/>
    <w:rsid w:val="006D239F"/>
  </w:style>
  <w:style w:type="numbering" w:customStyle="1" w:styleId="Sinlista8911">
    <w:name w:val="Sin lista8911"/>
    <w:next w:val="Sinlista"/>
    <w:semiHidden/>
    <w:rsid w:val="006D239F"/>
  </w:style>
  <w:style w:type="numbering" w:customStyle="1" w:styleId="Sinlista9011">
    <w:name w:val="Sin lista9011"/>
    <w:next w:val="Sinlista"/>
    <w:semiHidden/>
    <w:rsid w:val="006D239F"/>
  </w:style>
  <w:style w:type="numbering" w:customStyle="1" w:styleId="Sinlista91111">
    <w:name w:val="Sin lista91111"/>
    <w:next w:val="Sinlista"/>
    <w:semiHidden/>
    <w:rsid w:val="006D239F"/>
  </w:style>
  <w:style w:type="numbering" w:customStyle="1" w:styleId="Sinlista9211">
    <w:name w:val="Sin lista9211"/>
    <w:next w:val="Sinlista"/>
    <w:semiHidden/>
    <w:rsid w:val="006D239F"/>
  </w:style>
  <w:style w:type="numbering" w:customStyle="1" w:styleId="Sinlista9311">
    <w:name w:val="Sin lista9311"/>
    <w:next w:val="Sinlista"/>
    <w:semiHidden/>
    <w:rsid w:val="006D239F"/>
  </w:style>
  <w:style w:type="numbering" w:customStyle="1" w:styleId="Sinlista9411">
    <w:name w:val="Sin lista9411"/>
    <w:next w:val="Sinlista"/>
    <w:semiHidden/>
    <w:rsid w:val="006D239F"/>
  </w:style>
  <w:style w:type="numbering" w:customStyle="1" w:styleId="Sinlista9511">
    <w:name w:val="Sin lista9511"/>
    <w:next w:val="Sinlista"/>
    <w:semiHidden/>
    <w:rsid w:val="006D239F"/>
  </w:style>
  <w:style w:type="table" w:customStyle="1" w:styleId="Tablaconcuadrcula1099">
    <w:name w:val="Tabla con cuadrícula1099"/>
    <w:basedOn w:val="Tablanormal"/>
    <w:next w:val="Tablaconcuadrcula"/>
    <w:uiPriority w:val="59"/>
    <w:rsid w:val="0043163E"/>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578163">
      <w:bodyDiv w:val="1"/>
      <w:marLeft w:val="0"/>
      <w:marRight w:val="0"/>
      <w:marTop w:val="0"/>
      <w:marBottom w:val="0"/>
      <w:divBdr>
        <w:top w:val="none" w:sz="0" w:space="0" w:color="auto"/>
        <w:left w:val="none" w:sz="0" w:space="0" w:color="auto"/>
        <w:bottom w:val="none" w:sz="0" w:space="0" w:color="auto"/>
        <w:right w:val="none" w:sz="0" w:space="0" w:color="auto"/>
      </w:divBdr>
      <w:divsChild>
        <w:div w:id="973484287">
          <w:marLeft w:val="0"/>
          <w:marRight w:val="0"/>
          <w:marTop w:val="0"/>
          <w:marBottom w:val="0"/>
          <w:divBdr>
            <w:top w:val="none" w:sz="0" w:space="0" w:color="auto"/>
            <w:left w:val="none" w:sz="0" w:space="0" w:color="auto"/>
            <w:bottom w:val="none" w:sz="0" w:space="0" w:color="auto"/>
            <w:right w:val="none" w:sz="0" w:space="0" w:color="auto"/>
          </w:divBdr>
          <w:divsChild>
            <w:div w:id="41564519">
              <w:marLeft w:val="0"/>
              <w:marRight w:val="0"/>
              <w:marTop w:val="0"/>
              <w:marBottom w:val="0"/>
              <w:divBdr>
                <w:top w:val="none" w:sz="0" w:space="0" w:color="auto"/>
                <w:left w:val="none" w:sz="0" w:space="0" w:color="auto"/>
                <w:bottom w:val="none" w:sz="0" w:space="0" w:color="auto"/>
                <w:right w:val="none" w:sz="0" w:space="0" w:color="auto"/>
              </w:divBdr>
            </w:div>
            <w:div w:id="131093760">
              <w:marLeft w:val="0"/>
              <w:marRight w:val="0"/>
              <w:marTop w:val="0"/>
              <w:marBottom w:val="0"/>
              <w:divBdr>
                <w:top w:val="none" w:sz="0" w:space="0" w:color="auto"/>
                <w:left w:val="none" w:sz="0" w:space="0" w:color="auto"/>
                <w:bottom w:val="none" w:sz="0" w:space="0" w:color="auto"/>
                <w:right w:val="none" w:sz="0" w:space="0" w:color="auto"/>
              </w:divBdr>
            </w:div>
            <w:div w:id="189681957">
              <w:marLeft w:val="0"/>
              <w:marRight w:val="0"/>
              <w:marTop w:val="0"/>
              <w:marBottom w:val="0"/>
              <w:divBdr>
                <w:top w:val="none" w:sz="0" w:space="0" w:color="auto"/>
                <w:left w:val="none" w:sz="0" w:space="0" w:color="auto"/>
                <w:bottom w:val="none" w:sz="0" w:space="0" w:color="auto"/>
                <w:right w:val="none" w:sz="0" w:space="0" w:color="auto"/>
              </w:divBdr>
            </w:div>
            <w:div w:id="298731966">
              <w:marLeft w:val="0"/>
              <w:marRight w:val="0"/>
              <w:marTop w:val="0"/>
              <w:marBottom w:val="0"/>
              <w:divBdr>
                <w:top w:val="none" w:sz="0" w:space="0" w:color="auto"/>
                <w:left w:val="none" w:sz="0" w:space="0" w:color="auto"/>
                <w:bottom w:val="none" w:sz="0" w:space="0" w:color="auto"/>
                <w:right w:val="none" w:sz="0" w:space="0" w:color="auto"/>
              </w:divBdr>
            </w:div>
            <w:div w:id="342514959">
              <w:marLeft w:val="0"/>
              <w:marRight w:val="0"/>
              <w:marTop w:val="0"/>
              <w:marBottom w:val="0"/>
              <w:divBdr>
                <w:top w:val="none" w:sz="0" w:space="0" w:color="auto"/>
                <w:left w:val="none" w:sz="0" w:space="0" w:color="auto"/>
                <w:bottom w:val="none" w:sz="0" w:space="0" w:color="auto"/>
                <w:right w:val="none" w:sz="0" w:space="0" w:color="auto"/>
              </w:divBdr>
            </w:div>
            <w:div w:id="370375806">
              <w:marLeft w:val="0"/>
              <w:marRight w:val="0"/>
              <w:marTop w:val="0"/>
              <w:marBottom w:val="0"/>
              <w:divBdr>
                <w:top w:val="none" w:sz="0" w:space="0" w:color="auto"/>
                <w:left w:val="none" w:sz="0" w:space="0" w:color="auto"/>
                <w:bottom w:val="none" w:sz="0" w:space="0" w:color="auto"/>
                <w:right w:val="none" w:sz="0" w:space="0" w:color="auto"/>
              </w:divBdr>
            </w:div>
            <w:div w:id="487936823">
              <w:marLeft w:val="0"/>
              <w:marRight w:val="0"/>
              <w:marTop w:val="0"/>
              <w:marBottom w:val="0"/>
              <w:divBdr>
                <w:top w:val="none" w:sz="0" w:space="0" w:color="auto"/>
                <w:left w:val="none" w:sz="0" w:space="0" w:color="auto"/>
                <w:bottom w:val="none" w:sz="0" w:space="0" w:color="auto"/>
                <w:right w:val="none" w:sz="0" w:space="0" w:color="auto"/>
              </w:divBdr>
            </w:div>
            <w:div w:id="514156643">
              <w:marLeft w:val="0"/>
              <w:marRight w:val="0"/>
              <w:marTop w:val="0"/>
              <w:marBottom w:val="0"/>
              <w:divBdr>
                <w:top w:val="none" w:sz="0" w:space="0" w:color="auto"/>
                <w:left w:val="none" w:sz="0" w:space="0" w:color="auto"/>
                <w:bottom w:val="none" w:sz="0" w:space="0" w:color="auto"/>
                <w:right w:val="none" w:sz="0" w:space="0" w:color="auto"/>
              </w:divBdr>
            </w:div>
            <w:div w:id="554001139">
              <w:marLeft w:val="0"/>
              <w:marRight w:val="0"/>
              <w:marTop w:val="0"/>
              <w:marBottom w:val="0"/>
              <w:divBdr>
                <w:top w:val="none" w:sz="0" w:space="0" w:color="auto"/>
                <w:left w:val="none" w:sz="0" w:space="0" w:color="auto"/>
                <w:bottom w:val="none" w:sz="0" w:space="0" w:color="auto"/>
                <w:right w:val="none" w:sz="0" w:space="0" w:color="auto"/>
              </w:divBdr>
            </w:div>
            <w:div w:id="798961929">
              <w:marLeft w:val="0"/>
              <w:marRight w:val="0"/>
              <w:marTop w:val="0"/>
              <w:marBottom w:val="0"/>
              <w:divBdr>
                <w:top w:val="none" w:sz="0" w:space="0" w:color="auto"/>
                <w:left w:val="none" w:sz="0" w:space="0" w:color="auto"/>
                <w:bottom w:val="none" w:sz="0" w:space="0" w:color="auto"/>
                <w:right w:val="none" w:sz="0" w:space="0" w:color="auto"/>
              </w:divBdr>
            </w:div>
            <w:div w:id="808283219">
              <w:marLeft w:val="0"/>
              <w:marRight w:val="0"/>
              <w:marTop w:val="0"/>
              <w:marBottom w:val="0"/>
              <w:divBdr>
                <w:top w:val="none" w:sz="0" w:space="0" w:color="auto"/>
                <w:left w:val="none" w:sz="0" w:space="0" w:color="auto"/>
                <w:bottom w:val="none" w:sz="0" w:space="0" w:color="auto"/>
                <w:right w:val="none" w:sz="0" w:space="0" w:color="auto"/>
              </w:divBdr>
            </w:div>
            <w:div w:id="820193410">
              <w:marLeft w:val="0"/>
              <w:marRight w:val="0"/>
              <w:marTop w:val="0"/>
              <w:marBottom w:val="0"/>
              <w:divBdr>
                <w:top w:val="none" w:sz="0" w:space="0" w:color="auto"/>
                <w:left w:val="none" w:sz="0" w:space="0" w:color="auto"/>
                <w:bottom w:val="none" w:sz="0" w:space="0" w:color="auto"/>
                <w:right w:val="none" w:sz="0" w:space="0" w:color="auto"/>
              </w:divBdr>
            </w:div>
            <w:div w:id="1017120399">
              <w:marLeft w:val="0"/>
              <w:marRight w:val="0"/>
              <w:marTop w:val="0"/>
              <w:marBottom w:val="0"/>
              <w:divBdr>
                <w:top w:val="none" w:sz="0" w:space="0" w:color="auto"/>
                <w:left w:val="none" w:sz="0" w:space="0" w:color="auto"/>
                <w:bottom w:val="none" w:sz="0" w:space="0" w:color="auto"/>
                <w:right w:val="none" w:sz="0" w:space="0" w:color="auto"/>
              </w:divBdr>
            </w:div>
            <w:div w:id="1038161467">
              <w:marLeft w:val="0"/>
              <w:marRight w:val="0"/>
              <w:marTop w:val="0"/>
              <w:marBottom w:val="0"/>
              <w:divBdr>
                <w:top w:val="none" w:sz="0" w:space="0" w:color="auto"/>
                <w:left w:val="none" w:sz="0" w:space="0" w:color="auto"/>
                <w:bottom w:val="none" w:sz="0" w:space="0" w:color="auto"/>
                <w:right w:val="none" w:sz="0" w:space="0" w:color="auto"/>
              </w:divBdr>
            </w:div>
            <w:div w:id="1087383139">
              <w:marLeft w:val="0"/>
              <w:marRight w:val="0"/>
              <w:marTop w:val="0"/>
              <w:marBottom w:val="0"/>
              <w:divBdr>
                <w:top w:val="none" w:sz="0" w:space="0" w:color="auto"/>
                <w:left w:val="none" w:sz="0" w:space="0" w:color="auto"/>
                <w:bottom w:val="none" w:sz="0" w:space="0" w:color="auto"/>
                <w:right w:val="none" w:sz="0" w:space="0" w:color="auto"/>
              </w:divBdr>
            </w:div>
            <w:div w:id="1314750259">
              <w:marLeft w:val="0"/>
              <w:marRight w:val="0"/>
              <w:marTop w:val="0"/>
              <w:marBottom w:val="0"/>
              <w:divBdr>
                <w:top w:val="none" w:sz="0" w:space="0" w:color="auto"/>
                <w:left w:val="none" w:sz="0" w:space="0" w:color="auto"/>
                <w:bottom w:val="none" w:sz="0" w:space="0" w:color="auto"/>
                <w:right w:val="none" w:sz="0" w:space="0" w:color="auto"/>
              </w:divBdr>
            </w:div>
            <w:div w:id="1421440787">
              <w:marLeft w:val="0"/>
              <w:marRight w:val="0"/>
              <w:marTop w:val="0"/>
              <w:marBottom w:val="0"/>
              <w:divBdr>
                <w:top w:val="none" w:sz="0" w:space="0" w:color="auto"/>
                <w:left w:val="none" w:sz="0" w:space="0" w:color="auto"/>
                <w:bottom w:val="none" w:sz="0" w:space="0" w:color="auto"/>
                <w:right w:val="none" w:sz="0" w:space="0" w:color="auto"/>
              </w:divBdr>
            </w:div>
            <w:div w:id="1503005837">
              <w:marLeft w:val="0"/>
              <w:marRight w:val="0"/>
              <w:marTop w:val="0"/>
              <w:marBottom w:val="0"/>
              <w:divBdr>
                <w:top w:val="none" w:sz="0" w:space="0" w:color="auto"/>
                <w:left w:val="none" w:sz="0" w:space="0" w:color="auto"/>
                <w:bottom w:val="none" w:sz="0" w:space="0" w:color="auto"/>
                <w:right w:val="none" w:sz="0" w:space="0" w:color="auto"/>
              </w:divBdr>
            </w:div>
            <w:div w:id="1658924668">
              <w:marLeft w:val="0"/>
              <w:marRight w:val="0"/>
              <w:marTop w:val="0"/>
              <w:marBottom w:val="0"/>
              <w:divBdr>
                <w:top w:val="none" w:sz="0" w:space="0" w:color="auto"/>
                <w:left w:val="none" w:sz="0" w:space="0" w:color="auto"/>
                <w:bottom w:val="none" w:sz="0" w:space="0" w:color="auto"/>
                <w:right w:val="none" w:sz="0" w:space="0" w:color="auto"/>
              </w:divBdr>
            </w:div>
            <w:div w:id="1813209298">
              <w:marLeft w:val="0"/>
              <w:marRight w:val="0"/>
              <w:marTop w:val="0"/>
              <w:marBottom w:val="0"/>
              <w:divBdr>
                <w:top w:val="none" w:sz="0" w:space="0" w:color="auto"/>
                <w:left w:val="none" w:sz="0" w:space="0" w:color="auto"/>
                <w:bottom w:val="none" w:sz="0" w:space="0" w:color="auto"/>
                <w:right w:val="none" w:sz="0" w:space="0" w:color="auto"/>
              </w:divBdr>
            </w:div>
            <w:div w:id="1875077418">
              <w:marLeft w:val="0"/>
              <w:marRight w:val="0"/>
              <w:marTop w:val="0"/>
              <w:marBottom w:val="0"/>
              <w:divBdr>
                <w:top w:val="none" w:sz="0" w:space="0" w:color="auto"/>
                <w:left w:val="none" w:sz="0" w:space="0" w:color="auto"/>
                <w:bottom w:val="none" w:sz="0" w:space="0" w:color="auto"/>
                <w:right w:val="none" w:sz="0" w:space="0" w:color="auto"/>
              </w:divBdr>
            </w:div>
          </w:divsChild>
        </w:div>
        <w:div w:id="1248881601">
          <w:marLeft w:val="0"/>
          <w:marRight w:val="0"/>
          <w:marTop w:val="0"/>
          <w:marBottom w:val="0"/>
          <w:divBdr>
            <w:top w:val="none" w:sz="0" w:space="0" w:color="auto"/>
            <w:left w:val="none" w:sz="0" w:space="0" w:color="auto"/>
            <w:bottom w:val="none" w:sz="0" w:space="0" w:color="auto"/>
            <w:right w:val="none" w:sz="0" w:space="0" w:color="auto"/>
          </w:divBdr>
          <w:divsChild>
            <w:div w:id="2055887647">
              <w:marLeft w:val="0"/>
              <w:marRight w:val="0"/>
              <w:marTop w:val="0"/>
              <w:marBottom w:val="0"/>
              <w:divBdr>
                <w:top w:val="none" w:sz="0" w:space="0" w:color="auto"/>
                <w:left w:val="none" w:sz="0" w:space="0" w:color="auto"/>
                <w:bottom w:val="none" w:sz="0" w:space="0" w:color="auto"/>
                <w:right w:val="none" w:sz="0" w:space="0" w:color="auto"/>
              </w:divBdr>
              <w:divsChild>
                <w:div w:id="839392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803117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5549586">
      <w:bodyDiv w:val="1"/>
      <w:marLeft w:val="0"/>
      <w:marRight w:val="0"/>
      <w:marTop w:val="0"/>
      <w:marBottom w:val="0"/>
      <w:divBdr>
        <w:top w:val="none" w:sz="0" w:space="0" w:color="auto"/>
        <w:left w:val="none" w:sz="0" w:space="0" w:color="auto"/>
        <w:bottom w:val="none" w:sz="0" w:space="0" w:color="auto"/>
        <w:right w:val="none" w:sz="0" w:space="0" w:color="auto"/>
      </w:divBdr>
    </w:div>
    <w:div w:id="16125322">
      <w:bodyDiv w:val="1"/>
      <w:marLeft w:val="0"/>
      <w:marRight w:val="0"/>
      <w:marTop w:val="0"/>
      <w:marBottom w:val="0"/>
      <w:divBdr>
        <w:top w:val="none" w:sz="0" w:space="0" w:color="auto"/>
        <w:left w:val="none" w:sz="0" w:space="0" w:color="auto"/>
        <w:bottom w:val="none" w:sz="0" w:space="0" w:color="auto"/>
        <w:right w:val="none" w:sz="0" w:space="0" w:color="auto"/>
      </w:divBdr>
    </w:div>
    <w:div w:id="26835422">
      <w:bodyDiv w:val="1"/>
      <w:marLeft w:val="0"/>
      <w:marRight w:val="0"/>
      <w:marTop w:val="0"/>
      <w:marBottom w:val="0"/>
      <w:divBdr>
        <w:top w:val="none" w:sz="0" w:space="0" w:color="auto"/>
        <w:left w:val="none" w:sz="0" w:space="0" w:color="auto"/>
        <w:bottom w:val="none" w:sz="0" w:space="0" w:color="auto"/>
        <w:right w:val="none" w:sz="0" w:space="0" w:color="auto"/>
      </w:divBdr>
    </w:div>
    <w:div w:id="37706207">
      <w:bodyDiv w:val="1"/>
      <w:marLeft w:val="0"/>
      <w:marRight w:val="0"/>
      <w:marTop w:val="0"/>
      <w:marBottom w:val="0"/>
      <w:divBdr>
        <w:top w:val="none" w:sz="0" w:space="0" w:color="auto"/>
        <w:left w:val="none" w:sz="0" w:space="0" w:color="auto"/>
        <w:bottom w:val="none" w:sz="0" w:space="0" w:color="auto"/>
        <w:right w:val="none" w:sz="0" w:space="0" w:color="auto"/>
      </w:divBdr>
    </w:div>
    <w:div w:id="39131455">
      <w:bodyDiv w:val="1"/>
      <w:marLeft w:val="0"/>
      <w:marRight w:val="0"/>
      <w:marTop w:val="0"/>
      <w:marBottom w:val="0"/>
      <w:divBdr>
        <w:top w:val="none" w:sz="0" w:space="0" w:color="auto"/>
        <w:left w:val="none" w:sz="0" w:space="0" w:color="auto"/>
        <w:bottom w:val="none" w:sz="0" w:space="0" w:color="auto"/>
        <w:right w:val="none" w:sz="0" w:space="0" w:color="auto"/>
      </w:divBdr>
    </w:div>
    <w:div w:id="70156022">
      <w:bodyDiv w:val="1"/>
      <w:marLeft w:val="0"/>
      <w:marRight w:val="0"/>
      <w:marTop w:val="0"/>
      <w:marBottom w:val="0"/>
      <w:divBdr>
        <w:top w:val="none" w:sz="0" w:space="0" w:color="auto"/>
        <w:left w:val="none" w:sz="0" w:space="0" w:color="auto"/>
        <w:bottom w:val="none" w:sz="0" w:space="0" w:color="auto"/>
        <w:right w:val="none" w:sz="0" w:space="0" w:color="auto"/>
      </w:divBdr>
    </w:div>
    <w:div w:id="71127360">
      <w:bodyDiv w:val="1"/>
      <w:marLeft w:val="0"/>
      <w:marRight w:val="0"/>
      <w:marTop w:val="0"/>
      <w:marBottom w:val="0"/>
      <w:divBdr>
        <w:top w:val="none" w:sz="0" w:space="0" w:color="auto"/>
        <w:left w:val="none" w:sz="0" w:space="0" w:color="auto"/>
        <w:bottom w:val="none" w:sz="0" w:space="0" w:color="auto"/>
        <w:right w:val="none" w:sz="0" w:space="0" w:color="auto"/>
      </w:divBdr>
    </w:div>
    <w:div w:id="75447338">
      <w:bodyDiv w:val="1"/>
      <w:marLeft w:val="0"/>
      <w:marRight w:val="0"/>
      <w:marTop w:val="0"/>
      <w:marBottom w:val="0"/>
      <w:divBdr>
        <w:top w:val="none" w:sz="0" w:space="0" w:color="auto"/>
        <w:left w:val="none" w:sz="0" w:space="0" w:color="auto"/>
        <w:bottom w:val="none" w:sz="0" w:space="0" w:color="auto"/>
        <w:right w:val="none" w:sz="0" w:space="0" w:color="auto"/>
      </w:divBdr>
    </w:div>
    <w:div w:id="78842056">
      <w:bodyDiv w:val="1"/>
      <w:marLeft w:val="0"/>
      <w:marRight w:val="0"/>
      <w:marTop w:val="0"/>
      <w:marBottom w:val="0"/>
      <w:divBdr>
        <w:top w:val="none" w:sz="0" w:space="0" w:color="auto"/>
        <w:left w:val="none" w:sz="0" w:space="0" w:color="auto"/>
        <w:bottom w:val="none" w:sz="0" w:space="0" w:color="auto"/>
        <w:right w:val="none" w:sz="0" w:space="0" w:color="auto"/>
      </w:divBdr>
    </w:div>
    <w:div w:id="88083276">
      <w:bodyDiv w:val="1"/>
      <w:marLeft w:val="0"/>
      <w:marRight w:val="0"/>
      <w:marTop w:val="0"/>
      <w:marBottom w:val="0"/>
      <w:divBdr>
        <w:top w:val="none" w:sz="0" w:space="0" w:color="auto"/>
        <w:left w:val="none" w:sz="0" w:space="0" w:color="auto"/>
        <w:bottom w:val="none" w:sz="0" w:space="0" w:color="auto"/>
        <w:right w:val="none" w:sz="0" w:space="0" w:color="auto"/>
      </w:divBdr>
    </w:div>
    <w:div w:id="116723441">
      <w:bodyDiv w:val="1"/>
      <w:marLeft w:val="0"/>
      <w:marRight w:val="0"/>
      <w:marTop w:val="0"/>
      <w:marBottom w:val="0"/>
      <w:divBdr>
        <w:top w:val="none" w:sz="0" w:space="0" w:color="auto"/>
        <w:left w:val="none" w:sz="0" w:space="0" w:color="auto"/>
        <w:bottom w:val="none" w:sz="0" w:space="0" w:color="auto"/>
        <w:right w:val="none" w:sz="0" w:space="0" w:color="auto"/>
      </w:divBdr>
    </w:div>
    <w:div w:id="132410450">
      <w:bodyDiv w:val="1"/>
      <w:marLeft w:val="0"/>
      <w:marRight w:val="0"/>
      <w:marTop w:val="0"/>
      <w:marBottom w:val="0"/>
      <w:divBdr>
        <w:top w:val="none" w:sz="0" w:space="0" w:color="auto"/>
        <w:left w:val="none" w:sz="0" w:space="0" w:color="auto"/>
        <w:bottom w:val="none" w:sz="0" w:space="0" w:color="auto"/>
        <w:right w:val="none" w:sz="0" w:space="0" w:color="auto"/>
      </w:divBdr>
      <w:divsChild>
        <w:div w:id="1051802174">
          <w:marLeft w:val="0"/>
          <w:marRight w:val="0"/>
          <w:marTop w:val="0"/>
          <w:marBottom w:val="0"/>
          <w:divBdr>
            <w:top w:val="none" w:sz="0" w:space="0" w:color="auto"/>
            <w:left w:val="none" w:sz="0" w:space="0" w:color="auto"/>
            <w:bottom w:val="none" w:sz="0" w:space="0" w:color="auto"/>
            <w:right w:val="none" w:sz="0" w:space="0" w:color="auto"/>
          </w:divBdr>
          <w:divsChild>
            <w:div w:id="432820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371766">
      <w:bodyDiv w:val="1"/>
      <w:marLeft w:val="0"/>
      <w:marRight w:val="0"/>
      <w:marTop w:val="0"/>
      <w:marBottom w:val="0"/>
      <w:divBdr>
        <w:top w:val="none" w:sz="0" w:space="0" w:color="auto"/>
        <w:left w:val="none" w:sz="0" w:space="0" w:color="auto"/>
        <w:bottom w:val="none" w:sz="0" w:space="0" w:color="auto"/>
        <w:right w:val="none" w:sz="0" w:space="0" w:color="auto"/>
      </w:divBdr>
    </w:div>
    <w:div w:id="135032699">
      <w:bodyDiv w:val="1"/>
      <w:marLeft w:val="0"/>
      <w:marRight w:val="0"/>
      <w:marTop w:val="0"/>
      <w:marBottom w:val="0"/>
      <w:divBdr>
        <w:top w:val="none" w:sz="0" w:space="0" w:color="auto"/>
        <w:left w:val="none" w:sz="0" w:space="0" w:color="auto"/>
        <w:bottom w:val="none" w:sz="0" w:space="0" w:color="auto"/>
        <w:right w:val="none" w:sz="0" w:space="0" w:color="auto"/>
      </w:divBdr>
    </w:div>
    <w:div w:id="186413181">
      <w:bodyDiv w:val="1"/>
      <w:marLeft w:val="0"/>
      <w:marRight w:val="0"/>
      <w:marTop w:val="0"/>
      <w:marBottom w:val="0"/>
      <w:divBdr>
        <w:top w:val="none" w:sz="0" w:space="0" w:color="auto"/>
        <w:left w:val="none" w:sz="0" w:space="0" w:color="auto"/>
        <w:bottom w:val="none" w:sz="0" w:space="0" w:color="auto"/>
        <w:right w:val="none" w:sz="0" w:space="0" w:color="auto"/>
      </w:divBdr>
    </w:div>
    <w:div w:id="208222800">
      <w:bodyDiv w:val="1"/>
      <w:marLeft w:val="0"/>
      <w:marRight w:val="0"/>
      <w:marTop w:val="0"/>
      <w:marBottom w:val="0"/>
      <w:divBdr>
        <w:top w:val="none" w:sz="0" w:space="0" w:color="auto"/>
        <w:left w:val="none" w:sz="0" w:space="0" w:color="auto"/>
        <w:bottom w:val="none" w:sz="0" w:space="0" w:color="auto"/>
        <w:right w:val="none" w:sz="0" w:space="0" w:color="auto"/>
      </w:divBdr>
    </w:div>
    <w:div w:id="210657560">
      <w:bodyDiv w:val="1"/>
      <w:marLeft w:val="0"/>
      <w:marRight w:val="0"/>
      <w:marTop w:val="0"/>
      <w:marBottom w:val="0"/>
      <w:divBdr>
        <w:top w:val="none" w:sz="0" w:space="0" w:color="auto"/>
        <w:left w:val="none" w:sz="0" w:space="0" w:color="auto"/>
        <w:bottom w:val="none" w:sz="0" w:space="0" w:color="auto"/>
        <w:right w:val="none" w:sz="0" w:space="0" w:color="auto"/>
      </w:divBdr>
    </w:div>
    <w:div w:id="243076595">
      <w:bodyDiv w:val="1"/>
      <w:marLeft w:val="0"/>
      <w:marRight w:val="0"/>
      <w:marTop w:val="0"/>
      <w:marBottom w:val="0"/>
      <w:divBdr>
        <w:top w:val="none" w:sz="0" w:space="0" w:color="auto"/>
        <w:left w:val="none" w:sz="0" w:space="0" w:color="auto"/>
        <w:bottom w:val="none" w:sz="0" w:space="0" w:color="auto"/>
        <w:right w:val="none" w:sz="0" w:space="0" w:color="auto"/>
      </w:divBdr>
    </w:div>
    <w:div w:id="257715608">
      <w:bodyDiv w:val="1"/>
      <w:marLeft w:val="0"/>
      <w:marRight w:val="0"/>
      <w:marTop w:val="0"/>
      <w:marBottom w:val="0"/>
      <w:divBdr>
        <w:top w:val="none" w:sz="0" w:space="0" w:color="auto"/>
        <w:left w:val="none" w:sz="0" w:space="0" w:color="auto"/>
        <w:bottom w:val="none" w:sz="0" w:space="0" w:color="auto"/>
        <w:right w:val="none" w:sz="0" w:space="0" w:color="auto"/>
      </w:divBdr>
    </w:div>
    <w:div w:id="261036803">
      <w:bodyDiv w:val="1"/>
      <w:marLeft w:val="0"/>
      <w:marRight w:val="0"/>
      <w:marTop w:val="0"/>
      <w:marBottom w:val="0"/>
      <w:divBdr>
        <w:top w:val="none" w:sz="0" w:space="0" w:color="auto"/>
        <w:left w:val="none" w:sz="0" w:space="0" w:color="auto"/>
        <w:bottom w:val="none" w:sz="0" w:space="0" w:color="auto"/>
        <w:right w:val="none" w:sz="0" w:space="0" w:color="auto"/>
      </w:divBdr>
    </w:div>
    <w:div w:id="265432974">
      <w:bodyDiv w:val="1"/>
      <w:marLeft w:val="0"/>
      <w:marRight w:val="0"/>
      <w:marTop w:val="0"/>
      <w:marBottom w:val="0"/>
      <w:divBdr>
        <w:top w:val="none" w:sz="0" w:space="0" w:color="auto"/>
        <w:left w:val="none" w:sz="0" w:space="0" w:color="auto"/>
        <w:bottom w:val="none" w:sz="0" w:space="0" w:color="auto"/>
        <w:right w:val="none" w:sz="0" w:space="0" w:color="auto"/>
      </w:divBdr>
    </w:div>
    <w:div w:id="289820912">
      <w:bodyDiv w:val="1"/>
      <w:marLeft w:val="0"/>
      <w:marRight w:val="0"/>
      <w:marTop w:val="0"/>
      <w:marBottom w:val="0"/>
      <w:divBdr>
        <w:top w:val="none" w:sz="0" w:space="0" w:color="auto"/>
        <w:left w:val="none" w:sz="0" w:space="0" w:color="auto"/>
        <w:bottom w:val="none" w:sz="0" w:space="0" w:color="auto"/>
        <w:right w:val="none" w:sz="0" w:space="0" w:color="auto"/>
      </w:divBdr>
    </w:div>
    <w:div w:id="297498540">
      <w:bodyDiv w:val="1"/>
      <w:marLeft w:val="0"/>
      <w:marRight w:val="0"/>
      <w:marTop w:val="0"/>
      <w:marBottom w:val="0"/>
      <w:divBdr>
        <w:top w:val="none" w:sz="0" w:space="0" w:color="auto"/>
        <w:left w:val="none" w:sz="0" w:space="0" w:color="auto"/>
        <w:bottom w:val="none" w:sz="0" w:space="0" w:color="auto"/>
        <w:right w:val="none" w:sz="0" w:space="0" w:color="auto"/>
      </w:divBdr>
    </w:div>
    <w:div w:id="310789198">
      <w:bodyDiv w:val="1"/>
      <w:marLeft w:val="0"/>
      <w:marRight w:val="0"/>
      <w:marTop w:val="0"/>
      <w:marBottom w:val="0"/>
      <w:divBdr>
        <w:top w:val="none" w:sz="0" w:space="0" w:color="auto"/>
        <w:left w:val="none" w:sz="0" w:space="0" w:color="auto"/>
        <w:bottom w:val="none" w:sz="0" w:space="0" w:color="auto"/>
        <w:right w:val="none" w:sz="0" w:space="0" w:color="auto"/>
      </w:divBdr>
      <w:divsChild>
        <w:div w:id="1543245625">
          <w:marLeft w:val="0"/>
          <w:marRight w:val="0"/>
          <w:marTop w:val="0"/>
          <w:marBottom w:val="0"/>
          <w:divBdr>
            <w:top w:val="none" w:sz="0" w:space="0" w:color="auto"/>
            <w:left w:val="none" w:sz="0" w:space="0" w:color="auto"/>
            <w:bottom w:val="none" w:sz="0" w:space="0" w:color="auto"/>
            <w:right w:val="none" w:sz="0" w:space="0" w:color="auto"/>
          </w:divBdr>
        </w:div>
      </w:divsChild>
    </w:div>
    <w:div w:id="314645297">
      <w:bodyDiv w:val="1"/>
      <w:marLeft w:val="0"/>
      <w:marRight w:val="0"/>
      <w:marTop w:val="0"/>
      <w:marBottom w:val="0"/>
      <w:divBdr>
        <w:top w:val="none" w:sz="0" w:space="0" w:color="auto"/>
        <w:left w:val="none" w:sz="0" w:space="0" w:color="auto"/>
        <w:bottom w:val="none" w:sz="0" w:space="0" w:color="auto"/>
        <w:right w:val="none" w:sz="0" w:space="0" w:color="auto"/>
      </w:divBdr>
    </w:div>
    <w:div w:id="323900449">
      <w:bodyDiv w:val="1"/>
      <w:marLeft w:val="0"/>
      <w:marRight w:val="0"/>
      <w:marTop w:val="0"/>
      <w:marBottom w:val="0"/>
      <w:divBdr>
        <w:top w:val="none" w:sz="0" w:space="0" w:color="auto"/>
        <w:left w:val="none" w:sz="0" w:space="0" w:color="auto"/>
        <w:bottom w:val="none" w:sz="0" w:space="0" w:color="auto"/>
        <w:right w:val="none" w:sz="0" w:space="0" w:color="auto"/>
      </w:divBdr>
    </w:div>
    <w:div w:id="325405431">
      <w:bodyDiv w:val="1"/>
      <w:marLeft w:val="0"/>
      <w:marRight w:val="0"/>
      <w:marTop w:val="0"/>
      <w:marBottom w:val="0"/>
      <w:divBdr>
        <w:top w:val="none" w:sz="0" w:space="0" w:color="auto"/>
        <w:left w:val="none" w:sz="0" w:space="0" w:color="auto"/>
        <w:bottom w:val="none" w:sz="0" w:space="0" w:color="auto"/>
        <w:right w:val="none" w:sz="0" w:space="0" w:color="auto"/>
      </w:divBdr>
    </w:div>
    <w:div w:id="345640035">
      <w:bodyDiv w:val="1"/>
      <w:marLeft w:val="0"/>
      <w:marRight w:val="0"/>
      <w:marTop w:val="0"/>
      <w:marBottom w:val="0"/>
      <w:divBdr>
        <w:top w:val="none" w:sz="0" w:space="0" w:color="auto"/>
        <w:left w:val="none" w:sz="0" w:space="0" w:color="auto"/>
        <w:bottom w:val="none" w:sz="0" w:space="0" w:color="auto"/>
        <w:right w:val="none" w:sz="0" w:space="0" w:color="auto"/>
      </w:divBdr>
    </w:div>
    <w:div w:id="350227336">
      <w:bodyDiv w:val="1"/>
      <w:marLeft w:val="0"/>
      <w:marRight w:val="0"/>
      <w:marTop w:val="0"/>
      <w:marBottom w:val="0"/>
      <w:divBdr>
        <w:top w:val="none" w:sz="0" w:space="0" w:color="auto"/>
        <w:left w:val="none" w:sz="0" w:space="0" w:color="auto"/>
        <w:bottom w:val="none" w:sz="0" w:space="0" w:color="auto"/>
        <w:right w:val="none" w:sz="0" w:space="0" w:color="auto"/>
      </w:divBdr>
    </w:div>
    <w:div w:id="358042697">
      <w:bodyDiv w:val="1"/>
      <w:marLeft w:val="0"/>
      <w:marRight w:val="0"/>
      <w:marTop w:val="0"/>
      <w:marBottom w:val="0"/>
      <w:divBdr>
        <w:top w:val="none" w:sz="0" w:space="0" w:color="auto"/>
        <w:left w:val="none" w:sz="0" w:space="0" w:color="auto"/>
        <w:bottom w:val="none" w:sz="0" w:space="0" w:color="auto"/>
        <w:right w:val="none" w:sz="0" w:space="0" w:color="auto"/>
      </w:divBdr>
      <w:divsChild>
        <w:div w:id="300765877">
          <w:marLeft w:val="0"/>
          <w:marRight w:val="0"/>
          <w:marTop w:val="0"/>
          <w:marBottom w:val="0"/>
          <w:divBdr>
            <w:top w:val="none" w:sz="0" w:space="0" w:color="auto"/>
            <w:left w:val="none" w:sz="0" w:space="0" w:color="auto"/>
            <w:bottom w:val="none" w:sz="0" w:space="0" w:color="auto"/>
            <w:right w:val="none" w:sz="0" w:space="0" w:color="auto"/>
          </w:divBdr>
        </w:div>
      </w:divsChild>
    </w:div>
    <w:div w:id="362436686">
      <w:bodyDiv w:val="1"/>
      <w:marLeft w:val="0"/>
      <w:marRight w:val="0"/>
      <w:marTop w:val="0"/>
      <w:marBottom w:val="0"/>
      <w:divBdr>
        <w:top w:val="none" w:sz="0" w:space="0" w:color="auto"/>
        <w:left w:val="none" w:sz="0" w:space="0" w:color="auto"/>
        <w:bottom w:val="none" w:sz="0" w:space="0" w:color="auto"/>
        <w:right w:val="none" w:sz="0" w:space="0" w:color="auto"/>
      </w:divBdr>
      <w:divsChild>
        <w:div w:id="390469047">
          <w:marLeft w:val="0"/>
          <w:marRight w:val="0"/>
          <w:marTop w:val="0"/>
          <w:marBottom w:val="0"/>
          <w:divBdr>
            <w:top w:val="none" w:sz="0" w:space="0" w:color="auto"/>
            <w:left w:val="none" w:sz="0" w:space="0" w:color="auto"/>
            <w:bottom w:val="none" w:sz="0" w:space="0" w:color="auto"/>
            <w:right w:val="none" w:sz="0" w:space="0" w:color="auto"/>
          </w:divBdr>
          <w:divsChild>
            <w:div w:id="2138135152">
              <w:marLeft w:val="0"/>
              <w:marRight w:val="0"/>
              <w:marTop w:val="0"/>
              <w:marBottom w:val="0"/>
              <w:divBdr>
                <w:top w:val="none" w:sz="0" w:space="0" w:color="auto"/>
                <w:left w:val="none" w:sz="0" w:space="0" w:color="auto"/>
                <w:bottom w:val="none" w:sz="0" w:space="0" w:color="auto"/>
                <w:right w:val="none" w:sz="0" w:space="0" w:color="auto"/>
              </w:divBdr>
              <w:divsChild>
                <w:div w:id="364985148">
                  <w:marLeft w:val="0"/>
                  <w:marRight w:val="0"/>
                  <w:marTop w:val="0"/>
                  <w:marBottom w:val="0"/>
                  <w:divBdr>
                    <w:top w:val="none" w:sz="0" w:space="0" w:color="auto"/>
                    <w:left w:val="none" w:sz="0" w:space="0" w:color="auto"/>
                    <w:bottom w:val="none" w:sz="0" w:space="0" w:color="auto"/>
                    <w:right w:val="none" w:sz="0" w:space="0" w:color="auto"/>
                  </w:divBdr>
                  <w:divsChild>
                    <w:div w:id="361714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68530966">
      <w:bodyDiv w:val="1"/>
      <w:marLeft w:val="0"/>
      <w:marRight w:val="0"/>
      <w:marTop w:val="0"/>
      <w:marBottom w:val="0"/>
      <w:divBdr>
        <w:top w:val="none" w:sz="0" w:space="0" w:color="auto"/>
        <w:left w:val="none" w:sz="0" w:space="0" w:color="auto"/>
        <w:bottom w:val="none" w:sz="0" w:space="0" w:color="auto"/>
        <w:right w:val="none" w:sz="0" w:space="0" w:color="auto"/>
      </w:divBdr>
    </w:div>
    <w:div w:id="385643864">
      <w:bodyDiv w:val="1"/>
      <w:marLeft w:val="0"/>
      <w:marRight w:val="0"/>
      <w:marTop w:val="0"/>
      <w:marBottom w:val="0"/>
      <w:divBdr>
        <w:top w:val="none" w:sz="0" w:space="0" w:color="auto"/>
        <w:left w:val="none" w:sz="0" w:space="0" w:color="auto"/>
        <w:bottom w:val="none" w:sz="0" w:space="0" w:color="auto"/>
        <w:right w:val="none" w:sz="0" w:space="0" w:color="auto"/>
      </w:divBdr>
    </w:div>
    <w:div w:id="400954339">
      <w:bodyDiv w:val="1"/>
      <w:marLeft w:val="0"/>
      <w:marRight w:val="0"/>
      <w:marTop w:val="0"/>
      <w:marBottom w:val="0"/>
      <w:divBdr>
        <w:top w:val="none" w:sz="0" w:space="0" w:color="auto"/>
        <w:left w:val="none" w:sz="0" w:space="0" w:color="auto"/>
        <w:bottom w:val="none" w:sz="0" w:space="0" w:color="auto"/>
        <w:right w:val="none" w:sz="0" w:space="0" w:color="auto"/>
      </w:divBdr>
    </w:div>
    <w:div w:id="402335387">
      <w:bodyDiv w:val="1"/>
      <w:marLeft w:val="0"/>
      <w:marRight w:val="0"/>
      <w:marTop w:val="0"/>
      <w:marBottom w:val="0"/>
      <w:divBdr>
        <w:top w:val="none" w:sz="0" w:space="0" w:color="auto"/>
        <w:left w:val="none" w:sz="0" w:space="0" w:color="auto"/>
        <w:bottom w:val="none" w:sz="0" w:space="0" w:color="auto"/>
        <w:right w:val="none" w:sz="0" w:space="0" w:color="auto"/>
      </w:divBdr>
    </w:div>
    <w:div w:id="406652472">
      <w:bodyDiv w:val="1"/>
      <w:marLeft w:val="0"/>
      <w:marRight w:val="0"/>
      <w:marTop w:val="0"/>
      <w:marBottom w:val="0"/>
      <w:divBdr>
        <w:top w:val="none" w:sz="0" w:space="0" w:color="auto"/>
        <w:left w:val="none" w:sz="0" w:space="0" w:color="auto"/>
        <w:bottom w:val="none" w:sz="0" w:space="0" w:color="auto"/>
        <w:right w:val="none" w:sz="0" w:space="0" w:color="auto"/>
      </w:divBdr>
      <w:divsChild>
        <w:div w:id="1382560635">
          <w:marLeft w:val="0"/>
          <w:marRight w:val="0"/>
          <w:marTop w:val="100"/>
          <w:marBottom w:val="100"/>
          <w:divBdr>
            <w:top w:val="none" w:sz="0" w:space="0" w:color="auto"/>
            <w:left w:val="none" w:sz="0" w:space="0" w:color="auto"/>
            <w:bottom w:val="none" w:sz="0" w:space="0" w:color="auto"/>
            <w:right w:val="none" w:sz="0" w:space="0" w:color="auto"/>
          </w:divBdr>
          <w:divsChild>
            <w:div w:id="651064547">
              <w:marLeft w:val="0"/>
              <w:marRight w:val="0"/>
              <w:marTop w:val="100"/>
              <w:marBottom w:val="100"/>
              <w:divBdr>
                <w:top w:val="none" w:sz="0" w:space="0" w:color="auto"/>
                <w:left w:val="none" w:sz="0" w:space="0" w:color="auto"/>
                <w:bottom w:val="none" w:sz="0" w:space="0" w:color="auto"/>
                <w:right w:val="none" w:sz="0" w:space="0" w:color="auto"/>
              </w:divBdr>
              <w:divsChild>
                <w:div w:id="342904471">
                  <w:marLeft w:val="0"/>
                  <w:marRight w:val="0"/>
                  <w:marTop w:val="0"/>
                  <w:marBottom w:val="0"/>
                  <w:divBdr>
                    <w:top w:val="none" w:sz="0" w:space="0" w:color="auto"/>
                    <w:left w:val="none" w:sz="0" w:space="0" w:color="auto"/>
                    <w:bottom w:val="none" w:sz="0" w:space="0" w:color="auto"/>
                    <w:right w:val="none" w:sz="0" w:space="0" w:color="auto"/>
                  </w:divBdr>
                  <w:divsChild>
                    <w:div w:id="291903216">
                      <w:marLeft w:val="0"/>
                      <w:marRight w:val="0"/>
                      <w:marTop w:val="0"/>
                      <w:marBottom w:val="0"/>
                      <w:divBdr>
                        <w:top w:val="none" w:sz="0" w:space="0" w:color="auto"/>
                        <w:left w:val="none" w:sz="0" w:space="0" w:color="auto"/>
                        <w:bottom w:val="none" w:sz="0" w:space="0" w:color="auto"/>
                        <w:right w:val="none" w:sz="0" w:space="0" w:color="auto"/>
                      </w:divBdr>
                      <w:divsChild>
                        <w:div w:id="2020504654">
                          <w:marLeft w:val="0"/>
                          <w:marRight w:val="0"/>
                          <w:marTop w:val="0"/>
                          <w:marBottom w:val="0"/>
                          <w:divBdr>
                            <w:top w:val="none" w:sz="0" w:space="0" w:color="auto"/>
                            <w:left w:val="none" w:sz="0" w:space="0" w:color="auto"/>
                            <w:bottom w:val="none" w:sz="0" w:space="0" w:color="auto"/>
                            <w:right w:val="none" w:sz="0" w:space="0" w:color="auto"/>
                          </w:divBdr>
                          <w:divsChild>
                            <w:div w:id="814100526">
                              <w:marLeft w:val="69"/>
                              <w:marRight w:val="69"/>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39758501">
      <w:bodyDiv w:val="1"/>
      <w:marLeft w:val="0"/>
      <w:marRight w:val="0"/>
      <w:marTop w:val="0"/>
      <w:marBottom w:val="0"/>
      <w:divBdr>
        <w:top w:val="none" w:sz="0" w:space="0" w:color="auto"/>
        <w:left w:val="none" w:sz="0" w:space="0" w:color="auto"/>
        <w:bottom w:val="none" w:sz="0" w:space="0" w:color="auto"/>
        <w:right w:val="none" w:sz="0" w:space="0" w:color="auto"/>
      </w:divBdr>
    </w:div>
    <w:div w:id="462430730">
      <w:bodyDiv w:val="1"/>
      <w:marLeft w:val="0"/>
      <w:marRight w:val="0"/>
      <w:marTop w:val="0"/>
      <w:marBottom w:val="0"/>
      <w:divBdr>
        <w:top w:val="none" w:sz="0" w:space="0" w:color="auto"/>
        <w:left w:val="none" w:sz="0" w:space="0" w:color="auto"/>
        <w:bottom w:val="none" w:sz="0" w:space="0" w:color="auto"/>
        <w:right w:val="none" w:sz="0" w:space="0" w:color="auto"/>
      </w:divBdr>
    </w:div>
    <w:div w:id="473060068">
      <w:bodyDiv w:val="1"/>
      <w:marLeft w:val="0"/>
      <w:marRight w:val="0"/>
      <w:marTop w:val="0"/>
      <w:marBottom w:val="0"/>
      <w:divBdr>
        <w:top w:val="none" w:sz="0" w:space="0" w:color="auto"/>
        <w:left w:val="none" w:sz="0" w:space="0" w:color="auto"/>
        <w:bottom w:val="none" w:sz="0" w:space="0" w:color="auto"/>
        <w:right w:val="none" w:sz="0" w:space="0" w:color="auto"/>
      </w:divBdr>
      <w:divsChild>
        <w:div w:id="252862431">
          <w:marLeft w:val="0"/>
          <w:marRight w:val="0"/>
          <w:marTop w:val="0"/>
          <w:marBottom w:val="0"/>
          <w:divBdr>
            <w:top w:val="none" w:sz="0" w:space="0" w:color="auto"/>
            <w:left w:val="none" w:sz="0" w:space="0" w:color="auto"/>
            <w:bottom w:val="none" w:sz="0" w:space="0" w:color="auto"/>
            <w:right w:val="none" w:sz="0" w:space="0" w:color="auto"/>
          </w:divBdr>
          <w:divsChild>
            <w:div w:id="1922174117">
              <w:marLeft w:val="0"/>
              <w:marRight w:val="0"/>
              <w:marTop w:val="0"/>
              <w:marBottom w:val="0"/>
              <w:divBdr>
                <w:top w:val="none" w:sz="0" w:space="0" w:color="auto"/>
                <w:left w:val="none" w:sz="0" w:space="0" w:color="auto"/>
                <w:bottom w:val="none" w:sz="0" w:space="0" w:color="auto"/>
                <w:right w:val="none" w:sz="0" w:space="0" w:color="auto"/>
              </w:divBdr>
              <w:divsChild>
                <w:div w:id="206576268">
                  <w:marLeft w:val="0"/>
                  <w:marRight w:val="0"/>
                  <w:marTop w:val="0"/>
                  <w:marBottom w:val="0"/>
                  <w:divBdr>
                    <w:top w:val="none" w:sz="0" w:space="0" w:color="auto"/>
                    <w:left w:val="none" w:sz="0" w:space="0" w:color="auto"/>
                    <w:bottom w:val="none" w:sz="0" w:space="0" w:color="auto"/>
                    <w:right w:val="none" w:sz="0" w:space="0" w:color="auto"/>
                  </w:divBdr>
                  <w:divsChild>
                    <w:div w:id="332489909">
                      <w:marLeft w:val="0"/>
                      <w:marRight w:val="0"/>
                      <w:marTop w:val="0"/>
                      <w:marBottom w:val="0"/>
                      <w:divBdr>
                        <w:top w:val="none" w:sz="0" w:space="0" w:color="auto"/>
                        <w:left w:val="none" w:sz="0" w:space="0" w:color="auto"/>
                        <w:bottom w:val="none" w:sz="0" w:space="0" w:color="auto"/>
                        <w:right w:val="none" w:sz="0" w:space="0" w:color="auto"/>
                      </w:divBdr>
                      <w:divsChild>
                        <w:div w:id="1368719928">
                          <w:marLeft w:val="0"/>
                          <w:marRight w:val="0"/>
                          <w:marTop w:val="0"/>
                          <w:marBottom w:val="0"/>
                          <w:divBdr>
                            <w:top w:val="none" w:sz="0" w:space="0" w:color="auto"/>
                            <w:left w:val="none" w:sz="0" w:space="0" w:color="auto"/>
                            <w:bottom w:val="none" w:sz="0" w:space="0" w:color="auto"/>
                            <w:right w:val="none" w:sz="0" w:space="0" w:color="auto"/>
                          </w:divBdr>
                          <w:divsChild>
                            <w:div w:id="768429050">
                              <w:marLeft w:val="0"/>
                              <w:marRight w:val="0"/>
                              <w:marTop w:val="0"/>
                              <w:marBottom w:val="0"/>
                              <w:divBdr>
                                <w:top w:val="none" w:sz="0" w:space="0" w:color="auto"/>
                                <w:left w:val="none" w:sz="0" w:space="0" w:color="auto"/>
                                <w:bottom w:val="none" w:sz="0" w:space="0" w:color="auto"/>
                                <w:right w:val="none" w:sz="0" w:space="0" w:color="auto"/>
                              </w:divBdr>
                              <w:divsChild>
                                <w:div w:id="1797210848">
                                  <w:marLeft w:val="0"/>
                                  <w:marRight w:val="0"/>
                                  <w:marTop w:val="240"/>
                                  <w:marBottom w:val="240"/>
                                  <w:divBdr>
                                    <w:top w:val="none" w:sz="0" w:space="0" w:color="auto"/>
                                    <w:left w:val="none" w:sz="0" w:space="0" w:color="auto"/>
                                    <w:bottom w:val="none" w:sz="0" w:space="0" w:color="auto"/>
                                    <w:right w:val="none" w:sz="0" w:space="0" w:color="auto"/>
                                  </w:divBdr>
                                  <w:divsChild>
                                    <w:div w:id="260139982">
                                      <w:marLeft w:val="0"/>
                                      <w:marRight w:val="0"/>
                                      <w:marTop w:val="0"/>
                                      <w:marBottom w:val="0"/>
                                      <w:divBdr>
                                        <w:top w:val="none" w:sz="0" w:space="0" w:color="auto"/>
                                        <w:left w:val="none" w:sz="0" w:space="0" w:color="auto"/>
                                        <w:bottom w:val="none" w:sz="0" w:space="0" w:color="auto"/>
                                        <w:right w:val="none" w:sz="0" w:space="0" w:color="auto"/>
                                      </w:divBdr>
                                      <w:divsChild>
                                        <w:div w:id="2111663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28690005">
      <w:bodyDiv w:val="1"/>
      <w:marLeft w:val="0"/>
      <w:marRight w:val="0"/>
      <w:marTop w:val="0"/>
      <w:marBottom w:val="0"/>
      <w:divBdr>
        <w:top w:val="none" w:sz="0" w:space="0" w:color="auto"/>
        <w:left w:val="none" w:sz="0" w:space="0" w:color="auto"/>
        <w:bottom w:val="none" w:sz="0" w:space="0" w:color="auto"/>
        <w:right w:val="none" w:sz="0" w:space="0" w:color="auto"/>
      </w:divBdr>
      <w:divsChild>
        <w:div w:id="607195925">
          <w:marLeft w:val="0"/>
          <w:marRight w:val="0"/>
          <w:marTop w:val="0"/>
          <w:marBottom w:val="0"/>
          <w:divBdr>
            <w:top w:val="none" w:sz="0" w:space="0" w:color="auto"/>
            <w:left w:val="none" w:sz="0" w:space="0" w:color="auto"/>
            <w:bottom w:val="none" w:sz="0" w:space="0" w:color="auto"/>
            <w:right w:val="none" w:sz="0" w:space="0" w:color="auto"/>
          </w:divBdr>
          <w:divsChild>
            <w:div w:id="857813934">
              <w:marLeft w:val="0"/>
              <w:marRight w:val="0"/>
              <w:marTop w:val="0"/>
              <w:marBottom w:val="0"/>
              <w:divBdr>
                <w:top w:val="none" w:sz="0" w:space="0" w:color="auto"/>
                <w:left w:val="none" w:sz="0" w:space="0" w:color="auto"/>
                <w:bottom w:val="none" w:sz="0" w:space="0" w:color="auto"/>
                <w:right w:val="none" w:sz="0" w:space="0" w:color="auto"/>
              </w:divBdr>
              <w:divsChild>
                <w:div w:id="1089499515">
                  <w:marLeft w:val="0"/>
                  <w:marRight w:val="0"/>
                  <w:marTop w:val="0"/>
                  <w:marBottom w:val="0"/>
                  <w:divBdr>
                    <w:top w:val="none" w:sz="0" w:space="0" w:color="auto"/>
                    <w:left w:val="none" w:sz="0" w:space="0" w:color="auto"/>
                    <w:bottom w:val="none" w:sz="0" w:space="0" w:color="auto"/>
                    <w:right w:val="none" w:sz="0" w:space="0" w:color="auto"/>
                  </w:divBdr>
                  <w:divsChild>
                    <w:div w:id="1096054894">
                      <w:marLeft w:val="0"/>
                      <w:marRight w:val="0"/>
                      <w:marTop w:val="0"/>
                      <w:marBottom w:val="0"/>
                      <w:divBdr>
                        <w:top w:val="none" w:sz="0" w:space="0" w:color="auto"/>
                        <w:left w:val="none" w:sz="0" w:space="0" w:color="auto"/>
                        <w:bottom w:val="none" w:sz="0" w:space="0" w:color="auto"/>
                        <w:right w:val="none" w:sz="0" w:space="0" w:color="auto"/>
                      </w:divBdr>
                      <w:divsChild>
                        <w:div w:id="1581526888">
                          <w:marLeft w:val="0"/>
                          <w:marRight w:val="0"/>
                          <w:marTop w:val="0"/>
                          <w:marBottom w:val="0"/>
                          <w:divBdr>
                            <w:top w:val="none" w:sz="0" w:space="0" w:color="auto"/>
                            <w:left w:val="none" w:sz="0" w:space="0" w:color="auto"/>
                            <w:bottom w:val="none" w:sz="0" w:space="0" w:color="auto"/>
                            <w:right w:val="none" w:sz="0" w:space="0" w:color="auto"/>
                          </w:divBdr>
                          <w:divsChild>
                            <w:div w:id="430979382">
                              <w:marLeft w:val="0"/>
                              <w:marRight w:val="0"/>
                              <w:marTop w:val="0"/>
                              <w:marBottom w:val="0"/>
                              <w:divBdr>
                                <w:top w:val="none" w:sz="0" w:space="0" w:color="auto"/>
                                <w:left w:val="none" w:sz="0" w:space="0" w:color="auto"/>
                                <w:bottom w:val="none" w:sz="0" w:space="0" w:color="auto"/>
                                <w:right w:val="none" w:sz="0" w:space="0" w:color="auto"/>
                              </w:divBdr>
                              <w:divsChild>
                                <w:div w:id="99840856">
                                  <w:marLeft w:val="0"/>
                                  <w:marRight w:val="0"/>
                                  <w:marTop w:val="240"/>
                                  <w:marBottom w:val="240"/>
                                  <w:divBdr>
                                    <w:top w:val="none" w:sz="0" w:space="0" w:color="auto"/>
                                    <w:left w:val="none" w:sz="0" w:space="0" w:color="auto"/>
                                    <w:bottom w:val="none" w:sz="0" w:space="0" w:color="auto"/>
                                    <w:right w:val="none" w:sz="0" w:space="0" w:color="auto"/>
                                  </w:divBdr>
                                  <w:divsChild>
                                    <w:div w:id="451636589">
                                      <w:marLeft w:val="0"/>
                                      <w:marRight w:val="0"/>
                                      <w:marTop w:val="0"/>
                                      <w:marBottom w:val="0"/>
                                      <w:divBdr>
                                        <w:top w:val="none" w:sz="0" w:space="0" w:color="auto"/>
                                        <w:left w:val="none" w:sz="0" w:space="0" w:color="auto"/>
                                        <w:bottom w:val="none" w:sz="0" w:space="0" w:color="auto"/>
                                        <w:right w:val="none" w:sz="0" w:space="0" w:color="auto"/>
                                      </w:divBdr>
                                      <w:divsChild>
                                        <w:div w:id="31660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31723268">
      <w:bodyDiv w:val="1"/>
      <w:marLeft w:val="0"/>
      <w:marRight w:val="0"/>
      <w:marTop w:val="0"/>
      <w:marBottom w:val="0"/>
      <w:divBdr>
        <w:top w:val="none" w:sz="0" w:space="0" w:color="auto"/>
        <w:left w:val="none" w:sz="0" w:space="0" w:color="auto"/>
        <w:bottom w:val="none" w:sz="0" w:space="0" w:color="auto"/>
        <w:right w:val="none" w:sz="0" w:space="0" w:color="auto"/>
      </w:divBdr>
    </w:div>
    <w:div w:id="564921703">
      <w:bodyDiv w:val="1"/>
      <w:marLeft w:val="0"/>
      <w:marRight w:val="0"/>
      <w:marTop w:val="0"/>
      <w:marBottom w:val="0"/>
      <w:divBdr>
        <w:top w:val="none" w:sz="0" w:space="0" w:color="auto"/>
        <w:left w:val="none" w:sz="0" w:space="0" w:color="auto"/>
        <w:bottom w:val="none" w:sz="0" w:space="0" w:color="auto"/>
        <w:right w:val="none" w:sz="0" w:space="0" w:color="auto"/>
      </w:divBdr>
    </w:div>
    <w:div w:id="568853260">
      <w:bodyDiv w:val="1"/>
      <w:marLeft w:val="0"/>
      <w:marRight w:val="0"/>
      <w:marTop w:val="0"/>
      <w:marBottom w:val="0"/>
      <w:divBdr>
        <w:top w:val="none" w:sz="0" w:space="0" w:color="auto"/>
        <w:left w:val="none" w:sz="0" w:space="0" w:color="auto"/>
        <w:bottom w:val="none" w:sz="0" w:space="0" w:color="auto"/>
        <w:right w:val="none" w:sz="0" w:space="0" w:color="auto"/>
      </w:divBdr>
    </w:div>
    <w:div w:id="582185202">
      <w:bodyDiv w:val="1"/>
      <w:marLeft w:val="0"/>
      <w:marRight w:val="0"/>
      <w:marTop w:val="0"/>
      <w:marBottom w:val="0"/>
      <w:divBdr>
        <w:top w:val="none" w:sz="0" w:space="0" w:color="auto"/>
        <w:left w:val="none" w:sz="0" w:space="0" w:color="auto"/>
        <w:bottom w:val="none" w:sz="0" w:space="0" w:color="auto"/>
        <w:right w:val="none" w:sz="0" w:space="0" w:color="auto"/>
      </w:divBdr>
    </w:div>
    <w:div w:id="602570632">
      <w:bodyDiv w:val="1"/>
      <w:marLeft w:val="0"/>
      <w:marRight w:val="0"/>
      <w:marTop w:val="0"/>
      <w:marBottom w:val="0"/>
      <w:divBdr>
        <w:top w:val="none" w:sz="0" w:space="0" w:color="auto"/>
        <w:left w:val="none" w:sz="0" w:space="0" w:color="auto"/>
        <w:bottom w:val="none" w:sz="0" w:space="0" w:color="auto"/>
        <w:right w:val="none" w:sz="0" w:space="0" w:color="auto"/>
      </w:divBdr>
    </w:div>
    <w:div w:id="604733115">
      <w:bodyDiv w:val="1"/>
      <w:marLeft w:val="0"/>
      <w:marRight w:val="0"/>
      <w:marTop w:val="0"/>
      <w:marBottom w:val="0"/>
      <w:divBdr>
        <w:top w:val="none" w:sz="0" w:space="0" w:color="auto"/>
        <w:left w:val="none" w:sz="0" w:space="0" w:color="auto"/>
        <w:bottom w:val="none" w:sz="0" w:space="0" w:color="auto"/>
        <w:right w:val="none" w:sz="0" w:space="0" w:color="auto"/>
      </w:divBdr>
    </w:div>
    <w:div w:id="607392862">
      <w:bodyDiv w:val="1"/>
      <w:marLeft w:val="0"/>
      <w:marRight w:val="0"/>
      <w:marTop w:val="0"/>
      <w:marBottom w:val="0"/>
      <w:divBdr>
        <w:top w:val="none" w:sz="0" w:space="0" w:color="auto"/>
        <w:left w:val="none" w:sz="0" w:space="0" w:color="auto"/>
        <w:bottom w:val="none" w:sz="0" w:space="0" w:color="auto"/>
        <w:right w:val="none" w:sz="0" w:space="0" w:color="auto"/>
      </w:divBdr>
      <w:divsChild>
        <w:div w:id="951476585">
          <w:marLeft w:val="0"/>
          <w:marRight w:val="0"/>
          <w:marTop w:val="0"/>
          <w:marBottom w:val="0"/>
          <w:divBdr>
            <w:top w:val="none" w:sz="0" w:space="0" w:color="auto"/>
            <w:left w:val="none" w:sz="0" w:space="0" w:color="auto"/>
            <w:bottom w:val="none" w:sz="0" w:space="0" w:color="auto"/>
            <w:right w:val="none" w:sz="0" w:space="0" w:color="auto"/>
          </w:divBdr>
          <w:divsChild>
            <w:div w:id="1749230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3442643">
      <w:bodyDiv w:val="1"/>
      <w:marLeft w:val="0"/>
      <w:marRight w:val="0"/>
      <w:marTop w:val="0"/>
      <w:marBottom w:val="0"/>
      <w:divBdr>
        <w:top w:val="none" w:sz="0" w:space="0" w:color="auto"/>
        <w:left w:val="none" w:sz="0" w:space="0" w:color="auto"/>
        <w:bottom w:val="none" w:sz="0" w:space="0" w:color="auto"/>
        <w:right w:val="none" w:sz="0" w:space="0" w:color="auto"/>
      </w:divBdr>
    </w:div>
    <w:div w:id="616179716">
      <w:bodyDiv w:val="1"/>
      <w:marLeft w:val="0"/>
      <w:marRight w:val="0"/>
      <w:marTop w:val="0"/>
      <w:marBottom w:val="0"/>
      <w:divBdr>
        <w:top w:val="none" w:sz="0" w:space="0" w:color="auto"/>
        <w:left w:val="none" w:sz="0" w:space="0" w:color="auto"/>
        <w:bottom w:val="none" w:sz="0" w:space="0" w:color="auto"/>
        <w:right w:val="none" w:sz="0" w:space="0" w:color="auto"/>
      </w:divBdr>
    </w:div>
    <w:div w:id="621109644">
      <w:bodyDiv w:val="1"/>
      <w:marLeft w:val="0"/>
      <w:marRight w:val="0"/>
      <w:marTop w:val="0"/>
      <w:marBottom w:val="0"/>
      <w:divBdr>
        <w:top w:val="none" w:sz="0" w:space="0" w:color="auto"/>
        <w:left w:val="none" w:sz="0" w:space="0" w:color="auto"/>
        <w:bottom w:val="none" w:sz="0" w:space="0" w:color="auto"/>
        <w:right w:val="none" w:sz="0" w:space="0" w:color="auto"/>
      </w:divBdr>
      <w:divsChild>
        <w:div w:id="512304231">
          <w:marLeft w:val="0"/>
          <w:marRight w:val="0"/>
          <w:marTop w:val="0"/>
          <w:marBottom w:val="0"/>
          <w:divBdr>
            <w:top w:val="none" w:sz="0" w:space="0" w:color="auto"/>
            <w:left w:val="none" w:sz="0" w:space="0" w:color="auto"/>
            <w:bottom w:val="none" w:sz="0" w:space="0" w:color="auto"/>
            <w:right w:val="none" w:sz="0" w:space="0" w:color="auto"/>
          </w:divBdr>
          <w:divsChild>
            <w:div w:id="805859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8899032">
      <w:bodyDiv w:val="1"/>
      <w:marLeft w:val="0"/>
      <w:marRight w:val="0"/>
      <w:marTop w:val="0"/>
      <w:marBottom w:val="0"/>
      <w:divBdr>
        <w:top w:val="none" w:sz="0" w:space="0" w:color="auto"/>
        <w:left w:val="none" w:sz="0" w:space="0" w:color="auto"/>
        <w:bottom w:val="none" w:sz="0" w:space="0" w:color="auto"/>
        <w:right w:val="none" w:sz="0" w:space="0" w:color="auto"/>
      </w:divBdr>
    </w:div>
    <w:div w:id="671028547">
      <w:bodyDiv w:val="1"/>
      <w:marLeft w:val="0"/>
      <w:marRight w:val="0"/>
      <w:marTop w:val="0"/>
      <w:marBottom w:val="0"/>
      <w:divBdr>
        <w:top w:val="none" w:sz="0" w:space="0" w:color="auto"/>
        <w:left w:val="none" w:sz="0" w:space="0" w:color="auto"/>
        <w:bottom w:val="none" w:sz="0" w:space="0" w:color="auto"/>
        <w:right w:val="none" w:sz="0" w:space="0" w:color="auto"/>
      </w:divBdr>
    </w:div>
    <w:div w:id="682125763">
      <w:bodyDiv w:val="1"/>
      <w:marLeft w:val="0"/>
      <w:marRight w:val="0"/>
      <w:marTop w:val="0"/>
      <w:marBottom w:val="0"/>
      <w:divBdr>
        <w:top w:val="none" w:sz="0" w:space="0" w:color="auto"/>
        <w:left w:val="none" w:sz="0" w:space="0" w:color="auto"/>
        <w:bottom w:val="none" w:sz="0" w:space="0" w:color="auto"/>
        <w:right w:val="none" w:sz="0" w:space="0" w:color="auto"/>
      </w:divBdr>
    </w:div>
    <w:div w:id="690648882">
      <w:bodyDiv w:val="1"/>
      <w:marLeft w:val="0"/>
      <w:marRight w:val="0"/>
      <w:marTop w:val="0"/>
      <w:marBottom w:val="0"/>
      <w:divBdr>
        <w:top w:val="none" w:sz="0" w:space="0" w:color="auto"/>
        <w:left w:val="none" w:sz="0" w:space="0" w:color="auto"/>
        <w:bottom w:val="none" w:sz="0" w:space="0" w:color="auto"/>
        <w:right w:val="none" w:sz="0" w:space="0" w:color="auto"/>
      </w:divBdr>
    </w:div>
    <w:div w:id="704520355">
      <w:bodyDiv w:val="1"/>
      <w:marLeft w:val="0"/>
      <w:marRight w:val="0"/>
      <w:marTop w:val="0"/>
      <w:marBottom w:val="0"/>
      <w:divBdr>
        <w:top w:val="none" w:sz="0" w:space="0" w:color="auto"/>
        <w:left w:val="none" w:sz="0" w:space="0" w:color="auto"/>
        <w:bottom w:val="none" w:sz="0" w:space="0" w:color="auto"/>
        <w:right w:val="none" w:sz="0" w:space="0" w:color="auto"/>
      </w:divBdr>
    </w:div>
    <w:div w:id="710302417">
      <w:bodyDiv w:val="1"/>
      <w:marLeft w:val="0"/>
      <w:marRight w:val="0"/>
      <w:marTop w:val="0"/>
      <w:marBottom w:val="0"/>
      <w:divBdr>
        <w:top w:val="none" w:sz="0" w:space="0" w:color="auto"/>
        <w:left w:val="none" w:sz="0" w:space="0" w:color="auto"/>
        <w:bottom w:val="none" w:sz="0" w:space="0" w:color="auto"/>
        <w:right w:val="none" w:sz="0" w:space="0" w:color="auto"/>
      </w:divBdr>
    </w:div>
    <w:div w:id="714546892">
      <w:bodyDiv w:val="1"/>
      <w:marLeft w:val="0"/>
      <w:marRight w:val="0"/>
      <w:marTop w:val="0"/>
      <w:marBottom w:val="0"/>
      <w:divBdr>
        <w:top w:val="none" w:sz="0" w:space="0" w:color="auto"/>
        <w:left w:val="none" w:sz="0" w:space="0" w:color="auto"/>
        <w:bottom w:val="none" w:sz="0" w:space="0" w:color="auto"/>
        <w:right w:val="none" w:sz="0" w:space="0" w:color="auto"/>
      </w:divBdr>
    </w:div>
    <w:div w:id="733554249">
      <w:bodyDiv w:val="1"/>
      <w:marLeft w:val="0"/>
      <w:marRight w:val="0"/>
      <w:marTop w:val="0"/>
      <w:marBottom w:val="0"/>
      <w:divBdr>
        <w:top w:val="none" w:sz="0" w:space="0" w:color="auto"/>
        <w:left w:val="none" w:sz="0" w:space="0" w:color="auto"/>
        <w:bottom w:val="none" w:sz="0" w:space="0" w:color="auto"/>
        <w:right w:val="none" w:sz="0" w:space="0" w:color="auto"/>
      </w:divBdr>
      <w:divsChild>
        <w:div w:id="621157449">
          <w:marLeft w:val="0"/>
          <w:marRight w:val="0"/>
          <w:marTop w:val="0"/>
          <w:marBottom w:val="0"/>
          <w:divBdr>
            <w:top w:val="none" w:sz="0" w:space="0" w:color="auto"/>
            <w:left w:val="none" w:sz="0" w:space="0" w:color="auto"/>
            <w:bottom w:val="none" w:sz="0" w:space="0" w:color="auto"/>
            <w:right w:val="none" w:sz="0" w:space="0" w:color="auto"/>
          </w:divBdr>
          <w:divsChild>
            <w:div w:id="13019551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1295132">
      <w:bodyDiv w:val="1"/>
      <w:marLeft w:val="0"/>
      <w:marRight w:val="0"/>
      <w:marTop w:val="0"/>
      <w:marBottom w:val="0"/>
      <w:divBdr>
        <w:top w:val="none" w:sz="0" w:space="0" w:color="auto"/>
        <w:left w:val="none" w:sz="0" w:space="0" w:color="auto"/>
        <w:bottom w:val="none" w:sz="0" w:space="0" w:color="auto"/>
        <w:right w:val="none" w:sz="0" w:space="0" w:color="auto"/>
      </w:divBdr>
    </w:div>
    <w:div w:id="745885047">
      <w:bodyDiv w:val="1"/>
      <w:marLeft w:val="0"/>
      <w:marRight w:val="0"/>
      <w:marTop w:val="0"/>
      <w:marBottom w:val="0"/>
      <w:divBdr>
        <w:top w:val="none" w:sz="0" w:space="0" w:color="auto"/>
        <w:left w:val="none" w:sz="0" w:space="0" w:color="auto"/>
        <w:bottom w:val="none" w:sz="0" w:space="0" w:color="auto"/>
        <w:right w:val="none" w:sz="0" w:space="0" w:color="auto"/>
      </w:divBdr>
    </w:div>
    <w:div w:id="770709711">
      <w:bodyDiv w:val="1"/>
      <w:marLeft w:val="0"/>
      <w:marRight w:val="0"/>
      <w:marTop w:val="0"/>
      <w:marBottom w:val="0"/>
      <w:divBdr>
        <w:top w:val="none" w:sz="0" w:space="0" w:color="auto"/>
        <w:left w:val="none" w:sz="0" w:space="0" w:color="auto"/>
        <w:bottom w:val="none" w:sz="0" w:space="0" w:color="auto"/>
        <w:right w:val="none" w:sz="0" w:space="0" w:color="auto"/>
      </w:divBdr>
    </w:div>
    <w:div w:id="778838616">
      <w:bodyDiv w:val="1"/>
      <w:marLeft w:val="0"/>
      <w:marRight w:val="0"/>
      <w:marTop w:val="72"/>
      <w:marBottom w:val="0"/>
      <w:divBdr>
        <w:top w:val="none" w:sz="0" w:space="0" w:color="auto"/>
        <w:left w:val="none" w:sz="0" w:space="0" w:color="auto"/>
        <w:bottom w:val="none" w:sz="0" w:space="0" w:color="auto"/>
        <w:right w:val="none" w:sz="0" w:space="0" w:color="auto"/>
      </w:divBdr>
      <w:divsChild>
        <w:div w:id="822965090">
          <w:marLeft w:val="0"/>
          <w:marRight w:val="0"/>
          <w:marTop w:val="0"/>
          <w:marBottom w:val="0"/>
          <w:divBdr>
            <w:top w:val="none" w:sz="0" w:space="0" w:color="auto"/>
            <w:left w:val="none" w:sz="0" w:space="0" w:color="auto"/>
            <w:bottom w:val="none" w:sz="0" w:space="0" w:color="auto"/>
            <w:right w:val="none" w:sz="0" w:space="0" w:color="auto"/>
          </w:divBdr>
          <w:divsChild>
            <w:div w:id="755171990">
              <w:marLeft w:val="1725"/>
              <w:marRight w:val="0"/>
              <w:marTop w:val="0"/>
              <w:marBottom w:val="0"/>
              <w:divBdr>
                <w:top w:val="none" w:sz="0" w:space="0" w:color="auto"/>
                <w:left w:val="none" w:sz="0" w:space="0" w:color="auto"/>
                <w:bottom w:val="none" w:sz="0" w:space="0" w:color="auto"/>
                <w:right w:val="none" w:sz="0" w:space="0" w:color="auto"/>
              </w:divBdr>
              <w:divsChild>
                <w:div w:id="1450473698">
                  <w:marLeft w:val="120"/>
                  <w:marRight w:val="0"/>
                  <w:marTop w:val="120"/>
                  <w:marBottom w:val="0"/>
                  <w:divBdr>
                    <w:top w:val="none" w:sz="0" w:space="0" w:color="auto"/>
                    <w:left w:val="none" w:sz="0" w:space="0" w:color="auto"/>
                    <w:bottom w:val="none" w:sz="0" w:space="0" w:color="auto"/>
                    <w:right w:val="none" w:sz="0" w:space="0" w:color="auto"/>
                  </w:divBdr>
                  <w:divsChild>
                    <w:div w:id="977803688">
                      <w:marLeft w:val="0"/>
                      <w:marRight w:val="0"/>
                      <w:marTop w:val="0"/>
                      <w:marBottom w:val="0"/>
                      <w:divBdr>
                        <w:top w:val="none" w:sz="0" w:space="0" w:color="auto"/>
                        <w:left w:val="none" w:sz="0" w:space="0" w:color="auto"/>
                        <w:bottom w:val="none" w:sz="0" w:space="0" w:color="auto"/>
                        <w:right w:val="none" w:sz="0" w:space="0" w:color="auto"/>
                      </w:divBdr>
                      <w:divsChild>
                        <w:div w:id="1004281392">
                          <w:marLeft w:val="0"/>
                          <w:marRight w:val="0"/>
                          <w:marTop w:val="0"/>
                          <w:marBottom w:val="0"/>
                          <w:divBdr>
                            <w:top w:val="none" w:sz="0" w:space="0" w:color="auto"/>
                            <w:left w:val="none" w:sz="0" w:space="0" w:color="auto"/>
                            <w:bottom w:val="none" w:sz="0" w:space="0" w:color="auto"/>
                            <w:right w:val="none" w:sz="0" w:space="0" w:color="auto"/>
                          </w:divBdr>
                          <w:divsChild>
                            <w:div w:id="864171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85199505">
      <w:bodyDiv w:val="1"/>
      <w:marLeft w:val="0"/>
      <w:marRight w:val="0"/>
      <w:marTop w:val="0"/>
      <w:marBottom w:val="0"/>
      <w:divBdr>
        <w:top w:val="none" w:sz="0" w:space="0" w:color="auto"/>
        <w:left w:val="none" w:sz="0" w:space="0" w:color="auto"/>
        <w:bottom w:val="none" w:sz="0" w:space="0" w:color="auto"/>
        <w:right w:val="none" w:sz="0" w:space="0" w:color="auto"/>
      </w:divBdr>
    </w:div>
    <w:div w:id="794786215">
      <w:bodyDiv w:val="1"/>
      <w:marLeft w:val="0"/>
      <w:marRight w:val="0"/>
      <w:marTop w:val="0"/>
      <w:marBottom w:val="0"/>
      <w:divBdr>
        <w:top w:val="none" w:sz="0" w:space="0" w:color="auto"/>
        <w:left w:val="none" w:sz="0" w:space="0" w:color="auto"/>
        <w:bottom w:val="none" w:sz="0" w:space="0" w:color="auto"/>
        <w:right w:val="none" w:sz="0" w:space="0" w:color="auto"/>
      </w:divBdr>
    </w:div>
    <w:div w:id="803962585">
      <w:bodyDiv w:val="1"/>
      <w:marLeft w:val="0"/>
      <w:marRight w:val="0"/>
      <w:marTop w:val="0"/>
      <w:marBottom w:val="0"/>
      <w:divBdr>
        <w:top w:val="none" w:sz="0" w:space="0" w:color="auto"/>
        <w:left w:val="none" w:sz="0" w:space="0" w:color="auto"/>
        <w:bottom w:val="none" w:sz="0" w:space="0" w:color="auto"/>
        <w:right w:val="none" w:sz="0" w:space="0" w:color="auto"/>
      </w:divBdr>
    </w:div>
    <w:div w:id="812261848">
      <w:bodyDiv w:val="1"/>
      <w:marLeft w:val="0"/>
      <w:marRight w:val="0"/>
      <w:marTop w:val="0"/>
      <w:marBottom w:val="0"/>
      <w:divBdr>
        <w:top w:val="none" w:sz="0" w:space="0" w:color="auto"/>
        <w:left w:val="none" w:sz="0" w:space="0" w:color="auto"/>
        <w:bottom w:val="none" w:sz="0" w:space="0" w:color="auto"/>
        <w:right w:val="none" w:sz="0" w:space="0" w:color="auto"/>
      </w:divBdr>
    </w:div>
    <w:div w:id="838929284">
      <w:bodyDiv w:val="1"/>
      <w:marLeft w:val="0"/>
      <w:marRight w:val="0"/>
      <w:marTop w:val="0"/>
      <w:marBottom w:val="0"/>
      <w:divBdr>
        <w:top w:val="none" w:sz="0" w:space="0" w:color="auto"/>
        <w:left w:val="none" w:sz="0" w:space="0" w:color="auto"/>
        <w:bottom w:val="none" w:sz="0" w:space="0" w:color="auto"/>
        <w:right w:val="none" w:sz="0" w:space="0" w:color="auto"/>
      </w:divBdr>
    </w:div>
    <w:div w:id="848060961">
      <w:bodyDiv w:val="1"/>
      <w:marLeft w:val="0"/>
      <w:marRight w:val="0"/>
      <w:marTop w:val="0"/>
      <w:marBottom w:val="0"/>
      <w:divBdr>
        <w:top w:val="none" w:sz="0" w:space="0" w:color="auto"/>
        <w:left w:val="none" w:sz="0" w:space="0" w:color="auto"/>
        <w:bottom w:val="none" w:sz="0" w:space="0" w:color="auto"/>
        <w:right w:val="none" w:sz="0" w:space="0" w:color="auto"/>
      </w:divBdr>
    </w:div>
    <w:div w:id="879324920">
      <w:bodyDiv w:val="1"/>
      <w:marLeft w:val="0"/>
      <w:marRight w:val="0"/>
      <w:marTop w:val="0"/>
      <w:marBottom w:val="0"/>
      <w:divBdr>
        <w:top w:val="none" w:sz="0" w:space="0" w:color="auto"/>
        <w:left w:val="none" w:sz="0" w:space="0" w:color="auto"/>
        <w:bottom w:val="none" w:sz="0" w:space="0" w:color="auto"/>
        <w:right w:val="none" w:sz="0" w:space="0" w:color="auto"/>
      </w:divBdr>
    </w:div>
    <w:div w:id="900747520">
      <w:bodyDiv w:val="1"/>
      <w:marLeft w:val="0"/>
      <w:marRight w:val="0"/>
      <w:marTop w:val="0"/>
      <w:marBottom w:val="0"/>
      <w:divBdr>
        <w:top w:val="none" w:sz="0" w:space="0" w:color="auto"/>
        <w:left w:val="none" w:sz="0" w:space="0" w:color="auto"/>
        <w:bottom w:val="none" w:sz="0" w:space="0" w:color="auto"/>
        <w:right w:val="none" w:sz="0" w:space="0" w:color="auto"/>
      </w:divBdr>
    </w:div>
    <w:div w:id="903566359">
      <w:bodyDiv w:val="1"/>
      <w:marLeft w:val="0"/>
      <w:marRight w:val="0"/>
      <w:marTop w:val="0"/>
      <w:marBottom w:val="0"/>
      <w:divBdr>
        <w:top w:val="none" w:sz="0" w:space="0" w:color="auto"/>
        <w:left w:val="none" w:sz="0" w:space="0" w:color="auto"/>
        <w:bottom w:val="none" w:sz="0" w:space="0" w:color="auto"/>
        <w:right w:val="none" w:sz="0" w:space="0" w:color="auto"/>
      </w:divBdr>
    </w:div>
    <w:div w:id="976881918">
      <w:bodyDiv w:val="1"/>
      <w:marLeft w:val="0"/>
      <w:marRight w:val="0"/>
      <w:marTop w:val="0"/>
      <w:marBottom w:val="0"/>
      <w:divBdr>
        <w:top w:val="none" w:sz="0" w:space="0" w:color="auto"/>
        <w:left w:val="none" w:sz="0" w:space="0" w:color="auto"/>
        <w:bottom w:val="none" w:sz="0" w:space="0" w:color="auto"/>
        <w:right w:val="none" w:sz="0" w:space="0" w:color="auto"/>
      </w:divBdr>
      <w:divsChild>
        <w:div w:id="833448488">
          <w:marLeft w:val="0"/>
          <w:marRight w:val="0"/>
          <w:marTop w:val="100"/>
          <w:marBottom w:val="100"/>
          <w:divBdr>
            <w:top w:val="none" w:sz="0" w:space="0" w:color="auto"/>
            <w:left w:val="none" w:sz="0" w:space="0" w:color="auto"/>
            <w:bottom w:val="none" w:sz="0" w:space="0" w:color="auto"/>
            <w:right w:val="none" w:sz="0" w:space="0" w:color="auto"/>
          </w:divBdr>
          <w:divsChild>
            <w:div w:id="368797985">
              <w:marLeft w:val="0"/>
              <w:marRight w:val="0"/>
              <w:marTop w:val="77"/>
              <w:marBottom w:val="0"/>
              <w:divBdr>
                <w:top w:val="none" w:sz="0" w:space="0" w:color="auto"/>
                <w:left w:val="none" w:sz="0" w:space="0" w:color="auto"/>
                <w:bottom w:val="none" w:sz="0" w:space="0" w:color="auto"/>
                <w:right w:val="none" w:sz="0" w:space="0" w:color="auto"/>
              </w:divBdr>
              <w:divsChild>
                <w:div w:id="935291779">
                  <w:marLeft w:val="0"/>
                  <w:marRight w:val="-6000"/>
                  <w:marTop w:val="0"/>
                  <w:marBottom w:val="0"/>
                  <w:divBdr>
                    <w:top w:val="none" w:sz="0" w:space="0" w:color="auto"/>
                    <w:left w:val="none" w:sz="0" w:space="0" w:color="auto"/>
                    <w:bottom w:val="none" w:sz="0" w:space="0" w:color="auto"/>
                    <w:right w:val="none" w:sz="0" w:space="0" w:color="auto"/>
                  </w:divBdr>
                  <w:divsChild>
                    <w:div w:id="892153550">
                      <w:marLeft w:val="0"/>
                      <w:marRight w:val="5778"/>
                      <w:marTop w:val="0"/>
                      <w:marBottom w:val="0"/>
                      <w:divBdr>
                        <w:top w:val="none" w:sz="0" w:space="0" w:color="auto"/>
                        <w:left w:val="none" w:sz="0" w:space="0" w:color="auto"/>
                        <w:bottom w:val="none" w:sz="0" w:space="0" w:color="auto"/>
                        <w:right w:val="none" w:sz="0" w:space="0" w:color="auto"/>
                      </w:divBdr>
                      <w:divsChild>
                        <w:div w:id="1027681428">
                          <w:marLeft w:val="0"/>
                          <w:marRight w:val="0"/>
                          <w:marTop w:val="0"/>
                          <w:marBottom w:val="0"/>
                          <w:divBdr>
                            <w:top w:val="none" w:sz="0" w:space="0" w:color="auto"/>
                            <w:left w:val="none" w:sz="0" w:space="0" w:color="auto"/>
                            <w:bottom w:val="none" w:sz="0" w:space="0" w:color="auto"/>
                            <w:right w:val="none" w:sz="0" w:space="0" w:color="auto"/>
                          </w:divBdr>
                          <w:divsChild>
                            <w:div w:id="510683478">
                              <w:marLeft w:val="0"/>
                              <w:marRight w:val="0"/>
                              <w:marTop w:val="240"/>
                              <w:marBottom w:val="0"/>
                              <w:divBdr>
                                <w:top w:val="none" w:sz="0" w:space="0" w:color="auto"/>
                                <w:left w:val="none" w:sz="0" w:space="0" w:color="auto"/>
                                <w:bottom w:val="none" w:sz="0" w:space="0" w:color="auto"/>
                                <w:right w:val="none" w:sz="0" w:space="0" w:color="auto"/>
                              </w:divBdr>
                              <w:divsChild>
                                <w:div w:id="6953538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82849990">
      <w:bodyDiv w:val="1"/>
      <w:marLeft w:val="0"/>
      <w:marRight w:val="0"/>
      <w:marTop w:val="0"/>
      <w:marBottom w:val="0"/>
      <w:divBdr>
        <w:top w:val="none" w:sz="0" w:space="0" w:color="auto"/>
        <w:left w:val="none" w:sz="0" w:space="0" w:color="auto"/>
        <w:bottom w:val="none" w:sz="0" w:space="0" w:color="auto"/>
        <w:right w:val="none" w:sz="0" w:space="0" w:color="auto"/>
      </w:divBdr>
    </w:div>
    <w:div w:id="1001467238">
      <w:bodyDiv w:val="1"/>
      <w:marLeft w:val="0"/>
      <w:marRight w:val="0"/>
      <w:marTop w:val="0"/>
      <w:marBottom w:val="0"/>
      <w:divBdr>
        <w:top w:val="none" w:sz="0" w:space="0" w:color="auto"/>
        <w:left w:val="none" w:sz="0" w:space="0" w:color="auto"/>
        <w:bottom w:val="none" w:sz="0" w:space="0" w:color="auto"/>
        <w:right w:val="none" w:sz="0" w:space="0" w:color="auto"/>
      </w:divBdr>
    </w:div>
    <w:div w:id="1001929168">
      <w:bodyDiv w:val="1"/>
      <w:marLeft w:val="0"/>
      <w:marRight w:val="0"/>
      <w:marTop w:val="0"/>
      <w:marBottom w:val="0"/>
      <w:divBdr>
        <w:top w:val="none" w:sz="0" w:space="0" w:color="auto"/>
        <w:left w:val="none" w:sz="0" w:space="0" w:color="auto"/>
        <w:bottom w:val="none" w:sz="0" w:space="0" w:color="auto"/>
        <w:right w:val="none" w:sz="0" w:space="0" w:color="auto"/>
      </w:divBdr>
    </w:div>
    <w:div w:id="1005399962">
      <w:bodyDiv w:val="1"/>
      <w:marLeft w:val="0"/>
      <w:marRight w:val="0"/>
      <w:marTop w:val="0"/>
      <w:marBottom w:val="0"/>
      <w:divBdr>
        <w:top w:val="none" w:sz="0" w:space="0" w:color="auto"/>
        <w:left w:val="none" w:sz="0" w:space="0" w:color="auto"/>
        <w:bottom w:val="none" w:sz="0" w:space="0" w:color="auto"/>
        <w:right w:val="none" w:sz="0" w:space="0" w:color="auto"/>
      </w:divBdr>
    </w:div>
    <w:div w:id="1016350876">
      <w:bodyDiv w:val="1"/>
      <w:marLeft w:val="0"/>
      <w:marRight w:val="0"/>
      <w:marTop w:val="0"/>
      <w:marBottom w:val="0"/>
      <w:divBdr>
        <w:top w:val="none" w:sz="0" w:space="0" w:color="auto"/>
        <w:left w:val="none" w:sz="0" w:space="0" w:color="auto"/>
        <w:bottom w:val="none" w:sz="0" w:space="0" w:color="auto"/>
        <w:right w:val="none" w:sz="0" w:space="0" w:color="auto"/>
      </w:divBdr>
    </w:div>
    <w:div w:id="1024747524">
      <w:bodyDiv w:val="1"/>
      <w:marLeft w:val="0"/>
      <w:marRight w:val="0"/>
      <w:marTop w:val="0"/>
      <w:marBottom w:val="0"/>
      <w:divBdr>
        <w:top w:val="none" w:sz="0" w:space="0" w:color="auto"/>
        <w:left w:val="none" w:sz="0" w:space="0" w:color="auto"/>
        <w:bottom w:val="none" w:sz="0" w:space="0" w:color="auto"/>
        <w:right w:val="none" w:sz="0" w:space="0" w:color="auto"/>
      </w:divBdr>
    </w:div>
    <w:div w:id="1042053528">
      <w:bodyDiv w:val="1"/>
      <w:marLeft w:val="0"/>
      <w:marRight w:val="0"/>
      <w:marTop w:val="0"/>
      <w:marBottom w:val="0"/>
      <w:divBdr>
        <w:top w:val="none" w:sz="0" w:space="0" w:color="auto"/>
        <w:left w:val="none" w:sz="0" w:space="0" w:color="auto"/>
        <w:bottom w:val="none" w:sz="0" w:space="0" w:color="auto"/>
        <w:right w:val="none" w:sz="0" w:space="0" w:color="auto"/>
      </w:divBdr>
    </w:div>
    <w:div w:id="1043797023">
      <w:bodyDiv w:val="1"/>
      <w:marLeft w:val="0"/>
      <w:marRight w:val="0"/>
      <w:marTop w:val="0"/>
      <w:marBottom w:val="0"/>
      <w:divBdr>
        <w:top w:val="none" w:sz="0" w:space="0" w:color="auto"/>
        <w:left w:val="none" w:sz="0" w:space="0" w:color="auto"/>
        <w:bottom w:val="none" w:sz="0" w:space="0" w:color="auto"/>
        <w:right w:val="none" w:sz="0" w:space="0" w:color="auto"/>
      </w:divBdr>
    </w:div>
    <w:div w:id="1051659422">
      <w:bodyDiv w:val="1"/>
      <w:marLeft w:val="0"/>
      <w:marRight w:val="0"/>
      <w:marTop w:val="0"/>
      <w:marBottom w:val="0"/>
      <w:divBdr>
        <w:top w:val="none" w:sz="0" w:space="0" w:color="auto"/>
        <w:left w:val="none" w:sz="0" w:space="0" w:color="auto"/>
        <w:bottom w:val="none" w:sz="0" w:space="0" w:color="auto"/>
        <w:right w:val="none" w:sz="0" w:space="0" w:color="auto"/>
      </w:divBdr>
      <w:divsChild>
        <w:div w:id="1031607572">
          <w:marLeft w:val="0"/>
          <w:marRight w:val="0"/>
          <w:marTop w:val="100"/>
          <w:marBottom w:val="100"/>
          <w:divBdr>
            <w:top w:val="none" w:sz="0" w:space="0" w:color="auto"/>
            <w:left w:val="none" w:sz="0" w:space="0" w:color="auto"/>
            <w:bottom w:val="none" w:sz="0" w:space="0" w:color="auto"/>
            <w:right w:val="none" w:sz="0" w:space="0" w:color="auto"/>
          </w:divBdr>
          <w:divsChild>
            <w:div w:id="626470977">
              <w:marLeft w:val="0"/>
              <w:marRight w:val="0"/>
              <w:marTop w:val="77"/>
              <w:marBottom w:val="0"/>
              <w:divBdr>
                <w:top w:val="none" w:sz="0" w:space="0" w:color="auto"/>
                <w:left w:val="none" w:sz="0" w:space="0" w:color="auto"/>
                <w:bottom w:val="none" w:sz="0" w:space="0" w:color="auto"/>
                <w:right w:val="none" w:sz="0" w:space="0" w:color="auto"/>
              </w:divBdr>
              <w:divsChild>
                <w:div w:id="157885844">
                  <w:marLeft w:val="0"/>
                  <w:marRight w:val="-6000"/>
                  <w:marTop w:val="0"/>
                  <w:marBottom w:val="0"/>
                  <w:divBdr>
                    <w:top w:val="none" w:sz="0" w:space="0" w:color="auto"/>
                    <w:left w:val="none" w:sz="0" w:space="0" w:color="auto"/>
                    <w:bottom w:val="none" w:sz="0" w:space="0" w:color="auto"/>
                    <w:right w:val="none" w:sz="0" w:space="0" w:color="auto"/>
                  </w:divBdr>
                  <w:divsChild>
                    <w:div w:id="1043166256">
                      <w:marLeft w:val="0"/>
                      <w:marRight w:val="5778"/>
                      <w:marTop w:val="0"/>
                      <w:marBottom w:val="0"/>
                      <w:divBdr>
                        <w:top w:val="none" w:sz="0" w:space="0" w:color="auto"/>
                        <w:left w:val="none" w:sz="0" w:space="0" w:color="auto"/>
                        <w:bottom w:val="none" w:sz="0" w:space="0" w:color="auto"/>
                        <w:right w:val="none" w:sz="0" w:space="0" w:color="auto"/>
                      </w:divBdr>
                      <w:divsChild>
                        <w:div w:id="1536382980">
                          <w:marLeft w:val="0"/>
                          <w:marRight w:val="0"/>
                          <w:marTop w:val="0"/>
                          <w:marBottom w:val="0"/>
                          <w:divBdr>
                            <w:top w:val="none" w:sz="0" w:space="0" w:color="auto"/>
                            <w:left w:val="none" w:sz="0" w:space="0" w:color="auto"/>
                            <w:bottom w:val="none" w:sz="0" w:space="0" w:color="auto"/>
                            <w:right w:val="none" w:sz="0" w:space="0" w:color="auto"/>
                          </w:divBdr>
                          <w:divsChild>
                            <w:div w:id="1440756168">
                              <w:marLeft w:val="0"/>
                              <w:marRight w:val="0"/>
                              <w:marTop w:val="240"/>
                              <w:marBottom w:val="0"/>
                              <w:divBdr>
                                <w:top w:val="none" w:sz="0" w:space="0" w:color="auto"/>
                                <w:left w:val="none" w:sz="0" w:space="0" w:color="auto"/>
                                <w:bottom w:val="none" w:sz="0" w:space="0" w:color="auto"/>
                                <w:right w:val="none" w:sz="0" w:space="0" w:color="auto"/>
                              </w:divBdr>
                              <w:divsChild>
                                <w:div w:id="1105811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55009921">
      <w:bodyDiv w:val="1"/>
      <w:marLeft w:val="0"/>
      <w:marRight w:val="0"/>
      <w:marTop w:val="0"/>
      <w:marBottom w:val="0"/>
      <w:divBdr>
        <w:top w:val="none" w:sz="0" w:space="0" w:color="auto"/>
        <w:left w:val="none" w:sz="0" w:space="0" w:color="auto"/>
        <w:bottom w:val="none" w:sz="0" w:space="0" w:color="auto"/>
        <w:right w:val="none" w:sz="0" w:space="0" w:color="auto"/>
      </w:divBdr>
    </w:div>
    <w:div w:id="1104426575">
      <w:bodyDiv w:val="1"/>
      <w:marLeft w:val="0"/>
      <w:marRight w:val="0"/>
      <w:marTop w:val="0"/>
      <w:marBottom w:val="0"/>
      <w:divBdr>
        <w:top w:val="none" w:sz="0" w:space="0" w:color="auto"/>
        <w:left w:val="none" w:sz="0" w:space="0" w:color="auto"/>
        <w:bottom w:val="none" w:sz="0" w:space="0" w:color="auto"/>
        <w:right w:val="none" w:sz="0" w:space="0" w:color="auto"/>
      </w:divBdr>
    </w:div>
    <w:div w:id="1153377309">
      <w:bodyDiv w:val="1"/>
      <w:marLeft w:val="0"/>
      <w:marRight w:val="0"/>
      <w:marTop w:val="0"/>
      <w:marBottom w:val="0"/>
      <w:divBdr>
        <w:top w:val="none" w:sz="0" w:space="0" w:color="auto"/>
        <w:left w:val="none" w:sz="0" w:space="0" w:color="auto"/>
        <w:bottom w:val="none" w:sz="0" w:space="0" w:color="auto"/>
        <w:right w:val="none" w:sz="0" w:space="0" w:color="auto"/>
      </w:divBdr>
    </w:div>
    <w:div w:id="1177186547">
      <w:bodyDiv w:val="1"/>
      <w:marLeft w:val="0"/>
      <w:marRight w:val="0"/>
      <w:marTop w:val="0"/>
      <w:marBottom w:val="0"/>
      <w:divBdr>
        <w:top w:val="none" w:sz="0" w:space="0" w:color="auto"/>
        <w:left w:val="none" w:sz="0" w:space="0" w:color="auto"/>
        <w:bottom w:val="none" w:sz="0" w:space="0" w:color="auto"/>
        <w:right w:val="none" w:sz="0" w:space="0" w:color="auto"/>
      </w:divBdr>
      <w:divsChild>
        <w:div w:id="733359522">
          <w:marLeft w:val="0"/>
          <w:marRight w:val="0"/>
          <w:marTop w:val="0"/>
          <w:marBottom w:val="0"/>
          <w:divBdr>
            <w:top w:val="none" w:sz="0" w:space="0" w:color="auto"/>
            <w:left w:val="none" w:sz="0" w:space="0" w:color="auto"/>
            <w:bottom w:val="none" w:sz="0" w:space="0" w:color="auto"/>
            <w:right w:val="none" w:sz="0" w:space="0" w:color="auto"/>
          </w:divBdr>
          <w:divsChild>
            <w:div w:id="71633395">
              <w:marLeft w:val="0"/>
              <w:marRight w:val="0"/>
              <w:marTop w:val="0"/>
              <w:marBottom w:val="0"/>
              <w:divBdr>
                <w:top w:val="none" w:sz="0" w:space="0" w:color="auto"/>
                <w:left w:val="none" w:sz="0" w:space="0" w:color="auto"/>
                <w:bottom w:val="none" w:sz="0" w:space="0" w:color="auto"/>
                <w:right w:val="none" w:sz="0" w:space="0" w:color="auto"/>
              </w:divBdr>
              <w:divsChild>
                <w:div w:id="327943162">
                  <w:marLeft w:val="0"/>
                  <w:marRight w:val="0"/>
                  <w:marTop w:val="0"/>
                  <w:marBottom w:val="0"/>
                  <w:divBdr>
                    <w:top w:val="none" w:sz="0" w:space="0" w:color="auto"/>
                    <w:left w:val="none" w:sz="0" w:space="0" w:color="auto"/>
                    <w:bottom w:val="none" w:sz="0" w:space="0" w:color="auto"/>
                    <w:right w:val="none" w:sz="0" w:space="0" w:color="auto"/>
                  </w:divBdr>
                  <w:divsChild>
                    <w:div w:id="1278177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83594730">
      <w:bodyDiv w:val="1"/>
      <w:marLeft w:val="0"/>
      <w:marRight w:val="0"/>
      <w:marTop w:val="0"/>
      <w:marBottom w:val="0"/>
      <w:divBdr>
        <w:top w:val="none" w:sz="0" w:space="0" w:color="auto"/>
        <w:left w:val="none" w:sz="0" w:space="0" w:color="auto"/>
        <w:bottom w:val="none" w:sz="0" w:space="0" w:color="auto"/>
        <w:right w:val="none" w:sz="0" w:space="0" w:color="auto"/>
      </w:divBdr>
    </w:div>
    <w:div w:id="1208687362">
      <w:bodyDiv w:val="1"/>
      <w:marLeft w:val="0"/>
      <w:marRight w:val="0"/>
      <w:marTop w:val="0"/>
      <w:marBottom w:val="0"/>
      <w:divBdr>
        <w:top w:val="none" w:sz="0" w:space="0" w:color="auto"/>
        <w:left w:val="none" w:sz="0" w:space="0" w:color="auto"/>
        <w:bottom w:val="none" w:sz="0" w:space="0" w:color="auto"/>
        <w:right w:val="none" w:sz="0" w:space="0" w:color="auto"/>
      </w:divBdr>
    </w:div>
    <w:div w:id="1230650618">
      <w:bodyDiv w:val="1"/>
      <w:marLeft w:val="0"/>
      <w:marRight w:val="0"/>
      <w:marTop w:val="0"/>
      <w:marBottom w:val="0"/>
      <w:divBdr>
        <w:top w:val="none" w:sz="0" w:space="0" w:color="auto"/>
        <w:left w:val="none" w:sz="0" w:space="0" w:color="auto"/>
        <w:bottom w:val="none" w:sz="0" w:space="0" w:color="auto"/>
        <w:right w:val="none" w:sz="0" w:space="0" w:color="auto"/>
      </w:divBdr>
    </w:div>
    <w:div w:id="1233615343">
      <w:bodyDiv w:val="1"/>
      <w:marLeft w:val="0"/>
      <w:marRight w:val="0"/>
      <w:marTop w:val="0"/>
      <w:marBottom w:val="0"/>
      <w:divBdr>
        <w:top w:val="none" w:sz="0" w:space="0" w:color="auto"/>
        <w:left w:val="none" w:sz="0" w:space="0" w:color="auto"/>
        <w:bottom w:val="none" w:sz="0" w:space="0" w:color="auto"/>
        <w:right w:val="none" w:sz="0" w:space="0" w:color="auto"/>
      </w:divBdr>
    </w:div>
    <w:div w:id="1235360419">
      <w:bodyDiv w:val="1"/>
      <w:marLeft w:val="0"/>
      <w:marRight w:val="0"/>
      <w:marTop w:val="0"/>
      <w:marBottom w:val="0"/>
      <w:divBdr>
        <w:top w:val="none" w:sz="0" w:space="0" w:color="auto"/>
        <w:left w:val="none" w:sz="0" w:space="0" w:color="auto"/>
        <w:bottom w:val="none" w:sz="0" w:space="0" w:color="auto"/>
        <w:right w:val="none" w:sz="0" w:space="0" w:color="auto"/>
      </w:divBdr>
    </w:div>
    <w:div w:id="1240361686">
      <w:bodyDiv w:val="1"/>
      <w:marLeft w:val="0"/>
      <w:marRight w:val="0"/>
      <w:marTop w:val="0"/>
      <w:marBottom w:val="0"/>
      <w:divBdr>
        <w:top w:val="none" w:sz="0" w:space="0" w:color="auto"/>
        <w:left w:val="none" w:sz="0" w:space="0" w:color="auto"/>
        <w:bottom w:val="none" w:sz="0" w:space="0" w:color="auto"/>
        <w:right w:val="none" w:sz="0" w:space="0" w:color="auto"/>
      </w:divBdr>
    </w:div>
    <w:div w:id="1248466480">
      <w:bodyDiv w:val="1"/>
      <w:marLeft w:val="0"/>
      <w:marRight w:val="0"/>
      <w:marTop w:val="0"/>
      <w:marBottom w:val="0"/>
      <w:divBdr>
        <w:top w:val="none" w:sz="0" w:space="0" w:color="auto"/>
        <w:left w:val="none" w:sz="0" w:space="0" w:color="auto"/>
        <w:bottom w:val="none" w:sz="0" w:space="0" w:color="auto"/>
        <w:right w:val="none" w:sz="0" w:space="0" w:color="auto"/>
      </w:divBdr>
    </w:div>
    <w:div w:id="1271620885">
      <w:bodyDiv w:val="1"/>
      <w:marLeft w:val="0"/>
      <w:marRight w:val="0"/>
      <w:marTop w:val="0"/>
      <w:marBottom w:val="0"/>
      <w:divBdr>
        <w:top w:val="none" w:sz="0" w:space="0" w:color="auto"/>
        <w:left w:val="none" w:sz="0" w:space="0" w:color="auto"/>
        <w:bottom w:val="none" w:sz="0" w:space="0" w:color="auto"/>
        <w:right w:val="none" w:sz="0" w:space="0" w:color="auto"/>
      </w:divBdr>
    </w:div>
    <w:div w:id="1299917559">
      <w:bodyDiv w:val="1"/>
      <w:marLeft w:val="0"/>
      <w:marRight w:val="0"/>
      <w:marTop w:val="0"/>
      <w:marBottom w:val="0"/>
      <w:divBdr>
        <w:top w:val="none" w:sz="0" w:space="0" w:color="auto"/>
        <w:left w:val="none" w:sz="0" w:space="0" w:color="auto"/>
        <w:bottom w:val="none" w:sz="0" w:space="0" w:color="auto"/>
        <w:right w:val="none" w:sz="0" w:space="0" w:color="auto"/>
      </w:divBdr>
    </w:div>
    <w:div w:id="1303459150">
      <w:bodyDiv w:val="1"/>
      <w:marLeft w:val="0"/>
      <w:marRight w:val="0"/>
      <w:marTop w:val="0"/>
      <w:marBottom w:val="0"/>
      <w:divBdr>
        <w:top w:val="none" w:sz="0" w:space="0" w:color="auto"/>
        <w:left w:val="none" w:sz="0" w:space="0" w:color="auto"/>
        <w:bottom w:val="none" w:sz="0" w:space="0" w:color="auto"/>
        <w:right w:val="none" w:sz="0" w:space="0" w:color="auto"/>
      </w:divBdr>
    </w:div>
    <w:div w:id="1304697107">
      <w:bodyDiv w:val="1"/>
      <w:marLeft w:val="0"/>
      <w:marRight w:val="0"/>
      <w:marTop w:val="0"/>
      <w:marBottom w:val="0"/>
      <w:divBdr>
        <w:top w:val="none" w:sz="0" w:space="0" w:color="auto"/>
        <w:left w:val="none" w:sz="0" w:space="0" w:color="auto"/>
        <w:bottom w:val="none" w:sz="0" w:space="0" w:color="auto"/>
        <w:right w:val="none" w:sz="0" w:space="0" w:color="auto"/>
      </w:divBdr>
    </w:div>
    <w:div w:id="1330057582">
      <w:bodyDiv w:val="1"/>
      <w:marLeft w:val="0"/>
      <w:marRight w:val="0"/>
      <w:marTop w:val="0"/>
      <w:marBottom w:val="0"/>
      <w:divBdr>
        <w:top w:val="none" w:sz="0" w:space="0" w:color="auto"/>
        <w:left w:val="none" w:sz="0" w:space="0" w:color="auto"/>
        <w:bottom w:val="none" w:sz="0" w:space="0" w:color="auto"/>
        <w:right w:val="none" w:sz="0" w:space="0" w:color="auto"/>
      </w:divBdr>
    </w:div>
    <w:div w:id="1347056257">
      <w:bodyDiv w:val="1"/>
      <w:marLeft w:val="0"/>
      <w:marRight w:val="0"/>
      <w:marTop w:val="0"/>
      <w:marBottom w:val="0"/>
      <w:divBdr>
        <w:top w:val="none" w:sz="0" w:space="0" w:color="auto"/>
        <w:left w:val="none" w:sz="0" w:space="0" w:color="auto"/>
        <w:bottom w:val="none" w:sz="0" w:space="0" w:color="auto"/>
        <w:right w:val="none" w:sz="0" w:space="0" w:color="auto"/>
      </w:divBdr>
    </w:div>
    <w:div w:id="1359357250">
      <w:bodyDiv w:val="1"/>
      <w:marLeft w:val="0"/>
      <w:marRight w:val="0"/>
      <w:marTop w:val="0"/>
      <w:marBottom w:val="0"/>
      <w:divBdr>
        <w:top w:val="none" w:sz="0" w:space="0" w:color="auto"/>
        <w:left w:val="none" w:sz="0" w:space="0" w:color="auto"/>
        <w:bottom w:val="none" w:sz="0" w:space="0" w:color="auto"/>
        <w:right w:val="none" w:sz="0" w:space="0" w:color="auto"/>
      </w:divBdr>
      <w:divsChild>
        <w:div w:id="87970584">
          <w:marLeft w:val="0"/>
          <w:marRight w:val="0"/>
          <w:marTop w:val="0"/>
          <w:marBottom w:val="0"/>
          <w:divBdr>
            <w:top w:val="none" w:sz="0" w:space="0" w:color="auto"/>
            <w:left w:val="none" w:sz="0" w:space="0" w:color="auto"/>
            <w:bottom w:val="none" w:sz="0" w:space="0" w:color="auto"/>
            <w:right w:val="none" w:sz="0" w:space="0" w:color="auto"/>
          </w:divBdr>
          <w:divsChild>
            <w:div w:id="625043410">
              <w:marLeft w:val="0"/>
              <w:marRight w:val="0"/>
              <w:marTop w:val="100"/>
              <w:marBottom w:val="100"/>
              <w:divBdr>
                <w:top w:val="none" w:sz="0" w:space="0" w:color="auto"/>
                <w:left w:val="none" w:sz="0" w:space="0" w:color="auto"/>
                <w:bottom w:val="none" w:sz="0" w:space="0" w:color="auto"/>
                <w:right w:val="none" w:sz="0" w:space="0" w:color="auto"/>
              </w:divBdr>
              <w:divsChild>
                <w:div w:id="1883596298">
                  <w:marLeft w:val="0"/>
                  <w:marRight w:val="0"/>
                  <w:marTop w:val="100"/>
                  <w:marBottom w:val="100"/>
                  <w:divBdr>
                    <w:top w:val="none" w:sz="0" w:space="0" w:color="auto"/>
                    <w:left w:val="none" w:sz="0" w:space="0" w:color="auto"/>
                    <w:bottom w:val="none" w:sz="0" w:space="0" w:color="auto"/>
                    <w:right w:val="none" w:sz="0" w:space="0" w:color="auto"/>
                  </w:divBdr>
                  <w:divsChild>
                    <w:div w:id="813448766">
                      <w:marLeft w:val="79"/>
                      <w:marRight w:val="0"/>
                      <w:marTop w:val="79"/>
                      <w:marBottom w:val="0"/>
                      <w:divBdr>
                        <w:top w:val="none" w:sz="0" w:space="0" w:color="auto"/>
                        <w:left w:val="none" w:sz="0" w:space="0" w:color="auto"/>
                        <w:bottom w:val="none" w:sz="0" w:space="0" w:color="auto"/>
                        <w:right w:val="none" w:sz="0" w:space="0" w:color="auto"/>
                      </w:divBdr>
                      <w:divsChild>
                        <w:div w:id="994458396">
                          <w:marLeft w:val="0"/>
                          <w:marRight w:val="0"/>
                          <w:marTop w:val="79"/>
                          <w:marBottom w:val="0"/>
                          <w:divBdr>
                            <w:top w:val="none" w:sz="0" w:space="0" w:color="auto"/>
                            <w:left w:val="none" w:sz="0" w:space="0" w:color="auto"/>
                            <w:bottom w:val="none" w:sz="0" w:space="0" w:color="auto"/>
                            <w:right w:val="none" w:sz="0" w:space="0" w:color="auto"/>
                          </w:divBdr>
                          <w:divsChild>
                            <w:div w:id="435752579">
                              <w:marLeft w:val="0"/>
                              <w:marRight w:val="0"/>
                              <w:marTop w:val="0"/>
                              <w:marBottom w:val="0"/>
                              <w:divBdr>
                                <w:top w:val="none" w:sz="0" w:space="0" w:color="auto"/>
                                <w:left w:val="none" w:sz="0" w:space="0" w:color="auto"/>
                                <w:bottom w:val="none" w:sz="0" w:space="0" w:color="auto"/>
                                <w:right w:val="none" w:sz="0" w:space="0" w:color="auto"/>
                              </w:divBdr>
                              <w:divsChild>
                                <w:div w:id="437406225">
                                  <w:marLeft w:val="0"/>
                                  <w:marRight w:val="0"/>
                                  <w:marTop w:val="0"/>
                                  <w:marBottom w:val="0"/>
                                  <w:divBdr>
                                    <w:top w:val="none" w:sz="0" w:space="0" w:color="auto"/>
                                    <w:left w:val="none" w:sz="0" w:space="0" w:color="auto"/>
                                    <w:bottom w:val="none" w:sz="0" w:space="0" w:color="auto"/>
                                    <w:right w:val="none" w:sz="0" w:space="0" w:color="auto"/>
                                  </w:divBdr>
                                  <w:divsChild>
                                    <w:div w:id="1587764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64285984">
      <w:bodyDiv w:val="1"/>
      <w:marLeft w:val="0"/>
      <w:marRight w:val="0"/>
      <w:marTop w:val="0"/>
      <w:marBottom w:val="0"/>
      <w:divBdr>
        <w:top w:val="none" w:sz="0" w:space="0" w:color="auto"/>
        <w:left w:val="none" w:sz="0" w:space="0" w:color="auto"/>
        <w:bottom w:val="none" w:sz="0" w:space="0" w:color="auto"/>
        <w:right w:val="none" w:sz="0" w:space="0" w:color="auto"/>
      </w:divBdr>
    </w:div>
    <w:div w:id="1384401983">
      <w:bodyDiv w:val="1"/>
      <w:marLeft w:val="0"/>
      <w:marRight w:val="0"/>
      <w:marTop w:val="0"/>
      <w:marBottom w:val="0"/>
      <w:divBdr>
        <w:top w:val="none" w:sz="0" w:space="0" w:color="auto"/>
        <w:left w:val="none" w:sz="0" w:space="0" w:color="auto"/>
        <w:bottom w:val="none" w:sz="0" w:space="0" w:color="auto"/>
        <w:right w:val="none" w:sz="0" w:space="0" w:color="auto"/>
      </w:divBdr>
      <w:divsChild>
        <w:div w:id="1738547034">
          <w:marLeft w:val="0"/>
          <w:marRight w:val="0"/>
          <w:marTop w:val="0"/>
          <w:marBottom w:val="0"/>
          <w:divBdr>
            <w:top w:val="none" w:sz="0" w:space="0" w:color="auto"/>
            <w:left w:val="none" w:sz="0" w:space="0" w:color="auto"/>
            <w:bottom w:val="none" w:sz="0" w:space="0" w:color="auto"/>
            <w:right w:val="none" w:sz="0" w:space="0" w:color="auto"/>
          </w:divBdr>
          <w:divsChild>
            <w:div w:id="1275138829">
              <w:marLeft w:val="0"/>
              <w:marRight w:val="0"/>
              <w:marTop w:val="0"/>
              <w:marBottom w:val="0"/>
              <w:divBdr>
                <w:top w:val="none" w:sz="0" w:space="0" w:color="auto"/>
                <w:left w:val="none" w:sz="0" w:space="0" w:color="auto"/>
                <w:bottom w:val="none" w:sz="0" w:space="0" w:color="auto"/>
                <w:right w:val="none" w:sz="0" w:space="0" w:color="auto"/>
              </w:divBdr>
              <w:divsChild>
                <w:div w:id="93937836">
                  <w:marLeft w:val="0"/>
                  <w:marRight w:val="0"/>
                  <w:marTop w:val="0"/>
                  <w:marBottom w:val="0"/>
                  <w:divBdr>
                    <w:top w:val="none" w:sz="0" w:space="0" w:color="auto"/>
                    <w:left w:val="none" w:sz="0" w:space="0" w:color="auto"/>
                    <w:bottom w:val="none" w:sz="0" w:space="0" w:color="auto"/>
                    <w:right w:val="none" w:sz="0" w:space="0" w:color="auto"/>
                  </w:divBdr>
                  <w:divsChild>
                    <w:div w:id="847327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84521069">
      <w:bodyDiv w:val="1"/>
      <w:marLeft w:val="0"/>
      <w:marRight w:val="0"/>
      <w:marTop w:val="0"/>
      <w:marBottom w:val="0"/>
      <w:divBdr>
        <w:top w:val="none" w:sz="0" w:space="0" w:color="auto"/>
        <w:left w:val="none" w:sz="0" w:space="0" w:color="auto"/>
        <w:bottom w:val="none" w:sz="0" w:space="0" w:color="auto"/>
        <w:right w:val="none" w:sz="0" w:space="0" w:color="auto"/>
      </w:divBdr>
    </w:div>
    <w:div w:id="1388649445">
      <w:bodyDiv w:val="1"/>
      <w:marLeft w:val="0"/>
      <w:marRight w:val="0"/>
      <w:marTop w:val="0"/>
      <w:marBottom w:val="0"/>
      <w:divBdr>
        <w:top w:val="none" w:sz="0" w:space="0" w:color="auto"/>
        <w:left w:val="none" w:sz="0" w:space="0" w:color="auto"/>
        <w:bottom w:val="none" w:sz="0" w:space="0" w:color="auto"/>
        <w:right w:val="none" w:sz="0" w:space="0" w:color="auto"/>
      </w:divBdr>
    </w:div>
    <w:div w:id="1392192003">
      <w:bodyDiv w:val="1"/>
      <w:marLeft w:val="0"/>
      <w:marRight w:val="0"/>
      <w:marTop w:val="0"/>
      <w:marBottom w:val="0"/>
      <w:divBdr>
        <w:top w:val="none" w:sz="0" w:space="0" w:color="auto"/>
        <w:left w:val="none" w:sz="0" w:space="0" w:color="auto"/>
        <w:bottom w:val="none" w:sz="0" w:space="0" w:color="auto"/>
        <w:right w:val="none" w:sz="0" w:space="0" w:color="auto"/>
      </w:divBdr>
    </w:div>
    <w:div w:id="1426923567">
      <w:bodyDiv w:val="1"/>
      <w:marLeft w:val="0"/>
      <w:marRight w:val="0"/>
      <w:marTop w:val="0"/>
      <w:marBottom w:val="0"/>
      <w:divBdr>
        <w:top w:val="none" w:sz="0" w:space="0" w:color="auto"/>
        <w:left w:val="none" w:sz="0" w:space="0" w:color="auto"/>
        <w:bottom w:val="none" w:sz="0" w:space="0" w:color="auto"/>
        <w:right w:val="none" w:sz="0" w:space="0" w:color="auto"/>
      </w:divBdr>
      <w:divsChild>
        <w:div w:id="1203253677">
          <w:marLeft w:val="0"/>
          <w:marRight w:val="0"/>
          <w:marTop w:val="0"/>
          <w:marBottom w:val="0"/>
          <w:divBdr>
            <w:top w:val="none" w:sz="0" w:space="0" w:color="auto"/>
            <w:left w:val="none" w:sz="0" w:space="0" w:color="auto"/>
            <w:bottom w:val="none" w:sz="0" w:space="0" w:color="auto"/>
            <w:right w:val="none" w:sz="0" w:space="0" w:color="auto"/>
          </w:divBdr>
          <w:divsChild>
            <w:div w:id="295526165">
              <w:marLeft w:val="0"/>
              <w:marRight w:val="0"/>
              <w:marTop w:val="0"/>
              <w:marBottom w:val="0"/>
              <w:divBdr>
                <w:top w:val="none" w:sz="0" w:space="0" w:color="auto"/>
                <w:left w:val="none" w:sz="0" w:space="0" w:color="auto"/>
                <w:bottom w:val="none" w:sz="0" w:space="0" w:color="auto"/>
                <w:right w:val="none" w:sz="0" w:space="0" w:color="auto"/>
              </w:divBdr>
              <w:divsChild>
                <w:div w:id="1625648259">
                  <w:marLeft w:val="0"/>
                  <w:marRight w:val="0"/>
                  <w:marTop w:val="0"/>
                  <w:marBottom w:val="0"/>
                  <w:divBdr>
                    <w:top w:val="none" w:sz="0" w:space="0" w:color="auto"/>
                    <w:left w:val="none" w:sz="0" w:space="0" w:color="auto"/>
                    <w:bottom w:val="none" w:sz="0" w:space="0" w:color="auto"/>
                    <w:right w:val="none" w:sz="0" w:space="0" w:color="auto"/>
                  </w:divBdr>
                  <w:divsChild>
                    <w:div w:id="1647661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30158163">
      <w:bodyDiv w:val="1"/>
      <w:marLeft w:val="0"/>
      <w:marRight w:val="0"/>
      <w:marTop w:val="0"/>
      <w:marBottom w:val="0"/>
      <w:divBdr>
        <w:top w:val="none" w:sz="0" w:space="0" w:color="auto"/>
        <w:left w:val="none" w:sz="0" w:space="0" w:color="auto"/>
        <w:bottom w:val="none" w:sz="0" w:space="0" w:color="auto"/>
        <w:right w:val="none" w:sz="0" w:space="0" w:color="auto"/>
      </w:divBdr>
    </w:div>
    <w:div w:id="1436052302">
      <w:bodyDiv w:val="1"/>
      <w:marLeft w:val="0"/>
      <w:marRight w:val="0"/>
      <w:marTop w:val="0"/>
      <w:marBottom w:val="0"/>
      <w:divBdr>
        <w:top w:val="none" w:sz="0" w:space="0" w:color="auto"/>
        <w:left w:val="none" w:sz="0" w:space="0" w:color="auto"/>
        <w:bottom w:val="none" w:sz="0" w:space="0" w:color="auto"/>
        <w:right w:val="none" w:sz="0" w:space="0" w:color="auto"/>
      </w:divBdr>
      <w:divsChild>
        <w:div w:id="636836329">
          <w:marLeft w:val="0"/>
          <w:marRight w:val="0"/>
          <w:marTop w:val="0"/>
          <w:marBottom w:val="0"/>
          <w:divBdr>
            <w:top w:val="none" w:sz="0" w:space="0" w:color="auto"/>
            <w:left w:val="none" w:sz="0" w:space="0" w:color="auto"/>
            <w:bottom w:val="none" w:sz="0" w:space="0" w:color="auto"/>
            <w:right w:val="none" w:sz="0" w:space="0" w:color="auto"/>
          </w:divBdr>
        </w:div>
      </w:divsChild>
    </w:div>
    <w:div w:id="1444226465">
      <w:bodyDiv w:val="1"/>
      <w:marLeft w:val="0"/>
      <w:marRight w:val="0"/>
      <w:marTop w:val="0"/>
      <w:marBottom w:val="0"/>
      <w:divBdr>
        <w:top w:val="none" w:sz="0" w:space="0" w:color="auto"/>
        <w:left w:val="none" w:sz="0" w:space="0" w:color="auto"/>
        <w:bottom w:val="none" w:sz="0" w:space="0" w:color="auto"/>
        <w:right w:val="none" w:sz="0" w:space="0" w:color="auto"/>
      </w:divBdr>
      <w:divsChild>
        <w:div w:id="1400785340">
          <w:marLeft w:val="0"/>
          <w:marRight w:val="0"/>
          <w:marTop w:val="0"/>
          <w:marBottom w:val="0"/>
          <w:divBdr>
            <w:top w:val="none" w:sz="0" w:space="0" w:color="auto"/>
            <w:left w:val="none" w:sz="0" w:space="0" w:color="auto"/>
            <w:bottom w:val="none" w:sz="0" w:space="0" w:color="auto"/>
            <w:right w:val="none" w:sz="0" w:space="0" w:color="auto"/>
          </w:divBdr>
          <w:divsChild>
            <w:div w:id="1921330575">
              <w:marLeft w:val="0"/>
              <w:marRight w:val="0"/>
              <w:marTop w:val="0"/>
              <w:marBottom w:val="0"/>
              <w:divBdr>
                <w:top w:val="none" w:sz="0" w:space="0" w:color="auto"/>
                <w:left w:val="none" w:sz="0" w:space="0" w:color="auto"/>
                <w:bottom w:val="none" w:sz="0" w:space="0" w:color="auto"/>
                <w:right w:val="none" w:sz="0" w:space="0" w:color="auto"/>
              </w:divBdr>
              <w:divsChild>
                <w:div w:id="187183948">
                  <w:marLeft w:val="0"/>
                  <w:marRight w:val="0"/>
                  <w:marTop w:val="0"/>
                  <w:marBottom w:val="0"/>
                  <w:divBdr>
                    <w:top w:val="none" w:sz="0" w:space="0" w:color="auto"/>
                    <w:left w:val="none" w:sz="0" w:space="0" w:color="auto"/>
                    <w:bottom w:val="none" w:sz="0" w:space="0" w:color="auto"/>
                    <w:right w:val="none" w:sz="0" w:space="0" w:color="auto"/>
                  </w:divBdr>
                  <w:divsChild>
                    <w:div w:id="748691188">
                      <w:marLeft w:val="0"/>
                      <w:marRight w:val="0"/>
                      <w:marTop w:val="0"/>
                      <w:marBottom w:val="0"/>
                      <w:divBdr>
                        <w:top w:val="none" w:sz="0" w:space="0" w:color="auto"/>
                        <w:left w:val="none" w:sz="0" w:space="0" w:color="auto"/>
                        <w:bottom w:val="none" w:sz="0" w:space="0" w:color="auto"/>
                        <w:right w:val="none" w:sz="0" w:space="0" w:color="auto"/>
                      </w:divBdr>
                      <w:divsChild>
                        <w:div w:id="1624656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18614347">
      <w:bodyDiv w:val="1"/>
      <w:marLeft w:val="0"/>
      <w:marRight w:val="0"/>
      <w:marTop w:val="0"/>
      <w:marBottom w:val="0"/>
      <w:divBdr>
        <w:top w:val="none" w:sz="0" w:space="0" w:color="auto"/>
        <w:left w:val="none" w:sz="0" w:space="0" w:color="auto"/>
        <w:bottom w:val="none" w:sz="0" w:space="0" w:color="auto"/>
        <w:right w:val="none" w:sz="0" w:space="0" w:color="auto"/>
      </w:divBdr>
    </w:div>
    <w:div w:id="1523861612">
      <w:bodyDiv w:val="1"/>
      <w:marLeft w:val="0"/>
      <w:marRight w:val="0"/>
      <w:marTop w:val="0"/>
      <w:marBottom w:val="0"/>
      <w:divBdr>
        <w:top w:val="none" w:sz="0" w:space="0" w:color="auto"/>
        <w:left w:val="none" w:sz="0" w:space="0" w:color="auto"/>
        <w:bottom w:val="none" w:sz="0" w:space="0" w:color="auto"/>
        <w:right w:val="none" w:sz="0" w:space="0" w:color="auto"/>
      </w:divBdr>
    </w:div>
    <w:div w:id="1529179170">
      <w:bodyDiv w:val="1"/>
      <w:marLeft w:val="0"/>
      <w:marRight w:val="0"/>
      <w:marTop w:val="0"/>
      <w:marBottom w:val="0"/>
      <w:divBdr>
        <w:top w:val="none" w:sz="0" w:space="0" w:color="auto"/>
        <w:left w:val="none" w:sz="0" w:space="0" w:color="auto"/>
        <w:bottom w:val="none" w:sz="0" w:space="0" w:color="auto"/>
        <w:right w:val="none" w:sz="0" w:space="0" w:color="auto"/>
      </w:divBdr>
    </w:div>
    <w:div w:id="1543514023">
      <w:bodyDiv w:val="1"/>
      <w:marLeft w:val="0"/>
      <w:marRight w:val="0"/>
      <w:marTop w:val="0"/>
      <w:marBottom w:val="0"/>
      <w:divBdr>
        <w:top w:val="none" w:sz="0" w:space="0" w:color="auto"/>
        <w:left w:val="none" w:sz="0" w:space="0" w:color="auto"/>
        <w:bottom w:val="none" w:sz="0" w:space="0" w:color="auto"/>
        <w:right w:val="none" w:sz="0" w:space="0" w:color="auto"/>
      </w:divBdr>
    </w:div>
    <w:div w:id="1559975068">
      <w:bodyDiv w:val="1"/>
      <w:marLeft w:val="0"/>
      <w:marRight w:val="0"/>
      <w:marTop w:val="0"/>
      <w:marBottom w:val="0"/>
      <w:divBdr>
        <w:top w:val="none" w:sz="0" w:space="0" w:color="auto"/>
        <w:left w:val="none" w:sz="0" w:space="0" w:color="auto"/>
        <w:bottom w:val="none" w:sz="0" w:space="0" w:color="auto"/>
        <w:right w:val="none" w:sz="0" w:space="0" w:color="auto"/>
      </w:divBdr>
    </w:div>
    <w:div w:id="1606578064">
      <w:bodyDiv w:val="1"/>
      <w:marLeft w:val="0"/>
      <w:marRight w:val="0"/>
      <w:marTop w:val="0"/>
      <w:marBottom w:val="0"/>
      <w:divBdr>
        <w:top w:val="none" w:sz="0" w:space="0" w:color="auto"/>
        <w:left w:val="none" w:sz="0" w:space="0" w:color="auto"/>
        <w:bottom w:val="none" w:sz="0" w:space="0" w:color="auto"/>
        <w:right w:val="none" w:sz="0" w:space="0" w:color="auto"/>
      </w:divBdr>
    </w:div>
    <w:div w:id="1609695934">
      <w:bodyDiv w:val="1"/>
      <w:marLeft w:val="0"/>
      <w:marRight w:val="0"/>
      <w:marTop w:val="0"/>
      <w:marBottom w:val="0"/>
      <w:divBdr>
        <w:top w:val="none" w:sz="0" w:space="0" w:color="auto"/>
        <w:left w:val="none" w:sz="0" w:space="0" w:color="auto"/>
        <w:bottom w:val="none" w:sz="0" w:space="0" w:color="auto"/>
        <w:right w:val="none" w:sz="0" w:space="0" w:color="auto"/>
      </w:divBdr>
    </w:div>
    <w:div w:id="1621303731">
      <w:bodyDiv w:val="1"/>
      <w:marLeft w:val="0"/>
      <w:marRight w:val="0"/>
      <w:marTop w:val="0"/>
      <w:marBottom w:val="0"/>
      <w:divBdr>
        <w:top w:val="none" w:sz="0" w:space="0" w:color="auto"/>
        <w:left w:val="none" w:sz="0" w:space="0" w:color="auto"/>
        <w:bottom w:val="none" w:sz="0" w:space="0" w:color="auto"/>
        <w:right w:val="none" w:sz="0" w:space="0" w:color="auto"/>
      </w:divBdr>
    </w:div>
    <w:div w:id="1631328503">
      <w:bodyDiv w:val="1"/>
      <w:marLeft w:val="0"/>
      <w:marRight w:val="0"/>
      <w:marTop w:val="0"/>
      <w:marBottom w:val="0"/>
      <w:divBdr>
        <w:top w:val="none" w:sz="0" w:space="0" w:color="auto"/>
        <w:left w:val="none" w:sz="0" w:space="0" w:color="auto"/>
        <w:bottom w:val="none" w:sz="0" w:space="0" w:color="auto"/>
        <w:right w:val="none" w:sz="0" w:space="0" w:color="auto"/>
      </w:divBdr>
    </w:div>
    <w:div w:id="1732388998">
      <w:bodyDiv w:val="1"/>
      <w:marLeft w:val="0"/>
      <w:marRight w:val="0"/>
      <w:marTop w:val="0"/>
      <w:marBottom w:val="0"/>
      <w:divBdr>
        <w:top w:val="none" w:sz="0" w:space="0" w:color="auto"/>
        <w:left w:val="none" w:sz="0" w:space="0" w:color="auto"/>
        <w:bottom w:val="none" w:sz="0" w:space="0" w:color="auto"/>
        <w:right w:val="none" w:sz="0" w:space="0" w:color="auto"/>
      </w:divBdr>
    </w:div>
    <w:div w:id="1736708940">
      <w:bodyDiv w:val="1"/>
      <w:marLeft w:val="0"/>
      <w:marRight w:val="0"/>
      <w:marTop w:val="0"/>
      <w:marBottom w:val="0"/>
      <w:divBdr>
        <w:top w:val="none" w:sz="0" w:space="0" w:color="auto"/>
        <w:left w:val="none" w:sz="0" w:space="0" w:color="auto"/>
        <w:bottom w:val="none" w:sz="0" w:space="0" w:color="auto"/>
        <w:right w:val="none" w:sz="0" w:space="0" w:color="auto"/>
      </w:divBdr>
      <w:divsChild>
        <w:div w:id="742996321">
          <w:marLeft w:val="0"/>
          <w:marRight w:val="0"/>
          <w:marTop w:val="0"/>
          <w:marBottom w:val="0"/>
          <w:divBdr>
            <w:top w:val="none" w:sz="0" w:space="0" w:color="auto"/>
            <w:left w:val="none" w:sz="0" w:space="0" w:color="auto"/>
            <w:bottom w:val="none" w:sz="0" w:space="0" w:color="auto"/>
            <w:right w:val="none" w:sz="0" w:space="0" w:color="auto"/>
          </w:divBdr>
          <w:divsChild>
            <w:div w:id="697202998">
              <w:marLeft w:val="0"/>
              <w:marRight w:val="0"/>
              <w:marTop w:val="0"/>
              <w:marBottom w:val="0"/>
              <w:divBdr>
                <w:top w:val="none" w:sz="0" w:space="0" w:color="auto"/>
                <w:left w:val="none" w:sz="0" w:space="0" w:color="auto"/>
                <w:bottom w:val="none" w:sz="0" w:space="0" w:color="auto"/>
                <w:right w:val="none" w:sz="0" w:space="0" w:color="auto"/>
              </w:divBdr>
              <w:divsChild>
                <w:div w:id="1489445454">
                  <w:marLeft w:val="0"/>
                  <w:marRight w:val="0"/>
                  <w:marTop w:val="0"/>
                  <w:marBottom w:val="0"/>
                  <w:divBdr>
                    <w:top w:val="none" w:sz="0" w:space="0" w:color="auto"/>
                    <w:left w:val="none" w:sz="0" w:space="0" w:color="auto"/>
                    <w:bottom w:val="none" w:sz="0" w:space="0" w:color="auto"/>
                    <w:right w:val="none" w:sz="0" w:space="0" w:color="auto"/>
                  </w:divBdr>
                  <w:divsChild>
                    <w:div w:id="1208646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50076899">
      <w:bodyDiv w:val="1"/>
      <w:marLeft w:val="0"/>
      <w:marRight w:val="0"/>
      <w:marTop w:val="0"/>
      <w:marBottom w:val="0"/>
      <w:divBdr>
        <w:top w:val="none" w:sz="0" w:space="0" w:color="auto"/>
        <w:left w:val="none" w:sz="0" w:space="0" w:color="auto"/>
        <w:bottom w:val="none" w:sz="0" w:space="0" w:color="auto"/>
        <w:right w:val="none" w:sz="0" w:space="0" w:color="auto"/>
      </w:divBdr>
    </w:div>
    <w:div w:id="1767845190">
      <w:bodyDiv w:val="1"/>
      <w:marLeft w:val="0"/>
      <w:marRight w:val="0"/>
      <w:marTop w:val="0"/>
      <w:marBottom w:val="0"/>
      <w:divBdr>
        <w:top w:val="none" w:sz="0" w:space="0" w:color="auto"/>
        <w:left w:val="none" w:sz="0" w:space="0" w:color="auto"/>
        <w:bottom w:val="none" w:sz="0" w:space="0" w:color="auto"/>
        <w:right w:val="none" w:sz="0" w:space="0" w:color="auto"/>
      </w:divBdr>
    </w:div>
    <w:div w:id="1810780425">
      <w:bodyDiv w:val="1"/>
      <w:marLeft w:val="0"/>
      <w:marRight w:val="0"/>
      <w:marTop w:val="0"/>
      <w:marBottom w:val="0"/>
      <w:divBdr>
        <w:top w:val="none" w:sz="0" w:space="0" w:color="auto"/>
        <w:left w:val="none" w:sz="0" w:space="0" w:color="auto"/>
        <w:bottom w:val="none" w:sz="0" w:space="0" w:color="auto"/>
        <w:right w:val="none" w:sz="0" w:space="0" w:color="auto"/>
      </w:divBdr>
    </w:div>
    <w:div w:id="1819298760">
      <w:bodyDiv w:val="1"/>
      <w:marLeft w:val="0"/>
      <w:marRight w:val="0"/>
      <w:marTop w:val="0"/>
      <w:marBottom w:val="0"/>
      <w:divBdr>
        <w:top w:val="none" w:sz="0" w:space="0" w:color="auto"/>
        <w:left w:val="none" w:sz="0" w:space="0" w:color="auto"/>
        <w:bottom w:val="none" w:sz="0" w:space="0" w:color="auto"/>
        <w:right w:val="none" w:sz="0" w:space="0" w:color="auto"/>
      </w:divBdr>
    </w:div>
    <w:div w:id="1827236000">
      <w:bodyDiv w:val="1"/>
      <w:marLeft w:val="0"/>
      <w:marRight w:val="0"/>
      <w:marTop w:val="0"/>
      <w:marBottom w:val="0"/>
      <w:divBdr>
        <w:top w:val="none" w:sz="0" w:space="0" w:color="auto"/>
        <w:left w:val="none" w:sz="0" w:space="0" w:color="auto"/>
        <w:bottom w:val="none" w:sz="0" w:space="0" w:color="auto"/>
        <w:right w:val="none" w:sz="0" w:space="0" w:color="auto"/>
      </w:divBdr>
    </w:div>
    <w:div w:id="1833836342">
      <w:bodyDiv w:val="1"/>
      <w:marLeft w:val="0"/>
      <w:marRight w:val="0"/>
      <w:marTop w:val="0"/>
      <w:marBottom w:val="0"/>
      <w:divBdr>
        <w:top w:val="none" w:sz="0" w:space="0" w:color="auto"/>
        <w:left w:val="none" w:sz="0" w:space="0" w:color="auto"/>
        <w:bottom w:val="none" w:sz="0" w:space="0" w:color="auto"/>
        <w:right w:val="none" w:sz="0" w:space="0" w:color="auto"/>
      </w:divBdr>
    </w:div>
    <w:div w:id="1848670764">
      <w:bodyDiv w:val="1"/>
      <w:marLeft w:val="0"/>
      <w:marRight w:val="0"/>
      <w:marTop w:val="0"/>
      <w:marBottom w:val="0"/>
      <w:divBdr>
        <w:top w:val="none" w:sz="0" w:space="0" w:color="auto"/>
        <w:left w:val="none" w:sz="0" w:space="0" w:color="auto"/>
        <w:bottom w:val="none" w:sz="0" w:space="0" w:color="auto"/>
        <w:right w:val="none" w:sz="0" w:space="0" w:color="auto"/>
      </w:divBdr>
    </w:div>
    <w:div w:id="1851337754">
      <w:bodyDiv w:val="1"/>
      <w:marLeft w:val="0"/>
      <w:marRight w:val="0"/>
      <w:marTop w:val="0"/>
      <w:marBottom w:val="0"/>
      <w:divBdr>
        <w:top w:val="none" w:sz="0" w:space="0" w:color="auto"/>
        <w:left w:val="none" w:sz="0" w:space="0" w:color="auto"/>
        <w:bottom w:val="none" w:sz="0" w:space="0" w:color="auto"/>
        <w:right w:val="none" w:sz="0" w:space="0" w:color="auto"/>
      </w:divBdr>
    </w:div>
    <w:div w:id="1876891903">
      <w:bodyDiv w:val="1"/>
      <w:marLeft w:val="0"/>
      <w:marRight w:val="0"/>
      <w:marTop w:val="0"/>
      <w:marBottom w:val="0"/>
      <w:divBdr>
        <w:top w:val="none" w:sz="0" w:space="0" w:color="auto"/>
        <w:left w:val="none" w:sz="0" w:space="0" w:color="auto"/>
        <w:bottom w:val="none" w:sz="0" w:space="0" w:color="auto"/>
        <w:right w:val="none" w:sz="0" w:space="0" w:color="auto"/>
      </w:divBdr>
    </w:div>
    <w:div w:id="1900283541">
      <w:bodyDiv w:val="1"/>
      <w:marLeft w:val="0"/>
      <w:marRight w:val="0"/>
      <w:marTop w:val="0"/>
      <w:marBottom w:val="0"/>
      <w:divBdr>
        <w:top w:val="none" w:sz="0" w:space="0" w:color="auto"/>
        <w:left w:val="none" w:sz="0" w:space="0" w:color="auto"/>
        <w:bottom w:val="none" w:sz="0" w:space="0" w:color="auto"/>
        <w:right w:val="none" w:sz="0" w:space="0" w:color="auto"/>
      </w:divBdr>
      <w:divsChild>
        <w:div w:id="529607275">
          <w:marLeft w:val="0"/>
          <w:marRight w:val="0"/>
          <w:marTop w:val="0"/>
          <w:marBottom w:val="0"/>
          <w:divBdr>
            <w:top w:val="none" w:sz="0" w:space="0" w:color="auto"/>
            <w:left w:val="none" w:sz="0" w:space="0" w:color="auto"/>
            <w:bottom w:val="none" w:sz="0" w:space="0" w:color="auto"/>
            <w:right w:val="none" w:sz="0" w:space="0" w:color="auto"/>
          </w:divBdr>
          <w:divsChild>
            <w:div w:id="1536231806">
              <w:marLeft w:val="0"/>
              <w:marRight w:val="0"/>
              <w:marTop w:val="0"/>
              <w:marBottom w:val="0"/>
              <w:divBdr>
                <w:top w:val="none" w:sz="0" w:space="0" w:color="auto"/>
                <w:left w:val="none" w:sz="0" w:space="0" w:color="auto"/>
                <w:bottom w:val="none" w:sz="0" w:space="0" w:color="auto"/>
                <w:right w:val="none" w:sz="0" w:space="0" w:color="auto"/>
              </w:divBdr>
              <w:divsChild>
                <w:div w:id="1974092780">
                  <w:marLeft w:val="0"/>
                  <w:marRight w:val="0"/>
                  <w:marTop w:val="0"/>
                  <w:marBottom w:val="0"/>
                  <w:divBdr>
                    <w:top w:val="none" w:sz="0" w:space="0" w:color="auto"/>
                    <w:left w:val="none" w:sz="0" w:space="0" w:color="auto"/>
                    <w:bottom w:val="none" w:sz="0" w:space="0" w:color="auto"/>
                    <w:right w:val="none" w:sz="0" w:space="0" w:color="auto"/>
                  </w:divBdr>
                  <w:divsChild>
                    <w:div w:id="2030400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03633536">
      <w:bodyDiv w:val="1"/>
      <w:marLeft w:val="0"/>
      <w:marRight w:val="0"/>
      <w:marTop w:val="0"/>
      <w:marBottom w:val="0"/>
      <w:divBdr>
        <w:top w:val="none" w:sz="0" w:space="0" w:color="auto"/>
        <w:left w:val="none" w:sz="0" w:space="0" w:color="auto"/>
        <w:bottom w:val="none" w:sz="0" w:space="0" w:color="auto"/>
        <w:right w:val="none" w:sz="0" w:space="0" w:color="auto"/>
      </w:divBdr>
    </w:div>
    <w:div w:id="1910533830">
      <w:bodyDiv w:val="1"/>
      <w:marLeft w:val="0"/>
      <w:marRight w:val="0"/>
      <w:marTop w:val="0"/>
      <w:marBottom w:val="0"/>
      <w:divBdr>
        <w:top w:val="none" w:sz="0" w:space="0" w:color="auto"/>
        <w:left w:val="none" w:sz="0" w:space="0" w:color="auto"/>
        <w:bottom w:val="none" w:sz="0" w:space="0" w:color="auto"/>
        <w:right w:val="none" w:sz="0" w:space="0" w:color="auto"/>
      </w:divBdr>
    </w:div>
    <w:div w:id="1985887733">
      <w:bodyDiv w:val="1"/>
      <w:marLeft w:val="0"/>
      <w:marRight w:val="0"/>
      <w:marTop w:val="0"/>
      <w:marBottom w:val="0"/>
      <w:divBdr>
        <w:top w:val="none" w:sz="0" w:space="0" w:color="auto"/>
        <w:left w:val="none" w:sz="0" w:space="0" w:color="auto"/>
        <w:bottom w:val="none" w:sz="0" w:space="0" w:color="auto"/>
        <w:right w:val="none" w:sz="0" w:space="0" w:color="auto"/>
      </w:divBdr>
      <w:divsChild>
        <w:div w:id="198858678">
          <w:marLeft w:val="0"/>
          <w:marRight w:val="0"/>
          <w:marTop w:val="0"/>
          <w:marBottom w:val="0"/>
          <w:divBdr>
            <w:top w:val="none" w:sz="0" w:space="0" w:color="auto"/>
            <w:left w:val="none" w:sz="0" w:space="0" w:color="auto"/>
            <w:bottom w:val="none" w:sz="0" w:space="0" w:color="auto"/>
            <w:right w:val="none" w:sz="0" w:space="0" w:color="auto"/>
          </w:divBdr>
          <w:divsChild>
            <w:div w:id="2139444430">
              <w:marLeft w:val="0"/>
              <w:marRight w:val="0"/>
              <w:marTop w:val="0"/>
              <w:marBottom w:val="0"/>
              <w:divBdr>
                <w:top w:val="none" w:sz="0" w:space="0" w:color="auto"/>
                <w:left w:val="none" w:sz="0" w:space="0" w:color="auto"/>
                <w:bottom w:val="none" w:sz="0" w:space="0" w:color="auto"/>
                <w:right w:val="none" w:sz="0" w:space="0" w:color="auto"/>
              </w:divBdr>
              <w:divsChild>
                <w:div w:id="349795169">
                  <w:marLeft w:val="0"/>
                  <w:marRight w:val="0"/>
                  <w:marTop w:val="0"/>
                  <w:marBottom w:val="0"/>
                  <w:divBdr>
                    <w:top w:val="none" w:sz="0" w:space="0" w:color="auto"/>
                    <w:left w:val="none" w:sz="0" w:space="0" w:color="auto"/>
                    <w:bottom w:val="none" w:sz="0" w:space="0" w:color="auto"/>
                    <w:right w:val="none" w:sz="0" w:space="0" w:color="auto"/>
                  </w:divBdr>
                  <w:divsChild>
                    <w:div w:id="665132865">
                      <w:marLeft w:val="0"/>
                      <w:marRight w:val="0"/>
                      <w:marTop w:val="0"/>
                      <w:marBottom w:val="0"/>
                      <w:divBdr>
                        <w:top w:val="none" w:sz="0" w:space="0" w:color="auto"/>
                        <w:left w:val="none" w:sz="0" w:space="0" w:color="auto"/>
                        <w:bottom w:val="none" w:sz="0" w:space="0" w:color="auto"/>
                        <w:right w:val="none" w:sz="0" w:space="0" w:color="auto"/>
                      </w:divBdr>
                      <w:divsChild>
                        <w:div w:id="290719989">
                          <w:marLeft w:val="0"/>
                          <w:marRight w:val="0"/>
                          <w:marTop w:val="0"/>
                          <w:marBottom w:val="0"/>
                          <w:divBdr>
                            <w:top w:val="none" w:sz="0" w:space="0" w:color="auto"/>
                            <w:left w:val="none" w:sz="0" w:space="0" w:color="auto"/>
                            <w:bottom w:val="none" w:sz="0" w:space="0" w:color="auto"/>
                            <w:right w:val="none" w:sz="0" w:space="0" w:color="auto"/>
                          </w:divBdr>
                          <w:divsChild>
                            <w:div w:id="811293225">
                              <w:marLeft w:val="0"/>
                              <w:marRight w:val="0"/>
                              <w:marTop w:val="0"/>
                              <w:marBottom w:val="0"/>
                              <w:divBdr>
                                <w:top w:val="none" w:sz="0" w:space="0" w:color="auto"/>
                                <w:left w:val="none" w:sz="0" w:space="0" w:color="auto"/>
                                <w:bottom w:val="none" w:sz="0" w:space="0" w:color="auto"/>
                                <w:right w:val="none" w:sz="0" w:space="0" w:color="auto"/>
                              </w:divBdr>
                            </w:div>
                            <w:div w:id="1644313231">
                              <w:marLeft w:val="0"/>
                              <w:marRight w:val="0"/>
                              <w:marTop w:val="0"/>
                              <w:marBottom w:val="0"/>
                              <w:divBdr>
                                <w:top w:val="none" w:sz="0" w:space="0" w:color="auto"/>
                                <w:left w:val="none" w:sz="0" w:space="0" w:color="auto"/>
                                <w:bottom w:val="none" w:sz="0" w:space="0" w:color="auto"/>
                                <w:right w:val="none" w:sz="0" w:space="0" w:color="auto"/>
                              </w:divBdr>
                              <w:divsChild>
                                <w:div w:id="1515338125">
                                  <w:marLeft w:val="0"/>
                                  <w:marRight w:val="0"/>
                                  <w:marTop w:val="0"/>
                                  <w:marBottom w:val="0"/>
                                  <w:divBdr>
                                    <w:top w:val="none" w:sz="0" w:space="0" w:color="auto"/>
                                    <w:left w:val="none" w:sz="0" w:space="0" w:color="auto"/>
                                    <w:bottom w:val="none" w:sz="0" w:space="0" w:color="auto"/>
                                    <w:right w:val="none" w:sz="0" w:space="0" w:color="auto"/>
                                  </w:divBdr>
                                  <w:divsChild>
                                    <w:div w:id="1829591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94486179">
      <w:bodyDiv w:val="1"/>
      <w:marLeft w:val="0"/>
      <w:marRight w:val="0"/>
      <w:marTop w:val="0"/>
      <w:marBottom w:val="0"/>
      <w:divBdr>
        <w:top w:val="none" w:sz="0" w:space="0" w:color="auto"/>
        <w:left w:val="none" w:sz="0" w:space="0" w:color="auto"/>
        <w:bottom w:val="none" w:sz="0" w:space="0" w:color="auto"/>
        <w:right w:val="none" w:sz="0" w:space="0" w:color="auto"/>
      </w:divBdr>
    </w:div>
    <w:div w:id="2033919264">
      <w:bodyDiv w:val="1"/>
      <w:marLeft w:val="0"/>
      <w:marRight w:val="0"/>
      <w:marTop w:val="0"/>
      <w:marBottom w:val="0"/>
      <w:divBdr>
        <w:top w:val="none" w:sz="0" w:space="0" w:color="auto"/>
        <w:left w:val="none" w:sz="0" w:space="0" w:color="auto"/>
        <w:bottom w:val="none" w:sz="0" w:space="0" w:color="auto"/>
        <w:right w:val="none" w:sz="0" w:space="0" w:color="auto"/>
      </w:divBdr>
    </w:div>
    <w:div w:id="2034257789">
      <w:bodyDiv w:val="1"/>
      <w:marLeft w:val="0"/>
      <w:marRight w:val="0"/>
      <w:marTop w:val="0"/>
      <w:marBottom w:val="0"/>
      <w:divBdr>
        <w:top w:val="none" w:sz="0" w:space="0" w:color="auto"/>
        <w:left w:val="none" w:sz="0" w:space="0" w:color="auto"/>
        <w:bottom w:val="none" w:sz="0" w:space="0" w:color="auto"/>
        <w:right w:val="none" w:sz="0" w:space="0" w:color="auto"/>
      </w:divBdr>
    </w:div>
    <w:div w:id="2039041220">
      <w:bodyDiv w:val="1"/>
      <w:marLeft w:val="0"/>
      <w:marRight w:val="0"/>
      <w:marTop w:val="0"/>
      <w:marBottom w:val="0"/>
      <w:divBdr>
        <w:top w:val="none" w:sz="0" w:space="0" w:color="auto"/>
        <w:left w:val="none" w:sz="0" w:space="0" w:color="auto"/>
        <w:bottom w:val="none" w:sz="0" w:space="0" w:color="auto"/>
        <w:right w:val="none" w:sz="0" w:space="0" w:color="auto"/>
      </w:divBdr>
    </w:div>
    <w:div w:id="2046634585">
      <w:bodyDiv w:val="1"/>
      <w:marLeft w:val="0"/>
      <w:marRight w:val="0"/>
      <w:marTop w:val="0"/>
      <w:marBottom w:val="0"/>
      <w:divBdr>
        <w:top w:val="none" w:sz="0" w:space="0" w:color="auto"/>
        <w:left w:val="none" w:sz="0" w:space="0" w:color="auto"/>
        <w:bottom w:val="none" w:sz="0" w:space="0" w:color="auto"/>
        <w:right w:val="none" w:sz="0" w:space="0" w:color="auto"/>
      </w:divBdr>
    </w:div>
    <w:div w:id="2052537950">
      <w:bodyDiv w:val="1"/>
      <w:marLeft w:val="0"/>
      <w:marRight w:val="0"/>
      <w:marTop w:val="0"/>
      <w:marBottom w:val="0"/>
      <w:divBdr>
        <w:top w:val="none" w:sz="0" w:space="0" w:color="auto"/>
        <w:left w:val="none" w:sz="0" w:space="0" w:color="auto"/>
        <w:bottom w:val="none" w:sz="0" w:space="0" w:color="auto"/>
        <w:right w:val="none" w:sz="0" w:space="0" w:color="auto"/>
      </w:divBdr>
    </w:div>
    <w:div w:id="2057777176">
      <w:bodyDiv w:val="1"/>
      <w:marLeft w:val="0"/>
      <w:marRight w:val="0"/>
      <w:marTop w:val="0"/>
      <w:marBottom w:val="0"/>
      <w:divBdr>
        <w:top w:val="none" w:sz="0" w:space="0" w:color="auto"/>
        <w:left w:val="none" w:sz="0" w:space="0" w:color="auto"/>
        <w:bottom w:val="none" w:sz="0" w:space="0" w:color="auto"/>
        <w:right w:val="none" w:sz="0" w:space="0" w:color="auto"/>
      </w:divBdr>
    </w:div>
    <w:div w:id="2074231683">
      <w:bodyDiv w:val="1"/>
      <w:marLeft w:val="0"/>
      <w:marRight w:val="0"/>
      <w:marTop w:val="0"/>
      <w:marBottom w:val="0"/>
      <w:divBdr>
        <w:top w:val="none" w:sz="0" w:space="0" w:color="auto"/>
        <w:left w:val="none" w:sz="0" w:space="0" w:color="auto"/>
        <w:bottom w:val="none" w:sz="0" w:space="0" w:color="auto"/>
        <w:right w:val="none" w:sz="0" w:space="0" w:color="auto"/>
      </w:divBdr>
    </w:div>
    <w:div w:id="2102993143">
      <w:bodyDiv w:val="1"/>
      <w:marLeft w:val="0"/>
      <w:marRight w:val="0"/>
      <w:marTop w:val="0"/>
      <w:marBottom w:val="0"/>
      <w:divBdr>
        <w:top w:val="none" w:sz="0" w:space="0" w:color="auto"/>
        <w:left w:val="none" w:sz="0" w:space="0" w:color="auto"/>
        <w:bottom w:val="none" w:sz="0" w:space="0" w:color="auto"/>
        <w:right w:val="none" w:sz="0" w:space="0" w:color="auto"/>
      </w:divBdr>
    </w:div>
    <w:div w:id="2105179720">
      <w:bodyDiv w:val="1"/>
      <w:marLeft w:val="0"/>
      <w:marRight w:val="0"/>
      <w:marTop w:val="0"/>
      <w:marBottom w:val="0"/>
      <w:divBdr>
        <w:top w:val="none" w:sz="0" w:space="0" w:color="auto"/>
        <w:left w:val="none" w:sz="0" w:space="0" w:color="auto"/>
        <w:bottom w:val="none" w:sz="0" w:space="0" w:color="auto"/>
        <w:right w:val="none" w:sz="0" w:space="0" w:color="auto"/>
      </w:divBdr>
    </w:div>
    <w:div w:id="2113627713">
      <w:bodyDiv w:val="1"/>
      <w:marLeft w:val="0"/>
      <w:marRight w:val="0"/>
      <w:marTop w:val="0"/>
      <w:marBottom w:val="0"/>
      <w:divBdr>
        <w:top w:val="none" w:sz="0" w:space="0" w:color="auto"/>
        <w:left w:val="none" w:sz="0" w:space="0" w:color="auto"/>
        <w:bottom w:val="none" w:sz="0" w:space="0" w:color="auto"/>
        <w:right w:val="none" w:sz="0" w:space="0" w:color="auto"/>
      </w:divBdr>
    </w:div>
    <w:div w:id="2118987939">
      <w:bodyDiv w:val="1"/>
      <w:marLeft w:val="0"/>
      <w:marRight w:val="0"/>
      <w:marTop w:val="0"/>
      <w:marBottom w:val="0"/>
      <w:divBdr>
        <w:top w:val="none" w:sz="0" w:space="0" w:color="auto"/>
        <w:left w:val="none" w:sz="0" w:space="0" w:color="auto"/>
        <w:bottom w:val="none" w:sz="0" w:space="0" w:color="auto"/>
        <w:right w:val="none" w:sz="0" w:space="0" w:color="auto"/>
      </w:divBdr>
    </w:div>
    <w:div w:id="21416538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imf.org/external/spanish/pubs/ft/survey/so/2015/new040915as.htm" TargetMode="External"/><Relationship Id="rId18" Type="http://schemas.openxmlformats.org/officeDocument/2006/relationships/hyperlink" Target="http://envivo.bancomundial.org/latinoamerica-en-busca-del-crecimiento-perdido" TargetMode="External"/><Relationship Id="rId26" Type="http://schemas.openxmlformats.org/officeDocument/2006/relationships/image" Target="media/image6.emf"/><Relationship Id="rId21" Type="http://schemas.openxmlformats.org/officeDocument/2006/relationships/hyperlink" Target="http://www.worldbank.org/content/dam/Worldbank/Feature%20Story/lac/PELACResumen%20Ejecutivo_Reporte%20Semestral%20Abril%202015.pdf" TargetMode="External"/><Relationship Id="rId34" Type="http://schemas.openxmlformats.org/officeDocument/2006/relationships/hyperlink" Target="http://lat.wsj.com/articles/SB11359226210375633378604580542393037917012?tesla=y" TargetMode="External"/><Relationship Id="rId7" Type="http://schemas.openxmlformats.org/officeDocument/2006/relationships/endnotes" Target="endnotes.xml"/><Relationship Id="rId12" Type="http://schemas.openxmlformats.org/officeDocument/2006/relationships/hyperlink" Target="http://www.imf.org/external/spanish/np/speeches/2015/040915s.htm" TargetMode="External"/><Relationship Id="rId17" Type="http://schemas.openxmlformats.org/officeDocument/2006/relationships/hyperlink" Target="http://www.worldbank.org/content/dam/Worldbank/Feature%20Story/lac/PELACResumen%20Ejecutivo_Reporte%20Semestral%20Abril%202015.pdf" TargetMode="External"/><Relationship Id="rId25" Type="http://schemas.openxmlformats.org/officeDocument/2006/relationships/image" Target="media/image5.emf"/><Relationship Id="rId33" Type="http://schemas.openxmlformats.org/officeDocument/2006/relationships/hyperlink" Target="http://www.project-syndicate.org/commentary/eurozone-economies-fiscal-transfers-by-yannos-papantoniou-2015-03/spanish" TargetMode="External"/><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www.bancomundial.org/es/news/feature/2015/04/15/america-latina-perspectivas-crecimiento-economia-2015" TargetMode="External"/><Relationship Id="rId20" Type="http://schemas.openxmlformats.org/officeDocument/2006/relationships/hyperlink" Target="http://www.bancomundial.org/es/news/feature/2015/04/15/america-latina-perspectivas-crecimiento-economia-2015" TargetMode="External"/><Relationship Id="rId29" Type="http://schemas.openxmlformats.org/officeDocument/2006/relationships/hyperlink" Target="http://www.slideshare.net/fullscreen/oecdeconomy/interim-economic-outlook-march-2015-45944742/7"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imf.org/external/spanish/pubs/ft/survey/so/2015/new040715as.htm" TargetMode="External"/><Relationship Id="rId24" Type="http://schemas.openxmlformats.org/officeDocument/2006/relationships/image" Target="media/image4.emf"/><Relationship Id="rId32" Type="http://schemas.openxmlformats.org/officeDocument/2006/relationships/hyperlink" Target="http://www.imf.org/external/np/sec/pr/2015/pr15162.htm" TargetMode="External"/><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www.bbvaresearch.com/wp-content/plugins/custom-pdf-generator/generate.php?post=71775" TargetMode="External"/><Relationship Id="rId23" Type="http://schemas.openxmlformats.org/officeDocument/2006/relationships/hyperlink" Target="http://www.imf.org/external/spanish/np/sec/pr/2015/pr15174s.htm" TargetMode="External"/><Relationship Id="rId28" Type="http://schemas.openxmlformats.org/officeDocument/2006/relationships/hyperlink" Target="http://www.oecd.org/economy/economicoutlook.htm" TargetMode="External"/><Relationship Id="rId36" Type="http://schemas.openxmlformats.org/officeDocument/2006/relationships/header" Target="header2.xml"/><Relationship Id="rId10" Type="http://schemas.openxmlformats.org/officeDocument/2006/relationships/image" Target="media/image3.emf"/><Relationship Id="rId19" Type="http://schemas.openxmlformats.org/officeDocument/2006/relationships/hyperlink" Target="http://www.fitchratings.mx/ArchivosHTML/Coment_14018.pdf" TargetMode="External"/><Relationship Id="rId31" Type="http://schemas.openxmlformats.org/officeDocument/2006/relationships/hyperlink" Target="http://www.realinstitutoelcano.org/wps/wcm/connect/4b1b5f80481b342fb685f68072069ee2/Steinberg-OteroIglesias-Grecia-podria-reestructurar-su-deuda-sin-salirse-del-euro.pdf?MOD=AJPERES&amp;CACHEID=4b1b5f80481b342fb685f68072069ee2" TargetMode="Externa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yperlink" Target="https://www.bbvaresearch.com/wp-content/plugins/custom-pdf-generator/generate.php?post=70593" TargetMode="External"/><Relationship Id="rId22" Type="http://schemas.openxmlformats.org/officeDocument/2006/relationships/hyperlink" Target="http://envivo.bancomundial.org/latinoamerica-en-busca-del-crecimiento-perdido" TargetMode="External"/><Relationship Id="rId27" Type="http://schemas.openxmlformats.org/officeDocument/2006/relationships/hyperlink" Target="http://www.oecd.org/centrodemexico/medios/los-bajos-precios-del-petroleo-y-la-flexibilizacion-monetaria-han-provocado-una-modesta-aceleracion-de-la-recuperacion-mundial-dice-la-ocde.htm" TargetMode="External"/><Relationship Id="rId30" Type="http://schemas.openxmlformats.org/officeDocument/2006/relationships/hyperlink" Target="https://www.bbvaresearch.com/wp-content/uploads/pdf/67403_70278.pdf" TargetMode="External"/><Relationship Id="rId35" Type="http://schemas.openxmlformats.org/officeDocument/2006/relationships/header" Target="header1.xml"/><Relationship Id="rId8" Type="http://schemas.openxmlformats.org/officeDocument/2006/relationships/image" Target="media/image1.emf"/><Relationship Id="rId3" Type="http://schemas.openxmlformats.org/officeDocument/2006/relationships/styles" Target="styles.xml"/></Relationships>
</file>

<file path=word/_rels/footnotes.xml.rels><?xml version="1.0" encoding="UTF-8" standalone="yes"?>
<Relationships xmlns="http://schemas.openxmlformats.org/package/2006/relationships"><Relationship Id="rId3" Type="http://schemas.openxmlformats.org/officeDocument/2006/relationships/hyperlink" Target="http://www.oecd.org/economy/economicoutlook.htm" TargetMode="External"/><Relationship Id="rId2" Type="http://schemas.openxmlformats.org/officeDocument/2006/relationships/hyperlink" Target="http://www.worldbank.org/content/dam/Worldbank/Feature%20Story/lac/PELACResumen%20Ejecutivo_Reporte%20Semestral%20Abril%202015.pdf" TargetMode="External"/><Relationship Id="rId1" Type="http://schemas.openxmlformats.org/officeDocument/2006/relationships/hyperlink" Target="http://envivo.bancomundial.org/latinoamerica-en-busca-del-crecimiento-perdido" TargetMode="External"/></Relationships>
</file>

<file path=word/theme/theme1.xml><?xml version="1.0" encoding="utf-8"?>
<a:theme xmlns:a="http://schemas.openxmlformats.org/drawingml/2006/main" name="Tema de Office">
  <a:themeElements>
    <a:clrScheme name="Rojo naranja">
      <a:dk1>
        <a:sysClr val="windowText" lastClr="000000"/>
      </a:dk1>
      <a:lt1>
        <a:sysClr val="window" lastClr="FFFFFF"/>
      </a:lt1>
      <a:dk2>
        <a:srgbClr val="505046"/>
      </a:dk2>
      <a:lt2>
        <a:srgbClr val="EEECE1"/>
      </a:lt2>
      <a:accent1>
        <a:srgbClr val="E84C22"/>
      </a:accent1>
      <a:accent2>
        <a:srgbClr val="FFBD47"/>
      </a:accent2>
      <a:accent3>
        <a:srgbClr val="B64926"/>
      </a:accent3>
      <a:accent4>
        <a:srgbClr val="FF8427"/>
      </a:accent4>
      <a:accent5>
        <a:srgbClr val="CC9900"/>
      </a:accent5>
      <a:accent6>
        <a:srgbClr val="B22600"/>
      </a:accent6>
      <a:hlink>
        <a:srgbClr val="CC9900"/>
      </a:hlink>
      <a:folHlink>
        <a:srgbClr val="666699"/>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0E8D098-7110-409E-99BC-2544BEA562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TotalTime>
  <Pages>62</Pages>
  <Words>16199</Words>
  <Characters>89098</Characters>
  <Application>Microsoft Office Word</Application>
  <DocSecurity>0</DocSecurity>
  <Lines>742</Lines>
  <Paragraphs>210</Paragraphs>
  <ScaleCrop>false</ScaleCrop>
  <HeadingPairs>
    <vt:vector size="2" baseType="variant">
      <vt:variant>
        <vt:lpstr>Título</vt:lpstr>
      </vt:variant>
      <vt:variant>
        <vt:i4>1</vt:i4>
      </vt:variant>
    </vt:vector>
  </HeadingPairs>
  <TitlesOfParts>
    <vt:vector size="1" baseType="lpstr">
      <vt:lpstr>I</vt:lpstr>
    </vt:vector>
  </TitlesOfParts>
  <Company>CONASAMI</Company>
  <LinksUpToDate>false</LinksUpToDate>
  <CharactersWithSpaces>105087</CharactersWithSpaces>
  <SharedDoc>false</SharedDoc>
  <HLinks>
    <vt:vector size="1194" baseType="variant">
      <vt:variant>
        <vt:i4>2359407</vt:i4>
      </vt:variant>
      <vt:variant>
        <vt:i4>653</vt:i4>
      </vt:variant>
      <vt:variant>
        <vt:i4>0</vt:i4>
      </vt:variant>
      <vt:variant>
        <vt:i4>5</vt:i4>
      </vt:variant>
      <vt:variant>
        <vt:lpwstr>http://economy.blogs.ie.edu/archives/2012/02/perspectivas-economicas-riesgos-y-sorpresas-para-2012.php</vt:lpwstr>
      </vt:variant>
      <vt:variant>
        <vt:lpwstr/>
      </vt:variant>
      <vt:variant>
        <vt:i4>131164</vt:i4>
      </vt:variant>
      <vt:variant>
        <vt:i4>650</vt:i4>
      </vt:variant>
      <vt:variant>
        <vt:i4>0</vt:i4>
      </vt:variant>
      <vt:variant>
        <vt:i4>5</vt:i4>
      </vt:variant>
      <vt:variant>
        <vt:lpwstr>http://blog-dialogoafondo.org/?p=1637</vt:lpwstr>
      </vt:variant>
      <vt:variant>
        <vt:lpwstr/>
      </vt:variant>
      <vt:variant>
        <vt:i4>2293876</vt:i4>
      </vt:variant>
      <vt:variant>
        <vt:i4>647</vt:i4>
      </vt:variant>
      <vt:variant>
        <vt:i4>0</vt:i4>
      </vt:variant>
      <vt:variant>
        <vt:i4>5</vt:i4>
      </vt:variant>
      <vt:variant>
        <vt:lpwstr>http://www.felaban.com/</vt:lpwstr>
      </vt:variant>
      <vt:variant>
        <vt:lpwstr/>
      </vt:variant>
      <vt:variant>
        <vt:i4>5832730</vt:i4>
      </vt:variant>
      <vt:variant>
        <vt:i4>644</vt:i4>
      </vt:variant>
      <vt:variant>
        <vt:i4>0</vt:i4>
      </vt:variant>
      <vt:variant>
        <vt:i4>5</vt:i4>
      </vt:variant>
      <vt:variant>
        <vt:lpwstr>http://www.felaban.com/noticia.php?id=36</vt:lpwstr>
      </vt:variant>
      <vt:variant>
        <vt:lpwstr/>
      </vt:variant>
      <vt:variant>
        <vt:i4>65593</vt:i4>
      </vt:variant>
      <vt:variant>
        <vt:i4>641</vt:i4>
      </vt:variant>
      <vt:variant>
        <vt:i4>0</vt:i4>
      </vt:variant>
      <vt:variant>
        <vt:i4>5</vt:i4>
      </vt:variant>
      <vt:variant>
        <vt:lpwstr>http://www.felaban.com/archivos_noticias/Enero 30 - DISMINUCION DEL CRECIMIENTO PRONOSTICA FELABAN.pdf</vt:lpwstr>
      </vt:variant>
      <vt:variant>
        <vt:lpwstr/>
      </vt:variant>
      <vt:variant>
        <vt:i4>5046358</vt:i4>
      </vt:variant>
      <vt:variant>
        <vt:i4>638</vt:i4>
      </vt:variant>
      <vt:variant>
        <vt:i4>0</vt:i4>
      </vt:variant>
      <vt:variant>
        <vt:i4>5</vt:i4>
      </vt:variant>
      <vt:variant>
        <vt:lpwstr>http://www.imf.org/external/spanish/pubs/ft/weo/2012/update/01/pdf/0112s.pdf</vt:lpwstr>
      </vt:variant>
      <vt:variant>
        <vt:lpwstr/>
      </vt:variant>
      <vt:variant>
        <vt:i4>8257582</vt:i4>
      </vt:variant>
      <vt:variant>
        <vt:i4>596</vt:i4>
      </vt:variant>
      <vt:variant>
        <vt:i4>0</vt:i4>
      </vt:variant>
      <vt:variant>
        <vt:i4>5</vt:i4>
      </vt:variant>
      <vt:variant>
        <vt:lpwstr>http://www.oecd.org/dataoecd/35/8/49363879.pdf</vt:lpwstr>
      </vt:variant>
      <vt:variant>
        <vt:lpwstr/>
      </vt:variant>
      <vt:variant>
        <vt:i4>131139</vt:i4>
      </vt:variant>
      <vt:variant>
        <vt:i4>593</vt:i4>
      </vt:variant>
      <vt:variant>
        <vt:i4>0</vt:i4>
      </vt:variant>
      <vt:variant>
        <vt:i4>5</vt:i4>
      </vt:variant>
      <vt:variant>
        <vt:lpwstr>http://www.oecd.org/regreform/indicators</vt:lpwstr>
      </vt:variant>
      <vt:variant>
        <vt:lpwstr/>
      </vt:variant>
      <vt:variant>
        <vt:i4>6946868</vt:i4>
      </vt:variant>
      <vt:variant>
        <vt:i4>590</vt:i4>
      </vt:variant>
      <vt:variant>
        <vt:i4>0</vt:i4>
      </vt:variant>
      <vt:variant>
        <vt:i4>5</vt:i4>
      </vt:variant>
      <vt:variant>
        <vt:lpwstr>http://www.project-syndicate.org/commentary/soros76/Spanish</vt:lpwstr>
      </vt:variant>
      <vt:variant>
        <vt:lpwstr/>
      </vt:variant>
      <vt:variant>
        <vt:i4>4522007</vt:i4>
      </vt:variant>
      <vt:variant>
        <vt:i4>587</vt:i4>
      </vt:variant>
      <vt:variant>
        <vt:i4>0</vt:i4>
      </vt:variant>
      <vt:variant>
        <vt:i4>5</vt:i4>
      </vt:variant>
      <vt:variant>
        <vt:lpwstr>http://economy.blogs.ie.edu/</vt:lpwstr>
      </vt:variant>
      <vt:variant>
        <vt:lpwstr/>
      </vt:variant>
      <vt:variant>
        <vt:i4>6881403</vt:i4>
      </vt:variant>
      <vt:variant>
        <vt:i4>584</vt:i4>
      </vt:variant>
      <vt:variant>
        <vt:i4>0</vt:i4>
      </vt:variant>
      <vt:variant>
        <vt:i4>5</vt:i4>
      </vt:variant>
      <vt:variant>
        <vt:lpwstr>http://www.project-syndicate.org/commentary/stiglitz148/Spanish</vt:lpwstr>
      </vt:variant>
      <vt:variant>
        <vt:lpwstr/>
      </vt:variant>
      <vt:variant>
        <vt:i4>1835011</vt:i4>
      </vt:variant>
      <vt:variant>
        <vt:i4>581</vt:i4>
      </vt:variant>
      <vt:variant>
        <vt:i4>0</vt:i4>
      </vt:variant>
      <vt:variant>
        <vt:i4>5</vt:i4>
      </vt:variant>
      <vt:variant>
        <vt:lpwstr>http://www.comfin.com.mx/comunicados/fitch/12/feb/07informela.pdf</vt:lpwstr>
      </vt:variant>
      <vt:variant>
        <vt:lpwstr/>
      </vt:variant>
      <vt:variant>
        <vt:i4>3211274</vt:i4>
      </vt:variant>
      <vt:variant>
        <vt:i4>578</vt:i4>
      </vt:variant>
      <vt:variant>
        <vt:i4>0</vt:i4>
      </vt:variant>
      <vt:variant>
        <vt:i4>5</vt:i4>
      </vt:variant>
      <vt:variant>
        <vt:lpwstr>http://www.fitchmexico.com/ArchivosHTML/Com_9722.pdf</vt:lpwstr>
      </vt:variant>
      <vt:variant>
        <vt:lpwstr/>
      </vt:variant>
      <vt:variant>
        <vt:i4>2752533</vt:i4>
      </vt:variant>
      <vt:variant>
        <vt:i4>575</vt:i4>
      </vt:variant>
      <vt:variant>
        <vt:i4>0</vt:i4>
      </vt:variant>
      <vt:variant>
        <vt:i4>5</vt:i4>
      </vt:variant>
      <vt:variant>
        <vt:lpwstr>http://www.sela.org/attach/258/default/Canada_Politicas_Programas_Cooperacion_Internacional_para_el_Desarrollo-Oportunidades_para_ALC.pdf</vt:lpwstr>
      </vt:variant>
      <vt:variant>
        <vt:lpwstr/>
      </vt:variant>
      <vt:variant>
        <vt:i4>7864395</vt:i4>
      </vt:variant>
      <vt:variant>
        <vt:i4>572</vt:i4>
      </vt:variant>
      <vt:variant>
        <vt:i4>0</vt:i4>
      </vt:variant>
      <vt:variant>
        <vt:i4>5</vt:i4>
      </vt:variant>
      <vt:variant>
        <vt:lpwstr>http://www.sela.org/view/index.asp?ms=258&amp;pageMs=75192&amp;new_id=98107</vt:lpwstr>
      </vt:variant>
      <vt:variant>
        <vt:lpwstr/>
      </vt:variant>
      <vt:variant>
        <vt:i4>983058</vt:i4>
      </vt:variant>
      <vt:variant>
        <vt:i4>569</vt:i4>
      </vt:variant>
      <vt:variant>
        <vt:i4>0</vt:i4>
      </vt:variant>
      <vt:variant>
        <vt:i4>5</vt:i4>
      </vt:variant>
      <vt:variant>
        <vt:lpwstr>http://www.acdi-cida.gc.ca/acdi-cida/acdi-CIDA.nsf/eng/CAR-616135752-P3Q</vt:lpwstr>
      </vt:variant>
      <vt:variant>
        <vt:lpwstr/>
      </vt:variant>
      <vt:variant>
        <vt:i4>983058</vt:i4>
      </vt:variant>
      <vt:variant>
        <vt:i4>566</vt:i4>
      </vt:variant>
      <vt:variant>
        <vt:i4>0</vt:i4>
      </vt:variant>
      <vt:variant>
        <vt:i4>5</vt:i4>
      </vt:variant>
      <vt:variant>
        <vt:lpwstr>http://www.acdi-cida.gc.ca/acdi-cida/acdi-CIDA.nsf/eng/CAR-616135752-P3Q</vt:lpwstr>
      </vt:variant>
      <vt:variant>
        <vt:lpwstr/>
      </vt:variant>
      <vt:variant>
        <vt:i4>6160417</vt:i4>
      </vt:variant>
      <vt:variant>
        <vt:i4>563</vt:i4>
      </vt:variant>
      <vt:variant>
        <vt:i4>0</vt:i4>
      </vt:variant>
      <vt:variant>
        <vt:i4>5</vt:i4>
      </vt:variant>
      <vt:variant>
        <vt:lpwstr>http://files.shareholder.com/downloads/MAN/1350367079x0x535838/7071e568-457d-455e-b273-3a2eac7d290d/MAN_News_2012_1_24_General.pdf</vt:lpwstr>
      </vt:variant>
      <vt:variant>
        <vt:lpwstr/>
      </vt:variant>
      <vt:variant>
        <vt:i4>3080246</vt:i4>
      </vt:variant>
      <vt:variant>
        <vt:i4>560</vt:i4>
      </vt:variant>
      <vt:variant>
        <vt:i4>0</vt:i4>
      </vt:variant>
      <vt:variant>
        <vt:i4>5</vt:i4>
      </vt:variant>
      <vt:variant>
        <vt:lpwstr>http://www.revistasculturales.com/xrevistas/PDF/13/1480.pdf</vt:lpwstr>
      </vt:variant>
      <vt:variant>
        <vt:lpwstr/>
      </vt:variant>
      <vt:variant>
        <vt:i4>6881402</vt:i4>
      </vt:variant>
      <vt:variant>
        <vt:i4>557</vt:i4>
      </vt:variant>
      <vt:variant>
        <vt:i4>0</vt:i4>
      </vt:variant>
      <vt:variant>
        <vt:i4>5</vt:i4>
      </vt:variant>
      <vt:variant>
        <vt:lpwstr>http://www.cidob.org/es/publicaciones/articulos/revista_cidob_d_afers_internacionals/la_economia_rusa_en_la_crisis_mundial_una_valoracion_de_la_etapa_medvedev</vt:lpwstr>
      </vt:variant>
      <vt:variant>
        <vt:lpwstr/>
      </vt:variant>
      <vt:variant>
        <vt:i4>1441814</vt:i4>
      </vt:variant>
      <vt:variant>
        <vt:i4>554</vt:i4>
      </vt:variant>
      <vt:variant>
        <vt:i4>0</vt:i4>
      </vt:variant>
      <vt:variant>
        <vt:i4>5</vt:i4>
      </vt:variant>
      <vt:variant>
        <vt:lpwstr>http://www.oecd.org/dataoecd/2/13/49417295.pdf?contentId=49417296</vt:lpwstr>
      </vt:variant>
      <vt:variant>
        <vt:lpwstr/>
      </vt:variant>
      <vt:variant>
        <vt:i4>1441814</vt:i4>
      </vt:variant>
      <vt:variant>
        <vt:i4>551</vt:i4>
      </vt:variant>
      <vt:variant>
        <vt:i4>0</vt:i4>
      </vt:variant>
      <vt:variant>
        <vt:i4>5</vt:i4>
      </vt:variant>
      <vt:variant>
        <vt:lpwstr>http://www.oecd.org/dataoecd/2/13/49417295.pdf?contentId=49417296</vt:lpwstr>
      </vt:variant>
      <vt:variant>
        <vt:lpwstr/>
      </vt:variant>
      <vt:variant>
        <vt:i4>1966111</vt:i4>
      </vt:variant>
      <vt:variant>
        <vt:i4>548</vt:i4>
      </vt:variant>
      <vt:variant>
        <vt:i4>0</vt:i4>
      </vt:variant>
      <vt:variant>
        <vt:i4>5</vt:i4>
      </vt:variant>
      <vt:variant>
        <vt:lpwstr>http://www.oecd.org/dataoecd/2/14/49417273.pdf?contentId=49417274</vt:lpwstr>
      </vt:variant>
      <vt:variant>
        <vt:lpwstr/>
      </vt:variant>
      <vt:variant>
        <vt:i4>1966111</vt:i4>
      </vt:variant>
      <vt:variant>
        <vt:i4>545</vt:i4>
      </vt:variant>
      <vt:variant>
        <vt:i4>0</vt:i4>
      </vt:variant>
      <vt:variant>
        <vt:i4>5</vt:i4>
      </vt:variant>
      <vt:variant>
        <vt:lpwstr>http://www.oecd.org/dataoecd/2/14/49417273.pdf?contentId=49417274</vt:lpwstr>
      </vt:variant>
      <vt:variant>
        <vt:lpwstr/>
      </vt:variant>
      <vt:variant>
        <vt:i4>2752555</vt:i4>
      </vt:variant>
      <vt:variant>
        <vt:i4>542</vt:i4>
      </vt:variant>
      <vt:variant>
        <vt:i4>0</vt:i4>
      </vt:variant>
      <vt:variant>
        <vt:i4>5</vt:i4>
      </vt:variant>
      <vt:variant>
        <vt:lpwstr>http://www.oecd.org/dataoecd/44/27/49421268.pdf?contentId=49421269</vt:lpwstr>
      </vt:variant>
      <vt:variant>
        <vt:lpwstr/>
      </vt:variant>
      <vt:variant>
        <vt:i4>2752555</vt:i4>
      </vt:variant>
      <vt:variant>
        <vt:i4>539</vt:i4>
      </vt:variant>
      <vt:variant>
        <vt:i4>0</vt:i4>
      </vt:variant>
      <vt:variant>
        <vt:i4>5</vt:i4>
      </vt:variant>
      <vt:variant>
        <vt:lpwstr>http://www.oecd.org/dataoecd/44/27/49421268.pdf?contentId=49421269</vt:lpwstr>
      </vt:variant>
      <vt:variant>
        <vt:lpwstr/>
      </vt:variant>
      <vt:variant>
        <vt:i4>2228256</vt:i4>
      </vt:variant>
      <vt:variant>
        <vt:i4>536</vt:i4>
      </vt:variant>
      <vt:variant>
        <vt:i4>0</vt:i4>
      </vt:variant>
      <vt:variant>
        <vt:i4>5</vt:i4>
      </vt:variant>
      <vt:variant>
        <vt:lpwstr>http://www.oecd.org/dataoecd/44/26/49421421.pdf?contentId=49421422</vt:lpwstr>
      </vt:variant>
      <vt:variant>
        <vt:lpwstr/>
      </vt:variant>
      <vt:variant>
        <vt:i4>7798867</vt:i4>
      </vt:variant>
      <vt:variant>
        <vt:i4>533</vt:i4>
      </vt:variant>
      <vt:variant>
        <vt:i4>0</vt:i4>
      </vt:variant>
      <vt:variant>
        <vt:i4>5</vt:i4>
      </vt:variant>
      <vt:variant>
        <vt:lpwstr>http://www.oecd.org/document/36/0,3746,en_2649_34113_49334372_1_1_1_1,00.html</vt:lpwstr>
      </vt:variant>
      <vt:variant>
        <vt:lpwstr/>
      </vt:variant>
      <vt:variant>
        <vt:i4>721004</vt:i4>
      </vt:variant>
      <vt:variant>
        <vt:i4>530</vt:i4>
      </vt:variant>
      <vt:variant>
        <vt:i4>0</vt:i4>
      </vt:variant>
      <vt:variant>
        <vt:i4>5</vt:i4>
      </vt:variant>
      <vt:variant>
        <vt:lpwstr>http://www.oecd.org/document/39/0,3746,es_36288966_36288553_49448167_1_1_1_1,00.html</vt:lpwstr>
      </vt:variant>
      <vt:variant>
        <vt:lpwstr/>
      </vt:variant>
      <vt:variant>
        <vt:i4>5505067</vt:i4>
      </vt:variant>
      <vt:variant>
        <vt:i4>527</vt:i4>
      </vt:variant>
      <vt:variant>
        <vt:i4>0</vt:i4>
      </vt:variant>
      <vt:variant>
        <vt:i4>5</vt:i4>
      </vt:variant>
      <vt:variant>
        <vt:lpwstr>http://www.brookings.edu/reports/2012/0118_global_metro_monitor.aspx</vt:lpwstr>
      </vt:variant>
      <vt:variant>
        <vt:lpwstr/>
      </vt:variant>
      <vt:variant>
        <vt:i4>3604512</vt:i4>
      </vt:variant>
      <vt:variant>
        <vt:i4>524</vt:i4>
      </vt:variant>
      <vt:variant>
        <vt:i4>0</vt:i4>
      </vt:variant>
      <vt:variant>
        <vt:i4>5</vt:i4>
      </vt:variant>
      <vt:variant>
        <vt:lpwstr>http://www.brookings.edu/~/media/Files/rc/reports/2012/0118_global_metro_monitor/0118_global_metro_monitor.pdf</vt:lpwstr>
      </vt:variant>
      <vt:variant>
        <vt:lpwstr/>
      </vt:variant>
      <vt:variant>
        <vt:i4>1572917</vt:i4>
      </vt:variant>
      <vt:variant>
        <vt:i4>521</vt:i4>
      </vt:variant>
      <vt:variant>
        <vt:i4>0</vt:i4>
      </vt:variant>
      <vt:variant>
        <vt:i4>5</vt:i4>
      </vt:variant>
      <vt:variant>
        <vt:lpwstr>http://www.brookings.edu/~/media/Files/rc/reports/2012/0118_global_metro_monitor/0118_global_metro_monitor_sp.pdf</vt:lpwstr>
      </vt:variant>
      <vt:variant>
        <vt:lpwstr/>
      </vt:variant>
      <vt:variant>
        <vt:i4>4784214</vt:i4>
      </vt:variant>
      <vt:variant>
        <vt:i4>518</vt:i4>
      </vt:variant>
      <vt:variant>
        <vt:i4>0</vt:i4>
      </vt:variant>
      <vt:variant>
        <vt:i4>5</vt:i4>
      </vt:variant>
      <vt:variant>
        <vt:lpwstr>http://www.project-syndicate.org/commentary/zuma1/Spanish</vt:lpwstr>
      </vt:variant>
      <vt:variant>
        <vt:lpwstr/>
      </vt:variant>
      <vt:variant>
        <vt:i4>4390939</vt:i4>
      </vt:variant>
      <vt:variant>
        <vt:i4>515</vt:i4>
      </vt:variant>
      <vt:variant>
        <vt:i4>0</vt:i4>
      </vt:variant>
      <vt:variant>
        <vt:i4>5</vt:i4>
      </vt:variant>
      <vt:variant>
        <vt:lpwstr>http://www.presidencia.gob.mx/2012/02/encuentro-con-los-sherpas-del-g20/</vt:lpwstr>
      </vt:variant>
      <vt:variant>
        <vt:lpwstr/>
      </vt:variant>
      <vt:variant>
        <vt:i4>3473447</vt:i4>
      </vt:variant>
      <vt:variant>
        <vt:i4>512</vt:i4>
      </vt:variant>
      <vt:variant>
        <vt:i4>0</vt:i4>
      </vt:variant>
      <vt:variant>
        <vt:i4>5</vt:i4>
      </vt:variant>
      <vt:variant>
        <vt:lpwstr>http://www.presidencia.gob.mx/index.php?p=75088</vt:lpwstr>
      </vt:variant>
      <vt:variant>
        <vt:lpwstr/>
      </vt:variant>
      <vt:variant>
        <vt:i4>3473446</vt:i4>
      </vt:variant>
      <vt:variant>
        <vt:i4>509</vt:i4>
      </vt:variant>
      <vt:variant>
        <vt:i4>0</vt:i4>
      </vt:variant>
      <vt:variant>
        <vt:i4>5</vt:i4>
      </vt:variant>
      <vt:variant>
        <vt:lpwstr>http://www.presidencia.gob.mx/index.php?p=75184</vt:lpwstr>
      </vt:variant>
      <vt:variant>
        <vt:lpwstr/>
      </vt:variant>
      <vt:variant>
        <vt:i4>3473446</vt:i4>
      </vt:variant>
      <vt:variant>
        <vt:i4>506</vt:i4>
      </vt:variant>
      <vt:variant>
        <vt:i4>0</vt:i4>
      </vt:variant>
      <vt:variant>
        <vt:i4>5</vt:i4>
      </vt:variant>
      <vt:variant>
        <vt:lpwstr>http://www.presidencia.gob.mx/index.php?p=75185</vt:lpwstr>
      </vt:variant>
      <vt:variant>
        <vt:lpwstr/>
      </vt:variant>
      <vt:variant>
        <vt:i4>2228258</vt:i4>
      </vt:variant>
      <vt:variant>
        <vt:i4>503</vt:i4>
      </vt:variant>
      <vt:variant>
        <vt:i4>0</vt:i4>
      </vt:variant>
      <vt:variant>
        <vt:i4>5</vt:i4>
      </vt:variant>
      <vt:variant>
        <vt:lpwstr>http://www.presidencia.gob.mx/2012/01/se-reune-el-presidente-felipe-calderon-hinojosa-con-bill-gates-2/</vt:lpwstr>
      </vt:variant>
      <vt:variant>
        <vt:lpwstr/>
      </vt:variant>
      <vt:variant>
        <vt:i4>3473446</vt:i4>
      </vt:variant>
      <vt:variant>
        <vt:i4>500</vt:i4>
      </vt:variant>
      <vt:variant>
        <vt:i4>0</vt:i4>
      </vt:variant>
      <vt:variant>
        <vt:i4>5</vt:i4>
      </vt:variant>
      <vt:variant>
        <vt:lpwstr>http://www.presidencia.gob.mx/index.php?p=75184</vt:lpwstr>
      </vt:variant>
      <vt:variant>
        <vt:lpwstr/>
      </vt:variant>
      <vt:variant>
        <vt:i4>1441803</vt:i4>
      </vt:variant>
      <vt:variant>
        <vt:i4>497</vt:i4>
      </vt:variant>
      <vt:variant>
        <vt:i4>0</vt:i4>
      </vt:variant>
      <vt:variant>
        <vt:i4>5</vt:i4>
      </vt:variant>
      <vt:variant>
        <vt:lpwstr>http://www.presidencia.gob.mx/2012/01/premio-al-estadista-global/</vt:lpwstr>
      </vt:variant>
      <vt:variant>
        <vt:lpwstr/>
      </vt:variant>
      <vt:variant>
        <vt:i4>3473518</vt:i4>
      </vt:variant>
      <vt:variant>
        <vt:i4>494</vt:i4>
      </vt:variant>
      <vt:variant>
        <vt:i4>0</vt:i4>
      </vt:variant>
      <vt:variant>
        <vt:i4>5</vt:i4>
      </vt:variant>
      <vt:variant>
        <vt:lpwstr>http://presidencia.gob.mx/multimedia/infografias/?Info=503</vt:lpwstr>
      </vt:variant>
      <vt:variant>
        <vt:lpwstr/>
      </vt:variant>
      <vt:variant>
        <vt:i4>2621472</vt:i4>
      </vt:variant>
      <vt:variant>
        <vt:i4>491</vt:i4>
      </vt:variant>
      <vt:variant>
        <vt:i4>0</vt:i4>
      </vt:variant>
      <vt:variant>
        <vt:i4>5</vt:i4>
      </vt:variant>
      <vt:variant>
        <vt:lpwstr>http://www.project-syndicate.org/commentary/tyson2/Spanish</vt:lpwstr>
      </vt:variant>
      <vt:variant>
        <vt:lpwstr/>
      </vt:variant>
      <vt:variant>
        <vt:i4>7471151</vt:i4>
      </vt:variant>
      <vt:variant>
        <vt:i4>488</vt:i4>
      </vt:variant>
      <vt:variant>
        <vt:i4>0</vt:i4>
      </vt:variant>
      <vt:variant>
        <vt:i4>5</vt:i4>
      </vt:variant>
      <vt:variant>
        <vt:lpwstr>http://www.federalreserve.gov/monetarypolicy/files/fomcprojtabl20120125.pdf</vt:lpwstr>
      </vt:variant>
      <vt:variant>
        <vt:lpwstr/>
      </vt:variant>
      <vt:variant>
        <vt:i4>4325442</vt:i4>
      </vt:variant>
      <vt:variant>
        <vt:i4>485</vt:i4>
      </vt:variant>
      <vt:variant>
        <vt:i4>0</vt:i4>
      </vt:variant>
      <vt:variant>
        <vt:i4>5</vt:i4>
      </vt:variant>
      <vt:variant>
        <vt:lpwstr>http://www.federalreserve.gov/newsevents/press/monetary/20120125c.htm</vt:lpwstr>
      </vt:variant>
      <vt:variant>
        <vt:lpwstr/>
      </vt:variant>
      <vt:variant>
        <vt:i4>2687019</vt:i4>
      </vt:variant>
      <vt:variant>
        <vt:i4>482</vt:i4>
      </vt:variant>
      <vt:variant>
        <vt:i4>0</vt:i4>
      </vt:variant>
      <vt:variant>
        <vt:i4>5</vt:i4>
      </vt:variant>
      <vt:variant>
        <vt:lpwstr>http://www.project-syndicate.org/commentary/blejer9/Spanish</vt:lpwstr>
      </vt:variant>
      <vt:variant>
        <vt:lpwstr/>
      </vt:variant>
      <vt:variant>
        <vt:i4>262166</vt:i4>
      </vt:variant>
      <vt:variant>
        <vt:i4>479</vt:i4>
      </vt:variant>
      <vt:variant>
        <vt:i4>0</vt:i4>
      </vt:variant>
      <vt:variant>
        <vt:i4>5</vt:i4>
      </vt:variant>
      <vt:variant>
        <vt:lpwstr>http://www.elmundo.es/elmundo/2012/02/07/economia/1328585667.html</vt:lpwstr>
      </vt:variant>
      <vt:variant>
        <vt:lpwstr/>
      </vt:variant>
      <vt:variant>
        <vt:i4>7667812</vt:i4>
      </vt:variant>
      <vt:variant>
        <vt:i4>476</vt:i4>
      </vt:variant>
      <vt:variant>
        <vt:i4>0</vt:i4>
      </vt:variant>
      <vt:variant>
        <vt:i4>5</vt:i4>
      </vt:variant>
      <vt:variant>
        <vt:lpwstr>http://web.worldbank.org/WBSITE/EXTERNAL/NEWS/0,,contentMDK:23095597~pagePK:64257043~piPK:437376~theSitePK:4607,00.html</vt:lpwstr>
      </vt:variant>
      <vt:variant>
        <vt:lpwstr/>
      </vt:variant>
      <vt:variant>
        <vt:i4>3473512</vt:i4>
      </vt:variant>
      <vt:variant>
        <vt:i4>473</vt:i4>
      </vt:variant>
      <vt:variant>
        <vt:i4>0</vt:i4>
      </vt:variant>
      <vt:variant>
        <vt:i4>5</vt:i4>
      </vt:variant>
      <vt:variant>
        <vt:lpwstr>http://web.worldbank.org/WBSITE/EXTERNAL/BANCOMUNDIAL/NEWSSPANISH/0,,menuPK:1074627~pagePK:64001221~piPK:51189762~theSitePK:1074568,00.html</vt:lpwstr>
      </vt:variant>
      <vt:variant>
        <vt:lpwstr/>
      </vt:variant>
      <vt:variant>
        <vt:i4>2162695</vt:i4>
      </vt:variant>
      <vt:variant>
        <vt:i4>470</vt:i4>
      </vt:variant>
      <vt:variant>
        <vt:i4>0</vt:i4>
      </vt:variant>
      <vt:variant>
        <vt:i4>5</vt:i4>
      </vt:variant>
      <vt:variant>
        <vt:lpwstr>http://web.worldbank.org/WBSITE/EXTERNAL/BANCOMUNDIAL/NEWSSPANISH/0,,contentMDK:23095807~pagePK:64257043~piPK:437376~theSitePK:1074568,00.html?cid=EXT_BoletinES_W_EXT</vt:lpwstr>
      </vt:variant>
      <vt:variant>
        <vt:lpwstr/>
      </vt:variant>
      <vt:variant>
        <vt:i4>131098</vt:i4>
      </vt:variant>
      <vt:variant>
        <vt:i4>467</vt:i4>
      </vt:variant>
      <vt:variant>
        <vt:i4>0</vt:i4>
      </vt:variant>
      <vt:variant>
        <vt:i4>5</vt:i4>
      </vt:variant>
      <vt:variant>
        <vt:lpwstr>http://web.worldbank.org/WBSITE/EXTERNAL/BANCOMUNDIAL/NEWSSPANISH/0,,contentMDK:23096564~menuPK:1074627~pagePK:34370~piPK:34424~theSitePK:1074568,00.html</vt:lpwstr>
      </vt:variant>
      <vt:variant>
        <vt:lpwstr/>
      </vt:variant>
      <vt:variant>
        <vt:i4>65628</vt:i4>
      </vt:variant>
      <vt:variant>
        <vt:i4>464</vt:i4>
      </vt:variant>
      <vt:variant>
        <vt:i4>0</vt:i4>
      </vt:variant>
      <vt:variant>
        <vt:i4>5</vt:i4>
      </vt:variant>
      <vt:variant>
        <vt:lpwstr>http://blog-dialogoafondo.org/?p=1606</vt:lpwstr>
      </vt:variant>
      <vt:variant>
        <vt:lpwstr/>
      </vt:variant>
      <vt:variant>
        <vt:i4>5832752</vt:i4>
      </vt:variant>
      <vt:variant>
        <vt:i4>461</vt:i4>
      </vt:variant>
      <vt:variant>
        <vt:i4>0</vt:i4>
      </vt:variant>
      <vt:variant>
        <vt:i4>5</vt:i4>
      </vt:variant>
      <vt:variant>
        <vt:lpwstr>http://blog-dialogoafondo.org/?page_id=376</vt:lpwstr>
      </vt:variant>
      <vt:variant>
        <vt:lpwstr/>
      </vt:variant>
      <vt:variant>
        <vt:i4>1703943</vt:i4>
      </vt:variant>
      <vt:variant>
        <vt:i4>458</vt:i4>
      </vt:variant>
      <vt:variant>
        <vt:i4>0</vt:i4>
      </vt:variant>
      <vt:variant>
        <vt:i4>5</vt:i4>
      </vt:variant>
      <vt:variant>
        <vt:lpwstr>http://www.imf.org/external/spanish/pubs/ft/fmu/2012/01/0112s.pdf</vt:lpwstr>
      </vt:variant>
      <vt:variant>
        <vt:lpwstr/>
      </vt:variant>
      <vt:variant>
        <vt:i4>4915275</vt:i4>
      </vt:variant>
      <vt:variant>
        <vt:i4>455</vt:i4>
      </vt:variant>
      <vt:variant>
        <vt:i4>0</vt:i4>
      </vt:variant>
      <vt:variant>
        <vt:i4>5</vt:i4>
      </vt:variant>
      <vt:variant>
        <vt:lpwstr>http://www.imf.org/external/spanish/np/speeches/2012/012312s.htm</vt:lpwstr>
      </vt:variant>
      <vt:variant>
        <vt:lpwstr/>
      </vt:variant>
      <vt:variant>
        <vt:i4>1114132</vt:i4>
      </vt:variant>
      <vt:variant>
        <vt:i4>452</vt:i4>
      </vt:variant>
      <vt:variant>
        <vt:i4>0</vt:i4>
      </vt:variant>
      <vt:variant>
        <vt:i4>5</vt:i4>
      </vt:variant>
      <vt:variant>
        <vt:lpwstr>http://www.opec.org/opec_web/en/data_graphs/40.htm?selectedTab=daily</vt:lpwstr>
      </vt:variant>
      <vt:variant>
        <vt:lpwstr/>
      </vt:variant>
      <vt:variant>
        <vt:i4>4849680</vt:i4>
      </vt:variant>
      <vt:variant>
        <vt:i4>449</vt:i4>
      </vt:variant>
      <vt:variant>
        <vt:i4>0</vt:i4>
      </vt:variant>
      <vt:variant>
        <vt:i4>5</vt:i4>
      </vt:variant>
      <vt:variant>
        <vt:lpwstr>http://www.shcp.gob.mx/SALAPRENSA/doc_informe_petroleo/2012/02-08-12.pdf</vt:lpwstr>
      </vt:variant>
      <vt:variant>
        <vt:lpwstr/>
      </vt:variant>
      <vt:variant>
        <vt:i4>6684778</vt:i4>
      </vt:variant>
      <vt:variant>
        <vt:i4>446</vt:i4>
      </vt:variant>
      <vt:variant>
        <vt:i4>0</vt:i4>
      </vt:variant>
      <vt:variant>
        <vt:i4>5</vt:i4>
      </vt:variant>
      <vt:variant>
        <vt:lpwstr>http://www.pemex.com/index.cfm?action=news&amp;sectionid=8&amp;catid=40&amp;contentid=26014</vt:lpwstr>
      </vt:variant>
      <vt:variant>
        <vt:lpwstr/>
      </vt:variant>
      <vt:variant>
        <vt:i4>7077987</vt:i4>
      </vt:variant>
      <vt:variant>
        <vt:i4>443</vt:i4>
      </vt:variant>
      <vt:variant>
        <vt:i4>0</vt:i4>
      </vt:variant>
      <vt:variant>
        <vt:i4>5</vt:i4>
      </vt:variant>
      <vt:variant>
        <vt:lpwstr>http://www.pemex.com/index.cfm?action=news&amp;sectionid=8&amp;catid=40&amp;contentid=25986</vt:lpwstr>
      </vt:variant>
      <vt:variant>
        <vt:lpwstr/>
      </vt:variant>
      <vt:variant>
        <vt:i4>5767223</vt:i4>
      </vt:variant>
      <vt:variant>
        <vt:i4>440</vt:i4>
      </vt:variant>
      <vt:variant>
        <vt:i4>0</vt:i4>
      </vt:variant>
      <vt:variant>
        <vt:i4>5</vt:i4>
      </vt:variant>
      <vt:variant>
        <vt:lpwstr>http://www.ri.pemex.com/files/dcpe/petro/evolexporta_esp.pdf</vt:lpwstr>
      </vt:variant>
      <vt:variant>
        <vt:lpwstr/>
      </vt:variant>
      <vt:variant>
        <vt:i4>4587561</vt:i4>
      </vt:variant>
      <vt:variant>
        <vt:i4>437</vt:i4>
      </vt:variant>
      <vt:variant>
        <vt:i4>0</vt:i4>
      </vt:variant>
      <vt:variant>
        <vt:i4>5</vt:i4>
      </vt:variant>
      <vt:variant>
        <vt:lpwstr>http://www.ri.pemex.com/files/dcpe/petro/epreciopromedio_esp.xls</vt:lpwstr>
      </vt:variant>
      <vt:variant>
        <vt:lpwstr/>
      </vt:variant>
      <vt:variant>
        <vt:i4>5308483</vt:i4>
      </vt:variant>
      <vt:variant>
        <vt:i4>434</vt:i4>
      </vt:variant>
      <vt:variant>
        <vt:i4>0</vt:i4>
      </vt:variant>
      <vt:variant>
        <vt:i4>5</vt:i4>
      </vt:variant>
      <vt:variant>
        <vt:lpwstr>http://www.sener.gob.mx/webSener/portal/Default.aspx?id=1518</vt:lpwstr>
      </vt:variant>
      <vt:variant>
        <vt:lpwstr/>
      </vt:variant>
      <vt:variant>
        <vt:i4>6488163</vt:i4>
      </vt:variant>
      <vt:variant>
        <vt:i4>431</vt:i4>
      </vt:variant>
      <vt:variant>
        <vt:i4>0</vt:i4>
      </vt:variant>
      <vt:variant>
        <vt:i4>5</vt:i4>
      </vt:variant>
      <vt:variant>
        <vt:lpwstr>http://www.pemex.com/index.cfm?action=news&amp;sectionid=8&amp;catid=40&amp;contentid=25977</vt:lpwstr>
      </vt:variant>
      <vt:variant>
        <vt:lpwstr/>
      </vt:variant>
      <vt:variant>
        <vt:i4>4587561</vt:i4>
      </vt:variant>
      <vt:variant>
        <vt:i4>428</vt:i4>
      </vt:variant>
      <vt:variant>
        <vt:i4>0</vt:i4>
      </vt:variant>
      <vt:variant>
        <vt:i4>5</vt:i4>
      </vt:variant>
      <vt:variant>
        <vt:lpwstr>http://www.ri.pemex.com/files/dcpe/petro/epreciopromedio_esp.xls</vt:lpwstr>
      </vt:variant>
      <vt:variant>
        <vt:lpwstr/>
      </vt:variant>
      <vt:variant>
        <vt:i4>2359373</vt:i4>
      </vt:variant>
      <vt:variant>
        <vt:i4>425</vt:i4>
      </vt:variant>
      <vt:variant>
        <vt:i4>0</vt:i4>
      </vt:variant>
      <vt:variant>
        <vt:i4>5</vt:i4>
      </vt:variant>
      <vt:variant>
        <vt:lpwstr>http://www.ri.pemex.com/files/dcpe/petro/evalorexporta_esp.xls</vt:lpwstr>
      </vt:variant>
      <vt:variant>
        <vt:lpwstr/>
      </vt:variant>
      <vt:variant>
        <vt:i4>3735672</vt:i4>
      </vt:variant>
      <vt:variant>
        <vt:i4>422</vt:i4>
      </vt:variant>
      <vt:variant>
        <vt:i4>0</vt:i4>
      </vt:variant>
      <vt:variant>
        <vt:i4>5</vt:i4>
      </vt:variant>
      <vt:variant>
        <vt:lpwstr>http://web.worldbank.org/WBSITE/EXTERNAL/BANCOMUNDIAL/NEWSSPANISH/0,,contentMDK:23103981~menuPK:51191012~pagePK:34370~piPK:34424~theSitePK:1074568,00.html</vt:lpwstr>
      </vt:variant>
      <vt:variant>
        <vt:lpwstr/>
      </vt:variant>
      <vt:variant>
        <vt:i4>5242975</vt:i4>
      </vt:variant>
      <vt:variant>
        <vt:i4>419</vt:i4>
      </vt:variant>
      <vt:variant>
        <vt:i4>0</vt:i4>
      </vt:variant>
      <vt:variant>
        <vt:i4>5</vt:i4>
      </vt:variant>
      <vt:variant>
        <vt:lpwstr>http://web.worldbank.org/WBSITE/EXTERNAL/BANCOMUNDIAL/NEWSSPANISH/www.enviacentroamerica.org</vt:lpwstr>
      </vt:variant>
      <vt:variant>
        <vt:lpwstr/>
      </vt:variant>
      <vt:variant>
        <vt:i4>7471137</vt:i4>
      </vt:variant>
      <vt:variant>
        <vt:i4>416</vt:i4>
      </vt:variant>
      <vt:variant>
        <vt:i4>0</vt:i4>
      </vt:variant>
      <vt:variant>
        <vt:i4>5</vt:i4>
      </vt:variant>
      <vt:variant>
        <vt:lpwstr>http://www.cemla.org/pdf/DT-ComportamientRemesasMexico.pdf</vt:lpwstr>
      </vt:variant>
      <vt:variant>
        <vt:lpwstr/>
      </vt:variant>
      <vt:variant>
        <vt:i4>8061036</vt:i4>
      </vt:variant>
      <vt:variant>
        <vt:i4>413</vt:i4>
      </vt:variant>
      <vt:variant>
        <vt:i4>0</vt:i4>
      </vt:variant>
      <vt:variant>
        <vt:i4>5</vt:i4>
      </vt:variant>
      <vt:variant>
        <vt:lpwstr>http://www.banxico.org.mx/SieInternet/consultarDirectorioInternetAction.do?accion=consultarCuadro&amp;idCuadro=CE81&amp;sector=1&amp;locale=es</vt:lpwstr>
      </vt:variant>
      <vt:variant>
        <vt:lpwstr/>
      </vt:variant>
      <vt:variant>
        <vt:i4>3407911</vt:i4>
      </vt:variant>
      <vt:variant>
        <vt:i4>410</vt:i4>
      </vt:variant>
      <vt:variant>
        <vt:i4>0</vt:i4>
      </vt:variant>
      <vt:variant>
        <vt:i4>5</vt:i4>
      </vt:variant>
      <vt:variant>
        <vt:lpwstr>http://www.banxico.org.mx/SieInternet/consultarDirectorioInternetAction.do?accion=consultarCuadroAnalitico&amp;idCuadro=CA11&amp;sector=1&amp;locale=es</vt:lpwstr>
      </vt:variant>
      <vt:variant>
        <vt:lpwstr/>
      </vt:variant>
      <vt:variant>
        <vt:i4>655428</vt:i4>
      </vt:variant>
      <vt:variant>
        <vt:i4>407</vt:i4>
      </vt:variant>
      <vt:variant>
        <vt:i4>0</vt:i4>
      </vt:variant>
      <vt:variant>
        <vt:i4>5</vt:i4>
      </vt:variant>
      <vt:variant>
        <vt:lpwstr>http://www.sectur.gob.mx/es/sectur/Boletin_15_</vt:lpwstr>
      </vt:variant>
      <vt:variant>
        <vt:lpwstr/>
      </vt:variant>
      <vt:variant>
        <vt:i4>655429</vt:i4>
      </vt:variant>
      <vt:variant>
        <vt:i4>404</vt:i4>
      </vt:variant>
      <vt:variant>
        <vt:i4>0</vt:i4>
      </vt:variant>
      <vt:variant>
        <vt:i4>5</vt:i4>
      </vt:variant>
      <vt:variant>
        <vt:lpwstr>http://www.sectur.gob.mx/es/sectur/Boletin_14_</vt:lpwstr>
      </vt:variant>
      <vt:variant>
        <vt:lpwstr/>
      </vt:variant>
      <vt:variant>
        <vt:i4>3473447</vt:i4>
      </vt:variant>
      <vt:variant>
        <vt:i4>401</vt:i4>
      </vt:variant>
      <vt:variant>
        <vt:i4>0</vt:i4>
      </vt:variant>
      <vt:variant>
        <vt:i4>5</vt:i4>
      </vt:variant>
      <vt:variant>
        <vt:lpwstr>http://www.banxico.org.mx/SieInternet/consultarDirectorioInternetAction.do?accion=consultarCuadroAnalitico&amp;idCuadro=CA10&amp;sector=1&amp;locale=es</vt:lpwstr>
      </vt:variant>
      <vt:variant>
        <vt:lpwstr/>
      </vt:variant>
      <vt:variant>
        <vt:i4>3539055</vt:i4>
      </vt:variant>
      <vt:variant>
        <vt:i4>398</vt:i4>
      </vt:variant>
      <vt:variant>
        <vt:i4>0</vt:i4>
      </vt:variant>
      <vt:variant>
        <vt:i4>5</vt:i4>
      </vt:variant>
      <vt:variant>
        <vt:lpwstr>http://www.banxico.org.mx/SieInternet/consultarDirectorioInternetAction.do?accion=consultarCuadroAnalitico&amp;idCuadro=CA9&amp;sector=1&amp;locale=es</vt:lpwstr>
      </vt:variant>
      <vt:variant>
        <vt:lpwstr/>
      </vt:variant>
      <vt:variant>
        <vt:i4>4325467</vt:i4>
      </vt:variant>
      <vt:variant>
        <vt:i4>395</vt:i4>
      </vt:variant>
      <vt:variant>
        <vt:i4>0</vt:i4>
      </vt:variant>
      <vt:variant>
        <vt:i4>5</vt:i4>
      </vt:variant>
      <vt:variant>
        <vt:lpwstr>http://dgcnesyp.inegi.org.mx/cgi-win/bdieintsi.exe/NIVR550330</vt:lpwstr>
      </vt:variant>
      <vt:variant>
        <vt:lpwstr>ARBOL</vt:lpwstr>
      </vt:variant>
      <vt:variant>
        <vt:i4>6750256</vt:i4>
      </vt:variant>
      <vt:variant>
        <vt:i4>392</vt:i4>
      </vt:variant>
      <vt:variant>
        <vt:i4>0</vt:i4>
      </vt:variant>
      <vt:variant>
        <vt:i4>5</vt:i4>
      </vt:variant>
      <vt:variant>
        <vt:lpwstr>http://www.sagarpa.gob.mx/saladeprensa/boletines2/paginas/2012B079.aspx</vt:lpwstr>
      </vt:variant>
      <vt:variant>
        <vt:lpwstr/>
      </vt:variant>
      <vt:variant>
        <vt:i4>4653147</vt:i4>
      </vt:variant>
      <vt:variant>
        <vt:i4>389</vt:i4>
      </vt:variant>
      <vt:variant>
        <vt:i4>0</vt:i4>
      </vt:variant>
      <vt:variant>
        <vt:i4>5</vt:i4>
      </vt:variant>
      <vt:variant>
        <vt:lpwstr>http://dgcnesyp.inegi.org.mx/cgi-win/bdieintsi.exe/NIVR5503300050</vt:lpwstr>
      </vt:variant>
      <vt:variant>
        <vt:lpwstr>ARBOL</vt:lpwstr>
      </vt:variant>
      <vt:variant>
        <vt:i4>3538995</vt:i4>
      </vt:variant>
      <vt:variant>
        <vt:i4>386</vt:i4>
      </vt:variant>
      <vt:variant>
        <vt:i4>0</vt:i4>
      </vt:variant>
      <vt:variant>
        <vt:i4>5</vt:i4>
      </vt:variant>
      <vt:variant>
        <vt:lpwstr>http://www.economia.gob.mx/eventos-noticias/sala-de-prensa/informacion-relevante/7303-boletin032-12</vt:lpwstr>
      </vt:variant>
      <vt:variant>
        <vt:lpwstr/>
      </vt:variant>
      <vt:variant>
        <vt:i4>8060953</vt:i4>
      </vt:variant>
      <vt:variant>
        <vt:i4>383</vt:i4>
      </vt:variant>
      <vt:variant>
        <vt:i4>0</vt:i4>
      </vt:variant>
      <vt:variant>
        <vt:i4>5</vt:i4>
      </vt:variant>
      <vt:variant>
        <vt:lpwstr>http://www.wto.org/spanish/news_s/news12_s/394_395_398abr_s.htm</vt:lpwstr>
      </vt:variant>
      <vt:variant>
        <vt:lpwstr/>
      </vt:variant>
      <vt:variant>
        <vt:i4>4325467</vt:i4>
      </vt:variant>
      <vt:variant>
        <vt:i4>380</vt:i4>
      </vt:variant>
      <vt:variant>
        <vt:i4>0</vt:i4>
      </vt:variant>
      <vt:variant>
        <vt:i4>5</vt:i4>
      </vt:variant>
      <vt:variant>
        <vt:lpwstr>http://dgcnesyp.inegi.org.mx/cgi-win/bdieintsi.exe/NIVR550330</vt:lpwstr>
      </vt:variant>
      <vt:variant>
        <vt:lpwstr>ARBOL</vt:lpwstr>
      </vt:variant>
      <vt:variant>
        <vt:i4>3473460</vt:i4>
      </vt:variant>
      <vt:variant>
        <vt:i4>377</vt:i4>
      </vt:variant>
      <vt:variant>
        <vt:i4>0</vt:i4>
      </vt:variant>
      <vt:variant>
        <vt:i4>5</vt:i4>
      </vt:variant>
      <vt:variant>
        <vt:lpwstr>http://www.economia.gob.mx/eventos-noticias/sala-de-prensa/informacion-relevante/7284-boletin029-12</vt:lpwstr>
      </vt:variant>
      <vt:variant>
        <vt:lpwstr/>
      </vt:variant>
      <vt:variant>
        <vt:i4>8323134</vt:i4>
      </vt:variant>
      <vt:variant>
        <vt:i4>374</vt:i4>
      </vt:variant>
      <vt:variant>
        <vt:i4>0</vt:i4>
      </vt:variant>
      <vt:variant>
        <vt:i4>5</vt:i4>
      </vt:variant>
      <vt:variant>
        <vt:lpwstr>http://portal.salud.gob.mx/redirector?tipo=0&amp;n_seccion=Boletines&amp;seccion=2012-01-24_5570.html</vt:lpwstr>
      </vt:variant>
      <vt:variant>
        <vt:lpwstr/>
      </vt:variant>
      <vt:variant>
        <vt:i4>8257598</vt:i4>
      </vt:variant>
      <vt:variant>
        <vt:i4>371</vt:i4>
      </vt:variant>
      <vt:variant>
        <vt:i4>0</vt:i4>
      </vt:variant>
      <vt:variant>
        <vt:i4>5</vt:i4>
      </vt:variant>
      <vt:variant>
        <vt:lpwstr>http://portal.salud.gob.mx/redirector?tipo=0&amp;n_seccion=Boletines&amp;seccion=2012-01-24_5571.html</vt:lpwstr>
      </vt:variant>
      <vt:variant>
        <vt:lpwstr/>
      </vt:variant>
      <vt:variant>
        <vt:i4>8192062</vt:i4>
      </vt:variant>
      <vt:variant>
        <vt:i4>368</vt:i4>
      </vt:variant>
      <vt:variant>
        <vt:i4>0</vt:i4>
      </vt:variant>
      <vt:variant>
        <vt:i4>5</vt:i4>
      </vt:variant>
      <vt:variant>
        <vt:lpwstr>http://portal.salud.gob.mx/redirector?tipo=0&amp;n_seccion=Boletines&amp;seccion=2012-01-24_5572.html</vt:lpwstr>
      </vt:variant>
      <vt:variant>
        <vt:lpwstr/>
      </vt:variant>
      <vt:variant>
        <vt:i4>7798847</vt:i4>
      </vt:variant>
      <vt:variant>
        <vt:i4>365</vt:i4>
      </vt:variant>
      <vt:variant>
        <vt:i4>0</vt:i4>
      </vt:variant>
      <vt:variant>
        <vt:i4>5</vt:i4>
      </vt:variant>
      <vt:variant>
        <vt:lpwstr>http://portal.salud.gob.mx/redirector?tipo=0&amp;n_seccion=Boletines&amp;seccion=2012-01-24_5568.html</vt:lpwstr>
      </vt:variant>
      <vt:variant>
        <vt:lpwstr/>
      </vt:variant>
      <vt:variant>
        <vt:i4>4653147</vt:i4>
      </vt:variant>
      <vt:variant>
        <vt:i4>362</vt:i4>
      </vt:variant>
      <vt:variant>
        <vt:i4>0</vt:i4>
      </vt:variant>
      <vt:variant>
        <vt:i4>5</vt:i4>
      </vt:variant>
      <vt:variant>
        <vt:lpwstr>http://dgcnesyp.inegi.org.mx/cgi-win/bdieintsi.exe/NIVR5503300050</vt:lpwstr>
      </vt:variant>
      <vt:variant>
        <vt:lpwstr>ARBOL</vt:lpwstr>
      </vt:variant>
      <vt:variant>
        <vt:i4>3473456</vt:i4>
      </vt:variant>
      <vt:variant>
        <vt:i4>359</vt:i4>
      </vt:variant>
      <vt:variant>
        <vt:i4>0</vt:i4>
      </vt:variant>
      <vt:variant>
        <vt:i4>5</vt:i4>
      </vt:variant>
      <vt:variant>
        <vt:lpwstr>http://www.economia.gob.mx/eventos-noticias/sala-de-prensa/informacion-relevante/7260-boletin027-12</vt:lpwstr>
      </vt:variant>
      <vt:variant>
        <vt:lpwstr/>
      </vt:variant>
      <vt:variant>
        <vt:i4>7012414</vt:i4>
      </vt:variant>
      <vt:variant>
        <vt:i4>356</vt:i4>
      </vt:variant>
      <vt:variant>
        <vt:i4>0</vt:i4>
      </vt:variant>
      <vt:variant>
        <vt:i4>5</vt:i4>
      </vt:variant>
      <vt:variant>
        <vt:lpwstr>http://www.economia.gob.mx/eventos-noticias/sala-de-prensa/comunicados/7331-boletin-035-12</vt:lpwstr>
      </vt:variant>
      <vt:variant>
        <vt:lpwstr/>
      </vt:variant>
      <vt:variant>
        <vt:i4>983124</vt:i4>
      </vt:variant>
      <vt:variant>
        <vt:i4>353</vt:i4>
      </vt:variant>
      <vt:variant>
        <vt:i4>0</vt:i4>
      </vt:variant>
      <vt:variant>
        <vt:i4>5</vt:i4>
      </vt:variant>
      <vt:variant>
        <vt:lpwstr>http://www.wto.org/spanish/news_s/news12_s/ds381xapl_25jan12_s.htm</vt:lpwstr>
      </vt:variant>
      <vt:variant>
        <vt:lpwstr/>
      </vt:variant>
      <vt:variant>
        <vt:i4>1441794</vt:i4>
      </vt:variant>
      <vt:variant>
        <vt:i4>350</vt:i4>
      </vt:variant>
      <vt:variant>
        <vt:i4>0</vt:i4>
      </vt:variant>
      <vt:variant>
        <vt:i4>5</vt:i4>
      </vt:variant>
      <vt:variant>
        <vt:lpwstr>http://dof.gob.mx/index.php?year=2012&amp;month=01&amp;day=23</vt:lpwstr>
      </vt:variant>
      <vt:variant>
        <vt:lpwstr/>
      </vt:variant>
      <vt:variant>
        <vt:i4>2883586</vt:i4>
      </vt:variant>
      <vt:variant>
        <vt:i4>347</vt:i4>
      </vt:variant>
      <vt:variant>
        <vt:i4>0</vt:i4>
      </vt:variant>
      <vt:variant>
        <vt:i4>5</vt:i4>
      </vt:variant>
      <vt:variant>
        <vt:lpwstr>http://dof.gob.mx/nota_detalle.php?codigo=5230625&amp;fecha=23/01/2012</vt:lpwstr>
      </vt:variant>
      <vt:variant>
        <vt:lpwstr/>
      </vt:variant>
      <vt:variant>
        <vt:i4>5898263</vt:i4>
      </vt:variant>
      <vt:variant>
        <vt:i4>344</vt:i4>
      </vt:variant>
      <vt:variant>
        <vt:i4>0</vt:i4>
      </vt:variant>
      <vt:variant>
        <vt:i4>5</vt:i4>
      </vt:variant>
      <vt:variant>
        <vt:lpwstr>http://www.inegi.org.mx/inegi/contenidos/espanol/prensa/comunicados/balopbol.pdf</vt:lpwstr>
      </vt:variant>
      <vt:variant>
        <vt:lpwstr/>
      </vt:variant>
      <vt:variant>
        <vt:i4>589951</vt:i4>
      </vt:variant>
      <vt:variant>
        <vt:i4>323</vt:i4>
      </vt:variant>
      <vt:variant>
        <vt:i4>0</vt:i4>
      </vt:variant>
      <vt:variant>
        <vt:i4>5</vt:i4>
      </vt:variant>
      <vt:variant>
        <vt:lpwstr>http://www.banamex.com.mx/estudios_finanzas/finanzas/economia_internacional/riesgo_pais.htm</vt:lpwstr>
      </vt:variant>
      <vt:variant>
        <vt:lpwstr/>
      </vt:variant>
      <vt:variant>
        <vt:i4>1572936</vt:i4>
      </vt:variant>
      <vt:variant>
        <vt:i4>320</vt:i4>
      </vt:variant>
      <vt:variant>
        <vt:i4>0</vt:i4>
      </vt:variant>
      <vt:variant>
        <vt:i4>5</vt:i4>
      </vt:variant>
      <vt:variant>
        <vt:lpwstr>http://www.reforma.com/edicionimpresa/paginas/20120208/pdfs/rPRI20120208-012.pdf</vt:lpwstr>
      </vt:variant>
      <vt:variant>
        <vt:lpwstr/>
      </vt:variant>
      <vt:variant>
        <vt:i4>6225947</vt:i4>
      </vt:variant>
      <vt:variant>
        <vt:i4>317</vt:i4>
      </vt:variant>
      <vt:variant>
        <vt:i4>0</vt:i4>
      </vt:variant>
      <vt:variant>
        <vt:i4>5</vt:i4>
      </vt:variant>
      <vt:variant>
        <vt:lpwstr>http://www.banxico.org.mx/tipcamb/intInfHistAction.do</vt:lpwstr>
      </vt:variant>
      <vt:variant>
        <vt:lpwstr/>
      </vt:variant>
      <vt:variant>
        <vt:i4>458836</vt:i4>
      </vt:variant>
      <vt:variant>
        <vt:i4>314</vt:i4>
      </vt:variant>
      <vt:variant>
        <vt:i4>0</vt:i4>
      </vt:variant>
      <vt:variant>
        <vt:i4>5</vt:i4>
      </vt:variant>
      <vt:variant>
        <vt:lpwstr>http://www.banxico.org.mx/portal-mercado-cambiario/index.html</vt:lpwstr>
      </vt:variant>
      <vt:variant>
        <vt:lpwstr/>
      </vt:variant>
      <vt:variant>
        <vt:i4>8192035</vt:i4>
      </vt:variant>
      <vt:variant>
        <vt:i4>311</vt:i4>
      </vt:variant>
      <vt:variant>
        <vt:i4>0</vt:i4>
      </vt:variant>
      <vt:variant>
        <vt:i4>5</vt:i4>
      </vt:variant>
      <vt:variant>
        <vt:lpwstr>http://www.cnbv.gob.mx/Bursatil/BoletinesdePrensa/Prensa  Casas de Bolsa/02 de febrero de 2012.pdf</vt:lpwstr>
      </vt:variant>
      <vt:variant>
        <vt:lpwstr/>
      </vt:variant>
      <vt:variant>
        <vt:i4>7536682</vt:i4>
      </vt:variant>
      <vt:variant>
        <vt:i4>308</vt:i4>
      </vt:variant>
      <vt:variant>
        <vt:i4>0</vt:i4>
      </vt:variant>
      <vt:variant>
        <vt:i4>5</vt:i4>
      </vt:variant>
      <vt:variant>
        <vt:lpwstr>http://www.bmv.com.mx/</vt:lpwstr>
      </vt:variant>
      <vt:variant>
        <vt:lpwstr/>
      </vt:variant>
      <vt:variant>
        <vt:i4>5111897</vt:i4>
      </vt:variant>
      <vt:variant>
        <vt:i4>305</vt:i4>
      </vt:variant>
      <vt:variant>
        <vt:i4>0</vt:i4>
      </vt:variant>
      <vt:variant>
        <vt:i4>5</vt:i4>
      </vt:variant>
      <vt:variant>
        <vt:lpwstr>http://www.banxico.org.mx/SieInternet/consultarDirectorioInternetAction.do?accion=consultarCuadro&amp;idCuadro=CF112&amp;sector=18&amp;locale=es</vt:lpwstr>
      </vt:variant>
      <vt:variant>
        <vt:lpwstr/>
      </vt:variant>
      <vt:variant>
        <vt:i4>5111897</vt:i4>
      </vt:variant>
      <vt:variant>
        <vt:i4>302</vt:i4>
      </vt:variant>
      <vt:variant>
        <vt:i4>0</vt:i4>
      </vt:variant>
      <vt:variant>
        <vt:i4>5</vt:i4>
      </vt:variant>
      <vt:variant>
        <vt:lpwstr>http://www.banxico.org.mx/SieInternet/consultarDirectorioInternetAction.do?accion=consultarCuadro&amp;idCuadro=CF112&amp;sector=18&amp;locale=es</vt:lpwstr>
      </vt:variant>
      <vt:variant>
        <vt:lpwstr/>
      </vt:variant>
      <vt:variant>
        <vt:i4>5111897</vt:i4>
      </vt:variant>
      <vt:variant>
        <vt:i4>299</vt:i4>
      </vt:variant>
      <vt:variant>
        <vt:i4>0</vt:i4>
      </vt:variant>
      <vt:variant>
        <vt:i4>5</vt:i4>
      </vt:variant>
      <vt:variant>
        <vt:lpwstr>http://www.banxico.org.mx/SieInternet/consultarDirectorioInternetAction.do?accion=consultarCuadro&amp;idCuadro=CF112&amp;sector=18&amp;locale=es</vt:lpwstr>
      </vt:variant>
      <vt:variant>
        <vt:lpwstr/>
      </vt:variant>
      <vt:variant>
        <vt:i4>5111897</vt:i4>
      </vt:variant>
      <vt:variant>
        <vt:i4>296</vt:i4>
      </vt:variant>
      <vt:variant>
        <vt:i4>0</vt:i4>
      </vt:variant>
      <vt:variant>
        <vt:i4>5</vt:i4>
      </vt:variant>
      <vt:variant>
        <vt:lpwstr>http://www.banxico.org.mx/SieInternet/consultarDirectorioInternetAction.do?accion=consultarCuadro&amp;idCuadro=CF112&amp;sector=18&amp;locale=es</vt:lpwstr>
      </vt:variant>
      <vt:variant>
        <vt:lpwstr/>
      </vt:variant>
      <vt:variant>
        <vt:i4>8323108</vt:i4>
      </vt:variant>
      <vt:variant>
        <vt:i4>293</vt:i4>
      </vt:variant>
      <vt:variant>
        <vt:i4>0</vt:i4>
      </vt:variant>
      <vt:variant>
        <vt:i4>5</vt:i4>
      </vt:variant>
      <vt:variant>
        <vt:lpwstr>http://www.banxico.org.mx/polmoneinflacion/estadisticas/tasasInteres/tasasInteres.html</vt:lpwstr>
      </vt:variant>
      <vt:variant>
        <vt:lpwstr/>
      </vt:variant>
      <vt:variant>
        <vt:i4>4259931</vt:i4>
      </vt:variant>
      <vt:variant>
        <vt:i4>290</vt:i4>
      </vt:variant>
      <vt:variant>
        <vt:i4>0</vt:i4>
      </vt:variant>
      <vt:variant>
        <vt:i4>5</vt:i4>
      </vt:variant>
      <vt:variant>
        <vt:lpwstr>http://www.banxico.org.mx/SieInternet/consultarDirectorioInternetAction.do?accion=consultarCuadro&amp;idCuadro=CF107&amp;sector=22&amp;locale=es</vt:lpwstr>
      </vt:variant>
      <vt:variant>
        <vt:lpwstr/>
      </vt:variant>
      <vt:variant>
        <vt:i4>2424936</vt:i4>
      </vt:variant>
      <vt:variant>
        <vt:i4>287</vt:i4>
      </vt:variant>
      <vt:variant>
        <vt:i4>0</vt:i4>
      </vt:variant>
      <vt:variant>
        <vt:i4>5</vt:i4>
      </vt:variant>
      <vt:variant>
        <vt:lpwstr>http://www.banxico.org.mx/informacion-para-la-prensa/comunicados/sector-financiero/agregados-monetarios/%7BCC62E298-573F-DC20-E736-056657CDC1BD%7D.pdf</vt:lpwstr>
      </vt:variant>
      <vt:variant>
        <vt:lpwstr/>
      </vt:variant>
      <vt:variant>
        <vt:i4>2424936</vt:i4>
      </vt:variant>
      <vt:variant>
        <vt:i4>284</vt:i4>
      </vt:variant>
      <vt:variant>
        <vt:i4>0</vt:i4>
      </vt:variant>
      <vt:variant>
        <vt:i4>5</vt:i4>
      </vt:variant>
      <vt:variant>
        <vt:lpwstr>http://www.banxico.org.mx/informacion-para-la-prensa/comunicados/sector-financiero/agregados-monetarios/%7BCC62E298-573F-DC20-E736-056657CDC1BD%7D.pdf</vt:lpwstr>
      </vt:variant>
      <vt:variant>
        <vt:lpwstr/>
      </vt:variant>
      <vt:variant>
        <vt:i4>6553710</vt:i4>
      </vt:variant>
      <vt:variant>
        <vt:i4>281</vt:i4>
      </vt:variant>
      <vt:variant>
        <vt:i4>0</vt:i4>
      </vt:variant>
      <vt:variant>
        <vt:i4>5</vt:i4>
      </vt:variant>
      <vt:variant>
        <vt:lpwstr>http://www.banxico.org.mx/informacion-para-la-prensa/comunicados/banco-de-mexico/edo-cuenta-semanal/%7B1672B404-3026-7602-F0C2-163EEEF28E2C%7D.pdf</vt:lpwstr>
      </vt:variant>
      <vt:variant>
        <vt:lpwstr/>
      </vt:variant>
      <vt:variant>
        <vt:i4>6553648</vt:i4>
      </vt:variant>
      <vt:variant>
        <vt:i4>278</vt:i4>
      </vt:variant>
      <vt:variant>
        <vt:i4>0</vt:i4>
      </vt:variant>
      <vt:variant>
        <vt:i4>5</vt:i4>
      </vt:variant>
      <vt:variant>
        <vt:lpwstr>http://www.banxico.org.mx/informacion-para-la-prensa/comunicados/banco-de-mexico/edo-cuenta-semanal/%7BD6577E4E-910C-95B1-FBF4-A85FD43B6ED9%7D.pdf</vt:lpwstr>
      </vt:variant>
      <vt:variant>
        <vt:lpwstr/>
      </vt:variant>
      <vt:variant>
        <vt:i4>6553710</vt:i4>
      </vt:variant>
      <vt:variant>
        <vt:i4>275</vt:i4>
      </vt:variant>
      <vt:variant>
        <vt:i4>0</vt:i4>
      </vt:variant>
      <vt:variant>
        <vt:i4>5</vt:i4>
      </vt:variant>
      <vt:variant>
        <vt:lpwstr>http://www.banxico.org.mx/informacion-para-la-prensa/comunicados/banco-de-mexico/edo-cuenta-semanal/%7B1672B404-3026-7602-F0C2-163EEEF28E2C%7D.pdf</vt:lpwstr>
      </vt:variant>
      <vt:variant>
        <vt:lpwstr/>
      </vt:variant>
      <vt:variant>
        <vt:i4>3276887</vt:i4>
      </vt:variant>
      <vt:variant>
        <vt:i4>272</vt:i4>
      </vt:variant>
      <vt:variant>
        <vt:i4>0</vt:i4>
      </vt:variant>
      <vt:variant>
        <vt:i4>5</vt:i4>
      </vt:variant>
      <vt:variant>
        <vt:lpwstr>http://www.ipab.org.mx/03_finanzas/IHistoricoSubastasDisplay.asp</vt:lpwstr>
      </vt:variant>
      <vt:variant>
        <vt:lpwstr/>
      </vt:variant>
      <vt:variant>
        <vt:i4>852095</vt:i4>
      </vt:variant>
      <vt:variant>
        <vt:i4>269</vt:i4>
      </vt:variant>
      <vt:variant>
        <vt:i4>0</vt:i4>
      </vt:variant>
      <vt:variant>
        <vt:i4>5</vt:i4>
      </vt:variant>
      <vt:variant>
        <vt:lpwstr>http://www.ipab.org.mx/03_finanzas/InformeHistoricoSubastas.asp</vt:lpwstr>
      </vt:variant>
      <vt:variant>
        <vt:lpwstr/>
      </vt:variant>
      <vt:variant>
        <vt:i4>6094931</vt:i4>
      </vt:variant>
      <vt:variant>
        <vt:i4>266</vt:i4>
      </vt:variant>
      <vt:variant>
        <vt:i4>0</vt:i4>
      </vt:variant>
      <vt:variant>
        <vt:i4>5</vt:i4>
      </vt:variant>
      <vt:variant>
        <vt:lpwstr>http://www.ipab.org.mx/01_acerca_ipab/preguntas frecuentes.html</vt:lpwstr>
      </vt:variant>
      <vt:variant>
        <vt:lpwstr/>
      </vt:variant>
      <vt:variant>
        <vt:i4>3276887</vt:i4>
      </vt:variant>
      <vt:variant>
        <vt:i4>263</vt:i4>
      </vt:variant>
      <vt:variant>
        <vt:i4>0</vt:i4>
      </vt:variant>
      <vt:variant>
        <vt:i4>5</vt:i4>
      </vt:variant>
      <vt:variant>
        <vt:lpwstr>http://www.ipab.org.mx/03_finanzas/IHistoricoSubastasDisplay.asp</vt:lpwstr>
      </vt:variant>
      <vt:variant>
        <vt:lpwstr/>
      </vt:variant>
      <vt:variant>
        <vt:i4>3276887</vt:i4>
      </vt:variant>
      <vt:variant>
        <vt:i4>260</vt:i4>
      </vt:variant>
      <vt:variant>
        <vt:i4>0</vt:i4>
      </vt:variant>
      <vt:variant>
        <vt:i4>5</vt:i4>
      </vt:variant>
      <vt:variant>
        <vt:lpwstr>http://www.ipab.org.mx/03_finanzas/IHistoricoSubastasDisplay.asp</vt:lpwstr>
      </vt:variant>
      <vt:variant>
        <vt:lpwstr/>
      </vt:variant>
      <vt:variant>
        <vt:i4>2097261</vt:i4>
      </vt:variant>
      <vt:variant>
        <vt:i4>257</vt:i4>
      </vt:variant>
      <vt:variant>
        <vt:i4>0</vt:i4>
      </vt:variant>
      <vt:variant>
        <vt:i4>5</vt:i4>
      </vt:variant>
      <vt:variant>
        <vt:lpwstr>http://www.banxico.org.mx/informacion-para-la-prensa/comunicados/politica-monetaria/minutas-de-las-decisiones-de-politica-monetaria/%7B2BBC4364-3403-0E7E-B9DC-75FA9FA8C505%7D.pdf</vt:lpwstr>
      </vt:variant>
      <vt:variant>
        <vt:lpwstr/>
      </vt:variant>
      <vt:variant>
        <vt:i4>7012384</vt:i4>
      </vt:variant>
      <vt:variant>
        <vt:i4>252</vt:i4>
      </vt:variant>
      <vt:variant>
        <vt:i4>0</vt:i4>
      </vt:variant>
      <vt:variant>
        <vt:i4>5</vt:i4>
      </vt:variant>
      <vt:variant>
        <vt:lpwstr>http://www.banxico.org.mx/</vt:lpwstr>
      </vt:variant>
      <vt:variant>
        <vt:lpwstr/>
      </vt:variant>
      <vt:variant>
        <vt:i4>3735668</vt:i4>
      </vt:variant>
      <vt:variant>
        <vt:i4>249</vt:i4>
      </vt:variant>
      <vt:variant>
        <vt:i4>0</vt:i4>
      </vt:variant>
      <vt:variant>
        <vt:i4>5</vt:i4>
      </vt:variant>
      <vt:variant>
        <vt:lpwstr>http://www.banxico.org.mx/publicaciones-y-discursos/publicaciones/informes-periodicos/politica-monetaria-prog-anual/%7b10D4DF99-4E2B-102E-77FF-E6616A760E90%7d.pdf</vt:lpwstr>
      </vt:variant>
      <vt:variant>
        <vt:lpwstr/>
      </vt:variant>
      <vt:variant>
        <vt:i4>3735668</vt:i4>
      </vt:variant>
      <vt:variant>
        <vt:i4>246</vt:i4>
      </vt:variant>
      <vt:variant>
        <vt:i4>0</vt:i4>
      </vt:variant>
      <vt:variant>
        <vt:i4>5</vt:i4>
      </vt:variant>
      <vt:variant>
        <vt:lpwstr>http://www.banxico.org.mx/publicaciones-y-discursos/publicaciones/informes-periodicos/politica-monetaria-prog-anual/%7b10D4DF99-4E2B-102E-77FF-E6616A760E90%7d.pdf</vt:lpwstr>
      </vt:variant>
      <vt:variant>
        <vt:lpwstr/>
      </vt:variant>
      <vt:variant>
        <vt:i4>2949219</vt:i4>
      </vt:variant>
      <vt:variant>
        <vt:i4>243</vt:i4>
      </vt:variant>
      <vt:variant>
        <vt:i4>0</vt:i4>
      </vt:variant>
      <vt:variant>
        <vt:i4>5</vt:i4>
      </vt:variant>
      <vt:variant>
        <vt:lpwstr>http://www.consar.gob.mx/SeriesTiempo/CuadroInicial.aspx?md=10</vt:lpwstr>
      </vt:variant>
      <vt:variant>
        <vt:lpwstr/>
      </vt:variant>
      <vt:variant>
        <vt:i4>1900626</vt:i4>
      </vt:variant>
      <vt:variant>
        <vt:i4>240</vt:i4>
      </vt:variant>
      <vt:variant>
        <vt:i4>0</vt:i4>
      </vt:variant>
      <vt:variant>
        <vt:i4>5</vt:i4>
      </vt:variant>
      <vt:variant>
        <vt:lpwstr>http://www.consar.gob.mx/SeriesTiempo/CuadroInicial.aspx?md=2</vt:lpwstr>
      </vt:variant>
      <vt:variant>
        <vt:lpwstr/>
      </vt:variant>
      <vt:variant>
        <vt:i4>1900626</vt:i4>
      </vt:variant>
      <vt:variant>
        <vt:i4>237</vt:i4>
      </vt:variant>
      <vt:variant>
        <vt:i4>0</vt:i4>
      </vt:variant>
      <vt:variant>
        <vt:i4>5</vt:i4>
      </vt:variant>
      <vt:variant>
        <vt:lpwstr>http://www.consar.gob.mx/SeriesTiempo/CuadroInicial.aspx?md=6</vt:lpwstr>
      </vt:variant>
      <vt:variant>
        <vt:lpwstr/>
      </vt:variant>
      <vt:variant>
        <vt:i4>1900626</vt:i4>
      </vt:variant>
      <vt:variant>
        <vt:i4>234</vt:i4>
      </vt:variant>
      <vt:variant>
        <vt:i4>0</vt:i4>
      </vt:variant>
      <vt:variant>
        <vt:i4>5</vt:i4>
      </vt:variant>
      <vt:variant>
        <vt:lpwstr>http://www.consar.gob.mx/SeriesTiempo/CuadroInicial.aspx?md=5</vt:lpwstr>
      </vt:variant>
      <vt:variant>
        <vt:lpwstr/>
      </vt:variant>
      <vt:variant>
        <vt:i4>4259845</vt:i4>
      </vt:variant>
      <vt:variant>
        <vt:i4>231</vt:i4>
      </vt:variant>
      <vt:variant>
        <vt:i4>0</vt:i4>
      </vt:variant>
      <vt:variant>
        <vt:i4>5</vt:i4>
      </vt:variant>
      <vt:variant>
        <vt:lpwstr>http://www.consar.gob.mx/rendimiento_neto/rendimiento_neto_promedio_36.shtml</vt:lpwstr>
      </vt:variant>
      <vt:variant>
        <vt:lpwstr/>
      </vt:variant>
      <vt:variant>
        <vt:i4>3866645</vt:i4>
      </vt:variant>
      <vt:variant>
        <vt:i4>228</vt:i4>
      </vt:variant>
      <vt:variant>
        <vt:i4>0</vt:i4>
      </vt:variant>
      <vt:variant>
        <vt:i4>5</vt:i4>
      </vt:variant>
      <vt:variant>
        <vt:lpwstr>http://www.consar.gob.mx/sala_prensa/pdf/boletines/2012/BP_01_2012.pdf</vt:lpwstr>
      </vt:variant>
      <vt:variant>
        <vt:lpwstr/>
      </vt:variant>
      <vt:variant>
        <vt:i4>4718617</vt:i4>
      </vt:variant>
      <vt:variant>
        <vt:i4>225</vt:i4>
      </vt:variant>
      <vt:variant>
        <vt:i4>0</vt:i4>
      </vt:variant>
      <vt:variant>
        <vt:i4>5</vt:i4>
      </vt:variant>
      <vt:variant>
        <vt:lpwstr>http://www.cnbv.gob.mx/Bursatil/BoletinesdePrensa/Prensa  Emisoras/01 de febrero de 2012.pdf</vt:lpwstr>
      </vt:variant>
      <vt:variant>
        <vt:lpwstr/>
      </vt:variant>
      <vt:variant>
        <vt:i4>4718680</vt:i4>
      </vt:variant>
      <vt:variant>
        <vt:i4>222</vt:i4>
      </vt:variant>
      <vt:variant>
        <vt:i4>0</vt:i4>
      </vt:variant>
      <vt:variant>
        <vt:i4>5</vt:i4>
      </vt:variant>
      <vt:variant>
        <vt:lpwstr>http://www.banxico.org.mx/informacion-para-la-prensa/comunicados/sector-financiero/financiamiento-empresas/%7BF96331BA-586C-3FDC-0C80-FD897D6180DB%7D.pdf</vt:lpwstr>
      </vt:variant>
      <vt:variant>
        <vt:lpwstr/>
      </vt:variant>
      <vt:variant>
        <vt:i4>2424936</vt:i4>
      </vt:variant>
      <vt:variant>
        <vt:i4>219</vt:i4>
      </vt:variant>
      <vt:variant>
        <vt:i4>0</vt:i4>
      </vt:variant>
      <vt:variant>
        <vt:i4>5</vt:i4>
      </vt:variant>
      <vt:variant>
        <vt:lpwstr>http://www.banxico.org.mx/informacion-para-la-prensa/comunicados/sector-financiero/agregados-monetarios/%7BCC62E298-573F-DC20-E736-056657CDC1BD%7D.pdf</vt:lpwstr>
      </vt:variant>
      <vt:variant>
        <vt:lpwstr/>
      </vt:variant>
      <vt:variant>
        <vt:i4>1572874</vt:i4>
      </vt:variant>
      <vt:variant>
        <vt:i4>216</vt:i4>
      </vt:variant>
      <vt:variant>
        <vt:i4>0</vt:i4>
      </vt:variant>
      <vt:variant>
        <vt:i4>5</vt:i4>
      </vt:variant>
      <vt:variant>
        <vt:lpwstr>http://mexico.gfintegrity.org/es/</vt:lpwstr>
      </vt:variant>
      <vt:variant>
        <vt:lpwstr/>
      </vt:variant>
      <vt:variant>
        <vt:i4>3014759</vt:i4>
      </vt:variant>
      <vt:variant>
        <vt:i4>213</vt:i4>
      </vt:variant>
      <vt:variant>
        <vt:i4>0</vt:i4>
      </vt:variant>
      <vt:variant>
        <vt:i4>5</vt:i4>
      </vt:variant>
      <vt:variant>
        <vt:lpwstr>http://www.gfintegrity.org/</vt:lpwstr>
      </vt:variant>
      <vt:variant>
        <vt:lpwstr/>
      </vt:variant>
      <vt:variant>
        <vt:i4>4980805</vt:i4>
      </vt:variant>
      <vt:variant>
        <vt:i4>210</vt:i4>
      </vt:variant>
      <vt:variant>
        <vt:i4>0</vt:i4>
      </vt:variant>
      <vt:variant>
        <vt:i4>5</vt:i4>
      </vt:variant>
      <vt:variant>
        <vt:lpwstr>http://www.gfintegrity.org/storage/gfip/documents/reports/mexico/gfi_mexico_report_espanol_web.pdf</vt:lpwstr>
      </vt:variant>
      <vt:variant>
        <vt:lpwstr/>
      </vt:variant>
      <vt:variant>
        <vt:i4>6094876</vt:i4>
      </vt:variant>
      <vt:variant>
        <vt:i4>207</vt:i4>
      </vt:variant>
      <vt:variant>
        <vt:i4>0</vt:i4>
      </vt:variant>
      <vt:variant>
        <vt:i4>5</vt:i4>
      </vt:variant>
      <vt:variant>
        <vt:lpwstr>http://www.gfintegrity.org/storage/gfip/documents/reports/mexico/gfi mexico report spanish executive summary.pdf</vt:lpwstr>
      </vt:variant>
      <vt:variant>
        <vt:lpwstr/>
      </vt:variant>
      <vt:variant>
        <vt:i4>2097210</vt:i4>
      </vt:variant>
      <vt:variant>
        <vt:i4>204</vt:i4>
      </vt:variant>
      <vt:variant>
        <vt:i4>0</vt:i4>
      </vt:variant>
      <vt:variant>
        <vt:i4>5</vt:i4>
      </vt:variant>
      <vt:variant>
        <vt:lpwstr>http://www.gfintegrity.org/storage/gfip/documents/reports/mexico/gfi mexico report spanish resumen.pdf</vt:lpwstr>
      </vt:variant>
      <vt:variant>
        <vt:lpwstr/>
      </vt:variant>
      <vt:variant>
        <vt:i4>4128882</vt:i4>
      </vt:variant>
      <vt:variant>
        <vt:i4>201</vt:i4>
      </vt:variant>
      <vt:variant>
        <vt:i4>0</vt:i4>
      </vt:variant>
      <vt:variant>
        <vt:i4>5</vt:i4>
      </vt:variant>
      <vt:variant>
        <vt:lpwstr>http://www.project-syndicate.org/commentary/gros32/Spanish</vt:lpwstr>
      </vt:variant>
      <vt:variant>
        <vt:lpwstr/>
      </vt:variant>
      <vt:variant>
        <vt:i4>92</vt:i4>
      </vt:variant>
      <vt:variant>
        <vt:i4>198</vt:i4>
      </vt:variant>
      <vt:variant>
        <vt:i4>0</vt:i4>
      </vt:variant>
      <vt:variant>
        <vt:i4>5</vt:i4>
      </vt:variant>
      <vt:variant>
        <vt:lpwstr>http://blog-dialogoafondo.org/?p=1616</vt:lpwstr>
      </vt:variant>
      <vt:variant>
        <vt:lpwstr/>
      </vt:variant>
      <vt:variant>
        <vt:i4>7274553</vt:i4>
      </vt:variant>
      <vt:variant>
        <vt:i4>192</vt:i4>
      </vt:variant>
      <vt:variant>
        <vt:i4>0</vt:i4>
      </vt:variant>
      <vt:variant>
        <vt:i4>5</vt:i4>
      </vt:variant>
      <vt:variant>
        <vt:lpwstr>http://www.imf.org/external/spanish/pubs/ft/fm/2012/update/01/0112s.pdf</vt:lpwstr>
      </vt:variant>
      <vt:variant>
        <vt:lpwstr/>
      </vt:variant>
      <vt:variant>
        <vt:i4>2359394</vt:i4>
      </vt:variant>
      <vt:variant>
        <vt:i4>189</vt:i4>
      </vt:variant>
      <vt:variant>
        <vt:i4>0</vt:i4>
      </vt:variant>
      <vt:variant>
        <vt:i4>5</vt:i4>
      </vt:variant>
      <vt:variant>
        <vt:lpwstr>http://www.imf.org/external/np/speeches/2011/111811.htm</vt:lpwstr>
      </vt:variant>
      <vt:variant>
        <vt:lpwstr/>
      </vt:variant>
      <vt:variant>
        <vt:i4>2949165</vt:i4>
      </vt:variant>
      <vt:variant>
        <vt:i4>186</vt:i4>
      </vt:variant>
      <vt:variant>
        <vt:i4>0</vt:i4>
      </vt:variant>
      <vt:variant>
        <vt:i4>5</vt:i4>
      </vt:variant>
      <vt:variant>
        <vt:lpwstr>http://www.shcp.gob.mx/documentos_recientes_bliblioteca/comunicado_006_2012.pdf</vt:lpwstr>
      </vt:variant>
      <vt:variant>
        <vt:lpwstr/>
      </vt:variant>
      <vt:variant>
        <vt:i4>3735648</vt:i4>
      </vt:variant>
      <vt:variant>
        <vt:i4>183</vt:i4>
      </vt:variant>
      <vt:variant>
        <vt:i4>0</vt:i4>
      </vt:variant>
      <vt:variant>
        <vt:i4>5</vt:i4>
      </vt:variant>
      <vt:variant>
        <vt:lpwstr>http://www.shcp.gob.mx/SALAPRENSA/doc_comunicados_prensa/2012/enero/comunicado_007_2012.pdf</vt:lpwstr>
      </vt:variant>
      <vt:variant>
        <vt:lpwstr/>
      </vt:variant>
      <vt:variant>
        <vt:i4>2293805</vt:i4>
      </vt:variant>
      <vt:variant>
        <vt:i4>180</vt:i4>
      </vt:variant>
      <vt:variant>
        <vt:i4>0</vt:i4>
      </vt:variant>
      <vt:variant>
        <vt:i4>5</vt:i4>
      </vt:variant>
      <vt:variant>
        <vt:lpwstr>http://www.shcp.gob.mx/documentos_recientes_bliblioteca/comunicado_008_2012.pdf</vt:lpwstr>
      </vt:variant>
      <vt:variant>
        <vt:lpwstr/>
      </vt:variant>
      <vt:variant>
        <vt:i4>2359378</vt:i4>
      </vt:variant>
      <vt:variant>
        <vt:i4>177</vt:i4>
      </vt:variant>
      <vt:variant>
        <vt:i4>0</vt:i4>
      </vt:variant>
      <vt:variant>
        <vt:i4>5</vt:i4>
      </vt:variant>
      <vt:variant>
        <vt:lpwstr>http://www.hacienda.gob.mx/sitios/ucsv/html/4totrime2011/informe_cuarto_trim_2011.pdf</vt:lpwstr>
      </vt:variant>
      <vt:variant>
        <vt:lpwstr/>
      </vt:variant>
      <vt:variant>
        <vt:i4>1376307</vt:i4>
      </vt:variant>
      <vt:variant>
        <vt:i4>174</vt:i4>
      </vt:variant>
      <vt:variant>
        <vt:i4>0</vt:i4>
      </vt:variant>
      <vt:variant>
        <vt:i4>5</vt:i4>
      </vt:variant>
      <vt:variant>
        <vt:lpwstr>http://www3.diputados.gob.mx/camara/005_comunicacion/a_boletines/2012_2012/002_febrero/03_03/4681_aumento_de_la_canasta_basica_nulifico_el_incremento_a_salarios_minimos_cefp</vt:lpwstr>
      </vt:variant>
      <vt:variant>
        <vt:lpwstr/>
      </vt:variant>
      <vt:variant>
        <vt:i4>4259871</vt:i4>
      </vt:variant>
      <vt:variant>
        <vt:i4>171</vt:i4>
      </vt:variant>
      <vt:variant>
        <vt:i4>0</vt:i4>
      </vt:variant>
      <vt:variant>
        <vt:i4>5</vt:i4>
      </vt:variant>
      <vt:variant>
        <vt:lpwstr>http://www.banxico.org.mx/informacion-para-la-prensa/comunicados/resultados-de-encuestas/expectativas-de-los-especialistas/%7BF5263D3A-379E-776D-0509-5D94FAA859CD%7D.pdf</vt:lpwstr>
      </vt:variant>
      <vt:variant>
        <vt:lpwstr/>
      </vt:variant>
      <vt:variant>
        <vt:i4>5111810</vt:i4>
      </vt:variant>
      <vt:variant>
        <vt:i4>168</vt:i4>
      </vt:variant>
      <vt:variant>
        <vt:i4>0</vt:i4>
      </vt:variant>
      <vt:variant>
        <vt:i4>5</vt:i4>
      </vt:variant>
      <vt:variant>
        <vt:lpwstr>http://gruporeforma.reforma.com/wsjamericas/nota/default.aspx?Folio=1149971&amp;Idcol=325&amp;pc=102&amp;impresion=0</vt:lpwstr>
      </vt:variant>
      <vt:variant>
        <vt:lpwstr/>
      </vt:variant>
      <vt:variant>
        <vt:i4>4849685</vt:i4>
      </vt:variant>
      <vt:variant>
        <vt:i4>165</vt:i4>
      </vt:variant>
      <vt:variant>
        <vt:i4>0</vt:i4>
      </vt:variant>
      <vt:variant>
        <vt:i4>5</vt:i4>
      </vt:variant>
      <vt:variant>
        <vt:lpwstr>http://www.presidencia.gob.mx/2012/01/palabras-del-presidente-de-nissan-motors-carlos-ghosn-con-motivo-del-anuncio-de-inversion-de-nissan-en-mexico/</vt:lpwstr>
      </vt:variant>
      <vt:variant>
        <vt:lpwstr/>
      </vt:variant>
      <vt:variant>
        <vt:i4>4915231</vt:i4>
      </vt:variant>
      <vt:variant>
        <vt:i4>162</vt:i4>
      </vt:variant>
      <vt:variant>
        <vt:i4>0</vt:i4>
      </vt:variant>
      <vt:variant>
        <vt:i4>5</vt:i4>
      </vt:variant>
      <vt:variant>
        <vt:lpwstr>http://www.presidencia.gob.mx/2012/01/mensaje-del-presidente-calderon-con-motivo-del-anuncio-de-inversion-de-nissan/</vt:lpwstr>
      </vt:variant>
      <vt:variant>
        <vt:lpwstr/>
      </vt:variant>
      <vt:variant>
        <vt:i4>6619177</vt:i4>
      </vt:variant>
      <vt:variant>
        <vt:i4>159</vt:i4>
      </vt:variant>
      <vt:variant>
        <vt:i4>0</vt:i4>
      </vt:variant>
      <vt:variant>
        <vt:i4>5</vt:i4>
      </vt:variant>
      <vt:variant>
        <vt:lpwstr>http://www.presidencia.gob.mx/2012/01/el-presidente-calderon-en-el-anuncio-de-inversion-de-nissan-en-mexico-en-davos-suiza/</vt:lpwstr>
      </vt:variant>
      <vt:variant>
        <vt:lpwstr/>
      </vt:variant>
      <vt:variant>
        <vt:i4>2752550</vt:i4>
      </vt:variant>
      <vt:variant>
        <vt:i4>156</vt:i4>
      </vt:variant>
      <vt:variant>
        <vt:i4>0</vt:i4>
      </vt:variant>
      <vt:variant>
        <vt:i4>5</vt:i4>
      </vt:variant>
      <vt:variant>
        <vt:lpwstr>http://web.nissan.com.mx/corporativo/prensa</vt:lpwstr>
      </vt:variant>
      <vt:variant>
        <vt:lpwstr/>
      </vt:variant>
      <vt:variant>
        <vt:i4>7012419</vt:i4>
      </vt:variant>
      <vt:variant>
        <vt:i4>153</vt:i4>
      </vt:variant>
      <vt:variant>
        <vt:i4>0</vt:i4>
      </vt:variant>
      <vt:variant>
        <vt:i4>5</vt:i4>
      </vt:variant>
      <vt:variant>
        <vt:lpwstr>http://www3.diputados.gob.mx/camara/005_comunicacion/a_boletines/2012_2012/001_enero/26_26/4645_importacion_de_autos_usados_podria_afectar_la_venta_interna_de_nuevos_cefp</vt:lpwstr>
      </vt:variant>
      <vt:variant>
        <vt:lpwstr/>
      </vt:variant>
      <vt:variant>
        <vt:i4>655415</vt:i4>
      </vt:variant>
      <vt:variant>
        <vt:i4>150</vt:i4>
      </vt:variant>
      <vt:variant>
        <vt:i4>0</vt:i4>
      </vt:variant>
      <vt:variant>
        <vt:i4>5</vt:i4>
      </vt:variant>
      <vt:variant>
        <vt:lpwstr>http://www.deloitte.com/view/es_MX/mx/perspectivas/temas-de-actualidad/fa81a302f93b4310VgnVCM3000001c56f00aRCRD.htm</vt:lpwstr>
      </vt:variant>
      <vt:variant>
        <vt:lpwstr/>
      </vt:variant>
      <vt:variant>
        <vt:i4>1179774</vt:i4>
      </vt:variant>
      <vt:variant>
        <vt:i4>147</vt:i4>
      </vt:variant>
      <vt:variant>
        <vt:i4>0</vt:i4>
      </vt:variant>
      <vt:variant>
        <vt:i4>5</vt:i4>
      </vt:variant>
      <vt:variant>
        <vt:lpwstr>http://www.canacintra-digital.com.mx/home/index.php?option=com_content&amp;view=article&amp;id=593:boletin-004-canacintra-espera-para-el-2012&amp;catid=94:boletines--comunicados&amp;Itemid=221</vt:lpwstr>
      </vt:variant>
      <vt:variant>
        <vt:lpwstr/>
      </vt:variant>
      <vt:variant>
        <vt:i4>6684777</vt:i4>
      </vt:variant>
      <vt:variant>
        <vt:i4>144</vt:i4>
      </vt:variant>
      <vt:variant>
        <vt:i4>0</vt:i4>
      </vt:variant>
      <vt:variant>
        <vt:i4>5</vt:i4>
      </vt:variant>
      <vt:variant>
        <vt:lpwstr>http://www.imef.org.mx/main.aspx?pid=bWnk1cotW41DhhsX94WgRw==&amp;idioma=1&amp;parent=BfgdjnGyzOK%2bZZiYmONBO%2bgX7GaW7w97</vt:lpwstr>
      </vt:variant>
      <vt:variant>
        <vt:lpwstr/>
      </vt:variant>
      <vt:variant>
        <vt:i4>6225990</vt:i4>
      </vt:variant>
      <vt:variant>
        <vt:i4>141</vt:i4>
      </vt:variant>
      <vt:variant>
        <vt:i4>0</vt:i4>
      </vt:variant>
      <vt:variant>
        <vt:i4>5</vt:i4>
      </vt:variant>
      <vt:variant>
        <vt:lpwstr>http://www.eclac.cl/cgi-bin/getProd.asp?xml=/prensa/noticias/comunicados/8/45758/P45758.xml&amp;xsl=/prensa/tpl/p6f.xsl&amp;base=/tpl/top-bottom.xsl</vt:lpwstr>
      </vt:variant>
      <vt:variant>
        <vt:lpwstr/>
      </vt:variant>
      <vt:variant>
        <vt:i4>4128817</vt:i4>
      </vt:variant>
      <vt:variant>
        <vt:i4>138</vt:i4>
      </vt:variant>
      <vt:variant>
        <vt:i4>0</vt:i4>
      </vt:variant>
      <vt:variant>
        <vt:i4>5</vt:i4>
      </vt:variant>
      <vt:variant>
        <vt:lpwstr>http://www.ofilac.org/</vt:lpwstr>
      </vt:variant>
      <vt:variant>
        <vt:lpwstr/>
      </vt:variant>
      <vt:variant>
        <vt:i4>3080228</vt:i4>
      </vt:variant>
      <vt:variant>
        <vt:i4>135</vt:i4>
      </vt:variant>
      <vt:variant>
        <vt:i4>0</vt:i4>
      </vt:variant>
      <vt:variant>
        <vt:i4>5</vt:i4>
      </vt:variant>
      <vt:variant>
        <vt:lpwstr>http://www.cepal.org/cgi-bin/getprod.asp?xml=/ilpes/noticias/paginas/5/45305/P45305.xml&amp;xsl=/ilpes/tpl/p18f.xsl&amp;base=/ilpes/tpl/top-bottom.xsl</vt:lpwstr>
      </vt:variant>
      <vt:variant>
        <vt:lpwstr/>
      </vt:variant>
      <vt:variant>
        <vt:i4>3670053</vt:i4>
      </vt:variant>
      <vt:variant>
        <vt:i4>132</vt:i4>
      </vt:variant>
      <vt:variant>
        <vt:i4>0</vt:i4>
      </vt:variant>
      <vt:variant>
        <vt:i4>5</vt:i4>
      </vt:variant>
      <vt:variant>
        <vt:lpwstr>http://www.presidencia.gob.mx/index.php?p=75259</vt:lpwstr>
      </vt:variant>
      <vt:variant>
        <vt:lpwstr/>
      </vt:variant>
      <vt:variant>
        <vt:i4>8192032</vt:i4>
      </vt:variant>
      <vt:variant>
        <vt:i4>129</vt:i4>
      </vt:variant>
      <vt:variant>
        <vt:i4>0</vt:i4>
      </vt:variant>
      <vt:variant>
        <vt:i4>5</vt:i4>
      </vt:variant>
      <vt:variant>
        <vt:lpwstr>http://www.presidencia.gob.mx/2012/01/coca-cola-invierte-en-mexico/</vt:lpwstr>
      </vt:variant>
      <vt:variant>
        <vt:lpwstr/>
      </vt:variant>
      <vt:variant>
        <vt:i4>852049</vt:i4>
      </vt:variant>
      <vt:variant>
        <vt:i4>126</vt:i4>
      </vt:variant>
      <vt:variant>
        <vt:i4>0</vt:i4>
      </vt:variant>
      <vt:variant>
        <vt:i4>5</vt:i4>
      </vt:variant>
      <vt:variant>
        <vt:lpwstr>http://www.inegi.org.mx/inegi/contenidos/espanol/prensa/comunicados/inver.pdf</vt:lpwstr>
      </vt:variant>
      <vt:variant>
        <vt:lpwstr/>
      </vt:variant>
      <vt:variant>
        <vt:i4>5505101</vt:i4>
      </vt:variant>
      <vt:variant>
        <vt:i4>123</vt:i4>
      </vt:variant>
      <vt:variant>
        <vt:i4>0</vt:i4>
      </vt:variant>
      <vt:variant>
        <vt:i4>5</vt:i4>
      </vt:variant>
      <vt:variant>
        <vt:lpwstr>http://www.kpmg.com/MX/es/IssuesAndInsights/ArticlesPublications/Paginas/CP-Acelerada-adopcion-comercio-electronico.aspx</vt:lpwstr>
      </vt:variant>
      <vt:variant>
        <vt:lpwstr/>
      </vt:variant>
      <vt:variant>
        <vt:i4>3735652</vt:i4>
      </vt:variant>
      <vt:variant>
        <vt:i4>120</vt:i4>
      </vt:variant>
      <vt:variant>
        <vt:i4>0</vt:i4>
      </vt:variant>
      <vt:variant>
        <vt:i4>5</vt:i4>
      </vt:variant>
      <vt:variant>
        <vt:lpwstr>http://www.inegi.org.mx/inegi/contenidos/espanol/prensa/comunicados/indcon.pdf</vt:lpwstr>
      </vt:variant>
      <vt:variant>
        <vt:lpwstr/>
      </vt:variant>
      <vt:variant>
        <vt:i4>1310807</vt:i4>
      </vt:variant>
      <vt:variant>
        <vt:i4>108</vt:i4>
      </vt:variant>
      <vt:variant>
        <vt:i4>0</vt:i4>
      </vt:variant>
      <vt:variant>
        <vt:i4>5</vt:i4>
      </vt:variant>
      <vt:variant>
        <vt:lpwstr>http://www.inegi.org.mx/inegi/contenidos/espanol/prensa/comunicados/confianza.pdf</vt:lpwstr>
      </vt:variant>
      <vt:variant>
        <vt:lpwstr/>
      </vt:variant>
      <vt:variant>
        <vt:i4>6619199</vt:i4>
      </vt:variant>
      <vt:variant>
        <vt:i4>96</vt:i4>
      </vt:variant>
      <vt:variant>
        <vt:i4>0</vt:i4>
      </vt:variant>
      <vt:variant>
        <vt:i4>5</vt:i4>
      </vt:variant>
      <vt:variant>
        <vt:lpwstr>http://www.inegi.org.mx/inegi/contenidos/espanol/prensa/comunicados/pedidos.pdf</vt:lpwstr>
      </vt:variant>
      <vt:variant>
        <vt:lpwstr/>
      </vt:variant>
      <vt:variant>
        <vt:i4>6357011</vt:i4>
      </vt:variant>
      <vt:variant>
        <vt:i4>84</vt:i4>
      </vt:variant>
      <vt:variant>
        <vt:i4>0</vt:i4>
      </vt:variant>
      <vt:variant>
        <vt:i4>5</vt:i4>
      </vt:variant>
      <vt:variant>
        <vt:lpwstr>http://www.inegi.org.mx/inegi/contenidos/notasinformativas/exp_empre/NI-EE.pdf</vt:lpwstr>
      </vt:variant>
      <vt:variant>
        <vt:lpwstr/>
      </vt:variant>
      <vt:variant>
        <vt:i4>1835025</vt:i4>
      </vt:variant>
      <vt:variant>
        <vt:i4>81</vt:i4>
      </vt:variant>
      <vt:variant>
        <vt:i4>0</vt:i4>
      </vt:variant>
      <vt:variant>
        <vt:i4>5</vt:i4>
      </vt:variant>
      <vt:variant>
        <vt:lpwstr>http://www.oecd.org/dataoecd/8/3/49528111.pdf</vt:lpwstr>
      </vt:variant>
      <vt:variant>
        <vt:lpwstr/>
      </vt:variant>
      <vt:variant>
        <vt:i4>7143431</vt:i4>
      </vt:variant>
      <vt:variant>
        <vt:i4>78</vt:i4>
      </vt:variant>
      <vt:variant>
        <vt:i4>0</vt:i4>
      </vt:variant>
      <vt:variant>
        <vt:i4>5</vt:i4>
      </vt:variant>
      <vt:variant>
        <vt:lpwstr>http://www.inegi.org.mx/inegi/contenidos/notasinformativas/ind_miner/2012/01/NI-IM.pdf</vt:lpwstr>
      </vt:variant>
      <vt:variant>
        <vt:lpwstr/>
      </vt:variant>
      <vt:variant>
        <vt:i4>6946914</vt:i4>
      </vt:variant>
      <vt:variant>
        <vt:i4>75</vt:i4>
      </vt:variant>
      <vt:variant>
        <vt:i4>0</vt:i4>
      </vt:variant>
      <vt:variant>
        <vt:i4>5</vt:i4>
      </vt:variant>
      <vt:variant>
        <vt:lpwstr>http://www.inegi.org.mx/sistemas/productos/</vt:lpwstr>
      </vt:variant>
      <vt:variant>
        <vt:lpwstr/>
      </vt:variant>
      <vt:variant>
        <vt:i4>4849716</vt:i4>
      </vt:variant>
      <vt:variant>
        <vt:i4>72</vt:i4>
      </vt:variant>
      <vt:variant>
        <vt:i4>0</vt:i4>
      </vt:variant>
      <vt:variant>
        <vt:i4>5</vt:i4>
      </vt:variant>
      <vt:variant>
        <vt:lpwstr>http://www.inegi.org.mx/prod_serv/contenidos/espanol/bvinegi/productos/integracion/sociodemografico/Energetico/2011/Ener2011.pdf</vt:lpwstr>
      </vt:variant>
      <vt:variant>
        <vt:lpwstr/>
      </vt:variant>
      <vt:variant>
        <vt:i4>2031619</vt:i4>
      </vt:variant>
      <vt:variant>
        <vt:i4>69</vt:i4>
      </vt:variant>
      <vt:variant>
        <vt:i4>0</vt:i4>
      </vt:variant>
      <vt:variant>
        <vt:i4>5</vt:i4>
      </vt:variant>
      <vt:variant>
        <vt:lpwstr>http://dgcnesyp/</vt:lpwstr>
      </vt:variant>
      <vt:variant>
        <vt:lpwstr/>
      </vt:variant>
      <vt:variant>
        <vt:i4>2031619</vt:i4>
      </vt:variant>
      <vt:variant>
        <vt:i4>66</vt:i4>
      </vt:variant>
      <vt:variant>
        <vt:i4>0</vt:i4>
      </vt:variant>
      <vt:variant>
        <vt:i4>5</vt:i4>
      </vt:variant>
      <vt:variant>
        <vt:lpwstr>http://dgcnesyp/</vt:lpwstr>
      </vt:variant>
      <vt:variant>
        <vt:lpwstr/>
      </vt:variant>
      <vt:variant>
        <vt:i4>589902</vt:i4>
      </vt:variant>
      <vt:variant>
        <vt:i4>63</vt:i4>
      </vt:variant>
      <vt:variant>
        <vt:i4>0</vt:i4>
      </vt:variant>
      <vt:variant>
        <vt:i4>5</vt:i4>
      </vt:variant>
      <vt:variant>
        <vt:lpwstr>http://www.inegi.gob.mx/</vt:lpwstr>
      </vt:variant>
      <vt:variant>
        <vt:lpwstr/>
      </vt:variant>
      <vt:variant>
        <vt:i4>5832759</vt:i4>
      </vt:variant>
      <vt:variant>
        <vt:i4>60</vt:i4>
      </vt:variant>
      <vt:variant>
        <vt:i4>0</vt:i4>
      </vt:variant>
      <vt:variant>
        <vt:i4>5</vt:i4>
      </vt:variant>
      <vt:variant>
        <vt:lpwstr>http://www.siap.sagarpa.gob.mx/index.php?option=com_wrapper&amp;view=wrapper&amp;Itemid=364</vt:lpwstr>
      </vt:variant>
      <vt:variant>
        <vt:lpwstr/>
      </vt:variant>
      <vt:variant>
        <vt:i4>3538995</vt:i4>
      </vt:variant>
      <vt:variant>
        <vt:i4>57</vt:i4>
      </vt:variant>
      <vt:variant>
        <vt:i4>0</vt:i4>
      </vt:variant>
      <vt:variant>
        <vt:i4>5</vt:i4>
      </vt:variant>
      <vt:variant>
        <vt:lpwstr>http://www.economia.gob.mx/eventos-noticias/sala-de-prensa/informacion-relevante/7303-boletin032-12</vt:lpwstr>
      </vt:variant>
      <vt:variant>
        <vt:lpwstr/>
      </vt:variant>
      <vt:variant>
        <vt:i4>2949128</vt:i4>
      </vt:variant>
      <vt:variant>
        <vt:i4>54</vt:i4>
      </vt:variant>
      <vt:variant>
        <vt:i4>0</vt:i4>
      </vt:variant>
      <vt:variant>
        <vt:i4>5</vt:i4>
      </vt:variant>
      <vt:variant>
        <vt:lpwstr>http://dof.gob.mx/nota_detalle.php?codigo=5231901&amp;fecha=01/02/2012</vt:lpwstr>
      </vt:variant>
      <vt:variant>
        <vt:lpwstr/>
      </vt:variant>
      <vt:variant>
        <vt:i4>2818048</vt:i4>
      </vt:variant>
      <vt:variant>
        <vt:i4>51</vt:i4>
      </vt:variant>
      <vt:variant>
        <vt:i4>0</vt:i4>
      </vt:variant>
      <vt:variant>
        <vt:i4>5</vt:i4>
      </vt:variant>
      <vt:variant>
        <vt:lpwstr>http://dof.gob.mx/nota_detalle.php?codigo=5231868&amp;fecha=01/02/2012</vt:lpwstr>
      </vt:variant>
      <vt:variant>
        <vt:lpwstr/>
      </vt:variant>
      <vt:variant>
        <vt:i4>7929944</vt:i4>
      </vt:variant>
      <vt:variant>
        <vt:i4>48</vt:i4>
      </vt:variant>
      <vt:variant>
        <vt:i4>0</vt:i4>
      </vt:variant>
      <vt:variant>
        <vt:i4>5</vt:i4>
      </vt:variant>
      <vt:variant>
        <vt:lpwstr>http://www.cofemer.gob.mx/rfts/formulario/tramite.asp?coNodes=1296451&amp;num_modalidad=0&amp;epe=0&amp;nv=0</vt:lpwstr>
      </vt:variant>
      <vt:variant>
        <vt:lpwstr/>
      </vt:variant>
      <vt:variant>
        <vt:i4>8192085</vt:i4>
      </vt:variant>
      <vt:variant>
        <vt:i4>45</vt:i4>
      </vt:variant>
      <vt:variant>
        <vt:i4>0</vt:i4>
      </vt:variant>
      <vt:variant>
        <vt:i4>5</vt:i4>
      </vt:variant>
      <vt:variant>
        <vt:lpwstr>http://www.cofemer.gob.mx/rfts/formulario/tramite.asp?coNodes=1566760&amp;num_modalidad=0&amp;epe=0&amp;nv=0</vt:lpwstr>
      </vt:variant>
      <vt:variant>
        <vt:lpwstr/>
      </vt:variant>
      <vt:variant>
        <vt:i4>7143473</vt:i4>
      </vt:variant>
      <vt:variant>
        <vt:i4>42</vt:i4>
      </vt:variant>
      <vt:variant>
        <vt:i4>0</vt:i4>
      </vt:variant>
      <vt:variant>
        <vt:i4>5</vt:i4>
      </vt:variant>
      <vt:variant>
        <vt:lpwstr>http://www.sagarpa.gob.mx/saladeprensa/boletines2/paginas/2012B063.aspx</vt:lpwstr>
      </vt:variant>
      <vt:variant>
        <vt:lpwstr/>
      </vt:variant>
      <vt:variant>
        <vt:i4>2228326</vt:i4>
      </vt:variant>
      <vt:variant>
        <vt:i4>39</vt:i4>
      </vt:variant>
      <vt:variant>
        <vt:i4>0</vt:i4>
      </vt:variant>
      <vt:variant>
        <vt:i4>5</vt:i4>
      </vt:variant>
      <vt:variant>
        <vt:lpwstr>http://www.economia.gob.mx/eventos-noticias/sala-de-prensa/informacion-relevante/7289-garantizado-el-abasto-de-maiz-y-frijol-en-mexico</vt:lpwstr>
      </vt:variant>
      <vt:variant>
        <vt:lpwstr/>
      </vt:variant>
      <vt:variant>
        <vt:i4>3670055</vt:i4>
      </vt:variant>
      <vt:variant>
        <vt:i4>36</vt:i4>
      </vt:variant>
      <vt:variant>
        <vt:i4>0</vt:i4>
      </vt:variant>
      <vt:variant>
        <vt:i4>5</vt:i4>
      </vt:variant>
      <vt:variant>
        <vt:lpwstr>http://www.presidencia.gob.mx/index.php?p=75052</vt:lpwstr>
      </vt:variant>
      <vt:variant>
        <vt:lpwstr/>
      </vt:variant>
      <vt:variant>
        <vt:i4>7209071</vt:i4>
      </vt:variant>
      <vt:variant>
        <vt:i4>33</vt:i4>
      </vt:variant>
      <vt:variant>
        <vt:i4>0</vt:i4>
      </vt:variant>
      <vt:variant>
        <vt:i4>5</vt:i4>
      </vt:variant>
      <vt:variant>
        <vt:lpwstr>http://www.presidencia.gob.mx/el-blog/10-acciones-para-enfrentar-la-sequia-en-el-pais/</vt:lpwstr>
      </vt:variant>
      <vt:variant>
        <vt:lpwstr/>
      </vt:variant>
      <vt:variant>
        <vt:i4>3866657</vt:i4>
      </vt:variant>
      <vt:variant>
        <vt:i4>30</vt:i4>
      </vt:variant>
      <vt:variant>
        <vt:i4>0</vt:i4>
      </vt:variant>
      <vt:variant>
        <vt:i4>5</vt:i4>
      </vt:variant>
      <vt:variant>
        <vt:lpwstr>http://www.presidencia.gob.mx/2012/01/acciones-para-mitigar-la-sequia/</vt:lpwstr>
      </vt:variant>
      <vt:variant>
        <vt:lpwstr/>
      </vt:variant>
      <vt:variant>
        <vt:i4>7209071</vt:i4>
      </vt:variant>
      <vt:variant>
        <vt:i4>27</vt:i4>
      </vt:variant>
      <vt:variant>
        <vt:i4>0</vt:i4>
      </vt:variant>
      <vt:variant>
        <vt:i4>5</vt:i4>
      </vt:variant>
      <vt:variant>
        <vt:lpwstr>http://www.presidencia.gob.mx/el-blog/10-acciones-para-enfrentar-la-sequia-en-el-pais/</vt:lpwstr>
      </vt:variant>
      <vt:variant>
        <vt:lpwstr/>
      </vt:variant>
      <vt:variant>
        <vt:i4>6553721</vt:i4>
      </vt:variant>
      <vt:variant>
        <vt:i4>24</vt:i4>
      </vt:variant>
      <vt:variant>
        <vt:i4>0</vt:i4>
      </vt:variant>
      <vt:variant>
        <vt:i4>5</vt:i4>
      </vt:variant>
      <vt:variant>
        <vt:lpwstr>http://www.rlc.fao.org/es/prensa/noticias/fao-gobiernos-de-alc-deben-mantenerse-alerta-ante-los-efectos-que-una-recesion-mundial-podria-tener-en-la-seguridad-alimentaria/</vt:lpwstr>
      </vt:variant>
      <vt:variant>
        <vt:lpwstr/>
      </vt:variant>
      <vt:variant>
        <vt:i4>6357050</vt:i4>
      </vt:variant>
      <vt:variant>
        <vt:i4>21</vt:i4>
      </vt:variant>
      <vt:variant>
        <vt:i4>0</vt:i4>
      </vt:variant>
      <vt:variant>
        <vt:i4>5</vt:i4>
      </vt:variant>
      <vt:variant>
        <vt:lpwstr>http://www.inegi.org.mx/inegi/contenidos/espanol/prensa/comunicados/actividadee.pdf</vt:lpwstr>
      </vt:variant>
      <vt:variant>
        <vt:lpwstr/>
      </vt:variant>
      <vt:variant>
        <vt:i4>5373974</vt:i4>
      </vt:variant>
      <vt:variant>
        <vt:i4>18</vt:i4>
      </vt:variant>
      <vt:variant>
        <vt:i4>0</vt:i4>
      </vt:variant>
      <vt:variant>
        <vt:i4>5</vt:i4>
      </vt:variant>
      <vt:variant>
        <vt:lpwstr>http://www.inegi.org.mx/inegi/contenidos/espanol/prensa/comunicados/sica.pdf</vt:lpwstr>
      </vt:variant>
      <vt:variant>
        <vt:lpwstr/>
      </vt:variant>
      <vt:variant>
        <vt:i4>4718593</vt:i4>
      </vt:variant>
      <vt:variant>
        <vt:i4>45</vt:i4>
      </vt:variant>
      <vt:variant>
        <vt:i4>0</vt:i4>
      </vt:variant>
      <vt:variant>
        <vt:i4>5</vt:i4>
      </vt:variant>
      <vt:variant>
        <vt:lpwstr>http://www.un.org/spanish/millenniumgoals/bkgd.shtml</vt:lpwstr>
      </vt:variant>
      <vt:variant>
        <vt:lpwstr/>
      </vt:variant>
      <vt:variant>
        <vt:i4>6291513</vt:i4>
      </vt:variant>
      <vt:variant>
        <vt:i4>42</vt:i4>
      </vt:variant>
      <vt:variant>
        <vt:i4>0</vt:i4>
      </vt:variant>
      <vt:variant>
        <vt:i4>5</vt:i4>
      </vt:variant>
      <vt:variant>
        <vt:lpwstr>http://www.oecd.org/dataoecd/1/58/49416686.pdf</vt:lpwstr>
      </vt:variant>
      <vt:variant>
        <vt:lpwstr/>
      </vt:variant>
      <vt:variant>
        <vt:i4>7536721</vt:i4>
      </vt:variant>
      <vt:variant>
        <vt:i4>39</vt:i4>
      </vt:variant>
      <vt:variant>
        <vt:i4>0</vt:i4>
      </vt:variant>
      <vt:variant>
        <vt:i4>5</vt:i4>
      </vt:variant>
      <vt:variant>
        <vt:lpwstr>http://www.oecd.org/document/47/0,3746,en_2649_34113_49331311_1_1_1_1,00.html</vt:lpwstr>
      </vt:variant>
      <vt:variant>
        <vt:lpwstr/>
      </vt:variant>
      <vt:variant>
        <vt:i4>3473446</vt:i4>
      </vt:variant>
      <vt:variant>
        <vt:i4>36</vt:i4>
      </vt:variant>
      <vt:variant>
        <vt:i4>0</vt:i4>
      </vt:variant>
      <vt:variant>
        <vt:i4>5</vt:i4>
      </vt:variant>
      <vt:variant>
        <vt:lpwstr>http://www.presidencia.gob.mx/index.php?p=75184</vt:lpwstr>
      </vt:variant>
      <vt:variant>
        <vt:lpwstr/>
      </vt:variant>
      <vt:variant>
        <vt:i4>1441803</vt:i4>
      </vt:variant>
      <vt:variant>
        <vt:i4>33</vt:i4>
      </vt:variant>
      <vt:variant>
        <vt:i4>0</vt:i4>
      </vt:variant>
      <vt:variant>
        <vt:i4>5</vt:i4>
      </vt:variant>
      <vt:variant>
        <vt:lpwstr>http://www.presidencia.gob.mx/2012/01/premio-al-estadista-global/</vt:lpwstr>
      </vt:variant>
      <vt:variant>
        <vt:lpwstr/>
      </vt:variant>
      <vt:variant>
        <vt:i4>3014758</vt:i4>
      </vt:variant>
      <vt:variant>
        <vt:i4>30</vt:i4>
      </vt:variant>
      <vt:variant>
        <vt:i4>0</vt:i4>
      </vt:variant>
      <vt:variant>
        <vt:i4>5</vt:i4>
      </vt:variant>
      <vt:variant>
        <vt:lpwstr>http://www.ecb.int/stats/money/surveys/lend/html/index.en.html</vt:lpwstr>
      </vt:variant>
      <vt:variant>
        <vt:lpwstr/>
      </vt:variant>
      <vt:variant>
        <vt:i4>7471228</vt:i4>
      </vt:variant>
      <vt:variant>
        <vt:i4>27</vt:i4>
      </vt:variant>
      <vt:variant>
        <vt:i4>0</vt:i4>
      </vt:variant>
      <vt:variant>
        <vt:i4>5</vt:i4>
      </vt:variant>
      <vt:variant>
        <vt:lpwstr>http://148.245.102.209/enviacentroamerica/</vt:lpwstr>
      </vt:variant>
      <vt:variant>
        <vt:lpwstr/>
      </vt:variant>
      <vt:variant>
        <vt:i4>8126535</vt:i4>
      </vt:variant>
      <vt:variant>
        <vt:i4>24</vt:i4>
      </vt:variant>
      <vt:variant>
        <vt:i4>0</vt:i4>
      </vt:variant>
      <vt:variant>
        <vt:i4>5</vt:i4>
      </vt:variant>
      <vt:variant>
        <vt:lpwstr>http://www.deloitte.com/view/es_MX/mx/sala-de-prensa/boletines-de-prensa/5e0942db</vt:lpwstr>
      </vt:variant>
      <vt:variant>
        <vt:lpwstr/>
      </vt:variant>
      <vt:variant>
        <vt:i4>8257639</vt:i4>
      </vt:variant>
      <vt:variant>
        <vt:i4>21</vt:i4>
      </vt:variant>
      <vt:variant>
        <vt:i4>0</vt:i4>
      </vt:variant>
      <vt:variant>
        <vt:i4>5</vt:i4>
      </vt:variant>
      <vt:variant>
        <vt:lpwstr>http://www.deloitte.com/assets/Dcom-Mexico/Local Assets/Documents/</vt:lpwstr>
      </vt:variant>
      <vt:variant>
        <vt:lpwstr/>
      </vt:variant>
      <vt:variant>
        <vt:i4>4259909</vt:i4>
      </vt:variant>
      <vt:variant>
        <vt:i4>18</vt:i4>
      </vt:variant>
      <vt:variant>
        <vt:i4>0</vt:i4>
      </vt:variant>
      <vt:variant>
        <vt:i4>5</vt:i4>
      </vt:variant>
      <vt:variant>
        <vt:lpwstr>http://www.deloitte.com.mx/multimedia/tips/security/</vt:lpwstr>
      </vt:variant>
      <vt:variant>
        <vt:lpwstr/>
      </vt:variant>
      <vt:variant>
        <vt:i4>458851</vt:i4>
      </vt:variant>
      <vt:variant>
        <vt:i4>15</vt:i4>
      </vt:variant>
      <vt:variant>
        <vt:i4>0</vt:i4>
      </vt:variant>
      <vt:variant>
        <vt:i4>5</vt:i4>
      </vt:variant>
      <vt:variant>
        <vt:lpwstr>http://www.deloitte.com/view/es_MX/mx/industrias/serviciosfinancieros/</vt:lpwstr>
      </vt:variant>
      <vt:variant>
        <vt:lpwstr/>
      </vt:variant>
      <vt:variant>
        <vt:i4>1048607</vt:i4>
      </vt:variant>
      <vt:variant>
        <vt:i4>12</vt:i4>
      </vt:variant>
      <vt:variant>
        <vt:i4>0</vt:i4>
      </vt:variant>
      <vt:variant>
        <vt:i4>5</vt:i4>
      </vt:variant>
      <vt:variant>
        <vt:lpwstr>http://www.deloitte.com/assets/Dcom-UnitedStates/Local Assets/Documents/</vt:lpwstr>
      </vt:variant>
      <vt:variant>
        <vt:lpwstr/>
      </vt:variant>
      <vt:variant>
        <vt:i4>3407976</vt:i4>
      </vt:variant>
      <vt:variant>
        <vt:i4>9</vt:i4>
      </vt:variant>
      <vt:variant>
        <vt:i4>0</vt:i4>
      </vt:variant>
      <vt:variant>
        <vt:i4>5</vt:i4>
      </vt:variant>
      <vt:variant>
        <vt:lpwstr>http://www.deloitte.com/assets/Dcom-UnitedStates/Local Assets/</vt:lpwstr>
      </vt:variant>
      <vt:variant>
        <vt:lpwstr/>
      </vt:variant>
      <vt:variant>
        <vt:i4>1310798</vt:i4>
      </vt:variant>
      <vt:variant>
        <vt:i4>6</vt:i4>
      </vt:variant>
      <vt:variant>
        <vt:i4>0</vt:i4>
      </vt:variant>
      <vt:variant>
        <vt:i4>5</vt:i4>
      </vt:variant>
      <vt:variant>
        <vt:lpwstr>http://www.cepal.org/ofilac/</vt:lpwstr>
      </vt:variant>
      <vt:variant>
        <vt:lpwstr/>
      </vt:variant>
      <vt:variant>
        <vt:i4>4784155</vt:i4>
      </vt:variant>
      <vt:variant>
        <vt:i4>3</vt:i4>
      </vt:variant>
      <vt:variant>
        <vt:i4>0</vt:i4>
      </vt:variant>
      <vt:variant>
        <vt:i4>5</vt:i4>
      </vt:variant>
      <vt:variant>
        <vt:lpwstr>http://www.cepal.org/cgi-bin/getProd.asp?xml=/ofilac/noticias/noticias/2/42262/P42262.xml&amp;xsl=/ofilac/tpl/p1f.xsl&amp;base=/ofilac/tpl/top-bottom.xsl</vt:lpwstr>
      </vt:variant>
      <vt:variant>
        <vt:lpwstr/>
      </vt:variant>
      <vt:variant>
        <vt:i4>7209071</vt:i4>
      </vt:variant>
      <vt:variant>
        <vt:i4>0</vt:i4>
      </vt:variant>
      <vt:variant>
        <vt:i4>0</vt:i4>
      </vt:variant>
      <vt:variant>
        <vt:i4>5</vt:i4>
      </vt:variant>
      <vt:variant>
        <vt:lpwstr>http://www.presidencia.gob.mx/el-blog/10-acciones-para-enfrentar-la-sequia-en-el-pais/</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dc:title>
  <dc:subject/>
  <dc:creator>AGONZALEZ</dc:creator>
  <cp:keywords/>
  <dc:description/>
  <cp:lastModifiedBy>Guadalupe Patricia Cuca Villegas</cp:lastModifiedBy>
  <cp:revision>12</cp:revision>
  <cp:lastPrinted>2015-04-28T17:24:00Z</cp:lastPrinted>
  <dcterms:created xsi:type="dcterms:W3CDTF">2015-04-28T13:13:00Z</dcterms:created>
  <dcterms:modified xsi:type="dcterms:W3CDTF">2015-04-30T14:37:00Z</dcterms:modified>
</cp:coreProperties>
</file>